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C4897" w14:textId="77777777" w:rsidR="00B14D53" w:rsidRDefault="00B14D53">
      <w:pPr>
        <w:pStyle w:val="afff2"/>
        <w:rPr>
          <w:rFonts w:eastAsiaTheme="minorEastAsia" w:hint="eastAsia"/>
          <w:sz w:val="32"/>
        </w:rPr>
      </w:pPr>
    </w:p>
    <w:p w14:paraId="0839985C" w14:textId="77777777" w:rsidR="00B14D53" w:rsidRDefault="00B14D53">
      <w:pPr>
        <w:jc w:val="center"/>
        <w:rPr>
          <w:rFonts w:eastAsiaTheme="minorEastAsia"/>
          <w:sz w:val="36"/>
        </w:rPr>
      </w:pPr>
    </w:p>
    <w:p w14:paraId="2496AA2F" w14:textId="77777777" w:rsidR="00B14D53" w:rsidRDefault="00B14D53">
      <w:pPr>
        <w:jc w:val="center"/>
        <w:rPr>
          <w:rFonts w:eastAsiaTheme="minorEastAsia"/>
          <w:sz w:val="36"/>
        </w:rPr>
      </w:pPr>
    </w:p>
    <w:p w14:paraId="430B9FB8" w14:textId="77777777" w:rsidR="00B14D53" w:rsidRDefault="00B14D53">
      <w:pPr>
        <w:jc w:val="center"/>
        <w:rPr>
          <w:rFonts w:eastAsiaTheme="minorEastAsia"/>
          <w:sz w:val="36"/>
        </w:rPr>
      </w:pPr>
    </w:p>
    <w:p w14:paraId="2FFB3D19" w14:textId="77777777" w:rsidR="00B14D53" w:rsidRDefault="00000000">
      <w:pPr>
        <w:jc w:val="center"/>
        <w:rPr>
          <w:rFonts w:ascii="黑体" w:eastAsia="黑体" w:hAnsi="黑体" w:cs="黑体" w:hint="eastAsia"/>
          <w:b/>
          <w:sz w:val="36"/>
          <w:szCs w:val="36"/>
        </w:rPr>
      </w:pPr>
      <w:r>
        <w:rPr>
          <w:rFonts w:ascii="黑体" w:eastAsia="黑体" w:hAnsi="黑体" w:cs="黑体" w:hint="eastAsia"/>
          <w:b/>
          <w:sz w:val="36"/>
          <w:szCs w:val="36"/>
        </w:rPr>
        <w:t>五常市三元肉类加工有限公司建设项目</w:t>
      </w:r>
    </w:p>
    <w:p w14:paraId="5463A719" w14:textId="77777777" w:rsidR="00B14D53" w:rsidRDefault="00000000">
      <w:pPr>
        <w:spacing w:line="720" w:lineRule="auto"/>
        <w:jc w:val="center"/>
        <w:rPr>
          <w:rFonts w:eastAsiaTheme="minorEastAsia"/>
          <w:b/>
          <w:bCs/>
          <w:spacing w:val="36"/>
          <w:sz w:val="84"/>
        </w:rPr>
      </w:pPr>
      <w:r>
        <w:rPr>
          <w:rFonts w:ascii="方正小标宋简体" w:eastAsia="方正小标宋简体" w:hAnsi="方正小标宋简体" w:cs="方正小标宋简体" w:hint="eastAsia"/>
          <w:b/>
          <w:bCs/>
          <w:spacing w:val="36"/>
          <w:sz w:val="84"/>
        </w:rPr>
        <w:t>环境影响报告书</w:t>
      </w:r>
    </w:p>
    <w:p w14:paraId="0E0E3AB5" w14:textId="77777777" w:rsidR="00B14D53" w:rsidRDefault="00B14D53">
      <w:pPr>
        <w:spacing w:line="360" w:lineRule="auto"/>
        <w:jc w:val="center"/>
        <w:rPr>
          <w:rFonts w:eastAsiaTheme="minorEastAsia"/>
          <w:b/>
          <w:bCs/>
          <w:sz w:val="30"/>
          <w:szCs w:val="30"/>
        </w:rPr>
      </w:pPr>
    </w:p>
    <w:p w14:paraId="52EEF650" w14:textId="77777777" w:rsidR="00B14D53" w:rsidRDefault="00B14D53">
      <w:pPr>
        <w:jc w:val="center"/>
        <w:rPr>
          <w:rFonts w:eastAsiaTheme="minorEastAsia"/>
          <w:sz w:val="30"/>
        </w:rPr>
      </w:pPr>
    </w:p>
    <w:p w14:paraId="346C3C9F" w14:textId="77777777" w:rsidR="00B14D53" w:rsidRDefault="00B14D53">
      <w:pPr>
        <w:jc w:val="center"/>
        <w:rPr>
          <w:rFonts w:eastAsiaTheme="minorEastAsia"/>
          <w:sz w:val="28"/>
        </w:rPr>
      </w:pPr>
    </w:p>
    <w:p w14:paraId="375E6645" w14:textId="77777777" w:rsidR="00B14D53" w:rsidRDefault="00B14D53">
      <w:pPr>
        <w:jc w:val="center"/>
        <w:rPr>
          <w:rFonts w:eastAsiaTheme="minorEastAsia"/>
          <w:b/>
          <w:sz w:val="36"/>
          <w:szCs w:val="36"/>
        </w:rPr>
      </w:pPr>
    </w:p>
    <w:p w14:paraId="3B863BFC" w14:textId="77777777" w:rsidR="00B14D53" w:rsidRDefault="00B14D53">
      <w:pPr>
        <w:jc w:val="center"/>
        <w:rPr>
          <w:rFonts w:eastAsiaTheme="minorEastAsia"/>
          <w:sz w:val="28"/>
        </w:rPr>
      </w:pPr>
    </w:p>
    <w:p w14:paraId="27B80100" w14:textId="77777777" w:rsidR="00B14D53" w:rsidRDefault="00B14D53">
      <w:pPr>
        <w:jc w:val="center"/>
        <w:rPr>
          <w:rFonts w:eastAsiaTheme="minorEastAsia"/>
          <w:sz w:val="28"/>
        </w:rPr>
      </w:pPr>
    </w:p>
    <w:p w14:paraId="590B174B" w14:textId="77777777" w:rsidR="00B14D53" w:rsidRDefault="00B14D53">
      <w:pPr>
        <w:jc w:val="center"/>
        <w:rPr>
          <w:rFonts w:eastAsiaTheme="minorEastAsia"/>
          <w:sz w:val="28"/>
        </w:rPr>
      </w:pPr>
    </w:p>
    <w:p w14:paraId="19897E3A" w14:textId="77777777" w:rsidR="00B14D53" w:rsidRDefault="00B14D53">
      <w:pPr>
        <w:jc w:val="center"/>
        <w:rPr>
          <w:rFonts w:eastAsiaTheme="minorEastAsia"/>
          <w:sz w:val="28"/>
        </w:rPr>
      </w:pPr>
    </w:p>
    <w:p w14:paraId="4ABC32B7" w14:textId="77777777" w:rsidR="00B14D53" w:rsidRDefault="00B14D53">
      <w:pPr>
        <w:jc w:val="center"/>
        <w:rPr>
          <w:rFonts w:eastAsiaTheme="minorEastAsia"/>
          <w:sz w:val="28"/>
        </w:rPr>
      </w:pPr>
    </w:p>
    <w:p w14:paraId="30F26070" w14:textId="77777777" w:rsidR="00B14D53" w:rsidRDefault="00000000">
      <w:pPr>
        <w:jc w:val="center"/>
        <w:rPr>
          <w:rFonts w:ascii="黑体" w:eastAsia="黑体" w:hAnsi="黑体" w:cs="黑体" w:hint="eastAsia"/>
          <w:b/>
          <w:sz w:val="32"/>
          <w:szCs w:val="32"/>
        </w:rPr>
      </w:pPr>
      <w:r>
        <w:rPr>
          <w:rFonts w:ascii="黑体" w:eastAsia="黑体" w:hAnsi="黑体" w:cs="黑体" w:hint="eastAsia"/>
          <w:b/>
          <w:sz w:val="32"/>
          <w:szCs w:val="32"/>
        </w:rPr>
        <w:t>建设单位：五常市三元肉类加工有限公司</w:t>
      </w:r>
    </w:p>
    <w:p w14:paraId="5D6A66E0" w14:textId="77777777" w:rsidR="00B14D53" w:rsidRDefault="00000000">
      <w:pPr>
        <w:jc w:val="center"/>
        <w:rPr>
          <w:rFonts w:ascii="黑体" w:eastAsia="黑体" w:hAnsi="黑体" w:cs="黑体" w:hint="eastAsia"/>
          <w:b/>
          <w:sz w:val="32"/>
          <w:szCs w:val="32"/>
        </w:rPr>
      </w:pPr>
      <w:r>
        <w:rPr>
          <w:rFonts w:ascii="黑体" w:eastAsia="黑体" w:hAnsi="黑体" w:cs="黑体" w:hint="eastAsia"/>
          <w:b/>
          <w:sz w:val="32"/>
          <w:szCs w:val="32"/>
        </w:rPr>
        <w:t>编制单位：哈尔滨茸昌环保科技有限公司</w:t>
      </w:r>
    </w:p>
    <w:p w14:paraId="55F9966F" w14:textId="77777777" w:rsidR="00B14D53" w:rsidRDefault="00000000">
      <w:pPr>
        <w:jc w:val="center"/>
        <w:rPr>
          <w:rFonts w:ascii="黑体" w:eastAsia="黑体" w:hAnsi="黑体" w:cs="黑体" w:hint="eastAsia"/>
          <w:b/>
          <w:sz w:val="28"/>
        </w:rPr>
      </w:pPr>
      <w:r>
        <w:rPr>
          <w:rFonts w:ascii="黑体" w:eastAsia="黑体" w:hAnsi="黑体" w:cs="黑体" w:hint="eastAsia"/>
          <w:b/>
          <w:sz w:val="28"/>
        </w:rPr>
        <w:t>编制日期：二零二五年八月</w:t>
      </w:r>
    </w:p>
    <w:p w14:paraId="630D1237" w14:textId="77777777" w:rsidR="00B14D53" w:rsidRDefault="00B14D53">
      <w:pPr>
        <w:widowControl/>
        <w:jc w:val="left"/>
        <w:rPr>
          <w:rFonts w:eastAsiaTheme="minorEastAsia"/>
          <w:b/>
          <w:bCs/>
          <w:sz w:val="28"/>
          <w:szCs w:val="28"/>
        </w:rPr>
      </w:pPr>
    </w:p>
    <w:p w14:paraId="0780A56B" w14:textId="77777777" w:rsidR="00B14D53" w:rsidRDefault="00B14D53">
      <w:pPr>
        <w:widowControl/>
        <w:jc w:val="left"/>
        <w:rPr>
          <w:rFonts w:eastAsiaTheme="minorEastAsia"/>
          <w:b/>
          <w:bCs/>
          <w:sz w:val="28"/>
          <w:szCs w:val="28"/>
        </w:rPr>
        <w:sectPr w:rsidR="00B14D53">
          <w:headerReference w:type="default" r:id="rId8"/>
          <w:footerReference w:type="default" r:id="rId9"/>
          <w:pgSz w:w="11906" w:h="16838"/>
          <w:pgMar w:top="1440" w:right="1800" w:bottom="1440" w:left="1800" w:header="851" w:footer="992" w:gutter="0"/>
          <w:pgNumType w:start="1"/>
          <w:cols w:space="720"/>
          <w:docGrid w:type="lines" w:linePitch="312"/>
        </w:sectPr>
      </w:pPr>
    </w:p>
    <w:p w14:paraId="6D56C0C0" w14:textId="77777777" w:rsidR="00B14D53" w:rsidRDefault="00B14D53">
      <w:pPr>
        <w:widowControl/>
        <w:jc w:val="left"/>
        <w:rPr>
          <w:rFonts w:eastAsiaTheme="minorEastAsia"/>
          <w:b/>
          <w:bCs/>
          <w:sz w:val="28"/>
          <w:szCs w:val="28"/>
        </w:rPr>
      </w:pPr>
    </w:p>
    <w:p w14:paraId="342D7F82" w14:textId="77777777" w:rsidR="00B14D53" w:rsidRDefault="00B14D53">
      <w:pPr>
        <w:widowControl/>
        <w:jc w:val="left"/>
        <w:rPr>
          <w:rFonts w:eastAsiaTheme="minorEastAsia"/>
          <w:b/>
          <w:bCs/>
          <w:sz w:val="28"/>
          <w:szCs w:val="28"/>
        </w:rPr>
      </w:pPr>
    </w:p>
    <w:p w14:paraId="50817E82" w14:textId="77777777" w:rsidR="00B14D53" w:rsidRDefault="00B14D53">
      <w:pPr>
        <w:widowControl/>
        <w:jc w:val="left"/>
        <w:rPr>
          <w:rFonts w:eastAsiaTheme="minorEastAsia"/>
          <w:b/>
          <w:bCs/>
          <w:sz w:val="28"/>
          <w:szCs w:val="28"/>
        </w:rPr>
      </w:pPr>
    </w:p>
    <w:p w14:paraId="12DF2ABB" w14:textId="77777777" w:rsidR="00B14D53" w:rsidRDefault="00B14D53">
      <w:pPr>
        <w:widowControl/>
        <w:jc w:val="left"/>
        <w:rPr>
          <w:rFonts w:eastAsiaTheme="minorEastAsia"/>
          <w:b/>
          <w:bCs/>
          <w:sz w:val="28"/>
          <w:szCs w:val="28"/>
        </w:rPr>
        <w:sectPr w:rsidR="00B14D53">
          <w:pgSz w:w="11906" w:h="16838"/>
          <w:pgMar w:top="1440" w:right="1800" w:bottom="1440" w:left="1800" w:header="851" w:footer="992" w:gutter="0"/>
          <w:pgNumType w:start="1"/>
          <w:cols w:space="720"/>
          <w:docGrid w:type="lines" w:linePitch="312"/>
        </w:sectPr>
      </w:pPr>
    </w:p>
    <w:p w14:paraId="1676F1D2" w14:textId="77777777" w:rsidR="00B14D53" w:rsidRDefault="00000000">
      <w:pPr>
        <w:pStyle w:val="TOC1"/>
        <w:rPr>
          <w:rFonts w:ascii="宋体" w:eastAsia="宋体" w:hAnsi="宋体" w:cs="宋体" w:hint="eastAsia"/>
          <w:sz w:val="36"/>
          <w:szCs w:val="36"/>
        </w:rPr>
      </w:pPr>
      <w:bookmarkStart w:id="0" w:name="_Toc479252796"/>
      <w:r>
        <w:rPr>
          <w:rFonts w:ascii="宋体" w:eastAsia="宋体" w:hAnsi="宋体" w:cs="宋体" w:hint="eastAsia"/>
          <w:sz w:val="36"/>
          <w:szCs w:val="36"/>
        </w:rPr>
        <w:lastRenderedPageBreak/>
        <w:t>目  录</w:t>
      </w:r>
    </w:p>
    <w:p w14:paraId="6C27CD5E" w14:textId="77777777" w:rsidR="00B14D53" w:rsidRDefault="00000000">
      <w:pPr>
        <w:pStyle w:val="TOC1"/>
        <w:tabs>
          <w:tab w:val="clear" w:pos="8302"/>
          <w:tab w:val="right" w:leader="dot" w:pos="8306"/>
        </w:tabs>
        <w:spacing w:line="240" w:lineRule="auto"/>
        <w:rPr>
          <w:rFonts w:eastAsia="宋体" w:hAnsi="Times New Roman"/>
          <w:b w:val="0"/>
          <w:sz w:val="24"/>
          <w:szCs w:val="24"/>
        </w:rPr>
      </w:pPr>
      <w:r>
        <w:rPr>
          <w:rFonts w:eastAsia="宋体" w:hAnsi="Times New Roman"/>
          <w:b w:val="0"/>
          <w:sz w:val="24"/>
          <w:szCs w:val="24"/>
        </w:rPr>
        <w:fldChar w:fldCharType="begin"/>
      </w:r>
      <w:r>
        <w:rPr>
          <w:rFonts w:eastAsia="宋体" w:hAnsi="Times New Roman"/>
          <w:b w:val="0"/>
          <w:sz w:val="24"/>
          <w:szCs w:val="24"/>
        </w:rPr>
        <w:instrText xml:space="preserve"> TOC \o "1-2" \h \z \u </w:instrText>
      </w:r>
      <w:r>
        <w:rPr>
          <w:rFonts w:eastAsia="宋体" w:hAnsi="Times New Roman"/>
          <w:b w:val="0"/>
          <w:sz w:val="24"/>
          <w:szCs w:val="24"/>
        </w:rPr>
        <w:fldChar w:fldCharType="separate"/>
      </w:r>
      <w:hyperlink w:anchor="_Toc8000" w:history="1">
        <w:r>
          <w:rPr>
            <w:rFonts w:eastAsia="宋体" w:hAnsi="Times New Roman"/>
            <w:b w:val="0"/>
            <w:sz w:val="24"/>
            <w:szCs w:val="24"/>
          </w:rPr>
          <w:t>1</w:t>
        </w:r>
        <w:r>
          <w:rPr>
            <w:rFonts w:eastAsia="宋体" w:hAnsi="Times New Roman"/>
            <w:b w:val="0"/>
            <w:sz w:val="24"/>
            <w:szCs w:val="24"/>
          </w:rPr>
          <w:t>概述</w:t>
        </w:r>
        <w:r>
          <w:rPr>
            <w:rFonts w:eastAsia="宋体" w:hAnsi="Times New Roman"/>
            <w:b w:val="0"/>
            <w:sz w:val="24"/>
            <w:szCs w:val="24"/>
          </w:rPr>
          <w:tab/>
        </w:r>
        <w:r>
          <w:rPr>
            <w:rFonts w:eastAsia="宋体" w:hAnsi="Times New Roman"/>
            <w:b w:val="0"/>
            <w:sz w:val="24"/>
            <w:szCs w:val="24"/>
          </w:rPr>
          <w:fldChar w:fldCharType="begin"/>
        </w:r>
        <w:r>
          <w:rPr>
            <w:rFonts w:eastAsia="宋体" w:hAnsi="Times New Roman"/>
            <w:b w:val="0"/>
            <w:sz w:val="24"/>
            <w:szCs w:val="24"/>
          </w:rPr>
          <w:instrText xml:space="preserve"> PAGEREF _Toc8000 \h </w:instrText>
        </w:r>
        <w:r>
          <w:rPr>
            <w:rFonts w:eastAsia="宋体" w:hAnsi="Times New Roman"/>
            <w:b w:val="0"/>
            <w:sz w:val="24"/>
            <w:szCs w:val="24"/>
          </w:rPr>
        </w:r>
        <w:r>
          <w:rPr>
            <w:rFonts w:eastAsia="宋体" w:hAnsi="Times New Roman"/>
            <w:b w:val="0"/>
            <w:sz w:val="24"/>
            <w:szCs w:val="24"/>
          </w:rPr>
          <w:fldChar w:fldCharType="separate"/>
        </w:r>
        <w:r>
          <w:rPr>
            <w:rFonts w:eastAsia="宋体" w:hAnsi="Times New Roman"/>
            <w:b w:val="0"/>
            <w:sz w:val="24"/>
            <w:szCs w:val="24"/>
          </w:rPr>
          <w:t>1</w:t>
        </w:r>
        <w:r>
          <w:rPr>
            <w:rFonts w:eastAsia="宋体" w:hAnsi="Times New Roman"/>
            <w:b w:val="0"/>
            <w:sz w:val="24"/>
            <w:szCs w:val="24"/>
          </w:rPr>
          <w:fldChar w:fldCharType="end"/>
        </w:r>
      </w:hyperlink>
    </w:p>
    <w:p w14:paraId="4DFE854F" w14:textId="77777777" w:rsidR="00B14D53" w:rsidRDefault="00000000">
      <w:pPr>
        <w:pStyle w:val="TOC2"/>
        <w:tabs>
          <w:tab w:val="right" w:leader="dot" w:pos="8306"/>
        </w:tabs>
        <w:spacing w:before="0" w:line="240" w:lineRule="auto"/>
        <w:ind w:left="0" w:firstLineChars="200" w:firstLine="480"/>
        <w:rPr>
          <w:b w:val="0"/>
        </w:rPr>
      </w:pPr>
      <w:hyperlink w:anchor="_Toc24091" w:history="1">
        <w:r>
          <w:rPr>
            <w:b w:val="0"/>
            <w:kern w:val="44"/>
          </w:rPr>
          <w:t>1.1</w:t>
        </w:r>
        <w:r>
          <w:rPr>
            <w:b w:val="0"/>
            <w:kern w:val="44"/>
          </w:rPr>
          <w:t>项目由来</w:t>
        </w:r>
        <w:r>
          <w:rPr>
            <w:b w:val="0"/>
          </w:rPr>
          <w:tab/>
        </w:r>
        <w:r>
          <w:rPr>
            <w:b w:val="0"/>
          </w:rPr>
          <w:fldChar w:fldCharType="begin"/>
        </w:r>
        <w:r>
          <w:rPr>
            <w:b w:val="0"/>
          </w:rPr>
          <w:instrText xml:space="preserve"> PAGEREF _Toc24091 \h </w:instrText>
        </w:r>
        <w:r>
          <w:rPr>
            <w:b w:val="0"/>
          </w:rPr>
        </w:r>
        <w:r>
          <w:rPr>
            <w:b w:val="0"/>
          </w:rPr>
          <w:fldChar w:fldCharType="separate"/>
        </w:r>
        <w:r>
          <w:rPr>
            <w:b w:val="0"/>
          </w:rPr>
          <w:t>1</w:t>
        </w:r>
        <w:r>
          <w:rPr>
            <w:b w:val="0"/>
          </w:rPr>
          <w:fldChar w:fldCharType="end"/>
        </w:r>
      </w:hyperlink>
    </w:p>
    <w:p w14:paraId="384D12C6" w14:textId="77777777" w:rsidR="00B14D53" w:rsidRDefault="00000000">
      <w:pPr>
        <w:pStyle w:val="TOC2"/>
        <w:tabs>
          <w:tab w:val="right" w:leader="dot" w:pos="8306"/>
        </w:tabs>
        <w:spacing w:before="0" w:line="240" w:lineRule="auto"/>
        <w:ind w:left="0" w:firstLineChars="200" w:firstLine="480"/>
        <w:rPr>
          <w:b w:val="0"/>
        </w:rPr>
      </w:pPr>
      <w:hyperlink w:anchor="_Toc5847" w:history="1">
        <w:r>
          <w:rPr>
            <w:b w:val="0"/>
            <w:kern w:val="44"/>
          </w:rPr>
          <w:t>1.2</w:t>
        </w:r>
        <w:r>
          <w:rPr>
            <w:b w:val="0"/>
            <w:kern w:val="44"/>
          </w:rPr>
          <w:t>项目特点</w:t>
        </w:r>
        <w:r>
          <w:rPr>
            <w:b w:val="0"/>
          </w:rPr>
          <w:tab/>
        </w:r>
        <w:r>
          <w:rPr>
            <w:b w:val="0"/>
          </w:rPr>
          <w:fldChar w:fldCharType="begin"/>
        </w:r>
        <w:r>
          <w:rPr>
            <w:b w:val="0"/>
          </w:rPr>
          <w:instrText xml:space="preserve"> PAGEREF _Toc5847 \h </w:instrText>
        </w:r>
        <w:r>
          <w:rPr>
            <w:b w:val="0"/>
          </w:rPr>
        </w:r>
        <w:r>
          <w:rPr>
            <w:b w:val="0"/>
          </w:rPr>
          <w:fldChar w:fldCharType="separate"/>
        </w:r>
        <w:r>
          <w:rPr>
            <w:b w:val="0"/>
          </w:rPr>
          <w:t>1</w:t>
        </w:r>
        <w:r>
          <w:rPr>
            <w:b w:val="0"/>
          </w:rPr>
          <w:fldChar w:fldCharType="end"/>
        </w:r>
      </w:hyperlink>
    </w:p>
    <w:p w14:paraId="7FD5FF0E" w14:textId="77777777" w:rsidR="00B14D53" w:rsidRDefault="00000000">
      <w:pPr>
        <w:pStyle w:val="TOC2"/>
        <w:tabs>
          <w:tab w:val="right" w:leader="dot" w:pos="8306"/>
        </w:tabs>
        <w:spacing w:before="0" w:line="240" w:lineRule="auto"/>
        <w:ind w:left="0" w:firstLineChars="200" w:firstLine="480"/>
        <w:rPr>
          <w:b w:val="0"/>
        </w:rPr>
      </w:pPr>
      <w:hyperlink w:anchor="_Toc8233" w:history="1">
        <w:r>
          <w:rPr>
            <w:b w:val="0"/>
            <w:kern w:val="44"/>
          </w:rPr>
          <w:t>1.3</w:t>
        </w:r>
        <w:r>
          <w:rPr>
            <w:b w:val="0"/>
            <w:kern w:val="44"/>
          </w:rPr>
          <w:t>环境影响评价工作过程</w:t>
        </w:r>
        <w:r>
          <w:rPr>
            <w:b w:val="0"/>
          </w:rPr>
          <w:tab/>
        </w:r>
        <w:r>
          <w:rPr>
            <w:b w:val="0"/>
          </w:rPr>
          <w:fldChar w:fldCharType="begin"/>
        </w:r>
        <w:r>
          <w:rPr>
            <w:b w:val="0"/>
          </w:rPr>
          <w:instrText xml:space="preserve"> PAGEREF _Toc8233 \h </w:instrText>
        </w:r>
        <w:r>
          <w:rPr>
            <w:b w:val="0"/>
          </w:rPr>
        </w:r>
        <w:r>
          <w:rPr>
            <w:b w:val="0"/>
          </w:rPr>
          <w:fldChar w:fldCharType="separate"/>
        </w:r>
        <w:r>
          <w:rPr>
            <w:b w:val="0"/>
          </w:rPr>
          <w:t>6</w:t>
        </w:r>
        <w:r>
          <w:rPr>
            <w:b w:val="0"/>
          </w:rPr>
          <w:fldChar w:fldCharType="end"/>
        </w:r>
      </w:hyperlink>
    </w:p>
    <w:p w14:paraId="4FA6C714" w14:textId="77777777" w:rsidR="00B14D53" w:rsidRDefault="00000000">
      <w:pPr>
        <w:pStyle w:val="TOC2"/>
        <w:tabs>
          <w:tab w:val="right" w:leader="dot" w:pos="8306"/>
        </w:tabs>
        <w:spacing w:before="0" w:line="240" w:lineRule="auto"/>
        <w:ind w:left="0" w:firstLineChars="200" w:firstLine="480"/>
        <w:rPr>
          <w:b w:val="0"/>
        </w:rPr>
      </w:pPr>
      <w:hyperlink w:anchor="_Toc28498" w:history="1">
        <w:r>
          <w:rPr>
            <w:b w:val="0"/>
            <w:kern w:val="44"/>
          </w:rPr>
          <w:t>1.4</w:t>
        </w:r>
        <w:r>
          <w:rPr>
            <w:b w:val="0"/>
            <w:kern w:val="44"/>
          </w:rPr>
          <w:t>分析判定相关情况</w:t>
        </w:r>
        <w:r>
          <w:rPr>
            <w:b w:val="0"/>
          </w:rPr>
          <w:tab/>
        </w:r>
        <w:r>
          <w:rPr>
            <w:b w:val="0"/>
          </w:rPr>
          <w:fldChar w:fldCharType="begin"/>
        </w:r>
        <w:r>
          <w:rPr>
            <w:b w:val="0"/>
          </w:rPr>
          <w:instrText xml:space="preserve"> PAGEREF _Toc28498 \h </w:instrText>
        </w:r>
        <w:r>
          <w:rPr>
            <w:b w:val="0"/>
          </w:rPr>
        </w:r>
        <w:r>
          <w:rPr>
            <w:b w:val="0"/>
          </w:rPr>
          <w:fldChar w:fldCharType="separate"/>
        </w:r>
        <w:r>
          <w:rPr>
            <w:b w:val="0"/>
          </w:rPr>
          <w:t>7</w:t>
        </w:r>
        <w:r>
          <w:rPr>
            <w:b w:val="0"/>
          </w:rPr>
          <w:fldChar w:fldCharType="end"/>
        </w:r>
      </w:hyperlink>
    </w:p>
    <w:p w14:paraId="4C302202" w14:textId="77777777" w:rsidR="00B14D53" w:rsidRDefault="00000000">
      <w:pPr>
        <w:pStyle w:val="TOC2"/>
        <w:tabs>
          <w:tab w:val="right" w:leader="dot" w:pos="8306"/>
        </w:tabs>
        <w:spacing w:before="0" w:line="240" w:lineRule="auto"/>
        <w:ind w:left="0" w:firstLineChars="200" w:firstLine="480"/>
        <w:rPr>
          <w:b w:val="0"/>
        </w:rPr>
      </w:pPr>
      <w:hyperlink w:anchor="_Toc28521" w:history="1">
        <w:r>
          <w:rPr>
            <w:b w:val="0"/>
            <w:kern w:val="44"/>
          </w:rPr>
          <w:t>1.5</w:t>
        </w:r>
        <w:r>
          <w:rPr>
            <w:b w:val="0"/>
            <w:kern w:val="44"/>
          </w:rPr>
          <w:t>关注的主要环境问题及主要环境影响</w:t>
        </w:r>
        <w:r>
          <w:rPr>
            <w:b w:val="0"/>
          </w:rPr>
          <w:tab/>
        </w:r>
        <w:r>
          <w:rPr>
            <w:b w:val="0"/>
          </w:rPr>
          <w:fldChar w:fldCharType="begin"/>
        </w:r>
        <w:r>
          <w:rPr>
            <w:b w:val="0"/>
          </w:rPr>
          <w:instrText xml:space="preserve"> PAGEREF _Toc28521 \h </w:instrText>
        </w:r>
        <w:r>
          <w:rPr>
            <w:b w:val="0"/>
          </w:rPr>
        </w:r>
        <w:r>
          <w:rPr>
            <w:b w:val="0"/>
          </w:rPr>
          <w:fldChar w:fldCharType="separate"/>
        </w:r>
        <w:r>
          <w:rPr>
            <w:b w:val="0"/>
          </w:rPr>
          <w:t>18</w:t>
        </w:r>
        <w:r>
          <w:rPr>
            <w:b w:val="0"/>
          </w:rPr>
          <w:fldChar w:fldCharType="end"/>
        </w:r>
      </w:hyperlink>
    </w:p>
    <w:p w14:paraId="6D957519" w14:textId="77777777" w:rsidR="00B14D53" w:rsidRDefault="00000000">
      <w:pPr>
        <w:pStyle w:val="TOC2"/>
        <w:tabs>
          <w:tab w:val="right" w:leader="dot" w:pos="8306"/>
        </w:tabs>
        <w:spacing w:before="0" w:line="240" w:lineRule="auto"/>
        <w:ind w:left="0" w:firstLineChars="200" w:firstLine="480"/>
        <w:rPr>
          <w:b w:val="0"/>
        </w:rPr>
      </w:pPr>
      <w:hyperlink w:anchor="_Toc22939" w:history="1">
        <w:r>
          <w:rPr>
            <w:b w:val="0"/>
            <w:kern w:val="44"/>
          </w:rPr>
          <w:t>1.6</w:t>
        </w:r>
        <w:r>
          <w:rPr>
            <w:b w:val="0"/>
            <w:kern w:val="44"/>
          </w:rPr>
          <w:t>环境影响评价主要结论</w:t>
        </w:r>
        <w:r>
          <w:rPr>
            <w:b w:val="0"/>
          </w:rPr>
          <w:tab/>
        </w:r>
        <w:r>
          <w:rPr>
            <w:b w:val="0"/>
          </w:rPr>
          <w:fldChar w:fldCharType="begin"/>
        </w:r>
        <w:r>
          <w:rPr>
            <w:b w:val="0"/>
          </w:rPr>
          <w:instrText xml:space="preserve"> PAGEREF _Toc22939 \h </w:instrText>
        </w:r>
        <w:r>
          <w:rPr>
            <w:b w:val="0"/>
          </w:rPr>
        </w:r>
        <w:r>
          <w:rPr>
            <w:b w:val="0"/>
          </w:rPr>
          <w:fldChar w:fldCharType="separate"/>
        </w:r>
        <w:r>
          <w:rPr>
            <w:b w:val="0"/>
          </w:rPr>
          <w:t>20</w:t>
        </w:r>
        <w:r>
          <w:rPr>
            <w:b w:val="0"/>
          </w:rPr>
          <w:fldChar w:fldCharType="end"/>
        </w:r>
      </w:hyperlink>
    </w:p>
    <w:p w14:paraId="19BA4023" w14:textId="77777777" w:rsidR="00B14D53" w:rsidRDefault="00000000">
      <w:pPr>
        <w:pStyle w:val="TOC1"/>
        <w:tabs>
          <w:tab w:val="clear" w:pos="8302"/>
          <w:tab w:val="right" w:leader="dot" w:pos="8306"/>
        </w:tabs>
        <w:spacing w:line="240" w:lineRule="auto"/>
        <w:rPr>
          <w:rFonts w:eastAsia="宋体" w:hAnsi="Times New Roman"/>
          <w:b w:val="0"/>
          <w:sz w:val="24"/>
          <w:szCs w:val="24"/>
        </w:rPr>
      </w:pPr>
      <w:hyperlink w:anchor="_Toc530" w:history="1">
        <w:r>
          <w:rPr>
            <w:rFonts w:eastAsia="宋体" w:hAnsi="Times New Roman"/>
            <w:b w:val="0"/>
            <w:sz w:val="24"/>
            <w:szCs w:val="24"/>
          </w:rPr>
          <w:t>2</w:t>
        </w:r>
        <w:r>
          <w:rPr>
            <w:rFonts w:eastAsia="宋体" w:hAnsi="Times New Roman"/>
            <w:b w:val="0"/>
            <w:sz w:val="24"/>
            <w:szCs w:val="24"/>
          </w:rPr>
          <w:t>总则</w:t>
        </w:r>
        <w:r>
          <w:rPr>
            <w:rFonts w:eastAsia="宋体" w:hAnsi="Times New Roman"/>
            <w:b w:val="0"/>
            <w:sz w:val="24"/>
            <w:szCs w:val="24"/>
          </w:rPr>
          <w:tab/>
        </w:r>
        <w:r>
          <w:rPr>
            <w:rFonts w:eastAsia="宋体" w:hAnsi="Times New Roman"/>
            <w:b w:val="0"/>
            <w:sz w:val="24"/>
            <w:szCs w:val="24"/>
          </w:rPr>
          <w:fldChar w:fldCharType="begin"/>
        </w:r>
        <w:r>
          <w:rPr>
            <w:rFonts w:eastAsia="宋体" w:hAnsi="Times New Roman"/>
            <w:b w:val="0"/>
            <w:sz w:val="24"/>
            <w:szCs w:val="24"/>
          </w:rPr>
          <w:instrText xml:space="preserve"> PAGEREF _Toc530 \h </w:instrText>
        </w:r>
        <w:r>
          <w:rPr>
            <w:rFonts w:eastAsia="宋体" w:hAnsi="Times New Roman"/>
            <w:b w:val="0"/>
            <w:sz w:val="24"/>
            <w:szCs w:val="24"/>
          </w:rPr>
        </w:r>
        <w:r>
          <w:rPr>
            <w:rFonts w:eastAsia="宋体" w:hAnsi="Times New Roman"/>
            <w:b w:val="0"/>
            <w:sz w:val="24"/>
            <w:szCs w:val="24"/>
          </w:rPr>
          <w:fldChar w:fldCharType="separate"/>
        </w:r>
        <w:r>
          <w:rPr>
            <w:rFonts w:eastAsia="宋体" w:hAnsi="Times New Roman"/>
            <w:b w:val="0"/>
            <w:sz w:val="24"/>
            <w:szCs w:val="24"/>
          </w:rPr>
          <w:t>21</w:t>
        </w:r>
        <w:r>
          <w:rPr>
            <w:rFonts w:eastAsia="宋体" w:hAnsi="Times New Roman"/>
            <w:b w:val="0"/>
            <w:sz w:val="24"/>
            <w:szCs w:val="24"/>
          </w:rPr>
          <w:fldChar w:fldCharType="end"/>
        </w:r>
      </w:hyperlink>
    </w:p>
    <w:p w14:paraId="193B4287" w14:textId="77777777" w:rsidR="00B14D53" w:rsidRDefault="00000000">
      <w:pPr>
        <w:pStyle w:val="TOC2"/>
        <w:tabs>
          <w:tab w:val="right" w:leader="dot" w:pos="8306"/>
        </w:tabs>
        <w:spacing w:before="0" w:line="240" w:lineRule="auto"/>
        <w:ind w:left="0" w:firstLineChars="200" w:firstLine="480"/>
        <w:rPr>
          <w:b w:val="0"/>
        </w:rPr>
      </w:pPr>
      <w:hyperlink w:anchor="_Toc8251" w:history="1">
        <w:r>
          <w:rPr>
            <w:b w:val="0"/>
          </w:rPr>
          <w:t>2.1</w:t>
        </w:r>
        <w:r>
          <w:rPr>
            <w:b w:val="0"/>
          </w:rPr>
          <w:t>编制依据</w:t>
        </w:r>
        <w:r>
          <w:rPr>
            <w:b w:val="0"/>
          </w:rPr>
          <w:tab/>
        </w:r>
        <w:r>
          <w:rPr>
            <w:b w:val="0"/>
          </w:rPr>
          <w:fldChar w:fldCharType="begin"/>
        </w:r>
        <w:r>
          <w:rPr>
            <w:b w:val="0"/>
          </w:rPr>
          <w:instrText xml:space="preserve"> PAGEREF _Toc8251 \h </w:instrText>
        </w:r>
        <w:r>
          <w:rPr>
            <w:b w:val="0"/>
          </w:rPr>
        </w:r>
        <w:r>
          <w:rPr>
            <w:b w:val="0"/>
          </w:rPr>
          <w:fldChar w:fldCharType="separate"/>
        </w:r>
        <w:r>
          <w:rPr>
            <w:b w:val="0"/>
          </w:rPr>
          <w:t>21</w:t>
        </w:r>
        <w:r>
          <w:rPr>
            <w:b w:val="0"/>
          </w:rPr>
          <w:fldChar w:fldCharType="end"/>
        </w:r>
      </w:hyperlink>
    </w:p>
    <w:p w14:paraId="1173F748" w14:textId="77777777" w:rsidR="00B14D53" w:rsidRDefault="00000000">
      <w:pPr>
        <w:pStyle w:val="TOC2"/>
        <w:tabs>
          <w:tab w:val="right" w:leader="dot" w:pos="8306"/>
        </w:tabs>
        <w:spacing w:before="0" w:line="240" w:lineRule="auto"/>
        <w:ind w:left="0" w:firstLineChars="200" w:firstLine="480"/>
        <w:rPr>
          <w:b w:val="0"/>
        </w:rPr>
      </w:pPr>
      <w:hyperlink w:anchor="_Toc22789" w:history="1">
        <w:r>
          <w:rPr>
            <w:b w:val="0"/>
          </w:rPr>
          <w:t>2.2</w:t>
        </w:r>
        <w:r>
          <w:rPr>
            <w:b w:val="0"/>
          </w:rPr>
          <w:t>环境影响因素识别与评价因子筛选</w:t>
        </w:r>
        <w:r>
          <w:rPr>
            <w:b w:val="0"/>
          </w:rPr>
          <w:tab/>
        </w:r>
        <w:r>
          <w:rPr>
            <w:b w:val="0"/>
          </w:rPr>
          <w:fldChar w:fldCharType="begin"/>
        </w:r>
        <w:r>
          <w:rPr>
            <w:b w:val="0"/>
          </w:rPr>
          <w:instrText xml:space="preserve"> PAGEREF _Toc22789 \h </w:instrText>
        </w:r>
        <w:r>
          <w:rPr>
            <w:b w:val="0"/>
          </w:rPr>
        </w:r>
        <w:r>
          <w:rPr>
            <w:b w:val="0"/>
          </w:rPr>
          <w:fldChar w:fldCharType="separate"/>
        </w:r>
        <w:r>
          <w:rPr>
            <w:b w:val="0"/>
          </w:rPr>
          <w:t>24</w:t>
        </w:r>
        <w:r>
          <w:rPr>
            <w:b w:val="0"/>
          </w:rPr>
          <w:fldChar w:fldCharType="end"/>
        </w:r>
      </w:hyperlink>
    </w:p>
    <w:p w14:paraId="28E24E83" w14:textId="77777777" w:rsidR="00B14D53" w:rsidRDefault="00000000">
      <w:pPr>
        <w:pStyle w:val="TOC2"/>
        <w:tabs>
          <w:tab w:val="right" w:leader="dot" w:pos="8306"/>
        </w:tabs>
        <w:spacing w:before="0" w:line="240" w:lineRule="auto"/>
        <w:ind w:left="0" w:firstLineChars="200" w:firstLine="480"/>
        <w:rPr>
          <w:b w:val="0"/>
        </w:rPr>
      </w:pPr>
      <w:hyperlink w:anchor="_Toc9987" w:history="1">
        <w:r>
          <w:rPr>
            <w:b w:val="0"/>
          </w:rPr>
          <w:t>2.3</w:t>
        </w:r>
        <w:r>
          <w:rPr>
            <w:b w:val="0"/>
          </w:rPr>
          <w:t>评价标准</w:t>
        </w:r>
        <w:r>
          <w:rPr>
            <w:b w:val="0"/>
          </w:rPr>
          <w:tab/>
        </w:r>
        <w:r>
          <w:rPr>
            <w:b w:val="0"/>
          </w:rPr>
          <w:fldChar w:fldCharType="begin"/>
        </w:r>
        <w:r>
          <w:rPr>
            <w:b w:val="0"/>
          </w:rPr>
          <w:instrText xml:space="preserve"> PAGEREF _Toc9987 \h </w:instrText>
        </w:r>
        <w:r>
          <w:rPr>
            <w:b w:val="0"/>
          </w:rPr>
        </w:r>
        <w:r>
          <w:rPr>
            <w:b w:val="0"/>
          </w:rPr>
          <w:fldChar w:fldCharType="separate"/>
        </w:r>
        <w:r>
          <w:rPr>
            <w:b w:val="0"/>
          </w:rPr>
          <w:t>25</w:t>
        </w:r>
        <w:r>
          <w:rPr>
            <w:b w:val="0"/>
          </w:rPr>
          <w:fldChar w:fldCharType="end"/>
        </w:r>
      </w:hyperlink>
    </w:p>
    <w:p w14:paraId="0CEACAC4" w14:textId="77777777" w:rsidR="00B14D53" w:rsidRDefault="00000000">
      <w:pPr>
        <w:pStyle w:val="TOC2"/>
        <w:tabs>
          <w:tab w:val="right" w:leader="dot" w:pos="8306"/>
        </w:tabs>
        <w:spacing w:before="0" w:line="240" w:lineRule="auto"/>
        <w:ind w:left="0" w:firstLineChars="200" w:firstLine="480"/>
        <w:rPr>
          <w:b w:val="0"/>
        </w:rPr>
      </w:pPr>
      <w:hyperlink w:anchor="_Toc32102" w:history="1">
        <w:r>
          <w:rPr>
            <w:b w:val="0"/>
          </w:rPr>
          <w:t>2.4</w:t>
        </w:r>
        <w:r>
          <w:rPr>
            <w:b w:val="0"/>
          </w:rPr>
          <w:t>评价工作等级</w:t>
        </w:r>
        <w:r>
          <w:rPr>
            <w:b w:val="0"/>
          </w:rPr>
          <w:tab/>
        </w:r>
        <w:r>
          <w:rPr>
            <w:b w:val="0"/>
          </w:rPr>
          <w:fldChar w:fldCharType="begin"/>
        </w:r>
        <w:r>
          <w:rPr>
            <w:b w:val="0"/>
          </w:rPr>
          <w:instrText xml:space="preserve"> PAGEREF _Toc32102 \h </w:instrText>
        </w:r>
        <w:r>
          <w:rPr>
            <w:b w:val="0"/>
          </w:rPr>
        </w:r>
        <w:r>
          <w:rPr>
            <w:b w:val="0"/>
          </w:rPr>
          <w:fldChar w:fldCharType="separate"/>
        </w:r>
        <w:r>
          <w:rPr>
            <w:b w:val="0"/>
          </w:rPr>
          <w:t>29</w:t>
        </w:r>
        <w:r>
          <w:rPr>
            <w:b w:val="0"/>
          </w:rPr>
          <w:fldChar w:fldCharType="end"/>
        </w:r>
      </w:hyperlink>
    </w:p>
    <w:p w14:paraId="26716625" w14:textId="77777777" w:rsidR="00B14D53" w:rsidRDefault="00000000">
      <w:pPr>
        <w:pStyle w:val="TOC2"/>
        <w:tabs>
          <w:tab w:val="right" w:leader="dot" w:pos="8306"/>
        </w:tabs>
        <w:spacing w:before="0" w:line="240" w:lineRule="auto"/>
        <w:ind w:left="0" w:firstLineChars="200" w:firstLine="480"/>
        <w:rPr>
          <w:b w:val="0"/>
        </w:rPr>
      </w:pPr>
      <w:hyperlink w:anchor="_Toc31959" w:history="1">
        <w:r>
          <w:rPr>
            <w:b w:val="0"/>
          </w:rPr>
          <w:t>2.5</w:t>
        </w:r>
        <w:r>
          <w:rPr>
            <w:b w:val="0"/>
          </w:rPr>
          <w:t>评价范围及评价时段</w:t>
        </w:r>
        <w:r>
          <w:rPr>
            <w:b w:val="0"/>
          </w:rPr>
          <w:tab/>
        </w:r>
        <w:r>
          <w:rPr>
            <w:b w:val="0"/>
          </w:rPr>
          <w:fldChar w:fldCharType="begin"/>
        </w:r>
        <w:r>
          <w:rPr>
            <w:b w:val="0"/>
          </w:rPr>
          <w:instrText xml:space="preserve"> PAGEREF _Toc31959 \h </w:instrText>
        </w:r>
        <w:r>
          <w:rPr>
            <w:b w:val="0"/>
          </w:rPr>
        </w:r>
        <w:r>
          <w:rPr>
            <w:b w:val="0"/>
          </w:rPr>
          <w:fldChar w:fldCharType="separate"/>
        </w:r>
        <w:r>
          <w:rPr>
            <w:b w:val="0"/>
          </w:rPr>
          <w:t>39</w:t>
        </w:r>
        <w:r>
          <w:rPr>
            <w:b w:val="0"/>
          </w:rPr>
          <w:fldChar w:fldCharType="end"/>
        </w:r>
      </w:hyperlink>
    </w:p>
    <w:p w14:paraId="676861F8" w14:textId="77777777" w:rsidR="00B14D53" w:rsidRDefault="00000000">
      <w:pPr>
        <w:pStyle w:val="TOC2"/>
        <w:tabs>
          <w:tab w:val="right" w:leader="dot" w:pos="8306"/>
        </w:tabs>
        <w:spacing w:before="0" w:line="240" w:lineRule="auto"/>
        <w:ind w:left="0" w:firstLineChars="200" w:firstLine="480"/>
        <w:rPr>
          <w:b w:val="0"/>
        </w:rPr>
      </w:pPr>
      <w:hyperlink w:anchor="_Toc27562" w:history="1">
        <w:r>
          <w:rPr>
            <w:b w:val="0"/>
          </w:rPr>
          <w:t>2.6</w:t>
        </w:r>
        <w:r>
          <w:rPr>
            <w:b w:val="0"/>
          </w:rPr>
          <w:t>环境保护目标</w:t>
        </w:r>
        <w:r>
          <w:rPr>
            <w:b w:val="0"/>
          </w:rPr>
          <w:tab/>
        </w:r>
        <w:r>
          <w:rPr>
            <w:b w:val="0"/>
          </w:rPr>
          <w:fldChar w:fldCharType="begin"/>
        </w:r>
        <w:r>
          <w:rPr>
            <w:b w:val="0"/>
          </w:rPr>
          <w:instrText xml:space="preserve"> PAGEREF _Toc27562 \h </w:instrText>
        </w:r>
        <w:r>
          <w:rPr>
            <w:b w:val="0"/>
          </w:rPr>
        </w:r>
        <w:r>
          <w:rPr>
            <w:b w:val="0"/>
          </w:rPr>
          <w:fldChar w:fldCharType="separate"/>
        </w:r>
        <w:r>
          <w:rPr>
            <w:b w:val="0"/>
          </w:rPr>
          <w:t>40</w:t>
        </w:r>
        <w:r>
          <w:rPr>
            <w:b w:val="0"/>
          </w:rPr>
          <w:fldChar w:fldCharType="end"/>
        </w:r>
      </w:hyperlink>
    </w:p>
    <w:p w14:paraId="2A8360B4" w14:textId="77777777" w:rsidR="00B14D53" w:rsidRDefault="00000000">
      <w:pPr>
        <w:pStyle w:val="TOC1"/>
        <w:tabs>
          <w:tab w:val="clear" w:pos="8302"/>
          <w:tab w:val="right" w:leader="dot" w:pos="8306"/>
        </w:tabs>
        <w:spacing w:line="240" w:lineRule="auto"/>
        <w:rPr>
          <w:rFonts w:eastAsia="宋体" w:hAnsi="Times New Roman"/>
          <w:b w:val="0"/>
          <w:sz w:val="24"/>
          <w:szCs w:val="24"/>
        </w:rPr>
      </w:pPr>
      <w:hyperlink w:anchor="_Toc14573" w:history="1">
        <w:r>
          <w:rPr>
            <w:rFonts w:eastAsia="宋体" w:hAnsi="Times New Roman"/>
            <w:b w:val="0"/>
            <w:sz w:val="24"/>
            <w:szCs w:val="24"/>
          </w:rPr>
          <w:t>3</w:t>
        </w:r>
        <w:r>
          <w:rPr>
            <w:rFonts w:eastAsia="宋体" w:hAnsi="Times New Roman"/>
            <w:b w:val="0"/>
            <w:sz w:val="24"/>
            <w:szCs w:val="24"/>
          </w:rPr>
          <w:t>建设项目工程分析</w:t>
        </w:r>
        <w:r>
          <w:rPr>
            <w:rFonts w:eastAsia="宋体" w:hAnsi="Times New Roman"/>
            <w:b w:val="0"/>
            <w:sz w:val="24"/>
            <w:szCs w:val="24"/>
          </w:rPr>
          <w:tab/>
        </w:r>
        <w:r>
          <w:rPr>
            <w:rFonts w:eastAsia="宋体" w:hAnsi="Times New Roman"/>
            <w:b w:val="0"/>
            <w:sz w:val="24"/>
            <w:szCs w:val="24"/>
          </w:rPr>
          <w:fldChar w:fldCharType="begin"/>
        </w:r>
        <w:r>
          <w:rPr>
            <w:rFonts w:eastAsia="宋体" w:hAnsi="Times New Roman"/>
            <w:b w:val="0"/>
            <w:sz w:val="24"/>
            <w:szCs w:val="24"/>
          </w:rPr>
          <w:instrText xml:space="preserve"> PAGEREF _Toc14573 \h </w:instrText>
        </w:r>
        <w:r>
          <w:rPr>
            <w:rFonts w:eastAsia="宋体" w:hAnsi="Times New Roman"/>
            <w:b w:val="0"/>
            <w:sz w:val="24"/>
            <w:szCs w:val="24"/>
          </w:rPr>
        </w:r>
        <w:r>
          <w:rPr>
            <w:rFonts w:eastAsia="宋体" w:hAnsi="Times New Roman"/>
            <w:b w:val="0"/>
            <w:sz w:val="24"/>
            <w:szCs w:val="24"/>
          </w:rPr>
          <w:fldChar w:fldCharType="separate"/>
        </w:r>
        <w:r>
          <w:rPr>
            <w:rFonts w:eastAsia="宋体" w:hAnsi="Times New Roman"/>
            <w:b w:val="0"/>
            <w:sz w:val="24"/>
            <w:szCs w:val="24"/>
          </w:rPr>
          <w:t>43</w:t>
        </w:r>
        <w:r>
          <w:rPr>
            <w:rFonts w:eastAsia="宋体" w:hAnsi="Times New Roman"/>
            <w:b w:val="0"/>
            <w:sz w:val="24"/>
            <w:szCs w:val="24"/>
          </w:rPr>
          <w:fldChar w:fldCharType="end"/>
        </w:r>
      </w:hyperlink>
    </w:p>
    <w:p w14:paraId="0D21ABAA" w14:textId="77777777" w:rsidR="00B14D53" w:rsidRDefault="00000000">
      <w:pPr>
        <w:pStyle w:val="TOC2"/>
        <w:tabs>
          <w:tab w:val="right" w:leader="dot" w:pos="8306"/>
        </w:tabs>
        <w:spacing w:before="0" w:line="240" w:lineRule="auto"/>
        <w:ind w:left="0" w:firstLineChars="200" w:firstLine="480"/>
        <w:rPr>
          <w:b w:val="0"/>
        </w:rPr>
      </w:pPr>
      <w:hyperlink w:anchor="_Toc8287" w:history="1">
        <w:r>
          <w:rPr>
            <w:b w:val="0"/>
          </w:rPr>
          <w:t>3.1</w:t>
        </w:r>
        <w:r>
          <w:rPr>
            <w:b w:val="0"/>
          </w:rPr>
          <w:t>项目概况</w:t>
        </w:r>
        <w:r>
          <w:rPr>
            <w:b w:val="0"/>
          </w:rPr>
          <w:tab/>
        </w:r>
        <w:r>
          <w:rPr>
            <w:b w:val="0"/>
          </w:rPr>
          <w:fldChar w:fldCharType="begin"/>
        </w:r>
        <w:r>
          <w:rPr>
            <w:b w:val="0"/>
          </w:rPr>
          <w:instrText xml:space="preserve"> PAGEREF _Toc8287 \h </w:instrText>
        </w:r>
        <w:r>
          <w:rPr>
            <w:b w:val="0"/>
          </w:rPr>
        </w:r>
        <w:r>
          <w:rPr>
            <w:b w:val="0"/>
          </w:rPr>
          <w:fldChar w:fldCharType="separate"/>
        </w:r>
        <w:r>
          <w:rPr>
            <w:b w:val="0"/>
          </w:rPr>
          <w:t>43</w:t>
        </w:r>
        <w:r>
          <w:rPr>
            <w:b w:val="0"/>
          </w:rPr>
          <w:fldChar w:fldCharType="end"/>
        </w:r>
      </w:hyperlink>
    </w:p>
    <w:p w14:paraId="5FC35D2A" w14:textId="77777777" w:rsidR="00B14D53" w:rsidRDefault="00000000">
      <w:pPr>
        <w:pStyle w:val="TOC2"/>
        <w:tabs>
          <w:tab w:val="right" w:leader="dot" w:pos="8306"/>
        </w:tabs>
        <w:spacing w:before="0" w:line="240" w:lineRule="auto"/>
        <w:ind w:left="0" w:firstLineChars="200" w:firstLine="480"/>
        <w:rPr>
          <w:b w:val="0"/>
        </w:rPr>
      </w:pPr>
      <w:hyperlink w:anchor="_Toc26375" w:history="1">
        <w:r>
          <w:rPr>
            <w:b w:val="0"/>
          </w:rPr>
          <w:t>3.2</w:t>
        </w:r>
        <w:r>
          <w:rPr>
            <w:b w:val="0"/>
          </w:rPr>
          <w:t>影响因素分析</w:t>
        </w:r>
        <w:r>
          <w:rPr>
            <w:b w:val="0"/>
          </w:rPr>
          <w:tab/>
        </w:r>
        <w:r>
          <w:rPr>
            <w:b w:val="0"/>
          </w:rPr>
          <w:fldChar w:fldCharType="begin"/>
        </w:r>
        <w:r>
          <w:rPr>
            <w:b w:val="0"/>
          </w:rPr>
          <w:instrText xml:space="preserve"> PAGEREF _Toc26375 \h </w:instrText>
        </w:r>
        <w:r>
          <w:rPr>
            <w:b w:val="0"/>
          </w:rPr>
        </w:r>
        <w:r>
          <w:rPr>
            <w:b w:val="0"/>
          </w:rPr>
          <w:fldChar w:fldCharType="separate"/>
        </w:r>
        <w:r>
          <w:rPr>
            <w:b w:val="0"/>
          </w:rPr>
          <w:t>53</w:t>
        </w:r>
        <w:r>
          <w:rPr>
            <w:b w:val="0"/>
          </w:rPr>
          <w:fldChar w:fldCharType="end"/>
        </w:r>
      </w:hyperlink>
    </w:p>
    <w:p w14:paraId="64DA0E3D" w14:textId="77777777" w:rsidR="00B14D53" w:rsidRDefault="00000000">
      <w:pPr>
        <w:pStyle w:val="TOC2"/>
        <w:tabs>
          <w:tab w:val="right" w:leader="dot" w:pos="8306"/>
        </w:tabs>
        <w:spacing w:before="0" w:line="240" w:lineRule="auto"/>
        <w:ind w:left="0" w:firstLineChars="200" w:firstLine="480"/>
        <w:rPr>
          <w:b w:val="0"/>
        </w:rPr>
      </w:pPr>
      <w:hyperlink w:anchor="_Toc7169" w:history="1">
        <w:r>
          <w:rPr>
            <w:b w:val="0"/>
          </w:rPr>
          <w:t>3.3</w:t>
        </w:r>
        <w:r>
          <w:rPr>
            <w:b w:val="0"/>
          </w:rPr>
          <w:t>污染源源强核算</w:t>
        </w:r>
        <w:r>
          <w:rPr>
            <w:b w:val="0"/>
          </w:rPr>
          <w:tab/>
        </w:r>
        <w:r>
          <w:rPr>
            <w:b w:val="0"/>
          </w:rPr>
          <w:fldChar w:fldCharType="begin"/>
        </w:r>
        <w:r>
          <w:rPr>
            <w:b w:val="0"/>
          </w:rPr>
          <w:instrText xml:space="preserve"> PAGEREF _Toc7169 \h </w:instrText>
        </w:r>
        <w:r>
          <w:rPr>
            <w:b w:val="0"/>
          </w:rPr>
        </w:r>
        <w:r>
          <w:rPr>
            <w:b w:val="0"/>
          </w:rPr>
          <w:fldChar w:fldCharType="separate"/>
        </w:r>
        <w:r>
          <w:rPr>
            <w:b w:val="0"/>
          </w:rPr>
          <w:t>60</w:t>
        </w:r>
        <w:r>
          <w:rPr>
            <w:b w:val="0"/>
          </w:rPr>
          <w:fldChar w:fldCharType="end"/>
        </w:r>
      </w:hyperlink>
    </w:p>
    <w:p w14:paraId="1C612F47" w14:textId="77777777" w:rsidR="00B14D53" w:rsidRDefault="00000000">
      <w:pPr>
        <w:pStyle w:val="TOC2"/>
        <w:tabs>
          <w:tab w:val="right" w:leader="dot" w:pos="8306"/>
        </w:tabs>
        <w:spacing w:before="0" w:line="240" w:lineRule="auto"/>
        <w:ind w:left="0" w:firstLineChars="200" w:firstLine="480"/>
        <w:rPr>
          <w:b w:val="0"/>
        </w:rPr>
      </w:pPr>
      <w:hyperlink w:anchor="_Toc8813" w:history="1">
        <w:r>
          <w:rPr>
            <w:b w:val="0"/>
          </w:rPr>
          <w:t>3.4</w:t>
        </w:r>
        <w:r>
          <w:rPr>
            <w:b w:val="0"/>
          </w:rPr>
          <w:t>清洁生产</w:t>
        </w:r>
        <w:r>
          <w:rPr>
            <w:b w:val="0"/>
          </w:rPr>
          <w:tab/>
        </w:r>
        <w:r>
          <w:rPr>
            <w:b w:val="0"/>
          </w:rPr>
          <w:fldChar w:fldCharType="begin"/>
        </w:r>
        <w:r>
          <w:rPr>
            <w:b w:val="0"/>
          </w:rPr>
          <w:instrText xml:space="preserve"> PAGEREF _Toc8813 \h </w:instrText>
        </w:r>
        <w:r>
          <w:rPr>
            <w:b w:val="0"/>
          </w:rPr>
        </w:r>
        <w:r>
          <w:rPr>
            <w:b w:val="0"/>
          </w:rPr>
          <w:fldChar w:fldCharType="separate"/>
        </w:r>
        <w:r>
          <w:rPr>
            <w:b w:val="0"/>
          </w:rPr>
          <w:t>74</w:t>
        </w:r>
        <w:r>
          <w:rPr>
            <w:b w:val="0"/>
          </w:rPr>
          <w:fldChar w:fldCharType="end"/>
        </w:r>
      </w:hyperlink>
    </w:p>
    <w:p w14:paraId="575F6699" w14:textId="77777777" w:rsidR="00B14D53" w:rsidRDefault="00000000">
      <w:pPr>
        <w:pStyle w:val="TOC1"/>
        <w:tabs>
          <w:tab w:val="clear" w:pos="8302"/>
          <w:tab w:val="right" w:leader="dot" w:pos="8306"/>
        </w:tabs>
        <w:spacing w:line="240" w:lineRule="auto"/>
        <w:rPr>
          <w:rFonts w:eastAsia="宋体" w:hAnsi="Times New Roman"/>
          <w:b w:val="0"/>
          <w:sz w:val="24"/>
          <w:szCs w:val="24"/>
        </w:rPr>
      </w:pPr>
      <w:hyperlink w:anchor="_Toc7823" w:history="1">
        <w:r>
          <w:rPr>
            <w:rFonts w:eastAsia="宋体" w:hAnsi="Times New Roman"/>
            <w:b w:val="0"/>
            <w:sz w:val="24"/>
            <w:szCs w:val="24"/>
          </w:rPr>
          <w:t>4</w:t>
        </w:r>
        <w:r>
          <w:rPr>
            <w:rFonts w:eastAsia="宋体" w:hAnsi="Times New Roman"/>
            <w:b w:val="0"/>
            <w:sz w:val="24"/>
            <w:szCs w:val="24"/>
          </w:rPr>
          <w:t>环境现状调查与评价</w:t>
        </w:r>
        <w:r>
          <w:rPr>
            <w:rFonts w:eastAsia="宋体" w:hAnsi="Times New Roman"/>
            <w:b w:val="0"/>
            <w:sz w:val="24"/>
            <w:szCs w:val="24"/>
          </w:rPr>
          <w:tab/>
        </w:r>
        <w:r>
          <w:rPr>
            <w:rFonts w:eastAsia="宋体" w:hAnsi="Times New Roman"/>
            <w:b w:val="0"/>
            <w:sz w:val="24"/>
            <w:szCs w:val="24"/>
          </w:rPr>
          <w:fldChar w:fldCharType="begin"/>
        </w:r>
        <w:r>
          <w:rPr>
            <w:rFonts w:eastAsia="宋体" w:hAnsi="Times New Roman"/>
            <w:b w:val="0"/>
            <w:sz w:val="24"/>
            <w:szCs w:val="24"/>
          </w:rPr>
          <w:instrText xml:space="preserve"> PAGEREF _Toc7823 \h </w:instrText>
        </w:r>
        <w:r>
          <w:rPr>
            <w:rFonts w:eastAsia="宋体" w:hAnsi="Times New Roman"/>
            <w:b w:val="0"/>
            <w:sz w:val="24"/>
            <w:szCs w:val="24"/>
          </w:rPr>
        </w:r>
        <w:r>
          <w:rPr>
            <w:rFonts w:eastAsia="宋体" w:hAnsi="Times New Roman"/>
            <w:b w:val="0"/>
            <w:sz w:val="24"/>
            <w:szCs w:val="24"/>
          </w:rPr>
          <w:fldChar w:fldCharType="separate"/>
        </w:r>
        <w:r>
          <w:rPr>
            <w:rFonts w:eastAsia="宋体" w:hAnsi="Times New Roman"/>
            <w:b w:val="0"/>
            <w:sz w:val="24"/>
            <w:szCs w:val="24"/>
          </w:rPr>
          <w:t>79</w:t>
        </w:r>
        <w:r>
          <w:rPr>
            <w:rFonts w:eastAsia="宋体" w:hAnsi="Times New Roman"/>
            <w:b w:val="0"/>
            <w:sz w:val="24"/>
            <w:szCs w:val="24"/>
          </w:rPr>
          <w:fldChar w:fldCharType="end"/>
        </w:r>
      </w:hyperlink>
    </w:p>
    <w:p w14:paraId="01EFD114" w14:textId="77777777" w:rsidR="00B14D53" w:rsidRDefault="00000000">
      <w:pPr>
        <w:pStyle w:val="TOC2"/>
        <w:tabs>
          <w:tab w:val="right" w:leader="dot" w:pos="8306"/>
        </w:tabs>
        <w:spacing w:before="0" w:line="240" w:lineRule="auto"/>
        <w:ind w:left="0" w:firstLineChars="200" w:firstLine="480"/>
        <w:rPr>
          <w:b w:val="0"/>
        </w:rPr>
      </w:pPr>
      <w:hyperlink w:anchor="_Toc15785" w:history="1">
        <w:r>
          <w:rPr>
            <w:b w:val="0"/>
          </w:rPr>
          <w:t>4.1</w:t>
        </w:r>
        <w:r>
          <w:rPr>
            <w:b w:val="0"/>
          </w:rPr>
          <w:t>自然环境概况</w:t>
        </w:r>
        <w:r>
          <w:rPr>
            <w:b w:val="0"/>
          </w:rPr>
          <w:tab/>
        </w:r>
        <w:r>
          <w:rPr>
            <w:b w:val="0"/>
          </w:rPr>
          <w:fldChar w:fldCharType="begin"/>
        </w:r>
        <w:r>
          <w:rPr>
            <w:b w:val="0"/>
          </w:rPr>
          <w:instrText xml:space="preserve"> PAGEREF _Toc15785 \h </w:instrText>
        </w:r>
        <w:r>
          <w:rPr>
            <w:b w:val="0"/>
          </w:rPr>
        </w:r>
        <w:r>
          <w:rPr>
            <w:b w:val="0"/>
          </w:rPr>
          <w:fldChar w:fldCharType="separate"/>
        </w:r>
        <w:r>
          <w:rPr>
            <w:b w:val="0"/>
          </w:rPr>
          <w:t>79</w:t>
        </w:r>
        <w:r>
          <w:rPr>
            <w:b w:val="0"/>
          </w:rPr>
          <w:fldChar w:fldCharType="end"/>
        </w:r>
      </w:hyperlink>
    </w:p>
    <w:p w14:paraId="6834A968" w14:textId="77777777" w:rsidR="00B14D53" w:rsidRDefault="00000000">
      <w:pPr>
        <w:pStyle w:val="TOC2"/>
        <w:tabs>
          <w:tab w:val="right" w:leader="dot" w:pos="8306"/>
        </w:tabs>
        <w:spacing w:before="0" w:line="240" w:lineRule="auto"/>
        <w:ind w:left="0" w:firstLineChars="200" w:firstLine="480"/>
        <w:rPr>
          <w:b w:val="0"/>
        </w:rPr>
      </w:pPr>
      <w:hyperlink w:anchor="_Toc8389" w:history="1">
        <w:r>
          <w:rPr>
            <w:b w:val="0"/>
          </w:rPr>
          <w:t>4.2</w:t>
        </w:r>
        <w:r>
          <w:rPr>
            <w:b w:val="0"/>
          </w:rPr>
          <w:t>环境质量现状调查</w:t>
        </w:r>
        <w:r>
          <w:rPr>
            <w:b w:val="0"/>
          </w:rPr>
          <w:tab/>
        </w:r>
        <w:r>
          <w:rPr>
            <w:b w:val="0"/>
          </w:rPr>
          <w:fldChar w:fldCharType="begin"/>
        </w:r>
        <w:r>
          <w:rPr>
            <w:b w:val="0"/>
          </w:rPr>
          <w:instrText xml:space="preserve"> PAGEREF _Toc8389 \h </w:instrText>
        </w:r>
        <w:r>
          <w:rPr>
            <w:b w:val="0"/>
          </w:rPr>
        </w:r>
        <w:r>
          <w:rPr>
            <w:b w:val="0"/>
          </w:rPr>
          <w:fldChar w:fldCharType="separate"/>
        </w:r>
        <w:r>
          <w:rPr>
            <w:b w:val="0"/>
          </w:rPr>
          <w:t>86</w:t>
        </w:r>
        <w:r>
          <w:rPr>
            <w:b w:val="0"/>
          </w:rPr>
          <w:fldChar w:fldCharType="end"/>
        </w:r>
      </w:hyperlink>
    </w:p>
    <w:p w14:paraId="4753DD04" w14:textId="77777777" w:rsidR="00B14D53" w:rsidRDefault="00000000">
      <w:pPr>
        <w:pStyle w:val="TOC2"/>
        <w:tabs>
          <w:tab w:val="right" w:leader="dot" w:pos="8306"/>
        </w:tabs>
        <w:spacing w:before="0" w:line="240" w:lineRule="auto"/>
        <w:ind w:left="0" w:firstLineChars="200" w:firstLine="480"/>
        <w:rPr>
          <w:b w:val="0"/>
        </w:rPr>
      </w:pPr>
      <w:hyperlink w:anchor="_Toc1380" w:history="1">
        <w:r>
          <w:rPr>
            <w:b w:val="0"/>
          </w:rPr>
          <w:t>4.3</w:t>
        </w:r>
        <w:r>
          <w:rPr>
            <w:b w:val="0"/>
          </w:rPr>
          <w:t>区域污染源调查</w:t>
        </w:r>
        <w:r>
          <w:rPr>
            <w:b w:val="0"/>
          </w:rPr>
          <w:tab/>
        </w:r>
        <w:r>
          <w:rPr>
            <w:b w:val="0"/>
          </w:rPr>
          <w:fldChar w:fldCharType="begin"/>
        </w:r>
        <w:r>
          <w:rPr>
            <w:b w:val="0"/>
          </w:rPr>
          <w:instrText xml:space="preserve"> PAGEREF _Toc1380 \h </w:instrText>
        </w:r>
        <w:r>
          <w:rPr>
            <w:b w:val="0"/>
          </w:rPr>
        </w:r>
        <w:r>
          <w:rPr>
            <w:b w:val="0"/>
          </w:rPr>
          <w:fldChar w:fldCharType="separate"/>
        </w:r>
        <w:r>
          <w:rPr>
            <w:b w:val="0"/>
          </w:rPr>
          <w:t>99</w:t>
        </w:r>
        <w:r>
          <w:rPr>
            <w:b w:val="0"/>
          </w:rPr>
          <w:fldChar w:fldCharType="end"/>
        </w:r>
      </w:hyperlink>
    </w:p>
    <w:p w14:paraId="7752B1F3" w14:textId="77777777" w:rsidR="00B14D53" w:rsidRDefault="00000000">
      <w:pPr>
        <w:pStyle w:val="TOC2"/>
        <w:tabs>
          <w:tab w:val="right" w:leader="dot" w:pos="8306"/>
        </w:tabs>
        <w:spacing w:before="0" w:line="240" w:lineRule="auto"/>
        <w:ind w:left="0" w:firstLineChars="200" w:firstLine="480"/>
        <w:rPr>
          <w:b w:val="0"/>
        </w:rPr>
      </w:pPr>
      <w:hyperlink w:anchor="_Toc34" w:history="1">
        <w:r>
          <w:rPr>
            <w:b w:val="0"/>
          </w:rPr>
          <w:t>4.4</w:t>
        </w:r>
        <w:r>
          <w:rPr>
            <w:b w:val="0"/>
          </w:rPr>
          <w:t>环境保护目标调查</w:t>
        </w:r>
        <w:r>
          <w:rPr>
            <w:b w:val="0"/>
          </w:rPr>
          <w:tab/>
        </w:r>
        <w:r>
          <w:rPr>
            <w:b w:val="0"/>
          </w:rPr>
          <w:fldChar w:fldCharType="begin"/>
        </w:r>
        <w:r>
          <w:rPr>
            <w:b w:val="0"/>
          </w:rPr>
          <w:instrText xml:space="preserve"> PAGEREF _Toc34 \h </w:instrText>
        </w:r>
        <w:r>
          <w:rPr>
            <w:b w:val="0"/>
          </w:rPr>
        </w:r>
        <w:r>
          <w:rPr>
            <w:b w:val="0"/>
          </w:rPr>
          <w:fldChar w:fldCharType="separate"/>
        </w:r>
        <w:r>
          <w:rPr>
            <w:b w:val="0"/>
          </w:rPr>
          <w:t>99</w:t>
        </w:r>
        <w:r>
          <w:rPr>
            <w:b w:val="0"/>
          </w:rPr>
          <w:fldChar w:fldCharType="end"/>
        </w:r>
      </w:hyperlink>
    </w:p>
    <w:p w14:paraId="3A81ACC4" w14:textId="77777777" w:rsidR="00B14D53" w:rsidRDefault="00000000">
      <w:pPr>
        <w:pStyle w:val="TOC1"/>
        <w:tabs>
          <w:tab w:val="clear" w:pos="8302"/>
          <w:tab w:val="right" w:leader="dot" w:pos="8306"/>
        </w:tabs>
        <w:spacing w:line="240" w:lineRule="auto"/>
        <w:rPr>
          <w:rFonts w:eastAsia="宋体" w:hAnsi="Times New Roman"/>
          <w:b w:val="0"/>
          <w:sz w:val="24"/>
          <w:szCs w:val="24"/>
        </w:rPr>
      </w:pPr>
      <w:hyperlink w:anchor="_Toc24264" w:history="1">
        <w:r>
          <w:rPr>
            <w:rFonts w:eastAsia="宋体" w:hAnsi="Times New Roman"/>
            <w:b w:val="0"/>
            <w:sz w:val="24"/>
            <w:szCs w:val="24"/>
          </w:rPr>
          <w:t>5</w:t>
        </w:r>
        <w:r>
          <w:rPr>
            <w:rFonts w:eastAsia="宋体" w:hAnsi="Times New Roman"/>
            <w:b w:val="0"/>
            <w:sz w:val="24"/>
            <w:szCs w:val="24"/>
          </w:rPr>
          <w:t>环境影响预测与评价</w:t>
        </w:r>
        <w:r>
          <w:rPr>
            <w:rFonts w:eastAsia="宋体" w:hAnsi="Times New Roman"/>
            <w:b w:val="0"/>
            <w:sz w:val="24"/>
            <w:szCs w:val="24"/>
          </w:rPr>
          <w:tab/>
        </w:r>
        <w:r>
          <w:rPr>
            <w:rFonts w:eastAsia="宋体" w:hAnsi="Times New Roman"/>
            <w:b w:val="0"/>
            <w:sz w:val="24"/>
            <w:szCs w:val="24"/>
          </w:rPr>
          <w:fldChar w:fldCharType="begin"/>
        </w:r>
        <w:r>
          <w:rPr>
            <w:rFonts w:eastAsia="宋体" w:hAnsi="Times New Roman"/>
            <w:b w:val="0"/>
            <w:sz w:val="24"/>
            <w:szCs w:val="24"/>
          </w:rPr>
          <w:instrText xml:space="preserve"> PAGEREF _Toc24264 \h </w:instrText>
        </w:r>
        <w:r>
          <w:rPr>
            <w:rFonts w:eastAsia="宋体" w:hAnsi="Times New Roman"/>
            <w:b w:val="0"/>
            <w:sz w:val="24"/>
            <w:szCs w:val="24"/>
          </w:rPr>
        </w:r>
        <w:r>
          <w:rPr>
            <w:rFonts w:eastAsia="宋体" w:hAnsi="Times New Roman"/>
            <w:b w:val="0"/>
            <w:sz w:val="24"/>
            <w:szCs w:val="24"/>
          </w:rPr>
          <w:fldChar w:fldCharType="separate"/>
        </w:r>
        <w:r>
          <w:rPr>
            <w:rFonts w:eastAsia="宋体" w:hAnsi="Times New Roman"/>
            <w:b w:val="0"/>
            <w:sz w:val="24"/>
            <w:szCs w:val="24"/>
          </w:rPr>
          <w:t>102</w:t>
        </w:r>
        <w:r>
          <w:rPr>
            <w:rFonts w:eastAsia="宋体" w:hAnsi="Times New Roman"/>
            <w:b w:val="0"/>
            <w:sz w:val="24"/>
            <w:szCs w:val="24"/>
          </w:rPr>
          <w:fldChar w:fldCharType="end"/>
        </w:r>
      </w:hyperlink>
    </w:p>
    <w:p w14:paraId="1BCDADDA" w14:textId="77777777" w:rsidR="00B14D53" w:rsidRDefault="00000000">
      <w:pPr>
        <w:pStyle w:val="TOC2"/>
        <w:tabs>
          <w:tab w:val="right" w:leader="dot" w:pos="8306"/>
        </w:tabs>
        <w:spacing w:before="0" w:line="240" w:lineRule="auto"/>
        <w:ind w:left="0" w:firstLineChars="200" w:firstLine="480"/>
        <w:rPr>
          <w:b w:val="0"/>
        </w:rPr>
      </w:pPr>
      <w:hyperlink w:anchor="_Toc15397" w:history="1">
        <w:r>
          <w:rPr>
            <w:b w:val="0"/>
          </w:rPr>
          <w:t>5.1</w:t>
        </w:r>
        <w:r>
          <w:rPr>
            <w:b w:val="0"/>
          </w:rPr>
          <w:t>施工期环境影响分析</w:t>
        </w:r>
        <w:r>
          <w:rPr>
            <w:b w:val="0"/>
          </w:rPr>
          <w:tab/>
        </w:r>
        <w:r>
          <w:rPr>
            <w:b w:val="0"/>
          </w:rPr>
          <w:fldChar w:fldCharType="begin"/>
        </w:r>
        <w:r>
          <w:rPr>
            <w:b w:val="0"/>
          </w:rPr>
          <w:instrText xml:space="preserve"> PAGEREF _Toc15397 \h </w:instrText>
        </w:r>
        <w:r>
          <w:rPr>
            <w:b w:val="0"/>
          </w:rPr>
        </w:r>
        <w:r>
          <w:rPr>
            <w:b w:val="0"/>
          </w:rPr>
          <w:fldChar w:fldCharType="separate"/>
        </w:r>
        <w:r>
          <w:rPr>
            <w:b w:val="0"/>
          </w:rPr>
          <w:t>102</w:t>
        </w:r>
        <w:r>
          <w:rPr>
            <w:b w:val="0"/>
          </w:rPr>
          <w:fldChar w:fldCharType="end"/>
        </w:r>
      </w:hyperlink>
    </w:p>
    <w:p w14:paraId="3C934515" w14:textId="77777777" w:rsidR="00B14D53" w:rsidRDefault="00000000">
      <w:pPr>
        <w:pStyle w:val="TOC2"/>
        <w:tabs>
          <w:tab w:val="right" w:leader="dot" w:pos="8306"/>
        </w:tabs>
        <w:spacing w:before="0" w:line="240" w:lineRule="auto"/>
        <w:ind w:left="0" w:firstLineChars="200" w:firstLine="480"/>
        <w:rPr>
          <w:b w:val="0"/>
        </w:rPr>
      </w:pPr>
      <w:hyperlink w:anchor="_Toc18004" w:history="1">
        <w:r>
          <w:rPr>
            <w:b w:val="0"/>
          </w:rPr>
          <w:t>5.2</w:t>
        </w:r>
        <w:r>
          <w:rPr>
            <w:b w:val="0"/>
          </w:rPr>
          <w:t>运行期环境影响预测与评价</w:t>
        </w:r>
        <w:r>
          <w:rPr>
            <w:b w:val="0"/>
          </w:rPr>
          <w:tab/>
        </w:r>
        <w:r>
          <w:rPr>
            <w:b w:val="0"/>
          </w:rPr>
          <w:fldChar w:fldCharType="begin"/>
        </w:r>
        <w:r>
          <w:rPr>
            <w:b w:val="0"/>
          </w:rPr>
          <w:instrText xml:space="preserve"> PAGEREF _Toc18004 \h </w:instrText>
        </w:r>
        <w:r>
          <w:rPr>
            <w:b w:val="0"/>
          </w:rPr>
        </w:r>
        <w:r>
          <w:rPr>
            <w:b w:val="0"/>
          </w:rPr>
          <w:fldChar w:fldCharType="separate"/>
        </w:r>
        <w:r>
          <w:rPr>
            <w:b w:val="0"/>
          </w:rPr>
          <w:t>106</w:t>
        </w:r>
        <w:r>
          <w:rPr>
            <w:b w:val="0"/>
          </w:rPr>
          <w:fldChar w:fldCharType="end"/>
        </w:r>
      </w:hyperlink>
    </w:p>
    <w:p w14:paraId="78CE1C01" w14:textId="77777777" w:rsidR="00B14D53" w:rsidRDefault="00000000">
      <w:pPr>
        <w:pStyle w:val="TOC1"/>
        <w:tabs>
          <w:tab w:val="clear" w:pos="8302"/>
          <w:tab w:val="right" w:leader="dot" w:pos="8306"/>
        </w:tabs>
        <w:spacing w:line="240" w:lineRule="auto"/>
        <w:rPr>
          <w:rFonts w:eastAsia="宋体" w:hAnsi="Times New Roman"/>
          <w:b w:val="0"/>
          <w:sz w:val="24"/>
          <w:szCs w:val="24"/>
        </w:rPr>
      </w:pPr>
      <w:hyperlink w:anchor="_Toc22116" w:history="1">
        <w:r>
          <w:rPr>
            <w:rFonts w:eastAsia="宋体" w:hAnsi="Times New Roman"/>
            <w:b w:val="0"/>
            <w:sz w:val="24"/>
            <w:szCs w:val="24"/>
          </w:rPr>
          <w:t>6</w:t>
        </w:r>
        <w:r>
          <w:rPr>
            <w:rFonts w:eastAsia="宋体" w:hAnsi="Times New Roman"/>
            <w:b w:val="0"/>
            <w:sz w:val="24"/>
            <w:szCs w:val="24"/>
          </w:rPr>
          <w:t>环境保护措施及其可行性论证</w:t>
        </w:r>
        <w:r>
          <w:rPr>
            <w:rFonts w:eastAsia="宋体" w:hAnsi="Times New Roman"/>
            <w:b w:val="0"/>
            <w:sz w:val="24"/>
            <w:szCs w:val="24"/>
          </w:rPr>
          <w:tab/>
        </w:r>
        <w:r>
          <w:rPr>
            <w:rFonts w:eastAsia="宋体" w:hAnsi="Times New Roman"/>
            <w:b w:val="0"/>
            <w:sz w:val="24"/>
            <w:szCs w:val="24"/>
          </w:rPr>
          <w:fldChar w:fldCharType="begin"/>
        </w:r>
        <w:r>
          <w:rPr>
            <w:rFonts w:eastAsia="宋体" w:hAnsi="Times New Roman"/>
            <w:b w:val="0"/>
            <w:sz w:val="24"/>
            <w:szCs w:val="24"/>
          </w:rPr>
          <w:instrText xml:space="preserve"> PAGEREF _Toc22116 \h </w:instrText>
        </w:r>
        <w:r>
          <w:rPr>
            <w:rFonts w:eastAsia="宋体" w:hAnsi="Times New Roman"/>
            <w:b w:val="0"/>
            <w:sz w:val="24"/>
            <w:szCs w:val="24"/>
          </w:rPr>
        </w:r>
        <w:r>
          <w:rPr>
            <w:rFonts w:eastAsia="宋体" w:hAnsi="Times New Roman"/>
            <w:b w:val="0"/>
            <w:sz w:val="24"/>
            <w:szCs w:val="24"/>
          </w:rPr>
          <w:fldChar w:fldCharType="separate"/>
        </w:r>
        <w:r>
          <w:rPr>
            <w:rFonts w:eastAsia="宋体" w:hAnsi="Times New Roman"/>
            <w:b w:val="0"/>
            <w:sz w:val="24"/>
            <w:szCs w:val="24"/>
          </w:rPr>
          <w:t>136</w:t>
        </w:r>
        <w:r>
          <w:rPr>
            <w:rFonts w:eastAsia="宋体" w:hAnsi="Times New Roman"/>
            <w:b w:val="0"/>
            <w:sz w:val="24"/>
            <w:szCs w:val="24"/>
          </w:rPr>
          <w:fldChar w:fldCharType="end"/>
        </w:r>
      </w:hyperlink>
    </w:p>
    <w:p w14:paraId="1615495A" w14:textId="77777777" w:rsidR="00B14D53" w:rsidRDefault="00000000">
      <w:pPr>
        <w:pStyle w:val="TOC2"/>
        <w:tabs>
          <w:tab w:val="right" w:leader="dot" w:pos="8306"/>
        </w:tabs>
        <w:spacing w:before="0" w:line="240" w:lineRule="auto"/>
        <w:ind w:left="0" w:firstLineChars="200" w:firstLine="480"/>
        <w:rPr>
          <w:b w:val="0"/>
        </w:rPr>
      </w:pPr>
      <w:hyperlink w:anchor="_Toc6671" w:history="1">
        <w:r>
          <w:rPr>
            <w:b w:val="0"/>
          </w:rPr>
          <w:t>6.1</w:t>
        </w:r>
        <w:r>
          <w:rPr>
            <w:b w:val="0"/>
          </w:rPr>
          <w:t>施工期环境保护措施及其可行性论证</w:t>
        </w:r>
        <w:r>
          <w:rPr>
            <w:b w:val="0"/>
          </w:rPr>
          <w:tab/>
        </w:r>
        <w:r>
          <w:rPr>
            <w:b w:val="0"/>
          </w:rPr>
          <w:fldChar w:fldCharType="begin"/>
        </w:r>
        <w:r>
          <w:rPr>
            <w:b w:val="0"/>
          </w:rPr>
          <w:instrText xml:space="preserve"> PAGEREF _Toc6671 \h </w:instrText>
        </w:r>
        <w:r>
          <w:rPr>
            <w:b w:val="0"/>
          </w:rPr>
        </w:r>
        <w:r>
          <w:rPr>
            <w:b w:val="0"/>
          </w:rPr>
          <w:fldChar w:fldCharType="separate"/>
        </w:r>
        <w:r>
          <w:rPr>
            <w:b w:val="0"/>
          </w:rPr>
          <w:t>136</w:t>
        </w:r>
        <w:r>
          <w:rPr>
            <w:b w:val="0"/>
          </w:rPr>
          <w:fldChar w:fldCharType="end"/>
        </w:r>
      </w:hyperlink>
    </w:p>
    <w:p w14:paraId="49ABC641" w14:textId="77777777" w:rsidR="00B14D53" w:rsidRDefault="00000000">
      <w:pPr>
        <w:pStyle w:val="TOC2"/>
        <w:tabs>
          <w:tab w:val="right" w:leader="dot" w:pos="8306"/>
        </w:tabs>
        <w:spacing w:before="0" w:line="240" w:lineRule="auto"/>
        <w:ind w:left="0" w:firstLineChars="200" w:firstLine="480"/>
        <w:rPr>
          <w:b w:val="0"/>
        </w:rPr>
      </w:pPr>
      <w:hyperlink w:anchor="_Toc13418" w:history="1">
        <w:r>
          <w:rPr>
            <w:b w:val="0"/>
          </w:rPr>
          <w:t>6.2</w:t>
        </w:r>
        <w:r>
          <w:rPr>
            <w:b w:val="0"/>
          </w:rPr>
          <w:t>营运期环境保护措施及其可行性论证</w:t>
        </w:r>
        <w:r>
          <w:rPr>
            <w:b w:val="0"/>
          </w:rPr>
          <w:tab/>
        </w:r>
        <w:r>
          <w:rPr>
            <w:b w:val="0"/>
          </w:rPr>
          <w:fldChar w:fldCharType="begin"/>
        </w:r>
        <w:r>
          <w:rPr>
            <w:b w:val="0"/>
          </w:rPr>
          <w:instrText xml:space="preserve"> PAGEREF _Toc13418 \h </w:instrText>
        </w:r>
        <w:r>
          <w:rPr>
            <w:b w:val="0"/>
          </w:rPr>
        </w:r>
        <w:r>
          <w:rPr>
            <w:b w:val="0"/>
          </w:rPr>
          <w:fldChar w:fldCharType="separate"/>
        </w:r>
        <w:r>
          <w:rPr>
            <w:b w:val="0"/>
          </w:rPr>
          <w:t>138</w:t>
        </w:r>
        <w:r>
          <w:rPr>
            <w:b w:val="0"/>
          </w:rPr>
          <w:fldChar w:fldCharType="end"/>
        </w:r>
      </w:hyperlink>
    </w:p>
    <w:p w14:paraId="5DE18D2B" w14:textId="77777777" w:rsidR="00B14D53" w:rsidRDefault="00000000">
      <w:pPr>
        <w:pStyle w:val="TOC2"/>
        <w:tabs>
          <w:tab w:val="right" w:leader="dot" w:pos="8306"/>
        </w:tabs>
        <w:spacing w:before="0" w:line="240" w:lineRule="auto"/>
        <w:ind w:left="0" w:firstLineChars="200" w:firstLine="480"/>
        <w:rPr>
          <w:b w:val="0"/>
        </w:rPr>
      </w:pPr>
      <w:hyperlink w:anchor="_Toc12914" w:history="1">
        <w:r>
          <w:rPr>
            <w:b w:val="0"/>
          </w:rPr>
          <w:t>6.3</w:t>
        </w:r>
        <w:r>
          <w:rPr>
            <w:b w:val="0"/>
          </w:rPr>
          <w:t>风险防范措施</w:t>
        </w:r>
        <w:r>
          <w:rPr>
            <w:b w:val="0"/>
          </w:rPr>
          <w:tab/>
        </w:r>
        <w:r>
          <w:rPr>
            <w:b w:val="0"/>
          </w:rPr>
          <w:fldChar w:fldCharType="begin"/>
        </w:r>
        <w:r>
          <w:rPr>
            <w:b w:val="0"/>
          </w:rPr>
          <w:instrText xml:space="preserve"> PAGEREF _Toc12914 \h </w:instrText>
        </w:r>
        <w:r>
          <w:rPr>
            <w:b w:val="0"/>
          </w:rPr>
        </w:r>
        <w:r>
          <w:rPr>
            <w:b w:val="0"/>
          </w:rPr>
          <w:fldChar w:fldCharType="separate"/>
        </w:r>
        <w:r>
          <w:rPr>
            <w:b w:val="0"/>
          </w:rPr>
          <w:t>154</w:t>
        </w:r>
        <w:r>
          <w:rPr>
            <w:b w:val="0"/>
          </w:rPr>
          <w:fldChar w:fldCharType="end"/>
        </w:r>
      </w:hyperlink>
    </w:p>
    <w:p w14:paraId="30F1977E" w14:textId="77777777" w:rsidR="00B14D53" w:rsidRDefault="00000000">
      <w:pPr>
        <w:pStyle w:val="TOC2"/>
        <w:tabs>
          <w:tab w:val="right" w:leader="dot" w:pos="8306"/>
        </w:tabs>
        <w:spacing w:before="0" w:line="240" w:lineRule="auto"/>
        <w:ind w:left="0" w:firstLineChars="200" w:firstLine="480"/>
        <w:rPr>
          <w:b w:val="0"/>
        </w:rPr>
      </w:pPr>
      <w:hyperlink w:anchor="_Toc6531" w:history="1">
        <w:r>
          <w:rPr>
            <w:b w:val="0"/>
          </w:rPr>
          <w:t>6.4</w:t>
        </w:r>
        <w:r>
          <w:rPr>
            <w:b w:val="0"/>
          </w:rPr>
          <w:t>环境保护投资估算</w:t>
        </w:r>
        <w:r>
          <w:rPr>
            <w:b w:val="0"/>
          </w:rPr>
          <w:tab/>
        </w:r>
        <w:r>
          <w:rPr>
            <w:b w:val="0"/>
          </w:rPr>
          <w:fldChar w:fldCharType="begin"/>
        </w:r>
        <w:r>
          <w:rPr>
            <w:b w:val="0"/>
          </w:rPr>
          <w:instrText xml:space="preserve"> PAGEREF _Toc6531 \h </w:instrText>
        </w:r>
        <w:r>
          <w:rPr>
            <w:b w:val="0"/>
          </w:rPr>
        </w:r>
        <w:r>
          <w:rPr>
            <w:b w:val="0"/>
          </w:rPr>
          <w:fldChar w:fldCharType="separate"/>
        </w:r>
        <w:r>
          <w:rPr>
            <w:b w:val="0"/>
          </w:rPr>
          <w:t>156</w:t>
        </w:r>
        <w:r>
          <w:rPr>
            <w:b w:val="0"/>
          </w:rPr>
          <w:fldChar w:fldCharType="end"/>
        </w:r>
      </w:hyperlink>
    </w:p>
    <w:p w14:paraId="3F4D93B1" w14:textId="77777777" w:rsidR="00B14D53" w:rsidRDefault="00000000">
      <w:pPr>
        <w:pStyle w:val="TOC1"/>
        <w:tabs>
          <w:tab w:val="clear" w:pos="8302"/>
          <w:tab w:val="right" w:leader="dot" w:pos="8306"/>
        </w:tabs>
        <w:spacing w:line="240" w:lineRule="auto"/>
        <w:rPr>
          <w:rFonts w:eastAsia="宋体" w:hAnsi="Times New Roman"/>
          <w:b w:val="0"/>
          <w:sz w:val="24"/>
          <w:szCs w:val="24"/>
        </w:rPr>
      </w:pPr>
      <w:hyperlink w:anchor="_Toc10116" w:history="1">
        <w:r>
          <w:rPr>
            <w:rFonts w:eastAsia="宋体" w:hAnsi="Times New Roman"/>
            <w:b w:val="0"/>
            <w:sz w:val="24"/>
            <w:szCs w:val="24"/>
          </w:rPr>
          <w:t>7</w:t>
        </w:r>
        <w:r>
          <w:rPr>
            <w:rFonts w:eastAsia="宋体" w:hAnsi="Times New Roman"/>
            <w:b w:val="0"/>
            <w:sz w:val="24"/>
            <w:szCs w:val="24"/>
          </w:rPr>
          <w:t>环境影响经济损益分析</w:t>
        </w:r>
        <w:r>
          <w:rPr>
            <w:rFonts w:eastAsia="宋体" w:hAnsi="Times New Roman"/>
            <w:b w:val="0"/>
            <w:sz w:val="24"/>
            <w:szCs w:val="24"/>
          </w:rPr>
          <w:tab/>
        </w:r>
        <w:r>
          <w:rPr>
            <w:rFonts w:eastAsia="宋体" w:hAnsi="Times New Roman"/>
            <w:b w:val="0"/>
            <w:sz w:val="24"/>
            <w:szCs w:val="24"/>
          </w:rPr>
          <w:fldChar w:fldCharType="begin"/>
        </w:r>
        <w:r>
          <w:rPr>
            <w:rFonts w:eastAsia="宋体" w:hAnsi="Times New Roman"/>
            <w:b w:val="0"/>
            <w:sz w:val="24"/>
            <w:szCs w:val="24"/>
          </w:rPr>
          <w:instrText xml:space="preserve"> PAGEREF _Toc10116 \h </w:instrText>
        </w:r>
        <w:r>
          <w:rPr>
            <w:rFonts w:eastAsia="宋体" w:hAnsi="Times New Roman"/>
            <w:b w:val="0"/>
            <w:sz w:val="24"/>
            <w:szCs w:val="24"/>
          </w:rPr>
        </w:r>
        <w:r>
          <w:rPr>
            <w:rFonts w:eastAsia="宋体" w:hAnsi="Times New Roman"/>
            <w:b w:val="0"/>
            <w:sz w:val="24"/>
            <w:szCs w:val="24"/>
          </w:rPr>
          <w:fldChar w:fldCharType="separate"/>
        </w:r>
        <w:r>
          <w:rPr>
            <w:rFonts w:eastAsia="宋体" w:hAnsi="Times New Roman"/>
            <w:b w:val="0"/>
            <w:sz w:val="24"/>
            <w:szCs w:val="24"/>
          </w:rPr>
          <w:t>158</w:t>
        </w:r>
        <w:r>
          <w:rPr>
            <w:rFonts w:eastAsia="宋体" w:hAnsi="Times New Roman"/>
            <w:b w:val="0"/>
            <w:sz w:val="24"/>
            <w:szCs w:val="24"/>
          </w:rPr>
          <w:fldChar w:fldCharType="end"/>
        </w:r>
      </w:hyperlink>
    </w:p>
    <w:p w14:paraId="1E27BBC1" w14:textId="77777777" w:rsidR="00B14D53" w:rsidRDefault="00000000">
      <w:pPr>
        <w:pStyle w:val="TOC2"/>
        <w:tabs>
          <w:tab w:val="right" w:leader="dot" w:pos="8306"/>
        </w:tabs>
        <w:spacing w:before="0" w:line="240" w:lineRule="auto"/>
        <w:ind w:left="0" w:firstLineChars="200" w:firstLine="480"/>
        <w:rPr>
          <w:b w:val="0"/>
        </w:rPr>
      </w:pPr>
      <w:hyperlink w:anchor="_Toc16345" w:history="1">
        <w:r>
          <w:rPr>
            <w:b w:val="0"/>
          </w:rPr>
          <w:t>7.1</w:t>
        </w:r>
        <w:r>
          <w:rPr>
            <w:b w:val="0"/>
          </w:rPr>
          <w:t>社会经济效益分析</w:t>
        </w:r>
        <w:r>
          <w:rPr>
            <w:b w:val="0"/>
          </w:rPr>
          <w:tab/>
        </w:r>
        <w:r>
          <w:rPr>
            <w:b w:val="0"/>
          </w:rPr>
          <w:fldChar w:fldCharType="begin"/>
        </w:r>
        <w:r>
          <w:rPr>
            <w:b w:val="0"/>
          </w:rPr>
          <w:instrText xml:space="preserve"> PAGEREF _Toc16345 \h </w:instrText>
        </w:r>
        <w:r>
          <w:rPr>
            <w:b w:val="0"/>
          </w:rPr>
        </w:r>
        <w:r>
          <w:rPr>
            <w:b w:val="0"/>
          </w:rPr>
          <w:fldChar w:fldCharType="separate"/>
        </w:r>
        <w:r>
          <w:rPr>
            <w:b w:val="0"/>
          </w:rPr>
          <w:t>158</w:t>
        </w:r>
        <w:r>
          <w:rPr>
            <w:b w:val="0"/>
          </w:rPr>
          <w:fldChar w:fldCharType="end"/>
        </w:r>
      </w:hyperlink>
    </w:p>
    <w:p w14:paraId="755A9568" w14:textId="77777777" w:rsidR="00B14D53" w:rsidRDefault="00000000">
      <w:pPr>
        <w:pStyle w:val="TOC2"/>
        <w:tabs>
          <w:tab w:val="right" w:leader="dot" w:pos="8306"/>
        </w:tabs>
        <w:spacing w:before="0" w:line="240" w:lineRule="auto"/>
        <w:ind w:left="0" w:firstLineChars="200" w:firstLine="480"/>
        <w:rPr>
          <w:b w:val="0"/>
        </w:rPr>
      </w:pPr>
      <w:hyperlink w:anchor="_Toc19453" w:history="1">
        <w:r>
          <w:rPr>
            <w:b w:val="0"/>
          </w:rPr>
          <w:t>7.2</w:t>
        </w:r>
        <w:r>
          <w:rPr>
            <w:b w:val="0"/>
          </w:rPr>
          <w:t>环境经济损益分析</w:t>
        </w:r>
        <w:r>
          <w:rPr>
            <w:b w:val="0"/>
          </w:rPr>
          <w:tab/>
        </w:r>
        <w:r>
          <w:rPr>
            <w:b w:val="0"/>
          </w:rPr>
          <w:fldChar w:fldCharType="begin"/>
        </w:r>
        <w:r>
          <w:rPr>
            <w:b w:val="0"/>
          </w:rPr>
          <w:instrText xml:space="preserve"> PAGEREF _Toc19453 \h </w:instrText>
        </w:r>
        <w:r>
          <w:rPr>
            <w:b w:val="0"/>
          </w:rPr>
        </w:r>
        <w:r>
          <w:rPr>
            <w:b w:val="0"/>
          </w:rPr>
          <w:fldChar w:fldCharType="separate"/>
        </w:r>
        <w:r>
          <w:rPr>
            <w:b w:val="0"/>
          </w:rPr>
          <w:t>158</w:t>
        </w:r>
        <w:r>
          <w:rPr>
            <w:b w:val="0"/>
          </w:rPr>
          <w:fldChar w:fldCharType="end"/>
        </w:r>
      </w:hyperlink>
    </w:p>
    <w:p w14:paraId="2F229CC3" w14:textId="77777777" w:rsidR="00B14D53" w:rsidRDefault="00000000">
      <w:pPr>
        <w:pStyle w:val="TOC2"/>
        <w:tabs>
          <w:tab w:val="right" w:leader="dot" w:pos="8306"/>
        </w:tabs>
        <w:spacing w:before="0" w:line="240" w:lineRule="auto"/>
        <w:ind w:left="0" w:firstLineChars="200" w:firstLine="480"/>
        <w:rPr>
          <w:b w:val="0"/>
        </w:rPr>
      </w:pPr>
      <w:hyperlink w:anchor="_Toc5013" w:history="1">
        <w:r>
          <w:rPr>
            <w:b w:val="0"/>
          </w:rPr>
          <w:t>7.3</w:t>
        </w:r>
        <w:r>
          <w:rPr>
            <w:b w:val="0"/>
          </w:rPr>
          <w:t>环境效益分析</w:t>
        </w:r>
        <w:r>
          <w:rPr>
            <w:b w:val="0"/>
          </w:rPr>
          <w:tab/>
        </w:r>
        <w:r>
          <w:rPr>
            <w:b w:val="0"/>
          </w:rPr>
          <w:fldChar w:fldCharType="begin"/>
        </w:r>
        <w:r>
          <w:rPr>
            <w:b w:val="0"/>
          </w:rPr>
          <w:instrText xml:space="preserve"> PAGEREF _Toc5013 \h </w:instrText>
        </w:r>
        <w:r>
          <w:rPr>
            <w:b w:val="0"/>
          </w:rPr>
        </w:r>
        <w:r>
          <w:rPr>
            <w:b w:val="0"/>
          </w:rPr>
          <w:fldChar w:fldCharType="separate"/>
        </w:r>
        <w:r>
          <w:rPr>
            <w:b w:val="0"/>
          </w:rPr>
          <w:t>158</w:t>
        </w:r>
        <w:r>
          <w:rPr>
            <w:b w:val="0"/>
          </w:rPr>
          <w:fldChar w:fldCharType="end"/>
        </w:r>
      </w:hyperlink>
    </w:p>
    <w:p w14:paraId="5DE4A08E" w14:textId="77777777" w:rsidR="00B14D53" w:rsidRDefault="00000000">
      <w:pPr>
        <w:pStyle w:val="TOC2"/>
        <w:tabs>
          <w:tab w:val="right" w:leader="dot" w:pos="8306"/>
        </w:tabs>
        <w:spacing w:before="0" w:line="240" w:lineRule="auto"/>
        <w:ind w:left="0" w:firstLineChars="200" w:firstLine="480"/>
        <w:rPr>
          <w:b w:val="0"/>
        </w:rPr>
      </w:pPr>
      <w:hyperlink w:anchor="_Toc30323" w:history="1">
        <w:r>
          <w:rPr>
            <w:b w:val="0"/>
          </w:rPr>
          <w:t>7.4</w:t>
        </w:r>
        <w:r>
          <w:rPr>
            <w:b w:val="0"/>
          </w:rPr>
          <w:t>小结</w:t>
        </w:r>
        <w:r>
          <w:rPr>
            <w:b w:val="0"/>
          </w:rPr>
          <w:tab/>
        </w:r>
        <w:r>
          <w:rPr>
            <w:b w:val="0"/>
          </w:rPr>
          <w:fldChar w:fldCharType="begin"/>
        </w:r>
        <w:r>
          <w:rPr>
            <w:b w:val="0"/>
          </w:rPr>
          <w:instrText xml:space="preserve"> PAGEREF _Toc30323 \h </w:instrText>
        </w:r>
        <w:r>
          <w:rPr>
            <w:b w:val="0"/>
          </w:rPr>
        </w:r>
        <w:r>
          <w:rPr>
            <w:b w:val="0"/>
          </w:rPr>
          <w:fldChar w:fldCharType="separate"/>
        </w:r>
        <w:r>
          <w:rPr>
            <w:b w:val="0"/>
          </w:rPr>
          <w:t>160</w:t>
        </w:r>
        <w:r>
          <w:rPr>
            <w:b w:val="0"/>
          </w:rPr>
          <w:fldChar w:fldCharType="end"/>
        </w:r>
      </w:hyperlink>
    </w:p>
    <w:p w14:paraId="26F05EE0" w14:textId="77777777" w:rsidR="00B14D53" w:rsidRDefault="00000000">
      <w:pPr>
        <w:pStyle w:val="TOC1"/>
        <w:tabs>
          <w:tab w:val="clear" w:pos="8302"/>
          <w:tab w:val="right" w:leader="dot" w:pos="8306"/>
        </w:tabs>
        <w:spacing w:line="240" w:lineRule="auto"/>
        <w:rPr>
          <w:rFonts w:eastAsia="宋体" w:hAnsi="Times New Roman"/>
          <w:b w:val="0"/>
          <w:sz w:val="24"/>
          <w:szCs w:val="24"/>
        </w:rPr>
      </w:pPr>
      <w:hyperlink w:anchor="_Toc26587" w:history="1">
        <w:r>
          <w:rPr>
            <w:rFonts w:eastAsia="宋体" w:hAnsi="Times New Roman"/>
            <w:b w:val="0"/>
            <w:sz w:val="24"/>
            <w:szCs w:val="24"/>
          </w:rPr>
          <w:t>8</w:t>
        </w:r>
        <w:r>
          <w:rPr>
            <w:rFonts w:eastAsia="宋体" w:hAnsi="Times New Roman"/>
            <w:b w:val="0"/>
            <w:sz w:val="24"/>
            <w:szCs w:val="24"/>
          </w:rPr>
          <w:t>环境管理与监测计划</w:t>
        </w:r>
        <w:r>
          <w:rPr>
            <w:rFonts w:eastAsia="宋体" w:hAnsi="Times New Roman"/>
            <w:b w:val="0"/>
            <w:sz w:val="24"/>
            <w:szCs w:val="24"/>
          </w:rPr>
          <w:tab/>
        </w:r>
        <w:r>
          <w:rPr>
            <w:rFonts w:eastAsia="宋体" w:hAnsi="Times New Roman"/>
            <w:b w:val="0"/>
            <w:sz w:val="24"/>
            <w:szCs w:val="24"/>
          </w:rPr>
          <w:fldChar w:fldCharType="begin"/>
        </w:r>
        <w:r>
          <w:rPr>
            <w:rFonts w:eastAsia="宋体" w:hAnsi="Times New Roman"/>
            <w:b w:val="0"/>
            <w:sz w:val="24"/>
            <w:szCs w:val="24"/>
          </w:rPr>
          <w:instrText xml:space="preserve"> PAGEREF _Toc26587 \h </w:instrText>
        </w:r>
        <w:r>
          <w:rPr>
            <w:rFonts w:eastAsia="宋体" w:hAnsi="Times New Roman"/>
            <w:b w:val="0"/>
            <w:sz w:val="24"/>
            <w:szCs w:val="24"/>
          </w:rPr>
        </w:r>
        <w:r>
          <w:rPr>
            <w:rFonts w:eastAsia="宋体" w:hAnsi="Times New Roman"/>
            <w:b w:val="0"/>
            <w:sz w:val="24"/>
            <w:szCs w:val="24"/>
          </w:rPr>
          <w:fldChar w:fldCharType="separate"/>
        </w:r>
        <w:r>
          <w:rPr>
            <w:rFonts w:eastAsia="宋体" w:hAnsi="Times New Roman"/>
            <w:b w:val="0"/>
            <w:sz w:val="24"/>
            <w:szCs w:val="24"/>
          </w:rPr>
          <w:t>162</w:t>
        </w:r>
        <w:r>
          <w:rPr>
            <w:rFonts w:eastAsia="宋体" w:hAnsi="Times New Roman"/>
            <w:b w:val="0"/>
            <w:sz w:val="24"/>
            <w:szCs w:val="24"/>
          </w:rPr>
          <w:fldChar w:fldCharType="end"/>
        </w:r>
      </w:hyperlink>
    </w:p>
    <w:p w14:paraId="6E747171" w14:textId="77777777" w:rsidR="00B14D53" w:rsidRDefault="00000000">
      <w:pPr>
        <w:pStyle w:val="TOC2"/>
        <w:tabs>
          <w:tab w:val="right" w:leader="dot" w:pos="8306"/>
        </w:tabs>
        <w:spacing w:before="0" w:line="240" w:lineRule="auto"/>
        <w:ind w:left="0" w:firstLineChars="200" w:firstLine="480"/>
        <w:rPr>
          <w:b w:val="0"/>
        </w:rPr>
      </w:pPr>
      <w:hyperlink w:anchor="_Toc12495" w:history="1">
        <w:r>
          <w:rPr>
            <w:b w:val="0"/>
          </w:rPr>
          <w:t>8.1</w:t>
        </w:r>
        <w:r>
          <w:rPr>
            <w:b w:val="0"/>
          </w:rPr>
          <w:t>环境管理</w:t>
        </w:r>
        <w:r>
          <w:rPr>
            <w:b w:val="0"/>
          </w:rPr>
          <w:tab/>
        </w:r>
        <w:r>
          <w:rPr>
            <w:b w:val="0"/>
          </w:rPr>
          <w:fldChar w:fldCharType="begin"/>
        </w:r>
        <w:r>
          <w:rPr>
            <w:b w:val="0"/>
          </w:rPr>
          <w:instrText xml:space="preserve"> PAGEREF _Toc12495 \h </w:instrText>
        </w:r>
        <w:r>
          <w:rPr>
            <w:b w:val="0"/>
          </w:rPr>
        </w:r>
        <w:r>
          <w:rPr>
            <w:b w:val="0"/>
          </w:rPr>
          <w:fldChar w:fldCharType="separate"/>
        </w:r>
        <w:r>
          <w:rPr>
            <w:b w:val="0"/>
          </w:rPr>
          <w:t>162</w:t>
        </w:r>
        <w:r>
          <w:rPr>
            <w:b w:val="0"/>
          </w:rPr>
          <w:fldChar w:fldCharType="end"/>
        </w:r>
      </w:hyperlink>
    </w:p>
    <w:p w14:paraId="0430F37E" w14:textId="77777777" w:rsidR="00B14D53" w:rsidRDefault="00000000">
      <w:pPr>
        <w:pStyle w:val="TOC2"/>
        <w:tabs>
          <w:tab w:val="right" w:leader="dot" w:pos="8306"/>
        </w:tabs>
        <w:spacing w:before="0" w:line="240" w:lineRule="auto"/>
        <w:ind w:left="0" w:firstLineChars="200" w:firstLine="480"/>
        <w:rPr>
          <w:b w:val="0"/>
        </w:rPr>
      </w:pPr>
      <w:hyperlink w:anchor="_Toc31964" w:history="1">
        <w:r>
          <w:rPr>
            <w:b w:val="0"/>
          </w:rPr>
          <w:t>8.2</w:t>
        </w:r>
        <w:r>
          <w:rPr>
            <w:b w:val="0"/>
          </w:rPr>
          <w:t>环境监测</w:t>
        </w:r>
        <w:r>
          <w:rPr>
            <w:b w:val="0"/>
          </w:rPr>
          <w:tab/>
        </w:r>
        <w:r>
          <w:rPr>
            <w:b w:val="0"/>
          </w:rPr>
          <w:fldChar w:fldCharType="begin"/>
        </w:r>
        <w:r>
          <w:rPr>
            <w:b w:val="0"/>
          </w:rPr>
          <w:instrText xml:space="preserve"> PAGEREF _Toc31964 \h </w:instrText>
        </w:r>
        <w:r>
          <w:rPr>
            <w:b w:val="0"/>
          </w:rPr>
        </w:r>
        <w:r>
          <w:rPr>
            <w:b w:val="0"/>
          </w:rPr>
          <w:fldChar w:fldCharType="separate"/>
        </w:r>
        <w:r>
          <w:rPr>
            <w:b w:val="0"/>
          </w:rPr>
          <w:t>169</w:t>
        </w:r>
        <w:r>
          <w:rPr>
            <w:b w:val="0"/>
          </w:rPr>
          <w:fldChar w:fldCharType="end"/>
        </w:r>
      </w:hyperlink>
    </w:p>
    <w:p w14:paraId="64F9CA90" w14:textId="77777777" w:rsidR="00B14D53" w:rsidRDefault="00000000">
      <w:pPr>
        <w:pStyle w:val="TOC2"/>
        <w:tabs>
          <w:tab w:val="right" w:leader="dot" w:pos="8306"/>
        </w:tabs>
        <w:spacing w:before="0" w:line="240" w:lineRule="auto"/>
        <w:ind w:left="0" w:firstLineChars="200" w:firstLine="480"/>
        <w:rPr>
          <w:b w:val="0"/>
        </w:rPr>
      </w:pPr>
      <w:hyperlink w:anchor="_Toc26791" w:history="1">
        <w:r>
          <w:rPr>
            <w:b w:val="0"/>
          </w:rPr>
          <w:t>8.3</w:t>
        </w:r>
        <w:r>
          <w:rPr>
            <w:b w:val="0"/>
          </w:rPr>
          <w:t>环境保护竣工验收</w:t>
        </w:r>
        <w:r>
          <w:rPr>
            <w:b w:val="0"/>
          </w:rPr>
          <w:tab/>
        </w:r>
        <w:r>
          <w:rPr>
            <w:b w:val="0"/>
          </w:rPr>
          <w:fldChar w:fldCharType="begin"/>
        </w:r>
        <w:r>
          <w:rPr>
            <w:b w:val="0"/>
          </w:rPr>
          <w:instrText xml:space="preserve"> PAGEREF _Toc26791 \h </w:instrText>
        </w:r>
        <w:r>
          <w:rPr>
            <w:b w:val="0"/>
          </w:rPr>
        </w:r>
        <w:r>
          <w:rPr>
            <w:b w:val="0"/>
          </w:rPr>
          <w:fldChar w:fldCharType="separate"/>
        </w:r>
        <w:r>
          <w:rPr>
            <w:b w:val="0"/>
          </w:rPr>
          <w:t>178</w:t>
        </w:r>
        <w:r>
          <w:rPr>
            <w:b w:val="0"/>
          </w:rPr>
          <w:fldChar w:fldCharType="end"/>
        </w:r>
      </w:hyperlink>
    </w:p>
    <w:p w14:paraId="5DDCF371" w14:textId="77777777" w:rsidR="00B14D53" w:rsidRDefault="00000000">
      <w:pPr>
        <w:pStyle w:val="TOC2"/>
        <w:tabs>
          <w:tab w:val="right" w:leader="dot" w:pos="8306"/>
        </w:tabs>
        <w:spacing w:before="0" w:line="240" w:lineRule="auto"/>
        <w:ind w:left="0" w:firstLineChars="200" w:firstLine="480"/>
        <w:rPr>
          <w:b w:val="0"/>
        </w:rPr>
      </w:pPr>
      <w:hyperlink w:anchor="_Toc10075" w:history="1">
        <w:r>
          <w:rPr>
            <w:b w:val="0"/>
          </w:rPr>
          <w:t>8.4</w:t>
        </w:r>
        <w:r>
          <w:rPr>
            <w:b w:val="0"/>
          </w:rPr>
          <w:t>总量控制</w:t>
        </w:r>
        <w:r>
          <w:rPr>
            <w:b w:val="0"/>
          </w:rPr>
          <w:tab/>
        </w:r>
        <w:r>
          <w:rPr>
            <w:b w:val="0"/>
          </w:rPr>
          <w:fldChar w:fldCharType="begin"/>
        </w:r>
        <w:r>
          <w:rPr>
            <w:b w:val="0"/>
          </w:rPr>
          <w:instrText xml:space="preserve"> PAGEREF _Toc10075 \h </w:instrText>
        </w:r>
        <w:r>
          <w:rPr>
            <w:b w:val="0"/>
          </w:rPr>
        </w:r>
        <w:r>
          <w:rPr>
            <w:b w:val="0"/>
          </w:rPr>
          <w:fldChar w:fldCharType="separate"/>
        </w:r>
        <w:r>
          <w:rPr>
            <w:b w:val="0"/>
          </w:rPr>
          <w:t>182</w:t>
        </w:r>
        <w:r>
          <w:rPr>
            <w:b w:val="0"/>
          </w:rPr>
          <w:fldChar w:fldCharType="end"/>
        </w:r>
      </w:hyperlink>
    </w:p>
    <w:p w14:paraId="00741CEE" w14:textId="77777777" w:rsidR="00B14D53" w:rsidRDefault="00000000">
      <w:pPr>
        <w:pStyle w:val="TOC2"/>
        <w:tabs>
          <w:tab w:val="right" w:leader="dot" w:pos="8306"/>
        </w:tabs>
        <w:spacing w:before="0" w:line="240" w:lineRule="auto"/>
        <w:ind w:left="0" w:firstLineChars="200" w:firstLine="480"/>
        <w:rPr>
          <w:b w:val="0"/>
        </w:rPr>
      </w:pPr>
      <w:hyperlink w:anchor="_Toc20274" w:history="1">
        <w:r>
          <w:rPr>
            <w:b w:val="0"/>
          </w:rPr>
          <w:t>8.5</w:t>
        </w:r>
        <w:r>
          <w:rPr>
            <w:b w:val="0"/>
          </w:rPr>
          <w:t>与排污许可证制度衔接</w:t>
        </w:r>
        <w:r>
          <w:rPr>
            <w:b w:val="0"/>
          </w:rPr>
          <w:tab/>
        </w:r>
        <w:r>
          <w:rPr>
            <w:b w:val="0"/>
          </w:rPr>
          <w:fldChar w:fldCharType="begin"/>
        </w:r>
        <w:r>
          <w:rPr>
            <w:b w:val="0"/>
          </w:rPr>
          <w:instrText xml:space="preserve"> PAGEREF _Toc20274 \h </w:instrText>
        </w:r>
        <w:r>
          <w:rPr>
            <w:b w:val="0"/>
          </w:rPr>
        </w:r>
        <w:r>
          <w:rPr>
            <w:b w:val="0"/>
          </w:rPr>
          <w:fldChar w:fldCharType="separate"/>
        </w:r>
        <w:r>
          <w:rPr>
            <w:b w:val="0"/>
          </w:rPr>
          <w:t>183</w:t>
        </w:r>
        <w:r>
          <w:rPr>
            <w:b w:val="0"/>
          </w:rPr>
          <w:fldChar w:fldCharType="end"/>
        </w:r>
      </w:hyperlink>
    </w:p>
    <w:p w14:paraId="01869900" w14:textId="77777777" w:rsidR="00B14D53" w:rsidRDefault="00000000">
      <w:pPr>
        <w:pStyle w:val="TOC1"/>
        <w:tabs>
          <w:tab w:val="clear" w:pos="8302"/>
          <w:tab w:val="right" w:leader="dot" w:pos="8306"/>
        </w:tabs>
        <w:spacing w:line="240" w:lineRule="auto"/>
        <w:rPr>
          <w:rFonts w:eastAsia="宋体" w:hAnsi="Times New Roman"/>
          <w:b w:val="0"/>
          <w:sz w:val="24"/>
          <w:szCs w:val="24"/>
        </w:rPr>
      </w:pPr>
      <w:hyperlink w:anchor="_Toc11593" w:history="1">
        <w:r>
          <w:rPr>
            <w:rFonts w:eastAsia="宋体" w:hAnsi="Times New Roman"/>
            <w:b w:val="0"/>
            <w:sz w:val="24"/>
            <w:szCs w:val="24"/>
          </w:rPr>
          <w:t>9</w:t>
        </w:r>
        <w:r>
          <w:rPr>
            <w:rFonts w:eastAsia="宋体" w:hAnsi="Times New Roman"/>
            <w:b w:val="0"/>
            <w:sz w:val="24"/>
            <w:szCs w:val="24"/>
          </w:rPr>
          <w:t>环境影响评价结论</w:t>
        </w:r>
        <w:r>
          <w:rPr>
            <w:rFonts w:eastAsia="宋体" w:hAnsi="Times New Roman"/>
            <w:b w:val="0"/>
            <w:sz w:val="24"/>
            <w:szCs w:val="24"/>
          </w:rPr>
          <w:tab/>
        </w:r>
        <w:r>
          <w:rPr>
            <w:rFonts w:eastAsia="宋体" w:hAnsi="Times New Roman"/>
            <w:b w:val="0"/>
            <w:sz w:val="24"/>
            <w:szCs w:val="24"/>
          </w:rPr>
          <w:fldChar w:fldCharType="begin"/>
        </w:r>
        <w:r>
          <w:rPr>
            <w:rFonts w:eastAsia="宋体" w:hAnsi="Times New Roman"/>
            <w:b w:val="0"/>
            <w:sz w:val="24"/>
            <w:szCs w:val="24"/>
          </w:rPr>
          <w:instrText xml:space="preserve"> PAGEREF _Toc11593 \h </w:instrText>
        </w:r>
        <w:r>
          <w:rPr>
            <w:rFonts w:eastAsia="宋体" w:hAnsi="Times New Roman"/>
            <w:b w:val="0"/>
            <w:sz w:val="24"/>
            <w:szCs w:val="24"/>
          </w:rPr>
        </w:r>
        <w:r>
          <w:rPr>
            <w:rFonts w:eastAsia="宋体" w:hAnsi="Times New Roman"/>
            <w:b w:val="0"/>
            <w:sz w:val="24"/>
            <w:szCs w:val="24"/>
          </w:rPr>
          <w:fldChar w:fldCharType="separate"/>
        </w:r>
        <w:r>
          <w:rPr>
            <w:rFonts w:eastAsia="宋体" w:hAnsi="Times New Roman"/>
            <w:b w:val="0"/>
            <w:sz w:val="24"/>
            <w:szCs w:val="24"/>
          </w:rPr>
          <w:t>184</w:t>
        </w:r>
        <w:r>
          <w:rPr>
            <w:rFonts w:eastAsia="宋体" w:hAnsi="Times New Roman"/>
            <w:b w:val="0"/>
            <w:sz w:val="24"/>
            <w:szCs w:val="24"/>
          </w:rPr>
          <w:fldChar w:fldCharType="end"/>
        </w:r>
      </w:hyperlink>
    </w:p>
    <w:p w14:paraId="23A853DE" w14:textId="77777777" w:rsidR="00B14D53" w:rsidRDefault="00000000">
      <w:pPr>
        <w:pStyle w:val="TOC2"/>
        <w:tabs>
          <w:tab w:val="right" w:leader="dot" w:pos="8306"/>
        </w:tabs>
        <w:spacing w:before="0" w:line="240" w:lineRule="auto"/>
        <w:ind w:left="0" w:firstLineChars="200" w:firstLine="480"/>
        <w:rPr>
          <w:b w:val="0"/>
        </w:rPr>
      </w:pPr>
      <w:hyperlink w:anchor="_Toc19936" w:history="1">
        <w:r>
          <w:rPr>
            <w:b w:val="0"/>
          </w:rPr>
          <w:t>9.1</w:t>
        </w:r>
        <w:r>
          <w:rPr>
            <w:b w:val="0"/>
          </w:rPr>
          <w:t>评价结论</w:t>
        </w:r>
        <w:r>
          <w:rPr>
            <w:b w:val="0"/>
          </w:rPr>
          <w:tab/>
        </w:r>
        <w:r>
          <w:rPr>
            <w:b w:val="0"/>
          </w:rPr>
          <w:fldChar w:fldCharType="begin"/>
        </w:r>
        <w:r>
          <w:rPr>
            <w:b w:val="0"/>
          </w:rPr>
          <w:instrText xml:space="preserve"> PAGEREF _Toc19936 \h </w:instrText>
        </w:r>
        <w:r>
          <w:rPr>
            <w:b w:val="0"/>
          </w:rPr>
        </w:r>
        <w:r>
          <w:rPr>
            <w:b w:val="0"/>
          </w:rPr>
          <w:fldChar w:fldCharType="separate"/>
        </w:r>
        <w:r>
          <w:rPr>
            <w:b w:val="0"/>
          </w:rPr>
          <w:t>184</w:t>
        </w:r>
        <w:r>
          <w:rPr>
            <w:b w:val="0"/>
          </w:rPr>
          <w:fldChar w:fldCharType="end"/>
        </w:r>
      </w:hyperlink>
    </w:p>
    <w:p w14:paraId="0BA639D6" w14:textId="77777777" w:rsidR="00B14D53" w:rsidRDefault="00000000">
      <w:pPr>
        <w:pStyle w:val="TOC2"/>
        <w:tabs>
          <w:tab w:val="right" w:leader="dot" w:pos="8306"/>
        </w:tabs>
        <w:spacing w:before="0" w:line="240" w:lineRule="auto"/>
        <w:ind w:left="0" w:firstLineChars="200" w:firstLine="480"/>
        <w:rPr>
          <w:b w:val="0"/>
        </w:rPr>
      </w:pPr>
      <w:hyperlink w:anchor="_Toc18544" w:history="1">
        <w:r>
          <w:rPr>
            <w:b w:val="0"/>
          </w:rPr>
          <w:t>9.2</w:t>
        </w:r>
        <w:r>
          <w:rPr>
            <w:b w:val="0"/>
          </w:rPr>
          <w:t>建议</w:t>
        </w:r>
        <w:r>
          <w:rPr>
            <w:b w:val="0"/>
          </w:rPr>
          <w:tab/>
        </w:r>
        <w:r>
          <w:rPr>
            <w:b w:val="0"/>
          </w:rPr>
          <w:fldChar w:fldCharType="begin"/>
        </w:r>
        <w:r>
          <w:rPr>
            <w:b w:val="0"/>
          </w:rPr>
          <w:instrText xml:space="preserve"> PAGEREF _Toc18544 \h </w:instrText>
        </w:r>
        <w:r>
          <w:rPr>
            <w:b w:val="0"/>
          </w:rPr>
        </w:r>
        <w:r>
          <w:rPr>
            <w:b w:val="0"/>
          </w:rPr>
          <w:fldChar w:fldCharType="separate"/>
        </w:r>
        <w:r>
          <w:rPr>
            <w:b w:val="0"/>
          </w:rPr>
          <w:t>189</w:t>
        </w:r>
        <w:r>
          <w:rPr>
            <w:b w:val="0"/>
          </w:rPr>
          <w:fldChar w:fldCharType="end"/>
        </w:r>
      </w:hyperlink>
    </w:p>
    <w:p w14:paraId="03058B31" w14:textId="77777777" w:rsidR="00B14D53" w:rsidRDefault="00000000">
      <w:pPr>
        <w:contextualSpacing/>
        <w:rPr>
          <w:bCs/>
          <w:sz w:val="24"/>
        </w:rPr>
      </w:pPr>
      <w:r>
        <w:rPr>
          <w:bCs/>
          <w:sz w:val="24"/>
        </w:rPr>
        <w:fldChar w:fldCharType="end"/>
      </w:r>
      <w:r>
        <w:rPr>
          <w:bCs/>
          <w:sz w:val="24"/>
        </w:rPr>
        <w:t>附件</w:t>
      </w:r>
      <w:r>
        <w:rPr>
          <w:bCs/>
          <w:sz w:val="24"/>
        </w:rPr>
        <w:t>1</w:t>
      </w:r>
      <w:r>
        <w:rPr>
          <w:bCs/>
          <w:sz w:val="24"/>
        </w:rPr>
        <w:t>：营业执照</w:t>
      </w:r>
    </w:p>
    <w:p w14:paraId="06B99ABA" w14:textId="77777777" w:rsidR="00B14D53" w:rsidRDefault="00000000">
      <w:pPr>
        <w:contextualSpacing/>
        <w:rPr>
          <w:sz w:val="24"/>
        </w:rPr>
      </w:pPr>
      <w:r>
        <w:rPr>
          <w:sz w:val="24"/>
        </w:rPr>
        <w:t>附件</w:t>
      </w:r>
      <w:r>
        <w:rPr>
          <w:sz w:val="24"/>
        </w:rPr>
        <w:t>2</w:t>
      </w:r>
      <w:r>
        <w:rPr>
          <w:sz w:val="24"/>
        </w:rPr>
        <w:t>：土地手续</w:t>
      </w:r>
    </w:p>
    <w:p w14:paraId="19718B15" w14:textId="77777777" w:rsidR="00B14D53" w:rsidRDefault="00000000">
      <w:pPr>
        <w:contextualSpacing/>
        <w:rPr>
          <w:sz w:val="24"/>
        </w:rPr>
      </w:pPr>
      <w:r>
        <w:rPr>
          <w:sz w:val="24"/>
        </w:rPr>
        <w:t>附件</w:t>
      </w:r>
      <w:r>
        <w:rPr>
          <w:sz w:val="24"/>
        </w:rPr>
        <w:t>3</w:t>
      </w:r>
      <w:r>
        <w:rPr>
          <w:sz w:val="24"/>
        </w:rPr>
        <w:t>：无害化处置协议</w:t>
      </w:r>
    </w:p>
    <w:p w14:paraId="33F16B9D" w14:textId="77777777" w:rsidR="00B14D53" w:rsidRDefault="00000000">
      <w:pPr>
        <w:contextualSpacing/>
        <w:rPr>
          <w:sz w:val="24"/>
        </w:rPr>
      </w:pPr>
      <w:r>
        <w:rPr>
          <w:sz w:val="24"/>
        </w:rPr>
        <w:t>附件</w:t>
      </w:r>
      <w:r>
        <w:rPr>
          <w:sz w:val="24"/>
        </w:rPr>
        <w:t>4</w:t>
      </w:r>
      <w:r>
        <w:rPr>
          <w:sz w:val="24"/>
        </w:rPr>
        <w:t>：检测报告</w:t>
      </w:r>
    </w:p>
    <w:p w14:paraId="4FBA47D1" w14:textId="77777777" w:rsidR="00B14D53" w:rsidRDefault="00000000">
      <w:pPr>
        <w:contextualSpacing/>
        <w:rPr>
          <w:sz w:val="24"/>
        </w:rPr>
      </w:pPr>
      <w:r>
        <w:rPr>
          <w:sz w:val="24"/>
        </w:rPr>
        <w:t>附件</w:t>
      </w:r>
      <w:r>
        <w:rPr>
          <w:sz w:val="24"/>
        </w:rPr>
        <w:t>5</w:t>
      </w:r>
      <w:r>
        <w:rPr>
          <w:sz w:val="24"/>
        </w:rPr>
        <w:t>：生态环境分区管控分析报告</w:t>
      </w:r>
    </w:p>
    <w:p w14:paraId="3861F857" w14:textId="77777777" w:rsidR="00B14D53" w:rsidRDefault="00000000">
      <w:pPr>
        <w:contextualSpacing/>
        <w:rPr>
          <w:sz w:val="24"/>
        </w:rPr>
      </w:pPr>
      <w:r>
        <w:rPr>
          <w:sz w:val="24"/>
        </w:rPr>
        <w:t>附件</w:t>
      </w:r>
      <w:r>
        <w:rPr>
          <w:sz w:val="24"/>
        </w:rPr>
        <w:t>6</w:t>
      </w:r>
      <w:r>
        <w:rPr>
          <w:sz w:val="24"/>
        </w:rPr>
        <w:t>：哈尔滨银山无害化处理有限公司排污许可证正本</w:t>
      </w:r>
    </w:p>
    <w:p w14:paraId="2180EC29" w14:textId="77777777" w:rsidR="00B14D53" w:rsidRDefault="00000000">
      <w:pPr>
        <w:contextualSpacing/>
        <w:rPr>
          <w:sz w:val="24"/>
        </w:rPr>
      </w:pPr>
      <w:r>
        <w:rPr>
          <w:sz w:val="24"/>
        </w:rPr>
        <w:t>附图</w:t>
      </w:r>
      <w:r>
        <w:rPr>
          <w:sz w:val="24"/>
        </w:rPr>
        <w:t>1</w:t>
      </w:r>
      <w:r>
        <w:rPr>
          <w:sz w:val="24"/>
        </w:rPr>
        <w:t>：项目地理位置图</w:t>
      </w:r>
    </w:p>
    <w:p w14:paraId="69F0B077" w14:textId="77777777" w:rsidR="00B14D53" w:rsidRDefault="00000000">
      <w:pPr>
        <w:contextualSpacing/>
        <w:rPr>
          <w:sz w:val="24"/>
        </w:rPr>
      </w:pPr>
      <w:r>
        <w:rPr>
          <w:sz w:val="24"/>
        </w:rPr>
        <w:t>附图</w:t>
      </w:r>
      <w:r>
        <w:rPr>
          <w:sz w:val="24"/>
        </w:rPr>
        <w:t>2</w:t>
      </w:r>
      <w:r>
        <w:rPr>
          <w:sz w:val="24"/>
        </w:rPr>
        <w:t>：项目平面布置图</w:t>
      </w:r>
    </w:p>
    <w:p w14:paraId="51AEC1B0" w14:textId="77777777" w:rsidR="00B14D53" w:rsidRDefault="00000000">
      <w:pPr>
        <w:contextualSpacing/>
        <w:rPr>
          <w:sz w:val="24"/>
        </w:rPr>
      </w:pPr>
      <w:r>
        <w:rPr>
          <w:sz w:val="24"/>
        </w:rPr>
        <w:t>附图</w:t>
      </w:r>
      <w:r>
        <w:rPr>
          <w:sz w:val="24"/>
        </w:rPr>
        <w:t>3</w:t>
      </w:r>
      <w:r>
        <w:rPr>
          <w:sz w:val="24"/>
        </w:rPr>
        <w:t>：项目评价范围与敏感目标分布图</w:t>
      </w:r>
    </w:p>
    <w:p w14:paraId="38494B77" w14:textId="77777777" w:rsidR="00B14D53" w:rsidRDefault="00000000">
      <w:pPr>
        <w:contextualSpacing/>
        <w:rPr>
          <w:sz w:val="24"/>
          <w:highlight w:val="yellow"/>
        </w:rPr>
      </w:pPr>
      <w:r>
        <w:rPr>
          <w:sz w:val="24"/>
          <w:highlight w:val="yellow"/>
        </w:rPr>
        <w:t>附图</w:t>
      </w:r>
      <w:r>
        <w:rPr>
          <w:sz w:val="24"/>
          <w:highlight w:val="yellow"/>
        </w:rPr>
        <w:t>4</w:t>
      </w:r>
      <w:r>
        <w:rPr>
          <w:sz w:val="24"/>
          <w:highlight w:val="yellow"/>
        </w:rPr>
        <w:t>：植被类型图</w:t>
      </w:r>
    </w:p>
    <w:p w14:paraId="6EE0D57E" w14:textId="77777777" w:rsidR="00B14D53" w:rsidRDefault="00000000">
      <w:pPr>
        <w:contextualSpacing/>
        <w:rPr>
          <w:sz w:val="24"/>
          <w:highlight w:val="yellow"/>
        </w:rPr>
      </w:pPr>
      <w:r>
        <w:rPr>
          <w:sz w:val="24"/>
          <w:highlight w:val="yellow"/>
        </w:rPr>
        <w:t>附图</w:t>
      </w:r>
      <w:r>
        <w:rPr>
          <w:sz w:val="24"/>
          <w:highlight w:val="yellow"/>
        </w:rPr>
        <w:t>5</w:t>
      </w:r>
      <w:r>
        <w:rPr>
          <w:sz w:val="24"/>
          <w:highlight w:val="yellow"/>
        </w:rPr>
        <w:t>：土地利用现状图</w:t>
      </w:r>
    </w:p>
    <w:p w14:paraId="426B24A1" w14:textId="77777777" w:rsidR="00B14D53" w:rsidRDefault="00B14D53">
      <w:pPr>
        <w:spacing w:line="288" w:lineRule="auto"/>
        <w:ind w:firstLine="425"/>
        <w:contextualSpacing/>
        <w:rPr>
          <w:rFonts w:eastAsiaTheme="minorEastAsia" w:hAnsiTheme="minorEastAsia" w:hint="eastAsia"/>
          <w:sz w:val="24"/>
        </w:rPr>
      </w:pPr>
    </w:p>
    <w:p w14:paraId="23691705" w14:textId="77777777" w:rsidR="00B14D53" w:rsidRDefault="00B14D53">
      <w:pPr>
        <w:spacing w:line="288" w:lineRule="auto"/>
        <w:ind w:firstLineChars="200" w:firstLine="480"/>
        <w:contextualSpacing/>
        <w:rPr>
          <w:rFonts w:eastAsiaTheme="minorEastAsia" w:hAnsiTheme="minorEastAsia" w:hint="eastAsia"/>
          <w:sz w:val="24"/>
        </w:rPr>
        <w:sectPr w:rsidR="00B14D53">
          <w:footerReference w:type="default" r:id="rId10"/>
          <w:pgSz w:w="11906" w:h="16838"/>
          <w:pgMar w:top="1440" w:right="1800" w:bottom="1440" w:left="1800" w:header="851" w:footer="992" w:gutter="0"/>
          <w:pgNumType w:start="1"/>
          <w:cols w:space="425"/>
          <w:docGrid w:type="lines" w:linePitch="312"/>
        </w:sectPr>
      </w:pPr>
    </w:p>
    <w:p w14:paraId="11A4EF30" w14:textId="77777777" w:rsidR="00B14D53" w:rsidRDefault="00000000">
      <w:pPr>
        <w:pStyle w:val="1"/>
        <w:spacing w:before="100" w:beforeAutospacing="1" w:after="0" w:line="240" w:lineRule="auto"/>
        <w:ind w:firstLineChars="200" w:firstLine="640"/>
        <w:rPr>
          <w:rFonts w:eastAsia="黑体"/>
          <w:b w:val="0"/>
          <w:bCs w:val="0"/>
          <w:sz w:val="32"/>
          <w:szCs w:val="32"/>
        </w:rPr>
      </w:pPr>
      <w:bookmarkStart w:id="1" w:name="_Toc8000"/>
      <w:r>
        <w:rPr>
          <w:rFonts w:eastAsia="黑体"/>
          <w:b w:val="0"/>
          <w:bCs w:val="0"/>
          <w:sz w:val="32"/>
          <w:szCs w:val="32"/>
        </w:rPr>
        <w:lastRenderedPageBreak/>
        <w:t>1</w:t>
      </w:r>
      <w:r>
        <w:rPr>
          <w:rFonts w:eastAsia="黑体"/>
          <w:b w:val="0"/>
          <w:bCs w:val="0"/>
          <w:sz w:val="32"/>
          <w:szCs w:val="32"/>
        </w:rPr>
        <w:t>概述</w:t>
      </w:r>
      <w:bookmarkEnd w:id="0"/>
      <w:bookmarkEnd w:id="1"/>
    </w:p>
    <w:p w14:paraId="7F78CC24"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 w:name="_Toc24091"/>
      <w:r>
        <w:rPr>
          <w:rFonts w:ascii="Times New Roman" w:eastAsia="黑体" w:hAnsi="Times New Roman" w:cs="Times New Roman"/>
          <w:b w:val="0"/>
          <w:bCs w:val="0"/>
          <w:sz w:val="30"/>
          <w:szCs w:val="30"/>
        </w:rPr>
        <w:t>1.1</w:t>
      </w:r>
      <w:r>
        <w:rPr>
          <w:rFonts w:ascii="Times New Roman" w:eastAsia="黑体" w:hAnsi="Times New Roman" w:cs="Times New Roman"/>
          <w:b w:val="0"/>
          <w:bCs w:val="0"/>
          <w:sz w:val="30"/>
          <w:szCs w:val="30"/>
        </w:rPr>
        <w:t>项目由来</w:t>
      </w:r>
      <w:bookmarkEnd w:id="2"/>
    </w:p>
    <w:p w14:paraId="583C7AC3" w14:textId="77777777" w:rsidR="00B14D53" w:rsidRDefault="00000000">
      <w:pPr>
        <w:spacing w:line="360" w:lineRule="auto"/>
        <w:ind w:firstLineChars="200" w:firstLine="472"/>
        <w:rPr>
          <w:rFonts w:eastAsiaTheme="minorEastAsia"/>
          <w:snapToGrid w:val="0"/>
          <w:kern w:val="0"/>
          <w:sz w:val="24"/>
        </w:rPr>
      </w:pPr>
      <w:bookmarkStart w:id="3" w:name="_Toc479252798"/>
      <w:r>
        <w:rPr>
          <w:spacing w:val="-2"/>
          <w:sz w:val="24"/>
        </w:rPr>
        <w:t>随着人们生活水平的提高，高品位</w:t>
      </w:r>
      <w:r>
        <w:rPr>
          <w:rFonts w:hint="eastAsia"/>
          <w:spacing w:val="-2"/>
          <w:sz w:val="24"/>
        </w:rPr>
        <w:t>、</w:t>
      </w:r>
      <w:r>
        <w:rPr>
          <w:spacing w:val="-2"/>
          <w:sz w:val="24"/>
        </w:rPr>
        <w:t>高质量的</w:t>
      </w:r>
      <w:r>
        <w:rPr>
          <w:rFonts w:hint="eastAsia"/>
          <w:spacing w:val="-2"/>
          <w:sz w:val="24"/>
        </w:rPr>
        <w:t>“</w:t>
      </w:r>
      <w:r>
        <w:rPr>
          <w:spacing w:val="-2"/>
          <w:sz w:val="24"/>
        </w:rPr>
        <w:t>安全</w:t>
      </w:r>
      <w:r>
        <w:rPr>
          <w:rFonts w:hint="eastAsia"/>
          <w:spacing w:val="-2"/>
          <w:sz w:val="24"/>
        </w:rPr>
        <w:t>”</w:t>
      </w:r>
      <w:r>
        <w:rPr>
          <w:spacing w:val="-2"/>
          <w:sz w:val="24"/>
        </w:rPr>
        <w:t>、</w:t>
      </w:r>
      <w:r>
        <w:rPr>
          <w:rFonts w:hint="eastAsia"/>
          <w:spacing w:val="-2"/>
          <w:sz w:val="24"/>
        </w:rPr>
        <w:t>“</w:t>
      </w:r>
      <w:r>
        <w:rPr>
          <w:spacing w:val="-2"/>
          <w:sz w:val="24"/>
        </w:rPr>
        <w:t>绿色</w:t>
      </w:r>
      <w:r>
        <w:rPr>
          <w:rFonts w:hint="eastAsia"/>
          <w:spacing w:val="-2"/>
          <w:sz w:val="24"/>
        </w:rPr>
        <w:t>”肉制</w:t>
      </w:r>
      <w:r>
        <w:rPr>
          <w:spacing w:val="-2"/>
          <w:sz w:val="24"/>
        </w:rPr>
        <w:t>产品越来越受到消费者</w:t>
      </w:r>
      <w:r>
        <w:rPr>
          <w:spacing w:val="-1"/>
          <w:sz w:val="24"/>
        </w:rPr>
        <w:t>的喜爱和重视，因此，我国政府就猪肉类产品的</w:t>
      </w:r>
      <w:r>
        <w:rPr>
          <w:rFonts w:hint="eastAsia"/>
          <w:spacing w:val="-1"/>
          <w:sz w:val="24"/>
        </w:rPr>
        <w:t>“</w:t>
      </w:r>
      <w:r>
        <w:rPr>
          <w:spacing w:val="-1"/>
          <w:sz w:val="24"/>
        </w:rPr>
        <w:t>放心肉</w:t>
      </w:r>
      <w:r>
        <w:rPr>
          <w:rFonts w:hint="eastAsia"/>
          <w:spacing w:val="-1"/>
          <w:sz w:val="24"/>
        </w:rPr>
        <w:t>”</w:t>
      </w:r>
      <w:r>
        <w:rPr>
          <w:spacing w:val="-1"/>
          <w:sz w:val="24"/>
        </w:rPr>
        <w:t>、</w:t>
      </w:r>
      <w:r>
        <w:rPr>
          <w:rFonts w:hint="eastAsia"/>
          <w:spacing w:val="-1"/>
          <w:sz w:val="24"/>
        </w:rPr>
        <w:t>“</w:t>
      </w:r>
      <w:r>
        <w:rPr>
          <w:spacing w:val="-1"/>
          <w:sz w:val="24"/>
        </w:rPr>
        <w:t>安全肉</w:t>
      </w:r>
      <w:r>
        <w:rPr>
          <w:rFonts w:hint="eastAsia"/>
          <w:spacing w:val="-1"/>
          <w:sz w:val="24"/>
        </w:rPr>
        <w:t>”</w:t>
      </w:r>
      <w:r>
        <w:rPr>
          <w:spacing w:val="-1"/>
          <w:sz w:val="24"/>
        </w:rPr>
        <w:t>甚至</w:t>
      </w:r>
      <w:r>
        <w:rPr>
          <w:rFonts w:hint="eastAsia"/>
          <w:spacing w:val="-1"/>
          <w:sz w:val="24"/>
        </w:rPr>
        <w:t>“</w:t>
      </w:r>
      <w:r>
        <w:rPr>
          <w:spacing w:val="-1"/>
          <w:sz w:val="24"/>
        </w:rPr>
        <w:t>绿色肉</w:t>
      </w:r>
      <w:r>
        <w:rPr>
          <w:rFonts w:hint="eastAsia"/>
          <w:spacing w:val="-1"/>
          <w:sz w:val="24"/>
        </w:rPr>
        <w:t>”</w:t>
      </w:r>
      <w:r>
        <w:rPr>
          <w:spacing w:val="-1"/>
          <w:sz w:val="24"/>
        </w:rPr>
        <w:t>制订多项相关法律法规和标准，并采取诸多鼓励</w:t>
      </w:r>
      <w:r>
        <w:rPr>
          <w:spacing w:val="-2"/>
          <w:sz w:val="24"/>
        </w:rPr>
        <w:t>政策措施。</w:t>
      </w:r>
    </w:p>
    <w:p w14:paraId="233E6415" w14:textId="77777777" w:rsidR="00B14D53" w:rsidRDefault="00000000">
      <w:pPr>
        <w:spacing w:line="360" w:lineRule="auto"/>
        <w:ind w:firstLineChars="200" w:firstLine="480"/>
        <w:rPr>
          <w:spacing w:val="-4"/>
          <w:sz w:val="24"/>
        </w:rPr>
      </w:pPr>
      <w:r>
        <w:rPr>
          <w:sz w:val="24"/>
        </w:rPr>
        <w:t>五常市三元生猪屠宰加工厂原隶属于黑龙江省山河屯林业局，于</w:t>
      </w:r>
      <w:r>
        <w:rPr>
          <w:sz w:val="24"/>
        </w:rPr>
        <w:t>2008</w:t>
      </w:r>
      <w:r>
        <w:rPr>
          <w:sz w:val="24"/>
        </w:rPr>
        <w:t>年建厂；</w:t>
      </w:r>
      <w:r>
        <w:rPr>
          <w:sz w:val="24"/>
        </w:rPr>
        <w:t>2012</w:t>
      </w:r>
      <w:r>
        <w:rPr>
          <w:sz w:val="24"/>
        </w:rPr>
        <w:t>年交由个人承包，改名为五常市三元肉类联合加工厂；</w:t>
      </w:r>
      <w:r>
        <w:rPr>
          <w:sz w:val="24"/>
        </w:rPr>
        <w:t>2023</w:t>
      </w:r>
      <w:r>
        <w:rPr>
          <w:sz w:val="24"/>
        </w:rPr>
        <w:t>年</w:t>
      </w:r>
      <w:r>
        <w:rPr>
          <w:sz w:val="24"/>
        </w:rPr>
        <w:t>8</w:t>
      </w:r>
      <w:r>
        <w:rPr>
          <w:sz w:val="24"/>
        </w:rPr>
        <w:t>月，由于森工总局改制为集团公司，各林业局改为分公司，根据集团要求，将加工厂改为自然人股份制，公司改名为五常市三元肉类加工有限公司。</w:t>
      </w:r>
      <w:r>
        <w:rPr>
          <w:rFonts w:hint="eastAsia"/>
          <w:sz w:val="24"/>
        </w:rPr>
        <w:t>工厂于</w:t>
      </w:r>
      <w:r>
        <w:rPr>
          <w:rFonts w:hint="eastAsia"/>
          <w:sz w:val="24"/>
        </w:rPr>
        <w:t>2017</w:t>
      </w:r>
      <w:r>
        <w:rPr>
          <w:rFonts w:hint="eastAsia"/>
          <w:sz w:val="24"/>
        </w:rPr>
        <w:t>年</w:t>
      </w:r>
      <w:r>
        <w:rPr>
          <w:rFonts w:hint="eastAsia"/>
          <w:sz w:val="24"/>
        </w:rPr>
        <w:t>1</w:t>
      </w:r>
      <w:r>
        <w:rPr>
          <w:rFonts w:hint="eastAsia"/>
          <w:sz w:val="24"/>
        </w:rPr>
        <w:t>月停产。</w:t>
      </w:r>
      <w:r>
        <w:rPr>
          <w:rFonts w:eastAsiaTheme="minorEastAsia" w:hAnsiTheme="minorEastAsia" w:hint="eastAsia"/>
          <w:snapToGrid w:val="0"/>
          <w:kern w:val="0"/>
          <w:sz w:val="24"/>
        </w:rPr>
        <w:t>厂内现有生产线可</w:t>
      </w:r>
      <w:r>
        <w:rPr>
          <w:spacing w:val="-1"/>
          <w:sz w:val="24"/>
        </w:rPr>
        <w:t>年屠宰</w:t>
      </w:r>
      <w:r>
        <w:rPr>
          <w:rFonts w:hint="eastAsia"/>
          <w:spacing w:val="-1"/>
          <w:sz w:val="24"/>
        </w:rPr>
        <w:t>生猪</w:t>
      </w:r>
      <w:r>
        <w:rPr>
          <w:rFonts w:eastAsia="Times New Roman" w:hint="eastAsia"/>
          <w:spacing w:val="-4"/>
          <w:sz w:val="24"/>
        </w:rPr>
        <w:t>3.4万</w:t>
      </w:r>
      <w:r>
        <w:rPr>
          <w:rFonts w:eastAsia="Times New Roman"/>
          <w:spacing w:val="-4"/>
          <w:sz w:val="24"/>
        </w:rPr>
        <w:t>头</w:t>
      </w:r>
      <w:r>
        <w:rPr>
          <w:rFonts w:hint="eastAsia"/>
          <w:spacing w:val="-4"/>
          <w:sz w:val="24"/>
        </w:rPr>
        <w:t>，屠宰能力约为</w:t>
      </w:r>
      <w:r>
        <w:rPr>
          <w:rFonts w:hint="eastAsia"/>
          <w:spacing w:val="-4"/>
          <w:sz w:val="24"/>
        </w:rPr>
        <w:t>100</w:t>
      </w:r>
      <w:r>
        <w:rPr>
          <w:rFonts w:hint="eastAsia"/>
          <w:spacing w:val="-4"/>
          <w:sz w:val="24"/>
        </w:rPr>
        <w:t>头</w:t>
      </w:r>
      <w:r>
        <w:rPr>
          <w:rFonts w:hint="eastAsia"/>
          <w:spacing w:val="-4"/>
          <w:sz w:val="24"/>
        </w:rPr>
        <w:t>/</w:t>
      </w:r>
      <w:r>
        <w:rPr>
          <w:rFonts w:hint="eastAsia"/>
          <w:spacing w:val="-4"/>
          <w:sz w:val="24"/>
        </w:rPr>
        <w:t>天。</w:t>
      </w:r>
    </w:p>
    <w:p w14:paraId="2B9239EB" w14:textId="77777777" w:rsidR="00B14D53" w:rsidRDefault="00000000">
      <w:pPr>
        <w:spacing w:line="360" w:lineRule="auto"/>
        <w:ind w:firstLineChars="200" w:firstLine="464"/>
        <w:rPr>
          <w:spacing w:val="-4"/>
          <w:sz w:val="24"/>
        </w:rPr>
      </w:pPr>
      <w:r>
        <w:rPr>
          <w:rFonts w:hint="eastAsia"/>
          <w:spacing w:val="-4"/>
          <w:sz w:val="24"/>
        </w:rPr>
        <w:t>公司</w:t>
      </w:r>
      <w:r>
        <w:rPr>
          <w:spacing w:val="-4"/>
          <w:sz w:val="24"/>
        </w:rPr>
        <w:t>拟投资</w:t>
      </w:r>
      <w:r>
        <w:rPr>
          <w:rFonts w:hint="eastAsia"/>
          <w:spacing w:val="-4"/>
          <w:sz w:val="24"/>
        </w:rPr>
        <w:t>7</w:t>
      </w:r>
      <w:r>
        <w:rPr>
          <w:spacing w:val="-4"/>
          <w:sz w:val="24"/>
        </w:rPr>
        <w:t>00</w:t>
      </w:r>
      <w:r>
        <w:rPr>
          <w:spacing w:val="-4"/>
          <w:sz w:val="24"/>
        </w:rPr>
        <w:t>万元，</w:t>
      </w:r>
      <w:r>
        <w:rPr>
          <w:rFonts w:hint="eastAsia"/>
          <w:spacing w:val="-4"/>
          <w:sz w:val="24"/>
        </w:rPr>
        <w:t>拆除现有老旧生产线并新建。本项目建成后</w:t>
      </w:r>
      <w:r>
        <w:rPr>
          <w:spacing w:val="-4"/>
          <w:sz w:val="24"/>
        </w:rPr>
        <w:t>，全厂可实现年屠宰生猪</w:t>
      </w:r>
      <w:r>
        <w:rPr>
          <w:spacing w:val="-4"/>
          <w:sz w:val="24"/>
        </w:rPr>
        <w:t>16</w:t>
      </w:r>
      <w:r>
        <w:rPr>
          <w:spacing w:val="-4"/>
          <w:sz w:val="24"/>
        </w:rPr>
        <w:t>万头</w:t>
      </w:r>
      <w:r>
        <w:rPr>
          <w:rFonts w:hint="eastAsia"/>
          <w:spacing w:val="-4"/>
          <w:sz w:val="24"/>
        </w:rPr>
        <w:t>，</w:t>
      </w:r>
      <w:r>
        <w:rPr>
          <w:spacing w:val="-4"/>
          <w:sz w:val="24"/>
        </w:rPr>
        <w:t>屠宰能力约为</w:t>
      </w:r>
      <w:r>
        <w:rPr>
          <w:rFonts w:hint="eastAsia"/>
          <w:spacing w:val="-4"/>
          <w:sz w:val="24"/>
        </w:rPr>
        <w:t>471</w:t>
      </w:r>
      <w:r>
        <w:rPr>
          <w:spacing w:val="-4"/>
          <w:sz w:val="24"/>
        </w:rPr>
        <w:t>头</w:t>
      </w:r>
      <w:r>
        <w:rPr>
          <w:spacing w:val="-4"/>
          <w:sz w:val="24"/>
        </w:rPr>
        <w:t>/</w:t>
      </w:r>
      <w:r>
        <w:rPr>
          <w:rFonts w:hint="eastAsia"/>
          <w:spacing w:val="-4"/>
          <w:sz w:val="24"/>
        </w:rPr>
        <w:t>天。</w:t>
      </w:r>
    </w:p>
    <w:p w14:paraId="23C4C05E" w14:textId="77777777" w:rsidR="00B14D53" w:rsidRDefault="00000000">
      <w:pPr>
        <w:pStyle w:val="afff"/>
        <w:adjustRightInd/>
        <w:snapToGrid/>
        <w:contextualSpacing/>
        <w:rPr>
          <w:rFonts w:ascii="Times New Roman" w:hAnsi="Times New Roman" w:cs="Times New Roman"/>
        </w:rPr>
      </w:pPr>
      <w:r>
        <w:rPr>
          <w:rFonts w:ascii="Times New Roman" w:hAnsiTheme="minorEastAsia" w:cs="Times New Roman" w:hint="eastAsia"/>
        </w:rPr>
        <w:t>根据</w:t>
      </w:r>
      <w:r>
        <w:rPr>
          <w:rFonts w:ascii="Times New Roman" w:hAnsiTheme="minorEastAsia" w:cs="Times New Roman"/>
        </w:rPr>
        <w:t>《中华人民共和国环境影响评价法》和《建设项目环境保护管理条例》等环保法规和条例中的有关规定，需对该项目进行环境影响评价，受</w:t>
      </w:r>
      <w:r>
        <w:rPr>
          <w:rFonts w:ascii="Times New Roman" w:hAnsiTheme="minorEastAsia" w:cs="Times New Roman" w:hint="eastAsia"/>
        </w:rPr>
        <w:t>五常市三元肉类加工有限公司</w:t>
      </w:r>
      <w:r>
        <w:rPr>
          <w:rFonts w:ascii="Times New Roman" w:hAnsiTheme="minorEastAsia" w:cs="Times New Roman"/>
        </w:rPr>
        <w:t>委托，哈尔滨茸昌环保科技有限公司承担了本项目的环境影响评价工作，对</w:t>
      </w:r>
      <w:r>
        <w:rPr>
          <w:rFonts w:ascii="Times New Roman" w:hAnsiTheme="minorEastAsia" w:cs="Times New Roman" w:hint="eastAsia"/>
        </w:rPr>
        <w:t>五常市三元肉类加工有限公司建设项目</w:t>
      </w:r>
      <w:r>
        <w:rPr>
          <w:rFonts w:ascii="Times New Roman" w:hAnsiTheme="minorEastAsia" w:cs="Times New Roman"/>
        </w:rPr>
        <w:t>的建设与运营可能产生的环境影响进行分析、预测与评估，提出减缓不利环境影响的对策与措施，从环境保护角度论证项目建设的可行性，给出明确的环境影响评价结论。</w:t>
      </w:r>
    </w:p>
    <w:p w14:paraId="4E14A160"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4" w:name="_Toc5847"/>
      <w:bookmarkStart w:id="5" w:name="_Toc15991611"/>
      <w:bookmarkStart w:id="6" w:name="_Toc524431260"/>
      <w:bookmarkEnd w:id="3"/>
      <w:r>
        <w:rPr>
          <w:rFonts w:ascii="Times New Roman" w:eastAsia="黑体" w:hAnsi="Times New Roman" w:cs="Times New Roman"/>
          <w:b w:val="0"/>
          <w:bCs w:val="0"/>
          <w:sz w:val="30"/>
          <w:szCs w:val="30"/>
        </w:rPr>
        <w:t>1.2</w:t>
      </w:r>
      <w:r>
        <w:rPr>
          <w:rFonts w:ascii="Times New Roman" w:eastAsia="黑体" w:hAnsi="Times New Roman" w:cs="Times New Roman"/>
          <w:b w:val="0"/>
          <w:bCs w:val="0"/>
          <w:sz w:val="30"/>
          <w:szCs w:val="30"/>
        </w:rPr>
        <w:t>项目特点</w:t>
      </w:r>
      <w:bookmarkEnd w:id="4"/>
      <w:bookmarkEnd w:id="5"/>
      <w:bookmarkEnd w:id="6"/>
    </w:p>
    <w:p w14:paraId="087FC7CE"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7" w:name="_Toc23646"/>
      <w:r>
        <w:rPr>
          <w:rFonts w:ascii="Times New Roman" w:eastAsia="黑体" w:hAnsi="Times New Roman" w:cs="Times New Roman"/>
          <w:sz w:val="28"/>
          <w:szCs w:val="28"/>
        </w:rPr>
        <w:t>1.2.1</w:t>
      </w:r>
      <w:r>
        <w:rPr>
          <w:rFonts w:ascii="Times New Roman" w:eastAsia="黑体" w:hAnsi="Times New Roman" w:cs="Times New Roman"/>
          <w:sz w:val="28"/>
          <w:szCs w:val="28"/>
        </w:rPr>
        <w:t>项目概况</w:t>
      </w:r>
      <w:bookmarkEnd w:id="7"/>
    </w:p>
    <w:p w14:paraId="2920DAD7" w14:textId="77777777" w:rsidR="00B14D53" w:rsidRDefault="00000000">
      <w:pPr>
        <w:spacing w:line="360" w:lineRule="auto"/>
        <w:ind w:firstLineChars="200" w:firstLine="480"/>
        <w:rPr>
          <w:spacing w:val="-1"/>
          <w:sz w:val="24"/>
        </w:rPr>
      </w:pPr>
      <w:r>
        <w:rPr>
          <w:sz w:val="24"/>
        </w:rPr>
        <w:t>根据现场踏勘，</w:t>
      </w:r>
      <w:r>
        <w:rPr>
          <w:spacing w:val="-1"/>
          <w:sz w:val="24"/>
        </w:rPr>
        <w:t>本项目利用现有</w:t>
      </w:r>
      <w:r>
        <w:rPr>
          <w:rFonts w:hint="eastAsia"/>
          <w:spacing w:val="-1"/>
          <w:sz w:val="24"/>
        </w:rPr>
        <w:t>辅助间、宰前喷淋间、屠宰</w:t>
      </w:r>
      <w:r>
        <w:rPr>
          <w:spacing w:val="-1"/>
          <w:sz w:val="24"/>
        </w:rPr>
        <w:t>车间、</w:t>
      </w:r>
      <w:r>
        <w:rPr>
          <w:rFonts w:hint="eastAsia"/>
          <w:spacing w:val="-1"/>
          <w:sz w:val="24"/>
        </w:rPr>
        <w:t>休息室</w:t>
      </w:r>
      <w:r>
        <w:rPr>
          <w:spacing w:val="-1"/>
          <w:sz w:val="24"/>
        </w:rPr>
        <w:t>、</w:t>
      </w:r>
      <w:r>
        <w:rPr>
          <w:rFonts w:hint="eastAsia"/>
          <w:spacing w:val="-1"/>
          <w:sz w:val="24"/>
        </w:rPr>
        <w:t>机房、调节站、</w:t>
      </w:r>
      <w:r>
        <w:rPr>
          <w:spacing w:val="-1"/>
          <w:sz w:val="24"/>
        </w:rPr>
        <w:t>冷库、</w:t>
      </w:r>
      <w:r>
        <w:rPr>
          <w:rFonts w:hint="eastAsia"/>
          <w:spacing w:val="-1"/>
          <w:sz w:val="24"/>
        </w:rPr>
        <w:t>门卫、杂物库房等；需新建</w:t>
      </w:r>
      <w:r>
        <w:rPr>
          <w:spacing w:val="-1"/>
          <w:sz w:val="24"/>
        </w:rPr>
        <w:t>危险废物贮存点</w:t>
      </w:r>
      <w:r>
        <w:rPr>
          <w:rFonts w:hint="eastAsia"/>
          <w:spacing w:val="-1"/>
          <w:sz w:val="24"/>
        </w:rPr>
        <w:t>，拆除现有污水处理站并扩建。对屠宰车间现有生产线进行拆除重建，建成后，</w:t>
      </w:r>
      <w:r>
        <w:rPr>
          <w:spacing w:val="-1"/>
          <w:sz w:val="24"/>
        </w:rPr>
        <w:t>年屠宰生猪</w:t>
      </w:r>
      <w:r>
        <w:rPr>
          <w:spacing w:val="-1"/>
          <w:sz w:val="24"/>
        </w:rPr>
        <w:t>16</w:t>
      </w:r>
      <w:r>
        <w:rPr>
          <w:spacing w:val="-1"/>
          <w:sz w:val="24"/>
        </w:rPr>
        <w:t>万头</w:t>
      </w:r>
      <w:r>
        <w:rPr>
          <w:rFonts w:hint="eastAsia"/>
          <w:spacing w:val="-1"/>
          <w:sz w:val="24"/>
        </w:rPr>
        <w:t>。</w:t>
      </w:r>
    </w:p>
    <w:p w14:paraId="6C783C00" w14:textId="77777777" w:rsidR="00B14D53" w:rsidRDefault="00000000">
      <w:pPr>
        <w:pStyle w:val="af2"/>
        <w:spacing w:after="0" w:line="360" w:lineRule="auto"/>
        <w:ind w:firstLineChars="200" w:firstLine="476"/>
        <w:rPr>
          <w:kern w:val="0"/>
          <w:sz w:val="24"/>
          <w:lang w:bidi="ar"/>
        </w:rPr>
      </w:pPr>
      <w:r>
        <w:rPr>
          <w:rFonts w:hint="eastAsia"/>
          <w:spacing w:val="-1"/>
          <w:sz w:val="24"/>
        </w:rPr>
        <w:t>针对目前厂区的现有环保设施，需</w:t>
      </w:r>
      <w:r>
        <w:rPr>
          <w:spacing w:val="-1"/>
          <w:sz w:val="24"/>
        </w:rPr>
        <w:t>对待宰圈、</w:t>
      </w:r>
      <w:r>
        <w:rPr>
          <w:rFonts w:hint="eastAsia"/>
          <w:spacing w:val="-1"/>
          <w:sz w:val="24"/>
        </w:rPr>
        <w:t>屠宰车间</w:t>
      </w:r>
      <w:r>
        <w:rPr>
          <w:spacing w:val="-1"/>
          <w:sz w:val="24"/>
        </w:rPr>
        <w:t>、污水处理站</w:t>
      </w:r>
      <w:r>
        <w:rPr>
          <w:rFonts w:hint="eastAsia"/>
          <w:spacing w:val="-1"/>
          <w:sz w:val="24"/>
        </w:rPr>
        <w:t>设置臭气治理设施并建设</w:t>
      </w:r>
      <w:r>
        <w:rPr>
          <w:spacing w:val="-1"/>
          <w:sz w:val="24"/>
        </w:rPr>
        <w:t>排气筒，</w:t>
      </w:r>
      <w:r>
        <w:rPr>
          <w:rFonts w:hint="eastAsia"/>
          <w:spacing w:val="-1"/>
          <w:sz w:val="24"/>
        </w:rPr>
        <w:t>扩建</w:t>
      </w:r>
      <w:r>
        <w:rPr>
          <w:spacing w:val="-1"/>
          <w:sz w:val="24"/>
        </w:rPr>
        <w:t>一座</w:t>
      </w:r>
      <w:r>
        <w:rPr>
          <w:rFonts w:hint="eastAsia"/>
          <w:spacing w:val="-1"/>
          <w:sz w:val="24"/>
        </w:rPr>
        <w:t>85</w:t>
      </w:r>
      <w:r>
        <w:rPr>
          <w:spacing w:val="-1"/>
          <w:sz w:val="24"/>
        </w:rPr>
        <w:t>m</w:t>
      </w:r>
      <w:r>
        <w:rPr>
          <w:spacing w:val="-1"/>
          <w:sz w:val="24"/>
          <w:vertAlign w:val="superscript"/>
        </w:rPr>
        <w:t>3</w:t>
      </w:r>
      <w:r>
        <w:rPr>
          <w:spacing w:val="-1"/>
          <w:sz w:val="24"/>
        </w:rPr>
        <w:t>的</w:t>
      </w:r>
      <w:r>
        <w:rPr>
          <w:rFonts w:hint="eastAsia"/>
          <w:spacing w:val="-1"/>
          <w:sz w:val="24"/>
        </w:rPr>
        <w:t>污水</w:t>
      </w:r>
      <w:r>
        <w:rPr>
          <w:spacing w:val="-1"/>
          <w:sz w:val="24"/>
        </w:rPr>
        <w:t>事故池</w:t>
      </w:r>
      <w:r>
        <w:rPr>
          <w:sz w:val="24"/>
        </w:rPr>
        <w:t>。</w:t>
      </w:r>
      <w:r>
        <w:rPr>
          <w:rFonts w:eastAsia="TimesNewRomanPSMT"/>
          <w:kern w:val="0"/>
          <w:sz w:val="24"/>
          <w:lang w:bidi="ar"/>
        </w:rPr>
        <w:t>冷库采用</w:t>
      </w:r>
      <w:r>
        <w:rPr>
          <w:rFonts w:eastAsia="TimesNewRomanPSMT"/>
          <w:kern w:val="0"/>
          <w:sz w:val="24"/>
          <w:lang w:bidi="ar"/>
        </w:rPr>
        <w:t>R404A</w:t>
      </w:r>
      <w:r>
        <w:rPr>
          <w:rFonts w:eastAsia="TimesNewRomanPSMT"/>
          <w:kern w:val="0"/>
          <w:sz w:val="24"/>
          <w:lang w:bidi="ar"/>
        </w:rPr>
        <w:t>制冷</w:t>
      </w:r>
      <w:r>
        <w:rPr>
          <w:rFonts w:eastAsia="TimesNewRomanPSMT"/>
          <w:kern w:val="0"/>
          <w:sz w:val="24"/>
          <w:lang w:bidi="ar"/>
        </w:rPr>
        <w:lastRenderedPageBreak/>
        <w:t>剂，</w:t>
      </w:r>
      <w:r>
        <w:rPr>
          <w:rFonts w:eastAsia="TimesNewRomanPSMT"/>
          <w:kern w:val="0"/>
          <w:sz w:val="24"/>
          <w:lang w:bidi="ar"/>
        </w:rPr>
        <w:t>R404A</w:t>
      </w:r>
      <w:r>
        <w:rPr>
          <w:kern w:val="0"/>
          <w:sz w:val="24"/>
          <w:lang w:bidi="ar"/>
        </w:rPr>
        <w:t>制冷剂是一款由</w:t>
      </w:r>
      <w:r>
        <w:rPr>
          <w:rFonts w:eastAsia="TimesNewRomanPSMT"/>
          <w:kern w:val="0"/>
          <w:sz w:val="24"/>
          <w:lang w:bidi="ar"/>
        </w:rPr>
        <w:t>HFC</w:t>
      </w:r>
      <w:r>
        <w:rPr>
          <w:kern w:val="0"/>
          <w:sz w:val="24"/>
          <w:lang w:bidi="ar"/>
        </w:rPr>
        <w:t>类物质组成的混配制冷剂，不含任何破坏臭氧层的物质。</w:t>
      </w:r>
    </w:p>
    <w:p w14:paraId="5BA2BA4B" w14:textId="77777777" w:rsidR="00B14D53" w:rsidRDefault="00000000">
      <w:pPr>
        <w:spacing w:line="360" w:lineRule="auto"/>
        <w:ind w:firstLineChars="200" w:firstLine="480"/>
        <w:rPr>
          <w:bCs/>
          <w:sz w:val="24"/>
        </w:rPr>
      </w:pPr>
      <w:r>
        <w:rPr>
          <w:rFonts w:hint="eastAsia"/>
          <w:bCs/>
          <w:sz w:val="24"/>
        </w:rPr>
        <w:t>本项目</w:t>
      </w:r>
      <w:r>
        <w:rPr>
          <w:bCs/>
          <w:sz w:val="24"/>
        </w:rPr>
        <w:t>水源来自</w:t>
      </w:r>
      <w:r>
        <w:rPr>
          <w:rFonts w:hint="eastAsia"/>
          <w:bCs/>
          <w:sz w:val="24"/>
        </w:rPr>
        <w:t>林业局</w:t>
      </w:r>
      <w:r>
        <w:rPr>
          <w:bCs/>
          <w:sz w:val="24"/>
        </w:rPr>
        <w:t>自来水厂</w:t>
      </w:r>
      <w:r>
        <w:rPr>
          <w:rFonts w:hint="eastAsia"/>
          <w:bCs/>
          <w:sz w:val="24"/>
        </w:rPr>
        <w:t>，本项目生产用蒸汽由电蒸汽发生器提供，冬季取暖由黑龙江省山河屯林业局有限公司供热站提供集中供热，均不使用锅炉</w:t>
      </w:r>
      <w:r>
        <w:rPr>
          <w:bCs/>
          <w:sz w:val="24"/>
        </w:rPr>
        <w:t>。厂区依托现有供电系统。厂区屠宰</w:t>
      </w:r>
      <w:r>
        <w:rPr>
          <w:rFonts w:hint="eastAsia"/>
          <w:bCs/>
          <w:sz w:val="24"/>
        </w:rPr>
        <w:t>等</w:t>
      </w:r>
      <w:r>
        <w:rPr>
          <w:bCs/>
          <w:sz w:val="24"/>
        </w:rPr>
        <w:t>废水进入污水处理站处理后排入市政管网，</w:t>
      </w:r>
      <w:r>
        <w:rPr>
          <w:bCs/>
          <w:kern w:val="21"/>
          <w:sz w:val="24"/>
        </w:rPr>
        <w:t>排入</w:t>
      </w:r>
      <w:r>
        <w:rPr>
          <w:rFonts w:hint="eastAsia"/>
          <w:bCs/>
          <w:kern w:val="21"/>
          <w:sz w:val="24"/>
        </w:rPr>
        <w:t>五常市民泉污水处理有限公司（五常市山河屯林业局污水处理厂）</w:t>
      </w:r>
      <w:r>
        <w:rPr>
          <w:bCs/>
          <w:kern w:val="21"/>
          <w:sz w:val="24"/>
        </w:rPr>
        <w:t>处理</w:t>
      </w:r>
      <w:r>
        <w:rPr>
          <w:rFonts w:hint="eastAsia"/>
          <w:bCs/>
          <w:kern w:val="21"/>
          <w:sz w:val="24"/>
        </w:rPr>
        <w:t>达标后</w:t>
      </w:r>
      <w:r>
        <w:rPr>
          <w:bCs/>
          <w:kern w:val="21"/>
          <w:sz w:val="24"/>
        </w:rPr>
        <w:t>排入</w:t>
      </w:r>
      <w:r>
        <w:rPr>
          <w:rFonts w:hint="eastAsia"/>
          <w:bCs/>
          <w:kern w:val="21"/>
          <w:sz w:val="24"/>
        </w:rPr>
        <w:t>拉林</w:t>
      </w:r>
      <w:r>
        <w:rPr>
          <w:bCs/>
          <w:kern w:val="21"/>
          <w:sz w:val="24"/>
        </w:rPr>
        <w:t>河</w:t>
      </w:r>
      <w:r>
        <w:rPr>
          <w:bCs/>
          <w:sz w:val="24"/>
        </w:rPr>
        <w:t>。</w:t>
      </w:r>
    </w:p>
    <w:p w14:paraId="0CD1B77A"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8" w:name="_Toc28526"/>
      <w:r>
        <w:rPr>
          <w:rFonts w:ascii="Times New Roman" w:eastAsia="黑体" w:hAnsi="Times New Roman" w:cs="Times New Roman"/>
          <w:bCs/>
          <w:sz w:val="28"/>
          <w:szCs w:val="28"/>
        </w:rPr>
        <w:t>1.2.2</w:t>
      </w:r>
      <w:r>
        <w:rPr>
          <w:rFonts w:ascii="Times New Roman" w:eastAsia="黑体" w:hAnsi="Times New Roman" w:cs="Times New Roman"/>
          <w:bCs/>
          <w:sz w:val="28"/>
          <w:szCs w:val="28"/>
        </w:rPr>
        <w:t>生产工艺</w:t>
      </w:r>
      <w:bookmarkEnd w:id="8"/>
    </w:p>
    <w:p w14:paraId="647869D5" w14:textId="77777777" w:rsidR="00B14D53" w:rsidRDefault="00000000">
      <w:pPr>
        <w:spacing w:line="360" w:lineRule="auto"/>
        <w:ind w:firstLineChars="200" w:firstLine="480"/>
        <w:rPr>
          <w:sz w:val="24"/>
        </w:rPr>
      </w:pPr>
      <w:r>
        <w:rPr>
          <w:sz w:val="24"/>
        </w:rPr>
        <w:t>生猪屠宰是指生产经营的杀猪行为或活动，该类项目对环境的影响主要是废水及废气，屠宰废水来自于圈栏冲洗、淋洗、屠宰及其它厂房地坪冲洗、烫毛、剖解、洗</w:t>
      </w:r>
      <w:hyperlink r:id="rId11" w:tgtFrame="_blank" w:history="1">
        <w:r>
          <w:rPr>
            <w:sz w:val="24"/>
          </w:rPr>
          <w:t>油</w:t>
        </w:r>
      </w:hyperlink>
      <w:r>
        <w:rPr>
          <w:sz w:val="24"/>
        </w:rPr>
        <w:t>等，具有水量大、排水不均匀、浓度高、杂质和悬浮物多、可生化性好等特点。废气主要是待宰</w:t>
      </w:r>
      <w:r>
        <w:rPr>
          <w:rFonts w:hint="eastAsia"/>
          <w:sz w:val="24"/>
        </w:rPr>
        <w:t>圈</w:t>
      </w:r>
      <w:r>
        <w:rPr>
          <w:sz w:val="24"/>
        </w:rPr>
        <w:t>、屠宰车间等产生的屠宰废气，主要以硫化氢</w:t>
      </w:r>
      <w:r>
        <w:rPr>
          <w:rFonts w:hint="eastAsia"/>
          <w:sz w:val="24"/>
        </w:rPr>
        <w:t>、</w:t>
      </w:r>
      <w:r>
        <w:rPr>
          <w:sz w:val="24"/>
        </w:rPr>
        <w:t>氨</w:t>
      </w:r>
      <w:r>
        <w:rPr>
          <w:rFonts w:hint="eastAsia"/>
          <w:sz w:val="24"/>
        </w:rPr>
        <w:t>、臭气浓度</w:t>
      </w:r>
      <w:r>
        <w:rPr>
          <w:sz w:val="24"/>
        </w:rPr>
        <w:t>为主。</w:t>
      </w:r>
    </w:p>
    <w:p w14:paraId="7A80F827" w14:textId="77777777" w:rsidR="00B14D53" w:rsidRDefault="00000000">
      <w:pPr>
        <w:spacing w:line="360" w:lineRule="auto"/>
        <w:ind w:firstLineChars="200" w:firstLine="480"/>
        <w:rPr>
          <w:sz w:val="24"/>
        </w:rPr>
      </w:pPr>
      <w:r>
        <w:rPr>
          <w:sz w:val="24"/>
        </w:rPr>
        <w:t>本项目采用机械屠宰生产线，整个生产过程分为宰前处理、屠宰、排酸、冷藏</w:t>
      </w:r>
      <w:r>
        <w:rPr>
          <w:sz w:val="24"/>
        </w:rPr>
        <w:t>4</w:t>
      </w:r>
      <w:r>
        <w:rPr>
          <w:sz w:val="24"/>
        </w:rPr>
        <w:t>个工段。从宰杀放血到猪胴体冷藏时间及放血开始到取出内脏的时间均应符合现行国家标准《畜禽屠宰操作规程</w:t>
      </w:r>
      <w:r>
        <w:rPr>
          <w:sz w:val="24"/>
        </w:rPr>
        <w:t xml:space="preserve"> </w:t>
      </w:r>
      <w:r>
        <w:rPr>
          <w:sz w:val="24"/>
        </w:rPr>
        <w:t>生猪》</w:t>
      </w:r>
      <w:r>
        <w:rPr>
          <w:sz w:val="24"/>
        </w:rPr>
        <w:t>(GB/T 17236-2019)</w:t>
      </w:r>
      <w:r>
        <w:rPr>
          <w:sz w:val="24"/>
        </w:rPr>
        <w:t>的规定。</w:t>
      </w:r>
    </w:p>
    <w:p w14:paraId="40BCDFF6" w14:textId="77777777" w:rsidR="00B14D53" w:rsidRDefault="00000000">
      <w:pPr>
        <w:pStyle w:val="11111"/>
        <w:ind w:firstLine="480"/>
        <w:rPr>
          <w:rFonts w:hint="eastAsia"/>
        </w:rPr>
      </w:pPr>
      <w:r>
        <w:rPr>
          <w:rFonts w:ascii="Times New Roman" w:hAnsi="Times New Roman" w:cs="Times New Roman"/>
        </w:rPr>
        <w:t>本项目屠宰生产线采用先进的工艺和设备，实现机械化、规模化生产，保证原料利用率、能源利用率达到较高的水平，同时提高废物资源化水平以减少污染物的产生量，可达到增效、节能、降耗、减污的清洁生产目的，在提高经济效益的同时，达到保护环境的目的。</w:t>
      </w:r>
    </w:p>
    <w:p w14:paraId="28E8BA82"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1.2.3</w:t>
      </w:r>
      <w:r>
        <w:rPr>
          <w:rFonts w:ascii="Times New Roman" w:eastAsia="黑体" w:hAnsi="Times New Roman" w:cs="Times New Roman"/>
          <w:bCs/>
          <w:sz w:val="28"/>
          <w:szCs w:val="28"/>
        </w:rPr>
        <w:t>本项目排污特点</w:t>
      </w:r>
    </w:p>
    <w:p w14:paraId="0347D46A"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1.2.3.1</w:t>
      </w:r>
      <w:r>
        <w:rPr>
          <w:rFonts w:ascii="Times New Roman" w:eastAsia="黑体" w:hAnsi="Times New Roman" w:cs="Times New Roman"/>
          <w:b w:val="0"/>
          <w:sz w:val="24"/>
          <w:szCs w:val="24"/>
        </w:rPr>
        <w:t>废气</w:t>
      </w:r>
    </w:p>
    <w:p w14:paraId="75AC890C" w14:textId="77777777" w:rsidR="00B14D53" w:rsidRDefault="00000000">
      <w:pPr>
        <w:spacing w:line="360" w:lineRule="auto"/>
        <w:ind w:firstLineChars="200" w:firstLine="480"/>
        <w:rPr>
          <w:bCs/>
          <w:color w:val="FF0000"/>
          <w:sz w:val="24"/>
        </w:rPr>
      </w:pPr>
      <w:r>
        <w:rPr>
          <w:snapToGrid w:val="0"/>
          <w:kern w:val="0"/>
          <w:sz w:val="24"/>
        </w:rPr>
        <w:t>本项目运营期产生的废气主要为</w:t>
      </w:r>
      <w:r>
        <w:rPr>
          <w:bCs/>
          <w:sz w:val="24"/>
        </w:rPr>
        <w:t>待宰圈、</w:t>
      </w:r>
      <w:r>
        <w:rPr>
          <w:rFonts w:hint="eastAsia"/>
          <w:bCs/>
          <w:sz w:val="24"/>
        </w:rPr>
        <w:t>屠宰车间</w:t>
      </w:r>
      <w:r>
        <w:rPr>
          <w:bCs/>
          <w:sz w:val="24"/>
        </w:rPr>
        <w:t>、污水处理站等产生的恶臭气体（氨、硫化氢、臭气浓度）。</w:t>
      </w:r>
      <w:r>
        <w:rPr>
          <w:rFonts w:hint="eastAsia"/>
          <w:bCs/>
          <w:sz w:val="24"/>
        </w:rPr>
        <w:t>本项目生产用蒸汽由电蒸汽发生器提供，冬季取暖由黑龙江省山河屯林业局有限公司供热站提供集中供热，均不使用锅炉。</w:t>
      </w:r>
    </w:p>
    <w:p w14:paraId="77128772" w14:textId="77777777" w:rsidR="00B14D53" w:rsidRDefault="00000000">
      <w:pPr>
        <w:spacing w:line="360" w:lineRule="auto"/>
        <w:ind w:firstLineChars="200" w:firstLine="480"/>
        <w:rPr>
          <w:bCs/>
          <w:sz w:val="24"/>
        </w:rPr>
      </w:pPr>
      <w:r>
        <w:rPr>
          <w:bCs/>
          <w:sz w:val="24"/>
        </w:rPr>
        <w:t>（</w:t>
      </w:r>
      <w:r>
        <w:rPr>
          <w:bCs/>
          <w:sz w:val="24"/>
        </w:rPr>
        <w:t>1</w:t>
      </w:r>
      <w:r>
        <w:rPr>
          <w:bCs/>
          <w:sz w:val="24"/>
        </w:rPr>
        <w:t>）待宰圈的恶臭主要来自猪粪便、尿液，这些粪便会产生氨、</w:t>
      </w:r>
      <w:r>
        <w:rPr>
          <w:rFonts w:hint="eastAsia"/>
          <w:bCs/>
          <w:sz w:val="24"/>
        </w:rPr>
        <w:t>硫化氢</w:t>
      </w:r>
      <w:r>
        <w:rPr>
          <w:bCs/>
          <w:sz w:val="24"/>
        </w:rPr>
        <w:t>、臭气浓度等恶臭气体。</w:t>
      </w:r>
    </w:p>
    <w:p w14:paraId="1CE31B86" w14:textId="77777777" w:rsidR="00B14D53" w:rsidRDefault="00000000">
      <w:pPr>
        <w:spacing w:line="360" w:lineRule="auto"/>
        <w:ind w:firstLineChars="200" w:firstLine="480"/>
        <w:rPr>
          <w:sz w:val="24"/>
        </w:rPr>
      </w:pPr>
      <w:r>
        <w:rPr>
          <w:bCs/>
          <w:sz w:val="24"/>
        </w:rPr>
        <w:lastRenderedPageBreak/>
        <w:t>（</w:t>
      </w:r>
      <w:r>
        <w:rPr>
          <w:bCs/>
          <w:sz w:val="24"/>
        </w:rPr>
        <w:t>2</w:t>
      </w:r>
      <w:r>
        <w:rPr>
          <w:bCs/>
          <w:sz w:val="24"/>
        </w:rPr>
        <w:t>）</w:t>
      </w:r>
      <w:r>
        <w:rPr>
          <w:rFonts w:hint="eastAsia"/>
          <w:sz w:val="24"/>
        </w:rPr>
        <w:t>屠宰车间</w:t>
      </w:r>
      <w:r>
        <w:rPr>
          <w:sz w:val="24"/>
        </w:rPr>
        <w:t>内空气湿度很高，工作场所大，空气流动量相当大，各种牲畜的湿皮、血、</w:t>
      </w:r>
      <w:r>
        <w:rPr>
          <w:rFonts w:hint="eastAsia"/>
          <w:sz w:val="24"/>
        </w:rPr>
        <w:t>肠</w:t>
      </w:r>
      <w:r>
        <w:rPr>
          <w:sz w:val="24"/>
        </w:rPr>
        <w:t>胃内容物的臭气混杂在一起，产生刺鼻的腥臭味，如果有血、骨或脂肪残留而不及时处理，便会迅速腐烂，产生氨、</w:t>
      </w:r>
      <w:r>
        <w:rPr>
          <w:rFonts w:hint="eastAsia"/>
          <w:sz w:val="24"/>
        </w:rPr>
        <w:t>硫化氢</w:t>
      </w:r>
      <w:r>
        <w:rPr>
          <w:sz w:val="24"/>
        </w:rPr>
        <w:t>、臭气浓度等恶臭气体。</w:t>
      </w:r>
    </w:p>
    <w:p w14:paraId="4FA3A7F0" w14:textId="77777777" w:rsidR="00B14D53" w:rsidRDefault="00000000">
      <w:pPr>
        <w:spacing w:line="360" w:lineRule="auto"/>
        <w:ind w:firstLineChars="200" w:firstLine="480"/>
      </w:pPr>
      <w:r>
        <w:rPr>
          <w:snapToGrid w:val="0"/>
          <w:kern w:val="0"/>
          <w:sz w:val="24"/>
        </w:rPr>
        <w:t>（</w:t>
      </w:r>
      <w:r>
        <w:rPr>
          <w:snapToGrid w:val="0"/>
          <w:kern w:val="0"/>
          <w:sz w:val="24"/>
        </w:rPr>
        <w:t>3</w:t>
      </w:r>
      <w:r>
        <w:rPr>
          <w:snapToGrid w:val="0"/>
          <w:kern w:val="0"/>
          <w:sz w:val="24"/>
        </w:rPr>
        <w:t>）本项目污水处理站恶臭气体主要来自</w:t>
      </w:r>
      <w:r>
        <w:rPr>
          <w:rFonts w:hint="eastAsia"/>
          <w:snapToGrid w:val="0"/>
          <w:kern w:val="0"/>
          <w:sz w:val="24"/>
        </w:rPr>
        <w:t>污水处理一体化设备</w:t>
      </w:r>
      <w:r>
        <w:rPr>
          <w:snapToGrid w:val="0"/>
          <w:kern w:val="0"/>
          <w:sz w:val="24"/>
        </w:rPr>
        <w:t>产生</w:t>
      </w:r>
      <w:r>
        <w:rPr>
          <w:rFonts w:hint="eastAsia"/>
          <w:snapToGrid w:val="0"/>
          <w:kern w:val="0"/>
          <w:sz w:val="24"/>
        </w:rPr>
        <w:t>的</w:t>
      </w:r>
      <w:r>
        <w:rPr>
          <w:snapToGrid w:val="0"/>
          <w:kern w:val="0"/>
          <w:sz w:val="24"/>
        </w:rPr>
        <w:t>氨、</w:t>
      </w:r>
      <w:r>
        <w:rPr>
          <w:rFonts w:hint="eastAsia"/>
          <w:snapToGrid w:val="0"/>
          <w:kern w:val="0"/>
          <w:sz w:val="24"/>
        </w:rPr>
        <w:t>硫化氢</w:t>
      </w:r>
      <w:r>
        <w:rPr>
          <w:snapToGrid w:val="0"/>
          <w:kern w:val="0"/>
          <w:sz w:val="24"/>
        </w:rPr>
        <w:t>、臭气浓度等具有臭味的气体。</w:t>
      </w:r>
    </w:p>
    <w:p w14:paraId="546E8E3C"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1.2.3.2</w:t>
      </w:r>
      <w:r>
        <w:rPr>
          <w:rFonts w:ascii="Times New Roman" w:eastAsia="黑体" w:hAnsi="Times New Roman" w:cs="Times New Roman"/>
          <w:b w:val="0"/>
          <w:bCs w:val="0"/>
          <w:sz w:val="24"/>
          <w:szCs w:val="24"/>
        </w:rPr>
        <w:t>废水</w:t>
      </w:r>
    </w:p>
    <w:p w14:paraId="30536ACA" w14:textId="77777777" w:rsidR="00B14D53" w:rsidRDefault="00000000">
      <w:pPr>
        <w:spacing w:line="360" w:lineRule="auto"/>
        <w:ind w:firstLineChars="200" w:firstLine="480"/>
        <w:rPr>
          <w:snapToGrid w:val="0"/>
          <w:kern w:val="0"/>
          <w:sz w:val="24"/>
        </w:rPr>
      </w:pPr>
      <w:r>
        <w:rPr>
          <w:snapToGrid w:val="0"/>
          <w:kern w:val="0"/>
          <w:sz w:val="24"/>
        </w:rPr>
        <w:t>本项目废水主要为</w:t>
      </w:r>
      <w:r>
        <w:rPr>
          <w:rFonts w:hint="eastAsia"/>
          <w:color w:val="000000" w:themeColor="text1"/>
          <w:sz w:val="24"/>
        </w:rPr>
        <w:t>蒸汽发生器</w:t>
      </w:r>
      <w:r>
        <w:rPr>
          <w:color w:val="000000" w:themeColor="text1"/>
          <w:sz w:val="24"/>
        </w:rPr>
        <w:t>软化处理废水</w:t>
      </w:r>
      <w:r>
        <w:rPr>
          <w:sz w:val="24"/>
        </w:rPr>
        <w:t>、</w:t>
      </w:r>
      <w:r>
        <w:rPr>
          <w:snapToGrid w:val="0"/>
          <w:kern w:val="0"/>
          <w:sz w:val="24"/>
        </w:rPr>
        <w:t>待宰圈清洗废水（含尿液）</w:t>
      </w:r>
      <w:r>
        <w:rPr>
          <w:rFonts w:hint="eastAsia"/>
          <w:snapToGrid w:val="0"/>
          <w:kern w:val="0"/>
          <w:sz w:val="24"/>
        </w:rPr>
        <w:t>、屠宰车间</w:t>
      </w:r>
      <w:r>
        <w:rPr>
          <w:snapToGrid w:val="0"/>
          <w:kern w:val="0"/>
          <w:sz w:val="24"/>
        </w:rPr>
        <w:t>废水</w:t>
      </w:r>
      <w:r>
        <w:rPr>
          <w:rFonts w:hint="eastAsia"/>
          <w:snapToGrid w:val="0"/>
          <w:kern w:val="0"/>
          <w:sz w:val="24"/>
        </w:rPr>
        <w:t>、车辆冲洗水、生活污水</w:t>
      </w:r>
      <w:r>
        <w:rPr>
          <w:snapToGrid w:val="0"/>
          <w:kern w:val="0"/>
          <w:sz w:val="24"/>
        </w:rPr>
        <w:t>。</w:t>
      </w:r>
    </w:p>
    <w:p w14:paraId="0B349CC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1.2.3.3</w:t>
      </w:r>
      <w:r>
        <w:rPr>
          <w:rFonts w:ascii="Times New Roman" w:eastAsia="黑体" w:hAnsi="Times New Roman" w:cs="Times New Roman"/>
          <w:b w:val="0"/>
          <w:bCs w:val="0"/>
          <w:sz w:val="24"/>
          <w:szCs w:val="24"/>
        </w:rPr>
        <w:t>噪声</w:t>
      </w:r>
    </w:p>
    <w:p w14:paraId="7C704101" w14:textId="77777777" w:rsidR="00B14D53" w:rsidRDefault="00000000">
      <w:pPr>
        <w:spacing w:line="360" w:lineRule="auto"/>
        <w:ind w:firstLineChars="200" w:firstLine="480"/>
        <w:rPr>
          <w:sz w:val="24"/>
        </w:rPr>
      </w:pPr>
      <w:r>
        <w:rPr>
          <w:sz w:val="24"/>
        </w:rPr>
        <w:t>本项目主要噪声源为：</w:t>
      </w:r>
      <w:r>
        <w:rPr>
          <w:rFonts w:hint="eastAsia"/>
          <w:sz w:val="24"/>
        </w:rPr>
        <w:t>麻电机</w:t>
      </w:r>
      <w:r>
        <w:rPr>
          <w:sz w:val="24"/>
        </w:rPr>
        <w:t>、</w:t>
      </w:r>
      <w:r>
        <w:rPr>
          <w:rFonts w:hint="eastAsia"/>
          <w:sz w:val="24"/>
        </w:rPr>
        <w:t>电动</w:t>
      </w:r>
      <w:r>
        <w:rPr>
          <w:sz w:val="24"/>
        </w:rPr>
        <w:t>劈半锯、风机</w:t>
      </w:r>
      <w:r>
        <w:rPr>
          <w:rFonts w:hint="eastAsia"/>
          <w:sz w:val="24"/>
        </w:rPr>
        <w:t>、</w:t>
      </w:r>
      <w:r>
        <w:rPr>
          <w:sz w:val="24"/>
        </w:rPr>
        <w:t>水泵等，噪声值在</w:t>
      </w:r>
      <w:r>
        <w:rPr>
          <w:sz w:val="24"/>
        </w:rPr>
        <w:t>75</w:t>
      </w:r>
      <w:r>
        <w:rPr>
          <w:sz w:val="24"/>
        </w:rPr>
        <w:t>～</w:t>
      </w:r>
      <w:r>
        <w:rPr>
          <w:sz w:val="24"/>
        </w:rPr>
        <w:t>90dB(A)</w:t>
      </w:r>
      <w:r>
        <w:rPr>
          <w:sz w:val="24"/>
        </w:rPr>
        <w:t>之间。</w:t>
      </w:r>
    </w:p>
    <w:p w14:paraId="797AD013"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1.2.3.4</w:t>
      </w:r>
      <w:r>
        <w:rPr>
          <w:rFonts w:ascii="Times New Roman" w:eastAsia="黑体" w:hAnsi="Times New Roman" w:cs="Times New Roman"/>
          <w:b w:val="0"/>
          <w:bCs w:val="0"/>
          <w:sz w:val="24"/>
          <w:szCs w:val="24"/>
        </w:rPr>
        <w:t>固废</w:t>
      </w:r>
    </w:p>
    <w:p w14:paraId="778D6DE6" w14:textId="77777777" w:rsidR="00B14D53" w:rsidRDefault="00000000">
      <w:pPr>
        <w:spacing w:line="360" w:lineRule="auto"/>
        <w:ind w:firstLineChars="200" w:firstLine="480"/>
        <w:rPr>
          <w:kern w:val="0"/>
          <w:sz w:val="24"/>
        </w:rPr>
      </w:pPr>
      <w:r>
        <w:rPr>
          <w:sz w:val="24"/>
        </w:rPr>
        <w:t>项目正常工况下产生的固体废物主要有待宰圈产生的猪粪；</w:t>
      </w:r>
      <w:r>
        <w:rPr>
          <w:rFonts w:hint="eastAsia"/>
          <w:sz w:val="24"/>
        </w:rPr>
        <w:t>屠宰车间产生的</w:t>
      </w:r>
      <w:r>
        <w:rPr>
          <w:sz w:val="24"/>
        </w:rPr>
        <w:t>肠胃内容物</w:t>
      </w:r>
      <w:r>
        <w:rPr>
          <w:rFonts w:hint="eastAsia"/>
          <w:sz w:val="24"/>
        </w:rPr>
        <w:t>、</w:t>
      </w:r>
      <w:r>
        <w:rPr>
          <w:sz w:val="24"/>
        </w:rPr>
        <w:t>病变腺体、内脏及</w:t>
      </w:r>
      <w:r>
        <w:rPr>
          <w:rFonts w:hint="eastAsia"/>
          <w:sz w:val="24"/>
        </w:rPr>
        <w:t>残留</w:t>
      </w:r>
      <w:r>
        <w:rPr>
          <w:sz w:val="24"/>
        </w:rPr>
        <w:t>脂肪</w:t>
      </w:r>
      <w:r>
        <w:rPr>
          <w:rFonts w:hint="eastAsia"/>
          <w:sz w:val="24"/>
        </w:rPr>
        <w:t>；</w:t>
      </w:r>
      <w:r>
        <w:rPr>
          <w:sz w:val="24"/>
        </w:rPr>
        <w:t>检</w:t>
      </w:r>
      <w:r>
        <w:rPr>
          <w:rFonts w:hint="eastAsia"/>
          <w:sz w:val="24"/>
        </w:rPr>
        <w:t>验</w:t>
      </w:r>
      <w:r>
        <w:rPr>
          <w:sz w:val="24"/>
        </w:rPr>
        <w:t>室产生的</w:t>
      </w:r>
      <w:r>
        <w:rPr>
          <w:rFonts w:hint="eastAsia"/>
          <w:sz w:val="24"/>
        </w:rPr>
        <w:t>检验废物（类别：</w:t>
      </w:r>
      <w:r>
        <w:rPr>
          <w:rFonts w:hint="eastAsia"/>
          <w:sz w:val="24"/>
        </w:rPr>
        <w:t>HW01</w:t>
      </w:r>
      <w:r>
        <w:rPr>
          <w:rFonts w:hint="eastAsia"/>
          <w:sz w:val="24"/>
        </w:rPr>
        <w:t>，代码：</w:t>
      </w:r>
      <w:r>
        <w:rPr>
          <w:rFonts w:hint="eastAsia"/>
          <w:sz w:val="24"/>
        </w:rPr>
        <w:t>841-001-01</w:t>
      </w:r>
      <w:r>
        <w:rPr>
          <w:rFonts w:hint="eastAsia"/>
          <w:sz w:val="24"/>
        </w:rPr>
        <w:t>）</w:t>
      </w:r>
      <w:r>
        <w:rPr>
          <w:sz w:val="24"/>
        </w:rPr>
        <w:t>；污水处理站产生的污泥、栅渣；</w:t>
      </w:r>
      <w:r>
        <w:rPr>
          <w:rFonts w:hint="eastAsia"/>
          <w:sz w:val="24"/>
        </w:rPr>
        <w:t>废气治理设施产生的</w:t>
      </w:r>
      <w:r>
        <w:rPr>
          <w:sz w:val="24"/>
        </w:rPr>
        <w:t>废活性炭；</w:t>
      </w:r>
      <w:r>
        <w:rPr>
          <w:rFonts w:hint="eastAsia"/>
          <w:sz w:val="24"/>
        </w:rPr>
        <w:t>软化水设备</w:t>
      </w:r>
      <w:r>
        <w:rPr>
          <w:sz w:val="24"/>
        </w:rPr>
        <w:t>产生的废离子交换树脂；</w:t>
      </w:r>
      <w:r>
        <w:rPr>
          <w:rFonts w:hint="eastAsia"/>
          <w:sz w:val="24"/>
        </w:rPr>
        <w:t>包装产生的废外包装；职工生活产生的</w:t>
      </w:r>
      <w:r>
        <w:rPr>
          <w:sz w:val="24"/>
        </w:rPr>
        <w:t>生活垃圾。非</w:t>
      </w:r>
      <w:r>
        <w:rPr>
          <w:kern w:val="0"/>
          <w:sz w:val="24"/>
        </w:rPr>
        <w:t>正常工况下产生的病死猪。</w:t>
      </w:r>
    </w:p>
    <w:p w14:paraId="07BDFA48"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hint="eastAsia"/>
          <w:b w:val="0"/>
          <w:bCs w:val="0"/>
          <w:sz w:val="24"/>
          <w:szCs w:val="24"/>
        </w:rPr>
        <w:t>1.2.3.5</w:t>
      </w:r>
      <w:r>
        <w:rPr>
          <w:rFonts w:ascii="Times New Roman" w:eastAsia="黑体" w:hAnsi="Times New Roman" w:cs="Times New Roman" w:hint="eastAsia"/>
          <w:b w:val="0"/>
          <w:bCs w:val="0"/>
          <w:sz w:val="24"/>
          <w:szCs w:val="24"/>
        </w:rPr>
        <w:t>地下水</w:t>
      </w:r>
    </w:p>
    <w:p w14:paraId="1E375B06" w14:textId="77777777" w:rsidR="00B14D53" w:rsidRDefault="00000000">
      <w:pPr>
        <w:widowControl/>
        <w:adjustRightInd w:val="0"/>
        <w:snapToGrid w:val="0"/>
        <w:spacing w:line="360" w:lineRule="auto"/>
        <w:ind w:firstLineChars="200" w:firstLine="480"/>
        <w:rPr>
          <w:sz w:val="24"/>
        </w:rPr>
      </w:pPr>
      <w:r>
        <w:rPr>
          <w:rFonts w:hint="eastAsia"/>
          <w:sz w:val="24"/>
        </w:rPr>
        <w:t>本项目污水处理站各构筑物渗漏后通过包气带进入地下水含水层，项目建成后对地下水可能产生的潜在的污染源将会对地下水产生影响。</w:t>
      </w:r>
    </w:p>
    <w:p w14:paraId="4CABB7DE"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1.2.4</w:t>
      </w:r>
      <w:r>
        <w:rPr>
          <w:rFonts w:ascii="Times New Roman" w:eastAsia="黑体" w:hAnsi="Times New Roman" w:cs="Times New Roman" w:hint="eastAsia"/>
          <w:sz w:val="28"/>
          <w:szCs w:val="28"/>
        </w:rPr>
        <w:t>本项目厂址环境特点</w:t>
      </w:r>
    </w:p>
    <w:p w14:paraId="72B98C72" w14:textId="77777777" w:rsidR="00B14D53" w:rsidRDefault="00000000">
      <w:pPr>
        <w:widowControl/>
        <w:adjustRightInd w:val="0"/>
        <w:snapToGrid w:val="0"/>
        <w:spacing w:line="360" w:lineRule="auto"/>
        <w:ind w:firstLineChars="200" w:firstLine="480"/>
        <w:rPr>
          <w:sz w:val="24"/>
        </w:rPr>
      </w:pPr>
      <w:bookmarkStart w:id="9" w:name="_Toc13410"/>
      <w:r>
        <w:rPr>
          <w:rFonts w:eastAsiaTheme="minorEastAsia" w:hAnsiTheme="minorEastAsia"/>
          <w:sz w:val="24"/>
        </w:rPr>
        <w:t>本项目位于</w:t>
      </w:r>
      <w:r>
        <w:rPr>
          <w:rFonts w:eastAsiaTheme="minorEastAsia" w:hAnsiTheme="minorEastAsia" w:hint="eastAsia"/>
          <w:sz w:val="24"/>
        </w:rPr>
        <w:t>黑龙江省哈尔滨市五常市山河镇山河屯林业地区林业大街南</w:t>
      </w:r>
      <w:r>
        <w:rPr>
          <w:rFonts w:eastAsiaTheme="minorEastAsia" w:hAnsiTheme="minorEastAsia" w:hint="eastAsia"/>
          <w:sz w:val="24"/>
        </w:rPr>
        <w:t>200</w:t>
      </w:r>
      <w:r>
        <w:rPr>
          <w:rFonts w:eastAsiaTheme="minorEastAsia" w:hAnsiTheme="minorEastAsia" w:hint="eastAsia"/>
          <w:sz w:val="24"/>
        </w:rPr>
        <w:t>米处</w:t>
      </w:r>
      <w:r>
        <w:rPr>
          <w:rFonts w:eastAsiaTheme="minorEastAsia" w:hAnsiTheme="minorEastAsia"/>
          <w:sz w:val="24"/>
        </w:rPr>
        <w:t>，占地面积</w:t>
      </w:r>
      <w:r>
        <w:rPr>
          <w:rFonts w:eastAsiaTheme="minorEastAsia" w:hint="eastAsia"/>
          <w:sz w:val="24"/>
        </w:rPr>
        <w:t>9592</w:t>
      </w:r>
      <w:r>
        <w:rPr>
          <w:rFonts w:eastAsiaTheme="minorEastAsia"/>
          <w:sz w:val="24"/>
        </w:rPr>
        <w:t>m</w:t>
      </w:r>
      <w:r>
        <w:rPr>
          <w:rFonts w:eastAsiaTheme="minorEastAsia"/>
          <w:sz w:val="24"/>
          <w:vertAlign w:val="superscript"/>
        </w:rPr>
        <w:t>2</w:t>
      </w:r>
      <w:r>
        <w:rPr>
          <w:rFonts w:eastAsiaTheme="minorEastAsia" w:hAnsiTheme="minorEastAsia"/>
          <w:sz w:val="24"/>
        </w:rPr>
        <w:t>，占地类型为</w:t>
      </w:r>
      <w:r>
        <w:rPr>
          <w:rFonts w:eastAsiaTheme="minorEastAsia" w:hAnsiTheme="minorEastAsia" w:hint="eastAsia"/>
          <w:snapToGrid w:val="0"/>
          <w:kern w:val="0"/>
          <w:sz w:val="24"/>
        </w:rPr>
        <w:t>工业仓储</w:t>
      </w:r>
      <w:r>
        <w:rPr>
          <w:rFonts w:eastAsiaTheme="minorEastAsia" w:hAnsiTheme="minorEastAsia"/>
          <w:snapToGrid w:val="0"/>
          <w:kern w:val="0"/>
          <w:sz w:val="24"/>
        </w:rPr>
        <w:t>用地，</w:t>
      </w:r>
      <w:r>
        <w:rPr>
          <w:rFonts w:eastAsiaTheme="minorEastAsia" w:hAnsiTheme="minorEastAsia"/>
          <w:sz w:val="24"/>
        </w:rPr>
        <w:t>周围环境</w:t>
      </w:r>
      <w:r>
        <w:rPr>
          <w:rFonts w:eastAsiaTheme="minorEastAsia" w:hAnsiTheme="minorEastAsia" w:hint="eastAsia"/>
          <w:sz w:val="24"/>
        </w:rPr>
        <w:t>北侧为园区路，隔路为空地，西</w:t>
      </w:r>
      <w:r>
        <w:rPr>
          <w:rFonts w:eastAsiaTheme="minorEastAsia" w:hAnsiTheme="minorEastAsia"/>
          <w:sz w:val="24"/>
        </w:rPr>
        <w:t>侧为</w:t>
      </w:r>
      <w:r>
        <w:rPr>
          <w:rFonts w:eastAsiaTheme="minorEastAsia" w:hAnsiTheme="minorEastAsia" w:hint="eastAsia"/>
          <w:sz w:val="24"/>
        </w:rPr>
        <w:t>五常市崧海油脂有限公司</w:t>
      </w:r>
      <w:r>
        <w:rPr>
          <w:rFonts w:eastAsiaTheme="minorEastAsia" w:hAnsiTheme="minorEastAsia"/>
          <w:sz w:val="24"/>
        </w:rPr>
        <w:t>，南侧</w:t>
      </w:r>
      <w:r>
        <w:rPr>
          <w:rFonts w:eastAsiaTheme="minorEastAsia" w:hAnsiTheme="minorEastAsia" w:hint="eastAsia"/>
          <w:sz w:val="24"/>
        </w:rPr>
        <w:t>为无名路，隔路为空地，东</w:t>
      </w:r>
      <w:r>
        <w:rPr>
          <w:rFonts w:eastAsiaTheme="minorEastAsia" w:hAnsiTheme="minorEastAsia"/>
          <w:sz w:val="24"/>
        </w:rPr>
        <w:t>侧为</w:t>
      </w:r>
      <w:r>
        <w:rPr>
          <w:rFonts w:eastAsiaTheme="minorEastAsia" w:hAnsiTheme="minorEastAsia" w:hint="eastAsia"/>
          <w:sz w:val="24"/>
        </w:rPr>
        <w:t>环卫队</w:t>
      </w:r>
      <w:r>
        <w:rPr>
          <w:rFonts w:eastAsiaTheme="minorEastAsia" w:hAnsiTheme="minorEastAsia"/>
          <w:sz w:val="24"/>
        </w:rPr>
        <w:t>。</w:t>
      </w:r>
      <w:r>
        <w:rPr>
          <w:rFonts w:eastAsiaTheme="minorEastAsia" w:hAnsiTheme="minorEastAsia" w:hint="eastAsia"/>
          <w:sz w:val="24"/>
        </w:rPr>
        <w:t>本项目最近敏感目标为山河屯林业局居民，距离本项目</w:t>
      </w:r>
      <w:r>
        <w:rPr>
          <w:rFonts w:eastAsiaTheme="minorEastAsia" w:hAnsiTheme="minorEastAsia" w:hint="eastAsia"/>
          <w:sz w:val="24"/>
        </w:rPr>
        <w:t>230m</w:t>
      </w:r>
      <w:r>
        <w:rPr>
          <w:rFonts w:eastAsiaTheme="minorEastAsia" w:hAnsiTheme="minorEastAsia"/>
          <w:sz w:val="24"/>
        </w:rPr>
        <w:t>。</w:t>
      </w:r>
    </w:p>
    <w:p w14:paraId="534DF895"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lastRenderedPageBreak/>
        <w:t>1.2.7</w:t>
      </w:r>
      <w:r>
        <w:rPr>
          <w:rFonts w:ascii="Times New Roman" w:eastAsia="黑体" w:hAnsi="Times New Roman" w:cs="Times New Roman"/>
          <w:bCs/>
          <w:sz w:val="28"/>
          <w:szCs w:val="28"/>
        </w:rPr>
        <w:t>主要结论</w:t>
      </w:r>
      <w:bookmarkEnd w:id="9"/>
    </w:p>
    <w:p w14:paraId="7146600A" w14:textId="77777777" w:rsidR="00B14D53" w:rsidRDefault="00000000">
      <w:pPr>
        <w:spacing w:line="360" w:lineRule="auto"/>
        <w:ind w:firstLineChars="200" w:firstLine="480"/>
        <w:rPr>
          <w:sz w:val="24"/>
        </w:rPr>
      </w:pPr>
      <w:r>
        <w:rPr>
          <w:bCs/>
          <w:sz w:val="24"/>
        </w:rPr>
        <w:t>本项目建设项目符合国家产业政策要求，项目本着从清洁生产入手，对产生的污染物采取了源头污染控制的工程措施切实可行，在认真落实报告书所述各项污染防治措施后，可</w:t>
      </w:r>
      <w:r>
        <w:rPr>
          <w:sz w:val="24"/>
        </w:rPr>
        <w:t>实现污染物稳定达标排放，通过加强环境管理和环境监测，杜绝事故发生，本项目建设可被周围环境所接受。</w:t>
      </w:r>
    </w:p>
    <w:p w14:paraId="33DF5FC3" w14:textId="77777777" w:rsidR="00B14D53" w:rsidRDefault="00000000">
      <w:pPr>
        <w:pStyle w:val="NormalWeb1"/>
        <w:spacing w:line="360" w:lineRule="auto"/>
        <w:ind w:firstLineChars="200" w:firstLine="480"/>
        <w:jc w:val="both"/>
        <w:rPr>
          <w:rFonts w:ascii="Times New Roman"/>
        </w:rPr>
      </w:pPr>
      <w:r>
        <w:rPr>
          <w:rFonts w:ascii="Times New Roman"/>
        </w:rPr>
        <w:t>因此，从环境保护角度分析，本项目具有可行性。</w:t>
      </w:r>
    </w:p>
    <w:p w14:paraId="1B6986B2"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10" w:name="_Toc479252799"/>
      <w:bookmarkStart w:id="11" w:name="_Toc8233"/>
      <w:r>
        <w:rPr>
          <w:rFonts w:ascii="Times New Roman" w:eastAsia="黑体" w:hAnsi="Times New Roman" w:cs="Times New Roman"/>
          <w:b w:val="0"/>
          <w:bCs w:val="0"/>
          <w:sz w:val="30"/>
          <w:szCs w:val="30"/>
        </w:rPr>
        <w:t>1.3</w:t>
      </w:r>
      <w:bookmarkEnd w:id="10"/>
      <w:r>
        <w:rPr>
          <w:rFonts w:ascii="Times New Roman" w:eastAsia="黑体" w:hAnsi="Times New Roman" w:cs="Times New Roman"/>
          <w:b w:val="0"/>
          <w:bCs w:val="0"/>
          <w:sz w:val="30"/>
          <w:szCs w:val="30"/>
        </w:rPr>
        <w:t>环境影响评价工作过程</w:t>
      </w:r>
      <w:bookmarkEnd w:id="11"/>
    </w:p>
    <w:p w14:paraId="3A611FC0"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依据《建设项目环境影响评价技术导则</w:t>
      </w:r>
      <w:r>
        <w:rPr>
          <w:rFonts w:eastAsiaTheme="minorEastAsia"/>
          <w:snapToGrid w:val="0"/>
          <w:kern w:val="0"/>
          <w:sz w:val="24"/>
        </w:rPr>
        <w:t xml:space="preserve"> </w:t>
      </w:r>
      <w:r>
        <w:rPr>
          <w:rFonts w:eastAsiaTheme="minorEastAsia" w:hAnsiTheme="minorEastAsia"/>
          <w:snapToGrid w:val="0"/>
          <w:kern w:val="0"/>
          <w:sz w:val="24"/>
        </w:rPr>
        <w:t>总纲》（</w:t>
      </w:r>
      <w:r>
        <w:rPr>
          <w:rFonts w:eastAsiaTheme="minorEastAsia"/>
          <w:snapToGrid w:val="0"/>
          <w:kern w:val="0"/>
          <w:sz w:val="24"/>
        </w:rPr>
        <w:t>HJ2.1-2016</w:t>
      </w:r>
      <w:r>
        <w:rPr>
          <w:rFonts w:eastAsiaTheme="minorEastAsia" w:hAnsiTheme="minorEastAsia"/>
          <w:snapToGrid w:val="0"/>
          <w:kern w:val="0"/>
          <w:sz w:val="24"/>
        </w:rPr>
        <w:t>）要求，本次环评工作分为三个阶段进行。</w:t>
      </w:r>
    </w:p>
    <w:p w14:paraId="3B0BCE5C" w14:textId="77777777" w:rsidR="00B14D53" w:rsidRDefault="00000000">
      <w:pPr>
        <w:pStyle w:val="afff"/>
        <w:adjustRightInd/>
        <w:snapToGrid/>
        <w:jc w:val="both"/>
        <w:rPr>
          <w:rFonts w:ascii="Times New Roman" w:hAnsiTheme="minorEastAsia" w:cs="Times New Roman" w:hint="eastAsia"/>
          <w:snapToGrid w:val="0"/>
        </w:rPr>
      </w:pPr>
      <w:r>
        <w:rPr>
          <w:rFonts w:ascii="Times New Roman" w:hAnsiTheme="minorEastAsia" w:cs="Times New Roman" w:hint="eastAsia"/>
          <w:snapToGrid w:val="0"/>
        </w:rPr>
        <w:t>（</w:t>
      </w:r>
      <w:r>
        <w:rPr>
          <w:rFonts w:ascii="Times New Roman" w:hAnsiTheme="minorEastAsia" w:cs="Times New Roman" w:hint="eastAsia"/>
          <w:snapToGrid w:val="0"/>
        </w:rPr>
        <w:t>1</w:t>
      </w:r>
      <w:r>
        <w:rPr>
          <w:rFonts w:ascii="Times New Roman" w:hAnsiTheme="minorEastAsia" w:cs="Times New Roman" w:hint="eastAsia"/>
          <w:snapToGrid w:val="0"/>
        </w:rPr>
        <w:t>）</w:t>
      </w:r>
      <w:r>
        <w:rPr>
          <w:rFonts w:ascii="Times New Roman" w:hAnsiTheme="minorEastAsia" w:cs="Times New Roman"/>
          <w:snapToGrid w:val="0"/>
        </w:rPr>
        <w:t>依据《建设项目环境影响评价分类管理名录》（</w:t>
      </w:r>
      <w:r>
        <w:rPr>
          <w:rFonts w:ascii="Times New Roman" w:hAnsiTheme="minorEastAsia" w:cs="Times New Roman"/>
          <w:snapToGrid w:val="0"/>
        </w:rPr>
        <w:t>2021</w:t>
      </w:r>
      <w:r>
        <w:rPr>
          <w:rFonts w:ascii="Times New Roman" w:hAnsiTheme="minorEastAsia" w:cs="Times New Roman"/>
          <w:snapToGrid w:val="0"/>
        </w:rPr>
        <w:t>年版）“十、农副食品加工业</w:t>
      </w:r>
      <w:r>
        <w:rPr>
          <w:rFonts w:ascii="Times New Roman" w:hAnsiTheme="minorEastAsia" w:cs="Times New Roman"/>
          <w:snapToGrid w:val="0"/>
        </w:rPr>
        <w:t xml:space="preserve"> 18 </w:t>
      </w:r>
      <w:r>
        <w:rPr>
          <w:rFonts w:ascii="Times New Roman" w:hAnsiTheme="minorEastAsia" w:cs="Times New Roman"/>
          <w:snapToGrid w:val="0"/>
        </w:rPr>
        <w:t>屠宰及肉类加工</w:t>
      </w:r>
      <w:r>
        <w:rPr>
          <w:rFonts w:ascii="Times New Roman" w:hAnsiTheme="minorEastAsia" w:cs="Times New Roman"/>
          <w:snapToGrid w:val="0"/>
        </w:rPr>
        <w:t>135</w:t>
      </w:r>
      <w:r>
        <w:rPr>
          <w:rFonts w:ascii="Times New Roman" w:hAnsiTheme="minorEastAsia" w:cs="Times New Roman"/>
          <w:snapToGrid w:val="0"/>
        </w:rPr>
        <w:t>”；屠宰生猪</w:t>
      </w:r>
      <w:r>
        <w:rPr>
          <w:rFonts w:ascii="Times New Roman" w:hAnsiTheme="minorEastAsia" w:cs="Times New Roman"/>
          <w:snapToGrid w:val="0"/>
        </w:rPr>
        <w:t>10</w:t>
      </w:r>
      <w:r>
        <w:rPr>
          <w:rFonts w:ascii="Times New Roman" w:hAnsiTheme="minorEastAsia" w:cs="Times New Roman"/>
          <w:snapToGrid w:val="0"/>
        </w:rPr>
        <w:t>万头、肉牛</w:t>
      </w:r>
      <w:r>
        <w:rPr>
          <w:rFonts w:ascii="Times New Roman" w:hAnsiTheme="minorEastAsia" w:cs="Times New Roman"/>
          <w:snapToGrid w:val="0"/>
        </w:rPr>
        <w:t>1</w:t>
      </w:r>
      <w:r>
        <w:rPr>
          <w:rFonts w:ascii="Times New Roman" w:hAnsiTheme="minorEastAsia" w:cs="Times New Roman"/>
          <w:snapToGrid w:val="0"/>
        </w:rPr>
        <w:t>万头、肉羊</w:t>
      </w:r>
      <w:r>
        <w:rPr>
          <w:rFonts w:ascii="Times New Roman" w:hAnsiTheme="minorEastAsia" w:cs="Times New Roman"/>
          <w:snapToGrid w:val="0"/>
        </w:rPr>
        <w:t>15</w:t>
      </w:r>
      <w:r>
        <w:rPr>
          <w:rFonts w:ascii="Times New Roman" w:hAnsiTheme="minorEastAsia" w:cs="Times New Roman"/>
          <w:snapToGrid w:val="0"/>
        </w:rPr>
        <w:t>万只、禽类</w:t>
      </w:r>
      <w:r>
        <w:rPr>
          <w:rFonts w:ascii="Times New Roman" w:hAnsiTheme="minorEastAsia" w:cs="Times New Roman"/>
          <w:snapToGrid w:val="0"/>
        </w:rPr>
        <w:t>1000</w:t>
      </w:r>
      <w:r>
        <w:rPr>
          <w:rFonts w:ascii="Times New Roman" w:hAnsiTheme="minorEastAsia" w:cs="Times New Roman"/>
          <w:snapToGrid w:val="0"/>
        </w:rPr>
        <w:t>万只及以上的，应做报告书。本项目年屠宰生猪</w:t>
      </w:r>
      <w:r>
        <w:rPr>
          <w:rFonts w:ascii="Times New Roman" w:hAnsiTheme="minorEastAsia" w:cs="Times New Roman"/>
          <w:snapToGrid w:val="0"/>
        </w:rPr>
        <w:t>16</w:t>
      </w:r>
      <w:r>
        <w:rPr>
          <w:rFonts w:ascii="Times New Roman" w:hAnsiTheme="minorEastAsia" w:cs="Times New Roman"/>
          <w:snapToGrid w:val="0"/>
        </w:rPr>
        <w:t>万头，因此应编制环境影响报告书。在研究相关技术及其他有关文件基础上进行初步工程分析，开展了初步环境现状调查，进行了环境影响识别和评价因子筛选。明确了评价重点为水环境影响、大气环境影响和固体废物影响，确定了保护目标，进一步确定评价工作等级、范围及评价标准，制定出相应工作方案。</w:t>
      </w:r>
    </w:p>
    <w:p w14:paraId="4EF86F72" w14:textId="77777777" w:rsidR="00B14D53" w:rsidRDefault="00000000">
      <w:pPr>
        <w:pStyle w:val="afff"/>
        <w:adjustRightInd/>
        <w:snapToGrid/>
        <w:jc w:val="both"/>
        <w:rPr>
          <w:rFonts w:ascii="Times New Roman" w:hAnsiTheme="minorEastAsia" w:cs="Times New Roman" w:hint="eastAsia"/>
          <w:snapToGrid w:val="0"/>
        </w:rPr>
      </w:pPr>
      <w:r>
        <w:rPr>
          <w:rFonts w:ascii="Times New Roman" w:hAnsiTheme="minorEastAsia" w:cs="Times New Roman" w:hint="eastAsia"/>
          <w:snapToGrid w:val="0"/>
        </w:rPr>
        <w:t>（</w:t>
      </w:r>
      <w:r>
        <w:rPr>
          <w:rFonts w:ascii="Times New Roman" w:hAnsiTheme="minorEastAsia" w:cs="Times New Roman" w:hint="eastAsia"/>
          <w:snapToGrid w:val="0"/>
        </w:rPr>
        <w:t>2</w:t>
      </w:r>
      <w:r>
        <w:rPr>
          <w:rFonts w:ascii="Times New Roman" w:hAnsiTheme="minorEastAsia" w:cs="Times New Roman" w:hint="eastAsia"/>
          <w:snapToGrid w:val="0"/>
        </w:rPr>
        <w:t>）</w:t>
      </w:r>
      <w:r>
        <w:rPr>
          <w:rFonts w:ascii="Times New Roman" w:hAnsiTheme="minorEastAsia" w:cs="Times New Roman"/>
          <w:snapToGrid w:val="0"/>
        </w:rPr>
        <w:t>根据第一阶段工作成果，对环境现状的大气环境、地表水环境、地下水环境、声环境、土壤环境等进行了调查、监测与评价，详细进行工程分析。</w:t>
      </w:r>
    </w:p>
    <w:p w14:paraId="2BD841F4" w14:textId="77777777" w:rsidR="00B14D53" w:rsidRDefault="00000000">
      <w:pPr>
        <w:pStyle w:val="afff"/>
        <w:adjustRightInd/>
        <w:snapToGrid/>
        <w:jc w:val="both"/>
        <w:rPr>
          <w:rFonts w:ascii="Times New Roman" w:hAnsi="Times New Roman" w:cs="Times New Roman"/>
          <w:snapToGrid w:val="0"/>
        </w:rPr>
      </w:pPr>
      <w:r>
        <w:rPr>
          <w:rFonts w:ascii="Times New Roman" w:hAnsiTheme="minorEastAsia" w:cs="Times New Roman"/>
          <w:snapToGrid w:val="0"/>
        </w:rPr>
        <w:t>（</w:t>
      </w:r>
      <w:r>
        <w:rPr>
          <w:rFonts w:ascii="Times New Roman" w:hAnsi="Times New Roman" w:cs="Times New Roman"/>
          <w:snapToGrid w:val="0"/>
        </w:rPr>
        <w:t>3</w:t>
      </w:r>
      <w:r>
        <w:rPr>
          <w:rFonts w:ascii="Times New Roman" w:hAnsiTheme="minorEastAsia" w:cs="Times New Roman"/>
          <w:snapToGrid w:val="0"/>
        </w:rPr>
        <w:t>）</w:t>
      </w:r>
      <w:r>
        <w:rPr>
          <w:rFonts w:ascii="Times New Roman" w:hAnsi="Times New Roman" w:cs="Times New Roman"/>
        </w:rPr>
        <w:t>提出环境保护措施，进行经济技术可行性论证，给出污染物排放清单并给出评价结论</w:t>
      </w:r>
      <w:r>
        <w:rPr>
          <w:rFonts w:ascii="Times New Roman" w:hAnsiTheme="minorEastAsia" w:cs="Times New Roman"/>
          <w:snapToGrid w:val="0"/>
        </w:rPr>
        <w:t>。</w:t>
      </w:r>
    </w:p>
    <w:p w14:paraId="226709CE" w14:textId="77777777" w:rsidR="00B14D53" w:rsidRDefault="00000000">
      <w:pPr>
        <w:jc w:val="center"/>
        <w:rPr>
          <w:rFonts w:eastAsiaTheme="minorEastAsia"/>
          <w:kern w:val="0"/>
        </w:rPr>
      </w:pPr>
      <w:r>
        <w:rPr>
          <w:rFonts w:eastAsiaTheme="minorEastAsia"/>
          <w:noProof/>
          <w:kern w:val="0"/>
        </w:rPr>
        <w:drawing>
          <wp:inline distT="0" distB="0" distL="0" distR="0" wp14:anchorId="5F6C79C2" wp14:editId="5F87F266">
            <wp:extent cx="5093970" cy="4910455"/>
            <wp:effectExtent l="9525" t="9525" r="20955" b="1397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noChangeArrowheads="1"/>
                    </pic:cNvPicPr>
                  </pic:nvPicPr>
                  <pic:blipFill>
                    <a:blip r:embed="rId12" cstate="print"/>
                    <a:srcRect l="4339" t="2800" r="3941" b="4855"/>
                    <a:stretch>
                      <a:fillRect/>
                    </a:stretch>
                  </pic:blipFill>
                  <pic:spPr>
                    <a:xfrm>
                      <a:off x="0" y="0"/>
                      <a:ext cx="5093970" cy="4910455"/>
                    </a:xfrm>
                    <a:prstGeom prst="rect">
                      <a:avLst/>
                    </a:prstGeom>
                    <a:noFill/>
                    <a:ln w="6350">
                      <a:solidFill>
                        <a:schemeClr val="tx1"/>
                      </a:solidFill>
                      <a:miter lim="800000"/>
                      <a:headEnd/>
                      <a:tailEnd/>
                    </a:ln>
                  </pic:spPr>
                </pic:pic>
              </a:graphicData>
            </a:graphic>
          </wp:inline>
        </w:drawing>
      </w:r>
    </w:p>
    <w:p w14:paraId="65EFE758" w14:textId="77777777" w:rsidR="00B14D53" w:rsidRDefault="00000000">
      <w:pPr>
        <w:jc w:val="center"/>
        <w:rPr>
          <w:rStyle w:val="Char1"/>
          <w:rFonts w:ascii="Times New Roman" w:eastAsiaTheme="minorEastAsia" w:hAnsi="Times New Roman"/>
        </w:rPr>
      </w:pPr>
      <w:r>
        <w:rPr>
          <w:rStyle w:val="Char1"/>
          <w:rFonts w:ascii="Times New Roman" w:hAnsi="Times New Roman"/>
        </w:rPr>
        <w:t>图</w:t>
      </w:r>
      <w:r>
        <w:rPr>
          <w:rStyle w:val="Char1"/>
          <w:rFonts w:ascii="Times New Roman" w:hAnsi="Times New Roman"/>
        </w:rPr>
        <w:t xml:space="preserve">1-3-1 </w:t>
      </w:r>
      <w:r>
        <w:rPr>
          <w:rStyle w:val="Char1"/>
          <w:rFonts w:ascii="Times New Roman" w:hAnsi="Times New Roman"/>
        </w:rPr>
        <w:t>环境影响评价工作程序</w:t>
      </w:r>
    </w:p>
    <w:p w14:paraId="3F8B0E0F"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12" w:name="_Toc488072911"/>
      <w:bookmarkStart w:id="13" w:name="_Toc28498"/>
      <w:bookmarkStart w:id="14" w:name="_Toc486932294"/>
      <w:r>
        <w:rPr>
          <w:rFonts w:ascii="Times New Roman" w:eastAsia="黑体" w:hAnsi="Times New Roman" w:cs="Times New Roman"/>
          <w:b w:val="0"/>
          <w:bCs w:val="0"/>
          <w:sz w:val="30"/>
          <w:szCs w:val="30"/>
        </w:rPr>
        <w:t>1.4</w:t>
      </w:r>
      <w:r>
        <w:rPr>
          <w:rFonts w:ascii="Times New Roman" w:eastAsia="黑体" w:hAnsi="Times New Roman" w:cs="Times New Roman"/>
          <w:b w:val="0"/>
          <w:bCs w:val="0"/>
          <w:sz w:val="30"/>
          <w:szCs w:val="30"/>
        </w:rPr>
        <w:t>分析判定相关情况</w:t>
      </w:r>
      <w:bookmarkEnd w:id="12"/>
      <w:bookmarkEnd w:id="13"/>
      <w:bookmarkEnd w:id="14"/>
    </w:p>
    <w:p w14:paraId="54A72F4A"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1.4.1</w:t>
      </w:r>
      <w:r>
        <w:rPr>
          <w:rFonts w:ascii="Times New Roman" w:eastAsia="黑体" w:hAnsi="Times New Roman" w:cs="Times New Roman"/>
          <w:sz w:val="28"/>
          <w:szCs w:val="28"/>
        </w:rPr>
        <w:t>产业政策符合性分析</w:t>
      </w:r>
    </w:p>
    <w:p w14:paraId="2CCDFB8E" w14:textId="77777777" w:rsidR="00B14D53" w:rsidRDefault="00000000">
      <w:pPr>
        <w:pStyle w:val="afff"/>
        <w:adjustRightInd/>
        <w:snapToGrid/>
        <w:jc w:val="both"/>
        <w:rPr>
          <w:rFonts w:ascii="Times New Roman" w:hAnsiTheme="minorEastAsia" w:cs="Times New Roman" w:hint="eastAsia"/>
        </w:rPr>
      </w:pPr>
      <w:r>
        <w:rPr>
          <w:rFonts w:ascii="Times New Roman" w:hAnsiTheme="minorEastAsia" w:cs="Times New Roman"/>
        </w:rPr>
        <w:t>根据《产业结构调整指导目录（</w:t>
      </w:r>
      <w:r>
        <w:rPr>
          <w:rFonts w:ascii="Times New Roman" w:hAnsiTheme="minorEastAsia" w:cs="Times New Roman"/>
        </w:rPr>
        <w:t>2024</w:t>
      </w:r>
      <w:r>
        <w:rPr>
          <w:rFonts w:ascii="Times New Roman" w:hAnsiTheme="minorEastAsia" w:cs="Times New Roman"/>
        </w:rPr>
        <w:t>年本）》，本项目年屠宰生猪</w:t>
      </w:r>
      <w:r>
        <w:rPr>
          <w:rFonts w:ascii="Times New Roman" w:hAnsiTheme="minorEastAsia" w:cs="Times New Roman"/>
        </w:rPr>
        <w:t>16</w:t>
      </w:r>
      <w:r>
        <w:rPr>
          <w:rFonts w:ascii="Times New Roman" w:hAnsiTheme="minorEastAsia" w:cs="Times New Roman"/>
        </w:rPr>
        <w:t>万头，不属于“限制类”中的“十二、轻工－</w:t>
      </w:r>
      <w:r>
        <w:rPr>
          <w:rFonts w:ascii="Times New Roman" w:hAnsiTheme="minorEastAsia" w:cs="Times New Roman"/>
        </w:rPr>
        <w:t>24</w:t>
      </w:r>
      <w:r>
        <w:rPr>
          <w:rFonts w:ascii="Times New Roman" w:hAnsiTheme="minorEastAsia" w:cs="Times New Roman"/>
        </w:rPr>
        <w:t>、年屠宰生猪</w:t>
      </w:r>
      <w:r>
        <w:rPr>
          <w:rFonts w:ascii="Times New Roman" w:hAnsiTheme="minorEastAsia" w:cs="Times New Roman"/>
        </w:rPr>
        <w:t>15</w:t>
      </w:r>
      <w:r>
        <w:rPr>
          <w:rFonts w:ascii="Times New Roman" w:hAnsiTheme="minorEastAsia" w:cs="Times New Roman"/>
        </w:rPr>
        <w:t>万头及以下、肉牛</w:t>
      </w:r>
      <w:r>
        <w:rPr>
          <w:rFonts w:ascii="Times New Roman" w:hAnsiTheme="minorEastAsia" w:cs="Times New Roman"/>
        </w:rPr>
        <w:t>1</w:t>
      </w:r>
      <w:r>
        <w:rPr>
          <w:rFonts w:ascii="Times New Roman" w:hAnsiTheme="minorEastAsia" w:cs="Times New Roman"/>
        </w:rPr>
        <w:t>万头及以下、肉羊</w:t>
      </w:r>
      <w:r>
        <w:rPr>
          <w:rFonts w:ascii="Times New Roman" w:hAnsiTheme="minorEastAsia" w:cs="Times New Roman"/>
        </w:rPr>
        <w:t>15</w:t>
      </w:r>
      <w:r>
        <w:rPr>
          <w:rFonts w:ascii="Times New Roman" w:hAnsiTheme="minorEastAsia" w:cs="Times New Roman"/>
        </w:rPr>
        <w:t>万只及以下、活禽</w:t>
      </w:r>
      <w:r>
        <w:rPr>
          <w:rFonts w:ascii="Times New Roman" w:hAnsiTheme="minorEastAsia" w:cs="Times New Roman"/>
        </w:rPr>
        <w:t>1000</w:t>
      </w:r>
      <w:r>
        <w:rPr>
          <w:rFonts w:ascii="Times New Roman" w:hAnsiTheme="minorEastAsia" w:cs="Times New Roman"/>
        </w:rPr>
        <w:t>万只及以下的屠宰建设项目（少数民族地区除外）”，采取的工艺和设备均不属于《产业结构调整指导目录》（</w:t>
      </w:r>
      <w:r>
        <w:rPr>
          <w:rFonts w:ascii="Times New Roman" w:hAnsiTheme="minorEastAsia" w:cs="Times New Roman"/>
        </w:rPr>
        <w:t>2024</w:t>
      </w:r>
      <w:r>
        <w:rPr>
          <w:rFonts w:ascii="Times New Roman" w:hAnsiTheme="minorEastAsia" w:cs="Times New Roman"/>
        </w:rPr>
        <w:t>年本）中的鼓励类、限制类和淘汰类，</w:t>
      </w:r>
      <w:r>
        <w:rPr>
          <w:rFonts w:hint="eastAsia"/>
          <w:bCs/>
          <w:kern w:val="0"/>
          <w:szCs w:val="21"/>
        </w:rPr>
        <w:t>且符合法律、法规和政策规定的</w:t>
      </w:r>
      <w:r>
        <w:rPr>
          <w:rFonts w:ascii="Times New Roman" w:hAnsiTheme="minorEastAsia" w:cs="Times New Roman"/>
        </w:rPr>
        <w:t>允许类项目，符合国家产业政策。</w:t>
      </w:r>
    </w:p>
    <w:p w14:paraId="75384FF9"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1.4.2</w:t>
      </w:r>
      <w:r>
        <w:rPr>
          <w:rFonts w:ascii="Times New Roman" w:eastAsia="黑体" w:hAnsi="Times New Roman" w:cs="Times New Roman"/>
          <w:bCs/>
          <w:sz w:val="28"/>
          <w:szCs w:val="28"/>
        </w:rPr>
        <w:t>与《黑龙江省人民政府关于印发黑龙江省国民经济和社会发展第十四个五年规划和二〇三五年远景目标纲要的通知》（黑政发〔</w:t>
      </w:r>
      <w:r>
        <w:rPr>
          <w:rFonts w:ascii="Times New Roman" w:eastAsia="黑体" w:hAnsi="Times New Roman" w:cs="Times New Roman"/>
          <w:bCs/>
          <w:sz w:val="28"/>
          <w:szCs w:val="28"/>
        </w:rPr>
        <w:t>2021</w:t>
      </w:r>
      <w:r>
        <w:rPr>
          <w:rFonts w:ascii="Times New Roman" w:eastAsia="黑体" w:hAnsi="Times New Roman" w:cs="Times New Roman"/>
          <w:bCs/>
          <w:sz w:val="28"/>
          <w:szCs w:val="28"/>
        </w:rPr>
        <w:t>〕</w:t>
      </w:r>
      <w:r>
        <w:rPr>
          <w:rFonts w:ascii="Times New Roman" w:eastAsia="黑体" w:hAnsi="Times New Roman" w:cs="Times New Roman"/>
          <w:bCs/>
          <w:sz w:val="28"/>
          <w:szCs w:val="28"/>
        </w:rPr>
        <w:t>5</w:t>
      </w:r>
      <w:r>
        <w:rPr>
          <w:rFonts w:ascii="Times New Roman" w:eastAsia="黑体" w:hAnsi="Times New Roman" w:cs="Times New Roman"/>
          <w:bCs/>
          <w:sz w:val="28"/>
          <w:szCs w:val="28"/>
        </w:rPr>
        <w:t>号）符合性分析</w:t>
      </w:r>
    </w:p>
    <w:p w14:paraId="0C60F80D" w14:textId="77777777" w:rsidR="00B14D53" w:rsidRDefault="00000000">
      <w:pPr>
        <w:jc w:val="center"/>
        <w:rPr>
          <w:b/>
          <w:bCs/>
        </w:rPr>
      </w:pPr>
      <w:r>
        <w:rPr>
          <w:b/>
          <w:bCs/>
        </w:rPr>
        <w:t>表</w:t>
      </w:r>
      <w:r>
        <w:rPr>
          <w:b/>
          <w:bCs/>
        </w:rPr>
        <w:t xml:space="preserve">1-4-1 </w:t>
      </w:r>
      <w:r>
        <w:rPr>
          <w:b/>
          <w:bCs/>
        </w:rPr>
        <w:t>与《黑龙江省国民经济和社会发展第十四个五年规划和二〇三五年远景目标纲要的通知》的符合性</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274"/>
        <w:gridCol w:w="2072"/>
        <w:gridCol w:w="960"/>
      </w:tblGrid>
      <w:tr w:rsidR="00B14D53" w14:paraId="6244A44A" w14:textId="77777777">
        <w:trPr>
          <w:jc w:val="center"/>
        </w:trPr>
        <w:tc>
          <w:tcPr>
            <w:tcW w:w="0" w:type="auto"/>
            <w:tcBorders>
              <w:tl2br w:val="nil"/>
              <w:tr2bl w:val="nil"/>
            </w:tcBorders>
            <w:vAlign w:val="center"/>
          </w:tcPr>
          <w:p w14:paraId="7F18B01C" w14:textId="77777777" w:rsidR="00B14D53" w:rsidRDefault="00000000">
            <w:pPr>
              <w:pStyle w:val="a6"/>
              <w:spacing w:line="240" w:lineRule="auto"/>
              <w:rPr>
                <w:rFonts w:ascii="Times New Roman" w:hAnsi="Times New Roman"/>
                <w:b/>
                <w:bCs/>
                <w:sz w:val="21"/>
                <w:szCs w:val="21"/>
              </w:rPr>
            </w:pPr>
            <w:r>
              <w:rPr>
                <w:rFonts w:ascii="Times New Roman" w:hAnsi="Times New Roman"/>
                <w:b/>
                <w:bCs/>
                <w:sz w:val="21"/>
                <w:szCs w:val="21"/>
              </w:rPr>
              <w:t>相关要求</w:t>
            </w:r>
          </w:p>
        </w:tc>
        <w:tc>
          <w:tcPr>
            <w:tcW w:w="2072" w:type="dxa"/>
            <w:tcBorders>
              <w:tl2br w:val="nil"/>
              <w:tr2bl w:val="nil"/>
            </w:tcBorders>
            <w:vAlign w:val="center"/>
          </w:tcPr>
          <w:p w14:paraId="71291483" w14:textId="77777777" w:rsidR="00B14D53" w:rsidRDefault="00000000">
            <w:pPr>
              <w:pStyle w:val="a6"/>
              <w:spacing w:line="240" w:lineRule="auto"/>
              <w:rPr>
                <w:rFonts w:ascii="Times New Roman" w:hAnsi="Times New Roman"/>
                <w:b/>
                <w:bCs/>
                <w:sz w:val="21"/>
                <w:szCs w:val="21"/>
              </w:rPr>
            </w:pPr>
            <w:r>
              <w:rPr>
                <w:rFonts w:ascii="Times New Roman" w:hAnsi="Times New Roman"/>
                <w:b/>
                <w:bCs/>
                <w:sz w:val="21"/>
                <w:szCs w:val="21"/>
              </w:rPr>
              <w:t>本项目</w:t>
            </w:r>
          </w:p>
        </w:tc>
        <w:tc>
          <w:tcPr>
            <w:tcW w:w="960" w:type="dxa"/>
            <w:tcBorders>
              <w:tl2br w:val="nil"/>
              <w:tr2bl w:val="nil"/>
            </w:tcBorders>
            <w:vAlign w:val="center"/>
          </w:tcPr>
          <w:p w14:paraId="5004C69F" w14:textId="77777777" w:rsidR="00B14D53" w:rsidRDefault="00000000">
            <w:pPr>
              <w:pStyle w:val="a6"/>
              <w:spacing w:line="240" w:lineRule="auto"/>
              <w:rPr>
                <w:rFonts w:ascii="Times New Roman" w:hAnsi="Times New Roman"/>
                <w:b/>
                <w:bCs/>
                <w:sz w:val="21"/>
                <w:szCs w:val="21"/>
              </w:rPr>
            </w:pPr>
            <w:r>
              <w:rPr>
                <w:rFonts w:ascii="Times New Roman" w:hAnsi="Times New Roman"/>
                <w:b/>
                <w:bCs/>
                <w:sz w:val="21"/>
                <w:szCs w:val="21"/>
              </w:rPr>
              <w:t>符合性</w:t>
            </w:r>
          </w:p>
        </w:tc>
      </w:tr>
      <w:tr w:rsidR="00B14D53" w14:paraId="2616C41A" w14:textId="77777777">
        <w:trPr>
          <w:trHeight w:val="670"/>
          <w:jc w:val="center"/>
        </w:trPr>
        <w:tc>
          <w:tcPr>
            <w:tcW w:w="0" w:type="auto"/>
            <w:tcBorders>
              <w:tl2br w:val="nil"/>
              <w:tr2bl w:val="nil"/>
            </w:tcBorders>
            <w:vAlign w:val="center"/>
          </w:tcPr>
          <w:p w14:paraId="7E5FA59D"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率先实现农业农村现代化，第二节</w:t>
            </w:r>
            <w:r>
              <w:rPr>
                <w:rFonts w:ascii="Times New Roman" w:hAnsi="Times New Roman"/>
                <w:sz w:val="21"/>
                <w:szCs w:val="21"/>
              </w:rPr>
              <w:t xml:space="preserve"> </w:t>
            </w:r>
            <w:r>
              <w:rPr>
                <w:rFonts w:ascii="Times New Roman" w:hAnsi="Times New Roman"/>
                <w:sz w:val="21"/>
                <w:szCs w:val="21"/>
              </w:rPr>
              <w:t>开展</w:t>
            </w:r>
            <w:r>
              <w:rPr>
                <w:rFonts w:ascii="Times New Roman" w:hAnsi="Times New Roman"/>
                <w:sz w:val="21"/>
                <w:szCs w:val="21"/>
              </w:rPr>
              <w:t>“</w:t>
            </w:r>
            <w:r>
              <w:rPr>
                <w:rFonts w:ascii="Times New Roman" w:hAnsi="Times New Roman"/>
                <w:sz w:val="21"/>
                <w:szCs w:val="21"/>
              </w:rPr>
              <w:t>中国粮食、中国饭碗</w:t>
            </w:r>
            <w:r>
              <w:rPr>
                <w:rFonts w:ascii="Times New Roman" w:hAnsi="Times New Roman"/>
                <w:sz w:val="21"/>
                <w:szCs w:val="21"/>
              </w:rPr>
              <w:t>”</w:t>
            </w:r>
            <w:r>
              <w:rPr>
                <w:rFonts w:ascii="Times New Roman" w:hAnsi="Times New Roman"/>
                <w:sz w:val="21"/>
                <w:szCs w:val="21"/>
              </w:rPr>
              <w:t>质量提升行动：构建现代畜牧产业体系。实施</w:t>
            </w:r>
            <w:r>
              <w:rPr>
                <w:rFonts w:ascii="Times New Roman" w:hAnsi="Times New Roman"/>
                <w:sz w:val="21"/>
                <w:szCs w:val="21"/>
              </w:rPr>
              <w:t>“</w:t>
            </w:r>
            <w:r>
              <w:rPr>
                <w:rFonts w:ascii="Times New Roman" w:hAnsi="Times New Roman"/>
                <w:sz w:val="21"/>
                <w:szCs w:val="21"/>
              </w:rPr>
              <w:t>两牛一猪一禽</w:t>
            </w:r>
            <w:r>
              <w:rPr>
                <w:rFonts w:ascii="Times New Roman" w:hAnsi="Times New Roman"/>
                <w:sz w:val="21"/>
                <w:szCs w:val="21"/>
              </w:rPr>
              <w:t>”</w:t>
            </w:r>
            <w:r>
              <w:rPr>
                <w:rFonts w:ascii="Times New Roman" w:hAnsi="Times New Roman"/>
                <w:sz w:val="21"/>
                <w:szCs w:val="21"/>
              </w:rPr>
              <w:t>工程，推进畜牧业全产业链发展，进一步提高畜牧业产值占农业总产值比重，建设国家级高品质乳制品、肉制品加工基地。大力推进奶业振兴，加强优质奶源基地建设，构建高产肉牛核心群，发展绿色全营养体饲草料产业，提高肉牛单产和鲜奶品质。加快标准化规模养殖基地建设，布局建设肉牛、生猪、肉鸡、肉鹅大型养殖项目，肉畜禽养殖规模化比重达到</w:t>
            </w:r>
            <w:r>
              <w:rPr>
                <w:rFonts w:ascii="Times New Roman" w:hAnsi="Times New Roman"/>
                <w:sz w:val="21"/>
                <w:szCs w:val="21"/>
              </w:rPr>
              <w:t>75%</w:t>
            </w:r>
            <w:r>
              <w:rPr>
                <w:rFonts w:ascii="Times New Roman" w:hAnsi="Times New Roman"/>
                <w:sz w:val="21"/>
                <w:szCs w:val="21"/>
              </w:rPr>
              <w:t>以上。开展重大动物疫病防控，完善病死动物无害化收集处理体系，加强肉类产品监管能力建设。壮大生态渔业规模</w:t>
            </w:r>
          </w:p>
        </w:tc>
        <w:tc>
          <w:tcPr>
            <w:tcW w:w="2072" w:type="dxa"/>
            <w:tcBorders>
              <w:tl2br w:val="nil"/>
              <w:tr2bl w:val="nil"/>
            </w:tcBorders>
            <w:vAlign w:val="center"/>
          </w:tcPr>
          <w:p w14:paraId="3661661B"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本项目年屠宰加工</w:t>
            </w:r>
            <w:r>
              <w:rPr>
                <w:rFonts w:ascii="Times New Roman" w:hAnsi="Times New Roman"/>
                <w:sz w:val="21"/>
                <w:szCs w:val="21"/>
              </w:rPr>
              <w:t>16</w:t>
            </w:r>
            <w:r>
              <w:rPr>
                <w:rFonts w:ascii="Times New Roman" w:hAnsi="Times New Roman"/>
                <w:sz w:val="21"/>
                <w:szCs w:val="21"/>
              </w:rPr>
              <w:t>万头生猪，项目投产后将建立标准化生产、产业化经营、社会化服务的现代畜牧业生产体系，提高</w:t>
            </w:r>
            <w:r>
              <w:rPr>
                <w:rFonts w:ascii="Times New Roman" w:hAnsi="Times New Roman" w:hint="eastAsia"/>
                <w:sz w:val="21"/>
                <w:szCs w:val="21"/>
              </w:rPr>
              <w:t>肉制品生产的质量</w:t>
            </w:r>
          </w:p>
        </w:tc>
        <w:tc>
          <w:tcPr>
            <w:tcW w:w="960" w:type="dxa"/>
            <w:tcBorders>
              <w:tl2br w:val="nil"/>
              <w:tr2bl w:val="nil"/>
            </w:tcBorders>
            <w:vAlign w:val="center"/>
          </w:tcPr>
          <w:p w14:paraId="5196ED34" w14:textId="77777777" w:rsidR="00B14D53" w:rsidRDefault="00000000">
            <w:pPr>
              <w:pStyle w:val="a6"/>
              <w:spacing w:line="240" w:lineRule="auto"/>
              <w:rPr>
                <w:rFonts w:ascii="Times New Roman" w:hAnsi="Times New Roman"/>
                <w:sz w:val="21"/>
                <w:szCs w:val="21"/>
              </w:rPr>
            </w:pPr>
            <w:r>
              <w:rPr>
                <w:rFonts w:ascii="Times New Roman" w:hAnsi="Times New Roman"/>
                <w:sz w:val="21"/>
                <w:szCs w:val="21"/>
              </w:rPr>
              <w:t>符合</w:t>
            </w:r>
          </w:p>
        </w:tc>
      </w:tr>
    </w:tbl>
    <w:p w14:paraId="526DD59D"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1.4.3</w:t>
      </w:r>
      <w:r>
        <w:rPr>
          <w:rFonts w:ascii="Times New Roman" w:eastAsia="黑体" w:hAnsi="Times New Roman" w:cs="Times New Roman"/>
          <w:bCs/>
          <w:sz w:val="28"/>
          <w:szCs w:val="28"/>
        </w:rPr>
        <w:t>与《哈尔滨市国民经济和社会发展第十四个五年规划和二〇三五年远景目标纲要》（哈政发</w:t>
      </w:r>
      <w:r>
        <w:rPr>
          <w:rFonts w:ascii="Times New Roman" w:eastAsia="黑体" w:hAnsi="Times New Roman" w:cs="Times New Roman"/>
          <w:bCs/>
          <w:sz w:val="28"/>
          <w:szCs w:val="28"/>
        </w:rPr>
        <w:t>[2021]12</w:t>
      </w:r>
      <w:r>
        <w:rPr>
          <w:rFonts w:ascii="Times New Roman" w:eastAsia="黑体" w:hAnsi="Times New Roman" w:cs="Times New Roman"/>
          <w:bCs/>
          <w:sz w:val="28"/>
          <w:szCs w:val="28"/>
        </w:rPr>
        <w:t>号）符合性分析</w:t>
      </w:r>
    </w:p>
    <w:p w14:paraId="5AA8BC67" w14:textId="77777777" w:rsidR="00B14D53" w:rsidRDefault="00000000">
      <w:pPr>
        <w:jc w:val="center"/>
        <w:rPr>
          <w:b/>
          <w:bCs/>
        </w:rPr>
      </w:pPr>
      <w:r>
        <w:rPr>
          <w:b/>
          <w:bCs/>
        </w:rPr>
        <w:t>表</w:t>
      </w:r>
      <w:r>
        <w:rPr>
          <w:b/>
          <w:bCs/>
        </w:rPr>
        <w:t xml:space="preserve">1-4-2 </w:t>
      </w:r>
      <w:r>
        <w:rPr>
          <w:b/>
          <w:bCs/>
        </w:rPr>
        <w:t>与《哈尔滨市国民经济和社会发展第十四个五年规划和二〇三五年远景目标纲要》的符合性</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388"/>
        <w:gridCol w:w="2854"/>
        <w:gridCol w:w="1064"/>
      </w:tblGrid>
      <w:tr w:rsidR="00B14D53" w14:paraId="523E4CA3" w14:textId="77777777">
        <w:trPr>
          <w:jc w:val="center"/>
        </w:trPr>
        <w:tc>
          <w:tcPr>
            <w:tcW w:w="4512" w:type="dxa"/>
            <w:tcBorders>
              <w:tl2br w:val="nil"/>
              <w:tr2bl w:val="nil"/>
            </w:tcBorders>
            <w:vAlign w:val="center"/>
          </w:tcPr>
          <w:p w14:paraId="1650A97E" w14:textId="77777777" w:rsidR="00B14D53" w:rsidRDefault="00000000">
            <w:pPr>
              <w:jc w:val="center"/>
              <w:rPr>
                <w:b/>
                <w:bCs/>
              </w:rPr>
            </w:pPr>
            <w:r>
              <w:rPr>
                <w:b/>
                <w:bCs/>
              </w:rPr>
              <w:t>相关要求</w:t>
            </w:r>
          </w:p>
        </w:tc>
        <w:tc>
          <w:tcPr>
            <w:tcW w:w="2924" w:type="dxa"/>
            <w:tcBorders>
              <w:tl2br w:val="nil"/>
              <w:tr2bl w:val="nil"/>
            </w:tcBorders>
            <w:vAlign w:val="center"/>
          </w:tcPr>
          <w:p w14:paraId="2F82F3BB" w14:textId="77777777" w:rsidR="00B14D53" w:rsidRDefault="00000000">
            <w:pPr>
              <w:jc w:val="center"/>
              <w:rPr>
                <w:b/>
                <w:bCs/>
              </w:rPr>
            </w:pPr>
            <w:r>
              <w:rPr>
                <w:b/>
                <w:bCs/>
              </w:rPr>
              <w:t>本项目</w:t>
            </w:r>
          </w:p>
        </w:tc>
        <w:tc>
          <w:tcPr>
            <w:tcW w:w="1086" w:type="dxa"/>
            <w:tcBorders>
              <w:tl2br w:val="nil"/>
              <w:tr2bl w:val="nil"/>
            </w:tcBorders>
            <w:vAlign w:val="center"/>
          </w:tcPr>
          <w:p w14:paraId="4DCD262C" w14:textId="77777777" w:rsidR="00B14D53" w:rsidRDefault="00000000">
            <w:pPr>
              <w:jc w:val="center"/>
              <w:rPr>
                <w:b/>
                <w:bCs/>
              </w:rPr>
            </w:pPr>
            <w:r>
              <w:rPr>
                <w:b/>
                <w:bCs/>
              </w:rPr>
              <w:t>符合性</w:t>
            </w:r>
          </w:p>
        </w:tc>
      </w:tr>
      <w:tr w:rsidR="00B14D53" w14:paraId="6A242B0E" w14:textId="77777777">
        <w:trPr>
          <w:trHeight w:val="670"/>
          <w:jc w:val="center"/>
        </w:trPr>
        <w:tc>
          <w:tcPr>
            <w:tcW w:w="4512" w:type="dxa"/>
            <w:tcBorders>
              <w:tl2br w:val="nil"/>
              <w:tr2bl w:val="nil"/>
            </w:tcBorders>
            <w:vAlign w:val="center"/>
          </w:tcPr>
          <w:p w14:paraId="3B0EDD36"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建设国家高质量农产品基地</w:t>
            </w:r>
            <w:r>
              <w:rPr>
                <w:rFonts w:ascii="Times New Roman" w:hAnsi="Times New Roman"/>
                <w:sz w:val="21"/>
                <w:szCs w:val="21"/>
              </w:rPr>
              <w:t>”</w:t>
            </w:r>
            <w:r>
              <w:rPr>
                <w:rFonts w:ascii="Times New Roman" w:hAnsi="Times New Roman"/>
                <w:sz w:val="21"/>
                <w:szCs w:val="21"/>
              </w:rPr>
              <w:t>中指出：</w:t>
            </w:r>
            <w:r>
              <w:rPr>
                <w:rFonts w:ascii="Times New Roman" w:hAnsi="Times New Roman"/>
                <w:sz w:val="21"/>
                <w:szCs w:val="21"/>
              </w:rPr>
              <w:t>“</w:t>
            </w:r>
            <w:r>
              <w:rPr>
                <w:rFonts w:ascii="Times New Roman" w:hAnsi="Times New Roman"/>
                <w:sz w:val="21"/>
                <w:szCs w:val="21"/>
              </w:rPr>
              <w:t>实施畜牧业振兴行动，以</w:t>
            </w:r>
            <w:r>
              <w:rPr>
                <w:rFonts w:ascii="Times New Roman" w:hAnsi="Times New Roman"/>
                <w:sz w:val="21"/>
                <w:szCs w:val="21"/>
              </w:rPr>
              <w:t>“</w:t>
            </w:r>
            <w:r>
              <w:rPr>
                <w:rFonts w:ascii="Times New Roman" w:hAnsi="Times New Roman"/>
                <w:sz w:val="21"/>
                <w:szCs w:val="21"/>
              </w:rPr>
              <w:t>两牛一猪一禽</w:t>
            </w:r>
            <w:r>
              <w:rPr>
                <w:rFonts w:ascii="Times New Roman" w:hAnsi="Times New Roman"/>
                <w:sz w:val="21"/>
                <w:szCs w:val="21"/>
              </w:rPr>
              <w:t>”</w:t>
            </w:r>
            <w:r>
              <w:rPr>
                <w:rFonts w:ascii="Times New Roman" w:hAnsi="Times New Roman"/>
                <w:sz w:val="21"/>
                <w:szCs w:val="21"/>
              </w:rPr>
              <w:t>为重点，加快建立规模化养殖、标准化生产、产业化经营、社会化服务的现代畜牧业生产体系。农业增加值年均增速达</w:t>
            </w:r>
            <w:r>
              <w:rPr>
                <w:rFonts w:ascii="Times New Roman" w:hAnsi="Times New Roman"/>
                <w:sz w:val="21"/>
                <w:szCs w:val="21"/>
              </w:rPr>
              <w:t>3%</w:t>
            </w:r>
            <w:r>
              <w:rPr>
                <w:rFonts w:ascii="Times New Roman" w:hAnsi="Times New Roman"/>
                <w:sz w:val="21"/>
                <w:szCs w:val="21"/>
              </w:rPr>
              <w:t>，到</w:t>
            </w:r>
            <w:r>
              <w:rPr>
                <w:rFonts w:ascii="Times New Roman" w:hAnsi="Times New Roman"/>
                <w:sz w:val="21"/>
                <w:szCs w:val="21"/>
              </w:rPr>
              <w:t>2025</w:t>
            </w:r>
            <w:r>
              <w:rPr>
                <w:rFonts w:ascii="Times New Roman" w:hAnsi="Times New Roman"/>
                <w:sz w:val="21"/>
                <w:szCs w:val="21"/>
              </w:rPr>
              <w:t>年，畜牧业产值占农业总产值比重达</w:t>
            </w:r>
            <w:r>
              <w:rPr>
                <w:rFonts w:ascii="Times New Roman" w:hAnsi="Times New Roman"/>
                <w:sz w:val="21"/>
                <w:szCs w:val="21"/>
              </w:rPr>
              <w:t>30%</w:t>
            </w:r>
          </w:p>
        </w:tc>
        <w:tc>
          <w:tcPr>
            <w:tcW w:w="2924" w:type="dxa"/>
            <w:tcBorders>
              <w:tl2br w:val="nil"/>
              <w:tr2bl w:val="nil"/>
            </w:tcBorders>
            <w:vAlign w:val="center"/>
          </w:tcPr>
          <w:p w14:paraId="44492BD8"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本项目为年屠宰加工</w:t>
            </w:r>
            <w:r>
              <w:rPr>
                <w:rFonts w:ascii="Times New Roman" w:hAnsi="Times New Roman"/>
                <w:sz w:val="21"/>
                <w:szCs w:val="21"/>
              </w:rPr>
              <w:t>16</w:t>
            </w:r>
            <w:r>
              <w:rPr>
                <w:rFonts w:ascii="Times New Roman" w:hAnsi="Times New Roman"/>
                <w:sz w:val="21"/>
                <w:szCs w:val="21"/>
              </w:rPr>
              <w:t>万头生猪，项目投产后将建立标准化生产、产业化经营、社会化服务的现代畜牧业生产体系，提高</w:t>
            </w:r>
            <w:r>
              <w:rPr>
                <w:rFonts w:ascii="Times New Roman" w:hAnsi="Times New Roman" w:hint="eastAsia"/>
                <w:sz w:val="21"/>
                <w:szCs w:val="21"/>
              </w:rPr>
              <w:t>肉制品生产的质量</w:t>
            </w:r>
          </w:p>
        </w:tc>
        <w:tc>
          <w:tcPr>
            <w:tcW w:w="1086" w:type="dxa"/>
            <w:tcBorders>
              <w:tl2br w:val="nil"/>
              <w:tr2bl w:val="nil"/>
            </w:tcBorders>
            <w:vAlign w:val="center"/>
          </w:tcPr>
          <w:p w14:paraId="4623E565" w14:textId="77777777" w:rsidR="00B14D53" w:rsidRDefault="00000000">
            <w:pPr>
              <w:pStyle w:val="a6"/>
              <w:spacing w:line="360" w:lineRule="exact"/>
              <w:rPr>
                <w:rFonts w:ascii="Times New Roman" w:hAnsi="Times New Roman"/>
                <w:sz w:val="21"/>
                <w:szCs w:val="21"/>
              </w:rPr>
            </w:pPr>
            <w:r>
              <w:rPr>
                <w:rFonts w:ascii="Times New Roman" w:hAnsi="Times New Roman"/>
                <w:sz w:val="21"/>
                <w:szCs w:val="21"/>
              </w:rPr>
              <w:t>符合</w:t>
            </w:r>
          </w:p>
        </w:tc>
      </w:tr>
    </w:tbl>
    <w:p w14:paraId="0894B059"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1.4.4</w:t>
      </w:r>
      <w:r>
        <w:rPr>
          <w:rFonts w:ascii="Times New Roman" w:eastAsia="黑体" w:hAnsi="Times New Roman" w:cs="Times New Roman"/>
          <w:bCs/>
          <w:sz w:val="28"/>
          <w:szCs w:val="28"/>
        </w:rPr>
        <w:t>与《黑龙江省畜禽屠宰管理条例》</w:t>
      </w:r>
      <w:r>
        <w:rPr>
          <w:rFonts w:ascii="Times New Roman" w:eastAsia="黑体" w:hAnsi="Times New Roman" w:cs="Times New Roman" w:hint="eastAsia"/>
          <w:bCs/>
          <w:sz w:val="28"/>
          <w:szCs w:val="28"/>
        </w:rPr>
        <w:t>（</w:t>
      </w:r>
      <w:r>
        <w:rPr>
          <w:rFonts w:ascii="Times New Roman" w:eastAsia="黑体" w:hAnsi="Times New Roman" w:cs="Times New Roman" w:hint="eastAsia"/>
          <w:bCs/>
          <w:sz w:val="28"/>
          <w:szCs w:val="28"/>
        </w:rPr>
        <w:t>2021</w:t>
      </w:r>
      <w:r>
        <w:rPr>
          <w:rFonts w:ascii="Times New Roman" w:eastAsia="黑体" w:hAnsi="Times New Roman" w:cs="Times New Roman" w:hint="eastAsia"/>
          <w:bCs/>
          <w:sz w:val="28"/>
          <w:szCs w:val="28"/>
        </w:rPr>
        <w:t>年</w:t>
      </w:r>
      <w:r>
        <w:rPr>
          <w:rFonts w:ascii="Times New Roman" w:eastAsia="黑体" w:hAnsi="Times New Roman" w:cs="Times New Roman" w:hint="eastAsia"/>
          <w:bCs/>
          <w:sz w:val="28"/>
          <w:szCs w:val="28"/>
        </w:rPr>
        <w:t>12</w:t>
      </w:r>
      <w:r>
        <w:rPr>
          <w:rFonts w:ascii="Times New Roman" w:eastAsia="黑体" w:hAnsi="Times New Roman" w:cs="Times New Roman" w:hint="eastAsia"/>
          <w:bCs/>
          <w:sz w:val="28"/>
          <w:szCs w:val="28"/>
        </w:rPr>
        <w:t>月</w:t>
      </w:r>
      <w:r>
        <w:rPr>
          <w:rFonts w:ascii="Times New Roman" w:eastAsia="黑体" w:hAnsi="Times New Roman" w:cs="Times New Roman" w:hint="eastAsia"/>
          <w:bCs/>
          <w:sz w:val="28"/>
          <w:szCs w:val="28"/>
        </w:rPr>
        <w:t>23</w:t>
      </w:r>
      <w:r>
        <w:rPr>
          <w:rFonts w:ascii="Times New Roman" w:eastAsia="黑体" w:hAnsi="Times New Roman" w:cs="Times New Roman" w:hint="eastAsia"/>
          <w:bCs/>
          <w:sz w:val="28"/>
          <w:szCs w:val="28"/>
        </w:rPr>
        <w:t>日修订）</w:t>
      </w:r>
      <w:r>
        <w:rPr>
          <w:rFonts w:ascii="Times New Roman" w:eastAsia="黑体" w:hAnsi="Times New Roman" w:cs="Times New Roman"/>
          <w:bCs/>
          <w:sz w:val="28"/>
          <w:szCs w:val="28"/>
        </w:rPr>
        <w:t>符合性分析</w:t>
      </w:r>
    </w:p>
    <w:p w14:paraId="4B3E0E43" w14:textId="77777777" w:rsidR="00B14D53" w:rsidRDefault="00B14D53">
      <w:pPr>
        <w:jc w:val="center"/>
        <w:rPr>
          <w:b/>
          <w:bCs/>
        </w:rPr>
      </w:pPr>
    </w:p>
    <w:p w14:paraId="26B60891" w14:textId="77777777" w:rsidR="00B14D53" w:rsidRDefault="00B14D53">
      <w:pPr>
        <w:jc w:val="center"/>
        <w:rPr>
          <w:b/>
          <w:bCs/>
        </w:rPr>
      </w:pPr>
    </w:p>
    <w:p w14:paraId="30736F8E" w14:textId="77777777" w:rsidR="00B14D53" w:rsidRDefault="00B14D53">
      <w:pPr>
        <w:jc w:val="center"/>
        <w:rPr>
          <w:b/>
          <w:bCs/>
        </w:rPr>
      </w:pPr>
    </w:p>
    <w:p w14:paraId="578B5BFF" w14:textId="77777777" w:rsidR="00B14D53" w:rsidRDefault="00B14D53">
      <w:pPr>
        <w:jc w:val="center"/>
        <w:rPr>
          <w:b/>
          <w:bCs/>
        </w:rPr>
      </w:pPr>
    </w:p>
    <w:p w14:paraId="1855356F" w14:textId="77777777" w:rsidR="00B14D53" w:rsidRDefault="00B14D53">
      <w:pPr>
        <w:jc w:val="center"/>
        <w:rPr>
          <w:b/>
          <w:bCs/>
        </w:rPr>
      </w:pPr>
    </w:p>
    <w:p w14:paraId="17EF971A" w14:textId="77777777" w:rsidR="00B14D53" w:rsidRDefault="00B14D53">
      <w:pPr>
        <w:jc w:val="center"/>
        <w:rPr>
          <w:b/>
          <w:bCs/>
        </w:rPr>
      </w:pPr>
    </w:p>
    <w:p w14:paraId="5D8487A0" w14:textId="77777777" w:rsidR="00B14D53" w:rsidRDefault="00B14D53">
      <w:pPr>
        <w:jc w:val="center"/>
        <w:rPr>
          <w:b/>
          <w:bCs/>
        </w:rPr>
      </w:pPr>
    </w:p>
    <w:p w14:paraId="4053F465" w14:textId="77777777" w:rsidR="00B14D53" w:rsidRDefault="00000000">
      <w:pPr>
        <w:jc w:val="center"/>
        <w:rPr>
          <w:b/>
          <w:bCs/>
        </w:rPr>
      </w:pPr>
      <w:r>
        <w:rPr>
          <w:b/>
          <w:bCs/>
        </w:rPr>
        <w:t>表</w:t>
      </w:r>
      <w:r>
        <w:rPr>
          <w:b/>
          <w:bCs/>
        </w:rPr>
        <w:t xml:space="preserve">1-4-3 </w:t>
      </w:r>
      <w:r>
        <w:rPr>
          <w:b/>
          <w:bCs/>
        </w:rPr>
        <w:t>本项目与《黑龙江省畜禽屠宰管理条例》符合性</w:t>
      </w:r>
    </w:p>
    <w:tbl>
      <w:tblPr>
        <w:tblStyle w:val="TableNormal"/>
        <w:tblW w:w="5125" w:type="pct"/>
        <w:tblInd w:w="-110" w:type="dxa"/>
        <w:tblBorders>
          <w:top w:val="single" w:sz="12" w:space="0" w:color="auto"/>
          <w:bottom w:val="single" w:sz="12" w:space="0" w:color="auto"/>
          <w:insideH w:val="single" w:sz="6" w:space="0" w:color="000000"/>
          <w:insideV w:val="single" w:sz="6" w:space="0" w:color="000000"/>
        </w:tblBorders>
        <w:tblLook w:val="04A0" w:firstRow="1" w:lastRow="0" w:firstColumn="1" w:lastColumn="0" w:noHBand="0" w:noVBand="1"/>
      </w:tblPr>
      <w:tblGrid>
        <w:gridCol w:w="1541"/>
        <w:gridCol w:w="2980"/>
        <w:gridCol w:w="3252"/>
        <w:gridCol w:w="741"/>
      </w:tblGrid>
      <w:tr w:rsidR="00B14D53" w14:paraId="1625ECCF" w14:textId="77777777">
        <w:trPr>
          <w:trHeight w:val="340"/>
        </w:trPr>
        <w:tc>
          <w:tcPr>
            <w:tcW w:w="905" w:type="pct"/>
            <w:tcBorders>
              <w:tl2br w:val="nil"/>
              <w:tr2bl w:val="nil"/>
            </w:tcBorders>
            <w:vAlign w:val="center"/>
          </w:tcPr>
          <w:p w14:paraId="6FD3966A" w14:textId="77777777" w:rsidR="00B14D53" w:rsidRDefault="00000000">
            <w:pPr>
              <w:jc w:val="center"/>
              <w:rPr>
                <w:b/>
                <w:bCs/>
              </w:rPr>
            </w:pPr>
            <w:r>
              <w:rPr>
                <w:b/>
                <w:bCs/>
              </w:rPr>
              <w:t>名称</w:t>
            </w:r>
          </w:p>
        </w:tc>
        <w:tc>
          <w:tcPr>
            <w:tcW w:w="1749" w:type="pct"/>
            <w:tcBorders>
              <w:tl2br w:val="nil"/>
              <w:tr2bl w:val="nil"/>
            </w:tcBorders>
            <w:vAlign w:val="center"/>
          </w:tcPr>
          <w:p w14:paraId="233E448A" w14:textId="77777777" w:rsidR="00B14D53" w:rsidRDefault="00000000">
            <w:pPr>
              <w:jc w:val="center"/>
              <w:rPr>
                <w:b/>
                <w:bCs/>
              </w:rPr>
            </w:pPr>
            <w:r>
              <w:rPr>
                <w:b/>
                <w:bCs/>
              </w:rPr>
              <w:t>要求</w:t>
            </w:r>
          </w:p>
        </w:tc>
        <w:tc>
          <w:tcPr>
            <w:tcW w:w="1909" w:type="pct"/>
            <w:tcBorders>
              <w:tl2br w:val="nil"/>
              <w:tr2bl w:val="nil"/>
            </w:tcBorders>
            <w:vAlign w:val="center"/>
          </w:tcPr>
          <w:p w14:paraId="26D8287E" w14:textId="77777777" w:rsidR="00B14D53" w:rsidRDefault="00000000">
            <w:pPr>
              <w:jc w:val="center"/>
              <w:rPr>
                <w:b/>
                <w:bCs/>
              </w:rPr>
            </w:pPr>
            <w:r>
              <w:rPr>
                <w:b/>
                <w:bCs/>
              </w:rPr>
              <w:t>本项目</w:t>
            </w:r>
          </w:p>
        </w:tc>
        <w:tc>
          <w:tcPr>
            <w:tcW w:w="435" w:type="pct"/>
            <w:tcBorders>
              <w:tl2br w:val="nil"/>
              <w:tr2bl w:val="nil"/>
            </w:tcBorders>
            <w:vAlign w:val="center"/>
          </w:tcPr>
          <w:p w14:paraId="4D9632C1" w14:textId="77777777" w:rsidR="00B14D53" w:rsidRDefault="00000000">
            <w:pPr>
              <w:jc w:val="center"/>
              <w:rPr>
                <w:b/>
                <w:bCs/>
              </w:rPr>
            </w:pPr>
            <w:r>
              <w:rPr>
                <w:b/>
                <w:bCs/>
              </w:rPr>
              <w:t>结论</w:t>
            </w:r>
          </w:p>
        </w:tc>
      </w:tr>
      <w:tr w:rsidR="00B14D53" w14:paraId="65C90F90" w14:textId="77777777">
        <w:trPr>
          <w:trHeight w:val="340"/>
        </w:trPr>
        <w:tc>
          <w:tcPr>
            <w:tcW w:w="905" w:type="pct"/>
            <w:vMerge w:val="restart"/>
            <w:tcBorders>
              <w:tl2br w:val="nil"/>
              <w:tr2bl w:val="nil"/>
            </w:tcBorders>
            <w:vAlign w:val="center"/>
          </w:tcPr>
          <w:p w14:paraId="47FA7ABE" w14:textId="77777777" w:rsidR="00B14D53" w:rsidRDefault="00000000">
            <w:pPr>
              <w:jc w:val="center"/>
              <w:rPr>
                <w:color w:val="auto"/>
                <w:szCs w:val="21"/>
              </w:rPr>
            </w:pPr>
            <w:r>
              <w:rPr>
                <w:color w:val="auto"/>
                <w:szCs w:val="21"/>
              </w:rPr>
              <w:t>《黑龙江省畜禽屠宰管理条例》</w:t>
            </w:r>
          </w:p>
        </w:tc>
        <w:tc>
          <w:tcPr>
            <w:tcW w:w="1749" w:type="pct"/>
            <w:tcBorders>
              <w:tl2br w:val="nil"/>
              <w:tr2bl w:val="nil"/>
            </w:tcBorders>
            <w:vAlign w:val="center"/>
          </w:tcPr>
          <w:p w14:paraId="6F43B80B"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有与屠宰规模相适应，水质符合国家规定标准的水源条件</w:t>
            </w:r>
          </w:p>
        </w:tc>
        <w:tc>
          <w:tcPr>
            <w:tcW w:w="1909" w:type="pct"/>
            <w:tcBorders>
              <w:tl2br w:val="nil"/>
              <w:tr2bl w:val="nil"/>
            </w:tcBorders>
            <w:vAlign w:val="center"/>
          </w:tcPr>
          <w:p w14:paraId="13F862DA"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项目由</w:t>
            </w:r>
            <w:r>
              <w:rPr>
                <w:rFonts w:ascii="Times New Roman" w:hAnsi="Times New Roman" w:hint="eastAsia"/>
                <w:color w:val="auto"/>
                <w:sz w:val="21"/>
                <w:szCs w:val="21"/>
              </w:rPr>
              <w:t>市政</w:t>
            </w:r>
            <w:r>
              <w:rPr>
                <w:rFonts w:ascii="Times New Roman" w:hAnsi="Times New Roman"/>
                <w:color w:val="auto"/>
                <w:sz w:val="21"/>
                <w:szCs w:val="21"/>
              </w:rPr>
              <w:t>自来水供给，水源有保障，水质符合要求</w:t>
            </w:r>
          </w:p>
        </w:tc>
        <w:tc>
          <w:tcPr>
            <w:tcW w:w="435" w:type="pct"/>
            <w:tcBorders>
              <w:tl2br w:val="nil"/>
              <w:tr2bl w:val="nil"/>
            </w:tcBorders>
            <w:vAlign w:val="center"/>
          </w:tcPr>
          <w:p w14:paraId="3AF50B8E" w14:textId="77777777" w:rsidR="00B14D53" w:rsidRDefault="00000000">
            <w:pPr>
              <w:jc w:val="center"/>
              <w:rPr>
                <w:color w:val="auto"/>
                <w:szCs w:val="21"/>
              </w:rPr>
            </w:pPr>
            <w:r>
              <w:rPr>
                <w:color w:val="auto"/>
                <w:szCs w:val="21"/>
              </w:rPr>
              <w:t>符合</w:t>
            </w:r>
          </w:p>
        </w:tc>
      </w:tr>
      <w:tr w:rsidR="00B14D53" w14:paraId="619437F7" w14:textId="77777777">
        <w:trPr>
          <w:trHeight w:val="340"/>
        </w:trPr>
        <w:tc>
          <w:tcPr>
            <w:tcW w:w="905" w:type="pct"/>
            <w:vMerge/>
            <w:tcBorders>
              <w:tl2br w:val="nil"/>
              <w:tr2bl w:val="nil"/>
            </w:tcBorders>
            <w:vAlign w:val="center"/>
          </w:tcPr>
          <w:p w14:paraId="6D67045E" w14:textId="77777777" w:rsidR="00B14D53" w:rsidRDefault="00B14D53">
            <w:pPr>
              <w:jc w:val="center"/>
              <w:rPr>
                <w:color w:val="auto"/>
                <w:szCs w:val="21"/>
              </w:rPr>
            </w:pPr>
          </w:p>
        </w:tc>
        <w:tc>
          <w:tcPr>
            <w:tcW w:w="1749" w:type="pct"/>
            <w:tcBorders>
              <w:tl2br w:val="nil"/>
              <w:tr2bl w:val="nil"/>
            </w:tcBorders>
            <w:vAlign w:val="center"/>
          </w:tcPr>
          <w:p w14:paraId="241F6A0F"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有符合国家规定要求的待宰车间、屠宰间、急宰间以及畜禽屠宰设备和运载工具</w:t>
            </w:r>
          </w:p>
        </w:tc>
        <w:tc>
          <w:tcPr>
            <w:tcW w:w="1909" w:type="pct"/>
            <w:tcBorders>
              <w:tl2br w:val="nil"/>
              <w:tr2bl w:val="nil"/>
            </w:tcBorders>
            <w:vAlign w:val="center"/>
          </w:tcPr>
          <w:p w14:paraId="6434881B"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项目建有待宰车间、</w:t>
            </w:r>
            <w:r>
              <w:rPr>
                <w:rFonts w:ascii="Times New Roman" w:hAnsi="Times New Roman" w:hint="eastAsia"/>
                <w:color w:val="auto"/>
                <w:sz w:val="21"/>
                <w:szCs w:val="21"/>
              </w:rPr>
              <w:t>屠宰</w:t>
            </w:r>
            <w:r>
              <w:rPr>
                <w:rFonts w:ascii="Times New Roman" w:hAnsi="Times New Roman"/>
                <w:color w:val="auto"/>
                <w:sz w:val="21"/>
                <w:szCs w:val="21"/>
              </w:rPr>
              <w:t>车间、急宰间</w:t>
            </w:r>
            <w:r>
              <w:rPr>
                <w:rFonts w:ascii="Times New Roman" w:hAnsi="Times New Roman" w:hint="eastAsia"/>
                <w:color w:val="auto"/>
                <w:sz w:val="21"/>
                <w:szCs w:val="21"/>
              </w:rPr>
              <w:t>，</w:t>
            </w:r>
            <w:r>
              <w:rPr>
                <w:rFonts w:ascii="Times New Roman" w:hAnsi="Times New Roman"/>
                <w:color w:val="auto"/>
                <w:sz w:val="21"/>
                <w:szCs w:val="21"/>
              </w:rPr>
              <w:t>有成套肉猪屠宰设备和运载工具，符合国家规定要求</w:t>
            </w:r>
          </w:p>
        </w:tc>
        <w:tc>
          <w:tcPr>
            <w:tcW w:w="435" w:type="pct"/>
            <w:tcBorders>
              <w:tl2br w:val="nil"/>
              <w:tr2bl w:val="nil"/>
            </w:tcBorders>
            <w:vAlign w:val="center"/>
          </w:tcPr>
          <w:p w14:paraId="4E5658A9" w14:textId="77777777" w:rsidR="00B14D53" w:rsidRDefault="00000000">
            <w:pPr>
              <w:jc w:val="center"/>
              <w:rPr>
                <w:color w:val="auto"/>
                <w:szCs w:val="21"/>
              </w:rPr>
            </w:pPr>
            <w:r>
              <w:rPr>
                <w:color w:val="auto"/>
                <w:szCs w:val="21"/>
              </w:rPr>
              <w:t>符合</w:t>
            </w:r>
          </w:p>
        </w:tc>
      </w:tr>
      <w:tr w:rsidR="00B14D53" w14:paraId="3D8593E7" w14:textId="77777777">
        <w:trPr>
          <w:trHeight w:val="340"/>
        </w:trPr>
        <w:tc>
          <w:tcPr>
            <w:tcW w:w="905" w:type="pct"/>
            <w:vMerge/>
            <w:tcBorders>
              <w:tl2br w:val="nil"/>
              <w:tr2bl w:val="nil"/>
            </w:tcBorders>
            <w:vAlign w:val="center"/>
          </w:tcPr>
          <w:p w14:paraId="0E33E024" w14:textId="77777777" w:rsidR="00B14D53" w:rsidRDefault="00B14D53">
            <w:pPr>
              <w:jc w:val="center"/>
              <w:rPr>
                <w:color w:val="auto"/>
                <w:szCs w:val="21"/>
              </w:rPr>
            </w:pPr>
          </w:p>
        </w:tc>
        <w:tc>
          <w:tcPr>
            <w:tcW w:w="1749" w:type="pct"/>
            <w:tcBorders>
              <w:tl2br w:val="nil"/>
              <w:tr2bl w:val="nil"/>
            </w:tcBorders>
            <w:vAlign w:val="center"/>
          </w:tcPr>
          <w:p w14:paraId="772A7DA5"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有依法取得健康证明的屠宰技术人员</w:t>
            </w:r>
          </w:p>
        </w:tc>
        <w:tc>
          <w:tcPr>
            <w:tcW w:w="1909" w:type="pct"/>
            <w:tcBorders>
              <w:tl2br w:val="nil"/>
              <w:tr2bl w:val="nil"/>
            </w:tcBorders>
            <w:vAlign w:val="center"/>
          </w:tcPr>
          <w:p w14:paraId="34232877"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屠宰技术人员依法取得健康证明后上岗</w:t>
            </w:r>
          </w:p>
        </w:tc>
        <w:tc>
          <w:tcPr>
            <w:tcW w:w="435" w:type="pct"/>
            <w:tcBorders>
              <w:tl2br w:val="nil"/>
              <w:tr2bl w:val="nil"/>
            </w:tcBorders>
            <w:vAlign w:val="center"/>
          </w:tcPr>
          <w:p w14:paraId="43D42B15" w14:textId="77777777" w:rsidR="00B14D53" w:rsidRDefault="00000000">
            <w:pPr>
              <w:jc w:val="center"/>
              <w:rPr>
                <w:color w:val="auto"/>
                <w:szCs w:val="21"/>
              </w:rPr>
            </w:pPr>
            <w:r>
              <w:rPr>
                <w:color w:val="auto"/>
                <w:szCs w:val="21"/>
              </w:rPr>
              <w:t>符合</w:t>
            </w:r>
          </w:p>
        </w:tc>
      </w:tr>
      <w:tr w:rsidR="00B14D53" w14:paraId="3FACF04A" w14:textId="77777777">
        <w:trPr>
          <w:trHeight w:val="340"/>
        </w:trPr>
        <w:tc>
          <w:tcPr>
            <w:tcW w:w="905" w:type="pct"/>
            <w:vMerge/>
            <w:tcBorders>
              <w:tl2br w:val="nil"/>
              <w:tr2bl w:val="nil"/>
            </w:tcBorders>
            <w:vAlign w:val="center"/>
          </w:tcPr>
          <w:p w14:paraId="4887E580" w14:textId="77777777" w:rsidR="00B14D53" w:rsidRDefault="00B14D53">
            <w:pPr>
              <w:jc w:val="center"/>
              <w:rPr>
                <w:color w:val="auto"/>
                <w:szCs w:val="21"/>
              </w:rPr>
            </w:pPr>
          </w:p>
        </w:tc>
        <w:tc>
          <w:tcPr>
            <w:tcW w:w="1749" w:type="pct"/>
            <w:tcBorders>
              <w:tl2br w:val="nil"/>
              <w:tr2bl w:val="nil"/>
            </w:tcBorders>
            <w:vAlign w:val="center"/>
          </w:tcPr>
          <w:p w14:paraId="207C3E83"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有经考核合格的兽医卫生检验人员</w:t>
            </w:r>
          </w:p>
        </w:tc>
        <w:tc>
          <w:tcPr>
            <w:tcW w:w="1909" w:type="pct"/>
            <w:tcBorders>
              <w:tl2br w:val="nil"/>
              <w:tr2bl w:val="nil"/>
            </w:tcBorders>
            <w:vAlign w:val="center"/>
          </w:tcPr>
          <w:p w14:paraId="5976E75A"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配备经考核合格的兽医卫生检验人员</w:t>
            </w:r>
          </w:p>
        </w:tc>
        <w:tc>
          <w:tcPr>
            <w:tcW w:w="435" w:type="pct"/>
            <w:tcBorders>
              <w:tl2br w:val="nil"/>
              <w:tr2bl w:val="nil"/>
            </w:tcBorders>
            <w:vAlign w:val="center"/>
          </w:tcPr>
          <w:p w14:paraId="419657A3" w14:textId="77777777" w:rsidR="00B14D53" w:rsidRDefault="00000000">
            <w:pPr>
              <w:jc w:val="center"/>
              <w:rPr>
                <w:color w:val="auto"/>
                <w:szCs w:val="21"/>
              </w:rPr>
            </w:pPr>
            <w:r>
              <w:rPr>
                <w:color w:val="auto"/>
                <w:szCs w:val="21"/>
              </w:rPr>
              <w:t>符合</w:t>
            </w:r>
          </w:p>
        </w:tc>
      </w:tr>
      <w:tr w:rsidR="00B14D53" w14:paraId="35D52C31" w14:textId="77777777">
        <w:trPr>
          <w:trHeight w:val="340"/>
        </w:trPr>
        <w:tc>
          <w:tcPr>
            <w:tcW w:w="905" w:type="pct"/>
            <w:vMerge/>
            <w:tcBorders>
              <w:tl2br w:val="nil"/>
              <w:tr2bl w:val="nil"/>
            </w:tcBorders>
            <w:vAlign w:val="center"/>
          </w:tcPr>
          <w:p w14:paraId="688B2C2F" w14:textId="77777777" w:rsidR="00B14D53" w:rsidRDefault="00B14D53">
            <w:pPr>
              <w:jc w:val="center"/>
              <w:rPr>
                <w:color w:val="auto"/>
                <w:szCs w:val="21"/>
              </w:rPr>
            </w:pPr>
          </w:p>
        </w:tc>
        <w:tc>
          <w:tcPr>
            <w:tcW w:w="1749" w:type="pct"/>
            <w:tcBorders>
              <w:tl2br w:val="nil"/>
              <w:tr2bl w:val="nil"/>
            </w:tcBorders>
            <w:vAlign w:val="center"/>
          </w:tcPr>
          <w:p w14:paraId="3E2AF718"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有符合国家规定要求的检验设备、消毒设施以及符合环境保护要求的污染防治设施</w:t>
            </w:r>
          </w:p>
        </w:tc>
        <w:tc>
          <w:tcPr>
            <w:tcW w:w="1909" w:type="pct"/>
            <w:tcBorders>
              <w:tl2br w:val="nil"/>
              <w:tr2bl w:val="nil"/>
            </w:tcBorders>
            <w:vAlign w:val="center"/>
          </w:tcPr>
          <w:p w14:paraId="11561C67"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hint="eastAsia"/>
                <w:color w:val="auto"/>
                <w:sz w:val="21"/>
                <w:szCs w:val="21"/>
              </w:rPr>
              <w:t>建设</w:t>
            </w:r>
            <w:r>
              <w:rPr>
                <w:rFonts w:ascii="Times New Roman" w:hAnsi="Times New Roman"/>
                <w:color w:val="auto"/>
                <w:sz w:val="21"/>
                <w:szCs w:val="21"/>
              </w:rPr>
              <w:t>符合国家规定的检验设备、消毒设施，拟建设污染防治设施符合环境保护要求</w:t>
            </w:r>
          </w:p>
        </w:tc>
        <w:tc>
          <w:tcPr>
            <w:tcW w:w="435" w:type="pct"/>
            <w:tcBorders>
              <w:tl2br w:val="nil"/>
              <w:tr2bl w:val="nil"/>
            </w:tcBorders>
            <w:vAlign w:val="center"/>
          </w:tcPr>
          <w:p w14:paraId="2F8C563D" w14:textId="77777777" w:rsidR="00B14D53" w:rsidRDefault="00000000">
            <w:pPr>
              <w:jc w:val="center"/>
              <w:rPr>
                <w:color w:val="auto"/>
                <w:szCs w:val="21"/>
              </w:rPr>
            </w:pPr>
            <w:r>
              <w:rPr>
                <w:color w:val="auto"/>
                <w:szCs w:val="21"/>
              </w:rPr>
              <w:t>符合</w:t>
            </w:r>
          </w:p>
        </w:tc>
      </w:tr>
      <w:tr w:rsidR="00B14D53" w14:paraId="678B5BBE" w14:textId="77777777">
        <w:trPr>
          <w:trHeight w:val="340"/>
        </w:trPr>
        <w:tc>
          <w:tcPr>
            <w:tcW w:w="905" w:type="pct"/>
            <w:vMerge/>
            <w:tcBorders>
              <w:tl2br w:val="nil"/>
              <w:tr2bl w:val="nil"/>
            </w:tcBorders>
            <w:vAlign w:val="center"/>
          </w:tcPr>
          <w:p w14:paraId="4E0D18F6" w14:textId="77777777" w:rsidR="00B14D53" w:rsidRDefault="00B14D53">
            <w:pPr>
              <w:jc w:val="center"/>
              <w:rPr>
                <w:color w:val="auto"/>
                <w:szCs w:val="21"/>
              </w:rPr>
            </w:pPr>
          </w:p>
        </w:tc>
        <w:tc>
          <w:tcPr>
            <w:tcW w:w="1749" w:type="pct"/>
            <w:tcBorders>
              <w:tl2br w:val="nil"/>
              <w:tr2bl w:val="nil"/>
            </w:tcBorders>
            <w:vAlign w:val="center"/>
          </w:tcPr>
          <w:p w14:paraId="678361F1"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有病害畜禽及畜禽产品无害化处理设施或者无害化处理委托协议</w:t>
            </w:r>
          </w:p>
        </w:tc>
        <w:tc>
          <w:tcPr>
            <w:tcW w:w="1909" w:type="pct"/>
            <w:tcBorders>
              <w:tl2br w:val="nil"/>
              <w:tr2bl w:val="nil"/>
            </w:tcBorders>
            <w:vAlign w:val="center"/>
          </w:tcPr>
          <w:p w14:paraId="36514CD1"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lang w:val="zh-CN"/>
              </w:rPr>
              <w:t>本项目病死</w:t>
            </w:r>
            <w:r>
              <w:rPr>
                <w:rFonts w:ascii="Times New Roman" w:hAnsi="Times New Roman" w:hint="eastAsia"/>
                <w:color w:val="auto"/>
                <w:sz w:val="21"/>
                <w:szCs w:val="21"/>
              </w:rPr>
              <w:t>猪</w:t>
            </w:r>
            <w:r>
              <w:rPr>
                <w:rFonts w:ascii="Times New Roman" w:hAnsi="Times New Roman"/>
                <w:color w:val="auto"/>
                <w:sz w:val="21"/>
                <w:szCs w:val="21"/>
              </w:rPr>
              <w:t>送至</w:t>
            </w:r>
            <w:r>
              <w:rPr>
                <w:rFonts w:ascii="Times New Roman" w:hAnsi="Times New Roman" w:hint="eastAsia"/>
                <w:color w:val="auto"/>
                <w:sz w:val="21"/>
                <w:szCs w:val="21"/>
              </w:rPr>
              <w:t>哈尔滨银山无害化处理有限公司</w:t>
            </w:r>
            <w:r>
              <w:rPr>
                <w:rFonts w:ascii="Times New Roman" w:hAnsi="Times New Roman"/>
                <w:color w:val="auto"/>
                <w:sz w:val="21"/>
                <w:szCs w:val="21"/>
                <w:lang w:val="zh-CN"/>
              </w:rPr>
              <w:t>处理</w:t>
            </w:r>
          </w:p>
        </w:tc>
        <w:tc>
          <w:tcPr>
            <w:tcW w:w="435" w:type="pct"/>
            <w:tcBorders>
              <w:tl2br w:val="nil"/>
              <w:tr2bl w:val="nil"/>
            </w:tcBorders>
            <w:vAlign w:val="center"/>
          </w:tcPr>
          <w:p w14:paraId="67FCC7D6" w14:textId="77777777" w:rsidR="00B14D53" w:rsidRDefault="00000000">
            <w:pPr>
              <w:jc w:val="center"/>
              <w:rPr>
                <w:color w:val="auto"/>
                <w:szCs w:val="21"/>
              </w:rPr>
            </w:pPr>
            <w:r>
              <w:rPr>
                <w:color w:val="auto"/>
                <w:szCs w:val="21"/>
              </w:rPr>
              <w:t>符合</w:t>
            </w:r>
          </w:p>
        </w:tc>
      </w:tr>
      <w:tr w:rsidR="00B14D53" w14:paraId="29BA8A9E" w14:textId="77777777">
        <w:trPr>
          <w:trHeight w:val="340"/>
        </w:trPr>
        <w:tc>
          <w:tcPr>
            <w:tcW w:w="905" w:type="pct"/>
            <w:vMerge/>
            <w:tcBorders>
              <w:tl2br w:val="nil"/>
              <w:tr2bl w:val="nil"/>
            </w:tcBorders>
            <w:vAlign w:val="center"/>
          </w:tcPr>
          <w:p w14:paraId="684B83A7" w14:textId="77777777" w:rsidR="00B14D53" w:rsidRDefault="00B14D53">
            <w:pPr>
              <w:jc w:val="center"/>
              <w:rPr>
                <w:color w:val="auto"/>
                <w:szCs w:val="21"/>
              </w:rPr>
            </w:pPr>
          </w:p>
        </w:tc>
        <w:tc>
          <w:tcPr>
            <w:tcW w:w="1749" w:type="pct"/>
            <w:tcBorders>
              <w:tl2br w:val="nil"/>
              <w:tr2bl w:val="nil"/>
            </w:tcBorders>
            <w:vAlign w:val="center"/>
          </w:tcPr>
          <w:p w14:paraId="340692A2"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依法取得动物防疫条件合格证</w:t>
            </w:r>
          </w:p>
        </w:tc>
        <w:tc>
          <w:tcPr>
            <w:tcW w:w="1909" w:type="pct"/>
            <w:tcBorders>
              <w:tl2br w:val="nil"/>
              <w:tr2bl w:val="nil"/>
            </w:tcBorders>
            <w:vAlign w:val="center"/>
          </w:tcPr>
          <w:p w14:paraId="7B341914"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依法取得动物防疫条件合格证</w:t>
            </w:r>
          </w:p>
        </w:tc>
        <w:tc>
          <w:tcPr>
            <w:tcW w:w="435" w:type="pct"/>
            <w:tcBorders>
              <w:tl2br w:val="nil"/>
              <w:tr2bl w:val="nil"/>
            </w:tcBorders>
            <w:vAlign w:val="center"/>
          </w:tcPr>
          <w:p w14:paraId="18B3185E" w14:textId="77777777" w:rsidR="00B14D53" w:rsidRDefault="00000000">
            <w:pPr>
              <w:jc w:val="center"/>
              <w:rPr>
                <w:color w:val="auto"/>
                <w:szCs w:val="21"/>
              </w:rPr>
            </w:pPr>
            <w:r>
              <w:rPr>
                <w:color w:val="auto"/>
                <w:szCs w:val="21"/>
              </w:rPr>
              <w:t>符合</w:t>
            </w:r>
          </w:p>
        </w:tc>
      </w:tr>
      <w:tr w:rsidR="00B14D53" w14:paraId="0F2D3CCC" w14:textId="77777777">
        <w:trPr>
          <w:trHeight w:val="340"/>
        </w:trPr>
        <w:tc>
          <w:tcPr>
            <w:tcW w:w="905" w:type="pct"/>
            <w:vMerge/>
            <w:tcBorders>
              <w:tl2br w:val="nil"/>
              <w:tr2bl w:val="nil"/>
            </w:tcBorders>
            <w:vAlign w:val="center"/>
          </w:tcPr>
          <w:p w14:paraId="74649946" w14:textId="77777777" w:rsidR="00B14D53" w:rsidRDefault="00B14D53">
            <w:pPr>
              <w:jc w:val="center"/>
              <w:rPr>
                <w:color w:val="auto"/>
                <w:szCs w:val="21"/>
              </w:rPr>
            </w:pPr>
          </w:p>
        </w:tc>
        <w:tc>
          <w:tcPr>
            <w:tcW w:w="1749" w:type="pct"/>
            <w:tcBorders>
              <w:tl2br w:val="nil"/>
              <w:tr2bl w:val="nil"/>
            </w:tcBorders>
            <w:vAlign w:val="center"/>
          </w:tcPr>
          <w:p w14:paraId="52591661"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法律、法规规定的其他条件</w:t>
            </w:r>
          </w:p>
        </w:tc>
        <w:tc>
          <w:tcPr>
            <w:tcW w:w="1909" w:type="pct"/>
            <w:tcBorders>
              <w:tl2br w:val="nil"/>
              <w:tr2bl w:val="nil"/>
            </w:tcBorders>
            <w:vAlign w:val="center"/>
          </w:tcPr>
          <w:p w14:paraId="3EBC5C22"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严格执行相关法律、法规规定</w:t>
            </w:r>
          </w:p>
        </w:tc>
        <w:tc>
          <w:tcPr>
            <w:tcW w:w="435" w:type="pct"/>
            <w:tcBorders>
              <w:tl2br w:val="nil"/>
              <w:tr2bl w:val="nil"/>
            </w:tcBorders>
            <w:vAlign w:val="center"/>
          </w:tcPr>
          <w:p w14:paraId="5B275679" w14:textId="77777777" w:rsidR="00B14D53" w:rsidRDefault="00000000">
            <w:pPr>
              <w:jc w:val="center"/>
              <w:rPr>
                <w:color w:val="auto"/>
                <w:szCs w:val="21"/>
              </w:rPr>
            </w:pPr>
            <w:r>
              <w:rPr>
                <w:color w:val="auto"/>
                <w:szCs w:val="21"/>
              </w:rPr>
              <w:t>符合</w:t>
            </w:r>
          </w:p>
        </w:tc>
      </w:tr>
    </w:tbl>
    <w:p w14:paraId="5582139B"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w:t>
      </w:r>
      <w:r>
        <w:rPr>
          <w:rFonts w:ascii="Times New Roman" w:eastAsia="黑体" w:hAnsi="Times New Roman" w:cs="Times New Roman" w:hint="eastAsia"/>
          <w:bCs/>
          <w:sz w:val="28"/>
          <w:szCs w:val="28"/>
        </w:rPr>
        <w:t>5</w:t>
      </w:r>
      <w:r>
        <w:rPr>
          <w:rFonts w:ascii="Times New Roman" w:eastAsia="黑体" w:hAnsi="Times New Roman" w:cs="Times New Roman"/>
          <w:bCs/>
          <w:sz w:val="28"/>
          <w:szCs w:val="28"/>
        </w:rPr>
        <w:t>与《</w:t>
      </w:r>
      <w:r>
        <w:rPr>
          <w:rFonts w:ascii="Times New Roman" w:eastAsia="黑体" w:hAnsi="Times New Roman" w:cs="Times New Roman" w:hint="eastAsia"/>
          <w:bCs/>
          <w:sz w:val="28"/>
          <w:szCs w:val="28"/>
        </w:rPr>
        <w:t>黑龙江省生猪屠宰行业发展规划（</w:t>
      </w:r>
      <w:r>
        <w:rPr>
          <w:rFonts w:ascii="Times New Roman" w:eastAsia="黑体" w:hAnsi="Times New Roman" w:cs="Times New Roman" w:hint="eastAsia"/>
          <w:bCs/>
          <w:sz w:val="28"/>
          <w:szCs w:val="28"/>
        </w:rPr>
        <w:t>2024-2030</w:t>
      </w:r>
      <w:r>
        <w:rPr>
          <w:rFonts w:ascii="Times New Roman" w:eastAsia="黑体" w:hAnsi="Times New Roman" w:cs="Times New Roman" w:hint="eastAsia"/>
          <w:bCs/>
          <w:sz w:val="28"/>
          <w:szCs w:val="28"/>
        </w:rPr>
        <w:t>年）》</w:t>
      </w:r>
      <w:r>
        <w:rPr>
          <w:rFonts w:ascii="Times New Roman" w:eastAsia="黑体" w:hAnsi="Times New Roman" w:cs="Times New Roman"/>
          <w:bCs/>
          <w:sz w:val="28"/>
          <w:szCs w:val="28"/>
        </w:rPr>
        <w:t>符合性分析</w:t>
      </w:r>
    </w:p>
    <w:p w14:paraId="7A3715AB" w14:textId="77777777" w:rsidR="00B14D53" w:rsidRDefault="00000000">
      <w:pPr>
        <w:spacing w:line="360" w:lineRule="auto"/>
        <w:ind w:firstLineChars="200" w:firstLine="480"/>
        <w:rPr>
          <w:sz w:val="24"/>
          <w:lang w:val="zh-CN"/>
        </w:rPr>
      </w:pPr>
      <w:r>
        <w:rPr>
          <w:rFonts w:hint="eastAsia"/>
          <w:sz w:val="24"/>
        </w:rPr>
        <w:t>相关内容：</w:t>
      </w:r>
      <w:r>
        <w:rPr>
          <w:rFonts w:hint="eastAsia"/>
          <w:sz w:val="24"/>
          <w:lang w:val="zh-CN"/>
        </w:rPr>
        <w:t>（二）不断调整屠宰产能结构。始终瞄准国内生猪产品消费升级产生的新需求、新业态、新要求，明确产业政策鼓励和限制重点，统筹新增先进产能和存量产能分类施策，引导行业资本投向，积极发展领先省内外的高级与精致产品，逐步实现生猪产品变粗为精、变生为熟、变废为宝。</w:t>
      </w:r>
    </w:p>
    <w:p w14:paraId="2E4744B2" w14:textId="77777777" w:rsidR="00B14D53" w:rsidRDefault="00000000">
      <w:pPr>
        <w:spacing w:line="360" w:lineRule="auto"/>
        <w:ind w:firstLineChars="200" w:firstLine="480"/>
        <w:rPr>
          <w:sz w:val="24"/>
          <w:lang w:val="zh-CN"/>
        </w:rPr>
      </w:pPr>
      <w:r>
        <w:rPr>
          <w:rFonts w:hint="eastAsia"/>
          <w:sz w:val="24"/>
          <w:lang w:val="zh-CN"/>
        </w:rPr>
        <w:t>鼓励类：</w:t>
      </w:r>
      <w:r>
        <w:rPr>
          <w:rFonts w:hint="eastAsia"/>
          <w:sz w:val="24"/>
          <w:lang w:val="zh-CN"/>
        </w:rPr>
        <w:t>1.</w:t>
      </w:r>
      <w:r>
        <w:rPr>
          <w:rFonts w:hint="eastAsia"/>
          <w:sz w:val="24"/>
          <w:lang w:val="zh-CN"/>
        </w:rPr>
        <w:t>鼓励生猪定点屠宰厂以“六化”为标准，开展标准化创建，发挥示范引领作用，提升生猪屠宰行业标准化水平。</w:t>
      </w:r>
    </w:p>
    <w:p w14:paraId="7F233900" w14:textId="77777777" w:rsidR="00B14D53" w:rsidRDefault="00000000">
      <w:pPr>
        <w:spacing w:line="360" w:lineRule="auto"/>
        <w:ind w:firstLineChars="200" w:firstLine="480"/>
        <w:rPr>
          <w:sz w:val="24"/>
          <w:lang w:val="zh-CN"/>
        </w:rPr>
      </w:pPr>
      <w:r>
        <w:rPr>
          <w:rFonts w:hint="eastAsia"/>
          <w:sz w:val="24"/>
          <w:lang w:val="zh-CN"/>
        </w:rPr>
        <w:t>2.</w:t>
      </w:r>
      <w:r>
        <w:rPr>
          <w:rFonts w:hint="eastAsia"/>
          <w:sz w:val="24"/>
          <w:lang w:val="zh-CN"/>
        </w:rPr>
        <w:t>鼓励大型养殖屠宰企业开展养殖、屠宰、加工、销售一体化经营，延长产业链条，提升产业竞争力。省级财政在“十四五”期间，对新建年屠宰及加工能力</w:t>
      </w:r>
      <w:r>
        <w:rPr>
          <w:rFonts w:hint="eastAsia"/>
          <w:sz w:val="24"/>
          <w:lang w:val="zh-CN"/>
        </w:rPr>
        <w:t>100</w:t>
      </w:r>
      <w:r>
        <w:rPr>
          <w:rFonts w:hint="eastAsia"/>
          <w:sz w:val="24"/>
          <w:lang w:val="zh-CN"/>
        </w:rPr>
        <w:t>万头以上生猪屠宰加工厂，年实际屠宰加工量</w:t>
      </w:r>
      <w:r>
        <w:rPr>
          <w:rFonts w:hint="eastAsia"/>
          <w:sz w:val="24"/>
          <w:lang w:val="zh-CN"/>
        </w:rPr>
        <w:t>30</w:t>
      </w:r>
      <w:r>
        <w:rPr>
          <w:rFonts w:hint="eastAsia"/>
          <w:sz w:val="24"/>
          <w:lang w:val="zh-CN"/>
        </w:rPr>
        <w:t>万头以上且深加工比例超过</w:t>
      </w:r>
      <w:r>
        <w:rPr>
          <w:rFonts w:hint="eastAsia"/>
          <w:sz w:val="24"/>
          <w:lang w:val="zh-CN"/>
        </w:rPr>
        <w:t>50%</w:t>
      </w:r>
      <w:r>
        <w:rPr>
          <w:rFonts w:hint="eastAsia"/>
          <w:sz w:val="24"/>
          <w:lang w:val="zh-CN"/>
        </w:rPr>
        <w:t>项目予以奖补。</w:t>
      </w:r>
    </w:p>
    <w:p w14:paraId="054EBB20" w14:textId="77777777" w:rsidR="00B14D53" w:rsidRDefault="00000000">
      <w:pPr>
        <w:spacing w:line="360" w:lineRule="auto"/>
        <w:ind w:firstLineChars="200" w:firstLine="480"/>
        <w:rPr>
          <w:sz w:val="24"/>
          <w:lang w:val="zh-CN"/>
        </w:rPr>
      </w:pPr>
      <w:r>
        <w:rPr>
          <w:rFonts w:hint="eastAsia"/>
          <w:sz w:val="24"/>
          <w:lang w:val="zh-CN"/>
        </w:rPr>
        <w:t>3.</w:t>
      </w:r>
      <w:r>
        <w:rPr>
          <w:rFonts w:hint="eastAsia"/>
          <w:sz w:val="24"/>
          <w:lang w:val="zh-CN"/>
        </w:rPr>
        <w:t>鼓励生猪定点屠宰厂（场）改造屠宰加工、冷链储藏和运输设施，采用隧道式喷淋烫毛、全自动开膛、劈半和激光灼刻检验检疫及质量追溯等新工艺、新设备。</w:t>
      </w:r>
    </w:p>
    <w:p w14:paraId="386D737F" w14:textId="77777777" w:rsidR="00B14D53" w:rsidRDefault="00000000">
      <w:pPr>
        <w:spacing w:line="360" w:lineRule="auto"/>
        <w:ind w:firstLineChars="200" w:firstLine="480"/>
        <w:rPr>
          <w:sz w:val="24"/>
          <w:lang w:val="zh-CN"/>
        </w:rPr>
      </w:pPr>
      <w:r>
        <w:rPr>
          <w:rFonts w:hint="eastAsia"/>
          <w:sz w:val="24"/>
          <w:lang w:val="zh-CN"/>
        </w:rPr>
        <w:t>4.</w:t>
      </w:r>
      <w:r>
        <w:rPr>
          <w:rFonts w:hint="eastAsia"/>
          <w:sz w:val="24"/>
          <w:lang w:val="zh-CN"/>
        </w:rPr>
        <w:t>鼓励研发新产品，开拓新市场，发展肉品精深加工和血、骨、脏器、毛等副产品综合利用，优化产品结构，满足城乡居民不同消费层次需求。</w:t>
      </w:r>
    </w:p>
    <w:p w14:paraId="59F4A3CE" w14:textId="77777777" w:rsidR="00B14D53" w:rsidRDefault="00000000">
      <w:pPr>
        <w:pStyle w:val="afff"/>
        <w:adjustRightInd/>
        <w:snapToGrid/>
        <w:jc w:val="both"/>
        <w:rPr>
          <w:rFonts w:ascii="Times New Roman" w:eastAsia="宋体" w:hAnsi="Times New Roman" w:cs="Times New Roman"/>
        </w:rPr>
      </w:pPr>
      <w:r>
        <w:rPr>
          <w:rFonts w:ascii="Times New Roman" w:eastAsia="宋体" w:hAnsi="Times New Roman" w:cs="Times New Roman" w:hint="eastAsia"/>
        </w:rPr>
        <w:t>符合性分析：</w:t>
      </w:r>
    </w:p>
    <w:p w14:paraId="193CF96B" w14:textId="77777777" w:rsidR="00B14D53" w:rsidRDefault="00000000">
      <w:pPr>
        <w:pStyle w:val="afff"/>
        <w:adjustRightInd/>
        <w:snapToGrid/>
        <w:jc w:val="both"/>
        <w:rPr>
          <w:rFonts w:ascii="Times New Roman" w:hAnsiTheme="minorEastAsia" w:cs="Times New Roman" w:hint="eastAsia"/>
        </w:rPr>
      </w:pPr>
      <w:r>
        <w:rPr>
          <w:rFonts w:ascii="Times New Roman" w:eastAsia="宋体" w:hAnsi="Times New Roman" w:cs="Times New Roman"/>
          <w:lang w:val="zh-CN"/>
        </w:rPr>
        <w:t>本项目为标准化屠宰项目，</w:t>
      </w:r>
      <w:r>
        <w:rPr>
          <w:rFonts w:ascii="Times New Roman" w:eastAsia="宋体" w:hAnsi="Times New Roman" w:cs="Times New Roman" w:hint="eastAsia"/>
          <w:lang w:val="zh-CN"/>
        </w:rPr>
        <w:t>血、脏器、</w:t>
      </w:r>
      <w:r>
        <w:rPr>
          <w:rFonts w:ascii="Times New Roman" w:eastAsia="宋体" w:hAnsi="Times New Roman" w:cs="Times New Roman" w:hint="eastAsia"/>
        </w:rPr>
        <w:t>猪</w:t>
      </w:r>
      <w:r>
        <w:rPr>
          <w:rFonts w:ascii="Times New Roman" w:eastAsia="宋体" w:hAnsi="Times New Roman" w:cs="Times New Roman" w:hint="eastAsia"/>
          <w:lang w:val="zh-CN"/>
        </w:rPr>
        <w:t>毛等</w:t>
      </w:r>
      <w:r>
        <w:rPr>
          <w:rFonts w:ascii="Times New Roman" w:eastAsia="宋体" w:hAnsi="Times New Roman" w:cs="Times New Roman" w:hint="eastAsia"/>
        </w:rPr>
        <w:t>副产品，合理化利用</w:t>
      </w:r>
      <w:r>
        <w:rPr>
          <w:rFonts w:ascii="Times New Roman" w:eastAsia="宋体" w:hAnsi="Times New Roman" w:cs="Times New Roman"/>
          <w:lang w:val="zh-CN"/>
        </w:rPr>
        <w:t>，本项目</w:t>
      </w:r>
      <w:r>
        <w:rPr>
          <w:rFonts w:ascii="Times New Roman" w:eastAsia="宋体" w:hAnsi="Times New Roman" w:cs="Times New Roman" w:hint="eastAsia"/>
        </w:rPr>
        <w:t>符合</w:t>
      </w:r>
      <w:r>
        <w:rPr>
          <w:rFonts w:ascii="Times New Roman" w:eastAsia="宋体" w:hAnsi="Times New Roman" w:cs="Times New Roman"/>
          <w:lang w:val="zh-CN"/>
        </w:rPr>
        <w:t>《黑龙江省生猪屠宰行业发展规划（</w:t>
      </w:r>
      <w:r>
        <w:rPr>
          <w:rFonts w:ascii="Times New Roman" w:eastAsia="宋体" w:hAnsi="Times New Roman" w:cs="Times New Roman"/>
          <w:lang w:val="zh-CN"/>
        </w:rPr>
        <w:t>2024-2030</w:t>
      </w:r>
      <w:r>
        <w:rPr>
          <w:rFonts w:ascii="Times New Roman" w:eastAsia="宋体" w:hAnsi="Times New Roman" w:cs="Times New Roman"/>
          <w:lang w:val="zh-CN"/>
        </w:rPr>
        <w:t>年）》。</w:t>
      </w:r>
    </w:p>
    <w:p w14:paraId="533940B5"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w:t>
      </w:r>
      <w:r>
        <w:rPr>
          <w:rFonts w:ascii="Times New Roman" w:eastAsia="黑体" w:hAnsi="Times New Roman" w:cs="Times New Roman" w:hint="eastAsia"/>
          <w:bCs/>
          <w:sz w:val="28"/>
          <w:szCs w:val="28"/>
        </w:rPr>
        <w:t>6</w:t>
      </w:r>
      <w:r>
        <w:rPr>
          <w:rFonts w:ascii="Times New Roman" w:eastAsia="黑体" w:hAnsi="Times New Roman" w:cs="Times New Roman"/>
          <w:bCs/>
          <w:sz w:val="28"/>
          <w:szCs w:val="28"/>
        </w:rPr>
        <w:t>与《黑龙江省人民政府办公厅印发关于加快畜牧业高质量发展的意见和黑龙江省加快畜牧业高质量发展若干政策措施的通知》</w:t>
      </w:r>
      <w:r>
        <w:rPr>
          <w:rFonts w:ascii="Times New Roman" w:eastAsia="黑体" w:hAnsi="Times New Roman" w:cs="Times New Roman" w:hint="eastAsia"/>
          <w:bCs/>
          <w:sz w:val="28"/>
          <w:szCs w:val="28"/>
        </w:rPr>
        <w:t>（</w:t>
      </w:r>
      <w:r>
        <w:rPr>
          <w:rFonts w:ascii="Times New Roman" w:eastAsia="黑体" w:hAnsi="Times New Roman" w:cs="Times New Roman" w:hint="eastAsia"/>
          <w:bCs/>
          <w:sz w:val="28"/>
          <w:szCs w:val="28"/>
        </w:rPr>
        <w:t>2022</w:t>
      </w:r>
      <w:r>
        <w:rPr>
          <w:rFonts w:ascii="Times New Roman" w:eastAsia="黑体" w:hAnsi="Times New Roman" w:cs="Times New Roman" w:hint="eastAsia"/>
          <w:bCs/>
          <w:sz w:val="28"/>
          <w:szCs w:val="28"/>
        </w:rPr>
        <w:t>年</w:t>
      </w:r>
      <w:r>
        <w:rPr>
          <w:rFonts w:ascii="Times New Roman" w:eastAsia="黑体" w:hAnsi="Times New Roman" w:cs="Times New Roman" w:hint="eastAsia"/>
          <w:bCs/>
          <w:sz w:val="28"/>
          <w:szCs w:val="28"/>
        </w:rPr>
        <w:t>3</w:t>
      </w:r>
      <w:r>
        <w:rPr>
          <w:rFonts w:ascii="Times New Roman" w:eastAsia="黑体" w:hAnsi="Times New Roman" w:cs="Times New Roman" w:hint="eastAsia"/>
          <w:bCs/>
          <w:sz w:val="28"/>
          <w:szCs w:val="28"/>
        </w:rPr>
        <w:t>月</w:t>
      </w:r>
      <w:r>
        <w:rPr>
          <w:rFonts w:ascii="Times New Roman" w:eastAsia="黑体" w:hAnsi="Times New Roman" w:cs="Times New Roman" w:hint="eastAsia"/>
          <w:bCs/>
          <w:sz w:val="28"/>
          <w:szCs w:val="28"/>
        </w:rPr>
        <w:t>24</w:t>
      </w:r>
      <w:r>
        <w:rPr>
          <w:rFonts w:ascii="Times New Roman" w:eastAsia="黑体" w:hAnsi="Times New Roman" w:cs="Times New Roman" w:hint="eastAsia"/>
          <w:bCs/>
          <w:sz w:val="28"/>
          <w:szCs w:val="28"/>
        </w:rPr>
        <w:t>日）</w:t>
      </w:r>
      <w:r>
        <w:rPr>
          <w:rFonts w:ascii="Times New Roman" w:eastAsia="黑体" w:hAnsi="Times New Roman" w:cs="Times New Roman"/>
          <w:bCs/>
          <w:sz w:val="28"/>
          <w:szCs w:val="28"/>
        </w:rPr>
        <w:t>符合性分析</w:t>
      </w:r>
    </w:p>
    <w:p w14:paraId="56743A7E" w14:textId="77777777" w:rsidR="00B14D53" w:rsidRDefault="00000000">
      <w:pPr>
        <w:spacing w:line="360" w:lineRule="auto"/>
        <w:ind w:firstLineChars="200" w:firstLine="480"/>
        <w:rPr>
          <w:sz w:val="24"/>
          <w:lang w:val="zh-CN"/>
        </w:rPr>
      </w:pPr>
      <w:r>
        <w:rPr>
          <w:sz w:val="24"/>
          <w:lang w:val="zh-CN"/>
        </w:rPr>
        <w:t>关于加快畜牧业高质量发展的意见</w:t>
      </w:r>
      <w:r>
        <w:rPr>
          <w:rFonts w:hint="eastAsia"/>
          <w:sz w:val="24"/>
          <w:lang w:val="zh-CN"/>
        </w:rPr>
        <w:t>：</w:t>
      </w:r>
    </w:p>
    <w:p w14:paraId="43F4CC57" w14:textId="77777777" w:rsidR="00B14D53" w:rsidRDefault="00000000">
      <w:pPr>
        <w:spacing w:line="360" w:lineRule="auto"/>
        <w:ind w:firstLineChars="200" w:firstLine="480"/>
        <w:rPr>
          <w:sz w:val="24"/>
        </w:rPr>
      </w:pPr>
      <w:r>
        <w:rPr>
          <w:rFonts w:hint="eastAsia"/>
          <w:sz w:val="24"/>
        </w:rPr>
        <w:t>相关内容：</w:t>
      </w:r>
      <w:r>
        <w:rPr>
          <w:sz w:val="24"/>
        </w:rPr>
        <w:t>提升畜禽屠宰加工行业水平。持续推进生猪屠宰行业转型升级，鼓励新建改扩建年屠宰生猪能力</w:t>
      </w:r>
      <w:r>
        <w:rPr>
          <w:sz w:val="24"/>
        </w:rPr>
        <w:t>15</w:t>
      </w:r>
      <w:r>
        <w:rPr>
          <w:sz w:val="24"/>
        </w:rPr>
        <w:t>万头以上的大型生猪屠宰企业，加快小型屠宰场点撤停并转。鼓励有条件的生猪屠宰企业创建国家生猪屠宰标准化示范厂，推动省级生猪屠宰标准化示范创建工作，探索生猪屠宰企业分级管理。鼓励畜禽屠宰企业开展养殖、屠宰、加工、配送、销售一体化经营。支持生猪、肉牛屠宰加工企业建设，延长产业链</w:t>
      </w:r>
      <w:r>
        <w:rPr>
          <w:rFonts w:hint="eastAsia"/>
          <w:sz w:val="24"/>
        </w:rPr>
        <w:t>，</w:t>
      </w:r>
      <w:r>
        <w:rPr>
          <w:sz w:val="24"/>
        </w:rPr>
        <w:t>大力发展生猪、肉牛等精深加工和皮毛骨血副产品综合利用</w:t>
      </w:r>
      <w:r>
        <w:rPr>
          <w:rFonts w:hint="eastAsia"/>
          <w:sz w:val="24"/>
        </w:rPr>
        <w:t>，</w:t>
      </w:r>
      <w:r>
        <w:rPr>
          <w:sz w:val="24"/>
        </w:rPr>
        <w:t>对畜产品加工企业用于生产发展资金贷款给予贴息支持，引导推动粗放式肉品生产模式向精深加工产品及熟食制品生产模式转变，提升产品附加值和市场竞争力。</w:t>
      </w:r>
    </w:p>
    <w:p w14:paraId="214FF3E8" w14:textId="77777777" w:rsidR="00B14D53" w:rsidRDefault="00000000">
      <w:pPr>
        <w:spacing w:line="360" w:lineRule="auto"/>
        <w:ind w:firstLineChars="200" w:firstLine="480"/>
        <w:rPr>
          <w:sz w:val="24"/>
          <w:lang w:val="zh-CN"/>
        </w:rPr>
      </w:pPr>
      <w:r>
        <w:rPr>
          <w:sz w:val="24"/>
          <w:lang w:val="zh-CN"/>
        </w:rPr>
        <w:t>黑龙江省加快畜牧业高质量发展若干政策措施</w:t>
      </w:r>
      <w:r>
        <w:rPr>
          <w:rFonts w:hint="eastAsia"/>
          <w:sz w:val="24"/>
          <w:lang w:val="zh-CN"/>
        </w:rPr>
        <w:t>：</w:t>
      </w:r>
    </w:p>
    <w:p w14:paraId="134CDE01" w14:textId="77777777" w:rsidR="00B14D53" w:rsidRDefault="00000000">
      <w:pPr>
        <w:spacing w:line="360" w:lineRule="auto"/>
        <w:ind w:firstLineChars="200" w:firstLine="480"/>
        <w:rPr>
          <w:sz w:val="24"/>
        </w:rPr>
      </w:pPr>
      <w:r>
        <w:rPr>
          <w:rFonts w:hint="eastAsia"/>
          <w:sz w:val="24"/>
        </w:rPr>
        <w:t>相关内容：生猪屠宰加工补贴。“十四五”期间，支持大型养殖屠宰企业开展养殖、屠宰、加工、销售一体化经营，延长产业链条，提升产业竞争力。</w:t>
      </w:r>
    </w:p>
    <w:p w14:paraId="06ED9439" w14:textId="77777777" w:rsidR="00B14D53" w:rsidRDefault="00000000">
      <w:pPr>
        <w:spacing w:line="360" w:lineRule="auto"/>
        <w:ind w:firstLineChars="200" w:firstLine="480"/>
        <w:rPr>
          <w:sz w:val="24"/>
        </w:rPr>
      </w:pPr>
      <w:r>
        <w:rPr>
          <w:rFonts w:hint="eastAsia"/>
          <w:sz w:val="24"/>
        </w:rPr>
        <w:t>符合性分析：</w:t>
      </w:r>
    </w:p>
    <w:p w14:paraId="635C0999" w14:textId="77777777" w:rsidR="00B14D53" w:rsidRDefault="00000000">
      <w:pPr>
        <w:spacing w:line="360" w:lineRule="auto"/>
        <w:ind w:firstLineChars="200" w:firstLine="480"/>
      </w:pPr>
      <w:r>
        <w:rPr>
          <w:sz w:val="24"/>
          <w:lang w:val="zh-CN"/>
        </w:rPr>
        <w:t>本项目为标准化屠宰项目，</w:t>
      </w:r>
      <w:r>
        <w:rPr>
          <w:rFonts w:hint="eastAsia"/>
          <w:sz w:val="24"/>
        </w:rPr>
        <w:t>年屠宰生猪</w:t>
      </w:r>
      <w:r>
        <w:rPr>
          <w:rFonts w:hint="eastAsia"/>
          <w:sz w:val="24"/>
        </w:rPr>
        <w:t>16</w:t>
      </w:r>
      <w:r>
        <w:rPr>
          <w:rFonts w:hint="eastAsia"/>
          <w:sz w:val="24"/>
        </w:rPr>
        <w:t>万头</w:t>
      </w:r>
      <w:r>
        <w:rPr>
          <w:sz w:val="24"/>
          <w:lang w:val="zh-CN"/>
        </w:rPr>
        <w:t>，</w:t>
      </w:r>
      <w:r>
        <w:rPr>
          <w:rFonts w:hint="eastAsia"/>
          <w:sz w:val="24"/>
          <w:lang w:val="zh-CN"/>
        </w:rPr>
        <w:t>血、脏器、</w:t>
      </w:r>
      <w:r>
        <w:rPr>
          <w:rFonts w:hint="eastAsia"/>
          <w:sz w:val="24"/>
        </w:rPr>
        <w:t>猪</w:t>
      </w:r>
      <w:r>
        <w:rPr>
          <w:rFonts w:hint="eastAsia"/>
          <w:sz w:val="24"/>
          <w:lang w:val="zh-CN"/>
        </w:rPr>
        <w:t>毛等</w:t>
      </w:r>
      <w:r>
        <w:rPr>
          <w:rFonts w:hint="eastAsia"/>
          <w:sz w:val="24"/>
        </w:rPr>
        <w:t>副产品合理化利用</w:t>
      </w:r>
      <w:r>
        <w:rPr>
          <w:sz w:val="24"/>
          <w:lang w:val="zh-CN"/>
        </w:rPr>
        <w:t>，本项目</w:t>
      </w:r>
      <w:r>
        <w:rPr>
          <w:rFonts w:hint="eastAsia"/>
          <w:sz w:val="24"/>
        </w:rPr>
        <w:t>符合</w:t>
      </w:r>
      <w:r>
        <w:rPr>
          <w:sz w:val="24"/>
          <w:lang w:val="zh-CN"/>
        </w:rPr>
        <w:t>《黑龙江省人民政府办公厅印发关于加快畜牧业高质量发展的意见和黑龙江省加快畜牧业高质量发展若干政策措施的通知》。</w:t>
      </w:r>
    </w:p>
    <w:p w14:paraId="5CE929F1"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w:t>
      </w:r>
      <w:r>
        <w:rPr>
          <w:rFonts w:ascii="Times New Roman" w:eastAsia="黑体" w:hAnsi="Times New Roman" w:cs="Times New Roman" w:hint="eastAsia"/>
          <w:bCs/>
          <w:sz w:val="28"/>
          <w:szCs w:val="28"/>
        </w:rPr>
        <w:t>7</w:t>
      </w:r>
      <w:r>
        <w:rPr>
          <w:rFonts w:ascii="Times New Roman" w:eastAsia="黑体" w:hAnsi="Times New Roman" w:cs="Times New Roman"/>
          <w:bCs/>
          <w:sz w:val="28"/>
          <w:szCs w:val="28"/>
        </w:rPr>
        <w:t>与《生猪屠宰管理条例》</w:t>
      </w:r>
      <w:r>
        <w:rPr>
          <w:rFonts w:ascii="Times New Roman" w:eastAsia="黑体" w:hAnsi="Times New Roman" w:cs="Times New Roman" w:hint="eastAsia"/>
          <w:bCs/>
          <w:sz w:val="28"/>
          <w:szCs w:val="28"/>
        </w:rPr>
        <w:t>（</w:t>
      </w:r>
      <w:r>
        <w:rPr>
          <w:rFonts w:ascii="Times New Roman" w:eastAsia="黑体" w:hAnsi="Times New Roman" w:cs="Times New Roman"/>
          <w:bCs/>
          <w:sz w:val="28"/>
          <w:szCs w:val="28"/>
        </w:rPr>
        <w:t>中华人民共和国国务院令（</w:t>
      </w:r>
      <w:r>
        <w:rPr>
          <w:rFonts w:ascii="Times New Roman" w:eastAsia="黑体" w:hAnsi="Times New Roman" w:cs="Times New Roman"/>
          <w:bCs/>
          <w:sz w:val="28"/>
          <w:szCs w:val="28"/>
        </w:rPr>
        <w:t>2021</w:t>
      </w:r>
      <w:r>
        <w:rPr>
          <w:rFonts w:ascii="Times New Roman" w:eastAsia="黑体" w:hAnsi="Times New Roman" w:cs="Times New Roman"/>
          <w:bCs/>
          <w:sz w:val="28"/>
          <w:szCs w:val="28"/>
        </w:rPr>
        <w:t>年）第</w:t>
      </w:r>
      <w:r>
        <w:rPr>
          <w:rFonts w:ascii="Times New Roman" w:eastAsia="黑体" w:hAnsi="Times New Roman" w:cs="Times New Roman"/>
          <w:bCs/>
          <w:sz w:val="28"/>
          <w:szCs w:val="28"/>
        </w:rPr>
        <w:t>742</w:t>
      </w:r>
      <w:r>
        <w:rPr>
          <w:rFonts w:ascii="Times New Roman" w:eastAsia="黑体" w:hAnsi="Times New Roman" w:cs="Times New Roman"/>
          <w:bCs/>
          <w:sz w:val="28"/>
          <w:szCs w:val="28"/>
        </w:rPr>
        <w:t>号</w:t>
      </w:r>
      <w:r>
        <w:rPr>
          <w:rFonts w:ascii="Times New Roman" w:eastAsia="黑体" w:hAnsi="Times New Roman" w:cs="Times New Roman" w:hint="eastAsia"/>
          <w:bCs/>
          <w:sz w:val="28"/>
          <w:szCs w:val="28"/>
        </w:rPr>
        <w:t>）</w:t>
      </w:r>
      <w:r>
        <w:rPr>
          <w:rFonts w:ascii="Times New Roman" w:eastAsia="黑体" w:hAnsi="Times New Roman" w:cs="Times New Roman"/>
          <w:bCs/>
          <w:sz w:val="28"/>
          <w:szCs w:val="28"/>
        </w:rPr>
        <w:t>符合性分析</w:t>
      </w:r>
    </w:p>
    <w:p w14:paraId="77FAE9F3" w14:textId="77777777" w:rsidR="00B14D53" w:rsidRDefault="00B14D53">
      <w:pPr>
        <w:jc w:val="center"/>
        <w:rPr>
          <w:b/>
          <w:bCs/>
        </w:rPr>
      </w:pPr>
    </w:p>
    <w:p w14:paraId="6FEE0297" w14:textId="77777777" w:rsidR="00B14D53" w:rsidRDefault="00000000">
      <w:pPr>
        <w:jc w:val="center"/>
        <w:rPr>
          <w:b/>
          <w:bCs/>
        </w:rPr>
      </w:pPr>
      <w:r>
        <w:rPr>
          <w:b/>
          <w:bCs/>
        </w:rPr>
        <w:t>表</w:t>
      </w:r>
      <w:r>
        <w:rPr>
          <w:b/>
          <w:bCs/>
        </w:rPr>
        <w:t>1-4-</w:t>
      </w:r>
      <w:r>
        <w:rPr>
          <w:rFonts w:hint="eastAsia"/>
          <w:b/>
          <w:bCs/>
        </w:rPr>
        <w:t>4</w:t>
      </w:r>
      <w:r>
        <w:rPr>
          <w:b/>
          <w:bCs/>
        </w:rPr>
        <w:t xml:space="preserve"> </w:t>
      </w:r>
      <w:r>
        <w:rPr>
          <w:b/>
          <w:bCs/>
        </w:rPr>
        <w:t>本项目与《生猪屠宰管理条例》符合性</w:t>
      </w:r>
    </w:p>
    <w:tbl>
      <w:tblPr>
        <w:tblStyle w:val="TableNormal"/>
        <w:tblW w:w="4997" w:type="pct"/>
        <w:tblInd w:w="0" w:type="dxa"/>
        <w:tblBorders>
          <w:top w:val="single" w:sz="12" w:space="0" w:color="auto"/>
          <w:bottom w:val="single" w:sz="12" w:space="0" w:color="auto"/>
          <w:insideH w:val="single" w:sz="6" w:space="0" w:color="000000"/>
          <w:insideV w:val="single" w:sz="6" w:space="0" w:color="000000"/>
        </w:tblBorders>
        <w:tblLook w:val="04A0" w:firstRow="1" w:lastRow="0" w:firstColumn="1" w:lastColumn="0" w:noHBand="0" w:noVBand="1"/>
      </w:tblPr>
      <w:tblGrid>
        <w:gridCol w:w="1443"/>
        <w:gridCol w:w="2978"/>
        <w:gridCol w:w="3174"/>
        <w:gridCol w:w="706"/>
      </w:tblGrid>
      <w:tr w:rsidR="00B14D53" w14:paraId="75F0D189" w14:textId="77777777">
        <w:trPr>
          <w:trHeight w:val="340"/>
        </w:trPr>
        <w:tc>
          <w:tcPr>
            <w:tcW w:w="869" w:type="pct"/>
            <w:tcBorders>
              <w:tl2br w:val="nil"/>
              <w:tr2bl w:val="nil"/>
            </w:tcBorders>
            <w:vAlign w:val="center"/>
          </w:tcPr>
          <w:p w14:paraId="18E649AD" w14:textId="77777777" w:rsidR="00B14D53" w:rsidRDefault="00000000">
            <w:pPr>
              <w:jc w:val="center"/>
              <w:rPr>
                <w:b/>
                <w:bCs/>
              </w:rPr>
            </w:pPr>
            <w:r>
              <w:rPr>
                <w:b/>
                <w:bCs/>
              </w:rPr>
              <w:t>名称</w:t>
            </w:r>
          </w:p>
        </w:tc>
        <w:tc>
          <w:tcPr>
            <w:tcW w:w="1793" w:type="pct"/>
            <w:tcBorders>
              <w:tl2br w:val="nil"/>
              <w:tr2bl w:val="nil"/>
            </w:tcBorders>
            <w:vAlign w:val="center"/>
          </w:tcPr>
          <w:p w14:paraId="55A53E33" w14:textId="77777777" w:rsidR="00B14D53" w:rsidRDefault="00000000">
            <w:pPr>
              <w:jc w:val="center"/>
              <w:rPr>
                <w:b/>
                <w:bCs/>
              </w:rPr>
            </w:pPr>
            <w:r>
              <w:rPr>
                <w:b/>
                <w:bCs/>
              </w:rPr>
              <w:t>要求</w:t>
            </w:r>
          </w:p>
        </w:tc>
        <w:tc>
          <w:tcPr>
            <w:tcW w:w="1911" w:type="pct"/>
            <w:tcBorders>
              <w:tl2br w:val="nil"/>
              <w:tr2bl w:val="nil"/>
            </w:tcBorders>
            <w:vAlign w:val="center"/>
          </w:tcPr>
          <w:p w14:paraId="3F5007E3" w14:textId="77777777" w:rsidR="00B14D53" w:rsidRDefault="00000000">
            <w:pPr>
              <w:jc w:val="center"/>
              <w:rPr>
                <w:b/>
                <w:bCs/>
              </w:rPr>
            </w:pPr>
            <w:r>
              <w:rPr>
                <w:b/>
                <w:bCs/>
              </w:rPr>
              <w:t>本项目</w:t>
            </w:r>
          </w:p>
        </w:tc>
        <w:tc>
          <w:tcPr>
            <w:tcW w:w="425" w:type="pct"/>
            <w:tcBorders>
              <w:tl2br w:val="nil"/>
              <w:tr2bl w:val="nil"/>
            </w:tcBorders>
            <w:vAlign w:val="center"/>
          </w:tcPr>
          <w:p w14:paraId="7C4B75BD" w14:textId="77777777" w:rsidR="00B14D53" w:rsidRDefault="00000000">
            <w:pPr>
              <w:jc w:val="center"/>
              <w:rPr>
                <w:b/>
                <w:bCs/>
              </w:rPr>
            </w:pPr>
            <w:r>
              <w:rPr>
                <w:b/>
                <w:bCs/>
              </w:rPr>
              <w:t>结论</w:t>
            </w:r>
          </w:p>
        </w:tc>
      </w:tr>
      <w:tr w:rsidR="00B14D53" w14:paraId="45069AB5" w14:textId="77777777">
        <w:trPr>
          <w:trHeight w:val="340"/>
        </w:trPr>
        <w:tc>
          <w:tcPr>
            <w:tcW w:w="869" w:type="pct"/>
            <w:vMerge w:val="restart"/>
            <w:tcBorders>
              <w:tl2br w:val="nil"/>
              <w:tr2bl w:val="nil"/>
            </w:tcBorders>
            <w:vAlign w:val="center"/>
          </w:tcPr>
          <w:p w14:paraId="32A37AF8" w14:textId="77777777" w:rsidR="00B14D53" w:rsidRDefault="00000000">
            <w:pPr>
              <w:jc w:val="center"/>
              <w:rPr>
                <w:color w:val="auto"/>
                <w:szCs w:val="21"/>
              </w:rPr>
            </w:pPr>
            <w:r>
              <w:rPr>
                <w:color w:val="auto"/>
                <w:szCs w:val="21"/>
              </w:rPr>
              <w:t>《生猪屠宰管理条例》</w:t>
            </w:r>
          </w:p>
        </w:tc>
        <w:tc>
          <w:tcPr>
            <w:tcW w:w="1793" w:type="pct"/>
            <w:tcBorders>
              <w:tl2br w:val="nil"/>
              <w:tr2bl w:val="nil"/>
            </w:tcBorders>
            <w:vAlign w:val="center"/>
          </w:tcPr>
          <w:p w14:paraId="44B13BDC"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有与屠宰规模相适应，水质符合国家规定标准的水源条件</w:t>
            </w:r>
          </w:p>
        </w:tc>
        <w:tc>
          <w:tcPr>
            <w:tcW w:w="1911" w:type="pct"/>
            <w:tcBorders>
              <w:tl2br w:val="nil"/>
              <w:tr2bl w:val="nil"/>
            </w:tcBorders>
            <w:vAlign w:val="center"/>
          </w:tcPr>
          <w:p w14:paraId="5E523080"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项目由自来水供给，水源有保障，水质符合要求</w:t>
            </w:r>
          </w:p>
        </w:tc>
        <w:tc>
          <w:tcPr>
            <w:tcW w:w="425" w:type="pct"/>
            <w:tcBorders>
              <w:tl2br w:val="nil"/>
              <w:tr2bl w:val="nil"/>
            </w:tcBorders>
            <w:vAlign w:val="center"/>
          </w:tcPr>
          <w:p w14:paraId="121B8694" w14:textId="77777777" w:rsidR="00B14D53" w:rsidRDefault="00000000">
            <w:pPr>
              <w:jc w:val="center"/>
              <w:rPr>
                <w:color w:val="auto"/>
                <w:szCs w:val="21"/>
              </w:rPr>
            </w:pPr>
            <w:r>
              <w:rPr>
                <w:color w:val="auto"/>
                <w:szCs w:val="21"/>
              </w:rPr>
              <w:t>符合</w:t>
            </w:r>
          </w:p>
        </w:tc>
      </w:tr>
      <w:tr w:rsidR="00B14D53" w14:paraId="74E21616" w14:textId="77777777">
        <w:trPr>
          <w:trHeight w:val="340"/>
        </w:trPr>
        <w:tc>
          <w:tcPr>
            <w:tcW w:w="869" w:type="pct"/>
            <w:vMerge/>
            <w:tcBorders>
              <w:tl2br w:val="nil"/>
              <w:tr2bl w:val="nil"/>
            </w:tcBorders>
            <w:vAlign w:val="center"/>
          </w:tcPr>
          <w:p w14:paraId="2969DB69" w14:textId="77777777" w:rsidR="00B14D53" w:rsidRDefault="00B14D53">
            <w:pPr>
              <w:jc w:val="center"/>
              <w:rPr>
                <w:color w:val="auto"/>
                <w:szCs w:val="21"/>
              </w:rPr>
            </w:pPr>
          </w:p>
        </w:tc>
        <w:tc>
          <w:tcPr>
            <w:tcW w:w="1793" w:type="pct"/>
            <w:tcBorders>
              <w:tl2br w:val="nil"/>
              <w:tr2bl w:val="nil"/>
            </w:tcBorders>
            <w:vAlign w:val="center"/>
          </w:tcPr>
          <w:p w14:paraId="5D1313D3"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有符合国家规定要求的待宰车间、屠宰间、急宰间以及畜禽屠宰设备和运载工具</w:t>
            </w:r>
          </w:p>
        </w:tc>
        <w:tc>
          <w:tcPr>
            <w:tcW w:w="1911" w:type="pct"/>
            <w:tcBorders>
              <w:tl2br w:val="nil"/>
              <w:tr2bl w:val="nil"/>
            </w:tcBorders>
            <w:vAlign w:val="center"/>
          </w:tcPr>
          <w:p w14:paraId="3FEC66D6"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项目建有待宰车间、屠宰车间、急宰间</w:t>
            </w:r>
            <w:r>
              <w:rPr>
                <w:rFonts w:ascii="Times New Roman" w:hAnsi="Times New Roman" w:hint="eastAsia"/>
                <w:color w:val="auto"/>
                <w:sz w:val="21"/>
                <w:szCs w:val="21"/>
              </w:rPr>
              <w:t>，</w:t>
            </w:r>
            <w:r>
              <w:rPr>
                <w:rFonts w:ascii="Times New Roman" w:hAnsi="Times New Roman"/>
                <w:color w:val="auto"/>
                <w:sz w:val="21"/>
                <w:szCs w:val="21"/>
              </w:rPr>
              <w:t>有成套肉猪屠宰设备和运载工具，符合国家规定要求</w:t>
            </w:r>
          </w:p>
        </w:tc>
        <w:tc>
          <w:tcPr>
            <w:tcW w:w="425" w:type="pct"/>
            <w:tcBorders>
              <w:tl2br w:val="nil"/>
              <w:tr2bl w:val="nil"/>
            </w:tcBorders>
            <w:vAlign w:val="center"/>
          </w:tcPr>
          <w:p w14:paraId="6B31E9C5" w14:textId="77777777" w:rsidR="00B14D53" w:rsidRDefault="00000000">
            <w:pPr>
              <w:jc w:val="center"/>
              <w:rPr>
                <w:color w:val="auto"/>
                <w:szCs w:val="21"/>
              </w:rPr>
            </w:pPr>
            <w:r>
              <w:rPr>
                <w:color w:val="auto"/>
                <w:szCs w:val="21"/>
              </w:rPr>
              <w:t>符合</w:t>
            </w:r>
          </w:p>
        </w:tc>
      </w:tr>
      <w:tr w:rsidR="00B14D53" w14:paraId="3CBEFE85" w14:textId="77777777">
        <w:trPr>
          <w:trHeight w:val="340"/>
        </w:trPr>
        <w:tc>
          <w:tcPr>
            <w:tcW w:w="869" w:type="pct"/>
            <w:vMerge/>
            <w:tcBorders>
              <w:tl2br w:val="nil"/>
              <w:tr2bl w:val="nil"/>
            </w:tcBorders>
            <w:vAlign w:val="center"/>
          </w:tcPr>
          <w:p w14:paraId="20763D02" w14:textId="77777777" w:rsidR="00B14D53" w:rsidRDefault="00B14D53">
            <w:pPr>
              <w:jc w:val="center"/>
              <w:rPr>
                <w:color w:val="auto"/>
                <w:szCs w:val="21"/>
              </w:rPr>
            </w:pPr>
          </w:p>
        </w:tc>
        <w:tc>
          <w:tcPr>
            <w:tcW w:w="1793" w:type="pct"/>
            <w:tcBorders>
              <w:tl2br w:val="nil"/>
              <w:tr2bl w:val="nil"/>
            </w:tcBorders>
            <w:vAlign w:val="center"/>
          </w:tcPr>
          <w:p w14:paraId="730F48AB"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有依法取得健康证明的屠宰技术人员</w:t>
            </w:r>
          </w:p>
        </w:tc>
        <w:tc>
          <w:tcPr>
            <w:tcW w:w="1911" w:type="pct"/>
            <w:tcBorders>
              <w:tl2br w:val="nil"/>
              <w:tr2bl w:val="nil"/>
            </w:tcBorders>
            <w:vAlign w:val="center"/>
          </w:tcPr>
          <w:p w14:paraId="2C63CB3F"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屠宰技术人员依法取得健康证明后上岗</w:t>
            </w:r>
          </w:p>
        </w:tc>
        <w:tc>
          <w:tcPr>
            <w:tcW w:w="425" w:type="pct"/>
            <w:tcBorders>
              <w:tl2br w:val="nil"/>
              <w:tr2bl w:val="nil"/>
            </w:tcBorders>
            <w:vAlign w:val="center"/>
          </w:tcPr>
          <w:p w14:paraId="0B7904EF" w14:textId="77777777" w:rsidR="00B14D53" w:rsidRDefault="00000000">
            <w:pPr>
              <w:jc w:val="center"/>
              <w:rPr>
                <w:color w:val="auto"/>
                <w:szCs w:val="21"/>
              </w:rPr>
            </w:pPr>
            <w:r>
              <w:rPr>
                <w:color w:val="auto"/>
                <w:szCs w:val="21"/>
              </w:rPr>
              <w:t>符合</w:t>
            </w:r>
          </w:p>
        </w:tc>
      </w:tr>
      <w:tr w:rsidR="00B14D53" w14:paraId="22FE1187" w14:textId="77777777">
        <w:trPr>
          <w:trHeight w:val="340"/>
        </w:trPr>
        <w:tc>
          <w:tcPr>
            <w:tcW w:w="869" w:type="pct"/>
            <w:vMerge/>
            <w:tcBorders>
              <w:tl2br w:val="nil"/>
              <w:tr2bl w:val="nil"/>
            </w:tcBorders>
            <w:vAlign w:val="center"/>
          </w:tcPr>
          <w:p w14:paraId="063708EA" w14:textId="77777777" w:rsidR="00B14D53" w:rsidRDefault="00B14D53">
            <w:pPr>
              <w:jc w:val="center"/>
              <w:rPr>
                <w:color w:val="auto"/>
                <w:szCs w:val="21"/>
              </w:rPr>
            </w:pPr>
          </w:p>
        </w:tc>
        <w:tc>
          <w:tcPr>
            <w:tcW w:w="1793" w:type="pct"/>
            <w:tcBorders>
              <w:tl2br w:val="nil"/>
              <w:tr2bl w:val="nil"/>
            </w:tcBorders>
            <w:vAlign w:val="center"/>
          </w:tcPr>
          <w:p w14:paraId="085DAF42"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有经考核合格的兽医卫生检验人员</w:t>
            </w:r>
          </w:p>
        </w:tc>
        <w:tc>
          <w:tcPr>
            <w:tcW w:w="1911" w:type="pct"/>
            <w:tcBorders>
              <w:tl2br w:val="nil"/>
              <w:tr2bl w:val="nil"/>
            </w:tcBorders>
            <w:vAlign w:val="center"/>
          </w:tcPr>
          <w:p w14:paraId="0D193DF0"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配备经考核合格的兽医卫生检验人员</w:t>
            </w:r>
          </w:p>
        </w:tc>
        <w:tc>
          <w:tcPr>
            <w:tcW w:w="425" w:type="pct"/>
            <w:tcBorders>
              <w:tl2br w:val="nil"/>
              <w:tr2bl w:val="nil"/>
            </w:tcBorders>
            <w:vAlign w:val="center"/>
          </w:tcPr>
          <w:p w14:paraId="1C69D431" w14:textId="77777777" w:rsidR="00B14D53" w:rsidRDefault="00000000">
            <w:pPr>
              <w:jc w:val="center"/>
              <w:rPr>
                <w:color w:val="auto"/>
                <w:szCs w:val="21"/>
              </w:rPr>
            </w:pPr>
            <w:r>
              <w:rPr>
                <w:color w:val="auto"/>
                <w:szCs w:val="21"/>
              </w:rPr>
              <w:t>符合</w:t>
            </w:r>
          </w:p>
        </w:tc>
      </w:tr>
      <w:tr w:rsidR="00B14D53" w14:paraId="3B0614EE" w14:textId="77777777">
        <w:trPr>
          <w:trHeight w:val="340"/>
        </w:trPr>
        <w:tc>
          <w:tcPr>
            <w:tcW w:w="869" w:type="pct"/>
            <w:vMerge/>
            <w:tcBorders>
              <w:tl2br w:val="nil"/>
              <w:tr2bl w:val="nil"/>
            </w:tcBorders>
            <w:vAlign w:val="center"/>
          </w:tcPr>
          <w:p w14:paraId="07F32497" w14:textId="77777777" w:rsidR="00B14D53" w:rsidRDefault="00B14D53">
            <w:pPr>
              <w:jc w:val="center"/>
              <w:rPr>
                <w:color w:val="auto"/>
                <w:szCs w:val="21"/>
              </w:rPr>
            </w:pPr>
          </w:p>
        </w:tc>
        <w:tc>
          <w:tcPr>
            <w:tcW w:w="1793" w:type="pct"/>
            <w:tcBorders>
              <w:tl2br w:val="nil"/>
              <w:tr2bl w:val="nil"/>
            </w:tcBorders>
            <w:vAlign w:val="center"/>
          </w:tcPr>
          <w:p w14:paraId="15CF5F58"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有符合国家规定要求的检验设备、消毒设施以及符合环境保护要求的污染防治设施</w:t>
            </w:r>
          </w:p>
        </w:tc>
        <w:tc>
          <w:tcPr>
            <w:tcW w:w="1911" w:type="pct"/>
            <w:tcBorders>
              <w:tl2br w:val="nil"/>
              <w:tr2bl w:val="nil"/>
            </w:tcBorders>
            <w:vAlign w:val="center"/>
          </w:tcPr>
          <w:p w14:paraId="4F896612"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有符合国家规定的检验设备、消毒设施，拟建设污染防治设施符合环境保护要求</w:t>
            </w:r>
          </w:p>
        </w:tc>
        <w:tc>
          <w:tcPr>
            <w:tcW w:w="425" w:type="pct"/>
            <w:tcBorders>
              <w:tl2br w:val="nil"/>
              <w:tr2bl w:val="nil"/>
            </w:tcBorders>
            <w:vAlign w:val="center"/>
          </w:tcPr>
          <w:p w14:paraId="651D95BB" w14:textId="77777777" w:rsidR="00B14D53" w:rsidRDefault="00000000">
            <w:pPr>
              <w:jc w:val="center"/>
              <w:rPr>
                <w:color w:val="auto"/>
                <w:szCs w:val="21"/>
              </w:rPr>
            </w:pPr>
            <w:r>
              <w:rPr>
                <w:color w:val="auto"/>
                <w:szCs w:val="21"/>
              </w:rPr>
              <w:t>符合</w:t>
            </w:r>
          </w:p>
        </w:tc>
      </w:tr>
      <w:tr w:rsidR="00B14D53" w14:paraId="271415CC" w14:textId="77777777">
        <w:trPr>
          <w:trHeight w:val="340"/>
        </w:trPr>
        <w:tc>
          <w:tcPr>
            <w:tcW w:w="869" w:type="pct"/>
            <w:vMerge/>
            <w:tcBorders>
              <w:tl2br w:val="nil"/>
              <w:tr2bl w:val="nil"/>
            </w:tcBorders>
            <w:vAlign w:val="center"/>
          </w:tcPr>
          <w:p w14:paraId="735DBACF" w14:textId="77777777" w:rsidR="00B14D53" w:rsidRDefault="00B14D53">
            <w:pPr>
              <w:jc w:val="center"/>
              <w:rPr>
                <w:color w:val="auto"/>
                <w:szCs w:val="21"/>
              </w:rPr>
            </w:pPr>
          </w:p>
        </w:tc>
        <w:tc>
          <w:tcPr>
            <w:tcW w:w="1793" w:type="pct"/>
            <w:tcBorders>
              <w:tl2br w:val="nil"/>
              <w:tr2bl w:val="nil"/>
            </w:tcBorders>
            <w:vAlign w:val="center"/>
          </w:tcPr>
          <w:p w14:paraId="6DD49AEC"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有病害畜禽及畜禽产品无害化处理设施或者无害化处理委托协议</w:t>
            </w:r>
          </w:p>
        </w:tc>
        <w:tc>
          <w:tcPr>
            <w:tcW w:w="1911" w:type="pct"/>
            <w:tcBorders>
              <w:tl2br w:val="nil"/>
              <w:tr2bl w:val="nil"/>
            </w:tcBorders>
            <w:vAlign w:val="center"/>
          </w:tcPr>
          <w:p w14:paraId="1048362A"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lang w:val="zh-CN"/>
              </w:rPr>
              <w:t>本项目病死</w:t>
            </w:r>
            <w:r>
              <w:rPr>
                <w:rFonts w:ascii="Times New Roman" w:hAnsi="Times New Roman" w:hint="eastAsia"/>
                <w:color w:val="auto"/>
                <w:sz w:val="21"/>
                <w:szCs w:val="21"/>
              </w:rPr>
              <w:t>猪、病变腺体、内脏及残留脂肪</w:t>
            </w:r>
            <w:r>
              <w:rPr>
                <w:rFonts w:ascii="Times New Roman" w:hAnsi="Times New Roman"/>
                <w:color w:val="auto"/>
                <w:sz w:val="21"/>
                <w:szCs w:val="21"/>
              </w:rPr>
              <w:t>送至</w:t>
            </w:r>
            <w:r>
              <w:rPr>
                <w:rFonts w:ascii="Times New Roman" w:hAnsi="Times New Roman" w:hint="eastAsia"/>
                <w:color w:val="auto"/>
                <w:sz w:val="21"/>
                <w:szCs w:val="21"/>
              </w:rPr>
              <w:t>哈尔滨银山无害化处理有限公司</w:t>
            </w:r>
            <w:r>
              <w:rPr>
                <w:rFonts w:ascii="Times New Roman" w:hAnsi="Times New Roman"/>
                <w:color w:val="auto"/>
                <w:sz w:val="21"/>
                <w:szCs w:val="21"/>
                <w:lang w:val="zh-CN"/>
              </w:rPr>
              <w:t>处理。</w:t>
            </w:r>
          </w:p>
        </w:tc>
        <w:tc>
          <w:tcPr>
            <w:tcW w:w="425" w:type="pct"/>
            <w:tcBorders>
              <w:tl2br w:val="nil"/>
              <w:tr2bl w:val="nil"/>
            </w:tcBorders>
            <w:vAlign w:val="center"/>
          </w:tcPr>
          <w:p w14:paraId="3D52A86C" w14:textId="77777777" w:rsidR="00B14D53" w:rsidRDefault="00000000">
            <w:pPr>
              <w:jc w:val="center"/>
              <w:rPr>
                <w:color w:val="auto"/>
                <w:szCs w:val="21"/>
              </w:rPr>
            </w:pPr>
            <w:r>
              <w:rPr>
                <w:color w:val="auto"/>
                <w:szCs w:val="21"/>
              </w:rPr>
              <w:t>符合</w:t>
            </w:r>
          </w:p>
        </w:tc>
      </w:tr>
      <w:tr w:rsidR="00B14D53" w14:paraId="068E2EB4" w14:textId="77777777">
        <w:trPr>
          <w:trHeight w:val="340"/>
        </w:trPr>
        <w:tc>
          <w:tcPr>
            <w:tcW w:w="869" w:type="pct"/>
            <w:vMerge/>
            <w:tcBorders>
              <w:tl2br w:val="nil"/>
              <w:tr2bl w:val="nil"/>
            </w:tcBorders>
            <w:vAlign w:val="center"/>
          </w:tcPr>
          <w:p w14:paraId="4894EF6D" w14:textId="77777777" w:rsidR="00B14D53" w:rsidRDefault="00B14D53">
            <w:pPr>
              <w:jc w:val="center"/>
              <w:rPr>
                <w:color w:val="auto"/>
                <w:szCs w:val="21"/>
              </w:rPr>
            </w:pPr>
          </w:p>
        </w:tc>
        <w:tc>
          <w:tcPr>
            <w:tcW w:w="1793" w:type="pct"/>
            <w:tcBorders>
              <w:tl2br w:val="nil"/>
              <w:tr2bl w:val="nil"/>
            </w:tcBorders>
            <w:vAlign w:val="center"/>
          </w:tcPr>
          <w:p w14:paraId="14B20AE8"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依法取得动物防疫条件合格证</w:t>
            </w:r>
          </w:p>
        </w:tc>
        <w:tc>
          <w:tcPr>
            <w:tcW w:w="1911" w:type="pct"/>
            <w:tcBorders>
              <w:tl2br w:val="nil"/>
              <w:tr2bl w:val="nil"/>
            </w:tcBorders>
            <w:vAlign w:val="center"/>
          </w:tcPr>
          <w:p w14:paraId="0D5925C0"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依法取得动物防疫条件合格证</w:t>
            </w:r>
          </w:p>
        </w:tc>
        <w:tc>
          <w:tcPr>
            <w:tcW w:w="425" w:type="pct"/>
            <w:tcBorders>
              <w:tl2br w:val="nil"/>
              <w:tr2bl w:val="nil"/>
            </w:tcBorders>
            <w:vAlign w:val="center"/>
          </w:tcPr>
          <w:p w14:paraId="3009E475" w14:textId="77777777" w:rsidR="00B14D53" w:rsidRDefault="00000000">
            <w:pPr>
              <w:jc w:val="center"/>
              <w:rPr>
                <w:color w:val="auto"/>
                <w:szCs w:val="21"/>
              </w:rPr>
            </w:pPr>
            <w:r>
              <w:rPr>
                <w:color w:val="auto"/>
                <w:szCs w:val="21"/>
              </w:rPr>
              <w:t>符合</w:t>
            </w:r>
          </w:p>
        </w:tc>
      </w:tr>
      <w:tr w:rsidR="00B14D53" w14:paraId="4DFE3C04" w14:textId="77777777">
        <w:trPr>
          <w:trHeight w:val="340"/>
        </w:trPr>
        <w:tc>
          <w:tcPr>
            <w:tcW w:w="869" w:type="pct"/>
            <w:vMerge/>
            <w:tcBorders>
              <w:tl2br w:val="nil"/>
              <w:tr2bl w:val="nil"/>
            </w:tcBorders>
            <w:vAlign w:val="center"/>
          </w:tcPr>
          <w:p w14:paraId="17A26CD6" w14:textId="77777777" w:rsidR="00B14D53" w:rsidRDefault="00B14D53">
            <w:pPr>
              <w:jc w:val="center"/>
              <w:rPr>
                <w:color w:val="auto"/>
                <w:szCs w:val="21"/>
              </w:rPr>
            </w:pPr>
          </w:p>
        </w:tc>
        <w:tc>
          <w:tcPr>
            <w:tcW w:w="1793" w:type="pct"/>
            <w:tcBorders>
              <w:tl2br w:val="nil"/>
              <w:tr2bl w:val="nil"/>
            </w:tcBorders>
            <w:vAlign w:val="center"/>
          </w:tcPr>
          <w:p w14:paraId="4D35FF1F"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生猪定点屠宰厂（场）屠宰的生猪，应当依法经动物卫生监督机构检疫合格，并附有检疫证明</w:t>
            </w:r>
          </w:p>
        </w:tc>
        <w:tc>
          <w:tcPr>
            <w:tcW w:w="1911" w:type="pct"/>
            <w:tcBorders>
              <w:tl2br w:val="nil"/>
              <w:tr2bl w:val="nil"/>
            </w:tcBorders>
            <w:vAlign w:val="center"/>
          </w:tcPr>
          <w:p w14:paraId="2B8916A3"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hint="eastAsia"/>
                <w:color w:val="auto"/>
                <w:sz w:val="21"/>
                <w:szCs w:val="21"/>
              </w:rPr>
              <w:t>项目建成后，</w:t>
            </w:r>
            <w:r>
              <w:rPr>
                <w:rFonts w:ascii="Times New Roman" w:hAnsi="Times New Roman"/>
                <w:color w:val="auto"/>
                <w:sz w:val="21"/>
                <w:szCs w:val="21"/>
              </w:rPr>
              <w:t>经动物卫生监督机构检疫合格，并附有检疫证明</w:t>
            </w:r>
          </w:p>
        </w:tc>
        <w:tc>
          <w:tcPr>
            <w:tcW w:w="425" w:type="pct"/>
            <w:tcBorders>
              <w:tl2br w:val="nil"/>
              <w:tr2bl w:val="nil"/>
            </w:tcBorders>
            <w:vAlign w:val="center"/>
          </w:tcPr>
          <w:p w14:paraId="453644E7" w14:textId="77777777" w:rsidR="00B14D53" w:rsidRDefault="00000000">
            <w:pPr>
              <w:jc w:val="center"/>
              <w:rPr>
                <w:color w:val="auto"/>
                <w:szCs w:val="21"/>
              </w:rPr>
            </w:pPr>
            <w:r>
              <w:rPr>
                <w:color w:val="auto"/>
                <w:szCs w:val="21"/>
              </w:rPr>
              <w:t>符合</w:t>
            </w:r>
          </w:p>
        </w:tc>
      </w:tr>
      <w:tr w:rsidR="00B14D53" w14:paraId="1857A64E" w14:textId="77777777">
        <w:trPr>
          <w:trHeight w:val="340"/>
        </w:trPr>
        <w:tc>
          <w:tcPr>
            <w:tcW w:w="869" w:type="pct"/>
            <w:vMerge/>
            <w:tcBorders>
              <w:tl2br w:val="nil"/>
              <w:tr2bl w:val="nil"/>
            </w:tcBorders>
            <w:vAlign w:val="center"/>
          </w:tcPr>
          <w:p w14:paraId="2D514716" w14:textId="77777777" w:rsidR="00B14D53" w:rsidRDefault="00B14D53">
            <w:pPr>
              <w:jc w:val="center"/>
              <w:rPr>
                <w:color w:val="auto"/>
                <w:szCs w:val="21"/>
              </w:rPr>
            </w:pPr>
          </w:p>
        </w:tc>
        <w:tc>
          <w:tcPr>
            <w:tcW w:w="1793" w:type="pct"/>
            <w:tcBorders>
              <w:tl2br w:val="nil"/>
              <w:tr2bl w:val="nil"/>
            </w:tcBorders>
            <w:vAlign w:val="center"/>
          </w:tcPr>
          <w:p w14:paraId="2220E478"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生猪定点屠宰厂（场）应当建立生猪进厂（场）查验登记制度</w:t>
            </w:r>
          </w:p>
        </w:tc>
        <w:tc>
          <w:tcPr>
            <w:tcW w:w="1911" w:type="pct"/>
            <w:tcBorders>
              <w:tl2br w:val="nil"/>
              <w:tr2bl w:val="nil"/>
            </w:tcBorders>
            <w:vAlign w:val="center"/>
          </w:tcPr>
          <w:p w14:paraId="62E9A263" w14:textId="77777777" w:rsidR="00B14D53" w:rsidRDefault="00000000">
            <w:pPr>
              <w:pStyle w:val="a6"/>
              <w:spacing w:line="240" w:lineRule="auto"/>
              <w:ind w:firstLineChars="200" w:firstLine="420"/>
              <w:jc w:val="both"/>
              <w:rPr>
                <w:rFonts w:ascii="Times New Roman" w:hAnsi="Times New Roman"/>
                <w:color w:val="auto"/>
                <w:sz w:val="21"/>
                <w:szCs w:val="21"/>
              </w:rPr>
            </w:pPr>
            <w:r>
              <w:rPr>
                <w:rFonts w:ascii="Times New Roman" w:hAnsi="Times New Roman"/>
                <w:color w:val="auto"/>
                <w:sz w:val="21"/>
                <w:szCs w:val="21"/>
              </w:rPr>
              <w:t>生猪进厂（场）查验登记制度</w:t>
            </w:r>
          </w:p>
        </w:tc>
        <w:tc>
          <w:tcPr>
            <w:tcW w:w="425" w:type="pct"/>
            <w:tcBorders>
              <w:tl2br w:val="nil"/>
              <w:tr2bl w:val="nil"/>
            </w:tcBorders>
            <w:vAlign w:val="center"/>
          </w:tcPr>
          <w:p w14:paraId="3807A527" w14:textId="77777777" w:rsidR="00B14D53" w:rsidRDefault="00000000">
            <w:pPr>
              <w:jc w:val="center"/>
              <w:rPr>
                <w:color w:val="auto"/>
                <w:szCs w:val="21"/>
              </w:rPr>
            </w:pPr>
            <w:r>
              <w:rPr>
                <w:rFonts w:hint="eastAsia"/>
                <w:color w:val="auto"/>
                <w:szCs w:val="21"/>
              </w:rPr>
              <w:t>符合</w:t>
            </w:r>
          </w:p>
        </w:tc>
      </w:tr>
    </w:tbl>
    <w:p w14:paraId="7593CFB5"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w:t>
      </w:r>
      <w:r>
        <w:rPr>
          <w:rFonts w:ascii="Times New Roman" w:eastAsia="黑体" w:hAnsi="Times New Roman" w:cs="Times New Roman" w:hint="eastAsia"/>
          <w:bCs/>
          <w:sz w:val="28"/>
          <w:szCs w:val="28"/>
        </w:rPr>
        <w:t>8</w:t>
      </w:r>
      <w:r>
        <w:rPr>
          <w:rFonts w:ascii="Times New Roman" w:eastAsia="黑体" w:hAnsi="Times New Roman" w:cs="Times New Roman"/>
          <w:bCs/>
          <w:sz w:val="28"/>
          <w:szCs w:val="28"/>
        </w:rPr>
        <w:t>与《黑龙江省水污染防治条例》</w:t>
      </w:r>
      <w:r>
        <w:rPr>
          <w:rFonts w:ascii="Times New Roman" w:eastAsia="黑体" w:hAnsi="Times New Roman" w:cs="Times New Roman" w:hint="eastAsia"/>
          <w:bCs/>
          <w:sz w:val="28"/>
          <w:szCs w:val="28"/>
        </w:rPr>
        <w:t>(2023</w:t>
      </w:r>
      <w:r>
        <w:rPr>
          <w:rFonts w:ascii="Times New Roman" w:eastAsia="黑体" w:hAnsi="Times New Roman" w:cs="Times New Roman" w:hint="eastAsia"/>
          <w:bCs/>
          <w:sz w:val="28"/>
          <w:szCs w:val="28"/>
        </w:rPr>
        <w:t>年</w:t>
      </w:r>
      <w:r>
        <w:rPr>
          <w:rFonts w:ascii="Times New Roman" w:eastAsia="黑体" w:hAnsi="Times New Roman" w:cs="Times New Roman" w:hint="eastAsia"/>
          <w:bCs/>
          <w:sz w:val="28"/>
          <w:szCs w:val="28"/>
        </w:rPr>
        <w:t>12</w:t>
      </w:r>
      <w:r>
        <w:rPr>
          <w:rFonts w:ascii="Times New Roman" w:eastAsia="黑体" w:hAnsi="Times New Roman" w:cs="Times New Roman" w:hint="eastAsia"/>
          <w:bCs/>
          <w:sz w:val="28"/>
          <w:szCs w:val="28"/>
        </w:rPr>
        <w:t>月</w:t>
      </w:r>
      <w:r>
        <w:rPr>
          <w:rFonts w:ascii="Times New Roman" w:eastAsia="黑体" w:hAnsi="Times New Roman" w:cs="Times New Roman" w:hint="eastAsia"/>
          <w:bCs/>
          <w:sz w:val="28"/>
          <w:szCs w:val="28"/>
        </w:rPr>
        <w:t>1</w:t>
      </w:r>
      <w:r>
        <w:rPr>
          <w:rFonts w:ascii="Times New Roman" w:eastAsia="黑体" w:hAnsi="Times New Roman" w:cs="Times New Roman" w:hint="eastAsia"/>
          <w:bCs/>
          <w:sz w:val="28"/>
          <w:szCs w:val="28"/>
        </w:rPr>
        <w:t>日</w:t>
      </w:r>
      <w:r>
        <w:rPr>
          <w:rFonts w:ascii="Times New Roman" w:eastAsia="黑体" w:hAnsi="Times New Roman" w:cs="Times New Roman" w:hint="eastAsia"/>
          <w:bCs/>
          <w:sz w:val="28"/>
          <w:szCs w:val="28"/>
        </w:rPr>
        <w:t>)</w:t>
      </w:r>
      <w:r>
        <w:rPr>
          <w:rFonts w:ascii="Times New Roman" w:eastAsia="黑体" w:hAnsi="Times New Roman" w:cs="Times New Roman"/>
          <w:bCs/>
          <w:sz w:val="28"/>
          <w:szCs w:val="28"/>
        </w:rPr>
        <w:t>符合性分析</w:t>
      </w:r>
    </w:p>
    <w:p w14:paraId="429436A2" w14:textId="77777777" w:rsidR="00B14D53" w:rsidRDefault="00000000">
      <w:pPr>
        <w:spacing w:line="360" w:lineRule="auto"/>
        <w:ind w:firstLineChars="200" w:firstLine="480"/>
        <w:rPr>
          <w:rFonts w:eastAsiaTheme="minorEastAsia"/>
          <w:sz w:val="24"/>
        </w:rPr>
      </w:pPr>
      <w:r>
        <w:rPr>
          <w:rFonts w:eastAsiaTheme="minorEastAsia" w:hint="eastAsia"/>
          <w:sz w:val="24"/>
        </w:rPr>
        <w:t>相关内容：</w:t>
      </w:r>
    </w:p>
    <w:p w14:paraId="4B00C3A3" w14:textId="77777777" w:rsidR="00B14D53" w:rsidRDefault="00000000">
      <w:pPr>
        <w:spacing w:line="360" w:lineRule="auto"/>
        <w:ind w:firstLineChars="200" w:firstLine="480"/>
        <w:rPr>
          <w:rFonts w:eastAsiaTheme="minorEastAsia"/>
          <w:sz w:val="24"/>
        </w:rPr>
      </w:pPr>
      <w:r>
        <w:rPr>
          <w:rFonts w:eastAsiaTheme="minorEastAsia" w:hint="eastAsia"/>
          <w:sz w:val="24"/>
        </w:rPr>
        <w:t>第三十三条</w:t>
      </w:r>
      <w:r>
        <w:rPr>
          <w:rFonts w:eastAsiaTheme="minorEastAsia" w:hint="eastAsia"/>
          <w:sz w:val="24"/>
        </w:rPr>
        <w:t xml:space="preserve"> </w:t>
      </w:r>
      <w:r>
        <w:rPr>
          <w:rFonts w:eastAsiaTheme="minorEastAsia" w:hint="eastAsia"/>
          <w:sz w:val="24"/>
        </w:rPr>
        <w:t>排放工业废水的企业应当采取有效措施，收集和处理产生的全部废水，防止污染环境。含有毒有害水污染物的工业废水应当分类收集和处理，不得稀释排放。</w:t>
      </w:r>
    </w:p>
    <w:p w14:paraId="775E156F" w14:textId="77777777" w:rsidR="00B14D53" w:rsidRDefault="00000000">
      <w:pPr>
        <w:spacing w:line="360" w:lineRule="auto"/>
        <w:ind w:firstLineChars="200" w:firstLine="480"/>
        <w:rPr>
          <w:sz w:val="24"/>
        </w:rPr>
      </w:pPr>
      <w:r>
        <w:rPr>
          <w:rFonts w:hint="eastAsia"/>
          <w:sz w:val="24"/>
        </w:rPr>
        <w:t>符合性分析：</w:t>
      </w:r>
    </w:p>
    <w:p w14:paraId="6F693FA1" w14:textId="77777777" w:rsidR="00B14D53" w:rsidRDefault="00000000">
      <w:pPr>
        <w:spacing w:line="360" w:lineRule="auto"/>
        <w:ind w:firstLineChars="200" w:firstLine="480"/>
        <w:rPr>
          <w:sz w:val="24"/>
          <w:lang w:val="zh-CN"/>
        </w:rPr>
      </w:pPr>
      <w:r>
        <w:rPr>
          <w:sz w:val="24"/>
          <w:lang w:val="zh-CN"/>
        </w:rPr>
        <w:t>本项目为标准化屠宰项目，</w:t>
      </w:r>
      <w:r>
        <w:rPr>
          <w:rFonts w:hint="eastAsia"/>
          <w:sz w:val="24"/>
        </w:rPr>
        <w:t>厂内生产废水经自建污水处理站处理达标后排入市政管网，废水中不含有毒有害的水污染物</w:t>
      </w:r>
      <w:r>
        <w:rPr>
          <w:sz w:val="24"/>
          <w:lang w:val="zh-CN"/>
        </w:rPr>
        <w:t>。本项目</w:t>
      </w:r>
      <w:r>
        <w:rPr>
          <w:rFonts w:hint="eastAsia"/>
          <w:sz w:val="24"/>
        </w:rPr>
        <w:t>符合</w:t>
      </w:r>
      <w:r>
        <w:rPr>
          <w:sz w:val="24"/>
          <w:lang w:val="zh-CN"/>
        </w:rPr>
        <w:t>《黑龙江省水污染防治条例》。</w:t>
      </w:r>
    </w:p>
    <w:p w14:paraId="33BAEA84"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w:t>
      </w:r>
      <w:r>
        <w:rPr>
          <w:rFonts w:ascii="Times New Roman" w:eastAsia="黑体" w:hAnsi="Times New Roman" w:cs="Times New Roman" w:hint="eastAsia"/>
          <w:bCs/>
          <w:sz w:val="28"/>
          <w:szCs w:val="28"/>
        </w:rPr>
        <w:t>9</w:t>
      </w:r>
      <w:r>
        <w:rPr>
          <w:rFonts w:ascii="Times New Roman" w:eastAsia="黑体" w:hAnsi="Times New Roman" w:cs="Times New Roman"/>
          <w:bCs/>
          <w:sz w:val="28"/>
          <w:szCs w:val="28"/>
        </w:rPr>
        <w:t>与</w:t>
      </w:r>
      <w:r>
        <w:rPr>
          <w:rFonts w:ascii="Times New Roman" w:eastAsia="黑体" w:hAnsi="Times New Roman" w:cs="Times New Roman" w:hint="eastAsia"/>
          <w:bCs/>
          <w:sz w:val="28"/>
          <w:szCs w:val="28"/>
        </w:rPr>
        <w:t>《哈尔滨市生态环境保护“十四五”规划》（哈环发</w:t>
      </w:r>
      <w:r>
        <w:rPr>
          <w:rFonts w:ascii="Times New Roman" w:eastAsia="黑体" w:hAnsi="Times New Roman" w:cs="Times New Roman" w:hint="eastAsia"/>
          <w:bCs/>
          <w:sz w:val="28"/>
          <w:szCs w:val="28"/>
        </w:rPr>
        <w:t>[2021]11</w:t>
      </w:r>
      <w:r>
        <w:rPr>
          <w:rFonts w:ascii="Times New Roman" w:eastAsia="黑体" w:hAnsi="Times New Roman" w:cs="Times New Roman" w:hint="eastAsia"/>
          <w:bCs/>
          <w:sz w:val="28"/>
          <w:szCs w:val="28"/>
        </w:rPr>
        <w:t>号）</w:t>
      </w:r>
      <w:r>
        <w:rPr>
          <w:rFonts w:ascii="Times New Roman" w:eastAsia="黑体" w:hAnsi="Times New Roman" w:cs="Times New Roman"/>
          <w:bCs/>
          <w:sz w:val="28"/>
          <w:szCs w:val="28"/>
        </w:rPr>
        <w:t>符合性分析</w:t>
      </w:r>
    </w:p>
    <w:p w14:paraId="24C39A81" w14:textId="77777777" w:rsidR="00B14D53" w:rsidRDefault="00000000">
      <w:pPr>
        <w:autoSpaceDE w:val="0"/>
        <w:autoSpaceDN w:val="0"/>
        <w:adjustRightInd w:val="0"/>
        <w:snapToGrid w:val="0"/>
        <w:spacing w:line="360" w:lineRule="auto"/>
        <w:ind w:firstLineChars="200" w:firstLine="480"/>
        <w:jc w:val="left"/>
        <w:rPr>
          <w:sz w:val="24"/>
        </w:rPr>
      </w:pPr>
      <w:r>
        <w:rPr>
          <w:rFonts w:hint="eastAsia"/>
          <w:sz w:val="24"/>
        </w:rPr>
        <w:t>相关内容：</w:t>
      </w:r>
    </w:p>
    <w:p w14:paraId="7F0B0473" w14:textId="77777777" w:rsidR="00B14D53" w:rsidRDefault="00000000">
      <w:pPr>
        <w:autoSpaceDE w:val="0"/>
        <w:autoSpaceDN w:val="0"/>
        <w:adjustRightInd w:val="0"/>
        <w:snapToGrid w:val="0"/>
        <w:spacing w:line="360" w:lineRule="auto"/>
        <w:ind w:firstLineChars="200" w:firstLine="480"/>
        <w:jc w:val="left"/>
        <w:rPr>
          <w:sz w:val="24"/>
        </w:rPr>
      </w:pPr>
      <w:r>
        <w:rPr>
          <w:rFonts w:hint="eastAsia"/>
          <w:sz w:val="24"/>
        </w:rPr>
        <w:t>（</w:t>
      </w:r>
      <w:r>
        <w:rPr>
          <w:sz w:val="24"/>
        </w:rPr>
        <w:t>二十八</w:t>
      </w:r>
      <w:r>
        <w:rPr>
          <w:rFonts w:hint="eastAsia"/>
          <w:sz w:val="24"/>
        </w:rPr>
        <w:t>）</w:t>
      </w:r>
      <w:r>
        <w:rPr>
          <w:sz w:val="24"/>
        </w:rPr>
        <w:t>深化燃煤锅炉与工业炉窑整治。推进热电厂、大型燃煤锅炉节能和超低排放改造。市区建成区禁止新建每小时</w:t>
      </w:r>
      <w:r>
        <w:rPr>
          <w:sz w:val="24"/>
        </w:rPr>
        <w:t>65</w:t>
      </w:r>
      <w:r>
        <w:rPr>
          <w:sz w:val="24"/>
        </w:rPr>
        <w:t>蒸吨以下燃煤锅炉，现有燃煤锅炉优先采取集中供热或天然气替代改造。到</w:t>
      </w:r>
      <w:r>
        <w:rPr>
          <w:sz w:val="24"/>
        </w:rPr>
        <w:t>2025</w:t>
      </w:r>
      <w:r>
        <w:rPr>
          <w:sz w:val="24"/>
        </w:rPr>
        <w:t>年，基本淘汰市区建成区</w:t>
      </w:r>
      <w:r>
        <w:rPr>
          <w:sz w:val="24"/>
        </w:rPr>
        <w:t>65</w:t>
      </w:r>
      <w:r>
        <w:rPr>
          <w:sz w:val="24"/>
        </w:rPr>
        <w:t>蒸吨</w:t>
      </w:r>
      <w:r>
        <w:rPr>
          <w:sz w:val="24"/>
        </w:rPr>
        <w:t>/</w:t>
      </w:r>
      <w:r>
        <w:rPr>
          <w:sz w:val="24"/>
        </w:rPr>
        <w:t>小时以下、市区建成区以外</w:t>
      </w:r>
      <w:r>
        <w:rPr>
          <w:sz w:val="24"/>
        </w:rPr>
        <w:t>10</w:t>
      </w:r>
      <w:r>
        <w:rPr>
          <w:sz w:val="24"/>
        </w:rPr>
        <w:t>蒸吨</w:t>
      </w:r>
      <w:r>
        <w:rPr>
          <w:sz w:val="24"/>
        </w:rPr>
        <w:t>/</w:t>
      </w:r>
      <w:r>
        <w:rPr>
          <w:sz w:val="24"/>
        </w:rPr>
        <w:t>小时以下燃煤锅炉。新建涉工炉窑项目原则上入园区并配套建设高效环保治理设施。对以煤、石油焦、渣油、重油等为燃料的工业炉窑，加快使用清洁低碳能源以及利用工厂余热替代燃料。加快推动铸造（</w:t>
      </w:r>
      <w:r>
        <w:rPr>
          <w:sz w:val="24"/>
        </w:rPr>
        <w:t>10</w:t>
      </w:r>
      <w:r>
        <w:rPr>
          <w:sz w:val="24"/>
        </w:rPr>
        <w:t>吨</w:t>
      </w:r>
      <w:r>
        <w:rPr>
          <w:sz w:val="24"/>
        </w:rPr>
        <w:t>/</w:t>
      </w:r>
      <w:r>
        <w:rPr>
          <w:sz w:val="24"/>
        </w:rPr>
        <w:t>小时及以下</w:t>
      </w:r>
      <w:r>
        <w:rPr>
          <w:sz w:val="24"/>
        </w:rPr>
        <w:t>)</w:t>
      </w:r>
      <w:r>
        <w:rPr>
          <w:sz w:val="24"/>
        </w:rPr>
        <w:t>、岩棉等行业冲天炉改为电炉。严格控制工业炉窑生产工艺过程及相关物料储存、输送等无组织排放，有效提高废气收集率。</w:t>
      </w:r>
    </w:p>
    <w:p w14:paraId="64B6BBD1" w14:textId="77777777" w:rsidR="00B14D53" w:rsidRDefault="00000000">
      <w:pPr>
        <w:autoSpaceDE w:val="0"/>
        <w:autoSpaceDN w:val="0"/>
        <w:adjustRightInd w:val="0"/>
        <w:snapToGrid w:val="0"/>
        <w:spacing w:line="360" w:lineRule="auto"/>
        <w:ind w:firstLineChars="200" w:firstLine="480"/>
        <w:jc w:val="left"/>
        <w:rPr>
          <w:sz w:val="24"/>
        </w:rPr>
      </w:pPr>
      <w:r>
        <w:rPr>
          <w:rFonts w:hint="eastAsia"/>
          <w:sz w:val="24"/>
        </w:rPr>
        <w:t>（</w:t>
      </w:r>
      <w:r>
        <w:rPr>
          <w:sz w:val="24"/>
        </w:rPr>
        <w:t>三十八</w:t>
      </w:r>
      <w:r>
        <w:rPr>
          <w:rFonts w:hint="eastAsia"/>
          <w:sz w:val="24"/>
        </w:rPr>
        <w:t>）</w:t>
      </w:r>
      <w:r>
        <w:rPr>
          <w:sz w:val="24"/>
        </w:rPr>
        <w:t>加强消耗臭氧层物质</w:t>
      </w:r>
      <w:r>
        <w:rPr>
          <w:sz w:val="24"/>
        </w:rPr>
        <w:t>(ODS)</w:t>
      </w:r>
      <w:r>
        <w:rPr>
          <w:sz w:val="24"/>
        </w:rPr>
        <w:t>管理。逐步淘汰消耗臭氧层物质</w:t>
      </w:r>
      <w:r>
        <w:rPr>
          <w:sz w:val="24"/>
        </w:rPr>
        <w:t>(ODS)</w:t>
      </w:r>
      <w:r>
        <w:rPr>
          <w:sz w:val="24"/>
        </w:rPr>
        <w:t>，鼓励支持替代品生产和使用，推进市级在线管理，大幅减少使用量。实施含氢氯氟经</w:t>
      </w:r>
      <w:r>
        <w:rPr>
          <w:sz w:val="24"/>
        </w:rPr>
        <w:t>(HCFCs)</w:t>
      </w:r>
      <w:r>
        <w:rPr>
          <w:sz w:val="24"/>
        </w:rPr>
        <w:t>淘汰和替代，</w:t>
      </w:r>
      <w:r>
        <w:rPr>
          <w:sz w:val="24"/>
        </w:rPr>
        <w:t>2025</w:t>
      </w:r>
      <w:r>
        <w:rPr>
          <w:sz w:val="24"/>
        </w:rPr>
        <w:t>年生产和消费量达到淘汰基线水平</w:t>
      </w:r>
      <w:r>
        <w:rPr>
          <w:sz w:val="24"/>
        </w:rPr>
        <w:t>67.5%</w:t>
      </w:r>
      <w:r>
        <w:rPr>
          <w:sz w:val="24"/>
        </w:rPr>
        <w:t>。</w:t>
      </w:r>
    </w:p>
    <w:p w14:paraId="51502D7F" w14:textId="77777777" w:rsidR="00B14D53" w:rsidRDefault="00000000">
      <w:pPr>
        <w:autoSpaceDE w:val="0"/>
        <w:autoSpaceDN w:val="0"/>
        <w:adjustRightInd w:val="0"/>
        <w:snapToGrid w:val="0"/>
        <w:spacing w:line="360" w:lineRule="auto"/>
        <w:ind w:firstLineChars="200" w:firstLine="480"/>
        <w:jc w:val="left"/>
        <w:rPr>
          <w:sz w:val="24"/>
        </w:rPr>
      </w:pPr>
      <w:r>
        <w:rPr>
          <w:rFonts w:hint="eastAsia"/>
          <w:sz w:val="24"/>
        </w:rPr>
        <w:t>符合性分析：</w:t>
      </w:r>
    </w:p>
    <w:p w14:paraId="0BEE428C" w14:textId="77777777" w:rsidR="00B14D53" w:rsidRDefault="00000000">
      <w:pPr>
        <w:autoSpaceDE w:val="0"/>
        <w:autoSpaceDN w:val="0"/>
        <w:adjustRightInd w:val="0"/>
        <w:snapToGrid w:val="0"/>
        <w:spacing w:line="360" w:lineRule="auto"/>
        <w:ind w:firstLineChars="200" w:firstLine="480"/>
        <w:jc w:val="left"/>
        <w:rPr>
          <w:sz w:val="24"/>
        </w:rPr>
      </w:pPr>
      <w:bookmarkStart w:id="15" w:name="_Toc11758454"/>
      <w:r>
        <w:rPr>
          <w:rFonts w:hint="eastAsia"/>
          <w:sz w:val="24"/>
        </w:rPr>
        <w:t>本项目生产用蒸汽由电蒸汽发生器提供，冬季取暖由黑龙江省山河屯林业局有限公司供热站提供集中供热，均不使用锅炉。</w:t>
      </w:r>
    </w:p>
    <w:p w14:paraId="4E7BAD6E" w14:textId="77777777" w:rsidR="00B14D53" w:rsidRDefault="00000000">
      <w:pPr>
        <w:autoSpaceDE w:val="0"/>
        <w:autoSpaceDN w:val="0"/>
        <w:adjustRightInd w:val="0"/>
        <w:snapToGrid w:val="0"/>
        <w:spacing w:line="360" w:lineRule="auto"/>
        <w:ind w:firstLineChars="200" w:firstLine="480"/>
        <w:jc w:val="left"/>
        <w:rPr>
          <w:sz w:val="24"/>
        </w:rPr>
      </w:pPr>
      <w:r>
        <w:rPr>
          <w:sz w:val="24"/>
        </w:rPr>
        <w:t>冷库采用</w:t>
      </w:r>
      <w:r>
        <w:rPr>
          <w:sz w:val="24"/>
        </w:rPr>
        <w:t>R404A</w:t>
      </w:r>
      <w:r>
        <w:rPr>
          <w:sz w:val="24"/>
        </w:rPr>
        <w:t>制冷剂，</w:t>
      </w:r>
      <w:r>
        <w:rPr>
          <w:sz w:val="24"/>
        </w:rPr>
        <w:t>R404A</w:t>
      </w:r>
      <w:r>
        <w:rPr>
          <w:sz w:val="24"/>
        </w:rPr>
        <w:t>制冷剂是一款由</w:t>
      </w:r>
      <w:r>
        <w:rPr>
          <w:sz w:val="24"/>
        </w:rPr>
        <w:t>HFC</w:t>
      </w:r>
      <w:r>
        <w:rPr>
          <w:sz w:val="24"/>
        </w:rPr>
        <w:t>类物质组成的混配制冷剂，不含任何破坏臭氧层的物质</w:t>
      </w:r>
      <w:r>
        <w:rPr>
          <w:rFonts w:hint="eastAsia"/>
          <w:sz w:val="24"/>
        </w:rPr>
        <w:t>。</w:t>
      </w:r>
    </w:p>
    <w:p w14:paraId="79B9341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w:t>
      </w:r>
      <w:r>
        <w:rPr>
          <w:rFonts w:ascii="Times New Roman" w:eastAsia="黑体" w:hAnsi="Times New Roman" w:cs="Times New Roman" w:hint="eastAsia"/>
          <w:bCs/>
          <w:sz w:val="28"/>
          <w:szCs w:val="28"/>
        </w:rPr>
        <w:t>10</w:t>
      </w:r>
      <w:r>
        <w:rPr>
          <w:rFonts w:ascii="Times New Roman" w:eastAsia="黑体" w:hAnsi="Times New Roman" w:cs="Times New Roman"/>
          <w:bCs/>
          <w:sz w:val="28"/>
          <w:szCs w:val="28"/>
        </w:rPr>
        <w:t>与</w:t>
      </w:r>
      <w:r>
        <w:rPr>
          <w:rFonts w:ascii="Times New Roman" w:eastAsia="黑体" w:hAnsi="Times New Roman" w:cs="Times New Roman" w:hint="eastAsia"/>
          <w:bCs/>
          <w:sz w:val="28"/>
          <w:szCs w:val="28"/>
        </w:rPr>
        <w:t>《五常市国土空间总体规划（</w:t>
      </w:r>
      <w:r>
        <w:rPr>
          <w:rFonts w:ascii="Times New Roman" w:eastAsia="黑体" w:hAnsi="Times New Roman" w:cs="Times New Roman" w:hint="eastAsia"/>
          <w:bCs/>
          <w:sz w:val="28"/>
          <w:szCs w:val="28"/>
        </w:rPr>
        <w:t>2021</w:t>
      </w:r>
      <w:r>
        <w:rPr>
          <w:rFonts w:ascii="Times New Roman" w:eastAsia="黑体" w:hAnsi="Times New Roman" w:cs="Times New Roman" w:hint="eastAsia"/>
          <w:bCs/>
          <w:sz w:val="28"/>
          <w:szCs w:val="28"/>
        </w:rPr>
        <w:t>—</w:t>
      </w:r>
      <w:r>
        <w:rPr>
          <w:rFonts w:ascii="Times New Roman" w:eastAsia="黑体" w:hAnsi="Times New Roman" w:cs="Times New Roman" w:hint="eastAsia"/>
          <w:bCs/>
          <w:sz w:val="28"/>
          <w:szCs w:val="28"/>
        </w:rPr>
        <w:t>2035</w:t>
      </w:r>
      <w:r>
        <w:rPr>
          <w:rFonts w:ascii="Times New Roman" w:eastAsia="黑体" w:hAnsi="Times New Roman" w:cs="Times New Roman" w:hint="eastAsia"/>
          <w:bCs/>
          <w:sz w:val="28"/>
          <w:szCs w:val="28"/>
        </w:rPr>
        <w:t>年）》</w:t>
      </w:r>
      <w:r>
        <w:rPr>
          <w:rFonts w:ascii="Times New Roman" w:eastAsia="黑体" w:hAnsi="Times New Roman" w:cs="Times New Roman"/>
          <w:bCs/>
          <w:sz w:val="28"/>
          <w:szCs w:val="28"/>
        </w:rPr>
        <w:t>符合性分析</w:t>
      </w:r>
    </w:p>
    <w:p w14:paraId="511156F6" w14:textId="77777777" w:rsidR="00B14D53" w:rsidRDefault="00000000">
      <w:pPr>
        <w:autoSpaceDE w:val="0"/>
        <w:autoSpaceDN w:val="0"/>
        <w:adjustRightInd w:val="0"/>
        <w:snapToGrid w:val="0"/>
        <w:spacing w:line="360" w:lineRule="auto"/>
        <w:ind w:firstLineChars="200" w:firstLine="480"/>
        <w:jc w:val="left"/>
        <w:rPr>
          <w:rFonts w:eastAsiaTheme="minorEastAsia"/>
          <w:sz w:val="24"/>
        </w:rPr>
      </w:pPr>
      <w:r>
        <w:rPr>
          <w:rFonts w:eastAsiaTheme="minorEastAsia" w:hint="eastAsia"/>
          <w:sz w:val="24"/>
        </w:rPr>
        <w:t>相关内容：</w:t>
      </w:r>
    </w:p>
    <w:p w14:paraId="21420325" w14:textId="77777777" w:rsidR="00B14D53" w:rsidRDefault="00000000">
      <w:pPr>
        <w:autoSpaceDE w:val="0"/>
        <w:autoSpaceDN w:val="0"/>
        <w:adjustRightInd w:val="0"/>
        <w:snapToGrid w:val="0"/>
        <w:spacing w:line="360" w:lineRule="auto"/>
        <w:ind w:firstLineChars="200" w:firstLine="480"/>
        <w:jc w:val="left"/>
        <w:rPr>
          <w:rFonts w:eastAsiaTheme="minorEastAsia"/>
          <w:sz w:val="24"/>
        </w:rPr>
      </w:pPr>
      <w:r>
        <w:rPr>
          <w:rFonts w:eastAsiaTheme="minorEastAsia"/>
          <w:sz w:val="24"/>
        </w:rPr>
        <w:t>城乡融合发展空间</w:t>
      </w:r>
    </w:p>
    <w:p w14:paraId="7C7F6BDE" w14:textId="77777777" w:rsidR="00B14D53" w:rsidRDefault="00000000">
      <w:pPr>
        <w:autoSpaceDE w:val="0"/>
        <w:autoSpaceDN w:val="0"/>
        <w:adjustRightInd w:val="0"/>
        <w:snapToGrid w:val="0"/>
        <w:spacing w:line="360" w:lineRule="auto"/>
        <w:ind w:firstLineChars="200" w:firstLine="480"/>
        <w:jc w:val="left"/>
        <w:rPr>
          <w:rFonts w:eastAsiaTheme="minorEastAsia"/>
          <w:sz w:val="24"/>
        </w:rPr>
      </w:pPr>
      <w:r>
        <w:rPr>
          <w:rFonts w:eastAsiaTheme="minorEastAsia"/>
          <w:sz w:val="24"/>
        </w:rPr>
        <w:t>规划形成以五常镇为全域城乡融合发展核心，以哈</w:t>
      </w:r>
      <w:r>
        <w:rPr>
          <w:rFonts w:eastAsiaTheme="minorEastAsia"/>
          <w:sz w:val="24"/>
        </w:rPr>
        <w:t>—</w:t>
      </w:r>
      <w:r>
        <w:rPr>
          <w:rFonts w:eastAsiaTheme="minorEastAsia"/>
          <w:sz w:val="24"/>
        </w:rPr>
        <w:t>吉城、吉</w:t>
      </w:r>
      <w:r>
        <w:rPr>
          <w:rFonts w:eastAsiaTheme="minorEastAsia"/>
          <w:sz w:val="24"/>
        </w:rPr>
        <w:t>—</w:t>
      </w:r>
      <w:r>
        <w:rPr>
          <w:rFonts w:eastAsiaTheme="minorEastAsia"/>
          <w:sz w:val="24"/>
        </w:rPr>
        <w:t>五</w:t>
      </w:r>
      <w:r>
        <w:rPr>
          <w:rFonts w:eastAsiaTheme="minorEastAsia"/>
          <w:sz w:val="24"/>
        </w:rPr>
        <w:t>—</w:t>
      </w:r>
      <w:r>
        <w:rPr>
          <w:rFonts w:eastAsiaTheme="minorEastAsia"/>
          <w:sz w:val="24"/>
        </w:rPr>
        <w:t>黑南北、东西交通走廊为发展轴带，以北、中、南城乡融合发展片区为基础，构成五常</w:t>
      </w:r>
      <w:r>
        <w:rPr>
          <w:rFonts w:eastAsiaTheme="minorEastAsia"/>
          <w:sz w:val="24"/>
        </w:rPr>
        <w:t>“</w:t>
      </w:r>
      <w:r>
        <w:rPr>
          <w:rFonts w:eastAsiaTheme="minorEastAsia"/>
          <w:sz w:val="24"/>
        </w:rPr>
        <w:t>一核三心、两轴、三区</w:t>
      </w:r>
      <w:r>
        <w:rPr>
          <w:rFonts w:eastAsiaTheme="minorEastAsia"/>
          <w:sz w:val="24"/>
        </w:rPr>
        <w:t>”</w:t>
      </w:r>
      <w:r>
        <w:rPr>
          <w:rFonts w:eastAsiaTheme="minorEastAsia"/>
          <w:sz w:val="24"/>
        </w:rPr>
        <w:t>的城乡融合发展的空间格局</w:t>
      </w:r>
      <w:r>
        <w:rPr>
          <w:rFonts w:eastAsiaTheme="minorEastAsia" w:hint="eastAsia"/>
          <w:sz w:val="24"/>
        </w:rPr>
        <w:t>。“三区”：北部城乡融合发展片区由牛家满族镇、拉林镇、红旗乡、兴隆乡、八家子乡、营城子满族乡、背荫河镇组成；中部城乡融合发展片区由五常镇、杜家镇、安家镇、民乐朝鲜族乡、常堡乡、二河乡、卫国乡、民意乡、长山乡、兴盛乡组成；南部城乡融合发展片区由山河镇、沙河镇、向阳镇、山河屯林业局、小山子镇、龙凤山镇、冲河镇、志广乡、森工总局直属长岗实验林场组成。</w:t>
      </w:r>
    </w:p>
    <w:p w14:paraId="3F5A2427" w14:textId="77777777" w:rsidR="00B14D53" w:rsidRDefault="00000000">
      <w:pPr>
        <w:autoSpaceDE w:val="0"/>
        <w:autoSpaceDN w:val="0"/>
        <w:adjustRightInd w:val="0"/>
        <w:snapToGrid w:val="0"/>
        <w:spacing w:line="360" w:lineRule="auto"/>
        <w:ind w:firstLineChars="200" w:firstLine="480"/>
        <w:jc w:val="left"/>
        <w:rPr>
          <w:rFonts w:eastAsiaTheme="minorEastAsia"/>
          <w:sz w:val="24"/>
        </w:rPr>
      </w:pPr>
      <w:r>
        <w:rPr>
          <w:rFonts w:eastAsiaTheme="minorEastAsia" w:hint="eastAsia"/>
          <w:sz w:val="24"/>
        </w:rPr>
        <w:t>符合性分析：</w:t>
      </w:r>
    </w:p>
    <w:p w14:paraId="0029B36E" w14:textId="77777777" w:rsidR="00B14D53" w:rsidRDefault="00000000">
      <w:pPr>
        <w:autoSpaceDE w:val="0"/>
        <w:autoSpaceDN w:val="0"/>
        <w:adjustRightInd w:val="0"/>
        <w:snapToGrid w:val="0"/>
        <w:spacing w:line="360" w:lineRule="auto"/>
        <w:ind w:firstLineChars="200" w:firstLine="480"/>
        <w:jc w:val="left"/>
        <w:rPr>
          <w:rFonts w:eastAsiaTheme="minorEastAsia"/>
          <w:sz w:val="24"/>
        </w:rPr>
      </w:pPr>
      <w:r>
        <w:rPr>
          <w:rFonts w:eastAsiaTheme="minorEastAsia" w:hint="eastAsia"/>
          <w:sz w:val="24"/>
        </w:rPr>
        <w:t>本项目位于</w:t>
      </w:r>
      <w:r>
        <w:rPr>
          <w:rFonts w:eastAsiaTheme="minorEastAsia"/>
          <w:sz w:val="24"/>
        </w:rPr>
        <w:t>黑龙江省哈尔滨市五常市山河镇山河屯林业地区林业大街南</w:t>
      </w:r>
      <w:r>
        <w:rPr>
          <w:rFonts w:eastAsiaTheme="minorEastAsia"/>
          <w:sz w:val="24"/>
        </w:rPr>
        <w:t>200</w:t>
      </w:r>
      <w:r>
        <w:rPr>
          <w:rFonts w:eastAsiaTheme="minorEastAsia"/>
          <w:sz w:val="24"/>
        </w:rPr>
        <w:t>米处</w:t>
      </w:r>
      <w:r>
        <w:rPr>
          <w:rFonts w:eastAsiaTheme="minorEastAsia" w:hint="eastAsia"/>
          <w:sz w:val="24"/>
        </w:rPr>
        <w:t>，位于城乡融合发展空间中的“三区”，项目建成后年屠宰生猪</w:t>
      </w:r>
      <w:r>
        <w:rPr>
          <w:rFonts w:eastAsiaTheme="minorEastAsia" w:hint="eastAsia"/>
          <w:sz w:val="24"/>
        </w:rPr>
        <w:t>16</w:t>
      </w:r>
      <w:r>
        <w:rPr>
          <w:rFonts w:eastAsiaTheme="minorEastAsia" w:hint="eastAsia"/>
          <w:sz w:val="24"/>
        </w:rPr>
        <w:t>万头，符合规划要求。</w:t>
      </w:r>
    </w:p>
    <w:p w14:paraId="5AD52C78"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w:t>
      </w:r>
      <w:r>
        <w:rPr>
          <w:rFonts w:ascii="Times New Roman" w:eastAsia="黑体" w:hAnsi="Times New Roman" w:cs="Times New Roman" w:hint="eastAsia"/>
          <w:bCs/>
          <w:sz w:val="28"/>
          <w:szCs w:val="28"/>
        </w:rPr>
        <w:t>11</w:t>
      </w:r>
      <w:r>
        <w:rPr>
          <w:rFonts w:ascii="Times New Roman" w:eastAsia="黑体" w:hAnsi="Times New Roman" w:cs="Times New Roman"/>
          <w:bCs/>
          <w:sz w:val="28"/>
          <w:szCs w:val="28"/>
        </w:rPr>
        <w:t>与</w:t>
      </w:r>
      <w:r>
        <w:rPr>
          <w:rFonts w:ascii="Times New Roman" w:eastAsia="黑体" w:hAnsi="Times New Roman" w:cs="Times New Roman" w:hint="eastAsia"/>
          <w:bCs/>
          <w:sz w:val="28"/>
          <w:szCs w:val="28"/>
        </w:rPr>
        <w:t>“黑龙江省生态环境分区管控”</w:t>
      </w:r>
      <w:r>
        <w:rPr>
          <w:rFonts w:ascii="Times New Roman" w:eastAsia="黑体" w:hAnsi="Times New Roman" w:cs="Times New Roman"/>
          <w:bCs/>
          <w:sz w:val="28"/>
          <w:szCs w:val="28"/>
        </w:rPr>
        <w:t>符合性分析</w:t>
      </w:r>
    </w:p>
    <w:p w14:paraId="3F17E990" w14:textId="77777777" w:rsidR="00B14D53" w:rsidRDefault="00000000">
      <w:pPr>
        <w:autoSpaceDE w:val="0"/>
        <w:autoSpaceDN w:val="0"/>
        <w:adjustRightInd w:val="0"/>
        <w:snapToGrid w:val="0"/>
        <w:spacing w:line="360" w:lineRule="auto"/>
        <w:ind w:firstLineChars="200" w:firstLine="480"/>
        <w:jc w:val="left"/>
        <w:rPr>
          <w:rFonts w:eastAsiaTheme="minorEastAsia"/>
          <w:sz w:val="24"/>
        </w:rPr>
      </w:pPr>
      <w:r>
        <w:rPr>
          <w:sz w:val="24"/>
        </w:rPr>
        <w:t>经</w:t>
      </w:r>
      <w:r>
        <w:rPr>
          <w:rFonts w:hint="eastAsia"/>
          <w:sz w:val="24"/>
        </w:rPr>
        <w:t>“黑龙江</w:t>
      </w:r>
      <w:r>
        <w:rPr>
          <w:sz w:val="24"/>
        </w:rPr>
        <w:t>省生态环境分区管控数据应用平台</w:t>
      </w:r>
      <w:r>
        <w:rPr>
          <w:rFonts w:hint="eastAsia"/>
          <w:sz w:val="24"/>
        </w:rPr>
        <w:t>”</w:t>
      </w:r>
      <w:r>
        <w:rPr>
          <w:sz w:val="24"/>
        </w:rPr>
        <w:t>查询</w:t>
      </w:r>
      <w:r>
        <w:rPr>
          <w:rFonts w:eastAsiaTheme="minorEastAsia" w:hAnsiTheme="minorEastAsia"/>
          <w:sz w:val="24"/>
        </w:rPr>
        <w:t>，本工程与</w:t>
      </w:r>
      <w:r>
        <w:rPr>
          <w:rFonts w:eastAsiaTheme="minorEastAsia"/>
          <w:sz w:val="24"/>
        </w:rPr>
        <w:t>“</w:t>
      </w:r>
      <w:r>
        <w:rPr>
          <w:rFonts w:eastAsiaTheme="minorEastAsia" w:hAnsiTheme="minorEastAsia" w:hint="eastAsia"/>
          <w:sz w:val="24"/>
        </w:rPr>
        <w:t>黑龙江省生态环境分区管控</w:t>
      </w:r>
      <w:r>
        <w:rPr>
          <w:rFonts w:eastAsiaTheme="minorEastAsia"/>
          <w:sz w:val="24"/>
        </w:rPr>
        <w:t>”</w:t>
      </w:r>
      <w:r>
        <w:rPr>
          <w:rFonts w:eastAsiaTheme="minorEastAsia" w:hAnsiTheme="minorEastAsia"/>
          <w:sz w:val="24"/>
        </w:rPr>
        <w:t>符合性情况如下：</w:t>
      </w:r>
    </w:p>
    <w:p w14:paraId="136805BE" w14:textId="77777777" w:rsidR="00B14D53" w:rsidRDefault="00000000">
      <w:pPr>
        <w:autoSpaceDE w:val="0"/>
        <w:autoSpaceDN w:val="0"/>
        <w:adjustRightInd w:val="0"/>
        <w:snapToGrid w:val="0"/>
        <w:spacing w:line="360" w:lineRule="auto"/>
        <w:ind w:firstLineChars="200" w:firstLine="480"/>
        <w:jc w:val="left"/>
        <w:rPr>
          <w:rFonts w:eastAsiaTheme="minorEastAsia"/>
          <w:sz w:val="24"/>
        </w:rPr>
      </w:pPr>
      <w:r>
        <w:rPr>
          <w:rFonts w:eastAsiaTheme="minorEastAsia" w:hAnsiTheme="minorEastAsia"/>
          <w:sz w:val="24"/>
        </w:rPr>
        <w:t>（</w:t>
      </w:r>
      <w:r>
        <w:rPr>
          <w:rFonts w:eastAsiaTheme="minorEastAsia"/>
          <w:sz w:val="24"/>
        </w:rPr>
        <w:t>1</w:t>
      </w:r>
      <w:r>
        <w:rPr>
          <w:rFonts w:eastAsiaTheme="minorEastAsia" w:hAnsiTheme="minorEastAsia"/>
          <w:sz w:val="24"/>
        </w:rPr>
        <w:t>）生态保护红线</w:t>
      </w:r>
    </w:p>
    <w:p w14:paraId="18B107FE" w14:textId="77777777" w:rsidR="00B14D53" w:rsidRDefault="00000000">
      <w:pPr>
        <w:autoSpaceDE w:val="0"/>
        <w:autoSpaceDN w:val="0"/>
        <w:adjustRightInd w:val="0"/>
        <w:snapToGrid w:val="0"/>
        <w:spacing w:line="360" w:lineRule="auto"/>
        <w:ind w:firstLineChars="200" w:firstLine="480"/>
        <w:jc w:val="left"/>
        <w:rPr>
          <w:rFonts w:eastAsiaTheme="minorEastAsia"/>
          <w:sz w:val="24"/>
        </w:rPr>
      </w:pPr>
      <w:r>
        <w:rPr>
          <w:rFonts w:eastAsiaTheme="minorEastAsia" w:hAnsiTheme="minorEastAsia"/>
          <w:sz w:val="24"/>
        </w:rPr>
        <w:t>根据《</w:t>
      </w:r>
      <w:r>
        <w:rPr>
          <w:rFonts w:eastAsiaTheme="minorEastAsia" w:hAnsiTheme="minorEastAsia" w:hint="eastAsia"/>
          <w:sz w:val="24"/>
        </w:rPr>
        <w:t>五常市三元肉类加工有限公司建设项目</w:t>
      </w:r>
      <w:r>
        <w:rPr>
          <w:rFonts w:eastAsiaTheme="minorEastAsia" w:hint="eastAsia"/>
          <w:sz w:val="24"/>
        </w:rPr>
        <w:t>生态</w:t>
      </w:r>
      <w:r>
        <w:rPr>
          <w:rFonts w:eastAsiaTheme="minorEastAsia"/>
          <w:sz w:val="24"/>
        </w:rPr>
        <w:t>环境分区管控</w:t>
      </w:r>
      <w:r>
        <w:rPr>
          <w:rFonts w:eastAsiaTheme="minorEastAsia" w:hAnsiTheme="minorEastAsia"/>
          <w:sz w:val="24"/>
        </w:rPr>
        <w:t>分析报告》（见附件</w:t>
      </w:r>
      <w:r>
        <w:rPr>
          <w:rFonts w:eastAsiaTheme="minorEastAsia" w:hAnsiTheme="minorEastAsia"/>
          <w:sz w:val="24"/>
        </w:rPr>
        <w:t>5</w:t>
      </w:r>
      <w:r>
        <w:rPr>
          <w:rFonts w:eastAsiaTheme="minorEastAsia" w:hAnsiTheme="minorEastAsia"/>
          <w:sz w:val="24"/>
        </w:rPr>
        <w:t>）可知</w:t>
      </w:r>
      <w:r>
        <w:rPr>
          <w:rFonts w:eastAsiaTheme="minorEastAsia" w:hAnsiTheme="minorEastAsia" w:hint="eastAsia"/>
          <w:sz w:val="24"/>
        </w:rPr>
        <w:t>，</w:t>
      </w:r>
      <w:r>
        <w:rPr>
          <w:rFonts w:eastAsiaTheme="minorEastAsia" w:hAnsiTheme="minorEastAsia"/>
          <w:sz w:val="24"/>
        </w:rPr>
        <w:t>本项目与生态保护红线无交集。</w:t>
      </w:r>
    </w:p>
    <w:p w14:paraId="5A8C5711" w14:textId="77777777" w:rsidR="00B14D53" w:rsidRDefault="00000000">
      <w:pPr>
        <w:spacing w:line="360" w:lineRule="auto"/>
        <w:ind w:firstLineChars="200" w:firstLine="480"/>
        <w:rPr>
          <w:rFonts w:eastAsiaTheme="minorEastAsia"/>
          <w:kern w:val="0"/>
          <w:sz w:val="24"/>
          <w:szCs w:val="21"/>
        </w:rPr>
      </w:pPr>
      <w:r>
        <w:rPr>
          <w:rFonts w:eastAsiaTheme="minorEastAsia" w:hAnsiTheme="minorEastAsia"/>
          <w:kern w:val="0"/>
          <w:sz w:val="24"/>
          <w:szCs w:val="21"/>
        </w:rPr>
        <w:t>（</w:t>
      </w:r>
      <w:r>
        <w:rPr>
          <w:rFonts w:eastAsiaTheme="minorEastAsia"/>
          <w:kern w:val="0"/>
          <w:sz w:val="24"/>
          <w:szCs w:val="21"/>
        </w:rPr>
        <w:t>2</w:t>
      </w:r>
      <w:r>
        <w:rPr>
          <w:rFonts w:eastAsiaTheme="minorEastAsia" w:hAnsiTheme="minorEastAsia"/>
          <w:kern w:val="0"/>
          <w:sz w:val="24"/>
          <w:szCs w:val="21"/>
        </w:rPr>
        <w:t>）环境质量底线</w:t>
      </w:r>
    </w:p>
    <w:p w14:paraId="54F4FF11" w14:textId="77777777" w:rsidR="00B14D53" w:rsidRDefault="00000000">
      <w:pPr>
        <w:spacing w:line="360" w:lineRule="auto"/>
        <w:ind w:firstLineChars="200" w:firstLine="480"/>
        <w:rPr>
          <w:rFonts w:eastAsiaTheme="minorEastAsia"/>
          <w:kern w:val="0"/>
          <w:sz w:val="24"/>
          <w:szCs w:val="21"/>
        </w:rPr>
      </w:pPr>
      <w:r>
        <w:rPr>
          <w:rFonts w:eastAsiaTheme="minorEastAsia"/>
          <w:kern w:val="0"/>
          <w:sz w:val="24"/>
          <w:szCs w:val="21"/>
        </w:rPr>
        <w:fldChar w:fldCharType="begin"/>
      </w:r>
      <w:r>
        <w:rPr>
          <w:rFonts w:eastAsiaTheme="minorEastAsia"/>
          <w:kern w:val="0"/>
          <w:sz w:val="24"/>
          <w:szCs w:val="21"/>
        </w:rPr>
        <w:instrText xml:space="preserve"> = 1 \* GB3 </w:instrText>
      </w:r>
      <w:r>
        <w:rPr>
          <w:rFonts w:eastAsiaTheme="minorEastAsia"/>
          <w:kern w:val="0"/>
          <w:sz w:val="24"/>
          <w:szCs w:val="21"/>
        </w:rPr>
        <w:fldChar w:fldCharType="separate"/>
      </w:r>
      <w:r>
        <w:rPr>
          <w:rFonts w:eastAsiaTheme="minorEastAsia" w:hAnsiTheme="minorEastAsia"/>
          <w:kern w:val="0"/>
          <w:sz w:val="24"/>
          <w:szCs w:val="21"/>
        </w:rPr>
        <w:t>①</w:t>
      </w:r>
      <w:r>
        <w:rPr>
          <w:rFonts w:eastAsiaTheme="minorEastAsia"/>
          <w:kern w:val="0"/>
          <w:sz w:val="24"/>
          <w:szCs w:val="21"/>
        </w:rPr>
        <w:fldChar w:fldCharType="end"/>
      </w:r>
      <w:r>
        <w:rPr>
          <w:rFonts w:eastAsiaTheme="minorEastAsia" w:hAnsiTheme="minorEastAsia"/>
          <w:kern w:val="0"/>
          <w:sz w:val="24"/>
          <w:szCs w:val="21"/>
        </w:rPr>
        <w:t>大气</w:t>
      </w:r>
    </w:p>
    <w:p w14:paraId="55EA0B7D" w14:textId="77777777" w:rsidR="00B14D53" w:rsidRDefault="00000000">
      <w:pPr>
        <w:spacing w:line="360" w:lineRule="auto"/>
        <w:ind w:firstLineChars="200" w:firstLine="480"/>
        <w:rPr>
          <w:rFonts w:eastAsiaTheme="minorEastAsia" w:hAnsiTheme="minorEastAsia" w:hint="eastAsia"/>
          <w:kern w:val="0"/>
          <w:sz w:val="24"/>
          <w:szCs w:val="21"/>
        </w:rPr>
      </w:pPr>
      <w:r>
        <w:rPr>
          <w:rFonts w:eastAsiaTheme="minorEastAsia" w:hAnsiTheme="minorEastAsia"/>
          <w:kern w:val="0"/>
          <w:sz w:val="24"/>
          <w:szCs w:val="21"/>
        </w:rPr>
        <w:t>根据《</w:t>
      </w:r>
      <w:r>
        <w:rPr>
          <w:rFonts w:eastAsiaTheme="minorEastAsia" w:hAnsiTheme="minorEastAsia" w:hint="eastAsia"/>
          <w:kern w:val="0"/>
          <w:sz w:val="24"/>
          <w:szCs w:val="21"/>
        </w:rPr>
        <w:t>五常市三元肉类加工有限公司建设项目生态</w:t>
      </w:r>
      <w:r>
        <w:rPr>
          <w:rFonts w:eastAsiaTheme="minorEastAsia" w:hAnsiTheme="minorEastAsia"/>
          <w:kern w:val="0"/>
          <w:sz w:val="24"/>
          <w:szCs w:val="21"/>
        </w:rPr>
        <w:t>环境分区管控分析报告》（见附件</w:t>
      </w:r>
      <w:r>
        <w:rPr>
          <w:rFonts w:eastAsiaTheme="minorEastAsia" w:hAnsiTheme="minorEastAsia"/>
          <w:kern w:val="0"/>
          <w:sz w:val="24"/>
          <w:szCs w:val="21"/>
        </w:rPr>
        <w:t>5</w:t>
      </w:r>
      <w:r>
        <w:rPr>
          <w:rFonts w:eastAsiaTheme="minorEastAsia" w:hAnsiTheme="minorEastAsia"/>
          <w:kern w:val="0"/>
          <w:sz w:val="24"/>
          <w:szCs w:val="21"/>
        </w:rPr>
        <w:t>）可知</w:t>
      </w:r>
      <w:r>
        <w:rPr>
          <w:rFonts w:eastAsiaTheme="minorEastAsia" w:hAnsiTheme="minorEastAsia" w:hint="eastAsia"/>
          <w:kern w:val="0"/>
          <w:sz w:val="24"/>
          <w:szCs w:val="21"/>
        </w:rPr>
        <w:t>，</w:t>
      </w:r>
      <w:r>
        <w:rPr>
          <w:sz w:val="24"/>
        </w:rPr>
        <w:t>本项目位于</w:t>
      </w:r>
      <w:r>
        <w:rPr>
          <w:rFonts w:hint="eastAsia"/>
          <w:sz w:val="24"/>
        </w:rPr>
        <w:t>五常市大气环境受体敏感重点管控区、五常市大气一般管控区</w:t>
      </w:r>
      <w:r>
        <w:rPr>
          <w:rFonts w:eastAsiaTheme="minorEastAsia" w:hAnsiTheme="minorEastAsia"/>
          <w:kern w:val="0"/>
          <w:sz w:val="24"/>
          <w:szCs w:val="21"/>
        </w:rPr>
        <w:t>。本项目</w:t>
      </w:r>
      <w:r>
        <w:rPr>
          <w:rFonts w:eastAsiaTheme="minorEastAsia" w:hAnsiTheme="minorEastAsia" w:hint="eastAsia"/>
          <w:kern w:val="0"/>
          <w:sz w:val="24"/>
          <w:szCs w:val="21"/>
        </w:rPr>
        <w:t>产生的废气采取报告中环保措施后均可做到达标排放，</w:t>
      </w:r>
      <w:r>
        <w:rPr>
          <w:rFonts w:eastAsiaTheme="minorEastAsia" w:hAnsiTheme="minorEastAsia"/>
          <w:kern w:val="0"/>
          <w:sz w:val="24"/>
          <w:szCs w:val="21"/>
        </w:rPr>
        <w:t>不会对大气环境质量现状造成不良影响，能够满足</w:t>
      </w:r>
      <w:r>
        <w:rPr>
          <w:rFonts w:eastAsiaTheme="minorEastAsia" w:hAnsiTheme="minorEastAsia" w:hint="eastAsia"/>
          <w:kern w:val="0"/>
          <w:sz w:val="24"/>
          <w:szCs w:val="21"/>
        </w:rPr>
        <w:t>哈尔滨</w:t>
      </w:r>
      <w:r>
        <w:rPr>
          <w:rFonts w:eastAsiaTheme="minorEastAsia" w:hAnsiTheme="minorEastAsia"/>
          <w:kern w:val="0"/>
          <w:sz w:val="24"/>
          <w:szCs w:val="21"/>
        </w:rPr>
        <w:t>市大气环境质量底线要求。</w:t>
      </w:r>
    </w:p>
    <w:p w14:paraId="0EC78BDC" w14:textId="77777777" w:rsidR="00B14D53" w:rsidRDefault="00000000">
      <w:pPr>
        <w:spacing w:line="360" w:lineRule="auto"/>
        <w:ind w:firstLineChars="200" w:firstLine="480"/>
        <w:rPr>
          <w:rFonts w:eastAsiaTheme="minorEastAsia"/>
          <w:kern w:val="0"/>
          <w:sz w:val="24"/>
          <w:szCs w:val="21"/>
        </w:rPr>
      </w:pPr>
      <w:r>
        <w:rPr>
          <w:rFonts w:eastAsiaTheme="minorEastAsia"/>
          <w:kern w:val="0"/>
          <w:sz w:val="24"/>
          <w:szCs w:val="21"/>
        </w:rPr>
        <w:fldChar w:fldCharType="begin"/>
      </w:r>
      <w:r>
        <w:rPr>
          <w:rFonts w:eastAsiaTheme="minorEastAsia"/>
          <w:kern w:val="0"/>
          <w:sz w:val="24"/>
          <w:szCs w:val="21"/>
        </w:rPr>
        <w:instrText xml:space="preserve"> = 2 \* GB3 </w:instrText>
      </w:r>
      <w:r>
        <w:rPr>
          <w:rFonts w:eastAsiaTheme="minorEastAsia"/>
          <w:kern w:val="0"/>
          <w:sz w:val="24"/>
          <w:szCs w:val="21"/>
        </w:rPr>
        <w:fldChar w:fldCharType="separate"/>
      </w:r>
      <w:r>
        <w:rPr>
          <w:rFonts w:eastAsiaTheme="minorEastAsia" w:hAnsiTheme="minorEastAsia"/>
          <w:kern w:val="0"/>
          <w:sz w:val="24"/>
          <w:szCs w:val="21"/>
        </w:rPr>
        <w:t>②</w:t>
      </w:r>
      <w:r>
        <w:rPr>
          <w:rFonts w:eastAsiaTheme="minorEastAsia"/>
          <w:kern w:val="0"/>
          <w:sz w:val="24"/>
          <w:szCs w:val="21"/>
        </w:rPr>
        <w:fldChar w:fldCharType="end"/>
      </w:r>
      <w:r>
        <w:rPr>
          <w:rFonts w:eastAsiaTheme="minorEastAsia" w:hAnsiTheme="minorEastAsia"/>
          <w:kern w:val="0"/>
          <w:sz w:val="24"/>
          <w:szCs w:val="21"/>
        </w:rPr>
        <w:t>水环境</w:t>
      </w:r>
    </w:p>
    <w:p w14:paraId="184D3B69" w14:textId="77777777" w:rsidR="00B14D53" w:rsidRDefault="00000000">
      <w:pPr>
        <w:spacing w:line="360" w:lineRule="auto"/>
        <w:ind w:firstLineChars="200" w:firstLine="480"/>
        <w:rPr>
          <w:rFonts w:eastAsiaTheme="minorEastAsia"/>
          <w:bCs/>
          <w:kern w:val="0"/>
          <w:sz w:val="24"/>
          <w:szCs w:val="21"/>
        </w:rPr>
      </w:pPr>
      <w:r>
        <w:rPr>
          <w:rFonts w:eastAsiaTheme="minorEastAsia" w:hAnsiTheme="minorEastAsia"/>
          <w:kern w:val="0"/>
          <w:sz w:val="24"/>
          <w:szCs w:val="21"/>
        </w:rPr>
        <w:t>根据《</w:t>
      </w:r>
      <w:r>
        <w:rPr>
          <w:rFonts w:eastAsiaTheme="minorEastAsia" w:hAnsiTheme="minorEastAsia" w:hint="eastAsia"/>
          <w:kern w:val="0"/>
          <w:sz w:val="24"/>
          <w:szCs w:val="21"/>
        </w:rPr>
        <w:t>五常市三元肉类加工有限公司建设项目生态</w:t>
      </w:r>
      <w:r>
        <w:rPr>
          <w:rFonts w:eastAsiaTheme="minorEastAsia" w:hAnsiTheme="minorEastAsia"/>
          <w:kern w:val="0"/>
          <w:sz w:val="24"/>
          <w:szCs w:val="21"/>
        </w:rPr>
        <w:t>环境分区管控分析报告》（见附件</w:t>
      </w:r>
      <w:r>
        <w:rPr>
          <w:rFonts w:eastAsiaTheme="minorEastAsia" w:hAnsiTheme="minorEastAsia"/>
          <w:kern w:val="0"/>
          <w:sz w:val="24"/>
          <w:szCs w:val="21"/>
        </w:rPr>
        <w:t>5</w:t>
      </w:r>
      <w:r>
        <w:rPr>
          <w:rFonts w:eastAsiaTheme="minorEastAsia" w:hAnsiTheme="minorEastAsia"/>
          <w:kern w:val="0"/>
          <w:sz w:val="24"/>
          <w:szCs w:val="21"/>
        </w:rPr>
        <w:t>）可知</w:t>
      </w:r>
      <w:r>
        <w:rPr>
          <w:rFonts w:eastAsiaTheme="minorEastAsia" w:hAnsiTheme="minorEastAsia" w:hint="eastAsia"/>
          <w:kern w:val="0"/>
          <w:sz w:val="24"/>
          <w:szCs w:val="21"/>
        </w:rPr>
        <w:t>，</w:t>
      </w:r>
      <w:r>
        <w:rPr>
          <w:sz w:val="24"/>
        </w:rPr>
        <w:t>本项目位于</w:t>
      </w:r>
      <w:r>
        <w:rPr>
          <w:rFonts w:hint="eastAsia"/>
          <w:sz w:val="24"/>
        </w:rPr>
        <w:t>水环境一般</w:t>
      </w:r>
      <w:r>
        <w:rPr>
          <w:sz w:val="24"/>
        </w:rPr>
        <w:t>管控区（</w:t>
      </w:r>
      <w:r>
        <w:rPr>
          <w:rFonts w:hint="eastAsia"/>
          <w:sz w:val="24"/>
        </w:rPr>
        <w:t>拉林河溪浪河东进村五常市</w:t>
      </w:r>
      <w:r>
        <w:rPr>
          <w:sz w:val="24"/>
        </w:rPr>
        <w:t>）</w:t>
      </w:r>
      <w:r>
        <w:rPr>
          <w:rFonts w:eastAsiaTheme="minorEastAsia" w:hAnsiTheme="minorEastAsia"/>
          <w:bCs/>
          <w:kern w:val="0"/>
          <w:sz w:val="24"/>
          <w:szCs w:val="21"/>
        </w:rPr>
        <w:t>。</w:t>
      </w:r>
      <w:r>
        <w:rPr>
          <w:rFonts w:eastAsiaTheme="minorEastAsia" w:hAnsiTheme="minorEastAsia"/>
          <w:kern w:val="0"/>
          <w:sz w:val="24"/>
          <w:szCs w:val="21"/>
        </w:rPr>
        <w:t>本项目</w:t>
      </w:r>
      <w:r>
        <w:rPr>
          <w:rFonts w:eastAsiaTheme="minorEastAsia" w:hAnsiTheme="minorEastAsia" w:hint="eastAsia"/>
          <w:kern w:val="0"/>
          <w:sz w:val="24"/>
          <w:szCs w:val="21"/>
        </w:rPr>
        <w:t>生产废水经厂内自建污水处理站处理后排入市政管网</w:t>
      </w:r>
      <w:r>
        <w:rPr>
          <w:rFonts w:eastAsiaTheme="minorEastAsia" w:hAnsiTheme="minorEastAsia"/>
          <w:kern w:val="0"/>
          <w:sz w:val="24"/>
          <w:szCs w:val="21"/>
        </w:rPr>
        <w:t>，不会对地表水和地下水环境造成影响，因此不会对区域水环境造成影响，符合</w:t>
      </w:r>
      <w:r>
        <w:rPr>
          <w:rFonts w:eastAsiaTheme="minorEastAsia" w:hAnsiTheme="minorEastAsia" w:hint="eastAsia"/>
          <w:kern w:val="0"/>
          <w:sz w:val="24"/>
          <w:szCs w:val="21"/>
        </w:rPr>
        <w:t>哈尔滨</w:t>
      </w:r>
      <w:r>
        <w:rPr>
          <w:rFonts w:eastAsiaTheme="minorEastAsia" w:hAnsiTheme="minorEastAsia"/>
          <w:kern w:val="0"/>
          <w:sz w:val="24"/>
          <w:szCs w:val="21"/>
        </w:rPr>
        <w:t>市水环境质量底线要求。</w:t>
      </w:r>
    </w:p>
    <w:p w14:paraId="65ECDF5E" w14:textId="77777777" w:rsidR="00B14D53" w:rsidRDefault="00000000">
      <w:pPr>
        <w:spacing w:line="360" w:lineRule="auto"/>
        <w:ind w:firstLineChars="200" w:firstLine="480"/>
        <w:rPr>
          <w:rFonts w:eastAsiaTheme="minorEastAsia"/>
          <w:kern w:val="0"/>
          <w:sz w:val="24"/>
          <w:szCs w:val="21"/>
        </w:rPr>
      </w:pPr>
      <w:r>
        <w:rPr>
          <w:rFonts w:eastAsiaTheme="minorEastAsia" w:hAnsiTheme="minorEastAsia"/>
          <w:kern w:val="0"/>
          <w:sz w:val="24"/>
          <w:szCs w:val="21"/>
        </w:rPr>
        <w:t>（</w:t>
      </w:r>
      <w:r>
        <w:rPr>
          <w:rFonts w:eastAsiaTheme="minorEastAsia"/>
          <w:kern w:val="0"/>
          <w:sz w:val="24"/>
          <w:szCs w:val="21"/>
        </w:rPr>
        <w:t>3</w:t>
      </w:r>
      <w:r>
        <w:rPr>
          <w:rFonts w:eastAsiaTheme="minorEastAsia" w:hAnsiTheme="minorEastAsia"/>
          <w:kern w:val="0"/>
          <w:sz w:val="24"/>
          <w:szCs w:val="21"/>
        </w:rPr>
        <w:t>）资源利用上线</w:t>
      </w:r>
    </w:p>
    <w:p w14:paraId="4B420A24"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本项目</w:t>
      </w:r>
      <w:r>
        <w:rPr>
          <w:rFonts w:eastAsiaTheme="minorEastAsia" w:hAnsiTheme="minorEastAsia" w:hint="eastAsia"/>
          <w:sz w:val="24"/>
        </w:rPr>
        <w:t>位于五常市</w:t>
      </w:r>
      <w:r>
        <w:rPr>
          <w:rFonts w:eastAsiaTheme="minorEastAsia" w:hAnsiTheme="minorEastAsia"/>
          <w:sz w:val="24"/>
        </w:rPr>
        <w:t>自然资源一般管控区</w:t>
      </w:r>
      <w:r>
        <w:rPr>
          <w:rFonts w:eastAsiaTheme="minorEastAsia" w:hAnsiTheme="minorEastAsia" w:hint="eastAsia"/>
          <w:sz w:val="24"/>
        </w:rPr>
        <w:t>，</w:t>
      </w:r>
      <w:r>
        <w:rPr>
          <w:rFonts w:eastAsiaTheme="minorEastAsia" w:hAnsiTheme="minorEastAsia"/>
          <w:sz w:val="24"/>
        </w:rPr>
        <w:t>本项目用水由</w:t>
      </w:r>
      <w:r>
        <w:rPr>
          <w:rFonts w:eastAsiaTheme="minorEastAsia" w:hAnsiTheme="minorEastAsia" w:hint="eastAsia"/>
          <w:sz w:val="24"/>
        </w:rPr>
        <w:t>市政管网</w:t>
      </w:r>
      <w:r>
        <w:rPr>
          <w:rFonts w:eastAsiaTheme="minorEastAsia" w:hAnsiTheme="minorEastAsia"/>
          <w:sz w:val="24"/>
        </w:rPr>
        <w:t>提供</w:t>
      </w:r>
      <w:r>
        <w:rPr>
          <w:rFonts w:eastAsiaTheme="minorEastAsia" w:hAnsiTheme="minorEastAsia" w:hint="eastAsia"/>
          <w:sz w:val="24"/>
        </w:rPr>
        <w:t>，</w:t>
      </w:r>
      <w:r>
        <w:rPr>
          <w:rFonts w:eastAsiaTheme="minorEastAsia" w:hAnsiTheme="minorEastAsia"/>
          <w:sz w:val="24"/>
        </w:rPr>
        <w:t>不属于高水耗，高能耗行业，生产过程中提高用水效率，减少对水资源的消耗。本项目选址土地为</w:t>
      </w:r>
      <w:r>
        <w:rPr>
          <w:rFonts w:eastAsiaTheme="minorEastAsia" w:hAnsiTheme="minorEastAsia" w:hint="eastAsia"/>
          <w:sz w:val="24"/>
        </w:rPr>
        <w:t>工业仓储用地</w:t>
      </w:r>
      <w:r>
        <w:rPr>
          <w:rFonts w:eastAsiaTheme="minorEastAsia" w:hAnsiTheme="minorEastAsia"/>
          <w:sz w:val="24"/>
        </w:rPr>
        <w:t>，</w:t>
      </w:r>
      <w:r>
        <w:rPr>
          <w:rFonts w:eastAsiaTheme="minorEastAsia" w:hAnsiTheme="minorEastAsia" w:hint="eastAsia"/>
          <w:sz w:val="24"/>
        </w:rPr>
        <w:t>符合当地规划且</w:t>
      </w:r>
      <w:r>
        <w:rPr>
          <w:rFonts w:eastAsiaTheme="minorEastAsia" w:hAnsiTheme="minorEastAsia"/>
          <w:sz w:val="24"/>
        </w:rPr>
        <w:t>不占用基本农田。本项目生产不使用煤、天然气等能源，综上，本项目符合</w:t>
      </w:r>
      <w:r>
        <w:rPr>
          <w:rFonts w:eastAsiaTheme="minorEastAsia" w:hAnsiTheme="minorEastAsia" w:hint="eastAsia"/>
          <w:sz w:val="24"/>
        </w:rPr>
        <w:t>哈尔滨</w:t>
      </w:r>
      <w:r>
        <w:rPr>
          <w:rFonts w:eastAsiaTheme="minorEastAsia" w:hAnsiTheme="minorEastAsia"/>
          <w:sz w:val="24"/>
        </w:rPr>
        <w:t>市资源利用上线要求。</w:t>
      </w:r>
    </w:p>
    <w:p w14:paraId="3F8BDD9F" w14:textId="77777777" w:rsidR="00B14D53" w:rsidRDefault="00000000">
      <w:pPr>
        <w:spacing w:line="360" w:lineRule="auto"/>
        <w:ind w:firstLineChars="200" w:firstLine="480"/>
        <w:rPr>
          <w:rFonts w:eastAsiaTheme="minorEastAsia" w:hAnsiTheme="minorEastAsia" w:hint="eastAsia"/>
          <w:kern w:val="0"/>
          <w:sz w:val="24"/>
          <w:szCs w:val="21"/>
        </w:rPr>
      </w:pPr>
      <w:r>
        <w:rPr>
          <w:rFonts w:eastAsiaTheme="minorEastAsia" w:hAnsiTheme="minorEastAsia"/>
          <w:kern w:val="0"/>
          <w:sz w:val="24"/>
          <w:szCs w:val="21"/>
        </w:rPr>
        <w:t>（</w:t>
      </w:r>
      <w:r>
        <w:rPr>
          <w:rFonts w:eastAsiaTheme="minorEastAsia" w:hAnsiTheme="minorEastAsia"/>
          <w:kern w:val="0"/>
          <w:sz w:val="24"/>
          <w:szCs w:val="21"/>
        </w:rPr>
        <w:t>4</w:t>
      </w:r>
      <w:r>
        <w:rPr>
          <w:rFonts w:eastAsiaTheme="minorEastAsia" w:hAnsiTheme="minorEastAsia"/>
          <w:kern w:val="0"/>
          <w:sz w:val="24"/>
          <w:szCs w:val="21"/>
        </w:rPr>
        <w:t>）生态环境准入清单</w:t>
      </w:r>
    </w:p>
    <w:p w14:paraId="73C1EEBB" w14:textId="77777777" w:rsidR="00B14D53" w:rsidRDefault="00000000">
      <w:pPr>
        <w:spacing w:line="360" w:lineRule="auto"/>
        <w:ind w:firstLineChars="200" w:firstLine="480"/>
        <w:rPr>
          <w:rFonts w:hAnsi="宋体" w:hint="eastAsia"/>
          <w:sz w:val="24"/>
        </w:rPr>
      </w:pPr>
      <w:r>
        <w:rPr>
          <w:rFonts w:eastAsiaTheme="minorEastAsia" w:hAnsiTheme="minorEastAsia"/>
          <w:kern w:val="0"/>
          <w:sz w:val="24"/>
          <w:szCs w:val="21"/>
        </w:rPr>
        <w:t>经</w:t>
      </w:r>
      <w:r>
        <w:rPr>
          <w:rFonts w:eastAsiaTheme="minorEastAsia" w:hAnsiTheme="minorEastAsia" w:hint="eastAsia"/>
          <w:kern w:val="0"/>
          <w:sz w:val="24"/>
          <w:szCs w:val="21"/>
        </w:rPr>
        <w:t>“黑龙江</w:t>
      </w:r>
      <w:r>
        <w:rPr>
          <w:rFonts w:eastAsiaTheme="minorEastAsia" w:hAnsiTheme="minorEastAsia"/>
          <w:kern w:val="0"/>
          <w:sz w:val="24"/>
          <w:szCs w:val="21"/>
        </w:rPr>
        <w:t>省生态环境分区管控数据应用平台</w:t>
      </w:r>
      <w:r>
        <w:rPr>
          <w:rFonts w:eastAsiaTheme="minorEastAsia" w:hAnsiTheme="minorEastAsia" w:hint="eastAsia"/>
          <w:kern w:val="0"/>
          <w:sz w:val="24"/>
          <w:szCs w:val="21"/>
        </w:rPr>
        <w:t>”</w:t>
      </w:r>
      <w:r>
        <w:rPr>
          <w:rFonts w:eastAsiaTheme="minorEastAsia" w:hAnsiTheme="minorEastAsia"/>
          <w:kern w:val="0"/>
          <w:sz w:val="24"/>
          <w:szCs w:val="21"/>
        </w:rPr>
        <w:t>查询，本项目环境管控单</w:t>
      </w:r>
      <w:r>
        <w:rPr>
          <w:rFonts w:eastAsiaTheme="minorEastAsia" w:hAnsiTheme="minorEastAsia" w:hint="eastAsia"/>
          <w:kern w:val="0"/>
          <w:sz w:val="24"/>
          <w:szCs w:val="21"/>
        </w:rPr>
        <w:t>元</w:t>
      </w:r>
      <w:r>
        <w:rPr>
          <w:rFonts w:eastAsiaTheme="minorEastAsia" w:hAnsiTheme="minorEastAsia"/>
          <w:kern w:val="0"/>
          <w:sz w:val="24"/>
          <w:szCs w:val="21"/>
        </w:rPr>
        <w:t>为</w:t>
      </w:r>
      <w:r>
        <w:rPr>
          <w:rFonts w:eastAsiaTheme="minorEastAsia" w:hAnsiTheme="minorEastAsia" w:hint="eastAsia"/>
          <w:kern w:val="0"/>
          <w:sz w:val="24"/>
          <w:szCs w:val="21"/>
        </w:rPr>
        <w:t>五常市城镇空间、五常</w:t>
      </w:r>
      <w:r>
        <w:rPr>
          <w:rFonts w:eastAsiaTheme="minorEastAsia" w:hAnsiTheme="minorEastAsia"/>
          <w:kern w:val="0"/>
          <w:sz w:val="24"/>
          <w:szCs w:val="21"/>
        </w:rPr>
        <w:t>市其他区域，本项目与</w:t>
      </w:r>
      <w:r>
        <w:rPr>
          <w:rFonts w:eastAsiaTheme="minorEastAsia" w:hAnsiTheme="minorEastAsia" w:hint="eastAsia"/>
          <w:kern w:val="0"/>
          <w:sz w:val="24"/>
          <w:szCs w:val="21"/>
        </w:rPr>
        <w:t>《哈尔滨</w:t>
      </w:r>
      <w:r>
        <w:rPr>
          <w:rFonts w:eastAsiaTheme="minorEastAsia" w:hAnsiTheme="minorEastAsia"/>
          <w:kern w:val="0"/>
          <w:sz w:val="24"/>
          <w:szCs w:val="21"/>
        </w:rPr>
        <w:t>市生态环境准入清单</w:t>
      </w:r>
      <w:r>
        <w:rPr>
          <w:rFonts w:eastAsiaTheme="minorEastAsia" w:hAnsiTheme="minorEastAsia" w:hint="eastAsia"/>
          <w:kern w:val="0"/>
          <w:sz w:val="24"/>
          <w:szCs w:val="21"/>
        </w:rPr>
        <w:t>》（</w:t>
      </w:r>
      <w:r>
        <w:rPr>
          <w:rFonts w:eastAsiaTheme="minorEastAsia" w:hAnsiTheme="minorEastAsia" w:hint="eastAsia"/>
          <w:kern w:val="0"/>
          <w:sz w:val="24"/>
          <w:szCs w:val="21"/>
        </w:rPr>
        <w:t>2</w:t>
      </w:r>
      <w:r>
        <w:rPr>
          <w:rFonts w:eastAsiaTheme="minorEastAsia" w:hAnsiTheme="minorEastAsia"/>
          <w:kern w:val="0"/>
          <w:sz w:val="24"/>
          <w:szCs w:val="21"/>
        </w:rPr>
        <w:t>02</w:t>
      </w:r>
      <w:r>
        <w:rPr>
          <w:rFonts w:eastAsiaTheme="minorEastAsia" w:hAnsiTheme="minorEastAsia" w:hint="eastAsia"/>
          <w:kern w:val="0"/>
          <w:sz w:val="24"/>
          <w:szCs w:val="21"/>
        </w:rPr>
        <w:t>4</w:t>
      </w:r>
      <w:r>
        <w:rPr>
          <w:rFonts w:eastAsiaTheme="minorEastAsia" w:hAnsiTheme="minorEastAsia" w:hint="eastAsia"/>
          <w:kern w:val="0"/>
          <w:sz w:val="24"/>
          <w:szCs w:val="21"/>
        </w:rPr>
        <w:t>年版）（具体见附件</w:t>
      </w:r>
      <w:r>
        <w:rPr>
          <w:rFonts w:eastAsiaTheme="minorEastAsia" w:hAnsiTheme="minorEastAsia" w:hint="eastAsia"/>
          <w:kern w:val="0"/>
          <w:sz w:val="24"/>
          <w:szCs w:val="21"/>
        </w:rPr>
        <w:t>5</w:t>
      </w:r>
      <w:r>
        <w:rPr>
          <w:rFonts w:eastAsiaTheme="minorEastAsia" w:hAnsiTheme="minorEastAsia" w:hint="eastAsia"/>
          <w:kern w:val="0"/>
          <w:sz w:val="24"/>
          <w:szCs w:val="21"/>
        </w:rPr>
        <w:t>）</w:t>
      </w:r>
      <w:r>
        <w:rPr>
          <w:rFonts w:eastAsiaTheme="minorEastAsia" w:hAnsiTheme="minorEastAsia"/>
          <w:kern w:val="0"/>
          <w:sz w:val="24"/>
          <w:szCs w:val="21"/>
        </w:rPr>
        <w:t>符合性分析</w:t>
      </w:r>
      <w:r>
        <w:rPr>
          <w:rFonts w:hAnsi="宋体"/>
          <w:sz w:val="24"/>
        </w:rPr>
        <w:t>见下表。</w:t>
      </w:r>
    </w:p>
    <w:p w14:paraId="71F07132" w14:textId="77777777" w:rsidR="00B14D53" w:rsidRDefault="00000000">
      <w:pPr>
        <w:jc w:val="center"/>
        <w:rPr>
          <w:b/>
          <w:bCs/>
        </w:rPr>
      </w:pPr>
      <w:r>
        <w:rPr>
          <w:b/>
          <w:bCs/>
        </w:rPr>
        <w:t>表</w:t>
      </w:r>
      <w:r>
        <w:rPr>
          <w:b/>
          <w:bCs/>
        </w:rPr>
        <w:t>1-4-</w:t>
      </w:r>
      <w:r>
        <w:rPr>
          <w:rFonts w:hint="eastAsia"/>
          <w:b/>
          <w:bCs/>
        </w:rPr>
        <w:t xml:space="preserve">5 </w:t>
      </w:r>
      <w:r>
        <w:rPr>
          <w:rFonts w:hint="eastAsia"/>
          <w:b/>
          <w:bCs/>
        </w:rPr>
        <w:t>本项目</w:t>
      </w:r>
      <w:r>
        <w:rPr>
          <w:b/>
          <w:bCs/>
        </w:rPr>
        <w:t>生态环境准入清单管控要求符合性分析</w:t>
      </w:r>
    </w:p>
    <w:tbl>
      <w:tblPr>
        <w:tblStyle w:val="aff8"/>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4"/>
        <w:gridCol w:w="1734"/>
        <w:gridCol w:w="3157"/>
        <w:gridCol w:w="2351"/>
      </w:tblGrid>
      <w:tr w:rsidR="00B14D53" w14:paraId="6F53A27D" w14:textId="77777777">
        <w:tc>
          <w:tcPr>
            <w:tcW w:w="2840" w:type="dxa"/>
            <w:gridSpan w:val="2"/>
            <w:vAlign w:val="center"/>
          </w:tcPr>
          <w:p w14:paraId="30336F58" w14:textId="77777777" w:rsidR="00B14D53" w:rsidRDefault="00000000">
            <w:pPr>
              <w:jc w:val="center"/>
              <w:rPr>
                <w:rFonts w:eastAsiaTheme="minorEastAsia"/>
                <w:b/>
                <w:bCs/>
                <w:sz w:val="24"/>
              </w:rPr>
            </w:pPr>
            <w:r>
              <w:rPr>
                <w:b/>
                <w:bCs/>
                <w:szCs w:val="21"/>
              </w:rPr>
              <w:t>环境管控单元编码</w:t>
            </w:r>
          </w:p>
        </w:tc>
        <w:tc>
          <w:tcPr>
            <w:tcW w:w="3259" w:type="dxa"/>
            <w:vAlign w:val="center"/>
          </w:tcPr>
          <w:p w14:paraId="40435743" w14:textId="77777777" w:rsidR="00B14D53" w:rsidRDefault="00000000">
            <w:pPr>
              <w:jc w:val="center"/>
              <w:rPr>
                <w:rFonts w:eastAsiaTheme="minorEastAsia"/>
                <w:b/>
                <w:bCs/>
                <w:sz w:val="24"/>
              </w:rPr>
            </w:pPr>
            <w:r>
              <w:rPr>
                <w:b/>
                <w:bCs/>
                <w:szCs w:val="21"/>
              </w:rPr>
              <w:t>环境管控单元名称</w:t>
            </w:r>
          </w:p>
        </w:tc>
        <w:tc>
          <w:tcPr>
            <w:tcW w:w="2423" w:type="dxa"/>
            <w:vAlign w:val="center"/>
          </w:tcPr>
          <w:p w14:paraId="72778C70" w14:textId="77777777" w:rsidR="00B14D53" w:rsidRDefault="00000000">
            <w:pPr>
              <w:jc w:val="center"/>
              <w:rPr>
                <w:rFonts w:eastAsiaTheme="minorEastAsia"/>
                <w:b/>
                <w:bCs/>
                <w:sz w:val="24"/>
              </w:rPr>
            </w:pPr>
            <w:r>
              <w:rPr>
                <w:b/>
                <w:bCs/>
                <w:szCs w:val="21"/>
              </w:rPr>
              <w:t>环境管控单元类型</w:t>
            </w:r>
          </w:p>
        </w:tc>
      </w:tr>
      <w:tr w:rsidR="00B14D53" w14:paraId="36F056FF" w14:textId="77777777">
        <w:tc>
          <w:tcPr>
            <w:tcW w:w="2840" w:type="dxa"/>
            <w:gridSpan w:val="2"/>
            <w:vAlign w:val="center"/>
          </w:tcPr>
          <w:p w14:paraId="768D94B6" w14:textId="77777777" w:rsidR="00B14D53" w:rsidRDefault="00000000">
            <w:pPr>
              <w:jc w:val="center"/>
              <w:rPr>
                <w:rFonts w:eastAsiaTheme="minorEastAsia"/>
                <w:b/>
                <w:sz w:val="24"/>
              </w:rPr>
            </w:pPr>
            <w:r>
              <w:rPr>
                <w:kern w:val="0"/>
                <w:szCs w:val="21"/>
              </w:rPr>
              <w:t>ZH23018420002</w:t>
            </w:r>
          </w:p>
        </w:tc>
        <w:tc>
          <w:tcPr>
            <w:tcW w:w="3259" w:type="dxa"/>
            <w:vAlign w:val="center"/>
          </w:tcPr>
          <w:p w14:paraId="308EFB56" w14:textId="77777777" w:rsidR="00B14D53" w:rsidRDefault="00000000">
            <w:pPr>
              <w:jc w:val="center"/>
              <w:rPr>
                <w:rFonts w:eastAsiaTheme="minorEastAsia"/>
                <w:b/>
                <w:sz w:val="24"/>
              </w:rPr>
            </w:pPr>
            <w:r>
              <w:rPr>
                <w:kern w:val="0"/>
                <w:szCs w:val="21"/>
              </w:rPr>
              <w:t>五常市城镇空间</w:t>
            </w:r>
          </w:p>
        </w:tc>
        <w:tc>
          <w:tcPr>
            <w:tcW w:w="2423" w:type="dxa"/>
            <w:vAlign w:val="center"/>
          </w:tcPr>
          <w:p w14:paraId="784CD766" w14:textId="77777777" w:rsidR="00B14D53" w:rsidRDefault="00000000">
            <w:pPr>
              <w:jc w:val="center"/>
              <w:rPr>
                <w:rFonts w:eastAsiaTheme="minorEastAsia"/>
                <w:b/>
                <w:sz w:val="24"/>
              </w:rPr>
            </w:pPr>
            <w:r>
              <w:rPr>
                <w:kern w:val="0"/>
                <w:szCs w:val="21"/>
              </w:rPr>
              <w:t>重点管控单元</w:t>
            </w:r>
          </w:p>
        </w:tc>
      </w:tr>
      <w:tr w:rsidR="00B14D53" w14:paraId="066220C9" w14:textId="77777777">
        <w:tc>
          <w:tcPr>
            <w:tcW w:w="6099" w:type="dxa"/>
            <w:gridSpan w:val="3"/>
            <w:vAlign w:val="center"/>
          </w:tcPr>
          <w:p w14:paraId="3D4640B0" w14:textId="77777777" w:rsidR="00B14D53" w:rsidRDefault="00000000">
            <w:pPr>
              <w:jc w:val="center"/>
              <w:rPr>
                <w:kern w:val="0"/>
                <w:szCs w:val="21"/>
              </w:rPr>
            </w:pPr>
            <w:r>
              <w:rPr>
                <w:kern w:val="0"/>
                <w:szCs w:val="21"/>
              </w:rPr>
              <w:t>管控要求</w:t>
            </w:r>
          </w:p>
        </w:tc>
        <w:tc>
          <w:tcPr>
            <w:tcW w:w="2423" w:type="dxa"/>
            <w:vAlign w:val="center"/>
          </w:tcPr>
          <w:p w14:paraId="4B2C87CA" w14:textId="77777777" w:rsidR="00B14D53" w:rsidRDefault="00000000">
            <w:pPr>
              <w:jc w:val="center"/>
              <w:rPr>
                <w:kern w:val="0"/>
                <w:szCs w:val="21"/>
              </w:rPr>
            </w:pPr>
            <w:r>
              <w:rPr>
                <w:kern w:val="0"/>
                <w:szCs w:val="21"/>
              </w:rPr>
              <w:t>符合性分析</w:t>
            </w:r>
          </w:p>
        </w:tc>
      </w:tr>
      <w:tr w:rsidR="00B14D53" w14:paraId="4DEE959C" w14:textId="77777777">
        <w:tc>
          <w:tcPr>
            <w:tcW w:w="1063" w:type="dxa"/>
            <w:vMerge w:val="restart"/>
            <w:vAlign w:val="center"/>
          </w:tcPr>
          <w:p w14:paraId="7D906EAC" w14:textId="77777777" w:rsidR="00B14D53" w:rsidRDefault="00000000">
            <w:pPr>
              <w:jc w:val="center"/>
              <w:rPr>
                <w:rFonts w:eastAsiaTheme="minorEastAsia"/>
                <w:b/>
                <w:sz w:val="24"/>
              </w:rPr>
            </w:pPr>
            <w:r>
              <w:rPr>
                <w:kern w:val="0"/>
                <w:szCs w:val="21"/>
              </w:rPr>
              <w:t>空间布局约束</w:t>
            </w:r>
          </w:p>
        </w:tc>
        <w:tc>
          <w:tcPr>
            <w:tcW w:w="5036" w:type="dxa"/>
            <w:gridSpan w:val="2"/>
            <w:vAlign w:val="center"/>
          </w:tcPr>
          <w:p w14:paraId="28F2AA68"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严禁在人口密集区新建危险化学品生产项目，城镇人口密集区危险化学品生产企业应搬迁改造</w:t>
            </w:r>
          </w:p>
        </w:tc>
        <w:tc>
          <w:tcPr>
            <w:tcW w:w="2423" w:type="dxa"/>
            <w:vAlign w:val="center"/>
          </w:tcPr>
          <w:p w14:paraId="00801D3E" w14:textId="77777777" w:rsidR="00B14D53" w:rsidRDefault="00000000">
            <w:pPr>
              <w:widowControl/>
              <w:jc w:val="center"/>
              <w:rPr>
                <w:rFonts w:eastAsiaTheme="minorEastAsia"/>
                <w:b/>
                <w:sz w:val="24"/>
              </w:rPr>
            </w:pPr>
            <w:r>
              <w:rPr>
                <w:kern w:val="0"/>
                <w:szCs w:val="21"/>
              </w:rPr>
              <w:t>不涉及</w:t>
            </w:r>
          </w:p>
        </w:tc>
      </w:tr>
      <w:tr w:rsidR="00B14D53" w14:paraId="0CFADBED" w14:textId="77777777">
        <w:tc>
          <w:tcPr>
            <w:tcW w:w="1063" w:type="dxa"/>
            <w:vMerge/>
            <w:vAlign w:val="center"/>
          </w:tcPr>
          <w:p w14:paraId="54EE6374" w14:textId="77777777" w:rsidR="00B14D53" w:rsidRDefault="00B14D53">
            <w:pPr>
              <w:jc w:val="center"/>
              <w:rPr>
                <w:kern w:val="0"/>
                <w:szCs w:val="21"/>
              </w:rPr>
            </w:pPr>
          </w:p>
        </w:tc>
        <w:tc>
          <w:tcPr>
            <w:tcW w:w="5036" w:type="dxa"/>
            <w:gridSpan w:val="2"/>
            <w:vAlign w:val="center"/>
          </w:tcPr>
          <w:p w14:paraId="586A4004"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禁止在城镇居民区、文化教育科学研究区等人口集中区域建设畜禽养殖场、养殖小区</w:t>
            </w:r>
          </w:p>
        </w:tc>
        <w:tc>
          <w:tcPr>
            <w:tcW w:w="2423" w:type="dxa"/>
            <w:vAlign w:val="center"/>
          </w:tcPr>
          <w:p w14:paraId="7F26C259" w14:textId="77777777" w:rsidR="00B14D53" w:rsidRDefault="00000000">
            <w:pPr>
              <w:widowControl/>
              <w:jc w:val="center"/>
              <w:rPr>
                <w:rFonts w:eastAsiaTheme="minorEastAsia"/>
                <w:b/>
                <w:sz w:val="24"/>
              </w:rPr>
            </w:pPr>
            <w:r>
              <w:rPr>
                <w:szCs w:val="21"/>
              </w:rPr>
              <w:t>不涉及</w:t>
            </w:r>
          </w:p>
        </w:tc>
      </w:tr>
      <w:tr w:rsidR="00B14D53" w14:paraId="436BDDE9" w14:textId="77777777">
        <w:tc>
          <w:tcPr>
            <w:tcW w:w="1063" w:type="dxa"/>
            <w:vMerge w:val="restart"/>
            <w:vAlign w:val="center"/>
          </w:tcPr>
          <w:p w14:paraId="0ED3D5DD" w14:textId="77777777" w:rsidR="00B14D53" w:rsidRDefault="00000000">
            <w:pPr>
              <w:jc w:val="center"/>
              <w:rPr>
                <w:kern w:val="0"/>
                <w:szCs w:val="21"/>
              </w:rPr>
            </w:pPr>
            <w:r>
              <w:rPr>
                <w:szCs w:val="21"/>
              </w:rPr>
              <w:t>污染物排放管控</w:t>
            </w:r>
          </w:p>
        </w:tc>
        <w:tc>
          <w:tcPr>
            <w:tcW w:w="5036" w:type="dxa"/>
            <w:gridSpan w:val="2"/>
            <w:vAlign w:val="center"/>
          </w:tcPr>
          <w:p w14:paraId="6FC02CB0"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区域内新建、改扩建项目废气污染物二氧化硫、氮氧化物和细颗粒物排放总量应</w:t>
            </w:r>
            <w:r>
              <w:rPr>
                <w:rFonts w:ascii="Times New Roman" w:hAnsi="Times New Roman"/>
                <w:sz w:val="21"/>
                <w:szCs w:val="21"/>
              </w:rPr>
              <w:t>1.5</w:t>
            </w:r>
            <w:r>
              <w:rPr>
                <w:rFonts w:ascii="Times New Roman" w:hAnsi="Times New Roman"/>
                <w:sz w:val="21"/>
                <w:szCs w:val="21"/>
              </w:rPr>
              <w:t>倍减量置换</w:t>
            </w:r>
          </w:p>
        </w:tc>
        <w:tc>
          <w:tcPr>
            <w:tcW w:w="2423" w:type="dxa"/>
            <w:vAlign w:val="center"/>
          </w:tcPr>
          <w:p w14:paraId="3A7F5EFD" w14:textId="77777777" w:rsidR="00B14D53" w:rsidRDefault="00000000">
            <w:pPr>
              <w:widowControl/>
              <w:jc w:val="center"/>
              <w:rPr>
                <w:rFonts w:eastAsiaTheme="minorEastAsia"/>
                <w:b/>
                <w:sz w:val="24"/>
              </w:rPr>
            </w:pPr>
            <w:r>
              <w:rPr>
                <w:rFonts w:hint="eastAsia"/>
                <w:bCs/>
                <w:szCs w:val="21"/>
              </w:rPr>
              <w:t>不涉及</w:t>
            </w:r>
          </w:p>
        </w:tc>
      </w:tr>
      <w:tr w:rsidR="00B14D53" w14:paraId="17357826" w14:textId="77777777">
        <w:tc>
          <w:tcPr>
            <w:tcW w:w="1063" w:type="dxa"/>
            <w:vMerge/>
            <w:vAlign w:val="center"/>
          </w:tcPr>
          <w:p w14:paraId="1C2D10DC" w14:textId="77777777" w:rsidR="00B14D53" w:rsidRDefault="00B14D53">
            <w:pPr>
              <w:jc w:val="center"/>
              <w:rPr>
                <w:kern w:val="0"/>
                <w:szCs w:val="21"/>
              </w:rPr>
            </w:pPr>
          </w:p>
        </w:tc>
        <w:tc>
          <w:tcPr>
            <w:tcW w:w="5036" w:type="dxa"/>
            <w:gridSpan w:val="2"/>
            <w:vAlign w:val="center"/>
          </w:tcPr>
          <w:p w14:paraId="07EC79E7"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加快</w:t>
            </w:r>
            <w:r>
              <w:rPr>
                <w:rFonts w:ascii="Times New Roman" w:hAnsi="Times New Roman"/>
                <w:sz w:val="21"/>
                <w:szCs w:val="21"/>
              </w:rPr>
              <w:t>65t/h</w:t>
            </w:r>
            <w:r>
              <w:rPr>
                <w:rFonts w:ascii="Times New Roman" w:hAnsi="Times New Roman"/>
                <w:sz w:val="21"/>
                <w:szCs w:val="21"/>
              </w:rPr>
              <w:t>以上燃煤锅炉（含电力）超低排放改造</w:t>
            </w:r>
          </w:p>
        </w:tc>
        <w:tc>
          <w:tcPr>
            <w:tcW w:w="2423" w:type="dxa"/>
            <w:vAlign w:val="center"/>
          </w:tcPr>
          <w:p w14:paraId="160D4C51" w14:textId="77777777" w:rsidR="00B14D53" w:rsidRDefault="00000000">
            <w:pPr>
              <w:widowControl/>
              <w:jc w:val="center"/>
              <w:rPr>
                <w:rFonts w:eastAsiaTheme="minorEastAsia"/>
                <w:b/>
                <w:sz w:val="24"/>
              </w:rPr>
            </w:pPr>
            <w:r>
              <w:rPr>
                <w:rFonts w:hint="eastAsia"/>
                <w:szCs w:val="21"/>
              </w:rPr>
              <w:t>不涉及</w:t>
            </w:r>
          </w:p>
        </w:tc>
      </w:tr>
      <w:tr w:rsidR="00B14D53" w14:paraId="5C8FD1FD" w14:textId="77777777">
        <w:tc>
          <w:tcPr>
            <w:tcW w:w="1063" w:type="dxa"/>
            <w:vAlign w:val="center"/>
          </w:tcPr>
          <w:p w14:paraId="794F1089" w14:textId="77777777" w:rsidR="00B14D53" w:rsidRDefault="00000000">
            <w:pPr>
              <w:jc w:val="center"/>
              <w:rPr>
                <w:kern w:val="0"/>
                <w:szCs w:val="21"/>
              </w:rPr>
            </w:pPr>
            <w:r>
              <w:rPr>
                <w:szCs w:val="21"/>
              </w:rPr>
              <w:t>环境风险防控</w:t>
            </w:r>
          </w:p>
        </w:tc>
        <w:tc>
          <w:tcPr>
            <w:tcW w:w="5036" w:type="dxa"/>
            <w:gridSpan w:val="2"/>
            <w:vAlign w:val="center"/>
          </w:tcPr>
          <w:p w14:paraId="693A4397"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执行要求：化工园区与城市建成区、人员密集场所、重要设施、敏感目标等应当保持规定的安全距离，相对封闭，不应保留常住居民，非关联企业和产业要逐步搬迁或退出，妥善防范化解</w:t>
            </w:r>
            <w:r>
              <w:rPr>
                <w:rFonts w:ascii="Times New Roman" w:hAnsi="Times New Roman"/>
                <w:sz w:val="21"/>
                <w:szCs w:val="21"/>
              </w:rPr>
              <w:t>“</w:t>
            </w:r>
            <w:r>
              <w:rPr>
                <w:rFonts w:ascii="Times New Roman" w:hAnsi="Times New Roman"/>
                <w:sz w:val="21"/>
                <w:szCs w:val="21"/>
              </w:rPr>
              <w:t>邻避</w:t>
            </w:r>
            <w:r>
              <w:rPr>
                <w:rFonts w:ascii="Times New Roman" w:hAnsi="Times New Roman"/>
                <w:sz w:val="21"/>
                <w:szCs w:val="21"/>
              </w:rPr>
              <w:t>”</w:t>
            </w:r>
            <w:r>
              <w:rPr>
                <w:rFonts w:ascii="Times New Roman" w:hAnsi="Times New Roman"/>
                <w:sz w:val="21"/>
                <w:szCs w:val="21"/>
              </w:rPr>
              <w:t>问题。严禁在松花江干流及一级支流沿岸</w:t>
            </w:r>
            <w:r>
              <w:rPr>
                <w:rFonts w:ascii="Times New Roman" w:hAnsi="Times New Roman"/>
                <w:sz w:val="21"/>
                <w:szCs w:val="21"/>
              </w:rPr>
              <w:t>1</w:t>
            </w:r>
            <w:r>
              <w:rPr>
                <w:rFonts w:ascii="Times New Roman" w:hAnsi="Times New Roman"/>
                <w:sz w:val="21"/>
                <w:szCs w:val="21"/>
              </w:rPr>
              <w:t>公里范围内布局化工园区</w:t>
            </w:r>
          </w:p>
        </w:tc>
        <w:tc>
          <w:tcPr>
            <w:tcW w:w="2423" w:type="dxa"/>
            <w:vAlign w:val="center"/>
          </w:tcPr>
          <w:p w14:paraId="7B3FE061" w14:textId="77777777" w:rsidR="00B14D53" w:rsidRDefault="00000000">
            <w:pPr>
              <w:widowControl/>
              <w:jc w:val="center"/>
              <w:rPr>
                <w:rFonts w:eastAsiaTheme="minorEastAsia"/>
                <w:b/>
                <w:sz w:val="24"/>
              </w:rPr>
            </w:pPr>
            <w:r>
              <w:rPr>
                <w:szCs w:val="21"/>
              </w:rPr>
              <w:t>不涉及</w:t>
            </w:r>
          </w:p>
        </w:tc>
      </w:tr>
      <w:tr w:rsidR="00B14D53" w14:paraId="034FA8DE" w14:textId="77777777">
        <w:tc>
          <w:tcPr>
            <w:tcW w:w="1063" w:type="dxa"/>
            <w:vMerge w:val="restart"/>
            <w:vAlign w:val="center"/>
          </w:tcPr>
          <w:p w14:paraId="1477AE5B" w14:textId="77777777" w:rsidR="00B14D53" w:rsidRDefault="00000000">
            <w:pPr>
              <w:jc w:val="center"/>
              <w:rPr>
                <w:kern w:val="0"/>
                <w:szCs w:val="21"/>
              </w:rPr>
            </w:pPr>
            <w:r>
              <w:rPr>
                <w:szCs w:val="21"/>
              </w:rPr>
              <w:t>资源开发效率</w:t>
            </w:r>
          </w:p>
        </w:tc>
        <w:tc>
          <w:tcPr>
            <w:tcW w:w="5036" w:type="dxa"/>
            <w:gridSpan w:val="2"/>
            <w:vAlign w:val="center"/>
          </w:tcPr>
          <w:p w14:paraId="4E688B8F"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推进污水再生利用设施建设</w:t>
            </w:r>
          </w:p>
        </w:tc>
        <w:tc>
          <w:tcPr>
            <w:tcW w:w="2423" w:type="dxa"/>
            <w:vAlign w:val="center"/>
          </w:tcPr>
          <w:p w14:paraId="1BBED720" w14:textId="77777777" w:rsidR="00B14D53" w:rsidRDefault="00000000">
            <w:pPr>
              <w:widowControl/>
              <w:jc w:val="center"/>
              <w:rPr>
                <w:rFonts w:eastAsiaTheme="minorEastAsia"/>
                <w:b/>
                <w:sz w:val="24"/>
              </w:rPr>
            </w:pPr>
            <w:r>
              <w:rPr>
                <w:szCs w:val="21"/>
              </w:rPr>
              <w:t>不涉及</w:t>
            </w:r>
          </w:p>
        </w:tc>
      </w:tr>
      <w:tr w:rsidR="00B14D53" w14:paraId="38C9C7EA" w14:textId="77777777">
        <w:tc>
          <w:tcPr>
            <w:tcW w:w="1063" w:type="dxa"/>
            <w:vMerge/>
            <w:vAlign w:val="center"/>
          </w:tcPr>
          <w:p w14:paraId="220DEFA4" w14:textId="77777777" w:rsidR="00B14D53" w:rsidRDefault="00B14D53">
            <w:pPr>
              <w:jc w:val="center"/>
              <w:rPr>
                <w:kern w:val="0"/>
                <w:szCs w:val="21"/>
              </w:rPr>
            </w:pPr>
          </w:p>
        </w:tc>
        <w:tc>
          <w:tcPr>
            <w:tcW w:w="5036" w:type="dxa"/>
            <w:gridSpan w:val="2"/>
            <w:vAlign w:val="center"/>
          </w:tcPr>
          <w:p w14:paraId="0BAF39C1"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公共建筑必须采用节水器具，限期淘汰公共建筑中不符合节水标准的水嘴、便器水箱等生活用水器具</w:t>
            </w:r>
          </w:p>
        </w:tc>
        <w:tc>
          <w:tcPr>
            <w:tcW w:w="2423" w:type="dxa"/>
            <w:vAlign w:val="center"/>
          </w:tcPr>
          <w:p w14:paraId="5C475D0E" w14:textId="77777777" w:rsidR="00B14D53" w:rsidRDefault="00000000">
            <w:pPr>
              <w:widowControl/>
              <w:jc w:val="center"/>
              <w:rPr>
                <w:rFonts w:eastAsiaTheme="minorEastAsia"/>
                <w:b/>
                <w:sz w:val="24"/>
              </w:rPr>
            </w:pPr>
            <w:r>
              <w:rPr>
                <w:szCs w:val="21"/>
              </w:rPr>
              <w:t>本项目</w:t>
            </w:r>
            <w:r>
              <w:rPr>
                <w:bCs/>
                <w:szCs w:val="21"/>
                <w:lang w:bidi="ar"/>
              </w:rPr>
              <w:t>办公楼采用节水器具</w:t>
            </w:r>
          </w:p>
        </w:tc>
      </w:tr>
      <w:tr w:rsidR="00B14D53" w14:paraId="7849B139" w14:textId="77777777">
        <w:tc>
          <w:tcPr>
            <w:tcW w:w="1063" w:type="dxa"/>
            <w:vMerge/>
            <w:vAlign w:val="center"/>
          </w:tcPr>
          <w:p w14:paraId="30073014" w14:textId="77777777" w:rsidR="00B14D53" w:rsidRDefault="00B14D53">
            <w:pPr>
              <w:jc w:val="center"/>
              <w:rPr>
                <w:kern w:val="0"/>
                <w:szCs w:val="21"/>
              </w:rPr>
            </w:pPr>
          </w:p>
        </w:tc>
        <w:tc>
          <w:tcPr>
            <w:tcW w:w="5036" w:type="dxa"/>
            <w:gridSpan w:val="2"/>
            <w:vAlign w:val="center"/>
          </w:tcPr>
          <w:p w14:paraId="1ECC4177"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高污染燃料禁燃区同时执行：（</w:t>
            </w:r>
            <w:r>
              <w:rPr>
                <w:rFonts w:ascii="Times New Roman" w:hAnsi="Times New Roman"/>
                <w:sz w:val="21"/>
                <w:szCs w:val="21"/>
              </w:rPr>
              <w:t>1</w:t>
            </w:r>
            <w:r>
              <w:rPr>
                <w:rFonts w:ascii="Times New Roman" w:hAnsi="Times New Roman"/>
                <w:sz w:val="21"/>
                <w:szCs w:val="21"/>
              </w:rPr>
              <w:t>）在禁燃区内，禁止销售、燃用高污染燃料；禁止新建、扩建燃用高污染燃料的设施，已建成的，应当在城市人民政府规定的期限内改用天然气、页岩气、液化石油气、电或者其他清洁能源。（</w:t>
            </w:r>
            <w:r>
              <w:rPr>
                <w:rFonts w:ascii="Times New Roman" w:hAnsi="Times New Roman"/>
                <w:sz w:val="21"/>
                <w:szCs w:val="21"/>
              </w:rPr>
              <w:t>2</w:t>
            </w:r>
            <w:r>
              <w:rPr>
                <w:rFonts w:ascii="Times New Roman" w:hAnsi="Times New Roman"/>
                <w:sz w:val="21"/>
                <w:szCs w:val="21"/>
              </w:rPr>
              <w:t>）城市建设应当统筹规划，在燃煤供热地区，推进热电联产和集中供热。在集中供热管网覆盖地区，禁止新建、扩建分散燃煤供热锅炉；已建成的不能达标排放的燃煤供热锅炉，应当在城市人民政府规定的期限内拆除</w:t>
            </w:r>
          </w:p>
        </w:tc>
        <w:tc>
          <w:tcPr>
            <w:tcW w:w="2423" w:type="dxa"/>
            <w:vAlign w:val="center"/>
          </w:tcPr>
          <w:p w14:paraId="1CF82FAD" w14:textId="77777777" w:rsidR="00B14D53" w:rsidRDefault="00000000">
            <w:pPr>
              <w:widowControl/>
              <w:jc w:val="center"/>
              <w:rPr>
                <w:b/>
                <w:sz w:val="24"/>
              </w:rPr>
            </w:pPr>
            <w:r>
              <w:rPr>
                <w:szCs w:val="21"/>
              </w:rPr>
              <w:t>不</w:t>
            </w:r>
            <w:r>
              <w:rPr>
                <w:rFonts w:hint="eastAsia"/>
                <w:szCs w:val="21"/>
              </w:rPr>
              <w:t>位于</w:t>
            </w:r>
            <w:r>
              <w:rPr>
                <w:kern w:val="0"/>
                <w:szCs w:val="21"/>
              </w:rPr>
              <w:t>高污染燃料禁燃区</w:t>
            </w:r>
          </w:p>
        </w:tc>
      </w:tr>
      <w:tr w:rsidR="00B14D53" w14:paraId="7A7B5FE8" w14:textId="77777777">
        <w:tc>
          <w:tcPr>
            <w:tcW w:w="2840" w:type="dxa"/>
            <w:gridSpan w:val="2"/>
            <w:vAlign w:val="center"/>
          </w:tcPr>
          <w:p w14:paraId="3E20CC72" w14:textId="77777777" w:rsidR="00B14D53" w:rsidRDefault="00000000">
            <w:pPr>
              <w:jc w:val="center"/>
              <w:rPr>
                <w:rFonts w:eastAsiaTheme="minorEastAsia"/>
                <w:b/>
                <w:bCs/>
                <w:sz w:val="24"/>
              </w:rPr>
            </w:pPr>
            <w:r>
              <w:rPr>
                <w:b/>
                <w:bCs/>
                <w:szCs w:val="21"/>
              </w:rPr>
              <w:t>环境管控单元编码</w:t>
            </w:r>
          </w:p>
        </w:tc>
        <w:tc>
          <w:tcPr>
            <w:tcW w:w="3259" w:type="dxa"/>
            <w:vAlign w:val="center"/>
          </w:tcPr>
          <w:p w14:paraId="0B500B42" w14:textId="77777777" w:rsidR="00B14D53" w:rsidRDefault="00000000">
            <w:pPr>
              <w:jc w:val="center"/>
              <w:rPr>
                <w:rFonts w:eastAsiaTheme="minorEastAsia"/>
                <w:b/>
                <w:bCs/>
                <w:sz w:val="24"/>
              </w:rPr>
            </w:pPr>
            <w:r>
              <w:rPr>
                <w:b/>
                <w:bCs/>
                <w:szCs w:val="21"/>
              </w:rPr>
              <w:t>环境管控单元名称</w:t>
            </w:r>
          </w:p>
        </w:tc>
        <w:tc>
          <w:tcPr>
            <w:tcW w:w="2423" w:type="dxa"/>
            <w:vAlign w:val="center"/>
          </w:tcPr>
          <w:p w14:paraId="18CC8E4A" w14:textId="77777777" w:rsidR="00B14D53" w:rsidRDefault="00000000">
            <w:pPr>
              <w:jc w:val="center"/>
              <w:rPr>
                <w:rFonts w:eastAsiaTheme="minorEastAsia"/>
                <w:b/>
                <w:bCs/>
                <w:sz w:val="24"/>
              </w:rPr>
            </w:pPr>
            <w:r>
              <w:rPr>
                <w:b/>
                <w:bCs/>
                <w:szCs w:val="21"/>
              </w:rPr>
              <w:t>环境管控单元类型</w:t>
            </w:r>
          </w:p>
        </w:tc>
      </w:tr>
      <w:tr w:rsidR="00B14D53" w14:paraId="748DF197" w14:textId="77777777">
        <w:tc>
          <w:tcPr>
            <w:tcW w:w="2840" w:type="dxa"/>
            <w:gridSpan w:val="2"/>
            <w:vAlign w:val="center"/>
          </w:tcPr>
          <w:p w14:paraId="6A1B3BDE" w14:textId="77777777" w:rsidR="00B14D53" w:rsidRDefault="00000000">
            <w:pPr>
              <w:jc w:val="center"/>
              <w:rPr>
                <w:rFonts w:eastAsiaTheme="minorEastAsia"/>
                <w:b/>
                <w:sz w:val="24"/>
              </w:rPr>
            </w:pPr>
            <w:r>
              <w:rPr>
                <w:kern w:val="0"/>
                <w:szCs w:val="21"/>
              </w:rPr>
              <w:t>ZH230184</w:t>
            </w:r>
            <w:r>
              <w:rPr>
                <w:rFonts w:hint="eastAsia"/>
                <w:kern w:val="0"/>
                <w:szCs w:val="21"/>
              </w:rPr>
              <w:t>3</w:t>
            </w:r>
            <w:r>
              <w:rPr>
                <w:kern w:val="0"/>
                <w:szCs w:val="21"/>
              </w:rPr>
              <w:t>0002</w:t>
            </w:r>
          </w:p>
        </w:tc>
        <w:tc>
          <w:tcPr>
            <w:tcW w:w="3259" w:type="dxa"/>
            <w:vAlign w:val="center"/>
          </w:tcPr>
          <w:p w14:paraId="31D4A5C4" w14:textId="77777777" w:rsidR="00B14D53" w:rsidRDefault="00000000">
            <w:pPr>
              <w:jc w:val="center"/>
              <w:rPr>
                <w:b/>
                <w:sz w:val="24"/>
              </w:rPr>
            </w:pPr>
            <w:r>
              <w:rPr>
                <w:kern w:val="0"/>
                <w:szCs w:val="21"/>
              </w:rPr>
              <w:t>五常市</w:t>
            </w:r>
            <w:r>
              <w:rPr>
                <w:rFonts w:hint="eastAsia"/>
                <w:kern w:val="0"/>
                <w:szCs w:val="21"/>
              </w:rPr>
              <w:t>其他区域</w:t>
            </w:r>
          </w:p>
        </w:tc>
        <w:tc>
          <w:tcPr>
            <w:tcW w:w="2423" w:type="dxa"/>
            <w:vAlign w:val="center"/>
          </w:tcPr>
          <w:p w14:paraId="45E81C2E" w14:textId="77777777" w:rsidR="00B14D53" w:rsidRDefault="00000000">
            <w:pPr>
              <w:jc w:val="center"/>
              <w:rPr>
                <w:rFonts w:eastAsiaTheme="minorEastAsia"/>
                <w:b/>
                <w:sz w:val="24"/>
              </w:rPr>
            </w:pPr>
            <w:r>
              <w:rPr>
                <w:rFonts w:hint="eastAsia"/>
                <w:kern w:val="0"/>
                <w:szCs w:val="21"/>
              </w:rPr>
              <w:t>一般</w:t>
            </w:r>
            <w:r>
              <w:rPr>
                <w:kern w:val="0"/>
                <w:szCs w:val="21"/>
              </w:rPr>
              <w:t>管控单元</w:t>
            </w:r>
          </w:p>
        </w:tc>
      </w:tr>
      <w:tr w:rsidR="00B14D53" w14:paraId="206D6B6B" w14:textId="77777777">
        <w:tc>
          <w:tcPr>
            <w:tcW w:w="6099" w:type="dxa"/>
            <w:gridSpan w:val="3"/>
          </w:tcPr>
          <w:p w14:paraId="047A28BE" w14:textId="77777777" w:rsidR="00B14D53" w:rsidRDefault="00000000">
            <w:pPr>
              <w:jc w:val="center"/>
              <w:rPr>
                <w:kern w:val="0"/>
                <w:szCs w:val="21"/>
              </w:rPr>
            </w:pPr>
            <w:r>
              <w:rPr>
                <w:kern w:val="0"/>
                <w:szCs w:val="21"/>
              </w:rPr>
              <w:t>管控要求</w:t>
            </w:r>
          </w:p>
        </w:tc>
        <w:tc>
          <w:tcPr>
            <w:tcW w:w="2423" w:type="dxa"/>
          </w:tcPr>
          <w:p w14:paraId="5D79B04D" w14:textId="77777777" w:rsidR="00B14D53" w:rsidRDefault="00000000">
            <w:pPr>
              <w:jc w:val="center"/>
              <w:rPr>
                <w:kern w:val="0"/>
                <w:szCs w:val="21"/>
              </w:rPr>
            </w:pPr>
            <w:r>
              <w:rPr>
                <w:kern w:val="0"/>
                <w:szCs w:val="21"/>
              </w:rPr>
              <w:t>符合性分析</w:t>
            </w:r>
          </w:p>
        </w:tc>
      </w:tr>
      <w:tr w:rsidR="00B14D53" w14:paraId="20376CBF" w14:textId="77777777">
        <w:tc>
          <w:tcPr>
            <w:tcW w:w="1063" w:type="dxa"/>
            <w:vAlign w:val="center"/>
          </w:tcPr>
          <w:p w14:paraId="20BE9B80" w14:textId="77777777" w:rsidR="00B14D53" w:rsidRDefault="00000000">
            <w:pPr>
              <w:contextualSpacing/>
              <w:jc w:val="center"/>
              <w:rPr>
                <w:rFonts w:eastAsiaTheme="minorEastAsia"/>
                <w:sz w:val="24"/>
              </w:rPr>
            </w:pPr>
            <w:r>
              <w:rPr>
                <w:kern w:val="0"/>
                <w:szCs w:val="21"/>
              </w:rPr>
              <w:t>空间布局约束</w:t>
            </w:r>
          </w:p>
        </w:tc>
        <w:tc>
          <w:tcPr>
            <w:tcW w:w="5036" w:type="dxa"/>
            <w:gridSpan w:val="2"/>
          </w:tcPr>
          <w:p w14:paraId="4B6036BF"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引导工业项目向开发区集中，促进产业集聚、资源集约、绿色发展</w:t>
            </w:r>
          </w:p>
        </w:tc>
        <w:tc>
          <w:tcPr>
            <w:tcW w:w="2423" w:type="dxa"/>
            <w:vAlign w:val="center"/>
          </w:tcPr>
          <w:p w14:paraId="45210E89" w14:textId="77777777" w:rsidR="00B14D53" w:rsidRDefault="00000000">
            <w:pPr>
              <w:widowControl/>
              <w:jc w:val="center"/>
              <w:rPr>
                <w:szCs w:val="21"/>
              </w:rPr>
            </w:pPr>
            <w:r>
              <w:rPr>
                <w:rFonts w:hint="eastAsia"/>
                <w:szCs w:val="21"/>
              </w:rPr>
              <w:t>不涉及</w:t>
            </w:r>
          </w:p>
        </w:tc>
      </w:tr>
    </w:tbl>
    <w:p w14:paraId="0953A01A" w14:textId="77777777" w:rsidR="00B14D53" w:rsidRDefault="00B14D53">
      <w:pPr>
        <w:jc w:val="center"/>
        <w:rPr>
          <w:b/>
          <w:bCs/>
        </w:rPr>
      </w:pPr>
    </w:p>
    <w:p w14:paraId="6831A836" w14:textId="77777777" w:rsidR="00B14D53" w:rsidRDefault="00B14D53">
      <w:pPr>
        <w:jc w:val="center"/>
        <w:rPr>
          <w:b/>
          <w:bCs/>
        </w:rPr>
      </w:pPr>
    </w:p>
    <w:p w14:paraId="540F043F" w14:textId="77777777" w:rsidR="00B14D53" w:rsidRDefault="00B14D53">
      <w:pPr>
        <w:jc w:val="center"/>
        <w:rPr>
          <w:b/>
          <w:bCs/>
        </w:rPr>
      </w:pPr>
    </w:p>
    <w:p w14:paraId="5F22BC8D" w14:textId="77777777" w:rsidR="00B14D53" w:rsidRDefault="00000000">
      <w:pPr>
        <w:jc w:val="center"/>
      </w:pPr>
      <w:r>
        <w:rPr>
          <w:rFonts w:hint="eastAsia"/>
          <w:b/>
          <w:bCs/>
        </w:rPr>
        <w:t>续</w:t>
      </w:r>
      <w:r>
        <w:rPr>
          <w:b/>
          <w:bCs/>
        </w:rPr>
        <w:t>表</w:t>
      </w:r>
      <w:r>
        <w:rPr>
          <w:b/>
          <w:bCs/>
        </w:rPr>
        <w:t>1-4-</w:t>
      </w:r>
      <w:r>
        <w:rPr>
          <w:rFonts w:hint="eastAsia"/>
          <w:b/>
          <w:bCs/>
        </w:rPr>
        <w:t xml:space="preserve">5 </w:t>
      </w:r>
      <w:r>
        <w:rPr>
          <w:rFonts w:hint="eastAsia"/>
          <w:b/>
          <w:bCs/>
        </w:rPr>
        <w:t>本项目</w:t>
      </w:r>
      <w:r>
        <w:rPr>
          <w:b/>
          <w:bCs/>
        </w:rPr>
        <w:t>生态环境准入清单管控要求符合性分析</w:t>
      </w:r>
    </w:p>
    <w:tbl>
      <w:tblPr>
        <w:tblStyle w:val="aff8"/>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42"/>
        <w:gridCol w:w="4894"/>
        <w:gridCol w:w="2370"/>
      </w:tblGrid>
      <w:tr w:rsidR="00B14D53" w14:paraId="2A7674DA" w14:textId="77777777">
        <w:tc>
          <w:tcPr>
            <w:tcW w:w="1063" w:type="dxa"/>
            <w:vAlign w:val="center"/>
          </w:tcPr>
          <w:p w14:paraId="52A85AFE" w14:textId="77777777" w:rsidR="00B14D53" w:rsidRDefault="00000000">
            <w:pPr>
              <w:contextualSpacing/>
              <w:jc w:val="center"/>
              <w:rPr>
                <w:rFonts w:eastAsiaTheme="minorEastAsia"/>
                <w:sz w:val="24"/>
              </w:rPr>
            </w:pPr>
            <w:r>
              <w:rPr>
                <w:kern w:val="0"/>
                <w:szCs w:val="21"/>
              </w:rPr>
              <w:t>空间布局约束</w:t>
            </w:r>
          </w:p>
        </w:tc>
        <w:tc>
          <w:tcPr>
            <w:tcW w:w="5036" w:type="dxa"/>
            <w:vAlign w:val="center"/>
          </w:tcPr>
          <w:p w14:paraId="1FB7A016"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2423" w:type="dxa"/>
            <w:vAlign w:val="center"/>
          </w:tcPr>
          <w:p w14:paraId="62852F5A" w14:textId="77777777" w:rsidR="00B14D53" w:rsidRDefault="00000000">
            <w:pPr>
              <w:pStyle w:val="a6"/>
              <w:spacing w:line="240" w:lineRule="auto"/>
              <w:ind w:firstLineChars="200" w:firstLine="420"/>
              <w:jc w:val="both"/>
              <w:rPr>
                <w:rFonts w:ascii="Times New Roman" w:hAnsi="Times New Roman"/>
                <w:sz w:val="21"/>
                <w:szCs w:val="21"/>
              </w:rPr>
            </w:pPr>
            <w:r>
              <w:rPr>
                <w:rFonts w:ascii="Times New Roman" w:hAnsi="Times New Roman" w:hint="eastAsia"/>
                <w:sz w:val="21"/>
                <w:szCs w:val="21"/>
              </w:rPr>
              <w:t>本项目采用相应环保治理措施，保证污染物稳定达标排放，项目建成后，可年屠宰生猪</w:t>
            </w:r>
            <w:r>
              <w:rPr>
                <w:rFonts w:ascii="Times New Roman" w:hAnsi="Times New Roman" w:hint="eastAsia"/>
                <w:sz w:val="21"/>
                <w:szCs w:val="21"/>
              </w:rPr>
              <w:t>16</w:t>
            </w:r>
            <w:r>
              <w:rPr>
                <w:rFonts w:ascii="Times New Roman" w:hAnsi="Times New Roman" w:hint="eastAsia"/>
                <w:sz w:val="21"/>
                <w:szCs w:val="21"/>
              </w:rPr>
              <w:t>万头，不属于限制类产能，且不使用淘汰了设备，符合要求</w:t>
            </w:r>
          </w:p>
        </w:tc>
      </w:tr>
    </w:tbl>
    <w:p w14:paraId="1D6D8AEA"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w:t>
      </w:r>
      <w:r>
        <w:rPr>
          <w:rFonts w:ascii="Times New Roman" w:eastAsia="黑体" w:hAnsi="Times New Roman" w:cs="Times New Roman" w:hint="eastAsia"/>
          <w:bCs/>
          <w:sz w:val="28"/>
          <w:szCs w:val="28"/>
        </w:rPr>
        <w:t>12</w:t>
      </w:r>
      <w:r>
        <w:rPr>
          <w:rFonts w:ascii="Times New Roman" w:eastAsia="黑体" w:hAnsi="Times New Roman" w:cs="Times New Roman"/>
          <w:bCs/>
          <w:sz w:val="28"/>
          <w:szCs w:val="28"/>
        </w:rPr>
        <w:t>选址合理性分析</w:t>
      </w:r>
      <w:bookmarkEnd w:id="15"/>
    </w:p>
    <w:p w14:paraId="0E7703EF" w14:textId="77777777" w:rsidR="00B14D53" w:rsidRDefault="00000000">
      <w:pPr>
        <w:spacing w:line="360" w:lineRule="auto"/>
        <w:ind w:firstLineChars="200" w:firstLine="480"/>
        <w:rPr>
          <w:sz w:val="24"/>
        </w:rPr>
      </w:pPr>
      <w:bookmarkStart w:id="16" w:name="_Toc15991621"/>
      <w:r>
        <w:rPr>
          <w:sz w:val="24"/>
        </w:rPr>
        <w:t>本项目位于</w:t>
      </w:r>
      <w:r>
        <w:rPr>
          <w:rFonts w:hint="eastAsia"/>
          <w:bCs/>
          <w:color w:val="000000" w:themeColor="text1"/>
          <w:sz w:val="24"/>
        </w:rPr>
        <w:t>黑龙江省哈尔滨市五常市山河镇山河屯林业地区林业大街南</w:t>
      </w:r>
      <w:r>
        <w:rPr>
          <w:rFonts w:hint="eastAsia"/>
          <w:bCs/>
          <w:color w:val="000000" w:themeColor="text1"/>
          <w:sz w:val="24"/>
        </w:rPr>
        <w:t>200</w:t>
      </w:r>
      <w:r>
        <w:rPr>
          <w:rFonts w:hint="eastAsia"/>
          <w:bCs/>
          <w:color w:val="000000" w:themeColor="text1"/>
          <w:sz w:val="24"/>
        </w:rPr>
        <w:t>米处</w:t>
      </w:r>
      <w:r>
        <w:rPr>
          <w:sz w:val="24"/>
        </w:rPr>
        <w:t>，厂区评价范围内无风景名胜区、自然保护区、水源保护区等敏感区分布，本项目用地为</w:t>
      </w:r>
      <w:r>
        <w:rPr>
          <w:rFonts w:hint="eastAsia"/>
          <w:sz w:val="24"/>
        </w:rPr>
        <w:t>工业仓储用地</w:t>
      </w:r>
      <w:r>
        <w:rPr>
          <w:sz w:val="24"/>
        </w:rPr>
        <w:t>，项目选址合理。</w:t>
      </w:r>
    </w:p>
    <w:p w14:paraId="06DEA1E6" w14:textId="77777777" w:rsidR="00B14D53" w:rsidRDefault="00000000">
      <w:pPr>
        <w:spacing w:line="360" w:lineRule="auto"/>
        <w:ind w:firstLineChars="200" w:firstLine="480"/>
        <w:rPr>
          <w:kern w:val="24"/>
          <w:sz w:val="24"/>
        </w:rPr>
      </w:pPr>
      <w:r>
        <w:rPr>
          <w:kern w:val="24"/>
          <w:sz w:val="24"/>
        </w:rPr>
        <w:t>本项目与《中华人民共和国动物防疫法》、</w:t>
      </w:r>
      <w:r>
        <w:rPr>
          <w:sz w:val="24"/>
        </w:rPr>
        <w:t>《动物防疫条件审查办法》、</w:t>
      </w:r>
      <w:r>
        <w:rPr>
          <w:kern w:val="24"/>
          <w:sz w:val="24"/>
        </w:rPr>
        <w:t>《冷库设计标准》（</w:t>
      </w:r>
      <w:r>
        <w:rPr>
          <w:kern w:val="24"/>
          <w:sz w:val="24"/>
        </w:rPr>
        <w:t>GB50072-2021</w:t>
      </w:r>
      <w:r>
        <w:rPr>
          <w:kern w:val="24"/>
          <w:sz w:val="24"/>
        </w:rPr>
        <w:t>）等的符合性分析见下表。</w:t>
      </w:r>
    </w:p>
    <w:p w14:paraId="25F59F44" w14:textId="77777777" w:rsidR="00B14D53" w:rsidRDefault="00000000">
      <w:pPr>
        <w:jc w:val="center"/>
        <w:rPr>
          <w:b/>
          <w:bCs/>
          <w:lang w:val="zh-CN"/>
        </w:rPr>
      </w:pPr>
      <w:r>
        <w:rPr>
          <w:b/>
          <w:bCs/>
          <w:lang w:val="zh-CN"/>
        </w:rPr>
        <w:t>表</w:t>
      </w:r>
      <w:r>
        <w:rPr>
          <w:b/>
          <w:bCs/>
          <w:lang w:val="zh-CN"/>
        </w:rPr>
        <w:t>1-4-</w:t>
      </w:r>
      <w:r>
        <w:rPr>
          <w:rFonts w:hint="eastAsia"/>
          <w:b/>
          <w:bCs/>
        </w:rPr>
        <w:t>6</w:t>
      </w:r>
      <w:r>
        <w:rPr>
          <w:b/>
          <w:bCs/>
        </w:rPr>
        <w:t xml:space="preserve"> </w:t>
      </w:r>
      <w:r>
        <w:rPr>
          <w:b/>
          <w:bCs/>
          <w:lang w:val="zh-CN"/>
        </w:rPr>
        <w:t>选址合理性分析</w:t>
      </w:r>
    </w:p>
    <w:tbl>
      <w:tblPr>
        <w:tblStyle w:val="afffffffff8"/>
        <w:tblW w:w="5000" w:type="pct"/>
        <w:jc w:val="center"/>
        <w:tblLayout w:type="fixed"/>
        <w:tblLook w:val="04A0" w:firstRow="1" w:lastRow="0" w:firstColumn="1" w:lastColumn="0" w:noHBand="0" w:noVBand="1"/>
      </w:tblPr>
      <w:tblGrid>
        <w:gridCol w:w="1043"/>
        <w:gridCol w:w="3844"/>
        <w:gridCol w:w="2743"/>
        <w:gridCol w:w="676"/>
      </w:tblGrid>
      <w:tr w:rsidR="00B14D53" w14:paraId="0FE1D05C" w14:textId="77777777">
        <w:trPr>
          <w:trHeight w:val="340"/>
          <w:jc w:val="center"/>
        </w:trPr>
        <w:tc>
          <w:tcPr>
            <w:tcW w:w="627" w:type="pct"/>
            <w:tcBorders>
              <w:tl2br w:val="nil"/>
              <w:tr2bl w:val="nil"/>
            </w:tcBorders>
          </w:tcPr>
          <w:p w14:paraId="5AEBBBB5" w14:textId="77777777" w:rsidR="00B14D53" w:rsidRDefault="00000000">
            <w:pPr>
              <w:adjustRightInd/>
              <w:snapToGrid/>
              <w:jc w:val="center"/>
              <w:rPr>
                <w:b/>
                <w:bCs/>
                <w:szCs w:val="21"/>
                <w:lang w:val="zh-CN"/>
              </w:rPr>
            </w:pPr>
            <w:bookmarkStart w:id="17" w:name="_Hlk519701584"/>
            <w:r>
              <w:rPr>
                <w:b/>
                <w:bCs/>
                <w:szCs w:val="21"/>
                <w:lang w:val="zh-CN"/>
              </w:rPr>
              <w:t>相关政策、条例、规范</w:t>
            </w:r>
          </w:p>
        </w:tc>
        <w:tc>
          <w:tcPr>
            <w:tcW w:w="2314" w:type="pct"/>
            <w:tcBorders>
              <w:tl2br w:val="nil"/>
              <w:tr2bl w:val="nil"/>
            </w:tcBorders>
          </w:tcPr>
          <w:p w14:paraId="208CFDF3" w14:textId="77777777" w:rsidR="00B14D53" w:rsidRDefault="00000000">
            <w:pPr>
              <w:adjustRightInd/>
              <w:snapToGrid/>
              <w:jc w:val="center"/>
              <w:rPr>
                <w:b/>
                <w:bCs/>
                <w:szCs w:val="21"/>
                <w:lang w:val="zh-CN"/>
              </w:rPr>
            </w:pPr>
            <w:r>
              <w:rPr>
                <w:b/>
                <w:bCs/>
                <w:szCs w:val="21"/>
                <w:lang w:val="zh-CN"/>
              </w:rPr>
              <w:t>要求</w:t>
            </w:r>
          </w:p>
        </w:tc>
        <w:tc>
          <w:tcPr>
            <w:tcW w:w="1651" w:type="pct"/>
            <w:tcBorders>
              <w:tl2br w:val="nil"/>
              <w:tr2bl w:val="nil"/>
            </w:tcBorders>
          </w:tcPr>
          <w:p w14:paraId="5BF71C08" w14:textId="77777777" w:rsidR="00B14D53" w:rsidRDefault="00000000">
            <w:pPr>
              <w:adjustRightInd/>
              <w:snapToGrid/>
              <w:jc w:val="center"/>
              <w:rPr>
                <w:b/>
                <w:bCs/>
                <w:szCs w:val="21"/>
                <w:lang w:val="zh-CN"/>
              </w:rPr>
            </w:pPr>
            <w:r>
              <w:rPr>
                <w:b/>
                <w:bCs/>
                <w:szCs w:val="21"/>
                <w:lang w:val="zh-CN"/>
              </w:rPr>
              <w:t>符合性分析</w:t>
            </w:r>
          </w:p>
        </w:tc>
        <w:tc>
          <w:tcPr>
            <w:tcW w:w="407" w:type="pct"/>
            <w:tcBorders>
              <w:tl2br w:val="nil"/>
              <w:tr2bl w:val="nil"/>
            </w:tcBorders>
          </w:tcPr>
          <w:p w14:paraId="31FB470F" w14:textId="77777777" w:rsidR="00B14D53" w:rsidRDefault="00000000">
            <w:pPr>
              <w:adjustRightInd/>
              <w:snapToGrid/>
              <w:jc w:val="center"/>
              <w:rPr>
                <w:b/>
                <w:bCs/>
                <w:szCs w:val="21"/>
                <w:lang w:val="zh-CN"/>
              </w:rPr>
            </w:pPr>
            <w:r>
              <w:rPr>
                <w:b/>
                <w:bCs/>
                <w:szCs w:val="21"/>
                <w:lang w:val="zh-CN"/>
              </w:rPr>
              <w:t>是否符合</w:t>
            </w:r>
          </w:p>
        </w:tc>
      </w:tr>
      <w:tr w:rsidR="00B14D53" w14:paraId="1CF75135" w14:textId="77777777">
        <w:trPr>
          <w:trHeight w:val="340"/>
          <w:jc w:val="center"/>
        </w:trPr>
        <w:tc>
          <w:tcPr>
            <w:tcW w:w="627" w:type="pct"/>
            <w:tcBorders>
              <w:tl2br w:val="nil"/>
              <w:tr2bl w:val="nil"/>
            </w:tcBorders>
          </w:tcPr>
          <w:p w14:paraId="65031EF4" w14:textId="77777777" w:rsidR="00B14D53" w:rsidRDefault="00000000">
            <w:pPr>
              <w:adjustRightInd/>
              <w:snapToGrid/>
              <w:jc w:val="center"/>
              <w:rPr>
                <w:kern w:val="0"/>
                <w:szCs w:val="21"/>
                <w:lang w:val="zh-CN"/>
              </w:rPr>
            </w:pPr>
            <w:r>
              <w:rPr>
                <w:kern w:val="0"/>
                <w:szCs w:val="21"/>
                <w:lang w:val="zh-CN"/>
              </w:rPr>
              <w:t>《冷库设计标准》（</w:t>
            </w:r>
            <w:r>
              <w:rPr>
                <w:kern w:val="0"/>
                <w:szCs w:val="21"/>
                <w:lang w:val="zh-CN"/>
              </w:rPr>
              <w:t>GB50072-20</w:t>
            </w:r>
            <w:r>
              <w:rPr>
                <w:kern w:val="0"/>
                <w:szCs w:val="21"/>
              </w:rPr>
              <w:t>21</w:t>
            </w:r>
            <w:r>
              <w:rPr>
                <w:kern w:val="0"/>
                <w:szCs w:val="21"/>
                <w:lang w:val="zh-CN"/>
              </w:rPr>
              <w:t>）</w:t>
            </w:r>
          </w:p>
        </w:tc>
        <w:tc>
          <w:tcPr>
            <w:tcW w:w="2314" w:type="pct"/>
            <w:tcBorders>
              <w:tl2br w:val="nil"/>
              <w:tr2bl w:val="nil"/>
            </w:tcBorders>
          </w:tcPr>
          <w:p w14:paraId="43C7660F" w14:textId="77777777" w:rsidR="00B14D53" w:rsidRDefault="00000000">
            <w:pPr>
              <w:adjustRightInd/>
              <w:snapToGrid/>
              <w:ind w:firstLineChars="200" w:firstLine="420"/>
              <w:rPr>
                <w:kern w:val="0"/>
                <w:szCs w:val="21"/>
              </w:rPr>
            </w:pPr>
            <w:r>
              <w:rPr>
                <w:kern w:val="0"/>
                <w:szCs w:val="21"/>
              </w:rPr>
              <w:t>（</w:t>
            </w:r>
            <w:r>
              <w:rPr>
                <w:kern w:val="0"/>
                <w:szCs w:val="21"/>
              </w:rPr>
              <w:t>1</w:t>
            </w:r>
            <w:r>
              <w:rPr>
                <w:kern w:val="0"/>
                <w:szCs w:val="21"/>
              </w:rPr>
              <w:t>）应符合当地总体规划的要求，并应经当地规划部门批准；</w:t>
            </w:r>
          </w:p>
          <w:p w14:paraId="53A32B1C" w14:textId="77777777" w:rsidR="00B14D53" w:rsidRDefault="00000000">
            <w:pPr>
              <w:adjustRightInd/>
              <w:snapToGrid/>
              <w:ind w:firstLineChars="200" w:firstLine="420"/>
              <w:rPr>
                <w:kern w:val="0"/>
                <w:szCs w:val="21"/>
              </w:rPr>
            </w:pPr>
            <w:r>
              <w:rPr>
                <w:kern w:val="0"/>
                <w:szCs w:val="21"/>
              </w:rPr>
              <w:t>（</w:t>
            </w:r>
            <w:r>
              <w:rPr>
                <w:kern w:val="0"/>
                <w:szCs w:val="21"/>
              </w:rPr>
              <w:t>2</w:t>
            </w:r>
            <w:r>
              <w:rPr>
                <w:kern w:val="0"/>
                <w:szCs w:val="21"/>
              </w:rPr>
              <w:t>）使用氨制冷系统的冷库库址宜选择在相邻集中居住区全年最大频率风向的下风向；</w:t>
            </w:r>
          </w:p>
          <w:p w14:paraId="35B9ACF6" w14:textId="77777777" w:rsidR="00B14D53" w:rsidRDefault="00000000">
            <w:pPr>
              <w:adjustRightInd/>
              <w:snapToGrid/>
              <w:ind w:firstLineChars="200" w:firstLine="420"/>
              <w:rPr>
                <w:kern w:val="0"/>
                <w:szCs w:val="21"/>
              </w:rPr>
            </w:pPr>
            <w:r>
              <w:rPr>
                <w:kern w:val="0"/>
                <w:szCs w:val="21"/>
              </w:rPr>
              <w:t>（</w:t>
            </w:r>
            <w:r>
              <w:rPr>
                <w:kern w:val="0"/>
                <w:szCs w:val="21"/>
              </w:rPr>
              <w:t>3</w:t>
            </w:r>
            <w:r>
              <w:rPr>
                <w:kern w:val="0"/>
                <w:szCs w:val="21"/>
              </w:rPr>
              <w:t>）库址周围应有良好的卫生条件，并应避开和远离有害气体、烟雾、粉尘及其他有污染源的地段；</w:t>
            </w:r>
          </w:p>
          <w:p w14:paraId="2F2D2067" w14:textId="77777777" w:rsidR="00B14D53" w:rsidRDefault="00000000">
            <w:pPr>
              <w:pStyle w:val="11111"/>
              <w:adjustRightInd/>
              <w:snapToGrid/>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4</w:t>
            </w:r>
            <w:r>
              <w:rPr>
                <w:rFonts w:ascii="Times New Roman" w:hAnsi="Times New Roman" w:cs="Times New Roman"/>
                <w:kern w:val="0"/>
                <w:sz w:val="21"/>
                <w:szCs w:val="21"/>
              </w:rPr>
              <w:t>）应结合物流流向和近远期发展等因素，选择在交通运输方便的区域；</w:t>
            </w:r>
          </w:p>
          <w:p w14:paraId="7140CA62" w14:textId="77777777" w:rsidR="00B14D53" w:rsidRDefault="00000000">
            <w:pPr>
              <w:adjustRightInd/>
              <w:snapToGrid/>
              <w:ind w:firstLineChars="200" w:firstLine="420"/>
              <w:rPr>
                <w:kern w:val="0"/>
                <w:szCs w:val="21"/>
              </w:rPr>
            </w:pPr>
            <w:r>
              <w:rPr>
                <w:kern w:val="0"/>
                <w:szCs w:val="21"/>
              </w:rPr>
              <w:t>（</w:t>
            </w:r>
            <w:r>
              <w:rPr>
                <w:kern w:val="0"/>
                <w:szCs w:val="21"/>
              </w:rPr>
              <w:t>5</w:t>
            </w:r>
            <w:r>
              <w:rPr>
                <w:kern w:val="0"/>
                <w:szCs w:val="21"/>
              </w:rPr>
              <w:t>）宜具备可靠的水源和电源以及排水条件；</w:t>
            </w:r>
          </w:p>
          <w:p w14:paraId="5DA10FEE" w14:textId="77777777" w:rsidR="00B14D53" w:rsidRDefault="00000000">
            <w:pPr>
              <w:adjustRightInd/>
              <w:snapToGrid/>
              <w:ind w:firstLineChars="200" w:firstLine="420"/>
              <w:rPr>
                <w:kern w:val="0"/>
                <w:szCs w:val="21"/>
              </w:rPr>
            </w:pPr>
            <w:r>
              <w:rPr>
                <w:kern w:val="0"/>
                <w:szCs w:val="21"/>
              </w:rPr>
              <w:t>（</w:t>
            </w:r>
            <w:r>
              <w:rPr>
                <w:kern w:val="0"/>
                <w:szCs w:val="21"/>
              </w:rPr>
              <w:t>6</w:t>
            </w:r>
            <w:r>
              <w:rPr>
                <w:kern w:val="0"/>
                <w:szCs w:val="21"/>
              </w:rPr>
              <w:t>）应避开洪水和泥石流易发地段以及其他地址条件不良地段；</w:t>
            </w:r>
          </w:p>
          <w:p w14:paraId="06ED00E5" w14:textId="77777777" w:rsidR="00B14D53" w:rsidRDefault="00000000">
            <w:pPr>
              <w:adjustRightInd/>
              <w:snapToGrid/>
              <w:ind w:firstLineChars="200" w:firstLine="420"/>
              <w:rPr>
                <w:kern w:val="0"/>
                <w:szCs w:val="21"/>
              </w:rPr>
            </w:pPr>
            <w:r>
              <w:rPr>
                <w:kern w:val="0"/>
                <w:szCs w:val="21"/>
              </w:rPr>
              <w:t>（</w:t>
            </w:r>
            <w:r>
              <w:rPr>
                <w:kern w:val="0"/>
                <w:szCs w:val="21"/>
              </w:rPr>
              <w:t>7</w:t>
            </w:r>
            <w:r>
              <w:rPr>
                <w:kern w:val="0"/>
                <w:szCs w:val="21"/>
              </w:rPr>
              <w:t>）冷库库址还应综合考虑各类冷库的特殊要求。</w:t>
            </w:r>
          </w:p>
          <w:p w14:paraId="4D480617" w14:textId="77777777" w:rsidR="00B14D53" w:rsidRDefault="00000000">
            <w:pPr>
              <w:pStyle w:val="11111"/>
              <w:adjustRightInd/>
              <w:snapToGrid/>
              <w:spacing w:line="240" w:lineRule="auto"/>
              <w:ind w:firstLine="420"/>
              <w:rPr>
                <w:rFonts w:ascii="Times New Roman" w:hAnsi="Times New Roman" w:cs="Times New Roman"/>
              </w:rPr>
            </w:pPr>
            <w:r>
              <w:rPr>
                <w:rFonts w:ascii="Times New Roman" w:hAnsi="Times New Roman" w:cs="Times New Roman"/>
                <w:kern w:val="0"/>
                <w:sz w:val="21"/>
                <w:szCs w:val="21"/>
              </w:rPr>
              <w:t>（</w:t>
            </w:r>
            <w:r>
              <w:rPr>
                <w:rFonts w:ascii="Times New Roman" w:hAnsi="Times New Roman" w:cs="Times New Roman"/>
                <w:kern w:val="0"/>
                <w:sz w:val="21"/>
                <w:szCs w:val="21"/>
              </w:rPr>
              <w:t>8</w:t>
            </w:r>
            <w:r>
              <w:rPr>
                <w:rFonts w:ascii="Times New Roman" w:hAnsi="Times New Roman" w:cs="Times New Roman"/>
                <w:kern w:val="0"/>
                <w:sz w:val="21"/>
                <w:szCs w:val="21"/>
              </w:rPr>
              <w:t>）使用氨制冷系统的房间、安装在室外的氨制冷设备和管道与厂区外民用建筑的最小间距不应小于</w:t>
            </w:r>
            <w:r>
              <w:rPr>
                <w:rFonts w:ascii="Times New Roman" w:hAnsi="Times New Roman" w:cs="Times New Roman"/>
                <w:kern w:val="0"/>
                <w:sz w:val="21"/>
                <w:szCs w:val="21"/>
              </w:rPr>
              <w:t>150m</w:t>
            </w:r>
            <w:r>
              <w:rPr>
                <w:rFonts w:ascii="Times New Roman" w:hAnsi="Times New Roman" w:cs="Times New Roman"/>
                <w:kern w:val="0"/>
                <w:sz w:val="21"/>
                <w:szCs w:val="21"/>
              </w:rPr>
              <w:t>，当氨制冷系统符合本标准第</w:t>
            </w:r>
            <w:r>
              <w:rPr>
                <w:rFonts w:ascii="Times New Roman" w:hAnsi="Times New Roman" w:cs="Times New Roman"/>
                <w:kern w:val="0"/>
                <w:sz w:val="21"/>
                <w:szCs w:val="21"/>
              </w:rPr>
              <w:t>6.7.17</w:t>
            </w:r>
            <w:r>
              <w:rPr>
                <w:rFonts w:ascii="Times New Roman" w:hAnsi="Times New Roman" w:cs="Times New Roman"/>
                <w:kern w:val="0"/>
                <w:sz w:val="21"/>
                <w:szCs w:val="21"/>
              </w:rPr>
              <w:t>条的规定时，与厂区外民用建筑的最小间距不应小于</w:t>
            </w:r>
            <w:r>
              <w:rPr>
                <w:rFonts w:ascii="Times New Roman" w:hAnsi="Times New Roman" w:cs="Times New Roman"/>
                <w:kern w:val="0"/>
                <w:sz w:val="21"/>
                <w:szCs w:val="21"/>
              </w:rPr>
              <w:t>60m</w:t>
            </w:r>
            <w:r>
              <w:rPr>
                <w:rFonts w:ascii="Times New Roman" w:hAnsi="Times New Roman" w:cs="Times New Roman"/>
                <w:kern w:val="0"/>
                <w:sz w:val="21"/>
                <w:szCs w:val="21"/>
              </w:rPr>
              <w:t>。</w:t>
            </w:r>
          </w:p>
        </w:tc>
        <w:tc>
          <w:tcPr>
            <w:tcW w:w="1651" w:type="pct"/>
            <w:tcBorders>
              <w:tl2br w:val="nil"/>
              <w:tr2bl w:val="nil"/>
            </w:tcBorders>
          </w:tcPr>
          <w:p w14:paraId="5F1E8356" w14:textId="77777777" w:rsidR="00B14D53" w:rsidRDefault="00000000">
            <w:pPr>
              <w:adjustRightInd/>
              <w:snapToGrid/>
              <w:ind w:firstLineChars="200" w:firstLine="420"/>
              <w:rPr>
                <w:kern w:val="0"/>
                <w:szCs w:val="21"/>
              </w:rPr>
            </w:pPr>
            <w:r>
              <w:rPr>
                <w:kern w:val="0"/>
                <w:szCs w:val="21"/>
                <w:lang w:val="zh-CN"/>
              </w:rPr>
              <w:t>（</w:t>
            </w:r>
            <w:r>
              <w:rPr>
                <w:kern w:val="0"/>
                <w:szCs w:val="21"/>
              </w:rPr>
              <w:t>1</w:t>
            </w:r>
            <w:r>
              <w:rPr>
                <w:kern w:val="0"/>
                <w:szCs w:val="21"/>
                <w:lang w:val="zh-CN"/>
              </w:rPr>
              <w:t>）</w:t>
            </w:r>
            <w:r>
              <w:rPr>
                <w:rFonts w:hint="eastAsia"/>
                <w:kern w:val="0"/>
                <w:szCs w:val="21"/>
              </w:rPr>
              <w:t>本项目冷库建设位于厂内，符合用地要求</w:t>
            </w:r>
          </w:p>
          <w:p w14:paraId="30A1520F" w14:textId="77777777" w:rsidR="00B14D53" w:rsidRDefault="00000000">
            <w:pPr>
              <w:adjustRightInd/>
              <w:snapToGrid/>
              <w:ind w:firstLineChars="200" w:firstLine="420"/>
              <w:rPr>
                <w:kern w:val="0"/>
                <w:szCs w:val="21"/>
              </w:rPr>
            </w:pPr>
            <w:r>
              <w:rPr>
                <w:rFonts w:hint="eastAsia"/>
                <w:kern w:val="0"/>
                <w:szCs w:val="21"/>
                <w:lang w:val="zh-CN"/>
              </w:rPr>
              <w:t>（</w:t>
            </w:r>
            <w:r>
              <w:rPr>
                <w:rFonts w:hint="eastAsia"/>
                <w:kern w:val="0"/>
                <w:szCs w:val="21"/>
              </w:rPr>
              <w:t>2</w:t>
            </w:r>
            <w:r>
              <w:rPr>
                <w:rFonts w:hint="eastAsia"/>
                <w:kern w:val="0"/>
                <w:szCs w:val="21"/>
                <w:lang w:val="zh-CN"/>
              </w:rPr>
              <w:t>）</w:t>
            </w:r>
            <w:r>
              <w:rPr>
                <w:kern w:val="0"/>
                <w:szCs w:val="21"/>
                <w:lang w:val="zh-CN"/>
              </w:rPr>
              <w:t>本项目冷库</w:t>
            </w:r>
            <w:r>
              <w:rPr>
                <w:kern w:val="0"/>
                <w:szCs w:val="21"/>
              </w:rPr>
              <w:t>采用</w:t>
            </w:r>
            <w:r>
              <w:rPr>
                <w:kern w:val="0"/>
                <w:szCs w:val="21"/>
              </w:rPr>
              <w:t>R404</w:t>
            </w:r>
            <w:r>
              <w:rPr>
                <w:rFonts w:hint="eastAsia"/>
                <w:kern w:val="0"/>
                <w:szCs w:val="21"/>
              </w:rPr>
              <w:t>A</w:t>
            </w:r>
            <w:r>
              <w:rPr>
                <w:kern w:val="0"/>
                <w:szCs w:val="21"/>
              </w:rPr>
              <w:t>制冷剂；</w:t>
            </w:r>
          </w:p>
          <w:p w14:paraId="37D5DECB" w14:textId="77777777" w:rsidR="00B14D53" w:rsidRDefault="00000000">
            <w:pPr>
              <w:adjustRightInd/>
              <w:snapToGrid/>
              <w:ind w:firstLineChars="200" w:firstLine="420"/>
              <w:rPr>
                <w:kern w:val="0"/>
                <w:szCs w:val="21"/>
                <w:lang w:val="zh-CN"/>
              </w:rPr>
            </w:pPr>
            <w:r>
              <w:rPr>
                <w:rFonts w:hint="eastAsia"/>
                <w:kern w:val="0"/>
                <w:szCs w:val="21"/>
              </w:rPr>
              <w:t>（</w:t>
            </w:r>
            <w:r>
              <w:rPr>
                <w:rFonts w:hint="eastAsia"/>
                <w:kern w:val="0"/>
                <w:szCs w:val="21"/>
              </w:rPr>
              <w:t>3</w:t>
            </w:r>
            <w:r>
              <w:rPr>
                <w:rFonts w:hint="eastAsia"/>
                <w:kern w:val="0"/>
                <w:szCs w:val="21"/>
              </w:rPr>
              <w:t>）</w:t>
            </w:r>
            <w:r>
              <w:rPr>
                <w:kern w:val="0"/>
                <w:szCs w:val="21"/>
                <w:lang w:val="zh-CN"/>
              </w:rPr>
              <w:t>项目区周边卫生条件良好，</w:t>
            </w:r>
            <w:r>
              <w:rPr>
                <w:rFonts w:hint="eastAsia"/>
                <w:kern w:val="0"/>
                <w:szCs w:val="21"/>
              </w:rPr>
              <w:t>西侧企业进行植物油加工，</w:t>
            </w:r>
            <w:r>
              <w:rPr>
                <w:kern w:val="0"/>
                <w:szCs w:val="21"/>
                <w:lang w:val="zh-CN"/>
              </w:rPr>
              <w:t>无有害气体、粉尘</w:t>
            </w:r>
            <w:r>
              <w:rPr>
                <w:rFonts w:hint="eastAsia"/>
                <w:kern w:val="0"/>
                <w:szCs w:val="21"/>
              </w:rPr>
              <w:t>排放，废水排入市政管网</w:t>
            </w:r>
            <w:r>
              <w:rPr>
                <w:kern w:val="0"/>
                <w:szCs w:val="21"/>
                <w:lang w:val="zh-CN"/>
              </w:rPr>
              <w:t>；</w:t>
            </w:r>
          </w:p>
          <w:p w14:paraId="22D0E751" w14:textId="77777777" w:rsidR="00B14D53" w:rsidRDefault="00000000">
            <w:pPr>
              <w:adjustRightInd/>
              <w:snapToGrid/>
              <w:ind w:firstLineChars="200" w:firstLine="420"/>
              <w:rPr>
                <w:kern w:val="0"/>
                <w:szCs w:val="21"/>
                <w:lang w:val="zh-CN"/>
              </w:rPr>
            </w:pPr>
            <w:r>
              <w:rPr>
                <w:kern w:val="0"/>
                <w:szCs w:val="21"/>
                <w:lang w:val="zh-CN"/>
              </w:rPr>
              <w:t>（</w:t>
            </w:r>
            <w:r>
              <w:rPr>
                <w:rFonts w:hint="eastAsia"/>
                <w:kern w:val="0"/>
                <w:szCs w:val="21"/>
              </w:rPr>
              <w:t>4</w:t>
            </w:r>
            <w:r>
              <w:rPr>
                <w:kern w:val="0"/>
                <w:szCs w:val="21"/>
                <w:lang w:val="zh-CN"/>
              </w:rPr>
              <w:t>）本项目</w:t>
            </w:r>
            <w:r>
              <w:rPr>
                <w:rFonts w:hint="eastAsia"/>
                <w:kern w:val="0"/>
                <w:szCs w:val="21"/>
              </w:rPr>
              <w:t>北</w:t>
            </w:r>
            <w:r>
              <w:rPr>
                <w:kern w:val="0"/>
                <w:szCs w:val="21"/>
              </w:rPr>
              <w:t>为</w:t>
            </w:r>
            <w:r>
              <w:rPr>
                <w:rFonts w:hint="eastAsia"/>
                <w:kern w:val="0"/>
                <w:szCs w:val="21"/>
              </w:rPr>
              <w:t>园区路</w:t>
            </w:r>
            <w:r>
              <w:rPr>
                <w:kern w:val="0"/>
                <w:szCs w:val="21"/>
              </w:rPr>
              <w:t>，</w:t>
            </w:r>
            <w:r>
              <w:rPr>
                <w:kern w:val="0"/>
                <w:szCs w:val="21"/>
                <w:lang w:val="zh-CN"/>
              </w:rPr>
              <w:t>交通方便；</w:t>
            </w:r>
          </w:p>
          <w:p w14:paraId="4346D289" w14:textId="77777777" w:rsidR="00B14D53" w:rsidRDefault="00000000">
            <w:pPr>
              <w:adjustRightInd/>
              <w:snapToGrid/>
              <w:ind w:firstLineChars="200" w:firstLine="420"/>
              <w:rPr>
                <w:kern w:val="0"/>
                <w:szCs w:val="21"/>
                <w:lang w:val="zh-CN"/>
              </w:rPr>
            </w:pPr>
            <w:r>
              <w:rPr>
                <w:kern w:val="0"/>
                <w:szCs w:val="21"/>
                <w:lang w:val="zh-CN"/>
              </w:rPr>
              <w:t>（</w:t>
            </w:r>
            <w:r>
              <w:rPr>
                <w:rFonts w:hint="eastAsia"/>
                <w:kern w:val="0"/>
                <w:szCs w:val="21"/>
              </w:rPr>
              <w:t>5</w:t>
            </w:r>
            <w:r>
              <w:rPr>
                <w:kern w:val="0"/>
                <w:szCs w:val="21"/>
                <w:lang w:val="zh-CN"/>
              </w:rPr>
              <w:t>）本项目</w:t>
            </w:r>
            <w:r>
              <w:rPr>
                <w:kern w:val="0"/>
                <w:szCs w:val="21"/>
              </w:rPr>
              <w:t>生产用水由是市政官网提供，</w:t>
            </w:r>
            <w:r>
              <w:rPr>
                <w:kern w:val="0"/>
                <w:szCs w:val="21"/>
                <w:lang w:val="zh-CN"/>
              </w:rPr>
              <w:t>电源来自于市政供电；</w:t>
            </w:r>
          </w:p>
          <w:p w14:paraId="0F07AFE2" w14:textId="77777777" w:rsidR="00B14D53" w:rsidRDefault="00000000">
            <w:pPr>
              <w:adjustRightInd/>
              <w:snapToGrid/>
              <w:ind w:firstLineChars="200" w:firstLine="420"/>
              <w:rPr>
                <w:kern w:val="0"/>
                <w:szCs w:val="21"/>
                <w:lang w:val="zh-CN"/>
              </w:rPr>
            </w:pPr>
            <w:r>
              <w:rPr>
                <w:kern w:val="0"/>
                <w:szCs w:val="21"/>
                <w:lang w:val="zh-CN"/>
              </w:rPr>
              <w:t>（</w:t>
            </w:r>
            <w:r>
              <w:rPr>
                <w:rFonts w:hint="eastAsia"/>
                <w:kern w:val="0"/>
                <w:szCs w:val="21"/>
              </w:rPr>
              <w:t>6</w:t>
            </w:r>
            <w:r>
              <w:rPr>
                <w:kern w:val="0"/>
                <w:szCs w:val="21"/>
                <w:lang w:val="zh-CN"/>
              </w:rPr>
              <w:t>）本项目场地较宽阔，地形平坦，地貌单一，场地无断裂、滑移等影响工程稳定性的不良地质作用</w:t>
            </w:r>
            <w:r>
              <w:rPr>
                <w:rFonts w:hint="eastAsia"/>
                <w:kern w:val="0"/>
                <w:szCs w:val="21"/>
                <w:lang w:val="zh-CN"/>
              </w:rPr>
              <w:t>；</w:t>
            </w:r>
          </w:p>
          <w:p w14:paraId="34F329F9" w14:textId="77777777" w:rsidR="00B14D53" w:rsidRDefault="00000000">
            <w:pPr>
              <w:pStyle w:val="11111"/>
              <w:adjustRightInd/>
              <w:snapToGrid/>
              <w:spacing w:line="240" w:lineRule="auto"/>
              <w:ind w:firstLine="420"/>
              <w:rPr>
                <w:rFonts w:ascii="Times New Roman" w:hAnsi="Times New Roman" w:cs="Times New Roman"/>
              </w:rPr>
            </w:pPr>
            <w:r>
              <w:rPr>
                <w:rFonts w:ascii="Times New Roman" w:hAnsi="Times New Roman" w:cs="Times New Roman"/>
                <w:kern w:val="0"/>
                <w:sz w:val="21"/>
                <w:szCs w:val="21"/>
                <w:lang w:val="zh-CN"/>
              </w:rPr>
              <w:t>（</w:t>
            </w:r>
            <w:r>
              <w:rPr>
                <w:rFonts w:ascii="Times New Roman" w:hAnsi="Times New Roman" w:cs="Times New Roman" w:hint="eastAsia"/>
                <w:kern w:val="0"/>
                <w:sz w:val="21"/>
                <w:szCs w:val="21"/>
              </w:rPr>
              <w:t>7</w:t>
            </w:r>
            <w:r>
              <w:rPr>
                <w:rFonts w:ascii="Times New Roman" w:hAnsi="Times New Roman" w:cs="Times New Roman"/>
                <w:kern w:val="0"/>
                <w:sz w:val="21"/>
                <w:szCs w:val="21"/>
                <w:lang w:val="zh-CN"/>
              </w:rPr>
              <w:t>）最近</w:t>
            </w:r>
            <w:r>
              <w:rPr>
                <w:rFonts w:ascii="Times New Roman" w:hAnsi="Times New Roman" w:cs="Times New Roman"/>
                <w:kern w:val="0"/>
                <w:sz w:val="21"/>
                <w:szCs w:val="21"/>
              </w:rPr>
              <w:t>民用建筑</w:t>
            </w:r>
            <w:r>
              <w:rPr>
                <w:rFonts w:ascii="Times New Roman" w:hAnsi="Times New Roman" w:cs="Times New Roman"/>
                <w:kern w:val="0"/>
                <w:sz w:val="21"/>
                <w:szCs w:val="21"/>
                <w:lang w:val="zh-CN"/>
              </w:rPr>
              <w:t>为</w:t>
            </w:r>
            <w:r>
              <w:rPr>
                <w:rFonts w:ascii="Times New Roman" w:hAnsi="Times New Roman" w:cs="Times New Roman" w:hint="eastAsia"/>
                <w:kern w:val="0"/>
                <w:sz w:val="21"/>
                <w:szCs w:val="21"/>
              </w:rPr>
              <w:t>厂址西南侧山河屯林业局居民</w:t>
            </w:r>
            <w:r>
              <w:rPr>
                <w:rFonts w:ascii="Times New Roman" w:hAnsi="Times New Roman" w:cs="Times New Roman"/>
                <w:kern w:val="0"/>
                <w:sz w:val="21"/>
                <w:szCs w:val="21"/>
                <w:lang w:val="zh-CN"/>
              </w:rPr>
              <w:t>，距离本项目厂址约</w:t>
            </w:r>
            <w:r>
              <w:rPr>
                <w:rFonts w:ascii="Times New Roman" w:hAnsi="Times New Roman" w:cs="Times New Roman" w:hint="eastAsia"/>
                <w:kern w:val="0"/>
                <w:sz w:val="21"/>
                <w:szCs w:val="21"/>
              </w:rPr>
              <w:t>230</w:t>
            </w:r>
            <w:r>
              <w:rPr>
                <w:rFonts w:ascii="Times New Roman" w:hAnsi="Times New Roman" w:cs="Times New Roman"/>
                <w:kern w:val="0"/>
                <w:sz w:val="21"/>
                <w:szCs w:val="21"/>
                <w:lang w:val="zh-CN"/>
              </w:rPr>
              <w:t>m</w:t>
            </w:r>
            <w:r>
              <w:rPr>
                <w:rFonts w:ascii="Times New Roman" w:hAnsi="Times New Roman" w:cs="Times New Roman" w:hint="eastAsia"/>
                <w:kern w:val="0"/>
                <w:sz w:val="21"/>
                <w:szCs w:val="21"/>
                <w:lang w:val="zh-CN"/>
              </w:rPr>
              <w:t>，</w:t>
            </w:r>
            <w:r>
              <w:rPr>
                <w:rFonts w:ascii="Times New Roman" w:hAnsi="Times New Roman" w:cs="Times New Roman"/>
                <w:kern w:val="0"/>
                <w:sz w:val="21"/>
                <w:szCs w:val="21"/>
              </w:rPr>
              <w:t>满足要求</w:t>
            </w:r>
          </w:p>
        </w:tc>
        <w:tc>
          <w:tcPr>
            <w:tcW w:w="407" w:type="pct"/>
            <w:tcBorders>
              <w:tl2br w:val="nil"/>
              <w:tr2bl w:val="nil"/>
            </w:tcBorders>
          </w:tcPr>
          <w:p w14:paraId="6F9E0A20" w14:textId="77777777" w:rsidR="00B14D53" w:rsidRDefault="00000000">
            <w:pPr>
              <w:adjustRightInd/>
              <w:snapToGrid/>
              <w:jc w:val="center"/>
              <w:rPr>
                <w:kern w:val="0"/>
                <w:szCs w:val="21"/>
                <w:lang w:val="zh-CN"/>
              </w:rPr>
            </w:pPr>
            <w:r>
              <w:rPr>
                <w:kern w:val="0"/>
                <w:szCs w:val="21"/>
                <w:lang w:val="zh-CN"/>
              </w:rPr>
              <w:t>符合</w:t>
            </w:r>
          </w:p>
        </w:tc>
      </w:tr>
    </w:tbl>
    <w:p w14:paraId="56F3212A" w14:textId="77777777" w:rsidR="00B14D53" w:rsidRDefault="00000000">
      <w:pPr>
        <w:jc w:val="center"/>
      </w:pPr>
      <w:r>
        <w:rPr>
          <w:rFonts w:hint="eastAsia"/>
          <w:b/>
          <w:bCs/>
        </w:rPr>
        <w:t>续</w:t>
      </w:r>
      <w:r>
        <w:rPr>
          <w:b/>
          <w:bCs/>
          <w:lang w:val="zh-CN"/>
        </w:rPr>
        <w:t>表</w:t>
      </w:r>
      <w:r>
        <w:rPr>
          <w:b/>
          <w:bCs/>
          <w:lang w:val="zh-CN"/>
        </w:rPr>
        <w:t>1-4-</w:t>
      </w:r>
      <w:r>
        <w:rPr>
          <w:rFonts w:hint="eastAsia"/>
          <w:b/>
          <w:bCs/>
        </w:rPr>
        <w:t>6</w:t>
      </w:r>
      <w:r>
        <w:rPr>
          <w:b/>
          <w:bCs/>
        </w:rPr>
        <w:t xml:space="preserve"> </w:t>
      </w:r>
      <w:r>
        <w:rPr>
          <w:b/>
          <w:bCs/>
          <w:lang w:val="zh-CN"/>
        </w:rPr>
        <w:t>选址合理性分析</w:t>
      </w:r>
    </w:p>
    <w:tbl>
      <w:tblPr>
        <w:tblStyle w:val="afffffffff8"/>
        <w:tblW w:w="5000" w:type="pct"/>
        <w:jc w:val="center"/>
        <w:tblLayout w:type="fixed"/>
        <w:tblLook w:val="04A0" w:firstRow="1" w:lastRow="0" w:firstColumn="1" w:lastColumn="0" w:noHBand="0" w:noVBand="1"/>
      </w:tblPr>
      <w:tblGrid>
        <w:gridCol w:w="1043"/>
        <w:gridCol w:w="3844"/>
        <w:gridCol w:w="2743"/>
        <w:gridCol w:w="676"/>
      </w:tblGrid>
      <w:tr w:rsidR="00B14D53" w14:paraId="58F689C8" w14:textId="77777777">
        <w:trPr>
          <w:trHeight w:val="340"/>
          <w:jc w:val="center"/>
        </w:trPr>
        <w:tc>
          <w:tcPr>
            <w:tcW w:w="627" w:type="pct"/>
            <w:tcBorders>
              <w:tl2br w:val="nil"/>
              <w:tr2bl w:val="nil"/>
            </w:tcBorders>
          </w:tcPr>
          <w:p w14:paraId="484C29F7" w14:textId="77777777" w:rsidR="00B14D53" w:rsidRDefault="00000000">
            <w:pPr>
              <w:adjustRightInd/>
              <w:snapToGrid/>
              <w:jc w:val="center"/>
              <w:rPr>
                <w:kern w:val="0"/>
                <w:szCs w:val="21"/>
              </w:rPr>
            </w:pPr>
            <w:r>
              <w:rPr>
                <w:kern w:val="0"/>
                <w:szCs w:val="21"/>
              </w:rPr>
              <w:t>《中华人民共和国动物防疫法》</w:t>
            </w:r>
          </w:p>
        </w:tc>
        <w:tc>
          <w:tcPr>
            <w:tcW w:w="2314" w:type="pct"/>
            <w:tcBorders>
              <w:tl2br w:val="nil"/>
              <w:tr2bl w:val="nil"/>
            </w:tcBorders>
          </w:tcPr>
          <w:p w14:paraId="2CF2BD2D" w14:textId="77777777" w:rsidR="00B14D53" w:rsidRDefault="00000000">
            <w:pPr>
              <w:adjustRightInd/>
              <w:snapToGrid/>
              <w:ind w:firstLineChars="200" w:firstLine="420"/>
              <w:rPr>
                <w:kern w:val="0"/>
                <w:szCs w:val="21"/>
              </w:rPr>
            </w:pPr>
            <w:r>
              <w:rPr>
                <w:kern w:val="0"/>
                <w:szCs w:val="21"/>
              </w:rPr>
              <w:t>第二十四条</w:t>
            </w:r>
            <w:r>
              <w:rPr>
                <w:kern w:val="0"/>
                <w:szCs w:val="21"/>
              </w:rPr>
              <w:t xml:space="preserve"> </w:t>
            </w:r>
            <w:r>
              <w:rPr>
                <w:kern w:val="0"/>
                <w:szCs w:val="21"/>
              </w:rPr>
              <w:t>动物饲养场和隔离场所、动物屠宰加工场所以及动物和动物产品无害化处理场所，应当符合下列动物防疫条件：</w:t>
            </w:r>
          </w:p>
          <w:p w14:paraId="77503605" w14:textId="77777777" w:rsidR="00B14D53" w:rsidRDefault="00000000">
            <w:pPr>
              <w:adjustRightInd/>
              <w:snapToGrid/>
              <w:ind w:firstLineChars="200" w:firstLine="420"/>
              <w:rPr>
                <w:kern w:val="0"/>
                <w:szCs w:val="21"/>
              </w:rPr>
            </w:pPr>
            <w:r>
              <w:rPr>
                <w:kern w:val="0"/>
                <w:szCs w:val="21"/>
              </w:rPr>
              <w:t>（一）场所的位置与居民生活区、生活饮用水水源地、学校、医院等公共场所的距离符合国务院农业农村主管部门的规定；</w:t>
            </w:r>
          </w:p>
          <w:p w14:paraId="5B355361" w14:textId="77777777" w:rsidR="00B14D53" w:rsidRDefault="00000000">
            <w:pPr>
              <w:adjustRightInd/>
              <w:snapToGrid/>
              <w:ind w:firstLineChars="200" w:firstLine="420"/>
              <w:rPr>
                <w:kern w:val="0"/>
                <w:szCs w:val="21"/>
              </w:rPr>
            </w:pPr>
            <w:r>
              <w:rPr>
                <w:kern w:val="0"/>
                <w:szCs w:val="21"/>
              </w:rPr>
              <w:t>（二）生产经营区域封闭隔离，工程设计和有关流程符合动物防疫要求；</w:t>
            </w:r>
          </w:p>
          <w:p w14:paraId="27CC89EE" w14:textId="77777777" w:rsidR="00B14D53" w:rsidRDefault="00000000">
            <w:pPr>
              <w:adjustRightInd/>
              <w:snapToGrid/>
              <w:ind w:firstLineChars="200" w:firstLine="420"/>
              <w:rPr>
                <w:kern w:val="0"/>
                <w:szCs w:val="21"/>
              </w:rPr>
            </w:pPr>
            <w:r>
              <w:rPr>
                <w:kern w:val="0"/>
                <w:szCs w:val="21"/>
              </w:rPr>
              <w:t>（三）有与其规模相适应的污水、污物处理设施，病死动物、病害动物产品无害化处理设施设备或者冷藏冷冻设施设备，以及清洗消毒设施设备；</w:t>
            </w:r>
          </w:p>
          <w:p w14:paraId="6CD43332" w14:textId="77777777" w:rsidR="00B14D53" w:rsidRDefault="00000000">
            <w:pPr>
              <w:adjustRightInd/>
              <w:snapToGrid/>
              <w:ind w:firstLineChars="200" w:firstLine="420"/>
              <w:rPr>
                <w:kern w:val="0"/>
                <w:szCs w:val="21"/>
              </w:rPr>
            </w:pPr>
            <w:r>
              <w:rPr>
                <w:kern w:val="0"/>
                <w:szCs w:val="21"/>
              </w:rPr>
              <w:t>（四）有与其规模相适应的执业兽医或者动物防疫技术人员；</w:t>
            </w:r>
          </w:p>
          <w:p w14:paraId="23BCE6CC" w14:textId="77777777" w:rsidR="00B14D53" w:rsidRDefault="00000000">
            <w:pPr>
              <w:adjustRightInd/>
              <w:snapToGrid/>
              <w:ind w:firstLineChars="200" w:firstLine="420"/>
              <w:rPr>
                <w:kern w:val="0"/>
                <w:szCs w:val="21"/>
              </w:rPr>
            </w:pPr>
            <w:r>
              <w:rPr>
                <w:kern w:val="0"/>
                <w:szCs w:val="21"/>
              </w:rPr>
              <w:t>（五）有完善的隔离消毒、购销台账、日常巡查等动物防疫制度；</w:t>
            </w:r>
          </w:p>
          <w:p w14:paraId="20EEEDAA" w14:textId="77777777" w:rsidR="00B14D53" w:rsidRDefault="00000000">
            <w:pPr>
              <w:adjustRightInd/>
              <w:snapToGrid/>
              <w:ind w:firstLineChars="200" w:firstLine="420"/>
              <w:rPr>
                <w:kern w:val="0"/>
                <w:szCs w:val="21"/>
              </w:rPr>
            </w:pPr>
            <w:r>
              <w:rPr>
                <w:kern w:val="0"/>
                <w:szCs w:val="21"/>
              </w:rPr>
              <w:t>（六）具备国务院农业农村主管部门规定的其他动物防疫条件。</w:t>
            </w:r>
          </w:p>
          <w:p w14:paraId="0920462A" w14:textId="77777777" w:rsidR="00B14D53" w:rsidRDefault="00000000">
            <w:pPr>
              <w:adjustRightInd/>
              <w:snapToGrid/>
              <w:ind w:firstLineChars="200" w:firstLine="420"/>
              <w:rPr>
                <w:kern w:val="0"/>
                <w:szCs w:val="21"/>
              </w:rPr>
            </w:pPr>
            <w:r>
              <w:rPr>
                <w:kern w:val="0"/>
                <w:szCs w:val="21"/>
              </w:rPr>
              <w:t>第四十九条</w:t>
            </w:r>
            <w:r>
              <w:rPr>
                <w:kern w:val="0"/>
                <w:szCs w:val="21"/>
              </w:rPr>
              <w:t xml:space="preserve"> </w:t>
            </w:r>
            <w:r>
              <w:rPr>
                <w:kern w:val="0"/>
                <w:szCs w:val="21"/>
              </w:rPr>
              <w:t>屠宰、出售或者运输动物以及出售或者运输动物产品前，货主应当按照国务院农业农村主管部门的规定向所在地动物卫生监督机构申报检疫。</w:t>
            </w:r>
          </w:p>
          <w:p w14:paraId="36305D99" w14:textId="77777777" w:rsidR="00B14D53" w:rsidRDefault="00000000">
            <w:pPr>
              <w:adjustRightInd/>
              <w:snapToGrid/>
              <w:ind w:firstLineChars="200" w:firstLine="420"/>
              <w:rPr>
                <w:kern w:val="0"/>
                <w:szCs w:val="21"/>
                <w:shd w:val="clear" w:color="auto" w:fill="FFFFFF"/>
              </w:rPr>
            </w:pPr>
            <w:r>
              <w:rPr>
                <w:kern w:val="0"/>
                <w:szCs w:val="21"/>
              </w:rPr>
              <w:t>第五十七条</w:t>
            </w:r>
            <w:r>
              <w:rPr>
                <w:kern w:val="0"/>
                <w:szCs w:val="21"/>
              </w:rPr>
              <w:t xml:space="preserve"> </w:t>
            </w:r>
            <w:r>
              <w:rPr>
                <w:kern w:val="0"/>
                <w:szCs w:val="21"/>
              </w:rPr>
              <w:t>从事动物饲养、屠宰、经营、隔离以及动物产品生产、经营、加工、贮藏等活动的单位和个人，应当按照国家有关规定做好病死动物、病害动物产品的无害化处理，或者委托动物和动物产品无害化处理场所处理。</w:t>
            </w:r>
          </w:p>
        </w:tc>
        <w:tc>
          <w:tcPr>
            <w:tcW w:w="1651" w:type="pct"/>
            <w:tcBorders>
              <w:tl2br w:val="nil"/>
              <w:tr2bl w:val="nil"/>
            </w:tcBorders>
          </w:tcPr>
          <w:p w14:paraId="78839417" w14:textId="77777777" w:rsidR="00B14D53" w:rsidRDefault="00000000">
            <w:pPr>
              <w:pStyle w:val="affffffffff0"/>
              <w:numPr>
                <w:ilvl w:val="0"/>
                <w:numId w:val="6"/>
              </w:numPr>
              <w:adjustRightInd/>
              <w:snapToGrid/>
              <w:spacing w:line="240" w:lineRule="auto"/>
              <w:ind w:firstLineChars="200" w:firstLine="420"/>
              <w:jc w:val="both"/>
              <w:rPr>
                <w:rFonts w:eastAsia="宋体"/>
                <w:kern w:val="0"/>
                <w:lang w:val="zh-CN"/>
              </w:rPr>
            </w:pPr>
            <w:r>
              <w:rPr>
                <w:rFonts w:eastAsia="宋体"/>
                <w:kern w:val="0"/>
                <w:lang w:val="zh-CN"/>
              </w:rPr>
              <w:t>本项目距离</w:t>
            </w:r>
            <w:r>
              <w:rPr>
                <w:rFonts w:eastAsia="宋体" w:hint="eastAsia"/>
                <w:kern w:val="0"/>
              </w:rPr>
              <w:t>厂址</w:t>
            </w:r>
            <w:r>
              <w:rPr>
                <w:rFonts w:hint="eastAsia"/>
                <w:kern w:val="0"/>
              </w:rPr>
              <w:t>西南侧山河屯林业局居民最近距离</w:t>
            </w:r>
            <w:r>
              <w:rPr>
                <w:rFonts w:eastAsia="宋体" w:hint="eastAsia"/>
                <w:kern w:val="0"/>
              </w:rPr>
              <w:t>为</w:t>
            </w:r>
            <w:r>
              <w:rPr>
                <w:rFonts w:eastAsia="宋体" w:hint="eastAsia"/>
                <w:kern w:val="0"/>
              </w:rPr>
              <w:t>230</w:t>
            </w:r>
            <w:r>
              <w:rPr>
                <w:rFonts w:eastAsia="宋体"/>
                <w:kern w:val="0"/>
                <w:lang w:val="zh-CN"/>
              </w:rPr>
              <w:t>m</w:t>
            </w:r>
            <w:r>
              <w:rPr>
                <w:rFonts w:eastAsia="宋体"/>
                <w:kern w:val="0"/>
                <w:lang w:val="zh-CN"/>
              </w:rPr>
              <w:t>，</w:t>
            </w:r>
            <w:r>
              <w:rPr>
                <w:rFonts w:eastAsia="宋体" w:hint="eastAsia"/>
                <w:kern w:val="0"/>
              </w:rPr>
              <w:t>距离最近</w:t>
            </w:r>
            <w:r>
              <w:rPr>
                <w:rFonts w:eastAsia="宋体"/>
                <w:kern w:val="0"/>
                <w:lang w:val="zh-CN"/>
              </w:rPr>
              <w:t>生活饮用水水源地</w:t>
            </w:r>
            <w:r>
              <w:rPr>
                <w:rFonts w:eastAsia="宋体" w:hint="eastAsia"/>
                <w:kern w:val="0"/>
              </w:rPr>
              <w:t>460m</w:t>
            </w:r>
            <w:r>
              <w:rPr>
                <w:rFonts w:eastAsia="宋体" w:hint="eastAsia"/>
                <w:kern w:val="0"/>
              </w:rPr>
              <w:t>，距离最近学校</w:t>
            </w:r>
            <w:r>
              <w:rPr>
                <w:rFonts w:eastAsia="宋体" w:hint="eastAsia"/>
                <w:kern w:val="0"/>
              </w:rPr>
              <w:t>600m</w:t>
            </w:r>
            <w:r>
              <w:rPr>
                <w:rFonts w:eastAsia="宋体" w:hint="eastAsia"/>
                <w:kern w:val="0"/>
              </w:rPr>
              <w:t>，周边无医院</w:t>
            </w:r>
            <w:r>
              <w:rPr>
                <w:rFonts w:eastAsia="宋体"/>
                <w:kern w:val="0"/>
              </w:rPr>
              <w:t>；</w:t>
            </w:r>
          </w:p>
          <w:p w14:paraId="6AD52A91" w14:textId="77777777" w:rsidR="00B14D53" w:rsidRDefault="00000000">
            <w:pPr>
              <w:pStyle w:val="affffffffff0"/>
              <w:adjustRightInd/>
              <w:snapToGrid/>
              <w:spacing w:line="240" w:lineRule="auto"/>
              <w:ind w:firstLineChars="200" w:firstLine="420"/>
              <w:jc w:val="both"/>
              <w:rPr>
                <w:rFonts w:eastAsia="宋体"/>
                <w:kern w:val="0"/>
                <w:lang w:val="zh-CN"/>
              </w:rPr>
            </w:pPr>
            <w:r>
              <w:rPr>
                <w:rFonts w:eastAsia="宋体"/>
                <w:kern w:val="0"/>
              </w:rPr>
              <w:t>（</w:t>
            </w:r>
            <w:r>
              <w:rPr>
                <w:rFonts w:eastAsia="宋体"/>
                <w:kern w:val="0"/>
              </w:rPr>
              <w:t>2</w:t>
            </w:r>
            <w:r>
              <w:rPr>
                <w:rFonts w:eastAsia="宋体"/>
                <w:kern w:val="0"/>
              </w:rPr>
              <w:t>）</w:t>
            </w:r>
            <w:r>
              <w:rPr>
                <w:rFonts w:eastAsia="宋体"/>
                <w:kern w:val="0"/>
                <w:lang w:val="zh-CN"/>
              </w:rPr>
              <w:t>相关生产区设计和工艺流程符合动物防疫相关要求；</w:t>
            </w:r>
          </w:p>
          <w:p w14:paraId="0ECEF264" w14:textId="77777777" w:rsidR="00B14D53" w:rsidRDefault="00000000">
            <w:pPr>
              <w:pStyle w:val="affffffffff0"/>
              <w:adjustRightInd/>
              <w:snapToGrid/>
              <w:spacing w:line="240" w:lineRule="auto"/>
              <w:ind w:firstLineChars="200" w:firstLine="420"/>
              <w:jc w:val="both"/>
              <w:rPr>
                <w:rFonts w:eastAsia="宋体"/>
                <w:kern w:val="0"/>
              </w:rPr>
            </w:pPr>
            <w:r>
              <w:rPr>
                <w:rFonts w:eastAsia="宋体"/>
                <w:kern w:val="0"/>
                <w:lang w:val="zh-CN"/>
              </w:rPr>
              <w:t>（</w:t>
            </w:r>
            <w:r>
              <w:rPr>
                <w:rFonts w:eastAsia="宋体"/>
                <w:kern w:val="0"/>
              </w:rPr>
              <w:t>3</w:t>
            </w:r>
            <w:r>
              <w:rPr>
                <w:rFonts w:eastAsia="宋体"/>
                <w:kern w:val="0"/>
                <w:lang w:val="zh-CN"/>
              </w:rPr>
              <w:t>）配备了相应污水、固废、废气的环保设施，各污染物均可达标排放；</w:t>
            </w:r>
            <w:r>
              <w:rPr>
                <w:rFonts w:eastAsia="宋体" w:hint="eastAsia"/>
                <w:kern w:val="0"/>
              </w:rPr>
              <w:t>设有冷藏设施及消毒设施；</w:t>
            </w:r>
          </w:p>
          <w:p w14:paraId="3435A797" w14:textId="77777777" w:rsidR="00B14D53" w:rsidRDefault="00000000">
            <w:pPr>
              <w:pStyle w:val="affffffffff0"/>
              <w:adjustRightInd/>
              <w:snapToGrid/>
              <w:spacing w:line="240" w:lineRule="auto"/>
              <w:ind w:firstLineChars="200" w:firstLine="420"/>
              <w:jc w:val="both"/>
              <w:rPr>
                <w:rFonts w:eastAsia="宋体"/>
                <w:kern w:val="0"/>
                <w:lang w:val="zh-CN"/>
              </w:rPr>
            </w:pPr>
            <w:r>
              <w:rPr>
                <w:rFonts w:eastAsia="宋体"/>
                <w:kern w:val="0"/>
                <w:lang w:val="zh-CN"/>
              </w:rPr>
              <w:t>（</w:t>
            </w:r>
            <w:r>
              <w:rPr>
                <w:rFonts w:eastAsia="宋体"/>
                <w:kern w:val="0"/>
              </w:rPr>
              <w:t>4</w:t>
            </w:r>
            <w:r>
              <w:rPr>
                <w:rFonts w:eastAsia="宋体"/>
                <w:kern w:val="0"/>
                <w:lang w:val="zh-CN"/>
              </w:rPr>
              <w:t>）建设单位配备有经考核合格的肉品品质检验人员</w:t>
            </w:r>
            <w:r>
              <w:rPr>
                <w:rFonts w:eastAsia="宋体" w:hint="eastAsia"/>
                <w:kern w:val="0"/>
                <w:lang w:val="zh-CN"/>
              </w:rPr>
              <w:t>，</w:t>
            </w:r>
            <w:r>
              <w:rPr>
                <w:rFonts w:eastAsia="宋体"/>
                <w:kern w:val="0"/>
                <w:lang w:val="zh-CN"/>
              </w:rPr>
              <w:t>依法取得健康证明的屠宰技术人员；</w:t>
            </w:r>
          </w:p>
          <w:p w14:paraId="096B2DB7" w14:textId="77777777" w:rsidR="00B14D53" w:rsidRDefault="00000000">
            <w:pPr>
              <w:pStyle w:val="affffffffff0"/>
              <w:adjustRightInd/>
              <w:snapToGrid/>
              <w:spacing w:line="240" w:lineRule="auto"/>
              <w:ind w:firstLineChars="200" w:firstLine="420"/>
              <w:jc w:val="both"/>
              <w:rPr>
                <w:rFonts w:eastAsia="宋体"/>
                <w:kern w:val="0"/>
                <w:lang w:val="zh-CN"/>
              </w:rPr>
            </w:pPr>
            <w:r>
              <w:rPr>
                <w:rFonts w:eastAsia="宋体"/>
                <w:kern w:val="0"/>
                <w:lang w:val="zh-CN"/>
              </w:rPr>
              <w:t>（</w:t>
            </w:r>
            <w:r>
              <w:rPr>
                <w:rFonts w:eastAsia="宋体" w:hint="eastAsia"/>
                <w:kern w:val="0"/>
              </w:rPr>
              <w:t>5</w:t>
            </w:r>
            <w:r>
              <w:rPr>
                <w:rFonts w:eastAsia="宋体"/>
                <w:kern w:val="0"/>
                <w:lang w:val="zh-CN"/>
              </w:rPr>
              <w:t>）制定了完善的动物防疫制度</w:t>
            </w:r>
            <w:r>
              <w:rPr>
                <w:rFonts w:eastAsia="宋体" w:hint="eastAsia"/>
                <w:kern w:val="0"/>
                <w:lang w:val="zh-CN"/>
              </w:rPr>
              <w:t>；</w:t>
            </w:r>
          </w:p>
          <w:p w14:paraId="6FC5817F" w14:textId="77777777" w:rsidR="00B14D53" w:rsidRDefault="00000000">
            <w:pPr>
              <w:pStyle w:val="affffffffff0"/>
              <w:adjustRightInd/>
              <w:snapToGrid/>
              <w:spacing w:line="240" w:lineRule="auto"/>
              <w:ind w:firstLineChars="200" w:firstLine="420"/>
              <w:jc w:val="both"/>
              <w:rPr>
                <w:rFonts w:eastAsia="宋体"/>
                <w:kern w:val="0"/>
                <w:lang w:val="zh-CN"/>
              </w:rPr>
            </w:pPr>
            <w:r>
              <w:rPr>
                <w:rFonts w:eastAsia="宋体" w:hint="eastAsia"/>
                <w:kern w:val="0"/>
                <w:lang w:val="zh-CN"/>
              </w:rPr>
              <w:t>（</w:t>
            </w:r>
            <w:r>
              <w:rPr>
                <w:rFonts w:eastAsia="宋体" w:hint="eastAsia"/>
                <w:kern w:val="0"/>
              </w:rPr>
              <w:t>6</w:t>
            </w:r>
            <w:r>
              <w:rPr>
                <w:rFonts w:eastAsia="宋体" w:hint="eastAsia"/>
                <w:kern w:val="0"/>
                <w:lang w:val="zh-CN"/>
              </w:rPr>
              <w:t>）</w:t>
            </w:r>
            <w:r>
              <w:rPr>
                <w:rFonts w:eastAsia="宋体"/>
                <w:kern w:val="0"/>
                <w:lang w:val="zh-CN"/>
              </w:rPr>
              <w:t>具备国务院兽医主管部门规定的其他动物防疫条件；</w:t>
            </w:r>
          </w:p>
          <w:p w14:paraId="0705D1F0" w14:textId="77777777" w:rsidR="00B14D53" w:rsidRDefault="00000000">
            <w:pPr>
              <w:pStyle w:val="affffffffff0"/>
              <w:adjustRightInd/>
              <w:snapToGrid/>
              <w:spacing w:line="240" w:lineRule="auto"/>
              <w:ind w:firstLineChars="200" w:firstLine="420"/>
              <w:jc w:val="both"/>
              <w:rPr>
                <w:rFonts w:eastAsia="宋体"/>
                <w:kern w:val="0"/>
                <w:lang w:val="zh-CN"/>
              </w:rPr>
            </w:pPr>
            <w:r>
              <w:rPr>
                <w:rFonts w:eastAsia="宋体"/>
                <w:kern w:val="0"/>
                <w:lang w:val="zh-CN"/>
              </w:rPr>
              <w:t>（</w:t>
            </w:r>
            <w:r>
              <w:rPr>
                <w:rFonts w:eastAsia="宋体"/>
                <w:kern w:val="0"/>
              </w:rPr>
              <w:t>7</w:t>
            </w:r>
            <w:r>
              <w:rPr>
                <w:rFonts w:eastAsia="宋体"/>
                <w:kern w:val="0"/>
                <w:lang w:val="zh-CN"/>
              </w:rPr>
              <w:t>）本项目会在出售动物产品前按照国务院农业农村主管部门的规定向所在地动物卫生监督机构申报检疫；</w:t>
            </w:r>
          </w:p>
          <w:p w14:paraId="05538DC7" w14:textId="77777777" w:rsidR="00B14D53" w:rsidRDefault="00000000">
            <w:pPr>
              <w:pStyle w:val="affffffffff0"/>
              <w:adjustRightInd/>
              <w:snapToGrid/>
              <w:spacing w:line="240" w:lineRule="auto"/>
              <w:ind w:firstLineChars="200" w:firstLine="420"/>
              <w:jc w:val="both"/>
              <w:rPr>
                <w:rFonts w:eastAsia="宋体"/>
                <w:kern w:val="0"/>
              </w:rPr>
            </w:pPr>
            <w:r>
              <w:rPr>
                <w:rFonts w:eastAsia="宋体"/>
                <w:kern w:val="0"/>
                <w:lang w:val="zh-CN"/>
              </w:rPr>
              <w:t>（</w:t>
            </w:r>
            <w:r>
              <w:rPr>
                <w:rFonts w:eastAsia="宋体"/>
                <w:kern w:val="0"/>
              </w:rPr>
              <w:t>8</w:t>
            </w:r>
            <w:r>
              <w:rPr>
                <w:rFonts w:eastAsia="宋体"/>
                <w:kern w:val="0"/>
                <w:lang w:val="zh-CN"/>
              </w:rPr>
              <w:t>）本项目</w:t>
            </w:r>
            <w:r>
              <w:rPr>
                <w:rFonts w:eastAsia="宋体"/>
                <w:bCs/>
                <w:kern w:val="0"/>
              </w:rPr>
              <w:t>检疫不合格生猪及病死猪委托无害化处置中心处理</w:t>
            </w:r>
            <w:r>
              <w:rPr>
                <w:rFonts w:eastAsia="宋体"/>
                <w:kern w:val="0"/>
                <w:lang w:val="zh-CN"/>
              </w:rPr>
              <w:t>。</w:t>
            </w:r>
          </w:p>
        </w:tc>
        <w:tc>
          <w:tcPr>
            <w:tcW w:w="407" w:type="pct"/>
            <w:tcBorders>
              <w:tl2br w:val="nil"/>
              <w:tr2bl w:val="nil"/>
            </w:tcBorders>
          </w:tcPr>
          <w:p w14:paraId="7172B77F" w14:textId="77777777" w:rsidR="00B14D53" w:rsidRDefault="00000000">
            <w:pPr>
              <w:adjustRightInd/>
              <w:snapToGrid/>
              <w:jc w:val="center"/>
              <w:rPr>
                <w:kern w:val="0"/>
                <w:szCs w:val="21"/>
                <w:lang w:val="zh-CN"/>
              </w:rPr>
            </w:pPr>
            <w:r>
              <w:rPr>
                <w:kern w:val="0"/>
                <w:szCs w:val="21"/>
                <w:lang w:val="zh-CN"/>
              </w:rPr>
              <w:t>符合</w:t>
            </w:r>
          </w:p>
        </w:tc>
      </w:tr>
    </w:tbl>
    <w:p w14:paraId="0510A73C" w14:textId="77777777" w:rsidR="00B14D53" w:rsidRDefault="00B14D53">
      <w:pPr>
        <w:jc w:val="center"/>
        <w:rPr>
          <w:b/>
          <w:bCs/>
        </w:rPr>
      </w:pPr>
    </w:p>
    <w:p w14:paraId="6AEC59A6" w14:textId="77777777" w:rsidR="00B14D53" w:rsidRDefault="00B14D53">
      <w:pPr>
        <w:jc w:val="center"/>
        <w:rPr>
          <w:b/>
          <w:bCs/>
        </w:rPr>
      </w:pPr>
    </w:p>
    <w:p w14:paraId="08381FA2" w14:textId="77777777" w:rsidR="00B14D53" w:rsidRDefault="00B14D53">
      <w:pPr>
        <w:jc w:val="center"/>
        <w:rPr>
          <w:b/>
          <w:bCs/>
        </w:rPr>
      </w:pPr>
    </w:p>
    <w:p w14:paraId="6C2233BC" w14:textId="77777777" w:rsidR="00B14D53" w:rsidRDefault="00B14D53">
      <w:pPr>
        <w:jc w:val="center"/>
        <w:rPr>
          <w:b/>
          <w:bCs/>
        </w:rPr>
      </w:pPr>
    </w:p>
    <w:p w14:paraId="7727A1BD" w14:textId="77777777" w:rsidR="00B14D53" w:rsidRDefault="00B14D53">
      <w:pPr>
        <w:jc w:val="center"/>
        <w:rPr>
          <w:b/>
          <w:bCs/>
        </w:rPr>
      </w:pPr>
    </w:p>
    <w:p w14:paraId="4674C5F9" w14:textId="77777777" w:rsidR="00B14D53" w:rsidRDefault="00B14D53">
      <w:pPr>
        <w:jc w:val="center"/>
        <w:rPr>
          <w:b/>
          <w:bCs/>
        </w:rPr>
      </w:pPr>
    </w:p>
    <w:p w14:paraId="08DBB41B" w14:textId="77777777" w:rsidR="00B14D53" w:rsidRDefault="00B14D53">
      <w:pPr>
        <w:jc w:val="center"/>
        <w:rPr>
          <w:b/>
          <w:bCs/>
        </w:rPr>
      </w:pPr>
    </w:p>
    <w:p w14:paraId="6F9930B2" w14:textId="77777777" w:rsidR="00B14D53" w:rsidRDefault="00B14D53">
      <w:pPr>
        <w:jc w:val="center"/>
        <w:rPr>
          <w:b/>
          <w:bCs/>
        </w:rPr>
      </w:pPr>
    </w:p>
    <w:p w14:paraId="62EE020A" w14:textId="77777777" w:rsidR="00B14D53" w:rsidRDefault="00B14D53">
      <w:pPr>
        <w:jc w:val="center"/>
        <w:rPr>
          <w:b/>
          <w:bCs/>
        </w:rPr>
      </w:pPr>
    </w:p>
    <w:p w14:paraId="5FD130B1" w14:textId="77777777" w:rsidR="00B14D53" w:rsidRDefault="00B14D53">
      <w:pPr>
        <w:jc w:val="center"/>
        <w:rPr>
          <w:b/>
          <w:bCs/>
        </w:rPr>
      </w:pPr>
    </w:p>
    <w:p w14:paraId="7745E830" w14:textId="77777777" w:rsidR="00B14D53" w:rsidRDefault="00B14D53">
      <w:pPr>
        <w:jc w:val="center"/>
        <w:rPr>
          <w:b/>
          <w:bCs/>
        </w:rPr>
      </w:pPr>
    </w:p>
    <w:p w14:paraId="4FE97D3C" w14:textId="77777777" w:rsidR="00B14D53" w:rsidRDefault="00B14D53">
      <w:pPr>
        <w:jc w:val="center"/>
        <w:rPr>
          <w:b/>
          <w:bCs/>
        </w:rPr>
      </w:pPr>
    </w:p>
    <w:p w14:paraId="4B76541E" w14:textId="77777777" w:rsidR="00B14D53" w:rsidRDefault="00B14D53">
      <w:pPr>
        <w:jc w:val="center"/>
        <w:rPr>
          <w:b/>
          <w:bCs/>
        </w:rPr>
      </w:pPr>
    </w:p>
    <w:p w14:paraId="1585DD44" w14:textId="77777777" w:rsidR="00B14D53" w:rsidRDefault="00000000">
      <w:pPr>
        <w:jc w:val="center"/>
        <w:rPr>
          <w:b/>
          <w:bCs/>
          <w:lang w:val="zh-CN"/>
        </w:rPr>
      </w:pPr>
      <w:r>
        <w:rPr>
          <w:rFonts w:hint="eastAsia"/>
          <w:b/>
          <w:bCs/>
        </w:rPr>
        <w:t>续</w:t>
      </w:r>
      <w:r>
        <w:rPr>
          <w:b/>
          <w:bCs/>
          <w:lang w:val="zh-CN"/>
        </w:rPr>
        <w:t>表</w:t>
      </w:r>
      <w:r>
        <w:rPr>
          <w:b/>
          <w:bCs/>
          <w:lang w:val="zh-CN"/>
        </w:rPr>
        <w:t>1-4-</w:t>
      </w:r>
      <w:r>
        <w:rPr>
          <w:rFonts w:hint="eastAsia"/>
          <w:b/>
          <w:bCs/>
        </w:rPr>
        <w:t>6</w:t>
      </w:r>
      <w:r>
        <w:rPr>
          <w:b/>
          <w:bCs/>
        </w:rPr>
        <w:t xml:space="preserve"> </w:t>
      </w:r>
      <w:r>
        <w:rPr>
          <w:b/>
          <w:bCs/>
          <w:lang w:val="zh-CN"/>
        </w:rPr>
        <w:t>选址合理性分析</w:t>
      </w:r>
    </w:p>
    <w:tbl>
      <w:tblPr>
        <w:tblStyle w:val="afffffffff8"/>
        <w:tblW w:w="5000" w:type="pct"/>
        <w:jc w:val="center"/>
        <w:tblLayout w:type="fixed"/>
        <w:tblLook w:val="04A0" w:firstRow="1" w:lastRow="0" w:firstColumn="1" w:lastColumn="0" w:noHBand="0" w:noVBand="1"/>
      </w:tblPr>
      <w:tblGrid>
        <w:gridCol w:w="1043"/>
        <w:gridCol w:w="3844"/>
        <w:gridCol w:w="2743"/>
        <w:gridCol w:w="676"/>
      </w:tblGrid>
      <w:tr w:rsidR="00B14D53" w14:paraId="09C27135" w14:textId="77777777">
        <w:trPr>
          <w:trHeight w:val="340"/>
          <w:jc w:val="center"/>
        </w:trPr>
        <w:tc>
          <w:tcPr>
            <w:tcW w:w="627" w:type="pct"/>
            <w:tcBorders>
              <w:tl2br w:val="nil"/>
              <w:tr2bl w:val="nil"/>
            </w:tcBorders>
          </w:tcPr>
          <w:p w14:paraId="4B862F6D" w14:textId="77777777" w:rsidR="00B14D53" w:rsidRDefault="00000000">
            <w:pPr>
              <w:adjustRightInd/>
              <w:snapToGrid/>
              <w:jc w:val="center"/>
              <w:rPr>
                <w:kern w:val="0"/>
                <w:szCs w:val="21"/>
              </w:rPr>
            </w:pPr>
            <w:r>
              <w:rPr>
                <w:szCs w:val="21"/>
              </w:rPr>
              <w:t>《动物防疫条件审查办法》</w:t>
            </w:r>
          </w:p>
        </w:tc>
        <w:tc>
          <w:tcPr>
            <w:tcW w:w="2314" w:type="pct"/>
            <w:tcBorders>
              <w:tl2br w:val="nil"/>
              <w:tr2bl w:val="nil"/>
            </w:tcBorders>
          </w:tcPr>
          <w:p w14:paraId="75D64B80" w14:textId="77777777" w:rsidR="00B14D53" w:rsidRDefault="00000000">
            <w:pPr>
              <w:adjustRightInd/>
              <w:snapToGrid/>
              <w:ind w:firstLineChars="200" w:firstLine="420"/>
              <w:rPr>
                <w:szCs w:val="21"/>
                <w:shd w:val="clear" w:color="auto" w:fill="FFFFFF"/>
              </w:rPr>
            </w:pPr>
            <w:r>
              <w:rPr>
                <w:szCs w:val="21"/>
                <w:shd w:val="clear" w:color="auto" w:fill="FFFFFF"/>
              </w:rPr>
              <w:t>第</w:t>
            </w:r>
            <w:r>
              <w:rPr>
                <w:rFonts w:hint="eastAsia"/>
                <w:szCs w:val="21"/>
                <w:shd w:val="clear" w:color="auto" w:fill="FFFFFF"/>
              </w:rPr>
              <w:t>六</w:t>
            </w:r>
            <w:r>
              <w:rPr>
                <w:szCs w:val="21"/>
                <w:shd w:val="clear" w:color="auto" w:fill="FFFFFF"/>
              </w:rPr>
              <w:t>条</w:t>
            </w:r>
            <w:r>
              <w:rPr>
                <w:rFonts w:hint="eastAsia"/>
                <w:szCs w:val="21"/>
                <w:shd w:val="clear" w:color="auto" w:fill="FFFFFF"/>
              </w:rPr>
              <w:t xml:space="preserve"> </w:t>
            </w:r>
            <w:r>
              <w:rPr>
                <w:szCs w:val="21"/>
                <w:shd w:val="clear" w:color="auto" w:fill="FFFFFF"/>
              </w:rPr>
              <w:t>动物饲养场、动物隔离场所、动物屠宰加工场所以及动物和动物产品无害化处理场所应当符合下列条件：</w:t>
            </w:r>
          </w:p>
          <w:p w14:paraId="391B64B6" w14:textId="77777777" w:rsidR="00B14D53" w:rsidRDefault="00000000">
            <w:pPr>
              <w:adjustRightInd/>
              <w:snapToGrid/>
              <w:ind w:firstLineChars="200" w:firstLine="420"/>
              <w:rPr>
                <w:szCs w:val="21"/>
                <w:shd w:val="clear" w:color="auto" w:fill="FFFFFF"/>
              </w:rPr>
            </w:pPr>
            <w:r>
              <w:rPr>
                <w:szCs w:val="21"/>
                <w:shd w:val="clear" w:color="auto" w:fill="FFFFFF"/>
              </w:rPr>
              <w:t>（一）各场所之间，各场所与动物诊疗场所、居民生活区、生活饮用水水源地、学校、医院等公共场所之间保持必要的距离；</w:t>
            </w:r>
          </w:p>
          <w:p w14:paraId="6AF373A7" w14:textId="77777777" w:rsidR="00B14D53" w:rsidRDefault="00000000">
            <w:pPr>
              <w:adjustRightInd/>
              <w:snapToGrid/>
              <w:ind w:firstLineChars="200" w:firstLine="420"/>
              <w:rPr>
                <w:szCs w:val="21"/>
                <w:shd w:val="clear" w:color="auto" w:fill="FFFFFF"/>
              </w:rPr>
            </w:pPr>
            <w:r>
              <w:rPr>
                <w:szCs w:val="21"/>
                <w:shd w:val="clear" w:color="auto" w:fill="FFFFFF"/>
              </w:rPr>
              <w:t>（二）场区周围建有围墙等隔离设施；场区出入口处设置运输车辆消毒通道或者消毒池，并单独设置人员消毒通道；生产经营区与生活办公区分开，并有隔离设施；生产经营区入口处设置人员更衣消毒室；</w:t>
            </w:r>
          </w:p>
          <w:p w14:paraId="18A8D032" w14:textId="77777777" w:rsidR="00B14D53" w:rsidRDefault="00000000">
            <w:pPr>
              <w:adjustRightInd/>
              <w:snapToGrid/>
              <w:ind w:firstLineChars="200" w:firstLine="420"/>
              <w:rPr>
                <w:szCs w:val="21"/>
                <w:shd w:val="clear" w:color="auto" w:fill="FFFFFF"/>
              </w:rPr>
            </w:pPr>
            <w:r>
              <w:rPr>
                <w:szCs w:val="21"/>
                <w:shd w:val="clear" w:color="auto" w:fill="FFFFFF"/>
              </w:rPr>
              <w:t>（三）配备与其生产经营规模相适应的执业兽医或者动物防疫技术人员；</w:t>
            </w:r>
          </w:p>
          <w:p w14:paraId="1F47D1D4" w14:textId="77777777" w:rsidR="00B14D53" w:rsidRDefault="00000000">
            <w:pPr>
              <w:adjustRightInd/>
              <w:snapToGrid/>
              <w:ind w:firstLineChars="200" w:firstLine="420"/>
              <w:rPr>
                <w:szCs w:val="21"/>
                <w:shd w:val="clear" w:color="auto" w:fill="FFFFFF"/>
              </w:rPr>
            </w:pPr>
            <w:r>
              <w:rPr>
                <w:szCs w:val="21"/>
                <w:shd w:val="clear" w:color="auto" w:fill="FFFFFF"/>
              </w:rPr>
              <w:t>（四）配备与其生产经营规模相适应的污水、污物处理设施，清洗消毒设施设备，以及必要的防鼠、防鸟、防虫设施设备；</w:t>
            </w:r>
          </w:p>
          <w:p w14:paraId="21496651" w14:textId="77777777" w:rsidR="00B14D53" w:rsidRDefault="00000000">
            <w:pPr>
              <w:adjustRightInd/>
              <w:snapToGrid/>
              <w:ind w:firstLineChars="200" w:firstLine="420"/>
              <w:rPr>
                <w:szCs w:val="21"/>
                <w:shd w:val="clear" w:color="auto" w:fill="FFFFFF"/>
              </w:rPr>
            </w:pPr>
            <w:r>
              <w:rPr>
                <w:szCs w:val="21"/>
                <w:shd w:val="clear" w:color="auto" w:fill="FFFFFF"/>
              </w:rPr>
              <w:t>（五）建立隔离消毒、购销台账、日常巡查等动物防疫制度。</w:t>
            </w:r>
          </w:p>
          <w:p w14:paraId="17E70307" w14:textId="77777777" w:rsidR="00B14D53" w:rsidRDefault="00000000">
            <w:pPr>
              <w:adjustRightInd/>
              <w:snapToGrid/>
              <w:ind w:firstLineChars="200" w:firstLine="420"/>
              <w:rPr>
                <w:szCs w:val="21"/>
                <w:shd w:val="clear" w:color="auto" w:fill="FFFFFF"/>
              </w:rPr>
            </w:pPr>
            <w:r>
              <w:rPr>
                <w:szCs w:val="21"/>
                <w:shd w:val="clear" w:color="auto" w:fill="FFFFFF"/>
              </w:rPr>
              <w:t>第九条</w:t>
            </w:r>
            <w:r>
              <w:rPr>
                <w:rFonts w:hint="eastAsia"/>
                <w:szCs w:val="21"/>
                <w:shd w:val="clear" w:color="auto" w:fill="FFFFFF"/>
              </w:rPr>
              <w:t xml:space="preserve"> </w:t>
            </w:r>
            <w:r>
              <w:rPr>
                <w:szCs w:val="21"/>
                <w:shd w:val="clear" w:color="auto" w:fill="FFFFFF"/>
              </w:rPr>
              <w:t>动物屠宰加工场所除符合本办法第六条规定外，还应当符合下列条件：</w:t>
            </w:r>
          </w:p>
          <w:p w14:paraId="146BCF9B" w14:textId="77777777" w:rsidR="00B14D53" w:rsidRDefault="00000000">
            <w:pPr>
              <w:adjustRightInd/>
              <w:snapToGrid/>
              <w:ind w:firstLineChars="200" w:firstLine="420"/>
              <w:rPr>
                <w:szCs w:val="21"/>
                <w:shd w:val="clear" w:color="auto" w:fill="FFFFFF"/>
              </w:rPr>
            </w:pPr>
            <w:r>
              <w:rPr>
                <w:szCs w:val="21"/>
                <w:shd w:val="clear" w:color="auto" w:fill="FFFFFF"/>
              </w:rPr>
              <w:t>（一）入场动物卸载区域有固定的车辆消毒场地，并配备车辆清洗消毒设备；</w:t>
            </w:r>
          </w:p>
          <w:p w14:paraId="0708194C" w14:textId="77777777" w:rsidR="00B14D53" w:rsidRDefault="00000000">
            <w:pPr>
              <w:adjustRightInd/>
              <w:snapToGrid/>
              <w:ind w:firstLineChars="200" w:firstLine="420"/>
              <w:rPr>
                <w:szCs w:val="21"/>
                <w:shd w:val="clear" w:color="auto" w:fill="FFFFFF"/>
              </w:rPr>
            </w:pPr>
            <w:r>
              <w:rPr>
                <w:szCs w:val="21"/>
                <w:shd w:val="clear" w:color="auto" w:fill="FFFFFF"/>
              </w:rPr>
              <w:t>（二）有与其屠宰规模相适应的独立检疫室和休息室；有待宰圈、急宰间，加工原毛、生皮、绒、骨、角的，还应当设置封闭式熏蒸消毒间；</w:t>
            </w:r>
          </w:p>
          <w:p w14:paraId="5CBF1D9F" w14:textId="77777777" w:rsidR="00B14D53" w:rsidRDefault="00000000">
            <w:pPr>
              <w:adjustRightInd/>
              <w:snapToGrid/>
              <w:ind w:firstLineChars="200" w:firstLine="420"/>
              <w:rPr>
                <w:szCs w:val="21"/>
                <w:shd w:val="clear" w:color="auto" w:fill="FFFFFF"/>
              </w:rPr>
            </w:pPr>
            <w:r>
              <w:rPr>
                <w:szCs w:val="21"/>
                <w:shd w:val="clear" w:color="auto" w:fill="FFFFFF"/>
              </w:rPr>
              <w:t>（三）屠宰间配备检疫操作台；</w:t>
            </w:r>
          </w:p>
          <w:p w14:paraId="2AE052A0" w14:textId="77777777" w:rsidR="00B14D53" w:rsidRDefault="00000000">
            <w:pPr>
              <w:adjustRightInd/>
              <w:snapToGrid/>
              <w:ind w:firstLineChars="200" w:firstLine="420"/>
              <w:rPr>
                <w:szCs w:val="21"/>
                <w:shd w:val="clear" w:color="auto" w:fill="FFFFFF"/>
              </w:rPr>
            </w:pPr>
            <w:r>
              <w:rPr>
                <w:szCs w:val="21"/>
                <w:shd w:val="clear" w:color="auto" w:fill="FFFFFF"/>
              </w:rPr>
              <w:t>（四）有符合国家规定的病死动物和病害动物产品无害化处理设施设备或者冷藏冷冻等暂存设施设备；</w:t>
            </w:r>
          </w:p>
          <w:p w14:paraId="7ACE933F" w14:textId="77777777" w:rsidR="00B14D53" w:rsidRDefault="00000000">
            <w:pPr>
              <w:adjustRightInd/>
              <w:snapToGrid/>
              <w:ind w:firstLineChars="200" w:firstLine="420"/>
              <w:rPr>
                <w:kern w:val="0"/>
                <w:szCs w:val="21"/>
              </w:rPr>
            </w:pPr>
            <w:r>
              <w:rPr>
                <w:szCs w:val="21"/>
                <w:shd w:val="clear" w:color="auto" w:fill="FFFFFF"/>
              </w:rPr>
              <w:t>（五）建立动物进场查验登记、动物产品出场登记、检疫申报、疫情报告、无害化处理等动物防疫制度。</w:t>
            </w:r>
          </w:p>
        </w:tc>
        <w:tc>
          <w:tcPr>
            <w:tcW w:w="1651" w:type="pct"/>
            <w:tcBorders>
              <w:tl2br w:val="nil"/>
              <w:tr2bl w:val="nil"/>
            </w:tcBorders>
          </w:tcPr>
          <w:p w14:paraId="61F3D0E5" w14:textId="77777777" w:rsidR="00B14D53" w:rsidRDefault="00000000">
            <w:pPr>
              <w:numPr>
                <w:ilvl w:val="0"/>
                <w:numId w:val="7"/>
              </w:numPr>
              <w:adjustRightInd/>
              <w:snapToGrid/>
              <w:ind w:firstLineChars="200" w:firstLine="420"/>
              <w:rPr>
                <w:szCs w:val="21"/>
              </w:rPr>
            </w:pPr>
            <w:r>
              <w:rPr>
                <w:kern w:val="0"/>
                <w:lang w:val="zh-CN"/>
              </w:rPr>
              <w:t>本项目距离</w:t>
            </w:r>
            <w:r>
              <w:rPr>
                <w:rFonts w:hint="eastAsia"/>
                <w:kern w:val="0"/>
                <w:szCs w:val="21"/>
              </w:rPr>
              <w:t>厂址西南侧山河屯林业局居民最近距离</w:t>
            </w:r>
            <w:r>
              <w:rPr>
                <w:rFonts w:hint="eastAsia"/>
                <w:kern w:val="0"/>
              </w:rPr>
              <w:t>为</w:t>
            </w:r>
            <w:r>
              <w:rPr>
                <w:rFonts w:hint="eastAsia"/>
                <w:kern w:val="0"/>
              </w:rPr>
              <w:t>230</w:t>
            </w:r>
            <w:r>
              <w:rPr>
                <w:kern w:val="0"/>
                <w:lang w:val="zh-CN"/>
              </w:rPr>
              <w:t>m</w:t>
            </w:r>
            <w:r>
              <w:rPr>
                <w:kern w:val="0"/>
                <w:lang w:val="zh-CN"/>
              </w:rPr>
              <w:t>，</w:t>
            </w:r>
            <w:r>
              <w:rPr>
                <w:rFonts w:hint="eastAsia"/>
                <w:kern w:val="0"/>
              </w:rPr>
              <w:t>距离最近</w:t>
            </w:r>
            <w:r>
              <w:rPr>
                <w:kern w:val="0"/>
                <w:lang w:val="zh-CN"/>
              </w:rPr>
              <w:t>生活饮用水水源地</w:t>
            </w:r>
            <w:r>
              <w:rPr>
                <w:rFonts w:hint="eastAsia"/>
                <w:kern w:val="0"/>
              </w:rPr>
              <w:t>460m</w:t>
            </w:r>
            <w:r>
              <w:rPr>
                <w:rFonts w:hint="eastAsia"/>
                <w:kern w:val="0"/>
              </w:rPr>
              <w:t>，距离最近学校</w:t>
            </w:r>
            <w:r>
              <w:rPr>
                <w:rFonts w:hint="eastAsia"/>
                <w:kern w:val="0"/>
              </w:rPr>
              <w:t>600m</w:t>
            </w:r>
            <w:r>
              <w:rPr>
                <w:rFonts w:hint="eastAsia"/>
                <w:kern w:val="0"/>
              </w:rPr>
              <w:t>，周边无医院</w:t>
            </w:r>
            <w:r>
              <w:rPr>
                <w:rFonts w:hint="eastAsia"/>
                <w:szCs w:val="21"/>
              </w:rPr>
              <w:t>；</w:t>
            </w:r>
          </w:p>
          <w:p w14:paraId="61A1C884" w14:textId="77777777" w:rsidR="00B14D53" w:rsidRDefault="00000000">
            <w:pPr>
              <w:adjustRightInd/>
              <w:snapToGrid/>
              <w:ind w:firstLineChars="200" w:firstLine="420"/>
              <w:rPr>
                <w:szCs w:val="21"/>
              </w:rPr>
            </w:pPr>
            <w:r>
              <w:rPr>
                <w:rFonts w:hint="eastAsia"/>
                <w:szCs w:val="21"/>
              </w:rPr>
              <w:t>（</w:t>
            </w:r>
            <w:r>
              <w:rPr>
                <w:rFonts w:hint="eastAsia"/>
                <w:szCs w:val="21"/>
              </w:rPr>
              <w:t>2</w:t>
            </w:r>
            <w:r>
              <w:rPr>
                <w:rFonts w:hint="eastAsia"/>
                <w:szCs w:val="21"/>
              </w:rPr>
              <w:t>）</w:t>
            </w:r>
            <w:r>
              <w:rPr>
                <w:szCs w:val="21"/>
              </w:rPr>
              <w:t>厂区周围建有围墙</w:t>
            </w:r>
            <w:r>
              <w:rPr>
                <w:rFonts w:hint="eastAsia"/>
                <w:szCs w:val="21"/>
              </w:rPr>
              <w:t>；厂</w:t>
            </w:r>
            <w:r>
              <w:rPr>
                <w:szCs w:val="21"/>
              </w:rPr>
              <w:t>区出入口处设置运输车辆消毒</w:t>
            </w:r>
            <w:r>
              <w:rPr>
                <w:rFonts w:hint="eastAsia"/>
                <w:szCs w:val="21"/>
              </w:rPr>
              <w:t>区；</w:t>
            </w:r>
            <w:r>
              <w:rPr>
                <w:szCs w:val="21"/>
              </w:rPr>
              <w:t>生产区域办公区分离，不在同一建筑物内；生产经营区入口处设置人员更衣消毒室；</w:t>
            </w:r>
          </w:p>
          <w:p w14:paraId="16965C4D" w14:textId="77777777" w:rsidR="00B14D53" w:rsidRDefault="00000000">
            <w:pPr>
              <w:adjustRightInd/>
              <w:snapToGrid/>
              <w:ind w:firstLineChars="200" w:firstLine="420"/>
              <w:rPr>
                <w:szCs w:val="21"/>
              </w:rPr>
            </w:pPr>
            <w:r>
              <w:rPr>
                <w:rFonts w:hint="eastAsia"/>
                <w:szCs w:val="21"/>
              </w:rPr>
              <w:t>（</w:t>
            </w:r>
            <w:r>
              <w:rPr>
                <w:rFonts w:hint="eastAsia"/>
                <w:szCs w:val="21"/>
              </w:rPr>
              <w:t>3</w:t>
            </w:r>
            <w:r>
              <w:rPr>
                <w:rFonts w:hint="eastAsia"/>
                <w:szCs w:val="21"/>
              </w:rPr>
              <w:t>）已</w:t>
            </w:r>
            <w:r>
              <w:rPr>
                <w:szCs w:val="21"/>
                <w:shd w:val="clear" w:color="auto" w:fill="FFFFFF"/>
              </w:rPr>
              <w:t>配备动物防疫技术人员；</w:t>
            </w:r>
          </w:p>
          <w:p w14:paraId="215FC27A" w14:textId="77777777" w:rsidR="00B14D53" w:rsidRDefault="00000000">
            <w:pPr>
              <w:adjustRightInd/>
              <w:snapToGrid/>
              <w:ind w:firstLineChars="200" w:firstLine="420"/>
              <w:rPr>
                <w:szCs w:val="21"/>
              </w:rPr>
            </w:pPr>
            <w:r>
              <w:rPr>
                <w:rFonts w:hint="eastAsia"/>
                <w:szCs w:val="21"/>
              </w:rPr>
              <w:t>（</w:t>
            </w:r>
            <w:r>
              <w:rPr>
                <w:rFonts w:hint="eastAsia"/>
                <w:szCs w:val="21"/>
              </w:rPr>
              <w:t>4</w:t>
            </w:r>
            <w:r>
              <w:rPr>
                <w:rFonts w:hint="eastAsia"/>
                <w:szCs w:val="21"/>
              </w:rPr>
              <w:t>）</w:t>
            </w:r>
            <w:r>
              <w:rPr>
                <w:szCs w:val="21"/>
              </w:rPr>
              <w:t>配备日处理量为</w:t>
            </w:r>
            <w:r>
              <w:rPr>
                <w:rFonts w:hint="eastAsia"/>
                <w:szCs w:val="21"/>
              </w:rPr>
              <w:t>25</w:t>
            </w:r>
            <w:r>
              <w:rPr>
                <w:szCs w:val="21"/>
              </w:rPr>
              <w:t>0m</w:t>
            </w:r>
            <w:r>
              <w:rPr>
                <w:szCs w:val="21"/>
                <w:vertAlign w:val="superscript"/>
              </w:rPr>
              <w:t>3</w:t>
            </w:r>
            <w:r>
              <w:rPr>
                <w:szCs w:val="21"/>
              </w:rPr>
              <w:t>/d</w:t>
            </w:r>
            <w:r>
              <w:rPr>
                <w:szCs w:val="21"/>
              </w:rPr>
              <w:t>的污水处理站，可以满足本项目污水处理需求</w:t>
            </w:r>
            <w:r>
              <w:rPr>
                <w:szCs w:val="21"/>
                <w:shd w:val="clear" w:color="auto" w:fill="FFFFFF"/>
              </w:rPr>
              <w:t>，以及防鼠、防鸟、防虫设施设备</w:t>
            </w:r>
            <w:r>
              <w:rPr>
                <w:rFonts w:hint="eastAsia"/>
                <w:szCs w:val="21"/>
                <w:shd w:val="clear" w:color="auto" w:fill="FFFFFF"/>
              </w:rPr>
              <w:t>；</w:t>
            </w:r>
          </w:p>
          <w:p w14:paraId="71B48740" w14:textId="77777777" w:rsidR="00B14D53" w:rsidRDefault="00000000">
            <w:pPr>
              <w:adjustRightInd/>
              <w:snapToGrid/>
              <w:ind w:firstLineChars="200" w:firstLine="420"/>
              <w:rPr>
                <w:szCs w:val="21"/>
              </w:rPr>
            </w:pPr>
            <w:r>
              <w:rPr>
                <w:rFonts w:hint="eastAsia"/>
                <w:szCs w:val="21"/>
              </w:rPr>
              <w:t>（</w:t>
            </w:r>
            <w:r>
              <w:rPr>
                <w:rFonts w:hint="eastAsia"/>
                <w:szCs w:val="21"/>
              </w:rPr>
              <w:t>5</w:t>
            </w:r>
            <w:r>
              <w:rPr>
                <w:rFonts w:hint="eastAsia"/>
                <w:szCs w:val="21"/>
              </w:rPr>
              <w:t>）已</w:t>
            </w:r>
            <w:r>
              <w:rPr>
                <w:szCs w:val="21"/>
                <w:shd w:val="clear" w:color="auto" w:fill="FFFFFF"/>
              </w:rPr>
              <w:t>建立隔离消毒、购销台账、日常巡查等动物防疫制度</w:t>
            </w:r>
            <w:r>
              <w:rPr>
                <w:rFonts w:hint="eastAsia"/>
                <w:szCs w:val="21"/>
                <w:shd w:val="clear" w:color="auto" w:fill="FFFFFF"/>
              </w:rPr>
              <w:t>；</w:t>
            </w:r>
          </w:p>
          <w:p w14:paraId="35B5A6A6" w14:textId="77777777" w:rsidR="00B14D53" w:rsidRDefault="00000000">
            <w:pPr>
              <w:adjustRightInd/>
              <w:snapToGrid/>
              <w:ind w:firstLineChars="200" w:firstLine="420"/>
              <w:rPr>
                <w:szCs w:val="21"/>
              </w:rPr>
            </w:pPr>
            <w:r>
              <w:rPr>
                <w:rFonts w:hint="eastAsia"/>
                <w:szCs w:val="21"/>
              </w:rPr>
              <w:t>（</w:t>
            </w:r>
            <w:r>
              <w:rPr>
                <w:rFonts w:hint="eastAsia"/>
                <w:szCs w:val="21"/>
              </w:rPr>
              <w:t>6</w:t>
            </w:r>
            <w:r>
              <w:rPr>
                <w:rFonts w:hint="eastAsia"/>
                <w:szCs w:val="21"/>
              </w:rPr>
              <w:t>）厂</w:t>
            </w:r>
            <w:r>
              <w:rPr>
                <w:szCs w:val="21"/>
              </w:rPr>
              <w:t>区出入口处设置运输车辆消毒</w:t>
            </w:r>
            <w:r>
              <w:rPr>
                <w:rFonts w:hint="eastAsia"/>
                <w:szCs w:val="21"/>
              </w:rPr>
              <w:t>区；</w:t>
            </w:r>
          </w:p>
          <w:p w14:paraId="14C706A6" w14:textId="77777777" w:rsidR="00B14D53" w:rsidRDefault="00000000">
            <w:pPr>
              <w:adjustRightInd/>
              <w:snapToGrid/>
              <w:ind w:firstLineChars="200" w:firstLine="420"/>
              <w:rPr>
                <w:szCs w:val="21"/>
              </w:rPr>
            </w:pPr>
            <w:r>
              <w:rPr>
                <w:rFonts w:hint="eastAsia"/>
                <w:szCs w:val="21"/>
              </w:rPr>
              <w:t>（</w:t>
            </w:r>
            <w:r>
              <w:rPr>
                <w:rFonts w:hint="eastAsia"/>
                <w:szCs w:val="21"/>
              </w:rPr>
              <w:t>7</w:t>
            </w:r>
            <w:r>
              <w:rPr>
                <w:rFonts w:hint="eastAsia"/>
                <w:szCs w:val="21"/>
              </w:rPr>
              <w:t>）</w:t>
            </w:r>
            <w:r>
              <w:rPr>
                <w:szCs w:val="21"/>
              </w:rPr>
              <w:t>项目设有急宰间、待宰圈</w:t>
            </w:r>
            <w:r>
              <w:rPr>
                <w:rFonts w:hint="eastAsia"/>
                <w:szCs w:val="21"/>
              </w:rPr>
              <w:t>、独立检疫室、员工休息宿舍等；</w:t>
            </w:r>
          </w:p>
          <w:p w14:paraId="3256C7B3" w14:textId="77777777" w:rsidR="00B14D53" w:rsidRDefault="00000000">
            <w:pPr>
              <w:adjustRightInd/>
              <w:snapToGrid/>
              <w:ind w:firstLineChars="200" w:firstLine="420"/>
              <w:rPr>
                <w:szCs w:val="21"/>
              </w:rPr>
            </w:pPr>
            <w:r>
              <w:rPr>
                <w:rFonts w:hint="eastAsia"/>
                <w:szCs w:val="21"/>
              </w:rPr>
              <w:t>（</w:t>
            </w:r>
            <w:r>
              <w:rPr>
                <w:rFonts w:hint="eastAsia"/>
                <w:szCs w:val="21"/>
              </w:rPr>
              <w:t>8</w:t>
            </w:r>
            <w:r>
              <w:rPr>
                <w:rFonts w:hint="eastAsia"/>
                <w:szCs w:val="21"/>
              </w:rPr>
              <w:t>）</w:t>
            </w:r>
            <w:r>
              <w:rPr>
                <w:szCs w:val="21"/>
                <w:shd w:val="clear" w:color="auto" w:fill="FFFFFF"/>
              </w:rPr>
              <w:t>配备检疫操作台</w:t>
            </w:r>
            <w:r>
              <w:rPr>
                <w:rFonts w:hint="eastAsia"/>
                <w:szCs w:val="21"/>
                <w:shd w:val="clear" w:color="auto" w:fill="FFFFFF"/>
              </w:rPr>
              <w:t>；</w:t>
            </w:r>
          </w:p>
          <w:p w14:paraId="4637FD1C" w14:textId="77777777" w:rsidR="00B14D53" w:rsidRDefault="00000000">
            <w:pPr>
              <w:adjustRightInd/>
              <w:snapToGrid/>
              <w:ind w:firstLineChars="200" w:firstLine="420"/>
              <w:rPr>
                <w:szCs w:val="21"/>
                <w:shd w:val="clear" w:color="auto" w:fill="FFFFFF"/>
              </w:rPr>
            </w:pPr>
            <w:r>
              <w:rPr>
                <w:rFonts w:hint="eastAsia"/>
                <w:szCs w:val="21"/>
              </w:rPr>
              <w:t>（</w:t>
            </w:r>
            <w:r>
              <w:rPr>
                <w:rFonts w:hint="eastAsia"/>
                <w:szCs w:val="21"/>
              </w:rPr>
              <w:t>9</w:t>
            </w:r>
            <w:r>
              <w:rPr>
                <w:rFonts w:hint="eastAsia"/>
                <w:szCs w:val="21"/>
              </w:rPr>
              <w:t>）</w:t>
            </w:r>
            <w:r>
              <w:rPr>
                <w:rFonts w:hint="eastAsia"/>
                <w:szCs w:val="21"/>
                <w:shd w:val="clear" w:color="auto" w:fill="FFFFFF"/>
              </w:rPr>
              <w:t>本项目不设置</w:t>
            </w:r>
            <w:r>
              <w:rPr>
                <w:szCs w:val="21"/>
                <w:shd w:val="clear" w:color="auto" w:fill="FFFFFF"/>
              </w:rPr>
              <w:t>无害化处理设施设备</w:t>
            </w:r>
            <w:r>
              <w:rPr>
                <w:rFonts w:hint="eastAsia"/>
                <w:szCs w:val="21"/>
                <w:shd w:val="clear" w:color="auto" w:fill="FFFFFF"/>
              </w:rPr>
              <w:t>，设置</w:t>
            </w:r>
            <w:r>
              <w:rPr>
                <w:szCs w:val="21"/>
                <w:shd w:val="clear" w:color="auto" w:fill="FFFFFF"/>
              </w:rPr>
              <w:t>冷藏暂存设施设备</w:t>
            </w:r>
            <w:r>
              <w:rPr>
                <w:rFonts w:hint="eastAsia"/>
                <w:szCs w:val="21"/>
                <w:shd w:val="clear" w:color="auto" w:fill="FFFFFF"/>
              </w:rPr>
              <w:t>，交由哈尔滨银山无害化处理有限公司处理；</w:t>
            </w:r>
          </w:p>
          <w:p w14:paraId="6CF60844" w14:textId="77777777" w:rsidR="00B14D53" w:rsidRDefault="00000000">
            <w:pPr>
              <w:adjustRightInd/>
              <w:snapToGrid/>
              <w:ind w:firstLineChars="200" w:firstLine="420"/>
              <w:rPr>
                <w:kern w:val="0"/>
                <w:lang w:val="zh-CN"/>
              </w:rPr>
            </w:pPr>
            <w:r>
              <w:rPr>
                <w:rFonts w:hint="eastAsia"/>
                <w:szCs w:val="21"/>
              </w:rPr>
              <w:t>（</w:t>
            </w:r>
            <w:r>
              <w:rPr>
                <w:rFonts w:hint="eastAsia"/>
                <w:szCs w:val="21"/>
              </w:rPr>
              <w:t>10</w:t>
            </w:r>
            <w:r>
              <w:rPr>
                <w:rFonts w:hint="eastAsia"/>
                <w:szCs w:val="21"/>
              </w:rPr>
              <w:t>）</w:t>
            </w:r>
            <w:r>
              <w:rPr>
                <w:szCs w:val="21"/>
                <w:shd w:val="clear" w:color="auto" w:fill="FFFFFF"/>
              </w:rPr>
              <w:t>建立动物进场查验登记、动物产品出场登记、检疫申报、疫情报告、无害化处理等动物防疫制度</w:t>
            </w:r>
          </w:p>
        </w:tc>
        <w:tc>
          <w:tcPr>
            <w:tcW w:w="407" w:type="pct"/>
            <w:tcBorders>
              <w:tl2br w:val="nil"/>
              <w:tr2bl w:val="nil"/>
            </w:tcBorders>
          </w:tcPr>
          <w:p w14:paraId="35A80487" w14:textId="77777777" w:rsidR="00B14D53" w:rsidRDefault="00000000">
            <w:pPr>
              <w:adjustRightInd/>
              <w:snapToGrid/>
              <w:jc w:val="center"/>
              <w:rPr>
                <w:kern w:val="0"/>
                <w:szCs w:val="21"/>
              </w:rPr>
            </w:pPr>
            <w:r>
              <w:rPr>
                <w:kern w:val="0"/>
                <w:szCs w:val="21"/>
              </w:rPr>
              <w:t>符合</w:t>
            </w:r>
          </w:p>
        </w:tc>
      </w:tr>
    </w:tbl>
    <w:p w14:paraId="037DC0A5" w14:textId="77777777" w:rsidR="00B14D53" w:rsidRDefault="00B14D53">
      <w:pPr>
        <w:jc w:val="center"/>
        <w:rPr>
          <w:b/>
          <w:bCs/>
        </w:rPr>
      </w:pPr>
    </w:p>
    <w:p w14:paraId="0A542AE0" w14:textId="77777777" w:rsidR="00B14D53" w:rsidRDefault="00B14D53">
      <w:pPr>
        <w:jc w:val="center"/>
        <w:rPr>
          <w:b/>
          <w:bCs/>
        </w:rPr>
      </w:pPr>
    </w:p>
    <w:p w14:paraId="59FD77F0" w14:textId="77777777" w:rsidR="00B14D53" w:rsidRDefault="00B14D53">
      <w:pPr>
        <w:jc w:val="center"/>
        <w:rPr>
          <w:b/>
          <w:bCs/>
        </w:rPr>
      </w:pPr>
    </w:p>
    <w:p w14:paraId="6BEF249A" w14:textId="77777777" w:rsidR="00B14D53" w:rsidRDefault="00B14D53">
      <w:pPr>
        <w:jc w:val="center"/>
        <w:rPr>
          <w:b/>
          <w:bCs/>
        </w:rPr>
      </w:pPr>
    </w:p>
    <w:p w14:paraId="505C0FCC" w14:textId="77777777" w:rsidR="00B14D53" w:rsidRDefault="00B14D53">
      <w:pPr>
        <w:jc w:val="center"/>
        <w:rPr>
          <w:b/>
          <w:bCs/>
        </w:rPr>
      </w:pPr>
    </w:p>
    <w:p w14:paraId="76D6D5A7" w14:textId="77777777" w:rsidR="00B14D53" w:rsidRDefault="00B14D53">
      <w:pPr>
        <w:jc w:val="center"/>
        <w:rPr>
          <w:b/>
          <w:bCs/>
        </w:rPr>
      </w:pPr>
    </w:p>
    <w:p w14:paraId="2ACF71FD" w14:textId="77777777" w:rsidR="00B14D53" w:rsidRDefault="00000000">
      <w:pPr>
        <w:jc w:val="center"/>
      </w:pPr>
      <w:r>
        <w:rPr>
          <w:rFonts w:hint="eastAsia"/>
          <w:b/>
          <w:bCs/>
        </w:rPr>
        <w:t>续</w:t>
      </w:r>
      <w:r>
        <w:rPr>
          <w:b/>
          <w:bCs/>
          <w:lang w:val="zh-CN"/>
        </w:rPr>
        <w:t>表</w:t>
      </w:r>
      <w:r>
        <w:rPr>
          <w:b/>
          <w:bCs/>
          <w:lang w:val="zh-CN"/>
        </w:rPr>
        <w:t>1-4-</w:t>
      </w:r>
      <w:r>
        <w:rPr>
          <w:rFonts w:hint="eastAsia"/>
          <w:b/>
          <w:bCs/>
        </w:rPr>
        <w:t>6</w:t>
      </w:r>
      <w:r>
        <w:rPr>
          <w:b/>
          <w:bCs/>
        </w:rPr>
        <w:t xml:space="preserve"> </w:t>
      </w:r>
      <w:r>
        <w:rPr>
          <w:b/>
          <w:bCs/>
          <w:lang w:val="zh-CN"/>
        </w:rPr>
        <w:t>选址合理性分析</w:t>
      </w:r>
    </w:p>
    <w:tbl>
      <w:tblPr>
        <w:tblStyle w:val="afffffffff8"/>
        <w:tblW w:w="5000" w:type="pct"/>
        <w:jc w:val="center"/>
        <w:tblLayout w:type="fixed"/>
        <w:tblLook w:val="04A0" w:firstRow="1" w:lastRow="0" w:firstColumn="1" w:lastColumn="0" w:noHBand="0" w:noVBand="1"/>
      </w:tblPr>
      <w:tblGrid>
        <w:gridCol w:w="1043"/>
        <w:gridCol w:w="3844"/>
        <w:gridCol w:w="2743"/>
        <w:gridCol w:w="676"/>
      </w:tblGrid>
      <w:tr w:rsidR="00B14D53" w14:paraId="4FB194A6" w14:textId="77777777">
        <w:trPr>
          <w:trHeight w:val="340"/>
          <w:jc w:val="center"/>
        </w:trPr>
        <w:tc>
          <w:tcPr>
            <w:tcW w:w="627" w:type="pct"/>
            <w:tcBorders>
              <w:tl2br w:val="nil"/>
              <w:tr2bl w:val="nil"/>
            </w:tcBorders>
          </w:tcPr>
          <w:p w14:paraId="7354B65F" w14:textId="77777777" w:rsidR="00B14D53" w:rsidRDefault="00000000">
            <w:pPr>
              <w:adjustRightInd/>
              <w:snapToGrid/>
              <w:rPr>
                <w:szCs w:val="21"/>
              </w:rPr>
            </w:pPr>
            <w:r>
              <w:rPr>
                <w:kern w:val="0"/>
                <w:szCs w:val="21"/>
                <w:lang w:val="zh-CN"/>
              </w:rPr>
              <w:t>《</w:t>
            </w:r>
            <w:r>
              <w:rPr>
                <w:kern w:val="0"/>
                <w:szCs w:val="21"/>
              </w:rPr>
              <w:t>食品安全国家标准</w:t>
            </w:r>
            <w:r>
              <w:rPr>
                <w:kern w:val="0"/>
                <w:szCs w:val="21"/>
                <w:lang w:val="zh-CN"/>
              </w:rPr>
              <w:t>畜禽屠宰加工卫生规范》（</w:t>
            </w:r>
            <w:r>
              <w:rPr>
                <w:kern w:val="0"/>
                <w:szCs w:val="21"/>
                <w:lang w:val="zh-CN"/>
              </w:rPr>
              <w:t>GB12694-2016</w:t>
            </w:r>
            <w:r>
              <w:rPr>
                <w:kern w:val="0"/>
                <w:szCs w:val="21"/>
                <w:lang w:val="zh-CN"/>
              </w:rPr>
              <w:t>）</w:t>
            </w:r>
          </w:p>
        </w:tc>
        <w:tc>
          <w:tcPr>
            <w:tcW w:w="2314" w:type="pct"/>
            <w:tcBorders>
              <w:tl2br w:val="nil"/>
              <w:tr2bl w:val="nil"/>
            </w:tcBorders>
          </w:tcPr>
          <w:p w14:paraId="13E554F3" w14:textId="77777777" w:rsidR="00B14D53" w:rsidRDefault="00000000">
            <w:pPr>
              <w:adjustRightInd/>
              <w:snapToGrid/>
              <w:ind w:firstLineChars="200" w:firstLine="420"/>
              <w:rPr>
                <w:kern w:val="0"/>
                <w:szCs w:val="21"/>
              </w:rPr>
            </w:pPr>
            <w:r>
              <w:rPr>
                <w:kern w:val="0"/>
                <w:szCs w:val="21"/>
              </w:rPr>
              <w:t>3.2.1</w:t>
            </w:r>
            <w:r>
              <w:rPr>
                <w:kern w:val="0"/>
                <w:szCs w:val="21"/>
              </w:rPr>
              <w:t>卫生防护距离应符合</w:t>
            </w:r>
            <w:r>
              <w:rPr>
                <w:kern w:val="0"/>
                <w:szCs w:val="21"/>
              </w:rPr>
              <w:t>GB18078.1</w:t>
            </w:r>
            <w:r>
              <w:rPr>
                <w:kern w:val="0"/>
                <w:szCs w:val="21"/>
              </w:rPr>
              <w:t>及动物防疫要求。</w:t>
            </w:r>
          </w:p>
          <w:p w14:paraId="5FF89A42" w14:textId="77777777" w:rsidR="00B14D53" w:rsidRDefault="00000000">
            <w:pPr>
              <w:adjustRightInd/>
              <w:snapToGrid/>
              <w:ind w:firstLineChars="200" w:firstLine="420"/>
              <w:rPr>
                <w:kern w:val="0"/>
                <w:szCs w:val="21"/>
              </w:rPr>
            </w:pPr>
            <w:r>
              <w:rPr>
                <w:kern w:val="0"/>
                <w:szCs w:val="21"/>
              </w:rPr>
              <w:t>3.2.2</w:t>
            </w:r>
            <w:r>
              <w:rPr>
                <w:kern w:val="0"/>
                <w:szCs w:val="21"/>
              </w:rPr>
              <w:t>厂址周围应有良好的环境卫生条件。厂区应远离受污染的水体，并应避开产生有害气体、烟雾、粉尘等污染源的工业企业或其他产生污染源的地区或场所。</w:t>
            </w:r>
          </w:p>
          <w:p w14:paraId="5F42C7B7" w14:textId="77777777" w:rsidR="00B14D53" w:rsidRDefault="00000000">
            <w:pPr>
              <w:adjustRightInd/>
              <w:snapToGrid/>
              <w:ind w:firstLineChars="200" w:firstLine="420"/>
              <w:rPr>
                <w:szCs w:val="21"/>
                <w:shd w:val="clear" w:color="auto" w:fill="FFFFFF"/>
              </w:rPr>
            </w:pPr>
            <w:r>
              <w:rPr>
                <w:kern w:val="0"/>
                <w:szCs w:val="21"/>
              </w:rPr>
              <w:t>3.2.3</w:t>
            </w:r>
            <w:r>
              <w:rPr>
                <w:kern w:val="0"/>
                <w:szCs w:val="21"/>
              </w:rPr>
              <w:t>厂址必须具备符合要求的水源和电源，应结合工艺要求因地制宜地确定，并应符合屠宰企业设置规划的要求。</w:t>
            </w:r>
          </w:p>
        </w:tc>
        <w:tc>
          <w:tcPr>
            <w:tcW w:w="1651" w:type="pct"/>
            <w:tcBorders>
              <w:tl2br w:val="nil"/>
              <w:tr2bl w:val="nil"/>
            </w:tcBorders>
          </w:tcPr>
          <w:p w14:paraId="1FF4AD58" w14:textId="77777777" w:rsidR="00B14D53" w:rsidRDefault="00000000">
            <w:pPr>
              <w:adjustRightInd/>
              <w:snapToGrid/>
              <w:ind w:firstLineChars="200" w:firstLine="420"/>
              <w:rPr>
                <w:kern w:val="0"/>
                <w:szCs w:val="21"/>
                <w:lang w:val="zh-CN"/>
              </w:rPr>
            </w:pPr>
            <w:r>
              <w:rPr>
                <w:kern w:val="0"/>
                <w:szCs w:val="21"/>
                <w:lang w:val="zh-CN"/>
              </w:rPr>
              <w:t>（</w:t>
            </w:r>
            <w:r>
              <w:rPr>
                <w:kern w:val="0"/>
                <w:szCs w:val="21"/>
                <w:lang w:val="zh-CN"/>
              </w:rPr>
              <w:t>1</w:t>
            </w:r>
            <w:r>
              <w:rPr>
                <w:kern w:val="0"/>
                <w:szCs w:val="21"/>
                <w:lang w:val="zh-CN"/>
              </w:rPr>
              <w:t>）本项目以</w:t>
            </w:r>
            <w:r>
              <w:rPr>
                <w:rFonts w:hint="eastAsia"/>
                <w:kern w:val="0"/>
                <w:szCs w:val="21"/>
              </w:rPr>
              <w:t>厂界为边界</w:t>
            </w:r>
            <w:r>
              <w:rPr>
                <w:szCs w:val="21"/>
              </w:rPr>
              <w:t>设置</w:t>
            </w:r>
            <w:r>
              <w:rPr>
                <w:rFonts w:hint="eastAsia"/>
                <w:szCs w:val="21"/>
              </w:rPr>
              <w:t>50</w:t>
            </w:r>
            <w:r>
              <w:rPr>
                <w:szCs w:val="21"/>
              </w:rPr>
              <w:t>m</w:t>
            </w:r>
            <w:r>
              <w:rPr>
                <w:szCs w:val="21"/>
              </w:rPr>
              <w:t>卫生防护距离</w:t>
            </w:r>
            <w:r>
              <w:rPr>
                <w:kern w:val="0"/>
                <w:szCs w:val="21"/>
                <w:lang w:val="zh-CN"/>
              </w:rPr>
              <w:t>。该卫生防护距离范围内，无居民点等环境敏感目标。今后</w:t>
            </w:r>
            <w:r>
              <w:rPr>
                <w:rFonts w:hint="eastAsia"/>
                <w:kern w:val="0"/>
                <w:szCs w:val="21"/>
              </w:rPr>
              <w:t>政府相关部门</w:t>
            </w:r>
            <w:r>
              <w:rPr>
                <w:kern w:val="0"/>
                <w:szCs w:val="21"/>
                <w:lang w:val="zh-CN"/>
              </w:rPr>
              <w:t>在</w:t>
            </w:r>
            <w:r>
              <w:rPr>
                <w:rFonts w:hint="eastAsia"/>
                <w:kern w:val="0"/>
                <w:szCs w:val="21"/>
              </w:rPr>
              <w:t>本</w:t>
            </w:r>
            <w:r>
              <w:rPr>
                <w:kern w:val="0"/>
                <w:szCs w:val="21"/>
                <w:lang w:val="zh-CN"/>
              </w:rPr>
              <w:t>厂址四周卫生防护距离内，严禁规划和建设学校、医院、居住区等环境敏感目标；项目区饮用水来自</w:t>
            </w:r>
            <w:r>
              <w:rPr>
                <w:rFonts w:hint="eastAsia"/>
                <w:kern w:val="0"/>
                <w:szCs w:val="21"/>
              </w:rPr>
              <w:t>市政管网</w:t>
            </w:r>
            <w:r>
              <w:rPr>
                <w:kern w:val="0"/>
                <w:szCs w:val="21"/>
                <w:lang w:val="zh-CN"/>
              </w:rPr>
              <w:t>；</w:t>
            </w:r>
          </w:p>
          <w:p w14:paraId="08AAD819" w14:textId="77777777" w:rsidR="00B14D53" w:rsidRDefault="00000000">
            <w:pPr>
              <w:adjustRightInd/>
              <w:snapToGrid/>
              <w:ind w:firstLineChars="200" w:firstLine="420"/>
              <w:rPr>
                <w:kern w:val="0"/>
                <w:szCs w:val="21"/>
                <w:lang w:val="zh-CN"/>
              </w:rPr>
            </w:pPr>
            <w:r>
              <w:rPr>
                <w:kern w:val="0"/>
                <w:szCs w:val="21"/>
                <w:lang w:val="zh-CN"/>
              </w:rPr>
              <w:t>（</w:t>
            </w:r>
            <w:r>
              <w:rPr>
                <w:kern w:val="0"/>
                <w:szCs w:val="21"/>
                <w:lang w:val="zh-CN"/>
              </w:rPr>
              <w:t>2</w:t>
            </w:r>
            <w:r>
              <w:rPr>
                <w:kern w:val="0"/>
                <w:szCs w:val="21"/>
                <w:lang w:val="zh-CN"/>
              </w:rPr>
              <w:t>）周围没有受污染的水体，项目最近地表水体为</w:t>
            </w:r>
            <w:r>
              <w:rPr>
                <w:rFonts w:hint="eastAsia"/>
                <w:kern w:val="0"/>
                <w:szCs w:val="21"/>
              </w:rPr>
              <w:t>霍伦河</w:t>
            </w:r>
            <w:r>
              <w:rPr>
                <w:kern w:val="0"/>
                <w:szCs w:val="21"/>
                <w:lang w:val="zh-CN"/>
              </w:rPr>
              <w:t>，距离项目</w:t>
            </w:r>
            <w:r>
              <w:rPr>
                <w:rFonts w:hint="eastAsia"/>
                <w:kern w:val="0"/>
                <w:szCs w:val="21"/>
              </w:rPr>
              <w:t>约</w:t>
            </w:r>
            <w:r>
              <w:rPr>
                <w:rFonts w:hint="eastAsia"/>
                <w:kern w:val="0"/>
                <w:szCs w:val="21"/>
              </w:rPr>
              <w:t>3.47</w:t>
            </w:r>
            <w:r>
              <w:rPr>
                <w:kern w:val="0"/>
                <w:szCs w:val="21"/>
              </w:rPr>
              <w:t>km</w:t>
            </w:r>
            <w:r>
              <w:rPr>
                <w:rFonts w:hint="eastAsia"/>
                <w:kern w:val="0"/>
                <w:szCs w:val="21"/>
              </w:rPr>
              <w:t>且不属于受污染的水体</w:t>
            </w:r>
            <w:r>
              <w:rPr>
                <w:rFonts w:hint="eastAsia"/>
                <w:kern w:val="0"/>
                <w:szCs w:val="21"/>
                <w:lang w:val="zh-CN"/>
              </w:rPr>
              <w:t>；</w:t>
            </w:r>
            <w:r>
              <w:rPr>
                <w:kern w:val="0"/>
                <w:szCs w:val="21"/>
                <w:lang w:val="zh-CN"/>
              </w:rPr>
              <w:t>项目周边卫生条件良好，</w:t>
            </w:r>
            <w:r>
              <w:rPr>
                <w:rFonts w:hint="eastAsia"/>
                <w:kern w:val="0"/>
                <w:szCs w:val="21"/>
              </w:rPr>
              <w:t>西侧企业进行植物油加工，</w:t>
            </w:r>
            <w:r>
              <w:rPr>
                <w:kern w:val="0"/>
                <w:szCs w:val="21"/>
                <w:lang w:val="zh-CN"/>
              </w:rPr>
              <w:t>无有害气体、粉尘</w:t>
            </w:r>
            <w:r>
              <w:rPr>
                <w:rFonts w:hint="eastAsia"/>
                <w:kern w:val="0"/>
                <w:szCs w:val="21"/>
              </w:rPr>
              <w:t>排放，废水排入市政管网</w:t>
            </w:r>
            <w:r>
              <w:rPr>
                <w:kern w:val="0"/>
                <w:szCs w:val="21"/>
              </w:rPr>
              <w:t>；</w:t>
            </w:r>
          </w:p>
          <w:p w14:paraId="1D30E35E" w14:textId="77777777" w:rsidR="00B14D53" w:rsidRDefault="00000000">
            <w:pPr>
              <w:adjustRightInd/>
              <w:snapToGrid/>
              <w:ind w:firstLineChars="200" w:firstLine="420"/>
              <w:rPr>
                <w:szCs w:val="21"/>
              </w:rPr>
            </w:pPr>
            <w:r>
              <w:rPr>
                <w:kern w:val="0"/>
                <w:szCs w:val="21"/>
                <w:lang w:val="zh-CN"/>
              </w:rPr>
              <w:t>（</w:t>
            </w:r>
            <w:r>
              <w:rPr>
                <w:kern w:val="0"/>
                <w:szCs w:val="21"/>
                <w:lang w:val="zh-CN"/>
              </w:rPr>
              <w:t>3</w:t>
            </w:r>
            <w:r>
              <w:rPr>
                <w:kern w:val="0"/>
                <w:szCs w:val="21"/>
                <w:lang w:val="zh-CN"/>
              </w:rPr>
              <w:t>）本项目位置</w:t>
            </w:r>
            <w:r>
              <w:rPr>
                <w:kern w:val="0"/>
                <w:szCs w:val="21"/>
              </w:rPr>
              <w:t>已</w:t>
            </w:r>
            <w:r>
              <w:rPr>
                <w:kern w:val="0"/>
                <w:szCs w:val="21"/>
                <w:lang w:val="zh-CN"/>
              </w:rPr>
              <w:t>铺设供水管网，供电来自市政管网，用地性质为</w:t>
            </w:r>
            <w:r>
              <w:rPr>
                <w:rFonts w:hint="eastAsia"/>
                <w:kern w:val="0"/>
                <w:szCs w:val="21"/>
              </w:rPr>
              <w:t>工业仓储用地</w:t>
            </w:r>
          </w:p>
        </w:tc>
        <w:tc>
          <w:tcPr>
            <w:tcW w:w="407" w:type="pct"/>
            <w:tcBorders>
              <w:tl2br w:val="nil"/>
              <w:tr2bl w:val="nil"/>
            </w:tcBorders>
          </w:tcPr>
          <w:p w14:paraId="778F4E09" w14:textId="77777777" w:rsidR="00B14D53" w:rsidRDefault="00000000">
            <w:pPr>
              <w:adjustRightInd/>
              <w:snapToGrid/>
              <w:jc w:val="center"/>
              <w:rPr>
                <w:kern w:val="0"/>
                <w:szCs w:val="21"/>
              </w:rPr>
            </w:pPr>
            <w:r>
              <w:rPr>
                <w:kern w:val="0"/>
                <w:szCs w:val="21"/>
              </w:rPr>
              <w:t>符合</w:t>
            </w:r>
          </w:p>
        </w:tc>
      </w:tr>
    </w:tbl>
    <w:bookmarkEnd w:id="17"/>
    <w:p w14:paraId="6AA07500" w14:textId="77777777" w:rsidR="00B14D53" w:rsidRDefault="00000000">
      <w:pPr>
        <w:spacing w:line="360" w:lineRule="auto"/>
        <w:ind w:firstLineChars="200" w:firstLine="480"/>
        <w:rPr>
          <w:rFonts w:eastAsiaTheme="minorEastAsia" w:hAnsiTheme="minorEastAsia" w:hint="eastAsia"/>
          <w:sz w:val="24"/>
        </w:rPr>
      </w:pPr>
      <w:r>
        <w:rPr>
          <w:snapToGrid w:val="0"/>
          <w:kern w:val="0"/>
          <w:sz w:val="24"/>
        </w:rPr>
        <w:t>本项目符合</w:t>
      </w:r>
      <w:r>
        <w:rPr>
          <w:sz w:val="24"/>
        </w:rPr>
        <w:t>《冷库设计标准》（</w:t>
      </w:r>
      <w:r>
        <w:rPr>
          <w:sz w:val="24"/>
        </w:rPr>
        <w:t>GB50072-2021</w:t>
      </w:r>
      <w:r>
        <w:rPr>
          <w:sz w:val="24"/>
        </w:rPr>
        <w:t>）、《中华人民共和国动物防疫法》、《食品安全国家标准</w:t>
      </w:r>
      <w:r>
        <w:rPr>
          <w:sz w:val="24"/>
        </w:rPr>
        <w:t xml:space="preserve"> </w:t>
      </w:r>
      <w:r>
        <w:rPr>
          <w:sz w:val="24"/>
        </w:rPr>
        <w:t>畜禽屠宰加工卫生规范》（</w:t>
      </w:r>
      <w:r>
        <w:rPr>
          <w:sz w:val="24"/>
        </w:rPr>
        <w:t>GB12694-2016</w:t>
      </w:r>
      <w:r>
        <w:rPr>
          <w:sz w:val="24"/>
        </w:rPr>
        <w:t>）、《动物防疫条件审查办法》相关要求</w:t>
      </w:r>
      <w:r>
        <w:rPr>
          <w:rFonts w:hint="eastAsia"/>
          <w:snapToGrid w:val="0"/>
          <w:kern w:val="0"/>
          <w:sz w:val="24"/>
        </w:rPr>
        <w:t>。</w:t>
      </w:r>
    </w:p>
    <w:p w14:paraId="28B572E5" w14:textId="77777777" w:rsidR="00B14D53" w:rsidRDefault="00000000">
      <w:pPr>
        <w:spacing w:line="360" w:lineRule="auto"/>
        <w:ind w:firstLineChars="200" w:firstLine="480"/>
        <w:jc w:val="left"/>
        <w:rPr>
          <w:sz w:val="24"/>
        </w:rPr>
      </w:pPr>
      <w:r>
        <w:rPr>
          <w:rFonts w:hint="eastAsia"/>
          <w:sz w:val="24"/>
        </w:rPr>
        <w:t>根据《大气有害物质无组织排放卫生防护距离推导技术导则》（</w:t>
      </w:r>
      <w:r>
        <w:rPr>
          <w:rFonts w:hint="eastAsia"/>
          <w:sz w:val="24"/>
        </w:rPr>
        <w:t>GB/T 39499 -2020</w:t>
      </w:r>
      <w:r>
        <w:rPr>
          <w:rFonts w:hint="eastAsia"/>
          <w:sz w:val="24"/>
        </w:rPr>
        <w:t>），本项目产生有害无组织废气的生产单元为污水处理站、屠宰车间、待宰圈，本项目存在两种污染物</w:t>
      </w:r>
      <w:r>
        <w:rPr>
          <w:rFonts w:hint="eastAsia"/>
          <w:sz w:val="24"/>
        </w:rPr>
        <w:t>NH</w:t>
      </w:r>
      <w:r>
        <w:rPr>
          <w:rFonts w:hint="eastAsia"/>
          <w:sz w:val="24"/>
          <w:vertAlign w:val="subscript"/>
        </w:rPr>
        <w:t>3</w:t>
      </w:r>
      <w:r>
        <w:rPr>
          <w:rFonts w:hint="eastAsia"/>
          <w:sz w:val="24"/>
        </w:rPr>
        <w:t>和</w:t>
      </w:r>
      <w:r>
        <w:rPr>
          <w:rFonts w:hint="eastAsia"/>
          <w:sz w:val="24"/>
        </w:rPr>
        <w:t>H</w:t>
      </w:r>
      <w:r>
        <w:rPr>
          <w:rFonts w:hint="eastAsia"/>
          <w:sz w:val="24"/>
          <w:vertAlign w:val="subscript"/>
        </w:rPr>
        <w:t>2</w:t>
      </w:r>
      <w:r>
        <w:rPr>
          <w:rFonts w:hint="eastAsia"/>
          <w:sz w:val="24"/>
        </w:rPr>
        <w:t>S</w:t>
      </w:r>
      <w:r>
        <w:rPr>
          <w:rFonts w:hint="eastAsia"/>
          <w:sz w:val="24"/>
        </w:rPr>
        <w:t>，</w:t>
      </w:r>
      <w:r>
        <w:rPr>
          <w:rFonts w:hint="eastAsia"/>
          <w:sz w:val="24"/>
        </w:rPr>
        <w:t>NH</w:t>
      </w:r>
      <w:r>
        <w:rPr>
          <w:rFonts w:hint="eastAsia"/>
          <w:sz w:val="24"/>
          <w:vertAlign w:val="subscript"/>
        </w:rPr>
        <w:t>3</w:t>
      </w:r>
      <w:r>
        <w:rPr>
          <w:rFonts w:hint="eastAsia"/>
          <w:sz w:val="24"/>
        </w:rPr>
        <w:t>的等标排放量为</w:t>
      </w:r>
      <w:r>
        <w:rPr>
          <w:rFonts w:hint="eastAsia"/>
          <w:sz w:val="24"/>
        </w:rPr>
        <w:t>0.07</w:t>
      </w:r>
      <w:r>
        <w:rPr>
          <w:rFonts w:hint="eastAsia"/>
          <w:sz w:val="24"/>
        </w:rPr>
        <w:t>，</w:t>
      </w:r>
      <w:r>
        <w:rPr>
          <w:rFonts w:hint="eastAsia"/>
          <w:sz w:val="24"/>
        </w:rPr>
        <w:t>H</w:t>
      </w:r>
      <w:r>
        <w:rPr>
          <w:rFonts w:hint="eastAsia"/>
          <w:sz w:val="24"/>
          <w:vertAlign w:val="subscript"/>
        </w:rPr>
        <w:t>2</w:t>
      </w:r>
      <w:r>
        <w:rPr>
          <w:rFonts w:hint="eastAsia"/>
          <w:sz w:val="24"/>
        </w:rPr>
        <w:t>S</w:t>
      </w:r>
      <w:r>
        <w:rPr>
          <w:rFonts w:hint="eastAsia"/>
          <w:sz w:val="24"/>
        </w:rPr>
        <w:t>的等标排放量为</w:t>
      </w:r>
      <w:r>
        <w:rPr>
          <w:rFonts w:hint="eastAsia"/>
          <w:sz w:val="24"/>
        </w:rPr>
        <w:t>0.06</w:t>
      </w:r>
      <w:r>
        <w:rPr>
          <w:rFonts w:hint="eastAsia"/>
          <w:sz w:val="24"/>
        </w:rPr>
        <w:t>，两种污染物的等标排放量大于</w:t>
      </w:r>
      <w:r>
        <w:rPr>
          <w:rFonts w:hint="eastAsia"/>
          <w:sz w:val="24"/>
        </w:rPr>
        <w:t>10%</w:t>
      </w:r>
      <w:r>
        <w:rPr>
          <w:rFonts w:hint="eastAsia"/>
          <w:sz w:val="24"/>
        </w:rPr>
        <w:t>，故本项目选择</w:t>
      </w:r>
      <w:r>
        <w:rPr>
          <w:rFonts w:hint="eastAsia"/>
          <w:sz w:val="24"/>
        </w:rPr>
        <w:t>NH</w:t>
      </w:r>
      <w:r>
        <w:rPr>
          <w:rFonts w:hint="eastAsia"/>
          <w:sz w:val="24"/>
          <w:vertAlign w:val="subscript"/>
        </w:rPr>
        <w:t>3</w:t>
      </w:r>
      <w:r>
        <w:rPr>
          <w:rFonts w:hint="eastAsia"/>
          <w:sz w:val="24"/>
        </w:rPr>
        <w:t>计算</w:t>
      </w:r>
      <w:r>
        <w:rPr>
          <w:sz w:val="24"/>
        </w:rPr>
        <w:t>无组织排放的卫生防护距离</w:t>
      </w:r>
      <w:r>
        <w:rPr>
          <w:rFonts w:hint="eastAsia"/>
          <w:sz w:val="24"/>
        </w:rPr>
        <w:t>。</w:t>
      </w:r>
    </w:p>
    <w:p w14:paraId="54057243" w14:textId="77777777" w:rsidR="00B14D53" w:rsidRDefault="00000000">
      <w:pPr>
        <w:widowControl/>
        <w:kinsoku w:val="0"/>
        <w:autoSpaceDE w:val="0"/>
        <w:autoSpaceDN w:val="0"/>
        <w:adjustRightInd w:val="0"/>
        <w:snapToGrid w:val="0"/>
        <w:spacing w:line="360" w:lineRule="auto"/>
        <w:ind w:firstLineChars="200" w:firstLine="480"/>
        <w:textAlignment w:val="baseline"/>
        <w:rPr>
          <w:sz w:val="24"/>
        </w:rPr>
      </w:pPr>
      <w:r>
        <w:rPr>
          <w:sz w:val="24"/>
        </w:rPr>
        <w:t>本项目无组织排放的卫生防护距离可由下式计算：</w:t>
      </w:r>
    </w:p>
    <w:p w14:paraId="6FFD6195" w14:textId="77777777" w:rsidR="00B14D53" w:rsidRDefault="00000000">
      <w:pPr>
        <w:widowControl/>
        <w:kinsoku w:val="0"/>
        <w:autoSpaceDE w:val="0"/>
        <w:autoSpaceDN w:val="0"/>
        <w:adjustRightInd w:val="0"/>
        <w:snapToGrid w:val="0"/>
        <w:spacing w:line="360" w:lineRule="auto"/>
        <w:ind w:firstLineChars="200" w:firstLine="560"/>
        <w:jc w:val="center"/>
        <w:textAlignment w:val="baseline"/>
        <w:rPr>
          <w:sz w:val="24"/>
        </w:rPr>
      </w:pPr>
      <w:r>
        <w:rPr>
          <w:position w:val="-30"/>
          <w:sz w:val="28"/>
        </w:rPr>
        <w:object w:dxaOrig="2895" w:dyaOrig="705" w14:anchorId="7D6B1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35.25pt" o:ole="">
            <v:imagedata r:id="rId13" o:title=""/>
          </v:shape>
          <o:OLEObject Type="Embed" ProgID="Equation.3" ShapeID="_x0000_i1025" DrawAspect="Content" ObjectID="_1815827217" r:id="rId14"/>
        </w:object>
      </w:r>
    </w:p>
    <w:p w14:paraId="66958AE3" w14:textId="77777777" w:rsidR="00B14D53" w:rsidRDefault="00000000">
      <w:pPr>
        <w:widowControl/>
        <w:kinsoku w:val="0"/>
        <w:autoSpaceDE w:val="0"/>
        <w:autoSpaceDN w:val="0"/>
        <w:adjustRightInd w:val="0"/>
        <w:snapToGrid w:val="0"/>
        <w:spacing w:line="360" w:lineRule="auto"/>
        <w:ind w:firstLineChars="200" w:firstLine="480"/>
        <w:textAlignment w:val="baseline"/>
        <w:rPr>
          <w:sz w:val="24"/>
        </w:rPr>
      </w:pPr>
      <w:r>
        <w:rPr>
          <w:sz w:val="24"/>
        </w:rPr>
        <w:t>式中：</w:t>
      </w:r>
      <w:r>
        <w:rPr>
          <w:sz w:val="24"/>
        </w:rPr>
        <w:t>C</w:t>
      </w:r>
      <w:r>
        <w:rPr>
          <w:sz w:val="24"/>
          <w:vertAlign w:val="subscript"/>
        </w:rPr>
        <w:t>m</w:t>
      </w:r>
      <w:r>
        <w:rPr>
          <w:sz w:val="24"/>
        </w:rPr>
        <w:t>——</w:t>
      </w:r>
      <w:r>
        <w:rPr>
          <w:sz w:val="24"/>
        </w:rPr>
        <w:t>大气有害物质环境空气质量的标准浓度限值（</w:t>
      </w:r>
      <w:r>
        <w:rPr>
          <w:sz w:val="24"/>
        </w:rPr>
        <w:t>mg/m</w:t>
      </w:r>
      <w:r>
        <w:rPr>
          <w:sz w:val="24"/>
          <w:vertAlign w:val="superscript"/>
        </w:rPr>
        <w:t>3</w:t>
      </w:r>
      <w:r>
        <w:rPr>
          <w:sz w:val="24"/>
        </w:rPr>
        <w:t>）；</w:t>
      </w:r>
    </w:p>
    <w:p w14:paraId="11FE06C0" w14:textId="77777777" w:rsidR="00B14D53" w:rsidRDefault="00000000">
      <w:pPr>
        <w:widowControl/>
        <w:kinsoku w:val="0"/>
        <w:autoSpaceDE w:val="0"/>
        <w:autoSpaceDN w:val="0"/>
        <w:adjustRightInd w:val="0"/>
        <w:snapToGrid w:val="0"/>
        <w:spacing w:line="360" w:lineRule="auto"/>
        <w:ind w:firstLineChars="200" w:firstLine="480"/>
        <w:textAlignment w:val="baseline"/>
        <w:rPr>
          <w:sz w:val="24"/>
        </w:rPr>
      </w:pPr>
      <w:r>
        <w:rPr>
          <w:sz w:val="24"/>
        </w:rPr>
        <w:t xml:space="preserve">      Q</w:t>
      </w:r>
      <w:r>
        <w:rPr>
          <w:sz w:val="24"/>
          <w:vertAlign w:val="subscript"/>
        </w:rPr>
        <w:t>c</w:t>
      </w:r>
      <w:r>
        <w:rPr>
          <w:sz w:val="24"/>
        </w:rPr>
        <w:t>——</w:t>
      </w:r>
      <w:r>
        <w:rPr>
          <w:sz w:val="24"/>
        </w:rPr>
        <w:t>大气有害物质的无组织排放量（</w:t>
      </w:r>
      <w:r>
        <w:rPr>
          <w:sz w:val="24"/>
        </w:rPr>
        <w:t>kg/h</w:t>
      </w:r>
      <w:r>
        <w:rPr>
          <w:sz w:val="24"/>
        </w:rPr>
        <w:t>）；</w:t>
      </w:r>
    </w:p>
    <w:p w14:paraId="5955B6E2" w14:textId="77777777" w:rsidR="00B14D53" w:rsidRDefault="00000000">
      <w:pPr>
        <w:widowControl/>
        <w:kinsoku w:val="0"/>
        <w:autoSpaceDE w:val="0"/>
        <w:autoSpaceDN w:val="0"/>
        <w:adjustRightInd w:val="0"/>
        <w:snapToGrid w:val="0"/>
        <w:spacing w:line="360" w:lineRule="auto"/>
        <w:ind w:firstLineChars="200" w:firstLine="480"/>
        <w:textAlignment w:val="baseline"/>
        <w:rPr>
          <w:sz w:val="24"/>
        </w:rPr>
      </w:pPr>
      <w:r>
        <w:rPr>
          <w:sz w:val="24"/>
        </w:rPr>
        <w:t xml:space="preserve">      r——</w:t>
      </w:r>
      <w:r>
        <w:rPr>
          <w:sz w:val="24"/>
        </w:rPr>
        <w:t>大气有害物质无组织排放源所在生产单元的等效半径（</w:t>
      </w:r>
      <w:r>
        <w:rPr>
          <w:sz w:val="24"/>
        </w:rPr>
        <w:t>m</w:t>
      </w:r>
      <w:r>
        <w:rPr>
          <w:sz w:val="24"/>
        </w:rPr>
        <w:t>）；</w:t>
      </w:r>
    </w:p>
    <w:p w14:paraId="4855F2B6" w14:textId="77777777" w:rsidR="00B14D53" w:rsidRDefault="00000000">
      <w:pPr>
        <w:widowControl/>
        <w:kinsoku w:val="0"/>
        <w:autoSpaceDE w:val="0"/>
        <w:autoSpaceDN w:val="0"/>
        <w:adjustRightInd w:val="0"/>
        <w:snapToGrid w:val="0"/>
        <w:spacing w:line="360" w:lineRule="auto"/>
        <w:ind w:firstLineChars="200" w:firstLine="480"/>
        <w:textAlignment w:val="baseline"/>
        <w:rPr>
          <w:sz w:val="24"/>
        </w:rPr>
      </w:pPr>
      <w:r>
        <w:rPr>
          <w:sz w:val="24"/>
        </w:rPr>
        <w:t xml:space="preserve">      L——</w:t>
      </w:r>
      <w:r>
        <w:rPr>
          <w:sz w:val="24"/>
        </w:rPr>
        <w:t>大气有害物质卫生防护距离初值（</w:t>
      </w:r>
      <w:r>
        <w:rPr>
          <w:sz w:val="24"/>
        </w:rPr>
        <w:t>m</w:t>
      </w:r>
      <w:r>
        <w:rPr>
          <w:sz w:val="24"/>
        </w:rPr>
        <w:t>）；</w:t>
      </w:r>
    </w:p>
    <w:p w14:paraId="244D1E90" w14:textId="77777777" w:rsidR="00B14D53" w:rsidRDefault="00000000">
      <w:pPr>
        <w:widowControl/>
        <w:kinsoku w:val="0"/>
        <w:autoSpaceDE w:val="0"/>
        <w:autoSpaceDN w:val="0"/>
        <w:adjustRightInd w:val="0"/>
        <w:snapToGrid w:val="0"/>
        <w:spacing w:line="360" w:lineRule="auto"/>
        <w:ind w:firstLineChars="200" w:firstLine="480"/>
        <w:textAlignment w:val="baseline"/>
        <w:rPr>
          <w:sz w:val="24"/>
        </w:rPr>
      </w:pPr>
      <w:r>
        <w:rPr>
          <w:sz w:val="24"/>
        </w:rPr>
        <w:t xml:space="preserve">      A</w:t>
      </w:r>
      <w:r>
        <w:rPr>
          <w:sz w:val="24"/>
        </w:rPr>
        <w:t>、</w:t>
      </w:r>
      <w:r>
        <w:rPr>
          <w:sz w:val="24"/>
        </w:rPr>
        <w:t>B</w:t>
      </w:r>
      <w:r>
        <w:rPr>
          <w:sz w:val="24"/>
        </w:rPr>
        <w:t>、</w:t>
      </w:r>
      <w:r>
        <w:rPr>
          <w:sz w:val="24"/>
        </w:rPr>
        <w:t>C</w:t>
      </w:r>
      <w:r>
        <w:rPr>
          <w:sz w:val="24"/>
        </w:rPr>
        <w:t>、</w:t>
      </w:r>
      <w:r>
        <w:rPr>
          <w:sz w:val="24"/>
        </w:rPr>
        <w:t>D——</w:t>
      </w:r>
      <w:r>
        <w:rPr>
          <w:sz w:val="24"/>
        </w:rPr>
        <w:t>卫生防护距离计算系数。</w:t>
      </w:r>
    </w:p>
    <w:p w14:paraId="3D9A4A1D" w14:textId="77777777" w:rsidR="00B14D53" w:rsidRDefault="00000000">
      <w:pPr>
        <w:jc w:val="center"/>
        <w:rPr>
          <w:b/>
          <w:bCs/>
          <w:lang w:val="zh-CN"/>
        </w:rPr>
      </w:pPr>
      <w:r>
        <w:rPr>
          <w:b/>
          <w:bCs/>
          <w:lang w:val="zh-CN"/>
        </w:rPr>
        <w:t>表</w:t>
      </w:r>
      <w:r>
        <w:rPr>
          <w:rFonts w:hint="eastAsia"/>
          <w:b/>
          <w:bCs/>
        </w:rPr>
        <w:t>1-4-7</w:t>
      </w:r>
      <w:r>
        <w:rPr>
          <w:rFonts w:hint="eastAsia"/>
          <w:b/>
          <w:bCs/>
          <w:lang w:val="zh-CN"/>
        </w:rPr>
        <w:t xml:space="preserve"> </w:t>
      </w:r>
      <w:r>
        <w:rPr>
          <w:b/>
          <w:bCs/>
          <w:lang w:val="zh-CN"/>
        </w:rPr>
        <w:t>卫生防护距离计算参数及计算结果</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50"/>
        <w:gridCol w:w="700"/>
        <w:gridCol w:w="798"/>
        <w:gridCol w:w="636"/>
        <w:gridCol w:w="813"/>
        <w:gridCol w:w="531"/>
        <w:gridCol w:w="584"/>
        <w:gridCol w:w="584"/>
        <w:gridCol w:w="584"/>
        <w:gridCol w:w="713"/>
        <w:gridCol w:w="713"/>
      </w:tblGrid>
      <w:tr w:rsidR="00B14D53" w14:paraId="43A992B0" w14:textId="77777777">
        <w:trPr>
          <w:trHeight w:val="388"/>
        </w:trPr>
        <w:tc>
          <w:tcPr>
            <w:tcW w:w="1013" w:type="pct"/>
            <w:vMerge w:val="restart"/>
            <w:tcBorders>
              <w:top w:val="single" w:sz="12" w:space="0" w:color="auto"/>
              <w:left w:val="nil"/>
            </w:tcBorders>
            <w:vAlign w:val="center"/>
          </w:tcPr>
          <w:p w14:paraId="6319FF2B" w14:textId="77777777" w:rsidR="00B14D53" w:rsidRDefault="00000000">
            <w:pPr>
              <w:jc w:val="center"/>
              <w:rPr>
                <w:b/>
                <w:bCs/>
                <w:szCs w:val="21"/>
              </w:rPr>
            </w:pPr>
            <w:r>
              <w:rPr>
                <w:b/>
                <w:bCs/>
                <w:szCs w:val="21"/>
              </w:rPr>
              <w:t>项目</w:t>
            </w:r>
          </w:p>
        </w:tc>
        <w:tc>
          <w:tcPr>
            <w:tcW w:w="415" w:type="pct"/>
            <w:vMerge w:val="restart"/>
            <w:tcBorders>
              <w:top w:val="single" w:sz="12" w:space="0" w:color="auto"/>
            </w:tcBorders>
            <w:vAlign w:val="center"/>
          </w:tcPr>
          <w:p w14:paraId="775EFD25" w14:textId="77777777" w:rsidR="00B14D53" w:rsidRDefault="00000000">
            <w:pPr>
              <w:jc w:val="center"/>
              <w:rPr>
                <w:b/>
                <w:bCs/>
                <w:szCs w:val="21"/>
              </w:rPr>
            </w:pPr>
            <w:r>
              <w:rPr>
                <w:b/>
                <w:bCs/>
                <w:szCs w:val="21"/>
              </w:rPr>
              <w:t>标准</w:t>
            </w:r>
          </w:p>
          <w:p w14:paraId="12225D32" w14:textId="77777777" w:rsidR="00B14D53" w:rsidRDefault="00000000">
            <w:pPr>
              <w:jc w:val="center"/>
              <w:rPr>
                <w:b/>
                <w:bCs/>
                <w:spacing w:val="-20"/>
                <w:szCs w:val="21"/>
              </w:rPr>
            </w:pPr>
            <w:r>
              <w:rPr>
                <w:rFonts w:hint="eastAsia"/>
                <w:b/>
                <w:bCs/>
                <w:spacing w:val="-20"/>
                <w:szCs w:val="21"/>
              </w:rPr>
              <w:t>mg/m</w:t>
            </w:r>
            <w:r>
              <w:rPr>
                <w:rFonts w:hint="eastAsia"/>
                <w:b/>
                <w:bCs/>
                <w:spacing w:val="-20"/>
                <w:szCs w:val="21"/>
                <w:vertAlign w:val="superscript"/>
              </w:rPr>
              <w:t>3</w:t>
            </w:r>
          </w:p>
        </w:tc>
        <w:tc>
          <w:tcPr>
            <w:tcW w:w="902" w:type="pct"/>
            <w:gridSpan w:val="2"/>
            <w:tcBorders>
              <w:top w:val="single" w:sz="12" w:space="0" w:color="auto"/>
            </w:tcBorders>
            <w:vAlign w:val="center"/>
          </w:tcPr>
          <w:p w14:paraId="4B5DF83E" w14:textId="77777777" w:rsidR="00B14D53" w:rsidRDefault="00000000">
            <w:pPr>
              <w:jc w:val="center"/>
              <w:rPr>
                <w:b/>
                <w:bCs/>
                <w:szCs w:val="21"/>
              </w:rPr>
            </w:pPr>
            <w:r>
              <w:rPr>
                <w:b/>
                <w:bCs/>
                <w:szCs w:val="21"/>
              </w:rPr>
              <w:t>源强特征</w:t>
            </w:r>
          </w:p>
        </w:tc>
        <w:tc>
          <w:tcPr>
            <w:tcW w:w="469" w:type="pct"/>
            <w:vMerge w:val="restart"/>
            <w:tcBorders>
              <w:top w:val="single" w:sz="12" w:space="0" w:color="auto"/>
            </w:tcBorders>
            <w:vAlign w:val="center"/>
          </w:tcPr>
          <w:p w14:paraId="6F093B63" w14:textId="77777777" w:rsidR="00B14D53" w:rsidRDefault="00000000">
            <w:pPr>
              <w:jc w:val="center"/>
              <w:rPr>
                <w:b/>
                <w:bCs/>
                <w:spacing w:val="-20"/>
                <w:szCs w:val="21"/>
              </w:rPr>
            </w:pPr>
            <w:r>
              <w:rPr>
                <w:b/>
                <w:bCs/>
                <w:spacing w:val="-20"/>
                <w:szCs w:val="21"/>
              </w:rPr>
              <w:t>年平均</w:t>
            </w:r>
          </w:p>
          <w:p w14:paraId="50382F23" w14:textId="77777777" w:rsidR="00B14D53" w:rsidRDefault="00000000">
            <w:pPr>
              <w:jc w:val="center"/>
              <w:rPr>
                <w:b/>
                <w:bCs/>
                <w:spacing w:val="-20"/>
                <w:szCs w:val="21"/>
              </w:rPr>
            </w:pPr>
            <w:r>
              <w:rPr>
                <w:b/>
                <w:bCs/>
                <w:spacing w:val="-20"/>
                <w:szCs w:val="21"/>
              </w:rPr>
              <w:t>风</w:t>
            </w:r>
            <w:r>
              <w:rPr>
                <w:b/>
                <w:bCs/>
                <w:spacing w:val="-20"/>
                <w:szCs w:val="21"/>
              </w:rPr>
              <w:t xml:space="preserve">  </w:t>
            </w:r>
            <w:r>
              <w:rPr>
                <w:b/>
                <w:bCs/>
                <w:spacing w:val="-20"/>
                <w:szCs w:val="21"/>
              </w:rPr>
              <w:t>速</w:t>
            </w:r>
          </w:p>
          <w:p w14:paraId="16753A64" w14:textId="77777777" w:rsidR="00B14D53" w:rsidRDefault="00000000">
            <w:pPr>
              <w:jc w:val="center"/>
              <w:rPr>
                <w:b/>
                <w:bCs/>
                <w:spacing w:val="-20"/>
                <w:szCs w:val="21"/>
              </w:rPr>
            </w:pPr>
            <w:r>
              <w:rPr>
                <w:b/>
                <w:bCs/>
                <w:spacing w:val="-20"/>
                <w:szCs w:val="21"/>
              </w:rPr>
              <w:t>（</w:t>
            </w:r>
            <w:r>
              <w:rPr>
                <w:b/>
                <w:bCs/>
                <w:spacing w:val="-20"/>
                <w:szCs w:val="21"/>
              </w:rPr>
              <w:t>m/s</w:t>
            </w:r>
            <w:r>
              <w:rPr>
                <w:b/>
                <w:bCs/>
                <w:spacing w:val="-20"/>
                <w:szCs w:val="21"/>
              </w:rPr>
              <w:t>）</w:t>
            </w:r>
          </w:p>
        </w:tc>
        <w:tc>
          <w:tcPr>
            <w:tcW w:w="1310" w:type="pct"/>
            <w:gridSpan w:val="4"/>
            <w:tcBorders>
              <w:top w:val="single" w:sz="12" w:space="0" w:color="auto"/>
            </w:tcBorders>
            <w:vAlign w:val="center"/>
          </w:tcPr>
          <w:p w14:paraId="2A4DDEA7" w14:textId="77777777" w:rsidR="00B14D53" w:rsidRDefault="00000000">
            <w:pPr>
              <w:jc w:val="center"/>
              <w:rPr>
                <w:b/>
                <w:bCs/>
                <w:szCs w:val="21"/>
              </w:rPr>
            </w:pPr>
            <w:r>
              <w:rPr>
                <w:b/>
                <w:bCs/>
                <w:szCs w:val="21"/>
              </w:rPr>
              <w:t>计算系数</w:t>
            </w:r>
          </w:p>
        </w:tc>
        <w:tc>
          <w:tcPr>
            <w:tcW w:w="442" w:type="pct"/>
            <w:vMerge w:val="restart"/>
            <w:tcBorders>
              <w:top w:val="single" w:sz="12" w:space="0" w:color="auto"/>
              <w:right w:val="single" w:sz="4" w:space="0" w:color="auto"/>
            </w:tcBorders>
            <w:vAlign w:val="center"/>
          </w:tcPr>
          <w:p w14:paraId="08637BB9" w14:textId="77777777" w:rsidR="00B14D53" w:rsidRDefault="00000000">
            <w:pPr>
              <w:jc w:val="center"/>
              <w:rPr>
                <w:b/>
                <w:bCs/>
                <w:spacing w:val="-20"/>
                <w:szCs w:val="21"/>
              </w:rPr>
            </w:pPr>
            <w:r>
              <w:rPr>
                <w:rFonts w:hAnsi="Calibri"/>
                <w:b/>
                <w:bCs/>
                <w:spacing w:val="-20"/>
                <w:szCs w:val="21"/>
              </w:rPr>
              <w:t>卫生防护距离计算值（</w:t>
            </w:r>
            <w:r>
              <w:rPr>
                <w:b/>
                <w:bCs/>
                <w:spacing w:val="-20"/>
                <w:szCs w:val="21"/>
              </w:rPr>
              <w:t>m</w:t>
            </w:r>
            <w:r>
              <w:rPr>
                <w:rFonts w:hAnsi="Calibri"/>
                <w:b/>
                <w:bCs/>
                <w:spacing w:val="-20"/>
                <w:szCs w:val="21"/>
              </w:rPr>
              <w:t>）</w:t>
            </w:r>
          </w:p>
        </w:tc>
        <w:tc>
          <w:tcPr>
            <w:tcW w:w="447" w:type="pct"/>
            <w:vMerge w:val="restart"/>
            <w:tcBorders>
              <w:top w:val="single" w:sz="12" w:space="0" w:color="auto"/>
              <w:left w:val="single" w:sz="4" w:space="0" w:color="auto"/>
              <w:right w:val="nil"/>
            </w:tcBorders>
            <w:vAlign w:val="center"/>
          </w:tcPr>
          <w:p w14:paraId="6B8E0D85" w14:textId="77777777" w:rsidR="00B14D53" w:rsidRDefault="00000000">
            <w:pPr>
              <w:jc w:val="center"/>
              <w:rPr>
                <w:b/>
                <w:bCs/>
                <w:spacing w:val="-20"/>
                <w:szCs w:val="21"/>
              </w:rPr>
            </w:pPr>
            <w:r>
              <w:rPr>
                <w:rFonts w:hAnsi="Calibri"/>
                <w:b/>
                <w:bCs/>
                <w:spacing w:val="-20"/>
                <w:szCs w:val="21"/>
              </w:rPr>
              <w:t>卫生防护距离级差核定（</w:t>
            </w:r>
            <w:r>
              <w:rPr>
                <w:b/>
                <w:bCs/>
                <w:spacing w:val="-20"/>
                <w:szCs w:val="21"/>
              </w:rPr>
              <w:t>m</w:t>
            </w:r>
            <w:r>
              <w:rPr>
                <w:rFonts w:hAnsi="Calibri"/>
                <w:b/>
                <w:bCs/>
                <w:spacing w:val="-20"/>
                <w:szCs w:val="21"/>
              </w:rPr>
              <w:t>）</w:t>
            </w:r>
          </w:p>
        </w:tc>
      </w:tr>
      <w:tr w:rsidR="00B14D53" w14:paraId="524219B4" w14:textId="77777777">
        <w:trPr>
          <w:trHeight w:val="139"/>
        </w:trPr>
        <w:tc>
          <w:tcPr>
            <w:tcW w:w="1013" w:type="pct"/>
            <w:vMerge/>
            <w:tcBorders>
              <w:left w:val="nil"/>
            </w:tcBorders>
          </w:tcPr>
          <w:p w14:paraId="5B6D4F04" w14:textId="77777777" w:rsidR="00B14D53" w:rsidRDefault="00B14D53">
            <w:pPr>
              <w:rPr>
                <w:szCs w:val="21"/>
              </w:rPr>
            </w:pPr>
          </w:p>
        </w:tc>
        <w:tc>
          <w:tcPr>
            <w:tcW w:w="415" w:type="pct"/>
            <w:vMerge/>
          </w:tcPr>
          <w:p w14:paraId="0B7D2792" w14:textId="77777777" w:rsidR="00B14D53" w:rsidRDefault="00B14D53">
            <w:pPr>
              <w:rPr>
                <w:szCs w:val="21"/>
              </w:rPr>
            </w:pPr>
          </w:p>
        </w:tc>
        <w:tc>
          <w:tcPr>
            <w:tcW w:w="500" w:type="pct"/>
            <w:vAlign w:val="center"/>
          </w:tcPr>
          <w:p w14:paraId="5B63BAB8" w14:textId="77777777" w:rsidR="00B14D53" w:rsidRDefault="00000000">
            <w:pPr>
              <w:jc w:val="center"/>
              <w:rPr>
                <w:b/>
                <w:bCs/>
                <w:spacing w:val="-20"/>
                <w:szCs w:val="21"/>
              </w:rPr>
            </w:pPr>
            <w:r>
              <w:rPr>
                <w:b/>
                <w:bCs/>
                <w:spacing w:val="-20"/>
                <w:szCs w:val="21"/>
              </w:rPr>
              <w:t>源</w:t>
            </w:r>
            <w:r>
              <w:rPr>
                <w:b/>
                <w:bCs/>
                <w:spacing w:val="-20"/>
                <w:szCs w:val="21"/>
              </w:rPr>
              <w:t xml:space="preserve"> </w:t>
            </w:r>
            <w:r>
              <w:rPr>
                <w:b/>
                <w:bCs/>
                <w:spacing w:val="-20"/>
                <w:szCs w:val="21"/>
              </w:rPr>
              <w:t>强</w:t>
            </w:r>
            <w:r>
              <w:rPr>
                <w:b/>
                <w:bCs/>
                <w:spacing w:val="-20"/>
                <w:szCs w:val="21"/>
              </w:rPr>
              <w:t>kg/h</w:t>
            </w:r>
          </w:p>
        </w:tc>
        <w:tc>
          <w:tcPr>
            <w:tcW w:w="402" w:type="pct"/>
            <w:vAlign w:val="center"/>
          </w:tcPr>
          <w:p w14:paraId="1BFF04E8" w14:textId="77777777" w:rsidR="00B14D53" w:rsidRDefault="00000000">
            <w:pPr>
              <w:jc w:val="center"/>
              <w:rPr>
                <w:b/>
                <w:bCs/>
                <w:spacing w:val="-20"/>
                <w:szCs w:val="21"/>
              </w:rPr>
            </w:pPr>
            <w:r>
              <w:rPr>
                <w:b/>
                <w:bCs/>
                <w:spacing w:val="-20"/>
                <w:szCs w:val="21"/>
              </w:rPr>
              <w:t>面积</w:t>
            </w:r>
            <w:r>
              <w:rPr>
                <w:b/>
                <w:bCs/>
                <w:spacing w:val="-20"/>
                <w:szCs w:val="21"/>
              </w:rPr>
              <w:t>m</w:t>
            </w:r>
            <w:r>
              <w:rPr>
                <w:b/>
                <w:bCs/>
                <w:spacing w:val="-20"/>
                <w:szCs w:val="21"/>
                <w:vertAlign w:val="superscript"/>
              </w:rPr>
              <w:t>2</w:t>
            </w:r>
          </w:p>
        </w:tc>
        <w:tc>
          <w:tcPr>
            <w:tcW w:w="469" w:type="pct"/>
            <w:vMerge/>
          </w:tcPr>
          <w:p w14:paraId="216BE684" w14:textId="77777777" w:rsidR="00B14D53" w:rsidRDefault="00B14D53">
            <w:pPr>
              <w:rPr>
                <w:b/>
                <w:bCs/>
                <w:szCs w:val="21"/>
              </w:rPr>
            </w:pPr>
          </w:p>
        </w:tc>
        <w:tc>
          <w:tcPr>
            <w:tcW w:w="312" w:type="pct"/>
            <w:vAlign w:val="center"/>
          </w:tcPr>
          <w:p w14:paraId="43770C34" w14:textId="77777777" w:rsidR="00B14D53" w:rsidRDefault="00000000">
            <w:pPr>
              <w:jc w:val="center"/>
              <w:rPr>
                <w:b/>
                <w:bCs/>
                <w:szCs w:val="21"/>
              </w:rPr>
            </w:pPr>
            <w:r>
              <w:rPr>
                <w:b/>
                <w:bCs/>
                <w:szCs w:val="21"/>
              </w:rPr>
              <w:t>A</w:t>
            </w:r>
          </w:p>
        </w:tc>
        <w:tc>
          <w:tcPr>
            <w:tcW w:w="313" w:type="pct"/>
            <w:vAlign w:val="center"/>
          </w:tcPr>
          <w:p w14:paraId="491BEDD9" w14:textId="77777777" w:rsidR="00B14D53" w:rsidRDefault="00000000">
            <w:pPr>
              <w:jc w:val="center"/>
              <w:rPr>
                <w:b/>
                <w:bCs/>
                <w:szCs w:val="21"/>
              </w:rPr>
            </w:pPr>
            <w:r>
              <w:rPr>
                <w:b/>
                <w:bCs/>
                <w:szCs w:val="21"/>
              </w:rPr>
              <w:t>B</w:t>
            </w:r>
          </w:p>
        </w:tc>
        <w:tc>
          <w:tcPr>
            <w:tcW w:w="343" w:type="pct"/>
            <w:vAlign w:val="center"/>
          </w:tcPr>
          <w:p w14:paraId="4F807832" w14:textId="77777777" w:rsidR="00B14D53" w:rsidRDefault="00000000">
            <w:pPr>
              <w:jc w:val="center"/>
              <w:rPr>
                <w:b/>
                <w:bCs/>
                <w:szCs w:val="21"/>
              </w:rPr>
            </w:pPr>
            <w:r>
              <w:rPr>
                <w:b/>
                <w:bCs/>
                <w:szCs w:val="21"/>
              </w:rPr>
              <w:t>C</w:t>
            </w:r>
          </w:p>
        </w:tc>
        <w:tc>
          <w:tcPr>
            <w:tcW w:w="343" w:type="pct"/>
            <w:vAlign w:val="center"/>
          </w:tcPr>
          <w:p w14:paraId="0E8FF241" w14:textId="77777777" w:rsidR="00B14D53" w:rsidRDefault="00000000">
            <w:pPr>
              <w:jc w:val="center"/>
              <w:rPr>
                <w:b/>
                <w:bCs/>
                <w:szCs w:val="21"/>
              </w:rPr>
            </w:pPr>
            <w:r>
              <w:rPr>
                <w:b/>
                <w:bCs/>
                <w:szCs w:val="21"/>
              </w:rPr>
              <w:t>D</w:t>
            </w:r>
          </w:p>
        </w:tc>
        <w:tc>
          <w:tcPr>
            <w:tcW w:w="442" w:type="pct"/>
            <w:vMerge/>
            <w:tcBorders>
              <w:right w:val="single" w:sz="4" w:space="0" w:color="auto"/>
            </w:tcBorders>
          </w:tcPr>
          <w:p w14:paraId="434D6428" w14:textId="77777777" w:rsidR="00B14D53" w:rsidRDefault="00B14D53">
            <w:pPr>
              <w:rPr>
                <w:szCs w:val="21"/>
              </w:rPr>
            </w:pPr>
          </w:p>
        </w:tc>
        <w:tc>
          <w:tcPr>
            <w:tcW w:w="447" w:type="pct"/>
            <w:vMerge/>
            <w:tcBorders>
              <w:left w:val="single" w:sz="4" w:space="0" w:color="auto"/>
              <w:right w:val="nil"/>
            </w:tcBorders>
          </w:tcPr>
          <w:p w14:paraId="0B082362" w14:textId="77777777" w:rsidR="00B14D53" w:rsidRDefault="00B14D53">
            <w:pPr>
              <w:rPr>
                <w:szCs w:val="21"/>
              </w:rPr>
            </w:pPr>
          </w:p>
        </w:tc>
      </w:tr>
      <w:tr w:rsidR="00B14D53" w14:paraId="1C4D177C" w14:textId="77777777">
        <w:trPr>
          <w:trHeight w:val="350"/>
        </w:trPr>
        <w:tc>
          <w:tcPr>
            <w:tcW w:w="1013" w:type="pct"/>
            <w:tcBorders>
              <w:left w:val="nil"/>
            </w:tcBorders>
            <w:vAlign w:val="center"/>
          </w:tcPr>
          <w:p w14:paraId="4CE0E395" w14:textId="77777777" w:rsidR="00B14D53" w:rsidRDefault="00000000">
            <w:pPr>
              <w:jc w:val="center"/>
              <w:rPr>
                <w:szCs w:val="21"/>
              </w:rPr>
            </w:pPr>
            <w:r>
              <w:rPr>
                <w:rFonts w:hint="eastAsia"/>
                <w:szCs w:val="21"/>
              </w:rPr>
              <w:t>1#</w:t>
            </w:r>
            <w:r>
              <w:rPr>
                <w:szCs w:val="21"/>
              </w:rPr>
              <w:t>待宰圈氨气</w:t>
            </w:r>
          </w:p>
        </w:tc>
        <w:tc>
          <w:tcPr>
            <w:tcW w:w="415" w:type="pct"/>
            <w:vMerge w:val="restart"/>
            <w:vAlign w:val="center"/>
          </w:tcPr>
          <w:p w14:paraId="6A87B91F" w14:textId="77777777" w:rsidR="00B14D53" w:rsidRDefault="00000000">
            <w:pPr>
              <w:jc w:val="center"/>
              <w:rPr>
                <w:szCs w:val="21"/>
              </w:rPr>
            </w:pPr>
            <w:r>
              <w:rPr>
                <w:rFonts w:hint="eastAsia"/>
                <w:szCs w:val="21"/>
              </w:rPr>
              <w:t>0.2</w:t>
            </w:r>
          </w:p>
        </w:tc>
        <w:tc>
          <w:tcPr>
            <w:tcW w:w="500" w:type="pct"/>
            <w:vAlign w:val="center"/>
          </w:tcPr>
          <w:p w14:paraId="73D5CCF9" w14:textId="77777777" w:rsidR="00B14D53" w:rsidRDefault="00000000">
            <w:pPr>
              <w:jc w:val="center"/>
              <w:rPr>
                <w:szCs w:val="21"/>
              </w:rPr>
            </w:pPr>
            <w:r>
              <w:rPr>
                <w:rFonts w:hint="eastAsia"/>
                <w:szCs w:val="21"/>
              </w:rPr>
              <w:t>0.002</w:t>
            </w:r>
          </w:p>
        </w:tc>
        <w:tc>
          <w:tcPr>
            <w:tcW w:w="402" w:type="pct"/>
            <w:tcBorders>
              <w:top w:val="single" w:sz="4" w:space="0" w:color="auto"/>
              <w:bottom w:val="single" w:sz="4" w:space="0" w:color="auto"/>
            </w:tcBorders>
            <w:vAlign w:val="center"/>
          </w:tcPr>
          <w:p w14:paraId="6C25702E" w14:textId="77777777" w:rsidR="00B14D53" w:rsidRDefault="00000000">
            <w:pPr>
              <w:jc w:val="center"/>
              <w:rPr>
                <w:szCs w:val="21"/>
              </w:rPr>
            </w:pPr>
            <w:r>
              <w:rPr>
                <w:rFonts w:hint="eastAsia"/>
                <w:szCs w:val="21"/>
              </w:rPr>
              <w:t>240</w:t>
            </w:r>
          </w:p>
        </w:tc>
        <w:tc>
          <w:tcPr>
            <w:tcW w:w="469" w:type="pct"/>
            <w:vMerge w:val="restart"/>
            <w:vAlign w:val="center"/>
          </w:tcPr>
          <w:p w14:paraId="734D7B23" w14:textId="77777777" w:rsidR="00B14D53" w:rsidRDefault="00000000">
            <w:pPr>
              <w:jc w:val="center"/>
              <w:rPr>
                <w:szCs w:val="21"/>
              </w:rPr>
            </w:pPr>
            <w:r>
              <w:rPr>
                <w:szCs w:val="21"/>
              </w:rPr>
              <w:t>2.7</w:t>
            </w:r>
          </w:p>
        </w:tc>
        <w:tc>
          <w:tcPr>
            <w:tcW w:w="312" w:type="pct"/>
            <w:vMerge w:val="restart"/>
            <w:vAlign w:val="center"/>
          </w:tcPr>
          <w:p w14:paraId="7E79D33D" w14:textId="77777777" w:rsidR="00B14D53" w:rsidRDefault="00000000">
            <w:pPr>
              <w:jc w:val="center"/>
              <w:rPr>
                <w:szCs w:val="21"/>
              </w:rPr>
            </w:pPr>
            <w:r>
              <w:rPr>
                <w:szCs w:val="21"/>
              </w:rPr>
              <w:t>470</w:t>
            </w:r>
          </w:p>
        </w:tc>
        <w:tc>
          <w:tcPr>
            <w:tcW w:w="313" w:type="pct"/>
            <w:vMerge w:val="restart"/>
            <w:vAlign w:val="center"/>
          </w:tcPr>
          <w:p w14:paraId="22A9D029" w14:textId="77777777" w:rsidR="00B14D53" w:rsidRDefault="00000000">
            <w:pPr>
              <w:ind w:leftChars="-50" w:left="-105" w:rightChars="-50" w:right="-105"/>
              <w:jc w:val="center"/>
              <w:rPr>
                <w:szCs w:val="21"/>
              </w:rPr>
            </w:pPr>
            <w:r>
              <w:rPr>
                <w:szCs w:val="21"/>
              </w:rPr>
              <w:t>0.021</w:t>
            </w:r>
          </w:p>
        </w:tc>
        <w:tc>
          <w:tcPr>
            <w:tcW w:w="343" w:type="pct"/>
            <w:vMerge w:val="restart"/>
            <w:vAlign w:val="center"/>
          </w:tcPr>
          <w:p w14:paraId="67A37841" w14:textId="77777777" w:rsidR="00B14D53" w:rsidRDefault="00000000">
            <w:pPr>
              <w:jc w:val="center"/>
              <w:rPr>
                <w:szCs w:val="21"/>
              </w:rPr>
            </w:pPr>
            <w:r>
              <w:rPr>
                <w:szCs w:val="21"/>
              </w:rPr>
              <w:t>1.85</w:t>
            </w:r>
          </w:p>
        </w:tc>
        <w:tc>
          <w:tcPr>
            <w:tcW w:w="343" w:type="pct"/>
            <w:vMerge w:val="restart"/>
            <w:vAlign w:val="center"/>
          </w:tcPr>
          <w:p w14:paraId="05493AC5" w14:textId="77777777" w:rsidR="00B14D53" w:rsidRDefault="00000000">
            <w:pPr>
              <w:jc w:val="center"/>
              <w:rPr>
                <w:szCs w:val="21"/>
              </w:rPr>
            </w:pPr>
            <w:r>
              <w:rPr>
                <w:szCs w:val="21"/>
              </w:rPr>
              <w:t>0.84</w:t>
            </w:r>
          </w:p>
        </w:tc>
        <w:tc>
          <w:tcPr>
            <w:tcW w:w="442" w:type="pct"/>
            <w:tcBorders>
              <w:right w:val="single" w:sz="4" w:space="0" w:color="auto"/>
            </w:tcBorders>
            <w:vAlign w:val="center"/>
          </w:tcPr>
          <w:p w14:paraId="65605348" w14:textId="77777777" w:rsidR="00B14D53" w:rsidRDefault="00000000">
            <w:pPr>
              <w:jc w:val="center"/>
              <w:rPr>
                <w:szCs w:val="21"/>
              </w:rPr>
            </w:pPr>
            <w:r>
              <w:rPr>
                <w:rFonts w:hint="eastAsia"/>
                <w:szCs w:val="21"/>
              </w:rPr>
              <w:t>0.77</w:t>
            </w:r>
          </w:p>
        </w:tc>
        <w:tc>
          <w:tcPr>
            <w:tcW w:w="447" w:type="pct"/>
            <w:tcBorders>
              <w:left w:val="single" w:sz="4" w:space="0" w:color="auto"/>
              <w:bottom w:val="single" w:sz="4" w:space="0" w:color="auto"/>
              <w:right w:val="nil"/>
            </w:tcBorders>
            <w:vAlign w:val="center"/>
          </w:tcPr>
          <w:p w14:paraId="3B67E871" w14:textId="77777777" w:rsidR="00B14D53" w:rsidRDefault="00000000">
            <w:pPr>
              <w:jc w:val="center"/>
              <w:rPr>
                <w:szCs w:val="21"/>
              </w:rPr>
            </w:pPr>
            <w:r>
              <w:rPr>
                <w:szCs w:val="21"/>
              </w:rPr>
              <w:t>50</w:t>
            </w:r>
          </w:p>
        </w:tc>
      </w:tr>
      <w:tr w:rsidR="00B14D53" w14:paraId="65506D25" w14:textId="77777777">
        <w:trPr>
          <w:trHeight w:val="350"/>
        </w:trPr>
        <w:tc>
          <w:tcPr>
            <w:tcW w:w="1013" w:type="pct"/>
            <w:tcBorders>
              <w:left w:val="nil"/>
            </w:tcBorders>
            <w:vAlign w:val="center"/>
          </w:tcPr>
          <w:p w14:paraId="548AC11E" w14:textId="77777777" w:rsidR="00B14D53" w:rsidRDefault="00000000">
            <w:pPr>
              <w:jc w:val="center"/>
              <w:rPr>
                <w:szCs w:val="21"/>
              </w:rPr>
            </w:pPr>
            <w:r>
              <w:rPr>
                <w:rFonts w:hint="eastAsia"/>
                <w:szCs w:val="21"/>
              </w:rPr>
              <w:t>1#</w:t>
            </w:r>
            <w:r>
              <w:rPr>
                <w:szCs w:val="21"/>
              </w:rPr>
              <w:t>待宰圈氨气</w:t>
            </w:r>
          </w:p>
        </w:tc>
        <w:tc>
          <w:tcPr>
            <w:tcW w:w="415" w:type="pct"/>
            <w:vMerge/>
            <w:vAlign w:val="center"/>
          </w:tcPr>
          <w:p w14:paraId="6A1F8A44" w14:textId="77777777" w:rsidR="00B14D53" w:rsidRDefault="00B14D53">
            <w:pPr>
              <w:jc w:val="center"/>
              <w:rPr>
                <w:szCs w:val="21"/>
              </w:rPr>
            </w:pPr>
          </w:p>
        </w:tc>
        <w:tc>
          <w:tcPr>
            <w:tcW w:w="500" w:type="pct"/>
            <w:vAlign w:val="center"/>
          </w:tcPr>
          <w:p w14:paraId="570841E5" w14:textId="77777777" w:rsidR="00B14D53" w:rsidRDefault="00000000">
            <w:pPr>
              <w:jc w:val="center"/>
              <w:rPr>
                <w:szCs w:val="21"/>
              </w:rPr>
            </w:pPr>
            <w:r>
              <w:rPr>
                <w:rFonts w:hint="eastAsia"/>
                <w:szCs w:val="21"/>
              </w:rPr>
              <w:t>0.004</w:t>
            </w:r>
          </w:p>
        </w:tc>
        <w:tc>
          <w:tcPr>
            <w:tcW w:w="402" w:type="pct"/>
            <w:tcBorders>
              <w:top w:val="single" w:sz="4" w:space="0" w:color="auto"/>
              <w:bottom w:val="single" w:sz="4" w:space="0" w:color="auto"/>
            </w:tcBorders>
            <w:vAlign w:val="center"/>
          </w:tcPr>
          <w:p w14:paraId="72D4DD4F" w14:textId="77777777" w:rsidR="00B14D53" w:rsidRDefault="00000000">
            <w:pPr>
              <w:jc w:val="center"/>
              <w:rPr>
                <w:szCs w:val="21"/>
              </w:rPr>
            </w:pPr>
            <w:r>
              <w:rPr>
                <w:rFonts w:hint="eastAsia"/>
                <w:szCs w:val="21"/>
              </w:rPr>
              <w:t>600</w:t>
            </w:r>
          </w:p>
        </w:tc>
        <w:tc>
          <w:tcPr>
            <w:tcW w:w="469" w:type="pct"/>
            <w:vMerge/>
            <w:vAlign w:val="center"/>
          </w:tcPr>
          <w:p w14:paraId="6B3B07D9" w14:textId="77777777" w:rsidR="00B14D53" w:rsidRDefault="00B14D53">
            <w:pPr>
              <w:jc w:val="center"/>
              <w:rPr>
                <w:szCs w:val="21"/>
              </w:rPr>
            </w:pPr>
          </w:p>
        </w:tc>
        <w:tc>
          <w:tcPr>
            <w:tcW w:w="312" w:type="pct"/>
            <w:vMerge/>
            <w:vAlign w:val="center"/>
          </w:tcPr>
          <w:p w14:paraId="52A8FC41" w14:textId="77777777" w:rsidR="00B14D53" w:rsidRDefault="00B14D53">
            <w:pPr>
              <w:jc w:val="center"/>
              <w:rPr>
                <w:szCs w:val="21"/>
              </w:rPr>
            </w:pPr>
          </w:p>
        </w:tc>
        <w:tc>
          <w:tcPr>
            <w:tcW w:w="313" w:type="pct"/>
            <w:vMerge/>
            <w:vAlign w:val="center"/>
          </w:tcPr>
          <w:p w14:paraId="37E21D29" w14:textId="77777777" w:rsidR="00B14D53" w:rsidRDefault="00B14D53">
            <w:pPr>
              <w:ind w:leftChars="-50" w:left="-105" w:rightChars="-50" w:right="-105"/>
              <w:jc w:val="center"/>
              <w:rPr>
                <w:szCs w:val="21"/>
              </w:rPr>
            </w:pPr>
          </w:p>
        </w:tc>
        <w:tc>
          <w:tcPr>
            <w:tcW w:w="343" w:type="pct"/>
            <w:vMerge/>
            <w:vAlign w:val="center"/>
          </w:tcPr>
          <w:p w14:paraId="788575AC" w14:textId="77777777" w:rsidR="00B14D53" w:rsidRDefault="00B14D53">
            <w:pPr>
              <w:jc w:val="center"/>
              <w:rPr>
                <w:szCs w:val="21"/>
              </w:rPr>
            </w:pPr>
          </w:p>
        </w:tc>
        <w:tc>
          <w:tcPr>
            <w:tcW w:w="343" w:type="pct"/>
            <w:vMerge/>
            <w:vAlign w:val="center"/>
          </w:tcPr>
          <w:p w14:paraId="33004823" w14:textId="77777777" w:rsidR="00B14D53" w:rsidRDefault="00B14D53">
            <w:pPr>
              <w:jc w:val="center"/>
              <w:rPr>
                <w:szCs w:val="21"/>
              </w:rPr>
            </w:pPr>
          </w:p>
        </w:tc>
        <w:tc>
          <w:tcPr>
            <w:tcW w:w="442" w:type="pct"/>
            <w:tcBorders>
              <w:right w:val="single" w:sz="4" w:space="0" w:color="auto"/>
            </w:tcBorders>
            <w:vAlign w:val="center"/>
          </w:tcPr>
          <w:p w14:paraId="2CDC3BE9" w14:textId="77777777" w:rsidR="00B14D53" w:rsidRDefault="00000000">
            <w:pPr>
              <w:jc w:val="center"/>
              <w:rPr>
                <w:szCs w:val="21"/>
              </w:rPr>
            </w:pPr>
            <w:r>
              <w:rPr>
                <w:rFonts w:hint="eastAsia"/>
                <w:szCs w:val="21"/>
              </w:rPr>
              <w:t>1.02</w:t>
            </w:r>
          </w:p>
        </w:tc>
        <w:tc>
          <w:tcPr>
            <w:tcW w:w="447" w:type="pct"/>
            <w:tcBorders>
              <w:left w:val="single" w:sz="4" w:space="0" w:color="auto"/>
              <w:bottom w:val="single" w:sz="4" w:space="0" w:color="auto"/>
              <w:right w:val="nil"/>
            </w:tcBorders>
            <w:vAlign w:val="center"/>
          </w:tcPr>
          <w:p w14:paraId="17F32147" w14:textId="77777777" w:rsidR="00B14D53" w:rsidRDefault="00000000">
            <w:pPr>
              <w:jc w:val="center"/>
              <w:rPr>
                <w:szCs w:val="21"/>
              </w:rPr>
            </w:pPr>
            <w:r>
              <w:rPr>
                <w:rFonts w:hint="eastAsia"/>
                <w:szCs w:val="21"/>
              </w:rPr>
              <w:t>50</w:t>
            </w:r>
          </w:p>
        </w:tc>
      </w:tr>
      <w:tr w:rsidR="00B14D53" w14:paraId="63D769DF" w14:textId="77777777">
        <w:trPr>
          <w:trHeight w:val="350"/>
        </w:trPr>
        <w:tc>
          <w:tcPr>
            <w:tcW w:w="1013" w:type="pct"/>
            <w:tcBorders>
              <w:left w:val="nil"/>
            </w:tcBorders>
            <w:vAlign w:val="center"/>
          </w:tcPr>
          <w:p w14:paraId="597801CD" w14:textId="77777777" w:rsidR="00B14D53" w:rsidRDefault="00000000">
            <w:pPr>
              <w:jc w:val="center"/>
              <w:rPr>
                <w:szCs w:val="21"/>
              </w:rPr>
            </w:pPr>
            <w:r>
              <w:rPr>
                <w:rFonts w:hint="eastAsia"/>
                <w:szCs w:val="21"/>
              </w:rPr>
              <w:t>屠宰</w:t>
            </w:r>
            <w:r>
              <w:rPr>
                <w:szCs w:val="21"/>
              </w:rPr>
              <w:t>车间氨气</w:t>
            </w:r>
          </w:p>
        </w:tc>
        <w:tc>
          <w:tcPr>
            <w:tcW w:w="415" w:type="pct"/>
            <w:vMerge/>
            <w:vAlign w:val="center"/>
          </w:tcPr>
          <w:p w14:paraId="6BE9FBBF" w14:textId="77777777" w:rsidR="00B14D53" w:rsidRDefault="00B14D53">
            <w:pPr>
              <w:jc w:val="center"/>
              <w:rPr>
                <w:szCs w:val="21"/>
              </w:rPr>
            </w:pPr>
          </w:p>
        </w:tc>
        <w:tc>
          <w:tcPr>
            <w:tcW w:w="500" w:type="pct"/>
            <w:vAlign w:val="center"/>
          </w:tcPr>
          <w:p w14:paraId="0A6BCC45" w14:textId="77777777" w:rsidR="00B14D53" w:rsidRDefault="00000000">
            <w:pPr>
              <w:jc w:val="center"/>
              <w:rPr>
                <w:szCs w:val="21"/>
              </w:rPr>
            </w:pPr>
            <w:r>
              <w:rPr>
                <w:rFonts w:hint="eastAsia"/>
                <w:szCs w:val="21"/>
              </w:rPr>
              <w:t>0.003</w:t>
            </w:r>
          </w:p>
        </w:tc>
        <w:tc>
          <w:tcPr>
            <w:tcW w:w="402" w:type="pct"/>
            <w:tcBorders>
              <w:top w:val="single" w:sz="4" w:space="0" w:color="auto"/>
              <w:bottom w:val="single" w:sz="4" w:space="0" w:color="auto"/>
            </w:tcBorders>
            <w:vAlign w:val="center"/>
          </w:tcPr>
          <w:p w14:paraId="64882C89" w14:textId="77777777" w:rsidR="00B14D53" w:rsidRDefault="00000000">
            <w:pPr>
              <w:jc w:val="center"/>
              <w:rPr>
                <w:szCs w:val="21"/>
              </w:rPr>
            </w:pPr>
            <w:r>
              <w:rPr>
                <w:rFonts w:hint="eastAsia"/>
                <w:szCs w:val="21"/>
              </w:rPr>
              <w:t>480</w:t>
            </w:r>
          </w:p>
        </w:tc>
        <w:tc>
          <w:tcPr>
            <w:tcW w:w="469" w:type="pct"/>
            <w:vMerge/>
            <w:vAlign w:val="center"/>
          </w:tcPr>
          <w:p w14:paraId="572169D2" w14:textId="77777777" w:rsidR="00B14D53" w:rsidRDefault="00B14D53">
            <w:pPr>
              <w:jc w:val="center"/>
              <w:rPr>
                <w:szCs w:val="21"/>
              </w:rPr>
            </w:pPr>
          </w:p>
        </w:tc>
        <w:tc>
          <w:tcPr>
            <w:tcW w:w="312" w:type="pct"/>
            <w:vMerge/>
            <w:vAlign w:val="center"/>
          </w:tcPr>
          <w:p w14:paraId="37E58644" w14:textId="77777777" w:rsidR="00B14D53" w:rsidRDefault="00B14D53">
            <w:pPr>
              <w:jc w:val="center"/>
              <w:rPr>
                <w:szCs w:val="21"/>
              </w:rPr>
            </w:pPr>
          </w:p>
        </w:tc>
        <w:tc>
          <w:tcPr>
            <w:tcW w:w="313" w:type="pct"/>
            <w:vMerge/>
            <w:vAlign w:val="center"/>
          </w:tcPr>
          <w:p w14:paraId="7B5CA488" w14:textId="77777777" w:rsidR="00B14D53" w:rsidRDefault="00B14D53">
            <w:pPr>
              <w:ind w:leftChars="-50" w:left="-105" w:rightChars="-50" w:right="-105"/>
              <w:jc w:val="center"/>
              <w:rPr>
                <w:szCs w:val="21"/>
              </w:rPr>
            </w:pPr>
          </w:p>
        </w:tc>
        <w:tc>
          <w:tcPr>
            <w:tcW w:w="343" w:type="pct"/>
            <w:vMerge/>
            <w:vAlign w:val="center"/>
          </w:tcPr>
          <w:p w14:paraId="2C2100B3" w14:textId="77777777" w:rsidR="00B14D53" w:rsidRDefault="00B14D53">
            <w:pPr>
              <w:jc w:val="center"/>
              <w:rPr>
                <w:szCs w:val="21"/>
              </w:rPr>
            </w:pPr>
          </w:p>
        </w:tc>
        <w:tc>
          <w:tcPr>
            <w:tcW w:w="343" w:type="pct"/>
            <w:vMerge/>
            <w:vAlign w:val="center"/>
          </w:tcPr>
          <w:p w14:paraId="0924A048" w14:textId="77777777" w:rsidR="00B14D53" w:rsidRDefault="00B14D53">
            <w:pPr>
              <w:jc w:val="center"/>
              <w:rPr>
                <w:szCs w:val="21"/>
              </w:rPr>
            </w:pPr>
          </w:p>
        </w:tc>
        <w:tc>
          <w:tcPr>
            <w:tcW w:w="442" w:type="pct"/>
            <w:tcBorders>
              <w:right w:val="single" w:sz="4" w:space="0" w:color="auto"/>
            </w:tcBorders>
            <w:vAlign w:val="center"/>
          </w:tcPr>
          <w:p w14:paraId="5D25A80C" w14:textId="77777777" w:rsidR="00B14D53" w:rsidRDefault="00000000">
            <w:pPr>
              <w:jc w:val="center"/>
              <w:rPr>
                <w:szCs w:val="21"/>
              </w:rPr>
            </w:pPr>
            <w:r>
              <w:rPr>
                <w:rFonts w:hint="eastAsia"/>
                <w:szCs w:val="21"/>
              </w:rPr>
              <w:t>0.82</w:t>
            </w:r>
          </w:p>
        </w:tc>
        <w:tc>
          <w:tcPr>
            <w:tcW w:w="447" w:type="pct"/>
            <w:tcBorders>
              <w:top w:val="single" w:sz="4" w:space="0" w:color="auto"/>
              <w:left w:val="single" w:sz="4" w:space="0" w:color="auto"/>
              <w:bottom w:val="single" w:sz="4" w:space="0" w:color="auto"/>
              <w:right w:val="nil"/>
            </w:tcBorders>
            <w:vAlign w:val="center"/>
          </w:tcPr>
          <w:p w14:paraId="08ACAF8D" w14:textId="77777777" w:rsidR="00B14D53" w:rsidRDefault="00000000">
            <w:pPr>
              <w:jc w:val="center"/>
              <w:rPr>
                <w:szCs w:val="21"/>
              </w:rPr>
            </w:pPr>
            <w:r>
              <w:rPr>
                <w:szCs w:val="21"/>
              </w:rPr>
              <w:t>50</w:t>
            </w:r>
          </w:p>
        </w:tc>
      </w:tr>
      <w:tr w:rsidR="00B14D53" w14:paraId="1E99DC81" w14:textId="77777777">
        <w:trPr>
          <w:trHeight w:val="350"/>
        </w:trPr>
        <w:tc>
          <w:tcPr>
            <w:tcW w:w="1013" w:type="pct"/>
            <w:tcBorders>
              <w:left w:val="nil"/>
              <w:bottom w:val="single" w:sz="12" w:space="0" w:color="auto"/>
            </w:tcBorders>
            <w:vAlign w:val="center"/>
          </w:tcPr>
          <w:p w14:paraId="5A056BF3" w14:textId="77777777" w:rsidR="00B14D53" w:rsidRDefault="00000000">
            <w:pPr>
              <w:widowControl/>
              <w:jc w:val="center"/>
              <w:rPr>
                <w:szCs w:val="21"/>
              </w:rPr>
            </w:pPr>
            <w:r>
              <w:rPr>
                <w:szCs w:val="21"/>
              </w:rPr>
              <w:t>污水处理站氨气</w:t>
            </w:r>
          </w:p>
        </w:tc>
        <w:tc>
          <w:tcPr>
            <w:tcW w:w="415" w:type="pct"/>
            <w:vMerge/>
            <w:tcBorders>
              <w:bottom w:val="single" w:sz="12" w:space="0" w:color="auto"/>
            </w:tcBorders>
            <w:vAlign w:val="center"/>
          </w:tcPr>
          <w:p w14:paraId="1D0B1E40" w14:textId="77777777" w:rsidR="00B14D53" w:rsidRDefault="00B14D53">
            <w:pPr>
              <w:jc w:val="center"/>
              <w:rPr>
                <w:szCs w:val="21"/>
              </w:rPr>
            </w:pPr>
          </w:p>
        </w:tc>
        <w:tc>
          <w:tcPr>
            <w:tcW w:w="500" w:type="pct"/>
            <w:tcBorders>
              <w:bottom w:val="single" w:sz="12" w:space="0" w:color="auto"/>
            </w:tcBorders>
            <w:vAlign w:val="center"/>
          </w:tcPr>
          <w:p w14:paraId="4E942FFA" w14:textId="77777777" w:rsidR="00B14D53" w:rsidRDefault="00000000">
            <w:pPr>
              <w:jc w:val="center"/>
            </w:pPr>
            <w:r>
              <w:rPr>
                <w:rFonts w:hint="eastAsia"/>
                <w:szCs w:val="21"/>
              </w:rPr>
              <w:t>0.005</w:t>
            </w:r>
          </w:p>
        </w:tc>
        <w:tc>
          <w:tcPr>
            <w:tcW w:w="402" w:type="pct"/>
            <w:tcBorders>
              <w:top w:val="single" w:sz="4" w:space="0" w:color="auto"/>
              <w:bottom w:val="single" w:sz="12" w:space="0" w:color="auto"/>
            </w:tcBorders>
            <w:vAlign w:val="center"/>
          </w:tcPr>
          <w:p w14:paraId="2601628A" w14:textId="77777777" w:rsidR="00B14D53" w:rsidRDefault="00000000">
            <w:pPr>
              <w:jc w:val="center"/>
              <w:rPr>
                <w:szCs w:val="21"/>
              </w:rPr>
            </w:pPr>
            <w:r>
              <w:rPr>
                <w:rFonts w:hint="eastAsia"/>
                <w:szCs w:val="21"/>
              </w:rPr>
              <w:t>120</w:t>
            </w:r>
          </w:p>
        </w:tc>
        <w:tc>
          <w:tcPr>
            <w:tcW w:w="469" w:type="pct"/>
            <w:vMerge/>
            <w:tcBorders>
              <w:bottom w:val="single" w:sz="12" w:space="0" w:color="auto"/>
            </w:tcBorders>
            <w:vAlign w:val="center"/>
          </w:tcPr>
          <w:p w14:paraId="1E2DFE02" w14:textId="77777777" w:rsidR="00B14D53" w:rsidRDefault="00B14D53">
            <w:pPr>
              <w:jc w:val="center"/>
              <w:rPr>
                <w:szCs w:val="21"/>
              </w:rPr>
            </w:pPr>
          </w:p>
        </w:tc>
        <w:tc>
          <w:tcPr>
            <w:tcW w:w="312" w:type="pct"/>
            <w:vMerge/>
            <w:tcBorders>
              <w:bottom w:val="single" w:sz="12" w:space="0" w:color="auto"/>
            </w:tcBorders>
            <w:vAlign w:val="center"/>
          </w:tcPr>
          <w:p w14:paraId="65765D34" w14:textId="77777777" w:rsidR="00B14D53" w:rsidRDefault="00B14D53">
            <w:pPr>
              <w:jc w:val="center"/>
              <w:rPr>
                <w:szCs w:val="21"/>
              </w:rPr>
            </w:pPr>
          </w:p>
        </w:tc>
        <w:tc>
          <w:tcPr>
            <w:tcW w:w="313" w:type="pct"/>
            <w:vMerge/>
            <w:tcBorders>
              <w:bottom w:val="single" w:sz="12" w:space="0" w:color="auto"/>
            </w:tcBorders>
            <w:vAlign w:val="center"/>
          </w:tcPr>
          <w:p w14:paraId="08E282DD" w14:textId="77777777" w:rsidR="00B14D53" w:rsidRDefault="00B14D53">
            <w:pPr>
              <w:ind w:leftChars="-50" w:left="-105" w:rightChars="-50" w:right="-105"/>
              <w:jc w:val="center"/>
              <w:rPr>
                <w:szCs w:val="21"/>
              </w:rPr>
            </w:pPr>
          </w:p>
        </w:tc>
        <w:tc>
          <w:tcPr>
            <w:tcW w:w="343" w:type="pct"/>
            <w:vMerge/>
            <w:tcBorders>
              <w:bottom w:val="single" w:sz="12" w:space="0" w:color="auto"/>
            </w:tcBorders>
            <w:vAlign w:val="center"/>
          </w:tcPr>
          <w:p w14:paraId="74C30C22" w14:textId="77777777" w:rsidR="00B14D53" w:rsidRDefault="00B14D53">
            <w:pPr>
              <w:jc w:val="center"/>
              <w:rPr>
                <w:szCs w:val="21"/>
              </w:rPr>
            </w:pPr>
          </w:p>
        </w:tc>
        <w:tc>
          <w:tcPr>
            <w:tcW w:w="343" w:type="pct"/>
            <w:vMerge/>
            <w:tcBorders>
              <w:bottom w:val="single" w:sz="12" w:space="0" w:color="auto"/>
            </w:tcBorders>
            <w:vAlign w:val="center"/>
          </w:tcPr>
          <w:p w14:paraId="79B568DD" w14:textId="77777777" w:rsidR="00B14D53" w:rsidRDefault="00B14D53">
            <w:pPr>
              <w:jc w:val="center"/>
              <w:rPr>
                <w:szCs w:val="21"/>
              </w:rPr>
            </w:pPr>
          </w:p>
        </w:tc>
        <w:tc>
          <w:tcPr>
            <w:tcW w:w="442" w:type="pct"/>
            <w:tcBorders>
              <w:bottom w:val="single" w:sz="12" w:space="0" w:color="auto"/>
              <w:right w:val="single" w:sz="4" w:space="0" w:color="auto"/>
            </w:tcBorders>
            <w:vAlign w:val="center"/>
          </w:tcPr>
          <w:p w14:paraId="3F84D182" w14:textId="77777777" w:rsidR="00B14D53" w:rsidRDefault="00000000">
            <w:pPr>
              <w:jc w:val="center"/>
              <w:rPr>
                <w:szCs w:val="21"/>
              </w:rPr>
            </w:pPr>
            <w:r>
              <w:rPr>
                <w:rFonts w:hint="eastAsia"/>
                <w:szCs w:val="21"/>
              </w:rPr>
              <w:t>3.41</w:t>
            </w:r>
          </w:p>
        </w:tc>
        <w:tc>
          <w:tcPr>
            <w:tcW w:w="447" w:type="pct"/>
            <w:tcBorders>
              <w:top w:val="single" w:sz="4" w:space="0" w:color="auto"/>
              <w:left w:val="single" w:sz="4" w:space="0" w:color="auto"/>
              <w:bottom w:val="single" w:sz="12" w:space="0" w:color="auto"/>
              <w:right w:val="nil"/>
            </w:tcBorders>
            <w:vAlign w:val="center"/>
          </w:tcPr>
          <w:p w14:paraId="65663F5E" w14:textId="77777777" w:rsidR="00B14D53" w:rsidRDefault="00000000">
            <w:pPr>
              <w:jc w:val="center"/>
              <w:rPr>
                <w:szCs w:val="21"/>
              </w:rPr>
            </w:pPr>
            <w:r>
              <w:rPr>
                <w:szCs w:val="21"/>
              </w:rPr>
              <w:t>50</w:t>
            </w:r>
          </w:p>
        </w:tc>
      </w:tr>
    </w:tbl>
    <w:p w14:paraId="0FAD1529" w14:textId="77777777" w:rsidR="00B14D53" w:rsidRDefault="00000000">
      <w:pPr>
        <w:spacing w:line="360" w:lineRule="auto"/>
        <w:ind w:firstLineChars="200" w:firstLine="480"/>
        <w:jc w:val="left"/>
        <w:rPr>
          <w:sz w:val="24"/>
        </w:rPr>
      </w:pPr>
      <w:r>
        <w:rPr>
          <w:rFonts w:hint="eastAsia"/>
          <w:sz w:val="24"/>
        </w:rPr>
        <w:t>经计算，各生产单元防护距离均为</w:t>
      </w:r>
      <w:r>
        <w:rPr>
          <w:rFonts w:hint="eastAsia"/>
          <w:sz w:val="24"/>
        </w:rPr>
        <w:t>50m</w:t>
      </w:r>
      <w:r>
        <w:rPr>
          <w:rFonts w:hint="eastAsia"/>
          <w:sz w:val="24"/>
        </w:rPr>
        <w:t>，防护距离范围内无敏感区。因此，本项目选址合理。</w:t>
      </w:r>
    </w:p>
    <w:p w14:paraId="7E1186A1" w14:textId="77777777" w:rsidR="00B14D53" w:rsidRDefault="00000000">
      <w:pPr>
        <w:spacing w:line="360" w:lineRule="auto"/>
        <w:ind w:firstLineChars="200" w:firstLine="480"/>
        <w:rPr>
          <w:rFonts w:eastAsiaTheme="minorEastAsia" w:hAnsiTheme="minorEastAsia" w:hint="eastAsia"/>
          <w:sz w:val="24"/>
        </w:rPr>
      </w:pPr>
      <w:r>
        <w:rPr>
          <w:rFonts w:hint="eastAsia"/>
          <w:snapToGrid w:val="0"/>
          <w:kern w:val="0"/>
          <w:sz w:val="24"/>
        </w:rPr>
        <w:t>综上</w:t>
      </w:r>
      <w:r>
        <w:rPr>
          <w:snapToGrid w:val="0"/>
          <w:kern w:val="0"/>
          <w:sz w:val="24"/>
        </w:rPr>
        <w:t>，项目选址从环境影响评价的角度分析是合理可行的</w:t>
      </w:r>
      <w:r>
        <w:rPr>
          <w:rFonts w:eastAsiaTheme="minorEastAsia" w:hAnsiTheme="minorEastAsia" w:hint="eastAsia"/>
          <w:sz w:val="24"/>
        </w:rPr>
        <w:t>。</w:t>
      </w:r>
    </w:p>
    <w:p w14:paraId="0166CC4C"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1.4.</w:t>
      </w:r>
      <w:r>
        <w:rPr>
          <w:rFonts w:ascii="Times New Roman" w:eastAsia="黑体" w:hAnsi="Times New Roman" w:cs="Times New Roman" w:hint="eastAsia"/>
          <w:bCs/>
          <w:sz w:val="28"/>
          <w:szCs w:val="28"/>
        </w:rPr>
        <w:t>13</w:t>
      </w:r>
      <w:r>
        <w:rPr>
          <w:rFonts w:ascii="Times New Roman" w:eastAsia="黑体" w:hAnsi="Times New Roman" w:cs="Times New Roman"/>
          <w:bCs/>
          <w:sz w:val="28"/>
          <w:szCs w:val="28"/>
        </w:rPr>
        <w:t>区域环境功能区划</w:t>
      </w:r>
      <w:bookmarkEnd w:id="16"/>
    </w:p>
    <w:p w14:paraId="5FB8322F" w14:textId="77777777" w:rsidR="00B14D53" w:rsidRDefault="00000000">
      <w:pPr>
        <w:pStyle w:val="afff"/>
        <w:adjustRightInd/>
        <w:snapToGrid/>
        <w:contextualSpacing/>
        <w:jc w:val="both"/>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）空气环境：根据环境空气质量功能区划，</w:t>
      </w:r>
      <w:r>
        <w:rPr>
          <w:rFonts w:ascii="Times New Roman" w:hAnsiTheme="minorEastAsia" w:cs="Times New Roman" w:hint="eastAsia"/>
        </w:rPr>
        <w:t>厂</w:t>
      </w:r>
      <w:r>
        <w:rPr>
          <w:rFonts w:ascii="Times New Roman" w:hAnsiTheme="minorEastAsia" w:cs="Times New Roman"/>
        </w:rPr>
        <w:t>址位于《环境空气质量标准》（</w:t>
      </w:r>
      <w:r>
        <w:rPr>
          <w:rFonts w:ascii="Times New Roman" w:hAnsi="Times New Roman" w:cs="Times New Roman"/>
        </w:rPr>
        <w:t>GB3095-2012</w:t>
      </w:r>
      <w:r>
        <w:rPr>
          <w:rFonts w:ascii="Times New Roman" w:hAnsiTheme="minorEastAsia" w:cs="Times New Roman"/>
        </w:rPr>
        <w:t>）二类区。</w:t>
      </w:r>
    </w:p>
    <w:p w14:paraId="386A2638" w14:textId="77777777" w:rsidR="00B14D53" w:rsidRDefault="00000000">
      <w:pPr>
        <w:spacing w:line="360" w:lineRule="auto"/>
        <w:ind w:firstLineChars="200" w:firstLine="480"/>
        <w:contextualSpacing/>
        <w:rPr>
          <w:rFonts w:eastAsiaTheme="minorEastAsia"/>
          <w:kern w:val="24"/>
          <w:sz w:val="24"/>
        </w:rPr>
      </w:pPr>
      <w:r>
        <w:rPr>
          <w:rFonts w:eastAsiaTheme="minorEastAsia" w:hAnsiTheme="minorEastAsia"/>
          <w:kern w:val="24"/>
          <w:sz w:val="24"/>
        </w:rPr>
        <w:t>（</w:t>
      </w:r>
      <w:r>
        <w:rPr>
          <w:rFonts w:eastAsiaTheme="minorEastAsia"/>
          <w:kern w:val="24"/>
          <w:sz w:val="24"/>
        </w:rPr>
        <w:t>2</w:t>
      </w:r>
      <w:r>
        <w:rPr>
          <w:rFonts w:eastAsiaTheme="minorEastAsia" w:hAnsiTheme="minorEastAsia"/>
          <w:kern w:val="24"/>
          <w:sz w:val="24"/>
        </w:rPr>
        <w:t>）地表水环境：</w:t>
      </w:r>
      <w:r>
        <w:rPr>
          <w:rFonts w:eastAsiaTheme="minorEastAsia" w:hAnsiTheme="minorEastAsia"/>
          <w:bCs/>
          <w:kern w:val="0"/>
          <w:sz w:val="24"/>
          <w:szCs w:val="21"/>
        </w:rPr>
        <w:t>本项目所在区域</w:t>
      </w:r>
      <w:r>
        <w:rPr>
          <w:rFonts w:eastAsiaTheme="minorEastAsia" w:hAnsiTheme="minorEastAsia" w:hint="eastAsia"/>
          <w:bCs/>
          <w:kern w:val="0"/>
          <w:sz w:val="24"/>
          <w:szCs w:val="21"/>
        </w:rPr>
        <w:t>纳污</w:t>
      </w:r>
      <w:r>
        <w:rPr>
          <w:rFonts w:eastAsiaTheme="minorEastAsia" w:hAnsiTheme="minorEastAsia"/>
          <w:bCs/>
          <w:kern w:val="0"/>
          <w:sz w:val="24"/>
          <w:szCs w:val="21"/>
        </w:rPr>
        <w:t>的地表水体为</w:t>
      </w:r>
      <w:r>
        <w:rPr>
          <w:rFonts w:eastAsiaTheme="minorEastAsia" w:hAnsiTheme="minorEastAsia" w:hint="eastAsia"/>
          <w:bCs/>
          <w:kern w:val="0"/>
          <w:sz w:val="24"/>
          <w:szCs w:val="21"/>
        </w:rPr>
        <w:t>拉林河，</w:t>
      </w:r>
      <w:r>
        <w:rPr>
          <w:rFonts w:eastAsiaTheme="minorEastAsia" w:hAnsiTheme="minorEastAsia"/>
          <w:bCs/>
          <w:kern w:val="0"/>
          <w:sz w:val="24"/>
          <w:szCs w:val="21"/>
        </w:rPr>
        <w:t>根据《</w:t>
      </w:r>
      <w:bookmarkStart w:id="18" w:name="_Toc7465"/>
      <w:r>
        <w:rPr>
          <w:rFonts w:eastAsiaTheme="minorEastAsia" w:hAnsiTheme="minorEastAsia" w:hint="eastAsia"/>
          <w:bCs/>
          <w:kern w:val="0"/>
          <w:sz w:val="24"/>
          <w:szCs w:val="21"/>
        </w:rPr>
        <w:t>2024</w:t>
      </w:r>
      <w:r>
        <w:rPr>
          <w:rFonts w:eastAsiaTheme="minorEastAsia" w:hAnsiTheme="minorEastAsia" w:hint="eastAsia"/>
          <w:bCs/>
          <w:kern w:val="0"/>
          <w:sz w:val="24"/>
          <w:szCs w:val="21"/>
        </w:rPr>
        <w:t>年哈尔滨生态环境</w:t>
      </w:r>
      <w:bookmarkStart w:id="19" w:name="_Toc2508"/>
      <w:bookmarkEnd w:id="18"/>
      <w:r>
        <w:rPr>
          <w:rFonts w:eastAsiaTheme="minorEastAsia" w:hAnsiTheme="minorEastAsia" w:hint="eastAsia"/>
          <w:bCs/>
          <w:kern w:val="0"/>
          <w:sz w:val="24"/>
          <w:szCs w:val="21"/>
        </w:rPr>
        <w:t>质量状况年报</w:t>
      </w:r>
      <w:bookmarkEnd w:id="19"/>
      <w:r>
        <w:rPr>
          <w:rFonts w:eastAsiaTheme="minorEastAsia" w:hAnsiTheme="minorEastAsia"/>
          <w:bCs/>
          <w:kern w:val="0"/>
          <w:sz w:val="24"/>
          <w:szCs w:val="21"/>
        </w:rPr>
        <w:t>》，</w:t>
      </w:r>
      <w:r>
        <w:rPr>
          <w:rFonts w:ascii="宋体" w:hAnsi="宋体"/>
          <w:bCs/>
          <w:kern w:val="0"/>
          <w:sz w:val="24"/>
          <w:szCs w:val="21"/>
        </w:rPr>
        <w:t>本项目位于</w:t>
      </w:r>
      <w:r>
        <w:rPr>
          <w:rFonts w:ascii="宋体" w:hAnsi="宋体" w:hint="eastAsia"/>
          <w:bCs/>
          <w:kern w:val="0"/>
          <w:sz w:val="24"/>
          <w:szCs w:val="21"/>
        </w:rPr>
        <w:t>长胜橡胶坝</w:t>
      </w:r>
      <w:r>
        <w:rPr>
          <w:rFonts w:ascii="宋体" w:hAnsi="宋体" w:cs="MS Mincho"/>
          <w:bCs/>
          <w:kern w:val="0"/>
          <w:sz w:val="24"/>
          <w:szCs w:val="21"/>
        </w:rPr>
        <w:t>至</w:t>
      </w:r>
      <w:r>
        <w:rPr>
          <w:rFonts w:ascii="宋体" w:hAnsi="宋体" w:cs="MS Mincho" w:hint="eastAsia"/>
          <w:bCs/>
          <w:kern w:val="0"/>
          <w:sz w:val="24"/>
          <w:szCs w:val="21"/>
        </w:rPr>
        <w:t>兴盛乡河</w:t>
      </w:r>
      <w:r>
        <w:rPr>
          <w:rFonts w:ascii="宋体" w:hAnsi="宋体" w:cs="MS Mincho"/>
          <w:bCs/>
          <w:kern w:val="0"/>
          <w:sz w:val="24"/>
          <w:szCs w:val="21"/>
        </w:rPr>
        <w:t>段，</w:t>
      </w:r>
      <w:r>
        <w:rPr>
          <w:rFonts w:ascii="宋体" w:hAnsi="宋体" w:hint="eastAsia"/>
          <w:bCs/>
          <w:kern w:val="0"/>
          <w:sz w:val="24"/>
          <w:szCs w:val="21"/>
        </w:rPr>
        <w:t>兴盛乡断面</w:t>
      </w:r>
      <w:r>
        <w:rPr>
          <w:rFonts w:eastAsiaTheme="minorEastAsia" w:hAnsiTheme="minorEastAsia"/>
          <w:bCs/>
          <w:kern w:val="0"/>
          <w:sz w:val="24"/>
          <w:szCs w:val="21"/>
        </w:rPr>
        <w:t>规划水体类别为</w:t>
      </w:r>
      <w:r>
        <w:rPr>
          <w:rFonts w:eastAsiaTheme="minorEastAsia"/>
          <w:bCs/>
          <w:kern w:val="0"/>
          <w:sz w:val="24"/>
          <w:szCs w:val="21"/>
        </w:rPr>
        <w:t>III</w:t>
      </w:r>
      <w:r>
        <w:rPr>
          <w:rFonts w:eastAsiaTheme="minorEastAsia" w:hAnsiTheme="minorEastAsia"/>
          <w:bCs/>
          <w:kern w:val="0"/>
          <w:sz w:val="24"/>
          <w:szCs w:val="21"/>
        </w:rPr>
        <w:t>类</w:t>
      </w:r>
      <w:r>
        <w:rPr>
          <w:rFonts w:eastAsiaTheme="minorEastAsia" w:hAnsiTheme="minorEastAsia" w:hint="eastAsia"/>
          <w:bCs/>
          <w:kern w:val="0"/>
          <w:sz w:val="24"/>
          <w:szCs w:val="21"/>
        </w:rPr>
        <w:t>，</w:t>
      </w:r>
      <w:r>
        <w:rPr>
          <w:rFonts w:eastAsiaTheme="minorEastAsia" w:hAnsiTheme="minorEastAsia" w:hint="eastAsia"/>
          <w:kern w:val="0"/>
          <w:sz w:val="24"/>
          <w:szCs w:val="21"/>
        </w:rPr>
        <w:t>2024</w:t>
      </w:r>
      <w:r>
        <w:rPr>
          <w:rFonts w:eastAsiaTheme="minorEastAsia" w:hAnsiTheme="minorEastAsia" w:hint="eastAsia"/>
          <w:kern w:val="0"/>
          <w:sz w:val="24"/>
          <w:szCs w:val="21"/>
        </w:rPr>
        <w:t>年该断面水质类别</w:t>
      </w:r>
      <w:r>
        <w:rPr>
          <w:rFonts w:eastAsiaTheme="minorEastAsia" w:hAnsiTheme="minorEastAsia"/>
          <w:bCs/>
          <w:kern w:val="0"/>
          <w:sz w:val="24"/>
          <w:szCs w:val="21"/>
        </w:rPr>
        <w:t>为</w:t>
      </w:r>
      <w:r>
        <w:rPr>
          <w:rFonts w:eastAsiaTheme="minorEastAsia"/>
          <w:bCs/>
          <w:kern w:val="0"/>
          <w:sz w:val="24"/>
          <w:szCs w:val="21"/>
        </w:rPr>
        <w:t>III</w:t>
      </w:r>
      <w:r>
        <w:rPr>
          <w:rFonts w:eastAsiaTheme="minorEastAsia" w:hAnsiTheme="minorEastAsia"/>
          <w:bCs/>
          <w:kern w:val="0"/>
          <w:sz w:val="24"/>
          <w:szCs w:val="21"/>
        </w:rPr>
        <w:t>类，满足《地表水环境质量标准》（</w:t>
      </w:r>
      <w:r>
        <w:rPr>
          <w:rFonts w:eastAsiaTheme="minorEastAsia"/>
          <w:bCs/>
          <w:kern w:val="0"/>
          <w:sz w:val="24"/>
          <w:szCs w:val="21"/>
        </w:rPr>
        <w:t>GB3838-2002</w:t>
      </w:r>
      <w:r>
        <w:rPr>
          <w:rFonts w:eastAsiaTheme="minorEastAsia" w:hAnsiTheme="minorEastAsia"/>
          <w:bCs/>
          <w:kern w:val="0"/>
          <w:sz w:val="24"/>
          <w:szCs w:val="21"/>
        </w:rPr>
        <w:t>）中</w:t>
      </w:r>
      <w:r>
        <w:rPr>
          <w:rFonts w:eastAsiaTheme="minorEastAsia"/>
          <w:bCs/>
          <w:kern w:val="0"/>
          <w:sz w:val="24"/>
          <w:szCs w:val="21"/>
        </w:rPr>
        <w:t>III</w:t>
      </w:r>
      <w:r>
        <w:rPr>
          <w:rFonts w:eastAsiaTheme="minorEastAsia" w:hAnsiTheme="minorEastAsia"/>
          <w:bCs/>
          <w:kern w:val="0"/>
          <w:sz w:val="24"/>
          <w:szCs w:val="21"/>
        </w:rPr>
        <w:t>类水体</w:t>
      </w:r>
      <w:r>
        <w:rPr>
          <w:rFonts w:eastAsiaTheme="minorEastAsia" w:hAnsiTheme="minorEastAsia"/>
          <w:kern w:val="24"/>
          <w:sz w:val="24"/>
        </w:rPr>
        <w:t>。</w:t>
      </w:r>
    </w:p>
    <w:p w14:paraId="5B48FBEC" w14:textId="77777777" w:rsidR="00B14D53" w:rsidRDefault="00000000">
      <w:pPr>
        <w:spacing w:line="360" w:lineRule="auto"/>
        <w:ind w:firstLineChars="200" w:firstLine="480"/>
        <w:contextualSpacing/>
        <w:rPr>
          <w:rFonts w:eastAsiaTheme="minorEastAsia"/>
          <w:kern w:val="24"/>
          <w:sz w:val="24"/>
        </w:rPr>
      </w:pPr>
      <w:r>
        <w:rPr>
          <w:rFonts w:eastAsiaTheme="minorEastAsia" w:hAnsiTheme="minorEastAsia"/>
          <w:kern w:val="24"/>
          <w:sz w:val="24"/>
        </w:rPr>
        <w:t>（</w:t>
      </w:r>
      <w:r>
        <w:rPr>
          <w:rFonts w:eastAsiaTheme="minorEastAsia"/>
          <w:kern w:val="24"/>
          <w:sz w:val="24"/>
        </w:rPr>
        <w:t>3</w:t>
      </w:r>
      <w:r>
        <w:rPr>
          <w:rFonts w:eastAsiaTheme="minorEastAsia" w:hAnsiTheme="minorEastAsia"/>
          <w:kern w:val="24"/>
          <w:sz w:val="24"/>
        </w:rPr>
        <w:t>）声环境：本项目厂界声环境执行《声环境质量标准》（</w:t>
      </w:r>
      <w:r>
        <w:rPr>
          <w:rFonts w:eastAsiaTheme="minorEastAsia" w:hAnsiTheme="minorEastAsia"/>
          <w:kern w:val="24"/>
          <w:sz w:val="24"/>
        </w:rPr>
        <w:t>GB3096-2008</w:t>
      </w:r>
      <w:r>
        <w:rPr>
          <w:rFonts w:eastAsiaTheme="minorEastAsia" w:hAnsiTheme="minorEastAsia"/>
          <w:kern w:val="24"/>
          <w:sz w:val="24"/>
        </w:rPr>
        <w:t>）中的</w:t>
      </w:r>
      <w:r>
        <w:rPr>
          <w:rFonts w:eastAsiaTheme="minorEastAsia" w:hAnsiTheme="minorEastAsia"/>
          <w:kern w:val="24"/>
          <w:sz w:val="24"/>
        </w:rPr>
        <w:t>2</w:t>
      </w:r>
      <w:r>
        <w:rPr>
          <w:rFonts w:eastAsiaTheme="minorEastAsia" w:hAnsiTheme="minorEastAsia"/>
          <w:kern w:val="24"/>
          <w:sz w:val="24"/>
        </w:rPr>
        <w:t>类标准。</w:t>
      </w:r>
    </w:p>
    <w:p w14:paraId="19F574D0" w14:textId="77777777" w:rsidR="00B14D53" w:rsidRDefault="00000000">
      <w:pPr>
        <w:pStyle w:val="afff"/>
        <w:adjustRightInd/>
        <w:snapToGrid/>
        <w:contextualSpacing/>
        <w:jc w:val="both"/>
        <w:rPr>
          <w:rFonts w:ascii="Times New Roman" w:hAnsi="Times New Roman" w:cs="Times New Roman"/>
          <w:kern w:val="24"/>
        </w:rPr>
      </w:pPr>
      <w:r>
        <w:rPr>
          <w:rFonts w:ascii="Times New Roman" w:hAnsiTheme="minorEastAsia" w:cs="Times New Roman"/>
          <w:kern w:val="24"/>
        </w:rPr>
        <w:t>（</w:t>
      </w:r>
      <w:r>
        <w:rPr>
          <w:rFonts w:ascii="Times New Roman" w:hAnsi="Times New Roman" w:cs="Times New Roman"/>
          <w:kern w:val="24"/>
        </w:rPr>
        <w:t>4</w:t>
      </w:r>
      <w:r>
        <w:rPr>
          <w:rFonts w:ascii="Times New Roman" w:hAnsiTheme="minorEastAsia" w:cs="Times New Roman"/>
          <w:kern w:val="24"/>
        </w:rPr>
        <w:t>）地下水环境：本项目所在区域地下水执行《地下水质量标准》（</w:t>
      </w:r>
      <w:r>
        <w:rPr>
          <w:rFonts w:ascii="Times New Roman" w:hAnsi="Times New Roman" w:cs="Times New Roman"/>
          <w:kern w:val="24"/>
        </w:rPr>
        <w:t>GB/T14848-2017</w:t>
      </w:r>
      <w:r>
        <w:rPr>
          <w:rFonts w:ascii="Times New Roman" w:hAnsiTheme="minorEastAsia" w:cs="Times New Roman"/>
          <w:kern w:val="24"/>
        </w:rPr>
        <w:t>）中</w:t>
      </w:r>
      <w:r>
        <w:rPr>
          <w:rFonts w:ascii="Times New Roman" w:hAnsi="Times New Roman" w:cs="Times New Roman"/>
          <w:kern w:val="24"/>
        </w:rPr>
        <w:fldChar w:fldCharType="begin"/>
      </w:r>
      <w:r>
        <w:rPr>
          <w:rFonts w:ascii="Times New Roman" w:hAnsi="Times New Roman" w:cs="Times New Roman"/>
          <w:kern w:val="24"/>
        </w:rPr>
        <w:instrText xml:space="preserve"> = 3 \* ROMAN </w:instrText>
      </w:r>
      <w:r>
        <w:rPr>
          <w:rFonts w:ascii="Times New Roman" w:hAnsi="Times New Roman" w:cs="Times New Roman"/>
          <w:kern w:val="24"/>
        </w:rPr>
        <w:fldChar w:fldCharType="separate"/>
      </w:r>
      <w:r>
        <w:rPr>
          <w:rFonts w:ascii="Times New Roman" w:hAnsi="Times New Roman" w:cs="Times New Roman"/>
          <w:kern w:val="24"/>
        </w:rPr>
        <w:t>III</w:t>
      </w:r>
      <w:r>
        <w:rPr>
          <w:rFonts w:ascii="Times New Roman" w:hAnsi="Times New Roman" w:cs="Times New Roman"/>
          <w:kern w:val="24"/>
        </w:rPr>
        <w:fldChar w:fldCharType="end"/>
      </w:r>
      <w:r>
        <w:rPr>
          <w:rFonts w:ascii="Times New Roman" w:hAnsiTheme="minorEastAsia" w:cs="Times New Roman"/>
          <w:kern w:val="24"/>
        </w:rPr>
        <w:t>类标准。</w:t>
      </w:r>
    </w:p>
    <w:p w14:paraId="788F0E80"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0" w:name="_Toc28521"/>
      <w:r>
        <w:rPr>
          <w:rFonts w:ascii="Times New Roman" w:eastAsia="黑体" w:hAnsi="Times New Roman" w:cs="Times New Roman"/>
          <w:b w:val="0"/>
          <w:bCs w:val="0"/>
          <w:sz w:val="30"/>
          <w:szCs w:val="30"/>
        </w:rPr>
        <w:t>1.5</w:t>
      </w:r>
      <w:r>
        <w:rPr>
          <w:rFonts w:ascii="Times New Roman" w:eastAsia="黑体" w:hAnsi="Times New Roman" w:cs="Times New Roman"/>
          <w:b w:val="0"/>
          <w:bCs w:val="0"/>
          <w:sz w:val="30"/>
          <w:szCs w:val="30"/>
        </w:rPr>
        <w:t>关注的主要环境问题及主要环境影响</w:t>
      </w:r>
      <w:bookmarkEnd w:id="20"/>
    </w:p>
    <w:p w14:paraId="232C3485" w14:textId="77777777" w:rsidR="00B14D53" w:rsidRDefault="00000000">
      <w:pPr>
        <w:pStyle w:val="afff"/>
        <w:adjustRightInd/>
        <w:snapToGrid/>
        <w:contextualSpacing/>
        <w:jc w:val="both"/>
        <w:rPr>
          <w:rFonts w:ascii="Times New Roman" w:hAnsiTheme="minorEastAsia" w:cs="Times New Roman" w:hint="eastAsia"/>
        </w:rPr>
      </w:pPr>
      <w:bookmarkStart w:id="21" w:name="_Toc479252801"/>
      <w:r>
        <w:rPr>
          <w:rFonts w:ascii="Times New Roman" w:hAnsiTheme="minorEastAsia" w:cs="Times New Roman" w:hint="eastAsia"/>
        </w:rPr>
        <w:t>本评价关注的主要环境问题是，本项目投入运营后污染物的产生、控制对环境的影响。</w:t>
      </w:r>
    </w:p>
    <w:p w14:paraId="71E79B12" w14:textId="77777777" w:rsidR="00B14D53" w:rsidRDefault="00000000">
      <w:pPr>
        <w:pStyle w:val="afff"/>
        <w:adjustRightInd/>
        <w:snapToGrid/>
        <w:contextualSpacing/>
        <w:jc w:val="both"/>
        <w:rPr>
          <w:rFonts w:ascii="Times New Roman" w:hAnsi="Times New Roman" w:cs="Times New Roman"/>
        </w:rPr>
      </w:pPr>
      <w:r>
        <w:rPr>
          <w:rFonts w:ascii="Times New Roman" w:hAnsiTheme="minorEastAsia" w:cs="Times New Roman" w:hint="eastAsia"/>
        </w:rPr>
        <w:t>（</w:t>
      </w:r>
      <w:r>
        <w:rPr>
          <w:rFonts w:ascii="Times New Roman" w:hAnsiTheme="minorEastAsia" w:cs="Times New Roman" w:hint="eastAsia"/>
        </w:rPr>
        <w:t>1</w:t>
      </w:r>
      <w:r>
        <w:rPr>
          <w:rFonts w:ascii="Times New Roman" w:hAnsiTheme="minorEastAsia" w:cs="Times New Roman" w:hint="eastAsia"/>
        </w:rPr>
        <w:t>）环境空气</w:t>
      </w:r>
      <w:r>
        <w:rPr>
          <w:rFonts w:ascii="Times New Roman" w:hAnsiTheme="minorEastAsia" w:cs="Times New Roman"/>
        </w:rPr>
        <w:t>：待宰圈的</w:t>
      </w:r>
      <w:r>
        <w:rPr>
          <w:rFonts w:ascii="Times New Roman" w:hAnsiTheme="minorEastAsia" w:cs="Times New Roman" w:hint="eastAsia"/>
        </w:rPr>
        <w:t>、屠宰车间污水处理站</w:t>
      </w:r>
      <w:r>
        <w:rPr>
          <w:rFonts w:ascii="Times New Roman" w:hAnsiTheme="minorEastAsia" w:cs="Times New Roman"/>
        </w:rPr>
        <w:t>产生</w:t>
      </w:r>
      <w:r>
        <w:rPr>
          <w:rFonts w:ascii="Times New Roman" w:hAnsiTheme="minorEastAsia" w:cs="Times New Roman" w:hint="eastAsia"/>
        </w:rPr>
        <w:t>的</w:t>
      </w:r>
      <w:r>
        <w:rPr>
          <w:rFonts w:ascii="Times New Roman" w:hAnsiTheme="minorEastAsia" w:cs="Times New Roman"/>
        </w:rPr>
        <w:t>氨、</w:t>
      </w:r>
      <w:r>
        <w:rPr>
          <w:rFonts w:ascii="Times New Roman" w:hAnsiTheme="minorEastAsia" w:cs="Times New Roman" w:hint="eastAsia"/>
        </w:rPr>
        <w:t>硫化氢</w:t>
      </w:r>
      <w:r>
        <w:rPr>
          <w:rFonts w:ascii="Times New Roman" w:hAnsiTheme="minorEastAsia" w:cs="Times New Roman"/>
        </w:rPr>
        <w:t>、臭气浓度等恶臭气体</w:t>
      </w:r>
      <w:r>
        <w:rPr>
          <w:rFonts w:ascii="Times New Roman" w:hAnsi="Times New Roman" w:cs="Times New Roman"/>
        </w:rPr>
        <w:t>对周边大气环境的影响范围及程度。</w:t>
      </w:r>
    </w:p>
    <w:p w14:paraId="5D34E9B0"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）水环境</w:t>
      </w:r>
      <w:r>
        <w:rPr>
          <w:rFonts w:ascii="Times New Roman" w:hAnsiTheme="minorEastAsia" w:cs="Times New Roman"/>
        </w:rPr>
        <w:t>：</w:t>
      </w:r>
      <w:r>
        <w:rPr>
          <w:rFonts w:ascii="Times New Roman" w:hAnsiTheme="minorEastAsia" w:cs="Times New Roman" w:hint="eastAsia"/>
        </w:rPr>
        <w:t>蒸汽发生器</w:t>
      </w:r>
      <w:r>
        <w:rPr>
          <w:rFonts w:ascii="Times New Roman" w:hAnsiTheme="minorEastAsia" w:cs="Times New Roman"/>
        </w:rPr>
        <w:t>软化处理废水、待宰圈清洗废水（含尿液）</w:t>
      </w:r>
      <w:r>
        <w:rPr>
          <w:rFonts w:ascii="Times New Roman" w:hAnsiTheme="minorEastAsia" w:cs="Times New Roman" w:hint="eastAsia"/>
        </w:rPr>
        <w:t>、屠宰车间</w:t>
      </w:r>
      <w:r>
        <w:rPr>
          <w:rFonts w:ascii="Times New Roman" w:hAnsiTheme="minorEastAsia" w:cs="Times New Roman"/>
        </w:rPr>
        <w:t>废水</w:t>
      </w:r>
      <w:r>
        <w:rPr>
          <w:rFonts w:ascii="Times New Roman" w:hAnsiTheme="minorEastAsia" w:cs="Times New Roman" w:hint="eastAsia"/>
        </w:rPr>
        <w:t>、车辆冲洗水</w:t>
      </w:r>
      <w:r>
        <w:rPr>
          <w:rFonts w:ascii="Times New Roman" w:hAnsiTheme="minorEastAsia" w:cs="Times New Roman"/>
        </w:rPr>
        <w:t>等废水对区域地表水及地下水环境的影响</w:t>
      </w:r>
      <w:r>
        <w:rPr>
          <w:rFonts w:ascii="Times New Roman" w:hAnsi="Times New Roman" w:cs="Times New Roman" w:hint="eastAsia"/>
        </w:rPr>
        <w:t>范围及程度。</w:t>
      </w:r>
    </w:p>
    <w:p w14:paraId="51F5F15C"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heme="minorEastAsia" w:cs="Times New Roman"/>
        </w:rPr>
        <w:t>噪声：包括</w:t>
      </w:r>
      <w:r>
        <w:rPr>
          <w:rFonts w:cs="Times New Roman" w:hint="eastAsia"/>
        </w:rPr>
        <w:t>麻电机</w:t>
      </w:r>
      <w:r>
        <w:rPr>
          <w:rFonts w:ascii="Times New Roman" w:hAnsi="Times New Roman" w:cs="Times New Roman"/>
        </w:rPr>
        <w:t>、</w:t>
      </w:r>
      <w:r>
        <w:rPr>
          <w:rFonts w:cs="Times New Roman" w:hint="eastAsia"/>
        </w:rPr>
        <w:t>电动</w:t>
      </w:r>
      <w:r>
        <w:rPr>
          <w:rFonts w:ascii="Times New Roman" w:hAnsi="Times New Roman" w:cs="Times New Roman"/>
        </w:rPr>
        <w:t>劈半锯、风机</w:t>
      </w:r>
      <w:r>
        <w:rPr>
          <w:rFonts w:ascii="Times New Roman" w:hAnsi="Times New Roman" w:cs="Times New Roman" w:hint="eastAsia"/>
        </w:rPr>
        <w:t>、</w:t>
      </w:r>
      <w:r>
        <w:rPr>
          <w:rFonts w:ascii="Times New Roman" w:hAnsi="Times New Roman" w:cs="Times New Roman"/>
        </w:rPr>
        <w:t>水泵</w:t>
      </w:r>
      <w:r>
        <w:rPr>
          <w:rFonts w:ascii="Times New Roman" w:hAnsiTheme="minorEastAsia" w:cs="Times New Roman"/>
        </w:rPr>
        <w:t>等产生的设备噪声影响。</w:t>
      </w:r>
    </w:p>
    <w:p w14:paraId="633929E4" w14:textId="77777777" w:rsidR="00B14D53" w:rsidRDefault="00000000">
      <w:pPr>
        <w:pStyle w:val="afff"/>
        <w:adjustRightInd/>
        <w:snapToGrid/>
        <w:contextualSpacing/>
        <w:jc w:val="both"/>
        <w:rPr>
          <w:rFonts w:ascii="Times New Roman" w:hAnsi="Times New Roman" w:cs="Times New Roman"/>
        </w:rPr>
      </w:pPr>
      <w:r>
        <w:rPr>
          <w:rFonts w:ascii="Times New Roman" w:hAnsiTheme="minorEastAsia" w:cs="Times New Roman" w:hint="eastAsia"/>
        </w:rPr>
        <w:t>（</w:t>
      </w:r>
      <w:r>
        <w:rPr>
          <w:rFonts w:ascii="Times New Roman" w:hAnsiTheme="minorEastAsia" w:cs="Times New Roman" w:hint="eastAsia"/>
        </w:rPr>
        <w:t>4</w:t>
      </w:r>
      <w:r>
        <w:rPr>
          <w:rFonts w:ascii="Times New Roman" w:hAnsiTheme="minorEastAsia" w:cs="Times New Roman" w:hint="eastAsia"/>
        </w:rPr>
        <w:t>）</w:t>
      </w:r>
      <w:r>
        <w:rPr>
          <w:rFonts w:ascii="Times New Roman" w:hAnsiTheme="minorEastAsia" w:cs="Times New Roman"/>
        </w:rPr>
        <w:t>固体废物：包括</w:t>
      </w:r>
      <w:r>
        <w:rPr>
          <w:rFonts w:ascii="Times New Roman" w:eastAsia="宋体" w:hAnsi="Times New Roman" w:cs="Times New Roman"/>
        </w:rPr>
        <w:t>猪粪</w:t>
      </w:r>
      <w:r>
        <w:rPr>
          <w:rFonts w:ascii="Times New Roman" w:eastAsia="宋体" w:hAnsi="Times New Roman" w:cs="Times New Roman" w:hint="eastAsia"/>
        </w:rPr>
        <w:t>、</w:t>
      </w:r>
      <w:r>
        <w:rPr>
          <w:rFonts w:ascii="Times New Roman" w:eastAsia="宋体" w:hAnsi="Times New Roman" w:cs="Times New Roman"/>
        </w:rPr>
        <w:t>肠胃内容物</w:t>
      </w:r>
      <w:r>
        <w:rPr>
          <w:rFonts w:ascii="Times New Roman" w:eastAsia="宋体" w:hAnsi="Times New Roman" w:cs="Times New Roman" w:hint="eastAsia"/>
        </w:rPr>
        <w:t>、</w:t>
      </w:r>
      <w:r>
        <w:rPr>
          <w:rFonts w:ascii="Times New Roman" w:eastAsia="宋体" w:hAnsi="Times New Roman" w:cs="Times New Roman"/>
        </w:rPr>
        <w:t>病变腺体、内脏及</w:t>
      </w:r>
      <w:r>
        <w:rPr>
          <w:rFonts w:ascii="Times New Roman" w:eastAsia="宋体" w:hAnsi="Times New Roman" w:cs="Times New Roman" w:hint="eastAsia"/>
        </w:rPr>
        <w:t>残留</w:t>
      </w:r>
      <w:r>
        <w:rPr>
          <w:rFonts w:ascii="Times New Roman" w:eastAsia="宋体" w:hAnsi="Times New Roman" w:cs="Times New Roman"/>
        </w:rPr>
        <w:t>脂肪</w:t>
      </w:r>
      <w:r>
        <w:rPr>
          <w:rFonts w:ascii="Times New Roman" w:eastAsia="宋体" w:hAnsi="Times New Roman" w:cs="Times New Roman" w:hint="eastAsia"/>
        </w:rPr>
        <w:t>、检验废物（类别：</w:t>
      </w:r>
      <w:r>
        <w:rPr>
          <w:rFonts w:ascii="Times New Roman" w:eastAsia="宋体" w:hAnsi="Times New Roman" w:cs="Times New Roman" w:hint="eastAsia"/>
        </w:rPr>
        <w:t>HW01</w:t>
      </w:r>
      <w:r>
        <w:rPr>
          <w:rFonts w:ascii="Times New Roman" w:eastAsia="宋体" w:hAnsi="Times New Roman" w:cs="Times New Roman" w:hint="eastAsia"/>
        </w:rPr>
        <w:t>，代码：</w:t>
      </w:r>
      <w:r>
        <w:rPr>
          <w:rFonts w:ascii="Times New Roman" w:eastAsia="宋体" w:hAnsi="Times New Roman" w:cs="Times New Roman" w:hint="eastAsia"/>
        </w:rPr>
        <w:t>841-001-01</w:t>
      </w:r>
      <w:r>
        <w:rPr>
          <w:rFonts w:ascii="Times New Roman" w:eastAsia="宋体" w:hAnsi="Times New Roman" w:cs="Times New Roman" w:hint="eastAsia"/>
        </w:rPr>
        <w:t>）、</w:t>
      </w:r>
      <w:r>
        <w:rPr>
          <w:rFonts w:ascii="Times New Roman" w:eastAsia="宋体" w:hAnsi="Times New Roman" w:cs="Times New Roman"/>
        </w:rPr>
        <w:t>污泥、栅渣</w:t>
      </w:r>
      <w:r>
        <w:rPr>
          <w:rFonts w:ascii="Times New Roman" w:eastAsia="宋体" w:hAnsi="Times New Roman" w:cs="Times New Roman" w:hint="eastAsia"/>
        </w:rPr>
        <w:t>、</w:t>
      </w:r>
      <w:r>
        <w:rPr>
          <w:rFonts w:ascii="Times New Roman" w:eastAsia="宋体" w:hAnsi="Times New Roman" w:cs="Times New Roman"/>
        </w:rPr>
        <w:t>废活性炭</w:t>
      </w:r>
      <w:r>
        <w:rPr>
          <w:rFonts w:ascii="Times New Roman" w:eastAsia="宋体" w:hAnsi="Times New Roman" w:cs="Times New Roman" w:hint="eastAsia"/>
        </w:rPr>
        <w:t>、</w:t>
      </w:r>
      <w:r>
        <w:rPr>
          <w:rFonts w:ascii="Times New Roman" w:eastAsia="宋体" w:hAnsi="Times New Roman" w:cs="Times New Roman"/>
        </w:rPr>
        <w:t>废离子交换树脂</w:t>
      </w:r>
      <w:r>
        <w:rPr>
          <w:rFonts w:ascii="Times New Roman" w:eastAsia="宋体" w:hAnsi="Times New Roman" w:cs="Times New Roman" w:hint="eastAsia"/>
        </w:rPr>
        <w:t>、</w:t>
      </w:r>
      <w:r>
        <w:rPr>
          <w:rFonts w:cs="Times New Roman" w:hint="eastAsia"/>
        </w:rPr>
        <w:t>废外包装、</w:t>
      </w:r>
      <w:r>
        <w:rPr>
          <w:rFonts w:ascii="Times New Roman" w:eastAsia="宋体" w:hAnsi="Times New Roman" w:cs="Times New Roman"/>
        </w:rPr>
        <w:t>生活垃圾</w:t>
      </w:r>
      <w:r>
        <w:rPr>
          <w:rFonts w:ascii="Times New Roman" w:eastAsia="宋体" w:hAnsi="Times New Roman" w:cs="Times New Roman" w:hint="eastAsia"/>
        </w:rPr>
        <w:t>以及</w:t>
      </w:r>
      <w:r>
        <w:rPr>
          <w:rFonts w:ascii="Times New Roman" w:hAnsi="Times New Roman" w:cs="Times New Roman"/>
        </w:rPr>
        <w:t>非</w:t>
      </w:r>
      <w:r>
        <w:rPr>
          <w:rFonts w:ascii="Times New Roman" w:eastAsia="宋体" w:hAnsi="Times New Roman" w:cs="Times New Roman"/>
          <w:kern w:val="0"/>
        </w:rPr>
        <w:t>正常工况下产生的病死猪</w:t>
      </w:r>
      <w:r>
        <w:rPr>
          <w:rFonts w:ascii="Times New Roman" w:hAnsiTheme="minorEastAsia" w:cs="Times New Roman"/>
        </w:rPr>
        <w:t>等产生的污染影响。</w:t>
      </w:r>
    </w:p>
    <w:p w14:paraId="2308F702" w14:textId="77777777" w:rsidR="00B14D53" w:rsidRDefault="00000000">
      <w:pPr>
        <w:spacing w:line="360" w:lineRule="auto"/>
        <w:ind w:firstLineChars="200" w:firstLine="480"/>
        <w:rPr>
          <w:rFonts w:hAnsiTheme="minorEastAsia" w:hint="eastAsia"/>
          <w:snapToGrid w:val="0"/>
          <w:kern w:val="0"/>
          <w:sz w:val="24"/>
        </w:rPr>
      </w:pPr>
      <w:r>
        <w:rPr>
          <w:rFonts w:eastAsiaTheme="minorEastAsia" w:hAnsiTheme="minorEastAsia" w:hint="eastAsia"/>
          <w:sz w:val="24"/>
        </w:rPr>
        <w:t>（</w:t>
      </w:r>
      <w:r>
        <w:rPr>
          <w:rFonts w:eastAsiaTheme="minorEastAsia" w:hAnsiTheme="minorEastAsia" w:hint="eastAsia"/>
          <w:sz w:val="24"/>
        </w:rPr>
        <w:t>5</w:t>
      </w:r>
      <w:r>
        <w:rPr>
          <w:rFonts w:eastAsiaTheme="minorEastAsia" w:hAnsiTheme="minorEastAsia" w:hint="eastAsia"/>
          <w:sz w:val="24"/>
        </w:rPr>
        <w:t>）本项目</w:t>
      </w:r>
      <w:r>
        <w:rPr>
          <w:rFonts w:eastAsiaTheme="minorEastAsia" w:hAnsiTheme="minorEastAsia"/>
          <w:snapToGrid w:val="0"/>
          <w:kern w:val="0"/>
          <w:sz w:val="24"/>
        </w:rPr>
        <w:t>冬季采取电取暖</w:t>
      </w:r>
      <w:r>
        <w:rPr>
          <w:rFonts w:eastAsiaTheme="minorEastAsia" w:hAnsiTheme="minorEastAsia" w:hint="eastAsia"/>
          <w:snapToGrid w:val="0"/>
          <w:kern w:val="0"/>
          <w:sz w:val="24"/>
        </w:rPr>
        <w:t>，生产用蒸汽采用电蒸气发生器，均不产生废气。待宰圈封闭，设置集气装置，收集后的恶臭气体经活性炭吸附净化后分别由</w:t>
      </w:r>
      <w:r>
        <w:rPr>
          <w:rFonts w:eastAsiaTheme="minorEastAsia" w:hAnsiTheme="minorEastAsia" w:hint="eastAsia"/>
          <w:snapToGrid w:val="0"/>
          <w:kern w:val="0"/>
          <w:sz w:val="24"/>
        </w:rPr>
        <w:t>2</w:t>
      </w:r>
      <w:r>
        <w:rPr>
          <w:rFonts w:eastAsiaTheme="minorEastAsia" w:hAnsiTheme="minorEastAsia" w:hint="eastAsia"/>
          <w:snapToGrid w:val="0"/>
          <w:kern w:val="0"/>
          <w:sz w:val="24"/>
        </w:rPr>
        <w:t>根</w:t>
      </w:r>
      <w:r>
        <w:rPr>
          <w:rFonts w:eastAsiaTheme="minorEastAsia" w:hAnsiTheme="minorEastAsia" w:hint="eastAsia"/>
          <w:snapToGrid w:val="0"/>
          <w:kern w:val="0"/>
          <w:sz w:val="24"/>
        </w:rPr>
        <w:t>15m</w:t>
      </w:r>
      <w:r>
        <w:rPr>
          <w:rFonts w:eastAsiaTheme="minorEastAsia" w:hAnsiTheme="minorEastAsia" w:hint="eastAsia"/>
          <w:snapToGrid w:val="0"/>
          <w:kern w:val="0"/>
          <w:sz w:val="24"/>
        </w:rPr>
        <w:t>高排气筒（</w:t>
      </w:r>
      <w:r>
        <w:rPr>
          <w:bCs/>
          <w:sz w:val="24"/>
        </w:rPr>
        <w:t>DA00</w:t>
      </w:r>
      <w:r>
        <w:rPr>
          <w:rFonts w:hint="eastAsia"/>
          <w:bCs/>
          <w:sz w:val="24"/>
        </w:rPr>
        <w:t>1</w:t>
      </w:r>
      <w:r>
        <w:rPr>
          <w:rFonts w:hint="eastAsia"/>
          <w:bCs/>
          <w:sz w:val="24"/>
        </w:rPr>
        <w:t>、</w:t>
      </w:r>
      <w:r>
        <w:rPr>
          <w:rFonts w:hint="eastAsia"/>
          <w:bCs/>
          <w:sz w:val="24"/>
        </w:rPr>
        <w:t>DA002</w:t>
      </w:r>
      <w:r>
        <w:rPr>
          <w:rFonts w:eastAsiaTheme="minorEastAsia" w:hAnsiTheme="minorEastAsia" w:hint="eastAsia"/>
          <w:snapToGrid w:val="0"/>
          <w:kern w:val="0"/>
          <w:sz w:val="24"/>
        </w:rPr>
        <w:t>）排放；屠宰车间生产时密闭，设置集气装置，收集后的恶臭气体经活性炭吸附净化后由</w:t>
      </w:r>
      <w:r>
        <w:rPr>
          <w:rFonts w:eastAsiaTheme="minorEastAsia" w:hAnsiTheme="minorEastAsia" w:hint="eastAsia"/>
          <w:snapToGrid w:val="0"/>
          <w:kern w:val="0"/>
          <w:sz w:val="24"/>
        </w:rPr>
        <w:t>1</w:t>
      </w:r>
      <w:r>
        <w:rPr>
          <w:rFonts w:eastAsiaTheme="minorEastAsia" w:hAnsiTheme="minorEastAsia" w:hint="eastAsia"/>
          <w:snapToGrid w:val="0"/>
          <w:kern w:val="0"/>
          <w:sz w:val="24"/>
        </w:rPr>
        <w:t>根</w:t>
      </w:r>
      <w:r>
        <w:rPr>
          <w:rFonts w:eastAsiaTheme="minorEastAsia" w:hAnsiTheme="minorEastAsia" w:hint="eastAsia"/>
          <w:snapToGrid w:val="0"/>
          <w:kern w:val="0"/>
          <w:sz w:val="24"/>
        </w:rPr>
        <w:t>15m</w:t>
      </w:r>
      <w:r>
        <w:rPr>
          <w:rFonts w:eastAsiaTheme="minorEastAsia" w:hAnsiTheme="minorEastAsia" w:hint="eastAsia"/>
          <w:snapToGrid w:val="0"/>
          <w:kern w:val="0"/>
          <w:sz w:val="24"/>
        </w:rPr>
        <w:t>高排气筒（</w:t>
      </w:r>
      <w:r>
        <w:rPr>
          <w:bCs/>
          <w:sz w:val="24"/>
        </w:rPr>
        <w:t>DA00</w:t>
      </w:r>
      <w:r>
        <w:rPr>
          <w:rFonts w:hint="eastAsia"/>
          <w:bCs/>
          <w:sz w:val="24"/>
        </w:rPr>
        <w:t>3</w:t>
      </w:r>
      <w:r>
        <w:rPr>
          <w:rFonts w:eastAsiaTheme="minorEastAsia" w:hAnsiTheme="minorEastAsia" w:hint="eastAsia"/>
          <w:snapToGrid w:val="0"/>
          <w:kern w:val="0"/>
          <w:sz w:val="24"/>
        </w:rPr>
        <w:t>）排放；污水处理站采用一体化污水处理设备，废气集中收集，恶臭气体经活性炭吸附净化后由</w:t>
      </w:r>
      <w:r>
        <w:rPr>
          <w:rFonts w:eastAsiaTheme="minorEastAsia" w:hAnsiTheme="minorEastAsia" w:hint="eastAsia"/>
          <w:snapToGrid w:val="0"/>
          <w:kern w:val="0"/>
          <w:sz w:val="24"/>
        </w:rPr>
        <w:t>1</w:t>
      </w:r>
      <w:r>
        <w:rPr>
          <w:rFonts w:eastAsiaTheme="minorEastAsia" w:hAnsiTheme="minorEastAsia" w:hint="eastAsia"/>
          <w:snapToGrid w:val="0"/>
          <w:kern w:val="0"/>
          <w:sz w:val="24"/>
        </w:rPr>
        <w:t>根</w:t>
      </w:r>
      <w:r>
        <w:rPr>
          <w:rFonts w:eastAsiaTheme="minorEastAsia" w:hAnsiTheme="minorEastAsia" w:hint="eastAsia"/>
          <w:snapToGrid w:val="0"/>
          <w:kern w:val="0"/>
          <w:sz w:val="24"/>
        </w:rPr>
        <w:t>15m</w:t>
      </w:r>
      <w:r>
        <w:rPr>
          <w:rFonts w:eastAsiaTheme="minorEastAsia" w:hAnsiTheme="minorEastAsia" w:hint="eastAsia"/>
          <w:snapToGrid w:val="0"/>
          <w:kern w:val="0"/>
          <w:sz w:val="24"/>
        </w:rPr>
        <w:t>高排气筒（</w:t>
      </w:r>
      <w:r>
        <w:rPr>
          <w:bCs/>
          <w:sz w:val="24"/>
        </w:rPr>
        <w:t>DA00</w:t>
      </w:r>
      <w:r>
        <w:rPr>
          <w:rFonts w:hint="eastAsia"/>
          <w:bCs/>
          <w:sz w:val="24"/>
        </w:rPr>
        <w:t>4</w:t>
      </w:r>
      <w:r>
        <w:rPr>
          <w:rFonts w:eastAsiaTheme="minorEastAsia" w:hAnsiTheme="minorEastAsia" w:hint="eastAsia"/>
          <w:snapToGrid w:val="0"/>
          <w:kern w:val="0"/>
          <w:sz w:val="24"/>
        </w:rPr>
        <w:t>）排放；</w:t>
      </w:r>
      <w:r>
        <w:rPr>
          <w:sz w:val="24"/>
        </w:rPr>
        <w:t>固废暂存设施定期喷洒生物除臭剂</w:t>
      </w:r>
      <w:r>
        <w:rPr>
          <w:rFonts w:hint="eastAsia"/>
          <w:sz w:val="24"/>
        </w:rPr>
        <w:t>。各排气筒污染物排放浓度可满足</w:t>
      </w:r>
      <w:r>
        <w:rPr>
          <w:kern w:val="21"/>
          <w:sz w:val="24"/>
        </w:rPr>
        <w:t>《恶臭污染物排放标准》（</w:t>
      </w:r>
      <w:r>
        <w:rPr>
          <w:kern w:val="21"/>
          <w:sz w:val="24"/>
        </w:rPr>
        <w:t>GB14554-93</w:t>
      </w:r>
      <w:r>
        <w:rPr>
          <w:kern w:val="21"/>
          <w:sz w:val="24"/>
        </w:rPr>
        <w:t>）</w:t>
      </w:r>
      <w:r>
        <w:rPr>
          <w:rFonts w:hint="eastAsia"/>
          <w:kern w:val="21"/>
          <w:sz w:val="24"/>
        </w:rPr>
        <w:t>表</w:t>
      </w:r>
      <w:r>
        <w:rPr>
          <w:rFonts w:hint="eastAsia"/>
          <w:kern w:val="21"/>
          <w:sz w:val="24"/>
        </w:rPr>
        <w:t>2</w:t>
      </w:r>
      <w:r>
        <w:rPr>
          <w:rFonts w:hint="eastAsia"/>
          <w:kern w:val="21"/>
          <w:sz w:val="24"/>
        </w:rPr>
        <w:t>标准值，厂界满足表</w:t>
      </w:r>
      <w:r>
        <w:rPr>
          <w:rFonts w:hint="eastAsia"/>
          <w:kern w:val="21"/>
          <w:sz w:val="24"/>
        </w:rPr>
        <w:t>1</w:t>
      </w:r>
      <w:r>
        <w:rPr>
          <w:rFonts w:hint="eastAsia"/>
          <w:kern w:val="21"/>
          <w:sz w:val="24"/>
        </w:rPr>
        <w:t>二级新改扩建标准值。</w:t>
      </w:r>
    </w:p>
    <w:p w14:paraId="29F8BFC6" w14:textId="77777777" w:rsidR="00B14D53" w:rsidRDefault="00000000">
      <w:pPr>
        <w:spacing w:line="360" w:lineRule="auto"/>
        <w:ind w:firstLineChars="200" w:firstLine="480"/>
        <w:rPr>
          <w:kern w:val="21"/>
          <w:sz w:val="24"/>
        </w:rPr>
      </w:pPr>
      <w:r>
        <w:rPr>
          <w:rFonts w:eastAsiaTheme="minorEastAsia" w:hAnsiTheme="minorEastAsia" w:hint="eastAsia"/>
          <w:snapToGrid w:val="0"/>
          <w:kern w:val="0"/>
          <w:sz w:val="24"/>
        </w:rPr>
        <w:t>（</w:t>
      </w:r>
      <w:r>
        <w:rPr>
          <w:rFonts w:eastAsiaTheme="minorEastAsia" w:hAnsiTheme="minorEastAsia" w:hint="eastAsia"/>
          <w:snapToGrid w:val="0"/>
          <w:kern w:val="0"/>
          <w:sz w:val="24"/>
        </w:rPr>
        <w:t>6</w:t>
      </w:r>
      <w:r>
        <w:rPr>
          <w:rFonts w:eastAsiaTheme="minorEastAsia" w:hAnsiTheme="minorEastAsia" w:hint="eastAsia"/>
          <w:snapToGrid w:val="0"/>
          <w:kern w:val="0"/>
          <w:sz w:val="24"/>
        </w:rPr>
        <w:t>）本项目</w:t>
      </w:r>
      <w:r>
        <w:rPr>
          <w:kern w:val="21"/>
          <w:sz w:val="24"/>
        </w:rPr>
        <w:t>废水经污水处理站处理后排入</w:t>
      </w:r>
      <w:r>
        <w:rPr>
          <w:rFonts w:hint="eastAsia"/>
          <w:kern w:val="21"/>
          <w:sz w:val="24"/>
        </w:rPr>
        <w:t>市政管网，生活污水直接排入市政管网，经五常市民泉污水处理有限公司（五常市山河屯林业局污水处理厂）</w:t>
      </w:r>
      <w:r>
        <w:rPr>
          <w:kern w:val="21"/>
          <w:sz w:val="24"/>
        </w:rPr>
        <w:t>处理</w:t>
      </w:r>
      <w:r>
        <w:rPr>
          <w:rFonts w:hint="eastAsia"/>
          <w:kern w:val="21"/>
          <w:sz w:val="24"/>
        </w:rPr>
        <w:t>达标后</w:t>
      </w:r>
      <w:r>
        <w:rPr>
          <w:kern w:val="21"/>
          <w:sz w:val="24"/>
        </w:rPr>
        <w:t>排入</w:t>
      </w:r>
      <w:r>
        <w:rPr>
          <w:rFonts w:hint="eastAsia"/>
          <w:kern w:val="21"/>
          <w:sz w:val="24"/>
        </w:rPr>
        <w:t>拉林</w:t>
      </w:r>
      <w:r>
        <w:rPr>
          <w:kern w:val="21"/>
          <w:sz w:val="24"/>
        </w:rPr>
        <w:t>河</w:t>
      </w:r>
      <w:r>
        <w:rPr>
          <w:rFonts w:eastAsiaTheme="minorEastAsia" w:hAnsiTheme="minorEastAsia" w:hint="eastAsia"/>
          <w:bCs/>
          <w:snapToGrid w:val="0"/>
          <w:kern w:val="0"/>
          <w:sz w:val="24"/>
        </w:rPr>
        <w:t>，</w:t>
      </w:r>
      <w:r>
        <w:rPr>
          <w:kern w:val="21"/>
          <w:sz w:val="24"/>
        </w:rPr>
        <w:t>废水满足《肉类加工工业水污染物排放标准》</w:t>
      </w:r>
      <w:r>
        <w:rPr>
          <w:sz w:val="24"/>
        </w:rPr>
        <w:t>（</w:t>
      </w:r>
      <w:r>
        <w:rPr>
          <w:sz w:val="24"/>
        </w:rPr>
        <w:t>GB13457-92</w:t>
      </w:r>
      <w:r>
        <w:rPr>
          <w:sz w:val="24"/>
        </w:rPr>
        <w:t>）表</w:t>
      </w:r>
      <w:r>
        <w:rPr>
          <w:sz w:val="24"/>
        </w:rPr>
        <w:t>3</w:t>
      </w:r>
      <w:r>
        <w:rPr>
          <w:kern w:val="21"/>
          <w:sz w:val="24"/>
        </w:rPr>
        <w:t>中畜类屠宰加工三级标准及</w:t>
      </w:r>
      <w:r>
        <w:rPr>
          <w:rFonts w:hint="eastAsia"/>
          <w:kern w:val="21"/>
          <w:sz w:val="24"/>
        </w:rPr>
        <w:t>五常市民泉污水处理有限公司（五常市山河屯林业局污水处理厂）</w:t>
      </w:r>
      <w:r>
        <w:rPr>
          <w:kern w:val="21"/>
          <w:sz w:val="24"/>
        </w:rPr>
        <w:t>设计进水水质指标</w:t>
      </w:r>
      <w:r>
        <w:rPr>
          <w:rFonts w:hint="eastAsia"/>
          <w:kern w:val="21"/>
          <w:sz w:val="24"/>
        </w:rPr>
        <w:t>。</w:t>
      </w:r>
    </w:p>
    <w:p w14:paraId="46E1E3AC" w14:textId="77777777" w:rsidR="00B14D53" w:rsidRDefault="00000000">
      <w:pPr>
        <w:spacing w:line="360" w:lineRule="auto"/>
        <w:ind w:firstLineChars="200" w:firstLine="480"/>
        <w:rPr>
          <w:rFonts w:eastAsiaTheme="minorEastAsia"/>
          <w:bCs/>
          <w:snapToGrid w:val="0"/>
          <w:kern w:val="0"/>
          <w:sz w:val="24"/>
        </w:rPr>
      </w:pPr>
      <w:r>
        <w:rPr>
          <w:rFonts w:eastAsiaTheme="minorEastAsia" w:hAnsiTheme="minorEastAsia" w:hint="eastAsia"/>
          <w:bCs/>
          <w:snapToGrid w:val="0"/>
          <w:kern w:val="0"/>
          <w:sz w:val="24"/>
        </w:rPr>
        <w:t>（</w:t>
      </w:r>
      <w:r>
        <w:rPr>
          <w:rFonts w:eastAsiaTheme="minorEastAsia" w:hAnsiTheme="minorEastAsia" w:hint="eastAsia"/>
          <w:bCs/>
          <w:snapToGrid w:val="0"/>
          <w:kern w:val="0"/>
          <w:sz w:val="24"/>
        </w:rPr>
        <w:t>7</w:t>
      </w:r>
      <w:r>
        <w:rPr>
          <w:rFonts w:eastAsiaTheme="minorEastAsia" w:hAnsiTheme="minorEastAsia" w:hint="eastAsia"/>
          <w:bCs/>
          <w:snapToGrid w:val="0"/>
          <w:kern w:val="0"/>
          <w:sz w:val="24"/>
        </w:rPr>
        <w:t>）</w:t>
      </w:r>
      <w:r>
        <w:rPr>
          <w:rFonts w:eastAsiaTheme="minorEastAsia" w:hAnsiTheme="minorEastAsia"/>
          <w:snapToGrid w:val="0"/>
          <w:kern w:val="0"/>
          <w:sz w:val="24"/>
        </w:rPr>
        <w:t>本项目</w:t>
      </w:r>
      <w:r>
        <w:rPr>
          <w:rFonts w:eastAsiaTheme="minorEastAsia" w:hAnsiTheme="minorEastAsia" w:hint="eastAsia"/>
          <w:snapToGrid w:val="0"/>
          <w:kern w:val="0"/>
          <w:sz w:val="24"/>
        </w:rPr>
        <w:t>优先</w:t>
      </w:r>
      <w:r>
        <w:rPr>
          <w:sz w:val="24"/>
        </w:rPr>
        <w:t>选用先进的低噪设备，风机、水泵等发声设备应设减振垫；加强设备的维护，本项目采取上述</w:t>
      </w:r>
      <w:r>
        <w:rPr>
          <w:rFonts w:hint="eastAsia"/>
          <w:sz w:val="24"/>
        </w:rPr>
        <w:t>降</w:t>
      </w:r>
      <w:r>
        <w:rPr>
          <w:sz w:val="24"/>
        </w:rPr>
        <w:t>噪措施后，噪声对周围环境影响较小，厂界噪声满足《工业企业厂界环境噪声排放标准》（</w:t>
      </w:r>
      <w:r>
        <w:rPr>
          <w:sz w:val="24"/>
        </w:rPr>
        <w:t>GB12348-2008</w:t>
      </w:r>
      <w:r>
        <w:rPr>
          <w:sz w:val="24"/>
        </w:rPr>
        <w:t>）表</w:t>
      </w:r>
      <w:r>
        <w:rPr>
          <w:sz w:val="24"/>
        </w:rPr>
        <w:t>1</w:t>
      </w:r>
      <w:r>
        <w:rPr>
          <w:sz w:val="24"/>
        </w:rPr>
        <w:t>中的</w:t>
      </w:r>
      <w:r>
        <w:rPr>
          <w:sz w:val="24"/>
        </w:rPr>
        <w:t>2</w:t>
      </w:r>
      <w:r>
        <w:rPr>
          <w:sz w:val="24"/>
        </w:rPr>
        <w:t>类标准限值</w:t>
      </w:r>
      <w:r>
        <w:rPr>
          <w:rFonts w:eastAsiaTheme="minorEastAsia" w:hAnsiTheme="minorEastAsia"/>
          <w:bCs/>
          <w:snapToGrid w:val="0"/>
          <w:kern w:val="0"/>
          <w:sz w:val="24"/>
        </w:rPr>
        <w:t>。</w:t>
      </w:r>
    </w:p>
    <w:p w14:paraId="62E82808" w14:textId="77777777" w:rsidR="00B14D53" w:rsidRDefault="00000000">
      <w:pPr>
        <w:pStyle w:val="afff"/>
        <w:adjustRightInd/>
        <w:snapToGrid/>
        <w:contextualSpacing/>
        <w:jc w:val="both"/>
        <w:rPr>
          <w:rFonts w:ascii="Times New Roman" w:hAnsiTheme="minorEastAsia" w:cs="Times New Roman" w:hint="eastAsia"/>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）本</w:t>
      </w:r>
      <w:r>
        <w:rPr>
          <w:rFonts w:cs="Times New Roman" w:hint="eastAsia"/>
        </w:rPr>
        <w:t>项目</w:t>
      </w:r>
      <w:r>
        <w:rPr>
          <w:rFonts w:ascii="Times New Roman" w:eastAsia="宋体" w:hAnsi="Times New Roman" w:cs="Times New Roman"/>
        </w:rPr>
        <w:t>待宰圈</w:t>
      </w:r>
      <w:r>
        <w:rPr>
          <w:rFonts w:ascii="Times New Roman" w:hAnsi="Times New Roman" w:cs="Times New Roman" w:hint="eastAsia"/>
        </w:rPr>
        <w:t>的</w:t>
      </w:r>
      <w:r>
        <w:rPr>
          <w:rFonts w:ascii="Times New Roman" w:eastAsia="宋体" w:hAnsi="Times New Roman" w:cs="Times New Roman"/>
        </w:rPr>
        <w:t>猪粪便</w:t>
      </w:r>
      <w:r>
        <w:rPr>
          <w:rFonts w:ascii="Times New Roman" w:hAnsi="Times New Roman" w:cs="Times New Roman" w:hint="eastAsia"/>
        </w:rPr>
        <w:t>，清理至包装桶内，暂存于待宰圈内</w:t>
      </w:r>
      <w:r>
        <w:rPr>
          <w:rFonts w:ascii="Times New Roman" w:eastAsia="宋体" w:hAnsi="Times New Roman" w:cs="Times New Roman"/>
        </w:rPr>
        <w:t>，</w:t>
      </w:r>
      <w:r>
        <w:rPr>
          <w:rFonts w:ascii="Times New Roman" w:hAnsi="Times New Roman" w:cs="Times New Roman" w:hint="eastAsia"/>
        </w:rPr>
        <w:t>每日生产结束后</w:t>
      </w:r>
      <w:r>
        <w:rPr>
          <w:rFonts w:ascii="Times New Roman" w:eastAsia="宋体" w:hAnsi="Times New Roman" w:cs="Times New Roman"/>
        </w:rPr>
        <w:t>清运一次，外售有机肥厂进行堆肥处理。肠胃内容物</w:t>
      </w:r>
      <w:r>
        <w:rPr>
          <w:rFonts w:ascii="Times New Roman" w:hAnsi="Times New Roman" w:cs="Times New Roman" w:hint="eastAsia"/>
        </w:rPr>
        <w:t>清理至包装桶内，暂存于待宰圈内</w:t>
      </w:r>
      <w:r>
        <w:rPr>
          <w:rFonts w:ascii="Times New Roman" w:eastAsia="宋体" w:hAnsi="Times New Roman" w:cs="Times New Roman"/>
        </w:rPr>
        <w:t>，</w:t>
      </w:r>
      <w:r>
        <w:rPr>
          <w:rFonts w:ascii="Times New Roman" w:hAnsi="Times New Roman" w:cs="Times New Roman" w:hint="eastAsia"/>
        </w:rPr>
        <w:t>每日生产结束后</w:t>
      </w:r>
      <w:r>
        <w:rPr>
          <w:rFonts w:ascii="Times New Roman" w:eastAsia="宋体" w:hAnsi="Times New Roman" w:cs="Times New Roman"/>
        </w:rPr>
        <w:t>清运一次，外售有机肥厂进行堆肥处理。病变腺体、内脏及残留脂肪</w:t>
      </w:r>
      <w:r>
        <w:rPr>
          <w:rFonts w:ascii="Times New Roman" w:hAnsi="Times New Roman" w:cs="Times New Roman" w:hint="eastAsia"/>
        </w:rPr>
        <w:t>交由</w:t>
      </w:r>
      <w:r>
        <w:rPr>
          <w:rFonts w:hAnsi="宋体" w:hint="eastAsia"/>
          <w:kern w:val="0"/>
          <w:szCs w:val="21"/>
        </w:rPr>
        <w:t>哈尔滨银山无害化处理有限公司</w:t>
      </w:r>
      <w:r>
        <w:rPr>
          <w:rFonts w:ascii="Times New Roman" w:eastAsia="宋体" w:hAnsi="Times New Roman" w:cs="Times New Roman"/>
        </w:rPr>
        <w:t>处理。</w:t>
      </w:r>
      <w:r>
        <w:rPr>
          <w:rFonts w:ascii="Times New Roman" w:eastAsia="宋体" w:hAnsi="Times New Roman" w:cs="Times New Roman" w:hint="eastAsia"/>
        </w:rPr>
        <w:t>检验废物（类别：</w:t>
      </w:r>
      <w:r>
        <w:rPr>
          <w:rFonts w:ascii="Times New Roman" w:eastAsia="宋体" w:hAnsi="Times New Roman" w:cs="Times New Roman" w:hint="eastAsia"/>
        </w:rPr>
        <w:t>HW01</w:t>
      </w:r>
      <w:r>
        <w:rPr>
          <w:rFonts w:ascii="Times New Roman" w:eastAsia="宋体" w:hAnsi="Times New Roman" w:cs="Times New Roman" w:hint="eastAsia"/>
        </w:rPr>
        <w:t>，代码：</w:t>
      </w:r>
      <w:r>
        <w:rPr>
          <w:rFonts w:ascii="Times New Roman" w:eastAsia="宋体" w:hAnsi="Times New Roman" w:cs="Times New Roman" w:hint="eastAsia"/>
        </w:rPr>
        <w:t>841-001-01</w:t>
      </w:r>
      <w:r>
        <w:rPr>
          <w:rFonts w:ascii="Times New Roman" w:eastAsia="宋体" w:hAnsi="Times New Roman" w:cs="Times New Roman" w:hint="eastAsia"/>
        </w:rPr>
        <w:t>）</w:t>
      </w:r>
      <w:r>
        <w:rPr>
          <w:rFonts w:hAnsi="Times New Roman" w:hint="eastAsia"/>
        </w:rPr>
        <w:t>交由有资质单位处置。</w:t>
      </w:r>
      <w:r>
        <w:rPr>
          <w:rFonts w:ascii="Times New Roman" w:eastAsia="宋体" w:hAnsi="Times New Roman" w:cs="Times New Roman"/>
        </w:rPr>
        <w:t>污水处理站</w:t>
      </w:r>
      <w:r>
        <w:rPr>
          <w:rFonts w:ascii="Times New Roman" w:eastAsia="宋体" w:hAnsi="Times New Roman" w:cs="Times New Roman" w:hint="eastAsia"/>
        </w:rPr>
        <w:t>污泥及栅渣</w:t>
      </w:r>
      <w:r>
        <w:rPr>
          <w:rFonts w:ascii="Times New Roman" w:eastAsia="宋体" w:hAnsi="Times New Roman" w:cs="Times New Roman"/>
        </w:rPr>
        <w:t>采用压滤机脱水后，送生活垃圾填埋场处理</w:t>
      </w:r>
      <w:r>
        <w:rPr>
          <w:rFonts w:ascii="Times New Roman" w:eastAsia="宋体" w:hAnsi="Times New Roman" w:cs="Times New Roman" w:hint="eastAsia"/>
        </w:rPr>
        <w:t>。</w:t>
      </w:r>
      <w:r>
        <w:rPr>
          <w:rFonts w:ascii="Times New Roman" w:eastAsia="宋体" w:hAnsi="Times New Roman" w:cs="Times New Roman"/>
        </w:rPr>
        <w:t>废活性炭交由厂家再生利用</w:t>
      </w:r>
      <w:r>
        <w:rPr>
          <w:rFonts w:ascii="Times New Roman" w:eastAsia="宋体" w:hAnsi="Times New Roman" w:cs="Times New Roman" w:hint="eastAsia"/>
        </w:rPr>
        <w:t>。</w:t>
      </w:r>
      <w:r>
        <w:rPr>
          <w:rFonts w:ascii="Times New Roman" w:eastAsia="宋体" w:hAnsi="Times New Roman" w:cs="Times New Roman"/>
        </w:rPr>
        <w:t>废离子交换树脂由厂家回收利用</w:t>
      </w:r>
      <w:r>
        <w:rPr>
          <w:rFonts w:ascii="Times New Roman" w:eastAsia="宋体" w:hAnsi="Times New Roman" w:cs="Times New Roman" w:hint="eastAsia"/>
        </w:rPr>
        <w:t>。</w:t>
      </w:r>
      <w:r>
        <w:rPr>
          <w:rFonts w:cs="Times New Roman" w:hint="eastAsia"/>
        </w:rPr>
        <w:t>废外包装外售物资回收单位。</w:t>
      </w:r>
      <w:r>
        <w:rPr>
          <w:rFonts w:ascii="Times New Roman" w:eastAsia="宋体" w:hAnsi="Times New Roman" w:cs="Times New Roman"/>
          <w:szCs w:val="22"/>
        </w:rPr>
        <w:t>生活垃圾</w:t>
      </w:r>
      <w:r>
        <w:rPr>
          <w:rFonts w:ascii="Times New Roman" w:eastAsia="宋体" w:hAnsi="Times New Roman" w:cs="Times New Roman"/>
        </w:rPr>
        <w:t>由市政部门统一处理</w:t>
      </w:r>
      <w:r>
        <w:rPr>
          <w:rFonts w:ascii="Times New Roman" w:eastAsia="宋体" w:hAnsi="Times New Roman" w:cs="Times New Roman" w:hint="eastAsia"/>
        </w:rPr>
        <w:t>。病死猪</w:t>
      </w:r>
      <w:r>
        <w:rPr>
          <w:rFonts w:ascii="Times New Roman" w:hAnsi="Times New Roman" w:cs="Times New Roman" w:hint="eastAsia"/>
        </w:rPr>
        <w:t>交由</w:t>
      </w:r>
      <w:r>
        <w:rPr>
          <w:rFonts w:hAnsi="宋体" w:hint="eastAsia"/>
          <w:kern w:val="0"/>
          <w:szCs w:val="21"/>
        </w:rPr>
        <w:t>哈尔滨银山无害化处理有限公司</w:t>
      </w:r>
      <w:r>
        <w:rPr>
          <w:rFonts w:ascii="Times New Roman" w:hAnsi="Times New Roman" w:cs="Times New Roman" w:hint="eastAsia"/>
        </w:rPr>
        <w:t>处置</w:t>
      </w:r>
      <w:r>
        <w:rPr>
          <w:rFonts w:cs="Times New Roman" w:hint="eastAsia"/>
        </w:rPr>
        <w:t>。</w:t>
      </w:r>
    </w:p>
    <w:p w14:paraId="7F549FFB"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2" w:name="_Toc22939"/>
      <w:r>
        <w:rPr>
          <w:rFonts w:ascii="Times New Roman" w:eastAsia="黑体" w:hAnsi="Times New Roman" w:cs="Times New Roman"/>
          <w:b w:val="0"/>
          <w:bCs w:val="0"/>
          <w:sz w:val="30"/>
          <w:szCs w:val="30"/>
        </w:rPr>
        <w:t>1.6</w:t>
      </w:r>
      <w:r>
        <w:rPr>
          <w:rFonts w:ascii="Times New Roman" w:eastAsia="黑体" w:hAnsi="Times New Roman" w:cs="Times New Roman"/>
          <w:b w:val="0"/>
          <w:bCs w:val="0"/>
          <w:sz w:val="30"/>
          <w:szCs w:val="30"/>
        </w:rPr>
        <w:t>环境影响评价主要结论</w:t>
      </w:r>
      <w:bookmarkEnd w:id="21"/>
      <w:bookmarkEnd w:id="22"/>
    </w:p>
    <w:p w14:paraId="6C8A61A8" w14:textId="77777777" w:rsidR="00B14D53" w:rsidRDefault="00000000">
      <w:pPr>
        <w:pStyle w:val="afff"/>
        <w:adjustRightInd/>
        <w:snapToGrid/>
        <w:rPr>
          <w:rFonts w:ascii="Times New Roman" w:hAnsi="Times New Roman" w:cs="Times New Roman"/>
        </w:rPr>
      </w:pPr>
      <w:r>
        <w:rPr>
          <w:rFonts w:ascii="Times New Roman" w:hAnsiTheme="minorEastAsia" w:cs="Times New Roman"/>
        </w:rPr>
        <w:t>本项目建设符合国家相关产业政策要求，该项目的建成投产，有利于促进地区经济发展，充分发挥了资源优势，具有良好的经济效益。本评价针对</w:t>
      </w:r>
      <w:r>
        <w:rPr>
          <w:rFonts w:ascii="Times New Roman" w:hAnsiTheme="minorEastAsia" w:cs="Times New Roman" w:hint="eastAsia"/>
        </w:rPr>
        <w:t>牲畜屠宰</w:t>
      </w:r>
      <w:r>
        <w:rPr>
          <w:rFonts w:ascii="Times New Roman" w:hAnsiTheme="minorEastAsia" w:cs="Times New Roman"/>
        </w:rPr>
        <w:t>的特点，提出了切实可行的污染防治措施，将工程开发建设及运行对环境的影响减少到最低程度。</w:t>
      </w:r>
      <w:r>
        <w:rPr>
          <w:rFonts w:ascii="Times New Roman" w:hAnsiTheme="minorEastAsia" w:cs="Times New Roman"/>
          <w:szCs w:val="22"/>
        </w:rPr>
        <w:t>项目通过对环境空气、声环境、水环境、固体废物等各项环境因素</w:t>
      </w:r>
      <w:r>
        <w:rPr>
          <w:rFonts w:ascii="Times New Roman" w:hAnsiTheme="minorEastAsia" w:cs="Times New Roman" w:hint="eastAsia"/>
          <w:szCs w:val="22"/>
        </w:rPr>
        <w:t>有效地</w:t>
      </w:r>
      <w:r>
        <w:rPr>
          <w:rFonts w:ascii="Times New Roman" w:hAnsiTheme="minorEastAsia" w:cs="Times New Roman"/>
          <w:szCs w:val="22"/>
        </w:rPr>
        <w:t>防治，通过加强环境管理及环境监测，最大限度的减少对环境影响。</w:t>
      </w:r>
      <w:r>
        <w:rPr>
          <w:rFonts w:ascii="Times New Roman" w:hAnsiTheme="minorEastAsia" w:cs="Times New Roman"/>
        </w:rPr>
        <w:t>因此，本项目的实施实现了环境效益、社会效益和经济效益的统一，符合当地的环境保护规划和经济发展规划，在做好本报告中提出的各项环保措施的前提下，从环保角度而言，项目建设可行。</w:t>
      </w:r>
    </w:p>
    <w:p w14:paraId="13D16571" w14:textId="77777777" w:rsidR="00B14D53" w:rsidRDefault="00B14D53">
      <w:pPr>
        <w:rPr>
          <w:rFonts w:eastAsiaTheme="minorEastAsia"/>
        </w:rPr>
        <w:sectPr w:rsidR="00B14D53">
          <w:headerReference w:type="default" r:id="rId15"/>
          <w:footerReference w:type="default" r:id="rId16"/>
          <w:pgSz w:w="11906" w:h="16838"/>
          <w:pgMar w:top="1440" w:right="1800" w:bottom="1440" w:left="1800" w:header="851" w:footer="992" w:gutter="0"/>
          <w:pgNumType w:start="1"/>
          <w:cols w:space="425"/>
          <w:docGrid w:type="lines" w:linePitch="312"/>
        </w:sectPr>
      </w:pPr>
    </w:p>
    <w:p w14:paraId="632D59D2" w14:textId="77777777" w:rsidR="00B14D53" w:rsidRDefault="00000000">
      <w:pPr>
        <w:pStyle w:val="1"/>
        <w:spacing w:before="100" w:beforeAutospacing="1" w:after="0" w:line="240" w:lineRule="auto"/>
        <w:ind w:firstLineChars="200" w:firstLine="640"/>
        <w:rPr>
          <w:rFonts w:eastAsia="黑体"/>
          <w:b w:val="0"/>
          <w:bCs w:val="0"/>
          <w:sz w:val="32"/>
          <w:szCs w:val="32"/>
        </w:rPr>
      </w:pPr>
      <w:bookmarkStart w:id="23" w:name="_Toc479252802"/>
      <w:bookmarkStart w:id="24" w:name="_Toc530"/>
      <w:r>
        <w:rPr>
          <w:rFonts w:eastAsia="黑体" w:hint="eastAsia"/>
          <w:b w:val="0"/>
          <w:bCs w:val="0"/>
          <w:sz w:val="32"/>
          <w:szCs w:val="32"/>
        </w:rPr>
        <w:t>2</w:t>
      </w:r>
      <w:r>
        <w:rPr>
          <w:rFonts w:eastAsia="黑体" w:hint="eastAsia"/>
          <w:b w:val="0"/>
          <w:bCs w:val="0"/>
          <w:sz w:val="32"/>
          <w:szCs w:val="32"/>
        </w:rPr>
        <w:t>总则</w:t>
      </w:r>
      <w:bookmarkEnd w:id="23"/>
      <w:bookmarkEnd w:id="24"/>
    </w:p>
    <w:p w14:paraId="5DDBA8DA"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5" w:name="_Toc8251"/>
      <w:bookmarkStart w:id="26" w:name="_Toc479252803"/>
      <w:r>
        <w:rPr>
          <w:rFonts w:ascii="Times New Roman" w:eastAsia="黑体" w:hAnsi="Times New Roman" w:cs="Times New Roman"/>
          <w:b w:val="0"/>
          <w:bCs w:val="0"/>
          <w:sz w:val="30"/>
          <w:szCs w:val="30"/>
        </w:rPr>
        <w:t>2.1</w:t>
      </w:r>
      <w:r>
        <w:rPr>
          <w:rFonts w:ascii="Times New Roman" w:eastAsia="黑体" w:hAnsi="Times New Roman" w:cs="Times New Roman"/>
          <w:b w:val="0"/>
          <w:bCs w:val="0"/>
          <w:sz w:val="30"/>
          <w:szCs w:val="30"/>
        </w:rPr>
        <w:t>编制依据</w:t>
      </w:r>
      <w:bookmarkEnd w:id="25"/>
      <w:bookmarkEnd w:id="26"/>
    </w:p>
    <w:p w14:paraId="4EE98BAF"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27" w:name="_Toc11758465"/>
      <w:r>
        <w:rPr>
          <w:rFonts w:ascii="Times New Roman" w:eastAsia="黑体" w:hAnsi="Times New Roman" w:cs="Times New Roman"/>
          <w:sz w:val="28"/>
          <w:szCs w:val="28"/>
        </w:rPr>
        <w:t>2.1.1</w:t>
      </w:r>
      <w:r>
        <w:rPr>
          <w:rFonts w:ascii="Times New Roman" w:eastAsia="黑体" w:hAnsi="Times New Roman" w:cs="Times New Roman"/>
          <w:sz w:val="28"/>
          <w:szCs w:val="28"/>
        </w:rPr>
        <w:t>相关法律、法规</w:t>
      </w:r>
      <w:bookmarkEnd w:id="27"/>
    </w:p>
    <w:p w14:paraId="70A0A644" w14:textId="77777777" w:rsidR="00B14D53" w:rsidRDefault="00000000">
      <w:pPr>
        <w:spacing w:line="360" w:lineRule="auto"/>
        <w:ind w:firstLineChars="200" w:firstLine="480"/>
        <w:contextualSpacing/>
        <w:rPr>
          <w:rFonts w:eastAsiaTheme="minorEastAsia"/>
          <w:snapToGrid w:val="0"/>
          <w:kern w:val="0"/>
          <w:sz w:val="24"/>
        </w:rPr>
      </w:pPr>
      <w:bookmarkStart w:id="28" w:name="_Toc15991627"/>
      <w:bookmarkStart w:id="29" w:name="_Toc524431281"/>
      <w:bookmarkStart w:id="30" w:name="_Toc233779584"/>
      <w:r>
        <w:rPr>
          <w:rFonts w:eastAsiaTheme="minorEastAsia" w:hAnsiTheme="minorEastAsia"/>
          <w:snapToGrid w:val="0"/>
          <w:kern w:val="0"/>
          <w:sz w:val="24"/>
        </w:rPr>
        <w:t>（</w:t>
      </w:r>
      <w:r>
        <w:rPr>
          <w:rFonts w:eastAsiaTheme="minorEastAsia"/>
          <w:snapToGrid w:val="0"/>
          <w:kern w:val="0"/>
          <w:sz w:val="24"/>
        </w:rPr>
        <w:t>1</w:t>
      </w:r>
      <w:r>
        <w:rPr>
          <w:rFonts w:eastAsiaTheme="minorEastAsia" w:hAnsiTheme="minorEastAsia"/>
          <w:snapToGrid w:val="0"/>
          <w:kern w:val="0"/>
          <w:sz w:val="24"/>
        </w:rPr>
        <w:t>）《中华人民共和国环境保护法》，</w:t>
      </w:r>
      <w:r>
        <w:rPr>
          <w:rFonts w:eastAsiaTheme="minorEastAsia"/>
          <w:snapToGrid w:val="0"/>
          <w:kern w:val="0"/>
          <w:sz w:val="24"/>
        </w:rPr>
        <w:t>2015</w:t>
      </w:r>
      <w:r>
        <w:rPr>
          <w:rFonts w:eastAsiaTheme="minorEastAsia" w:hAnsiTheme="minorEastAsia"/>
          <w:snapToGrid w:val="0"/>
          <w:kern w:val="0"/>
          <w:sz w:val="24"/>
        </w:rPr>
        <w:t>年</w:t>
      </w:r>
      <w:r>
        <w:rPr>
          <w:rFonts w:eastAsiaTheme="minorEastAsia"/>
          <w:snapToGrid w:val="0"/>
          <w:kern w:val="0"/>
          <w:sz w:val="24"/>
        </w:rPr>
        <w:t>1</w:t>
      </w:r>
      <w:r>
        <w:rPr>
          <w:rFonts w:eastAsiaTheme="minorEastAsia" w:hAnsiTheme="minorEastAsia"/>
          <w:snapToGrid w:val="0"/>
          <w:kern w:val="0"/>
          <w:sz w:val="24"/>
        </w:rPr>
        <w:t>月</w:t>
      </w:r>
      <w:r>
        <w:rPr>
          <w:rFonts w:eastAsiaTheme="minorEastAsia"/>
          <w:snapToGrid w:val="0"/>
          <w:kern w:val="0"/>
          <w:sz w:val="24"/>
        </w:rPr>
        <w:t>1</w:t>
      </w:r>
      <w:r>
        <w:rPr>
          <w:rFonts w:eastAsiaTheme="minorEastAsia" w:hAnsiTheme="minorEastAsia"/>
          <w:snapToGrid w:val="0"/>
          <w:kern w:val="0"/>
          <w:sz w:val="24"/>
        </w:rPr>
        <w:t>日</w:t>
      </w:r>
      <w:r>
        <w:rPr>
          <w:rFonts w:eastAsiaTheme="minorEastAsia" w:hAnsiTheme="minorEastAsia" w:hint="eastAsia"/>
          <w:snapToGrid w:val="0"/>
          <w:kern w:val="0"/>
          <w:sz w:val="24"/>
        </w:rPr>
        <w:t>；</w:t>
      </w:r>
    </w:p>
    <w:p w14:paraId="5E177BE8"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2</w:t>
      </w:r>
      <w:r>
        <w:rPr>
          <w:rFonts w:eastAsiaTheme="minorEastAsia" w:hAnsiTheme="minorEastAsia"/>
          <w:snapToGrid w:val="0"/>
          <w:kern w:val="0"/>
          <w:sz w:val="24"/>
        </w:rPr>
        <w:t>）《中华人民共和国环境影响评价法》，</w:t>
      </w:r>
      <w:r>
        <w:rPr>
          <w:rFonts w:eastAsiaTheme="minorEastAsia"/>
          <w:snapToGrid w:val="0"/>
          <w:kern w:val="0"/>
          <w:sz w:val="24"/>
        </w:rPr>
        <w:t>2018</w:t>
      </w:r>
      <w:r>
        <w:rPr>
          <w:rFonts w:eastAsiaTheme="minorEastAsia" w:hAnsiTheme="minorEastAsia"/>
          <w:snapToGrid w:val="0"/>
          <w:kern w:val="0"/>
          <w:sz w:val="24"/>
        </w:rPr>
        <w:t>年</w:t>
      </w:r>
      <w:r>
        <w:rPr>
          <w:rFonts w:eastAsiaTheme="minorEastAsia"/>
          <w:snapToGrid w:val="0"/>
          <w:kern w:val="0"/>
          <w:sz w:val="24"/>
        </w:rPr>
        <w:t>12</w:t>
      </w:r>
      <w:r>
        <w:rPr>
          <w:rFonts w:eastAsiaTheme="minorEastAsia" w:hAnsiTheme="minorEastAsia"/>
          <w:snapToGrid w:val="0"/>
          <w:kern w:val="0"/>
          <w:sz w:val="24"/>
        </w:rPr>
        <w:t>月</w:t>
      </w:r>
      <w:r>
        <w:rPr>
          <w:rFonts w:eastAsiaTheme="minorEastAsia"/>
          <w:snapToGrid w:val="0"/>
          <w:kern w:val="0"/>
          <w:sz w:val="24"/>
        </w:rPr>
        <w:t>29</w:t>
      </w:r>
      <w:r>
        <w:rPr>
          <w:rFonts w:eastAsiaTheme="minorEastAsia" w:hAnsiTheme="minorEastAsia"/>
          <w:snapToGrid w:val="0"/>
          <w:kern w:val="0"/>
          <w:sz w:val="24"/>
        </w:rPr>
        <w:t>日</w:t>
      </w:r>
      <w:r>
        <w:rPr>
          <w:rFonts w:eastAsiaTheme="minorEastAsia" w:hAnsiTheme="minorEastAsia" w:hint="eastAsia"/>
          <w:snapToGrid w:val="0"/>
          <w:kern w:val="0"/>
          <w:sz w:val="24"/>
        </w:rPr>
        <w:t>；</w:t>
      </w:r>
    </w:p>
    <w:p w14:paraId="45F96133"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3</w:t>
      </w:r>
      <w:r>
        <w:rPr>
          <w:rFonts w:eastAsiaTheme="minorEastAsia" w:hAnsiTheme="minorEastAsia"/>
          <w:snapToGrid w:val="0"/>
          <w:kern w:val="0"/>
          <w:sz w:val="24"/>
        </w:rPr>
        <w:t>）《中华人民共和国大气污染防治法》，</w:t>
      </w:r>
      <w:r>
        <w:rPr>
          <w:rFonts w:eastAsiaTheme="minorEastAsia"/>
          <w:snapToGrid w:val="0"/>
          <w:kern w:val="0"/>
          <w:sz w:val="24"/>
        </w:rPr>
        <w:t>2018</w:t>
      </w:r>
      <w:r>
        <w:rPr>
          <w:rFonts w:eastAsiaTheme="minorEastAsia" w:hAnsiTheme="minorEastAsia"/>
          <w:snapToGrid w:val="0"/>
          <w:kern w:val="0"/>
          <w:sz w:val="24"/>
        </w:rPr>
        <w:t>年</w:t>
      </w:r>
      <w:r>
        <w:rPr>
          <w:rFonts w:eastAsiaTheme="minorEastAsia"/>
          <w:snapToGrid w:val="0"/>
          <w:kern w:val="0"/>
          <w:sz w:val="24"/>
        </w:rPr>
        <w:t>10</w:t>
      </w:r>
      <w:r>
        <w:rPr>
          <w:rFonts w:eastAsiaTheme="minorEastAsia" w:hAnsiTheme="minorEastAsia"/>
          <w:snapToGrid w:val="0"/>
          <w:kern w:val="0"/>
          <w:sz w:val="24"/>
        </w:rPr>
        <w:t>月</w:t>
      </w:r>
      <w:r>
        <w:rPr>
          <w:rFonts w:eastAsiaTheme="minorEastAsia"/>
          <w:snapToGrid w:val="0"/>
          <w:kern w:val="0"/>
          <w:sz w:val="24"/>
        </w:rPr>
        <w:t>26</w:t>
      </w:r>
      <w:r>
        <w:rPr>
          <w:rFonts w:eastAsiaTheme="minorEastAsia" w:hAnsiTheme="minorEastAsia"/>
          <w:snapToGrid w:val="0"/>
          <w:kern w:val="0"/>
          <w:sz w:val="24"/>
        </w:rPr>
        <w:t>日</w:t>
      </w:r>
      <w:r>
        <w:rPr>
          <w:rFonts w:eastAsiaTheme="minorEastAsia" w:hAnsiTheme="minorEastAsia" w:hint="eastAsia"/>
          <w:snapToGrid w:val="0"/>
          <w:kern w:val="0"/>
          <w:sz w:val="24"/>
        </w:rPr>
        <w:t>；</w:t>
      </w:r>
    </w:p>
    <w:p w14:paraId="0B12CD47"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4</w:t>
      </w:r>
      <w:r>
        <w:rPr>
          <w:rFonts w:eastAsiaTheme="minorEastAsia" w:hAnsiTheme="minorEastAsia"/>
          <w:snapToGrid w:val="0"/>
          <w:kern w:val="0"/>
          <w:sz w:val="24"/>
        </w:rPr>
        <w:t>）《中华人民共和国水污染防治法》，</w:t>
      </w:r>
      <w:r>
        <w:rPr>
          <w:rFonts w:eastAsiaTheme="minorEastAsia"/>
          <w:snapToGrid w:val="0"/>
          <w:kern w:val="0"/>
          <w:sz w:val="24"/>
        </w:rPr>
        <w:t>2018</w:t>
      </w:r>
      <w:r>
        <w:rPr>
          <w:rFonts w:eastAsiaTheme="minorEastAsia" w:hAnsiTheme="minorEastAsia"/>
          <w:snapToGrid w:val="0"/>
          <w:kern w:val="0"/>
          <w:sz w:val="24"/>
        </w:rPr>
        <w:t>年</w:t>
      </w:r>
      <w:r>
        <w:rPr>
          <w:rFonts w:eastAsiaTheme="minorEastAsia"/>
          <w:snapToGrid w:val="0"/>
          <w:kern w:val="0"/>
          <w:sz w:val="24"/>
        </w:rPr>
        <w:t>1</w:t>
      </w:r>
      <w:r>
        <w:rPr>
          <w:rFonts w:eastAsiaTheme="minorEastAsia" w:hAnsiTheme="minorEastAsia"/>
          <w:snapToGrid w:val="0"/>
          <w:kern w:val="0"/>
          <w:sz w:val="24"/>
        </w:rPr>
        <w:t>月</w:t>
      </w:r>
      <w:r>
        <w:rPr>
          <w:rFonts w:eastAsiaTheme="minorEastAsia"/>
          <w:snapToGrid w:val="0"/>
          <w:kern w:val="0"/>
          <w:sz w:val="24"/>
        </w:rPr>
        <w:t>1</w:t>
      </w:r>
      <w:r>
        <w:rPr>
          <w:rFonts w:eastAsiaTheme="minorEastAsia" w:hAnsiTheme="minorEastAsia"/>
          <w:snapToGrid w:val="0"/>
          <w:kern w:val="0"/>
          <w:sz w:val="24"/>
        </w:rPr>
        <w:t>日</w:t>
      </w:r>
      <w:r>
        <w:rPr>
          <w:rFonts w:eastAsiaTheme="minorEastAsia" w:hAnsiTheme="minorEastAsia" w:hint="eastAsia"/>
          <w:snapToGrid w:val="0"/>
          <w:kern w:val="0"/>
          <w:sz w:val="24"/>
        </w:rPr>
        <w:t>；</w:t>
      </w:r>
    </w:p>
    <w:p w14:paraId="6B59D7E9"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5</w:t>
      </w:r>
      <w:r>
        <w:rPr>
          <w:rFonts w:eastAsiaTheme="minorEastAsia" w:hAnsiTheme="minorEastAsia"/>
          <w:snapToGrid w:val="0"/>
          <w:kern w:val="0"/>
          <w:sz w:val="24"/>
        </w:rPr>
        <w:t>）《</w:t>
      </w:r>
      <w:r>
        <w:rPr>
          <w:rFonts w:eastAsiaTheme="minorEastAsia" w:hAnsiTheme="minorEastAsia"/>
          <w:bCs/>
          <w:snapToGrid w:val="0"/>
          <w:kern w:val="0"/>
          <w:sz w:val="24"/>
        </w:rPr>
        <w:t>中华人民共和国噪声污染防治法</w:t>
      </w:r>
      <w:r>
        <w:rPr>
          <w:rFonts w:eastAsiaTheme="minorEastAsia" w:hAnsiTheme="minorEastAsia"/>
          <w:snapToGrid w:val="0"/>
          <w:kern w:val="0"/>
          <w:sz w:val="24"/>
        </w:rPr>
        <w:t>》，</w:t>
      </w:r>
      <w:r>
        <w:rPr>
          <w:rFonts w:eastAsiaTheme="minorEastAsia"/>
          <w:snapToGrid w:val="0"/>
          <w:kern w:val="0"/>
          <w:sz w:val="24"/>
        </w:rPr>
        <w:t>2022</w:t>
      </w:r>
      <w:r>
        <w:rPr>
          <w:rFonts w:eastAsiaTheme="minorEastAsia" w:hAnsiTheme="minorEastAsia"/>
          <w:snapToGrid w:val="0"/>
          <w:kern w:val="0"/>
          <w:sz w:val="24"/>
        </w:rPr>
        <w:t>年</w:t>
      </w:r>
      <w:r>
        <w:rPr>
          <w:rFonts w:eastAsiaTheme="minorEastAsia"/>
          <w:snapToGrid w:val="0"/>
          <w:kern w:val="0"/>
          <w:sz w:val="24"/>
        </w:rPr>
        <w:t>6</w:t>
      </w:r>
      <w:r>
        <w:rPr>
          <w:rFonts w:eastAsiaTheme="minorEastAsia" w:hAnsiTheme="minorEastAsia"/>
          <w:snapToGrid w:val="0"/>
          <w:kern w:val="0"/>
          <w:sz w:val="24"/>
        </w:rPr>
        <w:t>月</w:t>
      </w:r>
      <w:r>
        <w:rPr>
          <w:rFonts w:eastAsiaTheme="minorEastAsia"/>
          <w:snapToGrid w:val="0"/>
          <w:kern w:val="0"/>
          <w:sz w:val="24"/>
        </w:rPr>
        <w:t>5</w:t>
      </w:r>
      <w:r>
        <w:rPr>
          <w:rFonts w:eastAsiaTheme="minorEastAsia" w:hAnsiTheme="minorEastAsia"/>
          <w:snapToGrid w:val="0"/>
          <w:kern w:val="0"/>
          <w:sz w:val="24"/>
        </w:rPr>
        <w:t>日</w:t>
      </w:r>
      <w:r>
        <w:rPr>
          <w:rFonts w:eastAsiaTheme="minorEastAsia" w:hAnsiTheme="minorEastAsia" w:hint="eastAsia"/>
          <w:snapToGrid w:val="0"/>
          <w:kern w:val="0"/>
          <w:sz w:val="24"/>
        </w:rPr>
        <w:t>；</w:t>
      </w:r>
    </w:p>
    <w:p w14:paraId="70BCEB8B"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6</w:t>
      </w:r>
      <w:r>
        <w:rPr>
          <w:rFonts w:eastAsiaTheme="minorEastAsia" w:hAnsiTheme="minorEastAsia"/>
          <w:snapToGrid w:val="0"/>
          <w:kern w:val="0"/>
          <w:sz w:val="24"/>
        </w:rPr>
        <w:t>）《中华人民共和国土壤污染防治法》，</w:t>
      </w:r>
      <w:r>
        <w:rPr>
          <w:rFonts w:eastAsiaTheme="minorEastAsia"/>
          <w:snapToGrid w:val="0"/>
          <w:kern w:val="0"/>
          <w:sz w:val="24"/>
        </w:rPr>
        <w:t>2019</w:t>
      </w:r>
      <w:r>
        <w:rPr>
          <w:rFonts w:eastAsiaTheme="minorEastAsia" w:hAnsiTheme="minorEastAsia"/>
          <w:snapToGrid w:val="0"/>
          <w:kern w:val="0"/>
          <w:sz w:val="24"/>
        </w:rPr>
        <w:t>年</w:t>
      </w:r>
      <w:r>
        <w:rPr>
          <w:rFonts w:eastAsiaTheme="minorEastAsia"/>
          <w:snapToGrid w:val="0"/>
          <w:kern w:val="0"/>
          <w:sz w:val="24"/>
        </w:rPr>
        <w:t>1</w:t>
      </w:r>
      <w:r>
        <w:rPr>
          <w:rFonts w:eastAsiaTheme="minorEastAsia" w:hAnsiTheme="minorEastAsia"/>
          <w:snapToGrid w:val="0"/>
          <w:kern w:val="0"/>
          <w:sz w:val="24"/>
        </w:rPr>
        <w:t>月</w:t>
      </w:r>
      <w:r>
        <w:rPr>
          <w:rFonts w:eastAsiaTheme="minorEastAsia"/>
          <w:snapToGrid w:val="0"/>
          <w:kern w:val="0"/>
          <w:sz w:val="24"/>
        </w:rPr>
        <w:t>1</w:t>
      </w:r>
      <w:r>
        <w:rPr>
          <w:rFonts w:eastAsiaTheme="minorEastAsia" w:hAnsiTheme="minorEastAsia"/>
          <w:snapToGrid w:val="0"/>
          <w:kern w:val="0"/>
          <w:sz w:val="24"/>
        </w:rPr>
        <w:t>日</w:t>
      </w:r>
      <w:r>
        <w:rPr>
          <w:rFonts w:eastAsiaTheme="minorEastAsia" w:hAnsiTheme="minorEastAsia" w:hint="eastAsia"/>
          <w:snapToGrid w:val="0"/>
          <w:kern w:val="0"/>
          <w:sz w:val="24"/>
        </w:rPr>
        <w:t>；</w:t>
      </w:r>
    </w:p>
    <w:p w14:paraId="1AA534E6"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7</w:t>
      </w:r>
      <w:r>
        <w:rPr>
          <w:rFonts w:eastAsiaTheme="minorEastAsia" w:hAnsiTheme="minorEastAsia"/>
          <w:snapToGrid w:val="0"/>
          <w:kern w:val="0"/>
          <w:sz w:val="24"/>
        </w:rPr>
        <w:t>）《中华人民共和国固体废物污染环境防治法》，</w:t>
      </w:r>
      <w:r>
        <w:rPr>
          <w:rFonts w:eastAsiaTheme="minorEastAsia"/>
          <w:snapToGrid w:val="0"/>
          <w:kern w:val="0"/>
          <w:sz w:val="24"/>
        </w:rPr>
        <w:t>2020</w:t>
      </w:r>
      <w:r>
        <w:rPr>
          <w:rFonts w:eastAsiaTheme="minorEastAsia" w:hAnsiTheme="minorEastAsia"/>
          <w:snapToGrid w:val="0"/>
          <w:kern w:val="0"/>
          <w:sz w:val="24"/>
        </w:rPr>
        <w:t>年</w:t>
      </w:r>
      <w:r>
        <w:rPr>
          <w:rFonts w:eastAsiaTheme="minorEastAsia"/>
          <w:snapToGrid w:val="0"/>
          <w:kern w:val="0"/>
          <w:sz w:val="24"/>
        </w:rPr>
        <w:t>9</w:t>
      </w:r>
      <w:r>
        <w:rPr>
          <w:rFonts w:eastAsiaTheme="minorEastAsia" w:hAnsiTheme="minorEastAsia"/>
          <w:snapToGrid w:val="0"/>
          <w:kern w:val="0"/>
          <w:sz w:val="24"/>
        </w:rPr>
        <w:t>月</w:t>
      </w:r>
      <w:r>
        <w:rPr>
          <w:rFonts w:eastAsiaTheme="minorEastAsia"/>
          <w:snapToGrid w:val="0"/>
          <w:kern w:val="0"/>
          <w:sz w:val="24"/>
        </w:rPr>
        <w:t>1</w:t>
      </w:r>
      <w:r>
        <w:rPr>
          <w:rFonts w:eastAsiaTheme="minorEastAsia" w:hAnsiTheme="minorEastAsia"/>
          <w:snapToGrid w:val="0"/>
          <w:kern w:val="0"/>
          <w:sz w:val="24"/>
        </w:rPr>
        <w:t>日</w:t>
      </w:r>
      <w:r>
        <w:rPr>
          <w:rFonts w:eastAsiaTheme="minorEastAsia" w:hAnsiTheme="minorEastAsia" w:hint="eastAsia"/>
          <w:snapToGrid w:val="0"/>
          <w:kern w:val="0"/>
          <w:sz w:val="24"/>
        </w:rPr>
        <w:t>；</w:t>
      </w:r>
    </w:p>
    <w:p w14:paraId="4EEB29B4"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8</w:t>
      </w:r>
      <w:r>
        <w:rPr>
          <w:rFonts w:eastAsiaTheme="minorEastAsia" w:hAnsiTheme="minorEastAsia"/>
          <w:snapToGrid w:val="0"/>
          <w:kern w:val="0"/>
          <w:sz w:val="24"/>
        </w:rPr>
        <w:t>）</w:t>
      </w:r>
      <w:r>
        <w:rPr>
          <w:snapToGrid w:val="0"/>
          <w:kern w:val="0"/>
          <w:sz w:val="24"/>
        </w:rPr>
        <w:t>《中华人民共和国清洁生产促进法》，</w:t>
      </w:r>
      <w:r>
        <w:rPr>
          <w:snapToGrid w:val="0"/>
          <w:kern w:val="0"/>
          <w:sz w:val="24"/>
        </w:rPr>
        <w:t>2012</w:t>
      </w:r>
      <w:r>
        <w:rPr>
          <w:snapToGrid w:val="0"/>
          <w:kern w:val="0"/>
          <w:sz w:val="24"/>
        </w:rPr>
        <w:t>年</w:t>
      </w:r>
      <w:r>
        <w:rPr>
          <w:snapToGrid w:val="0"/>
          <w:kern w:val="0"/>
          <w:sz w:val="24"/>
        </w:rPr>
        <w:t>7</w:t>
      </w:r>
      <w:r>
        <w:rPr>
          <w:snapToGrid w:val="0"/>
          <w:kern w:val="0"/>
          <w:sz w:val="24"/>
        </w:rPr>
        <w:t>月</w:t>
      </w:r>
      <w:r>
        <w:rPr>
          <w:snapToGrid w:val="0"/>
          <w:kern w:val="0"/>
          <w:sz w:val="24"/>
        </w:rPr>
        <w:t>1</w:t>
      </w:r>
      <w:r>
        <w:rPr>
          <w:snapToGrid w:val="0"/>
          <w:kern w:val="0"/>
          <w:sz w:val="24"/>
        </w:rPr>
        <w:t>日</w:t>
      </w:r>
      <w:r>
        <w:rPr>
          <w:rFonts w:eastAsiaTheme="minorEastAsia" w:hAnsiTheme="minorEastAsia" w:hint="eastAsia"/>
          <w:snapToGrid w:val="0"/>
          <w:kern w:val="0"/>
          <w:sz w:val="24"/>
        </w:rPr>
        <w:t>；</w:t>
      </w:r>
    </w:p>
    <w:p w14:paraId="2EABC98A"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hint="eastAsia"/>
          <w:snapToGrid w:val="0"/>
          <w:kern w:val="0"/>
          <w:sz w:val="24"/>
        </w:rPr>
        <w:t>（</w:t>
      </w:r>
      <w:r>
        <w:rPr>
          <w:rFonts w:eastAsiaTheme="minorEastAsia" w:hAnsiTheme="minorEastAsia" w:hint="eastAsia"/>
          <w:snapToGrid w:val="0"/>
          <w:kern w:val="0"/>
          <w:sz w:val="24"/>
        </w:rPr>
        <w:t>9</w:t>
      </w:r>
      <w:r>
        <w:rPr>
          <w:rFonts w:eastAsiaTheme="minorEastAsia" w:hAnsiTheme="minorEastAsia" w:hint="eastAsia"/>
          <w:snapToGrid w:val="0"/>
          <w:kern w:val="0"/>
          <w:sz w:val="24"/>
        </w:rPr>
        <w:t>）《中华人民共和国动物防疫法</w:t>
      </w:r>
      <w:r>
        <w:rPr>
          <w:rFonts w:eastAsiaTheme="minorEastAsia" w:hAnsiTheme="minorEastAsia"/>
          <w:snapToGrid w:val="0"/>
          <w:kern w:val="0"/>
          <w:sz w:val="24"/>
        </w:rPr>
        <w:t>》</w:t>
      </w:r>
      <w:r>
        <w:rPr>
          <w:rFonts w:eastAsiaTheme="minorEastAsia" w:hAnsiTheme="minorEastAsia" w:hint="eastAsia"/>
          <w:snapToGrid w:val="0"/>
          <w:kern w:val="0"/>
          <w:sz w:val="24"/>
        </w:rPr>
        <w:t>，</w:t>
      </w:r>
      <w:r>
        <w:rPr>
          <w:rFonts w:eastAsiaTheme="minorEastAsia" w:hAnsiTheme="minorEastAsia"/>
          <w:snapToGrid w:val="0"/>
          <w:kern w:val="0"/>
          <w:sz w:val="24"/>
        </w:rPr>
        <w:t>2021</w:t>
      </w:r>
      <w:r>
        <w:rPr>
          <w:rFonts w:eastAsiaTheme="minorEastAsia" w:hAnsiTheme="minorEastAsia" w:hint="eastAsia"/>
          <w:snapToGrid w:val="0"/>
          <w:kern w:val="0"/>
          <w:sz w:val="24"/>
        </w:rPr>
        <w:t>年</w:t>
      </w:r>
      <w:r>
        <w:rPr>
          <w:rFonts w:eastAsiaTheme="minorEastAsia" w:hAnsiTheme="minorEastAsia"/>
          <w:snapToGrid w:val="0"/>
          <w:kern w:val="0"/>
          <w:sz w:val="24"/>
        </w:rPr>
        <w:t>1</w:t>
      </w:r>
      <w:r>
        <w:rPr>
          <w:rFonts w:eastAsiaTheme="minorEastAsia" w:hAnsiTheme="minorEastAsia" w:hint="eastAsia"/>
          <w:snapToGrid w:val="0"/>
          <w:kern w:val="0"/>
          <w:sz w:val="24"/>
        </w:rPr>
        <w:t>月</w:t>
      </w:r>
      <w:r>
        <w:rPr>
          <w:rFonts w:eastAsiaTheme="minorEastAsia" w:hAnsiTheme="minorEastAsia"/>
          <w:snapToGrid w:val="0"/>
          <w:kern w:val="0"/>
          <w:sz w:val="24"/>
        </w:rPr>
        <w:t>22</w:t>
      </w:r>
      <w:r>
        <w:rPr>
          <w:rFonts w:eastAsiaTheme="minorEastAsia" w:hAnsiTheme="minorEastAsia"/>
          <w:snapToGrid w:val="0"/>
          <w:kern w:val="0"/>
          <w:sz w:val="24"/>
        </w:rPr>
        <w:t>日</w:t>
      </w:r>
      <w:r>
        <w:rPr>
          <w:rFonts w:eastAsiaTheme="minorEastAsia" w:hAnsiTheme="minorEastAsia" w:hint="eastAsia"/>
          <w:snapToGrid w:val="0"/>
          <w:kern w:val="0"/>
          <w:sz w:val="24"/>
        </w:rPr>
        <w:t>。</w:t>
      </w:r>
    </w:p>
    <w:p w14:paraId="0F5F833C"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2.1.</w:t>
      </w:r>
      <w:r>
        <w:rPr>
          <w:rFonts w:ascii="Times New Roman" w:eastAsia="黑体" w:hAnsi="Times New Roman" w:cs="Times New Roman" w:hint="eastAsia"/>
          <w:bCs/>
          <w:sz w:val="28"/>
          <w:szCs w:val="28"/>
        </w:rPr>
        <w:t>2</w:t>
      </w:r>
      <w:r>
        <w:rPr>
          <w:rFonts w:ascii="Times New Roman" w:eastAsia="黑体" w:hAnsi="Times New Roman" w:cs="Times New Roman" w:hint="eastAsia"/>
          <w:bCs/>
          <w:sz w:val="28"/>
          <w:szCs w:val="28"/>
        </w:rPr>
        <w:t>行政法规及部门规章</w:t>
      </w:r>
    </w:p>
    <w:p w14:paraId="5E3A4EF1" w14:textId="77777777" w:rsidR="00B14D53" w:rsidRDefault="00000000">
      <w:pPr>
        <w:spacing w:line="360" w:lineRule="auto"/>
        <w:ind w:firstLineChars="200" w:firstLine="480"/>
        <w:contextualSpacing/>
        <w:rPr>
          <w:rFonts w:eastAsiaTheme="minorEastAsia" w:hAnsiTheme="minorEastAsia" w:hint="eastAsia"/>
          <w:bCs/>
          <w:snapToGrid w:val="0"/>
          <w:kern w:val="0"/>
          <w:sz w:val="24"/>
        </w:rPr>
      </w:pPr>
      <w:r>
        <w:rPr>
          <w:rFonts w:eastAsiaTheme="minorEastAsia" w:hAnsiTheme="minorEastAsia" w:hint="eastAsia"/>
          <w:bCs/>
          <w:snapToGrid w:val="0"/>
          <w:kern w:val="0"/>
          <w:sz w:val="24"/>
        </w:rPr>
        <w:t>（</w:t>
      </w:r>
      <w:r>
        <w:rPr>
          <w:rFonts w:eastAsiaTheme="minorEastAsia" w:hAnsiTheme="minorEastAsia"/>
          <w:bCs/>
          <w:snapToGrid w:val="0"/>
          <w:kern w:val="0"/>
          <w:sz w:val="24"/>
        </w:rPr>
        <w:t>1</w:t>
      </w:r>
      <w:r>
        <w:rPr>
          <w:rFonts w:eastAsiaTheme="minorEastAsia" w:hAnsiTheme="minorEastAsia" w:hint="eastAsia"/>
          <w:bCs/>
          <w:snapToGrid w:val="0"/>
          <w:kern w:val="0"/>
          <w:sz w:val="24"/>
        </w:rPr>
        <w:t>）《建设项目环境保护管理条例》（国务院令第</w:t>
      </w:r>
      <w:r>
        <w:rPr>
          <w:rFonts w:eastAsiaTheme="minorEastAsia" w:hAnsiTheme="minorEastAsia" w:hint="eastAsia"/>
          <w:bCs/>
          <w:snapToGrid w:val="0"/>
          <w:kern w:val="0"/>
          <w:sz w:val="24"/>
        </w:rPr>
        <w:t>682</w:t>
      </w:r>
      <w:r>
        <w:rPr>
          <w:rFonts w:eastAsiaTheme="minorEastAsia" w:hAnsiTheme="minorEastAsia" w:hint="eastAsia"/>
          <w:bCs/>
          <w:snapToGrid w:val="0"/>
          <w:kern w:val="0"/>
          <w:sz w:val="24"/>
        </w:rPr>
        <w:t>号），</w:t>
      </w:r>
      <w:r>
        <w:rPr>
          <w:rFonts w:eastAsiaTheme="minorEastAsia" w:hAnsiTheme="minorEastAsia"/>
          <w:bCs/>
          <w:snapToGrid w:val="0"/>
          <w:kern w:val="0"/>
          <w:sz w:val="24"/>
        </w:rPr>
        <w:t>2017</w:t>
      </w:r>
      <w:r>
        <w:rPr>
          <w:rFonts w:eastAsiaTheme="minorEastAsia" w:hAnsiTheme="minorEastAsia"/>
          <w:bCs/>
          <w:snapToGrid w:val="0"/>
          <w:kern w:val="0"/>
          <w:sz w:val="24"/>
        </w:rPr>
        <w:t>年</w:t>
      </w:r>
      <w:r>
        <w:rPr>
          <w:rFonts w:eastAsiaTheme="minorEastAsia" w:hAnsiTheme="minorEastAsia"/>
          <w:bCs/>
          <w:snapToGrid w:val="0"/>
          <w:kern w:val="0"/>
          <w:sz w:val="24"/>
        </w:rPr>
        <w:t>7</w:t>
      </w:r>
      <w:r>
        <w:rPr>
          <w:rFonts w:eastAsiaTheme="minorEastAsia" w:hAnsiTheme="minorEastAsia"/>
          <w:bCs/>
          <w:snapToGrid w:val="0"/>
          <w:kern w:val="0"/>
          <w:sz w:val="24"/>
        </w:rPr>
        <w:t>月</w:t>
      </w:r>
      <w:r>
        <w:rPr>
          <w:rFonts w:eastAsiaTheme="minorEastAsia" w:hAnsiTheme="minorEastAsia"/>
          <w:bCs/>
          <w:snapToGrid w:val="0"/>
          <w:kern w:val="0"/>
          <w:sz w:val="24"/>
        </w:rPr>
        <w:t>16</w:t>
      </w:r>
      <w:r>
        <w:rPr>
          <w:rFonts w:eastAsiaTheme="minorEastAsia" w:hAnsiTheme="minorEastAsia"/>
          <w:bCs/>
          <w:snapToGrid w:val="0"/>
          <w:kern w:val="0"/>
          <w:sz w:val="24"/>
        </w:rPr>
        <w:t>日</w:t>
      </w:r>
      <w:r>
        <w:rPr>
          <w:rFonts w:eastAsiaTheme="minorEastAsia" w:hAnsiTheme="minorEastAsia" w:hint="eastAsia"/>
          <w:bCs/>
          <w:snapToGrid w:val="0"/>
          <w:kern w:val="0"/>
          <w:sz w:val="24"/>
        </w:rPr>
        <w:t>；</w:t>
      </w:r>
    </w:p>
    <w:p w14:paraId="7DF34B97"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2</w:t>
      </w:r>
      <w:r>
        <w:rPr>
          <w:rFonts w:eastAsiaTheme="minorEastAsia" w:hAnsiTheme="minorEastAsia"/>
          <w:snapToGrid w:val="0"/>
          <w:kern w:val="0"/>
          <w:sz w:val="24"/>
        </w:rPr>
        <w:t>）《建设项目环境影响评价分类管理名录》（</w:t>
      </w:r>
      <w:r>
        <w:rPr>
          <w:rFonts w:eastAsiaTheme="minorEastAsia" w:hAnsiTheme="minorEastAsia"/>
          <w:snapToGrid w:val="0"/>
          <w:kern w:val="0"/>
          <w:sz w:val="24"/>
        </w:rPr>
        <w:t>2021</w:t>
      </w:r>
      <w:r>
        <w:rPr>
          <w:rFonts w:eastAsiaTheme="minorEastAsia" w:hAnsiTheme="minorEastAsia" w:hint="eastAsia"/>
          <w:snapToGrid w:val="0"/>
          <w:kern w:val="0"/>
          <w:sz w:val="24"/>
        </w:rPr>
        <w:t>年版），</w:t>
      </w:r>
      <w:r>
        <w:rPr>
          <w:rFonts w:eastAsiaTheme="minorEastAsia" w:hAnsiTheme="minorEastAsia" w:hint="eastAsia"/>
          <w:snapToGrid w:val="0"/>
          <w:kern w:val="0"/>
          <w:sz w:val="24"/>
        </w:rPr>
        <w:t>2021</w:t>
      </w:r>
      <w:r>
        <w:rPr>
          <w:rFonts w:eastAsiaTheme="minorEastAsia" w:hAnsiTheme="minorEastAsia" w:hint="eastAsia"/>
          <w:snapToGrid w:val="0"/>
          <w:kern w:val="0"/>
          <w:sz w:val="24"/>
        </w:rPr>
        <w:t>年</w:t>
      </w:r>
      <w:r>
        <w:rPr>
          <w:rFonts w:eastAsiaTheme="minorEastAsia" w:hAnsiTheme="minorEastAsia" w:hint="eastAsia"/>
          <w:snapToGrid w:val="0"/>
          <w:kern w:val="0"/>
          <w:sz w:val="24"/>
        </w:rPr>
        <w:t>01</w:t>
      </w:r>
      <w:r>
        <w:rPr>
          <w:rFonts w:eastAsiaTheme="minorEastAsia" w:hAnsiTheme="minorEastAsia" w:hint="eastAsia"/>
          <w:snapToGrid w:val="0"/>
          <w:kern w:val="0"/>
          <w:sz w:val="24"/>
        </w:rPr>
        <w:t>月</w:t>
      </w:r>
      <w:r>
        <w:rPr>
          <w:rFonts w:eastAsiaTheme="minorEastAsia" w:hAnsiTheme="minorEastAsia" w:hint="eastAsia"/>
          <w:snapToGrid w:val="0"/>
          <w:kern w:val="0"/>
          <w:sz w:val="24"/>
        </w:rPr>
        <w:t>01</w:t>
      </w:r>
      <w:r>
        <w:rPr>
          <w:rFonts w:eastAsiaTheme="minorEastAsia" w:hAnsiTheme="minorEastAsia" w:hint="eastAsia"/>
          <w:snapToGrid w:val="0"/>
          <w:kern w:val="0"/>
          <w:sz w:val="24"/>
        </w:rPr>
        <w:t>日；</w:t>
      </w:r>
    </w:p>
    <w:p w14:paraId="79A7CA1A"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3</w:t>
      </w:r>
      <w:r>
        <w:rPr>
          <w:rFonts w:eastAsiaTheme="minorEastAsia" w:hAnsiTheme="minorEastAsia"/>
          <w:snapToGrid w:val="0"/>
          <w:kern w:val="0"/>
          <w:sz w:val="24"/>
        </w:rPr>
        <w:t>）《环境影响评价公众参与办法》（生态环境部令第</w:t>
      </w:r>
      <w:r>
        <w:rPr>
          <w:rFonts w:eastAsiaTheme="minorEastAsia" w:hAnsiTheme="minorEastAsia"/>
          <w:snapToGrid w:val="0"/>
          <w:kern w:val="0"/>
          <w:sz w:val="24"/>
        </w:rPr>
        <w:t>4</w:t>
      </w:r>
      <w:r>
        <w:rPr>
          <w:rFonts w:eastAsiaTheme="minorEastAsia" w:hAnsiTheme="minorEastAsia"/>
          <w:snapToGrid w:val="0"/>
          <w:kern w:val="0"/>
          <w:sz w:val="24"/>
        </w:rPr>
        <w:t>号），</w:t>
      </w:r>
      <w:r>
        <w:rPr>
          <w:rFonts w:eastAsiaTheme="minorEastAsia" w:hAnsiTheme="minorEastAsia"/>
          <w:snapToGrid w:val="0"/>
          <w:kern w:val="0"/>
          <w:sz w:val="24"/>
        </w:rPr>
        <w:t>2019</w:t>
      </w:r>
      <w:r>
        <w:rPr>
          <w:rFonts w:eastAsiaTheme="minorEastAsia" w:hAnsiTheme="minorEastAsia"/>
          <w:snapToGrid w:val="0"/>
          <w:kern w:val="0"/>
          <w:sz w:val="24"/>
        </w:rPr>
        <w:t>年</w:t>
      </w:r>
      <w:r>
        <w:rPr>
          <w:rFonts w:eastAsiaTheme="minorEastAsia" w:hAnsiTheme="minorEastAsia"/>
          <w:snapToGrid w:val="0"/>
          <w:kern w:val="0"/>
          <w:sz w:val="24"/>
        </w:rPr>
        <w:t>1</w:t>
      </w:r>
      <w:r>
        <w:rPr>
          <w:rFonts w:eastAsiaTheme="minorEastAsia" w:hAnsiTheme="minorEastAsia"/>
          <w:snapToGrid w:val="0"/>
          <w:kern w:val="0"/>
          <w:sz w:val="24"/>
        </w:rPr>
        <w:t>月</w:t>
      </w:r>
      <w:r>
        <w:rPr>
          <w:rFonts w:eastAsiaTheme="minorEastAsia" w:hAnsiTheme="minorEastAsia"/>
          <w:snapToGrid w:val="0"/>
          <w:kern w:val="0"/>
          <w:sz w:val="24"/>
        </w:rPr>
        <w:t>1</w:t>
      </w:r>
      <w:r>
        <w:rPr>
          <w:rFonts w:eastAsiaTheme="minorEastAsia" w:hAnsiTheme="minorEastAsia"/>
          <w:snapToGrid w:val="0"/>
          <w:kern w:val="0"/>
          <w:sz w:val="24"/>
        </w:rPr>
        <w:t>日；</w:t>
      </w:r>
    </w:p>
    <w:p w14:paraId="3501372A"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4</w:t>
      </w:r>
      <w:r>
        <w:rPr>
          <w:rFonts w:eastAsiaTheme="minorEastAsia" w:hAnsiTheme="minorEastAsia"/>
          <w:snapToGrid w:val="0"/>
          <w:kern w:val="0"/>
          <w:sz w:val="24"/>
        </w:rPr>
        <w:t>）《产业结构调整指导目录</w:t>
      </w:r>
      <w:r>
        <w:rPr>
          <w:rFonts w:eastAsiaTheme="minorEastAsia" w:hAnsiTheme="minorEastAsia" w:hint="eastAsia"/>
          <w:snapToGrid w:val="0"/>
          <w:kern w:val="0"/>
          <w:sz w:val="24"/>
        </w:rPr>
        <w:t>（</w:t>
      </w:r>
      <w:r>
        <w:rPr>
          <w:rFonts w:eastAsiaTheme="minorEastAsia" w:hAnsiTheme="minorEastAsia"/>
          <w:snapToGrid w:val="0"/>
          <w:kern w:val="0"/>
          <w:sz w:val="24"/>
        </w:rPr>
        <w:t>20</w:t>
      </w:r>
      <w:r>
        <w:rPr>
          <w:rFonts w:eastAsiaTheme="minorEastAsia" w:hAnsiTheme="minorEastAsia" w:hint="eastAsia"/>
          <w:snapToGrid w:val="0"/>
          <w:kern w:val="0"/>
          <w:sz w:val="24"/>
        </w:rPr>
        <w:t>24</w:t>
      </w:r>
      <w:r>
        <w:rPr>
          <w:rFonts w:eastAsiaTheme="minorEastAsia" w:hAnsiTheme="minorEastAsia"/>
          <w:snapToGrid w:val="0"/>
          <w:kern w:val="0"/>
          <w:sz w:val="24"/>
        </w:rPr>
        <w:t>年本</w:t>
      </w:r>
      <w:r>
        <w:rPr>
          <w:rFonts w:eastAsiaTheme="minorEastAsia" w:hAnsiTheme="minorEastAsia" w:hint="eastAsia"/>
          <w:snapToGrid w:val="0"/>
          <w:kern w:val="0"/>
          <w:sz w:val="24"/>
        </w:rPr>
        <w:t>）</w:t>
      </w:r>
      <w:r>
        <w:rPr>
          <w:rFonts w:eastAsiaTheme="minorEastAsia" w:hAnsiTheme="minorEastAsia"/>
          <w:snapToGrid w:val="0"/>
          <w:kern w:val="0"/>
          <w:sz w:val="24"/>
        </w:rPr>
        <w:t>》；</w:t>
      </w:r>
    </w:p>
    <w:p w14:paraId="0AAE1982"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5</w:t>
      </w:r>
      <w:r>
        <w:rPr>
          <w:rFonts w:eastAsiaTheme="minorEastAsia" w:hAnsiTheme="minorEastAsia"/>
          <w:snapToGrid w:val="0"/>
          <w:kern w:val="0"/>
          <w:sz w:val="24"/>
        </w:rPr>
        <w:t>）《关于进一步加强环境影响评价管理防范环境风险的通知》（环发</w:t>
      </w:r>
      <w:r>
        <w:rPr>
          <w:rFonts w:eastAsiaTheme="minorEastAsia" w:hAnsiTheme="minorEastAsia"/>
          <w:snapToGrid w:val="0"/>
          <w:kern w:val="0"/>
          <w:sz w:val="24"/>
        </w:rPr>
        <w:t>[2012]77</w:t>
      </w:r>
      <w:r>
        <w:rPr>
          <w:rFonts w:eastAsiaTheme="minorEastAsia" w:hAnsiTheme="minorEastAsia"/>
          <w:snapToGrid w:val="0"/>
          <w:kern w:val="0"/>
          <w:sz w:val="24"/>
        </w:rPr>
        <w:t>号</w:t>
      </w:r>
      <w:r>
        <w:rPr>
          <w:rFonts w:eastAsiaTheme="minorEastAsia" w:hAnsiTheme="minorEastAsia" w:hint="eastAsia"/>
          <w:snapToGrid w:val="0"/>
          <w:kern w:val="0"/>
          <w:sz w:val="24"/>
        </w:rPr>
        <w:t>）</w:t>
      </w:r>
      <w:r>
        <w:rPr>
          <w:rFonts w:eastAsiaTheme="minorEastAsia" w:hAnsiTheme="minorEastAsia"/>
          <w:snapToGrid w:val="0"/>
          <w:kern w:val="0"/>
          <w:sz w:val="24"/>
        </w:rPr>
        <w:t>；</w:t>
      </w:r>
    </w:p>
    <w:p w14:paraId="54153C22"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6</w:t>
      </w:r>
      <w:r>
        <w:rPr>
          <w:rFonts w:eastAsiaTheme="minorEastAsia" w:hAnsiTheme="minorEastAsia" w:hint="eastAsia"/>
          <w:snapToGrid w:val="0"/>
          <w:kern w:val="0"/>
          <w:sz w:val="24"/>
        </w:rPr>
        <w:t>）</w:t>
      </w:r>
      <w:r>
        <w:rPr>
          <w:rFonts w:eastAsiaTheme="minorEastAsia" w:hAnsiTheme="minorEastAsia"/>
          <w:snapToGrid w:val="0"/>
          <w:kern w:val="0"/>
          <w:sz w:val="24"/>
        </w:rPr>
        <w:t>《关于切实加强风险防范严格环境影响评价管理的通知》</w:t>
      </w:r>
      <w:r>
        <w:rPr>
          <w:rFonts w:eastAsiaTheme="minorEastAsia" w:hAnsiTheme="minorEastAsia" w:hint="eastAsia"/>
          <w:snapToGrid w:val="0"/>
          <w:kern w:val="0"/>
          <w:sz w:val="24"/>
        </w:rPr>
        <w:t>（</w:t>
      </w:r>
      <w:r>
        <w:rPr>
          <w:rFonts w:eastAsiaTheme="minorEastAsia" w:hAnsiTheme="minorEastAsia"/>
          <w:snapToGrid w:val="0"/>
          <w:kern w:val="0"/>
          <w:sz w:val="24"/>
        </w:rPr>
        <w:t>环发</w:t>
      </w:r>
      <w:r>
        <w:rPr>
          <w:rFonts w:eastAsiaTheme="minorEastAsia" w:hAnsiTheme="minorEastAsia"/>
          <w:snapToGrid w:val="0"/>
          <w:kern w:val="0"/>
          <w:sz w:val="24"/>
        </w:rPr>
        <w:t>[2012]98</w:t>
      </w:r>
      <w:r>
        <w:rPr>
          <w:rFonts w:eastAsiaTheme="minorEastAsia" w:hAnsiTheme="minorEastAsia"/>
          <w:snapToGrid w:val="0"/>
          <w:kern w:val="0"/>
          <w:sz w:val="24"/>
        </w:rPr>
        <w:t>号</w:t>
      </w:r>
      <w:r>
        <w:rPr>
          <w:rFonts w:eastAsiaTheme="minorEastAsia" w:hAnsiTheme="minorEastAsia" w:hint="eastAsia"/>
          <w:snapToGrid w:val="0"/>
          <w:kern w:val="0"/>
          <w:sz w:val="24"/>
        </w:rPr>
        <w:t>）</w:t>
      </w:r>
      <w:r>
        <w:rPr>
          <w:rFonts w:eastAsiaTheme="minorEastAsia" w:hAnsiTheme="minorEastAsia"/>
          <w:snapToGrid w:val="0"/>
          <w:kern w:val="0"/>
          <w:sz w:val="24"/>
        </w:rPr>
        <w:t>；</w:t>
      </w:r>
    </w:p>
    <w:p w14:paraId="4DB0CF20"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7</w:t>
      </w:r>
      <w:r>
        <w:rPr>
          <w:rFonts w:eastAsiaTheme="minorEastAsia" w:hAnsiTheme="minorEastAsia"/>
          <w:snapToGrid w:val="0"/>
          <w:kern w:val="0"/>
          <w:sz w:val="24"/>
        </w:rPr>
        <w:t>）《国务院办公厅关于印发控制污染物排放许可制实施方案的通知》（国办发</w:t>
      </w:r>
      <w:r>
        <w:rPr>
          <w:rFonts w:eastAsiaTheme="minorEastAsia" w:hAnsiTheme="minorEastAsia" w:hint="eastAsia"/>
          <w:snapToGrid w:val="0"/>
          <w:kern w:val="0"/>
          <w:sz w:val="24"/>
        </w:rPr>
        <w:t>[</w:t>
      </w:r>
      <w:r>
        <w:rPr>
          <w:rFonts w:eastAsiaTheme="minorEastAsia" w:hAnsiTheme="minorEastAsia"/>
          <w:snapToGrid w:val="0"/>
          <w:kern w:val="0"/>
          <w:sz w:val="24"/>
        </w:rPr>
        <w:t>2016</w:t>
      </w:r>
      <w:r>
        <w:rPr>
          <w:rFonts w:eastAsiaTheme="minorEastAsia" w:hAnsiTheme="minorEastAsia" w:hint="eastAsia"/>
          <w:snapToGrid w:val="0"/>
          <w:kern w:val="0"/>
          <w:sz w:val="24"/>
        </w:rPr>
        <w:t>]</w:t>
      </w:r>
      <w:r>
        <w:rPr>
          <w:rFonts w:eastAsiaTheme="minorEastAsia" w:hAnsiTheme="minorEastAsia"/>
          <w:snapToGrid w:val="0"/>
          <w:kern w:val="0"/>
          <w:sz w:val="24"/>
        </w:rPr>
        <w:t>81</w:t>
      </w:r>
      <w:r>
        <w:rPr>
          <w:rFonts w:eastAsiaTheme="minorEastAsia" w:hAnsiTheme="minorEastAsia"/>
          <w:snapToGrid w:val="0"/>
          <w:kern w:val="0"/>
          <w:sz w:val="24"/>
        </w:rPr>
        <w:t>号）；</w:t>
      </w:r>
    </w:p>
    <w:p w14:paraId="1306D23F"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8</w:t>
      </w:r>
      <w:r>
        <w:rPr>
          <w:rFonts w:eastAsiaTheme="minorEastAsia" w:hAnsiTheme="minorEastAsia"/>
          <w:snapToGrid w:val="0"/>
          <w:kern w:val="0"/>
          <w:sz w:val="24"/>
        </w:rPr>
        <w:t>）《国务院关于落实科学发展观加强环境保护的决定》（国发</w:t>
      </w:r>
      <w:r>
        <w:rPr>
          <w:rFonts w:eastAsiaTheme="minorEastAsia" w:hAnsiTheme="minorEastAsia"/>
          <w:snapToGrid w:val="0"/>
          <w:kern w:val="0"/>
          <w:sz w:val="24"/>
        </w:rPr>
        <w:t>[2005]39</w:t>
      </w:r>
      <w:r>
        <w:rPr>
          <w:rFonts w:eastAsiaTheme="minorEastAsia" w:hAnsiTheme="minorEastAsia"/>
          <w:snapToGrid w:val="0"/>
          <w:kern w:val="0"/>
          <w:sz w:val="24"/>
        </w:rPr>
        <w:t>号）；</w:t>
      </w:r>
    </w:p>
    <w:p w14:paraId="07BC89A4"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9</w:t>
      </w:r>
      <w:r>
        <w:rPr>
          <w:rFonts w:eastAsiaTheme="minorEastAsia" w:hAnsiTheme="minorEastAsia"/>
          <w:snapToGrid w:val="0"/>
          <w:kern w:val="0"/>
          <w:sz w:val="24"/>
        </w:rPr>
        <w:t>）《关于做好环境影响评价制度与排污许可制衔接相关工作的通知》（环办环评</w:t>
      </w:r>
      <w:r>
        <w:rPr>
          <w:rFonts w:eastAsiaTheme="minorEastAsia" w:hAnsiTheme="minorEastAsia"/>
          <w:snapToGrid w:val="0"/>
          <w:kern w:val="0"/>
          <w:sz w:val="24"/>
        </w:rPr>
        <w:t>[2017]84</w:t>
      </w:r>
      <w:r>
        <w:rPr>
          <w:rFonts w:eastAsiaTheme="minorEastAsia" w:hAnsiTheme="minorEastAsia"/>
          <w:snapToGrid w:val="0"/>
          <w:kern w:val="0"/>
          <w:sz w:val="24"/>
        </w:rPr>
        <w:t>号）；</w:t>
      </w:r>
    </w:p>
    <w:p w14:paraId="66F90861"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bookmarkStart w:id="31" w:name="_Hlk522443451"/>
      <w:r>
        <w:rPr>
          <w:rFonts w:eastAsiaTheme="minorEastAsia" w:hAnsiTheme="minorEastAsia"/>
          <w:snapToGrid w:val="0"/>
          <w:kern w:val="0"/>
          <w:sz w:val="24"/>
        </w:rPr>
        <w:t>（</w:t>
      </w:r>
      <w:r>
        <w:rPr>
          <w:rFonts w:eastAsiaTheme="minorEastAsia" w:hAnsiTheme="minorEastAsia"/>
          <w:snapToGrid w:val="0"/>
          <w:kern w:val="0"/>
          <w:sz w:val="24"/>
        </w:rPr>
        <w:t>10</w:t>
      </w:r>
      <w:r>
        <w:rPr>
          <w:rFonts w:eastAsiaTheme="minorEastAsia" w:hAnsiTheme="minorEastAsia"/>
          <w:snapToGrid w:val="0"/>
          <w:kern w:val="0"/>
          <w:sz w:val="24"/>
        </w:rPr>
        <w:t>）</w:t>
      </w:r>
      <w:bookmarkEnd w:id="31"/>
      <w:r>
        <w:rPr>
          <w:rFonts w:eastAsiaTheme="minorEastAsia" w:hAnsiTheme="minorEastAsia"/>
          <w:snapToGrid w:val="0"/>
          <w:kern w:val="0"/>
          <w:sz w:val="24"/>
        </w:rPr>
        <w:t>《国家突发环境事件应急预案》（</w:t>
      </w:r>
      <w:r>
        <w:rPr>
          <w:rFonts w:eastAsiaTheme="minorEastAsia" w:hAnsiTheme="minorEastAsia" w:hint="eastAsia"/>
          <w:snapToGrid w:val="0"/>
          <w:kern w:val="0"/>
          <w:sz w:val="24"/>
        </w:rPr>
        <w:t>国办函</w:t>
      </w:r>
      <w:r>
        <w:rPr>
          <w:rFonts w:eastAsiaTheme="minorEastAsia" w:hAnsiTheme="minorEastAsia" w:hint="eastAsia"/>
          <w:snapToGrid w:val="0"/>
          <w:kern w:val="0"/>
          <w:sz w:val="24"/>
        </w:rPr>
        <w:t>[2014]119</w:t>
      </w:r>
      <w:r>
        <w:rPr>
          <w:rFonts w:eastAsiaTheme="minorEastAsia" w:hAnsiTheme="minorEastAsia" w:hint="eastAsia"/>
          <w:snapToGrid w:val="0"/>
          <w:kern w:val="0"/>
          <w:sz w:val="24"/>
        </w:rPr>
        <w:t>号</w:t>
      </w:r>
      <w:r>
        <w:rPr>
          <w:rFonts w:eastAsiaTheme="minorEastAsia" w:hAnsiTheme="minorEastAsia"/>
          <w:snapToGrid w:val="0"/>
          <w:kern w:val="0"/>
          <w:sz w:val="24"/>
        </w:rPr>
        <w:t>）</w:t>
      </w:r>
      <w:r>
        <w:rPr>
          <w:rFonts w:eastAsiaTheme="minorEastAsia" w:hAnsiTheme="minorEastAsia" w:hint="eastAsia"/>
          <w:snapToGrid w:val="0"/>
          <w:kern w:val="0"/>
          <w:sz w:val="24"/>
        </w:rPr>
        <w:t>，</w:t>
      </w:r>
      <w:r>
        <w:rPr>
          <w:rFonts w:eastAsiaTheme="minorEastAsia" w:hAnsiTheme="minorEastAsia"/>
          <w:snapToGrid w:val="0"/>
          <w:kern w:val="0"/>
          <w:sz w:val="24"/>
        </w:rPr>
        <w:t>20</w:t>
      </w:r>
      <w:r>
        <w:rPr>
          <w:rFonts w:eastAsiaTheme="minorEastAsia" w:hAnsiTheme="minorEastAsia" w:hint="eastAsia"/>
          <w:snapToGrid w:val="0"/>
          <w:kern w:val="0"/>
          <w:sz w:val="24"/>
        </w:rPr>
        <w:t>14</w:t>
      </w:r>
      <w:r>
        <w:rPr>
          <w:rFonts w:eastAsiaTheme="minorEastAsia" w:hAnsiTheme="minorEastAsia"/>
          <w:snapToGrid w:val="0"/>
          <w:kern w:val="0"/>
          <w:sz w:val="24"/>
        </w:rPr>
        <w:t>年</w:t>
      </w:r>
      <w:r>
        <w:rPr>
          <w:rFonts w:eastAsiaTheme="minorEastAsia" w:hAnsiTheme="minorEastAsia" w:hint="eastAsia"/>
          <w:snapToGrid w:val="0"/>
          <w:kern w:val="0"/>
          <w:sz w:val="24"/>
        </w:rPr>
        <w:t>12</w:t>
      </w:r>
      <w:r>
        <w:rPr>
          <w:rFonts w:eastAsiaTheme="minorEastAsia" w:hAnsiTheme="minorEastAsia"/>
          <w:snapToGrid w:val="0"/>
          <w:kern w:val="0"/>
          <w:sz w:val="24"/>
        </w:rPr>
        <w:t>月</w:t>
      </w:r>
      <w:r>
        <w:rPr>
          <w:rFonts w:eastAsiaTheme="minorEastAsia" w:hAnsiTheme="minorEastAsia"/>
          <w:snapToGrid w:val="0"/>
          <w:kern w:val="0"/>
          <w:sz w:val="24"/>
        </w:rPr>
        <w:t>2</w:t>
      </w:r>
      <w:r>
        <w:rPr>
          <w:rFonts w:eastAsiaTheme="minorEastAsia" w:hAnsiTheme="minorEastAsia" w:hint="eastAsia"/>
          <w:snapToGrid w:val="0"/>
          <w:kern w:val="0"/>
          <w:sz w:val="24"/>
        </w:rPr>
        <w:t>9</w:t>
      </w:r>
      <w:r>
        <w:rPr>
          <w:rFonts w:eastAsiaTheme="minorEastAsia" w:hAnsiTheme="minorEastAsia"/>
          <w:snapToGrid w:val="0"/>
          <w:kern w:val="0"/>
          <w:sz w:val="24"/>
        </w:rPr>
        <w:t>日</w:t>
      </w:r>
      <w:r>
        <w:rPr>
          <w:rFonts w:eastAsiaTheme="minorEastAsia" w:hAnsiTheme="minorEastAsia" w:hint="eastAsia"/>
          <w:snapToGrid w:val="0"/>
          <w:kern w:val="0"/>
          <w:sz w:val="24"/>
        </w:rPr>
        <w:t>；</w:t>
      </w:r>
    </w:p>
    <w:p w14:paraId="7AC36D17"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hint="eastAsia"/>
          <w:snapToGrid w:val="0"/>
          <w:kern w:val="0"/>
          <w:sz w:val="24"/>
        </w:rPr>
        <w:t>（</w:t>
      </w:r>
      <w:r>
        <w:rPr>
          <w:rFonts w:eastAsiaTheme="minorEastAsia" w:hAnsiTheme="minorEastAsia"/>
          <w:snapToGrid w:val="0"/>
          <w:kern w:val="0"/>
          <w:sz w:val="24"/>
        </w:rPr>
        <w:t>11</w:t>
      </w:r>
      <w:r>
        <w:rPr>
          <w:rFonts w:eastAsiaTheme="minorEastAsia" w:hAnsiTheme="minorEastAsia" w:hint="eastAsia"/>
          <w:snapToGrid w:val="0"/>
          <w:kern w:val="0"/>
          <w:sz w:val="24"/>
        </w:rPr>
        <w:t>）</w:t>
      </w:r>
      <w:r>
        <w:rPr>
          <w:rFonts w:eastAsiaTheme="minorEastAsia" w:hAnsiTheme="minorEastAsia"/>
          <w:snapToGrid w:val="0"/>
          <w:kern w:val="0"/>
          <w:sz w:val="24"/>
        </w:rPr>
        <w:t>《</w:t>
      </w:r>
      <w:r>
        <w:rPr>
          <w:rFonts w:eastAsiaTheme="minorEastAsia" w:hAnsiTheme="minorEastAsia" w:hint="eastAsia"/>
          <w:snapToGrid w:val="0"/>
          <w:kern w:val="0"/>
          <w:sz w:val="24"/>
        </w:rPr>
        <w:t>企业事业单位突发环境事件应急预案备案管理办法（试行）</w:t>
      </w:r>
      <w:r>
        <w:rPr>
          <w:rFonts w:eastAsiaTheme="minorEastAsia" w:hAnsiTheme="minorEastAsia"/>
          <w:snapToGrid w:val="0"/>
          <w:kern w:val="0"/>
          <w:sz w:val="24"/>
        </w:rPr>
        <w:t>》（环发</w:t>
      </w:r>
      <w:r>
        <w:rPr>
          <w:rFonts w:eastAsiaTheme="minorEastAsia" w:hAnsiTheme="minorEastAsia" w:hint="eastAsia"/>
          <w:snapToGrid w:val="0"/>
          <w:kern w:val="0"/>
          <w:sz w:val="24"/>
        </w:rPr>
        <w:t>[</w:t>
      </w:r>
      <w:r>
        <w:rPr>
          <w:rFonts w:eastAsiaTheme="minorEastAsia" w:hAnsiTheme="minorEastAsia"/>
          <w:snapToGrid w:val="0"/>
          <w:kern w:val="0"/>
          <w:sz w:val="24"/>
        </w:rPr>
        <w:t>201</w:t>
      </w:r>
      <w:r>
        <w:rPr>
          <w:rFonts w:eastAsiaTheme="minorEastAsia" w:hAnsiTheme="minorEastAsia" w:hint="eastAsia"/>
          <w:snapToGrid w:val="0"/>
          <w:kern w:val="0"/>
          <w:sz w:val="24"/>
        </w:rPr>
        <w:t>5]4</w:t>
      </w:r>
      <w:r>
        <w:rPr>
          <w:rFonts w:eastAsiaTheme="minorEastAsia" w:hAnsiTheme="minorEastAsia"/>
          <w:snapToGrid w:val="0"/>
          <w:kern w:val="0"/>
          <w:sz w:val="24"/>
        </w:rPr>
        <w:t>号）</w:t>
      </w:r>
      <w:r>
        <w:rPr>
          <w:rFonts w:eastAsiaTheme="minorEastAsia" w:hAnsiTheme="minorEastAsia" w:hint="eastAsia"/>
          <w:snapToGrid w:val="0"/>
          <w:kern w:val="0"/>
          <w:sz w:val="24"/>
        </w:rPr>
        <w:t>；</w:t>
      </w:r>
    </w:p>
    <w:p w14:paraId="363D1539"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12</w:t>
      </w:r>
      <w:r>
        <w:rPr>
          <w:rFonts w:eastAsiaTheme="minorEastAsia" w:hAnsiTheme="minorEastAsia"/>
          <w:snapToGrid w:val="0"/>
          <w:kern w:val="0"/>
          <w:sz w:val="24"/>
        </w:rPr>
        <w:t>）《关于印发</w:t>
      </w:r>
      <w:r>
        <w:rPr>
          <w:rFonts w:eastAsiaTheme="minorEastAsia" w:hAnsiTheme="minorEastAsia" w:hint="eastAsia"/>
          <w:snapToGrid w:val="0"/>
          <w:kern w:val="0"/>
          <w:sz w:val="24"/>
        </w:rPr>
        <w:t>〈</w:t>
      </w:r>
      <w:r>
        <w:rPr>
          <w:rFonts w:eastAsiaTheme="minorEastAsia" w:hAnsiTheme="minorEastAsia"/>
          <w:snapToGrid w:val="0"/>
          <w:kern w:val="0"/>
          <w:sz w:val="24"/>
        </w:rPr>
        <w:t>建设项目主要污染物排放总量指标审核及管理暂行办法</w:t>
      </w:r>
      <w:r>
        <w:rPr>
          <w:rFonts w:eastAsiaTheme="minorEastAsia" w:hAnsiTheme="minorEastAsia" w:hint="eastAsia"/>
          <w:snapToGrid w:val="0"/>
          <w:kern w:val="0"/>
          <w:sz w:val="24"/>
        </w:rPr>
        <w:t>〉</w:t>
      </w:r>
      <w:r>
        <w:rPr>
          <w:rFonts w:eastAsiaTheme="minorEastAsia" w:hAnsiTheme="minorEastAsia"/>
          <w:snapToGrid w:val="0"/>
          <w:kern w:val="0"/>
          <w:sz w:val="24"/>
        </w:rPr>
        <w:t>的通知》（环发</w:t>
      </w:r>
      <w:r>
        <w:rPr>
          <w:rFonts w:eastAsiaTheme="minorEastAsia" w:hAnsiTheme="minorEastAsia" w:hint="eastAsia"/>
          <w:snapToGrid w:val="0"/>
          <w:kern w:val="0"/>
          <w:sz w:val="24"/>
        </w:rPr>
        <w:t>[</w:t>
      </w:r>
      <w:r>
        <w:rPr>
          <w:rFonts w:eastAsiaTheme="minorEastAsia" w:hAnsiTheme="minorEastAsia"/>
          <w:snapToGrid w:val="0"/>
          <w:kern w:val="0"/>
          <w:sz w:val="24"/>
        </w:rPr>
        <w:t>2014</w:t>
      </w:r>
      <w:r>
        <w:rPr>
          <w:rFonts w:eastAsiaTheme="minorEastAsia" w:hAnsiTheme="minorEastAsia" w:hint="eastAsia"/>
          <w:snapToGrid w:val="0"/>
          <w:kern w:val="0"/>
          <w:sz w:val="24"/>
        </w:rPr>
        <w:t>]</w:t>
      </w:r>
      <w:r>
        <w:rPr>
          <w:rFonts w:eastAsiaTheme="minorEastAsia" w:hAnsiTheme="minorEastAsia"/>
          <w:snapToGrid w:val="0"/>
          <w:kern w:val="0"/>
          <w:sz w:val="24"/>
        </w:rPr>
        <w:t>197</w:t>
      </w:r>
      <w:r>
        <w:rPr>
          <w:rFonts w:eastAsiaTheme="minorEastAsia" w:hAnsiTheme="minorEastAsia"/>
          <w:snapToGrid w:val="0"/>
          <w:kern w:val="0"/>
          <w:sz w:val="24"/>
        </w:rPr>
        <w:t>号）；</w:t>
      </w:r>
    </w:p>
    <w:p w14:paraId="60640DF0"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13</w:t>
      </w:r>
      <w:r>
        <w:rPr>
          <w:rFonts w:eastAsiaTheme="minorEastAsia" w:hAnsiTheme="minorEastAsia"/>
          <w:snapToGrid w:val="0"/>
          <w:kern w:val="0"/>
          <w:sz w:val="24"/>
        </w:rPr>
        <w:t>）《国务院关于印发水污染防治行动计划的通知》（国发</w:t>
      </w:r>
      <w:r>
        <w:rPr>
          <w:rFonts w:eastAsiaTheme="minorEastAsia" w:hAnsiTheme="minorEastAsia"/>
          <w:snapToGrid w:val="0"/>
          <w:kern w:val="0"/>
          <w:sz w:val="24"/>
        </w:rPr>
        <w:t>[2015]17</w:t>
      </w:r>
      <w:r>
        <w:rPr>
          <w:rFonts w:eastAsiaTheme="minorEastAsia" w:hAnsiTheme="minorEastAsia"/>
          <w:snapToGrid w:val="0"/>
          <w:kern w:val="0"/>
          <w:sz w:val="24"/>
        </w:rPr>
        <w:t>号）；</w:t>
      </w:r>
    </w:p>
    <w:p w14:paraId="79778F0B"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14</w:t>
      </w:r>
      <w:r>
        <w:rPr>
          <w:rFonts w:eastAsiaTheme="minorEastAsia" w:hAnsiTheme="minorEastAsia" w:hint="eastAsia"/>
          <w:snapToGrid w:val="0"/>
          <w:kern w:val="0"/>
          <w:sz w:val="24"/>
        </w:rPr>
        <w:t>）</w:t>
      </w:r>
      <w:r>
        <w:rPr>
          <w:rFonts w:eastAsiaTheme="minorEastAsia" w:hAnsiTheme="minorEastAsia"/>
          <w:snapToGrid w:val="0"/>
          <w:kern w:val="0"/>
          <w:sz w:val="24"/>
        </w:rPr>
        <w:t>《国务院关于印发大气污染防治行动计划的通知》（国发</w:t>
      </w:r>
      <w:r>
        <w:rPr>
          <w:rFonts w:eastAsiaTheme="minorEastAsia" w:hAnsiTheme="minorEastAsia" w:hint="eastAsia"/>
          <w:snapToGrid w:val="0"/>
          <w:kern w:val="0"/>
          <w:sz w:val="24"/>
        </w:rPr>
        <w:t>[</w:t>
      </w:r>
      <w:r>
        <w:rPr>
          <w:rFonts w:eastAsiaTheme="minorEastAsia" w:hAnsiTheme="minorEastAsia"/>
          <w:snapToGrid w:val="0"/>
          <w:kern w:val="0"/>
          <w:sz w:val="24"/>
        </w:rPr>
        <w:t>2013</w:t>
      </w:r>
      <w:r>
        <w:rPr>
          <w:rFonts w:eastAsiaTheme="minorEastAsia" w:hAnsiTheme="minorEastAsia" w:hint="eastAsia"/>
          <w:snapToGrid w:val="0"/>
          <w:kern w:val="0"/>
          <w:sz w:val="24"/>
        </w:rPr>
        <w:t>]</w:t>
      </w:r>
      <w:r>
        <w:rPr>
          <w:rFonts w:eastAsiaTheme="minorEastAsia" w:hAnsiTheme="minorEastAsia"/>
          <w:snapToGrid w:val="0"/>
          <w:kern w:val="0"/>
          <w:sz w:val="24"/>
        </w:rPr>
        <w:t>37</w:t>
      </w:r>
      <w:r>
        <w:rPr>
          <w:rFonts w:eastAsiaTheme="minorEastAsia" w:hAnsiTheme="minorEastAsia"/>
          <w:snapToGrid w:val="0"/>
          <w:kern w:val="0"/>
          <w:sz w:val="24"/>
        </w:rPr>
        <w:t>号）；</w:t>
      </w:r>
    </w:p>
    <w:p w14:paraId="7AB7978C"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hint="eastAsia"/>
          <w:snapToGrid w:val="0"/>
          <w:kern w:val="0"/>
          <w:sz w:val="24"/>
        </w:rPr>
        <w:t>（</w:t>
      </w:r>
      <w:r>
        <w:rPr>
          <w:rFonts w:eastAsiaTheme="minorEastAsia" w:hAnsiTheme="minorEastAsia"/>
          <w:snapToGrid w:val="0"/>
          <w:kern w:val="0"/>
          <w:sz w:val="24"/>
        </w:rPr>
        <w:t>15</w:t>
      </w:r>
      <w:r>
        <w:rPr>
          <w:rFonts w:eastAsiaTheme="minorEastAsia" w:hAnsiTheme="minorEastAsia" w:hint="eastAsia"/>
          <w:snapToGrid w:val="0"/>
          <w:kern w:val="0"/>
          <w:sz w:val="24"/>
        </w:rPr>
        <w:t>）《国务院关于印发土壤污染防治行动计划的通知》（国发</w:t>
      </w:r>
      <w:r>
        <w:rPr>
          <w:rFonts w:eastAsiaTheme="minorEastAsia" w:hAnsiTheme="minorEastAsia" w:hint="eastAsia"/>
          <w:snapToGrid w:val="0"/>
          <w:kern w:val="0"/>
          <w:sz w:val="24"/>
        </w:rPr>
        <w:t>[</w:t>
      </w:r>
      <w:r>
        <w:rPr>
          <w:rFonts w:eastAsiaTheme="minorEastAsia" w:hAnsiTheme="minorEastAsia"/>
          <w:snapToGrid w:val="0"/>
          <w:kern w:val="0"/>
          <w:sz w:val="24"/>
        </w:rPr>
        <w:t>2016</w:t>
      </w:r>
      <w:r>
        <w:rPr>
          <w:rFonts w:eastAsiaTheme="minorEastAsia" w:hAnsiTheme="minorEastAsia" w:hint="eastAsia"/>
          <w:snapToGrid w:val="0"/>
          <w:kern w:val="0"/>
          <w:sz w:val="24"/>
        </w:rPr>
        <w:t>]</w:t>
      </w:r>
      <w:r>
        <w:rPr>
          <w:rFonts w:eastAsiaTheme="minorEastAsia" w:hAnsiTheme="minorEastAsia"/>
          <w:snapToGrid w:val="0"/>
          <w:kern w:val="0"/>
          <w:sz w:val="24"/>
        </w:rPr>
        <w:t>31</w:t>
      </w:r>
      <w:r>
        <w:rPr>
          <w:rFonts w:eastAsiaTheme="minorEastAsia" w:hAnsiTheme="minorEastAsia" w:hint="eastAsia"/>
          <w:snapToGrid w:val="0"/>
          <w:kern w:val="0"/>
          <w:sz w:val="24"/>
        </w:rPr>
        <w:t>号）；</w:t>
      </w:r>
    </w:p>
    <w:p w14:paraId="703DCE1E"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hint="eastAsia"/>
          <w:snapToGrid w:val="0"/>
          <w:kern w:val="0"/>
          <w:sz w:val="24"/>
        </w:rPr>
        <w:t>（</w:t>
      </w:r>
      <w:r>
        <w:rPr>
          <w:rFonts w:eastAsiaTheme="minorEastAsia" w:hAnsiTheme="minorEastAsia" w:hint="eastAsia"/>
          <w:snapToGrid w:val="0"/>
          <w:kern w:val="0"/>
          <w:sz w:val="24"/>
        </w:rPr>
        <w:t>1</w:t>
      </w:r>
      <w:r>
        <w:rPr>
          <w:rFonts w:eastAsiaTheme="minorEastAsia" w:hAnsiTheme="minorEastAsia"/>
          <w:snapToGrid w:val="0"/>
          <w:kern w:val="0"/>
          <w:sz w:val="24"/>
        </w:rPr>
        <w:t>6</w:t>
      </w:r>
      <w:r>
        <w:rPr>
          <w:rFonts w:eastAsiaTheme="minorEastAsia" w:hAnsiTheme="minorEastAsia" w:hint="eastAsia"/>
          <w:snapToGrid w:val="0"/>
          <w:kern w:val="0"/>
          <w:sz w:val="24"/>
        </w:rPr>
        <w:t>）《关于印发〈生态环境分区管控管理暂行规定〉的通知》（环环评〔</w:t>
      </w:r>
      <w:r>
        <w:rPr>
          <w:rFonts w:eastAsiaTheme="minorEastAsia" w:hAnsiTheme="minorEastAsia" w:hint="eastAsia"/>
          <w:snapToGrid w:val="0"/>
          <w:kern w:val="0"/>
          <w:sz w:val="24"/>
        </w:rPr>
        <w:t>2024</w:t>
      </w:r>
      <w:r>
        <w:rPr>
          <w:rFonts w:eastAsiaTheme="minorEastAsia" w:hAnsiTheme="minorEastAsia" w:hint="eastAsia"/>
          <w:snapToGrid w:val="0"/>
          <w:kern w:val="0"/>
          <w:sz w:val="24"/>
        </w:rPr>
        <w:t>〕</w:t>
      </w:r>
      <w:r>
        <w:rPr>
          <w:rFonts w:eastAsiaTheme="minorEastAsia" w:hAnsiTheme="minorEastAsia" w:hint="eastAsia"/>
          <w:snapToGrid w:val="0"/>
          <w:kern w:val="0"/>
          <w:sz w:val="24"/>
        </w:rPr>
        <w:t>41</w:t>
      </w:r>
      <w:r>
        <w:rPr>
          <w:rFonts w:eastAsiaTheme="minorEastAsia" w:hAnsiTheme="minorEastAsia" w:hint="eastAsia"/>
          <w:snapToGrid w:val="0"/>
          <w:kern w:val="0"/>
          <w:sz w:val="24"/>
        </w:rPr>
        <w:t>号），</w:t>
      </w:r>
      <w:r>
        <w:rPr>
          <w:rFonts w:eastAsiaTheme="minorEastAsia" w:hAnsiTheme="minorEastAsia" w:hint="eastAsia"/>
          <w:snapToGrid w:val="0"/>
          <w:kern w:val="0"/>
          <w:sz w:val="24"/>
        </w:rPr>
        <w:t>2</w:t>
      </w:r>
      <w:r>
        <w:rPr>
          <w:rFonts w:eastAsiaTheme="minorEastAsia" w:hAnsiTheme="minorEastAsia"/>
          <w:snapToGrid w:val="0"/>
          <w:kern w:val="0"/>
          <w:sz w:val="24"/>
        </w:rPr>
        <w:t>024</w:t>
      </w:r>
      <w:r>
        <w:rPr>
          <w:rFonts w:eastAsiaTheme="minorEastAsia" w:hAnsiTheme="minorEastAsia" w:hint="eastAsia"/>
          <w:snapToGrid w:val="0"/>
          <w:kern w:val="0"/>
          <w:sz w:val="24"/>
        </w:rPr>
        <w:t>年</w:t>
      </w:r>
      <w:r>
        <w:rPr>
          <w:rFonts w:eastAsiaTheme="minorEastAsia" w:hAnsiTheme="minorEastAsia" w:hint="eastAsia"/>
          <w:snapToGrid w:val="0"/>
          <w:kern w:val="0"/>
          <w:sz w:val="24"/>
        </w:rPr>
        <w:t>7</w:t>
      </w:r>
      <w:r>
        <w:rPr>
          <w:rFonts w:eastAsiaTheme="minorEastAsia" w:hAnsiTheme="minorEastAsia" w:hint="eastAsia"/>
          <w:snapToGrid w:val="0"/>
          <w:kern w:val="0"/>
          <w:sz w:val="24"/>
        </w:rPr>
        <w:t>月</w:t>
      </w:r>
      <w:r>
        <w:rPr>
          <w:rFonts w:eastAsiaTheme="minorEastAsia" w:hAnsiTheme="minorEastAsia" w:hint="eastAsia"/>
          <w:snapToGrid w:val="0"/>
          <w:kern w:val="0"/>
          <w:sz w:val="24"/>
        </w:rPr>
        <w:t>8</w:t>
      </w:r>
      <w:r>
        <w:rPr>
          <w:rFonts w:eastAsiaTheme="minorEastAsia" w:hAnsiTheme="minorEastAsia" w:hint="eastAsia"/>
          <w:snapToGrid w:val="0"/>
          <w:kern w:val="0"/>
          <w:sz w:val="24"/>
        </w:rPr>
        <w:t>日；</w:t>
      </w:r>
    </w:p>
    <w:p w14:paraId="0E194345"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snapToGrid w:val="0"/>
          <w:kern w:val="0"/>
          <w:sz w:val="24"/>
        </w:rPr>
        <w:t>17</w:t>
      </w:r>
      <w:r>
        <w:rPr>
          <w:rFonts w:eastAsiaTheme="minorEastAsia" w:hAnsiTheme="minorEastAsia"/>
          <w:snapToGrid w:val="0"/>
          <w:kern w:val="0"/>
          <w:sz w:val="24"/>
        </w:rPr>
        <w:t>）《国家危险废物名录》（</w:t>
      </w:r>
      <w:r>
        <w:rPr>
          <w:rFonts w:eastAsiaTheme="minorEastAsia" w:hAnsiTheme="minorEastAsia"/>
          <w:snapToGrid w:val="0"/>
          <w:kern w:val="0"/>
          <w:sz w:val="24"/>
        </w:rPr>
        <w:t>202</w:t>
      </w:r>
      <w:r>
        <w:rPr>
          <w:rFonts w:eastAsiaTheme="minorEastAsia" w:hAnsiTheme="minorEastAsia" w:hint="eastAsia"/>
          <w:snapToGrid w:val="0"/>
          <w:kern w:val="0"/>
          <w:sz w:val="24"/>
        </w:rPr>
        <w:t>5</w:t>
      </w:r>
      <w:r>
        <w:rPr>
          <w:rFonts w:eastAsiaTheme="minorEastAsia" w:hAnsiTheme="minorEastAsia"/>
          <w:snapToGrid w:val="0"/>
          <w:kern w:val="0"/>
          <w:sz w:val="24"/>
        </w:rPr>
        <w:t>年版）；</w:t>
      </w:r>
    </w:p>
    <w:p w14:paraId="7A3676F8"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hint="eastAsia"/>
          <w:snapToGrid w:val="0"/>
          <w:kern w:val="0"/>
          <w:sz w:val="24"/>
        </w:rPr>
        <w:t>18</w:t>
      </w:r>
      <w:r>
        <w:rPr>
          <w:rFonts w:eastAsiaTheme="minorEastAsia" w:hAnsiTheme="minorEastAsia"/>
          <w:snapToGrid w:val="0"/>
          <w:kern w:val="0"/>
          <w:sz w:val="24"/>
        </w:rPr>
        <w:t>）</w:t>
      </w:r>
      <w:r>
        <w:rPr>
          <w:rFonts w:eastAsiaTheme="minorEastAsia" w:hAnsiTheme="minorEastAsia" w:hint="eastAsia"/>
          <w:snapToGrid w:val="0"/>
          <w:kern w:val="0"/>
          <w:sz w:val="24"/>
        </w:rPr>
        <w:t>《动物防疫条件审查办法》（</w:t>
      </w:r>
      <w:r>
        <w:rPr>
          <w:rFonts w:eastAsiaTheme="minorEastAsia" w:hAnsiTheme="minorEastAsia" w:hint="eastAsia"/>
          <w:snapToGrid w:val="0"/>
          <w:kern w:val="0"/>
          <w:sz w:val="24"/>
        </w:rPr>
        <w:t>2022</w:t>
      </w:r>
      <w:r>
        <w:rPr>
          <w:rFonts w:eastAsiaTheme="minorEastAsia" w:hAnsiTheme="minorEastAsia" w:hint="eastAsia"/>
          <w:snapToGrid w:val="0"/>
          <w:kern w:val="0"/>
          <w:sz w:val="24"/>
        </w:rPr>
        <w:t>年第</w:t>
      </w:r>
      <w:r>
        <w:rPr>
          <w:rFonts w:eastAsiaTheme="minorEastAsia" w:hAnsiTheme="minorEastAsia" w:hint="eastAsia"/>
          <w:snapToGrid w:val="0"/>
          <w:kern w:val="0"/>
          <w:sz w:val="24"/>
        </w:rPr>
        <w:t>8</w:t>
      </w:r>
      <w:r>
        <w:rPr>
          <w:rFonts w:eastAsiaTheme="minorEastAsia" w:hAnsiTheme="minorEastAsia" w:hint="eastAsia"/>
          <w:snapToGrid w:val="0"/>
          <w:kern w:val="0"/>
          <w:sz w:val="24"/>
        </w:rPr>
        <w:t>号），</w:t>
      </w:r>
      <w:r>
        <w:rPr>
          <w:rFonts w:eastAsiaTheme="minorEastAsia" w:hAnsiTheme="minorEastAsia" w:hint="eastAsia"/>
          <w:snapToGrid w:val="0"/>
          <w:kern w:val="0"/>
          <w:sz w:val="24"/>
        </w:rPr>
        <w:t>2022</w:t>
      </w:r>
      <w:r>
        <w:rPr>
          <w:rFonts w:eastAsiaTheme="minorEastAsia" w:hAnsiTheme="minorEastAsia" w:hint="eastAsia"/>
          <w:snapToGrid w:val="0"/>
          <w:kern w:val="0"/>
          <w:sz w:val="24"/>
        </w:rPr>
        <w:t>年</w:t>
      </w:r>
      <w:r>
        <w:rPr>
          <w:rFonts w:eastAsiaTheme="minorEastAsia" w:hAnsiTheme="minorEastAsia" w:hint="eastAsia"/>
          <w:snapToGrid w:val="0"/>
          <w:kern w:val="0"/>
          <w:sz w:val="24"/>
        </w:rPr>
        <w:t>12</w:t>
      </w:r>
      <w:r>
        <w:rPr>
          <w:rFonts w:eastAsiaTheme="minorEastAsia" w:hAnsiTheme="minorEastAsia" w:hint="eastAsia"/>
          <w:snapToGrid w:val="0"/>
          <w:kern w:val="0"/>
          <w:sz w:val="24"/>
        </w:rPr>
        <w:t>月</w:t>
      </w:r>
      <w:r>
        <w:rPr>
          <w:rFonts w:eastAsiaTheme="minorEastAsia" w:hAnsiTheme="minorEastAsia" w:hint="eastAsia"/>
          <w:snapToGrid w:val="0"/>
          <w:kern w:val="0"/>
          <w:sz w:val="24"/>
        </w:rPr>
        <w:t>1</w:t>
      </w:r>
      <w:r>
        <w:rPr>
          <w:rFonts w:eastAsiaTheme="minorEastAsia" w:hAnsiTheme="minorEastAsia" w:hint="eastAsia"/>
          <w:snapToGrid w:val="0"/>
          <w:kern w:val="0"/>
          <w:sz w:val="24"/>
        </w:rPr>
        <w:t>日；</w:t>
      </w:r>
    </w:p>
    <w:p w14:paraId="167EFE2F"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hAnsiTheme="minorEastAsia" w:hint="eastAsia"/>
          <w:snapToGrid w:val="0"/>
          <w:kern w:val="0"/>
          <w:sz w:val="24"/>
        </w:rPr>
        <w:t>19</w:t>
      </w:r>
      <w:r>
        <w:rPr>
          <w:rFonts w:eastAsiaTheme="minorEastAsia" w:hAnsiTheme="minorEastAsia"/>
          <w:snapToGrid w:val="0"/>
          <w:kern w:val="0"/>
          <w:sz w:val="24"/>
        </w:rPr>
        <w:t>）</w:t>
      </w:r>
      <w:r>
        <w:rPr>
          <w:rFonts w:eastAsiaTheme="minorEastAsia" w:hAnsiTheme="minorEastAsia" w:hint="eastAsia"/>
          <w:snapToGrid w:val="0"/>
          <w:kern w:val="0"/>
          <w:sz w:val="24"/>
        </w:rPr>
        <w:t>《病死畜禽和病害畜禽产品无害化处理管理办法》（农业农村部令</w:t>
      </w:r>
      <w:r>
        <w:rPr>
          <w:rFonts w:eastAsiaTheme="minorEastAsia" w:hAnsiTheme="minorEastAsia" w:hint="eastAsia"/>
          <w:snapToGrid w:val="0"/>
          <w:kern w:val="0"/>
          <w:sz w:val="24"/>
        </w:rPr>
        <w:t>2022</w:t>
      </w:r>
      <w:r>
        <w:rPr>
          <w:rFonts w:eastAsiaTheme="minorEastAsia" w:hAnsiTheme="minorEastAsia" w:hint="eastAsia"/>
          <w:snapToGrid w:val="0"/>
          <w:kern w:val="0"/>
          <w:sz w:val="24"/>
        </w:rPr>
        <w:t>年第</w:t>
      </w:r>
      <w:r>
        <w:rPr>
          <w:rFonts w:eastAsiaTheme="minorEastAsia" w:hAnsiTheme="minorEastAsia" w:hint="eastAsia"/>
          <w:snapToGrid w:val="0"/>
          <w:kern w:val="0"/>
          <w:sz w:val="24"/>
        </w:rPr>
        <w:t>3</w:t>
      </w:r>
      <w:r>
        <w:rPr>
          <w:rFonts w:eastAsiaTheme="minorEastAsia" w:hAnsiTheme="minorEastAsia" w:hint="eastAsia"/>
          <w:snapToGrid w:val="0"/>
          <w:kern w:val="0"/>
          <w:sz w:val="24"/>
        </w:rPr>
        <w:t>号）；</w:t>
      </w:r>
    </w:p>
    <w:p w14:paraId="20EA0EBE" w14:textId="77777777" w:rsidR="00B14D53" w:rsidRDefault="00000000">
      <w:pPr>
        <w:spacing w:line="360" w:lineRule="auto"/>
        <w:ind w:firstLineChars="200" w:firstLine="480"/>
        <w:contextualSpacing/>
        <w:rPr>
          <w:rFonts w:eastAsiaTheme="minorEastAsia" w:hAnsiTheme="minorEastAsia" w:hint="eastAsia"/>
          <w:bCs/>
          <w:sz w:val="24"/>
        </w:rPr>
      </w:pPr>
      <w:r>
        <w:rPr>
          <w:rFonts w:eastAsiaTheme="minorEastAsia" w:hAnsiTheme="minorEastAsia" w:hint="eastAsia"/>
          <w:snapToGrid w:val="0"/>
          <w:kern w:val="0"/>
          <w:sz w:val="24"/>
        </w:rPr>
        <w:t>（</w:t>
      </w:r>
      <w:r>
        <w:rPr>
          <w:rFonts w:eastAsiaTheme="minorEastAsia" w:hAnsiTheme="minorEastAsia" w:hint="eastAsia"/>
          <w:snapToGrid w:val="0"/>
          <w:kern w:val="0"/>
          <w:sz w:val="24"/>
        </w:rPr>
        <w:t>20</w:t>
      </w:r>
      <w:r>
        <w:rPr>
          <w:rFonts w:eastAsiaTheme="minorEastAsia" w:hAnsiTheme="minorEastAsia" w:hint="eastAsia"/>
          <w:snapToGrid w:val="0"/>
          <w:kern w:val="0"/>
          <w:sz w:val="24"/>
        </w:rPr>
        <w:t>）《生猪屠宰管理条例》（中华人民共和国国务院令（</w:t>
      </w:r>
      <w:r>
        <w:rPr>
          <w:rFonts w:eastAsiaTheme="minorEastAsia" w:hAnsiTheme="minorEastAsia" w:hint="eastAsia"/>
          <w:snapToGrid w:val="0"/>
          <w:kern w:val="0"/>
          <w:sz w:val="24"/>
        </w:rPr>
        <w:t>2021</w:t>
      </w:r>
      <w:r>
        <w:rPr>
          <w:rFonts w:eastAsiaTheme="minorEastAsia" w:hAnsiTheme="minorEastAsia" w:hint="eastAsia"/>
          <w:snapToGrid w:val="0"/>
          <w:kern w:val="0"/>
          <w:sz w:val="24"/>
        </w:rPr>
        <w:t>年）第</w:t>
      </w:r>
      <w:r>
        <w:rPr>
          <w:rFonts w:eastAsiaTheme="minorEastAsia" w:hAnsiTheme="minorEastAsia" w:hint="eastAsia"/>
          <w:snapToGrid w:val="0"/>
          <w:kern w:val="0"/>
          <w:sz w:val="24"/>
        </w:rPr>
        <w:t>742</w:t>
      </w:r>
      <w:r>
        <w:rPr>
          <w:rFonts w:eastAsiaTheme="minorEastAsia" w:hAnsiTheme="minorEastAsia" w:hint="eastAsia"/>
          <w:snapToGrid w:val="0"/>
          <w:kern w:val="0"/>
          <w:sz w:val="24"/>
        </w:rPr>
        <w:t>号）。</w:t>
      </w:r>
    </w:p>
    <w:p w14:paraId="4E44554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2" w:name="_Toc114241071"/>
      <w:bookmarkStart w:id="33" w:name="_Toc28786"/>
      <w:r>
        <w:rPr>
          <w:rFonts w:ascii="Times New Roman" w:eastAsia="黑体" w:hAnsi="Times New Roman" w:cs="Times New Roman"/>
          <w:bCs/>
          <w:sz w:val="28"/>
          <w:szCs w:val="28"/>
        </w:rPr>
        <w:t>2.</w:t>
      </w:r>
      <w:r>
        <w:rPr>
          <w:rFonts w:ascii="Times New Roman" w:eastAsia="黑体" w:hAnsi="Times New Roman" w:cs="Times New Roman" w:hint="eastAsia"/>
          <w:bCs/>
          <w:sz w:val="28"/>
          <w:szCs w:val="28"/>
        </w:rPr>
        <w:t>1</w:t>
      </w:r>
      <w:r>
        <w:rPr>
          <w:rFonts w:ascii="Times New Roman" w:eastAsia="黑体" w:hAnsi="Times New Roman" w:cs="Times New Roman"/>
          <w:bCs/>
          <w:sz w:val="28"/>
          <w:szCs w:val="28"/>
        </w:rPr>
        <w:t>.3</w:t>
      </w:r>
      <w:r>
        <w:rPr>
          <w:rFonts w:ascii="Times New Roman" w:eastAsia="黑体" w:hAnsi="Times New Roman" w:cs="Times New Roman"/>
          <w:bCs/>
          <w:sz w:val="28"/>
          <w:szCs w:val="28"/>
        </w:rPr>
        <w:t>地方有关环境保护的规划和规定</w:t>
      </w:r>
      <w:bookmarkEnd w:id="32"/>
      <w:bookmarkEnd w:id="33"/>
    </w:p>
    <w:p w14:paraId="2E8979B6" w14:textId="77777777" w:rsidR="00B14D53" w:rsidRDefault="00000000">
      <w:pPr>
        <w:spacing w:line="360" w:lineRule="auto"/>
        <w:ind w:firstLineChars="200" w:firstLine="480"/>
        <w:contextualSpacing/>
        <w:rPr>
          <w:rFonts w:eastAsiaTheme="minorEastAsia"/>
          <w:bCs/>
          <w:snapToGrid w:val="0"/>
          <w:kern w:val="0"/>
          <w:sz w:val="24"/>
        </w:rPr>
      </w:pPr>
      <w:bookmarkStart w:id="34" w:name="_Hlk44576301"/>
      <w:bookmarkStart w:id="35" w:name="_Hlk47631175"/>
      <w:bookmarkStart w:id="36" w:name="_Hlk43387889"/>
      <w:r>
        <w:rPr>
          <w:rFonts w:eastAsiaTheme="minorEastAsia"/>
          <w:bCs/>
          <w:snapToGrid w:val="0"/>
          <w:kern w:val="0"/>
          <w:sz w:val="24"/>
        </w:rPr>
        <w:t>（</w:t>
      </w:r>
      <w:r>
        <w:rPr>
          <w:rFonts w:eastAsiaTheme="minorEastAsia"/>
          <w:bCs/>
          <w:snapToGrid w:val="0"/>
          <w:kern w:val="0"/>
          <w:sz w:val="24"/>
        </w:rPr>
        <w:t>1</w:t>
      </w:r>
      <w:r>
        <w:rPr>
          <w:rFonts w:eastAsiaTheme="minorEastAsia"/>
          <w:bCs/>
          <w:snapToGrid w:val="0"/>
          <w:kern w:val="0"/>
          <w:sz w:val="24"/>
        </w:rPr>
        <w:t>）《黑龙江省人民政府关于印发黑龙江省主体功能区规划的通知》（黑政发</w:t>
      </w:r>
      <w:r>
        <w:rPr>
          <w:rFonts w:eastAsiaTheme="minorEastAsia"/>
          <w:bCs/>
          <w:snapToGrid w:val="0"/>
          <w:kern w:val="0"/>
          <w:sz w:val="24"/>
        </w:rPr>
        <w:t>[2012]29</w:t>
      </w:r>
      <w:r>
        <w:rPr>
          <w:rFonts w:eastAsiaTheme="minorEastAsia"/>
          <w:bCs/>
          <w:snapToGrid w:val="0"/>
          <w:kern w:val="0"/>
          <w:sz w:val="24"/>
        </w:rPr>
        <w:t>号）；</w:t>
      </w:r>
    </w:p>
    <w:p w14:paraId="6B0F15EE"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bCs/>
          <w:snapToGrid w:val="0"/>
          <w:kern w:val="0"/>
          <w:sz w:val="24"/>
        </w:rPr>
        <w:t>（</w:t>
      </w:r>
      <w:r>
        <w:rPr>
          <w:rFonts w:eastAsiaTheme="minorEastAsia"/>
          <w:bCs/>
          <w:snapToGrid w:val="0"/>
          <w:kern w:val="0"/>
          <w:sz w:val="24"/>
        </w:rPr>
        <w:t>2</w:t>
      </w:r>
      <w:r>
        <w:rPr>
          <w:rFonts w:eastAsiaTheme="minorEastAsia"/>
          <w:bCs/>
          <w:snapToGrid w:val="0"/>
          <w:kern w:val="0"/>
          <w:sz w:val="24"/>
        </w:rPr>
        <w:t>）关于转发《水利部国家发展和改革委员会环境保护部关于印发全国重要江河湖泊水功能区划（</w:t>
      </w:r>
      <w:r>
        <w:rPr>
          <w:rFonts w:eastAsiaTheme="minorEastAsia"/>
          <w:bCs/>
          <w:snapToGrid w:val="0"/>
          <w:kern w:val="0"/>
          <w:sz w:val="24"/>
        </w:rPr>
        <w:t>2011-2030</w:t>
      </w:r>
      <w:r>
        <w:rPr>
          <w:rFonts w:eastAsiaTheme="minorEastAsia"/>
          <w:bCs/>
          <w:snapToGrid w:val="0"/>
          <w:kern w:val="0"/>
          <w:sz w:val="24"/>
        </w:rPr>
        <w:t>年）的通知》的通知，黑水发</w:t>
      </w:r>
      <w:r>
        <w:rPr>
          <w:rFonts w:eastAsiaTheme="minorEastAsia" w:hint="eastAsia"/>
          <w:bCs/>
          <w:snapToGrid w:val="0"/>
          <w:kern w:val="0"/>
          <w:sz w:val="24"/>
        </w:rPr>
        <w:t>[</w:t>
      </w:r>
      <w:r>
        <w:rPr>
          <w:rFonts w:eastAsiaTheme="minorEastAsia"/>
          <w:bCs/>
          <w:snapToGrid w:val="0"/>
          <w:kern w:val="0"/>
          <w:sz w:val="24"/>
        </w:rPr>
        <w:t>2012</w:t>
      </w:r>
      <w:r>
        <w:rPr>
          <w:rFonts w:eastAsiaTheme="minorEastAsia" w:hint="eastAsia"/>
          <w:bCs/>
          <w:snapToGrid w:val="0"/>
          <w:kern w:val="0"/>
          <w:sz w:val="24"/>
        </w:rPr>
        <w:t>]</w:t>
      </w:r>
      <w:r>
        <w:rPr>
          <w:rFonts w:eastAsiaTheme="minorEastAsia"/>
          <w:bCs/>
          <w:snapToGrid w:val="0"/>
          <w:kern w:val="0"/>
          <w:sz w:val="24"/>
        </w:rPr>
        <w:t>359</w:t>
      </w:r>
      <w:r>
        <w:rPr>
          <w:rFonts w:eastAsiaTheme="minorEastAsia"/>
          <w:bCs/>
          <w:snapToGrid w:val="0"/>
          <w:kern w:val="0"/>
          <w:sz w:val="24"/>
        </w:rPr>
        <w:t>号；</w:t>
      </w:r>
    </w:p>
    <w:p w14:paraId="3CC92AFF"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bCs/>
          <w:snapToGrid w:val="0"/>
          <w:kern w:val="0"/>
          <w:sz w:val="24"/>
        </w:rPr>
        <w:t>（</w:t>
      </w:r>
      <w:r>
        <w:rPr>
          <w:rFonts w:eastAsiaTheme="minorEastAsia"/>
          <w:bCs/>
          <w:snapToGrid w:val="0"/>
          <w:kern w:val="0"/>
          <w:sz w:val="24"/>
        </w:rPr>
        <w:t>3</w:t>
      </w:r>
      <w:r>
        <w:rPr>
          <w:rFonts w:eastAsiaTheme="minorEastAsia"/>
          <w:bCs/>
          <w:snapToGrid w:val="0"/>
          <w:kern w:val="0"/>
          <w:sz w:val="24"/>
        </w:rPr>
        <w:t>）《黑龙江省主体功能区规划</w:t>
      </w:r>
      <w:r>
        <w:rPr>
          <w:rFonts w:eastAsiaTheme="minorEastAsia" w:hint="eastAsia"/>
          <w:bCs/>
          <w:snapToGrid w:val="0"/>
          <w:kern w:val="0"/>
          <w:sz w:val="24"/>
        </w:rPr>
        <w:t>》；</w:t>
      </w:r>
    </w:p>
    <w:p w14:paraId="0C8342E5"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hint="eastAsia"/>
          <w:bCs/>
          <w:snapToGrid w:val="0"/>
          <w:kern w:val="0"/>
          <w:sz w:val="24"/>
        </w:rPr>
        <w:t>（</w:t>
      </w:r>
      <w:r>
        <w:rPr>
          <w:rFonts w:eastAsiaTheme="minorEastAsia"/>
          <w:bCs/>
          <w:snapToGrid w:val="0"/>
          <w:kern w:val="0"/>
          <w:sz w:val="24"/>
        </w:rPr>
        <w:t>4</w:t>
      </w:r>
      <w:r>
        <w:rPr>
          <w:rFonts w:eastAsiaTheme="minorEastAsia" w:hint="eastAsia"/>
          <w:bCs/>
          <w:snapToGrid w:val="0"/>
          <w:kern w:val="0"/>
          <w:sz w:val="24"/>
        </w:rPr>
        <w:t>）</w:t>
      </w:r>
      <w:r>
        <w:rPr>
          <w:rFonts w:eastAsiaTheme="minorEastAsia"/>
          <w:bCs/>
          <w:snapToGrid w:val="0"/>
          <w:kern w:val="0"/>
          <w:sz w:val="24"/>
        </w:rPr>
        <w:t>《黑龙江省生态功能区划》</w:t>
      </w:r>
      <w:r>
        <w:rPr>
          <w:rFonts w:eastAsiaTheme="minorEastAsia" w:hint="eastAsia"/>
          <w:bCs/>
          <w:snapToGrid w:val="0"/>
          <w:kern w:val="0"/>
          <w:sz w:val="24"/>
        </w:rPr>
        <w:t>；</w:t>
      </w:r>
    </w:p>
    <w:p w14:paraId="22A9FEE5"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hint="eastAsia"/>
          <w:bCs/>
          <w:snapToGrid w:val="0"/>
          <w:kern w:val="0"/>
          <w:sz w:val="24"/>
        </w:rPr>
        <w:t>（</w:t>
      </w:r>
      <w:r>
        <w:rPr>
          <w:rFonts w:eastAsiaTheme="minorEastAsia"/>
          <w:bCs/>
          <w:snapToGrid w:val="0"/>
          <w:kern w:val="0"/>
          <w:sz w:val="24"/>
        </w:rPr>
        <w:t>5</w:t>
      </w:r>
      <w:r>
        <w:rPr>
          <w:rFonts w:eastAsiaTheme="minorEastAsia" w:hint="eastAsia"/>
          <w:bCs/>
          <w:snapToGrid w:val="0"/>
          <w:kern w:val="0"/>
          <w:sz w:val="24"/>
        </w:rPr>
        <w:t>）</w:t>
      </w:r>
      <w:r>
        <w:rPr>
          <w:rFonts w:eastAsiaTheme="minorEastAsia"/>
          <w:bCs/>
          <w:snapToGrid w:val="0"/>
          <w:kern w:val="0"/>
          <w:sz w:val="24"/>
        </w:rPr>
        <w:t>《</w:t>
      </w:r>
      <w:r>
        <w:rPr>
          <w:rFonts w:eastAsiaTheme="minorEastAsia" w:hint="eastAsia"/>
          <w:bCs/>
          <w:snapToGrid w:val="0"/>
          <w:kern w:val="0"/>
          <w:sz w:val="24"/>
        </w:rPr>
        <w:t>黑龙江省人民政府关于印发黑龙江省“十四五”生态环境保护规划的通知</w:t>
      </w:r>
      <w:r>
        <w:rPr>
          <w:rFonts w:eastAsiaTheme="minorEastAsia"/>
          <w:bCs/>
          <w:snapToGrid w:val="0"/>
          <w:kern w:val="0"/>
          <w:sz w:val="24"/>
        </w:rPr>
        <w:t>》（</w:t>
      </w:r>
      <w:r>
        <w:rPr>
          <w:rFonts w:eastAsiaTheme="minorEastAsia" w:hint="eastAsia"/>
          <w:bCs/>
          <w:snapToGrid w:val="0"/>
          <w:kern w:val="0"/>
          <w:sz w:val="24"/>
        </w:rPr>
        <w:t>黑政规</w:t>
      </w:r>
      <w:r>
        <w:rPr>
          <w:rFonts w:eastAsiaTheme="minorEastAsia" w:hint="eastAsia"/>
          <w:bCs/>
          <w:snapToGrid w:val="0"/>
          <w:kern w:val="0"/>
          <w:sz w:val="24"/>
        </w:rPr>
        <w:t>[2021]18</w:t>
      </w:r>
      <w:r>
        <w:rPr>
          <w:rFonts w:eastAsiaTheme="minorEastAsia" w:hint="eastAsia"/>
          <w:bCs/>
          <w:snapToGrid w:val="0"/>
          <w:kern w:val="0"/>
          <w:sz w:val="24"/>
        </w:rPr>
        <w:t>号</w:t>
      </w:r>
      <w:r>
        <w:rPr>
          <w:rFonts w:eastAsiaTheme="minorEastAsia"/>
          <w:bCs/>
          <w:snapToGrid w:val="0"/>
          <w:kern w:val="0"/>
          <w:sz w:val="24"/>
        </w:rPr>
        <w:t>）</w:t>
      </w:r>
      <w:r>
        <w:rPr>
          <w:rFonts w:eastAsiaTheme="minorEastAsia" w:hint="eastAsia"/>
          <w:bCs/>
          <w:snapToGrid w:val="0"/>
          <w:kern w:val="0"/>
          <w:sz w:val="24"/>
        </w:rPr>
        <w:t>，</w:t>
      </w:r>
      <w:r>
        <w:rPr>
          <w:rFonts w:eastAsiaTheme="minorEastAsia" w:hint="eastAsia"/>
          <w:bCs/>
          <w:snapToGrid w:val="0"/>
          <w:kern w:val="0"/>
          <w:sz w:val="24"/>
        </w:rPr>
        <w:t>2021</w:t>
      </w:r>
      <w:r>
        <w:rPr>
          <w:rFonts w:eastAsiaTheme="minorEastAsia" w:hint="eastAsia"/>
          <w:bCs/>
          <w:snapToGrid w:val="0"/>
          <w:kern w:val="0"/>
          <w:sz w:val="24"/>
        </w:rPr>
        <w:t>年</w:t>
      </w:r>
      <w:r>
        <w:rPr>
          <w:rFonts w:eastAsiaTheme="minorEastAsia" w:hint="eastAsia"/>
          <w:bCs/>
          <w:snapToGrid w:val="0"/>
          <w:kern w:val="0"/>
          <w:sz w:val="24"/>
        </w:rPr>
        <w:t>12</w:t>
      </w:r>
      <w:r>
        <w:rPr>
          <w:rFonts w:eastAsiaTheme="minorEastAsia" w:hint="eastAsia"/>
          <w:bCs/>
          <w:snapToGrid w:val="0"/>
          <w:kern w:val="0"/>
          <w:sz w:val="24"/>
        </w:rPr>
        <w:t>月</w:t>
      </w:r>
      <w:r>
        <w:rPr>
          <w:rFonts w:eastAsiaTheme="minorEastAsia" w:hint="eastAsia"/>
          <w:bCs/>
          <w:snapToGrid w:val="0"/>
          <w:kern w:val="0"/>
          <w:sz w:val="24"/>
        </w:rPr>
        <w:t>29</w:t>
      </w:r>
      <w:r>
        <w:rPr>
          <w:rFonts w:eastAsiaTheme="minorEastAsia" w:hint="eastAsia"/>
          <w:bCs/>
          <w:snapToGrid w:val="0"/>
          <w:kern w:val="0"/>
          <w:sz w:val="24"/>
        </w:rPr>
        <w:t>日</w:t>
      </w:r>
      <w:r>
        <w:rPr>
          <w:rFonts w:eastAsiaTheme="minorEastAsia"/>
          <w:bCs/>
          <w:snapToGrid w:val="0"/>
          <w:kern w:val="0"/>
          <w:sz w:val="24"/>
        </w:rPr>
        <w:t>；</w:t>
      </w:r>
    </w:p>
    <w:p w14:paraId="6EA45767"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hint="eastAsia"/>
          <w:bCs/>
          <w:snapToGrid w:val="0"/>
          <w:kern w:val="0"/>
          <w:sz w:val="24"/>
        </w:rPr>
        <w:t>（</w:t>
      </w:r>
      <w:r>
        <w:rPr>
          <w:rFonts w:eastAsiaTheme="minorEastAsia"/>
          <w:bCs/>
          <w:snapToGrid w:val="0"/>
          <w:kern w:val="0"/>
          <w:sz w:val="24"/>
        </w:rPr>
        <w:t>6</w:t>
      </w:r>
      <w:r>
        <w:rPr>
          <w:rFonts w:eastAsiaTheme="minorEastAsia" w:hint="eastAsia"/>
          <w:bCs/>
          <w:snapToGrid w:val="0"/>
          <w:kern w:val="0"/>
          <w:sz w:val="24"/>
        </w:rPr>
        <w:t>）《黑龙江省〈生态环境分区管控管理暂行规定〉实施细则》，</w:t>
      </w:r>
      <w:r>
        <w:rPr>
          <w:rFonts w:eastAsiaTheme="minorEastAsia"/>
          <w:bCs/>
          <w:snapToGrid w:val="0"/>
          <w:kern w:val="0"/>
          <w:sz w:val="24"/>
        </w:rPr>
        <w:t>2024</w:t>
      </w:r>
      <w:r>
        <w:rPr>
          <w:rFonts w:eastAsiaTheme="minorEastAsia" w:hint="eastAsia"/>
          <w:bCs/>
          <w:snapToGrid w:val="0"/>
          <w:kern w:val="0"/>
          <w:sz w:val="24"/>
        </w:rPr>
        <w:t>年</w:t>
      </w:r>
      <w:r>
        <w:rPr>
          <w:rFonts w:eastAsiaTheme="minorEastAsia"/>
          <w:bCs/>
          <w:snapToGrid w:val="0"/>
          <w:kern w:val="0"/>
          <w:sz w:val="24"/>
        </w:rPr>
        <w:t>8</w:t>
      </w:r>
      <w:r>
        <w:rPr>
          <w:rFonts w:eastAsiaTheme="minorEastAsia" w:hint="eastAsia"/>
          <w:bCs/>
          <w:snapToGrid w:val="0"/>
          <w:kern w:val="0"/>
          <w:sz w:val="24"/>
        </w:rPr>
        <w:t>月</w:t>
      </w:r>
      <w:r>
        <w:rPr>
          <w:rFonts w:eastAsiaTheme="minorEastAsia"/>
          <w:bCs/>
          <w:snapToGrid w:val="0"/>
          <w:kern w:val="0"/>
          <w:sz w:val="24"/>
        </w:rPr>
        <w:t>19</w:t>
      </w:r>
      <w:r>
        <w:rPr>
          <w:rFonts w:eastAsiaTheme="minorEastAsia" w:hint="eastAsia"/>
          <w:bCs/>
          <w:snapToGrid w:val="0"/>
          <w:kern w:val="0"/>
          <w:sz w:val="24"/>
        </w:rPr>
        <w:t>日；</w:t>
      </w:r>
    </w:p>
    <w:p w14:paraId="31B9FDCF"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bCs/>
          <w:snapToGrid w:val="0"/>
          <w:kern w:val="0"/>
          <w:sz w:val="24"/>
        </w:rPr>
        <w:t>（</w:t>
      </w:r>
      <w:r>
        <w:rPr>
          <w:rFonts w:eastAsiaTheme="minorEastAsia"/>
          <w:bCs/>
          <w:snapToGrid w:val="0"/>
          <w:kern w:val="0"/>
          <w:sz w:val="24"/>
        </w:rPr>
        <w:t>7</w:t>
      </w:r>
      <w:r>
        <w:rPr>
          <w:rFonts w:eastAsiaTheme="minorEastAsia"/>
          <w:bCs/>
          <w:snapToGrid w:val="0"/>
          <w:kern w:val="0"/>
          <w:sz w:val="24"/>
        </w:rPr>
        <w:t>）《黑龙江省国民经济和社会发展第十四个五年规划和二</w:t>
      </w:r>
      <w:r>
        <w:rPr>
          <w:rFonts w:eastAsiaTheme="minorEastAsia" w:hint="eastAsia"/>
          <w:bCs/>
          <w:snapToGrid w:val="0"/>
          <w:kern w:val="0"/>
          <w:sz w:val="24"/>
        </w:rPr>
        <w:t>○</w:t>
      </w:r>
      <w:r>
        <w:rPr>
          <w:rFonts w:eastAsiaTheme="minorEastAsia"/>
          <w:bCs/>
          <w:snapToGrid w:val="0"/>
          <w:kern w:val="0"/>
          <w:sz w:val="24"/>
        </w:rPr>
        <w:t>三五年远景目标纲要》</w:t>
      </w:r>
      <w:r>
        <w:rPr>
          <w:rFonts w:eastAsiaTheme="minorEastAsia" w:hint="eastAsia"/>
          <w:bCs/>
          <w:snapToGrid w:val="0"/>
          <w:kern w:val="0"/>
          <w:sz w:val="24"/>
        </w:rPr>
        <w:t>（</w:t>
      </w:r>
      <w:r>
        <w:rPr>
          <w:rFonts w:eastAsiaTheme="minorEastAsia"/>
          <w:bCs/>
          <w:snapToGrid w:val="0"/>
          <w:kern w:val="0"/>
          <w:sz w:val="24"/>
        </w:rPr>
        <w:t>黑政发〔</w:t>
      </w:r>
      <w:r>
        <w:rPr>
          <w:rFonts w:eastAsiaTheme="minorEastAsia"/>
          <w:bCs/>
          <w:snapToGrid w:val="0"/>
          <w:kern w:val="0"/>
          <w:sz w:val="24"/>
        </w:rPr>
        <w:t>2021</w:t>
      </w:r>
      <w:r>
        <w:rPr>
          <w:rFonts w:eastAsiaTheme="minorEastAsia"/>
          <w:bCs/>
          <w:snapToGrid w:val="0"/>
          <w:kern w:val="0"/>
          <w:sz w:val="24"/>
        </w:rPr>
        <w:t>〕</w:t>
      </w:r>
      <w:r>
        <w:rPr>
          <w:rFonts w:eastAsiaTheme="minorEastAsia"/>
          <w:bCs/>
          <w:snapToGrid w:val="0"/>
          <w:kern w:val="0"/>
          <w:sz w:val="24"/>
        </w:rPr>
        <w:t>5</w:t>
      </w:r>
      <w:r>
        <w:rPr>
          <w:rFonts w:eastAsiaTheme="minorEastAsia"/>
          <w:bCs/>
          <w:snapToGrid w:val="0"/>
          <w:kern w:val="0"/>
          <w:sz w:val="24"/>
        </w:rPr>
        <w:t>号</w:t>
      </w:r>
      <w:r>
        <w:rPr>
          <w:rFonts w:eastAsiaTheme="minorEastAsia" w:hint="eastAsia"/>
          <w:bCs/>
          <w:snapToGrid w:val="0"/>
          <w:kern w:val="0"/>
          <w:sz w:val="24"/>
        </w:rPr>
        <w:t>），</w:t>
      </w:r>
      <w:r>
        <w:rPr>
          <w:rFonts w:eastAsiaTheme="minorEastAsia"/>
          <w:bCs/>
          <w:snapToGrid w:val="0"/>
          <w:kern w:val="0"/>
          <w:sz w:val="24"/>
        </w:rPr>
        <w:t>2021</w:t>
      </w:r>
      <w:r>
        <w:rPr>
          <w:rFonts w:eastAsiaTheme="minorEastAsia"/>
          <w:bCs/>
          <w:snapToGrid w:val="0"/>
          <w:kern w:val="0"/>
          <w:sz w:val="24"/>
        </w:rPr>
        <w:t>年</w:t>
      </w:r>
      <w:r>
        <w:rPr>
          <w:rFonts w:eastAsiaTheme="minorEastAsia"/>
          <w:bCs/>
          <w:snapToGrid w:val="0"/>
          <w:kern w:val="0"/>
          <w:sz w:val="24"/>
        </w:rPr>
        <w:t>3</w:t>
      </w:r>
      <w:r>
        <w:rPr>
          <w:rFonts w:eastAsiaTheme="minorEastAsia"/>
          <w:bCs/>
          <w:snapToGrid w:val="0"/>
          <w:kern w:val="0"/>
          <w:sz w:val="24"/>
        </w:rPr>
        <w:t>月</w:t>
      </w:r>
      <w:r>
        <w:rPr>
          <w:rFonts w:eastAsiaTheme="minorEastAsia"/>
          <w:bCs/>
          <w:snapToGrid w:val="0"/>
          <w:kern w:val="0"/>
          <w:sz w:val="24"/>
        </w:rPr>
        <w:t>2</w:t>
      </w:r>
      <w:r>
        <w:rPr>
          <w:rFonts w:eastAsiaTheme="minorEastAsia"/>
          <w:bCs/>
          <w:snapToGrid w:val="0"/>
          <w:kern w:val="0"/>
          <w:sz w:val="24"/>
        </w:rPr>
        <w:t>日；</w:t>
      </w:r>
    </w:p>
    <w:p w14:paraId="474ABD8C"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bCs/>
          <w:snapToGrid w:val="0"/>
          <w:kern w:val="0"/>
          <w:sz w:val="24"/>
        </w:rPr>
        <w:t>（</w:t>
      </w:r>
      <w:r>
        <w:rPr>
          <w:rFonts w:eastAsiaTheme="minorEastAsia"/>
          <w:bCs/>
          <w:snapToGrid w:val="0"/>
          <w:kern w:val="0"/>
          <w:sz w:val="24"/>
        </w:rPr>
        <w:t>8</w:t>
      </w:r>
      <w:r>
        <w:rPr>
          <w:rFonts w:eastAsiaTheme="minorEastAsia"/>
          <w:bCs/>
          <w:snapToGrid w:val="0"/>
          <w:kern w:val="0"/>
          <w:sz w:val="24"/>
        </w:rPr>
        <w:t>）《</w:t>
      </w:r>
      <w:r>
        <w:rPr>
          <w:rFonts w:eastAsiaTheme="minorEastAsia" w:hint="eastAsia"/>
          <w:bCs/>
          <w:snapToGrid w:val="0"/>
          <w:kern w:val="0"/>
          <w:sz w:val="24"/>
        </w:rPr>
        <w:t>黑龙江省水污染防治工作方案</w:t>
      </w:r>
      <w:r>
        <w:rPr>
          <w:rFonts w:eastAsiaTheme="minorEastAsia"/>
          <w:bCs/>
          <w:snapToGrid w:val="0"/>
          <w:kern w:val="0"/>
          <w:sz w:val="24"/>
        </w:rPr>
        <w:t>》</w:t>
      </w:r>
      <w:r>
        <w:rPr>
          <w:rFonts w:eastAsiaTheme="minorEastAsia" w:hint="eastAsia"/>
          <w:bCs/>
          <w:snapToGrid w:val="0"/>
          <w:kern w:val="0"/>
          <w:sz w:val="24"/>
        </w:rPr>
        <w:t>（黑政发</w:t>
      </w:r>
      <w:r>
        <w:rPr>
          <w:rFonts w:eastAsiaTheme="minorEastAsia"/>
          <w:bCs/>
          <w:snapToGrid w:val="0"/>
          <w:kern w:val="0"/>
          <w:sz w:val="24"/>
        </w:rPr>
        <w:t>[</w:t>
      </w:r>
      <w:r>
        <w:rPr>
          <w:rFonts w:eastAsiaTheme="minorEastAsia" w:hint="eastAsia"/>
          <w:bCs/>
          <w:snapToGrid w:val="0"/>
          <w:kern w:val="0"/>
          <w:sz w:val="24"/>
        </w:rPr>
        <w:t>201</w:t>
      </w:r>
      <w:r>
        <w:rPr>
          <w:rFonts w:eastAsiaTheme="minorEastAsia"/>
          <w:bCs/>
          <w:snapToGrid w:val="0"/>
          <w:kern w:val="0"/>
          <w:sz w:val="24"/>
        </w:rPr>
        <w:t>6]</w:t>
      </w:r>
      <w:r>
        <w:rPr>
          <w:rFonts w:eastAsiaTheme="minorEastAsia" w:hint="eastAsia"/>
          <w:bCs/>
          <w:snapToGrid w:val="0"/>
          <w:kern w:val="0"/>
          <w:sz w:val="24"/>
        </w:rPr>
        <w:t>3</w:t>
      </w:r>
      <w:r>
        <w:rPr>
          <w:rFonts w:eastAsiaTheme="minorEastAsia" w:hint="eastAsia"/>
          <w:bCs/>
          <w:snapToGrid w:val="0"/>
          <w:kern w:val="0"/>
          <w:sz w:val="24"/>
        </w:rPr>
        <w:t>号）；</w:t>
      </w:r>
    </w:p>
    <w:p w14:paraId="19568B6A"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bCs/>
          <w:snapToGrid w:val="0"/>
          <w:kern w:val="0"/>
          <w:sz w:val="24"/>
        </w:rPr>
        <w:t>（</w:t>
      </w:r>
      <w:r>
        <w:rPr>
          <w:rFonts w:eastAsiaTheme="minorEastAsia"/>
          <w:bCs/>
          <w:snapToGrid w:val="0"/>
          <w:kern w:val="0"/>
          <w:sz w:val="24"/>
        </w:rPr>
        <w:t>9</w:t>
      </w:r>
      <w:r>
        <w:rPr>
          <w:rFonts w:eastAsiaTheme="minorEastAsia"/>
          <w:bCs/>
          <w:snapToGrid w:val="0"/>
          <w:kern w:val="0"/>
          <w:sz w:val="24"/>
        </w:rPr>
        <w:t>）《</w:t>
      </w:r>
      <w:r>
        <w:rPr>
          <w:rFonts w:eastAsiaTheme="minorEastAsia" w:hint="eastAsia"/>
          <w:bCs/>
          <w:snapToGrid w:val="0"/>
          <w:kern w:val="0"/>
          <w:sz w:val="24"/>
        </w:rPr>
        <w:t>黑龙江省土壤污染防治实施方案</w:t>
      </w:r>
      <w:r>
        <w:rPr>
          <w:rFonts w:eastAsiaTheme="minorEastAsia"/>
          <w:bCs/>
          <w:snapToGrid w:val="0"/>
          <w:kern w:val="0"/>
          <w:sz w:val="24"/>
        </w:rPr>
        <w:t>》（</w:t>
      </w:r>
      <w:r>
        <w:rPr>
          <w:rFonts w:eastAsiaTheme="minorEastAsia" w:hint="eastAsia"/>
          <w:bCs/>
          <w:snapToGrid w:val="0"/>
          <w:kern w:val="0"/>
          <w:sz w:val="24"/>
        </w:rPr>
        <w:t>黑政发</w:t>
      </w:r>
      <w:r>
        <w:rPr>
          <w:rFonts w:eastAsiaTheme="minorEastAsia"/>
          <w:bCs/>
          <w:snapToGrid w:val="0"/>
          <w:kern w:val="0"/>
          <w:sz w:val="24"/>
        </w:rPr>
        <w:t>[</w:t>
      </w:r>
      <w:r>
        <w:rPr>
          <w:rFonts w:eastAsiaTheme="minorEastAsia" w:hint="eastAsia"/>
          <w:bCs/>
          <w:snapToGrid w:val="0"/>
          <w:kern w:val="0"/>
          <w:sz w:val="24"/>
        </w:rPr>
        <w:t>201</w:t>
      </w:r>
      <w:r>
        <w:rPr>
          <w:rFonts w:eastAsiaTheme="minorEastAsia"/>
          <w:bCs/>
          <w:snapToGrid w:val="0"/>
          <w:kern w:val="0"/>
          <w:sz w:val="24"/>
        </w:rPr>
        <w:t>6]</w:t>
      </w:r>
      <w:r>
        <w:rPr>
          <w:rFonts w:eastAsiaTheme="minorEastAsia" w:hint="eastAsia"/>
          <w:bCs/>
          <w:snapToGrid w:val="0"/>
          <w:kern w:val="0"/>
          <w:sz w:val="24"/>
        </w:rPr>
        <w:t>46</w:t>
      </w:r>
      <w:r>
        <w:rPr>
          <w:rFonts w:eastAsiaTheme="minorEastAsia" w:hint="eastAsia"/>
          <w:bCs/>
          <w:snapToGrid w:val="0"/>
          <w:kern w:val="0"/>
          <w:sz w:val="24"/>
        </w:rPr>
        <w:t>号</w:t>
      </w:r>
      <w:r>
        <w:rPr>
          <w:rFonts w:eastAsiaTheme="minorEastAsia"/>
          <w:bCs/>
          <w:snapToGrid w:val="0"/>
          <w:kern w:val="0"/>
          <w:sz w:val="24"/>
        </w:rPr>
        <w:t>）；</w:t>
      </w:r>
    </w:p>
    <w:p w14:paraId="282F1609"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bCs/>
          <w:snapToGrid w:val="0"/>
          <w:kern w:val="0"/>
          <w:sz w:val="24"/>
        </w:rPr>
        <w:t>（</w:t>
      </w:r>
      <w:r>
        <w:rPr>
          <w:rFonts w:eastAsiaTheme="minorEastAsia"/>
          <w:bCs/>
          <w:snapToGrid w:val="0"/>
          <w:kern w:val="0"/>
          <w:sz w:val="24"/>
        </w:rPr>
        <w:t>10</w:t>
      </w:r>
      <w:r>
        <w:rPr>
          <w:rFonts w:eastAsiaTheme="minorEastAsia"/>
          <w:bCs/>
          <w:snapToGrid w:val="0"/>
          <w:kern w:val="0"/>
          <w:sz w:val="24"/>
        </w:rPr>
        <w:t>）《黑龙江省人民政府关于印发黑龙江省大气污染防治行动计划实施细则的通知》（黑政发</w:t>
      </w:r>
      <w:r>
        <w:rPr>
          <w:rFonts w:eastAsiaTheme="minorEastAsia"/>
          <w:bCs/>
          <w:snapToGrid w:val="0"/>
          <w:kern w:val="0"/>
          <w:sz w:val="24"/>
        </w:rPr>
        <w:t>[2014]1</w:t>
      </w:r>
      <w:r>
        <w:rPr>
          <w:rFonts w:eastAsiaTheme="minorEastAsia"/>
          <w:bCs/>
          <w:snapToGrid w:val="0"/>
          <w:kern w:val="0"/>
          <w:sz w:val="24"/>
        </w:rPr>
        <w:t>号）</w:t>
      </w:r>
      <w:r>
        <w:rPr>
          <w:rFonts w:eastAsiaTheme="minorEastAsia" w:hint="eastAsia"/>
          <w:bCs/>
          <w:snapToGrid w:val="0"/>
          <w:kern w:val="0"/>
          <w:sz w:val="24"/>
        </w:rPr>
        <w:t>；</w:t>
      </w:r>
    </w:p>
    <w:p w14:paraId="316D1769"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bCs/>
          <w:snapToGrid w:val="0"/>
          <w:kern w:val="0"/>
          <w:sz w:val="24"/>
        </w:rPr>
        <w:t>（</w:t>
      </w:r>
      <w:r>
        <w:rPr>
          <w:rFonts w:eastAsiaTheme="minorEastAsia"/>
          <w:bCs/>
          <w:snapToGrid w:val="0"/>
          <w:kern w:val="0"/>
          <w:sz w:val="24"/>
        </w:rPr>
        <w:t>11</w:t>
      </w:r>
      <w:r>
        <w:rPr>
          <w:rFonts w:eastAsiaTheme="minorEastAsia"/>
          <w:bCs/>
          <w:snapToGrid w:val="0"/>
          <w:kern w:val="0"/>
          <w:sz w:val="24"/>
        </w:rPr>
        <w:t>）《关于印发</w:t>
      </w:r>
      <w:r>
        <w:rPr>
          <w:rFonts w:eastAsiaTheme="minorEastAsia"/>
          <w:bCs/>
          <w:snapToGrid w:val="0"/>
          <w:kern w:val="0"/>
          <w:sz w:val="24"/>
        </w:rPr>
        <w:t>2015</w:t>
      </w:r>
      <w:r>
        <w:rPr>
          <w:rFonts w:eastAsiaTheme="minorEastAsia"/>
          <w:bCs/>
          <w:snapToGrid w:val="0"/>
          <w:kern w:val="0"/>
          <w:sz w:val="24"/>
        </w:rPr>
        <w:t>年黑龙江省自然生态和农村环境保护工作要点的通知》（黑环办</w:t>
      </w:r>
      <w:r>
        <w:rPr>
          <w:rFonts w:eastAsiaTheme="minorEastAsia"/>
          <w:bCs/>
          <w:snapToGrid w:val="0"/>
          <w:kern w:val="0"/>
          <w:sz w:val="24"/>
        </w:rPr>
        <w:t>[2015]51</w:t>
      </w:r>
      <w:r>
        <w:rPr>
          <w:rFonts w:eastAsiaTheme="minorEastAsia"/>
          <w:bCs/>
          <w:snapToGrid w:val="0"/>
          <w:kern w:val="0"/>
          <w:sz w:val="24"/>
        </w:rPr>
        <w:t>号）；</w:t>
      </w:r>
    </w:p>
    <w:p w14:paraId="4127DD34"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bCs/>
          <w:snapToGrid w:val="0"/>
          <w:kern w:val="0"/>
          <w:sz w:val="24"/>
        </w:rPr>
        <w:t>（</w:t>
      </w:r>
      <w:r>
        <w:rPr>
          <w:rFonts w:eastAsiaTheme="minorEastAsia"/>
          <w:bCs/>
          <w:snapToGrid w:val="0"/>
          <w:kern w:val="0"/>
          <w:sz w:val="24"/>
        </w:rPr>
        <w:t>12</w:t>
      </w:r>
      <w:r>
        <w:rPr>
          <w:rFonts w:eastAsiaTheme="minorEastAsia"/>
          <w:bCs/>
          <w:snapToGrid w:val="0"/>
          <w:kern w:val="0"/>
          <w:sz w:val="24"/>
        </w:rPr>
        <w:t>）；</w:t>
      </w:r>
      <w:r>
        <w:rPr>
          <w:rFonts w:eastAsiaTheme="minorEastAsia" w:hint="eastAsia"/>
          <w:bCs/>
          <w:snapToGrid w:val="0"/>
          <w:kern w:val="0"/>
          <w:sz w:val="24"/>
        </w:rPr>
        <w:t>《关于加快畜牧业高质量发展的意见和黑龙江省加快畜牧业高质量发展若干政策措施的通知》（黑政办规〔</w:t>
      </w:r>
      <w:r>
        <w:rPr>
          <w:rFonts w:eastAsiaTheme="minorEastAsia" w:hint="eastAsia"/>
          <w:bCs/>
          <w:snapToGrid w:val="0"/>
          <w:kern w:val="0"/>
          <w:sz w:val="24"/>
        </w:rPr>
        <w:t>2022</w:t>
      </w:r>
      <w:r>
        <w:rPr>
          <w:rFonts w:eastAsiaTheme="minorEastAsia" w:hint="eastAsia"/>
          <w:bCs/>
          <w:snapToGrid w:val="0"/>
          <w:kern w:val="0"/>
          <w:sz w:val="24"/>
        </w:rPr>
        <w:t>〕</w:t>
      </w:r>
      <w:r>
        <w:rPr>
          <w:rFonts w:eastAsiaTheme="minorEastAsia" w:hint="eastAsia"/>
          <w:bCs/>
          <w:snapToGrid w:val="0"/>
          <w:kern w:val="0"/>
          <w:sz w:val="24"/>
        </w:rPr>
        <w:t>14</w:t>
      </w:r>
      <w:r>
        <w:rPr>
          <w:rFonts w:eastAsiaTheme="minorEastAsia" w:hint="eastAsia"/>
          <w:bCs/>
          <w:snapToGrid w:val="0"/>
          <w:kern w:val="0"/>
          <w:sz w:val="24"/>
        </w:rPr>
        <w:t>号），</w:t>
      </w:r>
      <w:r>
        <w:rPr>
          <w:rFonts w:eastAsiaTheme="minorEastAsia" w:hint="eastAsia"/>
          <w:bCs/>
          <w:snapToGrid w:val="0"/>
          <w:kern w:val="0"/>
          <w:sz w:val="24"/>
        </w:rPr>
        <w:t>2022</w:t>
      </w:r>
      <w:r>
        <w:rPr>
          <w:rFonts w:eastAsiaTheme="minorEastAsia" w:hint="eastAsia"/>
          <w:bCs/>
          <w:snapToGrid w:val="0"/>
          <w:kern w:val="0"/>
          <w:sz w:val="24"/>
        </w:rPr>
        <w:t>年</w:t>
      </w:r>
      <w:r>
        <w:rPr>
          <w:rFonts w:eastAsiaTheme="minorEastAsia" w:hint="eastAsia"/>
          <w:bCs/>
          <w:snapToGrid w:val="0"/>
          <w:kern w:val="0"/>
          <w:sz w:val="24"/>
        </w:rPr>
        <w:t>3</w:t>
      </w:r>
      <w:r>
        <w:rPr>
          <w:rFonts w:eastAsiaTheme="minorEastAsia" w:hint="eastAsia"/>
          <w:bCs/>
          <w:snapToGrid w:val="0"/>
          <w:kern w:val="0"/>
          <w:sz w:val="24"/>
        </w:rPr>
        <w:t>月</w:t>
      </w:r>
      <w:r>
        <w:rPr>
          <w:rFonts w:eastAsiaTheme="minorEastAsia" w:hint="eastAsia"/>
          <w:bCs/>
          <w:snapToGrid w:val="0"/>
          <w:kern w:val="0"/>
          <w:sz w:val="24"/>
        </w:rPr>
        <w:t>24</w:t>
      </w:r>
      <w:r>
        <w:rPr>
          <w:rFonts w:eastAsiaTheme="minorEastAsia" w:hint="eastAsia"/>
          <w:bCs/>
          <w:snapToGrid w:val="0"/>
          <w:kern w:val="0"/>
          <w:sz w:val="24"/>
        </w:rPr>
        <w:t>日；</w:t>
      </w:r>
    </w:p>
    <w:p w14:paraId="315DE75D"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hint="eastAsia"/>
          <w:bCs/>
          <w:snapToGrid w:val="0"/>
          <w:kern w:val="0"/>
          <w:sz w:val="24"/>
        </w:rPr>
        <w:t>（</w:t>
      </w:r>
      <w:r>
        <w:rPr>
          <w:rFonts w:eastAsiaTheme="minorEastAsia"/>
          <w:bCs/>
          <w:snapToGrid w:val="0"/>
          <w:kern w:val="0"/>
          <w:sz w:val="24"/>
        </w:rPr>
        <w:t>1</w:t>
      </w:r>
      <w:r>
        <w:rPr>
          <w:rFonts w:eastAsiaTheme="minorEastAsia" w:hint="eastAsia"/>
          <w:bCs/>
          <w:snapToGrid w:val="0"/>
          <w:kern w:val="0"/>
          <w:sz w:val="24"/>
        </w:rPr>
        <w:t>3</w:t>
      </w:r>
      <w:r>
        <w:rPr>
          <w:rFonts w:eastAsiaTheme="minorEastAsia" w:hint="eastAsia"/>
          <w:bCs/>
          <w:snapToGrid w:val="0"/>
          <w:kern w:val="0"/>
          <w:sz w:val="24"/>
        </w:rPr>
        <w:t>）</w:t>
      </w:r>
      <w:r>
        <w:rPr>
          <w:rFonts w:eastAsiaTheme="minorEastAsia"/>
          <w:bCs/>
          <w:snapToGrid w:val="0"/>
          <w:kern w:val="0"/>
          <w:sz w:val="24"/>
        </w:rPr>
        <w:t>《黑龙江省水污染防治条例》</w:t>
      </w:r>
      <w:r>
        <w:rPr>
          <w:rFonts w:eastAsiaTheme="minorEastAsia" w:hint="eastAsia"/>
          <w:bCs/>
          <w:snapToGrid w:val="0"/>
          <w:kern w:val="0"/>
          <w:sz w:val="24"/>
        </w:rPr>
        <w:t>，</w:t>
      </w:r>
      <w:r>
        <w:rPr>
          <w:rFonts w:eastAsiaTheme="minorEastAsia" w:hint="eastAsia"/>
          <w:bCs/>
          <w:snapToGrid w:val="0"/>
          <w:kern w:val="0"/>
          <w:sz w:val="24"/>
        </w:rPr>
        <w:t>2023</w:t>
      </w:r>
      <w:r>
        <w:rPr>
          <w:rFonts w:eastAsiaTheme="minorEastAsia" w:hint="eastAsia"/>
          <w:bCs/>
          <w:snapToGrid w:val="0"/>
          <w:kern w:val="0"/>
          <w:sz w:val="24"/>
        </w:rPr>
        <w:t>年</w:t>
      </w:r>
      <w:r>
        <w:rPr>
          <w:rFonts w:eastAsiaTheme="minorEastAsia" w:hint="eastAsia"/>
          <w:bCs/>
          <w:snapToGrid w:val="0"/>
          <w:kern w:val="0"/>
          <w:sz w:val="24"/>
        </w:rPr>
        <w:t>12</w:t>
      </w:r>
      <w:r>
        <w:rPr>
          <w:rFonts w:eastAsiaTheme="minorEastAsia" w:hint="eastAsia"/>
          <w:bCs/>
          <w:snapToGrid w:val="0"/>
          <w:kern w:val="0"/>
          <w:sz w:val="24"/>
        </w:rPr>
        <w:t>月</w:t>
      </w:r>
      <w:r>
        <w:rPr>
          <w:rFonts w:eastAsiaTheme="minorEastAsia" w:hint="eastAsia"/>
          <w:bCs/>
          <w:snapToGrid w:val="0"/>
          <w:kern w:val="0"/>
          <w:sz w:val="24"/>
        </w:rPr>
        <w:t>1</w:t>
      </w:r>
      <w:r>
        <w:rPr>
          <w:rFonts w:eastAsiaTheme="minorEastAsia" w:hint="eastAsia"/>
          <w:bCs/>
          <w:snapToGrid w:val="0"/>
          <w:kern w:val="0"/>
          <w:sz w:val="24"/>
        </w:rPr>
        <w:t>日；</w:t>
      </w:r>
    </w:p>
    <w:p w14:paraId="7A819B98"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bCs/>
          <w:snapToGrid w:val="0"/>
          <w:kern w:val="0"/>
          <w:sz w:val="24"/>
        </w:rPr>
        <w:t>（</w:t>
      </w:r>
      <w:r>
        <w:rPr>
          <w:rFonts w:eastAsiaTheme="minorEastAsia" w:hint="eastAsia"/>
          <w:bCs/>
          <w:snapToGrid w:val="0"/>
          <w:kern w:val="0"/>
          <w:sz w:val="24"/>
        </w:rPr>
        <w:t>1</w:t>
      </w:r>
      <w:r>
        <w:rPr>
          <w:rFonts w:eastAsiaTheme="minorEastAsia"/>
          <w:bCs/>
          <w:snapToGrid w:val="0"/>
          <w:kern w:val="0"/>
          <w:sz w:val="24"/>
        </w:rPr>
        <w:t>4</w:t>
      </w:r>
      <w:r>
        <w:rPr>
          <w:rFonts w:eastAsiaTheme="minorEastAsia"/>
          <w:bCs/>
          <w:snapToGrid w:val="0"/>
          <w:kern w:val="0"/>
          <w:sz w:val="24"/>
        </w:rPr>
        <w:t>）《黑龙江省畜禽屠宰管理条例》</w:t>
      </w:r>
      <w:r>
        <w:rPr>
          <w:rFonts w:eastAsiaTheme="minorEastAsia" w:hint="eastAsia"/>
          <w:bCs/>
          <w:snapToGrid w:val="0"/>
          <w:kern w:val="0"/>
          <w:sz w:val="24"/>
        </w:rPr>
        <w:t>，</w:t>
      </w:r>
      <w:r>
        <w:rPr>
          <w:rFonts w:eastAsiaTheme="minorEastAsia" w:hint="eastAsia"/>
          <w:bCs/>
          <w:snapToGrid w:val="0"/>
          <w:kern w:val="0"/>
          <w:sz w:val="24"/>
        </w:rPr>
        <w:t>2021</w:t>
      </w:r>
      <w:r>
        <w:rPr>
          <w:rFonts w:eastAsiaTheme="minorEastAsia" w:hint="eastAsia"/>
          <w:bCs/>
          <w:snapToGrid w:val="0"/>
          <w:kern w:val="0"/>
          <w:sz w:val="24"/>
        </w:rPr>
        <w:t>年</w:t>
      </w:r>
      <w:r>
        <w:rPr>
          <w:rFonts w:eastAsiaTheme="minorEastAsia" w:hint="eastAsia"/>
          <w:bCs/>
          <w:snapToGrid w:val="0"/>
          <w:kern w:val="0"/>
          <w:sz w:val="24"/>
        </w:rPr>
        <w:t>12</w:t>
      </w:r>
      <w:r>
        <w:rPr>
          <w:rFonts w:eastAsiaTheme="minorEastAsia" w:hint="eastAsia"/>
          <w:bCs/>
          <w:snapToGrid w:val="0"/>
          <w:kern w:val="0"/>
          <w:sz w:val="24"/>
        </w:rPr>
        <w:t>月</w:t>
      </w:r>
      <w:r>
        <w:rPr>
          <w:rFonts w:eastAsiaTheme="minorEastAsia" w:hint="eastAsia"/>
          <w:bCs/>
          <w:snapToGrid w:val="0"/>
          <w:kern w:val="0"/>
          <w:sz w:val="24"/>
        </w:rPr>
        <w:t>23</w:t>
      </w:r>
      <w:r>
        <w:rPr>
          <w:rFonts w:eastAsiaTheme="minorEastAsia" w:hint="eastAsia"/>
          <w:bCs/>
          <w:snapToGrid w:val="0"/>
          <w:kern w:val="0"/>
          <w:sz w:val="24"/>
        </w:rPr>
        <w:t>日修订；</w:t>
      </w:r>
    </w:p>
    <w:p w14:paraId="593B1AFE"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hint="eastAsia"/>
          <w:bCs/>
          <w:snapToGrid w:val="0"/>
          <w:kern w:val="0"/>
          <w:sz w:val="24"/>
        </w:rPr>
        <w:t>（</w:t>
      </w:r>
      <w:r>
        <w:rPr>
          <w:rFonts w:eastAsiaTheme="minorEastAsia" w:hint="eastAsia"/>
          <w:bCs/>
          <w:snapToGrid w:val="0"/>
          <w:kern w:val="0"/>
          <w:sz w:val="24"/>
        </w:rPr>
        <w:t>1</w:t>
      </w:r>
      <w:r>
        <w:rPr>
          <w:rFonts w:eastAsiaTheme="minorEastAsia"/>
          <w:bCs/>
          <w:snapToGrid w:val="0"/>
          <w:kern w:val="0"/>
          <w:sz w:val="24"/>
        </w:rPr>
        <w:t>5</w:t>
      </w:r>
      <w:r>
        <w:rPr>
          <w:rFonts w:eastAsiaTheme="minorEastAsia" w:hint="eastAsia"/>
          <w:bCs/>
          <w:snapToGrid w:val="0"/>
          <w:kern w:val="0"/>
          <w:sz w:val="24"/>
        </w:rPr>
        <w:t>）</w:t>
      </w:r>
      <w:r>
        <w:rPr>
          <w:rFonts w:eastAsiaTheme="minorEastAsia"/>
          <w:bCs/>
          <w:snapToGrid w:val="0"/>
          <w:kern w:val="0"/>
          <w:sz w:val="24"/>
        </w:rPr>
        <w:t>《</w:t>
      </w:r>
      <w:r>
        <w:rPr>
          <w:rFonts w:eastAsiaTheme="minorEastAsia" w:hint="eastAsia"/>
          <w:bCs/>
          <w:snapToGrid w:val="0"/>
          <w:kern w:val="0"/>
          <w:sz w:val="24"/>
        </w:rPr>
        <w:t>黑龙江省生猪屠宰行业发展规划（</w:t>
      </w:r>
      <w:r>
        <w:rPr>
          <w:rFonts w:eastAsiaTheme="minorEastAsia" w:hint="eastAsia"/>
          <w:bCs/>
          <w:snapToGrid w:val="0"/>
          <w:kern w:val="0"/>
          <w:sz w:val="24"/>
        </w:rPr>
        <w:t>2024-2030</w:t>
      </w:r>
      <w:r>
        <w:rPr>
          <w:rFonts w:eastAsiaTheme="minorEastAsia" w:hint="eastAsia"/>
          <w:bCs/>
          <w:snapToGrid w:val="0"/>
          <w:kern w:val="0"/>
          <w:sz w:val="24"/>
        </w:rPr>
        <w:t>年）》；</w:t>
      </w:r>
    </w:p>
    <w:p w14:paraId="4B875704"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hint="eastAsia"/>
          <w:bCs/>
          <w:snapToGrid w:val="0"/>
          <w:kern w:val="0"/>
          <w:sz w:val="24"/>
        </w:rPr>
        <w:t>（</w:t>
      </w:r>
      <w:r>
        <w:rPr>
          <w:rFonts w:eastAsiaTheme="minorEastAsia" w:hint="eastAsia"/>
          <w:bCs/>
          <w:snapToGrid w:val="0"/>
          <w:kern w:val="0"/>
          <w:sz w:val="24"/>
        </w:rPr>
        <w:t>1</w:t>
      </w:r>
      <w:r>
        <w:rPr>
          <w:rFonts w:eastAsiaTheme="minorEastAsia"/>
          <w:bCs/>
          <w:snapToGrid w:val="0"/>
          <w:kern w:val="0"/>
          <w:sz w:val="24"/>
        </w:rPr>
        <w:t>6</w:t>
      </w:r>
      <w:r>
        <w:rPr>
          <w:rFonts w:eastAsiaTheme="minorEastAsia" w:hint="eastAsia"/>
          <w:bCs/>
          <w:snapToGrid w:val="0"/>
          <w:kern w:val="0"/>
          <w:sz w:val="24"/>
        </w:rPr>
        <w:t>）《哈尔滨市生态环境保护“十四五”规划》（哈环发</w:t>
      </w:r>
      <w:r>
        <w:rPr>
          <w:rFonts w:eastAsiaTheme="minorEastAsia" w:hint="eastAsia"/>
          <w:bCs/>
          <w:snapToGrid w:val="0"/>
          <w:kern w:val="0"/>
          <w:sz w:val="24"/>
        </w:rPr>
        <w:t>[2021]11</w:t>
      </w:r>
      <w:r>
        <w:rPr>
          <w:rFonts w:eastAsiaTheme="minorEastAsia" w:hint="eastAsia"/>
          <w:bCs/>
          <w:snapToGrid w:val="0"/>
          <w:kern w:val="0"/>
          <w:sz w:val="24"/>
        </w:rPr>
        <w:t>号），</w:t>
      </w:r>
      <w:r>
        <w:rPr>
          <w:rFonts w:eastAsiaTheme="minorEastAsia" w:hint="eastAsia"/>
          <w:bCs/>
          <w:snapToGrid w:val="0"/>
          <w:kern w:val="0"/>
          <w:sz w:val="24"/>
        </w:rPr>
        <w:t>2021</w:t>
      </w:r>
      <w:r>
        <w:rPr>
          <w:rFonts w:eastAsiaTheme="minorEastAsia" w:hint="eastAsia"/>
          <w:bCs/>
          <w:snapToGrid w:val="0"/>
          <w:kern w:val="0"/>
          <w:sz w:val="24"/>
        </w:rPr>
        <w:t>年</w:t>
      </w:r>
      <w:r>
        <w:rPr>
          <w:rFonts w:eastAsiaTheme="minorEastAsia" w:hint="eastAsia"/>
          <w:bCs/>
          <w:snapToGrid w:val="0"/>
          <w:kern w:val="0"/>
          <w:sz w:val="24"/>
        </w:rPr>
        <w:t>6</w:t>
      </w:r>
      <w:r>
        <w:rPr>
          <w:rFonts w:eastAsiaTheme="minorEastAsia" w:hint="eastAsia"/>
          <w:bCs/>
          <w:snapToGrid w:val="0"/>
          <w:kern w:val="0"/>
          <w:sz w:val="24"/>
        </w:rPr>
        <w:t>月</w:t>
      </w:r>
      <w:r>
        <w:rPr>
          <w:rFonts w:eastAsiaTheme="minorEastAsia" w:hint="eastAsia"/>
          <w:bCs/>
          <w:snapToGrid w:val="0"/>
          <w:kern w:val="0"/>
          <w:sz w:val="24"/>
        </w:rPr>
        <w:t>30</w:t>
      </w:r>
      <w:r>
        <w:rPr>
          <w:rFonts w:eastAsiaTheme="minorEastAsia" w:hint="eastAsia"/>
          <w:bCs/>
          <w:snapToGrid w:val="0"/>
          <w:kern w:val="0"/>
          <w:sz w:val="24"/>
        </w:rPr>
        <w:t>日；</w:t>
      </w:r>
    </w:p>
    <w:p w14:paraId="22221F01"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hint="eastAsia"/>
          <w:bCs/>
          <w:snapToGrid w:val="0"/>
          <w:kern w:val="0"/>
          <w:sz w:val="24"/>
        </w:rPr>
        <w:t>（</w:t>
      </w:r>
      <w:r>
        <w:rPr>
          <w:rFonts w:eastAsiaTheme="minorEastAsia" w:hint="eastAsia"/>
          <w:bCs/>
          <w:snapToGrid w:val="0"/>
          <w:kern w:val="0"/>
          <w:sz w:val="24"/>
        </w:rPr>
        <w:t>1</w:t>
      </w:r>
      <w:r>
        <w:rPr>
          <w:rFonts w:eastAsiaTheme="minorEastAsia"/>
          <w:bCs/>
          <w:snapToGrid w:val="0"/>
          <w:kern w:val="0"/>
          <w:sz w:val="24"/>
        </w:rPr>
        <w:t>7</w:t>
      </w:r>
      <w:r>
        <w:rPr>
          <w:rFonts w:eastAsiaTheme="minorEastAsia" w:hint="eastAsia"/>
          <w:bCs/>
          <w:snapToGrid w:val="0"/>
          <w:kern w:val="0"/>
          <w:sz w:val="24"/>
        </w:rPr>
        <w:t>）</w:t>
      </w:r>
      <w:r>
        <w:rPr>
          <w:rFonts w:eastAsiaTheme="minorEastAsia"/>
          <w:bCs/>
          <w:snapToGrid w:val="0"/>
          <w:kern w:val="0"/>
          <w:sz w:val="24"/>
        </w:rPr>
        <w:t>《哈尔滨市国民经济和社会发展第十四个五年规划和二〇三五年远景目标纲要》（哈政发</w:t>
      </w:r>
      <w:r>
        <w:rPr>
          <w:rFonts w:eastAsiaTheme="minorEastAsia"/>
          <w:bCs/>
          <w:snapToGrid w:val="0"/>
          <w:kern w:val="0"/>
          <w:sz w:val="24"/>
        </w:rPr>
        <w:t>[2021]12</w:t>
      </w:r>
      <w:r>
        <w:rPr>
          <w:rFonts w:eastAsiaTheme="minorEastAsia"/>
          <w:bCs/>
          <w:snapToGrid w:val="0"/>
          <w:kern w:val="0"/>
          <w:sz w:val="24"/>
        </w:rPr>
        <w:t>号）</w:t>
      </w:r>
      <w:r>
        <w:rPr>
          <w:rFonts w:eastAsiaTheme="minorEastAsia" w:hint="eastAsia"/>
          <w:bCs/>
          <w:snapToGrid w:val="0"/>
          <w:kern w:val="0"/>
          <w:sz w:val="24"/>
        </w:rPr>
        <w:t>。</w:t>
      </w:r>
    </w:p>
    <w:bookmarkEnd w:id="34"/>
    <w:bookmarkEnd w:id="35"/>
    <w:bookmarkEnd w:id="36"/>
    <w:p w14:paraId="120C2815"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2.1.</w:t>
      </w:r>
      <w:r>
        <w:rPr>
          <w:rFonts w:ascii="Times New Roman" w:eastAsia="黑体" w:hAnsi="Times New Roman" w:cs="Times New Roman" w:hint="eastAsia"/>
          <w:bCs/>
          <w:sz w:val="28"/>
          <w:szCs w:val="28"/>
        </w:rPr>
        <w:t>4</w:t>
      </w:r>
      <w:r>
        <w:rPr>
          <w:rFonts w:ascii="Times New Roman" w:eastAsia="黑体" w:hAnsi="Times New Roman" w:cs="Times New Roman"/>
          <w:bCs/>
          <w:sz w:val="28"/>
          <w:szCs w:val="28"/>
        </w:rPr>
        <w:t>相关技术规范</w:t>
      </w:r>
      <w:bookmarkEnd w:id="28"/>
      <w:bookmarkEnd w:id="29"/>
    </w:p>
    <w:p w14:paraId="776A6260" w14:textId="77777777" w:rsidR="00B14D53" w:rsidRDefault="00000000">
      <w:pPr>
        <w:spacing w:line="360" w:lineRule="auto"/>
        <w:ind w:firstLineChars="200" w:firstLine="480"/>
        <w:contextualSpacing/>
        <w:rPr>
          <w:rFonts w:eastAsiaTheme="minorEastAsia"/>
          <w:bCs/>
          <w:snapToGrid w:val="0"/>
          <w:kern w:val="0"/>
          <w:sz w:val="24"/>
        </w:rPr>
      </w:pPr>
      <w:r>
        <w:rPr>
          <w:rFonts w:eastAsiaTheme="minorEastAsia" w:hAnsiTheme="minorEastAsia"/>
          <w:bCs/>
          <w:snapToGrid w:val="0"/>
          <w:kern w:val="0"/>
          <w:sz w:val="24"/>
        </w:rPr>
        <w:t>（</w:t>
      </w:r>
      <w:r>
        <w:rPr>
          <w:rFonts w:eastAsiaTheme="minorEastAsia"/>
          <w:bCs/>
          <w:snapToGrid w:val="0"/>
          <w:kern w:val="0"/>
          <w:sz w:val="24"/>
        </w:rPr>
        <w:t>1</w:t>
      </w:r>
      <w:r>
        <w:rPr>
          <w:rFonts w:eastAsiaTheme="minorEastAsia" w:hAnsiTheme="minorEastAsia"/>
          <w:bCs/>
          <w:snapToGrid w:val="0"/>
          <w:kern w:val="0"/>
          <w:sz w:val="24"/>
        </w:rPr>
        <w:t>）《建设项目环境影响评价技术导则</w:t>
      </w:r>
      <w:r>
        <w:rPr>
          <w:rFonts w:eastAsiaTheme="minorEastAsia"/>
          <w:bCs/>
          <w:snapToGrid w:val="0"/>
          <w:kern w:val="0"/>
          <w:sz w:val="24"/>
        </w:rPr>
        <w:t xml:space="preserve"> </w:t>
      </w:r>
      <w:r>
        <w:rPr>
          <w:rFonts w:eastAsiaTheme="minorEastAsia" w:hAnsiTheme="minorEastAsia"/>
          <w:bCs/>
          <w:snapToGrid w:val="0"/>
          <w:kern w:val="0"/>
          <w:sz w:val="24"/>
        </w:rPr>
        <w:t>总纲》（</w:t>
      </w:r>
      <w:r>
        <w:rPr>
          <w:rFonts w:eastAsiaTheme="minorEastAsia"/>
          <w:bCs/>
          <w:snapToGrid w:val="0"/>
          <w:kern w:val="0"/>
          <w:sz w:val="24"/>
        </w:rPr>
        <w:t>HJ2.1-2016</w:t>
      </w:r>
      <w:r>
        <w:rPr>
          <w:rFonts w:eastAsiaTheme="minorEastAsia" w:hAnsiTheme="minorEastAsia"/>
          <w:bCs/>
          <w:snapToGrid w:val="0"/>
          <w:kern w:val="0"/>
          <w:sz w:val="24"/>
        </w:rPr>
        <w:t>）</w:t>
      </w:r>
      <w:r>
        <w:rPr>
          <w:rFonts w:eastAsiaTheme="minorEastAsia" w:hAnsiTheme="minorEastAsia" w:hint="eastAsia"/>
          <w:bCs/>
          <w:snapToGrid w:val="0"/>
          <w:kern w:val="0"/>
          <w:sz w:val="24"/>
        </w:rPr>
        <w:t>；</w:t>
      </w:r>
    </w:p>
    <w:p w14:paraId="474CF848"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bCs/>
          <w:snapToGrid w:val="0"/>
          <w:kern w:val="0"/>
          <w:sz w:val="24"/>
        </w:rPr>
        <w:t>（</w:t>
      </w:r>
      <w:r>
        <w:rPr>
          <w:rFonts w:eastAsiaTheme="minorEastAsia"/>
          <w:bCs/>
          <w:snapToGrid w:val="0"/>
          <w:kern w:val="0"/>
          <w:sz w:val="24"/>
        </w:rPr>
        <w:t>2</w:t>
      </w:r>
      <w:r>
        <w:rPr>
          <w:rFonts w:eastAsiaTheme="minorEastAsia" w:hAnsiTheme="minorEastAsia"/>
          <w:bCs/>
          <w:snapToGrid w:val="0"/>
          <w:kern w:val="0"/>
          <w:sz w:val="24"/>
        </w:rPr>
        <w:t>）《环境影响评</w:t>
      </w:r>
      <w:r>
        <w:rPr>
          <w:rFonts w:eastAsiaTheme="minorEastAsia" w:hAnsiTheme="minorEastAsia"/>
          <w:snapToGrid w:val="0"/>
          <w:kern w:val="0"/>
          <w:sz w:val="24"/>
        </w:rPr>
        <w:t>价技术导则</w:t>
      </w:r>
      <w:r>
        <w:rPr>
          <w:rFonts w:eastAsiaTheme="minorEastAsia"/>
          <w:snapToGrid w:val="0"/>
          <w:kern w:val="0"/>
          <w:sz w:val="24"/>
        </w:rPr>
        <w:t xml:space="preserve"> </w:t>
      </w:r>
      <w:r>
        <w:rPr>
          <w:rFonts w:eastAsiaTheme="minorEastAsia" w:hAnsiTheme="minorEastAsia"/>
          <w:snapToGrid w:val="0"/>
          <w:kern w:val="0"/>
          <w:sz w:val="24"/>
        </w:rPr>
        <w:t>大气环境》（</w:t>
      </w:r>
      <w:r>
        <w:rPr>
          <w:rFonts w:eastAsiaTheme="minorEastAsia"/>
          <w:snapToGrid w:val="0"/>
          <w:kern w:val="0"/>
          <w:sz w:val="24"/>
        </w:rPr>
        <w:t>HJ2.2-2018</w:t>
      </w:r>
      <w:r>
        <w:rPr>
          <w:rFonts w:eastAsiaTheme="minorEastAsia" w:hAnsiTheme="minorEastAsia"/>
          <w:snapToGrid w:val="0"/>
          <w:kern w:val="0"/>
          <w:sz w:val="24"/>
        </w:rPr>
        <w:t>）</w:t>
      </w:r>
      <w:r>
        <w:rPr>
          <w:rFonts w:eastAsiaTheme="minorEastAsia" w:hAnsiTheme="minorEastAsia" w:hint="eastAsia"/>
          <w:snapToGrid w:val="0"/>
          <w:kern w:val="0"/>
          <w:sz w:val="24"/>
        </w:rPr>
        <w:t>；</w:t>
      </w:r>
    </w:p>
    <w:p w14:paraId="6EDDC249"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3</w:t>
      </w:r>
      <w:r>
        <w:rPr>
          <w:rFonts w:eastAsiaTheme="minorEastAsia" w:hAnsiTheme="minorEastAsia"/>
          <w:snapToGrid w:val="0"/>
          <w:kern w:val="0"/>
          <w:sz w:val="24"/>
        </w:rPr>
        <w:t>）《环境影响评价技术导则</w:t>
      </w:r>
      <w:r>
        <w:rPr>
          <w:rFonts w:eastAsiaTheme="minorEastAsia"/>
          <w:snapToGrid w:val="0"/>
          <w:kern w:val="0"/>
          <w:sz w:val="24"/>
        </w:rPr>
        <w:t xml:space="preserve"> </w:t>
      </w:r>
      <w:r>
        <w:rPr>
          <w:rFonts w:eastAsiaTheme="minorEastAsia" w:hAnsiTheme="minorEastAsia"/>
          <w:snapToGrid w:val="0"/>
          <w:kern w:val="0"/>
          <w:sz w:val="24"/>
        </w:rPr>
        <w:t>地表水环境》（</w:t>
      </w:r>
      <w:r>
        <w:rPr>
          <w:rFonts w:eastAsiaTheme="minorEastAsia"/>
          <w:snapToGrid w:val="0"/>
          <w:kern w:val="0"/>
          <w:sz w:val="24"/>
        </w:rPr>
        <w:t>HJ2.3-2018</w:t>
      </w:r>
      <w:r>
        <w:rPr>
          <w:rFonts w:eastAsiaTheme="minorEastAsia" w:hAnsiTheme="minorEastAsia"/>
          <w:snapToGrid w:val="0"/>
          <w:kern w:val="0"/>
          <w:sz w:val="24"/>
        </w:rPr>
        <w:t>）</w:t>
      </w:r>
      <w:r>
        <w:rPr>
          <w:rFonts w:eastAsiaTheme="minorEastAsia" w:hAnsiTheme="minorEastAsia" w:hint="eastAsia"/>
          <w:snapToGrid w:val="0"/>
          <w:kern w:val="0"/>
          <w:sz w:val="24"/>
        </w:rPr>
        <w:t>；</w:t>
      </w:r>
    </w:p>
    <w:p w14:paraId="4C736C72"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4</w:t>
      </w:r>
      <w:r>
        <w:rPr>
          <w:rFonts w:eastAsiaTheme="minorEastAsia" w:hAnsiTheme="minorEastAsia"/>
          <w:snapToGrid w:val="0"/>
          <w:kern w:val="0"/>
          <w:sz w:val="24"/>
        </w:rPr>
        <w:t>）《环境影响评价技术导则</w:t>
      </w:r>
      <w:r>
        <w:rPr>
          <w:rFonts w:eastAsiaTheme="minorEastAsia"/>
          <w:snapToGrid w:val="0"/>
          <w:kern w:val="0"/>
          <w:sz w:val="24"/>
        </w:rPr>
        <w:t xml:space="preserve"> </w:t>
      </w:r>
      <w:r>
        <w:rPr>
          <w:rFonts w:eastAsiaTheme="minorEastAsia" w:hAnsiTheme="minorEastAsia"/>
          <w:snapToGrid w:val="0"/>
          <w:kern w:val="0"/>
          <w:sz w:val="24"/>
        </w:rPr>
        <w:t>声环境》（</w:t>
      </w:r>
      <w:r>
        <w:rPr>
          <w:rFonts w:eastAsiaTheme="minorEastAsia"/>
          <w:snapToGrid w:val="0"/>
          <w:kern w:val="0"/>
          <w:sz w:val="24"/>
        </w:rPr>
        <w:t>HJ2.4-2021</w:t>
      </w:r>
      <w:r>
        <w:rPr>
          <w:rFonts w:eastAsiaTheme="minorEastAsia" w:hAnsiTheme="minorEastAsia"/>
          <w:snapToGrid w:val="0"/>
          <w:kern w:val="0"/>
          <w:sz w:val="24"/>
        </w:rPr>
        <w:t>）</w:t>
      </w:r>
      <w:r>
        <w:rPr>
          <w:rFonts w:eastAsiaTheme="minorEastAsia" w:hAnsiTheme="minorEastAsia" w:hint="eastAsia"/>
          <w:snapToGrid w:val="0"/>
          <w:kern w:val="0"/>
          <w:sz w:val="24"/>
        </w:rPr>
        <w:t>；</w:t>
      </w:r>
    </w:p>
    <w:p w14:paraId="03142A0F"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5</w:t>
      </w:r>
      <w:r>
        <w:rPr>
          <w:rFonts w:eastAsiaTheme="minorEastAsia" w:hAnsiTheme="minorEastAsia"/>
          <w:snapToGrid w:val="0"/>
          <w:kern w:val="0"/>
          <w:sz w:val="24"/>
        </w:rPr>
        <w:t>）《环境影响评价技术导则</w:t>
      </w:r>
      <w:r>
        <w:rPr>
          <w:rFonts w:eastAsiaTheme="minorEastAsia"/>
          <w:snapToGrid w:val="0"/>
          <w:kern w:val="0"/>
          <w:sz w:val="24"/>
        </w:rPr>
        <w:t xml:space="preserve"> </w:t>
      </w:r>
      <w:r>
        <w:rPr>
          <w:rFonts w:eastAsiaTheme="minorEastAsia" w:hAnsiTheme="minorEastAsia"/>
          <w:snapToGrid w:val="0"/>
          <w:kern w:val="0"/>
          <w:sz w:val="24"/>
        </w:rPr>
        <w:t>地下水环境》（</w:t>
      </w:r>
      <w:r>
        <w:rPr>
          <w:rFonts w:eastAsiaTheme="minorEastAsia"/>
          <w:snapToGrid w:val="0"/>
          <w:kern w:val="0"/>
          <w:sz w:val="24"/>
        </w:rPr>
        <w:t>HJ610-2016</w:t>
      </w:r>
      <w:r>
        <w:rPr>
          <w:rFonts w:eastAsiaTheme="minorEastAsia" w:hAnsiTheme="minorEastAsia"/>
          <w:snapToGrid w:val="0"/>
          <w:kern w:val="0"/>
          <w:sz w:val="24"/>
        </w:rPr>
        <w:t>）</w:t>
      </w:r>
      <w:r>
        <w:rPr>
          <w:rFonts w:eastAsiaTheme="minorEastAsia" w:hAnsiTheme="minorEastAsia" w:hint="eastAsia"/>
          <w:snapToGrid w:val="0"/>
          <w:kern w:val="0"/>
          <w:sz w:val="24"/>
        </w:rPr>
        <w:t>；</w:t>
      </w:r>
    </w:p>
    <w:p w14:paraId="379E305B"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6</w:t>
      </w:r>
      <w:r>
        <w:rPr>
          <w:rFonts w:eastAsiaTheme="minorEastAsia" w:hAnsiTheme="minorEastAsia"/>
          <w:snapToGrid w:val="0"/>
          <w:kern w:val="0"/>
          <w:sz w:val="24"/>
        </w:rPr>
        <w:t>）《环境影响评价技术导则</w:t>
      </w:r>
      <w:r>
        <w:rPr>
          <w:rFonts w:eastAsiaTheme="minorEastAsia"/>
          <w:snapToGrid w:val="0"/>
          <w:kern w:val="0"/>
          <w:sz w:val="24"/>
        </w:rPr>
        <w:t xml:space="preserve"> </w:t>
      </w:r>
      <w:r>
        <w:rPr>
          <w:rFonts w:eastAsiaTheme="minorEastAsia" w:hAnsiTheme="minorEastAsia"/>
          <w:snapToGrid w:val="0"/>
          <w:kern w:val="0"/>
          <w:sz w:val="24"/>
        </w:rPr>
        <w:t>生态影响》（</w:t>
      </w:r>
      <w:r>
        <w:rPr>
          <w:rFonts w:eastAsiaTheme="minorEastAsia"/>
          <w:snapToGrid w:val="0"/>
          <w:kern w:val="0"/>
          <w:sz w:val="24"/>
        </w:rPr>
        <w:t>HJ19-2022</w:t>
      </w:r>
      <w:r>
        <w:rPr>
          <w:rFonts w:eastAsiaTheme="minorEastAsia" w:hAnsiTheme="minorEastAsia"/>
          <w:snapToGrid w:val="0"/>
          <w:kern w:val="0"/>
          <w:sz w:val="24"/>
        </w:rPr>
        <w:t>）</w:t>
      </w:r>
      <w:r>
        <w:rPr>
          <w:rFonts w:eastAsiaTheme="minorEastAsia" w:hAnsiTheme="minorEastAsia" w:hint="eastAsia"/>
          <w:snapToGrid w:val="0"/>
          <w:kern w:val="0"/>
          <w:sz w:val="24"/>
        </w:rPr>
        <w:t>；</w:t>
      </w:r>
    </w:p>
    <w:p w14:paraId="4AB1E1A9"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w:t>
      </w:r>
      <w:r>
        <w:rPr>
          <w:rFonts w:eastAsiaTheme="minorEastAsia"/>
          <w:snapToGrid w:val="0"/>
          <w:kern w:val="0"/>
          <w:sz w:val="24"/>
        </w:rPr>
        <w:t>7</w:t>
      </w:r>
      <w:r>
        <w:rPr>
          <w:rFonts w:eastAsiaTheme="minorEastAsia" w:hAnsiTheme="minorEastAsia"/>
          <w:snapToGrid w:val="0"/>
          <w:kern w:val="0"/>
          <w:sz w:val="24"/>
        </w:rPr>
        <w:t>）《环境影响评价技术导则</w:t>
      </w:r>
      <w:r>
        <w:rPr>
          <w:rFonts w:eastAsiaTheme="minorEastAsia"/>
          <w:snapToGrid w:val="0"/>
          <w:kern w:val="0"/>
          <w:sz w:val="24"/>
        </w:rPr>
        <w:t xml:space="preserve"> </w:t>
      </w:r>
      <w:r>
        <w:rPr>
          <w:rFonts w:eastAsiaTheme="minorEastAsia" w:hAnsiTheme="minorEastAsia"/>
          <w:snapToGrid w:val="0"/>
          <w:kern w:val="0"/>
          <w:sz w:val="24"/>
        </w:rPr>
        <w:t>土壤环境（试行）》（</w:t>
      </w:r>
      <w:r>
        <w:rPr>
          <w:rFonts w:eastAsiaTheme="minorEastAsia"/>
          <w:snapToGrid w:val="0"/>
          <w:kern w:val="0"/>
          <w:sz w:val="24"/>
        </w:rPr>
        <w:t>HJ964-2018</w:t>
      </w:r>
      <w:r>
        <w:rPr>
          <w:rFonts w:eastAsiaTheme="minorEastAsia" w:hAnsiTheme="minorEastAsia"/>
          <w:snapToGrid w:val="0"/>
          <w:kern w:val="0"/>
          <w:sz w:val="24"/>
        </w:rPr>
        <w:t>）；</w:t>
      </w:r>
    </w:p>
    <w:p w14:paraId="252AEFA1" w14:textId="77777777" w:rsidR="00B14D53" w:rsidRDefault="00000000">
      <w:pPr>
        <w:spacing w:line="360" w:lineRule="auto"/>
        <w:ind w:firstLineChars="200" w:firstLine="480"/>
        <w:contextualSpacing/>
        <w:rPr>
          <w:rFonts w:eastAsiaTheme="minorEastAsia" w:hAnsiTheme="minorEastAsia" w:hint="eastAsia"/>
          <w:snapToGrid w:val="0"/>
          <w:kern w:val="0"/>
          <w:sz w:val="24"/>
        </w:rPr>
      </w:pPr>
      <w:r>
        <w:rPr>
          <w:rFonts w:eastAsiaTheme="minorEastAsia" w:hAnsiTheme="minorEastAsia"/>
          <w:snapToGrid w:val="0"/>
          <w:kern w:val="0"/>
          <w:sz w:val="24"/>
        </w:rPr>
        <w:t>（</w:t>
      </w:r>
      <w:r>
        <w:rPr>
          <w:rFonts w:eastAsiaTheme="minorEastAsia"/>
          <w:snapToGrid w:val="0"/>
          <w:kern w:val="0"/>
          <w:sz w:val="24"/>
        </w:rPr>
        <w:t>8</w:t>
      </w:r>
      <w:r>
        <w:rPr>
          <w:rFonts w:eastAsiaTheme="minorEastAsia" w:hAnsiTheme="minorEastAsia"/>
          <w:snapToGrid w:val="0"/>
          <w:kern w:val="0"/>
          <w:sz w:val="24"/>
        </w:rPr>
        <w:t>）《建设项目环境风险评价技术导则》（</w:t>
      </w:r>
      <w:r>
        <w:rPr>
          <w:rFonts w:eastAsiaTheme="minorEastAsia"/>
          <w:snapToGrid w:val="0"/>
          <w:kern w:val="0"/>
          <w:sz w:val="24"/>
        </w:rPr>
        <w:t>HJ169-2018</w:t>
      </w:r>
      <w:r>
        <w:rPr>
          <w:rFonts w:eastAsiaTheme="minorEastAsia" w:hAnsiTheme="minorEastAsia"/>
          <w:snapToGrid w:val="0"/>
          <w:kern w:val="0"/>
          <w:sz w:val="24"/>
        </w:rPr>
        <w:t>）</w:t>
      </w:r>
      <w:r>
        <w:rPr>
          <w:rFonts w:eastAsiaTheme="minorEastAsia" w:hAnsiTheme="minorEastAsia" w:hint="eastAsia"/>
          <w:snapToGrid w:val="0"/>
          <w:kern w:val="0"/>
          <w:sz w:val="24"/>
        </w:rPr>
        <w:t>；</w:t>
      </w:r>
    </w:p>
    <w:p w14:paraId="7B37C827" w14:textId="77777777" w:rsidR="00B14D53" w:rsidRDefault="00000000">
      <w:pPr>
        <w:spacing w:line="360" w:lineRule="auto"/>
        <w:ind w:firstLineChars="200" w:firstLine="480"/>
        <w:contextualSpacing/>
        <w:rPr>
          <w:rFonts w:eastAsiaTheme="minorEastAsia"/>
          <w:snapToGrid w:val="0"/>
          <w:sz w:val="24"/>
        </w:rPr>
      </w:pPr>
      <w:r>
        <w:rPr>
          <w:rFonts w:eastAsiaTheme="minorEastAsia" w:hAnsiTheme="minorEastAsia"/>
          <w:snapToGrid w:val="0"/>
          <w:sz w:val="24"/>
        </w:rPr>
        <w:t>（</w:t>
      </w:r>
      <w:r>
        <w:rPr>
          <w:rFonts w:eastAsiaTheme="minorEastAsia" w:hint="eastAsia"/>
          <w:snapToGrid w:val="0"/>
          <w:sz w:val="24"/>
        </w:rPr>
        <w:t>9</w:t>
      </w:r>
      <w:r>
        <w:rPr>
          <w:rFonts w:eastAsiaTheme="minorEastAsia" w:hint="eastAsia"/>
          <w:snapToGrid w:val="0"/>
          <w:sz w:val="24"/>
        </w:rPr>
        <w:t>）</w:t>
      </w:r>
      <w:r>
        <w:rPr>
          <w:rFonts w:eastAsiaTheme="minorEastAsia" w:hAnsiTheme="minorEastAsia"/>
          <w:snapToGrid w:val="0"/>
          <w:sz w:val="24"/>
        </w:rPr>
        <w:t>《病死及病害动物无害化处理技术规范》（农医发</w:t>
      </w:r>
      <w:r>
        <w:rPr>
          <w:rFonts w:eastAsiaTheme="minorEastAsia"/>
          <w:snapToGrid w:val="0"/>
          <w:sz w:val="24"/>
        </w:rPr>
        <w:t>[2017]25</w:t>
      </w:r>
      <w:r>
        <w:rPr>
          <w:rFonts w:eastAsiaTheme="minorEastAsia" w:hAnsiTheme="minorEastAsia"/>
          <w:snapToGrid w:val="0"/>
          <w:sz w:val="24"/>
        </w:rPr>
        <w:t>号）</w:t>
      </w:r>
      <w:r>
        <w:rPr>
          <w:rFonts w:eastAsiaTheme="minorEastAsia" w:hAnsiTheme="minorEastAsia" w:hint="eastAsia"/>
          <w:snapToGrid w:val="0"/>
          <w:sz w:val="24"/>
        </w:rPr>
        <w:t>；</w:t>
      </w:r>
    </w:p>
    <w:p w14:paraId="26068A1D" w14:textId="77777777" w:rsidR="00B14D53" w:rsidRDefault="00000000">
      <w:pPr>
        <w:spacing w:line="360" w:lineRule="auto"/>
        <w:ind w:firstLineChars="200" w:firstLine="480"/>
        <w:contextualSpacing/>
        <w:rPr>
          <w:rFonts w:eastAsiaTheme="minorEastAsia" w:hAnsiTheme="minorEastAsia" w:hint="eastAsia"/>
          <w:snapToGrid w:val="0"/>
          <w:sz w:val="24"/>
        </w:rPr>
      </w:pPr>
      <w:r>
        <w:rPr>
          <w:rFonts w:eastAsiaTheme="minorEastAsia" w:hAnsiTheme="minorEastAsia"/>
          <w:snapToGrid w:val="0"/>
          <w:sz w:val="24"/>
        </w:rPr>
        <w:t>（</w:t>
      </w:r>
      <w:r>
        <w:rPr>
          <w:rFonts w:eastAsiaTheme="minorEastAsia"/>
          <w:snapToGrid w:val="0"/>
          <w:sz w:val="24"/>
        </w:rPr>
        <w:t>1</w:t>
      </w:r>
      <w:r>
        <w:rPr>
          <w:rFonts w:eastAsiaTheme="minorEastAsia" w:hint="eastAsia"/>
          <w:snapToGrid w:val="0"/>
          <w:sz w:val="24"/>
        </w:rPr>
        <w:t>0</w:t>
      </w:r>
      <w:r>
        <w:rPr>
          <w:rFonts w:eastAsiaTheme="minorEastAsia" w:hAnsiTheme="minorEastAsia"/>
          <w:snapToGrid w:val="0"/>
          <w:sz w:val="24"/>
        </w:rPr>
        <w:t>）《建筑防火通用规范》（</w:t>
      </w:r>
      <w:r>
        <w:rPr>
          <w:rFonts w:eastAsiaTheme="minorEastAsia" w:hAnsiTheme="minorEastAsia"/>
          <w:snapToGrid w:val="0"/>
          <w:sz w:val="24"/>
        </w:rPr>
        <w:t>GB 55037-2022</w:t>
      </w:r>
      <w:r>
        <w:rPr>
          <w:rFonts w:eastAsiaTheme="minorEastAsia" w:hAnsiTheme="minorEastAsia"/>
          <w:snapToGrid w:val="0"/>
          <w:sz w:val="24"/>
        </w:rPr>
        <w:t>）</w:t>
      </w:r>
      <w:r>
        <w:rPr>
          <w:rFonts w:eastAsiaTheme="minorEastAsia" w:hAnsiTheme="minorEastAsia" w:hint="eastAsia"/>
          <w:snapToGrid w:val="0"/>
          <w:sz w:val="24"/>
        </w:rPr>
        <w:t>；</w:t>
      </w:r>
    </w:p>
    <w:p w14:paraId="63ED3D72" w14:textId="77777777" w:rsidR="00B14D53" w:rsidRDefault="00000000">
      <w:pPr>
        <w:spacing w:line="360" w:lineRule="auto"/>
        <w:ind w:firstLineChars="200" w:firstLine="480"/>
        <w:rPr>
          <w:snapToGrid w:val="0"/>
          <w:kern w:val="0"/>
          <w:sz w:val="24"/>
        </w:rPr>
      </w:pPr>
      <w:r>
        <w:rPr>
          <w:snapToGrid w:val="0"/>
          <w:kern w:val="0"/>
          <w:sz w:val="24"/>
        </w:rPr>
        <w:t>《排污许可证申请与核发技术规范农副食品加工工业</w:t>
      </w:r>
      <w:r>
        <w:rPr>
          <w:rFonts w:hint="eastAsia"/>
          <w:snapToGrid w:val="0"/>
          <w:kern w:val="0"/>
          <w:sz w:val="24"/>
        </w:rPr>
        <w:t xml:space="preserve"> </w:t>
      </w:r>
      <w:r>
        <w:rPr>
          <w:snapToGrid w:val="0"/>
          <w:kern w:val="0"/>
          <w:sz w:val="24"/>
        </w:rPr>
        <w:t>屠宰及肉类加工工业》（</w:t>
      </w:r>
      <w:r>
        <w:rPr>
          <w:snapToGrid w:val="0"/>
          <w:kern w:val="0"/>
          <w:sz w:val="24"/>
        </w:rPr>
        <w:t>HJ860.3-2018</w:t>
      </w:r>
      <w:r>
        <w:rPr>
          <w:snapToGrid w:val="0"/>
          <w:kern w:val="0"/>
          <w:sz w:val="24"/>
        </w:rPr>
        <w:t>）；</w:t>
      </w:r>
    </w:p>
    <w:p w14:paraId="1F5B201F" w14:textId="77777777" w:rsidR="00B14D53" w:rsidRDefault="00000000">
      <w:pPr>
        <w:spacing w:line="360" w:lineRule="auto"/>
        <w:ind w:firstLineChars="200" w:firstLine="480"/>
        <w:rPr>
          <w:snapToGrid w:val="0"/>
          <w:kern w:val="0"/>
          <w:sz w:val="24"/>
        </w:rPr>
      </w:pPr>
      <w:r>
        <w:rPr>
          <w:snapToGrid w:val="0"/>
          <w:kern w:val="0"/>
          <w:sz w:val="24"/>
        </w:rPr>
        <w:t>（</w:t>
      </w:r>
      <w:r>
        <w:rPr>
          <w:snapToGrid w:val="0"/>
          <w:kern w:val="0"/>
          <w:sz w:val="24"/>
        </w:rPr>
        <w:t>1</w:t>
      </w:r>
      <w:r>
        <w:rPr>
          <w:rFonts w:hint="eastAsia"/>
          <w:snapToGrid w:val="0"/>
          <w:kern w:val="0"/>
          <w:sz w:val="24"/>
        </w:rPr>
        <w:t>1</w:t>
      </w:r>
      <w:r>
        <w:rPr>
          <w:snapToGrid w:val="0"/>
          <w:kern w:val="0"/>
          <w:sz w:val="24"/>
        </w:rPr>
        <w:t>）《排污单位自行监测技术指南</w:t>
      </w:r>
      <w:r>
        <w:rPr>
          <w:snapToGrid w:val="0"/>
          <w:kern w:val="0"/>
          <w:sz w:val="24"/>
        </w:rPr>
        <w:t xml:space="preserve"> </w:t>
      </w:r>
      <w:r>
        <w:rPr>
          <w:snapToGrid w:val="0"/>
          <w:kern w:val="0"/>
          <w:sz w:val="24"/>
        </w:rPr>
        <w:t>农副食品加工业》（</w:t>
      </w:r>
      <w:r>
        <w:rPr>
          <w:snapToGrid w:val="0"/>
          <w:kern w:val="0"/>
          <w:sz w:val="24"/>
        </w:rPr>
        <w:t>HJ986-2018</w:t>
      </w:r>
      <w:r>
        <w:rPr>
          <w:snapToGrid w:val="0"/>
          <w:kern w:val="0"/>
          <w:sz w:val="24"/>
        </w:rPr>
        <w:t>）</w:t>
      </w:r>
      <w:r>
        <w:rPr>
          <w:rFonts w:hint="eastAsia"/>
          <w:snapToGrid w:val="0"/>
          <w:kern w:val="0"/>
          <w:sz w:val="24"/>
        </w:rPr>
        <w:t>；</w:t>
      </w:r>
    </w:p>
    <w:p w14:paraId="05EC19B6" w14:textId="77777777" w:rsidR="00B14D53" w:rsidRDefault="00000000">
      <w:pPr>
        <w:spacing w:line="360" w:lineRule="auto"/>
        <w:ind w:firstLineChars="200" w:firstLine="480"/>
        <w:rPr>
          <w:snapToGrid w:val="0"/>
          <w:kern w:val="0"/>
          <w:sz w:val="24"/>
        </w:rPr>
      </w:pPr>
      <w:r>
        <w:rPr>
          <w:snapToGrid w:val="0"/>
          <w:kern w:val="0"/>
          <w:sz w:val="24"/>
        </w:rPr>
        <w:t>（</w:t>
      </w:r>
      <w:r>
        <w:rPr>
          <w:rFonts w:hint="eastAsia"/>
          <w:snapToGrid w:val="0"/>
          <w:kern w:val="0"/>
          <w:sz w:val="24"/>
        </w:rPr>
        <w:t>12</w:t>
      </w:r>
      <w:r>
        <w:rPr>
          <w:snapToGrid w:val="0"/>
          <w:kern w:val="0"/>
          <w:sz w:val="24"/>
        </w:rPr>
        <w:t>）《屠宰与肉类加工废水治理工程技术规范》（</w:t>
      </w:r>
      <w:r>
        <w:rPr>
          <w:snapToGrid w:val="0"/>
          <w:kern w:val="0"/>
          <w:sz w:val="24"/>
        </w:rPr>
        <w:t>HJ2004-2010</w:t>
      </w:r>
      <w:r>
        <w:rPr>
          <w:snapToGrid w:val="0"/>
          <w:kern w:val="0"/>
          <w:sz w:val="24"/>
        </w:rPr>
        <w:t>）；</w:t>
      </w:r>
    </w:p>
    <w:p w14:paraId="4DA3036E" w14:textId="77777777" w:rsidR="00B14D53" w:rsidRDefault="00000000">
      <w:pPr>
        <w:spacing w:line="360" w:lineRule="auto"/>
        <w:ind w:firstLineChars="200" w:firstLine="480"/>
        <w:rPr>
          <w:snapToGrid w:val="0"/>
          <w:kern w:val="0"/>
          <w:sz w:val="24"/>
        </w:rPr>
      </w:pPr>
      <w:r>
        <w:rPr>
          <w:snapToGrid w:val="0"/>
          <w:kern w:val="0"/>
          <w:sz w:val="24"/>
        </w:rPr>
        <w:t>（</w:t>
      </w:r>
      <w:r>
        <w:rPr>
          <w:snapToGrid w:val="0"/>
          <w:kern w:val="0"/>
          <w:sz w:val="24"/>
        </w:rPr>
        <w:t>1</w:t>
      </w:r>
      <w:r>
        <w:rPr>
          <w:rFonts w:hint="eastAsia"/>
          <w:snapToGrid w:val="0"/>
          <w:kern w:val="0"/>
          <w:sz w:val="24"/>
        </w:rPr>
        <w:t>4</w:t>
      </w:r>
      <w:r>
        <w:rPr>
          <w:snapToGrid w:val="0"/>
          <w:kern w:val="0"/>
          <w:sz w:val="24"/>
        </w:rPr>
        <w:t>）《屠宰及肉类加工业污染防治可行技术指南》（</w:t>
      </w:r>
      <w:r>
        <w:rPr>
          <w:snapToGrid w:val="0"/>
          <w:kern w:val="0"/>
          <w:sz w:val="24"/>
        </w:rPr>
        <w:t>HJ 1285—2023</w:t>
      </w:r>
      <w:r>
        <w:rPr>
          <w:snapToGrid w:val="0"/>
          <w:kern w:val="0"/>
          <w:sz w:val="24"/>
        </w:rPr>
        <w:t>）</w:t>
      </w:r>
      <w:r>
        <w:rPr>
          <w:rFonts w:hint="eastAsia"/>
          <w:snapToGrid w:val="0"/>
          <w:kern w:val="0"/>
          <w:sz w:val="24"/>
        </w:rPr>
        <w:t>；</w:t>
      </w:r>
    </w:p>
    <w:p w14:paraId="01C7622A" w14:textId="77777777" w:rsidR="00B14D53" w:rsidRDefault="00000000">
      <w:pPr>
        <w:spacing w:line="360" w:lineRule="auto"/>
        <w:ind w:firstLineChars="200" w:firstLine="480"/>
        <w:rPr>
          <w:snapToGrid w:val="0"/>
          <w:kern w:val="0"/>
          <w:sz w:val="24"/>
        </w:rPr>
      </w:pPr>
      <w:r>
        <w:rPr>
          <w:snapToGrid w:val="0"/>
          <w:kern w:val="0"/>
          <w:sz w:val="24"/>
        </w:rPr>
        <w:t>（</w:t>
      </w:r>
      <w:r>
        <w:rPr>
          <w:snapToGrid w:val="0"/>
          <w:kern w:val="0"/>
          <w:sz w:val="24"/>
        </w:rPr>
        <w:t>1</w:t>
      </w:r>
      <w:r>
        <w:rPr>
          <w:rFonts w:hint="eastAsia"/>
          <w:snapToGrid w:val="0"/>
          <w:kern w:val="0"/>
          <w:sz w:val="24"/>
        </w:rPr>
        <w:t>5</w:t>
      </w:r>
      <w:r>
        <w:rPr>
          <w:snapToGrid w:val="0"/>
          <w:kern w:val="0"/>
          <w:sz w:val="24"/>
        </w:rPr>
        <w:t>）《冷库设计标准》（</w:t>
      </w:r>
      <w:r>
        <w:rPr>
          <w:snapToGrid w:val="0"/>
          <w:kern w:val="0"/>
          <w:sz w:val="24"/>
        </w:rPr>
        <w:t>GB50072-2021</w:t>
      </w:r>
      <w:r>
        <w:rPr>
          <w:snapToGrid w:val="0"/>
          <w:kern w:val="0"/>
          <w:sz w:val="24"/>
        </w:rPr>
        <w:t>）；</w:t>
      </w:r>
    </w:p>
    <w:p w14:paraId="590D9882" w14:textId="77777777" w:rsidR="00B14D53" w:rsidRDefault="00000000">
      <w:pPr>
        <w:spacing w:line="360" w:lineRule="auto"/>
        <w:ind w:firstLineChars="200" w:firstLine="480"/>
        <w:contextualSpacing/>
        <w:rPr>
          <w:rFonts w:eastAsiaTheme="minorEastAsia"/>
          <w:snapToGrid w:val="0"/>
          <w:kern w:val="0"/>
          <w:sz w:val="24"/>
        </w:rPr>
      </w:pPr>
      <w:r>
        <w:rPr>
          <w:snapToGrid w:val="0"/>
          <w:kern w:val="0"/>
          <w:sz w:val="24"/>
        </w:rPr>
        <w:t>（</w:t>
      </w:r>
      <w:r>
        <w:rPr>
          <w:snapToGrid w:val="0"/>
          <w:kern w:val="0"/>
          <w:sz w:val="24"/>
        </w:rPr>
        <w:t>1</w:t>
      </w:r>
      <w:r>
        <w:rPr>
          <w:rFonts w:hint="eastAsia"/>
          <w:snapToGrid w:val="0"/>
          <w:kern w:val="0"/>
          <w:sz w:val="24"/>
        </w:rPr>
        <w:t>6</w:t>
      </w:r>
      <w:r>
        <w:rPr>
          <w:snapToGrid w:val="0"/>
          <w:kern w:val="0"/>
          <w:sz w:val="24"/>
        </w:rPr>
        <w:t>）《食品安全国家标准</w:t>
      </w:r>
      <w:r>
        <w:rPr>
          <w:snapToGrid w:val="0"/>
          <w:kern w:val="0"/>
          <w:sz w:val="24"/>
        </w:rPr>
        <w:t xml:space="preserve"> </w:t>
      </w:r>
      <w:r>
        <w:rPr>
          <w:snapToGrid w:val="0"/>
          <w:kern w:val="0"/>
          <w:sz w:val="24"/>
        </w:rPr>
        <w:t>畜禽屠宰加工卫生规范》（</w:t>
      </w:r>
      <w:r>
        <w:rPr>
          <w:snapToGrid w:val="0"/>
          <w:kern w:val="0"/>
          <w:sz w:val="24"/>
        </w:rPr>
        <w:t>GB12694-2016</w:t>
      </w:r>
      <w:r>
        <w:rPr>
          <w:snapToGrid w:val="0"/>
          <w:kern w:val="0"/>
          <w:sz w:val="24"/>
        </w:rPr>
        <w:t>）</w:t>
      </w:r>
      <w:r>
        <w:rPr>
          <w:rFonts w:eastAsiaTheme="minorEastAsia" w:hint="eastAsia"/>
          <w:snapToGrid w:val="0"/>
          <w:kern w:val="0"/>
          <w:sz w:val="24"/>
        </w:rPr>
        <w:t>；</w:t>
      </w:r>
    </w:p>
    <w:p w14:paraId="79A0965B"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snapToGrid w:val="0"/>
          <w:kern w:val="0"/>
          <w:sz w:val="24"/>
        </w:rPr>
        <w:t>（</w:t>
      </w:r>
      <w:r>
        <w:rPr>
          <w:rFonts w:eastAsiaTheme="minorEastAsia" w:hint="eastAsia"/>
          <w:snapToGrid w:val="0"/>
          <w:kern w:val="0"/>
          <w:sz w:val="24"/>
        </w:rPr>
        <w:t>17</w:t>
      </w:r>
      <w:r>
        <w:rPr>
          <w:rFonts w:eastAsiaTheme="minorEastAsia"/>
          <w:snapToGrid w:val="0"/>
          <w:kern w:val="0"/>
          <w:sz w:val="24"/>
        </w:rPr>
        <w:t>）</w:t>
      </w:r>
      <w:r>
        <w:rPr>
          <w:rFonts w:eastAsiaTheme="minorEastAsia" w:hint="eastAsia"/>
          <w:snapToGrid w:val="0"/>
          <w:kern w:val="0"/>
          <w:sz w:val="24"/>
        </w:rPr>
        <w:t>《固体废物分类与代码目录》（</w:t>
      </w:r>
      <w:r>
        <w:rPr>
          <w:rFonts w:eastAsiaTheme="minorEastAsia" w:hint="eastAsia"/>
          <w:snapToGrid w:val="0"/>
          <w:kern w:val="0"/>
          <w:sz w:val="24"/>
        </w:rPr>
        <w:t>2024</w:t>
      </w:r>
      <w:r>
        <w:rPr>
          <w:rFonts w:eastAsiaTheme="minorEastAsia" w:hint="eastAsia"/>
          <w:snapToGrid w:val="0"/>
          <w:kern w:val="0"/>
          <w:sz w:val="24"/>
        </w:rPr>
        <w:t>年</w:t>
      </w:r>
      <w:r>
        <w:rPr>
          <w:rFonts w:eastAsiaTheme="minorEastAsia" w:hint="eastAsia"/>
          <w:snapToGrid w:val="0"/>
          <w:kern w:val="0"/>
          <w:sz w:val="24"/>
        </w:rPr>
        <w:t>1</w:t>
      </w:r>
      <w:r>
        <w:rPr>
          <w:rFonts w:eastAsiaTheme="minorEastAsia" w:hint="eastAsia"/>
          <w:snapToGrid w:val="0"/>
          <w:kern w:val="0"/>
          <w:sz w:val="24"/>
        </w:rPr>
        <w:t>月</w:t>
      </w:r>
      <w:r>
        <w:rPr>
          <w:rFonts w:eastAsiaTheme="minorEastAsia" w:hint="eastAsia"/>
          <w:snapToGrid w:val="0"/>
          <w:kern w:val="0"/>
          <w:sz w:val="24"/>
        </w:rPr>
        <w:t>19</w:t>
      </w:r>
      <w:r>
        <w:rPr>
          <w:rFonts w:eastAsiaTheme="minorEastAsia" w:hint="eastAsia"/>
          <w:snapToGrid w:val="0"/>
          <w:kern w:val="0"/>
          <w:sz w:val="24"/>
        </w:rPr>
        <w:t>日）。</w:t>
      </w:r>
    </w:p>
    <w:bookmarkEnd w:id="30"/>
    <w:p w14:paraId="20B51DD1"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2.1.</w:t>
      </w:r>
      <w:r>
        <w:rPr>
          <w:rFonts w:ascii="Times New Roman" w:eastAsia="黑体" w:hAnsi="Times New Roman" w:cs="Times New Roman" w:hint="eastAsia"/>
          <w:bCs/>
          <w:sz w:val="28"/>
          <w:szCs w:val="28"/>
        </w:rPr>
        <w:t>5</w:t>
      </w:r>
      <w:r>
        <w:rPr>
          <w:rFonts w:ascii="Times New Roman" w:eastAsia="黑体" w:hAnsi="Times New Roman" w:cs="Times New Roman"/>
          <w:bCs/>
          <w:sz w:val="28"/>
          <w:szCs w:val="28"/>
        </w:rPr>
        <w:t>其他资料</w:t>
      </w:r>
    </w:p>
    <w:p w14:paraId="5F459F09" w14:textId="77777777" w:rsidR="00B14D53" w:rsidRDefault="00000000">
      <w:pPr>
        <w:pStyle w:val="afff"/>
        <w:adjustRightInd/>
        <w:snapToGrid/>
        <w:contextualSpacing/>
        <w:jc w:val="both"/>
        <w:rPr>
          <w:rFonts w:ascii="Times New Roman" w:hAnsi="Times New Roman" w:cs="Times New Roman"/>
          <w:bCs/>
        </w:rPr>
      </w:pPr>
      <w:r>
        <w:rPr>
          <w:rFonts w:ascii="Times New Roman" w:hAnsiTheme="minorEastAsia" w:cs="Times New Roman" w:hint="eastAsia"/>
          <w:bCs/>
        </w:rPr>
        <w:t>五常市三元肉类加工有限公司</w:t>
      </w:r>
      <w:r>
        <w:rPr>
          <w:rFonts w:ascii="Times New Roman" w:hAnsiTheme="minorEastAsia" w:cs="Times New Roman"/>
          <w:bCs/>
        </w:rPr>
        <w:t>委托哈尔滨茸昌环保科技有限公司编制《</w:t>
      </w:r>
      <w:r>
        <w:rPr>
          <w:rFonts w:ascii="Times New Roman" w:hAnsiTheme="minorEastAsia" w:cs="Times New Roman" w:hint="eastAsia"/>
          <w:bCs/>
        </w:rPr>
        <w:t>五常市三元肉类加工有限公司建设项目</w:t>
      </w:r>
      <w:r>
        <w:rPr>
          <w:rFonts w:ascii="Times New Roman" w:hAnsiTheme="minorEastAsia" w:cs="Times New Roman"/>
          <w:bCs/>
        </w:rPr>
        <w:t>》技术咨询合同书。</w:t>
      </w:r>
    </w:p>
    <w:p w14:paraId="0CF2FA62"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sz w:val="30"/>
          <w:szCs w:val="30"/>
        </w:rPr>
      </w:pPr>
      <w:bookmarkStart w:id="37" w:name="_Toc22789"/>
      <w:r>
        <w:rPr>
          <w:rFonts w:ascii="Times New Roman" w:eastAsia="黑体" w:hAnsi="Times New Roman" w:cs="Times New Roman"/>
          <w:b w:val="0"/>
          <w:sz w:val="30"/>
          <w:szCs w:val="30"/>
        </w:rPr>
        <w:t>2.2</w:t>
      </w:r>
      <w:r>
        <w:rPr>
          <w:rFonts w:ascii="Times New Roman" w:eastAsia="黑体" w:hAnsi="Times New Roman" w:cs="Times New Roman"/>
          <w:b w:val="0"/>
          <w:sz w:val="30"/>
          <w:szCs w:val="30"/>
        </w:rPr>
        <w:t>环境影响因素识别与评价因子筛选</w:t>
      </w:r>
      <w:bookmarkEnd w:id="37"/>
    </w:p>
    <w:p w14:paraId="607C3A78"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2.2.1</w:t>
      </w:r>
      <w:r>
        <w:rPr>
          <w:rFonts w:ascii="Times New Roman" w:eastAsia="黑体" w:hAnsi="Times New Roman" w:cs="Times New Roman"/>
          <w:bCs/>
          <w:sz w:val="28"/>
          <w:szCs w:val="28"/>
        </w:rPr>
        <w:t>环境影响因素识别</w:t>
      </w:r>
    </w:p>
    <w:p w14:paraId="18DC08A1" w14:textId="77777777" w:rsidR="00B14D53" w:rsidRDefault="00000000">
      <w:pPr>
        <w:spacing w:line="360" w:lineRule="auto"/>
        <w:ind w:firstLineChars="177" w:firstLine="425"/>
        <w:rPr>
          <w:rFonts w:eastAsiaTheme="minorEastAsia"/>
          <w:sz w:val="24"/>
        </w:rPr>
      </w:pPr>
      <w:r>
        <w:rPr>
          <w:rFonts w:eastAsiaTheme="minorEastAsia" w:hAnsiTheme="minorEastAsia" w:hint="eastAsia"/>
          <w:sz w:val="24"/>
        </w:rPr>
        <w:t>本项目工程环境影响与环境影响因子识别表见下表</w:t>
      </w:r>
      <w:r>
        <w:rPr>
          <w:rFonts w:eastAsiaTheme="minorEastAsia" w:hAnsiTheme="minorEastAsia"/>
          <w:sz w:val="24"/>
        </w:rPr>
        <w:t>。</w:t>
      </w:r>
    </w:p>
    <w:p w14:paraId="4C43C5B4" w14:textId="77777777" w:rsidR="00B14D53" w:rsidRDefault="00000000">
      <w:pPr>
        <w:jc w:val="center"/>
        <w:rPr>
          <w:b/>
          <w:bCs/>
        </w:rPr>
      </w:pPr>
      <w:r>
        <w:rPr>
          <w:b/>
          <w:bCs/>
        </w:rPr>
        <w:t>表</w:t>
      </w:r>
      <w:r>
        <w:rPr>
          <w:b/>
          <w:bCs/>
        </w:rPr>
        <w:t>2-2-1</w:t>
      </w:r>
      <w:r>
        <w:rPr>
          <w:rFonts w:hint="eastAsia"/>
          <w:b/>
          <w:bCs/>
        </w:rPr>
        <w:t xml:space="preserve"> </w:t>
      </w:r>
      <w:r>
        <w:rPr>
          <w:b/>
          <w:bCs/>
        </w:rPr>
        <w:t>环境影响因素识别一览表</w:t>
      </w:r>
    </w:p>
    <w:tbl>
      <w:tblPr>
        <w:tblStyle w:val="aff8"/>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87"/>
        <w:gridCol w:w="1187"/>
        <w:gridCol w:w="1187"/>
        <w:gridCol w:w="1186"/>
        <w:gridCol w:w="1186"/>
        <w:gridCol w:w="1186"/>
        <w:gridCol w:w="1187"/>
      </w:tblGrid>
      <w:tr w:rsidR="00B14D53" w14:paraId="244E8252" w14:textId="77777777">
        <w:trPr>
          <w:jc w:val="center"/>
        </w:trPr>
        <w:tc>
          <w:tcPr>
            <w:tcW w:w="1189" w:type="dxa"/>
            <w:vMerge w:val="restart"/>
            <w:vAlign w:val="center"/>
          </w:tcPr>
          <w:p w14:paraId="5F047397" w14:textId="77777777" w:rsidR="00B14D53" w:rsidRDefault="00000000">
            <w:pPr>
              <w:pStyle w:val="affffffffff1"/>
              <w:rPr>
                <w:b/>
                <w:bCs/>
              </w:rPr>
            </w:pPr>
            <w:r>
              <w:rPr>
                <w:rFonts w:hint="eastAsia"/>
                <w:b/>
                <w:bCs/>
              </w:rPr>
              <w:t>项目阶段</w:t>
            </w:r>
          </w:p>
        </w:tc>
        <w:tc>
          <w:tcPr>
            <w:tcW w:w="1189" w:type="dxa"/>
            <w:vMerge w:val="restart"/>
            <w:vAlign w:val="center"/>
          </w:tcPr>
          <w:p w14:paraId="48D34298" w14:textId="77777777" w:rsidR="00B14D53" w:rsidRDefault="00000000">
            <w:pPr>
              <w:pStyle w:val="affffffffff1"/>
              <w:rPr>
                <w:b/>
                <w:bCs/>
              </w:rPr>
            </w:pPr>
            <w:r>
              <w:rPr>
                <w:rFonts w:hint="eastAsia"/>
                <w:b/>
                <w:bCs/>
              </w:rPr>
              <w:t>影响要素</w:t>
            </w:r>
          </w:p>
        </w:tc>
        <w:tc>
          <w:tcPr>
            <w:tcW w:w="5942" w:type="dxa"/>
            <w:gridSpan w:val="5"/>
            <w:vAlign w:val="center"/>
          </w:tcPr>
          <w:p w14:paraId="6BAE99C8" w14:textId="77777777" w:rsidR="00B14D53" w:rsidRDefault="00000000">
            <w:pPr>
              <w:pStyle w:val="affffffffff1"/>
              <w:rPr>
                <w:b/>
                <w:bCs/>
              </w:rPr>
            </w:pPr>
            <w:r>
              <w:rPr>
                <w:rFonts w:hint="eastAsia"/>
                <w:b/>
                <w:bCs/>
              </w:rPr>
              <w:t>环境要素</w:t>
            </w:r>
          </w:p>
        </w:tc>
      </w:tr>
      <w:tr w:rsidR="00B14D53" w14:paraId="23CD0BD8" w14:textId="77777777">
        <w:trPr>
          <w:jc w:val="center"/>
        </w:trPr>
        <w:tc>
          <w:tcPr>
            <w:tcW w:w="1189" w:type="dxa"/>
            <w:vMerge/>
            <w:vAlign w:val="center"/>
          </w:tcPr>
          <w:p w14:paraId="72EA5695" w14:textId="77777777" w:rsidR="00B14D53" w:rsidRDefault="00B14D53">
            <w:pPr>
              <w:pStyle w:val="affffffffff1"/>
              <w:rPr>
                <w:b/>
                <w:bCs/>
              </w:rPr>
            </w:pPr>
          </w:p>
        </w:tc>
        <w:tc>
          <w:tcPr>
            <w:tcW w:w="1189" w:type="dxa"/>
            <w:vMerge/>
            <w:vAlign w:val="center"/>
          </w:tcPr>
          <w:p w14:paraId="23088752" w14:textId="77777777" w:rsidR="00B14D53" w:rsidRDefault="00B14D53">
            <w:pPr>
              <w:pStyle w:val="affffffffff1"/>
              <w:rPr>
                <w:b/>
                <w:bCs/>
              </w:rPr>
            </w:pPr>
          </w:p>
        </w:tc>
        <w:tc>
          <w:tcPr>
            <w:tcW w:w="1189" w:type="dxa"/>
            <w:vAlign w:val="center"/>
          </w:tcPr>
          <w:p w14:paraId="193C0B90" w14:textId="77777777" w:rsidR="00B14D53" w:rsidRDefault="00000000">
            <w:pPr>
              <w:pStyle w:val="affffffffff1"/>
              <w:rPr>
                <w:b/>
                <w:bCs/>
              </w:rPr>
            </w:pPr>
            <w:r>
              <w:rPr>
                <w:rFonts w:hint="eastAsia"/>
                <w:b/>
                <w:bCs/>
              </w:rPr>
              <w:t>地下水</w:t>
            </w:r>
          </w:p>
        </w:tc>
        <w:tc>
          <w:tcPr>
            <w:tcW w:w="1188" w:type="dxa"/>
            <w:vAlign w:val="center"/>
          </w:tcPr>
          <w:p w14:paraId="2F9464B0" w14:textId="77777777" w:rsidR="00B14D53" w:rsidRDefault="00000000">
            <w:pPr>
              <w:pStyle w:val="affffffffff1"/>
              <w:rPr>
                <w:b/>
                <w:bCs/>
              </w:rPr>
            </w:pPr>
            <w:r>
              <w:rPr>
                <w:rFonts w:hint="eastAsia"/>
                <w:b/>
                <w:bCs/>
              </w:rPr>
              <w:t>地表水</w:t>
            </w:r>
          </w:p>
        </w:tc>
        <w:tc>
          <w:tcPr>
            <w:tcW w:w="1188" w:type="dxa"/>
            <w:vAlign w:val="center"/>
          </w:tcPr>
          <w:p w14:paraId="6AE77174" w14:textId="77777777" w:rsidR="00B14D53" w:rsidRDefault="00000000">
            <w:pPr>
              <w:pStyle w:val="affffffffff1"/>
              <w:rPr>
                <w:b/>
                <w:bCs/>
              </w:rPr>
            </w:pPr>
            <w:r>
              <w:rPr>
                <w:rFonts w:hint="eastAsia"/>
                <w:b/>
                <w:bCs/>
              </w:rPr>
              <w:t>环境空气</w:t>
            </w:r>
          </w:p>
        </w:tc>
        <w:tc>
          <w:tcPr>
            <w:tcW w:w="1188" w:type="dxa"/>
            <w:vAlign w:val="center"/>
          </w:tcPr>
          <w:p w14:paraId="4BF84DD9" w14:textId="77777777" w:rsidR="00B14D53" w:rsidRDefault="00000000">
            <w:pPr>
              <w:pStyle w:val="affffffffff1"/>
              <w:rPr>
                <w:b/>
                <w:bCs/>
              </w:rPr>
            </w:pPr>
            <w:r>
              <w:rPr>
                <w:rFonts w:hint="eastAsia"/>
                <w:b/>
                <w:bCs/>
              </w:rPr>
              <w:t>声环境</w:t>
            </w:r>
          </w:p>
        </w:tc>
        <w:tc>
          <w:tcPr>
            <w:tcW w:w="1189" w:type="dxa"/>
            <w:vAlign w:val="center"/>
          </w:tcPr>
          <w:p w14:paraId="0FCF6E74" w14:textId="77777777" w:rsidR="00B14D53" w:rsidRDefault="00000000">
            <w:pPr>
              <w:pStyle w:val="affffffffff1"/>
              <w:rPr>
                <w:b/>
                <w:bCs/>
              </w:rPr>
            </w:pPr>
            <w:r>
              <w:rPr>
                <w:rFonts w:hint="eastAsia"/>
                <w:b/>
                <w:bCs/>
              </w:rPr>
              <w:t>生态环境</w:t>
            </w:r>
          </w:p>
        </w:tc>
      </w:tr>
      <w:tr w:rsidR="00B14D53" w14:paraId="6A8BC044" w14:textId="77777777">
        <w:trPr>
          <w:jc w:val="center"/>
        </w:trPr>
        <w:tc>
          <w:tcPr>
            <w:tcW w:w="1189" w:type="dxa"/>
            <w:vMerge w:val="restart"/>
            <w:vAlign w:val="center"/>
          </w:tcPr>
          <w:p w14:paraId="0C4C1DB0" w14:textId="77777777" w:rsidR="00B14D53" w:rsidRDefault="00000000">
            <w:pPr>
              <w:pStyle w:val="affffffffff1"/>
            </w:pPr>
            <w:r>
              <w:rPr>
                <w:rFonts w:hint="eastAsia"/>
              </w:rPr>
              <w:t>施工期</w:t>
            </w:r>
          </w:p>
        </w:tc>
        <w:tc>
          <w:tcPr>
            <w:tcW w:w="1189" w:type="dxa"/>
            <w:vAlign w:val="center"/>
          </w:tcPr>
          <w:p w14:paraId="5F1B8F99" w14:textId="77777777" w:rsidR="00B14D53" w:rsidRDefault="00000000">
            <w:pPr>
              <w:pStyle w:val="affffffffff1"/>
            </w:pPr>
            <w:r>
              <w:rPr>
                <w:rFonts w:hint="eastAsia"/>
              </w:rPr>
              <w:t>地面平整</w:t>
            </w:r>
          </w:p>
        </w:tc>
        <w:tc>
          <w:tcPr>
            <w:tcW w:w="1189" w:type="dxa"/>
            <w:vAlign w:val="center"/>
          </w:tcPr>
          <w:p w14:paraId="3F60D64B" w14:textId="77777777" w:rsidR="00B14D53" w:rsidRDefault="00B14D53">
            <w:pPr>
              <w:pStyle w:val="affffffffff1"/>
            </w:pPr>
          </w:p>
        </w:tc>
        <w:tc>
          <w:tcPr>
            <w:tcW w:w="1188" w:type="dxa"/>
            <w:vAlign w:val="center"/>
          </w:tcPr>
          <w:p w14:paraId="0109E2CD" w14:textId="77777777" w:rsidR="00B14D53" w:rsidRDefault="00B14D53">
            <w:pPr>
              <w:pStyle w:val="affffffffff1"/>
            </w:pPr>
          </w:p>
        </w:tc>
        <w:tc>
          <w:tcPr>
            <w:tcW w:w="1188" w:type="dxa"/>
            <w:vAlign w:val="center"/>
          </w:tcPr>
          <w:p w14:paraId="734E86FF" w14:textId="77777777" w:rsidR="00B14D53" w:rsidRDefault="00000000">
            <w:pPr>
              <w:pStyle w:val="affffffffff1"/>
            </w:pPr>
            <w:r>
              <w:rPr>
                <w:rFonts w:hint="eastAsia"/>
              </w:rPr>
              <w:t>1S</w:t>
            </w:r>
            <w:r>
              <w:rPr>
                <w:rFonts w:hint="eastAsia"/>
              </w:rPr>
              <w:t>△</w:t>
            </w:r>
          </w:p>
        </w:tc>
        <w:tc>
          <w:tcPr>
            <w:tcW w:w="1188" w:type="dxa"/>
            <w:vAlign w:val="center"/>
          </w:tcPr>
          <w:p w14:paraId="269DCB24" w14:textId="77777777" w:rsidR="00B14D53" w:rsidRDefault="00000000">
            <w:pPr>
              <w:pStyle w:val="affffffffff1"/>
            </w:pPr>
            <w:r>
              <w:rPr>
                <w:rFonts w:hint="eastAsia"/>
              </w:rPr>
              <w:t>1S</w:t>
            </w:r>
            <w:r>
              <w:rPr>
                <w:rFonts w:hint="eastAsia"/>
              </w:rPr>
              <w:t>△</w:t>
            </w:r>
          </w:p>
        </w:tc>
        <w:tc>
          <w:tcPr>
            <w:tcW w:w="1189" w:type="dxa"/>
            <w:vAlign w:val="center"/>
          </w:tcPr>
          <w:p w14:paraId="0E86F5AE" w14:textId="77777777" w:rsidR="00B14D53" w:rsidRDefault="00000000">
            <w:pPr>
              <w:pStyle w:val="affffffffff1"/>
            </w:pPr>
            <w:r>
              <w:rPr>
                <w:rFonts w:hint="eastAsia"/>
              </w:rPr>
              <w:t>1S</w:t>
            </w:r>
            <w:r>
              <w:rPr>
                <w:rFonts w:hint="eastAsia"/>
              </w:rPr>
              <w:t>△</w:t>
            </w:r>
          </w:p>
        </w:tc>
      </w:tr>
      <w:tr w:rsidR="00B14D53" w14:paraId="3753D3A5" w14:textId="77777777">
        <w:trPr>
          <w:jc w:val="center"/>
        </w:trPr>
        <w:tc>
          <w:tcPr>
            <w:tcW w:w="1189" w:type="dxa"/>
            <w:vMerge/>
            <w:vAlign w:val="center"/>
          </w:tcPr>
          <w:p w14:paraId="0E5BE96A" w14:textId="77777777" w:rsidR="00B14D53" w:rsidRDefault="00B14D53">
            <w:pPr>
              <w:pStyle w:val="affffffffff1"/>
            </w:pPr>
          </w:p>
        </w:tc>
        <w:tc>
          <w:tcPr>
            <w:tcW w:w="1189" w:type="dxa"/>
            <w:vAlign w:val="center"/>
          </w:tcPr>
          <w:p w14:paraId="771652E2" w14:textId="77777777" w:rsidR="00B14D53" w:rsidRDefault="00000000">
            <w:pPr>
              <w:pStyle w:val="affffffffff1"/>
            </w:pPr>
            <w:r>
              <w:rPr>
                <w:rFonts w:hint="eastAsia"/>
              </w:rPr>
              <w:t>厂房建设</w:t>
            </w:r>
          </w:p>
        </w:tc>
        <w:tc>
          <w:tcPr>
            <w:tcW w:w="1189" w:type="dxa"/>
            <w:vAlign w:val="center"/>
          </w:tcPr>
          <w:p w14:paraId="2E769DF7" w14:textId="77777777" w:rsidR="00B14D53" w:rsidRDefault="00000000">
            <w:pPr>
              <w:pStyle w:val="affffffffff1"/>
            </w:pPr>
            <w:r>
              <w:rPr>
                <w:rFonts w:hint="eastAsia"/>
              </w:rPr>
              <w:t>0S</w:t>
            </w:r>
            <w:r>
              <w:rPr>
                <w:rFonts w:hint="eastAsia"/>
              </w:rPr>
              <w:t>△</w:t>
            </w:r>
          </w:p>
        </w:tc>
        <w:tc>
          <w:tcPr>
            <w:tcW w:w="1188" w:type="dxa"/>
            <w:vAlign w:val="center"/>
          </w:tcPr>
          <w:p w14:paraId="1796DBEF" w14:textId="77777777" w:rsidR="00B14D53" w:rsidRDefault="00000000">
            <w:pPr>
              <w:pStyle w:val="affffffffff1"/>
            </w:pPr>
            <w:r>
              <w:rPr>
                <w:rFonts w:hint="eastAsia"/>
              </w:rPr>
              <w:t>0S</w:t>
            </w:r>
            <w:r>
              <w:rPr>
                <w:rFonts w:hint="eastAsia"/>
              </w:rPr>
              <w:t>△</w:t>
            </w:r>
          </w:p>
        </w:tc>
        <w:tc>
          <w:tcPr>
            <w:tcW w:w="1188" w:type="dxa"/>
            <w:vAlign w:val="center"/>
          </w:tcPr>
          <w:p w14:paraId="11801314" w14:textId="77777777" w:rsidR="00B14D53" w:rsidRDefault="00000000">
            <w:pPr>
              <w:pStyle w:val="affffffffff1"/>
            </w:pPr>
            <w:r>
              <w:rPr>
                <w:rFonts w:hint="eastAsia"/>
              </w:rPr>
              <w:t>1S</w:t>
            </w:r>
            <w:r>
              <w:rPr>
                <w:rFonts w:hint="eastAsia"/>
              </w:rPr>
              <w:t>△</w:t>
            </w:r>
          </w:p>
        </w:tc>
        <w:tc>
          <w:tcPr>
            <w:tcW w:w="1188" w:type="dxa"/>
            <w:vAlign w:val="center"/>
          </w:tcPr>
          <w:p w14:paraId="7968A307" w14:textId="77777777" w:rsidR="00B14D53" w:rsidRDefault="00000000">
            <w:pPr>
              <w:pStyle w:val="affffffffff1"/>
            </w:pPr>
            <w:r>
              <w:rPr>
                <w:rFonts w:hint="eastAsia"/>
              </w:rPr>
              <w:t>2S</w:t>
            </w:r>
            <w:r>
              <w:rPr>
                <w:rFonts w:hint="eastAsia"/>
              </w:rPr>
              <w:t>△</w:t>
            </w:r>
          </w:p>
        </w:tc>
        <w:tc>
          <w:tcPr>
            <w:tcW w:w="1189" w:type="dxa"/>
            <w:vAlign w:val="center"/>
          </w:tcPr>
          <w:p w14:paraId="3E434FA9" w14:textId="77777777" w:rsidR="00B14D53" w:rsidRDefault="00000000">
            <w:pPr>
              <w:pStyle w:val="affffffffff1"/>
            </w:pPr>
            <w:r>
              <w:rPr>
                <w:rFonts w:hint="eastAsia"/>
              </w:rPr>
              <w:t>1S</w:t>
            </w:r>
            <w:r>
              <w:rPr>
                <w:rFonts w:hint="eastAsia"/>
              </w:rPr>
              <w:t>△</w:t>
            </w:r>
          </w:p>
        </w:tc>
      </w:tr>
      <w:tr w:rsidR="00B14D53" w14:paraId="176F6FE8" w14:textId="77777777">
        <w:trPr>
          <w:jc w:val="center"/>
        </w:trPr>
        <w:tc>
          <w:tcPr>
            <w:tcW w:w="1189" w:type="dxa"/>
            <w:vMerge/>
            <w:vAlign w:val="center"/>
          </w:tcPr>
          <w:p w14:paraId="25EB4533" w14:textId="77777777" w:rsidR="00B14D53" w:rsidRDefault="00B14D53">
            <w:pPr>
              <w:pStyle w:val="affffffffff1"/>
            </w:pPr>
          </w:p>
        </w:tc>
        <w:tc>
          <w:tcPr>
            <w:tcW w:w="1189" w:type="dxa"/>
            <w:vAlign w:val="center"/>
          </w:tcPr>
          <w:p w14:paraId="4DCA6A5A" w14:textId="77777777" w:rsidR="00B14D53" w:rsidRDefault="00000000">
            <w:pPr>
              <w:pStyle w:val="affffffffff1"/>
            </w:pPr>
            <w:r>
              <w:rPr>
                <w:rFonts w:hint="eastAsia"/>
              </w:rPr>
              <w:t>设备安装</w:t>
            </w:r>
          </w:p>
        </w:tc>
        <w:tc>
          <w:tcPr>
            <w:tcW w:w="1189" w:type="dxa"/>
            <w:vAlign w:val="center"/>
          </w:tcPr>
          <w:p w14:paraId="695EDAB4" w14:textId="77777777" w:rsidR="00B14D53" w:rsidRDefault="00B14D53">
            <w:pPr>
              <w:pStyle w:val="affffffffff1"/>
            </w:pPr>
          </w:p>
        </w:tc>
        <w:tc>
          <w:tcPr>
            <w:tcW w:w="1188" w:type="dxa"/>
            <w:vAlign w:val="center"/>
          </w:tcPr>
          <w:p w14:paraId="76F92DB0" w14:textId="77777777" w:rsidR="00B14D53" w:rsidRDefault="00B14D53">
            <w:pPr>
              <w:pStyle w:val="affffffffff1"/>
            </w:pPr>
          </w:p>
        </w:tc>
        <w:tc>
          <w:tcPr>
            <w:tcW w:w="1188" w:type="dxa"/>
            <w:vAlign w:val="center"/>
          </w:tcPr>
          <w:p w14:paraId="505AB445" w14:textId="77777777" w:rsidR="00B14D53" w:rsidRDefault="00B14D53">
            <w:pPr>
              <w:pStyle w:val="affffffffff1"/>
            </w:pPr>
          </w:p>
        </w:tc>
        <w:tc>
          <w:tcPr>
            <w:tcW w:w="1188" w:type="dxa"/>
            <w:vAlign w:val="center"/>
          </w:tcPr>
          <w:p w14:paraId="42C2944E" w14:textId="77777777" w:rsidR="00B14D53" w:rsidRDefault="00000000">
            <w:pPr>
              <w:pStyle w:val="affffffffff1"/>
            </w:pPr>
            <w:r>
              <w:rPr>
                <w:rFonts w:hint="eastAsia"/>
              </w:rPr>
              <w:t>1S</w:t>
            </w:r>
            <w:r>
              <w:rPr>
                <w:rFonts w:hint="eastAsia"/>
              </w:rPr>
              <w:t>△</w:t>
            </w:r>
          </w:p>
        </w:tc>
        <w:tc>
          <w:tcPr>
            <w:tcW w:w="1189" w:type="dxa"/>
            <w:vAlign w:val="center"/>
          </w:tcPr>
          <w:p w14:paraId="3DC05AFD" w14:textId="77777777" w:rsidR="00B14D53" w:rsidRDefault="00B14D53">
            <w:pPr>
              <w:pStyle w:val="affffffffff1"/>
            </w:pPr>
          </w:p>
        </w:tc>
      </w:tr>
      <w:tr w:rsidR="00B14D53" w14:paraId="7D3C1E25" w14:textId="77777777">
        <w:trPr>
          <w:jc w:val="center"/>
        </w:trPr>
        <w:tc>
          <w:tcPr>
            <w:tcW w:w="1189" w:type="dxa"/>
            <w:vMerge w:val="restart"/>
            <w:vAlign w:val="center"/>
          </w:tcPr>
          <w:p w14:paraId="2924E283" w14:textId="77777777" w:rsidR="00B14D53" w:rsidRDefault="00000000">
            <w:pPr>
              <w:pStyle w:val="affffffffff1"/>
            </w:pPr>
            <w:r>
              <w:rPr>
                <w:rFonts w:hint="eastAsia"/>
              </w:rPr>
              <w:t>运营期</w:t>
            </w:r>
          </w:p>
        </w:tc>
        <w:tc>
          <w:tcPr>
            <w:tcW w:w="1189" w:type="dxa"/>
            <w:vAlign w:val="center"/>
          </w:tcPr>
          <w:p w14:paraId="07127D28" w14:textId="77777777" w:rsidR="00B14D53" w:rsidRDefault="00000000">
            <w:pPr>
              <w:pStyle w:val="affffffffff1"/>
            </w:pPr>
            <w:r>
              <w:rPr>
                <w:rFonts w:hint="eastAsia"/>
              </w:rPr>
              <w:t>废水排放</w:t>
            </w:r>
          </w:p>
        </w:tc>
        <w:tc>
          <w:tcPr>
            <w:tcW w:w="1189" w:type="dxa"/>
            <w:vAlign w:val="center"/>
          </w:tcPr>
          <w:p w14:paraId="6B581888" w14:textId="77777777" w:rsidR="00B14D53" w:rsidRDefault="00000000">
            <w:pPr>
              <w:pStyle w:val="affffffffff1"/>
            </w:pPr>
            <w:r>
              <w:rPr>
                <w:rFonts w:hint="eastAsia"/>
              </w:rPr>
              <w:t>1L</w:t>
            </w:r>
            <w:r>
              <w:rPr>
                <w:rFonts w:hint="eastAsia"/>
              </w:rPr>
              <w:t>△</w:t>
            </w:r>
          </w:p>
        </w:tc>
        <w:tc>
          <w:tcPr>
            <w:tcW w:w="1188" w:type="dxa"/>
            <w:vAlign w:val="center"/>
          </w:tcPr>
          <w:p w14:paraId="2DB211AB" w14:textId="77777777" w:rsidR="00B14D53" w:rsidRDefault="00000000">
            <w:pPr>
              <w:pStyle w:val="affffffffff1"/>
            </w:pPr>
            <w:r>
              <w:rPr>
                <w:rFonts w:hint="eastAsia"/>
              </w:rPr>
              <w:t>1L</w:t>
            </w:r>
            <w:r>
              <w:rPr>
                <w:rFonts w:hint="eastAsia"/>
              </w:rPr>
              <w:t>△</w:t>
            </w:r>
          </w:p>
        </w:tc>
        <w:tc>
          <w:tcPr>
            <w:tcW w:w="1188" w:type="dxa"/>
            <w:vAlign w:val="center"/>
          </w:tcPr>
          <w:p w14:paraId="235C9521" w14:textId="77777777" w:rsidR="00B14D53" w:rsidRDefault="00B14D53">
            <w:pPr>
              <w:pStyle w:val="affffffffff1"/>
            </w:pPr>
          </w:p>
        </w:tc>
        <w:tc>
          <w:tcPr>
            <w:tcW w:w="1188" w:type="dxa"/>
            <w:vAlign w:val="center"/>
          </w:tcPr>
          <w:p w14:paraId="31D1DBD2" w14:textId="77777777" w:rsidR="00B14D53" w:rsidRDefault="00B14D53">
            <w:pPr>
              <w:pStyle w:val="affffffffff1"/>
            </w:pPr>
          </w:p>
        </w:tc>
        <w:tc>
          <w:tcPr>
            <w:tcW w:w="1189" w:type="dxa"/>
            <w:vAlign w:val="center"/>
          </w:tcPr>
          <w:p w14:paraId="5AEAD00B" w14:textId="77777777" w:rsidR="00B14D53" w:rsidRDefault="00B14D53">
            <w:pPr>
              <w:pStyle w:val="affffffffff1"/>
            </w:pPr>
          </w:p>
        </w:tc>
      </w:tr>
      <w:tr w:rsidR="00B14D53" w14:paraId="71F77D8C" w14:textId="77777777">
        <w:trPr>
          <w:jc w:val="center"/>
        </w:trPr>
        <w:tc>
          <w:tcPr>
            <w:tcW w:w="1189" w:type="dxa"/>
            <w:vMerge/>
            <w:vAlign w:val="center"/>
          </w:tcPr>
          <w:p w14:paraId="065D5DB7" w14:textId="77777777" w:rsidR="00B14D53" w:rsidRDefault="00B14D53">
            <w:pPr>
              <w:pStyle w:val="affffffffff1"/>
            </w:pPr>
          </w:p>
        </w:tc>
        <w:tc>
          <w:tcPr>
            <w:tcW w:w="1189" w:type="dxa"/>
            <w:vAlign w:val="center"/>
          </w:tcPr>
          <w:p w14:paraId="46E0FB17" w14:textId="77777777" w:rsidR="00B14D53" w:rsidRDefault="00000000">
            <w:pPr>
              <w:pStyle w:val="affffffffff1"/>
            </w:pPr>
            <w:r>
              <w:rPr>
                <w:rFonts w:hint="eastAsia"/>
              </w:rPr>
              <w:t>废气排放</w:t>
            </w:r>
          </w:p>
        </w:tc>
        <w:tc>
          <w:tcPr>
            <w:tcW w:w="1189" w:type="dxa"/>
            <w:vAlign w:val="center"/>
          </w:tcPr>
          <w:p w14:paraId="400D7161" w14:textId="77777777" w:rsidR="00B14D53" w:rsidRDefault="00B14D53">
            <w:pPr>
              <w:pStyle w:val="affffffffff1"/>
            </w:pPr>
          </w:p>
        </w:tc>
        <w:tc>
          <w:tcPr>
            <w:tcW w:w="1188" w:type="dxa"/>
            <w:vAlign w:val="center"/>
          </w:tcPr>
          <w:p w14:paraId="5EC36FC7" w14:textId="77777777" w:rsidR="00B14D53" w:rsidRDefault="00B14D53">
            <w:pPr>
              <w:pStyle w:val="affffffffff1"/>
            </w:pPr>
          </w:p>
        </w:tc>
        <w:tc>
          <w:tcPr>
            <w:tcW w:w="1188" w:type="dxa"/>
            <w:vAlign w:val="center"/>
          </w:tcPr>
          <w:p w14:paraId="0AA40175" w14:textId="77777777" w:rsidR="00B14D53" w:rsidRDefault="00000000">
            <w:pPr>
              <w:pStyle w:val="affffffffff1"/>
            </w:pPr>
            <w:r>
              <w:rPr>
                <w:rFonts w:hint="eastAsia"/>
              </w:rPr>
              <w:t>1L</w:t>
            </w:r>
            <w:r>
              <w:rPr>
                <w:rFonts w:hint="eastAsia"/>
              </w:rPr>
              <w:t>△</w:t>
            </w:r>
          </w:p>
        </w:tc>
        <w:tc>
          <w:tcPr>
            <w:tcW w:w="1188" w:type="dxa"/>
            <w:vAlign w:val="center"/>
          </w:tcPr>
          <w:p w14:paraId="50D8A903" w14:textId="77777777" w:rsidR="00B14D53" w:rsidRDefault="00B14D53">
            <w:pPr>
              <w:pStyle w:val="affffffffff1"/>
            </w:pPr>
          </w:p>
        </w:tc>
        <w:tc>
          <w:tcPr>
            <w:tcW w:w="1189" w:type="dxa"/>
            <w:vAlign w:val="center"/>
          </w:tcPr>
          <w:p w14:paraId="22D8CB2F" w14:textId="77777777" w:rsidR="00B14D53" w:rsidRDefault="00B14D53">
            <w:pPr>
              <w:pStyle w:val="affffffffff1"/>
            </w:pPr>
          </w:p>
        </w:tc>
      </w:tr>
      <w:tr w:rsidR="00B14D53" w14:paraId="11252A6C" w14:textId="77777777">
        <w:trPr>
          <w:jc w:val="center"/>
        </w:trPr>
        <w:tc>
          <w:tcPr>
            <w:tcW w:w="1189" w:type="dxa"/>
            <w:vMerge/>
            <w:vAlign w:val="center"/>
          </w:tcPr>
          <w:p w14:paraId="3E985BE5" w14:textId="77777777" w:rsidR="00B14D53" w:rsidRDefault="00B14D53">
            <w:pPr>
              <w:pStyle w:val="affffffffff1"/>
            </w:pPr>
          </w:p>
        </w:tc>
        <w:tc>
          <w:tcPr>
            <w:tcW w:w="1189" w:type="dxa"/>
            <w:vAlign w:val="center"/>
          </w:tcPr>
          <w:p w14:paraId="760A39BA" w14:textId="77777777" w:rsidR="00B14D53" w:rsidRDefault="00000000">
            <w:pPr>
              <w:pStyle w:val="affffffffff1"/>
            </w:pPr>
            <w:r>
              <w:rPr>
                <w:rFonts w:hint="eastAsia"/>
              </w:rPr>
              <w:t>设备噪声</w:t>
            </w:r>
          </w:p>
        </w:tc>
        <w:tc>
          <w:tcPr>
            <w:tcW w:w="1189" w:type="dxa"/>
            <w:vAlign w:val="center"/>
          </w:tcPr>
          <w:p w14:paraId="01559719" w14:textId="77777777" w:rsidR="00B14D53" w:rsidRDefault="00B14D53">
            <w:pPr>
              <w:pStyle w:val="affffffffff1"/>
            </w:pPr>
          </w:p>
        </w:tc>
        <w:tc>
          <w:tcPr>
            <w:tcW w:w="1188" w:type="dxa"/>
            <w:vAlign w:val="center"/>
          </w:tcPr>
          <w:p w14:paraId="4B925DBE" w14:textId="77777777" w:rsidR="00B14D53" w:rsidRDefault="00B14D53">
            <w:pPr>
              <w:pStyle w:val="affffffffff1"/>
            </w:pPr>
          </w:p>
        </w:tc>
        <w:tc>
          <w:tcPr>
            <w:tcW w:w="1188" w:type="dxa"/>
            <w:vAlign w:val="center"/>
          </w:tcPr>
          <w:p w14:paraId="49231CB0" w14:textId="77777777" w:rsidR="00B14D53" w:rsidRDefault="00B14D53">
            <w:pPr>
              <w:pStyle w:val="affffffffff1"/>
            </w:pPr>
          </w:p>
        </w:tc>
        <w:tc>
          <w:tcPr>
            <w:tcW w:w="1188" w:type="dxa"/>
            <w:vAlign w:val="center"/>
          </w:tcPr>
          <w:p w14:paraId="631068FF" w14:textId="77777777" w:rsidR="00B14D53" w:rsidRDefault="00000000">
            <w:pPr>
              <w:pStyle w:val="affffffffff1"/>
            </w:pPr>
            <w:r>
              <w:rPr>
                <w:rFonts w:hint="eastAsia"/>
              </w:rPr>
              <w:t>1L</w:t>
            </w:r>
            <w:r>
              <w:rPr>
                <w:rFonts w:hint="eastAsia"/>
              </w:rPr>
              <w:t>△</w:t>
            </w:r>
          </w:p>
        </w:tc>
        <w:tc>
          <w:tcPr>
            <w:tcW w:w="1189" w:type="dxa"/>
            <w:vAlign w:val="center"/>
          </w:tcPr>
          <w:p w14:paraId="0798EF68" w14:textId="77777777" w:rsidR="00B14D53" w:rsidRDefault="00B14D53">
            <w:pPr>
              <w:pStyle w:val="affffffffff1"/>
            </w:pPr>
          </w:p>
        </w:tc>
      </w:tr>
      <w:tr w:rsidR="00B14D53" w14:paraId="5DAE094B" w14:textId="77777777">
        <w:trPr>
          <w:jc w:val="center"/>
        </w:trPr>
        <w:tc>
          <w:tcPr>
            <w:tcW w:w="1189" w:type="dxa"/>
            <w:vMerge/>
            <w:vAlign w:val="center"/>
          </w:tcPr>
          <w:p w14:paraId="59D92934" w14:textId="77777777" w:rsidR="00B14D53" w:rsidRDefault="00B14D53">
            <w:pPr>
              <w:pStyle w:val="affffffffff1"/>
            </w:pPr>
          </w:p>
        </w:tc>
        <w:tc>
          <w:tcPr>
            <w:tcW w:w="1189" w:type="dxa"/>
            <w:vAlign w:val="center"/>
          </w:tcPr>
          <w:p w14:paraId="7B0EA407" w14:textId="77777777" w:rsidR="00B14D53" w:rsidRDefault="00000000">
            <w:pPr>
              <w:pStyle w:val="affffffffff1"/>
            </w:pPr>
            <w:r>
              <w:rPr>
                <w:rFonts w:hint="eastAsia"/>
              </w:rPr>
              <w:t>固体废物</w:t>
            </w:r>
          </w:p>
        </w:tc>
        <w:tc>
          <w:tcPr>
            <w:tcW w:w="1189" w:type="dxa"/>
            <w:vAlign w:val="center"/>
          </w:tcPr>
          <w:p w14:paraId="7BB78F35" w14:textId="77777777" w:rsidR="00B14D53" w:rsidRDefault="00B14D53">
            <w:pPr>
              <w:pStyle w:val="affffffffff1"/>
            </w:pPr>
          </w:p>
        </w:tc>
        <w:tc>
          <w:tcPr>
            <w:tcW w:w="1188" w:type="dxa"/>
            <w:vAlign w:val="center"/>
          </w:tcPr>
          <w:p w14:paraId="4BFDEF65" w14:textId="77777777" w:rsidR="00B14D53" w:rsidRDefault="00B14D53">
            <w:pPr>
              <w:pStyle w:val="affffffffff1"/>
            </w:pPr>
          </w:p>
        </w:tc>
        <w:tc>
          <w:tcPr>
            <w:tcW w:w="1188" w:type="dxa"/>
            <w:vAlign w:val="center"/>
          </w:tcPr>
          <w:p w14:paraId="67D5DB5E" w14:textId="77777777" w:rsidR="00B14D53" w:rsidRDefault="00B14D53">
            <w:pPr>
              <w:pStyle w:val="affffffffff1"/>
            </w:pPr>
          </w:p>
        </w:tc>
        <w:tc>
          <w:tcPr>
            <w:tcW w:w="1188" w:type="dxa"/>
            <w:vAlign w:val="center"/>
          </w:tcPr>
          <w:p w14:paraId="124D91A6" w14:textId="77777777" w:rsidR="00B14D53" w:rsidRDefault="00B14D53">
            <w:pPr>
              <w:pStyle w:val="affffffffff1"/>
            </w:pPr>
          </w:p>
        </w:tc>
        <w:tc>
          <w:tcPr>
            <w:tcW w:w="1189" w:type="dxa"/>
            <w:vAlign w:val="center"/>
          </w:tcPr>
          <w:p w14:paraId="44D94161" w14:textId="77777777" w:rsidR="00B14D53" w:rsidRDefault="00000000">
            <w:pPr>
              <w:pStyle w:val="affffffffff1"/>
            </w:pPr>
            <w:r>
              <w:rPr>
                <w:rFonts w:hint="eastAsia"/>
              </w:rPr>
              <w:t>0S</w:t>
            </w:r>
            <w:r>
              <w:rPr>
                <w:rFonts w:hint="eastAsia"/>
              </w:rPr>
              <w:t>△</w:t>
            </w:r>
          </w:p>
        </w:tc>
      </w:tr>
      <w:tr w:rsidR="00B14D53" w14:paraId="48424121" w14:textId="77777777">
        <w:trPr>
          <w:jc w:val="center"/>
        </w:trPr>
        <w:tc>
          <w:tcPr>
            <w:tcW w:w="8320" w:type="dxa"/>
            <w:gridSpan w:val="7"/>
            <w:vAlign w:val="center"/>
          </w:tcPr>
          <w:p w14:paraId="78A76107" w14:textId="77777777" w:rsidR="00B14D53" w:rsidRDefault="00000000">
            <w:pPr>
              <w:pStyle w:val="affffffffff2"/>
            </w:pPr>
            <w:r>
              <w:rPr>
                <w:rFonts w:hint="eastAsia"/>
              </w:rPr>
              <w:t>备注：影响程度：</w:t>
            </w:r>
            <w:r>
              <w:rPr>
                <w:rFonts w:hint="eastAsia"/>
              </w:rPr>
              <w:t>0-</w:t>
            </w:r>
            <w:r>
              <w:t>无影响、</w:t>
            </w:r>
            <w:r>
              <w:rPr>
                <w:rFonts w:hint="eastAsia"/>
              </w:rPr>
              <w:t>1-</w:t>
            </w:r>
            <w:r>
              <w:rPr>
                <w:rFonts w:hint="eastAsia"/>
              </w:rPr>
              <w:t>轻度影响</w:t>
            </w:r>
            <w:r>
              <w:t>，</w:t>
            </w:r>
            <w:r>
              <w:t>2-</w:t>
            </w:r>
            <w:r>
              <w:t>中等影响、</w:t>
            </w:r>
            <w:r>
              <w:t>3-</w:t>
            </w:r>
            <w:r>
              <w:rPr>
                <w:rFonts w:hint="eastAsia"/>
              </w:rPr>
              <w:t>重大影响</w:t>
            </w:r>
            <w:r>
              <w:t>；影响时段：</w:t>
            </w:r>
            <w:r>
              <w:t>S-</w:t>
            </w:r>
            <w:r>
              <w:t>短期</w:t>
            </w:r>
            <w:r>
              <w:rPr>
                <w:rFonts w:hint="eastAsia"/>
              </w:rPr>
              <w:t>影响</w:t>
            </w:r>
            <w:r>
              <w:t>、</w:t>
            </w:r>
            <w:r>
              <w:t>L-</w:t>
            </w:r>
            <w:r>
              <w:t>长期</w:t>
            </w:r>
            <w:r>
              <w:rPr>
                <w:rFonts w:hint="eastAsia"/>
              </w:rPr>
              <w:t>影响；△</w:t>
            </w:r>
            <w:r>
              <w:rPr>
                <w:rFonts w:hint="eastAsia"/>
              </w:rPr>
              <w:t>-</w:t>
            </w:r>
            <w:r>
              <w:rPr>
                <w:rFonts w:hint="eastAsia"/>
              </w:rPr>
              <w:t>直接影响、▲</w:t>
            </w:r>
            <w:r>
              <w:rPr>
                <w:rFonts w:hint="eastAsia"/>
              </w:rPr>
              <w:t>-</w:t>
            </w:r>
            <w:r>
              <w:rPr>
                <w:rFonts w:hint="eastAsia"/>
              </w:rPr>
              <w:t>间接影响</w:t>
            </w:r>
          </w:p>
        </w:tc>
      </w:tr>
    </w:tbl>
    <w:p w14:paraId="30C964EF"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2.2.2</w:t>
      </w:r>
      <w:r>
        <w:rPr>
          <w:rFonts w:ascii="Times New Roman" w:eastAsia="黑体" w:hAnsi="Times New Roman" w:cs="Times New Roman"/>
          <w:bCs/>
          <w:sz w:val="28"/>
          <w:szCs w:val="28"/>
        </w:rPr>
        <w:t>评价因子筛选</w:t>
      </w:r>
    </w:p>
    <w:p w14:paraId="3931E56A"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根据本项目周边环境及项目特征，确定本项目评价现状因子和预测评价因子，具体见表</w:t>
      </w:r>
      <w:r>
        <w:rPr>
          <w:rFonts w:eastAsiaTheme="minorEastAsia"/>
          <w:bCs/>
          <w:sz w:val="24"/>
        </w:rPr>
        <w:t>2-2-2</w:t>
      </w:r>
      <w:r>
        <w:rPr>
          <w:rFonts w:eastAsiaTheme="minorEastAsia" w:hAnsiTheme="minorEastAsia"/>
          <w:bCs/>
          <w:sz w:val="24"/>
        </w:rPr>
        <w:t>。</w:t>
      </w:r>
    </w:p>
    <w:p w14:paraId="4A3ADD03" w14:textId="77777777" w:rsidR="00B14D53" w:rsidRDefault="00000000">
      <w:pPr>
        <w:jc w:val="center"/>
        <w:rPr>
          <w:b/>
          <w:bCs/>
        </w:rPr>
      </w:pPr>
      <w:r>
        <w:rPr>
          <w:b/>
          <w:bCs/>
        </w:rPr>
        <w:t>表</w:t>
      </w:r>
      <w:r>
        <w:rPr>
          <w:b/>
          <w:bCs/>
        </w:rPr>
        <w:t>2-2-2</w:t>
      </w:r>
      <w:r>
        <w:rPr>
          <w:rFonts w:hint="eastAsia"/>
          <w:b/>
          <w:bCs/>
        </w:rPr>
        <w:t xml:space="preserve"> </w:t>
      </w:r>
      <w:r>
        <w:rPr>
          <w:b/>
          <w:bCs/>
        </w:rPr>
        <w:t>本项目环境影响评价因子筛选结果</w:t>
      </w:r>
    </w:p>
    <w:tbl>
      <w:tblPr>
        <w:tblW w:w="825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23"/>
        <w:gridCol w:w="709"/>
        <w:gridCol w:w="1134"/>
        <w:gridCol w:w="5584"/>
      </w:tblGrid>
      <w:tr w:rsidR="00B14D53" w14:paraId="20A012CC" w14:textId="77777777">
        <w:trPr>
          <w:trHeight w:val="273"/>
          <w:jc w:val="center"/>
        </w:trPr>
        <w:tc>
          <w:tcPr>
            <w:tcW w:w="823" w:type="dxa"/>
            <w:vAlign w:val="center"/>
          </w:tcPr>
          <w:p w14:paraId="4F3D9D32" w14:textId="77777777" w:rsidR="00B14D53" w:rsidRDefault="00000000">
            <w:pPr>
              <w:snapToGrid w:val="0"/>
              <w:jc w:val="center"/>
              <w:rPr>
                <w:rFonts w:eastAsiaTheme="minorEastAsia"/>
                <w:b/>
                <w:bCs/>
                <w:kern w:val="0"/>
                <w:szCs w:val="21"/>
              </w:rPr>
            </w:pPr>
            <w:r>
              <w:rPr>
                <w:rFonts w:eastAsiaTheme="minorEastAsia" w:hAnsiTheme="minorEastAsia"/>
                <w:b/>
                <w:bCs/>
                <w:kern w:val="0"/>
                <w:szCs w:val="21"/>
              </w:rPr>
              <w:t>评价阶段</w:t>
            </w:r>
          </w:p>
        </w:tc>
        <w:tc>
          <w:tcPr>
            <w:tcW w:w="709" w:type="dxa"/>
            <w:vAlign w:val="center"/>
          </w:tcPr>
          <w:p w14:paraId="09C47098" w14:textId="77777777" w:rsidR="00B14D53" w:rsidRDefault="00000000">
            <w:pPr>
              <w:snapToGrid w:val="0"/>
              <w:jc w:val="center"/>
              <w:rPr>
                <w:rFonts w:eastAsiaTheme="minorEastAsia"/>
                <w:b/>
                <w:bCs/>
                <w:kern w:val="0"/>
                <w:szCs w:val="21"/>
              </w:rPr>
            </w:pPr>
            <w:r>
              <w:rPr>
                <w:rFonts w:eastAsiaTheme="minorEastAsia" w:hAnsiTheme="minorEastAsia"/>
                <w:b/>
                <w:bCs/>
                <w:kern w:val="0"/>
                <w:szCs w:val="21"/>
              </w:rPr>
              <w:t>环境要素</w:t>
            </w:r>
          </w:p>
        </w:tc>
        <w:tc>
          <w:tcPr>
            <w:tcW w:w="1134" w:type="dxa"/>
            <w:vAlign w:val="center"/>
          </w:tcPr>
          <w:p w14:paraId="50201A22" w14:textId="77777777" w:rsidR="00B14D53" w:rsidRDefault="00000000">
            <w:pPr>
              <w:snapToGrid w:val="0"/>
              <w:jc w:val="center"/>
              <w:rPr>
                <w:rFonts w:eastAsiaTheme="minorEastAsia"/>
                <w:b/>
                <w:bCs/>
                <w:kern w:val="0"/>
                <w:szCs w:val="21"/>
              </w:rPr>
            </w:pPr>
            <w:r>
              <w:rPr>
                <w:rFonts w:eastAsiaTheme="minorEastAsia" w:hAnsiTheme="minorEastAsia"/>
                <w:b/>
                <w:bCs/>
                <w:kern w:val="0"/>
                <w:szCs w:val="21"/>
              </w:rPr>
              <w:t>评价类别</w:t>
            </w:r>
          </w:p>
        </w:tc>
        <w:tc>
          <w:tcPr>
            <w:tcW w:w="5584" w:type="dxa"/>
            <w:vAlign w:val="center"/>
          </w:tcPr>
          <w:p w14:paraId="7A977CEA" w14:textId="77777777" w:rsidR="00B14D53" w:rsidRDefault="00000000">
            <w:pPr>
              <w:snapToGrid w:val="0"/>
              <w:jc w:val="center"/>
              <w:rPr>
                <w:rFonts w:eastAsiaTheme="minorEastAsia"/>
                <w:b/>
                <w:bCs/>
                <w:kern w:val="0"/>
                <w:szCs w:val="21"/>
              </w:rPr>
            </w:pPr>
            <w:r>
              <w:rPr>
                <w:rFonts w:eastAsiaTheme="minorEastAsia" w:hAnsiTheme="minorEastAsia"/>
                <w:b/>
                <w:bCs/>
                <w:kern w:val="0"/>
                <w:szCs w:val="21"/>
              </w:rPr>
              <w:t>评价因子</w:t>
            </w:r>
          </w:p>
        </w:tc>
      </w:tr>
      <w:tr w:rsidR="00B14D53" w14:paraId="68385400" w14:textId="77777777">
        <w:trPr>
          <w:jc w:val="center"/>
        </w:trPr>
        <w:tc>
          <w:tcPr>
            <w:tcW w:w="823" w:type="dxa"/>
            <w:vMerge w:val="restart"/>
            <w:vAlign w:val="center"/>
          </w:tcPr>
          <w:p w14:paraId="37FDE444" w14:textId="77777777" w:rsidR="00B14D53" w:rsidRDefault="00000000">
            <w:pPr>
              <w:snapToGrid w:val="0"/>
              <w:jc w:val="center"/>
              <w:rPr>
                <w:rFonts w:eastAsiaTheme="minorEastAsia"/>
                <w:kern w:val="0"/>
                <w:szCs w:val="21"/>
              </w:rPr>
            </w:pPr>
            <w:r>
              <w:rPr>
                <w:rFonts w:eastAsiaTheme="minorEastAsia" w:hAnsiTheme="minorEastAsia"/>
                <w:kern w:val="0"/>
                <w:szCs w:val="21"/>
              </w:rPr>
              <w:t>营运期</w:t>
            </w:r>
          </w:p>
        </w:tc>
        <w:tc>
          <w:tcPr>
            <w:tcW w:w="709" w:type="dxa"/>
            <w:vMerge w:val="restart"/>
            <w:vAlign w:val="center"/>
          </w:tcPr>
          <w:p w14:paraId="222ADB79" w14:textId="77777777" w:rsidR="00B14D53" w:rsidRDefault="00000000">
            <w:pPr>
              <w:snapToGrid w:val="0"/>
              <w:jc w:val="center"/>
              <w:rPr>
                <w:rFonts w:eastAsiaTheme="minorEastAsia"/>
                <w:kern w:val="0"/>
                <w:szCs w:val="21"/>
              </w:rPr>
            </w:pPr>
            <w:r>
              <w:rPr>
                <w:rFonts w:eastAsiaTheme="minorEastAsia" w:hAnsiTheme="minorEastAsia"/>
                <w:kern w:val="0"/>
                <w:szCs w:val="21"/>
              </w:rPr>
              <w:t>环境空气</w:t>
            </w:r>
          </w:p>
        </w:tc>
        <w:tc>
          <w:tcPr>
            <w:tcW w:w="1134" w:type="dxa"/>
            <w:vAlign w:val="center"/>
          </w:tcPr>
          <w:p w14:paraId="61327178" w14:textId="77777777" w:rsidR="00B14D53" w:rsidRDefault="00000000">
            <w:pPr>
              <w:snapToGrid w:val="0"/>
              <w:jc w:val="center"/>
              <w:rPr>
                <w:rFonts w:eastAsiaTheme="minorEastAsia"/>
                <w:kern w:val="0"/>
                <w:szCs w:val="21"/>
              </w:rPr>
            </w:pPr>
            <w:r>
              <w:rPr>
                <w:rFonts w:eastAsiaTheme="minorEastAsia" w:hAnsiTheme="minorEastAsia"/>
                <w:kern w:val="0"/>
                <w:szCs w:val="21"/>
              </w:rPr>
              <w:t>现状评价</w:t>
            </w:r>
          </w:p>
        </w:tc>
        <w:tc>
          <w:tcPr>
            <w:tcW w:w="5584" w:type="dxa"/>
            <w:vAlign w:val="center"/>
          </w:tcPr>
          <w:p w14:paraId="6737F17E" w14:textId="77777777" w:rsidR="00B14D53" w:rsidRDefault="00000000">
            <w:pPr>
              <w:snapToGrid w:val="0"/>
              <w:jc w:val="center"/>
              <w:rPr>
                <w:rFonts w:eastAsiaTheme="minorEastAsia"/>
                <w:spacing w:val="22"/>
                <w:kern w:val="0"/>
                <w:szCs w:val="21"/>
              </w:rPr>
            </w:pPr>
            <w:r>
              <w:rPr>
                <w:rFonts w:eastAsiaTheme="minorEastAsia"/>
                <w:spacing w:val="22"/>
                <w:kern w:val="0"/>
                <w:szCs w:val="21"/>
              </w:rPr>
              <w:t>PM</w:t>
            </w:r>
            <w:r>
              <w:rPr>
                <w:rFonts w:eastAsiaTheme="minorEastAsia"/>
                <w:spacing w:val="22"/>
                <w:kern w:val="0"/>
                <w:szCs w:val="21"/>
                <w:vertAlign w:val="subscript"/>
              </w:rPr>
              <w:t>10</w:t>
            </w:r>
            <w:r>
              <w:rPr>
                <w:rFonts w:eastAsiaTheme="minorEastAsia" w:hAnsiTheme="minorEastAsia"/>
                <w:spacing w:val="22"/>
                <w:kern w:val="0"/>
                <w:szCs w:val="21"/>
              </w:rPr>
              <w:t>、</w:t>
            </w:r>
            <w:r>
              <w:rPr>
                <w:rFonts w:eastAsiaTheme="minorEastAsia"/>
                <w:spacing w:val="22"/>
                <w:kern w:val="0"/>
                <w:szCs w:val="21"/>
              </w:rPr>
              <w:t>PM</w:t>
            </w:r>
            <w:r>
              <w:rPr>
                <w:rFonts w:eastAsiaTheme="minorEastAsia"/>
                <w:spacing w:val="22"/>
                <w:kern w:val="0"/>
                <w:szCs w:val="21"/>
                <w:vertAlign w:val="subscript"/>
              </w:rPr>
              <w:t>2.5</w:t>
            </w:r>
            <w:r>
              <w:rPr>
                <w:rFonts w:eastAsiaTheme="minorEastAsia" w:hAnsiTheme="minorEastAsia"/>
                <w:spacing w:val="22"/>
                <w:kern w:val="0"/>
                <w:szCs w:val="21"/>
              </w:rPr>
              <w:t>、</w:t>
            </w:r>
            <w:r>
              <w:rPr>
                <w:rFonts w:eastAsiaTheme="minorEastAsia"/>
                <w:spacing w:val="22"/>
                <w:kern w:val="0"/>
                <w:szCs w:val="21"/>
              </w:rPr>
              <w:t>NO</w:t>
            </w:r>
            <w:r>
              <w:rPr>
                <w:rFonts w:eastAsiaTheme="minorEastAsia"/>
                <w:spacing w:val="22"/>
                <w:kern w:val="0"/>
                <w:szCs w:val="21"/>
                <w:vertAlign w:val="subscript"/>
              </w:rPr>
              <w:t>2</w:t>
            </w:r>
            <w:r>
              <w:rPr>
                <w:rFonts w:eastAsiaTheme="minorEastAsia" w:hAnsiTheme="minorEastAsia"/>
                <w:spacing w:val="22"/>
                <w:kern w:val="0"/>
                <w:szCs w:val="21"/>
              </w:rPr>
              <w:t>、</w:t>
            </w:r>
            <w:r>
              <w:rPr>
                <w:rFonts w:eastAsiaTheme="minorEastAsia"/>
                <w:spacing w:val="22"/>
                <w:kern w:val="0"/>
                <w:szCs w:val="21"/>
              </w:rPr>
              <w:t>SO</w:t>
            </w:r>
            <w:r>
              <w:rPr>
                <w:rFonts w:eastAsiaTheme="minorEastAsia"/>
                <w:spacing w:val="22"/>
                <w:kern w:val="0"/>
                <w:szCs w:val="21"/>
                <w:vertAlign w:val="subscript"/>
              </w:rPr>
              <w:t>2</w:t>
            </w:r>
            <w:r>
              <w:rPr>
                <w:rFonts w:eastAsiaTheme="minorEastAsia" w:hAnsiTheme="minorEastAsia"/>
                <w:spacing w:val="22"/>
                <w:kern w:val="0"/>
                <w:szCs w:val="21"/>
              </w:rPr>
              <w:t>、</w:t>
            </w:r>
            <w:r>
              <w:rPr>
                <w:rFonts w:eastAsiaTheme="minorEastAsia"/>
                <w:spacing w:val="22"/>
                <w:kern w:val="0"/>
                <w:szCs w:val="21"/>
              </w:rPr>
              <w:t>CO</w:t>
            </w:r>
            <w:r>
              <w:rPr>
                <w:rFonts w:eastAsiaTheme="minorEastAsia" w:hAnsiTheme="minorEastAsia"/>
                <w:spacing w:val="22"/>
                <w:kern w:val="0"/>
                <w:szCs w:val="21"/>
              </w:rPr>
              <w:t>、</w:t>
            </w:r>
            <w:r>
              <w:rPr>
                <w:rFonts w:eastAsiaTheme="minorEastAsia"/>
                <w:spacing w:val="22"/>
                <w:kern w:val="0"/>
                <w:szCs w:val="21"/>
              </w:rPr>
              <w:t>O</w:t>
            </w:r>
            <w:r>
              <w:rPr>
                <w:rFonts w:eastAsiaTheme="minorEastAsia"/>
                <w:spacing w:val="22"/>
                <w:kern w:val="0"/>
                <w:szCs w:val="21"/>
                <w:vertAlign w:val="subscript"/>
              </w:rPr>
              <w:t>3</w:t>
            </w:r>
            <w:r>
              <w:rPr>
                <w:rFonts w:eastAsiaTheme="minorEastAsia" w:hAnsiTheme="minorEastAsia"/>
                <w:spacing w:val="22"/>
                <w:kern w:val="0"/>
                <w:szCs w:val="21"/>
              </w:rPr>
              <w:t>、</w:t>
            </w:r>
            <w:r>
              <w:rPr>
                <w:rFonts w:eastAsiaTheme="minorEastAsia"/>
                <w:spacing w:val="22"/>
                <w:kern w:val="0"/>
                <w:szCs w:val="21"/>
              </w:rPr>
              <w:t>NH</w:t>
            </w:r>
            <w:r>
              <w:rPr>
                <w:rFonts w:eastAsiaTheme="minorEastAsia"/>
                <w:spacing w:val="22"/>
                <w:kern w:val="0"/>
                <w:szCs w:val="21"/>
                <w:vertAlign w:val="subscript"/>
              </w:rPr>
              <w:t>3</w:t>
            </w:r>
            <w:r>
              <w:rPr>
                <w:rFonts w:eastAsiaTheme="minorEastAsia" w:hAnsiTheme="minorEastAsia"/>
                <w:spacing w:val="22"/>
                <w:kern w:val="0"/>
                <w:szCs w:val="21"/>
              </w:rPr>
              <w:t>、</w:t>
            </w:r>
            <w:r>
              <w:rPr>
                <w:rFonts w:eastAsiaTheme="minorEastAsia"/>
                <w:spacing w:val="22"/>
                <w:kern w:val="0"/>
                <w:szCs w:val="21"/>
              </w:rPr>
              <w:t>H</w:t>
            </w:r>
            <w:r>
              <w:rPr>
                <w:rFonts w:eastAsiaTheme="minorEastAsia"/>
                <w:spacing w:val="22"/>
                <w:kern w:val="0"/>
                <w:szCs w:val="21"/>
                <w:vertAlign w:val="subscript"/>
              </w:rPr>
              <w:t>2</w:t>
            </w:r>
            <w:r>
              <w:rPr>
                <w:rFonts w:eastAsiaTheme="minorEastAsia"/>
                <w:spacing w:val="22"/>
                <w:kern w:val="0"/>
                <w:szCs w:val="21"/>
              </w:rPr>
              <w:t>S</w:t>
            </w:r>
            <w:r>
              <w:rPr>
                <w:rFonts w:eastAsiaTheme="minorEastAsia" w:hAnsiTheme="minorEastAsia"/>
                <w:spacing w:val="22"/>
                <w:kern w:val="0"/>
                <w:szCs w:val="21"/>
              </w:rPr>
              <w:t>、</w:t>
            </w:r>
            <w:r>
              <w:rPr>
                <w:rFonts w:eastAsiaTheme="minorEastAsia"/>
                <w:snapToGrid w:val="0"/>
                <w:kern w:val="0"/>
              </w:rPr>
              <w:t>NO</w:t>
            </w:r>
            <w:r>
              <w:rPr>
                <w:rFonts w:eastAsiaTheme="minorEastAsia"/>
                <w:snapToGrid w:val="0"/>
                <w:kern w:val="0"/>
                <w:vertAlign w:val="subscript"/>
              </w:rPr>
              <w:t>x</w:t>
            </w:r>
            <w:r>
              <w:rPr>
                <w:rFonts w:eastAsiaTheme="minorEastAsia" w:hint="eastAsia"/>
                <w:snapToGrid w:val="0"/>
                <w:kern w:val="0"/>
              </w:rPr>
              <w:t>、</w:t>
            </w:r>
            <w:r>
              <w:rPr>
                <w:rFonts w:eastAsiaTheme="minorEastAsia" w:hint="eastAsia"/>
                <w:snapToGrid w:val="0"/>
                <w:kern w:val="0"/>
              </w:rPr>
              <w:t>T</w:t>
            </w:r>
            <w:r>
              <w:rPr>
                <w:rFonts w:eastAsiaTheme="minorEastAsia"/>
                <w:snapToGrid w:val="0"/>
                <w:kern w:val="0"/>
              </w:rPr>
              <w:t>SP</w:t>
            </w:r>
            <w:r>
              <w:rPr>
                <w:rFonts w:eastAsiaTheme="minorEastAsia" w:hint="eastAsia"/>
                <w:snapToGrid w:val="0"/>
                <w:kern w:val="0"/>
              </w:rPr>
              <w:t>、</w:t>
            </w:r>
            <w:r>
              <w:rPr>
                <w:rFonts w:eastAsiaTheme="minorEastAsia" w:hint="eastAsia"/>
                <w:snapToGrid w:val="0"/>
                <w:kern w:val="0"/>
              </w:rPr>
              <w:t>NH</w:t>
            </w:r>
            <w:r>
              <w:rPr>
                <w:rFonts w:eastAsiaTheme="minorEastAsia" w:hint="eastAsia"/>
                <w:snapToGrid w:val="0"/>
                <w:kern w:val="0"/>
                <w:vertAlign w:val="subscript"/>
              </w:rPr>
              <w:t>3</w:t>
            </w:r>
            <w:r>
              <w:rPr>
                <w:rFonts w:eastAsiaTheme="minorEastAsia" w:hint="eastAsia"/>
                <w:snapToGrid w:val="0"/>
                <w:kern w:val="0"/>
              </w:rPr>
              <w:t>、</w:t>
            </w:r>
            <w:r>
              <w:rPr>
                <w:rFonts w:eastAsiaTheme="minorEastAsia" w:hint="eastAsia"/>
                <w:snapToGrid w:val="0"/>
                <w:kern w:val="0"/>
              </w:rPr>
              <w:t>H</w:t>
            </w:r>
            <w:r>
              <w:rPr>
                <w:rFonts w:eastAsiaTheme="minorEastAsia" w:hint="eastAsia"/>
                <w:snapToGrid w:val="0"/>
                <w:kern w:val="0"/>
                <w:vertAlign w:val="subscript"/>
              </w:rPr>
              <w:t>2</w:t>
            </w:r>
            <w:r>
              <w:rPr>
                <w:rFonts w:eastAsiaTheme="minorEastAsia" w:hint="eastAsia"/>
                <w:snapToGrid w:val="0"/>
                <w:kern w:val="0"/>
              </w:rPr>
              <w:t>S</w:t>
            </w:r>
          </w:p>
        </w:tc>
      </w:tr>
      <w:tr w:rsidR="00B14D53" w14:paraId="63383422" w14:textId="77777777">
        <w:trPr>
          <w:jc w:val="center"/>
        </w:trPr>
        <w:tc>
          <w:tcPr>
            <w:tcW w:w="823" w:type="dxa"/>
            <w:vMerge/>
            <w:vAlign w:val="center"/>
          </w:tcPr>
          <w:p w14:paraId="53FB6D0C" w14:textId="77777777" w:rsidR="00B14D53" w:rsidRDefault="00B14D53">
            <w:pPr>
              <w:widowControl/>
              <w:jc w:val="center"/>
              <w:rPr>
                <w:rFonts w:eastAsiaTheme="minorEastAsia"/>
                <w:kern w:val="0"/>
                <w:szCs w:val="21"/>
              </w:rPr>
            </w:pPr>
          </w:p>
        </w:tc>
        <w:tc>
          <w:tcPr>
            <w:tcW w:w="709" w:type="dxa"/>
            <w:vMerge/>
            <w:vAlign w:val="center"/>
          </w:tcPr>
          <w:p w14:paraId="6F935886" w14:textId="77777777" w:rsidR="00B14D53" w:rsidRDefault="00B14D53">
            <w:pPr>
              <w:widowControl/>
              <w:jc w:val="center"/>
              <w:rPr>
                <w:rFonts w:eastAsiaTheme="minorEastAsia"/>
                <w:kern w:val="0"/>
                <w:szCs w:val="21"/>
              </w:rPr>
            </w:pPr>
          </w:p>
        </w:tc>
        <w:tc>
          <w:tcPr>
            <w:tcW w:w="1134" w:type="dxa"/>
            <w:vAlign w:val="center"/>
          </w:tcPr>
          <w:p w14:paraId="02B7ED7E" w14:textId="77777777" w:rsidR="00B14D53" w:rsidRDefault="00000000">
            <w:pPr>
              <w:snapToGrid w:val="0"/>
              <w:jc w:val="center"/>
              <w:rPr>
                <w:rFonts w:eastAsiaTheme="minorEastAsia"/>
                <w:kern w:val="0"/>
                <w:szCs w:val="21"/>
              </w:rPr>
            </w:pPr>
            <w:r>
              <w:rPr>
                <w:rFonts w:eastAsiaTheme="minorEastAsia" w:hAnsiTheme="minorEastAsia"/>
                <w:kern w:val="0"/>
                <w:szCs w:val="21"/>
              </w:rPr>
              <w:t>影响</w:t>
            </w:r>
            <w:r>
              <w:rPr>
                <w:rFonts w:eastAsiaTheme="minorEastAsia" w:hAnsiTheme="minorEastAsia" w:hint="eastAsia"/>
                <w:kern w:val="0"/>
                <w:szCs w:val="21"/>
              </w:rPr>
              <w:t>分析</w:t>
            </w:r>
          </w:p>
        </w:tc>
        <w:tc>
          <w:tcPr>
            <w:tcW w:w="5584" w:type="dxa"/>
            <w:vAlign w:val="center"/>
          </w:tcPr>
          <w:p w14:paraId="651EA1F6" w14:textId="77777777" w:rsidR="00B14D53" w:rsidRDefault="00000000">
            <w:pPr>
              <w:snapToGrid w:val="0"/>
              <w:jc w:val="center"/>
              <w:rPr>
                <w:rFonts w:eastAsiaTheme="minorEastAsia"/>
                <w:spacing w:val="22"/>
                <w:kern w:val="0"/>
                <w:szCs w:val="21"/>
              </w:rPr>
            </w:pPr>
            <w:r>
              <w:rPr>
                <w:rFonts w:eastAsiaTheme="minorEastAsia"/>
                <w:spacing w:val="22"/>
                <w:kern w:val="0"/>
                <w:szCs w:val="21"/>
              </w:rPr>
              <w:t>NH</w:t>
            </w:r>
            <w:r>
              <w:rPr>
                <w:rFonts w:eastAsiaTheme="minorEastAsia"/>
                <w:spacing w:val="22"/>
                <w:kern w:val="0"/>
                <w:szCs w:val="21"/>
                <w:vertAlign w:val="subscript"/>
              </w:rPr>
              <w:t>3</w:t>
            </w:r>
            <w:r>
              <w:rPr>
                <w:rFonts w:eastAsiaTheme="minorEastAsia" w:hAnsiTheme="minorEastAsia"/>
                <w:spacing w:val="22"/>
                <w:kern w:val="0"/>
                <w:szCs w:val="21"/>
              </w:rPr>
              <w:t>、</w:t>
            </w:r>
            <w:r>
              <w:rPr>
                <w:rFonts w:eastAsiaTheme="minorEastAsia"/>
                <w:spacing w:val="22"/>
                <w:kern w:val="0"/>
                <w:szCs w:val="21"/>
              </w:rPr>
              <w:t>H</w:t>
            </w:r>
            <w:r>
              <w:rPr>
                <w:rFonts w:eastAsiaTheme="minorEastAsia"/>
                <w:spacing w:val="22"/>
                <w:kern w:val="0"/>
                <w:szCs w:val="21"/>
                <w:vertAlign w:val="subscript"/>
              </w:rPr>
              <w:t>2</w:t>
            </w:r>
            <w:r>
              <w:rPr>
                <w:rFonts w:eastAsiaTheme="minorEastAsia"/>
                <w:spacing w:val="22"/>
                <w:kern w:val="0"/>
                <w:szCs w:val="21"/>
              </w:rPr>
              <w:t>S</w:t>
            </w:r>
            <w:r>
              <w:rPr>
                <w:rFonts w:eastAsiaTheme="minorEastAsia" w:hAnsiTheme="minorEastAsia"/>
                <w:spacing w:val="22"/>
                <w:kern w:val="0"/>
                <w:szCs w:val="21"/>
              </w:rPr>
              <w:t>、臭气浓度</w:t>
            </w:r>
          </w:p>
        </w:tc>
      </w:tr>
      <w:tr w:rsidR="00B14D53" w14:paraId="0883A37E" w14:textId="77777777">
        <w:trPr>
          <w:jc w:val="center"/>
        </w:trPr>
        <w:tc>
          <w:tcPr>
            <w:tcW w:w="823" w:type="dxa"/>
            <w:vMerge/>
            <w:vAlign w:val="center"/>
          </w:tcPr>
          <w:p w14:paraId="7E34DE0E" w14:textId="77777777" w:rsidR="00B14D53" w:rsidRDefault="00B14D53">
            <w:pPr>
              <w:widowControl/>
              <w:jc w:val="center"/>
              <w:rPr>
                <w:rFonts w:eastAsiaTheme="minorEastAsia"/>
                <w:kern w:val="0"/>
                <w:szCs w:val="21"/>
              </w:rPr>
            </w:pPr>
          </w:p>
        </w:tc>
        <w:tc>
          <w:tcPr>
            <w:tcW w:w="709" w:type="dxa"/>
            <w:vMerge w:val="restart"/>
            <w:vAlign w:val="center"/>
          </w:tcPr>
          <w:p w14:paraId="4D37B9E5" w14:textId="77777777" w:rsidR="00B14D53" w:rsidRDefault="00000000">
            <w:pPr>
              <w:snapToGrid w:val="0"/>
              <w:jc w:val="center"/>
              <w:rPr>
                <w:rFonts w:eastAsiaTheme="minorEastAsia"/>
                <w:kern w:val="0"/>
                <w:szCs w:val="21"/>
              </w:rPr>
            </w:pPr>
            <w:r>
              <w:rPr>
                <w:rFonts w:eastAsiaTheme="minorEastAsia" w:hAnsiTheme="minorEastAsia"/>
                <w:kern w:val="0"/>
                <w:szCs w:val="21"/>
              </w:rPr>
              <w:t>声环境</w:t>
            </w:r>
          </w:p>
        </w:tc>
        <w:tc>
          <w:tcPr>
            <w:tcW w:w="1134" w:type="dxa"/>
            <w:vAlign w:val="center"/>
          </w:tcPr>
          <w:p w14:paraId="6DE354F0" w14:textId="77777777" w:rsidR="00B14D53" w:rsidRDefault="00000000">
            <w:pPr>
              <w:snapToGrid w:val="0"/>
              <w:jc w:val="center"/>
              <w:rPr>
                <w:rFonts w:eastAsiaTheme="minorEastAsia"/>
                <w:kern w:val="0"/>
                <w:szCs w:val="21"/>
              </w:rPr>
            </w:pPr>
            <w:r>
              <w:rPr>
                <w:rFonts w:eastAsiaTheme="minorEastAsia" w:hAnsiTheme="minorEastAsia"/>
                <w:kern w:val="0"/>
                <w:szCs w:val="21"/>
              </w:rPr>
              <w:t>现状评价</w:t>
            </w:r>
          </w:p>
        </w:tc>
        <w:tc>
          <w:tcPr>
            <w:tcW w:w="5584" w:type="dxa"/>
            <w:vMerge w:val="restart"/>
            <w:vAlign w:val="center"/>
          </w:tcPr>
          <w:p w14:paraId="453E77B8" w14:textId="77777777" w:rsidR="00B14D53" w:rsidRDefault="00000000">
            <w:pPr>
              <w:snapToGrid w:val="0"/>
              <w:jc w:val="center"/>
              <w:rPr>
                <w:rFonts w:eastAsiaTheme="minorEastAsia"/>
                <w:spacing w:val="22"/>
                <w:kern w:val="0"/>
                <w:szCs w:val="21"/>
              </w:rPr>
            </w:pPr>
            <w:r>
              <w:rPr>
                <w:rFonts w:eastAsiaTheme="minorEastAsia" w:hAnsiTheme="minorEastAsia"/>
                <w:snapToGrid w:val="0"/>
                <w:kern w:val="0"/>
                <w:lang w:val="zh-CN"/>
              </w:rPr>
              <w:t>等效连续</w:t>
            </w:r>
            <w:r>
              <w:rPr>
                <w:rFonts w:eastAsiaTheme="minorEastAsia"/>
                <w:snapToGrid w:val="0"/>
                <w:kern w:val="0"/>
                <w:lang w:val="zh-CN"/>
              </w:rPr>
              <w:t>A</w:t>
            </w:r>
            <w:r>
              <w:rPr>
                <w:rFonts w:eastAsiaTheme="minorEastAsia" w:hAnsiTheme="minorEastAsia"/>
                <w:snapToGrid w:val="0"/>
                <w:kern w:val="0"/>
                <w:lang w:val="zh-CN"/>
              </w:rPr>
              <w:t>声级</w:t>
            </w:r>
            <w:r>
              <w:rPr>
                <w:rFonts w:eastAsiaTheme="minorEastAsia"/>
                <w:snapToGrid w:val="0"/>
                <w:kern w:val="0"/>
                <w:lang w:val="zh-CN"/>
              </w:rPr>
              <w:t>Leq</w:t>
            </w:r>
            <w:r>
              <w:rPr>
                <w:rFonts w:eastAsiaTheme="minorEastAsia" w:hAnsiTheme="minorEastAsia"/>
                <w:snapToGrid w:val="0"/>
                <w:kern w:val="0"/>
                <w:lang w:val="zh-CN"/>
              </w:rPr>
              <w:t>（</w:t>
            </w:r>
            <w:r>
              <w:rPr>
                <w:rFonts w:eastAsiaTheme="minorEastAsia"/>
                <w:snapToGrid w:val="0"/>
                <w:kern w:val="0"/>
                <w:lang w:val="zh-CN"/>
              </w:rPr>
              <w:t>A</w:t>
            </w:r>
            <w:r>
              <w:rPr>
                <w:rFonts w:eastAsiaTheme="minorEastAsia" w:hAnsiTheme="minorEastAsia"/>
                <w:snapToGrid w:val="0"/>
                <w:kern w:val="0"/>
                <w:lang w:val="zh-CN"/>
              </w:rPr>
              <w:t>）</w:t>
            </w:r>
          </w:p>
        </w:tc>
      </w:tr>
      <w:tr w:rsidR="00B14D53" w14:paraId="7FF61341" w14:textId="77777777">
        <w:trPr>
          <w:trHeight w:val="163"/>
          <w:jc w:val="center"/>
        </w:trPr>
        <w:tc>
          <w:tcPr>
            <w:tcW w:w="823" w:type="dxa"/>
            <w:vMerge/>
            <w:vAlign w:val="center"/>
          </w:tcPr>
          <w:p w14:paraId="3D23BD7D" w14:textId="77777777" w:rsidR="00B14D53" w:rsidRDefault="00B14D53">
            <w:pPr>
              <w:widowControl/>
              <w:jc w:val="center"/>
              <w:rPr>
                <w:rFonts w:eastAsiaTheme="minorEastAsia"/>
                <w:kern w:val="0"/>
                <w:szCs w:val="21"/>
              </w:rPr>
            </w:pPr>
          </w:p>
        </w:tc>
        <w:tc>
          <w:tcPr>
            <w:tcW w:w="709" w:type="dxa"/>
            <w:vMerge/>
            <w:vAlign w:val="center"/>
          </w:tcPr>
          <w:p w14:paraId="1F293E67" w14:textId="77777777" w:rsidR="00B14D53" w:rsidRDefault="00B14D53">
            <w:pPr>
              <w:widowControl/>
              <w:jc w:val="center"/>
              <w:rPr>
                <w:rFonts w:eastAsiaTheme="minorEastAsia"/>
                <w:kern w:val="0"/>
                <w:szCs w:val="21"/>
              </w:rPr>
            </w:pPr>
          </w:p>
        </w:tc>
        <w:tc>
          <w:tcPr>
            <w:tcW w:w="1134" w:type="dxa"/>
            <w:vAlign w:val="center"/>
          </w:tcPr>
          <w:p w14:paraId="0C4BAEAB" w14:textId="77777777" w:rsidR="00B14D53" w:rsidRDefault="00000000">
            <w:pPr>
              <w:snapToGrid w:val="0"/>
              <w:jc w:val="center"/>
              <w:rPr>
                <w:rFonts w:eastAsiaTheme="minorEastAsia"/>
                <w:kern w:val="0"/>
                <w:szCs w:val="21"/>
              </w:rPr>
            </w:pPr>
            <w:r>
              <w:rPr>
                <w:rFonts w:eastAsiaTheme="minorEastAsia" w:hAnsiTheme="minorEastAsia"/>
                <w:kern w:val="0"/>
                <w:szCs w:val="21"/>
              </w:rPr>
              <w:t>预测分析</w:t>
            </w:r>
          </w:p>
        </w:tc>
        <w:tc>
          <w:tcPr>
            <w:tcW w:w="5584" w:type="dxa"/>
            <w:vMerge/>
            <w:vAlign w:val="center"/>
          </w:tcPr>
          <w:p w14:paraId="4E7880E8" w14:textId="77777777" w:rsidR="00B14D53" w:rsidRDefault="00B14D53">
            <w:pPr>
              <w:widowControl/>
              <w:jc w:val="center"/>
              <w:rPr>
                <w:rFonts w:eastAsiaTheme="minorEastAsia"/>
                <w:spacing w:val="22"/>
                <w:kern w:val="0"/>
                <w:szCs w:val="21"/>
              </w:rPr>
            </w:pPr>
          </w:p>
        </w:tc>
      </w:tr>
      <w:tr w:rsidR="00B14D53" w14:paraId="6BC70678" w14:textId="77777777">
        <w:trPr>
          <w:jc w:val="center"/>
        </w:trPr>
        <w:tc>
          <w:tcPr>
            <w:tcW w:w="823" w:type="dxa"/>
            <w:vMerge/>
            <w:vAlign w:val="center"/>
          </w:tcPr>
          <w:p w14:paraId="1E4D8FB0" w14:textId="77777777" w:rsidR="00B14D53" w:rsidRDefault="00B14D53">
            <w:pPr>
              <w:widowControl/>
              <w:jc w:val="center"/>
              <w:rPr>
                <w:rFonts w:eastAsiaTheme="minorEastAsia"/>
                <w:kern w:val="0"/>
                <w:szCs w:val="21"/>
              </w:rPr>
            </w:pPr>
          </w:p>
        </w:tc>
        <w:tc>
          <w:tcPr>
            <w:tcW w:w="709" w:type="dxa"/>
            <w:vMerge w:val="restart"/>
            <w:vAlign w:val="center"/>
          </w:tcPr>
          <w:p w14:paraId="208E1C25" w14:textId="77777777" w:rsidR="00B14D53" w:rsidRDefault="00000000">
            <w:pPr>
              <w:snapToGrid w:val="0"/>
              <w:jc w:val="center"/>
              <w:rPr>
                <w:rFonts w:eastAsiaTheme="minorEastAsia"/>
                <w:kern w:val="0"/>
                <w:szCs w:val="21"/>
              </w:rPr>
            </w:pPr>
            <w:r>
              <w:rPr>
                <w:rFonts w:eastAsiaTheme="minorEastAsia" w:hAnsiTheme="minorEastAsia"/>
                <w:kern w:val="0"/>
                <w:szCs w:val="21"/>
              </w:rPr>
              <w:t>地表水</w:t>
            </w:r>
          </w:p>
        </w:tc>
        <w:tc>
          <w:tcPr>
            <w:tcW w:w="1134" w:type="dxa"/>
            <w:vAlign w:val="center"/>
          </w:tcPr>
          <w:p w14:paraId="06DA7CAE" w14:textId="77777777" w:rsidR="00B14D53" w:rsidRDefault="00000000">
            <w:pPr>
              <w:snapToGrid w:val="0"/>
              <w:jc w:val="center"/>
              <w:rPr>
                <w:rFonts w:eastAsiaTheme="minorEastAsia"/>
                <w:kern w:val="0"/>
                <w:szCs w:val="21"/>
              </w:rPr>
            </w:pPr>
            <w:r>
              <w:rPr>
                <w:rFonts w:eastAsiaTheme="minorEastAsia" w:hAnsiTheme="minorEastAsia"/>
                <w:kern w:val="0"/>
                <w:szCs w:val="21"/>
              </w:rPr>
              <w:t>现状评价</w:t>
            </w:r>
          </w:p>
        </w:tc>
        <w:tc>
          <w:tcPr>
            <w:tcW w:w="5584" w:type="dxa"/>
            <w:vAlign w:val="center"/>
          </w:tcPr>
          <w:p w14:paraId="06EDCC66" w14:textId="77777777" w:rsidR="00B14D53" w:rsidRDefault="00000000">
            <w:pPr>
              <w:snapToGrid w:val="0"/>
              <w:jc w:val="center"/>
              <w:rPr>
                <w:rFonts w:eastAsiaTheme="minorEastAsia"/>
                <w:kern w:val="0"/>
                <w:szCs w:val="21"/>
              </w:rPr>
            </w:pPr>
            <w:r>
              <w:rPr>
                <w:rFonts w:eastAsiaTheme="minorEastAsia"/>
                <w:snapToGrid w:val="0"/>
                <w:kern w:val="0"/>
              </w:rPr>
              <w:t>pH</w:t>
            </w:r>
            <w:r>
              <w:rPr>
                <w:rFonts w:eastAsiaTheme="minorEastAsia" w:hAnsiTheme="minorEastAsia"/>
                <w:snapToGrid w:val="0"/>
                <w:kern w:val="0"/>
              </w:rPr>
              <w:t>、溶解氧、</w:t>
            </w:r>
            <w:r>
              <w:rPr>
                <w:rFonts w:eastAsiaTheme="minorEastAsia"/>
                <w:snapToGrid w:val="0"/>
                <w:kern w:val="0"/>
              </w:rPr>
              <w:t>COD</w:t>
            </w:r>
            <w:r>
              <w:rPr>
                <w:rFonts w:eastAsiaTheme="minorEastAsia" w:hAnsiTheme="minorEastAsia"/>
                <w:snapToGrid w:val="0"/>
                <w:kern w:val="0"/>
              </w:rPr>
              <w:t>、高锰酸盐指数、</w:t>
            </w:r>
            <w:r>
              <w:rPr>
                <w:rFonts w:eastAsiaTheme="minorEastAsia"/>
                <w:snapToGrid w:val="0"/>
                <w:kern w:val="0"/>
              </w:rPr>
              <w:t>BOD</w:t>
            </w:r>
            <w:r>
              <w:rPr>
                <w:rFonts w:eastAsiaTheme="minorEastAsia"/>
                <w:snapToGrid w:val="0"/>
                <w:kern w:val="0"/>
                <w:vertAlign w:val="subscript"/>
              </w:rPr>
              <w:t>5</w:t>
            </w:r>
            <w:r>
              <w:rPr>
                <w:rFonts w:eastAsiaTheme="minorEastAsia" w:hAnsiTheme="minorEastAsia"/>
                <w:snapToGrid w:val="0"/>
                <w:kern w:val="0"/>
              </w:rPr>
              <w:t>、氨氮、总氮、</w:t>
            </w:r>
            <w:r>
              <w:rPr>
                <w:rFonts w:eastAsiaTheme="minorEastAsia"/>
                <w:snapToGrid w:val="0"/>
                <w:kern w:val="0"/>
              </w:rPr>
              <w:t>SS</w:t>
            </w:r>
            <w:r>
              <w:rPr>
                <w:rFonts w:eastAsiaTheme="minorEastAsia" w:hAnsiTheme="minorEastAsia"/>
                <w:snapToGrid w:val="0"/>
                <w:kern w:val="0"/>
              </w:rPr>
              <w:t>、总磷、粪大肠菌群</w:t>
            </w:r>
          </w:p>
        </w:tc>
      </w:tr>
      <w:tr w:rsidR="00B14D53" w14:paraId="6A28DEBC" w14:textId="77777777">
        <w:trPr>
          <w:jc w:val="center"/>
        </w:trPr>
        <w:tc>
          <w:tcPr>
            <w:tcW w:w="823" w:type="dxa"/>
            <w:vMerge/>
            <w:vAlign w:val="center"/>
          </w:tcPr>
          <w:p w14:paraId="4D502A3F" w14:textId="77777777" w:rsidR="00B14D53" w:rsidRDefault="00B14D53">
            <w:pPr>
              <w:widowControl/>
              <w:jc w:val="center"/>
              <w:rPr>
                <w:rFonts w:eastAsiaTheme="minorEastAsia"/>
                <w:kern w:val="0"/>
                <w:szCs w:val="21"/>
              </w:rPr>
            </w:pPr>
          </w:p>
        </w:tc>
        <w:tc>
          <w:tcPr>
            <w:tcW w:w="709" w:type="dxa"/>
            <w:vMerge/>
            <w:vAlign w:val="center"/>
          </w:tcPr>
          <w:p w14:paraId="17718815" w14:textId="77777777" w:rsidR="00B14D53" w:rsidRDefault="00B14D53">
            <w:pPr>
              <w:widowControl/>
              <w:jc w:val="center"/>
              <w:rPr>
                <w:rFonts w:eastAsiaTheme="minorEastAsia"/>
                <w:kern w:val="0"/>
                <w:szCs w:val="21"/>
              </w:rPr>
            </w:pPr>
          </w:p>
        </w:tc>
        <w:tc>
          <w:tcPr>
            <w:tcW w:w="1134" w:type="dxa"/>
            <w:vAlign w:val="center"/>
          </w:tcPr>
          <w:p w14:paraId="797E5542" w14:textId="77777777" w:rsidR="00B14D53" w:rsidRDefault="00000000">
            <w:pPr>
              <w:snapToGrid w:val="0"/>
              <w:jc w:val="center"/>
              <w:rPr>
                <w:rFonts w:eastAsiaTheme="minorEastAsia"/>
                <w:kern w:val="0"/>
                <w:szCs w:val="21"/>
              </w:rPr>
            </w:pPr>
            <w:r>
              <w:rPr>
                <w:rFonts w:eastAsiaTheme="minorEastAsia" w:hAnsiTheme="minorEastAsia"/>
                <w:kern w:val="0"/>
                <w:szCs w:val="21"/>
              </w:rPr>
              <w:t>影响分析</w:t>
            </w:r>
          </w:p>
        </w:tc>
        <w:tc>
          <w:tcPr>
            <w:tcW w:w="5584" w:type="dxa"/>
            <w:vAlign w:val="center"/>
          </w:tcPr>
          <w:p w14:paraId="7E99B7B0" w14:textId="77777777" w:rsidR="00B14D53" w:rsidRDefault="00000000">
            <w:pPr>
              <w:snapToGrid w:val="0"/>
              <w:jc w:val="center"/>
              <w:rPr>
                <w:rFonts w:eastAsiaTheme="minorEastAsia"/>
                <w:kern w:val="0"/>
                <w:szCs w:val="21"/>
              </w:rPr>
            </w:pPr>
            <w:r>
              <w:rPr>
                <w:rFonts w:eastAsiaTheme="minorEastAsia" w:hint="eastAsia"/>
                <w:bCs/>
                <w:snapToGrid w:val="0"/>
                <w:kern w:val="0"/>
              </w:rPr>
              <w:t>pH</w:t>
            </w:r>
            <w:r>
              <w:rPr>
                <w:rFonts w:eastAsiaTheme="minorEastAsia" w:hint="eastAsia"/>
                <w:bCs/>
                <w:snapToGrid w:val="0"/>
                <w:kern w:val="0"/>
              </w:rPr>
              <w:t>值、</w:t>
            </w:r>
            <w:r>
              <w:rPr>
                <w:rFonts w:eastAsiaTheme="minorEastAsia"/>
                <w:bCs/>
                <w:snapToGrid w:val="0"/>
                <w:kern w:val="0"/>
              </w:rPr>
              <w:t>COD</w:t>
            </w:r>
            <w:r>
              <w:rPr>
                <w:rFonts w:eastAsiaTheme="minorEastAsia" w:hAnsiTheme="minorEastAsia"/>
                <w:bCs/>
                <w:snapToGrid w:val="0"/>
                <w:kern w:val="0"/>
              </w:rPr>
              <w:t>、</w:t>
            </w:r>
            <w:r>
              <w:rPr>
                <w:rFonts w:eastAsiaTheme="minorEastAsia" w:hAnsiTheme="minorEastAsia" w:hint="eastAsia"/>
                <w:bCs/>
                <w:snapToGrid w:val="0"/>
                <w:kern w:val="0"/>
              </w:rPr>
              <w:t>BOD</w:t>
            </w:r>
            <w:r>
              <w:rPr>
                <w:rFonts w:eastAsiaTheme="minorEastAsia" w:hAnsiTheme="minorEastAsia" w:hint="eastAsia"/>
                <w:bCs/>
                <w:snapToGrid w:val="0"/>
                <w:kern w:val="0"/>
                <w:vertAlign w:val="subscript"/>
              </w:rPr>
              <w:t>5</w:t>
            </w:r>
            <w:r>
              <w:rPr>
                <w:rFonts w:eastAsiaTheme="minorEastAsia" w:hAnsiTheme="minorEastAsia" w:hint="eastAsia"/>
                <w:bCs/>
                <w:snapToGrid w:val="0"/>
                <w:kern w:val="0"/>
              </w:rPr>
              <w:t>、</w:t>
            </w:r>
            <w:r>
              <w:rPr>
                <w:rFonts w:eastAsiaTheme="minorEastAsia" w:hAnsiTheme="minorEastAsia" w:hint="eastAsia"/>
                <w:bCs/>
                <w:snapToGrid w:val="0"/>
                <w:kern w:val="0"/>
              </w:rPr>
              <w:t>SS</w:t>
            </w:r>
            <w:r>
              <w:rPr>
                <w:rFonts w:eastAsiaTheme="minorEastAsia" w:hAnsiTheme="minorEastAsia" w:hint="eastAsia"/>
                <w:bCs/>
                <w:snapToGrid w:val="0"/>
                <w:kern w:val="0"/>
              </w:rPr>
              <w:t>、</w:t>
            </w:r>
            <w:r>
              <w:rPr>
                <w:rFonts w:eastAsiaTheme="minorEastAsia" w:hAnsiTheme="minorEastAsia"/>
                <w:bCs/>
                <w:snapToGrid w:val="0"/>
                <w:kern w:val="0"/>
              </w:rPr>
              <w:t>氨氮、</w:t>
            </w:r>
            <w:r>
              <w:rPr>
                <w:rFonts w:eastAsiaTheme="minorEastAsia" w:hint="eastAsia"/>
                <w:bCs/>
                <w:snapToGrid w:val="0"/>
                <w:kern w:val="0"/>
              </w:rPr>
              <w:t>动植物油、大肠菌群数</w:t>
            </w:r>
          </w:p>
        </w:tc>
      </w:tr>
      <w:tr w:rsidR="00B14D53" w14:paraId="5662A836" w14:textId="77777777">
        <w:trPr>
          <w:jc w:val="center"/>
        </w:trPr>
        <w:tc>
          <w:tcPr>
            <w:tcW w:w="823" w:type="dxa"/>
            <w:vMerge/>
            <w:vAlign w:val="center"/>
          </w:tcPr>
          <w:p w14:paraId="3CF5BF9E" w14:textId="77777777" w:rsidR="00B14D53" w:rsidRDefault="00B14D53">
            <w:pPr>
              <w:jc w:val="center"/>
              <w:rPr>
                <w:rFonts w:eastAsiaTheme="minorEastAsia"/>
                <w:kern w:val="0"/>
                <w:szCs w:val="21"/>
              </w:rPr>
            </w:pPr>
          </w:p>
        </w:tc>
        <w:tc>
          <w:tcPr>
            <w:tcW w:w="709" w:type="dxa"/>
            <w:vMerge w:val="restart"/>
            <w:vAlign w:val="center"/>
          </w:tcPr>
          <w:p w14:paraId="3AC4EAC3" w14:textId="77777777" w:rsidR="00B14D53" w:rsidRDefault="00000000">
            <w:pPr>
              <w:snapToGrid w:val="0"/>
              <w:jc w:val="center"/>
              <w:rPr>
                <w:rFonts w:eastAsiaTheme="minorEastAsia"/>
                <w:kern w:val="0"/>
                <w:szCs w:val="21"/>
              </w:rPr>
            </w:pPr>
            <w:r>
              <w:rPr>
                <w:rFonts w:eastAsiaTheme="minorEastAsia" w:hAnsiTheme="minorEastAsia"/>
                <w:kern w:val="0"/>
                <w:szCs w:val="21"/>
              </w:rPr>
              <w:t>地下水</w:t>
            </w:r>
          </w:p>
        </w:tc>
        <w:tc>
          <w:tcPr>
            <w:tcW w:w="1134" w:type="dxa"/>
            <w:vAlign w:val="center"/>
          </w:tcPr>
          <w:p w14:paraId="2F6F16EE" w14:textId="77777777" w:rsidR="00B14D53" w:rsidRDefault="00000000">
            <w:pPr>
              <w:snapToGrid w:val="0"/>
              <w:jc w:val="center"/>
              <w:rPr>
                <w:rFonts w:eastAsiaTheme="minorEastAsia"/>
                <w:kern w:val="0"/>
                <w:szCs w:val="21"/>
              </w:rPr>
            </w:pPr>
            <w:r>
              <w:rPr>
                <w:rFonts w:eastAsiaTheme="minorEastAsia" w:hAnsiTheme="minorEastAsia"/>
                <w:kern w:val="0"/>
                <w:szCs w:val="21"/>
              </w:rPr>
              <w:t>现状评价</w:t>
            </w:r>
          </w:p>
        </w:tc>
        <w:tc>
          <w:tcPr>
            <w:tcW w:w="5584" w:type="dxa"/>
            <w:vAlign w:val="center"/>
          </w:tcPr>
          <w:p w14:paraId="53CF6501" w14:textId="77777777" w:rsidR="00B14D53" w:rsidRDefault="00000000">
            <w:pPr>
              <w:snapToGrid w:val="0"/>
              <w:jc w:val="center"/>
              <w:rPr>
                <w:rFonts w:eastAsiaTheme="minorEastAsia"/>
                <w:kern w:val="0"/>
                <w:szCs w:val="21"/>
              </w:rPr>
            </w:pPr>
            <w:r>
              <w:rPr>
                <w:rFonts w:eastAsiaTheme="minorEastAsia"/>
                <w:bCs/>
                <w:kern w:val="0"/>
              </w:rPr>
              <w:t>K</w:t>
            </w:r>
            <w:r>
              <w:rPr>
                <w:rFonts w:eastAsiaTheme="minorEastAsia"/>
                <w:bCs/>
                <w:kern w:val="0"/>
                <w:vertAlign w:val="superscript"/>
              </w:rPr>
              <w:t>+</w:t>
            </w:r>
            <w:r>
              <w:rPr>
                <w:rFonts w:eastAsiaTheme="minorEastAsia" w:hAnsiTheme="minorEastAsia"/>
                <w:bCs/>
                <w:kern w:val="0"/>
              </w:rPr>
              <w:t>、</w:t>
            </w:r>
            <w:r>
              <w:rPr>
                <w:rFonts w:eastAsiaTheme="minorEastAsia"/>
                <w:bCs/>
                <w:kern w:val="0"/>
              </w:rPr>
              <w:t>Na</w:t>
            </w:r>
            <w:r>
              <w:rPr>
                <w:rFonts w:eastAsiaTheme="minorEastAsia"/>
                <w:bCs/>
                <w:kern w:val="0"/>
                <w:vertAlign w:val="superscript"/>
              </w:rPr>
              <w:t>+</w:t>
            </w:r>
            <w:r>
              <w:rPr>
                <w:rFonts w:eastAsiaTheme="minorEastAsia" w:hAnsiTheme="minorEastAsia"/>
                <w:bCs/>
                <w:kern w:val="0"/>
              </w:rPr>
              <w:t>、</w:t>
            </w:r>
            <w:r>
              <w:rPr>
                <w:rFonts w:eastAsiaTheme="minorEastAsia"/>
                <w:bCs/>
                <w:kern w:val="0"/>
              </w:rPr>
              <w:t>Ca</w:t>
            </w:r>
            <w:r>
              <w:rPr>
                <w:rFonts w:eastAsiaTheme="minorEastAsia"/>
                <w:bCs/>
                <w:kern w:val="0"/>
                <w:vertAlign w:val="superscript"/>
              </w:rPr>
              <w:t>2+</w:t>
            </w:r>
            <w:r>
              <w:rPr>
                <w:rFonts w:eastAsiaTheme="minorEastAsia" w:hAnsiTheme="minorEastAsia"/>
                <w:bCs/>
                <w:kern w:val="0"/>
              </w:rPr>
              <w:t>、</w:t>
            </w:r>
            <w:r>
              <w:rPr>
                <w:rFonts w:eastAsiaTheme="minorEastAsia"/>
                <w:bCs/>
                <w:kern w:val="0"/>
              </w:rPr>
              <w:t>Mg</w:t>
            </w:r>
            <w:r>
              <w:rPr>
                <w:rFonts w:eastAsiaTheme="minorEastAsia"/>
                <w:bCs/>
                <w:kern w:val="0"/>
                <w:vertAlign w:val="superscript"/>
              </w:rPr>
              <w:t>2+</w:t>
            </w:r>
            <w:r>
              <w:rPr>
                <w:rFonts w:eastAsiaTheme="minorEastAsia" w:hAnsiTheme="minorEastAsia"/>
                <w:bCs/>
                <w:kern w:val="0"/>
              </w:rPr>
              <w:t>、</w:t>
            </w:r>
            <w:r>
              <w:rPr>
                <w:rFonts w:eastAsiaTheme="minorEastAsia"/>
                <w:bCs/>
                <w:kern w:val="0"/>
              </w:rPr>
              <w:t>CO</w:t>
            </w:r>
            <w:r>
              <w:rPr>
                <w:rFonts w:eastAsiaTheme="minorEastAsia"/>
                <w:bCs/>
                <w:kern w:val="0"/>
                <w:vertAlign w:val="subscript"/>
              </w:rPr>
              <w:t>3</w:t>
            </w:r>
            <w:r>
              <w:rPr>
                <w:rFonts w:eastAsiaTheme="minorEastAsia"/>
                <w:bCs/>
                <w:kern w:val="0"/>
                <w:vertAlign w:val="superscript"/>
              </w:rPr>
              <w:t>2-</w:t>
            </w:r>
            <w:r>
              <w:rPr>
                <w:rFonts w:eastAsiaTheme="minorEastAsia" w:hAnsiTheme="minorEastAsia"/>
                <w:bCs/>
                <w:kern w:val="0"/>
              </w:rPr>
              <w:t>、</w:t>
            </w:r>
            <w:r>
              <w:rPr>
                <w:rFonts w:eastAsiaTheme="minorEastAsia"/>
                <w:bCs/>
                <w:kern w:val="0"/>
              </w:rPr>
              <w:t>HCO</w:t>
            </w:r>
            <w:r>
              <w:rPr>
                <w:rFonts w:eastAsiaTheme="minorEastAsia"/>
                <w:bCs/>
                <w:kern w:val="0"/>
                <w:vertAlign w:val="subscript"/>
              </w:rPr>
              <w:t>3</w:t>
            </w:r>
            <w:r>
              <w:rPr>
                <w:rFonts w:eastAsiaTheme="minorEastAsia"/>
                <w:bCs/>
                <w:kern w:val="0"/>
                <w:vertAlign w:val="superscript"/>
              </w:rPr>
              <w:t>-</w:t>
            </w:r>
            <w:r>
              <w:rPr>
                <w:rFonts w:eastAsiaTheme="minorEastAsia" w:hAnsiTheme="minorEastAsia"/>
                <w:bCs/>
                <w:kern w:val="0"/>
              </w:rPr>
              <w:t>、</w:t>
            </w:r>
            <w:r>
              <w:rPr>
                <w:rFonts w:eastAsiaTheme="minorEastAsia"/>
                <w:bCs/>
                <w:kern w:val="0"/>
              </w:rPr>
              <w:t>Cl</w:t>
            </w:r>
            <w:r>
              <w:rPr>
                <w:rFonts w:eastAsiaTheme="minorEastAsia"/>
                <w:bCs/>
                <w:kern w:val="0"/>
                <w:vertAlign w:val="superscript"/>
              </w:rPr>
              <w:t>-</w:t>
            </w:r>
            <w:r>
              <w:rPr>
                <w:rFonts w:eastAsiaTheme="minorEastAsia" w:hAnsiTheme="minorEastAsia"/>
                <w:bCs/>
                <w:kern w:val="0"/>
              </w:rPr>
              <w:t>、</w:t>
            </w:r>
            <w:r>
              <w:rPr>
                <w:rFonts w:eastAsiaTheme="minorEastAsia"/>
                <w:kern w:val="0"/>
              </w:rPr>
              <w:t>SO</w:t>
            </w:r>
            <w:r>
              <w:rPr>
                <w:rFonts w:eastAsiaTheme="minorEastAsia"/>
                <w:kern w:val="0"/>
                <w:vertAlign w:val="subscript"/>
              </w:rPr>
              <w:t>4</w:t>
            </w:r>
            <w:r>
              <w:rPr>
                <w:rFonts w:eastAsiaTheme="minorEastAsia"/>
                <w:kern w:val="0"/>
                <w:vertAlign w:val="superscript"/>
              </w:rPr>
              <w:t>2-</w:t>
            </w:r>
            <w:r>
              <w:rPr>
                <w:rFonts w:eastAsiaTheme="minorEastAsia" w:hAnsiTheme="minorEastAsia"/>
                <w:bCs/>
                <w:kern w:val="0"/>
              </w:rPr>
              <w:t>、</w:t>
            </w:r>
            <w:r>
              <w:rPr>
                <w:rFonts w:eastAsiaTheme="minorEastAsia"/>
                <w:bCs/>
                <w:kern w:val="0"/>
              </w:rPr>
              <w:t>pH</w:t>
            </w:r>
            <w:r>
              <w:rPr>
                <w:rFonts w:eastAsiaTheme="minorEastAsia" w:hAnsiTheme="minorEastAsia"/>
                <w:bCs/>
                <w:kern w:val="0"/>
              </w:rPr>
              <w:t>、氨氮、硝酸盐、亚硝酸盐、挥发性酚类、氰化物、砷、汞、铬（六价）、总硬度、铅、</w:t>
            </w:r>
            <w:r>
              <w:rPr>
                <w:rFonts w:eastAsiaTheme="minorEastAsia" w:hAnsiTheme="minorEastAsia"/>
                <w:kern w:val="0"/>
                <w:szCs w:val="21"/>
              </w:rPr>
              <w:t>氟</w:t>
            </w:r>
            <w:r>
              <w:rPr>
                <w:rFonts w:eastAsiaTheme="minorEastAsia" w:hAnsiTheme="minorEastAsia" w:hint="eastAsia"/>
                <w:kern w:val="0"/>
                <w:szCs w:val="21"/>
              </w:rPr>
              <w:t>化物</w:t>
            </w:r>
            <w:r>
              <w:rPr>
                <w:rFonts w:eastAsiaTheme="minorEastAsia" w:hAnsiTheme="minorEastAsia"/>
                <w:bCs/>
                <w:kern w:val="0"/>
              </w:rPr>
              <w:t>、镉、铁、锰、溶解性总固体、</w:t>
            </w:r>
            <w:r>
              <w:rPr>
                <w:rFonts w:eastAsiaTheme="minorEastAsia" w:hAnsiTheme="minorEastAsia" w:hint="eastAsia"/>
                <w:bCs/>
                <w:kern w:val="0"/>
              </w:rPr>
              <w:t>耗氧量</w:t>
            </w:r>
            <w:r>
              <w:rPr>
                <w:rFonts w:eastAsiaTheme="minorEastAsia" w:hAnsiTheme="minorEastAsia"/>
                <w:bCs/>
                <w:kern w:val="0"/>
              </w:rPr>
              <w:t>、硫酸盐、氯化物、总大肠菌群、细菌总数</w:t>
            </w:r>
          </w:p>
        </w:tc>
      </w:tr>
      <w:tr w:rsidR="00B14D53" w14:paraId="0644D560" w14:textId="77777777">
        <w:trPr>
          <w:jc w:val="center"/>
        </w:trPr>
        <w:tc>
          <w:tcPr>
            <w:tcW w:w="823" w:type="dxa"/>
            <w:vMerge/>
            <w:vAlign w:val="center"/>
          </w:tcPr>
          <w:p w14:paraId="21DBF915" w14:textId="77777777" w:rsidR="00B14D53" w:rsidRDefault="00B14D53">
            <w:pPr>
              <w:jc w:val="center"/>
              <w:rPr>
                <w:rFonts w:eastAsiaTheme="minorEastAsia"/>
                <w:kern w:val="0"/>
                <w:szCs w:val="21"/>
              </w:rPr>
            </w:pPr>
          </w:p>
        </w:tc>
        <w:tc>
          <w:tcPr>
            <w:tcW w:w="709" w:type="dxa"/>
            <w:vMerge/>
            <w:vAlign w:val="center"/>
          </w:tcPr>
          <w:p w14:paraId="0EEF6FD3" w14:textId="77777777" w:rsidR="00B14D53" w:rsidRDefault="00B14D53">
            <w:pPr>
              <w:widowControl/>
              <w:jc w:val="center"/>
              <w:rPr>
                <w:rFonts w:eastAsiaTheme="minorEastAsia"/>
                <w:kern w:val="0"/>
                <w:szCs w:val="21"/>
              </w:rPr>
            </w:pPr>
          </w:p>
        </w:tc>
        <w:tc>
          <w:tcPr>
            <w:tcW w:w="1134" w:type="dxa"/>
            <w:vAlign w:val="center"/>
          </w:tcPr>
          <w:p w14:paraId="12A1B949" w14:textId="77777777" w:rsidR="00B14D53" w:rsidRDefault="00000000">
            <w:pPr>
              <w:snapToGrid w:val="0"/>
              <w:jc w:val="center"/>
              <w:rPr>
                <w:rFonts w:eastAsiaTheme="minorEastAsia"/>
                <w:kern w:val="0"/>
                <w:szCs w:val="21"/>
              </w:rPr>
            </w:pPr>
            <w:r>
              <w:rPr>
                <w:rFonts w:eastAsiaTheme="minorEastAsia" w:hAnsiTheme="minorEastAsia"/>
                <w:kern w:val="0"/>
                <w:szCs w:val="21"/>
              </w:rPr>
              <w:t>预测分析</w:t>
            </w:r>
          </w:p>
        </w:tc>
        <w:tc>
          <w:tcPr>
            <w:tcW w:w="5584" w:type="dxa"/>
            <w:vAlign w:val="center"/>
          </w:tcPr>
          <w:p w14:paraId="614DF1DF" w14:textId="77777777" w:rsidR="00B14D53" w:rsidRDefault="00000000">
            <w:pPr>
              <w:snapToGrid w:val="0"/>
              <w:jc w:val="center"/>
              <w:rPr>
                <w:rFonts w:eastAsiaTheme="minorEastAsia"/>
                <w:kern w:val="0"/>
                <w:szCs w:val="21"/>
              </w:rPr>
            </w:pPr>
            <w:r>
              <w:rPr>
                <w:rFonts w:eastAsiaTheme="minorEastAsia" w:hAnsiTheme="minorEastAsia"/>
                <w:kern w:val="0"/>
                <w:szCs w:val="21"/>
              </w:rPr>
              <w:t>氨氮</w:t>
            </w:r>
          </w:p>
        </w:tc>
      </w:tr>
      <w:tr w:rsidR="00B14D53" w14:paraId="7C209C6D" w14:textId="77777777">
        <w:trPr>
          <w:jc w:val="center"/>
        </w:trPr>
        <w:tc>
          <w:tcPr>
            <w:tcW w:w="823" w:type="dxa"/>
            <w:vMerge/>
            <w:vAlign w:val="center"/>
          </w:tcPr>
          <w:p w14:paraId="19BA83CB" w14:textId="77777777" w:rsidR="00B14D53" w:rsidRDefault="00B14D53">
            <w:pPr>
              <w:jc w:val="center"/>
              <w:rPr>
                <w:rFonts w:eastAsiaTheme="minorEastAsia"/>
                <w:kern w:val="0"/>
                <w:szCs w:val="21"/>
              </w:rPr>
            </w:pPr>
          </w:p>
        </w:tc>
        <w:tc>
          <w:tcPr>
            <w:tcW w:w="709" w:type="dxa"/>
            <w:vAlign w:val="center"/>
          </w:tcPr>
          <w:p w14:paraId="235EB3E7" w14:textId="77777777" w:rsidR="00B14D53" w:rsidRDefault="00000000">
            <w:pPr>
              <w:snapToGrid w:val="0"/>
              <w:jc w:val="center"/>
              <w:rPr>
                <w:rFonts w:eastAsiaTheme="minorEastAsia"/>
                <w:kern w:val="0"/>
                <w:szCs w:val="21"/>
              </w:rPr>
            </w:pPr>
            <w:r>
              <w:rPr>
                <w:rFonts w:eastAsiaTheme="minorEastAsia" w:hAnsiTheme="minorEastAsia"/>
                <w:kern w:val="0"/>
                <w:szCs w:val="21"/>
              </w:rPr>
              <w:t>固体废物</w:t>
            </w:r>
          </w:p>
        </w:tc>
        <w:tc>
          <w:tcPr>
            <w:tcW w:w="1134" w:type="dxa"/>
            <w:vAlign w:val="center"/>
          </w:tcPr>
          <w:p w14:paraId="03285E64" w14:textId="77777777" w:rsidR="00B14D53" w:rsidRDefault="00000000">
            <w:pPr>
              <w:snapToGrid w:val="0"/>
              <w:jc w:val="center"/>
              <w:rPr>
                <w:rFonts w:eastAsiaTheme="minorEastAsia"/>
                <w:kern w:val="0"/>
                <w:szCs w:val="21"/>
              </w:rPr>
            </w:pPr>
            <w:r>
              <w:rPr>
                <w:rFonts w:eastAsiaTheme="minorEastAsia" w:hAnsiTheme="minorEastAsia"/>
                <w:kern w:val="0"/>
                <w:szCs w:val="21"/>
              </w:rPr>
              <w:t>影响分析</w:t>
            </w:r>
          </w:p>
        </w:tc>
        <w:tc>
          <w:tcPr>
            <w:tcW w:w="5584" w:type="dxa"/>
            <w:vAlign w:val="center"/>
          </w:tcPr>
          <w:p w14:paraId="3EB9E205" w14:textId="77777777" w:rsidR="00B14D53" w:rsidRDefault="00000000">
            <w:pPr>
              <w:snapToGrid w:val="0"/>
              <w:jc w:val="center"/>
              <w:rPr>
                <w:rFonts w:eastAsiaTheme="minorEastAsia"/>
                <w:kern w:val="0"/>
                <w:szCs w:val="21"/>
              </w:rPr>
            </w:pPr>
            <w:r>
              <w:rPr>
                <w:rFonts w:eastAsiaTheme="minorEastAsia" w:hint="eastAsia"/>
                <w:kern w:val="0"/>
                <w:szCs w:val="21"/>
              </w:rPr>
              <w:t>猪粪、肠胃内容物、</w:t>
            </w:r>
            <w:r>
              <w:rPr>
                <w:rFonts w:eastAsiaTheme="minorEastAsia" w:hAnsiTheme="minorEastAsia"/>
                <w:snapToGrid w:val="0"/>
                <w:kern w:val="0"/>
              </w:rPr>
              <w:t>病变腺体、内脏及</w:t>
            </w:r>
            <w:r>
              <w:rPr>
                <w:rFonts w:eastAsiaTheme="minorEastAsia" w:hAnsiTheme="minorEastAsia" w:hint="eastAsia"/>
                <w:snapToGrid w:val="0"/>
                <w:kern w:val="0"/>
              </w:rPr>
              <w:t>残留</w:t>
            </w:r>
            <w:r>
              <w:rPr>
                <w:rFonts w:eastAsiaTheme="minorEastAsia" w:hAnsiTheme="minorEastAsia"/>
                <w:snapToGrid w:val="0"/>
                <w:kern w:val="0"/>
              </w:rPr>
              <w:t>脂肪</w:t>
            </w:r>
            <w:r>
              <w:rPr>
                <w:rFonts w:eastAsiaTheme="minorEastAsia" w:hAnsiTheme="minorEastAsia" w:hint="eastAsia"/>
                <w:snapToGrid w:val="0"/>
                <w:kern w:val="0"/>
              </w:rPr>
              <w:t>、废离子交换树脂、检验废物（类别：</w:t>
            </w:r>
            <w:r>
              <w:rPr>
                <w:rFonts w:eastAsiaTheme="minorEastAsia" w:hAnsiTheme="minorEastAsia" w:hint="eastAsia"/>
                <w:snapToGrid w:val="0"/>
                <w:kern w:val="0"/>
              </w:rPr>
              <w:t>HW01</w:t>
            </w:r>
            <w:r>
              <w:rPr>
                <w:rFonts w:eastAsiaTheme="minorEastAsia" w:hAnsiTheme="minorEastAsia" w:hint="eastAsia"/>
                <w:snapToGrid w:val="0"/>
                <w:kern w:val="0"/>
              </w:rPr>
              <w:t>，代码：</w:t>
            </w:r>
            <w:r>
              <w:rPr>
                <w:rFonts w:eastAsiaTheme="minorEastAsia" w:hAnsiTheme="minorEastAsia" w:hint="eastAsia"/>
                <w:snapToGrid w:val="0"/>
                <w:kern w:val="0"/>
              </w:rPr>
              <w:t>841-001-01</w:t>
            </w:r>
            <w:r>
              <w:rPr>
                <w:rFonts w:eastAsiaTheme="minorEastAsia" w:hAnsiTheme="minorEastAsia" w:hint="eastAsia"/>
                <w:snapToGrid w:val="0"/>
                <w:kern w:val="0"/>
              </w:rPr>
              <w:t>）、</w:t>
            </w:r>
            <w:r>
              <w:rPr>
                <w:rFonts w:eastAsiaTheme="minorEastAsia" w:hint="eastAsia"/>
                <w:snapToGrid w:val="0"/>
                <w:kern w:val="0"/>
              </w:rPr>
              <w:t>栅渣、污泥、废活性炭、废外包装、生活垃圾、</w:t>
            </w:r>
            <w:r>
              <w:rPr>
                <w:rFonts w:eastAsiaTheme="minorEastAsia" w:hAnsiTheme="minorEastAsia" w:hint="eastAsia"/>
                <w:snapToGrid w:val="0"/>
                <w:kern w:val="0"/>
              </w:rPr>
              <w:t>病死猪</w:t>
            </w:r>
          </w:p>
        </w:tc>
      </w:tr>
      <w:tr w:rsidR="00B14D53" w14:paraId="5A1B3906" w14:textId="77777777">
        <w:trPr>
          <w:jc w:val="center"/>
        </w:trPr>
        <w:tc>
          <w:tcPr>
            <w:tcW w:w="823" w:type="dxa"/>
            <w:vMerge/>
            <w:vAlign w:val="center"/>
          </w:tcPr>
          <w:p w14:paraId="0A1E04CD" w14:textId="77777777" w:rsidR="00B14D53" w:rsidRDefault="00B14D53">
            <w:pPr>
              <w:widowControl/>
              <w:jc w:val="center"/>
              <w:rPr>
                <w:rFonts w:eastAsiaTheme="minorEastAsia"/>
                <w:kern w:val="0"/>
                <w:szCs w:val="21"/>
              </w:rPr>
            </w:pPr>
          </w:p>
        </w:tc>
        <w:tc>
          <w:tcPr>
            <w:tcW w:w="709" w:type="dxa"/>
            <w:vMerge w:val="restart"/>
            <w:vAlign w:val="center"/>
          </w:tcPr>
          <w:p w14:paraId="3CAAE20C" w14:textId="77777777" w:rsidR="00B14D53" w:rsidRDefault="00000000">
            <w:pPr>
              <w:snapToGrid w:val="0"/>
              <w:jc w:val="center"/>
              <w:rPr>
                <w:rFonts w:eastAsiaTheme="minorEastAsia"/>
                <w:kern w:val="0"/>
                <w:szCs w:val="21"/>
              </w:rPr>
            </w:pPr>
            <w:r>
              <w:rPr>
                <w:rFonts w:eastAsiaTheme="minorEastAsia" w:hAnsiTheme="minorEastAsia"/>
                <w:kern w:val="0"/>
                <w:szCs w:val="21"/>
              </w:rPr>
              <w:t>生态</w:t>
            </w:r>
          </w:p>
        </w:tc>
        <w:tc>
          <w:tcPr>
            <w:tcW w:w="1134" w:type="dxa"/>
            <w:vAlign w:val="center"/>
          </w:tcPr>
          <w:p w14:paraId="02AEBB55" w14:textId="77777777" w:rsidR="00B14D53" w:rsidRDefault="00000000">
            <w:pPr>
              <w:snapToGrid w:val="0"/>
              <w:jc w:val="center"/>
              <w:rPr>
                <w:rFonts w:eastAsiaTheme="minorEastAsia"/>
                <w:kern w:val="0"/>
                <w:szCs w:val="21"/>
              </w:rPr>
            </w:pPr>
            <w:r>
              <w:rPr>
                <w:rFonts w:eastAsiaTheme="minorEastAsia" w:hAnsiTheme="minorEastAsia"/>
                <w:kern w:val="0"/>
                <w:szCs w:val="21"/>
              </w:rPr>
              <w:t>现状评价</w:t>
            </w:r>
          </w:p>
        </w:tc>
        <w:tc>
          <w:tcPr>
            <w:tcW w:w="5584" w:type="dxa"/>
            <w:vAlign w:val="center"/>
          </w:tcPr>
          <w:p w14:paraId="04555E9C" w14:textId="77777777" w:rsidR="00B14D53" w:rsidRDefault="00000000">
            <w:pPr>
              <w:snapToGrid w:val="0"/>
              <w:jc w:val="center"/>
              <w:rPr>
                <w:rFonts w:eastAsiaTheme="minorEastAsia"/>
                <w:spacing w:val="22"/>
                <w:kern w:val="0"/>
                <w:szCs w:val="21"/>
              </w:rPr>
            </w:pPr>
            <w:r>
              <w:rPr>
                <w:rFonts w:eastAsiaTheme="minorEastAsia" w:hAnsiTheme="minorEastAsia"/>
                <w:spacing w:val="22"/>
                <w:kern w:val="0"/>
                <w:szCs w:val="21"/>
              </w:rPr>
              <w:t>评价范围内物种：分布范围、种群数量</w:t>
            </w:r>
            <w:r>
              <w:rPr>
                <w:rFonts w:eastAsiaTheme="minorEastAsia" w:hAnsiTheme="minorEastAsia" w:hint="eastAsia"/>
                <w:spacing w:val="22"/>
                <w:kern w:val="0"/>
                <w:szCs w:val="21"/>
              </w:rPr>
              <w:t>，种群结构、行为等</w:t>
            </w:r>
            <w:r>
              <w:rPr>
                <w:rFonts w:eastAsiaTheme="minorEastAsia" w:hAnsiTheme="minorEastAsia"/>
                <w:spacing w:val="22"/>
                <w:kern w:val="0"/>
                <w:szCs w:val="21"/>
              </w:rPr>
              <w:t>；</w:t>
            </w:r>
            <w:r>
              <w:rPr>
                <w:rFonts w:eastAsiaTheme="minorEastAsia" w:hAnsiTheme="minorEastAsia" w:hint="eastAsia"/>
                <w:spacing w:val="22"/>
                <w:kern w:val="0"/>
                <w:szCs w:val="21"/>
              </w:rPr>
              <w:t>生态系统</w:t>
            </w:r>
            <w:r>
              <w:rPr>
                <w:rFonts w:eastAsiaTheme="minorEastAsia" w:hAnsiTheme="minorEastAsia"/>
                <w:spacing w:val="22"/>
                <w:kern w:val="0"/>
                <w:szCs w:val="21"/>
              </w:rPr>
              <w:t>：</w:t>
            </w:r>
            <w:r>
              <w:rPr>
                <w:rFonts w:eastAsiaTheme="minorEastAsia" w:hAnsiTheme="minorEastAsia" w:hint="eastAsia"/>
                <w:spacing w:val="22"/>
                <w:kern w:val="0"/>
                <w:szCs w:val="21"/>
              </w:rPr>
              <w:t>生产力</w:t>
            </w:r>
          </w:p>
        </w:tc>
      </w:tr>
      <w:tr w:rsidR="00B14D53" w14:paraId="55EC53DF" w14:textId="77777777">
        <w:trPr>
          <w:jc w:val="center"/>
        </w:trPr>
        <w:tc>
          <w:tcPr>
            <w:tcW w:w="823" w:type="dxa"/>
            <w:vMerge/>
            <w:vAlign w:val="center"/>
          </w:tcPr>
          <w:p w14:paraId="61678E69" w14:textId="77777777" w:rsidR="00B14D53" w:rsidRDefault="00B14D53">
            <w:pPr>
              <w:widowControl/>
              <w:jc w:val="center"/>
              <w:rPr>
                <w:rFonts w:eastAsiaTheme="minorEastAsia"/>
                <w:kern w:val="0"/>
                <w:szCs w:val="21"/>
              </w:rPr>
            </w:pPr>
          </w:p>
        </w:tc>
        <w:tc>
          <w:tcPr>
            <w:tcW w:w="709" w:type="dxa"/>
            <w:vMerge/>
            <w:vAlign w:val="center"/>
          </w:tcPr>
          <w:p w14:paraId="5CCF2AA2" w14:textId="77777777" w:rsidR="00B14D53" w:rsidRDefault="00B14D53">
            <w:pPr>
              <w:snapToGrid w:val="0"/>
              <w:jc w:val="center"/>
              <w:rPr>
                <w:rFonts w:eastAsiaTheme="minorEastAsia"/>
                <w:kern w:val="0"/>
                <w:szCs w:val="21"/>
              </w:rPr>
            </w:pPr>
          </w:p>
        </w:tc>
        <w:tc>
          <w:tcPr>
            <w:tcW w:w="1134" w:type="dxa"/>
            <w:vAlign w:val="center"/>
          </w:tcPr>
          <w:p w14:paraId="12A3768D" w14:textId="77777777" w:rsidR="00B14D53" w:rsidRDefault="00000000">
            <w:pPr>
              <w:snapToGrid w:val="0"/>
              <w:jc w:val="center"/>
              <w:rPr>
                <w:rFonts w:eastAsiaTheme="minorEastAsia"/>
                <w:kern w:val="0"/>
                <w:szCs w:val="21"/>
              </w:rPr>
            </w:pPr>
            <w:r>
              <w:rPr>
                <w:rFonts w:eastAsiaTheme="minorEastAsia" w:hAnsiTheme="minorEastAsia"/>
                <w:kern w:val="0"/>
                <w:szCs w:val="21"/>
              </w:rPr>
              <w:t>影响分析</w:t>
            </w:r>
          </w:p>
        </w:tc>
        <w:tc>
          <w:tcPr>
            <w:tcW w:w="5584" w:type="dxa"/>
            <w:vAlign w:val="center"/>
          </w:tcPr>
          <w:p w14:paraId="2407AFB4" w14:textId="77777777" w:rsidR="00B14D53" w:rsidRDefault="00000000">
            <w:pPr>
              <w:snapToGrid w:val="0"/>
              <w:jc w:val="center"/>
              <w:rPr>
                <w:rFonts w:eastAsiaTheme="minorEastAsia"/>
                <w:spacing w:val="22"/>
                <w:kern w:val="0"/>
                <w:szCs w:val="21"/>
              </w:rPr>
            </w:pPr>
            <w:r>
              <w:rPr>
                <w:rFonts w:eastAsiaTheme="minorEastAsia" w:hAnsiTheme="minorEastAsia"/>
                <w:spacing w:val="22"/>
                <w:kern w:val="0"/>
                <w:szCs w:val="21"/>
              </w:rPr>
              <w:t>评价范围内物种：分布范围、种群数量</w:t>
            </w:r>
            <w:r>
              <w:rPr>
                <w:rFonts w:eastAsiaTheme="minorEastAsia" w:hAnsiTheme="minorEastAsia" w:hint="eastAsia"/>
                <w:spacing w:val="22"/>
                <w:kern w:val="0"/>
                <w:szCs w:val="21"/>
              </w:rPr>
              <w:t>，种群结构、行为等</w:t>
            </w:r>
            <w:r>
              <w:rPr>
                <w:rFonts w:eastAsiaTheme="minorEastAsia" w:hAnsiTheme="minorEastAsia"/>
                <w:spacing w:val="22"/>
                <w:kern w:val="0"/>
                <w:szCs w:val="21"/>
              </w:rPr>
              <w:t>；</w:t>
            </w:r>
            <w:r>
              <w:rPr>
                <w:rFonts w:eastAsiaTheme="minorEastAsia" w:hAnsiTheme="minorEastAsia" w:hint="eastAsia"/>
                <w:spacing w:val="22"/>
                <w:kern w:val="0"/>
                <w:szCs w:val="21"/>
              </w:rPr>
              <w:t>生态系统</w:t>
            </w:r>
            <w:r>
              <w:rPr>
                <w:rFonts w:eastAsiaTheme="minorEastAsia" w:hAnsiTheme="minorEastAsia"/>
                <w:spacing w:val="22"/>
                <w:kern w:val="0"/>
                <w:szCs w:val="21"/>
              </w:rPr>
              <w:t>：</w:t>
            </w:r>
            <w:r>
              <w:rPr>
                <w:rFonts w:eastAsiaTheme="minorEastAsia" w:hAnsiTheme="minorEastAsia" w:hint="eastAsia"/>
                <w:spacing w:val="22"/>
                <w:kern w:val="0"/>
                <w:szCs w:val="21"/>
              </w:rPr>
              <w:t>生产力</w:t>
            </w:r>
          </w:p>
        </w:tc>
      </w:tr>
      <w:tr w:rsidR="00B14D53" w14:paraId="3185E58D" w14:textId="77777777">
        <w:trPr>
          <w:jc w:val="center"/>
        </w:trPr>
        <w:tc>
          <w:tcPr>
            <w:tcW w:w="823" w:type="dxa"/>
            <w:vMerge/>
            <w:vAlign w:val="center"/>
          </w:tcPr>
          <w:p w14:paraId="665A76CA" w14:textId="77777777" w:rsidR="00B14D53" w:rsidRDefault="00B14D53">
            <w:pPr>
              <w:widowControl/>
              <w:jc w:val="center"/>
              <w:rPr>
                <w:rFonts w:eastAsiaTheme="minorEastAsia"/>
                <w:kern w:val="0"/>
                <w:szCs w:val="21"/>
              </w:rPr>
            </w:pPr>
          </w:p>
        </w:tc>
        <w:tc>
          <w:tcPr>
            <w:tcW w:w="709" w:type="dxa"/>
            <w:vAlign w:val="center"/>
          </w:tcPr>
          <w:p w14:paraId="378C08FD" w14:textId="77777777" w:rsidR="00B14D53" w:rsidRDefault="00000000">
            <w:pPr>
              <w:snapToGrid w:val="0"/>
              <w:jc w:val="center"/>
              <w:rPr>
                <w:rFonts w:eastAsiaTheme="minorEastAsia"/>
                <w:kern w:val="0"/>
                <w:szCs w:val="21"/>
              </w:rPr>
            </w:pPr>
            <w:r>
              <w:rPr>
                <w:rFonts w:eastAsiaTheme="minorEastAsia" w:hAnsiTheme="minorEastAsia"/>
                <w:kern w:val="0"/>
                <w:szCs w:val="21"/>
              </w:rPr>
              <w:t>风险</w:t>
            </w:r>
          </w:p>
        </w:tc>
        <w:tc>
          <w:tcPr>
            <w:tcW w:w="1134" w:type="dxa"/>
            <w:vAlign w:val="center"/>
          </w:tcPr>
          <w:p w14:paraId="12419114" w14:textId="77777777" w:rsidR="00B14D53" w:rsidRDefault="00000000">
            <w:pPr>
              <w:snapToGrid w:val="0"/>
              <w:jc w:val="center"/>
              <w:rPr>
                <w:rFonts w:eastAsiaTheme="minorEastAsia"/>
                <w:kern w:val="0"/>
                <w:szCs w:val="21"/>
              </w:rPr>
            </w:pPr>
            <w:r>
              <w:rPr>
                <w:rFonts w:eastAsiaTheme="minorEastAsia" w:hAnsiTheme="minorEastAsia" w:hint="eastAsia"/>
                <w:kern w:val="0"/>
                <w:szCs w:val="21"/>
              </w:rPr>
              <w:t>影响</w:t>
            </w:r>
            <w:r>
              <w:rPr>
                <w:rFonts w:eastAsiaTheme="minorEastAsia" w:hAnsiTheme="minorEastAsia"/>
                <w:kern w:val="0"/>
                <w:szCs w:val="21"/>
              </w:rPr>
              <w:t>评价</w:t>
            </w:r>
          </w:p>
        </w:tc>
        <w:tc>
          <w:tcPr>
            <w:tcW w:w="5584" w:type="dxa"/>
            <w:vAlign w:val="center"/>
          </w:tcPr>
          <w:p w14:paraId="78676475" w14:textId="77777777" w:rsidR="00B14D53" w:rsidRDefault="00000000">
            <w:pPr>
              <w:snapToGrid w:val="0"/>
              <w:jc w:val="center"/>
              <w:rPr>
                <w:rFonts w:eastAsiaTheme="minorEastAsia"/>
                <w:spacing w:val="22"/>
                <w:kern w:val="0"/>
                <w:szCs w:val="21"/>
              </w:rPr>
            </w:pPr>
            <w:r>
              <w:rPr>
                <w:rFonts w:eastAsiaTheme="minorEastAsia" w:hAnsiTheme="minorEastAsia" w:hint="eastAsia"/>
                <w:spacing w:val="22"/>
                <w:kern w:val="0"/>
                <w:szCs w:val="21"/>
              </w:rPr>
              <w:t>次氯酸钠</w:t>
            </w:r>
          </w:p>
        </w:tc>
      </w:tr>
    </w:tbl>
    <w:p w14:paraId="78C40E3D"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38" w:name="_Toc15991632"/>
      <w:bookmarkStart w:id="39" w:name="_Toc9987"/>
      <w:r>
        <w:rPr>
          <w:rFonts w:ascii="Times New Roman" w:eastAsia="黑体" w:hAnsi="Times New Roman" w:cs="Times New Roman"/>
          <w:b w:val="0"/>
          <w:bCs w:val="0"/>
          <w:sz w:val="30"/>
          <w:szCs w:val="30"/>
        </w:rPr>
        <w:t>2.3</w:t>
      </w:r>
      <w:r>
        <w:rPr>
          <w:rFonts w:ascii="Times New Roman" w:eastAsia="黑体" w:hAnsi="Times New Roman" w:cs="Times New Roman"/>
          <w:b w:val="0"/>
          <w:bCs w:val="0"/>
          <w:sz w:val="30"/>
          <w:szCs w:val="30"/>
        </w:rPr>
        <w:t>评价标准</w:t>
      </w:r>
      <w:bookmarkEnd w:id="38"/>
      <w:bookmarkEnd w:id="39"/>
    </w:p>
    <w:p w14:paraId="146326F6"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2.3.1</w:t>
      </w:r>
      <w:r>
        <w:rPr>
          <w:rFonts w:ascii="Times New Roman" w:eastAsia="黑体" w:hAnsi="Times New Roman" w:cs="Times New Roman"/>
          <w:sz w:val="28"/>
          <w:szCs w:val="28"/>
        </w:rPr>
        <w:t>环境质量标准</w:t>
      </w:r>
    </w:p>
    <w:p w14:paraId="3ADA54F4" w14:textId="77777777" w:rsidR="00B14D53" w:rsidRDefault="00000000">
      <w:pPr>
        <w:widowControl/>
        <w:spacing w:line="360" w:lineRule="auto"/>
        <w:ind w:firstLineChars="200" w:firstLine="480"/>
        <w:jc w:val="left"/>
        <w:rPr>
          <w:rFonts w:eastAsiaTheme="minorEastAsia"/>
          <w:kern w:val="0"/>
          <w:sz w:val="24"/>
        </w:rPr>
      </w:pPr>
      <w:r>
        <w:rPr>
          <w:rFonts w:eastAsiaTheme="minorEastAsia" w:hAnsiTheme="minorEastAsia"/>
          <w:kern w:val="0"/>
          <w:sz w:val="24"/>
        </w:rPr>
        <w:t>环境质量标准见表</w:t>
      </w:r>
      <w:r>
        <w:rPr>
          <w:rFonts w:eastAsiaTheme="minorEastAsia"/>
          <w:kern w:val="0"/>
          <w:sz w:val="24"/>
        </w:rPr>
        <w:t>2-3-1</w:t>
      </w:r>
      <w:r>
        <w:rPr>
          <w:rFonts w:eastAsiaTheme="minorEastAsia" w:hAnsiTheme="minorEastAsia"/>
          <w:kern w:val="0"/>
          <w:sz w:val="24"/>
        </w:rPr>
        <w:t>。</w:t>
      </w:r>
    </w:p>
    <w:p w14:paraId="64F9E736" w14:textId="77777777" w:rsidR="00B14D53" w:rsidRDefault="00000000">
      <w:pPr>
        <w:jc w:val="center"/>
        <w:rPr>
          <w:b/>
          <w:bCs/>
        </w:rPr>
      </w:pPr>
      <w:r>
        <w:rPr>
          <w:b/>
          <w:bCs/>
        </w:rPr>
        <w:t>表</w:t>
      </w:r>
      <w:r>
        <w:rPr>
          <w:b/>
          <w:bCs/>
        </w:rPr>
        <w:t>2-3-1</w:t>
      </w:r>
      <w:r>
        <w:rPr>
          <w:rFonts w:hint="eastAsia"/>
          <w:b/>
          <w:bCs/>
        </w:rPr>
        <w:t xml:space="preserve"> </w:t>
      </w:r>
      <w:r>
        <w:rPr>
          <w:b/>
          <w:bCs/>
        </w:rPr>
        <w:t>环境质量标准表</w:t>
      </w:r>
    </w:p>
    <w:tbl>
      <w:tblPr>
        <w:tblW w:w="821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31"/>
        <w:gridCol w:w="2689"/>
        <w:gridCol w:w="1137"/>
        <w:gridCol w:w="993"/>
        <w:gridCol w:w="1984"/>
        <w:gridCol w:w="680"/>
      </w:tblGrid>
      <w:tr w:rsidR="00B14D53" w14:paraId="47BAB6F3" w14:textId="77777777">
        <w:trPr>
          <w:jc w:val="center"/>
        </w:trPr>
        <w:tc>
          <w:tcPr>
            <w:tcW w:w="731" w:type="dxa"/>
            <w:vMerge w:val="restart"/>
            <w:vAlign w:val="center"/>
          </w:tcPr>
          <w:p w14:paraId="6227E2E6" w14:textId="77777777" w:rsidR="00B14D53" w:rsidRDefault="00000000">
            <w:pPr>
              <w:jc w:val="center"/>
              <w:rPr>
                <w:rFonts w:eastAsiaTheme="minorEastAsia"/>
                <w:b/>
                <w:bCs/>
                <w:kern w:val="0"/>
                <w:szCs w:val="21"/>
              </w:rPr>
            </w:pPr>
            <w:r>
              <w:rPr>
                <w:rFonts w:eastAsiaTheme="minorEastAsia" w:hAnsiTheme="minorEastAsia"/>
                <w:b/>
                <w:bCs/>
                <w:kern w:val="0"/>
                <w:szCs w:val="21"/>
              </w:rPr>
              <w:t>环境要素</w:t>
            </w:r>
          </w:p>
        </w:tc>
        <w:tc>
          <w:tcPr>
            <w:tcW w:w="2689" w:type="dxa"/>
            <w:vMerge w:val="restart"/>
            <w:vAlign w:val="center"/>
          </w:tcPr>
          <w:p w14:paraId="2F387B0E" w14:textId="77777777" w:rsidR="00B14D53" w:rsidRDefault="00000000">
            <w:pPr>
              <w:jc w:val="center"/>
              <w:rPr>
                <w:rFonts w:eastAsiaTheme="minorEastAsia"/>
                <w:b/>
                <w:bCs/>
                <w:kern w:val="0"/>
                <w:szCs w:val="21"/>
              </w:rPr>
            </w:pPr>
            <w:r>
              <w:rPr>
                <w:rFonts w:eastAsiaTheme="minorEastAsia" w:hAnsiTheme="minorEastAsia"/>
                <w:b/>
                <w:bCs/>
                <w:kern w:val="0"/>
                <w:szCs w:val="21"/>
              </w:rPr>
              <w:t>标准名称及级（类）别</w:t>
            </w:r>
          </w:p>
        </w:tc>
        <w:tc>
          <w:tcPr>
            <w:tcW w:w="1137" w:type="dxa"/>
            <w:vMerge w:val="restart"/>
            <w:vAlign w:val="center"/>
          </w:tcPr>
          <w:p w14:paraId="24D59856" w14:textId="77777777" w:rsidR="00B14D53" w:rsidRDefault="00000000">
            <w:pPr>
              <w:jc w:val="center"/>
              <w:rPr>
                <w:rFonts w:eastAsiaTheme="minorEastAsia"/>
                <w:b/>
                <w:bCs/>
                <w:kern w:val="0"/>
                <w:szCs w:val="21"/>
              </w:rPr>
            </w:pPr>
            <w:r>
              <w:rPr>
                <w:rFonts w:eastAsiaTheme="minorEastAsia" w:hAnsiTheme="minorEastAsia"/>
                <w:b/>
                <w:bCs/>
                <w:kern w:val="0"/>
                <w:szCs w:val="21"/>
              </w:rPr>
              <w:t>项目</w:t>
            </w:r>
          </w:p>
        </w:tc>
        <w:tc>
          <w:tcPr>
            <w:tcW w:w="3657" w:type="dxa"/>
            <w:gridSpan w:val="3"/>
            <w:vAlign w:val="center"/>
          </w:tcPr>
          <w:p w14:paraId="3141E353" w14:textId="77777777" w:rsidR="00B14D53" w:rsidRDefault="00000000">
            <w:pPr>
              <w:jc w:val="center"/>
              <w:rPr>
                <w:rFonts w:eastAsiaTheme="minorEastAsia"/>
                <w:b/>
                <w:bCs/>
                <w:kern w:val="0"/>
                <w:szCs w:val="21"/>
              </w:rPr>
            </w:pPr>
            <w:r>
              <w:rPr>
                <w:rFonts w:eastAsiaTheme="minorEastAsia" w:hAnsiTheme="minorEastAsia"/>
                <w:b/>
                <w:bCs/>
                <w:kern w:val="0"/>
                <w:szCs w:val="21"/>
              </w:rPr>
              <w:t>标准值</w:t>
            </w:r>
          </w:p>
        </w:tc>
      </w:tr>
      <w:tr w:rsidR="00B14D53" w14:paraId="28F7AC5B" w14:textId="77777777">
        <w:trPr>
          <w:trHeight w:val="60"/>
          <w:jc w:val="center"/>
        </w:trPr>
        <w:tc>
          <w:tcPr>
            <w:tcW w:w="731" w:type="dxa"/>
            <w:vMerge/>
            <w:vAlign w:val="center"/>
          </w:tcPr>
          <w:p w14:paraId="61097346" w14:textId="77777777" w:rsidR="00B14D53" w:rsidRDefault="00B14D53">
            <w:pPr>
              <w:widowControl/>
              <w:jc w:val="left"/>
              <w:rPr>
                <w:rFonts w:eastAsiaTheme="minorEastAsia"/>
                <w:b/>
                <w:bCs/>
                <w:kern w:val="0"/>
                <w:szCs w:val="21"/>
              </w:rPr>
            </w:pPr>
          </w:p>
        </w:tc>
        <w:tc>
          <w:tcPr>
            <w:tcW w:w="2689" w:type="dxa"/>
            <w:vMerge/>
            <w:vAlign w:val="center"/>
          </w:tcPr>
          <w:p w14:paraId="42982CF4" w14:textId="77777777" w:rsidR="00B14D53" w:rsidRDefault="00B14D53">
            <w:pPr>
              <w:widowControl/>
              <w:jc w:val="left"/>
              <w:rPr>
                <w:rFonts w:eastAsiaTheme="minorEastAsia"/>
                <w:b/>
                <w:bCs/>
                <w:kern w:val="0"/>
                <w:szCs w:val="21"/>
              </w:rPr>
            </w:pPr>
          </w:p>
        </w:tc>
        <w:tc>
          <w:tcPr>
            <w:tcW w:w="1137" w:type="dxa"/>
            <w:vMerge/>
            <w:vAlign w:val="center"/>
          </w:tcPr>
          <w:p w14:paraId="63017563" w14:textId="77777777" w:rsidR="00B14D53" w:rsidRDefault="00B14D53">
            <w:pPr>
              <w:widowControl/>
              <w:jc w:val="left"/>
              <w:rPr>
                <w:rFonts w:eastAsiaTheme="minorEastAsia"/>
                <w:b/>
                <w:bCs/>
                <w:kern w:val="0"/>
                <w:szCs w:val="21"/>
              </w:rPr>
            </w:pPr>
          </w:p>
        </w:tc>
        <w:tc>
          <w:tcPr>
            <w:tcW w:w="993" w:type="dxa"/>
            <w:vAlign w:val="center"/>
          </w:tcPr>
          <w:p w14:paraId="4A01549F" w14:textId="77777777" w:rsidR="00B14D53" w:rsidRDefault="00000000">
            <w:pPr>
              <w:jc w:val="center"/>
              <w:rPr>
                <w:rFonts w:eastAsiaTheme="minorEastAsia"/>
                <w:b/>
                <w:bCs/>
                <w:kern w:val="0"/>
                <w:szCs w:val="21"/>
              </w:rPr>
            </w:pPr>
            <w:r>
              <w:rPr>
                <w:rFonts w:eastAsiaTheme="minorEastAsia" w:hAnsiTheme="minorEastAsia"/>
                <w:b/>
                <w:bCs/>
                <w:kern w:val="0"/>
                <w:szCs w:val="21"/>
              </w:rPr>
              <w:t>单位</w:t>
            </w:r>
          </w:p>
        </w:tc>
        <w:tc>
          <w:tcPr>
            <w:tcW w:w="2664" w:type="dxa"/>
            <w:gridSpan w:val="2"/>
            <w:vAlign w:val="center"/>
          </w:tcPr>
          <w:p w14:paraId="301822B1" w14:textId="77777777" w:rsidR="00B14D53" w:rsidRDefault="00000000">
            <w:pPr>
              <w:jc w:val="center"/>
              <w:rPr>
                <w:rFonts w:eastAsiaTheme="minorEastAsia"/>
                <w:b/>
                <w:bCs/>
                <w:kern w:val="0"/>
                <w:szCs w:val="21"/>
              </w:rPr>
            </w:pPr>
            <w:r>
              <w:rPr>
                <w:rFonts w:eastAsiaTheme="minorEastAsia" w:hAnsiTheme="minorEastAsia"/>
                <w:b/>
                <w:bCs/>
                <w:kern w:val="0"/>
                <w:szCs w:val="21"/>
              </w:rPr>
              <w:t>数值</w:t>
            </w:r>
          </w:p>
        </w:tc>
      </w:tr>
      <w:tr w:rsidR="00B14D53" w14:paraId="0B6F4483" w14:textId="77777777">
        <w:trPr>
          <w:trHeight w:val="289"/>
          <w:jc w:val="center"/>
        </w:trPr>
        <w:tc>
          <w:tcPr>
            <w:tcW w:w="731" w:type="dxa"/>
            <w:vMerge w:val="restart"/>
            <w:vAlign w:val="center"/>
          </w:tcPr>
          <w:p w14:paraId="409BE08C" w14:textId="77777777" w:rsidR="00B14D53" w:rsidRDefault="00000000">
            <w:pPr>
              <w:jc w:val="center"/>
            </w:pPr>
            <w:r>
              <w:rPr>
                <w:rFonts w:eastAsiaTheme="minorEastAsia" w:hAnsiTheme="minorEastAsia"/>
                <w:kern w:val="0"/>
                <w:szCs w:val="21"/>
              </w:rPr>
              <w:t>环境空气</w:t>
            </w:r>
          </w:p>
        </w:tc>
        <w:tc>
          <w:tcPr>
            <w:tcW w:w="2689" w:type="dxa"/>
            <w:vMerge w:val="restart"/>
            <w:vAlign w:val="center"/>
          </w:tcPr>
          <w:p w14:paraId="37022B42" w14:textId="77777777" w:rsidR="00B14D53" w:rsidRDefault="00000000">
            <w:pPr>
              <w:jc w:val="center"/>
              <w:rPr>
                <w:rFonts w:eastAsiaTheme="minorEastAsia"/>
                <w:kern w:val="0"/>
                <w:szCs w:val="21"/>
              </w:rPr>
            </w:pPr>
            <w:r>
              <w:rPr>
                <w:rFonts w:eastAsiaTheme="minorEastAsia" w:hAnsiTheme="minorEastAsia"/>
                <w:kern w:val="0"/>
                <w:szCs w:val="21"/>
              </w:rPr>
              <w:t>《环境空气质量标准》（</w:t>
            </w:r>
            <w:r>
              <w:rPr>
                <w:rFonts w:eastAsiaTheme="minorEastAsia"/>
                <w:kern w:val="0"/>
                <w:szCs w:val="21"/>
              </w:rPr>
              <w:t>GB3095-2012</w:t>
            </w:r>
            <w:r>
              <w:rPr>
                <w:rFonts w:eastAsiaTheme="minorEastAsia" w:hAnsiTheme="minorEastAsia"/>
                <w:kern w:val="0"/>
                <w:szCs w:val="21"/>
              </w:rPr>
              <w:t>）及修改单二级</w:t>
            </w:r>
          </w:p>
        </w:tc>
        <w:tc>
          <w:tcPr>
            <w:tcW w:w="1137" w:type="dxa"/>
            <w:vMerge w:val="restart"/>
            <w:vAlign w:val="center"/>
          </w:tcPr>
          <w:p w14:paraId="694258FE" w14:textId="77777777" w:rsidR="00B14D53" w:rsidRDefault="00000000">
            <w:pPr>
              <w:jc w:val="center"/>
              <w:rPr>
                <w:rFonts w:eastAsiaTheme="minorEastAsia"/>
                <w:kern w:val="0"/>
                <w:szCs w:val="21"/>
              </w:rPr>
            </w:pPr>
            <w:r>
              <w:rPr>
                <w:rFonts w:eastAsiaTheme="minorEastAsia"/>
                <w:kern w:val="0"/>
                <w:szCs w:val="21"/>
              </w:rPr>
              <w:t>PM</w:t>
            </w:r>
            <w:r>
              <w:rPr>
                <w:rFonts w:eastAsiaTheme="minorEastAsia"/>
                <w:kern w:val="0"/>
                <w:szCs w:val="21"/>
                <w:vertAlign w:val="subscript"/>
              </w:rPr>
              <w:t>10</w:t>
            </w:r>
          </w:p>
        </w:tc>
        <w:tc>
          <w:tcPr>
            <w:tcW w:w="993" w:type="dxa"/>
            <w:vMerge w:val="restart"/>
            <w:vAlign w:val="center"/>
          </w:tcPr>
          <w:p w14:paraId="315CF632" w14:textId="77777777" w:rsidR="00B14D53" w:rsidRDefault="00000000">
            <w:pPr>
              <w:jc w:val="center"/>
              <w:rPr>
                <w:rFonts w:eastAsiaTheme="minorEastAsia"/>
                <w:kern w:val="0"/>
                <w:szCs w:val="21"/>
              </w:rPr>
            </w:pPr>
            <w:r>
              <w:rPr>
                <w:rFonts w:eastAsiaTheme="minorEastAsia"/>
                <w:kern w:val="0"/>
                <w:szCs w:val="21"/>
              </w:rPr>
              <w:t>μg/m</w:t>
            </w:r>
            <w:r>
              <w:rPr>
                <w:rFonts w:eastAsiaTheme="minorEastAsia"/>
                <w:kern w:val="0"/>
                <w:szCs w:val="21"/>
                <w:vertAlign w:val="superscript"/>
              </w:rPr>
              <w:t>3</w:t>
            </w:r>
          </w:p>
        </w:tc>
        <w:tc>
          <w:tcPr>
            <w:tcW w:w="1984" w:type="dxa"/>
            <w:vAlign w:val="center"/>
          </w:tcPr>
          <w:p w14:paraId="565DA18C" w14:textId="77777777" w:rsidR="00B14D53" w:rsidRDefault="00000000">
            <w:pPr>
              <w:jc w:val="center"/>
              <w:rPr>
                <w:rFonts w:eastAsiaTheme="minorEastAsia"/>
                <w:kern w:val="0"/>
                <w:szCs w:val="21"/>
              </w:rPr>
            </w:pPr>
            <w:r>
              <w:rPr>
                <w:rFonts w:eastAsiaTheme="minorEastAsia"/>
                <w:kern w:val="0"/>
                <w:szCs w:val="21"/>
              </w:rPr>
              <w:t>24</w:t>
            </w:r>
            <w:r>
              <w:rPr>
                <w:rFonts w:eastAsiaTheme="minorEastAsia" w:hAnsiTheme="minorEastAsia"/>
                <w:kern w:val="0"/>
                <w:szCs w:val="21"/>
              </w:rPr>
              <w:t>小时平均</w:t>
            </w:r>
          </w:p>
        </w:tc>
        <w:tc>
          <w:tcPr>
            <w:tcW w:w="680" w:type="dxa"/>
            <w:vAlign w:val="center"/>
          </w:tcPr>
          <w:p w14:paraId="610B5957" w14:textId="77777777" w:rsidR="00B14D53" w:rsidRDefault="00000000">
            <w:pPr>
              <w:jc w:val="center"/>
              <w:rPr>
                <w:rFonts w:eastAsiaTheme="minorEastAsia"/>
                <w:kern w:val="0"/>
                <w:szCs w:val="21"/>
              </w:rPr>
            </w:pPr>
            <w:r>
              <w:rPr>
                <w:rFonts w:eastAsiaTheme="minorEastAsia"/>
                <w:kern w:val="0"/>
                <w:szCs w:val="21"/>
              </w:rPr>
              <w:t>150</w:t>
            </w:r>
          </w:p>
        </w:tc>
      </w:tr>
      <w:tr w:rsidR="00B14D53" w14:paraId="4C56BD87" w14:textId="77777777">
        <w:trPr>
          <w:jc w:val="center"/>
        </w:trPr>
        <w:tc>
          <w:tcPr>
            <w:tcW w:w="731" w:type="dxa"/>
            <w:vMerge/>
            <w:vAlign w:val="center"/>
          </w:tcPr>
          <w:p w14:paraId="46A40A44" w14:textId="77777777" w:rsidR="00B14D53" w:rsidRDefault="00B14D53">
            <w:pPr>
              <w:jc w:val="center"/>
              <w:rPr>
                <w:rFonts w:eastAsiaTheme="minorEastAsia"/>
                <w:kern w:val="0"/>
                <w:szCs w:val="21"/>
              </w:rPr>
            </w:pPr>
          </w:p>
        </w:tc>
        <w:tc>
          <w:tcPr>
            <w:tcW w:w="2689" w:type="dxa"/>
            <w:vMerge/>
            <w:vAlign w:val="center"/>
          </w:tcPr>
          <w:p w14:paraId="1E2AA0C8" w14:textId="77777777" w:rsidR="00B14D53" w:rsidRDefault="00B14D53">
            <w:pPr>
              <w:jc w:val="center"/>
              <w:rPr>
                <w:rFonts w:eastAsiaTheme="minorEastAsia"/>
                <w:kern w:val="0"/>
                <w:szCs w:val="21"/>
              </w:rPr>
            </w:pPr>
          </w:p>
        </w:tc>
        <w:tc>
          <w:tcPr>
            <w:tcW w:w="1137" w:type="dxa"/>
            <w:vMerge/>
            <w:vAlign w:val="center"/>
          </w:tcPr>
          <w:p w14:paraId="6466D678" w14:textId="77777777" w:rsidR="00B14D53" w:rsidRDefault="00B14D53">
            <w:pPr>
              <w:widowControl/>
              <w:jc w:val="left"/>
              <w:rPr>
                <w:rFonts w:eastAsiaTheme="minorEastAsia"/>
                <w:kern w:val="0"/>
                <w:szCs w:val="21"/>
              </w:rPr>
            </w:pPr>
          </w:p>
        </w:tc>
        <w:tc>
          <w:tcPr>
            <w:tcW w:w="993" w:type="dxa"/>
            <w:vMerge/>
            <w:vAlign w:val="center"/>
          </w:tcPr>
          <w:p w14:paraId="583EB42D" w14:textId="77777777" w:rsidR="00B14D53" w:rsidRDefault="00B14D53">
            <w:pPr>
              <w:widowControl/>
              <w:jc w:val="left"/>
              <w:rPr>
                <w:rFonts w:eastAsiaTheme="minorEastAsia"/>
                <w:kern w:val="0"/>
                <w:szCs w:val="21"/>
              </w:rPr>
            </w:pPr>
          </w:p>
        </w:tc>
        <w:tc>
          <w:tcPr>
            <w:tcW w:w="1984" w:type="dxa"/>
            <w:vAlign w:val="center"/>
          </w:tcPr>
          <w:p w14:paraId="7893027A" w14:textId="77777777" w:rsidR="00B14D53" w:rsidRDefault="00000000">
            <w:pPr>
              <w:jc w:val="center"/>
              <w:rPr>
                <w:rFonts w:eastAsiaTheme="minorEastAsia"/>
                <w:kern w:val="0"/>
                <w:szCs w:val="21"/>
              </w:rPr>
            </w:pPr>
            <w:r>
              <w:rPr>
                <w:rFonts w:eastAsiaTheme="minorEastAsia" w:hAnsiTheme="minorEastAsia"/>
                <w:kern w:val="0"/>
                <w:szCs w:val="21"/>
              </w:rPr>
              <w:t>年平均</w:t>
            </w:r>
          </w:p>
        </w:tc>
        <w:tc>
          <w:tcPr>
            <w:tcW w:w="680" w:type="dxa"/>
            <w:vAlign w:val="center"/>
          </w:tcPr>
          <w:p w14:paraId="3AD3043F" w14:textId="77777777" w:rsidR="00B14D53" w:rsidRDefault="00000000">
            <w:pPr>
              <w:jc w:val="center"/>
              <w:rPr>
                <w:rFonts w:eastAsiaTheme="minorEastAsia"/>
                <w:kern w:val="0"/>
                <w:szCs w:val="21"/>
              </w:rPr>
            </w:pPr>
            <w:r>
              <w:rPr>
                <w:rFonts w:eastAsiaTheme="minorEastAsia"/>
                <w:kern w:val="0"/>
                <w:szCs w:val="21"/>
              </w:rPr>
              <w:t>70</w:t>
            </w:r>
          </w:p>
        </w:tc>
      </w:tr>
      <w:tr w:rsidR="00B14D53" w14:paraId="57EE69E5" w14:textId="77777777">
        <w:trPr>
          <w:jc w:val="center"/>
        </w:trPr>
        <w:tc>
          <w:tcPr>
            <w:tcW w:w="731" w:type="dxa"/>
            <w:vMerge/>
            <w:vAlign w:val="center"/>
          </w:tcPr>
          <w:p w14:paraId="36B1B950" w14:textId="77777777" w:rsidR="00B14D53" w:rsidRDefault="00B14D53">
            <w:pPr>
              <w:jc w:val="center"/>
              <w:rPr>
                <w:rFonts w:eastAsiaTheme="minorEastAsia"/>
                <w:kern w:val="0"/>
                <w:szCs w:val="21"/>
              </w:rPr>
            </w:pPr>
          </w:p>
        </w:tc>
        <w:tc>
          <w:tcPr>
            <w:tcW w:w="2689" w:type="dxa"/>
            <w:vMerge/>
            <w:vAlign w:val="center"/>
          </w:tcPr>
          <w:p w14:paraId="5B1F00A9" w14:textId="77777777" w:rsidR="00B14D53" w:rsidRDefault="00B14D53">
            <w:pPr>
              <w:jc w:val="center"/>
              <w:rPr>
                <w:rFonts w:eastAsiaTheme="minorEastAsia"/>
                <w:kern w:val="0"/>
                <w:szCs w:val="21"/>
              </w:rPr>
            </w:pPr>
          </w:p>
        </w:tc>
        <w:tc>
          <w:tcPr>
            <w:tcW w:w="1137" w:type="dxa"/>
            <w:vMerge w:val="restart"/>
            <w:vAlign w:val="center"/>
          </w:tcPr>
          <w:p w14:paraId="4F6941FD" w14:textId="77777777" w:rsidR="00B14D53" w:rsidRDefault="00000000">
            <w:pPr>
              <w:widowControl/>
              <w:jc w:val="center"/>
              <w:rPr>
                <w:rFonts w:eastAsiaTheme="minorEastAsia"/>
                <w:kern w:val="0"/>
                <w:szCs w:val="21"/>
              </w:rPr>
            </w:pPr>
            <w:r>
              <w:rPr>
                <w:rFonts w:eastAsiaTheme="minorEastAsia"/>
                <w:kern w:val="0"/>
                <w:szCs w:val="21"/>
              </w:rPr>
              <w:t>PM</w:t>
            </w:r>
            <w:r>
              <w:rPr>
                <w:rFonts w:eastAsiaTheme="minorEastAsia"/>
                <w:kern w:val="0"/>
                <w:szCs w:val="21"/>
                <w:vertAlign w:val="subscript"/>
              </w:rPr>
              <w:t>2.5</w:t>
            </w:r>
          </w:p>
        </w:tc>
        <w:tc>
          <w:tcPr>
            <w:tcW w:w="993" w:type="dxa"/>
            <w:vMerge/>
            <w:vAlign w:val="center"/>
          </w:tcPr>
          <w:p w14:paraId="141564A6" w14:textId="77777777" w:rsidR="00B14D53" w:rsidRDefault="00B14D53">
            <w:pPr>
              <w:widowControl/>
              <w:jc w:val="left"/>
              <w:rPr>
                <w:rFonts w:eastAsiaTheme="minorEastAsia"/>
                <w:kern w:val="0"/>
                <w:szCs w:val="21"/>
              </w:rPr>
            </w:pPr>
          </w:p>
        </w:tc>
        <w:tc>
          <w:tcPr>
            <w:tcW w:w="1984" w:type="dxa"/>
            <w:vAlign w:val="center"/>
          </w:tcPr>
          <w:p w14:paraId="13C2F0B3" w14:textId="77777777" w:rsidR="00B14D53" w:rsidRDefault="00000000">
            <w:pPr>
              <w:widowControl/>
              <w:jc w:val="center"/>
              <w:rPr>
                <w:rFonts w:eastAsiaTheme="minorEastAsia"/>
                <w:kern w:val="0"/>
                <w:szCs w:val="21"/>
              </w:rPr>
            </w:pPr>
            <w:r>
              <w:rPr>
                <w:rFonts w:eastAsiaTheme="minorEastAsia"/>
                <w:kern w:val="0"/>
                <w:szCs w:val="21"/>
              </w:rPr>
              <w:t>24</w:t>
            </w:r>
            <w:r>
              <w:rPr>
                <w:rFonts w:eastAsiaTheme="minorEastAsia" w:hAnsiTheme="minorEastAsia"/>
                <w:kern w:val="0"/>
                <w:szCs w:val="21"/>
              </w:rPr>
              <w:t>小时平均</w:t>
            </w:r>
          </w:p>
        </w:tc>
        <w:tc>
          <w:tcPr>
            <w:tcW w:w="680" w:type="dxa"/>
            <w:vAlign w:val="center"/>
          </w:tcPr>
          <w:p w14:paraId="3898C5F0" w14:textId="77777777" w:rsidR="00B14D53" w:rsidRDefault="00000000">
            <w:pPr>
              <w:widowControl/>
              <w:jc w:val="center"/>
              <w:rPr>
                <w:rFonts w:eastAsiaTheme="minorEastAsia"/>
                <w:kern w:val="0"/>
                <w:szCs w:val="21"/>
              </w:rPr>
            </w:pPr>
            <w:r>
              <w:rPr>
                <w:rFonts w:eastAsiaTheme="minorEastAsia"/>
                <w:kern w:val="0"/>
                <w:szCs w:val="21"/>
              </w:rPr>
              <w:t>75</w:t>
            </w:r>
          </w:p>
        </w:tc>
      </w:tr>
      <w:tr w:rsidR="00B14D53" w14:paraId="19F0DC84" w14:textId="77777777">
        <w:trPr>
          <w:jc w:val="center"/>
        </w:trPr>
        <w:tc>
          <w:tcPr>
            <w:tcW w:w="731" w:type="dxa"/>
            <w:vMerge/>
            <w:vAlign w:val="center"/>
          </w:tcPr>
          <w:p w14:paraId="70614AA2" w14:textId="77777777" w:rsidR="00B14D53" w:rsidRDefault="00B14D53">
            <w:pPr>
              <w:jc w:val="center"/>
              <w:rPr>
                <w:rFonts w:eastAsiaTheme="minorEastAsia"/>
                <w:kern w:val="0"/>
                <w:szCs w:val="21"/>
              </w:rPr>
            </w:pPr>
          </w:p>
        </w:tc>
        <w:tc>
          <w:tcPr>
            <w:tcW w:w="2689" w:type="dxa"/>
            <w:vMerge/>
            <w:vAlign w:val="center"/>
          </w:tcPr>
          <w:p w14:paraId="5F791DE3" w14:textId="77777777" w:rsidR="00B14D53" w:rsidRDefault="00B14D53">
            <w:pPr>
              <w:jc w:val="center"/>
              <w:rPr>
                <w:rFonts w:eastAsiaTheme="minorEastAsia"/>
                <w:kern w:val="0"/>
                <w:szCs w:val="21"/>
              </w:rPr>
            </w:pPr>
          </w:p>
        </w:tc>
        <w:tc>
          <w:tcPr>
            <w:tcW w:w="1137" w:type="dxa"/>
            <w:vMerge/>
            <w:vAlign w:val="center"/>
          </w:tcPr>
          <w:p w14:paraId="447C832D" w14:textId="77777777" w:rsidR="00B14D53" w:rsidRDefault="00B14D53">
            <w:pPr>
              <w:widowControl/>
              <w:jc w:val="left"/>
              <w:rPr>
                <w:rFonts w:eastAsiaTheme="minorEastAsia"/>
                <w:kern w:val="0"/>
                <w:szCs w:val="21"/>
              </w:rPr>
            </w:pPr>
          </w:p>
        </w:tc>
        <w:tc>
          <w:tcPr>
            <w:tcW w:w="993" w:type="dxa"/>
            <w:vMerge/>
            <w:vAlign w:val="center"/>
          </w:tcPr>
          <w:p w14:paraId="77C13CE5" w14:textId="77777777" w:rsidR="00B14D53" w:rsidRDefault="00B14D53">
            <w:pPr>
              <w:widowControl/>
              <w:jc w:val="left"/>
              <w:rPr>
                <w:rFonts w:eastAsiaTheme="minorEastAsia"/>
                <w:kern w:val="0"/>
                <w:szCs w:val="21"/>
              </w:rPr>
            </w:pPr>
          </w:p>
        </w:tc>
        <w:tc>
          <w:tcPr>
            <w:tcW w:w="1984" w:type="dxa"/>
            <w:vAlign w:val="center"/>
          </w:tcPr>
          <w:p w14:paraId="4B4A1E71" w14:textId="77777777" w:rsidR="00B14D53" w:rsidRDefault="00000000">
            <w:pPr>
              <w:widowControl/>
              <w:jc w:val="center"/>
              <w:rPr>
                <w:rFonts w:eastAsiaTheme="minorEastAsia"/>
                <w:kern w:val="0"/>
                <w:szCs w:val="21"/>
              </w:rPr>
            </w:pPr>
            <w:r>
              <w:rPr>
                <w:rFonts w:eastAsiaTheme="minorEastAsia" w:hAnsiTheme="minorEastAsia"/>
                <w:kern w:val="0"/>
                <w:szCs w:val="21"/>
              </w:rPr>
              <w:t>年平均</w:t>
            </w:r>
          </w:p>
        </w:tc>
        <w:tc>
          <w:tcPr>
            <w:tcW w:w="680" w:type="dxa"/>
            <w:vAlign w:val="center"/>
          </w:tcPr>
          <w:p w14:paraId="757EBBA0" w14:textId="77777777" w:rsidR="00B14D53" w:rsidRDefault="00000000">
            <w:pPr>
              <w:widowControl/>
              <w:jc w:val="center"/>
              <w:rPr>
                <w:rFonts w:eastAsiaTheme="minorEastAsia"/>
                <w:kern w:val="0"/>
                <w:szCs w:val="21"/>
              </w:rPr>
            </w:pPr>
            <w:r>
              <w:rPr>
                <w:rFonts w:eastAsiaTheme="minorEastAsia"/>
                <w:kern w:val="0"/>
                <w:szCs w:val="21"/>
              </w:rPr>
              <w:t>35</w:t>
            </w:r>
          </w:p>
        </w:tc>
      </w:tr>
      <w:tr w:rsidR="00B14D53" w14:paraId="4D3BD273" w14:textId="77777777">
        <w:trPr>
          <w:jc w:val="center"/>
        </w:trPr>
        <w:tc>
          <w:tcPr>
            <w:tcW w:w="731" w:type="dxa"/>
            <w:vMerge/>
            <w:vAlign w:val="center"/>
          </w:tcPr>
          <w:p w14:paraId="4848834D" w14:textId="77777777" w:rsidR="00B14D53" w:rsidRDefault="00B14D53">
            <w:pPr>
              <w:jc w:val="center"/>
              <w:rPr>
                <w:rFonts w:eastAsiaTheme="minorEastAsia"/>
                <w:kern w:val="0"/>
                <w:szCs w:val="21"/>
              </w:rPr>
            </w:pPr>
          </w:p>
        </w:tc>
        <w:tc>
          <w:tcPr>
            <w:tcW w:w="2689" w:type="dxa"/>
            <w:vMerge/>
            <w:vAlign w:val="center"/>
          </w:tcPr>
          <w:p w14:paraId="20E20887" w14:textId="77777777" w:rsidR="00B14D53" w:rsidRDefault="00B14D53">
            <w:pPr>
              <w:jc w:val="center"/>
              <w:rPr>
                <w:rFonts w:eastAsiaTheme="minorEastAsia"/>
                <w:kern w:val="0"/>
                <w:szCs w:val="21"/>
              </w:rPr>
            </w:pPr>
          </w:p>
        </w:tc>
        <w:tc>
          <w:tcPr>
            <w:tcW w:w="1137" w:type="dxa"/>
            <w:vMerge w:val="restart"/>
            <w:vAlign w:val="center"/>
          </w:tcPr>
          <w:p w14:paraId="1A6DD792" w14:textId="77777777" w:rsidR="00B14D53" w:rsidRDefault="00000000">
            <w:pPr>
              <w:jc w:val="center"/>
              <w:rPr>
                <w:rFonts w:eastAsiaTheme="minorEastAsia"/>
                <w:kern w:val="0"/>
                <w:szCs w:val="21"/>
              </w:rPr>
            </w:pPr>
            <w:r>
              <w:rPr>
                <w:rFonts w:eastAsiaTheme="minorEastAsia"/>
                <w:kern w:val="0"/>
                <w:szCs w:val="21"/>
              </w:rPr>
              <w:t>NO</w:t>
            </w:r>
            <w:r>
              <w:rPr>
                <w:rFonts w:eastAsiaTheme="minorEastAsia"/>
                <w:kern w:val="0"/>
                <w:szCs w:val="21"/>
                <w:vertAlign w:val="subscript"/>
              </w:rPr>
              <w:t>2</w:t>
            </w:r>
          </w:p>
        </w:tc>
        <w:tc>
          <w:tcPr>
            <w:tcW w:w="993" w:type="dxa"/>
            <w:vMerge/>
            <w:vAlign w:val="center"/>
          </w:tcPr>
          <w:p w14:paraId="02F3BC2F" w14:textId="77777777" w:rsidR="00B14D53" w:rsidRDefault="00B14D53">
            <w:pPr>
              <w:widowControl/>
              <w:jc w:val="center"/>
              <w:rPr>
                <w:rFonts w:eastAsiaTheme="minorEastAsia"/>
                <w:kern w:val="0"/>
                <w:szCs w:val="21"/>
              </w:rPr>
            </w:pPr>
          </w:p>
        </w:tc>
        <w:tc>
          <w:tcPr>
            <w:tcW w:w="1984" w:type="dxa"/>
            <w:vAlign w:val="center"/>
          </w:tcPr>
          <w:p w14:paraId="5B86F6C4" w14:textId="77777777" w:rsidR="00B14D53" w:rsidRDefault="00000000">
            <w:pPr>
              <w:jc w:val="center"/>
              <w:rPr>
                <w:rFonts w:eastAsiaTheme="minorEastAsia"/>
                <w:kern w:val="0"/>
                <w:szCs w:val="21"/>
              </w:rPr>
            </w:pPr>
            <w:r>
              <w:rPr>
                <w:rFonts w:eastAsiaTheme="minorEastAsia"/>
                <w:kern w:val="0"/>
                <w:szCs w:val="21"/>
              </w:rPr>
              <w:t>1</w:t>
            </w:r>
            <w:r>
              <w:rPr>
                <w:rFonts w:eastAsiaTheme="minorEastAsia" w:hAnsiTheme="minorEastAsia"/>
                <w:kern w:val="0"/>
                <w:szCs w:val="21"/>
              </w:rPr>
              <w:t>小时平均</w:t>
            </w:r>
            <w:r>
              <w:rPr>
                <w:rFonts w:eastAsiaTheme="minorEastAsia" w:hAnsiTheme="minorEastAsia" w:hint="eastAsia"/>
                <w:kern w:val="0"/>
                <w:szCs w:val="21"/>
              </w:rPr>
              <w:t>1</w:t>
            </w:r>
          </w:p>
        </w:tc>
        <w:tc>
          <w:tcPr>
            <w:tcW w:w="680" w:type="dxa"/>
            <w:vAlign w:val="center"/>
          </w:tcPr>
          <w:p w14:paraId="63B5B709" w14:textId="77777777" w:rsidR="00B14D53" w:rsidRDefault="00000000">
            <w:pPr>
              <w:jc w:val="center"/>
              <w:rPr>
                <w:rFonts w:eastAsiaTheme="minorEastAsia"/>
                <w:kern w:val="0"/>
                <w:szCs w:val="21"/>
              </w:rPr>
            </w:pPr>
            <w:r>
              <w:rPr>
                <w:rFonts w:eastAsiaTheme="minorEastAsia"/>
                <w:kern w:val="0"/>
                <w:szCs w:val="21"/>
              </w:rPr>
              <w:t>200</w:t>
            </w:r>
          </w:p>
        </w:tc>
      </w:tr>
      <w:tr w:rsidR="00B14D53" w14:paraId="5942B568" w14:textId="77777777">
        <w:trPr>
          <w:jc w:val="center"/>
        </w:trPr>
        <w:tc>
          <w:tcPr>
            <w:tcW w:w="731" w:type="dxa"/>
            <w:vMerge/>
            <w:vAlign w:val="center"/>
          </w:tcPr>
          <w:p w14:paraId="0B055B20" w14:textId="77777777" w:rsidR="00B14D53" w:rsidRDefault="00B14D53">
            <w:pPr>
              <w:jc w:val="center"/>
              <w:rPr>
                <w:rFonts w:eastAsiaTheme="minorEastAsia"/>
                <w:kern w:val="0"/>
                <w:szCs w:val="21"/>
              </w:rPr>
            </w:pPr>
          </w:p>
        </w:tc>
        <w:tc>
          <w:tcPr>
            <w:tcW w:w="2689" w:type="dxa"/>
            <w:vMerge/>
            <w:vAlign w:val="center"/>
          </w:tcPr>
          <w:p w14:paraId="678589D4" w14:textId="77777777" w:rsidR="00B14D53" w:rsidRDefault="00B14D53">
            <w:pPr>
              <w:jc w:val="center"/>
              <w:rPr>
                <w:rFonts w:eastAsiaTheme="minorEastAsia"/>
                <w:kern w:val="0"/>
                <w:szCs w:val="21"/>
              </w:rPr>
            </w:pPr>
          </w:p>
        </w:tc>
        <w:tc>
          <w:tcPr>
            <w:tcW w:w="1137" w:type="dxa"/>
            <w:vMerge/>
            <w:vAlign w:val="center"/>
          </w:tcPr>
          <w:p w14:paraId="0905747E" w14:textId="77777777" w:rsidR="00B14D53" w:rsidRDefault="00B14D53">
            <w:pPr>
              <w:widowControl/>
              <w:jc w:val="left"/>
              <w:rPr>
                <w:rFonts w:eastAsiaTheme="minorEastAsia"/>
                <w:kern w:val="0"/>
                <w:szCs w:val="21"/>
              </w:rPr>
            </w:pPr>
          </w:p>
        </w:tc>
        <w:tc>
          <w:tcPr>
            <w:tcW w:w="993" w:type="dxa"/>
            <w:vMerge/>
            <w:vAlign w:val="center"/>
          </w:tcPr>
          <w:p w14:paraId="3152BD85" w14:textId="77777777" w:rsidR="00B14D53" w:rsidRDefault="00B14D53">
            <w:pPr>
              <w:widowControl/>
              <w:jc w:val="left"/>
              <w:rPr>
                <w:rFonts w:eastAsiaTheme="minorEastAsia"/>
                <w:kern w:val="0"/>
                <w:szCs w:val="21"/>
              </w:rPr>
            </w:pPr>
          </w:p>
        </w:tc>
        <w:tc>
          <w:tcPr>
            <w:tcW w:w="1984" w:type="dxa"/>
            <w:vAlign w:val="center"/>
          </w:tcPr>
          <w:p w14:paraId="4E3D768D" w14:textId="77777777" w:rsidR="00B14D53" w:rsidRDefault="00000000">
            <w:pPr>
              <w:jc w:val="center"/>
              <w:rPr>
                <w:rFonts w:eastAsiaTheme="minorEastAsia"/>
                <w:kern w:val="0"/>
                <w:szCs w:val="21"/>
              </w:rPr>
            </w:pPr>
            <w:r>
              <w:rPr>
                <w:rFonts w:eastAsiaTheme="minorEastAsia"/>
                <w:kern w:val="0"/>
                <w:szCs w:val="21"/>
              </w:rPr>
              <w:t>24</w:t>
            </w:r>
            <w:r>
              <w:rPr>
                <w:rFonts w:eastAsiaTheme="minorEastAsia" w:hAnsiTheme="minorEastAsia"/>
                <w:kern w:val="0"/>
                <w:szCs w:val="21"/>
              </w:rPr>
              <w:t>小时平均</w:t>
            </w:r>
          </w:p>
        </w:tc>
        <w:tc>
          <w:tcPr>
            <w:tcW w:w="680" w:type="dxa"/>
            <w:vAlign w:val="center"/>
          </w:tcPr>
          <w:p w14:paraId="26F9D3E5" w14:textId="77777777" w:rsidR="00B14D53" w:rsidRDefault="00000000">
            <w:pPr>
              <w:jc w:val="center"/>
              <w:rPr>
                <w:rFonts w:eastAsiaTheme="minorEastAsia"/>
                <w:kern w:val="0"/>
                <w:szCs w:val="21"/>
              </w:rPr>
            </w:pPr>
            <w:r>
              <w:rPr>
                <w:rFonts w:eastAsiaTheme="minorEastAsia"/>
                <w:kern w:val="0"/>
                <w:szCs w:val="21"/>
              </w:rPr>
              <w:t>80</w:t>
            </w:r>
          </w:p>
        </w:tc>
      </w:tr>
      <w:tr w:rsidR="00B14D53" w14:paraId="1C78AECF" w14:textId="77777777">
        <w:trPr>
          <w:jc w:val="center"/>
        </w:trPr>
        <w:tc>
          <w:tcPr>
            <w:tcW w:w="731" w:type="dxa"/>
            <w:vMerge/>
            <w:vAlign w:val="center"/>
          </w:tcPr>
          <w:p w14:paraId="6F363FFA" w14:textId="77777777" w:rsidR="00B14D53" w:rsidRDefault="00B14D53">
            <w:pPr>
              <w:jc w:val="center"/>
              <w:rPr>
                <w:rFonts w:eastAsiaTheme="minorEastAsia"/>
                <w:kern w:val="0"/>
                <w:szCs w:val="21"/>
              </w:rPr>
            </w:pPr>
          </w:p>
        </w:tc>
        <w:tc>
          <w:tcPr>
            <w:tcW w:w="2689" w:type="dxa"/>
            <w:vMerge/>
            <w:vAlign w:val="center"/>
          </w:tcPr>
          <w:p w14:paraId="0F415AED" w14:textId="77777777" w:rsidR="00B14D53" w:rsidRDefault="00B14D53">
            <w:pPr>
              <w:jc w:val="center"/>
              <w:rPr>
                <w:rFonts w:eastAsiaTheme="minorEastAsia"/>
                <w:kern w:val="0"/>
                <w:szCs w:val="21"/>
              </w:rPr>
            </w:pPr>
          </w:p>
        </w:tc>
        <w:tc>
          <w:tcPr>
            <w:tcW w:w="1137" w:type="dxa"/>
            <w:vMerge/>
            <w:vAlign w:val="center"/>
          </w:tcPr>
          <w:p w14:paraId="5949E860" w14:textId="77777777" w:rsidR="00B14D53" w:rsidRDefault="00B14D53">
            <w:pPr>
              <w:widowControl/>
              <w:jc w:val="left"/>
              <w:rPr>
                <w:rFonts w:eastAsiaTheme="minorEastAsia"/>
                <w:kern w:val="0"/>
                <w:szCs w:val="21"/>
              </w:rPr>
            </w:pPr>
          </w:p>
        </w:tc>
        <w:tc>
          <w:tcPr>
            <w:tcW w:w="993" w:type="dxa"/>
            <w:vMerge/>
            <w:vAlign w:val="center"/>
          </w:tcPr>
          <w:p w14:paraId="03648026" w14:textId="77777777" w:rsidR="00B14D53" w:rsidRDefault="00B14D53">
            <w:pPr>
              <w:widowControl/>
              <w:jc w:val="left"/>
              <w:rPr>
                <w:rFonts w:eastAsiaTheme="minorEastAsia"/>
                <w:kern w:val="0"/>
                <w:szCs w:val="21"/>
              </w:rPr>
            </w:pPr>
          </w:p>
        </w:tc>
        <w:tc>
          <w:tcPr>
            <w:tcW w:w="1984" w:type="dxa"/>
            <w:vAlign w:val="center"/>
          </w:tcPr>
          <w:p w14:paraId="4194DA0B" w14:textId="77777777" w:rsidR="00B14D53" w:rsidRDefault="00000000">
            <w:pPr>
              <w:jc w:val="center"/>
              <w:rPr>
                <w:rFonts w:eastAsiaTheme="minorEastAsia"/>
                <w:kern w:val="0"/>
                <w:szCs w:val="21"/>
              </w:rPr>
            </w:pPr>
            <w:r>
              <w:rPr>
                <w:rFonts w:eastAsiaTheme="minorEastAsia" w:hAnsiTheme="minorEastAsia"/>
                <w:kern w:val="0"/>
                <w:szCs w:val="21"/>
              </w:rPr>
              <w:t>年平均</w:t>
            </w:r>
          </w:p>
        </w:tc>
        <w:tc>
          <w:tcPr>
            <w:tcW w:w="680" w:type="dxa"/>
            <w:vAlign w:val="center"/>
          </w:tcPr>
          <w:p w14:paraId="067DA03B" w14:textId="77777777" w:rsidR="00B14D53" w:rsidRDefault="00000000">
            <w:pPr>
              <w:jc w:val="center"/>
              <w:rPr>
                <w:rFonts w:eastAsiaTheme="minorEastAsia"/>
                <w:kern w:val="0"/>
                <w:szCs w:val="21"/>
              </w:rPr>
            </w:pPr>
            <w:r>
              <w:rPr>
                <w:rFonts w:eastAsiaTheme="minorEastAsia"/>
                <w:kern w:val="0"/>
                <w:szCs w:val="21"/>
              </w:rPr>
              <w:t>40</w:t>
            </w:r>
          </w:p>
        </w:tc>
      </w:tr>
      <w:tr w:rsidR="00B14D53" w14:paraId="7148F942" w14:textId="77777777">
        <w:trPr>
          <w:trHeight w:val="98"/>
          <w:jc w:val="center"/>
        </w:trPr>
        <w:tc>
          <w:tcPr>
            <w:tcW w:w="731" w:type="dxa"/>
            <w:vMerge/>
            <w:vAlign w:val="center"/>
          </w:tcPr>
          <w:p w14:paraId="5CD6F797" w14:textId="77777777" w:rsidR="00B14D53" w:rsidRDefault="00B14D53">
            <w:pPr>
              <w:jc w:val="center"/>
              <w:rPr>
                <w:rFonts w:eastAsiaTheme="minorEastAsia"/>
                <w:kern w:val="0"/>
                <w:szCs w:val="21"/>
              </w:rPr>
            </w:pPr>
          </w:p>
        </w:tc>
        <w:tc>
          <w:tcPr>
            <w:tcW w:w="2689" w:type="dxa"/>
            <w:vMerge/>
            <w:vAlign w:val="center"/>
          </w:tcPr>
          <w:p w14:paraId="3DE54521" w14:textId="77777777" w:rsidR="00B14D53" w:rsidRDefault="00B14D53">
            <w:pPr>
              <w:jc w:val="center"/>
              <w:rPr>
                <w:rFonts w:eastAsiaTheme="minorEastAsia"/>
                <w:kern w:val="0"/>
                <w:szCs w:val="21"/>
              </w:rPr>
            </w:pPr>
          </w:p>
        </w:tc>
        <w:tc>
          <w:tcPr>
            <w:tcW w:w="1137" w:type="dxa"/>
            <w:vMerge w:val="restart"/>
            <w:vAlign w:val="center"/>
          </w:tcPr>
          <w:p w14:paraId="1F99E4B2" w14:textId="77777777" w:rsidR="00B14D53" w:rsidRDefault="00000000">
            <w:pPr>
              <w:jc w:val="center"/>
              <w:rPr>
                <w:rFonts w:eastAsiaTheme="minorEastAsia"/>
                <w:kern w:val="0"/>
                <w:szCs w:val="21"/>
              </w:rPr>
            </w:pPr>
            <w:r>
              <w:rPr>
                <w:rFonts w:eastAsiaTheme="minorEastAsia"/>
                <w:kern w:val="0"/>
                <w:szCs w:val="21"/>
              </w:rPr>
              <w:t>SO</w:t>
            </w:r>
            <w:r>
              <w:rPr>
                <w:rFonts w:eastAsiaTheme="minorEastAsia"/>
                <w:kern w:val="0"/>
                <w:szCs w:val="21"/>
                <w:vertAlign w:val="subscript"/>
              </w:rPr>
              <w:t>2</w:t>
            </w:r>
          </w:p>
        </w:tc>
        <w:tc>
          <w:tcPr>
            <w:tcW w:w="993" w:type="dxa"/>
            <w:vMerge w:val="restart"/>
            <w:vAlign w:val="center"/>
          </w:tcPr>
          <w:p w14:paraId="6DE7551B" w14:textId="77777777" w:rsidR="00B14D53" w:rsidRDefault="00000000">
            <w:pPr>
              <w:widowControl/>
              <w:jc w:val="center"/>
              <w:rPr>
                <w:rFonts w:eastAsiaTheme="minorEastAsia"/>
                <w:kern w:val="0"/>
                <w:szCs w:val="21"/>
              </w:rPr>
            </w:pPr>
            <w:r>
              <w:rPr>
                <w:rFonts w:eastAsiaTheme="minorEastAsia"/>
                <w:kern w:val="0"/>
                <w:szCs w:val="21"/>
              </w:rPr>
              <w:t>μg/m</w:t>
            </w:r>
            <w:r>
              <w:rPr>
                <w:rFonts w:eastAsiaTheme="minorEastAsia"/>
                <w:kern w:val="0"/>
                <w:szCs w:val="21"/>
                <w:vertAlign w:val="superscript"/>
              </w:rPr>
              <w:t>3</w:t>
            </w:r>
          </w:p>
        </w:tc>
        <w:tc>
          <w:tcPr>
            <w:tcW w:w="1984" w:type="dxa"/>
            <w:vAlign w:val="center"/>
          </w:tcPr>
          <w:p w14:paraId="5EB8E1D8" w14:textId="77777777" w:rsidR="00B14D53" w:rsidRDefault="00000000">
            <w:pPr>
              <w:jc w:val="center"/>
              <w:rPr>
                <w:rFonts w:eastAsiaTheme="minorEastAsia"/>
                <w:kern w:val="0"/>
                <w:szCs w:val="21"/>
              </w:rPr>
            </w:pPr>
            <w:r>
              <w:rPr>
                <w:rFonts w:eastAsiaTheme="minorEastAsia"/>
                <w:kern w:val="0"/>
                <w:szCs w:val="21"/>
              </w:rPr>
              <w:t>1</w:t>
            </w:r>
            <w:r>
              <w:rPr>
                <w:rFonts w:eastAsiaTheme="minorEastAsia" w:hAnsiTheme="minorEastAsia"/>
                <w:kern w:val="0"/>
                <w:szCs w:val="21"/>
              </w:rPr>
              <w:t>小时平均</w:t>
            </w:r>
          </w:p>
        </w:tc>
        <w:tc>
          <w:tcPr>
            <w:tcW w:w="680" w:type="dxa"/>
            <w:vAlign w:val="center"/>
          </w:tcPr>
          <w:p w14:paraId="75BD112E" w14:textId="77777777" w:rsidR="00B14D53" w:rsidRDefault="00000000">
            <w:pPr>
              <w:jc w:val="center"/>
              <w:rPr>
                <w:rFonts w:eastAsiaTheme="minorEastAsia"/>
                <w:kern w:val="0"/>
                <w:szCs w:val="21"/>
              </w:rPr>
            </w:pPr>
            <w:r>
              <w:rPr>
                <w:rFonts w:eastAsiaTheme="minorEastAsia"/>
                <w:kern w:val="0"/>
                <w:szCs w:val="21"/>
              </w:rPr>
              <w:t>50</w:t>
            </w:r>
          </w:p>
        </w:tc>
      </w:tr>
      <w:tr w:rsidR="00B14D53" w14:paraId="5CBF6D69" w14:textId="77777777">
        <w:trPr>
          <w:trHeight w:val="98"/>
          <w:jc w:val="center"/>
        </w:trPr>
        <w:tc>
          <w:tcPr>
            <w:tcW w:w="731" w:type="dxa"/>
            <w:vMerge/>
            <w:vAlign w:val="center"/>
          </w:tcPr>
          <w:p w14:paraId="178F5A61" w14:textId="77777777" w:rsidR="00B14D53" w:rsidRDefault="00B14D53">
            <w:pPr>
              <w:widowControl/>
              <w:jc w:val="left"/>
              <w:rPr>
                <w:rFonts w:eastAsiaTheme="minorEastAsia"/>
                <w:kern w:val="0"/>
                <w:szCs w:val="21"/>
              </w:rPr>
            </w:pPr>
          </w:p>
        </w:tc>
        <w:tc>
          <w:tcPr>
            <w:tcW w:w="2689" w:type="dxa"/>
            <w:vMerge/>
            <w:vAlign w:val="center"/>
          </w:tcPr>
          <w:p w14:paraId="718B0963" w14:textId="77777777" w:rsidR="00B14D53" w:rsidRDefault="00B14D53">
            <w:pPr>
              <w:widowControl/>
              <w:jc w:val="left"/>
              <w:rPr>
                <w:rFonts w:eastAsiaTheme="minorEastAsia"/>
                <w:kern w:val="0"/>
                <w:szCs w:val="21"/>
              </w:rPr>
            </w:pPr>
          </w:p>
        </w:tc>
        <w:tc>
          <w:tcPr>
            <w:tcW w:w="1137" w:type="dxa"/>
            <w:vMerge/>
            <w:vAlign w:val="center"/>
          </w:tcPr>
          <w:p w14:paraId="7DF4061C" w14:textId="77777777" w:rsidR="00B14D53" w:rsidRDefault="00B14D53">
            <w:pPr>
              <w:widowControl/>
              <w:jc w:val="left"/>
              <w:rPr>
                <w:rFonts w:eastAsiaTheme="minorEastAsia"/>
                <w:kern w:val="0"/>
                <w:szCs w:val="21"/>
              </w:rPr>
            </w:pPr>
          </w:p>
        </w:tc>
        <w:tc>
          <w:tcPr>
            <w:tcW w:w="993" w:type="dxa"/>
            <w:vMerge/>
            <w:vAlign w:val="center"/>
          </w:tcPr>
          <w:p w14:paraId="159B56C9" w14:textId="77777777" w:rsidR="00B14D53" w:rsidRDefault="00B14D53">
            <w:pPr>
              <w:widowControl/>
              <w:jc w:val="left"/>
              <w:rPr>
                <w:rFonts w:eastAsiaTheme="minorEastAsia"/>
                <w:kern w:val="0"/>
                <w:szCs w:val="21"/>
              </w:rPr>
            </w:pPr>
          </w:p>
        </w:tc>
        <w:tc>
          <w:tcPr>
            <w:tcW w:w="1984" w:type="dxa"/>
            <w:vAlign w:val="center"/>
          </w:tcPr>
          <w:p w14:paraId="035D252E" w14:textId="77777777" w:rsidR="00B14D53" w:rsidRDefault="00000000">
            <w:pPr>
              <w:jc w:val="center"/>
              <w:rPr>
                <w:rFonts w:eastAsiaTheme="minorEastAsia"/>
                <w:kern w:val="0"/>
                <w:szCs w:val="21"/>
              </w:rPr>
            </w:pPr>
            <w:r>
              <w:rPr>
                <w:rFonts w:eastAsiaTheme="minorEastAsia"/>
                <w:kern w:val="0"/>
                <w:szCs w:val="21"/>
              </w:rPr>
              <w:t>24</w:t>
            </w:r>
            <w:r>
              <w:rPr>
                <w:rFonts w:eastAsiaTheme="minorEastAsia" w:hAnsiTheme="minorEastAsia"/>
                <w:kern w:val="0"/>
                <w:szCs w:val="21"/>
              </w:rPr>
              <w:t>小时平均</w:t>
            </w:r>
          </w:p>
        </w:tc>
        <w:tc>
          <w:tcPr>
            <w:tcW w:w="680" w:type="dxa"/>
            <w:vAlign w:val="center"/>
          </w:tcPr>
          <w:p w14:paraId="2768061E" w14:textId="77777777" w:rsidR="00B14D53" w:rsidRDefault="00000000">
            <w:pPr>
              <w:jc w:val="center"/>
              <w:rPr>
                <w:rFonts w:eastAsiaTheme="minorEastAsia"/>
                <w:kern w:val="0"/>
                <w:szCs w:val="21"/>
              </w:rPr>
            </w:pPr>
            <w:r>
              <w:rPr>
                <w:rFonts w:eastAsiaTheme="minorEastAsia"/>
                <w:kern w:val="0"/>
                <w:szCs w:val="21"/>
              </w:rPr>
              <w:t>150</w:t>
            </w:r>
          </w:p>
        </w:tc>
      </w:tr>
      <w:tr w:rsidR="00B14D53" w14:paraId="19083DE7" w14:textId="77777777">
        <w:trPr>
          <w:trHeight w:val="98"/>
          <w:jc w:val="center"/>
        </w:trPr>
        <w:tc>
          <w:tcPr>
            <w:tcW w:w="731" w:type="dxa"/>
            <w:vMerge/>
            <w:vAlign w:val="center"/>
          </w:tcPr>
          <w:p w14:paraId="36D53E0C" w14:textId="77777777" w:rsidR="00B14D53" w:rsidRDefault="00B14D53">
            <w:pPr>
              <w:widowControl/>
              <w:jc w:val="left"/>
              <w:rPr>
                <w:rFonts w:eastAsiaTheme="minorEastAsia"/>
                <w:kern w:val="0"/>
                <w:szCs w:val="21"/>
              </w:rPr>
            </w:pPr>
          </w:p>
        </w:tc>
        <w:tc>
          <w:tcPr>
            <w:tcW w:w="2689" w:type="dxa"/>
            <w:vMerge/>
            <w:vAlign w:val="center"/>
          </w:tcPr>
          <w:p w14:paraId="2DBA113A" w14:textId="77777777" w:rsidR="00B14D53" w:rsidRDefault="00B14D53">
            <w:pPr>
              <w:widowControl/>
              <w:jc w:val="left"/>
              <w:rPr>
                <w:rFonts w:eastAsiaTheme="minorEastAsia"/>
                <w:kern w:val="0"/>
                <w:szCs w:val="21"/>
              </w:rPr>
            </w:pPr>
          </w:p>
        </w:tc>
        <w:tc>
          <w:tcPr>
            <w:tcW w:w="1137" w:type="dxa"/>
            <w:vMerge/>
            <w:vAlign w:val="center"/>
          </w:tcPr>
          <w:p w14:paraId="5633A0C1" w14:textId="77777777" w:rsidR="00B14D53" w:rsidRDefault="00B14D53">
            <w:pPr>
              <w:widowControl/>
              <w:jc w:val="left"/>
              <w:rPr>
                <w:rFonts w:eastAsiaTheme="minorEastAsia"/>
                <w:kern w:val="0"/>
                <w:szCs w:val="21"/>
              </w:rPr>
            </w:pPr>
          </w:p>
        </w:tc>
        <w:tc>
          <w:tcPr>
            <w:tcW w:w="993" w:type="dxa"/>
            <w:vMerge/>
            <w:vAlign w:val="center"/>
          </w:tcPr>
          <w:p w14:paraId="15AAFF48" w14:textId="77777777" w:rsidR="00B14D53" w:rsidRDefault="00B14D53">
            <w:pPr>
              <w:widowControl/>
              <w:jc w:val="left"/>
              <w:rPr>
                <w:rFonts w:eastAsiaTheme="minorEastAsia"/>
                <w:kern w:val="0"/>
                <w:szCs w:val="21"/>
              </w:rPr>
            </w:pPr>
          </w:p>
        </w:tc>
        <w:tc>
          <w:tcPr>
            <w:tcW w:w="1984" w:type="dxa"/>
            <w:vAlign w:val="center"/>
          </w:tcPr>
          <w:p w14:paraId="5C102799" w14:textId="77777777" w:rsidR="00B14D53" w:rsidRDefault="00000000">
            <w:pPr>
              <w:jc w:val="center"/>
              <w:rPr>
                <w:rFonts w:eastAsiaTheme="minorEastAsia"/>
                <w:kern w:val="0"/>
                <w:szCs w:val="21"/>
              </w:rPr>
            </w:pPr>
            <w:r>
              <w:rPr>
                <w:rFonts w:eastAsiaTheme="minorEastAsia" w:hAnsiTheme="minorEastAsia"/>
                <w:kern w:val="0"/>
                <w:szCs w:val="21"/>
              </w:rPr>
              <w:t>年平均</w:t>
            </w:r>
          </w:p>
        </w:tc>
        <w:tc>
          <w:tcPr>
            <w:tcW w:w="680" w:type="dxa"/>
            <w:vAlign w:val="center"/>
          </w:tcPr>
          <w:p w14:paraId="72CC0C7E" w14:textId="77777777" w:rsidR="00B14D53" w:rsidRDefault="00000000">
            <w:pPr>
              <w:jc w:val="center"/>
              <w:rPr>
                <w:rFonts w:eastAsiaTheme="minorEastAsia"/>
                <w:kern w:val="0"/>
                <w:szCs w:val="21"/>
              </w:rPr>
            </w:pPr>
            <w:r>
              <w:rPr>
                <w:rFonts w:eastAsiaTheme="minorEastAsia"/>
                <w:kern w:val="0"/>
                <w:szCs w:val="21"/>
              </w:rPr>
              <w:t>60</w:t>
            </w:r>
          </w:p>
        </w:tc>
      </w:tr>
    </w:tbl>
    <w:p w14:paraId="6C3B91C5" w14:textId="77777777" w:rsidR="00B14D53" w:rsidRDefault="00000000">
      <w:pPr>
        <w:jc w:val="center"/>
      </w:pPr>
      <w:r>
        <w:rPr>
          <w:rFonts w:hint="eastAsia"/>
          <w:b/>
          <w:bCs/>
        </w:rPr>
        <w:t>续</w:t>
      </w:r>
      <w:r>
        <w:rPr>
          <w:b/>
          <w:bCs/>
        </w:rPr>
        <w:t>表</w:t>
      </w:r>
      <w:r>
        <w:rPr>
          <w:b/>
          <w:bCs/>
        </w:rPr>
        <w:t>2-3-1</w:t>
      </w:r>
      <w:r>
        <w:rPr>
          <w:rFonts w:hint="eastAsia"/>
          <w:b/>
          <w:bCs/>
        </w:rPr>
        <w:t xml:space="preserve"> </w:t>
      </w:r>
      <w:r>
        <w:rPr>
          <w:b/>
          <w:bCs/>
        </w:rPr>
        <w:t>环境质量标准表</w:t>
      </w:r>
    </w:p>
    <w:tbl>
      <w:tblPr>
        <w:tblW w:w="834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30"/>
        <w:gridCol w:w="2690"/>
        <w:gridCol w:w="1137"/>
        <w:gridCol w:w="993"/>
        <w:gridCol w:w="1984"/>
        <w:gridCol w:w="680"/>
        <w:gridCol w:w="44"/>
        <w:gridCol w:w="89"/>
      </w:tblGrid>
      <w:tr w:rsidR="00B14D53" w14:paraId="00FDA884" w14:textId="77777777">
        <w:trPr>
          <w:gridAfter w:val="2"/>
          <w:wAfter w:w="133" w:type="dxa"/>
          <w:trHeight w:val="98"/>
          <w:jc w:val="center"/>
        </w:trPr>
        <w:tc>
          <w:tcPr>
            <w:tcW w:w="731" w:type="dxa"/>
            <w:vMerge w:val="restart"/>
            <w:vAlign w:val="center"/>
          </w:tcPr>
          <w:p w14:paraId="44541E03" w14:textId="77777777" w:rsidR="00B14D53" w:rsidRDefault="00000000">
            <w:pPr>
              <w:jc w:val="center"/>
              <w:rPr>
                <w:rFonts w:eastAsiaTheme="minorEastAsia"/>
                <w:kern w:val="0"/>
                <w:szCs w:val="21"/>
              </w:rPr>
            </w:pPr>
            <w:r>
              <w:rPr>
                <w:rFonts w:eastAsiaTheme="minorEastAsia" w:hAnsiTheme="minorEastAsia"/>
                <w:kern w:val="0"/>
                <w:szCs w:val="21"/>
              </w:rPr>
              <w:t>环境空气</w:t>
            </w:r>
          </w:p>
        </w:tc>
        <w:tc>
          <w:tcPr>
            <w:tcW w:w="2689" w:type="dxa"/>
            <w:vMerge w:val="restart"/>
            <w:vAlign w:val="center"/>
          </w:tcPr>
          <w:p w14:paraId="6A104536" w14:textId="77777777" w:rsidR="00B14D53" w:rsidRDefault="00000000">
            <w:pPr>
              <w:jc w:val="center"/>
              <w:rPr>
                <w:rFonts w:eastAsiaTheme="minorEastAsia"/>
                <w:kern w:val="0"/>
                <w:szCs w:val="21"/>
              </w:rPr>
            </w:pPr>
            <w:r>
              <w:rPr>
                <w:rFonts w:eastAsiaTheme="minorEastAsia" w:hAnsiTheme="minorEastAsia"/>
                <w:kern w:val="0"/>
                <w:szCs w:val="21"/>
              </w:rPr>
              <w:t>《环境空气质量标准》（</w:t>
            </w:r>
            <w:r>
              <w:rPr>
                <w:rFonts w:eastAsiaTheme="minorEastAsia"/>
                <w:kern w:val="0"/>
                <w:szCs w:val="21"/>
              </w:rPr>
              <w:t>GB3095-2012</w:t>
            </w:r>
            <w:r>
              <w:rPr>
                <w:rFonts w:eastAsiaTheme="minorEastAsia" w:hAnsiTheme="minorEastAsia"/>
                <w:kern w:val="0"/>
                <w:szCs w:val="21"/>
              </w:rPr>
              <w:t>）及修改单二级</w:t>
            </w:r>
          </w:p>
        </w:tc>
        <w:tc>
          <w:tcPr>
            <w:tcW w:w="1137" w:type="dxa"/>
            <w:vMerge w:val="restart"/>
            <w:vAlign w:val="center"/>
          </w:tcPr>
          <w:p w14:paraId="0D3C0695" w14:textId="77777777" w:rsidR="00B14D53" w:rsidRDefault="00000000">
            <w:pPr>
              <w:widowControl/>
              <w:jc w:val="center"/>
              <w:rPr>
                <w:rFonts w:eastAsiaTheme="minorEastAsia"/>
                <w:kern w:val="0"/>
                <w:szCs w:val="21"/>
              </w:rPr>
            </w:pPr>
            <w:r>
              <w:rPr>
                <w:rFonts w:eastAsiaTheme="minorEastAsia"/>
                <w:kern w:val="0"/>
                <w:szCs w:val="21"/>
              </w:rPr>
              <w:t>O</w:t>
            </w:r>
            <w:r>
              <w:rPr>
                <w:rFonts w:eastAsiaTheme="minorEastAsia"/>
                <w:kern w:val="0"/>
                <w:szCs w:val="21"/>
                <w:vertAlign w:val="subscript"/>
              </w:rPr>
              <w:t>3</w:t>
            </w:r>
          </w:p>
        </w:tc>
        <w:tc>
          <w:tcPr>
            <w:tcW w:w="993" w:type="dxa"/>
            <w:vMerge w:val="restart"/>
            <w:vAlign w:val="center"/>
          </w:tcPr>
          <w:p w14:paraId="52D52D10" w14:textId="77777777" w:rsidR="00B14D53" w:rsidRDefault="00000000">
            <w:pPr>
              <w:widowControl/>
              <w:jc w:val="center"/>
              <w:rPr>
                <w:rFonts w:eastAsiaTheme="minorEastAsia"/>
                <w:kern w:val="0"/>
                <w:szCs w:val="21"/>
              </w:rPr>
            </w:pPr>
            <w:r>
              <w:rPr>
                <w:rFonts w:eastAsiaTheme="minorEastAsia"/>
                <w:kern w:val="0"/>
                <w:szCs w:val="21"/>
              </w:rPr>
              <w:t>μg/m</w:t>
            </w:r>
            <w:r>
              <w:rPr>
                <w:rFonts w:eastAsiaTheme="minorEastAsia"/>
                <w:kern w:val="0"/>
                <w:szCs w:val="21"/>
                <w:vertAlign w:val="superscript"/>
              </w:rPr>
              <w:t>3</w:t>
            </w:r>
          </w:p>
        </w:tc>
        <w:tc>
          <w:tcPr>
            <w:tcW w:w="1984" w:type="dxa"/>
            <w:vAlign w:val="center"/>
          </w:tcPr>
          <w:p w14:paraId="572E9BB9" w14:textId="77777777" w:rsidR="00B14D53" w:rsidRDefault="00000000">
            <w:pPr>
              <w:widowControl/>
              <w:jc w:val="center"/>
              <w:rPr>
                <w:rFonts w:eastAsiaTheme="minorEastAsia"/>
                <w:kern w:val="0"/>
                <w:szCs w:val="21"/>
              </w:rPr>
            </w:pPr>
            <w:r>
              <w:rPr>
                <w:rFonts w:eastAsiaTheme="minorEastAsia"/>
                <w:kern w:val="0"/>
                <w:szCs w:val="21"/>
              </w:rPr>
              <w:t>1</w:t>
            </w:r>
            <w:r>
              <w:rPr>
                <w:rFonts w:eastAsiaTheme="minorEastAsia" w:hAnsiTheme="minorEastAsia"/>
                <w:kern w:val="0"/>
                <w:szCs w:val="21"/>
              </w:rPr>
              <w:t>小时平均</w:t>
            </w:r>
          </w:p>
        </w:tc>
        <w:tc>
          <w:tcPr>
            <w:tcW w:w="680" w:type="dxa"/>
            <w:vAlign w:val="center"/>
          </w:tcPr>
          <w:p w14:paraId="3218EB0A" w14:textId="77777777" w:rsidR="00B14D53" w:rsidRDefault="00000000">
            <w:pPr>
              <w:widowControl/>
              <w:jc w:val="center"/>
              <w:rPr>
                <w:rFonts w:eastAsiaTheme="minorEastAsia"/>
                <w:kern w:val="0"/>
                <w:szCs w:val="21"/>
              </w:rPr>
            </w:pPr>
            <w:r>
              <w:rPr>
                <w:rFonts w:eastAsiaTheme="minorEastAsia"/>
                <w:kern w:val="0"/>
                <w:szCs w:val="21"/>
              </w:rPr>
              <w:t>160</w:t>
            </w:r>
          </w:p>
        </w:tc>
      </w:tr>
      <w:tr w:rsidR="00B14D53" w14:paraId="5D93E8DA" w14:textId="77777777">
        <w:trPr>
          <w:gridAfter w:val="2"/>
          <w:wAfter w:w="133" w:type="dxa"/>
          <w:trHeight w:val="98"/>
          <w:jc w:val="center"/>
        </w:trPr>
        <w:tc>
          <w:tcPr>
            <w:tcW w:w="731" w:type="dxa"/>
            <w:vMerge/>
            <w:vAlign w:val="center"/>
          </w:tcPr>
          <w:p w14:paraId="1E36872D" w14:textId="77777777" w:rsidR="00B14D53" w:rsidRDefault="00B14D53">
            <w:pPr>
              <w:widowControl/>
              <w:jc w:val="left"/>
              <w:rPr>
                <w:rFonts w:eastAsiaTheme="minorEastAsia"/>
                <w:kern w:val="0"/>
                <w:szCs w:val="21"/>
              </w:rPr>
            </w:pPr>
          </w:p>
        </w:tc>
        <w:tc>
          <w:tcPr>
            <w:tcW w:w="2689" w:type="dxa"/>
            <w:vMerge/>
            <w:vAlign w:val="center"/>
          </w:tcPr>
          <w:p w14:paraId="2CEC9E2B" w14:textId="77777777" w:rsidR="00B14D53" w:rsidRDefault="00B14D53">
            <w:pPr>
              <w:widowControl/>
              <w:jc w:val="left"/>
              <w:rPr>
                <w:rFonts w:eastAsiaTheme="minorEastAsia"/>
                <w:kern w:val="0"/>
                <w:szCs w:val="21"/>
              </w:rPr>
            </w:pPr>
          </w:p>
        </w:tc>
        <w:tc>
          <w:tcPr>
            <w:tcW w:w="1137" w:type="dxa"/>
            <w:vMerge/>
            <w:vAlign w:val="center"/>
          </w:tcPr>
          <w:p w14:paraId="0C7CAE47" w14:textId="77777777" w:rsidR="00B14D53" w:rsidRDefault="00B14D53">
            <w:pPr>
              <w:widowControl/>
              <w:jc w:val="left"/>
              <w:rPr>
                <w:rFonts w:eastAsiaTheme="minorEastAsia"/>
                <w:kern w:val="0"/>
                <w:szCs w:val="21"/>
              </w:rPr>
            </w:pPr>
          </w:p>
        </w:tc>
        <w:tc>
          <w:tcPr>
            <w:tcW w:w="993" w:type="dxa"/>
            <w:vMerge/>
            <w:vAlign w:val="center"/>
          </w:tcPr>
          <w:p w14:paraId="2636A30A" w14:textId="77777777" w:rsidR="00B14D53" w:rsidRDefault="00B14D53">
            <w:pPr>
              <w:widowControl/>
              <w:jc w:val="left"/>
              <w:rPr>
                <w:rFonts w:eastAsiaTheme="minorEastAsia"/>
                <w:kern w:val="0"/>
                <w:szCs w:val="21"/>
              </w:rPr>
            </w:pPr>
          </w:p>
        </w:tc>
        <w:tc>
          <w:tcPr>
            <w:tcW w:w="1984" w:type="dxa"/>
            <w:vAlign w:val="center"/>
          </w:tcPr>
          <w:p w14:paraId="19196C2C" w14:textId="77777777" w:rsidR="00B14D53" w:rsidRDefault="00000000">
            <w:pPr>
              <w:widowControl/>
              <w:jc w:val="center"/>
              <w:rPr>
                <w:rFonts w:eastAsiaTheme="minorEastAsia"/>
                <w:kern w:val="0"/>
                <w:szCs w:val="21"/>
              </w:rPr>
            </w:pPr>
            <w:r>
              <w:rPr>
                <w:rFonts w:eastAsiaTheme="minorEastAsia" w:hAnsiTheme="minorEastAsia"/>
                <w:kern w:val="0"/>
                <w:szCs w:val="21"/>
              </w:rPr>
              <w:t>日最大</w:t>
            </w:r>
            <w:r>
              <w:rPr>
                <w:rFonts w:eastAsiaTheme="minorEastAsia"/>
                <w:kern w:val="0"/>
                <w:szCs w:val="21"/>
              </w:rPr>
              <w:t>8</w:t>
            </w:r>
            <w:r>
              <w:rPr>
                <w:rFonts w:eastAsiaTheme="minorEastAsia" w:hAnsiTheme="minorEastAsia"/>
                <w:kern w:val="0"/>
                <w:szCs w:val="21"/>
              </w:rPr>
              <w:t>小时平均</w:t>
            </w:r>
          </w:p>
        </w:tc>
        <w:tc>
          <w:tcPr>
            <w:tcW w:w="680" w:type="dxa"/>
            <w:vAlign w:val="center"/>
          </w:tcPr>
          <w:p w14:paraId="7F579249" w14:textId="77777777" w:rsidR="00B14D53" w:rsidRDefault="00000000">
            <w:pPr>
              <w:widowControl/>
              <w:jc w:val="center"/>
              <w:rPr>
                <w:rFonts w:eastAsiaTheme="minorEastAsia"/>
                <w:kern w:val="0"/>
                <w:szCs w:val="21"/>
              </w:rPr>
            </w:pPr>
            <w:r>
              <w:rPr>
                <w:rFonts w:eastAsiaTheme="minorEastAsia"/>
                <w:kern w:val="0"/>
                <w:szCs w:val="21"/>
              </w:rPr>
              <w:t>100</w:t>
            </w:r>
          </w:p>
        </w:tc>
      </w:tr>
      <w:tr w:rsidR="00B14D53" w14:paraId="2B0A15C0" w14:textId="77777777">
        <w:trPr>
          <w:gridAfter w:val="2"/>
          <w:wAfter w:w="133" w:type="dxa"/>
          <w:trHeight w:val="98"/>
          <w:jc w:val="center"/>
        </w:trPr>
        <w:tc>
          <w:tcPr>
            <w:tcW w:w="731" w:type="dxa"/>
            <w:vMerge/>
            <w:vAlign w:val="center"/>
          </w:tcPr>
          <w:p w14:paraId="0E58CBD7" w14:textId="77777777" w:rsidR="00B14D53" w:rsidRDefault="00B14D53">
            <w:pPr>
              <w:widowControl/>
              <w:jc w:val="left"/>
              <w:rPr>
                <w:rFonts w:eastAsiaTheme="minorEastAsia"/>
                <w:kern w:val="0"/>
                <w:szCs w:val="21"/>
              </w:rPr>
            </w:pPr>
          </w:p>
        </w:tc>
        <w:tc>
          <w:tcPr>
            <w:tcW w:w="2689" w:type="dxa"/>
            <w:vMerge/>
            <w:vAlign w:val="center"/>
          </w:tcPr>
          <w:p w14:paraId="7F90A602" w14:textId="77777777" w:rsidR="00B14D53" w:rsidRDefault="00B14D53">
            <w:pPr>
              <w:widowControl/>
              <w:jc w:val="left"/>
              <w:rPr>
                <w:rFonts w:eastAsiaTheme="minorEastAsia"/>
                <w:kern w:val="0"/>
                <w:szCs w:val="21"/>
              </w:rPr>
            </w:pPr>
          </w:p>
        </w:tc>
        <w:tc>
          <w:tcPr>
            <w:tcW w:w="1137" w:type="dxa"/>
            <w:vMerge w:val="restart"/>
            <w:vAlign w:val="center"/>
          </w:tcPr>
          <w:p w14:paraId="6B3D8FB0" w14:textId="77777777" w:rsidR="00B14D53" w:rsidRDefault="00000000">
            <w:pPr>
              <w:widowControl/>
              <w:jc w:val="center"/>
              <w:rPr>
                <w:rFonts w:eastAsiaTheme="minorEastAsia"/>
                <w:kern w:val="0"/>
                <w:szCs w:val="21"/>
              </w:rPr>
            </w:pPr>
            <w:r>
              <w:rPr>
                <w:rFonts w:eastAsiaTheme="minorEastAsia"/>
                <w:kern w:val="0"/>
                <w:szCs w:val="21"/>
              </w:rPr>
              <w:t>CO</w:t>
            </w:r>
          </w:p>
        </w:tc>
        <w:tc>
          <w:tcPr>
            <w:tcW w:w="993" w:type="dxa"/>
            <w:vMerge w:val="restart"/>
            <w:vAlign w:val="center"/>
          </w:tcPr>
          <w:p w14:paraId="33BE419C" w14:textId="77777777" w:rsidR="00B14D53" w:rsidRDefault="00000000">
            <w:pPr>
              <w:widowControl/>
              <w:jc w:val="center"/>
              <w:rPr>
                <w:rFonts w:eastAsiaTheme="minorEastAsia"/>
                <w:kern w:val="0"/>
                <w:szCs w:val="21"/>
              </w:rPr>
            </w:pPr>
            <w:r>
              <w:rPr>
                <w:rFonts w:eastAsiaTheme="minorEastAsia"/>
                <w:kern w:val="0"/>
                <w:szCs w:val="21"/>
              </w:rPr>
              <w:t>mg/m</w:t>
            </w:r>
            <w:r>
              <w:rPr>
                <w:rFonts w:eastAsiaTheme="minorEastAsia"/>
                <w:kern w:val="0"/>
                <w:szCs w:val="21"/>
                <w:vertAlign w:val="superscript"/>
              </w:rPr>
              <w:t>3</w:t>
            </w:r>
          </w:p>
        </w:tc>
        <w:tc>
          <w:tcPr>
            <w:tcW w:w="1984" w:type="dxa"/>
            <w:vAlign w:val="center"/>
          </w:tcPr>
          <w:p w14:paraId="24E7BC17" w14:textId="77777777" w:rsidR="00B14D53" w:rsidRDefault="00000000">
            <w:pPr>
              <w:widowControl/>
              <w:jc w:val="center"/>
              <w:rPr>
                <w:rFonts w:eastAsiaTheme="minorEastAsia"/>
                <w:kern w:val="0"/>
                <w:szCs w:val="21"/>
              </w:rPr>
            </w:pPr>
            <w:r>
              <w:rPr>
                <w:rFonts w:eastAsiaTheme="minorEastAsia"/>
                <w:kern w:val="0"/>
                <w:szCs w:val="21"/>
              </w:rPr>
              <w:t>1</w:t>
            </w:r>
            <w:r>
              <w:rPr>
                <w:rFonts w:eastAsiaTheme="minorEastAsia" w:hAnsiTheme="minorEastAsia"/>
                <w:kern w:val="0"/>
                <w:szCs w:val="21"/>
              </w:rPr>
              <w:t>小时平均</w:t>
            </w:r>
          </w:p>
        </w:tc>
        <w:tc>
          <w:tcPr>
            <w:tcW w:w="680" w:type="dxa"/>
            <w:vAlign w:val="center"/>
          </w:tcPr>
          <w:p w14:paraId="69277D98" w14:textId="77777777" w:rsidR="00B14D53" w:rsidRDefault="00000000">
            <w:pPr>
              <w:widowControl/>
              <w:jc w:val="center"/>
              <w:rPr>
                <w:rFonts w:eastAsiaTheme="minorEastAsia"/>
                <w:kern w:val="0"/>
                <w:szCs w:val="21"/>
              </w:rPr>
            </w:pPr>
            <w:r>
              <w:rPr>
                <w:rFonts w:eastAsiaTheme="minorEastAsia"/>
                <w:kern w:val="0"/>
                <w:szCs w:val="21"/>
              </w:rPr>
              <w:t>10</w:t>
            </w:r>
          </w:p>
        </w:tc>
      </w:tr>
      <w:tr w:rsidR="00B14D53" w14:paraId="26EB01A4" w14:textId="77777777">
        <w:trPr>
          <w:gridAfter w:val="2"/>
          <w:wAfter w:w="133" w:type="dxa"/>
          <w:trHeight w:val="98"/>
          <w:jc w:val="center"/>
        </w:trPr>
        <w:tc>
          <w:tcPr>
            <w:tcW w:w="731" w:type="dxa"/>
            <w:vMerge/>
            <w:vAlign w:val="center"/>
          </w:tcPr>
          <w:p w14:paraId="3CF11EF2" w14:textId="77777777" w:rsidR="00B14D53" w:rsidRDefault="00B14D53">
            <w:pPr>
              <w:widowControl/>
              <w:jc w:val="left"/>
              <w:rPr>
                <w:rFonts w:eastAsiaTheme="minorEastAsia"/>
                <w:kern w:val="0"/>
                <w:szCs w:val="21"/>
              </w:rPr>
            </w:pPr>
          </w:p>
        </w:tc>
        <w:tc>
          <w:tcPr>
            <w:tcW w:w="2689" w:type="dxa"/>
            <w:vMerge/>
            <w:vAlign w:val="center"/>
          </w:tcPr>
          <w:p w14:paraId="093D0C99" w14:textId="77777777" w:rsidR="00B14D53" w:rsidRDefault="00B14D53">
            <w:pPr>
              <w:widowControl/>
              <w:jc w:val="left"/>
              <w:rPr>
                <w:rFonts w:eastAsiaTheme="minorEastAsia"/>
                <w:kern w:val="0"/>
                <w:szCs w:val="21"/>
              </w:rPr>
            </w:pPr>
          </w:p>
        </w:tc>
        <w:tc>
          <w:tcPr>
            <w:tcW w:w="1137" w:type="dxa"/>
            <w:vMerge/>
            <w:vAlign w:val="center"/>
          </w:tcPr>
          <w:p w14:paraId="06190587" w14:textId="77777777" w:rsidR="00B14D53" w:rsidRDefault="00B14D53">
            <w:pPr>
              <w:widowControl/>
              <w:jc w:val="left"/>
              <w:rPr>
                <w:rFonts w:eastAsiaTheme="minorEastAsia"/>
                <w:kern w:val="0"/>
                <w:szCs w:val="21"/>
              </w:rPr>
            </w:pPr>
          </w:p>
        </w:tc>
        <w:tc>
          <w:tcPr>
            <w:tcW w:w="993" w:type="dxa"/>
            <w:vMerge/>
            <w:tcBorders>
              <w:bottom w:val="single" w:sz="4" w:space="0" w:color="auto"/>
            </w:tcBorders>
            <w:vAlign w:val="center"/>
          </w:tcPr>
          <w:p w14:paraId="08F5CB83" w14:textId="77777777" w:rsidR="00B14D53" w:rsidRDefault="00B14D53">
            <w:pPr>
              <w:widowControl/>
              <w:jc w:val="left"/>
              <w:rPr>
                <w:rFonts w:eastAsiaTheme="minorEastAsia"/>
                <w:kern w:val="0"/>
                <w:szCs w:val="21"/>
              </w:rPr>
            </w:pPr>
          </w:p>
        </w:tc>
        <w:tc>
          <w:tcPr>
            <w:tcW w:w="1984" w:type="dxa"/>
            <w:tcBorders>
              <w:bottom w:val="single" w:sz="4" w:space="0" w:color="auto"/>
            </w:tcBorders>
            <w:vAlign w:val="center"/>
          </w:tcPr>
          <w:p w14:paraId="588D0E4C" w14:textId="77777777" w:rsidR="00B14D53" w:rsidRDefault="00000000">
            <w:pPr>
              <w:widowControl/>
              <w:jc w:val="center"/>
              <w:rPr>
                <w:rFonts w:eastAsiaTheme="minorEastAsia"/>
                <w:kern w:val="0"/>
                <w:szCs w:val="21"/>
              </w:rPr>
            </w:pPr>
            <w:r>
              <w:rPr>
                <w:rFonts w:eastAsiaTheme="minorEastAsia"/>
                <w:kern w:val="0"/>
                <w:szCs w:val="21"/>
              </w:rPr>
              <w:t>24</w:t>
            </w:r>
            <w:r>
              <w:rPr>
                <w:rFonts w:eastAsiaTheme="minorEastAsia" w:hAnsiTheme="minorEastAsia"/>
                <w:kern w:val="0"/>
                <w:szCs w:val="21"/>
              </w:rPr>
              <w:t>小时平均</w:t>
            </w:r>
          </w:p>
        </w:tc>
        <w:tc>
          <w:tcPr>
            <w:tcW w:w="680" w:type="dxa"/>
            <w:tcBorders>
              <w:bottom w:val="single" w:sz="4" w:space="0" w:color="auto"/>
            </w:tcBorders>
            <w:vAlign w:val="center"/>
          </w:tcPr>
          <w:p w14:paraId="366A4BCE" w14:textId="77777777" w:rsidR="00B14D53" w:rsidRDefault="00000000">
            <w:pPr>
              <w:widowControl/>
              <w:jc w:val="center"/>
              <w:rPr>
                <w:rFonts w:eastAsiaTheme="minorEastAsia"/>
                <w:kern w:val="0"/>
                <w:szCs w:val="21"/>
              </w:rPr>
            </w:pPr>
            <w:r>
              <w:rPr>
                <w:rFonts w:eastAsiaTheme="minorEastAsia"/>
                <w:kern w:val="0"/>
                <w:szCs w:val="21"/>
              </w:rPr>
              <w:t>4</w:t>
            </w:r>
          </w:p>
        </w:tc>
      </w:tr>
      <w:tr w:rsidR="00B14D53" w14:paraId="1849B85F" w14:textId="77777777">
        <w:trPr>
          <w:gridAfter w:val="2"/>
          <w:wAfter w:w="133" w:type="dxa"/>
          <w:trHeight w:val="100"/>
          <w:jc w:val="center"/>
        </w:trPr>
        <w:tc>
          <w:tcPr>
            <w:tcW w:w="731" w:type="dxa"/>
            <w:vMerge/>
            <w:vAlign w:val="center"/>
          </w:tcPr>
          <w:p w14:paraId="20AAC852" w14:textId="77777777" w:rsidR="00B14D53" w:rsidRDefault="00B14D53">
            <w:pPr>
              <w:widowControl/>
              <w:jc w:val="left"/>
              <w:rPr>
                <w:rFonts w:eastAsiaTheme="minorEastAsia"/>
                <w:kern w:val="0"/>
                <w:szCs w:val="21"/>
              </w:rPr>
            </w:pPr>
          </w:p>
        </w:tc>
        <w:tc>
          <w:tcPr>
            <w:tcW w:w="2689" w:type="dxa"/>
            <w:vMerge/>
            <w:vAlign w:val="center"/>
          </w:tcPr>
          <w:p w14:paraId="52D3C02A" w14:textId="77777777" w:rsidR="00B14D53" w:rsidRDefault="00B14D53">
            <w:pPr>
              <w:widowControl/>
              <w:jc w:val="left"/>
              <w:rPr>
                <w:rFonts w:eastAsiaTheme="minorEastAsia"/>
                <w:kern w:val="0"/>
                <w:szCs w:val="21"/>
              </w:rPr>
            </w:pPr>
          </w:p>
        </w:tc>
        <w:tc>
          <w:tcPr>
            <w:tcW w:w="1137" w:type="dxa"/>
            <w:vMerge w:val="restart"/>
            <w:vAlign w:val="center"/>
          </w:tcPr>
          <w:p w14:paraId="207FE4F3" w14:textId="77777777" w:rsidR="00B14D53" w:rsidRDefault="00000000">
            <w:pPr>
              <w:widowControl/>
              <w:jc w:val="center"/>
              <w:rPr>
                <w:rFonts w:eastAsiaTheme="minorEastAsia"/>
                <w:kern w:val="0"/>
                <w:szCs w:val="21"/>
              </w:rPr>
            </w:pPr>
            <w:r>
              <w:rPr>
                <w:rFonts w:eastAsiaTheme="minorEastAsia" w:hint="eastAsia"/>
                <w:kern w:val="0"/>
                <w:szCs w:val="21"/>
              </w:rPr>
              <w:t>NO</w:t>
            </w:r>
            <w:r>
              <w:rPr>
                <w:rFonts w:eastAsiaTheme="minorEastAsia" w:hint="eastAsia"/>
                <w:kern w:val="0"/>
                <w:szCs w:val="21"/>
                <w:vertAlign w:val="subscript"/>
              </w:rPr>
              <w:t>X</w:t>
            </w:r>
          </w:p>
        </w:tc>
        <w:tc>
          <w:tcPr>
            <w:tcW w:w="993" w:type="dxa"/>
            <w:vMerge w:val="restart"/>
            <w:tcBorders>
              <w:top w:val="single" w:sz="4" w:space="0" w:color="auto"/>
            </w:tcBorders>
            <w:vAlign w:val="center"/>
          </w:tcPr>
          <w:p w14:paraId="657F0203" w14:textId="77777777" w:rsidR="00B14D53" w:rsidRDefault="00000000">
            <w:pPr>
              <w:jc w:val="center"/>
              <w:rPr>
                <w:rFonts w:eastAsiaTheme="minorEastAsia"/>
                <w:kern w:val="0"/>
                <w:szCs w:val="21"/>
              </w:rPr>
            </w:pPr>
            <w:r>
              <w:rPr>
                <w:rFonts w:eastAsiaTheme="minorEastAsia"/>
                <w:kern w:val="0"/>
                <w:szCs w:val="21"/>
              </w:rPr>
              <w:t>μg/m</w:t>
            </w:r>
            <w:r>
              <w:rPr>
                <w:rFonts w:eastAsiaTheme="minorEastAsia"/>
                <w:kern w:val="0"/>
                <w:szCs w:val="21"/>
                <w:vertAlign w:val="superscript"/>
              </w:rPr>
              <w:t>3</w:t>
            </w:r>
          </w:p>
        </w:tc>
        <w:tc>
          <w:tcPr>
            <w:tcW w:w="1984" w:type="dxa"/>
            <w:tcBorders>
              <w:top w:val="single" w:sz="4" w:space="0" w:color="auto"/>
              <w:bottom w:val="single" w:sz="4" w:space="0" w:color="auto"/>
            </w:tcBorders>
            <w:vAlign w:val="center"/>
          </w:tcPr>
          <w:p w14:paraId="547D0EB8" w14:textId="77777777" w:rsidR="00B14D53" w:rsidRDefault="00000000">
            <w:pPr>
              <w:jc w:val="center"/>
              <w:rPr>
                <w:rFonts w:eastAsiaTheme="minorEastAsia"/>
                <w:kern w:val="0"/>
                <w:szCs w:val="21"/>
              </w:rPr>
            </w:pPr>
            <w:r>
              <w:rPr>
                <w:rFonts w:eastAsiaTheme="minorEastAsia"/>
                <w:kern w:val="0"/>
                <w:szCs w:val="21"/>
              </w:rPr>
              <w:t>1</w:t>
            </w:r>
            <w:r>
              <w:rPr>
                <w:rFonts w:eastAsiaTheme="minorEastAsia" w:hAnsiTheme="minorEastAsia"/>
                <w:kern w:val="0"/>
                <w:szCs w:val="21"/>
              </w:rPr>
              <w:t>小时平均</w:t>
            </w:r>
          </w:p>
        </w:tc>
        <w:tc>
          <w:tcPr>
            <w:tcW w:w="680" w:type="dxa"/>
            <w:tcBorders>
              <w:top w:val="single" w:sz="4" w:space="0" w:color="auto"/>
              <w:bottom w:val="single" w:sz="4" w:space="0" w:color="auto"/>
            </w:tcBorders>
            <w:vAlign w:val="center"/>
          </w:tcPr>
          <w:p w14:paraId="5CAA9CAE" w14:textId="77777777" w:rsidR="00B14D53" w:rsidRDefault="00000000">
            <w:pPr>
              <w:widowControl/>
              <w:jc w:val="center"/>
              <w:rPr>
                <w:rFonts w:eastAsiaTheme="minorEastAsia"/>
                <w:kern w:val="0"/>
                <w:szCs w:val="21"/>
              </w:rPr>
            </w:pPr>
            <w:r>
              <w:rPr>
                <w:rFonts w:eastAsiaTheme="minorEastAsia" w:hint="eastAsia"/>
                <w:kern w:val="0"/>
                <w:szCs w:val="21"/>
              </w:rPr>
              <w:t>250</w:t>
            </w:r>
          </w:p>
        </w:tc>
      </w:tr>
      <w:tr w:rsidR="00B14D53" w14:paraId="27938239" w14:textId="77777777">
        <w:trPr>
          <w:gridAfter w:val="2"/>
          <w:wAfter w:w="133" w:type="dxa"/>
          <w:trHeight w:val="112"/>
          <w:jc w:val="center"/>
        </w:trPr>
        <w:tc>
          <w:tcPr>
            <w:tcW w:w="731" w:type="dxa"/>
            <w:vMerge/>
            <w:vAlign w:val="center"/>
          </w:tcPr>
          <w:p w14:paraId="5F32E356" w14:textId="77777777" w:rsidR="00B14D53" w:rsidRDefault="00B14D53">
            <w:pPr>
              <w:widowControl/>
              <w:jc w:val="left"/>
              <w:rPr>
                <w:rFonts w:eastAsiaTheme="minorEastAsia"/>
                <w:kern w:val="0"/>
                <w:szCs w:val="21"/>
              </w:rPr>
            </w:pPr>
          </w:p>
        </w:tc>
        <w:tc>
          <w:tcPr>
            <w:tcW w:w="2689" w:type="dxa"/>
            <w:vMerge/>
            <w:vAlign w:val="center"/>
          </w:tcPr>
          <w:p w14:paraId="3E483761" w14:textId="77777777" w:rsidR="00B14D53" w:rsidRDefault="00B14D53">
            <w:pPr>
              <w:widowControl/>
              <w:jc w:val="left"/>
              <w:rPr>
                <w:rFonts w:eastAsiaTheme="minorEastAsia"/>
                <w:kern w:val="0"/>
                <w:szCs w:val="21"/>
              </w:rPr>
            </w:pPr>
          </w:p>
        </w:tc>
        <w:tc>
          <w:tcPr>
            <w:tcW w:w="1137" w:type="dxa"/>
            <w:vMerge/>
            <w:vAlign w:val="center"/>
          </w:tcPr>
          <w:p w14:paraId="7381559C" w14:textId="77777777" w:rsidR="00B14D53" w:rsidRDefault="00B14D53">
            <w:pPr>
              <w:widowControl/>
              <w:jc w:val="left"/>
              <w:rPr>
                <w:rFonts w:eastAsiaTheme="minorEastAsia"/>
                <w:kern w:val="0"/>
                <w:szCs w:val="21"/>
              </w:rPr>
            </w:pPr>
          </w:p>
        </w:tc>
        <w:tc>
          <w:tcPr>
            <w:tcW w:w="993" w:type="dxa"/>
            <w:vMerge/>
            <w:vAlign w:val="center"/>
          </w:tcPr>
          <w:p w14:paraId="43BE258D" w14:textId="77777777" w:rsidR="00B14D53" w:rsidRDefault="00B14D53">
            <w:pPr>
              <w:widowControl/>
              <w:jc w:val="left"/>
              <w:rPr>
                <w:rFonts w:eastAsiaTheme="minorEastAsia"/>
                <w:kern w:val="0"/>
                <w:szCs w:val="21"/>
              </w:rPr>
            </w:pPr>
          </w:p>
        </w:tc>
        <w:tc>
          <w:tcPr>
            <w:tcW w:w="1984" w:type="dxa"/>
            <w:tcBorders>
              <w:top w:val="single" w:sz="4" w:space="0" w:color="auto"/>
              <w:bottom w:val="single" w:sz="4" w:space="0" w:color="auto"/>
            </w:tcBorders>
            <w:vAlign w:val="center"/>
          </w:tcPr>
          <w:p w14:paraId="70B37101" w14:textId="77777777" w:rsidR="00B14D53" w:rsidRDefault="00000000">
            <w:pPr>
              <w:jc w:val="center"/>
              <w:rPr>
                <w:rFonts w:eastAsiaTheme="minorEastAsia"/>
                <w:kern w:val="0"/>
                <w:szCs w:val="21"/>
              </w:rPr>
            </w:pPr>
            <w:r>
              <w:rPr>
                <w:rFonts w:eastAsiaTheme="minorEastAsia"/>
                <w:kern w:val="0"/>
                <w:szCs w:val="21"/>
              </w:rPr>
              <w:t>24</w:t>
            </w:r>
            <w:r>
              <w:rPr>
                <w:rFonts w:eastAsiaTheme="minorEastAsia" w:hAnsiTheme="minorEastAsia"/>
                <w:kern w:val="0"/>
                <w:szCs w:val="21"/>
              </w:rPr>
              <w:t>小时平均</w:t>
            </w:r>
          </w:p>
        </w:tc>
        <w:tc>
          <w:tcPr>
            <w:tcW w:w="680" w:type="dxa"/>
            <w:tcBorders>
              <w:top w:val="single" w:sz="4" w:space="0" w:color="auto"/>
              <w:bottom w:val="single" w:sz="4" w:space="0" w:color="auto"/>
            </w:tcBorders>
            <w:vAlign w:val="center"/>
          </w:tcPr>
          <w:p w14:paraId="2F032AF3" w14:textId="77777777" w:rsidR="00B14D53" w:rsidRDefault="00000000">
            <w:pPr>
              <w:widowControl/>
              <w:jc w:val="center"/>
              <w:rPr>
                <w:rFonts w:eastAsiaTheme="minorEastAsia"/>
                <w:kern w:val="0"/>
                <w:szCs w:val="21"/>
              </w:rPr>
            </w:pPr>
            <w:r>
              <w:rPr>
                <w:rFonts w:eastAsiaTheme="minorEastAsia" w:hint="eastAsia"/>
                <w:kern w:val="0"/>
                <w:szCs w:val="21"/>
              </w:rPr>
              <w:t>100</w:t>
            </w:r>
          </w:p>
        </w:tc>
      </w:tr>
      <w:tr w:rsidR="00B14D53" w14:paraId="3D3E4FDE" w14:textId="77777777">
        <w:trPr>
          <w:gridAfter w:val="2"/>
          <w:wAfter w:w="133" w:type="dxa"/>
          <w:trHeight w:val="116"/>
          <w:jc w:val="center"/>
        </w:trPr>
        <w:tc>
          <w:tcPr>
            <w:tcW w:w="731" w:type="dxa"/>
            <w:vMerge/>
            <w:vAlign w:val="center"/>
          </w:tcPr>
          <w:p w14:paraId="60F7854B" w14:textId="77777777" w:rsidR="00B14D53" w:rsidRDefault="00B14D53">
            <w:pPr>
              <w:widowControl/>
              <w:jc w:val="left"/>
              <w:rPr>
                <w:rFonts w:eastAsiaTheme="minorEastAsia"/>
                <w:kern w:val="0"/>
                <w:szCs w:val="21"/>
              </w:rPr>
            </w:pPr>
          </w:p>
        </w:tc>
        <w:tc>
          <w:tcPr>
            <w:tcW w:w="2689" w:type="dxa"/>
            <w:vMerge/>
            <w:vAlign w:val="center"/>
          </w:tcPr>
          <w:p w14:paraId="12C17E1E" w14:textId="77777777" w:rsidR="00B14D53" w:rsidRDefault="00B14D53">
            <w:pPr>
              <w:widowControl/>
              <w:jc w:val="left"/>
              <w:rPr>
                <w:rFonts w:eastAsiaTheme="minorEastAsia"/>
                <w:kern w:val="0"/>
                <w:szCs w:val="21"/>
              </w:rPr>
            </w:pPr>
          </w:p>
        </w:tc>
        <w:tc>
          <w:tcPr>
            <w:tcW w:w="1137" w:type="dxa"/>
            <w:vMerge/>
            <w:vAlign w:val="center"/>
          </w:tcPr>
          <w:p w14:paraId="240FFFA5" w14:textId="77777777" w:rsidR="00B14D53" w:rsidRDefault="00B14D53">
            <w:pPr>
              <w:widowControl/>
              <w:jc w:val="left"/>
              <w:rPr>
                <w:rFonts w:eastAsiaTheme="minorEastAsia"/>
                <w:kern w:val="0"/>
                <w:szCs w:val="21"/>
              </w:rPr>
            </w:pPr>
          </w:p>
        </w:tc>
        <w:tc>
          <w:tcPr>
            <w:tcW w:w="993" w:type="dxa"/>
            <w:vMerge/>
            <w:vAlign w:val="center"/>
          </w:tcPr>
          <w:p w14:paraId="14CF2001" w14:textId="77777777" w:rsidR="00B14D53" w:rsidRDefault="00B14D53">
            <w:pPr>
              <w:widowControl/>
              <w:jc w:val="left"/>
              <w:rPr>
                <w:rFonts w:eastAsiaTheme="minorEastAsia"/>
                <w:kern w:val="0"/>
                <w:szCs w:val="21"/>
              </w:rPr>
            </w:pPr>
          </w:p>
        </w:tc>
        <w:tc>
          <w:tcPr>
            <w:tcW w:w="1984" w:type="dxa"/>
            <w:tcBorders>
              <w:top w:val="single" w:sz="4" w:space="0" w:color="auto"/>
            </w:tcBorders>
            <w:vAlign w:val="center"/>
          </w:tcPr>
          <w:p w14:paraId="690B8FA4" w14:textId="77777777" w:rsidR="00B14D53" w:rsidRDefault="00000000">
            <w:pPr>
              <w:jc w:val="center"/>
              <w:rPr>
                <w:rFonts w:eastAsiaTheme="minorEastAsia"/>
                <w:kern w:val="0"/>
                <w:szCs w:val="21"/>
              </w:rPr>
            </w:pPr>
            <w:r>
              <w:rPr>
                <w:rFonts w:eastAsiaTheme="minorEastAsia" w:hAnsiTheme="minorEastAsia"/>
                <w:kern w:val="0"/>
                <w:szCs w:val="21"/>
              </w:rPr>
              <w:t>年平均</w:t>
            </w:r>
          </w:p>
        </w:tc>
        <w:tc>
          <w:tcPr>
            <w:tcW w:w="680" w:type="dxa"/>
            <w:tcBorders>
              <w:top w:val="single" w:sz="4" w:space="0" w:color="auto"/>
            </w:tcBorders>
            <w:vAlign w:val="center"/>
          </w:tcPr>
          <w:p w14:paraId="7B927924" w14:textId="77777777" w:rsidR="00B14D53" w:rsidRDefault="00000000">
            <w:pPr>
              <w:widowControl/>
              <w:jc w:val="center"/>
              <w:rPr>
                <w:rFonts w:eastAsiaTheme="minorEastAsia"/>
                <w:kern w:val="0"/>
                <w:szCs w:val="21"/>
              </w:rPr>
            </w:pPr>
            <w:r>
              <w:rPr>
                <w:rFonts w:eastAsiaTheme="minorEastAsia" w:hint="eastAsia"/>
                <w:kern w:val="0"/>
                <w:szCs w:val="21"/>
              </w:rPr>
              <w:t>50</w:t>
            </w:r>
          </w:p>
        </w:tc>
      </w:tr>
      <w:tr w:rsidR="00B14D53" w14:paraId="0866E901" w14:textId="77777777">
        <w:trPr>
          <w:gridAfter w:val="2"/>
          <w:wAfter w:w="133" w:type="dxa"/>
          <w:trHeight w:val="116"/>
          <w:jc w:val="center"/>
        </w:trPr>
        <w:tc>
          <w:tcPr>
            <w:tcW w:w="731" w:type="dxa"/>
            <w:vMerge/>
            <w:vAlign w:val="center"/>
          </w:tcPr>
          <w:p w14:paraId="1A8ABFCF" w14:textId="77777777" w:rsidR="00B14D53" w:rsidRDefault="00B14D53">
            <w:pPr>
              <w:widowControl/>
              <w:jc w:val="left"/>
              <w:rPr>
                <w:rFonts w:eastAsiaTheme="minorEastAsia"/>
                <w:kern w:val="0"/>
                <w:szCs w:val="21"/>
              </w:rPr>
            </w:pPr>
          </w:p>
        </w:tc>
        <w:tc>
          <w:tcPr>
            <w:tcW w:w="2689" w:type="dxa"/>
            <w:vMerge/>
            <w:vAlign w:val="center"/>
          </w:tcPr>
          <w:p w14:paraId="57ED189A" w14:textId="77777777" w:rsidR="00B14D53" w:rsidRDefault="00B14D53">
            <w:pPr>
              <w:widowControl/>
              <w:jc w:val="left"/>
              <w:rPr>
                <w:rFonts w:eastAsiaTheme="minorEastAsia"/>
                <w:kern w:val="0"/>
                <w:szCs w:val="21"/>
              </w:rPr>
            </w:pPr>
          </w:p>
        </w:tc>
        <w:tc>
          <w:tcPr>
            <w:tcW w:w="1137" w:type="dxa"/>
            <w:vMerge w:val="restart"/>
            <w:vAlign w:val="center"/>
          </w:tcPr>
          <w:p w14:paraId="3DD5B2D3" w14:textId="77777777" w:rsidR="00B14D53" w:rsidRDefault="00000000">
            <w:pPr>
              <w:widowControl/>
              <w:jc w:val="center"/>
              <w:rPr>
                <w:rFonts w:eastAsiaTheme="minorEastAsia"/>
                <w:kern w:val="0"/>
                <w:szCs w:val="21"/>
              </w:rPr>
            </w:pPr>
            <w:r>
              <w:rPr>
                <w:rFonts w:eastAsiaTheme="minorEastAsia" w:hint="eastAsia"/>
                <w:kern w:val="0"/>
                <w:szCs w:val="21"/>
              </w:rPr>
              <w:t>T</w:t>
            </w:r>
            <w:r>
              <w:rPr>
                <w:rFonts w:eastAsiaTheme="minorEastAsia"/>
                <w:kern w:val="0"/>
                <w:szCs w:val="21"/>
              </w:rPr>
              <w:t>SP</w:t>
            </w:r>
          </w:p>
        </w:tc>
        <w:tc>
          <w:tcPr>
            <w:tcW w:w="993" w:type="dxa"/>
            <w:vMerge/>
            <w:vAlign w:val="center"/>
          </w:tcPr>
          <w:p w14:paraId="4A3A0B30" w14:textId="77777777" w:rsidR="00B14D53" w:rsidRDefault="00B14D53">
            <w:pPr>
              <w:widowControl/>
              <w:jc w:val="left"/>
              <w:rPr>
                <w:rFonts w:eastAsiaTheme="minorEastAsia"/>
                <w:kern w:val="0"/>
                <w:szCs w:val="21"/>
              </w:rPr>
            </w:pPr>
          </w:p>
        </w:tc>
        <w:tc>
          <w:tcPr>
            <w:tcW w:w="1984" w:type="dxa"/>
            <w:tcBorders>
              <w:top w:val="single" w:sz="4" w:space="0" w:color="auto"/>
            </w:tcBorders>
            <w:vAlign w:val="center"/>
          </w:tcPr>
          <w:p w14:paraId="2FCC15AB" w14:textId="77777777" w:rsidR="00B14D53" w:rsidRDefault="00000000">
            <w:pPr>
              <w:jc w:val="center"/>
              <w:rPr>
                <w:rFonts w:eastAsiaTheme="minorEastAsia" w:hAnsiTheme="minorEastAsia" w:hint="eastAsia"/>
                <w:kern w:val="0"/>
                <w:szCs w:val="21"/>
              </w:rPr>
            </w:pPr>
            <w:r>
              <w:rPr>
                <w:rFonts w:eastAsiaTheme="minorEastAsia"/>
                <w:kern w:val="0"/>
                <w:szCs w:val="21"/>
              </w:rPr>
              <w:t>24</w:t>
            </w:r>
            <w:r>
              <w:rPr>
                <w:rFonts w:eastAsiaTheme="minorEastAsia" w:hAnsiTheme="minorEastAsia"/>
                <w:kern w:val="0"/>
                <w:szCs w:val="21"/>
              </w:rPr>
              <w:t>小时平均</w:t>
            </w:r>
          </w:p>
        </w:tc>
        <w:tc>
          <w:tcPr>
            <w:tcW w:w="680" w:type="dxa"/>
            <w:tcBorders>
              <w:top w:val="single" w:sz="4" w:space="0" w:color="auto"/>
            </w:tcBorders>
            <w:vAlign w:val="center"/>
          </w:tcPr>
          <w:p w14:paraId="436803CF" w14:textId="77777777" w:rsidR="00B14D53" w:rsidRDefault="00000000">
            <w:pPr>
              <w:widowControl/>
              <w:jc w:val="center"/>
              <w:rPr>
                <w:rFonts w:eastAsiaTheme="minorEastAsia"/>
                <w:kern w:val="0"/>
                <w:szCs w:val="21"/>
              </w:rPr>
            </w:pPr>
            <w:r>
              <w:rPr>
                <w:rFonts w:eastAsiaTheme="minorEastAsia" w:hint="eastAsia"/>
                <w:kern w:val="0"/>
                <w:szCs w:val="21"/>
              </w:rPr>
              <w:t>3</w:t>
            </w:r>
            <w:r>
              <w:rPr>
                <w:rFonts w:eastAsiaTheme="minorEastAsia"/>
                <w:kern w:val="0"/>
                <w:szCs w:val="21"/>
              </w:rPr>
              <w:t>00</w:t>
            </w:r>
          </w:p>
        </w:tc>
      </w:tr>
      <w:tr w:rsidR="00B14D53" w14:paraId="4DD594C2" w14:textId="77777777">
        <w:trPr>
          <w:gridAfter w:val="2"/>
          <w:wAfter w:w="133" w:type="dxa"/>
          <w:trHeight w:val="116"/>
          <w:jc w:val="center"/>
        </w:trPr>
        <w:tc>
          <w:tcPr>
            <w:tcW w:w="731" w:type="dxa"/>
            <w:vMerge/>
            <w:vAlign w:val="center"/>
          </w:tcPr>
          <w:p w14:paraId="6F0585CE" w14:textId="77777777" w:rsidR="00B14D53" w:rsidRDefault="00B14D53">
            <w:pPr>
              <w:widowControl/>
              <w:jc w:val="left"/>
              <w:rPr>
                <w:rFonts w:eastAsiaTheme="minorEastAsia"/>
                <w:kern w:val="0"/>
                <w:szCs w:val="21"/>
              </w:rPr>
            </w:pPr>
          </w:p>
        </w:tc>
        <w:tc>
          <w:tcPr>
            <w:tcW w:w="2689" w:type="dxa"/>
            <w:vMerge/>
            <w:vAlign w:val="center"/>
          </w:tcPr>
          <w:p w14:paraId="41EB23C0" w14:textId="77777777" w:rsidR="00B14D53" w:rsidRDefault="00B14D53">
            <w:pPr>
              <w:widowControl/>
              <w:jc w:val="left"/>
              <w:rPr>
                <w:rFonts w:eastAsiaTheme="minorEastAsia"/>
                <w:kern w:val="0"/>
                <w:szCs w:val="21"/>
              </w:rPr>
            </w:pPr>
          </w:p>
        </w:tc>
        <w:tc>
          <w:tcPr>
            <w:tcW w:w="1137" w:type="dxa"/>
            <w:vMerge/>
            <w:vAlign w:val="center"/>
          </w:tcPr>
          <w:p w14:paraId="74C75696" w14:textId="77777777" w:rsidR="00B14D53" w:rsidRDefault="00B14D53">
            <w:pPr>
              <w:widowControl/>
              <w:jc w:val="left"/>
              <w:rPr>
                <w:rFonts w:eastAsiaTheme="minorEastAsia"/>
                <w:kern w:val="0"/>
                <w:szCs w:val="21"/>
              </w:rPr>
            </w:pPr>
          </w:p>
        </w:tc>
        <w:tc>
          <w:tcPr>
            <w:tcW w:w="993" w:type="dxa"/>
            <w:vMerge/>
            <w:vAlign w:val="center"/>
          </w:tcPr>
          <w:p w14:paraId="1E51B088" w14:textId="77777777" w:rsidR="00B14D53" w:rsidRDefault="00B14D53">
            <w:pPr>
              <w:widowControl/>
              <w:jc w:val="left"/>
              <w:rPr>
                <w:rFonts w:eastAsiaTheme="minorEastAsia"/>
                <w:kern w:val="0"/>
                <w:szCs w:val="21"/>
              </w:rPr>
            </w:pPr>
          </w:p>
        </w:tc>
        <w:tc>
          <w:tcPr>
            <w:tcW w:w="1984" w:type="dxa"/>
            <w:tcBorders>
              <w:top w:val="single" w:sz="4" w:space="0" w:color="auto"/>
            </w:tcBorders>
            <w:vAlign w:val="center"/>
          </w:tcPr>
          <w:p w14:paraId="3EEE0495" w14:textId="77777777" w:rsidR="00B14D53" w:rsidRDefault="00000000">
            <w:pPr>
              <w:jc w:val="center"/>
              <w:rPr>
                <w:rFonts w:eastAsiaTheme="minorEastAsia" w:hAnsiTheme="minorEastAsia" w:hint="eastAsia"/>
                <w:kern w:val="0"/>
                <w:szCs w:val="21"/>
              </w:rPr>
            </w:pPr>
            <w:r>
              <w:rPr>
                <w:rFonts w:eastAsiaTheme="minorEastAsia" w:hAnsiTheme="minorEastAsia"/>
                <w:kern w:val="0"/>
                <w:szCs w:val="21"/>
              </w:rPr>
              <w:t>年平均</w:t>
            </w:r>
          </w:p>
        </w:tc>
        <w:tc>
          <w:tcPr>
            <w:tcW w:w="680" w:type="dxa"/>
            <w:tcBorders>
              <w:top w:val="single" w:sz="4" w:space="0" w:color="auto"/>
            </w:tcBorders>
            <w:vAlign w:val="center"/>
          </w:tcPr>
          <w:p w14:paraId="4C32A44A" w14:textId="77777777" w:rsidR="00B14D53" w:rsidRDefault="00000000">
            <w:pPr>
              <w:widowControl/>
              <w:jc w:val="center"/>
              <w:rPr>
                <w:rFonts w:eastAsiaTheme="minorEastAsia"/>
                <w:kern w:val="0"/>
                <w:szCs w:val="21"/>
              </w:rPr>
            </w:pPr>
            <w:r>
              <w:rPr>
                <w:rFonts w:eastAsiaTheme="minorEastAsia" w:hint="eastAsia"/>
                <w:kern w:val="0"/>
                <w:szCs w:val="21"/>
              </w:rPr>
              <w:t>2</w:t>
            </w:r>
            <w:r>
              <w:rPr>
                <w:rFonts w:eastAsiaTheme="minorEastAsia"/>
                <w:kern w:val="0"/>
                <w:szCs w:val="21"/>
              </w:rPr>
              <w:t>00</w:t>
            </w:r>
          </w:p>
        </w:tc>
      </w:tr>
      <w:tr w:rsidR="00B14D53" w14:paraId="4B4A1F04" w14:textId="77777777">
        <w:trPr>
          <w:gridAfter w:val="2"/>
          <w:wAfter w:w="133" w:type="dxa"/>
          <w:trHeight w:val="395"/>
          <w:jc w:val="center"/>
        </w:trPr>
        <w:tc>
          <w:tcPr>
            <w:tcW w:w="731" w:type="dxa"/>
            <w:vMerge/>
            <w:vAlign w:val="center"/>
          </w:tcPr>
          <w:p w14:paraId="15B8A335" w14:textId="77777777" w:rsidR="00B14D53" w:rsidRDefault="00B14D53">
            <w:pPr>
              <w:pStyle w:val="af2"/>
              <w:spacing w:after="0"/>
            </w:pPr>
          </w:p>
        </w:tc>
        <w:tc>
          <w:tcPr>
            <w:tcW w:w="2689" w:type="dxa"/>
            <w:vMerge w:val="restart"/>
            <w:vAlign w:val="center"/>
          </w:tcPr>
          <w:p w14:paraId="6759DBBA" w14:textId="77777777" w:rsidR="00B14D53" w:rsidRDefault="00000000">
            <w:pPr>
              <w:widowControl/>
              <w:jc w:val="center"/>
              <w:rPr>
                <w:rFonts w:eastAsiaTheme="minorEastAsia"/>
                <w:kern w:val="0"/>
                <w:szCs w:val="21"/>
              </w:rPr>
            </w:pPr>
            <w:r>
              <w:rPr>
                <w:rFonts w:eastAsiaTheme="minorEastAsia" w:hAnsiTheme="minorEastAsia"/>
                <w:kern w:val="0"/>
                <w:szCs w:val="21"/>
              </w:rPr>
              <w:t>《环境影响评价技术导则</w:t>
            </w:r>
            <w:r>
              <w:rPr>
                <w:rFonts w:eastAsiaTheme="minorEastAsia"/>
                <w:kern w:val="0"/>
                <w:szCs w:val="21"/>
              </w:rPr>
              <w:t xml:space="preserve"> </w:t>
            </w:r>
            <w:r>
              <w:rPr>
                <w:rFonts w:eastAsiaTheme="minorEastAsia" w:hAnsiTheme="minorEastAsia"/>
                <w:kern w:val="0"/>
                <w:szCs w:val="21"/>
              </w:rPr>
              <w:t>大气环境》（</w:t>
            </w:r>
            <w:r>
              <w:rPr>
                <w:rFonts w:eastAsiaTheme="minorEastAsia"/>
                <w:kern w:val="0"/>
                <w:szCs w:val="21"/>
              </w:rPr>
              <w:t>HJ 2.2-2018</w:t>
            </w:r>
            <w:r>
              <w:rPr>
                <w:rFonts w:eastAsiaTheme="minorEastAsia" w:hAnsiTheme="minorEastAsia"/>
                <w:kern w:val="0"/>
                <w:szCs w:val="21"/>
              </w:rPr>
              <w:t>）附录</w:t>
            </w:r>
            <w:r>
              <w:rPr>
                <w:rFonts w:eastAsiaTheme="minorEastAsia"/>
                <w:kern w:val="0"/>
                <w:szCs w:val="21"/>
              </w:rPr>
              <w:t>D</w:t>
            </w:r>
            <w:r>
              <w:rPr>
                <w:rFonts w:eastAsiaTheme="minorEastAsia" w:hAnsiTheme="minorEastAsia"/>
                <w:kern w:val="0"/>
                <w:szCs w:val="21"/>
              </w:rPr>
              <w:t>标准</w:t>
            </w:r>
          </w:p>
        </w:tc>
        <w:tc>
          <w:tcPr>
            <w:tcW w:w="1137" w:type="dxa"/>
            <w:vAlign w:val="center"/>
          </w:tcPr>
          <w:p w14:paraId="7D4F669A" w14:textId="77777777" w:rsidR="00B14D53" w:rsidRDefault="00000000">
            <w:pPr>
              <w:widowControl/>
              <w:jc w:val="center"/>
              <w:rPr>
                <w:rFonts w:eastAsiaTheme="minorEastAsia"/>
                <w:kern w:val="0"/>
                <w:szCs w:val="21"/>
                <w:vertAlign w:val="subscript"/>
              </w:rPr>
            </w:pPr>
            <w:r>
              <w:rPr>
                <w:rFonts w:eastAsiaTheme="minorEastAsia"/>
                <w:kern w:val="0"/>
                <w:szCs w:val="21"/>
              </w:rPr>
              <w:t>NH</w:t>
            </w:r>
            <w:r>
              <w:rPr>
                <w:rFonts w:eastAsiaTheme="minorEastAsia"/>
                <w:kern w:val="0"/>
                <w:szCs w:val="21"/>
                <w:vertAlign w:val="subscript"/>
              </w:rPr>
              <w:t>3</w:t>
            </w:r>
          </w:p>
        </w:tc>
        <w:tc>
          <w:tcPr>
            <w:tcW w:w="993" w:type="dxa"/>
            <w:vMerge w:val="restart"/>
            <w:vAlign w:val="center"/>
          </w:tcPr>
          <w:p w14:paraId="6A2021B2" w14:textId="77777777" w:rsidR="00B14D53" w:rsidRDefault="00000000">
            <w:pPr>
              <w:widowControl/>
              <w:jc w:val="center"/>
              <w:rPr>
                <w:rFonts w:eastAsiaTheme="minorEastAsia"/>
                <w:kern w:val="0"/>
                <w:szCs w:val="21"/>
              </w:rPr>
            </w:pPr>
            <w:r>
              <w:rPr>
                <w:rFonts w:eastAsiaTheme="minorEastAsia"/>
                <w:kern w:val="0"/>
                <w:szCs w:val="21"/>
              </w:rPr>
              <w:t>μg/m</w:t>
            </w:r>
            <w:r>
              <w:rPr>
                <w:rFonts w:eastAsiaTheme="minorEastAsia"/>
                <w:kern w:val="0"/>
                <w:szCs w:val="21"/>
                <w:vertAlign w:val="superscript"/>
              </w:rPr>
              <w:t>3</w:t>
            </w:r>
          </w:p>
        </w:tc>
        <w:tc>
          <w:tcPr>
            <w:tcW w:w="1984" w:type="dxa"/>
            <w:vAlign w:val="center"/>
          </w:tcPr>
          <w:p w14:paraId="6DB99E53" w14:textId="77777777" w:rsidR="00B14D53" w:rsidRDefault="00000000">
            <w:pPr>
              <w:widowControl/>
              <w:jc w:val="center"/>
              <w:rPr>
                <w:rFonts w:eastAsiaTheme="minorEastAsia"/>
                <w:kern w:val="0"/>
                <w:szCs w:val="21"/>
              </w:rPr>
            </w:pPr>
            <w:r>
              <w:rPr>
                <w:rFonts w:eastAsiaTheme="minorEastAsia"/>
                <w:kern w:val="0"/>
                <w:szCs w:val="21"/>
              </w:rPr>
              <w:t>1</w:t>
            </w:r>
            <w:r>
              <w:rPr>
                <w:rFonts w:eastAsiaTheme="minorEastAsia" w:hAnsiTheme="minorEastAsia"/>
                <w:kern w:val="0"/>
                <w:szCs w:val="21"/>
              </w:rPr>
              <w:t>小时平均</w:t>
            </w:r>
          </w:p>
        </w:tc>
        <w:tc>
          <w:tcPr>
            <w:tcW w:w="680" w:type="dxa"/>
            <w:vAlign w:val="center"/>
          </w:tcPr>
          <w:p w14:paraId="04FBCF3E" w14:textId="77777777" w:rsidR="00B14D53" w:rsidRDefault="00000000">
            <w:pPr>
              <w:widowControl/>
              <w:jc w:val="center"/>
              <w:rPr>
                <w:rFonts w:eastAsiaTheme="minorEastAsia"/>
                <w:kern w:val="0"/>
                <w:szCs w:val="21"/>
              </w:rPr>
            </w:pPr>
            <w:r>
              <w:rPr>
                <w:rFonts w:eastAsiaTheme="minorEastAsia"/>
                <w:kern w:val="0"/>
                <w:szCs w:val="21"/>
              </w:rPr>
              <w:t>200</w:t>
            </w:r>
          </w:p>
        </w:tc>
      </w:tr>
      <w:tr w:rsidR="00B14D53" w14:paraId="1413EC3C" w14:textId="77777777">
        <w:trPr>
          <w:gridAfter w:val="2"/>
          <w:wAfter w:w="133" w:type="dxa"/>
          <w:trHeight w:val="98"/>
          <w:jc w:val="center"/>
        </w:trPr>
        <w:tc>
          <w:tcPr>
            <w:tcW w:w="731" w:type="dxa"/>
            <w:vMerge/>
            <w:vAlign w:val="center"/>
          </w:tcPr>
          <w:p w14:paraId="7594BDB5" w14:textId="77777777" w:rsidR="00B14D53" w:rsidRDefault="00B14D53">
            <w:pPr>
              <w:widowControl/>
              <w:jc w:val="left"/>
              <w:rPr>
                <w:rFonts w:eastAsiaTheme="minorEastAsia"/>
                <w:kern w:val="0"/>
                <w:szCs w:val="21"/>
              </w:rPr>
            </w:pPr>
          </w:p>
        </w:tc>
        <w:tc>
          <w:tcPr>
            <w:tcW w:w="2689" w:type="dxa"/>
            <w:vMerge/>
            <w:vAlign w:val="center"/>
          </w:tcPr>
          <w:p w14:paraId="663EC01D" w14:textId="77777777" w:rsidR="00B14D53" w:rsidRDefault="00B14D53">
            <w:pPr>
              <w:widowControl/>
              <w:jc w:val="left"/>
              <w:rPr>
                <w:rFonts w:eastAsiaTheme="minorEastAsia"/>
                <w:kern w:val="0"/>
                <w:szCs w:val="21"/>
              </w:rPr>
            </w:pPr>
          </w:p>
        </w:tc>
        <w:tc>
          <w:tcPr>
            <w:tcW w:w="1137" w:type="dxa"/>
            <w:vAlign w:val="center"/>
          </w:tcPr>
          <w:p w14:paraId="105D0004" w14:textId="77777777" w:rsidR="00B14D53" w:rsidRDefault="00000000">
            <w:pPr>
              <w:widowControl/>
              <w:jc w:val="center"/>
              <w:rPr>
                <w:rFonts w:eastAsiaTheme="minorEastAsia"/>
                <w:kern w:val="0"/>
                <w:szCs w:val="21"/>
              </w:rPr>
            </w:pPr>
            <w:r>
              <w:rPr>
                <w:rFonts w:eastAsiaTheme="minorEastAsia"/>
                <w:kern w:val="0"/>
                <w:szCs w:val="21"/>
              </w:rPr>
              <w:t>H</w:t>
            </w:r>
            <w:r>
              <w:rPr>
                <w:rFonts w:eastAsiaTheme="minorEastAsia"/>
                <w:kern w:val="0"/>
                <w:szCs w:val="21"/>
                <w:vertAlign w:val="subscript"/>
              </w:rPr>
              <w:t>2</w:t>
            </w:r>
            <w:r>
              <w:rPr>
                <w:rFonts w:eastAsiaTheme="minorEastAsia"/>
                <w:kern w:val="0"/>
                <w:szCs w:val="21"/>
              </w:rPr>
              <w:t>S</w:t>
            </w:r>
          </w:p>
        </w:tc>
        <w:tc>
          <w:tcPr>
            <w:tcW w:w="993" w:type="dxa"/>
            <w:vMerge/>
            <w:vAlign w:val="center"/>
          </w:tcPr>
          <w:p w14:paraId="5AD64702" w14:textId="77777777" w:rsidR="00B14D53" w:rsidRDefault="00B14D53">
            <w:pPr>
              <w:widowControl/>
              <w:jc w:val="left"/>
              <w:rPr>
                <w:rFonts w:eastAsiaTheme="minorEastAsia"/>
                <w:kern w:val="0"/>
                <w:szCs w:val="21"/>
              </w:rPr>
            </w:pPr>
          </w:p>
        </w:tc>
        <w:tc>
          <w:tcPr>
            <w:tcW w:w="1984" w:type="dxa"/>
            <w:vAlign w:val="center"/>
          </w:tcPr>
          <w:p w14:paraId="696F0259" w14:textId="77777777" w:rsidR="00B14D53" w:rsidRDefault="00000000">
            <w:pPr>
              <w:widowControl/>
              <w:jc w:val="center"/>
              <w:rPr>
                <w:rFonts w:eastAsiaTheme="minorEastAsia"/>
                <w:kern w:val="0"/>
                <w:szCs w:val="21"/>
              </w:rPr>
            </w:pPr>
            <w:r>
              <w:rPr>
                <w:rFonts w:eastAsiaTheme="minorEastAsia"/>
                <w:kern w:val="0"/>
                <w:szCs w:val="21"/>
              </w:rPr>
              <w:t>1</w:t>
            </w:r>
            <w:r>
              <w:rPr>
                <w:rFonts w:eastAsiaTheme="minorEastAsia" w:hAnsiTheme="minorEastAsia"/>
                <w:kern w:val="0"/>
                <w:szCs w:val="21"/>
              </w:rPr>
              <w:t>小时平均</w:t>
            </w:r>
          </w:p>
        </w:tc>
        <w:tc>
          <w:tcPr>
            <w:tcW w:w="680" w:type="dxa"/>
            <w:vAlign w:val="center"/>
          </w:tcPr>
          <w:p w14:paraId="62B9FC60" w14:textId="77777777" w:rsidR="00B14D53" w:rsidRDefault="00000000">
            <w:pPr>
              <w:widowControl/>
              <w:jc w:val="center"/>
              <w:rPr>
                <w:rFonts w:eastAsiaTheme="minorEastAsia"/>
                <w:kern w:val="0"/>
                <w:szCs w:val="21"/>
              </w:rPr>
            </w:pPr>
            <w:r>
              <w:rPr>
                <w:rFonts w:eastAsiaTheme="minorEastAsia"/>
                <w:kern w:val="0"/>
                <w:szCs w:val="21"/>
              </w:rPr>
              <w:t>10</w:t>
            </w:r>
          </w:p>
        </w:tc>
      </w:tr>
      <w:tr w:rsidR="00B14D53" w14:paraId="34551B55" w14:textId="77777777">
        <w:trPr>
          <w:trHeight w:val="98"/>
          <w:jc w:val="center"/>
        </w:trPr>
        <w:tc>
          <w:tcPr>
            <w:tcW w:w="731" w:type="dxa"/>
            <w:vMerge w:val="restart"/>
            <w:vAlign w:val="center"/>
          </w:tcPr>
          <w:p w14:paraId="5B5A68DA" w14:textId="77777777" w:rsidR="00B14D53" w:rsidRDefault="00000000">
            <w:pPr>
              <w:contextualSpacing/>
              <w:jc w:val="center"/>
              <w:rPr>
                <w:rFonts w:eastAsiaTheme="minorEastAsia"/>
                <w:kern w:val="0"/>
                <w:szCs w:val="21"/>
              </w:rPr>
            </w:pPr>
            <w:r>
              <w:rPr>
                <w:rFonts w:eastAsiaTheme="minorEastAsia" w:hAnsiTheme="minorEastAsia"/>
                <w:kern w:val="0"/>
                <w:szCs w:val="21"/>
              </w:rPr>
              <w:t>地表水</w:t>
            </w:r>
          </w:p>
        </w:tc>
        <w:tc>
          <w:tcPr>
            <w:tcW w:w="2689" w:type="dxa"/>
            <w:vMerge w:val="restart"/>
            <w:vAlign w:val="center"/>
          </w:tcPr>
          <w:p w14:paraId="36754FBC" w14:textId="77777777" w:rsidR="00B14D53" w:rsidRDefault="00000000">
            <w:pPr>
              <w:contextualSpacing/>
              <w:jc w:val="center"/>
              <w:rPr>
                <w:rFonts w:eastAsiaTheme="minorEastAsia"/>
                <w:kern w:val="0"/>
                <w:szCs w:val="21"/>
              </w:rPr>
            </w:pPr>
            <w:r>
              <w:rPr>
                <w:rFonts w:eastAsiaTheme="minorEastAsia"/>
                <w:kern w:val="0"/>
                <w:szCs w:val="21"/>
              </w:rPr>
              <w:t>《地表水环境质量标准》（</w:t>
            </w:r>
            <w:r>
              <w:rPr>
                <w:rFonts w:eastAsiaTheme="minorEastAsia"/>
                <w:kern w:val="0"/>
                <w:szCs w:val="21"/>
              </w:rPr>
              <w:t>GB3838-2002</w:t>
            </w:r>
            <w:r>
              <w:rPr>
                <w:rFonts w:eastAsiaTheme="minorEastAsia"/>
                <w:kern w:val="0"/>
                <w:szCs w:val="21"/>
              </w:rPr>
              <w:t>）</w:t>
            </w:r>
            <w:r>
              <w:rPr>
                <w:rFonts w:eastAsiaTheme="minorEastAsia"/>
                <w:kern w:val="0"/>
                <w:szCs w:val="21"/>
              </w:rPr>
              <w:t>Ⅲ</w:t>
            </w:r>
            <w:r>
              <w:rPr>
                <w:rFonts w:eastAsiaTheme="minorEastAsia"/>
                <w:kern w:val="0"/>
                <w:szCs w:val="21"/>
              </w:rPr>
              <w:t>类</w:t>
            </w:r>
          </w:p>
        </w:tc>
        <w:tc>
          <w:tcPr>
            <w:tcW w:w="1137" w:type="dxa"/>
            <w:vAlign w:val="center"/>
          </w:tcPr>
          <w:p w14:paraId="4D809F49" w14:textId="77777777" w:rsidR="00B14D53" w:rsidRDefault="00000000">
            <w:pPr>
              <w:contextualSpacing/>
              <w:jc w:val="center"/>
              <w:rPr>
                <w:rFonts w:eastAsiaTheme="minorEastAsia"/>
                <w:kern w:val="0"/>
                <w:szCs w:val="21"/>
              </w:rPr>
            </w:pPr>
            <w:r>
              <w:rPr>
                <w:kern w:val="0"/>
                <w:szCs w:val="21"/>
              </w:rPr>
              <w:t>pH</w:t>
            </w:r>
          </w:p>
        </w:tc>
        <w:tc>
          <w:tcPr>
            <w:tcW w:w="993" w:type="dxa"/>
            <w:vAlign w:val="center"/>
          </w:tcPr>
          <w:p w14:paraId="5A6B9201" w14:textId="77777777" w:rsidR="00B14D53" w:rsidRDefault="00000000">
            <w:pPr>
              <w:contextualSpacing/>
              <w:jc w:val="center"/>
              <w:rPr>
                <w:rFonts w:eastAsiaTheme="minorEastAsia"/>
                <w:kern w:val="0"/>
                <w:szCs w:val="21"/>
              </w:rPr>
            </w:pPr>
            <w:r>
              <w:rPr>
                <w:rFonts w:eastAsiaTheme="minorEastAsia" w:hAnsiTheme="minorEastAsia"/>
                <w:kern w:val="0"/>
                <w:szCs w:val="21"/>
              </w:rPr>
              <w:t>无量纲</w:t>
            </w:r>
          </w:p>
        </w:tc>
        <w:tc>
          <w:tcPr>
            <w:tcW w:w="2797" w:type="dxa"/>
            <w:gridSpan w:val="4"/>
            <w:vAlign w:val="center"/>
          </w:tcPr>
          <w:p w14:paraId="6BCD0C13" w14:textId="77777777" w:rsidR="00B14D53" w:rsidRDefault="00000000">
            <w:pPr>
              <w:contextualSpacing/>
              <w:jc w:val="center"/>
              <w:rPr>
                <w:rFonts w:eastAsiaTheme="minorEastAsia"/>
                <w:kern w:val="0"/>
                <w:szCs w:val="21"/>
              </w:rPr>
            </w:pPr>
            <w:r>
              <w:rPr>
                <w:rFonts w:eastAsiaTheme="minorEastAsia"/>
                <w:kern w:val="0"/>
                <w:szCs w:val="21"/>
              </w:rPr>
              <w:t>6~9</w:t>
            </w:r>
          </w:p>
        </w:tc>
      </w:tr>
      <w:tr w:rsidR="00B14D53" w14:paraId="02D635BC" w14:textId="77777777">
        <w:trPr>
          <w:trHeight w:val="98"/>
          <w:jc w:val="center"/>
        </w:trPr>
        <w:tc>
          <w:tcPr>
            <w:tcW w:w="731" w:type="dxa"/>
            <w:vMerge/>
            <w:vAlign w:val="center"/>
          </w:tcPr>
          <w:p w14:paraId="40064B0B" w14:textId="77777777" w:rsidR="00B14D53" w:rsidRDefault="00B14D53">
            <w:pPr>
              <w:widowControl/>
              <w:contextualSpacing/>
              <w:jc w:val="left"/>
              <w:rPr>
                <w:rFonts w:eastAsiaTheme="minorEastAsia"/>
                <w:kern w:val="0"/>
                <w:szCs w:val="21"/>
              </w:rPr>
            </w:pPr>
          </w:p>
        </w:tc>
        <w:tc>
          <w:tcPr>
            <w:tcW w:w="2689" w:type="dxa"/>
            <w:vMerge/>
            <w:vAlign w:val="center"/>
          </w:tcPr>
          <w:p w14:paraId="4C79C38E" w14:textId="77777777" w:rsidR="00B14D53" w:rsidRDefault="00B14D53">
            <w:pPr>
              <w:widowControl/>
              <w:contextualSpacing/>
              <w:jc w:val="left"/>
              <w:rPr>
                <w:rFonts w:eastAsiaTheme="minorEastAsia"/>
                <w:kern w:val="0"/>
                <w:szCs w:val="21"/>
              </w:rPr>
            </w:pPr>
          </w:p>
        </w:tc>
        <w:tc>
          <w:tcPr>
            <w:tcW w:w="1137" w:type="dxa"/>
            <w:vAlign w:val="center"/>
          </w:tcPr>
          <w:p w14:paraId="76500143" w14:textId="77777777" w:rsidR="00B14D53" w:rsidRDefault="00000000">
            <w:pPr>
              <w:contextualSpacing/>
              <w:jc w:val="center"/>
              <w:rPr>
                <w:rFonts w:eastAsiaTheme="minorEastAsia"/>
                <w:kern w:val="0"/>
                <w:szCs w:val="21"/>
              </w:rPr>
            </w:pPr>
            <w:r>
              <w:rPr>
                <w:kern w:val="0"/>
                <w:szCs w:val="21"/>
              </w:rPr>
              <w:t>COD</w:t>
            </w:r>
          </w:p>
        </w:tc>
        <w:tc>
          <w:tcPr>
            <w:tcW w:w="993" w:type="dxa"/>
            <w:vMerge w:val="restart"/>
            <w:vAlign w:val="center"/>
          </w:tcPr>
          <w:p w14:paraId="764D7002" w14:textId="77777777" w:rsidR="00B14D53" w:rsidRDefault="00000000">
            <w:pPr>
              <w:contextualSpacing/>
              <w:jc w:val="center"/>
              <w:rPr>
                <w:rFonts w:eastAsiaTheme="minorEastAsia"/>
                <w:kern w:val="0"/>
                <w:szCs w:val="21"/>
              </w:rPr>
            </w:pPr>
            <w:r>
              <w:rPr>
                <w:rFonts w:eastAsiaTheme="minorEastAsia"/>
                <w:kern w:val="0"/>
                <w:szCs w:val="21"/>
              </w:rPr>
              <w:t>mg/L</w:t>
            </w:r>
          </w:p>
        </w:tc>
        <w:tc>
          <w:tcPr>
            <w:tcW w:w="2797" w:type="dxa"/>
            <w:gridSpan w:val="4"/>
            <w:vAlign w:val="center"/>
          </w:tcPr>
          <w:p w14:paraId="13CEE28F" w14:textId="77777777" w:rsidR="00B14D53" w:rsidRDefault="00000000">
            <w:pPr>
              <w:contextualSpacing/>
              <w:jc w:val="center"/>
              <w:rPr>
                <w:rFonts w:eastAsiaTheme="minorEastAsia"/>
                <w:kern w:val="0"/>
                <w:szCs w:val="21"/>
              </w:rPr>
            </w:pPr>
            <w:r>
              <w:rPr>
                <w:rFonts w:eastAsiaTheme="minorEastAsia"/>
                <w:szCs w:val="21"/>
              </w:rPr>
              <w:t>≤20</w:t>
            </w:r>
          </w:p>
        </w:tc>
      </w:tr>
      <w:tr w:rsidR="00B14D53" w14:paraId="1749F24B" w14:textId="77777777">
        <w:trPr>
          <w:trHeight w:val="98"/>
          <w:jc w:val="center"/>
        </w:trPr>
        <w:tc>
          <w:tcPr>
            <w:tcW w:w="731" w:type="dxa"/>
            <w:vMerge/>
            <w:vAlign w:val="center"/>
          </w:tcPr>
          <w:p w14:paraId="6ED82019" w14:textId="77777777" w:rsidR="00B14D53" w:rsidRDefault="00B14D53">
            <w:pPr>
              <w:widowControl/>
              <w:contextualSpacing/>
              <w:jc w:val="left"/>
              <w:rPr>
                <w:rFonts w:eastAsiaTheme="minorEastAsia"/>
                <w:kern w:val="0"/>
                <w:szCs w:val="21"/>
              </w:rPr>
            </w:pPr>
          </w:p>
        </w:tc>
        <w:tc>
          <w:tcPr>
            <w:tcW w:w="2689" w:type="dxa"/>
            <w:vMerge/>
            <w:vAlign w:val="center"/>
          </w:tcPr>
          <w:p w14:paraId="74543EC4" w14:textId="77777777" w:rsidR="00B14D53" w:rsidRDefault="00B14D53">
            <w:pPr>
              <w:widowControl/>
              <w:contextualSpacing/>
              <w:jc w:val="left"/>
              <w:rPr>
                <w:rFonts w:eastAsiaTheme="minorEastAsia"/>
                <w:kern w:val="0"/>
                <w:szCs w:val="21"/>
              </w:rPr>
            </w:pPr>
          </w:p>
        </w:tc>
        <w:tc>
          <w:tcPr>
            <w:tcW w:w="1137" w:type="dxa"/>
            <w:vAlign w:val="center"/>
          </w:tcPr>
          <w:p w14:paraId="5EF8D452" w14:textId="77777777" w:rsidR="00B14D53" w:rsidRDefault="00000000">
            <w:pPr>
              <w:contextualSpacing/>
              <w:jc w:val="center"/>
              <w:rPr>
                <w:rFonts w:eastAsiaTheme="minorEastAsia"/>
                <w:kern w:val="0"/>
                <w:szCs w:val="21"/>
              </w:rPr>
            </w:pPr>
            <w:r>
              <w:rPr>
                <w:spacing w:val="22"/>
                <w:kern w:val="0"/>
                <w:szCs w:val="21"/>
              </w:rPr>
              <w:t>NH</w:t>
            </w:r>
            <w:r>
              <w:rPr>
                <w:spacing w:val="22"/>
                <w:kern w:val="0"/>
                <w:szCs w:val="21"/>
                <w:vertAlign w:val="subscript"/>
              </w:rPr>
              <w:t>3</w:t>
            </w:r>
            <w:r>
              <w:rPr>
                <w:spacing w:val="22"/>
                <w:kern w:val="0"/>
                <w:szCs w:val="21"/>
              </w:rPr>
              <w:t>-N</w:t>
            </w:r>
          </w:p>
        </w:tc>
        <w:tc>
          <w:tcPr>
            <w:tcW w:w="993" w:type="dxa"/>
            <w:vMerge/>
            <w:vAlign w:val="center"/>
          </w:tcPr>
          <w:p w14:paraId="0AF63605" w14:textId="77777777" w:rsidR="00B14D53" w:rsidRDefault="00B14D53">
            <w:pPr>
              <w:widowControl/>
              <w:contextualSpacing/>
              <w:jc w:val="left"/>
              <w:rPr>
                <w:rFonts w:eastAsiaTheme="minorEastAsia"/>
                <w:kern w:val="0"/>
                <w:szCs w:val="21"/>
              </w:rPr>
            </w:pPr>
          </w:p>
        </w:tc>
        <w:tc>
          <w:tcPr>
            <w:tcW w:w="2797" w:type="dxa"/>
            <w:gridSpan w:val="4"/>
            <w:vAlign w:val="center"/>
          </w:tcPr>
          <w:p w14:paraId="22830455" w14:textId="77777777" w:rsidR="00B14D53" w:rsidRDefault="00000000">
            <w:pPr>
              <w:contextualSpacing/>
              <w:jc w:val="center"/>
              <w:rPr>
                <w:rFonts w:eastAsiaTheme="minorEastAsia"/>
                <w:kern w:val="0"/>
                <w:szCs w:val="21"/>
              </w:rPr>
            </w:pPr>
            <w:r>
              <w:rPr>
                <w:rFonts w:eastAsiaTheme="minorEastAsia"/>
                <w:szCs w:val="21"/>
              </w:rPr>
              <w:t>≤1.0</w:t>
            </w:r>
          </w:p>
        </w:tc>
      </w:tr>
      <w:tr w:rsidR="00B14D53" w14:paraId="6C7BB5CA" w14:textId="77777777">
        <w:trPr>
          <w:trHeight w:val="98"/>
          <w:jc w:val="center"/>
        </w:trPr>
        <w:tc>
          <w:tcPr>
            <w:tcW w:w="731" w:type="dxa"/>
            <w:vMerge/>
            <w:vAlign w:val="center"/>
          </w:tcPr>
          <w:p w14:paraId="0AE0F0AE" w14:textId="77777777" w:rsidR="00B14D53" w:rsidRDefault="00B14D53">
            <w:pPr>
              <w:widowControl/>
              <w:contextualSpacing/>
              <w:jc w:val="left"/>
              <w:rPr>
                <w:rFonts w:eastAsiaTheme="minorEastAsia"/>
                <w:kern w:val="0"/>
                <w:szCs w:val="21"/>
              </w:rPr>
            </w:pPr>
          </w:p>
        </w:tc>
        <w:tc>
          <w:tcPr>
            <w:tcW w:w="2689" w:type="dxa"/>
            <w:vMerge/>
            <w:vAlign w:val="center"/>
          </w:tcPr>
          <w:p w14:paraId="727DF6FC" w14:textId="77777777" w:rsidR="00B14D53" w:rsidRDefault="00B14D53">
            <w:pPr>
              <w:widowControl/>
              <w:contextualSpacing/>
              <w:jc w:val="left"/>
              <w:rPr>
                <w:rFonts w:eastAsiaTheme="minorEastAsia"/>
                <w:kern w:val="0"/>
                <w:szCs w:val="21"/>
              </w:rPr>
            </w:pPr>
          </w:p>
        </w:tc>
        <w:tc>
          <w:tcPr>
            <w:tcW w:w="1137" w:type="dxa"/>
            <w:vAlign w:val="center"/>
          </w:tcPr>
          <w:p w14:paraId="65790F17" w14:textId="77777777" w:rsidR="00B14D53" w:rsidRDefault="00000000">
            <w:pPr>
              <w:autoSpaceDE w:val="0"/>
              <w:autoSpaceDN w:val="0"/>
              <w:contextualSpacing/>
              <w:jc w:val="center"/>
              <w:rPr>
                <w:kern w:val="0"/>
                <w:szCs w:val="21"/>
              </w:rPr>
            </w:pPr>
            <w:r>
              <w:rPr>
                <w:kern w:val="0"/>
                <w:szCs w:val="21"/>
              </w:rPr>
              <w:t>BOD</w:t>
            </w:r>
            <w:r>
              <w:rPr>
                <w:rFonts w:hint="eastAsia"/>
                <w:kern w:val="0"/>
                <w:szCs w:val="21"/>
                <w:vertAlign w:val="subscript"/>
              </w:rPr>
              <w:t>5</w:t>
            </w:r>
          </w:p>
        </w:tc>
        <w:tc>
          <w:tcPr>
            <w:tcW w:w="993" w:type="dxa"/>
            <w:vMerge/>
            <w:vAlign w:val="center"/>
          </w:tcPr>
          <w:p w14:paraId="7044D4C5" w14:textId="77777777" w:rsidR="00B14D53" w:rsidRDefault="00B14D53">
            <w:pPr>
              <w:widowControl/>
              <w:contextualSpacing/>
              <w:jc w:val="left"/>
              <w:rPr>
                <w:rFonts w:eastAsiaTheme="minorEastAsia"/>
                <w:kern w:val="0"/>
                <w:szCs w:val="21"/>
              </w:rPr>
            </w:pPr>
          </w:p>
        </w:tc>
        <w:tc>
          <w:tcPr>
            <w:tcW w:w="2797" w:type="dxa"/>
            <w:gridSpan w:val="4"/>
            <w:vAlign w:val="center"/>
          </w:tcPr>
          <w:p w14:paraId="1BA38D98" w14:textId="77777777" w:rsidR="00B14D53" w:rsidRDefault="00000000">
            <w:pPr>
              <w:contextualSpacing/>
              <w:jc w:val="center"/>
              <w:rPr>
                <w:rFonts w:eastAsiaTheme="minorEastAsia"/>
                <w:kern w:val="0"/>
                <w:szCs w:val="21"/>
              </w:rPr>
            </w:pPr>
            <w:r>
              <w:rPr>
                <w:rFonts w:eastAsiaTheme="minorEastAsia"/>
                <w:szCs w:val="21"/>
              </w:rPr>
              <w:t>≤4</w:t>
            </w:r>
          </w:p>
        </w:tc>
      </w:tr>
      <w:tr w:rsidR="00B14D53" w14:paraId="5975BB79" w14:textId="77777777">
        <w:trPr>
          <w:trHeight w:val="98"/>
          <w:jc w:val="center"/>
        </w:trPr>
        <w:tc>
          <w:tcPr>
            <w:tcW w:w="731" w:type="dxa"/>
            <w:vMerge/>
            <w:vAlign w:val="center"/>
          </w:tcPr>
          <w:p w14:paraId="60FA01B7" w14:textId="77777777" w:rsidR="00B14D53" w:rsidRDefault="00B14D53">
            <w:pPr>
              <w:widowControl/>
              <w:contextualSpacing/>
              <w:jc w:val="left"/>
              <w:rPr>
                <w:rFonts w:eastAsiaTheme="minorEastAsia"/>
                <w:kern w:val="0"/>
                <w:szCs w:val="21"/>
              </w:rPr>
            </w:pPr>
          </w:p>
        </w:tc>
        <w:tc>
          <w:tcPr>
            <w:tcW w:w="2689" w:type="dxa"/>
            <w:vMerge/>
            <w:vAlign w:val="center"/>
          </w:tcPr>
          <w:p w14:paraId="7220A2B8" w14:textId="77777777" w:rsidR="00B14D53" w:rsidRDefault="00B14D53">
            <w:pPr>
              <w:widowControl/>
              <w:contextualSpacing/>
              <w:jc w:val="left"/>
              <w:rPr>
                <w:rFonts w:eastAsiaTheme="minorEastAsia"/>
                <w:kern w:val="0"/>
                <w:szCs w:val="21"/>
              </w:rPr>
            </w:pPr>
          </w:p>
        </w:tc>
        <w:tc>
          <w:tcPr>
            <w:tcW w:w="1137" w:type="dxa"/>
            <w:vAlign w:val="center"/>
          </w:tcPr>
          <w:p w14:paraId="690F537E" w14:textId="77777777" w:rsidR="00B14D53" w:rsidRDefault="00000000">
            <w:pPr>
              <w:autoSpaceDE w:val="0"/>
              <w:autoSpaceDN w:val="0"/>
              <w:contextualSpacing/>
              <w:jc w:val="center"/>
              <w:rPr>
                <w:rFonts w:eastAsiaTheme="minorEastAsia"/>
                <w:kern w:val="0"/>
                <w:szCs w:val="21"/>
              </w:rPr>
            </w:pPr>
            <w:r>
              <w:rPr>
                <w:kern w:val="0"/>
                <w:szCs w:val="21"/>
              </w:rPr>
              <w:t>高锰酸盐指数</w:t>
            </w:r>
          </w:p>
        </w:tc>
        <w:tc>
          <w:tcPr>
            <w:tcW w:w="993" w:type="dxa"/>
            <w:vMerge/>
            <w:vAlign w:val="center"/>
          </w:tcPr>
          <w:p w14:paraId="0C030349" w14:textId="77777777" w:rsidR="00B14D53" w:rsidRDefault="00B14D53">
            <w:pPr>
              <w:widowControl/>
              <w:contextualSpacing/>
              <w:jc w:val="left"/>
              <w:rPr>
                <w:rFonts w:eastAsiaTheme="minorEastAsia"/>
                <w:kern w:val="0"/>
                <w:szCs w:val="21"/>
              </w:rPr>
            </w:pPr>
          </w:p>
        </w:tc>
        <w:tc>
          <w:tcPr>
            <w:tcW w:w="2797" w:type="dxa"/>
            <w:gridSpan w:val="4"/>
            <w:vAlign w:val="center"/>
          </w:tcPr>
          <w:p w14:paraId="6AA1BA52" w14:textId="77777777" w:rsidR="00B14D53" w:rsidRDefault="00000000">
            <w:pPr>
              <w:contextualSpacing/>
              <w:jc w:val="center"/>
              <w:rPr>
                <w:rFonts w:eastAsiaTheme="minorEastAsia"/>
                <w:kern w:val="0"/>
                <w:szCs w:val="21"/>
              </w:rPr>
            </w:pPr>
            <w:r>
              <w:rPr>
                <w:rFonts w:eastAsiaTheme="minorEastAsia"/>
                <w:szCs w:val="21"/>
              </w:rPr>
              <w:t>≤</w:t>
            </w:r>
            <w:r>
              <w:rPr>
                <w:rFonts w:eastAsiaTheme="minorEastAsia" w:hint="eastAsia"/>
                <w:szCs w:val="21"/>
              </w:rPr>
              <w:t>6</w:t>
            </w:r>
          </w:p>
        </w:tc>
      </w:tr>
      <w:tr w:rsidR="00B14D53" w14:paraId="34DC2104" w14:textId="77777777">
        <w:trPr>
          <w:trHeight w:val="98"/>
          <w:jc w:val="center"/>
        </w:trPr>
        <w:tc>
          <w:tcPr>
            <w:tcW w:w="731" w:type="dxa"/>
            <w:vMerge/>
            <w:vAlign w:val="center"/>
          </w:tcPr>
          <w:p w14:paraId="14A5E913" w14:textId="77777777" w:rsidR="00B14D53" w:rsidRDefault="00B14D53">
            <w:pPr>
              <w:contextualSpacing/>
              <w:jc w:val="center"/>
              <w:rPr>
                <w:rFonts w:eastAsiaTheme="minorEastAsia"/>
                <w:kern w:val="0"/>
                <w:szCs w:val="21"/>
              </w:rPr>
            </w:pPr>
          </w:p>
        </w:tc>
        <w:tc>
          <w:tcPr>
            <w:tcW w:w="2689" w:type="dxa"/>
            <w:vMerge/>
            <w:vAlign w:val="center"/>
          </w:tcPr>
          <w:p w14:paraId="3BEB48C2" w14:textId="77777777" w:rsidR="00B14D53" w:rsidRDefault="00B14D53">
            <w:pPr>
              <w:contextualSpacing/>
              <w:jc w:val="center"/>
              <w:rPr>
                <w:rFonts w:eastAsiaTheme="minorEastAsia"/>
                <w:kern w:val="0"/>
                <w:szCs w:val="21"/>
              </w:rPr>
            </w:pPr>
          </w:p>
        </w:tc>
        <w:tc>
          <w:tcPr>
            <w:tcW w:w="1137" w:type="dxa"/>
            <w:vAlign w:val="center"/>
          </w:tcPr>
          <w:p w14:paraId="4C52FF8F" w14:textId="77777777" w:rsidR="00B14D53" w:rsidRDefault="00000000">
            <w:pPr>
              <w:autoSpaceDE w:val="0"/>
              <w:autoSpaceDN w:val="0"/>
              <w:contextualSpacing/>
              <w:jc w:val="center"/>
              <w:rPr>
                <w:rFonts w:eastAsiaTheme="minorEastAsia"/>
                <w:kern w:val="0"/>
                <w:szCs w:val="21"/>
              </w:rPr>
            </w:pPr>
            <w:r>
              <w:rPr>
                <w:kern w:val="0"/>
                <w:szCs w:val="21"/>
              </w:rPr>
              <w:t>总氮</w:t>
            </w:r>
          </w:p>
        </w:tc>
        <w:tc>
          <w:tcPr>
            <w:tcW w:w="993" w:type="dxa"/>
            <w:vMerge/>
            <w:vAlign w:val="center"/>
          </w:tcPr>
          <w:p w14:paraId="2722FCEC" w14:textId="77777777" w:rsidR="00B14D53" w:rsidRDefault="00B14D53">
            <w:pPr>
              <w:contextualSpacing/>
              <w:jc w:val="center"/>
              <w:rPr>
                <w:rFonts w:eastAsiaTheme="minorEastAsia"/>
                <w:kern w:val="0"/>
                <w:szCs w:val="21"/>
              </w:rPr>
            </w:pPr>
          </w:p>
        </w:tc>
        <w:tc>
          <w:tcPr>
            <w:tcW w:w="2797" w:type="dxa"/>
            <w:gridSpan w:val="4"/>
            <w:vAlign w:val="center"/>
          </w:tcPr>
          <w:p w14:paraId="044DB9C3" w14:textId="77777777" w:rsidR="00B14D53" w:rsidRDefault="00000000">
            <w:pPr>
              <w:contextualSpacing/>
              <w:jc w:val="center"/>
              <w:rPr>
                <w:rFonts w:eastAsiaTheme="minorEastAsia"/>
                <w:kern w:val="0"/>
                <w:szCs w:val="21"/>
              </w:rPr>
            </w:pPr>
            <w:r>
              <w:rPr>
                <w:rFonts w:eastAsiaTheme="minorEastAsia"/>
                <w:kern w:val="0"/>
                <w:szCs w:val="21"/>
              </w:rPr>
              <w:t>≤</w:t>
            </w:r>
            <w:r>
              <w:rPr>
                <w:rFonts w:eastAsiaTheme="minorEastAsia"/>
                <w:szCs w:val="21"/>
              </w:rPr>
              <w:t>1.0</w:t>
            </w:r>
          </w:p>
        </w:tc>
      </w:tr>
      <w:tr w:rsidR="00B14D53" w14:paraId="227268BE" w14:textId="77777777">
        <w:trPr>
          <w:trHeight w:val="98"/>
          <w:jc w:val="center"/>
        </w:trPr>
        <w:tc>
          <w:tcPr>
            <w:tcW w:w="731" w:type="dxa"/>
            <w:vMerge/>
            <w:vAlign w:val="center"/>
          </w:tcPr>
          <w:p w14:paraId="7BEB729D" w14:textId="77777777" w:rsidR="00B14D53" w:rsidRDefault="00B14D53">
            <w:pPr>
              <w:widowControl/>
              <w:contextualSpacing/>
              <w:jc w:val="left"/>
              <w:rPr>
                <w:rFonts w:eastAsiaTheme="minorEastAsia"/>
                <w:kern w:val="0"/>
                <w:szCs w:val="21"/>
              </w:rPr>
            </w:pPr>
          </w:p>
        </w:tc>
        <w:tc>
          <w:tcPr>
            <w:tcW w:w="2689" w:type="dxa"/>
            <w:vMerge/>
            <w:vAlign w:val="center"/>
          </w:tcPr>
          <w:p w14:paraId="1298DAE9" w14:textId="77777777" w:rsidR="00B14D53" w:rsidRDefault="00B14D53">
            <w:pPr>
              <w:widowControl/>
              <w:contextualSpacing/>
              <w:jc w:val="left"/>
              <w:rPr>
                <w:rFonts w:eastAsiaTheme="minorEastAsia"/>
                <w:kern w:val="0"/>
                <w:szCs w:val="21"/>
              </w:rPr>
            </w:pPr>
          </w:p>
        </w:tc>
        <w:tc>
          <w:tcPr>
            <w:tcW w:w="1137" w:type="dxa"/>
            <w:vAlign w:val="center"/>
          </w:tcPr>
          <w:p w14:paraId="0D12E973" w14:textId="77777777" w:rsidR="00B14D53" w:rsidRDefault="00000000">
            <w:pPr>
              <w:autoSpaceDE w:val="0"/>
              <w:autoSpaceDN w:val="0"/>
              <w:contextualSpacing/>
              <w:jc w:val="center"/>
              <w:rPr>
                <w:rFonts w:eastAsiaTheme="minorEastAsia"/>
                <w:kern w:val="0"/>
                <w:szCs w:val="21"/>
              </w:rPr>
            </w:pPr>
            <w:r>
              <w:rPr>
                <w:kern w:val="0"/>
                <w:szCs w:val="21"/>
              </w:rPr>
              <w:t>粪大肠菌群（个</w:t>
            </w:r>
            <w:r>
              <w:rPr>
                <w:kern w:val="0"/>
                <w:szCs w:val="21"/>
              </w:rPr>
              <w:t>/L</w:t>
            </w:r>
            <w:r>
              <w:rPr>
                <w:kern w:val="0"/>
                <w:szCs w:val="21"/>
              </w:rPr>
              <w:t>）</w:t>
            </w:r>
          </w:p>
        </w:tc>
        <w:tc>
          <w:tcPr>
            <w:tcW w:w="993" w:type="dxa"/>
            <w:vMerge/>
            <w:vAlign w:val="center"/>
          </w:tcPr>
          <w:p w14:paraId="29929B39" w14:textId="77777777" w:rsidR="00B14D53" w:rsidRDefault="00B14D53">
            <w:pPr>
              <w:widowControl/>
              <w:contextualSpacing/>
              <w:jc w:val="center"/>
              <w:rPr>
                <w:rFonts w:eastAsiaTheme="minorEastAsia"/>
                <w:kern w:val="0"/>
                <w:szCs w:val="21"/>
              </w:rPr>
            </w:pPr>
          </w:p>
        </w:tc>
        <w:tc>
          <w:tcPr>
            <w:tcW w:w="2797" w:type="dxa"/>
            <w:gridSpan w:val="4"/>
            <w:vAlign w:val="center"/>
          </w:tcPr>
          <w:p w14:paraId="7859A741" w14:textId="77777777" w:rsidR="00B14D53" w:rsidRDefault="00000000">
            <w:pPr>
              <w:contextualSpacing/>
              <w:jc w:val="center"/>
              <w:rPr>
                <w:rFonts w:eastAsiaTheme="minorEastAsia"/>
                <w:kern w:val="0"/>
                <w:szCs w:val="21"/>
              </w:rPr>
            </w:pPr>
            <w:r>
              <w:rPr>
                <w:rFonts w:eastAsiaTheme="minorEastAsia"/>
                <w:kern w:val="0"/>
                <w:szCs w:val="21"/>
              </w:rPr>
              <w:t>≤</w:t>
            </w:r>
            <w:r>
              <w:rPr>
                <w:rFonts w:eastAsiaTheme="minorEastAsia" w:hint="eastAsia"/>
                <w:szCs w:val="21"/>
              </w:rPr>
              <w:t>10000</w:t>
            </w:r>
          </w:p>
        </w:tc>
      </w:tr>
      <w:tr w:rsidR="00B14D53" w14:paraId="1475DA51" w14:textId="77777777">
        <w:trPr>
          <w:trHeight w:val="98"/>
          <w:jc w:val="center"/>
        </w:trPr>
        <w:tc>
          <w:tcPr>
            <w:tcW w:w="731" w:type="dxa"/>
            <w:vMerge/>
            <w:vAlign w:val="center"/>
          </w:tcPr>
          <w:p w14:paraId="1A290BE1" w14:textId="77777777" w:rsidR="00B14D53" w:rsidRDefault="00B14D53">
            <w:pPr>
              <w:widowControl/>
              <w:contextualSpacing/>
              <w:jc w:val="left"/>
              <w:rPr>
                <w:rFonts w:eastAsiaTheme="minorEastAsia"/>
                <w:kern w:val="0"/>
                <w:szCs w:val="21"/>
              </w:rPr>
            </w:pPr>
          </w:p>
        </w:tc>
        <w:tc>
          <w:tcPr>
            <w:tcW w:w="2689" w:type="dxa"/>
            <w:vMerge/>
            <w:vAlign w:val="center"/>
          </w:tcPr>
          <w:p w14:paraId="33B97BD3" w14:textId="77777777" w:rsidR="00B14D53" w:rsidRDefault="00B14D53">
            <w:pPr>
              <w:widowControl/>
              <w:contextualSpacing/>
              <w:jc w:val="left"/>
              <w:rPr>
                <w:rFonts w:eastAsiaTheme="minorEastAsia"/>
                <w:kern w:val="0"/>
                <w:szCs w:val="21"/>
              </w:rPr>
            </w:pPr>
          </w:p>
        </w:tc>
        <w:tc>
          <w:tcPr>
            <w:tcW w:w="1137" w:type="dxa"/>
            <w:vAlign w:val="center"/>
          </w:tcPr>
          <w:p w14:paraId="6DD01342" w14:textId="77777777" w:rsidR="00B14D53" w:rsidRDefault="00000000">
            <w:pPr>
              <w:autoSpaceDE w:val="0"/>
              <w:autoSpaceDN w:val="0"/>
              <w:contextualSpacing/>
              <w:jc w:val="center"/>
              <w:rPr>
                <w:rFonts w:eastAsiaTheme="minorEastAsia"/>
                <w:kern w:val="0"/>
                <w:szCs w:val="21"/>
              </w:rPr>
            </w:pPr>
            <w:r>
              <w:rPr>
                <w:kern w:val="0"/>
                <w:szCs w:val="21"/>
              </w:rPr>
              <w:t>溶解氧</w:t>
            </w:r>
          </w:p>
        </w:tc>
        <w:tc>
          <w:tcPr>
            <w:tcW w:w="993" w:type="dxa"/>
            <w:vMerge/>
            <w:vAlign w:val="center"/>
          </w:tcPr>
          <w:p w14:paraId="627FC15D" w14:textId="77777777" w:rsidR="00B14D53" w:rsidRDefault="00B14D53">
            <w:pPr>
              <w:widowControl/>
              <w:contextualSpacing/>
              <w:jc w:val="left"/>
              <w:rPr>
                <w:rFonts w:eastAsiaTheme="minorEastAsia"/>
                <w:kern w:val="0"/>
                <w:szCs w:val="21"/>
              </w:rPr>
            </w:pPr>
          </w:p>
        </w:tc>
        <w:tc>
          <w:tcPr>
            <w:tcW w:w="2797" w:type="dxa"/>
            <w:gridSpan w:val="4"/>
            <w:vAlign w:val="center"/>
          </w:tcPr>
          <w:p w14:paraId="5A29E653" w14:textId="77777777" w:rsidR="00B14D53" w:rsidRDefault="00000000">
            <w:pPr>
              <w:contextualSpacing/>
              <w:jc w:val="center"/>
              <w:rPr>
                <w:rFonts w:eastAsiaTheme="minorEastAsia"/>
                <w:kern w:val="0"/>
                <w:szCs w:val="21"/>
              </w:rPr>
            </w:pPr>
            <w:r>
              <w:rPr>
                <w:rFonts w:eastAsiaTheme="minorEastAsia"/>
                <w:szCs w:val="21"/>
              </w:rPr>
              <w:t>≥5</w:t>
            </w:r>
          </w:p>
        </w:tc>
      </w:tr>
      <w:tr w:rsidR="00B14D53" w14:paraId="714CC4D6" w14:textId="77777777">
        <w:trPr>
          <w:trHeight w:val="98"/>
          <w:jc w:val="center"/>
        </w:trPr>
        <w:tc>
          <w:tcPr>
            <w:tcW w:w="731" w:type="dxa"/>
            <w:vMerge/>
            <w:vAlign w:val="center"/>
          </w:tcPr>
          <w:p w14:paraId="084518F1" w14:textId="77777777" w:rsidR="00B14D53" w:rsidRDefault="00B14D53">
            <w:pPr>
              <w:widowControl/>
              <w:contextualSpacing/>
              <w:jc w:val="left"/>
              <w:rPr>
                <w:rFonts w:eastAsiaTheme="minorEastAsia"/>
                <w:kern w:val="0"/>
                <w:szCs w:val="21"/>
              </w:rPr>
            </w:pPr>
          </w:p>
        </w:tc>
        <w:tc>
          <w:tcPr>
            <w:tcW w:w="2689" w:type="dxa"/>
            <w:vMerge/>
            <w:vAlign w:val="center"/>
          </w:tcPr>
          <w:p w14:paraId="5DDA7BEA" w14:textId="77777777" w:rsidR="00B14D53" w:rsidRDefault="00B14D53">
            <w:pPr>
              <w:widowControl/>
              <w:contextualSpacing/>
              <w:jc w:val="left"/>
              <w:rPr>
                <w:rFonts w:eastAsiaTheme="minorEastAsia"/>
                <w:kern w:val="0"/>
                <w:szCs w:val="21"/>
              </w:rPr>
            </w:pPr>
          </w:p>
        </w:tc>
        <w:tc>
          <w:tcPr>
            <w:tcW w:w="1137" w:type="dxa"/>
            <w:vAlign w:val="center"/>
          </w:tcPr>
          <w:p w14:paraId="21D099D9" w14:textId="77777777" w:rsidR="00B14D53" w:rsidRDefault="00000000">
            <w:pPr>
              <w:autoSpaceDE w:val="0"/>
              <w:autoSpaceDN w:val="0"/>
              <w:contextualSpacing/>
              <w:jc w:val="center"/>
              <w:rPr>
                <w:rFonts w:eastAsiaTheme="minorEastAsia"/>
                <w:kern w:val="0"/>
                <w:szCs w:val="21"/>
              </w:rPr>
            </w:pPr>
            <w:r>
              <w:rPr>
                <w:kern w:val="0"/>
                <w:szCs w:val="21"/>
              </w:rPr>
              <w:t>总磷</w:t>
            </w:r>
          </w:p>
        </w:tc>
        <w:tc>
          <w:tcPr>
            <w:tcW w:w="993" w:type="dxa"/>
            <w:vMerge/>
            <w:vAlign w:val="center"/>
          </w:tcPr>
          <w:p w14:paraId="5AAAEB81" w14:textId="77777777" w:rsidR="00B14D53" w:rsidRDefault="00B14D53">
            <w:pPr>
              <w:widowControl/>
              <w:contextualSpacing/>
              <w:jc w:val="left"/>
              <w:rPr>
                <w:rFonts w:eastAsiaTheme="minorEastAsia"/>
                <w:kern w:val="0"/>
                <w:szCs w:val="21"/>
              </w:rPr>
            </w:pPr>
          </w:p>
        </w:tc>
        <w:tc>
          <w:tcPr>
            <w:tcW w:w="2797" w:type="dxa"/>
            <w:gridSpan w:val="4"/>
            <w:vAlign w:val="center"/>
          </w:tcPr>
          <w:p w14:paraId="6A198D40" w14:textId="77777777" w:rsidR="00B14D53" w:rsidRDefault="00000000">
            <w:pPr>
              <w:contextualSpacing/>
              <w:jc w:val="center"/>
              <w:rPr>
                <w:rFonts w:eastAsiaTheme="minorEastAsia"/>
                <w:kern w:val="0"/>
                <w:szCs w:val="21"/>
              </w:rPr>
            </w:pPr>
            <w:r>
              <w:rPr>
                <w:rFonts w:eastAsiaTheme="minorEastAsia"/>
                <w:kern w:val="0"/>
                <w:szCs w:val="21"/>
              </w:rPr>
              <w:t>≤</w:t>
            </w:r>
            <w:r>
              <w:rPr>
                <w:rFonts w:eastAsiaTheme="minorEastAsia" w:hint="eastAsia"/>
                <w:szCs w:val="21"/>
              </w:rPr>
              <w:t>0.2</w:t>
            </w:r>
          </w:p>
        </w:tc>
      </w:tr>
      <w:tr w:rsidR="00B14D53" w14:paraId="63062300" w14:textId="77777777">
        <w:trPr>
          <w:trHeight w:val="98"/>
          <w:jc w:val="center"/>
        </w:trPr>
        <w:tc>
          <w:tcPr>
            <w:tcW w:w="730" w:type="dxa"/>
            <w:vMerge w:val="restart"/>
            <w:vAlign w:val="center"/>
          </w:tcPr>
          <w:p w14:paraId="292837DC" w14:textId="77777777" w:rsidR="00B14D53" w:rsidRDefault="00000000">
            <w:pPr>
              <w:contextualSpacing/>
              <w:jc w:val="center"/>
              <w:rPr>
                <w:rFonts w:eastAsiaTheme="minorEastAsia"/>
                <w:kern w:val="0"/>
                <w:szCs w:val="21"/>
              </w:rPr>
            </w:pPr>
            <w:r>
              <w:rPr>
                <w:rFonts w:eastAsiaTheme="minorEastAsia" w:hAnsiTheme="minorEastAsia"/>
                <w:kern w:val="0"/>
                <w:szCs w:val="21"/>
              </w:rPr>
              <w:t>地下水环境</w:t>
            </w:r>
          </w:p>
        </w:tc>
        <w:tc>
          <w:tcPr>
            <w:tcW w:w="2690" w:type="dxa"/>
            <w:vMerge w:val="restart"/>
            <w:vAlign w:val="center"/>
          </w:tcPr>
          <w:p w14:paraId="06F3BEFA" w14:textId="77777777" w:rsidR="00B14D53" w:rsidRDefault="00000000">
            <w:pPr>
              <w:contextualSpacing/>
              <w:jc w:val="center"/>
              <w:rPr>
                <w:rFonts w:eastAsiaTheme="minorEastAsia"/>
                <w:kern w:val="0"/>
                <w:szCs w:val="21"/>
              </w:rPr>
            </w:pPr>
            <w:r>
              <w:rPr>
                <w:rFonts w:eastAsiaTheme="minorEastAsia"/>
                <w:kern w:val="0"/>
                <w:szCs w:val="21"/>
              </w:rPr>
              <w:t>《地下水质量标准》（</w:t>
            </w:r>
            <w:r>
              <w:rPr>
                <w:rFonts w:eastAsiaTheme="minorEastAsia"/>
                <w:kern w:val="0"/>
                <w:szCs w:val="21"/>
              </w:rPr>
              <w:t>GB/T14848-2017</w:t>
            </w:r>
            <w:r>
              <w:rPr>
                <w:rFonts w:eastAsiaTheme="minorEastAsia"/>
                <w:kern w:val="0"/>
                <w:szCs w:val="21"/>
              </w:rPr>
              <w:t>）</w:t>
            </w:r>
            <w:r>
              <w:rPr>
                <w:rFonts w:eastAsiaTheme="minorEastAsia"/>
                <w:kern w:val="0"/>
                <w:szCs w:val="21"/>
              </w:rPr>
              <w:t>Ⅲ</w:t>
            </w:r>
            <w:r>
              <w:rPr>
                <w:rFonts w:eastAsiaTheme="minorEastAsia"/>
                <w:kern w:val="0"/>
                <w:szCs w:val="21"/>
              </w:rPr>
              <w:t>类</w:t>
            </w:r>
          </w:p>
        </w:tc>
        <w:tc>
          <w:tcPr>
            <w:tcW w:w="1137" w:type="dxa"/>
            <w:vAlign w:val="center"/>
          </w:tcPr>
          <w:p w14:paraId="4FF23E4F" w14:textId="77777777" w:rsidR="00B14D53" w:rsidRDefault="00000000">
            <w:pPr>
              <w:contextualSpacing/>
              <w:jc w:val="center"/>
              <w:rPr>
                <w:rFonts w:eastAsiaTheme="minorEastAsia"/>
                <w:kern w:val="0"/>
                <w:szCs w:val="21"/>
              </w:rPr>
            </w:pPr>
            <w:r>
              <w:rPr>
                <w:rFonts w:eastAsiaTheme="minorEastAsia"/>
                <w:kern w:val="0"/>
                <w:szCs w:val="21"/>
              </w:rPr>
              <w:t>pH</w:t>
            </w:r>
            <w:r>
              <w:rPr>
                <w:rFonts w:eastAsiaTheme="minorEastAsia" w:hAnsiTheme="minorEastAsia"/>
                <w:kern w:val="0"/>
                <w:szCs w:val="21"/>
              </w:rPr>
              <w:t>值</w:t>
            </w:r>
          </w:p>
        </w:tc>
        <w:tc>
          <w:tcPr>
            <w:tcW w:w="993" w:type="dxa"/>
            <w:vAlign w:val="center"/>
          </w:tcPr>
          <w:p w14:paraId="1B4D2D1A" w14:textId="77777777" w:rsidR="00B14D53" w:rsidRDefault="00000000">
            <w:pPr>
              <w:contextualSpacing/>
              <w:jc w:val="center"/>
              <w:rPr>
                <w:rFonts w:eastAsiaTheme="minorEastAsia"/>
                <w:kern w:val="0"/>
                <w:szCs w:val="21"/>
              </w:rPr>
            </w:pPr>
            <w:r>
              <w:rPr>
                <w:rFonts w:eastAsiaTheme="minorEastAsia" w:hAnsiTheme="minorEastAsia"/>
                <w:kern w:val="0"/>
                <w:szCs w:val="21"/>
              </w:rPr>
              <w:t>无量纲</w:t>
            </w:r>
          </w:p>
        </w:tc>
        <w:tc>
          <w:tcPr>
            <w:tcW w:w="2797" w:type="dxa"/>
            <w:gridSpan w:val="4"/>
            <w:vAlign w:val="center"/>
          </w:tcPr>
          <w:p w14:paraId="7AC7EE19" w14:textId="77777777" w:rsidR="00B14D53" w:rsidRDefault="00000000">
            <w:pPr>
              <w:contextualSpacing/>
              <w:jc w:val="center"/>
              <w:rPr>
                <w:rFonts w:eastAsiaTheme="minorEastAsia"/>
                <w:kern w:val="0"/>
                <w:szCs w:val="21"/>
              </w:rPr>
            </w:pPr>
            <w:r>
              <w:rPr>
                <w:rFonts w:eastAsiaTheme="minorEastAsia"/>
                <w:kern w:val="0"/>
                <w:szCs w:val="21"/>
              </w:rPr>
              <w:t>6.5~8.5</w:t>
            </w:r>
          </w:p>
        </w:tc>
      </w:tr>
      <w:tr w:rsidR="00B14D53" w14:paraId="3CDE4A00" w14:textId="77777777">
        <w:trPr>
          <w:trHeight w:val="98"/>
          <w:jc w:val="center"/>
        </w:trPr>
        <w:tc>
          <w:tcPr>
            <w:tcW w:w="730" w:type="dxa"/>
            <w:vMerge/>
            <w:vAlign w:val="center"/>
          </w:tcPr>
          <w:p w14:paraId="7D79A2D2" w14:textId="77777777" w:rsidR="00B14D53" w:rsidRDefault="00B14D53">
            <w:pPr>
              <w:contextualSpacing/>
              <w:jc w:val="center"/>
              <w:rPr>
                <w:rFonts w:eastAsiaTheme="minorEastAsia"/>
                <w:kern w:val="0"/>
                <w:szCs w:val="21"/>
              </w:rPr>
            </w:pPr>
          </w:p>
        </w:tc>
        <w:tc>
          <w:tcPr>
            <w:tcW w:w="2690" w:type="dxa"/>
            <w:vMerge/>
            <w:vAlign w:val="center"/>
          </w:tcPr>
          <w:p w14:paraId="3E683ABD" w14:textId="77777777" w:rsidR="00B14D53" w:rsidRDefault="00B14D53">
            <w:pPr>
              <w:contextualSpacing/>
              <w:jc w:val="center"/>
              <w:rPr>
                <w:rFonts w:eastAsiaTheme="minorEastAsia"/>
                <w:kern w:val="0"/>
                <w:szCs w:val="21"/>
              </w:rPr>
            </w:pPr>
          </w:p>
        </w:tc>
        <w:tc>
          <w:tcPr>
            <w:tcW w:w="1137" w:type="dxa"/>
            <w:vAlign w:val="center"/>
          </w:tcPr>
          <w:p w14:paraId="3FA24697" w14:textId="77777777" w:rsidR="00B14D53" w:rsidRDefault="00000000">
            <w:pPr>
              <w:contextualSpacing/>
              <w:jc w:val="center"/>
              <w:rPr>
                <w:rFonts w:eastAsiaTheme="minorEastAsia"/>
                <w:kern w:val="0"/>
                <w:szCs w:val="21"/>
              </w:rPr>
            </w:pPr>
            <w:r>
              <w:rPr>
                <w:rFonts w:eastAsiaTheme="minorEastAsia" w:hAnsiTheme="minorEastAsia"/>
                <w:kern w:val="0"/>
                <w:szCs w:val="21"/>
              </w:rPr>
              <w:t>氨氮</w:t>
            </w:r>
          </w:p>
        </w:tc>
        <w:tc>
          <w:tcPr>
            <w:tcW w:w="993" w:type="dxa"/>
            <w:vMerge w:val="restart"/>
            <w:vAlign w:val="center"/>
          </w:tcPr>
          <w:p w14:paraId="4F7AF834" w14:textId="77777777" w:rsidR="00B14D53" w:rsidRDefault="00000000">
            <w:pPr>
              <w:contextualSpacing/>
              <w:jc w:val="center"/>
              <w:rPr>
                <w:rFonts w:eastAsiaTheme="minorEastAsia"/>
                <w:kern w:val="0"/>
                <w:szCs w:val="21"/>
              </w:rPr>
            </w:pPr>
            <w:r>
              <w:rPr>
                <w:rFonts w:eastAsiaTheme="minorEastAsia"/>
                <w:kern w:val="0"/>
                <w:szCs w:val="21"/>
              </w:rPr>
              <w:t>mg/L</w:t>
            </w:r>
          </w:p>
        </w:tc>
        <w:tc>
          <w:tcPr>
            <w:tcW w:w="2797" w:type="dxa"/>
            <w:gridSpan w:val="4"/>
            <w:vAlign w:val="center"/>
          </w:tcPr>
          <w:p w14:paraId="3B90CB91" w14:textId="77777777" w:rsidR="00B14D53" w:rsidRDefault="00000000">
            <w:pPr>
              <w:contextualSpacing/>
              <w:jc w:val="center"/>
              <w:rPr>
                <w:rFonts w:eastAsiaTheme="minorEastAsia"/>
                <w:kern w:val="0"/>
                <w:szCs w:val="21"/>
              </w:rPr>
            </w:pPr>
            <w:r>
              <w:rPr>
                <w:rFonts w:eastAsiaTheme="minorEastAsia"/>
                <w:kern w:val="0"/>
                <w:szCs w:val="21"/>
              </w:rPr>
              <w:t>≤0.5</w:t>
            </w:r>
          </w:p>
        </w:tc>
      </w:tr>
      <w:tr w:rsidR="00B14D53" w14:paraId="33F38669" w14:textId="77777777">
        <w:trPr>
          <w:trHeight w:val="98"/>
          <w:jc w:val="center"/>
        </w:trPr>
        <w:tc>
          <w:tcPr>
            <w:tcW w:w="730" w:type="dxa"/>
            <w:vMerge/>
            <w:vAlign w:val="center"/>
          </w:tcPr>
          <w:p w14:paraId="36C9B10D" w14:textId="77777777" w:rsidR="00B14D53" w:rsidRDefault="00B14D53">
            <w:pPr>
              <w:contextualSpacing/>
              <w:jc w:val="center"/>
              <w:rPr>
                <w:rFonts w:eastAsiaTheme="minorEastAsia"/>
                <w:kern w:val="0"/>
                <w:szCs w:val="21"/>
              </w:rPr>
            </w:pPr>
          </w:p>
        </w:tc>
        <w:tc>
          <w:tcPr>
            <w:tcW w:w="2690" w:type="dxa"/>
            <w:vMerge/>
            <w:vAlign w:val="center"/>
          </w:tcPr>
          <w:p w14:paraId="729A0B66" w14:textId="77777777" w:rsidR="00B14D53" w:rsidRDefault="00B14D53">
            <w:pPr>
              <w:contextualSpacing/>
              <w:jc w:val="center"/>
              <w:rPr>
                <w:rFonts w:eastAsiaTheme="minorEastAsia"/>
                <w:kern w:val="0"/>
                <w:szCs w:val="21"/>
              </w:rPr>
            </w:pPr>
          </w:p>
        </w:tc>
        <w:tc>
          <w:tcPr>
            <w:tcW w:w="1137" w:type="dxa"/>
            <w:vAlign w:val="center"/>
          </w:tcPr>
          <w:p w14:paraId="1AB4336E" w14:textId="77777777" w:rsidR="00B14D53" w:rsidRDefault="00000000">
            <w:pPr>
              <w:contextualSpacing/>
              <w:jc w:val="center"/>
              <w:rPr>
                <w:rFonts w:eastAsiaTheme="minorEastAsia"/>
                <w:kern w:val="0"/>
                <w:szCs w:val="21"/>
              </w:rPr>
            </w:pPr>
            <w:r>
              <w:rPr>
                <w:rFonts w:eastAsiaTheme="minorEastAsia" w:hAnsiTheme="minorEastAsia"/>
                <w:kern w:val="0"/>
                <w:szCs w:val="21"/>
              </w:rPr>
              <w:t>硝酸盐</w:t>
            </w:r>
          </w:p>
        </w:tc>
        <w:tc>
          <w:tcPr>
            <w:tcW w:w="993" w:type="dxa"/>
            <w:vMerge/>
            <w:vAlign w:val="center"/>
          </w:tcPr>
          <w:p w14:paraId="0E25C1AE" w14:textId="77777777" w:rsidR="00B14D53" w:rsidRDefault="00B14D53">
            <w:pPr>
              <w:contextualSpacing/>
              <w:jc w:val="center"/>
              <w:rPr>
                <w:rFonts w:eastAsiaTheme="minorEastAsia"/>
                <w:kern w:val="0"/>
                <w:szCs w:val="21"/>
              </w:rPr>
            </w:pPr>
          </w:p>
        </w:tc>
        <w:tc>
          <w:tcPr>
            <w:tcW w:w="2797" w:type="dxa"/>
            <w:gridSpan w:val="4"/>
            <w:vAlign w:val="center"/>
          </w:tcPr>
          <w:p w14:paraId="5983E4F6" w14:textId="77777777" w:rsidR="00B14D53" w:rsidRDefault="00000000">
            <w:pPr>
              <w:contextualSpacing/>
              <w:jc w:val="center"/>
              <w:rPr>
                <w:rFonts w:eastAsiaTheme="minorEastAsia"/>
                <w:kern w:val="0"/>
                <w:szCs w:val="21"/>
              </w:rPr>
            </w:pPr>
            <w:r>
              <w:rPr>
                <w:rFonts w:eastAsiaTheme="minorEastAsia"/>
                <w:kern w:val="0"/>
                <w:szCs w:val="21"/>
              </w:rPr>
              <w:t>≤20</w:t>
            </w:r>
          </w:p>
        </w:tc>
      </w:tr>
      <w:tr w:rsidR="00B14D53" w14:paraId="690FA689" w14:textId="77777777">
        <w:trPr>
          <w:trHeight w:val="98"/>
          <w:jc w:val="center"/>
        </w:trPr>
        <w:tc>
          <w:tcPr>
            <w:tcW w:w="730" w:type="dxa"/>
            <w:vMerge/>
            <w:vAlign w:val="center"/>
          </w:tcPr>
          <w:p w14:paraId="20784A34" w14:textId="77777777" w:rsidR="00B14D53" w:rsidRDefault="00B14D53">
            <w:pPr>
              <w:contextualSpacing/>
              <w:jc w:val="center"/>
              <w:rPr>
                <w:rFonts w:eastAsiaTheme="minorEastAsia"/>
                <w:kern w:val="0"/>
                <w:szCs w:val="21"/>
              </w:rPr>
            </w:pPr>
          </w:p>
        </w:tc>
        <w:tc>
          <w:tcPr>
            <w:tcW w:w="2690" w:type="dxa"/>
            <w:vMerge/>
            <w:vAlign w:val="center"/>
          </w:tcPr>
          <w:p w14:paraId="41C3817C" w14:textId="77777777" w:rsidR="00B14D53" w:rsidRDefault="00B14D53">
            <w:pPr>
              <w:contextualSpacing/>
              <w:jc w:val="center"/>
              <w:rPr>
                <w:rFonts w:eastAsiaTheme="minorEastAsia"/>
                <w:kern w:val="0"/>
                <w:szCs w:val="21"/>
              </w:rPr>
            </w:pPr>
          </w:p>
        </w:tc>
        <w:tc>
          <w:tcPr>
            <w:tcW w:w="1137" w:type="dxa"/>
            <w:vAlign w:val="center"/>
          </w:tcPr>
          <w:p w14:paraId="044B4EAA" w14:textId="77777777" w:rsidR="00B14D53" w:rsidRDefault="00000000">
            <w:pPr>
              <w:contextualSpacing/>
              <w:jc w:val="center"/>
              <w:rPr>
                <w:rFonts w:eastAsiaTheme="minorEastAsia"/>
                <w:kern w:val="0"/>
                <w:szCs w:val="21"/>
              </w:rPr>
            </w:pPr>
            <w:r>
              <w:rPr>
                <w:rFonts w:eastAsiaTheme="minorEastAsia" w:hAnsiTheme="minorEastAsia"/>
                <w:kern w:val="0"/>
                <w:szCs w:val="21"/>
              </w:rPr>
              <w:t>亚硝酸盐</w:t>
            </w:r>
          </w:p>
        </w:tc>
        <w:tc>
          <w:tcPr>
            <w:tcW w:w="993" w:type="dxa"/>
            <w:vMerge/>
            <w:vAlign w:val="center"/>
          </w:tcPr>
          <w:p w14:paraId="5815705A" w14:textId="77777777" w:rsidR="00B14D53" w:rsidRDefault="00B14D53">
            <w:pPr>
              <w:contextualSpacing/>
              <w:jc w:val="center"/>
              <w:rPr>
                <w:rFonts w:eastAsiaTheme="minorEastAsia"/>
                <w:kern w:val="0"/>
                <w:szCs w:val="21"/>
              </w:rPr>
            </w:pPr>
          </w:p>
        </w:tc>
        <w:tc>
          <w:tcPr>
            <w:tcW w:w="2797" w:type="dxa"/>
            <w:gridSpan w:val="4"/>
            <w:vAlign w:val="center"/>
          </w:tcPr>
          <w:p w14:paraId="4984070F" w14:textId="77777777" w:rsidR="00B14D53" w:rsidRDefault="00000000">
            <w:pPr>
              <w:contextualSpacing/>
              <w:jc w:val="center"/>
              <w:rPr>
                <w:rFonts w:eastAsiaTheme="minorEastAsia"/>
                <w:kern w:val="0"/>
                <w:szCs w:val="21"/>
              </w:rPr>
            </w:pPr>
            <w:r>
              <w:rPr>
                <w:rFonts w:eastAsiaTheme="minorEastAsia"/>
                <w:kern w:val="0"/>
                <w:szCs w:val="21"/>
              </w:rPr>
              <w:t>≤1.0</w:t>
            </w:r>
          </w:p>
        </w:tc>
      </w:tr>
      <w:tr w:rsidR="00B14D53" w14:paraId="62B6B81B" w14:textId="77777777">
        <w:trPr>
          <w:trHeight w:val="188"/>
          <w:jc w:val="center"/>
        </w:trPr>
        <w:tc>
          <w:tcPr>
            <w:tcW w:w="730" w:type="dxa"/>
            <w:vMerge/>
            <w:vAlign w:val="center"/>
          </w:tcPr>
          <w:p w14:paraId="1874B8AD" w14:textId="77777777" w:rsidR="00B14D53" w:rsidRDefault="00B14D53">
            <w:pPr>
              <w:contextualSpacing/>
              <w:jc w:val="center"/>
              <w:rPr>
                <w:rFonts w:eastAsiaTheme="minorEastAsia"/>
                <w:kern w:val="0"/>
                <w:szCs w:val="21"/>
              </w:rPr>
            </w:pPr>
          </w:p>
        </w:tc>
        <w:tc>
          <w:tcPr>
            <w:tcW w:w="2690" w:type="dxa"/>
            <w:vMerge/>
            <w:vAlign w:val="center"/>
          </w:tcPr>
          <w:p w14:paraId="50DD95B2" w14:textId="77777777" w:rsidR="00B14D53" w:rsidRDefault="00B14D53">
            <w:pPr>
              <w:contextualSpacing/>
              <w:jc w:val="center"/>
              <w:rPr>
                <w:rFonts w:eastAsiaTheme="minorEastAsia"/>
                <w:kern w:val="0"/>
                <w:szCs w:val="21"/>
              </w:rPr>
            </w:pPr>
          </w:p>
        </w:tc>
        <w:tc>
          <w:tcPr>
            <w:tcW w:w="1137" w:type="dxa"/>
            <w:vAlign w:val="center"/>
          </w:tcPr>
          <w:p w14:paraId="5FC4A720" w14:textId="77777777" w:rsidR="00B14D53" w:rsidRDefault="00000000">
            <w:pPr>
              <w:contextualSpacing/>
              <w:jc w:val="center"/>
              <w:rPr>
                <w:rFonts w:eastAsiaTheme="minorEastAsia"/>
                <w:kern w:val="0"/>
                <w:szCs w:val="21"/>
              </w:rPr>
            </w:pPr>
            <w:r>
              <w:rPr>
                <w:rFonts w:eastAsiaTheme="minorEastAsia" w:hAnsiTheme="minorEastAsia"/>
                <w:kern w:val="0"/>
                <w:szCs w:val="21"/>
              </w:rPr>
              <w:t>挥发酚</w:t>
            </w:r>
          </w:p>
        </w:tc>
        <w:tc>
          <w:tcPr>
            <w:tcW w:w="993" w:type="dxa"/>
            <w:vMerge/>
            <w:vAlign w:val="center"/>
          </w:tcPr>
          <w:p w14:paraId="164C722F" w14:textId="77777777" w:rsidR="00B14D53" w:rsidRDefault="00B14D53">
            <w:pPr>
              <w:contextualSpacing/>
              <w:jc w:val="center"/>
              <w:rPr>
                <w:rFonts w:eastAsiaTheme="minorEastAsia"/>
                <w:kern w:val="0"/>
                <w:szCs w:val="21"/>
              </w:rPr>
            </w:pPr>
          </w:p>
        </w:tc>
        <w:tc>
          <w:tcPr>
            <w:tcW w:w="2797" w:type="dxa"/>
            <w:gridSpan w:val="4"/>
            <w:vAlign w:val="center"/>
          </w:tcPr>
          <w:p w14:paraId="0DC53CB6" w14:textId="77777777" w:rsidR="00B14D53" w:rsidRDefault="00000000">
            <w:pPr>
              <w:contextualSpacing/>
              <w:jc w:val="center"/>
              <w:rPr>
                <w:rFonts w:eastAsiaTheme="minorEastAsia"/>
                <w:kern w:val="0"/>
                <w:szCs w:val="21"/>
              </w:rPr>
            </w:pPr>
            <w:r>
              <w:rPr>
                <w:rFonts w:eastAsiaTheme="minorEastAsia"/>
                <w:kern w:val="0"/>
                <w:szCs w:val="21"/>
              </w:rPr>
              <w:t>≤0.002</w:t>
            </w:r>
          </w:p>
        </w:tc>
      </w:tr>
      <w:tr w:rsidR="00B14D53" w14:paraId="0D98B84A" w14:textId="77777777">
        <w:trPr>
          <w:trHeight w:val="41"/>
          <w:jc w:val="center"/>
        </w:trPr>
        <w:tc>
          <w:tcPr>
            <w:tcW w:w="730" w:type="dxa"/>
            <w:vMerge/>
            <w:vAlign w:val="center"/>
          </w:tcPr>
          <w:p w14:paraId="16C1C12C" w14:textId="77777777" w:rsidR="00B14D53" w:rsidRDefault="00B14D53">
            <w:pPr>
              <w:contextualSpacing/>
              <w:jc w:val="center"/>
              <w:rPr>
                <w:rFonts w:eastAsiaTheme="minorEastAsia"/>
                <w:kern w:val="0"/>
                <w:szCs w:val="21"/>
              </w:rPr>
            </w:pPr>
          </w:p>
        </w:tc>
        <w:tc>
          <w:tcPr>
            <w:tcW w:w="2690" w:type="dxa"/>
            <w:vMerge/>
            <w:vAlign w:val="center"/>
          </w:tcPr>
          <w:p w14:paraId="221C74E6" w14:textId="77777777" w:rsidR="00B14D53" w:rsidRDefault="00B14D53">
            <w:pPr>
              <w:contextualSpacing/>
              <w:jc w:val="center"/>
              <w:rPr>
                <w:rFonts w:eastAsiaTheme="minorEastAsia"/>
                <w:kern w:val="0"/>
                <w:szCs w:val="21"/>
              </w:rPr>
            </w:pPr>
          </w:p>
        </w:tc>
        <w:tc>
          <w:tcPr>
            <w:tcW w:w="1137" w:type="dxa"/>
            <w:vAlign w:val="center"/>
          </w:tcPr>
          <w:p w14:paraId="38BD7312" w14:textId="77777777" w:rsidR="00B14D53" w:rsidRDefault="00000000">
            <w:pPr>
              <w:contextualSpacing/>
              <w:jc w:val="center"/>
              <w:rPr>
                <w:rFonts w:eastAsiaTheme="minorEastAsia"/>
                <w:kern w:val="0"/>
                <w:szCs w:val="21"/>
              </w:rPr>
            </w:pPr>
            <w:r>
              <w:rPr>
                <w:rFonts w:eastAsiaTheme="minorEastAsia" w:hAnsiTheme="minorEastAsia"/>
                <w:kern w:val="0"/>
                <w:szCs w:val="21"/>
              </w:rPr>
              <w:t>氰化物</w:t>
            </w:r>
          </w:p>
        </w:tc>
        <w:tc>
          <w:tcPr>
            <w:tcW w:w="993" w:type="dxa"/>
            <w:vMerge/>
            <w:vAlign w:val="center"/>
          </w:tcPr>
          <w:p w14:paraId="56F4595F" w14:textId="77777777" w:rsidR="00B14D53" w:rsidRDefault="00B14D53">
            <w:pPr>
              <w:contextualSpacing/>
              <w:jc w:val="center"/>
              <w:rPr>
                <w:rFonts w:eastAsiaTheme="minorEastAsia"/>
                <w:kern w:val="0"/>
                <w:szCs w:val="21"/>
              </w:rPr>
            </w:pPr>
          </w:p>
        </w:tc>
        <w:tc>
          <w:tcPr>
            <w:tcW w:w="2797" w:type="dxa"/>
            <w:gridSpan w:val="4"/>
            <w:vAlign w:val="center"/>
          </w:tcPr>
          <w:p w14:paraId="77157790" w14:textId="77777777" w:rsidR="00B14D53" w:rsidRDefault="00000000">
            <w:pPr>
              <w:contextualSpacing/>
              <w:jc w:val="center"/>
              <w:rPr>
                <w:rFonts w:eastAsiaTheme="minorEastAsia"/>
                <w:kern w:val="0"/>
                <w:szCs w:val="21"/>
              </w:rPr>
            </w:pPr>
            <w:r>
              <w:rPr>
                <w:rFonts w:eastAsiaTheme="minorEastAsia"/>
                <w:kern w:val="0"/>
                <w:szCs w:val="21"/>
              </w:rPr>
              <w:t>≤0.05</w:t>
            </w:r>
          </w:p>
        </w:tc>
      </w:tr>
      <w:tr w:rsidR="00B14D53" w14:paraId="65341F29" w14:textId="77777777">
        <w:trPr>
          <w:trHeight w:val="98"/>
          <w:jc w:val="center"/>
        </w:trPr>
        <w:tc>
          <w:tcPr>
            <w:tcW w:w="730" w:type="dxa"/>
            <w:vMerge/>
            <w:vAlign w:val="center"/>
          </w:tcPr>
          <w:p w14:paraId="36E2B4CB" w14:textId="77777777" w:rsidR="00B14D53" w:rsidRDefault="00B14D53">
            <w:pPr>
              <w:contextualSpacing/>
              <w:jc w:val="center"/>
              <w:rPr>
                <w:rFonts w:eastAsiaTheme="minorEastAsia"/>
                <w:kern w:val="0"/>
                <w:szCs w:val="21"/>
              </w:rPr>
            </w:pPr>
          </w:p>
        </w:tc>
        <w:tc>
          <w:tcPr>
            <w:tcW w:w="2690" w:type="dxa"/>
            <w:vMerge/>
            <w:vAlign w:val="center"/>
          </w:tcPr>
          <w:p w14:paraId="323E9548" w14:textId="77777777" w:rsidR="00B14D53" w:rsidRDefault="00B14D53">
            <w:pPr>
              <w:contextualSpacing/>
              <w:jc w:val="center"/>
              <w:rPr>
                <w:rFonts w:eastAsiaTheme="minorEastAsia"/>
                <w:kern w:val="0"/>
                <w:szCs w:val="21"/>
              </w:rPr>
            </w:pPr>
          </w:p>
        </w:tc>
        <w:tc>
          <w:tcPr>
            <w:tcW w:w="1137" w:type="dxa"/>
            <w:vAlign w:val="center"/>
          </w:tcPr>
          <w:p w14:paraId="25F1B437" w14:textId="77777777" w:rsidR="00B14D53" w:rsidRDefault="00000000">
            <w:pPr>
              <w:contextualSpacing/>
              <w:jc w:val="center"/>
              <w:rPr>
                <w:rFonts w:eastAsiaTheme="minorEastAsia"/>
                <w:kern w:val="0"/>
                <w:szCs w:val="21"/>
              </w:rPr>
            </w:pPr>
            <w:r>
              <w:rPr>
                <w:rFonts w:eastAsiaTheme="minorEastAsia" w:hAnsiTheme="minorEastAsia"/>
                <w:kern w:val="0"/>
                <w:szCs w:val="21"/>
              </w:rPr>
              <w:t>砷</w:t>
            </w:r>
          </w:p>
        </w:tc>
        <w:tc>
          <w:tcPr>
            <w:tcW w:w="993" w:type="dxa"/>
            <w:vMerge/>
            <w:vAlign w:val="center"/>
          </w:tcPr>
          <w:p w14:paraId="449B5947" w14:textId="77777777" w:rsidR="00B14D53" w:rsidRDefault="00B14D53">
            <w:pPr>
              <w:contextualSpacing/>
              <w:jc w:val="center"/>
              <w:rPr>
                <w:rFonts w:eastAsiaTheme="minorEastAsia"/>
                <w:kern w:val="0"/>
                <w:szCs w:val="21"/>
              </w:rPr>
            </w:pPr>
          </w:p>
        </w:tc>
        <w:tc>
          <w:tcPr>
            <w:tcW w:w="2797" w:type="dxa"/>
            <w:gridSpan w:val="4"/>
            <w:vAlign w:val="center"/>
          </w:tcPr>
          <w:p w14:paraId="16BCD495" w14:textId="77777777" w:rsidR="00B14D53" w:rsidRDefault="00000000">
            <w:pPr>
              <w:contextualSpacing/>
              <w:jc w:val="center"/>
              <w:rPr>
                <w:rFonts w:eastAsiaTheme="minorEastAsia"/>
                <w:kern w:val="0"/>
                <w:szCs w:val="21"/>
              </w:rPr>
            </w:pPr>
            <w:r>
              <w:rPr>
                <w:rFonts w:eastAsiaTheme="minorEastAsia"/>
                <w:kern w:val="0"/>
                <w:szCs w:val="21"/>
              </w:rPr>
              <w:t>≤0.01</w:t>
            </w:r>
          </w:p>
        </w:tc>
      </w:tr>
      <w:tr w:rsidR="00B14D53" w14:paraId="5F0502B2" w14:textId="77777777">
        <w:trPr>
          <w:trHeight w:val="98"/>
          <w:jc w:val="center"/>
        </w:trPr>
        <w:tc>
          <w:tcPr>
            <w:tcW w:w="730" w:type="dxa"/>
            <w:vMerge/>
            <w:vAlign w:val="center"/>
          </w:tcPr>
          <w:p w14:paraId="1B9C493B" w14:textId="77777777" w:rsidR="00B14D53" w:rsidRDefault="00B14D53">
            <w:pPr>
              <w:contextualSpacing/>
              <w:jc w:val="center"/>
              <w:rPr>
                <w:rFonts w:eastAsiaTheme="minorEastAsia"/>
                <w:kern w:val="0"/>
                <w:szCs w:val="21"/>
              </w:rPr>
            </w:pPr>
          </w:p>
        </w:tc>
        <w:tc>
          <w:tcPr>
            <w:tcW w:w="2690" w:type="dxa"/>
            <w:vMerge/>
            <w:vAlign w:val="center"/>
          </w:tcPr>
          <w:p w14:paraId="55B20E09" w14:textId="77777777" w:rsidR="00B14D53" w:rsidRDefault="00B14D53">
            <w:pPr>
              <w:contextualSpacing/>
              <w:jc w:val="center"/>
              <w:rPr>
                <w:rFonts w:eastAsiaTheme="minorEastAsia"/>
                <w:kern w:val="0"/>
                <w:szCs w:val="21"/>
              </w:rPr>
            </w:pPr>
          </w:p>
        </w:tc>
        <w:tc>
          <w:tcPr>
            <w:tcW w:w="1137" w:type="dxa"/>
            <w:vAlign w:val="center"/>
          </w:tcPr>
          <w:p w14:paraId="2AD1528D" w14:textId="77777777" w:rsidR="00B14D53" w:rsidRDefault="00000000">
            <w:pPr>
              <w:contextualSpacing/>
              <w:jc w:val="center"/>
              <w:rPr>
                <w:rFonts w:eastAsiaTheme="minorEastAsia"/>
                <w:kern w:val="0"/>
                <w:szCs w:val="21"/>
              </w:rPr>
            </w:pPr>
            <w:r>
              <w:rPr>
                <w:rFonts w:eastAsiaTheme="minorEastAsia" w:hAnsiTheme="minorEastAsia"/>
                <w:kern w:val="0"/>
                <w:szCs w:val="21"/>
              </w:rPr>
              <w:t>汞</w:t>
            </w:r>
          </w:p>
        </w:tc>
        <w:tc>
          <w:tcPr>
            <w:tcW w:w="993" w:type="dxa"/>
            <w:vMerge/>
            <w:vAlign w:val="center"/>
          </w:tcPr>
          <w:p w14:paraId="3B58B88D" w14:textId="77777777" w:rsidR="00B14D53" w:rsidRDefault="00B14D53">
            <w:pPr>
              <w:contextualSpacing/>
              <w:jc w:val="center"/>
              <w:rPr>
                <w:rFonts w:eastAsiaTheme="minorEastAsia"/>
                <w:kern w:val="0"/>
                <w:szCs w:val="21"/>
              </w:rPr>
            </w:pPr>
          </w:p>
        </w:tc>
        <w:tc>
          <w:tcPr>
            <w:tcW w:w="2797" w:type="dxa"/>
            <w:gridSpan w:val="4"/>
            <w:vAlign w:val="center"/>
          </w:tcPr>
          <w:p w14:paraId="55ACBE15" w14:textId="77777777" w:rsidR="00B14D53" w:rsidRDefault="00000000">
            <w:pPr>
              <w:contextualSpacing/>
              <w:jc w:val="center"/>
              <w:rPr>
                <w:rFonts w:eastAsiaTheme="minorEastAsia"/>
                <w:kern w:val="0"/>
                <w:szCs w:val="21"/>
              </w:rPr>
            </w:pPr>
            <w:r>
              <w:rPr>
                <w:rFonts w:eastAsiaTheme="minorEastAsia"/>
                <w:kern w:val="0"/>
                <w:szCs w:val="21"/>
              </w:rPr>
              <w:t>≤0.001</w:t>
            </w:r>
          </w:p>
        </w:tc>
      </w:tr>
      <w:tr w:rsidR="00B14D53" w14:paraId="351A4B53" w14:textId="77777777">
        <w:trPr>
          <w:trHeight w:val="98"/>
          <w:jc w:val="center"/>
        </w:trPr>
        <w:tc>
          <w:tcPr>
            <w:tcW w:w="730" w:type="dxa"/>
            <w:vMerge/>
            <w:vAlign w:val="center"/>
          </w:tcPr>
          <w:p w14:paraId="5E45430D" w14:textId="77777777" w:rsidR="00B14D53" w:rsidRDefault="00B14D53">
            <w:pPr>
              <w:contextualSpacing/>
              <w:jc w:val="center"/>
              <w:rPr>
                <w:rFonts w:eastAsiaTheme="minorEastAsia"/>
                <w:kern w:val="0"/>
                <w:szCs w:val="21"/>
              </w:rPr>
            </w:pPr>
          </w:p>
        </w:tc>
        <w:tc>
          <w:tcPr>
            <w:tcW w:w="2690" w:type="dxa"/>
            <w:vMerge/>
            <w:vAlign w:val="center"/>
          </w:tcPr>
          <w:p w14:paraId="222A2224" w14:textId="77777777" w:rsidR="00B14D53" w:rsidRDefault="00B14D53">
            <w:pPr>
              <w:contextualSpacing/>
              <w:jc w:val="center"/>
              <w:rPr>
                <w:rFonts w:eastAsiaTheme="minorEastAsia"/>
                <w:kern w:val="0"/>
                <w:szCs w:val="21"/>
              </w:rPr>
            </w:pPr>
          </w:p>
        </w:tc>
        <w:tc>
          <w:tcPr>
            <w:tcW w:w="1137" w:type="dxa"/>
            <w:vAlign w:val="center"/>
          </w:tcPr>
          <w:p w14:paraId="456C7F71" w14:textId="77777777" w:rsidR="00B14D53" w:rsidRDefault="00000000">
            <w:pPr>
              <w:contextualSpacing/>
              <w:jc w:val="center"/>
              <w:rPr>
                <w:rFonts w:eastAsiaTheme="minorEastAsia"/>
                <w:kern w:val="0"/>
                <w:szCs w:val="21"/>
              </w:rPr>
            </w:pPr>
            <w:r>
              <w:rPr>
                <w:rFonts w:eastAsiaTheme="minorEastAsia" w:hAnsiTheme="minorEastAsia"/>
                <w:kern w:val="0"/>
                <w:szCs w:val="21"/>
              </w:rPr>
              <w:t>六价铬</w:t>
            </w:r>
          </w:p>
        </w:tc>
        <w:tc>
          <w:tcPr>
            <w:tcW w:w="993" w:type="dxa"/>
            <w:vMerge/>
            <w:vAlign w:val="center"/>
          </w:tcPr>
          <w:p w14:paraId="6E61ED03" w14:textId="77777777" w:rsidR="00B14D53" w:rsidRDefault="00B14D53">
            <w:pPr>
              <w:contextualSpacing/>
              <w:jc w:val="center"/>
              <w:rPr>
                <w:rFonts w:eastAsiaTheme="minorEastAsia"/>
                <w:kern w:val="0"/>
                <w:szCs w:val="21"/>
              </w:rPr>
            </w:pPr>
          </w:p>
        </w:tc>
        <w:tc>
          <w:tcPr>
            <w:tcW w:w="2797" w:type="dxa"/>
            <w:gridSpan w:val="4"/>
            <w:vAlign w:val="center"/>
          </w:tcPr>
          <w:p w14:paraId="3DCE798F" w14:textId="77777777" w:rsidR="00B14D53" w:rsidRDefault="00000000">
            <w:pPr>
              <w:contextualSpacing/>
              <w:jc w:val="center"/>
              <w:rPr>
                <w:rFonts w:eastAsiaTheme="minorEastAsia"/>
                <w:kern w:val="0"/>
                <w:szCs w:val="21"/>
              </w:rPr>
            </w:pPr>
            <w:r>
              <w:rPr>
                <w:rFonts w:eastAsiaTheme="minorEastAsia"/>
                <w:kern w:val="0"/>
                <w:szCs w:val="21"/>
              </w:rPr>
              <w:t>≤0.05</w:t>
            </w:r>
          </w:p>
        </w:tc>
      </w:tr>
      <w:tr w:rsidR="00B14D53" w14:paraId="7F7595E1" w14:textId="77777777">
        <w:trPr>
          <w:trHeight w:val="98"/>
          <w:jc w:val="center"/>
        </w:trPr>
        <w:tc>
          <w:tcPr>
            <w:tcW w:w="730" w:type="dxa"/>
            <w:vMerge/>
            <w:vAlign w:val="center"/>
          </w:tcPr>
          <w:p w14:paraId="4CC889F7" w14:textId="77777777" w:rsidR="00B14D53" w:rsidRDefault="00B14D53">
            <w:pPr>
              <w:contextualSpacing/>
              <w:jc w:val="center"/>
              <w:rPr>
                <w:rFonts w:eastAsiaTheme="minorEastAsia"/>
                <w:kern w:val="0"/>
                <w:szCs w:val="21"/>
              </w:rPr>
            </w:pPr>
          </w:p>
        </w:tc>
        <w:tc>
          <w:tcPr>
            <w:tcW w:w="2690" w:type="dxa"/>
            <w:vMerge/>
            <w:vAlign w:val="center"/>
          </w:tcPr>
          <w:p w14:paraId="4461A844" w14:textId="77777777" w:rsidR="00B14D53" w:rsidRDefault="00B14D53">
            <w:pPr>
              <w:contextualSpacing/>
              <w:jc w:val="center"/>
              <w:rPr>
                <w:rFonts w:eastAsiaTheme="minorEastAsia"/>
                <w:kern w:val="0"/>
                <w:szCs w:val="21"/>
              </w:rPr>
            </w:pPr>
          </w:p>
        </w:tc>
        <w:tc>
          <w:tcPr>
            <w:tcW w:w="1137" w:type="dxa"/>
            <w:vAlign w:val="center"/>
          </w:tcPr>
          <w:p w14:paraId="718102E1" w14:textId="77777777" w:rsidR="00B14D53" w:rsidRDefault="00000000">
            <w:pPr>
              <w:contextualSpacing/>
              <w:jc w:val="center"/>
              <w:rPr>
                <w:rFonts w:eastAsiaTheme="minorEastAsia"/>
                <w:kern w:val="0"/>
                <w:szCs w:val="21"/>
              </w:rPr>
            </w:pPr>
            <w:r>
              <w:rPr>
                <w:rFonts w:eastAsiaTheme="minorEastAsia" w:hAnsiTheme="minorEastAsia"/>
                <w:kern w:val="0"/>
                <w:szCs w:val="21"/>
              </w:rPr>
              <w:t>总硬度</w:t>
            </w:r>
          </w:p>
        </w:tc>
        <w:tc>
          <w:tcPr>
            <w:tcW w:w="993" w:type="dxa"/>
            <w:vMerge/>
            <w:vAlign w:val="center"/>
          </w:tcPr>
          <w:p w14:paraId="7D586B32" w14:textId="77777777" w:rsidR="00B14D53" w:rsidRDefault="00B14D53">
            <w:pPr>
              <w:contextualSpacing/>
              <w:jc w:val="center"/>
              <w:rPr>
                <w:rFonts w:eastAsiaTheme="minorEastAsia"/>
                <w:kern w:val="0"/>
                <w:szCs w:val="21"/>
              </w:rPr>
            </w:pPr>
          </w:p>
        </w:tc>
        <w:tc>
          <w:tcPr>
            <w:tcW w:w="2797" w:type="dxa"/>
            <w:gridSpan w:val="4"/>
            <w:vAlign w:val="center"/>
          </w:tcPr>
          <w:p w14:paraId="441547F0" w14:textId="77777777" w:rsidR="00B14D53" w:rsidRDefault="00000000">
            <w:pPr>
              <w:contextualSpacing/>
              <w:jc w:val="center"/>
              <w:rPr>
                <w:rFonts w:eastAsiaTheme="minorEastAsia"/>
                <w:kern w:val="0"/>
                <w:szCs w:val="21"/>
              </w:rPr>
            </w:pPr>
            <w:r>
              <w:rPr>
                <w:rFonts w:eastAsiaTheme="minorEastAsia"/>
                <w:kern w:val="0"/>
                <w:szCs w:val="21"/>
              </w:rPr>
              <w:t>≤450</w:t>
            </w:r>
          </w:p>
        </w:tc>
      </w:tr>
      <w:tr w:rsidR="00B14D53" w14:paraId="409F3C0C" w14:textId="77777777">
        <w:trPr>
          <w:trHeight w:val="98"/>
          <w:jc w:val="center"/>
        </w:trPr>
        <w:tc>
          <w:tcPr>
            <w:tcW w:w="730" w:type="dxa"/>
            <w:vMerge/>
            <w:vAlign w:val="center"/>
          </w:tcPr>
          <w:p w14:paraId="5D03D4D1" w14:textId="77777777" w:rsidR="00B14D53" w:rsidRDefault="00B14D53">
            <w:pPr>
              <w:contextualSpacing/>
              <w:jc w:val="center"/>
              <w:rPr>
                <w:rFonts w:eastAsiaTheme="minorEastAsia"/>
                <w:kern w:val="0"/>
                <w:szCs w:val="21"/>
              </w:rPr>
            </w:pPr>
          </w:p>
        </w:tc>
        <w:tc>
          <w:tcPr>
            <w:tcW w:w="2690" w:type="dxa"/>
            <w:vMerge/>
            <w:vAlign w:val="center"/>
          </w:tcPr>
          <w:p w14:paraId="77084E55" w14:textId="77777777" w:rsidR="00B14D53" w:rsidRDefault="00B14D53">
            <w:pPr>
              <w:contextualSpacing/>
              <w:jc w:val="center"/>
              <w:rPr>
                <w:rFonts w:eastAsiaTheme="minorEastAsia"/>
                <w:kern w:val="0"/>
                <w:szCs w:val="21"/>
              </w:rPr>
            </w:pPr>
          </w:p>
        </w:tc>
        <w:tc>
          <w:tcPr>
            <w:tcW w:w="1137" w:type="dxa"/>
            <w:vAlign w:val="center"/>
          </w:tcPr>
          <w:p w14:paraId="14B20F1D" w14:textId="77777777" w:rsidR="00B14D53" w:rsidRDefault="00000000">
            <w:pPr>
              <w:contextualSpacing/>
              <w:jc w:val="center"/>
              <w:rPr>
                <w:rFonts w:eastAsiaTheme="minorEastAsia"/>
                <w:kern w:val="0"/>
                <w:szCs w:val="21"/>
              </w:rPr>
            </w:pPr>
            <w:r>
              <w:rPr>
                <w:rFonts w:eastAsiaTheme="minorEastAsia" w:hAnsiTheme="minorEastAsia"/>
                <w:kern w:val="0"/>
                <w:szCs w:val="21"/>
              </w:rPr>
              <w:t>氟化物</w:t>
            </w:r>
          </w:p>
        </w:tc>
        <w:tc>
          <w:tcPr>
            <w:tcW w:w="993" w:type="dxa"/>
            <w:vMerge/>
            <w:vAlign w:val="center"/>
          </w:tcPr>
          <w:p w14:paraId="0DFA854F" w14:textId="77777777" w:rsidR="00B14D53" w:rsidRDefault="00B14D53">
            <w:pPr>
              <w:contextualSpacing/>
              <w:jc w:val="center"/>
              <w:rPr>
                <w:rFonts w:eastAsiaTheme="minorEastAsia"/>
                <w:kern w:val="0"/>
                <w:szCs w:val="21"/>
              </w:rPr>
            </w:pPr>
          </w:p>
        </w:tc>
        <w:tc>
          <w:tcPr>
            <w:tcW w:w="2797" w:type="dxa"/>
            <w:gridSpan w:val="4"/>
            <w:vAlign w:val="center"/>
          </w:tcPr>
          <w:p w14:paraId="5ED8DCE6" w14:textId="77777777" w:rsidR="00B14D53" w:rsidRDefault="00000000">
            <w:pPr>
              <w:contextualSpacing/>
              <w:jc w:val="center"/>
              <w:rPr>
                <w:rFonts w:eastAsiaTheme="minorEastAsia"/>
                <w:kern w:val="0"/>
                <w:szCs w:val="21"/>
              </w:rPr>
            </w:pPr>
            <w:r>
              <w:rPr>
                <w:rFonts w:eastAsiaTheme="minorEastAsia"/>
                <w:kern w:val="0"/>
                <w:szCs w:val="21"/>
              </w:rPr>
              <w:t>≤1.0</w:t>
            </w:r>
          </w:p>
        </w:tc>
      </w:tr>
      <w:tr w:rsidR="00B14D53" w14:paraId="17459455" w14:textId="77777777">
        <w:trPr>
          <w:trHeight w:val="98"/>
          <w:jc w:val="center"/>
        </w:trPr>
        <w:tc>
          <w:tcPr>
            <w:tcW w:w="730" w:type="dxa"/>
            <w:vMerge/>
            <w:vAlign w:val="center"/>
          </w:tcPr>
          <w:p w14:paraId="37CF5FB1" w14:textId="77777777" w:rsidR="00B14D53" w:rsidRDefault="00B14D53">
            <w:pPr>
              <w:contextualSpacing/>
              <w:jc w:val="center"/>
              <w:rPr>
                <w:rFonts w:eastAsiaTheme="minorEastAsia"/>
                <w:kern w:val="0"/>
                <w:szCs w:val="21"/>
              </w:rPr>
            </w:pPr>
          </w:p>
        </w:tc>
        <w:tc>
          <w:tcPr>
            <w:tcW w:w="2690" w:type="dxa"/>
            <w:vMerge/>
            <w:vAlign w:val="center"/>
          </w:tcPr>
          <w:p w14:paraId="2996E025" w14:textId="77777777" w:rsidR="00B14D53" w:rsidRDefault="00B14D53">
            <w:pPr>
              <w:contextualSpacing/>
              <w:jc w:val="center"/>
              <w:rPr>
                <w:rFonts w:eastAsiaTheme="minorEastAsia"/>
                <w:kern w:val="0"/>
                <w:szCs w:val="21"/>
              </w:rPr>
            </w:pPr>
          </w:p>
        </w:tc>
        <w:tc>
          <w:tcPr>
            <w:tcW w:w="1137" w:type="dxa"/>
            <w:vAlign w:val="center"/>
          </w:tcPr>
          <w:p w14:paraId="1C21B2ED" w14:textId="77777777" w:rsidR="00B14D53" w:rsidRDefault="00000000">
            <w:pPr>
              <w:contextualSpacing/>
              <w:jc w:val="center"/>
              <w:rPr>
                <w:rFonts w:eastAsiaTheme="minorEastAsia"/>
                <w:kern w:val="0"/>
                <w:szCs w:val="21"/>
              </w:rPr>
            </w:pPr>
            <w:r>
              <w:rPr>
                <w:rFonts w:eastAsiaTheme="minorEastAsia" w:hAnsiTheme="minorEastAsia"/>
                <w:kern w:val="0"/>
                <w:szCs w:val="21"/>
                <w:lang w:val="zh-CN"/>
              </w:rPr>
              <w:t>锌</w:t>
            </w:r>
          </w:p>
        </w:tc>
        <w:tc>
          <w:tcPr>
            <w:tcW w:w="993" w:type="dxa"/>
            <w:vMerge/>
            <w:vAlign w:val="center"/>
          </w:tcPr>
          <w:p w14:paraId="53D9EC83" w14:textId="77777777" w:rsidR="00B14D53" w:rsidRDefault="00B14D53">
            <w:pPr>
              <w:contextualSpacing/>
              <w:jc w:val="center"/>
              <w:rPr>
                <w:rFonts w:eastAsiaTheme="minorEastAsia"/>
                <w:kern w:val="0"/>
                <w:szCs w:val="21"/>
              </w:rPr>
            </w:pPr>
          </w:p>
        </w:tc>
        <w:tc>
          <w:tcPr>
            <w:tcW w:w="2797" w:type="dxa"/>
            <w:gridSpan w:val="4"/>
            <w:vAlign w:val="center"/>
          </w:tcPr>
          <w:p w14:paraId="6A534331" w14:textId="77777777" w:rsidR="00B14D53" w:rsidRDefault="00000000">
            <w:pPr>
              <w:contextualSpacing/>
              <w:jc w:val="center"/>
              <w:rPr>
                <w:rFonts w:eastAsiaTheme="minorEastAsia"/>
                <w:kern w:val="0"/>
                <w:szCs w:val="21"/>
              </w:rPr>
            </w:pPr>
            <w:r>
              <w:rPr>
                <w:rFonts w:eastAsiaTheme="minorEastAsia"/>
                <w:kern w:val="0"/>
                <w:szCs w:val="21"/>
                <w:lang w:val="zh-CN"/>
              </w:rPr>
              <w:t>≤1.0</w:t>
            </w:r>
          </w:p>
        </w:tc>
      </w:tr>
      <w:tr w:rsidR="00B14D53" w14:paraId="1E7E983B" w14:textId="77777777">
        <w:trPr>
          <w:trHeight w:val="98"/>
          <w:jc w:val="center"/>
        </w:trPr>
        <w:tc>
          <w:tcPr>
            <w:tcW w:w="730" w:type="dxa"/>
            <w:vMerge/>
            <w:vAlign w:val="center"/>
          </w:tcPr>
          <w:p w14:paraId="63583913" w14:textId="77777777" w:rsidR="00B14D53" w:rsidRDefault="00B14D53">
            <w:pPr>
              <w:contextualSpacing/>
              <w:jc w:val="center"/>
              <w:rPr>
                <w:rFonts w:eastAsiaTheme="minorEastAsia"/>
                <w:kern w:val="0"/>
                <w:szCs w:val="21"/>
              </w:rPr>
            </w:pPr>
          </w:p>
        </w:tc>
        <w:tc>
          <w:tcPr>
            <w:tcW w:w="2690" w:type="dxa"/>
            <w:vMerge/>
            <w:vAlign w:val="center"/>
          </w:tcPr>
          <w:p w14:paraId="4A927095" w14:textId="77777777" w:rsidR="00B14D53" w:rsidRDefault="00B14D53">
            <w:pPr>
              <w:contextualSpacing/>
              <w:jc w:val="center"/>
              <w:rPr>
                <w:rFonts w:eastAsiaTheme="minorEastAsia"/>
                <w:kern w:val="0"/>
                <w:szCs w:val="21"/>
              </w:rPr>
            </w:pPr>
          </w:p>
        </w:tc>
        <w:tc>
          <w:tcPr>
            <w:tcW w:w="1137" w:type="dxa"/>
            <w:vAlign w:val="center"/>
          </w:tcPr>
          <w:p w14:paraId="6EF5E66F" w14:textId="77777777" w:rsidR="00B14D53" w:rsidRDefault="00000000">
            <w:pPr>
              <w:contextualSpacing/>
              <w:jc w:val="center"/>
              <w:rPr>
                <w:rFonts w:eastAsiaTheme="minorEastAsia"/>
                <w:kern w:val="0"/>
                <w:szCs w:val="21"/>
                <w:lang w:val="zh-CN"/>
              </w:rPr>
            </w:pPr>
            <w:r>
              <w:rPr>
                <w:rFonts w:eastAsiaTheme="minorEastAsia" w:hAnsiTheme="minorEastAsia"/>
                <w:kern w:val="0"/>
                <w:szCs w:val="21"/>
                <w:lang w:val="zh-CN"/>
              </w:rPr>
              <w:t>铜</w:t>
            </w:r>
          </w:p>
        </w:tc>
        <w:tc>
          <w:tcPr>
            <w:tcW w:w="993" w:type="dxa"/>
            <w:vMerge/>
            <w:vAlign w:val="center"/>
          </w:tcPr>
          <w:p w14:paraId="6A961626" w14:textId="77777777" w:rsidR="00B14D53" w:rsidRDefault="00B14D53">
            <w:pPr>
              <w:contextualSpacing/>
              <w:jc w:val="center"/>
              <w:rPr>
                <w:rFonts w:eastAsiaTheme="minorEastAsia"/>
                <w:kern w:val="0"/>
                <w:szCs w:val="21"/>
              </w:rPr>
            </w:pPr>
          </w:p>
        </w:tc>
        <w:tc>
          <w:tcPr>
            <w:tcW w:w="2797" w:type="dxa"/>
            <w:gridSpan w:val="4"/>
            <w:vAlign w:val="center"/>
          </w:tcPr>
          <w:p w14:paraId="1ADCAA51" w14:textId="77777777" w:rsidR="00B14D53" w:rsidRDefault="00000000">
            <w:pPr>
              <w:contextualSpacing/>
              <w:jc w:val="center"/>
              <w:rPr>
                <w:rFonts w:eastAsiaTheme="minorEastAsia"/>
                <w:kern w:val="0"/>
                <w:szCs w:val="21"/>
                <w:lang w:val="zh-CN"/>
              </w:rPr>
            </w:pPr>
            <w:r>
              <w:rPr>
                <w:rFonts w:eastAsiaTheme="minorEastAsia"/>
                <w:kern w:val="0"/>
                <w:szCs w:val="21"/>
                <w:lang w:val="zh-CN"/>
              </w:rPr>
              <w:t>≤1.0</w:t>
            </w:r>
          </w:p>
        </w:tc>
      </w:tr>
      <w:tr w:rsidR="00B14D53" w14:paraId="20FA4F75" w14:textId="77777777">
        <w:trPr>
          <w:trHeight w:val="98"/>
          <w:jc w:val="center"/>
        </w:trPr>
        <w:tc>
          <w:tcPr>
            <w:tcW w:w="730" w:type="dxa"/>
            <w:vMerge/>
            <w:vAlign w:val="center"/>
          </w:tcPr>
          <w:p w14:paraId="79A2C8C0" w14:textId="77777777" w:rsidR="00B14D53" w:rsidRDefault="00B14D53">
            <w:pPr>
              <w:contextualSpacing/>
              <w:jc w:val="center"/>
              <w:rPr>
                <w:rFonts w:eastAsiaTheme="minorEastAsia"/>
                <w:kern w:val="0"/>
                <w:szCs w:val="21"/>
              </w:rPr>
            </w:pPr>
          </w:p>
        </w:tc>
        <w:tc>
          <w:tcPr>
            <w:tcW w:w="2690" w:type="dxa"/>
            <w:vMerge/>
            <w:vAlign w:val="center"/>
          </w:tcPr>
          <w:p w14:paraId="74FC6C3A" w14:textId="77777777" w:rsidR="00B14D53" w:rsidRDefault="00B14D53">
            <w:pPr>
              <w:contextualSpacing/>
              <w:jc w:val="center"/>
              <w:rPr>
                <w:rFonts w:eastAsiaTheme="minorEastAsia"/>
                <w:kern w:val="0"/>
                <w:szCs w:val="21"/>
              </w:rPr>
            </w:pPr>
          </w:p>
        </w:tc>
        <w:tc>
          <w:tcPr>
            <w:tcW w:w="1137" w:type="dxa"/>
            <w:vAlign w:val="center"/>
          </w:tcPr>
          <w:p w14:paraId="12D0DE4A" w14:textId="77777777" w:rsidR="00B14D53" w:rsidRDefault="00000000">
            <w:pPr>
              <w:contextualSpacing/>
              <w:jc w:val="center"/>
              <w:rPr>
                <w:rFonts w:eastAsiaTheme="minorEastAsia"/>
                <w:kern w:val="0"/>
                <w:szCs w:val="21"/>
              </w:rPr>
            </w:pPr>
            <w:r>
              <w:rPr>
                <w:rFonts w:eastAsiaTheme="minorEastAsia" w:hAnsiTheme="minorEastAsia"/>
                <w:kern w:val="0"/>
                <w:szCs w:val="21"/>
                <w:lang w:val="zh-CN"/>
              </w:rPr>
              <w:t>氯化物</w:t>
            </w:r>
          </w:p>
        </w:tc>
        <w:tc>
          <w:tcPr>
            <w:tcW w:w="993" w:type="dxa"/>
            <w:vMerge/>
            <w:vAlign w:val="center"/>
          </w:tcPr>
          <w:p w14:paraId="71EC820A" w14:textId="77777777" w:rsidR="00B14D53" w:rsidRDefault="00B14D53">
            <w:pPr>
              <w:contextualSpacing/>
              <w:jc w:val="center"/>
              <w:rPr>
                <w:rFonts w:eastAsiaTheme="minorEastAsia"/>
                <w:kern w:val="0"/>
                <w:szCs w:val="21"/>
              </w:rPr>
            </w:pPr>
          </w:p>
        </w:tc>
        <w:tc>
          <w:tcPr>
            <w:tcW w:w="2797" w:type="dxa"/>
            <w:gridSpan w:val="4"/>
            <w:vAlign w:val="center"/>
          </w:tcPr>
          <w:p w14:paraId="1945AC93" w14:textId="77777777" w:rsidR="00B14D53" w:rsidRDefault="00000000">
            <w:pPr>
              <w:contextualSpacing/>
              <w:jc w:val="center"/>
              <w:rPr>
                <w:rFonts w:eastAsiaTheme="minorEastAsia"/>
                <w:kern w:val="0"/>
                <w:szCs w:val="21"/>
              </w:rPr>
            </w:pPr>
            <w:r>
              <w:rPr>
                <w:rFonts w:eastAsiaTheme="minorEastAsia"/>
                <w:kern w:val="0"/>
                <w:szCs w:val="21"/>
                <w:lang w:val="zh-CN"/>
              </w:rPr>
              <w:t>≤250</w:t>
            </w:r>
          </w:p>
        </w:tc>
      </w:tr>
      <w:tr w:rsidR="00B14D53" w14:paraId="325746C1" w14:textId="77777777">
        <w:trPr>
          <w:trHeight w:val="98"/>
          <w:jc w:val="center"/>
        </w:trPr>
        <w:tc>
          <w:tcPr>
            <w:tcW w:w="730" w:type="dxa"/>
            <w:vMerge/>
            <w:vAlign w:val="center"/>
          </w:tcPr>
          <w:p w14:paraId="3DC6FCFE" w14:textId="77777777" w:rsidR="00B14D53" w:rsidRDefault="00B14D53">
            <w:pPr>
              <w:contextualSpacing/>
              <w:jc w:val="center"/>
              <w:rPr>
                <w:rFonts w:eastAsiaTheme="minorEastAsia"/>
                <w:kern w:val="0"/>
                <w:szCs w:val="21"/>
              </w:rPr>
            </w:pPr>
          </w:p>
        </w:tc>
        <w:tc>
          <w:tcPr>
            <w:tcW w:w="2690" w:type="dxa"/>
            <w:vMerge/>
            <w:vAlign w:val="center"/>
          </w:tcPr>
          <w:p w14:paraId="15E46CAD" w14:textId="77777777" w:rsidR="00B14D53" w:rsidRDefault="00B14D53">
            <w:pPr>
              <w:contextualSpacing/>
              <w:jc w:val="center"/>
              <w:rPr>
                <w:rFonts w:eastAsiaTheme="minorEastAsia"/>
                <w:kern w:val="0"/>
                <w:szCs w:val="21"/>
              </w:rPr>
            </w:pPr>
          </w:p>
        </w:tc>
        <w:tc>
          <w:tcPr>
            <w:tcW w:w="1137" w:type="dxa"/>
            <w:vAlign w:val="center"/>
          </w:tcPr>
          <w:p w14:paraId="7729D880" w14:textId="77777777" w:rsidR="00B14D53" w:rsidRDefault="00000000">
            <w:pPr>
              <w:contextualSpacing/>
              <w:jc w:val="center"/>
              <w:rPr>
                <w:rFonts w:eastAsiaTheme="minorEastAsia"/>
                <w:kern w:val="0"/>
                <w:szCs w:val="21"/>
                <w:lang w:val="zh-CN"/>
              </w:rPr>
            </w:pPr>
            <w:r>
              <w:rPr>
                <w:rFonts w:eastAsiaTheme="minorEastAsia" w:hAnsiTheme="minorEastAsia"/>
                <w:kern w:val="0"/>
                <w:szCs w:val="21"/>
                <w:lang w:val="zh-CN"/>
              </w:rPr>
              <w:t>硫酸盐</w:t>
            </w:r>
          </w:p>
        </w:tc>
        <w:tc>
          <w:tcPr>
            <w:tcW w:w="993" w:type="dxa"/>
            <w:vMerge/>
            <w:vAlign w:val="center"/>
          </w:tcPr>
          <w:p w14:paraId="1B63946C" w14:textId="77777777" w:rsidR="00B14D53" w:rsidRDefault="00B14D53">
            <w:pPr>
              <w:contextualSpacing/>
              <w:jc w:val="center"/>
              <w:rPr>
                <w:rFonts w:eastAsiaTheme="minorEastAsia"/>
                <w:kern w:val="0"/>
                <w:szCs w:val="21"/>
              </w:rPr>
            </w:pPr>
          </w:p>
        </w:tc>
        <w:tc>
          <w:tcPr>
            <w:tcW w:w="2797" w:type="dxa"/>
            <w:gridSpan w:val="4"/>
            <w:vAlign w:val="center"/>
          </w:tcPr>
          <w:p w14:paraId="5641B8B1" w14:textId="77777777" w:rsidR="00B14D53" w:rsidRDefault="00000000">
            <w:pPr>
              <w:contextualSpacing/>
              <w:jc w:val="center"/>
              <w:rPr>
                <w:rFonts w:eastAsiaTheme="minorEastAsia"/>
                <w:kern w:val="0"/>
                <w:szCs w:val="21"/>
                <w:lang w:val="zh-CN"/>
              </w:rPr>
            </w:pPr>
            <w:r>
              <w:rPr>
                <w:rFonts w:eastAsiaTheme="minorEastAsia"/>
                <w:kern w:val="0"/>
                <w:szCs w:val="21"/>
                <w:lang w:val="zh-CN"/>
              </w:rPr>
              <w:t>≤250</w:t>
            </w:r>
          </w:p>
        </w:tc>
      </w:tr>
      <w:tr w:rsidR="00B14D53" w14:paraId="0F7CE1A0" w14:textId="77777777">
        <w:trPr>
          <w:trHeight w:val="98"/>
          <w:jc w:val="center"/>
        </w:trPr>
        <w:tc>
          <w:tcPr>
            <w:tcW w:w="730" w:type="dxa"/>
            <w:vMerge/>
            <w:vAlign w:val="center"/>
          </w:tcPr>
          <w:p w14:paraId="59421588" w14:textId="77777777" w:rsidR="00B14D53" w:rsidRDefault="00B14D53">
            <w:pPr>
              <w:contextualSpacing/>
              <w:jc w:val="center"/>
              <w:rPr>
                <w:rFonts w:eastAsiaTheme="minorEastAsia"/>
                <w:kern w:val="0"/>
                <w:szCs w:val="21"/>
              </w:rPr>
            </w:pPr>
          </w:p>
        </w:tc>
        <w:tc>
          <w:tcPr>
            <w:tcW w:w="2690" w:type="dxa"/>
            <w:vMerge/>
            <w:vAlign w:val="center"/>
          </w:tcPr>
          <w:p w14:paraId="5740DDD1" w14:textId="77777777" w:rsidR="00B14D53" w:rsidRDefault="00B14D53">
            <w:pPr>
              <w:contextualSpacing/>
              <w:jc w:val="center"/>
              <w:rPr>
                <w:rFonts w:eastAsiaTheme="minorEastAsia"/>
                <w:kern w:val="0"/>
                <w:szCs w:val="21"/>
              </w:rPr>
            </w:pPr>
          </w:p>
        </w:tc>
        <w:tc>
          <w:tcPr>
            <w:tcW w:w="1137" w:type="dxa"/>
            <w:vAlign w:val="center"/>
          </w:tcPr>
          <w:p w14:paraId="6E8A8BD7" w14:textId="77777777" w:rsidR="00B14D53" w:rsidRDefault="00000000">
            <w:pPr>
              <w:contextualSpacing/>
              <w:jc w:val="center"/>
              <w:rPr>
                <w:rFonts w:eastAsiaTheme="minorEastAsia"/>
                <w:kern w:val="0"/>
                <w:szCs w:val="21"/>
              </w:rPr>
            </w:pPr>
            <w:r>
              <w:rPr>
                <w:rFonts w:eastAsiaTheme="minorEastAsia" w:hAnsiTheme="minorEastAsia"/>
                <w:kern w:val="0"/>
                <w:szCs w:val="21"/>
              </w:rPr>
              <w:t>铅</w:t>
            </w:r>
          </w:p>
        </w:tc>
        <w:tc>
          <w:tcPr>
            <w:tcW w:w="993" w:type="dxa"/>
            <w:vMerge/>
            <w:vAlign w:val="center"/>
          </w:tcPr>
          <w:p w14:paraId="5423AD0B" w14:textId="77777777" w:rsidR="00B14D53" w:rsidRDefault="00B14D53">
            <w:pPr>
              <w:contextualSpacing/>
              <w:jc w:val="center"/>
              <w:rPr>
                <w:rFonts w:eastAsiaTheme="minorEastAsia"/>
                <w:kern w:val="0"/>
                <w:szCs w:val="21"/>
              </w:rPr>
            </w:pPr>
          </w:p>
        </w:tc>
        <w:tc>
          <w:tcPr>
            <w:tcW w:w="2797" w:type="dxa"/>
            <w:gridSpan w:val="4"/>
            <w:vAlign w:val="center"/>
          </w:tcPr>
          <w:p w14:paraId="77B2553C" w14:textId="77777777" w:rsidR="00B14D53" w:rsidRDefault="00000000">
            <w:pPr>
              <w:contextualSpacing/>
              <w:jc w:val="center"/>
              <w:rPr>
                <w:rFonts w:eastAsiaTheme="minorEastAsia"/>
                <w:kern w:val="0"/>
                <w:szCs w:val="21"/>
              </w:rPr>
            </w:pPr>
            <w:r>
              <w:rPr>
                <w:rFonts w:eastAsiaTheme="minorEastAsia"/>
                <w:kern w:val="0"/>
                <w:szCs w:val="21"/>
              </w:rPr>
              <w:t>≤0.01</w:t>
            </w:r>
          </w:p>
        </w:tc>
      </w:tr>
      <w:tr w:rsidR="00B14D53" w14:paraId="63D79A76" w14:textId="77777777">
        <w:trPr>
          <w:gridAfter w:val="1"/>
          <w:wAfter w:w="89" w:type="dxa"/>
          <w:trHeight w:val="98"/>
          <w:jc w:val="center"/>
        </w:trPr>
        <w:tc>
          <w:tcPr>
            <w:tcW w:w="730" w:type="dxa"/>
            <w:vMerge/>
            <w:vAlign w:val="center"/>
          </w:tcPr>
          <w:p w14:paraId="44E8704C" w14:textId="77777777" w:rsidR="00B14D53" w:rsidRDefault="00B14D53">
            <w:pPr>
              <w:contextualSpacing/>
              <w:jc w:val="center"/>
              <w:rPr>
                <w:rFonts w:eastAsiaTheme="minorEastAsia"/>
                <w:kern w:val="0"/>
                <w:szCs w:val="21"/>
              </w:rPr>
            </w:pPr>
          </w:p>
        </w:tc>
        <w:tc>
          <w:tcPr>
            <w:tcW w:w="2690" w:type="dxa"/>
            <w:vMerge/>
            <w:vAlign w:val="center"/>
          </w:tcPr>
          <w:p w14:paraId="2428DDCA" w14:textId="77777777" w:rsidR="00B14D53" w:rsidRDefault="00B14D53">
            <w:pPr>
              <w:contextualSpacing/>
              <w:jc w:val="center"/>
              <w:rPr>
                <w:rFonts w:eastAsiaTheme="minorEastAsia"/>
                <w:kern w:val="0"/>
                <w:szCs w:val="21"/>
              </w:rPr>
            </w:pPr>
          </w:p>
        </w:tc>
        <w:tc>
          <w:tcPr>
            <w:tcW w:w="1137" w:type="dxa"/>
            <w:vAlign w:val="center"/>
          </w:tcPr>
          <w:p w14:paraId="4ED1617A" w14:textId="77777777" w:rsidR="00B14D53" w:rsidRDefault="00000000">
            <w:pPr>
              <w:contextualSpacing/>
              <w:jc w:val="center"/>
              <w:rPr>
                <w:rFonts w:eastAsiaTheme="minorEastAsia"/>
                <w:kern w:val="0"/>
                <w:szCs w:val="21"/>
              </w:rPr>
            </w:pPr>
            <w:r>
              <w:rPr>
                <w:rFonts w:eastAsiaTheme="minorEastAsia" w:hAnsiTheme="minorEastAsia"/>
                <w:kern w:val="0"/>
                <w:szCs w:val="21"/>
              </w:rPr>
              <w:t>镉</w:t>
            </w:r>
          </w:p>
        </w:tc>
        <w:tc>
          <w:tcPr>
            <w:tcW w:w="993" w:type="dxa"/>
            <w:vMerge/>
            <w:vAlign w:val="center"/>
          </w:tcPr>
          <w:p w14:paraId="51957004" w14:textId="77777777" w:rsidR="00B14D53" w:rsidRDefault="00B14D53">
            <w:pPr>
              <w:widowControl/>
              <w:contextualSpacing/>
              <w:jc w:val="center"/>
              <w:rPr>
                <w:rFonts w:eastAsiaTheme="minorEastAsia"/>
                <w:szCs w:val="21"/>
              </w:rPr>
            </w:pPr>
          </w:p>
        </w:tc>
        <w:tc>
          <w:tcPr>
            <w:tcW w:w="2708" w:type="dxa"/>
            <w:gridSpan w:val="3"/>
            <w:vAlign w:val="center"/>
          </w:tcPr>
          <w:p w14:paraId="6CF73C77" w14:textId="77777777" w:rsidR="00B14D53" w:rsidRDefault="00000000">
            <w:pPr>
              <w:contextualSpacing/>
              <w:jc w:val="center"/>
              <w:rPr>
                <w:rFonts w:eastAsiaTheme="minorEastAsia"/>
                <w:kern w:val="0"/>
                <w:szCs w:val="21"/>
              </w:rPr>
            </w:pPr>
            <w:r>
              <w:rPr>
                <w:rFonts w:eastAsiaTheme="minorEastAsia"/>
                <w:kern w:val="0"/>
                <w:szCs w:val="21"/>
              </w:rPr>
              <w:t>≤0.005</w:t>
            </w:r>
          </w:p>
        </w:tc>
      </w:tr>
    </w:tbl>
    <w:p w14:paraId="614D9D2C" w14:textId="77777777" w:rsidR="00B14D53" w:rsidRDefault="00B14D53"/>
    <w:p w14:paraId="799387EF" w14:textId="77777777" w:rsidR="00B14D53" w:rsidRDefault="00000000">
      <w:pPr>
        <w:jc w:val="center"/>
      </w:pPr>
      <w:r>
        <w:rPr>
          <w:rFonts w:hint="eastAsia"/>
          <w:b/>
          <w:bCs/>
        </w:rPr>
        <w:t>续</w:t>
      </w:r>
      <w:r>
        <w:rPr>
          <w:b/>
          <w:bCs/>
        </w:rPr>
        <w:t>表</w:t>
      </w:r>
      <w:r>
        <w:rPr>
          <w:b/>
          <w:bCs/>
        </w:rPr>
        <w:t>2-3-1</w:t>
      </w:r>
      <w:r>
        <w:rPr>
          <w:rFonts w:hint="eastAsia"/>
          <w:b/>
          <w:bCs/>
        </w:rPr>
        <w:t xml:space="preserve"> </w:t>
      </w:r>
      <w:r>
        <w:rPr>
          <w:b/>
          <w:bCs/>
        </w:rPr>
        <w:t>环境质量标准表</w:t>
      </w:r>
    </w:p>
    <w:tbl>
      <w:tblPr>
        <w:tblW w:w="825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30"/>
        <w:gridCol w:w="2690"/>
        <w:gridCol w:w="1137"/>
        <w:gridCol w:w="993"/>
        <w:gridCol w:w="2075"/>
        <w:gridCol w:w="633"/>
      </w:tblGrid>
      <w:tr w:rsidR="00B14D53" w14:paraId="7C74A93F" w14:textId="77777777">
        <w:trPr>
          <w:trHeight w:val="98"/>
          <w:jc w:val="center"/>
        </w:trPr>
        <w:tc>
          <w:tcPr>
            <w:tcW w:w="730" w:type="dxa"/>
            <w:vMerge w:val="restart"/>
            <w:vAlign w:val="center"/>
          </w:tcPr>
          <w:p w14:paraId="2BD2CBB2" w14:textId="77777777" w:rsidR="00B14D53" w:rsidRDefault="00000000">
            <w:pPr>
              <w:contextualSpacing/>
              <w:jc w:val="center"/>
              <w:rPr>
                <w:rFonts w:eastAsiaTheme="minorEastAsia"/>
                <w:kern w:val="0"/>
                <w:szCs w:val="21"/>
              </w:rPr>
            </w:pPr>
            <w:r>
              <w:rPr>
                <w:rFonts w:eastAsiaTheme="minorEastAsia" w:hAnsiTheme="minorEastAsia"/>
                <w:kern w:val="0"/>
                <w:szCs w:val="21"/>
              </w:rPr>
              <w:t>地下水环境</w:t>
            </w:r>
          </w:p>
        </w:tc>
        <w:tc>
          <w:tcPr>
            <w:tcW w:w="2690" w:type="dxa"/>
            <w:vMerge w:val="restart"/>
            <w:vAlign w:val="center"/>
          </w:tcPr>
          <w:p w14:paraId="50DD267B" w14:textId="77777777" w:rsidR="00B14D53" w:rsidRDefault="00000000">
            <w:pPr>
              <w:contextualSpacing/>
              <w:jc w:val="center"/>
              <w:rPr>
                <w:rFonts w:eastAsiaTheme="minorEastAsia"/>
                <w:kern w:val="0"/>
                <w:szCs w:val="21"/>
              </w:rPr>
            </w:pPr>
            <w:r>
              <w:rPr>
                <w:rFonts w:eastAsiaTheme="minorEastAsia"/>
                <w:kern w:val="0"/>
                <w:szCs w:val="21"/>
              </w:rPr>
              <w:t>《地下水质量标准》（</w:t>
            </w:r>
            <w:r>
              <w:rPr>
                <w:rFonts w:eastAsiaTheme="minorEastAsia"/>
                <w:kern w:val="0"/>
                <w:szCs w:val="21"/>
              </w:rPr>
              <w:t>GB/T14848-2017</w:t>
            </w:r>
            <w:r>
              <w:rPr>
                <w:rFonts w:eastAsiaTheme="minorEastAsia"/>
                <w:kern w:val="0"/>
                <w:szCs w:val="21"/>
              </w:rPr>
              <w:t>）</w:t>
            </w:r>
            <w:r>
              <w:rPr>
                <w:rFonts w:eastAsiaTheme="minorEastAsia"/>
                <w:kern w:val="0"/>
                <w:szCs w:val="21"/>
              </w:rPr>
              <w:t>Ⅲ</w:t>
            </w:r>
            <w:r>
              <w:rPr>
                <w:rFonts w:eastAsiaTheme="minorEastAsia"/>
                <w:kern w:val="0"/>
                <w:szCs w:val="21"/>
              </w:rPr>
              <w:t>类</w:t>
            </w:r>
          </w:p>
        </w:tc>
        <w:tc>
          <w:tcPr>
            <w:tcW w:w="1137" w:type="dxa"/>
            <w:vAlign w:val="center"/>
          </w:tcPr>
          <w:p w14:paraId="4F1A2D13" w14:textId="77777777" w:rsidR="00B14D53" w:rsidRDefault="00000000">
            <w:pPr>
              <w:contextualSpacing/>
              <w:jc w:val="center"/>
              <w:rPr>
                <w:rFonts w:eastAsiaTheme="minorEastAsia"/>
                <w:kern w:val="0"/>
                <w:szCs w:val="21"/>
              </w:rPr>
            </w:pPr>
            <w:r>
              <w:rPr>
                <w:rFonts w:eastAsiaTheme="minorEastAsia" w:hAnsiTheme="minorEastAsia"/>
                <w:kern w:val="0"/>
                <w:szCs w:val="21"/>
              </w:rPr>
              <w:t>锰</w:t>
            </w:r>
          </w:p>
        </w:tc>
        <w:tc>
          <w:tcPr>
            <w:tcW w:w="993" w:type="dxa"/>
            <w:vMerge w:val="restart"/>
            <w:vAlign w:val="center"/>
          </w:tcPr>
          <w:p w14:paraId="3A401D6D" w14:textId="77777777" w:rsidR="00B14D53" w:rsidRDefault="00000000">
            <w:pPr>
              <w:contextualSpacing/>
              <w:jc w:val="center"/>
              <w:rPr>
                <w:rFonts w:eastAsiaTheme="minorEastAsia"/>
                <w:szCs w:val="21"/>
              </w:rPr>
            </w:pPr>
            <w:r>
              <w:rPr>
                <w:rFonts w:eastAsiaTheme="minorEastAsia"/>
                <w:kern w:val="0"/>
                <w:szCs w:val="21"/>
              </w:rPr>
              <w:t>mg/L</w:t>
            </w:r>
          </w:p>
        </w:tc>
        <w:tc>
          <w:tcPr>
            <w:tcW w:w="2708" w:type="dxa"/>
            <w:gridSpan w:val="2"/>
            <w:vAlign w:val="center"/>
          </w:tcPr>
          <w:p w14:paraId="48B5AB2D" w14:textId="77777777" w:rsidR="00B14D53" w:rsidRDefault="00000000">
            <w:pPr>
              <w:contextualSpacing/>
              <w:jc w:val="center"/>
              <w:rPr>
                <w:rFonts w:eastAsiaTheme="minorEastAsia"/>
                <w:kern w:val="0"/>
                <w:szCs w:val="21"/>
              </w:rPr>
            </w:pPr>
            <w:r>
              <w:rPr>
                <w:rFonts w:eastAsiaTheme="minorEastAsia"/>
                <w:kern w:val="0"/>
                <w:szCs w:val="21"/>
              </w:rPr>
              <w:t>≤0.1</w:t>
            </w:r>
          </w:p>
        </w:tc>
      </w:tr>
      <w:tr w:rsidR="00B14D53" w14:paraId="26EC4F35" w14:textId="77777777">
        <w:trPr>
          <w:trHeight w:val="98"/>
          <w:jc w:val="center"/>
        </w:trPr>
        <w:tc>
          <w:tcPr>
            <w:tcW w:w="730" w:type="dxa"/>
            <w:vMerge/>
            <w:vAlign w:val="center"/>
          </w:tcPr>
          <w:p w14:paraId="228DD62B" w14:textId="77777777" w:rsidR="00B14D53" w:rsidRDefault="00B14D53">
            <w:pPr>
              <w:widowControl/>
              <w:contextualSpacing/>
              <w:jc w:val="left"/>
              <w:rPr>
                <w:rFonts w:eastAsiaTheme="minorEastAsia"/>
                <w:kern w:val="0"/>
                <w:szCs w:val="21"/>
              </w:rPr>
            </w:pPr>
          </w:p>
        </w:tc>
        <w:tc>
          <w:tcPr>
            <w:tcW w:w="2690" w:type="dxa"/>
            <w:vMerge/>
            <w:vAlign w:val="center"/>
          </w:tcPr>
          <w:p w14:paraId="365DE1E6" w14:textId="77777777" w:rsidR="00B14D53" w:rsidRDefault="00B14D53">
            <w:pPr>
              <w:widowControl/>
              <w:contextualSpacing/>
              <w:jc w:val="left"/>
              <w:rPr>
                <w:rFonts w:eastAsiaTheme="minorEastAsia"/>
                <w:kern w:val="0"/>
                <w:szCs w:val="21"/>
              </w:rPr>
            </w:pPr>
          </w:p>
        </w:tc>
        <w:tc>
          <w:tcPr>
            <w:tcW w:w="1137" w:type="dxa"/>
            <w:vAlign w:val="center"/>
          </w:tcPr>
          <w:p w14:paraId="4AB009D3" w14:textId="77777777" w:rsidR="00B14D53" w:rsidRDefault="00000000">
            <w:pPr>
              <w:contextualSpacing/>
              <w:jc w:val="center"/>
              <w:rPr>
                <w:rFonts w:eastAsiaTheme="minorEastAsia"/>
                <w:kern w:val="0"/>
                <w:szCs w:val="21"/>
              </w:rPr>
            </w:pPr>
            <w:r>
              <w:rPr>
                <w:rFonts w:eastAsiaTheme="minorEastAsia" w:hAnsiTheme="minorEastAsia"/>
                <w:kern w:val="0"/>
                <w:szCs w:val="21"/>
              </w:rPr>
              <w:t>铁</w:t>
            </w:r>
          </w:p>
        </w:tc>
        <w:tc>
          <w:tcPr>
            <w:tcW w:w="993" w:type="dxa"/>
            <w:vMerge/>
            <w:vAlign w:val="center"/>
          </w:tcPr>
          <w:p w14:paraId="5E75B240" w14:textId="77777777" w:rsidR="00B14D53" w:rsidRDefault="00B14D53">
            <w:pPr>
              <w:contextualSpacing/>
              <w:rPr>
                <w:rFonts w:eastAsiaTheme="minorEastAsia"/>
                <w:szCs w:val="21"/>
              </w:rPr>
            </w:pPr>
          </w:p>
        </w:tc>
        <w:tc>
          <w:tcPr>
            <w:tcW w:w="2708" w:type="dxa"/>
            <w:gridSpan w:val="2"/>
            <w:vAlign w:val="center"/>
          </w:tcPr>
          <w:p w14:paraId="64442FD8" w14:textId="77777777" w:rsidR="00B14D53" w:rsidRDefault="00000000">
            <w:pPr>
              <w:contextualSpacing/>
              <w:jc w:val="center"/>
              <w:rPr>
                <w:rFonts w:eastAsiaTheme="minorEastAsia"/>
                <w:kern w:val="0"/>
                <w:szCs w:val="21"/>
              </w:rPr>
            </w:pPr>
            <w:r>
              <w:rPr>
                <w:rFonts w:eastAsiaTheme="minorEastAsia"/>
                <w:kern w:val="0"/>
                <w:szCs w:val="21"/>
              </w:rPr>
              <w:t>≤0.3</w:t>
            </w:r>
          </w:p>
        </w:tc>
      </w:tr>
      <w:tr w:rsidR="00B14D53" w14:paraId="0A589AFF" w14:textId="77777777">
        <w:trPr>
          <w:trHeight w:val="98"/>
          <w:jc w:val="center"/>
        </w:trPr>
        <w:tc>
          <w:tcPr>
            <w:tcW w:w="730" w:type="dxa"/>
            <w:vMerge/>
            <w:vAlign w:val="center"/>
          </w:tcPr>
          <w:p w14:paraId="52A760A5" w14:textId="77777777" w:rsidR="00B14D53" w:rsidRDefault="00B14D53">
            <w:pPr>
              <w:widowControl/>
              <w:contextualSpacing/>
              <w:jc w:val="left"/>
              <w:rPr>
                <w:rFonts w:eastAsiaTheme="minorEastAsia"/>
                <w:kern w:val="0"/>
                <w:szCs w:val="21"/>
              </w:rPr>
            </w:pPr>
          </w:p>
        </w:tc>
        <w:tc>
          <w:tcPr>
            <w:tcW w:w="2690" w:type="dxa"/>
            <w:vMerge/>
            <w:vAlign w:val="center"/>
          </w:tcPr>
          <w:p w14:paraId="7A338336" w14:textId="77777777" w:rsidR="00B14D53" w:rsidRDefault="00B14D53">
            <w:pPr>
              <w:widowControl/>
              <w:contextualSpacing/>
              <w:jc w:val="left"/>
              <w:rPr>
                <w:rFonts w:eastAsiaTheme="minorEastAsia"/>
                <w:kern w:val="0"/>
                <w:szCs w:val="21"/>
              </w:rPr>
            </w:pPr>
          </w:p>
        </w:tc>
        <w:tc>
          <w:tcPr>
            <w:tcW w:w="1137" w:type="dxa"/>
            <w:vAlign w:val="center"/>
          </w:tcPr>
          <w:p w14:paraId="253DB6B0" w14:textId="77777777" w:rsidR="00B14D53" w:rsidRDefault="00000000">
            <w:pPr>
              <w:contextualSpacing/>
              <w:jc w:val="center"/>
              <w:rPr>
                <w:rFonts w:eastAsiaTheme="minorEastAsia"/>
                <w:kern w:val="0"/>
                <w:szCs w:val="21"/>
              </w:rPr>
            </w:pPr>
            <w:r>
              <w:rPr>
                <w:rFonts w:eastAsiaTheme="minorEastAsia" w:hAnsiTheme="minorEastAsia"/>
                <w:kern w:val="0"/>
                <w:szCs w:val="21"/>
              </w:rPr>
              <w:t>溶解性总固体</w:t>
            </w:r>
          </w:p>
        </w:tc>
        <w:tc>
          <w:tcPr>
            <w:tcW w:w="993" w:type="dxa"/>
            <w:vMerge/>
            <w:vAlign w:val="center"/>
          </w:tcPr>
          <w:p w14:paraId="4B965262" w14:textId="77777777" w:rsidR="00B14D53" w:rsidRDefault="00B14D53">
            <w:pPr>
              <w:contextualSpacing/>
              <w:rPr>
                <w:rFonts w:eastAsiaTheme="minorEastAsia"/>
                <w:szCs w:val="21"/>
              </w:rPr>
            </w:pPr>
          </w:p>
        </w:tc>
        <w:tc>
          <w:tcPr>
            <w:tcW w:w="2708" w:type="dxa"/>
            <w:gridSpan w:val="2"/>
            <w:vAlign w:val="center"/>
          </w:tcPr>
          <w:p w14:paraId="60E34846" w14:textId="77777777" w:rsidR="00B14D53" w:rsidRDefault="00000000">
            <w:pPr>
              <w:contextualSpacing/>
              <w:jc w:val="center"/>
              <w:rPr>
                <w:rFonts w:eastAsiaTheme="minorEastAsia"/>
                <w:kern w:val="0"/>
                <w:szCs w:val="21"/>
              </w:rPr>
            </w:pPr>
            <w:r>
              <w:rPr>
                <w:rFonts w:eastAsiaTheme="minorEastAsia"/>
                <w:kern w:val="0"/>
                <w:szCs w:val="21"/>
              </w:rPr>
              <w:t>≤1000</w:t>
            </w:r>
          </w:p>
        </w:tc>
      </w:tr>
      <w:tr w:rsidR="00B14D53" w14:paraId="714312E9" w14:textId="77777777">
        <w:trPr>
          <w:trHeight w:val="98"/>
          <w:jc w:val="center"/>
        </w:trPr>
        <w:tc>
          <w:tcPr>
            <w:tcW w:w="730" w:type="dxa"/>
            <w:vMerge/>
            <w:vAlign w:val="center"/>
          </w:tcPr>
          <w:p w14:paraId="043EDBE4" w14:textId="77777777" w:rsidR="00B14D53" w:rsidRDefault="00B14D53">
            <w:pPr>
              <w:widowControl/>
              <w:contextualSpacing/>
              <w:jc w:val="left"/>
              <w:rPr>
                <w:rFonts w:eastAsiaTheme="minorEastAsia"/>
                <w:kern w:val="0"/>
                <w:szCs w:val="21"/>
              </w:rPr>
            </w:pPr>
          </w:p>
        </w:tc>
        <w:tc>
          <w:tcPr>
            <w:tcW w:w="2690" w:type="dxa"/>
            <w:vMerge/>
            <w:vAlign w:val="center"/>
          </w:tcPr>
          <w:p w14:paraId="7A867697" w14:textId="77777777" w:rsidR="00B14D53" w:rsidRDefault="00B14D53">
            <w:pPr>
              <w:widowControl/>
              <w:contextualSpacing/>
              <w:jc w:val="left"/>
              <w:rPr>
                <w:rFonts w:eastAsiaTheme="minorEastAsia"/>
                <w:kern w:val="0"/>
                <w:szCs w:val="21"/>
              </w:rPr>
            </w:pPr>
          </w:p>
        </w:tc>
        <w:tc>
          <w:tcPr>
            <w:tcW w:w="1137" w:type="dxa"/>
            <w:vAlign w:val="center"/>
          </w:tcPr>
          <w:p w14:paraId="13808AF9" w14:textId="77777777" w:rsidR="00B14D53" w:rsidRDefault="00000000">
            <w:pPr>
              <w:contextualSpacing/>
              <w:jc w:val="center"/>
              <w:rPr>
                <w:rFonts w:eastAsiaTheme="minorEastAsia"/>
                <w:kern w:val="0"/>
                <w:szCs w:val="21"/>
              </w:rPr>
            </w:pPr>
            <w:r>
              <w:rPr>
                <w:rFonts w:eastAsiaTheme="minorEastAsia" w:hint="eastAsia"/>
                <w:kern w:val="0"/>
                <w:szCs w:val="21"/>
              </w:rPr>
              <w:t>耗氧量</w:t>
            </w:r>
          </w:p>
        </w:tc>
        <w:tc>
          <w:tcPr>
            <w:tcW w:w="993" w:type="dxa"/>
            <w:vMerge/>
            <w:vAlign w:val="center"/>
          </w:tcPr>
          <w:p w14:paraId="45603FB5" w14:textId="77777777" w:rsidR="00B14D53" w:rsidRDefault="00B14D53">
            <w:pPr>
              <w:contextualSpacing/>
              <w:rPr>
                <w:rFonts w:eastAsiaTheme="minorEastAsia"/>
                <w:szCs w:val="21"/>
              </w:rPr>
            </w:pPr>
          </w:p>
        </w:tc>
        <w:tc>
          <w:tcPr>
            <w:tcW w:w="2708" w:type="dxa"/>
            <w:gridSpan w:val="2"/>
            <w:vAlign w:val="center"/>
          </w:tcPr>
          <w:p w14:paraId="1878E703" w14:textId="77777777" w:rsidR="00B14D53" w:rsidRDefault="00000000">
            <w:pPr>
              <w:contextualSpacing/>
              <w:jc w:val="center"/>
              <w:rPr>
                <w:rFonts w:eastAsiaTheme="minorEastAsia"/>
                <w:kern w:val="0"/>
                <w:szCs w:val="21"/>
              </w:rPr>
            </w:pPr>
            <w:r>
              <w:rPr>
                <w:rFonts w:eastAsiaTheme="minorEastAsia"/>
                <w:kern w:val="0"/>
                <w:szCs w:val="21"/>
              </w:rPr>
              <w:t>≤3.0</w:t>
            </w:r>
          </w:p>
        </w:tc>
      </w:tr>
      <w:tr w:rsidR="00B14D53" w14:paraId="69FFC5D6" w14:textId="77777777">
        <w:trPr>
          <w:trHeight w:val="98"/>
          <w:jc w:val="center"/>
        </w:trPr>
        <w:tc>
          <w:tcPr>
            <w:tcW w:w="730" w:type="dxa"/>
            <w:vMerge/>
            <w:vAlign w:val="center"/>
          </w:tcPr>
          <w:p w14:paraId="35397705" w14:textId="77777777" w:rsidR="00B14D53" w:rsidRDefault="00B14D53">
            <w:pPr>
              <w:widowControl/>
              <w:contextualSpacing/>
              <w:jc w:val="left"/>
              <w:rPr>
                <w:rFonts w:eastAsiaTheme="minorEastAsia"/>
                <w:kern w:val="0"/>
                <w:szCs w:val="21"/>
              </w:rPr>
            </w:pPr>
          </w:p>
        </w:tc>
        <w:tc>
          <w:tcPr>
            <w:tcW w:w="2690" w:type="dxa"/>
            <w:vMerge/>
            <w:vAlign w:val="center"/>
          </w:tcPr>
          <w:p w14:paraId="7897D6C0" w14:textId="77777777" w:rsidR="00B14D53" w:rsidRDefault="00B14D53">
            <w:pPr>
              <w:widowControl/>
              <w:contextualSpacing/>
              <w:jc w:val="left"/>
              <w:rPr>
                <w:rFonts w:eastAsiaTheme="minorEastAsia"/>
                <w:kern w:val="0"/>
                <w:szCs w:val="21"/>
              </w:rPr>
            </w:pPr>
          </w:p>
        </w:tc>
        <w:tc>
          <w:tcPr>
            <w:tcW w:w="1137" w:type="dxa"/>
            <w:vAlign w:val="center"/>
          </w:tcPr>
          <w:p w14:paraId="74167F14" w14:textId="77777777" w:rsidR="00B14D53" w:rsidRDefault="00000000">
            <w:pPr>
              <w:contextualSpacing/>
              <w:jc w:val="center"/>
              <w:rPr>
                <w:rFonts w:eastAsiaTheme="minorEastAsia"/>
                <w:kern w:val="0"/>
                <w:szCs w:val="21"/>
              </w:rPr>
            </w:pPr>
            <w:r>
              <w:rPr>
                <w:rFonts w:eastAsiaTheme="minorEastAsia" w:hAnsiTheme="minorEastAsia"/>
                <w:kern w:val="0"/>
                <w:szCs w:val="21"/>
              </w:rPr>
              <w:t>总大肠菌群</w:t>
            </w:r>
          </w:p>
        </w:tc>
        <w:tc>
          <w:tcPr>
            <w:tcW w:w="993" w:type="dxa"/>
            <w:vAlign w:val="center"/>
          </w:tcPr>
          <w:p w14:paraId="1E1621DF" w14:textId="77777777" w:rsidR="00B14D53" w:rsidRDefault="00000000">
            <w:pPr>
              <w:widowControl/>
              <w:contextualSpacing/>
              <w:jc w:val="center"/>
              <w:rPr>
                <w:rFonts w:eastAsiaTheme="minorEastAsia"/>
                <w:kern w:val="0"/>
                <w:szCs w:val="21"/>
              </w:rPr>
            </w:pPr>
            <w:r>
              <w:rPr>
                <w:rFonts w:eastAsiaTheme="minorEastAsia"/>
                <w:kern w:val="0"/>
                <w:szCs w:val="21"/>
              </w:rPr>
              <w:t>MPN/100mL</w:t>
            </w:r>
          </w:p>
        </w:tc>
        <w:tc>
          <w:tcPr>
            <w:tcW w:w="2708" w:type="dxa"/>
            <w:gridSpan w:val="2"/>
            <w:vAlign w:val="center"/>
          </w:tcPr>
          <w:p w14:paraId="521E2860" w14:textId="77777777" w:rsidR="00B14D53" w:rsidRDefault="00000000">
            <w:pPr>
              <w:contextualSpacing/>
              <w:jc w:val="center"/>
              <w:rPr>
                <w:rFonts w:eastAsiaTheme="minorEastAsia"/>
                <w:kern w:val="0"/>
                <w:szCs w:val="21"/>
              </w:rPr>
            </w:pPr>
            <w:r>
              <w:rPr>
                <w:rFonts w:eastAsiaTheme="minorEastAsia"/>
                <w:kern w:val="0"/>
                <w:szCs w:val="21"/>
              </w:rPr>
              <w:t>≤3.0</w:t>
            </w:r>
          </w:p>
        </w:tc>
      </w:tr>
      <w:tr w:rsidR="00B14D53" w14:paraId="12EC3070" w14:textId="77777777">
        <w:trPr>
          <w:trHeight w:val="98"/>
          <w:jc w:val="center"/>
        </w:trPr>
        <w:tc>
          <w:tcPr>
            <w:tcW w:w="730" w:type="dxa"/>
            <w:vMerge/>
            <w:vAlign w:val="center"/>
          </w:tcPr>
          <w:p w14:paraId="14559037" w14:textId="77777777" w:rsidR="00B14D53" w:rsidRDefault="00B14D53">
            <w:pPr>
              <w:widowControl/>
              <w:contextualSpacing/>
              <w:jc w:val="left"/>
              <w:rPr>
                <w:rFonts w:eastAsiaTheme="minorEastAsia"/>
                <w:kern w:val="0"/>
                <w:szCs w:val="21"/>
              </w:rPr>
            </w:pPr>
          </w:p>
        </w:tc>
        <w:tc>
          <w:tcPr>
            <w:tcW w:w="2690" w:type="dxa"/>
            <w:vMerge/>
            <w:vAlign w:val="center"/>
          </w:tcPr>
          <w:p w14:paraId="318A4FEB" w14:textId="77777777" w:rsidR="00B14D53" w:rsidRDefault="00B14D53">
            <w:pPr>
              <w:widowControl/>
              <w:contextualSpacing/>
              <w:jc w:val="left"/>
              <w:rPr>
                <w:rFonts w:eastAsiaTheme="minorEastAsia"/>
                <w:kern w:val="0"/>
                <w:szCs w:val="21"/>
              </w:rPr>
            </w:pPr>
          </w:p>
        </w:tc>
        <w:tc>
          <w:tcPr>
            <w:tcW w:w="1137" w:type="dxa"/>
            <w:vAlign w:val="center"/>
          </w:tcPr>
          <w:p w14:paraId="2228BE38" w14:textId="77777777" w:rsidR="00B14D53" w:rsidRDefault="00000000">
            <w:pPr>
              <w:contextualSpacing/>
              <w:jc w:val="center"/>
              <w:rPr>
                <w:rFonts w:eastAsiaTheme="minorEastAsia"/>
                <w:kern w:val="0"/>
                <w:szCs w:val="21"/>
              </w:rPr>
            </w:pPr>
            <w:r>
              <w:rPr>
                <w:rFonts w:eastAsiaTheme="minorEastAsia" w:hAnsiTheme="minorEastAsia"/>
                <w:kern w:val="0"/>
                <w:szCs w:val="21"/>
              </w:rPr>
              <w:t>细菌总数</w:t>
            </w:r>
          </w:p>
        </w:tc>
        <w:tc>
          <w:tcPr>
            <w:tcW w:w="993" w:type="dxa"/>
            <w:vAlign w:val="center"/>
          </w:tcPr>
          <w:p w14:paraId="101627A3" w14:textId="77777777" w:rsidR="00B14D53" w:rsidRDefault="00000000">
            <w:pPr>
              <w:widowControl/>
              <w:contextualSpacing/>
              <w:jc w:val="center"/>
              <w:rPr>
                <w:rFonts w:eastAsiaTheme="minorEastAsia"/>
                <w:kern w:val="0"/>
                <w:szCs w:val="21"/>
              </w:rPr>
            </w:pPr>
            <w:r>
              <w:rPr>
                <w:rFonts w:eastAsiaTheme="minorEastAsia"/>
                <w:kern w:val="0"/>
                <w:szCs w:val="21"/>
              </w:rPr>
              <w:t>CFU/mL</w:t>
            </w:r>
          </w:p>
        </w:tc>
        <w:tc>
          <w:tcPr>
            <w:tcW w:w="2708" w:type="dxa"/>
            <w:gridSpan w:val="2"/>
            <w:vAlign w:val="center"/>
          </w:tcPr>
          <w:p w14:paraId="3CFB6205" w14:textId="77777777" w:rsidR="00B14D53" w:rsidRDefault="00000000">
            <w:pPr>
              <w:contextualSpacing/>
              <w:jc w:val="center"/>
              <w:rPr>
                <w:rFonts w:eastAsiaTheme="minorEastAsia"/>
                <w:kern w:val="0"/>
                <w:szCs w:val="21"/>
              </w:rPr>
            </w:pPr>
            <w:r>
              <w:rPr>
                <w:rFonts w:eastAsiaTheme="minorEastAsia"/>
                <w:kern w:val="0"/>
                <w:szCs w:val="21"/>
              </w:rPr>
              <w:t>≤100</w:t>
            </w:r>
          </w:p>
        </w:tc>
      </w:tr>
      <w:tr w:rsidR="00B14D53" w14:paraId="6B9F36A4" w14:textId="77777777">
        <w:trPr>
          <w:trHeight w:val="225"/>
          <w:jc w:val="center"/>
        </w:trPr>
        <w:tc>
          <w:tcPr>
            <w:tcW w:w="730" w:type="dxa"/>
            <w:vMerge w:val="restart"/>
            <w:vAlign w:val="center"/>
          </w:tcPr>
          <w:p w14:paraId="0A0AEB45" w14:textId="77777777" w:rsidR="00B14D53" w:rsidRDefault="00000000">
            <w:pPr>
              <w:contextualSpacing/>
              <w:jc w:val="center"/>
              <w:rPr>
                <w:rFonts w:eastAsiaTheme="minorEastAsia"/>
                <w:kern w:val="0"/>
                <w:szCs w:val="21"/>
              </w:rPr>
            </w:pPr>
            <w:r>
              <w:rPr>
                <w:rFonts w:eastAsiaTheme="minorEastAsia" w:hAnsiTheme="minorEastAsia"/>
                <w:kern w:val="0"/>
                <w:szCs w:val="21"/>
              </w:rPr>
              <w:t>声环境</w:t>
            </w:r>
          </w:p>
        </w:tc>
        <w:tc>
          <w:tcPr>
            <w:tcW w:w="2690" w:type="dxa"/>
            <w:vMerge w:val="restart"/>
            <w:vAlign w:val="center"/>
          </w:tcPr>
          <w:p w14:paraId="5FF05A7B" w14:textId="77777777" w:rsidR="00B14D53" w:rsidRDefault="00000000">
            <w:pPr>
              <w:contextualSpacing/>
              <w:jc w:val="center"/>
              <w:rPr>
                <w:rFonts w:eastAsiaTheme="minorEastAsia"/>
                <w:kern w:val="0"/>
                <w:szCs w:val="21"/>
              </w:rPr>
            </w:pPr>
            <w:r>
              <w:rPr>
                <w:rFonts w:eastAsiaTheme="minorEastAsia" w:hAnsiTheme="minorEastAsia"/>
                <w:kern w:val="0"/>
                <w:szCs w:val="21"/>
              </w:rPr>
              <w:t>《声环境质量标准》（</w:t>
            </w:r>
            <w:r>
              <w:rPr>
                <w:rFonts w:eastAsiaTheme="minorEastAsia"/>
                <w:kern w:val="0"/>
                <w:szCs w:val="21"/>
              </w:rPr>
              <w:t>GB3096-2008</w:t>
            </w:r>
            <w:r>
              <w:rPr>
                <w:rFonts w:eastAsiaTheme="minorEastAsia" w:hAnsiTheme="minorEastAsia"/>
                <w:kern w:val="0"/>
                <w:szCs w:val="21"/>
              </w:rPr>
              <w:t>）</w:t>
            </w:r>
            <w:r>
              <w:rPr>
                <w:rFonts w:eastAsiaTheme="minorEastAsia" w:hint="eastAsia"/>
                <w:kern w:val="0"/>
                <w:szCs w:val="21"/>
              </w:rPr>
              <w:t>2</w:t>
            </w:r>
            <w:r>
              <w:rPr>
                <w:rFonts w:eastAsiaTheme="minorEastAsia" w:hAnsiTheme="minorEastAsia"/>
                <w:kern w:val="0"/>
                <w:szCs w:val="21"/>
              </w:rPr>
              <w:t>类</w:t>
            </w:r>
          </w:p>
        </w:tc>
        <w:tc>
          <w:tcPr>
            <w:tcW w:w="1137" w:type="dxa"/>
            <w:vMerge w:val="restart"/>
            <w:vAlign w:val="center"/>
          </w:tcPr>
          <w:p w14:paraId="22CC052A" w14:textId="77777777" w:rsidR="00B14D53" w:rsidRDefault="00000000">
            <w:pPr>
              <w:contextualSpacing/>
              <w:jc w:val="center"/>
              <w:rPr>
                <w:rFonts w:eastAsiaTheme="minorEastAsia"/>
                <w:kern w:val="0"/>
                <w:szCs w:val="21"/>
              </w:rPr>
            </w:pPr>
            <w:r>
              <w:rPr>
                <w:rFonts w:eastAsiaTheme="minorEastAsia" w:hAnsiTheme="minorEastAsia"/>
                <w:kern w:val="0"/>
                <w:szCs w:val="21"/>
              </w:rPr>
              <w:t>连续等效声压级</w:t>
            </w:r>
          </w:p>
        </w:tc>
        <w:tc>
          <w:tcPr>
            <w:tcW w:w="993" w:type="dxa"/>
            <w:vMerge w:val="restart"/>
            <w:vAlign w:val="center"/>
          </w:tcPr>
          <w:p w14:paraId="07EEE5FE" w14:textId="77777777" w:rsidR="00B14D53" w:rsidRDefault="00000000">
            <w:pPr>
              <w:contextualSpacing/>
              <w:jc w:val="center"/>
              <w:rPr>
                <w:rFonts w:eastAsiaTheme="minorEastAsia"/>
                <w:kern w:val="0"/>
                <w:szCs w:val="21"/>
              </w:rPr>
            </w:pPr>
            <w:r>
              <w:rPr>
                <w:rFonts w:eastAsiaTheme="minorEastAsia"/>
                <w:kern w:val="0"/>
                <w:szCs w:val="21"/>
              </w:rPr>
              <w:t>dB(A)</w:t>
            </w:r>
          </w:p>
        </w:tc>
        <w:tc>
          <w:tcPr>
            <w:tcW w:w="2075" w:type="dxa"/>
            <w:vAlign w:val="center"/>
          </w:tcPr>
          <w:p w14:paraId="72F9EA8E" w14:textId="77777777" w:rsidR="00B14D53" w:rsidRDefault="00000000">
            <w:pPr>
              <w:contextualSpacing/>
              <w:jc w:val="center"/>
              <w:rPr>
                <w:rFonts w:eastAsiaTheme="minorEastAsia"/>
                <w:kern w:val="0"/>
                <w:szCs w:val="21"/>
              </w:rPr>
            </w:pPr>
            <w:r>
              <w:rPr>
                <w:rFonts w:eastAsiaTheme="minorEastAsia" w:hAnsiTheme="minorEastAsia"/>
                <w:kern w:val="0"/>
                <w:szCs w:val="21"/>
              </w:rPr>
              <w:t>昼间</w:t>
            </w:r>
          </w:p>
        </w:tc>
        <w:tc>
          <w:tcPr>
            <w:tcW w:w="633" w:type="dxa"/>
            <w:vAlign w:val="center"/>
          </w:tcPr>
          <w:p w14:paraId="78A84D02" w14:textId="77777777" w:rsidR="00B14D53" w:rsidRDefault="00000000">
            <w:pPr>
              <w:contextualSpacing/>
              <w:jc w:val="center"/>
              <w:rPr>
                <w:rFonts w:eastAsiaTheme="minorEastAsia"/>
                <w:kern w:val="0"/>
                <w:szCs w:val="21"/>
              </w:rPr>
            </w:pPr>
            <w:r>
              <w:rPr>
                <w:rFonts w:eastAsiaTheme="minorEastAsia" w:hint="eastAsia"/>
                <w:kern w:val="0"/>
                <w:szCs w:val="21"/>
              </w:rPr>
              <w:t>60</w:t>
            </w:r>
          </w:p>
        </w:tc>
      </w:tr>
      <w:tr w:rsidR="00B14D53" w14:paraId="4AD8FC91" w14:textId="77777777">
        <w:trPr>
          <w:trHeight w:val="286"/>
          <w:jc w:val="center"/>
        </w:trPr>
        <w:tc>
          <w:tcPr>
            <w:tcW w:w="730" w:type="dxa"/>
            <w:vMerge/>
            <w:vAlign w:val="center"/>
          </w:tcPr>
          <w:p w14:paraId="56002797" w14:textId="77777777" w:rsidR="00B14D53" w:rsidRDefault="00B14D53">
            <w:pPr>
              <w:widowControl/>
              <w:contextualSpacing/>
              <w:jc w:val="left"/>
              <w:rPr>
                <w:rFonts w:eastAsiaTheme="minorEastAsia"/>
                <w:kern w:val="0"/>
                <w:szCs w:val="21"/>
              </w:rPr>
            </w:pPr>
          </w:p>
        </w:tc>
        <w:tc>
          <w:tcPr>
            <w:tcW w:w="2690" w:type="dxa"/>
            <w:vMerge/>
            <w:vAlign w:val="center"/>
          </w:tcPr>
          <w:p w14:paraId="5EFBA8FD" w14:textId="77777777" w:rsidR="00B14D53" w:rsidRDefault="00B14D53">
            <w:pPr>
              <w:widowControl/>
              <w:contextualSpacing/>
              <w:jc w:val="left"/>
              <w:rPr>
                <w:rFonts w:eastAsiaTheme="minorEastAsia"/>
                <w:kern w:val="0"/>
                <w:szCs w:val="21"/>
              </w:rPr>
            </w:pPr>
          </w:p>
        </w:tc>
        <w:tc>
          <w:tcPr>
            <w:tcW w:w="1137" w:type="dxa"/>
            <w:vMerge/>
            <w:vAlign w:val="center"/>
          </w:tcPr>
          <w:p w14:paraId="778EE9A4" w14:textId="77777777" w:rsidR="00B14D53" w:rsidRDefault="00B14D53">
            <w:pPr>
              <w:widowControl/>
              <w:contextualSpacing/>
              <w:jc w:val="left"/>
              <w:rPr>
                <w:rFonts w:eastAsiaTheme="minorEastAsia"/>
                <w:kern w:val="0"/>
                <w:szCs w:val="21"/>
              </w:rPr>
            </w:pPr>
          </w:p>
        </w:tc>
        <w:tc>
          <w:tcPr>
            <w:tcW w:w="993" w:type="dxa"/>
            <w:vMerge/>
            <w:vAlign w:val="center"/>
          </w:tcPr>
          <w:p w14:paraId="40A642D2" w14:textId="77777777" w:rsidR="00B14D53" w:rsidRDefault="00B14D53">
            <w:pPr>
              <w:widowControl/>
              <w:contextualSpacing/>
              <w:jc w:val="left"/>
              <w:rPr>
                <w:rFonts w:eastAsiaTheme="minorEastAsia"/>
                <w:kern w:val="0"/>
                <w:szCs w:val="21"/>
              </w:rPr>
            </w:pPr>
          </w:p>
        </w:tc>
        <w:tc>
          <w:tcPr>
            <w:tcW w:w="2075" w:type="dxa"/>
            <w:vAlign w:val="center"/>
          </w:tcPr>
          <w:p w14:paraId="455E5113" w14:textId="77777777" w:rsidR="00B14D53" w:rsidRDefault="00000000">
            <w:pPr>
              <w:contextualSpacing/>
              <w:jc w:val="center"/>
              <w:rPr>
                <w:rFonts w:eastAsiaTheme="minorEastAsia"/>
                <w:kern w:val="0"/>
                <w:szCs w:val="21"/>
              </w:rPr>
            </w:pPr>
            <w:r>
              <w:rPr>
                <w:rFonts w:eastAsiaTheme="minorEastAsia" w:hAnsiTheme="minorEastAsia"/>
                <w:kern w:val="0"/>
                <w:szCs w:val="21"/>
              </w:rPr>
              <w:t>夜间</w:t>
            </w:r>
          </w:p>
        </w:tc>
        <w:tc>
          <w:tcPr>
            <w:tcW w:w="633" w:type="dxa"/>
            <w:vAlign w:val="center"/>
          </w:tcPr>
          <w:p w14:paraId="4E591720" w14:textId="77777777" w:rsidR="00B14D53" w:rsidRDefault="00000000">
            <w:pPr>
              <w:contextualSpacing/>
              <w:jc w:val="center"/>
              <w:rPr>
                <w:rFonts w:eastAsiaTheme="minorEastAsia"/>
                <w:kern w:val="0"/>
                <w:szCs w:val="21"/>
              </w:rPr>
            </w:pPr>
            <w:r>
              <w:rPr>
                <w:rFonts w:eastAsiaTheme="minorEastAsia" w:hint="eastAsia"/>
                <w:kern w:val="0"/>
                <w:szCs w:val="21"/>
              </w:rPr>
              <w:t>50</w:t>
            </w:r>
          </w:p>
        </w:tc>
      </w:tr>
    </w:tbl>
    <w:p w14:paraId="015E2DA2"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2.3.2.</w:t>
      </w:r>
      <w:r>
        <w:rPr>
          <w:rFonts w:ascii="Times New Roman" w:eastAsia="黑体" w:hAnsi="Times New Roman" w:cs="Times New Roman"/>
          <w:bCs/>
          <w:sz w:val="28"/>
          <w:szCs w:val="28"/>
        </w:rPr>
        <w:t>污染物排放标准</w:t>
      </w:r>
    </w:p>
    <w:p w14:paraId="150942FF" w14:textId="77777777" w:rsidR="00B14D53" w:rsidRDefault="00000000">
      <w:pPr>
        <w:spacing w:line="360" w:lineRule="auto"/>
        <w:ind w:firstLineChars="200" w:firstLine="480"/>
        <w:rPr>
          <w:rFonts w:eastAsiaTheme="minorEastAsia"/>
          <w:bCs/>
          <w:sz w:val="24"/>
        </w:rPr>
      </w:pPr>
      <w:r>
        <w:rPr>
          <w:rFonts w:eastAsiaTheme="minorEastAsia" w:hint="eastAsia"/>
          <w:bCs/>
          <w:sz w:val="24"/>
        </w:rPr>
        <w:t>（</w:t>
      </w:r>
      <w:r>
        <w:rPr>
          <w:rFonts w:eastAsiaTheme="minorEastAsia" w:hint="eastAsia"/>
          <w:bCs/>
          <w:sz w:val="24"/>
        </w:rPr>
        <w:t>1</w:t>
      </w:r>
      <w:r>
        <w:rPr>
          <w:rFonts w:eastAsiaTheme="minorEastAsia" w:hint="eastAsia"/>
          <w:bCs/>
          <w:sz w:val="24"/>
        </w:rPr>
        <w:t>）</w:t>
      </w:r>
      <w:r>
        <w:rPr>
          <w:rFonts w:eastAsiaTheme="minorEastAsia" w:hAnsiTheme="minorEastAsia"/>
          <w:bCs/>
          <w:sz w:val="24"/>
        </w:rPr>
        <w:t>废气</w:t>
      </w:r>
    </w:p>
    <w:p w14:paraId="1F5BEB62" w14:textId="77777777" w:rsidR="00B14D53" w:rsidRDefault="00000000">
      <w:pPr>
        <w:spacing w:line="360" w:lineRule="auto"/>
        <w:ind w:firstLineChars="200" w:firstLine="480"/>
        <w:rPr>
          <w:rFonts w:eastAsiaTheme="minorEastAsia"/>
          <w:bCs/>
          <w:sz w:val="24"/>
        </w:rPr>
      </w:pPr>
      <w:r>
        <w:rPr>
          <w:rFonts w:eastAsiaTheme="minorEastAsia"/>
          <w:bCs/>
          <w:sz w:val="24"/>
        </w:rPr>
        <w:t>①</w:t>
      </w:r>
      <w:r>
        <w:rPr>
          <w:rFonts w:eastAsiaTheme="minorEastAsia"/>
          <w:bCs/>
          <w:sz w:val="24"/>
        </w:rPr>
        <w:t>施工期</w:t>
      </w:r>
    </w:p>
    <w:p w14:paraId="2461DD2A" w14:textId="77777777" w:rsidR="00B14D53" w:rsidRDefault="00000000">
      <w:pPr>
        <w:tabs>
          <w:tab w:val="right" w:leader="dot" w:pos="8505"/>
        </w:tabs>
        <w:spacing w:line="360" w:lineRule="auto"/>
        <w:ind w:firstLineChars="200" w:firstLine="480"/>
        <w:rPr>
          <w:rFonts w:eastAsiaTheme="minorEastAsia"/>
          <w:sz w:val="24"/>
        </w:rPr>
      </w:pPr>
      <w:r>
        <w:rPr>
          <w:rFonts w:eastAsiaTheme="minorEastAsia" w:hAnsiTheme="minorEastAsia"/>
          <w:sz w:val="24"/>
        </w:rPr>
        <w:t>施工期施工场地扬尘排放执行《大气污染物综合排放标准》（</w:t>
      </w:r>
      <w:r>
        <w:rPr>
          <w:rFonts w:eastAsiaTheme="minorEastAsia"/>
          <w:sz w:val="24"/>
        </w:rPr>
        <w:t>GB16297-1996</w:t>
      </w:r>
      <w:r>
        <w:rPr>
          <w:rFonts w:eastAsiaTheme="minorEastAsia" w:hAnsiTheme="minorEastAsia"/>
          <w:sz w:val="24"/>
        </w:rPr>
        <w:t>）表</w:t>
      </w:r>
      <w:r>
        <w:rPr>
          <w:rFonts w:eastAsiaTheme="minorEastAsia"/>
          <w:sz w:val="24"/>
        </w:rPr>
        <w:t>2</w:t>
      </w:r>
      <w:r>
        <w:rPr>
          <w:rFonts w:eastAsiaTheme="minorEastAsia" w:hAnsiTheme="minorEastAsia"/>
          <w:sz w:val="24"/>
        </w:rPr>
        <w:t>无组织排放监控浓度限值要求。</w:t>
      </w:r>
    </w:p>
    <w:p w14:paraId="596E6C2F" w14:textId="77777777" w:rsidR="00B14D53" w:rsidRDefault="00000000">
      <w:pPr>
        <w:jc w:val="center"/>
        <w:rPr>
          <w:b/>
          <w:bCs/>
        </w:rPr>
      </w:pPr>
      <w:r>
        <w:rPr>
          <w:b/>
          <w:bCs/>
        </w:rPr>
        <w:t>表</w:t>
      </w:r>
      <w:r>
        <w:rPr>
          <w:b/>
          <w:bCs/>
        </w:rPr>
        <w:t>2-3-</w:t>
      </w:r>
      <w:r>
        <w:rPr>
          <w:rFonts w:hint="eastAsia"/>
          <w:b/>
          <w:bCs/>
        </w:rPr>
        <w:t xml:space="preserve">2 </w:t>
      </w:r>
      <w:r>
        <w:rPr>
          <w:b/>
          <w:bCs/>
        </w:rPr>
        <w:t>《大气污染物综合排放标准》（</w:t>
      </w:r>
      <w:r>
        <w:rPr>
          <w:b/>
          <w:bCs/>
        </w:rPr>
        <w:t>GB16297-1996</w:t>
      </w:r>
      <w:r>
        <w:rPr>
          <w:b/>
          <w:bCs/>
        </w:rPr>
        <w:t>）表</w:t>
      </w:r>
      <w:r>
        <w:rPr>
          <w:b/>
          <w:bCs/>
        </w:rPr>
        <w:t>2</w:t>
      </w:r>
      <w:r>
        <w:rPr>
          <w:b/>
          <w:bCs/>
        </w:rPr>
        <w:t>要求</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25"/>
        <w:gridCol w:w="4049"/>
        <w:gridCol w:w="2366"/>
      </w:tblGrid>
      <w:tr w:rsidR="00B14D53" w14:paraId="31DB5CDB" w14:textId="77777777">
        <w:trPr>
          <w:cantSplit/>
          <w:trHeight w:val="157"/>
          <w:jc w:val="center"/>
        </w:trPr>
        <w:tc>
          <w:tcPr>
            <w:tcW w:w="2125" w:type="dxa"/>
            <w:vMerge w:val="restart"/>
            <w:vAlign w:val="center"/>
          </w:tcPr>
          <w:p w14:paraId="7C393A0C" w14:textId="77777777" w:rsidR="00B14D53" w:rsidRDefault="00000000">
            <w:pPr>
              <w:jc w:val="center"/>
              <w:rPr>
                <w:rFonts w:eastAsiaTheme="minorEastAsia"/>
                <w:b/>
                <w:bCs/>
                <w:szCs w:val="21"/>
              </w:rPr>
            </w:pPr>
            <w:r>
              <w:rPr>
                <w:rFonts w:eastAsiaTheme="minorEastAsia" w:hAnsiTheme="minorEastAsia"/>
                <w:b/>
                <w:bCs/>
                <w:szCs w:val="21"/>
              </w:rPr>
              <w:t>污染物</w:t>
            </w:r>
          </w:p>
        </w:tc>
        <w:tc>
          <w:tcPr>
            <w:tcW w:w="6414" w:type="dxa"/>
            <w:gridSpan w:val="2"/>
            <w:vAlign w:val="center"/>
          </w:tcPr>
          <w:p w14:paraId="3A74E754" w14:textId="77777777" w:rsidR="00B14D53" w:rsidRDefault="00000000">
            <w:pPr>
              <w:jc w:val="center"/>
              <w:rPr>
                <w:rFonts w:eastAsiaTheme="minorEastAsia"/>
                <w:b/>
                <w:bCs/>
                <w:szCs w:val="21"/>
              </w:rPr>
            </w:pPr>
            <w:r>
              <w:rPr>
                <w:rFonts w:eastAsiaTheme="minorEastAsia" w:hAnsiTheme="minorEastAsia"/>
                <w:b/>
                <w:bCs/>
                <w:szCs w:val="21"/>
              </w:rPr>
              <w:t>无组织排放监控浓度限值（</w:t>
            </w:r>
            <w:r>
              <w:rPr>
                <w:rFonts w:eastAsiaTheme="minorEastAsia"/>
                <w:b/>
                <w:bCs/>
                <w:szCs w:val="21"/>
              </w:rPr>
              <w:t>mg/m</w:t>
            </w:r>
            <w:r>
              <w:rPr>
                <w:rFonts w:eastAsiaTheme="minorEastAsia"/>
                <w:b/>
                <w:bCs/>
                <w:szCs w:val="21"/>
                <w:vertAlign w:val="superscript"/>
              </w:rPr>
              <w:t>3</w:t>
            </w:r>
            <w:r>
              <w:rPr>
                <w:rFonts w:eastAsiaTheme="minorEastAsia" w:hAnsiTheme="minorEastAsia"/>
                <w:b/>
                <w:bCs/>
                <w:szCs w:val="21"/>
              </w:rPr>
              <w:t>）</w:t>
            </w:r>
          </w:p>
        </w:tc>
      </w:tr>
      <w:tr w:rsidR="00B14D53" w14:paraId="3B9C545F" w14:textId="77777777">
        <w:trPr>
          <w:cantSplit/>
          <w:trHeight w:val="128"/>
          <w:jc w:val="center"/>
        </w:trPr>
        <w:tc>
          <w:tcPr>
            <w:tcW w:w="2125" w:type="dxa"/>
            <w:vMerge/>
            <w:vAlign w:val="center"/>
          </w:tcPr>
          <w:p w14:paraId="47860125" w14:textId="77777777" w:rsidR="00B14D53" w:rsidRDefault="00B14D53">
            <w:pPr>
              <w:jc w:val="center"/>
              <w:rPr>
                <w:rFonts w:eastAsiaTheme="minorEastAsia"/>
                <w:b/>
                <w:bCs/>
                <w:szCs w:val="21"/>
              </w:rPr>
            </w:pPr>
          </w:p>
        </w:tc>
        <w:tc>
          <w:tcPr>
            <w:tcW w:w="4049" w:type="dxa"/>
            <w:vAlign w:val="center"/>
          </w:tcPr>
          <w:p w14:paraId="7AE6BC22" w14:textId="77777777" w:rsidR="00B14D53" w:rsidRDefault="00000000">
            <w:pPr>
              <w:jc w:val="center"/>
              <w:rPr>
                <w:rFonts w:eastAsiaTheme="minorEastAsia"/>
                <w:b/>
                <w:bCs/>
                <w:szCs w:val="21"/>
              </w:rPr>
            </w:pPr>
            <w:r>
              <w:rPr>
                <w:rFonts w:eastAsiaTheme="minorEastAsia" w:hAnsiTheme="minorEastAsia"/>
                <w:b/>
                <w:bCs/>
                <w:szCs w:val="21"/>
              </w:rPr>
              <w:t>监控点</w:t>
            </w:r>
          </w:p>
        </w:tc>
        <w:tc>
          <w:tcPr>
            <w:tcW w:w="2366" w:type="dxa"/>
            <w:vAlign w:val="center"/>
          </w:tcPr>
          <w:p w14:paraId="00CC6070" w14:textId="77777777" w:rsidR="00B14D53" w:rsidRDefault="00000000">
            <w:pPr>
              <w:jc w:val="center"/>
              <w:rPr>
                <w:rFonts w:eastAsiaTheme="minorEastAsia"/>
                <w:b/>
                <w:bCs/>
                <w:szCs w:val="21"/>
              </w:rPr>
            </w:pPr>
            <w:r>
              <w:rPr>
                <w:rFonts w:eastAsiaTheme="minorEastAsia" w:hAnsiTheme="minorEastAsia"/>
                <w:b/>
                <w:bCs/>
                <w:szCs w:val="21"/>
              </w:rPr>
              <w:t>浓度</w:t>
            </w:r>
          </w:p>
        </w:tc>
      </w:tr>
      <w:tr w:rsidR="00B14D53" w14:paraId="7513FD9F" w14:textId="77777777">
        <w:trPr>
          <w:cantSplit/>
          <w:trHeight w:val="186"/>
          <w:jc w:val="center"/>
        </w:trPr>
        <w:tc>
          <w:tcPr>
            <w:tcW w:w="2125" w:type="dxa"/>
            <w:vAlign w:val="center"/>
          </w:tcPr>
          <w:p w14:paraId="775D9661" w14:textId="77777777" w:rsidR="00B14D53" w:rsidRDefault="00000000">
            <w:pPr>
              <w:jc w:val="center"/>
              <w:rPr>
                <w:rFonts w:eastAsiaTheme="minorEastAsia"/>
                <w:szCs w:val="21"/>
              </w:rPr>
            </w:pPr>
            <w:r>
              <w:rPr>
                <w:rFonts w:eastAsiaTheme="minorEastAsia" w:hAnsiTheme="minorEastAsia"/>
                <w:szCs w:val="21"/>
              </w:rPr>
              <w:t>颗粒物</w:t>
            </w:r>
          </w:p>
        </w:tc>
        <w:tc>
          <w:tcPr>
            <w:tcW w:w="4049" w:type="dxa"/>
            <w:vAlign w:val="center"/>
          </w:tcPr>
          <w:p w14:paraId="5C5EF2AF" w14:textId="77777777" w:rsidR="00B14D53" w:rsidRDefault="00000000">
            <w:pPr>
              <w:jc w:val="center"/>
              <w:rPr>
                <w:rFonts w:eastAsiaTheme="minorEastAsia"/>
                <w:szCs w:val="21"/>
              </w:rPr>
            </w:pPr>
            <w:r>
              <w:rPr>
                <w:rFonts w:eastAsiaTheme="minorEastAsia" w:hAnsiTheme="minorEastAsia"/>
                <w:szCs w:val="21"/>
              </w:rPr>
              <w:t>周围外浓度最高点</w:t>
            </w:r>
          </w:p>
        </w:tc>
        <w:tc>
          <w:tcPr>
            <w:tcW w:w="2366" w:type="dxa"/>
            <w:vAlign w:val="center"/>
          </w:tcPr>
          <w:p w14:paraId="41910FB2" w14:textId="77777777" w:rsidR="00B14D53" w:rsidRDefault="00000000">
            <w:pPr>
              <w:jc w:val="center"/>
              <w:rPr>
                <w:rFonts w:eastAsiaTheme="minorEastAsia"/>
                <w:szCs w:val="21"/>
              </w:rPr>
            </w:pPr>
            <w:r>
              <w:rPr>
                <w:rFonts w:eastAsiaTheme="minorEastAsia"/>
                <w:szCs w:val="21"/>
              </w:rPr>
              <w:t>1.0</w:t>
            </w:r>
          </w:p>
        </w:tc>
      </w:tr>
    </w:tbl>
    <w:p w14:paraId="1AF5B46D" w14:textId="77777777" w:rsidR="00B14D53" w:rsidRDefault="00000000">
      <w:pPr>
        <w:spacing w:line="360" w:lineRule="auto"/>
        <w:ind w:firstLineChars="200" w:firstLine="480"/>
        <w:rPr>
          <w:rFonts w:eastAsiaTheme="minorEastAsia"/>
          <w:sz w:val="24"/>
        </w:rPr>
      </w:pPr>
      <w:r>
        <w:rPr>
          <w:rFonts w:eastAsiaTheme="minorEastAsia"/>
          <w:sz w:val="24"/>
        </w:rPr>
        <w:t>②</w:t>
      </w:r>
      <w:r>
        <w:rPr>
          <w:rFonts w:eastAsiaTheme="minorEastAsia"/>
          <w:sz w:val="24"/>
        </w:rPr>
        <w:t>运营期</w:t>
      </w:r>
    </w:p>
    <w:p w14:paraId="5F177038"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本项目</w:t>
      </w:r>
      <w:r>
        <w:rPr>
          <w:rFonts w:eastAsiaTheme="minorEastAsia" w:hAnsiTheme="minorEastAsia" w:hint="eastAsia"/>
          <w:sz w:val="24"/>
        </w:rPr>
        <w:t>排气筒</w:t>
      </w:r>
      <w:r>
        <w:rPr>
          <w:rFonts w:eastAsiaTheme="minorEastAsia" w:hAnsiTheme="minorEastAsia"/>
          <w:sz w:val="24"/>
        </w:rPr>
        <w:t>污染物排放执行《恶臭污染物排放标准》（</w:t>
      </w:r>
      <w:r>
        <w:rPr>
          <w:rFonts w:eastAsiaTheme="minorEastAsia"/>
          <w:sz w:val="24"/>
        </w:rPr>
        <w:t>GB14554-93</w:t>
      </w:r>
      <w:r>
        <w:rPr>
          <w:rFonts w:eastAsiaTheme="minorEastAsia" w:hAnsiTheme="minorEastAsia"/>
          <w:sz w:val="24"/>
        </w:rPr>
        <w:t>）表</w:t>
      </w:r>
      <w:r>
        <w:rPr>
          <w:rFonts w:eastAsiaTheme="minorEastAsia" w:hint="eastAsia"/>
          <w:sz w:val="24"/>
        </w:rPr>
        <w:t>2</w:t>
      </w:r>
      <w:r>
        <w:rPr>
          <w:rFonts w:eastAsiaTheme="minorEastAsia" w:hAnsiTheme="minorEastAsia"/>
          <w:sz w:val="24"/>
        </w:rPr>
        <w:t>标准，</w:t>
      </w:r>
      <w:r>
        <w:rPr>
          <w:rFonts w:eastAsiaTheme="minorEastAsia" w:hAnsiTheme="minorEastAsia" w:hint="eastAsia"/>
          <w:sz w:val="24"/>
        </w:rPr>
        <w:t>厂</w:t>
      </w:r>
      <w:r>
        <w:rPr>
          <w:rFonts w:eastAsiaTheme="minorEastAsia" w:hAnsiTheme="minorEastAsia"/>
          <w:sz w:val="24"/>
        </w:rPr>
        <w:t>界</w:t>
      </w:r>
      <w:r>
        <w:rPr>
          <w:rFonts w:eastAsiaTheme="minorEastAsia" w:hAnsiTheme="minorEastAsia" w:hint="eastAsia"/>
          <w:sz w:val="24"/>
        </w:rPr>
        <w:t>污染物</w:t>
      </w:r>
      <w:r>
        <w:rPr>
          <w:rFonts w:eastAsiaTheme="minorEastAsia" w:hAnsiTheme="minorEastAsia"/>
          <w:sz w:val="24"/>
        </w:rPr>
        <w:t>浓度执行《恶臭污染物排放标准》（</w:t>
      </w:r>
      <w:r>
        <w:rPr>
          <w:rFonts w:eastAsiaTheme="minorEastAsia"/>
          <w:sz w:val="24"/>
        </w:rPr>
        <w:t>GB14554-93</w:t>
      </w:r>
      <w:r>
        <w:rPr>
          <w:rFonts w:eastAsiaTheme="minorEastAsia" w:hAnsiTheme="minorEastAsia"/>
          <w:sz w:val="24"/>
        </w:rPr>
        <w:t>）表</w:t>
      </w:r>
      <w:r>
        <w:rPr>
          <w:rFonts w:eastAsiaTheme="minorEastAsia"/>
          <w:sz w:val="24"/>
        </w:rPr>
        <w:t>1</w:t>
      </w:r>
      <w:r>
        <w:rPr>
          <w:rFonts w:eastAsiaTheme="minorEastAsia" w:hAnsiTheme="minorEastAsia"/>
          <w:sz w:val="24"/>
        </w:rPr>
        <w:t>中二级新改扩建标准。</w:t>
      </w:r>
    </w:p>
    <w:p w14:paraId="2138FE25"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各项标准值见</w:t>
      </w:r>
      <w:r>
        <w:rPr>
          <w:rFonts w:eastAsiaTheme="minorEastAsia" w:hAnsiTheme="minorEastAsia" w:hint="eastAsia"/>
          <w:sz w:val="24"/>
        </w:rPr>
        <w:t>下</w:t>
      </w:r>
      <w:r>
        <w:rPr>
          <w:rFonts w:eastAsiaTheme="minorEastAsia" w:hAnsiTheme="minorEastAsia"/>
          <w:sz w:val="24"/>
        </w:rPr>
        <w:t>表。</w:t>
      </w:r>
    </w:p>
    <w:p w14:paraId="227A9734" w14:textId="77777777" w:rsidR="00B14D53" w:rsidRDefault="00000000">
      <w:pPr>
        <w:jc w:val="center"/>
        <w:rPr>
          <w:b/>
          <w:bCs/>
        </w:rPr>
      </w:pPr>
      <w:r>
        <w:rPr>
          <w:b/>
          <w:bCs/>
        </w:rPr>
        <w:t>表</w:t>
      </w:r>
      <w:r>
        <w:rPr>
          <w:b/>
          <w:bCs/>
        </w:rPr>
        <w:t>2-3-</w:t>
      </w:r>
      <w:r>
        <w:rPr>
          <w:rFonts w:hint="eastAsia"/>
          <w:b/>
          <w:bCs/>
        </w:rPr>
        <w:t xml:space="preserve">3 </w:t>
      </w:r>
      <w:r>
        <w:rPr>
          <w:b/>
          <w:bCs/>
        </w:rPr>
        <w:t>废气污染物排放标准一览表</w:t>
      </w:r>
    </w:p>
    <w:tbl>
      <w:tblPr>
        <w:tblStyle w:val="afffffffff8"/>
        <w:tblW w:w="7891" w:type="dxa"/>
        <w:jc w:val="center"/>
        <w:tblLayout w:type="fixed"/>
        <w:tblLook w:val="04A0" w:firstRow="1" w:lastRow="0" w:firstColumn="1" w:lastColumn="0" w:noHBand="0" w:noVBand="1"/>
      </w:tblPr>
      <w:tblGrid>
        <w:gridCol w:w="2893"/>
        <w:gridCol w:w="1360"/>
        <w:gridCol w:w="1636"/>
        <w:gridCol w:w="2002"/>
      </w:tblGrid>
      <w:tr w:rsidR="00B14D53" w14:paraId="46975BCF" w14:textId="77777777">
        <w:trPr>
          <w:trHeight w:val="57"/>
          <w:jc w:val="center"/>
        </w:trPr>
        <w:tc>
          <w:tcPr>
            <w:tcW w:w="2893" w:type="dxa"/>
          </w:tcPr>
          <w:p w14:paraId="54075D7D" w14:textId="77777777" w:rsidR="00B14D53" w:rsidRDefault="00000000">
            <w:pPr>
              <w:pStyle w:val="afff2"/>
              <w:adjustRightInd/>
              <w:snapToGrid/>
              <w:spacing w:line="240" w:lineRule="auto"/>
              <w:rPr>
                <w:rFonts w:eastAsiaTheme="minorEastAsia" w:hAnsi="Times New Roman"/>
                <w:b/>
                <w:bCs/>
              </w:rPr>
            </w:pPr>
            <w:r>
              <w:rPr>
                <w:rFonts w:eastAsiaTheme="minorEastAsia"/>
                <w:b/>
                <w:bCs/>
              </w:rPr>
              <w:t>标准名称及级别</w:t>
            </w:r>
          </w:p>
        </w:tc>
        <w:tc>
          <w:tcPr>
            <w:tcW w:w="1360" w:type="dxa"/>
          </w:tcPr>
          <w:p w14:paraId="399A55B5" w14:textId="77777777" w:rsidR="00B14D53" w:rsidRDefault="00000000">
            <w:pPr>
              <w:pStyle w:val="afff2"/>
              <w:adjustRightInd/>
              <w:snapToGrid/>
              <w:spacing w:line="240" w:lineRule="auto"/>
              <w:rPr>
                <w:rFonts w:eastAsiaTheme="minorEastAsia" w:hAnsi="Times New Roman"/>
                <w:b/>
                <w:bCs/>
              </w:rPr>
            </w:pPr>
            <w:r>
              <w:rPr>
                <w:rFonts w:eastAsiaTheme="minorEastAsia"/>
                <w:b/>
                <w:bCs/>
              </w:rPr>
              <w:t>项目</w:t>
            </w:r>
          </w:p>
        </w:tc>
        <w:tc>
          <w:tcPr>
            <w:tcW w:w="1636" w:type="dxa"/>
          </w:tcPr>
          <w:p w14:paraId="70D6DDAA" w14:textId="77777777" w:rsidR="00B14D53" w:rsidRDefault="00000000">
            <w:pPr>
              <w:pStyle w:val="afff2"/>
              <w:adjustRightInd/>
              <w:snapToGrid/>
              <w:spacing w:line="240" w:lineRule="auto"/>
              <w:rPr>
                <w:rFonts w:eastAsiaTheme="minorEastAsia" w:hint="eastAsia"/>
                <w:b/>
                <w:bCs/>
              </w:rPr>
            </w:pPr>
            <w:r>
              <w:rPr>
                <w:rFonts w:eastAsiaTheme="minorEastAsia" w:hint="eastAsia"/>
                <w:b/>
                <w:bCs/>
              </w:rPr>
              <w:t>排气筒高度</w:t>
            </w:r>
            <w:r>
              <w:rPr>
                <w:rFonts w:eastAsiaTheme="minorEastAsia" w:hint="eastAsia"/>
                <w:b/>
                <w:bCs/>
              </w:rPr>
              <w:t>m</w:t>
            </w:r>
          </w:p>
        </w:tc>
        <w:tc>
          <w:tcPr>
            <w:tcW w:w="2002" w:type="dxa"/>
          </w:tcPr>
          <w:p w14:paraId="7E02A596" w14:textId="77777777" w:rsidR="00B14D53" w:rsidRDefault="00000000">
            <w:pPr>
              <w:pStyle w:val="afff2"/>
              <w:adjustRightInd/>
              <w:snapToGrid/>
              <w:spacing w:line="240" w:lineRule="auto"/>
              <w:rPr>
                <w:rFonts w:eastAsiaTheme="minorEastAsia" w:hAnsi="Times New Roman"/>
                <w:b/>
                <w:bCs/>
              </w:rPr>
            </w:pPr>
            <w:r>
              <w:rPr>
                <w:rFonts w:eastAsiaTheme="minorEastAsia"/>
                <w:b/>
                <w:bCs/>
              </w:rPr>
              <w:t>标准值</w:t>
            </w:r>
          </w:p>
        </w:tc>
      </w:tr>
      <w:tr w:rsidR="00B14D53" w14:paraId="618ECFFF" w14:textId="77777777">
        <w:trPr>
          <w:trHeight w:val="50"/>
          <w:jc w:val="center"/>
        </w:trPr>
        <w:tc>
          <w:tcPr>
            <w:tcW w:w="2893" w:type="dxa"/>
            <w:vMerge w:val="restart"/>
          </w:tcPr>
          <w:p w14:paraId="37A9F8D4" w14:textId="77777777" w:rsidR="00B14D53" w:rsidRDefault="00000000">
            <w:pPr>
              <w:pStyle w:val="afff2"/>
              <w:adjustRightInd/>
              <w:snapToGrid/>
              <w:spacing w:line="240" w:lineRule="auto"/>
              <w:rPr>
                <w:rFonts w:eastAsiaTheme="minorEastAsia" w:hAnsi="Times New Roman"/>
              </w:rPr>
            </w:pPr>
            <w:r>
              <w:rPr>
                <w:rFonts w:eastAsiaTheme="minorEastAsia"/>
              </w:rPr>
              <w:t>《恶臭污染物排放标准》（</w:t>
            </w:r>
            <w:r>
              <w:rPr>
                <w:rFonts w:eastAsiaTheme="minorEastAsia"/>
              </w:rPr>
              <w:t>GB14554-93</w:t>
            </w:r>
            <w:r>
              <w:rPr>
                <w:rFonts w:eastAsiaTheme="minorEastAsia"/>
              </w:rPr>
              <w:t>）表</w:t>
            </w:r>
            <w:r>
              <w:rPr>
                <w:rFonts w:eastAsiaTheme="minorEastAsia" w:hint="eastAsia"/>
              </w:rPr>
              <w:t>2</w:t>
            </w:r>
            <w:r>
              <w:rPr>
                <w:rFonts w:eastAsiaTheme="minorEastAsia"/>
              </w:rPr>
              <w:t>中的标准</w:t>
            </w:r>
          </w:p>
        </w:tc>
        <w:tc>
          <w:tcPr>
            <w:tcW w:w="1360" w:type="dxa"/>
          </w:tcPr>
          <w:p w14:paraId="0EBBB4AF" w14:textId="77777777" w:rsidR="00B14D53" w:rsidRDefault="00000000">
            <w:pPr>
              <w:pStyle w:val="afff2"/>
              <w:adjustRightInd/>
              <w:snapToGrid/>
              <w:spacing w:line="240" w:lineRule="auto"/>
              <w:rPr>
                <w:rFonts w:eastAsiaTheme="minorEastAsia" w:hAnsi="Times New Roman"/>
              </w:rPr>
            </w:pPr>
            <w:r>
              <w:rPr>
                <w:rFonts w:eastAsiaTheme="minorEastAsia" w:hAnsi="Times New Roman"/>
              </w:rPr>
              <w:t>H</w:t>
            </w:r>
            <w:r>
              <w:rPr>
                <w:rFonts w:eastAsiaTheme="minorEastAsia" w:hAnsi="Times New Roman"/>
                <w:vertAlign w:val="subscript"/>
              </w:rPr>
              <w:t>2</w:t>
            </w:r>
            <w:r>
              <w:rPr>
                <w:rFonts w:eastAsiaTheme="minorEastAsia" w:hAnsi="Times New Roman"/>
              </w:rPr>
              <w:t>S</w:t>
            </w:r>
          </w:p>
        </w:tc>
        <w:tc>
          <w:tcPr>
            <w:tcW w:w="1636" w:type="dxa"/>
            <w:vMerge w:val="restart"/>
          </w:tcPr>
          <w:p w14:paraId="520F64FB" w14:textId="77777777" w:rsidR="00B14D53" w:rsidRDefault="00000000">
            <w:pPr>
              <w:pStyle w:val="afff2"/>
              <w:adjustRightInd/>
              <w:snapToGrid/>
              <w:spacing w:line="240" w:lineRule="auto"/>
              <w:rPr>
                <w:rFonts w:eastAsiaTheme="minorEastAsia" w:hAnsi="Times New Roman"/>
              </w:rPr>
            </w:pPr>
            <w:r>
              <w:rPr>
                <w:rFonts w:eastAsiaTheme="minorEastAsia" w:hAnsi="Times New Roman" w:hint="eastAsia"/>
              </w:rPr>
              <w:t>15</w:t>
            </w:r>
          </w:p>
        </w:tc>
        <w:tc>
          <w:tcPr>
            <w:tcW w:w="2002" w:type="dxa"/>
          </w:tcPr>
          <w:p w14:paraId="33A1CEFF" w14:textId="77777777" w:rsidR="00B14D53" w:rsidRDefault="00000000">
            <w:pPr>
              <w:pStyle w:val="afff2"/>
              <w:adjustRightInd/>
              <w:snapToGrid/>
              <w:spacing w:line="240" w:lineRule="auto"/>
              <w:rPr>
                <w:rFonts w:eastAsiaTheme="minorEastAsia" w:hAnsi="Times New Roman"/>
              </w:rPr>
            </w:pPr>
            <w:r>
              <w:rPr>
                <w:rFonts w:eastAsiaTheme="minorEastAsia" w:hAnsi="Times New Roman" w:hint="eastAsia"/>
              </w:rPr>
              <w:t>0.33kg/h</w:t>
            </w:r>
          </w:p>
        </w:tc>
      </w:tr>
      <w:tr w:rsidR="00B14D53" w14:paraId="68FE8404" w14:textId="77777777">
        <w:trPr>
          <w:trHeight w:val="50"/>
          <w:jc w:val="center"/>
        </w:trPr>
        <w:tc>
          <w:tcPr>
            <w:tcW w:w="2893" w:type="dxa"/>
            <w:vMerge/>
          </w:tcPr>
          <w:p w14:paraId="3ECE4ECA" w14:textId="77777777" w:rsidR="00B14D53" w:rsidRDefault="00B14D53">
            <w:pPr>
              <w:pStyle w:val="afff2"/>
              <w:adjustRightInd/>
              <w:snapToGrid/>
              <w:spacing w:line="240" w:lineRule="auto"/>
              <w:rPr>
                <w:rFonts w:eastAsiaTheme="minorEastAsia" w:hint="eastAsia"/>
              </w:rPr>
            </w:pPr>
          </w:p>
        </w:tc>
        <w:tc>
          <w:tcPr>
            <w:tcW w:w="1360" w:type="dxa"/>
          </w:tcPr>
          <w:p w14:paraId="0BB17D78" w14:textId="77777777" w:rsidR="00B14D53" w:rsidRDefault="00000000">
            <w:pPr>
              <w:pStyle w:val="afff2"/>
              <w:adjustRightInd/>
              <w:snapToGrid/>
              <w:spacing w:line="240" w:lineRule="auto"/>
              <w:rPr>
                <w:rFonts w:eastAsiaTheme="minorEastAsia" w:hint="eastAsia"/>
              </w:rPr>
            </w:pPr>
            <w:r>
              <w:rPr>
                <w:rFonts w:eastAsiaTheme="minorEastAsia" w:hAnsi="Times New Roman"/>
              </w:rPr>
              <w:t>NH</w:t>
            </w:r>
            <w:r>
              <w:rPr>
                <w:rFonts w:eastAsiaTheme="minorEastAsia" w:hAnsi="Times New Roman"/>
                <w:vertAlign w:val="subscript"/>
              </w:rPr>
              <w:t>3</w:t>
            </w:r>
          </w:p>
        </w:tc>
        <w:tc>
          <w:tcPr>
            <w:tcW w:w="1636" w:type="dxa"/>
            <w:vMerge/>
          </w:tcPr>
          <w:p w14:paraId="33270F27" w14:textId="77777777" w:rsidR="00B14D53" w:rsidRDefault="00B14D53">
            <w:pPr>
              <w:pStyle w:val="afff2"/>
              <w:adjustRightInd/>
              <w:snapToGrid/>
              <w:spacing w:line="240" w:lineRule="auto"/>
              <w:rPr>
                <w:rFonts w:eastAsiaTheme="minorEastAsia" w:hAnsi="Times New Roman"/>
              </w:rPr>
            </w:pPr>
          </w:p>
        </w:tc>
        <w:tc>
          <w:tcPr>
            <w:tcW w:w="2002" w:type="dxa"/>
          </w:tcPr>
          <w:p w14:paraId="7C7D2B99" w14:textId="77777777" w:rsidR="00B14D53" w:rsidRDefault="00000000">
            <w:pPr>
              <w:pStyle w:val="afff2"/>
              <w:adjustRightInd/>
              <w:snapToGrid/>
              <w:spacing w:line="240" w:lineRule="auto"/>
              <w:rPr>
                <w:rFonts w:eastAsiaTheme="minorEastAsia" w:hAnsi="Times New Roman"/>
              </w:rPr>
            </w:pPr>
            <w:r>
              <w:rPr>
                <w:rFonts w:eastAsiaTheme="minorEastAsia" w:hAnsi="Times New Roman" w:hint="eastAsia"/>
              </w:rPr>
              <w:t>4.9kg/h</w:t>
            </w:r>
          </w:p>
        </w:tc>
      </w:tr>
      <w:tr w:rsidR="00B14D53" w14:paraId="308B01C6" w14:textId="77777777">
        <w:trPr>
          <w:trHeight w:val="50"/>
          <w:jc w:val="center"/>
        </w:trPr>
        <w:tc>
          <w:tcPr>
            <w:tcW w:w="2893" w:type="dxa"/>
            <w:vMerge/>
          </w:tcPr>
          <w:p w14:paraId="071B7BFA" w14:textId="77777777" w:rsidR="00B14D53" w:rsidRDefault="00B14D53">
            <w:pPr>
              <w:pStyle w:val="afff2"/>
              <w:adjustRightInd/>
              <w:snapToGrid/>
              <w:spacing w:line="240" w:lineRule="auto"/>
              <w:rPr>
                <w:rFonts w:eastAsiaTheme="minorEastAsia" w:hint="eastAsia"/>
              </w:rPr>
            </w:pPr>
          </w:p>
        </w:tc>
        <w:tc>
          <w:tcPr>
            <w:tcW w:w="1360" w:type="dxa"/>
          </w:tcPr>
          <w:p w14:paraId="446FD639" w14:textId="77777777" w:rsidR="00B14D53" w:rsidRDefault="00000000">
            <w:pPr>
              <w:pStyle w:val="afff2"/>
              <w:adjustRightInd/>
              <w:snapToGrid/>
              <w:spacing w:line="240" w:lineRule="auto"/>
              <w:rPr>
                <w:rFonts w:eastAsiaTheme="minorEastAsia" w:hAnsi="Times New Roman"/>
              </w:rPr>
            </w:pPr>
            <w:r>
              <w:rPr>
                <w:rFonts w:eastAsiaTheme="minorEastAsia"/>
              </w:rPr>
              <w:t>臭气浓度</w:t>
            </w:r>
          </w:p>
        </w:tc>
        <w:tc>
          <w:tcPr>
            <w:tcW w:w="1636" w:type="dxa"/>
            <w:vMerge/>
          </w:tcPr>
          <w:p w14:paraId="117A2F96" w14:textId="77777777" w:rsidR="00B14D53" w:rsidRDefault="00B14D53">
            <w:pPr>
              <w:pStyle w:val="afff2"/>
              <w:adjustRightInd/>
              <w:snapToGrid/>
              <w:spacing w:line="240" w:lineRule="auto"/>
              <w:rPr>
                <w:rFonts w:eastAsiaTheme="minorEastAsia" w:hint="eastAsia"/>
              </w:rPr>
            </w:pPr>
          </w:p>
        </w:tc>
        <w:tc>
          <w:tcPr>
            <w:tcW w:w="2002" w:type="dxa"/>
          </w:tcPr>
          <w:p w14:paraId="17805008" w14:textId="77777777" w:rsidR="00B14D53" w:rsidRDefault="00000000">
            <w:pPr>
              <w:pStyle w:val="afff2"/>
              <w:adjustRightInd/>
              <w:snapToGrid/>
              <w:spacing w:line="240" w:lineRule="auto"/>
              <w:rPr>
                <w:rFonts w:eastAsiaTheme="minorEastAsia" w:hAnsi="Times New Roman"/>
              </w:rPr>
            </w:pPr>
            <w:r>
              <w:rPr>
                <w:rFonts w:eastAsiaTheme="minorEastAsia" w:hAnsi="Times New Roman" w:hint="eastAsia"/>
              </w:rPr>
              <w:t>2000</w:t>
            </w:r>
            <w:r>
              <w:rPr>
                <w:rFonts w:eastAsiaTheme="minorEastAsia"/>
              </w:rPr>
              <w:t>（无量纲）</w:t>
            </w:r>
          </w:p>
        </w:tc>
      </w:tr>
      <w:tr w:rsidR="00B14D53" w14:paraId="3045BF96" w14:textId="77777777">
        <w:trPr>
          <w:trHeight w:val="50"/>
          <w:jc w:val="center"/>
        </w:trPr>
        <w:tc>
          <w:tcPr>
            <w:tcW w:w="2893" w:type="dxa"/>
            <w:vMerge w:val="restart"/>
          </w:tcPr>
          <w:p w14:paraId="5FCFCB9D" w14:textId="77777777" w:rsidR="00B14D53" w:rsidRDefault="00000000">
            <w:pPr>
              <w:pStyle w:val="afff2"/>
              <w:adjustRightInd/>
              <w:snapToGrid/>
              <w:spacing w:line="240" w:lineRule="auto"/>
              <w:rPr>
                <w:rFonts w:eastAsiaTheme="minorEastAsia" w:hAnsi="Times New Roman"/>
              </w:rPr>
            </w:pPr>
            <w:r>
              <w:rPr>
                <w:rFonts w:eastAsiaTheme="minorEastAsia"/>
              </w:rPr>
              <w:t>《恶臭污染物排放标准》（</w:t>
            </w:r>
            <w:r>
              <w:rPr>
                <w:rFonts w:eastAsiaTheme="minorEastAsia" w:hAnsi="Times New Roman"/>
              </w:rPr>
              <w:t>GB14554-1993</w:t>
            </w:r>
            <w:r>
              <w:rPr>
                <w:rFonts w:eastAsiaTheme="minorEastAsia"/>
              </w:rPr>
              <w:t>）表</w:t>
            </w:r>
            <w:r>
              <w:rPr>
                <w:rFonts w:eastAsiaTheme="minorEastAsia" w:hAnsi="Times New Roman"/>
              </w:rPr>
              <w:t>1</w:t>
            </w:r>
            <w:r>
              <w:rPr>
                <w:rFonts w:eastAsiaTheme="minorEastAsia"/>
              </w:rPr>
              <w:t>中二级新改扩建标准</w:t>
            </w:r>
          </w:p>
        </w:tc>
        <w:tc>
          <w:tcPr>
            <w:tcW w:w="1360" w:type="dxa"/>
          </w:tcPr>
          <w:p w14:paraId="41C33933" w14:textId="77777777" w:rsidR="00B14D53" w:rsidRDefault="00000000">
            <w:pPr>
              <w:pStyle w:val="afff2"/>
              <w:adjustRightInd/>
              <w:snapToGrid/>
              <w:spacing w:line="240" w:lineRule="auto"/>
              <w:rPr>
                <w:rFonts w:eastAsiaTheme="minorEastAsia" w:hAnsi="Times New Roman"/>
              </w:rPr>
            </w:pPr>
            <w:r>
              <w:rPr>
                <w:rFonts w:eastAsiaTheme="minorEastAsia" w:hAnsi="Times New Roman"/>
              </w:rPr>
              <w:t>H</w:t>
            </w:r>
            <w:r>
              <w:rPr>
                <w:rFonts w:eastAsiaTheme="minorEastAsia" w:hAnsi="Times New Roman"/>
                <w:vertAlign w:val="subscript"/>
              </w:rPr>
              <w:t>2</w:t>
            </w:r>
            <w:r>
              <w:rPr>
                <w:rFonts w:eastAsiaTheme="minorEastAsia" w:hAnsi="Times New Roman"/>
              </w:rPr>
              <w:t>S</w:t>
            </w:r>
          </w:p>
        </w:tc>
        <w:tc>
          <w:tcPr>
            <w:tcW w:w="1636" w:type="dxa"/>
            <w:vMerge w:val="restart"/>
          </w:tcPr>
          <w:p w14:paraId="79763A55" w14:textId="77777777" w:rsidR="00B14D53" w:rsidRDefault="00000000">
            <w:pPr>
              <w:pStyle w:val="afff2"/>
              <w:adjustRightInd/>
              <w:snapToGrid/>
              <w:spacing w:line="240" w:lineRule="auto"/>
              <w:rPr>
                <w:rFonts w:eastAsiaTheme="minorEastAsia" w:hAnsi="Times New Roman"/>
              </w:rPr>
            </w:pPr>
            <w:r>
              <w:rPr>
                <w:rFonts w:eastAsiaTheme="minorEastAsia" w:hAnsi="Times New Roman" w:hint="eastAsia"/>
              </w:rPr>
              <w:t>/</w:t>
            </w:r>
          </w:p>
        </w:tc>
        <w:tc>
          <w:tcPr>
            <w:tcW w:w="2002" w:type="dxa"/>
          </w:tcPr>
          <w:p w14:paraId="47A8C2CB" w14:textId="77777777" w:rsidR="00B14D53" w:rsidRDefault="00000000">
            <w:pPr>
              <w:pStyle w:val="afff2"/>
              <w:adjustRightInd/>
              <w:snapToGrid/>
              <w:spacing w:line="240" w:lineRule="auto"/>
              <w:rPr>
                <w:rFonts w:eastAsiaTheme="minorEastAsia" w:hAnsi="Times New Roman"/>
              </w:rPr>
            </w:pPr>
            <w:r>
              <w:rPr>
                <w:rFonts w:eastAsiaTheme="minorEastAsia" w:hAnsi="Times New Roman"/>
              </w:rPr>
              <w:t>0.06mg/m</w:t>
            </w:r>
            <w:r>
              <w:rPr>
                <w:rFonts w:eastAsiaTheme="minorEastAsia" w:hAnsi="Times New Roman"/>
                <w:vertAlign w:val="superscript"/>
              </w:rPr>
              <w:t>3</w:t>
            </w:r>
          </w:p>
        </w:tc>
      </w:tr>
      <w:tr w:rsidR="00B14D53" w14:paraId="02DAE4C4" w14:textId="77777777">
        <w:trPr>
          <w:trHeight w:val="121"/>
          <w:jc w:val="center"/>
        </w:trPr>
        <w:tc>
          <w:tcPr>
            <w:tcW w:w="2893" w:type="dxa"/>
            <w:vMerge/>
          </w:tcPr>
          <w:p w14:paraId="7ED3AF29" w14:textId="77777777" w:rsidR="00B14D53" w:rsidRDefault="00B14D53">
            <w:pPr>
              <w:widowControl/>
              <w:adjustRightInd/>
              <w:snapToGrid/>
              <w:rPr>
                <w:rFonts w:eastAsiaTheme="minorEastAsia"/>
                <w:kern w:val="0"/>
                <w:szCs w:val="21"/>
                <w:lang w:val="zh-CN"/>
              </w:rPr>
            </w:pPr>
          </w:p>
        </w:tc>
        <w:tc>
          <w:tcPr>
            <w:tcW w:w="1360" w:type="dxa"/>
          </w:tcPr>
          <w:p w14:paraId="19F3B7A6" w14:textId="77777777" w:rsidR="00B14D53" w:rsidRDefault="00000000">
            <w:pPr>
              <w:pStyle w:val="afff2"/>
              <w:adjustRightInd/>
              <w:snapToGrid/>
              <w:spacing w:line="240" w:lineRule="auto"/>
              <w:rPr>
                <w:rFonts w:eastAsiaTheme="minorEastAsia" w:hAnsi="Times New Roman"/>
              </w:rPr>
            </w:pPr>
            <w:r>
              <w:rPr>
                <w:rFonts w:eastAsiaTheme="minorEastAsia" w:hAnsi="Times New Roman"/>
              </w:rPr>
              <w:t>NH</w:t>
            </w:r>
            <w:r>
              <w:rPr>
                <w:rFonts w:eastAsiaTheme="minorEastAsia" w:hAnsi="Times New Roman"/>
                <w:vertAlign w:val="subscript"/>
              </w:rPr>
              <w:t>3</w:t>
            </w:r>
          </w:p>
        </w:tc>
        <w:tc>
          <w:tcPr>
            <w:tcW w:w="1636" w:type="dxa"/>
            <w:vMerge/>
          </w:tcPr>
          <w:p w14:paraId="35D9299B" w14:textId="77777777" w:rsidR="00B14D53" w:rsidRDefault="00B14D53">
            <w:pPr>
              <w:pStyle w:val="afff2"/>
              <w:adjustRightInd/>
              <w:snapToGrid/>
              <w:spacing w:line="240" w:lineRule="auto"/>
              <w:rPr>
                <w:rFonts w:eastAsiaTheme="minorEastAsia" w:hAnsi="Times New Roman"/>
              </w:rPr>
            </w:pPr>
          </w:p>
        </w:tc>
        <w:tc>
          <w:tcPr>
            <w:tcW w:w="2002" w:type="dxa"/>
          </w:tcPr>
          <w:p w14:paraId="671DF207" w14:textId="77777777" w:rsidR="00B14D53" w:rsidRDefault="00000000">
            <w:pPr>
              <w:pStyle w:val="afff2"/>
              <w:adjustRightInd/>
              <w:snapToGrid/>
              <w:spacing w:line="240" w:lineRule="auto"/>
              <w:rPr>
                <w:rFonts w:eastAsiaTheme="minorEastAsia" w:hAnsi="Times New Roman"/>
              </w:rPr>
            </w:pPr>
            <w:r>
              <w:rPr>
                <w:rFonts w:eastAsiaTheme="minorEastAsia" w:hAnsi="Times New Roman"/>
              </w:rPr>
              <w:t>1.5mg/m</w:t>
            </w:r>
            <w:r>
              <w:rPr>
                <w:rFonts w:eastAsiaTheme="minorEastAsia" w:hAnsi="Times New Roman"/>
                <w:vertAlign w:val="superscript"/>
              </w:rPr>
              <w:t>3</w:t>
            </w:r>
          </w:p>
        </w:tc>
      </w:tr>
      <w:tr w:rsidR="00B14D53" w14:paraId="62AAEAB7" w14:textId="77777777">
        <w:trPr>
          <w:trHeight w:val="121"/>
          <w:jc w:val="center"/>
        </w:trPr>
        <w:tc>
          <w:tcPr>
            <w:tcW w:w="2893" w:type="dxa"/>
            <w:vMerge/>
          </w:tcPr>
          <w:p w14:paraId="2286EE19" w14:textId="77777777" w:rsidR="00B14D53" w:rsidRDefault="00B14D53">
            <w:pPr>
              <w:widowControl/>
              <w:adjustRightInd/>
              <w:snapToGrid/>
              <w:rPr>
                <w:rFonts w:eastAsiaTheme="minorEastAsia"/>
                <w:kern w:val="0"/>
                <w:szCs w:val="21"/>
                <w:lang w:val="zh-CN"/>
              </w:rPr>
            </w:pPr>
          </w:p>
        </w:tc>
        <w:tc>
          <w:tcPr>
            <w:tcW w:w="1360" w:type="dxa"/>
          </w:tcPr>
          <w:p w14:paraId="2D690615" w14:textId="77777777" w:rsidR="00B14D53" w:rsidRDefault="00000000">
            <w:pPr>
              <w:pStyle w:val="afff2"/>
              <w:adjustRightInd/>
              <w:snapToGrid/>
              <w:spacing w:line="240" w:lineRule="auto"/>
              <w:rPr>
                <w:rFonts w:eastAsiaTheme="minorEastAsia" w:hAnsi="Times New Roman"/>
              </w:rPr>
            </w:pPr>
            <w:r>
              <w:rPr>
                <w:rFonts w:eastAsiaTheme="minorEastAsia"/>
              </w:rPr>
              <w:t>臭气浓度</w:t>
            </w:r>
          </w:p>
        </w:tc>
        <w:tc>
          <w:tcPr>
            <w:tcW w:w="1636" w:type="dxa"/>
            <w:vMerge/>
          </w:tcPr>
          <w:p w14:paraId="311B2BAC" w14:textId="77777777" w:rsidR="00B14D53" w:rsidRDefault="00B14D53">
            <w:pPr>
              <w:pStyle w:val="afff2"/>
              <w:adjustRightInd/>
              <w:snapToGrid/>
              <w:spacing w:line="240" w:lineRule="auto"/>
              <w:rPr>
                <w:rFonts w:eastAsiaTheme="minorEastAsia" w:hint="eastAsia"/>
              </w:rPr>
            </w:pPr>
          </w:p>
        </w:tc>
        <w:tc>
          <w:tcPr>
            <w:tcW w:w="2002" w:type="dxa"/>
          </w:tcPr>
          <w:p w14:paraId="7A67295E" w14:textId="77777777" w:rsidR="00B14D53" w:rsidRDefault="00000000">
            <w:pPr>
              <w:pStyle w:val="afff2"/>
              <w:adjustRightInd/>
              <w:snapToGrid/>
              <w:spacing w:line="240" w:lineRule="auto"/>
              <w:rPr>
                <w:rFonts w:eastAsiaTheme="minorEastAsia" w:hAnsi="Times New Roman"/>
              </w:rPr>
            </w:pPr>
            <w:r>
              <w:rPr>
                <w:rFonts w:eastAsiaTheme="minorEastAsia" w:hAnsi="Times New Roman"/>
              </w:rPr>
              <w:t>70</w:t>
            </w:r>
            <w:r>
              <w:rPr>
                <w:rFonts w:eastAsiaTheme="minorEastAsia"/>
              </w:rPr>
              <w:t>（无量纲）</w:t>
            </w:r>
          </w:p>
        </w:tc>
      </w:tr>
    </w:tbl>
    <w:p w14:paraId="51FB5A27" w14:textId="77777777" w:rsidR="00B14D53" w:rsidRDefault="00000000">
      <w:pPr>
        <w:spacing w:line="360" w:lineRule="auto"/>
        <w:ind w:firstLineChars="200" w:firstLine="480"/>
        <w:rPr>
          <w:rFonts w:eastAsiaTheme="minorEastAsia"/>
          <w:sz w:val="24"/>
        </w:rPr>
      </w:pPr>
      <w:r>
        <w:rPr>
          <w:rFonts w:eastAsiaTheme="minorEastAsia" w:hint="eastAsia"/>
          <w:sz w:val="24"/>
        </w:rPr>
        <w:t>（</w:t>
      </w:r>
      <w:r>
        <w:rPr>
          <w:rFonts w:eastAsiaTheme="minorEastAsia" w:hint="eastAsia"/>
          <w:sz w:val="24"/>
        </w:rPr>
        <w:t>2</w:t>
      </w:r>
      <w:r>
        <w:rPr>
          <w:rFonts w:eastAsiaTheme="minorEastAsia" w:hint="eastAsia"/>
          <w:sz w:val="24"/>
        </w:rPr>
        <w:t>）</w:t>
      </w:r>
      <w:r>
        <w:rPr>
          <w:rFonts w:eastAsiaTheme="minorEastAsia" w:hAnsiTheme="minorEastAsia"/>
          <w:sz w:val="24"/>
        </w:rPr>
        <w:t>水污染物排放标准</w:t>
      </w:r>
    </w:p>
    <w:p w14:paraId="32BE64AF" w14:textId="77777777" w:rsidR="00B14D53" w:rsidRDefault="00000000">
      <w:pPr>
        <w:spacing w:line="360" w:lineRule="auto"/>
        <w:ind w:firstLineChars="200" w:firstLine="480"/>
        <w:rPr>
          <w:rFonts w:eastAsiaTheme="minorEastAsia"/>
          <w:sz w:val="24"/>
        </w:rPr>
      </w:pPr>
      <w:r>
        <w:rPr>
          <w:rFonts w:eastAsiaTheme="minorEastAsia"/>
          <w:sz w:val="24"/>
        </w:rPr>
        <w:t>①</w:t>
      </w:r>
      <w:r>
        <w:rPr>
          <w:rFonts w:eastAsiaTheme="minorEastAsia"/>
          <w:sz w:val="24"/>
        </w:rPr>
        <w:t>施工期</w:t>
      </w:r>
    </w:p>
    <w:p w14:paraId="4D29513C" w14:textId="77777777" w:rsidR="00B14D53" w:rsidRDefault="00000000">
      <w:pPr>
        <w:spacing w:line="360" w:lineRule="auto"/>
        <w:ind w:firstLineChars="200" w:firstLine="480"/>
        <w:rPr>
          <w:rFonts w:eastAsiaTheme="minorEastAsia"/>
          <w:sz w:val="24"/>
        </w:rPr>
      </w:pPr>
      <w:r>
        <w:rPr>
          <w:rFonts w:eastAsiaTheme="minorEastAsia" w:hAnsiTheme="minorEastAsia" w:hint="eastAsia"/>
          <w:sz w:val="24"/>
        </w:rPr>
        <w:t>本</w:t>
      </w:r>
      <w:r>
        <w:rPr>
          <w:rFonts w:eastAsiaTheme="minorEastAsia" w:hAnsiTheme="minorEastAsia"/>
          <w:sz w:val="24"/>
        </w:rPr>
        <w:t>项目施工期生活污水排入</w:t>
      </w:r>
      <w:r>
        <w:rPr>
          <w:rFonts w:eastAsiaTheme="minorEastAsia" w:hAnsiTheme="minorEastAsia" w:hint="eastAsia"/>
          <w:sz w:val="24"/>
        </w:rPr>
        <w:t>市政管网，经</w:t>
      </w:r>
      <w:r>
        <w:rPr>
          <w:rFonts w:hint="eastAsia"/>
          <w:kern w:val="21"/>
          <w:sz w:val="24"/>
        </w:rPr>
        <w:t>五常市民泉污水处理有限公司（五常市山河屯林业局污水处理厂）</w:t>
      </w:r>
      <w:r>
        <w:rPr>
          <w:kern w:val="21"/>
          <w:sz w:val="24"/>
        </w:rPr>
        <w:t>处理</w:t>
      </w:r>
      <w:r>
        <w:rPr>
          <w:rFonts w:hint="eastAsia"/>
          <w:kern w:val="21"/>
          <w:sz w:val="24"/>
        </w:rPr>
        <w:t>达标后</w:t>
      </w:r>
      <w:r>
        <w:rPr>
          <w:kern w:val="21"/>
          <w:sz w:val="24"/>
        </w:rPr>
        <w:t>排入</w:t>
      </w:r>
      <w:r>
        <w:rPr>
          <w:rFonts w:hint="eastAsia"/>
          <w:kern w:val="21"/>
          <w:sz w:val="24"/>
        </w:rPr>
        <w:t>拉林</w:t>
      </w:r>
      <w:r>
        <w:rPr>
          <w:kern w:val="21"/>
          <w:sz w:val="24"/>
        </w:rPr>
        <w:t>河</w:t>
      </w:r>
      <w:r>
        <w:rPr>
          <w:rFonts w:hint="eastAsia"/>
          <w:kern w:val="21"/>
          <w:sz w:val="24"/>
        </w:rPr>
        <w:t>，</w:t>
      </w:r>
      <w:r>
        <w:rPr>
          <w:rFonts w:eastAsiaTheme="minorEastAsia" w:hAnsiTheme="minorEastAsia" w:hint="eastAsia"/>
          <w:sz w:val="24"/>
        </w:rPr>
        <w:t>执行</w:t>
      </w:r>
      <w:r>
        <w:rPr>
          <w:rFonts w:hint="eastAsia"/>
          <w:bCs/>
          <w:sz w:val="24"/>
        </w:rPr>
        <w:t>《</w:t>
      </w:r>
      <w:r>
        <w:rPr>
          <w:bCs/>
          <w:sz w:val="24"/>
        </w:rPr>
        <w:t>污水综合排放标准》（</w:t>
      </w:r>
      <w:r>
        <w:rPr>
          <w:bCs/>
          <w:sz w:val="24"/>
        </w:rPr>
        <w:t>GB8978-1996</w:t>
      </w:r>
      <w:r>
        <w:rPr>
          <w:bCs/>
          <w:sz w:val="24"/>
        </w:rPr>
        <w:t>）</w:t>
      </w:r>
      <w:r>
        <w:rPr>
          <w:rFonts w:hint="eastAsia"/>
          <w:bCs/>
          <w:sz w:val="24"/>
        </w:rPr>
        <w:t>表</w:t>
      </w:r>
      <w:r>
        <w:rPr>
          <w:rFonts w:hint="eastAsia"/>
          <w:bCs/>
          <w:sz w:val="24"/>
        </w:rPr>
        <w:t>4</w:t>
      </w:r>
      <w:r>
        <w:rPr>
          <w:rFonts w:hint="eastAsia"/>
          <w:bCs/>
          <w:sz w:val="24"/>
        </w:rPr>
        <w:t>三</w:t>
      </w:r>
      <w:r>
        <w:rPr>
          <w:bCs/>
          <w:sz w:val="24"/>
        </w:rPr>
        <w:t>级标准</w:t>
      </w:r>
      <w:r>
        <w:rPr>
          <w:rFonts w:hint="eastAsia"/>
          <w:sz w:val="24"/>
        </w:rPr>
        <w:t>限值及</w:t>
      </w:r>
      <w:r>
        <w:rPr>
          <w:rFonts w:hint="eastAsia"/>
          <w:kern w:val="21"/>
          <w:sz w:val="24"/>
        </w:rPr>
        <w:t>五常市民泉污水处理有限公司（五常市山河屯林业局污水处理厂）</w:t>
      </w:r>
      <w:r>
        <w:rPr>
          <w:kern w:val="21"/>
          <w:sz w:val="24"/>
        </w:rPr>
        <w:t>设计进水水质指标</w:t>
      </w:r>
      <w:r>
        <w:rPr>
          <w:rFonts w:eastAsiaTheme="minorEastAsia" w:hAnsiTheme="minorEastAsia"/>
          <w:sz w:val="24"/>
        </w:rPr>
        <w:t>。</w:t>
      </w:r>
    </w:p>
    <w:p w14:paraId="451E4576" w14:textId="77777777" w:rsidR="00B14D53" w:rsidRDefault="00000000">
      <w:pPr>
        <w:spacing w:line="360" w:lineRule="auto"/>
        <w:ind w:firstLineChars="200" w:firstLine="480"/>
        <w:rPr>
          <w:rFonts w:eastAsiaTheme="minorEastAsia"/>
          <w:sz w:val="24"/>
        </w:rPr>
      </w:pPr>
      <w:r>
        <w:rPr>
          <w:rFonts w:eastAsiaTheme="minorEastAsia"/>
          <w:sz w:val="24"/>
        </w:rPr>
        <w:t>②</w:t>
      </w:r>
      <w:r>
        <w:rPr>
          <w:rFonts w:eastAsiaTheme="minorEastAsia"/>
          <w:sz w:val="24"/>
        </w:rPr>
        <w:t>运营期</w:t>
      </w:r>
    </w:p>
    <w:p w14:paraId="355B9177" w14:textId="77777777" w:rsidR="00B14D53" w:rsidRDefault="00000000">
      <w:pPr>
        <w:spacing w:line="360" w:lineRule="auto"/>
        <w:ind w:firstLineChars="200" w:firstLine="480"/>
        <w:rPr>
          <w:rFonts w:hAnsiTheme="minorEastAsia" w:hint="eastAsia"/>
          <w:sz w:val="24"/>
        </w:rPr>
      </w:pPr>
      <w:r>
        <w:rPr>
          <w:rFonts w:eastAsiaTheme="minorEastAsia" w:hAnsiTheme="minorEastAsia" w:hint="eastAsia"/>
          <w:sz w:val="24"/>
        </w:rPr>
        <w:t>本</w:t>
      </w:r>
      <w:r>
        <w:rPr>
          <w:rFonts w:eastAsiaTheme="minorEastAsia" w:hAnsiTheme="minorEastAsia"/>
          <w:sz w:val="24"/>
        </w:rPr>
        <w:t>项目运营期</w:t>
      </w:r>
      <w:r>
        <w:rPr>
          <w:rFonts w:eastAsiaTheme="minorEastAsia" w:hAnsiTheme="minorEastAsia" w:hint="eastAsia"/>
          <w:sz w:val="24"/>
        </w:rPr>
        <w:t>生活污水单独</w:t>
      </w:r>
      <w:r>
        <w:rPr>
          <w:rFonts w:eastAsiaTheme="minorEastAsia" w:hAnsiTheme="minorEastAsia"/>
          <w:sz w:val="24"/>
        </w:rPr>
        <w:t>排入</w:t>
      </w:r>
      <w:r>
        <w:rPr>
          <w:rFonts w:eastAsiaTheme="minorEastAsia" w:hAnsiTheme="minorEastAsia" w:hint="eastAsia"/>
          <w:sz w:val="24"/>
        </w:rPr>
        <w:t>市政管网，经</w:t>
      </w:r>
      <w:r>
        <w:rPr>
          <w:rFonts w:hint="eastAsia"/>
          <w:kern w:val="21"/>
          <w:sz w:val="24"/>
        </w:rPr>
        <w:t>五常市民泉污水处理有限公司（五常市山河屯林业局污水处理厂）</w:t>
      </w:r>
      <w:r>
        <w:rPr>
          <w:kern w:val="21"/>
          <w:sz w:val="24"/>
        </w:rPr>
        <w:t>处理</w:t>
      </w:r>
      <w:r>
        <w:rPr>
          <w:rFonts w:hint="eastAsia"/>
          <w:kern w:val="21"/>
          <w:sz w:val="24"/>
        </w:rPr>
        <w:t>达标后</w:t>
      </w:r>
      <w:r>
        <w:rPr>
          <w:kern w:val="21"/>
          <w:sz w:val="24"/>
        </w:rPr>
        <w:t>排入</w:t>
      </w:r>
      <w:r>
        <w:rPr>
          <w:rFonts w:hint="eastAsia"/>
          <w:kern w:val="21"/>
          <w:sz w:val="24"/>
        </w:rPr>
        <w:t>拉林</w:t>
      </w:r>
      <w:r>
        <w:rPr>
          <w:kern w:val="21"/>
          <w:sz w:val="24"/>
        </w:rPr>
        <w:t>河</w:t>
      </w:r>
      <w:r>
        <w:rPr>
          <w:rFonts w:hint="eastAsia"/>
          <w:kern w:val="21"/>
          <w:sz w:val="24"/>
        </w:rPr>
        <w:t>，</w:t>
      </w:r>
      <w:r>
        <w:rPr>
          <w:rFonts w:eastAsiaTheme="minorEastAsia" w:hAnsiTheme="minorEastAsia" w:hint="eastAsia"/>
          <w:sz w:val="24"/>
        </w:rPr>
        <w:t>执行</w:t>
      </w:r>
      <w:r>
        <w:rPr>
          <w:rFonts w:hint="eastAsia"/>
          <w:bCs/>
          <w:sz w:val="24"/>
        </w:rPr>
        <w:t>《</w:t>
      </w:r>
      <w:r>
        <w:rPr>
          <w:bCs/>
          <w:sz w:val="24"/>
        </w:rPr>
        <w:t>污水综合排放标准》（</w:t>
      </w:r>
      <w:r>
        <w:rPr>
          <w:bCs/>
          <w:sz w:val="24"/>
        </w:rPr>
        <w:t>GB8978-1996</w:t>
      </w:r>
      <w:r>
        <w:rPr>
          <w:bCs/>
          <w:sz w:val="24"/>
        </w:rPr>
        <w:t>）</w:t>
      </w:r>
      <w:r>
        <w:rPr>
          <w:rFonts w:hint="eastAsia"/>
          <w:bCs/>
          <w:sz w:val="24"/>
        </w:rPr>
        <w:t>表</w:t>
      </w:r>
      <w:r>
        <w:rPr>
          <w:rFonts w:hint="eastAsia"/>
          <w:bCs/>
          <w:sz w:val="24"/>
        </w:rPr>
        <w:t>4</w:t>
      </w:r>
      <w:r>
        <w:rPr>
          <w:rFonts w:hint="eastAsia"/>
          <w:bCs/>
          <w:sz w:val="24"/>
        </w:rPr>
        <w:t>三</w:t>
      </w:r>
      <w:r>
        <w:rPr>
          <w:bCs/>
          <w:sz w:val="24"/>
        </w:rPr>
        <w:t>级标准</w:t>
      </w:r>
      <w:r>
        <w:rPr>
          <w:rFonts w:hint="eastAsia"/>
          <w:sz w:val="24"/>
        </w:rPr>
        <w:t>限值及</w:t>
      </w:r>
      <w:r>
        <w:rPr>
          <w:rFonts w:hint="eastAsia"/>
          <w:kern w:val="21"/>
          <w:sz w:val="24"/>
        </w:rPr>
        <w:t>五常市民泉污水处理有限公司（五常市山河屯林业局污水处理厂）</w:t>
      </w:r>
      <w:r>
        <w:rPr>
          <w:kern w:val="21"/>
          <w:sz w:val="24"/>
        </w:rPr>
        <w:t>设计进水水质指标</w:t>
      </w:r>
      <w:r>
        <w:rPr>
          <w:rFonts w:hint="eastAsia"/>
          <w:sz w:val="24"/>
        </w:rPr>
        <w:t>；</w:t>
      </w:r>
      <w:r>
        <w:rPr>
          <w:rFonts w:eastAsiaTheme="minorEastAsia" w:hAnsiTheme="minorEastAsia" w:hint="eastAsia"/>
          <w:sz w:val="24"/>
        </w:rPr>
        <w:t>生产废水经污水处理站处理后排入</w:t>
      </w:r>
      <w:r>
        <w:rPr>
          <w:rFonts w:eastAsiaTheme="minorEastAsia" w:hAnsiTheme="minorEastAsia"/>
          <w:sz w:val="24"/>
        </w:rPr>
        <w:t>排入</w:t>
      </w:r>
      <w:r>
        <w:rPr>
          <w:rFonts w:eastAsiaTheme="minorEastAsia" w:hAnsiTheme="minorEastAsia" w:hint="eastAsia"/>
          <w:sz w:val="24"/>
        </w:rPr>
        <w:t>市政管网，经</w:t>
      </w:r>
      <w:r>
        <w:rPr>
          <w:rFonts w:hint="eastAsia"/>
          <w:kern w:val="21"/>
          <w:sz w:val="24"/>
        </w:rPr>
        <w:t>五常市民泉污水处理有限公司（五常市山河屯林业局污水处理厂）</w:t>
      </w:r>
      <w:r>
        <w:rPr>
          <w:kern w:val="21"/>
          <w:sz w:val="24"/>
        </w:rPr>
        <w:t>处理</w:t>
      </w:r>
      <w:r>
        <w:rPr>
          <w:rFonts w:hint="eastAsia"/>
          <w:kern w:val="21"/>
          <w:sz w:val="24"/>
        </w:rPr>
        <w:t>达标后</w:t>
      </w:r>
      <w:r>
        <w:rPr>
          <w:kern w:val="21"/>
          <w:sz w:val="24"/>
        </w:rPr>
        <w:t>排入</w:t>
      </w:r>
      <w:r>
        <w:rPr>
          <w:rFonts w:hint="eastAsia"/>
          <w:kern w:val="21"/>
          <w:sz w:val="24"/>
        </w:rPr>
        <w:t>拉林</w:t>
      </w:r>
      <w:r>
        <w:rPr>
          <w:kern w:val="21"/>
          <w:sz w:val="24"/>
        </w:rPr>
        <w:t>河</w:t>
      </w:r>
      <w:r>
        <w:rPr>
          <w:rFonts w:hint="eastAsia"/>
          <w:kern w:val="21"/>
          <w:sz w:val="24"/>
        </w:rPr>
        <w:t>，</w:t>
      </w:r>
      <w:r>
        <w:rPr>
          <w:rFonts w:eastAsiaTheme="minorEastAsia" w:hAnsiTheme="minorEastAsia" w:hint="eastAsia"/>
          <w:sz w:val="24"/>
        </w:rPr>
        <w:t>执行</w:t>
      </w:r>
      <w:r>
        <w:rPr>
          <w:sz w:val="24"/>
        </w:rPr>
        <w:t>《肉类加工工业水污染物排放标准》（</w:t>
      </w:r>
      <w:r>
        <w:rPr>
          <w:sz w:val="24"/>
        </w:rPr>
        <w:t>GB13457-92</w:t>
      </w:r>
      <w:r>
        <w:rPr>
          <w:sz w:val="24"/>
        </w:rPr>
        <w:t>）表</w:t>
      </w:r>
      <w:r>
        <w:rPr>
          <w:sz w:val="24"/>
        </w:rPr>
        <w:t>3</w:t>
      </w:r>
      <w:r>
        <w:rPr>
          <w:sz w:val="24"/>
        </w:rPr>
        <w:t>畜类屠宰加工三级标准限值</w:t>
      </w:r>
      <w:r>
        <w:rPr>
          <w:rFonts w:hint="eastAsia"/>
          <w:sz w:val="24"/>
        </w:rPr>
        <w:t>及</w:t>
      </w:r>
      <w:r>
        <w:rPr>
          <w:rFonts w:hint="eastAsia"/>
          <w:kern w:val="21"/>
          <w:sz w:val="24"/>
        </w:rPr>
        <w:t>五常市民泉污水处理有限公司（五常市山河屯林业局污水处理厂）</w:t>
      </w:r>
      <w:r>
        <w:rPr>
          <w:kern w:val="21"/>
          <w:sz w:val="24"/>
        </w:rPr>
        <w:t>设计进水水质指标</w:t>
      </w:r>
      <w:r>
        <w:rPr>
          <w:rFonts w:hint="eastAsia"/>
          <w:sz w:val="24"/>
        </w:rPr>
        <w:t>。</w:t>
      </w:r>
    </w:p>
    <w:p w14:paraId="14E854A8" w14:textId="77777777" w:rsidR="00B14D53" w:rsidRDefault="00000000">
      <w:pPr>
        <w:jc w:val="center"/>
        <w:rPr>
          <w:b/>
          <w:bCs/>
        </w:rPr>
      </w:pPr>
      <w:r>
        <w:rPr>
          <w:rFonts w:hint="eastAsia"/>
          <w:b/>
          <w:bCs/>
        </w:rPr>
        <w:t>表</w:t>
      </w:r>
      <w:r>
        <w:rPr>
          <w:b/>
          <w:bCs/>
        </w:rPr>
        <w:t>2-3-</w:t>
      </w:r>
      <w:r>
        <w:rPr>
          <w:rFonts w:hint="eastAsia"/>
          <w:b/>
          <w:bCs/>
        </w:rPr>
        <w:t>4</w:t>
      </w:r>
      <w:r>
        <w:rPr>
          <w:b/>
          <w:bCs/>
        </w:rPr>
        <w:t xml:space="preserve"> </w:t>
      </w:r>
      <w:r>
        <w:rPr>
          <w:rFonts w:hint="eastAsia"/>
          <w:b/>
          <w:bCs/>
        </w:rPr>
        <w:t>生活污水排放标准</w:t>
      </w:r>
    </w:p>
    <w:tbl>
      <w:tblPr>
        <w:tblStyle w:val="aff8"/>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98"/>
        <w:gridCol w:w="1539"/>
        <w:gridCol w:w="3032"/>
        <w:gridCol w:w="2737"/>
      </w:tblGrid>
      <w:tr w:rsidR="00B14D53" w14:paraId="02C689EF" w14:textId="77777777">
        <w:tc>
          <w:tcPr>
            <w:tcW w:w="1021" w:type="dxa"/>
            <w:vMerge w:val="restart"/>
            <w:vAlign w:val="center"/>
          </w:tcPr>
          <w:p w14:paraId="30045D04" w14:textId="77777777" w:rsidR="00B14D53" w:rsidRDefault="00000000">
            <w:pPr>
              <w:contextualSpacing/>
              <w:jc w:val="center"/>
              <w:rPr>
                <w:rFonts w:eastAsiaTheme="minorEastAsia" w:hAnsiTheme="minorEastAsia" w:hint="eastAsia"/>
                <w:b/>
                <w:szCs w:val="21"/>
              </w:rPr>
            </w:pPr>
            <w:r>
              <w:rPr>
                <w:rFonts w:eastAsiaTheme="minorEastAsia" w:hAnsiTheme="minorEastAsia" w:hint="eastAsia"/>
                <w:b/>
                <w:szCs w:val="21"/>
              </w:rPr>
              <w:t>序号</w:t>
            </w:r>
          </w:p>
        </w:tc>
        <w:tc>
          <w:tcPr>
            <w:tcW w:w="1571" w:type="dxa"/>
            <w:vMerge w:val="restart"/>
            <w:vAlign w:val="center"/>
          </w:tcPr>
          <w:p w14:paraId="32712DD5" w14:textId="77777777" w:rsidR="00B14D53" w:rsidRDefault="00000000">
            <w:pPr>
              <w:contextualSpacing/>
              <w:jc w:val="center"/>
              <w:rPr>
                <w:rFonts w:eastAsiaTheme="minorEastAsia" w:hAnsiTheme="minorEastAsia" w:hint="eastAsia"/>
                <w:b/>
                <w:szCs w:val="21"/>
              </w:rPr>
            </w:pPr>
            <w:r>
              <w:rPr>
                <w:rFonts w:eastAsiaTheme="minorEastAsia" w:hAnsiTheme="minorEastAsia" w:hint="eastAsia"/>
                <w:b/>
                <w:szCs w:val="21"/>
              </w:rPr>
              <w:t>污染物</w:t>
            </w:r>
          </w:p>
        </w:tc>
        <w:tc>
          <w:tcPr>
            <w:tcW w:w="3105" w:type="dxa"/>
            <w:vAlign w:val="center"/>
          </w:tcPr>
          <w:p w14:paraId="3AF813E1" w14:textId="77777777" w:rsidR="00B14D53" w:rsidRDefault="00000000">
            <w:pPr>
              <w:contextualSpacing/>
              <w:jc w:val="center"/>
              <w:rPr>
                <w:rFonts w:eastAsiaTheme="minorEastAsia" w:hAnsiTheme="minorEastAsia" w:hint="eastAsia"/>
                <w:b/>
                <w:szCs w:val="21"/>
              </w:rPr>
            </w:pPr>
            <w:r>
              <w:rPr>
                <w:rFonts w:eastAsiaTheme="minorEastAsia" w:hAnsiTheme="minorEastAsia" w:hint="eastAsia"/>
                <w:b/>
                <w:szCs w:val="21"/>
              </w:rPr>
              <w:t>《污水综合排放标准》（</w:t>
            </w:r>
            <w:r>
              <w:rPr>
                <w:rFonts w:eastAsiaTheme="minorEastAsia" w:hAnsiTheme="minorEastAsia" w:hint="eastAsia"/>
                <w:b/>
                <w:szCs w:val="21"/>
              </w:rPr>
              <w:t>GB8978-1996</w:t>
            </w:r>
            <w:r>
              <w:rPr>
                <w:rFonts w:eastAsiaTheme="minorEastAsia" w:hAnsiTheme="minorEastAsia" w:hint="eastAsia"/>
                <w:b/>
                <w:szCs w:val="21"/>
              </w:rPr>
              <w:t>）表</w:t>
            </w:r>
            <w:r>
              <w:rPr>
                <w:rFonts w:eastAsiaTheme="minorEastAsia" w:hAnsiTheme="minorEastAsia" w:hint="eastAsia"/>
                <w:b/>
                <w:szCs w:val="21"/>
              </w:rPr>
              <w:t>4</w:t>
            </w:r>
            <w:r>
              <w:rPr>
                <w:rFonts w:eastAsiaTheme="minorEastAsia" w:hAnsiTheme="minorEastAsia" w:hint="eastAsia"/>
                <w:b/>
                <w:szCs w:val="21"/>
              </w:rPr>
              <w:t>三级标准</w:t>
            </w:r>
          </w:p>
        </w:tc>
        <w:tc>
          <w:tcPr>
            <w:tcW w:w="2825" w:type="dxa"/>
            <w:vAlign w:val="center"/>
          </w:tcPr>
          <w:p w14:paraId="5A1F6DDC" w14:textId="77777777" w:rsidR="00B14D53" w:rsidRDefault="00000000">
            <w:pPr>
              <w:contextualSpacing/>
              <w:jc w:val="center"/>
              <w:rPr>
                <w:rFonts w:eastAsiaTheme="minorEastAsia" w:hAnsiTheme="minorEastAsia" w:hint="eastAsia"/>
                <w:b/>
                <w:szCs w:val="21"/>
              </w:rPr>
            </w:pPr>
            <w:r>
              <w:rPr>
                <w:rFonts w:hint="eastAsia"/>
                <w:b/>
              </w:rPr>
              <w:t>五常市山河屯林业局污水处理厂进水指标</w:t>
            </w:r>
          </w:p>
        </w:tc>
      </w:tr>
      <w:tr w:rsidR="00B14D53" w14:paraId="03F65EB3" w14:textId="77777777">
        <w:tc>
          <w:tcPr>
            <w:tcW w:w="1021" w:type="dxa"/>
            <w:vMerge/>
            <w:vAlign w:val="center"/>
          </w:tcPr>
          <w:p w14:paraId="15A656B7" w14:textId="77777777" w:rsidR="00B14D53" w:rsidRDefault="00B14D53">
            <w:pPr>
              <w:contextualSpacing/>
              <w:jc w:val="center"/>
              <w:rPr>
                <w:rFonts w:eastAsiaTheme="minorEastAsia" w:hAnsiTheme="minorEastAsia" w:hint="eastAsia"/>
                <w:b/>
                <w:szCs w:val="21"/>
              </w:rPr>
            </w:pPr>
          </w:p>
        </w:tc>
        <w:tc>
          <w:tcPr>
            <w:tcW w:w="1571" w:type="dxa"/>
            <w:vMerge/>
            <w:vAlign w:val="center"/>
          </w:tcPr>
          <w:p w14:paraId="29596980" w14:textId="77777777" w:rsidR="00B14D53" w:rsidRDefault="00B14D53">
            <w:pPr>
              <w:contextualSpacing/>
              <w:jc w:val="center"/>
              <w:rPr>
                <w:rFonts w:eastAsiaTheme="minorEastAsia" w:hAnsiTheme="minorEastAsia" w:hint="eastAsia"/>
                <w:b/>
                <w:szCs w:val="21"/>
              </w:rPr>
            </w:pPr>
          </w:p>
        </w:tc>
        <w:tc>
          <w:tcPr>
            <w:tcW w:w="5930" w:type="dxa"/>
            <w:gridSpan w:val="2"/>
            <w:vAlign w:val="center"/>
          </w:tcPr>
          <w:p w14:paraId="663114C3" w14:textId="77777777" w:rsidR="00B14D53" w:rsidRDefault="00000000">
            <w:pPr>
              <w:contextualSpacing/>
              <w:jc w:val="center"/>
              <w:rPr>
                <w:rFonts w:eastAsiaTheme="minorEastAsia" w:hAnsiTheme="minorEastAsia" w:hint="eastAsia"/>
                <w:b/>
                <w:szCs w:val="21"/>
              </w:rPr>
            </w:pPr>
            <w:r>
              <w:rPr>
                <w:rFonts w:eastAsiaTheme="minorEastAsia" w:hAnsiTheme="minorEastAsia" w:hint="eastAsia"/>
                <w:b/>
                <w:szCs w:val="21"/>
              </w:rPr>
              <w:t>标准限值</w:t>
            </w:r>
            <w:r>
              <w:rPr>
                <w:rFonts w:eastAsiaTheme="minorEastAsia" w:hAnsiTheme="minorEastAsia" w:hint="eastAsia"/>
                <w:b/>
                <w:szCs w:val="21"/>
              </w:rPr>
              <w:t>mg/L</w:t>
            </w:r>
          </w:p>
        </w:tc>
      </w:tr>
      <w:tr w:rsidR="00B14D53" w14:paraId="4B16D2F3" w14:textId="77777777">
        <w:tc>
          <w:tcPr>
            <w:tcW w:w="1021" w:type="dxa"/>
            <w:vAlign w:val="center"/>
          </w:tcPr>
          <w:p w14:paraId="1D9BB50C"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1</w:t>
            </w:r>
          </w:p>
        </w:tc>
        <w:tc>
          <w:tcPr>
            <w:tcW w:w="1571" w:type="dxa"/>
            <w:vAlign w:val="center"/>
          </w:tcPr>
          <w:p w14:paraId="797D53CA" w14:textId="77777777" w:rsidR="00B14D53" w:rsidRDefault="00000000">
            <w:pPr>
              <w:pStyle w:val="affffffffff1"/>
              <w:rPr>
                <w:rFonts w:eastAsiaTheme="minorEastAsia" w:hAnsiTheme="minorEastAsia" w:hint="eastAsia"/>
                <w:bCs/>
                <w:szCs w:val="21"/>
              </w:rPr>
            </w:pPr>
            <w:r>
              <w:t>pH</w:t>
            </w:r>
          </w:p>
        </w:tc>
        <w:tc>
          <w:tcPr>
            <w:tcW w:w="3105" w:type="dxa"/>
            <w:vAlign w:val="center"/>
          </w:tcPr>
          <w:p w14:paraId="580462B2"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6~9</w:t>
            </w:r>
            <w:r>
              <w:rPr>
                <w:rFonts w:eastAsiaTheme="minorEastAsia" w:hAnsiTheme="minorEastAsia" w:hint="eastAsia"/>
                <w:bCs/>
                <w:szCs w:val="21"/>
              </w:rPr>
              <w:t>无量纲</w:t>
            </w:r>
          </w:p>
        </w:tc>
        <w:tc>
          <w:tcPr>
            <w:tcW w:w="2825" w:type="dxa"/>
            <w:vAlign w:val="center"/>
          </w:tcPr>
          <w:p w14:paraId="3B4B1950"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w:t>
            </w:r>
          </w:p>
        </w:tc>
      </w:tr>
      <w:tr w:rsidR="00B14D53" w14:paraId="07CEF605" w14:textId="77777777">
        <w:tc>
          <w:tcPr>
            <w:tcW w:w="1021" w:type="dxa"/>
            <w:vAlign w:val="center"/>
          </w:tcPr>
          <w:p w14:paraId="45A799A8"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2</w:t>
            </w:r>
          </w:p>
        </w:tc>
        <w:tc>
          <w:tcPr>
            <w:tcW w:w="1571" w:type="dxa"/>
            <w:vAlign w:val="center"/>
          </w:tcPr>
          <w:p w14:paraId="49BE92A7" w14:textId="77777777" w:rsidR="00B14D53" w:rsidRDefault="00000000">
            <w:pPr>
              <w:pStyle w:val="affffffffff1"/>
              <w:rPr>
                <w:rFonts w:eastAsiaTheme="minorEastAsia" w:hAnsiTheme="minorEastAsia" w:hint="eastAsia"/>
                <w:bCs/>
                <w:szCs w:val="21"/>
              </w:rPr>
            </w:pPr>
            <w:r>
              <w:t>COD</w:t>
            </w:r>
          </w:p>
        </w:tc>
        <w:tc>
          <w:tcPr>
            <w:tcW w:w="3105" w:type="dxa"/>
            <w:vAlign w:val="center"/>
          </w:tcPr>
          <w:p w14:paraId="2F0CFB98"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500</w:t>
            </w:r>
          </w:p>
        </w:tc>
        <w:tc>
          <w:tcPr>
            <w:tcW w:w="2825" w:type="dxa"/>
            <w:vAlign w:val="center"/>
          </w:tcPr>
          <w:p w14:paraId="201CB16A"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350</w:t>
            </w:r>
          </w:p>
        </w:tc>
      </w:tr>
      <w:tr w:rsidR="00B14D53" w14:paraId="1F538A8A" w14:textId="77777777">
        <w:tc>
          <w:tcPr>
            <w:tcW w:w="1021" w:type="dxa"/>
            <w:vAlign w:val="center"/>
          </w:tcPr>
          <w:p w14:paraId="29C0CE5F"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3</w:t>
            </w:r>
          </w:p>
        </w:tc>
        <w:tc>
          <w:tcPr>
            <w:tcW w:w="1571" w:type="dxa"/>
            <w:vAlign w:val="center"/>
          </w:tcPr>
          <w:p w14:paraId="64B9E0F6" w14:textId="77777777" w:rsidR="00B14D53" w:rsidRDefault="00000000">
            <w:pPr>
              <w:pStyle w:val="affffffffff1"/>
              <w:rPr>
                <w:rFonts w:eastAsiaTheme="minorEastAsia" w:hAnsiTheme="minorEastAsia" w:hint="eastAsia"/>
                <w:bCs/>
                <w:szCs w:val="21"/>
              </w:rPr>
            </w:pPr>
            <w:r>
              <w:t>BOD</w:t>
            </w:r>
            <w:r>
              <w:rPr>
                <w:vertAlign w:val="subscript"/>
              </w:rPr>
              <w:t>5</w:t>
            </w:r>
          </w:p>
        </w:tc>
        <w:tc>
          <w:tcPr>
            <w:tcW w:w="3105" w:type="dxa"/>
            <w:vAlign w:val="center"/>
          </w:tcPr>
          <w:p w14:paraId="49F81E06"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300</w:t>
            </w:r>
          </w:p>
        </w:tc>
        <w:tc>
          <w:tcPr>
            <w:tcW w:w="2825" w:type="dxa"/>
            <w:vAlign w:val="center"/>
          </w:tcPr>
          <w:p w14:paraId="4EA4B228"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200</w:t>
            </w:r>
          </w:p>
        </w:tc>
      </w:tr>
      <w:tr w:rsidR="00B14D53" w14:paraId="4085E7C2" w14:textId="77777777">
        <w:tc>
          <w:tcPr>
            <w:tcW w:w="1021" w:type="dxa"/>
            <w:vAlign w:val="center"/>
          </w:tcPr>
          <w:p w14:paraId="62F69A16"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4</w:t>
            </w:r>
          </w:p>
        </w:tc>
        <w:tc>
          <w:tcPr>
            <w:tcW w:w="1571" w:type="dxa"/>
            <w:vAlign w:val="center"/>
          </w:tcPr>
          <w:p w14:paraId="2982228C" w14:textId="77777777" w:rsidR="00B14D53" w:rsidRDefault="00000000">
            <w:pPr>
              <w:pStyle w:val="affffffffff1"/>
              <w:rPr>
                <w:rFonts w:eastAsiaTheme="minorEastAsia" w:hAnsiTheme="minorEastAsia" w:hint="eastAsia"/>
                <w:bCs/>
                <w:szCs w:val="21"/>
              </w:rPr>
            </w:pPr>
            <w:r>
              <w:t>悬浮物</w:t>
            </w:r>
          </w:p>
        </w:tc>
        <w:tc>
          <w:tcPr>
            <w:tcW w:w="3105" w:type="dxa"/>
            <w:vAlign w:val="center"/>
          </w:tcPr>
          <w:p w14:paraId="00742590"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400</w:t>
            </w:r>
          </w:p>
        </w:tc>
        <w:tc>
          <w:tcPr>
            <w:tcW w:w="2825" w:type="dxa"/>
            <w:vAlign w:val="center"/>
          </w:tcPr>
          <w:p w14:paraId="02D1AA7B"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300</w:t>
            </w:r>
          </w:p>
        </w:tc>
      </w:tr>
      <w:tr w:rsidR="00B14D53" w14:paraId="2008C73F" w14:textId="77777777">
        <w:tc>
          <w:tcPr>
            <w:tcW w:w="1021" w:type="dxa"/>
            <w:vAlign w:val="center"/>
          </w:tcPr>
          <w:p w14:paraId="6C18CFDB"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5</w:t>
            </w:r>
          </w:p>
        </w:tc>
        <w:tc>
          <w:tcPr>
            <w:tcW w:w="1571" w:type="dxa"/>
            <w:vAlign w:val="center"/>
          </w:tcPr>
          <w:p w14:paraId="0EEAF601" w14:textId="77777777" w:rsidR="00B14D53" w:rsidRDefault="00000000">
            <w:pPr>
              <w:pStyle w:val="affffffffff1"/>
              <w:rPr>
                <w:rFonts w:eastAsiaTheme="minorEastAsia" w:hAnsiTheme="minorEastAsia" w:hint="eastAsia"/>
                <w:bCs/>
                <w:szCs w:val="21"/>
              </w:rPr>
            </w:pPr>
            <w:r>
              <w:t>氨氮</w:t>
            </w:r>
          </w:p>
        </w:tc>
        <w:tc>
          <w:tcPr>
            <w:tcW w:w="3105" w:type="dxa"/>
            <w:vAlign w:val="center"/>
          </w:tcPr>
          <w:p w14:paraId="66EC3823"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w:t>
            </w:r>
          </w:p>
        </w:tc>
        <w:tc>
          <w:tcPr>
            <w:tcW w:w="2825" w:type="dxa"/>
            <w:vAlign w:val="center"/>
          </w:tcPr>
          <w:p w14:paraId="0F328443"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25</w:t>
            </w:r>
          </w:p>
        </w:tc>
      </w:tr>
      <w:tr w:rsidR="00B14D53" w14:paraId="374ACEBC" w14:textId="77777777">
        <w:tc>
          <w:tcPr>
            <w:tcW w:w="1021" w:type="dxa"/>
            <w:vAlign w:val="center"/>
          </w:tcPr>
          <w:p w14:paraId="0BD08B9D"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6</w:t>
            </w:r>
          </w:p>
        </w:tc>
        <w:tc>
          <w:tcPr>
            <w:tcW w:w="1571" w:type="dxa"/>
            <w:vAlign w:val="center"/>
          </w:tcPr>
          <w:p w14:paraId="5A88C3B3" w14:textId="77777777" w:rsidR="00B14D53" w:rsidRDefault="00000000">
            <w:pPr>
              <w:pStyle w:val="affffffffff1"/>
              <w:rPr>
                <w:rFonts w:eastAsiaTheme="minorEastAsia" w:hAnsiTheme="minorEastAsia" w:hint="eastAsia"/>
                <w:bCs/>
                <w:szCs w:val="21"/>
              </w:rPr>
            </w:pPr>
            <w:r>
              <w:t>动植物油</w:t>
            </w:r>
          </w:p>
        </w:tc>
        <w:tc>
          <w:tcPr>
            <w:tcW w:w="3105" w:type="dxa"/>
            <w:vAlign w:val="center"/>
          </w:tcPr>
          <w:p w14:paraId="4BC896AC"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100</w:t>
            </w:r>
          </w:p>
        </w:tc>
        <w:tc>
          <w:tcPr>
            <w:tcW w:w="2825" w:type="dxa"/>
            <w:vAlign w:val="center"/>
          </w:tcPr>
          <w:p w14:paraId="69492CDB" w14:textId="77777777" w:rsidR="00B14D53" w:rsidRDefault="00000000">
            <w:pPr>
              <w:contextualSpacing/>
              <w:jc w:val="center"/>
              <w:rPr>
                <w:rFonts w:eastAsiaTheme="minorEastAsia" w:hAnsiTheme="minorEastAsia" w:hint="eastAsia"/>
                <w:bCs/>
                <w:szCs w:val="21"/>
              </w:rPr>
            </w:pPr>
            <w:r>
              <w:rPr>
                <w:rFonts w:eastAsiaTheme="minorEastAsia" w:hAnsiTheme="minorEastAsia" w:hint="eastAsia"/>
                <w:bCs/>
                <w:szCs w:val="21"/>
              </w:rPr>
              <w:t>--</w:t>
            </w:r>
          </w:p>
        </w:tc>
      </w:tr>
    </w:tbl>
    <w:p w14:paraId="4BE9E1D4" w14:textId="77777777" w:rsidR="00B14D53" w:rsidRDefault="00000000">
      <w:pPr>
        <w:jc w:val="center"/>
        <w:rPr>
          <w:b/>
          <w:bCs/>
        </w:rPr>
      </w:pPr>
      <w:r>
        <w:rPr>
          <w:rFonts w:hint="eastAsia"/>
          <w:b/>
          <w:bCs/>
        </w:rPr>
        <w:t>表</w:t>
      </w:r>
      <w:r>
        <w:rPr>
          <w:b/>
          <w:bCs/>
        </w:rPr>
        <w:t>2-3-</w:t>
      </w:r>
      <w:r>
        <w:rPr>
          <w:rFonts w:hint="eastAsia"/>
          <w:b/>
          <w:bCs/>
        </w:rPr>
        <w:t>5</w:t>
      </w:r>
      <w:r>
        <w:rPr>
          <w:b/>
          <w:bCs/>
        </w:rPr>
        <w:t xml:space="preserve"> </w:t>
      </w:r>
      <w:r>
        <w:rPr>
          <w:rFonts w:hint="eastAsia"/>
          <w:b/>
          <w:bCs/>
        </w:rPr>
        <w:t>生产废水排放标准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92"/>
        <w:gridCol w:w="1901"/>
        <w:gridCol w:w="2253"/>
        <w:gridCol w:w="2060"/>
      </w:tblGrid>
      <w:tr w:rsidR="00B14D53" w14:paraId="07730C52" w14:textId="77777777">
        <w:trPr>
          <w:cantSplit/>
          <w:trHeight w:val="388"/>
          <w:jc w:val="center"/>
        </w:trPr>
        <w:tc>
          <w:tcPr>
            <w:tcW w:w="1259" w:type="pct"/>
            <w:tcBorders>
              <w:bottom w:val="single" w:sz="4" w:space="0" w:color="auto"/>
            </w:tcBorders>
            <w:vAlign w:val="center"/>
          </w:tcPr>
          <w:p w14:paraId="6689728E" w14:textId="77777777" w:rsidR="00B14D53" w:rsidRDefault="00000000">
            <w:pPr>
              <w:pStyle w:val="affffffffff1"/>
              <w:rPr>
                <w:b/>
                <w:bCs/>
              </w:rPr>
            </w:pPr>
            <w:r>
              <w:rPr>
                <w:rFonts w:hint="eastAsia"/>
                <w:b/>
                <w:bCs/>
              </w:rPr>
              <w:t>标准</w:t>
            </w:r>
          </w:p>
        </w:tc>
        <w:tc>
          <w:tcPr>
            <w:tcW w:w="2500" w:type="pct"/>
            <w:gridSpan w:val="2"/>
            <w:vAlign w:val="center"/>
          </w:tcPr>
          <w:p w14:paraId="41FCAB0B" w14:textId="77777777" w:rsidR="00B14D53" w:rsidRDefault="00000000">
            <w:pPr>
              <w:pStyle w:val="affffffffff2"/>
              <w:jc w:val="center"/>
              <w:rPr>
                <w:b/>
                <w:bCs/>
              </w:rPr>
            </w:pPr>
            <w:r>
              <w:rPr>
                <w:b/>
                <w:bCs/>
              </w:rPr>
              <w:t>《肉类加工工业水污染物排放标准》（</w:t>
            </w:r>
            <w:r>
              <w:rPr>
                <w:b/>
                <w:bCs/>
              </w:rPr>
              <w:t>GB13457-92</w:t>
            </w:r>
            <w:r>
              <w:rPr>
                <w:b/>
                <w:bCs/>
              </w:rPr>
              <w:t>）表</w:t>
            </w:r>
            <w:r>
              <w:rPr>
                <w:b/>
                <w:bCs/>
              </w:rPr>
              <w:t>3</w:t>
            </w:r>
            <w:r>
              <w:rPr>
                <w:b/>
                <w:bCs/>
              </w:rPr>
              <w:t>三级畜类屠宰加工</w:t>
            </w:r>
          </w:p>
        </w:tc>
        <w:tc>
          <w:tcPr>
            <w:tcW w:w="1240" w:type="pct"/>
            <w:vAlign w:val="center"/>
          </w:tcPr>
          <w:p w14:paraId="153AAFB2" w14:textId="77777777" w:rsidR="00B14D53" w:rsidRDefault="00000000">
            <w:pPr>
              <w:pStyle w:val="affffffffff2"/>
              <w:jc w:val="center"/>
              <w:rPr>
                <w:b/>
                <w:bCs/>
              </w:rPr>
            </w:pPr>
            <w:r>
              <w:rPr>
                <w:rFonts w:hint="eastAsia"/>
                <w:b/>
                <w:bCs/>
              </w:rPr>
              <w:t>五常市山河屯林业局污水处理厂进水指标</w:t>
            </w:r>
          </w:p>
        </w:tc>
      </w:tr>
      <w:tr w:rsidR="00B14D53" w14:paraId="1A054DE6" w14:textId="77777777">
        <w:trPr>
          <w:cantSplit/>
          <w:trHeight w:val="90"/>
          <w:jc w:val="center"/>
        </w:trPr>
        <w:tc>
          <w:tcPr>
            <w:tcW w:w="1259" w:type="pct"/>
            <w:tcBorders>
              <w:top w:val="single" w:sz="4" w:space="0" w:color="auto"/>
              <w:bottom w:val="single" w:sz="4" w:space="0" w:color="auto"/>
              <w:tr2bl w:val="nil"/>
            </w:tcBorders>
            <w:vAlign w:val="center"/>
          </w:tcPr>
          <w:p w14:paraId="63AC524B" w14:textId="77777777" w:rsidR="00B14D53" w:rsidRDefault="00000000">
            <w:pPr>
              <w:pStyle w:val="affffffffff1"/>
            </w:pPr>
            <w:r>
              <w:t>污染物</w:t>
            </w:r>
          </w:p>
        </w:tc>
        <w:tc>
          <w:tcPr>
            <w:tcW w:w="1144" w:type="pct"/>
            <w:vAlign w:val="center"/>
          </w:tcPr>
          <w:p w14:paraId="64DE0366" w14:textId="77777777" w:rsidR="00B14D53" w:rsidRDefault="00000000">
            <w:pPr>
              <w:pStyle w:val="affffffffff1"/>
            </w:pPr>
            <w:r>
              <w:t>排放浓度</w:t>
            </w:r>
            <w:r>
              <w:rPr>
                <w:rFonts w:hint="eastAsia"/>
              </w:rPr>
              <w:t>（</w:t>
            </w:r>
            <w:r>
              <w:t>mg/L</w:t>
            </w:r>
            <w:r>
              <w:rPr>
                <w:rFonts w:hint="eastAsia"/>
              </w:rPr>
              <w:t>）</w:t>
            </w:r>
          </w:p>
        </w:tc>
        <w:tc>
          <w:tcPr>
            <w:tcW w:w="1356" w:type="pct"/>
            <w:vAlign w:val="center"/>
          </w:tcPr>
          <w:p w14:paraId="34355F6F" w14:textId="77777777" w:rsidR="00B14D53" w:rsidRDefault="00000000">
            <w:pPr>
              <w:pStyle w:val="affffffffff1"/>
            </w:pPr>
            <w:r>
              <w:t>排放总量</w:t>
            </w:r>
            <w:r>
              <w:rPr>
                <w:rFonts w:hint="eastAsia"/>
              </w:rPr>
              <w:t>（</w:t>
            </w:r>
            <w:r>
              <w:t>kg/t</w:t>
            </w:r>
            <w:r>
              <w:t>活屠重</w:t>
            </w:r>
            <w:r>
              <w:rPr>
                <w:rFonts w:hint="eastAsia"/>
              </w:rPr>
              <w:t>）</w:t>
            </w:r>
          </w:p>
        </w:tc>
        <w:tc>
          <w:tcPr>
            <w:tcW w:w="1240" w:type="pct"/>
            <w:vAlign w:val="center"/>
          </w:tcPr>
          <w:p w14:paraId="7E9AF711" w14:textId="77777777" w:rsidR="00B14D53" w:rsidRDefault="00000000">
            <w:pPr>
              <w:pStyle w:val="affffffffff1"/>
            </w:pPr>
            <w:r>
              <w:t>排放浓度</w:t>
            </w:r>
            <w:r>
              <w:rPr>
                <w:rFonts w:hint="eastAsia"/>
              </w:rPr>
              <w:t>（</w:t>
            </w:r>
            <w:r>
              <w:t>mg/L</w:t>
            </w:r>
            <w:r>
              <w:rPr>
                <w:rFonts w:hint="eastAsia"/>
              </w:rPr>
              <w:t>）</w:t>
            </w:r>
          </w:p>
        </w:tc>
      </w:tr>
      <w:tr w:rsidR="00B14D53" w14:paraId="219AB168" w14:textId="77777777">
        <w:trPr>
          <w:cantSplit/>
          <w:trHeight w:val="96"/>
          <w:jc w:val="center"/>
        </w:trPr>
        <w:tc>
          <w:tcPr>
            <w:tcW w:w="1259" w:type="pct"/>
            <w:tcBorders>
              <w:top w:val="single" w:sz="4" w:space="0" w:color="auto"/>
            </w:tcBorders>
            <w:vAlign w:val="center"/>
          </w:tcPr>
          <w:p w14:paraId="588A3ACF" w14:textId="77777777" w:rsidR="00B14D53" w:rsidRDefault="00000000">
            <w:pPr>
              <w:pStyle w:val="affffffffff1"/>
            </w:pPr>
            <w:r>
              <w:t>pH</w:t>
            </w:r>
          </w:p>
        </w:tc>
        <w:tc>
          <w:tcPr>
            <w:tcW w:w="1144" w:type="pct"/>
            <w:vAlign w:val="center"/>
          </w:tcPr>
          <w:p w14:paraId="49FEF143" w14:textId="77777777" w:rsidR="00B14D53" w:rsidRDefault="00000000">
            <w:pPr>
              <w:pStyle w:val="affffffffff1"/>
            </w:pPr>
            <w:r>
              <w:t>6.0</w:t>
            </w:r>
            <w:r>
              <w:rPr>
                <w:rFonts w:hint="eastAsia"/>
              </w:rPr>
              <w:t>~</w:t>
            </w:r>
            <w:r>
              <w:t>8.5</w:t>
            </w:r>
          </w:p>
        </w:tc>
        <w:tc>
          <w:tcPr>
            <w:tcW w:w="1356" w:type="pct"/>
            <w:vAlign w:val="center"/>
          </w:tcPr>
          <w:p w14:paraId="547A7DEA" w14:textId="77777777" w:rsidR="00B14D53" w:rsidRDefault="00000000">
            <w:pPr>
              <w:pStyle w:val="affffffffff1"/>
            </w:pPr>
            <w:r>
              <w:rPr>
                <w:rFonts w:hint="eastAsia"/>
              </w:rPr>
              <w:t>--</w:t>
            </w:r>
          </w:p>
        </w:tc>
        <w:tc>
          <w:tcPr>
            <w:tcW w:w="1240" w:type="pct"/>
            <w:vAlign w:val="center"/>
          </w:tcPr>
          <w:p w14:paraId="7A3D6D65" w14:textId="77777777" w:rsidR="00B14D53" w:rsidRDefault="00000000">
            <w:pPr>
              <w:pStyle w:val="affffffffff1"/>
            </w:pPr>
            <w:r>
              <w:rPr>
                <w:rFonts w:hint="eastAsia"/>
              </w:rPr>
              <w:t>--</w:t>
            </w:r>
          </w:p>
        </w:tc>
      </w:tr>
      <w:tr w:rsidR="00B14D53" w14:paraId="64F25479" w14:textId="77777777">
        <w:trPr>
          <w:cantSplit/>
          <w:trHeight w:val="96"/>
          <w:jc w:val="center"/>
        </w:trPr>
        <w:tc>
          <w:tcPr>
            <w:tcW w:w="1259" w:type="pct"/>
            <w:vAlign w:val="center"/>
          </w:tcPr>
          <w:p w14:paraId="4694A40B" w14:textId="77777777" w:rsidR="00B14D53" w:rsidRDefault="00000000">
            <w:pPr>
              <w:pStyle w:val="affffffffff1"/>
            </w:pPr>
            <w:r>
              <w:t>COD</w:t>
            </w:r>
          </w:p>
        </w:tc>
        <w:tc>
          <w:tcPr>
            <w:tcW w:w="1144" w:type="pct"/>
            <w:vAlign w:val="center"/>
          </w:tcPr>
          <w:p w14:paraId="4F661BDA" w14:textId="77777777" w:rsidR="00B14D53" w:rsidRDefault="00000000">
            <w:pPr>
              <w:pStyle w:val="affffffffff1"/>
            </w:pPr>
            <w:r>
              <w:t>500</w:t>
            </w:r>
          </w:p>
        </w:tc>
        <w:tc>
          <w:tcPr>
            <w:tcW w:w="1356" w:type="pct"/>
            <w:vAlign w:val="center"/>
          </w:tcPr>
          <w:p w14:paraId="1B475C94" w14:textId="77777777" w:rsidR="00B14D53" w:rsidRDefault="00000000">
            <w:pPr>
              <w:pStyle w:val="affffffffff1"/>
            </w:pPr>
            <w:r>
              <w:t>3.3</w:t>
            </w:r>
          </w:p>
        </w:tc>
        <w:tc>
          <w:tcPr>
            <w:tcW w:w="1240" w:type="pct"/>
            <w:vAlign w:val="center"/>
          </w:tcPr>
          <w:p w14:paraId="1BB76033" w14:textId="77777777" w:rsidR="00B14D53" w:rsidRDefault="00000000">
            <w:pPr>
              <w:pStyle w:val="affffffffff1"/>
            </w:pPr>
            <w:r>
              <w:rPr>
                <w:rFonts w:hint="eastAsia"/>
              </w:rPr>
              <w:t>350</w:t>
            </w:r>
          </w:p>
        </w:tc>
      </w:tr>
      <w:tr w:rsidR="00B14D53" w14:paraId="7C33DA60" w14:textId="77777777">
        <w:trPr>
          <w:cantSplit/>
          <w:trHeight w:val="96"/>
          <w:jc w:val="center"/>
        </w:trPr>
        <w:tc>
          <w:tcPr>
            <w:tcW w:w="1259" w:type="pct"/>
            <w:vAlign w:val="center"/>
          </w:tcPr>
          <w:p w14:paraId="3F9F9EE4" w14:textId="77777777" w:rsidR="00B14D53" w:rsidRDefault="00000000">
            <w:pPr>
              <w:pStyle w:val="affffffffff1"/>
            </w:pPr>
            <w:r>
              <w:t>BOD</w:t>
            </w:r>
            <w:r>
              <w:rPr>
                <w:vertAlign w:val="subscript"/>
              </w:rPr>
              <w:t>5</w:t>
            </w:r>
          </w:p>
        </w:tc>
        <w:tc>
          <w:tcPr>
            <w:tcW w:w="1144" w:type="pct"/>
            <w:vAlign w:val="center"/>
          </w:tcPr>
          <w:p w14:paraId="699F711C" w14:textId="77777777" w:rsidR="00B14D53" w:rsidRDefault="00000000">
            <w:pPr>
              <w:pStyle w:val="affffffffff1"/>
            </w:pPr>
            <w:r>
              <w:t>300</w:t>
            </w:r>
          </w:p>
        </w:tc>
        <w:tc>
          <w:tcPr>
            <w:tcW w:w="1356" w:type="pct"/>
            <w:vAlign w:val="center"/>
          </w:tcPr>
          <w:p w14:paraId="24C328AC" w14:textId="77777777" w:rsidR="00B14D53" w:rsidRDefault="00000000">
            <w:pPr>
              <w:pStyle w:val="affffffffff1"/>
            </w:pPr>
            <w:r>
              <w:t>2.0</w:t>
            </w:r>
          </w:p>
        </w:tc>
        <w:tc>
          <w:tcPr>
            <w:tcW w:w="1240" w:type="pct"/>
            <w:vAlign w:val="center"/>
          </w:tcPr>
          <w:p w14:paraId="6DFC1EBB" w14:textId="77777777" w:rsidR="00B14D53" w:rsidRDefault="00000000">
            <w:pPr>
              <w:pStyle w:val="affffffffff1"/>
            </w:pPr>
            <w:r>
              <w:rPr>
                <w:rFonts w:hint="eastAsia"/>
              </w:rPr>
              <w:t>200</w:t>
            </w:r>
          </w:p>
        </w:tc>
      </w:tr>
      <w:tr w:rsidR="00B14D53" w14:paraId="55CC9D48" w14:textId="77777777">
        <w:trPr>
          <w:cantSplit/>
          <w:trHeight w:val="96"/>
          <w:jc w:val="center"/>
        </w:trPr>
        <w:tc>
          <w:tcPr>
            <w:tcW w:w="1259" w:type="pct"/>
            <w:vAlign w:val="center"/>
          </w:tcPr>
          <w:p w14:paraId="6C4D8B2F" w14:textId="77777777" w:rsidR="00B14D53" w:rsidRDefault="00000000">
            <w:pPr>
              <w:pStyle w:val="affffffffff1"/>
            </w:pPr>
            <w:r>
              <w:t>悬浮物</w:t>
            </w:r>
          </w:p>
        </w:tc>
        <w:tc>
          <w:tcPr>
            <w:tcW w:w="1144" w:type="pct"/>
            <w:vAlign w:val="center"/>
          </w:tcPr>
          <w:p w14:paraId="75E18315" w14:textId="77777777" w:rsidR="00B14D53" w:rsidRDefault="00000000">
            <w:pPr>
              <w:pStyle w:val="affffffffff1"/>
            </w:pPr>
            <w:r>
              <w:t>400</w:t>
            </w:r>
          </w:p>
        </w:tc>
        <w:tc>
          <w:tcPr>
            <w:tcW w:w="1356" w:type="pct"/>
            <w:vAlign w:val="center"/>
          </w:tcPr>
          <w:p w14:paraId="676EA3F4" w14:textId="77777777" w:rsidR="00B14D53" w:rsidRDefault="00000000">
            <w:pPr>
              <w:pStyle w:val="affffffffff1"/>
            </w:pPr>
            <w:r>
              <w:t>2.6</w:t>
            </w:r>
          </w:p>
        </w:tc>
        <w:tc>
          <w:tcPr>
            <w:tcW w:w="1240" w:type="pct"/>
            <w:vAlign w:val="center"/>
          </w:tcPr>
          <w:p w14:paraId="1A94B411" w14:textId="77777777" w:rsidR="00B14D53" w:rsidRDefault="00000000">
            <w:pPr>
              <w:pStyle w:val="affffffffff1"/>
            </w:pPr>
            <w:r>
              <w:rPr>
                <w:rFonts w:hint="eastAsia"/>
              </w:rPr>
              <w:t>300</w:t>
            </w:r>
          </w:p>
        </w:tc>
      </w:tr>
      <w:tr w:rsidR="00B14D53" w14:paraId="2C8BE391" w14:textId="77777777">
        <w:trPr>
          <w:cantSplit/>
          <w:trHeight w:val="96"/>
          <w:jc w:val="center"/>
        </w:trPr>
        <w:tc>
          <w:tcPr>
            <w:tcW w:w="1259" w:type="pct"/>
            <w:vAlign w:val="center"/>
          </w:tcPr>
          <w:p w14:paraId="25BABA56" w14:textId="77777777" w:rsidR="00B14D53" w:rsidRDefault="00000000">
            <w:pPr>
              <w:pStyle w:val="affffffffff1"/>
            </w:pPr>
            <w:r>
              <w:t>氨氮</w:t>
            </w:r>
          </w:p>
        </w:tc>
        <w:tc>
          <w:tcPr>
            <w:tcW w:w="1144" w:type="pct"/>
            <w:vAlign w:val="center"/>
          </w:tcPr>
          <w:p w14:paraId="078B2D4B" w14:textId="77777777" w:rsidR="00B14D53" w:rsidRDefault="00000000">
            <w:pPr>
              <w:pStyle w:val="affffffffff1"/>
            </w:pPr>
            <w:r>
              <w:rPr>
                <w:rFonts w:hint="eastAsia"/>
              </w:rPr>
              <w:t>--</w:t>
            </w:r>
          </w:p>
        </w:tc>
        <w:tc>
          <w:tcPr>
            <w:tcW w:w="1356" w:type="pct"/>
            <w:vAlign w:val="center"/>
          </w:tcPr>
          <w:p w14:paraId="015544A2" w14:textId="77777777" w:rsidR="00B14D53" w:rsidRDefault="00000000">
            <w:pPr>
              <w:pStyle w:val="affffffffff1"/>
            </w:pPr>
            <w:r>
              <w:rPr>
                <w:rFonts w:hint="eastAsia"/>
              </w:rPr>
              <w:t>--</w:t>
            </w:r>
          </w:p>
        </w:tc>
        <w:tc>
          <w:tcPr>
            <w:tcW w:w="1240" w:type="pct"/>
            <w:vAlign w:val="center"/>
          </w:tcPr>
          <w:p w14:paraId="3F3698AC" w14:textId="77777777" w:rsidR="00B14D53" w:rsidRDefault="00000000">
            <w:pPr>
              <w:pStyle w:val="affffffffff1"/>
            </w:pPr>
            <w:r>
              <w:rPr>
                <w:rFonts w:hint="eastAsia"/>
              </w:rPr>
              <w:t>25</w:t>
            </w:r>
          </w:p>
        </w:tc>
      </w:tr>
      <w:tr w:rsidR="00B14D53" w14:paraId="4B26196B" w14:textId="77777777">
        <w:trPr>
          <w:cantSplit/>
          <w:trHeight w:val="96"/>
          <w:jc w:val="center"/>
        </w:trPr>
        <w:tc>
          <w:tcPr>
            <w:tcW w:w="1259" w:type="pct"/>
            <w:vAlign w:val="center"/>
          </w:tcPr>
          <w:p w14:paraId="0DA5F1E5" w14:textId="77777777" w:rsidR="00B14D53" w:rsidRDefault="00000000">
            <w:pPr>
              <w:pStyle w:val="affffffffff1"/>
            </w:pPr>
            <w:r>
              <w:t>动植物油</w:t>
            </w:r>
          </w:p>
        </w:tc>
        <w:tc>
          <w:tcPr>
            <w:tcW w:w="1144" w:type="pct"/>
            <w:vAlign w:val="center"/>
          </w:tcPr>
          <w:p w14:paraId="323D84DB" w14:textId="77777777" w:rsidR="00B14D53" w:rsidRDefault="00000000">
            <w:pPr>
              <w:pStyle w:val="affffffffff1"/>
            </w:pPr>
            <w:r>
              <w:t>60</w:t>
            </w:r>
          </w:p>
        </w:tc>
        <w:tc>
          <w:tcPr>
            <w:tcW w:w="1356" w:type="pct"/>
            <w:vAlign w:val="center"/>
          </w:tcPr>
          <w:p w14:paraId="7D1E94E7" w14:textId="77777777" w:rsidR="00B14D53" w:rsidRDefault="00000000">
            <w:pPr>
              <w:pStyle w:val="affffffffff1"/>
            </w:pPr>
            <w:r>
              <w:t>0.4</w:t>
            </w:r>
          </w:p>
        </w:tc>
        <w:tc>
          <w:tcPr>
            <w:tcW w:w="1240" w:type="pct"/>
            <w:vAlign w:val="center"/>
          </w:tcPr>
          <w:p w14:paraId="19436FD6" w14:textId="77777777" w:rsidR="00B14D53" w:rsidRDefault="00000000">
            <w:pPr>
              <w:pStyle w:val="affffffffff1"/>
            </w:pPr>
            <w:r>
              <w:rPr>
                <w:rFonts w:hint="eastAsia"/>
              </w:rPr>
              <w:t>--</w:t>
            </w:r>
          </w:p>
        </w:tc>
      </w:tr>
      <w:tr w:rsidR="00B14D53" w14:paraId="1DDDAF5B" w14:textId="77777777">
        <w:trPr>
          <w:cantSplit/>
          <w:trHeight w:val="258"/>
          <w:jc w:val="center"/>
        </w:trPr>
        <w:tc>
          <w:tcPr>
            <w:tcW w:w="1259" w:type="pct"/>
            <w:vAlign w:val="center"/>
          </w:tcPr>
          <w:p w14:paraId="0FA9EBF3" w14:textId="77777777" w:rsidR="00B14D53" w:rsidRDefault="00000000">
            <w:pPr>
              <w:pStyle w:val="affffffffff1"/>
            </w:pPr>
            <w:r>
              <w:t>大肠菌群个数，个</w:t>
            </w:r>
            <w:r>
              <w:t>/L</w:t>
            </w:r>
          </w:p>
        </w:tc>
        <w:tc>
          <w:tcPr>
            <w:tcW w:w="1144" w:type="pct"/>
            <w:vAlign w:val="center"/>
          </w:tcPr>
          <w:p w14:paraId="04CD8719" w14:textId="77777777" w:rsidR="00B14D53" w:rsidRDefault="00000000">
            <w:pPr>
              <w:pStyle w:val="affffffffff1"/>
            </w:pPr>
            <w:r>
              <w:rPr>
                <w:rFonts w:hint="eastAsia"/>
              </w:rPr>
              <w:t>--</w:t>
            </w:r>
          </w:p>
        </w:tc>
        <w:tc>
          <w:tcPr>
            <w:tcW w:w="1356" w:type="pct"/>
            <w:vAlign w:val="center"/>
          </w:tcPr>
          <w:p w14:paraId="5BC477F0" w14:textId="77777777" w:rsidR="00B14D53" w:rsidRDefault="00000000">
            <w:pPr>
              <w:pStyle w:val="affffffffff1"/>
            </w:pPr>
            <w:r>
              <w:rPr>
                <w:rFonts w:hint="eastAsia"/>
              </w:rPr>
              <w:t>--</w:t>
            </w:r>
          </w:p>
        </w:tc>
        <w:tc>
          <w:tcPr>
            <w:tcW w:w="1240" w:type="pct"/>
            <w:vAlign w:val="center"/>
          </w:tcPr>
          <w:p w14:paraId="1B3A1253" w14:textId="77777777" w:rsidR="00B14D53" w:rsidRDefault="00000000">
            <w:pPr>
              <w:pStyle w:val="affffffffff1"/>
            </w:pPr>
            <w:r>
              <w:rPr>
                <w:rFonts w:hint="eastAsia"/>
              </w:rPr>
              <w:t>--</w:t>
            </w:r>
          </w:p>
        </w:tc>
      </w:tr>
      <w:tr w:rsidR="00B14D53" w14:paraId="34B5F1E8" w14:textId="77777777">
        <w:trPr>
          <w:cantSplit/>
          <w:trHeight w:val="268"/>
          <w:jc w:val="center"/>
        </w:trPr>
        <w:tc>
          <w:tcPr>
            <w:tcW w:w="1259" w:type="pct"/>
            <w:vAlign w:val="center"/>
          </w:tcPr>
          <w:p w14:paraId="5C9CE82F" w14:textId="77777777" w:rsidR="00B14D53" w:rsidRDefault="00000000">
            <w:pPr>
              <w:pStyle w:val="affffffffff1"/>
            </w:pPr>
            <w:r>
              <w:t>排水量</w:t>
            </w:r>
            <w:r>
              <w:t>m</w:t>
            </w:r>
            <w:r>
              <w:rPr>
                <w:vertAlign w:val="superscript"/>
              </w:rPr>
              <w:t>3</w:t>
            </w:r>
            <w:r>
              <w:t>/t</w:t>
            </w:r>
            <w:r>
              <w:t>（活屠重）</w:t>
            </w:r>
          </w:p>
        </w:tc>
        <w:tc>
          <w:tcPr>
            <w:tcW w:w="1144" w:type="pct"/>
            <w:vAlign w:val="center"/>
          </w:tcPr>
          <w:p w14:paraId="0A8440C6" w14:textId="77777777" w:rsidR="00B14D53" w:rsidRDefault="00000000">
            <w:pPr>
              <w:pStyle w:val="affffffffff1"/>
            </w:pPr>
            <w:r>
              <w:rPr>
                <w:rFonts w:hint="eastAsia"/>
              </w:rPr>
              <w:t>--</w:t>
            </w:r>
          </w:p>
        </w:tc>
        <w:tc>
          <w:tcPr>
            <w:tcW w:w="1356" w:type="pct"/>
            <w:vAlign w:val="center"/>
          </w:tcPr>
          <w:p w14:paraId="0EB59C69" w14:textId="77777777" w:rsidR="00B14D53" w:rsidRDefault="00000000">
            <w:pPr>
              <w:pStyle w:val="affffffffff1"/>
            </w:pPr>
            <w:r>
              <w:t>6.5</w:t>
            </w:r>
          </w:p>
        </w:tc>
        <w:tc>
          <w:tcPr>
            <w:tcW w:w="1240" w:type="pct"/>
            <w:vAlign w:val="center"/>
          </w:tcPr>
          <w:p w14:paraId="683E2FA0" w14:textId="77777777" w:rsidR="00B14D53" w:rsidRDefault="00000000">
            <w:pPr>
              <w:pStyle w:val="affffffffff1"/>
            </w:pPr>
            <w:r>
              <w:rPr>
                <w:rFonts w:hint="eastAsia"/>
              </w:rPr>
              <w:t>--</w:t>
            </w:r>
          </w:p>
        </w:tc>
      </w:tr>
    </w:tbl>
    <w:p w14:paraId="430E1085" w14:textId="77777777" w:rsidR="00B14D53" w:rsidRDefault="00000000">
      <w:pPr>
        <w:spacing w:line="360" w:lineRule="auto"/>
        <w:ind w:firstLineChars="200" w:firstLine="480"/>
        <w:rPr>
          <w:rFonts w:eastAsiaTheme="minorEastAsia"/>
          <w:sz w:val="24"/>
        </w:rPr>
      </w:pPr>
      <w:r>
        <w:rPr>
          <w:rFonts w:eastAsiaTheme="minorEastAsia" w:hAnsiTheme="minorEastAsia" w:hint="eastAsia"/>
          <w:sz w:val="24"/>
        </w:rPr>
        <w:t>（</w:t>
      </w:r>
      <w:r>
        <w:rPr>
          <w:rFonts w:eastAsiaTheme="minorEastAsia" w:hAnsiTheme="minorEastAsia" w:hint="eastAsia"/>
          <w:sz w:val="24"/>
        </w:rPr>
        <w:t>3</w:t>
      </w:r>
      <w:r>
        <w:rPr>
          <w:rFonts w:eastAsiaTheme="minorEastAsia" w:hAnsiTheme="minorEastAsia" w:hint="eastAsia"/>
          <w:sz w:val="24"/>
        </w:rPr>
        <w:t>）</w:t>
      </w:r>
      <w:r>
        <w:rPr>
          <w:rFonts w:eastAsiaTheme="minorEastAsia" w:hAnsiTheme="minorEastAsia"/>
          <w:sz w:val="24"/>
        </w:rPr>
        <w:t>噪声排放标准</w:t>
      </w:r>
    </w:p>
    <w:p w14:paraId="0D9CA3D9" w14:textId="77777777" w:rsidR="00B14D53" w:rsidRDefault="00000000">
      <w:pPr>
        <w:spacing w:line="360" w:lineRule="auto"/>
        <w:ind w:firstLineChars="200" w:firstLine="480"/>
        <w:rPr>
          <w:rFonts w:eastAsiaTheme="minorEastAsia"/>
          <w:sz w:val="24"/>
        </w:rPr>
      </w:pPr>
      <w:r>
        <w:rPr>
          <w:rFonts w:eastAsiaTheme="minorEastAsia"/>
          <w:sz w:val="24"/>
        </w:rPr>
        <w:t>①</w:t>
      </w:r>
      <w:r>
        <w:rPr>
          <w:rFonts w:eastAsiaTheme="minorEastAsia"/>
          <w:sz w:val="24"/>
        </w:rPr>
        <w:t>施工期</w:t>
      </w:r>
    </w:p>
    <w:p w14:paraId="4D467407" w14:textId="77777777" w:rsidR="00B14D53" w:rsidRDefault="00000000">
      <w:pPr>
        <w:spacing w:line="360" w:lineRule="auto"/>
        <w:ind w:firstLineChars="177" w:firstLine="425"/>
        <w:contextualSpacing/>
        <w:rPr>
          <w:rFonts w:eastAsiaTheme="minorEastAsia"/>
          <w:sz w:val="24"/>
        </w:rPr>
      </w:pPr>
      <w:r>
        <w:rPr>
          <w:rFonts w:eastAsiaTheme="minorEastAsia" w:hAnsiTheme="minorEastAsia"/>
          <w:sz w:val="24"/>
        </w:rPr>
        <w:t>本项目施工期噪声执行《建筑施工场界环境噪声排放标准》（</w:t>
      </w:r>
      <w:r>
        <w:rPr>
          <w:rFonts w:eastAsiaTheme="minorEastAsia"/>
          <w:sz w:val="24"/>
        </w:rPr>
        <w:t>GB12523-2011)</w:t>
      </w:r>
      <w:r>
        <w:rPr>
          <w:rFonts w:eastAsiaTheme="minorEastAsia" w:hAnsiTheme="minorEastAsia"/>
          <w:sz w:val="24"/>
        </w:rPr>
        <w:t>。</w:t>
      </w:r>
    </w:p>
    <w:p w14:paraId="22DE133A" w14:textId="77777777" w:rsidR="00B14D53" w:rsidRDefault="00000000">
      <w:pPr>
        <w:jc w:val="center"/>
        <w:rPr>
          <w:b/>
          <w:bCs/>
        </w:rPr>
      </w:pPr>
      <w:r>
        <w:rPr>
          <w:b/>
          <w:bCs/>
        </w:rPr>
        <w:t>表</w:t>
      </w:r>
      <w:r>
        <w:rPr>
          <w:b/>
          <w:bCs/>
        </w:rPr>
        <w:t>2-3-6</w:t>
      </w:r>
      <w:r>
        <w:rPr>
          <w:rFonts w:hint="eastAsia"/>
          <w:b/>
          <w:bCs/>
        </w:rPr>
        <w:t xml:space="preserve"> </w:t>
      </w:r>
      <w:r>
        <w:rPr>
          <w:b/>
          <w:bCs/>
        </w:rPr>
        <w:t>《建筑施工场界环境噪声排放标准》（</w:t>
      </w:r>
      <w:r>
        <w:rPr>
          <w:b/>
          <w:bCs/>
        </w:rPr>
        <w:t>GB12523-2011</w:t>
      </w:r>
      <w:r>
        <w:rPr>
          <w:b/>
          <w:bCs/>
        </w:rPr>
        <w:t>）</w:t>
      </w:r>
      <w:r>
        <w:rPr>
          <w:b/>
          <w:bCs/>
        </w:rPr>
        <w:t xml:space="preserve"> </w:t>
      </w:r>
      <w:r>
        <w:rPr>
          <w:b/>
          <w:bCs/>
        </w:rPr>
        <w:t>单位：</w:t>
      </w:r>
      <w:r>
        <w:rPr>
          <w:b/>
          <w:bCs/>
        </w:rPr>
        <w:t>dB(A)</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153"/>
        <w:gridCol w:w="4153"/>
      </w:tblGrid>
      <w:tr w:rsidR="00B14D53" w14:paraId="2892F771" w14:textId="77777777">
        <w:tc>
          <w:tcPr>
            <w:tcW w:w="4374" w:type="dxa"/>
            <w:vAlign w:val="center"/>
          </w:tcPr>
          <w:p w14:paraId="3C945403" w14:textId="77777777" w:rsidR="00B14D53" w:rsidRDefault="00000000">
            <w:pPr>
              <w:jc w:val="center"/>
              <w:rPr>
                <w:rFonts w:eastAsiaTheme="minorEastAsia"/>
                <w:b/>
                <w:bCs/>
                <w:szCs w:val="21"/>
              </w:rPr>
            </w:pPr>
            <w:r>
              <w:rPr>
                <w:rFonts w:eastAsiaTheme="minorEastAsia" w:hAnsiTheme="minorEastAsia"/>
                <w:b/>
                <w:bCs/>
                <w:szCs w:val="21"/>
              </w:rPr>
              <w:t>昼间</w:t>
            </w:r>
          </w:p>
        </w:tc>
        <w:tc>
          <w:tcPr>
            <w:tcW w:w="4374" w:type="dxa"/>
            <w:vAlign w:val="center"/>
          </w:tcPr>
          <w:p w14:paraId="2167DCEB" w14:textId="77777777" w:rsidR="00B14D53" w:rsidRDefault="00000000">
            <w:pPr>
              <w:jc w:val="center"/>
              <w:rPr>
                <w:rFonts w:eastAsiaTheme="minorEastAsia"/>
                <w:b/>
                <w:bCs/>
                <w:szCs w:val="21"/>
              </w:rPr>
            </w:pPr>
            <w:r>
              <w:rPr>
                <w:rFonts w:eastAsiaTheme="minorEastAsia" w:hAnsiTheme="minorEastAsia"/>
                <w:b/>
                <w:bCs/>
                <w:szCs w:val="21"/>
              </w:rPr>
              <w:t>夜间</w:t>
            </w:r>
          </w:p>
        </w:tc>
      </w:tr>
      <w:tr w:rsidR="00B14D53" w14:paraId="346C3E0B" w14:textId="77777777">
        <w:tc>
          <w:tcPr>
            <w:tcW w:w="4374" w:type="dxa"/>
            <w:vAlign w:val="center"/>
          </w:tcPr>
          <w:p w14:paraId="292B7C40" w14:textId="77777777" w:rsidR="00B14D53" w:rsidRDefault="00000000">
            <w:pPr>
              <w:jc w:val="center"/>
              <w:rPr>
                <w:rFonts w:eastAsiaTheme="minorEastAsia"/>
                <w:szCs w:val="21"/>
              </w:rPr>
            </w:pPr>
            <w:r>
              <w:rPr>
                <w:rFonts w:eastAsiaTheme="minorEastAsia"/>
                <w:szCs w:val="21"/>
              </w:rPr>
              <w:t>70</w:t>
            </w:r>
          </w:p>
        </w:tc>
        <w:tc>
          <w:tcPr>
            <w:tcW w:w="4374" w:type="dxa"/>
            <w:vAlign w:val="center"/>
          </w:tcPr>
          <w:p w14:paraId="044A60B2" w14:textId="77777777" w:rsidR="00B14D53" w:rsidRDefault="00000000">
            <w:pPr>
              <w:jc w:val="center"/>
              <w:rPr>
                <w:rFonts w:eastAsiaTheme="minorEastAsia"/>
                <w:szCs w:val="21"/>
              </w:rPr>
            </w:pPr>
            <w:r>
              <w:rPr>
                <w:rFonts w:eastAsiaTheme="minorEastAsia"/>
                <w:szCs w:val="21"/>
              </w:rPr>
              <w:t>55</w:t>
            </w:r>
          </w:p>
        </w:tc>
      </w:tr>
    </w:tbl>
    <w:p w14:paraId="3794FA5F" w14:textId="77777777" w:rsidR="00B14D53" w:rsidRDefault="00000000">
      <w:pPr>
        <w:spacing w:line="360" w:lineRule="auto"/>
        <w:ind w:firstLineChars="200" w:firstLine="480"/>
        <w:rPr>
          <w:rFonts w:eastAsiaTheme="minorEastAsia"/>
          <w:sz w:val="24"/>
        </w:rPr>
      </w:pPr>
      <w:r>
        <w:rPr>
          <w:rFonts w:eastAsiaTheme="minorEastAsia"/>
          <w:sz w:val="24"/>
        </w:rPr>
        <w:t>②</w:t>
      </w:r>
      <w:r>
        <w:rPr>
          <w:rFonts w:eastAsiaTheme="minorEastAsia"/>
          <w:sz w:val="24"/>
        </w:rPr>
        <w:t>运营期</w:t>
      </w:r>
    </w:p>
    <w:p w14:paraId="6955E833" w14:textId="77777777" w:rsidR="00B14D53" w:rsidRDefault="00000000">
      <w:pPr>
        <w:spacing w:line="360" w:lineRule="auto"/>
        <w:ind w:firstLineChars="177" w:firstLine="425"/>
        <w:contextualSpacing/>
        <w:rPr>
          <w:rFonts w:eastAsiaTheme="minorEastAsia"/>
          <w:sz w:val="24"/>
        </w:rPr>
      </w:pPr>
      <w:r>
        <w:rPr>
          <w:rFonts w:eastAsiaTheme="minorEastAsia" w:hAnsiTheme="minorEastAsia"/>
          <w:sz w:val="24"/>
        </w:rPr>
        <w:t>项目运营期</w:t>
      </w:r>
      <w:r>
        <w:rPr>
          <w:rFonts w:eastAsiaTheme="minorEastAsia" w:hAnsiTheme="minorEastAsia" w:hint="eastAsia"/>
          <w:bCs/>
          <w:sz w:val="24"/>
        </w:rPr>
        <w:t>厂</w:t>
      </w:r>
      <w:r>
        <w:rPr>
          <w:rFonts w:eastAsiaTheme="minorEastAsia" w:hAnsiTheme="minorEastAsia"/>
          <w:bCs/>
          <w:sz w:val="24"/>
        </w:rPr>
        <w:t>界噪声执行《工业企业厂界环境噪声排放标准》（</w:t>
      </w:r>
      <w:r>
        <w:rPr>
          <w:rFonts w:eastAsiaTheme="minorEastAsia"/>
          <w:bCs/>
          <w:sz w:val="24"/>
        </w:rPr>
        <w:t>GB12348-2008</w:t>
      </w:r>
      <w:r>
        <w:rPr>
          <w:rFonts w:eastAsiaTheme="minorEastAsia" w:hAnsiTheme="minorEastAsia"/>
          <w:bCs/>
          <w:sz w:val="24"/>
        </w:rPr>
        <w:t>）表</w:t>
      </w:r>
      <w:r>
        <w:rPr>
          <w:rFonts w:eastAsiaTheme="minorEastAsia"/>
          <w:bCs/>
          <w:sz w:val="24"/>
        </w:rPr>
        <w:t>1</w:t>
      </w:r>
      <w:r>
        <w:rPr>
          <w:rFonts w:eastAsiaTheme="minorEastAsia" w:hAnsiTheme="minorEastAsia"/>
          <w:bCs/>
          <w:sz w:val="24"/>
        </w:rPr>
        <w:t>中</w:t>
      </w:r>
      <w:r>
        <w:rPr>
          <w:rFonts w:eastAsiaTheme="minorEastAsia" w:hint="eastAsia"/>
          <w:bCs/>
          <w:sz w:val="24"/>
        </w:rPr>
        <w:t>2</w:t>
      </w:r>
      <w:r>
        <w:rPr>
          <w:rFonts w:eastAsiaTheme="minorEastAsia" w:hAnsiTheme="minorEastAsia"/>
          <w:bCs/>
          <w:sz w:val="24"/>
        </w:rPr>
        <w:t>类标准</w:t>
      </w:r>
      <w:r>
        <w:rPr>
          <w:rFonts w:eastAsiaTheme="minorEastAsia" w:hAnsiTheme="minorEastAsia"/>
          <w:sz w:val="24"/>
        </w:rPr>
        <w:t>。</w:t>
      </w:r>
    </w:p>
    <w:p w14:paraId="1FB9D6A1" w14:textId="77777777" w:rsidR="00B14D53" w:rsidRDefault="00000000">
      <w:pPr>
        <w:jc w:val="center"/>
        <w:rPr>
          <w:b/>
          <w:bCs/>
        </w:rPr>
      </w:pPr>
      <w:r>
        <w:rPr>
          <w:b/>
          <w:bCs/>
        </w:rPr>
        <w:t>表</w:t>
      </w:r>
      <w:r>
        <w:rPr>
          <w:b/>
          <w:bCs/>
        </w:rPr>
        <w:t xml:space="preserve">2-3-7 </w:t>
      </w:r>
      <w:r>
        <w:rPr>
          <w:b/>
          <w:bCs/>
        </w:rPr>
        <w:t>噪声排放标准</w:t>
      </w:r>
      <w:r>
        <w:rPr>
          <w:b/>
          <w:bCs/>
        </w:rPr>
        <w:t xml:space="preserve">  </w:t>
      </w:r>
      <w:r>
        <w:rPr>
          <w:b/>
          <w:bCs/>
        </w:rPr>
        <w:t>单位：</w:t>
      </w:r>
      <w:r>
        <w:rPr>
          <w:b/>
          <w:bCs/>
        </w:rPr>
        <w:t>dB(A)</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2763"/>
        <w:gridCol w:w="2113"/>
        <w:gridCol w:w="1573"/>
        <w:gridCol w:w="1857"/>
      </w:tblGrid>
      <w:tr w:rsidR="00B14D53" w14:paraId="3A9858BA" w14:textId="77777777">
        <w:trPr>
          <w:jc w:val="center"/>
        </w:trPr>
        <w:tc>
          <w:tcPr>
            <w:tcW w:w="1663" w:type="pct"/>
            <w:vAlign w:val="center"/>
          </w:tcPr>
          <w:p w14:paraId="376B99C2" w14:textId="77777777" w:rsidR="00B14D53" w:rsidRDefault="00000000">
            <w:pPr>
              <w:jc w:val="center"/>
              <w:rPr>
                <w:rFonts w:eastAsiaTheme="minorEastAsia"/>
                <w:b/>
                <w:bCs/>
                <w:szCs w:val="21"/>
              </w:rPr>
            </w:pPr>
            <w:r>
              <w:rPr>
                <w:rFonts w:eastAsiaTheme="minorEastAsia" w:hAnsiTheme="minorEastAsia"/>
                <w:b/>
                <w:bCs/>
                <w:kern w:val="0"/>
                <w:szCs w:val="21"/>
              </w:rPr>
              <w:t>厂界</w:t>
            </w:r>
          </w:p>
        </w:tc>
        <w:tc>
          <w:tcPr>
            <w:tcW w:w="1272" w:type="pct"/>
            <w:vAlign w:val="center"/>
          </w:tcPr>
          <w:p w14:paraId="35F674F4" w14:textId="77777777" w:rsidR="00B14D53" w:rsidRDefault="00000000">
            <w:pPr>
              <w:jc w:val="center"/>
              <w:rPr>
                <w:rFonts w:eastAsiaTheme="minorEastAsia"/>
                <w:b/>
                <w:bCs/>
                <w:szCs w:val="21"/>
              </w:rPr>
            </w:pPr>
            <w:r>
              <w:rPr>
                <w:rFonts w:eastAsiaTheme="minorEastAsia" w:hAnsiTheme="minorEastAsia"/>
                <w:b/>
                <w:bCs/>
                <w:kern w:val="0"/>
                <w:szCs w:val="21"/>
              </w:rPr>
              <w:t>评价时段</w:t>
            </w:r>
          </w:p>
        </w:tc>
        <w:tc>
          <w:tcPr>
            <w:tcW w:w="947" w:type="pct"/>
            <w:vAlign w:val="center"/>
          </w:tcPr>
          <w:p w14:paraId="4AF18770" w14:textId="77777777" w:rsidR="00B14D53" w:rsidRDefault="00000000">
            <w:pPr>
              <w:jc w:val="center"/>
              <w:rPr>
                <w:rFonts w:eastAsiaTheme="minorEastAsia"/>
                <w:b/>
                <w:bCs/>
                <w:szCs w:val="21"/>
              </w:rPr>
            </w:pPr>
            <w:r>
              <w:rPr>
                <w:rFonts w:eastAsiaTheme="minorEastAsia" w:hAnsiTheme="minorEastAsia"/>
                <w:b/>
                <w:bCs/>
                <w:kern w:val="0"/>
                <w:szCs w:val="21"/>
              </w:rPr>
              <w:t>昼间</w:t>
            </w:r>
          </w:p>
        </w:tc>
        <w:tc>
          <w:tcPr>
            <w:tcW w:w="1118" w:type="pct"/>
            <w:vAlign w:val="center"/>
          </w:tcPr>
          <w:p w14:paraId="2EE5A283" w14:textId="77777777" w:rsidR="00B14D53" w:rsidRDefault="00000000">
            <w:pPr>
              <w:jc w:val="center"/>
              <w:rPr>
                <w:rFonts w:eastAsiaTheme="minorEastAsia"/>
                <w:b/>
                <w:bCs/>
                <w:szCs w:val="21"/>
              </w:rPr>
            </w:pPr>
            <w:r>
              <w:rPr>
                <w:rFonts w:eastAsiaTheme="minorEastAsia" w:hAnsiTheme="minorEastAsia"/>
                <w:b/>
                <w:bCs/>
                <w:kern w:val="0"/>
                <w:szCs w:val="21"/>
              </w:rPr>
              <w:t>夜间</w:t>
            </w:r>
          </w:p>
        </w:tc>
      </w:tr>
      <w:tr w:rsidR="00B14D53" w14:paraId="6D308FDF" w14:textId="77777777">
        <w:trPr>
          <w:jc w:val="center"/>
        </w:trPr>
        <w:tc>
          <w:tcPr>
            <w:tcW w:w="1663" w:type="pct"/>
            <w:vAlign w:val="center"/>
          </w:tcPr>
          <w:p w14:paraId="0190A8F2" w14:textId="77777777" w:rsidR="00B14D53" w:rsidRDefault="00000000">
            <w:pPr>
              <w:jc w:val="center"/>
              <w:rPr>
                <w:rFonts w:eastAsiaTheme="minorEastAsia"/>
                <w:szCs w:val="21"/>
              </w:rPr>
            </w:pPr>
            <w:r>
              <w:rPr>
                <w:rFonts w:eastAsiaTheme="minorEastAsia" w:hAnsiTheme="minorEastAsia" w:hint="eastAsia"/>
                <w:kern w:val="0"/>
                <w:szCs w:val="21"/>
              </w:rPr>
              <w:t>四周厂</w:t>
            </w:r>
            <w:r>
              <w:rPr>
                <w:rFonts w:eastAsiaTheme="minorEastAsia" w:hAnsiTheme="minorEastAsia"/>
                <w:kern w:val="0"/>
                <w:szCs w:val="21"/>
              </w:rPr>
              <w:t>界</w:t>
            </w:r>
          </w:p>
        </w:tc>
        <w:tc>
          <w:tcPr>
            <w:tcW w:w="1272" w:type="pct"/>
            <w:vAlign w:val="center"/>
          </w:tcPr>
          <w:p w14:paraId="25AE096F" w14:textId="77777777" w:rsidR="00B14D53" w:rsidRDefault="00000000">
            <w:pPr>
              <w:jc w:val="center"/>
              <w:rPr>
                <w:rFonts w:eastAsiaTheme="minorEastAsia"/>
                <w:szCs w:val="21"/>
              </w:rPr>
            </w:pPr>
            <w:r>
              <w:rPr>
                <w:rFonts w:eastAsiaTheme="minorEastAsia" w:hAnsiTheme="minorEastAsia"/>
                <w:kern w:val="0"/>
                <w:szCs w:val="21"/>
              </w:rPr>
              <w:t>营运期</w:t>
            </w:r>
          </w:p>
        </w:tc>
        <w:tc>
          <w:tcPr>
            <w:tcW w:w="947" w:type="pct"/>
            <w:vAlign w:val="center"/>
          </w:tcPr>
          <w:p w14:paraId="20AC9FAC" w14:textId="77777777" w:rsidR="00B14D53" w:rsidRDefault="00000000">
            <w:pPr>
              <w:jc w:val="center"/>
              <w:rPr>
                <w:rFonts w:eastAsiaTheme="minorEastAsia"/>
                <w:szCs w:val="21"/>
              </w:rPr>
            </w:pPr>
            <w:r>
              <w:rPr>
                <w:rFonts w:eastAsiaTheme="minorEastAsia" w:hint="eastAsia"/>
                <w:szCs w:val="21"/>
              </w:rPr>
              <w:t>60</w:t>
            </w:r>
          </w:p>
        </w:tc>
        <w:tc>
          <w:tcPr>
            <w:tcW w:w="1118" w:type="pct"/>
            <w:vAlign w:val="center"/>
          </w:tcPr>
          <w:p w14:paraId="19765F3E" w14:textId="77777777" w:rsidR="00B14D53" w:rsidRDefault="00000000">
            <w:pPr>
              <w:jc w:val="center"/>
              <w:rPr>
                <w:rFonts w:eastAsiaTheme="minorEastAsia"/>
                <w:szCs w:val="21"/>
              </w:rPr>
            </w:pPr>
            <w:r>
              <w:rPr>
                <w:rFonts w:eastAsiaTheme="minorEastAsia" w:hint="eastAsia"/>
                <w:szCs w:val="21"/>
              </w:rPr>
              <w:t>50</w:t>
            </w:r>
          </w:p>
        </w:tc>
      </w:tr>
    </w:tbl>
    <w:p w14:paraId="7B0C44FF" w14:textId="77777777" w:rsidR="00B14D53" w:rsidRDefault="00000000">
      <w:pPr>
        <w:spacing w:line="360" w:lineRule="auto"/>
        <w:ind w:firstLineChars="200" w:firstLine="480"/>
        <w:rPr>
          <w:rFonts w:eastAsiaTheme="minorEastAsia" w:hAnsiTheme="minorEastAsia" w:hint="eastAsia"/>
          <w:sz w:val="24"/>
        </w:rPr>
      </w:pPr>
      <w:r>
        <w:rPr>
          <w:rFonts w:eastAsiaTheme="minorEastAsia" w:hint="eastAsia"/>
          <w:sz w:val="24"/>
        </w:rPr>
        <w:t>（</w:t>
      </w:r>
      <w:r>
        <w:rPr>
          <w:rFonts w:eastAsiaTheme="minorEastAsia" w:hint="eastAsia"/>
          <w:sz w:val="24"/>
        </w:rPr>
        <w:t>4</w:t>
      </w:r>
      <w:r>
        <w:rPr>
          <w:rFonts w:eastAsiaTheme="minorEastAsia" w:hint="eastAsia"/>
          <w:sz w:val="24"/>
        </w:rPr>
        <w:t>）</w:t>
      </w:r>
      <w:r>
        <w:rPr>
          <w:rFonts w:eastAsiaTheme="minorEastAsia" w:hAnsiTheme="minorEastAsia"/>
          <w:sz w:val="24"/>
        </w:rPr>
        <w:t>固体废物</w:t>
      </w:r>
    </w:p>
    <w:p w14:paraId="20BFF149" w14:textId="77777777" w:rsidR="00B14D53" w:rsidRDefault="00000000">
      <w:pPr>
        <w:spacing w:line="360" w:lineRule="auto"/>
        <w:ind w:firstLineChars="200" w:firstLine="480"/>
        <w:rPr>
          <w:rFonts w:eastAsiaTheme="minorEastAsia" w:hAnsiTheme="minorEastAsia" w:hint="eastAsia"/>
          <w:sz w:val="24"/>
        </w:rPr>
      </w:pPr>
      <w:r>
        <w:rPr>
          <w:rFonts w:eastAsiaTheme="minorEastAsia" w:hAnsiTheme="minorEastAsia"/>
          <w:sz w:val="24"/>
        </w:rPr>
        <w:t>营运期危险废物执行《危险废物贮存污染控制标准》（</w:t>
      </w:r>
      <w:r>
        <w:rPr>
          <w:rFonts w:eastAsiaTheme="minorEastAsia" w:hAnsiTheme="minorEastAsia"/>
          <w:sz w:val="24"/>
        </w:rPr>
        <w:t>GB 18597-2023</w:t>
      </w:r>
      <w:r>
        <w:rPr>
          <w:rFonts w:eastAsiaTheme="minorEastAsia" w:hAnsiTheme="minorEastAsia"/>
          <w:sz w:val="24"/>
        </w:rPr>
        <w:t>）</w:t>
      </w:r>
      <w:r>
        <w:rPr>
          <w:rFonts w:eastAsiaTheme="minorEastAsia" w:hAnsiTheme="minorEastAsia" w:hint="eastAsia"/>
          <w:sz w:val="24"/>
        </w:rPr>
        <w:t>。</w:t>
      </w:r>
    </w:p>
    <w:p w14:paraId="7E9840BA"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40" w:name="_Toc32102"/>
      <w:r>
        <w:rPr>
          <w:rFonts w:ascii="Times New Roman" w:eastAsia="黑体" w:hAnsi="Times New Roman" w:cs="Times New Roman"/>
          <w:b w:val="0"/>
          <w:bCs w:val="0"/>
          <w:sz w:val="30"/>
          <w:szCs w:val="30"/>
        </w:rPr>
        <w:t>2.4</w:t>
      </w:r>
      <w:r>
        <w:rPr>
          <w:rFonts w:ascii="Times New Roman" w:eastAsia="黑体" w:hAnsi="Times New Roman" w:cs="Times New Roman"/>
          <w:b w:val="0"/>
          <w:bCs w:val="0"/>
          <w:sz w:val="30"/>
          <w:szCs w:val="30"/>
        </w:rPr>
        <w:t>评价工作等级</w:t>
      </w:r>
      <w:bookmarkEnd w:id="40"/>
    </w:p>
    <w:p w14:paraId="31F81D27"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41" w:name="_Toc89231863"/>
      <w:bookmarkStart w:id="42" w:name="_Toc88969053"/>
      <w:bookmarkStart w:id="43" w:name="_Toc88968910"/>
      <w:bookmarkStart w:id="44" w:name="_Toc88900493"/>
      <w:r>
        <w:rPr>
          <w:rFonts w:ascii="Times New Roman" w:eastAsia="黑体" w:hAnsi="Times New Roman" w:cs="Times New Roman"/>
          <w:sz w:val="28"/>
          <w:szCs w:val="28"/>
        </w:rPr>
        <w:t>2.4.1</w:t>
      </w:r>
      <w:r>
        <w:rPr>
          <w:rFonts w:ascii="Times New Roman" w:eastAsia="黑体" w:hAnsi="Times New Roman" w:cs="Times New Roman"/>
          <w:sz w:val="28"/>
          <w:szCs w:val="28"/>
        </w:rPr>
        <w:t>环境空气评价工作等级</w:t>
      </w:r>
    </w:p>
    <w:bookmarkEnd w:id="41"/>
    <w:bookmarkEnd w:id="42"/>
    <w:bookmarkEnd w:id="43"/>
    <w:bookmarkEnd w:id="44"/>
    <w:p w14:paraId="16832521"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依据《环境影响评价技术导则</w:t>
      </w:r>
      <w:r>
        <w:rPr>
          <w:rFonts w:eastAsiaTheme="minorEastAsia"/>
          <w:sz w:val="24"/>
        </w:rPr>
        <w:t>-</w:t>
      </w:r>
      <w:r>
        <w:rPr>
          <w:rFonts w:eastAsiaTheme="minorEastAsia" w:hAnsiTheme="minorEastAsia"/>
          <w:sz w:val="24"/>
        </w:rPr>
        <w:t>大气环境》</w:t>
      </w:r>
      <w:r>
        <w:rPr>
          <w:rFonts w:eastAsiaTheme="minorEastAsia"/>
          <w:sz w:val="24"/>
        </w:rPr>
        <w:t>(HJ2.2-2018)</w:t>
      </w:r>
      <w:r>
        <w:rPr>
          <w:rFonts w:eastAsiaTheme="minorEastAsia" w:hAnsiTheme="minorEastAsia"/>
          <w:sz w:val="24"/>
        </w:rPr>
        <w:t>中</w:t>
      </w:r>
      <w:r>
        <w:rPr>
          <w:rFonts w:eastAsiaTheme="minorEastAsia"/>
          <w:sz w:val="24"/>
        </w:rPr>
        <w:t>5.3</w:t>
      </w:r>
      <w:r>
        <w:rPr>
          <w:rFonts w:eastAsiaTheme="minorEastAsia" w:hAnsiTheme="minorEastAsia"/>
          <w:sz w:val="24"/>
        </w:rPr>
        <w:t>节工作等级的确定方法，结合项目工程分析结果，选择正常排放的主要污染物及排放参数，采用附录</w:t>
      </w:r>
      <w:r>
        <w:rPr>
          <w:rFonts w:eastAsiaTheme="minorEastAsia"/>
          <w:sz w:val="24"/>
        </w:rPr>
        <w:t>A</w:t>
      </w:r>
      <w:r>
        <w:rPr>
          <w:rFonts w:eastAsiaTheme="minorEastAsia" w:hAnsiTheme="minorEastAsia"/>
          <w:sz w:val="24"/>
        </w:rPr>
        <w:t>推荐模型中的</w:t>
      </w:r>
      <w:r>
        <w:rPr>
          <w:rFonts w:eastAsiaTheme="minorEastAsia"/>
          <w:sz w:val="24"/>
        </w:rPr>
        <w:t>AERSCREEN</w:t>
      </w:r>
      <w:r>
        <w:rPr>
          <w:rFonts w:eastAsiaTheme="minorEastAsia" w:hAnsiTheme="minorEastAsia"/>
          <w:sz w:val="24"/>
        </w:rPr>
        <w:t>模式计算项目污染源的最大环境影响，然后按评价工作分级判据进行分级。</w:t>
      </w:r>
    </w:p>
    <w:p w14:paraId="40343329" w14:textId="77777777" w:rsidR="00B14D53" w:rsidRDefault="00000000">
      <w:pPr>
        <w:jc w:val="center"/>
        <w:rPr>
          <w:b/>
          <w:bCs/>
        </w:rPr>
      </w:pPr>
      <w:r>
        <w:rPr>
          <w:b/>
          <w:bCs/>
        </w:rPr>
        <w:t>表</w:t>
      </w:r>
      <w:r>
        <w:rPr>
          <w:b/>
          <w:bCs/>
        </w:rPr>
        <w:t>2-4-1</w:t>
      </w:r>
      <w:r>
        <w:rPr>
          <w:rFonts w:hint="eastAsia"/>
          <w:b/>
          <w:bCs/>
        </w:rPr>
        <w:t xml:space="preserve"> </w:t>
      </w:r>
      <w:r>
        <w:rPr>
          <w:b/>
          <w:bCs/>
        </w:rPr>
        <w:t>大气评价等级确定表</w:t>
      </w:r>
    </w:p>
    <w:tbl>
      <w:tblPr>
        <w:tblW w:w="8306"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4962"/>
        <w:gridCol w:w="3344"/>
      </w:tblGrid>
      <w:tr w:rsidR="00B14D53" w14:paraId="4FFFA195" w14:textId="77777777">
        <w:trPr>
          <w:jc w:val="center"/>
        </w:trPr>
        <w:tc>
          <w:tcPr>
            <w:tcW w:w="4962" w:type="dxa"/>
            <w:vAlign w:val="center"/>
          </w:tcPr>
          <w:p w14:paraId="2D9B935F"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评价工作等级判据</w:t>
            </w:r>
          </w:p>
        </w:tc>
        <w:tc>
          <w:tcPr>
            <w:tcW w:w="3344" w:type="dxa"/>
            <w:vAlign w:val="center"/>
          </w:tcPr>
          <w:p w14:paraId="4471776E"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评价工作等级</w:t>
            </w:r>
          </w:p>
        </w:tc>
      </w:tr>
      <w:tr w:rsidR="00B14D53" w14:paraId="67086506" w14:textId="77777777">
        <w:trPr>
          <w:jc w:val="center"/>
        </w:trPr>
        <w:tc>
          <w:tcPr>
            <w:tcW w:w="4962" w:type="dxa"/>
            <w:vAlign w:val="center"/>
          </w:tcPr>
          <w:p w14:paraId="1CE6BD2E" w14:textId="77777777" w:rsidR="00B14D53" w:rsidRDefault="00000000">
            <w:pPr>
              <w:jc w:val="center"/>
              <w:rPr>
                <w:rFonts w:eastAsiaTheme="minorEastAsia"/>
                <w:snapToGrid w:val="0"/>
                <w:kern w:val="0"/>
                <w:lang w:val="zh-CN"/>
              </w:rPr>
            </w:pPr>
            <w:r>
              <w:rPr>
                <w:rFonts w:eastAsiaTheme="minorEastAsia"/>
                <w:snapToGrid w:val="0"/>
                <w:kern w:val="0"/>
                <w:lang w:val="zh-CN"/>
              </w:rPr>
              <w:t>P</w:t>
            </w:r>
            <w:r>
              <w:rPr>
                <w:rFonts w:eastAsiaTheme="minorEastAsia"/>
                <w:snapToGrid w:val="0"/>
                <w:kern w:val="0"/>
                <w:vertAlign w:val="subscript"/>
                <w:lang w:val="zh-CN"/>
              </w:rPr>
              <w:t>max</w:t>
            </w:r>
            <w:r>
              <w:rPr>
                <w:rFonts w:eastAsiaTheme="minorEastAsia"/>
                <w:snapToGrid w:val="0"/>
                <w:kern w:val="0"/>
                <w:lang w:val="zh-CN"/>
              </w:rPr>
              <w:t>≥10%</w:t>
            </w:r>
          </w:p>
        </w:tc>
        <w:tc>
          <w:tcPr>
            <w:tcW w:w="3344" w:type="dxa"/>
            <w:vAlign w:val="center"/>
          </w:tcPr>
          <w:p w14:paraId="5AF43E57"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一级</w:t>
            </w:r>
          </w:p>
        </w:tc>
      </w:tr>
      <w:tr w:rsidR="00B14D53" w14:paraId="6A17DEDC" w14:textId="77777777">
        <w:trPr>
          <w:jc w:val="center"/>
        </w:trPr>
        <w:tc>
          <w:tcPr>
            <w:tcW w:w="4962" w:type="dxa"/>
            <w:vAlign w:val="center"/>
          </w:tcPr>
          <w:p w14:paraId="481873B7" w14:textId="77777777" w:rsidR="00B14D53" w:rsidRDefault="00000000">
            <w:pPr>
              <w:jc w:val="center"/>
              <w:rPr>
                <w:rFonts w:eastAsiaTheme="minorEastAsia"/>
                <w:snapToGrid w:val="0"/>
                <w:kern w:val="0"/>
                <w:lang w:val="zh-CN"/>
              </w:rPr>
            </w:pPr>
            <w:r>
              <w:rPr>
                <w:rFonts w:eastAsiaTheme="minorEastAsia"/>
                <w:snapToGrid w:val="0"/>
                <w:kern w:val="0"/>
                <w:lang w:val="zh-CN"/>
              </w:rPr>
              <w:t>1%≤P</w:t>
            </w:r>
            <w:r>
              <w:rPr>
                <w:rFonts w:eastAsiaTheme="minorEastAsia"/>
                <w:snapToGrid w:val="0"/>
                <w:kern w:val="0"/>
                <w:vertAlign w:val="subscript"/>
                <w:lang w:val="zh-CN"/>
              </w:rPr>
              <w:t>max</w:t>
            </w:r>
            <w:r>
              <w:rPr>
                <w:rFonts w:eastAsiaTheme="minorEastAsia" w:hAnsiTheme="minorEastAsia"/>
                <w:snapToGrid w:val="0"/>
                <w:kern w:val="0"/>
                <w:lang w:val="zh-CN"/>
              </w:rPr>
              <w:t>＜</w:t>
            </w:r>
            <w:r>
              <w:rPr>
                <w:rFonts w:eastAsiaTheme="minorEastAsia"/>
                <w:snapToGrid w:val="0"/>
                <w:kern w:val="0"/>
                <w:lang w:val="zh-CN"/>
              </w:rPr>
              <w:t>10%</w:t>
            </w:r>
          </w:p>
        </w:tc>
        <w:tc>
          <w:tcPr>
            <w:tcW w:w="3344" w:type="dxa"/>
            <w:vAlign w:val="center"/>
          </w:tcPr>
          <w:p w14:paraId="6D1C19D5"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二级</w:t>
            </w:r>
          </w:p>
        </w:tc>
      </w:tr>
      <w:tr w:rsidR="00B14D53" w14:paraId="420A1528" w14:textId="77777777">
        <w:trPr>
          <w:jc w:val="center"/>
        </w:trPr>
        <w:tc>
          <w:tcPr>
            <w:tcW w:w="4962" w:type="dxa"/>
            <w:vAlign w:val="center"/>
          </w:tcPr>
          <w:p w14:paraId="30CDA013" w14:textId="77777777" w:rsidR="00B14D53" w:rsidRDefault="00000000">
            <w:pPr>
              <w:jc w:val="center"/>
              <w:rPr>
                <w:rFonts w:eastAsiaTheme="minorEastAsia"/>
                <w:snapToGrid w:val="0"/>
                <w:kern w:val="0"/>
                <w:lang w:val="zh-CN"/>
              </w:rPr>
            </w:pPr>
            <w:r>
              <w:rPr>
                <w:rFonts w:eastAsiaTheme="minorEastAsia"/>
                <w:snapToGrid w:val="0"/>
                <w:kern w:val="0"/>
                <w:lang w:val="zh-CN"/>
              </w:rPr>
              <w:t>P</w:t>
            </w:r>
            <w:r>
              <w:rPr>
                <w:rFonts w:eastAsiaTheme="minorEastAsia"/>
                <w:snapToGrid w:val="0"/>
                <w:kern w:val="0"/>
                <w:vertAlign w:val="subscript"/>
                <w:lang w:val="zh-CN"/>
              </w:rPr>
              <w:t>max</w:t>
            </w:r>
            <w:r>
              <w:rPr>
                <w:rFonts w:eastAsiaTheme="minorEastAsia" w:hAnsiTheme="minorEastAsia"/>
                <w:snapToGrid w:val="0"/>
                <w:kern w:val="0"/>
                <w:lang w:val="zh-CN"/>
              </w:rPr>
              <w:t>＜</w:t>
            </w:r>
            <w:r>
              <w:rPr>
                <w:rFonts w:eastAsiaTheme="minorEastAsia"/>
                <w:snapToGrid w:val="0"/>
                <w:kern w:val="0"/>
                <w:lang w:val="zh-CN"/>
              </w:rPr>
              <w:t>1%</w:t>
            </w:r>
          </w:p>
        </w:tc>
        <w:tc>
          <w:tcPr>
            <w:tcW w:w="3344" w:type="dxa"/>
            <w:vAlign w:val="center"/>
          </w:tcPr>
          <w:p w14:paraId="5B82BFEF"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三级</w:t>
            </w:r>
          </w:p>
        </w:tc>
      </w:tr>
    </w:tbl>
    <w:p w14:paraId="17DA7780" w14:textId="77777777" w:rsidR="00B14D53" w:rsidRDefault="00000000">
      <w:pPr>
        <w:spacing w:line="480" w:lineRule="exact"/>
        <w:ind w:firstLineChars="176" w:firstLine="422"/>
        <w:jc w:val="left"/>
        <w:rPr>
          <w:rFonts w:eastAsiaTheme="minorEastAsia"/>
          <w:sz w:val="24"/>
        </w:rPr>
      </w:pPr>
      <w:r>
        <w:rPr>
          <w:rFonts w:eastAsiaTheme="minorEastAsia" w:hAnsiTheme="minorEastAsia"/>
          <w:sz w:val="24"/>
        </w:rPr>
        <w:t>依据《环境影响评价技术导则</w:t>
      </w:r>
      <w:r>
        <w:rPr>
          <w:rFonts w:eastAsiaTheme="minorEastAsia"/>
          <w:sz w:val="24"/>
        </w:rPr>
        <w:t xml:space="preserve"> </w:t>
      </w:r>
      <w:r>
        <w:rPr>
          <w:rFonts w:eastAsiaTheme="minorEastAsia" w:hAnsiTheme="minorEastAsia"/>
          <w:sz w:val="24"/>
        </w:rPr>
        <w:t>大气环境》</w:t>
      </w:r>
      <w:r>
        <w:rPr>
          <w:rFonts w:eastAsiaTheme="minorEastAsia"/>
          <w:sz w:val="24"/>
        </w:rPr>
        <w:t>(HJ2.2-2018)</w:t>
      </w:r>
      <w:r>
        <w:rPr>
          <w:rFonts w:eastAsiaTheme="minorEastAsia" w:hAnsiTheme="minorEastAsia"/>
          <w:sz w:val="24"/>
        </w:rPr>
        <w:t>中最大地面浓度占标率</w:t>
      </w:r>
      <w:r>
        <w:rPr>
          <w:rFonts w:eastAsiaTheme="minorEastAsia"/>
          <w:sz w:val="24"/>
        </w:rPr>
        <w:t>P</w:t>
      </w:r>
      <w:r>
        <w:rPr>
          <w:rFonts w:eastAsiaTheme="minorEastAsia"/>
          <w:i/>
          <w:sz w:val="24"/>
        </w:rPr>
        <w:t>i</w:t>
      </w:r>
      <w:r>
        <w:rPr>
          <w:rFonts w:eastAsiaTheme="minorEastAsia" w:hAnsiTheme="minorEastAsia"/>
          <w:sz w:val="24"/>
        </w:rPr>
        <w:t>定义如下：</w:t>
      </w:r>
    </w:p>
    <w:p w14:paraId="3327266B" w14:textId="77777777" w:rsidR="00B14D53" w:rsidRDefault="00000000">
      <w:pPr>
        <w:spacing w:line="276" w:lineRule="auto"/>
        <w:ind w:firstLineChars="176" w:firstLine="422"/>
        <w:jc w:val="center"/>
        <w:rPr>
          <w:rFonts w:eastAsiaTheme="minorEastAsia"/>
          <w:sz w:val="24"/>
        </w:rPr>
      </w:pPr>
      <m:oMathPara>
        <m:oMath>
          <m:sSub>
            <m:sSubPr>
              <m:ctrlPr>
                <w:rPr>
                  <w:rFonts w:ascii="Cambria Math" w:eastAsiaTheme="minorEastAsia" w:hAnsi="Cambria Math"/>
                  <w:sz w:val="24"/>
                </w:rPr>
              </m:ctrlPr>
            </m:sSubPr>
            <m:e>
              <m:r>
                <w:rPr>
                  <w:rFonts w:ascii="Cambria Math" w:eastAsiaTheme="minorEastAsia"/>
                  <w:sz w:val="24"/>
                </w:rPr>
                <m:t>P</m:t>
              </m:r>
            </m:e>
            <m:sub>
              <m:r>
                <w:rPr>
                  <w:rFonts w:ascii="Cambria Math" w:eastAsiaTheme="minorEastAsia"/>
                  <w:sz w:val="24"/>
                </w:rPr>
                <m:t>i</m:t>
              </m:r>
            </m:sub>
          </m:sSub>
          <m:r>
            <m:rPr>
              <m:sty m:val="p"/>
            </m:rPr>
            <w:rPr>
              <w:rFonts w:ascii="Cambria Math" w:eastAsiaTheme="minorEastAsia"/>
              <w:sz w:val="24"/>
            </w:rPr>
            <m:t>=</m:t>
          </m:r>
          <m:f>
            <m:fPr>
              <m:ctrlPr>
                <w:rPr>
                  <w:rFonts w:ascii="Cambria Math" w:eastAsiaTheme="minorEastAsia" w:hAnsi="Cambria Math"/>
                  <w:sz w:val="24"/>
                </w:rPr>
              </m:ctrlPr>
            </m:fPr>
            <m:num>
              <m:sSub>
                <m:sSubPr>
                  <m:ctrlPr>
                    <w:rPr>
                      <w:rFonts w:ascii="Cambria Math" w:eastAsiaTheme="minorEastAsia" w:hAnsi="Cambria Math"/>
                      <w:i/>
                      <w:sz w:val="24"/>
                    </w:rPr>
                  </m:ctrlPr>
                </m:sSubPr>
                <m:e>
                  <m:r>
                    <w:rPr>
                      <w:rFonts w:ascii="Cambria Math" w:eastAsiaTheme="minorEastAsia"/>
                      <w:sz w:val="24"/>
                    </w:rPr>
                    <m:t>C</m:t>
                  </m:r>
                </m:e>
                <m:sub>
                  <m:r>
                    <w:rPr>
                      <w:rFonts w:ascii="Cambria Math" w:eastAsiaTheme="minorEastAsia"/>
                      <w:sz w:val="24"/>
                    </w:rPr>
                    <m:t>i</m:t>
                  </m:r>
                </m:sub>
              </m:sSub>
            </m:num>
            <m:den>
              <m:sSub>
                <m:sSubPr>
                  <m:ctrlPr>
                    <w:rPr>
                      <w:rFonts w:ascii="Cambria Math" w:eastAsiaTheme="minorEastAsia" w:hAnsi="Cambria Math"/>
                      <w:i/>
                      <w:sz w:val="24"/>
                    </w:rPr>
                  </m:ctrlPr>
                </m:sSubPr>
                <m:e>
                  <m:r>
                    <w:rPr>
                      <w:rFonts w:ascii="Cambria Math" w:eastAsiaTheme="minorEastAsia"/>
                      <w:sz w:val="24"/>
                    </w:rPr>
                    <m:t>C</m:t>
                  </m:r>
                </m:e>
                <m:sub>
                  <m:r>
                    <w:rPr>
                      <w:rFonts w:ascii="Cambria Math" w:eastAsiaTheme="minorEastAsia"/>
                      <w:sz w:val="24"/>
                    </w:rPr>
                    <m:t>0i</m:t>
                  </m:r>
                </m:sub>
              </m:sSub>
            </m:den>
          </m:f>
          <m:r>
            <w:rPr>
              <w:rFonts w:eastAsiaTheme="minorEastAsia"/>
              <w:sz w:val="24"/>
            </w:rPr>
            <m:t>×</m:t>
          </m:r>
          <m:r>
            <w:rPr>
              <w:rFonts w:ascii="Cambria Math" w:eastAsiaTheme="minorEastAsia"/>
              <w:sz w:val="24"/>
            </w:rPr>
            <m:t>100%</m:t>
          </m:r>
        </m:oMath>
      </m:oMathPara>
    </w:p>
    <w:p w14:paraId="7FF9A432" w14:textId="77777777" w:rsidR="00B14D53" w:rsidRDefault="00000000">
      <w:pPr>
        <w:spacing w:line="480" w:lineRule="exact"/>
        <w:ind w:firstLineChars="176" w:firstLine="422"/>
        <w:jc w:val="left"/>
        <w:rPr>
          <w:rFonts w:eastAsiaTheme="minorEastAsia"/>
          <w:sz w:val="24"/>
        </w:rPr>
      </w:pPr>
      <m:oMath>
        <m:sSub>
          <m:sSubPr>
            <m:ctrlPr>
              <w:rPr>
                <w:rFonts w:ascii="Cambria Math" w:eastAsiaTheme="minorEastAsia" w:hAnsi="Cambria Math"/>
                <w:sz w:val="24"/>
              </w:rPr>
            </m:ctrlPr>
          </m:sSubPr>
          <m:e>
            <m:r>
              <w:rPr>
                <w:rFonts w:ascii="Cambria Math" w:eastAsiaTheme="minorEastAsia"/>
                <w:sz w:val="24"/>
              </w:rPr>
              <m:t>P</m:t>
            </m:r>
          </m:e>
          <m:sub>
            <m:r>
              <w:rPr>
                <w:rFonts w:ascii="Cambria Math" w:eastAsiaTheme="minorEastAsia"/>
                <w:sz w:val="24"/>
              </w:rPr>
              <m:t>i</m:t>
            </m:r>
          </m:sub>
        </m:sSub>
      </m:oMath>
      <w:r>
        <w:rPr>
          <w:rFonts w:eastAsiaTheme="minorEastAsia"/>
          <w:sz w:val="24"/>
        </w:rPr>
        <w:t xml:space="preserve"> ——</w:t>
      </w:r>
      <w:r>
        <w:rPr>
          <w:rFonts w:eastAsiaTheme="minorEastAsia" w:hAnsiTheme="minorEastAsia"/>
          <w:sz w:val="24"/>
        </w:rPr>
        <w:t>第</w:t>
      </w:r>
      <w:r>
        <w:rPr>
          <w:rFonts w:eastAsiaTheme="minorEastAsia"/>
          <w:sz w:val="24"/>
        </w:rPr>
        <w:t>i</w:t>
      </w:r>
      <w:r>
        <w:rPr>
          <w:rFonts w:eastAsiaTheme="minorEastAsia" w:hAnsiTheme="minorEastAsia"/>
          <w:sz w:val="24"/>
        </w:rPr>
        <w:t>个污染物的最大地面空气质量浓度</w:t>
      </w:r>
      <w:r>
        <w:rPr>
          <w:rFonts w:eastAsiaTheme="minorEastAsia"/>
          <w:sz w:val="24"/>
        </w:rPr>
        <w:t xml:space="preserve"> </w:t>
      </w:r>
      <w:r>
        <w:rPr>
          <w:rFonts w:eastAsiaTheme="minorEastAsia" w:hAnsiTheme="minorEastAsia"/>
          <w:sz w:val="24"/>
        </w:rPr>
        <w:t>占标率，</w:t>
      </w:r>
      <w:r>
        <w:rPr>
          <w:rFonts w:eastAsiaTheme="minorEastAsia"/>
          <w:sz w:val="24"/>
        </w:rPr>
        <w:t>%</w:t>
      </w:r>
      <w:r>
        <w:rPr>
          <w:rFonts w:eastAsiaTheme="minorEastAsia" w:hAnsiTheme="minorEastAsia"/>
          <w:sz w:val="24"/>
        </w:rPr>
        <w:t>；</w:t>
      </w:r>
    </w:p>
    <w:p w14:paraId="271CFD63" w14:textId="77777777" w:rsidR="00B14D53" w:rsidRDefault="00000000">
      <w:pPr>
        <w:spacing w:line="480" w:lineRule="exact"/>
        <w:ind w:firstLineChars="176" w:firstLine="422"/>
        <w:jc w:val="left"/>
        <w:rPr>
          <w:rFonts w:eastAsiaTheme="minorEastAsia"/>
          <w:sz w:val="24"/>
        </w:rPr>
      </w:pPr>
      <m:oMath>
        <m:sSub>
          <m:sSubPr>
            <m:ctrlPr>
              <w:rPr>
                <w:rFonts w:ascii="Cambria Math" w:eastAsiaTheme="minorEastAsia" w:hAnsi="Cambria Math"/>
                <w:i/>
                <w:sz w:val="24"/>
              </w:rPr>
            </m:ctrlPr>
          </m:sSubPr>
          <m:e>
            <m:r>
              <w:rPr>
                <w:rFonts w:ascii="Cambria Math" w:eastAsiaTheme="minorEastAsia"/>
                <w:sz w:val="24"/>
              </w:rPr>
              <m:t>C</m:t>
            </m:r>
          </m:e>
          <m:sub>
            <m:r>
              <w:rPr>
                <w:rFonts w:ascii="Cambria Math" w:eastAsiaTheme="minorEastAsia"/>
                <w:sz w:val="24"/>
              </w:rPr>
              <m:t>i</m:t>
            </m:r>
          </m:sub>
        </m:sSub>
      </m:oMath>
      <w:r>
        <w:rPr>
          <w:rFonts w:eastAsiaTheme="minorEastAsia"/>
          <w:sz w:val="24"/>
        </w:rPr>
        <w:t>——</w:t>
      </w:r>
      <w:r>
        <w:rPr>
          <w:rFonts w:eastAsiaTheme="minorEastAsia" w:hAnsiTheme="minorEastAsia"/>
          <w:sz w:val="24"/>
        </w:rPr>
        <w:t>采用估算模型计算出的第</w:t>
      </w:r>
      <w:r>
        <w:rPr>
          <w:rFonts w:eastAsiaTheme="minorEastAsia"/>
          <w:sz w:val="24"/>
        </w:rPr>
        <w:t>i</w:t>
      </w:r>
      <w:r>
        <w:rPr>
          <w:rFonts w:eastAsiaTheme="minorEastAsia" w:hAnsiTheme="minorEastAsia"/>
          <w:sz w:val="24"/>
        </w:rPr>
        <w:t>个污染物的最大</w:t>
      </w:r>
      <w:r>
        <w:rPr>
          <w:rFonts w:eastAsiaTheme="minorEastAsia"/>
          <w:sz w:val="24"/>
        </w:rPr>
        <w:t>1h</w:t>
      </w:r>
      <w:r>
        <w:rPr>
          <w:rFonts w:eastAsiaTheme="minorEastAsia" w:hAnsiTheme="minorEastAsia"/>
          <w:sz w:val="24"/>
        </w:rPr>
        <w:t>地面空气质量浓度，</w:t>
      </w:r>
      <w:r>
        <w:rPr>
          <w:rFonts w:eastAsiaTheme="minorEastAsia"/>
          <w:sz w:val="24"/>
        </w:rPr>
        <w:t>μg/m</w:t>
      </w:r>
      <w:r>
        <w:rPr>
          <w:rFonts w:eastAsiaTheme="minorEastAsia"/>
          <w:sz w:val="24"/>
          <w:vertAlign w:val="superscript"/>
        </w:rPr>
        <w:t>3</w:t>
      </w:r>
      <w:r>
        <w:rPr>
          <w:rFonts w:eastAsiaTheme="minorEastAsia" w:hAnsiTheme="minorEastAsia"/>
          <w:sz w:val="24"/>
        </w:rPr>
        <w:t>；</w:t>
      </w:r>
    </w:p>
    <w:p w14:paraId="1E31961C" w14:textId="77777777" w:rsidR="00B14D53" w:rsidRDefault="00000000">
      <w:pPr>
        <w:spacing w:line="360" w:lineRule="auto"/>
        <w:ind w:firstLineChars="176" w:firstLine="422"/>
        <w:contextualSpacing/>
        <w:jc w:val="left"/>
        <w:rPr>
          <w:rFonts w:eastAsiaTheme="minorEastAsia"/>
          <w:sz w:val="24"/>
        </w:rPr>
      </w:pPr>
      <m:oMath>
        <m:sSub>
          <m:sSubPr>
            <m:ctrlPr>
              <w:rPr>
                <w:rFonts w:ascii="Cambria Math" w:eastAsiaTheme="minorEastAsia" w:hAnsi="Cambria Math"/>
                <w:i/>
                <w:sz w:val="24"/>
              </w:rPr>
            </m:ctrlPr>
          </m:sSubPr>
          <m:e>
            <m:r>
              <w:rPr>
                <w:rFonts w:ascii="Cambria Math" w:eastAsiaTheme="minorEastAsia"/>
                <w:sz w:val="24"/>
              </w:rPr>
              <m:t>C</m:t>
            </m:r>
          </m:e>
          <m:sub>
            <m:r>
              <w:rPr>
                <w:rFonts w:ascii="Cambria Math" w:eastAsiaTheme="minorEastAsia"/>
                <w:sz w:val="24"/>
              </w:rPr>
              <m:t>0i</m:t>
            </m:r>
          </m:sub>
        </m:sSub>
      </m:oMath>
      <w:r>
        <w:rPr>
          <w:rFonts w:eastAsiaTheme="minorEastAsia"/>
          <w:sz w:val="24"/>
        </w:rPr>
        <w:t>——</w:t>
      </w:r>
      <w:r>
        <w:rPr>
          <w:rFonts w:eastAsiaTheme="minorEastAsia" w:hAnsiTheme="minorEastAsia"/>
          <w:sz w:val="24"/>
        </w:rPr>
        <w:t>第</w:t>
      </w:r>
      <w:r>
        <w:rPr>
          <w:rFonts w:eastAsiaTheme="minorEastAsia"/>
          <w:sz w:val="24"/>
        </w:rPr>
        <w:t>i</w:t>
      </w:r>
      <w:r>
        <w:rPr>
          <w:rFonts w:eastAsiaTheme="minorEastAsia" w:hAnsiTheme="minorEastAsia"/>
          <w:sz w:val="24"/>
        </w:rPr>
        <w:t>个污染物的环境空气质量浓度标准，</w:t>
      </w:r>
      <w:r>
        <w:rPr>
          <w:rFonts w:eastAsiaTheme="minorEastAsia"/>
          <w:sz w:val="24"/>
        </w:rPr>
        <w:t>μg/m</w:t>
      </w:r>
      <w:r>
        <w:rPr>
          <w:rFonts w:eastAsiaTheme="minorEastAsia"/>
          <w:sz w:val="24"/>
          <w:vertAlign w:val="superscript"/>
        </w:rPr>
        <w:t>3</w:t>
      </w:r>
      <w:r>
        <w:rPr>
          <w:rFonts w:eastAsiaTheme="minorEastAsia" w:hAnsiTheme="minorEastAsia"/>
          <w:sz w:val="24"/>
        </w:rPr>
        <w:t>。</w:t>
      </w:r>
    </w:p>
    <w:p w14:paraId="6F586D29" w14:textId="77777777" w:rsidR="00B14D53" w:rsidRDefault="00000000">
      <w:pPr>
        <w:tabs>
          <w:tab w:val="right" w:leader="dot" w:pos="8505"/>
        </w:tabs>
        <w:spacing w:line="360" w:lineRule="auto"/>
        <w:ind w:firstLineChars="200" w:firstLine="480"/>
        <w:contextualSpacing/>
        <w:rPr>
          <w:rFonts w:eastAsiaTheme="minorEastAsia" w:hAnsiTheme="minorEastAsia" w:hint="eastAsia"/>
          <w:kern w:val="0"/>
          <w:sz w:val="24"/>
        </w:rPr>
      </w:pPr>
      <w:r>
        <w:rPr>
          <w:rFonts w:eastAsiaTheme="minorEastAsia" w:hAnsiTheme="minorEastAsia"/>
          <w:kern w:val="0"/>
          <w:sz w:val="24"/>
        </w:rPr>
        <w:t>污染源参数见表</w:t>
      </w:r>
      <w:r>
        <w:rPr>
          <w:rFonts w:eastAsiaTheme="minorEastAsia"/>
          <w:kern w:val="0"/>
          <w:sz w:val="24"/>
        </w:rPr>
        <w:t>2-4-2</w:t>
      </w:r>
      <w:r>
        <w:rPr>
          <w:rFonts w:eastAsiaTheme="minorEastAsia" w:hAnsiTheme="minorEastAsia"/>
          <w:kern w:val="0"/>
          <w:sz w:val="24"/>
        </w:rPr>
        <w:t>和表</w:t>
      </w:r>
      <w:r>
        <w:rPr>
          <w:rFonts w:eastAsiaTheme="minorEastAsia"/>
          <w:kern w:val="0"/>
          <w:sz w:val="24"/>
        </w:rPr>
        <w:t>2-4-3</w:t>
      </w:r>
      <w:r>
        <w:rPr>
          <w:rFonts w:eastAsiaTheme="minorEastAsia" w:hAnsiTheme="minorEastAsia"/>
          <w:kern w:val="0"/>
          <w:sz w:val="24"/>
        </w:rPr>
        <w:t>。</w:t>
      </w:r>
    </w:p>
    <w:p w14:paraId="2E60B88E" w14:textId="77777777" w:rsidR="00B14D53" w:rsidRDefault="00B14D53">
      <w:pPr>
        <w:tabs>
          <w:tab w:val="right" w:leader="dot" w:pos="8505"/>
        </w:tabs>
        <w:spacing w:line="360" w:lineRule="auto"/>
        <w:ind w:firstLineChars="200" w:firstLine="480"/>
        <w:contextualSpacing/>
        <w:rPr>
          <w:rFonts w:eastAsiaTheme="minorEastAsia" w:hAnsiTheme="minorEastAsia" w:hint="eastAsia"/>
          <w:kern w:val="0"/>
          <w:sz w:val="24"/>
        </w:rPr>
      </w:pPr>
    </w:p>
    <w:p w14:paraId="4F94E066" w14:textId="77777777" w:rsidR="00B14D53" w:rsidRDefault="00B14D53">
      <w:pPr>
        <w:tabs>
          <w:tab w:val="right" w:leader="dot" w:pos="8505"/>
        </w:tabs>
        <w:spacing w:line="360" w:lineRule="auto"/>
        <w:ind w:firstLineChars="200" w:firstLine="480"/>
        <w:contextualSpacing/>
        <w:rPr>
          <w:rFonts w:eastAsiaTheme="minorEastAsia" w:hAnsiTheme="minorEastAsia" w:hint="eastAsia"/>
          <w:kern w:val="0"/>
          <w:sz w:val="24"/>
        </w:rPr>
        <w:sectPr w:rsidR="00B14D53">
          <w:pgSz w:w="11906" w:h="16838"/>
          <w:pgMar w:top="1440" w:right="1800" w:bottom="1440" w:left="1800" w:header="851" w:footer="992" w:gutter="0"/>
          <w:cols w:space="425"/>
          <w:docGrid w:type="lines" w:linePitch="312"/>
        </w:sectPr>
      </w:pPr>
    </w:p>
    <w:p w14:paraId="1D718777" w14:textId="77777777" w:rsidR="00B14D53" w:rsidRDefault="00000000">
      <w:pPr>
        <w:jc w:val="center"/>
        <w:rPr>
          <w:b/>
          <w:bCs/>
        </w:rPr>
      </w:pPr>
      <w:r>
        <w:rPr>
          <w:b/>
          <w:bCs/>
        </w:rPr>
        <w:t>表</w:t>
      </w:r>
      <w:r>
        <w:rPr>
          <w:b/>
          <w:bCs/>
        </w:rPr>
        <w:t>2-4-</w:t>
      </w:r>
      <w:r>
        <w:rPr>
          <w:rFonts w:hint="eastAsia"/>
          <w:b/>
          <w:bCs/>
        </w:rPr>
        <w:t xml:space="preserve">2 </w:t>
      </w:r>
      <w:r>
        <w:rPr>
          <w:b/>
          <w:bCs/>
        </w:rPr>
        <w:t>主要废气污染源参数一览表</w:t>
      </w:r>
      <w:r>
        <w:rPr>
          <w:b/>
          <w:bCs/>
        </w:rPr>
        <w:t>(</w:t>
      </w:r>
      <w:r>
        <w:rPr>
          <w:b/>
          <w:bCs/>
        </w:rPr>
        <w:t>矩形面源</w:t>
      </w:r>
      <w:r>
        <w:rPr>
          <w:b/>
          <w:bCs/>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8"/>
        <w:gridCol w:w="1316"/>
        <w:gridCol w:w="1288"/>
        <w:gridCol w:w="1294"/>
        <w:gridCol w:w="1140"/>
        <w:gridCol w:w="1140"/>
        <w:gridCol w:w="1140"/>
        <w:gridCol w:w="1034"/>
        <w:gridCol w:w="1140"/>
        <w:gridCol w:w="1062"/>
        <w:gridCol w:w="637"/>
        <w:gridCol w:w="992"/>
        <w:gridCol w:w="1137"/>
      </w:tblGrid>
      <w:tr w:rsidR="00B14D53" w14:paraId="472B5474" w14:textId="77777777">
        <w:trPr>
          <w:trHeight w:val="16"/>
          <w:jc w:val="center"/>
        </w:trPr>
        <w:tc>
          <w:tcPr>
            <w:tcW w:w="228" w:type="pct"/>
            <w:vMerge w:val="restart"/>
            <w:vAlign w:val="center"/>
          </w:tcPr>
          <w:p w14:paraId="2766B4FA" w14:textId="77777777" w:rsidR="00B14D53" w:rsidRDefault="00000000">
            <w:pPr>
              <w:jc w:val="center"/>
              <w:rPr>
                <w:rFonts w:eastAsiaTheme="minorEastAsia"/>
                <w:b/>
                <w:bCs/>
                <w:szCs w:val="21"/>
              </w:rPr>
            </w:pPr>
            <w:r>
              <w:rPr>
                <w:rFonts w:eastAsiaTheme="minorEastAsia"/>
                <w:b/>
                <w:bCs/>
                <w:szCs w:val="21"/>
              </w:rPr>
              <w:t>编号</w:t>
            </w:r>
          </w:p>
        </w:tc>
        <w:tc>
          <w:tcPr>
            <w:tcW w:w="471" w:type="pct"/>
            <w:vMerge w:val="restart"/>
            <w:vAlign w:val="center"/>
          </w:tcPr>
          <w:p w14:paraId="2A399F02" w14:textId="77777777" w:rsidR="00B14D53" w:rsidRDefault="00000000">
            <w:pPr>
              <w:jc w:val="center"/>
              <w:rPr>
                <w:rFonts w:eastAsiaTheme="minorEastAsia"/>
                <w:b/>
                <w:bCs/>
                <w:szCs w:val="21"/>
              </w:rPr>
            </w:pPr>
            <w:r>
              <w:rPr>
                <w:rFonts w:eastAsiaTheme="minorEastAsia"/>
                <w:b/>
                <w:bCs/>
                <w:szCs w:val="21"/>
              </w:rPr>
              <w:t>名称</w:t>
            </w:r>
          </w:p>
        </w:tc>
        <w:tc>
          <w:tcPr>
            <w:tcW w:w="924" w:type="pct"/>
            <w:gridSpan w:val="2"/>
            <w:vAlign w:val="center"/>
          </w:tcPr>
          <w:p w14:paraId="7F95CE70" w14:textId="77777777" w:rsidR="00B14D53" w:rsidRDefault="00000000">
            <w:pPr>
              <w:jc w:val="center"/>
              <w:rPr>
                <w:rFonts w:eastAsiaTheme="minorEastAsia"/>
                <w:b/>
                <w:bCs/>
                <w:szCs w:val="21"/>
              </w:rPr>
            </w:pPr>
            <w:r>
              <w:rPr>
                <w:rFonts w:eastAsiaTheme="minorEastAsia"/>
                <w:b/>
                <w:bCs/>
                <w:szCs w:val="21"/>
              </w:rPr>
              <w:t>面源各顶点坐标（</w:t>
            </w:r>
            <w:r>
              <w:rPr>
                <w:rFonts w:eastAsiaTheme="minorEastAsia"/>
                <w:b/>
                <w:bCs/>
                <w:szCs w:val="21"/>
              </w:rPr>
              <w:t>°</w:t>
            </w:r>
            <w:r>
              <w:rPr>
                <w:rFonts w:eastAsiaTheme="minorEastAsia"/>
                <w:b/>
                <w:bCs/>
                <w:szCs w:val="21"/>
              </w:rPr>
              <w:t>）</w:t>
            </w:r>
          </w:p>
        </w:tc>
        <w:tc>
          <w:tcPr>
            <w:tcW w:w="408" w:type="pct"/>
            <w:vMerge w:val="restart"/>
            <w:vAlign w:val="center"/>
          </w:tcPr>
          <w:p w14:paraId="311DA02A" w14:textId="77777777" w:rsidR="00B14D53" w:rsidRDefault="00000000">
            <w:pPr>
              <w:jc w:val="center"/>
              <w:rPr>
                <w:rFonts w:eastAsiaTheme="minorEastAsia"/>
                <w:b/>
                <w:bCs/>
                <w:szCs w:val="21"/>
              </w:rPr>
            </w:pPr>
            <w:r>
              <w:rPr>
                <w:rFonts w:eastAsiaTheme="minorEastAsia"/>
                <w:b/>
                <w:bCs/>
                <w:szCs w:val="21"/>
              </w:rPr>
              <w:t>面源海拔高度（</w:t>
            </w:r>
            <w:r>
              <w:rPr>
                <w:rFonts w:eastAsiaTheme="minorEastAsia"/>
                <w:b/>
                <w:bCs/>
                <w:szCs w:val="21"/>
              </w:rPr>
              <w:t>m</w:t>
            </w:r>
            <w:r>
              <w:rPr>
                <w:rFonts w:eastAsiaTheme="minorEastAsia"/>
                <w:b/>
                <w:bCs/>
                <w:szCs w:val="21"/>
              </w:rPr>
              <w:t>）</w:t>
            </w:r>
          </w:p>
        </w:tc>
        <w:tc>
          <w:tcPr>
            <w:tcW w:w="408" w:type="pct"/>
            <w:vMerge w:val="restart"/>
            <w:vAlign w:val="center"/>
          </w:tcPr>
          <w:p w14:paraId="5896404D" w14:textId="77777777" w:rsidR="00B14D53" w:rsidRDefault="00000000">
            <w:pPr>
              <w:jc w:val="center"/>
              <w:rPr>
                <w:rFonts w:eastAsiaTheme="minorEastAsia"/>
                <w:b/>
                <w:bCs/>
                <w:szCs w:val="21"/>
              </w:rPr>
            </w:pPr>
            <w:r>
              <w:rPr>
                <w:rFonts w:eastAsiaTheme="minorEastAsia"/>
                <w:b/>
                <w:bCs/>
                <w:szCs w:val="21"/>
              </w:rPr>
              <w:t>面源长度（</w:t>
            </w:r>
            <w:r>
              <w:rPr>
                <w:rFonts w:eastAsiaTheme="minorEastAsia"/>
                <w:b/>
                <w:bCs/>
                <w:szCs w:val="21"/>
              </w:rPr>
              <w:t>m</w:t>
            </w:r>
            <w:r>
              <w:rPr>
                <w:rFonts w:eastAsiaTheme="minorEastAsia"/>
                <w:b/>
                <w:bCs/>
                <w:szCs w:val="21"/>
              </w:rPr>
              <w:t>）</w:t>
            </w:r>
          </w:p>
        </w:tc>
        <w:tc>
          <w:tcPr>
            <w:tcW w:w="408" w:type="pct"/>
            <w:vMerge w:val="restart"/>
            <w:vAlign w:val="center"/>
          </w:tcPr>
          <w:p w14:paraId="172DAA09" w14:textId="77777777" w:rsidR="00B14D53" w:rsidRDefault="00000000">
            <w:pPr>
              <w:jc w:val="center"/>
              <w:rPr>
                <w:rFonts w:eastAsiaTheme="minorEastAsia"/>
                <w:b/>
                <w:bCs/>
                <w:szCs w:val="21"/>
              </w:rPr>
            </w:pPr>
            <w:r>
              <w:rPr>
                <w:rFonts w:eastAsiaTheme="minorEastAsia"/>
                <w:b/>
                <w:bCs/>
                <w:szCs w:val="21"/>
              </w:rPr>
              <w:t>面源宽度（</w:t>
            </w:r>
            <w:r>
              <w:rPr>
                <w:rFonts w:eastAsiaTheme="minorEastAsia"/>
                <w:b/>
                <w:bCs/>
                <w:szCs w:val="21"/>
              </w:rPr>
              <w:t>m</w:t>
            </w:r>
            <w:r>
              <w:rPr>
                <w:rFonts w:eastAsiaTheme="minorEastAsia"/>
                <w:b/>
                <w:bCs/>
                <w:szCs w:val="21"/>
              </w:rPr>
              <w:t>）</w:t>
            </w:r>
          </w:p>
        </w:tc>
        <w:tc>
          <w:tcPr>
            <w:tcW w:w="370" w:type="pct"/>
            <w:vMerge w:val="restart"/>
            <w:vAlign w:val="center"/>
          </w:tcPr>
          <w:p w14:paraId="4DE0C980" w14:textId="77777777" w:rsidR="00B14D53" w:rsidRDefault="00000000">
            <w:pPr>
              <w:jc w:val="center"/>
              <w:rPr>
                <w:rFonts w:eastAsiaTheme="minorEastAsia"/>
                <w:b/>
                <w:bCs/>
                <w:szCs w:val="21"/>
              </w:rPr>
            </w:pPr>
            <w:r>
              <w:rPr>
                <w:rFonts w:eastAsiaTheme="minorEastAsia"/>
                <w:b/>
                <w:bCs/>
                <w:szCs w:val="21"/>
              </w:rPr>
              <w:t>与正北向夹角（</w:t>
            </w:r>
            <w:r>
              <w:rPr>
                <w:rFonts w:eastAsiaTheme="minorEastAsia"/>
                <w:b/>
                <w:bCs/>
                <w:szCs w:val="21"/>
              </w:rPr>
              <w:t>°</w:t>
            </w:r>
            <w:r>
              <w:rPr>
                <w:rFonts w:eastAsiaTheme="minorEastAsia"/>
                <w:b/>
                <w:bCs/>
                <w:szCs w:val="21"/>
              </w:rPr>
              <w:t>）</w:t>
            </w:r>
          </w:p>
        </w:tc>
        <w:tc>
          <w:tcPr>
            <w:tcW w:w="408" w:type="pct"/>
            <w:vMerge w:val="restart"/>
            <w:vAlign w:val="center"/>
          </w:tcPr>
          <w:p w14:paraId="439F101D" w14:textId="77777777" w:rsidR="00B14D53" w:rsidRDefault="00000000">
            <w:pPr>
              <w:jc w:val="center"/>
              <w:rPr>
                <w:rFonts w:eastAsiaTheme="minorEastAsia"/>
                <w:b/>
                <w:bCs/>
                <w:szCs w:val="21"/>
              </w:rPr>
            </w:pPr>
            <w:r>
              <w:rPr>
                <w:rFonts w:eastAsiaTheme="minorEastAsia"/>
                <w:b/>
                <w:bCs/>
                <w:szCs w:val="21"/>
              </w:rPr>
              <w:t>面源有效排放高度（</w:t>
            </w:r>
            <w:r>
              <w:rPr>
                <w:rFonts w:eastAsiaTheme="minorEastAsia"/>
                <w:b/>
                <w:bCs/>
                <w:szCs w:val="21"/>
              </w:rPr>
              <w:t>m</w:t>
            </w:r>
            <w:r>
              <w:rPr>
                <w:rFonts w:eastAsiaTheme="minorEastAsia"/>
                <w:b/>
                <w:bCs/>
                <w:szCs w:val="21"/>
              </w:rPr>
              <w:t>）</w:t>
            </w:r>
          </w:p>
        </w:tc>
        <w:tc>
          <w:tcPr>
            <w:tcW w:w="380" w:type="pct"/>
            <w:vMerge w:val="restart"/>
            <w:vAlign w:val="center"/>
          </w:tcPr>
          <w:p w14:paraId="4839EF7E" w14:textId="77777777" w:rsidR="00B14D53" w:rsidRDefault="00000000">
            <w:pPr>
              <w:jc w:val="center"/>
              <w:rPr>
                <w:rFonts w:eastAsiaTheme="minorEastAsia"/>
                <w:b/>
                <w:bCs/>
                <w:szCs w:val="21"/>
              </w:rPr>
            </w:pPr>
            <w:r>
              <w:rPr>
                <w:rFonts w:eastAsiaTheme="minorEastAsia"/>
                <w:b/>
                <w:bCs/>
                <w:szCs w:val="21"/>
              </w:rPr>
              <w:t>年排放小时数（</w:t>
            </w:r>
            <w:r>
              <w:rPr>
                <w:rFonts w:eastAsiaTheme="minorEastAsia"/>
                <w:b/>
                <w:bCs/>
                <w:szCs w:val="21"/>
              </w:rPr>
              <w:t>h</w:t>
            </w:r>
            <w:r>
              <w:rPr>
                <w:rFonts w:eastAsiaTheme="minorEastAsia"/>
                <w:b/>
                <w:bCs/>
                <w:szCs w:val="21"/>
              </w:rPr>
              <w:t>）</w:t>
            </w:r>
          </w:p>
        </w:tc>
        <w:tc>
          <w:tcPr>
            <w:tcW w:w="228" w:type="pct"/>
            <w:vMerge w:val="restart"/>
            <w:vAlign w:val="center"/>
          </w:tcPr>
          <w:p w14:paraId="71A58F22" w14:textId="77777777" w:rsidR="00B14D53" w:rsidRDefault="00000000">
            <w:pPr>
              <w:jc w:val="center"/>
              <w:rPr>
                <w:rFonts w:eastAsiaTheme="minorEastAsia"/>
                <w:b/>
                <w:bCs/>
                <w:szCs w:val="21"/>
              </w:rPr>
            </w:pPr>
            <w:r>
              <w:rPr>
                <w:rFonts w:eastAsiaTheme="minorEastAsia"/>
                <w:b/>
                <w:bCs/>
                <w:szCs w:val="21"/>
              </w:rPr>
              <w:t>排放工况</w:t>
            </w:r>
          </w:p>
        </w:tc>
        <w:tc>
          <w:tcPr>
            <w:tcW w:w="762" w:type="pct"/>
            <w:gridSpan w:val="2"/>
            <w:vAlign w:val="center"/>
          </w:tcPr>
          <w:p w14:paraId="77710DCC" w14:textId="77777777" w:rsidR="00B14D53" w:rsidRDefault="00000000">
            <w:pPr>
              <w:jc w:val="center"/>
              <w:rPr>
                <w:rFonts w:eastAsiaTheme="minorEastAsia"/>
                <w:b/>
                <w:bCs/>
                <w:szCs w:val="21"/>
              </w:rPr>
            </w:pPr>
            <w:r>
              <w:rPr>
                <w:rFonts w:eastAsiaTheme="minorEastAsia"/>
                <w:b/>
                <w:bCs/>
                <w:szCs w:val="21"/>
              </w:rPr>
              <w:t>污染物排放速率（</w:t>
            </w:r>
            <w:r>
              <w:rPr>
                <w:rFonts w:eastAsiaTheme="minorEastAsia"/>
                <w:b/>
                <w:bCs/>
                <w:szCs w:val="21"/>
              </w:rPr>
              <w:t>kg/h</w:t>
            </w:r>
            <w:r>
              <w:rPr>
                <w:rFonts w:eastAsiaTheme="minorEastAsia"/>
                <w:b/>
                <w:bCs/>
                <w:szCs w:val="21"/>
              </w:rPr>
              <w:t>）</w:t>
            </w:r>
          </w:p>
        </w:tc>
      </w:tr>
      <w:tr w:rsidR="00B14D53" w14:paraId="315A679E" w14:textId="77777777">
        <w:trPr>
          <w:trHeight w:val="27"/>
          <w:jc w:val="center"/>
        </w:trPr>
        <w:tc>
          <w:tcPr>
            <w:tcW w:w="228" w:type="pct"/>
            <w:vMerge/>
            <w:vAlign w:val="center"/>
          </w:tcPr>
          <w:p w14:paraId="6453BE08" w14:textId="77777777" w:rsidR="00B14D53" w:rsidRDefault="00B14D53">
            <w:pPr>
              <w:jc w:val="center"/>
              <w:rPr>
                <w:rFonts w:eastAsiaTheme="minorEastAsia"/>
                <w:szCs w:val="21"/>
              </w:rPr>
            </w:pPr>
          </w:p>
        </w:tc>
        <w:tc>
          <w:tcPr>
            <w:tcW w:w="471" w:type="pct"/>
            <w:vMerge/>
            <w:vAlign w:val="center"/>
          </w:tcPr>
          <w:p w14:paraId="7BAE1537" w14:textId="77777777" w:rsidR="00B14D53" w:rsidRDefault="00B14D53">
            <w:pPr>
              <w:jc w:val="center"/>
              <w:rPr>
                <w:rFonts w:eastAsiaTheme="minorEastAsia"/>
                <w:szCs w:val="21"/>
              </w:rPr>
            </w:pPr>
          </w:p>
        </w:tc>
        <w:tc>
          <w:tcPr>
            <w:tcW w:w="461" w:type="pct"/>
            <w:vAlign w:val="center"/>
          </w:tcPr>
          <w:p w14:paraId="6070D6CA" w14:textId="77777777" w:rsidR="00B14D53" w:rsidRDefault="00000000">
            <w:pPr>
              <w:jc w:val="center"/>
              <w:rPr>
                <w:rFonts w:eastAsiaTheme="minorEastAsia"/>
                <w:b/>
                <w:bCs/>
                <w:szCs w:val="21"/>
              </w:rPr>
            </w:pPr>
            <w:r>
              <w:rPr>
                <w:rFonts w:eastAsiaTheme="minorEastAsia"/>
                <w:b/>
                <w:bCs/>
                <w:szCs w:val="21"/>
              </w:rPr>
              <w:t>经度</w:t>
            </w:r>
          </w:p>
        </w:tc>
        <w:tc>
          <w:tcPr>
            <w:tcW w:w="462" w:type="pct"/>
            <w:vAlign w:val="center"/>
          </w:tcPr>
          <w:p w14:paraId="63ECEE4E" w14:textId="77777777" w:rsidR="00B14D53" w:rsidRDefault="00000000">
            <w:pPr>
              <w:jc w:val="center"/>
              <w:rPr>
                <w:rFonts w:eastAsiaTheme="minorEastAsia"/>
                <w:b/>
                <w:bCs/>
                <w:szCs w:val="21"/>
              </w:rPr>
            </w:pPr>
            <w:r>
              <w:rPr>
                <w:rFonts w:eastAsiaTheme="minorEastAsia"/>
                <w:b/>
                <w:bCs/>
                <w:szCs w:val="21"/>
              </w:rPr>
              <w:t>纬度</w:t>
            </w:r>
          </w:p>
        </w:tc>
        <w:tc>
          <w:tcPr>
            <w:tcW w:w="408" w:type="pct"/>
            <w:vMerge/>
            <w:vAlign w:val="center"/>
          </w:tcPr>
          <w:p w14:paraId="137F07E5" w14:textId="77777777" w:rsidR="00B14D53" w:rsidRDefault="00B14D53">
            <w:pPr>
              <w:jc w:val="center"/>
              <w:rPr>
                <w:rFonts w:eastAsiaTheme="minorEastAsia"/>
                <w:b/>
                <w:bCs/>
                <w:szCs w:val="21"/>
              </w:rPr>
            </w:pPr>
          </w:p>
        </w:tc>
        <w:tc>
          <w:tcPr>
            <w:tcW w:w="408" w:type="pct"/>
            <w:vMerge/>
            <w:vAlign w:val="center"/>
          </w:tcPr>
          <w:p w14:paraId="0B5EA2B4" w14:textId="77777777" w:rsidR="00B14D53" w:rsidRDefault="00B14D53">
            <w:pPr>
              <w:jc w:val="center"/>
              <w:rPr>
                <w:rFonts w:eastAsiaTheme="minorEastAsia"/>
                <w:b/>
                <w:bCs/>
                <w:szCs w:val="21"/>
              </w:rPr>
            </w:pPr>
          </w:p>
        </w:tc>
        <w:tc>
          <w:tcPr>
            <w:tcW w:w="408" w:type="pct"/>
            <w:vMerge/>
            <w:vAlign w:val="center"/>
          </w:tcPr>
          <w:p w14:paraId="489483F2" w14:textId="77777777" w:rsidR="00B14D53" w:rsidRDefault="00B14D53">
            <w:pPr>
              <w:jc w:val="center"/>
              <w:rPr>
                <w:rFonts w:eastAsiaTheme="minorEastAsia"/>
                <w:b/>
                <w:bCs/>
                <w:szCs w:val="21"/>
              </w:rPr>
            </w:pPr>
          </w:p>
        </w:tc>
        <w:tc>
          <w:tcPr>
            <w:tcW w:w="370" w:type="pct"/>
            <w:vMerge/>
            <w:vAlign w:val="center"/>
          </w:tcPr>
          <w:p w14:paraId="0496A95E" w14:textId="77777777" w:rsidR="00B14D53" w:rsidRDefault="00B14D53">
            <w:pPr>
              <w:jc w:val="center"/>
              <w:rPr>
                <w:rFonts w:eastAsiaTheme="minorEastAsia"/>
                <w:b/>
                <w:bCs/>
                <w:szCs w:val="21"/>
              </w:rPr>
            </w:pPr>
          </w:p>
        </w:tc>
        <w:tc>
          <w:tcPr>
            <w:tcW w:w="408" w:type="pct"/>
            <w:vMerge/>
            <w:vAlign w:val="center"/>
          </w:tcPr>
          <w:p w14:paraId="22EC3572" w14:textId="77777777" w:rsidR="00B14D53" w:rsidRDefault="00B14D53">
            <w:pPr>
              <w:jc w:val="center"/>
              <w:rPr>
                <w:rFonts w:eastAsiaTheme="minorEastAsia"/>
                <w:b/>
                <w:bCs/>
                <w:szCs w:val="21"/>
              </w:rPr>
            </w:pPr>
          </w:p>
        </w:tc>
        <w:tc>
          <w:tcPr>
            <w:tcW w:w="380" w:type="pct"/>
            <w:vMerge/>
            <w:vAlign w:val="center"/>
          </w:tcPr>
          <w:p w14:paraId="5ACB1607" w14:textId="77777777" w:rsidR="00B14D53" w:rsidRDefault="00B14D53">
            <w:pPr>
              <w:jc w:val="center"/>
              <w:rPr>
                <w:rFonts w:eastAsiaTheme="minorEastAsia"/>
                <w:b/>
                <w:bCs/>
                <w:szCs w:val="21"/>
              </w:rPr>
            </w:pPr>
          </w:p>
        </w:tc>
        <w:tc>
          <w:tcPr>
            <w:tcW w:w="228" w:type="pct"/>
            <w:vMerge/>
            <w:vAlign w:val="center"/>
          </w:tcPr>
          <w:p w14:paraId="3C18EC8D" w14:textId="77777777" w:rsidR="00B14D53" w:rsidRDefault="00B14D53">
            <w:pPr>
              <w:jc w:val="center"/>
              <w:rPr>
                <w:rFonts w:eastAsiaTheme="minorEastAsia"/>
                <w:b/>
                <w:bCs/>
                <w:szCs w:val="21"/>
              </w:rPr>
            </w:pPr>
          </w:p>
        </w:tc>
        <w:tc>
          <w:tcPr>
            <w:tcW w:w="355" w:type="pct"/>
            <w:vAlign w:val="center"/>
          </w:tcPr>
          <w:p w14:paraId="2337A72E" w14:textId="77777777" w:rsidR="00B14D53" w:rsidRDefault="00000000">
            <w:pPr>
              <w:jc w:val="center"/>
              <w:rPr>
                <w:rFonts w:eastAsiaTheme="minorEastAsia"/>
                <w:b/>
                <w:bCs/>
                <w:szCs w:val="21"/>
              </w:rPr>
            </w:pPr>
            <w:r>
              <w:rPr>
                <w:rFonts w:eastAsiaTheme="minorEastAsia"/>
                <w:b/>
                <w:bCs/>
                <w:szCs w:val="21"/>
              </w:rPr>
              <w:t>NH</w:t>
            </w:r>
            <w:r>
              <w:rPr>
                <w:rFonts w:eastAsiaTheme="minorEastAsia"/>
                <w:b/>
                <w:bCs/>
                <w:szCs w:val="21"/>
                <w:vertAlign w:val="subscript"/>
              </w:rPr>
              <w:t>3</w:t>
            </w:r>
          </w:p>
        </w:tc>
        <w:tc>
          <w:tcPr>
            <w:tcW w:w="407" w:type="pct"/>
            <w:vAlign w:val="center"/>
          </w:tcPr>
          <w:p w14:paraId="29154DE7" w14:textId="77777777" w:rsidR="00B14D53" w:rsidRDefault="00000000">
            <w:pPr>
              <w:jc w:val="center"/>
              <w:rPr>
                <w:rFonts w:eastAsiaTheme="minorEastAsia"/>
                <w:b/>
                <w:bCs/>
                <w:szCs w:val="21"/>
              </w:rPr>
            </w:pPr>
            <w:r>
              <w:rPr>
                <w:rFonts w:eastAsiaTheme="minorEastAsia"/>
                <w:b/>
                <w:bCs/>
                <w:szCs w:val="21"/>
              </w:rPr>
              <w:t>H</w:t>
            </w:r>
            <w:r>
              <w:rPr>
                <w:rFonts w:eastAsiaTheme="minorEastAsia"/>
                <w:b/>
                <w:bCs/>
                <w:szCs w:val="21"/>
                <w:vertAlign w:val="subscript"/>
              </w:rPr>
              <w:t>2</w:t>
            </w:r>
            <w:r>
              <w:rPr>
                <w:rFonts w:eastAsiaTheme="minorEastAsia"/>
                <w:b/>
                <w:bCs/>
                <w:szCs w:val="21"/>
              </w:rPr>
              <w:t>S</w:t>
            </w:r>
          </w:p>
        </w:tc>
      </w:tr>
      <w:tr w:rsidR="00B14D53" w14:paraId="60B55F1B" w14:textId="77777777">
        <w:trPr>
          <w:trHeight w:val="27"/>
          <w:jc w:val="center"/>
        </w:trPr>
        <w:tc>
          <w:tcPr>
            <w:tcW w:w="228" w:type="pct"/>
            <w:vAlign w:val="center"/>
          </w:tcPr>
          <w:p w14:paraId="7445E3EC" w14:textId="77777777" w:rsidR="00B14D53" w:rsidRDefault="00000000">
            <w:pPr>
              <w:jc w:val="center"/>
              <w:rPr>
                <w:rFonts w:eastAsiaTheme="minorEastAsia"/>
                <w:szCs w:val="21"/>
              </w:rPr>
            </w:pPr>
            <w:r>
              <w:rPr>
                <w:rFonts w:eastAsiaTheme="minorEastAsia"/>
                <w:szCs w:val="21"/>
              </w:rPr>
              <w:t>1</w:t>
            </w:r>
          </w:p>
        </w:tc>
        <w:tc>
          <w:tcPr>
            <w:tcW w:w="471" w:type="pct"/>
            <w:vAlign w:val="center"/>
          </w:tcPr>
          <w:p w14:paraId="3845D889" w14:textId="77777777" w:rsidR="00B14D53" w:rsidRDefault="00000000">
            <w:pPr>
              <w:jc w:val="center"/>
              <w:rPr>
                <w:szCs w:val="21"/>
              </w:rPr>
            </w:pPr>
            <w:r>
              <w:rPr>
                <w:szCs w:val="21"/>
              </w:rPr>
              <w:t>1#</w:t>
            </w:r>
            <w:r>
              <w:rPr>
                <w:szCs w:val="21"/>
              </w:rPr>
              <w:t>待宰圈</w:t>
            </w:r>
          </w:p>
        </w:tc>
        <w:tc>
          <w:tcPr>
            <w:tcW w:w="461" w:type="pct"/>
            <w:vAlign w:val="center"/>
          </w:tcPr>
          <w:p w14:paraId="6A90C6B9" w14:textId="77777777" w:rsidR="00B14D53" w:rsidRDefault="00000000">
            <w:pPr>
              <w:jc w:val="center"/>
              <w:rPr>
                <w:rFonts w:eastAsiaTheme="minorEastAsia"/>
                <w:szCs w:val="21"/>
              </w:rPr>
            </w:pPr>
            <w:r>
              <w:rPr>
                <w:rFonts w:eastAsiaTheme="minorEastAsia"/>
                <w:szCs w:val="21"/>
              </w:rPr>
              <w:t>127.218683</w:t>
            </w:r>
          </w:p>
        </w:tc>
        <w:tc>
          <w:tcPr>
            <w:tcW w:w="462" w:type="pct"/>
            <w:vAlign w:val="center"/>
          </w:tcPr>
          <w:p w14:paraId="4F24A7EF" w14:textId="77777777" w:rsidR="00B14D53" w:rsidRDefault="00000000">
            <w:pPr>
              <w:jc w:val="center"/>
              <w:rPr>
                <w:rFonts w:eastAsiaTheme="minorEastAsia"/>
                <w:szCs w:val="21"/>
              </w:rPr>
            </w:pPr>
            <w:r>
              <w:rPr>
                <w:rFonts w:eastAsiaTheme="minorEastAsia"/>
                <w:szCs w:val="21"/>
              </w:rPr>
              <w:t>44.698536</w:t>
            </w:r>
          </w:p>
        </w:tc>
        <w:tc>
          <w:tcPr>
            <w:tcW w:w="408" w:type="pct"/>
            <w:vAlign w:val="center"/>
          </w:tcPr>
          <w:p w14:paraId="4C4B57E9" w14:textId="77777777" w:rsidR="00B14D53" w:rsidRDefault="00000000">
            <w:pPr>
              <w:jc w:val="center"/>
              <w:rPr>
                <w:rFonts w:eastAsiaTheme="minorEastAsia"/>
                <w:szCs w:val="21"/>
              </w:rPr>
            </w:pPr>
            <w:r>
              <w:rPr>
                <w:rFonts w:eastAsiaTheme="minorEastAsia"/>
                <w:szCs w:val="21"/>
              </w:rPr>
              <w:t>200</w:t>
            </w:r>
          </w:p>
        </w:tc>
        <w:tc>
          <w:tcPr>
            <w:tcW w:w="408" w:type="pct"/>
            <w:vAlign w:val="center"/>
          </w:tcPr>
          <w:p w14:paraId="0178688E" w14:textId="77777777" w:rsidR="00B14D53" w:rsidRDefault="00000000">
            <w:pPr>
              <w:jc w:val="center"/>
              <w:rPr>
                <w:rFonts w:eastAsiaTheme="minorEastAsia"/>
                <w:szCs w:val="21"/>
              </w:rPr>
            </w:pPr>
            <w:r>
              <w:rPr>
                <w:rFonts w:eastAsiaTheme="minorEastAsia"/>
                <w:szCs w:val="21"/>
              </w:rPr>
              <w:t>21.83</w:t>
            </w:r>
          </w:p>
        </w:tc>
        <w:tc>
          <w:tcPr>
            <w:tcW w:w="408" w:type="pct"/>
            <w:vAlign w:val="center"/>
          </w:tcPr>
          <w:p w14:paraId="034FBA13" w14:textId="77777777" w:rsidR="00B14D53" w:rsidRDefault="00000000">
            <w:pPr>
              <w:jc w:val="center"/>
              <w:rPr>
                <w:rFonts w:eastAsiaTheme="minorEastAsia"/>
                <w:szCs w:val="21"/>
              </w:rPr>
            </w:pPr>
            <w:r>
              <w:rPr>
                <w:rFonts w:eastAsiaTheme="minorEastAsia"/>
                <w:szCs w:val="21"/>
              </w:rPr>
              <w:t>13.12</w:t>
            </w:r>
          </w:p>
        </w:tc>
        <w:tc>
          <w:tcPr>
            <w:tcW w:w="370" w:type="pct"/>
            <w:vAlign w:val="center"/>
          </w:tcPr>
          <w:p w14:paraId="24A21E02" w14:textId="77777777" w:rsidR="00B14D53" w:rsidRDefault="00000000">
            <w:pPr>
              <w:jc w:val="center"/>
              <w:rPr>
                <w:rFonts w:eastAsiaTheme="minorEastAsia"/>
                <w:szCs w:val="21"/>
              </w:rPr>
            </w:pPr>
            <w:r>
              <w:rPr>
                <w:rFonts w:eastAsiaTheme="minorEastAsia"/>
                <w:szCs w:val="21"/>
              </w:rPr>
              <w:t>29.05</w:t>
            </w:r>
          </w:p>
        </w:tc>
        <w:tc>
          <w:tcPr>
            <w:tcW w:w="408" w:type="pct"/>
            <w:vAlign w:val="center"/>
          </w:tcPr>
          <w:p w14:paraId="7A65ED0D" w14:textId="77777777" w:rsidR="00B14D53" w:rsidRDefault="00000000">
            <w:pPr>
              <w:jc w:val="center"/>
              <w:rPr>
                <w:rFonts w:eastAsiaTheme="minorEastAsia"/>
                <w:szCs w:val="21"/>
              </w:rPr>
            </w:pPr>
            <w:r>
              <w:rPr>
                <w:rFonts w:eastAsiaTheme="minorEastAsia"/>
                <w:szCs w:val="21"/>
              </w:rPr>
              <w:t>0.5</w:t>
            </w:r>
          </w:p>
        </w:tc>
        <w:tc>
          <w:tcPr>
            <w:tcW w:w="380" w:type="pct"/>
            <w:vAlign w:val="center"/>
          </w:tcPr>
          <w:p w14:paraId="334417BA" w14:textId="77777777" w:rsidR="00B14D53" w:rsidRDefault="00000000">
            <w:pPr>
              <w:jc w:val="center"/>
              <w:rPr>
                <w:rFonts w:eastAsiaTheme="minorEastAsia"/>
                <w:szCs w:val="21"/>
              </w:rPr>
            </w:pPr>
            <w:r>
              <w:rPr>
                <w:rFonts w:eastAsiaTheme="minorEastAsia"/>
                <w:szCs w:val="21"/>
              </w:rPr>
              <w:t>8160</w:t>
            </w:r>
          </w:p>
        </w:tc>
        <w:tc>
          <w:tcPr>
            <w:tcW w:w="228" w:type="pct"/>
            <w:vMerge w:val="restart"/>
            <w:vAlign w:val="center"/>
          </w:tcPr>
          <w:p w14:paraId="564F1083" w14:textId="77777777" w:rsidR="00B14D53" w:rsidRDefault="00000000">
            <w:pPr>
              <w:jc w:val="center"/>
              <w:rPr>
                <w:rFonts w:eastAsiaTheme="minorEastAsia"/>
                <w:szCs w:val="21"/>
              </w:rPr>
            </w:pPr>
            <w:r>
              <w:rPr>
                <w:rFonts w:eastAsiaTheme="minorEastAsia"/>
                <w:szCs w:val="21"/>
              </w:rPr>
              <w:t>正常排放</w:t>
            </w:r>
          </w:p>
        </w:tc>
        <w:tc>
          <w:tcPr>
            <w:tcW w:w="355" w:type="pct"/>
            <w:vAlign w:val="center"/>
          </w:tcPr>
          <w:p w14:paraId="3239588B" w14:textId="77777777" w:rsidR="00B14D53" w:rsidRDefault="00000000">
            <w:pPr>
              <w:jc w:val="center"/>
              <w:rPr>
                <w:rFonts w:eastAsiaTheme="minorEastAsia"/>
                <w:szCs w:val="21"/>
              </w:rPr>
            </w:pPr>
            <w:r>
              <w:rPr>
                <w:szCs w:val="21"/>
              </w:rPr>
              <w:t>0.002</w:t>
            </w:r>
          </w:p>
        </w:tc>
        <w:tc>
          <w:tcPr>
            <w:tcW w:w="407" w:type="pct"/>
            <w:vAlign w:val="center"/>
          </w:tcPr>
          <w:p w14:paraId="5D069600" w14:textId="77777777" w:rsidR="00B14D53" w:rsidRDefault="00000000">
            <w:pPr>
              <w:jc w:val="center"/>
              <w:rPr>
                <w:rFonts w:eastAsiaTheme="minorEastAsia"/>
                <w:szCs w:val="21"/>
              </w:rPr>
            </w:pPr>
            <w:r>
              <w:rPr>
                <w:szCs w:val="21"/>
              </w:rPr>
              <w:t>0.0001</w:t>
            </w:r>
          </w:p>
        </w:tc>
      </w:tr>
      <w:tr w:rsidR="00B14D53" w14:paraId="5E102495" w14:textId="77777777">
        <w:trPr>
          <w:trHeight w:val="27"/>
          <w:jc w:val="center"/>
        </w:trPr>
        <w:tc>
          <w:tcPr>
            <w:tcW w:w="228" w:type="pct"/>
            <w:vAlign w:val="center"/>
          </w:tcPr>
          <w:p w14:paraId="290E783C" w14:textId="77777777" w:rsidR="00B14D53" w:rsidRDefault="00000000">
            <w:pPr>
              <w:jc w:val="center"/>
              <w:rPr>
                <w:rFonts w:eastAsiaTheme="minorEastAsia"/>
                <w:szCs w:val="21"/>
              </w:rPr>
            </w:pPr>
            <w:r>
              <w:rPr>
                <w:rFonts w:eastAsiaTheme="minorEastAsia"/>
                <w:szCs w:val="21"/>
              </w:rPr>
              <w:t>2</w:t>
            </w:r>
          </w:p>
        </w:tc>
        <w:tc>
          <w:tcPr>
            <w:tcW w:w="471" w:type="pct"/>
            <w:vAlign w:val="center"/>
          </w:tcPr>
          <w:p w14:paraId="2B275F14" w14:textId="77777777" w:rsidR="00B14D53" w:rsidRDefault="00000000">
            <w:pPr>
              <w:jc w:val="center"/>
              <w:rPr>
                <w:szCs w:val="21"/>
              </w:rPr>
            </w:pPr>
            <w:r>
              <w:rPr>
                <w:szCs w:val="21"/>
              </w:rPr>
              <w:t>2#</w:t>
            </w:r>
            <w:r>
              <w:rPr>
                <w:szCs w:val="21"/>
              </w:rPr>
              <w:t>待宰圈</w:t>
            </w:r>
          </w:p>
        </w:tc>
        <w:tc>
          <w:tcPr>
            <w:tcW w:w="461" w:type="pct"/>
            <w:vAlign w:val="center"/>
          </w:tcPr>
          <w:p w14:paraId="20774E78" w14:textId="77777777" w:rsidR="00B14D53" w:rsidRDefault="00000000">
            <w:pPr>
              <w:jc w:val="center"/>
              <w:rPr>
                <w:rFonts w:eastAsiaTheme="minorEastAsia"/>
                <w:szCs w:val="21"/>
              </w:rPr>
            </w:pPr>
            <w:r>
              <w:rPr>
                <w:rFonts w:eastAsiaTheme="minorEastAsia"/>
                <w:szCs w:val="21"/>
              </w:rPr>
              <w:t>127.219233</w:t>
            </w:r>
          </w:p>
        </w:tc>
        <w:tc>
          <w:tcPr>
            <w:tcW w:w="462" w:type="pct"/>
            <w:vAlign w:val="center"/>
          </w:tcPr>
          <w:p w14:paraId="1C0A2105" w14:textId="77777777" w:rsidR="00B14D53" w:rsidRDefault="00000000">
            <w:pPr>
              <w:jc w:val="center"/>
              <w:rPr>
                <w:rFonts w:eastAsiaTheme="minorEastAsia"/>
                <w:szCs w:val="21"/>
              </w:rPr>
            </w:pPr>
            <w:r>
              <w:rPr>
                <w:rFonts w:eastAsiaTheme="minorEastAsia"/>
                <w:szCs w:val="21"/>
              </w:rPr>
              <w:t>44.698592</w:t>
            </w:r>
          </w:p>
        </w:tc>
        <w:tc>
          <w:tcPr>
            <w:tcW w:w="408" w:type="pct"/>
            <w:vAlign w:val="center"/>
          </w:tcPr>
          <w:p w14:paraId="4BA184F9" w14:textId="77777777" w:rsidR="00B14D53" w:rsidRDefault="00000000">
            <w:pPr>
              <w:jc w:val="center"/>
              <w:rPr>
                <w:rFonts w:eastAsiaTheme="minorEastAsia"/>
                <w:szCs w:val="21"/>
              </w:rPr>
            </w:pPr>
            <w:r>
              <w:rPr>
                <w:rFonts w:eastAsiaTheme="minorEastAsia"/>
                <w:szCs w:val="21"/>
              </w:rPr>
              <w:t>201</w:t>
            </w:r>
          </w:p>
        </w:tc>
        <w:tc>
          <w:tcPr>
            <w:tcW w:w="408" w:type="pct"/>
            <w:vAlign w:val="center"/>
          </w:tcPr>
          <w:p w14:paraId="0E771B3A" w14:textId="77777777" w:rsidR="00B14D53" w:rsidRDefault="00000000">
            <w:pPr>
              <w:jc w:val="center"/>
              <w:rPr>
                <w:rFonts w:eastAsiaTheme="minorEastAsia"/>
                <w:szCs w:val="21"/>
              </w:rPr>
            </w:pPr>
            <w:r>
              <w:rPr>
                <w:rFonts w:eastAsiaTheme="minorEastAsia"/>
                <w:szCs w:val="21"/>
              </w:rPr>
              <w:t>10.00</w:t>
            </w:r>
          </w:p>
        </w:tc>
        <w:tc>
          <w:tcPr>
            <w:tcW w:w="408" w:type="pct"/>
            <w:vAlign w:val="center"/>
          </w:tcPr>
          <w:p w14:paraId="0A5C4096" w14:textId="77777777" w:rsidR="00B14D53" w:rsidRDefault="00000000">
            <w:pPr>
              <w:jc w:val="center"/>
              <w:rPr>
                <w:rFonts w:eastAsiaTheme="minorEastAsia"/>
                <w:szCs w:val="21"/>
              </w:rPr>
            </w:pPr>
            <w:r>
              <w:rPr>
                <w:rFonts w:eastAsiaTheme="minorEastAsia"/>
                <w:szCs w:val="21"/>
              </w:rPr>
              <w:t>60</w:t>
            </w:r>
          </w:p>
        </w:tc>
        <w:tc>
          <w:tcPr>
            <w:tcW w:w="370" w:type="pct"/>
            <w:vAlign w:val="center"/>
          </w:tcPr>
          <w:p w14:paraId="10267D08" w14:textId="77777777" w:rsidR="00B14D53" w:rsidRDefault="00000000">
            <w:pPr>
              <w:jc w:val="center"/>
              <w:rPr>
                <w:rFonts w:eastAsiaTheme="minorEastAsia"/>
                <w:szCs w:val="21"/>
              </w:rPr>
            </w:pPr>
            <w:r>
              <w:rPr>
                <w:rFonts w:eastAsiaTheme="minorEastAsia"/>
                <w:szCs w:val="21"/>
              </w:rPr>
              <w:t>88.2</w:t>
            </w:r>
          </w:p>
        </w:tc>
        <w:tc>
          <w:tcPr>
            <w:tcW w:w="408" w:type="pct"/>
            <w:vAlign w:val="center"/>
          </w:tcPr>
          <w:p w14:paraId="2F975AC6" w14:textId="77777777" w:rsidR="00B14D53" w:rsidRDefault="00000000">
            <w:pPr>
              <w:jc w:val="center"/>
              <w:rPr>
                <w:rFonts w:eastAsiaTheme="minorEastAsia"/>
                <w:szCs w:val="21"/>
              </w:rPr>
            </w:pPr>
            <w:r>
              <w:rPr>
                <w:rFonts w:eastAsiaTheme="minorEastAsia"/>
                <w:szCs w:val="21"/>
              </w:rPr>
              <w:t>0.5</w:t>
            </w:r>
          </w:p>
        </w:tc>
        <w:tc>
          <w:tcPr>
            <w:tcW w:w="380" w:type="pct"/>
            <w:vAlign w:val="center"/>
          </w:tcPr>
          <w:p w14:paraId="5C82209D" w14:textId="77777777" w:rsidR="00B14D53" w:rsidRDefault="00000000">
            <w:pPr>
              <w:jc w:val="center"/>
              <w:rPr>
                <w:rFonts w:eastAsiaTheme="minorEastAsia"/>
                <w:szCs w:val="21"/>
              </w:rPr>
            </w:pPr>
            <w:r>
              <w:rPr>
                <w:rFonts w:eastAsiaTheme="minorEastAsia"/>
                <w:szCs w:val="21"/>
              </w:rPr>
              <w:t>8160</w:t>
            </w:r>
          </w:p>
        </w:tc>
        <w:tc>
          <w:tcPr>
            <w:tcW w:w="228" w:type="pct"/>
            <w:vMerge/>
            <w:vAlign w:val="center"/>
          </w:tcPr>
          <w:p w14:paraId="072A1A34" w14:textId="77777777" w:rsidR="00B14D53" w:rsidRDefault="00B14D53">
            <w:pPr>
              <w:jc w:val="center"/>
              <w:rPr>
                <w:rFonts w:eastAsiaTheme="minorEastAsia"/>
                <w:szCs w:val="21"/>
              </w:rPr>
            </w:pPr>
          </w:p>
        </w:tc>
        <w:tc>
          <w:tcPr>
            <w:tcW w:w="355" w:type="pct"/>
            <w:vAlign w:val="center"/>
          </w:tcPr>
          <w:p w14:paraId="753BF755" w14:textId="77777777" w:rsidR="00B14D53" w:rsidRDefault="00000000">
            <w:pPr>
              <w:jc w:val="center"/>
              <w:rPr>
                <w:rFonts w:eastAsiaTheme="minorEastAsia"/>
                <w:szCs w:val="21"/>
              </w:rPr>
            </w:pPr>
            <w:r>
              <w:rPr>
                <w:szCs w:val="21"/>
              </w:rPr>
              <w:t>0.004</w:t>
            </w:r>
          </w:p>
        </w:tc>
        <w:tc>
          <w:tcPr>
            <w:tcW w:w="407" w:type="pct"/>
            <w:vAlign w:val="center"/>
          </w:tcPr>
          <w:p w14:paraId="188C6BCC" w14:textId="77777777" w:rsidR="00B14D53" w:rsidRDefault="00000000">
            <w:pPr>
              <w:jc w:val="center"/>
              <w:rPr>
                <w:rFonts w:eastAsiaTheme="minorEastAsia"/>
                <w:szCs w:val="21"/>
              </w:rPr>
            </w:pPr>
            <w:r>
              <w:rPr>
                <w:szCs w:val="21"/>
              </w:rPr>
              <w:t>0.0002</w:t>
            </w:r>
          </w:p>
        </w:tc>
      </w:tr>
      <w:tr w:rsidR="00B14D53" w14:paraId="24B87293" w14:textId="77777777">
        <w:trPr>
          <w:trHeight w:val="27"/>
          <w:jc w:val="center"/>
        </w:trPr>
        <w:tc>
          <w:tcPr>
            <w:tcW w:w="228" w:type="pct"/>
            <w:vAlign w:val="center"/>
          </w:tcPr>
          <w:p w14:paraId="2C58602A" w14:textId="77777777" w:rsidR="00B14D53" w:rsidRDefault="00000000">
            <w:pPr>
              <w:jc w:val="center"/>
              <w:rPr>
                <w:rFonts w:eastAsiaTheme="minorEastAsia"/>
                <w:szCs w:val="21"/>
              </w:rPr>
            </w:pPr>
            <w:r>
              <w:rPr>
                <w:rFonts w:eastAsiaTheme="minorEastAsia"/>
                <w:szCs w:val="21"/>
              </w:rPr>
              <w:t>3</w:t>
            </w:r>
          </w:p>
        </w:tc>
        <w:tc>
          <w:tcPr>
            <w:tcW w:w="471" w:type="pct"/>
            <w:vAlign w:val="center"/>
          </w:tcPr>
          <w:p w14:paraId="556E04A5" w14:textId="77777777" w:rsidR="00B14D53" w:rsidRDefault="00000000">
            <w:pPr>
              <w:jc w:val="center"/>
              <w:rPr>
                <w:szCs w:val="21"/>
              </w:rPr>
            </w:pPr>
            <w:r>
              <w:rPr>
                <w:szCs w:val="21"/>
              </w:rPr>
              <w:t>屠宰车间</w:t>
            </w:r>
          </w:p>
        </w:tc>
        <w:tc>
          <w:tcPr>
            <w:tcW w:w="461" w:type="pct"/>
            <w:vAlign w:val="center"/>
          </w:tcPr>
          <w:p w14:paraId="78B52287" w14:textId="77777777" w:rsidR="00B14D53" w:rsidRDefault="00000000">
            <w:pPr>
              <w:jc w:val="center"/>
              <w:rPr>
                <w:rFonts w:eastAsiaTheme="minorEastAsia"/>
                <w:szCs w:val="21"/>
              </w:rPr>
            </w:pPr>
            <w:r>
              <w:rPr>
                <w:rFonts w:eastAsiaTheme="minorEastAsia"/>
                <w:szCs w:val="21"/>
              </w:rPr>
              <w:t>127.218643</w:t>
            </w:r>
          </w:p>
        </w:tc>
        <w:tc>
          <w:tcPr>
            <w:tcW w:w="462" w:type="pct"/>
            <w:vAlign w:val="center"/>
          </w:tcPr>
          <w:p w14:paraId="57FA8728" w14:textId="77777777" w:rsidR="00B14D53" w:rsidRDefault="00000000">
            <w:pPr>
              <w:jc w:val="center"/>
              <w:rPr>
                <w:rFonts w:eastAsiaTheme="minorEastAsia"/>
                <w:szCs w:val="21"/>
              </w:rPr>
            </w:pPr>
            <w:r>
              <w:rPr>
                <w:rFonts w:eastAsiaTheme="minorEastAsia"/>
                <w:szCs w:val="21"/>
              </w:rPr>
              <w:t>44.698302</w:t>
            </w:r>
          </w:p>
        </w:tc>
        <w:tc>
          <w:tcPr>
            <w:tcW w:w="408" w:type="pct"/>
            <w:vAlign w:val="center"/>
          </w:tcPr>
          <w:p w14:paraId="411FFBF2" w14:textId="77777777" w:rsidR="00B14D53" w:rsidRDefault="00000000">
            <w:pPr>
              <w:jc w:val="center"/>
              <w:rPr>
                <w:rFonts w:eastAsiaTheme="minorEastAsia"/>
                <w:szCs w:val="21"/>
              </w:rPr>
            </w:pPr>
            <w:r>
              <w:rPr>
                <w:rFonts w:eastAsiaTheme="minorEastAsia"/>
                <w:szCs w:val="21"/>
              </w:rPr>
              <w:t>200</w:t>
            </w:r>
          </w:p>
        </w:tc>
        <w:tc>
          <w:tcPr>
            <w:tcW w:w="408" w:type="pct"/>
            <w:vAlign w:val="center"/>
          </w:tcPr>
          <w:p w14:paraId="03115AC5" w14:textId="77777777" w:rsidR="00B14D53" w:rsidRDefault="00000000">
            <w:pPr>
              <w:jc w:val="center"/>
              <w:rPr>
                <w:rFonts w:eastAsiaTheme="minorEastAsia"/>
                <w:szCs w:val="21"/>
              </w:rPr>
            </w:pPr>
            <w:r>
              <w:rPr>
                <w:rFonts w:eastAsiaTheme="minorEastAsia"/>
                <w:szCs w:val="21"/>
              </w:rPr>
              <w:t>15.73</w:t>
            </w:r>
          </w:p>
        </w:tc>
        <w:tc>
          <w:tcPr>
            <w:tcW w:w="408" w:type="pct"/>
            <w:vAlign w:val="center"/>
          </w:tcPr>
          <w:p w14:paraId="4BD3E19A" w14:textId="77777777" w:rsidR="00B14D53" w:rsidRDefault="00000000">
            <w:pPr>
              <w:jc w:val="center"/>
              <w:rPr>
                <w:rFonts w:eastAsiaTheme="minorEastAsia"/>
                <w:szCs w:val="21"/>
              </w:rPr>
            </w:pPr>
            <w:r>
              <w:rPr>
                <w:rFonts w:eastAsiaTheme="minorEastAsia"/>
                <w:szCs w:val="21"/>
              </w:rPr>
              <w:t>34.76</w:t>
            </w:r>
          </w:p>
        </w:tc>
        <w:tc>
          <w:tcPr>
            <w:tcW w:w="370" w:type="pct"/>
            <w:vAlign w:val="center"/>
          </w:tcPr>
          <w:p w14:paraId="1A82A6F8" w14:textId="77777777" w:rsidR="00B14D53" w:rsidRDefault="00000000">
            <w:pPr>
              <w:jc w:val="center"/>
              <w:rPr>
                <w:rFonts w:eastAsiaTheme="minorEastAsia"/>
                <w:szCs w:val="21"/>
              </w:rPr>
            </w:pPr>
            <w:r>
              <w:rPr>
                <w:rFonts w:eastAsiaTheme="minorEastAsia"/>
                <w:szCs w:val="21"/>
              </w:rPr>
              <w:t>87.9</w:t>
            </w:r>
          </w:p>
        </w:tc>
        <w:tc>
          <w:tcPr>
            <w:tcW w:w="408" w:type="pct"/>
            <w:vAlign w:val="center"/>
          </w:tcPr>
          <w:p w14:paraId="214C304B" w14:textId="77777777" w:rsidR="00B14D53" w:rsidRDefault="00000000">
            <w:pPr>
              <w:jc w:val="center"/>
              <w:rPr>
                <w:rFonts w:eastAsiaTheme="minorEastAsia"/>
                <w:szCs w:val="21"/>
              </w:rPr>
            </w:pPr>
            <w:r>
              <w:rPr>
                <w:rFonts w:eastAsiaTheme="minorEastAsia"/>
                <w:szCs w:val="21"/>
              </w:rPr>
              <w:t>0.5</w:t>
            </w:r>
          </w:p>
        </w:tc>
        <w:tc>
          <w:tcPr>
            <w:tcW w:w="380" w:type="pct"/>
            <w:vAlign w:val="center"/>
          </w:tcPr>
          <w:p w14:paraId="02E56991" w14:textId="77777777" w:rsidR="00B14D53" w:rsidRDefault="00000000">
            <w:pPr>
              <w:jc w:val="center"/>
              <w:rPr>
                <w:rFonts w:eastAsiaTheme="minorEastAsia"/>
                <w:szCs w:val="21"/>
              </w:rPr>
            </w:pPr>
            <w:r>
              <w:rPr>
                <w:rFonts w:eastAsiaTheme="minorEastAsia"/>
                <w:szCs w:val="21"/>
              </w:rPr>
              <w:t>5440</w:t>
            </w:r>
          </w:p>
        </w:tc>
        <w:tc>
          <w:tcPr>
            <w:tcW w:w="228" w:type="pct"/>
            <w:vMerge/>
            <w:vAlign w:val="center"/>
          </w:tcPr>
          <w:p w14:paraId="360F9B9F" w14:textId="77777777" w:rsidR="00B14D53" w:rsidRDefault="00B14D53">
            <w:pPr>
              <w:jc w:val="center"/>
              <w:rPr>
                <w:rFonts w:eastAsiaTheme="minorEastAsia"/>
                <w:szCs w:val="21"/>
              </w:rPr>
            </w:pPr>
          </w:p>
        </w:tc>
        <w:tc>
          <w:tcPr>
            <w:tcW w:w="355" w:type="pct"/>
            <w:vAlign w:val="center"/>
          </w:tcPr>
          <w:p w14:paraId="0FD1E23B" w14:textId="77777777" w:rsidR="00B14D53" w:rsidRDefault="00000000">
            <w:pPr>
              <w:jc w:val="center"/>
              <w:rPr>
                <w:rFonts w:eastAsiaTheme="minorEastAsia"/>
                <w:szCs w:val="21"/>
              </w:rPr>
            </w:pPr>
            <w:r>
              <w:rPr>
                <w:szCs w:val="21"/>
              </w:rPr>
              <w:t>0.003</w:t>
            </w:r>
          </w:p>
        </w:tc>
        <w:tc>
          <w:tcPr>
            <w:tcW w:w="407" w:type="pct"/>
            <w:vAlign w:val="center"/>
          </w:tcPr>
          <w:p w14:paraId="01E0B626" w14:textId="77777777" w:rsidR="00B14D53" w:rsidRDefault="00000000">
            <w:pPr>
              <w:jc w:val="center"/>
              <w:rPr>
                <w:rFonts w:eastAsiaTheme="minorEastAsia"/>
                <w:szCs w:val="21"/>
              </w:rPr>
            </w:pPr>
            <w:r>
              <w:rPr>
                <w:szCs w:val="21"/>
              </w:rPr>
              <w:t>0.0001</w:t>
            </w:r>
          </w:p>
        </w:tc>
      </w:tr>
      <w:tr w:rsidR="00B14D53" w14:paraId="3BBFEE39" w14:textId="77777777">
        <w:trPr>
          <w:trHeight w:val="27"/>
          <w:jc w:val="center"/>
        </w:trPr>
        <w:tc>
          <w:tcPr>
            <w:tcW w:w="228" w:type="pct"/>
            <w:vAlign w:val="center"/>
          </w:tcPr>
          <w:p w14:paraId="53102FAB" w14:textId="77777777" w:rsidR="00B14D53" w:rsidRDefault="00000000">
            <w:pPr>
              <w:jc w:val="center"/>
              <w:rPr>
                <w:rFonts w:eastAsiaTheme="minorEastAsia"/>
                <w:szCs w:val="21"/>
              </w:rPr>
            </w:pPr>
            <w:r>
              <w:rPr>
                <w:rFonts w:eastAsiaTheme="minorEastAsia"/>
                <w:szCs w:val="21"/>
              </w:rPr>
              <w:t>4</w:t>
            </w:r>
          </w:p>
        </w:tc>
        <w:tc>
          <w:tcPr>
            <w:tcW w:w="471" w:type="pct"/>
            <w:vAlign w:val="center"/>
          </w:tcPr>
          <w:p w14:paraId="2F01A1CB" w14:textId="77777777" w:rsidR="00B14D53" w:rsidRDefault="00000000">
            <w:pPr>
              <w:jc w:val="center"/>
              <w:rPr>
                <w:szCs w:val="21"/>
              </w:rPr>
            </w:pPr>
            <w:r>
              <w:rPr>
                <w:szCs w:val="21"/>
              </w:rPr>
              <w:t>污水处理站</w:t>
            </w:r>
          </w:p>
        </w:tc>
        <w:tc>
          <w:tcPr>
            <w:tcW w:w="461" w:type="pct"/>
            <w:vAlign w:val="center"/>
          </w:tcPr>
          <w:p w14:paraId="6CA8A716" w14:textId="77777777" w:rsidR="00B14D53" w:rsidRDefault="00000000">
            <w:pPr>
              <w:jc w:val="center"/>
              <w:rPr>
                <w:rFonts w:eastAsiaTheme="minorEastAsia"/>
                <w:szCs w:val="21"/>
              </w:rPr>
            </w:pPr>
            <w:r>
              <w:rPr>
                <w:rFonts w:eastAsiaTheme="minorEastAsia"/>
                <w:szCs w:val="21"/>
              </w:rPr>
              <w:t>127.218551</w:t>
            </w:r>
          </w:p>
        </w:tc>
        <w:tc>
          <w:tcPr>
            <w:tcW w:w="462" w:type="pct"/>
            <w:vAlign w:val="center"/>
          </w:tcPr>
          <w:p w14:paraId="1D1ED5A1" w14:textId="77777777" w:rsidR="00B14D53" w:rsidRDefault="00000000">
            <w:pPr>
              <w:jc w:val="center"/>
              <w:rPr>
                <w:rFonts w:eastAsiaTheme="minorEastAsia"/>
                <w:szCs w:val="21"/>
              </w:rPr>
            </w:pPr>
            <w:r>
              <w:rPr>
                <w:rFonts w:eastAsiaTheme="minorEastAsia"/>
                <w:szCs w:val="21"/>
              </w:rPr>
              <w:t>44.698352</w:t>
            </w:r>
          </w:p>
        </w:tc>
        <w:tc>
          <w:tcPr>
            <w:tcW w:w="408" w:type="pct"/>
            <w:vAlign w:val="center"/>
          </w:tcPr>
          <w:p w14:paraId="42F644D9" w14:textId="77777777" w:rsidR="00B14D53" w:rsidRDefault="00000000">
            <w:pPr>
              <w:jc w:val="center"/>
              <w:rPr>
                <w:rFonts w:eastAsiaTheme="minorEastAsia"/>
                <w:szCs w:val="21"/>
              </w:rPr>
            </w:pPr>
            <w:r>
              <w:rPr>
                <w:rFonts w:eastAsiaTheme="minorEastAsia"/>
                <w:szCs w:val="21"/>
              </w:rPr>
              <w:t>200</w:t>
            </w:r>
          </w:p>
        </w:tc>
        <w:tc>
          <w:tcPr>
            <w:tcW w:w="408" w:type="pct"/>
            <w:vAlign w:val="center"/>
          </w:tcPr>
          <w:p w14:paraId="7CBC1DFB" w14:textId="77777777" w:rsidR="00B14D53" w:rsidRDefault="00000000">
            <w:pPr>
              <w:jc w:val="center"/>
              <w:rPr>
                <w:rFonts w:eastAsiaTheme="minorEastAsia"/>
                <w:szCs w:val="21"/>
              </w:rPr>
            </w:pPr>
            <w:r>
              <w:rPr>
                <w:rFonts w:eastAsiaTheme="minorEastAsia"/>
                <w:szCs w:val="21"/>
              </w:rPr>
              <w:t>8.00</w:t>
            </w:r>
          </w:p>
        </w:tc>
        <w:tc>
          <w:tcPr>
            <w:tcW w:w="408" w:type="pct"/>
            <w:vAlign w:val="center"/>
          </w:tcPr>
          <w:p w14:paraId="57D72EA0" w14:textId="77777777" w:rsidR="00B14D53" w:rsidRDefault="00000000">
            <w:pPr>
              <w:jc w:val="center"/>
              <w:rPr>
                <w:rFonts w:eastAsiaTheme="minorEastAsia"/>
                <w:szCs w:val="21"/>
              </w:rPr>
            </w:pPr>
            <w:r>
              <w:rPr>
                <w:rFonts w:eastAsiaTheme="minorEastAsia"/>
                <w:szCs w:val="21"/>
              </w:rPr>
              <w:t>17.6</w:t>
            </w:r>
          </w:p>
        </w:tc>
        <w:tc>
          <w:tcPr>
            <w:tcW w:w="370" w:type="pct"/>
            <w:vAlign w:val="center"/>
          </w:tcPr>
          <w:p w14:paraId="7524A77C" w14:textId="77777777" w:rsidR="00B14D53" w:rsidRDefault="00000000">
            <w:pPr>
              <w:jc w:val="center"/>
              <w:rPr>
                <w:rFonts w:eastAsiaTheme="minorEastAsia"/>
                <w:szCs w:val="21"/>
              </w:rPr>
            </w:pPr>
            <w:r>
              <w:rPr>
                <w:rFonts w:eastAsiaTheme="minorEastAsia"/>
                <w:szCs w:val="21"/>
              </w:rPr>
              <w:t>86.42</w:t>
            </w:r>
          </w:p>
        </w:tc>
        <w:tc>
          <w:tcPr>
            <w:tcW w:w="408" w:type="pct"/>
            <w:vAlign w:val="center"/>
          </w:tcPr>
          <w:p w14:paraId="1A3A2773" w14:textId="77777777" w:rsidR="00B14D53" w:rsidRDefault="00000000">
            <w:pPr>
              <w:jc w:val="center"/>
              <w:rPr>
                <w:rFonts w:eastAsiaTheme="minorEastAsia"/>
                <w:szCs w:val="21"/>
              </w:rPr>
            </w:pPr>
            <w:r>
              <w:rPr>
                <w:rFonts w:eastAsiaTheme="minorEastAsia"/>
                <w:szCs w:val="21"/>
              </w:rPr>
              <w:t>0.4</w:t>
            </w:r>
          </w:p>
        </w:tc>
        <w:tc>
          <w:tcPr>
            <w:tcW w:w="380" w:type="pct"/>
            <w:vAlign w:val="center"/>
          </w:tcPr>
          <w:p w14:paraId="440833BB" w14:textId="77777777" w:rsidR="00B14D53" w:rsidRDefault="00000000">
            <w:pPr>
              <w:jc w:val="center"/>
              <w:rPr>
                <w:rFonts w:eastAsiaTheme="minorEastAsia"/>
                <w:szCs w:val="21"/>
              </w:rPr>
            </w:pPr>
            <w:r>
              <w:rPr>
                <w:rFonts w:eastAsiaTheme="minorEastAsia"/>
                <w:szCs w:val="21"/>
              </w:rPr>
              <w:t>8160</w:t>
            </w:r>
          </w:p>
        </w:tc>
        <w:tc>
          <w:tcPr>
            <w:tcW w:w="228" w:type="pct"/>
            <w:vMerge/>
            <w:vAlign w:val="center"/>
          </w:tcPr>
          <w:p w14:paraId="09B55551" w14:textId="77777777" w:rsidR="00B14D53" w:rsidRDefault="00B14D53">
            <w:pPr>
              <w:jc w:val="center"/>
              <w:rPr>
                <w:rFonts w:eastAsiaTheme="minorEastAsia"/>
                <w:szCs w:val="21"/>
              </w:rPr>
            </w:pPr>
          </w:p>
        </w:tc>
        <w:tc>
          <w:tcPr>
            <w:tcW w:w="355" w:type="pct"/>
            <w:vAlign w:val="center"/>
          </w:tcPr>
          <w:p w14:paraId="0C96C9BD" w14:textId="77777777" w:rsidR="00B14D53" w:rsidRDefault="00000000">
            <w:pPr>
              <w:jc w:val="center"/>
              <w:rPr>
                <w:rFonts w:eastAsiaTheme="minorEastAsia"/>
                <w:szCs w:val="21"/>
              </w:rPr>
            </w:pPr>
            <w:r>
              <w:rPr>
                <w:szCs w:val="21"/>
              </w:rPr>
              <w:t>0.005</w:t>
            </w:r>
          </w:p>
        </w:tc>
        <w:tc>
          <w:tcPr>
            <w:tcW w:w="407" w:type="pct"/>
            <w:vAlign w:val="center"/>
          </w:tcPr>
          <w:p w14:paraId="0FC60BD0" w14:textId="77777777" w:rsidR="00B14D53" w:rsidRDefault="00000000">
            <w:pPr>
              <w:jc w:val="center"/>
              <w:rPr>
                <w:rFonts w:eastAsiaTheme="minorEastAsia"/>
                <w:szCs w:val="21"/>
              </w:rPr>
            </w:pPr>
            <w:r>
              <w:rPr>
                <w:szCs w:val="21"/>
              </w:rPr>
              <w:t>0.0002</w:t>
            </w:r>
          </w:p>
        </w:tc>
      </w:tr>
    </w:tbl>
    <w:p w14:paraId="4D22DB5F" w14:textId="77777777" w:rsidR="00B14D53" w:rsidRDefault="00000000">
      <w:pPr>
        <w:jc w:val="center"/>
        <w:rPr>
          <w:b/>
          <w:bCs/>
        </w:rPr>
      </w:pPr>
      <w:r>
        <w:rPr>
          <w:b/>
          <w:bCs/>
        </w:rPr>
        <w:t>表</w:t>
      </w:r>
      <w:r>
        <w:rPr>
          <w:b/>
          <w:bCs/>
        </w:rPr>
        <w:t>2-4-</w:t>
      </w:r>
      <w:r>
        <w:rPr>
          <w:rFonts w:hint="eastAsia"/>
          <w:b/>
          <w:bCs/>
        </w:rPr>
        <w:t xml:space="preserve">3 </w:t>
      </w:r>
      <w:r>
        <w:rPr>
          <w:b/>
          <w:bCs/>
        </w:rPr>
        <w:t>主要废气污染源参数一览表</w:t>
      </w:r>
      <w:r>
        <w:rPr>
          <w:b/>
          <w:bCs/>
        </w:rPr>
        <w:t>(</w:t>
      </w:r>
      <w:r>
        <w:rPr>
          <w:rFonts w:hint="eastAsia"/>
          <w:b/>
          <w:bCs/>
        </w:rPr>
        <w:t>点</w:t>
      </w:r>
      <w:r>
        <w:rPr>
          <w:b/>
          <w:bCs/>
        </w:rPr>
        <w:t>源</w:t>
      </w:r>
      <w:r>
        <w:rPr>
          <w:b/>
          <w:bCs/>
        </w:rPr>
        <w:t>)</w:t>
      </w:r>
    </w:p>
    <w:tbl>
      <w:tblPr>
        <w:tblpPr w:leftFromText="180" w:rightFromText="180" w:vertAnchor="text" w:tblpXSpec="center" w:tblpY="1"/>
        <w:tblOverlap w:val="never"/>
        <w:tblW w:w="4997"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5"/>
        <w:gridCol w:w="978"/>
        <w:gridCol w:w="1496"/>
        <w:gridCol w:w="1407"/>
        <w:gridCol w:w="1131"/>
        <w:gridCol w:w="1131"/>
        <w:gridCol w:w="1170"/>
        <w:gridCol w:w="1083"/>
        <w:gridCol w:w="977"/>
        <w:gridCol w:w="1010"/>
        <w:gridCol w:w="558"/>
        <w:gridCol w:w="1253"/>
        <w:gridCol w:w="1191"/>
      </w:tblGrid>
      <w:tr w:rsidR="00B14D53" w14:paraId="6401B35F" w14:textId="77777777">
        <w:trPr>
          <w:trHeight w:val="171"/>
        </w:trPr>
        <w:tc>
          <w:tcPr>
            <w:tcW w:w="202" w:type="pct"/>
            <w:vMerge w:val="restart"/>
            <w:vAlign w:val="center"/>
          </w:tcPr>
          <w:p w14:paraId="4D469D1C" w14:textId="77777777" w:rsidR="00B14D53" w:rsidRDefault="00000000">
            <w:pPr>
              <w:jc w:val="center"/>
              <w:rPr>
                <w:b/>
                <w:bCs/>
                <w:szCs w:val="21"/>
              </w:rPr>
            </w:pPr>
            <w:r>
              <w:rPr>
                <w:b/>
                <w:bCs/>
                <w:szCs w:val="21"/>
              </w:rPr>
              <w:t>编号</w:t>
            </w:r>
          </w:p>
        </w:tc>
        <w:tc>
          <w:tcPr>
            <w:tcW w:w="350" w:type="pct"/>
            <w:vMerge w:val="restart"/>
            <w:vAlign w:val="center"/>
          </w:tcPr>
          <w:p w14:paraId="29060D98" w14:textId="77777777" w:rsidR="00B14D53" w:rsidRDefault="00000000">
            <w:pPr>
              <w:jc w:val="center"/>
              <w:rPr>
                <w:b/>
                <w:bCs/>
                <w:szCs w:val="21"/>
              </w:rPr>
            </w:pPr>
            <w:r>
              <w:rPr>
                <w:b/>
                <w:bCs/>
                <w:szCs w:val="21"/>
              </w:rPr>
              <w:t>名称</w:t>
            </w:r>
          </w:p>
        </w:tc>
        <w:tc>
          <w:tcPr>
            <w:tcW w:w="1038" w:type="pct"/>
            <w:gridSpan w:val="2"/>
            <w:vAlign w:val="center"/>
          </w:tcPr>
          <w:p w14:paraId="68445290" w14:textId="77777777" w:rsidR="00B14D53" w:rsidRDefault="00000000">
            <w:pPr>
              <w:jc w:val="center"/>
              <w:rPr>
                <w:b/>
                <w:bCs/>
                <w:szCs w:val="21"/>
              </w:rPr>
            </w:pPr>
            <w:r>
              <w:rPr>
                <w:b/>
                <w:bCs/>
                <w:szCs w:val="21"/>
              </w:rPr>
              <w:t>排气筒底部中心坐标（</w:t>
            </w:r>
            <w:r>
              <w:rPr>
                <w:rFonts w:eastAsia="Times New Roman"/>
                <w:b/>
                <w:bCs/>
                <w:spacing w:val="9"/>
                <w:szCs w:val="21"/>
              </w:rPr>
              <w:t>m</w:t>
            </w:r>
            <w:r>
              <w:rPr>
                <w:b/>
                <w:bCs/>
                <w:szCs w:val="21"/>
              </w:rPr>
              <w:t>）</w:t>
            </w:r>
          </w:p>
        </w:tc>
        <w:tc>
          <w:tcPr>
            <w:tcW w:w="405" w:type="pct"/>
            <w:vMerge w:val="restart"/>
            <w:vAlign w:val="center"/>
          </w:tcPr>
          <w:p w14:paraId="2020500E" w14:textId="77777777" w:rsidR="00B14D53" w:rsidRDefault="00000000">
            <w:pPr>
              <w:jc w:val="center"/>
              <w:rPr>
                <w:b/>
                <w:bCs/>
                <w:szCs w:val="21"/>
              </w:rPr>
            </w:pPr>
            <w:r>
              <w:rPr>
                <w:b/>
                <w:bCs/>
                <w:szCs w:val="21"/>
              </w:rPr>
              <w:t>排气筒底部海拔高度（</w:t>
            </w:r>
            <w:r>
              <w:rPr>
                <w:b/>
                <w:bCs/>
                <w:szCs w:val="21"/>
              </w:rPr>
              <w:t>m</w:t>
            </w:r>
            <w:r>
              <w:rPr>
                <w:b/>
                <w:bCs/>
                <w:szCs w:val="21"/>
              </w:rPr>
              <w:t>）</w:t>
            </w:r>
          </w:p>
        </w:tc>
        <w:tc>
          <w:tcPr>
            <w:tcW w:w="405" w:type="pct"/>
            <w:vMerge w:val="restart"/>
            <w:vAlign w:val="center"/>
          </w:tcPr>
          <w:p w14:paraId="12ABF897" w14:textId="77777777" w:rsidR="00B14D53" w:rsidRDefault="00000000">
            <w:pPr>
              <w:jc w:val="center"/>
              <w:rPr>
                <w:b/>
                <w:bCs/>
                <w:szCs w:val="21"/>
              </w:rPr>
            </w:pPr>
            <w:r>
              <w:rPr>
                <w:b/>
                <w:bCs/>
                <w:szCs w:val="21"/>
              </w:rPr>
              <w:t>排气筒高度（</w:t>
            </w:r>
            <w:r>
              <w:rPr>
                <w:b/>
                <w:bCs/>
                <w:szCs w:val="21"/>
              </w:rPr>
              <w:t>m</w:t>
            </w:r>
            <w:r>
              <w:rPr>
                <w:b/>
                <w:bCs/>
                <w:szCs w:val="21"/>
              </w:rPr>
              <w:t>）</w:t>
            </w:r>
          </w:p>
        </w:tc>
        <w:tc>
          <w:tcPr>
            <w:tcW w:w="419" w:type="pct"/>
            <w:vMerge w:val="restart"/>
            <w:vAlign w:val="center"/>
          </w:tcPr>
          <w:p w14:paraId="6A6C619D" w14:textId="77777777" w:rsidR="00B14D53" w:rsidRDefault="00000000">
            <w:pPr>
              <w:jc w:val="center"/>
              <w:rPr>
                <w:b/>
                <w:bCs/>
                <w:szCs w:val="21"/>
              </w:rPr>
            </w:pPr>
            <w:r>
              <w:rPr>
                <w:b/>
                <w:bCs/>
                <w:szCs w:val="21"/>
              </w:rPr>
              <w:t>排气筒出口内径（</w:t>
            </w:r>
            <w:r>
              <w:rPr>
                <w:b/>
                <w:bCs/>
                <w:szCs w:val="21"/>
              </w:rPr>
              <w:t>m</w:t>
            </w:r>
            <w:r>
              <w:rPr>
                <w:b/>
                <w:bCs/>
                <w:szCs w:val="21"/>
              </w:rPr>
              <w:t>）</w:t>
            </w:r>
          </w:p>
        </w:tc>
        <w:tc>
          <w:tcPr>
            <w:tcW w:w="388" w:type="pct"/>
            <w:vMerge w:val="restart"/>
            <w:vAlign w:val="center"/>
          </w:tcPr>
          <w:p w14:paraId="5AE9BD0B" w14:textId="77777777" w:rsidR="00B14D53" w:rsidRDefault="00000000">
            <w:pPr>
              <w:jc w:val="center"/>
              <w:rPr>
                <w:b/>
                <w:bCs/>
                <w:szCs w:val="21"/>
              </w:rPr>
            </w:pPr>
            <w:r>
              <w:rPr>
                <w:b/>
                <w:bCs/>
                <w:szCs w:val="21"/>
              </w:rPr>
              <w:t>烟气流速（</w:t>
            </w:r>
            <w:r>
              <w:rPr>
                <w:b/>
                <w:bCs/>
                <w:szCs w:val="21"/>
              </w:rPr>
              <w:t>m/s</w:t>
            </w:r>
            <w:r>
              <w:rPr>
                <w:b/>
                <w:bCs/>
                <w:szCs w:val="21"/>
              </w:rPr>
              <w:t>）</w:t>
            </w:r>
          </w:p>
        </w:tc>
        <w:tc>
          <w:tcPr>
            <w:tcW w:w="350" w:type="pct"/>
            <w:vMerge w:val="restart"/>
            <w:vAlign w:val="center"/>
          </w:tcPr>
          <w:p w14:paraId="5406363F" w14:textId="77777777" w:rsidR="00B14D53" w:rsidRDefault="00000000">
            <w:pPr>
              <w:jc w:val="center"/>
              <w:rPr>
                <w:b/>
                <w:bCs/>
                <w:szCs w:val="21"/>
              </w:rPr>
            </w:pPr>
            <w:r>
              <w:rPr>
                <w:b/>
                <w:bCs/>
                <w:szCs w:val="21"/>
              </w:rPr>
              <w:t>烟气温度</w:t>
            </w:r>
          </w:p>
          <w:p w14:paraId="0D5BF445" w14:textId="77777777" w:rsidR="00B14D53" w:rsidRDefault="00000000">
            <w:pPr>
              <w:jc w:val="center"/>
              <w:rPr>
                <w:b/>
                <w:bCs/>
                <w:szCs w:val="21"/>
              </w:rPr>
            </w:pPr>
            <w:r>
              <w:rPr>
                <w:b/>
                <w:bCs/>
                <w:szCs w:val="21"/>
              </w:rPr>
              <w:t>(℃)</w:t>
            </w:r>
          </w:p>
        </w:tc>
        <w:tc>
          <w:tcPr>
            <w:tcW w:w="362" w:type="pct"/>
            <w:vMerge w:val="restart"/>
            <w:vAlign w:val="center"/>
          </w:tcPr>
          <w:p w14:paraId="1BB6A554" w14:textId="77777777" w:rsidR="00B14D53" w:rsidRDefault="00000000">
            <w:pPr>
              <w:jc w:val="center"/>
              <w:rPr>
                <w:b/>
                <w:bCs/>
                <w:szCs w:val="21"/>
              </w:rPr>
            </w:pPr>
            <w:r>
              <w:rPr>
                <w:b/>
                <w:bCs/>
                <w:szCs w:val="21"/>
              </w:rPr>
              <w:t>年排放小时数（</w:t>
            </w:r>
            <w:r>
              <w:rPr>
                <w:b/>
                <w:bCs/>
                <w:szCs w:val="21"/>
              </w:rPr>
              <w:t>h</w:t>
            </w:r>
            <w:r>
              <w:rPr>
                <w:b/>
                <w:bCs/>
                <w:szCs w:val="21"/>
              </w:rPr>
              <w:t>）</w:t>
            </w:r>
          </w:p>
        </w:tc>
        <w:tc>
          <w:tcPr>
            <w:tcW w:w="200" w:type="pct"/>
            <w:vMerge w:val="restart"/>
            <w:vAlign w:val="center"/>
          </w:tcPr>
          <w:p w14:paraId="48F14C13" w14:textId="77777777" w:rsidR="00B14D53" w:rsidRDefault="00000000">
            <w:pPr>
              <w:contextualSpacing/>
              <w:jc w:val="center"/>
              <w:rPr>
                <w:b/>
                <w:bCs/>
                <w:szCs w:val="21"/>
              </w:rPr>
            </w:pPr>
            <w:r>
              <w:rPr>
                <w:b/>
                <w:bCs/>
                <w:szCs w:val="21"/>
              </w:rPr>
              <w:t>排放工况</w:t>
            </w:r>
          </w:p>
        </w:tc>
        <w:tc>
          <w:tcPr>
            <w:tcW w:w="876" w:type="pct"/>
            <w:gridSpan w:val="2"/>
            <w:vMerge w:val="restart"/>
            <w:vAlign w:val="center"/>
          </w:tcPr>
          <w:p w14:paraId="6C005675" w14:textId="77777777" w:rsidR="00B14D53" w:rsidRDefault="00000000">
            <w:pPr>
              <w:contextualSpacing/>
              <w:jc w:val="center"/>
              <w:rPr>
                <w:b/>
                <w:bCs/>
                <w:szCs w:val="21"/>
              </w:rPr>
            </w:pPr>
            <w:r>
              <w:rPr>
                <w:b/>
                <w:bCs/>
                <w:szCs w:val="21"/>
              </w:rPr>
              <w:t>污染物排放速率（</w:t>
            </w:r>
            <w:r>
              <w:rPr>
                <w:b/>
                <w:bCs/>
                <w:szCs w:val="21"/>
              </w:rPr>
              <w:t>kg/h</w:t>
            </w:r>
            <w:r>
              <w:rPr>
                <w:b/>
                <w:bCs/>
                <w:szCs w:val="21"/>
              </w:rPr>
              <w:t>）</w:t>
            </w:r>
          </w:p>
        </w:tc>
      </w:tr>
      <w:tr w:rsidR="00B14D53" w14:paraId="52B9C207" w14:textId="77777777">
        <w:trPr>
          <w:trHeight w:val="312"/>
        </w:trPr>
        <w:tc>
          <w:tcPr>
            <w:tcW w:w="202" w:type="pct"/>
            <w:vMerge/>
            <w:vAlign w:val="center"/>
          </w:tcPr>
          <w:p w14:paraId="304B40DE" w14:textId="77777777" w:rsidR="00B14D53" w:rsidRDefault="00B14D53">
            <w:pPr>
              <w:jc w:val="center"/>
              <w:rPr>
                <w:b/>
                <w:bCs/>
                <w:szCs w:val="21"/>
              </w:rPr>
            </w:pPr>
          </w:p>
        </w:tc>
        <w:tc>
          <w:tcPr>
            <w:tcW w:w="350" w:type="pct"/>
            <w:vMerge/>
            <w:vAlign w:val="center"/>
          </w:tcPr>
          <w:p w14:paraId="52045A11" w14:textId="77777777" w:rsidR="00B14D53" w:rsidRDefault="00B14D53">
            <w:pPr>
              <w:jc w:val="center"/>
              <w:rPr>
                <w:b/>
                <w:bCs/>
                <w:szCs w:val="21"/>
              </w:rPr>
            </w:pPr>
          </w:p>
        </w:tc>
        <w:tc>
          <w:tcPr>
            <w:tcW w:w="535" w:type="pct"/>
            <w:vMerge w:val="restart"/>
            <w:vAlign w:val="center"/>
          </w:tcPr>
          <w:p w14:paraId="0C001AB7" w14:textId="77777777" w:rsidR="00B14D53" w:rsidRDefault="00000000">
            <w:pPr>
              <w:jc w:val="center"/>
              <w:rPr>
                <w:b/>
                <w:bCs/>
                <w:szCs w:val="21"/>
              </w:rPr>
            </w:pPr>
            <w:r>
              <w:rPr>
                <w:rFonts w:eastAsiaTheme="minorEastAsia"/>
                <w:b/>
                <w:bCs/>
                <w:szCs w:val="21"/>
              </w:rPr>
              <w:t>经度</w:t>
            </w:r>
          </w:p>
        </w:tc>
        <w:tc>
          <w:tcPr>
            <w:tcW w:w="503" w:type="pct"/>
            <w:vMerge w:val="restart"/>
            <w:vAlign w:val="center"/>
          </w:tcPr>
          <w:p w14:paraId="7B0D9E77" w14:textId="77777777" w:rsidR="00B14D53" w:rsidRDefault="00000000">
            <w:pPr>
              <w:jc w:val="center"/>
              <w:rPr>
                <w:b/>
                <w:bCs/>
                <w:szCs w:val="21"/>
              </w:rPr>
            </w:pPr>
            <w:r>
              <w:rPr>
                <w:rFonts w:eastAsiaTheme="minorEastAsia"/>
                <w:b/>
                <w:bCs/>
                <w:szCs w:val="21"/>
              </w:rPr>
              <w:t>纬度</w:t>
            </w:r>
          </w:p>
        </w:tc>
        <w:tc>
          <w:tcPr>
            <w:tcW w:w="405" w:type="pct"/>
            <w:vMerge/>
            <w:vAlign w:val="center"/>
          </w:tcPr>
          <w:p w14:paraId="54854014" w14:textId="77777777" w:rsidR="00B14D53" w:rsidRDefault="00B14D53">
            <w:pPr>
              <w:jc w:val="center"/>
              <w:rPr>
                <w:b/>
                <w:bCs/>
                <w:szCs w:val="21"/>
              </w:rPr>
            </w:pPr>
          </w:p>
        </w:tc>
        <w:tc>
          <w:tcPr>
            <w:tcW w:w="405" w:type="pct"/>
            <w:vMerge/>
            <w:vAlign w:val="center"/>
          </w:tcPr>
          <w:p w14:paraId="16F81B0E" w14:textId="77777777" w:rsidR="00B14D53" w:rsidRDefault="00B14D53">
            <w:pPr>
              <w:jc w:val="center"/>
              <w:rPr>
                <w:b/>
                <w:bCs/>
                <w:szCs w:val="21"/>
              </w:rPr>
            </w:pPr>
          </w:p>
        </w:tc>
        <w:tc>
          <w:tcPr>
            <w:tcW w:w="419" w:type="pct"/>
            <w:vMerge/>
            <w:vAlign w:val="center"/>
          </w:tcPr>
          <w:p w14:paraId="4732AF1E" w14:textId="77777777" w:rsidR="00B14D53" w:rsidRDefault="00B14D53">
            <w:pPr>
              <w:jc w:val="center"/>
              <w:rPr>
                <w:b/>
                <w:bCs/>
                <w:szCs w:val="21"/>
              </w:rPr>
            </w:pPr>
          </w:p>
        </w:tc>
        <w:tc>
          <w:tcPr>
            <w:tcW w:w="388" w:type="pct"/>
            <w:vMerge/>
            <w:vAlign w:val="center"/>
          </w:tcPr>
          <w:p w14:paraId="7E74F33A" w14:textId="77777777" w:rsidR="00B14D53" w:rsidRDefault="00B14D53">
            <w:pPr>
              <w:jc w:val="center"/>
              <w:rPr>
                <w:b/>
                <w:bCs/>
                <w:szCs w:val="21"/>
              </w:rPr>
            </w:pPr>
          </w:p>
        </w:tc>
        <w:tc>
          <w:tcPr>
            <w:tcW w:w="350" w:type="pct"/>
            <w:vMerge/>
            <w:vAlign w:val="center"/>
          </w:tcPr>
          <w:p w14:paraId="67A3F666" w14:textId="77777777" w:rsidR="00B14D53" w:rsidRDefault="00B14D53">
            <w:pPr>
              <w:widowControl/>
              <w:jc w:val="center"/>
              <w:rPr>
                <w:b/>
                <w:bCs/>
                <w:szCs w:val="21"/>
              </w:rPr>
            </w:pPr>
          </w:p>
        </w:tc>
        <w:tc>
          <w:tcPr>
            <w:tcW w:w="362" w:type="pct"/>
            <w:vMerge/>
            <w:vAlign w:val="center"/>
          </w:tcPr>
          <w:p w14:paraId="18308A7D" w14:textId="77777777" w:rsidR="00B14D53" w:rsidRDefault="00B14D53">
            <w:pPr>
              <w:jc w:val="center"/>
              <w:rPr>
                <w:b/>
                <w:bCs/>
                <w:szCs w:val="21"/>
              </w:rPr>
            </w:pPr>
          </w:p>
        </w:tc>
        <w:tc>
          <w:tcPr>
            <w:tcW w:w="200" w:type="pct"/>
            <w:vMerge/>
            <w:vAlign w:val="center"/>
          </w:tcPr>
          <w:p w14:paraId="193D9250" w14:textId="77777777" w:rsidR="00B14D53" w:rsidRDefault="00B14D53">
            <w:pPr>
              <w:jc w:val="center"/>
              <w:rPr>
                <w:b/>
                <w:bCs/>
                <w:szCs w:val="21"/>
              </w:rPr>
            </w:pPr>
          </w:p>
        </w:tc>
        <w:tc>
          <w:tcPr>
            <w:tcW w:w="876" w:type="pct"/>
            <w:gridSpan w:val="2"/>
            <w:vMerge/>
            <w:vAlign w:val="center"/>
          </w:tcPr>
          <w:p w14:paraId="6A22C3AD" w14:textId="77777777" w:rsidR="00B14D53" w:rsidRDefault="00B14D53">
            <w:pPr>
              <w:jc w:val="center"/>
              <w:rPr>
                <w:b/>
                <w:bCs/>
                <w:szCs w:val="21"/>
              </w:rPr>
            </w:pPr>
          </w:p>
        </w:tc>
      </w:tr>
      <w:tr w:rsidR="00B14D53" w14:paraId="2FD87BB3" w14:textId="77777777">
        <w:trPr>
          <w:trHeight w:val="90"/>
        </w:trPr>
        <w:tc>
          <w:tcPr>
            <w:tcW w:w="202" w:type="pct"/>
            <w:vMerge/>
            <w:vAlign w:val="center"/>
          </w:tcPr>
          <w:p w14:paraId="3B555BE3" w14:textId="77777777" w:rsidR="00B14D53" w:rsidRDefault="00B14D53">
            <w:pPr>
              <w:jc w:val="center"/>
              <w:rPr>
                <w:b/>
                <w:bCs/>
                <w:szCs w:val="21"/>
              </w:rPr>
            </w:pPr>
          </w:p>
        </w:tc>
        <w:tc>
          <w:tcPr>
            <w:tcW w:w="350" w:type="pct"/>
            <w:vMerge/>
            <w:vAlign w:val="center"/>
          </w:tcPr>
          <w:p w14:paraId="54B2E908" w14:textId="77777777" w:rsidR="00B14D53" w:rsidRDefault="00B14D53">
            <w:pPr>
              <w:jc w:val="center"/>
              <w:rPr>
                <w:b/>
                <w:bCs/>
                <w:szCs w:val="21"/>
              </w:rPr>
            </w:pPr>
          </w:p>
        </w:tc>
        <w:tc>
          <w:tcPr>
            <w:tcW w:w="535" w:type="pct"/>
            <w:vMerge/>
            <w:vAlign w:val="center"/>
          </w:tcPr>
          <w:p w14:paraId="6EA2C260" w14:textId="77777777" w:rsidR="00B14D53" w:rsidRDefault="00B14D53">
            <w:pPr>
              <w:jc w:val="center"/>
              <w:rPr>
                <w:b/>
                <w:bCs/>
                <w:szCs w:val="21"/>
              </w:rPr>
            </w:pPr>
          </w:p>
        </w:tc>
        <w:tc>
          <w:tcPr>
            <w:tcW w:w="503" w:type="pct"/>
            <w:vMerge/>
            <w:vAlign w:val="center"/>
          </w:tcPr>
          <w:p w14:paraId="7507E158" w14:textId="77777777" w:rsidR="00B14D53" w:rsidRDefault="00B14D53">
            <w:pPr>
              <w:jc w:val="center"/>
              <w:rPr>
                <w:b/>
                <w:bCs/>
                <w:szCs w:val="21"/>
              </w:rPr>
            </w:pPr>
          </w:p>
        </w:tc>
        <w:tc>
          <w:tcPr>
            <w:tcW w:w="405" w:type="pct"/>
            <w:vMerge/>
            <w:vAlign w:val="center"/>
          </w:tcPr>
          <w:p w14:paraId="4A5CF291" w14:textId="77777777" w:rsidR="00B14D53" w:rsidRDefault="00B14D53">
            <w:pPr>
              <w:jc w:val="center"/>
              <w:rPr>
                <w:b/>
                <w:bCs/>
                <w:szCs w:val="21"/>
              </w:rPr>
            </w:pPr>
          </w:p>
        </w:tc>
        <w:tc>
          <w:tcPr>
            <w:tcW w:w="405" w:type="pct"/>
            <w:vMerge/>
            <w:vAlign w:val="center"/>
          </w:tcPr>
          <w:p w14:paraId="6AD2796B" w14:textId="77777777" w:rsidR="00B14D53" w:rsidRDefault="00B14D53">
            <w:pPr>
              <w:jc w:val="center"/>
              <w:rPr>
                <w:b/>
                <w:bCs/>
                <w:szCs w:val="21"/>
              </w:rPr>
            </w:pPr>
          </w:p>
        </w:tc>
        <w:tc>
          <w:tcPr>
            <w:tcW w:w="419" w:type="pct"/>
            <w:vMerge/>
            <w:vAlign w:val="center"/>
          </w:tcPr>
          <w:p w14:paraId="2788E86C" w14:textId="77777777" w:rsidR="00B14D53" w:rsidRDefault="00B14D53">
            <w:pPr>
              <w:jc w:val="center"/>
              <w:rPr>
                <w:b/>
                <w:bCs/>
                <w:szCs w:val="21"/>
              </w:rPr>
            </w:pPr>
          </w:p>
        </w:tc>
        <w:tc>
          <w:tcPr>
            <w:tcW w:w="388" w:type="pct"/>
            <w:vMerge/>
            <w:vAlign w:val="center"/>
          </w:tcPr>
          <w:p w14:paraId="4A493619" w14:textId="77777777" w:rsidR="00B14D53" w:rsidRDefault="00B14D53">
            <w:pPr>
              <w:jc w:val="center"/>
              <w:rPr>
                <w:b/>
                <w:bCs/>
                <w:szCs w:val="21"/>
              </w:rPr>
            </w:pPr>
          </w:p>
        </w:tc>
        <w:tc>
          <w:tcPr>
            <w:tcW w:w="350" w:type="pct"/>
            <w:vMerge/>
            <w:vAlign w:val="center"/>
          </w:tcPr>
          <w:p w14:paraId="75AD4621" w14:textId="77777777" w:rsidR="00B14D53" w:rsidRDefault="00B14D53">
            <w:pPr>
              <w:widowControl/>
              <w:jc w:val="center"/>
              <w:rPr>
                <w:b/>
                <w:bCs/>
                <w:szCs w:val="21"/>
              </w:rPr>
            </w:pPr>
          </w:p>
        </w:tc>
        <w:tc>
          <w:tcPr>
            <w:tcW w:w="362" w:type="pct"/>
            <w:vMerge/>
            <w:vAlign w:val="center"/>
          </w:tcPr>
          <w:p w14:paraId="13685328" w14:textId="77777777" w:rsidR="00B14D53" w:rsidRDefault="00B14D53">
            <w:pPr>
              <w:jc w:val="center"/>
              <w:rPr>
                <w:b/>
                <w:bCs/>
                <w:szCs w:val="21"/>
              </w:rPr>
            </w:pPr>
          </w:p>
        </w:tc>
        <w:tc>
          <w:tcPr>
            <w:tcW w:w="200" w:type="pct"/>
            <w:vMerge/>
            <w:vAlign w:val="center"/>
          </w:tcPr>
          <w:p w14:paraId="244AE00D" w14:textId="77777777" w:rsidR="00B14D53" w:rsidRDefault="00B14D53">
            <w:pPr>
              <w:jc w:val="center"/>
              <w:rPr>
                <w:b/>
                <w:bCs/>
                <w:szCs w:val="21"/>
              </w:rPr>
            </w:pPr>
          </w:p>
        </w:tc>
        <w:tc>
          <w:tcPr>
            <w:tcW w:w="449" w:type="pct"/>
            <w:vAlign w:val="center"/>
          </w:tcPr>
          <w:p w14:paraId="6782273D" w14:textId="77777777" w:rsidR="00B14D53" w:rsidRDefault="00000000">
            <w:pPr>
              <w:jc w:val="center"/>
              <w:rPr>
                <w:b/>
                <w:bCs/>
                <w:szCs w:val="21"/>
              </w:rPr>
            </w:pPr>
            <w:r>
              <w:rPr>
                <w:b/>
                <w:bCs/>
                <w:szCs w:val="21"/>
              </w:rPr>
              <w:t>NH</w:t>
            </w:r>
            <w:r>
              <w:rPr>
                <w:b/>
                <w:bCs/>
                <w:szCs w:val="21"/>
                <w:vertAlign w:val="subscript"/>
              </w:rPr>
              <w:t>3</w:t>
            </w:r>
          </w:p>
        </w:tc>
        <w:tc>
          <w:tcPr>
            <w:tcW w:w="427" w:type="pct"/>
            <w:vAlign w:val="center"/>
          </w:tcPr>
          <w:p w14:paraId="07284B2C" w14:textId="77777777" w:rsidR="00B14D53" w:rsidRDefault="00000000">
            <w:pPr>
              <w:jc w:val="center"/>
              <w:rPr>
                <w:b/>
                <w:bCs/>
                <w:szCs w:val="21"/>
              </w:rPr>
            </w:pPr>
            <w:r>
              <w:rPr>
                <w:b/>
                <w:bCs/>
                <w:szCs w:val="21"/>
              </w:rPr>
              <w:t>H</w:t>
            </w:r>
            <w:r>
              <w:rPr>
                <w:b/>
                <w:bCs/>
                <w:szCs w:val="21"/>
                <w:vertAlign w:val="subscript"/>
              </w:rPr>
              <w:t>2</w:t>
            </w:r>
            <w:r>
              <w:rPr>
                <w:b/>
                <w:bCs/>
                <w:szCs w:val="21"/>
              </w:rPr>
              <w:t>S</w:t>
            </w:r>
          </w:p>
        </w:tc>
      </w:tr>
      <w:tr w:rsidR="00B14D53" w14:paraId="4CB42763" w14:textId="77777777">
        <w:trPr>
          <w:trHeight w:val="90"/>
        </w:trPr>
        <w:tc>
          <w:tcPr>
            <w:tcW w:w="202" w:type="pct"/>
            <w:vAlign w:val="center"/>
          </w:tcPr>
          <w:p w14:paraId="1F0E5C05" w14:textId="77777777" w:rsidR="00B14D53" w:rsidRDefault="00000000">
            <w:pPr>
              <w:jc w:val="center"/>
              <w:rPr>
                <w:bCs/>
                <w:szCs w:val="21"/>
              </w:rPr>
            </w:pPr>
            <w:r>
              <w:rPr>
                <w:bCs/>
                <w:szCs w:val="21"/>
              </w:rPr>
              <w:t>1</w:t>
            </w:r>
          </w:p>
        </w:tc>
        <w:tc>
          <w:tcPr>
            <w:tcW w:w="350" w:type="pct"/>
            <w:vAlign w:val="center"/>
          </w:tcPr>
          <w:p w14:paraId="04ECE511" w14:textId="77777777" w:rsidR="00B14D53" w:rsidRDefault="00000000">
            <w:pPr>
              <w:jc w:val="center"/>
              <w:rPr>
                <w:bCs/>
                <w:szCs w:val="21"/>
              </w:rPr>
            </w:pPr>
            <w:r>
              <w:rPr>
                <w:bCs/>
                <w:szCs w:val="21"/>
              </w:rPr>
              <w:t>DA001</w:t>
            </w:r>
          </w:p>
        </w:tc>
        <w:tc>
          <w:tcPr>
            <w:tcW w:w="535" w:type="pct"/>
            <w:vAlign w:val="center"/>
          </w:tcPr>
          <w:p w14:paraId="0F1C67F7" w14:textId="77777777" w:rsidR="00B14D53" w:rsidRDefault="00000000">
            <w:pPr>
              <w:jc w:val="center"/>
              <w:rPr>
                <w:szCs w:val="21"/>
              </w:rPr>
            </w:pPr>
            <w:r>
              <w:rPr>
                <w:szCs w:val="21"/>
              </w:rPr>
              <w:t>127.218862</w:t>
            </w:r>
          </w:p>
        </w:tc>
        <w:tc>
          <w:tcPr>
            <w:tcW w:w="503" w:type="pct"/>
            <w:vAlign w:val="center"/>
          </w:tcPr>
          <w:p w14:paraId="4FCD1757" w14:textId="77777777" w:rsidR="00B14D53" w:rsidRDefault="00000000">
            <w:pPr>
              <w:jc w:val="center"/>
              <w:rPr>
                <w:szCs w:val="21"/>
              </w:rPr>
            </w:pPr>
            <w:r>
              <w:rPr>
                <w:szCs w:val="21"/>
              </w:rPr>
              <w:t>44.698522</w:t>
            </w:r>
          </w:p>
        </w:tc>
        <w:tc>
          <w:tcPr>
            <w:tcW w:w="405" w:type="pct"/>
            <w:vAlign w:val="center"/>
          </w:tcPr>
          <w:p w14:paraId="0A054FAE" w14:textId="77777777" w:rsidR="00B14D53" w:rsidRDefault="00000000">
            <w:pPr>
              <w:jc w:val="center"/>
              <w:rPr>
                <w:szCs w:val="21"/>
              </w:rPr>
            </w:pPr>
            <w:r>
              <w:rPr>
                <w:szCs w:val="21"/>
              </w:rPr>
              <w:t>200</w:t>
            </w:r>
          </w:p>
        </w:tc>
        <w:tc>
          <w:tcPr>
            <w:tcW w:w="405" w:type="pct"/>
            <w:vAlign w:val="center"/>
          </w:tcPr>
          <w:p w14:paraId="08CE8F58" w14:textId="77777777" w:rsidR="00B14D53" w:rsidRDefault="00000000">
            <w:pPr>
              <w:jc w:val="center"/>
              <w:rPr>
                <w:szCs w:val="21"/>
              </w:rPr>
            </w:pPr>
            <w:r>
              <w:rPr>
                <w:szCs w:val="21"/>
              </w:rPr>
              <w:t>15</w:t>
            </w:r>
          </w:p>
        </w:tc>
        <w:tc>
          <w:tcPr>
            <w:tcW w:w="419" w:type="pct"/>
            <w:vAlign w:val="center"/>
          </w:tcPr>
          <w:p w14:paraId="775DE13B" w14:textId="77777777" w:rsidR="00B14D53" w:rsidRDefault="00000000">
            <w:pPr>
              <w:jc w:val="center"/>
              <w:rPr>
                <w:szCs w:val="21"/>
              </w:rPr>
            </w:pPr>
            <w:r>
              <w:rPr>
                <w:szCs w:val="21"/>
              </w:rPr>
              <w:t>0.15</w:t>
            </w:r>
          </w:p>
        </w:tc>
        <w:tc>
          <w:tcPr>
            <w:tcW w:w="388" w:type="pct"/>
            <w:vAlign w:val="center"/>
          </w:tcPr>
          <w:p w14:paraId="67969276" w14:textId="77777777" w:rsidR="00B14D53" w:rsidRDefault="00000000">
            <w:pPr>
              <w:jc w:val="center"/>
              <w:rPr>
                <w:szCs w:val="21"/>
              </w:rPr>
            </w:pPr>
            <w:r>
              <w:rPr>
                <w:szCs w:val="21"/>
              </w:rPr>
              <w:t>16.87</w:t>
            </w:r>
          </w:p>
        </w:tc>
        <w:tc>
          <w:tcPr>
            <w:tcW w:w="350" w:type="pct"/>
            <w:vAlign w:val="center"/>
          </w:tcPr>
          <w:p w14:paraId="167DA6CA" w14:textId="77777777" w:rsidR="00B14D53" w:rsidRDefault="00000000">
            <w:pPr>
              <w:jc w:val="center"/>
              <w:rPr>
                <w:szCs w:val="21"/>
              </w:rPr>
            </w:pPr>
            <w:r>
              <w:rPr>
                <w:szCs w:val="21"/>
              </w:rPr>
              <w:t>20</w:t>
            </w:r>
          </w:p>
        </w:tc>
        <w:tc>
          <w:tcPr>
            <w:tcW w:w="362" w:type="pct"/>
            <w:vAlign w:val="center"/>
          </w:tcPr>
          <w:p w14:paraId="6D7458C4" w14:textId="77777777" w:rsidR="00B14D53" w:rsidRDefault="00000000">
            <w:pPr>
              <w:jc w:val="center"/>
              <w:rPr>
                <w:szCs w:val="21"/>
              </w:rPr>
            </w:pPr>
            <w:r>
              <w:rPr>
                <w:szCs w:val="21"/>
              </w:rPr>
              <w:t>8160</w:t>
            </w:r>
          </w:p>
        </w:tc>
        <w:tc>
          <w:tcPr>
            <w:tcW w:w="200" w:type="pct"/>
            <w:vMerge w:val="restart"/>
            <w:vAlign w:val="center"/>
          </w:tcPr>
          <w:p w14:paraId="237E38B0" w14:textId="77777777" w:rsidR="00B14D53" w:rsidRDefault="00000000">
            <w:pPr>
              <w:jc w:val="center"/>
              <w:rPr>
                <w:szCs w:val="21"/>
              </w:rPr>
            </w:pPr>
            <w:r>
              <w:rPr>
                <w:szCs w:val="21"/>
              </w:rPr>
              <w:t>正常排放</w:t>
            </w:r>
          </w:p>
        </w:tc>
        <w:tc>
          <w:tcPr>
            <w:tcW w:w="449" w:type="pct"/>
            <w:vAlign w:val="center"/>
          </w:tcPr>
          <w:p w14:paraId="3C51778D" w14:textId="77777777" w:rsidR="00B14D53" w:rsidRDefault="00000000">
            <w:pPr>
              <w:jc w:val="center"/>
              <w:rPr>
                <w:szCs w:val="21"/>
              </w:rPr>
            </w:pPr>
            <w:r>
              <w:rPr>
                <w:szCs w:val="21"/>
              </w:rPr>
              <w:t>0.0006</w:t>
            </w:r>
          </w:p>
        </w:tc>
        <w:tc>
          <w:tcPr>
            <w:tcW w:w="427" w:type="pct"/>
            <w:vAlign w:val="center"/>
          </w:tcPr>
          <w:p w14:paraId="1C643E3B" w14:textId="77777777" w:rsidR="00B14D53" w:rsidRDefault="00000000">
            <w:pPr>
              <w:jc w:val="center"/>
              <w:rPr>
                <w:szCs w:val="21"/>
              </w:rPr>
            </w:pPr>
            <w:r>
              <w:rPr>
                <w:szCs w:val="21"/>
              </w:rPr>
              <w:t>0.00004</w:t>
            </w:r>
          </w:p>
        </w:tc>
      </w:tr>
      <w:tr w:rsidR="00B14D53" w14:paraId="46992593" w14:textId="77777777">
        <w:trPr>
          <w:trHeight w:val="197"/>
        </w:trPr>
        <w:tc>
          <w:tcPr>
            <w:tcW w:w="202" w:type="pct"/>
            <w:vAlign w:val="center"/>
          </w:tcPr>
          <w:p w14:paraId="3657E585" w14:textId="77777777" w:rsidR="00B14D53" w:rsidRDefault="00000000">
            <w:pPr>
              <w:jc w:val="center"/>
              <w:rPr>
                <w:bCs/>
                <w:szCs w:val="21"/>
              </w:rPr>
            </w:pPr>
            <w:r>
              <w:rPr>
                <w:bCs/>
                <w:szCs w:val="21"/>
              </w:rPr>
              <w:t>2</w:t>
            </w:r>
          </w:p>
        </w:tc>
        <w:tc>
          <w:tcPr>
            <w:tcW w:w="350" w:type="pct"/>
            <w:vAlign w:val="center"/>
          </w:tcPr>
          <w:p w14:paraId="650CF003" w14:textId="77777777" w:rsidR="00B14D53" w:rsidRDefault="00000000">
            <w:pPr>
              <w:jc w:val="center"/>
              <w:rPr>
                <w:bCs/>
                <w:szCs w:val="21"/>
              </w:rPr>
            </w:pPr>
            <w:r>
              <w:rPr>
                <w:bCs/>
                <w:szCs w:val="21"/>
              </w:rPr>
              <w:t>DA002</w:t>
            </w:r>
          </w:p>
        </w:tc>
        <w:tc>
          <w:tcPr>
            <w:tcW w:w="535" w:type="pct"/>
            <w:vAlign w:val="center"/>
          </w:tcPr>
          <w:p w14:paraId="3C6094FB" w14:textId="77777777" w:rsidR="00B14D53" w:rsidRDefault="00000000">
            <w:pPr>
              <w:jc w:val="center"/>
              <w:rPr>
                <w:szCs w:val="21"/>
              </w:rPr>
            </w:pPr>
            <w:r>
              <w:rPr>
                <w:szCs w:val="21"/>
              </w:rPr>
              <w:t>127.219249</w:t>
            </w:r>
          </w:p>
        </w:tc>
        <w:tc>
          <w:tcPr>
            <w:tcW w:w="503" w:type="pct"/>
            <w:vAlign w:val="center"/>
          </w:tcPr>
          <w:p w14:paraId="60403E9E" w14:textId="77777777" w:rsidR="00B14D53" w:rsidRDefault="00000000">
            <w:pPr>
              <w:jc w:val="center"/>
              <w:rPr>
                <w:szCs w:val="21"/>
              </w:rPr>
            </w:pPr>
            <w:r>
              <w:rPr>
                <w:szCs w:val="21"/>
              </w:rPr>
              <w:t>44.698213</w:t>
            </w:r>
          </w:p>
        </w:tc>
        <w:tc>
          <w:tcPr>
            <w:tcW w:w="405" w:type="pct"/>
            <w:vAlign w:val="center"/>
          </w:tcPr>
          <w:p w14:paraId="1BAF20A5" w14:textId="77777777" w:rsidR="00B14D53" w:rsidRDefault="00000000">
            <w:pPr>
              <w:jc w:val="center"/>
              <w:rPr>
                <w:szCs w:val="21"/>
              </w:rPr>
            </w:pPr>
            <w:r>
              <w:rPr>
                <w:szCs w:val="21"/>
              </w:rPr>
              <w:t>200</w:t>
            </w:r>
          </w:p>
        </w:tc>
        <w:tc>
          <w:tcPr>
            <w:tcW w:w="405" w:type="pct"/>
            <w:vAlign w:val="center"/>
          </w:tcPr>
          <w:p w14:paraId="28842D57" w14:textId="77777777" w:rsidR="00B14D53" w:rsidRDefault="00000000">
            <w:pPr>
              <w:jc w:val="center"/>
              <w:rPr>
                <w:szCs w:val="21"/>
              </w:rPr>
            </w:pPr>
            <w:r>
              <w:rPr>
                <w:szCs w:val="21"/>
              </w:rPr>
              <w:t>15</w:t>
            </w:r>
          </w:p>
        </w:tc>
        <w:tc>
          <w:tcPr>
            <w:tcW w:w="419" w:type="pct"/>
            <w:vAlign w:val="center"/>
          </w:tcPr>
          <w:p w14:paraId="71CC1C73" w14:textId="77777777" w:rsidR="00B14D53" w:rsidRDefault="00000000">
            <w:pPr>
              <w:jc w:val="center"/>
              <w:rPr>
                <w:szCs w:val="21"/>
              </w:rPr>
            </w:pPr>
            <w:r>
              <w:rPr>
                <w:szCs w:val="21"/>
              </w:rPr>
              <w:t>0.15</w:t>
            </w:r>
          </w:p>
        </w:tc>
        <w:tc>
          <w:tcPr>
            <w:tcW w:w="388" w:type="pct"/>
            <w:vAlign w:val="center"/>
          </w:tcPr>
          <w:p w14:paraId="3E6C4A4F" w14:textId="77777777" w:rsidR="00B14D53" w:rsidRDefault="00000000">
            <w:pPr>
              <w:jc w:val="center"/>
              <w:rPr>
                <w:szCs w:val="21"/>
              </w:rPr>
            </w:pPr>
            <w:r>
              <w:rPr>
                <w:szCs w:val="21"/>
              </w:rPr>
              <w:t>16.87</w:t>
            </w:r>
          </w:p>
        </w:tc>
        <w:tc>
          <w:tcPr>
            <w:tcW w:w="350" w:type="pct"/>
            <w:vAlign w:val="center"/>
          </w:tcPr>
          <w:p w14:paraId="5B6B8D24" w14:textId="77777777" w:rsidR="00B14D53" w:rsidRDefault="00000000">
            <w:pPr>
              <w:jc w:val="center"/>
              <w:rPr>
                <w:szCs w:val="21"/>
              </w:rPr>
            </w:pPr>
            <w:r>
              <w:rPr>
                <w:szCs w:val="21"/>
              </w:rPr>
              <w:t>20</w:t>
            </w:r>
          </w:p>
        </w:tc>
        <w:tc>
          <w:tcPr>
            <w:tcW w:w="362" w:type="pct"/>
            <w:vAlign w:val="center"/>
          </w:tcPr>
          <w:p w14:paraId="4812931E" w14:textId="77777777" w:rsidR="00B14D53" w:rsidRDefault="00000000">
            <w:pPr>
              <w:jc w:val="center"/>
              <w:rPr>
                <w:szCs w:val="21"/>
              </w:rPr>
            </w:pPr>
            <w:r>
              <w:rPr>
                <w:szCs w:val="21"/>
              </w:rPr>
              <w:t>8160</w:t>
            </w:r>
          </w:p>
        </w:tc>
        <w:tc>
          <w:tcPr>
            <w:tcW w:w="200" w:type="pct"/>
            <w:vMerge/>
            <w:vAlign w:val="center"/>
          </w:tcPr>
          <w:p w14:paraId="0BA2B51A" w14:textId="77777777" w:rsidR="00B14D53" w:rsidRDefault="00B14D53">
            <w:pPr>
              <w:jc w:val="center"/>
              <w:rPr>
                <w:szCs w:val="21"/>
              </w:rPr>
            </w:pPr>
          </w:p>
        </w:tc>
        <w:tc>
          <w:tcPr>
            <w:tcW w:w="449" w:type="pct"/>
            <w:vAlign w:val="center"/>
          </w:tcPr>
          <w:p w14:paraId="7C0A59B1" w14:textId="77777777" w:rsidR="00B14D53" w:rsidRDefault="00000000">
            <w:pPr>
              <w:jc w:val="center"/>
              <w:rPr>
                <w:szCs w:val="21"/>
              </w:rPr>
            </w:pPr>
            <w:r>
              <w:rPr>
                <w:szCs w:val="21"/>
              </w:rPr>
              <w:t>0.002</w:t>
            </w:r>
          </w:p>
        </w:tc>
        <w:tc>
          <w:tcPr>
            <w:tcW w:w="427" w:type="pct"/>
            <w:vAlign w:val="center"/>
          </w:tcPr>
          <w:p w14:paraId="341FE4CC" w14:textId="77777777" w:rsidR="00B14D53" w:rsidRDefault="00000000">
            <w:pPr>
              <w:jc w:val="center"/>
              <w:rPr>
                <w:szCs w:val="21"/>
              </w:rPr>
            </w:pPr>
            <w:r>
              <w:rPr>
                <w:szCs w:val="21"/>
              </w:rPr>
              <w:t>0.0001</w:t>
            </w:r>
          </w:p>
        </w:tc>
      </w:tr>
      <w:tr w:rsidR="00B14D53" w14:paraId="2DF727A9" w14:textId="77777777">
        <w:trPr>
          <w:trHeight w:val="133"/>
        </w:trPr>
        <w:tc>
          <w:tcPr>
            <w:tcW w:w="202" w:type="pct"/>
            <w:vAlign w:val="center"/>
          </w:tcPr>
          <w:p w14:paraId="7C434C78" w14:textId="77777777" w:rsidR="00B14D53" w:rsidRDefault="00000000">
            <w:pPr>
              <w:jc w:val="center"/>
              <w:rPr>
                <w:bCs/>
                <w:szCs w:val="21"/>
              </w:rPr>
            </w:pPr>
            <w:r>
              <w:rPr>
                <w:bCs/>
                <w:szCs w:val="21"/>
              </w:rPr>
              <w:t>3</w:t>
            </w:r>
          </w:p>
        </w:tc>
        <w:tc>
          <w:tcPr>
            <w:tcW w:w="350" w:type="pct"/>
            <w:vAlign w:val="center"/>
          </w:tcPr>
          <w:p w14:paraId="3CD99027" w14:textId="77777777" w:rsidR="00B14D53" w:rsidRDefault="00000000">
            <w:pPr>
              <w:jc w:val="center"/>
              <w:rPr>
                <w:bCs/>
                <w:szCs w:val="21"/>
              </w:rPr>
            </w:pPr>
            <w:r>
              <w:rPr>
                <w:bCs/>
                <w:szCs w:val="21"/>
              </w:rPr>
              <w:t>DA003</w:t>
            </w:r>
          </w:p>
        </w:tc>
        <w:tc>
          <w:tcPr>
            <w:tcW w:w="535" w:type="pct"/>
            <w:vAlign w:val="center"/>
          </w:tcPr>
          <w:p w14:paraId="017C0C0D" w14:textId="77777777" w:rsidR="00B14D53" w:rsidRDefault="00000000">
            <w:pPr>
              <w:jc w:val="center"/>
              <w:rPr>
                <w:szCs w:val="21"/>
              </w:rPr>
            </w:pPr>
            <w:r>
              <w:rPr>
                <w:szCs w:val="21"/>
              </w:rPr>
              <w:t>127.218776</w:t>
            </w:r>
          </w:p>
        </w:tc>
        <w:tc>
          <w:tcPr>
            <w:tcW w:w="503" w:type="pct"/>
            <w:vAlign w:val="center"/>
          </w:tcPr>
          <w:p w14:paraId="0EE70712" w14:textId="77777777" w:rsidR="00B14D53" w:rsidRDefault="00000000">
            <w:pPr>
              <w:jc w:val="center"/>
              <w:rPr>
                <w:szCs w:val="21"/>
              </w:rPr>
            </w:pPr>
            <w:r>
              <w:rPr>
                <w:szCs w:val="21"/>
              </w:rPr>
              <w:t>44.698194</w:t>
            </w:r>
          </w:p>
        </w:tc>
        <w:tc>
          <w:tcPr>
            <w:tcW w:w="405" w:type="pct"/>
            <w:vAlign w:val="center"/>
          </w:tcPr>
          <w:p w14:paraId="500707CB" w14:textId="77777777" w:rsidR="00B14D53" w:rsidRDefault="00000000">
            <w:pPr>
              <w:jc w:val="center"/>
              <w:rPr>
                <w:szCs w:val="21"/>
              </w:rPr>
            </w:pPr>
            <w:r>
              <w:rPr>
                <w:szCs w:val="21"/>
              </w:rPr>
              <w:t>200</w:t>
            </w:r>
          </w:p>
        </w:tc>
        <w:tc>
          <w:tcPr>
            <w:tcW w:w="405" w:type="pct"/>
            <w:vAlign w:val="center"/>
          </w:tcPr>
          <w:p w14:paraId="38C2DC50" w14:textId="77777777" w:rsidR="00B14D53" w:rsidRDefault="00000000">
            <w:pPr>
              <w:jc w:val="center"/>
              <w:rPr>
                <w:szCs w:val="21"/>
              </w:rPr>
            </w:pPr>
            <w:r>
              <w:rPr>
                <w:szCs w:val="21"/>
              </w:rPr>
              <w:t>15</w:t>
            </w:r>
          </w:p>
        </w:tc>
        <w:tc>
          <w:tcPr>
            <w:tcW w:w="419" w:type="pct"/>
            <w:vAlign w:val="center"/>
          </w:tcPr>
          <w:p w14:paraId="268AB7E4" w14:textId="77777777" w:rsidR="00B14D53" w:rsidRDefault="00000000">
            <w:pPr>
              <w:jc w:val="center"/>
              <w:rPr>
                <w:szCs w:val="21"/>
              </w:rPr>
            </w:pPr>
            <w:r>
              <w:rPr>
                <w:szCs w:val="21"/>
              </w:rPr>
              <w:t>0.20</w:t>
            </w:r>
          </w:p>
        </w:tc>
        <w:tc>
          <w:tcPr>
            <w:tcW w:w="388" w:type="pct"/>
            <w:vAlign w:val="center"/>
          </w:tcPr>
          <w:p w14:paraId="32BD5C9A" w14:textId="77777777" w:rsidR="00B14D53" w:rsidRDefault="00000000">
            <w:pPr>
              <w:jc w:val="center"/>
              <w:rPr>
                <w:szCs w:val="21"/>
              </w:rPr>
            </w:pPr>
            <w:r>
              <w:rPr>
                <w:szCs w:val="21"/>
              </w:rPr>
              <w:t>18.98</w:t>
            </w:r>
          </w:p>
        </w:tc>
        <w:tc>
          <w:tcPr>
            <w:tcW w:w="350" w:type="pct"/>
            <w:vAlign w:val="center"/>
          </w:tcPr>
          <w:p w14:paraId="25965152" w14:textId="77777777" w:rsidR="00B14D53" w:rsidRDefault="00000000">
            <w:pPr>
              <w:jc w:val="center"/>
              <w:rPr>
                <w:szCs w:val="21"/>
              </w:rPr>
            </w:pPr>
            <w:r>
              <w:rPr>
                <w:szCs w:val="21"/>
              </w:rPr>
              <w:t>20</w:t>
            </w:r>
          </w:p>
        </w:tc>
        <w:tc>
          <w:tcPr>
            <w:tcW w:w="362" w:type="pct"/>
            <w:vAlign w:val="center"/>
          </w:tcPr>
          <w:p w14:paraId="12BA744F" w14:textId="77777777" w:rsidR="00B14D53" w:rsidRDefault="00000000">
            <w:pPr>
              <w:jc w:val="center"/>
              <w:rPr>
                <w:szCs w:val="21"/>
              </w:rPr>
            </w:pPr>
            <w:r>
              <w:rPr>
                <w:szCs w:val="21"/>
              </w:rPr>
              <w:t>5440</w:t>
            </w:r>
          </w:p>
        </w:tc>
        <w:tc>
          <w:tcPr>
            <w:tcW w:w="200" w:type="pct"/>
            <w:vMerge/>
            <w:vAlign w:val="center"/>
          </w:tcPr>
          <w:p w14:paraId="160CB30C" w14:textId="77777777" w:rsidR="00B14D53" w:rsidRDefault="00B14D53">
            <w:pPr>
              <w:jc w:val="center"/>
              <w:rPr>
                <w:szCs w:val="21"/>
              </w:rPr>
            </w:pPr>
          </w:p>
        </w:tc>
        <w:tc>
          <w:tcPr>
            <w:tcW w:w="449" w:type="pct"/>
            <w:vAlign w:val="center"/>
          </w:tcPr>
          <w:p w14:paraId="003D9D9E" w14:textId="77777777" w:rsidR="00B14D53" w:rsidRDefault="00000000">
            <w:pPr>
              <w:jc w:val="center"/>
              <w:rPr>
                <w:bCs/>
                <w:szCs w:val="21"/>
              </w:rPr>
            </w:pPr>
            <w:r>
              <w:rPr>
                <w:bCs/>
                <w:szCs w:val="21"/>
              </w:rPr>
              <w:t>0.001</w:t>
            </w:r>
          </w:p>
        </w:tc>
        <w:tc>
          <w:tcPr>
            <w:tcW w:w="427" w:type="pct"/>
            <w:vAlign w:val="center"/>
          </w:tcPr>
          <w:p w14:paraId="56D46A19" w14:textId="77777777" w:rsidR="00B14D53" w:rsidRDefault="00000000">
            <w:pPr>
              <w:jc w:val="center"/>
              <w:rPr>
                <w:bCs/>
                <w:szCs w:val="21"/>
              </w:rPr>
            </w:pPr>
            <w:r>
              <w:rPr>
                <w:bCs/>
                <w:szCs w:val="21"/>
              </w:rPr>
              <w:t>0.00004</w:t>
            </w:r>
          </w:p>
        </w:tc>
      </w:tr>
      <w:tr w:rsidR="00B14D53" w14:paraId="5F1F957E" w14:textId="77777777">
        <w:trPr>
          <w:trHeight w:val="265"/>
        </w:trPr>
        <w:tc>
          <w:tcPr>
            <w:tcW w:w="202" w:type="pct"/>
            <w:vAlign w:val="center"/>
          </w:tcPr>
          <w:p w14:paraId="7DB959CE" w14:textId="77777777" w:rsidR="00B14D53" w:rsidRDefault="00000000">
            <w:pPr>
              <w:jc w:val="center"/>
              <w:rPr>
                <w:bCs/>
                <w:szCs w:val="21"/>
              </w:rPr>
            </w:pPr>
            <w:r>
              <w:rPr>
                <w:bCs/>
                <w:szCs w:val="21"/>
              </w:rPr>
              <w:t>4</w:t>
            </w:r>
          </w:p>
        </w:tc>
        <w:tc>
          <w:tcPr>
            <w:tcW w:w="350" w:type="pct"/>
            <w:vAlign w:val="center"/>
          </w:tcPr>
          <w:p w14:paraId="4AB724C1" w14:textId="77777777" w:rsidR="00B14D53" w:rsidRDefault="00000000">
            <w:pPr>
              <w:jc w:val="center"/>
              <w:rPr>
                <w:bCs/>
                <w:szCs w:val="21"/>
              </w:rPr>
            </w:pPr>
            <w:r>
              <w:rPr>
                <w:bCs/>
                <w:szCs w:val="21"/>
              </w:rPr>
              <w:t>DA004</w:t>
            </w:r>
          </w:p>
        </w:tc>
        <w:tc>
          <w:tcPr>
            <w:tcW w:w="535" w:type="pct"/>
            <w:vAlign w:val="center"/>
          </w:tcPr>
          <w:p w14:paraId="6F09CFC2" w14:textId="77777777" w:rsidR="00B14D53" w:rsidRDefault="00000000">
            <w:pPr>
              <w:jc w:val="center"/>
              <w:rPr>
                <w:szCs w:val="21"/>
              </w:rPr>
            </w:pPr>
            <w:r>
              <w:rPr>
                <w:szCs w:val="21"/>
              </w:rPr>
              <w:t>127.218624</w:t>
            </w:r>
          </w:p>
        </w:tc>
        <w:tc>
          <w:tcPr>
            <w:tcW w:w="503" w:type="pct"/>
            <w:vAlign w:val="center"/>
          </w:tcPr>
          <w:p w14:paraId="667448E6" w14:textId="77777777" w:rsidR="00B14D53" w:rsidRDefault="00000000">
            <w:pPr>
              <w:jc w:val="center"/>
              <w:rPr>
                <w:szCs w:val="21"/>
              </w:rPr>
            </w:pPr>
            <w:r>
              <w:rPr>
                <w:szCs w:val="21"/>
              </w:rPr>
              <w:t>44.698333</w:t>
            </w:r>
          </w:p>
        </w:tc>
        <w:tc>
          <w:tcPr>
            <w:tcW w:w="405" w:type="pct"/>
            <w:vAlign w:val="center"/>
          </w:tcPr>
          <w:p w14:paraId="161D9079" w14:textId="77777777" w:rsidR="00B14D53" w:rsidRDefault="00000000">
            <w:pPr>
              <w:jc w:val="center"/>
              <w:rPr>
                <w:szCs w:val="21"/>
              </w:rPr>
            </w:pPr>
            <w:r>
              <w:rPr>
                <w:szCs w:val="21"/>
              </w:rPr>
              <w:t>200</w:t>
            </w:r>
          </w:p>
        </w:tc>
        <w:tc>
          <w:tcPr>
            <w:tcW w:w="405" w:type="pct"/>
            <w:vAlign w:val="center"/>
          </w:tcPr>
          <w:p w14:paraId="073C4189" w14:textId="77777777" w:rsidR="00B14D53" w:rsidRDefault="00000000">
            <w:pPr>
              <w:jc w:val="center"/>
              <w:rPr>
                <w:szCs w:val="21"/>
              </w:rPr>
            </w:pPr>
            <w:r>
              <w:rPr>
                <w:szCs w:val="21"/>
              </w:rPr>
              <w:t>15</w:t>
            </w:r>
          </w:p>
        </w:tc>
        <w:tc>
          <w:tcPr>
            <w:tcW w:w="419" w:type="pct"/>
            <w:vAlign w:val="center"/>
          </w:tcPr>
          <w:p w14:paraId="2DAAD480" w14:textId="77777777" w:rsidR="00B14D53" w:rsidRDefault="00000000">
            <w:pPr>
              <w:jc w:val="center"/>
              <w:rPr>
                <w:szCs w:val="21"/>
              </w:rPr>
            </w:pPr>
            <w:r>
              <w:rPr>
                <w:szCs w:val="21"/>
              </w:rPr>
              <w:t>0.20</w:t>
            </w:r>
          </w:p>
        </w:tc>
        <w:tc>
          <w:tcPr>
            <w:tcW w:w="388" w:type="pct"/>
            <w:vAlign w:val="center"/>
          </w:tcPr>
          <w:p w14:paraId="0DA70107" w14:textId="77777777" w:rsidR="00B14D53" w:rsidRDefault="00000000">
            <w:pPr>
              <w:jc w:val="center"/>
              <w:rPr>
                <w:szCs w:val="21"/>
              </w:rPr>
            </w:pPr>
            <w:r>
              <w:rPr>
                <w:szCs w:val="21"/>
              </w:rPr>
              <w:t>18.98</w:t>
            </w:r>
          </w:p>
        </w:tc>
        <w:tc>
          <w:tcPr>
            <w:tcW w:w="350" w:type="pct"/>
            <w:vAlign w:val="center"/>
          </w:tcPr>
          <w:p w14:paraId="5ADF2ACE" w14:textId="77777777" w:rsidR="00B14D53" w:rsidRDefault="00000000">
            <w:pPr>
              <w:jc w:val="center"/>
              <w:rPr>
                <w:szCs w:val="21"/>
              </w:rPr>
            </w:pPr>
            <w:r>
              <w:rPr>
                <w:szCs w:val="21"/>
              </w:rPr>
              <w:t>20</w:t>
            </w:r>
          </w:p>
        </w:tc>
        <w:tc>
          <w:tcPr>
            <w:tcW w:w="362" w:type="pct"/>
            <w:vAlign w:val="center"/>
          </w:tcPr>
          <w:p w14:paraId="3E7A02B1" w14:textId="77777777" w:rsidR="00B14D53" w:rsidRDefault="00000000">
            <w:pPr>
              <w:jc w:val="center"/>
              <w:rPr>
                <w:szCs w:val="21"/>
              </w:rPr>
            </w:pPr>
            <w:r>
              <w:rPr>
                <w:szCs w:val="21"/>
              </w:rPr>
              <w:t>8160</w:t>
            </w:r>
          </w:p>
        </w:tc>
        <w:tc>
          <w:tcPr>
            <w:tcW w:w="200" w:type="pct"/>
            <w:vMerge/>
            <w:vAlign w:val="center"/>
          </w:tcPr>
          <w:p w14:paraId="69C622AE" w14:textId="77777777" w:rsidR="00B14D53" w:rsidRDefault="00B14D53">
            <w:pPr>
              <w:jc w:val="center"/>
              <w:rPr>
                <w:szCs w:val="21"/>
              </w:rPr>
            </w:pPr>
          </w:p>
        </w:tc>
        <w:tc>
          <w:tcPr>
            <w:tcW w:w="449" w:type="pct"/>
            <w:vAlign w:val="center"/>
          </w:tcPr>
          <w:p w14:paraId="712D5A01" w14:textId="77777777" w:rsidR="00B14D53" w:rsidRDefault="00000000">
            <w:pPr>
              <w:pStyle w:val="afff2"/>
              <w:spacing w:line="240" w:lineRule="auto"/>
              <w:rPr>
                <w:rFonts w:hAnsi="Times New Roman"/>
                <w:bCs/>
              </w:rPr>
            </w:pPr>
            <w:r>
              <w:rPr>
                <w:rFonts w:hAnsi="Times New Roman"/>
                <w:bCs/>
              </w:rPr>
              <w:t>0.002</w:t>
            </w:r>
          </w:p>
        </w:tc>
        <w:tc>
          <w:tcPr>
            <w:tcW w:w="427" w:type="pct"/>
            <w:vAlign w:val="center"/>
          </w:tcPr>
          <w:p w14:paraId="73E2CEAC" w14:textId="77777777" w:rsidR="00B14D53" w:rsidRDefault="00000000">
            <w:pPr>
              <w:pStyle w:val="afff2"/>
              <w:spacing w:line="240" w:lineRule="auto"/>
              <w:rPr>
                <w:rFonts w:hAnsi="Times New Roman"/>
                <w:bCs/>
              </w:rPr>
            </w:pPr>
            <w:r>
              <w:rPr>
                <w:rFonts w:hAnsi="Times New Roman"/>
                <w:bCs/>
              </w:rPr>
              <w:t>0.0001</w:t>
            </w:r>
          </w:p>
        </w:tc>
      </w:tr>
    </w:tbl>
    <w:p w14:paraId="59B6EA19" w14:textId="77777777" w:rsidR="00B14D53" w:rsidRDefault="00B14D53">
      <w:pPr>
        <w:spacing w:line="360" w:lineRule="auto"/>
        <w:ind w:firstLine="482"/>
        <w:jc w:val="center"/>
        <w:rPr>
          <w:rFonts w:eastAsiaTheme="minorEastAsia" w:hAnsiTheme="minorEastAsia" w:hint="eastAsia"/>
          <w:b/>
          <w:sz w:val="24"/>
          <w:highlight w:val="yellow"/>
        </w:rPr>
        <w:sectPr w:rsidR="00B14D53">
          <w:pgSz w:w="16838" w:h="11906" w:orient="landscape"/>
          <w:pgMar w:top="1800" w:right="1440" w:bottom="1800" w:left="1440" w:header="851" w:footer="992" w:gutter="0"/>
          <w:cols w:space="425"/>
          <w:docGrid w:type="lines" w:linePitch="312"/>
        </w:sectPr>
      </w:pPr>
    </w:p>
    <w:p w14:paraId="593FAD6D" w14:textId="77777777" w:rsidR="00B14D53" w:rsidRDefault="00000000">
      <w:pPr>
        <w:jc w:val="center"/>
        <w:rPr>
          <w:b/>
          <w:bCs/>
        </w:rPr>
      </w:pPr>
      <w:r>
        <w:rPr>
          <w:b/>
          <w:bCs/>
        </w:rPr>
        <w:t>表</w:t>
      </w:r>
      <w:r>
        <w:rPr>
          <w:b/>
          <w:bCs/>
        </w:rPr>
        <w:t>2-4-</w:t>
      </w:r>
      <w:r>
        <w:rPr>
          <w:rFonts w:hint="eastAsia"/>
          <w:b/>
          <w:bCs/>
        </w:rPr>
        <w:t xml:space="preserve">4 </w:t>
      </w:r>
      <w:r>
        <w:rPr>
          <w:b/>
          <w:bCs/>
        </w:rPr>
        <w:t>估算模式参数表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88"/>
        <w:gridCol w:w="2520"/>
        <w:gridCol w:w="3598"/>
      </w:tblGrid>
      <w:tr w:rsidR="00B14D53" w14:paraId="3499044B" w14:textId="77777777">
        <w:trPr>
          <w:trHeight w:val="70"/>
          <w:jc w:val="center"/>
        </w:trPr>
        <w:tc>
          <w:tcPr>
            <w:tcW w:w="2834" w:type="pct"/>
            <w:gridSpan w:val="2"/>
            <w:vAlign w:val="center"/>
          </w:tcPr>
          <w:p w14:paraId="7AED2176" w14:textId="77777777" w:rsidR="00B14D53" w:rsidRDefault="00000000">
            <w:pPr>
              <w:jc w:val="center"/>
              <w:rPr>
                <w:rFonts w:eastAsiaTheme="minorEastAsia"/>
                <w:b/>
                <w:bCs/>
                <w:szCs w:val="21"/>
              </w:rPr>
            </w:pPr>
            <w:r>
              <w:rPr>
                <w:rFonts w:eastAsiaTheme="minorEastAsia" w:hAnsiTheme="minorEastAsia"/>
                <w:b/>
                <w:bCs/>
                <w:szCs w:val="21"/>
              </w:rPr>
              <w:t>参数</w:t>
            </w:r>
          </w:p>
        </w:tc>
        <w:tc>
          <w:tcPr>
            <w:tcW w:w="2166" w:type="pct"/>
            <w:vAlign w:val="center"/>
          </w:tcPr>
          <w:p w14:paraId="76299729" w14:textId="77777777" w:rsidR="00B14D53" w:rsidRDefault="00000000">
            <w:pPr>
              <w:jc w:val="center"/>
              <w:rPr>
                <w:rFonts w:eastAsiaTheme="minorEastAsia"/>
                <w:b/>
                <w:bCs/>
                <w:szCs w:val="21"/>
              </w:rPr>
            </w:pPr>
            <w:r>
              <w:rPr>
                <w:rFonts w:eastAsiaTheme="minorEastAsia" w:hAnsiTheme="minorEastAsia"/>
                <w:b/>
                <w:bCs/>
                <w:szCs w:val="21"/>
              </w:rPr>
              <w:t>取值</w:t>
            </w:r>
          </w:p>
        </w:tc>
      </w:tr>
      <w:tr w:rsidR="00B14D53" w14:paraId="7E689EB6" w14:textId="77777777">
        <w:trPr>
          <w:trHeight w:val="70"/>
          <w:jc w:val="center"/>
        </w:trPr>
        <w:tc>
          <w:tcPr>
            <w:tcW w:w="1317" w:type="pct"/>
            <w:vMerge w:val="restart"/>
            <w:vAlign w:val="center"/>
          </w:tcPr>
          <w:p w14:paraId="6D468996" w14:textId="77777777" w:rsidR="00B14D53" w:rsidRDefault="00000000">
            <w:pPr>
              <w:jc w:val="center"/>
              <w:rPr>
                <w:rFonts w:eastAsiaTheme="minorEastAsia"/>
                <w:szCs w:val="21"/>
              </w:rPr>
            </w:pPr>
            <w:r>
              <w:rPr>
                <w:rFonts w:eastAsiaTheme="minorEastAsia" w:hAnsiTheme="minorEastAsia"/>
                <w:szCs w:val="21"/>
              </w:rPr>
              <w:t>城市农村</w:t>
            </w:r>
            <w:r>
              <w:rPr>
                <w:rFonts w:eastAsiaTheme="minorEastAsia"/>
                <w:szCs w:val="21"/>
              </w:rPr>
              <w:t>/</w:t>
            </w:r>
            <w:r>
              <w:rPr>
                <w:rFonts w:eastAsiaTheme="minorEastAsia" w:hAnsiTheme="minorEastAsia"/>
                <w:szCs w:val="21"/>
              </w:rPr>
              <w:t>选项</w:t>
            </w:r>
          </w:p>
        </w:tc>
        <w:tc>
          <w:tcPr>
            <w:tcW w:w="1517" w:type="pct"/>
            <w:vAlign w:val="center"/>
          </w:tcPr>
          <w:p w14:paraId="46191F40" w14:textId="77777777" w:rsidR="00B14D53" w:rsidRDefault="00000000">
            <w:pPr>
              <w:jc w:val="center"/>
              <w:rPr>
                <w:rFonts w:eastAsiaTheme="minorEastAsia"/>
                <w:szCs w:val="21"/>
              </w:rPr>
            </w:pPr>
            <w:r>
              <w:rPr>
                <w:rFonts w:eastAsiaTheme="minorEastAsia" w:hAnsiTheme="minorEastAsia"/>
                <w:szCs w:val="21"/>
              </w:rPr>
              <w:t>城市</w:t>
            </w:r>
            <w:r>
              <w:rPr>
                <w:rFonts w:eastAsiaTheme="minorEastAsia"/>
                <w:szCs w:val="21"/>
              </w:rPr>
              <w:t>/</w:t>
            </w:r>
            <w:r>
              <w:rPr>
                <w:rFonts w:eastAsiaTheme="minorEastAsia" w:hAnsiTheme="minorEastAsia"/>
                <w:szCs w:val="21"/>
              </w:rPr>
              <w:t>农村</w:t>
            </w:r>
          </w:p>
        </w:tc>
        <w:tc>
          <w:tcPr>
            <w:tcW w:w="3692" w:type="dxa"/>
            <w:vAlign w:val="center"/>
          </w:tcPr>
          <w:p w14:paraId="4CD0B97C" w14:textId="77777777" w:rsidR="00B14D53" w:rsidRDefault="00000000">
            <w:pPr>
              <w:jc w:val="center"/>
              <w:rPr>
                <w:rFonts w:eastAsiaTheme="minorEastAsia" w:hAnsiTheme="minorEastAsia" w:hint="eastAsia"/>
                <w:szCs w:val="21"/>
              </w:rPr>
            </w:pPr>
            <w:r>
              <w:rPr>
                <w:rFonts w:eastAsiaTheme="minorEastAsia" w:hAnsiTheme="minorEastAsia"/>
                <w:szCs w:val="21"/>
              </w:rPr>
              <w:t>农村</w:t>
            </w:r>
          </w:p>
        </w:tc>
      </w:tr>
      <w:tr w:rsidR="00B14D53" w14:paraId="487ECD74" w14:textId="77777777">
        <w:trPr>
          <w:trHeight w:val="70"/>
          <w:jc w:val="center"/>
        </w:trPr>
        <w:tc>
          <w:tcPr>
            <w:tcW w:w="1317" w:type="pct"/>
            <w:vMerge/>
            <w:vAlign w:val="center"/>
          </w:tcPr>
          <w:p w14:paraId="0E9DB610" w14:textId="77777777" w:rsidR="00B14D53" w:rsidRDefault="00B14D53">
            <w:pPr>
              <w:jc w:val="center"/>
              <w:rPr>
                <w:rFonts w:eastAsiaTheme="minorEastAsia"/>
                <w:szCs w:val="21"/>
              </w:rPr>
            </w:pPr>
          </w:p>
        </w:tc>
        <w:tc>
          <w:tcPr>
            <w:tcW w:w="1517" w:type="pct"/>
            <w:vAlign w:val="center"/>
          </w:tcPr>
          <w:p w14:paraId="535E46B9" w14:textId="77777777" w:rsidR="00B14D53" w:rsidRDefault="00000000">
            <w:pPr>
              <w:jc w:val="center"/>
              <w:rPr>
                <w:rFonts w:eastAsiaTheme="minorEastAsia"/>
                <w:szCs w:val="21"/>
              </w:rPr>
            </w:pPr>
            <w:r>
              <w:rPr>
                <w:rFonts w:eastAsiaTheme="minorEastAsia" w:hAnsiTheme="minorEastAsia"/>
                <w:szCs w:val="21"/>
              </w:rPr>
              <w:t>人口数</w:t>
            </w:r>
            <w:r>
              <w:rPr>
                <w:rFonts w:eastAsiaTheme="minorEastAsia"/>
                <w:szCs w:val="21"/>
              </w:rPr>
              <w:t>(</w:t>
            </w:r>
            <w:r>
              <w:rPr>
                <w:rFonts w:eastAsiaTheme="minorEastAsia" w:hAnsiTheme="minorEastAsia"/>
                <w:szCs w:val="21"/>
              </w:rPr>
              <w:t>城市人口数</w:t>
            </w:r>
            <w:r>
              <w:rPr>
                <w:rFonts w:eastAsiaTheme="minorEastAsia"/>
                <w:szCs w:val="21"/>
              </w:rPr>
              <w:t>)</w:t>
            </w:r>
          </w:p>
        </w:tc>
        <w:tc>
          <w:tcPr>
            <w:tcW w:w="3692" w:type="dxa"/>
            <w:vAlign w:val="center"/>
          </w:tcPr>
          <w:p w14:paraId="62CC08E9" w14:textId="77777777" w:rsidR="00B14D53" w:rsidRDefault="00000000">
            <w:pPr>
              <w:jc w:val="center"/>
              <w:rPr>
                <w:rFonts w:eastAsiaTheme="minorEastAsia" w:hAnsiTheme="minorEastAsia" w:hint="eastAsia"/>
                <w:szCs w:val="21"/>
              </w:rPr>
            </w:pPr>
            <w:r>
              <w:rPr>
                <w:rFonts w:eastAsiaTheme="minorEastAsia" w:hAnsiTheme="minorEastAsia"/>
                <w:szCs w:val="21"/>
              </w:rPr>
              <w:t>/</w:t>
            </w:r>
          </w:p>
        </w:tc>
      </w:tr>
      <w:tr w:rsidR="00B14D53" w14:paraId="5CC5533D" w14:textId="77777777">
        <w:trPr>
          <w:trHeight w:val="70"/>
          <w:jc w:val="center"/>
        </w:trPr>
        <w:tc>
          <w:tcPr>
            <w:tcW w:w="2834" w:type="pct"/>
            <w:gridSpan w:val="2"/>
            <w:vAlign w:val="center"/>
          </w:tcPr>
          <w:p w14:paraId="439CA9D1" w14:textId="77777777" w:rsidR="00B14D53" w:rsidRDefault="00000000">
            <w:pPr>
              <w:jc w:val="center"/>
              <w:rPr>
                <w:rFonts w:eastAsiaTheme="minorEastAsia"/>
                <w:szCs w:val="21"/>
              </w:rPr>
            </w:pPr>
            <w:r>
              <w:rPr>
                <w:rFonts w:eastAsiaTheme="minorEastAsia" w:hAnsiTheme="minorEastAsia"/>
                <w:szCs w:val="21"/>
              </w:rPr>
              <w:t>最高环境温度</w:t>
            </w:r>
          </w:p>
        </w:tc>
        <w:tc>
          <w:tcPr>
            <w:tcW w:w="3692" w:type="dxa"/>
            <w:vAlign w:val="center"/>
          </w:tcPr>
          <w:p w14:paraId="6C2B861F" w14:textId="77777777" w:rsidR="00B14D53" w:rsidRDefault="00000000">
            <w:pPr>
              <w:jc w:val="center"/>
              <w:rPr>
                <w:rFonts w:eastAsiaTheme="minorEastAsia" w:hAnsiTheme="minorEastAsia" w:hint="eastAsia"/>
                <w:szCs w:val="21"/>
              </w:rPr>
            </w:pPr>
            <w:r>
              <w:rPr>
                <w:rFonts w:eastAsiaTheme="minorEastAsia" w:hAnsiTheme="minorEastAsia"/>
                <w:szCs w:val="21"/>
              </w:rPr>
              <w:t>38.3</w:t>
            </w:r>
          </w:p>
        </w:tc>
      </w:tr>
      <w:tr w:rsidR="00B14D53" w14:paraId="246CE451" w14:textId="77777777">
        <w:trPr>
          <w:trHeight w:val="70"/>
          <w:jc w:val="center"/>
        </w:trPr>
        <w:tc>
          <w:tcPr>
            <w:tcW w:w="2834" w:type="pct"/>
            <w:gridSpan w:val="2"/>
            <w:vAlign w:val="center"/>
          </w:tcPr>
          <w:p w14:paraId="19172E4B" w14:textId="77777777" w:rsidR="00B14D53" w:rsidRDefault="00000000">
            <w:pPr>
              <w:jc w:val="center"/>
              <w:rPr>
                <w:rFonts w:eastAsiaTheme="minorEastAsia"/>
                <w:szCs w:val="21"/>
              </w:rPr>
            </w:pPr>
            <w:r>
              <w:rPr>
                <w:rFonts w:eastAsiaTheme="minorEastAsia" w:hAnsiTheme="minorEastAsia"/>
                <w:szCs w:val="21"/>
              </w:rPr>
              <w:t>最低环境温度</w:t>
            </w:r>
          </w:p>
        </w:tc>
        <w:tc>
          <w:tcPr>
            <w:tcW w:w="3692" w:type="dxa"/>
            <w:vAlign w:val="center"/>
          </w:tcPr>
          <w:p w14:paraId="2957B2A3" w14:textId="77777777" w:rsidR="00B14D53" w:rsidRDefault="00000000">
            <w:pPr>
              <w:jc w:val="center"/>
              <w:rPr>
                <w:rFonts w:eastAsiaTheme="minorEastAsia" w:hAnsiTheme="minorEastAsia" w:hint="eastAsia"/>
                <w:szCs w:val="21"/>
              </w:rPr>
            </w:pPr>
            <w:r>
              <w:rPr>
                <w:rFonts w:eastAsiaTheme="minorEastAsia" w:hAnsiTheme="minorEastAsia"/>
                <w:szCs w:val="21"/>
              </w:rPr>
              <w:t>-44.1</w:t>
            </w:r>
          </w:p>
        </w:tc>
      </w:tr>
      <w:tr w:rsidR="00B14D53" w14:paraId="4E7D9E67" w14:textId="77777777">
        <w:trPr>
          <w:trHeight w:val="70"/>
          <w:jc w:val="center"/>
        </w:trPr>
        <w:tc>
          <w:tcPr>
            <w:tcW w:w="2834" w:type="pct"/>
            <w:gridSpan w:val="2"/>
            <w:vAlign w:val="center"/>
          </w:tcPr>
          <w:p w14:paraId="007FCDBF" w14:textId="77777777" w:rsidR="00B14D53" w:rsidRDefault="00000000">
            <w:pPr>
              <w:jc w:val="center"/>
              <w:rPr>
                <w:rFonts w:eastAsiaTheme="minorEastAsia"/>
                <w:szCs w:val="21"/>
              </w:rPr>
            </w:pPr>
            <w:r>
              <w:rPr>
                <w:rFonts w:eastAsiaTheme="minorEastAsia" w:hAnsiTheme="minorEastAsia"/>
                <w:szCs w:val="21"/>
              </w:rPr>
              <w:t>土地利用类型</w:t>
            </w:r>
          </w:p>
        </w:tc>
        <w:tc>
          <w:tcPr>
            <w:tcW w:w="3692" w:type="dxa"/>
            <w:vAlign w:val="center"/>
          </w:tcPr>
          <w:p w14:paraId="4204D574" w14:textId="77777777" w:rsidR="00B14D53" w:rsidRDefault="00000000">
            <w:pPr>
              <w:jc w:val="center"/>
              <w:rPr>
                <w:rFonts w:eastAsiaTheme="minorEastAsia" w:hAnsiTheme="minorEastAsia" w:hint="eastAsia"/>
                <w:szCs w:val="21"/>
              </w:rPr>
            </w:pPr>
            <w:r>
              <w:rPr>
                <w:rFonts w:eastAsiaTheme="minorEastAsia" w:hAnsiTheme="minorEastAsia"/>
                <w:szCs w:val="21"/>
              </w:rPr>
              <w:t>农田</w:t>
            </w:r>
          </w:p>
        </w:tc>
      </w:tr>
      <w:tr w:rsidR="00B14D53" w14:paraId="4EE5A1A0" w14:textId="77777777">
        <w:trPr>
          <w:trHeight w:val="70"/>
          <w:jc w:val="center"/>
        </w:trPr>
        <w:tc>
          <w:tcPr>
            <w:tcW w:w="2834" w:type="pct"/>
            <w:gridSpan w:val="2"/>
            <w:vAlign w:val="center"/>
          </w:tcPr>
          <w:p w14:paraId="4432C3DD" w14:textId="77777777" w:rsidR="00B14D53" w:rsidRDefault="00000000">
            <w:pPr>
              <w:jc w:val="center"/>
              <w:rPr>
                <w:rFonts w:eastAsiaTheme="minorEastAsia"/>
                <w:szCs w:val="21"/>
              </w:rPr>
            </w:pPr>
            <w:r>
              <w:rPr>
                <w:rFonts w:eastAsiaTheme="minorEastAsia" w:hAnsiTheme="minorEastAsia"/>
                <w:szCs w:val="21"/>
              </w:rPr>
              <w:t>区域湿度条件</w:t>
            </w:r>
          </w:p>
        </w:tc>
        <w:tc>
          <w:tcPr>
            <w:tcW w:w="3692" w:type="dxa"/>
            <w:vAlign w:val="center"/>
          </w:tcPr>
          <w:p w14:paraId="6A90C515" w14:textId="77777777" w:rsidR="00B14D53" w:rsidRDefault="00000000">
            <w:pPr>
              <w:jc w:val="center"/>
              <w:rPr>
                <w:rFonts w:eastAsiaTheme="minorEastAsia" w:hAnsiTheme="minorEastAsia" w:hint="eastAsia"/>
                <w:szCs w:val="21"/>
              </w:rPr>
            </w:pPr>
            <w:r>
              <w:rPr>
                <w:rFonts w:eastAsiaTheme="minorEastAsia" w:hAnsiTheme="minorEastAsia"/>
                <w:szCs w:val="21"/>
              </w:rPr>
              <w:t>潮湿</w:t>
            </w:r>
          </w:p>
        </w:tc>
      </w:tr>
      <w:tr w:rsidR="00B14D53" w14:paraId="5FC0302A" w14:textId="77777777">
        <w:trPr>
          <w:trHeight w:val="70"/>
          <w:jc w:val="center"/>
        </w:trPr>
        <w:tc>
          <w:tcPr>
            <w:tcW w:w="1317" w:type="pct"/>
            <w:vMerge w:val="restart"/>
            <w:vAlign w:val="center"/>
          </w:tcPr>
          <w:p w14:paraId="5A765FA6" w14:textId="77777777" w:rsidR="00B14D53" w:rsidRDefault="00000000">
            <w:pPr>
              <w:jc w:val="center"/>
              <w:rPr>
                <w:rFonts w:eastAsiaTheme="minorEastAsia"/>
                <w:szCs w:val="21"/>
              </w:rPr>
            </w:pPr>
            <w:r>
              <w:rPr>
                <w:rFonts w:eastAsiaTheme="minorEastAsia" w:hAnsiTheme="minorEastAsia"/>
                <w:szCs w:val="21"/>
              </w:rPr>
              <w:t>是否考虑地形</w:t>
            </w:r>
          </w:p>
        </w:tc>
        <w:tc>
          <w:tcPr>
            <w:tcW w:w="1517" w:type="pct"/>
            <w:vAlign w:val="center"/>
          </w:tcPr>
          <w:p w14:paraId="0A404C0F" w14:textId="77777777" w:rsidR="00B14D53" w:rsidRDefault="00000000">
            <w:pPr>
              <w:jc w:val="center"/>
              <w:rPr>
                <w:rFonts w:eastAsiaTheme="minorEastAsia"/>
                <w:szCs w:val="21"/>
              </w:rPr>
            </w:pPr>
            <w:r>
              <w:rPr>
                <w:rFonts w:eastAsiaTheme="minorEastAsia" w:hAnsiTheme="minorEastAsia"/>
                <w:szCs w:val="21"/>
              </w:rPr>
              <w:t>考虑地形</w:t>
            </w:r>
          </w:p>
        </w:tc>
        <w:tc>
          <w:tcPr>
            <w:tcW w:w="3692" w:type="dxa"/>
            <w:vAlign w:val="center"/>
          </w:tcPr>
          <w:p w14:paraId="5FB28C60" w14:textId="77777777" w:rsidR="00B14D53" w:rsidRDefault="00000000">
            <w:pPr>
              <w:jc w:val="center"/>
              <w:rPr>
                <w:rFonts w:eastAsiaTheme="minorEastAsia" w:hAnsiTheme="minorEastAsia" w:hint="eastAsia"/>
                <w:szCs w:val="21"/>
              </w:rPr>
            </w:pPr>
            <w:r>
              <w:rPr>
                <w:rFonts w:eastAsiaTheme="minorEastAsia" w:hAnsiTheme="minorEastAsia"/>
                <w:szCs w:val="21"/>
              </w:rPr>
              <w:t>是</w:t>
            </w:r>
          </w:p>
        </w:tc>
      </w:tr>
      <w:tr w:rsidR="00B14D53" w14:paraId="4B272F56" w14:textId="77777777">
        <w:trPr>
          <w:trHeight w:val="70"/>
          <w:jc w:val="center"/>
        </w:trPr>
        <w:tc>
          <w:tcPr>
            <w:tcW w:w="1317" w:type="pct"/>
            <w:vMerge/>
            <w:vAlign w:val="center"/>
          </w:tcPr>
          <w:p w14:paraId="6B04ADAC" w14:textId="77777777" w:rsidR="00B14D53" w:rsidRDefault="00B14D53">
            <w:pPr>
              <w:jc w:val="center"/>
              <w:rPr>
                <w:rFonts w:eastAsiaTheme="minorEastAsia"/>
                <w:szCs w:val="21"/>
              </w:rPr>
            </w:pPr>
          </w:p>
        </w:tc>
        <w:tc>
          <w:tcPr>
            <w:tcW w:w="1517" w:type="pct"/>
            <w:vAlign w:val="center"/>
          </w:tcPr>
          <w:p w14:paraId="2D878756" w14:textId="77777777" w:rsidR="00B14D53" w:rsidRDefault="00000000">
            <w:pPr>
              <w:jc w:val="center"/>
              <w:rPr>
                <w:rFonts w:eastAsiaTheme="minorEastAsia"/>
                <w:szCs w:val="21"/>
              </w:rPr>
            </w:pPr>
            <w:r>
              <w:rPr>
                <w:rFonts w:eastAsiaTheme="minorEastAsia" w:hAnsiTheme="minorEastAsia"/>
                <w:szCs w:val="21"/>
              </w:rPr>
              <w:t>地形数据分辨率</w:t>
            </w:r>
            <w:r>
              <w:rPr>
                <w:rFonts w:eastAsiaTheme="minorEastAsia"/>
                <w:szCs w:val="21"/>
              </w:rPr>
              <w:t>(m)</w:t>
            </w:r>
          </w:p>
        </w:tc>
        <w:tc>
          <w:tcPr>
            <w:tcW w:w="3692" w:type="dxa"/>
            <w:vAlign w:val="center"/>
          </w:tcPr>
          <w:p w14:paraId="435FBECA" w14:textId="77777777" w:rsidR="00B14D53" w:rsidRDefault="00000000">
            <w:pPr>
              <w:jc w:val="center"/>
              <w:rPr>
                <w:rFonts w:eastAsiaTheme="minorEastAsia" w:hAnsiTheme="minorEastAsia" w:hint="eastAsia"/>
                <w:szCs w:val="21"/>
              </w:rPr>
            </w:pPr>
            <w:r>
              <w:rPr>
                <w:rFonts w:eastAsiaTheme="minorEastAsia" w:hAnsiTheme="minorEastAsia"/>
                <w:szCs w:val="21"/>
              </w:rPr>
              <w:t>90</w:t>
            </w:r>
          </w:p>
        </w:tc>
      </w:tr>
      <w:tr w:rsidR="00B14D53" w14:paraId="55B5340C" w14:textId="77777777">
        <w:trPr>
          <w:trHeight w:val="70"/>
          <w:jc w:val="center"/>
        </w:trPr>
        <w:tc>
          <w:tcPr>
            <w:tcW w:w="1317" w:type="pct"/>
            <w:vMerge w:val="restart"/>
            <w:vAlign w:val="center"/>
          </w:tcPr>
          <w:p w14:paraId="394FDBEC" w14:textId="77777777" w:rsidR="00B14D53" w:rsidRDefault="00000000">
            <w:pPr>
              <w:jc w:val="center"/>
              <w:rPr>
                <w:rFonts w:eastAsiaTheme="minorEastAsia"/>
                <w:szCs w:val="21"/>
              </w:rPr>
            </w:pPr>
            <w:r>
              <w:rPr>
                <w:rFonts w:eastAsiaTheme="minorEastAsia" w:hAnsiTheme="minorEastAsia"/>
                <w:szCs w:val="21"/>
              </w:rPr>
              <w:t>是否考虑海岸线熏烟</w:t>
            </w:r>
          </w:p>
        </w:tc>
        <w:tc>
          <w:tcPr>
            <w:tcW w:w="1517" w:type="pct"/>
            <w:vAlign w:val="center"/>
          </w:tcPr>
          <w:p w14:paraId="47B4B2DE" w14:textId="77777777" w:rsidR="00B14D53" w:rsidRDefault="00000000">
            <w:pPr>
              <w:jc w:val="center"/>
              <w:rPr>
                <w:rFonts w:eastAsiaTheme="minorEastAsia"/>
                <w:szCs w:val="21"/>
              </w:rPr>
            </w:pPr>
            <w:r>
              <w:rPr>
                <w:rFonts w:eastAsiaTheme="minorEastAsia" w:hAnsiTheme="minorEastAsia"/>
                <w:szCs w:val="21"/>
              </w:rPr>
              <w:t>考虑海岸线熏烟</w:t>
            </w:r>
          </w:p>
        </w:tc>
        <w:tc>
          <w:tcPr>
            <w:tcW w:w="3692" w:type="dxa"/>
            <w:vAlign w:val="center"/>
          </w:tcPr>
          <w:p w14:paraId="7A3EC915" w14:textId="77777777" w:rsidR="00B14D53" w:rsidRDefault="00000000">
            <w:pPr>
              <w:jc w:val="center"/>
              <w:rPr>
                <w:rFonts w:eastAsiaTheme="minorEastAsia" w:hAnsiTheme="minorEastAsia" w:hint="eastAsia"/>
                <w:szCs w:val="21"/>
              </w:rPr>
            </w:pPr>
            <w:r>
              <w:rPr>
                <w:rFonts w:eastAsiaTheme="minorEastAsia" w:hAnsiTheme="minorEastAsia"/>
                <w:szCs w:val="21"/>
              </w:rPr>
              <w:t>否</w:t>
            </w:r>
          </w:p>
        </w:tc>
      </w:tr>
      <w:tr w:rsidR="00B14D53" w14:paraId="70781475" w14:textId="77777777">
        <w:trPr>
          <w:trHeight w:val="70"/>
          <w:jc w:val="center"/>
        </w:trPr>
        <w:tc>
          <w:tcPr>
            <w:tcW w:w="1317" w:type="pct"/>
            <w:vMerge/>
            <w:vAlign w:val="center"/>
          </w:tcPr>
          <w:p w14:paraId="239A8F4C" w14:textId="77777777" w:rsidR="00B14D53" w:rsidRDefault="00B14D53">
            <w:pPr>
              <w:jc w:val="center"/>
              <w:rPr>
                <w:rFonts w:eastAsiaTheme="minorEastAsia"/>
                <w:szCs w:val="21"/>
              </w:rPr>
            </w:pPr>
          </w:p>
        </w:tc>
        <w:tc>
          <w:tcPr>
            <w:tcW w:w="1517" w:type="pct"/>
            <w:vAlign w:val="center"/>
          </w:tcPr>
          <w:p w14:paraId="7B780F67" w14:textId="77777777" w:rsidR="00B14D53" w:rsidRDefault="00000000">
            <w:pPr>
              <w:jc w:val="center"/>
              <w:rPr>
                <w:rFonts w:eastAsiaTheme="minorEastAsia"/>
                <w:szCs w:val="21"/>
              </w:rPr>
            </w:pPr>
            <w:r>
              <w:rPr>
                <w:rFonts w:eastAsiaTheme="minorEastAsia" w:hAnsiTheme="minorEastAsia"/>
                <w:szCs w:val="21"/>
              </w:rPr>
              <w:t>海岸线距离</w:t>
            </w:r>
            <w:r>
              <w:rPr>
                <w:rFonts w:eastAsiaTheme="minorEastAsia"/>
                <w:szCs w:val="21"/>
              </w:rPr>
              <w:t>/km</w:t>
            </w:r>
          </w:p>
        </w:tc>
        <w:tc>
          <w:tcPr>
            <w:tcW w:w="3692" w:type="dxa"/>
            <w:vAlign w:val="center"/>
          </w:tcPr>
          <w:p w14:paraId="47F3D67B" w14:textId="77777777" w:rsidR="00B14D53" w:rsidRDefault="00000000">
            <w:pPr>
              <w:jc w:val="center"/>
              <w:rPr>
                <w:rFonts w:eastAsiaTheme="minorEastAsia" w:hAnsiTheme="minorEastAsia" w:hint="eastAsia"/>
                <w:szCs w:val="21"/>
              </w:rPr>
            </w:pPr>
            <w:r>
              <w:rPr>
                <w:rFonts w:eastAsiaTheme="minorEastAsia" w:hAnsiTheme="minorEastAsia"/>
                <w:szCs w:val="21"/>
              </w:rPr>
              <w:t>/</w:t>
            </w:r>
          </w:p>
        </w:tc>
      </w:tr>
      <w:tr w:rsidR="00B14D53" w14:paraId="318E06BB" w14:textId="77777777">
        <w:trPr>
          <w:trHeight w:val="70"/>
          <w:jc w:val="center"/>
        </w:trPr>
        <w:tc>
          <w:tcPr>
            <w:tcW w:w="1317" w:type="pct"/>
            <w:vMerge/>
            <w:vAlign w:val="center"/>
          </w:tcPr>
          <w:p w14:paraId="49B5BC4C" w14:textId="77777777" w:rsidR="00B14D53" w:rsidRDefault="00B14D53">
            <w:pPr>
              <w:jc w:val="center"/>
              <w:rPr>
                <w:rFonts w:eastAsiaTheme="minorEastAsia"/>
                <w:szCs w:val="21"/>
              </w:rPr>
            </w:pPr>
          </w:p>
        </w:tc>
        <w:tc>
          <w:tcPr>
            <w:tcW w:w="1517" w:type="pct"/>
            <w:vAlign w:val="center"/>
          </w:tcPr>
          <w:p w14:paraId="5C0589BF" w14:textId="77777777" w:rsidR="00B14D53" w:rsidRDefault="00000000">
            <w:pPr>
              <w:jc w:val="center"/>
              <w:rPr>
                <w:rFonts w:eastAsiaTheme="minorEastAsia"/>
                <w:szCs w:val="21"/>
              </w:rPr>
            </w:pPr>
            <w:r>
              <w:rPr>
                <w:rFonts w:eastAsiaTheme="minorEastAsia" w:hAnsiTheme="minorEastAsia"/>
                <w:szCs w:val="21"/>
              </w:rPr>
              <w:t>海岸线方向</w:t>
            </w:r>
            <w:r>
              <w:rPr>
                <w:rFonts w:eastAsiaTheme="minorEastAsia"/>
                <w:szCs w:val="21"/>
              </w:rPr>
              <w:t>/</w:t>
            </w:r>
            <w:r>
              <w:rPr>
                <w:rFonts w:eastAsiaTheme="minorEastAsia"/>
                <w:szCs w:val="21"/>
                <w:vertAlign w:val="superscript"/>
              </w:rPr>
              <w:t>o</w:t>
            </w:r>
          </w:p>
        </w:tc>
        <w:tc>
          <w:tcPr>
            <w:tcW w:w="3692" w:type="dxa"/>
            <w:vAlign w:val="center"/>
          </w:tcPr>
          <w:p w14:paraId="5B8251EE" w14:textId="77777777" w:rsidR="00B14D53" w:rsidRDefault="00000000">
            <w:pPr>
              <w:jc w:val="center"/>
              <w:rPr>
                <w:rFonts w:eastAsiaTheme="minorEastAsia" w:hAnsiTheme="minorEastAsia" w:hint="eastAsia"/>
                <w:szCs w:val="21"/>
              </w:rPr>
            </w:pPr>
            <w:r>
              <w:rPr>
                <w:rFonts w:eastAsiaTheme="minorEastAsia" w:hAnsiTheme="minorEastAsia"/>
                <w:szCs w:val="21"/>
              </w:rPr>
              <w:t>/</w:t>
            </w:r>
          </w:p>
        </w:tc>
      </w:tr>
    </w:tbl>
    <w:p w14:paraId="30A503A9" w14:textId="77777777" w:rsidR="00B14D53" w:rsidRDefault="00000000">
      <w:pPr>
        <w:spacing w:line="360" w:lineRule="auto"/>
        <w:ind w:firstLineChars="200" w:firstLine="480"/>
        <w:contextualSpacing/>
        <w:rPr>
          <w:rFonts w:hAnsi="Calibri"/>
          <w:iCs/>
          <w:sz w:val="24"/>
        </w:rPr>
      </w:pPr>
      <w:r>
        <w:rPr>
          <w:rFonts w:hAnsi="Calibri" w:hint="eastAsia"/>
          <w:iCs/>
          <w:sz w:val="24"/>
        </w:rPr>
        <w:t>估算模型参数选取如下：</w:t>
      </w:r>
    </w:p>
    <w:p w14:paraId="458A280F" w14:textId="77777777" w:rsidR="00B14D53" w:rsidRDefault="00000000">
      <w:pPr>
        <w:spacing w:line="360" w:lineRule="auto"/>
        <w:ind w:firstLineChars="200" w:firstLine="480"/>
        <w:contextualSpacing/>
        <w:rPr>
          <w:rFonts w:hAnsi="Calibri"/>
          <w:iCs/>
          <w:sz w:val="24"/>
        </w:rPr>
      </w:pPr>
      <w:r>
        <w:rPr>
          <w:rFonts w:hAnsi="Calibri"/>
          <w:iCs/>
          <w:sz w:val="24"/>
        </w:rPr>
        <w:t>（</w:t>
      </w:r>
      <w:r>
        <w:rPr>
          <w:rFonts w:hAnsi="Calibri"/>
          <w:iCs/>
          <w:sz w:val="24"/>
        </w:rPr>
        <w:t>1</w:t>
      </w:r>
      <w:r>
        <w:rPr>
          <w:rFonts w:hAnsi="Calibri"/>
          <w:iCs/>
          <w:sz w:val="24"/>
        </w:rPr>
        <w:t>）</w:t>
      </w:r>
      <w:r>
        <w:rPr>
          <w:rFonts w:hAnsi="Calibri" w:hint="eastAsia"/>
          <w:iCs/>
          <w:sz w:val="24"/>
        </w:rPr>
        <w:t>根据《环境影响评价技术导则</w:t>
      </w:r>
      <w:r>
        <w:rPr>
          <w:rFonts w:hAnsi="Calibri" w:hint="eastAsia"/>
          <w:iCs/>
          <w:sz w:val="24"/>
        </w:rPr>
        <w:t xml:space="preserve"> </w:t>
      </w:r>
      <w:r>
        <w:rPr>
          <w:rFonts w:hAnsi="Calibri" w:hint="eastAsia"/>
          <w:iCs/>
          <w:sz w:val="24"/>
        </w:rPr>
        <w:t>大气环境》</w:t>
      </w:r>
      <w:r>
        <w:rPr>
          <w:rFonts w:hAnsi="Calibri"/>
          <w:iCs/>
          <w:sz w:val="24"/>
        </w:rPr>
        <w:t>(HJ2.2-2018)</w:t>
      </w:r>
      <w:r>
        <w:rPr>
          <w:rFonts w:hAnsi="Calibri" w:hint="eastAsia"/>
          <w:iCs/>
          <w:sz w:val="24"/>
        </w:rPr>
        <w:t>“附录</w:t>
      </w:r>
      <w:r>
        <w:rPr>
          <w:rFonts w:hAnsi="Calibri"/>
          <w:iCs/>
          <w:sz w:val="24"/>
        </w:rPr>
        <w:t>B</w:t>
      </w:r>
      <w:r>
        <w:rPr>
          <w:rFonts w:hAnsi="Calibri" w:hint="eastAsia"/>
          <w:iCs/>
          <w:sz w:val="24"/>
        </w:rPr>
        <w:t>的</w:t>
      </w:r>
      <w:r>
        <w:rPr>
          <w:rFonts w:hAnsi="Calibri"/>
          <w:iCs/>
          <w:sz w:val="24"/>
        </w:rPr>
        <w:t>B.5</w:t>
      </w:r>
      <w:r>
        <w:rPr>
          <w:rFonts w:hAnsi="Calibri" w:hint="eastAsia"/>
          <w:iCs/>
          <w:sz w:val="24"/>
        </w:rPr>
        <w:t>地表参数</w:t>
      </w:r>
      <w:r>
        <w:rPr>
          <w:rFonts w:hAnsi="Calibri"/>
          <w:iCs/>
          <w:sz w:val="24"/>
        </w:rPr>
        <w:t>—</w:t>
      </w:r>
      <w:r>
        <w:rPr>
          <w:rFonts w:hAnsi="Calibri"/>
          <w:iCs/>
          <w:sz w:val="24"/>
        </w:rPr>
        <w:t>AERSCREEN</w:t>
      </w:r>
      <w:r>
        <w:rPr>
          <w:rFonts w:hAnsi="Calibri" w:hint="eastAsia"/>
          <w:iCs/>
          <w:sz w:val="24"/>
        </w:rPr>
        <w:t>的地表参数根据模型特点取项目周边</w:t>
      </w:r>
      <w:r>
        <w:rPr>
          <w:rFonts w:hAnsi="Calibri"/>
          <w:iCs/>
          <w:sz w:val="24"/>
        </w:rPr>
        <w:t>3km</w:t>
      </w:r>
      <w:r>
        <w:rPr>
          <w:rFonts w:hAnsi="Calibri" w:hint="eastAsia"/>
          <w:iCs/>
          <w:sz w:val="24"/>
        </w:rPr>
        <w:t>范围内占地面积最大的土地利用类型来确定”。根据估算模型自动识别，本项目周边</w:t>
      </w:r>
      <w:r>
        <w:rPr>
          <w:rFonts w:hAnsi="Calibri"/>
          <w:iCs/>
          <w:sz w:val="24"/>
        </w:rPr>
        <w:t>3km</w:t>
      </w:r>
      <w:r>
        <w:rPr>
          <w:rFonts w:hAnsi="Calibri" w:hint="eastAsia"/>
          <w:iCs/>
          <w:sz w:val="24"/>
        </w:rPr>
        <w:t>范围内占地面积最大的土地利用类型为农田，因此本次大气环境影响评价的土地利用类型为农村</w:t>
      </w:r>
      <w:r>
        <w:rPr>
          <w:rFonts w:hAnsi="Calibri"/>
          <w:iCs/>
          <w:sz w:val="24"/>
        </w:rPr>
        <w:t>。</w:t>
      </w:r>
    </w:p>
    <w:p w14:paraId="602FB418" w14:textId="77777777" w:rsidR="00B14D53" w:rsidRDefault="00000000">
      <w:pPr>
        <w:spacing w:line="360" w:lineRule="auto"/>
        <w:ind w:firstLineChars="200" w:firstLine="480"/>
        <w:contextualSpacing/>
        <w:rPr>
          <w:rFonts w:hAnsi="Calibri"/>
          <w:iCs/>
          <w:sz w:val="24"/>
        </w:rPr>
      </w:pPr>
      <w:r>
        <w:rPr>
          <w:rFonts w:hAnsi="Calibri"/>
          <w:iCs/>
          <w:sz w:val="24"/>
        </w:rPr>
        <w:t>（</w:t>
      </w:r>
      <w:r>
        <w:rPr>
          <w:rFonts w:hAnsi="Calibri"/>
          <w:iCs/>
          <w:sz w:val="24"/>
        </w:rPr>
        <w:t>2</w:t>
      </w:r>
      <w:r>
        <w:rPr>
          <w:rFonts w:hAnsi="Calibri"/>
          <w:iCs/>
          <w:sz w:val="24"/>
        </w:rPr>
        <w:t>）</w:t>
      </w:r>
      <w:r>
        <w:rPr>
          <w:rFonts w:hAnsi="Calibri" w:hint="eastAsia"/>
          <w:iCs/>
          <w:sz w:val="24"/>
        </w:rPr>
        <w:t>根据《环境影响评价技术导则</w:t>
      </w:r>
      <w:r>
        <w:rPr>
          <w:rFonts w:hAnsi="Calibri" w:hint="eastAsia"/>
          <w:iCs/>
          <w:sz w:val="24"/>
        </w:rPr>
        <w:t xml:space="preserve"> </w:t>
      </w:r>
      <w:r>
        <w:rPr>
          <w:rFonts w:hAnsi="Calibri" w:hint="eastAsia"/>
          <w:iCs/>
          <w:sz w:val="24"/>
        </w:rPr>
        <w:t>大气环境》</w:t>
      </w:r>
      <w:r>
        <w:rPr>
          <w:rFonts w:hAnsi="Calibri"/>
          <w:iCs/>
          <w:sz w:val="24"/>
        </w:rPr>
        <w:t>(HJ2.2-2018)</w:t>
      </w:r>
      <w:r>
        <w:rPr>
          <w:rFonts w:hAnsi="Calibri" w:hint="eastAsia"/>
          <w:iCs/>
          <w:sz w:val="24"/>
        </w:rPr>
        <w:t>“附录</w:t>
      </w:r>
      <w:r>
        <w:rPr>
          <w:rFonts w:hAnsi="Calibri"/>
          <w:iCs/>
          <w:sz w:val="24"/>
        </w:rPr>
        <w:t>B</w:t>
      </w:r>
      <w:r>
        <w:rPr>
          <w:rFonts w:hAnsi="Calibri" w:hint="eastAsia"/>
          <w:iCs/>
          <w:sz w:val="24"/>
        </w:rPr>
        <w:t>的</w:t>
      </w:r>
      <w:r>
        <w:rPr>
          <w:rFonts w:hAnsi="Calibri"/>
          <w:iCs/>
          <w:sz w:val="24"/>
        </w:rPr>
        <w:t>B.3.1</w:t>
      </w:r>
      <w:r>
        <w:rPr>
          <w:rFonts w:hAnsi="Calibri"/>
          <w:iCs/>
          <w:sz w:val="24"/>
        </w:rPr>
        <w:t>—</w:t>
      </w:r>
      <w:r>
        <w:rPr>
          <w:rFonts w:hAnsi="Calibri" w:hint="eastAsia"/>
          <w:iCs/>
          <w:sz w:val="24"/>
        </w:rPr>
        <w:t>估算模型所需最高和最低环境温度，一般需选取评价区域近</w:t>
      </w:r>
      <w:r>
        <w:rPr>
          <w:rFonts w:hAnsi="Calibri"/>
          <w:iCs/>
          <w:sz w:val="24"/>
        </w:rPr>
        <w:t>20</w:t>
      </w:r>
      <w:r>
        <w:rPr>
          <w:rFonts w:hAnsi="Calibri" w:hint="eastAsia"/>
          <w:iCs/>
          <w:sz w:val="24"/>
        </w:rPr>
        <w:t>年以上资料统计结果”。本项目估算采用估算模型自动获取数据。</w:t>
      </w:r>
    </w:p>
    <w:p w14:paraId="211CE519" w14:textId="77777777" w:rsidR="00B14D53" w:rsidRDefault="00000000">
      <w:pPr>
        <w:spacing w:line="360" w:lineRule="auto"/>
        <w:ind w:firstLineChars="200" w:firstLine="480"/>
        <w:contextualSpacing/>
        <w:rPr>
          <w:rFonts w:hAnsi="Calibri"/>
          <w:iCs/>
          <w:sz w:val="24"/>
        </w:rPr>
      </w:pPr>
      <w:r>
        <w:rPr>
          <w:rFonts w:hAnsi="Calibri"/>
          <w:iCs/>
          <w:sz w:val="24"/>
        </w:rPr>
        <w:t>（</w:t>
      </w:r>
      <w:r>
        <w:rPr>
          <w:rFonts w:hAnsi="Calibri" w:hint="eastAsia"/>
          <w:iCs/>
          <w:sz w:val="24"/>
        </w:rPr>
        <w:t>3</w:t>
      </w:r>
      <w:r>
        <w:rPr>
          <w:rFonts w:hAnsi="Calibri"/>
          <w:iCs/>
          <w:sz w:val="24"/>
        </w:rPr>
        <w:t>）根据</w:t>
      </w:r>
      <w:r>
        <w:rPr>
          <w:rFonts w:hAnsi="Calibri" w:hint="eastAsia"/>
          <w:iCs/>
          <w:sz w:val="24"/>
        </w:rPr>
        <w:t>估算模型自动获取区域湿度条件，结果为潮湿</w:t>
      </w:r>
      <w:r>
        <w:rPr>
          <w:rFonts w:hAnsi="Calibri"/>
          <w:iCs/>
          <w:sz w:val="24"/>
        </w:rPr>
        <w:t>。</w:t>
      </w:r>
    </w:p>
    <w:p w14:paraId="6C8DA488" w14:textId="77777777" w:rsidR="00B14D53" w:rsidRDefault="00000000">
      <w:pPr>
        <w:spacing w:line="360" w:lineRule="auto"/>
        <w:ind w:firstLineChars="200" w:firstLine="480"/>
        <w:rPr>
          <w:sz w:val="24"/>
        </w:rPr>
      </w:pPr>
      <w:r>
        <w:rPr>
          <w:sz w:val="24"/>
        </w:rPr>
        <w:t>（</w:t>
      </w:r>
      <w:r>
        <w:rPr>
          <w:rFonts w:hint="eastAsia"/>
          <w:sz w:val="24"/>
        </w:rPr>
        <w:t>4</w:t>
      </w:r>
      <w:r>
        <w:rPr>
          <w:sz w:val="24"/>
        </w:rPr>
        <w:t>）根据《环境影响评价技术导则大气环境》</w:t>
      </w:r>
      <w:r>
        <w:rPr>
          <w:sz w:val="24"/>
        </w:rPr>
        <w:t>(HJ2.2-2018)</w:t>
      </w:r>
      <w:r>
        <w:rPr>
          <w:sz w:val="24"/>
        </w:rPr>
        <w:t>附录</w:t>
      </w:r>
      <w:r>
        <w:rPr>
          <w:sz w:val="24"/>
        </w:rPr>
        <w:t>B</w:t>
      </w:r>
      <w:r>
        <w:rPr>
          <w:sz w:val="24"/>
        </w:rPr>
        <w:t>的</w:t>
      </w:r>
      <w:r>
        <w:rPr>
          <w:sz w:val="24"/>
        </w:rPr>
        <w:t>B.4</w:t>
      </w:r>
      <w:r>
        <w:rPr>
          <w:sz w:val="24"/>
        </w:rPr>
        <w:t>地形数据可知，原始地形数据分辨率不得小于</w:t>
      </w:r>
      <w:r>
        <w:rPr>
          <w:sz w:val="24"/>
        </w:rPr>
        <w:t>90m</w:t>
      </w:r>
      <w:r>
        <w:rPr>
          <w:sz w:val="24"/>
        </w:rPr>
        <w:t>，根据</w:t>
      </w:r>
      <w:r>
        <w:rPr>
          <w:rFonts w:hint="eastAsia"/>
          <w:sz w:val="24"/>
        </w:rPr>
        <w:t>估算模型输出结果表</w:t>
      </w:r>
      <w:r>
        <w:rPr>
          <w:sz w:val="24"/>
        </w:rPr>
        <w:t>，本项目地形数据分辨率为</w:t>
      </w:r>
      <w:r>
        <w:rPr>
          <w:sz w:val="24"/>
        </w:rPr>
        <w:t>90m</w:t>
      </w:r>
      <w:r>
        <w:rPr>
          <w:sz w:val="24"/>
        </w:rPr>
        <w:t>。</w:t>
      </w:r>
    </w:p>
    <w:p w14:paraId="10EDD4F1" w14:textId="77777777" w:rsidR="00B14D53" w:rsidRDefault="00000000">
      <w:pPr>
        <w:widowControl/>
        <w:spacing w:line="360" w:lineRule="auto"/>
        <w:ind w:firstLineChars="200" w:firstLine="480"/>
        <w:jc w:val="left"/>
        <w:rPr>
          <w:sz w:val="24"/>
        </w:rPr>
      </w:pPr>
      <w:r>
        <w:rPr>
          <w:sz w:val="24"/>
        </w:rPr>
        <w:t>（</w:t>
      </w:r>
      <w:r>
        <w:rPr>
          <w:rFonts w:hint="eastAsia"/>
          <w:sz w:val="24"/>
        </w:rPr>
        <w:t>5</w:t>
      </w:r>
      <w:r>
        <w:rPr>
          <w:sz w:val="24"/>
        </w:rPr>
        <w:t>）</w:t>
      </w:r>
      <w:r>
        <w:rPr>
          <w:rFonts w:ascii="宋体" w:hAnsi="宋体" w:cs="宋体" w:hint="eastAsia"/>
          <w:kern w:val="0"/>
          <w:sz w:val="24"/>
        </w:rPr>
        <w:t>根据《环境影响评价技术导则 大气环境》</w:t>
      </w:r>
      <w:r>
        <w:rPr>
          <w:kern w:val="0"/>
          <w:sz w:val="24"/>
        </w:rPr>
        <w:t>(HJ2.2-2018)“</w:t>
      </w:r>
      <w:r>
        <w:rPr>
          <w:rFonts w:ascii="宋体" w:hAnsi="宋体" w:cs="宋体" w:hint="eastAsia"/>
          <w:kern w:val="0"/>
          <w:sz w:val="24"/>
        </w:rPr>
        <w:t>附录</w:t>
      </w:r>
      <w:r>
        <w:rPr>
          <w:kern w:val="0"/>
          <w:sz w:val="24"/>
        </w:rPr>
        <w:t>B</w:t>
      </w:r>
      <w:r>
        <w:rPr>
          <w:rFonts w:ascii="宋体" w:hAnsi="宋体" w:cs="宋体" w:hint="eastAsia"/>
          <w:kern w:val="0"/>
          <w:sz w:val="24"/>
        </w:rPr>
        <w:t>的</w:t>
      </w:r>
      <w:r>
        <w:rPr>
          <w:kern w:val="0"/>
          <w:sz w:val="24"/>
        </w:rPr>
        <w:t>B.6.2-</w:t>
      </w:r>
      <w:r>
        <w:rPr>
          <w:rFonts w:ascii="宋体" w:hAnsi="宋体" w:cs="宋体" w:hint="eastAsia"/>
          <w:kern w:val="0"/>
          <w:sz w:val="24"/>
        </w:rPr>
        <w:t>对估算模型</w:t>
      </w:r>
      <w:r>
        <w:rPr>
          <w:kern w:val="0"/>
          <w:sz w:val="24"/>
        </w:rPr>
        <w:t>AERSCREEN</w:t>
      </w:r>
      <w:r>
        <w:rPr>
          <w:rFonts w:ascii="宋体" w:hAnsi="宋体" w:cs="宋体" w:hint="eastAsia"/>
          <w:kern w:val="0"/>
          <w:sz w:val="24"/>
        </w:rPr>
        <w:t>，当污染源附近</w:t>
      </w:r>
      <w:r>
        <w:rPr>
          <w:kern w:val="0"/>
          <w:sz w:val="24"/>
        </w:rPr>
        <w:t>3km</w:t>
      </w:r>
      <w:r>
        <w:rPr>
          <w:rFonts w:ascii="宋体" w:hAnsi="宋体" w:cs="宋体" w:hint="eastAsia"/>
          <w:kern w:val="0"/>
          <w:sz w:val="24"/>
        </w:rPr>
        <w:t>范围内有大型水体时，需选择岸边熏烟选项</w:t>
      </w:r>
      <w:r>
        <w:rPr>
          <w:kern w:val="0"/>
          <w:sz w:val="24"/>
        </w:rPr>
        <w:t>”</w:t>
      </w:r>
      <w:r>
        <w:rPr>
          <w:rFonts w:ascii="宋体" w:hAnsi="宋体" w:cs="宋体" w:hint="eastAsia"/>
          <w:kern w:val="0"/>
          <w:sz w:val="24"/>
        </w:rPr>
        <w:t>，本项目污染源</w:t>
      </w:r>
      <w:r>
        <w:rPr>
          <w:kern w:val="0"/>
          <w:sz w:val="24"/>
        </w:rPr>
        <w:t>3km</w:t>
      </w:r>
      <w:r>
        <w:rPr>
          <w:rFonts w:ascii="宋体" w:hAnsi="宋体" w:cs="宋体" w:hint="eastAsia"/>
          <w:kern w:val="0"/>
          <w:sz w:val="24"/>
        </w:rPr>
        <w:t>范围内无大型水体，因此本次大气环境影响评价不考虑岸线熏烟</w:t>
      </w:r>
      <w:r>
        <w:rPr>
          <w:sz w:val="24"/>
        </w:rPr>
        <w:t>。</w:t>
      </w:r>
    </w:p>
    <w:p w14:paraId="0F0EEBCF" w14:textId="77777777" w:rsidR="00B14D53" w:rsidRDefault="00B14D53">
      <w:pPr>
        <w:spacing w:line="360" w:lineRule="auto"/>
        <w:contextualSpacing/>
        <w:jc w:val="center"/>
        <w:rPr>
          <w:rFonts w:eastAsiaTheme="minorEastAsia" w:hAnsiTheme="minorEastAsia" w:hint="eastAsia"/>
          <w:b/>
          <w:sz w:val="24"/>
        </w:rPr>
      </w:pPr>
    </w:p>
    <w:p w14:paraId="4A7917E6" w14:textId="77777777" w:rsidR="00B14D53" w:rsidRDefault="00B14D53">
      <w:pPr>
        <w:spacing w:line="360" w:lineRule="auto"/>
        <w:contextualSpacing/>
        <w:jc w:val="center"/>
        <w:rPr>
          <w:rFonts w:eastAsiaTheme="minorEastAsia" w:hAnsiTheme="minorEastAsia" w:hint="eastAsia"/>
          <w:b/>
          <w:sz w:val="24"/>
        </w:rPr>
      </w:pPr>
    </w:p>
    <w:p w14:paraId="2296B922" w14:textId="77777777" w:rsidR="00B14D53" w:rsidRDefault="00B14D53">
      <w:pPr>
        <w:spacing w:line="360" w:lineRule="auto"/>
        <w:contextualSpacing/>
        <w:jc w:val="center"/>
        <w:rPr>
          <w:rFonts w:eastAsiaTheme="minorEastAsia" w:hAnsiTheme="minorEastAsia" w:hint="eastAsia"/>
          <w:b/>
          <w:sz w:val="24"/>
        </w:rPr>
      </w:pPr>
    </w:p>
    <w:p w14:paraId="0B491A62" w14:textId="77777777" w:rsidR="00B14D53" w:rsidRDefault="00B14D53">
      <w:pPr>
        <w:spacing w:line="360" w:lineRule="auto"/>
        <w:contextualSpacing/>
        <w:jc w:val="center"/>
        <w:rPr>
          <w:rFonts w:eastAsiaTheme="minorEastAsia" w:hAnsiTheme="minorEastAsia" w:hint="eastAsia"/>
          <w:b/>
          <w:sz w:val="24"/>
        </w:rPr>
      </w:pPr>
    </w:p>
    <w:p w14:paraId="0E85CA97" w14:textId="77777777" w:rsidR="00B14D53" w:rsidRDefault="00000000">
      <w:pPr>
        <w:jc w:val="center"/>
        <w:rPr>
          <w:b/>
          <w:bCs/>
        </w:rPr>
      </w:pPr>
      <w:r>
        <w:rPr>
          <w:b/>
          <w:bCs/>
        </w:rPr>
        <w:t>表</w:t>
      </w:r>
      <w:r>
        <w:rPr>
          <w:b/>
          <w:bCs/>
        </w:rPr>
        <w:t>2-4-</w:t>
      </w:r>
      <w:r>
        <w:rPr>
          <w:rFonts w:hint="eastAsia"/>
          <w:b/>
          <w:bCs/>
        </w:rPr>
        <w:t>5</w:t>
      </w:r>
      <w:r>
        <w:rPr>
          <w:b/>
          <w:bCs/>
        </w:rPr>
        <w:t xml:space="preserve"> P</w:t>
      </w:r>
      <w:r>
        <w:rPr>
          <w:b/>
          <w:bCs/>
          <w:vertAlign w:val="subscript"/>
        </w:rPr>
        <w:t>max</w:t>
      </w:r>
      <w:r>
        <w:rPr>
          <w:b/>
          <w:bCs/>
        </w:rPr>
        <w:t>和</w:t>
      </w:r>
      <w:r>
        <w:rPr>
          <w:b/>
          <w:bCs/>
        </w:rPr>
        <w:t>D</w:t>
      </w:r>
      <w:r>
        <w:rPr>
          <w:b/>
          <w:bCs/>
          <w:vertAlign w:val="subscript"/>
        </w:rPr>
        <w:t>10%</w:t>
      </w:r>
      <w:r>
        <w:rPr>
          <w:b/>
          <w:bCs/>
        </w:rPr>
        <w:t>预测和计算结果一览表</w:t>
      </w:r>
    </w:p>
    <w:tbl>
      <w:tblPr>
        <w:tblW w:w="4998" w:type="pct"/>
        <w:tblBorders>
          <w:top w:val="single" w:sz="12" w:space="0" w:color="auto"/>
          <w:bottom w:val="single" w:sz="12" w:space="0" w:color="auto"/>
          <w:insideH w:val="single" w:sz="0" w:space="0" w:color="auto"/>
          <w:insideV w:val="single" w:sz="0" w:space="0" w:color="auto"/>
        </w:tblBorders>
        <w:tblLook w:val="04A0" w:firstRow="1" w:lastRow="0" w:firstColumn="1" w:lastColumn="0" w:noHBand="0" w:noVBand="1"/>
      </w:tblPr>
      <w:tblGrid>
        <w:gridCol w:w="1207"/>
        <w:gridCol w:w="1265"/>
        <w:gridCol w:w="1734"/>
        <w:gridCol w:w="1687"/>
        <w:gridCol w:w="1292"/>
        <w:gridCol w:w="1118"/>
      </w:tblGrid>
      <w:tr w:rsidR="00B14D53" w14:paraId="775FACB3" w14:textId="77777777">
        <w:trPr>
          <w:trHeight w:val="800"/>
        </w:trPr>
        <w:tc>
          <w:tcPr>
            <w:tcW w:w="726" w:type="pct"/>
            <w:vAlign w:val="center"/>
          </w:tcPr>
          <w:p w14:paraId="3DB9C40B" w14:textId="77777777" w:rsidR="00B14D53" w:rsidRDefault="00000000">
            <w:pPr>
              <w:jc w:val="center"/>
              <w:rPr>
                <w:b/>
                <w:bCs/>
                <w:szCs w:val="21"/>
              </w:rPr>
            </w:pPr>
            <w:r>
              <w:rPr>
                <w:b/>
                <w:bCs/>
                <w:szCs w:val="21"/>
              </w:rPr>
              <w:t>污染源名称</w:t>
            </w:r>
          </w:p>
        </w:tc>
        <w:tc>
          <w:tcPr>
            <w:tcW w:w="762" w:type="pct"/>
            <w:vAlign w:val="center"/>
          </w:tcPr>
          <w:p w14:paraId="1AA2B4E3" w14:textId="77777777" w:rsidR="00B14D53" w:rsidRDefault="00000000">
            <w:pPr>
              <w:jc w:val="center"/>
              <w:rPr>
                <w:b/>
                <w:bCs/>
                <w:szCs w:val="21"/>
              </w:rPr>
            </w:pPr>
            <w:r>
              <w:rPr>
                <w:b/>
                <w:bCs/>
                <w:szCs w:val="21"/>
              </w:rPr>
              <w:t>评价因子</w:t>
            </w:r>
          </w:p>
        </w:tc>
        <w:tc>
          <w:tcPr>
            <w:tcW w:w="1043" w:type="pct"/>
            <w:vAlign w:val="center"/>
          </w:tcPr>
          <w:p w14:paraId="6F02289A" w14:textId="77777777" w:rsidR="00B14D53" w:rsidRDefault="00000000">
            <w:pPr>
              <w:jc w:val="center"/>
              <w:rPr>
                <w:b/>
                <w:bCs/>
                <w:szCs w:val="21"/>
              </w:rPr>
            </w:pPr>
            <w:r>
              <w:rPr>
                <w:b/>
                <w:bCs/>
                <w:szCs w:val="21"/>
              </w:rPr>
              <w:t>评价标准</w:t>
            </w:r>
            <w:r>
              <w:rPr>
                <w:b/>
                <w:bCs/>
                <w:szCs w:val="21"/>
              </w:rPr>
              <w:t>(μg/m³)</w:t>
            </w:r>
          </w:p>
        </w:tc>
        <w:tc>
          <w:tcPr>
            <w:tcW w:w="1015" w:type="pct"/>
            <w:vAlign w:val="center"/>
          </w:tcPr>
          <w:p w14:paraId="40DC885E" w14:textId="77777777" w:rsidR="00B14D53" w:rsidRDefault="00000000">
            <w:pPr>
              <w:jc w:val="center"/>
              <w:rPr>
                <w:b/>
                <w:bCs/>
                <w:szCs w:val="21"/>
              </w:rPr>
            </w:pPr>
            <w:r>
              <w:rPr>
                <w:b/>
                <w:bCs/>
                <w:szCs w:val="21"/>
              </w:rPr>
              <w:t>C</w:t>
            </w:r>
            <w:r>
              <w:rPr>
                <w:b/>
                <w:bCs/>
                <w:szCs w:val="21"/>
                <w:vertAlign w:val="subscript"/>
              </w:rPr>
              <w:t>max</w:t>
            </w:r>
            <w:r>
              <w:rPr>
                <w:b/>
                <w:bCs/>
                <w:szCs w:val="21"/>
              </w:rPr>
              <w:t>(μg/m³)</w:t>
            </w:r>
          </w:p>
        </w:tc>
        <w:tc>
          <w:tcPr>
            <w:tcW w:w="778" w:type="pct"/>
            <w:vAlign w:val="center"/>
          </w:tcPr>
          <w:p w14:paraId="676851B1" w14:textId="77777777" w:rsidR="00B14D53" w:rsidRDefault="00000000">
            <w:pPr>
              <w:jc w:val="center"/>
              <w:rPr>
                <w:b/>
                <w:bCs/>
                <w:szCs w:val="21"/>
              </w:rPr>
            </w:pPr>
            <w:r>
              <w:rPr>
                <w:b/>
                <w:bCs/>
                <w:szCs w:val="21"/>
              </w:rPr>
              <w:t>P</w:t>
            </w:r>
            <w:r>
              <w:rPr>
                <w:b/>
                <w:bCs/>
                <w:szCs w:val="21"/>
                <w:vertAlign w:val="subscript"/>
              </w:rPr>
              <w:t>max</w:t>
            </w:r>
            <w:r>
              <w:rPr>
                <w:b/>
                <w:bCs/>
                <w:szCs w:val="21"/>
              </w:rPr>
              <w:t>(%)</w:t>
            </w:r>
          </w:p>
        </w:tc>
        <w:tc>
          <w:tcPr>
            <w:tcW w:w="673" w:type="pct"/>
            <w:vAlign w:val="center"/>
          </w:tcPr>
          <w:p w14:paraId="2812E172" w14:textId="77777777" w:rsidR="00B14D53" w:rsidRDefault="00000000">
            <w:pPr>
              <w:jc w:val="center"/>
              <w:rPr>
                <w:b/>
                <w:bCs/>
                <w:szCs w:val="21"/>
              </w:rPr>
            </w:pPr>
            <w:r>
              <w:rPr>
                <w:b/>
                <w:bCs/>
                <w:szCs w:val="21"/>
              </w:rPr>
              <w:t>D</w:t>
            </w:r>
            <w:r>
              <w:rPr>
                <w:b/>
                <w:bCs/>
                <w:szCs w:val="21"/>
                <w:vertAlign w:val="subscript"/>
              </w:rPr>
              <w:t>10%</w:t>
            </w:r>
            <w:r>
              <w:rPr>
                <w:b/>
                <w:bCs/>
                <w:szCs w:val="21"/>
              </w:rPr>
              <w:t>(m)</w:t>
            </w:r>
          </w:p>
        </w:tc>
      </w:tr>
      <w:tr w:rsidR="00B14D53" w14:paraId="7A44C384" w14:textId="77777777">
        <w:trPr>
          <w:trHeight w:val="90"/>
        </w:trPr>
        <w:tc>
          <w:tcPr>
            <w:tcW w:w="726" w:type="pct"/>
            <w:vMerge w:val="restart"/>
            <w:vAlign w:val="center"/>
          </w:tcPr>
          <w:p w14:paraId="2C714A83" w14:textId="77777777" w:rsidR="00B14D53" w:rsidRDefault="00000000">
            <w:pPr>
              <w:jc w:val="center"/>
              <w:rPr>
                <w:szCs w:val="21"/>
              </w:rPr>
            </w:pPr>
            <w:r>
              <w:rPr>
                <w:szCs w:val="21"/>
              </w:rPr>
              <w:t>1</w:t>
            </w:r>
            <w:r>
              <w:rPr>
                <w:rFonts w:hint="eastAsia"/>
                <w:szCs w:val="21"/>
              </w:rPr>
              <w:t>#</w:t>
            </w:r>
            <w:r>
              <w:rPr>
                <w:szCs w:val="21"/>
              </w:rPr>
              <w:t>待宰圈</w:t>
            </w:r>
            <w:r>
              <w:rPr>
                <w:szCs w:val="21"/>
              </w:rPr>
              <w:t>DA001</w:t>
            </w:r>
          </w:p>
        </w:tc>
        <w:tc>
          <w:tcPr>
            <w:tcW w:w="762" w:type="pct"/>
            <w:vAlign w:val="center"/>
          </w:tcPr>
          <w:p w14:paraId="11444442" w14:textId="77777777" w:rsidR="00B14D53" w:rsidRDefault="00000000">
            <w:pPr>
              <w:jc w:val="center"/>
              <w:rPr>
                <w:szCs w:val="21"/>
              </w:rPr>
            </w:pPr>
            <w:r>
              <w:rPr>
                <w:szCs w:val="21"/>
              </w:rPr>
              <w:t>NH</w:t>
            </w:r>
            <w:r>
              <w:rPr>
                <w:szCs w:val="21"/>
                <w:vertAlign w:val="subscript"/>
              </w:rPr>
              <w:t>3</w:t>
            </w:r>
          </w:p>
        </w:tc>
        <w:tc>
          <w:tcPr>
            <w:tcW w:w="1043" w:type="pct"/>
            <w:vAlign w:val="center"/>
          </w:tcPr>
          <w:p w14:paraId="02FB4217" w14:textId="77777777" w:rsidR="00B14D53" w:rsidRDefault="00000000">
            <w:pPr>
              <w:jc w:val="center"/>
              <w:rPr>
                <w:szCs w:val="21"/>
              </w:rPr>
            </w:pPr>
            <w:r>
              <w:rPr>
                <w:szCs w:val="21"/>
              </w:rPr>
              <w:t>200.0</w:t>
            </w:r>
          </w:p>
        </w:tc>
        <w:tc>
          <w:tcPr>
            <w:tcW w:w="1015" w:type="pct"/>
            <w:vAlign w:val="center"/>
          </w:tcPr>
          <w:p w14:paraId="7C2322FA" w14:textId="77777777" w:rsidR="00B14D53" w:rsidRDefault="00000000">
            <w:pPr>
              <w:jc w:val="center"/>
              <w:rPr>
                <w:szCs w:val="21"/>
              </w:rPr>
            </w:pPr>
            <w:r>
              <w:rPr>
                <w:szCs w:val="21"/>
              </w:rPr>
              <w:t>0.0551</w:t>
            </w:r>
          </w:p>
        </w:tc>
        <w:tc>
          <w:tcPr>
            <w:tcW w:w="778" w:type="pct"/>
            <w:vAlign w:val="center"/>
          </w:tcPr>
          <w:p w14:paraId="6B01BA9E" w14:textId="77777777" w:rsidR="00B14D53" w:rsidRDefault="00000000">
            <w:pPr>
              <w:jc w:val="center"/>
              <w:rPr>
                <w:szCs w:val="21"/>
              </w:rPr>
            </w:pPr>
            <w:r>
              <w:rPr>
                <w:szCs w:val="21"/>
              </w:rPr>
              <w:t>0.0275</w:t>
            </w:r>
          </w:p>
        </w:tc>
        <w:tc>
          <w:tcPr>
            <w:tcW w:w="673" w:type="pct"/>
            <w:vAlign w:val="center"/>
          </w:tcPr>
          <w:p w14:paraId="3C614299" w14:textId="77777777" w:rsidR="00B14D53" w:rsidRDefault="00000000">
            <w:pPr>
              <w:jc w:val="center"/>
              <w:rPr>
                <w:szCs w:val="21"/>
              </w:rPr>
            </w:pPr>
            <w:r>
              <w:rPr>
                <w:szCs w:val="21"/>
              </w:rPr>
              <w:t>/</w:t>
            </w:r>
          </w:p>
        </w:tc>
      </w:tr>
      <w:tr w:rsidR="00B14D53" w14:paraId="61C7CEEC" w14:textId="77777777">
        <w:trPr>
          <w:trHeight w:val="90"/>
        </w:trPr>
        <w:tc>
          <w:tcPr>
            <w:tcW w:w="726" w:type="pct"/>
            <w:vMerge/>
            <w:vAlign w:val="center"/>
          </w:tcPr>
          <w:p w14:paraId="3B0D9A49" w14:textId="77777777" w:rsidR="00B14D53" w:rsidRDefault="00B14D53">
            <w:pPr>
              <w:jc w:val="center"/>
              <w:rPr>
                <w:szCs w:val="21"/>
              </w:rPr>
            </w:pPr>
          </w:p>
        </w:tc>
        <w:tc>
          <w:tcPr>
            <w:tcW w:w="762" w:type="pct"/>
            <w:vAlign w:val="center"/>
          </w:tcPr>
          <w:p w14:paraId="13E4BBC3" w14:textId="77777777" w:rsidR="00B14D53" w:rsidRDefault="00000000">
            <w:pPr>
              <w:jc w:val="center"/>
              <w:rPr>
                <w:szCs w:val="21"/>
              </w:rPr>
            </w:pPr>
            <w:r>
              <w:rPr>
                <w:szCs w:val="21"/>
              </w:rPr>
              <w:t>H</w:t>
            </w:r>
            <w:r>
              <w:rPr>
                <w:szCs w:val="21"/>
                <w:vertAlign w:val="subscript"/>
              </w:rPr>
              <w:t>2</w:t>
            </w:r>
            <w:r>
              <w:rPr>
                <w:szCs w:val="21"/>
              </w:rPr>
              <w:t>S</w:t>
            </w:r>
          </w:p>
        </w:tc>
        <w:tc>
          <w:tcPr>
            <w:tcW w:w="1043" w:type="pct"/>
            <w:vAlign w:val="center"/>
          </w:tcPr>
          <w:p w14:paraId="4903E821" w14:textId="77777777" w:rsidR="00B14D53" w:rsidRDefault="00000000">
            <w:pPr>
              <w:jc w:val="center"/>
              <w:rPr>
                <w:szCs w:val="21"/>
              </w:rPr>
            </w:pPr>
            <w:r>
              <w:rPr>
                <w:szCs w:val="21"/>
              </w:rPr>
              <w:t>10.0</w:t>
            </w:r>
          </w:p>
        </w:tc>
        <w:tc>
          <w:tcPr>
            <w:tcW w:w="1015" w:type="pct"/>
            <w:vAlign w:val="center"/>
          </w:tcPr>
          <w:p w14:paraId="35ED0DFC" w14:textId="77777777" w:rsidR="00B14D53" w:rsidRDefault="00000000">
            <w:pPr>
              <w:jc w:val="center"/>
              <w:rPr>
                <w:szCs w:val="21"/>
              </w:rPr>
            </w:pPr>
            <w:r>
              <w:rPr>
                <w:szCs w:val="21"/>
              </w:rPr>
              <w:t>0.0037</w:t>
            </w:r>
          </w:p>
        </w:tc>
        <w:tc>
          <w:tcPr>
            <w:tcW w:w="778" w:type="pct"/>
            <w:vAlign w:val="center"/>
          </w:tcPr>
          <w:p w14:paraId="623E47C6" w14:textId="77777777" w:rsidR="00B14D53" w:rsidRDefault="00000000">
            <w:pPr>
              <w:jc w:val="center"/>
              <w:rPr>
                <w:szCs w:val="21"/>
              </w:rPr>
            </w:pPr>
            <w:r>
              <w:rPr>
                <w:szCs w:val="21"/>
              </w:rPr>
              <w:t>0.0367</w:t>
            </w:r>
          </w:p>
        </w:tc>
        <w:tc>
          <w:tcPr>
            <w:tcW w:w="673" w:type="pct"/>
            <w:vAlign w:val="center"/>
          </w:tcPr>
          <w:p w14:paraId="0A545EDC" w14:textId="77777777" w:rsidR="00B14D53" w:rsidRDefault="00000000">
            <w:pPr>
              <w:jc w:val="center"/>
              <w:rPr>
                <w:szCs w:val="21"/>
              </w:rPr>
            </w:pPr>
            <w:r>
              <w:rPr>
                <w:szCs w:val="21"/>
              </w:rPr>
              <w:t>/</w:t>
            </w:r>
          </w:p>
        </w:tc>
      </w:tr>
      <w:tr w:rsidR="00B14D53" w14:paraId="64F06A2E" w14:textId="77777777">
        <w:trPr>
          <w:trHeight w:val="90"/>
        </w:trPr>
        <w:tc>
          <w:tcPr>
            <w:tcW w:w="726" w:type="pct"/>
            <w:vMerge w:val="restart"/>
            <w:vAlign w:val="center"/>
          </w:tcPr>
          <w:p w14:paraId="495A2BFE" w14:textId="77777777" w:rsidR="00B14D53" w:rsidRDefault="00000000">
            <w:pPr>
              <w:jc w:val="center"/>
              <w:rPr>
                <w:szCs w:val="21"/>
              </w:rPr>
            </w:pPr>
            <w:r>
              <w:rPr>
                <w:szCs w:val="21"/>
              </w:rPr>
              <w:t>2</w:t>
            </w:r>
            <w:r>
              <w:rPr>
                <w:rFonts w:hint="eastAsia"/>
                <w:szCs w:val="21"/>
              </w:rPr>
              <w:t>#</w:t>
            </w:r>
            <w:r>
              <w:rPr>
                <w:szCs w:val="21"/>
              </w:rPr>
              <w:t>待宰圈</w:t>
            </w:r>
            <w:r>
              <w:rPr>
                <w:szCs w:val="21"/>
              </w:rPr>
              <w:t>DA002</w:t>
            </w:r>
          </w:p>
        </w:tc>
        <w:tc>
          <w:tcPr>
            <w:tcW w:w="1299" w:type="dxa"/>
            <w:vAlign w:val="center"/>
          </w:tcPr>
          <w:p w14:paraId="23569D92" w14:textId="77777777" w:rsidR="00B14D53" w:rsidRDefault="00000000">
            <w:pPr>
              <w:jc w:val="center"/>
              <w:rPr>
                <w:szCs w:val="21"/>
              </w:rPr>
            </w:pPr>
            <w:r>
              <w:rPr>
                <w:szCs w:val="21"/>
              </w:rPr>
              <w:t>NH</w:t>
            </w:r>
            <w:r>
              <w:rPr>
                <w:szCs w:val="21"/>
                <w:vertAlign w:val="subscript"/>
              </w:rPr>
              <w:t>3</w:t>
            </w:r>
          </w:p>
        </w:tc>
        <w:tc>
          <w:tcPr>
            <w:tcW w:w="1043" w:type="pct"/>
            <w:vAlign w:val="center"/>
          </w:tcPr>
          <w:p w14:paraId="4CE7ABE7" w14:textId="77777777" w:rsidR="00B14D53" w:rsidRDefault="00000000">
            <w:pPr>
              <w:jc w:val="center"/>
              <w:rPr>
                <w:szCs w:val="21"/>
              </w:rPr>
            </w:pPr>
            <w:r>
              <w:rPr>
                <w:szCs w:val="21"/>
              </w:rPr>
              <w:t>200.0</w:t>
            </w:r>
          </w:p>
        </w:tc>
        <w:tc>
          <w:tcPr>
            <w:tcW w:w="1015" w:type="pct"/>
            <w:vAlign w:val="center"/>
          </w:tcPr>
          <w:p w14:paraId="6EBA89CB" w14:textId="77777777" w:rsidR="00B14D53" w:rsidRDefault="00000000">
            <w:pPr>
              <w:jc w:val="center"/>
              <w:rPr>
                <w:szCs w:val="21"/>
              </w:rPr>
            </w:pPr>
            <w:r>
              <w:rPr>
                <w:szCs w:val="21"/>
              </w:rPr>
              <w:t>0.1954</w:t>
            </w:r>
          </w:p>
        </w:tc>
        <w:tc>
          <w:tcPr>
            <w:tcW w:w="778" w:type="pct"/>
            <w:vAlign w:val="center"/>
          </w:tcPr>
          <w:p w14:paraId="05451887" w14:textId="77777777" w:rsidR="00B14D53" w:rsidRDefault="00000000">
            <w:pPr>
              <w:jc w:val="center"/>
              <w:rPr>
                <w:szCs w:val="21"/>
              </w:rPr>
            </w:pPr>
            <w:r>
              <w:rPr>
                <w:szCs w:val="21"/>
              </w:rPr>
              <w:t>0.0977</w:t>
            </w:r>
          </w:p>
        </w:tc>
        <w:tc>
          <w:tcPr>
            <w:tcW w:w="673" w:type="pct"/>
            <w:vAlign w:val="center"/>
          </w:tcPr>
          <w:p w14:paraId="46CA962F" w14:textId="77777777" w:rsidR="00B14D53" w:rsidRDefault="00B14D53">
            <w:pPr>
              <w:jc w:val="center"/>
              <w:rPr>
                <w:szCs w:val="21"/>
              </w:rPr>
            </w:pPr>
          </w:p>
        </w:tc>
      </w:tr>
      <w:tr w:rsidR="00B14D53" w14:paraId="3D60B4E1" w14:textId="77777777">
        <w:trPr>
          <w:trHeight w:val="90"/>
        </w:trPr>
        <w:tc>
          <w:tcPr>
            <w:tcW w:w="726" w:type="pct"/>
            <w:vMerge/>
            <w:vAlign w:val="center"/>
          </w:tcPr>
          <w:p w14:paraId="76265022" w14:textId="77777777" w:rsidR="00B14D53" w:rsidRDefault="00B14D53">
            <w:pPr>
              <w:jc w:val="center"/>
              <w:rPr>
                <w:szCs w:val="21"/>
              </w:rPr>
            </w:pPr>
          </w:p>
        </w:tc>
        <w:tc>
          <w:tcPr>
            <w:tcW w:w="1299" w:type="dxa"/>
            <w:vAlign w:val="center"/>
          </w:tcPr>
          <w:p w14:paraId="36DD17FF" w14:textId="77777777" w:rsidR="00B14D53" w:rsidRDefault="00000000">
            <w:pPr>
              <w:jc w:val="center"/>
              <w:rPr>
                <w:szCs w:val="21"/>
              </w:rPr>
            </w:pPr>
            <w:r>
              <w:rPr>
                <w:szCs w:val="21"/>
              </w:rPr>
              <w:t>H</w:t>
            </w:r>
            <w:r>
              <w:rPr>
                <w:szCs w:val="21"/>
                <w:vertAlign w:val="subscript"/>
              </w:rPr>
              <w:t>2</w:t>
            </w:r>
            <w:r>
              <w:rPr>
                <w:szCs w:val="21"/>
              </w:rPr>
              <w:t>S</w:t>
            </w:r>
          </w:p>
        </w:tc>
        <w:tc>
          <w:tcPr>
            <w:tcW w:w="1043" w:type="pct"/>
            <w:vAlign w:val="center"/>
          </w:tcPr>
          <w:p w14:paraId="5AEE5DFD" w14:textId="77777777" w:rsidR="00B14D53" w:rsidRDefault="00000000">
            <w:pPr>
              <w:jc w:val="center"/>
              <w:rPr>
                <w:szCs w:val="21"/>
              </w:rPr>
            </w:pPr>
            <w:r>
              <w:rPr>
                <w:szCs w:val="21"/>
              </w:rPr>
              <w:t>10.0</w:t>
            </w:r>
          </w:p>
        </w:tc>
        <w:tc>
          <w:tcPr>
            <w:tcW w:w="1015" w:type="pct"/>
            <w:vAlign w:val="center"/>
          </w:tcPr>
          <w:p w14:paraId="05989046" w14:textId="77777777" w:rsidR="00B14D53" w:rsidRDefault="00000000">
            <w:pPr>
              <w:jc w:val="center"/>
              <w:rPr>
                <w:szCs w:val="21"/>
              </w:rPr>
            </w:pPr>
            <w:r>
              <w:rPr>
                <w:szCs w:val="21"/>
              </w:rPr>
              <w:t>0.0098</w:t>
            </w:r>
          </w:p>
        </w:tc>
        <w:tc>
          <w:tcPr>
            <w:tcW w:w="778" w:type="pct"/>
            <w:vAlign w:val="center"/>
          </w:tcPr>
          <w:p w14:paraId="48E38D58" w14:textId="77777777" w:rsidR="00B14D53" w:rsidRDefault="00000000">
            <w:pPr>
              <w:jc w:val="center"/>
              <w:rPr>
                <w:szCs w:val="21"/>
              </w:rPr>
            </w:pPr>
            <w:r>
              <w:rPr>
                <w:szCs w:val="21"/>
              </w:rPr>
              <w:t>0.0977</w:t>
            </w:r>
          </w:p>
        </w:tc>
        <w:tc>
          <w:tcPr>
            <w:tcW w:w="673" w:type="pct"/>
            <w:vAlign w:val="center"/>
          </w:tcPr>
          <w:p w14:paraId="5CB2407C" w14:textId="77777777" w:rsidR="00B14D53" w:rsidRDefault="00B14D53">
            <w:pPr>
              <w:jc w:val="center"/>
              <w:rPr>
                <w:szCs w:val="21"/>
              </w:rPr>
            </w:pPr>
          </w:p>
        </w:tc>
      </w:tr>
      <w:tr w:rsidR="00B14D53" w14:paraId="7A3C9CDF" w14:textId="77777777">
        <w:trPr>
          <w:trHeight w:val="90"/>
        </w:trPr>
        <w:tc>
          <w:tcPr>
            <w:tcW w:w="726" w:type="pct"/>
            <w:vMerge w:val="restart"/>
            <w:vAlign w:val="center"/>
          </w:tcPr>
          <w:p w14:paraId="420801CA" w14:textId="77777777" w:rsidR="00B14D53" w:rsidRDefault="00000000">
            <w:pPr>
              <w:jc w:val="center"/>
              <w:rPr>
                <w:szCs w:val="21"/>
              </w:rPr>
            </w:pPr>
            <w:r>
              <w:rPr>
                <w:szCs w:val="21"/>
              </w:rPr>
              <w:t>屠宰车间</w:t>
            </w:r>
            <w:r>
              <w:rPr>
                <w:szCs w:val="21"/>
              </w:rPr>
              <w:t>DA003</w:t>
            </w:r>
          </w:p>
        </w:tc>
        <w:tc>
          <w:tcPr>
            <w:tcW w:w="1299" w:type="dxa"/>
            <w:vAlign w:val="center"/>
          </w:tcPr>
          <w:p w14:paraId="48398B5B" w14:textId="77777777" w:rsidR="00B14D53" w:rsidRDefault="00000000">
            <w:pPr>
              <w:jc w:val="center"/>
              <w:rPr>
                <w:szCs w:val="21"/>
              </w:rPr>
            </w:pPr>
            <w:r>
              <w:rPr>
                <w:szCs w:val="21"/>
              </w:rPr>
              <w:t>NH</w:t>
            </w:r>
            <w:r>
              <w:rPr>
                <w:szCs w:val="21"/>
                <w:vertAlign w:val="subscript"/>
              </w:rPr>
              <w:t>3</w:t>
            </w:r>
          </w:p>
        </w:tc>
        <w:tc>
          <w:tcPr>
            <w:tcW w:w="1043" w:type="pct"/>
            <w:vAlign w:val="center"/>
          </w:tcPr>
          <w:p w14:paraId="62A40E41" w14:textId="77777777" w:rsidR="00B14D53" w:rsidRDefault="00000000">
            <w:pPr>
              <w:jc w:val="center"/>
              <w:rPr>
                <w:szCs w:val="21"/>
              </w:rPr>
            </w:pPr>
            <w:r>
              <w:rPr>
                <w:szCs w:val="21"/>
              </w:rPr>
              <w:t>200.0</w:t>
            </w:r>
          </w:p>
        </w:tc>
        <w:tc>
          <w:tcPr>
            <w:tcW w:w="1015" w:type="pct"/>
            <w:vAlign w:val="center"/>
          </w:tcPr>
          <w:p w14:paraId="4AC3B88B" w14:textId="77777777" w:rsidR="00B14D53" w:rsidRDefault="00000000">
            <w:pPr>
              <w:jc w:val="center"/>
              <w:rPr>
                <w:szCs w:val="21"/>
              </w:rPr>
            </w:pPr>
            <w:r>
              <w:rPr>
                <w:szCs w:val="21"/>
              </w:rPr>
              <w:t>0.1166</w:t>
            </w:r>
          </w:p>
        </w:tc>
        <w:tc>
          <w:tcPr>
            <w:tcW w:w="778" w:type="pct"/>
            <w:vAlign w:val="center"/>
          </w:tcPr>
          <w:p w14:paraId="518B79AC" w14:textId="77777777" w:rsidR="00B14D53" w:rsidRDefault="00000000">
            <w:pPr>
              <w:jc w:val="center"/>
              <w:rPr>
                <w:szCs w:val="21"/>
              </w:rPr>
            </w:pPr>
            <w:r>
              <w:rPr>
                <w:szCs w:val="21"/>
              </w:rPr>
              <w:t>0.0583</w:t>
            </w:r>
          </w:p>
        </w:tc>
        <w:tc>
          <w:tcPr>
            <w:tcW w:w="673" w:type="pct"/>
            <w:vAlign w:val="center"/>
          </w:tcPr>
          <w:p w14:paraId="6EC798C4" w14:textId="77777777" w:rsidR="00B14D53" w:rsidRDefault="00000000">
            <w:pPr>
              <w:jc w:val="center"/>
              <w:rPr>
                <w:szCs w:val="21"/>
              </w:rPr>
            </w:pPr>
            <w:r>
              <w:rPr>
                <w:szCs w:val="21"/>
              </w:rPr>
              <w:t>/</w:t>
            </w:r>
          </w:p>
        </w:tc>
      </w:tr>
      <w:tr w:rsidR="00B14D53" w14:paraId="1750C1B0" w14:textId="77777777">
        <w:trPr>
          <w:trHeight w:val="90"/>
        </w:trPr>
        <w:tc>
          <w:tcPr>
            <w:tcW w:w="726" w:type="pct"/>
            <w:vMerge/>
            <w:vAlign w:val="center"/>
          </w:tcPr>
          <w:p w14:paraId="025B1904" w14:textId="77777777" w:rsidR="00B14D53" w:rsidRDefault="00B14D53">
            <w:pPr>
              <w:jc w:val="center"/>
              <w:rPr>
                <w:szCs w:val="21"/>
              </w:rPr>
            </w:pPr>
          </w:p>
        </w:tc>
        <w:tc>
          <w:tcPr>
            <w:tcW w:w="1299" w:type="dxa"/>
            <w:vAlign w:val="center"/>
          </w:tcPr>
          <w:p w14:paraId="7BDB679F" w14:textId="77777777" w:rsidR="00B14D53" w:rsidRDefault="00000000">
            <w:pPr>
              <w:jc w:val="center"/>
              <w:rPr>
                <w:szCs w:val="21"/>
              </w:rPr>
            </w:pPr>
            <w:r>
              <w:rPr>
                <w:szCs w:val="21"/>
              </w:rPr>
              <w:t>H</w:t>
            </w:r>
            <w:r>
              <w:rPr>
                <w:szCs w:val="21"/>
                <w:vertAlign w:val="subscript"/>
              </w:rPr>
              <w:t>2</w:t>
            </w:r>
            <w:r>
              <w:rPr>
                <w:szCs w:val="21"/>
              </w:rPr>
              <w:t>S</w:t>
            </w:r>
          </w:p>
        </w:tc>
        <w:tc>
          <w:tcPr>
            <w:tcW w:w="1043" w:type="pct"/>
            <w:vAlign w:val="center"/>
          </w:tcPr>
          <w:p w14:paraId="2B232F4F" w14:textId="77777777" w:rsidR="00B14D53" w:rsidRDefault="00000000">
            <w:pPr>
              <w:jc w:val="center"/>
              <w:rPr>
                <w:szCs w:val="21"/>
              </w:rPr>
            </w:pPr>
            <w:r>
              <w:rPr>
                <w:szCs w:val="21"/>
              </w:rPr>
              <w:t>10.0</w:t>
            </w:r>
          </w:p>
        </w:tc>
        <w:tc>
          <w:tcPr>
            <w:tcW w:w="1015" w:type="pct"/>
            <w:vAlign w:val="center"/>
          </w:tcPr>
          <w:p w14:paraId="7FDAAD81" w14:textId="77777777" w:rsidR="00B14D53" w:rsidRDefault="00000000">
            <w:pPr>
              <w:jc w:val="center"/>
              <w:rPr>
                <w:szCs w:val="21"/>
              </w:rPr>
            </w:pPr>
            <w:r>
              <w:rPr>
                <w:szCs w:val="21"/>
              </w:rPr>
              <w:t>0.0047</w:t>
            </w:r>
          </w:p>
        </w:tc>
        <w:tc>
          <w:tcPr>
            <w:tcW w:w="778" w:type="pct"/>
            <w:vAlign w:val="center"/>
          </w:tcPr>
          <w:p w14:paraId="033F3CD5" w14:textId="77777777" w:rsidR="00B14D53" w:rsidRDefault="00000000">
            <w:pPr>
              <w:jc w:val="center"/>
              <w:rPr>
                <w:szCs w:val="21"/>
              </w:rPr>
            </w:pPr>
            <w:r>
              <w:rPr>
                <w:szCs w:val="21"/>
              </w:rPr>
              <w:t>0.0466</w:t>
            </w:r>
          </w:p>
        </w:tc>
        <w:tc>
          <w:tcPr>
            <w:tcW w:w="673" w:type="pct"/>
            <w:vAlign w:val="center"/>
          </w:tcPr>
          <w:p w14:paraId="2C0D5A5F" w14:textId="77777777" w:rsidR="00B14D53" w:rsidRDefault="00000000">
            <w:pPr>
              <w:jc w:val="center"/>
              <w:rPr>
                <w:szCs w:val="21"/>
              </w:rPr>
            </w:pPr>
            <w:r>
              <w:rPr>
                <w:szCs w:val="21"/>
              </w:rPr>
              <w:t>/</w:t>
            </w:r>
          </w:p>
        </w:tc>
      </w:tr>
      <w:tr w:rsidR="00B14D53" w14:paraId="49D3B40D" w14:textId="77777777">
        <w:trPr>
          <w:trHeight w:val="90"/>
        </w:trPr>
        <w:tc>
          <w:tcPr>
            <w:tcW w:w="726" w:type="pct"/>
            <w:vMerge w:val="restart"/>
            <w:vAlign w:val="center"/>
          </w:tcPr>
          <w:p w14:paraId="102338E2" w14:textId="77777777" w:rsidR="00B14D53" w:rsidRDefault="00000000">
            <w:pPr>
              <w:jc w:val="center"/>
              <w:rPr>
                <w:szCs w:val="21"/>
              </w:rPr>
            </w:pPr>
            <w:r>
              <w:rPr>
                <w:rFonts w:hint="eastAsia"/>
                <w:szCs w:val="21"/>
              </w:rPr>
              <w:t>污水处理站</w:t>
            </w:r>
            <w:r>
              <w:rPr>
                <w:rFonts w:hint="eastAsia"/>
                <w:szCs w:val="21"/>
              </w:rPr>
              <w:t>DA004</w:t>
            </w:r>
          </w:p>
        </w:tc>
        <w:tc>
          <w:tcPr>
            <w:tcW w:w="1299" w:type="dxa"/>
            <w:vAlign w:val="center"/>
          </w:tcPr>
          <w:p w14:paraId="3249F591" w14:textId="77777777" w:rsidR="00B14D53" w:rsidRDefault="00000000">
            <w:pPr>
              <w:jc w:val="center"/>
              <w:rPr>
                <w:szCs w:val="21"/>
              </w:rPr>
            </w:pPr>
            <w:r>
              <w:rPr>
                <w:szCs w:val="21"/>
              </w:rPr>
              <w:t>NH</w:t>
            </w:r>
            <w:r>
              <w:rPr>
                <w:szCs w:val="21"/>
                <w:vertAlign w:val="subscript"/>
              </w:rPr>
              <w:t>3</w:t>
            </w:r>
          </w:p>
        </w:tc>
        <w:tc>
          <w:tcPr>
            <w:tcW w:w="1043" w:type="pct"/>
            <w:vAlign w:val="center"/>
          </w:tcPr>
          <w:p w14:paraId="5A5E8FBE" w14:textId="77777777" w:rsidR="00B14D53" w:rsidRDefault="00000000">
            <w:pPr>
              <w:jc w:val="center"/>
              <w:rPr>
                <w:szCs w:val="21"/>
              </w:rPr>
            </w:pPr>
            <w:r>
              <w:rPr>
                <w:szCs w:val="21"/>
              </w:rPr>
              <w:t>200.0</w:t>
            </w:r>
          </w:p>
        </w:tc>
        <w:tc>
          <w:tcPr>
            <w:tcW w:w="1015" w:type="pct"/>
            <w:vAlign w:val="center"/>
          </w:tcPr>
          <w:p w14:paraId="78BD6494" w14:textId="77777777" w:rsidR="00B14D53" w:rsidRDefault="00000000">
            <w:pPr>
              <w:jc w:val="center"/>
              <w:rPr>
                <w:szCs w:val="21"/>
              </w:rPr>
            </w:pPr>
            <w:r>
              <w:rPr>
                <w:szCs w:val="21"/>
              </w:rPr>
              <w:t>0.1836</w:t>
            </w:r>
          </w:p>
        </w:tc>
        <w:tc>
          <w:tcPr>
            <w:tcW w:w="778" w:type="pct"/>
            <w:vAlign w:val="center"/>
          </w:tcPr>
          <w:p w14:paraId="14C88BF0" w14:textId="77777777" w:rsidR="00B14D53" w:rsidRDefault="00000000">
            <w:pPr>
              <w:jc w:val="center"/>
              <w:rPr>
                <w:szCs w:val="21"/>
              </w:rPr>
            </w:pPr>
            <w:r>
              <w:rPr>
                <w:szCs w:val="21"/>
              </w:rPr>
              <w:t>0.0918</w:t>
            </w:r>
          </w:p>
        </w:tc>
        <w:tc>
          <w:tcPr>
            <w:tcW w:w="673" w:type="pct"/>
            <w:vAlign w:val="center"/>
          </w:tcPr>
          <w:p w14:paraId="6CAD2790" w14:textId="77777777" w:rsidR="00B14D53" w:rsidRDefault="00000000">
            <w:pPr>
              <w:jc w:val="center"/>
              <w:rPr>
                <w:szCs w:val="21"/>
              </w:rPr>
            </w:pPr>
            <w:r>
              <w:rPr>
                <w:szCs w:val="21"/>
              </w:rPr>
              <w:t>/</w:t>
            </w:r>
          </w:p>
        </w:tc>
      </w:tr>
      <w:tr w:rsidR="00B14D53" w14:paraId="4033C64F" w14:textId="77777777">
        <w:trPr>
          <w:trHeight w:val="90"/>
        </w:trPr>
        <w:tc>
          <w:tcPr>
            <w:tcW w:w="726" w:type="pct"/>
            <w:vMerge/>
            <w:vAlign w:val="center"/>
          </w:tcPr>
          <w:p w14:paraId="59AF308F" w14:textId="77777777" w:rsidR="00B14D53" w:rsidRDefault="00B14D53">
            <w:pPr>
              <w:jc w:val="center"/>
              <w:rPr>
                <w:szCs w:val="21"/>
              </w:rPr>
            </w:pPr>
          </w:p>
        </w:tc>
        <w:tc>
          <w:tcPr>
            <w:tcW w:w="1299" w:type="dxa"/>
            <w:vAlign w:val="center"/>
          </w:tcPr>
          <w:p w14:paraId="30E6D5FC" w14:textId="77777777" w:rsidR="00B14D53" w:rsidRDefault="00000000">
            <w:pPr>
              <w:jc w:val="center"/>
              <w:rPr>
                <w:szCs w:val="21"/>
              </w:rPr>
            </w:pPr>
            <w:r>
              <w:rPr>
                <w:szCs w:val="21"/>
              </w:rPr>
              <w:t>H</w:t>
            </w:r>
            <w:r>
              <w:rPr>
                <w:szCs w:val="21"/>
                <w:vertAlign w:val="subscript"/>
              </w:rPr>
              <w:t>2</w:t>
            </w:r>
            <w:r>
              <w:rPr>
                <w:szCs w:val="21"/>
              </w:rPr>
              <w:t>S</w:t>
            </w:r>
          </w:p>
        </w:tc>
        <w:tc>
          <w:tcPr>
            <w:tcW w:w="1043" w:type="pct"/>
            <w:vAlign w:val="center"/>
          </w:tcPr>
          <w:p w14:paraId="22ABFDF0" w14:textId="77777777" w:rsidR="00B14D53" w:rsidRDefault="00000000">
            <w:pPr>
              <w:jc w:val="center"/>
              <w:rPr>
                <w:szCs w:val="21"/>
              </w:rPr>
            </w:pPr>
            <w:r>
              <w:rPr>
                <w:szCs w:val="21"/>
              </w:rPr>
              <w:t>10.0</w:t>
            </w:r>
          </w:p>
        </w:tc>
        <w:tc>
          <w:tcPr>
            <w:tcW w:w="1015" w:type="pct"/>
            <w:vAlign w:val="center"/>
          </w:tcPr>
          <w:p w14:paraId="3B39AE6A" w14:textId="77777777" w:rsidR="00B14D53" w:rsidRDefault="00000000">
            <w:pPr>
              <w:jc w:val="center"/>
              <w:rPr>
                <w:szCs w:val="21"/>
              </w:rPr>
            </w:pPr>
            <w:r>
              <w:rPr>
                <w:szCs w:val="21"/>
              </w:rPr>
              <w:t>0.0092</w:t>
            </w:r>
          </w:p>
        </w:tc>
        <w:tc>
          <w:tcPr>
            <w:tcW w:w="778" w:type="pct"/>
            <w:vAlign w:val="center"/>
          </w:tcPr>
          <w:p w14:paraId="2EE4E443" w14:textId="77777777" w:rsidR="00B14D53" w:rsidRDefault="00000000">
            <w:pPr>
              <w:jc w:val="center"/>
              <w:rPr>
                <w:szCs w:val="21"/>
              </w:rPr>
            </w:pPr>
            <w:r>
              <w:rPr>
                <w:szCs w:val="21"/>
              </w:rPr>
              <w:t>0.0918</w:t>
            </w:r>
          </w:p>
        </w:tc>
        <w:tc>
          <w:tcPr>
            <w:tcW w:w="673" w:type="pct"/>
            <w:vAlign w:val="center"/>
          </w:tcPr>
          <w:p w14:paraId="1E15AA52" w14:textId="77777777" w:rsidR="00B14D53" w:rsidRDefault="00000000">
            <w:pPr>
              <w:jc w:val="center"/>
              <w:rPr>
                <w:szCs w:val="21"/>
              </w:rPr>
            </w:pPr>
            <w:r>
              <w:rPr>
                <w:szCs w:val="21"/>
              </w:rPr>
              <w:t>/</w:t>
            </w:r>
          </w:p>
        </w:tc>
      </w:tr>
      <w:tr w:rsidR="00B14D53" w14:paraId="328EF92A" w14:textId="77777777">
        <w:trPr>
          <w:trHeight w:val="90"/>
        </w:trPr>
        <w:tc>
          <w:tcPr>
            <w:tcW w:w="726" w:type="pct"/>
            <w:vMerge w:val="restart"/>
            <w:vAlign w:val="center"/>
          </w:tcPr>
          <w:p w14:paraId="1D4B9939" w14:textId="77777777" w:rsidR="00B14D53" w:rsidRDefault="00000000">
            <w:pPr>
              <w:jc w:val="center"/>
              <w:rPr>
                <w:szCs w:val="21"/>
              </w:rPr>
            </w:pPr>
            <w:r>
              <w:rPr>
                <w:szCs w:val="21"/>
              </w:rPr>
              <w:t>1</w:t>
            </w:r>
            <w:r>
              <w:rPr>
                <w:rFonts w:hint="eastAsia"/>
                <w:szCs w:val="21"/>
              </w:rPr>
              <w:t>#</w:t>
            </w:r>
            <w:r>
              <w:rPr>
                <w:szCs w:val="21"/>
              </w:rPr>
              <w:t>待宰圈</w:t>
            </w:r>
          </w:p>
        </w:tc>
        <w:tc>
          <w:tcPr>
            <w:tcW w:w="1299" w:type="dxa"/>
            <w:vAlign w:val="center"/>
          </w:tcPr>
          <w:p w14:paraId="7841CEFC" w14:textId="77777777" w:rsidR="00B14D53" w:rsidRDefault="00000000">
            <w:pPr>
              <w:jc w:val="center"/>
              <w:rPr>
                <w:szCs w:val="21"/>
              </w:rPr>
            </w:pPr>
            <w:r>
              <w:rPr>
                <w:szCs w:val="21"/>
              </w:rPr>
              <w:t>NH</w:t>
            </w:r>
            <w:r>
              <w:rPr>
                <w:szCs w:val="21"/>
                <w:vertAlign w:val="subscript"/>
              </w:rPr>
              <w:t>3</w:t>
            </w:r>
          </w:p>
        </w:tc>
        <w:tc>
          <w:tcPr>
            <w:tcW w:w="1043" w:type="pct"/>
            <w:vAlign w:val="center"/>
          </w:tcPr>
          <w:p w14:paraId="0FAE8AFE" w14:textId="77777777" w:rsidR="00B14D53" w:rsidRDefault="00000000">
            <w:pPr>
              <w:jc w:val="center"/>
              <w:rPr>
                <w:szCs w:val="21"/>
              </w:rPr>
            </w:pPr>
            <w:r>
              <w:rPr>
                <w:szCs w:val="21"/>
              </w:rPr>
              <w:t>200.0</w:t>
            </w:r>
          </w:p>
        </w:tc>
        <w:tc>
          <w:tcPr>
            <w:tcW w:w="1015" w:type="pct"/>
            <w:vAlign w:val="center"/>
          </w:tcPr>
          <w:p w14:paraId="3616E60D" w14:textId="77777777" w:rsidR="00B14D53" w:rsidRDefault="00000000">
            <w:pPr>
              <w:jc w:val="center"/>
              <w:rPr>
                <w:szCs w:val="21"/>
              </w:rPr>
            </w:pPr>
            <w:r>
              <w:rPr>
                <w:szCs w:val="21"/>
              </w:rPr>
              <w:t>3.9672</w:t>
            </w:r>
          </w:p>
        </w:tc>
        <w:tc>
          <w:tcPr>
            <w:tcW w:w="778" w:type="pct"/>
            <w:vAlign w:val="center"/>
          </w:tcPr>
          <w:p w14:paraId="278447E8" w14:textId="77777777" w:rsidR="00B14D53" w:rsidRDefault="00000000">
            <w:pPr>
              <w:jc w:val="center"/>
              <w:rPr>
                <w:szCs w:val="21"/>
              </w:rPr>
            </w:pPr>
            <w:r>
              <w:rPr>
                <w:szCs w:val="21"/>
              </w:rPr>
              <w:t>1.9836</w:t>
            </w:r>
          </w:p>
        </w:tc>
        <w:tc>
          <w:tcPr>
            <w:tcW w:w="673" w:type="pct"/>
            <w:vAlign w:val="center"/>
          </w:tcPr>
          <w:p w14:paraId="18C75830" w14:textId="77777777" w:rsidR="00B14D53" w:rsidRDefault="00000000">
            <w:pPr>
              <w:jc w:val="center"/>
              <w:rPr>
                <w:szCs w:val="21"/>
              </w:rPr>
            </w:pPr>
            <w:r>
              <w:rPr>
                <w:szCs w:val="21"/>
              </w:rPr>
              <w:t>/</w:t>
            </w:r>
          </w:p>
        </w:tc>
      </w:tr>
      <w:tr w:rsidR="00B14D53" w14:paraId="0EEA2A9D" w14:textId="77777777">
        <w:trPr>
          <w:trHeight w:val="90"/>
        </w:trPr>
        <w:tc>
          <w:tcPr>
            <w:tcW w:w="726" w:type="pct"/>
            <w:vMerge/>
            <w:vAlign w:val="center"/>
          </w:tcPr>
          <w:p w14:paraId="31F97DED" w14:textId="77777777" w:rsidR="00B14D53" w:rsidRDefault="00B14D53">
            <w:pPr>
              <w:jc w:val="center"/>
              <w:rPr>
                <w:szCs w:val="21"/>
              </w:rPr>
            </w:pPr>
          </w:p>
        </w:tc>
        <w:tc>
          <w:tcPr>
            <w:tcW w:w="1299" w:type="dxa"/>
            <w:vAlign w:val="center"/>
          </w:tcPr>
          <w:p w14:paraId="4B60B361" w14:textId="77777777" w:rsidR="00B14D53" w:rsidRDefault="00000000">
            <w:pPr>
              <w:jc w:val="center"/>
              <w:rPr>
                <w:szCs w:val="21"/>
              </w:rPr>
            </w:pPr>
            <w:r>
              <w:rPr>
                <w:szCs w:val="21"/>
              </w:rPr>
              <w:t>H</w:t>
            </w:r>
            <w:r>
              <w:rPr>
                <w:szCs w:val="21"/>
                <w:vertAlign w:val="subscript"/>
              </w:rPr>
              <w:t>2</w:t>
            </w:r>
            <w:r>
              <w:rPr>
                <w:szCs w:val="21"/>
              </w:rPr>
              <w:t>S</w:t>
            </w:r>
          </w:p>
        </w:tc>
        <w:tc>
          <w:tcPr>
            <w:tcW w:w="1043" w:type="pct"/>
            <w:vAlign w:val="center"/>
          </w:tcPr>
          <w:p w14:paraId="57CE789D" w14:textId="77777777" w:rsidR="00B14D53" w:rsidRDefault="00000000">
            <w:pPr>
              <w:jc w:val="center"/>
              <w:rPr>
                <w:szCs w:val="21"/>
              </w:rPr>
            </w:pPr>
            <w:r>
              <w:rPr>
                <w:szCs w:val="21"/>
              </w:rPr>
              <w:t>10.0</w:t>
            </w:r>
          </w:p>
        </w:tc>
        <w:tc>
          <w:tcPr>
            <w:tcW w:w="1015" w:type="pct"/>
            <w:vAlign w:val="center"/>
          </w:tcPr>
          <w:p w14:paraId="26F5F9DA" w14:textId="77777777" w:rsidR="00B14D53" w:rsidRDefault="00000000">
            <w:pPr>
              <w:jc w:val="center"/>
              <w:rPr>
                <w:szCs w:val="21"/>
              </w:rPr>
            </w:pPr>
            <w:r>
              <w:rPr>
                <w:szCs w:val="21"/>
              </w:rPr>
              <w:t>0.1984</w:t>
            </w:r>
          </w:p>
        </w:tc>
        <w:tc>
          <w:tcPr>
            <w:tcW w:w="778" w:type="pct"/>
            <w:vAlign w:val="center"/>
          </w:tcPr>
          <w:p w14:paraId="457ED95E" w14:textId="77777777" w:rsidR="00B14D53" w:rsidRDefault="00000000">
            <w:pPr>
              <w:jc w:val="center"/>
              <w:rPr>
                <w:szCs w:val="21"/>
              </w:rPr>
            </w:pPr>
            <w:r>
              <w:rPr>
                <w:szCs w:val="21"/>
              </w:rPr>
              <w:t>1.9836</w:t>
            </w:r>
          </w:p>
        </w:tc>
        <w:tc>
          <w:tcPr>
            <w:tcW w:w="673" w:type="pct"/>
            <w:vAlign w:val="center"/>
          </w:tcPr>
          <w:p w14:paraId="2E65B554" w14:textId="77777777" w:rsidR="00B14D53" w:rsidRDefault="00000000">
            <w:pPr>
              <w:jc w:val="center"/>
              <w:rPr>
                <w:szCs w:val="21"/>
              </w:rPr>
            </w:pPr>
            <w:r>
              <w:rPr>
                <w:szCs w:val="21"/>
              </w:rPr>
              <w:t>/</w:t>
            </w:r>
          </w:p>
        </w:tc>
      </w:tr>
      <w:tr w:rsidR="00B14D53" w14:paraId="355E83CB" w14:textId="77777777">
        <w:trPr>
          <w:trHeight w:val="90"/>
        </w:trPr>
        <w:tc>
          <w:tcPr>
            <w:tcW w:w="726" w:type="pct"/>
            <w:vMerge w:val="restart"/>
            <w:vAlign w:val="center"/>
          </w:tcPr>
          <w:p w14:paraId="48718D5F" w14:textId="77777777" w:rsidR="00B14D53" w:rsidRDefault="00000000">
            <w:pPr>
              <w:jc w:val="center"/>
              <w:rPr>
                <w:szCs w:val="21"/>
              </w:rPr>
            </w:pPr>
            <w:r>
              <w:rPr>
                <w:szCs w:val="21"/>
              </w:rPr>
              <w:t>2</w:t>
            </w:r>
            <w:r>
              <w:rPr>
                <w:rFonts w:hint="eastAsia"/>
                <w:szCs w:val="21"/>
              </w:rPr>
              <w:t>#</w:t>
            </w:r>
            <w:r>
              <w:rPr>
                <w:szCs w:val="21"/>
              </w:rPr>
              <w:t>待宰圈</w:t>
            </w:r>
          </w:p>
        </w:tc>
        <w:tc>
          <w:tcPr>
            <w:tcW w:w="1299" w:type="dxa"/>
            <w:vAlign w:val="center"/>
          </w:tcPr>
          <w:p w14:paraId="4749422A" w14:textId="77777777" w:rsidR="00B14D53" w:rsidRDefault="00000000">
            <w:pPr>
              <w:jc w:val="center"/>
              <w:rPr>
                <w:szCs w:val="21"/>
              </w:rPr>
            </w:pPr>
            <w:r>
              <w:rPr>
                <w:szCs w:val="21"/>
              </w:rPr>
              <w:t>NH</w:t>
            </w:r>
            <w:r>
              <w:rPr>
                <w:szCs w:val="21"/>
                <w:vertAlign w:val="subscript"/>
              </w:rPr>
              <w:t>3</w:t>
            </w:r>
          </w:p>
        </w:tc>
        <w:tc>
          <w:tcPr>
            <w:tcW w:w="1043" w:type="pct"/>
            <w:vAlign w:val="center"/>
          </w:tcPr>
          <w:p w14:paraId="607C1820" w14:textId="77777777" w:rsidR="00B14D53" w:rsidRDefault="00000000">
            <w:pPr>
              <w:jc w:val="center"/>
              <w:rPr>
                <w:szCs w:val="21"/>
              </w:rPr>
            </w:pPr>
            <w:r>
              <w:rPr>
                <w:szCs w:val="21"/>
              </w:rPr>
              <w:t>200.0</w:t>
            </w:r>
          </w:p>
        </w:tc>
        <w:tc>
          <w:tcPr>
            <w:tcW w:w="1015" w:type="pct"/>
            <w:vAlign w:val="center"/>
          </w:tcPr>
          <w:p w14:paraId="13B67FC9" w14:textId="77777777" w:rsidR="00B14D53" w:rsidRDefault="00000000">
            <w:pPr>
              <w:jc w:val="center"/>
              <w:rPr>
                <w:szCs w:val="21"/>
              </w:rPr>
            </w:pPr>
            <w:r>
              <w:rPr>
                <w:szCs w:val="21"/>
              </w:rPr>
              <w:t>7.6991</w:t>
            </w:r>
          </w:p>
        </w:tc>
        <w:tc>
          <w:tcPr>
            <w:tcW w:w="778" w:type="pct"/>
            <w:vAlign w:val="center"/>
          </w:tcPr>
          <w:p w14:paraId="5B50F4AB" w14:textId="77777777" w:rsidR="00B14D53" w:rsidRDefault="00000000">
            <w:pPr>
              <w:jc w:val="center"/>
              <w:rPr>
                <w:szCs w:val="21"/>
              </w:rPr>
            </w:pPr>
            <w:r>
              <w:rPr>
                <w:szCs w:val="21"/>
              </w:rPr>
              <w:t>3.8495</w:t>
            </w:r>
          </w:p>
        </w:tc>
        <w:tc>
          <w:tcPr>
            <w:tcW w:w="673" w:type="pct"/>
            <w:vAlign w:val="center"/>
          </w:tcPr>
          <w:p w14:paraId="4BC73C3B" w14:textId="77777777" w:rsidR="00B14D53" w:rsidRDefault="00000000">
            <w:pPr>
              <w:jc w:val="center"/>
              <w:rPr>
                <w:szCs w:val="21"/>
              </w:rPr>
            </w:pPr>
            <w:r>
              <w:rPr>
                <w:szCs w:val="21"/>
              </w:rPr>
              <w:t>/</w:t>
            </w:r>
          </w:p>
        </w:tc>
      </w:tr>
      <w:tr w:rsidR="00B14D53" w14:paraId="3EACD275" w14:textId="77777777">
        <w:trPr>
          <w:trHeight w:val="90"/>
        </w:trPr>
        <w:tc>
          <w:tcPr>
            <w:tcW w:w="726" w:type="pct"/>
            <w:vMerge/>
            <w:vAlign w:val="center"/>
          </w:tcPr>
          <w:p w14:paraId="05F2CCDB" w14:textId="77777777" w:rsidR="00B14D53" w:rsidRDefault="00B14D53">
            <w:pPr>
              <w:jc w:val="center"/>
              <w:rPr>
                <w:szCs w:val="21"/>
              </w:rPr>
            </w:pPr>
          </w:p>
        </w:tc>
        <w:tc>
          <w:tcPr>
            <w:tcW w:w="1299" w:type="dxa"/>
            <w:vAlign w:val="center"/>
          </w:tcPr>
          <w:p w14:paraId="4EA99352" w14:textId="77777777" w:rsidR="00B14D53" w:rsidRDefault="00000000">
            <w:pPr>
              <w:jc w:val="center"/>
              <w:rPr>
                <w:szCs w:val="21"/>
              </w:rPr>
            </w:pPr>
            <w:r>
              <w:rPr>
                <w:szCs w:val="21"/>
              </w:rPr>
              <w:t>H</w:t>
            </w:r>
            <w:r>
              <w:rPr>
                <w:szCs w:val="21"/>
                <w:vertAlign w:val="subscript"/>
              </w:rPr>
              <w:t>2</w:t>
            </w:r>
            <w:r>
              <w:rPr>
                <w:szCs w:val="21"/>
              </w:rPr>
              <w:t>S</w:t>
            </w:r>
          </w:p>
        </w:tc>
        <w:tc>
          <w:tcPr>
            <w:tcW w:w="1043" w:type="pct"/>
            <w:vAlign w:val="center"/>
          </w:tcPr>
          <w:p w14:paraId="5A859F9B" w14:textId="77777777" w:rsidR="00B14D53" w:rsidRDefault="00000000">
            <w:pPr>
              <w:jc w:val="center"/>
              <w:rPr>
                <w:szCs w:val="21"/>
              </w:rPr>
            </w:pPr>
            <w:r>
              <w:rPr>
                <w:szCs w:val="21"/>
              </w:rPr>
              <w:t>10.0</w:t>
            </w:r>
          </w:p>
        </w:tc>
        <w:tc>
          <w:tcPr>
            <w:tcW w:w="1015" w:type="pct"/>
            <w:vAlign w:val="center"/>
          </w:tcPr>
          <w:p w14:paraId="5348EFF3" w14:textId="77777777" w:rsidR="00B14D53" w:rsidRDefault="00000000">
            <w:pPr>
              <w:jc w:val="center"/>
              <w:rPr>
                <w:szCs w:val="21"/>
              </w:rPr>
            </w:pPr>
            <w:r>
              <w:rPr>
                <w:szCs w:val="21"/>
              </w:rPr>
              <w:t>0.3850</w:t>
            </w:r>
          </w:p>
        </w:tc>
        <w:tc>
          <w:tcPr>
            <w:tcW w:w="778" w:type="pct"/>
            <w:vAlign w:val="center"/>
          </w:tcPr>
          <w:p w14:paraId="302A13AC" w14:textId="77777777" w:rsidR="00B14D53" w:rsidRDefault="00000000">
            <w:pPr>
              <w:jc w:val="center"/>
              <w:rPr>
                <w:szCs w:val="21"/>
              </w:rPr>
            </w:pPr>
            <w:r>
              <w:rPr>
                <w:szCs w:val="21"/>
              </w:rPr>
              <w:t>3.8496</w:t>
            </w:r>
          </w:p>
        </w:tc>
        <w:tc>
          <w:tcPr>
            <w:tcW w:w="673" w:type="pct"/>
            <w:vAlign w:val="center"/>
          </w:tcPr>
          <w:p w14:paraId="59417185" w14:textId="77777777" w:rsidR="00B14D53" w:rsidRDefault="00000000">
            <w:pPr>
              <w:jc w:val="center"/>
              <w:rPr>
                <w:szCs w:val="21"/>
              </w:rPr>
            </w:pPr>
            <w:r>
              <w:rPr>
                <w:szCs w:val="21"/>
              </w:rPr>
              <w:t>/</w:t>
            </w:r>
          </w:p>
        </w:tc>
      </w:tr>
      <w:tr w:rsidR="00B14D53" w14:paraId="41B0B075" w14:textId="77777777">
        <w:trPr>
          <w:trHeight w:val="90"/>
        </w:trPr>
        <w:tc>
          <w:tcPr>
            <w:tcW w:w="726" w:type="pct"/>
            <w:vMerge w:val="restart"/>
            <w:vAlign w:val="center"/>
          </w:tcPr>
          <w:p w14:paraId="0712B5DD" w14:textId="77777777" w:rsidR="00B14D53" w:rsidRDefault="00000000">
            <w:pPr>
              <w:jc w:val="center"/>
              <w:rPr>
                <w:szCs w:val="21"/>
              </w:rPr>
            </w:pPr>
            <w:r>
              <w:rPr>
                <w:szCs w:val="21"/>
              </w:rPr>
              <w:t>屠宰车间</w:t>
            </w:r>
          </w:p>
        </w:tc>
        <w:tc>
          <w:tcPr>
            <w:tcW w:w="1299" w:type="dxa"/>
            <w:vAlign w:val="center"/>
          </w:tcPr>
          <w:p w14:paraId="73D78D37" w14:textId="77777777" w:rsidR="00B14D53" w:rsidRDefault="00000000">
            <w:pPr>
              <w:jc w:val="center"/>
              <w:rPr>
                <w:szCs w:val="21"/>
              </w:rPr>
            </w:pPr>
            <w:r>
              <w:rPr>
                <w:szCs w:val="21"/>
              </w:rPr>
              <w:t>NH</w:t>
            </w:r>
            <w:r>
              <w:rPr>
                <w:szCs w:val="21"/>
                <w:vertAlign w:val="subscript"/>
              </w:rPr>
              <w:t>3</w:t>
            </w:r>
          </w:p>
        </w:tc>
        <w:tc>
          <w:tcPr>
            <w:tcW w:w="1043" w:type="pct"/>
            <w:vAlign w:val="center"/>
          </w:tcPr>
          <w:p w14:paraId="2F515E15" w14:textId="77777777" w:rsidR="00B14D53" w:rsidRDefault="00000000">
            <w:pPr>
              <w:jc w:val="center"/>
              <w:rPr>
                <w:szCs w:val="21"/>
              </w:rPr>
            </w:pPr>
            <w:r>
              <w:rPr>
                <w:szCs w:val="21"/>
              </w:rPr>
              <w:t>200.0</w:t>
            </w:r>
          </w:p>
        </w:tc>
        <w:tc>
          <w:tcPr>
            <w:tcW w:w="1015" w:type="pct"/>
            <w:vAlign w:val="center"/>
          </w:tcPr>
          <w:p w14:paraId="5F932312" w14:textId="77777777" w:rsidR="00B14D53" w:rsidRDefault="00000000">
            <w:pPr>
              <w:jc w:val="center"/>
              <w:rPr>
                <w:szCs w:val="21"/>
              </w:rPr>
            </w:pPr>
            <w:r>
              <w:rPr>
                <w:szCs w:val="21"/>
              </w:rPr>
              <w:t>4.8569</w:t>
            </w:r>
          </w:p>
        </w:tc>
        <w:tc>
          <w:tcPr>
            <w:tcW w:w="778" w:type="pct"/>
            <w:vAlign w:val="center"/>
          </w:tcPr>
          <w:p w14:paraId="2AB54268" w14:textId="77777777" w:rsidR="00B14D53" w:rsidRDefault="00000000">
            <w:pPr>
              <w:jc w:val="center"/>
              <w:rPr>
                <w:szCs w:val="21"/>
              </w:rPr>
            </w:pPr>
            <w:r>
              <w:rPr>
                <w:szCs w:val="21"/>
              </w:rPr>
              <w:t>2.4285</w:t>
            </w:r>
          </w:p>
        </w:tc>
        <w:tc>
          <w:tcPr>
            <w:tcW w:w="673" w:type="pct"/>
            <w:vAlign w:val="center"/>
          </w:tcPr>
          <w:p w14:paraId="06C15398" w14:textId="77777777" w:rsidR="00B14D53" w:rsidRDefault="00000000">
            <w:pPr>
              <w:jc w:val="center"/>
              <w:rPr>
                <w:szCs w:val="21"/>
              </w:rPr>
            </w:pPr>
            <w:r>
              <w:rPr>
                <w:szCs w:val="21"/>
              </w:rPr>
              <w:t>/</w:t>
            </w:r>
          </w:p>
        </w:tc>
      </w:tr>
      <w:tr w:rsidR="00B14D53" w14:paraId="5D6370DB" w14:textId="77777777">
        <w:trPr>
          <w:trHeight w:val="90"/>
        </w:trPr>
        <w:tc>
          <w:tcPr>
            <w:tcW w:w="726" w:type="pct"/>
            <w:vMerge/>
            <w:vAlign w:val="center"/>
          </w:tcPr>
          <w:p w14:paraId="326E41DC" w14:textId="77777777" w:rsidR="00B14D53" w:rsidRDefault="00B14D53">
            <w:pPr>
              <w:jc w:val="center"/>
              <w:rPr>
                <w:szCs w:val="21"/>
              </w:rPr>
            </w:pPr>
          </w:p>
        </w:tc>
        <w:tc>
          <w:tcPr>
            <w:tcW w:w="1299" w:type="dxa"/>
            <w:vAlign w:val="center"/>
          </w:tcPr>
          <w:p w14:paraId="4AE16818" w14:textId="77777777" w:rsidR="00B14D53" w:rsidRDefault="00000000">
            <w:pPr>
              <w:jc w:val="center"/>
              <w:rPr>
                <w:szCs w:val="21"/>
              </w:rPr>
            </w:pPr>
            <w:r>
              <w:rPr>
                <w:szCs w:val="21"/>
              </w:rPr>
              <w:t>H</w:t>
            </w:r>
            <w:r>
              <w:rPr>
                <w:szCs w:val="21"/>
                <w:vertAlign w:val="subscript"/>
              </w:rPr>
              <w:t>2</w:t>
            </w:r>
            <w:r>
              <w:rPr>
                <w:szCs w:val="21"/>
              </w:rPr>
              <w:t>S</w:t>
            </w:r>
          </w:p>
        </w:tc>
        <w:tc>
          <w:tcPr>
            <w:tcW w:w="1043" w:type="pct"/>
            <w:vAlign w:val="center"/>
          </w:tcPr>
          <w:p w14:paraId="44632C06" w14:textId="77777777" w:rsidR="00B14D53" w:rsidRDefault="00000000">
            <w:pPr>
              <w:jc w:val="center"/>
              <w:rPr>
                <w:szCs w:val="21"/>
              </w:rPr>
            </w:pPr>
            <w:r>
              <w:rPr>
                <w:szCs w:val="21"/>
              </w:rPr>
              <w:t>10.0</w:t>
            </w:r>
          </w:p>
        </w:tc>
        <w:tc>
          <w:tcPr>
            <w:tcW w:w="1015" w:type="pct"/>
            <w:vAlign w:val="center"/>
          </w:tcPr>
          <w:p w14:paraId="2B9CAAB6" w14:textId="77777777" w:rsidR="00B14D53" w:rsidRDefault="00000000">
            <w:pPr>
              <w:jc w:val="center"/>
              <w:rPr>
                <w:szCs w:val="21"/>
              </w:rPr>
            </w:pPr>
            <w:r>
              <w:rPr>
                <w:szCs w:val="21"/>
              </w:rPr>
              <w:t>0.1619</w:t>
            </w:r>
          </w:p>
        </w:tc>
        <w:tc>
          <w:tcPr>
            <w:tcW w:w="778" w:type="pct"/>
            <w:vAlign w:val="center"/>
          </w:tcPr>
          <w:p w14:paraId="344DDB5D" w14:textId="77777777" w:rsidR="00B14D53" w:rsidRDefault="00000000">
            <w:pPr>
              <w:jc w:val="center"/>
              <w:rPr>
                <w:szCs w:val="21"/>
              </w:rPr>
            </w:pPr>
            <w:r>
              <w:rPr>
                <w:szCs w:val="21"/>
              </w:rPr>
              <w:t>1.6190</w:t>
            </w:r>
          </w:p>
        </w:tc>
        <w:tc>
          <w:tcPr>
            <w:tcW w:w="673" w:type="pct"/>
            <w:vAlign w:val="center"/>
          </w:tcPr>
          <w:p w14:paraId="29E5510F" w14:textId="77777777" w:rsidR="00B14D53" w:rsidRDefault="00000000">
            <w:pPr>
              <w:jc w:val="center"/>
              <w:rPr>
                <w:szCs w:val="21"/>
              </w:rPr>
            </w:pPr>
            <w:r>
              <w:rPr>
                <w:szCs w:val="21"/>
              </w:rPr>
              <w:t>/</w:t>
            </w:r>
          </w:p>
        </w:tc>
      </w:tr>
      <w:tr w:rsidR="00B14D53" w14:paraId="5D07D778" w14:textId="77777777">
        <w:trPr>
          <w:trHeight w:val="90"/>
        </w:trPr>
        <w:tc>
          <w:tcPr>
            <w:tcW w:w="726" w:type="pct"/>
            <w:vMerge w:val="restart"/>
            <w:vAlign w:val="center"/>
          </w:tcPr>
          <w:p w14:paraId="4AED7B8B" w14:textId="77777777" w:rsidR="00B14D53" w:rsidRDefault="00000000">
            <w:pPr>
              <w:jc w:val="center"/>
              <w:rPr>
                <w:szCs w:val="21"/>
              </w:rPr>
            </w:pPr>
            <w:r>
              <w:rPr>
                <w:rFonts w:hint="eastAsia"/>
                <w:szCs w:val="21"/>
              </w:rPr>
              <w:t>污水处理站</w:t>
            </w:r>
          </w:p>
        </w:tc>
        <w:tc>
          <w:tcPr>
            <w:tcW w:w="1299" w:type="dxa"/>
            <w:vAlign w:val="center"/>
          </w:tcPr>
          <w:p w14:paraId="13A95240" w14:textId="77777777" w:rsidR="00B14D53" w:rsidRDefault="00000000">
            <w:pPr>
              <w:jc w:val="center"/>
              <w:rPr>
                <w:szCs w:val="21"/>
              </w:rPr>
            </w:pPr>
            <w:r>
              <w:rPr>
                <w:szCs w:val="21"/>
              </w:rPr>
              <w:t>NH</w:t>
            </w:r>
            <w:r>
              <w:rPr>
                <w:szCs w:val="21"/>
                <w:vertAlign w:val="subscript"/>
              </w:rPr>
              <w:t>3</w:t>
            </w:r>
          </w:p>
        </w:tc>
        <w:tc>
          <w:tcPr>
            <w:tcW w:w="1043" w:type="pct"/>
            <w:vAlign w:val="center"/>
          </w:tcPr>
          <w:p w14:paraId="61C5110D" w14:textId="77777777" w:rsidR="00B14D53" w:rsidRDefault="00000000">
            <w:pPr>
              <w:jc w:val="center"/>
              <w:rPr>
                <w:szCs w:val="21"/>
              </w:rPr>
            </w:pPr>
            <w:r>
              <w:rPr>
                <w:szCs w:val="21"/>
              </w:rPr>
              <w:t>200.0</w:t>
            </w:r>
          </w:p>
        </w:tc>
        <w:tc>
          <w:tcPr>
            <w:tcW w:w="1015" w:type="pct"/>
            <w:vAlign w:val="center"/>
          </w:tcPr>
          <w:p w14:paraId="602C1B94" w14:textId="77777777" w:rsidR="00B14D53" w:rsidRDefault="00000000">
            <w:pPr>
              <w:jc w:val="center"/>
              <w:rPr>
                <w:szCs w:val="21"/>
              </w:rPr>
            </w:pPr>
            <w:r>
              <w:rPr>
                <w:szCs w:val="21"/>
              </w:rPr>
              <w:t>13.8870</w:t>
            </w:r>
          </w:p>
        </w:tc>
        <w:tc>
          <w:tcPr>
            <w:tcW w:w="778" w:type="pct"/>
            <w:vAlign w:val="center"/>
          </w:tcPr>
          <w:p w14:paraId="172AE046" w14:textId="77777777" w:rsidR="00B14D53" w:rsidRDefault="00000000">
            <w:pPr>
              <w:jc w:val="center"/>
              <w:rPr>
                <w:szCs w:val="21"/>
              </w:rPr>
            </w:pPr>
            <w:r>
              <w:rPr>
                <w:szCs w:val="21"/>
              </w:rPr>
              <w:t>6.9435</w:t>
            </w:r>
          </w:p>
        </w:tc>
        <w:tc>
          <w:tcPr>
            <w:tcW w:w="673" w:type="pct"/>
            <w:vAlign w:val="center"/>
          </w:tcPr>
          <w:p w14:paraId="62EA994C" w14:textId="77777777" w:rsidR="00B14D53" w:rsidRDefault="00000000">
            <w:pPr>
              <w:jc w:val="center"/>
              <w:rPr>
                <w:szCs w:val="21"/>
              </w:rPr>
            </w:pPr>
            <w:r>
              <w:rPr>
                <w:szCs w:val="21"/>
              </w:rPr>
              <w:t>/</w:t>
            </w:r>
          </w:p>
        </w:tc>
      </w:tr>
      <w:tr w:rsidR="00B14D53" w14:paraId="0BAD039F" w14:textId="77777777">
        <w:trPr>
          <w:trHeight w:val="90"/>
        </w:trPr>
        <w:tc>
          <w:tcPr>
            <w:tcW w:w="726" w:type="pct"/>
            <w:vMerge/>
            <w:vAlign w:val="center"/>
          </w:tcPr>
          <w:p w14:paraId="10E1EECA" w14:textId="77777777" w:rsidR="00B14D53" w:rsidRDefault="00B14D53">
            <w:pPr>
              <w:jc w:val="center"/>
              <w:rPr>
                <w:szCs w:val="21"/>
              </w:rPr>
            </w:pPr>
          </w:p>
        </w:tc>
        <w:tc>
          <w:tcPr>
            <w:tcW w:w="1299" w:type="dxa"/>
            <w:vAlign w:val="center"/>
          </w:tcPr>
          <w:p w14:paraId="469266D7" w14:textId="77777777" w:rsidR="00B14D53" w:rsidRDefault="00000000">
            <w:pPr>
              <w:jc w:val="center"/>
              <w:rPr>
                <w:szCs w:val="21"/>
              </w:rPr>
            </w:pPr>
            <w:r>
              <w:rPr>
                <w:szCs w:val="21"/>
              </w:rPr>
              <w:t>H</w:t>
            </w:r>
            <w:r>
              <w:rPr>
                <w:szCs w:val="21"/>
                <w:vertAlign w:val="subscript"/>
              </w:rPr>
              <w:t>2</w:t>
            </w:r>
            <w:r>
              <w:rPr>
                <w:szCs w:val="21"/>
              </w:rPr>
              <w:t>S</w:t>
            </w:r>
          </w:p>
        </w:tc>
        <w:tc>
          <w:tcPr>
            <w:tcW w:w="1043" w:type="pct"/>
            <w:vAlign w:val="center"/>
          </w:tcPr>
          <w:p w14:paraId="79802D6E" w14:textId="77777777" w:rsidR="00B14D53" w:rsidRDefault="00000000">
            <w:pPr>
              <w:jc w:val="center"/>
              <w:rPr>
                <w:szCs w:val="21"/>
              </w:rPr>
            </w:pPr>
            <w:r>
              <w:rPr>
                <w:szCs w:val="21"/>
              </w:rPr>
              <w:t>10.0</w:t>
            </w:r>
          </w:p>
        </w:tc>
        <w:tc>
          <w:tcPr>
            <w:tcW w:w="1015" w:type="pct"/>
            <w:vAlign w:val="center"/>
          </w:tcPr>
          <w:p w14:paraId="455BC14F" w14:textId="77777777" w:rsidR="00B14D53" w:rsidRDefault="00000000">
            <w:pPr>
              <w:jc w:val="center"/>
              <w:rPr>
                <w:szCs w:val="21"/>
              </w:rPr>
            </w:pPr>
            <w:r>
              <w:rPr>
                <w:szCs w:val="21"/>
              </w:rPr>
              <w:t>0.5555</w:t>
            </w:r>
          </w:p>
        </w:tc>
        <w:tc>
          <w:tcPr>
            <w:tcW w:w="778" w:type="pct"/>
            <w:vAlign w:val="center"/>
          </w:tcPr>
          <w:p w14:paraId="6C13C059" w14:textId="77777777" w:rsidR="00B14D53" w:rsidRDefault="00000000">
            <w:pPr>
              <w:jc w:val="center"/>
              <w:rPr>
                <w:szCs w:val="21"/>
              </w:rPr>
            </w:pPr>
            <w:r>
              <w:rPr>
                <w:szCs w:val="21"/>
              </w:rPr>
              <w:t>5.5548</w:t>
            </w:r>
          </w:p>
        </w:tc>
        <w:tc>
          <w:tcPr>
            <w:tcW w:w="673" w:type="pct"/>
            <w:vAlign w:val="center"/>
          </w:tcPr>
          <w:p w14:paraId="4CC70F91" w14:textId="77777777" w:rsidR="00B14D53" w:rsidRDefault="00000000">
            <w:pPr>
              <w:jc w:val="center"/>
              <w:rPr>
                <w:szCs w:val="21"/>
              </w:rPr>
            </w:pPr>
            <w:r>
              <w:rPr>
                <w:szCs w:val="21"/>
              </w:rPr>
              <w:t>/</w:t>
            </w:r>
          </w:p>
        </w:tc>
      </w:tr>
    </w:tbl>
    <w:p w14:paraId="0770AB5B" w14:textId="77777777" w:rsidR="00B14D53" w:rsidRDefault="00000000">
      <w:pPr>
        <w:spacing w:line="480" w:lineRule="exact"/>
        <w:ind w:firstLineChars="176" w:firstLine="422"/>
        <w:rPr>
          <w:rFonts w:eastAsiaTheme="minorEastAsia"/>
          <w:b/>
          <w:sz w:val="24"/>
        </w:rPr>
      </w:pPr>
      <w:r>
        <w:rPr>
          <w:rFonts w:eastAsiaTheme="minorEastAsia" w:hAnsiTheme="minorEastAsia"/>
          <w:snapToGrid w:val="0"/>
          <w:sz w:val="24"/>
        </w:rPr>
        <w:t>根据《环境影响评价技术导则</w:t>
      </w:r>
      <w:r>
        <w:rPr>
          <w:rFonts w:eastAsiaTheme="minorEastAsia"/>
          <w:snapToGrid w:val="0"/>
          <w:sz w:val="24"/>
        </w:rPr>
        <w:t xml:space="preserve"> </w:t>
      </w:r>
      <w:r>
        <w:rPr>
          <w:rFonts w:eastAsiaTheme="minorEastAsia" w:hAnsiTheme="minorEastAsia"/>
          <w:snapToGrid w:val="0"/>
          <w:sz w:val="24"/>
        </w:rPr>
        <w:t>大气环境》（</w:t>
      </w:r>
      <w:r>
        <w:rPr>
          <w:rFonts w:eastAsiaTheme="minorEastAsia"/>
          <w:snapToGrid w:val="0"/>
          <w:sz w:val="24"/>
        </w:rPr>
        <w:t>HJ2.2-2018</w:t>
      </w:r>
      <w:r>
        <w:rPr>
          <w:rFonts w:eastAsiaTheme="minorEastAsia" w:hAnsiTheme="minorEastAsia"/>
          <w:snapToGrid w:val="0"/>
          <w:sz w:val="24"/>
        </w:rPr>
        <w:t>）</w:t>
      </w:r>
      <w:r>
        <w:rPr>
          <w:rFonts w:eastAsiaTheme="minorEastAsia" w:hAnsiTheme="minorEastAsia"/>
          <w:snapToGrid w:val="0"/>
          <w:kern w:val="0"/>
          <w:sz w:val="24"/>
        </w:rPr>
        <w:t>中附录</w:t>
      </w:r>
      <w:r>
        <w:rPr>
          <w:rFonts w:eastAsiaTheme="minorEastAsia"/>
          <w:snapToGrid w:val="0"/>
          <w:kern w:val="0"/>
          <w:sz w:val="24"/>
        </w:rPr>
        <w:t>A</w:t>
      </w:r>
      <w:r>
        <w:rPr>
          <w:rFonts w:eastAsiaTheme="minorEastAsia" w:hAnsiTheme="minorEastAsia"/>
          <w:snapToGrid w:val="0"/>
          <w:kern w:val="0"/>
          <w:sz w:val="24"/>
        </w:rPr>
        <w:t>推荐的估算模式进行计算，由估算模式计算结果可知，本项目排放污染物</w:t>
      </w:r>
      <w:r>
        <w:rPr>
          <w:rFonts w:eastAsiaTheme="minorEastAsia" w:hAnsiTheme="minorEastAsia"/>
          <w:sz w:val="24"/>
          <w:lang w:val="zh-CN"/>
        </w:rPr>
        <w:t>的</w:t>
      </w:r>
      <w:r>
        <w:rPr>
          <w:rFonts w:eastAsiaTheme="minorEastAsia" w:hAnsiTheme="minorEastAsia"/>
          <w:snapToGrid w:val="0"/>
          <w:kern w:val="0"/>
          <w:sz w:val="24"/>
        </w:rPr>
        <w:t>最大地面空气质量浓度占标率</w:t>
      </w:r>
      <w:r>
        <w:rPr>
          <w:rFonts w:eastAsiaTheme="minorEastAsia"/>
          <w:snapToGrid w:val="0"/>
          <w:kern w:val="0"/>
          <w:sz w:val="24"/>
          <w:lang w:val="zh-CN"/>
        </w:rPr>
        <w:t>P</w:t>
      </w:r>
      <w:r>
        <w:rPr>
          <w:rFonts w:eastAsiaTheme="minorEastAsia"/>
          <w:snapToGrid w:val="0"/>
          <w:kern w:val="0"/>
          <w:sz w:val="24"/>
          <w:vertAlign w:val="subscript"/>
          <w:lang w:val="zh-CN"/>
        </w:rPr>
        <w:t>max</w:t>
      </w:r>
      <w:r>
        <w:rPr>
          <w:rFonts w:eastAsiaTheme="minorEastAsia"/>
          <w:snapToGrid w:val="0"/>
          <w:kern w:val="0"/>
          <w:sz w:val="24"/>
          <w:lang w:val="zh-CN"/>
        </w:rPr>
        <w:t>≤10%</w:t>
      </w:r>
      <w:r>
        <w:rPr>
          <w:rFonts w:eastAsiaTheme="minorEastAsia" w:hAnsiTheme="minorEastAsia"/>
          <w:snapToGrid w:val="0"/>
          <w:kern w:val="0"/>
          <w:sz w:val="24"/>
          <w:lang w:val="zh-CN"/>
        </w:rPr>
        <w:t>且</w:t>
      </w:r>
      <w:r>
        <w:rPr>
          <w:rFonts w:eastAsiaTheme="minorEastAsia"/>
          <w:snapToGrid w:val="0"/>
          <w:kern w:val="0"/>
          <w:sz w:val="24"/>
          <w:lang w:val="zh-CN"/>
        </w:rPr>
        <w:t>P</w:t>
      </w:r>
      <w:r>
        <w:rPr>
          <w:rFonts w:eastAsiaTheme="minorEastAsia"/>
          <w:snapToGrid w:val="0"/>
          <w:kern w:val="0"/>
          <w:sz w:val="24"/>
          <w:vertAlign w:val="subscript"/>
          <w:lang w:val="zh-CN"/>
        </w:rPr>
        <w:t>max</w:t>
      </w:r>
      <w:r>
        <w:rPr>
          <w:rFonts w:eastAsiaTheme="minorEastAsia" w:hAnsiTheme="minorEastAsia"/>
          <w:snapToGrid w:val="0"/>
          <w:kern w:val="0"/>
          <w:sz w:val="24"/>
          <w:lang w:val="zh-CN"/>
        </w:rPr>
        <w:t>＞</w:t>
      </w:r>
      <w:r>
        <w:rPr>
          <w:rFonts w:eastAsiaTheme="minorEastAsia"/>
          <w:snapToGrid w:val="0"/>
          <w:kern w:val="0"/>
          <w:sz w:val="24"/>
          <w:lang w:val="zh-CN"/>
        </w:rPr>
        <w:t>1%</w:t>
      </w:r>
      <w:r>
        <w:rPr>
          <w:rFonts w:eastAsiaTheme="minorEastAsia" w:hAnsiTheme="minorEastAsia"/>
          <w:snapToGrid w:val="0"/>
          <w:kern w:val="0"/>
          <w:sz w:val="24"/>
        </w:rPr>
        <w:t>。因此，本项目大气环境影响评价等级为</w:t>
      </w:r>
      <w:r>
        <w:rPr>
          <w:rFonts w:eastAsiaTheme="minorEastAsia" w:hAnsiTheme="minorEastAsia"/>
          <w:snapToGrid w:val="0"/>
          <w:sz w:val="24"/>
        </w:rPr>
        <w:t>二级。</w:t>
      </w:r>
    </w:p>
    <w:p w14:paraId="086A6534"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2.4.2</w:t>
      </w:r>
      <w:r>
        <w:rPr>
          <w:rFonts w:ascii="Times New Roman" w:eastAsia="黑体" w:hAnsi="Times New Roman" w:cs="Times New Roman"/>
          <w:bCs/>
          <w:sz w:val="28"/>
          <w:szCs w:val="28"/>
        </w:rPr>
        <w:t>地表水环境</w:t>
      </w:r>
    </w:p>
    <w:p w14:paraId="74B936A2" w14:textId="77777777" w:rsidR="00B14D53" w:rsidRDefault="00000000">
      <w:pPr>
        <w:spacing w:line="360" w:lineRule="auto"/>
        <w:ind w:firstLineChars="200" w:firstLine="480"/>
        <w:rPr>
          <w:rFonts w:eastAsiaTheme="minorEastAsia"/>
          <w:snapToGrid w:val="0"/>
          <w:kern w:val="0"/>
          <w:sz w:val="24"/>
        </w:rPr>
      </w:pPr>
      <w:r>
        <w:rPr>
          <w:rFonts w:eastAsiaTheme="minorEastAsia" w:hAnsiTheme="minorEastAsia"/>
          <w:bCs/>
          <w:snapToGrid w:val="0"/>
          <w:kern w:val="0"/>
          <w:sz w:val="24"/>
        </w:rPr>
        <w:t>根据《环境影响评</w:t>
      </w:r>
      <w:r>
        <w:rPr>
          <w:rFonts w:eastAsiaTheme="minorEastAsia" w:hAnsiTheme="minorEastAsia"/>
          <w:snapToGrid w:val="0"/>
          <w:kern w:val="0"/>
          <w:sz w:val="24"/>
        </w:rPr>
        <w:t>价技术导则</w:t>
      </w:r>
      <w:r>
        <w:rPr>
          <w:rFonts w:eastAsiaTheme="minorEastAsia"/>
          <w:snapToGrid w:val="0"/>
          <w:kern w:val="0"/>
          <w:sz w:val="24"/>
        </w:rPr>
        <w:t xml:space="preserve"> </w:t>
      </w:r>
      <w:r>
        <w:rPr>
          <w:rFonts w:eastAsiaTheme="minorEastAsia" w:hAnsiTheme="minorEastAsia"/>
          <w:snapToGrid w:val="0"/>
          <w:kern w:val="0"/>
          <w:sz w:val="24"/>
        </w:rPr>
        <w:t>地表水环境》（</w:t>
      </w:r>
      <w:r>
        <w:rPr>
          <w:rFonts w:eastAsiaTheme="minorEastAsia"/>
          <w:snapToGrid w:val="0"/>
          <w:kern w:val="0"/>
          <w:sz w:val="24"/>
        </w:rPr>
        <w:t>HJ2.3-2018</w:t>
      </w:r>
      <w:r>
        <w:rPr>
          <w:rFonts w:eastAsiaTheme="minorEastAsia" w:hAnsiTheme="minorEastAsia"/>
          <w:snapToGrid w:val="0"/>
          <w:kern w:val="0"/>
          <w:sz w:val="24"/>
        </w:rPr>
        <w:t>）中的有关规定，将地表水环境影响评价工作等级分为一级、二级、三级</w:t>
      </w:r>
      <w:r>
        <w:rPr>
          <w:rFonts w:eastAsiaTheme="minorEastAsia"/>
          <w:snapToGrid w:val="0"/>
          <w:kern w:val="0"/>
          <w:sz w:val="24"/>
        </w:rPr>
        <w:t>A</w:t>
      </w:r>
      <w:r>
        <w:rPr>
          <w:rFonts w:eastAsiaTheme="minorEastAsia" w:hAnsiTheme="minorEastAsia"/>
          <w:snapToGrid w:val="0"/>
          <w:kern w:val="0"/>
          <w:sz w:val="24"/>
        </w:rPr>
        <w:t>、三级</w:t>
      </w:r>
      <w:r>
        <w:rPr>
          <w:rFonts w:eastAsiaTheme="minorEastAsia"/>
          <w:snapToGrid w:val="0"/>
          <w:kern w:val="0"/>
          <w:sz w:val="24"/>
        </w:rPr>
        <w:t>B</w:t>
      </w:r>
      <w:r>
        <w:rPr>
          <w:rFonts w:eastAsiaTheme="minorEastAsia" w:hAnsiTheme="minorEastAsia"/>
          <w:snapToGrid w:val="0"/>
          <w:kern w:val="0"/>
          <w:sz w:val="24"/>
        </w:rPr>
        <w:t>，划分依据见</w:t>
      </w:r>
      <w:r>
        <w:rPr>
          <w:rFonts w:eastAsiaTheme="minorEastAsia" w:hAnsiTheme="minorEastAsia" w:hint="eastAsia"/>
          <w:snapToGrid w:val="0"/>
          <w:kern w:val="0"/>
          <w:sz w:val="24"/>
        </w:rPr>
        <w:t>下表</w:t>
      </w:r>
      <w:r>
        <w:rPr>
          <w:rFonts w:eastAsiaTheme="minorEastAsia" w:hAnsiTheme="minorEastAsia"/>
          <w:snapToGrid w:val="0"/>
          <w:kern w:val="0"/>
          <w:sz w:val="24"/>
        </w:rPr>
        <w:t>。</w:t>
      </w:r>
    </w:p>
    <w:p w14:paraId="0071CE48" w14:textId="77777777" w:rsidR="00B14D53" w:rsidRDefault="00B14D53">
      <w:pPr>
        <w:spacing w:line="360" w:lineRule="auto"/>
        <w:contextualSpacing/>
        <w:jc w:val="center"/>
        <w:rPr>
          <w:rFonts w:eastAsiaTheme="minorEastAsia" w:hAnsiTheme="minorEastAsia" w:hint="eastAsia"/>
          <w:b/>
          <w:sz w:val="24"/>
        </w:rPr>
      </w:pPr>
      <w:bookmarkStart w:id="45" w:name="_Hlk10134411"/>
    </w:p>
    <w:p w14:paraId="29034326" w14:textId="77777777" w:rsidR="00B14D53" w:rsidRDefault="00B14D53">
      <w:pPr>
        <w:spacing w:line="360" w:lineRule="auto"/>
        <w:contextualSpacing/>
        <w:jc w:val="center"/>
        <w:rPr>
          <w:rFonts w:eastAsiaTheme="minorEastAsia" w:hAnsiTheme="minorEastAsia" w:hint="eastAsia"/>
          <w:b/>
          <w:sz w:val="24"/>
        </w:rPr>
      </w:pPr>
    </w:p>
    <w:p w14:paraId="7D33DBF9" w14:textId="77777777" w:rsidR="00B14D53" w:rsidRDefault="00B14D53">
      <w:pPr>
        <w:spacing w:line="360" w:lineRule="auto"/>
        <w:contextualSpacing/>
        <w:jc w:val="center"/>
        <w:rPr>
          <w:rFonts w:eastAsiaTheme="minorEastAsia" w:hAnsiTheme="minorEastAsia" w:hint="eastAsia"/>
          <w:b/>
          <w:sz w:val="24"/>
        </w:rPr>
      </w:pPr>
    </w:p>
    <w:p w14:paraId="498ADCA0" w14:textId="77777777" w:rsidR="00B14D53" w:rsidRDefault="00B14D53">
      <w:pPr>
        <w:spacing w:line="360" w:lineRule="auto"/>
        <w:contextualSpacing/>
        <w:jc w:val="center"/>
        <w:rPr>
          <w:rFonts w:eastAsiaTheme="minorEastAsia" w:hAnsiTheme="minorEastAsia" w:hint="eastAsia"/>
          <w:b/>
          <w:sz w:val="24"/>
        </w:rPr>
      </w:pPr>
    </w:p>
    <w:p w14:paraId="6F3EBD6A" w14:textId="77777777" w:rsidR="00B14D53" w:rsidRDefault="00B14D53">
      <w:pPr>
        <w:spacing w:line="360" w:lineRule="auto"/>
        <w:contextualSpacing/>
        <w:jc w:val="center"/>
        <w:rPr>
          <w:rFonts w:eastAsiaTheme="minorEastAsia" w:hAnsiTheme="minorEastAsia" w:hint="eastAsia"/>
          <w:b/>
          <w:sz w:val="24"/>
        </w:rPr>
      </w:pPr>
    </w:p>
    <w:p w14:paraId="54F57CCC" w14:textId="77777777" w:rsidR="00B14D53" w:rsidRDefault="00B14D53">
      <w:pPr>
        <w:spacing w:line="360" w:lineRule="auto"/>
        <w:contextualSpacing/>
        <w:jc w:val="center"/>
        <w:rPr>
          <w:rFonts w:eastAsiaTheme="minorEastAsia" w:hAnsiTheme="minorEastAsia" w:hint="eastAsia"/>
          <w:b/>
          <w:sz w:val="24"/>
        </w:rPr>
      </w:pPr>
    </w:p>
    <w:p w14:paraId="68C19086" w14:textId="77777777" w:rsidR="00B14D53" w:rsidRDefault="00B14D53">
      <w:pPr>
        <w:spacing w:line="360" w:lineRule="auto"/>
        <w:contextualSpacing/>
        <w:jc w:val="center"/>
        <w:rPr>
          <w:rFonts w:eastAsiaTheme="minorEastAsia" w:hAnsiTheme="minorEastAsia" w:hint="eastAsia"/>
          <w:b/>
          <w:sz w:val="24"/>
        </w:rPr>
      </w:pPr>
    </w:p>
    <w:p w14:paraId="64D24C87" w14:textId="77777777" w:rsidR="00B14D53" w:rsidRDefault="00000000">
      <w:pPr>
        <w:jc w:val="center"/>
        <w:rPr>
          <w:b/>
          <w:bCs/>
        </w:rPr>
      </w:pPr>
      <w:r>
        <w:rPr>
          <w:b/>
          <w:bCs/>
        </w:rPr>
        <w:t>表</w:t>
      </w:r>
      <w:r>
        <w:rPr>
          <w:b/>
          <w:bCs/>
        </w:rPr>
        <w:t>2-4-</w:t>
      </w:r>
      <w:r>
        <w:rPr>
          <w:rFonts w:hint="eastAsia"/>
          <w:b/>
          <w:bCs/>
        </w:rPr>
        <w:t xml:space="preserve">6 </w:t>
      </w:r>
      <w:r>
        <w:rPr>
          <w:b/>
          <w:bCs/>
        </w:rPr>
        <w:t>地表水评价等级确定表</w:t>
      </w:r>
    </w:p>
    <w:tbl>
      <w:tblPr>
        <w:tblW w:w="8306"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42"/>
        <w:gridCol w:w="2268"/>
        <w:gridCol w:w="4196"/>
      </w:tblGrid>
      <w:tr w:rsidR="00B14D53" w14:paraId="3B7DF21E" w14:textId="77777777">
        <w:trPr>
          <w:jc w:val="center"/>
        </w:trPr>
        <w:tc>
          <w:tcPr>
            <w:tcW w:w="1842" w:type="dxa"/>
            <w:vMerge w:val="restart"/>
            <w:vAlign w:val="center"/>
          </w:tcPr>
          <w:bookmarkEnd w:id="45"/>
          <w:p w14:paraId="72CECDCD"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评价等级</w:t>
            </w:r>
          </w:p>
        </w:tc>
        <w:tc>
          <w:tcPr>
            <w:tcW w:w="6464" w:type="dxa"/>
            <w:gridSpan w:val="2"/>
          </w:tcPr>
          <w:p w14:paraId="02BA2DDC"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判定依据</w:t>
            </w:r>
          </w:p>
        </w:tc>
      </w:tr>
      <w:tr w:rsidR="00B14D53" w14:paraId="52A15883" w14:textId="77777777">
        <w:trPr>
          <w:jc w:val="center"/>
        </w:trPr>
        <w:tc>
          <w:tcPr>
            <w:tcW w:w="1842" w:type="dxa"/>
            <w:vMerge/>
            <w:vAlign w:val="center"/>
          </w:tcPr>
          <w:p w14:paraId="69BE2E48" w14:textId="77777777" w:rsidR="00B14D53" w:rsidRDefault="00B14D53">
            <w:pPr>
              <w:jc w:val="center"/>
              <w:rPr>
                <w:rFonts w:eastAsiaTheme="minorEastAsia"/>
                <w:b/>
                <w:bCs/>
                <w:snapToGrid w:val="0"/>
                <w:kern w:val="0"/>
                <w:lang w:val="zh-CN"/>
              </w:rPr>
            </w:pPr>
          </w:p>
        </w:tc>
        <w:tc>
          <w:tcPr>
            <w:tcW w:w="2268" w:type="dxa"/>
            <w:vAlign w:val="center"/>
          </w:tcPr>
          <w:p w14:paraId="400278A4"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排放方式</w:t>
            </w:r>
          </w:p>
        </w:tc>
        <w:tc>
          <w:tcPr>
            <w:tcW w:w="4196" w:type="dxa"/>
            <w:vAlign w:val="center"/>
          </w:tcPr>
          <w:p w14:paraId="39DB086A"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废水排放量</w:t>
            </w:r>
            <w:r>
              <w:rPr>
                <w:rFonts w:eastAsiaTheme="minorEastAsia"/>
                <w:b/>
                <w:bCs/>
                <w:snapToGrid w:val="0"/>
                <w:kern w:val="0"/>
                <w:lang w:val="zh-CN"/>
              </w:rPr>
              <w:t>Q/</w:t>
            </w:r>
            <w:r>
              <w:rPr>
                <w:rFonts w:eastAsiaTheme="minorEastAsia" w:hAnsiTheme="minorEastAsia"/>
                <w:b/>
                <w:bCs/>
                <w:snapToGrid w:val="0"/>
                <w:kern w:val="0"/>
                <w:lang w:val="zh-CN"/>
              </w:rPr>
              <w:t>（</w:t>
            </w:r>
            <w:r>
              <w:rPr>
                <w:rFonts w:eastAsiaTheme="minorEastAsia"/>
                <w:b/>
                <w:bCs/>
                <w:snapToGrid w:val="0"/>
                <w:kern w:val="0"/>
                <w:lang w:val="zh-CN"/>
              </w:rPr>
              <w:t>m</w:t>
            </w:r>
            <w:r>
              <w:rPr>
                <w:rFonts w:eastAsiaTheme="minorEastAsia"/>
                <w:b/>
                <w:bCs/>
                <w:snapToGrid w:val="0"/>
                <w:kern w:val="0"/>
                <w:vertAlign w:val="superscript"/>
                <w:lang w:val="zh-CN"/>
              </w:rPr>
              <w:t>3</w:t>
            </w:r>
            <w:r>
              <w:rPr>
                <w:rFonts w:eastAsiaTheme="minorEastAsia"/>
                <w:b/>
                <w:bCs/>
                <w:snapToGrid w:val="0"/>
                <w:kern w:val="0"/>
                <w:lang w:val="zh-CN"/>
              </w:rPr>
              <w:t>/d</w:t>
            </w:r>
            <w:r>
              <w:rPr>
                <w:rFonts w:eastAsiaTheme="minorEastAsia" w:hAnsiTheme="minorEastAsia"/>
                <w:b/>
                <w:bCs/>
                <w:snapToGrid w:val="0"/>
                <w:kern w:val="0"/>
                <w:lang w:val="zh-CN"/>
              </w:rPr>
              <w:t>）；</w:t>
            </w:r>
          </w:p>
          <w:p w14:paraId="22DEA65F"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水污染物当量数</w:t>
            </w:r>
            <w:r>
              <w:rPr>
                <w:rFonts w:eastAsiaTheme="minorEastAsia"/>
                <w:b/>
                <w:bCs/>
                <w:snapToGrid w:val="0"/>
                <w:kern w:val="0"/>
                <w:lang w:val="zh-CN"/>
              </w:rPr>
              <w:t>W/</w:t>
            </w:r>
            <w:r>
              <w:rPr>
                <w:rFonts w:eastAsiaTheme="minorEastAsia" w:hAnsiTheme="minorEastAsia"/>
                <w:b/>
                <w:bCs/>
                <w:snapToGrid w:val="0"/>
                <w:kern w:val="0"/>
                <w:lang w:val="zh-CN"/>
              </w:rPr>
              <w:t>（无量纲）</w:t>
            </w:r>
          </w:p>
        </w:tc>
      </w:tr>
      <w:tr w:rsidR="00B14D53" w14:paraId="16728607" w14:textId="77777777">
        <w:trPr>
          <w:trHeight w:val="141"/>
          <w:jc w:val="center"/>
        </w:trPr>
        <w:tc>
          <w:tcPr>
            <w:tcW w:w="1842" w:type="dxa"/>
            <w:vAlign w:val="center"/>
          </w:tcPr>
          <w:p w14:paraId="12CD76CE"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一级</w:t>
            </w:r>
          </w:p>
        </w:tc>
        <w:tc>
          <w:tcPr>
            <w:tcW w:w="2268" w:type="dxa"/>
            <w:vAlign w:val="center"/>
          </w:tcPr>
          <w:p w14:paraId="6F536ED0"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直接排放</w:t>
            </w:r>
          </w:p>
        </w:tc>
        <w:tc>
          <w:tcPr>
            <w:tcW w:w="4196" w:type="dxa"/>
            <w:vAlign w:val="center"/>
          </w:tcPr>
          <w:p w14:paraId="6ECF0151" w14:textId="77777777" w:rsidR="00B14D53" w:rsidRDefault="00000000">
            <w:pPr>
              <w:jc w:val="center"/>
              <w:rPr>
                <w:rFonts w:eastAsiaTheme="minorEastAsia"/>
                <w:snapToGrid w:val="0"/>
                <w:kern w:val="0"/>
                <w:lang w:val="zh-CN"/>
              </w:rPr>
            </w:pPr>
            <w:r>
              <w:rPr>
                <w:rFonts w:eastAsiaTheme="minorEastAsia"/>
                <w:snapToGrid w:val="0"/>
                <w:kern w:val="0"/>
                <w:lang w:val="zh-CN"/>
              </w:rPr>
              <w:t>Q≥20000</w:t>
            </w:r>
            <w:r>
              <w:rPr>
                <w:rFonts w:eastAsiaTheme="minorEastAsia" w:hAnsiTheme="minorEastAsia"/>
                <w:snapToGrid w:val="0"/>
                <w:kern w:val="0"/>
                <w:lang w:val="zh-CN"/>
              </w:rPr>
              <w:t>或</w:t>
            </w:r>
            <w:r>
              <w:rPr>
                <w:rFonts w:eastAsiaTheme="minorEastAsia"/>
                <w:snapToGrid w:val="0"/>
                <w:kern w:val="0"/>
                <w:lang w:val="zh-CN"/>
              </w:rPr>
              <w:t>W≥600000</w:t>
            </w:r>
          </w:p>
        </w:tc>
      </w:tr>
      <w:tr w:rsidR="00B14D53" w14:paraId="62B8FBE8" w14:textId="77777777">
        <w:trPr>
          <w:jc w:val="center"/>
        </w:trPr>
        <w:tc>
          <w:tcPr>
            <w:tcW w:w="1842" w:type="dxa"/>
            <w:vAlign w:val="center"/>
          </w:tcPr>
          <w:p w14:paraId="428C68EC"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二级</w:t>
            </w:r>
          </w:p>
        </w:tc>
        <w:tc>
          <w:tcPr>
            <w:tcW w:w="2268" w:type="dxa"/>
            <w:vAlign w:val="center"/>
          </w:tcPr>
          <w:p w14:paraId="1FA21049"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直接排放</w:t>
            </w:r>
          </w:p>
        </w:tc>
        <w:tc>
          <w:tcPr>
            <w:tcW w:w="4196" w:type="dxa"/>
            <w:vAlign w:val="center"/>
          </w:tcPr>
          <w:p w14:paraId="27577F3D"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其他</w:t>
            </w:r>
          </w:p>
        </w:tc>
      </w:tr>
      <w:tr w:rsidR="00B14D53" w14:paraId="04C48FDD" w14:textId="77777777">
        <w:trPr>
          <w:jc w:val="center"/>
        </w:trPr>
        <w:tc>
          <w:tcPr>
            <w:tcW w:w="1842" w:type="dxa"/>
            <w:vAlign w:val="center"/>
          </w:tcPr>
          <w:p w14:paraId="6DA4EEB0" w14:textId="77777777" w:rsidR="00B14D53" w:rsidRDefault="00000000">
            <w:pPr>
              <w:jc w:val="center"/>
              <w:rPr>
                <w:rFonts w:eastAsiaTheme="minorEastAsia"/>
                <w:snapToGrid w:val="0"/>
                <w:kern w:val="0"/>
                <w:lang w:val="zh-CN"/>
              </w:rPr>
            </w:pPr>
            <w:r>
              <w:rPr>
                <w:rFonts w:eastAsiaTheme="minorEastAsia" w:hAnsiTheme="minorEastAsia"/>
                <w:snapToGrid w:val="0"/>
                <w:kern w:val="0"/>
              </w:rPr>
              <w:t>三级</w:t>
            </w:r>
            <w:r>
              <w:rPr>
                <w:rFonts w:eastAsiaTheme="minorEastAsia"/>
                <w:snapToGrid w:val="0"/>
                <w:kern w:val="0"/>
              </w:rPr>
              <w:t>A</w:t>
            </w:r>
          </w:p>
        </w:tc>
        <w:tc>
          <w:tcPr>
            <w:tcW w:w="2268" w:type="dxa"/>
            <w:vAlign w:val="center"/>
          </w:tcPr>
          <w:p w14:paraId="6B65B5FE"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直接排放</w:t>
            </w:r>
          </w:p>
        </w:tc>
        <w:tc>
          <w:tcPr>
            <w:tcW w:w="4196" w:type="dxa"/>
            <w:vAlign w:val="center"/>
          </w:tcPr>
          <w:p w14:paraId="3803CC62" w14:textId="77777777" w:rsidR="00B14D53" w:rsidRDefault="00000000">
            <w:pPr>
              <w:jc w:val="center"/>
              <w:rPr>
                <w:rFonts w:eastAsiaTheme="minorEastAsia"/>
                <w:snapToGrid w:val="0"/>
                <w:kern w:val="0"/>
                <w:lang w:val="zh-CN"/>
              </w:rPr>
            </w:pPr>
            <w:r>
              <w:rPr>
                <w:rFonts w:eastAsiaTheme="minorEastAsia"/>
                <w:snapToGrid w:val="0"/>
                <w:kern w:val="0"/>
                <w:lang w:val="zh-CN"/>
              </w:rPr>
              <w:t>Q</w:t>
            </w:r>
            <w:r>
              <w:rPr>
                <w:rFonts w:eastAsiaTheme="minorEastAsia" w:hAnsiTheme="minorEastAsia"/>
                <w:snapToGrid w:val="0"/>
                <w:kern w:val="0"/>
                <w:lang w:val="zh-CN"/>
              </w:rPr>
              <w:t>＜</w:t>
            </w:r>
            <w:r>
              <w:rPr>
                <w:rFonts w:eastAsiaTheme="minorEastAsia"/>
                <w:snapToGrid w:val="0"/>
                <w:kern w:val="0"/>
                <w:lang w:val="zh-CN"/>
              </w:rPr>
              <w:t>200</w:t>
            </w:r>
            <w:r>
              <w:rPr>
                <w:rFonts w:eastAsiaTheme="minorEastAsia" w:hAnsiTheme="minorEastAsia"/>
                <w:snapToGrid w:val="0"/>
                <w:kern w:val="0"/>
                <w:lang w:val="zh-CN"/>
              </w:rPr>
              <w:t>或</w:t>
            </w:r>
            <w:r>
              <w:rPr>
                <w:rFonts w:eastAsiaTheme="minorEastAsia"/>
                <w:snapToGrid w:val="0"/>
                <w:kern w:val="0"/>
                <w:lang w:val="zh-CN"/>
              </w:rPr>
              <w:t>W</w:t>
            </w:r>
            <w:r>
              <w:rPr>
                <w:rFonts w:eastAsiaTheme="minorEastAsia" w:hAnsiTheme="minorEastAsia"/>
                <w:snapToGrid w:val="0"/>
                <w:kern w:val="0"/>
                <w:lang w:val="zh-CN"/>
              </w:rPr>
              <w:t>＜</w:t>
            </w:r>
            <w:r>
              <w:rPr>
                <w:rFonts w:eastAsiaTheme="minorEastAsia"/>
                <w:snapToGrid w:val="0"/>
                <w:kern w:val="0"/>
                <w:lang w:val="zh-CN"/>
              </w:rPr>
              <w:t>6000</w:t>
            </w:r>
          </w:p>
        </w:tc>
      </w:tr>
      <w:tr w:rsidR="00B14D53" w14:paraId="2D1D8CAF" w14:textId="77777777">
        <w:trPr>
          <w:jc w:val="center"/>
        </w:trPr>
        <w:tc>
          <w:tcPr>
            <w:tcW w:w="1842" w:type="dxa"/>
            <w:vAlign w:val="center"/>
          </w:tcPr>
          <w:p w14:paraId="03CFD6F9" w14:textId="77777777" w:rsidR="00B14D53" w:rsidRDefault="00000000">
            <w:pPr>
              <w:jc w:val="center"/>
              <w:rPr>
                <w:rFonts w:eastAsiaTheme="minorEastAsia"/>
                <w:b/>
                <w:snapToGrid w:val="0"/>
                <w:kern w:val="0"/>
              </w:rPr>
            </w:pPr>
            <w:r>
              <w:rPr>
                <w:rFonts w:eastAsiaTheme="minorEastAsia" w:hAnsiTheme="minorEastAsia"/>
                <w:b/>
                <w:snapToGrid w:val="0"/>
                <w:kern w:val="0"/>
              </w:rPr>
              <w:t>三级</w:t>
            </w:r>
            <w:r>
              <w:rPr>
                <w:rFonts w:eastAsiaTheme="minorEastAsia"/>
                <w:b/>
                <w:snapToGrid w:val="0"/>
                <w:kern w:val="0"/>
              </w:rPr>
              <w:t>B</w:t>
            </w:r>
          </w:p>
        </w:tc>
        <w:tc>
          <w:tcPr>
            <w:tcW w:w="2268" w:type="dxa"/>
            <w:vAlign w:val="center"/>
          </w:tcPr>
          <w:p w14:paraId="5776BF16" w14:textId="77777777" w:rsidR="00B14D53" w:rsidRDefault="00000000">
            <w:pPr>
              <w:jc w:val="center"/>
              <w:rPr>
                <w:rFonts w:eastAsiaTheme="minorEastAsia"/>
                <w:b/>
                <w:snapToGrid w:val="0"/>
                <w:kern w:val="0"/>
                <w:lang w:val="zh-CN"/>
              </w:rPr>
            </w:pPr>
            <w:r>
              <w:rPr>
                <w:rFonts w:eastAsiaTheme="minorEastAsia" w:hAnsiTheme="minorEastAsia"/>
                <w:b/>
                <w:snapToGrid w:val="0"/>
                <w:kern w:val="0"/>
                <w:lang w:val="zh-CN"/>
              </w:rPr>
              <w:t>间接排放</w:t>
            </w:r>
          </w:p>
        </w:tc>
        <w:tc>
          <w:tcPr>
            <w:tcW w:w="4196" w:type="dxa"/>
            <w:vAlign w:val="center"/>
          </w:tcPr>
          <w:p w14:paraId="018D846A" w14:textId="77777777" w:rsidR="00B14D53" w:rsidRDefault="00000000">
            <w:pPr>
              <w:jc w:val="center"/>
              <w:rPr>
                <w:rFonts w:eastAsiaTheme="minorEastAsia"/>
                <w:b/>
                <w:snapToGrid w:val="0"/>
                <w:kern w:val="0"/>
                <w:lang w:val="zh-CN"/>
              </w:rPr>
            </w:pPr>
            <w:r>
              <w:rPr>
                <w:rFonts w:eastAsiaTheme="minorEastAsia"/>
                <w:b/>
                <w:snapToGrid w:val="0"/>
                <w:kern w:val="0"/>
                <w:lang w:val="zh-CN"/>
              </w:rPr>
              <w:t>/</w:t>
            </w:r>
          </w:p>
        </w:tc>
      </w:tr>
      <w:tr w:rsidR="00B14D53" w14:paraId="007E1FF7" w14:textId="77777777">
        <w:trPr>
          <w:trHeight w:val="6582"/>
          <w:jc w:val="center"/>
        </w:trPr>
        <w:tc>
          <w:tcPr>
            <w:tcW w:w="8306" w:type="dxa"/>
            <w:gridSpan w:val="3"/>
            <w:vAlign w:val="center"/>
          </w:tcPr>
          <w:p w14:paraId="61AAD590" w14:textId="77777777" w:rsidR="00B14D53" w:rsidRDefault="00000000">
            <w:pPr>
              <w:pStyle w:val="afff2"/>
              <w:spacing w:line="240" w:lineRule="auto"/>
              <w:ind w:firstLine="319"/>
              <w:jc w:val="both"/>
              <w:rPr>
                <w:rFonts w:eastAsiaTheme="minorEastAsia" w:hAnsi="Times New Roman"/>
                <w:sz w:val="18"/>
                <w:szCs w:val="22"/>
              </w:rPr>
            </w:pPr>
            <w:r>
              <w:rPr>
                <w:rFonts w:eastAsiaTheme="minorEastAsia"/>
                <w:sz w:val="18"/>
                <w:szCs w:val="22"/>
              </w:rPr>
              <w:t>注</w:t>
            </w:r>
            <w:r>
              <w:rPr>
                <w:rFonts w:eastAsiaTheme="minorEastAsia" w:hAnsi="Times New Roman"/>
                <w:spacing w:val="-46"/>
                <w:sz w:val="18"/>
                <w:szCs w:val="22"/>
              </w:rPr>
              <w:t xml:space="preserve"> </w:t>
            </w:r>
            <w:r>
              <w:rPr>
                <w:rFonts w:eastAsiaTheme="minorEastAsia" w:hAnsi="Times New Roman"/>
                <w:sz w:val="18"/>
                <w:szCs w:val="22"/>
              </w:rPr>
              <w:t>1</w:t>
            </w:r>
            <w:r>
              <w:rPr>
                <w:rFonts w:eastAsiaTheme="minorEastAsia"/>
                <w:sz w:val="18"/>
                <w:szCs w:val="22"/>
              </w:rPr>
              <w:t>：水污染物当量数等于该污染物的年排放量除以该污染物的污染当量值（见附录</w:t>
            </w:r>
            <w:r>
              <w:rPr>
                <w:rFonts w:eastAsiaTheme="minorEastAsia" w:hAnsi="Times New Roman"/>
                <w:sz w:val="18"/>
                <w:szCs w:val="22"/>
              </w:rPr>
              <w:t>A</w:t>
            </w:r>
            <w:r>
              <w:rPr>
                <w:rFonts w:eastAsiaTheme="minorEastAsia"/>
                <w:sz w:val="18"/>
                <w:szCs w:val="22"/>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71CFDF4C" w14:textId="77777777" w:rsidR="00B14D53" w:rsidRDefault="00000000">
            <w:pPr>
              <w:pStyle w:val="afff2"/>
              <w:spacing w:line="240" w:lineRule="auto"/>
              <w:ind w:firstLine="319"/>
              <w:jc w:val="both"/>
              <w:rPr>
                <w:rFonts w:eastAsiaTheme="minorEastAsia" w:hAnsi="Times New Roman"/>
                <w:sz w:val="18"/>
                <w:szCs w:val="22"/>
              </w:rPr>
            </w:pPr>
            <w:r>
              <w:rPr>
                <w:rFonts w:eastAsiaTheme="minorEastAsia"/>
                <w:sz w:val="18"/>
                <w:szCs w:val="22"/>
              </w:rPr>
              <w:t>注</w:t>
            </w:r>
            <w:r>
              <w:rPr>
                <w:rFonts w:eastAsiaTheme="minorEastAsia" w:hAnsi="Times New Roman"/>
                <w:spacing w:val="-47"/>
                <w:sz w:val="18"/>
                <w:szCs w:val="22"/>
              </w:rPr>
              <w:t xml:space="preserve"> </w:t>
            </w:r>
            <w:r>
              <w:rPr>
                <w:rFonts w:eastAsiaTheme="minorEastAsia" w:hAnsi="Times New Roman"/>
                <w:sz w:val="18"/>
                <w:szCs w:val="22"/>
              </w:rPr>
              <w:t>2</w:t>
            </w:r>
            <w:r>
              <w:rPr>
                <w:rFonts w:eastAsiaTheme="minorEastAsia"/>
                <w:sz w:val="18"/>
                <w:szCs w:val="22"/>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4EB65102" w14:textId="77777777" w:rsidR="00B14D53" w:rsidRDefault="00000000">
            <w:pPr>
              <w:pStyle w:val="afff2"/>
              <w:spacing w:line="240" w:lineRule="auto"/>
              <w:ind w:firstLine="319"/>
              <w:jc w:val="both"/>
              <w:rPr>
                <w:rFonts w:eastAsiaTheme="minorEastAsia" w:hAnsi="Times New Roman"/>
                <w:sz w:val="18"/>
                <w:szCs w:val="22"/>
              </w:rPr>
            </w:pPr>
            <w:r>
              <w:rPr>
                <w:rFonts w:eastAsiaTheme="minorEastAsia"/>
                <w:sz w:val="18"/>
                <w:szCs w:val="22"/>
              </w:rPr>
              <w:t>注</w:t>
            </w:r>
            <w:r>
              <w:rPr>
                <w:rFonts w:eastAsiaTheme="minorEastAsia" w:hAnsi="Times New Roman"/>
                <w:sz w:val="18"/>
                <w:szCs w:val="22"/>
              </w:rPr>
              <w:t>3</w:t>
            </w:r>
            <w:r>
              <w:rPr>
                <w:rFonts w:eastAsiaTheme="minorEastAsia"/>
                <w:sz w:val="18"/>
                <w:szCs w:val="22"/>
              </w:rPr>
              <w:t>：场区存在堆积物（露天堆放的原料、燃料、废渣等以及垃圾堆放场）、降尘污染的，应将初期雨污水纳入废水排放量，相应的主要污染物纳入水污染当量计算。</w:t>
            </w:r>
          </w:p>
          <w:p w14:paraId="434E90DE" w14:textId="77777777" w:rsidR="00B14D53" w:rsidRDefault="00000000">
            <w:pPr>
              <w:pStyle w:val="afff2"/>
              <w:spacing w:line="240" w:lineRule="auto"/>
              <w:ind w:firstLine="319"/>
              <w:jc w:val="both"/>
              <w:rPr>
                <w:rFonts w:eastAsiaTheme="minorEastAsia" w:hAnsi="Times New Roman"/>
                <w:sz w:val="18"/>
                <w:szCs w:val="22"/>
              </w:rPr>
            </w:pPr>
            <w:r>
              <w:rPr>
                <w:rFonts w:eastAsiaTheme="minorEastAsia"/>
                <w:sz w:val="18"/>
                <w:szCs w:val="22"/>
              </w:rPr>
              <w:t>注</w:t>
            </w:r>
            <w:r>
              <w:rPr>
                <w:rFonts w:eastAsiaTheme="minorEastAsia" w:hAnsi="Times New Roman"/>
                <w:sz w:val="18"/>
                <w:szCs w:val="22"/>
              </w:rPr>
              <w:t>4</w:t>
            </w:r>
            <w:r>
              <w:rPr>
                <w:rFonts w:eastAsiaTheme="minorEastAsia"/>
                <w:sz w:val="18"/>
                <w:szCs w:val="22"/>
              </w:rPr>
              <w:t>：建设项目直接排放第一类污染物的，其评价等级为一级；建设项目直接排放的污染物为受纳水体超标因子的，评价等级不低于二级。</w:t>
            </w:r>
          </w:p>
          <w:p w14:paraId="38187801" w14:textId="77777777" w:rsidR="00B14D53" w:rsidRDefault="00000000">
            <w:pPr>
              <w:pStyle w:val="afff2"/>
              <w:spacing w:line="240" w:lineRule="auto"/>
              <w:ind w:firstLine="319"/>
              <w:jc w:val="both"/>
              <w:rPr>
                <w:rFonts w:eastAsiaTheme="minorEastAsia" w:hAnsi="Times New Roman"/>
                <w:sz w:val="18"/>
                <w:szCs w:val="22"/>
              </w:rPr>
            </w:pPr>
            <w:r>
              <w:rPr>
                <w:rFonts w:eastAsiaTheme="minorEastAsia"/>
                <w:sz w:val="18"/>
                <w:szCs w:val="22"/>
              </w:rPr>
              <w:t>注</w:t>
            </w:r>
            <w:r>
              <w:rPr>
                <w:rFonts w:eastAsiaTheme="minorEastAsia" w:hAnsi="Times New Roman"/>
                <w:sz w:val="18"/>
                <w:szCs w:val="22"/>
              </w:rPr>
              <w:t>5</w:t>
            </w:r>
            <w:r>
              <w:rPr>
                <w:rFonts w:eastAsiaTheme="minorEastAsia"/>
                <w:sz w:val="18"/>
                <w:szCs w:val="22"/>
              </w:rPr>
              <w:t>：直接排放受纳水体影响范围涉及饮用水水源保护区、饮用水取水口、重点保护与珍稀水生生物的栖息地、重要水生生物的自然产卵场等保护目标时，评价等级不低于二级。</w:t>
            </w:r>
          </w:p>
          <w:p w14:paraId="1DC092A9" w14:textId="77777777" w:rsidR="00B14D53" w:rsidRDefault="00000000">
            <w:pPr>
              <w:pStyle w:val="afff2"/>
              <w:spacing w:line="240" w:lineRule="auto"/>
              <w:ind w:firstLine="319"/>
              <w:jc w:val="both"/>
              <w:rPr>
                <w:rFonts w:eastAsiaTheme="minorEastAsia" w:hAnsi="Times New Roman"/>
                <w:b/>
                <w:snapToGrid w:val="0"/>
                <w:lang w:val="zh-CN"/>
              </w:rPr>
            </w:pPr>
            <w:r>
              <w:rPr>
                <w:rFonts w:eastAsiaTheme="minorEastAsia"/>
                <w:sz w:val="18"/>
                <w:szCs w:val="22"/>
              </w:rPr>
              <w:t>注</w:t>
            </w:r>
            <w:r>
              <w:rPr>
                <w:rFonts w:eastAsiaTheme="minorEastAsia" w:hAnsi="Times New Roman"/>
                <w:sz w:val="18"/>
                <w:szCs w:val="22"/>
              </w:rPr>
              <w:t>6</w:t>
            </w:r>
            <w:r>
              <w:rPr>
                <w:rFonts w:eastAsiaTheme="minorEastAsia"/>
                <w:sz w:val="18"/>
                <w:szCs w:val="22"/>
              </w:rPr>
              <w:t>：建设项目向河流、湖库排放温排水引起受纳水体水温变化超过水环境质量标准要求，且评价范围有水温敏感目标</w:t>
            </w:r>
            <w:r>
              <w:rPr>
                <w:rFonts w:eastAsiaTheme="minorEastAsia" w:hAnsi="Times New Roman"/>
                <w:sz w:val="18"/>
                <w:szCs w:val="22"/>
              </w:rPr>
              <w:t xml:space="preserve"> </w:t>
            </w:r>
            <w:r>
              <w:rPr>
                <w:rFonts w:eastAsiaTheme="minorEastAsia"/>
                <w:sz w:val="18"/>
                <w:szCs w:val="22"/>
              </w:rPr>
              <w:t>时，评价等级为一级。</w:t>
            </w:r>
          </w:p>
          <w:p w14:paraId="7FC71E21" w14:textId="77777777" w:rsidR="00B14D53" w:rsidRDefault="00000000">
            <w:pPr>
              <w:pStyle w:val="afff2"/>
              <w:spacing w:line="240" w:lineRule="auto"/>
              <w:ind w:firstLine="319"/>
              <w:jc w:val="both"/>
              <w:rPr>
                <w:rFonts w:eastAsiaTheme="minorEastAsia" w:hAnsi="Times New Roman"/>
                <w:sz w:val="18"/>
                <w:szCs w:val="22"/>
              </w:rPr>
            </w:pPr>
            <w:r>
              <w:rPr>
                <w:rFonts w:eastAsiaTheme="minorEastAsia"/>
                <w:sz w:val="18"/>
                <w:szCs w:val="22"/>
              </w:rPr>
              <w:t>注</w:t>
            </w:r>
            <w:r>
              <w:rPr>
                <w:rFonts w:eastAsiaTheme="minorEastAsia" w:hAnsi="Times New Roman"/>
                <w:sz w:val="18"/>
                <w:szCs w:val="22"/>
              </w:rPr>
              <w:t>7</w:t>
            </w:r>
            <w:r>
              <w:rPr>
                <w:rFonts w:eastAsiaTheme="minorEastAsia"/>
                <w:sz w:val="18"/>
                <w:szCs w:val="22"/>
              </w:rPr>
              <w:t>：建设项目利用海水作为调节温度介质，排水量</w:t>
            </w:r>
            <w:r>
              <w:rPr>
                <w:rFonts w:eastAsiaTheme="minorEastAsia" w:hAnsi="Times New Roman"/>
                <w:sz w:val="18"/>
                <w:szCs w:val="22"/>
              </w:rPr>
              <w:t>≥500</w:t>
            </w:r>
            <w:r>
              <w:rPr>
                <w:rFonts w:eastAsiaTheme="minorEastAsia"/>
                <w:sz w:val="18"/>
                <w:szCs w:val="22"/>
              </w:rPr>
              <w:t>万</w:t>
            </w:r>
            <w:r>
              <w:rPr>
                <w:rFonts w:eastAsiaTheme="minorEastAsia" w:hAnsi="Times New Roman"/>
                <w:sz w:val="18"/>
                <w:szCs w:val="22"/>
              </w:rPr>
              <w:t>m</w:t>
            </w:r>
            <w:r>
              <w:rPr>
                <w:rFonts w:eastAsiaTheme="minorEastAsia" w:hAnsi="Times New Roman"/>
                <w:sz w:val="18"/>
                <w:szCs w:val="22"/>
                <w:vertAlign w:val="superscript"/>
              </w:rPr>
              <w:t>3</w:t>
            </w:r>
            <w:r>
              <w:rPr>
                <w:rFonts w:eastAsiaTheme="minorEastAsia" w:hAnsi="Times New Roman"/>
                <w:sz w:val="18"/>
                <w:szCs w:val="22"/>
              </w:rPr>
              <w:t>/d</w:t>
            </w:r>
            <w:r>
              <w:rPr>
                <w:rFonts w:eastAsiaTheme="minorEastAsia"/>
                <w:sz w:val="18"/>
                <w:szCs w:val="22"/>
              </w:rPr>
              <w:t>，评价等级为一级；排水量＜</w:t>
            </w:r>
            <w:r>
              <w:rPr>
                <w:rFonts w:eastAsiaTheme="minorEastAsia" w:hAnsi="Times New Roman"/>
                <w:sz w:val="18"/>
                <w:szCs w:val="22"/>
              </w:rPr>
              <w:t>500</w:t>
            </w:r>
            <w:r>
              <w:rPr>
                <w:rFonts w:eastAsiaTheme="minorEastAsia"/>
                <w:sz w:val="18"/>
                <w:szCs w:val="22"/>
              </w:rPr>
              <w:t>万</w:t>
            </w:r>
            <w:r>
              <w:rPr>
                <w:rFonts w:eastAsiaTheme="minorEastAsia" w:hAnsi="Times New Roman"/>
                <w:sz w:val="18"/>
                <w:szCs w:val="22"/>
              </w:rPr>
              <w:t>m</w:t>
            </w:r>
            <w:r>
              <w:rPr>
                <w:rFonts w:eastAsiaTheme="minorEastAsia" w:hAnsi="Times New Roman"/>
                <w:sz w:val="18"/>
                <w:szCs w:val="22"/>
                <w:vertAlign w:val="superscript"/>
              </w:rPr>
              <w:t>3</w:t>
            </w:r>
            <w:r>
              <w:rPr>
                <w:rFonts w:eastAsiaTheme="minorEastAsia" w:hAnsi="Times New Roman"/>
                <w:sz w:val="18"/>
                <w:szCs w:val="22"/>
              </w:rPr>
              <w:t>/d</w:t>
            </w:r>
            <w:r>
              <w:rPr>
                <w:rFonts w:eastAsiaTheme="minorEastAsia"/>
                <w:sz w:val="18"/>
                <w:szCs w:val="22"/>
              </w:rPr>
              <w:t>，评价等级为二级。</w:t>
            </w:r>
          </w:p>
          <w:p w14:paraId="14DBD5CC" w14:textId="77777777" w:rsidR="00B14D53" w:rsidRDefault="00000000">
            <w:pPr>
              <w:pStyle w:val="afff2"/>
              <w:spacing w:line="240" w:lineRule="auto"/>
              <w:ind w:firstLine="319"/>
              <w:jc w:val="both"/>
              <w:rPr>
                <w:rFonts w:eastAsiaTheme="minorEastAsia" w:hAnsi="Times New Roman"/>
                <w:sz w:val="18"/>
                <w:szCs w:val="22"/>
              </w:rPr>
            </w:pPr>
            <w:r>
              <w:rPr>
                <w:rFonts w:eastAsiaTheme="minorEastAsia"/>
                <w:sz w:val="18"/>
                <w:szCs w:val="22"/>
              </w:rPr>
              <w:t>注</w:t>
            </w:r>
            <w:r>
              <w:rPr>
                <w:rFonts w:eastAsiaTheme="minorEastAsia" w:hAnsi="Times New Roman"/>
                <w:sz w:val="18"/>
                <w:szCs w:val="22"/>
              </w:rPr>
              <w:t>8</w:t>
            </w:r>
            <w:r>
              <w:rPr>
                <w:rFonts w:eastAsiaTheme="minorEastAsia"/>
                <w:sz w:val="18"/>
                <w:szCs w:val="22"/>
              </w:rPr>
              <w:t>：仅涉及清净下水排放的，如其排放水质满足受纳水体水环境质量标准要求的，评价等级为三级</w:t>
            </w:r>
            <w:r>
              <w:rPr>
                <w:rFonts w:eastAsiaTheme="minorEastAsia" w:hAnsi="Times New Roman"/>
                <w:sz w:val="18"/>
                <w:szCs w:val="22"/>
              </w:rPr>
              <w:t xml:space="preserve"> A</w:t>
            </w:r>
            <w:r>
              <w:rPr>
                <w:rFonts w:eastAsiaTheme="minorEastAsia"/>
                <w:sz w:val="18"/>
                <w:szCs w:val="22"/>
              </w:rPr>
              <w:t>。</w:t>
            </w:r>
          </w:p>
          <w:p w14:paraId="50A5A5AF" w14:textId="77777777" w:rsidR="00B14D53" w:rsidRDefault="00000000">
            <w:pPr>
              <w:pStyle w:val="afff2"/>
              <w:spacing w:line="240" w:lineRule="auto"/>
              <w:ind w:firstLine="319"/>
              <w:jc w:val="both"/>
              <w:rPr>
                <w:rFonts w:eastAsiaTheme="minorEastAsia" w:hAnsi="Times New Roman"/>
                <w:sz w:val="18"/>
                <w:szCs w:val="22"/>
              </w:rPr>
            </w:pPr>
            <w:r>
              <w:rPr>
                <w:rFonts w:eastAsiaTheme="minorEastAsia"/>
                <w:sz w:val="18"/>
                <w:szCs w:val="22"/>
              </w:rPr>
              <w:t>注</w:t>
            </w:r>
            <w:r>
              <w:rPr>
                <w:rFonts w:eastAsiaTheme="minorEastAsia" w:hAnsi="Times New Roman"/>
                <w:sz w:val="18"/>
                <w:szCs w:val="22"/>
              </w:rPr>
              <w:t>9</w:t>
            </w:r>
            <w:r>
              <w:rPr>
                <w:rFonts w:eastAsiaTheme="minorEastAsia"/>
                <w:sz w:val="18"/>
                <w:szCs w:val="22"/>
              </w:rPr>
              <w:t>：依托现有排放口，且对外环境未新增排放污染物的直接排放建设项目，评价等级参照间接排放，定为三级</w:t>
            </w:r>
            <w:r>
              <w:rPr>
                <w:rFonts w:eastAsiaTheme="minorEastAsia" w:hAnsi="Times New Roman"/>
                <w:sz w:val="18"/>
                <w:szCs w:val="22"/>
              </w:rPr>
              <w:t>B</w:t>
            </w:r>
            <w:r>
              <w:rPr>
                <w:rFonts w:eastAsiaTheme="minorEastAsia"/>
                <w:sz w:val="18"/>
                <w:szCs w:val="22"/>
              </w:rPr>
              <w:t>。</w:t>
            </w:r>
          </w:p>
          <w:p w14:paraId="7DD21BB6" w14:textId="77777777" w:rsidR="00B14D53" w:rsidRDefault="00000000">
            <w:pPr>
              <w:pStyle w:val="afff2"/>
              <w:spacing w:line="240" w:lineRule="auto"/>
              <w:ind w:firstLine="319"/>
              <w:jc w:val="both"/>
              <w:rPr>
                <w:rFonts w:eastAsiaTheme="minorEastAsia" w:hAnsi="Times New Roman"/>
                <w:b/>
                <w:snapToGrid w:val="0"/>
                <w:lang w:val="zh-CN"/>
              </w:rPr>
            </w:pPr>
            <w:r>
              <w:rPr>
                <w:rFonts w:eastAsiaTheme="minorEastAsia"/>
                <w:b/>
                <w:sz w:val="18"/>
                <w:szCs w:val="22"/>
              </w:rPr>
              <w:t>注</w:t>
            </w:r>
            <w:r>
              <w:rPr>
                <w:rFonts w:eastAsiaTheme="minorEastAsia" w:hAnsi="Times New Roman"/>
                <w:b/>
                <w:sz w:val="18"/>
                <w:szCs w:val="22"/>
              </w:rPr>
              <w:t>10</w:t>
            </w:r>
            <w:r>
              <w:rPr>
                <w:rFonts w:eastAsiaTheme="minorEastAsia"/>
                <w:b/>
                <w:sz w:val="18"/>
                <w:szCs w:val="22"/>
              </w:rPr>
              <w:t>：建设项目生产工艺中有废水产生，但作为回水利用，不排放到外环境的，按三级</w:t>
            </w:r>
            <w:r>
              <w:rPr>
                <w:rFonts w:eastAsiaTheme="minorEastAsia" w:hAnsi="Times New Roman"/>
                <w:b/>
                <w:sz w:val="18"/>
                <w:szCs w:val="22"/>
              </w:rPr>
              <w:t>B</w:t>
            </w:r>
            <w:r>
              <w:rPr>
                <w:rFonts w:eastAsiaTheme="minorEastAsia"/>
                <w:b/>
                <w:sz w:val="18"/>
                <w:szCs w:val="22"/>
              </w:rPr>
              <w:t>评价。</w:t>
            </w:r>
          </w:p>
        </w:tc>
      </w:tr>
    </w:tbl>
    <w:p w14:paraId="019CEA2D" w14:textId="77777777" w:rsidR="00B14D53" w:rsidRDefault="00000000">
      <w:pPr>
        <w:spacing w:line="360" w:lineRule="auto"/>
        <w:ind w:firstLineChars="200" w:firstLine="480"/>
        <w:rPr>
          <w:rFonts w:eastAsiaTheme="minorEastAsia"/>
          <w:sz w:val="24"/>
          <w:szCs w:val="21"/>
        </w:rPr>
      </w:pPr>
      <w:r>
        <w:rPr>
          <w:rFonts w:eastAsiaTheme="minorEastAsia" w:hAnsiTheme="minorEastAsia"/>
          <w:sz w:val="24"/>
          <w:szCs w:val="21"/>
        </w:rPr>
        <w:t>本项目</w:t>
      </w:r>
      <w:r>
        <w:rPr>
          <w:rFonts w:eastAsiaTheme="minorEastAsia" w:hAnsiTheme="minorEastAsia" w:hint="eastAsia"/>
          <w:sz w:val="24"/>
        </w:rPr>
        <w:t>废水均排入市政管网，</w:t>
      </w:r>
      <w:r>
        <w:rPr>
          <w:rFonts w:hint="eastAsia"/>
          <w:kern w:val="21"/>
          <w:sz w:val="24"/>
        </w:rPr>
        <w:t>经五常市民泉污水处理有限公司（五常市山河屯林业局污水处理厂）处理后排放，</w:t>
      </w:r>
      <w:r>
        <w:rPr>
          <w:rFonts w:eastAsiaTheme="minorEastAsia" w:hAnsiTheme="minorEastAsia" w:hint="eastAsia"/>
          <w:sz w:val="24"/>
        </w:rPr>
        <w:t>属于间接排放</w:t>
      </w:r>
      <w:r>
        <w:rPr>
          <w:rFonts w:eastAsiaTheme="minorEastAsia" w:hAnsiTheme="minorEastAsia"/>
          <w:sz w:val="24"/>
          <w:szCs w:val="21"/>
        </w:rPr>
        <w:t>。根据《环境影响评价技术导则</w:t>
      </w:r>
      <w:r>
        <w:rPr>
          <w:rFonts w:eastAsiaTheme="minorEastAsia"/>
          <w:sz w:val="24"/>
          <w:szCs w:val="21"/>
        </w:rPr>
        <w:t xml:space="preserve"> </w:t>
      </w:r>
      <w:r>
        <w:rPr>
          <w:rFonts w:eastAsiaTheme="minorEastAsia" w:hAnsiTheme="minorEastAsia"/>
          <w:sz w:val="24"/>
          <w:szCs w:val="21"/>
        </w:rPr>
        <w:t>地</w:t>
      </w:r>
      <w:r>
        <w:rPr>
          <w:rFonts w:eastAsiaTheme="minorEastAsia" w:hAnsiTheme="minorEastAsia" w:hint="eastAsia"/>
          <w:sz w:val="24"/>
          <w:szCs w:val="21"/>
        </w:rPr>
        <w:t>表</w:t>
      </w:r>
      <w:r>
        <w:rPr>
          <w:rFonts w:eastAsiaTheme="minorEastAsia" w:hAnsiTheme="minorEastAsia"/>
          <w:sz w:val="24"/>
          <w:szCs w:val="21"/>
        </w:rPr>
        <w:t>水环境》（</w:t>
      </w:r>
      <w:r>
        <w:rPr>
          <w:rFonts w:eastAsiaTheme="minorEastAsia"/>
          <w:sz w:val="24"/>
          <w:szCs w:val="21"/>
        </w:rPr>
        <w:t>HJ 2.3-2018</w:t>
      </w:r>
      <w:r>
        <w:rPr>
          <w:rFonts w:eastAsiaTheme="minorEastAsia" w:hAnsiTheme="minorEastAsia"/>
          <w:sz w:val="24"/>
          <w:szCs w:val="21"/>
        </w:rPr>
        <w:t>），本项目评价等级为三级</w:t>
      </w:r>
      <w:r>
        <w:rPr>
          <w:rFonts w:eastAsiaTheme="minorEastAsia"/>
          <w:sz w:val="24"/>
          <w:szCs w:val="21"/>
        </w:rPr>
        <w:t>B</w:t>
      </w:r>
      <w:r>
        <w:rPr>
          <w:rFonts w:eastAsiaTheme="minorEastAsia" w:hAnsiTheme="minorEastAsia"/>
          <w:kern w:val="0"/>
          <w:sz w:val="24"/>
        </w:rPr>
        <w:t>。</w:t>
      </w:r>
    </w:p>
    <w:p w14:paraId="7BD07099"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2.4.3</w:t>
      </w:r>
      <w:r>
        <w:rPr>
          <w:rFonts w:ascii="Times New Roman" w:eastAsia="黑体" w:hAnsi="Times New Roman" w:cs="Times New Roman"/>
          <w:bCs/>
          <w:sz w:val="28"/>
          <w:szCs w:val="28"/>
        </w:rPr>
        <w:t>地下水环境</w:t>
      </w:r>
    </w:p>
    <w:p w14:paraId="067CA863" w14:textId="77777777" w:rsidR="00B14D53" w:rsidRDefault="00000000">
      <w:pPr>
        <w:spacing w:line="360" w:lineRule="auto"/>
        <w:ind w:firstLineChars="200" w:firstLine="480"/>
        <w:rPr>
          <w:rFonts w:eastAsiaTheme="minorEastAsia"/>
          <w:kern w:val="0"/>
          <w:sz w:val="24"/>
        </w:rPr>
      </w:pPr>
      <w:r>
        <w:rPr>
          <w:rFonts w:eastAsiaTheme="minorEastAsia" w:hAnsiTheme="minorEastAsia"/>
          <w:bCs/>
          <w:kern w:val="0"/>
          <w:sz w:val="24"/>
        </w:rPr>
        <w:t>根据《环境影响评价技术导则</w:t>
      </w:r>
      <w:r>
        <w:rPr>
          <w:rFonts w:eastAsiaTheme="minorEastAsia"/>
          <w:bCs/>
          <w:kern w:val="0"/>
          <w:sz w:val="24"/>
        </w:rPr>
        <w:t xml:space="preserve"> </w:t>
      </w:r>
      <w:r>
        <w:rPr>
          <w:rFonts w:eastAsiaTheme="minorEastAsia" w:hAnsiTheme="minorEastAsia"/>
          <w:bCs/>
          <w:kern w:val="0"/>
          <w:sz w:val="24"/>
        </w:rPr>
        <w:t>地下水环境》（</w:t>
      </w:r>
      <w:r>
        <w:rPr>
          <w:rFonts w:eastAsiaTheme="minorEastAsia"/>
          <w:bCs/>
          <w:kern w:val="0"/>
          <w:sz w:val="24"/>
        </w:rPr>
        <w:t>HJ610-2016</w:t>
      </w:r>
      <w:r>
        <w:rPr>
          <w:rFonts w:eastAsiaTheme="minorEastAsia" w:hAnsiTheme="minorEastAsia"/>
          <w:bCs/>
          <w:kern w:val="0"/>
          <w:sz w:val="24"/>
        </w:rPr>
        <w:t>）评价工作等级的划分应依据建设</w:t>
      </w:r>
      <w:r>
        <w:rPr>
          <w:rFonts w:eastAsiaTheme="minorEastAsia" w:hAnsiTheme="minorEastAsia"/>
          <w:kern w:val="0"/>
          <w:sz w:val="24"/>
        </w:rPr>
        <w:t>项目行业分类和地下水环境敏感程度分级进行判定。</w:t>
      </w:r>
    </w:p>
    <w:p w14:paraId="7754A06C" w14:textId="77777777" w:rsidR="00B14D53" w:rsidRDefault="00000000">
      <w:pPr>
        <w:spacing w:line="360" w:lineRule="auto"/>
        <w:ind w:firstLineChars="200" w:firstLine="480"/>
        <w:rPr>
          <w:rFonts w:eastAsiaTheme="minorEastAsia"/>
          <w:kern w:val="0"/>
          <w:sz w:val="24"/>
        </w:rPr>
      </w:pPr>
      <w:r>
        <w:rPr>
          <w:rFonts w:eastAsiaTheme="minorEastAsia" w:hAnsiTheme="minorEastAsia"/>
          <w:kern w:val="0"/>
          <w:sz w:val="24"/>
        </w:rPr>
        <w:t>（</w:t>
      </w:r>
      <w:r>
        <w:rPr>
          <w:rFonts w:eastAsiaTheme="minorEastAsia"/>
          <w:kern w:val="0"/>
          <w:sz w:val="24"/>
        </w:rPr>
        <w:t>1</w:t>
      </w:r>
      <w:r>
        <w:rPr>
          <w:rFonts w:eastAsiaTheme="minorEastAsia" w:hAnsiTheme="minorEastAsia"/>
          <w:kern w:val="0"/>
          <w:sz w:val="24"/>
        </w:rPr>
        <w:t>）根据《环境影响评价技术导则</w:t>
      </w:r>
      <w:r>
        <w:rPr>
          <w:rFonts w:eastAsiaTheme="minorEastAsia"/>
          <w:kern w:val="0"/>
          <w:sz w:val="24"/>
        </w:rPr>
        <w:t xml:space="preserve"> </w:t>
      </w:r>
      <w:r>
        <w:rPr>
          <w:rFonts w:eastAsiaTheme="minorEastAsia" w:hAnsiTheme="minorEastAsia"/>
          <w:kern w:val="0"/>
          <w:sz w:val="24"/>
        </w:rPr>
        <w:t>地下水环境》附录</w:t>
      </w:r>
      <w:r>
        <w:rPr>
          <w:rFonts w:eastAsiaTheme="minorEastAsia"/>
          <w:kern w:val="0"/>
          <w:sz w:val="24"/>
        </w:rPr>
        <w:t>A</w:t>
      </w:r>
      <w:r>
        <w:rPr>
          <w:rFonts w:eastAsiaTheme="minorEastAsia" w:hAnsiTheme="minorEastAsia"/>
          <w:kern w:val="0"/>
          <w:sz w:val="24"/>
        </w:rPr>
        <w:t>确定本项目所属的地下水环境影响评价项目类别为Ⅲ类。</w:t>
      </w:r>
    </w:p>
    <w:p w14:paraId="049B53DD" w14:textId="77777777" w:rsidR="00B14D53" w:rsidRDefault="00000000">
      <w:pPr>
        <w:spacing w:line="360" w:lineRule="auto"/>
        <w:ind w:firstLineChars="200" w:firstLine="480"/>
        <w:rPr>
          <w:rFonts w:eastAsiaTheme="minorEastAsia"/>
          <w:kern w:val="0"/>
          <w:sz w:val="24"/>
        </w:rPr>
      </w:pPr>
      <w:r>
        <w:rPr>
          <w:rFonts w:eastAsiaTheme="minorEastAsia" w:hAnsiTheme="minorEastAsia"/>
          <w:kern w:val="0"/>
          <w:sz w:val="24"/>
        </w:rPr>
        <w:t>（</w:t>
      </w:r>
      <w:r>
        <w:rPr>
          <w:rFonts w:eastAsiaTheme="minorEastAsia"/>
          <w:kern w:val="0"/>
          <w:sz w:val="24"/>
        </w:rPr>
        <w:t>2</w:t>
      </w:r>
      <w:r>
        <w:rPr>
          <w:rFonts w:eastAsiaTheme="minorEastAsia" w:hAnsiTheme="minorEastAsia"/>
          <w:kern w:val="0"/>
          <w:sz w:val="24"/>
        </w:rPr>
        <w:t>）建设项目场地的地下水环境敏感程度可分为敏感、较敏感、不敏感三级，分级原则见</w:t>
      </w:r>
      <w:r>
        <w:rPr>
          <w:rFonts w:eastAsiaTheme="minorEastAsia" w:hAnsiTheme="minorEastAsia" w:hint="eastAsia"/>
          <w:kern w:val="0"/>
          <w:sz w:val="24"/>
        </w:rPr>
        <w:t>下表</w:t>
      </w:r>
      <w:r>
        <w:rPr>
          <w:rFonts w:eastAsiaTheme="minorEastAsia" w:hAnsiTheme="minorEastAsia"/>
          <w:kern w:val="0"/>
          <w:sz w:val="24"/>
        </w:rPr>
        <w:t>。</w:t>
      </w:r>
    </w:p>
    <w:p w14:paraId="55ECE5E1" w14:textId="77777777" w:rsidR="00B14D53" w:rsidRDefault="00000000">
      <w:pPr>
        <w:jc w:val="center"/>
        <w:rPr>
          <w:b/>
          <w:bCs/>
        </w:rPr>
      </w:pPr>
      <w:r>
        <w:rPr>
          <w:b/>
          <w:bCs/>
        </w:rPr>
        <w:t>表</w:t>
      </w:r>
      <w:r>
        <w:rPr>
          <w:b/>
          <w:bCs/>
        </w:rPr>
        <w:t>2-4-</w:t>
      </w:r>
      <w:r>
        <w:rPr>
          <w:rFonts w:hint="eastAsia"/>
          <w:b/>
          <w:bCs/>
        </w:rPr>
        <w:t xml:space="preserve">7 </w:t>
      </w:r>
      <w:r>
        <w:rPr>
          <w:b/>
          <w:bCs/>
        </w:rPr>
        <w:t>地下水环境敏感程度分级</w:t>
      </w:r>
    </w:p>
    <w:tbl>
      <w:tblPr>
        <w:tblW w:w="868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85"/>
        <w:gridCol w:w="7800"/>
      </w:tblGrid>
      <w:tr w:rsidR="00B14D53" w14:paraId="13C07C64" w14:textId="77777777">
        <w:trPr>
          <w:trHeight w:hRule="exact" w:val="340"/>
          <w:jc w:val="center"/>
        </w:trPr>
        <w:tc>
          <w:tcPr>
            <w:tcW w:w="885" w:type="dxa"/>
            <w:tcBorders>
              <w:top w:val="single" w:sz="12" w:space="0" w:color="auto"/>
              <w:left w:val="nil"/>
              <w:bottom w:val="single" w:sz="4" w:space="0" w:color="auto"/>
              <w:right w:val="single" w:sz="4" w:space="0" w:color="auto"/>
            </w:tcBorders>
            <w:vAlign w:val="center"/>
          </w:tcPr>
          <w:p w14:paraId="7C3BC319" w14:textId="77777777" w:rsidR="00B14D53" w:rsidRDefault="00000000">
            <w:pPr>
              <w:jc w:val="center"/>
              <w:rPr>
                <w:rFonts w:eastAsiaTheme="minorEastAsia"/>
                <w:b/>
                <w:bCs/>
                <w:kern w:val="0"/>
                <w:szCs w:val="21"/>
              </w:rPr>
            </w:pPr>
            <w:r>
              <w:rPr>
                <w:rFonts w:eastAsiaTheme="minorEastAsia" w:hAnsiTheme="minorEastAsia"/>
                <w:b/>
                <w:bCs/>
                <w:kern w:val="0"/>
                <w:szCs w:val="21"/>
              </w:rPr>
              <w:t>分级</w:t>
            </w:r>
          </w:p>
        </w:tc>
        <w:tc>
          <w:tcPr>
            <w:tcW w:w="7800" w:type="dxa"/>
            <w:tcBorders>
              <w:top w:val="single" w:sz="12" w:space="0" w:color="auto"/>
              <w:left w:val="single" w:sz="4" w:space="0" w:color="auto"/>
              <w:bottom w:val="single" w:sz="4" w:space="0" w:color="auto"/>
              <w:right w:val="nil"/>
            </w:tcBorders>
            <w:vAlign w:val="center"/>
          </w:tcPr>
          <w:p w14:paraId="1BB89889" w14:textId="77777777" w:rsidR="00B14D53" w:rsidRDefault="00000000">
            <w:pPr>
              <w:jc w:val="center"/>
              <w:rPr>
                <w:rFonts w:eastAsiaTheme="minorEastAsia"/>
                <w:b/>
                <w:bCs/>
                <w:kern w:val="0"/>
                <w:szCs w:val="21"/>
              </w:rPr>
            </w:pPr>
            <w:r>
              <w:rPr>
                <w:rFonts w:eastAsiaTheme="minorEastAsia" w:hAnsiTheme="minorEastAsia"/>
                <w:b/>
                <w:bCs/>
                <w:kern w:val="0"/>
                <w:szCs w:val="21"/>
              </w:rPr>
              <w:t>项目场地的地下水环境敏感特征</w:t>
            </w:r>
          </w:p>
        </w:tc>
      </w:tr>
      <w:tr w:rsidR="00B14D53" w14:paraId="1643EC92" w14:textId="77777777">
        <w:trPr>
          <w:trHeight w:hRule="exact" w:val="1028"/>
          <w:jc w:val="center"/>
        </w:trPr>
        <w:tc>
          <w:tcPr>
            <w:tcW w:w="885" w:type="dxa"/>
            <w:tcBorders>
              <w:top w:val="single" w:sz="4" w:space="0" w:color="auto"/>
              <w:left w:val="nil"/>
              <w:bottom w:val="single" w:sz="4" w:space="0" w:color="auto"/>
              <w:right w:val="single" w:sz="4" w:space="0" w:color="auto"/>
            </w:tcBorders>
            <w:vAlign w:val="center"/>
          </w:tcPr>
          <w:p w14:paraId="5A70B9C8" w14:textId="77777777" w:rsidR="00B14D53" w:rsidRDefault="00000000">
            <w:pPr>
              <w:jc w:val="center"/>
              <w:rPr>
                <w:rFonts w:eastAsiaTheme="minorEastAsia"/>
                <w:kern w:val="0"/>
                <w:szCs w:val="21"/>
              </w:rPr>
            </w:pPr>
            <w:r>
              <w:rPr>
                <w:rFonts w:eastAsiaTheme="minorEastAsia" w:hAnsiTheme="minorEastAsia"/>
                <w:kern w:val="0"/>
                <w:szCs w:val="21"/>
              </w:rPr>
              <w:t>敏感</w:t>
            </w:r>
          </w:p>
        </w:tc>
        <w:tc>
          <w:tcPr>
            <w:tcW w:w="7800" w:type="dxa"/>
            <w:tcBorders>
              <w:top w:val="single" w:sz="4" w:space="0" w:color="auto"/>
              <w:left w:val="single" w:sz="4" w:space="0" w:color="auto"/>
              <w:bottom w:val="single" w:sz="4" w:space="0" w:color="auto"/>
              <w:right w:val="nil"/>
            </w:tcBorders>
            <w:vAlign w:val="center"/>
          </w:tcPr>
          <w:p w14:paraId="31940300" w14:textId="77777777" w:rsidR="00B14D53" w:rsidRDefault="00000000">
            <w:pPr>
              <w:jc w:val="center"/>
              <w:rPr>
                <w:rFonts w:eastAsiaTheme="minorEastAsia"/>
                <w:kern w:val="0"/>
                <w:szCs w:val="21"/>
              </w:rPr>
            </w:pPr>
            <w:r>
              <w:rPr>
                <w:rFonts w:eastAsiaTheme="minorEastAsia" w:hAnsiTheme="minorEastAsia"/>
                <w:kern w:val="0"/>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B14D53" w14:paraId="32E00C3E" w14:textId="77777777">
        <w:trPr>
          <w:trHeight w:hRule="exact" w:val="1353"/>
          <w:jc w:val="center"/>
        </w:trPr>
        <w:tc>
          <w:tcPr>
            <w:tcW w:w="885" w:type="dxa"/>
            <w:tcBorders>
              <w:top w:val="single" w:sz="4" w:space="0" w:color="auto"/>
              <w:left w:val="nil"/>
              <w:bottom w:val="single" w:sz="4" w:space="0" w:color="auto"/>
              <w:right w:val="single" w:sz="4" w:space="0" w:color="auto"/>
            </w:tcBorders>
            <w:vAlign w:val="center"/>
          </w:tcPr>
          <w:p w14:paraId="46D76126" w14:textId="77777777" w:rsidR="00B14D53" w:rsidRDefault="00000000">
            <w:pPr>
              <w:jc w:val="center"/>
              <w:rPr>
                <w:rFonts w:eastAsiaTheme="minorEastAsia"/>
                <w:kern w:val="0"/>
                <w:szCs w:val="21"/>
              </w:rPr>
            </w:pPr>
            <w:r>
              <w:rPr>
                <w:rFonts w:eastAsiaTheme="minorEastAsia" w:hAnsiTheme="minorEastAsia"/>
                <w:kern w:val="0"/>
                <w:szCs w:val="21"/>
              </w:rPr>
              <w:t>较敏感</w:t>
            </w:r>
          </w:p>
        </w:tc>
        <w:tc>
          <w:tcPr>
            <w:tcW w:w="7800" w:type="dxa"/>
            <w:tcBorders>
              <w:top w:val="single" w:sz="4" w:space="0" w:color="auto"/>
              <w:left w:val="single" w:sz="4" w:space="0" w:color="auto"/>
              <w:bottom w:val="single" w:sz="4" w:space="0" w:color="auto"/>
              <w:right w:val="nil"/>
            </w:tcBorders>
            <w:vAlign w:val="center"/>
          </w:tcPr>
          <w:p w14:paraId="4FB6CCEA" w14:textId="77777777" w:rsidR="00B14D53" w:rsidRDefault="00000000">
            <w:pPr>
              <w:jc w:val="center"/>
              <w:rPr>
                <w:rFonts w:eastAsiaTheme="minorEastAsia"/>
                <w:szCs w:val="21"/>
              </w:rPr>
            </w:pPr>
            <w:r>
              <w:rPr>
                <w:rFonts w:eastAsiaTheme="minorEastAsia" w:hAnsiTheme="minorEastAsia"/>
                <w:kern w:val="0"/>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eastAsiaTheme="minorEastAsia"/>
                <w:kern w:val="0"/>
                <w:szCs w:val="21"/>
              </w:rPr>
              <w:t>a</w:t>
            </w:r>
          </w:p>
        </w:tc>
      </w:tr>
      <w:tr w:rsidR="00B14D53" w14:paraId="18387471" w14:textId="77777777">
        <w:trPr>
          <w:trHeight w:hRule="exact" w:val="340"/>
          <w:jc w:val="center"/>
        </w:trPr>
        <w:tc>
          <w:tcPr>
            <w:tcW w:w="885" w:type="dxa"/>
            <w:tcBorders>
              <w:top w:val="single" w:sz="4" w:space="0" w:color="auto"/>
              <w:left w:val="nil"/>
              <w:bottom w:val="single" w:sz="4" w:space="0" w:color="auto"/>
              <w:right w:val="single" w:sz="4" w:space="0" w:color="auto"/>
            </w:tcBorders>
            <w:vAlign w:val="center"/>
          </w:tcPr>
          <w:p w14:paraId="58427B31" w14:textId="77777777" w:rsidR="00B14D53" w:rsidRDefault="00000000">
            <w:pPr>
              <w:jc w:val="center"/>
              <w:rPr>
                <w:rFonts w:eastAsiaTheme="minorEastAsia"/>
                <w:kern w:val="0"/>
                <w:szCs w:val="21"/>
              </w:rPr>
            </w:pPr>
            <w:r>
              <w:rPr>
                <w:rFonts w:eastAsiaTheme="minorEastAsia" w:hAnsiTheme="minorEastAsia"/>
                <w:kern w:val="0"/>
                <w:szCs w:val="21"/>
              </w:rPr>
              <w:t>不敏感</w:t>
            </w:r>
          </w:p>
        </w:tc>
        <w:tc>
          <w:tcPr>
            <w:tcW w:w="7800" w:type="dxa"/>
            <w:tcBorders>
              <w:top w:val="single" w:sz="4" w:space="0" w:color="auto"/>
              <w:left w:val="single" w:sz="4" w:space="0" w:color="auto"/>
              <w:bottom w:val="single" w:sz="4" w:space="0" w:color="auto"/>
              <w:right w:val="nil"/>
            </w:tcBorders>
            <w:vAlign w:val="center"/>
          </w:tcPr>
          <w:p w14:paraId="097CEA62" w14:textId="77777777" w:rsidR="00B14D53" w:rsidRDefault="00000000">
            <w:pPr>
              <w:jc w:val="center"/>
              <w:rPr>
                <w:rFonts w:eastAsiaTheme="minorEastAsia"/>
                <w:kern w:val="0"/>
                <w:szCs w:val="21"/>
              </w:rPr>
            </w:pPr>
            <w:r>
              <w:rPr>
                <w:rFonts w:eastAsiaTheme="minorEastAsia" w:hAnsiTheme="minorEastAsia"/>
                <w:kern w:val="0"/>
                <w:szCs w:val="21"/>
              </w:rPr>
              <w:t>上述地区之外的其他地区。</w:t>
            </w:r>
          </w:p>
        </w:tc>
      </w:tr>
      <w:tr w:rsidR="00B14D53" w14:paraId="190A792A" w14:textId="77777777">
        <w:trPr>
          <w:trHeight w:val="701"/>
          <w:jc w:val="center"/>
        </w:trPr>
        <w:tc>
          <w:tcPr>
            <w:tcW w:w="8685" w:type="dxa"/>
            <w:gridSpan w:val="2"/>
            <w:tcBorders>
              <w:top w:val="single" w:sz="4" w:space="0" w:color="auto"/>
              <w:left w:val="nil"/>
              <w:bottom w:val="single" w:sz="12" w:space="0" w:color="auto"/>
              <w:right w:val="nil"/>
            </w:tcBorders>
            <w:vAlign w:val="center"/>
          </w:tcPr>
          <w:p w14:paraId="48D7C76D" w14:textId="77777777" w:rsidR="00B14D53" w:rsidRDefault="00000000">
            <w:pPr>
              <w:rPr>
                <w:rFonts w:eastAsiaTheme="minorEastAsia"/>
                <w:kern w:val="0"/>
                <w:szCs w:val="21"/>
              </w:rPr>
            </w:pPr>
            <w:r>
              <w:rPr>
                <w:rFonts w:eastAsiaTheme="minorEastAsia" w:hAnsiTheme="minorEastAsia"/>
                <w:kern w:val="0"/>
                <w:szCs w:val="21"/>
              </w:rPr>
              <w:t>注：</w:t>
            </w:r>
            <w:r>
              <w:rPr>
                <w:rFonts w:eastAsiaTheme="minorEastAsia"/>
                <w:kern w:val="0"/>
                <w:szCs w:val="21"/>
              </w:rPr>
              <w:t>a“</w:t>
            </w:r>
            <w:r>
              <w:rPr>
                <w:rFonts w:eastAsiaTheme="minorEastAsia" w:hAnsiTheme="minorEastAsia"/>
                <w:kern w:val="0"/>
                <w:szCs w:val="21"/>
              </w:rPr>
              <w:t>环境敏感区</w:t>
            </w:r>
            <w:r>
              <w:rPr>
                <w:rFonts w:eastAsiaTheme="minorEastAsia"/>
                <w:kern w:val="0"/>
                <w:szCs w:val="21"/>
              </w:rPr>
              <w:t>”</w:t>
            </w:r>
            <w:r>
              <w:rPr>
                <w:rFonts w:eastAsiaTheme="minorEastAsia" w:hAnsiTheme="minorEastAsia"/>
                <w:kern w:val="0"/>
                <w:szCs w:val="21"/>
              </w:rPr>
              <w:t>是指《建设项目环境影响评价分类管理名录》中所界定的涉及地下水的环境敏感区。</w:t>
            </w:r>
          </w:p>
        </w:tc>
      </w:tr>
    </w:tbl>
    <w:p w14:paraId="41D70E8F" w14:textId="77777777" w:rsidR="00B14D53" w:rsidRDefault="00000000">
      <w:pPr>
        <w:spacing w:line="360" w:lineRule="auto"/>
        <w:ind w:firstLineChars="200" w:firstLine="480"/>
        <w:contextualSpacing/>
        <w:rPr>
          <w:rFonts w:eastAsiaTheme="minorEastAsia" w:hAnsiTheme="minorEastAsia" w:hint="eastAsia"/>
          <w:snapToGrid w:val="0"/>
          <w:kern w:val="0"/>
          <w:sz w:val="24"/>
          <w:szCs w:val="22"/>
        </w:rPr>
      </w:pPr>
      <w:r>
        <w:rPr>
          <w:rFonts w:eastAsiaTheme="minorEastAsia" w:hAnsiTheme="minorEastAsia"/>
          <w:sz w:val="24"/>
        </w:rPr>
        <w:t>本项目</w:t>
      </w:r>
      <w:r>
        <w:rPr>
          <w:rFonts w:eastAsiaTheme="minorEastAsia" w:hAnsiTheme="minorEastAsia" w:hint="eastAsia"/>
          <w:sz w:val="24"/>
        </w:rPr>
        <w:t>属于</w:t>
      </w:r>
      <w:r>
        <w:rPr>
          <w:rFonts w:eastAsiaTheme="minorEastAsia" w:hAnsiTheme="minorEastAsia"/>
          <w:sz w:val="24"/>
        </w:rPr>
        <w:t>未划定准保护区的集中水式饮用水水源，其保护区以外的补给径流区</w:t>
      </w:r>
      <w:r>
        <w:rPr>
          <w:rFonts w:eastAsiaTheme="minorEastAsia" w:hAnsiTheme="minorEastAsia" w:hint="eastAsia"/>
          <w:sz w:val="24"/>
        </w:rPr>
        <w:t>，</w:t>
      </w:r>
      <w:r>
        <w:rPr>
          <w:rFonts w:eastAsiaTheme="minorEastAsia" w:hAnsiTheme="minorEastAsia" w:hint="eastAsia"/>
          <w:snapToGrid w:val="0"/>
          <w:kern w:val="0"/>
          <w:sz w:val="24"/>
          <w:szCs w:val="22"/>
        </w:rPr>
        <w:t>敏感程度为较敏感。</w:t>
      </w:r>
    </w:p>
    <w:p w14:paraId="725656AB"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根据《环境影响评价技术导则</w:t>
      </w:r>
      <w:r>
        <w:rPr>
          <w:rFonts w:eastAsiaTheme="minorEastAsia"/>
          <w:sz w:val="24"/>
        </w:rPr>
        <w:t xml:space="preserve"> </w:t>
      </w:r>
      <w:r>
        <w:rPr>
          <w:rFonts w:eastAsiaTheme="minorEastAsia" w:hAnsiTheme="minorEastAsia"/>
          <w:sz w:val="24"/>
        </w:rPr>
        <w:t>地下水环境》（</w:t>
      </w:r>
      <w:r>
        <w:rPr>
          <w:rFonts w:eastAsiaTheme="minorEastAsia"/>
          <w:sz w:val="24"/>
        </w:rPr>
        <w:t>HJ610-2016</w:t>
      </w:r>
      <w:r>
        <w:rPr>
          <w:rFonts w:eastAsiaTheme="minorEastAsia" w:hAnsiTheme="minorEastAsia"/>
          <w:sz w:val="24"/>
        </w:rPr>
        <w:t>），建设项目地下水环境影响评价工作等级划分见下表。</w:t>
      </w:r>
    </w:p>
    <w:p w14:paraId="7547CC56" w14:textId="77777777" w:rsidR="00B14D53" w:rsidRDefault="00000000">
      <w:pPr>
        <w:jc w:val="center"/>
        <w:rPr>
          <w:b/>
          <w:bCs/>
        </w:rPr>
      </w:pPr>
      <w:r>
        <w:rPr>
          <w:rFonts w:hint="eastAsia"/>
          <w:b/>
          <w:bCs/>
        </w:rPr>
        <w:t>表</w:t>
      </w:r>
      <w:r>
        <w:rPr>
          <w:rFonts w:hint="eastAsia"/>
          <w:b/>
          <w:bCs/>
        </w:rPr>
        <w:t xml:space="preserve">2-4-8 </w:t>
      </w:r>
      <w:r>
        <w:rPr>
          <w:rFonts w:hint="eastAsia"/>
          <w:b/>
          <w:bCs/>
        </w:rPr>
        <w:t>地下水环境影响评价工作等级表</w:t>
      </w:r>
    </w:p>
    <w:tbl>
      <w:tblPr>
        <w:tblW w:w="0" w:type="auto"/>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648"/>
        <w:gridCol w:w="1533"/>
        <w:gridCol w:w="1590"/>
        <w:gridCol w:w="2288"/>
      </w:tblGrid>
      <w:tr w:rsidR="00B14D53" w14:paraId="152D238F" w14:textId="77777777">
        <w:trPr>
          <w:trHeight w:val="732"/>
          <w:jc w:val="center"/>
        </w:trPr>
        <w:tc>
          <w:tcPr>
            <w:tcW w:w="2648" w:type="dxa"/>
            <w:tcBorders>
              <w:top w:val="single" w:sz="12" w:space="0" w:color="000000"/>
              <w:left w:val="nil"/>
              <w:bottom w:val="single" w:sz="4" w:space="0" w:color="000000"/>
              <w:right w:val="single" w:sz="4" w:space="0" w:color="000000"/>
            </w:tcBorders>
            <w:vAlign w:val="center"/>
          </w:tcPr>
          <w:p w14:paraId="5E7706F0" w14:textId="77777777" w:rsidR="00B14D53" w:rsidRDefault="00000000">
            <w:pPr>
              <w:jc w:val="center"/>
              <w:rPr>
                <w:rFonts w:eastAsiaTheme="minorEastAsia"/>
                <w:b/>
                <w:bCs/>
                <w:kern w:val="0"/>
                <w:szCs w:val="21"/>
              </w:rPr>
            </w:pPr>
            <w:r>
              <w:rPr>
                <w:rFonts w:eastAsiaTheme="minorEastAsia"/>
                <w:b/>
                <w:bCs/>
                <w:noProof/>
                <w:kern w:val="0"/>
                <w:szCs w:val="21"/>
              </w:rPr>
              <mc:AlternateContent>
                <mc:Choice Requires="wps">
                  <w:drawing>
                    <wp:anchor distT="0" distB="0" distL="114300" distR="114300" simplePos="0" relativeHeight="251664384" behindDoc="0" locked="0" layoutInCell="1" allowOverlap="1" wp14:anchorId="1002918C" wp14:editId="4D96587D">
                      <wp:simplePos x="0" y="0"/>
                      <wp:positionH relativeFrom="column">
                        <wp:posOffset>-53975</wp:posOffset>
                      </wp:positionH>
                      <wp:positionV relativeFrom="paragraph">
                        <wp:posOffset>-7620</wp:posOffset>
                      </wp:positionV>
                      <wp:extent cx="1642745" cy="438150"/>
                      <wp:effectExtent l="6985" t="9525" r="7620" b="9525"/>
                      <wp:wrapNone/>
                      <wp:docPr id="182"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2745" cy="43815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461" o:spid="_x0000_s1026" o:spt="32" type="#_x0000_t32" style="position:absolute;left:0pt;margin-left:-4.25pt;margin-top:-0.6pt;height:34.5pt;width:129.35pt;z-index:251664384;mso-width-relative:page;mso-height-relative:page;" filled="f" stroked="t" coordsize="21600,21600" o:gfxdata="UEsDBAoAAAAAAIdO4kAAAAAAAAAAAAAAAAAEAAAAZHJzL1BLAwQUAAAACACHTuJA4M208NcAAAAI&#10;AQAADwAAAGRycy9kb3ducmV2LnhtbE2PQU/DMAyF70j7D5GRuKAtaaWOUppOExIHjmyTuGaNaQuN&#10;UzXpOvbrMaftZFvv6fl75ebsenHCMXSeNCQrBQKp9rajRsNh/7bMQYRoyJreE2r4xQCbanFXmsL6&#10;mT7wtIuN4BAKhdHQxjgUUoa6RWfCyg9IrH350ZnI59hIO5qZw10vU6XW0pmO+ENrBnxtsf7ZTU4D&#10;hilL1PbZNYf3y/z4mV6+52Gv9cN9ol5ARDzHqxn+8RkdKmY6+olsEL2GZZ6xk2eSgmA9zRQvRw3r&#10;pxxkVcrbAtUfUEsDBBQAAAAIAIdO4kCQQGtk3gEAALsDAAAOAAAAZHJzL2Uyb0RvYy54bWytU8tu&#10;2zAQvBfoPxC817Jc23UEy0FhI72krYGkH0BTlESU5BJc2rL/vkv60Sa95BAdCO5rljO7Wt4frWEH&#10;FVCDq3k5GnOmnIRGu67mv54fPi04wyhcIww4VfOTQn6/+vhhOfhKTaAH06jACMRhNfia9zH6qihQ&#10;9soKHIFXjoItBCsimaErmiAGQremmIzH82KA0PgAUiGSd3MO8gtieAsgtK2WagNyb5WLZ9SgjIhE&#10;CXvtka/ya9tWyfizbVFFZmpOTGM+qQndd+ksVktRdUH4XsvLE8RbnvCKkxXaUdMb1EZEwfZB/wdl&#10;tQyA0MaRBFuciWRFiEU5fqXNUy+8ylxIavQ30fH9YOWPwzYw3dAmLCacOWFp5F/3EXJvNp2XSaLB&#10;Y0WZa7cNiaQ8uif/CPI3MgfrXrhO5fTnk6fqXFG8KEkGemq0G75DQzmCOmS9jm2wCZKUYMc8ltNt&#10;LOoYmSRnOZ9OvkxnnEmKTT8vylmeWyGqa7UPGL8psCxdao4xCN31cQ3O0QZAKHMvcXjESGyo8FqQ&#10;Wjt40MbkRTCODTW/m01muQDB6CYFUxqGbrc2gR1EWqX8JWkI7EVagL1rzn7jKHylfhZxB81pG1I4&#10;+WmmGeCyf2lp/rVz1t9/b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4M208NcAAAAIAQAADwAA&#10;AAAAAAABACAAAAAiAAAAZHJzL2Rvd25yZXYueG1sUEsBAhQAFAAAAAgAh07iQJBAa2TeAQAAuwMA&#10;AA4AAAAAAAAAAQAgAAAAJgEAAGRycy9lMm9Eb2MueG1sUEsFBgAAAAAGAAYAWQEAAHYFAAAAAA==&#10;">
                      <v:fill on="f" focussize="0,0"/>
                      <v:stroke color="#000000" joinstyle="round"/>
                      <v:imagedata o:title=""/>
                      <o:lock v:ext="edit" aspectratio="f"/>
                    </v:shape>
                  </w:pict>
                </mc:Fallback>
              </mc:AlternateContent>
            </w:r>
            <w:r>
              <w:rPr>
                <w:rFonts w:eastAsiaTheme="minorEastAsia"/>
                <w:b/>
                <w:bCs/>
                <w:kern w:val="0"/>
                <w:szCs w:val="21"/>
              </w:rPr>
              <w:t xml:space="preserve">          </w:t>
            </w:r>
            <w:r>
              <w:rPr>
                <w:rFonts w:eastAsiaTheme="minorEastAsia"/>
                <w:b/>
                <w:bCs/>
                <w:kern w:val="0"/>
                <w:szCs w:val="21"/>
              </w:rPr>
              <w:t>项目类别</w:t>
            </w:r>
          </w:p>
          <w:p w14:paraId="1751FD3B" w14:textId="77777777" w:rsidR="00B14D53" w:rsidRDefault="00000000">
            <w:pPr>
              <w:rPr>
                <w:rFonts w:eastAsiaTheme="minorEastAsia"/>
                <w:b/>
                <w:bCs/>
                <w:szCs w:val="21"/>
              </w:rPr>
            </w:pPr>
            <w:r>
              <w:rPr>
                <w:rFonts w:eastAsiaTheme="minorEastAsia"/>
                <w:b/>
                <w:bCs/>
                <w:kern w:val="0"/>
                <w:szCs w:val="21"/>
              </w:rPr>
              <w:t>环境敏感程度</w:t>
            </w:r>
          </w:p>
        </w:tc>
        <w:tc>
          <w:tcPr>
            <w:tcW w:w="1533" w:type="dxa"/>
            <w:tcBorders>
              <w:top w:val="single" w:sz="12" w:space="0" w:color="000000"/>
              <w:left w:val="single" w:sz="4" w:space="0" w:color="000000"/>
              <w:bottom w:val="single" w:sz="4" w:space="0" w:color="000000"/>
              <w:right w:val="single" w:sz="4" w:space="0" w:color="000000"/>
            </w:tcBorders>
            <w:vAlign w:val="center"/>
          </w:tcPr>
          <w:p w14:paraId="3F6C8452" w14:textId="77777777" w:rsidR="00B14D53" w:rsidRDefault="00000000">
            <w:pPr>
              <w:jc w:val="center"/>
              <w:rPr>
                <w:rFonts w:eastAsiaTheme="minorEastAsia"/>
                <w:b/>
                <w:bCs/>
                <w:szCs w:val="21"/>
              </w:rPr>
            </w:pPr>
            <w:r>
              <w:rPr>
                <w:rFonts w:eastAsiaTheme="minorEastAsia"/>
                <w:b/>
                <w:bCs/>
                <w:kern w:val="0"/>
                <w:szCs w:val="21"/>
              </w:rPr>
              <w:t>Ⅰ</w:t>
            </w:r>
            <w:r>
              <w:rPr>
                <w:rFonts w:eastAsiaTheme="minorEastAsia"/>
                <w:b/>
                <w:bCs/>
                <w:kern w:val="0"/>
                <w:szCs w:val="21"/>
              </w:rPr>
              <w:t>类项目</w:t>
            </w:r>
          </w:p>
        </w:tc>
        <w:tc>
          <w:tcPr>
            <w:tcW w:w="1590" w:type="dxa"/>
            <w:tcBorders>
              <w:top w:val="single" w:sz="12" w:space="0" w:color="000000"/>
              <w:left w:val="single" w:sz="4" w:space="0" w:color="000000"/>
              <w:bottom w:val="single" w:sz="4" w:space="0" w:color="000000"/>
              <w:right w:val="single" w:sz="4" w:space="0" w:color="000000"/>
            </w:tcBorders>
            <w:vAlign w:val="center"/>
          </w:tcPr>
          <w:p w14:paraId="411D06FF" w14:textId="77777777" w:rsidR="00B14D53" w:rsidRDefault="00000000">
            <w:pPr>
              <w:jc w:val="center"/>
              <w:rPr>
                <w:rFonts w:eastAsiaTheme="minorEastAsia"/>
                <w:b/>
                <w:bCs/>
                <w:szCs w:val="21"/>
              </w:rPr>
            </w:pPr>
            <w:r>
              <w:rPr>
                <w:rFonts w:eastAsiaTheme="minorEastAsia"/>
                <w:b/>
                <w:bCs/>
                <w:kern w:val="0"/>
                <w:szCs w:val="21"/>
              </w:rPr>
              <w:t>Ⅱ</w:t>
            </w:r>
            <w:r>
              <w:rPr>
                <w:rFonts w:eastAsiaTheme="minorEastAsia"/>
                <w:b/>
                <w:bCs/>
                <w:kern w:val="0"/>
                <w:szCs w:val="21"/>
              </w:rPr>
              <w:t>类项目</w:t>
            </w:r>
          </w:p>
        </w:tc>
        <w:tc>
          <w:tcPr>
            <w:tcW w:w="2288" w:type="dxa"/>
            <w:tcBorders>
              <w:top w:val="single" w:sz="12" w:space="0" w:color="000000"/>
              <w:left w:val="single" w:sz="4" w:space="0" w:color="000000"/>
              <w:bottom w:val="single" w:sz="4" w:space="0" w:color="000000"/>
              <w:right w:val="nil"/>
            </w:tcBorders>
            <w:vAlign w:val="center"/>
          </w:tcPr>
          <w:p w14:paraId="11A229E0" w14:textId="77777777" w:rsidR="00B14D53" w:rsidRDefault="00000000">
            <w:pPr>
              <w:jc w:val="center"/>
              <w:rPr>
                <w:rFonts w:eastAsiaTheme="minorEastAsia"/>
                <w:b/>
                <w:bCs/>
                <w:szCs w:val="21"/>
              </w:rPr>
            </w:pPr>
            <w:r>
              <w:rPr>
                <w:rFonts w:eastAsiaTheme="minorEastAsia"/>
                <w:b/>
                <w:bCs/>
                <w:kern w:val="0"/>
                <w:szCs w:val="21"/>
              </w:rPr>
              <w:t>Ⅲ</w:t>
            </w:r>
            <w:r>
              <w:rPr>
                <w:rFonts w:eastAsiaTheme="minorEastAsia"/>
                <w:b/>
                <w:bCs/>
                <w:kern w:val="0"/>
                <w:szCs w:val="21"/>
              </w:rPr>
              <w:t>类项目</w:t>
            </w:r>
          </w:p>
        </w:tc>
      </w:tr>
      <w:tr w:rsidR="00B14D53" w14:paraId="1BCC4194" w14:textId="77777777">
        <w:trPr>
          <w:trHeight w:val="276"/>
          <w:jc w:val="center"/>
        </w:trPr>
        <w:tc>
          <w:tcPr>
            <w:tcW w:w="2648" w:type="dxa"/>
            <w:tcBorders>
              <w:top w:val="single" w:sz="4" w:space="0" w:color="000000"/>
              <w:left w:val="nil"/>
              <w:bottom w:val="single" w:sz="4" w:space="0" w:color="000000"/>
              <w:right w:val="single" w:sz="4" w:space="0" w:color="000000"/>
            </w:tcBorders>
            <w:vAlign w:val="center"/>
          </w:tcPr>
          <w:p w14:paraId="7FB9ECBA" w14:textId="77777777" w:rsidR="00B14D53" w:rsidRDefault="00000000">
            <w:pPr>
              <w:jc w:val="center"/>
              <w:rPr>
                <w:rFonts w:eastAsiaTheme="minorEastAsia"/>
                <w:szCs w:val="21"/>
              </w:rPr>
            </w:pPr>
            <w:r>
              <w:rPr>
                <w:rFonts w:eastAsiaTheme="minorEastAsia"/>
                <w:kern w:val="0"/>
                <w:szCs w:val="21"/>
              </w:rPr>
              <w:t>敏感</w:t>
            </w:r>
          </w:p>
        </w:tc>
        <w:tc>
          <w:tcPr>
            <w:tcW w:w="1533" w:type="dxa"/>
            <w:tcBorders>
              <w:top w:val="single" w:sz="4" w:space="0" w:color="000000"/>
              <w:left w:val="single" w:sz="4" w:space="0" w:color="000000"/>
              <w:bottom w:val="single" w:sz="4" w:space="0" w:color="000000"/>
              <w:right w:val="single" w:sz="4" w:space="0" w:color="000000"/>
            </w:tcBorders>
            <w:vAlign w:val="center"/>
          </w:tcPr>
          <w:p w14:paraId="1ABB9C3A" w14:textId="77777777" w:rsidR="00B14D53" w:rsidRDefault="00000000">
            <w:pPr>
              <w:jc w:val="center"/>
              <w:rPr>
                <w:rFonts w:eastAsiaTheme="minorEastAsia"/>
                <w:szCs w:val="21"/>
              </w:rPr>
            </w:pPr>
            <w:r>
              <w:rPr>
                <w:rFonts w:eastAsiaTheme="minorEastAsia"/>
                <w:kern w:val="0"/>
                <w:szCs w:val="21"/>
              </w:rPr>
              <w:t>一</w:t>
            </w:r>
          </w:p>
        </w:tc>
        <w:tc>
          <w:tcPr>
            <w:tcW w:w="1590" w:type="dxa"/>
            <w:tcBorders>
              <w:top w:val="single" w:sz="4" w:space="0" w:color="000000"/>
              <w:left w:val="single" w:sz="4" w:space="0" w:color="000000"/>
              <w:bottom w:val="single" w:sz="4" w:space="0" w:color="000000"/>
              <w:right w:val="single" w:sz="4" w:space="0" w:color="000000"/>
            </w:tcBorders>
            <w:vAlign w:val="center"/>
          </w:tcPr>
          <w:p w14:paraId="2A650BE7" w14:textId="77777777" w:rsidR="00B14D53" w:rsidRDefault="00000000">
            <w:pPr>
              <w:jc w:val="center"/>
              <w:rPr>
                <w:rFonts w:eastAsiaTheme="minorEastAsia"/>
                <w:szCs w:val="21"/>
              </w:rPr>
            </w:pPr>
            <w:r>
              <w:rPr>
                <w:rFonts w:eastAsiaTheme="minorEastAsia"/>
                <w:kern w:val="0"/>
                <w:szCs w:val="21"/>
              </w:rPr>
              <w:t>一</w:t>
            </w:r>
          </w:p>
        </w:tc>
        <w:tc>
          <w:tcPr>
            <w:tcW w:w="2288" w:type="dxa"/>
            <w:tcBorders>
              <w:top w:val="single" w:sz="4" w:space="0" w:color="000000"/>
              <w:left w:val="single" w:sz="4" w:space="0" w:color="000000"/>
              <w:bottom w:val="single" w:sz="4" w:space="0" w:color="000000"/>
              <w:right w:val="nil"/>
            </w:tcBorders>
            <w:vAlign w:val="center"/>
          </w:tcPr>
          <w:p w14:paraId="0186648E" w14:textId="77777777" w:rsidR="00B14D53" w:rsidRDefault="00000000">
            <w:pPr>
              <w:jc w:val="center"/>
              <w:rPr>
                <w:rFonts w:eastAsiaTheme="minorEastAsia"/>
                <w:szCs w:val="21"/>
              </w:rPr>
            </w:pPr>
            <w:r>
              <w:rPr>
                <w:rFonts w:eastAsiaTheme="minorEastAsia"/>
                <w:b/>
                <w:bCs/>
                <w:kern w:val="0"/>
                <w:szCs w:val="21"/>
              </w:rPr>
              <w:t>二</w:t>
            </w:r>
          </w:p>
        </w:tc>
      </w:tr>
      <w:tr w:rsidR="00B14D53" w14:paraId="42CA82D9" w14:textId="77777777">
        <w:trPr>
          <w:trHeight w:val="276"/>
          <w:jc w:val="center"/>
        </w:trPr>
        <w:tc>
          <w:tcPr>
            <w:tcW w:w="2648" w:type="dxa"/>
            <w:tcBorders>
              <w:top w:val="single" w:sz="4" w:space="0" w:color="000000"/>
              <w:left w:val="nil"/>
              <w:bottom w:val="single" w:sz="4" w:space="0" w:color="000000"/>
              <w:right w:val="single" w:sz="4" w:space="0" w:color="000000"/>
            </w:tcBorders>
            <w:vAlign w:val="center"/>
          </w:tcPr>
          <w:p w14:paraId="05FC81C5" w14:textId="77777777" w:rsidR="00B14D53" w:rsidRDefault="00000000">
            <w:pPr>
              <w:jc w:val="center"/>
              <w:rPr>
                <w:rFonts w:eastAsiaTheme="minorEastAsia"/>
                <w:szCs w:val="21"/>
              </w:rPr>
            </w:pPr>
            <w:r>
              <w:rPr>
                <w:rFonts w:eastAsiaTheme="minorEastAsia"/>
                <w:kern w:val="0"/>
                <w:szCs w:val="21"/>
              </w:rPr>
              <w:t>较敏感</w:t>
            </w:r>
          </w:p>
        </w:tc>
        <w:tc>
          <w:tcPr>
            <w:tcW w:w="1533" w:type="dxa"/>
            <w:tcBorders>
              <w:top w:val="single" w:sz="4" w:space="0" w:color="000000"/>
              <w:left w:val="single" w:sz="4" w:space="0" w:color="000000"/>
              <w:bottom w:val="single" w:sz="4" w:space="0" w:color="000000"/>
              <w:right w:val="single" w:sz="4" w:space="0" w:color="000000"/>
            </w:tcBorders>
            <w:vAlign w:val="center"/>
          </w:tcPr>
          <w:p w14:paraId="430B079E" w14:textId="77777777" w:rsidR="00B14D53" w:rsidRDefault="00000000">
            <w:pPr>
              <w:jc w:val="center"/>
              <w:rPr>
                <w:rFonts w:eastAsiaTheme="minorEastAsia"/>
                <w:szCs w:val="21"/>
              </w:rPr>
            </w:pPr>
            <w:r>
              <w:rPr>
                <w:rFonts w:eastAsiaTheme="minorEastAsia"/>
                <w:kern w:val="0"/>
                <w:szCs w:val="21"/>
              </w:rPr>
              <w:t>一</w:t>
            </w:r>
          </w:p>
        </w:tc>
        <w:tc>
          <w:tcPr>
            <w:tcW w:w="1590" w:type="dxa"/>
            <w:tcBorders>
              <w:top w:val="single" w:sz="4" w:space="0" w:color="000000"/>
              <w:left w:val="single" w:sz="4" w:space="0" w:color="000000"/>
              <w:bottom w:val="single" w:sz="4" w:space="0" w:color="000000"/>
              <w:right w:val="single" w:sz="4" w:space="0" w:color="000000"/>
            </w:tcBorders>
            <w:vAlign w:val="center"/>
          </w:tcPr>
          <w:p w14:paraId="19301E91" w14:textId="77777777" w:rsidR="00B14D53" w:rsidRDefault="00000000">
            <w:pPr>
              <w:jc w:val="center"/>
              <w:rPr>
                <w:rFonts w:eastAsiaTheme="minorEastAsia"/>
                <w:szCs w:val="21"/>
              </w:rPr>
            </w:pPr>
            <w:r>
              <w:rPr>
                <w:rFonts w:eastAsiaTheme="minorEastAsia"/>
                <w:kern w:val="0"/>
                <w:szCs w:val="21"/>
              </w:rPr>
              <w:t>二</w:t>
            </w:r>
          </w:p>
        </w:tc>
        <w:tc>
          <w:tcPr>
            <w:tcW w:w="2288" w:type="dxa"/>
            <w:tcBorders>
              <w:top w:val="single" w:sz="4" w:space="0" w:color="000000"/>
              <w:left w:val="single" w:sz="4" w:space="0" w:color="000000"/>
              <w:bottom w:val="single" w:sz="4" w:space="0" w:color="000000"/>
              <w:right w:val="nil"/>
            </w:tcBorders>
            <w:vAlign w:val="center"/>
          </w:tcPr>
          <w:p w14:paraId="66115A85" w14:textId="77777777" w:rsidR="00B14D53" w:rsidRDefault="00000000">
            <w:pPr>
              <w:jc w:val="center"/>
              <w:rPr>
                <w:rFonts w:eastAsiaTheme="minorEastAsia"/>
                <w:b/>
                <w:bCs/>
                <w:szCs w:val="21"/>
              </w:rPr>
            </w:pPr>
            <w:r>
              <w:rPr>
                <w:rFonts w:eastAsiaTheme="minorEastAsia" w:hint="eastAsia"/>
                <w:b/>
                <w:bCs/>
                <w:kern w:val="0"/>
                <w:szCs w:val="21"/>
              </w:rPr>
              <w:t>三</w:t>
            </w:r>
          </w:p>
        </w:tc>
      </w:tr>
      <w:tr w:rsidR="00B14D53" w14:paraId="50512713" w14:textId="77777777">
        <w:trPr>
          <w:trHeight w:val="276"/>
          <w:jc w:val="center"/>
        </w:trPr>
        <w:tc>
          <w:tcPr>
            <w:tcW w:w="2648" w:type="dxa"/>
            <w:tcBorders>
              <w:top w:val="single" w:sz="4" w:space="0" w:color="000000"/>
              <w:left w:val="nil"/>
              <w:bottom w:val="single" w:sz="12" w:space="0" w:color="000000"/>
              <w:right w:val="single" w:sz="4" w:space="0" w:color="000000"/>
            </w:tcBorders>
            <w:vAlign w:val="center"/>
          </w:tcPr>
          <w:p w14:paraId="6E0A9333" w14:textId="77777777" w:rsidR="00B14D53" w:rsidRDefault="00000000">
            <w:pPr>
              <w:jc w:val="center"/>
              <w:rPr>
                <w:rFonts w:eastAsiaTheme="minorEastAsia"/>
                <w:szCs w:val="21"/>
              </w:rPr>
            </w:pPr>
            <w:r>
              <w:rPr>
                <w:rFonts w:eastAsiaTheme="minorEastAsia"/>
                <w:kern w:val="0"/>
                <w:szCs w:val="21"/>
              </w:rPr>
              <w:t>不敏感</w:t>
            </w:r>
          </w:p>
        </w:tc>
        <w:tc>
          <w:tcPr>
            <w:tcW w:w="1533" w:type="dxa"/>
            <w:tcBorders>
              <w:top w:val="single" w:sz="4" w:space="0" w:color="000000"/>
              <w:left w:val="single" w:sz="4" w:space="0" w:color="000000"/>
              <w:bottom w:val="single" w:sz="12" w:space="0" w:color="000000"/>
              <w:right w:val="single" w:sz="4" w:space="0" w:color="000000"/>
            </w:tcBorders>
            <w:vAlign w:val="center"/>
          </w:tcPr>
          <w:p w14:paraId="26BDF999" w14:textId="77777777" w:rsidR="00B14D53" w:rsidRDefault="00000000">
            <w:pPr>
              <w:jc w:val="center"/>
              <w:rPr>
                <w:rFonts w:eastAsiaTheme="minorEastAsia"/>
                <w:szCs w:val="21"/>
              </w:rPr>
            </w:pPr>
            <w:r>
              <w:rPr>
                <w:rFonts w:eastAsiaTheme="minorEastAsia"/>
                <w:kern w:val="0"/>
                <w:szCs w:val="21"/>
              </w:rPr>
              <w:t>二</w:t>
            </w:r>
          </w:p>
        </w:tc>
        <w:tc>
          <w:tcPr>
            <w:tcW w:w="1590" w:type="dxa"/>
            <w:tcBorders>
              <w:top w:val="single" w:sz="4" w:space="0" w:color="000000"/>
              <w:left w:val="single" w:sz="4" w:space="0" w:color="000000"/>
              <w:bottom w:val="single" w:sz="12" w:space="0" w:color="000000"/>
              <w:right w:val="single" w:sz="4" w:space="0" w:color="000000"/>
            </w:tcBorders>
            <w:vAlign w:val="center"/>
          </w:tcPr>
          <w:p w14:paraId="611D35FA" w14:textId="77777777" w:rsidR="00B14D53" w:rsidRDefault="00000000">
            <w:pPr>
              <w:jc w:val="center"/>
              <w:rPr>
                <w:rFonts w:eastAsiaTheme="minorEastAsia"/>
                <w:szCs w:val="21"/>
              </w:rPr>
            </w:pPr>
            <w:r>
              <w:rPr>
                <w:rFonts w:eastAsiaTheme="minorEastAsia"/>
                <w:kern w:val="0"/>
                <w:szCs w:val="21"/>
              </w:rPr>
              <w:t>三</w:t>
            </w:r>
          </w:p>
        </w:tc>
        <w:tc>
          <w:tcPr>
            <w:tcW w:w="2288" w:type="dxa"/>
            <w:tcBorders>
              <w:top w:val="single" w:sz="4" w:space="0" w:color="000000"/>
              <w:left w:val="single" w:sz="4" w:space="0" w:color="000000"/>
              <w:bottom w:val="single" w:sz="12" w:space="0" w:color="000000"/>
              <w:right w:val="nil"/>
            </w:tcBorders>
            <w:vAlign w:val="center"/>
          </w:tcPr>
          <w:p w14:paraId="38AC9807" w14:textId="77777777" w:rsidR="00B14D53" w:rsidRDefault="00000000">
            <w:pPr>
              <w:jc w:val="center"/>
              <w:rPr>
                <w:rFonts w:eastAsiaTheme="minorEastAsia"/>
                <w:b/>
                <w:bCs/>
                <w:szCs w:val="21"/>
              </w:rPr>
            </w:pPr>
            <w:r>
              <w:rPr>
                <w:rFonts w:eastAsiaTheme="minorEastAsia"/>
                <w:b/>
                <w:bCs/>
                <w:kern w:val="0"/>
                <w:szCs w:val="21"/>
              </w:rPr>
              <w:t>三</w:t>
            </w:r>
          </w:p>
        </w:tc>
      </w:tr>
    </w:tbl>
    <w:p w14:paraId="5454D845" w14:textId="77777777" w:rsidR="00B14D53" w:rsidRDefault="00000000">
      <w:pPr>
        <w:widowControl/>
        <w:spacing w:line="360" w:lineRule="auto"/>
        <w:ind w:firstLineChars="200" w:firstLine="480"/>
        <w:contextualSpacing/>
        <w:rPr>
          <w:rFonts w:eastAsiaTheme="minorEastAsia"/>
          <w:kern w:val="0"/>
          <w:sz w:val="24"/>
        </w:rPr>
      </w:pPr>
      <w:r>
        <w:rPr>
          <w:rFonts w:eastAsiaTheme="minorEastAsia" w:hAnsiTheme="minorEastAsia"/>
          <w:kern w:val="0"/>
          <w:sz w:val="24"/>
        </w:rPr>
        <w:t>综上分析，本项目属于地下水环境影响评价分类的Ⅲ类项目，地下水环境敏感程度为</w:t>
      </w:r>
      <w:r>
        <w:rPr>
          <w:rFonts w:eastAsiaTheme="minorEastAsia" w:hAnsiTheme="minorEastAsia" w:hint="eastAsia"/>
          <w:kern w:val="0"/>
          <w:sz w:val="24"/>
        </w:rPr>
        <w:t>较敏感</w:t>
      </w:r>
      <w:r>
        <w:rPr>
          <w:rFonts w:eastAsiaTheme="minorEastAsia" w:hAnsiTheme="minorEastAsia"/>
          <w:kern w:val="0"/>
          <w:sz w:val="24"/>
        </w:rPr>
        <w:t>，因此评价工作等级确定为</w:t>
      </w:r>
      <w:r>
        <w:rPr>
          <w:rFonts w:eastAsiaTheme="minorEastAsia" w:hAnsiTheme="minorEastAsia" w:hint="eastAsia"/>
          <w:kern w:val="0"/>
          <w:sz w:val="24"/>
        </w:rPr>
        <w:t>三</w:t>
      </w:r>
      <w:r>
        <w:rPr>
          <w:rFonts w:eastAsiaTheme="minorEastAsia" w:hAnsiTheme="minorEastAsia"/>
          <w:kern w:val="0"/>
          <w:sz w:val="24"/>
        </w:rPr>
        <w:t>级。</w:t>
      </w:r>
    </w:p>
    <w:p w14:paraId="55F9BD23"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w:t>
      </w:r>
      <w:bookmarkStart w:id="46" w:name="_Toc88900496"/>
      <w:bookmarkStart w:id="47" w:name="_Toc88968913"/>
      <w:bookmarkStart w:id="48" w:name="_Toc88969056"/>
      <w:bookmarkStart w:id="49" w:name="_Toc89231866"/>
      <w:r>
        <w:rPr>
          <w:rFonts w:ascii="Times New Roman" w:eastAsia="黑体" w:hAnsi="Times New Roman" w:cs="Times New Roman"/>
          <w:bCs/>
          <w:sz w:val="28"/>
          <w:szCs w:val="28"/>
        </w:rPr>
        <w:t>4.4</w:t>
      </w:r>
      <w:r>
        <w:rPr>
          <w:rFonts w:ascii="Times New Roman" w:eastAsia="黑体" w:hAnsi="Times New Roman" w:cs="Times New Roman"/>
          <w:bCs/>
          <w:sz w:val="28"/>
          <w:szCs w:val="28"/>
        </w:rPr>
        <w:t>声环境</w:t>
      </w:r>
      <w:bookmarkEnd w:id="46"/>
      <w:bookmarkEnd w:id="47"/>
      <w:bookmarkEnd w:id="48"/>
      <w:bookmarkEnd w:id="49"/>
      <w:r>
        <w:rPr>
          <w:rFonts w:ascii="Times New Roman" w:eastAsia="黑体" w:hAnsi="Times New Roman" w:cs="Times New Roman"/>
          <w:bCs/>
          <w:sz w:val="28"/>
          <w:szCs w:val="28"/>
        </w:rPr>
        <w:t>评价工作等级</w:t>
      </w:r>
    </w:p>
    <w:p w14:paraId="68D9BB08" w14:textId="77777777" w:rsidR="00B14D53" w:rsidRDefault="00000000">
      <w:pPr>
        <w:pStyle w:val="00"/>
        <w:rPr>
          <w:rFonts w:hAnsi="Times New Roman"/>
          <w:bCs/>
        </w:rPr>
      </w:pPr>
      <w:r>
        <w:rPr>
          <w:bCs/>
        </w:rPr>
        <w:t>本项目所在功能区属于噪声功能区划的</w:t>
      </w:r>
      <w:r>
        <w:rPr>
          <w:rFonts w:hint="eastAsia"/>
          <w:bCs/>
        </w:rPr>
        <w:t>2</w:t>
      </w:r>
      <w:r>
        <w:rPr>
          <w:bCs/>
        </w:rPr>
        <w:t>类区，评价范围内无敏感目标，根据《环境影响评价技术导则</w:t>
      </w:r>
      <w:r>
        <w:rPr>
          <w:rFonts w:hAnsi="Times New Roman"/>
          <w:bCs/>
        </w:rPr>
        <w:t xml:space="preserve"> </w:t>
      </w:r>
      <w:r>
        <w:rPr>
          <w:bCs/>
        </w:rPr>
        <w:t>声环境》（</w:t>
      </w:r>
      <w:r>
        <w:rPr>
          <w:rFonts w:hAnsi="Times New Roman"/>
          <w:bCs/>
        </w:rPr>
        <w:t>HJ2.4—2021</w:t>
      </w:r>
      <w:r>
        <w:rPr>
          <w:bCs/>
        </w:rPr>
        <w:t>）中评价等级划分相关依据，本项目声环境评价判定为二级。</w:t>
      </w:r>
    </w:p>
    <w:p w14:paraId="03E92183"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w:t>
      </w:r>
      <w:r>
        <w:rPr>
          <w:rFonts w:ascii="Times New Roman" w:eastAsia="黑体" w:hAnsi="Times New Roman" w:cs="Times New Roman" w:hint="eastAsia"/>
          <w:bCs/>
          <w:sz w:val="28"/>
          <w:szCs w:val="28"/>
        </w:rPr>
        <w:t>4</w:t>
      </w:r>
      <w:r>
        <w:rPr>
          <w:rFonts w:ascii="Times New Roman" w:eastAsia="黑体" w:hAnsi="Times New Roman" w:cs="Times New Roman"/>
          <w:bCs/>
          <w:sz w:val="28"/>
          <w:szCs w:val="28"/>
        </w:rPr>
        <w:t>.5</w:t>
      </w:r>
      <w:r>
        <w:rPr>
          <w:rFonts w:ascii="Times New Roman" w:eastAsia="黑体" w:hAnsi="Times New Roman" w:cs="Times New Roman"/>
          <w:bCs/>
          <w:sz w:val="28"/>
          <w:szCs w:val="28"/>
        </w:rPr>
        <w:t>生态环境评价工作等级</w:t>
      </w:r>
    </w:p>
    <w:p w14:paraId="21B75EE1" w14:textId="77777777" w:rsidR="00B14D53" w:rsidRDefault="00000000">
      <w:pPr>
        <w:spacing w:line="360" w:lineRule="auto"/>
        <w:ind w:firstLineChars="200" w:firstLine="480"/>
        <w:rPr>
          <w:rFonts w:eastAsiaTheme="minorEastAsia"/>
          <w:snapToGrid w:val="0"/>
          <w:kern w:val="0"/>
          <w:sz w:val="24"/>
          <w:lang w:bidi="zh-TW"/>
        </w:rPr>
      </w:pPr>
      <w:r>
        <w:rPr>
          <w:rFonts w:eastAsiaTheme="minorEastAsia" w:hAnsiTheme="minorEastAsia"/>
          <w:snapToGrid w:val="0"/>
          <w:kern w:val="0"/>
          <w:sz w:val="24"/>
        </w:rPr>
        <w:t>根据《环境影响评价技术导则</w:t>
      </w:r>
      <w:r>
        <w:rPr>
          <w:rFonts w:eastAsiaTheme="minorEastAsia"/>
          <w:snapToGrid w:val="0"/>
          <w:kern w:val="0"/>
          <w:sz w:val="24"/>
        </w:rPr>
        <w:t xml:space="preserve"> </w:t>
      </w:r>
      <w:r>
        <w:rPr>
          <w:rFonts w:eastAsiaTheme="minorEastAsia" w:hAnsiTheme="minorEastAsia"/>
          <w:snapToGrid w:val="0"/>
          <w:kern w:val="0"/>
          <w:sz w:val="24"/>
        </w:rPr>
        <w:t>生态影响》（</w:t>
      </w:r>
      <w:r>
        <w:rPr>
          <w:rFonts w:eastAsiaTheme="minorEastAsia"/>
          <w:snapToGrid w:val="0"/>
          <w:kern w:val="0"/>
          <w:sz w:val="24"/>
        </w:rPr>
        <w:t>HJ19-2022</w:t>
      </w:r>
      <w:r>
        <w:rPr>
          <w:rFonts w:eastAsiaTheme="minorEastAsia" w:hAnsiTheme="minorEastAsia"/>
          <w:snapToGrid w:val="0"/>
          <w:kern w:val="0"/>
          <w:sz w:val="24"/>
        </w:rPr>
        <w:t>）</w:t>
      </w:r>
      <w:r>
        <w:rPr>
          <w:rFonts w:eastAsiaTheme="minorEastAsia" w:hAnsiTheme="minorEastAsia"/>
          <w:snapToGrid w:val="0"/>
          <w:kern w:val="0"/>
          <w:sz w:val="24"/>
          <w:lang w:bidi="zh-TW"/>
        </w:rPr>
        <w:t>项目生态影响评价工作等级为三级。</w:t>
      </w:r>
      <w:r>
        <w:rPr>
          <w:rFonts w:eastAsiaTheme="minorEastAsia" w:hAnsiTheme="minorEastAsia" w:hint="eastAsia"/>
          <w:snapToGrid w:val="0"/>
          <w:kern w:val="0"/>
          <w:sz w:val="24"/>
          <w:lang w:bidi="zh-TW"/>
        </w:rPr>
        <w:t>具体判定过程</w:t>
      </w:r>
      <w:r>
        <w:rPr>
          <w:rFonts w:eastAsiaTheme="minorEastAsia" w:hint="eastAsia"/>
          <w:snapToGrid w:val="0"/>
          <w:kern w:val="0"/>
          <w:sz w:val="24"/>
          <w:lang w:bidi="zh-TW"/>
        </w:rPr>
        <w:t>见下表。</w:t>
      </w:r>
    </w:p>
    <w:p w14:paraId="12BFB1BC" w14:textId="77777777" w:rsidR="00B14D53" w:rsidRDefault="00B14D53">
      <w:pPr>
        <w:jc w:val="center"/>
        <w:rPr>
          <w:b/>
          <w:bCs/>
          <w:lang w:val="zh-CN"/>
        </w:rPr>
      </w:pPr>
    </w:p>
    <w:p w14:paraId="5F124486" w14:textId="77777777" w:rsidR="00B14D53" w:rsidRDefault="00000000">
      <w:pPr>
        <w:jc w:val="center"/>
        <w:rPr>
          <w:b/>
          <w:bCs/>
          <w:lang w:val="zh-CN"/>
        </w:rPr>
      </w:pPr>
      <w:r>
        <w:rPr>
          <w:rFonts w:hint="eastAsia"/>
          <w:b/>
          <w:bCs/>
          <w:lang w:val="zh-CN"/>
        </w:rPr>
        <w:t>表</w:t>
      </w:r>
      <w:r>
        <w:rPr>
          <w:rFonts w:hint="eastAsia"/>
          <w:b/>
          <w:bCs/>
        </w:rPr>
        <w:t xml:space="preserve">2-4-9 </w:t>
      </w:r>
      <w:r>
        <w:rPr>
          <w:rFonts w:hint="eastAsia"/>
          <w:b/>
          <w:bCs/>
          <w:lang w:val="zh-CN"/>
        </w:rPr>
        <w:t>生态影响评价工作等级分级表（陆生生态）</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2"/>
        <w:gridCol w:w="531"/>
        <w:gridCol w:w="4507"/>
        <w:gridCol w:w="1955"/>
        <w:gridCol w:w="891"/>
      </w:tblGrid>
      <w:tr w:rsidR="00B14D53" w14:paraId="1545A9A7" w14:textId="77777777">
        <w:trPr>
          <w:trHeight w:val="340"/>
        </w:trPr>
        <w:tc>
          <w:tcPr>
            <w:tcW w:w="957" w:type="dxa"/>
            <w:gridSpan w:val="2"/>
            <w:vAlign w:val="center"/>
          </w:tcPr>
          <w:p w14:paraId="5ADBB09B" w14:textId="77777777" w:rsidR="00B14D53" w:rsidRDefault="00000000">
            <w:pPr>
              <w:jc w:val="center"/>
              <w:rPr>
                <w:b/>
                <w:bCs/>
                <w:snapToGrid w:val="0"/>
                <w:szCs w:val="21"/>
                <w:lang w:val="zh-CN"/>
              </w:rPr>
            </w:pPr>
            <w:r>
              <w:rPr>
                <w:b/>
                <w:bCs/>
                <w:snapToGrid w:val="0"/>
                <w:szCs w:val="21"/>
                <w:lang w:val="zh-CN"/>
              </w:rPr>
              <w:t>序号</w:t>
            </w:r>
          </w:p>
        </w:tc>
        <w:tc>
          <w:tcPr>
            <w:tcW w:w="4657" w:type="dxa"/>
            <w:vAlign w:val="center"/>
          </w:tcPr>
          <w:p w14:paraId="391301AD" w14:textId="77777777" w:rsidR="00B14D53" w:rsidRDefault="00000000">
            <w:pPr>
              <w:jc w:val="center"/>
              <w:rPr>
                <w:b/>
                <w:bCs/>
                <w:snapToGrid w:val="0"/>
                <w:szCs w:val="21"/>
                <w:lang w:val="zh-CN"/>
              </w:rPr>
            </w:pPr>
            <w:r>
              <w:rPr>
                <w:b/>
                <w:bCs/>
                <w:snapToGrid w:val="0"/>
                <w:szCs w:val="21"/>
                <w:lang w:val="zh-CN"/>
              </w:rPr>
              <w:t>导则原文</w:t>
            </w:r>
          </w:p>
        </w:tc>
        <w:tc>
          <w:tcPr>
            <w:tcW w:w="1997" w:type="dxa"/>
            <w:vAlign w:val="center"/>
          </w:tcPr>
          <w:p w14:paraId="29341BBF" w14:textId="77777777" w:rsidR="00B14D53" w:rsidRDefault="00000000">
            <w:pPr>
              <w:jc w:val="center"/>
              <w:rPr>
                <w:b/>
                <w:bCs/>
                <w:snapToGrid w:val="0"/>
                <w:szCs w:val="21"/>
                <w:lang w:val="zh-CN"/>
              </w:rPr>
            </w:pPr>
            <w:r>
              <w:rPr>
                <w:b/>
                <w:bCs/>
                <w:snapToGrid w:val="0"/>
                <w:szCs w:val="21"/>
                <w:lang w:val="zh-CN"/>
              </w:rPr>
              <w:t>本项目</w:t>
            </w:r>
          </w:p>
        </w:tc>
        <w:tc>
          <w:tcPr>
            <w:tcW w:w="911" w:type="dxa"/>
            <w:vAlign w:val="center"/>
          </w:tcPr>
          <w:p w14:paraId="4F193651" w14:textId="77777777" w:rsidR="00B14D53" w:rsidRDefault="00000000">
            <w:pPr>
              <w:jc w:val="center"/>
              <w:rPr>
                <w:b/>
                <w:bCs/>
                <w:snapToGrid w:val="0"/>
                <w:szCs w:val="21"/>
                <w:lang w:val="zh-CN"/>
              </w:rPr>
            </w:pPr>
            <w:r>
              <w:rPr>
                <w:b/>
                <w:bCs/>
                <w:snapToGrid w:val="0"/>
                <w:szCs w:val="21"/>
                <w:lang w:val="zh-CN"/>
              </w:rPr>
              <w:t>评价等级</w:t>
            </w:r>
          </w:p>
        </w:tc>
      </w:tr>
      <w:tr w:rsidR="00B14D53" w14:paraId="77AA8F8A" w14:textId="77777777">
        <w:trPr>
          <w:trHeight w:val="340"/>
        </w:trPr>
        <w:tc>
          <w:tcPr>
            <w:tcW w:w="426" w:type="dxa"/>
            <w:vMerge w:val="restart"/>
            <w:vAlign w:val="center"/>
          </w:tcPr>
          <w:p w14:paraId="2C8A388C" w14:textId="77777777" w:rsidR="00B14D53" w:rsidRDefault="00000000">
            <w:pPr>
              <w:jc w:val="center"/>
              <w:rPr>
                <w:snapToGrid w:val="0"/>
                <w:szCs w:val="21"/>
                <w:lang w:val="zh-CN"/>
              </w:rPr>
            </w:pPr>
            <w:r>
              <w:rPr>
                <w:snapToGrid w:val="0"/>
                <w:szCs w:val="21"/>
                <w:lang w:val="zh-CN"/>
              </w:rPr>
              <w:t>1</w:t>
            </w:r>
          </w:p>
        </w:tc>
        <w:tc>
          <w:tcPr>
            <w:tcW w:w="531" w:type="dxa"/>
            <w:vAlign w:val="center"/>
          </w:tcPr>
          <w:p w14:paraId="4DA81445" w14:textId="77777777" w:rsidR="00B14D53" w:rsidRDefault="00000000">
            <w:pPr>
              <w:jc w:val="center"/>
              <w:rPr>
                <w:snapToGrid w:val="0"/>
                <w:szCs w:val="21"/>
                <w:lang w:val="zh-CN"/>
              </w:rPr>
            </w:pPr>
            <w:r>
              <w:rPr>
                <w:snapToGrid w:val="0"/>
                <w:szCs w:val="21"/>
                <w:lang w:val="zh-CN"/>
              </w:rPr>
              <w:t>a</w:t>
            </w:r>
            <w:r>
              <w:rPr>
                <w:snapToGrid w:val="0"/>
                <w:szCs w:val="21"/>
                <w:lang w:val="zh-CN"/>
              </w:rPr>
              <w:t>）</w:t>
            </w:r>
          </w:p>
        </w:tc>
        <w:tc>
          <w:tcPr>
            <w:tcW w:w="4657" w:type="dxa"/>
            <w:vAlign w:val="center"/>
          </w:tcPr>
          <w:p w14:paraId="441E8ADC" w14:textId="77777777" w:rsidR="00B14D53" w:rsidRDefault="00000000">
            <w:pPr>
              <w:ind w:firstLineChars="200" w:firstLine="420"/>
              <w:rPr>
                <w:snapToGrid w:val="0"/>
                <w:szCs w:val="21"/>
                <w:lang w:val="zh-CN"/>
              </w:rPr>
            </w:pPr>
            <w:r>
              <w:rPr>
                <w:snapToGrid w:val="0"/>
                <w:szCs w:val="21"/>
                <w:lang w:val="zh-CN"/>
              </w:rPr>
              <w:t>涉及国家公园、自然保护区、世界自然遗产、重要生境时，评价等级为一级</w:t>
            </w:r>
          </w:p>
        </w:tc>
        <w:tc>
          <w:tcPr>
            <w:tcW w:w="1997" w:type="dxa"/>
            <w:vAlign w:val="center"/>
          </w:tcPr>
          <w:p w14:paraId="62C1F40F" w14:textId="77777777" w:rsidR="00B14D53" w:rsidRDefault="00000000">
            <w:pPr>
              <w:jc w:val="center"/>
              <w:rPr>
                <w:snapToGrid w:val="0"/>
                <w:szCs w:val="21"/>
                <w:lang w:val="zh-CN"/>
              </w:rPr>
            </w:pPr>
            <w:r>
              <w:rPr>
                <w:snapToGrid w:val="0"/>
                <w:szCs w:val="21"/>
                <w:lang w:val="zh-CN"/>
              </w:rPr>
              <w:t>不涉及</w:t>
            </w:r>
          </w:p>
        </w:tc>
        <w:tc>
          <w:tcPr>
            <w:tcW w:w="911" w:type="dxa"/>
            <w:vAlign w:val="center"/>
          </w:tcPr>
          <w:p w14:paraId="45BCD0FF" w14:textId="77777777" w:rsidR="00B14D53" w:rsidRDefault="00000000">
            <w:pPr>
              <w:jc w:val="center"/>
              <w:rPr>
                <w:snapToGrid w:val="0"/>
                <w:szCs w:val="21"/>
                <w:lang w:val="zh-CN"/>
              </w:rPr>
            </w:pPr>
            <w:r>
              <w:rPr>
                <w:snapToGrid w:val="0"/>
                <w:szCs w:val="21"/>
                <w:lang w:val="zh-CN"/>
              </w:rPr>
              <w:t>/</w:t>
            </w:r>
          </w:p>
        </w:tc>
      </w:tr>
      <w:tr w:rsidR="00B14D53" w14:paraId="6CF03140" w14:textId="77777777">
        <w:trPr>
          <w:trHeight w:val="340"/>
        </w:trPr>
        <w:tc>
          <w:tcPr>
            <w:tcW w:w="426" w:type="dxa"/>
            <w:vMerge/>
            <w:vAlign w:val="center"/>
          </w:tcPr>
          <w:p w14:paraId="65519738" w14:textId="77777777" w:rsidR="00B14D53" w:rsidRDefault="00B14D53">
            <w:pPr>
              <w:jc w:val="center"/>
              <w:rPr>
                <w:snapToGrid w:val="0"/>
                <w:szCs w:val="21"/>
                <w:lang w:val="zh-CN"/>
              </w:rPr>
            </w:pPr>
          </w:p>
        </w:tc>
        <w:tc>
          <w:tcPr>
            <w:tcW w:w="531" w:type="dxa"/>
            <w:vAlign w:val="center"/>
          </w:tcPr>
          <w:p w14:paraId="06232360" w14:textId="77777777" w:rsidR="00B14D53" w:rsidRDefault="00000000">
            <w:pPr>
              <w:jc w:val="center"/>
              <w:rPr>
                <w:snapToGrid w:val="0"/>
                <w:szCs w:val="21"/>
                <w:lang w:val="zh-CN"/>
              </w:rPr>
            </w:pPr>
            <w:r>
              <w:rPr>
                <w:snapToGrid w:val="0"/>
                <w:szCs w:val="21"/>
                <w:lang w:val="zh-CN"/>
              </w:rPr>
              <w:t>b</w:t>
            </w:r>
            <w:r>
              <w:rPr>
                <w:snapToGrid w:val="0"/>
                <w:szCs w:val="21"/>
                <w:lang w:val="zh-CN"/>
              </w:rPr>
              <w:t>）</w:t>
            </w:r>
          </w:p>
        </w:tc>
        <w:tc>
          <w:tcPr>
            <w:tcW w:w="4657" w:type="dxa"/>
            <w:vAlign w:val="center"/>
          </w:tcPr>
          <w:p w14:paraId="0D10E029" w14:textId="77777777" w:rsidR="00B14D53" w:rsidRDefault="00000000">
            <w:pPr>
              <w:ind w:firstLineChars="200" w:firstLine="420"/>
              <w:rPr>
                <w:snapToGrid w:val="0"/>
                <w:szCs w:val="21"/>
                <w:lang w:val="zh-CN"/>
              </w:rPr>
            </w:pPr>
            <w:r>
              <w:rPr>
                <w:snapToGrid w:val="0"/>
                <w:szCs w:val="21"/>
                <w:lang w:val="zh-CN"/>
              </w:rPr>
              <w:t>涉及自然公园时，评价等级为二级</w:t>
            </w:r>
          </w:p>
        </w:tc>
        <w:tc>
          <w:tcPr>
            <w:tcW w:w="1997" w:type="dxa"/>
            <w:vAlign w:val="center"/>
          </w:tcPr>
          <w:p w14:paraId="5B7446E8" w14:textId="77777777" w:rsidR="00B14D53" w:rsidRDefault="00000000">
            <w:pPr>
              <w:jc w:val="center"/>
              <w:rPr>
                <w:snapToGrid w:val="0"/>
                <w:szCs w:val="21"/>
              </w:rPr>
            </w:pPr>
            <w:r>
              <w:rPr>
                <w:rFonts w:hint="eastAsia"/>
                <w:snapToGrid w:val="0"/>
                <w:szCs w:val="21"/>
              </w:rPr>
              <w:t>不涉及</w:t>
            </w:r>
          </w:p>
        </w:tc>
        <w:tc>
          <w:tcPr>
            <w:tcW w:w="911" w:type="dxa"/>
            <w:vAlign w:val="center"/>
          </w:tcPr>
          <w:p w14:paraId="16D10D19" w14:textId="77777777" w:rsidR="00B14D53" w:rsidRDefault="00000000">
            <w:pPr>
              <w:jc w:val="center"/>
              <w:rPr>
                <w:snapToGrid w:val="0"/>
                <w:szCs w:val="21"/>
                <w:lang w:val="zh-CN"/>
              </w:rPr>
            </w:pPr>
            <w:r>
              <w:rPr>
                <w:rFonts w:hint="eastAsia"/>
                <w:snapToGrid w:val="0"/>
                <w:szCs w:val="21"/>
                <w:lang w:val="zh-CN"/>
              </w:rPr>
              <w:t>/</w:t>
            </w:r>
          </w:p>
        </w:tc>
      </w:tr>
      <w:tr w:rsidR="00B14D53" w14:paraId="1F6133B0" w14:textId="77777777">
        <w:trPr>
          <w:trHeight w:val="340"/>
        </w:trPr>
        <w:tc>
          <w:tcPr>
            <w:tcW w:w="426" w:type="dxa"/>
            <w:vMerge/>
            <w:vAlign w:val="center"/>
          </w:tcPr>
          <w:p w14:paraId="559E54CB" w14:textId="77777777" w:rsidR="00B14D53" w:rsidRDefault="00B14D53">
            <w:pPr>
              <w:jc w:val="center"/>
              <w:rPr>
                <w:snapToGrid w:val="0"/>
                <w:szCs w:val="21"/>
                <w:lang w:val="zh-CN"/>
              </w:rPr>
            </w:pPr>
          </w:p>
        </w:tc>
        <w:tc>
          <w:tcPr>
            <w:tcW w:w="531" w:type="dxa"/>
            <w:vAlign w:val="center"/>
          </w:tcPr>
          <w:p w14:paraId="3627C2FE" w14:textId="77777777" w:rsidR="00B14D53" w:rsidRDefault="00000000">
            <w:pPr>
              <w:jc w:val="center"/>
              <w:rPr>
                <w:snapToGrid w:val="0"/>
                <w:szCs w:val="21"/>
                <w:lang w:val="zh-CN"/>
              </w:rPr>
            </w:pPr>
            <w:r>
              <w:rPr>
                <w:snapToGrid w:val="0"/>
                <w:szCs w:val="21"/>
                <w:lang w:val="zh-CN"/>
              </w:rPr>
              <w:t>c</w:t>
            </w:r>
            <w:r>
              <w:rPr>
                <w:snapToGrid w:val="0"/>
                <w:szCs w:val="21"/>
                <w:lang w:val="zh-CN"/>
              </w:rPr>
              <w:t>）</w:t>
            </w:r>
          </w:p>
        </w:tc>
        <w:tc>
          <w:tcPr>
            <w:tcW w:w="4657" w:type="dxa"/>
            <w:vAlign w:val="center"/>
          </w:tcPr>
          <w:p w14:paraId="2E705C8C" w14:textId="77777777" w:rsidR="00B14D53" w:rsidRDefault="00000000">
            <w:pPr>
              <w:ind w:firstLineChars="200" w:firstLine="420"/>
              <w:rPr>
                <w:snapToGrid w:val="0"/>
                <w:szCs w:val="21"/>
                <w:lang w:val="zh-CN"/>
              </w:rPr>
            </w:pPr>
            <w:r>
              <w:rPr>
                <w:snapToGrid w:val="0"/>
                <w:szCs w:val="21"/>
                <w:lang w:val="zh-CN"/>
              </w:rPr>
              <w:t>涉及生态保护红线时，评价等级不低于二级</w:t>
            </w:r>
          </w:p>
        </w:tc>
        <w:tc>
          <w:tcPr>
            <w:tcW w:w="1997" w:type="dxa"/>
            <w:vAlign w:val="center"/>
          </w:tcPr>
          <w:p w14:paraId="279B2B45" w14:textId="77777777" w:rsidR="00B14D53" w:rsidRDefault="00000000">
            <w:pPr>
              <w:jc w:val="center"/>
              <w:rPr>
                <w:snapToGrid w:val="0"/>
                <w:szCs w:val="21"/>
              </w:rPr>
            </w:pPr>
            <w:r>
              <w:rPr>
                <w:rFonts w:hint="eastAsia"/>
                <w:snapToGrid w:val="0"/>
                <w:szCs w:val="21"/>
              </w:rPr>
              <w:t>不涉及</w:t>
            </w:r>
          </w:p>
        </w:tc>
        <w:tc>
          <w:tcPr>
            <w:tcW w:w="911" w:type="dxa"/>
            <w:vAlign w:val="center"/>
          </w:tcPr>
          <w:p w14:paraId="06D7C9B1" w14:textId="77777777" w:rsidR="00B14D53" w:rsidRDefault="00000000">
            <w:pPr>
              <w:jc w:val="center"/>
              <w:rPr>
                <w:snapToGrid w:val="0"/>
                <w:szCs w:val="21"/>
                <w:lang w:val="zh-CN"/>
              </w:rPr>
            </w:pPr>
            <w:r>
              <w:rPr>
                <w:rFonts w:hint="eastAsia"/>
                <w:snapToGrid w:val="0"/>
                <w:szCs w:val="21"/>
                <w:lang w:val="zh-CN"/>
              </w:rPr>
              <w:t>/</w:t>
            </w:r>
          </w:p>
        </w:tc>
      </w:tr>
      <w:tr w:rsidR="00B14D53" w14:paraId="4C041319" w14:textId="77777777">
        <w:trPr>
          <w:trHeight w:val="340"/>
        </w:trPr>
        <w:tc>
          <w:tcPr>
            <w:tcW w:w="426" w:type="dxa"/>
            <w:vMerge/>
            <w:vAlign w:val="center"/>
          </w:tcPr>
          <w:p w14:paraId="6F08BD1A" w14:textId="77777777" w:rsidR="00B14D53" w:rsidRDefault="00B14D53">
            <w:pPr>
              <w:jc w:val="center"/>
              <w:rPr>
                <w:snapToGrid w:val="0"/>
                <w:szCs w:val="21"/>
                <w:lang w:val="zh-CN"/>
              </w:rPr>
            </w:pPr>
          </w:p>
        </w:tc>
        <w:tc>
          <w:tcPr>
            <w:tcW w:w="531" w:type="dxa"/>
            <w:vAlign w:val="center"/>
          </w:tcPr>
          <w:p w14:paraId="3D4B8A4D" w14:textId="77777777" w:rsidR="00B14D53" w:rsidRDefault="00000000">
            <w:pPr>
              <w:jc w:val="center"/>
              <w:rPr>
                <w:snapToGrid w:val="0"/>
                <w:szCs w:val="21"/>
                <w:lang w:val="zh-CN"/>
              </w:rPr>
            </w:pPr>
            <w:r>
              <w:rPr>
                <w:snapToGrid w:val="0"/>
                <w:szCs w:val="21"/>
                <w:lang w:val="zh-CN"/>
              </w:rPr>
              <w:t>d</w:t>
            </w:r>
            <w:r>
              <w:rPr>
                <w:snapToGrid w:val="0"/>
                <w:szCs w:val="21"/>
                <w:lang w:val="zh-CN"/>
              </w:rPr>
              <w:t>）</w:t>
            </w:r>
          </w:p>
        </w:tc>
        <w:tc>
          <w:tcPr>
            <w:tcW w:w="4657" w:type="dxa"/>
            <w:vAlign w:val="center"/>
          </w:tcPr>
          <w:p w14:paraId="16058F8E" w14:textId="77777777" w:rsidR="00B14D53" w:rsidRDefault="00000000">
            <w:pPr>
              <w:ind w:firstLineChars="200" w:firstLine="420"/>
              <w:rPr>
                <w:snapToGrid w:val="0"/>
                <w:szCs w:val="21"/>
                <w:lang w:val="zh-CN"/>
              </w:rPr>
            </w:pPr>
            <w:r>
              <w:rPr>
                <w:snapToGrid w:val="0"/>
                <w:szCs w:val="21"/>
                <w:lang w:val="zh-CN"/>
              </w:rPr>
              <w:t>根据</w:t>
            </w:r>
            <w:r>
              <w:rPr>
                <w:snapToGrid w:val="0"/>
                <w:szCs w:val="21"/>
                <w:lang w:val="zh-CN"/>
              </w:rPr>
              <w:t xml:space="preserve"> HJ2.3 </w:t>
            </w:r>
            <w:r>
              <w:rPr>
                <w:snapToGrid w:val="0"/>
                <w:szCs w:val="21"/>
                <w:lang w:val="zh-CN"/>
              </w:rPr>
              <w:t>判断属于水文要素影响型且地表水评价等级不低于二级的建设项目，生态影响评价等级不低于二级</w:t>
            </w:r>
          </w:p>
        </w:tc>
        <w:tc>
          <w:tcPr>
            <w:tcW w:w="1997" w:type="dxa"/>
            <w:vAlign w:val="center"/>
          </w:tcPr>
          <w:p w14:paraId="6E60FD6B" w14:textId="77777777" w:rsidR="00B14D53" w:rsidRDefault="00000000">
            <w:pPr>
              <w:jc w:val="center"/>
              <w:rPr>
                <w:snapToGrid w:val="0"/>
                <w:szCs w:val="21"/>
                <w:lang w:val="zh-CN"/>
              </w:rPr>
            </w:pPr>
            <w:r>
              <w:rPr>
                <w:snapToGrid w:val="0"/>
                <w:szCs w:val="21"/>
                <w:lang w:val="zh-CN"/>
              </w:rPr>
              <w:t>不涉及</w:t>
            </w:r>
          </w:p>
        </w:tc>
        <w:tc>
          <w:tcPr>
            <w:tcW w:w="911" w:type="dxa"/>
            <w:vAlign w:val="center"/>
          </w:tcPr>
          <w:p w14:paraId="19E6F2FA" w14:textId="77777777" w:rsidR="00B14D53" w:rsidRDefault="00000000">
            <w:pPr>
              <w:jc w:val="center"/>
              <w:rPr>
                <w:snapToGrid w:val="0"/>
                <w:szCs w:val="21"/>
                <w:lang w:val="zh-CN"/>
              </w:rPr>
            </w:pPr>
            <w:r>
              <w:rPr>
                <w:snapToGrid w:val="0"/>
                <w:szCs w:val="21"/>
                <w:lang w:val="zh-CN"/>
              </w:rPr>
              <w:t>/</w:t>
            </w:r>
          </w:p>
        </w:tc>
      </w:tr>
      <w:tr w:rsidR="00B14D53" w14:paraId="52E6C132" w14:textId="77777777">
        <w:trPr>
          <w:trHeight w:val="340"/>
        </w:trPr>
        <w:tc>
          <w:tcPr>
            <w:tcW w:w="426" w:type="dxa"/>
            <w:vMerge/>
            <w:vAlign w:val="center"/>
          </w:tcPr>
          <w:p w14:paraId="535D7B59" w14:textId="77777777" w:rsidR="00B14D53" w:rsidRDefault="00B14D53">
            <w:pPr>
              <w:jc w:val="center"/>
              <w:rPr>
                <w:snapToGrid w:val="0"/>
                <w:szCs w:val="21"/>
                <w:lang w:val="zh-CN"/>
              </w:rPr>
            </w:pPr>
          </w:p>
        </w:tc>
        <w:tc>
          <w:tcPr>
            <w:tcW w:w="531" w:type="dxa"/>
            <w:vAlign w:val="center"/>
          </w:tcPr>
          <w:p w14:paraId="4451FA4C" w14:textId="77777777" w:rsidR="00B14D53" w:rsidRDefault="00000000">
            <w:pPr>
              <w:jc w:val="center"/>
              <w:rPr>
                <w:snapToGrid w:val="0"/>
                <w:szCs w:val="21"/>
                <w:lang w:val="zh-CN"/>
              </w:rPr>
            </w:pPr>
            <w:r>
              <w:rPr>
                <w:snapToGrid w:val="0"/>
                <w:szCs w:val="21"/>
                <w:lang w:val="zh-CN"/>
              </w:rPr>
              <w:t>e</w:t>
            </w:r>
            <w:r>
              <w:rPr>
                <w:snapToGrid w:val="0"/>
                <w:szCs w:val="21"/>
                <w:lang w:val="zh-CN"/>
              </w:rPr>
              <w:t>）</w:t>
            </w:r>
          </w:p>
        </w:tc>
        <w:tc>
          <w:tcPr>
            <w:tcW w:w="4657" w:type="dxa"/>
            <w:vAlign w:val="center"/>
          </w:tcPr>
          <w:p w14:paraId="17FBFDD8" w14:textId="77777777" w:rsidR="00B14D53" w:rsidRDefault="00000000">
            <w:pPr>
              <w:ind w:firstLineChars="200" w:firstLine="420"/>
              <w:rPr>
                <w:snapToGrid w:val="0"/>
                <w:szCs w:val="21"/>
                <w:lang w:val="zh-CN"/>
              </w:rPr>
            </w:pPr>
            <w:r>
              <w:rPr>
                <w:snapToGrid w:val="0"/>
                <w:szCs w:val="21"/>
                <w:lang w:val="zh-CN"/>
              </w:rPr>
              <w:t>根据</w:t>
            </w:r>
            <w:r>
              <w:rPr>
                <w:snapToGrid w:val="0"/>
                <w:szCs w:val="21"/>
                <w:lang w:val="zh-CN"/>
              </w:rPr>
              <w:t xml:space="preserve"> HJ610</w:t>
            </w:r>
            <w:r>
              <w:rPr>
                <w:snapToGrid w:val="0"/>
                <w:szCs w:val="21"/>
                <w:lang w:val="zh-CN"/>
              </w:rPr>
              <w:t>、</w:t>
            </w:r>
            <w:r>
              <w:rPr>
                <w:snapToGrid w:val="0"/>
                <w:szCs w:val="21"/>
                <w:lang w:val="zh-CN"/>
              </w:rPr>
              <w:t>HJ964</w:t>
            </w:r>
            <w:r>
              <w:rPr>
                <w:snapToGrid w:val="0"/>
                <w:szCs w:val="21"/>
                <w:lang w:val="zh-CN"/>
              </w:rPr>
              <w:t>判断地下水水位或土壤影响范围内分布有天然林、公益林、湿地等生态保护目标的建设项目，生态影响评价等级不低于二级</w:t>
            </w:r>
          </w:p>
        </w:tc>
        <w:tc>
          <w:tcPr>
            <w:tcW w:w="1997" w:type="dxa"/>
            <w:vAlign w:val="center"/>
          </w:tcPr>
          <w:p w14:paraId="3945FED7" w14:textId="77777777" w:rsidR="00B14D53" w:rsidRDefault="00000000">
            <w:pPr>
              <w:jc w:val="center"/>
              <w:rPr>
                <w:snapToGrid w:val="0"/>
                <w:szCs w:val="21"/>
                <w:lang w:val="zh-CN"/>
              </w:rPr>
            </w:pPr>
            <w:r>
              <w:rPr>
                <w:snapToGrid w:val="0"/>
                <w:szCs w:val="21"/>
                <w:lang w:val="zh-CN"/>
              </w:rPr>
              <w:t>不涉及</w:t>
            </w:r>
          </w:p>
        </w:tc>
        <w:tc>
          <w:tcPr>
            <w:tcW w:w="911" w:type="dxa"/>
            <w:vAlign w:val="center"/>
          </w:tcPr>
          <w:p w14:paraId="4D4E60DC" w14:textId="77777777" w:rsidR="00B14D53" w:rsidRDefault="00000000">
            <w:pPr>
              <w:jc w:val="center"/>
              <w:rPr>
                <w:snapToGrid w:val="0"/>
                <w:szCs w:val="21"/>
                <w:lang w:val="zh-CN"/>
              </w:rPr>
            </w:pPr>
            <w:r>
              <w:rPr>
                <w:snapToGrid w:val="0"/>
                <w:szCs w:val="21"/>
                <w:lang w:val="zh-CN"/>
              </w:rPr>
              <w:t>/</w:t>
            </w:r>
          </w:p>
        </w:tc>
      </w:tr>
      <w:tr w:rsidR="00B14D53" w14:paraId="011C840E" w14:textId="77777777">
        <w:trPr>
          <w:trHeight w:val="340"/>
        </w:trPr>
        <w:tc>
          <w:tcPr>
            <w:tcW w:w="426" w:type="dxa"/>
            <w:vMerge/>
            <w:vAlign w:val="center"/>
          </w:tcPr>
          <w:p w14:paraId="798E7CDE" w14:textId="77777777" w:rsidR="00B14D53" w:rsidRDefault="00B14D53">
            <w:pPr>
              <w:jc w:val="center"/>
              <w:rPr>
                <w:snapToGrid w:val="0"/>
                <w:szCs w:val="21"/>
                <w:lang w:val="zh-CN"/>
              </w:rPr>
            </w:pPr>
          </w:p>
        </w:tc>
        <w:tc>
          <w:tcPr>
            <w:tcW w:w="531" w:type="dxa"/>
            <w:vAlign w:val="center"/>
          </w:tcPr>
          <w:p w14:paraId="6A594B74" w14:textId="77777777" w:rsidR="00B14D53" w:rsidRDefault="00000000">
            <w:pPr>
              <w:jc w:val="center"/>
              <w:rPr>
                <w:snapToGrid w:val="0"/>
                <w:szCs w:val="21"/>
                <w:lang w:val="zh-CN"/>
              </w:rPr>
            </w:pPr>
            <w:r>
              <w:rPr>
                <w:snapToGrid w:val="0"/>
                <w:szCs w:val="21"/>
                <w:lang w:val="zh-CN"/>
              </w:rPr>
              <w:t>f</w:t>
            </w:r>
            <w:r>
              <w:rPr>
                <w:snapToGrid w:val="0"/>
                <w:szCs w:val="21"/>
                <w:lang w:val="zh-CN"/>
              </w:rPr>
              <w:t>）</w:t>
            </w:r>
          </w:p>
        </w:tc>
        <w:tc>
          <w:tcPr>
            <w:tcW w:w="4657" w:type="dxa"/>
            <w:vAlign w:val="center"/>
          </w:tcPr>
          <w:p w14:paraId="7EB09640" w14:textId="77777777" w:rsidR="00B14D53" w:rsidRDefault="00000000">
            <w:pPr>
              <w:ind w:firstLineChars="200" w:firstLine="420"/>
              <w:rPr>
                <w:snapToGrid w:val="0"/>
                <w:szCs w:val="21"/>
                <w:lang w:val="zh-CN"/>
              </w:rPr>
            </w:pPr>
            <w:r>
              <w:rPr>
                <w:snapToGrid w:val="0"/>
                <w:szCs w:val="21"/>
                <w:lang w:val="zh-CN"/>
              </w:rPr>
              <w:t>当工程占地规模大于</w:t>
            </w:r>
            <w:r>
              <w:rPr>
                <w:snapToGrid w:val="0"/>
                <w:szCs w:val="21"/>
                <w:lang w:val="zh-CN"/>
              </w:rPr>
              <w:t>20km</w:t>
            </w:r>
            <w:r>
              <w:rPr>
                <w:snapToGrid w:val="0"/>
                <w:szCs w:val="21"/>
                <w:vertAlign w:val="superscript"/>
                <w:lang w:val="zh-CN"/>
              </w:rPr>
              <w:t>2</w:t>
            </w:r>
            <w:r>
              <w:rPr>
                <w:snapToGrid w:val="0"/>
                <w:szCs w:val="21"/>
                <w:lang w:val="zh-CN"/>
              </w:rPr>
              <w:t>时（包括永久和临时占用陆域和水域），评价等级不低于二级；改扩建项目的占地范围以新增占地（包括陆域和水域）确定</w:t>
            </w:r>
          </w:p>
        </w:tc>
        <w:tc>
          <w:tcPr>
            <w:tcW w:w="1997" w:type="dxa"/>
            <w:vAlign w:val="center"/>
          </w:tcPr>
          <w:p w14:paraId="578111C8" w14:textId="77777777" w:rsidR="00B14D53" w:rsidRDefault="00000000">
            <w:pPr>
              <w:jc w:val="center"/>
              <w:rPr>
                <w:snapToGrid w:val="0"/>
                <w:szCs w:val="21"/>
                <w:lang w:val="zh-CN"/>
              </w:rPr>
            </w:pPr>
            <w:r>
              <w:rPr>
                <w:snapToGrid w:val="0"/>
                <w:szCs w:val="21"/>
                <w:lang w:val="zh-CN"/>
              </w:rPr>
              <w:t>项目占地面积</w:t>
            </w:r>
            <w:r>
              <w:rPr>
                <w:rFonts w:hint="eastAsia"/>
                <w:snapToGrid w:val="0"/>
                <w:szCs w:val="21"/>
              </w:rPr>
              <w:t>9592</w:t>
            </w:r>
            <w:r>
              <w:rPr>
                <w:snapToGrid w:val="0"/>
                <w:szCs w:val="21"/>
                <w:lang w:val="zh-CN"/>
              </w:rPr>
              <w:t>m</w:t>
            </w:r>
            <w:r>
              <w:rPr>
                <w:snapToGrid w:val="0"/>
                <w:szCs w:val="21"/>
                <w:vertAlign w:val="superscript"/>
                <w:lang w:val="zh-CN"/>
              </w:rPr>
              <w:t>2</w:t>
            </w:r>
            <w:r>
              <w:rPr>
                <w:snapToGrid w:val="0"/>
                <w:szCs w:val="21"/>
                <w:lang w:val="zh-CN"/>
              </w:rPr>
              <w:t>＜</w:t>
            </w:r>
            <w:r>
              <w:rPr>
                <w:snapToGrid w:val="0"/>
                <w:szCs w:val="21"/>
                <w:lang w:val="zh-CN"/>
              </w:rPr>
              <w:t>20km</w:t>
            </w:r>
            <w:r>
              <w:rPr>
                <w:snapToGrid w:val="0"/>
                <w:szCs w:val="21"/>
                <w:vertAlign w:val="superscript"/>
                <w:lang w:val="zh-CN"/>
              </w:rPr>
              <w:t>2</w:t>
            </w:r>
            <w:r>
              <w:rPr>
                <w:snapToGrid w:val="0"/>
                <w:szCs w:val="21"/>
                <w:lang w:val="zh-CN"/>
              </w:rPr>
              <w:t>。</w:t>
            </w:r>
          </w:p>
        </w:tc>
        <w:tc>
          <w:tcPr>
            <w:tcW w:w="911" w:type="dxa"/>
            <w:vAlign w:val="center"/>
          </w:tcPr>
          <w:p w14:paraId="0D93FB4D" w14:textId="77777777" w:rsidR="00B14D53" w:rsidRDefault="00000000">
            <w:pPr>
              <w:jc w:val="center"/>
              <w:rPr>
                <w:snapToGrid w:val="0"/>
                <w:szCs w:val="21"/>
                <w:lang w:val="zh-CN"/>
              </w:rPr>
            </w:pPr>
            <w:r>
              <w:rPr>
                <w:snapToGrid w:val="0"/>
                <w:szCs w:val="21"/>
                <w:lang w:val="zh-CN"/>
              </w:rPr>
              <w:t>/</w:t>
            </w:r>
          </w:p>
        </w:tc>
      </w:tr>
      <w:tr w:rsidR="00B14D53" w14:paraId="469A6F27" w14:textId="77777777">
        <w:trPr>
          <w:trHeight w:val="340"/>
        </w:trPr>
        <w:tc>
          <w:tcPr>
            <w:tcW w:w="426" w:type="dxa"/>
            <w:vMerge/>
            <w:vAlign w:val="center"/>
          </w:tcPr>
          <w:p w14:paraId="3E02C0B6" w14:textId="77777777" w:rsidR="00B14D53" w:rsidRDefault="00B14D53">
            <w:pPr>
              <w:jc w:val="center"/>
              <w:rPr>
                <w:snapToGrid w:val="0"/>
                <w:szCs w:val="21"/>
                <w:lang w:val="zh-CN"/>
              </w:rPr>
            </w:pPr>
          </w:p>
        </w:tc>
        <w:tc>
          <w:tcPr>
            <w:tcW w:w="531" w:type="dxa"/>
            <w:vAlign w:val="center"/>
          </w:tcPr>
          <w:p w14:paraId="0AA7E5BB" w14:textId="77777777" w:rsidR="00B14D53" w:rsidRDefault="00000000">
            <w:pPr>
              <w:jc w:val="center"/>
              <w:rPr>
                <w:snapToGrid w:val="0"/>
                <w:szCs w:val="21"/>
                <w:lang w:val="zh-CN"/>
              </w:rPr>
            </w:pPr>
            <w:r>
              <w:rPr>
                <w:snapToGrid w:val="0"/>
                <w:szCs w:val="21"/>
                <w:lang w:val="zh-CN"/>
              </w:rPr>
              <w:t>g</w:t>
            </w:r>
            <w:r>
              <w:rPr>
                <w:snapToGrid w:val="0"/>
                <w:szCs w:val="21"/>
                <w:lang w:val="zh-CN"/>
              </w:rPr>
              <w:t>）</w:t>
            </w:r>
          </w:p>
        </w:tc>
        <w:tc>
          <w:tcPr>
            <w:tcW w:w="4657" w:type="dxa"/>
            <w:vAlign w:val="center"/>
          </w:tcPr>
          <w:p w14:paraId="6624ED2E" w14:textId="77777777" w:rsidR="00B14D53" w:rsidRDefault="00000000">
            <w:pPr>
              <w:ind w:firstLineChars="200" w:firstLine="420"/>
              <w:rPr>
                <w:snapToGrid w:val="0"/>
                <w:szCs w:val="21"/>
                <w:lang w:val="zh-CN"/>
              </w:rPr>
            </w:pPr>
            <w:r>
              <w:rPr>
                <w:snapToGrid w:val="0"/>
                <w:szCs w:val="21"/>
                <w:lang w:val="zh-CN"/>
              </w:rPr>
              <w:t>除本条</w:t>
            </w:r>
            <w:r>
              <w:rPr>
                <w:snapToGrid w:val="0"/>
                <w:szCs w:val="21"/>
                <w:lang w:val="zh-CN"/>
              </w:rPr>
              <w:t>a</w:t>
            </w:r>
            <w:r>
              <w:rPr>
                <w:snapToGrid w:val="0"/>
                <w:szCs w:val="21"/>
                <w:lang w:val="zh-CN"/>
              </w:rPr>
              <w:t>）、</w:t>
            </w:r>
            <w:r>
              <w:rPr>
                <w:snapToGrid w:val="0"/>
                <w:szCs w:val="21"/>
                <w:lang w:val="zh-CN"/>
              </w:rPr>
              <w:t>b</w:t>
            </w:r>
            <w:r>
              <w:rPr>
                <w:snapToGrid w:val="0"/>
                <w:szCs w:val="21"/>
                <w:lang w:val="zh-CN"/>
              </w:rPr>
              <w:t>）、</w:t>
            </w:r>
            <w:r>
              <w:rPr>
                <w:snapToGrid w:val="0"/>
                <w:szCs w:val="21"/>
                <w:lang w:val="zh-CN"/>
              </w:rPr>
              <w:t>c</w:t>
            </w:r>
            <w:r>
              <w:rPr>
                <w:snapToGrid w:val="0"/>
                <w:szCs w:val="21"/>
                <w:lang w:val="zh-CN"/>
              </w:rPr>
              <w:t>）、</w:t>
            </w:r>
            <w:r>
              <w:rPr>
                <w:snapToGrid w:val="0"/>
                <w:szCs w:val="21"/>
                <w:lang w:val="zh-CN"/>
              </w:rPr>
              <w:t>d</w:t>
            </w:r>
            <w:r>
              <w:rPr>
                <w:snapToGrid w:val="0"/>
                <w:szCs w:val="21"/>
                <w:lang w:val="zh-CN"/>
              </w:rPr>
              <w:t>）、</w:t>
            </w:r>
            <w:r>
              <w:rPr>
                <w:snapToGrid w:val="0"/>
                <w:szCs w:val="21"/>
                <w:lang w:val="zh-CN"/>
              </w:rPr>
              <w:t>e</w:t>
            </w:r>
            <w:r>
              <w:rPr>
                <w:snapToGrid w:val="0"/>
                <w:szCs w:val="21"/>
                <w:lang w:val="zh-CN"/>
              </w:rPr>
              <w:t>）、</w:t>
            </w:r>
            <w:r>
              <w:rPr>
                <w:snapToGrid w:val="0"/>
                <w:szCs w:val="21"/>
                <w:lang w:val="zh-CN"/>
              </w:rPr>
              <w:t>f</w:t>
            </w:r>
            <w:r>
              <w:rPr>
                <w:snapToGrid w:val="0"/>
                <w:szCs w:val="21"/>
                <w:lang w:val="zh-CN"/>
              </w:rPr>
              <w:t>）以外的情况，评价等级为三级</w:t>
            </w:r>
          </w:p>
        </w:tc>
        <w:tc>
          <w:tcPr>
            <w:tcW w:w="1997" w:type="dxa"/>
            <w:vAlign w:val="center"/>
          </w:tcPr>
          <w:p w14:paraId="31ABEB08" w14:textId="77777777" w:rsidR="00B14D53" w:rsidRDefault="00000000">
            <w:pPr>
              <w:jc w:val="center"/>
              <w:rPr>
                <w:snapToGrid w:val="0"/>
                <w:szCs w:val="21"/>
                <w:lang w:val="zh-CN"/>
              </w:rPr>
            </w:pPr>
            <w:r>
              <w:rPr>
                <w:rFonts w:hint="eastAsia"/>
                <w:snapToGrid w:val="0"/>
                <w:szCs w:val="21"/>
                <w:lang w:val="zh-CN"/>
              </w:rPr>
              <w:t>属于</w:t>
            </w:r>
          </w:p>
        </w:tc>
        <w:tc>
          <w:tcPr>
            <w:tcW w:w="911" w:type="dxa"/>
            <w:vAlign w:val="center"/>
          </w:tcPr>
          <w:p w14:paraId="2B646C45" w14:textId="77777777" w:rsidR="00B14D53" w:rsidRDefault="00000000">
            <w:pPr>
              <w:jc w:val="center"/>
              <w:rPr>
                <w:snapToGrid w:val="0"/>
                <w:szCs w:val="21"/>
                <w:lang w:val="zh-CN"/>
              </w:rPr>
            </w:pPr>
            <w:r>
              <w:rPr>
                <w:rFonts w:hint="eastAsia"/>
                <w:snapToGrid w:val="0"/>
                <w:szCs w:val="21"/>
                <w:lang w:val="zh-CN"/>
              </w:rPr>
              <w:t>三级</w:t>
            </w:r>
          </w:p>
        </w:tc>
      </w:tr>
      <w:tr w:rsidR="00B14D53" w14:paraId="46E78377" w14:textId="77777777">
        <w:trPr>
          <w:trHeight w:val="340"/>
        </w:trPr>
        <w:tc>
          <w:tcPr>
            <w:tcW w:w="426" w:type="dxa"/>
            <w:vMerge/>
            <w:vAlign w:val="center"/>
          </w:tcPr>
          <w:p w14:paraId="2DA70E13" w14:textId="77777777" w:rsidR="00B14D53" w:rsidRDefault="00B14D53">
            <w:pPr>
              <w:jc w:val="center"/>
              <w:rPr>
                <w:snapToGrid w:val="0"/>
                <w:szCs w:val="21"/>
                <w:lang w:val="zh-CN"/>
              </w:rPr>
            </w:pPr>
          </w:p>
        </w:tc>
        <w:tc>
          <w:tcPr>
            <w:tcW w:w="531" w:type="dxa"/>
            <w:vAlign w:val="center"/>
          </w:tcPr>
          <w:p w14:paraId="7CD3BFBF" w14:textId="77777777" w:rsidR="00B14D53" w:rsidRDefault="00000000">
            <w:pPr>
              <w:jc w:val="center"/>
              <w:rPr>
                <w:snapToGrid w:val="0"/>
                <w:szCs w:val="21"/>
                <w:lang w:val="zh-CN"/>
              </w:rPr>
            </w:pPr>
            <w:r>
              <w:rPr>
                <w:snapToGrid w:val="0"/>
                <w:szCs w:val="21"/>
                <w:lang w:val="zh-CN"/>
              </w:rPr>
              <w:t>h</w:t>
            </w:r>
            <w:r>
              <w:rPr>
                <w:snapToGrid w:val="0"/>
                <w:szCs w:val="21"/>
                <w:lang w:val="zh-CN"/>
              </w:rPr>
              <w:t>）</w:t>
            </w:r>
          </w:p>
        </w:tc>
        <w:tc>
          <w:tcPr>
            <w:tcW w:w="4657" w:type="dxa"/>
            <w:vAlign w:val="center"/>
          </w:tcPr>
          <w:p w14:paraId="62700236" w14:textId="77777777" w:rsidR="00B14D53" w:rsidRDefault="00000000">
            <w:pPr>
              <w:ind w:firstLineChars="200" w:firstLine="420"/>
              <w:rPr>
                <w:snapToGrid w:val="0"/>
                <w:szCs w:val="21"/>
                <w:lang w:val="zh-CN"/>
              </w:rPr>
            </w:pPr>
            <w:r>
              <w:rPr>
                <w:snapToGrid w:val="0"/>
                <w:szCs w:val="21"/>
                <w:lang w:val="zh-CN"/>
              </w:rPr>
              <w:t>当评价等级判定同时符合上述多种情况时，应采用其中最高的评价等级</w:t>
            </w:r>
          </w:p>
        </w:tc>
        <w:tc>
          <w:tcPr>
            <w:tcW w:w="1997" w:type="dxa"/>
            <w:vAlign w:val="center"/>
          </w:tcPr>
          <w:p w14:paraId="7E11CD52" w14:textId="77777777" w:rsidR="00B14D53" w:rsidRDefault="00000000">
            <w:pPr>
              <w:jc w:val="center"/>
              <w:rPr>
                <w:snapToGrid w:val="0"/>
                <w:szCs w:val="21"/>
                <w:lang w:val="zh-CN"/>
              </w:rPr>
            </w:pPr>
            <w:r>
              <w:rPr>
                <w:rFonts w:hint="eastAsia"/>
                <w:snapToGrid w:val="0"/>
                <w:szCs w:val="21"/>
                <w:lang w:val="zh-CN"/>
              </w:rPr>
              <w:t>-</w:t>
            </w:r>
            <w:r>
              <w:rPr>
                <w:snapToGrid w:val="0"/>
                <w:szCs w:val="21"/>
                <w:lang w:val="zh-CN"/>
              </w:rPr>
              <w:t>-</w:t>
            </w:r>
          </w:p>
        </w:tc>
        <w:tc>
          <w:tcPr>
            <w:tcW w:w="911" w:type="dxa"/>
            <w:vAlign w:val="center"/>
          </w:tcPr>
          <w:p w14:paraId="0BFEBEB9" w14:textId="77777777" w:rsidR="00B14D53" w:rsidRDefault="00000000">
            <w:pPr>
              <w:jc w:val="center"/>
              <w:rPr>
                <w:snapToGrid w:val="0"/>
                <w:szCs w:val="21"/>
                <w:lang w:val="zh-CN"/>
              </w:rPr>
            </w:pPr>
            <w:r>
              <w:rPr>
                <w:rFonts w:hint="eastAsia"/>
                <w:snapToGrid w:val="0"/>
                <w:szCs w:val="21"/>
                <w:lang w:val="zh-CN"/>
              </w:rPr>
              <w:t>三级</w:t>
            </w:r>
          </w:p>
        </w:tc>
      </w:tr>
      <w:tr w:rsidR="00B14D53" w14:paraId="3546300F" w14:textId="77777777">
        <w:trPr>
          <w:trHeight w:val="340"/>
        </w:trPr>
        <w:tc>
          <w:tcPr>
            <w:tcW w:w="957" w:type="dxa"/>
            <w:gridSpan w:val="2"/>
            <w:vAlign w:val="center"/>
          </w:tcPr>
          <w:p w14:paraId="3AAB5847" w14:textId="77777777" w:rsidR="00B14D53" w:rsidRDefault="00000000">
            <w:pPr>
              <w:jc w:val="center"/>
              <w:rPr>
                <w:snapToGrid w:val="0"/>
                <w:szCs w:val="21"/>
                <w:lang w:val="zh-CN"/>
              </w:rPr>
            </w:pPr>
            <w:r>
              <w:rPr>
                <w:snapToGrid w:val="0"/>
                <w:szCs w:val="21"/>
                <w:lang w:val="zh-CN"/>
              </w:rPr>
              <w:t>2</w:t>
            </w:r>
          </w:p>
        </w:tc>
        <w:tc>
          <w:tcPr>
            <w:tcW w:w="4657" w:type="dxa"/>
            <w:vAlign w:val="center"/>
          </w:tcPr>
          <w:p w14:paraId="5A6672C9" w14:textId="77777777" w:rsidR="00B14D53" w:rsidRDefault="00000000">
            <w:pPr>
              <w:ind w:firstLineChars="200" w:firstLine="420"/>
              <w:rPr>
                <w:snapToGrid w:val="0"/>
                <w:szCs w:val="21"/>
                <w:lang w:val="zh-CN"/>
              </w:rPr>
            </w:pPr>
            <w:r>
              <w:rPr>
                <w:snapToGrid w:val="0"/>
                <w:szCs w:val="21"/>
                <w:lang w:val="zh-CN"/>
              </w:rPr>
              <w:t>建设项目涉及经论证对保护生物多样性具有重要意义的区域时，可适当上调评价等级</w:t>
            </w:r>
          </w:p>
        </w:tc>
        <w:tc>
          <w:tcPr>
            <w:tcW w:w="1997" w:type="dxa"/>
            <w:vAlign w:val="center"/>
          </w:tcPr>
          <w:p w14:paraId="274E5E71" w14:textId="77777777" w:rsidR="00B14D53" w:rsidRDefault="00000000">
            <w:pPr>
              <w:jc w:val="center"/>
              <w:rPr>
                <w:snapToGrid w:val="0"/>
                <w:szCs w:val="21"/>
                <w:lang w:val="zh-CN"/>
              </w:rPr>
            </w:pPr>
            <w:r>
              <w:rPr>
                <w:snapToGrid w:val="0"/>
                <w:szCs w:val="21"/>
                <w:lang w:val="zh-CN"/>
              </w:rPr>
              <w:t>不涉及</w:t>
            </w:r>
          </w:p>
        </w:tc>
        <w:tc>
          <w:tcPr>
            <w:tcW w:w="911" w:type="dxa"/>
            <w:vAlign w:val="center"/>
          </w:tcPr>
          <w:p w14:paraId="0489CB3A" w14:textId="77777777" w:rsidR="00B14D53" w:rsidRDefault="00000000">
            <w:pPr>
              <w:jc w:val="center"/>
              <w:rPr>
                <w:snapToGrid w:val="0"/>
                <w:szCs w:val="21"/>
                <w:lang w:val="zh-CN"/>
              </w:rPr>
            </w:pPr>
            <w:r>
              <w:rPr>
                <w:snapToGrid w:val="0"/>
                <w:szCs w:val="21"/>
                <w:lang w:val="zh-CN"/>
              </w:rPr>
              <w:t>/</w:t>
            </w:r>
          </w:p>
        </w:tc>
      </w:tr>
      <w:tr w:rsidR="00B14D53" w14:paraId="214352FE" w14:textId="77777777">
        <w:trPr>
          <w:trHeight w:val="340"/>
        </w:trPr>
        <w:tc>
          <w:tcPr>
            <w:tcW w:w="957" w:type="dxa"/>
            <w:gridSpan w:val="2"/>
            <w:vAlign w:val="center"/>
          </w:tcPr>
          <w:p w14:paraId="60AE8DEF" w14:textId="77777777" w:rsidR="00B14D53" w:rsidRDefault="00000000">
            <w:pPr>
              <w:jc w:val="center"/>
              <w:rPr>
                <w:snapToGrid w:val="0"/>
                <w:szCs w:val="21"/>
                <w:lang w:val="zh-CN"/>
              </w:rPr>
            </w:pPr>
            <w:r>
              <w:rPr>
                <w:snapToGrid w:val="0"/>
                <w:szCs w:val="21"/>
                <w:lang w:val="zh-CN"/>
              </w:rPr>
              <w:t>3</w:t>
            </w:r>
          </w:p>
        </w:tc>
        <w:tc>
          <w:tcPr>
            <w:tcW w:w="4657" w:type="dxa"/>
            <w:vAlign w:val="center"/>
          </w:tcPr>
          <w:p w14:paraId="2387E58A" w14:textId="77777777" w:rsidR="00B14D53" w:rsidRDefault="00000000">
            <w:pPr>
              <w:ind w:firstLineChars="200" w:firstLine="420"/>
              <w:rPr>
                <w:snapToGrid w:val="0"/>
                <w:szCs w:val="21"/>
                <w:lang w:val="zh-CN"/>
              </w:rPr>
            </w:pPr>
            <w:r>
              <w:rPr>
                <w:snapToGrid w:val="0"/>
                <w:szCs w:val="21"/>
                <w:lang w:val="zh-CN"/>
              </w:rPr>
              <w:t>建设项目同时涉及陆生、水生生态影响时，可针对陆生生态、水生生态分别判定评价等级</w:t>
            </w:r>
          </w:p>
        </w:tc>
        <w:tc>
          <w:tcPr>
            <w:tcW w:w="1997" w:type="dxa"/>
            <w:vAlign w:val="center"/>
          </w:tcPr>
          <w:p w14:paraId="2F7D9F33" w14:textId="77777777" w:rsidR="00B14D53" w:rsidRDefault="00000000">
            <w:pPr>
              <w:jc w:val="center"/>
              <w:rPr>
                <w:snapToGrid w:val="0"/>
                <w:szCs w:val="21"/>
              </w:rPr>
            </w:pPr>
            <w:r>
              <w:rPr>
                <w:rFonts w:hint="eastAsia"/>
                <w:snapToGrid w:val="0"/>
                <w:szCs w:val="21"/>
              </w:rPr>
              <w:t>不涉及</w:t>
            </w:r>
            <w:r>
              <w:rPr>
                <w:snapToGrid w:val="0"/>
                <w:szCs w:val="21"/>
                <w:lang w:val="zh-CN"/>
              </w:rPr>
              <w:t>水生生态</w:t>
            </w:r>
            <w:r>
              <w:rPr>
                <w:rFonts w:hint="eastAsia"/>
                <w:snapToGrid w:val="0"/>
                <w:szCs w:val="21"/>
              </w:rPr>
              <w:t>影响</w:t>
            </w:r>
          </w:p>
        </w:tc>
        <w:tc>
          <w:tcPr>
            <w:tcW w:w="911" w:type="dxa"/>
            <w:vAlign w:val="center"/>
          </w:tcPr>
          <w:p w14:paraId="0151269F" w14:textId="77777777" w:rsidR="00B14D53" w:rsidRDefault="00000000">
            <w:pPr>
              <w:jc w:val="center"/>
              <w:rPr>
                <w:snapToGrid w:val="0"/>
                <w:szCs w:val="21"/>
                <w:lang w:val="zh-CN"/>
              </w:rPr>
            </w:pPr>
            <w:r>
              <w:rPr>
                <w:snapToGrid w:val="0"/>
                <w:szCs w:val="21"/>
                <w:lang w:val="zh-CN"/>
              </w:rPr>
              <w:t>/</w:t>
            </w:r>
          </w:p>
        </w:tc>
      </w:tr>
      <w:tr w:rsidR="00B14D53" w14:paraId="4606EA72" w14:textId="77777777">
        <w:trPr>
          <w:trHeight w:val="340"/>
        </w:trPr>
        <w:tc>
          <w:tcPr>
            <w:tcW w:w="957" w:type="dxa"/>
            <w:gridSpan w:val="2"/>
            <w:vAlign w:val="center"/>
          </w:tcPr>
          <w:p w14:paraId="2ED39AB7" w14:textId="77777777" w:rsidR="00B14D53" w:rsidRDefault="00000000">
            <w:pPr>
              <w:jc w:val="center"/>
              <w:rPr>
                <w:snapToGrid w:val="0"/>
                <w:szCs w:val="21"/>
                <w:lang w:val="zh-CN"/>
              </w:rPr>
            </w:pPr>
            <w:r>
              <w:rPr>
                <w:snapToGrid w:val="0"/>
                <w:szCs w:val="21"/>
                <w:lang w:val="zh-CN"/>
              </w:rPr>
              <w:t>4</w:t>
            </w:r>
          </w:p>
        </w:tc>
        <w:tc>
          <w:tcPr>
            <w:tcW w:w="4657" w:type="dxa"/>
            <w:vAlign w:val="center"/>
          </w:tcPr>
          <w:p w14:paraId="06E3258E" w14:textId="77777777" w:rsidR="00B14D53" w:rsidRDefault="00000000">
            <w:pPr>
              <w:ind w:firstLineChars="200" w:firstLine="420"/>
              <w:rPr>
                <w:snapToGrid w:val="0"/>
                <w:szCs w:val="21"/>
                <w:lang w:val="zh-CN"/>
              </w:rPr>
            </w:pPr>
            <w:r>
              <w:rPr>
                <w:snapToGrid w:val="0"/>
                <w:szCs w:val="21"/>
                <w:lang w:val="zh-CN"/>
              </w:rPr>
              <w:t>在矿山开采可能导致矿区土地利用类型明显改变，或拦河闸坝建设可能明显改变水文情势等情况下，评价等级应上调一级</w:t>
            </w:r>
          </w:p>
        </w:tc>
        <w:tc>
          <w:tcPr>
            <w:tcW w:w="1997" w:type="dxa"/>
            <w:vAlign w:val="center"/>
          </w:tcPr>
          <w:p w14:paraId="532463DB" w14:textId="77777777" w:rsidR="00B14D53" w:rsidRDefault="00000000">
            <w:pPr>
              <w:jc w:val="center"/>
              <w:rPr>
                <w:snapToGrid w:val="0"/>
                <w:szCs w:val="21"/>
                <w:lang w:val="zh-CN"/>
              </w:rPr>
            </w:pPr>
            <w:r>
              <w:rPr>
                <w:rFonts w:hint="eastAsia"/>
                <w:snapToGrid w:val="0"/>
                <w:szCs w:val="21"/>
              </w:rPr>
              <w:t>不涉及</w:t>
            </w:r>
          </w:p>
        </w:tc>
        <w:tc>
          <w:tcPr>
            <w:tcW w:w="911" w:type="dxa"/>
            <w:vAlign w:val="center"/>
          </w:tcPr>
          <w:p w14:paraId="3617B1A5" w14:textId="77777777" w:rsidR="00B14D53" w:rsidRDefault="00000000">
            <w:pPr>
              <w:jc w:val="center"/>
              <w:rPr>
                <w:snapToGrid w:val="0"/>
                <w:szCs w:val="21"/>
                <w:lang w:val="zh-CN"/>
              </w:rPr>
            </w:pPr>
            <w:r>
              <w:rPr>
                <w:snapToGrid w:val="0"/>
                <w:szCs w:val="21"/>
                <w:lang w:val="zh-CN"/>
              </w:rPr>
              <w:t>/</w:t>
            </w:r>
          </w:p>
        </w:tc>
      </w:tr>
      <w:tr w:rsidR="00B14D53" w14:paraId="4A44A517" w14:textId="77777777">
        <w:trPr>
          <w:trHeight w:val="340"/>
        </w:trPr>
        <w:tc>
          <w:tcPr>
            <w:tcW w:w="957" w:type="dxa"/>
            <w:gridSpan w:val="2"/>
            <w:vAlign w:val="center"/>
          </w:tcPr>
          <w:p w14:paraId="125CF9A6" w14:textId="77777777" w:rsidR="00B14D53" w:rsidRDefault="00000000">
            <w:pPr>
              <w:jc w:val="center"/>
              <w:rPr>
                <w:snapToGrid w:val="0"/>
                <w:szCs w:val="21"/>
                <w:lang w:val="zh-CN"/>
              </w:rPr>
            </w:pPr>
            <w:r>
              <w:rPr>
                <w:snapToGrid w:val="0"/>
                <w:szCs w:val="21"/>
                <w:lang w:val="zh-CN"/>
              </w:rPr>
              <w:t>5</w:t>
            </w:r>
          </w:p>
        </w:tc>
        <w:tc>
          <w:tcPr>
            <w:tcW w:w="4657" w:type="dxa"/>
            <w:vAlign w:val="center"/>
          </w:tcPr>
          <w:p w14:paraId="13E20DCE" w14:textId="77777777" w:rsidR="00B14D53" w:rsidRDefault="00000000">
            <w:pPr>
              <w:ind w:firstLineChars="200" w:firstLine="420"/>
              <w:rPr>
                <w:snapToGrid w:val="0"/>
                <w:szCs w:val="21"/>
                <w:lang w:val="zh-CN"/>
              </w:rPr>
            </w:pPr>
            <w:r>
              <w:rPr>
                <w:snapToGrid w:val="0"/>
                <w:szCs w:val="21"/>
                <w:lang w:val="zh-CN"/>
              </w:rPr>
              <w:t>线性工程可分段确定评价等级。线性工程地下穿越或地表跨越生态敏感区，在生态敏感区范围内无永久、临时占地时，评价等级可下调一级</w:t>
            </w:r>
          </w:p>
        </w:tc>
        <w:tc>
          <w:tcPr>
            <w:tcW w:w="1997" w:type="dxa"/>
            <w:vAlign w:val="center"/>
          </w:tcPr>
          <w:p w14:paraId="623849A9" w14:textId="77777777" w:rsidR="00B14D53" w:rsidRDefault="00000000">
            <w:pPr>
              <w:jc w:val="center"/>
              <w:rPr>
                <w:snapToGrid w:val="0"/>
                <w:szCs w:val="21"/>
                <w:lang w:val="zh-CN"/>
              </w:rPr>
            </w:pPr>
            <w:r>
              <w:rPr>
                <w:snapToGrid w:val="0"/>
                <w:szCs w:val="21"/>
                <w:lang w:val="zh-CN"/>
              </w:rPr>
              <w:t>不涉及</w:t>
            </w:r>
          </w:p>
        </w:tc>
        <w:tc>
          <w:tcPr>
            <w:tcW w:w="911" w:type="dxa"/>
            <w:vAlign w:val="center"/>
          </w:tcPr>
          <w:p w14:paraId="246ED095" w14:textId="77777777" w:rsidR="00B14D53" w:rsidRDefault="00000000">
            <w:pPr>
              <w:jc w:val="center"/>
              <w:rPr>
                <w:snapToGrid w:val="0"/>
                <w:szCs w:val="21"/>
                <w:lang w:val="zh-CN"/>
              </w:rPr>
            </w:pPr>
            <w:r>
              <w:rPr>
                <w:snapToGrid w:val="0"/>
                <w:szCs w:val="21"/>
                <w:lang w:val="zh-CN"/>
              </w:rPr>
              <w:t>/</w:t>
            </w:r>
          </w:p>
        </w:tc>
      </w:tr>
      <w:tr w:rsidR="00B14D53" w14:paraId="4C732EA9" w14:textId="77777777">
        <w:trPr>
          <w:trHeight w:val="340"/>
        </w:trPr>
        <w:tc>
          <w:tcPr>
            <w:tcW w:w="957" w:type="dxa"/>
            <w:gridSpan w:val="2"/>
            <w:vAlign w:val="center"/>
          </w:tcPr>
          <w:p w14:paraId="467E4FB4" w14:textId="77777777" w:rsidR="00B14D53" w:rsidRDefault="00000000">
            <w:pPr>
              <w:jc w:val="center"/>
              <w:rPr>
                <w:snapToGrid w:val="0"/>
                <w:szCs w:val="21"/>
                <w:lang w:val="zh-CN"/>
              </w:rPr>
            </w:pPr>
            <w:r>
              <w:rPr>
                <w:snapToGrid w:val="0"/>
                <w:szCs w:val="21"/>
                <w:lang w:val="zh-CN"/>
              </w:rPr>
              <w:t>6</w:t>
            </w:r>
          </w:p>
        </w:tc>
        <w:tc>
          <w:tcPr>
            <w:tcW w:w="4657" w:type="dxa"/>
            <w:vAlign w:val="center"/>
          </w:tcPr>
          <w:p w14:paraId="76C478E4" w14:textId="77777777" w:rsidR="00B14D53" w:rsidRDefault="00000000">
            <w:pPr>
              <w:ind w:firstLineChars="200" w:firstLine="420"/>
              <w:rPr>
                <w:snapToGrid w:val="0"/>
                <w:szCs w:val="21"/>
                <w:lang w:val="zh-CN"/>
              </w:rPr>
            </w:pPr>
            <w:r>
              <w:rPr>
                <w:snapToGrid w:val="0"/>
                <w:szCs w:val="21"/>
                <w:lang w:val="zh-CN"/>
              </w:rPr>
              <w:t>涉海工程评价等级判定参照</w:t>
            </w:r>
            <w:r>
              <w:rPr>
                <w:snapToGrid w:val="0"/>
                <w:szCs w:val="21"/>
                <w:lang w:val="zh-CN"/>
              </w:rPr>
              <w:t xml:space="preserve"> GB/T 19485</w:t>
            </w:r>
          </w:p>
        </w:tc>
        <w:tc>
          <w:tcPr>
            <w:tcW w:w="1997" w:type="dxa"/>
            <w:vAlign w:val="center"/>
          </w:tcPr>
          <w:p w14:paraId="6A5EAE20" w14:textId="77777777" w:rsidR="00B14D53" w:rsidRDefault="00000000">
            <w:pPr>
              <w:jc w:val="center"/>
              <w:rPr>
                <w:snapToGrid w:val="0"/>
                <w:szCs w:val="21"/>
                <w:lang w:val="zh-CN"/>
              </w:rPr>
            </w:pPr>
            <w:r>
              <w:rPr>
                <w:snapToGrid w:val="0"/>
                <w:szCs w:val="21"/>
                <w:lang w:val="zh-CN"/>
              </w:rPr>
              <w:t>不涉及</w:t>
            </w:r>
          </w:p>
        </w:tc>
        <w:tc>
          <w:tcPr>
            <w:tcW w:w="911" w:type="dxa"/>
            <w:vAlign w:val="center"/>
          </w:tcPr>
          <w:p w14:paraId="4D4ADFA9" w14:textId="77777777" w:rsidR="00B14D53" w:rsidRDefault="00000000">
            <w:pPr>
              <w:jc w:val="center"/>
              <w:rPr>
                <w:snapToGrid w:val="0"/>
                <w:szCs w:val="21"/>
                <w:lang w:val="zh-CN"/>
              </w:rPr>
            </w:pPr>
            <w:r>
              <w:rPr>
                <w:snapToGrid w:val="0"/>
                <w:szCs w:val="21"/>
                <w:lang w:val="zh-CN"/>
              </w:rPr>
              <w:t>/</w:t>
            </w:r>
          </w:p>
        </w:tc>
      </w:tr>
      <w:tr w:rsidR="00B14D53" w14:paraId="4FD02F84" w14:textId="77777777">
        <w:trPr>
          <w:trHeight w:val="340"/>
        </w:trPr>
        <w:tc>
          <w:tcPr>
            <w:tcW w:w="957" w:type="dxa"/>
            <w:gridSpan w:val="2"/>
            <w:vAlign w:val="center"/>
          </w:tcPr>
          <w:p w14:paraId="79D1E22E" w14:textId="77777777" w:rsidR="00B14D53" w:rsidRDefault="00000000">
            <w:pPr>
              <w:jc w:val="center"/>
              <w:rPr>
                <w:snapToGrid w:val="0"/>
                <w:szCs w:val="21"/>
                <w:lang w:val="zh-CN"/>
              </w:rPr>
            </w:pPr>
            <w:r>
              <w:rPr>
                <w:snapToGrid w:val="0"/>
                <w:szCs w:val="21"/>
                <w:lang w:val="zh-CN"/>
              </w:rPr>
              <w:t>7</w:t>
            </w:r>
          </w:p>
        </w:tc>
        <w:tc>
          <w:tcPr>
            <w:tcW w:w="4657" w:type="dxa"/>
            <w:vAlign w:val="center"/>
          </w:tcPr>
          <w:p w14:paraId="03DF0849" w14:textId="77777777" w:rsidR="00B14D53" w:rsidRDefault="00000000">
            <w:pPr>
              <w:ind w:firstLineChars="200" w:firstLine="420"/>
              <w:rPr>
                <w:snapToGrid w:val="0"/>
                <w:szCs w:val="21"/>
                <w:lang w:val="zh-CN"/>
              </w:rPr>
            </w:pPr>
            <w:r>
              <w:rPr>
                <w:snapToGrid w:val="0"/>
                <w:szCs w:val="21"/>
                <w:lang w:val="zh-CN"/>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1997" w:type="dxa"/>
            <w:vAlign w:val="center"/>
          </w:tcPr>
          <w:p w14:paraId="1E4D7884" w14:textId="77777777" w:rsidR="00B14D53" w:rsidRDefault="00000000">
            <w:pPr>
              <w:jc w:val="center"/>
              <w:rPr>
                <w:snapToGrid w:val="0"/>
                <w:szCs w:val="21"/>
                <w:lang w:val="zh-CN"/>
              </w:rPr>
            </w:pPr>
            <w:r>
              <w:rPr>
                <w:snapToGrid w:val="0"/>
                <w:szCs w:val="21"/>
                <w:lang w:val="zh-CN"/>
              </w:rPr>
              <w:t>不涉及</w:t>
            </w:r>
          </w:p>
        </w:tc>
        <w:tc>
          <w:tcPr>
            <w:tcW w:w="911" w:type="dxa"/>
            <w:vAlign w:val="center"/>
          </w:tcPr>
          <w:p w14:paraId="1D1528F0" w14:textId="77777777" w:rsidR="00B14D53" w:rsidRDefault="00000000">
            <w:pPr>
              <w:jc w:val="center"/>
              <w:rPr>
                <w:snapToGrid w:val="0"/>
                <w:szCs w:val="21"/>
                <w:lang w:val="zh-CN"/>
              </w:rPr>
            </w:pPr>
            <w:r>
              <w:rPr>
                <w:snapToGrid w:val="0"/>
                <w:szCs w:val="21"/>
                <w:lang w:val="zh-CN"/>
              </w:rPr>
              <w:t>/</w:t>
            </w:r>
          </w:p>
        </w:tc>
      </w:tr>
    </w:tbl>
    <w:p w14:paraId="00BBBAD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2.4.6</w:t>
      </w:r>
      <w:r>
        <w:rPr>
          <w:rFonts w:ascii="Times New Roman" w:eastAsia="黑体" w:hAnsi="Times New Roman" w:cs="Times New Roman"/>
          <w:bCs/>
          <w:sz w:val="28"/>
          <w:szCs w:val="28"/>
        </w:rPr>
        <w:t>土壤评价工作等级</w:t>
      </w:r>
    </w:p>
    <w:p w14:paraId="3CFC76F1" w14:textId="77777777" w:rsidR="00B14D53" w:rsidRDefault="00000000">
      <w:pPr>
        <w:spacing w:line="360" w:lineRule="auto"/>
        <w:ind w:firstLineChars="200" w:firstLine="480"/>
        <w:rPr>
          <w:rFonts w:eastAsiaTheme="minorEastAsia"/>
          <w:snapToGrid w:val="0"/>
          <w:sz w:val="24"/>
          <w:szCs w:val="22"/>
        </w:rPr>
      </w:pPr>
      <w:r>
        <w:rPr>
          <w:bCs/>
          <w:sz w:val="24"/>
        </w:rPr>
        <w:t>根据《环境影响评价技术导则</w:t>
      </w:r>
      <w:r>
        <w:rPr>
          <w:bCs/>
          <w:sz w:val="24"/>
        </w:rPr>
        <w:t xml:space="preserve"> </w:t>
      </w:r>
      <w:r>
        <w:rPr>
          <w:sz w:val="24"/>
        </w:rPr>
        <w:t>土壤环境（试行）》（</w:t>
      </w:r>
      <w:r>
        <w:rPr>
          <w:sz w:val="24"/>
        </w:rPr>
        <w:t>HJ964-2018</w:t>
      </w:r>
      <w:r>
        <w:rPr>
          <w:sz w:val="24"/>
        </w:rPr>
        <w:t>）附录</w:t>
      </w:r>
      <w:r>
        <w:rPr>
          <w:sz w:val="24"/>
        </w:rPr>
        <w:t>A</w:t>
      </w:r>
      <w:r>
        <w:rPr>
          <w:sz w:val="24"/>
        </w:rPr>
        <w:t>中表</w:t>
      </w:r>
      <w:r>
        <w:rPr>
          <w:sz w:val="24"/>
        </w:rPr>
        <w:t>A.1</w:t>
      </w:r>
      <w:r>
        <w:rPr>
          <w:rFonts w:hint="eastAsia"/>
          <w:sz w:val="24"/>
        </w:rPr>
        <w:t>“</w:t>
      </w:r>
      <w:r>
        <w:rPr>
          <w:sz w:val="24"/>
        </w:rPr>
        <w:t>土壤环境影响评价项目类别</w:t>
      </w:r>
      <w:r>
        <w:rPr>
          <w:rFonts w:hint="eastAsia"/>
          <w:sz w:val="24"/>
        </w:rPr>
        <w:t>”</w:t>
      </w:r>
      <w:r>
        <w:rPr>
          <w:sz w:val="24"/>
        </w:rPr>
        <w:t>中的规定，</w:t>
      </w:r>
      <w:r>
        <w:rPr>
          <w:rFonts w:hint="eastAsia"/>
          <w:sz w:val="24"/>
        </w:rPr>
        <w:t>“</w:t>
      </w:r>
      <w:r>
        <w:rPr>
          <w:sz w:val="24"/>
        </w:rPr>
        <w:t>行业类别</w:t>
      </w:r>
      <w:r>
        <w:rPr>
          <w:rFonts w:hint="eastAsia"/>
          <w:sz w:val="24"/>
        </w:rPr>
        <w:t>”</w:t>
      </w:r>
      <w:r>
        <w:rPr>
          <w:sz w:val="24"/>
        </w:rPr>
        <w:t>中无屠宰类项目，因此本项目属于</w:t>
      </w:r>
      <w:r>
        <w:rPr>
          <w:rFonts w:hint="eastAsia"/>
          <w:sz w:val="24"/>
        </w:rPr>
        <w:t>“</w:t>
      </w:r>
      <w:r>
        <w:rPr>
          <w:sz w:val="24"/>
        </w:rPr>
        <w:t>其他行业</w:t>
      </w:r>
      <w:r>
        <w:rPr>
          <w:rFonts w:hint="eastAsia"/>
          <w:sz w:val="24"/>
        </w:rPr>
        <w:t>”</w:t>
      </w:r>
      <w:r>
        <w:rPr>
          <w:sz w:val="24"/>
        </w:rPr>
        <w:t>，为</w:t>
      </w:r>
      <w:r>
        <w:rPr>
          <w:sz w:val="24"/>
        </w:rPr>
        <w:t>Ⅳ</w:t>
      </w:r>
      <w:r>
        <w:rPr>
          <w:sz w:val="24"/>
        </w:rPr>
        <w:t>类项目，可不开展土壤环境影响评价工作</w:t>
      </w:r>
      <w:r>
        <w:rPr>
          <w:rFonts w:eastAsiaTheme="minorEastAsia" w:hAnsiTheme="minorEastAsia"/>
          <w:snapToGrid w:val="0"/>
          <w:sz w:val="24"/>
          <w:szCs w:val="22"/>
        </w:rPr>
        <w:t>。</w:t>
      </w:r>
    </w:p>
    <w:p w14:paraId="3C6BE068"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2.4.7</w:t>
      </w:r>
      <w:r>
        <w:rPr>
          <w:rFonts w:ascii="Times New Roman" w:eastAsia="黑体" w:hAnsi="Times New Roman" w:cs="Times New Roman"/>
          <w:bCs/>
          <w:sz w:val="28"/>
          <w:szCs w:val="28"/>
        </w:rPr>
        <w:t>风险评价工作等级</w:t>
      </w:r>
    </w:p>
    <w:p w14:paraId="118CC775" w14:textId="77777777" w:rsidR="00B14D53" w:rsidRDefault="00000000">
      <w:pPr>
        <w:spacing w:line="360" w:lineRule="auto"/>
        <w:ind w:firstLineChars="200" w:firstLine="480"/>
        <w:rPr>
          <w:sz w:val="24"/>
        </w:rPr>
      </w:pPr>
      <w:bookmarkStart w:id="50" w:name="_Toc23039"/>
      <w:bookmarkStart w:id="51" w:name="_Toc17581"/>
      <w:bookmarkStart w:id="52" w:name="_Toc2286"/>
      <w:r>
        <w:rPr>
          <w:sz w:val="24"/>
        </w:rPr>
        <w:t>（</w:t>
      </w:r>
      <w:r>
        <w:rPr>
          <w:sz w:val="24"/>
        </w:rPr>
        <w:t>1</w:t>
      </w:r>
      <w:r>
        <w:rPr>
          <w:sz w:val="24"/>
        </w:rPr>
        <w:t>）危险物质及工艺系统危险性（</w:t>
      </w:r>
      <w:r>
        <w:rPr>
          <w:sz w:val="24"/>
        </w:rPr>
        <w:t>P</w:t>
      </w:r>
      <w:r>
        <w:rPr>
          <w:sz w:val="24"/>
        </w:rPr>
        <w:t>）分级</w:t>
      </w:r>
      <w:bookmarkEnd w:id="50"/>
      <w:bookmarkEnd w:id="51"/>
      <w:bookmarkEnd w:id="52"/>
    </w:p>
    <w:p w14:paraId="60CC8687"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根据《建设项目环境风险评价技术导则》（</w:t>
      </w:r>
      <w:r>
        <w:rPr>
          <w:rFonts w:ascii="Times New Roman" w:hAnsi="Times New Roman" w:cs="Times New Roman"/>
        </w:rPr>
        <w:t>HJ169-2018</w:t>
      </w:r>
      <w:r>
        <w:rPr>
          <w:rFonts w:ascii="Times New Roman" w:hAnsiTheme="minorEastAsia" w:cs="Times New Roman"/>
        </w:rPr>
        <w:t>）附录</w:t>
      </w:r>
      <w:r>
        <w:rPr>
          <w:rFonts w:ascii="Times New Roman" w:hAnsi="Times New Roman" w:cs="Times New Roman"/>
        </w:rPr>
        <w:t>B</w:t>
      </w:r>
      <w:r>
        <w:rPr>
          <w:rFonts w:ascii="Times New Roman" w:hAnsiTheme="minorEastAsia" w:cs="Times New Roman"/>
        </w:rPr>
        <w:t>，本项目主要风险物质为</w:t>
      </w:r>
      <w:r>
        <w:rPr>
          <w:rFonts w:ascii="Times New Roman" w:hAnsiTheme="minorEastAsia" w:cs="Times New Roman" w:hint="eastAsia"/>
        </w:rPr>
        <w:t>次氯酸钠</w:t>
      </w:r>
      <w:r>
        <w:rPr>
          <w:rFonts w:ascii="Times New Roman" w:hAnsiTheme="minorEastAsia" w:cs="Times New Roman"/>
        </w:rPr>
        <w:t>。</w:t>
      </w:r>
    </w:p>
    <w:p w14:paraId="2151DDA2"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计算所涉及的每种危险物质在</w:t>
      </w:r>
      <w:r>
        <w:rPr>
          <w:rFonts w:ascii="Times New Roman" w:hAnsiTheme="minorEastAsia" w:cs="Times New Roman" w:hint="eastAsia"/>
        </w:rPr>
        <w:t>厂</w:t>
      </w:r>
      <w:r>
        <w:rPr>
          <w:rFonts w:ascii="Times New Roman" w:hAnsiTheme="minorEastAsia" w:cs="Times New Roman"/>
        </w:rPr>
        <w:t>界内的最大存在总量与其在附录</w:t>
      </w:r>
      <w:r>
        <w:rPr>
          <w:rFonts w:ascii="Times New Roman" w:hAnsi="Times New Roman" w:cs="Times New Roman"/>
        </w:rPr>
        <w:t>B</w:t>
      </w:r>
      <w:r>
        <w:rPr>
          <w:rFonts w:ascii="Times New Roman" w:hAnsiTheme="minorEastAsia" w:cs="Times New Roman"/>
        </w:rPr>
        <w:t>中对应临界量的比值</w:t>
      </w:r>
      <w:r>
        <w:rPr>
          <w:rFonts w:ascii="Times New Roman" w:hAnsi="Times New Roman" w:cs="Times New Roman"/>
        </w:rPr>
        <w:t>Q</w:t>
      </w:r>
      <w:r>
        <w:rPr>
          <w:rFonts w:ascii="Times New Roman" w:hAnsiTheme="minorEastAsia" w:cs="Times New Roman"/>
        </w:rPr>
        <w:t>。</w:t>
      </w:r>
    </w:p>
    <w:p w14:paraId="5CB05B9A"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当只涉及一种危险物质时，计算该物质的总量与其临界量比值，即为</w:t>
      </w:r>
      <w:r>
        <w:rPr>
          <w:rFonts w:ascii="Times New Roman" w:hAnsi="Times New Roman" w:cs="Times New Roman"/>
        </w:rPr>
        <w:t>Q</w:t>
      </w:r>
      <w:r>
        <w:rPr>
          <w:rFonts w:ascii="Times New Roman" w:hAnsiTheme="minorEastAsia" w:cs="Times New Roman"/>
        </w:rPr>
        <w:t>；</w:t>
      </w:r>
    </w:p>
    <w:p w14:paraId="74B71548"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当存在多种危险物质时，则按下式计算物质总量与其临界量比值（</w:t>
      </w:r>
      <w:r>
        <w:rPr>
          <w:rFonts w:ascii="Times New Roman" w:hAnsi="Times New Roman" w:cs="Times New Roman"/>
        </w:rPr>
        <w:t>Q</w:t>
      </w:r>
      <w:r>
        <w:rPr>
          <w:rFonts w:ascii="Times New Roman" w:hAnsiTheme="minorEastAsia" w:cs="Times New Roman"/>
        </w:rPr>
        <w:t>）：</w:t>
      </w:r>
    </w:p>
    <w:p w14:paraId="2EB87267" w14:textId="77777777" w:rsidR="00B14D53" w:rsidRDefault="00000000">
      <w:pPr>
        <w:pStyle w:val="afff"/>
        <w:adjustRightInd/>
        <w:snapToGrid/>
        <w:jc w:val="center"/>
        <w:rPr>
          <w:rFonts w:ascii="Times New Roman" w:hAnsi="Times New Roman" w:cs="Times New Roman"/>
        </w:rPr>
      </w:pPr>
      <w:r>
        <w:rPr>
          <w:rFonts w:ascii="Times New Roman" w:hAnsi="Times New Roman" w:cs="Times New Roman"/>
          <w:noProof/>
        </w:rPr>
        <w:drawing>
          <wp:inline distT="0" distB="0" distL="0" distR="0" wp14:anchorId="1BCD88D5" wp14:editId="3707098E">
            <wp:extent cx="1941195" cy="511810"/>
            <wp:effectExtent l="19050" t="0" r="1677" b="0"/>
            <wp:docPr id="14" name="图片 12" descr="155382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1553825092(1)"/>
                    <pic:cNvPicPr>
                      <a:picLocks noChangeAspect="1" noChangeArrowheads="1"/>
                    </pic:cNvPicPr>
                  </pic:nvPicPr>
                  <pic:blipFill>
                    <a:blip r:embed="rId17" cstate="print"/>
                    <a:srcRect r="44174"/>
                    <a:stretch>
                      <a:fillRect/>
                    </a:stretch>
                  </pic:blipFill>
                  <pic:spPr>
                    <a:xfrm>
                      <a:off x="0" y="0"/>
                      <a:ext cx="1941423" cy="512064"/>
                    </a:xfrm>
                    <a:prstGeom prst="rect">
                      <a:avLst/>
                    </a:prstGeom>
                    <a:noFill/>
                    <a:ln w="9525">
                      <a:noFill/>
                      <a:miter lim="800000"/>
                      <a:headEnd/>
                      <a:tailEnd/>
                    </a:ln>
                  </pic:spPr>
                </pic:pic>
              </a:graphicData>
            </a:graphic>
          </wp:inline>
        </w:drawing>
      </w:r>
    </w:p>
    <w:p w14:paraId="7509AE02"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式中：</w:t>
      </w:r>
      <w:r>
        <w:rPr>
          <w:rFonts w:ascii="Times New Roman" w:hAnsi="Times New Roman" w:cs="Times New Roman"/>
          <w:i/>
        </w:rPr>
        <w:t>q</w:t>
      </w:r>
      <w:r>
        <w:rPr>
          <w:rFonts w:ascii="Times New Roman" w:hAnsi="Times New Roman" w:cs="Times New Roman"/>
          <w:vertAlign w:val="subscript"/>
        </w:rPr>
        <w:t>1</w:t>
      </w:r>
      <w:r>
        <w:rPr>
          <w:rFonts w:ascii="Times New Roman" w:hAnsiTheme="minorEastAsia"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heme="minorEastAsia" w:cs="Times New Roman"/>
        </w:rPr>
        <w:t>，</w:t>
      </w:r>
      <w:r>
        <w:rPr>
          <w:rFonts w:ascii="Times New Roman" w:hAnsi="Times New Roman" w:cs="Times New Roman"/>
        </w:rPr>
        <w:t>...</w:t>
      </w:r>
      <w:r>
        <w:rPr>
          <w:rFonts w:ascii="Times New Roman" w:hAnsiTheme="minorEastAsia" w:cs="Times New Roman"/>
        </w:rPr>
        <w:t>，</w:t>
      </w:r>
      <w:r>
        <w:rPr>
          <w:rFonts w:ascii="Times New Roman" w:hAnsi="Times New Roman" w:cs="Times New Roman"/>
          <w:i/>
        </w:rPr>
        <w:t>q</w:t>
      </w:r>
      <w:r>
        <w:rPr>
          <w:rFonts w:ascii="Times New Roman" w:hAnsi="Times New Roman" w:cs="Times New Roman"/>
          <w:vertAlign w:val="subscript"/>
        </w:rPr>
        <w:t>n</w:t>
      </w:r>
      <w:r>
        <w:rPr>
          <w:rFonts w:ascii="Times New Roman" w:hAnsi="Times New Roman" w:cs="Times New Roman"/>
        </w:rPr>
        <w:t>——</w:t>
      </w:r>
      <w:r>
        <w:rPr>
          <w:rFonts w:ascii="Times New Roman" w:hAnsiTheme="minorEastAsia" w:cs="Times New Roman"/>
        </w:rPr>
        <w:t>每种危险物质的最大存在总量，</w:t>
      </w:r>
      <w:r>
        <w:rPr>
          <w:rFonts w:ascii="Times New Roman" w:hAnsi="Times New Roman" w:cs="Times New Roman"/>
        </w:rPr>
        <w:t>t</w:t>
      </w:r>
      <w:r>
        <w:rPr>
          <w:rFonts w:ascii="Times New Roman" w:hAnsiTheme="minorEastAsia" w:cs="Times New Roman"/>
        </w:rPr>
        <w:t>；</w:t>
      </w:r>
    </w:p>
    <w:p w14:paraId="0F6585B4" w14:textId="77777777" w:rsidR="00B14D53" w:rsidRDefault="00000000">
      <w:pPr>
        <w:pStyle w:val="afff"/>
        <w:adjustRightInd/>
        <w:snapToGrid/>
        <w:jc w:val="both"/>
        <w:rPr>
          <w:rFonts w:ascii="Times New Roman" w:hAnsi="Times New Roman" w:cs="Times New Roman"/>
        </w:rPr>
      </w:pPr>
      <w:r>
        <w:rPr>
          <w:rFonts w:ascii="Times New Roman" w:hAnsi="Times New Roman" w:cs="Times New Roman"/>
          <w:i/>
        </w:rPr>
        <w:t>Q</w:t>
      </w:r>
      <w:r>
        <w:rPr>
          <w:rFonts w:ascii="Times New Roman" w:hAnsi="Times New Roman" w:cs="Times New Roman"/>
          <w:vertAlign w:val="subscript"/>
        </w:rPr>
        <w:t>1</w:t>
      </w:r>
      <w:r>
        <w:rPr>
          <w:rFonts w:ascii="Times New Roman" w:hAnsiTheme="minorEastAsia"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heme="minorEastAsia" w:cs="Times New Roman"/>
        </w:rPr>
        <w:t>，</w:t>
      </w:r>
      <w:r>
        <w:rPr>
          <w:rFonts w:ascii="Times New Roman" w:hAnsi="Times New Roman" w:cs="Times New Roman"/>
        </w:rPr>
        <w:t>...</w:t>
      </w:r>
      <w:r>
        <w:rPr>
          <w:rFonts w:ascii="Times New Roman" w:hAnsiTheme="minorEastAsia" w:cs="Times New Roman"/>
        </w:rPr>
        <w:t>，</w:t>
      </w:r>
      <w:r>
        <w:rPr>
          <w:rFonts w:ascii="Times New Roman" w:hAnsi="Times New Roman" w:cs="Times New Roman"/>
          <w:i/>
        </w:rPr>
        <w:t>Q</w:t>
      </w:r>
      <w:r>
        <w:rPr>
          <w:rFonts w:ascii="Times New Roman" w:hAnsi="Times New Roman" w:cs="Times New Roman"/>
          <w:vertAlign w:val="subscript"/>
        </w:rPr>
        <w:t>n</w:t>
      </w:r>
      <w:r>
        <w:rPr>
          <w:rFonts w:ascii="Times New Roman" w:hAnsi="Times New Roman" w:cs="Times New Roman"/>
        </w:rPr>
        <w:t>——</w:t>
      </w:r>
      <w:r>
        <w:rPr>
          <w:rFonts w:ascii="Times New Roman" w:hAnsiTheme="minorEastAsia" w:cs="Times New Roman"/>
        </w:rPr>
        <w:t>每种危险物质的临界量，</w:t>
      </w:r>
      <w:r>
        <w:rPr>
          <w:rFonts w:ascii="Times New Roman" w:hAnsi="Times New Roman" w:cs="Times New Roman"/>
        </w:rPr>
        <w:t>t</w:t>
      </w:r>
      <w:r>
        <w:rPr>
          <w:rFonts w:ascii="Times New Roman" w:hAnsiTheme="minorEastAsia" w:cs="Times New Roman"/>
        </w:rPr>
        <w:t>。</w:t>
      </w:r>
    </w:p>
    <w:p w14:paraId="44C71159"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当</w:t>
      </w:r>
      <w:r>
        <w:rPr>
          <w:rFonts w:ascii="Times New Roman" w:hAnsi="Times New Roman" w:cs="Times New Roman"/>
          <w:i/>
        </w:rPr>
        <w:t>Q</w:t>
      </w:r>
      <w:r>
        <w:rPr>
          <w:rFonts w:ascii="Times New Roman" w:hAnsiTheme="minorEastAsia" w:cs="Times New Roman"/>
        </w:rPr>
        <w:t>＜</w:t>
      </w:r>
      <w:r>
        <w:rPr>
          <w:rFonts w:ascii="Times New Roman" w:hAnsi="Times New Roman" w:cs="Times New Roman"/>
        </w:rPr>
        <w:t>1</w:t>
      </w:r>
      <w:r>
        <w:rPr>
          <w:rFonts w:ascii="Times New Roman" w:hAnsiTheme="minorEastAsia" w:cs="Times New Roman"/>
        </w:rPr>
        <w:t>时，该项目环境风险潜势为Ⅰ。</w:t>
      </w:r>
    </w:p>
    <w:p w14:paraId="23F15DB3"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当</w:t>
      </w:r>
      <w:r>
        <w:rPr>
          <w:rFonts w:ascii="Times New Roman" w:hAnsi="Times New Roman" w:cs="Times New Roman"/>
          <w:i/>
        </w:rPr>
        <w:t>Q</w:t>
      </w:r>
      <w:r>
        <w:rPr>
          <w:rFonts w:ascii="Times New Roman" w:hAnsi="Times New Roman" w:cs="Times New Roman"/>
        </w:rPr>
        <w:t>≥1</w:t>
      </w:r>
      <w:r>
        <w:rPr>
          <w:rFonts w:ascii="Times New Roman" w:hAnsiTheme="minorEastAsia" w:cs="Times New Roman"/>
        </w:rPr>
        <w:t>时，将</w:t>
      </w:r>
      <w:r>
        <w:rPr>
          <w:rFonts w:ascii="Times New Roman" w:hAnsi="Times New Roman" w:cs="Times New Roman"/>
          <w:i/>
        </w:rPr>
        <w:t>Q</w:t>
      </w:r>
      <w:r>
        <w:rPr>
          <w:rFonts w:ascii="Times New Roman" w:hAnsiTheme="minorEastAsia" w:cs="Times New Roman"/>
        </w:rPr>
        <w:t>值划分为：（</w:t>
      </w:r>
      <w:r>
        <w:rPr>
          <w:rFonts w:ascii="Times New Roman" w:hAnsi="Times New Roman" w:cs="Times New Roman"/>
        </w:rPr>
        <w:t>1</w:t>
      </w:r>
      <w:r>
        <w:rPr>
          <w:rFonts w:ascii="Times New Roman" w:hAnsiTheme="minorEastAsia" w:cs="Times New Roman"/>
        </w:rPr>
        <w:t>）</w:t>
      </w:r>
      <w:r>
        <w:rPr>
          <w:rFonts w:ascii="Times New Roman" w:hAnsi="Times New Roman" w:cs="Times New Roman"/>
        </w:rPr>
        <w:t>1≤</w:t>
      </w:r>
      <w:r>
        <w:rPr>
          <w:rFonts w:ascii="Times New Roman" w:hAnsi="Times New Roman" w:cs="Times New Roman"/>
          <w:i/>
        </w:rPr>
        <w:t>Q</w:t>
      </w:r>
      <w:r>
        <w:rPr>
          <w:rFonts w:ascii="Times New Roman" w:hAnsiTheme="minorEastAsia" w:cs="Times New Roman"/>
        </w:rPr>
        <w:t>＜</w:t>
      </w:r>
      <w:r>
        <w:rPr>
          <w:rFonts w:ascii="Times New Roman" w:hAnsi="Times New Roman" w:cs="Times New Roman"/>
        </w:rPr>
        <w:t>10</w:t>
      </w:r>
      <w:r>
        <w:rPr>
          <w:rFonts w:ascii="Times New Roman" w:hAnsiTheme="minorEastAsia" w:cs="Times New Roman"/>
        </w:rPr>
        <w:t>；（</w:t>
      </w:r>
      <w:r>
        <w:rPr>
          <w:rFonts w:ascii="Times New Roman" w:hAnsi="Times New Roman" w:cs="Times New Roman"/>
        </w:rPr>
        <w:t>2</w:t>
      </w:r>
      <w:r>
        <w:rPr>
          <w:rFonts w:ascii="Times New Roman" w:hAnsiTheme="minorEastAsia" w:cs="Times New Roman"/>
        </w:rPr>
        <w:t>）</w:t>
      </w:r>
      <w:r>
        <w:rPr>
          <w:rFonts w:ascii="Times New Roman" w:hAnsi="Times New Roman" w:cs="Times New Roman"/>
        </w:rPr>
        <w:t>10≤</w:t>
      </w:r>
      <w:r>
        <w:rPr>
          <w:rFonts w:ascii="Times New Roman" w:hAnsi="Times New Roman" w:cs="Times New Roman"/>
          <w:i/>
        </w:rPr>
        <w:t>Q</w:t>
      </w:r>
      <w:r>
        <w:rPr>
          <w:rFonts w:ascii="Times New Roman" w:hAnsiTheme="minorEastAsia" w:cs="Times New Roman"/>
        </w:rPr>
        <w:t>＜</w:t>
      </w:r>
      <w:r>
        <w:rPr>
          <w:rFonts w:ascii="Times New Roman" w:hAnsi="Times New Roman" w:cs="Times New Roman"/>
        </w:rPr>
        <w:t>100</w:t>
      </w:r>
      <w:r>
        <w:rPr>
          <w:rFonts w:ascii="Times New Roman" w:hAnsiTheme="minorEastAsia" w:cs="Times New Roman"/>
        </w:rPr>
        <w:t>；（</w:t>
      </w:r>
      <w:r>
        <w:rPr>
          <w:rFonts w:ascii="Times New Roman" w:hAnsi="Times New Roman" w:cs="Times New Roman"/>
        </w:rPr>
        <w:t>3</w:t>
      </w:r>
      <w:r>
        <w:rPr>
          <w:rFonts w:ascii="Times New Roman" w:hAnsiTheme="minorEastAsia" w:cs="Times New Roman"/>
        </w:rPr>
        <w:t>）</w:t>
      </w:r>
      <w:r>
        <w:rPr>
          <w:rFonts w:ascii="Times New Roman" w:hAnsi="Times New Roman" w:cs="Times New Roman"/>
          <w:i/>
        </w:rPr>
        <w:t>Q</w:t>
      </w:r>
      <w:r>
        <w:rPr>
          <w:rFonts w:ascii="Times New Roman" w:hAnsi="Times New Roman" w:cs="Times New Roman"/>
        </w:rPr>
        <w:t>≥100</w:t>
      </w:r>
      <w:r>
        <w:rPr>
          <w:rFonts w:ascii="Times New Roman" w:hAnsiTheme="minorEastAsia" w:cs="Times New Roman"/>
        </w:rPr>
        <w:t>。</w:t>
      </w:r>
    </w:p>
    <w:p w14:paraId="7DA451BF"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本项目</w:t>
      </w:r>
      <w:r>
        <w:rPr>
          <w:rFonts w:ascii="Times New Roman" w:hAnsiTheme="minorEastAsia" w:cs="Times New Roman" w:hint="eastAsia"/>
        </w:rPr>
        <w:t>厂</w:t>
      </w:r>
      <w:r>
        <w:rPr>
          <w:rFonts w:ascii="Times New Roman" w:hAnsiTheme="minorEastAsia" w:cs="Times New Roman"/>
        </w:rPr>
        <w:t>区内</w:t>
      </w:r>
      <w:r>
        <w:rPr>
          <w:rFonts w:ascii="Times New Roman" w:hAnsiTheme="minorEastAsia" w:cs="Times New Roman" w:hint="eastAsia"/>
        </w:rPr>
        <w:t>次氯化钠最大存储量为</w:t>
      </w:r>
      <w:r>
        <w:rPr>
          <w:rFonts w:ascii="Times New Roman" w:hAnsiTheme="minorEastAsia" w:cs="Times New Roman" w:hint="eastAsia"/>
        </w:rPr>
        <w:t>0.5t</w:t>
      </w:r>
      <w:r>
        <w:rPr>
          <w:rFonts w:ascii="Times New Roman" w:hAnsiTheme="minorEastAsia" w:cs="Times New Roman" w:hint="eastAsia"/>
        </w:rPr>
        <w:t>，</w:t>
      </w:r>
      <w:r>
        <w:rPr>
          <w:rFonts w:ascii="Times New Roman" w:hAnsiTheme="minorEastAsia" w:cs="Times New Roman"/>
        </w:rPr>
        <w:t>小于</w:t>
      </w:r>
      <w:r>
        <w:rPr>
          <w:rFonts w:ascii="Times New Roman" w:hAnsi="Times New Roman" w:cs="Times New Roman"/>
        </w:rPr>
        <w:t>t</w:t>
      </w:r>
      <w:r>
        <w:rPr>
          <w:rFonts w:ascii="Times New Roman" w:hAnsiTheme="minorEastAsia" w:cs="Times New Roman"/>
        </w:rPr>
        <w:t>（临界量），因此根据以上分析，项目</w:t>
      </w:r>
      <w:r>
        <w:rPr>
          <w:rFonts w:ascii="Times New Roman" w:hAnsi="Times New Roman" w:cs="Times New Roman"/>
        </w:rPr>
        <w:t>Q</w:t>
      </w:r>
      <w:r>
        <w:rPr>
          <w:rFonts w:ascii="Times New Roman" w:hAnsiTheme="minorEastAsia" w:cs="Times New Roman"/>
        </w:rPr>
        <w:t>值小于</w:t>
      </w:r>
      <w:r>
        <w:rPr>
          <w:rFonts w:ascii="Times New Roman" w:hAnsi="Times New Roman" w:cs="Times New Roman"/>
        </w:rPr>
        <w:t>1</w:t>
      </w:r>
      <w:r>
        <w:rPr>
          <w:rFonts w:ascii="Times New Roman" w:hAnsiTheme="minorEastAsia" w:cs="Times New Roman"/>
        </w:rPr>
        <w:t>，故环境风险潜势为</w:t>
      </w:r>
      <w:r>
        <w:rPr>
          <w:rFonts w:ascii="Times New Roman" w:hAnsi="Times New Roman" w:cs="Times New Roman"/>
        </w:rPr>
        <w:fldChar w:fldCharType="begin"/>
      </w:r>
      <w:r>
        <w:rPr>
          <w:rFonts w:ascii="Times New Roman" w:hAnsi="Times New Roman" w:cs="Times New Roman"/>
        </w:rPr>
        <w:instrText xml:space="preserve"> = 1 \* ROMAN </w:instrText>
      </w:r>
      <w:r>
        <w:rPr>
          <w:rFonts w:ascii="Times New Roman" w:hAnsi="Times New Roman" w:cs="Times New Roman"/>
        </w:rPr>
        <w:fldChar w:fldCharType="separate"/>
      </w:r>
      <w:r>
        <w:rPr>
          <w:rFonts w:ascii="Times New Roman" w:hAnsi="Times New Roman" w:cs="Times New Roman"/>
        </w:rPr>
        <w:t>I</w:t>
      </w:r>
      <w:r>
        <w:rPr>
          <w:rFonts w:ascii="Times New Roman" w:hAnsi="Times New Roman" w:cs="Times New Roman"/>
        </w:rPr>
        <w:fldChar w:fldCharType="end"/>
      </w:r>
      <w:r>
        <w:rPr>
          <w:rFonts w:ascii="Times New Roman" w:hAnsiTheme="minorEastAsia" w:cs="Times New Roman"/>
        </w:rPr>
        <w:t>。</w:t>
      </w:r>
    </w:p>
    <w:p w14:paraId="23E115A8" w14:textId="77777777" w:rsidR="00B14D53" w:rsidRDefault="00000000">
      <w:pPr>
        <w:jc w:val="center"/>
        <w:rPr>
          <w:b/>
          <w:bCs/>
        </w:rPr>
      </w:pPr>
      <w:r>
        <w:rPr>
          <w:rFonts w:hint="eastAsia"/>
          <w:b/>
          <w:bCs/>
        </w:rPr>
        <w:t>表</w:t>
      </w:r>
      <w:r>
        <w:rPr>
          <w:rFonts w:hint="eastAsia"/>
          <w:b/>
          <w:bCs/>
        </w:rPr>
        <w:t xml:space="preserve">2-4-10 </w:t>
      </w:r>
      <w:r>
        <w:rPr>
          <w:rFonts w:hint="eastAsia"/>
          <w:b/>
          <w:bCs/>
        </w:rPr>
        <w:t>项目危险物质存储情况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5"/>
        <w:gridCol w:w="2211"/>
        <w:gridCol w:w="1518"/>
        <w:gridCol w:w="1987"/>
        <w:gridCol w:w="1655"/>
      </w:tblGrid>
      <w:tr w:rsidR="00B14D53" w14:paraId="1249C5AF" w14:textId="77777777">
        <w:tc>
          <w:tcPr>
            <w:tcW w:w="563" w:type="pct"/>
            <w:vAlign w:val="center"/>
          </w:tcPr>
          <w:p w14:paraId="0D089EE2"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序号</w:t>
            </w:r>
          </w:p>
        </w:tc>
        <w:tc>
          <w:tcPr>
            <w:tcW w:w="1331" w:type="pct"/>
            <w:vAlign w:val="center"/>
          </w:tcPr>
          <w:p w14:paraId="1EC3F734"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物质名称</w:t>
            </w:r>
          </w:p>
        </w:tc>
        <w:tc>
          <w:tcPr>
            <w:tcW w:w="914" w:type="pct"/>
            <w:vAlign w:val="center"/>
          </w:tcPr>
          <w:p w14:paraId="5EEF5B15"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临界量（</w:t>
            </w:r>
            <w:r>
              <w:rPr>
                <w:rFonts w:eastAsiaTheme="minorEastAsia" w:hAnsi="Times New Roman"/>
                <w:b/>
                <w:bCs/>
                <w:snapToGrid w:val="0"/>
                <w:szCs w:val="22"/>
              </w:rPr>
              <w:t>t</w:t>
            </w:r>
            <w:r>
              <w:rPr>
                <w:rFonts w:eastAsiaTheme="minorEastAsia"/>
                <w:b/>
                <w:bCs/>
                <w:snapToGrid w:val="0"/>
                <w:szCs w:val="22"/>
              </w:rPr>
              <w:t>）</w:t>
            </w:r>
          </w:p>
        </w:tc>
        <w:tc>
          <w:tcPr>
            <w:tcW w:w="1196" w:type="pct"/>
            <w:vAlign w:val="center"/>
          </w:tcPr>
          <w:p w14:paraId="1F8622A0"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单元实际储存量（</w:t>
            </w:r>
            <w:r>
              <w:rPr>
                <w:rFonts w:eastAsiaTheme="minorEastAsia" w:hAnsi="Times New Roman"/>
                <w:b/>
                <w:bCs/>
                <w:snapToGrid w:val="0"/>
                <w:szCs w:val="22"/>
              </w:rPr>
              <w:t>t</w:t>
            </w:r>
            <w:r>
              <w:rPr>
                <w:rFonts w:eastAsiaTheme="minorEastAsia"/>
                <w:b/>
                <w:bCs/>
                <w:snapToGrid w:val="0"/>
                <w:szCs w:val="22"/>
              </w:rPr>
              <w:t>）</w:t>
            </w:r>
          </w:p>
        </w:tc>
        <w:tc>
          <w:tcPr>
            <w:tcW w:w="996" w:type="pct"/>
            <w:vAlign w:val="center"/>
          </w:tcPr>
          <w:p w14:paraId="77EB2079"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q/Q</w:t>
            </w:r>
          </w:p>
        </w:tc>
      </w:tr>
      <w:tr w:rsidR="00B14D53" w14:paraId="17B11B53" w14:textId="77777777">
        <w:tc>
          <w:tcPr>
            <w:tcW w:w="563" w:type="pct"/>
            <w:vAlign w:val="center"/>
          </w:tcPr>
          <w:p w14:paraId="33318AA4"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w:t>
            </w:r>
          </w:p>
        </w:tc>
        <w:tc>
          <w:tcPr>
            <w:tcW w:w="1331" w:type="pct"/>
            <w:vAlign w:val="center"/>
          </w:tcPr>
          <w:p w14:paraId="0EA074AC"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hint="eastAsia"/>
                <w:snapToGrid w:val="0"/>
                <w:szCs w:val="22"/>
              </w:rPr>
              <w:t>次氯酸钠</w:t>
            </w:r>
          </w:p>
        </w:tc>
        <w:tc>
          <w:tcPr>
            <w:tcW w:w="914" w:type="pct"/>
            <w:vAlign w:val="center"/>
          </w:tcPr>
          <w:p w14:paraId="3CA89BB6"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hint="eastAsia"/>
                <w:snapToGrid w:val="0"/>
                <w:szCs w:val="22"/>
              </w:rPr>
              <w:t>5</w:t>
            </w:r>
          </w:p>
        </w:tc>
        <w:tc>
          <w:tcPr>
            <w:tcW w:w="1196" w:type="pct"/>
            <w:vAlign w:val="center"/>
          </w:tcPr>
          <w:p w14:paraId="2B6A7BEC"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w:t>
            </w:r>
            <w:r>
              <w:rPr>
                <w:rFonts w:eastAsiaTheme="minorEastAsia" w:hAnsi="Times New Roman" w:hint="eastAsia"/>
                <w:snapToGrid w:val="0"/>
                <w:szCs w:val="22"/>
              </w:rPr>
              <w:t>5</w:t>
            </w:r>
          </w:p>
        </w:tc>
        <w:tc>
          <w:tcPr>
            <w:tcW w:w="996" w:type="pct"/>
            <w:vAlign w:val="center"/>
          </w:tcPr>
          <w:p w14:paraId="2F20C84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w:t>
            </w:r>
            <w:r>
              <w:rPr>
                <w:rFonts w:eastAsiaTheme="minorEastAsia" w:hAnsi="Times New Roman" w:hint="eastAsia"/>
                <w:snapToGrid w:val="0"/>
                <w:szCs w:val="22"/>
              </w:rPr>
              <w:t>1</w:t>
            </w:r>
          </w:p>
        </w:tc>
      </w:tr>
    </w:tbl>
    <w:p w14:paraId="00720178" w14:textId="77777777" w:rsidR="00B14D53" w:rsidRDefault="00000000">
      <w:pPr>
        <w:pStyle w:val="afff"/>
        <w:jc w:val="both"/>
        <w:rPr>
          <w:rFonts w:ascii="Times New Roman" w:hAnsi="Times New Roman" w:cs="Times New Roman"/>
        </w:rPr>
      </w:pPr>
      <w:r>
        <w:rPr>
          <w:rFonts w:ascii="Times New Roman" w:hAnsiTheme="minorEastAsia" w:cs="Times New Roman"/>
        </w:rPr>
        <w:t>（</w:t>
      </w:r>
      <w:r>
        <w:rPr>
          <w:rFonts w:ascii="Times New Roman" w:hAnsi="Times New Roman" w:cs="Times New Roman"/>
        </w:rPr>
        <w:t>3</w:t>
      </w:r>
      <w:r>
        <w:rPr>
          <w:rFonts w:ascii="Times New Roman" w:hAnsiTheme="minorEastAsia" w:cs="Times New Roman"/>
        </w:rPr>
        <w:t>）评价等级</w:t>
      </w:r>
    </w:p>
    <w:p w14:paraId="30AF028E" w14:textId="77777777" w:rsidR="00B14D53" w:rsidRDefault="00000000">
      <w:pPr>
        <w:pStyle w:val="afff"/>
        <w:jc w:val="both"/>
        <w:rPr>
          <w:rFonts w:ascii="Times New Roman" w:hAnsi="Times New Roman" w:cs="Times New Roman"/>
        </w:rPr>
      </w:pPr>
      <w:r>
        <w:rPr>
          <w:rFonts w:ascii="Times New Roman" w:hAnsiTheme="minorEastAsia" w:cs="Times New Roman"/>
        </w:rPr>
        <w:t>环境风险评价工作等级划分为一级、二级、三级。根据建设项目涉及的物质及工艺系统危险性和所在地的环境敏感性确定环境风险潜势，按照下表确定评价工作等级。</w:t>
      </w:r>
    </w:p>
    <w:p w14:paraId="4501D0A3" w14:textId="77777777" w:rsidR="00B14D53" w:rsidRDefault="00000000">
      <w:pPr>
        <w:jc w:val="center"/>
        <w:rPr>
          <w:b/>
          <w:bCs/>
        </w:rPr>
      </w:pPr>
      <w:r>
        <w:rPr>
          <w:rFonts w:hint="eastAsia"/>
          <w:b/>
          <w:bCs/>
        </w:rPr>
        <w:t>表</w:t>
      </w:r>
      <w:r>
        <w:rPr>
          <w:rFonts w:hint="eastAsia"/>
          <w:b/>
          <w:bCs/>
        </w:rPr>
        <w:t xml:space="preserve">2-4-11 </w:t>
      </w:r>
      <w:r>
        <w:rPr>
          <w:rFonts w:hint="eastAsia"/>
          <w:b/>
          <w:bCs/>
        </w:rPr>
        <w:t>环境风险评价工作等级划分</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42"/>
        <w:gridCol w:w="1766"/>
        <w:gridCol w:w="1578"/>
        <w:gridCol w:w="1578"/>
        <w:gridCol w:w="1842"/>
      </w:tblGrid>
      <w:tr w:rsidR="00B14D53" w14:paraId="713FA21A" w14:textId="77777777">
        <w:tc>
          <w:tcPr>
            <w:tcW w:w="928" w:type="pct"/>
          </w:tcPr>
          <w:p w14:paraId="71ADD464" w14:textId="77777777" w:rsidR="00B14D53" w:rsidRDefault="00000000">
            <w:pPr>
              <w:pStyle w:val="afff2"/>
              <w:spacing w:line="240" w:lineRule="auto"/>
              <w:rPr>
                <w:rFonts w:eastAsiaTheme="minorEastAsia" w:hAnsi="Times New Roman"/>
                <w:b/>
                <w:bCs/>
              </w:rPr>
            </w:pPr>
            <w:r>
              <w:rPr>
                <w:rFonts w:eastAsiaTheme="minorEastAsia"/>
                <w:b/>
                <w:bCs/>
              </w:rPr>
              <w:t>环境风险潜势</w:t>
            </w:r>
          </w:p>
        </w:tc>
        <w:tc>
          <w:tcPr>
            <w:tcW w:w="1063" w:type="pct"/>
          </w:tcPr>
          <w:p w14:paraId="34B9FA50" w14:textId="77777777" w:rsidR="00B14D53" w:rsidRDefault="00000000">
            <w:pPr>
              <w:pStyle w:val="afff2"/>
              <w:spacing w:line="240" w:lineRule="auto"/>
              <w:rPr>
                <w:rFonts w:eastAsiaTheme="minorEastAsia" w:hAnsi="Times New Roman"/>
                <w:b/>
                <w:bCs/>
              </w:rPr>
            </w:pPr>
            <w:r>
              <w:rPr>
                <w:rFonts w:eastAsiaTheme="minorEastAsia" w:hAnsi="Times New Roman"/>
                <w:b/>
                <w:bCs/>
              </w:rPr>
              <w:fldChar w:fldCharType="begin"/>
            </w:r>
            <w:r>
              <w:rPr>
                <w:rFonts w:eastAsiaTheme="minorEastAsia" w:hAnsi="Times New Roman"/>
                <w:b/>
                <w:bCs/>
              </w:rPr>
              <w:instrText xml:space="preserve"> = 4 \* ROMAN </w:instrText>
            </w:r>
            <w:r>
              <w:rPr>
                <w:rFonts w:eastAsiaTheme="minorEastAsia" w:hAnsi="Times New Roman"/>
                <w:b/>
                <w:bCs/>
              </w:rPr>
              <w:fldChar w:fldCharType="separate"/>
            </w:r>
            <w:r>
              <w:rPr>
                <w:rFonts w:eastAsiaTheme="minorEastAsia" w:hAnsi="Times New Roman"/>
                <w:b/>
                <w:bCs/>
              </w:rPr>
              <w:t>IV</w:t>
            </w:r>
            <w:r>
              <w:rPr>
                <w:rFonts w:eastAsiaTheme="minorEastAsia" w:hAnsi="Times New Roman"/>
                <w:b/>
                <w:bCs/>
              </w:rPr>
              <w:fldChar w:fldCharType="end"/>
            </w:r>
            <w:r>
              <w:rPr>
                <w:rFonts w:eastAsiaTheme="minorEastAsia"/>
                <w:b/>
                <w:bCs/>
              </w:rPr>
              <w:t>、</w:t>
            </w:r>
            <w:r>
              <w:rPr>
                <w:rFonts w:eastAsiaTheme="minorEastAsia" w:hAnsi="Times New Roman"/>
                <w:b/>
                <w:bCs/>
              </w:rPr>
              <w:fldChar w:fldCharType="begin"/>
            </w:r>
            <w:r>
              <w:rPr>
                <w:rFonts w:eastAsiaTheme="minorEastAsia" w:hAnsi="Times New Roman"/>
                <w:b/>
                <w:bCs/>
              </w:rPr>
              <w:instrText xml:space="preserve"> = 4 \* ROMAN </w:instrText>
            </w:r>
            <w:r>
              <w:rPr>
                <w:rFonts w:eastAsiaTheme="minorEastAsia" w:hAnsi="Times New Roman"/>
                <w:b/>
                <w:bCs/>
              </w:rPr>
              <w:fldChar w:fldCharType="separate"/>
            </w:r>
            <w:r>
              <w:rPr>
                <w:rFonts w:eastAsiaTheme="minorEastAsia" w:hAnsi="Times New Roman"/>
                <w:b/>
                <w:bCs/>
              </w:rPr>
              <w:t>IV</w:t>
            </w:r>
            <w:r>
              <w:rPr>
                <w:rFonts w:eastAsiaTheme="minorEastAsia" w:hAnsi="Times New Roman"/>
                <w:b/>
                <w:bCs/>
              </w:rPr>
              <w:fldChar w:fldCharType="end"/>
            </w:r>
            <w:r>
              <w:rPr>
                <w:rFonts w:eastAsiaTheme="minorEastAsia" w:hAnsi="Times New Roman"/>
                <w:b/>
                <w:bCs/>
              </w:rPr>
              <w:t>*</w:t>
            </w:r>
          </w:p>
        </w:tc>
        <w:tc>
          <w:tcPr>
            <w:tcW w:w="950" w:type="pct"/>
          </w:tcPr>
          <w:p w14:paraId="5DC49DD0" w14:textId="77777777" w:rsidR="00B14D53" w:rsidRDefault="00000000">
            <w:pPr>
              <w:pStyle w:val="afff2"/>
              <w:spacing w:line="240" w:lineRule="auto"/>
              <w:rPr>
                <w:rFonts w:eastAsiaTheme="minorEastAsia" w:hAnsi="Times New Roman"/>
                <w:b/>
                <w:bCs/>
              </w:rPr>
            </w:pPr>
            <w:r>
              <w:rPr>
                <w:rFonts w:eastAsiaTheme="minorEastAsia" w:hAnsi="Times New Roman"/>
                <w:b/>
                <w:bCs/>
              </w:rPr>
              <w:fldChar w:fldCharType="begin"/>
            </w:r>
            <w:r>
              <w:rPr>
                <w:rFonts w:eastAsiaTheme="minorEastAsia" w:hAnsi="Times New Roman"/>
                <w:b/>
                <w:bCs/>
              </w:rPr>
              <w:instrText xml:space="preserve"> = 3 \* ROMAN </w:instrText>
            </w:r>
            <w:r>
              <w:rPr>
                <w:rFonts w:eastAsiaTheme="minorEastAsia" w:hAnsi="Times New Roman"/>
                <w:b/>
                <w:bCs/>
              </w:rPr>
              <w:fldChar w:fldCharType="separate"/>
            </w:r>
            <w:r>
              <w:rPr>
                <w:rFonts w:eastAsiaTheme="minorEastAsia" w:hAnsi="Times New Roman"/>
                <w:b/>
                <w:bCs/>
              </w:rPr>
              <w:t>III</w:t>
            </w:r>
            <w:r>
              <w:rPr>
                <w:rFonts w:eastAsiaTheme="minorEastAsia" w:hAnsi="Times New Roman"/>
                <w:b/>
                <w:bCs/>
              </w:rPr>
              <w:fldChar w:fldCharType="end"/>
            </w:r>
          </w:p>
        </w:tc>
        <w:tc>
          <w:tcPr>
            <w:tcW w:w="950" w:type="pct"/>
          </w:tcPr>
          <w:p w14:paraId="5AE70ABB" w14:textId="77777777" w:rsidR="00B14D53" w:rsidRDefault="00000000">
            <w:pPr>
              <w:pStyle w:val="afff2"/>
              <w:spacing w:line="240" w:lineRule="auto"/>
              <w:rPr>
                <w:rFonts w:eastAsiaTheme="minorEastAsia" w:hAnsi="Times New Roman"/>
                <w:b/>
                <w:bCs/>
              </w:rPr>
            </w:pPr>
            <w:r>
              <w:rPr>
                <w:rFonts w:eastAsiaTheme="minorEastAsia" w:hAnsi="Times New Roman"/>
                <w:b/>
                <w:bCs/>
              </w:rPr>
              <w:fldChar w:fldCharType="begin"/>
            </w:r>
            <w:r>
              <w:rPr>
                <w:rFonts w:eastAsiaTheme="minorEastAsia" w:hAnsi="Times New Roman"/>
                <w:b/>
                <w:bCs/>
              </w:rPr>
              <w:instrText xml:space="preserve"> = 2 \* ROMAN </w:instrText>
            </w:r>
            <w:r>
              <w:rPr>
                <w:rFonts w:eastAsiaTheme="minorEastAsia" w:hAnsi="Times New Roman"/>
                <w:b/>
                <w:bCs/>
              </w:rPr>
              <w:fldChar w:fldCharType="separate"/>
            </w:r>
            <w:r>
              <w:rPr>
                <w:rFonts w:eastAsiaTheme="minorEastAsia" w:hAnsi="Times New Roman"/>
                <w:b/>
                <w:bCs/>
              </w:rPr>
              <w:t>II</w:t>
            </w:r>
            <w:r>
              <w:rPr>
                <w:rFonts w:eastAsiaTheme="minorEastAsia" w:hAnsi="Times New Roman"/>
                <w:b/>
                <w:bCs/>
              </w:rPr>
              <w:fldChar w:fldCharType="end"/>
            </w:r>
          </w:p>
        </w:tc>
        <w:tc>
          <w:tcPr>
            <w:tcW w:w="1109" w:type="pct"/>
          </w:tcPr>
          <w:p w14:paraId="6C937D6D" w14:textId="77777777" w:rsidR="00B14D53" w:rsidRDefault="00000000">
            <w:pPr>
              <w:pStyle w:val="afff2"/>
              <w:spacing w:line="240" w:lineRule="auto"/>
              <w:rPr>
                <w:rFonts w:eastAsiaTheme="minorEastAsia" w:hAnsi="Times New Roman"/>
                <w:b/>
                <w:bCs/>
              </w:rPr>
            </w:pPr>
            <w:r>
              <w:rPr>
                <w:rFonts w:eastAsiaTheme="minorEastAsia" w:hAnsi="Times New Roman"/>
                <w:b/>
                <w:bCs/>
              </w:rPr>
              <w:fldChar w:fldCharType="begin"/>
            </w:r>
            <w:r>
              <w:rPr>
                <w:rFonts w:eastAsiaTheme="minorEastAsia" w:hAnsi="Times New Roman"/>
                <w:b/>
                <w:bCs/>
              </w:rPr>
              <w:instrText xml:space="preserve"> = 1 \* ROMAN </w:instrText>
            </w:r>
            <w:r>
              <w:rPr>
                <w:rFonts w:eastAsiaTheme="minorEastAsia" w:hAnsi="Times New Roman"/>
                <w:b/>
                <w:bCs/>
              </w:rPr>
              <w:fldChar w:fldCharType="separate"/>
            </w:r>
            <w:r>
              <w:rPr>
                <w:rFonts w:eastAsiaTheme="minorEastAsia" w:hAnsi="Times New Roman"/>
                <w:b/>
                <w:bCs/>
              </w:rPr>
              <w:t>I</w:t>
            </w:r>
            <w:r>
              <w:rPr>
                <w:rFonts w:eastAsiaTheme="minorEastAsia" w:hAnsi="Times New Roman"/>
                <w:b/>
                <w:bCs/>
              </w:rPr>
              <w:fldChar w:fldCharType="end"/>
            </w:r>
          </w:p>
        </w:tc>
      </w:tr>
      <w:tr w:rsidR="00B14D53" w14:paraId="6529967A" w14:textId="77777777">
        <w:tc>
          <w:tcPr>
            <w:tcW w:w="928" w:type="pct"/>
          </w:tcPr>
          <w:p w14:paraId="313AA1AD" w14:textId="77777777" w:rsidR="00B14D53" w:rsidRDefault="00000000">
            <w:pPr>
              <w:pStyle w:val="afff2"/>
              <w:spacing w:line="240" w:lineRule="auto"/>
              <w:rPr>
                <w:rFonts w:eastAsiaTheme="minorEastAsia" w:hAnsi="Times New Roman"/>
              </w:rPr>
            </w:pPr>
            <w:r>
              <w:rPr>
                <w:rFonts w:eastAsiaTheme="minorEastAsia"/>
              </w:rPr>
              <w:t>评价工作等级</w:t>
            </w:r>
          </w:p>
        </w:tc>
        <w:tc>
          <w:tcPr>
            <w:tcW w:w="1063" w:type="pct"/>
          </w:tcPr>
          <w:p w14:paraId="315948C8" w14:textId="77777777" w:rsidR="00B14D53" w:rsidRDefault="00000000">
            <w:pPr>
              <w:pStyle w:val="afff2"/>
              <w:spacing w:line="240" w:lineRule="auto"/>
              <w:rPr>
                <w:rFonts w:eastAsiaTheme="minorEastAsia" w:hAnsi="Times New Roman"/>
              </w:rPr>
            </w:pPr>
            <w:r>
              <w:rPr>
                <w:rFonts w:eastAsiaTheme="minorEastAsia"/>
              </w:rPr>
              <w:t>一</w:t>
            </w:r>
          </w:p>
        </w:tc>
        <w:tc>
          <w:tcPr>
            <w:tcW w:w="950" w:type="pct"/>
          </w:tcPr>
          <w:p w14:paraId="4949FFD1" w14:textId="77777777" w:rsidR="00B14D53" w:rsidRDefault="00000000">
            <w:pPr>
              <w:pStyle w:val="afff2"/>
              <w:spacing w:line="240" w:lineRule="auto"/>
              <w:rPr>
                <w:rFonts w:eastAsiaTheme="minorEastAsia" w:hAnsi="Times New Roman"/>
              </w:rPr>
            </w:pPr>
            <w:r>
              <w:rPr>
                <w:rFonts w:eastAsiaTheme="minorEastAsia"/>
              </w:rPr>
              <w:t>二</w:t>
            </w:r>
          </w:p>
        </w:tc>
        <w:tc>
          <w:tcPr>
            <w:tcW w:w="950" w:type="pct"/>
          </w:tcPr>
          <w:p w14:paraId="36E7C2A1" w14:textId="77777777" w:rsidR="00B14D53" w:rsidRDefault="00000000">
            <w:pPr>
              <w:pStyle w:val="afff2"/>
              <w:spacing w:line="240" w:lineRule="auto"/>
              <w:rPr>
                <w:rFonts w:eastAsiaTheme="minorEastAsia" w:hAnsi="Times New Roman"/>
              </w:rPr>
            </w:pPr>
            <w:r>
              <w:rPr>
                <w:rFonts w:eastAsiaTheme="minorEastAsia"/>
              </w:rPr>
              <w:t>三</w:t>
            </w:r>
          </w:p>
        </w:tc>
        <w:tc>
          <w:tcPr>
            <w:tcW w:w="1109" w:type="pct"/>
          </w:tcPr>
          <w:p w14:paraId="74225BD3" w14:textId="77777777" w:rsidR="00B14D53" w:rsidRDefault="00000000">
            <w:pPr>
              <w:pStyle w:val="afff2"/>
              <w:spacing w:line="240" w:lineRule="auto"/>
              <w:rPr>
                <w:rFonts w:eastAsiaTheme="minorEastAsia" w:hAnsi="Times New Roman"/>
                <w:b/>
              </w:rPr>
            </w:pPr>
            <w:r>
              <w:rPr>
                <w:rFonts w:eastAsiaTheme="minorEastAsia"/>
                <w:b/>
              </w:rPr>
              <w:t>简单分析</w:t>
            </w:r>
            <w:r>
              <w:rPr>
                <w:rFonts w:eastAsiaTheme="minorEastAsia" w:hAnsi="Times New Roman"/>
                <w:b/>
              </w:rPr>
              <w:t>*</w:t>
            </w:r>
          </w:p>
        </w:tc>
      </w:tr>
      <w:tr w:rsidR="00B14D53" w14:paraId="207F8ECF" w14:textId="77777777">
        <w:tc>
          <w:tcPr>
            <w:tcW w:w="5000" w:type="pct"/>
            <w:gridSpan w:val="5"/>
          </w:tcPr>
          <w:p w14:paraId="077EA4A9" w14:textId="77777777" w:rsidR="00B14D53" w:rsidRDefault="00000000">
            <w:pPr>
              <w:pStyle w:val="afff2"/>
              <w:spacing w:line="240" w:lineRule="auto"/>
              <w:jc w:val="both"/>
              <w:rPr>
                <w:rFonts w:eastAsiaTheme="minorEastAsia" w:hAnsi="Times New Roman"/>
              </w:rPr>
            </w:pPr>
            <w:r>
              <w:rPr>
                <w:rFonts w:eastAsiaTheme="minorEastAsia" w:hAnsi="Times New Roman"/>
              </w:rPr>
              <w:t>*</w:t>
            </w:r>
            <w:r>
              <w:rPr>
                <w:rFonts w:eastAsiaTheme="minorEastAsia"/>
              </w:rPr>
              <w:t>是相对于详细评价工作内容而言，在描述危险物质、环境影响途径、环境危害后果、风险防范措施等方面给出定性的说明。见附录</w:t>
            </w:r>
            <w:r>
              <w:rPr>
                <w:rFonts w:eastAsiaTheme="minorEastAsia" w:hAnsi="Times New Roman"/>
              </w:rPr>
              <w:t>A</w:t>
            </w:r>
          </w:p>
        </w:tc>
      </w:tr>
    </w:tbl>
    <w:p w14:paraId="58966381" w14:textId="77777777" w:rsidR="00B14D53" w:rsidRDefault="00000000">
      <w:pPr>
        <w:spacing w:line="360" w:lineRule="auto"/>
        <w:ind w:firstLineChars="200" w:firstLine="480"/>
        <w:contextualSpacing/>
        <w:jc w:val="left"/>
        <w:rPr>
          <w:rFonts w:eastAsiaTheme="minorEastAsia"/>
          <w:snapToGrid w:val="0"/>
          <w:sz w:val="24"/>
        </w:rPr>
      </w:pPr>
      <w:r>
        <w:rPr>
          <w:rFonts w:eastAsiaTheme="minorEastAsia" w:hAnsiTheme="minorEastAsia"/>
          <w:sz w:val="24"/>
        </w:rPr>
        <w:t>本项目风险潜势为</w:t>
      </w:r>
      <w:r>
        <w:rPr>
          <w:rFonts w:eastAsiaTheme="minorEastAsia"/>
          <w:sz w:val="24"/>
        </w:rPr>
        <w:fldChar w:fldCharType="begin"/>
      </w:r>
      <w:r>
        <w:rPr>
          <w:rFonts w:eastAsiaTheme="minorEastAsia"/>
          <w:sz w:val="24"/>
        </w:rPr>
        <w:instrText xml:space="preserve"> = 1 \* ROMAN </w:instrText>
      </w:r>
      <w:r>
        <w:rPr>
          <w:rFonts w:eastAsiaTheme="minorEastAsia"/>
          <w:sz w:val="24"/>
        </w:rPr>
        <w:fldChar w:fldCharType="separate"/>
      </w:r>
      <w:r>
        <w:rPr>
          <w:rFonts w:eastAsiaTheme="minorEastAsia"/>
          <w:sz w:val="24"/>
        </w:rPr>
        <w:t>I</w:t>
      </w:r>
      <w:r>
        <w:rPr>
          <w:rFonts w:eastAsiaTheme="minorEastAsia"/>
          <w:sz w:val="24"/>
        </w:rPr>
        <w:fldChar w:fldCharType="end"/>
      </w:r>
      <w:r>
        <w:rPr>
          <w:rFonts w:eastAsiaTheme="minorEastAsia" w:hAnsiTheme="minorEastAsia"/>
          <w:sz w:val="24"/>
        </w:rPr>
        <w:t>，根据《建设项目环境风险评价技术导则》</w:t>
      </w:r>
      <w:r>
        <w:rPr>
          <w:rFonts w:eastAsiaTheme="minorEastAsia"/>
          <w:sz w:val="24"/>
        </w:rPr>
        <w:t>(HJ169-2018)</w:t>
      </w:r>
      <w:r>
        <w:rPr>
          <w:rFonts w:eastAsiaTheme="minorEastAsia" w:hAnsiTheme="minorEastAsia"/>
          <w:sz w:val="24"/>
        </w:rPr>
        <w:t>中表</w:t>
      </w:r>
      <w:r>
        <w:rPr>
          <w:rFonts w:eastAsiaTheme="minorEastAsia"/>
          <w:sz w:val="24"/>
        </w:rPr>
        <w:t>1</w:t>
      </w:r>
      <w:r>
        <w:rPr>
          <w:rFonts w:eastAsiaTheme="minorEastAsia" w:hAnsiTheme="minorEastAsia"/>
          <w:sz w:val="24"/>
        </w:rPr>
        <w:t>的评价分级原则，风险潜势为</w:t>
      </w:r>
      <w:r>
        <w:rPr>
          <w:rFonts w:eastAsiaTheme="minorEastAsia"/>
          <w:sz w:val="24"/>
        </w:rPr>
        <w:fldChar w:fldCharType="begin"/>
      </w:r>
      <w:r>
        <w:rPr>
          <w:rFonts w:eastAsiaTheme="minorEastAsia"/>
          <w:sz w:val="24"/>
        </w:rPr>
        <w:instrText xml:space="preserve"> = 1 \* ROMAN </w:instrText>
      </w:r>
      <w:r>
        <w:rPr>
          <w:rFonts w:eastAsiaTheme="minorEastAsia"/>
          <w:sz w:val="24"/>
        </w:rPr>
        <w:fldChar w:fldCharType="separate"/>
      </w:r>
      <w:r>
        <w:rPr>
          <w:rFonts w:eastAsiaTheme="minorEastAsia"/>
          <w:sz w:val="24"/>
        </w:rPr>
        <w:t>I</w:t>
      </w:r>
      <w:r>
        <w:rPr>
          <w:rFonts w:eastAsiaTheme="minorEastAsia"/>
          <w:sz w:val="24"/>
        </w:rPr>
        <w:fldChar w:fldCharType="end"/>
      </w:r>
      <w:r>
        <w:rPr>
          <w:rFonts w:eastAsiaTheme="minorEastAsia" w:hAnsiTheme="minorEastAsia"/>
          <w:sz w:val="24"/>
        </w:rPr>
        <w:t>，可开展简单分析。</w:t>
      </w:r>
    </w:p>
    <w:p w14:paraId="1C743092"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53" w:name="_Toc31959"/>
      <w:r>
        <w:rPr>
          <w:rFonts w:ascii="Times New Roman" w:eastAsia="黑体" w:hAnsi="Times New Roman" w:cs="Times New Roman"/>
          <w:b w:val="0"/>
          <w:bCs w:val="0"/>
          <w:sz w:val="30"/>
          <w:szCs w:val="30"/>
        </w:rPr>
        <w:t>2.5</w:t>
      </w:r>
      <w:r>
        <w:rPr>
          <w:rFonts w:ascii="Times New Roman" w:eastAsia="黑体" w:hAnsi="Times New Roman" w:cs="Times New Roman"/>
          <w:b w:val="0"/>
          <w:bCs w:val="0"/>
          <w:sz w:val="30"/>
          <w:szCs w:val="30"/>
        </w:rPr>
        <w:t>评价范围及评价时段</w:t>
      </w:r>
      <w:bookmarkEnd w:id="53"/>
    </w:p>
    <w:p w14:paraId="30780950"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54" w:name="_Toc11758479"/>
      <w:r>
        <w:rPr>
          <w:rFonts w:ascii="Times New Roman" w:eastAsia="黑体" w:hAnsi="Times New Roman" w:cs="Times New Roman"/>
          <w:sz w:val="28"/>
          <w:szCs w:val="28"/>
        </w:rPr>
        <w:t>2.5.1</w:t>
      </w:r>
      <w:r>
        <w:rPr>
          <w:rFonts w:ascii="Times New Roman" w:eastAsia="黑体" w:hAnsi="Times New Roman" w:cs="Times New Roman"/>
          <w:sz w:val="28"/>
          <w:szCs w:val="28"/>
        </w:rPr>
        <w:t>评价范围</w:t>
      </w:r>
      <w:bookmarkEnd w:id="54"/>
    </w:p>
    <w:p w14:paraId="080A055A"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根据评价区域环境特点、建设项目工程污染特征及环境影响评价工作等级要求，确定各环境要素评价范围。</w:t>
      </w:r>
    </w:p>
    <w:p w14:paraId="037C0585" w14:textId="77777777" w:rsidR="00B14D53" w:rsidRDefault="00000000">
      <w:pPr>
        <w:tabs>
          <w:tab w:val="left" w:leader="middleDot" w:pos="0"/>
        </w:tabs>
        <w:spacing w:line="360" w:lineRule="auto"/>
        <w:ind w:firstLineChars="200" w:firstLine="480"/>
        <w:contextualSpacing/>
        <w:rPr>
          <w:rFonts w:eastAsiaTheme="minorEastAsia"/>
          <w:sz w:val="24"/>
        </w:rPr>
      </w:pPr>
      <w:r>
        <w:rPr>
          <w:rFonts w:eastAsiaTheme="minorEastAsia" w:hAnsiTheme="minorEastAsia"/>
          <w:sz w:val="24"/>
        </w:rPr>
        <w:t>根据工程特征与环境现状确定该项目评价范围见表</w:t>
      </w:r>
      <w:r>
        <w:rPr>
          <w:rFonts w:eastAsiaTheme="minorEastAsia"/>
          <w:sz w:val="24"/>
        </w:rPr>
        <w:t>2-5-1</w:t>
      </w:r>
      <w:r>
        <w:rPr>
          <w:rFonts w:eastAsiaTheme="minorEastAsia" w:hAnsiTheme="minorEastAsia"/>
          <w:sz w:val="24"/>
        </w:rPr>
        <w:t>。</w:t>
      </w:r>
    </w:p>
    <w:p w14:paraId="47EC7F28" w14:textId="77777777" w:rsidR="00B14D53" w:rsidRDefault="00000000">
      <w:pPr>
        <w:jc w:val="center"/>
        <w:rPr>
          <w:b/>
          <w:bCs/>
        </w:rPr>
      </w:pPr>
      <w:r>
        <w:rPr>
          <w:rFonts w:hint="eastAsia"/>
          <w:b/>
          <w:bCs/>
        </w:rPr>
        <w:t>表</w:t>
      </w:r>
      <w:r>
        <w:rPr>
          <w:rFonts w:hint="eastAsia"/>
          <w:b/>
          <w:bCs/>
        </w:rPr>
        <w:t xml:space="preserve">2-5-1 </w:t>
      </w:r>
      <w:r>
        <w:rPr>
          <w:rFonts w:hint="eastAsia"/>
          <w:b/>
          <w:bCs/>
        </w:rPr>
        <w:t>工程评价范围表</w:t>
      </w:r>
    </w:p>
    <w:tbl>
      <w:tblPr>
        <w:tblW w:w="7981" w:type="dxa"/>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233"/>
        <w:gridCol w:w="6748"/>
      </w:tblGrid>
      <w:tr w:rsidR="00B14D53" w14:paraId="38FAC306" w14:textId="77777777">
        <w:trPr>
          <w:trHeight w:val="253"/>
          <w:jc w:val="center"/>
        </w:trPr>
        <w:tc>
          <w:tcPr>
            <w:tcW w:w="1233" w:type="dxa"/>
            <w:vAlign w:val="center"/>
          </w:tcPr>
          <w:p w14:paraId="56D6F214" w14:textId="77777777" w:rsidR="00B14D53" w:rsidRDefault="00000000">
            <w:pPr>
              <w:jc w:val="center"/>
              <w:rPr>
                <w:rFonts w:eastAsiaTheme="minorEastAsia"/>
                <w:b/>
                <w:bCs/>
                <w:szCs w:val="21"/>
              </w:rPr>
            </w:pPr>
            <w:r>
              <w:rPr>
                <w:rFonts w:eastAsiaTheme="minorEastAsia" w:hAnsiTheme="minorEastAsia"/>
                <w:b/>
                <w:bCs/>
                <w:kern w:val="0"/>
                <w:szCs w:val="21"/>
              </w:rPr>
              <w:t>评价因子</w:t>
            </w:r>
          </w:p>
        </w:tc>
        <w:tc>
          <w:tcPr>
            <w:tcW w:w="6748" w:type="dxa"/>
            <w:vAlign w:val="center"/>
          </w:tcPr>
          <w:p w14:paraId="0F11CD39" w14:textId="77777777" w:rsidR="00B14D53" w:rsidRDefault="00000000">
            <w:pPr>
              <w:jc w:val="center"/>
              <w:rPr>
                <w:rFonts w:eastAsiaTheme="minorEastAsia"/>
                <w:b/>
                <w:bCs/>
                <w:szCs w:val="21"/>
              </w:rPr>
            </w:pPr>
            <w:r>
              <w:rPr>
                <w:rFonts w:eastAsiaTheme="minorEastAsia" w:hAnsiTheme="minorEastAsia"/>
                <w:b/>
                <w:bCs/>
                <w:kern w:val="0"/>
                <w:szCs w:val="21"/>
              </w:rPr>
              <w:t>评价范围</w:t>
            </w:r>
          </w:p>
        </w:tc>
      </w:tr>
      <w:tr w:rsidR="00B14D53" w14:paraId="0B06078F" w14:textId="77777777">
        <w:trPr>
          <w:trHeight w:val="253"/>
          <w:jc w:val="center"/>
        </w:trPr>
        <w:tc>
          <w:tcPr>
            <w:tcW w:w="1233" w:type="dxa"/>
            <w:vAlign w:val="center"/>
          </w:tcPr>
          <w:p w14:paraId="07188351" w14:textId="77777777" w:rsidR="00B14D53" w:rsidRDefault="00000000">
            <w:pPr>
              <w:jc w:val="center"/>
              <w:rPr>
                <w:rFonts w:eastAsiaTheme="minorEastAsia"/>
                <w:kern w:val="0"/>
                <w:szCs w:val="21"/>
              </w:rPr>
            </w:pPr>
            <w:r>
              <w:rPr>
                <w:rFonts w:eastAsiaTheme="minorEastAsia" w:hAnsiTheme="minorEastAsia"/>
                <w:kern w:val="0"/>
                <w:szCs w:val="21"/>
              </w:rPr>
              <w:t>环境空气</w:t>
            </w:r>
          </w:p>
        </w:tc>
        <w:tc>
          <w:tcPr>
            <w:tcW w:w="6748" w:type="dxa"/>
            <w:vAlign w:val="center"/>
          </w:tcPr>
          <w:p w14:paraId="52726E80" w14:textId="77777777" w:rsidR="00B14D53" w:rsidRDefault="00000000">
            <w:pPr>
              <w:jc w:val="center"/>
              <w:rPr>
                <w:rFonts w:eastAsiaTheme="minorEastAsia"/>
                <w:kern w:val="0"/>
                <w:szCs w:val="21"/>
              </w:rPr>
            </w:pPr>
            <w:r>
              <w:rPr>
                <w:rFonts w:eastAsiaTheme="minorEastAsia" w:hAnsiTheme="minorEastAsia"/>
                <w:kern w:val="0"/>
                <w:szCs w:val="21"/>
              </w:rPr>
              <w:t>以项目厂址为中心，边长</w:t>
            </w:r>
            <w:r>
              <w:rPr>
                <w:rFonts w:eastAsiaTheme="minorEastAsia"/>
                <w:kern w:val="0"/>
                <w:szCs w:val="21"/>
              </w:rPr>
              <w:t>5km</w:t>
            </w:r>
            <w:r>
              <w:rPr>
                <w:rFonts w:eastAsiaTheme="minorEastAsia" w:hAnsiTheme="minorEastAsia"/>
                <w:kern w:val="0"/>
                <w:szCs w:val="21"/>
              </w:rPr>
              <w:t>的矩形区域</w:t>
            </w:r>
          </w:p>
        </w:tc>
      </w:tr>
      <w:tr w:rsidR="00B14D53" w14:paraId="075EB43F" w14:textId="77777777">
        <w:trPr>
          <w:trHeight w:val="263"/>
          <w:jc w:val="center"/>
        </w:trPr>
        <w:tc>
          <w:tcPr>
            <w:tcW w:w="1233" w:type="dxa"/>
            <w:vAlign w:val="center"/>
          </w:tcPr>
          <w:p w14:paraId="015CB160" w14:textId="77777777" w:rsidR="00B14D53" w:rsidRDefault="00000000">
            <w:pPr>
              <w:jc w:val="center"/>
              <w:rPr>
                <w:rFonts w:eastAsiaTheme="minorEastAsia"/>
                <w:szCs w:val="21"/>
              </w:rPr>
            </w:pPr>
            <w:r>
              <w:rPr>
                <w:rFonts w:eastAsiaTheme="minorEastAsia" w:hAnsiTheme="minorEastAsia"/>
                <w:kern w:val="0"/>
                <w:szCs w:val="21"/>
              </w:rPr>
              <w:t>地下水</w:t>
            </w:r>
          </w:p>
        </w:tc>
        <w:tc>
          <w:tcPr>
            <w:tcW w:w="6748" w:type="dxa"/>
            <w:vAlign w:val="center"/>
          </w:tcPr>
          <w:p w14:paraId="5C0D5ABC" w14:textId="77777777" w:rsidR="00B14D53" w:rsidRDefault="00000000">
            <w:pPr>
              <w:jc w:val="center"/>
              <w:rPr>
                <w:rFonts w:eastAsiaTheme="minorEastAsia"/>
                <w:szCs w:val="21"/>
              </w:rPr>
            </w:pPr>
            <w:r>
              <w:rPr>
                <w:rFonts w:eastAsiaTheme="minorEastAsia" w:hAnsiTheme="minorEastAsia"/>
                <w:szCs w:val="21"/>
              </w:rPr>
              <w:t>沿地下水流向，</w:t>
            </w:r>
            <w:r>
              <w:rPr>
                <w:rFonts w:eastAsiaTheme="minorEastAsia" w:hAnsiTheme="minorEastAsia" w:hint="eastAsia"/>
                <w:szCs w:val="21"/>
              </w:rPr>
              <w:t>厂界上游</w:t>
            </w:r>
            <w:r>
              <w:rPr>
                <w:rFonts w:eastAsiaTheme="minorEastAsia" w:hAnsiTheme="minorEastAsia" w:hint="eastAsia"/>
                <w:szCs w:val="21"/>
              </w:rPr>
              <w:t>500m</w:t>
            </w:r>
            <w:r>
              <w:rPr>
                <w:rFonts w:eastAsiaTheme="minorEastAsia" w:hAnsiTheme="minorEastAsia" w:hint="eastAsia"/>
                <w:szCs w:val="21"/>
              </w:rPr>
              <w:t>，两侧</w:t>
            </w:r>
            <w:r>
              <w:rPr>
                <w:rFonts w:eastAsiaTheme="minorEastAsia" w:hAnsiTheme="minorEastAsia" w:hint="eastAsia"/>
                <w:szCs w:val="21"/>
              </w:rPr>
              <w:t>834m</w:t>
            </w:r>
            <w:r>
              <w:rPr>
                <w:rFonts w:eastAsiaTheme="minorEastAsia" w:hAnsiTheme="minorEastAsia" w:hint="eastAsia"/>
                <w:szCs w:val="21"/>
              </w:rPr>
              <w:t>，下游</w:t>
            </w:r>
            <w:r>
              <w:rPr>
                <w:rFonts w:eastAsiaTheme="minorEastAsia" w:hAnsiTheme="minorEastAsia" w:hint="eastAsia"/>
                <w:szCs w:val="21"/>
              </w:rPr>
              <w:t>1667m</w:t>
            </w:r>
            <w:r>
              <w:rPr>
                <w:rFonts w:eastAsiaTheme="minorEastAsia" w:hAnsiTheme="minorEastAsia"/>
                <w:szCs w:val="21"/>
              </w:rPr>
              <w:t>范围内</w:t>
            </w:r>
          </w:p>
        </w:tc>
      </w:tr>
      <w:tr w:rsidR="00B14D53" w14:paraId="20502B03" w14:textId="77777777">
        <w:trPr>
          <w:trHeight w:val="147"/>
          <w:jc w:val="center"/>
        </w:trPr>
        <w:tc>
          <w:tcPr>
            <w:tcW w:w="1233" w:type="dxa"/>
            <w:vAlign w:val="center"/>
          </w:tcPr>
          <w:p w14:paraId="57357A93" w14:textId="77777777" w:rsidR="00B14D53" w:rsidRDefault="00000000">
            <w:pPr>
              <w:jc w:val="center"/>
              <w:rPr>
                <w:rFonts w:eastAsiaTheme="minorEastAsia"/>
                <w:szCs w:val="21"/>
              </w:rPr>
            </w:pPr>
            <w:r>
              <w:rPr>
                <w:rFonts w:eastAsiaTheme="minorEastAsia" w:hAnsiTheme="minorEastAsia"/>
                <w:kern w:val="0"/>
                <w:szCs w:val="21"/>
              </w:rPr>
              <w:t>噪声</w:t>
            </w:r>
          </w:p>
        </w:tc>
        <w:tc>
          <w:tcPr>
            <w:tcW w:w="6748" w:type="dxa"/>
            <w:vAlign w:val="center"/>
          </w:tcPr>
          <w:p w14:paraId="39AC4141" w14:textId="77777777" w:rsidR="00B14D53" w:rsidRDefault="00000000">
            <w:pPr>
              <w:jc w:val="center"/>
              <w:rPr>
                <w:rFonts w:eastAsiaTheme="minorEastAsia"/>
                <w:szCs w:val="21"/>
              </w:rPr>
            </w:pPr>
            <w:r>
              <w:rPr>
                <w:rFonts w:eastAsiaTheme="minorEastAsia" w:hAnsiTheme="minorEastAsia" w:hint="eastAsia"/>
                <w:kern w:val="0"/>
                <w:szCs w:val="21"/>
              </w:rPr>
              <w:t>厂</w:t>
            </w:r>
            <w:r>
              <w:rPr>
                <w:rFonts w:eastAsiaTheme="minorEastAsia" w:hAnsiTheme="minorEastAsia"/>
                <w:kern w:val="0"/>
                <w:szCs w:val="21"/>
              </w:rPr>
              <w:t>界外</w:t>
            </w:r>
            <w:r>
              <w:rPr>
                <w:rFonts w:eastAsiaTheme="minorEastAsia"/>
                <w:kern w:val="0"/>
                <w:szCs w:val="21"/>
              </w:rPr>
              <w:t>200m</w:t>
            </w:r>
            <w:r>
              <w:rPr>
                <w:rFonts w:eastAsiaTheme="minorEastAsia" w:hAnsiTheme="minorEastAsia"/>
                <w:kern w:val="0"/>
                <w:szCs w:val="21"/>
              </w:rPr>
              <w:t>范围</w:t>
            </w:r>
          </w:p>
        </w:tc>
      </w:tr>
      <w:tr w:rsidR="00B14D53" w14:paraId="2CC56852" w14:textId="77777777">
        <w:trPr>
          <w:trHeight w:val="253"/>
          <w:jc w:val="center"/>
        </w:trPr>
        <w:tc>
          <w:tcPr>
            <w:tcW w:w="1233" w:type="dxa"/>
            <w:vAlign w:val="center"/>
          </w:tcPr>
          <w:p w14:paraId="3E8EE81C" w14:textId="77777777" w:rsidR="00B14D53" w:rsidRDefault="00000000">
            <w:pPr>
              <w:tabs>
                <w:tab w:val="left" w:leader="middleDot" w:pos="0"/>
              </w:tabs>
              <w:jc w:val="center"/>
              <w:rPr>
                <w:rFonts w:eastAsiaTheme="minorEastAsia"/>
                <w:szCs w:val="21"/>
              </w:rPr>
            </w:pPr>
            <w:r>
              <w:rPr>
                <w:rFonts w:eastAsiaTheme="minorEastAsia" w:hAnsiTheme="minorEastAsia"/>
                <w:szCs w:val="21"/>
              </w:rPr>
              <w:t>生态</w:t>
            </w:r>
          </w:p>
        </w:tc>
        <w:tc>
          <w:tcPr>
            <w:tcW w:w="6748" w:type="dxa"/>
            <w:vAlign w:val="center"/>
          </w:tcPr>
          <w:p w14:paraId="0B6B41BB" w14:textId="77777777" w:rsidR="00B14D53" w:rsidRDefault="00000000">
            <w:pPr>
              <w:tabs>
                <w:tab w:val="left" w:leader="middleDot" w:pos="0"/>
              </w:tabs>
              <w:jc w:val="center"/>
              <w:rPr>
                <w:rFonts w:eastAsiaTheme="minorEastAsia"/>
                <w:szCs w:val="21"/>
              </w:rPr>
            </w:pPr>
            <w:r>
              <w:rPr>
                <w:rFonts w:eastAsiaTheme="minorEastAsia" w:hAnsiTheme="minorEastAsia" w:hint="eastAsia"/>
                <w:kern w:val="0"/>
                <w:szCs w:val="21"/>
              </w:rPr>
              <w:t>厂</w:t>
            </w:r>
            <w:r>
              <w:rPr>
                <w:rFonts w:eastAsiaTheme="minorEastAsia" w:hAnsiTheme="minorEastAsia"/>
                <w:kern w:val="0"/>
                <w:szCs w:val="21"/>
              </w:rPr>
              <w:t>界外</w:t>
            </w:r>
            <w:r>
              <w:rPr>
                <w:rFonts w:eastAsiaTheme="minorEastAsia"/>
                <w:kern w:val="0"/>
                <w:szCs w:val="21"/>
              </w:rPr>
              <w:t>200m</w:t>
            </w:r>
            <w:r>
              <w:rPr>
                <w:rFonts w:eastAsiaTheme="minorEastAsia" w:hAnsiTheme="minorEastAsia"/>
                <w:kern w:val="0"/>
                <w:szCs w:val="21"/>
              </w:rPr>
              <w:t>范围</w:t>
            </w:r>
          </w:p>
        </w:tc>
      </w:tr>
    </w:tbl>
    <w:p w14:paraId="2C3FCCE9" w14:textId="77777777" w:rsidR="00B14D53" w:rsidRDefault="00000000">
      <w:pPr>
        <w:spacing w:line="360" w:lineRule="auto"/>
        <w:ind w:firstLineChars="200" w:firstLine="480"/>
        <w:contextualSpacing/>
        <w:rPr>
          <w:rFonts w:eastAsiaTheme="minorEastAsia" w:hAnsiTheme="minorEastAsia" w:hint="eastAsia"/>
          <w:kern w:val="0"/>
          <w:sz w:val="24"/>
        </w:rPr>
      </w:pPr>
      <w:r>
        <w:rPr>
          <w:rFonts w:eastAsiaTheme="minorEastAsia" w:hAnsiTheme="minorEastAsia" w:hint="eastAsia"/>
          <w:kern w:val="0"/>
          <w:sz w:val="24"/>
        </w:rPr>
        <w:t>地下水评价范围计算如下：</w:t>
      </w:r>
    </w:p>
    <w:p w14:paraId="26A4C630" w14:textId="77777777" w:rsidR="00B14D53" w:rsidRDefault="00000000">
      <w:pPr>
        <w:spacing w:line="360" w:lineRule="auto"/>
        <w:ind w:firstLineChars="200" w:firstLine="480"/>
        <w:rPr>
          <w:rFonts w:eastAsiaTheme="minorEastAsia"/>
          <w:snapToGrid w:val="0"/>
          <w:kern w:val="0"/>
          <w:sz w:val="24"/>
          <w:szCs w:val="22"/>
        </w:rPr>
      </w:pPr>
      <w:r>
        <w:rPr>
          <w:rFonts w:eastAsiaTheme="minorEastAsia" w:hAnsiTheme="minorEastAsia" w:hint="eastAsia"/>
          <w:snapToGrid w:val="0"/>
          <w:kern w:val="0"/>
          <w:sz w:val="24"/>
          <w:szCs w:val="22"/>
        </w:rPr>
        <w:t>公式计算法</w:t>
      </w:r>
      <w:r>
        <w:rPr>
          <w:rFonts w:eastAsiaTheme="minorEastAsia" w:hAnsiTheme="minorEastAsia"/>
          <w:snapToGrid w:val="0"/>
          <w:kern w:val="0"/>
          <w:sz w:val="24"/>
          <w:szCs w:val="22"/>
        </w:rPr>
        <w:t>：</w:t>
      </w:r>
    </w:p>
    <w:p w14:paraId="1A53D41D" w14:textId="77777777" w:rsidR="00B14D53" w:rsidRDefault="00000000">
      <w:pPr>
        <w:spacing w:line="360" w:lineRule="auto"/>
        <w:ind w:firstLineChars="77" w:firstLine="185"/>
        <w:jc w:val="center"/>
        <w:rPr>
          <w:rFonts w:eastAsiaTheme="minorEastAsia"/>
          <w:sz w:val="24"/>
          <w:szCs w:val="22"/>
        </w:rPr>
      </w:pPr>
      <w:r>
        <w:rPr>
          <w:rFonts w:eastAsiaTheme="minorEastAsia"/>
          <w:sz w:val="24"/>
          <w:szCs w:val="22"/>
        </w:rPr>
        <w:t>L=a×K×I×T/ne</w:t>
      </w:r>
    </w:p>
    <w:p w14:paraId="1CFD2A9D" w14:textId="77777777" w:rsidR="00B14D53" w:rsidRDefault="00000000">
      <w:pPr>
        <w:spacing w:line="360" w:lineRule="auto"/>
        <w:ind w:firstLineChars="200" w:firstLine="476"/>
        <w:contextualSpacing/>
        <w:jc w:val="left"/>
        <w:rPr>
          <w:rFonts w:eastAsia="Times New Roman"/>
          <w:snapToGrid w:val="0"/>
          <w:kern w:val="0"/>
          <w:sz w:val="24"/>
        </w:rPr>
      </w:pPr>
      <w:r>
        <w:rPr>
          <w:rFonts w:ascii="宋体" w:hAnsi="宋体" w:cs="宋体"/>
          <w:snapToGrid w:val="0"/>
          <w:spacing w:val="-1"/>
          <w:kern w:val="0"/>
          <w:sz w:val="24"/>
        </w:rPr>
        <w:t>式中：</w:t>
      </w:r>
      <w:r>
        <w:rPr>
          <w:rFonts w:eastAsia="Times New Roman"/>
          <w:snapToGrid w:val="0"/>
          <w:spacing w:val="-1"/>
          <w:kern w:val="0"/>
          <w:sz w:val="24"/>
        </w:rPr>
        <w:t>L</w:t>
      </w:r>
      <w:r>
        <w:rPr>
          <w:rFonts w:ascii="宋体" w:hAnsi="宋体" w:cs="宋体"/>
          <w:snapToGrid w:val="0"/>
          <w:spacing w:val="-1"/>
          <w:kern w:val="0"/>
          <w:sz w:val="24"/>
        </w:rPr>
        <w:t>—下游迁移距离，</w:t>
      </w:r>
      <w:r>
        <w:rPr>
          <w:rFonts w:eastAsia="Times New Roman"/>
          <w:snapToGrid w:val="0"/>
          <w:spacing w:val="-1"/>
          <w:kern w:val="0"/>
          <w:sz w:val="24"/>
        </w:rPr>
        <w:t>m；</w:t>
      </w:r>
    </w:p>
    <w:p w14:paraId="375886DA" w14:textId="77777777" w:rsidR="00B14D53" w:rsidRDefault="00000000">
      <w:pPr>
        <w:widowControl/>
        <w:kinsoku w:val="0"/>
        <w:autoSpaceDE w:val="0"/>
        <w:autoSpaceDN w:val="0"/>
        <w:spacing w:line="360" w:lineRule="auto"/>
        <w:ind w:firstLineChars="200" w:firstLine="464"/>
        <w:contextualSpacing/>
        <w:jc w:val="left"/>
        <w:textAlignment w:val="baseline"/>
        <w:rPr>
          <w:rFonts w:eastAsia="Times New Roman"/>
          <w:snapToGrid w:val="0"/>
          <w:kern w:val="0"/>
          <w:sz w:val="24"/>
        </w:rPr>
      </w:pPr>
      <w:r>
        <w:rPr>
          <w:rFonts w:eastAsia="Times New Roman"/>
          <w:snapToGrid w:val="0"/>
          <w:spacing w:val="-4"/>
          <w:kern w:val="0"/>
          <w:sz w:val="24"/>
        </w:rPr>
        <w:t>a</w:t>
      </w:r>
      <w:r>
        <w:rPr>
          <w:rFonts w:ascii="宋体" w:hAnsi="宋体" w:cs="宋体"/>
          <w:snapToGrid w:val="0"/>
          <w:spacing w:val="-4"/>
          <w:kern w:val="0"/>
          <w:sz w:val="24"/>
        </w:rPr>
        <w:t>—</w:t>
      </w:r>
      <w:r>
        <w:rPr>
          <w:rFonts w:ascii="宋体" w:hAnsi="宋体" w:cs="宋体" w:hint="eastAsia"/>
          <w:snapToGrid w:val="0"/>
          <w:spacing w:val="-4"/>
          <w:kern w:val="0"/>
          <w:sz w:val="24"/>
        </w:rPr>
        <w:t>变化系数，</w:t>
      </w:r>
      <w:r>
        <w:rPr>
          <w:rFonts w:eastAsia="Times New Roman"/>
          <w:snapToGrid w:val="0"/>
          <w:spacing w:val="-4"/>
          <w:kern w:val="0"/>
          <w:sz w:val="24"/>
        </w:rPr>
        <w:t>a</w:t>
      </w:r>
      <w:r>
        <w:rPr>
          <w:rFonts w:ascii="宋体" w:hAnsi="宋体" w:cs="宋体"/>
          <w:snapToGrid w:val="0"/>
          <w:spacing w:val="-4"/>
          <w:kern w:val="0"/>
          <w:sz w:val="24"/>
        </w:rPr>
        <w:t>≥</w:t>
      </w:r>
      <w:r>
        <w:rPr>
          <w:rFonts w:eastAsia="Times New Roman"/>
          <w:snapToGrid w:val="0"/>
          <w:spacing w:val="-4"/>
          <w:kern w:val="0"/>
          <w:sz w:val="24"/>
        </w:rPr>
        <w:t>1</w:t>
      </w:r>
      <w:r>
        <w:rPr>
          <w:rFonts w:ascii="宋体" w:hAnsi="宋体" w:cs="宋体" w:hint="eastAsia"/>
          <w:snapToGrid w:val="0"/>
          <w:spacing w:val="-4"/>
          <w:kern w:val="0"/>
          <w:sz w:val="24"/>
        </w:rPr>
        <w:t>，一般取</w:t>
      </w:r>
      <w:r>
        <w:rPr>
          <w:rFonts w:eastAsia="Times New Roman"/>
          <w:snapToGrid w:val="0"/>
          <w:spacing w:val="-4"/>
          <w:kern w:val="0"/>
          <w:sz w:val="24"/>
        </w:rPr>
        <w:t>2</w:t>
      </w:r>
      <w:r>
        <w:rPr>
          <w:rFonts w:ascii="宋体" w:hAnsi="宋体" w:cs="宋体" w:hint="eastAsia"/>
          <w:snapToGrid w:val="0"/>
          <w:spacing w:val="-4"/>
          <w:kern w:val="0"/>
          <w:sz w:val="24"/>
        </w:rPr>
        <w:t>，本项目取</w:t>
      </w:r>
      <w:r>
        <w:rPr>
          <w:rFonts w:eastAsia="Times New Roman"/>
          <w:snapToGrid w:val="0"/>
          <w:spacing w:val="-4"/>
          <w:kern w:val="0"/>
          <w:sz w:val="24"/>
        </w:rPr>
        <w:t>2；</w:t>
      </w:r>
    </w:p>
    <w:p w14:paraId="5A3A2D6A" w14:textId="77777777" w:rsidR="00B14D53" w:rsidRDefault="00000000">
      <w:pPr>
        <w:widowControl/>
        <w:kinsoku w:val="0"/>
        <w:autoSpaceDE w:val="0"/>
        <w:autoSpaceDN w:val="0"/>
        <w:spacing w:line="360" w:lineRule="auto"/>
        <w:ind w:firstLineChars="200" w:firstLine="484"/>
        <w:contextualSpacing/>
        <w:jc w:val="left"/>
        <w:textAlignment w:val="baseline"/>
        <w:rPr>
          <w:snapToGrid w:val="0"/>
          <w:kern w:val="0"/>
          <w:sz w:val="24"/>
        </w:rPr>
      </w:pPr>
      <w:r>
        <w:rPr>
          <w:rFonts w:eastAsia="Times New Roman"/>
          <w:snapToGrid w:val="0"/>
          <w:spacing w:val="1"/>
          <w:kern w:val="0"/>
          <w:sz w:val="24"/>
        </w:rPr>
        <w:t>K</w:t>
      </w:r>
      <w:r>
        <w:rPr>
          <w:snapToGrid w:val="0"/>
          <w:spacing w:val="1"/>
          <w:kern w:val="0"/>
          <w:sz w:val="24"/>
        </w:rPr>
        <w:t>—</w:t>
      </w:r>
      <w:r>
        <w:rPr>
          <w:snapToGrid w:val="0"/>
          <w:spacing w:val="1"/>
          <w:kern w:val="0"/>
          <w:sz w:val="24"/>
        </w:rPr>
        <w:t>渗透系数，</w:t>
      </w:r>
      <w:r>
        <w:rPr>
          <w:rFonts w:eastAsia="Times New Roman"/>
          <w:snapToGrid w:val="0"/>
          <w:spacing w:val="1"/>
          <w:kern w:val="0"/>
          <w:sz w:val="24"/>
        </w:rPr>
        <w:t>m/d</w:t>
      </w:r>
      <w:r>
        <w:rPr>
          <w:snapToGrid w:val="0"/>
          <w:spacing w:val="1"/>
          <w:kern w:val="0"/>
          <w:sz w:val="24"/>
        </w:rPr>
        <w:t>，根据评价区水文地质材料，本项目含水层为中细砂、中粗砂及砂砾石，常见渗透系数表见附录</w:t>
      </w:r>
      <w:r>
        <w:rPr>
          <w:snapToGrid w:val="0"/>
          <w:spacing w:val="1"/>
          <w:kern w:val="0"/>
          <w:sz w:val="24"/>
        </w:rPr>
        <w:t>B</w:t>
      </w:r>
      <w:r>
        <w:rPr>
          <w:snapToGrid w:val="0"/>
          <w:spacing w:val="1"/>
          <w:kern w:val="0"/>
          <w:sz w:val="24"/>
        </w:rPr>
        <w:t>表</w:t>
      </w:r>
      <w:r>
        <w:rPr>
          <w:snapToGrid w:val="0"/>
          <w:spacing w:val="1"/>
          <w:kern w:val="0"/>
          <w:sz w:val="24"/>
        </w:rPr>
        <w:t>B.1</w:t>
      </w:r>
      <w:r>
        <w:rPr>
          <w:snapToGrid w:val="0"/>
          <w:spacing w:val="1"/>
          <w:kern w:val="0"/>
          <w:sz w:val="24"/>
        </w:rPr>
        <w:t>（地下水环境影响评价技术导则）</w:t>
      </w:r>
      <w:r>
        <w:rPr>
          <w:snapToGrid w:val="0"/>
          <w:spacing w:val="1"/>
          <w:kern w:val="0"/>
          <w:sz w:val="24"/>
        </w:rPr>
        <w:t>K</w:t>
      </w:r>
      <w:r>
        <w:rPr>
          <w:snapToGrid w:val="0"/>
          <w:spacing w:val="1"/>
          <w:kern w:val="0"/>
          <w:sz w:val="24"/>
        </w:rPr>
        <w:t>取</w:t>
      </w:r>
      <w:r>
        <w:rPr>
          <w:snapToGrid w:val="0"/>
          <w:spacing w:val="1"/>
          <w:kern w:val="0"/>
          <w:sz w:val="24"/>
        </w:rPr>
        <w:t>25m/d</w:t>
      </w:r>
      <w:r>
        <w:rPr>
          <w:snapToGrid w:val="0"/>
          <w:spacing w:val="-1"/>
          <w:kern w:val="0"/>
          <w:sz w:val="24"/>
        </w:rPr>
        <w:t>；</w:t>
      </w:r>
    </w:p>
    <w:p w14:paraId="04ED1BA5" w14:textId="77777777" w:rsidR="00B14D53" w:rsidRDefault="00000000">
      <w:pPr>
        <w:widowControl/>
        <w:kinsoku w:val="0"/>
        <w:autoSpaceDE w:val="0"/>
        <w:autoSpaceDN w:val="0"/>
        <w:spacing w:line="360" w:lineRule="auto"/>
        <w:ind w:firstLineChars="200" w:firstLine="476"/>
        <w:contextualSpacing/>
        <w:jc w:val="left"/>
        <w:textAlignment w:val="baseline"/>
        <w:rPr>
          <w:rFonts w:eastAsiaTheme="minorEastAsia"/>
          <w:snapToGrid w:val="0"/>
          <w:spacing w:val="-1"/>
          <w:kern w:val="0"/>
          <w:sz w:val="24"/>
        </w:rPr>
      </w:pPr>
      <w:r>
        <w:rPr>
          <w:rFonts w:eastAsia="Times New Roman"/>
          <w:snapToGrid w:val="0"/>
          <w:spacing w:val="-1"/>
          <w:kern w:val="0"/>
          <w:sz w:val="24"/>
        </w:rPr>
        <w:t>I</w:t>
      </w:r>
      <w:r>
        <w:rPr>
          <w:rFonts w:ascii="宋体" w:hAnsi="宋体" w:cs="宋体"/>
          <w:snapToGrid w:val="0"/>
          <w:spacing w:val="-1"/>
          <w:kern w:val="0"/>
          <w:sz w:val="24"/>
        </w:rPr>
        <w:t>—</w:t>
      </w:r>
      <w:r>
        <w:rPr>
          <w:rFonts w:ascii="宋体" w:hAnsi="宋体" w:cs="宋体" w:hint="eastAsia"/>
          <w:snapToGrid w:val="0"/>
          <w:spacing w:val="-1"/>
          <w:kern w:val="0"/>
          <w:sz w:val="24"/>
        </w:rPr>
        <w:t>水力坡度，无量纲，本项目取</w:t>
      </w:r>
      <w:r>
        <w:rPr>
          <w:rFonts w:eastAsia="Times New Roman"/>
          <w:snapToGrid w:val="0"/>
          <w:spacing w:val="-1"/>
          <w:kern w:val="0"/>
          <w:sz w:val="24"/>
        </w:rPr>
        <w:t>0.2%；</w:t>
      </w:r>
    </w:p>
    <w:p w14:paraId="174A3E25" w14:textId="77777777" w:rsidR="00B14D53" w:rsidRDefault="00000000">
      <w:pPr>
        <w:widowControl/>
        <w:kinsoku w:val="0"/>
        <w:autoSpaceDE w:val="0"/>
        <w:autoSpaceDN w:val="0"/>
        <w:spacing w:line="360" w:lineRule="auto"/>
        <w:ind w:firstLineChars="200" w:firstLine="476"/>
        <w:contextualSpacing/>
        <w:jc w:val="left"/>
        <w:textAlignment w:val="baseline"/>
        <w:rPr>
          <w:rFonts w:eastAsia="Times New Roman"/>
          <w:snapToGrid w:val="0"/>
          <w:kern w:val="0"/>
          <w:sz w:val="24"/>
        </w:rPr>
      </w:pPr>
      <w:r>
        <w:rPr>
          <w:rFonts w:eastAsia="Times New Roman"/>
          <w:snapToGrid w:val="0"/>
          <w:spacing w:val="-1"/>
          <w:kern w:val="0"/>
          <w:sz w:val="24"/>
        </w:rPr>
        <w:t>T</w:t>
      </w:r>
      <w:r>
        <w:rPr>
          <w:rFonts w:ascii="宋体" w:hAnsi="宋体" w:cs="宋体"/>
          <w:snapToGrid w:val="0"/>
          <w:spacing w:val="-1"/>
          <w:kern w:val="0"/>
          <w:sz w:val="24"/>
        </w:rPr>
        <w:t>—</w:t>
      </w:r>
      <w:r>
        <w:rPr>
          <w:rFonts w:ascii="宋体" w:hAnsi="宋体" w:cs="宋体" w:hint="eastAsia"/>
          <w:snapToGrid w:val="0"/>
          <w:spacing w:val="-1"/>
          <w:kern w:val="0"/>
          <w:sz w:val="24"/>
        </w:rPr>
        <w:t>质点迁移距离，本项目分别取5</w:t>
      </w:r>
      <w:r>
        <w:rPr>
          <w:rFonts w:eastAsia="Times New Roman"/>
          <w:snapToGrid w:val="0"/>
          <w:spacing w:val="-1"/>
          <w:kern w:val="0"/>
          <w:sz w:val="24"/>
        </w:rPr>
        <w:t>000d；</w:t>
      </w:r>
    </w:p>
    <w:p w14:paraId="163EC392" w14:textId="77777777" w:rsidR="00B14D53" w:rsidRDefault="00000000">
      <w:pPr>
        <w:widowControl/>
        <w:kinsoku w:val="0"/>
        <w:autoSpaceDE w:val="0"/>
        <w:autoSpaceDN w:val="0"/>
        <w:spacing w:line="360" w:lineRule="auto"/>
        <w:ind w:firstLineChars="200" w:firstLine="476"/>
        <w:contextualSpacing/>
        <w:jc w:val="left"/>
        <w:textAlignment w:val="baseline"/>
        <w:rPr>
          <w:rFonts w:eastAsiaTheme="minorEastAsia"/>
          <w:snapToGrid w:val="0"/>
          <w:spacing w:val="-1"/>
          <w:kern w:val="0"/>
          <w:sz w:val="24"/>
        </w:rPr>
      </w:pPr>
      <w:r>
        <w:rPr>
          <w:rFonts w:eastAsia="Times New Roman"/>
          <w:snapToGrid w:val="0"/>
          <w:spacing w:val="-1"/>
          <w:kern w:val="0"/>
          <w:sz w:val="24"/>
        </w:rPr>
        <w:t>ne</w:t>
      </w:r>
      <w:r>
        <w:rPr>
          <w:rFonts w:ascii="宋体" w:hAnsi="宋体" w:cs="宋体"/>
          <w:snapToGrid w:val="0"/>
          <w:spacing w:val="-1"/>
          <w:kern w:val="0"/>
          <w:sz w:val="24"/>
        </w:rPr>
        <w:t>—</w:t>
      </w:r>
      <w:r>
        <w:rPr>
          <w:rFonts w:ascii="宋体" w:hAnsi="宋体" w:cs="宋体" w:hint="eastAsia"/>
          <w:snapToGrid w:val="0"/>
          <w:spacing w:val="-1"/>
          <w:kern w:val="0"/>
          <w:sz w:val="24"/>
        </w:rPr>
        <w:t>有效孔隙度，无量纲，本项目取</w:t>
      </w:r>
      <w:r>
        <w:rPr>
          <w:rFonts w:eastAsia="Times New Roman"/>
          <w:snapToGrid w:val="0"/>
          <w:spacing w:val="-1"/>
          <w:kern w:val="0"/>
          <w:sz w:val="24"/>
        </w:rPr>
        <w:t>0.3；</w:t>
      </w:r>
    </w:p>
    <w:p w14:paraId="00E17F60" w14:textId="77777777" w:rsidR="00B14D53" w:rsidRDefault="00000000">
      <w:pPr>
        <w:widowControl/>
        <w:kinsoku w:val="0"/>
        <w:autoSpaceDE w:val="0"/>
        <w:autoSpaceDN w:val="0"/>
        <w:spacing w:line="360" w:lineRule="auto"/>
        <w:ind w:firstLineChars="200" w:firstLine="472"/>
        <w:contextualSpacing/>
        <w:jc w:val="left"/>
        <w:textAlignment w:val="baseline"/>
        <w:rPr>
          <w:rFonts w:eastAsiaTheme="minorEastAsia"/>
          <w:snapToGrid w:val="0"/>
          <w:spacing w:val="-2"/>
          <w:kern w:val="0"/>
          <w:sz w:val="24"/>
        </w:rPr>
      </w:pPr>
      <w:r>
        <w:rPr>
          <w:rFonts w:ascii="宋体" w:hAnsi="宋体" w:cs="宋体" w:hint="eastAsia"/>
          <w:snapToGrid w:val="0"/>
          <w:spacing w:val="-2"/>
          <w:kern w:val="0"/>
          <w:sz w:val="24"/>
        </w:rPr>
        <w:t>则：</w:t>
      </w:r>
      <w:r>
        <w:rPr>
          <w:rFonts w:eastAsia="Times New Roman"/>
          <w:snapToGrid w:val="0"/>
          <w:spacing w:val="-2"/>
          <w:kern w:val="0"/>
          <w:sz w:val="24"/>
        </w:rPr>
        <w:t>L=2</w:t>
      </w:r>
      <w:r>
        <w:rPr>
          <w:rFonts w:hint="eastAsia"/>
          <w:snapToGrid w:val="0"/>
          <w:spacing w:val="-2"/>
          <w:kern w:val="0"/>
          <w:sz w:val="24"/>
        </w:rPr>
        <w:t>×</w:t>
      </w:r>
      <w:r>
        <w:rPr>
          <w:rFonts w:hint="eastAsia"/>
          <w:snapToGrid w:val="0"/>
          <w:spacing w:val="-2"/>
          <w:kern w:val="0"/>
          <w:sz w:val="24"/>
        </w:rPr>
        <w:t>25</w:t>
      </w:r>
      <w:r>
        <w:rPr>
          <w:rFonts w:ascii="宋体" w:hAnsi="宋体" w:cs="宋体"/>
          <w:snapToGrid w:val="0"/>
          <w:spacing w:val="-2"/>
          <w:kern w:val="0"/>
          <w:sz w:val="24"/>
        </w:rPr>
        <w:t>×</w:t>
      </w:r>
      <w:r>
        <w:rPr>
          <w:rFonts w:eastAsia="Times New Roman"/>
          <w:snapToGrid w:val="0"/>
          <w:spacing w:val="-2"/>
          <w:kern w:val="0"/>
          <w:sz w:val="24"/>
        </w:rPr>
        <w:t>0.2%</w:t>
      </w:r>
      <w:r>
        <w:rPr>
          <w:rFonts w:ascii="宋体" w:hAnsi="宋体" w:cs="宋体"/>
          <w:snapToGrid w:val="0"/>
          <w:spacing w:val="-2"/>
          <w:kern w:val="0"/>
          <w:sz w:val="24"/>
        </w:rPr>
        <w:t>×</w:t>
      </w:r>
      <w:r>
        <w:rPr>
          <w:rFonts w:hint="eastAsia"/>
          <w:snapToGrid w:val="0"/>
          <w:spacing w:val="-2"/>
          <w:kern w:val="0"/>
          <w:sz w:val="24"/>
        </w:rPr>
        <w:t>5</w:t>
      </w:r>
      <w:r>
        <w:rPr>
          <w:rFonts w:eastAsia="Times New Roman"/>
          <w:snapToGrid w:val="0"/>
          <w:spacing w:val="-2"/>
          <w:kern w:val="0"/>
          <w:sz w:val="24"/>
        </w:rPr>
        <w:t>000/0.3=</w:t>
      </w:r>
      <w:r>
        <w:rPr>
          <w:rFonts w:hint="eastAsia"/>
          <w:snapToGrid w:val="0"/>
          <w:spacing w:val="-2"/>
          <w:kern w:val="0"/>
          <w:sz w:val="24"/>
        </w:rPr>
        <w:t>1667</w:t>
      </w:r>
      <w:r>
        <w:rPr>
          <w:rFonts w:eastAsia="Times New Roman"/>
          <w:snapToGrid w:val="0"/>
          <w:spacing w:val="-2"/>
          <w:kern w:val="0"/>
          <w:sz w:val="24"/>
        </w:rPr>
        <w:t>m</w:t>
      </w:r>
    </w:p>
    <w:p w14:paraId="65E0365A" w14:textId="77777777" w:rsidR="00B14D53" w:rsidRDefault="00000000">
      <w:pPr>
        <w:spacing w:line="360" w:lineRule="auto"/>
        <w:ind w:firstLineChars="200" w:firstLine="480"/>
        <w:contextualSpacing/>
        <w:rPr>
          <w:rFonts w:eastAsiaTheme="minorEastAsia" w:hAnsiTheme="minorEastAsia" w:hint="eastAsia"/>
          <w:kern w:val="0"/>
          <w:sz w:val="24"/>
        </w:rPr>
      </w:pPr>
      <w:r>
        <w:rPr>
          <w:rFonts w:eastAsiaTheme="minorEastAsia" w:hAnsiTheme="minorEastAsia" w:hint="eastAsia"/>
          <w:kern w:val="0"/>
          <w:sz w:val="24"/>
        </w:rPr>
        <w:t>场地上游评价距离根据评价需求确定，下游评价距离为</w:t>
      </w:r>
      <w:r>
        <w:rPr>
          <w:rFonts w:eastAsiaTheme="minorEastAsia" w:hAnsiTheme="minorEastAsia" w:hint="eastAsia"/>
          <w:kern w:val="0"/>
          <w:sz w:val="24"/>
        </w:rPr>
        <w:t>L</w:t>
      </w:r>
      <w:r>
        <w:rPr>
          <w:rFonts w:eastAsiaTheme="minorEastAsia" w:hAnsiTheme="minorEastAsia" w:hint="eastAsia"/>
          <w:kern w:val="0"/>
          <w:sz w:val="24"/>
        </w:rPr>
        <w:t>，场地两侧评价距离不小于</w:t>
      </w:r>
      <w:r>
        <w:rPr>
          <w:rFonts w:eastAsiaTheme="minorEastAsia" w:hAnsiTheme="minorEastAsia" w:hint="eastAsia"/>
          <w:kern w:val="0"/>
          <w:sz w:val="24"/>
        </w:rPr>
        <w:t>L</w:t>
      </w:r>
      <w:r>
        <w:rPr>
          <w:rFonts w:eastAsiaTheme="minorEastAsia" w:hAnsiTheme="minorEastAsia"/>
          <w:kern w:val="0"/>
          <w:sz w:val="24"/>
        </w:rPr>
        <w:t>/2</w:t>
      </w:r>
      <w:r>
        <w:rPr>
          <w:rFonts w:eastAsiaTheme="minorEastAsia" w:hAnsiTheme="minorEastAsia" w:hint="eastAsia"/>
          <w:kern w:val="0"/>
          <w:sz w:val="24"/>
        </w:rPr>
        <w:t>，最终确定评价范围为上游</w:t>
      </w:r>
      <w:r>
        <w:rPr>
          <w:rFonts w:eastAsiaTheme="minorEastAsia" w:hAnsiTheme="minorEastAsia" w:hint="eastAsia"/>
          <w:kern w:val="0"/>
          <w:sz w:val="24"/>
        </w:rPr>
        <w:t xml:space="preserve">500m </w:t>
      </w:r>
      <w:r>
        <w:rPr>
          <w:rFonts w:eastAsiaTheme="minorEastAsia" w:hAnsiTheme="minorEastAsia" w:hint="eastAsia"/>
          <w:kern w:val="0"/>
          <w:sz w:val="24"/>
        </w:rPr>
        <w:t>，两侧</w:t>
      </w:r>
      <w:r>
        <w:rPr>
          <w:rFonts w:eastAsiaTheme="minorEastAsia" w:hAnsiTheme="minorEastAsia" w:hint="eastAsia"/>
          <w:kern w:val="0"/>
          <w:sz w:val="24"/>
        </w:rPr>
        <w:t>834m</w:t>
      </w:r>
      <w:r>
        <w:rPr>
          <w:rFonts w:eastAsiaTheme="minorEastAsia" w:hAnsiTheme="minorEastAsia" w:hint="eastAsia"/>
          <w:kern w:val="0"/>
          <w:sz w:val="24"/>
        </w:rPr>
        <w:t>，下游</w:t>
      </w:r>
      <w:r>
        <w:rPr>
          <w:rFonts w:eastAsiaTheme="minorEastAsia" w:hAnsiTheme="minorEastAsia" w:hint="eastAsia"/>
          <w:kern w:val="0"/>
          <w:sz w:val="24"/>
        </w:rPr>
        <w:t>1667m</w:t>
      </w:r>
      <w:r>
        <w:rPr>
          <w:rFonts w:eastAsiaTheme="minorEastAsia" w:hAnsiTheme="minorEastAsia" w:hint="eastAsia"/>
          <w:kern w:val="0"/>
          <w:sz w:val="24"/>
        </w:rPr>
        <w:t>。</w:t>
      </w:r>
    </w:p>
    <w:p w14:paraId="6592088A"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55" w:name="_Toc15991636"/>
      <w:bookmarkStart w:id="56" w:name="_Toc524431294"/>
      <w:r>
        <w:rPr>
          <w:rFonts w:ascii="Times New Roman" w:eastAsia="黑体" w:hAnsi="Times New Roman" w:cs="Times New Roman"/>
          <w:bCs/>
          <w:sz w:val="28"/>
          <w:szCs w:val="28"/>
        </w:rPr>
        <w:t>2.5.2</w:t>
      </w:r>
      <w:r>
        <w:rPr>
          <w:rFonts w:ascii="Times New Roman" w:eastAsia="黑体" w:hAnsi="Times New Roman" w:cs="Times New Roman"/>
          <w:bCs/>
          <w:sz w:val="28"/>
          <w:szCs w:val="28"/>
        </w:rPr>
        <w:t>评价时段</w:t>
      </w:r>
      <w:bookmarkEnd w:id="55"/>
      <w:bookmarkEnd w:id="56"/>
    </w:p>
    <w:p w14:paraId="2E5E8660" w14:textId="77777777" w:rsidR="00B14D53" w:rsidRDefault="00000000">
      <w:pPr>
        <w:spacing w:line="360" w:lineRule="auto"/>
        <w:ind w:firstLineChars="200" w:firstLine="480"/>
        <w:rPr>
          <w:rFonts w:eastAsiaTheme="minorEastAsia"/>
          <w:bCs/>
          <w:snapToGrid w:val="0"/>
          <w:kern w:val="0"/>
          <w:sz w:val="24"/>
        </w:rPr>
      </w:pPr>
      <w:r>
        <w:rPr>
          <w:rFonts w:eastAsiaTheme="minorEastAsia" w:hAnsiTheme="minorEastAsia"/>
          <w:bCs/>
          <w:snapToGrid w:val="0"/>
          <w:kern w:val="0"/>
          <w:sz w:val="24"/>
        </w:rPr>
        <w:t>评价时段为施工期、营运期。由于施工期对周围环境影响较小，并且为短期影响，因此施工期只作影响分析；营运期对周围环境影响程度因工序污染物排放不同而不同，而且为长期影响，因此本评价以营运期为重点评价时段。</w:t>
      </w:r>
    </w:p>
    <w:p w14:paraId="7B55EE75"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sz w:val="30"/>
          <w:szCs w:val="30"/>
        </w:rPr>
      </w:pPr>
      <w:bookmarkStart w:id="57" w:name="_Toc27562"/>
      <w:r>
        <w:rPr>
          <w:rFonts w:ascii="Times New Roman" w:eastAsia="黑体" w:hAnsi="Times New Roman" w:cs="Times New Roman"/>
          <w:b w:val="0"/>
          <w:sz w:val="30"/>
          <w:szCs w:val="30"/>
        </w:rPr>
        <w:t>2.6</w:t>
      </w:r>
      <w:r>
        <w:rPr>
          <w:rFonts w:ascii="Times New Roman" w:eastAsia="黑体" w:hAnsi="Times New Roman" w:cs="Times New Roman"/>
          <w:b w:val="0"/>
          <w:sz w:val="30"/>
          <w:szCs w:val="30"/>
        </w:rPr>
        <w:t>环境保护目标</w:t>
      </w:r>
      <w:bookmarkEnd w:id="57"/>
    </w:p>
    <w:p w14:paraId="2AA9F9B0" w14:textId="77777777" w:rsidR="00B14D53" w:rsidRDefault="00000000">
      <w:pPr>
        <w:spacing w:line="360" w:lineRule="auto"/>
        <w:ind w:firstLineChars="200" w:firstLine="480"/>
        <w:rPr>
          <w:rFonts w:eastAsiaTheme="minorEastAsia" w:hAnsiTheme="minorEastAsia" w:hint="eastAsia"/>
          <w:snapToGrid w:val="0"/>
          <w:kern w:val="0"/>
          <w:sz w:val="24"/>
        </w:rPr>
        <w:sectPr w:rsidR="00B14D53">
          <w:pgSz w:w="11906" w:h="16838"/>
          <w:pgMar w:top="1440" w:right="1800" w:bottom="1440" w:left="1800" w:header="851" w:footer="992" w:gutter="0"/>
          <w:cols w:space="425"/>
          <w:docGrid w:type="lines" w:linePitch="312"/>
        </w:sectPr>
      </w:pPr>
      <w:r>
        <w:rPr>
          <w:rFonts w:eastAsiaTheme="minorEastAsia" w:hAnsiTheme="minorEastAsia"/>
          <w:snapToGrid w:val="0"/>
          <w:sz w:val="24"/>
        </w:rPr>
        <w:t>评价区域内无国家、省、市重点保护文物、自然保护区、濒危珍稀动植物等重点保护目标。根据项目性质及周边环境特征，</w:t>
      </w:r>
      <w:r>
        <w:rPr>
          <w:rFonts w:eastAsiaTheme="minorEastAsia" w:hAnsiTheme="minorEastAsia"/>
          <w:snapToGrid w:val="0"/>
          <w:kern w:val="0"/>
          <w:sz w:val="24"/>
        </w:rPr>
        <w:t>本项目无声环境保护目标，环境敏感目标见表</w:t>
      </w:r>
      <w:r>
        <w:rPr>
          <w:rFonts w:eastAsiaTheme="minorEastAsia"/>
          <w:snapToGrid w:val="0"/>
          <w:kern w:val="0"/>
          <w:sz w:val="24"/>
        </w:rPr>
        <w:t>2-6-1</w:t>
      </w:r>
      <w:r>
        <w:rPr>
          <w:rFonts w:eastAsiaTheme="minorEastAsia" w:hAnsiTheme="minorEastAsia"/>
          <w:snapToGrid w:val="0"/>
          <w:kern w:val="0"/>
          <w:sz w:val="24"/>
        </w:rPr>
        <w:t>及表</w:t>
      </w:r>
      <w:r>
        <w:rPr>
          <w:rFonts w:eastAsiaTheme="minorEastAsia"/>
          <w:snapToGrid w:val="0"/>
          <w:kern w:val="0"/>
          <w:sz w:val="24"/>
        </w:rPr>
        <w:t>2-6-2</w:t>
      </w:r>
      <w:r>
        <w:rPr>
          <w:rFonts w:eastAsiaTheme="minorEastAsia" w:hAnsiTheme="minorEastAsia"/>
          <w:snapToGrid w:val="0"/>
          <w:kern w:val="0"/>
          <w:sz w:val="24"/>
        </w:rPr>
        <w:t>，保护目标分布图见附图</w:t>
      </w:r>
      <w:r>
        <w:rPr>
          <w:rFonts w:eastAsiaTheme="minorEastAsia"/>
          <w:snapToGrid w:val="0"/>
          <w:kern w:val="0"/>
          <w:sz w:val="24"/>
        </w:rPr>
        <w:t>3</w:t>
      </w:r>
      <w:r>
        <w:rPr>
          <w:rFonts w:eastAsiaTheme="minorEastAsia" w:hAnsiTheme="minorEastAsia"/>
          <w:snapToGrid w:val="0"/>
          <w:kern w:val="0"/>
          <w:sz w:val="24"/>
        </w:rPr>
        <w:t>。</w:t>
      </w:r>
    </w:p>
    <w:p w14:paraId="55DCA017" w14:textId="77777777" w:rsidR="00B14D53" w:rsidRDefault="00000000">
      <w:pPr>
        <w:jc w:val="center"/>
        <w:rPr>
          <w:b/>
          <w:bCs/>
        </w:rPr>
      </w:pPr>
      <w:bookmarkStart w:id="58" w:name="_Hlk10463811"/>
      <w:r>
        <w:rPr>
          <w:rFonts w:hint="eastAsia"/>
          <w:b/>
          <w:bCs/>
        </w:rPr>
        <w:t>表</w:t>
      </w:r>
      <w:r>
        <w:rPr>
          <w:rFonts w:hint="eastAsia"/>
          <w:b/>
          <w:bCs/>
        </w:rPr>
        <w:t xml:space="preserve">2-6-1 </w:t>
      </w:r>
      <w:r>
        <w:rPr>
          <w:rFonts w:hint="eastAsia"/>
          <w:b/>
          <w:bCs/>
        </w:rPr>
        <w:t>环境空气保护目标一览表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70"/>
        <w:gridCol w:w="1504"/>
        <w:gridCol w:w="1797"/>
        <w:gridCol w:w="2464"/>
        <w:gridCol w:w="1189"/>
        <w:gridCol w:w="1429"/>
        <w:gridCol w:w="1426"/>
        <w:gridCol w:w="1568"/>
      </w:tblGrid>
      <w:tr w:rsidR="00B14D53" w14:paraId="152A5DAB" w14:textId="77777777">
        <w:trPr>
          <w:trHeight w:val="270"/>
          <w:jc w:val="center"/>
        </w:trPr>
        <w:tc>
          <w:tcPr>
            <w:tcW w:w="921" w:type="pct"/>
            <w:vMerge w:val="restart"/>
            <w:vAlign w:val="center"/>
          </w:tcPr>
          <w:p w14:paraId="0BF67351" w14:textId="77777777" w:rsidR="00B14D53" w:rsidRDefault="00000000">
            <w:pPr>
              <w:pStyle w:val="afff2"/>
              <w:spacing w:line="240" w:lineRule="auto"/>
              <w:rPr>
                <w:rFonts w:eastAsiaTheme="minorEastAsia" w:hAnsi="Times New Roman"/>
                <w:b/>
                <w:bCs/>
                <w:snapToGrid w:val="0"/>
              </w:rPr>
            </w:pPr>
            <w:bookmarkStart w:id="59" w:name="_Hlk10134467"/>
            <w:r>
              <w:rPr>
                <w:rFonts w:eastAsiaTheme="minorEastAsia"/>
                <w:b/>
                <w:bCs/>
                <w:snapToGrid w:val="0"/>
              </w:rPr>
              <w:t>名称</w:t>
            </w:r>
          </w:p>
        </w:tc>
        <w:tc>
          <w:tcPr>
            <w:tcW w:w="1183" w:type="pct"/>
            <w:gridSpan w:val="2"/>
            <w:vAlign w:val="center"/>
          </w:tcPr>
          <w:p w14:paraId="08B29F8E" w14:textId="77777777" w:rsidR="00B14D53" w:rsidRDefault="00000000">
            <w:pPr>
              <w:pStyle w:val="afff2"/>
              <w:spacing w:line="240" w:lineRule="auto"/>
              <w:rPr>
                <w:rFonts w:eastAsiaTheme="minorEastAsia" w:hAnsi="Times New Roman"/>
                <w:b/>
                <w:bCs/>
                <w:snapToGrid w:val="0"/>
              </w:rPr>
            </w:pPr>
            <w:r>
              <w:rPr>
                <w:rFonts w:eastAsiaTheme="minorEastAsia"/>
                <w:b/>
                <w:bCs/>
                <w:snapToGrid w:val="0"/>
              </w:rPr>
              <w:t>坐标</w:t>
            </w:r>
            <w:r>
              <w:rPr>
                <w:rFonts w:eastAsiaTheme="minorEastAsia" w:hint="eastAsia"/>
                <w:b/>
                <w:bCs/>
                <w:snapToGrid w:val="0"/>
              </w:rPr>
              <w:t>/</w:t>
            </w:r>
            <w:r>
              <w:rPr>
                <w:rFonts w:eastAsiaTheme="minorEastAsia" w:hint="eastAsia"/>
                <w:b/>
                <w:bCs/>
                <w:snapToGrid w:val="0"/>
              </w:rPr>
              <w:t>°</w:t>
            </w:r>
          </w:p>
        </w:tc>
        <w:tc>
          <w:tcPr>
            <w:tcW w:w="883" w:type="pct"/>
            <w:vMerge w:val="restart"/>
            <w:vAlign w:val="center"/>
          </w:tcPr>
          <w:p w14:paraId="479FB5BF" w14:textId="77777777" w:rsidR="00B14D53" w:rsidRDefault="00000000">
            <w:pPr>
              <w:pStyle w:val="afff2"/>
              <w:spacing w:line="240" w:lineRule="auto"/>
              <w:rPr>
                <w:rFonts w:eastAsiaTheme="minorEastAsia" w:hAnsi="Times New Roman"/>
                <w:b/>
                <w:bCs/>
                <w:snapToGrid w:val="0"/>
              </w:rPr>
            </w:pPr>
            <w:r>
              <w:rPr>
                <w:rFonts w:eastAsiaTheme="minorEastAsia"/>
                <w:b/>
                <w:bCs/>
                <w:snapToGrid w:val="0"/>
              </w:rPr>
              <w:t>保护对象</w:t>
            </w:r>
          </w:p>
        </w:tc>
        <w:tc>
          <w:tcPr>
            <w:tcW w:w="426" w:type="pct"/>
            <w:vMerge w:val="restart"/>
            <w:vAlign w:val="center"/>
          </w:tcPr>
          <w:p w14:paraId="550C2BD7" w14:textId="77777777" w:rsidR="00B14D53" w:rsidRDefault="00000000">
            <w:pPr>
              <w:pStyle w:val="afff2"/>
              <w:spacing w:line="240" w:lineRule="auto"/>
              <w:rPr>
                <w:rFonts w:eastAsiaTheme="minorEastAsia" w:hAnsi="Times New Roman"/>
                <w:b/>
                <w:bCs/>
                <w:snapToGrid w:val="0"/>
              </w:rPr>
            </w:pPr>
            <w:r>
              <w:rPr>
                <w:rFonts w:eastAsiaTheme="minorEastAsia"/>
                <w:b/>
                <w:bCs/>
                <w:snapToGrid w:val="0"/>
              </w:rPr>
              <w:t>保护</w:t>
            </w:r>
          </w:p>
          <w:p w14:paraId="4EFAAD92" w14:textId="77777777" w:rsidR="00B14D53" w:rsidRDefault="00000000">
            <w:pPr>
              <w:pStyle w:val="afff2"/>
              <w:spacing w:line="240" w:lineRule="auto"/>
              <w:rPr>
                <w:rFonts w:eastAsiaTheme="minorEastAsia" w:hAnsi="Times New Roman"/>
                <w:b/>
                <w:bCs/>
                <w:snapToGrid w:val="0"/>
              </w:rPr>
            </w:pPr>
            <w:r>
              <w:rPr>
                <w:rFonts w:eastAsiaTheme="minorEastAsia"/>
                <w:b/>
                <w:bCs/>
                <w:snapToGrid w:val="0"/>
              </w:rPr>
              <w:t>内容</w:t>
            </w:r>
          </w:p>
        </w:tc>
        <w:tc>
          <w:tcPr>
            <w:tcW w:w="512" w:type="pct"/>
            <w:vMerge w:val="restart"/>
            <w:vAlign w:val="center"/>
          </w:tcPr>
          <w:p w14:paraId="01E1AB69" w14:textId="77777777" w:rsidR="00B14D53" w:rsidRDefault="00000000">
            <w:pPr>
              <w:pStyle w:val="afff2"/>
              <w:spacing w:line="240" w:lineRule="auto"/>
              <w:rPr>
                <w:rFonts w:eastAsiaTheme="minorEastAsia" w:hAnsi="Times New Roman"/>
                <w:b/>
                <w:bCs/>
                <w:snapToGrid w:val="0"/>
              </w:rPr>
            </w:pPr>
            <w:r>
              <w:rPr>
                <w:rFonts w:eastAsiaTheme="minorEastAsia"/>
                <w:b/>
                <w:bCs/>
                <w:snapToGrid w:val="0"/>
              </w:rPr>
              <w:t>环境功能区</w:t>
            </w:r>
          </w:p>
        </w:tc>
        <w:tc>
          <w:tcPr>
            <w:tcW w:w="511" w:type="pct"/>
            <w:vMerge w:val="restart"/>
            <w:vAlign w:val="center"/>
          </w:tcPr>
          <w:p w14:paraId="497987CD" w14:textId="77777777" w:rsidR="00B14D53" w:rsidRDefault="00000000">
            <w:pPr>
              <w:pStyle w:val="afff2"/>
              <w:spacing w:line="240" w:lineRule="auto"/>
              <w:rPr>
                <w:rFonts w:eastAsiaTheme="minorEastAsia" w:hAnsi="Times New Roman"/>
                <w:b/>
                <w:bCs/>
                <w:snapToGrid w:val="0"/>
              </w:rPr>
            </w:pPr>
            <w:r>
              <w:rPr>
                <w:rFonts w:eastAsiaTheme="minorEastAsia"/>
                <w:b/>
                <w:bCs/>
                <w:snapToGrid w:val="0"/>
              </w:rPr>
              <w:t>相对厂址方位</w:t>
            </w:r>
          </w:p>
        </w:tc>
        <w:tc>
          <w:tcPr>
            <w:tcW w:w="562" w:type="pct"/>
            <w:vMerge w:val="restart"/>
            <w:vAlign w:val="center"/>
          </w:tcPr>
          <w:p w14:paraId="565BA734" w14:textId="77777777" w:rsidR="00B14D53" w:rsidRDefault="00000000">
            <w:pPr>
              <w:pStyle w:val="afff2"/>
              <w:spacing w:line="240" w:lineRule="auto"/>
              <w:rPr>
                <w:rFonts w:eastAsiaTheme="minorEastAsia" w:hAnsi="Times New Roman"/>
                <w:b/>
                <w:bCs/>
                <w:snapToGrid w:val="0"/>
              </w:rPr>
            </w:pPr>
            <w:r>
              <w:rPr>
                <w:rFonts w:eastAsiaTheme="minorEastAsia"/>
                <w:b/>
                <w:bCs/>
                <w:snapToGrid w:val="0"/>
              </w:rPr>
              <w:t>相对厂界距离</w:t>
            </w:r>
          </w:p>
        </w:tc>
      </w:tr>
      <w:tr w:rsidR="00B14D53" w14:paraId="1DE6613A" w14:textId="77777777">
        <w:trPr>
          <w:trHeight w:val="270"/>
          <w:jc w:val="center"/>
        </w:trPr>
        <w:tc>
          <w:tcPr>
            <w:tcW w:w="921" w:type="pct"/>
            <w:vMerge/>
            <w:vAlign w:val="center"/>
          </w:tcPr>
          <w:p w14:paraId="1558328E" w14:textId="77777777" w:rsidR="00B14D53" w:rsidRDefault="00B14D53">
            <w:pPr>
              <w:pStyle w:val="afff2"/>
              <w:spacing w:line="240" w:lineRule="auto"/>
              <w:rPr>
                <w:rFonts w:eastAsiaTheme="minorEastAsia" w:hAnsi="Times New Roman"/>
                <w:snapToGrid w:val="0"/>
              </w:rPr>
            </w:pPr>
          </w:p>
        </w:tc>
        <w:tc>
          <w:tcPr>
            <w:tcW w:w="539" w:type="pct"/>
            <w:vAlign w:val="center"/>
          </w:tcPr>
          <w:p w14:paraId="7398255C" w14:textId="77777777" w:rsidR="00B14D53" w:rsidRDefault="00000000">
            <w:pPr>
              <w:pStyle w:val="afff2"/>
              <w:spacing w:line="240" w:lineRule="auto"/>
              <w:rPr>
                <w:rFonts w:eastAsiaTheme="minorEastAsia" w:hAnsi="Times New Roman"/>
                <w:b/>
                <w:bCs/>
                <w:snapToGrid w:val="0"/>
              </w:rPr>
            </w:pPr>
            <w:r>
              <w:rPr>
                <w:rFonts w:eastAsiaTheme="minorEastAsia"/>
                <w:b/>
                <w:bCs/>
                <w:snapToGrid w:val="0"/>
              </w:rPr>
              <w:t>东经</w:t>
            </w:r>
          </w:p>
        </w:tc>
        <w:tc>
          <w:tcPr>
            <w:tcW w:w="644" w:type="pct"/>
            <w:vAlign w:val="center"/>
          </w:tcPr>
          <w:p w14:paraId="2EDE27F8" w14:textId="77777777" w:rsidR="00B14D53" w:rsidRDefault="00000000">
            <w:pPr>
              <w:pStyle w:val="afff2"/>
              <w:spacing w:line="240" w:lineRule="auto"/>
              <w:rPr>
                <w:rFonts w:eastAsiaTheme="minorEastAsia" w:hAnsi="Times New Roman"/>
                <w:b/>
                <w:bCs/>
                <w:snapToGrid w:val="0"/>
              </w:rPr>
            </w:pPr>
            <w:r>
              <w:rPr>
                <w:rFonts w:eastAsiaTheme="minorEastAsia"/>
                <w:b/>
                <w:bCs/>
                <w:snapToGrid w:val="0"/>
              </w:rPr>
              <w:t>北纬</w:t>
            </w:r>
          </w:p>
        </w:tc>
        <w:tc>
          <w:tcPr>
            <w:tcW w:w="883" w:type="pct"/>
            <w:vMerge/>
            <w:vAlign w:val="center"/>
          </w:tcPr>
          <w:p w14:paraId="1BB01E27"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4E817577"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57843204" w14:textId="77777777" w:rsidR="00B14D53" w:rsidRDefault="00B14D53">
            <w:pPr>
              <w:pStyle w:val="afff2"/>
              <w:spacing w:line="240" w:lineRule="auto"/>
              <w:rPr>
                <w:rFonts w:eastAsiaTheme="minorEastAsia" w:hAnsi="Times New Roman"/>
                <w:snapToGrid w:val="0"/>
              </w:rPr>
            </w:pPr>
          </w:p>
        </w:tc>
        <w:tc>
          <w:tcPr>
            <w:tcW w:w="511" w:type="pct"/>
            <w:vMerge/>
            <w:vAlign w:val="center"/>
          </w:tcPr>
          <w:p w14:paraId="057FB0DA" w14:textId="77777777" w:rsidR="00B14D53" w:rsidRDefault="00B14D53">
            <w:pPr>
              <w:pStyle w:val="afff2"/>
              <w:spacing w:line="240" w:lineRule="auto"/>
              <w:rPr>
                <w:rFonts w:eastAsiaTheme="minorEastAsia" w:hAnsi="Times New Roman"/>
                <w:snapToGrid w:val="0"/>
              </w:rPr>
            </w:pPr>
          </w:p>
        </w:tc>
        <w:tc>
          <w:tcPr>
            <w:tcW w:w="562" w:type="pct"/>
            <w:vMerge/>
            <w:vAlign w:val="center"/>
          </w:tcPr>
          <w:p w14:paraId="0EB0562B" w14:textId="77777777" w:rsidR="00B14D53" w:rsidRDefault="00B14D53">
            <w:pPr>
              <w:pStyle w:val="afff2"/>
              <w:spacing w:line="240" w:lineRule="auto"/>
              <w:rPr>
                <w:rFonts w:eastAsiaTheme="minorEastAsia" w:hAnsi="Times New Roman"/>
                <w:snapToGrid w:val="0"/>
              </w:rPr>
            </w:pPr>
          </w:p>
        </w:tc>
      </w:tr>
      <w:tr w:rsidR="00B14D53" w14:paraId="451146BC" w14:textId="77777777">
        <w:trPr>
          <w:jc w:val="center"/>
        </w:trPr>
        <w:tc>
          <w:tcPr>
            <w:tcW w:w="921" w:type="pct"/>
            <w:vAlign w:val="center"/>
          </w:tcPr>
          <w:p w14:paraId="2A2CAAF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山河镇居民</w:t>
            </w:r>
          </w:p>
        </w:tc>
        <w:tc>
          <w:tcPr>
            <w:tcW w:w="539" w:type="pct"/>
            <w:vAlign w:val="center"/>
          </w:tcPr>
          <w:p w14:paraId="0EA8793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127.212527</w:t>
            </w:r>
          </w:p>
        </w:tc>
        <w:tc>
          <w:tcPr>
            <w:tcW w:w="644" w:type="pct"/>
            <w:tcBorders>
              <w:bottom w:val="single" w:sz="4" w:space="0" w:color="auto"/>
            </w:tcBorders>
            <w:vAlign w:val="center"/>
          </w:tcPr>
          <w:p w14:paraId="703FDE0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44.700233</w:t>
            </w:r>
          </w:p>
        </w:tc>
        <w:tc>
          <w:tcPr>
            <w:tcW w:w="883" w:type="pct"/>
            <w:vAlign w:val="center"/>
          </w:tcPr>
          <w:p w14:paraId="5D353CE2"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居住区</w:t>
            </w:r>
          </w:p>
        </w:tc>
        <w:tc>
          <w:tcPr>
            <w:tcW w:w="426" w:type="pct"/>
            <w:vAlign w:val="center"/>
          </w:tcPr>
          <w:p w14:paraId="5E6D86A3" w14:textId="77777777" w:rsidR="00B14D53" w:rsidRDefault="00000000">
            <w:pPr>
              <w:pStyle w:val="afff2"/>
              <w:spacing w:line="240" w:lineRule="auto"/>
              <w:rPr>
                <w:rFonts w:eastAsiaTheme="minorEastAsia" w:hAnsi="Times New Roman"/>
                <w:snapToGrid w:val="0"/>
              </w:rPr>
            </w:pPr>
            <w:r>
              <w:rPr>
                <w:rFonts w:eastAsiaTheme="minorEastAsia"/>
                <w:snapToGrid w:val="0"/>
              </w:rPr>
              <w:t>人群</w:t>
            </w:r>
          </w:p>
        </w:tc>
        <w:tc>
          <w:tcPr>
            <w:tcW w:w="512" w:type="pct"/>
            <w:vMerge w:val="restart"/>
            <w:vAlign w:val="center"/>
          </w:tcPr>
          <w:p w14:paraId="2AD30192" w14:textId="77777777" w:rsidR="00B14D53" w:rsidRDefault="00000000">
            <w:pPr>
              <w:pStyle w:val="afff2"/>
              <w:spacing w:line="240" w:lineRule="auto"/>
              <w:rPr>
                <w:rFonts w:eastAsiaTheme="minorEastAsia" w:hAnsi="Times New Roman"/>
                <w:snapToGrid w:val="0"/>
              </w:rPr>
            </w:pPr>
            <w:r>
              <w:rPr>
                <w:rFonts w:eastAsiaTheme="minorEastAsia"/>
                <w:snapToGrid w:val="0"/>
              </w:rPr>
              <w:t>二类区</w:t>
            </w:r>
          </w:p>
        </w:tc>
        <w:tc>
          <w:tcPr>
            <w:tcW w:w="511" w:type="pct"/>
            <w:vAlign w:val="center"/>
          </w:tcPr>
          <w:p w14:paraId="7BEFF628"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NW</w:t>
            </w:r>
          </w:p>
        </w:tc>
        <w:tc>
          <w:tcPr>
            <w:tcW w:w="562" w:type="pct"/>
            <w:vAlign w:val="center"/>
          </w:tcPr>
          <w:p w14:paraId="3FC35E9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510m</w:t>
            </w:r>
          </w:p>
        </w:tc>
      </w:tr>
      <w:tr w:rsidR="00B14D53" w14:paraId="3C6E791A" w14:textId="77777777">
        <w:trPr>
          <w:jc w:val="center"/>
        </w:trPr>
        <w:tc>
          <w:tcPr>
            <w:tcW w:w="921" w:type="pct"/>
            <w:vAlign w:val="center"/>
          </w:tcPr>
          <w:p w14:paraId="42D37FC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山河第一中学</w:t>
            </w:r>
          </w:p>
        </w:tc>
        <w:tc>
          <w:tcPr>
            <w:tcW w:w="539" w:type="pct"/>
            <w:vAlign w:val="center"/>
          </w:tcPr>
          <w:p w14:paraId="46D8C05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127.204213</w:t>
            </w:r>
          </w:p>
        </w:tc>
        <w:tc>
          <w:tcPr>
            <w:tcW w:w="644" w:type="pct"/>
            <w:tcBorders>
              <w:top w:val="single" w:sz="4" w:space="0" w:color="auto"/>
            </w:tcBorders>
            <w:vAlign w:val="center"/>
          </w:tcPr>
          <w:p w14:paraId="0457B069"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44.715765</w:t>
            </w:r>
          </w:p>
        </w:tc>
        <w:tc>
          <w:tcPr>
            <w:tcW w:w="883" w:type="pct"/>
            <w:vMerge w:val="restart"/>
            <w:vAlign w:val="center"/>
          </w:tcPr>
          <w:p w14:paraId="331767B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文化区</w:t>
            </w:r>
          </w:p>
        </w:tc>
        <w:tc>
          <w:tcPr>
            <w:tcW w:w="426" w:type="pct"/>
            <w:vMerge w:val="restart"/>
            <w:vAlign w:val="center"/>
          </w:tcPr>
          <w:p w14:paraId="23F29A78"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师生</w:t>
            </w:r>
          </w:p>
        </w:tc>
        <w:tc>
          <w:tcPr>
            <w:tcW w:w="512" w:type="pct"/>
            <w:vMerge/>
            <w:vAlign w:val="center"/>
          </w:tcPr>
          <w:p w14:paraId="2D1CAFE8" w14:textId="77777777" w:rsidR="00B14D53" w:rsidRDefault="00B14D53">
            <w:pPr>
              <w:pStyle w:val="afff2"/>
              <w:spacing w:line="240" w:lineRule="auto"/>
              <w:rPr>
                <w:rFonts w:eastAsiaTheme="minorEastAsia" w:hAnsi="Times New Roman"/>
                <w:snapToGrid w:val="0"/>
              </w:rPr>
            </w:pPr>
          </w:p>
        </w:tc>
        <w:tc>
          <w:tcPr>
            <w:tcW w:w="511" w:type="pct"/>
            <w:vAlign w:val="center"/>
          </w:tcPr>
          <w:p w14:paraId="4095279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NW</w:t>
            </w:r>
          </w:p>
        </w:tc>
        <w:tc>
          <w:tcPr>
            <w:tcW w:w="562" w:type="pct"/>
            <w:vAlign w:val="center"/>
          </w:tcPr>
          <w:p w14:paraId="351D345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2200m</w:t>
            </w:r>
          </w:p>
        </w:tc>
      </w:tr>
      <w:tr w:rsidR="00B14D53" w14:paraId="0441328B" w14:textId="77777777">
        <w:trPr>
          <w:trHeight w:val="278"/>
          <w:jc w:val="center"/>
        </w:trPr>
        <w:tc>
          <w:tcPr>
            <w:tcW w:w="921" w:type="pct"/>
            <w:vAlign w:val="center"/>
          </w:tcPr>
          <w:p w14:paraId="75289F7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五常市世纪学校</w:t>
            </w:r>
          </w:p>
        </w:tc>
        <w:tc>
          <w:tcPr>
            <w:tcW w:w="539" w:type="pct"/>
            <w:vAlign w:val="center"/>
          </w:tcPr>
          <w:p w14:paraId="327A0A25"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127.205328</w:t>
            </w:r>
          </w:p>
        </w:tc>
        <w:tc>
          <w:tcPr>
            <w:tcW w:w="644" w:type="pct"/>
            <w:tcBorders>
              <w:top w:val="single" w:sz="4" w:space="0" w:color="auto"/>
            </w:tcBorders>
            <w:vAlign w:val="center"/>
          </w:tcPr>
          <w:p w14:paraId="0EE4019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44.717495</w:t>
            </w:r>
          </w:p>
        </w:tc>
        <w:tc>
          <w:tcPr>
            <w:tcW w:w="883" w:type="pct"/>
            <w:vMerge/>
            <w:vAlign w:val="center"/>
          </w:tcPr>
          <w:p w14:paraId="5C1DB0A8"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7A0EFCB6"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2C01D099" w14:textId="77777777" w:rsidR="00B14D53" w:rsidRDefault="00B14D53">
            <w:pPr>
              <w:pStyle w:val="afff2"/>
              <w:spacing w:line="240" w:lineRule="auto"/>
              <w:rPr>
                <w:rFonts w:eastAsiaTheme="minorEastAsia" w:hAnsi="Times New Roman"/>
                <w:snapToGrid w:val="0"/>
              </w:rPr>
            </w:pPr>
          </w:p>
        </w:tc>
        <w:tc>
          <w:tcPr>
            <w:tcW w:w="511" w:type="pct"/>
            <w:vAlign w:val="center"/>
          </w:tcPr>
          <w:p w14:paraId="5CAC486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NW</w:t>
            </w:r>
          </w:p>
        </w:tc>
        <w:tc>
          <w:tcPr>
            <w:tcW w:w="562" w:type="pct"/>
            <w:vAlign w:val="center"/>
          </w:tcPr>
          <w:p w14:paraId="5863B5C5"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2320m</w:t>
            </w:r>
          </w:p>
        </w:tc>
      </w:tr>
      <w:tr w:rsidR="00B14D53" w14:paraId="696385C7" w14:textId="77777777">
        <w:trPr>
          <w:trHeight w:val="90"/>
          <w:jc w:val="center"/>
        </w:trPr>
        <w:tc>
          <w:tcPr>
            <w:tcW w:w="921" w:type="pct"/>
            <w:vAlign w:val="center"/>
          </w:tcPr>
          <w:p w14:paraId="543CA828"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山河镇中心学校</w:t>
            </w:r>
          </w:p>
        </w:tc>
        <w:tc>
          <w:tcPr>
            <w:tcW w:w="539" w:type="pct"/>
            <w:vAlign w:val="center"/>
          </w:tcPr>
          <w:p w14:paraId="360BE012"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127.200500</w:t>
            </w:r>
          </w:p>
        </w:tc>
        <w:tc>
          <w:tcPr>
            <w:tcW w:w="644" w:type="pct"/>
            <w:vAlign w:val="center"/>
          </w:tcPr>
          <w:p w14:paraId="009FEEB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44.711259</w:t>
            </w:r>
          </w:p>
        </w:tc>
        <w:tc>
          <w:tcPr>
            <w:tcW w:w="883" w:type="pct"/>
            <w:vMerge/>
            <w:vAlign w:val="center"/>
          </w:tcPr>
          <w:p w14:paraId="129532E7"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00CE94A6"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10296349" w14:textId="77777777" w:rsidR="00B14D53" w:rsidRDefault="00B14D53">
            <w:pPr>
              <w:pStyle w:val="afff2"/>
              <w:spacing w:line="240" w:lineRule="auto"/>
              <w:rPr>
                <w:rFonts w:eastAsiaTheme="minorEastAsia" w:hAnsi="Times New Roman"/>
                <w:snapToGrid w:val="0"/>
              </w:rPr>
            </w:pPr>
          </w:p>
        </w:tc>
        <w:tc>
          <w:tcPr>
            <w:tcW w:w="511" w:type="pct"/>
            <w:vAlign w:val="center"/>
          </w:tcPr>
          <w:p w14:paraId="1ED2A17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NW</w:t>
            </w:r>
          </w:p>
        </w:tc>
        <w:tc>
          <w:tcPr>
            <w:tcW w:w="562" w:type="pct"/>
            <w:vAlign w:val="center"/>
          </w:tcPr>
          <w:p w14:paraId="1189AAA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1990m</w:t>
            </w:r>
          </w:p>
        </w:tc>
      </w:tr>
      <w:tr w:rsidR="00B14D53" w14:paraId="6D31AFAA" w14:textId="77777777">
        <w:trPr>
          <w:jc w:val="center"/>
        </w:trPr>
        <w:tc>
          <w:tcPr>
            <w:tcW w:w="921" w:type="pct"/>
            <w:vAlign w:val="center"/>
          </w:tcPr>
          <w:p w14:paraId="2A10125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山河镇第三小学</w:t>
            </w:r>
          </w:p>
        </w:tc>
        <w:tc>
          <w:tcPr>
            <w:tcW w:w="539" w:type="pct"/>
            <w:vAlign w:val="center"/>
          </w:tcPr>
          <w:p w14:paraId="459C4E6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127.208708</w:t>
            </w:r>
          </w:p>
        </w:tc>
        <w:tc>
          <w:tcPr>
            <w:tcW w:w="644" w:type="pct"/>
            <w:vAlign w:val="center"/>
          </w:tcPr>
          <w:p w14:paraId="187975A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44.709315</w:t>
            </w:r>
          </w:p>
        </w:tc>
        <w:tc>
          <w:tcPr>
            <w:tcW w:w="883" w:type="pct"/>
            <w:vMerge/>
            <w:vAlign w:val="center"/>
          </w:tcPr>
          <w:p w14:paraId="06A266A7"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1F48BAE2"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44363C01" w14:textId="77777777" w:rsidR="00B14D53" w:rsidRDefault="00B14D53">
            <w:pPr>
              <w:pStyle w:val="afff2"/>
              <w:spacing w:line="240" w:lineRule="auto"/>
              <w:rPr>
                <w:rFonts w:eastAsiaTheme="minorEastAsia" w:hAnsi="Times New Roman"/>
                <w:snapToGrid w:val="0"/>
              </w:rPr>
            </w:pPr>
          </w:p>
        </w:tc>
        <w:tc>
          <w:tcPr>
            <w:tcW w:w="511" w:type="pct"/>
            <w:vAlign w:val="center"/>
          </w:tcPr>
          <w:p w14:paraId="6FA8CC4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NW</w:t>
            </w:r>
          </w:p>
        </w:tc>
        <w:tc>
          <w:tcPr>
            <w:tcW w:w="562" w:type="pct"/>
            <w:vAlign w:val="center"/>
          </w:tcPr>
          <w:p w14:paraId="39B1986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1400m</w:t>
            </w:r>
          </w:p>
        </w:tc>
      </w:tr>
      <w:tr w:rsidR="00B14D53" w14:paraId="6EE961BE" w14:textId="77777777">
        <w:trPr>
          <w:jc w:val="center"/>
        </w:trPr>
        <w:tc>
          <w:tcPr>
            <w:tcW w:w="921" w:type="pct"/>
            <w:vAlign w:val="center"/>
          </w:tcPr>
          <w:p w14:paraId="262D08B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洪德朝鲜族小学</w:t>
            </w:r>
          </w:p>
        </w:tc>
        <w:tc>
          <w:tcPr>
            <w:tcW w:w="539" w:type="pct"/>
            <w:vAlign w:val="center"/>
          </w:tcPr>
          <w:p w14:paraId="28B3329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127.195324</w:t>
            </w:r>
          </w:p>
        </w:tc>
        <w:tc>
          <w:tcPr>
            <w:tcW w:w="644" w:type="pct"/>
            <w:vAlign w:val="center"/>
          </w:tcPr>
          <w:p w14:paraId="7DA783F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44.708495</w:t>
            </w:r>
          </w:p>
        </w:tc>
        <w:tc>
          <w:tcPr>
            <w:tcW w:w="883" w:type="pct"/>
            <w:vMerge/>
            <w:vAlign w:val="center"/>
          </w:tcPr>
          <w:p w14:paraId="1E7FA4A1"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21DB89FC"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7E4945AF" w14:textId="77777777" w:rsidR="00B14D53" w:rsidRDefault="00B14D53">
            <w:pPr>
              <w:pStyle w:val="afff2"/>
              <w:spacing w:line="240" w:lineRule="auto"/>
              <w:rPr>
                <w:rFonts w:eastAsiaTheme="minorEastAsia" w:hAnsi="Times New Roman"/>
                <w:snapToGrid w:val="0"/>
              </w:rPr>
            </w:pPr>
          </w:p>
        </w:tc>
        <w:tc>
          <w:tcPr>
            <w:tcW w:w="511" w:type="pct"/>
            <w:vAlign w:val="center"/>
          </w:tcPr>
          <w:p w14:paraId="5C03532B"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w:t>
            </w:r>
          </w:p>
        </w:tc>
        <w:tc>
          <w:tcPr>
            <w:tcW w:w="562" w:type="pct"/>
            <w:vAlign w:val="center"/>
          </w:tcPr>
          <w:p w14:paraId="069A778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2140m</w:t>
            </w:r>
          </w:p>
        </w:tc>
      </w:tr>
      <w:tr w:rsidR="00B14D53" w14:paraId="34D808E0" w14:textId="77777777">
        <w:trPr>
          <w:jc w:val="center"/>
        </w:trPr>
        <w:tc>
          <w:tcPr>
            <w:tcW w:w="921" w:type="pct"/>
            <w:vAlign w:val="center"/>
          </w:tcPr>
          <w:p w14:paraId="0A57AA1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山河镇第二小学</w:t>
            </w:r>
          </w:p>
        </w:tc>
        <w:tc>
          <w:tcPr>
            <w:tcW w:w="539" w:type="pct"/>
            <w:vAlign w:val="center"/>
          </w:tcPr>
          <w:p w14:paraId="6024F5C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127.202641</w:t>
            </w:r>
          </w:p>
        </w:tc>
        <w:tc>
          <w:tcPr>
            <w:tcW w:w="644" w:type="pct"/>
            <w:vAlign w:val="center"/>
          </w:tcPr>
          <w:p w14:paraId="04F5500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44.702006</w:t>
            </w:r>
          </w:p>
        </w:tc>
        <w:tc>
          <w:tcPr>
            <w:tcW w:w="883" w:type="pct"/>
            <w:vMerge/>
            <w:vAlign w:val="center"/>
          </w:tcPr>
          <w:p w14:paraId="520AC3C6"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0205707B"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25B8C13A" w14:textId="77777777" w:rsidR="00B14D53" w:rsidRDefault="00B14D53">
            <w:pPr>
              <w:pStyle w:val="afff2"/>
              <w:spacing w:line="240" w:lineRule="auto"/>
              <w:rPr>
                <w:rFonts w:eastAsiaTheme="minorEastAsia" w:hAnsi="Times New Roman"/>
                <w:snapToGrid w:val="0"/>
              </w:rPr>
            </w:pPr>
          </w:p>
        </w:tc>
        <w:tc>
          <w:tcPr>
            <w:tcW w:w="511" w:type="pct"/>
            <w:vAlign w:val="center"/>
          </w:tcPr>
          <w:p w14:paraId="3BD99DCC"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w:t>
            </w:r>
          </w:p>
        </w:tc>
        <w:tc>
          <w:tcPr>
            <w:tcW w:w="562" w:type="pct"/>
            <w:vAlign w:val="center"/>
          </w:tcPr>
          <w:p w14:paraId="26876FC8"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1300m</w:t>
            </w:r>
          </w:p>
        </w:tc>
      </w:tr>
      <w:tr w:rsidR="00B14D53" w14:paraId="52ABADE5" w14:textId="77777777">
        <w:trPr>
          <w:jc w:val="center"/>
        </w:trPr>
        <w:tc>
          <w:tcPr>
            <w:tcW w:w="921" w:type="pct"/>
            <w:vAlign w:val="center"/>
          </w:tcPr>
          <w:p w14:paraId="5ED93C3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五门王家</w:t>
            </w:r>
          </w:p>
        </w:tc>
        <w:tc>
          <w:tcPr>
            <w:tcW w:w="539" w:type="pct"/>
            <w:vAlign w:val="center"/>
          </w:tcPr>
          <w:p w14:paraId="4EE7BE5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127.191445</w:t>
            </w:r>
          </w:p>
        </w:tc>
        <w:tc>
          <w:tcPr>
            <w:tcW w:w="644" w:type="pct"/>
            <w:vAlign w:val="center"/>
          </w:tcPr>
          <w:p w14:paraId="2B7E81A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44.714232</w:t>
            </w:r>
          </w:p>
        </w:tc>
        <w:tc>
          <w:tcPr>
            <w:tcW w:w="883" w:type="pct"/>
            <w:vMerge w:val="restart"/>
            <w:vAlign w:val="center"/>
          </w:tcPr>
          <w:p w14:paraId="2F3FA56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农村地区中人群较集中区域</w:t>
            </w:r>
          </w:p>
        </w:tc>
        <w:tc>
          <w:tcPr>
            <w:tcW w:w="426" w:type="pct"/>
            <w:vMerge w:val="restart"/>
            <w:vAlign w:val="center"/>
          </w:tcPr>
          <w:p w14:paraId="37BA1952" w14:textId="77777777" w:rsidR="00B14D53" w:rsidRDefault="00000000">
            <w:pPr>
              <w:pStyle w:val="afff2"/>
              <w:spacing w:line="240" w:lineRule="auto"/>
              <w:rPr>
                <w:rFonts w:eastAsiaTheme="minorEastAsia" w:hAnsi="Times New Roman"/>
                <w:snapToGrid w:val="0"/>
              </w:rPr>
            </w:pPr>
            <w:r>
              <w:rPr>
                <w:rFonts w:eastAsiaTheme="minorEastAsia"/>
                <w:snapToGrid w:val="0"/>
              </w:rPr>
              <w:t>人群</w:t>
            </w:r>
          </w:p>
        </w:tc>
        <w:tc>
          <w:tcPr>
            <w:tcW w:w="512" w:type="pct"/>
            <w:vMerge/>
            <w:vAlign w:val="center"/>
          </w:tcPr>
          <w:p w14:paraId="796A26A4" w14:textId="77777777" w:rsidR="00B14D53" w:rsidRDefault="00B14D53">
            <w:pPr>
              <w:pStyle w:val="afff2"/>
              <w:spacing w:line="240" w:lineRule="auto"/>
              <w:rPr>
                <w:rFonts w:eastAsiaTheme="minorEastAsia" w:hAnsi="Times New Roman"/>
                <w:snapToGrid w:val="0"/>
              </w:rPr>
            </w:pPr>
          </w:p>
        </w:tc>
        <w:tc>
          <w:tcPr>
            <w:tcW w:w="511" w:type="pct"/>
            <w:vAlign w:val="center"/>
          </w:tcPr>
          <w:p w14:paraId="78596932"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w:t>
            </w:r>
          </w:p>
        </w:tc>
        <w:tc>
          <w:tcPr>
            <w:tcW w:w="562" w:type="pct"/>
            <w:vAlign w:val="center"/>
          </w:tcPr>
          <w:p w14:paraId="19259AA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2800m</w:t>
            </w:r>
          </w:p>
        </w:tc>
      </w:tr>
      <w:tr w:rsidR="00B14D53" w14:paraId="7B9826B0" w14:textId="77777777">
        <w:trPr>
          <w:jc w:val="center"/>
        </w:trPr>
        <w:tc>
          <w:tcPr>
            <w:tcW w:w="921" w:type="pct"/>
            <w:vAlign w:val="center"/>
          </w:tcPr>
          <w:p w14:paraId="1F3B1C3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郑家屯</w:t>
            </w:r>
            <w:r>
              <w:rPr>
                <w:rFonts w:eastAsiaTheme="minorEastAsia" w:hAnsi="Times New Roman" w:hint="eastAsia"/>
                <w:snapToGrid w:val="0"/>
              </w:rPr>
              <w:t>1</w:t>
            </w:r>
          </w:p>
        </w:tc>
        <w:tc>
          <w:tcPr>
            <w:tcW w:w="539" w:type="pct"/>
            <w:vAlign w:val="center"/>
          </w:tcPr>
          <w:p w14:paraId="39B6EEC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127.189729</w:t>
            </w:r>
          </w:p>
        </w:tc>
        <w:tc>
          <w:tcPr>
            <w:tcW w:w="644" w:type="pct"/>
            <w:vAlign w:val="center"/>
          </w:tcPr>
          <w:p w14:paraId="39F439D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44.706043</w:t>
            </w:r>
          </w:p>
        </w:tc>
        <w:tc>
          <w:tcPr>
            <w:tcW w:w="883" w:type="pct"/>
            <w:vMerge/>
            <w:vAlign w:val="center"/>
          </w:tcPr>
          <w:p w14:paraId="695BC13F"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00118D6B"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3C6AFB31" w14:textId="77777777" w:rsidR="00B14D53" w:rsidRDefault="00B14D53">
            <w:pPr>
              <w:pStyle w:val="afff2"/>
              <w:spacing w:line="240" w:lineRule="auto"/>
              <w:rPr>
                <w:rFonts w:eastAsiaTheme="minorEastAsia" w:hAnsi="Times New Roman"/>
                <w:snapToGrid w:val="0"/>
              </w:rPr>
            </w:pPr>
          </w:p>
        </w:tc>
        <w:tc>
          <w:tcPr>
            <w:tcW w:w="511" w:type="pct"/>
            <w:vAlign w:val="center"/>
          </w:tcPr>
          <w:p w14:paraId="6F335EEA"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w:t>
            </w:r>
          </w:p>
        </w:tc>
        <w:tc>
          <w:tcPr>
            <w:tcW w:w="562" w:type="pct"/>
            <w:vAlign w:val="center"/>
          </w:tcPr>
          <w:p w14:paraId="20CD35D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2450m</w:t>
            </w:r>
          </w:p>
        </w:tc>
      </w:tr>
      <w:tr w:rsidR="00B14D53" w14:paraId="4ECD263D" w14:textId="77777777">
        <w:trPr>
          <w:jc w:val="center"/>
        </w:trPr>
        <w:tc>
          <w:tcPr>
            <w:tcW w:w="921" w:type="pct"/>
            <w:vAlign w:val="center"/>
          </w:tcPr>
          <w:p w14:paraId="1711321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董菜园</w:t>
            </w:r>
          </w:p>
        </w:tc>
        <w:tc>
          <w:tcPr>
            <w:tcW w:w="539" w:type="pct"/>
            <w:vAlign w:val="center"/>
          </w:tcPr>
          <w:p w14:paraId="09BC45E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127.191231</w:t>
            </w:r>
          </w:p>
        </w:tc>
        <w:tc>
          <w:tcPr>
            <w:tcW w:w="644" w:type="pct"/>
            <w:vAlign w:val="center"/>
          </w:tcPr>
          <w:p w14:paraId="16D24759"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44.701560</w:t>
            </w:r>
          </w:p>
        </w:tc>
        <w:tc>
          <w:tcPr>
            <w:tcW w:w="883" w:type="pct"/>
            <w:vMerge/>
            <w:vAlign w:val="center"/>
          </w:tcPr>
          <w:p w14:paraId="1C07DD0D"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74B80CA4"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53C9F660" w14:textId="77777777" w:rsidR="00B14D53" w:rsidRDefault="00B14D53">
            <w:pPr>
              <w:pStyle w:val="afff2"/>
              <w:spacing w:line="240" w:lineRule="auto"/>
              <w:rPr>
                <w:rFonts w:eastAsiaTheme="minorEastAsia" w:hAnsi="Times New Roman"/>
                <w:snapToGrid w:val="0"/>
              </w:rPr>
            </w:pPr>
          </w:p>
        </w:tc>
        <w:tc>
          <w:tcPr>
            <w:tcW w:w="511" w:type="pct"/>
            <w:vAlign w:val="center"/>
          </w:tcPr>
          <w:p w14:paraId="05FD9207"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w:t>
            </w:r>
          </w:p>
        </w:tc>
        <w:tc>
          <w:tcPr>
            <w:tcW w:w="562" w:type="pct"/>
            <w:vAlign w:val="center"/>
          </w:tcPr>
          <w:p w14:paraId="6BD7BF2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2210m</w:t>
            </w:r>
          </w:p>
        </w:tc>
      </w:tr>
      <w:tr w:rsidR="00B14D53" w14:paraId="572761CB" w14:textId="77777777">
        <w:trPr>
          <w:jc w:val="center"/>
        </w:trPr>
        <w:tc>
          <w:tcPr>
            <w:tcW w:w="921" w:type="pct"/>
            <w:vAlign w:val="center"/>
          </w:tcPr>
          <w:p w14:paraId="2F40E1B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徐菜园子</w:t>
            </w:r>
          </w:p>
        </w:tc>
        <w:tc>
          <w:tcPr>
            <w:tcW w:w="539" w:type="pct"/>
            <w:vAlign w:val="center"/>
          </w:tcPr>
          <w:p w14:paraId="6720882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127.196381</w:t>
            </w:r>
          </w:p>
        </w:tc>
        <w:tc>
          <w:tcPr>
            <w:tcW w:w="644" w:type="pct"/>
            <w:vAlign w:val="center"/>
          </w:tcPr>
          <w:p w14:paraId="6614AD2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44.704076</w:t>
            </w:r>
          </w:p>
        </w:tc>
        <w:tc>
          <w:tcPr>
            <w:tcW w:w="883" w:type="pct"/>
            <w:vMerge/>
            <w:vAlign w:val="center"/>
          </w:tcPr>
          <w:p w14:paraId="42441267"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4882D3B5"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5E009BDF" w14:textId="77777777" w:rsidR="00B14D53" w:rsidRDefault="00B14D53">
            <w:pPr>
              <w:pStyle w:val="afff2"/>
              <w:spacing w:line="240" w:lineRule="auto"/>
              <w:rPr>
                <w:rFonts w:eastAsiaTheme="minorEastAsia" w:hAnsi="Times New Roman"/>
                <w:snapToGrid w:val="0"/>
              </w:rPr>
            </w:pPr>
          </w:p>
        </w:tc>
        <w:tc>
          <w:tcPr>
            <w:tcW w:w="511" w:type="pct"/>
            <w:vAlign w:val="center"/>
          </w:tcPr>
          <w:p w14:paraId="5868A109"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w:t>
            </w:r>
          </w:p>
        </w:tc>
        <w:tc>
          <w:tcPr>
            <w:tcW w:w="562" w:type="pct"/>
            <w:vAlign w:val="center"/>
          </w:tcPr>
          <w:p w14:paraId="40F6CD1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1870m</w:t>
            </w:r>
          </w:p>
        </w:tc>
      </w:tr>
      <w:tr w:rsidR="00B14D53" w14:paraId="023BA7B4" w14:textId="77777777">
        <w:trPr>
          <w:jc w:val="center"/>
        </w:trPr>
        <w:tc>
          <w:tcPr>
            <w:tcW w:w="921" w:type="pct"/>
            <w:vAlign w:val="center"/>
          </w:tcPr>
          <w:p w14:paraId="1CDF928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丁白长屯</w:t>
            </w:r>
          </w:p>
        </w:tc>
        <w:tc>
          <w:tcPr>
            <w:tcW w:w="539" w:type="pct"/>
            <w:vAlign w:val="center"/>
          </w:tcPr>
          <w:p w14:paraId="4805CA9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127.192432</w:t>
            </w:r>
          </w:p>
        </w:tc>
        <w:tc>
          <w:tcPr>
            <w:tcW w:w="644" w:type="pct"/>
            <w:vAlign w:val="center"/>
          </w:tcPr>
          <w:p w14:paraId="213AED5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44.698113</w:t>
            </w:r>
          </w:p>
        </w:tc>
        <w:tc>
          <w:tcPr>
            <w:tcW w:w="883" w:type="pct"/>
            <w:vMerge/>
            <w:vAlign w:val="center"/>
          </w:tcPr>
          <w:p w14:paraId="6CB0B3B7"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51EB76C1"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5137ACF1" w14:textId="77777777" w:rsidR="00B14D53" w:rsidRDefault="00B14D53">
            <w:pPr>
              <w:pStyle w:val="afff2"/>
              <w:spacing w:line="240" w:lineRule="auto"/>
              <w:rPr>
                <w:rFonts w:eastAsiaTheme="minorEastAsia" w:hAnsi="Times New Roman"/>
                <w:snapToGrid w:val="0"/>
              </w:rPr>
            </w:pPr>
          </w:p>
        </w:tc>
        <w:tc>
          <w:tcPr>
            <w:tcW w:w="511" w:type="pct"/>
            <w:vAlign w:val="center"/>
          </w:tcPr>
          <w:p w14:paraId="5FF289CB"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W</w:t>
            </w:r>
          </w:p>
        </w:tc>
        <w:tc>
          <w:tcPr>
            <w:tcW w:w="562" w:type="pct"/>
            <w:vAlign w:val="center"/>
          </w:tcPr>
          <w:p w14:paraId="769D0E5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2050m</w:t>
            </w:r>
          </w:p>
        </w:tc>
      </w:tr>
      <w:tr w:rsidR="00B14D53" w14:paraId="5FB1363B" w14:textId="77777777">
        <w:trPr>
          <w:jc w:val="center"/>
        </w:trPr>
        <w:tc>
          <w:tcPr>
            <w:tcW w:w="921" w:type="pct"/>
            <w:vAlign w:val="center"/>
          </w:tcPr>
          <w:p w14:paraId="459D492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陈粉房</w:t>
            </w:r>
          </w:p>
        </w:tc>
        <w:tc>
          <w:tcPr>
            <w:tcW w:w="539" w:type="pct"/>
            <w:vAlign w:val="center"/>
          </w:tcPr>
          <w:p w14:paraId="3E0D4AA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127.191896</w:t>
            </w:r>
          </w:p>
        </w:tc>
        <w:tc>
          <w:tcPr>
            <w:tcW w:w="644" w:type="pct"/>
            <w:vAlign w:val="center"/>
          </w:tcPr>
          <w:p w14:paraId="1EF6749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44.691264</w:t>
            </w:r>
          </w:p>
        </w:tc>
        <w:tc>
          <w:tcPr>
            <w:tcW w:w="883" w:type="pct"/>
            <w:vMerge/>
            <w:vAlign w:val="center"/>
          </w:tcPr>
          <w:p w14:paraId="6FE4737D"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2A2F750D"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79AA4A43" w14:textId="77777777" w:rsidR="00B14D53" w:rsidRDefault="00B14D53">
            <w:pPr>
              <w:pStyle w:val="afff2"/>
              <w:spacing w:line="240" w:lineRule="auto"/>
              <w:rPr>
                <w:rFonts w:eastAsiaTheme="minorEastAsia" w:hAnsi="Times New Roman"/>
                <w:snapToGrid w:val="0"/>
              </w:rPr>
            </w:pPr>
          </w:p>
        </w:tc>
        <w:tc>
          <w:tcPr>
            <w:tcW w:w="511" w:type="pct"/>
            <w:vAlign w:val="center"/>
          </w:tcPr>
          <w:p w14:paraId="14EFE4AD" w14:textId="77777777" w:rsidR="00B14D53" w:rsidRDefault="00000000">
            <w:pPr>
              <w:pStyle w:val="afff2"/>
              <w:spacing w:line="240" w:lineRule="auto"/>
              <w:rPr>
                <w:rFonts w:eastAsiaTheme="minorEastAsia" w:hAnsi="Times New Roman"/>
              </w:rPr>
            </w:pPr>
            <w:r>
              <w:rPr>
                <w:rFonts w:eastAsiaTheme="minorEastAsia" w:hAnsi="Times New Roman" w:hint="eastAsia"/>
              </w:rPr>
              <w:t>SW</w:t>
            </w:r>
          </w:p>
        </w:tc>
        <w:tc>
          <w:tcPr>
            <w:tcW w:w="562" w:type="pct"/>
            <w:vAlign w:val="center"/>
          </w:tcPr>
          <w:p w14:paraId="52248FE5"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2230m</w:t>
            </w:r>
          </w:p>
        </w:tc>
      </w:tr>
      <w:tr w:rsidR="00B14D53" w14:paraId="307FFF0C" w14:textId="77777777">
        <w:trPr>
          <w:jc w:val="center"/>
        </w:trPr>
        <w:tc>
          <w:tcPr>
            <w:tcW w:w="921" w:type="pct"/>
            <w:vAlign w:val="center"/>
          </w:tcPr>
          <w:p w14:paraId="2C7A60C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郑家屯</w:t>
            </w:r>
            <w:r>
              <w:rPr>
                <w:rFonts w:eastAsiaTheme="minorEastAsia" w:hAnsi="Times New Roman" w:hint="eastAsia"/>
                <w:snapToGrid w:val="0"/>
              </w:rPr>
              <w:t>2</w:t>
            </w:r>
          </w:p>
        </w:tc>
        <w:tc>
          <w:tcPr>
            <w:tcW w:w="539" w:type="pct"/>
            <w:vAlign w:val="center"/>
          </w:tcPr>
          <w:p w14:paraId="6DE0A3D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127.192497</w:t>
            </w:r>
          </w:p>
        </w:tc>
        <w:tc>
          <w:tcPr>
            <w:tcW w:w="644" w:type="pct"/>
            <w:vAlign w:val="center"/>
          </w:tcPr>
          <w:p w14:paraId="5DFA434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44.682110</w:t>
            </w:r>
          </w:p>
        </w:tc>
        <w:tc>
          <w:tcPr>
            <w:tcW w:w="883" w:type="pct"/>
            <w:vMerge/>
            <w:vAlign w:val="center"/>
          </w:tcPr>
          <w:p w14:paraId="64F2C77D"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50DBED10"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202252CF" w14:textId="77777777" w:rsidR="00B14D53" w:rsidRDefault="00B14D53">
            <w:pPr>
              <w:pStyle w:val="afff2"/>
              <w:spacing w:line="240" w:lineRule="auto"/>
              <w:rPr>
                <w:rFonts w:eastAsiaTheme="minorEastAsia" w:hAnsi="Times New Roman"/>
                <w:snapToGrid w:val="0"/>
              </w:rPr>
            </w:pPr>
          </w:p>
        </w:tc>
        <w:tc>
          <w:tcPr>
            <w:tcW w:w="511" w:type="pct"/>
            <w:vAlign w:val="center"/>
          </w:tcPr>
          <w:p w14:paraId="5FCF9A6D" w14:textId="77777777" w:rsidR="00B14D53" w:rsidRDefault="00000000">
            <w:pPr>
              <w:pStyle w:val="afff2"/>
              <w:spacing w:line="240" w:lineRule="auto"/>
              <w:rPr>
                <w:rFonts w:eastAsiaTheme="minorEastAsia" w:hAnsi="Times New Roman"/>
              </w:rPr>
            </w:pPr>
            <w:r>
              <w:rPr>
                <w:rFonts w:eastAsiaTheme="minorEastAsia" w:hAnsi="Times New Roman" w:hint="eastAsia"/>
              </w:rPr>
              <w:t>SW</w:t>
            </w:r>
          </w:p>
        </w:tc>
        <w:tc>
          <w:tcPr>
            <w:tcW w:w="562" w:type="pct"/>
            <w:vAlign w:val="center"/>
          </w:tcPr>
          <w:p w14:paraId="3A642F8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2710m</w:t>
            </w:r>
          </w:p>
        </w:tc>
      </w:tr>
      <w:tr w:rsidR="00B14D53" w14:paraId="580DF1D5" w14:textId="77777777">
        <w:trPr>
          <w:jc w:val="center"/>
        </w:trPr>
        <w:tc>
          <w:tcPr>
            <w:tcW w:w="921" w:type="pct"/>
            <w:vAlign w:val="center"/>
          </w:tcPr>
          <w:p w14:paraId="39684142"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前福安</w:t>
            </w:r>
          </w:p>
        </w:tc>
        <w:tc>
          <w:tcPr>
            <w:tcW w:w="539" w:type="pct"/>
            <w:vAlign w:val="center"/>
          </w:tcPr>
          <w:p w14:paraId="6F9C48E8"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127.204813</w:t>
            </w:r>
          </w:p>
        </w:tc>
        <w:tc>
          <w:tcPr>
            <w:tcW w:w="644" w:type="pct"/>
            <w:vAlign w:val="center"/>
          </w:tcPr>
          <w:p w14:paraId="59A5D48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44.686642</w:t>
            </w:r>
          </w:p>
        </w:tc>
        <w:tc>
          <w:tcPr>
            <w:tcW w:w="883" w:type="pct"/>
            <w:vMerge/>
            <w:vAlign w:val="center"/>
          </w:tcPr>
          <w:p w14:paraId="49D64C2D"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3D354918"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4041E307" w14:textId="77777777" w:rsidR="00B14D53" w:rsidRDefault="00B14D53">
            <w:pPr>
              <w:pStyle w:val="afff2"/>
              <w:spacing w:line="240" w:lineRule="auto"/>
              <w:rPr>
                <w:rFonts w:eastAsiaTheme="minorEastAsia" w:hAnsi="Times New Roman"/>
                <w:snapToGrid w:val="0"/>
              </w:rPr>
            </w:pPr>
          </w:p>
        </w:tc>
        <w:tc>
          <w:tcPr>
            <w:tcW w:w="511" w:type="pct"/>
            <w:vAlign w:val="center"/>
          </w:tcPr>
          <w:p w14:paraId="3AAF5E0F" w14:textId="77777777" w:rsidR="00B14D53" w:rsidRDefault="00000000">
            <w:pPr>
              <w:pStyle w:val="afff2"/>
              <w:spacing w:line="240" w:lineRule="auto"/>
              <w:rPr>
                <w:rFonts w:eastAsiaTheme="minorEastAsia" w:hAnsi="Times New Roman"/>
              </w:rPr>
            </w:pPr>
            <w:r>
              <w:rPr>
                <w:rFonts w:eastAsiaTheme="minorEastAsia" w:hAnsi="Times New Roman" w:hint="eastAsia"/>
              </w:rPr>
              <w:t>SW</w:t>
            </w:r>
          </w:p>
        </w:tc>
        <w:tc>
          <w:tcPr>
            <w:tcW w:w="562" w:type="pct"/>
            <w:vAlign w:val="center"/>
          </w:tcPr>
          <w:p w14:paraId="74B8291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1650m</w:t>
            </w:r>
          </w:p>
        </w:tc>
      </w:tr>
      <w:tr w:rsidR="00B14D53" w14:paraId="77935FF6" w14:textId="77777777">
        <w:trPr>
          <w:jc w:val="center"/>
        </w:trPr>
        <w:tc>
          <w:tcPr>
            <w:tcW w:w="921" w:type="pct"/>
            <w:vAlign w:val="center"/>
          </w:tcPr>
          <w:p w14:paraId="2A03707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腰福安</w:t>
            </w:r>
          </w:p>
        </w:tc>
        <w:tc>
          <w:tcPr>
            <w:tcW w:w="539" w:type="pct"/>
            <w:vAlign w:val="center"/>
          </w:tcPr>
          <w:p w14:paraId="60FF4BC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127.212946</w:t>
            </w:r>
          </w:p>
        </w:tc>
        <w:tc>
          <w:tcPr>
            <w:tcW w:w="644" w:type="pct"/>
            <w:vAlign w:val="center"/>
          </w:tcPr>
          <w:p w14:paraId="3D0A8EA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44.689403</w:t>
            </w:r>
          </w:p>
        </w:tc>
        <w:tc>
          <w:tcPr>
            <w:tcW w:w="883" w:type="pct"/>
            <w:vMerge/>
            <w:vAlign w:val="center"/>
          </w:tcPr>
          <w:p w14:paraId="5910289C"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5BF2D77D"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0E41C90E" w14:textId="77777777" w:rsidR="00B14D53" w:rsidRDefault="00B14D53">
            <w:pPr>
              <w:pStyle w:val="afff2"/>
              <w:spacing w:line="240" w:lineRule="auto"/>
              <w:rPr>
                <w:rFonts w:eastAsiaTheme="minorEastAsia" w:hAnsi="Times New Roman"/>
                <w:snapToGrid w:val="0"/>
              </w:rPr>
            </w:pPr>
          </w:p>
        </w:tc>
        <w:tc>
          <w:tcPr>
            <w:tcW w:w="511" w:type="pct"/>
            <w:vAlign w:val="center"/>
          </w:tcPr>
          <w:p w14:paraId="0CCACE1E" w14:textId="77777777" w:rsidR="00B14D53" w:rsidRDefault="00000000">
            <w:pPr>
              <w:pStyle w:val="afff2"/>
              <w:spacing w:line="240" w:lineRule="auto"/>
              <w:rPr>
                <w:rFonts w:eastAsiaTheme="minorEastAsia" w:hAnsi="Times New Roman"/>
              </w:rPr>
            </w:pPr>
            <w:r>
              <w:rPr>
                <w:rFonts w:eastAsiaTheme="minorEastAsia" w:hAnsi="Times New Roman" w:hint="eastAsia"/>
              </w:rPr>
              <w:t>SW</w:t>
            </w:r>
          </w:p>
        </w:tc>
        <w:tc>
          <w:tcPr>
            <w:tcW w:w="562" w:type="pct"/>
            <w:vAlign w:val="center"/>
          </w:tcPr>
          <w:p w14:paraId="5B5218E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1030m</w:t>
            </w:r>
          </w:p>
        </w:tc>
      </w:tr>
      <w:tr w:rsidR="00B14D53" w14:paraId="792A0D79" w14:textId="77777777">
        <w:trPr>
          <w:jc w:val="center"/>
        </w:trPr>
        <w:tc>
          <w:tcPr>
            <w:tcW w:w="921" w:type="pct"/>
            <w:vAlign w:val="center"/>
          </w:tcPr>
          <w:p w14:paraId="6BD56A15"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马家屯</w:t>
            </w:r>
          </w:p>
        </w:tc>
        <w:tc>
          <w:tcPr>
            <w:tcW w:w="539" w:type="pct"/>
            <w:vAlign w:val="center"/>
          </w:tcPr>
          <w:p w14:paraId="7553A26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127.219941</w:t>
            </w:r>
          </w:p>
        </w:tc>
        <w:tc>
          <w:tcPr>
            <w:tcW w:w="644" w:type="pct"/>
            <w:vAlign w:val="center"/>
          </w:tcPr>
          <w:p w14:paraId="248B717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44.683789</w:t>
            </w:r>
          </w:p>
        </w:tc>
        <w:tc>
          <w:tcPr>
            <w:tcW w:w="883" w:type="pct"/>
            <w:vMerge/>
            <w:vAlign w:val="center"/>
          </w:tcPr>
          <w:p w14:paraId="148BABEF"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4D4FA5EC"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039D2E1F" w14:textId="77777777" w:rsidR="00B14D53" w:rsidRDefault="00B14D53">
            <w:pPr>
              <w:pStyle w:val="afff2"/>
              <w:spacing w:line="240" w:lineRule="auto"/>
              <w:rPr>
                <w:rFonts w:eastAsiaTheme="minorEastAsia" w:hAnsi="Times New Roman"/>
                <w:snapToGrid w:val="0"/>
              </w:rPr>
            </w:pPr>
          </w:p>
        </w:tc>
        <w:tc>
          <w:tcPr>
            <w:tcW w:w="511" w:type="pct"/>
            <w:vAlign w:val="center"/>
          </w:tcPr>
          <w:p w14:paraId="3FFF1781" w14:textId="77777777" w:rsidR="00B14D53" w:rsidRDefault="00000000">
            <w:pPr>
              <w:pStyle w:val="afff2"/>
              <w:spacing w:line="240" w:lineRule="auto"/>
              <w:rPr>
                <w:rFonts w:eastAsiaTheme="minorEastAsia" w:hAnsi="Times New Roman"/>
              </w:rPr>
            </w:pPr>
            <w:r>
              <w:rPr>
                <w:rFonts w:eastAsiaTheme="minorEastAsia" w:hAnsi="Times New Roman" w:hint="eastAsia"/>
              </w:rPr>
              <w:t>S</w:t>
            </w:r>
          </w:p>
        </w:tc>
        <w:tc>
          <w:tcPr>
            <w:tcW w:w="562" w:type="pct"/>
            <w:vAlign w:val="center"/>
          </w:tcPr>
          <w:p w14:paraId="38358B3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1530m</w:t>
            </w:r>
          </w:p>
        </w:tc>
      </w:tr>
      <w:tr w:rsidR="00B14D53" w14:paraId="064142B7" w14:textId="77777777">
        <w:trPr>
          <w:jc w:val="center"/>
        </w:trPr>
        <w:tc>
          <w:tcPr>
            <w:tcW w:w="921" w:type="pct"/>
            <w:vAlign w:val="center"/>
          </w:tcPr>
          <w:p w14:paraId="5D53D50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靠山屯</w:t>
            </w:r>
          </w:p>
        </w:tc>
        <w:tc>
          <w:tcPr>
            <w:tcW w:w="539" w:type="pct"/>
            <w:vAlign w:val="center"/>
          </w:tcPr>
          <w:p w14:paraId="741FD03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127.241098</w:t>
            </w:r>
          </w:p>
        </w:tc>
        <w:tc>
          <w:tcPr>
            <w:tcW w:w="644" w:type="pct"/>
            <w:vAlign w:val="center"/>
          </w:tcPr>
          <w:p w14:paraId="0384D9E8"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44.678838</w:t>
            </w:r>
          </w:p>
        </w:tc>
        <w:tc>
          <w:tcPr>
            <w:tcW w:w="883" w:type="pct"/>
            <w:vMerge/>
            <w:vAlign w:val="center"/>
          </w:tcPr>
          <w:p w14:paraId="1AA844AB"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445F0E1E"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0DAD5F02" w14:textId="77777777" w:rsidR="00B14D53" w:rsidRDefault="00B14D53">
            <w:pPr>
              <w:pStyle w:val="afff2"/>
              <w:spacing w:line="240" w:lineRule="auto"/>
              <w:rPr>
                <w:rFonts w:eastAsiaTheme="minorEastAsia" w:hAnsi="Times New Roman"/>
                <w:snapToGrid w:val="0"/>
              </w:rPr>
            </w:pPr>
          </w:p>
        </w:tc>
        <w:tc>
          <w:tcPr>
            <w:tcW w:w="511" w:type="pct"/>
            <w:vAlign w:val="center"/>
          </w:tcPr>
          <w:p w14:paraId="4F22757D" w14:textId="77777777" w:rsidR="00B14D53" w:rsidRDefault="00000000">
            <w:pPr>
              <w:pStyle w:val="afff2"/>
              <w:spacing w:line="240" w:lineRule="auto"/>
              <w:rPr>
                <w:rFonts w:eastAsiaTheme="minorEastAsia" w:hAnsi="Times New Roman"/>
              </w:rPr>
            </w:pPr>
            <w:r>
              <w:rPr>
                <w:rFonts w:eastAsiaTheme="minorEastAsia" w:hAnsi="Times New Roman" w:hint="eastAsia"/>
              </w:rPr>
              <w:t>SE</w:t>
            </w:r>
          </w:p>
        </w:tc>
        <w:tc>
          <w:tcPr>
            <w:tcW w:w="562" w:type="pct"/>
            <w:vAlign w:val="center"/>
          </w:tcPr>
          <w:p w14:paraId="78022B3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2690m</w:t>
            </w:r>
          </w:p>
        </w:tc>
      </w:tr>
      <w:tr w:rsidR="00B14D53" w14:paraId="17805068" w14:textId="77777777">
        <w:trPr>
          <w:jc w:val="center"/>
        </w:trPr>
        <w:tc>
          <w:tcPr>
            <w:tcW w:w="921" w:type="pct"/>
            <w:vAlign w:val="center"/>
          </w:tcPr>
          <w:p w14:paraId="10A916A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五间房</w:t>
            </w:r>
          </w:p>
        </w:tc>
        <w:tc>
          <w:tcPr>
            <w:tcW w:w="539" w:type="pct"/>
            <w:vAlign w:val="center"/>
          </w:tcPr>
          <w:p w14:paraId="41D7235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127.249413</w:t>
            </w:r>
          </w:p>
        </w:tc>
        <w:tc>
          <w:tcPr>
            <w:tcW w:w="644" w:type="pct"/>
            <w:vAlign w:val="center"/>
          </w:tcPr>
          <w:p w14:paraId="75749C0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44.684239</w:t>
            </w:r>
          </w:p>
        </w:tc>
        <w:tc>
          <w:tcPr>
            <w:tcW w:w="883" w:type="pct"/>
            <w:vMerge/>
            <w:vAlign w:val="center"/>
          </w:tcPr>
          <w:p w14:paraId="15935C77"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514F0E7B"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60EB68F0" w14:textId="77777777" w:rsidR="00B14D53" w:rsidRDefault="00B14D53">
            <w:pPr>
              <w:pStyle w:val="afff2"/>
              <w:spacing w:line="240" w:lineRule="auto"/>
              <w:rPr>
                <w:rFonts w:eastAsiaTheme="minorEastAsia" w:hAnsi="Times New Roman"/>
                <w:snapToGrid w:val="0"/>
              </w:rPr>
            </w:pPr>
          </w:p>
        </w:tc>
        <w:tc>
          <w:tcPr>
            <w:tcW w:w="511" w:type="pct"/>
            <w:vAlign w:val="center"/>
          </w:tcPr>
          <w:p w14:paraId="42259A60" w14:textId="77777777" w:rsidR="00B14D53" w:rsidRDefault="00000000">
            <w:pPr>
              <w:pStyle w:val="afff2"/>
              <w:spacing w:line="240" w:lineRule="auto"/>
              <w:rPr>
                <w:rFonts w:eastAsiaTheme="minorEastAsia" w:hAnsi="Times New Roman"/>
              </w:rPr>
            </w:pPr>
            <w:r>
              <w:rPr>
                <w:rFonts w:eastAsiaTheme="minorEastAsia" w:hAnsi="Times New Roman" w:hint="eastAsia"/>
              </w:rPr>
              <w:t>SE</w:t>
            </w:r>
          </w:p>
        </w:tc>
        <w:tc>
          <w:tcPr>
            <w:tcW w:w="562" w:type="pct"/>
            <w:vAlign w:val="center"/>
          </w:tcPr>
          <w:p w14:paraId="37A030E3"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2800m</w:t>
            </w:r>
          </w:p>
        </w:tc>
      </w:tr>
      <w:tr w:rsidR="00B14D53" w14:paraId="38273E13" w14:textId="77777777">
        <w:trPr>
          <w:jc w:val="center"/>
        </w:trPr>
        <w:tc>
          <w:tcPr>
            <w:tcW w:w="921" w:type="pct"/>
            <w:vAlign w:val="center"/>
          </w:tcPr>
          <w:p w14:paraId="30995463"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太平山村</w:t>
            </w:r>
          </w:p>
        </w:tc>
        <w:tc>
          <w:tcPr>
            <w:tcW w:w="539" w:type="pct"/>
            <w:vAlign w:val="center"/>
          </w:tcPr>
          <w:p w14:paraId="0547330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127.244510</w:t>
            </w:r>
          </w:p>
        </w:tc>
        <w:tc>
          <w:tcPr>
            <w:tcW w:w="644" w:type="pct"/>
            <w:vAlign w:val="center"/>
          </w:tcPr>
          <w:p w14:paraId="177E78C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44.694749</w:t>
            </w:r>
          </w:p>
        </w:tc>
        <w:tc>
          <w:tcPr>
            <w:tcW w:w="883" w:type="pct"/>
            <w:vMerge/>
            <w:vAlign w:val="center"/>
          </w:tcPr>
          <w:p w14:paraId="69ED2CB5"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4AD90C98"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03C51231" w14:textId="77777777" w:rsidR="00B14D53" w:rsidRDefault="00B14D53">
            <w:pPr>
              <w:pStyle w:val="afff2"/>
              <w:spacing w:line="240" w:lineRule="auto"/>
              <w:rPr>
                <w:rFonts w:eastAsiaTheme="minorEastAsia" w:hAnsi="Times New Roman"/>
                <w:snapToGrid w:val="0"/>
              </w:rPr>
            </w:pPr>
          </w:p>
        </w:tc>
        <w:tc>
          <w:tcPr>
            <w:tcW w:w="511" w:type="pct"/>
            <w:vAlign w:val="center"/>
          </w:tcPr>
          <w:p w14:paraId="3A5795A7" w14:textId="77777777" w:rsidR="00B14D53" w:rsidRDefault="00000000">
            <w:pPr>
              <w:pStyle w:val="afff2"/>
              <w:spacing w:line="240" w:lineRule="auto"/>
              <w:rPr>
                <w:rFonts w:eastAsiaTheme="minorEastAsia" w:hAnsi="Times New Roman"/>
              </w:rPr>
            </w:pPr>
            <w:r>
              <w:rPr>
                <w:rFonts w:eastAsiaTheme="minorEastAsia" w:hAnsi="Times New Roman" w:hint="eastAsia"/>
              </w:rPr>
              <w:t>SE</w:t>
            </w:r>
          </w:p>
        </w:tc>
        <w:tc>
          <w:tcPr>
            <w:tcW w:w="562" w:type="pct"/>
            <w:vAlign w:val="center"/>
          </w:tcPr>
          <w:p w14:paraId="4D14F5D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2010m</w:t>
            </w:r>
          </w:p>
        </w:tc>
      </w:tr>
      <w:tr w:rsidR="00B14D53" w14:paraId="5A97F211" w14:textId="77777777">
        <w:trPr>
          <w:jc w:val="center"/>
        </w:trPr>
        <w:tc>
          <w:tcPr>
            <w:tcW w:w="921" w:type="pct"/>
            <w:vAlign w:val="center"/>
          </w:tcPr>
          <w:p w14:paraId="54852F0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香房孙家</w:t>
            </w:r>
          </w:p>
        </w:tc>
        <w:tc>
          <w:tcPr>
            <w:tcW w:w="539" w:type="pct"/>
            <w:vAlign w:val="center"/>
          </w:tcPr>
          <w:p w14:paraId="1468F383"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127.234425</w:t>
            </w:r>
          </w:p>
        </w:tc>
        <w:tc>
          <w:tcPr>
            <w:tcW w:w="644" w:type="pct"/>
            <w:vAlign w:val="center"/>
          </w:tcPr>
          <w:p w14:paraId="19529A45"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44.702955</w:t>
            </w:r>
          </w:p>
        </w:tc>
        <w:tc>
          <w:tcPr>
            <w:tcW w:w="883" w:type="pct"/>
            <w:vMerge/>
            <w:vAlign w:val="center"/>
          </w:tcPr>
          <w:p w14:paraId="10F50CF4"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23FEB5D9"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7D930B10" w14:textId="77777777" w:rsidR="00B14D53" w:rsidRDefault="00B14D53">
            <w:pPr>
              <w:pStyle w:val="afff2"/>
              <w:spacing w:line="240" w:lineRule="auto"/>
              <w:rPr>
                <w:rFonts w:eastAsiaTheme="minorEastAsia" w:hAnsi="Times New Roman"/>
                <w:snapToGrid w:val="0"/>
              </w:rPr>
            </w:pPr>
          </w:p>
        </w:tc>
        <w:tc>
          <w:tcPr>
            <w:tcW w:w="511" w:type="pct"/>
            <w:vAlign w:val="center"/>
          </w:tcPr>
          <w:p w14:paraId="0D1C5EB9" w14:textId="77777777" w:rsidR="00B14D53" w:rsidRDefault="00000000">
            <w:pPr>
              <w:pStyle w:val="afff2"/>
              <w:spacing w:line="240" w:lineRule="auto"/>
              <w:rPr>
                <w:rFonts w:eastAsiaTheme="minorEastAsia" w:hAnsi="Times New Roman"/>
              </w:rPr>
            </w:pPr>
            <w:r>
              <w:rPr>
                <w:rFonts w:eastAsiaTheme="minorEastAsia" w:hAnsi="Times New Roman" w:hint="eastAsia"/>
              </w:rPr>
              <w:t>SE</w:t>
            </w:r>
          </w:p>
        </w:tc>
        <w:tc>
          <w:tcPr>
            <w:tcW w:w="562" w:type="pct"/>
            <w:vAlign w:val="center"/>
          </w:tcPr>
          <w:p w14:paraId="146AA71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1180m</w:t>
            </w:r>
          </w:p>
        </w:tc>
      </w:tr>
    </w:tbl>
    <w:p w14:paraId="122E6D8A" w14:textId="77777777" w:rsidR="00B14D53" w:rsidRDefault="00B14D53">
      <w:pPr>
        <w:spacing w:line="360" w:lineRule="auto"/>
        <w:contextualSpacing/>
        <w:jc w:val="center"/>
        <w:rPr>
          <w:rFonts w:eastAsiaTheme="minorEastAsia" w:hAnsiTheme="minorEastAsia" w:hint="eastAsia"/>
          <w:b/>
          <w:kern w:val="0"/>
          <w:sz w:val="24"/>
        </w:rPr>
      </w:pPr>
    </w:p>
    <w:p w14:paraId="1A2D082C" w14:textId="77777777" w:rsidR="00B14D53" w:rsidRDefault="00000000">
      <w:pPr>
        <w:jc w:val="center"/>
        <w:rPr>
          <w:b/>
          <w:bCs/>
        </w:rPr>
      </w:pPr>
      <w:r>
        <w:rPr>
          <w:rFonts w:hint="eastAsia"/>
          <w:b/>
          <w:bCs/>
        </w:rPr>
        <w:t>续表</w:t>
      </w:r>
      <w:r>
        <w:rPr>
          <w:rFonts w:hint="eastAsia"/>
          <w:b/>
          <w:bCs/>
        </w:rPr>
        <w:t xml:space="preserve">2-6-1 </w:t>
      </w:r>
      <w:r>
        <w:rPr>
          <w:rFonts w:hint="eastAsia"/>
          <w:b/>
          <w:bCs/>
        </w:rPr>
        <w:t>环境空气保护目标一览表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70"/>
        <w:gridCol w:w="1504"/>
        <w:gridCol w:w="1797"/>
        <w:gridCol w:w="2464"/>
        <w:gridCol w:w="1189"/>
        <w:gridCol w:w="1429"/>
        <w:gridCol w:w="1426"/>
        <w:gridCol w:w="1568"/>
      </w:tblGrid>
      <w:tr w:rsidR="00B14D53" w14:paraId="7AFCE4E5" w14:textId="77777777">
        <w:trPr>
          <w:jc w:val="center"/>
        </w:trPr>
        <w:tc>
          <w:tcPr>
            <w:tcW w:w="921" w:type="pct"/>
            <w:vMerge w:val="restart"/>
            <w:vAlign w:val="center"/>
          </w:tcPr>
          <w:p w14:paraId="4C9F4CE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山河屯林业局居民</w:t>
            </w:r>
          </w:p>
        </w:tc>
        <w:tc>
          <w:tcPr>
            <w:tcW w:w="539" w:type="pct"/>
            <w:vAlign w:val="center"/>
          </w:tcPr>
          <w:p w14:paraId="16575B92"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127.222495</w:t>
            </w:r>
          </w:p>
        </w:tc>
        <w:tc>
          <w:tcPr>
            <w:tcW w:w="644" w:type="pct"/>
            <w:vAlign w:val="center"/>
          </w:tcPr>
          <w:p w14:paraId="3060B559"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44.699188</w:t>
            </w:r>
          </w:p>
        </w:tc>
        <w:tc>
          <w:tcPr>
            <w:tcW w:w="883" w:type="pct"/>
            <w:vMerge w:val="restart"/>
            <w:vAlign w:val="center"/>
          </w:tcPr>
          <w:p w14:paraId="0919F1D9"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居住区</w:t>
            </w:r>
          </w:p>
        </w:tc>
        <w:tc>
          <w:tcPr>
            <w:tcW w:w="426" w:type="pct"/>
            <w:vMerge w:val="restart"/>
            <w:vAlign w:val="center"/>
          </w:tcPr>
          <w:p w14:paraId="435FD57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人群</w:t>
            </w:r>
          </w:p>
        </w:tc>
        <w:tc>
          <w:tcPr>
            <w:tcW w:w="512" w:type="pct"/>
            <w:vMerge w:val="restart"/>
            <w:vAlign w:val="center"/>
          </w:tcPr>
          <w:p w14:paraId="4E8E1D7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二类区</w:t>
            </w:r>
          </w:p>
        </w:tc>
        <w:tc>
          <w:tcPr>
            <w:tcW w:w="511" w:type="pct"/>
            <w:vAlign w:val="center"/>
          </w:tcPr>
          <w:p w14:paraId="3D0C2349" w14:textId="77777777" w:rsidR="00B14D53" w:rsidRDefault="00000000">
            <w:pPr>
              <w:pStyle w:val="afff2"/>
              <w:spacing w:line="240" w:lineRule="auto"/>
              <w:rPr>
                <w:rFonts w:eastAsiaTheme="minorEastAsia" w:hAnsi="Times New Roman"/>
              </w:rPr>
            </w:pPr>
            <w:r>
              <w:rPr>
                <w:rFonts w:eastAsiaTheme="minorEastAsia" w:hAnsi="Times New Roman" w:hint="eastAsia"/>
              </w:rPr>
              <w:t>NE</w:t>
            </w:r>
          </w:p>
        </w:tc>
        <w:tc>
          <w:tcPr>
            <w:tcW w:w="562" w:type="pct"/>
            <w:vAlign w:val="center"/>
          </w:tcPr>
          <w:p w14:paraId="15B279F2"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240m</w:t>
            </w:r>
          </w:p>
        </w:tc>
      </w:tr>
      <w:tr w:rsidR="00B14D53" w14:paraId="33889BE3" w14:textId="77777777">
        <w:trPr>
          <w:jc w:val="center"/>
        </w:trPr>
        <w:tc>
          <w:tcPr>
            <w:tcW w:w="921" w:type="pct"/>
            <w:vMerge/>
            <w:vAlign w:val="center"/>
          </w:tcPr>
          <w:p w14:paraId="52E616EF" w14:textId="77777777" w:rsidR="00B14D53" w:rsidRDefault="00B14D53">
            <w:pPr>
              <w:pStyle w:val="afff2"/>
              <w:spacing w:line="240" w:lineRule="auto"/>
              <w:rPr>
                <w:rFonts w:eastAsiaTheme="minorEastAsia" w:hAnsi="Times New Roman"/>
                <w:snapToGrid w:val="0"/>
              </w:rPr>
            </w:pPr>
          </w:p>
        </w:tc>
        <w:tc>
          <w:tcPr>
            <w:tcW w:w="539" w:type="pct"/>
            <w:vAlign w:val="center"/>
          </w:tcPr>
          <w:p w14:paraId="600A9E79"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127.219147</w:t>
            </w:r>
          </w:p>
        </w:tc>
        <w:tc>
          <w:tcPr>
            <w:tcW w:w="644" w:type="pct"/>
            <w:vAlign w:val="center"/>
          </w:tcPr>
          <w:p w14:paraId="126E6505"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44.704823</w:t>
            </w:r>
          </w:p>
        </w:tc>
        <w:tc>
          <w:tcPr>
            <w:tcW w:w="883" w:type="pct"/>
            <w:vMerge/>
            <w:vAlign w:val="center"/>
          </w:tcPr>
          <w:p w14:paraId="30263B39"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45BABB58"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27B1FD4E" w14:textId="77777777" w:rsidR="00B14D53" w:rsidRDefault="00B14D53">
            <w:pPr>
              <w:pStyle w:val="afff2"/>
              <w:spacing w:line="240" w:lineRule="auto"/>
              <w:rPr>
                <w:rFonts w:eastAsiaTheme="minorEastAsia" w:hAnsi="Times New Roman"/>
                <w:snapToGrid w:val="0"/>
              </w:rPr>
            </w:pPr>
          </w:p>
        </w:tc>
        <w:tc>
          <w:tcPr>
            <w:tcW w:w="511" w:type="pct"/>
            <w:vAlign w:val="center"/>
          </w:tcPr>
          <w:p w14:paraId="724F671C" w14:textId="77777777" w:rsidR="00B14D53" w:rsidRDefault="00000000">
            <w:pPr>
              <w:pStyle w:val="afff2"/>
              <w:spacing w:line="240" w:lineRule="auto"/>
              <w:rPr>
                <w:rFonts w:eastAsiaTheme="minorEastAsia" w:hAnsi="Times New Roman"/>
              </w:rPr>
            </w:pPr>
            <w:r>
              <w:rPr>
                <w:rFonts w:eastAsiaTheme="minorEastAsia" w:hAnsi="Times New Roman" w:hint="eastAsia"/>
              </w:rPr>
              <w:t>N</w:t>
            </w:r>
          </w:p>
        </w:tc>
        <w:tc>
          <w:tcPr>
            <w:tcW w:w="562" w:type="pct"/>
            <w:vAlign w:val="center"/>
          </w:tcPr>
          <w:p w14:paraId="6B338BD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650m</w:t>
            </w:r>
          </w:p>
        </w:tc>
      </w:tr>
      <w:tr w:rsidR="00B14D53" w14:paraId="4B7A4E0C" w14:textId="77777777">
        <w:trPr>
          <w:jc w:val="center"/>
        </w:trPr>
        <w:tc>
          <w:tcPr>
            <w:tcW w:w="921" w:type="pct"/>
            <w:vMerge/>
            <w:vAlign w:val="center"/>
          </w:tcPr>
          <w:p w14:paraId="1AD112C8" w14:textId="77777777" w:rsidR="00B14D53" w:rsidRDefault="00B14D53">
            <w:pPr>
              <w:pStyle w:val="afff2"/>
              <w:spacing w:line="240" w:lineRule="auto"/>
              <w:rPr>
                <w:rFonts w:eastAsiaTheme="minorEastAsia" w:hAnsi="Times New Roman"/>
                <w:snapToGrid w:val="0"/>
              </w:rPr>
            </w:pPr>
          </w:p>
        </w:tc>
        <w:tc>
          <w:tcPr>
            <w:tcW w:w="539" w:type="pct"/>
            <w:vAlign w:val="center"/>
          </w:tcPr>
          <w:p w14:paraId="61CA48C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127.215746</w:t>
            </w:r>
          </w:p>
        </w:tc>
        <w:tc>
          <w:tcPr>
            <w:tcW w:w="644" w:type="pct"/>
            <w:vAlign w:val="center"/>
          </w:tcPr>
          <w:p w14:paraId="285747D3"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44.696976</w:t>
            </w:r>
          </w:p>
        </w:tc>
        <w:tc>
          <w:tcPr>
            <w:tcW w:w="883" w:type="pct"/>
            <w:vMerge/>
            <w:vAlign w:val="center"/>
          </w:tcPr>
          <w:p w14:paraId="376B2658"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24AADCC1"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49E3A956" w14:textId="77777777" w:rsidR="00B14D53" w:rsidRDefault="00B14D53">
            <w:pPr>
              <w:pStyle w:val="afff2"/>
              <w:spacing w:line="240" w:lineRule="auto"/>
              <w:rPr>
                <w:rFonts w:eastAsiaTheme="minorEastAsia" w:hAnsi="Times New Roman"/>
                <w:snapToGrid w:val="0"/>
              </w:rPr>
            </w:pPr>
          </w:p>
        </w:tc>
        <w:tc>
          <w:tcPr>
            <w:tcW w:w="511" w:type="pct"/>
            <w:vAlign w:val="center"/>
          </w:tcPr>
          <w:p w14:paraId="3DE41E2F" w14:textId="77777777" w:rsidR="00B14D53" w:rsidRDefault="00000000">
            <w:pPr>
              <w:pStyle w:val="afff2"/>
              <w:spacing w:line="240" w:lineRule="auto"/>
              <w:rPr>
                <w:rFonts w:eastAsiaTheme="minorEastAsia" w:hAnsi="Times New Roman"/>
              </w:rPr>
            </w:pPr>
            <w:r>
              <w:rPr>
                <w:rFonts w:eastAsiaTheme="minorEastAsia" w:hAnsi="Times New Roman" w:hint="eastAsia"/>
              </w:rPr>
              <w:t>SW</w:t>
            </w:r>
          </w:p>
        </w:tc>
        <w:tc>
          <w:tcPr>
            <w:tcW w:w="562" w:type="pct"/>
            <w:vAlign w:val="center"/>
          </w:tcPr>
          <w:p w14:paraId="7366D80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230m</w:t>
            </w:r>
          </w:p>
        </w:tc>
      </w:tr>
      <w:tr w:rsidR="00B14D53" w14:paraId="7A8387B8" w14:textId="77777777">
        <w:trPr>
          <w:jc w:val="center"/>
        </w:trPr>
        <w:tc>
          <w:tcPr>
            <w:tcW w:w="921" w:type="pct"/>
            <w:vMerge/>
            <w:vAlign w:val="center"/>
          </w:tcPr>
          <w:p w14:paraId="2E11038B" w14:textId="77777777" w:rsidR="00B14D53" w:rsidRDefault="00B14D53">
            <w:pPr>
              <w:pStyle w:val="afff2"/>
              <w:spacing w:line="240" w:lineRule="auto"/>
              <w:rPr>
                <w:rFonts w:eastAsiaTheme="minorEastAsia" w:hAnsi="Times New Roman"/>
                <w:snapToGrid w:val="0"/>
              </w:rPr>
            </w:pPr>
          </w:p>
        </w:tc>
        <w:tc>
          <w:tcPr>
            <w:tcW w:w="539" w:type="pct"/>
            <w:vAlign w:val="center"/>
          </w:tcPr>
          <w:p w14:paraId="5DC1B58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127.224576</w:t>
            </w:r>
          </w:p>
        </w:tc>
        <w:tc>
          <w:tcPr>
            <w:tcW w:w="644" w:type="pct"/>
            <w:vAlign w:val="center"/>
          </w:tcPr>
          <w:p w14:paraId="6B5DC133"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44.695977</w:t>
            </w:r>
          </w:p>
        </w:tc>
        <w:tc>
          <w:tcPr>
            <w:tcW w:w="883" w:type="pct"/>
            <w:vMerge/>
            <w:vAlign w:val="center"/>
          </w:tcPr>
          <w:p w14:paraId="06C9B479"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031D2BA6"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112040CC" w14:textId="77777777" w:rsidR="00B14D53" w:rsidRDefault="00B14D53">
            <w:pPr>
              <w:pStyle w:val="afff2"/>
              <w:spacing w:line="240" w:lineRule="auto"/>
              <w:rPr>
                <w:rFonts w:eastAsiaTheme="minorEastAsia" w:hAnsi="Times New Roman"/>
                <w:snapToGrid w:val="0"/>
              </w:rPr>
            </w:pPr>
          </w:p>
        </w:tc>
        <w:tc>
          <w:tcPr>
            <w:tcW w:w="511" w:type="pct"/>
            <w:vAlign w:val="center"/>
          </w:tcPr>
          <w:p w14:paraId="1D627C26" w14:textId="77777777" w:rsidR="00B14D53" w:rsidRDefault="00000000">
            <w:pPr>
              <w:pStyle w:val="afff2"/>
              <w:spacing w:line="240" w:lineRule="auto"/>
              <w:rPr>
                <w:rFonts w:eastAsiaTheme="minorEastAsia" w:hAnsi="Times New Roman"/>
              </w:rPr>
            </w:pPr>
            <w:r>
              <w:rPr>
                <w:rFonts w:eastAsiaTheme="minorEastAsia" w:hAnsi="Times New Roman" w:hint="eastAsia"/>
              </w:rPr>
              <w:t>SE</w:t>
            </w:r>
          </w:p>
        </w:tc>
        <w:tc>
          <w:tcPr>
            <w:tcW w:w="562" w:type="pct"/>
            <w:vAlign w:val="center"/>
          </w:tcPr>
          <w:p w14:paraId="6641847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450m</w:t>
            </w:r>
          </w:p>
        </w:tc>
      </w:tr>
      <w:tr w:rsidR="00B14D53" w14:paraId="1E9BEB0B" w14:textId="77777777">
        <w:trPr>
          <w:jc w:val="center"/>
        </w:trPr>
        <w:tc>
          <w:tcPr>
            <w:tcW w:w="921" w:type="pct"/>
            <w:vAlign w:val="center"/>
          </w:tcPr>
          <w:p w14:paraId="22FA8A6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五常市山河林业第一中学</w:t>
            </w:r>
          </w:p>
        </w:tc>
        <w:tc>
          <w:tcPr>
            <w:tcW w:w="539" w:type="pct"/>
            <w:vAlign w:val="center"/>
          </w:tcPr>
          <w:p w14:paraId="009CE5F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127.226904</w:t>
            </w:r>
          </w:p>
        </w:tc>
        <w:tc>
          <w:tcPr>
            <w:tcW w:w="644" w:type="pct"/>
            <w:vAlign w:val="center"/>
          </w:tcPr>
          <w:p w14:paraId="1E3000D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44.702665</w:t>
            </w:r>
          </w:p>
        </w:tc>
        <w:tc>
          <w:tcPr>
            <w:tcW w:w="883" w:type="pct"/>
            <w:vMerge w:val="restart"/>
            <w:vAlign w:val="center"/>
          </w:tcPr>
          <w:p w14:paraId="329C069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文化区</w:t>
            </w:r>
          </w:p>
        </w:tc>
        <w:tc>
          <w:tcPr>
            <w:tcW w:w="426" w:type="pct"/>
            <w:vMerge w:val="restart"/>
            <w:vAlign w:val="center"/>
          </w:tcPr>
          <w:p w14:paraId="26B61B8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师生</w:t>
            </w:r>
          </w:p>
        </w:tc>
        <w:tc>
          <w:tcPr>
            <w:tcW w:w="512" w:type="pct"/>
            <w:vMerge/>
            <w:vAlign w:val="center"/>
          </w:tcPr>
          <w:p w14:paraId="334AB025" w14:textId="77777777" w:rsidR="00B14D53" w:rsidRDefault="00B14D53">
            <w:pPr>
              <w:pStyle w:val="afff2"/>
              <w:spacing w:line="240" w:lineRule="auto"/>
              <w:rPr>
                <w:rFonts w:eastAsiaTheme="minorEastAsia" w:hAnsi="Times New Roman"/>
                <w:snapToGrid w:val="0"/>
              </w:rPr>
            </w:pPr>
          </w:p>
        </w:tc>
        <w:tc>
          <w:tcPr>
            <w:tcW w:w="511" w:type="pct"/>
            <w:vAlign w:val="center"/>
          </w:tcPr>
          <w:p w14:paraId="53545012" w14:textId="77777777" w:rsidR="00B14D53" w:rsidRDefault="00000000">
            <w:pPr>
              <w:pStyle w:val="afff2"/>
              <w:spacing w:line="240" w:lineRule="auto"/>
              <w:rPr>
                <w:rFonts w:eastAsiaTheme="minorEastAsia" w:hAnsi="Times New Roman"/>
              </w:rPr>
            </w:pPr>
            <w:r>
              <w:rPr>
                <w:rFonts w:eastAsiaTheme="minorEastAsia" w:hAnsi="Times New Roman" w:hint="eastAsia"/>
              </w:rPr>
              <w:t>NE</w:t>
            </w:r>
          </w:p>
        </w:tc>
        <w:tc>
          <w:tcPr>
            <w:tcW w:w="562" w:type="pct"/>
            <w:vAlign w:val="center"/>
          </w:tcPr>
          <w:p w14:paraId="6490B5D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710m</w:t>
            </w:r>
          </w:p>
        </w:tc>
      </w:tr>
      <w:tr w:rsidR="00B14D53" w14:paraId="5F84D151" w14:textId="77777777">
        <w:trPr>
          <w:jc w:val="center"/>
        </w:trPr>
        <w:tc>
          <w:tcPr>
            <w:tcW w:w="921" w:type="pct"/>
            <w:vAlign w:val="center"/>
          </w:tcPr>
          <w:p w14:paraId="5E94CFD9"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五常市山河林业中心小学</w:t>
            </w:r>
          </w:p>
        </w:tc>
        <w:tc>
          <w:tcPr>
            <w:tcW w:w="539" w:type="pct"/>
            <w:vAlign w:val="center"/>
          </w:tcPr>
          <w:p w14:paraId="0DF6A348" w14:textId="77777777" w:rsidR="00B14D53" w:rsidRDefault="00000000">
            <w:pPr>
              <w:pStyle w:val="afff2"/>
              <w:spacing w:line="240" w:lineRule="auto"/>
              <w:rPr>
                <w:rFonts w:eastAsiaTheme="minorEastAsia" w:hAnsi="Times New Roman"/>
                <w:b/>
                <w:bCs/>
                <w:snapToGrid w:val="0"/>
              </w:rPr>
            </w:pPr>
            <w:r>
              <w:rPr>
                <w:rFonts w:eastAsiaTheme="minorEastAsia" w:hAnsi="Times New Roman" w:hint="eastAsia"/>
                <w:snapToGrid w:val="0"/>
              </w:rPr>
              <w:t>127.225220</w:t>
            </w:r>
          </w:p>
        </w:tc>
        <w:tc>
          <w:tcPr>
            <w:tcW w:w="644" w:type="pct"/>
            <w:vAlign w:val="center"/>
          </w:tcPr>
          <w:p w14:paraId="49E2C6C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44.702833</w:t>
            </w:r>
          </w:p>
        </w:tc>
        <w:tc>
          <w:tcPr>
            <w:tcW w:w="883" w:type="pct"/>
            <w:vMerge/>
            <w:vAlign w:val="center"/>
          </w:tcPr>
          <w:p w14:paraId="1BF01D3B"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659E139C"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7C6323D5" w14:textId="77777777" w:rsidR="00B14D53" w:rsidRDefault="00B14D53">
            <w:pPr>
              <w:pStyle w:val="afff2"/>
              <w:spacing w:line="240" w:lineRule="auto"/>
              <w:rPr>
                <w:rFonts w:eastAsiaTheme="minorEastAsia" w:hAnsi="Times New Roman"/>
                <w:snapToGrid w:val="0"/>
              </w:rPr>
            </w:pPr>
          </w:p>
        </w:tc>
        <w:tc>
          <w:tcPr>
            <w:tcW w:w="511" w:type="pct"/>
            <w:vAlign w:val="center"/>
          </w:tcPr>
          <w:p w14:paraId="02628C42" w14:textId="77777777" w:rsidR="00B14D53" w:rsidRDefault="00000000">
            <w:pPr>
              <w:pStyle w:val="afff2"/>
              <w:spacing w:line="240" w:lineRule="auto"/>
              <w:rPr>
                <w:rFonts w:eastAsiaTheme="minorEastAsia" w:hAnsi="Times New Roman"/>
              </w:rPr>
            </w:pPr>
            <w:r>
              <w:rPr>
                <w:rFonts w:eastAsiaTheme="minorEastAsia" w:hAnsi="Times New Roman" w:hint="eastAsia"/>
              </w:rPr>
              <w:t>NE</w:t>
            </w:r>
          </w:p>
        </w:tc>
        <w:tc>
          <w:tcPr>
            <w:tcW w:w="562" w:type="pct"/>
            <w:vAlign w:val="center"/>
          </w:tcPr>
          <w:p w14:paraId="19AB666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610m</w:t>
            </w:r>
          </w:p>
        </w:tc>
      </w:tr>
      <w:tr w:rsidR="00B14D53" w14:paraId="2DEDD65B" w14:textId="77777777">
        <w:trPr>
          <w:jc w:val="center"/>
        </w:trPr>
        <w:tc>
          <w:tcPr>
            <w:tcW w:w="921" w:type="pct"/>
            <w:vAlign w:val="center"/>
          </w:tcPr>
          <w:p w14:paraId="055EF4F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刘家窑屯</w:t>
            </w:r>
          </w:p>
        </w:tc>
        <w:tc>
          <w:tcPr>
            <w:tcW w:w="539" w:type="pct"/>
            <w:vAlign w:val="center"/>
          </w:tcPr>
          <w:p w14:paraId="26E911E2"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127.238674</w:t>
            </w:r>
          </w:p>
        </w:tc>
        <w:tc>
          <w:tcPr>
            <w:tcW w:w="644" w:type="pct"/>
            <w:vAlign w:val="center"/>
          </w:tcPr>
          <w:p w14:paraId="565FD6A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44.716276</w:t>
            </w:r>
          </w:p>
        </w:tc>
        <w:tc>
          <w:tcPr>
            <w:tcW w:w="883" w:type="pct"/>
            <w:vMerge w:val="restart"/>
            <w:vAlign w:val="center"/>
          </w:tcPr>
          <w:p w14:paraId="35B9BBE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农村地区中人群较集中区域</w:t>
            </w:r>
          </w:p>
        </w:tc>
        <w:tc>
          <w:tcPr>
            <w:tcW w:w="426" w:type="pct"/>
            <w:vMerge w:val="restart"/>
            <w:vAlign w:val="center"/>
          </w:tcPr>
          <w:p w14:paraId="316B39FB" w14:textId="77777777" w:rsidR="00B14D53" w:rsidRDefault="00000000">
            <w:pPr>
              <w:pStyle w:val="afff2"/>
              <w:spacing w:line="240" w:lineRule="auto"/>
              <w:rPr>
                <w:rFonts w:eastAsiaTheme="minorEastAsia" w:hAnsi="Times New Roman"/>
                <w:b/>
                <w:bCs/>
                <w:snapToGrid w:val="0"/>
              </w:rPr>
            </w:pPr>
            <w:r>
              <w:rPr>
                <w:rFonts w:eastAsiaTheme="minorEastAsia"/>
                <w:snapToGrid w:val="0"/>
              </w:rPr>
              <w:t>人群</w:t>
            </w:r>
          </w:p>
        </w:tc>
        <w:tc>
          <w:tcPr>
            <w:tcW w:w="512" w:type="pct"/>
            <w:vMerge/>
            <w:vAlign w:val="center"/>
          </w:tcPr>
          <w:p w14:paraId="799C2593" w14:textId="77777777" w:rsidR="00B14D53" w:rsidRDefault="00B14D53">
            <w:pPr>
              <w:pStyle w:val="afff2"/>
              <w:spacing w:line="240" w:lineRule="auto"/>
              <w:rPr>
                <w:rFonts w:eastAsiaTheme="minorEastAsia" w:hAnsi="Times New Roman"/>
                <w:snapToGrid w:val="0"/>
              </w:rPr>
            </w:pPr>
          </w:p>
        </w:tc>
        <w:tc>
          <w:tcPr>
            <w:tcW w:w="511" w:type="pct"/>
            <w:vAlign w:val="center"/>
          </w:tcPr>
          <w:p w14:paraId="765A7EF8" w14:textId="77777777" w:rsidR="00B14D53" w:rsidRDefault="00000000">
            <w:pPr>
              <w:pStyle w:val="afff2"/>
              <w:spacing w:line="240" w:lineRule="auto"/>
              <w:rPr>
                <w:rFonts w:eastAsiaTheme="minorEastAsia" w:hAnsi="Times New Roman"/>
              </w:rPr>
            </w:pPr>
            <w:r>
              <w:rPr>
                <w:rFonts w:eastAsiaTheme="minorEastAsia" w:hAnsi="Times New Roman" w:hint="eastAsia"/>
              </w:rPr>
              <w:t>NE</w:t>
            </w:r>
          </w:p>
        </w:tc>
        <w:tc>
          <w:tcPr>
            <w:tcW w:w="562" w:type="pct"/>
            <w:vAlign w:val="center"/>
          </w:tcPr>
          <w:p w14:paraId="08C5F8F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2470m</w:t>
            </w:r>
          </w:p>
        </w:tc>
      </w:tr>
      <w:tr w:rsidR="00B14D53" w14:paraId="412B1F32" w14:textId="77777777">
        <w:trPr>
          <w:jc w:val="center"/>
        </w:trPr>
        <w:tc>
          <w:tcPr>
            <w:tcW w:w="921" w:type="pct"/>
            <w:vAlign w:val="center"/>
          </w:tcPr>
          <w:p w14:paraId="18452FB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东铁村</w:t>
            </w:r>
          </w:p>
        </w:tc>
        <w:tc>
          <w:tcPr>
            <w:tcW w:w="539" w:type="pct"/>
            <w:vAlign w:val="center"/>
          </w:tcPr>
          <w:p w14:paraId="31450E7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127.227044</w:t>
            </w:r>
          </w:p>
        </w:tc>
        <w:tc>
          <w:tcPr>
            <w:tcW w:w="644" w:type="pct"/>
            <w:vAlign w:val="center"/>
          </w:tcPr>
          <w:p w14:paraId="4149F7C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44.720225</w:t>
            </w:r>
          </w:p>
        </w:tc>
        <w:tc>
          <w:tcPr>
            <w:tcW w:w="883" w:type="pct"/>
            <w:vMerge/>
            <w:vAlign w:val="center"/>
          </w:tcPr>
          <w:p w14:paraId="4DB263E1"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4FAE947E"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778372DF" w14:textId="77777777" w:rsidR="00B14D53" w:rsidRDefault="00B14D53">
            <w:pPr>
              <w:pStyle w:val="afff2"/>
              <w:spacing w:line="240" w:lineRule="auto"/>
              <w:rPr>
                <w:rFonts w:eastAsiaTheme="minorEastAsia" w:hAnsi="Times New Roman"/>
                <w:snapToGrid w:val="0"/>
              </w:rPr>
            </w:pPr>
          </w:p>
        </w:tc>
        <w:tc>
          <w:tcPr>
            <w:tcW w:w="511" w:type="pct"/>
            <w:vAlign w:val="center"/>
          </w:tcPr>
          <w:p w14:paraId="08DAD1B2" w14:textId="77777777" w:rsidR="00B14D53" w:rsidRDefault="00000000">
            <w:pPr>
              <w:pStyle w:val="afff2"/>
              <w:spacing w:line="240" w:lineRule="auto"/>
              <w:rPr>
                <w:rFonts w:eastAsiaTheme="minorEastAsia" w:hAnsi="Times New Roman"/>
              </w:rPr>
            </w:pPr>
            <w:r>
              <w:rPr>
                <w:rFonts w:eastAsiaTheme="minorEastAsia" w:hAnsi="Times New Roman" w:hint="eastAsia"/>
              </w:rPr>
              <w:t>NE</w:t>
            </w:r>
          </w:p>
        </w:tc>
        <w:tc>
          <w:tcPr>
            <w:tcW w:w="562" w:type="pct"/>
            <w:vAlign w:val="center"/>
          </w:tcPr>
          <w:p w14:paraId="4DAB56B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2400m</w:t>
            </w:r>
          </w:p>
        </w:tc>
      </w:tr>
      <w:tr w:rsidR="00B14D53" w14:paraId="752E7B42" w14:textId="77777777">
        <w:trPr>
          <w:jc w:val="center"/>
        </w:trPr>
        <w:tc>
          <w:tcPr>
            <w:tcW w:w="921" w:type="pct"/>
            <w:vAlign w:val="center"/>
          </w:tcPr>
          <w:p w14:paraId="2E58A425"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三门李家</w:t>
            </w:r>
          </w:p>
        </w:tc>
        <w:tc>
          <w:tcPr>
            <w:tcW w:w="539" w:type="pct"/>
            <w:vAlign w:val="center"/>
          </w:tcPr>
          <w:p w14:paraId="199DF743"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127.225027</w:t>
            </w:r>
          </w:p>
        </w:tc>
        <w:tc>
          <w:tcPr>
            <w:tcW w:w="644" w:type="pct"/>
            <w:vAlign w:val="center"/>
          </w:tcPr>
          <w:p w14:paraId="5C237452"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44.720133</w:t>
            </w:r>
          </w:p>
        </w:tc>
        <w:tc>
          <w:tcPr>
            <w:tcW w:w="883" w:type="pct"/>
            <w:vMerge/>
            <w:vAlign w:val="center"/>
          </w:tcPr>
          <w:p w14:paraId="5732435B" w14:textId="77777777" w:rsidR="00B14D53" w:rsidRDefault="00B14D53">
            <w:pPr>
              <w:pStyle w:val="afff2"/>
              <w:spacing w:line="240" w:lineRule="auto"/>
              <w:rPr>
                <w:rFonts w:eastAsiaTheme="minorEastAsia" w:hAnsi="Times New Roman"/>
                <w:snapToGrid w:val="0"/>
              </w:rPr>
            </w:pPr>
          </w:p>
        </w:tc>
        <w:tc>
          <w:tcPr>
            <w:tcW w:w="426" w:type="pct"/>
            <w:vMerge/>
            <w:vAlign w:val="center"/>
          </w:tcPr>
          <w:p w14:paraId="3E4EE488" w14:textId="77777777" w:rsidR="00B14D53" w:rsidRDefault="00B14D53">
            <w:pPr>
              <w:pStyle w:val="afff2"/>
              <w:spacing w:line="240" w:lineRule="auto"/>
              <w:rPr>
                <w:rFonts w:eastAsiaTheme="minorEastAsia" w:hAnsi="Times New Roman"/>
                <w:snapToGrid w:val="0"/>
              </w:rPr>
            </w:pPr>
          </w:p>
        </w:tc>
        <w:tc>
          <w:tcPr>
            <w:tcW w:w="512" w:type="pct"/>
            <w:vMerge/>
            <w:vAlign w:val="center"/>
          </w:tcPr>
          <w:p w14:paraId="73A21383" w14:textId="77777777" w:rsidR="00B14D53" w:rsidRDefault="00B14D53">
            <w:pPr>
              <w:pStyle w:val="afff2"/>
              <w:spacing w:line="240" w:lineRule="auto"/>
              <w:rPr>
                <w:rFonts w:eastAsiaTheme="minorEastAsia" w:hAnsi="Times New Roman"/>
                <w:snapToGrid w:val="0"/>
              </w:rPr>
            </w:pPr>
          </w:p>
        </w:tc>
        <w:tc>
          <w:tcPr>
            <w:tcW w:w="511" w:type="pct"/>
            <w:vAlign w:val="center"/>
          </w:tcPr>
          <w:p w14:paraId="2BD38E30" w14:textId="77777777" w:rsidR="00B14D53" w:rsidRDefault="00000000">
            <w:pPr>
              <w:pStyle w:val="afff2"/>
              <w:spacing w:line="240" w:lineRule="auto"/>
              <w:rPr>
                <w:rFonts w:eastAsiaTheme="minorEastAsia" w:hAnsi="Times New Roman"/>
              </w:rPr>
            </w:pPr>
            <w:r>
              <w:rPr>
                <w:rFonts w:eastAsiaTheme="minorEastAsia" w:hAnsi="Times New Roman" w:hint="eastAsia"/>
              </w:rPr>
              <w:t>N</w:t>
            </w:r>
          </w:p>
        </w:tc>
        <w:tc>
          <w:tcPr>
            <w:tcW w:w="562" w:type="pct"/>
            <w:vAlign w:val="center"/>
          </w:tcPr>
          <w:p w14:paraId="6E029C2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2110m</w:t>
            </w:r>
          </w:p>
        </w:tc>
      </w:tr>
    </w:tbl>
    <w:p w14:paraId="133B7835" w14:textId="77777777" w:rsidR="00B14D53" w:rsidRDefault="00000000">
      <w:pPr>
        <w:jc w:val="center"/>
        <w:rPr>
          <w:b/>
          <w:bCs/>
        </w:rPr>
      </w:pPr>
      <w:bookmarkStart w:id="60" w:name="_Hlk10134549"/>
      <w:bookmarkEnd w:id="59"/>
      <w:r>
        <w:rPr>
          <w:rFonts w:hint="eastAsia"/>
          <w:b/>
          <w:bCs/>
        </w:rPr>
        <w:t>表</w:t>
      </w:r>
      <w:r>
        <w:rPr>
          <w:rFonts w:hint="eastAsia"/>
          <w:b/>
          <w:bCs/>
        </w:rPr>
        <w:t xml:space="preserve">2-6-2 </w:t>
      </w:r>
      <w:r>
        <w:rPr>
          <w:rFonts w:hint="eastAsia"/>
          <w:b/>
          <w:bCs/>
        </w:rPr>
        <w:t>生态及地下水环境保护目标一览表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027"/>
        <w:gridCol w:w="2727"/>
        <w:gridCol w:w="1717"/>
        <w:gridCol w:w="3688"/>
        <w:gridCol w:w="2429"/>
        <w:gridCol w:w="2370"/>
      </w:tblGrid>
      <w:tr w:rsidR="00B14D53" w14:paraId="42FC2D0D" w14:textId="77777777">
        <w:trPr>
          <w:trHeight w:val="312"/>
          <w:tblHeader/>
          <w:jc w:val="center"/>
        </w:trPr>
        <w:tc>
          <w:tcPr>
            <w:tcW w:w="368" w:type="pct"/>
            <w:vMerge w:val="restart"/>
            <w:vAlign w:val="center"/>
          </w:tcPr>
          <w:p w14:paraId="6B7F4C03" w14:textId="77777777" w:rsidR="00B14D53" w:rsidRDefault="00000000">
            <w:pPr>
              <w:jc w:val="center"/>
              <w:rPr>
                <w:b/>
                <w:bCs/>
                <w:szCs w:val="21"/>
              </w:rPr>
            </w:pPr>
            <w:r>
              <w:rPr>
                <w:b/>
                <w:bCs/>
                <w:szCs w:val="21"/>
              </w:rPr>
              <w:t>环境要素</w:t>
            </w:r>
          </w:p>
        </w:tc>
        <w:tc>
          <w:tcPr>
            <w:tcW w:w="976" w:type="pct"/>
            <w:vMerge w:val="restart"/>
            <w:vAlign w:val="center"/>
          </w:tcPr>
          <w:p w14:paraId="0D94093A" w14:textId="77777777" w:rsidR="00B14D53" w:rsidRDefault="00000000">
            <w:pPr>
              <w:jc w:val="center"/>
              <w:rPr>
                <w:b/>
                <w:bCs/>
                <w:szCs w:val="21"/>
              </w:rPr>
            </w:pPr>
            <w:r>
              <w:rPr>
                <w:b/>
                <w:bCs/>
                <w:szCs w:val="21"/>
              </w:rPr>
              <w:t>保护对象</w:t>
            </w:r>
          </w:p>
        </w:tc>
        <w:tc>
          <w:tcPr>
            <w:tcW w:w="615" w:type="pct"/>
            <w:vMerge w:val="restart"/>
            <w:vAlign w:val="center"/>
          </w:tcPr>
          <w:p w14:paraId="0332AC8C" w14:textId="77777777" w:rsidR="00B14D53" w:rsidRDefault="00000000">
            <w:pPr>
              <w:jc w:val="center"/>
              <w:rPr>
                <w:b/>
                <w:bCs/>
                <w:szCs w:val="21"/>
              </w:rPr>
            </w:pPr>
            <w:r>
              <w:rPr>
                <w:b/>
                <w:bCs/>
                <w:szCs w:val="21"/>
              </w:rPr>
              <w:t>保护内容</w:t>
            </w:r>
          </w:p>
        </w:tc>
        <w:tc>
          <w:tcPr>
            <w:tcW w:w="1320" w:type="pct"/>
            <w:vMerge w:val="restart"/>
            <w:vAlign w:val="center"/>
          </w:tcPr>
          <w:p w14:paraId="4A122C5C" w14:textId="77777777" w:rsidR="00B14D53" w:rsidRDefault="00000000">
            <w:pPr>
              <w:jc w:val="center"/>
              <w:rPr>
                <w:b/>
                <w:bCs/>
                <w:szCs w:val="21"/>
              </w:rPr>
            </w:pPr>
            <w:r>
              <w:rPr>
                <w:b/>
                <w:bCs/>
                <w:szCs w:val="21"/>
              </w:rPr>
              <w:t>环境功能区</w:t>
            </w:r>
          </w:p>
        </w:tc>
        <w:tc>
          <w:tcPr>
            <w:tcW w:w="869" w:type="pct"/>
            <w:vMerge w:val="restart"/>
            <w:vAlign w:val="center"/>
          </w:tcPr>
          <w:p w14:paraId="363C936D" w14:textId="77777777" w:rsidR="00B14D53" w:rsidRDefault="00000000">
            <w:pPr>
              <w:jc w:val="center"/>
              <w:rPr>
                <w:b/>
                <w:bCs/>
                <w:szCs w:val="21"/>
              </w:rPr>
            </w:pPr>
            <w:r>
              <w:rPr>
                <w:b/>
                <w:bCs/>
                <w:szCs w:val="21"/>
              </w:rPr>
              <w:t>相对厂址方位</w:t>
            </w:r>
          </w:p>
        </w:tc>
        <w:tc>
          <w:tcPr>
            <w:tcW w:w="848" w:type="pct"/>
            <w:vMerge w:val="restart"/>
            <w:vAlign w:val="center"/>
          </w:tcPr>
          <w:p w14:paraId="4CF08A73" w14:textId="77777777" w:rsidR="00B14D53" w:rsidRDefault="00000000">
            <w:pPr>
              <w:jc w:val="center"/>
              <w:rPr>
                <w:b/>
                <w:bCs/>
                <w:szCs w:val="21"/>
              </w:rPr>
            </w:pPr>
            <w:r>
              <w:rPr>
                <w:b/>
                <w:bCs/>
                <w:szCs w:val="21"/>
              </w:rPr>
              <w:t>相对厂界距离</w:t>
            </w:r>
          </w:p>
        </w:tc>
      </w:tr>
      <w:tr w:rsidR="00B14D53" w14:paraId="76749169" w14:textId="77777777">
        <w:trPr>
          <w:trHeight w:val="312"/>
          <w:tblHeader/>
          <w:jc w:val="center"/>
        </w:trPr>
        <w:tc>
          <w:tcPr>
            <w:tcW w:w="368" w:type="pct"/>
            <w:vMerge/>
            <w:vAlign w:val="center"/>
          </w:tcPr>
          <w:p w14:paraId="5F592C4E" w14:textId="77777777" w:rsidR="00B14D53" w:rsidRDefault="00B14D53">
            <w:pPr>
              <w:jc w:val="center"/>
              <w:rPr>
                <w:szCs w:val="21"/>
              </w:rPr>
            </w:pPr>
          </w:p>
        </w:tc>
        <w:tc>
          <w:tcPr>
            <w:tcW w:w="976" w:type="pct"/>
            <w:vMerge/>
            <w:vAlign w:val="center"/>
          </w:tcPr>
          <w:p w14:paraId="7B058B57" w14:textId="77777777" w:rsidR="00B14D53" w:rsidRDefault="00B14D53">
            <w:pPr>
              <w:jc w:val="center"/>
              <w:rPr>
                <w:szCs w:val="21"/>
              </w:rPr>
            </w:pPr>
          </w:p>
        </w:tc>
        <w:tc>
          <w:tcPr>
            <w:tcW w:w="615" w:type="pct"/>
            <w:vMerge/>
            <w:vAlign w:val="center"/>
          </w:tcPr>
          <w:p w14:paraId="1EBF9519" w14:textId="77777777" w:rsidR="00B14D53" w:rsidRDefault="00B14D53">
            <w:pPr>
              <w:jc w:val="center"/>
              <w:rPr>
                <w:szCs w:val="21"/>
              </w:rPr>
            </w:pPr>
          </w:p>
        </w:tc>
        <w:tc>
          <w:tcPr>
            <w:tcW w:w="1320" w:type="pct"/>
            <w:vMerge/>
            <w:vAlign w:val="center"/>
          </w:tcPr>
          <w:p w14:paraId="36C7A9BD" w14:textId="77777777" w:rsidR="00B14D53" w:rsidRDefault="00B14D53">
            <w:pPr>
              <w:jc w:val="center"/>
              <w:rPr>
                <w:szCs w:val="21"/>
              </w:rPr>
            </w:pPr>
          </w:p>
        </w:tc>
        <w:tc>
          <w:tcPr>
            <w:tcW w:w="869" w:type="pct"/>
            <w:vMerge/>
            <w:vAlign w:val="center"/>
          </w:tcPr>
          <w:p w14:paraId="24C78058" w14:textId="77777777" w:rsidR="00B14D53" w:rsidRDefault="00B14D53">
            <w:pPr>
              <w:jc w:val="center"/>
              <w:rPr>
                <w:szCs w:val="21"/>
              </w:rPr>
            </w:pPr>
          </w:p>
        </w:tc>
        <w:tc>
          <w:tcPr>
            <w:tcW w:w="848" w:type="pct"/>
            <w:vMerge/>
            <w:vAlign w:val="center"/>
          </w:tcPr>
          <w:p w14:paraId="14936ACA" w14:textId="77777777" w:rsidR="00B14D53" w:rsidRDefault="00B14D53">
            <w:pPr>
              <w:jc w:val="center"/>
              <w:rPr>
                <w:szCs w:val="21"/>
              </w:rPr>
            </w:pPr>
          </w:p>
        </w:tc>
      </w:tr>
      <w:tr w:rsidR="00B14D53" w14:paraId="4129E1C9" w14:textId="77777777">
        <w:trPr>
          <w:trHeight w:val="76"/>
          <w:jc w:val="center"/>
        </w:trPr>
        <w:tc>
          <w:tcPr>
            <w:tcW w:w="368" w:type="pct"/>
            <w:vMerge w:val="restart"/>
            <w:vAlign w:val="center"/>
          </w:tcPr>
          <w:p w14:paraId="70FB54AA" w14:textId="77777777" w:rsidR="00B14D53" w:rsidRDefault="00000000">
            <w:pPr>
              <w:jc w:val="center"/>
              <w:rPr>
                <w:szCs w:val="21"/>
              </w:rPr>
            </w:pPr>
            <w:r>
              <w:rPr>
                <w:rFonts w:hint="eastAsia"/>
                <w:szCs w:val="21"/>
              </w:rPr>
              <w:t>地下水</w:t>
            </w:r>
          </w:p>
        </w:tc>
        <w:tc>
          <w:tcPr>
            <w:tcW w:w="976" w:type="pct"/>
            <w:tcBorders>
              <w:bottom w:val="single" w:sz="4" w:space="0" w:color="auto"/>
            </w:tcBorders>
            <w:vAlign w:val="center"/>
          </w:tcPr>
          <w:p w14:paraId="74EBF0C5" w14:textId="77777777" w:rsidR="00B14D53" w:rsidRDefault="00000000">
            <w:pPr>
              <w:jc w:val="center"/>
              <w:rPr>
                <w:szCs w:val="21"/>
              </w:rPr>
            </w:pPr>
            <w:r>
              <w:rPr>
                <w:rFonts w:eastAsiaTheme="minorEastAsia"/>
              </w:rPr>
              <w:t>评价区域地下水环境</w:t>
            </w:r>
          </w:p>
        </w:tc>
        <w:tc>
          <w:tcPr>
            <w:tcW w:w="615" w:type="pct"/>
            <w:vMerge w:val="restart"/>
            <w:vAlign w:val="center"/>
          </w:tcPr>
          <w:p w14:paraId="1A80AEE1" w14:textId="77777777" w:rsidR="00B14D53" w:rsidRDefault="00000000">
            <w:pPr>
              <w:jc w:val="center"/>
              <w:rPr>
                <w:szCs w:val="21"/>
              </w:rPr>
            </w:pPr>
            <w:r>
              <w:rPr>
                <w:szCs w:val="21"/>
              </w:rPr>
              <w:t>地下水质</w:t>
            </w:r>
          </w:p>
        </w:tc>
        <w:tc>
          <w:tcPr>
            <w:tcW w:w="1320" w:type="pct"/>
            <w:vMerge w:val="restart"/>
            <w:vAlign w:val="center"/>
          </w:tcPr>
          <w:p w14:paraId="55C1A436" w14:textId="77777777" w:rsidR="00B14D53" w:rsidRDefault="00000000">
            <w:pPr>
              <w:jc w:val="center"/>
              <w:rPr>
                <w:rFonts w:eastAsiaTheme="minorEastAsia"/>
              </w:rPr>
            </w:pPr>
            <w:r>
              <w:rPr>
                <w:rFonts w:eastAsiaTheme="minorEastAsia"/>
                <w:snapToGrid w:val="0"/>
                <w:szCs w:val="22"/>
              </w:rPr>
              <w:t>《地下水质量标准》（</w:t>
            </w:r>
            <w:r>
              <w:rPr>
                <w:rFonts w:eastAsiaTheme="minorEastAsia"/>
                <w:snapToGrid w:val="0"/>
                <w:szCs w:val="22"/>
              </w:rPr>
              <w:t>GB/T14848-2017</w:t>
            </w:r>
            <w:r>
              <w:rPr>
                <w:rFonts w:eastAsiaTheme="minorEastAsia"/>
                <w:snapToGrid w:val="0"/>
                <w:szCs w:val="22"/>
              </w:rPr>
              <w:t>）</w:t>
            </w:r>
            <w:r>
              <w:rPr>
                <w:rFonts w:eastAsiaTheme="minorEastAsia"/>
                <w:snapToGrid w:val="0"/>
                <w:szCs w:val="22"/>
              </w:rPr>
              <w:t>III</w:t>
            </w:r>
            <w:r>
              <w:rPr>
                <w:rFonts w:eastAsiaTheme="minorEastAsia"/>
                <w:snapToGrid w:val="0"/>
                <w:szCs w:val="22"/>
              </w:rPr>
              <w:t>类标准</w:t>
            </w:r>
          </w:p>
        </w:tc>
        <w:tc>
          <w:tcPr>
            <w:tcW w:w="869" w:type="pct"/>
            <w:tcBorders>
              <w:bottom w:val="single" w:sz="4" w:space="0" w:color="auto"/>
            </w:tcBorders>
            <w:vAlign w:val="center"/>
          </w:tcPr>
          <w:p w14:paraId="00C5877C" w14:textId="77777777" w:rsidR="00B14D53" w:rsidRDefault="00000000">
            <w:pPr>
              <w:jc w:val="center"/>
              <w:rPr>
                <w:szCs w:val="21"/>
              </w:rPr>
            </w:pPr>
            <w:r>
              <w:rPr>
                <w:rFonts w:hint="eastAsia"/>
                <w:szCs w:val="21"/>
              </w:rPr>
              <w:t>/</w:t>
            </w:r>
          </w:p>
        </w:tc>
        <w:tc>
          <w:tcPr>
            <w:tcW w:w="848" w:type="pct"/>
            <w:tcBorders>
              <w:bottom w:val="single" w:sz="4" w:space="0" w:color="auto"/>
            </w:tcBorders>
            <w:vAlign w:val="center"/>
          </w:tcPr>
          <w:p w14:paraId="34EB47AF" w14:textId="77777777" w:rsidR="00B14D53" w:rsidRDefault="00000000">
            <w:pPr>
              <w:jc w:val="center"/>
              <w:rPr>
                <w:szCs w:val="21"/>
              </w:rPr>
            </w:pPr>
            <w:r>
              <w:rPr>
                <w:rFonts w:hint="eastAsia"/>
                <w:szCs w:val="21"/>
              </w:rPr>
              <w:t>/</w:t>
            </w:r>
          </w:p>
        </w:tc>
      </w:tr>
      <w:tr w:rsidR="00B14D53" w14:paraId="7D298F8A" w14:textId="77777777">
        <w:trPr>
          <w:trHeight w:val="324"/>
          <w:jc w:val="center"/>
        </w:trPr>
        <w:tc>
          <w:tcPr>
            <w:tcW w:w="368" w:type="pct"/>
            <w:vMerge/>
            <w:vAlign w:val="center"/>
          </w:tcPr>
          <w:p w14:paraId="7EC7BFDC" w14:textId="77777777" w:rsidR="00B14D53" w:rsidRDefault="00B14D53">
            <w:pPr>
              <w:jc w:val="center"/>
              <w:rPr>
                <w:szCs w:val="21"/>
              </w:rPr>
            </w:pPr>
          </w:p>
        </w:tc>
        <w:tc>
          <w:tcPr>
            <w:tcW w:w="976" w:type="pct"/>
            <w:tcBorders>
              <w:top w:val="single" w:sz="4" w:space="0" w:color="auto"/>
              <w:bottom w:val="single" w:sz="4" w:space="0" w:color="auto"/>
            </w:tcBorders>
            <w:vAlign w:val="center"/>
          </w:tcPr>
          <w:p w14:paraId="5018495E" w14:textId="77777777" w:rsidR="00B14D53" w:rsidRDefault="00000000">
            <w:pPr>
              <w:jc w:val="center"/>
              <w:rPr>
                <w:rFonts w:eastAsiaTheme="minorEastAsia"/>
              </w:rPr>
            </w:pPr>
            <w:r>
              <w:rPr>
                <w:rFonts w:eastAsiaTheme="minorEastAsia" w:hint="eastAsia"/>
              </w:rPr>
              <w:t>山河屯林业局饮用水水源地</w:t>
            </w:r>
          </w:p>
        </w:tc>
        <w:tc>
          <w:tcPr>
            <w:tcW w:w="615" w:type="pct"/>
            <w:vMerge/>
            <w:vAlign w:val="center"/>
          </w:tcPr>
          <w:p w14:paraId="4EC36B19" w14:textId="77777777" w:rsidR="00B14D53" w:rsidRDefault="00B14D53">
            <w:pPr>
              <w:jc w:val="center"/>
              <w:rPr>
                <w:szCs w:val="21"/>
              </w:rPr>
            </w:pPr>
          </w:p>
        </w:tc>
        <w:tc>
          <w:tcPr>
            <w:tcW w:w="1320" w:type="pct"/>
            <w:vMerge/>
            <w:vAlign w:val="center"/>
          </w:tcPr>
          <w:p w14:paraId="39F070A7" w14:textId="77777777" w:rsidR="00B14D53" w:rsidRDefault="00B14D53">
            <w:pPr>
              <w:jc w:val="center"/>
              <w:rPr>
                <w:rFonts w:eastAsiaTheme="minorEastAsia"/>
                <w:snapToGrid w:val="0"/>
                <w:szCs w:val="22"/>
              </w:rPr>
            </w:pPr>
          </w:p>
        </w:tc>
        <w:tc>
          <w:tcPr>
            <w:tcW w:w="869" w:type="pct"/>
            <w:tcBorders>
              <w:top w:val="single" w:sz="4" w:space="0" w:color="auto"/>
              <w:bottom w:val="single" w:sz="4" w:space="0" w:color="auto"/>
            </w:tcBorders>
            <w:vAlign w:val="center"/>
          </w:tcPr>
          <w:p w14:paraId="581E96F3" w14:textId="77777777" w:rsidR="00B14D53" w:rsidRDefault="00000000">
            <w:pPr>
              <w:jc w:val="center"/>
              <w:rPr>
                <w:szCs w:val="21"/>
              </w:rPr>
            </w:pPr>
            <w:r>
              <w:rPr>
                <w:rFonts w:hint="eastAsia"/>
                <w:szCs w:val="21"/>
              </w:rPr>
              <w:t>下游</w:t>
            </w:r>
          </w:p>
        </w:tc>
        <w:tc>
          <w:tcPr>
            <w:tcW w:w="848" w:type="pct"/>
            <w:tcBorders>
              <w:top w:val="single" w:sz="4" w:space="0" w:color="auto"/>
              <w:bottom w:val="single" w:sz="4" w:space="0" w:color="auto"/>
            </w:tcBorders>
            <w:vAlign w:val="center"/>
          </w:tcPr>
          <w:p w14:paraId="2891D1C7" w14:textId="77777777" w:rsidR="00B14D53" w:rsidRDefault="00000000">
            <w:pPr>
              <w:jc w:val="center"/>
              <w:rPr>
                <w:szCs w:val="21"/>
              </w:rPr>
            </w:pPr>
            <w:r>
              <w:rPr>
                <w:rFonts w:hint="eastAsia"/>
                <w:szCs w:val="21"/>
              </w:rPr>
              <w:t>460m</w:t>
            </w:r>
            <w:r>
              <w:rPr>
                <w:rFonts w:hint="eastAsia"/>
                <w:szCs w:val="21"/>
              </w:rPr>
              <w:t>、</w:t>
            </w:r>
            <w:r>
              <w:rPr>
                <w:rFonts w:hint="eastAsia"/>
                <w:szCs w:val="21"/>
              </w:rPr>
              <w:t>620m</w:t>
            </w:r>
            <w:r>
              <w:rPr>
                <w:rFonts w:hint="eastAsia"/>
                <w:szCs w:val="21"/>
              </w:rPr>
              <w:t>、</w:t>
            </w:r>
            <w:r>
              <w:rPr>
                <w:rFonts w:hint="eastAsia"/>
                <w:szCs w:val="21"/>
              </w:rPr>
              <w:t>690m</w:t>
            </w:r>
            <w:r>
              <w:rPr>
                <w:rFonts w:hint="eastAsia"/>
                <w:szCs w:val="21"/>
              </w:rPr>
              <w:t>、</w:t>
            </w:r>
            <w:r>
              <w:rPr>
                <w:rFonts w:hint="eastAsia"/>
                <w:szCs w:val="21"/>
              </w:rPr>
              <w:t>900m</w:t>
            </w:r>
          </w:p>
        </w:tc>
      </w:tr>
      <w:tr w:rsidR="00B14D53" w14:paraId="6EDA949C" w14:textId="77777777">
        <w:trPr>
          <w:trHeight w:val="221"/>
          <w:jc w:val="center"/>
        </w:trPr>
        <w:tc>
          <w:tcPr>
            <w:tcW w:w="368" w:type="pct"/>
            <w:vMerge w:val="restart"/>
            <w:vAlign w:val="center"/>
          </w:tcPr>
          <w:p w14:paraId="3E748F94" w14:textId="77777777" w:rsidR="00B14D53" w:rsidRDefault="00000000">
            <w:pPr>
              <w:jc w:val="center"/>
              <w:rPr>
                <w:szCs w:val="21"/>
              </w:rPr>
            </w:pPr>
            <w:r>
              <w:rPr>
                <w:rFonts w:hint="eastAsia"/>
                <w:szCs w:val="21"/>
              </w:rPr>
              <w:t>生态</w:t>
            </w:r>
          </w:p>
        </w:tc>
        <w:tc>
          <w:tcPr>
            <w:tcW w:w="976" w:type="pct"/>
            <w:vMerge w:val="restart"/>
            <w:vAlign w:val="center"/>
          </w:tcPr>
          <w:p w14:paraId="18B4F0B8" w14:textId="77777777" w:rsidR="00B14D53" w:rsidRDefault="00000000">
            <w:pPr>
              <w:jc w:val="center"/>
              <w:rPr>
                <w:rFonts w:eastAsiaTheme="minorEastAsia"/>
              </w:rPr>
            </w:pPr>
            <w:r>
              <w:rPr>
                <w:rFonts w:eastAsiaTheme="minorEastAsia" w:hint="eastAsia"/>
              </w:rPr>
              <w:t>厂外</w:t>
            </w:r>
            <w:r>
              <w:rPr>
                <w:rFonts w:eastAsiaTheme="minorEastAsia" w:hint="eastAsia"/>
              </w:rPr>
              <w:t>2</w:t>
            </w:r>
            <w:r>
              <w:rPr>
                <w:rFonts w:eastAsiaTheme="minorEastAsia"/>
              </w:rPr>
              <w:t>00</w:t>
            </w:r>
            <w:r>
              <w:rPr>
                <w:rFonts w:eastAsiaTheme="minorEastAsia" w:hint="eastAsia"/>
              </w:rPr>
              <w:t>m</w:t>
            </w:r>
            <w:r>
              <w:rPr>
                <w:rFonts w:eastAsiaTheme="minorEastAsia" w:hint="eastAsia"/>
              </w:rPr>
              <w:t>范围内</w:t>
            </w:r>
          </w:p>
        </w:tc>
        <w:tc>
          <w:tcPr>
            <w:tcW w:w="615" w:type="pct"/>
            <w:vMerge w:val="restart"/>
            <w:vAlign w:val="center"/>
          </w:tcPr>
          <w:p w14:paraId="70836F0C" w14:textId="77777777" w:rsidR="00B14D53" w:rsidRDefault="00000000">
            <w:pPr>
              <w:jc w:val="center"/>
              <w:rPr>
                <w:szCs w:val="21"/>
              </w:rPr>
            </w:pPr>
            <w:r>
              <w:rPr>
                <w:rFonts w:hint="eastAsia"/>
                <w:szCs w:val="21"/>
              </w:rPr>
              <w:t>农田、林地、草地</w:t>
            </w:r>
          </w:p>
        </w:tc>
        <w:tc>
          <w:tcPr>
            <w:tcW w:w="1320" w:type="pct"/>
            <w:vMerge w:val="restart"/>
            <w:vAlign w:val="center"/>
          </w:tcPr>
          <w:p w14:paraId="7D482601" w14:textId="77777777" w:rsidR="00B14D53" w:rsidRDefault="00000000">
            <w:pPr>
              <w:jc w:val="center"/>
              <w:rPr>
                <w:rFonts w:eastAsiaTheme="minorEastAsia"/>
                <w:snapToGrid w:val="0"/>
                <w:szCs w:val="22"/>
              </w:rPr>
            </w:pPr>
            <w:r>
              <w:rPr>
                <w:rFonts w:eastAsiaTheme="minorEastAsia" w:hint="eastAsia"/>
                <w:snapToGrid w:val="0"/>
                <w:szCs w:val="22"/>
              </w:rPr>
              <w:t>/</w:t>
            </w:r>
          </w:p>
        </w:tc>
        <w:tc>
          <w:tcPr>
            <w:tcW w:w="869" w:type="pct"/>
            <w:tcBorders>
              <w:bottom w:val="single" w:sz="4" w:space="0" w:color="auto"/>
            </w:tcBorders>
            <w:vAlign w:val="center"/>
          </w:tcPr>
          <w:p w14:paraId="53E6DDF0" w14:textId="77777777" w:rsidR="00B14D53" w:rsidRDefault="00000000">
            <w:pPr>
              <w:jc w:val="center"/>
              <w:rPr>
                <w:szCs w:val="21"/>
              </w:rPr>
            </w:pPr>
            <w:r>
              <w:rPr>
                <w:rFonts w:eastAsiaTheme="minorEastAsia" w:hint="eastAsia"/>
                <w:kern w:val="0"/>
              </w:rPr>
              <w:t>S</w:t>
            </w:r>
          </w:p>
        </w:tc>
        <w:tc>
          <w:tcPr>
            <w:tcW w:w="848" w:type="pct"/>
            <w:tcBorders>
              <w:bottom w:val="single" w:sz="4" w:space="0" w:color="auto"/>
            </w:tcBorders>
            <w:vAlign w:val="center"/>
          </w:tcPr>
          <w:p w14:paraId="5ADD177A" w14:textId="77777777" w:rsidR="00B14D53" w:rsidRDefault="00000000">
            <w:pPr>
              <w:jc w:val="center"/>
              <w:rPr>
                <w:szCs w:val="21"/>
              </w:rPr>
            </w:pPr>
            <w:r>
              <w:rPr>
                <w:rFonts w:eastAsiaTheme="minorEastAsia" w:hint="eastAsia"/>
                <w:kern w:val="0"/>
              </w:rPr>
              <w:t>紧邻</w:t>
            </w:r>
          </w:p>
        </w:tc>
      </w:tr>
      <w:tr w:rsidR="00B14D53" w14:paraId="128CC8AF" w14:textId="77777777">
        <w:trPr>
          <w:trHeight w:val="169"/>
          <w:jc w:val="center"/>
        </w:trPr>
        <w:tc>
          <w:tcPr>
            <w:tcW w:w="368" w:type="pct"/>
            <w:vMerge/>
            <w:vAlign w:val="center"/>
          </w:tcPr>
          <w:p w14:paraId="52841716" w14:textId="77777777" w:rsidR="00B14D53" w:rsidRDefault="00B14D53">
            <w:pPr>
              <w:jc w:val="center"/>
              <w:rPr>
                <w:szCs w:val="21"/>
              </w:rPr>
            </w:pPr>
          </w:p>
        </w:tc>
        <w:tc>
          <w:tcPr>
            <w:tcW w:w="976" w:type="pct"/>
            <w:vMerge/>
            <w:vAlign w:val="center"/>
          </w:tcPr>
          <w:p w14:paraId="30768EEB" w14:textId="77777777" w:rsidR="00B14D53" w:rsidRDefault="00B14D53">
            <w:pPr>
              <w:jc w:val="center"/>
              <w:rPr>
                <w:rFonts w:eastAsiaTheme="minorEastAsia"/>
              </w:rPr>
            </w:pPr>
          </w:p>
        </w:tc>
        <w:tc>
          <w:tcPr>
            <w:tcW w:w="615" w:type="pct"/>
            <w:vMerge/>
            <w:vAlign w:val="center"/>
          </w:tcPr>
          <w:p w14:paraId="4F55A4BD" w14:textId="77777777" w:rsidR="00B14D53" w:rsidRDefault="00B14D53">
            <w:pPr>
              <w:jc w:val="center"/>
              <w:rPr>
                <w:szCs w:val="21"/>
              </w:rPr>
            </w:pPr>
          </w:p>
        </w:tc>
        <w:tc>
          <w:tcPr>
            <w:tcW w:w="1320" w:type="pct"/>
            <w:vMerge/>
            <w:vAlign w:val="center"/>
          </w:tcPr>
          <w:p w14:paraId="239DB88F" w14:textId="77777777" w:rsidR="00B14D53" w:rsidRDefault="00B14D53">
            <w:pPr>
              <w:jc w:val="center"/>
              <w:rPr>
                <w:rFonts w:eastAsiaTheme="minorEastAsia"/>
                <w:snapToGrid w:val="0"/>
                <w:szCs w:val="22"/>
              </w:rPr>
            </w:pPr>
          </w:p>
        </w:tc>
        <w:tc>
          <w:tcPr>
            <w:tcW w:w="869" w:type="pct"/>
            <w:tcBorders>
              <w:top w:val="single" w:sz="4" w:space="0" w:color="auto"/>
              <w:bottom w:val="single" w:sz="4" w:space="0" w:color="auto"/>
            </w:tcBorders>
            <w:vAlign w:val="center"/>
          </w:tcPr>
          <w:p w14:paraId="74BE0DE1" w14:textId="77777777" w:rsidR="00B14D53" w:rsidRDefault="00000000">
            <w:pPr>
              <w:jc w:val="center"/>
              <w:rPr>
                <w:szCs w:val="21"/>
              </w:rPr>
            </w:pPr>
            <w:r>
              <w:rPr>
                <w:rFonts w:hint="eastAsia"/>
                <w:szCs w:val="21"/>
              </w:rPr>
              <w:t>E</w:t>
            </w:r>
          </w:p>
        </w:tc>
        <w:tc>
          <w:tcPr>
            <w:tcW w:w="848" w:type="pct"/>
            <w:tcBorders>
              <w:top w:val="single" w:sz="4" w:space="0" w:color="auto"/>
              <w:bottom w:val="single" w:sz="4" w:space="0" w:color="auto"/>
            </w:tcBorders>
            <w:vAlign w:val="center"/>
          </w:tcPr>
          <w:p w14:paraId="3A2758F7" w14:textId="77777777" w:rsidR="00B14D53" w:rsidRDefault="00000000">
            <w:pPr>
              <w:jc w:val="center"/>
              <w:rPr>
                <w:szCs w:val="21"/>
              </w:rPr>
            </w:pPr>
            <w:r>
              <w:rPr>
                <w:rFonts w:hint="eastAsia"/>
                <w:szCs w:val="21"/>
              </w:rPr>
              <w:t>紧邻</w:t>
            </w:r>
          </w:p>
        </w:tc>
      </w:tr>
      <w:tr w:rsidR="00B14D53" w14:paraId="11DD919D" w14:textId="77777777">
        <w:trPr>
          <w:trHeight w:val="156"/>
          <w:jc w:val="center"/>
        </w:trPr>
        <w:tc>
          <w:tcPr>
            <w:tcW w:w="368" w:type="pct"/>
            <w:vMerge/>
            <w:vAlign w:val="center"/>
          </w:tcPr>
          <w:p w14:paraId="3DFBA9F5" w14:textId="77777777" w:rsidR="00B14D53" w:rsidRDefault="00B14D53">
            <w:pPr>
              <w:jc w:val="center"/>
              <w:rPr>
                <w:szCs w:val="21"/>
              </w:rPr>
            </w:pPr>
          </w:p>
        </w:tc>
        <w:tc>
          <w:tcPr>
            <w:tcW w:w="976" w:type="pct"/>
            <w:vMerge/>
            <w:vAlign w:val="center"/>
          </w:tcPr>
          <w:p w14:paraId="7AB3E14F" w14:textId="77777777" w:rsidR="00B14D53" w:rsidRDefault="00B14D53">
            <w:pPr>
              <w:jc w:val="center"/>
              <w:rPr>
                <w:rFonts w:eastAsiaTheme="minorEastAsia"/>
              </w:rPr>
            </w:pPr>
          </w:p>
        </w:tc>
        <w:tc>
          <w:tcPr>
            <w:tcW w:w="615" w:type="pct"/>
            <w:vMerge/>
            <w:vAlign w:val="center"/>
          </w:tcPr>
          <w:p w14:paraId="61D79493" w14:textId="77777777" w:rsidR="00B14D53" w:rsidRDefault="00B14D53">
            <w:pPr>
              <w:jc w:val="center"/>
              <w:rPr>
                <w:szCs w:val="21"/>
              </w:rPr>
            </w:pPr>
          </w:p>
        </w:tc>
        <w:tc>
          <w:tcPr>
            <w:tcW w:w="1320" w:type="pct"/>
            <w:vMerge/>
            <w:vAlign w:val="center"/>
          </w:tcPr>
          <w:p w14:paraId="266BB56E" w14:textId="77777777" w:rsidR="00B14D53" w:rsidRDefault="00B14D53">
            <w:pPr>
              <w:jc w:val="center"/>
              <w:rPr>
                <w:rFonts w:eastAsiaTheme="minorEastAsia"/>
                <w:snapToGrid w:val="0"/>
                <w:szCs w:val="22"/>
              </w:rPr>
            </w:pPr>
          </w:p>
        </w:tc>
        <w:tc>
          <w:tcPr>
            <w:tcW w:w="869" w:type="pct"/>
            <w:tcBorders>
              <w:top w:val="single" w:sz="4" w:space="0" w:color="auto"/>
              <w:bottom w:val="single" w:sz="4" w:space="0" w:color="auto"/>
            </w:tcBorders>
            <w:vAlign w:val="center"/>
          </w:tcPr>
          <w:p w14:paraId="0D1BF144" w14:textId="77777777" w:rsidR="00B14D53" w:rsidRDefault="00000000">
            <w:pPr>
              <w:jc w:val="center"/>
              <w:rPr>
                <w:szCs w:val="21"/>
              </w:rPr>
            </w:pPr>
            <w:r>
              <w:rPr>
                <w:rFonts w:eastAsiaTheme="minorEastAsia" w:hint="eastAsia"/>
                <w:kern w:val="0"/>
              </w:rPr>
              <w:t>SW</w:t>
            </w:r>
          </w:p>
        </w:tc>
        <w:tc>
          <w:tcPr>
            <w:tcW w:w="848" w:type="pct"/>
            <w:tcBorders>
              <w:top w:val="single" w:sz="4" w:space="0" w:color="auto"/>
              <w:bottom w:val="single" w:sz="4" w:space="0" w:color="auto"/>
            </w:tcBorders>
            <w:vAlign w:val="center"/>
          </w:tcPr>
          <w:p w14:paraId="040368F1" w14:textId="77777777" w:rsidR="00B14D53" w:rsidRDefault="00000000">
            <w:pPr>
              <w:jc w:val="center"/>
              <w:rPr>
                <w:szCs w:val="21"/>
              </w:rPr>
            </w:pPr>
            <w:r>
              <w:rPr>
                <w:rFonts w:eastAsiaTheme="minorEastAsia" w:hint="eastAsia"/>
                <w:kern w:val="0"/>
              </w:rPr>
              <w:t>10m</w:t>
            </w:r>
          </w:p>
        </w:tc>
      </w:tr>
      <w:tr w:rsidR="00B14D53" w14:paraId="3895871D" w14:textId="77777777">
        <w:trPr>
          <w:trHeight w:val="91"/>
          <w:jc w:val="center"/>
        </w:trPr>
        <w:tc>
          <w:tcPr>
            <w:tcW w:w="368" w:type="pct"/>
            <w:vMerge/>
            <w:vAlign w:val="center"/>
          </w:tcPr>
          <w:p w14:paraId="7C27E004" w14:textId="77777777" w:rsidR="00B14D53" w:rsidRDefault="00B14D53">
            <w:pPr>
              <w:jc w:val="center"/>
              <w:rPr>
                <w:szCs w:val="21"/>
              </w:rPr>
            </w:pPr>
          </w:p>
        </w:tc>
        <w:tc>
          <w:tcPr>
            <w:tcW w:w="976" w:type="pct"/>
            <w:vMerge/>
            <w:vAlign w:val="center"/>
          </w:tcPr>
          <w:p w14:paraId="20C9EB32" w14:textId="77777777" w:rsidR="00B14D53" w:rsidRDefault="00B14D53">
            <w:pPr>
              <w:jc w:val="center"/>
              <w:rPr>
                <w:rFonts w:eastAsiaTheme="minorEastAsia"/>
              </w:rPr>
            </w:pPr>
          </w:p>
        </w:tc>
        <w:tc>
          <w:tcPr>
            <w:tcW w:w="615" w:type="pct"/>
            <w:vMerge/>
            <w:vAlign w:val="center"/>
          </w:tcPr>
          <w:p w14:paraId="7D50ACCF" w14:textId="77777777" w:rsidR="00B14D53" w:rsidRDefault="00B14D53">
            <w:pPr>
              <w:jc w:val="center"/>
              <w:rPr>
                <w:szCs w:val="21"/>
              </w:rPr>
            </w:pPr>
          </w:p>
        </w:tc>
        <w:tc>
          <w:tcPr>
            <w:tcW w:w="1320" w:type="pct"/>
            <w:vMerge/>
            <w:vAlign w:val="center"/>
          </w:tcPr>
          <w:p w14:paraId="1B0284A0" w14:textId="77777777" w:rsidR="00B14D53" w:rsidRDefault="00B14D53">
            <w:pPr>
              <w:jc w:val="center"/>
              <w:rPr>
                <w:rFonts w:eastAsiaTheme="minorEastAsia"/>
                <w:snapToGrid w:val="0"/>
                <w:szCs w:val="22"/>
              </w:rPr>
            </w:pPr>
          </w:p>
        </w:tc>
        <w:tc>
          <w:tcPr>
            <w:tcW w:w="869" w:type="pct"/>
            <w:tcBorders>
              <w:top w:val="single" w:sz="4" w:space="0" w:color="auto"/>
              <w:bottom w:val="single" w:sz="4" w:space="0" w:color="auto"/>
            </w:tcBorders>
            <w:vAlign w:val="center"/>
          </w:tcPr>
          <w:p w14:paraId="4AA6B8AE" w14:textId="77777777" w:rsidR="00B14D53" w:rsidRDefault="00000000">
            <w:pPr>
              <w:jc w:val="center"/>
              <w:rPr>
                <w:szCs w:val="21"/>
              </w:rPr>
            </w:pPr>
            <w:r>
              <w:rPr>
                <w:rFonts w:eastAsiaTheme="minorEastAsia" w:hint="eastAsia"/>
                <w:kern w:val="0"/>
              </w:rPr>
              <w:t>NW</w:t>
            </w:r>
          </w:p>
        </w:tc>
        <w:tc>
          <w:tcPr>
            <w:tcW w:w="848" w:type="pct"/>
            <w:tcBorders>
              <w:top w:val="single" w:sz="4" w:space="0" w:color="auto"/>
              <w:bottom w:val="single" w:sz="4" w:space="0" w:color="auto"/>
            </w:tcBorders>
            <w:vAlign w:val="center"/>
          </w:tcPr>
          <w:p w14:paraId="7907BAC8" w14:textId="77777777" w:rsidR="00B14D53" w:rsidRDefault="00000000">
            <w:pPr>
              <w:jc w:val="center"/>
              <w:rPr>
                <w:szCs w:val="21"/>
              </w:rPr>
            </w:pPr>
            <w:r>
              <w:rPr>
                <w:rFonts w:eastAsiaTheme="minorEastAsia" w:hint="eastAsia"/>
                <w:kern w:val="0"/>
              </w:rPr>
              <w:t>5m</w:t>
            </w:r>
          </w:p>
        </w:tc>
      </w:tr>
      <w:tr w:rsidR="00B14D53" w14:paraId="20136F74" w14:textId="77777777">
        <w:trPr>
          <w:trHeight w:val="156"/>
          <w:jc w:val="center"/>
        </w:trPr>
        <w:tc>
          <w:tcPr>
            <w:tcW w:w="368" w:type="pct"/>
            <w:vMerge/>
            <w:vAlign w:val="center"/>
          </w:tcPr>
          <w:p w14:paraId="5B6D3222" w14:textId="77777777" w:rsidR="00B14D53" w:rsidRDefault="00B14D53">
            <w:pPr>
              <w:jc w:val="center"/>
              <w:rPr>
                <w:szCs w:val="21"/>
              </w:rPr>
            </w:pPr>
          </w:p>
        </w:tc>
        <w:tc>
          <w:tcPr>
            <w:tcW w:w="976" w:type="pct"/>
            <w:vMerge/>
            <w:vAlign w:val="center"/>
          </w:tcPr>
          <w:p w14:paraId="072930F3" w14:textId="77777777" w:rsidR="00B14D53" w:rsidRDefault="00B14D53">
            <w:pPr>
              <w:jc w:val="center"/>
              <w:rPr>
                <w:rFonts w:eastAsiaTheme="minorEastAsia"/>
              </w:rPr>
            </w:pPr>
          </w:p>
        </w:tc>
        <w:tc>
          <w:tcPr>
            <w:tcW w:w="615" w:type="pct"/>
            <w:vMerge/>
            <w:vAlign w:val="center"/>
          </w:tcPr>
          <w:p w14:paraId="524791A6" w14:textId="77777777" w:rsidR="00B14D53" w:rsidRDefault="00B14D53">
            <w:pPr>
              <w:jc w:val="center"/>
              <w:rPr>
                <w:szCs w:val="21"/>
              </w:rPr>
            </w:pPr>
          </w:p>
        </w:tc>
        <w:tc>
          <w:tcPr>
            <w:tcW w:w="1320" w:type="pct"/>
            <w:vMerge/>
            <w:vAlign w:val="center"/>
          </w:tcPr>
          <w:p w14:paraId="1EAB7010" w14:textId="77777777" w:rsidR="00B14D53" w:rsidRDefault="00B14D53">
            <w:pPr>
              <w:jc w:val="center"/>
              <w:rPr>
                <w:rFonts w:eastAsiaTheme="minorEastAsia"/>
                <w:snapToGrid w:val="0"/>
                <w:szCs w:val="22"/>
              </w:rPr>
            </w:pPr>
          </w:p>
        </w:tc>
        <w:tc>
          <w:tcPr>
            <w:tcW w:w="869" w:type="pct"/>
            <w:tcBorders>
              <w:top w:val="single" w:sz="4" w:space="0" w:color="auto"/>
              <w:bottom w:val="single" w:sz="12" w:space="0" w:color="auto"/>
            </w:tcBorders>
            <w:vAlign w:val="center"/>
          </w:tcPr>
          <w:p w14:paraId="31F6D8BA" w14:textId="77777777" w:rsidR="00B14D53" w:rsidRDefault="00000000">
            <w:pPr>
              <w:jc w:val="center"/>
              <w:rPr>
                <w:szCs w:val="21"/>
              </w:rPr>
            </w:pPr>
            <w:r>
              <w:rPr>
                <w:rFonts w:eastAsiaTheme="minorEastAsia" w:hint="eastAsia"/>
                <w:kern w:val="0"/>
              </w:rPr>
              <w:t>N</w:t>
            </w:r>
          </w:p>
        </w:tc>
        <w:tc>
          <w:tcPr>
            <w:tcW w:w="848" w:type="pct"/>
            <w:tcBorders>
              <w:top w:val="single" w:sz="4" w:space="0" w:color="auto"/>
              <w:bottom w:val="single" w:sz="12" w:space="0" w:color="auto"/>
            </w:tcBorders>
            <w:vAlign w:val="center"/>
          </w:tcPr>
          <w:p w14:paraId="65E512E9" w14:textId="77777777" w:rsidR="00B14D53" w:rsidRDefault="00000000">
            <w:pPr>
              <w:jc w:val="center"/>
              <w:rPr>
                <w:szCs w:val="21"/>
              </w:rPr>
            </w:pPr>
            <w:r>
              <w:rPr>
                <w:rFonts w:eastAsiaTheme="minorEastAsia"/>
                <w:kern w:val="0"/>
              </w:rPr>
              <w:t>5m</w:t>
            </w:r>
          </w:p>
        </w:tc>
      </w:tr>
    </w:tbl>
    <w:p w14:paraId="24A783D1" w14:textId="77777777" w:rsidR="00B14D53" w:rsidRDefault="00B14D53">
      <w:pPr>
        <w:spacing w:line="360" w:lineRule="auto"/>
        <w:contextualSpacing/>
        <w:jc w:val="center"/>
        <w:rPr>
          <w:rFonts w:eastAsiaTheme="minorEastAsia"/>
          <w:b/>
          <w:color w:val="0000FF"/>
          <w:kern w:val="0"/>
          <w:sz w:val="24"/>
        </w:rPr>
      </w:pPr>
    </w:p>
    <w:p w14:paraId="4978B820" w14:textId="77777777" w:rsidR="00B14D53" w:rsidRDefault="00B14D53">
      <w:pPr>
        <w:spacing w:line="360" w:lineRule="auto"/>
        <w:contextualSpacing/>
        <w:jc w:val="center"/>
        <w:rPr>
          <w:rFonts w:eastAsiaTheme="minorEastAsia"/>
          <w:b/>
          <w:color w:val="0000FF"/>
          <w:kern w:val="0"/>
          <w:sz w:val="24"/>
        </w:rPr>
      </w:pPr>
    </w:p>
    <w:bookmarkEnd w:id="58"/>
    <w:bookmarkEnd w:id="60"/>
    <w:p w14:paraId="373C7D3D" w14:textId="77777777" w:rsidR="00B14D53" w:rsidRDefault="00B14D53">
      <w:pPr>
        <w:widowControl/>
        <w:adjustRightInd w:val="0"/>
        <w:snapToGrid w:val="0"/>
        <w:spacing w:line="360" w:lineRule="auto"/>
        <w:ind w:firstLineChars="200" w:firstLine="640"/>
        <w:jc w:val="left"/>
        <w:rPr>
          <w:rFonts w:eastAsiaTheme="minorEastAsia"/>
          <w:color w:val="0000FF"/>
          <w:kern w:val="0"/>
          <w:sz w:val="32"/>
          <w:szCs w:val="32"/>
        </w:rPr>
        <w:sectPr w:rsidR="00B14D53">
          <w:pgSz w:w="16838" w:h="11906" w:orient="landscape"/>
          <w:pgMar w:top="1800" w:right="1440" w:bottom="1800" w:left="1440" w:header="851" w:footer="992" w:gutter="0"/>
          <w:cols w:space="425"/>
          <w:docGrid w:type="lines" w:linePitch="312"/>
        </w:sectPr>
      </w:pPr>
    </w:p>
    <w:p w14:paraId="269D704B" w14:textId="77777777" w:rsidR="00B14D53" w:rsidRDefault="00000000">
      <w:pPr>
        <w:pStyle w:val="1"/>
        <w:spacing w:before="100" w:beforeAutospacing="1" w:after="0" w:line="240" w:lineRule="auto"/>
        <w:ind w:firstLineChars="200" w:firstLine="640"/>
        <w:rPr>
          <w:rFonts w:eastAsia="黑体"/>
          <w:b w:val="0"/>
          <w:bCs w:val="0"/>
          <w:sz w:val="32"/>
          <w:szCs w:val="32"/>
        </w:rPr>
      </w:pPr>
      <w:bookmarkStart w:id="61" w:name="_Toc14573"/>
      <w:r>
        <w:rPr>
          <w:rFonts w:eastAsia="黑体" w:hint="eastAsia"/>
          <w:b w:val="0"/>
          <w:bCs w:val="0"/>
          <w:sz w:val="32"/>
          <w:szCs w:val="32"/>
        </w:rPr>
        <w:t>3</w:t>
      </w:r>
      <w:r>
        <w:rPr>
          <w:rFonts w:eastAsia="黑体" w:hint="eastAsia"/>
          <w:b w:val="0"/>
          <w:bCs w:val="0"/>
          <w:sz w:val="32"/>
          <w:szCs w:val="32"/>
        </w:rPr>
        <w:t>建设项目工程分析</w:t>
      </w:r>
      <w:bookmarkEnd w:id="61"/>
    </w:p>
    <w:p w14:paraId="00E9ACA4"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62" w:name="_Toc8287"/>
      <w:r>
        <w:rPr>
          <w:rFonts w:ascii="Times New Roman" w:eastAsia="黑体" w:hAnsi="Times New Roman" w:cs="Times New Roman"/>
          <w:b w:val="0"/>
          <w:bCs w:val="0"/>
          <w:sz w:val="30"/>
          <w:szCs w:val="30"/>
        </w:rPr>
        <w:t>3.1</w:t>
      </w:r>
      <w:r>
        <w:rPr>
          <w:rFonts w:ascii="Times New Roman" w:eastAsia="黑体" w:hAnsi="Times New Roman" w:cs="Times New Roman"/>
          <w:b w:val="0"/>
          <w:bCs w:val="0"/>
          <w:sz w:val="30"/>
          <w:szCs w:val="30"/>
        </w:rPr>
        <w:t>项目概况</w:t>
      </w:r>
      <w:bookmarkEnd w:id="62"/>
    </w:p>
    <w:p w14:paraId="1F90B652"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63" w:name="_Toc113078920"/>
      <w:bookmarkStart w:id="64" w:name="_Toc112420350"/>
      <w:bookmarkStart w:id="65" w:name="_Toc182022280"/>
      <w:bookmarkStart w:id="66" w:name="_Toc118086779"/>
      <w:bookmarkStart w:id="67" w:name="_Toc11758487"/>
      <w:r>
        <w:rPr>
          <w:rFonts w:ascii="Times New Roman" w:eastAsia="黑体" w:hAnsi="Times New Roman" w:cs="Times New Roman"/>
          <w:sz w:val="28"/>
          <w:szCs w:val="28"/>
        </w:rPr>
        <w:t>3.1.1</w:t>
      </w:r>
      <w:bookmarkEnd w:id="63"/>
      <w:bookmarkEnd w:id="64"/>
      <w:bookmarkEnd w:id="65"/>
      <w:bookmarkEnd w:id="66"/>
      <w:r>
        <w:rPr>
          <w:rFonts w:ascii="Times New Roman" w:eastAsia="黑体" w:hAnsi="Times New Roman" w:cs="Times New Roman"/>
          <w:sz w:val="28"/>
          <w:szCs w:val="28"/>
        </w:rPr>
        <w:t>项目名称及基本组成</w:t>
      </w:r>
      <w:bookmarkEnd w:id="67"/>
    </w:p>
    <w:p w14:paraId="0DAF17BF" w14:textId="77777777" w:rsidR="00B14D53" w:rsidRDefault="00000000">
      <w:pPr>
        <w:widowControl/>
        <w:spacing w:line="360" w:lineRule="auto"/>
        <w:ind w:firstLineChars="200" w:firstLine="480"/>
        <w:rPr>
          <w:rFonts w:eastAsiaTheme="minorEastAsia"/>
          <w:kern w:val="0"/>
          <w:sz w:val="24"/>
        </w:rPr>
      </w:pPr>
      <w:r>
        <w:rPr>
          <w:rFonts w:eastAsiaTheme="minorEastAsia" w:hAnsiTheme="minorEastAsia"/>
          <w:kern w:val="0"/>
          <w:sz w:val="24"/>
        </w:rPr>
        <w:t>项目名称：</w:t>
      </w:r>
      <w:r>
        <w:rPr>
          <w:rFonts w:eastAsiaTheme="minorEastAsia" w:hAnsiTheme="minorEastAsia" w:hint="eastAsia"/>
          <w:kern w:val="0"/>
          <w:sz w:val="24"/>
        </w:rPr>
        <w:t>五常市三元肉类加工有限公司建设项目</w:t>
      </w:r>
    </w:p>
    <w:p w14:paraId="112EC2F5" w14:textId="77777777" w:rsidR="00B14D53" w:rsidRDefault="00000000">
      <w:pPr>
        <w:widowControl/>
        <w:spacing w:line="360" w:lineRule="auto"/>
        <w:ind w:firstLineChars="200" w:firstLine="480"/>
        <w:rPr>
          <w:rFonts w:eastAsiaTheme="minorEastAsia"/>
          <w:kern w:val="0"/>
          <w:sz w:val="24"/>
        </w:rPr>
      </w:pPr>
      <w:r>
        <w:rPr>
          <w:rFonts w:eastAsiaTheme="minorEastAsia" w:hAnsiTheme="minorEastAsia"/>
          <w:kern w:val="0"/>
          <w:sz w:val="24"/>
        </w:rPr>
        <w:t>项目建设单位：</w:t>
      </w:r>
      <w:r>
        <w:rPr>
          <w:rFonts w:eastAsiaTheme="minorEastAsia" w:hAnsiTheme="minorEastAsia" w:hint="eastAsia"/>
          <w:kern w:val="0"/>
          <w:sz w:val="24"/>
        </w:rPr>
        <w:t>五常市三元肉类加工有限公司</w:t>
      </w:r>
    </w:p>
    <w:p w14:paraId="49F9F48D" w14:textId="77777777" w:rsidR="00B14D53" w:rsidRDefault="00000000">
      <w:pPr>
        <w:widowControl/>
        <w:spacing w:line="360" w:lineRule="auto"/>
        <w:ind w:firstLineChars="200" w:firstLine="480"/>
        <w:rPr>
          <w:rFonts w:eastAsiaTheme="minorEastAsia"/>
          <w:kern w:val="0"/>
          <w:sz w:val="24"/>
        </w:rPr>
      </w:pPr>
      <w:r>
        <w:rPr>
          <w:rFonts w:eastAsiaTheme="minorEastAsia" w:hAnsiTheme="minorEastAsia"/>
          <w:kern w:val="0"/>
          <w:sz w:val="24"/>
        </w:rPr>
        <w:t>项目性质：新建</w:t>
      </w:r>
    </w:p>
    <w:p w14:paraId="1527A89E" w14:textId="77777777" w:rsidR="00B14D53" w:rsidRDefault="00000000">
      <w:pPr>
        <w:pStyle w:val="afff"/>
        <w:adjustRightInd/>
        <w:snapToGrid/>
        <w:jc w:val="both"/>
        <w:rPr>
          <w:rFonts w:ascii="Times New Roman" w:hAnsi="Times New Roman" w:cs="Times New Roman"/>
          <w:kern w:val="0"/>
        </w:rPr>
      </w:pPr>
      <w:r>
        <w:rPr>
          <w:rFonts w:ascii="Times New Roman" w:hAnsiTheme="minorEastAsia" w:cs="Times New Roman"/>
        </w:rPr>
        <w:t>建设地点：</w:t>
      </w:r>
      <w:r>
        <w:rPr>
          <w:rFonts w:ascii="Times New Roman" w:hAnsiTheme="minorEastAsia" w:cs="Times New Roman" w:hint="eastAsia"/>
          <w:snapToGrid w:val="0"/>
          <w:kern w:val="0"/>
        </w:rPr>
        <w:t>黑龙江省哈尔滨市五常市山河镇山河屯林业地区林业大街南</w:t>
      </w:r>
      <w:r>
        <w:rPr>
          <w:rFonts w:ascii="Times New Roman" w:hAnsiTheme="minorEastAsia" w:cs="Times New Roman" w:hint="eastAsia"/>
          <w:snapToGrid w:val="0"/>
          <w:kern w:val="0"/>
        </w:rPr>
        <w:t>200</w:t>
      </w:r>
      <w:r>
        <w:rPr>
          <w:rFonts w:ascii="Times New Roman" w:hAnsiTheme="minorEastAsia" w:cs="Times New Roman" w:hint="eastAsia"/>
          <w:snapToGrid w:val="0"/>
          <w:kern w:val="0"/>
        </w:rPr>
        <w:t>米处</w:t>
      </w:r>
    </w:p>
    <w:p w14:paraId="2D7C7A09" w14:textId="77777777" w:rsidR="00B14D53" w:rsidRDefault="00000000">
      <w:pPr>
        <w:spacing w:line="360" w:lineRule="auto"/>
        <w:ind w:firstLineChars="200" w:firstLine="480"/>
        <w:rPr>
          <w:rFonts w:eastAsiaTheme="minorEastAsia"/>
          <w:snapToGrid w:val="0"/>
          <w:kern w:val="0"/>
          <w:sz w:val="24"/>
        </w:rPr>
      </w:pPr>
      <w:r>
        <w:rPr>
          <w:rFonts w:eastAsiaTheme="minorEastAsia" w:hAnsiTheme="minorEastAsia"/>
          <w:snapToGrid w:val="0"/>
          <w:kern w:val="0"/>
          <w:sz w:val="24"/>
        </w:rPr>
        <w:t>工程投资：</w:t>
      </w:r>
      <w:r>
        <w:rPr>
          <w:rFonts w:eastAsiaTheme="minorEastAsia" w:hint="eastAsia"/>
          <w:snapToGrid w:val="0"/>
          <w:kern w:val="0"/>
          <w:sz w:val="24"/>
        </w:rPr>
        <w:t>700</w:t>
      </w:r>
      <w:r>
        <w:rPr>
          <w:rFonts w:eastAsiaTheme="minorEastAsia"/>
          <w:snapToGrid w:val="0"/>
          <w:kern w:val="0"/>
          <w:sz w:val="24"/>
        </w:rPr>
        <w:t>万元</w:t>
      </w:r>
    </w:p>
    <w:p w14:paraId="1B626D6F" w14:textId="77777777" w:rsidR="00B14D53" w:rsidRDefault="00000000">
      <w:pPr>
        <w:spacing w:line="360" w:lineRule="auto"/>
        <w:ind w:firstLineChars="200" w:firstLine="480"/>
        <w:rPr>
          <w:rFonts w:eastAsiaTheme="minorEastAsia"/>
          <w:snapToGrid w:val="0"/>
          <w:kern w:val="0"/>
          <w:sz w:val="24"/>
        </w:rPr>
      </w:pPr>
      <w:r>
        <w:rPr>
          <w:rFonts w:eastAsiaTheme="minorEastAsia" w:hAnsiTheme="minorEastAsia"/>
          <w:snapToGrid w:val="0"/>
          <w:kern w:val="0"/>
          <w:sz w:val="24"/>
        </w:rPr>
        <w:t>占地面积：</w:t>
      </w:r>
      <w:r>
        <w:rPr>
          <w:rFonts w:eastAsiaTheme="minorEastAsia" w:hint="eastAsia"/>
          <w:sz w:val="24"/>
        </w:rPr>
        <w:t>9592</w:t>
      </w:r>
      <w:r>
        <w:rPr>
          <w:rFonts w:eastAsiaTheme="minorEastAsia" w:hAnsiTheme="minorEastAsia"/>
          <w:snapToGrid w:val="0"/>
          <w:kern w:val="0"/>
          <w:sz w:val="24"/>
        </w:rPr>
        <w:t>平方米</w:t>
      </w:r>
    </w:p>
    <w:p w14:paraId="2A0CFDB6" w14:textId="77777777" w:rsidR="00B14D53" w:rsidRDefault="00000000">
      <w:pPr>
        <w:spacing w:line="360" w:lineRule="auto"/>
        <w:ind w:firstLineChars="200" w:firstLine="480"/>
        <w:rPr>
          <w:rFonts w:eastAsiaTheme="minorEastAsia"/>
          <w:snapToGrid w:val="0"/>
          <w:kern w:val="0"/>
          <w:sz w:val="24"/>
        </w:rPr>
      </w:pPr>
      <w:r>
        <w:rPr>
          <w:rFonts w:eastAsiaTheme="minorEastAsia" w:hAnsiTheme="minorEastAsia"/>
          <w:snapToGrid w:val="0"/>
          <w:kern w:val="0"/>
          <w:sz w:val="24"/>
        </w:rPr>
        <w:t>占地类型：</w:t>
      </w:r>
      <w:r>
        <w:rPr>
          <w:rFonts w:eastAsiaTheme="minorEastAsia" w:hAnsiTheme="minorEastAsia" w:hint="eastAsia"/>
          <w:snapToGrid w:val="0"/>
          <w:kern w:val="0"/>
          <w:sz w:val="24"/>
        </w:rPr>
        <w:t>工业仓储用地</w:t>
      </w:r>
    </w:p>
    <w:p w14:paraId="4F6E0668" w14:textId="77777777" w:rsidR="00B14D53" w:rsidRDefault="00000000">
      <w:pPr>
        <w:spacing w:line="360" w:lineRule="auto"/>
        <w:ind w:firstLineChars="200" w:firstLine="480"/>
        <w:rPr>
          <w:rFonts w:eastAsiaTheme="minorEastAsia"/>
          <w:snapToGrid w:val="0"/>
          <w:kern w:val="0"/>
          <w:sz w:val="24"/>
        </w:rPr>
      </w:pPr>
      <w:r>
        <w:rPr>
          <w:rFonts w:eastAsiaTheme="minorEastAsia" w:hAnsiTheme="minorEastAsia"/>
          <w:snapToGrid w:val="0"/>
          <w:kern w:val="0"/>
          <w:sz w:val="24"/>
        </w:rPr>
        <w:t>建筑面积：</w:t>
      </w:r>
      <w:r>
        <w:rPr>
          <w:rFonts w:eastAsiaTheme="minorEastAsia" w:hint="eastAsia"/>
          <w:snapToGrid w:val="0"/>
          <w:kern w:val="0"/>
          <w:sz w:val="24"/>
        </w:rPr>
        <w:t>2924.4</w:t>
      </w:r>
      <w:r>
        <w:rPr>
          <w:rFonts w:eastAsiaTheme="minorEastAsia" w:hAnsiTheme="minorEastAsia"/>
          <w:snapToGrid w:val="0"/>
          <w:kern w:val="0"/>
          <w:sz w:val="24"/>
        </w:rPr>
        <w:t>平方米</w:t>
      </w:r>
    </w:p>
    <w:p w14:paraId="4AF8B513" w14:textId="77777777" w:rsidR="00B14D53" w:rsidRDefault="00000000">
      <w:pPr>
        <w:spacing w:line="360" w:lineRule="auto"/>
        <w:ind w:firstLineChars="200" w:firstLine="480"/>
        <w:rPr>
          <w:rFonts w:eastAsiaTheme="minorEastAsia"/>
          <w:snapToGrid w:val="0"/>
          <w:kern w:val="0"/>
          <w:sz w:val="24"/>
        </w:rPr>
      </w:pPr>
      <w:r>
        <w:rPr>
          <w:rFonts w:eastAsiaTheme="minorEastAsia" w:hAnsiTheme="minorEastAsia"/>
          <w:snapToGrid w:val="0"/>
          <w:kern w:val="0"/>
          <w:sz w:val="24"/>
        </w:rPr>
        <w:t>劳动定员及工作制度：员工为</w:t>
      </w:r>
      <w:r>
        <w:rPr>
          <w:rFonts w:eastAsiaTheme="minorEastAsia" w:hint="eastAsia"/>
          <w:snapToGrid w:val="0"/>
          <w:kern w:val="0"/>
          <w:sz w:val="24"/>
        </w:rPr>
        <w:t>30</w:t>
      </w:r>
      <w:r>
        <w:rPr>
          <w:rFonts w:eastAsiaTheme="minorEastAsia" w:hAnsiTheme="minorEastAsia"/>
          <w:snapToGrid w:val="0"/>
          <w:kern w:val="0"/>
          <w:sz w:val="24"/>
        </w:rPr>
        <w:t>人。全年工作天数为</w:t>
      </w:r>
      <w:r>
        <w:rPr>
          <w:rFonts w:eastAsiaTheme="minorEastAsia"/>
          <w:snapToGrid w:val="0"/>
          <w:kern w:val="0"/>
          <w:sz w:val="24"/>
        </w:rPr>
        <w:t>3</w:t>
      </w:r>
      <w:r>
        <w:rPr>
          <w:rFonts w:eastAsiaTheme="minorEastAsia" w:hint="eastAsia"/>
          <w:snapToGrid w:val="0"/>
          <w:kern w:val="0"/>
          <w:sz w:val="24"/>
        </w:rPr>
        <w:t>40</w:t>
      </w:r>
      <w:r>
        <w:rPr>
          <w:rFonts w:eastAsiaTheme="minorEastAsia" w:hAnsiTheme="minorEastAsia"/>
          <w:snapToGrid w:val="0"/>
          <w:kern w:val="0"/>
          <w:sz w:val="24"/>
        </w:rPr>
        <w:t>天，</w:t>
      </w:r>
      <w:r>
        <w:rPr>
          <w:rFonts w:eastAsiaTheme="minorEastAsia" w:hAnsiTheme="minorEastAsia" w:hint="eastAsia"/>
          <w:snapToGrid w:val="0"/>
          <w:kern w:val="0"/>
          <w:sz w:val="24"/>
        </w:rPr>
        <w:t>两</w:t>
      </w:r>
      <w:r>
        <w:rPr>
          <w:rFonts w:eastAsiaTheme="minorEastAsia" w:hAnsiTheme="minorEastAsia"/>
          <w:snapToGrid w:val="0"/>
          <w:kern w:val="0"/>
          <w:sz w:val="24"/>
        </w:rPr>
        <w:t>班制，每班</w:t>
      </w:r>
      <w:r>
        <w:rPr>
          <w:rFonts w:eastAsiaTheme="minorEastAsia"/>
          <w:snapToGrid w:val="0"/>
          <w:kern w:val="0"/>
          <w:sz w:val="24"/>
        </w:rPr>
        <w:t>8</w:t>
      </w:r>
      <w:r>
        <w:rPr>
          <w:rFonts w:eastAsiaTheme="minorEastAsia" w:hAnsiTheme="minorEastAsia"/>
          <w:snapToGrid w:val="0"/>
          <w:kern w:val="0"/>
          <w:sz w:val="24"/>
        </w:rPr>
        <w:t>小时。员工均为附近居民，</w:t>
      </w:r>
      <w:r>
        <w:rPr>
          <w:rFonts w:eastAsiaTheme="minorEastAsia" w:hAnsiTheme="minorEastAsia" w:hint="eastAsia"/>
          <w:snapToGrid w:val="0"/>
          <w:kern w:val="0"/>
          <w:sz w:val="24"/>
        </w:rPr>
        <w:t>厂</w:t>
      </w:r>
      <w:r>
        <w:rPr>
          <w:rFonts w:eastAsiaTheme="minorEastAsia" w:hAnsiTheme="minorEastAsia"/>
          <w:snapToGrid w:val="0"/>
          <w:kern w:val="0"/>
          <w:sz w:val="24"/>
        </w:rPr>
        <w:t>区不设食堂及宿舍。</w:t>
      </w:r>
    </w:p>
    <w:p w14:paraId="424765F4" w14:textId="77777777" w:rsidR="00B14D53" w:rsidRDefault="00000000">
      <w:pPr>
        <w:spacing w:line="360" w:lineRule="auto"/>
        <w:ind w:firstLineChars="200" w:firstLine="480"/>
        <w:rPr>
          <w:rFonts w:eastAsiaTheme="minorEastAsia"/>
          <w:snapToGrid w:val="0"/>
          <w:kern w:val="0"/>
        </w:rPr>
      </w:pPr>
      <w:r>
        <w:rPr>
          <w:rFonts w:eastAsiaTheme="minorEastAsia" w:hAnsiTheme="minorEastAsia"/>
          <w:snapToGrid w:val="0"/>
          <w:kern w:val="0"/>
          <w:sz w:val="24"/>
        </w:rPr>
        <w:t>建设周期：</w:t>
      </w:r>
      <w:r>
        <w:rPr>
          <w:rFonts w:eastAsiaTheme="minorEastAsia" w:hAnsiTheme="minorEastAsia"/>
          <w:sz w:val="24"/>
        </w:rPr>
        <w:t>项目建设期</w:t>
      </w:r>
      <w:r>
        <w:rPr>
          <w:rFonts w:eastAsiaTheme="minorEastAsia" w:hint="eastAsia"/>
          <w:sz w:val="24"/>
        </w:rPr>
        <w:t>2</w:t>
      </w:r>
      <w:r>
        <w:rPr>
          <w:rFonts w:eastAsiaTheme="minorEastAsia" w:hAnsiTheme="minorEastAsia"/>
          <w:sz w:val="24"/>
        </w:rPr>
        <w:t>个月</w:t>
      </w:r>
      <w:r>
        <w:rPr>
          <w:rFonts w:eastAsiaTheme="minorEastAsia" w:hAnsiTheme="minorEastAsia"/>
          <w:snapToGrid w:val="0"/>
          <w:kern w:val="0"/>
          <w:sz w:val="24"/>
        </w:rPr>
        <w:t>，为</w:t>
      </w:r>
      <w:r>
        <w:rPr>
          <w:rFonts w:eastAsiaTheme="minorEastAsia"/>
          <w:snapToGrid w:val="0"/>
          <w:kern w:val="0"/>
          <w:sz w:val="24"/>
        </w:rPr>
        <w:t>2025</w:t>
      </w:r>
      <w:r>
        <w:rPr>
          <w:rFonts w:eastAsiaTheme="minorEastAsia" w:hAnsiTheme="minorEastAsia"/>
          <w:snapToGrid w:val="0"/>
          <w:kern w:val="0"/>
          <w:sz w:val="24"/>
        </w:rPr>
        <w:t>年</w:t>
      </w:r>
      <w:r>
        <w:rPr>
          <w:rFonts w:eastAsiaTheme="minorEastAsia" w:hint="eastAsia"/>
          <w:snapToGrid w:val="0"/>
          <w:kern w:val="0"/>
          <w:sz w:val="24"/>
        </w:rPr>
        <w:t>9</w:t>
      </w:r>
      <w:r>
        <w:rPr>
          <w:rFonts w:eastAsiaTheme="minorEastAsia" w:hAnsiTheme="minorEastAsia"/>
          <w:snapToGrid w:val="0"/>
          <w:kern w:val="0"/>
          <w:sz w:val="24"/>
        </w:rPr>
        <w:t>月至</w:t>
      </w:r>
      <w:r>
        <w:rPr>
          <w:rFonts w:eastAsiaTheme="minorEastAsia"/>
          <w:snapToGrid w:val="0"/>
          <w:kern w:val="0"/>
          <w:sz w:val="24"/>
        </w:rPr>
        <w:t>202</w:t>
      </w:r>
      <w:r>
        <w:rPr>
          <w:rFonts w:eastAsiaTheme="minorEastAsia" w:hint="eastAsia"/>
          <w:snapToGrid w:val="0"/>
          <w:kern w:val="0"/>
          <w:sz w:val="24"/>
        </w:rPr>
        <w:t>5</w:t>
      </w:r>
      <w:r>
        <w:rPr>
          <w:rFonts w:eastAsiaTheme="minorEastAsia" w:hAnsiTheme="minorEastAsia"/>
          <w:snapToGrid w:val="0"/>
          <w:kern w:val="0"/>
          <w:sz w:val="24"/>
        </w:rPr>
        <w:t>年</w:t>
      </w:r>
      <w:r>
        <w:rPr>
          <w:rFonts w:eastAsiaTheme="minorEastAsia" w:hint="eastAsia"/>
          <w:snapToGrid w:val="0"/>
          <w:kern w:val="0"/>
          <w:sz w:val="24"/>
        </w:rPr>
        <w:t>10</w:t>
      </w:r>
      <w:r>
        <w:rPr>
          <w:rFonts w:eastAsiaTheme="minorEastAsia" w:hAnsiTheme="minorEastAsia"/>
          <w:snapToGrid w:val="0"/>
          <w:kern w:val="0"/>
          <w:sz w:val="24"/>
        </w:rPr>
        <w:t>月，计划于</w:t>
      </w:r>
      <w:r>
        <w:rPr>
          <w:rFonts w:eastAsiaTheme="minorEastAsia"/>
          <w:snapToGrid w:val="0"/>
          <w:kern w:val="0"/>
          <w:sz w:val="24"/>
        </w:rPr>
        <w:t>202</w:t>
      </w:r>
      <w:r>
        <w:rPr>
          <w:rFonts w:eastAsiaTheme="minorEastAsia" w:hint="eastAsia"/>
          <w:snapToGrid w:val="0"/>
          <w:kern w:val="0"/>
          <w:sz w:val="24"/>
        </w:rPr>
        <w:t>5</w:t>
      </w:r>
      <w:r>
        <w:rPr>
          <w:rFonts w:eastAsiaTheme="minorEastAsia" w:hAnsiTheme="minorEastAsia"/>
          <w:snapToGrid w:val="0"/>
          <w:kern w:val="0"/>
          <w:sz w:val="24"/>
        </w:rPr>
        <w:t>年</w:t>
      </w:r>
      <w:r>
        <w:rPr>
          <w:rFonts w:eastAsiaTheme="minorEastAsia" w:hint="eastAsia"/>
          <w:snapToGrid w:val="0"/>
          <w:kern w:val="0"/>
          <w:sz w:val="24"/>
        </w:rPr>
        <w:t>11</w:t>
      </w:r>
      <w:r>
        <w:rPr>
          <w:rFonts w:eastAsiaTheme="minorEastAsia" w:hAnsiTheme="minorEastAsia"/>
          <w:snapToGrid w:val="0"/>
          <w:kern w:val="0"/>
          <w:sz w:val="24"/>
        </w:rPr>
        <w:t>月投产。</w:t>
      </w:r>
    </w:p>
    <w:p w14:paraId="481F297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68" w:name="_Toc15991641"/>
      <w:r>
        <w:rPr>
          <w:rFonts w:ascii="Times New Roman" w:eastAsia="黑体" w:hAnsi="Times New Roman" w:cs="Times New Roman"/>
          <w:bCs/>
          <w:sz w:val="28"/>
          <w:szCs w:val="28"/>
        </w:rPr>
        <w:t>3.1.2</w:t>
      </w:r>
      <w:r>
        <w:rPr>
          <w:rFonts w:ascii="Times New Roman" w:eastAsia="黑体" w:hAnsi="Times New Roman" w:cs="Times New Roman"/>
          <w:bCs/>
          <w:sz w:val="28"/>
          <w:szCs w:val="28"/>
        </w:rPr>
        <w:t>建设规模及建设内容</w:t>
      </w:r>
      <w:bookmarkEnd w:id="68"/>
    </w:p>
    <w:p w14:paraId="6E87972B" w14:textId="77777777" w:rsidR="00B14D53" w:rsidRDefault="00000000">
      <w:pPr>
        <w:spacing w:line="360" w:lineRule="auto"/>
        <w:ind w:firstLineChars="200" w:firstLine="480"/>
        <w:contextualSpacing/>
        <w:rPr>
          <w:rFonts w:eastAsiaTheme="minorEastAsia" w:hAnsiTheme="minorEastAsia" w:hint="eastAsia"/>
          <w:sz w:val="24"/>
        </w:rPr>
      </w:pPr>
      <w:r>
        <w:rPr>
          <w:rFonts w:eastAsiaTheme="minorEastAsia" w:hAnsiTheme="minorEastAsia"/>
          <w:bCs/>
          <w:sz w:val="24"/>
        </w:rPr>
        <w:t>本项目为</w:t>
      </w:r>
      <w:r>
        <w:rPr>
          <w:rFonts w:eastAsiaTheme="minorEastAsia" w:hAnsiTheme="minorEastAsia" w:hint="eastAsia"/>
          <w:bCs/>
          <w:sz w:val="24"/>
        </w:rPr>
        <w:t>五常市三元肉类加工有限公司建</w:t>
      </w:r>
      <w:r>
        <w:rPr>
          <w:rFonts w:eastAsiaTheme="minorEastAsia" w:hAnsiTheme="minorEastAsia" w:hint="eastAsia"/>
          <w:sz w:val="24"/>
        </w:rPr>
        <w:t>设项目</w:t>
      </w:r>
      <w:r>
        <w:rPr>
          <w:rFonts w:eastAsiaTheme="minorEastAsia" w:hAnsiTheme="minorEastAsia"/>
          <w:sz w:val="24"/>
        </w:rPr>
        <w:t>，位于</w:t>
      </w:r>
      <w:r>
        <w:rPr>
          <w:rFonts w:eastAsiaTheme="minorEastAsia" w:hAnsiTheme="minorEastAsia" w:hint="eastAsia"/>
          <w:sz w:val="24"/>
        </w:rPr>
        <w:t>黑龙江省哈尔滨市五常市山河镇山河屯林业地区林业大街南</w:t>
      </w:r>
      <w:r>
        <w:rPr>
          <w:rFonts w:eastAsiaTheme="minorEastAsia" w:hAnsiTheme="minorEastAsia" w:hint="eastAsia"/>
          <w:sz w:val="24"/>
        </w:rPr>
        <w:t>200</w:t>
      </w:r>
      <w:r>
        <w:rPr>
          <w:rFonts w:eastAsiaTheme="minorEastAsia" w:hAnsiTheme="minorEastAsia" w:hint="eastAsia"/>
          <w:sz w:val="24"/>
        </w:rPr>
        <w:t>米处</w:t>
      </w:r>
      <w:r>
        <w:rPr>
          <w:rFonts w:eastAsiaTheme="minorEastAsia" w:hAnsiTheme="minorEastAsia"/>
          <w:sz w:val="24"/>
        </w:rPr>
        <w:t>，占地面积</w:t>
      </w:r>
      <w:r>
        <w:rPr>
          <w:rFonts w:eastAsiaTheme="minorEastAsia" w:hint="eastAsia"/>
          <w:sz w:val="24"/>
        </w:rPr>
        <w:t>9592</w:t>
      </w:r>
      <w:r>
        <w:rPr>
          <w:rFonts w:eastAsiaTheme="minorEastAsia"/>
          <w:sz w:val="24"/>
        </w:rPr>
        <w:t>m</w:t>
      </w:r>
      <w:r>
        <w:rPr>
          <w:rFonts w:eastAsiaTheme="minorEastAsia"/>
          <w:sz w:val="24"/>
          <w:vertAlign w:val="superscript"/>
        </w:rPr>
        <w:t>2</w:t>
      </w:r>
      <w:r>
        <w:rPr>
          <w:rFonts w:eastAsiaTheme="minorEastAsia" w:hAnsiTheme="minorEastAsia"/>
          <w:sz w:val="24"/>
        </w:rPr>
        <w:t>，占地类型为</w:t>
      </w:r>
      <w:r>
        <w:rPr>
          <w:rFonts w:eastAsiaTheme="minorEastAsia" w:hAnsiTheme="minorEastAsia" w:hint="eastAsia"/>
          <w:sz w:val="24"/>
        </w:rPr>
        <w:t>工业仓储用地</w:t>
      </w:r>
      <w:r>
        <w:rPr>
          <w:rFonts w:eastAsiaTheme="minorEastAsia" w:hAnsiTheme="minorEastAsia"/>
          <w:sz w:val="24"/>
        </w:rPr>
        <w:t>。本项目建设</w:t>
      </w:r>
      <w:r>
        <w:rPr>
          <w:rFonts w:eastAsiaTheme="minorEastAsia" w:hAnsiTheme="minorEastAsia" w:hint="eastAsia"/>
          <w:sz w:val="24"/>
        </w:rPr>
        <w:t>辅助间</w:t>
      </w:r>
      <w:r>
        <w:rPr>
          <w:rFonts w:eastAsiaTheme="minorEastAsia" w:hAnsiTheme="minorEastAsia" w:hint="eastAsia"/>
          <w:sz w:val="24"/>
        </w:rPr>
        <w:t>2</w:t>
      </w:r>
      <w:r>
        <w:rPr>
          <w:rFonts w:eastAsiaTheme="minorEastAsia" w:hAnsiTheme="minorEastAsia" w:hint="eastAsia"/>
          <w:sz w:val="24"/>
        </w:rPr>
        <w:t>间</w:t>
      </w:r>
      <w:r>
        <w:rPr>
          <w:rFonts w:eastAsiaTheme="minorEastAsia" w:hAnsiTheme="minorEastAsia"/>
          <w:sz w:val="24"/>
        </w:rPr>
        <w:t>、</w:t>
      </w:r>
      <w:r>
        <w:rPr>
          <w:rFonts w:eastAsiaTheme="minorEastAsia" w:hAnsiTheme="minorEastAsia" w:hint="eastAsia"/>
          <w:sz w:val="24"/>
        </w:rPr>
        <w:t>待宰圈</w:t>
      </w:r>
      <w:r>
        <w:rPr>
          <w:rFonts w:eastAsiaTheme="minorEastAsia" w:hint="eastAsia"/>
          <w:sz w:val="24"/>
        </w:rPr>
        <w:t>2</w:t>
      </w:r>
      <w:r>
        <w:rPr>
          <w:rFonts w:eastAsiaTheme="minorEastAsia" w:hAnsiTheme="minorEastAsia" w:hint="eastAsia"/>
          <w:sz w:val="24"/>
        </w:rPr>
        <w:t>间</w:t>
      </w:r>
      <w:r>
        <w:rPr>
          <w:rFonts w:eastAsiaTheme="minorEastAsia" w:hAnsiTheme="minorEastAsia"/>
          <w:sz w:val="24"/>
        </w:rPr>
        <w:t>、</w:t>
      </w:r>
      <w:r>
        <w:rPr>
          <w:rFonts w:eastAsiaTheme="minorEastAsia" w:hAnsiTheme="minorEastAsia" w:hint="eastAsia"/>
          <w:sz w:val="24"/>
        </w:rPr>
        <w:t>库房</w:t>
      </w:r>
      <w:r>
        <w:rPr>
          <w:rFonts w:eastAsiaTheme="minorEastAsia" w:hAnsiTheme="minorEastAsia" w:hint="eastAsia"/>
          <w:sz w:val="24"/>
        </w:rPr>
        <w:t>2</w:t>
      </w:r>
      <w:r>
        <w:rPr>
          <w:rFonts w:eastAsiaTheme="minorEastAsia" w:hAnsiTheme="minorEastAsia" w:hint="eastAsia"/>
          <w:sz w:val="24"/>
        </w:rPr>
        <w:t>间、宰前喷淋间</w:t>
      </w:r>
      <w:r>
        <w:rPr>
          <w:rFonts w:eastAsiaTheme="minorEastAsia" w:hAnsiTheme="minorEastAsia" w:hint="eastAsia"/>
          <w:sz w:val="24"/>
        </w:rPr>
        <w:t>1</w:t>
      </w:r>
      <w:r>
        <w:rPr>
          <w:rFonts w:eastAsiaTheme="minorEastAsia" w:hAnsiTheme="minorEastAsia" w:hint="eastAsia"/>
          <w:sz w:val="24"/>
        </w:rPr>
        <w:t>间、休息室</w:t>
      </w:r>
      <w:r>
        <w:rPr>
          <w:rFonts w:eastAsiaTheme="minorEastAsia" w:hAnsiTheme="minorEastAsia" w:hint="eastAsia"/>
          <w:sz w:val="24"/>
        </w:rPr>
        <w:t>1</w:t>
      </w:r>
      <w:r>
        <w:rPr>
          <w:rFonts w:eastAsiaTheme="minorEastAsia" w:hAnsiTheme="minorEastAsia" w:hint="eastAsia"/>
          <w:sz w:val="24"/>
        </w:rPr>
        <w:t>栋、生产车间</w:t>
      </w:r>
      <w:r>
        <w:rPr>
          <w:rFonts w:eastAsiaTheme="minorEastAsia" w:hAnsiTheme="minorEastAsia" w:hint="eastAsia"/>
          <w:sz w:val="24"/>
        </w:rPr>
        <w:t>1</w:t>
      </w:r>
      <w:r>
        <w:rPr>
          <w:rFonts w:eastAsiaTheme="minorEastAsia" w:hAnsiTheme="minorEastAsia" w:hint="eastAsia"/>
          <w:sz w:val="24"/>
        </w:rPr>
        <w:t>栋、机房</w:t>
      </w:r>
      <w:r>
        <w:rPr>
          <w:rFonts w:eastAsiaTheme="minorEastAsia" w:hAnsiTheme="minorEastAsia" w:hint="eastAsia"/>
          <w:sz w:val="24"/>
        </w:rPr>
        <w:t>1</w:t>
      </w:r>
      <w:r>
        <w:rPr>
          <w:rFonts w:eastAsiaTheme="minorEastAsia" w:hAnsiTheme="minorEastAsia" w:hint="eastAsia"/>
          <w:sz w:val="24"/>
        </w:rPr>
        <w:t>间、调节站</w:t>
      </w:r>
      <w:r>
        <w:rPr>
          <w:rFonts w:eastAsiaTheme="minorEastAsia" w:hAnsiTheme="minorEastAsia" w:hint="eastAsia"/>
          <w:sz w:val="24"/>
        </w:rPr>
        <w:t>1</w:t>
      </w:r>
      <w:r>
        <w:rPr>
          <w:rFonts w:eastAsiaTheme="minorEastAsia" w:hAnsiTheme="minorEastAsia" w:hint="eastAsia"/>
          <w:sz w:val="24"/>
        </w:rPr>
        <w:t>间、冷库</w:t>
      </w:r>
      <w:r>
        <w:rPr>
          <w:rFonts w:eastAsiaTheme="minorEastAsia" w:hAnsiTheme="minorEastAsia" w:hint="eastAsia"/>
          <w:sz w:val="24"/>
        </w:rPr>
        <w:t>1</w:t>
      </w:r>
      <w:r>
        <w:rPr>
          <w:rFonts w:eastAsiaTheme="minorEastAsia" w:hAnsiTheme="minorEastAsia" w:hint="eastAsia"/>
          <w:sz w:val="24"/>
        </w:rPr>
        <w:t>栋、急宰间</w:t>
      </w:r>
      <w:r>
        <w:rPr>
          <w:rFonts w:eastAsiaTheme="minorEastAsia" w:hAnsiTheme="minorEastAsia" w:hint="eastAsia"/>
          <w:sz w:val="24"/>
        </w:rPr>
        <w:t>1</w:t>
      </w:r>
      <w:r>
        <w:rPr>
          <w:rFonts w:eastAsiaTheme="minorEastAsia" w:hAnsiTheme="minorEastAsia" w:hint="eastAsia"/>
          <w:sz w:val="24"/>
        </w:rPr>
        <w:t>间、隔离间</w:t>
      </w:r>
      <w:r>
        <w:rPr>
          <w:rFonts w:eastAsiaTheme="minorEastAsia" w:hAnsiTheme="minorEastAsia" w:hint="eastAsia"/>
          <w:sz w:val="24"/>
        </w:rPr>
        <w:t>1</w:t>
      </w:r>
      <w:r>
        <w:rPr>
          <w:rFonts w:eastAsiaTheme="minorEastAsia" w:hAnsiTheme="minorEastAsia" w:hint="eastAsia"/>
          <w:sz w:val="24"/>
        </w:rPr>
        <w:t>间。</w:t>
      </w:r>
      <w:r>
        <w:rPr>
          <w:rFonts w:eastAsiaTheme="minorEastAsia" w:hAnsiTheme="minorEastAsia"/>
          <w:sz w:val="24"/>
        </w:rPr>
        <w:t>总建筑面积</w:t>
      </w:r>
      <w:r>
        <w:rPr>
          <w:rFonts w:eastAsiaTheme="minorEastAsia" w:hint="eastAsia"/>
          <w:sz w:val="24"/>
        </w:rPr>
        <w:t>2924.4m</w:t>
      </w:r>
      <w:r>
        <w:rPr>
          <w:rFonts w:eastAsiaTheme="minorEastAsia"/>
          <w:sz w:val="24"/>
          <w:vertAlign w:val="superscript"/>
        </w:rPr>
        <w:t>2</w:t>
      </w:r>
      <w:r>
        <w:rPr>
          <w:rFonts w:eastAsiaTheme="minorEastAsia" w:hAnsiTheme="minorEastAsia" w:hint="eastAsia"/>
          <w:sz w:val="24"/>
        </w:rPr>
        <w:t>。</w:t>
      </w:r>
      <w:r>
        <w:rPr>
          <w:rFonts w:eastAsiaTheme="minorEastAsia" w:hAnsiTheme="minorEastAsia"/>
          <w:sz w:val="24"/>
        </w:rPr>
        <w:t>年</w:t>
      </w:r>
      <w:r>
        <w:rPr>
          <w:rFonts w:eastAsiaTheme="minorEastAsia" w:hAnsiTheme="minorEastAsia" w:hint="eastAsia"/>
          <w:sz w:val="24"/>
        </w:rPr>
        <w:t>屠宰生猪</w:t>
      </w:r>
      <w:r>
        <w:rPr>
          <w:rFonts w:eastAsiaTheme="minorEastAsia" w:hAnsiTheme="minorEastAsia" w:hint="eastAsia"/>
          <w:sz w:val="24"/>
        </w:rPr>
        <w:t>16</w:t>
      </w:r>
      <w:r>
        <w:rPr>
          <w:rFonts w:eastAsiaTheme="minorEastAsia" w:hAnsiTheme="minorEastAsia" w:hint="eastAsia"/>
          <w:sz w:val="24"/>
        </w:rPr>
        <w:t>万头</w:t>
      </w:r>
      <w:r>
        <w:rPr>
          <w:rFonts w:eastAsiaTheme="minorEastAsia" w:hAnsiTheme="minorEastAsia"/>
          <w:sz w:val="24"/>
        </w:rPr>
        <w:t>。</w:t>
      </w:r>
    </w:p>
    <w:p w14:paraId="62BF4900" w14:textId="77777777" w:rsidR="00B14D53" w:rsidRDefault="00000000">
      <w:pPr>
        <w:pStyle w:val="afff"/>
        <w:adjustRightInd/>
        <w:snapToGrid/>
        <w:contextualSpacing/>
        <w:jc w:val="both"/>
        <w:rPr>
          <w:rFonts w:ascii="Times New Roman" w:hAnsi="Times New Roman" w:cs="Times New Roman"/>
        </w:rPr>
      </w:pPr>
      <w:r>
        <w:rPr>
          <w:rFonts w:ascii="Times New Roman" w:hAnsiTheme="minorEastAsia" w:cs="Times New Roman"/>
        </w:rPr>
        <w:t>具体建设内容见下表。</w:t>
      </w:r>
    </w:p>
    <w:p w14:paraId="5F6072EB" w14:textId="77777777" w:rsidR="00B14D53" w:rsidRDefault="00B14D53">
      <w:pPr>
        <w:pStyle w:val="afff0"/>
        <w:spacing w:line="360" w:lineRule="auto"/>
        <w:ind w:firstLineChars="0" w:firstLine="0"/>
        <w:contextualSpacing/>
        <w:rPr>
          <w:rFonts w:ascii="Times New Roman" w:eastAsiaTheme="minorEastAsia" w:hAnsiTheme="minorEastAsia" w:cs="Times New Roman" w:hint="eastAsia"/>
          <w:sz w:val="24"/>
          <w:szCs w:val="24"/>
        </w:rPr>
      </w:pPr>
    </w:p>
    <w:p w14:paraId="12258D1F" w14:textId="77777777" w:rsidR="00B14D53" w:rsidRDefault="00B14D53">
      <w:pPr>
        <w:pStyle w:val="afff0"/>
        <w:spacing w:line="360" w:lineRule="auto"/>
        <w:ind w:firstLineChars="0" w:firstLine="0"/>
        <w:contextualSpacing/>
        <w:rPr>
          <w:rFonts w:ascii="Times New Roman" w:eastAsiaTheme="minorEastAsia" w:hAnsiTheme="minorEastAsia" w:cs="Times New Roman" w:hint="eastAsia"/>
          <w:sz w:val="24"/>
          <w:szCs w:val="24"/>
        </w:rPr>
      </w:pPr>
    </w:p>
    <w:p w14:paraId="45A39961" w14:textId="77777777" w:rsidR="00B14D53" w:rsidRDefault="00B14D53">
      <w:pPr>
        <w:pStyle w:val="afff0"/>
        <w:spacing w:line="360" w:lineRule="auto"/>
        <w:ind w:firstLineChars="0" w:firstLine="0"/>
        <w:contextualSpacing/>
        <w:rPr>
          <w:rFonts w:ascii="Times New Roman" w:eastAsiaTheme="minorEastAsia" w:hAnsiTheme="minorEastAsia" w:cs="Times New Roman" w:hint="eastAsia"/>
          <w:sz w:val="24"/>
          <w:szCs w:val="24"/>
        </w:rPr>
      </w:pPr>
    </w:p>
    <w:p w14:paraId="30400424" w14:textId="77777777" w:rsidR="00B14D53" w:rsidRDefault="00000000">
      <w:pPr>
        <w:jc w:val="center"/>
        <w:rPr>
          <w:b/>
          <w:bCs/>
        </w:rPr>
      </w:pPr>
      <w:r>
        <w:rPr>
          <w:rFonts w:hint="eastAsia"/>
          <w:b/>
          <w:bCs/>
        </w:rPr>
        <w:t>表</w:t>
      </w:r>
      <w:r>
        <w:rPr>
          <w:rFonts w:hint="eastAsia"/>
          <w:b/>
          <w:bCs/>
        </w:rPr>
        <w:t xml:space="preserve">3-1-1 </w:t>
      </w:r>
      <w:r>
        <w:rPr>
          <w:rFonts w:hint="eastAsia"/>
          <w:b/>
          <w:bCs/>
        </w:rPr>
        <w:t>工程组成一览表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32"/>
        <w:gridCol w:w="1786"/>
        <w:gridCol w:w="4891"/>
        <w:gridCol w:w="997"/>
      </w:tblGrid>
      <w:tr w:rsidR="00B14D53" w14:paraId="3CAB6375" w14:textId="77777777">
        <w:trPr>
          <w:trHeight w:val="44"/>
          <w:jc w:val="center"/>
        </w:trPr>
        <w:tc>
          <w:tcPr>
            <w:tcW w:w="380" w:type="pct"/>
            <w:vAlign w:val="center"/>
          </w:tcPr>
          <w:p w14:paraId="22EBB41E" w14:textId="77777777" w:rsidR="00B14D53" w:rsidRDefault="00000000">
            <w:pPr>
              <w:pStyle w:val="afff2"/>
              <w:spacing w:line="240" w:lineRule="auto"/>
              <w:contextualSpacing/>
              <w:rPr>
                <w:rFonts w:eastAsiaTheme="minorEastAsia" w:hAnsi="Times New Roman"/>
                <w:b/>
                <w:bCs/>
              </w:rPr>
            </w:pPr>
            <w:bookmarkStart w:id="69" w:name="_Hlk527725606"/>
            <w:r>
              <w:rPr>
                <w:rFonts w:eastAsiaTheme="minorEastAsia"/>
                <w:b/>
                <w:bCs/>
              </w:rPr>
              <w:t>工程类别</w:t>
            </w:r>
          </w:p>
        </w:tc>
        <w:tc>
          <w:tcPr>
            <w:tcW w:w="1075" w:type="pct"/>
            <w:vAlign w:val="center"/>
          </w:tcPr>
          <w:p w14:paraId="4769B0F9" w14:textId="77777777" w:rsidR="00B14D53" w:rsidRDefault="00000000">
            <w:pPr>
              <w:pStyle w:val="afff2"/>
              <w:spacing w:line="240" w:lineRule="auto"/>
              <w:contextualSpacing/>
              <w:rPr>
                <w:rFonts w:eastAsiaTheme="minorEastAsia" w:hAnsi="Times New Roman"/>
                <w:b/>
                <w:bCs/>
              </w:rPr>
            </w:pPr>
            <w:r>
              <w:rPr>
                <w:rFonts w:eastAsiaTheme="minorEastAsia"/>
                <w:b/>
                <w:bCs/>
              </w:rPr>
              <w:t>工程名称</w:t>
            </w:r>
          </w:p>
        </w:tc>
        <w:tc>
          <w:tcPr>
            <w:tcW w:w="2943" w:type="pct"/>
            <w:vAlign w:val="center"/>
          </w:tcPr>
          <w:p w14:paraId="3CB724A3" w14:textId="77777777" w:rsidR="00B14D53" w:rsidRDefault="00000000">
            <w:pPr>
              <w:pStyle w:val="afff2"/>
              <w:spacing w:line="240" w:lineRule="auto"/>
              <w:contextualSpacing/>
              <w:rPr>
                <w:rFonts w:eastAsiaTheme="minorEastAsia" w:hAnsi="Times New Roman"/>
                <w:b/>
                <w:bCs/>
              </w:rPr>
            </w:pPr>
            <w:r>
              <w:rPr>
                <w:rFonts w:eastAsiaTheme="minorEastAsia"/>
                <w:b/>
                <w:bCs/>
              </w:rPr>
              <w:t>建筑规模</w:t>
            </w:r>
          </w:p>
        </w:tc>
        <w:tc>
          <w:tcPr>
            <w:tcW w:w="600" w:type="pct"/>
            <w:vAlign w:val="center"/>
          </w:tcPr>
          <w:p w14:paraId="5905556F" w14:textId="77777777" w:rsidR="00B14D53" w:rsidRDefault="00000000">
            <w:pPr>
              <w:pStyle w:val="afff2"/>
              <w:spacing w:line="240" w:lineRule="auto"/>
              <w:contextualSpacing/>
              <w:rPr>
                <w:rFonts w:eastAsiaTheme="minorEastAsia" w:hAnsi="Times New Roman"/>
                <w:b/>
                <w:bCs/>
              </w:rPr>
            </w:pPr>
            <w:r>
              <w:rPr>
                <w:rFonts w:eastAsiaTheme="minorEastAsia"/>
                <w:b/>
                <w:bCs/>
              </w:rPr>
              <w:t>备注</w:t>
            </w:r>
          </w:p>
        </w:tc>
      </w:tr>
      <w:tr w:rsidR="00B14D53" w14:paraId="1E860108" w14:textId="77777777">
        <w:trPr>
          <w:trHeight w:val="311"/>
          <w:jc w:val="center"/>
        </w:trPr>
        <w:tc>
          <w:tcPr>
            <w:tcW w:w="380" w:type="pct"/>
            <w:vMerge w:val="restart"/>
            <w:vAlign w:val="center"/>
          </w:tcPr>
          <w:p w14:paraId="16135B12" w14:textId="77777777" w:rsidR="00B14D53" w:rsidRDefault="00000000">
            <w:pPr>
              <w:pStyle w:val="afff2"/>
              <w:spacing w:line="240" w:lineRule="auto"/>
              <w:contextualSpacing/>
              <w:rPr>
                <w:rFonts w:eastAsiaTheme="minorEastAsia" w:hAnsi="Times New Roman"/>
              </w:rPr>
            </w:pPr>
            <w:r>
              <w:rPr>
                <w:rFonts w:eastAsiaTheme="minorEastAsia"/>
              </w:rPr>
              <w:t>主体工程</w:t>
            </w:r>
          </w:p>
        </w:tc>
        <w:tc>
          <w:tcPr>
            <w:tcW w:w="1075" w:type="pct"/>
            <w:vAlign w:val="center"/>
          </w:tcPr>
          <w:p w14:paraId="7F9973AA"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屠宰车间</w:t>
            </w:r>
          </w:p>
        </w:tc>
        <w:tc>
          <w:tcPr>
            <w:tcW w:w="2943" w:type="pct"/>
            <w:vAlign w:val="center"/>
          </w:tcPr>
          <w:p w14:paraId="3CF72E74"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栋，建筑面积</w:t>
            </w:r>
            <w:r>
              <w:rPr>
                <w:rFonts w:eastAsiaTheme="minorEastAsia" w:hAnsi="Times New Roman" w:hint="eastAsia"/>
              </w:rPr>
              <w:t>480m</w:t>
            </w:r>
            <w:r>
              <w:rPr>
                <w:rFonts w:eastAsiaTheme="minorEastAsia" w:hAnsi="Times New Roman" w:hint="eastAsia"/>
                <w:vertAlign w:val="superscript"/>
              </w:rPr>
              <w:t>2</w:t>
            </w:r>
            <w:r>
              <w:rPr>
                <w:rFonts w:eastAsiaTheme="minorEastAsia" w:hAnsi="Times New Roman" w:hint="eastAsia"/>
              </w:rPr>
              <w:t>，内设</w:t>
            </w:r>
            <w:r>
              <w:rPr>
                <w:rFonts w:eastAsiaTheme="minorEastAsia" w:hAnsi="Times New Roman" w:hint="eastAsia"/>
              </w:rPr>
              <w:t>1</w:t>
            </w:r>
            <w:r>
              <w:rPr>
                <w:rFonts w:eastAsiaTheme="minorEastAsia" w:hAnsi="Times New Roman" w:hint="eastAsia"/>
              </w:rPr>
              <w:t>条屠宰能力为</w:t>
            </w:r>
            <w:r>
              <w:rPr>
                <w:rFonts w:eastAsiaTheme="minorEastAsia" w:hAnsi="Times New Roman" w:hint="eastAsia"/>
              </w:rPr>
              <w:t>16</w:t>
            </w:r>
            <w:r>
              <w:rPr>
                <w:rFonts w:eastAsiaTheme="minorEastAsia" w:hAnsi="Times New Roman" w:hint="eastAsia"/>
              </w:rPr>
              <w:t>万头</w:t>
            </w:r>
            <w:r>
              <w:rPr>
                <w:rFonts w:eastAsiaTheme="minorEastAsia" w:hAnsi="Times New Roman" w:hint="eastAsia"/>
              </w:rPr>
              <w:t>/</w:t>
            </w:r>
            <w:r>
              <w:rPr>
                <w:rFonts w:eastAsiaTheme="minorEastAsia" w:hAnsi="Times New Roman" w:hint="eastAsia"/>
              </w:rPr>
              <w:t>年的生猪屠宰线</w:t>
            </w:r>
          </w:p>
        </w:tc>
        <w:tc>
          <w:tcPr>
            <w:tcW w:w="600" w:type="pct"/>
            <w:vMerge w:val="restart"/>
            <w:vAlign w:val="center"/>
          </w:tcPr>
          <w:p w14:paraId="71BDEEFB" w14:textId="77777777" w:rsidR="00B14D53" w:rsidRDefault="00000000">
            <w:pPr>
              <w:pStyle w:val="afff2"/>
              <w:spacing w:line="240" w:lineRule="auto"/>
              <w:contextualSpacing/>
              <w:rPr>
                <w:rFonts w:eastAsiaTheme="minorEastAsia" w:hAnsi="Times New Roman"/>
              </w:rPr>
            </w:pPr>
            <w:r>
              <w:rPr>
                <w:rFonts w:eastAsiaTheme="minorEastAsia" w:hint="eastAsia"/>
              </w:rPr>
              <w:t>利用现有建筑</w:t>
            </w:r>
          </w:p>
        </w:tc>
      </w:tr>
      <w:tr w:rsidR="00B14D53" w14:paraId="29664252" w14:textId="77777777">
        <w:trPr>
          <w:trHeight w:val="129"/>
          <w:jc w:val="center"/>
        </w:trPr>
        <w:tc>
          <w:tcPr>
            <w:tcW w:w="380" w:type="pct"/>
            <w:vMerge/>
            <w:vAlign w:val="center"/>
          </w:tcPr>
          <w:p w14:paraId="15E24E79" w14:textId="77777777" w:rsidR="00B14D53" w:rsidRDefault="00B14D53">
            <w:pPr>
              <w:pStyle w:val="afff2"/>
              <w:spacing w:line="240" w:lineRule="auto"/>
              <w:contextualSpacing/>
              <w:rPr>
                <w:rFonts w:eastAsiaTheme="minorEastAsia" w:hint="eastAsia"/>
              </w:rPr>
            </w:pPr>
          </w:p>
        </w:tc>
        <w:tc>
          <w:tcPr>
            <w:tcW w:w="1075" w:type="pct"/>
            <w:vAlign w:val="center"/>
          </w:tcPr>
          <w:p w14:paraId="25E94523" w14:textId="77777777" w:rsidR="00B14D53" w:rsidRDefault="00000000">
            <w:pPr>
              <w:pStyle w:val="afff2"/>
              <w:spacing w:line="240" w:lineRule="auto"/>
              <w:contextualSpacing/>
              <w:rPr>
                <w:rFonts w:eastAsiaTheme="minorEastAsia" w:hint="eastAsia"/>
              </w:rPr>
            </w:pPr>
            <w:r>
              <w:rPr>
                <w:rFonts w:eastAsiaTheme="minorEastAsia" w:hint="eastAsia"/>
              </w:rPr>
              <w:t>待宰圈</w:t>
            </w:r>
          </w:p>
        </w:tc>
        <w:tc>
          <w:tcPr>
            <w:tcW w:w="2943" w:type="pct"/>
            <w:vAlign w:val="center"/>
          </w:tcPr>
          <w:p w14:paraId="010E06A4" w14:textId="77777777" w:rsidR="00B14D53" w:rsidRDefault="00000000">
            <w:pPr>
              <w:pStyle w:val="afff2"/>
              <w:spacing w:line="240" w:lineRule="auto"/>
              <w:ind w:firstLineChars="200" w:firstLine="420"/>
              <w:contextualSpacing/>
              <w:jc w:val="left"/>
              <w:rPr>
                <w:rFonts w:eastAsiaTheme="minorEastAsia" w:hint="eastAsia"/>
              </w:rPr>
            </w:pPr>
            <w:r>
              <w:rPr>
                <w:rFonts w:eastAsiaTheme="minorEastAsia" w:hAnsi="Times New Roman" w:hint="eastAsia"/>
              </w:rPr>
              <w:t>2</w:t>
            </w:r>
            <w:r>
              <w:rPr>
                <w:rFonts w:eastAsiaTheme="minorEastAsia" w:hAnsi="Times New Roman" w:hint="eastAsia"/>
              </w:rPr>
              <w:t>栋，合计建筑面积</w:t>
            </w:r>
            <w:r>
              <w:rPr>
                <w:rFonts w:eastAsiaTheme="minorEastAsia" w:hAnsi="Times New Roman" w:hint="eastAsia"/>
              </w:rPr>
              <w:t>840m</w:t>
            </w:r>
            <w:r>
              <w:rPr>
                <w:rFonts w:eastAsiaTheme="minorEastAsia" w:hAnsi="Times New Roman" w:hint="eastAsia"/>
                <w:vertAlign w:val="superscript"/>
              </w:rPr>
              <w:t>2</w:t>
            </w:r>
            <w:r>
              <w:rPr>
                <w:rFonts w:eastAsiaTheme="minorEastAsia" w:hAnsi="Times New Roman" w:hint="eastAsia"/>
              </w:rPr>
              <w:t>，用于存放待宰生猪，存储能力为</w:t>
            </w:r>
            <w:r>
              <w:rPr>
                <w:rFonts w:eastAsiaTheme="minorEastAsia" w:hAnsi="Times New Roman" w:hint="eastAsia"/>
              </w:rPr>
              <w:t>840</w:t>
            </w:r>
            <w:r>
              <w:rPr>
                <w:rFonts w:eastAsiaTheme="minorEastAsia" w:hAnsi="Times New Roman" w:hint="eastAsia"/>
              </w:rPr>
              <w:t>头</w:t>
            </w:r>
          </w:p>
        </w:tc>
        <w:tc>
          <w:tcPr>
            <w:tcW w:w="600" w:type="pct"/>
            <w:vMerge/>
            <w:vAlign w:val="center"/>
          </w:tcPr>
          <w:p w14:paraId="12217A87" w14:textId="77777777" w:rsidR="00B14D53" w:rsidRDefault="00B14D53">
            <w:pPr>
              <w:pStyle w:val="afff2"/>
              <w:spacing w:line="240" w:lineRule="auto"/>
              <w:contextualSpacing/>
              <w:rPr>
                <w:rFonts w:eastAsiaTheme="minorEastAsia" w:hint="eastAsia"/>
              </w:rPr>
            </w:pPr>
          </w:p>
        </w:tc>
      </w:tr>
      <w:tr w:rsidR="00B14D53" w14:paraId="61F7F9F9" w14:textId="77777777">
        <w:trPr>
          <w:trHeight w:val="132"/>
          <w:jc w:val="center"/>
        </w:trPr>
        <w:tc>
          <w:tcPr>
            <w:tcW w:w="380" w:type="pct"/>
            <w:vMerge/>
            <w:vAlign w:val="center"/>
          </w:tcPr>
          <w:p w14:paraId="530B0863" w14:textId="77777777" w:rsidR="00B14D53" w:rsidRDefault="00B14D53">
            <w:pPr>
              <w:pStyle w:val="afff2"/>
              <w:spacing w:line="240" w:lineRule="auto"/>
              <w:contextualSpacing/>
              <w:rPr>
                <w:rFonts w:eastAsiaTheme="minorEastAsia" w:hint="eastAsia"/>
              </w:rPr>
            </w:pPr>
          </w:p>
        </w:tc>
        <w:tc>
          <w:tcPr>
            <w:tcW w:w="1075" w:type="pct"/>
            <w:vAlign w:val="center"/>
          </w:tcPr>
          <w:p w14:paraId="694D8FD2" w14:textId="77777777" w:rsidR="00B14D53" w:rsidRDefault="00000000">
            <w:pPr>
              <w:pStyle w:val="afff2"/>
              <w:spacing w:line="240" w:lineRule="auto"/>
              <w:contextualSpacing/>
              <w:rPr>
                <w:rFonts w:eastAsiaTheme="minorEastAsia" w:hint="eastAsia"/>
              </w:rPr>
            </w:pPr>
            <w:r>
              <w:rPr>
                <w:rFonts w:eastAsiaTheme="minorEastAsia" w:hint="eastAsia"/>
              </w:rPr>
              <w:t>急宰间</w:t>
            </w:r>
          </w:p>
        </w:tc>
        <w:tc>
          <w:tcPr>
            <w:tcW w:w="2943" w:type="pct"/>
            <w:vAlign w:val="center"/>
          </w:tcPr>
          <w:p w14:paraId="5F936951" w14:textId="77777777" w:rsidR="00B14D53" w:rsidRDefault="00000000">
            <w:pPr>
              <w:pStyle w:val="afff2"/>
              <w:spacing w:line="240" w:lineRule="auto"/>
              <w:ind w:firstLineChars="200" w:firstLine="420"/>
              <w:contextualSpacing/>
              <w:jc w:val="left"/>
              <w:rPr>
                <w:rFonts w:eastAsiaTheme="minorEastAsia" w:hint="eastAsia"/>
              </w:rPr>
            </w:pPr>
            <w:r>
              <w:rPr>
                <w:rFonts w:eastAsiaTheme="minorEastAsia" w:hint="eastAsia"/>
              </w:rPr>
              <w:t>1</w:t>
            </w:r>
            <w:r>
              <w:rPr>
                <w:rFonts w:eastAsiaTheme="minorEastAsia" w:hint="eastAsia"/>
              </w:rPr>
              <w:t>间，建筑面积</w:t>
            </w:r>
            <w:r>
              <w:rPr>
                <w:rFonts w:eastAsiaTheme="minorEastAsia" w:hint="eastAsia"/>
              </w:rPr>
              <w:t>28m</w:t>
            </w:r>
            <w:r>
              <w:rPr>
                <w:rFonts w:eastAsiaTheme="minorEastAsia" w:hint="eastAsia"/>
                <w:vertAlign w:val="superscript"/>
              </w:rPr>
              <w:t>2</w:t>
            </w:r>
            <w:r>
              <w:rPr>
                <w:rFonts w:eastAsiaTheme="minorEastAsia" w:hint="eastAsia"/>
              </w:rPr>
              <w:t>，用于生猪急宰</w:t>
            </w:r>
          </w:p>
        </w:tc>
        <w:tc>
          <w:tcPr>
            <w:tcW w:w="600" w:type="pct"/>
            <w:vAlign w:val="center"/>
          </w:tcPr>
          <w:p w14:paraId="353C3632" w14:textId="77777777" w:rsidR="00B14D53" w:rsidRDefault="00000000">
            <w:pPr>
              <w:pStyle w:val="afff2"/>
              <w:spacing w:line="240" w:lineRule="auto"/>
              <w:contextualSpacing/>
              <w:rPr>
                <w:rFonts w:eastAsiaTheme="minorEastAsia" w:hint="eastAsia"/>
              </w:rPr>
            </w:pPr>
            <w:r>
              <w:rPr>
                <w:rFonts w:eastAsiaTheme="minorEastAsia" w:hint="eastAsia"/>
              </w:rPr>
              <w:t>新建</w:t>
            </w:r>
          </w:p>
        </w:tc>
      </w:tr>
      <w:tr w:rsidR="00B14D53" w14:paraId="1D251643" w14:textId="77777777">
        <w:trPr>
          <w:trHeight w:val="103"/>
          <w:jc w:val="center"/>
        </w:trPr>
        <w:tc>
          <w:tcPr>
            <w:tcW w:w="380" w:type="pct"/>
            <w:vMerge w:val="restart"/>
            <w:vAlign w:val="center"/>
          </w:tcPr>
          <w:p w14:paraId="013DAF2F" w14:textId="77777777" w:rsidR="00B14D53" w:rsidRDefault="00000000">
            <w:pPr>
              <w:pStyle w:val="afff2"/>
              <w:spacing w:line="240" w:lineRule="auto"/>
              <w:contextualSpacing/>
              <w:rPr>
                <w:rFonts w:eastAsiaTheme="minorEastAsia" w:hAnsi="Times New Roman"/>
              </w:rPr>
            </w:pPr>
            <w:r>
              <w:rPr>
                <w:rFonts w:eastAsiaTheme="minorEastAsia" w:hint="eastAsia"/>
              </w:rPr>
              <w:t>储运工程</w:t>
            </w:r>
          </w:p>
        </w:tc>
        <w:tc>
          <w:tcPr>
            <w:tcW w:w="1075" w:type="pct"/>
            <w:vAlign w:val="center"/>
          </w:tcPr>
          <w:p w14:paraId="36765CDD"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冷库系统</w:t>
            </w:r>
          </w:p>
        </w:tc>
        <w:tc>
          <w:tcPr>
            <w:tcW w:w="2943" w:type="pct"/>
            <w:vAlign w:val="center"/>
          </w:tcPr>
          <w:p w14:paraId="75D56C5D"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设有</w:t>
            </w:r>
            <w:r>
              <w:rPr>
                <w:rFonts w:eastAsiaTheme="minorEastAsia" w:hAnsi="Times New Roman" w:hint="eastAsia"/>
              </w:rPr>
              <w:t>1</w:t>
            </w:r>
            <w:r>
              <w:rPr>
                <w:rFonts w:eastAsiaTheme="minorEastAsia" w:hAnsi="Times New Roman" w:hint="eastAsia"/>
              </w:rPr>
              <w:t>栋冷库（建筑面积</w:t>
            </w:r>
            <w:r>
              <w:rPr>
                <w:rFonts w:eastAsiaTheme="minorEastAsia" w:hAnsi="Times New Roman" w:hint="eastAsia"/>
              </w:rPr>
              <w:t>428m</w:t>
            </w:r>
            <w:r>
              <w:rPr>
                <w:rFonts w:eastAsiaTheme="minorEastAsia" w:hAnsi="Times New Roman" w:hint="eastAsia"/>
                <w:vertAlign w:val="superscript"/>
              </w:rPr>
              <w:t>2</w:t>
            </w:r>
            <w:r>
              <w:rPr>
                <w:rFonts w:eastAsiaTheme="minorEastAsia" w:hAnsi="Times New Roman" w:hint="eastAsia"/>
              </w:rPr>
              <w:t>）及</w:t>
            </w:r>
            <w:r>
              <w:rPr>
                <w:rFonts w:eastAsiaTheme="minorEastAsia" w:hAnsi="Times New Roman" w:hint="eastAsia"/>
              </w:rPr>
              <w:t>1</w:t>
            </w:r>
            <w:r>
              <w:rPr>
                <w:rFonts w:eastAsiaTheme="minorEastAsia" w:hAnsi="Times New Roman" w:hint="eastAsia"/>
              </w:rPr>
              <w:t>间机房（</w:t>
            </w:r>
            <w:r>
              <w:rPr>
                <w:rFonts w:eastAsiaTheme="minorEastAsia" w:hAnsi="Times New Roman" w:hint="eastAsia"/>
              </w:rPr>
              <w:t>94m</w:t>
            </w:r>
            <w:r>
              <w:rPr>
                <w:rFonts w:eastAsiaTheme="minorEastAsia" w:hAnsi="Times New Roman" w:hint="eastAsia"/>
                <w:vertAlign w:val="superscript"/>
              </w:rPr>
              <w:t>2</w:t>
            </w:r>
            <w:r>
              <w:rPr>
                <w:rFonts w:eastAsiaTheme="minorEastAsia" w:hAnsi="Times New Roman" w:hint="eastAsia"/>
              </w:rPr>
              <w:t>），机房内设置制冷压缩机，冷库最多可贮存产品</w:t>
            </w:r>
            <w:r>
              <w:rPr>
                <w:rFonts w:eastAsiaTheme="minorEastAsia" w:hAnsi="Times New Roman" w:hint="eastAsia"/>
              </w:rPr>
              <w:t>300</w:t>
            </w:r>
            <w:r>
              <w:rPr>
                <w:rFonts w:eastAsiaTheme="minorEastAsia" w:hAnsi="Times New Roman" w:hint="eastAsia"/>
              </w:rPr>
              <w:t>吨</w:t>
            </w:r>
          </w:p>
        </w:tc>
        <w:tc>
          <w:tcPr>
            <w:tcW w:w="600" w:type="pct"/>
            <w:vAlign w:val="center"/>
          </w:tcPr>
          <w:p w14:paraId="17AB2E8A" w14:textId="77777777" w:rsidR="00B14D53" w:rsidRDefault="00000000">
            <w:pPr>
              <w:pStyle w:val="afff2"/>
              <w:spacing w:line="240" w:lineRule="auto"/>
              <w:contextualSpacing/>
              <w:rPr>
                <w:rFonts w:eastAsiaTheme="minorEastAsia" w:hAnsi="Times New Roman"/>
              </w:rPr>
            </w:pPr>
            <w:r>
              <w:rPr>
                <w:rFonts w:eastAsiaTheme="minorEastAsia" w:hint="eastAsia"/>
              </w:rPr>
              <w:t>利用现有建筑</w:t>
            </w:r>
          </w:p>
        </w:tc>
      </w:tr>
      <w:tr w:rsidR="00B14D53" w14:paraId="26E0C31E" w14:textId="77777777">
        <w:trPr>
          <w:trHeight w:val="90"/>
          <w:jc w:val="center"/>
        </w:trPr>
        <w:tc>
          <w:tcPr>
            <w:tcW w:w="380" w:type="pct"/>
            <w:vMerge/>
            <w:vAlign w:val="center"/>
          </w:tcPr>
          <w:p w14:paraId="32D3CFAC" w14:textId="77777777" w:rsidR="00B14D53" w:rsidRDefault="00B14D53">
            <w:pPr>
              <w:pStyle w:val="afff2"/>
              <w:spacing w:line="240" w:lineRule="auto"/>
              <w:contextualSpacing/>
              <w:rPr>
                <w:rFonts w:eastAsiaTheme="minorEastAsia" w:hAnsi="Times New Roman"/>
              </w:rPr>
            </w:pPr>
          </w:p>
        </w:tc>
        <w:tc>
          <w:tcPr>
            <w:tcW w:w="1075" w:type="pct"/>
            <w:vAlign w:val="center"/>
          </w:tcPr>
          <w:p w14:paraId="02D2D055"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危废贮存点</w:t>
            </w:r>
          </w:p>
        </w:tc>
        <w:tc>
          <w:tcPr>
            <w:tcW w:w="2943" w:type="pct"/>
            <w:vAlign w:val="center"/>
          </w:tcPr>
          <w:p w14:paraId="6C8EEDFF"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设置于</w:t>
            </w:r>
            <w:r>
              <w:rPr>
                <w:rFonts w:eastAsiaTheme="minorEastAsia" w:hAnsi="Times New Roman" w:hint="eastAsia"/>
              </w:rPr>
              <w:t>1#</w:t>
            </w:r>
            <w:r>
              <w:rPr>
                <w:rFonts w:eastAsiaTheme="minorEastAsia" w:hAnsi="Times New Roman" w:hint="eastAsia"/>
              </w:rPr>
              <w:t>辅助间内，建筑面积</w:t>
            </w:r>
            <w:r>
              <w:rPr>
                <w:rFonts w:eastAsiaTheme="minorEastAsia" w:hAnsi="Times New Roman" w:hint="eastAsia"/>
              </w:rPr>
              <w:t>24m</w:t>
            </w:r>
            <w:r>
              <w:rPr>
                <w:rFonts w:eastAsiaTheme="minorEastAsia" w:hAnsi="Times New Roman" w:hint="eastAsia"/>
                <w:vertAlign w:val="superscript"/>
              </w:rPr>
              <w:t>2</w:t>
            </w:r>
            <w:r>
              <w:rPr>
                <w:rFonts w:eastAsiaTheme="minorEastAsia" w:hAnsi="Times New Roman" w:hint="eastAsia"/>
              </w:rPr>
              <w:t>，用于贮存危险废物，存储能力为</w:t>
            </w:r>
            <w:r>
              <w:rPr>
                <w:rFonts w:eastAsiaTheme="minorEastAsia" w:hAnsi="Times New Roman" w:hint="eastAsia"/>
              </w:rPr>
              <w:t>0.2t</w:t>
            </w:r>
          </w:p>
        </w:tc>
        <w:tc>
          <w:tcPr>
            <w:tcW w:w="600" w:type="pct"/>
            <w:vAlign w:val="center"/>
          </w:tcPr>
          <w:p w14:paraId="424D346B" w14:textId="77777777" w:rsidR="00B14D53" w:rsidRDefault="00000000">
            <w:pPr>
              <w:pStyle w:val="afff2"/>
              <w:spacing w:line="240" w:lineRule="auto"/>
              <w:contextualSpacing/>
              <w:rPr>
                <w:rFonts w:eastAsiaTheme="minorEastAsia" w:hAnsi="Times New Roman"/>
              </w:rPr>
            </w:pPr>
            <w:r>
              <w:rPr>
                <w:rFonts w:eastAsiaTheme="minorEastAsia" w:hint="eastAsia"/>
              </w:rPr>
              <w:t>利用现有建筑改建</w:t>
            </w:r>
          </w:p>
        </w:tc>
      </w:tr>
      <w:tr w:rsidR="00B14D53" w14:paraId="1FE907FD" w14:textId="77777777">
        <w:trPr>
          <w:trHeight w:val="90"/>
          <w:jc w:val="center"/>
        </w:trPr>
        <w:tc>
          <w:tcPr>
            <w:tcW w:w="380" w:type="pct"/>
            <w:vMerge/>
            <w:vAlign w:val="center"/>
          </w:tcPr>
          <w:p w14:paraId="17AA0C00" w14:textId="77777777" w:rsidR="00B14D53" w:rsidRDefault="00B14D53">
            <w:pPr>
              <w:pStyle w:val="afff2"/>
              <w:spacing w:line="240" w:lineRule="auto"/>
              <w:contextualSpacing/>
              <w:rPr>
                <w:rFonts w:eastAsiaTheme="minorEastAsia" w:hAnsi="Times New Roman"/>
              </w:rPr>
            </w:pPr>
          </w:p>
        </w:tc>
        <w:tc>
          <w:tcPr>
            <w:tcW w:w="1075" w:type="pct"/>
            <w:vAlign w:val="center"/>
          </w:tcPr>
          <w:p w14:paraId="719B1505"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固废暂存间</w:t>
            </w:r>
          </w:p>
        </w:tc>
        <w:tc>
          <w:tcPr>
            <w:tcW w:w="2943" w:type="pct"/>
            <w:vAlign w:val="center"/>
          </w:tcPr>
          <w:p w14:paraId="6582436C"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设置于</w:t>
            </w:r>
            <w:r>
              <w:rPr>
                <w:rFonts w:eastAsiaTheme="minorEastAsia" w:hAnsi="Times New Roman" w:hint="eastAsia"/>
              </w:rPr>
              <w:t>2#</w:t>
            </w:r>
            <w:r>
              <w:rPr>
                <w:rFonts w:eastAsiaTheme="minorEastAsia" w:hAnsi="Times New Roman" w:hint="eastAsia"/>
              </w:rPr>
              <w:t>辅助间内，建筑面积</w:t>
            </w:r>
            <w:r>
              <w:rPr>
                <w:rFonts w:eastAsiaTheme="minorEastAsia" w:hAnsi="Times New Roman" w:hint="eastAsia"/>
              </w:rPr>
              <w:t>17.34m</w:t>
            </w:r>
            <w:r>
              <w:rPr>
                <w:rFonts w:eastAsiaTheme="minorEastAsia" w:hAnsi="Times New Roman" w:hint="eastAsia"/>
                <w:vertAlign w:val="superscript"/>
              </w:rPr>
              <w:t>2</w:t>
            </w:r>
            <w:r>
              <w:rPr>
                <w:rFonts w:eastAsiaTheme="minorEastAsia" w:hAnsi="Times New Roman" w:hint="eastAsia"/>
              </w:rPr>
              <w:t>，内设冷藏柜，用于存储易腐坏固废；常温存储包装废物，存储能力为</w:t>
            </w:r>
            <w:r>
              <w:rPr>
                <w:rFonts w:eastAsiaTheme="minorEastAsia" w:hAnsi="Times New Roman" w:hint="eastAsia"/>
              </w:rPr>
              <w:t>1t</w:t>
            </w:r>
          </w:p>
        </w:tc>
        <w:tc>
          <w:tcPr>
            <w:tcW w:w="600" w:type="pct"/>
            <w:vMerge w:val="restart"/>
            <w:vAlign w:val="center"/>
          </w:tcPr>
          <w:p w14:paraId="51616192" w14:textId="77777777" w:rsidR="00B14D53" w:rsidRDefault="00000000">
            <w:pPr>
              <w:pStyle w:val="afff2"/>
              <w:spacing w:line="240" w:lineRule="auto"/>
              <w:contextualSpacing/>
              <w:rPr>
                <w:rFonts w:eastAsiaTheme="minorEastAsia" w:hint="eastAsia"/>
              </w:rPr>
            </w:pPr>
            <w:r>
              <w:rPr>
                <w:rFonts w:eastAsiaTheme="minorEastAsia" w:hint="eastAsia"/>
              </w:rPr>
              <w:t>利用现有建筑</w:t>
            </w:r>
          </w:p>
        </w:tc>
      </w:tr>
      <w:tr w:rsidR="00B14D53" w14:paraId="67E2DD30" w14:textId="77777777">
        <w:trPr>
          <w:trHeight w:val="64"/>
          <w:jc w:val="center"/>
        </w:trPr>
        <w:tc>
          <w:tcPr>
            <w:tcW w:w="380" w:type="pct"/>
            <w:vMerge/>
            <w:vAlign w:val="center"/>
          </w:tcPr>
          <w:p w14:paraId="49E4489B" w14:textId="77777777" w:rsidR="00B14D53" w:rsidRDefault="00B14D53">
            <w:pPr>
              <w:pStyle w:val="afff2"/>
              <w:spacing w:line="240" w:lineRule="auto"/>
              <w:contextualSpacing/>
              <w:rPr>
                <w:rFonts w:eastAsiaTheme="minorEastAsia" w:hAnsi="Times New Roman"/>
              </w:rPr>
            </w:pPr>
          </w:p>
        </w:tc>
        <w:tc>
          <w:tcPr>
            <w:tcW w:w="1075" w:type="pct"/>
            <w:vAlign w:val="center"/>
          </w:tcPr>
          <w:p w14:paraId="55C23807"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药剂存储间</w:t>
            </w:r>
          </w:p>
        </w:tc>
        <w:tc>
          <w:tcPr>
            <w:tcW w:w="2943" w:type="pct"/>
            <w:vAlign w:val="center"/>
          </w:tcPr>
          <w:p w14:paraId="16EC3698"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设置于</w:t>
            </w:r>
            <w:r>
              <w:rPr>
                <w:rFonts w:eastAsiaTheme="minorEastAsia" w:hAnsi="Times New Roman" w:hint="eastAsia"/>
              </w:rPr>
              <w:t>1#</w:t>
            </w:r>
            <w:r>
              <w:rPr>
                <w:rFonts w:eastAsiaTheme="minorEastAsia" w:hAnsi="Times New Roman" w:hint="eastAsia"/>
              </w:rPr>
              <w:t>辅助间内，建筑面积</w:t>
            </w:r>
            <w:r>
              <w:rPr>
                <w:rFonts w:eastAsiaTheme="minorEastAsia" w:hAnsi="Times New Roman" w:hint="eastAsia"/>
              </w:rPr>
              <w:t>12m</w:t>
            </w:r>
            <w:r>
              <w:rPr>
                <w:rFonts w:eastAsiaTheme="minorEastAsia" w:hAnsi="Times New Roman" w:hint="eastAsia"/>
                <w:vertAlign w:val="superscript"/>
              </w:rPr>
              <w:t>2</w:t>
            </w:r>
            <w:r>
              <w:rPr>
                <w:rFonts w:eastAsiaTheme="minorEastAsia" w:hAnsi="Times New Roman" w:hint="eastAsia"/>
              </w:rPr>
              <w:t>，用于贮存消毒剂</w:t>
            </w:r>
            <w:r>
              <w:rPr>
                <w:rFonts w:hAnsi="Times New Roman" w:hint="eastAsia"/>
              </w:rPr>
              <w:t>及除臭剂，最多可暂存</w:t>
            </w:r>
            <w:r>
              <w:rPr>
                <w:rFonts w:hAnsi="Times New Roman" w:hint="eastAsia"/>
              </w:rPr>
              <w:t>5</w:t>
            </w:r>
            <w:r>
              <w:rPr>
                <w:rFonts w:hAnsi="Times New Roman" w:hint="eastAsia"/>
              </w:rPr>
              <w:t>吨</w:t>
            </w:r>
          </w:p>
        </w:tc>
        <w:tc>
          <w:tcPr>
            <w:tcW w:w="600" w:type="pct"/>
            <w:vMerge/>
            <w:vAlign w:val="center"/>
          </w:tcPr>
          <w:p w14:paraId="7EF714B8" w14:textId="77777777" w:rsidR="00B14D53" w:rsidRDefault="00B14D53">
            <w:pPr>
              <w:pStyle w:val="afff2"/>
              <w:spacing w:line="240" w:lineRule="auto"/>
              <w:contextualSpacing/>
              <w:rPr>
                <w:rFonts w:eastAsiaTheme="minorEastAsia" w:hint="eastAsia"/>
              </w:rPr>
            </w:pPr>
          </w:p>
        </w:tc>
      </w:tr>
      <w:tr w:rsidR="00B14D53" w14:paraId="0DD420D1" w14:textId="77777777">
        <w:trPr>
          <w:trHeight w:val="64"/>
          <w:jc w:val="center"/>
        </w:trPr>
        <w:tc>
          <w:tcPr>
            <w:tcW w:w="380" w:type="pct"/>
            <w:vMerge/>
            <w:vAlign w:val="center"/>
          </w:tcPr>
          <w:p w14:paraId="054C6E81" w14:textId="77777777" w:rsidR="00B14D53" w:rsidRDefault="00B14D53">
            <w:pPr>
              <w:pStyle w:val="afff2"/>
              <w:spacing w:line="240" w:lineRule="auto"/>
              <w:contextualSpacing/>
              <w:rPr>
                <w:rFonts w:eastAsiaTheme="minorEastAsia" w:hAnsi="Times New Roman"/>
              </w:rPr>
            </w:pPr>
          </w:p>
        </w:tc>
        <w:tc>
          <w:tcPr>
            <w:tcW w:w="1075" w:type="pct"/>
            <w:vAlign w:val="center"/>
          </w:tcPr>
          <w:p w14:paraId="60380C33" w14:textId="77777777" w:rsidR="00B14D53" w:rsidRDefault="00000000">
            <w:pPr>
              <w:tabs>
                <w:tab w:val="left" w:pos="600"/>
              </w:tabs>
              <w:contextualSpacing/>
              <w:jc w:val="center"/>
              <w:rPr>
                <w:rFonts w:eastAsiaTheme="minorEastAsia"/>
                <w:szCs w:val="21"/>
              </w:rPr>
            </w:pPr>
            <w:r>
              <w:rPr>
                <w:rFonts w:eastAsiaTheme="minorEastAsia" w:hint="eastAsia"/>
                <w:szCs w:val="21"/>
              </w:rPr>
              <w:t>事故池</w:t>
            </w:r>
          </w:p>
        </w:tc>
        <w:tc>
          <w:tcPr>
            <w:tcW w:w="2943" w:type="pct"/>
            <w:vAlign w:val="center"/>
          </w:tcPr>
          <w:p w14:paraId="6138E95A"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座，容积</w:t>
            </w:r>
            <w:r>
              <w:rPr>
                <w:rFonts w:eastAsiaTheme="minorEastAsia" w:hAnsi="Times New Roman" w:hint="eastAsia"/>
              </w:rPr>
              <w:t>85m</w:t>
            </w:r>
            <w:r>
              <w:rPr>
                <w:rFonts w:eastAsiaTheme="minorEastAsia" w:hAnsi="Times New Roman" w:hint="eastAsia"/>
                <w:vertAlign w:val="superscript"/>
              </w:rPr>
              <w:t>3</w:t>
            </w:r>
            <w:r>
              <w:rPr>
                <w:rFonts w:eastAsiaTheme="minorEastAsia" w:hAnsi="Times New Roman" w:hint="eastAsia"/>
              </w:rPr>
              <w:t>，用于存储事故废水</w:t>
            </w:r>
          </w:p>
        </w:tc>
        <w:tc>
          <w:tcPr>
            <w:tcW w:w="600" w:type="pct"/>
            <w:vAlign w:val="center"/>
          </w:tcPr>
          <w:p w14:paraId="5F5CFFF4" w14:textId="77777777" w:rsidR="00B14D53" w:rsidRDefault="00000000">
            <w:pPr>
              <w:pStyle w:val="afff2"/>
              <w:spacing w:line="240" w:lineRule="auto"/>
              <w:contextualSpacing/>
              <w:rPr>
                <w:rFonts w:eastAsiaTheme="minorEastAsia" w:hint="eastAsia"/>
              </w:rPr>
            </w:pPr>
            <w:r>
              <w:rPr>
                <w:rFonts w:eastAsiaTheme="minorEastAsia" w:hint="eastAsia"/>
              </w:rPr>
              <w:t>扩建</w:t>
            </w:r>
          </w:p>
        </w:tc>
      </w:tr>
      <w:tr w:rsidR="00B14D53" w14:paraId="403C31D0" w14:textId="77777777">
        <w:trPr>
          <w:trHeight w:val="64"/>
          <w:jc w:val="center"/>
        </w:trPr>
        <w:tc>
          <w:tcPr>
            <w:tcW w:w="380" w:type="pct"/>
            <w:vMerge/>
            <w:vAlign w:val="center"/>
          </w:tcPr>
          <w:p w14:paraId="1DFB97FE" w14:textId="77777777" w:rsidR="00B14D53" w:rsidRDefault="00B14D53">
            <w:pPr>
              <w:pStyle w:val="afff2"/>
              <w:spacing w:line="240" w:lineRule="auto"/>
              <w:contextualSpacing/>
              <w:rPr>
                <w:rFonts w:eastAsiaTheme="minorEastAsia" w:hAnsi="Times New Roman"/>
              </w:rPr>
            </w:pPr>
          </w:p>
        </w:tc>
        <w:tc>
          <w:tcPr>
            <w:tcW w:w="1075" w:type="pct"/>
            <w:vAlign w:val="center"/>
          </w:tcPr>
          <w:p w14:paraId="5802A93D" w14:textId="77777777" w:rsidR="00B14D53" w:rsidRDefault="00000000">
            <w:pPr>
              <w:tabs>
                <w:tab w:val="left" w:pos="600"/>
              </w:tabs>
              <w:contextualSpacing/>
              <w:jc w:val="center"/>
              <w:rPr>
                <w:rFonts w:eastAsiaTheme="minorEastAsia"/>
                <w:szCs w:val="21"/>
              </w:rPr>
            </w:pPr>
            <w:r>
              <w:rPr>
                <w:rFonts w:eastAsiaTheme="minorEastAsia" w:hint="eastAsia"/>
                <w:szCs w:val="21"/>
              </w:rPr>
              <w:t>仓库</w:t>
            </w:r>
          </w:p>
        </w:tc>
        <w:tc>
          <w:tcPr>
            <w:tcW w:w="2943" w:type="pct"/>
            <w:vAlign w:val="center"/>
          </w:tcPr>
          <w:p w14:paraId="79236B50"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栋，建筑面积</w:t>
            </w:r>
            <w:r>
              <w:rPr>
                <w:rFonts w:eastAsiaTheme="minorEastAsia" w:hAnsi="Times New Roman" w:hint="eastAsia"/>
              </w:rPr>
              <w:t>28m</w:t>
            </w:r>
            <w:r>
              <w:rPr>
                <w:rFonts w:eastAsiaTheme="minorEastAsia" w:hAnsi="Times New Roman" w:hint="eastAsia"/>
                <w:vertAlign w:val="superscript"/>
              </w:rPr>
              <w:t>2</w:t>
            </w:r>
            <w:r>
              <w:rPr>
                <w:rFonts w:eastAsiaTheme="minorEastAsia" w:hAnsi="Times New Roman" w:hint="eastAsia"/>
              </w:rPr>
              <w:t>，用于存储包装材料及活性炭</w:t>
            </w:r>
          </w:p>
        </w:tc>
        <w:tc>
          <w:tcPr>
            <w:tcW w:w="600" w:type="pct"/>
            <w:vMerge w:val="restart"/>
            <w:vAlign w:val="center"/>
          </w:tcPr>
          <w:p w14:paraId="5ED8DA51" w14:textId="77777777" w:rsidR="00B14D53" w:rsidRDefault="00000000">
            <w:pPr>
              <w:pStyle w:val="afff2"/>
              <w:spacing w:line="240" w:lineRule="auto"/>
              <w:contextualSpacing/>
              <w:rPr>
                <w:rFonts w:eastAsiaTheme="minorEastAsia" w:hAnsi="Times New Roman"/>
              </w:rPr>
            </w:pPr>
            <w:r>
              <w:rPr>
                <w:rFonts w:eastAsiaTheme="minorEastAsia" w:hint="eastAsia"/>
              </w:rPr>
              <w:t>利用现有建筑</w:t>
            </w:r>
          </w:p>
        </w:tc>
      </w:tr>
      <w:tr w:rsidR="00B14D53" w14:paraId="099C4986" w14:textId="77777777">
        <w:trPr>
          <w:trHeight w:val="64"/>
          <w:jc w:val="center"/>
        </w:trPr>
        <w:tc>
          <w:tcPr>
            <w:tcW w:w="380" w:type="pct"/>
            <w:vMerge/>
            <w:vAlign w:val="center"/>
          </w:tcPr>
          <w:p w14:paraId="604FD0FA" w14:textId="77777777" w:rsidR="00B14D53" w:rsidRDefault="00B14D53">
            <w:pPr>
              <w:pStyle w:val="afff2"/>
              <w:spacing w:line="240" w:lineRule="auto"/>
              <w:contextualSpacing/>
              <w:rPr>
                <w:rFonts w:eastAsiaTheme="minorEastAsia" w:hAnsi="Times New Roman"/>
              </w:rPr>
            </w:pPr>
          </w:p>
        </w:tc>
        <w:tc>
          <w:tcPr>
            <w:tcW w:w="1075" w:type="pct"/>
            <w:vAlign w:val="center"/>
          </w:tcPr>
          <w:p w14:paraId="7110ED8B"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杂物库房</w:t>
            </w:r>
          </w:p>
        </w:tc>
        <w:tc>
          <w:tcPr>
            <w:tcW w:w="2943" w:type="pct"/>
            <w:vAlign w:val="center"/>
          </w:tcPr>
          <w:p w14:paraId="3175EED3"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栋，建筑面积</w:t>
            </w:r>
            <w:r>
              <w:rPr>
                <w:rFonts w:eastAsiaTheme="minorEastAsia" w:hAnsi="Times New Roman" w:hint="eastAsia"/>
              </w:rPr>
              <w:t>63m</w:t>
            </w:r>
            <w:r>
              <w:rPr>
                <w:rFonts w:eastAsiaTheme="minorEastAsia" w:hAnsi="Times New Roman" w:hint="eastAsia"/>
                <w:vertAlign w:val="superscript"/>
              </w:rPr>
              <w:t>2</w:t>
            </w:r>
            <w:r>
              <w:rPr>
                <w:rFonts w:eastAsiaTheme="minorEastAsia" w:hAnsi="Times New Roman" w:hint="eastAsia"/>
              </w:rPr>
              <w:t>，用于存储杂物</w:t>
            </w:r>
          </w:p>
        </w:tc>
        <w:tc>
          <w:tcPr>
            <w:tcW w:w="600" w:type="pct"/>
            <w:vMerge/>
            <w:vAlign w:val="center"/>
          </w:tcPr>
          <w:p w14:paraId="1457DBEA" w14:textId="77777777" w:rsidR="00B14D53" w:rsidRDefault="00B14D53">
            <w:pPr>
              <w:pStyle w:val="afff2"/>
              <w:spacing w:line="240" w:lineRule="auto"/>
              <w:contextualSpacing/>
              <w:rPr>
                <w:rFonts w:eastAsiaTheme="minorEastAsia" w:hAnsi="Times New Roman"/>
              </w:rPr>
            </w:pPr>
          </w:p>
        </w:tc>
      </w:tr>
      <w:tr w:rsidR="00B14D53" w14:paraId="2D8B8C3F" w14:textId="77777777">
        <w:trPr>
          <w:trHeight w:val="64"/>
          <w:jc w:val="center"/>
        </w:trPr>
        <w:tc>
          <w:tcPr>
            <w:tcW w:w="380" w:type="pct"/>
            <w:vMerge w:val="restart"/>
            <w:tcBorders>
              <w:top w:val="single" w:sz="4" w:space="0" w:color="auto"/>
            </w:tcBorders>
            <w:vAlign w:val="center"/>
          </w:tcPr>
          <w:p w14:paraId="4BBD3EEB"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辅助工程</w:t>
            </w:r>
          </w:p>
        </w:tc>
        <w:tc>
          <w:tcPr>
            <w:tcW w:w="1075" w:type="pct"/>
            <w:tcBorders>
              <w:top w:val="single" w:sz="4" w:space="0" w:color="auto"/>
              <w:bottom w:val="single" w:sz="4" w:space="0" w:color="auto"/>
            </w:tcBorders>
            <w:vAlign w:val="center"/>
          </w:tcPr>
          <w:p w14:paraId="3623A1C7"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休息室</w:t>
            </w:r>
          </w:p>
        </w:tc>
        <w:tc>
          <w:tcPr>
            <w:tcW w:w="2943" w:type="pct"/>
            <w:tcBorders>
              <w:top w:val="single" w:sz="4" w:space="0" w:color="auto"/>
              <w:bottom w:val="single" w:sz="4" w:space="0" w:color="auto"/>
            </w:tcBorders>
            <w:vAlign w:val="center"/>
          </w:tcPr>
          <w:p w14:paraId="1002120F"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栋，</w:t>
            </w:r>
            <w:r>
              <w:rPr>
                <w:rFonts w:eastAsiaTheme="minorEastAsia" w:hAnsi="Times New Roman" w:hint="eastAsia"/>
              </w:rPr>
              <w:t>2</w:t>
            </w:r>
            <w:r>
              <w:rPr>
                <w:rFonts w:eastAsiaTheme="minorEastAsia" w:hAnsi="Times New Roman" w:hint="eastAsia"/>
              </w:rPr>
              <w:t>层，建筑面积</w:t>
            </w:r>
            <w:r>
              <w:rPr>
                <w:rFonts w:eastAsiaTheme="minorEastAsia" w:hAnsi="Times New Roman" w:hint="eastAsia"/>
              </w:rPr>
              <w:t>640m</w:t>
            </w:r>
            <w:r>
              <w:rPr>
                <w:rFonts w:eastAsiaTheme="minorEastAsia" w:hAnsi="Times New Roman" w:hint="eastAsia"/>
                <w:vertAlign w:val="superscript"/>
              </w:rPr>
              <w:t>2</w:t>
            </w:r>
            <w:r>
              <w:rPr>
                <w:rFonts w:eastAsiaTheme="minorEastAsia" w:hAnsi="Times New Roman" w:hint="eastAsia"/>
              </w:rPr>
              <w:t>，用于员工休息几办公</w:t>
            </w:r>
          </w:p>
        </w:tc>
        <w:tc>
          <w:tcPr>
            <w:tcW w:w="600" w:type="pct"/>
            <w:vMerge/>
            <w:vAlign w:val="center"/>
          </w:tcPr>
          <w:p w14:paraId="3A7B76DB" w14:textId="77777777" w:rsidR="00B14D53" w:rsidRDefault="00B14D53">
            <w:pPr>
              <w:pStyle w:val="afff2"/>
              <w:spacing w:line="240" w:lineRule="auto"/>
              <w:contextualSpacing/>
              <w:rPr>
                <w:rFonts w:eastAsiaTheme="minorEastAsia" w:hAnsi="Times New Roman"/>
              </w:rPr>
            </w:pPr>
          </w:p>
        </w:tc>
      </w:tr>
      <w:tr w:rsidR="00B14D53" w14:paraId="08F8BEA0" w14:textId="77777777">
        <w:trPr>
          <w:trHeight w:val="64"/>
          <w:jc w:val="center"/>
        </w:trPr>
        <w:tc>
          <w:tcPr>
            <w:tcW w:w="380" w:type="pct"/>
            <w:vMerge/>
            <w:vAlign w:val="center"/>
          </w:tcPr>
          <w:p w14:paraId="5D901AD0" w14:textId="77777777" w:rsidR="00B14D53" w:rsidRDefault="00B14D53">
            <w:pPr>
              <w:pStyle w:val="afff2"/>
              <w:spacing w:line="240" w:lineRule="auto"/>
              <w:contextualSpacing/>
              <w:rPr>
                <w:rFonts w:eastAsiaTheme="minorEastAsia" w:hAnsi="Times New Roman"/>
              </w:rPr>
            </w:pPr>
          </w:p>
        </w:tc>
        <w:tc>
          <w:tcPr>
            <w:tcW w:w="1075" w:type="pct"/>
            <w:tcBorders>
              <w:top w:val="single" w:sz="4" w:space="0" w:color="auto"/>
              <w:bottom w:val="single" w:sz="4" w:space="0" w:color="auto"/>
            </w:tcBorders>
            <w:vAlign w:val="center"/>
          </w:tcPr>
          <w:p w14:paraId="7C6173CD"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调节站</w:t>
            </w:r>
          </w:p>
        </w:tc>
        <w:tc>
          <w:tcPr>
            <w:tcW w:w="2943" w:type="pct"/>
            <w:tcBorders>
              <w:top w:val="single" w:sz="4" w:space="0" w:color="auto"/>
              <w:bottom w:val="single" w:sz="4" w:space="0" w:color="auto"/>
            </w:tcBorders>
            <w:vAlign w:val="center"/>
          </w:tcPr>
          <w:p w14:paraId="41A4824C"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间，建筑面积</w:t>
            </w:r>
            <w:r>
              <w:rPr>
                <w:rFonts w:eastAsiaTheme="minorEastAsia" w:hAnsi="Times New Roman" w:hint="eastAsia"/>
              </w:rPr>
              <w:t>31m</w:t>
            </w:r>
            <w:r>
              <w:rPr>
                <w:rFonts w:eastAsiaTheme="minorEastAsia" w:hAnsi="Times New Roman" w:hint="eastAsia"/>
                <w:vertAlign w:val="superscript"/>
              </w:rPr>
              <w:t>2</w:t>
            </w:r>
            <w:r>
              <w:rPr>
                <w:rFonts w:eastAsiaTheme="minorEastAsia" w:hAnsi="Times New Roman" w:hint="eastAsia"/>
              </w:rPr>
              <w:t>，内设温度调节控制阀门，用于市政管暖对厂内各建筑的温度调节</w:t>
            </w:r>
          </w:p>
        </w:tc>
        <w:tc>
          <w:tcPr>
            <w:tcW w:w="600" w:type="pct"/>
            <w:vMerge/>
            <w:vAlign w:val="center"/>
          </w:tcPr>
          <w:p w14:paraId="5F277D24" w14:textId="77777777" w:rsidR="00B14D53" w:rsidRDefault="00B14D53">
            <w:pPr>
              <w:pStyle w:val="afff2"/>
              <w:spacing w:line="240" w:lineRule="auto"/>
              <w:contextualSpacing/>
              <w:rPr>
                <w:rFonts w:eastAsiaTheme="minorEastAsia" w:hint="eastAsia"/>
              </w:rPr>
            </w:pPr>
          </w:p>
        </w:tc>
      </w:tr>
      <w:tr w:rsidR="00B14D53" w14:paraId="44A32E37" w14:textId="77777777">
        <w:trPr>
          <w:trHeight w:val="237"/>
          <w:jc w:val="center"/>
        </w:trPr>
        <w:tc>
          <w:tcPr>
            <w:tcW w:w="380" w:type="pct"/>
            <w:vMerge/>
            <w:vAlign w:val="center"/>
          </w:tcPr>
          <w:p w14:paraId="49B5ACDB" w14:textId="77777777" w:rsidR="00B14D53" w:rsidRDefault="00B14D53">
            <w:pPr>
              <w:pStyle w:val="afff2"/>
              <w:spacing w:line="240" w:lineRule="auto"/>
              <w:contextualSpacing/>
              <w:rPr>
                <w:rFonts w:eastAsiaTheme="minorEastAsia" w:hAnsi="Times New Roman"/>
              </w:rPr>
            </w:pPr>
          </w:p>
        </w:tc>
        <w:tc>
          <w:tcPr>
            <w:tcW w:w="1075" w:type="pct"/>
            <w:vMerge w:val="restart"/>
            <w:tcBorders>
              <w:top w:val="single" w:sz="4" w:space="0" w:color="auto"/>
            </w:tcBorders>
            <w:vAlign w:val="center"/>
          </w:tcPr>
          <w:p w14:paraId="59B53841"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1#</w:t>
            </w:r>
            <w:r>
              <w:rPr>
                <w:rFonts w:eastAsiaTheme="minorEastAsia" w:hAnsi="Times New Roman" w:hint="eastAsia"/>
              </w:rPr>
              <w:t>辅助间（建筑面积</w:t>
            </w:r>
            <w:r>
              <w:rPr>
                <w:rFonts w:eastAsiaTheme="minorEastAsia" w:hAnsi="Times New Roman" w:hint="eastAsia"/>
              </w:rPr>
              <w:t>69m</w:t>
            </w:r>
            <w:r>
              <w:rPr>
                <w:rFonts w:eastAsiaTheme="minorEastAsia" w:hAnsi="Times New Roman" w:hint="eastAsia"/>
                <w:vertAlign w:val="superscript"/>
              </w:rPr>
              <w:t>2</w:t>
            </w:r>
            <w:r>
              <w:rPr>
                <w:rFonts w:eastAsiaTheme="minorEastAsia" w:hAnsi="Times New Roman" w:hint="eastAsia"/>
              </w:rPr>
              <w:t>）</w:t>
            </w:r>
          </w:p>
        </w:tc>
        <w:tc>
          <w:tcPr>
            <w:tcW w:w="2943" w:type="pct"/>
            <w:tcBorders>
              <w:top w:val="single" w:sz="4" w:space="0" w:color="auto"/>
              <w:bottom w:val="single" w:sz="4" w:space="0" w:color="auto"/>
            </w:tcBorders>
            <w:vAlign w:val="center"/>
          </w:tcPr>
          <w:p w14:paraId="183C08A2"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间门卫室，建筑面积</w:t>
            </w:r>
            <w:r>
              <w:rPr>
                <w:rFonts w:eastAsiaTheme="minorEastAsia" w:hAnsi="Times New Roman" w:hint="eastAsia"/>
              </w:rPr>
              <w:t>12m</w:t>
            </w:r>
            <w:r>
              <w:rPr>
                <w:rFonts w:eastAsiaTheme="minorEastAsia" w:hAnsi="Times New Roman" w:hint="eastAsia"/>
                <w:vertAlign w:val="superscript"/>
              </w:rPr>
              <w:t>2</w:t>
            </w:r>
            <w:r>
              <w:rPr>
                <w:rFonts w:eastAsiaTheme="minorEastAsia" w:hAnsi="Times New Roman" w:hint="eastAsia"/>
              </w:rPr>
              <w:t>，用于安保人员办公</w:t>
            </w:r>
          </w:p>
        </w:tc>
        <w:tc>
          <w:tcPr>
            <w:tcW w:w="600" w:type="pct"/>
            <w:vMerge/>
            <w:vAlign w:val="center"/>
          </w:tcPr>
          <w:p w14:paraId="5223DB5C" w14:textId="77777777" w:rsidR="00B14D53" w:rsidRDefault="00B14D53">
            <w:pPr>
              <w:pStyle w:val="afff2"/>
              <w:spacing w:line="240" w:lineRule="auto"/>
              <w:contextualSpacing/>
              <w:rPr>
                <w:rFonts w:eastAsiaTheme="minorEastAsia" w:hint="eastAsia"/>
              </w:rPr>
            </w:pPr>
          </w:p>
        </w:tc>
      </w:tr>
      <w:tr w:rsidR="00B14D53" w14:paraId="28529416" w14:textId="77777777">
        <w:trPr>
          <w:trHeight w:val="237"/>
          <w:jc w:val="center"/>
        </w:trPr>
        <w:tc>
          <w:tcPr>
            <w:tcW w:w="380" w:type="pct"/>
            <w:vMerge/>
            <w:vAlign w:val="center"/>
          </w:tcPr>
          <w:p w14:paraId="4330CCFF" w14:textId="77777777" w:rsidR="00B14D53" w:rsidRDefault="00B14D53">
            <w:pPr>
              <w:pStyle w:val="afff2"/>
              <w:spacing w:line="240" w:lineRule="auto"/>
              <w:contextualSpacing/>
              <w:rPr>
                <w:rFonts w:eastAsiaTheme="minorEastAsia" w:hAnsi="Times New Roman"/>
              </w:rPr>
            </w:pPr>
          </w:p>
        </w:tc>
        <w:tc>
          <w:tcPr>
            <w:tcW w:w="1075" w:type="pct"/>
            <w:vMerge/>
            <w:vAlign w:val="center"/>
          </w:tcPr>
          <w:p w14:paraId="42352462" w14:textId="77777777" w:rsidR="00B14D53" w:rsidRDefault="00B14D53">
            <w:pPr>
              <w:pStyle w:val="afff2"/>
              <w:spacing w:line="240" w:lineRule="auto"/>
              <w:contextualSpacing/>
              <w:rPr>
                <w:rFonts w:eastAsiaTheme="minorEastAsia" w:hAnsi="Times New Roman"/>
              </w:rPr>
            </w:pPr>
          </w:p>
        </w:tc>
        <w:tc>
          <w:tcPr>
            <w:tcW w:w="2943" w:type="pct"/>
            <w:tcBorders>
              <w:top w:val="single" w:sz="4" w:space="0" w:color="auto"/>
              <w:bottom w:val="single" w:sz="4" w:space="0" w:color="auto"/>
            </w:tcBorders>
            <w:vAlign w:val="center"/>
          </w:tcPr>
          <w:p w14:paraId="0BC1A3F6"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间检验室，建筑面积</w:t>
            </w:r>
            <w:r>
              <w:rPr>
                <w:rFonts w:eastAsiaTheme="minorEastAsia" w:hAnsi="Times New Roman" w:hint="eastAsia"/>
              </w:rPr>
              <w:t>18m</w:t>
            </w:r>
            <w:r>
              <w:rPr>
                <w:rFonts w:eastAsiaTheme="minorEastAsia" w:hAnsi="Times New Roman" w:hint="eastAsia"/>
                <w:vertAlign w:val="superscript"/>
              </w:rPr>
              <w:t>2</w:t>
            </w:r>
            <w:r>
              <w:rPr>
                <w:rFonts w:eastAsiaTheme="minorEastAsia" w:hAnsi="Times New Roman" w:hint="eastAsia"/>
              </w:rPr>
              <w:t>，用于猪只检验</w:t>
            </w:r>
          </w:p>
        </w:tc>
        <w:tc>
          <w:tcPr>
            <w:tcW w:w="600" w:type="pct"/>
            <w:vMerge/>
            <w:vAlign w:val="center"/>
          </w:tcPr>
          <w:p w14:paraId="1EBBDE79" w14:textId="77777777" w:rsidR="00B14D53" w:rsidRDefault="00B14D53">
            <w:pPr>
              <w:pStyle w:val="afff2"/>
              <w:spacing w:line="240" w:lineRule="auto"/>
              <w:contextualSpacing/>
              <w:rPr>
                <w:rFonts w:eastAsiaTheme="minorEastAsia" w:hint="eastAsia"/>
              </w:rPr>
            </w:pPr>
          </w:p>
        </w:tc>
      </w:tr>
      <w:tr w:rsidR="00B14D53" w14:paraId="67AE3348" w14:textId="77777777">
        <w:trPr>
          <w:trHeight w:val="269"/>
          <w:jc w:val="center"/>
        </w:trPr>
        <w:tc>
          <w:tcPr>
            <w:tcW w:w="380" w:type="pct"/>
            <w:vMerge/>
            <w:vAlign w:val="center"/>
          </w:tcPr>
          <w:p w14:paraId="0307D874" w14:textId="77777777" w:rsidR="00B14D53" w:rsidRDefault="00B14D53">
            <w:pPr>
              <w:pStyle w:val="afff2"/>
              <w:spacing w:line="240" w:lineRule="auto"/>
              <w:contextualSpacing/>
              <w:rPr>
                <w:rFonts w:eastAsiaTheme="minorEastAsia" w:hAnsi="Times New Roman"/>
              </w:rPr>
            </w:pPr>
          </w:p>
        </w:tc>
        <w:tc>
          <w:tcPr>
            <w:tcW w:w="1075" w:type="pct"/>
            <w:vMerge w:val="restart"/>
            <w:tcBorders>
              <w:top w:val="single" w:sz="4" w:space="0" w:color="auto"/>
            </w:tcBorders>
            <w:vAlign w:val="center"/>
          </w:tcPr>
          <w:p w14:paraId="5F07800E"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2#</w:t>
            </w:r>
            <w:r>
              <w:rPr>
                <w:rFonts w:eastAsiaTheme="minorEastAsia" w:hAnsi="Times New Roman" w:hint="eastAsia"/>
              </w:rPr>
              <w:t>辅助间（建筑面积</w:t>
            </w:r>
            <w:r>
              <w:rPr>
                <w:rFonts w:eastAsiaTheme="minorEastAsia" w:hAnsi="Times New Roman" w:hint="eastAsia"/>
              </w:rPr>
              <w:t>85.4m</w:t>
            </w:r>
            <w:r>
              <w:rPr>
                <w:rFonts w:eastAsiaTheme="minorEastAsia" w:hAnsi="Times New Roman" w:hint="eastAsia"/>
                <w:vertAlign w:val="superscript"/>
              </w:rPr>
              <w:t>2</w:t>
            </w:r>
            <w:r>
              <w:rPr>
                <w:rFonts w:eastAsiaTheme="minorEastAsia" w:hAnsi="Times New Roman" w:hint="eastAsia"/>
              </w:rPr>
              <w:t>）</w:t>
            </w:r>
          </w:p>
        </w:tc>
        <w:tc>
          <w:tcPr>
            <w:tcW w:w="2943" w:type="pct"/>
            <w:tcBorders>
              <w:top w:val="single" w:sz="4" w:space="0" w:color="auto"/>
              <w:bottom w:val="single" w:sz="4" w:space="0" w:color="auto"/>
            </w:tcBorders>
            <w:vAlign w:val="center"/>
          </w:tcPr>
          <w:p w14:paraId="3DC86F7B"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间门卫室，建筑面积</w:t>
            </w:r>
            <w:r>
              <w:rPr>
                <w:rFonts w:eastAsiaTheme="minorEastAsia" w:hAnsi="Times New Roman" w:hint="eastAsia"/>
              </w:rPr>
              <w:t>16.66m</w:t>
            </w:r>
            <w:r>
              <w:rPr>
                <w:rFonts w:eastAsiaTheme="minorEastAsia" w:hAnsi="Times New Roman" w:hint="eastAsia"/>
                <w:vertAlign w:val="superscript"/>
              </w:rPr>
              <w:t>2</w:t>
            </w:r>
            <w:r>
              <w:rPr>
                <w:rFonts w:eastAsiaTheme="minorEastAsia" w:hAnsi="Times New Roman" w:hint="eastAsia"/>
              </w:rPr>
              <w:t>，用于安保人员办公</w:t>
            </w:r>
          </w:p>
        </w:tc>
        <w:tc>
          <w:tcPr>
            <w:tcW w:w="600" w:type="pct"/>
            <w:vMerge/>
            <w:vAlign w:val="center"/>
          </w:tcPr>
          <w:p w14:paraId="4D699CB9" w14:textId="77777777" w:rsidR="00B14D53" w:rsidRDefault="00B14D53">
            <w:pPr>
              <w:pStyle w:val="afff2"/>
              <w:spacing w:line="240" w:lineRule="auto"/>
              <w:contextualSpacing/>
              <w:rPr>
                <w:rFonts w:eastAsiaTheme="minorEastAsia" w:hint="eastAsia"/>
              </w:rPr>
            </w:pPr>
          </w:p>
        </w:tc>
      </w:tr>
      <w:tr w:rsidR="00B14D53" w14:paraId="4F6A1AF4" w14:textId="77777777">
        <w:trPr>
          <w:trHeight w:val="285"/>
          <w:jc w:val="center"/>
        </w:trPr>
        <w:tc>
          <w:tcPr>
            <w:tcW w:w="380" w:type="pct"/>
            <w:vMerge/>
            <w:vAlign w:val="center"/>
          </w:tcPr>
          <w:p w14:paraId="20F23556" w14:textId="77777777" w:rsidR="00B14D53" w:rsidRDefault="00B14D53">
            <w:pPr>
              <w:pStyle w:val="afff2"/>
              <w:spacing w:line="240" w:lineRule="auto"/>
              <w:contextualSpacing/>
              <w:rPr>
                <w:rFonts w:eastAsiaTheme="minorEastAsia" w:hAnsi="Times New Roman"/>
              </w:rPr>
            </w:pPr>
          </w:p>
        </w:tc>
        <w:tc>
          <w:tcPr>
            <w:tcW w:w="1075" w:type="pct"/>
            <w:vMerge/>
            <w:tcBorders>
              <w:bottom w:val="single" w:sz="4" w:space="0" w:color="auto"/>
            </w:tcBorders>
            <w:vAlign w:val="center"/>
          </w:tcPr>
          <w:p w14:paraId="06F4F877" w14:textId="77777777" w:rsidR="00B14D53" w:rsidRDefault="00B14D53">
            <w:pPr>
              <w:pStyle w:val="afff2"/>
              <w:spacing w:line="240" w:lineRule="auto"/>
              <w:contextualSpacing/>
              <w:rPr>
                <w:rFonts w:eastAsiaTheme="minorEastAsia" w:hAnsi="Times New Roman"/>
              </w:rPr>
            </w:pPr>
          </w:p>
        </w:tc>
        <w:tc>
          <w:tcPr>
            <w:tcW w:w="2943" w:type="pct"/>
            <w:tcBorders>
              <w:top w:val="single" w:sz="4" w:space="0" w:color="auto"/>
              <w:bottom w:val="single" w:sz="4" w:space="0" w:color="auto"/>
            </w:tcBorders>
            <w:vAlign w:val="center"/>
          </w:tcPr>
          <w:p w14:paraId="7EECA6FF"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间车库，建筑面积</w:t>
            </w:r>
            <w:r>
              <w:rPr>
                <w:rFonts w:eastAsiaTheme="minorEastAsia" w:hAnsi="Times New Roman" w:hint="eastAsia"/>
              </w:rPr>
              <w:t>46m</w:t>
            </w:r>
            <w:r>
              <w:rPr>
                <w:rFonts w:eastAsiaTheme="minorEastAsia" w:hAnsi="Times New Roman" w:hint="eastAsia"/>
                <w:vertAlign w:val="superscript"/>
              </w:rPr>
              <w:t>2</w:t>
            </w:r>
          </w:p>
        </w:tc>
        <w:tc>
          <w:tcPr>
            <w:tcW w:w="600" w:type="pct"/>
            <w:vMerge/>
            <w:vAlign w:val="center"/>
          </w:tcPr>
          <w:p w14:paraId="57CF8690" w14:textId="77777777" w:rsidR="00B14D53" w:rsidRDefault="00B14D53">
            <w:pPr>
              <w:pStyle w:val="afff2"/>
              <w:spacing w:line="240" w:lineRule="auto"/>
              <w:contextualSpacing/>
              <w:rPr>
                <w:rFonts w:eastAsiaTheme="minorEastAsia" w:hint="eastAsia"/>
              </w:rPr>
            </w:pPr>
          </w:p>
        </w:tc>
      </w:tr>
      <w:tr w:rsidR="00B14D53" w14:paraId="52627A9B" w14:textId="77777777">
        <w:trPr>
          <w:trHeight w:val="64"/>
          <w:jc w:val="center"/>
        </w:trPr>
        <w:tc>
          <w:tcPr>
            <w:tcW w:w="380" w:type="pct"/>
            <w:vMerge/>
            <w:vAlign w:val="center"/>
          </w:tcPr>
          <w:p w14:paraId="3498D7E9" w14:textId="77777777" w:rsidR="00B14D53" w:rsidRDefault="00B14D53">
            <w:pPr>
              <w:pStyle w:val="afff2"/>
              <w:spacing w:line="240" w:lineRule="auto"/>
              <w:contextualSpacing/>
              <w:rPr>
                <w:rFonts w:eastAsiaTheme="minorEastAsia" w:hAnsi="Times New Roman"/>
              </w:rPr>
            </w:pPr>
          </w:p>
        </w:tc>
        <w:tc>
          <w:tcPr>
            <w:tcW w:w="1075" w:type="pct"/>
            <w:tcBorders>
              <w:top w:val="single" w:sz="4" w:space="0" w:color="auto"/>
              <w:bottom w:val="single" w:sz="4" w:space="0" w:color="auto"/>
            </w:tcBorders>
            <w:vAlign w:val="center"/>
          </w:tcPr>
          <w:p w14:paraId="669FD43E"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宰前喷淋间</w:t>
            </w:r>
          </w:p>
        </w:tc>
        <w:tc>
          <w:tcPr>
            <w:tcW w:w="2943" w:type="pct"/>
            <w:tcBorders>
              <w:top w:val="single" w:sz="4" w:space="0" w:color="auto"/>
              <w:bottom w:val="single" w:sz="4" w:space="0" w:color="auto"/>
            </w:tcBorders>
            <w:vAlign w:val="center"/>
          </w:tcPr>
          <w:p w14:paraId="1C9E3D1F"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1</w:t>
            </w:r>
            <w:r>
              <w:rPr>
                <w:rFonts w:eastAsiaTheme="minorEastAsia" w:hAnsi="Times New Roman" w:hint="eastAsia"/>
              </w:rPr>
              <w:t>间，建筑面积</w:t>
            </w:r>
            <w:r>
              <w:rPr>
                <w:rFonts w:eastAsiaTheme="minorEastAsia" w:hAnsi="Times New Roman" w:hint="eastAsia"/>
              </w:rPr>
              <w:t>110m</w:t>
            </w:r>
            <w:r>
              <w:rPr>
                <w:rFonts w:eastAsiaTheme="minorEastAsia" w:hAnsi="Times New Roman" w:hint="eastAsia"/>
                <w:vertAlign w:val="superscript"/>
              </w:rPr>
              <w:t>2</w:t>
            </w:r>
            <w:r>
              <w:rPr>
                <w:rFonts w:eastAsiaTheme="minorEastAsia" w:hAnsi="Times New Roman" w:hint="eastAsia"/>
              </w:rPr>
              <w:t>，用于待宰猪宰前喷淋</w:t>
            </w:r>
          </w:p>
        </w:tc>
        <w:tc>
          <w:tcPr>
            <w:tcW w:w="600" w:type="pct"/>
            <w:vMerge/>
            <w:vAlign w:val="center"/>
          </w:tcPr>
          <w:p w14:paraId="7D9B85A1" w14:textId="77777777" w:rsidR="00B14D53" w:rsidRDefault="00B14D53">
            <w:pPr>
              <w:pStyle w:val="afff2"/>
              <w:spacing w:line="240" w:lineRule="auto"/>
              <w:contextualSpacing/>
              <w:rPr>
                <w:rFonts w:eastAsiaTheme="minorEastAsia" w:hint="eastAsia"/>
              </w:rPr>
            </w:pPr>
          </w:p>
        </w:tc>
      </w:tr>
      <w:tr w:rsidR="00B14D53" w14:paraId="5A15FA79" w14:textId="77777777">
        <w:trPr>
          <w:trHeight w:val="64"/>
          <w:jc w:val="center"/>
        </w:trPr>
        <w:tc>
          <w:tcPr>
            <w:tcW w:w="380" w:type="pct"/>
            <w:vMerge/>
            <w:vAlign w:val="center"/>
          </w:tcPr>
          <w:p w14:paraId="270675BC" w14:textId="77777777" w:rsidR="00B14D53" w:rsidRDefault="00B14D53">
            <w:pPr>
              <w:pStyle w:val="afff2"/>
              <w:spacing w:line="240" w:lineRule="auto"/>
              <w:contextualSpacing/>
              <w:rPr>
                <w:rFonts w:eastAsiaTheme="minorEastAsia" w:hAnsi="Times New Roman"/>
              </w:rPr>
            </w:pPr>
          </w:p>
        </w:tc>
        <w:tc>
          <w:tcPr>
            <w:tcW w:w="1075" w:type="pct"/>
            <w:tcBorders>
              <w:top w:val="single" w:sz="4" w:space="0" w:color="auto"/>
              <w:bottom w:val="single" w:sz="4" w:space="0" w:color="auto"/>
            </w:tcBorders>
            <w:vAlign w:val="center"/>
          </w:tcPr>
          <w:p w14:paraId="3DDF7694" w14:textId="77777777" w:rsidR="00B14D53" w:rsidRDefault="00000000">
            <w:pPr>
              <w:pStyle w:val="afff2"/>
              <w:spacing w:line="240" w:lineRule="auto"/>
              <w:contextualSpacing/>
              <w:rPr>
                <w:rFonts w:eastAsiaTheme="minorEastAsia" w:hAnsi="Times New Roman"/>
              </w:rPr>
            </w:pPr>
            <w:r>
              <w:rPr>
                <w:rFonts w:eastAsiaTheme="minorEastAsia" w:hint="eastAsia"/>
              </w:rPr>
              <w:t>隔离间</w:t>
            </w:r>
          </w:p>
        </w:tc>
        <w:tc>
          <w:tcPr>
            <w:tcW w:w="2943" w:type="pct"/>
            <w:tcBorders>
              <w:top w:val="single" w:sz="4" w:space="0" w:color="auto"/>
              <w:bottom w:val="single" w:sz="4" w:space="0" w:color="auto"/>
            </w:tcBorders>
            <w:vAlign w:val="center"/>
          </w:tcPr>
          <w:p w14:paraId="40D4D7F8"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int="eastAsia"/>
              </w:rPr>
              <w:t>1</w:t>
            </w:r>
            <w:r>
              <w:rPr>
                <w:rFonts w:eastAsiaTheme="minorEastAsia" w:hint="eastAsia"/>
              </w:rPr>
              <w:t>间，建筑面积</w:t>
            </w:r>
            <w:r>
              <w:rPr>
                <w:rFonts w:eastAsiaTheme="minorEastAsia" w:hint="eastAsia"/>
              </w:rPr>
              <w:t>28m</w:t>
            </w:r>
            <w:r>
              <w:rPr>
                <w:rFonts w:eastAsiaTheme="minorEastAsia" w:hint="eastAsia"/>
                <w:vertAlign w:val="superscript"/>
              </w:rPr>
              <w:t>2</w:t>
            </w:r>
            <w:r>
              <w:rPr>
                <w:rFonts w:eastAsiaTheme="minorEastAsia" w:hint="eastAsia"/>
              </w:rPr>
              <w:t>，用于疑似病猪隔离</w:t>
            </w:r>
          </w:p>
        </w:tc>
        <w:tc>
          <w:tcPr>
            <w:tcW w:w="600" w:type="pct"/>
            <w:tcBorders>
              <w:bottom w:val="single" w:sz="4" w:space="0" w:color="auto"/>
            </w:tcBorders>
            <w:vAlign w:val="center"/>
          </w:tcPr>
          <w:p w14:paraId="406E1485" w14:textId="77777777" w:rsidR="00B14D53" w:rsidRDefault="00000000">
            <w:pPr>
              <w:pStyle w:val="afff2"/>
              <w:spacing w:line="240" w:lineRule="auto"/>
              <w:contextualSpacing/>
              <w:rPr>
                <w:rFonts w:eastAsiaTheme="minorEastAsia" w:hint="eastAsia"/>
              </w:rPr>
            </w:pPr>
            <w:r>
              <w:rPr>
                <w:rFonts w:eastAsiaTheme="minorEastAsia" w:hint="eastAsia"/>
              </w:rPr>
              <w:t>新建</w:t>
            </w:r>
          </w:p>
        </w:tc>
      </w:tr>
      <w:tr w:rsidR="00B14D53" w14:paraId="219CE81E" w14:textId="77777777">
        <w:trPr>
          <w:trHeight w:val="64"/>
          <w:jc w:val="center"/>
        </w:trPr>
        <w:tc>
          <w:tcPr>
            <w:tcW w:w="380" w:type="pct"/>
            <w:vMerge w:val="restart"/>
            <w:tcBorders>
              <w:top w:val="single" w:sz="4" w:space="0" w:color="auto"/>
            </w:tcBorders>
            <w:vAlign w:val="center"/>
          </w:tcPr>
          <w:p w14:paraId="1836CABA" w14:textId="77777777" w:rsidR="00B14D53" w:rsidRDefault="00000000">
            <w:pPr>
              <w:pStyle w:val="afff2"/>
              <w:spacing w:line="240" w:lineRule="auto"/>
              <w:contextualSpacing/>
              <w:rPr>
                <w:rFonts w:eastAsiaTheme="minorEastAsia" w:hAnsi="Times New Roman"/>
              </w:rPr>
            </w:pPr>
            <w:r>
              <w:rPr>
                <w:rFonts w:eastAsiaTheme="minorEastAsia"/>
              </w:rPr>
              <w:t>公用工程</w:t>
            </w:r>
          </w:p>
        </w:tc>
        <w:tc>
          <w:tcPr>
            <w:tcW w:w="1075" w:type="pct"/>
            <w:tcBorders>
              <w:top w:val="single" w:sz="4" w:space="0" w:color="auto"/>
              <w:bottom w:val="single" w:sz="4" w:space="0" w:color="auto"/>
            </w:tcBorders>
            <w:vAlign w:val="center"/>
          </w:tcPr>
          <w:p w14:paraId="090C0216" w14:textId="77777777" w:rsidR="00B14D53" w:rsidRDefault="00000000">
            <w:pPr>
              <w:pStyle w:val="afff2"/>
              <w:spacing w:line="240" w:lineRule="auto"/>
              <w:contextualSpacing/>
              <w:rPr>
                <w:rFonts w:eastAsiaTheme="minorEastAsia" w:hAnsi="Times New Roman"/>
              </w:rPr>
            </w:pPr>
            <w:r>
              <w:rPr>
                <w:rFonts w:eastAsiaTheme="minorEastAsia"/>
              </w:rPr>
              <w:t>供电</w:t>
            </w:r>
          </w:p>
        </w:tc>
        <w:tc>
          <w:tcPr>
            <w:tcW w:w="2943" w:type="pct"/>
            <w:tcBorders>
              <w:top w:val="single" w:sz="4" w:space="0" w:color="auto"/>
              <w:bottom w:val="single" w:sz="4" w:space="0" w:color="auto"/>
            </w:tcBorders>
            <w:vAlign w:val="center"/>
          </w:tcPr>
          <w:p w14:paraId="2CB8C888"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rPr>
              <w:t>由当地电业局提供</w:t>
            </w:r>
          </w:p>
        </w:tc>
        <w:tc>
          <w:tcPr>
            <w:tcW w:w="600" w:type="pct"/>
            <w:vMerge w:val="restart"/>
            <w:tcBorders>
              <w:top w:val="single" w:sz="4" w:space="0" w:color="auto"/>
            </w:tcBorders>
            <w:vAlign w:val="center"/>
          </w:tcPr>
          <w:p w14:paraId="47F1C845"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依托现有</w:t>
            </w:r>
          </w:p>
        </w:tc>
      </w:tr>
      <w:tr w:rsidR="00B14D53" w14:paraId="69A231CB" w14:textId="77777777">
        <w:trPr>
          <w:trHeight w:val="340"/>
          <w:jc w:val="center"/>
        </w:trPr>
        <w:tc>
          <w:tcPr>
            <w:tcW w:w="380" w:type="pct"/>
            <w:vMerge/>
            <w:vAlign w:val="center"/>
          </w:tcPr>
          <w:p w14:paraId="1B8193B4" w14:textId="77777777" w:rsidR="00B14D53" w:rsidRDefault="00B14D53">
            <w:pPr>
              <w:pStyle w:val="afff2"/>
              <w:spacing w:line="240" w:lineRule="auto"/>
              <w:contextualSpacing/>
              <w:rPr>
                <w:rFonts w:eastAsiaTheme="minorEastAsia" w:hAnsi="Times New Roman"/>
              </w:rPr>
            </w:pPr>
          </w:p>
        </w:tc>
        <w:tc>
          <w:tcPr>
            <w:tcW w:w="1075" w:type="pct"/>
            <w:tcBorders>
              <w:top w:val="single" w:sz="4" w:space="0" w:color="auto"/>
              <w:bottom w:val="single" w:sz="4" w:space="0" w:color="auto"/>
            </w:tcBorders>
            <w:vAlign w:val="center"/>
          </w:tcPr>
          <w:p w14:paraId="550C1AD5" w14:textId="77777777" w:rsidR="00B14D53" w:rsidRDefault="00000000">
            <w:pPr>
              <w:pStyle w:val="afff2"/>
              <w:spacing w:line="240" w:lineRule="auto"/>
              <w:contextualSpacing/>
              <w:rPr>
                <w:rFonts w:eastAsiaTheme="minorEastAsia" w:hAnsi="Times New Roman"/>
              </w:rPr>
            </w:pPr>
            <w:r>
              <w:rPr>
                <w:rFonts w:eastAsiaTheme="minorEastAsia"/>
              </w:rPr>
              <w:t>给水</w:t>
            </w:r>
          </w:p>
        </w:tc>
        <w:tc>
          <w:tcPr>
            <w:tcW w:w="2943" w:type="pct"/>
            <w:tcBorders>
              <w:top w:val="single" w:sz="4" w:space="0" w:color="auto"/>
              <w:bottom w:val="single" w:sz="4" w:space="0" w:color="auto"/>
            </w:tcBorders>
            <w:vAlign w:val="center"/>
          </w:tcPr>
          <w:p w14:paraId="4C6E514B"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由市政自来水提供</w:t>
            </w:r>
          </w:p>
        </w:tc>
        <w:tc>
          <w:tcPr>
            <w:tcW w:w="600" w:type="pct"/>
            <w:vMerge/>
            <w:tcBorders>
              <w:bottom w:val="single" w:sz="4" w:space="0" w:color="auto"/>
            </w:tcBorders>
            <w:vAlign w:val="center"/>
          </w:tcPr>
          <w:p w14:paraId="3F318403" w14:textId="77777777" w:rsidR="00B14D53" w:rsidRDefault="00B14D53">
            <w:pPr>
              <w:pStyle w:val="afff2"/>
              <w:spacing w:line="240" w:lineRule="auto"/>
              <w:contextualSpacing/>
              <w:rPr>
                <w:rFonts w:eastAsiaTheme="minorEastAsia" w:hAnsi="Times New Roman"/>
              </w:rPr>
            </w:pPr>
          </w:p>
        </w:tc>
      </w:tr>
      <w:tr w:rsidR="00B14D53" w14:paraId="3F540E3D" w14:textId="77777777">
        <w:trPr>
          <w:trHeight w:val="340"/>
          <w:jc w:val="center"/>
        </w:trPr>
        <w:tc>
          <w:tcPr>
            <w:tcW w:w="380" w:type="pct"/>
            <w:vMerge/>
            <w:tcBorders>
              <w:bottom w:val="single" w:sz="12" w:space="0" w:color="auto"/>
            </w:tcBorders>
            <w:vAlign w:val="center"/>
          </w:tcPr>
          <w:p w14:paraId="0E5D1643" w14:textId="77777777" w:rsidR="00B14D53" w:rsidRDefault="00B14D53">
            <w:pPr>
              <w:pStyle w:val="afff2"/>
              <w:spacing w:line="240" w:lineRule="auto"/>
              <w:contextualSpacing/>
              <w:rPr>
                <w:rFonts w:eastAsiaTheme="minorEastAsia" w:hAnsi="Times New Roman"/>
              </w:rPr>
            </w:pPr>
          </w:p>
        </w:tc>
        <w:tc>
          <w:tcPr>
            <w:tcW w:w="1075" w:type="pct"/>
            <w:tcBorders>
              <w:top w:val="single" w:sz="4" w:space="0" w:color="auto"/>
              <w:bottom w:val="single" w:sz="12" w:space="0" w:color="auto"/>
            </w:tcBorders>
            <w:vAlign w:val="center"/>
          </w:tcPr>
          <w:p w14:paraId="242BAFD4" w14:textId="77777777" w:rsidR="00B14D53" w:rsidRDefault="00000000">
            <w:pPr>
              <w:pStyle w:val="afff2"/>
              <w:spacing w:line="240" w:lineRule="auto"/>
              <w:contextualSpacing/>
              <w:rPr>
                <w:rFonts w:eastAsiaTheme="minorEastAsia" w:hAnsi="Times New Roman"/>
              </w:rPr>
            </w:pPr>
            <w:r>
              <w:rPr>
                <w:rFonts w:eastAsiaTheme="minorEastAsia"/>
              </w:rPr>
              <w:t>排水</w:t>
            </w:r>
          </w:p>
        </w:tc>
        <w:tc>
          <w:tcPr>
            <w:tcW w:w="2943" w:type="pct"/>
            <w:tcBorders>
              <w:top w:val="single" w:sz="4" w:space="0" w:color="auto"/>
              <w:bottom w:val="single" w:sz="12" w:space="0" w:color="auto"/>
            </w:tcBorders>
            <w:vAlign w:val="center"/>
          </w:tcPr>
          <w:p w14:paraId="3B05274A" w14:textId="77777777" w:rsidR="00B14D53" w:rsidRDefault="00000000">
            <w:pPr>
              <w:pStyle w:val="afff2"/>
              <w:spacing w:line="240" w:lineRule="auto"/>
              <w:ind w:firstLineChars="200" w:firstLine="420"/>
              <w:contextualSpacing/>
              <w:jc w:val="left"/>
              <w:rPr>
                <w:rFonts w:eastAsiaTheme="minorEastAsia" w:hAnsi="Times New Roman"/>
                <w:bCs/>
              </w:rPr>
            </w:pPr>
            <w:r>
              <w:rPr>
                <w:rFonts w:hAnsi="Times New Roman"/>
              </w:rPr>
              <w:t>厂区实行雨污分流制，</w:t>
            </w:r>
            <w:r>
              <w:rPr>
                <w:rFonts w:hAnsi="Times New Roman" w:hint="eastAsia"/>
                <w:spacing w:val="4"/>
              </w:rPr>
              <w:t>生产废水经</w:t>
            </w:r>
            <w:r>
              <w:rPr>
                <w:rFonts w:hAnsi="Times New Roman"/>
                <w:spacing w:val="4"/>
              </w:rPr>
              <w:t>污水处理站处理后排入市政管网</w:t>
            </w:r>
            <w:r>
              <w:rPr>
                <w:rFonts w:hAnsi="Times New Roman" w:hint="eastAsia"/>
                <w:spacing w:val="4"/>
              </w:rPr>
              <w:t>，员工</w:t>
            </w:r>
            <w:r>
              <w:rPr>
                <w:rFonts w:hAnsi="Times New Roman"/>
                <w:spacing w:val="4"/>
              </w:rPr>
              <w:t>生活污水排入市政管网，</w:t>
            </w:r>
            <w:r>
              <w:rPr>
                <w:rFonts w:hAnsi="Times New Roman" w:hint="eastAsia"/>
                <w:spacing w:val="4"/>
              </w:rPr>
              <w:t>经</w:t>
            </w:r>
            <w:r>
              <w:rPr>
                <w:rFonts w:hAnsi="Times New Roman"/>
              </w:rPr>
              <w:t>五常市民泉污水处理有限公司（五常市山河屯林业局污水处理厂）</w:t>
            </w:r>
            <w:r>
              <w:rPr>
                <w:rFonts w:hAnsi="Times New Roman"/>
                <w:spacing w:val="4"/>
              </w:rPr>
              <w:t>处理</w:t>
            </w:r>
            <w:r>
              <w:rPr>
                <w:rFonts w:hAnsi="Times New Roman" w:hint="eastAsia"/>
                <w:spacing w:val="4"/>
              </w:rPr>
              <w:t>后</w:t>
            </w:r>
            <w:r>
              <w:rPr>
                <w:rFonts w:hAnsi="Times New Roman"/>
                <w:spacing w:val="4"/>
              </w:rPr>
              <w:t>，</w:t>
            </w:r>
            <w:r>
              <w:rPr>
                <w:rFonts w:hAnsi="Times New Roman" w:hint="eastAsia"/>
                <w:spacing w:val="4"/>
              </w:rPr>
              <w:t>排入拉林河</w:t>
            </w:r>
          </w:p>
        </w:tc>
        <w:tc>
          <w:tcPr>
            <w:tcW w:w="600" w:type="pct"/>
            <w:tcBorders>
              <w:top w:val="single" w:sz="4" w:space="0" w:color="auto"/>
              <w:bottom w:val="single" w:sz="12" w:space="0" w:color="auto"/>
            </w:tcBorders>
            <w:vAlign w:val="center"/>
          </w:tcPr>
          <w:p w14:paraId="4FC12277"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依托现有方式</w:t>
            </w:r>
          </w:p>
        </w:tc>
      </w:tr>
    </w:tbl>
    <w:p w14:paraId="16B3204A" w14:textId="77777777" w:rsidR="00B14D53" w:rsidRDefault="00B14D53">
      <w:pPr>
        <w:jc w:val="center"/>
        <w:rPr>
          <w:b/>
          <w:bCs/>
        </w:rPr>
      </w:pPr>
    </w:p>
    <w:p w14:paraId="70EA8076" w14:textId="77777777" w:rsidR="00B14D53" w:rsidRDefault="00B14D53">
      <w:pPr>
        <w:jc w:val="center"/>
        <w:rPr>
          <w:b/>
          <w:bCs/>
        </w:rPr>
      </w:pPr>
    </w:p>
    <w:p w14:paraId="6F4F16F1" w14:textId="77777777" w:rsidR="00B14D53" w:rsidRDefault="00B14D53">
      <w:pPr>
        <w:jc w:val="center"/>
        <w:rPr>
          <w:b/>
          <w:bCs/>
        </w:rPr>
      </w:pPr>
    </w:p>
    <w:p w14:paraId="483000EE" w14:textId="77777777" w:rsidR="00B14D53" w:rsidRDefault="00000000">
      <w:pPr>
        <w:jc w:val="center"/>
      </w:pPr>
      <w:r>
        <w:rPr>
          <w:rFonts w:hint="eastAsia"/>
          <w:b/>
          <w:bCs/>
        </w:rPr>
        <w:t>续表</w:t>
      </w:r>
      <w:r>
        <w:rPr>
          <w:rFonts w:hint="eastAsia"/>
          <w:b/>
          <w:bCs/>
        </w:rPr>
        <w:t xml:space="preserve">3-1-1 </w:t>
      </w:r>
      <w:r>
        <w:rPr>
          <w:rFonts w:hint="eastAsia"/>
          <w:b/>
          <w:bCs/>
        </w:rPr>
        <w:t>工程组成一览表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25"/>
        <w:gridCol w:w="426"/>
        <w:gridCol w:w="1367"/>
        <w:gridCol w:w="4892"/>
        <w:gridCol w:w="996"/>
      </w:tblGrid>
      <w:tr w:rsidR="00B14D53" w14:paraId="2C14A98C" w14:textId="77777777">
        <w:trPr>
          <w:trHeight w:val="340"/>
          <w:jc w:val="center"/>
        </w:trPr>
        <w:tc>
          <w:tcPr>
            <w:tcW w:w="378" w:type="pct"/>
            <w:vAlign w:val="center"/>
          </w:tcPr>
          <w:p w14:paraId="74A07B28" w14:textId="77777777" w:rsidR="00B14D53" w:rsidRDefault="00000000">
            <w:pPr>
              <w:pStyle w:val="afff2"/>
              <w:spacing w:line="240" w:lineRule="auto"/>
              <w:contextualSpacing/>
              <w:rPr>
                <w:rFonts w:eastAsiaTheme="minorEastAsia" w:hAnsi="Times New Roman"/>
              </w:rPr>
            </w:pPr>
            <w:r>
              <w:rPr>
                <w:rFonts w:eastAsiaTheme="minorEastAsia"/>
              </w:rPr>
              <w:t>公用工程</w:t>
            </w:r>
          </w:p>
        </w:tc>
        <w:tc>
          <w:tcPr>
            <w:tcW w:w="1074" w:type="pct"/>
            <w:gridSpan w:val="2"/>
            <w:tcBorders>
              <w:top w:val="single" w:sz="12" w:space="0" w:color="auto"/>
            </w:tcBorders>
            <w:vAlign w:val="center"/>
          </w:tcPr>
          <w:p w14:paraId="4BA19F6C" w14:textId="77777777" w:rsidR="00B14D53" w:rsidRDefault="00000000">
            <w:pPr>
              <w:pStyle w:val="afff2"/>
              <w:spacing w:line="240" w:lineRule="auto"/>
              <w:contextualSpacing/>
              <w:rPr>
                <w:rFonts w:eastAsiaTheme="minorEastAsia" w:hAnsi="Times New Roman"/>
              </w:rPr>
            </w:pPr>
            <w:bookmarkStart w:id="70" w:name="_Hlk527725718"/>
            <w:r>
              <w:rPr>
                <w:rFonts w:eastAsiaTheme="minorEastAsia"/>
              </w:rPr>
              <w:t>供热</w:t>
            </w:r>
            <w:bookmarkEnd w:id="70"/>
          </w:p>
        </w:tc>
        <w:tc>
          <w:tcPr>
            <w:tcW w:w="2945" w:type="pct"/>
            <w:tcBorders>
              <w:top w:val="single" w:sz="12" w:space="0" w:color="auto"/>
            </w:tcBorders>
            <w:vAlign w:val="center"/>
          </w:tcPr>
          <w:p w14:paraId="126DCFAC" w14:textId="77777777" w:rsidR="00B14D53" w:rsidRDefault="00000000">
            <w:pPr>
              <w:pStyle w:val="afff2"/>
              <w:spacing w:line="240" w:lineRule="auto"/>
              <w:ind w:firstLineChars="200" w:firstLine="420"/>
              <w:contextualSpacing/>
              <w:jc w:val="left"/>
              <w:rPr>
                <w:rFonts w:eastAsiaTheme="minorEastAsia" w:hAnsi="Times New Roman"/>
              </w:rPr>
            </w:pPr>
            <w:r>
              <w:rPr>
                <w:rFonts w:eastAsiaTheme="minorEastAsia" w:hAnsi="Times New Roman" w:hint="eastAsia"/>
              </w:rPr>
              <w:t>冬季供暖由黑龙江省山河屯林业局有限公司供热站提供集中供热；生产用蒸汽由电蒸汽发生器提供，利用现有软化水装置</w:t>
            </w:r>
          </w:p>
        </w:tc>
        <w:tc>
          <w:tcPr>
            <w:tcW w:w="601" w:type="pct"/>
            <w:tcBorders>
              <w:top w:val="single" w:sz="12" w:space="0" w:color="auto"/>
            </w:tcBorders>
            <w:vAlign w:val="center"/>
          </w:tcPr>
          <w:p w14:paraId="19C4C05F" w14:textId="77777777" w:rsidR="00B14D53" w:rsidRDefault="00000000">
            <w:pPr>
              <w:pStyle w:val="afff2"/>
              <w:spacing w:line="240" w:lineRule="auto"/>
              <w:contextualSpacing/>
              <w:rPr>
                <w:rFonts w:eastAsiaTheme="minorEastAsia" w:hAnsi="Times New Roman"/>
              </w:rPr>
            </w:pPr>
            <w:r>
              <w:rPr>
                <w:rFonts w:eastAsiaTheme="minorEastAsia" w:hint="eastAsia"/>
              </w:rPr>
              <w:t>依托现有供暖，更换新</w:t>
            </w:r>
            <w:r>
              <w:rPr>
                <w:rFonts w:eastAsiaTheme="minorEastAsia" w:hAnsi="Times New Roman" w:hint="eastAsia"/>
              </w:rPr>
              <w:t>电蒸汽发生器</w:t>
            </w:r>
          </w:p>
        </w:tc>
      </w:tr>
      <w:tr w:rsidR="00B14D53" w14:paraId="56DB0E99" w14:textId="77777777">
        <w:trPr>
          <w:trHeight w:val="90"/>
          <w:jc w:val="center"/>
        </w:trPr>
        <w:tc>
          <w:tcPr>
            <w:tcW w:w="378" w:type="pct"/>
            <w:vMerge w:val="restart"/>
            <w:vAlign w:val="center"/>
          </w:tcPr>
          <w:p w14:paraId="2FB919B5" w14:textId="77777777" w:rsidR="00B14D53" w:rsidRDefault="00000000">
            <w:pPr>
              <w:pStyle w:val="afff2"/>
              <w:spacing w:line="240" w:lineRule="auto"/>
              <w:rPr>
                <w:rFonts w:eastAsiaTheme="minorEastAsia" w:hAnsi="Times New Roman"/>
              </w:rPr>
            </w:pPr>
            <w:r>
              <w:rPr>
                <w:rFonts w:eastAsiaTheme="minorEastAsia" w:hAnsi="Times New Roman" w:hint="eastAsia"/>
              </w:rPr>
              <w:t>环保工程</w:t>
            </w:r>
          </w:p>
        </w:tc>
        <w:tc>
          <w:tcPr>
            <w:tcW w:w="249" w:type="pct"/>
            <w:vMerge w:val="restart"/>
            <w:vAlign w:val="center"/>
          </w:tcPr>
          <w:p w14:paraId="6B1BF0EB" w14:textId="77777777" w:rsidR="00B14D53" w:rsidRDefault="00000000">
            <w:pPr>
              <w:pStyle w:val="afff2"/>
              <w:spacing w:line="240" w:lineRule="auto"/>
              <w:rPr>
                <w:rFonts w:eastAsiaTheme="minorEastAsia" w:hAnsi="Times New Roman"/>
              </w:rPr>
            </w:pPr>
            <w:r>
              <w:rPr>
                <w:rFonts w:eastAsiaTheme="minorEastAsia"/>
              </w:rPr>
              <w:t>废气</w:t>
            </w:r>
          </w:p>
        </w:tc>
        <w:tc>
          <w:tcPr>
            <w:tcW w:w="824" w:type="pct"/>
            <w:vAlign w:val="center"/>
          </w:tcPr>
          <w:p w14:paraId="29F6621B" w14:textId="77777777" w:rsidR="00B14D53" w:rsidRDefault="00000000">
            <w:pPr>
              <w:pStyle w:val="afff2"/>
              <w:spacing w:line="240" w:lineRule="auto"/>
              <w:rPr>
                <w:rFonts w:eastAsiaTheme="minorEastAsia" w:hAnsi="Times New Roman"/>
              </w:rPr>
            </w:pPr>
            <w:r>
              <w:rPr>
                <w:rFonts w:eastAsiaTheme="minorEastAsia" w:hAnsi="Times New Roman" w:hint="eastAsia"/>
              </w:rPr>
              <w:t>待宰圈</w:t>
            </w:r>
          </w:p>
        </w:tc>
        <w:tc>
          <w:tcPr>
            <w:tcW w:w="2945" w:type="pct"/>
            <w:vAlign w:val="center"/>
          </w:tcPr>
          <w:p w14:paraId="6C1E6DAA" w14:textId="77777777" w:rsidR="00B14D53" w:rsidRDefault="00000000">
            <w:pPr>
              <w:pStyle w:val="afff2"/>
              <w:spacing w:line="240" w:lineRule="auto"/>
              <w:ind w:firstLineChars="200" w:firstLine="420"/>
              <w:jc w:val="left"/>
              <w:rPr>
                <w:rFonts w:eastAsiaTheme="minorEastAsia" w:hAnsi="Times New Roman"/>
              </w:rPr>
            </w:pPr>
            <w:r>
              <w:rPr>
                <w:rFonts w:eastAsiaTheme="minorEastAsia" w:hAnsi="Times New Roman"/>
              </w:rPr>
              <w:t>本项目</w:t>
            </w:r>
            <w:r>
              <w:rPr>
                <w:rFonts w:eastAsiaTheme="minorEastAsia" w:hAnsi="Times New Roman" w:hint="eastAsia"/>
              </w:rPr>
              <w:t>待宰圈</w:t>
            </w:r>
            <w:r>
              <w:rPr>
                <w:rFonts w:eastAsiaTheme="minorEastAsia" w:hAnsi="Times New Roman"/>
              </w:rPr>
              <w:t>封闭，</w:t>
            </w:r>
            <w:r>
              <w:rPr>
                <w:rFonts w:eastAsiaTheme="minorEastAsia" w:hAnsi="Times New Roman" w:hint="eastAsia"/>
              </w:rPr>
              <w:t>两个待宰圈分别</w:t>
            </w:r>
            <w:r>
              <w:rPr>
                <w:rFonts w:eastAsiaTheme="minorEastAsia" w:hAnsi="Times New Roman"/>
              </w:rPr>
              <w:t>采用</w:t>
            </w:r>
            <w:r>
              <w:rPr>
                <w:rFonts w:eastAsiaTheme="minorEastAsia" w:hAnsi="Times New Roman" w:hint="eastAsia"/>
              </w:rPr>
              <w:t>引风机集中收集</w:t>
            </w:r>
            <w:r>
              <w:rPr>
                <w:rFonts w:eastAsiaTheme="minorEastAsia" w:hAnsi="Times New Roman"/>
              </w:rPr>
              <w:t>恶臭污染物，同时待宰圈经过及时清扫并定期喷洒生物除臭剂可降低臭气浓度，</w:t>
            </w:r>
            <w:r>
              <w:rPr>
                <w:rFonts w:eastAsiaTheme="minorEastAsia" w:hAnsi="Times New Roman" w:hint="eastAsia"/>
              </w:rPr>
              <w:t>收集</w:t>
            </w:r>
            <w:r>
              <w:rPr>
                <w:rFonts w:eastAsiaTheme="minorEastAsia" w:hAnsi="Times New Roman"/>
              </w:rPr>
              <w:t>的废气</w:t>
            </w:r>
            <w:r>
              <w:rPr>
                <w:rFonts w:eastAsiaTheme="minorEastAsia" w:hAnsi="Times New Roman" w:hint="eastAsia"/>
              </w:rPr>
              <w:t>分别经活性炭</w:t>
            </w:r>
            <w:r>
              <w:rPr>
                <w:rFonts w:eastAsiaTheme="minorEastAsia" w:hAnsi="Times New Roman"/>
              </w:rPr>
              <w:t>吸附净化后</w:t>
            </w:r>
            <w:r>
              <w:rPr>
                <w:rFonts w:eastAsiaTheme="minorEastAsia" w:hAnsi="Times New Roman" w:hint="eastAsia"/>
              </w:rPr>
              <w:t>由</w:t>
            </w:r>
            <w:r>
              <w:rPr>
                <w:rFonts w:eastAsiaTheme="minorEastAsia" w:hAnsi="Times New Roman" w:hint="eastAsia"/>
              </w:rPr>
              <w:t>2</w:t>
            </w:r>
            <w:r>
              <w:rPr>
                <w:rFonts w:eastAsiaTheme="minorEastAsia" w:hAnsi="Times New Roman" w:hint="eastAsia"/>
              </w:rPr>
              <w:t>根</w:t>
            </w:r>
            <w:r>
              <w:rPr>
                <w:rFonts w:eastAsiaTheme="minorEastAsia" w:hAnsi="Times New Roman"/>
              </w:rPr>
              <w:t>15m</w:t>
            </w:r>
            <w:r>
              <w:rPr>
                <w:rFonts w:eastAsiaTheme="minorEastAsia" w:hAnsi="Times New Roman"/>
              </w:rPr>
              <w:t>高排气筒（</w:t>
            </w:r>
            <w:r>
              <w:rPr>
                <w:rFonts w:eastAsiaTheme="minorEastAsia" w:hAnsi="Times New Roman"/>
              </w:rPr>
              <w:t>DA00</w:t>
            </w:r>
            <w:r>
              <w:rPr>
                <w:rFonts w:eastAsiaTheme="minorEastAsia" w:hAnsi="Times New Roman" w:hint="eastAsia"/>
              </w:rPr>
              <w:t>1</w:t>
            </w:r>
            <w:r>
              <w:rPr>
                <w:rFonts w:eastAsiaTheme="minorEastAsia" w:hAnsi="Times New Roman" w:hint="eastAsia"/>
              </w:rPr>
              <w:t>、</w:t>
            </w:r>
            <w:r>
              <w:rPr>
                <w:rFonts w:eastAsiaTheme="minorEastAsia" w:hAnsi="Times New Roman" w:hint="eastAsia"/>
              </w:rPr>
              <w:t>DA002</w:t>
            </w:r>
            <w:r>
              <w:rPr>
                <w:rFonts w:eastAsiaTheme="minorEastAsia" w:hAnsi="Times New Roman"/>
              </w:rPr>
              <w:t>）排放</w:t>
            </w:r>
          </w:p>
        </w:tc>
        <w:tc>
          <w:tcPr>
            <w:tcW w:w="601" w:type="pct"/>
            <w:vMerge w:val="restart"/>
            <w:vAlign w:val="center"/>
          </w:tcPr>
          <w:p w14:paraId="6661F403" w14:textId="77777777" w:rsidR="00B14D53" w:rsidRDefault="00000000">
            <w:pPr>
              <w:jc w:val="center"/>
              <w:rPr>
                <w:rFonts w:eastAsiaTheme="minorEastAsia"/>
                <w:szCs w:val="21"/>
              </w:rPr>
            </w:pPr>
            <w:r>
              <w:rPr>
                <w:rFonts w:eastAsiaTheme="minorEastAsia" w:hAnsiTheme="minorEastAsia"/>
              </w:rPr>
              <w:t>新建</w:t>
            </w:r>
          </w:p>
        </w:tc>
      </w:tr>
      <w:tr w:rsidR="00B14D53" w14:paraId="42B80C86" w14:textId="77777777">
        <w:trPr>
          <w:trHeight w:val="90"/>
          <w:jc w:val="center"/>
        </w:trPr>
        <w:tc>
          <w:tcPr>
            <w:tcW w:w="378" w:type="pct"/>
            <w:vMerge/>
            <w:vAlign w:val="center"/>
          </w:tcPr>
          <w:p w14:paraId="2CCBF8EC" w14:textId="77777777" w:rsidR="00B14D53" w:rsidRDefault="00B14D53">
            <w:pPr>
              <w:pStyle w:val="afff2"/>
              <w:spacing w:line="240" w:lineRule="auto"/>
              <w:rPr>
                <w:rFonts w:eastAsiaTheme="minorEastAsia" w:hAnsi="Times New Roman"/>
              </w:rPr>
            </w:pPr>
          </w:p>
        </w:tc>
        <w:tc>
          <w:tcPr>
            <w:tcW w:w="249" w:type="pct"/>
            <w:vMerge/>
            <w:vAlign w:val="center"/>
          </w:tcPr>
          <w:p w14:paraId="28193A72" w14:textId="77777777" w:rsidR="00B14D53" w:rsidRDefault="00B14D53">
            <w:pPr>
              <w:pStyle w:val="afff2"/>
              <w:spacing w:line="240" w:lineRule="auto"/>
              <w:rPr>
                <w:rFonts w:eastAsiaTheme="minorEastAsia" w:hAnsi="Times New Roman"/>
              </w:rPr>
            </w:pPr>
          </w:p>
        </w:tc>
        <w:tc>
          <w:tcPr>
            <w:tcW w:w="824" w:type="pct"/>
            <w:tcBorders>
              <w:top w:val="single" w:sz="4" w:space="0" w:color="auto"/>
            </w:tcBorders>
            <w:vAlign w:val="center"/>
          </w:tcPr>
          <w:p w14:paraId="6AE3F08B" w14:textId="77777777" w:rsidR="00B14D53" w:rsidRDefault="00000000">
            <w:pPr>
              <w:pStyle w:val="afff2"/>
              <w:spacing w:line="240" w:lineRule="auto"/>
              <w:rPr>
                <w:rFonts w:eastAsiaTheme="minorEastAsia" w:hAnsi="Times New Roman"/>
              </w:rPr>
            </w:pPr>
            <w:r>
              <w:rPr>
                <w:rFonts w:eastAsiaTheme="minorEastAsia" w:hAnsi="Times New Roman" w:hint="eastAsia"/>
              </w:rPr>
              <w:t>屠宰车间</w:t>
            </w:r>
          </w:p>
        </w:tc>
        <w:tc>
          <w:tcPr>
            <w:tcW w:w="2945" w:type="pct"/>
            <w:vAlign w:val="center"/>
          </w:tcPr>
          <w:p w14:paraId="458FE920" w14:textId="77777777" w:rsidR="00B14D53" w:rsidRDefault="00000000">
            <w:pPr>
              <w:ind w:firstLineChars="200" w:firstLine="420"/>
              <w:jc w:val="left"/>
              <w:rPr>
                <w:rFonts w:eastAsiaTheme="minorEastAsia"/>
                <w:szCs w:val="21"/>
              </w:rPr>
            </w:pPr>
            <w:r>
              <w:rPr>
                <w:rFonts w:eastAsiaTheme="minorEastAsia"/>
              </w:rPr>
              <w:t>本项目</w:t>
            </w:r>
            <w:r>
              <w:rPr>
                <w:rFonts w:eastAsiaTheme="minorEastAsia" w:hint="eastAsia"/>
              </w:rPr>
              <w:t>屠宰车间</w:t>
            </w:r>
            <w:r>
              <w:rPr>
                <w:rFonts w:eastAsiaTheme="minorEastAsia"/>
              </w:rPr>
              <w:t>封闭，用</w:t>
            </w:r>
            <w:r>
              <w:rPr>
                <w:rFonts w:eastAsiaTheme="minorEastAsia" w:hint="eastAsia"/>
              </w:rPr>
              <w:t>引风机集中收集</w:t>
            </w:r>
            <w:r>
              <w:rPr>
                <w:rFonts w:eastAsiaTheme="minorEastAsia"/>
              </w:rPr>
              <w:t>恶臭污染物，</w:t>
            </w:r>
            <w:r>
              <w:rPr>
                <w:rFonts w:eastAsiaTheme="minorEastAsia" w:hint="eastAsia"/>
              </w:rPr>
              <w:t>收集</w:t>
            </w:r>
            <w:r>
              <w:rPr>
                <w:rFonts w:eastAsiaTheme="minorEastAsia"/>
              </w:rPr>
              <w:t>的废气</w:t>
            </w:r>
            <w:r>
              <w:rPr>
                <w:rFonts w:eastAsiaTheme="minorEastAsia" w:hint="eastAsia"/>
              </w:rPr>
              <w:t>分别经活性炭</w:t>
            </w:r>
            <w:r>
              <w:rPr>
                <w:rFonts w:eastAsiaTheme="minorEastAsia"/>
              </w:rPr>
              <w:t>吸附净化后</w:t>
            </w:r>
            <w:r>
              <w:rPr>
                <w:rFonts w:eastAsiaTheme="minorEastAsia" w:hint="eastAsia"/>
              </w:rPr>
              <w:t>由</w:t>
            </w:r>
            <w:r>
              <w:rPr>
                <w:rFonts w:eastAsiaTheme="minorEastAsia" w:hint="eastAsia"/>
              </w:rPr>
              <w:t>1</w:t>
            </w:r>
            <w:r>
              <w:rPr>
                <w:rFonts w:eastAsiaTheme="minorEastAsia" w:hint="eastAsia"/>
              </w:rPr>
              <w:t>根</w:t>
            </w:r>
            <w:r>
              <w:rPr>
                <w:rFonts w:eastAsiaTheme="minorEastAsia"/>
              </w:rPr>
              <w:t>15m</w:t>
            </w:r>
            <w:r>
              <w:rPr>
                <w:rFonts w:eastAsiaTheme="minorEastAsia"/>
              </w:rPr>
              <w:t>高排气筒（</w:t>
            </w:r>
            <w:r>
              <w:rPr>
                <w:rFonts w:eastAsiaTheme="minorEastAsia"/>
              </w:rPr>
              <w:t>DA00</w:t>
            </w:r>
            <w:r>
              <w:rPr>
                <w:rFonts w:eastAsiaTheme="minorEastAsia" w:hint="eastAsia"/>
              </w:rPr>
              <w:t>3</w:t>
            </w:r>
            <w:r>
              <w:rPr>
                <w:rFonts w:eastAsiaTheme="minorEastAsia"/>
              </w:rPr>
              <w:t>）排放</w:t>
            </w:r>
          </w:p>
        </w:tc>
        <w:tc>
          <w:tcPr>
            <w:tcW w:w="601" w:type="pct"/>
            <w:vMerge/>
            <w:vAlign w:val="center"/>
          </w:tcPr>
          <w:p w14:paraId="3CEF485E" w14:textId="77777777" w:rsidR="00B14D53" w:rsidRDefault="00B14D53">
            <w:pPr>
              <w:jc w:val="center"/>
              <w:rPr>
                <w:rFonts w:eastAsiaTheme="minorEastAsia"/>
                <w:szCs w:val="21"/>
              </w:rPr>
            </w:pPr>
          </w:p>
        </w:tc>
      </w:tr>
      <w:tr w:rsidR="00B14D53" w14:paraId="46551852" w14:textId="77777777">
        <w:trPr>
          <w:trHeight w:val="90"/>
          <w:jc w:val="center"/>
        </w:trPr>
        <w:tc>
          <w:tcPr>
            <w:tcW w:w="378" w:type="pct"/>
            <w:vMerge/>
            <w:vAlign w:val="center"/>
          </w:tcPr>
          <w:p w14:paraId="29C54A5F" w14:textId="77777777" w:rsidR="00B14D53" w:rsidRDefault="00B14D53">
            <w:pPr>
              <w:pStyle w:val="afff2"/>
              <w:spacing w:line="240" w:lineRule="auto"/>
              <w:rPr>
                <w:rFonts w:eastAsiaTheme="minorEastAsia" w:hAnsi="Times New Roman"/>
              </w:rPr>
            </w:pPr>
          </w:p>
        </w:tc>
        <w:tc>
          <w:tcPr>
            <w:tcW w:w="249" w:type="pct"/>
            <w:vMerge/>
            <w:vAlign w:val="center"/>
          </w:tcPr>
          <w:p w14:paraId="10C2E240" w14:textId="77777777" w:rsidR="00B14D53" w:rsidRDefault="00B14D53">
            <w:pPr>
              <w:pStyle w:val="afff2"/>
              <w:spacing w:line="240" w:lineRule="auto"/>
              <w:rPr>
                <w:rFonts w:eastAsiaTheme="minorEastAsia" w:hAnsi="Times New Roman"/>
              </w:rPr>
            </w:pPr>
          </w:p>
        </w:tc>
        <w:tc>
          <w:tcPr>
            <w:tcW w:w="824" w:type="pct"/>
            <w:tcBorders>
              <w:top w:val="single" w:sz="4" w:space="0" w:color="auto"/>
            </w:tcBorders>
            <w:vAlign w:val="center"/>
          </w:tcPr>
          <w:p w14:paraId="1F6E6C85"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污水处理站</w:t>
            </w:r>
          </w:p>
        </w:tc>
        <w:tc>
          <w:tcPr>
            <w:tcW w:w="2945" w:type="pct"/>
            <w:vAlign w:val="center"/>
          </w:tcPr>
          <w:p w14:paraId="6A45F7CA" w14:textId="77777777" w:rsidR="00B14D53" w:rsidRDefault="00000000">
            <w:pPr>
              <w:ind w:firstLineChars="200" w:firstLine="420"/>
              <w:jc w:val="left"/>
              <w:rPr>
                <w:rFonts w:eastAsiaTheme="minorEastAsia"/>
                <w:snapToGrid w:val="0"/>
                <w:kern w:val="0"/>
                <w:szCs w:val="21"/>
              </w:rPr>
            </w:pPr>
            <w:r>
              <w:rPr>
                <w:rFonts w:eastAsiaTheme="minorEastAsia"/>
                <w:snapToGrid w:val="0"/>
                <w:kern w:val="0"/>
                <w:szCs w:val="21"/>
              </w:rPr>
              <w:t>本项目污水处理站</w:t>
            </w:r>
            <w:r>
              <w:rPr>
                <w:rFonts w:eastAsiaTheme="minorEastAsia" w:hint="eastAsia"/>
                <w:snapToGrid w:val="0"/>
                <w:kern w:val="0"/>
                <w:szCs w:val="21"/>
              </w:rPr>
              <w:t>采用一体化污水处理设备</w:t>
            </w:r>
            <w:r>
              <w:rPr>
                <w:rFonts w:eastAsiaTheme="minorEastAsia"/>
                <w:snapToGrid w:val="0"/>
                <w:kern w:val="0"/>
                <w:szCs w:val="21"/>
              </w:rPr>
              <w:t>，采用引风机集中收集废气，废气</w:t>
            </w:r>
            <w:r>
              <w:rPr>
                <w:rFonts w:eastAsiaTheme="minorEastAsia" w:hint="eastAsia"/>
                <w:snapToGrid w:val="0"/>
                <w:kern w:val="0"/>
                <w:szCs w:val="21"/>
              </w:rPr>
              <w:t>经活性炭</w:t>
            </w:r>
            <w:r>
              <w:rPr>
                <w:rFonts w:eastAsiaTheme="minorEastAsia"/>
                <w:snapToGrid w:val="0"/>
                <w:kern w:val="0"/>
                <w:szCs w:val="21"/>
              </w:rPr>
              <w:t>吸附净化后由</w:t>
            </w:r>
            <w:r>
              <w:rPr>
                <w:rFonts w:eastAsiaTheme="minorEastAsia"/>
                <w:snapToGrid w:val="0"/>
                <w:kern w:val="0"/>
                <w:szCs w:val="21"/>
              </w:rPr>
              <w:t>1</w:t>
            </w:r>
            <w:r>
              <w:rPr>
                <w:rFonts w:eastAsiaTheme="minorEastAsia"/>
                <w:snapToGrid w:val="0"/>
                <w:kern w:val="0"/>
                <w:szCs w:val="21"/>
              </w:rPr>
              <w:t>根</w:t>
            </w:r>
            <w:r>
              <w:rPr>
                <w:rFonts w:eastAsiaTheme="minorEastAsia"/>
                <w:snapToGrid w:val="0"/>
                <w:kern w:val="0"/>
                <w:szCs w:val="21"/>
              </w:rPr>
              <w:t>15m</w:t>
            </w:r>
            <w:r>
              <w:rPr>
                <w:rFonts w:eastAsiaTheme="minorEastAsia"/>
                <w:snapToGrid w:val="0"/>
                <w:kern w:val="0"/>
                <w:szCs w:val="21"/>
              </w:rPr>
              <w:t>高排气筒（</w:t>
            </w:r>
            <w:r>
              <w:rPr>
                <w:rFonts w:eastAsiaTheme="minorEastAsia"/>
                <w:snapToGrid w:val="0"/>
                <w:kern w:val="0"/>
                <w:szCs w:val="21"/>
              </w:rPr>
              <w:t>DA00</w:t>
            </w:r>
            <w:r>
              <w:rPr>
                <w:rFonts w:eastAsiaTheme="minorEastAsia" w:hint="eastAsia"/>
                <w:snapToGrid w:val="0"/>
                <w:kern w:val="0"/>
                <w:szCs w:val="21"/>
              </w:rPr>
              <w:t>4</w:t>
            </w:r>
            <w:r>
              <w:rPr>
                <w:rFonts w:eastAsiaTheme="minorEastAsia"/>
                <w:snapToGrid w:val="0"/>
                <w:kern w:val="0"/>
                <w:szCs w:val="21"/>
              </w:rPr>
              <w:t>）排放</w:t>
            </w:r>
          </w:p>
        </w:tc>
        <w:tc>
          <w:tcPr>
            <w:tcW w:w="601" w:type="pct"/>
            <w:vMerge/>
            <w:vAlign w:val="center"/>
          </w:tcPr>
          <w:p w14:paraId="193FF98B" w14:textId="77777777" w:rsidR="00B14D53" w:rsidRDefault="00B14D53">
            <w:pPr>
              <w:jc w:val="center"/>
              <w:rPr>
                <w:rFonts w:eastAsiaTheme="minorEastAsia"/>
                <w:szCs w:val="21"/>
              </w:rPr>
            </w:pPr>
          </w:p>
        </w:tc>
      </w:tr>
      <w:tr w:rsidR="00B14D53" w14:paraId="6D9D04F0" w14:textId="77777777">
        <w:trPr>
          <w:trHeight w:val="939"/>
          <w:jc w:val="center"/>
        </w:trPr>
        <w:tc>
          <w:tcPr>
            <w:tcW w:w="378" w:type="pct"/>
            <w:vMerge/>
            <w:vAlign w:val="center"/>
          </w:tcPr>
          <w:p w14:paraId="4992DEED" w14:textId="77777777" w:rsidR="00B14D53" w:rsidRDefault="00B14D53">
            <w:pPr>
              <w:pStyle w:val="afff2"/>
              <w:spacing w:line="240" w:lineRule="auto"/>
              <w:rPr>
                <w:rFonts w:eastAsiaTheme="minorEastAsia" w:hAnsi="Times New Roman"/>
              </w:rPr>
            </w:pPr>
          </w:p>
        </w:tc>
        <w:tc>
          <w:tcPr>
            <w:tcW w:w="1074" w:type="pct"/>
            <w:gridSpan w:val="2"/>
            <w:vAlign w:val="center"/>
          </w:tcPr>
          <w:p w14:paraId="227EFB79" w14:textId="77777777" w:rsidR="00B14D53" w:rsidRDefault="00000000">
            <w:pPr>
              <w:pStyle w:val="afff2"/>
              <w:spacing w:line="240" w:lineRule="auto"/>
              <w:rPr>
                <w:rFonts w:eastAsiaTheme="minorEastAsia" w:hAnsi="Times New Roman"/>
              </w:rPr>
            </w:pPr>
            <w:r>
              <w:rPr>
                <w:rFonts w:eastAsiaTheme="minorEastAsia"/>
              </w:rPr>
              <w:t>污水</w:t>
            </w:r>
          </w:p>
        </w:tc>
        <w:tc>
          <w:tcPr>
            <w:tcW w:w="2945" w:type="pct"/>
            <w:vAlign w:val="center"/>
          </w:tcPr>
          <w:p w14:paraId="7C820E78" w14:textId="77777777" w:rsidR="00B14D53" w:rsidRDefault="00000000">
            <w:pPr>
              <w:pStyle w:val="afff2"/>
              <w:spacing w:line="240" w:lineRule="auto"/>
              <w:ind w:firstLineChars="200" w:firstLine="420"/>
              <w:contextualSpacing/>
              <w:jc w:val="left"/>
              <w:rPr>
                <w:rFonts w:hAnsi="Times New Roman"/>
                <w:spacing w:val="4"/>
              </w:rPr>
            </w:pPr>
            <w:r>
              <w:rPr>
                <w:rFonts w:hAnsi="Times New Roman" w:hint="eastAsia"/>
              </w:rPr>
              <w:t>拆除现有污水处理站并新建</w:t>
            </w:r>
            <w:r>
              <w:rPr>
                <w:rFonts w:hAnsi="Times New Roman"/>
              </w:rPr>
              <w:t>一座处理能力</w:t>
            </w:r>
            <w:r>
              <w:rPr>
                <w:rFonts w:hAnsi="Times New Roman" w:hint="eastAsia"/>
              </w:rPr>
              <w:t>250</w:t>
            </w:r>
            <w:r>
              <w:rPr>
                <w:rFonts w:hAnsi="Times New Roman"/>
              </w:rPr>
              <w:t>m</w:t>
            </w:r>
            <w:r>
              <w:rPr>
                <w:rFonts w:hAnsi="Times New Roman"/>
                <w:vertAlign w:val="superscript"/>
              </w:rPr>
              <w:t>3</w:t>
            </w:r>
            <w:r>
              <w:rPr>
                <w:rFonts w:hAnsi="Times New Roman"/>
              </w:rPr>
              <w:t>/d</w:t>
            </w:r>
            <w:r>
              <w:rPr>
                <w:rFonts w:hAnsi="Times New Roman"/>
              </w:rPr>
              <w:t>的污水处理站，采用</w:t>
            </w:r>
            <w:r>
              <w:rPr>
                <w:rFonts w:hAnsi="Times New Roman" w:hint="eastAsia"/>
              </w:rPr>
              <w:t>AO</w:t>
            </w:r>
            <w:r>
              <w:rPr>
                <w:rFonts w:hAnsi="Times New Roman"/>
              </w:rPr>
              <w:t>+</w:t>
            </w:r>
            <w:r>
              <w:rPr>
                <w:rFonts w:hAnsi="Times New Roman" w:hint="eastAsia"/>
              </w:rPr>
              <w:t>次氯酸钠</w:t>
            </w:r>
            <w:r>
              <w:rPr>
                <w:rFonts w:hAnsi="Times New Roman"/>
              </w:rPr>
              <w:t>消毒工艺处理后，项目</w:t>
            </w:r>
            <w:r>
              <w:rPr>
                <w:rFonts w:hAnsi="Times New Roman" w:hint="eastAsia"/>
              </w:rPr>
              <w:t>生产</w:t>
            </w:r>
            <w:r>
              <w:rPr>
                <w:rFonts w:hAnsi="Times New Roman"/>
              </w:rPr>
              <w:t>废水经厂区污水处理站处理后达到《肉类加工工业水污染物排放标准》（</w:t>
            </w:r>
            <w:r>
              <w:rPr>
                <w:rFonts w:hAnsi="Times New Roman"/>
              </w:rPr>
              <w:t>GB13457-92</w:t>
            </w:r>
            <w:r>
              <w:rPr>
                <w:rFonts w:hAnsi="Times New Roman"/>
              </w:rPr>
              <w:t>）表</w:t>
            </w:r>
            <w:r>
              <w:rPr>
                <w:rFonts w:hAnsi="Times New Roman"/>
              </w:rPr>
              <w:t>3</w:t>
            </w:r>
            <w:r>
              <w:rPr>
                <w:rFonts w:hAnsi="Times New Roman"/>
              </w:rPr>
              <w:t>畜类屠宰加工三级标准限值及五常市民泉污水处理有限公司（五常市山河屯林业局污水处理厂）设计进水水质指标后，排入五常市民泉污水处理有限公司（五常市山河屯林业局污水处理厂），</w:t>
            </w:r>
            <w:r>
              <w:rPr>
                <w:rFonts w:hAnsi="Times New Roman" w:hint="eastAsia"/>
                <w:spacing w:val="4"/>
              </w:rPr>
              <w:t>排入拉林河</w:t>
            </w:r>
            <w:r>
              <w:rPr>
                <w:rFonts w:hAnsi="Times New Roman"/>
                <w:spacing w:val="4"/>
              </w:rPr>
              <w:t>。</w:t>
            </w:r>
            <w:r>
              <w:rPr>
                <w:rFonts w:hAnsi="Times New Roman" w:hint="eastAsia"/>
                <w:spacing w:val="4"/>
              </w:rPr>
              <w:t>安装污水在线监测设备</w:t>
            </w:r>
          </w:p>
          <w:p w14:paraId="247216AB" w14:textId="77777777" w:rsidR="00B14D53" w:rsidRDefault="00000000">
            <w:pPr>
              <w:pStyle w:val="afff2"/>
              <w:spacing w:line="240" w:lineRule="auto"/>
              <w:ind w:firstLineChars="200" w:firstLine="436"/>
              <w:contextualSpacing/>
              <w:jc w:val="left"/>
              <w:rPr>
                <w:rFonts w:hAnsi="Times New Roman"/>
                <w:spacing w:val="4"/>
              </w:rPr>
            </w:pPr>
            <w:r>
              <w:rPr>
                <w:rFonts w:hAnsi="Times New Roman" w:hint="eastAsia"/>
                <w:spacing w:val="4"/>
              </w:rPr>
              <w:t>生活污水满足</w:t>
            </w:r>
            <w:r>
              <w:rPr>
                <w:rFonts w:hAnsi="Times New Roman"/>
                <w:spacing w:val="4"/>
              </w:rPr>
              <w:t>《污水综合排放标准》（</w:t>
            </w:r>
            <w:r>
              <w:rPr>
                <w:rFonts w:hAnsi="Times New Roman"/>
                <w:spacing w:val="4"/>
              </w:rPr>
              <w:t>GB8978-1996</w:t>
            </w:r>
            <w:r>
              <w:rPr>
                <w:rFonts w:hAnsi="Times New Roman"/>
                <w:spacing w:val="4"/>
              </w:rPr>
              <w:t>）表</w:t>
            </w:r>
            <w:r>
              <w:rPr>
                <w:rFonts w:hAnsi="Times New Roman"/>
                <w:spacing w:val="4"/>
              </w:rPr>
              <w:t>4</w:t>
            </w:r>
            <w:r>
              <w:rPr>
                <w:rFonts w:hAnsi="Times New Roman"/>
                <w:spacing w:val="4"/>
              </w:rPr>
              <w:t>三级标准限值及五常市民泉污水处理有限公司（五常市山河屯林业局污水处理厂）设计进水水质指标排入市政管网，</w:t>
            </w:r>
            <w:r>
              <w:rPr>
                <w:rFonts w:hAnsi="Times New Roman" w:hint="eastAsia"/>
                <w:spacing w:val="4"/>
              </w:rPr>
              <w:t>经</w:t>
            </w:r>
            <w:r>
              <w:rPr>
                <w:rFonts w:hAnsi="Times New Roman"/>
              </w:rPr>
              <w:t>五常市民泉污水处理有限公司（五常市山河屯林业局污水处理厂）</w:t>
            </w:r>
            <w:r>
              <w:rPr>
                <w:rFonts w:hAnsi="Times New Roman"/>
                <w:spacing w:val="4"/>
              </w:rPr>
              <w:t>处理</w:t>
            </w:r>
            <w:r>
              <w:rPr>
                <w:rFonts w:hAnsi="Times New Roman" w:hint="eastAsia"/>
                <w:spacing w:val="4"/>
              </w:rPr>
              <w:t>后</w:t>
            </w:r>
            <w:r>
              <w:rPr>
                <w:rFonts w:hAnsi="Times New Roman"/>
                <w:spacing w:val="4"/>
              </w:rPr>
              <w:t>，</w:t>
            </w:r>
            <w:r>
              <w:rPr>
                <w:rFonts w:hAnsi="Times New Roman" w:hint="eastAsia"/>
                <w:spacing w:val="4"/>
              </w:rPr>
              <w:t>排入拉林河</w:t>
            </w:r>
          </w:p>
        </w:tc>
        <w:tc>
          <w:tcPr>
            <w:tcW w:w="601" w:type="pct"/>
            <w:vAlign w:val="center"/>
          </w:tcPr>
          <w:p w14:paraId="47DC6860" w14:textId="77777777" w:rsidR="00B14D53" w:rsidRDefault="00000000">
            <w:pPr>
              <w:pStyle w:val="afff2"/>
              <w:spacing w:line="240" w:lineRule="auto"/>
              <w:contextualSpacing/>
              <w:rPr>
                <w:rFonts w:eastAsiaTheme="minorEastAsia" w:hAnsi="Times New Roman"/>
              </w:rPr>
            </w:pPr>
            <w:r>
              <w:rPr>
                <w:rFonts w:eastAsiaTheme="minorEastAsia" w:hint="eastAsia"/>
              </w:rPr>
              <w:t>污水站拆除新建，新安装污水在线监测设施</w:t>
            </w:r>
          </w:p>
        </w:tc>
      </w:tr>
      <w:tr w:rsidR="00B14D53" w14:paraId="2F10CF59" w14:textId="77777777">
        <w:trPr>
          <w:trHeight w:val="340"/>
          <w:jc w:val="center"/>
        </w:trPr>
        <w:tc>
          <w:tcPr>
            <w:tcW w:w="378" w:type="pct"/>
            <w:vMerge/>
            <w:vAlign w:val="center"/>
          </w:tcPr>
          <w:p w14:paraId="3BD351C4" w14:textId="77777777" w:rsidR="00B14D53" w:rsidRDefault="00B14D53">
            <w:pPr>
              <w:pStyle w:val="afff2"/>
              <w:spacing w:line="240" w:lineRule="auto"/>
              <w:rPr>
                <w:rFonts w:eastAsiaTheme="minorEastAsia" w:hAnsi="Times New Roman"/>
              </w:rPr>
            </w:pPr>
          </w:p>
        </w:tc>
        <w:tc>
          <w:tcPr>
            <w:tcW w:w="1074" w:type="pct"/>
            <w:gridSpan w:val="2"/>
            <w:vAlign w:val="center"/>
          </w:tcPr>
          <w:p w14:paraId="34F4994E" w14:textId="77777777" w:rsidR="00B14D53" w:rsidRDefault="00000000">
            <w:pPr>
              <w:pStyle w:val="afff2"/>
              <w:spacing w:line="240" w:lineRule="auto"/>
              <w:rPr>
                <w:rFonts w:eastAsiaTheme="minorEastAsia" w:hAnsi="Times New Roman"/>
              </w:rPr>
            </w:pPr>
            <w:r>
              <w:rPr>
                <w:rFonts w:eastAsiaTheme="minorEastAsia"/>
              </w:rPr>
              <w:t>噪声</w:t>
            </w:r>
          </w:p>
        </w:tc>
        <w:tc>
          <w:tcPr>
            <w:tcW w:w="2945" w:type="pct"/>
            <w:vAlign w:val="center"/>
          </w:tcPr>
          <w:p w14:paraId="26AA1BA8" w14:textId="77777777" w:rsidR="00B14D53" w:rsidRDefault="00000000">
            <w:pPr>
              <w:pStyle w:val="afff2"/>
              <w:spacing w:line="240" w:lineRule="auto"/>
              <w:ind w:firstLineChars="200" w:firstLine="420"/>
              <w:jc w:val="left"/>
              <w:rPr>
                <w:rFonts w:eastAsiaTheme="minorEastAsia" w:hAnsi="Times New Roman"/>
              </w:rPr>
            </w:pPr>
            <w:r>
              <w:rPr>
                <w:rFonts w:eastAsiaTheme="minorEastAsia" w:hint="eastAsia"/>
              </w:rPr>
              <w:t>优先选用低噪声设备，基础</w:t>
            </w:r>
            <w:r>
              <w:rPr>
                <w:rFonts w:eastAsiaTheme="minorEastAsia"/>
              </w:rPr>
              <w:t>减振、</w:t>
            </w:r>
            <w:r>
              <w:rPr>
                <w:rFonts w:eastAsiaTheme="minorEastAsia" w:hint="eastAsia"/>
              </w:rPr>
              <w:t>厂房</w:t>
            </w:r>
            <w:r>
              <w:rPr>
                <w:rFonts w:eastAsiaTheme="minorEastAsia"/>
              </w:rPr>
              <w:t>隔声</w:t>
            </w:r>
            <w:r>
              <w:rPr>
                <w:rFonts w:eastAsiaTheme="minorEastAsia" w:hint="eastAsia"/>
              </w:rPr>
              <w:t>、夜间不生产</w:t>
            </w:r>
            <w:r>
              <w:rPr>
                <w:rFonts w:eastAsiaTheme="minorEastAsia"/>
              </w:rPr>
              <w:t>等措施</w:t>
            </w:r>
          </w:p>
        </w:tc>
        <w:tc>
          <w:tcPr>
            <w:tcW w:w="601" w:type="pct"/>
            <w:vMerge w:val="restart"/>
            <w:vAlign w:val="center"/>
          </w:tcPr>
          <w:p w14:paraId="66F3B919" w14:textId="77777777" w:rsidR="00B14D53" w:rsidRDefault="00000000">
            <w:pPr>
              <w:pStyle w:val="afff2"/>
              <w:spacing w:line="240" w:lineRule="auto"/>
              <w:rPr>
                <w:rFonts w:eastAsiaTheme="minorEastAsia" w:hAnsi="Times New Roman"/>
              </w:rPr>
            </w:pPr>
            <w:r>
              <w:rPr>
                <w:rFonts w:eastAsiaTheme="minorEastAsia"/>
              </w:rPr>
              <w:t>新建</w:t>
            </w:r>
          </w:p>
        </w:tc>
      </w:tr>
      <w:tr w:rsidR="00B14D53" w14:paraId="19ED273B" w14:textId="77777777">
        <w:trPr>
          <w:trHeight w:val="344"/>
          <w:jc w:val="center"/>
        </w:trPr>
        <w:tc>
          <w:tcPr>
            <w:tcW w:w="378" w:type="pct"/>
            <w:vMerge/>
            <w:vAlign w:val="center"/>
          </w:tcPr>
          <w:p w14:paraId="32EF45F3" w14:textId="77777777" w:rsidR="00B14D53" w:rsidRDefault="00B14D53">
            <w:pPr>
              <w:pStyle w:val="afff2"/>
              <w:spacing w:line="240" w:lineRule="auto"/>
              <w:rPr>
                <w:rFonts w:eastAsiaTheme="minorEastAsia" w:hAnsi="Times New Roman"/>
              </w:rPr>
            </w:pPr>
          </w:p>
        </w:tc>
        <w:tc>
          <w:tcPr>
            <w:tcW w:w="249" w:type="pct"/>
            <w:vMerge w:val="restart"/>
            <w:vAlign w:val="center"/>
          </w:tcPr>
          <w:p w14:paraId="205B5318" w14:textId="77777777" w:rsidR="00B14D53" w:rsidRDefault="00000000">
            <w:pPr>
              <w:pStyle w:val="afff2"/>
              <w:spacing w:line="240" w:lineRule="auto"/>
              <w:rPr>
                <w:rFonts w:eastAsiaTheme="minorEastAsia" w:hAnsi="Times New Roman"/>
              </w:rPr>
            </w:pPr>
            <w:r>
              <w:rPr>
                <w:rFonts w:eastAsiaTheme="minorEastAsia"/>
              </w:rPr>
              <w:t>固废</w:t>
            </w:r>
          </w:p>
        </w:tc>
        <w:tc>
          <w:tcPr>
            <w:tcW w:w="824" w:type="pct"/>
            <w:vAlign w:val="center"/>
          </w:tcPr>
          <w:p w14:paraId="6A8F950F" w14:textId="77777777" w:rsidR="00B14D53" w:rsidRDefault="00000000">
            <w:pPr>
              <w:pStyle w:val="afff2"/>
              <w:spacing w:line="240" w:lineRule="auto"/>
              <w:rPr>
                <w:rFonts w:eastAsiaTheme="minorEastAsia" w:hAnsi="Times New Roman"/>
              </w:rPr>
            </w:pPr>
            <w:r>
              <w:rPr>
                <w:rFonts w:eastAsiaTheme="minorEastAsia"/>
              </w:rPr>
              <w:t>猪粪</w:t>
            </w:r>
          </w:p>
        </w:tc>
        <w:tc>
          <w:tcPr>
            <w:tcW w:w="2945" w:type="pct"/>
            <w:vAlign w:val="center"/>
          </w:tcPr>
          <w:p w14:paraId="21565C62" w14:textId="77777777" w:rsidR="00B14D53" w:rsidRDefault="00000000">
            <w:pPr>
              <w:pStyle w:val="afff2"/>
              <w:spacing w:line="240" w:lineRule="auto"/>
              <w:ind w:firstLineChars="200" w:firstLine="420"/>
              <w:jc w:val="both"/>
              <w:rPr>
                <w:rFonts w:eastAsiaTheme="minorEastAsia" w:hAnsi="Times New Roman"/>
              </w:rPr>
            </w:pPr>
            <w:r>
              <w:rPr>
                <w:rFonts w:eastAsiaTheme="minorEastAsia" w:hAnsi="Times New Roman" w:hint="eastAsia"/>
              </w:rPr>
              <w:t>清理至包装桶内，暂存于待宰圈内</w:t>
            </w:r>
            <w:r>
              <w:rPr>
                <w:rFonts w:eastAsiaTheme="minorEastAsia" w:hAnsi="Times New Roman"/>
              </w:rPr>
              <w:t>，</w:t>
            </w:r>
            <w:r>
              <w:rPr>
                <w:rFonts w:eastAsiaTheme="minorEastAsia" w:hAnsi="Times New Roman" w:hint="eastAsia"/>
              </w:rPr>
              <w:t>每日生产结束后</w:t>
            </w:r>
            <w:r>
              <w:rPr>
                <w:rFonts w:eastAsiaTheme="minorEastAsia" w:hAnsi="Times New Roman"/>
              </w:rPr>
              <w:t>清运一次，外售有机肥厂进行堆肥处理</w:t>
            </w:r>
          </w:p>
        </w:tc>
        <w:tc>
          <w:tcPr>
            <w:tcW w:w="601" w:type="pct"/>
            <w:vMerge/>
            <w:vAlign w:val="center"/>
          </w:tcPr>
          <w:p w14:paraId="0922DFB7" w14:textId="77777777" w:rsidR="00B14D53" w:rsidRDefault="00B14D53">
            <w:pPr>
              <w:pStyle w:val="afff2"/>
              <w:spacing w:line="240" w:lineRule="auto"/>
              <w:rPr>
                <w:rFonts w:eastAsiaTheme="minorEastAsia" w:hAnsi="Times New Roman"/>
              </w:rPr>
            </w:pPr>
          </w:p>
        </w:tc>
      </w:tr>
      <w:tr w:rsidR="00B14D53" w14:paraId="2D4A4B0D" w14:textId="77777777">
        <w:trPr>
          <w:trHeight w:val="299"/>
          <w:jc w:val="center"/>
        </w:trPr>
        <w:tc>
          <w:tcPr>
            <w:tcW w:w="378" w:type="pct"/>
            <w:vMerge/>
            <w:vAlign w:val="center"/>
          </w:tcPr>
          <w:p w14:paraId="3A06BB4E" w14:textId="77777777" w:rsidR="00B14D53" w:rsidRDefault="00B14D53">
            <w:pPr>
              <w:pStyle w:val="afff2"/>
              <w:spacing w:line="240" w:lineRule="auto"/>
              <w:rPr>
                <w:rFonts w:eastAsiaTheme="minorEastAsia" w:hAnsi="Times New Roman"/>
              </w:rPr>
            </w:pPr>
          </w:p>
        </w:tc>
        <w:tc>
          <w:tcPr>
            <w:tcW w:w="249" w:type="pct"/>
            <w:vMerge/>
            <w:vAlign w:val="center"/>
          </w:tcPr>
          <w:p w14:paraId="2F4C7402" w14:textId="77777777" w:rsidR="00B14D53" w:rsidRDefault="00B14D53">
            <w:pPr>
              <w:pStyle w:val="afff2"/>
              <w:spacing w:line="240" w:lineRule="auto"/>
              <w:rPr>
                <w:rFonts w:eastAsiaTheme="minorEastAsia" w:hAnsi="Times New Roman"/>
              </w:rPr>
            </w:pPr>
          </w:p>
        </w:tc>
        <w:tc>
          <w:tcPr>
            <w:tcW w:w="824" w:type="pct"/>
            <w:vAlign w:val="center"/>
          </w:tcPr>
          <w:p w14:paraId="230B2DF2" w14:textId="77777777" w:rsidR="00B14D53" w:rsidRDefault="00000000">
            <w:pPr>
              <w:pStyle w:val="afff2"/>
              <w:spacing w:line="240" w:lineRule="auto"/>
              <w:rPr>
                <w:rFonts w:eastAsiaTheme="minorEastAsia" w:hAnsi="Times New Roman"/>
              </w:rPr>
            </w:pPr>
            <w:r>
              <w:rPr>
                <w:rFonts w:eastAsiaTheme="minorEastAsia" w:hAnsi="Times New Roman"/>
              </w:rPr>
              <w:t>肠胃内容</w:t>
            </w:r>
          </w:p>
        </w:tc>
        <w:tc>
          <w:tcPr>
            <w:tcW w:w="2945" w:type="pct"/>
            <w:vAlign w:val="center"/>
          </w:tcPr>
          <w:p w14:paraId="7EEE5FBF" w14:textId="77777777" w:rsidR="00B14D53" w:rsidRDefault="00000000">
            <w:pPr>
              <w:pStyle w:val="afff2"/>
              <w:spacing w:line="240" w:lineRule="auto"/>
              <w:ind w:firstLineChars="200" w:firstLine="420"/>
              <w:jc w:val="both"/>
              <w:rPr>
                <w:rFonts w:eastAsiaTheme="minorEastAsia" w:hAnsi="Times New Roman"/>
              </w:rPr>
            </w:pPr>
            <w:r>
              <w:rPr>
                <w:rFonts w:eastAsiaTheme="minorEastAsia" w:hAnsi="Times New Roman" w:hint="eastAsia"/>
              </w:rPr>
              <w:t>清理至包装桶内，暂存于待宰圈内</w:t>
            </w:r>
            <w:r>
              <w:rPr>
                <w:rFonts w:eastAsiaTheme="minorEastAsia" w:hAnsi="Times New Roman"/>
              </w:rPr>
              <w:t>，</w:t>
            </w:r>
            <w:r>
              <w:rPr>
                <w:rFonts w:eastAsiaTheme="minorEastAsia" w:hAnsi="Times New Roman" w:hint="eastAsia"/>
              </w:rPr>
              <w:t>每日生产结束后</w:t>
            </w:r>
            <w:r>
              <w:rPr>
                <w:rFonts w:eastAsiaTheme="minorEastAsia" w:hAnsi="Times New Roman"/>
              </w:rPr>
              <w:t>清运一次，外售有机肥厂进行堆肥处理</w:t>
            </w:r>
          </w:p>
        </w:tc>
        <w:tc>
          <w:tcPr>
            <w:tcW w:w="601" w:type="pct"/>
            <w:vMerge/>
            <w:vAlign w:val="center"/>
          </w:tcPr>
          <w:p w14:paraId="19DC237E" w14:textId="77777777" w:rsidR="00B14D53" w:rsidRDefault="00B14D53">
            <w:pPr>
              <w:pStyle w:val="afff2"/>
              <w:spacing w:line="240" w:lineRule="auto"/>
              <w:rPr>
                <w:rFonts w:eastAsiaTheme="minorEastAsia" w:hAnsi="Times New Roman"/>
                <w:vertAlign w:val="superscript"/>
              </w:rPr>
            </w:pPr>
          </w:p>
        </w:tc>
      </w:tr>
      <w:tr w:rsidR="00B14D53" w14:paraId="61FC7806" w14:textId="77777777">
        <w:trPr>
          <w:trHeight w:val="340"/>
          <w:jc w:val="center"/>
        </w:trPr>
        <w:tc>
          <w:tcPr>
            <w:tcW w:w="378" w:type="pct"/>
            <w:vMerge/>
            <w:vAlign w:val="center"/>
          </w:tcPr>
          <w:p w14:paraId="162E06FE" w14:textId="77777777" w:rsidR="00B14D53" w:rsidRDefault="00B14D53">
            <w:pPr>
              <w:pStyle w:val="afff2"/>
              <w:spacing w:line="240" w:lineRule="auto"/>
              <w:rPr>
                <w:rFonts w:eastAsiaTheme="minorEastAsia" w:hAnsi="Times New Roman"/>
              </w:rPr>
            </w:pPr>
          </w:p>
        </w:tc>
        <w:tc>
          <w:tcPr>
            <w:tcW w:w="249" w:type="pct"/>
            <w:vMerge/>
            <w:vAlign w:val="center"/>
          </w:tcPr>
          <w:p w14:paraId="7ECF0CDF" w14:textId="77777777" w:rsidR="00B14D53" w:rsidRDefault="00B14D53">
            <w:pPr>
              <w:pStyle w:val="afff2"/>
              <w:spacing w:line="240" w:lineRule="auto"/>
              <w:rPr>
                <w:rFonts w:eastAsiaTheme="minorEastAsia" w:hAnsi="Times New Roman"/>
              </w:rPr>
            </w:pPr>
          </w:p>
        </w:tc>
        <w:tc>
          <w:tcPr>
            <w:tcW w:w="824" w:type="pct"/>
            <w:vAlign w:val="center"/>
          </w:tcPr>
          <w:p w14:paraId="682DB59B" w14:textId="77777777" w:rsidR="00B14D53" w:rsidRDefault="00000000">
            <w:pPr>
              <w:pStyle w:val="afff2"/>
              <w:spacing w:line="240" w:lineRule="auto"/>
              <w:rPr>
                <w:rFonts w:eastAsiaTheme="minorEastAsia" w:hAnsi="Times New Roman"/>
              </w:rPr>
            </w:pPr>
            <w:r>
              <w:rPr>
                <w:rFonts w:eastAsiaTheme="minorEastAsia" w:hAnsi="Times New Roman"/>
              </w:rPr>
              <w:t>病变腺体、内脏及残留脂肪</w:t>
            </w:r>
          </w:p>
        </w:tc>
        <w:tc>
          <w:tcPr>
            <w:tcW w:w="2945" w:type="pct"/>
            <w:vAlign w:val="center"/>
          </w:tcPr>
          <w:p w14:paraId="3C9CD90B" w14:textId="77777777" w:rsidR="00B14D53" w:rsidRDefault="00000000">
            <w:pPr>
              <w:pStyle w:val="afff2"/>
              <w:spacing w:line="240" w:lineRule="auto"/>
              <w:ind w:firstLineChars="200" w:firstLine="420"/>
              <w:jc w:val="left"/>
              <w:rPr>
                <w:rFonts w:eastAsiaTheme="minorEastAsia" w:hAnsi="Times New Roman"/>
              </w:rPr>
            </w:pPr>
            <w:r>
              <w:rPr>
                <w:rFonts w:eastAsiaTheme="minorEastAsia" w:hAnsi="Times New Roman" w:hint="eastAsia"/>
              </w:rPr>
              <w:t>暂存于固废暂存间，定期交由哈尔滨银山无害化处理有限公司</w:t>
            </w:r>
            <w:r>
              <w:rPr>
                <w:rFonts w:eastAsiaTheme="minorEastAsia" w:hAnsi="Times New Roman"/>
              </w:rPr>
              <w:t>处理</w:t>
            </w:r>
          </w:p>
        </w:tc>
        <w:tc>
          <w:tcPr>
            <w:tcW w:w="601" w:type="pct"/>
            <w:vMerge/>
            <w:vAlign w:val="center"/>
          </w:tcPr>
          <w:p w14:paraId="683F5DC0" w14:textId="77777777" w:rsidR="00B14D53" w:rsidRDefault="00B14D53">
            <w:pPr>
              <w:pStyle w:val="afff2"/>
              <w:spacing w:line="240" w:lineRule="auto"/>
              <w:rPr>
                <w:rFonts w:eastAsiaTheme="minorEastAsia" w:hAnsi="Times New Roman"/>
              </w:rPr>
            </w:pPr>
          </w:p>
        </w:tc>
      </w:tr>
      <w:tr w:rsidR="00B14D53" w14:paraId="07998ED0" w14:textId="77777777">
        <w:trPr>
          <w:trHeight w:val="340"/>
          <w:jc w:val="center"/>
        </w:trPr>
        <w:tc>
          <w:tcPr>
            <w:tcW w:w="378" w:type="pct"/>
            <w:vMerge/>
            <w:vAlign w:val="center"/>
          </w:tcPr>
          <w:p w14:paraId="2D955FE3" w14:textId="77777777" w:rsidR="00B14D53" w:rsidRDefault="00B14D53">
            <w:pPr>
              <w:pStyle w:val="afff2"/>
              <w:spacing w:line="240" w:lineRule="auto"/>
              <w:rPr>
                <w:rFonts w:eastAsiaTheme="minorEastAsia" w:hAnsi="Times New Roman"/>
              </w:rPr>
            </w:pPr>
          </w:p>
        </w:tc>
        <w:tc>
          <w:tcPr>
            <w:tcW w:w="249" w:type="pct"/>
            <w:vMerge/>
            <w:vAlign w:val="center"/>
          </w:tcPr>
          <w:p w14:paraId="568C5BE8" w14:textId="77777777" w:rsidR="00B14D53" w:rsidRDefault="00B14D53">
            <w:pPr>
              <w:pStyle w:val="afff2"/>
              <w:spacing w:line="240" w:lineRule="auto"/>
              <w:rPr>
                <w:rFonts w:eastAsiaTheme="minorEastAsia" w:hAnsi="Times New Roman"/>
              </w:rPr>
            </w:pPr>
          </w:p>
        </w:tc>
        <w:tc>
          <w:tcPr>
            <w:tcW w:w="824" w:type="pct"/>
            <w:vAlign w:val="center"/>
          </w:tcPr>
          <w:p w14:paraId="61AEC851" w14:textId="77777777" w:rsidR="00B14D53" w:rsidRDefault="00000000">
            <w:pPr>
              <w:pStyle w:val="afff2"/>
              <w:spacing w:line="240" w:lineRule="auto"/>
              <w:rPr>
                <w:rFonts w:eastAsiaTheme="minorEastAsia" w:hint="eastAsia"/>
              </w:rPr>
            </w:pPr>
            <w:r>
              <w:rPr>
                <w:rFonts w:hAnsi="Times New Roman"/>
              </w:rPr>
              <w:t>污水处理站</w:t>
            </w:r>
            <w:r>
              <w:rPr>
                <w:rFonts w:hAnsi="Times New Roman" w:hint="eastAsia"/>
              </w:rPr>
              <w:t>污泥及栅渣</w:t>
            </w:r>
          </w:p>
        </w:tc>
        <w:tc>
          <w:tcPr>
            <w:tcW w:w="2945" w:type="pct"/>
            <w:vAlign w:val="center"/>
          </w:tcPr>
          <w:p w14:paraId="0947C0FE" w14:textId="77777777" w:rsidR="00B14D53" w:rsidRDefault="00000000">
            <w:pPr>
              <w:pStyle w:val="afff2"/>
              <w:spacing w:line="240" w:lineRule="auto"/>
              <w:ind w:firstLineChars="200" w:firstLine="420"/>
              <w:jc w:val="left"/>
              <w:rPr>
                <w:rFonts w:eastAsiaTheme="minorEastAsia" w:hint="eastAsia"/>
              </w:rPr>
            </w:pPr>
            <w:r>
              <w:rPr>
                <w:rFonts w:hAnsi="Times New Roman"/>
              </w:rPr>
              <w:t>采用压滤机脱水后，送生活垃圾填埋场处理</w:t>
            </w:r>
          </w:p>
        </w:tc>
        <w:tc>
          <w:tcPr>
            <w:tcW w:w="601" w:type="pct"/>
            <w:vMerge/>
            <w:vAlign w:val="center"/>
          </w:tcPr>
          <w:p w14:paraId="20C38387" w14:textId="77777777" w:rsidR="00B14D53" w:rsidRDefault="00B14D53">
            <w:pPr>
              <w:pStyle w:val="afff2"/>
              <w:spacing w:line="240" w:lineRule="auto"/>
              <w:rPr>
                <w:rFonts w:eastAsiaTheme="minorEastAsia" w:hint="eastAsia"/>
              </w:rPr>
            </w:pPr>
          </w:p>
        </w:tc>
      </w:tr>
    </w:tbl>
    <w:p w14:paraId="290880F4" w14:textId="77777777" w:rsidR="00B14D53" w:rsidRDefault="00B14D53">
      <w:pPr>
        <w:jc w:val="center"/>
        <w:rPr>
          <w:b/>
          <w:bCs/>
        </w:rPr>
      </w:pPr>
    </w:p>
    <w:p w14:paraId="4647DDBE" w14:textId="77777777" w:rsidR="00B14D53" w:rsidRDefault="00000000">
      <w:pPr>
        <w:jc w:val="center"/>
      </w:pPr>
      <w:r>
        <w:rPr>
          <w:rFonts w:hint="eastAsia"/>
          <w:b/>
          <w:bCs/>
        </w:rPr>
        <w:t>续表</w:t>
      </w:r>
      <w:r>
        <w:rPr>
          <w:rFonts w:hint="eastAsia"/>
          <w:b/>
          <w:bCs/>
        </w:rPr>
        <w:t xml:space="preserve">3-1-1 </w:t>
      </w:r>
      <w:r>
        <w:rPr>
          <w:rFonts w:hint="eastAsia"/>
          <w:b/>
          <w:bCs/>
        </w:rPr>
        <w:t>工程组成一览表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23"/>
        <w:gridCol w:w="426"/>
        <w:gridCol w:w="1369"/>
        <w:gridCol w:w="4891"/>
        <w:gridCol w:w="997"/>
      </w:tblGrid>
      <w:tr w:rsidR="00B14D53" w14:paraId="117C4401" w14:textId="77777777">
        <w:trPr>
          <w:trHeight w:val="50"/>
          <w:jc w:val="center"/>
        </w:trPr>
        <w:tc>
          <w:tcPr>
            <w:tcW w:w="377" w:type="pct"/>
            <w:vMerge w:val="restart"/>
            <w:vAlign w:val="center"/>
          </w:tcPr>
          <w:p w14:paraId="4E129857" w14:textId="77777777" w:rsidR="00B14D53" w:rsidRDefault="00000000">
            <w:pPr>
              <w:pStyle w:val="afff2"/>
              <w:spacing w:line="240" w:lineRule="auto"/>
              <w:rPr>
                <w:rFonts w:eastAsiaTheme="minorEastAsia" w:hAnsi="Times New Roman"/>
              </w:rPr>
            </w:pPr>
            <w:r>
              <w:rPr>
                <w:rFonts w:eastAsiaTheme="minorEastAsia" w:hAnsi="Times New Roman" w:hint="eastAsia"/>
              </w:rPr>
              <w:t>环保工程</w:t>
            </w:r>
          </w:p>
        </w:tc>
        <w:tc>
          <w:tcPr>
            <w:tcW w:w="249" w:type="pct"/>
            <w:vMerge w:val="restart"/>
            <w:vAlign w:val="center"/>
          </w:tcPr>
          <w:p w14:paraId="3A6B2509" w14:textId="77777777" w:rsidR="00B14D53" w:rsidRDefault="00000000">
            <w:pPr>
              <w:pStyle w:val="afff2"/>
              <w:spacing w:line="240" w:lineRule="auto"/>
              <w:rPr>
                <w:rFonts w:eastAsiaTheme="minorEastAsia" w:hAnsi="Times New Roman"/>
              </w:rPr>
            </w:pPr>
            <w:r>
              <w:rPr>
                <w:rFonts w:eastAsiaTheme="minorEastAsia" w:hAnsi="Times New Roman" w:hint="eastAsia"/>
              </w:rPr>
              <w:t>固废</w:t>
            </w:r>
          </w:p>
        </w:tc>
        <w:tc>
          <w:tcPr>
            <w:tcW w:w="825" w:type="pct"/>
            <w:vAlign w:val="center"/>
          </w:tcPr>
          <w:p w14:paraId="3B78A588" w14:textId="77777777" w:rsidR="00B14D53" w:rsidRDefault="00000000">
            <w:pPr>
              <w:pStyle w:val="afff2"/>
              <w:spacing w:line="240" w:lineRule="auto"/>
              <w:rPr>
                <w:rFonts w:eastAsiaTheme="minorEastAsia" w:hAnsi="Times New Roman"/>
              </w:rPr>
            </w:pPr>
            <w:r>
              <w:rPr>
                <w:rFonts w:eastAsiaTheme="minorEastAsia" w:hAnsi="Times New Roman"/>
              </w:rPr>
              <w:t>废活性炭</w:t>
            </w:r>
          </w:p>
        </w:tc>
        <w:tc>
          <w:tcPr>
            <w:tcW w:w="2945" w:type="pct"/>
            <w:vAlign w:val="center"/>
          </w:tcPr>
          <w:p w14:paraId="1E733564" w14:textId="77777777" w:rsidR="00B14D53" w:rsidRDefault="00000000">
            <w:pPr>
              <w:pStyle w:val="afff2"/>
              <w:spacing w:line="240" w:lineRule="auto"/>
              <w:ind w:firstLineChars="200" w:firstLine="420"/>
              <w:jc w:val="left"/>
              <w:rPr>
                <w:rFonts w:eastAsiaTheme="minorEastAsia" w:hAnsi="Times New Roman"/>
              </w:rPr>
            </w:pPr>
            <w:r>
              <w:rPr>
                <w:rFonts w:eastAsiaTheme="minorEastAsia" w:hAnsi="Times New Roman"/>
              </w:rPr>
              <w:t>交由厂家再生利用</w:t>
            </w:r>
          </w:p>
        </w:tc>
        <w:tc>
          <w:tcPr>
            <w:tcW w:w="601" w:type="pct"/>
            <w:vMerge w:val="restart"/>
            <w:vAlign w:val="center"/>
          </w:tcPr>
          <w:p w14:paraId="44D3EEC8" w14:textId="77777777" w:rsidR="00B14D53" w:rsidRDefault="00000000">
            <w:pPr>
              <w:pStyle w:val="afff2"/>
              <w:spacing w:line="240" w:lineRule="auto"/>
              <w:rPr>
                <w:rFonts w:eastAsiaTheme="minorEastAsia" w:hAnsi="Times New Roman"/>
              </w:rPr>
            </w:pPr>
            <w:r>
              <w:rPr>
                <w:rFonts w:eastAsiaTheme="minorEastAsia"/>
              </w:rPr>
              <w:t>新建</w:t>
            </w:r>
          </w:p>
        </w:tc>
      </w:tr>
      <w:tr w:rsidR="00B14D53" w14:paraId="60FB4361" w14:textId="77777777">
        <w:trPr>
          <w:trHeight w:val="65"/>
          <w:jc w:val="center"/>
        </w:trPr>
        <w:tc>
          <w:tcPr>
            <w:tcW w:w="377" w:type="pct"/>
            <w:vMerge/>
            <w:vAlign w:val="center"/>
          </w:tcPr>
          <w:p w14:paraId="67498991" w14:textId="77777777" w:rsidR="00B14D53" w:rsidRDefault="00B14D53">
            <w:pPr>
              <w:pStyle w:val="afff2"/>
              <w:spacing w:line="240" w:lineRule="auto"/>
              <w:rPr>
                <w:rFonts w:eastAsiaTheme="minorEastAsia" w:hAnsi="Times New Roman"/>
              </w:rPr>
            </w:pPr>
          </w:p>
        </w:tc>
        <w:tc>
          <w:tcPr>
            <w:tcW w:w="249" w:type="pct"/>
            <w:vMerge/>
            <w:vAlign w:val="center"/>
          </w:tcPr>
          <w:p w14:paraId="0B2F6A27" w14:textId="77777777" w:rsidR="00B14D53" w:rsidRDefault="00B14D53">
            <w:pPr>
              <w:pStyle w:val="afff2"/>
              <w:spacing w:line="240" w:lineRule="auto"/>
              <w:rPr>
                <w:rFonts w:eastAsiaTheme="minorEastAsia" w:hAnsi="Times New Roman"/>
              </w:rPr>
            </w:pPr>
          </w:p>
        </w:tc>
        <w:tc>
          <w:tcPr>
            <w:tcW w:w="825" w:type="pct"/>
            <w:vAlign w:val="center"/>
          </w:tcPr>
          <w:p w14:paraId="350811EA" w14:textId="77777777" w:rsidR="00B14D53" w:rsidRDefault="00000000">
            <w:pPr>
              <w:pStyle w:val="afff2"/>
              <w:spacing w:line="240" w:lineRule="auto"/>
              <w:rPr>
                <w:rFonts w:eastAsiaTheme="minorEastAsia" w:hAnsi="Times New Roman"/>
              </w:rPr>
            </w:pPr>
            <w:r>
              <w:rPr>
                <w:rFonts w:eastAsiaTheme="minorEastAsia" w:hAnsi="Times New Roman" w:hint="eastAsia"/>
              </w:rPr>
              <w:t>检验废物（类别：</w:t>
            </w:r>
            <w:r>
              <w:rPr>
                <w:rFonts w:eastAsiaTheme="minorEastAsia" w:hAnsi="Times New Roman" w:hint="eastAsia"/>
              </w:rPr>
              <w:t>HW01</w:t>
            </w:r>
            <w:r>
              <w:rPr>
                <w:rFonts w:eastAsiaTheme="minorEastAsia" w:hAnsi="Times New Roman" w:hint="eastAsia"/>
              </w:rPr>
              <w:t>，代码：</w:t>
            </w:r>
            <w:r>
              <w:rPr>
                <w:rFonts w:eastAsiaTheme="minorEastAsia" w:hAnsi="Times New Roman" w:hint="eastAsia"/>
              </w:rPr>
              <w:t>841-001-01</w:t>
            </w:r>
            <w:r>
              <w:rPr>
                <w:rFonts w:eastAsiaTheme="minorEastAsia" w:hAnsi="Times New Roman" w:hint="eastAsia"/>
              </w:rPr>
              <w:t>）</w:t>
            </w:r>
          </w:p>
        </w:tc>
        <w:tc>
          <w:tcPr>
            <w:tcW w:w="2945" w:type="pct"/>
            <w:vAlign w:val="center"/>
          </w:tcPr>
          <w:p w14:paraId="11A41D3F" w14:textId="77777777" w:rsidR="00B14D53" w:rsidRDefault="00000000">
            <w:pPr>
              <w:pStyle w:val="afff2"/>
              <w:spacing w:line="240" w:lineRule="auto"/>
              <w:ind w:firstLineChars="200" w:firstLine="420"/>
              <w:jc w:val="left"/>
              <w:rPr>
                <w:rFonts w:eastAsiaTheme="minorEastAsia" w:hAnsi="Times New Roman"/>
              </w:rPr>
            </w:pPr>
            <w:r>
              <w:rPr>
                <w:rFonts w:eastAsiaTheme="minorEastAsia" w:hAnsi="Times New Roman" w:hint="eastAsia"/>
              </w:rPr>
              <w:t>暂存于危废贮存点，定期交由有资质单位处置</w:t>
            </w:r>
          </w:p>
        </w:tc>
        <w:tc>
          <w:tcPr>
            <w:tcW w:w="601" w:type="pct"/>
            <w:vMerge/>
            <w:vAlign w:val="center"/>
          </w:tcPr>
          <w:p w14:paraId="6002A831" w14:textId="77777777" w:rsidR="00B14D53" w:rsidRDefault="00B14D53">
            <w:pPr>
              <w:pStyle w:val="afff2"/>
              <w:spacing w:line="240" w:lineRule="auto"/>
              <w:rPr>
                <w:rFonts w:eastAsiaTheme="minorEastAsia" w:hAnsi="Times New Roman"/>
              </w:rPr>
            </w:pPr>
          </w:p>
        </w:tc>
      </w:tr>
      <w:tr w:rsidR="00B14D53" w14:paraId="65EE7D57" w14:textId="77777777">
        <w:trPr>
          <w:trHeight w:val="65"/>
          <w:jc w:val="center"/>
        </w:trPr>
        <w:tc>
          <w:tcPr>
            <w:tcW w:w="377" w:type="pct"/>
            <w:vMerge/>
            <w:vAlign w:val="center"/>
          </w:tcPr>
          <w:p w14:paraId="2254C971" w14:textId="77777777" w:rsidR="00B14D53" w:rsidRDefault="00B14D53">
            <w:pPr>
              <w:pStyle w:val="afff2"/>
              <w:spacing w:line="240" w:lineRule="auto"/>
              <w:rPr>
                <w:rFonts w:eastAsiaTheme="minorEastAsia" w:hAnsi="Times New Roman"/>
              </w:rPr>
            </w:pPr>
          </w:p>
        </w:tc>
        <w:tc>
          <w:tcPr>
            <w:tcW w:w="249" w:type="pct"/>
            <w:vMerge/>
            <w:vAlign w:val="center"/>
          </w:tcPr>
          <w:p w14:paraId="29C0A86D" w14:textId="77777777" w:rsidR="00B14D53" w:rsidRDefault="00B14D53">
            <w:pPr>
              <w:pStyle w:val="afff2"/>
              <w:spacing w:line="240" w:lineRule="auto"/>
              <w:rPr>
                <w:rFonts w:eastAsiaTheme="minorEastAsia" w:hAnsi="Times New Roman"/>
              </w:rPr>
            </w:pPr>
          </w:p>
        </w:tc>
        <w:tc>
          <w:tcPr>
            <w:tcW w:w="825" w:type="pct"/>
            <w:vAlign w:val="center"/>
          </w:tcPr>
          <w:p w14:paraId="5F0A3629" w14:textId="77777777" w:rsidR="00B14D53" w:rsidRDefault="00000000">
            <w:pPr>
              <w:pStyle w:val="afff2"/>
              <w:spacing w:line="240" w:lineRule="auto"/>
              <w:rPr>
                <w:rFonts w:eastAsiaTheme="minorEastAsia" w:hAnsi="Times New Roman"/>
              </w:rPr>
            </w:pPr>
            <w:r>
              <w:rPr>
                <w:rFonts w:eastAsiaTheme="minorEastAsia" w:hAnsi="Times New Roman" w:hint="eastAsia"/>
              </w:rPr>
              <w:t>废离子交换树脂</w:t>
            </w:r>
          </w:p>
        </w:tc>
        <w:tc>
          <w:tcPr>
            <w:tcW w:w="2945" w:type="pct"/>
            <w:vAlign w:val="center"/>
          </w:tcPr>
          <w:p w14:paraId="25CCB78F" w14:textId="77777777" w:rsidR="00B14D53" w:rsidRDefault="00000000">
            <w:pPr>
              <w:pStyle w:val="afff2"/>
              <w:spacing w:line="240" w:lineRule="auto"/>
              <w:ind w:firstLineChars="200" w:firstLine="420"/>
              <w:jc w:val="left"/>
              <w:rPr>
                <w:rFonts w:eastAsiaTheme="minorEastAsia" w:hAnsi="Times New Roman"/>
              </w:rPr>
            </w:pPr>
            <w:r>
              <w:rPr>
                <w:rFonts w:eastAsiaTheme="minorEastAsia" w:hAnsi="Times New Roman" w:hint="eastAsia"/>
              </w:rPr>
              <w:t>由厂家回收利用</w:t>
            </w:r>
          </w:p>
        </w:tc>
        <w:tc>
          <w:tcPr>
            <w:tcW w:w="601" w:type="pct"/>
            <w:vMerge/>
            <w:vAlign w:val="center"/>
          </w:tcPr>
          <w:p w14:paraId="39AABBAC" w14:textId="77777777" w:rsidR="00B14D53" w:rsidRDefault="00B14D53">
            <w:pPr>
              <w:pStyle w:val="afff2"/>
              <w:spacing w:line="240" w:lineRule="auto"/>
              <w:rPr>
                <w:rFonts w:eastAsiaTheme="minorEastAsia" w:hint="eastAsia"/>
              </w:rPr>
            </w:pPr>
          </w:p>
        </w:tc>
      </w:tr>
      <w:tr w:rsidR="00B14D53" w14:paraId="2B3D526F" w14:textId="77777777">
        <w:trPr>
          <w:trHeight w:val="65"/>
          <w:jc w:val="center"/>
        </w:trPr>
        <w:tc>
          <w:tcPr>
            <w:tcW w:w="377" w:type="pct"/>
            <w:vMerge/>
            <w:vAlign w:val="center"/>
          </w:tcPr>
          <w:p w14:paraId="094B53DE" w14:textId="77777777" w:rsidR="00B14D53" w:rsidRDefault="00B14D53">
            <w:pPr>
              <w:pStyle w:val="afff2"/>
              <w:spacing w:line="240" w:lineRule="auto"/>
              <w:rPr>
                <w:rFonts w:eastAsiaTheme="minorEastAsia" w:hAnsi="Times New Roman"/>
              </w:rPr>
            </w:pPr>
          </w:p>
        </w:tc>
        <w:tc>
          <w:tcPr>
            <w:tcW w:w="249" w:type="pct"/>
            <w:vMerge/>
            <w:vAlign w:val="center"/>
          </w:tcPr>
          <w:p w14:paraId="29DD1649" w14:textId="77777777" w:rsidR="00B14D53" w:rsidRDefault="00B14D53">
            <w:pPr>
              <w:pStyle w:val="afff2"/>
              <w:spacing w:line="240" w:lineRule="auto"/>
              <w:rPr>
                <w:rFonts w:eastAsiaTheme="minorEastAsia" w:hAnsi="Times New Roman"/>
              </w:rPr>
            </w:pPr>
          </w:p>
        </w:tc>
        <w:tc>
          <w:tcPr>
            <w:tcW w:w="825" w:type="pct"/>
            <w:vAlign w:val="center"/>
          </w:tcPr>
          <w:p w14:paraId="21ACAF8F" w14:textId="77777777" w:rsidR="00B14D53" w:rsidRDefault="00000000">
            <w:pPr>
              <w:pStyle w:val="afff2"/>
              <w:spacing w:line="240" w:lineRule="auto"/>
              <w:rPr>
                <w:rFonts w:eastAsiaTheme="minorEastAsia" w:hAnsi="Times New Roman"/>
              </w:rPr>
            </w:pPr>
            <w:r>
              <w:rPr>
                <w:rFonts w:eastAsiaTheme="minorEastAsia" w:hAnsi="Times New Roman" w:hint="eastAsia"/>
              </w:rPr>
              <w:t>废外包装</w:t>
            </w:r>
          </w:p>
        </w:tc>
        <w:tc>
          <w:tcPr>
            <w:tcW w:w="2945" w:type="pct"/>
            <w:vAlign w:val="center"/>
          </w:tcPr>
          <w:p w14:paraId="78D7CDE6" w14:textId="77777777" w:rsidR="00B14D53" w:rsidRDefault="00000000">
            <w:pPr>
              <w:pStyle w:val="afff2"/>
              <w:spacing w:line="240" w:lineRule="auto"/>
              <w:ind w:firstLineChars="200" w:firstLine="420"/>
              <w:jc w:val="left"/>
              <w:rPr>
                <w:rFonts w:eastAsiaTheme="minorEastAsia" w:hAnsi="Times New Roman"/>
              </w:rPr>
            </w:pPr>
            <w:r>
              <w:rPr>
                <w:rFonts w:eastAsiaTheme="minorEastAsia" w:hAnsi="Times New Roman" w:hint="eastAsia"/>
              </w:rPr>
              <w:t>暂存于固废暂存间，外售物资回收单位</w:t>
            </w:r>
          </w:p>
        </w:tc>
        <w:tc>
          <w:tcPr>
            <w:tcW w:w="601" w:type="pct"/>
            <w:vMerge/>
            <w:vAlign w:val="center"/>
          </w:tcPr>
          <w:p w14:paraId="0A02DF4D" w14:textId="77777777" w:rsidR="00B14D53" w:rsidRDefault="00B14D53">
            <w:pPr>
              <w:pStyle w:val="afff2"/>
              <w:spacing w:line="240" w:lineRule="auto"/>
              <w:rPr>
                <w:rFonts w:eastAsiaTheme="minorEastAsia" w:hint="eastAsia"/>
              </w:rPr>
            </w:pPr>
          </w:p>
        </w:tc>
      </w:tr>
      <w:tr w:rsidR="00B14D53" w14:paraId="2C5EE88C" w14:textId="77777777">
        <w:trPr>
          <w:trHeight w:val="65"/>
          <w:jc w:val="center"/>
        </w:trPr>
        <w:tc>
          <w:tcPr>
            <w:tcW w:w="377" w:type="pct"/>
            <w:vMerge/>
            <w:vAlign w:val="center"/>
          </w:tcPr>
          <w:p w14:paraId="6A902E69" w14:textId="77777777" w:rsidR="00B14D53" w:rsidRDefault="00B14D53">
            <w:pPr>
              <w:pStyle w:val="afff2"/>
              <w:spacing w:line="240" w:lineRule="auto"/>
              <w:rPr>
                <w:rFonts w:eastAsiaTheme="minorEastAsia" w:hAnsi="Times New Roman"/>
              </w:rPr>
            </w:pPr>
          </w:p>
        </w:tc>
        <w:tc>
          <w:tcPr>
            <w:tcW w:w="249" w:type="pct"/>
            <w:vMerge/>
            <w:vAlign w:val="center"/>
          </w:tcPr>
          <w:p w14:paraId="385153ED" w14:textId="77777777" w:rsidR="00B14D53" w:rsidRDefault="00B14D53">
            <w:pPr>
              <w:pStyle w:val="afff2"/>
              <w:spacing w:line="240" w:lineRule="auto"/>
              <w:rPr>
                <w:rFonts w:eastAsiaTheme="minorEastAsia" w:hAnsi="Times New Roman"/>
              </w:rPr>
            </w:pPr>
          </w:p>
        </w:tc>
        <w:tc>
          <w:tcPr>
            <w:tcW w:w="825" w:type="pct"/>
            <w:vAlign w:val="center"/>
          </w:tcPr>
          <w:p w14:paraId="230D8683" w14:textId="77777777" w:rsidR="00B14D53" w:rsidRDefault="00000000">
            <w:pPr>
              <w:pStyle w:val="afff2"/>
              <w:spacing w:line="240" w:lineRule="auto"/>
              <w:rPr>
                <w:rFonts w:eastAsiaTheme="minorEastAsia" w:hAnsi="Times New Roman"/>
              </w:rPr>
            </w:pPr>
            <w:r>
              <w:rPr>
                <w:rFonts w:eastAsiaTheme="minorEastAsia" w:hAnsi="Times New Roman" w:hint="eastAsia"/>
              </w:rPr>
              <w:t>生活垃圾</w:t>
            </w:r>
          </w:p>
        </w:tc>
        <w:tc>
          <w:tcPr>
            <w:tcW w:w="2945" w:type="pct"/>
            <w:vAlign w:val="center"/>
          </w:tcPr>
          <w:p w14:paraId="58EE1A24" w14:textId="77777777" w:rsidR="00B14D53" w:rsidRDefault="00000000">
            <w:pPr>
              <w:pStyle w:val="afff2"/>
              <w:spacing w:line="240" w:lineRule="auto"/>
              <w:ind w:firstLineChars="200" w:firstLine="420"/>
              <w:jc w:val="left"/>
              <w:rPr>
                <w:rFonts w:eastAsiaTheme="minorEastAsia" w:hAnsi="Times New Roman"/>
              </w:rPr>
            </w:pPr>
            <w:r>
              <w:rPr>
                <w:rFonts w:eastAsiaTheme="minorEastAsia" w:hAnsi="Times New Roman" w:hint="eastAsia"/>
              </w:rPr>
              <w:t>由市政部门统一处理</w:t>
            </w:r>
          </w:p>
        </w:tc>
        <w:tc>
          <w:tcPr>
            <w:tcW w:w="601" w:type="pct"/>
            <w:vMerge/>
            <w:vAlign w:val="center"/>
          </w:tcPr>
          <w:p w14:paraId="416DCD04" w14:textId="77777777" w:rsidR="00B14D53" w:rsidRDefault="00B14D53">
            <w:pPr>
              <w:pStyle w:val="afff2"/>
              <w:spacing w:line="240" w:lineRule="auto"/>
              <w:rPr>
                <w:rFonts w:eastAsiaTheme="minorEastAsia" w:hint="eastAsia"/>
              </w:rPr>
            </w:pPr>
          </w:p>
        </w:tc>
      </w:tr>
      <w:tr w:rsidR="00B14D53" w14:paraId="7A8E3792" w14:textId="77777777">
        <w:trPr>
          <w:trHeight w:val="65"/>
          <w:jc w:val="center"/>
        </w:trPr>
        <w:tc>
          <w:tcPr>
            <w:tcW w:w="377" w:type="pct"/>
            <w:vMerge/>
            <w:vAlign w:val="center"/>
          </w:tcPr>
          <w:p w14:paraId="500C1162" w14:textId="77777777" w:rsidR="00B14D53" w:rsidRDefault="00B14D53">
            <w:pPr>
              <w:pStyle w:val="afff2"/>
              <w:spacing w:line="240" w:lineRule="auto"/>
              <w:rPr>
                <w:rFonts w:eastAsiaTheme="minorEastAsia" w:hAnsi="Times New Roman"/>
              </w:rPr>
            </w:pPr>
          </w:p>
        </w:tc>
        <w:tc>
          <w:tcPr>
            <w:tcW w:w="249" w:type="pct"/>
            <w:vMerge/>
            <w:vAlign w:val="center"/>
          </w:tcPr>
          <w:p w14:paraId="7A03C439" w14:textId="77777777" w:rsidR="00B14D53" w:rsidRDefault="00B14D53">
            <w:pPr>
              <w:pStyle w:val="afff2"/>
              <w:spacing w:line="240" w:lineRule="auto"/>
              <w:rPr>
                <w:rFonts w:eastAsiaTheme="minorEastAsia" w:hAnsi="Times New Roman"/>
              </w:rPr>
            </w:pPr>
          </w:p>
        </w:tc>
        <w:tc>
          <w:tcPr>
            <w:tcW w:w="825" w:type="pct"/>
            <w:vAlign w:val="center"/>
          </w:tcPr>
          <w:p w14:paraId="7D8BC6EC" w14:textId="77777777" w:rsidR="00B14D53" w:rsidRDefault="00000000">
            <w:pPr>
              <w:pStyle w:val="afff2"/>
              <w:spacing w:line="240" w:lineRule="auto"/>
              <w:rPr>
                <w:rFonts w:eastAsiaTheme="minorEastAsia" w:hAnsi="Times New Roman"/>
              </w:rPr>
            </w:pPr>
            <w:r>
              <w:rPr>
                <w:rFonts w:eastAsiaTheme="minorEastAsia" w:hAnsi="Times New Roman" w:hint="eastAsia"/>
              </w:rPr>
              <w:t>病死猪</w:t>
            </w:r>
          </w:p>
        </w:tc>
        <w:tc>
          <w:tcPr>
            <w:tcW w:w="2945" w:type="pct"/>
            <w:vAlign w:val="center"/>
          </w:tcPr>
          <w:p w14:paraId="765B54A0" w14:textId="77777777" w:rsidR="00B14D53" w:rsidRDefault="00000000">
            <w:pPr>
              <w:pStyle w:val="afff2"/>
              <w:spacing w:line="240" w:lineRule="auto"/>
              <w:ind w:firstLineChars="200" w:firstLine="420"/>
              <w:jc w:val="left"/>
              <w:rPr>
                <w:rFonts w:eastAsiaTheme="minorEastAsia" w:hAnsi="Times New Roman"/>
              </w:rPr>
            </w:pPr>
            <w:r>
              <w:rPr>
                <w:rFonts w:eastAsiaTheme="minorEastAsia" w:hAnsi="Times New Roman" w:hint="eastAsia"/>
              </w:rPr>
              <w:t>交由哈尔滨银山无害化处理有限公司处置</w:t>
            </w:r>
          </w:p>
        </w:tc>
        <w:tc>
          <w:tcPr>
            <w:tcW w:w="601" w:type="pct"/>
            <w:vMerge/>
            <w:vAlign w:val="center"/>
          </w:tcPr>
          <w:p w14:paraId="28CA78EF" w14:textId="77777777" w:rsidR="00B14D53" w:rsidRDefault="00B14D53">
            <w:pPr>
              <w:pStyle w:val="afff2"/>
              <w:spacing w:line="240" w:lineRule="auto"/>
              <w:rPr>
                <w:rFonts w:eastAsiaTheme="minorEastAsia" w:hint="eastAsia"/>
              </w:rPr>
            </w:pPr>
          </w:p>
        </w:tc>
      </w:tr>
      <w:tr w:rsidR="00B14D53" w14:paraId="7D4B5F0E" w14:textId="77777777">
        <w:trPr>
          <w:trHeight w:val="131"/>
          <w:jc w:val="center"/>
        </w:trPr>
        <w:tc>
          <w:tcPr>
            <w:tcW w:w="377" w:type="pct"/>
            <w:vMerge/>
            <w:vAlign w:val="center"/>
          </w:tcPr>
          <w:p w14:paraId="3CF6D892" w14:textId="77777777" w:rsidR="00B14D53" w:rsidRDefault="00B14D53">
            <w:pPr>
              <w:pStyle w:val="afff2"/>
              <w:spacing w:line="240" w:lineRule="auto"/>
              <w:rPr>
                <w:rFonts w:eastAsiaTheme="minorEastAsia" w:hAnsi="Times New Roman"/>
              </w:rPr>
            </w:pPr>
          </w:p>
        </w:tc>
        <w:tc>
          <w:tcPr>
            <w:tcW w:w="249" w:type="pct"/>
            <w:vAlign w:val="center"/>
          </w:tcPr>
          <w:p w14:paraId="64DF2EAE" w14:textId="77777777" w:rsidR="00B14D53" w:rsidRDefault="00000000">
            <w:pPr>
              <w:pStyle w:val="afff2"/>
              <w:spacing w:line="240" w:lineRule="auto"/>
              <w:rPr>
                <w:rFonts w:eastAsiaTheme="minorEastAsia" w:hAnsi="Times New Roman"/>
              </w:rPr>
            </w:pPr>
            <w:r>
              <w:rPr>
                <w:rFonts w:eastAsiaTheme="minorEastAsia"/>
              </w:rPr>
              <w:t>地下水防渗</w:t>
            </w:r>
          </w:p>
        </w:tc>
        <w:tc>
          <w:tcPr>
            <w:tcW w:w="825" w:type="pct"/>
            <w:vAlign w:val="center"/>
          </w:tcPr>
          <w:p w14:paraId="610EBAA7" w14:textId="77777777" w:rsidR="00B14D53" w:rsidRDefault="00000000">
            <w:pPr>
              <w:pStyle w:val="afff2"/>
              <w:spacing w:line="240" w:lineRule="auto"/>
              <w:rPr>
                <w:rFonts w:eastAsiaTheme="minorEastAsia" w:hAnsi="Times New Roman"/>
                <w:highlight w:val="cyan"/>
              </w:rPr>
            </w:pPr>
            <w:r>
              <w:rPr>
                <w:rFonts w:eastAsiaTheme="minorEastAsia"/>
              </w:rPr>
              <w:t>防渗工程</w:t>
            </w:r>
          </w:p>
        </w:tc>
        <w:tc>
          <w:tcPr>
            <w:tcW w:w="2945" w:type="pct"/>
            <w:vAlign w:val="center"/>
          </w:tcPr>
          <w:p w14:paraId="0D1B72A9" w14:textId="77777777" w:rsidR="00B14D53" w:rsidRDefault="00000000">
            <w:pPr>
              <w:ind w:firstLineChars="200" w:firstLine="420"/>
              <w:jc w:val="left"/>
              <w:rPr>
                <w:bCs/>
                <w:szCs w:val="21"/>
              </w:rPr>
            </w:pPr>
            <w:r>
              <w:rPr>
                <w:rFonts w:hint="eastAsia"/>
                <w:bCs/>
                <w:szCs w:val="21"/>
              </w:rPr>
              <w:t>①重点防渗区：医疗废物采用防漏胶袋盛装后置于医疗废物垃圾桶内，按照《危险废物贮存污染控制标准》（</w:t>
            </w:r>
            <w:r>
              <w:rPr>
                <w:rFonts w:hint="eastAsia"/>
                <w:bCs/>
                <w:szCs w:val="21"/>
              </w:rPr>
              <w:t>GB18597-2023</w:t>
            </w:r>
            <w:r>
              <w:rPr>
                <w:rFonts w:hint="eastAsia"/>
                <w:bCs/>
                <w:szCs w:val="21"/>
              </w:rPr>
              <w:t>）要求，贮存设施地面与裙脚应采取表面防渗措施；表面防渗材料应与所接触的物料或污染物相容，可采用抗渗混凝土、高密度聚乙烯膜、钠基膨润土防水毯或其他防渗性能等效的材料。</w:t>
            </w:r>
          </w:p>
          <w:p w14:paraId="710A76A3" w14:textId="77777777" w:rsidR="00B14D53" w:rsidRDefault="00000000">
            <w:pPr>
              <w:ind w:firstLineChars="200" w:firstLine="420"/>
              <w:jc w:val="left"/>
              <w:rPr>
                <w:bCs/>
                <w:szCs w:val="21"/>
                <w:lang w:val="en-GB"/>
              </w:rPr>
            </w:pPr>
            <w:r>
              <w:rPr>
                <w:rFonts w:hint="eastAsia"/>
                <w:bCs/>
                <w:szCs w:val="21"/>
              </w:rPr>
              <w:t>②</w:t>
            </w:r>
            <w:r>
              <w:rPr>
                <w:bCs/>
                <w:szCs w:val="21"/>
              </w:rPr>
              <w:t>一般防渗区：</w:t>
            </w:r>
            <w:r>
              <w:rPr>
                <w:rFonts w:hint="eastAsia"/>
                <w:bCs/>
                <w:szCs w:val="21"/>
              </w:rPr>
              <w:t>厂内生产生活区现有地面均采用混凝土进行硬化，其中</w:t>
            </w:r>
            <w:r>
              <w:rPr>
                <w:bCs/>
                <w:szCs w:val="21"/>
              </w:rPr>
              <w:t>待宰</w:t>
            </w:r>
            <w:r>
              <w:rPr>
                <w:rFonts w:hint="eastAsia"/>
                <w:bCs/>
                <w:szCs w:val="21"/>
              </w:rPr>
              <w:t>圈</w:t>
            </w:r>
            <w:r>
              <w:rPr>
                <w:bCs/>
                <w:szCs w:val="21"/>
              </w:rPr>
              <w:t>、</w:t>
            </w:r>
            <w:r>
              <w:rPr>
                <w:rFonts w:eastAsiaTheme="minorEastAsia" w:hint="eastAsia"/>
                <w:szCs w:val="21"/>
              </w:rPr>
              <w:t>宰前喷淋间、</w:t>
            </w:r>
            <w:r>
              <w:rPr>
                <w:rFonts w:hint="eastAsia"/>
                <w:bCs/>
                <w:szCs w:val="21"/>
              </w:rPr>
              <w:t>屠宰车间</w:t>
            </w:r>
            <w:r>
              <w:rPr>
                <w:bCs/>
                <w:szCs w:val="21"/>
                <w:lang w:val="en-GB"/>
              </w:rPr>
              <w:t>地面</w:t>
            </w:r>
            <w:r>
              <w:rPr>
                <w:rFonts w:hint="eastAsia"/>
                <w:bCs/>
                <w:szCs w:val="21"/>
              </w:rPr>
              <w:t>均采用抗渗混凝土，污水处理站各池体、事故池池体均采用抗渗混凝土，</w:t>
            </w:r>
            <w:r>
              <w:rPr>
                <w:bCs/>
                <w:szCs w:val="21"/>
                <w:lang w:val="en-GB"/>
              </w:rPr>
              <w:t>满足等效黏土防渗层</w:t>
            </w:r>
            <w:r>
              <w:rPr>
                <w:bCs/>
                <w:szCs w:val="21"/>
                <w:lang w:val="en-GB"/>
              </w:rPr>
              <w:t>Mb≥1.5m</w:t>
            </w:r>
            <w:r>
              <w:rPr>
                <w:bCs/>
                <w:szCs w:val="21"/>
                <w:lang w:val="en-GB"/>
              </w:rPr>
              <w:t>，</w:t>
            </w:r>
            <w:r>
              <w:rPr>
                <w:bCs/>
                <w:szCs w:val="21"/>
                <w:lang w:val="en-GB"/>
              </w:rPr>
              <w:t>K≤1×10</w:t>
            </w:r>
            <w:r>
              <w:rPr>
                <w:bCs/>
                <w:szCs w:val="21"/>
                <w:vertAlign w:val="superscript"/>
                <w:lang w:val="en-GB"/>
              </w:rPr>
              <w:t>-7</w:t>
            </w:r>
            <w:r>
              <w:rPr>
                <w:bCs/>
                <w:szCs w:val="21"/>
                <w:lang w:val="en-GB"/>
              </w:rPr>
              <w:t>cm/s</w:t>
            </w:r>
            <w:r>
              <w:rPr>
                <w:bCs/>
                <w:szCs w:val="21"/>
                <w:lang w:val="en-GB"/>
              </w:rPr>
              <w:t>的要求</w:t>
            </w:r>
            <w:r>
              <w:rPr>
                <w:rFonts w:hint="eastAsia"/>
                <w:bCs/>
                <w:szCs w:val="21"/>
                <w:lang w:val="en-GB"/>
              </w:rPr>
              <w:t>。</w:t>
            </w:r>
          </w:p>
          <w:p w14:paraId="397642BA" w14:textId="77777777" w:rsidR="00B14D53" w:rsidRDefault="00000000">
            <w:pPr>
              <w:pStyle w:val="afff2"/>
              <w:spacing w:line="240" w:lineRule="auto"/>
              <w:ind w:firstLineChars="200" w:firstLine="420"/>
              <w:jc w:val="left"/>
              <w:rPr>
                <w:rFonts w:eastAsiaTheme="minorEastAsia" w:hint="eastAsia"/>
                <w:highlight w:val="cyan"/>
                <w:lang w:val="en-GB"/>
              </w:rPr>
            </w:pPr>
            <w:r>
              <w:rPr>
                <w:rFonts w:hAnsi="Times New Roman" w:hint="eastAsia"/>
                <w:bCs/>
              </w:rPr>
              <w:fldChar w:fldCharType="begin"/>
            </w:r>
            <w:r>
              <w:rPr>
                <w:rFonts w:hAnsi="Times New Roman" w:hint="eastAsia"/>
                <w:bCs/>
              </w:rPr>
              <w:instrText xml:space="preserve"> = 3 \* GB3 \* MERGEFORMAT </w:instrText>
            </w:r>
            <w:r>
              <w:rPr>
                <w:rFonts w:hAnsi="Times New Roman" w:hint="eastAsia"/>
                <w:bCs/>
              </w:rPr>
              <w:fldChar w:fldCharType="separate"/>
            </w:r>
            <w:r>
              <w:rPr>
                <w:rFonts w:hAnsi="Times New Roman" w:hint="eastAsia"/>
                <w:bCs/>
              </w:rPr>
              <w:t>③</w:t>
            </w:r>
            <w:r>
              <w:rPr>
                <w:rFonts w:hAnsi="Times New Roman" w:hint="eastAsia"/>
                <w:bCs/>
              </w:rPr>
              <w:fldChar w:fldCharType="end"/>
            </w:r>
            <w:r>
              <w:rPr>
                <w:rFonts w:hAnsi="Times New Roman" w:hint="eastAsia"/>
                <w:bCs/>
              </w:rPr>
              <w:t>简单防渗区：</w:t>
            </w:r>
            <w:r>
              <w:rPr>
                <w:rFonts w:hint="eastAsia"/>
                <w:bCs/>
              </w:rPr>
              <w:t>休息室</w:t>
            </w:r>
            <w:r>
              <w:rPr>
                <w:rFonts w:hAnsi="Times New Roman" w:hint="eastAsia"/>
                <w:bCs/>
              </w:rPr>
              <w:t>、</w:t>
            </w:r>
            <w:r>
              <w:rPr>
                <w:rFonts w:hint="eastAsia"/>
                <w:bCs/>
              </w:rPr>
              <w:t>冷库、厂区道路</w:t>
            </w:r>
            <w:r>
              <w:rPr>
                <w:rFonts w:hAnsi="Times New Roman" w:hint="eastAsia"/>
                <w:bCs/>
              </w:rPr>
              <w:t>等对其地面采用混凝土进行一般地面硬化</w:t>
            </w:r>
          </w:p>
          <w:p w14:paraId="08EAA8A0" w14:textId="77777777" w:rsidR="00B14D53" w:rsidRDefault="00000000">
            <w:pPr>
              <w:pStyle w:val="afff2"/>
              <w:spacing w:line="240" w:lineRule="auto"/>
              <w:ind w:firstLineChars="200" w:firstLine="420"/>
              <w:jc w:val="left"/>
              <w:rPr>
                <w:rFonts w:eastAsiaTheme="minorEastAsia" w:hAnsi="Times New Roman"/>
                <w:highlight w:val="cyan"/>
              </w:rPr>
            </w:pPr>
            <w:r>
              <w:rPr>
                <w:rFonts w:eastAsiaTheme="minorEastAsia"/>
                <w:lang w:val="en-GB"/>
              </w:rPr>
              <w:fldChar w:fldCharType="begin"/>
            </w:r>
            <w:r>
              <w:rPr>
                <w:rFonts w:eastAsiaTheme="minorEastAsia"/>
                <w:lang w:val="en-GB"/>
              </w:rPr>
              <w:instrText xml:space="preserve"> = 4 \* GB3 \* MERGEFORMAT </w:instrText>
            </w:r>
            <w:r>
              <w:rPr>
                <w:rFonts w:eastAsiaTheme="minorEastAsia"/>
                <w:lang w:val="en-GB"/>
              </w:rPr>
              <w:fldChar w:fldCharType="separate"/>
            </w:r>
            <w:r>
              <w:t>④</w:t>
            </w:r>
            <w:r>
              <w:rPr>
                <w:rFonts w:eastAsiaTheme="minorEastAsia"/>
                <w:lang w:val="en-GB"/>
              </w:rPr>
              <w:fldChar w:fldCharType="end"/>
            </w:r>
            <w:r>
              <w:rPr>
                <w:rFonts w:eastAsiaTheme="minorEastAsia"/>
                <w:lang w:val="en-GB"/>
              </w:rPr>
              <w:t>在</w:t>
            </w:r>
            <w:r>
              <w:rPr>
                <w:rFonts w:eastAsiaTheme="minorEastAsia" w:hint="eastAsia"/>
              </w:rPr>
              <w:t>厂</w:t>
            </w:r>
            <w:r>
              <w:rPr>
                <w:rFonts w:eastAsiaTheme="minorEastAsia"/>
                <w:lang w:val="en-GB"/>
              </w:rPr>
              <w:t>区</w:t>
            </w:r>
            <w:r>
              <w:rPr>
                <w:rFonts w:eastAsiaTheme="minorEastAsia" w:hint="eastAsia"/>
              </w:rPr>
              <w:t>设置</w:t>
            </w:r>
            <w:r>
              <w:rPr>
                <w:rFonts w:eastAsiaTheme="minorEastAsia" w:hint="eastAsia"/>
              </w:rPr>
              <w:t>1</w:t>
            </w:r>
            <w:r>
              <w:rPr>
                <w:rFonts w:eastAsiaTheme="minorEastAsia"/>
                <w:lang w:val="en-GB"/>
              </w:rPr>
              <w:t>个跟踪监测井，井深约为</w:t>
            </w:r>
            <w:r>
              <w:rPr>
                <w:rFonts w:eastAsiaTheme="minorEastAsia" w:hAnsi="Times New Roman" w:hint="eastAsia"/>
              </w:rPr>
              <w:t>42m</w:t>
            </w:r>
            <w:r>
              <w:rPr>
                <w:rFonts w:eastAsiaTheme="minorEastAsia"/>
                <w:lang w:val="en-GB"/>
              </w:rPr>
              <w:t>，用于地下水的跟踪监测</w:t>
            </w:r>
          </w:p>
        </w:tc>
        <w:tc>
          <w:tcPr>
            <w:tcW w:w="601" w:type="pct"/>
            <w:vMerge/>
            <w:vAlign w:val="center"/>
          </w:tcPr>
          <w:p w14:paraId="2D53A771" w14:textId="77777777" w:rsidR="00B14D53" w:rsidRDefault="00B14D53">
            <w:pPr>
              <w:pStyle w:val="afff2"/>
              <w:spacing w:line="240" w:lineRule="auto"/>
              <w:rPr>
                <w:rFonts w:eastAsiaTheme="minorEastAsia" w:hAnsi="Times New Roman"/>
              </w:rPr>
            </w:pPr>
          </w:p>
        </w:tc>
      </w:tr>
      <w:tr w:rsidR="00B14D53" w14:paraId="6264C742" w14:textId="77777777">
        <w:trPr>
          <w:trHeight w:val="131"/>
          <w:jc w:val="center"/>
        </w:trPr>
        <w:tc>
          <w:tcPr>
            <w:tcW w:w="377" w:type="pct"/>
            <w:vMerge w:val="restart"/>
            <w:vAlign w:val="center"/>
          </w:tcPr>
          <w:p w14:paraId="4F8AA774" w14:textId="77777777" w:rsidR="00B14D53" w:rsidRDefault="00000000">
            <w:pPr>
              <w:pStyle w:val="afff2"/>
              <w:spacing w:line="240" w:lineRule="auto"/>
              <w:rPr>
                <w:rFonts w:eastAsiaTheme="minorEastAsia" w:hAnsi="Times New Roman"/>
              </w:rPr>
            </w:pPr>
            <w:r>
              <w:rPr>
                <w:rFonts w:eastAsiaTheme="minorEastAsia" w:hint="eastAsia"/>
              </w:rPr>
              <w:t>依托工程</w:t>
            </w:r>
          </w:p>
        </w:tc>
        <w:tc>
          <w:tcPr>
            <w:tcW w:w="1075" w:type="pct"/>
            <w:gridSpan w:val="2"/>
            <w:vAlign w:val="center"/>
          </w:tcPr>
          <w:p w14:paraId="1546E14A" w14:textId="77777777" w:rsidR="00B14D53" w:rsidRDefault="00000000">
            <w:pPr>
              <w:pStyle w:val="afff2"/>
              <w:spacing w:line="240" w:lineRule="auto"/>
              <w:rPr>
                <w:rFonts w:eastAsiaTheme="minorEastAsia" w:hint="eastAsia"/>
              </w:rPr>
            </w:pPr>
            <w:r>
              <w:rPr>
                <w:rFonts w:eastAsiaTheme="minorEastAsia" w:hint="eastAsia"/>
              </w:rPr>
              <w:t>黑龙江省山河屯林业局有限公司供热站</w:t>
            </w:r>
          </w:p>
        </w:tc>
        <w:tc>
          <w:tcPr>
            <w:tcW w:w="3547" w:type="pct"/>
            <w:gridSpan w:val="2"/>
            <w:vAlign w:val="center"/>
          </w:tcPr>
          <w:p w14:paraId="5B3D86AF" w14:textId="77777777" w:rsidR="00B14D53" w:rsidRDefault="00000000">
            <w:pPr>
              <w:pStyle w:val="afff2"/>
              <w:spacing w:line="240" w:lineRule="auto"/>
              <w:ind w:firstLineChars="200" w:firstLine="420"/>
              <w:jc w:val="left"/>
              <w:rPr>
                <w:rFonts w:eastAsiaTheme="minorEastAsia" w:hint="eastAsia"/>
              </w:rPr>
            </w:pPr>
            <w:r>
              <w:rPr>
                <w:rFonts w:eastAsiaTheme="minorEastAsia"/>
              </w:rPr>
              <w:t>现有</w:t>
            </w:r>
            <w:r>
              <w:rPr>
                <w:rFonts w:eastAsiaTheme="minorEastAsia"/>
              </w:rPr>
              <w:t>1</w:t>
            </w:r>
            <w:r>
              <w:rPr>
                <w:rFonts w:eastAsiaTheme="minorEastAsia"/>
              </w:rPr>
              <w:t>台</w:t>
            </w:r>
            <w:r>
              <w:rPr>
                <w:rFonts w:eastAsiaTheme="minorEastAsia"/>
              </w:rPr>
              <w:t>58MW</w:t>
            </w:r>
            <w:r>
              <w:rPr>
                <w:rFonts w:eastAsiaTheme="minorEastAsia"/>
              </w:rPr>
              <w:t>燃煤热水锅炉及</w:t>
            </w:r>
            <w:r>
              <w:rPr>
                <w:rFonts w:eastAsiaTheme="minorEastAsia"/>
              </w:rPr>
              <w:t>2</w:t>
            </w:r>
            <w:r>
              <w:rPr>
                <w:rFonts w:eastAsiaTheme="minorEastAsia"/>
              </w:rPr>
              <w:t>台</w:t>
            </w:r>
            <w:r>
              <w:rPr>
                <w:rFonts w:eastAsiaTheme="minorEastAsia"/>
              </w:rPr>
              <w:t>29MW</w:t>
            </w:r>
            <w:r>
              <w:rPr>
                <w:rFonts w:eastAsiaTheme="minorEastAsia"/>
              </w:rPr>
              <w:t>燃煤热水锅炉（其中一用一备）</w:t>
            </w:r>
            <w:r>
              <w:rPr>
                <w:rFonts w:eastAsiaTheme="minorEastAsia" w:hint="eastAsia"/>
              </w:rPr>
              <w:t>，本项目厂址位于集中供热区域内</w:t>
            </w:r>
          </w:p>
        </w:tc>
      </w:tr>
      <w:tr w:rsidR="00B14D53" w14:paraId="55A97B2B" w14:textId="77777777">
        <w:trPr>
          <w:trHeight w:val="131"/>
          <w:jc w:val="center"/>
        </w:trPr>
        <w:tc>
          <w:tcPr>
            <w:tcW w:w="377" w:type="pct"/>
            <w:vMerge/>
            <w:vAlign w:val="center"/>
          </w:tcPr>
          <w:p w14:paraId="4F3D0717" w14:textId="77777777" w:rsidR="00B14D53" w:rsidRDefault="00B14D53">
            <w:pPr>
              <w:pStyle w:val="afff2"/>
              <w:spacing w:line="240" w:lineRule="auto"/>
              <w:rPr>
                <w:rFonts w:eastAsiaTheme="minorEastAsia" w:hint="eastAsia"/>
              </w:rPr>
            </w:pPr>
            <w:bookmarkStart w:id="71" w:name="_Hlk479506277"/>
          </w:p>
        </w:tc>
        <w:tc>
          <w:tcPr>
            <w:tcW w:w="1075" w:type="pct"/>
            <w:gridSpan w:val="2"/>
            <w:vAlign w:val="center"/>
          </w:tcPr>
          <w:p w14:paraId="7345EE92" w14:textId="77777777" w:rsidR="00B14D53" w:rsidRDefault="00000000">
            <w:pPr>
              <w:pStyle w:val="afff2"/>
              <w:spacing w:line="240" w:lineRule="auto"/>
              <w:rPr>
                <w:rFonts w:eastAsiaTheme="minorEastAsia" w:hint="eastAsia"/>
              </w:rPr>
            </w:pPr>
            <w:r>
              <w:rPr>
                <w:rFonts w:eastAsiaTheme="minorEastAsia" w:hint="eastAsia"/>
              </w:rPr>
              <w:t>五常市民泉污水处理有限公司（五常市山河屯林业局污水处理厂）</w:t>
            </w:r>
          </w:p>
        </w:tc>
        <w:tc>
          <w:tcPr>
            <w:tcW w:w="3547" w:type="pct"/>
            <w:gridSpan w:val="2"/>
            <w:vAlign w:val="center"/>
          </w:tcPr>
          <w:p w14:paraId="5CDE427C" w14:textId="77777777" w:rsidR="00B14D53" w:rsidRDefault="00000000">
            <w:pPr>
              <w:pStyle w:val="afff2"/>
              <w:spacing w:line="240" w:lineRule="auto"/>
              <w:ind w:firstLineChars="200" w:firstLine="420"/>
              <w:jc w:val="left"/>
              <w:rPr>
                <w:rFonts w:eastAsiaTheme="minorEastAsia" w:hint="eastAsia"/>
              </w:rPr>
            </w:pPr>
            <w:r>
              <w:rPr>
                <w:rFonts w:hAnsi="Times New Roman"/>
                <w:color w:val="000000" w:themeColor="text1"/>
                <w:kern w:val="21"/>
              </w:rPr>
              <w:t>设计处理规模</w:t>
            </w:r>
            <w:r>
              <w:rPr>
                <w:rFonts w:hAnsi="Times New Roman"/>
                <w:color w:val="000000" w:themeColor="text1"/>
                <w:kern w:val="21"/>
              </w:rPr>
              <w:t>1</w:t>
            </w:r>
            <w:r>
              <w:rPr>
                <w:rFonts w:hAnsi="Times New Roman"/>
                <w:color w:val="000000" w:themeColor="text1"/>
                <w:kern w:val="21"/>
              </w:rPr>
              <w:t>万</w:t>
            </w:r>
            <w:r>
              <w:rPr>
                <w:rFonts w:hAnsi="Times New Roman"/>
                <w:color w:val="000000" w:themeColor="text1"/>
                <w:kern w:val="21"/>
              </w:rPr>
              <w:t>m</w:t>
            </w:r>
            <w:r>
              <w:rPr>
                <w:rFonts w:hAnsi="Times New Roman"/>
                <w:color w:val="000000" w:themeColor="text1"/>
                <w:kern w:val="21"/>
                <w:vertAlign w:val="superscript"/>
              </w:rPr>
              <w:t>3</w:t>
            </w:r>
            <w:r>
              <w:rPr>
                <w:rFonts w:hAnsi="Times New Roman"/>
                <w:color w:val="000000" w:themeColor="text1"/>
                <w:kern w:val="21"/>
              </w:rPr>
              <w:t>/d</w:t>
            </w:r>
            <w:r>
              <w:rPr>
                <w:rFonts w:hAnsi="Times New Roman"/>
                <w:color w:val="000000" w:themeColor="text1"/>
                <w:kern w:val="21"/>
              </w:rPr>
              <w:t>，污水处理工艺采用</w:t>
            </w:r>
            <w:r>
              <w:rPr>
                <w:rFonts w:hint="eastAsia"/>
                <w:kern w:val="24"/>
              </w:rPr>
              <w:t>采用</w:t>
            </w:r>
            <w:r>
              <w:rPr>
                <w:rFonts w:hAnsi="Times New Roman" w:hint="eastAsia"/>
                <w:kern w:val="24"/>
              </w:rPr>
              <w:t>“</w:t>
            </w:r>
            <w:r>
              <w:rPr>
                <w:rFonts w:hAnsi="Times New Roman"/>
                <w:kern w:val="24"/>
              </w:rPr>
              <w:t>格栅</w:t>
            </w:r>
            <w:r>
              <w:rPr>
                <w:rFonts w:hAnsi="Times New Roman"/>
                <w:kern w:val="24"/>
              </w:rPr>
              <w:t>+EBIS</w:t>
            </w:r>
            <w:r>
              <w:rPr>
                <w:rFonts w:hAnsi="Times New Roman"/>
                <w:kern w:val="24"/>
              </w:rPr>
              <w:t>生化池</w:t>
            </w:r>
            <w:r>
              <w:rPr>
                <w:rFonts w:hAnsi="Times New Roman"/>
                <w:kern w:val="24"/>
              </w:rPr>
              <w:t>+</w:t>
            </w:r>
            <w:r>
              <w:rPr>
                <w:rFonts w:hAnsi="Times New Roman"/>
                <w:kern w:val="24"/>
              </w:rPr>
              <w:t>沉淀过滤</w:t>
            </w:r>
            <w:r>
              <w:rPr>
                <w:rFonts w:hAnsi="Times New Roman"/>
                <w:kern w:val="24"/>
              </w:rPr>
              <w:t>+</w:t>
            </w:r>
            <w:r>
              <w:rPr>
                <w:rFonts w:hAnsi="Times New Roman"/>
                <w:kern w:val="24"/>
              </w:rPr>
              <w:t>消毒</w:t>
            </w:r>
            <w:r>
              <w:rPr>
                <w:rFonts w:hAnsi="Times New Roman" w:hint="eastAsia"/>
                <w:kern w:val="24"/>
              </w:rPr>
              <w:t>”</w:t>
            </w:r>
            <w:r>
              <w:rPr>
                <w:rFonts w:hAnsi="Times New Roman"/>
                <w:kern w:val="24"/>
              </w:rPr>
              <w:t>工艺</w:t>
            </w:r>
            <w:r>
              <w:rPr>
                <w:rFonts w:hAnsi="Times New Roman"/>
                <w:color w:val="000000" w:themeColor="text1"/>
                <w:kern w:val="21"/>
              </w:rPr>
              <w:t>，</w:t>
            </w:r>
            <w:r>
              <w:t>设计进水指标</w:t>
            </w:r>
            <w:r>
              <w:t>COD</w:t>
            </w:r>
            <w:r>
              <w:t>浓度为</w:t>
            </w:r>
            <w:r>
              <w:t>350mg/L</w:t>
            </w:r>
            <w:r>
              <w:t>，</w:t>
            </w:r>
            <w:r>
              <w:t>BOD</w:t>
            </w:r>
            <w:r>
              <w:rPr>
                <w:vertAlign w:val="subscript"/>
              </w:rPr>
              <w:t>5</w:t>
            </w:r>
            <w:r>
              <w:t>浓度为</w:t>
            </w:r>
            <w:r>
              <w:t>200mg/L</w:t>
            </w:r>
            <w:r>
              <w:t>，</w:t>
            </w:r>
            <w:r>
              <w:rPr>
                <w:rFonts w:hint="eastAsia"/>
              </w:rPr>
              <w:t>氨氮</w:t>
            </w:r>
            <w:r>
              <w:t>浓度为</w:t>
            </w:r>
            <w:r>
              <w:t>25mg/L</w:t>
            </w:r>
            <w:r>
              <w:t>，总氮浓度为</w:t>
            </w:r>
            <w:r>
              <w:t>40mg/L</w:t>
            </w:r>
            <w:r>
              <w:t>，总磷浓度为</w:t>
            </w:r>
            <w:r>
              <w:t>4mg/L</w:t>
            </w:r>
            <w:r>
              <w:t>，</w:t>
            </w:r>
            <w:r>
              <w:t>SS</w:t>
            </w:r>
            <w:r>
              <w:t>浓度为</w:t>
            </w:r>
            <w:r>
              <w:t>300mg/L</w:t>
            </w:r>
            <w:r>
              <w:t>。</w:t>
            </w:r>
            <w:r>
              <w:rPr>
                <w:rFonts w:hAnsi="Times New Roman"/>
                <w:color w:val="000000" w:themeColor="text1"/>
                <w:kern w:val="21"/>
              </w:rPr>
              <w:t>污水排放标准执行《城镇污水处理厂污染物排放标准》（</w:t>
            </w:r>
            <w:r>
              <w:rPr>
                <w:rFonts w:hAnsi="Times New Roman"/>
                <w:color w:val="000000" w:themeColor="text1"/>
                <w:kern w:val="21"/>
              </w:rPr>
              <w:t>GB18918-2002</w:t>
            </w:r>
            <w:r>
              <w:rPr>
                <w:rFonts w:hAnsi="Times New Roman"/>
                <w:color w:val="000000" w:themeColor="text1"/>
                <w:kern w:val="21"/>
              </w:rPr>
              <w:t>）中一级</w:t>
            </w:r>
            <w:r>
              <w:rPr>
                <w:rFonts w:hAnsi="Times New Roman"/>
                <w:color w:val="000000" w:themeColor="text1"/>
                <w:kern w:val="21"/>
              </w:rPr>
              <w:t>A</w:t>
            </w:r>
            <w:r>
              <w:rPr>
                <w:rFonts w:hAnsi="Times New Roman"/>
                <w:color w:val="000000" w:themeColor="text1"/>
                <w:kern w:val="21"/>
              </w:rPr>
              <w:t>排放标准后</w:t>
            </w:r>
            <w:r>
              <w:rPr>
                <w:rFonts w:hAnsi="Times New Roman" w:hint="eastAsia"/>
                <w:color w:val="000000" w:themeColor="text1"/>
                <w:kern w:val="21"/>
              </w:rPr>
              <w:t>排入拉林</w:t>
            </w:r>
            <w:r>
              <w:rPr>
                <w:rFonts w:hAnsi="Times New Roman"/>
                <w:color w:val="000000" w:themeColor="text1"/>
                <w:kern w:val="21"/>
              </w:rPr>
              <w:t>河。本项目扩建后</w:t>
            </w:r>
            <w:r>
              <w:rPr>
                <w:rFonts w:hAnsi="Times New Roman" w:hint="eastAsia"/>
                <w:color w:val="000000" w:themeColor="text1"/>
                <w:kern w:val="21"/>
              </w:rPr>
              <w:t>全厂</w:t>
            </w:r>
            <w:r>
              <w:rPr>
                <w:rFonts w:hAnsi="Times New Roman"/>
                <w:color w:val="000000" w:themeColor="text1"/>
                <w:kern w:val="21"/>
              </w:rPr>
              <w:t>水量为</w:t>
            </w:r>
            <w:r>
              <w:rPr>
                <w:rFonts w:hAnsi="Times New Roman" w:hint="eastAsia"/>
                <w:color w:val="000000" w:themeColor="text1"/>
                <w:kern w:val="21"/>
              </w:rPr>
              <w:t>234.08</w:t>
            </w:r>
            <w:r>
              <w:rPr>
                <w:rFonts w:hAnsi="Times New Roman"/>
                <w:color w:val="000000" w:themeColor="text1"/>
                <w:kern w:val="21"/>
              </w:rPr>
              <w:t>m</w:t>
            </w:r>
            <w:r>
              <w:rPr>
                <w:rFonts w:hAnsi="Times New Roman"/>
                <w:color w:val="000000" w:themeColor="text1"/>
                <w:kern w:val="21"/>
                <w:vertAlign w:val="superscript"/>
              </w:rPr>
              <w:t>3</w:t>
            </w:r>
            <w:r>
              <w:rPr>
                <w:rFonts w:hAnsi="Times New Roman"/>
                <w:color w:val="000000" w:themeColor="text1"/>
                <w:kern w:val="21"/>
              </w:rPr>
              <w:t>/d</w:t>
            </w:r>
            <w:r>
              <w:rPr>
                <w:rFonts w:hAnsi="Times New Roman"/>
                <w:color w:val="000000" w:themeColor="text1"/>
                <w:kern w:val="21"/>
              </w:rPr>
              <w:t>，污水厂现有余量</w:t>
            </w:r>
            <w:r>
              <w:rPr>
                <w:rFonts w:hint="eastAsia"/>
                <w:color w:val="000000" w:themeColor="text1"/>
                <w:kern w:val="21"/>
              </w:rPr>
              <w:t>约</w:t>
            </w:r>
            <w:r>
              <w:rPr>
                <w:rFonts w:hAnsi="Times New Roman"/>
                <w:color w:val="000000" w:themeColor="text1"/>
                <w:kern w:val="21"/>
              </w:rPr>
              <w:t>500m</w:t>
            </w:r>
            <w:r>
              <w:rPr>
                <w:rFonts w:hAnsi="Times New Roman"/>
                <w:color w:val="000000" w:themeColor="text1"/>
                <w:kern w:val="21"/>
                <w:vertAlign w:val="superscript"/>
              </w:rPr>
              <w:t>3</w:t>
            </w:r>
            <w:r>
              <w:rPr>
                <w:rFonts w:hAnsi="Times New Roman"/>
                <w:color w:val="000000" w:themeColor="text1"/>
                <w:kern w:val="21"/>
              </w:rPr>
              <w:t>/d</w:t>
            </w:r>
            <w:r>
              <w:rPr>
                <w:rFonts w:hAnsi="Times New Roman"/>
                <w:color w:val="000000" w:themeColor="text1"/>
                <w:kern w:val="21"/>
              </w:rPr>
              <w:t>，有能力接纳本项目废水，能够满足本项目废水排放要求</w:t>
            </w:r>
          </w:p>
        </w:tc>
      </w:tr>
      <w:tr w:rsidR="00B14D53" w14:paraId="60038B0E" w14:textId="77777777">
        <w:trPr>
          <w:trHeight w:val="131"/>
          <w:jc w:val="center"/>
        </w:trPr>
        <w:tc>
          <w:tcPr>
            <w:tcW w:w="377" w:type="pct"/>
            <w:vMerge/>
            <w:vAlign w:val="center"/>
          </w:tcPr>
          <w:p w14:paraId="61E6FE94" w14:textId="77777777" w:rsidR="00B14D53" w:rsidRDefault="00B14D53">
            <w:pPr>
              <w:pStyle w:val="afff2"/>
              <w:spacing w:line="240" w:lineRule="auto"/>
              <w:rPr>
                <w:rFonts w:eastAsiaTheme="minorEastAsia" w:hint="eastAsia"/>
              </w:rPr>
            </w:pPr>
          </w:p>
        </w:tc>
        <w:tc>
          <w:tcPr>
            <w:tcW w:w="1075" w:type="pct"/>
            <w:gridSpan w:val="2"/>
            <w:vAlign w:val="center"/>
          </w:tcPr>
          <w:p w14:paraId="75C16B6C" w14:textId="77777777" w:rsidR="00B14D53" w:rsidRDefault="00000000">
            <w:pPr>
              <w:pStyle w:val="afff2"/>
              <w:spacing w:line="240" w:lineRule="auto"/>
              <w:rPr>
                <w:rFonts w:eastAsiaTheme="minorEastAsia" w:hint="eastAsia"/>
              </w:rPr>
            </w:pPr>
            <w:r>
              <w:rPr>
                <w:rFonts w:eastAsiaTheme="minorEastAsia" w:hint="eastAsia"/>
              </w:rPr>
              <w:t>软化水装置</w:t>
            </w:r>
          </w:p>
        </w:tc>
        <w:tc>
          <w:tcPr>
            <w:tcW w:w="3547" w:type="pct"/>
            <w:gridSpan w:val="2"/>
            <w:vAlign w:val="center"/>
          </w:tcPr>
          <w:p w14:paraId="18431183" w14:textId="77777777" w:rsidR="00B14D53" w:rsidRDefault="00000000">
            <w:pPr>
              <w:pStyle w:val="afff2"/>
              <w:spacing w:line="240" w:lineRule="auto"/>
              <w:ind w:firstLineChars="200" w:firstLine="420"/>
              <w:jc w:val="left"/>
              <w:rPr>
                <w:rFonts w:hAnsi="Times New Roman"/>
                <w:color w:val="000000" w:themeColor="text1"/>
                <w:kern w:val="21"/>
              </w:rPr>
            </w:pPr>
            <w:r>
              <w:rPr>
                <w:rFonts w:hAnsi="Times New Roman" w:hint="eastAsia"/>
                <w:color w:val="000000" w:themeColor="text1"/>
                <w:kern w:val="21"/>
              </w:rPr>
              <w:t>厂内现有软化水装置制水能力为</w:t>
            </w:r>
            <w:r>
              <w:rPr>
                <w:rFonts w:hAnsi="Times New Roman" w:hint="eastAsia"/>
                <w:color w:val="000000" w:themeColor="text1"/>
                <w:kern w:val="21"/>
              </w:rPr>
              <w:t>3t/h</w:t>
            </w:r>
            <w:r>
              <w:rPr>
                <w:rFonts w:hAnsi="Times New Roman" w:hint="eastAsia"/>
                <w:color w:val="000000" w:themeColor="text1"/>
                <w:kern w:val="21"/>
              </w:rPr>
              <w:t>，可满足项目需求</w:t>
            </w:r>
          </w:p>
        </w:tc>
      </w:tr>
    </w:tbl>
    <w:bookmarkEnd w:id="69"/>
    <w:bookmarkEnd w:id="71"/>
    <w:p w14:paraId="02FA8855"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3.1.</w:t>
      </w:r>
      <w:r>
        <w:rPr>
          <w:rFonts w:ascii="Times New Roman" w:eastAsia="黑体" w:hAnsi="Times New Roman" w:cs="Times New Roman" w:hint="eastAsia"/>
          <w:bCs/>
          <w:sz w:val="28"/>
          <w:szCs w:val="28"/>
        </w:rPr>
        <w:t>3</w:t>
      </w:r>
      <w:r>
        <w:rPr>
          <w:rFonts w:ascii="Times New Roman" w:eastAsia="黑体" w:hAnsi="Times New Roman" w:cs="Times New Roman"/>
          <w:bCs/>
          <w:sz w:val="28"/>
          <w:szCs w:val="28"/>
        </w:rPr>
        <w:t>主要设备</w:t>
      </w:r>
    </w:p>
    <w:p w14:paraId="604CDC19" w14:textId="77777777" w:rsidR="00B14D53" w:rsidRDefault="00000000">
      <w:pPr>
        <w:spacing w:line="360" w:lineRule="auto"/>
        <w:ind w:firstLineChars="200" w:firstLine="480"/>
        <w:rPr>
          <w:rFonts w:eastAsiaTheme="minorEastAsia"/>
          <w:sz w:val="24"/>
          <w:szCs w:val="21"/>
        </w:rPr>
      </w:pPr>
      <w:r>
        <w:rPr>
          <w:rFonts w:eastAsiaTheme="minorEastAsia" w:hAnsiTheme="minorEastAsia"/>
          <w:sz w:val="24"/>
          <w:szCs w:val="21"/>
        </w:rPr>
        <w:t>主要设备清单见下表。</w:t>
      </w:r>
    </w:p>
    <w:p w14:paraId="7FA4A643" w14:textId="77777777" w:rsidR="00B14D53" w:rsidRDefault="00B14D53">
      <w:pPr>
        <w:jc w:val="center"/>
        <w:rPr>
          <w:b/>
          <w:bCs/>
        </w:rPr>
      </w:pPr>
    </w:p>
    <w:p w14:paraId="6A8B60DB" w14:textId="77777777" w:rsidR="00B14D53" w:rsidRDefault="00000000">
      <w:pPr>
        <w:jc w:val="center"/>
        <w:rPr>
          <w:b/>
          <w:bCs/>
        </w:rPr>
      </w:pPr>
      <w:r>
        <w:rPr>
          <w:rFonts w:hint="eastAsia"/>
          <w:b/>
          <w:bCs/>
        </w:rPr>
        <w:t>表</w:t>
      </w:r>
      <w:r>
        <w:rPr>
          <w:rFonts w:hint="eastAsia"/>
          <w:b/>
          <w:bCs/>
        </w:rPr>
        <w:t xml:space="preserve">3-1-2 </w:t>
      </w:r>
      <w:r>
        <w:rPr>
          <w:rFonts w:hint="eastAsia"/>
          <w:b/>
          <w:bCs/>
        </w:rPr>
        <w:t>主要设备清单</w:t>
      </w:r>
    </w:p>
    <w:tbl>
      <w:tblPr>
        <w:tblW w:w="467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80"/>
        <w:gridCol w:w="2627"/>
        <w:gridCol w:w="2091"/>
        <w:gridCol w:w="917"/>
        <w:gridCol w:w="1053"/>
      </w:tblGrid>
      <w:tr w:rsidR="00B14D53" w14:paraId="52B826EB" w14:textId="77777777">
        <w:trPr>
          <w:trHeight w:val="256"/>
          <w:jc w:val="center"/>
        </w:trPr>
        <w:tc>
          <w:tcPr>
            <w:tcW w:w="695" w:type="pct"/>
            <w:vAlign w:val="center"/>
          </w:tcPr>
          <w:p w14:paraId="000FAFF8" w14:textId="77777777" w:rsidR="00B14D53" w:rsidRDefault="00000000">
            <w:pPr>
              <w:contextualSpacing/>
              <w:jc w:val="center"/>
              <w:rPr>
                <w:b/>
                <w:bCs/>
                <w:szCs w:val="21"/>
              </w:rPr>
            </w:pPr>
            <w:r>
              <w:rPr>
                <w:rFonts w:hAnsi="宋体"/>
                <w:b/>
                <w:bCs/>
                <w:szCs w:val="21"/>
              </w:rPr>
              <w:t>序号</w:t>
            </w:r>
          </w:p>
        </w:tc>
        <w:tc>
          <w:tcPr>
            <w:tcW w:w="1690" w:type="pct"/>
            <w:vAlign w:val="center"/>
          </w:tcPr>
          <w:p w14:paraId="74DE5A9D" w14:textId="77777777" w:rsidR="00B14D53" w:rsidRDefault="00000000">
            <w:pPr>
              <w:contextualSpacing/>
              <w:jc w:val="center"/>
              <w:rPr>
                <w:b/>
                <w:bCs/>
                <w:szCs w:val="21"/>
              </w:rPr>
            </w:pPr>
            <w:r>
              <w:rPr>
                <w:rFonts w:hAnsi="宋体"/>
                <w:b/>
                <w:bCs/>
                <w:szCs w:val="21"/>
              </w:rPr>
              <w:t>设备名称</w:t>
            </w:r>
          </w:p>
        </w:tc>
        <w:tc>
          <w:tcPr>
            <w:tcW w:w="1345" w:type="pct"/>
            <w:vAlign w:val="center"/>
          </w:tcPr>
          <w:p w14:paraId="1147289C" w14:textId="77777777" w:rsidR="00B14D53" w:rsidRDefault="00000000">
            <w:pPr>
              <w:contextualSpacing/>
              <w:jc w:val="center"/>
              <w:rPr>
                <w:b/>
                <w:bCs/>
                <w:szCs w:val="21"/>
              </w:rPr>
            </w:pPr>
            <w:r>
              <w:rPr>
                <w:rFonts w:hAnsi="宋体"/>
                <w:b/>
                <w:bCs/>
                <w:szCs w:val="21"/>
              </w:rPr>
              <w:t>型号</w:t>
            </w:r>
          </w:p>
        </w:tc>
        <w:tc>
          <w:tcPr>
            <w:tcW w:w="590" w:type="pct"/>
            <w:vAlign w:val="center"/>
          </w:tcPr>
          <w:p w14:paraId="71ED9540" w14:textId="77777777" w:rsidR="00B14D53" w:rsidRDefault="00000000">
            <w:pPr>
              <w:contextualSpacing/>
              <w:jc w:val="center"/>
              <w:rPr>
                <w:b/>
                <w:bCs/>
                <w:szCs w:val="21"/>
              </w:rPr>
            </w:pPr>
            <w:r>
              <w:rPr>
                <w:rFonts w:hAnsi="宋体"/>
                <w:b/>
                <w:bCs/>
                <w:szCs w:val="21"/>
              </w:rPr>
              <w:t>单位</w:t>
            </w:r>
          </w:p>
        </w:tc>
        <w:tc>
          <w:tcPr>
            <w:tcW w:w="678" w:type="pct"/>
            <w:vAlign w:val="center"/>
          </w:tcPr>
          <w:p w14:paraId="4283BB60" w14:textId="77777777" w:rsidR="00B14D53" w:rsidRDefault="00000000">
            <w:pPr>
              <w:contextualSpacing/>
              <w:jc w:val="center"/>
              <w:rPr>
                <w:b/>
                <w:bCs/>
                <w:szCs w:val="21"/>
              </w:rPr>
            </w:pPr>
            <w:r>
              <w:rPr>
                <w:rFonts w:hAnsi="宋体"/>
                <w:b/>
                <w:bCs/>
                <w:szCs w:val="21"/>
              </w:rPr>
              <w:t>数量</w:t>
            </w:r>
          </w:p>
        </w:tc>
      </w:tr>
      <w:tr w:rsidR="00B14D53" w14:paraId="2B834370" w14:textId="77777777">
        <w:trPr>
          <w:trHeight w:val="256"/>
          <w:jc w:val="center"/>
        </w:trPr>
        <w:tc>
          <w:tcPr>
            <w:tcW w:w="695" w:type="pct"/>
            <w:vAlign w:val="center"/>
          </w:tcPr>
          <w:p w14:paraId="7DB9E56D" w14:textId="77777777" w:rsidR="00B14D53" w:rsidRDefault="00000000">
            <w:pPr>
              <w:contextualSpacing/>
              <w:jc w:val="center"/>
              <w:rPr>
                <w:szCs w:val="21"/>
              </w:rPr>
            </w:pPr>
            <w:r>
              <w:rPr>
                <w:szCs w:val="21"/>
              </w:rPr>
              <w:t>1</w:t>
            </w:r>
          </w:p>
        </w:tc>
        <w:tc>
          <w:tcPr>
            <w:tcW w:w="1690" w:type="pct"/>
            <w:vAlign w:val="center"/>
          </w:tcPr>
          <w:p w14:paraId="5FA3818E" w14:textId="77777777" w:rsidR="00B14D53" w:rsidRDefault="00000000">
            <w:pPr>
              <w:contextualSpacing/>
              <w:jc w:val="center"/>
              <w:rPr>
                <w:szCs w:val="21"/>
              </w:rPr>
            </w:pPr>
            <w:r>
              <w:rPr>
                <w:szCs w:val="21"/>
              </w:rPr>
              <w:t>卧式三轴液压刨毛机</w:t>
            </w:r>
          </w:p>
        </w:tc>
        <w:tc>
          <w:tcPr>
            <w:tcW w:w="1345" w:type="pct"/>
            <w:vAlign w:val="center"/>
          </w:tcPr>
          <w:p w14:paraId="1EAE0146" w14:textId="77777777" w:rsidR="00B14D53" w:rsidRDefault="00000000">
            <w:pPr>
              <w:contextualSpacing/>
              <w:jc w:val="center"/>
              <w:rPr>
                <w:szCs w:val="21"/>
              </w:rPr>
            </w:pPr>
            <w:r>
              <w:rPr>
                <w:szCs w:val="21"/>
              </w:rPr>
              <w:t>YBM300</w:t>
            </w:r>
          </w:p>
        </w:tc>
        <w:tc>
          <w:tcPr>
            <w:tcW w:w="590" w:type="pct"/>
            <w:vAlign w:val="center"/>
          </w:tcPr>
          <w:p w14:paraId="1473A85C" w14:textId="77777777" w:rsidR="00B14D53" w:rsidRDefault="00000000">
            <w:pPr>
              <w:contextualSpacing/>
              <w:jc w:val="center"/>
              <w:rPr>
                <w:szCs w:val="21"/>
              </w:rPr>
            </w:pPr>
            <w:r>
              <w:rPr>
                <w:szCs w:val="21"/>
              </w:rPr>
              <w:t>台</w:t>
            </w:r>
          </w:p>
        </w:tc>
        <w:tc>
          <w:tcPr>
            <w:tcW w:w="678" w:type="pct"/>
            <w:vAlign w:val="center"/>
          </w:tcPr>
          <w:p w14:paraId="340E814D" w14:textId="77777777" w:rsidR="00B14D53" w:rsidRDefault="00000000">
            <w:pPr>
              <w:contextualSpacing/>
              <w:jc w:val="center"/>
              <w:rPr>
                <w:szCs w:val="21"/>
              </w:rPr>
            </w:pPr>
            <w:r>
              <w:t>1</w:t>
            </w:r>
          </w:p>
        </w:tc>
      </w:tr>
      <w:tr w:rsidR="00B14D53" w14:paraId="5033A1F7" w14:textId="77777777">
        <w:trPr>
          <w:trHeight w:val="256"/>
          <w:jc w:val="center"/>
        </w:trPr>
        <w:tc>
          <w:tcPr>
            <w:tcW w:w="695" w:type="pct"/>
            <w:vAlign w:val="center"/>
          </w:tcPr>
          <w:p w14:paraId="65BED8B5" w14:textId="77777777" w:rsidR="00B14D53" w:rsidRDefault="00000000">
            <w:pPr>
              <w:contextualSpacing/>
              <w:jc w:val="center"/>
              <w:rPr>
                <w:szCs w:val="21"/>
              </w:rPr>
            </w:pPr>
            <w:r>
              <w:rPr>
                <w:szCs w:val="21"/>
              </w:rPr>
              <w:t>2</w:t>
            </w:r>
          </w:p>
        </w:tc>
        <w:tc>
          <w:tcPr>
            <w:tcW w:w="1690" w:type="pct"/>
            <w:vAlign w:val="center"/>
          </w:tcPr>
          <w:p w14:paraId="658C7A5C" w14:textId="77777777" w:rsidR="00B14D53" w:rsidRDefault="00000000">
            <w:pPr>
              <w:contextualSpacing/>
              <w:jc w:val="center"/>
              <w:rPr>
                <w:szCs w:val="21"/>
              </w:rPr>
            </w:pPr>
            <w:r>
              <w:rPr>
                <w:szCs w:val="21"/>
              </w:rPr>
              <w:t>电蒸汽发生器</w:t>
            </w:r>
          </w:p>
        </w:tc>
        <w:tc>
          <w:tcPr>
            <w:tcW w:w="1345" w:type="pct"/>
            <w:vAlign w:val="center"/>
          </w:tcPr>
          <w:p w14:paraId="593EF6C2" w14:textId="77777777" w:rsidR="00B14D53" w:rsidRDefault="00000000">
            <w:pPr>
              <w:contextualSpacing/>
              <w:jc w:val="center"/>
              <w:rPr>
                <w:szCs w:val="21"/>
              </w:rPr>
            </w:pPr>
            <w:r>
              <w:rPr>
                <w:szCs w:val="21"/>
              </w:rPr>
              <w:t>DLD.130.7-D</w:t>
            </w:r>
          </w:p>
        </w:tc>
        <w:tc>
          <w:tcPr>
            <w:tcW w:w="590" w:type="pct"/>
            <w:vAlign w:val="center"/>
          </w:tcPr>
          <w:p w14:paraId="5F8D5A6C" w14:textId="77777777" w:rsidR="00B14D53" w:rsidRDefault="00000000">
            <w:pPr>
              <w:contextualSpacing/>
              <w:jc w:val="center"/>
              <w:rPr>
                <w:szCs w:val="21"/>
              </w:rPr>
            </w:pPr>
            <w:r>
              <w:rPr>
                <w:szCs w:val="21"/>
              </w:rPr>
              <w:t>台</w:t>
            </w:r>
          </w:p>
        </w:tc>
        <w:tc>
          <w:tcPr>
            <w:tcW w:w="678" w:type="pct"/>
            <w:vAlign w:val="center"/>
          </w:tcPr>
          <w:p w14:paraId="4CD2DB4B" w14:textId="77777777" w:rsidR="00B14D53" w:rsidRDefault="00000000">
            <w:pPr>
              <w:contextualSpacing/>
              <w:jc w:val="center"/>
              <w:rPr>
                <w:szCs w:val="21"/>
              </w:rPr>
            </w:pPr>
            <w:r>
              <w:t>1</w:t>
            </w:r>
          </w:p>
        </w:tc>
      </w:tr>
      <w:tr w:rsidR="00B14D53" w14:paraId="57C8D7E6" w14:textId="77777777">
        <w:trPr>
          <w:trHeight w:val="256"/>
          <w:jc w:val="center"/>
        </w:trPr>
        <w:tc>
          <w:tcPr>
            <w:tcW w:w="695" w:type="pct"/>
            <w:vAlign w:val="center"/>
          </w:tcPr>
          <w:p w14:paraId="67D952C6" w14:textId="77777777" w:rsidR="00B14D53" w:rsidRDefault="00000000">
            <w:pPr>
              <w:contextualSpacing/>
              <w:jc w:val="center"/>
              <w:rPr>
                <w:szCs w:val="21"/>
              </w:rPr>
            </w:pPr>
            <w:r>
              <w:rPr>
                <w:szCs w:val="21"/>
              </w:rPr>
              <w:t>3</w:t>
            </w:r>
          </w:p>
        </w:tc>
        <w:tc>
          <w:tcPr>
            <w:tcW w:w="1690" w:type="pct"/>
            <w:vAlign w:val="center"/>
          </w:tcPr>
          <w:p w14:paraId="1749722A" w14:textId="77777777" w:rsidR="00B14D53" w:rsidRDefault="00000000">
            <w:pPr>
              <w:contextualSpacing/>
              <w:jc w:val="center"/>
              <w:rPr>
                <w:szCs w:val="21"/>
              </w:rPr>
            </w:pPr>
            <w:r>
              <w:rPr>
                <w:color w:val="000000" w:themeColor="text1"/>
                <w:szCs w:val="21"/>
              </w:rPr>
              <w:t>电热烫池</w:t>
            </w:r>
          </w:p>
        </w:tc>
        <w:tc>
          <w:tcPr>
            <w:tcW w:w="1345" w:type="pct"/>
            <w:vAlign w:val="center"/>
          </w:tcPr>
          <w:p w14:paraId="77AD6EE0" w14:textId="77777777" w:rsidR="00B14D53" w:rsidRDefault="00000000">
            <w:pPr>
              <w:contextualSpacing/>
              <w:jc w:val="center"/>
              <w:rPr>
                <w:szCs w:val="21"/>
              </w:rPr>
            </w:pPr>
            <w:r>
              <w:rPr>
                <w:rFonts w:hint="eastAsia"/>
                <w:szCs w:val="21"/>
              </w:rPr>
              <w:t>/</w:t>
            </w:r>
          </w:p>
        </w:tc>
        <w:tc>
          <w:tcPr>
            <w:tcW w:w="590" w:type="pct"/>
            <w:vAlign w:val="center"/>
          </w:tcPr>
          <w:p w14:paraId="53837B5D" w14:textId="77777777" w:rsidR="00B14D53" w:rsidRDefault="00000000">
            <w:pPr>
              <w:contextualSpacing/>
              <w:jc w:val="center"/>
              <w:rPr>
                <w:szCs w:val="21"/>
              </w:rPr>
            </w:pPr>
            <w:r>
              <w:rPr>
                <w:szCs w:val="21"/>
              </w:rPr>
              <w:t>台</w:t>
            </w:r>
          </w:p>
        </w:tc>
        <w:tc>
          <w:tcPr>
            <w:tcW w:w="678" w:type="pct"/>
            <w:vAlign w:val="center"/>
          </w:tcPr>
          <w:p w14:paraId="76207F84" w14:textId="77777777" w:rsidR="00B14D53" w:rsidRDefault="00000000">
            <w:pPr>
              <w:contextualSpacing/>
              <w:jc w:val="center"/>
              <w:rPr>
                <w:szCs w:val="21"/>
              </w:rPr>
            </w:pPr>
            <w:r>
              <w:t>1</w:t>
            </w:r>
          </w:p>
        </w:tc>
      </w:tr>
      <w:tr w:rsidR="00B14D53" w14:paraId="0A421D46" w14:textId="77777777">
        <w:trPr>
          <w:trHeight w:val="256"/>
          <w:jc w:val="center"/>
        </w:trPr>
        <w:tc>
          <w:tcPr>
            <w:tcW w:w="695" w:type="pct"/>
            <w:vAlign w:val="center"/>
          </w:tcPr>
          <w:p w14:paraId="4F0F7097" w14:textId="77777777" w:rsidR="00B14D53" w:rsidRDefault="00000000">
            <w:pPr>
              <w:contextualSpacing/>
              <w:jc w:val="center"/>
              <w:rPr>
                <w:szCs w:val="21"/>
              </w:rPr>
            </w:pPr>
            <w:r>
              <w:rPr>
                <w:szCs w:val="21"/>
              </w:rPr>
              <w:t>4</w:t>
            </w:r>
          </w:p>
        </w:tc>
        <w:tc>
          <w:tcPr>
            <w:tcW w:w="1690" w:type="pct"/>
            <w:vAlign w:val="center"/>
          </w:tcPr>
          <w:p w14:paraId="1E5F2920" w14:textId="77777777" w:rsidR="00B14D53" w:rsidRDefault="00000000">
            <w:pPr>
              <w:contextualSpacing/>
              <w:jc w:val="center"/>
              <w:rPr>
                <w:szCs w:val="21"/>
              </w:rPr>
            </w:pPr>
            <w:r>
              <w:rPr>
                <w:szCs w:val="21"/>
              </w:rPr>
              <w:t>软化水设备</w:t>
            </w:r>
          </w:p>
        </w:tc>
        <w:tc>
          <w:tcPr>
            <w:tcW w:w="1345" w:type="pct"/>
            <w:vAlign w:val="center"/>
          </w:tcPr>
          <w:p w14:paraId="43B9630D" w14:textId="77777777" w:rsidR="00B14D53" w:rsidRDefault="00000000">
            <w:pPr>
              <w:contextualSpacing/>
              <w:jc w:val="center"/>
              <w:rPr>
                <w:szCs w:val="21"/>
              </w:rPr>
            </w:pPr>
            <w:r>
              <w:rPr>
                <w:szCs w:val="21"/>
              </w:rPr>
              <w:t>/</w:t>
            </w:r>
          </w:p>
        </w:tc>
        <w:tc>
          <w:tcPr>
            <w:tcW w:w="590" w:type="pct"/>
            <w:vAlign w:val="center"/>
          </w:tcPr>
          <w:p w14:paraId="3A19CCEE" w14:textId="77777777" w:rsidR="00B14D53" w:rsidRDefault="00000000">
            <w:pPr>
              <w:contextualSpacing/>
              <w:jc w:val="center"/>
              <w:rPr>
                <w:szCs w:val="21"/>
              </w:rPr>
            </w:pPr>
            <w:r>
              <w:rPr>
                <w:szCs w:val="21"/>
              </w:rPr>
              <w:t>台</w:t>
            </w:r>
          </w:p>
        </w:tc>
        <w:tc>
          <w:tcPr>
            <w:tcW w:w="678" w:type="pct"/>
            <w:vAlign w:val="center"/>
          </w:tcPr>
          <w:p w14:paraId="0AD78CD2" w14:textId="77777777" w:rsidR="00B14D53" w:rsidRDefault="00000000">
            <w:pPr>
              <w:contextualSpacing/>
              <w:jc w:val="center"/>
              <w:rPr>
                <w:szCs w:val="21"/>
              </w:rPr>
            </w:pPr>
            <w:r>
              <w:rPr>
                <w:szCs w:val="21"/>
              </w:rPr>
              <w:t>1</w:t>
            </w:r>
          </w:p>
        </w:tc>
      </w:tr>
      <w:tr w:rsidR="00B14D53" w14:paraId="07AC76B8" w14:textId="77777777">
        <w:trPr>
          <w:trHeight w:val="256"/>
          <w:jc w:val="center"/>
        </w:trPr>
        <w:tc>
          <w:tcPr>
            <w:tcW w:w="695" w:type="pct"/>
            <w:vAlign w:val="center"/>
          </w:tcPr>
          <w:p w14:paraId="2569B6C3" w14:textId="77777777" w:rsidR="00B14D53" w:rsidRDefault="00000000">
            <w:pPr>
              <w:contextualSpacing/>
              <w:jc w:val="center"/>
              <w:rPr>
                <w:szCs w:val="21"/>
              </w:rPr>
            </w:pPr>
            <w:r>
              <w:rPr>
                <w:szCs w:val="21"/>
              </w:rPr>
              <w:t>5</w:t>
            </w:r>
          </w:p>
        </w:tc>
        <w:tc>
          <w:tcPr>
            <w:tcW w:w="1690" w:type="pct"/>
            <w:vAlign w:val="center"/>
          </w:tcPr>
          <w:p w14:paraId="63951062" w14:textId="77777777" w:rsidR="00B14D53" w:rsidRDefault="00000000">
            <w:pPr>
              <w:contextualSpacing/>
              <w:jc w:val="center"/>
              <w:rPr>
                <w:szCs w:val="21"/>
              </w:rPr>
            </w:pPr>
            <w:r>
              <w:rPr>
                <w:szCs w:val="21"/>
              </w:rPr>
              <w:t>清水泡池</w:t>
            </w:r>
          </w:p>
        </w:tc>
        <w:tc>
          <w:tcPr>
            <w:tcW w:w="1345" w:type="pct"/>
            <w:vAlign w:val="center"/>
          </w:tcPr>
          <w:p w14:paraId="68A26C9F" w14:textId="77777777" w:rsidR="00B14D53" w:rsidRDefault="00000000">
            <w:pPr>
              <w:contextualSpacing/>
              <w:jc w:val="center"/>
              <w:rPr>
                <w:szCs w:val="21"/>
              </w:rPr>
            </w:pPr>
            <w:r>
              <w:rPr>
                <w:szCs w:val="21"/>
              </w:rPr>
              <w:t>/</w:t>
            </w:r>
          </w:p>
        </w:tc>
        <w:tc>
          <w:tcPr>
            <w:tcW w:w="590" w:type="pct"/>
            <w:vAlign w:val="center"/>
          </w:tcPr>
          <w:p w14:paraId="3A2DF49E" w14:textId="77777777" w:rsidR="00B14D53" w:rsidRDefault="00000000">
            <w:pPr>
              <w:contextualSpacing/>
              <w:jc w:val="center"/>
              <w:rPr>
                <w:szCs w:val="21"/>
              </w:rPr>
            </w:pPr>
            <w:r>
              <w:rPr>
                <w:szCs w:val="21"/>
              </w:rPr>
              <w:t>个</w:t>
            </w:r>
          </w:p>
        </w:tc>
        <w:tc>
          <w:tcPr>
            <w:tcW w:w="678" w:type="pct"/>
            <w:vAlign w:val="center"/>
          </w:tcPr>
          <w:p w14:paraId="100E179C" w14:textId="77777777" w:rsidR="00B14D53" w:rsidRDefault="00000000">
            <w:pPr>
              <w:contextualSpacing/>
              <w:jc w:val="center"/>
              <w:rPr>
                <w:szCs w:val="21"/>
              </w:rPr>
            </w:pPr>
            <w:r>
              <w:rPr>
                <w:szCs w:val="21"/>
              </w:rPr>
              <w:t>1</w:t>
            </w:r>
          </w:p>
        </w:tc>
      </w:tr>
      <w:tr w:rsidR="00B14D53" w14:paraId="227F32F7" w14:textId="77777777">
        <w:trPr>
          <w:trHeight w:val="256"/>
          <w:jc w:val="center"/>
        </w:trPr>
        <w:tc>
          <w:tcPr>
            <w:tcW w:w="695" w:type="pct"/>
            <w:vAlign w:val="center"/>
          </w:tcPr>
          <w:p w14:paraId="7E532969" w14:textId="77777777" w:rsidR="00B14D53" w:rsidRDefault="00000000">
            <w:pPr>
              <w:contextualSpacing/>
              <w:jc w:val="center"/>
              <w:rPr>
                <w:szCs w:val="21"/>
              </w:rPr>
            </w:pPr>
            <w:r>
              <w:rPr>
                <w:szCs w:val="21"/>
              </w:rPr>
              <w:t>6</w:t>
            </w:r>
          </w:p>
        </w:tc>
        <w:tc>
          <w:tcPr>
            <w:tcW w:w="1690" w:type="pct"/>
            <w:vAlign w:val="center"/>
          </w:tcPr>
          <w:p w14:paraId="5768A6AA" w14:textId="77777777" w:rsidR="00B14D53" w:rsidRDefault="00000000">
            <w:pPr>
              <w:contextualSpacing/>
              <w:jc w:val="center"/>
              <w:rPr>
                <w:szCs w:val="21"/>
              </w:rPr>
            </w:pPr>
            <w:r>
              <w:rPr>
                <w:szCs w:val="21"/>
              </w:rPr>
              <w:t>电麻机</w:t>
            </w:r>
          </w:p>
        </w:tc>
        <w:tc>
          <w:tcPr>
            <w:tcW w:w="1345" w:type="pct"/>
            <w:vAlign w:val="center"/>
          </w:tcPr>
          <w:p w14:paraId="64CEBBF8" w14:textId="77777777" w:rsidR="00B14D53" w:rsidRDefault="00000000">
            <w:pPr>
              <w:contextualSpacing/>
              <w:jc w:val="center"/>
              <w:rPr>
                <w:szCs w:val="21"/>
              </w:rPr>
            </w:pPr>
            <w:r>
              <w:rPr>
                <w:szCs w:val="21"/>
              </w:rPr>
              <w:t>/</w:t>
            </w:r>
          </w:p>
        </w:tc>
        <w:tc>
          <w:tcPr>
            <w:tcW w:w="590" w:type="pct"/>
            <w:vAlign w:val="center"/>
          </w:tcPr>
          <w:p w14:paraId="6A0E0EBB" w14:textId="77777777" w:rsidR="00B14D53" w:rsidRDefault="00000000">
            <w:pPr>
              <w:contextualSpacing/>
              <w:jc w:val="center"/>
              <w:rPr>
                <w:szCs w:val="21"/>
              </w:rPr>
            </w:pPr>
            <w:r>
              <w:rPr>
                <w:szCs w:val="21"/>
              </w:rPr>
              <w:t>台</w:t>
            </w:r>
          </w:p>
        </w:tc>
        <w:tc>
          <w:tcPr>
            <w:tcW w:w="678" w:type="pct"/>
            <w:vAlign w:val="center"/>
          </w:tcPr>
          <w:p w14:paraId="3857FC84" w14:textId="77777777" w:rsidR="00B14D53" w:rsidRDefault="00000000">
            <w:pPr>
              <w:contextualSpacing/>
              <w:jc w:val="center"/>
              <w:rPr>
                <w:szCs w:val="21"/>
              </w:rPr>
            </w:pPr>
            <w:r>
              <w:rPr>
                <w:szCs w:val="21"/>
              </w:rPr>
              <w:t>1</w:t>
            </w:r>
          </w:p>
        </w:tc>
      </w:tr>
      <w:tr w:rsidR="00B14D53" w14:paraId="1A823BBB" w14:textId="77777777">
        <w:trPr>
          <w:trHeight w:val="256"/>
          <w:jc w:val="center"/>
        </w:trPr>
        <w:tc>
          <w:tcPr>
            <w:tcW w:w="695" w:type="pct"/>
            <w:vAlign w:val="center"/>
          </w:tcPr>
          <w:p w14:paraId="04D2ED80" w14:textId="77777777" w:rsidR="00B14D53" w:rsidRDefault="00000000">
            <w:pPr>
              <w:contextualSpacing/>
              <w:jc w:val="center"/>
              <w:rPr>
                <w:szCs w:val="21"/>
              </w:rPr>
            </w:pPr>
            <w:r>
              <w:rPr>
                <w:szCs w:val="21"/>
              </w:rPr>
              <w:t>7</w:t>
            </w:r>
          </w:p>
        </w:tc>
        <w:tc>
          <w:tcPr>
            <w:tcW w:w="1690" w:type="pct"/>
            <w:vAlign w:val="center"/>
          </w:tcPr>
          <w:p w14:paraId="2AEDEAB8" w14:textId="77777777" w:rsidR="00B14D53" w:rsidRDefault="00000000">
            <w:pPr>
              <w:contextualSpacing/>
              <w:jc w:val="center"/>
              <w:rPr>
                <w:szCs w:val="21"/>
              </w:rPr>
            </w:pPr>
            <w:r>
              <w:rPr>
                <w:szCs w:val="21"/>
              </w:rPr>
              <w:t>提升机</w:t>
            </w:r>
          </w:p>
        </w:tc>
        <w:tc>
          <w:tcPr>
            <w:tcW w:w="1345" w:type="pct"/>
            <w:vAlign w:val="center"/>
          </w:tcPr>
          <w:p w14:paraId="0452568F" w14:textId="77777777" w:rsidR="00B14D53" w:rsidRDefault="00000000">
            <w:pPr>
              <w:contextualSpacing/>
              <w:jc w:val="center"/>
              <w:rPr>
                <w:szCs w:val="21"/>
              </w:rPr>
            </w:pPr>
            <w:r>
              <w:rPr>
                <w:szCs w:val="21"/>
              </w:rPr>
              <w:t>/</w:t>
            </w:r>
          </w:p>
        </w:tc>
        <w:tc>
          <w:tcPr>
            <w:tcW w:w="590" w:type="pct"/>
            <w:vAlign w:val="center"/>
          </w:tcPr>
          <w:p w14:paraId="65CF6AE3" w14:textId="77777777" w:rsidR="00B14D53" w:rsidRDefault="00000000">
            <w:pPr>
              <w:contextualSpacing/>
              <w:jc w:val="center"/>
              <w:rPr>
                <w:szCs w:val="21"/>
              </w:rPr>
            </w:pPr>
            <w:r>
              <w:rPr>
                <w:szCs w:val="21"/>
              </w:rPr>
              <w:t>台</w:t>
            </w:r>
          </w:p>
        </w:tc>
        <w:tc>
          <w:tcPr>
            <w:tcW w:w="678" w:type="pct"/>
            <w:vAlign w:val="center"/>
          </w:tcPr>
          <w:p w14:paraId="6144767B" w14:textId="77777777" w:rsidR="00B14D53" w:rsidRDefault="00000000">
            <w:pPr>
              <w:contextualSpacing/>
              <w:jc w:val="center"/>
              <w:rPr>
                <w:szCs w:val="21"/>
              </w:rPr>
            </w:pPr>
            <w:r>
              <w:rPr>
                <w:szCs w:val="21"/>
              </w:rPr>
              <w:t>2</w:t>
            </w:r>
          </w:p>
        </w:tc>
      </w:tr>
      <w:tr w:rsidR="00B14D53" w14:paraId="5F8BFE36" w14:textId="77777777">
        <w:trPr>
          <w:trHeight w:val="256"/>
          <w:jc w:val="center"/>
        </w:trPr>
        <w:tc>
          <w:tcPr>
            <w:tcW w:w="695" w:type="pct"/>
            <w:vAlign w:val="center"/>
          </w:tcPr>
          <w:p w14:paraId="113A2FC1" w14:textId="77777777" w:rsidR="00B14D53" w:rsidRDefault="00000000">
            <w:pPr>
              <w:contextualSpacing/>
              <w:jc w:val="center"/>
              <w:rPr>
                <w:szCs w:val="21"/>
              </w:rPr>
            </w:pPr>
            <w:r>
              <w:rPr>
                <w:szCs w:val="21"/>
              </w:rPr>
              <w:t>8</w:t>
            </w:r>
          </w:p>
        </w:tc>
        <w:tc>
          <w:tcPr>
            <w:tcW w:w="1690" w:type="pct"/>
            <w:vAlign w:val="center"/>
          </w:tcPr>
          <w:p w14:paraId="0046C926" w14:textId="77777777" w:rsidR="00B14D53" w:rsidRDefault="00000000">
            <w:pPr>
              <w:contextualSpacing/>
              <w:jc w:val="center"/>
              <w:rPr>
                <w:szCs w:val="21"/>
              </w:rPr>
            </w:pPr>
            <w:r>
              <w:rPr>
                <w:szCs w:val="21"/>
              </w:rPr>
              <w:t>电动劈半锯</w:t>
            </w:r>
          </w:p>
        </w:tc>
        <w:tc>
          <w:tcPr>
            <w:tcW w:w="1345" w:type="pct"/>
            <w:vAlign w:val="center"/>
          </w:tcPr>
          <w:p w14:paraId="369F559A" w14:textId="77777777" w:rsidR="00B14D53" w:rsidRDefault="00000000">
            <w:pPr>
              <w:contextualSpacing/>
              <w:jc w:val="center"/>
              <w:rPr>
                <w:szCs w:val="21"/>
              </w:rPr>
            </w:pPr>
            <w:r>
              <w:rPr>
                <w:szCs w:val="21"/>
              </w:rPr>
              <w:t>/</w:t>
            </w:r>
          </w:p>
        </w:tc>
        <w:tc>
          <w:tcPr>
            <w:tcW w:w="590" w:type="pct"/>
            <w:vAlign w:val="center"/>
          </w:tcPr>
          <w:p w14:paraId="19A3C187" w14:textId="77777777" w:rsidR="00B14D53" w:rsidRDefault="00000000">
            <w:pPr>
              <w:contextualSpacing/>
              <w:jc w:val="center"/>
              <w:rPr>
                <w:szCs w:val="21"/>
              </w:rPr>
            </w:pPr>
            <w:r>
              <w:rPr>
                <w:szCs w:val="21"/>
              </w:rPr>
              <w:t>台</w:t>
            </w:r>
          </w:p>
        </w:tc>
        <w:tc>
          <w:tcPr>
            <w:tcW w:w="678" w:type="pct"/>
            <w:vAlign w:val="center"/>
          </w:tcPr>
          <w:p w14:paraId="3A440BF8" w14:textId="77777777" w:rsidR="00B14D53" w:rsidRDefault="00000000">
            <w:pPr>
              <w:contextualSpacing/>
              <w:jc w:val="center"/>
              <w:rPr>
                <w:szCs w:val="21"/>
              </w:rPr>
            </w:pPr>
            <w:r>
              <w:rPr>
                <w:szCs w:val="21"/>
              </w:rPr>
              <w:t>2</w:t>
            </w:r>
          </w:p>
        </w:tc>
      </w:tr>
      <w:tr w:rsidR="00B14D53" w14:paraId="6137A1BE" w14:textId="77777777">
        <w:trPr>
          <w:trHeight w:val="256"/>
          <w:jc w:val="center"/>
        </w:trPr>
        <w:tc>
          <w:tcPr>
            <w:tcW w:w="695" w:type="pct"/>
            <w:vAlign w:val="center"/>
          </w:tcPr>
          <w:p w14:paraId="18A444A5" w14:textId="77777777" w:rsidR="00B14D53" w:rsidRDefault="00000000">
            <w:pPr>
              <w:contextualSpacing/>
              <w:jc w:val="center"/>
              <w:rPr>
                <w:szCs w:val="21"/>
              </w:rPr>
            </w:pPr>
            <w:r>
              <w:rPr>
                <w:szCs w:val="21"/>
              </w:rPr>
              <w:t>9</w:t>
            </w:r>
          </w:p>
        </w:tc>
        <w:tc>
          <w:tcPr>
            <w:tcW w:w="1690" w:type="pct"/>
            <w:vAlign w:val="center"/>
          </w:tcPr>
          <w:p w14:paraId="70EA3E69" w14:textId="77777777" w:rsidR="00B14D53" w:rsidRDefault="00000000">
            <w:pPr>
              <w:contextualSpacing/>
              <w:jc w:val="center"/>
              <w:rPr>
                <w:szCs w:val="21"/>
              </w:rPr>
            </w:pPr>
            <w:r>
              <w:rPr>
                <w:szCs w:val="21"/>
              </w:rPr>
              <w:t>消毒池</w:t>
            </w:r>
          </w:p>
        </w:tc>
        <w:tc>
          <w:tcPr>
            <w:tcW w:w="1345" w:type="pct"/>
            <w:vAlign w:val="center"/>
          </w:tcPr>
          <w:p w14:paraId="6569457E" w14:textId="77777777" w:rsidR="00B14D53" w:rsidRDefault="00000000">
            <w:pPr>
              <w:contextualSpacing/>
              <w:jc w:val="center"/>
              <w:rPr>
                <w:szCs w:val="21"/>
              </w:rPr>
            </w:pPr>
            <w:r>
              <w:rPr>
                <w:szCs w:val="21"/>
              </w:rPr>
              <w:t>/</w:t>
            </w:r>
          </w:p>
        </w:tc>
        <w:tc>
          <w:tcPr>
            <w:tcW w:w="590" w:type="pct"/>
            <w:vAlign w:val="center"/>
          </w:tcPr>
          <w:p w14:paraId="129BDCA6" w14:textId="77777777" w:rsidR="00B14D53" w:rsidRDefault="00000000">
            <w:pPr>
              <w:contextualSpacing/>
              <w:jc w:val="center"/>
              <w:rPr>
                <w:szCs w:val="21"/>
              </w:rPr>
            </w:pPr>
            <w:r>
              <w:rPr>
                <w:szCs w:val="21"/>
              </w:rPr>
              <w:t>个</w:t>
            </w:r>
          </w:p>
        </w:tc>
        <w:tc>
          <w:tcPr>
            <w:tcW w:w="678" w:type="pct"/>
            <w:vAlign w:val="center"/>
          </w:tcPr>
          <w:p w14:paraId="006C9909" w14:textId="77777777" w:rsidR="00B14D53" w:rsidRDefault="00000000">
            <w:pPr>
              <w:contextualSpacing/>
              <w:jc w:val="center"/>
              <w:rPr>
                <w:szCs w:val="21"/>
              </w:rPr>
            </w:pPr>
            <w:r>
              <w:t>1</w:t>
            </w:r>
          </w:p>
        </w:tc>
      </w:tr>
      <w:tr w:rsidR="00B14D53" w14:paraId="1008BB5C" w14:textId="77777777">
        <w:trPr>
          <w:trHeight w:val="256"/>
          <w:jc w:val="center"/>
        </w:trPr>
        <w:tc>
          <w:tcPr>
            <w:tcW w:w="695" w:type="pct"/>
            <w:vAlign w:val="center"/>
          </w:tcPr>
          <w:p w14:paraId="2E44EE10" w14:textId="77777777" w:rsidR="00B14D53" w:rsidRDefault="00000000">
            <w:pPr>
              <w:contextualSpacing/>
              <w:jc w:val="center"/>
              <w:rPr>
                <w:szCs w:val="21"/>
              </w:rPr>
            </w:pPr>
            <w:r>
              <w:rPr>
                <w:szCs w:val="21"/>
              </w:rPr>
              <w:t>10</w:t>
            </w:r>
          </w:p>
        </w:tc>
        <w:tc>
          <w:tcPr>
            <w:tcW w:w="1690" w:type="pct"/>
            <w:vAlign w:val="center"/>
          </w:tcPr>
          <w:p w14:paraId="256D9A4E" w14:textId="77777777" w:rsidR="00B14D53" w:rsidRDefault="00000000">
            <w:pPr>
              <w:contextualSpacing/>
              <w:jc w:val="center"/>
              <w:rPr>
                <w:szCs w:val="21"/>
              </w:rPr>
            </w:pPr>
            <w:r>
              <w:rPr>
                <w:rFonts w:hint="eastAsia"/>
                <w:szCs w:val="21"/>
              </w:rPr>
              <w:t>滑道</w:t>
            </w:r>
          </w:p>
        </w:tc>
        <w:tc>
          <w:tcPr>
            <w:tcW w:w="1345" w:type="pct"/>
            <w:vAlign w:val="center"/>
          </w:tcPr>
          <w:p w14:paraId="78C5688A" w14:textId="77777777" w:rsidR="00B14D53" w:rsidRDefault="00000000">
            <w:pPr>
              <w:contextualSpacing/>
              <w:jc w:val="center"/>
              <w:rPr>
                <w:szCs w:val="21"/>
              </w:rPr>
            </w:pPr>
            <w:r>
              <w:rPr>
                <w:szCs w:val="21"/>
              </w:rPr>
              <w:t>/</w:t>
            </w:r>
          </w:p>
        </w:tc>
        <w:tc>
          <w:tcPr>
            <w:tcW w:w="590" w:type="pct"/>
            <w:vAlign w:val="center"/>
          </w:tcPr>
          <w:p w14:paraId="48487DE7" w14:textId="77777777" w:rsidR="00B14D53" w:rsidRDefault="00000000">
            <w:pPr>
              <w:contextualSpacing/>
              <w:jc w:val="center"/>
              <w:rPr>
                <w:szCs w:val="21"/>
              </w:rPr>
            </w:pPr>
            <w:r>
              <w:rPr>
                <w:szCs w:val="21"/>
              </w:rPr>
              <w:t>米</w:t>
            </w:r>
          </w:p>
        </w:tc>
        <w:tc>
          <w:tcPr>
            <w:tcW w:w="678" w:type="pct"/>
            <w:vAlign w:val="center"/>
          </w:tcPr>
          <w:p w14:paraId="2012E5DB" w14:textId="77777777" w:rsidR="00B14D53" w:rsidRDefault="00000000">
            <w:pPr>
              <w:contextualSpacing/>
              <w:jc w:val="center"/>
              <w:rPr>
                <w:szCs w:val="21"/>
              </w:rPr>
            </w:pPr>
            <w:r>
              <w:t>12</w:t>
            </w:r>
          </w:p>
        </w:tc>
      </w:tr>
      <w:tr w:rsidR="00B14D53" w14:paraId="2048D3FC" w14:textId="77777777">
        <w:trPr>
          <w:trHeight w:val="256"/>
          <w:jc w:val="center"/>
        </w:trPr>
        <w:tc>
          <w:tcPr>
            <w:tcW w:w="695" w:type="pct"/>
            <w:vAlign w:val="center"/>
          </w:tcPr>
          <w:p w14:paraId="3A085FC3" w14:textId="77777777" w:rsidR="00B14D53" w:rsidRDefault="00000000">
            <w:pPr>
              <w:contextualSpacing/>
              <w:jc w:val="center"/>
              <w:rPr>
                <w:szCs w:val="21"/>
              </w:rPr>
            </w:pPr>
            <w:r>
              <w:rPr>
                <w:szCs w:val="21"/>
              </w:rPr>
              <w:t>11</w:t>
            </w:r>
          </w:p>
        </w:tc>
        <w:tc>
          <w:tcPr>
            <w:tcW w:w="1690" w:type="pct"/>
            <w:vAlign w:val="center"/>
          </w:tcPr>
          <w:p w14:paraId="6E4E7D2D" w14:textId="77777777" w:rsidR="00B14D53" w:rsidRDefault="00000000">
            <w:pPr>
              <w:contextualSpacing/>
              <w:jc w:val="center"/>
              <w:rPr>
                <w:szCs w:val="21"/>
              </w:rPr>
            </w:pPr>
            <w:r>
              <w:rPr>
                <w:szCs w:val="21"/>
              </w:rPr>
              <w:t>真空放血系统</w:t>
            </w:r>
          </w:p>
        </w:tc>
        <w:tc>
          <w:tcPr>
            <w:tcW w:w="1345" w:type="pct"/>
            <w:vAlign w:val="center"/>
          </w:tcPr>
          <w:p w14:paraId="5425102C" w14:textId="77777777" w:rsidR="00B14D53" w:rsidRDefault="00000000">
            <w:pPr>
              <w:contextualSpacing/>
              <w:jc w:val="center"/>
              <w:rPr>
                <w:szCs w:val="21"/>
              </w:rPr>
            </w:pPr>
            <w:r>
              <w:rPr>
                <w:szCs w:val="21"/>
              </w:rPr>
              <w:t>/</w:t>
            </w:r>
          </w:p>
        </w:tc>
        <w:tc>
          <w:tcPr>
            <w:tcW w:w="590" w:type="pct"/>
            <w:vAlign w:val="center"/>
          </w:tcPr>
          <w:p w14:paraId="2CEA4652" w14:textId="77777777" w:rsidR="00B14D53" w:rsidRDefault="00000000">
            <w:pPr>
              <w:contextualSpacing/>
              <w:jc w:val="center"/>
              <w:rPr>
                <w:szCs w:val="21"/>
              </w:rPr>
            </w:pPr>
            <w:r>
              <w:rPr>
                <w:rFonts w:hint="eastAsia"/>
                <w:szCs w:val="21"/>
              </w:rPr>
              <w:t>套</w:t>
            </w:r>
          </w:p>
        </w:tc>
        <w:tc>
          <w:tcPr>
            <w:tcW w:w="678" w:type="pct"/>
            <w:vAlign w:val="center"/>
          </w:tcPr>
          <w:p w14:paraId="32988591" w14:textId="77777777" w:rsidR="00B14D53" w:rsidRDefault="00000000">
            <w:pPr>
              <w:contextualSpacing/>
              <w:jc w:val="center"/>
              <w:rPr>
                <w:szCs w:val="21"/>
              </w:rPr>
            </w:pPr>
            <w:r>
              <w:rPr>
                <w:rFonts w:hint="eastAsia"/>
                <w:szCs w:val="21"/>
              </w:rPr>
              <w:t>1</w:t>
            </w:r>
          </w:p>
        </w:tc>
      </w:tr>
      <w:tr w:rsidR="00B14D53" w14:paraId="7A090DFD" w14:textId="77777777">
        <w:trPr>
          <w:trHeight w:val="256"/>
          <w:jc w:val="center"/>
        </w:trPr>
        <w:tc>
          <w:tcPr>
            <w:tcW w:w="695" w:type="pct"/>
            <w:vAlign w:val="center"/>
          </w:tcPr>
          <w:p w14:paraId="24F928E4" w14:textId="77777777" w:rsidR="00B14D53" w:rsidRDefault="00000000">
            <w:pPr>
              <w:contextualSpacing/>
              <w:jc w:val="center"/>
              <w:rPr>
                <w:szCs w:val="21"/>
              </w:rPr>
            </w:pPr>
            <w:r>
              <w:rPr>
                <w:szCs w:val="21"/>
              </w:rPr>
              <w:t>12</w:t>
            </w:r>
          </w:p>
        </w:tc>
        <w:tc>
          <w:tcPr>
            <w:tcW w:w="1690" w:type="pct"/>
            <w:vAlign w:val="center"/>
          </w:tcPr>
          <w:p w14:paraId="05A26B1A" w14:textId="77777777" w:rsidR="00B14D53" w:rsidRDefault="00000000">
            <w:pPr>
              <w:contextualSpacing/>
              <w:jc w:val="center"/>
              <w:rPr>
                <w:szCs w:val="21"/>
              </w:rPr>
            </w:pPr>
            <w:r>
              <w:rPr>
                <w:szCs w:val="21"/>
              </w:rPr>
              <w:t>集血槽</w:t>
            </w:r>
          </w:p>
        </w:tc>
        <w:tc>
          <w:tcPr>
            <w:tcW w:w="1345" w:type="pct"/>
            <w:vAlign w:val="center"/>
          </w:tcPr>
          <w:p w14:paraId="42F387BB" w14:textId="77777777" w:rsidR="00B14D53" w:rsidRDefault="00000000">
            <w:pPr>
              <w:contextualSpacing/>
              <w:jc w:val="center"/>
              <w:rPr>
                <w:szCs w:val="21"/>
              </w:rPr>
            </w:pPr>
            <w:r>
              <w:rPr>
                <w:szCs w:val="21"/>
              </w:rPr>
              <w:t>/</w:t>
            </w:r>
          </w:p>
        </w:tc>
        <w:tc>
          <w:tcPr>
            <w:tcW w:w="590" w:type="pct"/>
            <w:vAlign w:val="center"/>
          </w:tcPr>
          <w:p w14:paraId="13AAEF1F" w14:textId="77777777" w:rsidR="00B14D53" w:rsidRDefault="00000000">
            <w:pPr>
              <w:contextualSpacing/>
              <w:jc w:val="center"/>
              <w:rPr>
                <w:rFonts w:hAnsi="宋体" w:hint="eastAsia"/>
                <w:szCs w:val="21"/>
              </w:rPr>
            </w:pPr>
            <w:r>
              <w:rPr>
                <w:szCs w:val="21"/>
              </w:rPr>
              <w:t>个</w:t>
            </w:r>
          </w:p>
        </w:tc>
        <w:tc>
          <w:tcPr>
            <w:tcW w:w="678" w:type="pct"/>
            <w:vAlign w:val="center"/>
          </w:tcPr>
          <w:p w14:paraId="1FA4381A" w14:textId="77777777" w:rsidR="00B14D53" w:rsidRDefault="00000000">
            <w:pPr>
              <w:contextualSpacing/>
              <w:jc w:val="center"/>
            </w:pPr>
            <w:r>
              <w:rPr>
                <w:rFonts w:hint="eastAsia"/>
                <w:szCs w:val="21"/>
              </w:rPr>
              <w:t>1</w:t>
            </w:r>
          </w:p>
        </w:tc>
      </w:tr>
    </w:tbl>
    <w:p w14:paraId="486AAD3A"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3.1.</w:t>
      </w:r>
      <w:r>
        <w:rPr>
          <w:rFonts w:ascii="Times New Roman" w:eastAsia="黑体" w:hAnsi="Times New Roman" w:cs="Times New Roman" w:hint="eastAsia"/>
          <w:bCs/>
          <w:sz w:val="28"/>
          <w:szCs w:val="28"/>
        </w:rPr>
        <w:t>4</w:t>
      </w:r>
      <w:r>
        <w:rPr>
          <w:rFonts w:ascii="Times New Roman" w:eastAsia="黑体" w:hAnsi="Times New Roman" w:cs="Times New Roman"/>
          <w:bCs/>
          <w:sz w:val="28"/>
          <w:szCs w:val="28"/>
        </w:rPr>
        <w:t>主要原辅材料消耗</w:t>
      </w:r>
    </w:p>
    <w:p w14:paraId="3F846FE6" w14:textId="77777777" w:rsidR="00B14D53" w:rsidRDefault="00000000">
      <w:pPr>
        <w:spacing w:line="360" w:lineRule="auto"/>
        <w:ind w:firstLineChars="200" w:firstLine="480"/>
        <w:jc w:val="left"/>
        <w:rPr>
          <w:rFonts w:eastAsiaTheme="minorEastAsia"/>
          <w:sz w:val="24"/>
        </w:rPr>
      </w:pPr>
      <w:r>
        <w:rPr>
          <w:rFonts w:eastAsiaTheme="minorEastAsia" w:hAnsiTheme="minorEastAsia"/>
          <w:sz w:val="24"/>
          <w:shd w:val="clear" w:color="auto" w:fill="FFFFFF"/>
        </w:rPr>
        <w:t>本项目</w:t>
      </w:r>
      <w:r>
        <w:rPr>
          <w:rFonts w:eastAsiaTheme="minorEastAsia" w:hAnsiTheme="minorEastAsia"/>
          <w:sz w:val="24"/>
        </w:rPr>
        <w:t>主要原辅材料消耗详见下表。</w:t>
      </w:r>
    </w:p>
    <w:p w14:paraId="56C59EA0" w14:textId="77777777" w:rsidR="00B14D53" w:rsidRDefault="00000000">
      <w:pPr>
        <w:jc w:val="center"/>
        <w:rPr>
          <w:b/>
          <w:bCs/>
        </w:rPr>
      </w:pPr>
      <w:r>
        <w:rPr>
          <w:rFonts w:hint="eastAsia"/>
          <w:b/>
          <w:bCs/>
        </w:rPr>
        <w:t>表</w:t>
      </w:r>
      <w:r>
        <w:rPr>
          <w:rFonts w:hint="eastAsia"/>
          <w:b/>
          <w:bCs/>
        </w:rPr>
        <w:t xml:space="preserve">3-1-3 </w:t>
      </w:r>
      <w:r>
        <w:rPr>
          <w:rFonts w:hint="eastAsia"/>
          <w:b/>
          <w:bCs/>
        </w:rPr>
        <w:t>主要原辅材料年消耗</w:t>
      </w:r>
    </w:p>
    <w:tbl>
      <w:tblPr>
        <w:tblStyle w:val="aff8"/>
        <w:tblW w:w="4998"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57"/>
        <w:gridCol w:w="1110"/>
        <w:gridCol w:w="1280"/>
        <w:gridCol w:w="1059"/>
        <w:gridCol w:w="1091"/>
        <w:gridCol w:w="1378"/>
        <w:gridCol w:w="1828"/>
      </w:tblGrid>
      <w:tr w:rsidR="00B14D53" w14:paraId="51384183" w14:textId="77777777">
        <w:tc>
          <w:tcPr>
            <w:tcW w:w="335" w:type="pct"/>
            <w:tcBorders>
              <w:tl2br w:val="nil"/>
              <w:tr2bl w:val="nil"/>
            </w:tcBorders>
            <w:vAlign w:val="center"/>
          </w:tcPr>
          <w:p w14:paraId="76633251" w14:textId="77777777" w:rsidR="00B14D53" w:rsidRDefault="00000000">
            <w:pPr>
              <w:pStyle w:val="af2"/>
              <w:spacing w:after="0"/>
              <w:jc w:val="center"/>
              <w:rPr>
                <w:b/>
                <w:bCs/>
                <w:spacing w:val="4"/>
                <w:szCs w:val="21"/>
              </w:rPr>
            </w:pPr>
            <w:r>
              <w:rPr>
                <w:b/>
                <w:bCs/>
                <w:spacing w:val="4"/>
                <w:szCs w:val="21"/>
              </w:rPr>
              <w:t>序号</w:t>
            </w:r>
          </w:p>
        </w:tc>
        <w:tc>
          <w:tcPr>
            <w:tcW w:w="668" w:type="pct"/>
            <w:tcBorders>
              <w:tl2br w:val="nil"/>
              <w:tr2bl w:val="nil"/>
            </w:tcBorders>
            <w:vAlign w:val="center"/>
          </w:tcPr>
          <w:p w14:paraId="568E5798" w14:textId="77777777" w:rsidR="00B14D53" w:rsidRDefault="00000000">
            <w:pPr>
              <w:pStyle w:val="af2"/>
              <w:spacing w:after="0"/>
              <w:jc w:val="center"/>
              <w:rPr>
                <w:b/>
                <w:bCs/>
                <w:spacing w:val="4"/>
                <w:szCs w:val="21"/>
              </w:rPr>
            </w:pPr>
            <w:r>
              <w:rPr>
                <w:b/>
                <w:bCs/>
                <w:spacing w:val="4"/>
                <w:szCs w:val="21"/>
              </w:rPr>
              <w:t>名称</w:t>
            </w:r>
          </w:p>
        </w:tc>
        <w:tc>
          <w:tcPr>
            <w:tcW w:w="770" w:type="pct"/>
            <w:tcBorders>
              <w:tl2br w:val="nil"/>
              <w:tr2bl w:val="nil"/>
            </w:tcBorders>
            <w:vAlign w:val="center"/>
          </w:tcPr>
          <w:p w14:paraId="2DC339F6" w14:textId="77777777" w:rsidR="00B14D53" w:rsidRDefault="00000000">
            <w:pPr>
              <w:pStyle w:val="af2"/>
              <w:spacing w:after="0"/>
              <w:jc w:val="center"/>
              <w:rPr>
                <w:b/>
                <w:bCs/>
                <w:spacing w:val="4"/>
                <w:szCs w:val="21"/>
              </w:rPr>
            </w:pPr>
            <w:r>
              <w:rPr>
                <w:b/>
                <w:bCs/>
                <w:spacing w:val="4"/>
                <w:szCs w:val="21"/>
              </w:rPr>
              <w:t>规格</w:t>
            </w:r>
            <w:r>
              <w:rPr>
                <w:b/>
                <w:bCs/>
                <w:spacing w:val="4"/>
                <w:szCs w:val="21"/>
              </w:rPr>
              <w:t>/</w:t>
            </w:r>
            <w:r>
              <w:rPr>
                <w:b/>
                <w:bCs/>
                <w:spacing w:val="4"/>
                <w:szCs w:val="21"/>
              </w:rPr>
              <w:t>单耗</w:t>
            </w:r>
          </w:p>
        </w:tc>
        <w:tc>
          <w:tcPr>
            <w:tcW w:w="637" w:type="pct"/>
            <w:tcBorders>
              <w:tl2br w:val="nil"/>
              <w:tr2bl w:val="nil"/>
            </w:tcBorders>
            <w:vAlign w:val="center"/>
          </w:tcPr>
          <w:p w14:paraId="359360BE" w14:textId="77777777" w:rsidR="00B14D53" w:rsidRDefault="00000000">
            <w:pPr>
              <w:pStyle w:val="af2"/>
              <w:spacing w:after="0"/>
              <w:jc w:val="center"/>
              <w:rPr>
                <w:b/>
                <w:bCs/>
                <w:spacing w:val="4"/>
                <w:szCs w:val="21"/>
              </w:rPr>
            </w:pPr>
            <w:r>
              <w:rPr>
                <w:b/>
                <w:bCs/>
                <w:spacing w:val="4"/>
                <w:szCs w:val="21"/>
              </w:rPr>
              <w:t>包装方式</w:t>
            </w:r>
          </w:p>
        </w:tc>
        <w:tc>
          <w:tcPr>
            <w:tcW w:w="657" w:type="pct"/>
            <w:tcBorders>
              <w:tl2br w:val="nil"/>
              <w:tr2bl w:val="nil"/>
            </w:tcBorders>
            <w:vAlign w:val="center"/>
          </w:tcPr>
          <w:p w14:paraId="71F332B6" w14:textId="77777777" w:rsidR="00B14D53" w:rsidRDefault="00000000">
            <w:pPr>
              <w:pStyle w:val="af2"/>
              <w:spacing w:after="0"/>
              <w:jc w:val="center"/>
              <w:rPr>
                <w:b/>
                <w:bCs/>
                <w:spacing w:val="4"/>
                <w:szCs w:val="21"/>
              </w:rPr>
            </w:pPr>
            <w:r>
              <w:rPr>
                <w:rFonts w:hint="eastAsia"/>
                <w:b/>
                <w:bCs/>
                <w:spacing w:val="4"/>
                <w:szCs w:val="21"/>
              </w:rPr>
              <w:t>用量</w:t>
            </w:r>
          </w:p>
        </w:tc>
        <w:tc>
          <w:tcPr>
            <w:tcW w:w="830" w:type="pct"/>
            <w:tcBorders>
              <w:tl2br w:val="nil"/>
              <w:tr2bl w:val="nil"/>
            </w:tcBorders>
            <w:vAlign w:val="center"/>
          </w:tcPr>
          <w:p w14:paraId="19ED5A38" w14:textId="77777777" w:rsidR="00B14D53" w:rsidRDefault="00000000">
            <w:pPr>
              <w:pStyle w:val="af2"/>
              <w:spacing w:after="0"/>
              <w:jc w:val="center"/>
              <w:rPr>
                <w:b/>
                <w:bCs/>
                <w:spacing w:val="4"/>
                <w:szCs w:val="21"/>
              </w:rPr>
            </w:pPr>
            <w:r>
              <w:rPr>
                <w:b/>
                <w:bCs/>
                <w:spacing w:val="4"/>
                <w:szCs w:val="21"/>
              </w:rPr>
              <w:t>最大储存量</w:t>
            </w:r>
          </w:p>
        </w:tc>
        <w:tc>
          <w:tcPr>
            <w:tcW w:w="1100" w:type="pct"/>
            <w:tcBorders>
              <w:tl2br w:val="nil"/>
              <w:tr2bl w:val="nil"/>
            </w:tcBorders>
            <w:vAlign w:val="center"/>
          </w:tcPr>
          <w:p w14:paraId="41AAD19D" w14:textId="77777777" w:rsidR="00B14D53" w:rsidRDefault="00000000">
            <w:pPr>
              <w:pStyle w:val="af2"/>
              <w:spacing w:after="0"/>
              <w:jc w:val="center"/>
              <w:rPr>
                <w:b/>
                <w:bCs/>
                <w:spacing w:val="4"/>
                <w:szCs w:val="21"/>
              </w:rPr>
            </w:pPr>
            <w:r>
              <w:rPr>
                <w:b/>
                <w:bCs/>
                <w:spacing w:val="4"/>
                <w:szCs w:val="21"/>
              </w:rPr>
              <w:t>备注</w:t>
            </w:r>
          </w:p>
        </w:tc>
      </w:tr>
      <w:tr w:rsidR="00B14D53" w14:paraId="7807AC1A" w14:textId="77777777">
        <w:tc>
          <w:tcPr>
            <w:tcW w:w="335" w:type="pct"/>
            <w:tcBorders>
              <w:tl2br w:val="nil"/>
              <w:tr2bl w:val="nil"/>
            </w:tcBorders>
            <w:vAlign w:val="center"/>
          </w:tcPr>
          <w:p w14:paraId="76361162" w14:textId="77777777" w:rsidR="00B14D53" w:rsidRDefault="00000000">
            <w:pPr>
              <w:pStyle w:val="af2"/>
              <w:spacing w:after="0"/>
              <w:jc w:val="center"/>
              <w:rPr>
                <w:spacing w:val="4"/>
                <w:szCs w:val="21"/>
              </w:rPr>
            </w:pPr>
            <w:r>
              <w:rPr>
                <w:spacing w:val="4"/>
                <w:szCs w:val="21"/>
              </w:rPr>
              <w:t>1</w:t>
            </w:r>
          </w:p>
        </w:tc>
        <w:tc>
          <w:tcPr>
            <w:tcW w:w="668" w:type="pct"/>
            <w:tcBorders>
              <w:tl2br w:val="nil"/>
              <w:tr2bl w:val="nil"/>
            </w:tcBorders>
            <w:vAlign w:val="center"/>
          </w:tcPr>
          <w:p w14:paraId="1345D1CB" w14:textId="77777777" w:rsidR="00B14D53" w:rsidRDefault="00000000">
            <w:pPr>
              <w:pStyle w:val="af2"/>
              <w:spacing w:after="0"/>
              <w:jc w:val="center"/>
              <w:rPr>
                <w:spacing w:val="4"/>
                <w:szCs w:val="21"/>
              </w:rPr>
            </w:pPr>
            <w:r>
              <w:rPr>
                <w:spacing w:val="4"/>
                <w:szCs w:val="21"/>
              </w:rPr>
              <w:t>生猪</w:t>
            </w:r>
          </w:p>
        </w:tc>
        <w:tc>
          <w:tcPr>
            <w:tcW w:w="770" w:type="pct"/>
            <w:tcBorders>
              <w:tl2br w:val="nil"/>
              <w:tr2bl w:val="nil"/>
            </w:tcBorders>
            <w:vAlign w:val="center"/>
          </w:tcPr>
          <w:p w14:paraId="788E0F84" w14:textId="77777777" w:rsidR="00B14D53" w:rsidRDefault="00000000">
            <w:pPr>
              <w:pStyle w:val="af2"/>
              <w:spacing w:after="0"/>
              <w:jc w:val="center"/>
              <w:rPr>
                <w:spacing w:val="4"/>
                <w:szCs w:val="21"/>
              </w:rPr>
            </w:pPr>
            <w:r>
              <w:rPr>
                <w:spacing w:val="4"/>
                <w:szCs w:val="21"/>
              </w:rPr>
              <w:t>110kg/</w:t>
            </w:r>
            <w:r>
              <w:rPr>
                <w:spacing w:val="4"/>
                <w:szCs w:val="21"/>
              </w:rPr>
              <w:t>头</w:t>
            </w:r>
          </w:p>
        </w:tc>
        <w:tc>
          <w:tcPr>
            <w:tcW w:w="637" w:type="pct"/>
            <w:tcBorders>
              <w:tl2br w:val="nil"/>
              <w:tr2bl w:val="nil"/>
            </w:tcBorders>
            <w:vAlign w:val="center"/>
          </w:tcPr>
          <w:p w14:paraId="7CF632AF" w14:textId="77777777" w:rsidR="00B14D53" w:rsidRDefault="00000000">
            <w:pPr>
              <w:pStyle w:val="af2"/>
              <w:spacing w:after="0"/>
              <w:jc w:val="center"/>
              <w:rPr>
                <w:spacing w:val="4"/>
                <w:szCs w:val="21"/>
              </w:rPr>
            </w:pPr>
            <w:r>
              <w:rPr>
                <w:rFonts w:hint="eastAsia"/>
                <w:spacing w:val="4"/>
                <w:szCs w:val="21"/>
              </w:rPr>
              <w:t>/</w:t>
            </w:r>
          </w:p>
        </w:tc>
        <w:tc>
          <w:tcPr>
            <w:tcW w:w="657" w:type="pct"/>
            <w:tcBorders>
              <w:tl2br w:val="nil"/>
              <w:tr2bl w:val="nil"/>
            </w:tcBorders>
            <w:vAlign w:val="center"/>
          </w:tcPr>
          <w:p w14:paraId="0C036DF8" w14:textId="77777777" w:rsidR="00B14D53" w:rsidRDefault="00000000">
            <w:pPr>
              <w:pStyle w:val="af2"/>
              <w:spacing w:after="0"/>
              <w:jc w:val="center"/>
              <w:rPr>
                <w:spacing w:val="4"/>
                <w:szCs w:val="21"/>
              </w:rPr>
            </w:pPr>
            <w:r>
              <w:rPr>
                <w:rFonts w:hint="eastAsia"/>
                <w:spacing w:val="4"/>
                <w:szCs w:val="21"/>
              </w:rPr>
              <w:t>16</w:t>
            </w:r>
            <w:r>
              <w:rPr>
                <w:rFonts w:hint="eastAsia"/>
                <w:spacing w:val="4"/>
                <w:szCs w:val="21"/>
              </w:rPr>
              <w:t>万头</w:t>
            </w:r>
          </w:p>
        </w:tc>
        <w:tc>
          <w:tcPr>
            <w:tcW w:w="830" w:type="pct"/>
            <w:tcBorders>
              <w:tl2br w:val="nil"/>
              <w:tr2bl w:val="nil"/>
            </w:tcBorders>
            <w:vAlign w:val="center"/>
          </w:tcPr>
          <w:p w14:paraId="7A9E8973" w14:textId="77777777" w:rsidR="00B14D53" w:rsidRDefault="00000000">
            <w:pPr>
              <w:pStyle w:val="af2"/>
              <w:spacing w:after="0"/>
              <w:jc w:val="center"/>
              <w:rPr>
                <w:spacing w:val="4"/>
                <w:szCs w:val="21"/>
              </w:rPr>
            </w:pPr>
            <w:r>
              <w:rPr>
                <w:rFonts w:hint="eastAsia"/>
                <w:spacing w:val="4"/>
                <w:szCs w:val="21"/>
              </w:rPr>
              <w:t>471</w:t>
            </w:r>
            <w:r>
              <w:rPr>
                <w:rFonts w:hint="eastAsia"/>
                <w:spacing w:val="4"/>
                <w:szCs w:val="21"/>
              </w:rPr>
              <w:t>头</w:t>
            </w:r>
          </w:p>
        </w:tc>
        <w:tc>
          <w:tcPr>
            <w:tcW w:w="1100" w:type="pct"/>
            <w:tcBorders>
              <w:tl2br w:val="nil"/>
              <w:tr2bl w:val="nil"/>
            </w:tcBorders>
            <w:vAlign w:val="center"/>
          </w:tcPr>
          <w:p w14:paraId="2F0BF01F" w14:textId="77777777" w:rsidR="00B14D53" w:rsidRDefault="00000000">
            <w:pPr>
              <w:pStyle w:val="af2"/>
              <w:spacing w:after="0"/>
              <w:jc w:val="center"/>
              <w:rPr>
                <w:spacing w:val="4"/>
                <w:szCs w:val="21"/>
              </w:rPr>
            </w:pPr>
            <w:r>
              <w:rPr>
                <w:rFonts w:hint="eastAsia"/>
                <w:spacing w:val="4"/>
                <w:szCs w:val="21"/>
              </w:rPr>
              <w:t>生产猪胴体、其他产品</w:t>
            </w:r>
          </w:p>
        </w:tc>
      </w:tr>
      <w:tr w:rsidR="00B14D53" w14:paraId="14504C0C" w14:textId="77777777">
        <w:tc>
          <w:tcPr>
            <w:tcW w:w="335" w:type="pct"/>
            <w:tcBorders>
              <w:tl2br w:val="nil"/>
              <w:tr2bl w:val="nil"/>
            </w:tcBorders>
            <w:vAlign w:val="center"/>
          </w:tcPr>
          <w:p w14:paraId="59624F4A" w14:textId="77777777" w:rsidR="00B14D53" w:rsidRDefault="00000000">
            <w:pPr>
              <w:pStyle w:val="af2"/>
              <w:spacing w:after="0"/>
              <w:jc w:val="center"/>
              <w:rPr>
                <w:spacing w:val="4"/>
                <w:szCs w:val="21"/>
              </w:rPr>
            </w:pPr>
            <w:r>
              <w:rPr>
                <w:rFonts w:hint="eastAsia"/>
                <w:spacing w:val="4"/>
                <w:szCs w:val="21"/>
              </w:rPr>
              <w:t>2</w:t>
            </w:r>
          </w:p>
        </w:tc>
        <w:tc>
          <w:tcPr>
            <w:tcW w:w="1139" w:type="dxa"/>
            <w:tcBorders>
              <w:tl2br w:val="nil"/>
              <w:tr2bl w:val="nil"/>
            </w:tcBorders>
          </w:tcPr>
          <w:p w14:paraId="2B88AED0" w14:textId="77777777" w:rsidR="00B14D53" w:rsidRDefault="00000000">
            <w:pPr>
              <w:pStyle w:val="af2"/>
              <w:spacing w:after="0"/>
              <w:jc w:val="center"/>
              <w:rPr>
                <w:spacing w:val="4"/>
                <w:szCs w:val="21"/>
              </w:rPr>
            </w:pPr>
            <w:r>
              <w:rPr>
                <w:spacing w:val="4"/>
                <w:szCs w:val="21"/>
              </w:rPr>
              <w:t>薄膜</w:t>
            </w:r>
          </w:p>
        </w:tc>
        <w:tc>
          <w:tcPr>
            <w:tcW w:w="1313" w:type="dxa"/>
            <w:tcBorders>
              <w:tl2br w:val="nil"/>
              <w:tr2bl w:val="nil"/>
            </w:tcBorders>
          </w:tcPr>
          <w:p w14:paraId="35A72EBD" w14:textId="77777777" w:rsidR="00B14D53" w:rsidRDefault="00000000">
            <w:pPr>
              <w:pStyle w:val="af2"/>
              <w:spacing w:after="0"/>
              <w:jc w:val="center"/>
              <w:rPr>
                <w:spacing w:val="4"/>
                <w:szCs w:val="21"/>
              </w:rPr>
            </w:pPr>
            <w:r>
              <w:rPr>
                <w:spacing w:val="4"/>
                <w:szCs w:val="21"/>
              </w:rPr>
              <w:t>2kg/</w:t>
            </w:r>
            <w:r>
              <w:rPr>
                <w:spacing w:val="4"/>
                <w:szCs w:val="21"/>
              </w:rPr>
              <w:t>卷</w:t>
            </w:r>
          </w:p>
        </w:tc>
        <w:tc>
          <w:tcPr>
            <w:tcW w:w="1086" w:type="dxa"/>
            <w:tcBorders>
              <w:tl2br w:val="nil"/>
              <w:tr2bl w:val="nil"/>
            </w:tcBorders>
          </w:tcPr>
          <w:p w14:paraId="69B8E5F2" w14:textId="77777777" w:rsidR="00B14D53" w:rsidRDefault="00000000">
            <w:pPr>
              <w:pStyle w:val="af2"/>
              <w:spacing w:after="0"/>
              <w:jc w:val="center"/>
              <w:rPr>
                <w:spacing w:val="4"/>
                <w:szCs w:val="21"/>
              </w:rPr>
            </w:pPr>
            <w:r>
              <w:rPr>
                <w:rFonts w:hint="eastAsia"/>
                <w:spacing w:val="4"/>
                <w:szCs w:val="21"/>
              </w:rPr>
              <w:t>袋装</w:t>
            </w:r>
          </w:p>
        </w:tc>
        <w:tc>
          <w:tcPr>
            <w:tcW w:w="1120" w:type="dxa"/>
            <w:tcBorders>
              <w:tl2br w:val="nil"/>
              <w:tr2bl w:val="nil"/>
            </w:tcBorders>
          </w:tcPr>
          <w:p w14:paraId="755A5438" w14:textId="77777777" w:rsidR="00B14D53" w:rsidRDefault="00000000">
            <w:pPr>
              <w:pStyle w:val="af2"/>
              <w:spacing w:after="0"/>
              <w:jc w:val="center"/>
              <w:rPr>
                <w:spacing w:val="4"/>
                <w:szCs w:val="21"/>
              </w:rPr>
            </w:pPr>
            <w:r>
              <w:rPr>
                <w:rFonts w:hint="eastAsia"/>
                <w:spacing w:val="4"/>
                <w:szCs w:val="21"/>
              </w:rPr>
              <w:t>3</w:t>
            </w:r>
            <w:r>
              <w:rPr>
                <w:rFonts w:hint="eastAsia"/>
                <w:spacing w:val="4"/>
                <w:szCs w:val="21"/>
              </w:rPr>
              <w:t>卷</w:t>
            </w:r>
            <w:r>
              <w:rPr>
                <w:rFonts w:hint="eastAsia"/>
                <w:spacing w:val="4"/>
                <w:szCs w:val="21"/>
              </w:rPr>
              <w:t>/a</w:t>
            </w:r>
          </w:p>
        </w:tc>
        <w:tc>
          <w:tcPr>
            <w:tcW w:w="1415" w:type="dxa"/>
            <w:tcBorders>
              <w:tl2br w:val="nil"/>
              <w:tr2bl w:val="nil"/>
            </w:tcBorders>
          </w:tcPr>
          <w:p w14:paraId="255DEA59" w14:textId="77777777" w:rsidR="00B14D53" w:rsidRDefault="00000000">
            <w:pPr>
              <w:pStyle w:val="af2"/>
              <w:spacing w:after="0"/>
              <w:jc w:val="center"/>
              <w:rPr>
                <w:spacing w:val="4"/>
                <w:szCs w:val="21"/>
              </w:rPr>
            </w:pPr>
            <w:r>
              <w:rPr>
                <w:rFonts w:hint="eastAsia"/>
                <w:spacing w:val="4"/>
                <w:szCs w:val="21"/>
              </w:rPr>
              <w:t>3</w:t>
            </w:r>
            <w:r>
              <w:rPr>
                <w:rFonts w:hint="eastAsia"/>
                <w:spacing w:val="4"/>
                <w:szCs w:val="21"/>
              </w:rPr>
              <w:t>卷</w:t>
            </w:r>
            <w:r>
              <w:rPr>
                <w:rFonts w:hint="eastAsia"/>
                <w:spacing w:val="4"/>
                <w:szCs w:val="21"/>
              </w:rPr>
              <w:t>/a</w:t>
            </w:r>
          </w:p>
        </w:tc>
        <w:tc>
          <w:tcPr>
            <w:tcW w:w="1875" w:type="dxa"/>
            <w:tcBorders>
              <w:tl2br w:val="nil"/>
              <w:tr2bl w:val="nil"/>
            </w:tcBorders>
          </w:tcPr>
          <w:p w14:paraId="1EF41181" w14:textId="77777777" w:rsidR="00B14D53" w:rsidRDefault="00000000">
            <w:pPr>
              <w:pStyle w:val="af2"/>
              <w:spacing w:after="0"/>
              <w:jc w:val="center"/>
              <w:rPr>
                <w:spacing w:val="4"/>
                <w:szCs w:val="21"/>
              </w:rPr>
            </w:pPr>
            <w:r>
              <w:rPr>
                <w:rFonts w:hint="eastAsia"/>
                <w:spacing w:val="4"/>
                <w:szCs w:val="21"/>
              </w:rPr>
              <w:t>包装材料</w:t>
            </w:r>
          </w:p>
        </w:tc>
      </w:tr>
      <w:tr w:rsidR="00B14D53" w14:paraId="4BB0B4E1" w14:textId="77777777">
        <w:tc>
          <w:tcPr>
            <w:tcW w:w="335" w:type="pct"/>
            <w:tcBorders>
              <w:tl2br w:val="nil"/>
              <w:tr2bl w:val="nil"/>
            </w:tcBorders>
            <w:vAlign w:val="center"/>
          </w:tcPr>
          <w:p w14:paraId="67821517" w14:textId="77777777" w:rsidR="00B14D53" w:rsidRDefault="00000000">
            <w:pPr>
              <w:pStyle w:val="af2"/>
              <w:spacing w:after="0"/>
              <w:jc w:val="center"/>
              <w:rPr>
                <w:spacing w:val="4"/>
                <w:szCs w:val="21"/>
              </w:rPr>
            </w:pPr>
            <w:r>
              <w:rPr>
                <w:rFonts w:hint="eastAsia"/>
                <w:spacing w:val="4"/>
                <w:szCs w:val="21"/>
              </w:rPr>
              <w:t>3</w:t>
            </w:r>
          </w:p>
        </w:tc>
        <w:tc>
          <w:tcPr>
            <w:tcW w:w="1139" w:type="dxa"/>
            <w:tcBorders>
              <w:tl2br w:val="nil"/>
              <w:tr2bl w:val="nil"/>
            </w:tcBorders>
          </w:tcPr>
          <w:p w14:paraId="046FFE0F" w14:textId="77777777" w:rsidR="00B14D53" w:rsidRDefault="00000000">
            <w:pPr>
              <w:pStyle w:val="af2"/>
              <w:spacing w:after="0"/>
              <w:jc w:val="center"/>
              <w:rPr>
                <w:spacing w:val="4"/>
                <w:szCs w:val="21"/>
              </w:rPr>
            </w:pPr>
            <w:r>
              <w:rPr>
                <w:spacing w:val="4"/>
                <w:szCs w:val="21"/>
              </w:rPr>
              <w:t>纸箱</w:t>
            </w:r>
          </w:p>
        </w:tc>
        <w:tc>
          <w:tcPr>
            <w:tcW w:w="1313" w:type="dxa"/>
            <w:tcBorders>
              <w:tl2br w:val="nil"/>
              <w:tr2bl w:val="nil"/>
            </w:tcBorders>
          </w:tcPr>
          <w:p w14:paraId="57722BBD" w14:textId="77777777" w:rsidR="00B14D53" w:rsidRDefault="00000000">
            <w:pPr>
              <w:pStyle w:val="af2"/>
              <w:spacing w:after="0"/>
              <w:jc w:val="center"/>
              <w:rPr>
                <w:spacing w:val="4"/>
                <w:szCs w:val="21"/>
              </w:rPr>
            </w:pPr>
            <w:r>
              <w:rPr>
                <w:spacing w:val="4"/>
                <w:szCs w:val="21"/>
              </w:rPr>
              <w:t>12</w:t>
            </w:r>
            <w:r>
              <w:rPr>
                <w:spacing w:val="4"/>
                <w:szCs w:val="21"/>
              </w:rPr>
              <w:t>个</w:t>
            </w:r>
            <w:r>
              <w:rPr>
                <w:spacing w:val="4"/>
                <w:szCs w:val="21"/>
              </w:rPr>
              <w:t>/</w:t>
            </w:r>
            <w:r>
              <w:rPr>
                <w:spacing w:val="4"/>
                <w:szCs w:val="21"/>
              </w:rPr>
              <w:t>箱</w:t>
            </w:r>
          </w:p>
        </w:tc>
        <w:tc>
          <w:tcPr>
            <w:tcW w:w="1086" w:type="dxa"/>
            <w:tcBorders>
              <w:tl2br w:val="nil"/>
              <w:tr2bl w:val="nil"/>
            </w:tcBorders>
          </w:tcPr>
          <w:p w14:paraId="5204C488" w14:textId="77777777" w:rsidR="00B14D53" w:rsidRDefault="00000000">
            <w:pPr>
              <w:pStyle w:val="af2"/>
              <w:spacing w:after="0"/>
              <w:jc w:val="center"/>
              <w:rPr>
                <w:spacing w:val="4"/>
                <w:szCs w:val="21"/>
              </w:rPr>
            </w:pPr>
            <w:r>
              <w:rPr>
                <w:rFonts w:hint="eastAsia"/>
                <w:spacing w:val="4"/>
                <w:szCs w:val="21"/>
              </w:rPr>
              <w:t>袋装</w:t>
            </w:r>
          </w:p>
        </w:tc>
        <w:tc>
          <w:tcPr>
            <w:tcW w:w="1120" w:type="dxa"/>
            <w:tcBorders>
              <w:tl2br w:val="nil"/>
              <w:tr2bl w:val="nil"/>
            </w:tcBorders>
          </w:tcPr>
          <w:p w14:paraId="1BF46B34" w14:textId="77777777" w:rsidR="00B14D53" w:rsidRDefault="00000000">
            <w:pPr>
              <w:pStyle w:val="af2"/>
              <w:spacing w:after="0"/>
              <w:jc w:val="center"/>
              <w:rPr>
                <w:spacing w:val="4"/>
                <w:szCs w:val="21"/>
              </w:rPr>
            </w:pPr>
            <w:r>
              <w:rPr>
                <w:rFonts w:hint="eastAsia"/>
                <w:spacing w:val="4"/>
                <w:szCs w:val="21"/>
              </w:rPr>
              <w:t>300</w:t>
            </w:r>
            <w:r>
              <w:rPr>
                <w:rFonts w:hint="eastAsia"/>
                <w:spacing w:val="4"/>
                <w:szCs w:val="21"/>
              </w:rPr>
              <w:t>箱</w:t>
            </w:r>
            <w:r>
              <w:rPr>
                <w:rFonts w:hint="eastAsia"/>
                <w:spacing w:val="4"/>
                <w:szCs w:val="21"/>
              </w:rPr>
              <w:t>/a</w:t>
            </w:r>
          </w:p>
        </w:tc>
        <w:tc>
          <w:tcPr>
            <w:tcW w:w="1415" w:type="dxa"/>
            <w:tcBorders>
              <w:tl2br w:val="nil"/>
              <w:tr2bl w:val="nil"/>
            </w:tcBorders>
          </w:tcPr>
          <w:p w14:paraId="0AC15C8C" w14:textId="77777777" w:rsidR="00B14D53" w:rsidRDefault="00000000">
            <w:pPr>
              <w:pStyle w:val="af2"/>
              <w:spacing w:after="0"/>
              <w:jc w:val="center"/>
              <w:rPr>
                <w:spacing w:val="4"/>
                <w:szCs w:val="21"/>
              </w:rPr>
            </w:pPr>
            <w:r>
              <w:rPr>
                <w:rFonts w:hint="eastAsia"/>
                <w:spacing w:val="4"/>
                <w:szCs w:val="21"/>
              </w:rPr>
              <w:t>100</w:t>
            </w:r>
            <w:r>
              <w:rPr>
                <w:rFonts w:hint="eastAsia"/>
                <w:spacing w:val="4"/>
                <w:szCs w:val="21"/>
              </w:rPr>
              <w:t>箱</w:t>
            </w:r>
            <w:r>
              <w:rPr>
                <w:rFonts w:hint="eastAsia"/>
                <w:spacing w:val="4"/>
                <w:szCs w:val="21"/>
              </w:rPr>
              <w:t>/a</w:t>
            </w:r>
          </w:p>
        </w:tc>
        <w:tc>
          <w:tcPr>
            <w:tcW w:w="1875" w:type="dxa"/>
            <w:tcBorders>
              <w:tl2br w:val="nil"/>
              <w:tr2bl w:val="nil"/>
            </w:tcBorders>
          </w:tcPr>
          <w:p w14:paraId="3708123E" w14:textId="77777777" w:rsidR="00B14D53" w:rsidRDefault="00000000">
            <w:pPr>
              <w:pStyle w:val="af2"/>
              <w:spacing w:after="0"/>
              <w:jc w:val="center"/>
              <w:rPr>
                <w:spacing w:val="4"/>
                <w:szCs w:val="21"/>
              </w:rPr>
            </w:pPr>
            <w:r>
              <w:rPr>
                <w:rFonts w:hint="eastAsia"/>
                <w:spacing w:val="4"/>
                <w:szCs w:val="21"/>
              </w:rPr>
              <w:t>包装材料</w:t>
            </w:r>
          </w:p>
        </w:tc>
      </w:tr>
      <w:tr w:rsidR="00B14D53" w14:paraId="32774716" w14:textId="77777777">
        <w:tc>
          <w:tcPr>
            <w:tcW w:w="335" w:type="pct"/>
            <w:tcBorders>
              <w:tl2br w:val="nil"/>
              <w:tr2bl w:val="nil"/>
            </w:tcBorders>
            <w:vAlign w:val="center"/>
          </w:tcPr>
          <w:p w14:paraId="55180C34" w14:textId="77777777" w:rsidR="00B14D53" w:rsidRDefault="00000000">
            <w:pPr>
              <w:pStyle w:val="af2"/>
              <w:spacing w:after="0"/>
              <w:jc w:val="center"/>
              <w:rPr>
                <w:spacing w:val="4"/>
                <w:szCs w:val="21"/>
              </w:rPr>
            </w:pPr>
            <w:r>
              <w:rPr>
                <w:rFonts w:hint="eastAsia"/>
                <w:spacing w:val="4"/>
                <w:szCs w:val="21"/>
              </w:rPr>
              <w:t>4</w:t>
            </w:r>
          </w:p>
        </w:tc>
        <w:tc>
          <w:tcPr>
            <w:tcW w:w="668" w:type="pct"/>
            <w:tcBorders>
              <w:tl2br w:val="nil"/>
              <w:tr2bl w:val="nil"/>
            </w:tcBorders>
            <w:vAlign w:val="center"/>
          </w:tcPr>
          <w:p w14:paraId="16991962" w14:textId="77777777" w:rsidR="00B14D53" w:rsidRDefault="00000000">
            <w:pPr>
              <w:pStyle w:val="af2"/>
              <w:spacing w:after="0"/>
              <w:jc w:val="center"/>
              <w:rPr>
                <w:spacing w:val="4"/>
                <w:szCs w:val="21"/>
              </w:rPr>
            </w:pPr>
            <w:r>
              <w:rPr>
                <w:spacing w:val="4"/>
                <w:szCs w:val="21"/>
              </w:rPr>
              <w:t>制冷剂</w:t>
            </w:r>
            <w:r>
              <w:rPr>
                <w:spacing w:val="4"/>
                <w:szCs w:val="21"/>
              </w:rPr>
              <w:t>R404A</w:t>
            </w:r>
          </w:p>
        </w:tc>
        <w:tc>
          <w:tcPr>
            <w:tcW w:w="770" w:type="pct"/>
            <w:tcBorders>
              <w:tl2br w:val="nil"/>
              <w:tr2bl w:val="nil"/>
            </w:tcBorders>
            <w:vAlign w:val="center"/>
          </w:tcPr>
          <w:p w14:paraId="0A6F8D10" w14:textId="77777777" w:rsidR="00B14D53" w:rsidRDefault="00000000">
            <w:pPr>
              <w:pStyle w:val="af2"/>
              <w:spacing w:after="0"/>
              <w:jc w:val="center"/>
              <w:rPr>
                <w:spacing w:val="4"/>
                <w:szCs w:val="21"/>
              </w:rPr>
            </w:pPr>
            <w:r>
              <w:rPr>
                <w:spacing w:val="4"/>
                <w:szCs w:val="21"/>
              </w:rPr>
              <w:t>30kg/</w:t>
            </w:r>
            <w:r>
              <w:rPr>
                <w:spacing w:val="4"/>
                <w:szCs w:val="21"/>
              </w:rPr>
              <w:t>瓶</w:t>
            </w:r>
          </w:p>
        </w:tc>
        <w:tc>
          <w:tcPr>
            <w:tcW w:w="637" w:type="pct"/>
            <w:tcBorders>
              <w:tl2br w:val="nil"/>
              <w:tr2bl w:val="nil"/>
            </w:tcBorders>
            <w:vAlign w:val="center"/>
          </w:tcPr>
          <w:p w14:paraId="748344B9" w14:textId="77777777" w:rsidR="00B14D53" w:rsidRDefault="00000000">
            <w:pPr>
              <w:pStyle w:val="af2"/>
              <w:spacing w:after="0"/>
              <w:jc w:val="center"/>
              <w:rPr>
                <w:spacing w:val="4"/>
                <w:szCs w:val="21"/>
              </w:rPr>
            </w:pPr>
            <w:r>
              <w:rPr>
                <w:rFonts w:hint="eastAsia"/>
                <w:spacing w:val="4"/>
                <w:szCs w:val="21"/>
              </w:rPr>
              <w:t>瓶装</w:t>
            </w:r>
          </w:p>
        </w:tc>
        <w:tc>
          <w:tcPr>
            <w:tcW w:w="657" w:type="pct"/>
            <w:tcBorders>
              <w:tl2br w:val="nil"/>
              <w:tr2bl w:val="nil"/>
            </w:tcBorders>
            <w:vAlign w:val="center"/>
          </w:tcPr>
          <w:p w14:paraId="6AF069F6" w14:textId="77777777" w:rsidR="00B14D53" w:rsidRDefault="00000000">
            <w:pPr>
              <w:pStyle w:val="af2"/>
              <w:spacing w:after="0"/>
              <w:jc w:val="center"/>
              <w:rPr>
                <w:spacing w:val="4"/>
                <w:szCs w:val="21"/>
              </w:rPr>
            </w:pPr>
            <w:r>
              <w:rPr>
                <w:rFonts w:hint="eastAsia"/>
                <w:spacing w:val="4"/>
                <w:szCs w:val="21"/>
              </w:rPr>
              <w:t>6</w:t>
            </w:r>
            <w:r>
              <w:rPr>
                <w:rFonts w:hint="eastAsia"/>
                <w:spacing w:val="4"/>
                <w:szCs w:val="21"/>
              </w:rPr>
              <w:t>瓶</w:t>
            </w:r>
            <w:r>
              <w:rPr>
                <w:rFonts w:hint="eastAsia"/>
                <w:spacing w:val="4"/>
                <w:szCs w:val="21"/>
              </w:rPr>
              <w:t>/a</w:t>
            </w:r>
          </w:p>
        </w:tc>
        <w:tc>
          <w:tcPr>
            <w:tcW w:w="830" w:type="pct"/>
            <w:tcBorders>
              <w:tl2br w:val="nil"/>
              <w:tr2bl w:val="nil"/>
            </w:tcBorders>
            <w:vAlign w:val="center"/>
          </w:tcPr>
          <w:p w14:paraId="241DECD8" w14:textId="77777777" w:rsidR="00B14D53" w:rsidRDefault="00000000">
            <w:pPr>
              <w:pStyle w:val="af2"/>
              <w:spacing w:after="0"/>
              <w:jc w:val="center"/>
              <w:rPr>
                <w:spacing w:val="4"/>
                <w:szCs w:val="21"/>
              </w:rPr>
            </w:pPr>
            <w:r>
              <w:rPr>
                <w:rFonts w:hint="eastAsia"/>
                <w:spacing w:val="4"/>
                <w:szCs w:val="21"/>
              </w:rPr>
              <w:t>6</w:t>
            </w:r>
            <w:r>
              <w:rPr>
                <w:rFonts w:hint="eastAsia"/>
                <w:spacing w:val="4"/>
                <w:szCs w:val="21"/>
              </w:rPr>
              <w:t>瓶</w:t>
            </w:r>
            <w:r>
              <w:rPr>
                <w:rFonts w:hint="eastAsia"/>
                <w:spacing w:val="4"/>
                <w:szCs w:val="21"/>
              </w:rPr>
              <w:t>/a</w:t>
            </w:r>
          </w:p>
        </w:tc>
        <w:tc>
          <w:tcPr>
            <w:tcW w:w="1100" w:type="pct"/>
            <w:tcBorders>
              <w:tl2br w:val="nil"/>
              <w:tr2bl w:val="nil"/>
            </w:tcBorders>
            <w:vAlign w:val="center"/>
          </w:tcPr>
          <w:p w14:paraId="2B13D24B" w14:textId="77777777" w:rsidR="00B14D53" w:rsidRDefault="00000000">
            <w:pPr>
              <w:pStyle w:val="af2"/>
              <w:spacing w:after="0"/>
              <w:jc w:val="center"/>
              <w:rPr>
                <w:spacing w:val="4"/>
                <w:szCs w:val="21"/>
              </w:rPr>
            </w:pPr>
            <w:r>
              <w:rPr>
                <w:rFonts w:hint="eastAsia"/>
                <w:spacing w:val="4"/>
                <w:szCs w:val="21"/>
              </w:rPr>
              <w:t>即买即用、厂区不储存</w:t>
            </w:r>
          </w:p>
        </w:tc>
      </w:tr>
      <w:tr w:rsidR="00B14D53" w14:paraId="5064BEC8" w14:textId="77777777">
        <w:tc>
          <w:tcPr>
            <w:tcW w:w="335" w:type="pct"/>
            <w:tcBorders>
              <w:tl2br w:val="nil"/>
              <w:tr2bl w:val="nil"/>
            </w:tcBorders>
            <w:vAlign w:val="center"/>
          </w:tcPr>
          <w:p w14:paraId="24EEE78B" w14:textId="77777777" w:rsidR="00B14D53" w:rsidRDefault="00000000">
            <w:pPr>
              <w:pStyle w:val="af2"/>
              <w:spacing w:after="0"/>
              <w:jc w:val="center"/>
              <w:rPr>
                <w:spacing w:val="4"/>
                <w:szCs w:val="21"/>
              </w:rPr>
            </w:pPr>
            <w:r>
              <w:rPr>
                <w:rFonts w:hint="eastAsia"/>
                <w:spacing w:val="4"/>
                <w:szCs w:val="21"/>
              </w:rPr>
              <w:t>5</w:t>
            </w:r>
          </w:p>
        </w:tc>
        <w:tc>
          <w:tcPr>
            <w:tcW w:w="668" w:type="pct"/>
            <w:tcBorders>
              <w:tl2br w:val="nil"/>
              <w:tr2bl w:val="nil"/>
            </w:tcBorders>
            <w:vAlign w:val="center"/>
          </w:tcPr>
          <w:p w14:paraId="7C357D15" w14:textId="77777777" w:rsidR="00B14D53" w:rsidRDefault="00000000">
            <w:pPr>
              <w:pStyle w:val="af2"/>
              <w:spacing w:after="0"/>
              <w:jc w:val="center"/>
              <w:rPr>
                <w:spacing w:val="4"/>
                <w:szCs w:val="21"/>
              </w:rPr>
            </w:pPr>
            <w:r>
              <w:rPr>
                <w:spacing w:val="4"/>
                <w:szCs w:val="21"/>
              </w:rPr>
              <w:t>活性炭</w:t>
            </w:r>
          </w:p>
        </w:tc>
        <w:tc>
          <w:tcPr>
            <w:tcW w:w="770" w:type="pct"/>
            <w:tcBorders>
              <w:tl2br w:val="nil"/>
              <w:tr2bl w:val="nil"/>
            </w:tcBorders>
            <w:vAlign w:val="center"/>
          </w:tcPr>
          <w:p w14:paraId="2B0C9AAC" w14:textId="77777777" w:rsidR="00B14D53" w:rsidRDefault="00000000">
            <w:pPr>
              <w:pStyle w:val="af2"/>
              <w:spacing w:after="0"/>
              <w:jc w:val="center"/>
              <w:rPr>
                <w:spacing w:val="4"/>
                <w:szCs w:val="21"/>
              </w:rPr>
            </w:pPr>
            <w:r>
              <w:rPr>
                <w:spacing w:val="4"/>
                <w:szCs w:val="21"/>
              </w:rPr>
              <w:t>/</w:t>
            </w:r>
          </w:p>
        </w:tc>
        <w:tc>
          <w:tcPr>
            <w:tcW w:w="637" w:type="pct"/>
            <w:tcBorders>
              <w:tl2br w:val="nil"/>
              <w:tr2bl w:val="nil"/>
            </w:tcBorders>
            <w:vAlign w:val="center"/>
          </w:tcPr>
          <w:p w14:paraId="1D967EB2" w14:textId="77777777" w:rsidR="00B14D53" w:rsidRDefault="00000000">
            <w:pPr>
              <w:pStyle w:val="af2"/>
              <w:spacing w:after="0"/>
              <w:jc w:val="center"/>
              <w:rPr>
                <w:spacing w:val="4"/>
                <w:szCs w:val="21"/>
              </w:rPr>
            </w:pPr>
            <w:r>
              <w:rPr>
                <w:rFonts w:hint="eastAsia"/>
                <w:spacing w:val="4"/>
                <w:szCs w:val="21"/>
              </w:rPr>
              <w:t>袋装</w:t>
            </w:r>
          </w:p>
        </w:tc>
        <w:tc>
          <w:tcPr>
            <w:tcW w:w="657" w:type="pct"/>
            <w:tcBorders>
              <w:tl2br w:val="nil"/>
              <w:tr2bl w:val="nil"/>
            </w:tcBorders>
            <w:vAlign w:val="center"/>
          </w:tcPr>
          <w:p w14:paraId="31872DB5" w14:textId="77777777" w:rsidR="00B14D53" w:rsidRDefault="00000000">
            <w:pPr>
              <w:pStyle w:val="af2"/>
              <w:spacing w:after="0"/>
              <w:jc w:val="center"/>
              <w:rPr>
                <w:spacing w:val="4"/>
                <w:szCs w:val="21"/>
              </w:rPr>
            </w:pPr>
            <w:r>
              <w:rPr>
                <w:rFonts w:hint="eastAsia"/>
                <w:spacing w:val="4"/>
                <w:szCs w:val="21"/>
              </w:rPr>
              <w:t>1.63t/a</w:t>
            </w:r>
          </w:p>
        </w:tc>
        <w:tc>
          <w:tcPr>
            <w:tcW w:w="830" w:type="pct"/>
            <w:tcBorders>
              <w:tl2br w:val="nil"/>
              <w:tr2bl w:val="nil"/>
            </w:tcBorders>
            <w:vAlign w:val="center"/>
          </w:tcPr>
          <w:p w14:paraId="29F157B1" w14:textId="77777777" w:rsidR="00B14D53" w:rsidRDefault="00000000">
            <w:pPr>
              <w:pStyle w:val="af2"/>
              <w:spacing w:after="0"/>
              <w:jc w:val="center"/>
              <w:rPr>
                <w:spacing w:val="4"/>
                <w:szCs w:val="21"/>
              </w:rPr>
            </w:pPr>
            <w:r>
              <w:rPr>
                <w:rFonts w:hint="eastAsia"/>
                <w:spacing w:val="4"/>
                <w:szCs w:val="21"/>
              </w:rPr>
              <w:t>1.63t/a</w:t>
            </w:r>
          </w:p>
        </w:tc>
        <w:tc>
          <w:tcPr>
            <w:tcW w:w="1100" w:type="pct"/>
            <w:tcBorders>
              <w:tl2br w:val="nil"/>
              <w:tr2bl w:val="nil"/>
            </w:tcBorders>
            <w:vAlign w:val="center"/>
          </w:tcPr>
          <w:p w14:paraId="2ABDDA19" w14:textId="77777777" w:rsidR="00B14D53" w:rsidRDefault="00000000">
            <w:pPr>
              <w:pStyle w:val="af2"/>
              <w:spacing w:after="0"/>
              <w:jc w:val="center"/>
              <w:rPr>
                <w:spacing w:val="4"/>
                <w:szCs w:val="21"/>
              </w:rPr>
            </w:pPr>
            <w:r>
              <w:rPr>
                <w:rFonts w:hint="eastAsia"/>
                <w:spacing w:val="4"/>
                <w:szCs w:val="21"/>
              </w:rPr>
              <w:t>吸附恶臭气体，储存于仓库内</w:t>
            </w:r>
          </w:p>
        </w:tc>
      </w:tr>
      <w:tr w:rsidR="00B14D53" w14:paraId="3DE81799" w14:textId="77777777">
        <w:tc>
          <w:tcPr>
            <w:tcW w:w="335" w:type="pct"/>
            <w:tcBorders>
              <w:tl2br w:val="nil"/>
              <w:tr2bl w:val="nil"/>
            </w:tcBorders>
            <w:vAlign w:val="center"/>
          </w:tcPr>
          <w:p w14:paraId="43F7E65B" w14:textId="77777777" w:rsidR="00B14D53" w:rsidRDefault="00000000">
            <w:pPr>
              <w:pStyle w:val="af2"/>
              <w:spacing w:after="0"/>
              <w:jc w:val="center"/>
              <w:rPr>
                <w:spacing w:val="4"/>
                <w:szCs w:val="21"/>
              </w:rPr>
            </w:pPr>
            <w:r>
              <w:rPr>
                <w:rFonts w:hint="eastAsia"/>
                <w:spacing w:val="4"/>
                <w:szCs w:val="21"/>
              </w:rPr>
              <w:t>6</w:t>
            </w:r>
          </w:p>
        </w:tc>
        <w:tc>
          <w:tcPr>
            <w:tcW w:w="668" w:type="pct"/>
            <w:tcBorders>
              <w:tl2br w:val="nil"/>
              <w:tr2bl w:val="nil"/>
            </w:tcBorders>
            <w:vAlign w:val="center"/>
          </w:tcPr>
          <w:p w14:paraId="184D19E3" w14:textId="77777777" w:rsidR="00B14D53" w:rsidRDefault="00000000">
            <w:pPr>
              <w:pStyle w:val="af2"/>
              <w:spacing w:after="0"/>
              <w:jc w:val="center"/>
              <w:rPr>
                <w:spacing w:val="4"/>
                <w:szCs w:val="21"/>
              </w:rPr>
            </w:pPr>
            <w:r>
              <w:rPr>
                <w:spacing w:val="4"/>
                <w:szCs w:val="21"/>
              </w:rPr>
              <w:t>次氯酸钠</w:t>
            </w:r>
          </w:p>
        </w:tc>
        <w:tc>
          <w:tcPr>
            <w:tcW w:w="770" w:type="pct"/>
            <w:tcBorders>
              <w:tl2br w:val="nil"/>
              <w:tr2bl w:val="nil"/>
            </w:tcBorders>
            <w:vAlign w:val="center"/>
          </w:tcPr>
          <w:p w14:paraId="60E6D15C" w14:textId="77777777" w:rsidR="00B14D53" w:rsidRDefault="00000000">
            <w:pPr>
              <w:pStyle w:val="af2"/>
              <w:spacing w:after="0"/>
              <w:jc w:val="center"/>
              <w:rPr>
                <w:spacing w:val="4"/>
                <w:szCs w:val="21"/>
              </w:rPr>
            </w:pPr>
            <w:r>
              <w:rPr>
                <w:spacing w:val="4"/>
                <w:szCs w:val="21"/>
              </w:rPr>
              <w:t>20kg/</w:t>
            </w:r>
            <w:r>
              <w:rPr>
                <w:spacing w:val="4"/>
                <w:szCs w:val="21"/>
              </w:rPr>
              <w:t>袋</w:t>
            </w:r>
          </w:p>
        </w:tc>
        <w:tc>
          <w:tcPr>
            <w:tcW w:w="637" w:type="pct"/>
            <w:tcBorders>
              <w:tl2br w:val="nil"/>
              <w:tr2bl w:val="nil"/>
            </w:tcBorders>
            <w:vAlign w:val="center"/>
          </w:tcPr>
          <w:p w14:paraId="11FAA398" w14:textId="77777777" w:rsidR="00B14D53" w:rsidRDefault="00000000">
            <w:pPr>
              <w:pStyle w:val="af2"/>
              <w:spacing w:after="0"/>
              <w:jc w:val="center"/>
              <w:rPr>
                <w:spacing w:val="4"/>
                <w:szCs w:val="21"/>
              </w:rPr>
            </w:pPr>
            <w:r>
              <w:rPr>
                <w:rFonts w:hint="eastAsia"/>
                <w:spacing w:val="4"/>
                <w:szCs w:val="21"/>
              </w:rPr>
              <w:t>袋装</w:t>
            </w:r>
          </w:p>
        </w:tc>
        <w:tc>
          <w:tcPr>
            <w:tcW w:w="657" w:type="pct"/>
            <w:tcBorders>
              <w:tl2br w:val="nil"/>
              <w:tr2bl w:val="nil"/>
            </w:tcBorders>
            <w:vAlign w:val="center"/>
          </w:tcPr>
          <w:p w14:paraId="5762CAA5" w14:textId="77777777" w:rsidR="00B14D53" w:rsidRDefault="00000000">
            <w:pPr>
              <w:pStyle w:val="af2"/>
              <w:spacing w:after="0"/>
              <w:jc w:val="center"/>
              <w:rPr>
                <w:spacing w:val="4"/>
                <w:szCs w:val="21"/>
              </w:rPr>
            </w:pPr>
            <w:r>
              <w:rPr>
                <w:rFonts w:hint="eastAsia"/>
                <w:spacing w:val="4"/>
                <w:szCs w:val="21"/>
              </w:rPr>
              <w:t>10t/a</w:t>
            </w:r>
          </w:p>
        </w:tc>
        <w:tc>
          <w:tcPr>
            <w:tcW w:w="830" w:type="pct"/>
            <w:tcBorders>
              <w:tl2br w:val="nil"/>
              <w:tr2bl w:val="nil"/>
            </w:tcBorders>
            <w:vAlign w:val="center"/>
          </w:tcPr>
          <w:p w14:paraId="04050046" w14:textId="77777777" w:rsidR="00B14D53" w:rsidRDefault="00000000">
            <w:pPr>
              <w:pStyle w:val="af2"/>
              <w:spacing w:after="0"/>
              <w:jc w:val="center"/>
              <w:rPr>
                <w:spacing w:val="4"/>
                <w:szCs w:val="21"/>
              </w:rPr>
            </w:pPr>
            <w:r>
              <w:rPr>
                <w:rFonts w:hint="eastAsia"/>
                <w:spacing w:val="4"/>
                <w:szCs w:val="21"/>
              </w:rPr>
              <w:t>500kg</w:t>
            </w:r>
          </w:p>
        </w:tc>
        <w:tc>
          <w:tcPr>
            <w:tcW w:w="1100" w:type="pct"/>
            <w:tcBorders>
              <w:tl2br w:val="nil"/>
              <w:tr2bl w:val="nil"/>
            </w:tcBorders>
            <w:vAlign w:val="center"/>
          </w:tcPr>
          <w:p w14:paraId="4EE83939" w14:textId="77777777" w:rsidR="00B14D53" w:rsidRDefault="00000000">
            <w:pPr>
              <w:pStyle w:val="af2"/>
              <w:spacing w:after="0"/>
              <w:jc w:val="center"/>
              <w:rPr>
                <w:spacing w:val="4"/>
                <w:szCs w:val="21"/>
              </w:rPr>
            </w:pPr>
            <w:r>
              <w:rPr>
                <w:rFonts w:hint="eastAsia"/>
                <w:spacing w:val="4"/>
                <w:szCs w:val="21"/>
              </w:rPr>
              <w:t>用于污水处理消毒剂</w:t>
            </w:r>
          </w:p>
        </w:tc>
      </w:tr>
      <w:tr w:rsidR="00B14D53" w14:paraId="0ECD9EBB" w14:textId="77777777">
        <w:tc>
          <w:tcPr>
            <w:tcW w:w="335" w:type="pct"/>
            <w:tcBorders>
              <w:tl2br w:val="nil"/>
              <w:tr2bl w:val="nil"/>
            </w:tcBorders>
            <w:vAlign w:val="center"/>
          </w:tcPr>
          <w:p w14:paraId="0BDE24E6" w14:textId="77777777" w:rsidR="00B14D53" w:rsidRDefault="00000000">
            <w:pPr>
              <w:pStyle w:val="af2"/>
              <w:spacing w:after="0"/>
              <w:jc w:val="center"/>
              <w:rPr>
                <w:spacing w:val="4"/>
                <w:szCs w:val="21"/>
              </w:rPr>
            </w:pPr>
            <w:r>
              <w:rPr>
                <w:rFonts w:hint="eastAsia"/>
                <w:spacing w:val="4"/>
                <w:szCs w:val="21"/>
              </w:rPr>
              <w:t>7</w:t>
            </w:r>
          </w:p>
        </w:tc>
        <w:tc>
          <w:tcPr>
            <w:tcW w:w="668" w:type="pct"/>
            <w:tcBorders>
              <w:tl2br w:val="nil"/>
              <w:tr2bl w:val="nil"/>
            </w:tcBorders>
            <w:vAlign w:val="center"/>
          </w:tcPr>
          <w:p w14:paraId="643A36A3" w14:textId="77777777" w:rsidR="00B14D53" w:rsidRDefault="00000000">
            <w:pPr>
              <w:pStyle w:val="af2"/>
              <w:spacing w:after="0"/>
              <w:jc w:val="center"/>
              <w:rPr>
                <w:spacing w:val="4"/>
                <w:szCs w:val="21"/>
              </w:rPr>
            </w:pPr>
            <w:r>
              <w:t>3%</w:t>
            </w:r>
            <w:r>
              <w:t>煤酚皂</w:t>
            </w:r>
          </w:p>
        </w:tc>
        <w:tc>
          <w:tcPr>
            <w:tcW w:w="770" w:type="pct"/>
            <w:tcBorders>
              <w:tl2br w:val="nil"/>
              <w:tr2bl w:val="nil"/>
            </w:tcBorders>
            <w:vAlign w:val="center"/>
          </w:tcPr>
          <w:p w14:paraId="284EF610" w14:textId="77777777" w:rsidR="00B14D53" w:rsidRDefault="00000000">
            <w:pPr>
              <w:pStyle w:val="af2"/>
              <w:spacing w:after="0"/>
              <w:jc w:val="center"/>
              <w:rPr>
                <w:spacing w:val="4"/>
                <w:szCs w:val="21"/>
              </w:rPr>
            </w:pPr>
            <w:r>
              <w:rPr>
                <w:spacing w:val="4"/>
                <w:szCs w:val="21"/>
              </w:rPr>
              <w:t>20kg/</w:t>
            </w:r>
            <w:r>
              <w:rPr>
                <w:spacing w:val="4"/>
                <w:szCs w:val="21"/>
              </w:rPr>
              <w:t>桶</w:t>
            </w:r>
          </w:p>
        </w:tc>
        <w:tc>
          <w:tcPr>
            <w:tcW w:w="637" w:type="pct"/>
            <w:tcBorders>
              <w:tl2br w:val="nil"/>
              <w:tr2bl w:val="nil"/>
            </w:tcBorders>
            <w:vAlign w:val="center"/>
          </w:tcPr>
          <w:p w14:paraId="78429E66" w14:textId="77777777" w:rsidR="00B14D53" w:rsidRDefault="00000000">
            <w:pPr>
              <w:pStyle w:val="af2"/>
              <w:spacing w:after="0"/>
              <w:jc w:val="center"/>
              <w:rPr>
                <w:spacing w:val="4"/>
                <w:szCs w:val="21"/>
              </w:rPr>
            </w:pPr>
            <w:r>
              <w:rPr>
                <w:rFonts w:hint="eastAsia"/>
                <w:spacing w:val="4"/>
                <w:szCs w:val="21"/>
              </w:rPr>
              <w:t>桶装</w:t>
            </w:r>
          </w:p>
        </w:tc>
        <w:tc>
          <w:tcPr>
            <w:tcW w:w="657" w:type="pct"/>
            <w:tcBorders>
              <w:tl2br w:val="nil"/>
              <w:tr2bl w:val="nil"/>
            </w:tcBorders>
            <w:vAlign w:val="center"/>
          </w:tcPr>
          <w:p w14:paraId="2EC3A00C" w14:textId="77777777" w:rsidR="00B14D53" w:rsidRDefault="00000000">
            <w:pPr>
              <w:pStyle w:val="af2"/>
              <w:spacing w:after="0"/>
              <w:jc w:val="center"/>
              <w:rPr>
                <w:spacing w:val="4"/>
                <w:szCs w:val="21"/>
              </w:rPr>
            </w:pPr>
            <w:r>
              <w:rPr>
                <w:rFonts w:hint="eastAsia"/>
                <w:spacing w:val="4"/>
                <w:szCs w:val="21"/>
              </w:rPr>
              <w:t>2t/a</w:t>
            </w:r>
          </w:p>
        </w:tc>
        <w:tc>
          <w:tcPr>
            <w:tcW w:w="830" w:type="pct"/>
            <w:tcBorders>
              <w:tl2br w:val="nil"/>
              <w:tr2bl w:val="nil"/>
            </w:tcBorders>
            <w:vAlign w:val="center"/>
          </w:tcPr>
          <w:p w14:paraId="21DFC2E7" w14:textId="77777777" w:rsidR="00B14D53" w:rsidRDefault="00000000">
            <w:pPr>
              <w:pStyle w:val="af2"/>
              <w:spacing w:after="0"/>
              <w:jc w:val="center"/>
              <w:rPr>
                <w:spacing w:val="4"/>
                <w:szCs w:val="21"/>
              </w:rPr>
            </w:pPr>
            <w:r>
              <w:rPr>
                <w:rFonts w:hint="eastAsia"/>
                <w:spacing w:val="4"/>
                <w:szCs w:val="21"/>
              </w:rPr>
              <w:t>50kg</w:t>
            </w:r>
          </w:p>
        </w:tc>
        <w:tc>
          <w:tcPr>
            <w:tcW w:w="1100" w:type="pct"/>
            <w:tcBorders>
              <w:tl2br w:val="nil"/>
              <w:tr2bl w:val="nil"/>
            </w:tcBorders>
            <w:vAlign w:val="center"/>
          </w:tcPr>
          <w:p w14:paraId="2044E9E4" w14:textId="77777777" w:rsidR="00B14D53" w:rsidRDefault="00000000">
            <w:pPr>
              <w:pStyle w:val="af2"/>
              <w:spacing w:after="0"/>
              <w:jc w:val="center"/>
              <w:rPr>
                <w:spacing w:val="4"/>
                <w:szCs w:val="21"/>
              </w:rPr>
            </w:pPr>
            <w:r>
              <w:rPr>
                <w:rFonts w:hint="eastAsia"/>
                <w:spacing w:val="4"/>
                <w:szCs w:val="21"/>
              </w:rPr>
              <w:t>进厂车轮消毒剂</w:t>
            </w:r>
          </w:p>
        </w:tc>
      </w:tr>
      <w:tr w:rsidR="00B14D53" w14:paraId="072369F2" w14:textId="77777777">
        <w:tc>
          <w:tcPr>
            <w:tcW w:w="335" w:type="pct"/>
            <w:tcBorders>
              <w:tl2br w:val="nil"/>
              <w:tr2bl w:val="nil"/>
            </w:tcBorders>
            <w:vAlign w:val="center"/>
          </w:tcPr>
          <w:p w14:paraId="014F29AE" w14:textId="77777777" w:rsidR="00B14D53" w:rsidRDefault="00000000">
            <w:pPr>
              <w:pStyle w:val="af2"/>
              <w:spacing w:after="0"/>
              <w:jc w:val="center"/>
              <w:rPr>
                <w:spacing w:val="4"/>
                <w:szCs w:val="21"/>
              </w:rPr>
            </w:pPr>
            <w:r>
              <w:rPr>
                <w:rFonts w:hint="eastAsia"/>
                <w:spacing w:val="4"/>
                <w:szCs w:val="21"/>
              </w:rPr>
              <w:t>8</w:t>
            </w:r>
          </w:p>
        </w:tc>
        <w:tc>
          <w:tcPr>
            <w:tcW w:w="668" w:type="pct"/>
            <w:tcBorders>
              <w:tl2br w:val="nil"/>
              <w:tr2bl w:val="nil"/>
            </w:tcBorders>
            <w:vAlign w:val="center"/>
          </w:tcPr>
          <w:p w14:paraId="54FE9F19" w14:textId="77777777" w:rsidR="00B14D53" w:rsidRDefault="00000000">
            <w:pPr>
              <w:pStyle w:val="af2"/>
              <w:spacing w:after="0"/>
              <w:jc w:val="center"/>
              <w:rPr>
                <w:spacing w:val="4"/>
                <w:szCs w:val="21"/>
              </w:rPr>
            </w:pPr>
            <w:r>
              <w:rPr>
                <w:spacing w:val="4"/>
                <w:szCs w:val="21"/>
              </w:rPr>
              <w:t>除臭剂</w:t>
            </w:r>
          </w:p>
        </w:tc>
        <w:tc>
          <w:tcPr>
            <w:tcW w:w="770" w:type="pct"/>
            <w:tcBorders>
              <w:tl2br w:val="nil"/>
              <w:tr2bl w:val="nil"/>
            </w:tcBorders>
            <w:vAlign w:val="center"/>
          </w:tcPr>
          <w:p w14:paraId="472A6656" w14:textId="77777777" w:rsidR="00B14D53" w:rsidRDefault="00000000">
            <w:pPr>
              <w:pStyle w:val="af2"/>
              <w:spacing w:after="0"/>
              <w:jc w:val="center"/>
              <w:rPr>
                <w:spacing w:val="4"/>
                <w:szCs w:val="21"/>
              </w:rPr>
            </w:pPr>
            <w:r>
              <w:rPr>
                <w:spacing w:val="4"/>
                <w:szCs w:val="21"/>
              </w:rPr>
              <w:t>20kg/</w:t>
            </w:r>
            <w:r>
              <w:rPr>
                <w:spacing w:val="4"/>
                <w:szCs w:val="21"/>
              </w:rPr>
              <w:t>桶</w:t>
            </w:r>
          </w:p>
        </w:tc>
        <w:tc>
          <w:tcPr>
            <w:tcW w:w="637" w:type="pct"/>
            <w:tcBorders>
              <w:tl2br w:val="nil"/>
              <w:tr2bl w:val="nil"/>
            </w:tcBorders>
            <w:vAlign w:val="center"/>
          </w:tcPr>
          <w:p w14:paraId="40A4D7E5" w14:textId="77777777" w:rsidR="00B14D53" w:rsidRDefault="00000000">
            <w:pPr>
              <w:pStyle w:val="af2"/>
              <w:spacing w:after="0"/>
              <w:jc w:val="center"/>
              <w:rPr>
                <w:spacing w:val="4"/>
                <w:szCs w:val="21"/>
              </w:rPr>
            </w:pPr>
            <w:r>
              <w:rPr>
                <w:rFonts w:hint="eastAsia"/>
                <w:spacing w:val="4"/>
                <w:szCs w:val="21"/>
              </w:rPr>
              <w:t>桶装</w:t>
            </w:r>
          </w:p>
        </w:tc>
        <w:tc>
          <w:tcPr>
            <w:tcW w:w="657" w:type="pct"/>
            <w:tcBorders>
              <w:tl2br w:val="nil"/>
              <w:tr2bl w:val="nil"/>
            </w:tcBorders>
            <w:vAlign w:val="center"/>
          </w:tcPr>
          <w:p w14:paraId="0EFB4030" w14:textId="77777777" w:rsidR="00B14D53" w:rsidRDefault="00000000">
            <w:pPr>
              <w:pStyle w:val="af2"/>
              <w:spacing w:after="0"/>
              <w:jc w:val="center"/>
              <w:rPr>
                <w:spacing w:val="4"/>
                <w:szCs w:val="21"/>
              </w:rPr>
            </w:pPr>
            <w:r>
              <w:rPr>
                <w:rFonts w:hint="eastAsia"/>
                <w:spacing w:val="4"/>
                <w:szCs w:val="21"/>
              </w:rPr>
              <w:t>20t/a</w:t>
            </w:r>
          </w:p>
        </w:tc>
        <w:tc>
          <w:tcPr>
            <w:tcW w:w="830" w:type="pct"/>
            <w:tcBorders>
              <w:tl2br w:val="nil"/>
              <w:tr2bl w:val="nil"/>
            </w:tcBorders>
            <w:vAlign w:val="center"/>
          </w:tcPr>
          <w:p w14:paraId="57DA3CAA" w14:textId="77777777" w:rsidR="00B14D53" w:rsidRDefault="00000000">
            <w:pPr>
              <w:pStyle w:val="af2"/>
              <w:spacing w:after="0"/>
              <w:jc w:val="center"/>
              <w:rPr>
                <w:spacing w:val="4"/>
                <w:szCs w:val="21"/>
              </w:rPr>
            </w:pPr>
            <w:r>
              <w:rPr>
                <w:rFonts w:hint="eastAsia"/>
                <w:spacing w:val="4"/>
                <w:szCs w:val="21"/>
              </w:rPr>
              <w:t>100kg</w:t>
            </w:r>
          </w:p>
        </w:tc>
        <w:tc>
          <w:tcPr>
            <w:tcW w:w="1100" w:type="pct"/>
            <w:tcBorders>
              <w:tl2br w:val="nil"/>
              <w:tr2bl w:val="nil"/>
            </w:tcBorders>
            <w:vAlign w:val="center"/>
          </w:tcPr>
          <w:p w14:paraId="6A562DAE" w14:textId="77777777" w:rsidR="00B14D53" w:rsidRDefault="00000000">
            <w:pPr>
              <w:pStyle w:val="af2"/>
              <w:spacing w:after="0"/>
              <w:jc w:val="center"/>
              <w:rPr>
                <w:spacing w:val="4"/>
                <w:szCs w:val="21"/>
              </w:rPr>
            </w:pPr>
            <w:r>
              <w:rPr>
                <w:rFonts w:hint="eastAsia"/>
                <w:spacing w:val="4"/>
                <w:szCs w:val="21"/>
              </w:rPr>
              <w:t>用于无组织除臭</w:t>
            </w:r>
          </w:p>
        </w:tc>
      </w:tr>
    </w:tbl>
    <w:p w14:paraId="74A41472"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制冷剂</w:t>
      </w:r>
      <w:r>
        <w:rPr>
          <w:rFonts w:ascii="Times New Roman" w:hAnsiTheme="minorEastAsia" w:cs="Times New Roman" w:hint="eastAsia"/>
        </w:rPr>
        <w:t>R404A</w:t>
      </w:r>
      <w:r>
        <w:rPr>
          <w:rFonts w:ascii="Times New Roman" w:hAnsiTheme="minorEastAsia" w:cs="Times New Roman" w:hint="eastAsia"/>
        </w:rPr>
        <w:t>：</w:t>
      </w:r>
      <w:r>
        <w:rPr>
          <w:rFonts w:ascii="Times New Roman" w:hAnsiTheme="minorEastAsia" w:cs="Times New Roman" w:hint="eastAsia"/>
        </w:rPr>
        <w:t>R404A</w:t>
      </w:r>
      <w:r>
        <w:rPr>
          <w:rFonts w:ascii="Times New Roman" w:hAnsiTheme="minorEastAsia" w:cs="Times New Roman" w:hint="eastAsia"/>
        </w:rPr>
        <w:t>由</w:t>
      </w:r>
      <w:hyperlink r:id="rId18" w:tgtFrame="https://baike.baidu.com/item/R-404A/_blank" w:history="1">
        <w:r>
          <w:rPr>
            <w:rFonts w:ascii="Times New Roman" w:hAnsiTheme="minorEastAsia" w:cs="Times New Roman" w:hint="eastAsia"/>
          </w:rPr>
          <w:t>HFC</w:t>
        </w:r>
      </w:hyperlink>
      <w:r>
        <w:rPr>
          <w:rFonts w:ascii="Times New Roman" w:hAnsiTheme="minorEastAsia" w:cs="Times New Roman" w:hint="eastAsia"/>
        </w:rPr>
        <w:t>125</w:t>
      </w:r>
      <w:r>
        <w:rPr>
          <w:rFonts w:ascii="Times New Roman" w:hAnsiTheme="minorEastAsia" w:cs="Times New Roman" w:hint="eastAsia"/>
        </w:rPr>
        <w:t>、</w:t>
      </w:r>
      <w:r>
        <w:rPr>
          <w:rFonts w:ascii="Times New Roman" w:hAnsiTheme="minorEastAsia" w:cs="Times New Roman" w:hint="eastAsia"/>
        </w:rPr>
        <w:t>HFC-134a</w:t>
      </w:r>
      <w:r>
        <w:rPr>
          <w:rFonts w:ascii="Times New Roman" w:hAnsiTheme="minorEastAsia" w:cs="Times New Roman" w:hint="eastAsia"/>
        </w:rPr>
        <w:t>和</w:t>
      </w:r>
      <w:r>
        <w:rPr>
          <w:rFonts w:ascii="Times New Roman" w:hAnsiTheme="minorEastAsia" w:cs="Times New Roman" w:hint="eastAsia"/>
        </w:rPr>
        <w:t>HFC-143</w:t>
      </w:r>
      <w:r>
        <w:rPr>
          <w:rFonts w:ascii="Times New Roman" w:hAnsiTheme="minorEastAsia" w:cs="Times New Roman" w:hint="eastAsia"/>
        </w:rPr>
        <w:t>混合而成，比例为</w:t>
      </w:r>
      <w:r>
        <w:rPr>
          <w:rFonts w:ascii="Times New Roman" w:hAnsiTheme="minorEastAsia" w:cs="Times New Roman" w:hint="eastAsia"/>
        </w:rPr>
        <w:t>R404A=44%</w:t>
      </w:r>
      <w:hyperlink r:id="rId19" w:tgtFrame="https://baike.baidu.com/item/R-404A/_blank" w:history="1">
        <w:r>
          <w:rPr>
            <w:rFonts w:ascii="Times New Roman" w:hAnsiTheme="minorEastAsia" w:cs="Times New Roman" w:hint="eastAsia"/>
          </w:rPr>
          <w:t>R125</w:t>
        </w:r>
      </w:hyperlink>
      <w:r>
        <w:rPr>
          <w:rFonts w:ascii="Times New Roman" w:hAnsiTheme="minorEastAsia" w:cs="Times New Roman" w:hint="eastAsia"/>
        </w:rPr>
        <w:t>+4%R134A+52%143A</w:t>
      </w:r>
      <w:r>
        <w:rPr>
          <w:rFonts w:ascii="Times New Roman" w:hAnsiTheme="minorEastAsia" w:cs="Times New Roman" w:hint="eastAsia"/>
        </w:rPr>
        <w:t>。在常温常压下为无色气体，贮存在钢瓶内是被压缩的液化气体，</w:t>
      </w:r>
      <w:r>
        <w:rPr>
          <w:rFonts w:ascii="Times New Roman" w:hAnsiTheme="minorEastAsia" w:cs="Times New Roman" w:hint="eastAsia"/>
        </w:rPr>
        <w:t>R-404A</w:t>
      </w:r>
      <w:r>
        <w:rPr>
          <w:rFonts w:ascii="Times New Roman" w:hAnsiTheme="minorEastAsia" w:cs="Times New Roman" w:hint="eastAsia"/>
        </w:rPr>
        <w:t>适用于中低温的新型商用</w:t>
      </w:r>
      <w:hyperlink r:id="rId20" w:tgtFrame="https://baike.baidu.com/item/R-404A/_blank" w:history="1">
        <w:r>
          <w:rPr>
            <w:rFonts w:ascii="Times New Roman" w:hAnsiTheme="minorEastAsia" w:cs="Times New Roman" w:hint="eastAsia"/>
          </w:rPr>
          <w:t>制冷设备</w:t>
        </w:r>
      </w:hyperlink>
      <w:r>
        <w:rPr>
          <w:rFonts w:ascii="Times New Roman" w:hAnsiTheme="minorEastAsia" w:cs="Times New Roman" w:hint="eastAsia"/>
        </w:rPr>
        <w:t>、</w:t>
      </w:r>
      <w:hyperlink r:id="rId21" w:tgtFrame="https://baike.baidu.com/item/R-404A/_blank" w:history="1">
        <w:r>
          <w:rPr>
            <w:rFonts w:ascii="Times New Roman" w:hAnsiTheme="minorEastAsia" w:cs="Times New Roman" w:hint="eastAsia"/>
          </w:rPr>
          <w:t>交通运输</w:t>
        </w:r>
      </w:hyperlink>
      <w:r>
        <w:rPr>
          <w:rFonts w:ascii="Times New Roman" w:hAnsiTheme="minorEastAsia" w:cs="Times New Roman" w:hint="eastAsia"/>
        </w:rPr>
        <w:t>制冷设备或更新设备。最接近于</w:t>
      </w:r>
      <w:r>
        <w:rPr>
          <w:rFonts w:ascii="Times New Roman" w:hAnsiTheme="minorEastAsia" w:cs="Times New Roman" w:hint="eastAsia"/>
        </w:rPr>
        <w:t>R-502</w:t>
      </w:r>
      <w:r>
        <w:rPr>
          <w:rFonts w:ascii="Times New Roman" w:hAnsiTheme="minorEastAsia" w:cs="Times New Roman" w:hint="eastAsia"/>
        </w:rPr>
        <w:t>，该</w:t>
      </w:r>
      <w:hyperlink r:id="rId22" w:tgtFrame="https://baike.baidu.com/item/R-404A/_blank" w:history="1">
        <w:r>
          <w:rPr>
            <w:rFonts w:ascii="Times New Roman" w:hAnsiTheme="minorEastAsia" w:cs="Times New Roman" w:hint="eastAsia"/>
          </w:rPr>
          <w:t>制冷剂</w:t>
        </w:r>
      </w:hyperlink>
      <w:r>
        <w:rPr>
          <w:rFonts w:ascii="Times New Roman" w:hAnsiTheme="minorEastAsia" w:cs="Times New Roman" w:hint="eastAsia"/>
        </w:rPr>
        <w:t>适用于所有</w:t>
      </w:r>
      <w:r>
        <w:rPr>
          <w:rFonts w:ascii="Times New Roman" w:hAnsiTheme="minorEastAsia" w:cs="Times New Roman" w:hint="eastAsia"/>
        </w:rPr>
        <w:t>R-502</w:t>
      </w:r>
      <w:r>
        <w:rPr>
          <w:rFonts w:ascii="Times New Roman" w:hAnsiTheme="minorEastAsia" w:cs="Times New Roman" w:hint="eastAsia"/>
        </w:rPr>
        <w:t>可正常运作的环境。分子式：</w:t>
      </w:r>
      <w:r>
        <w:rPr>
          <w:rFonts w:ascii="Times New Roman" w:hAnsiTheme="minorEastAsia" w:cs="Times New Roman" w:hint="eastAsia"/>
        </w:rPr>
        <w:t>CHF</w:t>
      </w:r>
      <w:r>
        <w:rPr>
          <w:rFonts w:ascii="Times New Roman" w:hAnsiTheme="minorEastAsia" w:cs="Times New Roman" w:hint="eastAsia"/>
          <w:vertAlign w:val="subscript"/>
        </w:rPr>
        <w:t>2</w:t>
      </w:r>
      <w:r>
        <w:rPr>
          <w:rFonts w:ascii="Times New Roman" w:hAnsiTheme="minorEastAsia" w:cs="Times New Roman" w:hint="eastAsia"/>
        </w:rPr>
        <w:t>CF</w:t>
      </w:r>
      <w:r>
        <w:rPr>
          <w:rFonts w:ascii="Times New Roman" w:hAnsiTheme="minorEastAsia" w:cs="Times New Roman" w:hint="eastAsia"/>
          <w:vertAlign w:val="subscript"/>
        </w:rPr>
        <w:t>3</w:t>
      </w:r>
      <w:r>
        <w:rPr>
          <w:rFonts w:ascii="Times New Roman" w:hAnsiTheme="minorEastAsia" w:cs="Times New Roman" w:hint="eastAsia"/>
        </w:rPr>
        <w:t>/CF</w:t>
      </w:r>
      <w:r>
        <w:rPr>
          <w:rFonts w:ascii="Times New Roman" w:hAnsiTheme="minorEastAsia" w:cs="Times New Roman" w:hint="eastAsia"/>
          <w:vertAlign w:val="subscript"/>
        </w:rPr>
        <w:t>3</w:t>
      </w:r>
      <w:r>
        <w:rPr>
          <w:rFonts w:ascii="Times New Roman" w:hAnsiTheme="minorEastAsia" w:cs="Times New Roman" w:hint="eastAsia"/>
        </w:rPr>
        <w:t>CH</w:t>
      </w:r>
      <w:r>
        <w:rPr>
          <w:rFonts w:ascii="Times New Roman" w:hAnsiTheme="minorEastAsia" w:cs="Times New Roman" w:hint="eastAsia"/>
          <w:vertAlign w:val="subscript"/>
        </w:rPr>
        <w:t>2</w:t>
      </w:r>
      <w:r>
        <w:rPr>
          <w:rFonts w:ascii="Times New Roman" w:hAnsiTheme="minorEastAsia" w:cs="Times New Roman" w:hint="eastAsia"/>
        </w:rPr>
        <w:t>F/CH</w:t>
      </w:r>
      <w:r>
        <w:rPr>
          <w:rFonts w:ascii="Times New Roman" w:hAnsiTheme="minorEastAsia" w:cs="Times New Roman" w:hint="eastAsia"/>
          <w:vertAlign w:val="subscript"/>
        </w:rPr>
        <w:t>3</w:t>
      </w:r>
      <w:r>
        <w:rPr>
          <w:rFonts w:ascii="Times New Roman" w:hAnsiTheme="minorEastAsia" w:cs="Times New Roman" w:hint="eastAsia"/>
        </w:rPr>
        <w:t>CF</w:t>
      </w:r>
      <w:r>
        <w:rPr>
          <w:rFonts w:ascii="Times New Roman" w:hAnsiTheme="minorEastAsia" w:cs="Times New Roman" w:hint="eastAsia"/>
          <w:vertAlign w:val="subscript"/>
        </w:rPr>
        <w:t>3</w:t>
      </w:r>
      <w:r>
        <w:rPr>
          <w:rFonts w:ascii="Times New Roman" w:hAnsiTheme="minorEastAsia" w:cs="Times New Roman" w:hint="eastAsia"/>
        </w:rPr>
        <w:t>；沸点</w:t>
      </w:r>
      <w:r>
        <w:rPr>
          <w:rFonts w:ascii="Times New Roman" w:hAnsiTheme="minorEastAsia" w:cs="Times New Roman" w:hint="eastAsia"/>
        </w:rPr>
        <w:t>(101.3KPa</w:t>
      </w:r>
      <w:r>
        <w:rPr>
          <w:rFonts w:ascii="Times New Roman" w:hAnsiTheme="minorEastAsia" w:cs="Times New Roman" w:hint="eastAsia"/>
        </w:rPr>
        <w:t>，℃</w:t>
      </w:r>
      <w:r>
        <w:rPr>
          <w:rFonts w:ascii="Times New Roman" w:hAnsiTheme="minorEastAsia" w:cs="Times New Roman" w:hint="eastAsia"/>
        </w:rPr>
        <w:t>)</w:t>
      </w:r>
      <w:r>
        <w:rPr>
          <w:rFonts w:ascii="Times New Roman" w:hAnsiTheme="minorEastAsia" w:cs="Times New Roman" w:hint="eastAsia"/>
        </w:rPr>
        <w:t>：</w:t>
      </w:r>
      <w:r>
        <w:rPr>
          <w:rFonts w:ascii="Times New Roman" w:hAnsiTheme="minorEastAsia" w:cs="Times New Roman" w:hint="eastAsia"/>
        </w:rPr>
        <w:t>-46.1</w:t>
      </w:r>
      <w:r>
        <w:rPr>
          <w:rFonts w:ascii="Times New Roman" w:hAnsiTheme="minorEastAsia" w:cs="Times New Roman" w:hint="eastAsia"/>
        </w:rPr>
        <w:t>；</w:t>
      </w:r>
      <w:hyperlink r:id="rId23" w:tgtFrame="https://baike.baidu.com/item/R-404A/_blank" w:history="1">
        <w:r>
          <w:rPr>
            <w:rFonts w:ascii="Times New Roman" w:hAnsiTheme="minorEastAsia" w:cs="Times New Roman" w:hint="eastAsia"/>
          </w:rPr>
          <w:t>临界温度</w:t>
        </w:r>
      </w:hyperlink>
      <w:r>
        <w:rPr>
          <w:rFonts w:ascii="Times New Roman" w:hAnsiTheme="minorEastAsia" w:cs="Times New Roman" w:hint="eastAsia"/>
        </w:rPr>
        <w:t>℃：</w:t>
      </w:r>
      <w:r>
        <w:rPr>
          <w:rFonts w:ascii="Times New Roman" w:hAnsiTheme="minorEastAsia" w:cs="Times New Roman" w:hint="eastAsia"/>
        </w:rPr>
        <w:t>72.4</w:t>
      </w:r>
      <w:r>
        <w:rPr>
          <w:rFonts w:ascii="Times New Roman" w:hAnsiTheme="minorEastAsia" w:cs="Times New Roman" w:hint="eastAsia"/>
        </w:rPr>
        <w:t>；</w:t>
      </w:r>
      <w:hyperlink r:id="rId24" w:tgtFrame="https://baike.baidu.com/item/R-404A/_blank" w:history="1">
        <w:r>
          <w:rPr>
            <w:rFonts w:ascii="Times New Roman" w:hAnsiTheme="minorEastAsia" w:cs="Times New Roman" w:hint="eastAsia"/>
          </w:rPr>
          <w:t>临界压力</w:t>
        </w:r>
      </w:hyperlink>
      <w:r>
        <w:rPr>
          <w:rFonts w:ascii="Times New Roman" w:hAnsiTheme="minorEastAsia" w:cs="Times New Roman" w:hint="eastAsia"/>
        </w:rPr>
        <w:t>(KPa)</w:t>
      </w:r>
      <w:r>
        <w:rPr>
          <w:rFonts w:ascii="Times New Roman" w:hAnsiTheme="minorEastAsia" w:cs="Times New Roman" w:hint="eastAsia"/>
        </w:rPr>
        <w:t>：</w:t>
      </w:r>
      <w:r>
        <w:rPr>
          <w:rFonts w:ascii="Times New Roman" w:hAnsiTheme="minorEastAsia" w:cs="Times New Roman" w:hint="eastAsia"/>
        </w:rPr>
        <w:t>3688.7</w:t>
      </w:r>
      <w:r>
        <w:rPr>
          <w:rFonts w:ascii="Times New Roman" w:hAnsiTheme="minorEastAsia" w:cs="Times New Roman" w:hint="eastAsia"/>
        </w:rPr>
        <w:t>；液体密度（</w:t>
      </w:r>
      <w:r>
        <w:rPr>
          <w:rFonts w:ascii="Times New Roman" w:hAnsiTheme="minorEastAsia" w:cs="Times New Roman" w:hint="eastAsia"/>
        </w:rPr>
        <w:t>g/cm</w:t>
      </w:r>
      <w:r>
        <w:rPr>
          <w:rFonts w:ascii="Times New Roman" w:hAnsiTheme="minorEastAsia" w:cs="Times New Roman" w:hint="eastAsia"/>
          <w:vertAlign w:val="superscript"/>
        </w:rPr>
        <w:t>3</w:t>
      </w:r>
      <w:r>
        <w:rPr>
          <w:rFonts w:ascii="Times New Roman" w:hAnsiTheme="minorEastAsia" w:cs="Times New Roman" w:hint="eastAsia"/>
        </w:rPr>
        <w:t>，</w:t>
      </w:r>
      <w:r>
        <w:rPr>
          <w:rFonts w:ascii="Times New Roman" w:hAnsiTheme="minorEastAsia" w:cs="Times New Roman" w:hint="eastAsia"/>
        </w:rPr>
        <w:t>25</w:t>
      </w:r>
      <w:r>
        <w:rPr>
          <w:rFonts w:ascii="Times New Roman" w:hAnsiTheme="minorEastAsia" w:cs="Times New Roman" w:hint="eastAsia"/>
        </w:rPr>
        <w:t>℃）：</w:t>
      </w:r>
      <w:r>
        <w:rPr>
          <w:rFonts w:ascii="Times New Roman" w:hAnsiTheme="minorEastAsia" w:cs="Times New Roman" w:hint="eastAsia"/>
        </w:rPr>
        <w:t>1.045</w:t>
      </w:r>
      <w:r>
        <w:rPr>
          <w:rFonts w:ascii="Times New Roman" w:hAnsiTheme="minorEastAsia" w:cs="Times New Roman" w:hint="eastAsia"/>
        </w:rPr>
        <w:t>；破坏臭氧潜能值（</w:t>
      </w:r>
      <w:hyperlink r:id="rId25" w:tgtFrame="https://baike.baidu.com/item/R-404A/_blank" w:history="1">
        <w:r>
          <w:rPr>
            <w:rFonts w:ascii="Times New Roman" w:hAnsiTheme="minorEastAsia" w:cs="Times New Roman" w:hint="eastAsia"/>
          </w:rPr>
          <w:t>ODP</w:t>
        </w:r>
      </w:hyperlink>
      <w:r>
        <w:rPr>
          <w:rFonts w:ascii="Times New Roman" w:hAnsiTheme="minorEastAsia" w:cs="Times New Roman" w:hint="eastAsia"/>
        </w:rPr>
        <w:t>）：</w:t>
      </w:r>
      <w:r>
        <w:rPr>
          <w:rFonts w:ascii="Times New Roman" w:hAnsiTheme="minorEastAsia" w:cs="Times New Roman" w:hint="eastAsia"/>
        </w:rPr>
        <w:t>0</w:t>
      </w:r>
      <w:r>
        <w:rPr>
          <w:rFonts w:ascii="Times New Roman" w:hAnsiTheme="minorEastAsia" w:cs="Times New Roman" w:hint="eastAsia"/>
        </w:rPr>
        <w:t>。</w:t>
      </w:r>
    </w:p>
    <w:p w14:paraId="55B147B5"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次氯酸钠：次氯酸钠是一种无机物，化学式为</w:t>
      </w:r>
      <w:r>
        <w:rPr>
          <w:rFonts w:ascii="Times New Roman" w:hAnsiTheme="minorEastAsia" w:cs="Times New Roman" w:hint="eastAsia"/>
        </w:rPr>
        <w:t>NaClO</w:t>
      </w:r>
      <w:r>
        <w:rPr>
          <w:rFonts w:ascii="Times New Roman" w:hAnsiTheme="minorEastAsia" w:cs="Times New Roman" w:hint="eastAsia"/>
        </w:rPr>
        <w:t>，是最普通的家庭洗涤中的“氯”漂白剂。其他类似的漂白剂有次氯酸钾、次氯酸锂或次氯酸钙，次溴酸钠或次碘酸钠、含氯的氧化物溶液，氯化的磷酸三钠、二氯异氰尿酸钠或钾、三氯异氰尿酸等，但在家庭洗涤中通常不使用。通常认为漂白性源于其较强的氧化性。微黄色溶液，有似氯气的气味，密度</w:t>
      </w:r>
      <w:r>
        <w:rPr>
          <w:rFonts w:ascii="Times New Roman" w:hAnsiTheme="minorEastAsia" w:cs="Times New Roman" w:hint="eastAsia"/>
        </w:rPr>
        <w:t>1.1kg/L</w:t>
      </w:r>
      <w:r>
        <w:rPr>
          <w:rFonts w:ascii="Times New Roman" w:hAnsiTheme="minorEastAsia" w:cs="Times New Roman" w:hint="eastAsia"/>
        </w:rPr>
        <w:t>（</w:t>
      </w:r>
      <w:r>
        <w:rPr>
          <w:rFonts w:ascii="Times New Roman" w:hAnsiTheme="minorEastAsia" w:cs="Times New Roman" w:hint="eastAsia"/>
        </w:rPr>
        <w:t>20</w:t>
      </w:r>
      <w:r>
        <w:rPr>
          <w:rFonts w:ascii="Times New Roman" w:hAnsiTheme="minorEastAsia" w:cs="Times New Roman" w:hint="eastAsia"/>
        </w:rPr>
        <w:t>℃</w:t>
      </w:r>
      <w:r>
        <w:rPr>
          <w:rFonts w:ascii="Times New Roman" w:hAnsiTheme="minorEastAsia" w:cs="Times New Roman" w:hint="eastAsia"/>
        </w:rPr>
        <w:t>)</w:t>
      </w:r>
      <w:r>
        <w:rPr>
          <w:rFonts w:ascii="Times New Roman" w:hAnsiTheme="minorEastAsia" w:cs="Times New Roman" w:hint="eastAsia"/>
        </w:rPr>
        <w:t>，熔点</w:t>
      </w:r>
      <w:r>
        <w:rPr>
          <w:rFonts w:ascii="Times New Roman" w:hAnsiTheme="minorEastAsia" w:cs="Times New Roman" w:hint="eastAsia"/>
        </w:rPr>
        <w:t>-16</w:t>
      </w:r>
      <w:r>
        <w:rPr>
          <w:rFonts w:ascii="Times New Roman" w:hAnsiTheme="minorEastAsia" w:cs="Times New Roman" w:hint="eastAsia"/>
        </w:rPr>
        <w:t>℃，沸点</w:t>
      </w:r>
      <w:r>
        <w:rPr>
          <w:rFonts w:ascii="Times New Roman" w:hAnsiTheme="minorEastAsia" w:cs="Times New Roman" w:hint="eastAsia"/>
        </w:rPr>
        <w:t>111</w:t>
      </w:r>
      <w:r>
        <w:rPr>
          <w:rFonts w:ascii="Times New Roman" w:hAnsiTheme="minorEastAsia" w:cs="Times New Roman" w:hint="eastAsia"/>
        </w:rPr>
        <w:t>℃，易溶于水，</w:t>
      </w:r>
      <w:hyperlink r:id="rId26" w:history="1">
        <w:r>
          <w:rPr>
            <w:rFonts w:ascii="Times New Roman" w:hAnsiTheme="minorEastAsia" w:cs="Times New Roman" w:hint="eastAsia"/>
          </w:rPr>
          <w:t>不燃，具腐蚀性</w:t>
        </w:r>
      </w:hyperlink>
      <w:r>
        <w:rPr>
          <w:rFonts w:ascii="Times New Roman" w:hAnsiTheme="minorEastAsia" w:cs="Times New Roman" w:hint="eastAsia"/>
        </w:rPr>
        <w:t>，可致人体灼伤，中毒，</w:t>
      </w:r>
      <w:r>
        <w:rPr>
          <w:rFonts w:ascii="Times New Roman" w:hAnsiTheme="minorEastAsia" w:cs="Times New Roman" w:hint="eastAsia"/>
        </w:rPr>
        <w:t>LD50</w:t>
      </w:r>
      <w:r>
        <w:rPr>
          <w:rFonts w:ascii="Times New Roman" w:hAnsiTheme="minorEastAsia" w:cs="Times New Roman" w:hint="eastAsia"/>
        </w:rPr>
        <w:t>：</w:t>
      </w:r>
      <w:r>
        <w:rPr>
          <w:rFonts w:ascii="Times New Roman" w:hAnsiTheme="minorEastAsia" w:cs="Times New Roman" w:hint="eastAsia"/>
        </w:rPr>
        <w:t>115mg/kg</w:t>
      </w:r>
      <w:r>
        <w:rPr>
          <w:rFonts w:ascii="Times New Roman" w:hAnsiTheme="minorEastAsia" w:cs="Times New Roman" w:hint="eastAsia"/>
        </w:rPr>
        <w:t>（大鼠口服）。</w:t>
      </w:r>
    </w:p>
    <w:p w14:paraId="0D18D2FC" w14:textId="77777777" w:rsidR="00B14D53" w:rsidRDefault="00000000">
      <w:pPr>
        <w:pStyle w:val="afff"/>
        <w:adjustRightInd/>
        <w:snapToGrid/>
        <w:contextualSpacing/>
        <w:rPr>
          <w:rFonts w:ascii="Times New Roman" w:hAnsi="Times New Roman" w:cs="Times New Roman"/>
        </w:rPr>
      </w:pPr>
      <w:r>
        <w:rPr>
          <w:rFonts w:ascii="Times New Roman" w:hAnsiTheme="minorEastAsia" w:cs="Times New Roman" w:hint="eastAsia"/>
        </w:rPr>
        <w:t>煤酚皂：是常用的一种消毒剂，煤酚皂的主要成分为甲基苯酚</w:t>
      </w:r>
      <w:r>
        <w:rPr>
          <w:rFonts w:ascii="Times New Roman" w:hAnsiTheme="minorEastAsia" w:cs="Times New Roman" w:hint="eastAsia"/>
        </w:rPr>
        <w:t>(</w:t>
      </w:r>
      <w:r>
        <w:rPr>
          <w:rFonts w:ascii="Times New Roman" w:hAnsiTheme="minorEastAsia" w:cs="Times New Roman" w:hint="eastAsia"/>
        </w:rPr>
        <w:t>化学式</w:t>
      </w:r>
      <w:r>
        <w:rPr>
          <w:rFonts w:ascii="Times New Roman" w:hAnsiTheme="minorEastAsia" w:cs="Times New Roman" w:hint="eastAsia"/>
        </w:rPr>
        <w:t>C</w:t>
      </w:r>
      <w:r>
        <w:rPr>
          <w:rFonts w:ascii="Times New Roman" w:hAnsiTheme="minorEastAsia" w:cs="Times New Roman" w:hint="eastAsia"/>
          <w:vertAlign w:val="subscript"/>
        </w:rPr>
        <w:t>7</w:t>
      </w:r>
      <w:r>
        <w:rPr>
          <w:rFonts w:ascii="Times New Roman" w:hAnsiTheme="minorEastAsia" w:cs="Times New Roman" w:hint="eastAsia"/>
        </w:rPr>
        <w:t>H</w:t>
      </w:r>
      <w:r>
        <w:rPr>
          <w:rFonts w:ascii="Times New Roman" w:hAnsiTheme="minorEastAsia" w:cs="Times New Roman" w:hint="eastAsia"/>
          <w:vertAlign w:val="subscript"/>
        </w:rPr>
        <w:t>8</w:t>
      </w:r>
      <w:r>
        <w:rPr>
          <w:rFonts w:ascii="Times New Roman" w:hAnsiTheme="minorEastAsia" w:cs="Times New Roman" w:hint="eastAsia"/>
        </w:rPr>
        <w:t>O)</w:t>
      </w:r>
      <w:r>
        <w:rPr>
          <w:rFonts w:ascii="Times New Roman" w:hAnsiTheme="minorEastAsia" w:cs="Times New Roman" w:hint="eastAsia"/>
        </w:rPr>
        <w:t>；无色或灰棕黄色液体，久贮或露置日光下颜色变暗，有酚臭。可溶于水（</w:t>
      </w:r>
      <w:r>
        <w:rPr>
          <w:rFonts w:ascii="Times New Roman" w:hAnsiTheme="minorEastAsia" w:cs="Times New Roman" w:hint="eastAsia"/>
        </w:rPr>
        <w:t>1</w:t>
      </w:r>
      <w:r>
        <w:rPr>
          <w:rFonts w:ascii="Times New Roman" w:hAnsiTheme="minorEastAsia" w:cs="Times New Roman" w:hint="eastAsia"/>
        </w:rPr>
        <w:t>：</w:t>
      </w:r>
      <w:r>
        <w:rPr>
          <w:rFonts w:ascii="Times New Roman" w:hAnsiTheme="minorEastAsia" w:cs="Times New Roman" w:hint="eastAsia"/>
        </w:rPr>
        <w:t>50</w:t>
      </w:r>
      <w:r>
        <w:rPr>
          <w:rFonts w:ascii="Times New Roman" w:hAnsiTheme="minorEastAsia" w:cs="Times New Roman" w:hint="eastAsia"/>
        </w:rPr>
        <w:t>）；能与乙醇、氯仿、乙醚、甘油混溶；极易溶于脂肪油和挥发油；可溶于碱性溶液，</w:t>
      </w:r>
      <w:r>
        <w:rPr>
          <w:rFonts w:ascii="Times New Roman" w:hAnsiTheme="minorEastAsia" w:cs="Times New Roman" w:hint="eastAsia"/>
        </w:rPr>
        <w:t>2%</w:t>
      </w:r>
      <w:r>
        <w:rPr>
          <w:rFonts w:ascii="Times New Roman" w:hAnsiTheme="minorEastAsia" w:cs="Times New Roman" w:hint="eastAsia"/>
        </w:rPr>
        <w:t>的水溶液呈中性</w:t>
      </w:r>
      <w:r>
        <w:rPr>
          <w:rFonts w:ascii="Times New Roman" w:hAnsiTheme="minorEastAsia" w:cs="Times New Roman"/>
        </w:rPr>
        <w:t>。</w:t>
      </w:r>
      <w:r>
        <w:rPr>
          <w:rFonts w:ascii="Times New Roman" w:hAnsiTheme="minorEastAsia" w:cs="Times New Roman" w:hint="eastAsia"/>
        </w:rPr>
        <w:t>1%</w:t>
      </w:r>
      <w:r>
        <w:rPr>
          <w:rFonts w:ascii="Times New Roman" w:hAnsiTheme="minorEastAsia" w:cs="Times New Roman" w:hint="eastAsia"/>
        </w:rPr>
        <w:t>～</w:t>
      </w:r>
      <w:r>
        <w:rPr>
          <w:rFonts w:ascii="Times New Roman" w:hAnsiTheme="minorEastAsia" w:cs="Times New Roman" w:hint="eastAsia"/>
        </w:rPr>
        <w:t>2%</w:t>
      </w:r>
      <w:r>
        <w:rPr>
          <w:rFonts w:ascii="Times New Roman" w:hAnsiTheme="minorEastAsia" w:cs="Times New Roman" w:hint="eastAsia"/>
        </w:rPr>
        <w:t>水溶液用于手和皮肤消毒；</w:t>
      </w:r>
      <w:r>
        <w:rPr>
          <w:rFonts w:ascii="Times New Roman" w:hAnsiTheme="minorEastAsia" w:cs="Times New Roman" w:hint="eastAsia"/>
        </w:rPr>
        <w:t>3%</w:t>
      </w:r>
      <w:r>
        <w:rPr>
          <w:rFonts w:ascii="Times New Roman" w:hAnsiTheme="minorEastAsia" w:cs="Times New Roman" w:hint="eastAsia"/>
        </w:rPr>
        <w:t>～</w:t>
      </w:r>
      <w:r>
        <w:rPr>
          <w:rFonts w:ascii="Times New Roman" w:hAnsiTheme="minorEastAsia" w:cs="Times New Roman" w:hint="eastAsia"/>
        </w:rPr>
        <w:t>5%</w:t>
      </w:r>
      <w:r>
        <w:rPr>
          <w:rFonts w:ascii="Times New Roman" w:hAnsiTheme="minorEastAsia" w:cs="Times New Roman" w:hint="eastAsia"/>
        </w:rPr>
        <w:t>溶液用于器械、用具消毒；</w:t>
      </w:r>
      <w:r>
        <w:rPr>
          <w:rFonts w:ascii="Times New Roman" w:hAnsiTheme="minorEastAsia" w:cs="Times New Roman" w:hint="eastAsia"/>
        </w:rPr>
        <w:t>5%</w:t>
      </w:r>
      <w:r>
        <w:rPr>
          <w:rFonts w:ascii="Times New Roman" w:hAnsiTheme="minorEastAsia" w:cs="Times New Roman" w:hint="eastAsia"/>
        </w:rPr>
        <w:t>～</w:t>
      </w:r>
      <w:r>
        <w:rPr>
          <w:rFonts w:ascii="Times New Roman" w:hAnsiTheme="minorEastAsia" w:cs="Times New Roman" w:hint="eastAsia"/>
        </w:rPr>
        <w:t>10%</w:t>
      </w:r>
      <w:r>
        <w:rPr>
          <w:rFonts w:ascii="Times New Roman" w:hAnsiTheme="minorEastAsia" w:cs="Times New Roman" w:hint="eastAsia"/>
        </w:rPr>
        <w:t>溶液用于排泄物消毒。</w:t>
      </w:r>
    </w:p>
    <w:p w14:paraId="0C62B410"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3.1.</w:t>
      </w:r>
      <w:r>
        <w:rPr>
          <w:rFonts w:ascii="Times New Roman" w:eastAsia="黑体" w:hAnsi="Times New Roman" w:cs="Times New Roman" w:hint="eastAsia"/>
          <w:bCs/>
          <w:sz w:val="28"/>
          <w:szCs w:val="28"/>
        </w:rPr>
        <w:t>5</w:t>
      </w:r>
      <w:r>
        <w:rPr>
          <w:rFonts w:ascii="Times New Roman" w:eastAsia="黑体" w:hAnsi="Times New Roman" w:cs="Times New Roman"/>
          <w:bCs/>
          <w:sz w:val="28"/>
          <w:szCs w:val="28"/>
        </w:rPr>
        <w:t>产品方案</w:t>
      </w:r>
    </w:p>
    <w:p w14:paraId="41A28B3A" w14:textId="77777777" w:rsidR="00B14D53" w:rsidRDefault="00000000">
      <w:pPr>
        <w:widowControl/>
        <w:kinsoku w:val="0"/>
        <w:autoSpaceDE w:val="0"/>
        <w:autoSpaceDN w:val="0"/>
        <w:adjustRightInd w:val="0"/>
        <w:snapToGrid w:val="0"/>
        <w:spacing w:line="360" w:lineRule="auto"/>
        <w:ind w:firstLineChars="200" w:firstLine="476"/>
        <w:textAlignment w:val="baseline"/>
        <w:rPr>
          <w:spacing w:val="-1"/>
          <w:sz w:val="24"/>
        </w:rPr>
      </w:pPr>
      <w:bookmarkStart w:id="72" w:name="_Toc456590362"/>
      <w:r>
        <w:rPr>
          <w:spacing w:val="-1"/>
          <w:sz w:val="24"/>
        </w:rPr>
        <w:t>产品方案</w:t>
      </w:r>
      <w:r>
        <w:rPr>
          <w:rFonts w:hint="eastAsia"/>
          <w:spacing w:val="-1"/>
          <w:sz w:val="24"/>
        </w:rPr>
        <w:t>见</w:t>
      </w:r>
      <w:r>
        <w:rPr>
          <w:spacing w:val="-1"/>
          <w:sz w:val="24"/>
        </w:rPr>
        <w:t>下表。</w:t>
      </w:r>
    </w:p>
    <w:p w14:paraId="13C3F981" w14:textId="77777777" w:rsidR="00B14D53" w:rsidRDefault="00000000">
      <w:pPr>
        <w:jc w:val="center"/>
        <w:rPr>
          <w:b/>
          <w:bCs/>
        </w:rPr>
      </w:pPr>
      <w:r>
        <w:rPr>
          <w:b/>
          <w:bCs/>
        </w:rPr>
        <w:t>表</w:t>
      </w:r>
      <w:r>
        <w:rPr>
          <w:b/>
          <w:bCs/>
        </w:rPr>
        <w:t>3</w:t>
      </w:r>
      <w:r>
        <w:rPr>
          <w:rFonts w:hint="eastAsia"/>
          <w:b/>
          <w:bCs/>
        </w:rPr>
        <w:t>-1</w:t>
      </w:r>
      <w:r>
        <w:rPr>
          <w:b/>
          <w:bCs/>
        </w:rPr>
        <w:t>-</w:t>
      </w:r>
      <w:r>
        <w:rPr>
          <w:rFonts w:hint="eastAsia"/>
          <w:b/>
          <w:bCs/>
        </w:rPr>
        <w:t>4</w:t>
      </w:r>
      <w:r>
        <w:rPr>
          <w:b/>
          <w:bCs/>
        </w:rPr>
        <w:t xml:space="preserve"> </w:t>
      </w:r>
      <w:r>
        <w:rPr>
          <w:b/>
          <w:bCs/>
        </w:rPr>
        <w:t>产品方案一览表</w:t>
      </w:r>
    </w:p>
    <w:p w14:paraId="60477DA3" w14:textId="77777777" w:rsidR="00B14D53" w:rsidRDefault="00B14D53">
      <w:pPr>
        <w:spacing w:line="18" w:lineRule="exact"/>
      </w:pPr>
    </w:p>
    <w:tbl>
      <w:tblPr>
        <w:tblStyle w:val="TableNormal"/>
        <w:tblW w:w="4998" w:type="pct"/>
        <w:tblInd w:w="0"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47"/>
        <w:gridCol w:w="2896"/>
        <w:gridCol w:w="4560"/>
      </w:tblGrid>
      <w:tr w:rsidR="00B14D53" w14:paraId="17030134" w14:textId="77777777">
        <w:trPr>
          <w:trHeight w:val="344"/>
        </w:trPr>
        <w:tc>
          <w:tcPr>
            <w:tcW w:w="510" w:type="pct"/>
            <w:tcBorders>
              <w:tl2br w:val="nil"/>
              <w:tr2bl w:val="nil"/>
            </w:tcBorders>
            <w:vAlign w:val="center"/>
          </w:tcPr>
          <w:p w14:paraId="31ABC3C3" w14:textId="77777777" w:rsidR="00B14D53" w:rsidRDefault="00000000">
            <w:pPr>
              <w:jc w:val="center"/>
              <w:rPr>
                <w:b/>
                <w:bCs/>
                <w:szCs w:val="21"/>
              </w:rPr>
            </w:pPr>
            <w:r>
              <w:rPr>
                <w:rFonts w:hint="eastAsia"/>
                <w:b/>
                <w:bCs/>
                <w:szCs w:val="21"/>
              </w:rPr>
              <w:t>序号</w:t>
            </w:r>
          </w:p>
        </w:tc>
        <w:tc>
          <w:tcPr>
            <w:tcW w:w="1744" w:type="pct"/>
            <w:tcBorders>
              <w:tl2br w:val="nil"/>
              <w:tr2bl w:val="nil"/>
            </w:tcBorders>
            <w:vAlign w:val="center"/>
          </w:tcPr>
          <w:p w14:paraId="2581D8BF" w14:textId="77777777" w:rsidR="00B14D53" w:rsidRDefault="00000000">
            <w:pPr>
              <w:jc w:val="center"/>
              <w:rPr>
                <w:b/>
                <w:bCs/>
                <w:szCs w:val="21"/>
              </w:rPr>
            </w:pPr>
            <w:r>
              <w:rPr>
                <w:rFonts w:hint="eastAsia"/>
                <w:b/>
                <w:bCs/>
                <w:szCs w:val="21"/>
              </w:rPr>
              <w:t>产品名称</w:t>
            </w:r>
          </w:p>
        </w:tc>
        <w:tc>
          <w:tcPr>
            <w:tcW w:w="2745" w:type="pct"/>
            <w:tcBorders>
              <w:tl2br w:val="nil"/>
              <w:tr2bl w:val="nil"/>
            </w:tcBorders>
            <w:vAlign w:val="center"/>
          </w:tcPr>
          <w:p w14:paraId="0164E71D" w14:textId="77777777" w:rsidR="00B14D53" w:rsidRDefault="00000000">
            <w:pPr>
              <w:widowControl/>
              <w:jc w:val="center"/>
              <w:textAlignment w:val="center"/>
              <w:rPr>
                <w:b/>
                <w:bCs/>
                <w:kern w:val="0"/>
                <w:szCs w:val="21"/>
                <w:lang w:bidi="ar"/>
              </w:rPr>
            </w:pPr>
            <w:r>
              <w:rPr>
                <w:rFonts w:hint="eastAsia"/>
                <w:b/>
                <w:bCs/>
                <w:kern w:val="0"/>
                <w:szCs w:val="21"/>
                <w:lang w:bidi="ar"/>
              </w:rPr>
              <w:t>年产量（单位：</w:t>
            </w:r>
            <w:r>
              <w:rPr>
                <w:rFonts w:hint="eastAsia"/>
                <w:b/>
                <w:bCs/>
                <w:kern w:val="0"/>
                <w:szCs w:val="21"/>
                <w:lang w:bidi="ar"/>
              </w:rPr>
              <w:t>t/a</w:t>
            </w:r>
            <w:r>
              <w:rPr>
                <w:rFonts w:hint="eastAsia"/>
                <w:b/>
                <w:bCs/>
                <w:kern w:val="0"/>
                <w:szCs w:val="21"/>
                <w:lang w:bidi="ar"/>
              </w:rPr>
              <w:t>）</w:t>
            </w:r>
          </w:p>
        </w:tc>
      </w:tr>
      <w:tr w:rsidR="00B14D53" w14:paraId="69AE857B" w14:textId="77777777">
        <w:trPr>
          <w:trHeight w:val="344"/>
        </w:trPr>
        <w:tc>
          <w:tcPr>
            <w:tcW w:w="510" w:type="pct"/>
            <w:tcBorders>
              <w:tl2br w:val="nil"/>
              <w:tr2bl w:val="nil"/>
            </w:tcBorders>
            <w:vAlign w:val="center"/>
          </w:tcPr>
          <w:p w14:paraId="6951EE2C" w14:textId="77777777" w:rsidR="00B14D53" w:rsidRDefault="00000000">
            <w:pPr>
              <w:jc w:val="center"/>
              <w:rPr>
                <w:szCs w:val="21"/>
              </w:rPr>
            </w:pPr>
            <w:r>
              <w:rPr>
                <w:szCs w:val="21"/>
              </w:rPr>
              <w:t>1</w:t>
            </w:r>
          </w:p>
        </w:tc>
        <w:tc>
          <w:tcPr>
            <w:tcW w:w="1744" w:type="pct"/>
            <w:tcBorders>
              <w:tl2br w:val="nil"/>
              <w:tr2bl w:val="nil"/>
            </w:tcBorders>
            <w:vAlign w:val="center"/>
          </w:tcPr>
          <w:p w14:paraId="072B01DD" w14:textId="77777777" w:rsidR="00B14D53" w:rsidRDefault="00000000">
            <w:pPr>
              <w:jc w:val="center"/>
              <w:rPr>
                <w:szCs w:val="21"/>
              </w:rPr>
            </w:pPr>
            <w:r>
              <w:rPr>
                <w:rFonts w:hint="eastAsia"/>
                <w:szCs w:val="21"/>
              </w:rPr>
              <w:t>猪胴体</w:t>
            </w:r>
          </w:p>
        </w:tc>
        <w:tc>
          <w:tcPr>
            <w:tcW w:w="2745" w:type="pct"/>
            <w:tcBorders>
              <w:tl2br w:val="nil"/>
              <w:tr2bl w:val="nil"/>
            </w:tcBorders>
            <w:vAlign w:val="center"/>
          </w:tcPr>
          <w:p w14:paraId="17F33E6C" w14:textId="77777777" w:rsidR="00B14D53" w:rsidRDefault="00000000">
            <w:pPr>
              <w:widowControl/>
              <w:jc w:val="center"/>
              <w:textAlignment w:val="center"/>
              <w:rPr>
                <w:kern w:val="0"/>
                <w:szCs w:val="21"/>
                <w:lang w:bidi="ar"/>
              </w:rPr>
            </w:pPr>
            <w:r>
              <w:rPr>
                <w:rFonts w:hint="eastAsia"/>
                <w:kern w:val="0"/>
                <w:szCs w:val="21"/>
                <w:lang w:bidi="ar"/>
              </w:rPr>
              <w:t>12848</w:t>
            </w:r>
          </w:p>
        </w:tc>
      </w:tr>
      <w:tr w:rsidR="00B14D53" w14:paraId="06DC12FB" w14:textId="77777777">
        <w:trPr>
          <w:trHeight w:val="344"/>
        </w:trPr>
        <w:tc>
          <w:tcPr>
            <w:tcW w:w="510" w:type="pct"/>
            <w:tcBorders>
              <w:tl2br w:val="nil"/>
              <w:tr2bl w:val="nil"/>
            </w:tcBorders>
            <w:vAlign w:val="center"/>
          </w:tcPr>
          <w:p w14:paraId="6743AE20" w14:textId="77777777" w:rsidR="00B14D53" w:rsidRDefault="00000000">
            <w:pPr>
              <w:jc w:val="center"/>
              <w:rPr>
                <w:szCs w:val="21"/>
              </w:rPr>
            </w:pPr>
            <w:r>
              <w:rPr>
                <w:szCs w:val="21"/>
              </w:rPr>
              <w:t>2</w:t>
            </w:r>
          </w:p>
        </w:tc>
        <w:tc>
          <w:tcPr>
            <w:tcW w:w="1744" w:type="pct"/>
            <w:tcBorders>
              <w:tl2br w:val="nil"/>
              <w:tr2bl w:val="nil"/>
            </w:tcBorders>
            <w:vAlign w:val="center"/>
          </w:tcPr>
          <w:p w14:paraId="2A7BF7CA" w14:textId="77777777" w:rsidR="00B14D53" w:rsidRDefault="00000000">
            <w:pPr>
              <w:jc w:val="center"/>
              <w:rPr>
                <w:szCs w:val="21"/>
              </w:rPr>
            </w:pPr>
            <w:r>
              <w:rPr>
                <w:spacing w:val="4"/>
                <w:szCs w:val="21"/>
              </w:rPr>
              <w:t>可食用内脏</w:t>
            </w:r>
          </w:p>
        </w:tc>
        <w:tc>
          <w:tcPr>
            <w:tcW w:w="2745" w:type="pct"/>
            <w:tcBorders>
              <w:tl2br w:val="nil"/>
              <w:tr2bl w:val="nil"/>
            </w:tcBorders>
            <w:vAlign w:val="center"/>
          </w:tcPr>
          <w:p w14:paraId="70DDC504" w14:textId="77777777" w:rsidR="00B14D53" w:rsidRDefault="00000000">
            <w:pPr>
              <w:widowControl/>
              <w:jc w:val="center"/>
              <w:textAlignment w:val="center"/>
              <w:rPr>
                <w:kern w:val="0"/>
                <w:szCs w:val="21"/>
                <w:lang w:bidi="ar"/>
              </w:rPr>
            </w:pPr>
            <w:r>
              <w:rPr>
                <w:rFonts w:hint="eastAsia"/>
                <w:kern w:val="0"/>
                <w:szCs w:val="21"/>
                <w:lang w:bidi="ar"/>
              </w:rPr>
              <w:t>1144</w:t>
            </w:r>
          </w:p>
        </w:tc>
      </w:tr>
      <w:tr w:rsidR="00B14D53" w14:paraId="0CFF3175" w14:textId="77777777">
        <w:trPr>
          <w:trHeight w:val="324"/>
        </w:trPr>
        <w:tc>
          <w:tcPr>
            <w:tcW w:w="510" w:type="pct"/>
            <w:tcBorders>
              <w:tl2br w:val="nil"/>
              <w:tr2bl w:val="nil"/>
            </w:tcBorders>
            <w:vAlign w:val="center"/>
          </w:tcPr>
          <w:p w14:paraId="43D0E9A5" w14:textId="77777777" w:rsidR="00B14D53" w:rsidRDefault="00000000">
            <w:pPr>
              <w:jc w:val="center"/>
              <w:rPr>
                <w:szCs w:val="21"/>
              </w:rPr>
            </w:pPr>
            <w:r>
              <w:rPr>
                <w:szCs w:val="21"/>
              </w:rPr>
              <w:t>3</w:t>
            </w:r>
          </w:p>
        </w:tc>
        <w:tc>
          <w:tcPr>
            <w:tcW w:w="1744" w:type="pct"/>
            <w:tcBorders>
              <w:tl2br w:val="nil"/>
              <w:tr2bl w:val="nil"/>
            </w:tcBorders>
            <w:vAlign w:val="center"/>
          </w:tcPr>
          <w:p w14:paraId="40A03D34" w14:textId="77777777" w:rsidR="00B14D53" w:rsidRDefault="00000000">
            <w:pPr>
              <w:jc w:val="center"/>
              <w:rPr>
                <w:szCs w:val="21"/>
              </w:rPr>
            </w:pPr>
            <w:r>
              <w:rPr>
                <w:spacing w:val="4"/>
                <w:szCs w:val="21"/>
              </w:rPr>
              <w:t>猪血</w:t>
            </w:r>
          </w:p>
        </w:tc>
        <w:tc>
          <w:tcPr>
            <w:tcW w:w="2745" w:type="pct"/>
            <w:tcBorders>
              <w:tl2br w:val="nil"/>
              <w:tr2bl w:val="nil"/>
            </w:tcBorders>
            <w:vAlign w:val="center"/>
          </w:tcPr>
          <w:p w14:paraId="5E58BAB2" w14:textId="77777777" w:rsidR="00B14D53" w:rsidRDefault="00000000">
            <w:pPr>
              <w:widowControl/>
              <w:jc w:val="center"/>
              <w:textAlignment w:val="center"/>
              <w:rPr>
                <w:kern w:val="0"/>
                <w:szCs w:val="21"/>
                <w:lang w:bidi="ar"/>
              </w:rPr>
            </w:pPr>
            <w:r>
              <w:rPr>
                <w:rFonts w:hint="eastAsia"/>
                <w:kern w:val="0"/>
                <w:szCs w:val="21"/>
                <w:lang w:bidi="ar"/>
              </w:rPr>
              <w:t>792</w:t>
            </w:r>
          </w:p>
        </w:tc>
      </w:tr>
      <w:tr w:rsidR="00B14D53" w14:paraId="674B5CE3" w14:textId="77777777">
        <w:trPr>
          <w:trHeight w:val="344"/>
        </w:trPr>
        <w:tc>
          <w:tcPr>
            <w:tcW w:w="510" w:type="pct"/>
            <w:tcBorders>
              <w:tl2br w:val="nil"/>
              <w:tr2bl w:val="nil"/>
            </w:tcBorders>
            <w:vAlign w:val="center"/>
          </w:tcPr>
          <w:p w14:paraId="35191378" w14:textId="77777777" w:rsidR="00B14D53" w:rsidRDefault="00000000">
            <w:pPr>
              <w:jc w:val="center"/>
              <w:rPr>
                <w:szCs w:val="21"/>
              </w:rPr>
            </w:pPr>
            <w:r>
              <w:rPr>
                <w:spacing w:val="1"/>
                <w:szCs w:val="21"/>
              </w:rPr>
              <w:t>4</w:t>
            </w:r>
          </w:p>
        </w:tc>
        <w:tc>
          <w:tcPr>
            <w:tcW w:w="1744" w:type="pct"/>
            <w:tcBorders>
              <w:tl2br w:val="nil"/>
              <w:tr2bl w:val="nil"/>
            </w:tcBorders>
            <w:vAlign w:val="center"/>
          </w:tcPr>
          <w:p w14:paraId="1E0CC4C1" w14:textId="77777777" w:rsidR="00B14D53" w:rsidRDefault="00000000">
            <w:pPr>
              <w:jc w:val="center"/>
              <w:rPr>
                <w:szCs w:val="21"/>
              </w:rPr>
            </w:pPr>
            <w:r>
              <w:rPr>
                <w:spacing w:val="7"/>
                <w:szCs w:val="21"/>
              </w:rPr>
              <w:t>头、蹄、尾</w:t>
            </w:r>
          </w:p>
        </w:tc>
        <w:tc>
          <w:tcPr>
            <w:tcW w:w="2745" w:type="pct"/>
            <w:tcBorders>
              <w:tl2br w:val="nil"/>
              <w:tr2bl w:val="nil"/>
            </w:tcBorders>
            <w:vAlign w:val="center"/>
          </w:tcPr>
          <w:p w14:paraId="6AE4D1A3" w14:textId="77777777" w:rsidR="00B14D53" w:rsidRDefault="00000000">
            <w:pPr>
              <w:widowControl/>
              <w:jc w:val="center"/>
              <w:textAlignment w:val="center"/>
              <w:rPr>
                <w:kern w:val="0"/>
                <w:szCs w:val="21"/>
                <w:lang w:bidi="ar"/>
              </w:rPr>
            </w:pPr>
            <w:r>
              <w:rPr>
                <w:rFonts w:hint="eastAsia"/>
                <w:kern w:val="0"/>
                <w:szCs w:val="21"/>
                <w:lang w:bidi="ar"/>
              </w:rPr>
              <w:t>1144</w:t>
            </w:r>
          </w:p>
        </w:tc>
      </w:tr>
      <w:tr w:rsidR="00B14D53" w14:paraId="2BD5F03B" w14:textId="77777777">
        <w:trPr>
          <w:trHeight w:val="90"/>
        </w:trPr>
        <w:tc>
          <w:tcPr>
            <w:tcW w:w="510" w:type="pct"/>
            <w:tcBorders>
              <w:tl2br w:val="nil"/>
              <w:tr2bl w:val="nil"/>
            </w:tcBorders>
            <w:vAlign w:val="center"/>
          </w:tcPr>
          <w:p w14:paraId="51376846" w14:textId="77777777" w:rsidR="00B14D53" w:rsidRDefault="00000000">
            <w:pPr>
              <w:jc w:val="center"/>
              <w:rPr>
                <w:szCs w:val="21"/>
              </w:rPr>
            </w:pPr>
            <w:r>
              <w:rPr>
                <w:szCs w:val="21"/>
              </w:rPr>
              <w:t>5</w:t>
            </w:r>
          </w:p>
        </w:tc>
        <w:tc>
          <w:tcPr>
            <w:tcW w:w="1744" w:type="pct"/>
            <w:tcBorders>
              <w:tl2br w:val="nil"/>
              <w:tr2bl w:val="nil"/>
            </w:tcBorders>
            <w:vAlign w:val="center"/>
          </w:tcPr>
          <w:p w14:paraId="55A83047" w14:textId="77777777" w:rsidR="00B14D53" w:rsidRDefault="00000000">
            <w:pPr>
              <w:jc w:val="center"/>
              <w:rPr>
                <w:szCs w:val="21"/>
              </w:rPr>
            </w:pPr>
            <w:r>
              <w:rPr>
                <w:szCs w:val="21"/>
              </w:rPr>
              <w:t>板油</w:t>
            </w:r>
          </w:p>
        </w:tc>
        <w:tc>
          <w:tcPr>
            <w:tcW w:w="2745" w:type="pct"/>
            <w:tcBorders>
              <w:tl2br w:val="nil"/>
              <w:tr2bl w:val="nil"/>
            </w:tcBorders>
            <w:vAlign w:val="center"/>
          </w:tcPr>
          <w:p w14:paraId="3050EE62" w14:textId="77777777" w:rsidR="00B14D53" w:rsidRDefault="00000000">
            <w:pPr>
              <w:widowControl/>
              <w:jc w:val="center"/>
              <w:textAlignment w:val="center"/>
              <w:rPr>
                <w:kern w:val="0"/>
                <w:szCs w:val="21"/>
                <w:lang w:bidi="ar"/>
              </w:rPr>
            </w:pPr>
            <w:r>
              <w:rPr>
                <w:rFonts w:hint="eastAsia"/>
                <w:kern w:val="0"/>
                <w:szCs w:val="21"/>
                <w:lang w:bidi="ar"/>
              </w:rPr>
              <w:t>264</w:t>
            </w:r>
          </w:p>
        </w:tc>
      </w:tr>
      <w:tr w:rsidR="00B14D53" w14:paraId="00E5890D" w14:textId="77777777">
        <w:trPr>
          <w:trHeight w:val="90"/>
        </w:trPr>
        <w:tc>
          <w:tcPr>
            <w:tcW w:w="510" w:type="pct"/>
            <w:tcBorders>
              <w:tl2br w:val="nil"/>
              <w:tr2bl w:val="nil"/>
            </w:tcBorders>
            <w:vAlign w:val="center"/>
          </w:tcPr>
          <w:p w14:paraId="496DDDFA" w14:textId="77777777" w:rsidR="00B14D53" w:rsidRDefault="00000000">
            <w:pPr>
              <w:jc w:val="center"/>
              <w:rPr>
                <w:szCs w:val="21"/>
              </w:rPr>
            </w:pPr>
            <w:r>
              <w:rPr>
                <w:rFonts w:hint="eastAsia"/>
                <w:szCs w:val="21"/>
              </w:rPr>
              <w:t>6</w:t>
            </w:r>
          </w:p>
        </w:tc>
        <w:tc>
          <w:tcPr>
            <w:tcW w:w="1744" w:type="pct"/>
            <w:tcBorders>
              <w:tl2br w:val="nil"/>
              <w:tr2bl w:val="nil"/>
            </w:tcBorders>
            <w:vAlign w:val="center"/>
          </w:tcPr>
          <w:p w14:paraId="16E991CB" w14:textId="77777777" w:rsidR="00B14D53" w:rsidRDefault="00000000">
            <w:pPr>
              <w:jc w:val="center"/>
              <w:rPr>
                <w:szCs w:val="21"/>
              </w:rPr>
            </w:pPr>
            <w:r>
              <w:rPr>
                <w:rFonts w:hint="eastAsia"/>
                <w:szCs w:val="21"/>
              </w:rPr>
              <w:t>猪毛</w:t>
            </w:r>
          </w:p>
        </w:tc>
        <w:tc>
          <w:tcPr>
            <w:tcW w:w="2745" w:type="pct"/>
            <w:tcBorders>
              <w:tl2br w:val="nil"/>
              <w:tr2bl w:val="nil"/>
            </w:tcBorders>
            <w:vAlign w:val="center"/>
          </w:tcPr>
          <w:p w14:paraId="198AE7A6" w14:textId="77777777" w:rsidR="00B14D53" w:rsidRDefault="00000000">
            <w:pPr>
              <w:widowControl/>
              <w:jc w:val="center"/>
              <w:textAlignment w:val="center"/>
              <w:rPr>
                <w:kern w:val="0"/>
                <w:szCs w:val="21"/>
                <w:lang w:bidi="ar"/>
              </w:rPr>
            </w:pPr>
            <w:r>
              <w:rPr>
                <w:rFonts w:hint="eastAsia"/>
                <w:kern w:val="0"/>
                <w:szCs w:val="21"/>
                <w:lang w:bidi="ar"/>
              </w:rPr>
              <w:t>88</w:t>
            </w:r>
          </w:p>
        </w:tc>
      </w:tr>
      <w:tr w:rsidR="00B14D53" w14:paraId="4863ECC9" w14:textId="77777777">
        <w:trPr>
          <w:trHeight w:val="349"/>
        </w:trPr>
        <w:tc>
          <w:tcPr>
            <w:tcW w:w="2254" w:type="pct"/>
            <w:gridSpan w:val="2"/>
            <w:tcBorders>
              <w:tl2br w:val="nil"/>
              <w:tr2bl w:val="nil"/>
            </w:tcBorders>
            <w:vAlign w:val="center"/>
          </w:tcPr>
          <w:p w14:paraId="00C75E9D" w14:textId="77777777" w:rsidR="00B14D53" w:rsidRDefault="00000000">
            <w:pPr>
              <w:widowControl/>
              <w:jc w:val="center"/>
              <w:textAlignment w:val="center"/>
              <w:rPr>
                <w:szCs w:val="21"/>
              </w:rPr>
            </w:pPr>
            <w:r>
              <w:rPr>
                <w:rFonts w:hint="eastAsia"/>
                <w:szCs w:val="21"/>
              </w:rPr>
              <w:t>合计</w:t>
            </w:r>
          </w:p>
        </w:tc>
        <w:tc>
          <w:tcPr>
            <w:tcW w:w="2745" w:type="pct"/>
            <w:tcBorders>
              <w:tl2br w:val="nil"/>
              <w:tr2bl w:val="nil"/>
            </w:tcBorders>
            <w:vAlign w:val="center"/>
          </w:tcPr>
          <w:p w14:paraId="7B856AEC" w14:textId="77777777" w:rsidR="00B14D53" w:rsidRDefault="00000000">
            <w:pPr>
              <w:widowControl/>
              <w:jc w:val="center"/>
              <w:textAlignment w:val="center"/>
              <w:rPr>
                <w:kern w:val="0"/>
                <w:szCs w:val="21"/>
                <w:lang w:bidi="ar"/>
              </w:rPr>
            </w:pPr>
            <w:r>
              <w:rPr>
                <w:rFonts w:hint="eastAsia"/>
                <w:kern w:val="0"/>
                <w:szCs w:val="21"/>
                <w:lang w:bidi="ar"/>
              </w:rPr>
              <w:t>16280</w:t>
            </w:r>
          </w:p>
        </w:tc>
      </w:tr>
    </w:tbl>
    <w:p w14:paraId="3C7FAEB7"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3.1.</w:t>
      </w:r>
      <w:r>
        <w:rPr>
          <w:rFonts w:ascii="Times New Roman" w:eastAsia="黑体" w:hAnsi="Times New Roman" w:cs="Times New Roman" w:hint="eastAsia"/>
          <w:bCs/>
          <w:sz w:val="28"/>
          <w:szCs w:val="28"/>
        </w:rPr>
        <w:t>6</w:t>
      </w:r>
      <w:r>
        <w:rPr>
          <w:rFonts w:ascii="Times New Roman" w:eastAsia="黑体" w:hAnsi="Times New Roman" w:cs="Times New Roman" w:hint="eastAsia"/>
          <w:bCs/>
          <w:sz w:val="28"/>
          <w:szCs w:val="28"/>
        </w:rPr>
        <w:t>总平面布置</w:t>
      </w:r>
    </w:p>
    <w:p w14:paraId="095E7834" w14:textId="77777777" w:rsidR="00B14D53" w:rsidRDefault="00000000">
      <w:pPr>
        <w:adjustRightInd w:val="0"/>
        <w:spacing w:line="360" w:lineRule="auto"/>
        <w:ind w:firstLineChars="200" w:firstLine="480"/>
        <w:rPr>
          <w:rFonts w:eastAsiaTheme="minorEastAsia" w:hAnsiTheme="minorEastAsia" w:hint="eastAsia"/>
          <w:sz w:val="24"/>
        </w:rPr>
      </w:pPr>
      <w:r>
        <w:rPr>
          <w:rFonts w:eastAsiaTheme="minorEastAsia" w:hAnsiTheme="minorEastAsia"/>
          <w:sz w:val="24"/>
        </w:rPr>
        <w:t>本项目的建设地点位于黑龙江省哈尔滨市五常市山河镇山河屯林业地区林业大街南</w:t>
      </w:r>
      <w:r>
        <w:rPr>
          <w:rFonts w:eastAsiaTheme="minorEastAsia" w:hAnsiTheme="minorEastAsia"/>
          <w:sz w:val="24"/>
        </w:rPr>
        <w:t>200</w:t>
      </w:r>
      <w:r>
        <w:rPr>
          <w:rFonts w:eastAsiaTheme="minorEastAsia" w:hAnsiTheme="minorEastAsia"/>
          <w:sz w:val="24"/>
        </w:rPr>
        <w:t>米处，根据厂区地形地貌，厂区</w:t>
      </w:r>
      <w:r>
        <w:rPr>
          <w:rFonts w:eastAsiaTheme="minorEastAsia" w:hAnsiTheme="minorEastAsia" w:hint="eastAsia"/>
          <w:sz w:val="24"/>
        </w:rPr>
        <w:t>北</w:t>
      </w:r>
      <w:r>
        <w:rPr>
          <w:rFonts w:eastAsiaTheme="minorEastAsia" w:hAnsiTheme="minorEastAsia"/>
          <w:sz w:val="24"/>
        </w:rPr>
        <w:t>侧设置两处出入口，作为物流、人流的进出口，生猪运输车辆由</w:t>
      </w:r>
      <w:r>
        <w:rPr>
          <w:rFonts w:eastAsiaTheme="minorEastAsia" w:hAnsiTheme="minorEastAsia" w:hint="eastAsia"/>
          <w:sz w:val="24"/>
        </w:rPr>
        <w:t>东</w:t>
      </w:r>
      <w:r>
        <w:rPr>
          <w:rFonts w:eastAsiaTheme="minorEastAsia" w:hAnsiTheme="minorEastAsia"/>
          <w:sz w:val="24"/>
        </w:rPr>
        <w:t>侧入口直接进入待宰圈，待宰圈位于厂区</w:t>
      </w:r>
      <w:r>
        <w:rPr>
          <w:rFonts w:eastAsiaTheme="minorEastAsia" w:hAnsiTheme="minorEastAsia" w:hint="eastAsia"/>
          <w:sz w:val="24"/>
        </w:rPr>
        <w:t>东</w:t>
      </w:r>
      <w:r>
        <w:rPr>
          <w:rFonts w:eastAsiaTheme="minorEastAsia" w:hAnsiTheme="minorEastAsia"/>
          <w:sz w:val="24"/>
        </w:rPr>
        <w:t>侧</w:t>
      </w:r>
      <w:r>
        <w:rPr>
          <w:rFonts w:eastAsiaTheme="minorEastAsia" w:hAnsiTheme="minorEastAsia" w:hint="eastAsia"/>
          <w:sz w:val="24"/>
        </w:rPr>
        <w:t>及西侧</w:t>
      </w:r>
      <w:r>
        <w:rPr>
          <w:rFonts w:eastAsiaTheme="minorEastAsia" w:hAnsiTheme="minorEastAsia"/>
          <w:sz w:val="24"/>
        </w:rPr>
        <w:t>，</w:t>
      </w:r>
      <w:r>
        <w:rPr>
          <w:rFonts w:eastAsiaTheme="minorEastAsia" w:hAnsiTheme="minorEastAsia" w:hint="eastAsia"/>
          <w:sz w:val="24"/>
        </w:rPr>
        <w:t>休息室</w:t>
      </w:r>
      <w:r>
        <w:rPr>
          <w:rFonts w:eastAsiaTheme="minorEastAsia" w:hAnsiTheme="minorEastAsia"/>
          <w:sz w:val="24"/>
        </w:rPr>
        <w:t>、屠宰车间位于厂区中部，</w:t>
      </w:r>
      <w:r>
        <w:rPr>
          <w:rFonts w:eastAsiaTheme="minorEastAsia" w:hAnsiTheme="minorEastAsia" w:hint="eastAsia"/>
          <w:sz w:val="24"/>
        </w:rPr>
        <w:t>污水处理站位于厂区西侧，</w:t>
      </w:r>
      <w:r>
        <w:rPr>
          <w:rFonts w:eastAsiaTheme="minorEastAsia" w:hAnsiTheme="minorEastAsia"/>
          <w:sz w:val="24"/>
        </w:rPr>
        <w:t>冷库位于厂区南侧，根据生产工艺流程及物流顺畅、短捷的原则，合理布置工艺路线，厂区总平面布置图见附图</w:t>
      </w:r>
      <w:r>
        <w:rPr>
          <w:rFonts w:eastAsiaTheme="minorEastAsia" w:hAnsiTheme="minorEastAsia"/>
          <w:sz w:val="24"/>
        </w:rPr>
        <w:t>2</w:t>
      </w:r>
      <w:r>
        <w:rPr>
          <w:rFonts w:eastAsiaTheme="minorEastAsia" w:hAnsiTheme="minorEastAsia"/>
          <w:sz w:val="24"/>
        </w:rPr>
        <w:t>。</w:t>
      </w:r>
    </w:p>
    <w:p w14:paraId="08360E94"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3.1.7</w:t>
      </w:r>
      <w:r>
        <w:rPr>
          <w:rFonts w:ascii="Times New Roman" w:eastAsia="黑体" w:hAnsi="Times New Roman" w:cs="Times New Roman"/>
          <w:bCs/>
          <w:sz w:val="28"/>
          <w:szCs w:val="28"/>
        </w:rPr>
        <w:t>公用工程</w:t>
      </w:r>
      <w:bookmarkEnd w:id="72"/>
    </w:p>
    <w:p w14:paraId="1CD9F346"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hyperlink r:id="rId27" w:anchor="_Toc110400207" w:history="1">
        <w:bookmarkStart w:id="73" w:name="_Toc118087006"/>
        <w:bookmarkStart w:id="74" w:name="_Toc113078928"/>
        <w:bookmarkStart w:id="75" w:name="_Toc112420357"/>
        <w:bookmarkStart w:id="76" w:name="_Toc182022287"/>
        <w:r>
          <w:rPr>
            <w:rFonts w:ascii="Times New Roman" w:eastAsia="黑体" w:hAnsi="Times New Roman" w:cs="Times New Roman"/>
            <w:b w:val="0"/>
            <w:sz w:val="24"/>
            <w:szCs w:val="24"/>
          </w:rPr>
          <w:t>3.1.7.1</w:t>
        </w:r>
        <w:r>
          <w:rPr>
            <w:rFonts w:ascii="Times New Roman" w:eastAsia="黑体" w:hAnsi="Times New Roman" w:cs="Times New Roman"/>
            <w:b w:val="0"/>
            <w:sz w:val="24"/>
            <w:szCs w:val="24"/>
          </w:rPr>
          <w:t>供水工程</w:t>
        </w:r>
        <w:bookmarkEnd w:id="73"/>
        <w:bookmarkEnd w:id="74"/>
        <w:bookmarkEnd w:id="75"/>
        <w:bookmarkEnd w:id="76"/>
      </w:hyperlink>
    </w:p>
    <w:p w14:paraId="70567E0C" w14:textId="77777777" w:rsidR="00B14D53" w:rsidRDefault="00000000">
      <w:pPr>
        <w:adjustRightInd w:val="0"/>
        <w:spacing w:line="360" w:lineRule="auto"/>
        <w:ind w:firstLineChars="200" w:firstLine="480"/>
        <w:rPr>
          <w:rFonts w:eastAsiaTheme="minorEastAsia"/>
          <w:bCs/>
          <w:sz w:val="24"/>
        </w:rPr>
      </w:pPr>
      <w:bookmarkStart w:id="77" w:name="_Hlk480325814"/>
      <w:r>
        <w:rPr>
          <w:rFonts w:eastAsiaTheme="minorEastAsia" w:hAnsiTheme="minorEastAsia"/>
          <w:bCs/>
          <w:sz w:val="24"/>
        </w:rPr>
        <w:t>（</w:t>
      </w:r>
      <w:r>
        <w:rPr>
          <w:rFonts w:eastAsiaTheme="minorEastAsia"/>
          <w:bCs/>
          <w:sz w:val="24"/>
        </w:rPr>
        <w:t>1</w:t>
      </w:r>
      <w:r>
        <w:rPr>
          <w:rFonts w:eastAsiaTheme="minorEastAsia" w:hAnsiTheme="minorEastAsia"/>
          <w:bCs/>
          <w:sz w:val="24"/>
        </w:rPr>
        <w:t>）水源</w:t>
      </w:r>
    </w:p>
    <w:p w14:paraId="412E8659" w14:textId="77777777" w:rsidR="00B14D53" w:rsidRDefault="00000000">
      <w:pPr>
        <w:adjustRightInd w:val="0"/>
        <w:spacing w:line="360" w:lineRule="auto"/>
        <w:ind w:firstLineChars="200" w:firstLine="480"/>
        <w:rPr>
          <w:rFonts w:eastAsiaTheme="minorEastAsia"/>
          <w:sz w:val="24"/>
        </w:rPr>
      </w:pPr>
      <w:bookmarkStart w:id="78" w:name="_Hlk480319058"/>
      <w:bookmarkStart w:id="79" w:name="_Hlk480327007"/>
      <w:r>
        <w:rPr>
          <w:rFonts w:eastAsiaTheme="minorEastAsia" w:hAnsiTheme="minorEastAsia"/>
          <w:sz w:val="24"/>
        </w:rPr>
        <w:t>水源来自市政自来水厂，从市政管网接入，依托厂内现有给水管网。</w:t>
      </w:r>
      <w:bookmarkEnd w:id="78"/>
    </w:p>
    <w:p w14:paraId="30E4E511"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w:t>
      </w:r>
      <w:r>
        <w:rPr>
          <w:rFonts w:eastAsiaTheme="minorEastAsia"/>
          <w:sz w:val="24"/>
        </w:rPr>
        <w:t>2</w:t>
      </w:r>
      <w:r>
        <w:rPr>
          <w:rFonts w:eastAsiaTheme="minorEastAsia" w:hAnsiTheme="minorEastAsia"/>
          <w:sz w:val="24"/>
        </w:rPr>
        <w:t>）用水量</w:t>
      </w:r>
    </w:p>
    <w:p w14:paraId="583483C2"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本项目用水包括</w:t>
      </w:r>
      <w:r>
        <w:rPr>
          <w:rFonts w:eastAsiaTheme="minorEastAsia" w:hAnsiTheme="minorEastAsia" w:hint="eastAsia"/>
          <w:sz w:val="24"/>
        </w:rPr>
        <w:t>待宰圈冲洗水、屠宰用水、电蒸气发生器用水、车辆冲洗用水、</w:t>
      </w:r>
      <w:r>
        <w:rPr>
          <w:rFonts w:eastAsiaTheme="minorEastAsia" w:hAnsiTheme="minorEastAsia"/>
          <w:sz w:val="24"/>
        </w:rPr>
        <w:t>职工生活用水。</w:t>
      </w:r>
    </w:p>
    <w:p w14:paraId="71AF875C" w14:textId="77777777" w:rsidR="00B14D53" w:rsidRDefault="00000000">
      <w:pPr>
        <w:spacing w:line="360" w:lineRule="auto"/>
        <w:ind w:firstLineChars="200" w:firstLine="480"/>
        <w:contextualSpacing/>
        <w:jc w:val="left"/>
        <w:rPr>
          <w:rFonts w:eastAsiaTheme="minorEastAsia" w:hAnsiTheme="minorEastAsia" w:hint="eastAsia"/>
          <w:sz w:val="24"/>
        </w:rPr>
      </w:pPr>
      <w:r>
        <w:rPr>
          <w:rFonts w:eastAsiaTheme="minorEastAsia" w:hAnsiTheme="minorEastAsia"/>
          <w:sz w:val="24"/>
        </w:rPr>
        <w:fldChar w:fldCharType="begin"/>
      </w:r>
      <w:r>
        <w:rPr>
          <w:rFonts w:eastAsiaTheme="minorEastAsia" w:hAnsiTheme="minorEastAsia"/>
          <w:sz w:val="24"/>
        </w:rPr>
        <w:instrText xml:space="preserve"> </w:instrText>
      </w:r>
      <w:r>
        <w:rPr>
          <w:rFonts w:eastAsiaTheme="minorEastAsia" w:hAnsiTheme="minorEastAsia" w:hint="eastAsia"/>
          <w:sz w:val="24"/>
        </w:rPr>
        <w:instrText>= 1 \* GB3</w:instrText>
      </w:r>
      <w:r>
        <w:rPr>
          <w:rFonts w:eastAsiaTheme="minorEastAsia" w:hAnsiTheme="minorEastAsia"/>
          <w:sz w:val="24"/>
        </w:rPr>
        <w:instrText xml:space="preserve"> </w:instrText>
      </w:r>
      <w:r>
        <w:rPr>
          <w:rFonts w:eastAsiaTheme="minorEastAsia" w:hAnsiTheme="minorEastAsia"/>
          <w:sz w:val="24"/>
        </w:rPr>
        <w:fldChar w:fldCharType="separate"/>
      </w:r>
      <w:r>
        <w:rPr>
          <w:rFonts w:eastAsiaTheme="minorEastAsia" w:hAnsiTheme="minorEastAsia" w:hint="eastAsia"/>
          <w:sz w:val="24"/>
        </w:rPr>
        <w:t>①</w:t>
      </w:r>
      <w:r>
        <w:rPr>
          <w:rFonts w:eastAsiaTheme="minorEastAsia" w:hAnsiTheme="minorEastAsia"/>
          <w:sz w:val="24"/>
        </w:rPr>
        <w:fldChar w:fldCharType="end"/>
      </w:r>
      <w:r>
        <w:rPr>
          <w:rFonts w:eastAsiaTheme="minorEastAsia" w:hAnsiTheme="minorEastAsia"/>
          <w:sz w:val="24"/>
        </w:rPr>
        <w:t>待宰圈冲洗用水</w:t>
      </w:r>
    </w:p>
    <w:p w14:paraId="75E8C51C" w14:textId="77777777" w:rsidR="00B14D53" w:rsidRDefault="00000000">
      <w:pPr>
        <w:spacing w:line="360" w:lineRule="auto"/>
        <w:ind w:firstLineChars="200" w:firstLine="480"/>
        <w:contextualSpacing/>
        <w:jc w:val="left"/>
        <w:rPr>
          <w:sz w:val="24"/>
        </w:rPr>
      </w:pPr>
      <w:r>
        <w:rPr>
          <w:rFonts w:eastAsiaTheme="minorEastAsia" w:hAnsiTheme="minorEastAsia" w:hint="eastAsia"/>
          <w:sz w:val="24"/>
        </w:rPr>
        <w:t>类比哈尔滨华康肉制品加工有限责任公司现有工程待宰圈冲洗用水，</w:t>
      </w:r>
      <w:r>
        <w:rPr>
          <w:rFonts w:eastAsiaTheme="minorEastAsia" w:hAnsiTheme="minorEastAsia"/>
          <w:sz w:val="24"/>
        </w:rPr>
        <w:t>用水量取</w:t>
      </w:r>
      <w:r>
        <w:rPr>
          <w:rFonts w:eastAsiaTheme="minorEastAsia" w:hAnsiTheme="minorEastAsia"/>
          <w:sz w:val="24"/>
        </w:rPr>
        <w:t>0.01m</w:t>
      </w:r>
      <w:r>
        <w:rPr>
          <w:rFonts w:eastAsiaTheme="minorEastAsia" w:hAnsiTheme="minorEastAsia"/>
          <w:sz w:val="24"/>
          <w:vertAlign w:val="superscript"/>
        </w:rPr>
        <w:t>3</w:t>
      </w:r>
      <w:r>
        <w:rPr>
          <w:rFonts w:eastAsiaTheme="minorEastAsia" w:hAnsiTheme="minorEastAsia"/>
          <w:sz w:val="24"/>
        </w:rPr>
        <w:t>/</w:t>
      </w:r>
      <w:r>
        <w:rPr>
          <w:rFonts w:eastAsiaTheme="minorEastAsia" w:hAnsiTheme="minorEastAsia"/>
          <w:sz w:val="24"/>
        </w:rPr>
        <w:t>头，</w:t>
      </w:r>
      <w:r>
        <w:rPr>
          <w:rFonts w:eastAsiaTheme="minorEastAsia" w:hint="eastAsia"/>
          <w:sz w:val="24"/>
        </w:rPr>
        <w:t>本项目屠宰量为</w:t>
      </w:r>
      <w:r>
        <w:rPr>
          <w:rFonts w:eastAsiaTheme="minorEastAsia" w:hint="eastAsia"/>
          <w:sz w:val="24"/>
        </w:rPr>
        <w:t>16</w:t>
      </w:r>
      <w:r>
        <w:rPr>
          <w:rFonts w:eastAsiaTheme="minorEastAsia" w:hint="eastAsia"/>
          <w:sz w:val="24"/>
        </w:rPr>
        <w:t>万</w:t>
      </w:r>
      <w:r>
        <w:rPr>
          <w:rFonts w:eastAsiaTheme="minorEastAsia" w:hint="eastAsia"/>
          <w:sz w:val="24"/>
        </w:rPr>
        <w:t>/</w:t>
      </w:r>
      <w:r>
        <w:rPr>
          <w:sz w:val="24"/>
        </w:rPr>
        <w:t>年，</w:t>
      </w:r>
      <w:r>
        <w:rPr>
          <w:sz w:val="24"/>
          <w:lang w:val="en-GB"/>
        </w:rPr>
        <w:t>年工作</w:t>
      </w:r>
      <w:r>
        <w:rPr>
          <w:sz w:val="24"/>
        </w:rPr>
        <w:t>340</w:t>
      </w:r>
      <w:r>
        <w:rPr>
          <w:sz w:val="24"/>
          <w:lang w:val="en-GB"/>
        </w:rPr>
        <w:t>天，</w:t>
      </w:r>
      <w:r>
        <w:rPr>
          <w:sz w:val="24"/>
        </w:rPr>
        <w:t>则待宰圈用水量</w:t>
      </w:r>
      <w:r>
        <w:rPr>
          <w:sz w:val="24"/>
        </w:rPr>
        <w:t>1</w:t>
      </w:r>
      <w:r>
        <w:rPr>
          <w:rFonts w:hint="eastAsia"/>
          <w:sz w:val="24"/>
        </w:rPr>
        <w:t>600</w:t>
      </w:r>
      <w:r>
        <w:rPr>
          <w:sz w:val="24"/>
        </w:rPr>
        <w:t>m</w:t>
      </w:r>
      <w:r>
        <w:rPr>
          <w:sz w:val="24"/>
          <w:vertAlign w:val="superscript"/>
        </w:rPr>
        <w:t>3</w:t>
      </w:r>
      <w:r>
        <w:rPr>
          <w:sz w:val="24"/>
        </w:rPr>
        <w:t>/a</w:t>
      </w:r>
      <w:r>
        <w:rPr>
          <w:sz w:val="24"/>
        </w:rPr>
        <w:t>（</w:t>
      </w:r>
      <w:r>
        <w:rPr>
          <w:sz w:val="24"/>
        </w:rPr>
        <w:t>4.</w:t>
      </w:r>
      <w:r>
        <w:rPr>
          <w:rFonts w:hint="eastAsia"/>
          <w:sz w:val="24"/>
        </w:rPr>
        <w:t>71</w:t>
      </w:r>
      <w:r>
        <w:rPr>
          <w:sz w:val="24"/>
        </w:rPr>
        <w:t>m</w:t>
      </w:r>
      <w:r>
        <w:rPr>
          <w:sz w:val="24"/>
          <w:vertAlign w:val="superscript"/>
        </w:rPr>
        <w:t>3</w:t>
      </w:r>
      <w:r>
        <w:rPr>
          <w:sz w:val="24"/>
        </w:rPr>
        <w:t>/d</w:t>
      </w:r>
      <w:r>
        <w:rPr>
          <w:sz w:val="24"/>
        </w:rPr>
        <w:t>）</w:t>
      </w:r>
      <w:r>
        <w:rPr>
          <w:rFonts w:eastAsiaTheme="minorEastAsia" w:hAnsiTheme="minorEastAsia"/>
          <w:sz w:val="24"/>
        </w:rPr>
        <w:t>。</w:t>
      </w:r>
    </w:p>
    <w:bookmarkStart w:id="80" w:name="_Hlk479525127"/>
    <w:p w14:paraId="7DDECA90"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z w:val="24"/>
        </w:rPr>
        <w:fldChar w:fldCharType="begin"/>
      </w:r>
      <w:r>
        <w:rPr>
          <w:rFonts w:eastAsiaTheme="minorEastAsia" w:hAnsiTheme="minorEastAsia"/>
          <w:sz w:val="24"/>
        </w:rPr>
        <w:instrText xml:space="preserve"> </w:instrText>
      </w:r>
      <w:r>
        <w:rPr>
          <w:rFonts w:eastAsiaTheme="minorEastAsia" w:hAnsiTheme="minorEastAsia" w:hint="eastAsia"/>
          <w:sz w:val="24"/>
        </w:rPr>
        <w:instrText>= 2 \* GB3</w:instrText>
      </w:r>
      <w:r>
        <w:rPr>
          <w:rFonts w:eastAsiaTheme="minorEastAsia" w:hAnsiTheme="minorEastAsia"/>
          <w:sz w:val="24"/>
        </w:rPr>
        <w:instrText xml:space="preserve"> </w:instrText>
      </w:r>
      <w:r>
        <w:rPr>
          <w:rFonts w:eastAsiaTheme="minorEastAsia" w:hAnsiTheme="minorEastAsia"/>
          <w:sz w:val="24"/>
        </w:rPr>
        <w:fldChar w:fldCharType="separate"/>
      </w:r>
      <w:r>
        <w:rPr>
          <w:rFonts w:eastAsiaTheme="minorEastAsia" w:hAnsiTheme="minorEastAsia" w:hint="eastAsia"/>
          <w:sz w:val="24"/>
        </w:rPr>
        <w:t>②</w:t>
      </w:r>
      <w:r>
        <w:rPr>
          <w:rFonts w:eastAsiaTheme="minorEastAsia" w:hAnsiTheme="minorEastAsia"/>
          <w:sz w:val="24"/>
        </w:rPr>
        <w:fldChar w:fldCharType="end"/>
      </w:r>
      <w:r>
        <w:rPr>
          <w:rFonts w:eastAsiaTheme="minorEastAsia" w:hAnsiTheme="minorEastAsia" w:hint="eastAsia"/>
          <w:sz w:val="24"/>
        </w:rPr>
        <w:t>屠宰</w:t>
      </w:r>
      <w:r>
        <w:rPr>
          <w:rFonts w:eastAsiaTheme="minorEastAsia" w:hAnsiTheme="minorEastAsia"/>
          <w:sz w:val="24"/>
        </w:rPr>
        <w:t>用水</w:t>
      </w:r>
    </w:p>
    <w:bookmarkEnd w:id="80"/>
    <w:p w14:paraId="670DFF34" w14:textId="77777777" w:rsidR="00B14D53" w:rsidRDefault="00000000">
      <w:pPr>
        <w:widowControl/>
        <w:kinsoku w:val="0"/>
        <w:autoSpaceDE w:val="0"/>
        <w:autoSpaceDN w:val="0"/>
        <w:spacing w:line="360" w:lineRule="auto"/>
        <w:ind w:firstLineChars="200" w:firstLine="480"/>
        <w:textAlignment w:val="baseline"/>
        <w:rPr>
          <w:spacing w:val="-3"/>
          <w:sz w:val="24"/>
        </w:rPr>
      </w:pPr>
      <w:r>
        <w:rPr>
          <w:rFonts w:hint="eastAsia"/>
          <w:sz w:val="24"/>
        </w:rPr>
        <w:t>本</w:t>
      </w:r>
      <w:r>
        <w:rPr>
          <w:sz w:val="24"/>
        </w:rPr>
        <w:t>项目年生猪屠宰量为</w:t>
      </w:r>
      <w:r>
        <w:rPr>
          <w:sz w:val="24"/>
        </w:rPr>
        <w:t>1</w:t>
      </w:r>
      <w:r>
        <w:rPr>
          <w:rFonts w:hint="eastAsia"/>
          <w:sz w:val="24"/>
        </w:rPr>
        <w:t>6</w:t>
      </w:r>
      <w:r>
        <w:rPr>
          <w:sz w:val="24"/>
        </w:rPr>
        <w:t>万头，</w:t>
      </w:r>
      <w:r>
        <w:rPr>
          <w:rFonts w:hint="eastAsia"/>
          <w:sz w:val="24"/>
        </w:rPr>
        <w:t>不考虑</w:t>
      </w:r>
      <w:r>
        <w:rPr>
          <w:sz w:val="24"/>
        </w:rPr>
        <w:t>病死猪</w:t>
      </w:r>
      <w:r>
        <w:rPr>
          <w:rFonts w:hint="eastAsia"/>
          <w:sz w:val="24"/>
        </w:rPr>
        <w:t>情况</w:t>
      </w:r>
      <w:r>
        <w:rPr>
          <w:sz w:val="24"/>
        </w:rPr>
        <w:t>，</w:t>
      </w:r>
      <w:r>
        <w:rPr>
          <w:sz w:val="24"/>
          <w:lang w:val="en-GB"/>
        </w:rPr>
        <w:t>年工作</w:t>
      </w:r>
      <w:r>
        <w:rPr>
          <w:sz w:val="24"/>
        </w:rPr>
        <w:t>340</w:t>
      </w:r>
      <w:r>
        <w:rPr>
          <w:sz w:val="24"/>
          <w:lang w:val="en-GB"/>
        </w:rPr>
        <w:t>天</w:t>
      </w:r>
      <w:r>
        <w:rPr>
          <w:sz w:val="24"/>
        </w:rPr>
        <w:t>。参考黑龙江省《用水定额标准》（</w:t>
      </w:r>
      <w:r>
        <w:rPr>
          <w:sz w:val="24"/>
        </w:rPr>
        <w:t>DB23/T 727-2021</w:t>
      </w:r>
      <w:r>
        <w:rPr>
          <w:sz w:val="24"/>
        </w:rPr>
        <w:t>），生猪屠宰用水定额为</w:t>
      </w:r>
      <w:r>
        <w:rPr>
          <w:sz w:val="24"/>
        </w:rPr>
        <w:t>0.6m</w:t>
      </w:r>
      <w:r>
        <w:rPr>
          <w:sz w:val="24"/>
          <w:vertAlign w:val="superscript"/>
        </w:rPr>
        <w:t>3</w:t>
      </w:r>
      <w:r>
        <w:rPr>
          <w:sz w:val="24"/>
        </w:rPr>
        <w:t>/</w:t>
      </w:r>
      <w:r>
        <w:rPr>
          <w:sz w:val="24"/>
        </w:rPr>
        <w:t>头，根据《屠宰与肉类加工废水治理工程技术规范》（</w:t>
      </w:r>
      <w:r>
        <w:rPr>
          <w:sz w:val="24"/>
        </w:rPr>
        <w:t>HJ 2004-2010</w:t>
      </w:r>
      <w:r>
        <w:rPr>
          <w:sz w:val="24"/>
        </w:rPr>
        <w:t>），生猪屠宰废水产生量为</w:t>
      </w:r>
      <w:r>
        <w:rPr>
          <w:sz w:val="24"/>
        </w:rPr>
        <w:t>0.5~0.7m</w:t>
      </w:r>
      <w:r>
        <w:rPr>
          <w:sz w:val="24"/>
          <w:vertAlign w:val="superscript"/>
        </w:rPr>
        <w:t>3</w:t>
      </w:r>
      <w:r>
        <w:rPr>
          <w:sz w:val="24"/>
        </w:rPr>
        <w:t>/</w:t>
      </w:r>
      <w:r>
        <w:rPr>
          <w:sz w:val="24"/>
        </w:rPr>
        <w:t>头，生猪屠宰用水量包括</w:t>
      </w:r>
      <w:r>
        <w:rPr>
          <w:rFonts w:hint="eastAsia"/>
          <w:sz w:val="24"/>
        </w:rPr>
        <w:t>宰前淋洗、</w:t>
      </w:r>
      <w:r>
        <w:rPr>
          <w:sz w:val="24"/>
        </w:rPr>
        <w:t>浸烫冲洗、烫毛冲洗、修刮冲洗、吊挂冲洗、挑胸冲洗、开膛冲洗、胸膛冲洗、内脏冲洗、猪体冲洗、头、尾、蹄加工冲洗、屠宰车间地面及设备冲洗等用水，本项目屠宰用水系数取</w:t>
      </w:r>
      <w:r>
        <w:rPr>
          <w:sz w:val="24"/>
        </w:rPr>
        <w:t>0.6m</w:t>
      </w:r>
      <w:r>
        <w:rPr>
          <w:sz w:val="24"/>
          <w:vertAlign w:val="superscript"/>
        </w:rPr>
        <w:t>3</w:t>
      </w:r>
      <w:r>
        <w:rPr>
          <w:sz w:val="24"/>
        </w:rPr>
        <w:t>/</w:t>
      </w:r>
      <w:r>
        <w:rPr>
          <w:sz w:val="24"/>
        </w:rPr>
        <w:t>头，用水量为</w:t>
      </w:r>
      <w:r>
        <w:rPr>
          <w:sz w:val="24"/>
        </w:rPr>
        <w:t>9</w:t>
      </w:r>
      <w:r>
        <w:rPr>
          <w:rFonts w:hint="eastAsia"/>
          <w:sz w:val="24"/>
        </w:rPr>
        <w:t>6000</w:t>
      </w:r>
      <w:r>
        <w:rPr>
          <w:sz w:val="24"/>
        </w:rPr>
        <w:t>m</w:t>
      </w:r>
      <w:r>
        <w:rPr>
          <w:sz w:val="24"/>
          <w:vertAlign w:val="superscript"/>
        </w:rPr>
        <w:t>3</w:t>
      </w:r>
      <w:r>
        <w:rPr>
          <w:sz w:val="24"/>
        </w:rPr>
        <w:t>/a</w:t>
      </w:r>
      <w:r>
        <w:rPr>
          <w:sz w:val="24"/>
        </w:rPr>
        <w:t>（</w:t>
      </w:r>
      <w:r>
        <w:rPr>
          <w:rFonts w:hint="eastAsia"/>
          <w:sz w:val="24"/>
        </w:rPr>
        <w:t>282.35</w:t>
      </w:r>
      <w:r>
        <w:rPr>
          <w:sz w:val="24"/>
        </w:rPr>
        <w:t>m</w:t>
      </w:r>
      <w:r>
        <w:rPr>
          <w:sz w:val="24"/>
          <w:vertAlign w:val="superscript"/>
        </w:rPr>
        <w:t>3</w:t>
      </w:r>
      <w:r>
        <w:rPr>
          <w:sz w:val="24"/>
        </w:rPr>
        <w:t>/d</w:t>
      </w:r>
      <w:r>
        <w:rPr>
          <w:sz w:val="24"/>
        </w:rPr>
        <w:t>）。其中屠宰冲洗用水为屠宰总水量的</w:t>
      </w:r>
      <w:r>
        <w:rPr>
          <w:sz w:val="24"/>
        </w:rPr>
        <w:t>80%</w:t>
      </w:r>
      <w:r>
        <w:rPr>
          <w:sz w:val="24"/>
        </w:rPr>
        <w:t>，即</w:t>
      </w:r>
      <w:r>
        <w:rPr>
          <w:rFonts w:hint="eastAsia"/>
          <w:sz w:val="24"/>
        </w:rPr>
        <w:t>76800</w:t>
      </w:r>
      <w:r>
        <w:rPr>
          <w:sz w:val="24"/>
        </w:rPr>
        <w:t>m</w:t>
      </w:r>
      <w:r>
        <w:rPr>
          <w:sz w:val="24"/>
          <w:vertAlign w:val="superscript"/>
        </w:rPr>
        <w:t>3</w:t>
      </w:r>
      <w:r>
        <w:rPr>
          <w:sz w:val="24"/>
        </w:rPr>
        <w:t>/a</w:t>
      </w:r>
      <w:r>
        <w:rPr>
          <w:sz w:val="24"/>
        </w:rPr>
        <w:t>（</w:t>
      </w:r>
      <w:r>
        <w:rPr>
          <w:sz w:val="24"/>
        </w:rPr>
        <w:t>2</w:t>
      </w:r>
      <w:r>
        <w:rPr>
          <w:rFonts w:hint="eastAsia"/>
          <w:sz w:val="24"/>
        </w:rPr>
        <w:t>25.88</w:t>
      </w:r>
      <w:r>
        <w:rPr>
          <w:sz w:val="24"/>
        </w:rPr>
        <w:t>m</w:t>
      </w:r>
      <w:r>
        <w:rPr>
          <w:sz w:val="24"/>
          <w:vertAlign w:val="superscript"/>
        </w:rPr>
        <w:t>3</w:t>
      </w:r>
      <w:r>
        <w:rPr>
          <w:sz w:val="24"/>
        </w:rPr>
        <w:t>/d</w:t>
      </w:r>
      <w:r>
        <w:rPr>
          <w:sz w:val="24"/>
        </w:rPr>
        <w:t>），车间地面及设备冲洗水为屠宰总水量的</w:t>
      </w:r>
      <w:r>
        <w:rPr>
          <w:sz w:val="24"/>
        </w:rPr>
        <w:t>20%</w:t>
      </w:r>
      <w:r>
        <w:rPr>
          <w:sz w:val="24"/>
        </w:rPr>
        <w:t>，即</w:t>
      </w:r>
      <w:r>
        <w:rPr>
          <w:sz w:val="24"/>
        </w:rPr>
        <w:t>1</w:t>
      </w:r>
      <w:r>
        <w:rPr>
          <w:rFonts w:hint="eastAsia"/>
          <w:sz w:val="24"/>
        </w:rPr>
        <w:t>9200</w:t>
      </w:r>
      <w:r>
        <w:rPr>
          <w:sz w:val="24"/>
        </w:rPr>
        <w:t>m</w:t>
      </w:r>
      <w:r>
        <w:rPr>
          <w:sz w:val="24"/>
          <w:vertAlign w:val="superscript"/>
        </w:rPr>
        <w:t>3</w:t>
      </w:r>
      <w:r>
        <w:rPr>
          <w:sz w:val="24"/>
        </w:rPr>
        <w:t>/a</w:t>
      </w:r>
      <w:r>
        <w:rPr>
          <w:sz w:val="24"/>
        </w:rPr>
        <w:t>（</w:t>
      </w:r>
      <w:r>
        <w:rPr>
          <w:sz w:val="24"/>
        </w:rPr>
        <w:t>5</w:t>
      </w:r>
      <w:r>
        <w:rPr>
          <w:rFonts w:hint="eastAsia"/>
          <w:sz w:val="24"/>
        </w:rPr>
        <w:t>6.47</w:t>
      </w:r>
      <w:r>
        <w:rPr>
          <w:sz w:val="24"/>
        </w:rPr>
        <w:t>m</w:t>
      </w:r>
      <w:r>
        <w:rPr>
          <w:sz w:val="24"/>
          <w:vertAlign w:val="superscript"/>
        </w:rPr>
        <w:t>3</w:t>
      </w:r>
      <w:r>
        <w:rPr>
          <w:sz w:val="24"/>
        </w:rPr>
        <w:t>/d</w:t>
      </w:r>
      <w:r>
        <w:rPr>
          <w:sz w:val="24"/>
        </w:rPr>
        <w:t>）。</w:t>
      </w:r>
    </w:p>
    <w:p w14:paraId="1F0468B3" w14:textId="77777777" w:rsidR="00B14D53" w:rsidRDefault="00000000">
      <w:pPr>
        <w:spacing w:line="360" w:lineRule="auto"/>
        <w:ind w:firstLineChars="200" w:firstLine="480"/>
        <w:contextualSpacing/>
        <w:rPr>
          <w:rFonts w:eastAsiaTheme="minorEastAsia" w:hAnsiTheme="minorEastAsia" w:hint="eastAsia"/>
          <w:sz w:val="24"/>
        </w:rPr>
      </w:pPr>
      <w:r>
        <w:rPr>
          <w:rFonts w:eastAsiaTheme="minorEastAsia" w:hAnsiTheme="minorEastAsia"/>
          <w:sz w:val="24"/>
        </w:rPr>
        <w:fldChar w:fldCharType="begin"/>
      </w:r>
      <w:r>
        <w:rPr>
          <w:rFonts w:eastAsiaTheme="minorEastAsia" w:hAnsiTheme="minorEastAsia"/>
          <w:sz w:val="24"/>
        </w:rPr>
        <w:instrText xml:space="preserve"> </w:instrText>
      </w:r>
      <w:r>
        <w:rPr>
          <w:rFonts w:eastAsiaTheme="minorEastAsia" w:hAnsiTheme="minorEastAsia" w:hint="eastAsia"/>
          <w:sz w:val="24"/>
        </w:rPr>
        <w:instrText>= 3 \* GB3</w:instrText>
      </w:r>
      <w:r>
        <w:rPr>
          <w:rFonts w:eastAsiaTheme="minorEastAsia" w:hAnsiTheme="minorEastAsia"/>
          <w:sz w:val="24"/>
        </w:rPr>
        <w:instrText xml:space="preserve"> </w:instrText>
      </w:r>
      <w:r>
        <w:rPr>
          <w:rFonts w:eastAsiaTheme="minorEastAsia" w:hAnsiTheme="minorEastAsia"/>
          <w:sz w:val="24"/>
        </w:rPr>
        <w:fldChar w:fldCharType="separate"/>
      </w:r>
      <w:r>
        <w:rPr>
          <w:rFonts w:eastAsiaTheme="minorEastAsia" w:hAnsiTheme="minorEastAsia" w:hint="eastAsia"/>
          <w:sz w:val="24"/>
        </w:rPr>
        <w:t>③</w:t>
      </w:r>
      <w:r>
        <w:rPr>
          <w:rFonts w:eastAsiaTheme="minorEastAsia" w:hAnsiTheme="minorEastAsia"/>
          <w:sz w:val="24"/>
        </w:rPr>
        <w:fldChar w:fldCharType="end"/>
      </w:r>
      <w:r>
        <w:rPr>
          <w:rFonts w:eastAsiaTheme="minorEastAsia" w:hAnsiTheme="minorEastAsia" w:hint="eastAsia"/>
          <w:sz w:val="24"/>
        </w:rPr>
        <w:t>电蒸气发生器用水</w:t>
      </w:r>
    </w:p>
    <w:p w14:paraId="073169B5" w14:textId="77777777" w:rsidR="00B14D53" w:rsidRDefault="00000000">
      <w:pPr>
        <w:spacing w:line="360" w:lineRule="auto"/>
        <w:ind w:firstLineChars="200" w:firstLine="480"/>
        <w:contextualSpacing/>
        <w:rPr>
          <w:rFonts w:eastAsiaTheme="minorEastAsia" w:hAnsiTheme="minorEastAsia" w:hint="eastAsia"/>
          <w:sz w:val="24"/>
        </w:rPr>
      </w:pPr>
      <w:r>
        <w:rPr>
          <w:rFonts w:eastAsiaTheme="minorEastAsia" w:hAnsiTheme="minorEastAsia" w:hint="eastAsia"/>
          <w:sz w:val="24"/>
        </w:rPr>
        <w:t>类比哈尔滨华康肉制品加工有限责任公司现有工程，屠宰</w:t>
      </w:r>
      <w:r>
        <w:rPr>
          <w:rFonts w:eastAsiaTheme="minorEastAsia" w:hAnsiTheme="minorEastAsia" w:hint="eastAsia"/>
          <w:sz w:val="24"/>
        </w:rPr>
        <w:t>9000</w:t>
      </w:r>
      <w:r>
        <w:rPr>
          <w:rFonts w:eastAsiaTheme="minorEastAsia" w:hAnsiTheme="minorEastAsia" w:hint="eastAsia"/>
          <w:sz w:val="24"/>
        </w:rPr>
        <w:t>头生猪需要蒸汽量</w:t>
      </w:r>
      <w:r>
        <w:rPr>
          <w:rFonts w:eastAsiaTheme="minorEastAsia" w:hAnsiTheme="minorEastAsia" w:hint="eastAsia"/>
          <w:sz w:val="24"/>
        </w:rPr>
        <w:t>78.15t/a</w:t>
      </w:r>
      <w:r>
        <w:rPr>
          <w:rFonts w:eastAsiaTheme="minorEastAsia" w:hAnsiTheme="minorEastAsia" w:hint="eastAsia"/>
          <w:sz w:val="24"/>
        </w:rPr>
        <w:t>。</w:t>
      </w:r>
    </w:p>
    <w:p w14:paraId="0DB0ED98" w14:textId="77777777" w:rsidR="00B14D53" w:rsidRDefault="00000000">
      <w:pPr>
        <w:spacing w:line="360" w:lineRule="auto"/>
        <w:ind w:firstLineChars="200" w:firstLine="480"/>
        <w:contextualSpacing/>
        <w:rPr>
          <w:rFonts w:eastAsiaTheme="minorEastAsia" w:hAnsiTheme="minorEastAsia" w:hint="eastAsia"/>
          <w:sz w:val="24"/>
          <w:highlight w:val="yellow"/>
        </w:rPr>
      </w:pPr>
      <w:r>
        <w:rPr>
          <w:rFonts w:eastAsiaTheme="minorEastAsia" w:hAnsiTheme="minorEastAsia" w:hint="eastAsia"/>
          <w:sz w:val="24"/>
        </w:rPr>
        <w:t>本项目年屠宰生猪</w:t>
      </w:r>
      <w:r>
        <w:rPr>
          <w:rFonts w:eastAsiaTheme="minorEastAsia" w:hAnsiTheme="minorEastAsia" w:hint="eastAsia"/>
          <w:sz w:val="24"/>
        </w:rPr>
        <w:t>16</w:t>
      </w:r>
      <w:r>
        <w:rPr>
          <w:rFonts w:eastAsiaTheme="minorEastAsia" w:hAnsiTheme="minorEastAsia" w:hint="eastAsia"/>
          <w:sz w:val="24"/>
        </w:rPr>
        <w:t>万头，年生产</w:t>
      </w:r>
      <w:r>
        <w:rPr>
          <w:rFonts w:eastAsiaTheme="minorEastAsia" w:hAnsiTheme="minorEastAsia" w:hint="eastAsia"/>
          <w:sz w:val="24"/>
        </w:rPr>
        <w:t>340</w:t>
      </w:r>
      <w:r>
        <w:rPr>
          <w:rFonts w:eastAsiaTheme="minorEastAsia" w:hAnsiTheme="minorEastAsia" w:hint="eastAsia"/>
          <w:sz w:val="24"/>
        </w:rPr>
        <w:t>天，蒸汽用量为</w:t>
      </w:r>
      <w:r>
        <w:rPr>
          <w:rFonts w:eastAsiaTheme="minorEastAsia" w:hAnsiTheme="minorEastAsia" w:hint="eastAsia"/>
          <w:sz w:val="24"/>
        </w:rPr>
        <w:t>1389.33t/a</w:t>
      </w:r>
      <w:r>
        <w:rPr>
          <w:rFonts w:eastAsiaTheme="minorEastAsia" w:hAnsiTheme="minorEastAsia" w:hint="eastAsia"/>
          <w:sz w:val="24"/>
        </w:rPr>
        <w:t>（</w:t>
      </w:r>
      <w:r>
        <w:rPr>
          <w:rFonts w:eastAsiaTheme="minorEastAsia" w:hAnsiTheme="minorEastAsia" w:hint="eastAsia"/>
          <w:sz w:val="24"/>
        </w:rPr>
        <w:t>4.09t/d</w:t>
      </w:r>
      <w:r>
        <w:rPr>
          <w:rFonts w:eastAsiaTheme="minorEastAsia" w:hAnsiTheme="minorEastAsia" w:hint="eastAsia"/>
          <w:sz w:val="24"/>
        </w:rPr>
        <w:t>）。根据电蒸汽发生器厂家提供数据，每日生产结束后需定排水，排水量约为用水量的</w:t>
      </w:r>
      <w:r>
        <w:rPr>
          <w:rFonts w:eastAsiaTheme="minorEastAsia" w:hAnsiTheme="minorEastAsia" w:hint="eastAsia"/>
          <w:sz w:val="24"/>
        </w:rPr>
        <w:t>1%</w:t>
      </w:r>
      <w:r>
        <w:rPr>
          <w:rFonts w:eastAsiaTheme="minorEastAsia" w:hAnsiTheme="minorEastAsia" w:hint="eastAsia"/>
          <w:sz w:val="24"/>
        </w:rPr>
        <w:t>，因此定排水量为</w:t>
      </w:r>
      <w:r>
        <w:rPr>
          <w:rFonts w:eastAsiaTheme="minorEastAsia" w:hAnsiTheme="minorEastAsia" w:hint="eastAsia"/>
          <w:sz w:val="24"/>
        </w:rPr>
        <w:t>13.89t/a</w:t>
      </w:r>
      <w:r>
        <w:rPr>
          <w:rFonts w:eastAsiaTheme="minorEastAsia" w:hAnsiTheme="minorEastAsia" w:hint="eastAsia"/>
          <w:sz w:val="24"/>
        </w:rPr>
        <w:t>（</w:t>
      </w:r>
      <w:r>
        <w:rPr>
          <w:rFonts w:eastAsiaTheme="minorEastAsia" w:hAnsiTheme="minorEastAsia" w:hint="eastAsia"/>
          <w:sz w:val="24"/>
        </w:rPr>
        <w:t>0.04t/d</w:t>
      </w:r>
      <w:r>
        <w:rPr>
          <w:rFonts w:eastAsiaTheme="minorEastAsia" w:hAnsiTheme="minorEastAsia" w:hint="eastAsia"/>
          <w:sz w:val="24"/>
        </w:rPr>
        <w:t>）；锅炉用软水由软化水装置提供，软水制备效率可达</w:t>
      </w:r>
      <w:r>
        <w:rPr>
          <w:rFonts w:eastAsiaTheme="minorEastAsia" w:hAnsiTheme="minorEastAsia" w:hint="eastAsia"/>
          <w:sz w:val="24"/>
        </w:rPr>
        <w:t>90%</w:t>
      </w:r>
      <w:r>
        <w:rPr>
          <w:rFonts w:eastAsiaTheme="minorEastAsia" w:hAnsiTheme="minorEastAsia" w:hint="eastAsia"/>
          <w:sz w:val="24"/>
        </w:rPr>
        <w:t>，因此总补水量为</w:t>
      </w:r>
      <w:r>
        <w:rPr>
          <w:rFonts w:eastAsiaTheme="minorEastAsia" w:hAnsiTheme="minorEastAsia" w:hint="eastAsia"/>
          <w:sz w:val="24"/>
        </w:rPr>
        <w:t>1559.13t/a</w:t>
      </w:r>
      <w:r>
        <w:rPr>
          <w:rFonts w:eastAsiaTheme="minorEastAsia" w:hAnsiTheme="minorEastAsia" w:hint="eastAsia"/>
          <w:sz w:val="24"/>
        </w:rPr>
        <w:t>（</w:t>
      </w:r>
      <w:r>
        <w:rPr>
          <w:rFonts w:eastAsiaTheme="minorEastAsia" w:hAnsiTheme="minorEastAsia" w:hint="eastAsia"/>
          <w:sz w:val="24"/>
        </w:rPr>
        <w:t>4.59t/d</w:t>
      </w:r>
      <w:r>
        <w:rPr>
          <w:rFonts w:eastAsiaTheme="minorEastAsia" w:hAnsiTheme="minorEastAsia" w:hint="eastAsia"/>
          <w:sz w:val="24"/>
        </w:rPr>
        <w:t>）。</w:t>
      </w:r>
    </w:p>
    <w:p w14:paraId="57979378" w14:textId="77777777" w:rsidR="00B14D53" w:rsidRDefault="00000000">
      <w:pPr>
        <w:spacing w:line="360" w:lineRule="auto"/>
        <w:ind w:firstLine="480"/>
        <w:jc w:val="left"/>
        <w:rPr>
          <w:color w:val="000000" w:themeColor="text1"/>
          <w:sz w:val="24"/>
        </w:rPr>
      </w:pPr>
      <w:r>
        <w:rPr>
          <w:rFonts w:eastAsiaTheme="minorEastAsia" w:hAnsiTheme="minorEastAsia"/>
          <w:sz w:val="24"/>
        </w:rPr>
        <w:fldChar w:fldCharType="begin"/>
      </w:r>
      <w:r>
        <w:rPr>
          <w:rFonts w:eastAsiaTheme="minorEastAsia" w:hAnsiTheme="minorEastAsia"/>
          <w:sz w:val="24"/>
        </w:rPr>
        <w:instrText xml:space="preserve"> </w:instrText>
      </w:r>
      <w:r>
        <w:rPr>
          <w:rFonts w:eastAsiaTheme="minorEastAsia" w:hAnsiTheme="minorEastAsia" w:hint="eastAsia"/>
          <w:sz w:val="24"/>
        </w:rPr>
        <w:instrText>= 4 \* GB3</w:instrText>
      </w:r>
      <w:r>
        <w:rPr>
          <w:rFonts w:eastAsiaTheme="minorEastAsia" w:hAnsiTheme="minorEastAsia"/>
          <w:sz w:val="24"/>
        </w:rPr>
        <w:instrText xml:space="preserve"> </w:instrText>
      </w:r>
      <w:r>
        <w:rPr>
          <w:rFonts w:eastAsiaTheme="minorEastAsia" w:hAnsiTheme="minorEastAsia"/>
          <w:sz w:val="24"/>
        </w:rPr>
        <w:fldChar w:fldCharType="separate"/>
      </w:r>
      <w:r>
        <w:rPr>
          <w:rFonts w:eastAsiaTheme="minorEastAsia" w:hAnsiTheme="minorEastAsia" w:hint="eastAsia"/>
          <w:sz w:val="24"/>
        </w:rPr>
        <w:t>④</w:t>
      </w:r>
      <w:r>
        <w:rPr>
          <w:rFonts w:eastAsiaTheme="minorEastAsia" w:hAnsiTheme="minorEastAsia"/>
          <w:sz w:val="24"/>
        </w:rPr>
        <w:fldChar w:fldCharType="end"/>
      </w:r>
      <w:r>
        <w:rPr>
          <w:color w:val="000000" w:themeColor="text1"/>
          <w:sz w:val="24"/>
        </w:rPr>
        <w:t>车辆冲洗用水</w:t>
      </w:r>
    </w:p>
    <w:p w14:paraId="6D0145B9" w14:textId="77777777" w:rsidR="00B14D53" w:rsidRDefault="00000000">
      <w:pPr>
        <w:spacing w:line="360" w:lineRule="auto"/>
        <w:ind w:firstLineChars="200" w:firstLine="480"/>
        <w:contextualSpacing/>
        <w:rPr>
          <w:rFonts w:eastAsiaTheme="minorEastAsia" w:hAnsiTheme="minorEastAsia" w:hint="eastAsia"/>
          <w:sz w:val="24"/>
        </w:rPr>
      </w:pPr>
      <w:r>
        <w:rPr>
          <w:color w:val="000000" w:themeColor="text1"/>
          <w:sz w:val="24"/>
        </w:rPr>
        <w:t>本项目屠宰生猪</w:t>
      </w:r>
      <w:r>
        <w:rPr>
          <w:color w:val="000000" w:themeColor="text1"/>
          <w:sz w:val="24"/>
        </w:rPr>
        <w:t>1</w:t>
      </w:r>
      <w:r>
        <w:rPr>
          <w:rFonts w:hint="eastAsia"/>
          <w:color w:val="000000" w:themeColor="text1"/>
          <w:sz w:val="24"/>
        </w:rPr>
        <w:t>6</w:t>
      </w:r>
      <w:r>
        <w:rPr>
          <w:color w:val="000000" w:themeColor="text1"/>
          <w:sz w:val="24"/>
        </w:rPr>
        <w:t>万头</w:t>
      </w:r>
      <w:r>
        <w:rPr>
          <w:color w:val="000000" w:themeColor="text1"/>
          <w:sz w:val="24"/>
        </w:rPr>
        <w:t>/</w:t>
      </w:r>
      <w:r>
        <w:rPr>
          <w:color w:val="000000" w:themeColor="text1"/>
          <w:sz w:val="24"/>
        </w:rPr>
        <w:t>年，车辆平均运输量按</w:t>
      </w:r>
      <w:r>
        <w:rPr>
          <w:color w:val="000000" w:themeColor="text1"/>
          <w:sz w:val="24"/>
        </w:rPr>
        <w:t>40</w:t>
      </w:r>
      <w:r>
        <w:rPr>
          <w:color w:val="000000" w:themeColor="text1"/>
          <w:sz w:val="24"/>
        </w:rPr>
        <w:t>头</w:t>
      </w:r>
      <w:r>
        <w:rPr>
          <w:color w:val="000000" w:themeColor="text1"/>
          <w:sz w:val="24"/>
        </w:rPr>
        <w:t>/</w:t>
      </w:r>
      <w:r>
        <w:rPr>
          <w:color w:val="000000" w:themeColor="text1"/>
          <w:sz w:val="24"/>
        </w:rPr>
        <w:t>车次计，冬季车辆不冲洗，则生猪车辆运输</w:t>
      </w:r>
      <w:r>
        <w:rPr>
          <w:rFonts w:hint="eastAsia"/>
          <w:color w:val="000000" w:themeColor="text1"/>
          <w:sz w:val="24"/>
        </w:rPr>
        <w:t>冲洗</w:t>
      </w:r>
      <w:r>
        <w:rPr>
          <w:color w:val="000000" w:themeColor="text1"/>
          <w:sz w:val="24"/>
        </w:rPr>
        <w:t>次数约为</w:t>
      </w:r>
      <w:r>
        <w:rPr>
          <w:rFonts w:hint="eastAsia"/>
          <w:color w:val="000000" w:themeColor="text1"/>
          <w:sz w:val="24"/>
        </w:rPr>
        <w:t>2000</w:t>
      </w:r>
      <w:r>
        <w:rPr>
          <w:color w:val="000000" w:themeColor="text1"/>
          <w:sz w:val="24"/>
        </w:rPr>
        <w:t>次</w:t>
      </w:r>
      <w:r>
        <w:rPr>
          <w:color w:val="000000" w:themeColor="text1"/>
          <w:sz w:val="24"/>
        </w:rPr>
        <w:t>/</w:t>
      </w:r>
      <w:r>
        <w:rPr>
          <w:color w:val="000000" w:themeColor="text1"/>
          <w:sz w:val="24"/>
        </w:rPr>
        <w:t>年，车辆每次冲洗水量约</w:t>
      </w:r>
      <w:r>
        <w:rPr>
          <w:color w:val="000000" w:themeColor="text1"/>
          <w:sz w:val="24"/>
        </w:rPr>
        <w:t>200L/</w:t>
      </w:r>
      <w:r>
        <w:rPr>
          <w:color w:val="000000" w:themeColor="text1"/>
          <w:sz w:val="24"/>
        </w:rPr>
        <w:t>辆</w:t>
      </w:r>
      <w:r>
        <w:rPr>
          <w:color w:val="000000" w:themeColor="text1"/>
          <w:sz w:val="24"/>
        </w:rPr>
        <w:t>∙</w:t>
      </w:r>
      <w:r>
        <w:rPr>
          <w:color w:val="000000" w:themeColor="text1"/>
          <w:sz w:val="24"/>
        </w:rPr>
        <w:t>次计，则项目车辆冲洗用水量为</w:t>
      </w:r>
      <w:r>
        <w:rPr>
          <w:rFonts w:hint="eastAsia"/>
          <w:color w:val="000000" w:themeColor="text1"/>
          <w:sz w:val="24"/>
        </w:rPr>
        <w:t>400</w:t>
      </w:r>
      <w:r>
        <w:rPr>
          <w:color w:val="000000" w:themeColor="text1"/>
          <w:sz w:val="24"/>
        </w:rPr>
        <w:t>m</w:t>
      </w:r>
      <w:r>
        <w:rPr>
          <w:color w:val="000000" w:themeColor="text1"/>
          <w:sz w:val="24"/>
          <w:vertAlign w:val="superscript"/>
        </w:rPr>
        <w:t>3</w:t>
      </w:r>
      <w:r>
        <w:rPr>
          <w:color w:val="000000" w:themeColor="text1"/>
          <w:sz w:val="24"/>
        </w:rPr>
        <w:t>/a</w:t>
      </w:r>
      <w:r>
        <w:rPr>
          <w:color w:val="000000" w:themeColor="text1"/>
          <w:sz w:val="24"/>
        </w:rPr>
        <w:t>。</w:t>
      </w:r>
    </w:p>
    <w:p w14:paraId="64DCAFF5"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fldChar w:fldCharType="begin"/>
      </w:r>
      <w:r>
        <w:rPr>
          <w:rFonts w:eastAsiaTheme="minorEastAsia" w:hAnsiTheme="minorEastAsia"/>
          <w:sz w:val="24"/>
        </w:rPr>
        <w:instrText xml:space="preserve"> </w:instrText>
      </w:r>
      <w:r>
        <w:rPr>
          <w:rFonts w:eastAsiaTheme="minorEastAsia" w:hAnsiTheme="minorEastAsia" w:hint="eastAsia"/>
          <w:sz w:val="24"/>
        </w:rPr>
        <w:instrText>= 5 \* GB3</w:instrText>
      </w:r>
      <w:r>
        <w:rPr>
          <w:rFonts w:eastAsiaTheme="minorEastAsia" w:hAnsiTheme="minorEastAsia"/>
          <w:sz w:val="24"/>
        </w:rPr>
        <w:instrText xml:space="preserve"> </w:instrText>
      </w:r>
      <w:r>
        <w:rPr>
          <w:rFonts w:eastAsiaTheme="minorEastAsia" w:hAnsiTheme="minorEastAsia"/>
          <w:sz w:val="24"/>
        </w:rPr>
        <w:fldChar w:fldCharType="separate"/>
      </w:r>
      <w:r>
        <w:rPr>
          <w:rFonts w:eastAsiaTheme="minorEastAsia" w:hAnsiTheme="minorEastAsia" w:hint="eastAsia"/>
          <w:sz w:val="24"/>
        </w:rPr>
        <w:t>⑤</w:t>
      </w:r>
      <w:r>
        <w:rPr>
          <w:rFonts w:eastAsiaTheme="minorEastAsia" w:hAnsiTheme="minorEastAsia"/>
          <w:sz w:val="24"/>
        </w:rPr>
        <w:fldChar w:fldCharType="end"/>
      </w:r>
      <w:r>
        <w:rPr>
          <w:rFonts w:eastAsiaTheme="minorEastAsia" w:hAnsiTheme="minorEastAsia"/>
          <w:sz w:val="24"/>
        </w:rPr>
        <w:t>生活用水</w:t>
      </w:r>
    </w:p>
    <w:p w14:paraId="01573D9F"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生活用水量取值参照《建筑给水排水设计标准》（</w:t>
      </w:r>
      <w:r>
        <w:rPr>
          <w:rFonts w:eastAsiaTheme="minorEastAsia" w:hAnsiTheme="minorEastAsia"/>
          <w:snapToGrid w:val="0"/>
          <w:kern w:val="0"/>
          <w:sz w:val="24"/>
        </w:rPr>
        <w:t>GB50015</w:t>
      </w:r>
      <w:r>
        <w:rPr>
          <w:rFonts w:eastAsiaTheme="minorEastAsia" w:hAnsiTheme="minorEastAsia"/>
          <w:snapToGrid w:val="0"/>
          <w:kern w:val="0"/>
          <w:sz w:val="24"/>
        </w:rPr>
        <w:t>—</w:t>
      </w:r>
      <w:r>
        <w:rPr>
          <w:rFonts w:eastAsiaTheme="minorEastAsia" w:hAnsiTheme="minorEastAsia"/>
          <w:snapToGrid w:val="0"/>
          <w:kern w:val="0"/>
          <w:sz w:val="24"/>
        </w:rPr>
        <w:t>2019</w:t>
      </w:r>
      <w:r>
        <w:rPr>
          <w:rFonts w:eastAsiaTheme="minorEastAsia" w:hAnsiTheme="minorEastAsia"/>
          <w:snapToGrid w:val="0"/>
          <w:kern w:val="0"/>
          <w:sz w:val="24"/>
        </w:rPr>
        <w:t>），</w:t>
      </w:r>
      <w:r>
        <w:rPr>
          <w:rFonts w:eastAsiaTheme="minorEastAsia" w:hAnsiTheme="minorEastAsia" w:hint="eastAsia"/>
          <w:snapToGrid w:val="0"/>
          <w:kern w:val="0"/>
          <w:sz w:val="24"/>
        </w:rPr>
        <w:t>员工</w:t>
      </w:r>
      <w:r>
        <w:rPr>
          <w:rFonts w:eastAsiaTheme="minorEastAsia" w:hAnsiTheme="minorEastAsia"/>
          <w:snapToGrid w:val="0"/>
          <w:kern w:val="0"/>
          <w:sz w:val="24"/>
        </w:rPr>
        <w:t>的生活用水采用</w:t>
      </w:r>
      <w:r>
        <w:rPr>
          <w:rFonts w:eastAsiaTheme="minorEastAsia" w:hAnsiTheme="minorEastAsia" w:hint="eastAsia"/>
          <w:snapToGrid w:val="0"/>
          <w:kern w:val="0"/>
          <w:sz w:val="24"/>
        </w:rPr>
        <w:t>4</w:t>
      </w:r>
      <w:r>
        <w:rPr>
          <w:rFonts w:eastAsiaTheme="minorEastAsia" w:hAnsiTheme="minorEastAsia"/>
          <w:snapToGrid w:val="0"/>
          <w:kern w:val="0"/>
          <w:sz w:val="24"/>
        </w:rPr>
        <w:t>0L/</w:t>
      </w:r>
      <w:r>
        <w:rPr>
          <w:rFonts w:eastAsiaTheme="minorEastAsia" w:hAnsiTheme="minorEastAsia"/>
          <w:snapToGrid w:val="0"/>
          <w:kern w:val="0"/>
          <w:sz w:val="24"/>
        </w:rPr>
        <w:t>人·</w:t>
      </w:r>
      <w:r>
        <w:rPr>
          <w:rFonts w:eastAsiaTheme="minorEastAsia" w:hAnsiTheme="minorEastAsia"/>
          <w:snapToGrid w:val="0"/>
          <w:kern w:val="0"/>
          <w:sz w:val="24"/>
        </w:rPr>
        <w:t>d</w:t>
      </w:r>
      <w:r>
        <w:rPr>
          <w:rFonts w:eastAsiaTheme="minorEastAsia" w:hAnsiTheme="minorEastAsia"/>
          <w:snapToGrid w:val="0"/>
          <w:kern w:val="0"/>
          <w:sz w:val="24"/>
        </w:rPr>
        <w:t>，</w:t>
      </w:r>
      <w:r>
        <w:rPr>
          <w:rFonts w:eastAsiaTheme="minorEastAsia" w:hAnsiTheme="minorEastAsia"/>
          <w:sz w:val="24"/>
        </w:rPr>
        <w:t>本项目</w:t>
      </w:r>
      <w:r>
        <w:rPr>
          <w:rFonts w:eastAsiaTheme="minorEastAsia" w:hAnsiTheme="minorEastAsia"/>
          <w:snapToGrid w:val="0"/>
          <w:kern w:val="0"/>
          <w:sz w:val="24"/>
        </w:rPr>
        <w:t>员工为</w:t>
      </w:r>
      <w:r>
        <w:rPr>
          <w:rFonts w:eastAsiaTheme="minorEastAsia" w:hint="eastAsia"/>
          <w:snapToGrid w:val="0"/>
          <w:kern w:val="0"/>
          <w:sz w:val="24"/>
        </w:rPr>
        <w:t>30</w:t>
      </w:r>
      <w:r>
        <w:rPr>
          <w:rFonts w:eastAsiaTheme="minorEastAsia" w:hAnsiTheme="minorEastAsia"/>
          <w:snapToGrid w:val="0"/>
          <w:kern w:val="0"/>
          <w:sz w:val="24"/>
        </w:rPr>
        <w:t>人，则生活用水量为</w:t>
      </w:r>
      <w:r>
        <w:rPr>
          <w:rFonts w:eastAsiaTheme="minorEastAsia" w:hint="eastAsia"/>
          <w:snapToGrid w:val="0"/>
          <w:kern w:val="0"/>
          <w:sz w:val="24"/>
        </w:rPr>
        <w:t>1.2</w:t>
      </w:r>
      <w:r>
        <w:rPr>
          <w:rFonts w:eastAsiaTheme="minorEastAsia"/>
          <w:snapToGrid w:val="0"/>
          <w:kern w:val="0"/>
          <w:sz w:val="24"/>
        </w:rPr>
        <w:t>t/d</w:t>
      </w:r>
      <w:r>
        <w:rPr>
          <w:rFonts w:eastAsiaTheme="minorEastAsia" w:hAnsiTheme="minorEastAsia"/>
          <w:snapToGrid w:val="0"/>
          <w:kern w:val="0"/>
          <w:sz w:val="24"/>
        </w:rPr>
        <w:t>，</w:t>
      </w:r>
      <w:r>
        <w:rPr>
          <w:rFonts w:eastAsiaTheme="minorEastAsia" w:hint="eastAsia"/>
          <w:snapToGrid w:val="0"/>
          <w:kern w:val="0"/>
          <w:sz w:val="24"/>
        </w:rPr>
        <w:t>408</w:t>
      </w:r>
      <w:r>
        <w:rPr>
          <w:rFonts w:eastAsiaTheme="minorEastAsia"/>
          <w:snapToGrid w:val="0"/>
          <w:kern w:val="0"/>
          <w:sz w:val="24"/>
        </w:rPr>
        <w:t>t/a</w:t>
      </w:r>
      <w:r>
        <w:rPr>
          <w:rFonts w:eastAsiaTheme="minorEastAsia" w:hAnsiTheme="minorEastAsia"/>
          <w:snapToGrid w:val="0"/>
          <w:kern w:val="0"/>
          <w:sz w:val="24"/>
        </w:rPr>
        <w:t>。</w:t>
      </w:r>
    </w:p>
    <w:p w14:paraId="0AE3BAA8" w14:textId="77777777" w:rsidR="00B14D53" w:rsidRDefault="00000000">
      <w:pPr>
        <w:pStyle w:val="NormalWeb1"/>
        <w:spacing w:line="360" w:lineRule="auto"/>
        <w:ind w:firstLineChars="200" w:firstLine="480"/>
        <w:jc w:val="both"/>
        <w:rPr>
          <w:rFonts w:ascii="Times New Roman"/>
          <w:color w:val="000000" w:themeColor="text1"/>
          <w:kern w:val="21"/>
          <w:szCs w:val="24"/>
        </w:rPr>
      </w:pPr>
      <w:bookmarkStart w:id="81" w:name="_Hlk479525140"/>
      <w:r>
        <w:rPr>
          <w:rFonts w:ascii="Times New Roman"/>
          <w:color w:val="000000" w:themeColor="text1"/>
        </w:rPr>
        <w:t>综上，</w:t>
      </w:r>
      <w:r>
        <w:rPr>
          <w:rFonts w:ascii="Times New Roman" w:hint="eastAsia"/>
          <w:color w:val="000000" w:themeColor="text1"/>
        </w:rPr>
        <w:t>本项目全厂总新鲜水用量为</w:t>
      </w:r>
      <w:r>
        <w:rPr>
          <w:rFonts w:ascii="Times New Roman" w:hint="eastAsia"/>
          <w:color w:val="000000" w:themeColor="text1"/>
        </w:rPr>
        <w:t>99967.13</w:t>
      </w:r>
      <w:r>
        <w:rPr>
          <w:rFonts w:ascii="Times New Roman"/>
          <w:color w:val="000000" w:themeColor="text1"/>
        </w:rPr>
        <w:t>m</w:t>
      </w:r>
      <w:r>
        <w:rPr>
          <w:rFonts w:ascii="Times New Roman"/>
          <w:color w:val="000000" w:themeColor="text1"/>
          <w:vertAlign w:val="superscript"/>
        </w:rPr>
        <w:t>3</w:t>
      </w:r>
      <w:r>
        <w:rPr>
          <w:rFonts w:ascii="Times New Roman"/>
          <w:color w:val="000000" w:themeColor="text1"/>
        </w:rPr>
        <w:t>/a</w:t>
      </w:r>
      <w:r>
        <w:rPr>
          <w:rFonts w:ascii="Times New Roman"/>
          <w:color w:val="000000" w:themeColor="text1"/>
        </w:rPr>
        <w:t>（</w:t>
      </w:r>
      <w:r>
        <w:rPr>
          <w:rFonts w:ascii="Times New Roman" w:hint="eastAsia"/>
          <w:color w:val="000000" w:themeColor="text1"/>
        </w:rPr>
        <w:t>295.07</w:t>
      </w:r>
      <w:r>
        <w:rPr>
          <w:rFonts w:ascii="Times New Roman"/>
          <w:color w:val="000000" w:themeColor="text1"/>
        </w:rPr>
        <w:t>m</w:t>
      </w:r>
      <w:r>
        <w:rPr>
          <w:rFonts w:ascii="Times New Roman"/>
          <w:color w:val="000000" w:themeColor="text1"/>
          <w:vertAlign w:val="superscript"/>
        </w:rPr>
        <w:t>3</w:t>
      </w:r>
      <w:r>
        <w:rPr>
          <w:rFonts w:ascii="Times New Roman"/>
          <w:color w:val="000000" w:themeColor="text1"/>
        </w:rPr>
        <w:t>/d</w:t>
      </w:r>
      <w:r>
        <w:rPr>
          <w:rFonts w:ascii="Times New Roman"/>
          <w:color w:val="000000" w:themeColor="text1"/>
        </w:rPr>
        <w:t>）。</w:t>
      </w:r>
    </w:p>
    <w:p w14:paraId="5D7C73DB"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用水情况详见下表。</w:t>
      </w:r>
    </w:p>
    <w:p w14:paraId="0A758013" w14:textId="77777777" w:rsidR="00B14D53" w:rsidRDefault="00000000">
      <w:pPr>
        <w:jc w:val="center"/>
        <w:rPr>
          <w:b/>
          <w:bCs/>
        </w:rPr>
      </w:pPr>
      <w:r>
        <w:rPr>
          <w:rFonts w:hint="eastAsia"/>
          <w:b/>
          <w:bCs/>
        </w:rPr>
        <w:t>表</w:t>
      </w:r>
      <w:r>
        <w:rPr>
          <w:rFonts w:hint="eastAsia"/>
          <w:b/>
          <w:bCs/>
        </w:rPr>
        <w:t xml:space="preserve">3-1-5 </w:t>
      </w:r>
      <w:r>
        <w:rPr>
          <w:rFonts w:hint="eastAsia"/>
          <w:b/>
          <w:bCs/>
        </w:rPr>
        <w:t>项目用水情况一览表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75"/>
        <w:gridCol w:w="1802"/>
        <w:gridCol w:w="1997"/>
        <w:gridCol w:w="2032"/>
      </w:tblGrid>
      <w:tr w:rsidR="00B14D53" w14:paraId="0D040C2E" w14:textId="77777777">
        <w:trPr>
          <w:trHeight w:val="135"/>
        </w:trPr>
        <w:tc>
          <w:tcPr>
            <w:tcW w:w="1488" w:type="pct"/>
            <w:vAlign w:val="center"/>
          </w:tcPr>
          <w:bookmarkEnd w:id="77"/>
          <w:bookmarkEnd w:id="79"/>
          <w:bookmarkEnd w:id="81"/>
          <w:p w14:paraId="58BF1D16" w14:textId="77777777" w:rsidR="00B14D53" w:rsidRDefault="00000000">
            <w:pPr>
              <w:pStyle w:val="afff2"/>
              <w:spacing w:line="240" w:lineRule="auto"/>
              <w:contextualSpacing/>
              <w:rPr>
                <w:rFonts w:eastAsiaTheme="minorEastAsia" w:hAnsi="Times New Roman"/>
                <w:b/>
                <w:bCs/>
                <w:snapToGrid w:val="0"/>
                <w:szCs w:val="22"/>
              </w:rPr>
            </w:pPr>
            <w:r>
              <w:rPr>
                <w:rFonts w:eastAsiaTheme="minorEastAsia"/>
                <w:b/>
                <w:bCs/>
                <w:snapToGrid w:val="0"/>
                <w:szCs w:val="22"/>
              </w:rPr>
              <w:t>项目</w:t>
            </w:r>
          </w:p>
        </w:tc>
        <w:tc>
          <w:tcPr>
            <w:tcW w:w="1085" w:type="pct"/>
            <w:vAlign w:val="center"/>
          </w:tcPr>
          <w:p w14:paraId="36CBBA12" w14:textId="77777777" w:rsidR="00B14D53" w:rsidRDefault="00000000">
            <w:pPr>
              <w:pStyle w:val="afff2"/>
              <w:spacing w:line="240" w:lineRule="auto"/>
              <w:contextualSpacing/>
              <w:rPr>
                <w:rFonts w:eastAsiaTheme="minorEastAsia" w:hAnsi="Times New Roman"/>
                <w:b/>
                <w:bCs/>
                <w:snapToGrid w:val="0"/>
                <w:szCs w:val="22"/>
              </w:rPr>
            </w:pPr>
            <w:r>
              <w:rPr>
                <w:rFonts w:eastAsiaTheme="minorEastAsia"/>
                <w:b/>
                <w:bCs/>
                <w:snapToGrid w:val="0"/>
                <w:szCs w:val="22"/>
              </w:rPr>
              <w:t>日最大用水量（</w:t>
            </w:r>
            <w:r>
              <w:rPr>
                <w:rFonts w:eastAsiaTheme="minorEastAsia"/>
                <w:b/>
                <w:bCs/>
                <w:snapToGrid w:val="0"/>
                <w:szCs w:val="22"/>
              </w:rPr>
              <w:t>t</w:t>
            </w:r>
            <w:r>
              <w:rPr>
                <w:rFonts w:eastAsiaTheme="minorEastAsia"/>
                <w:b/>
                <w:bCs/>
                <w:snapToGrid w:val="0"/>
                <w:szCs w:val="22"/>
              </w:rPr>
              <w:t>）</w:t>
            </w:r>
          </w:p>
        </w:tc>
        <w:tc>
          <w:tcPr>
            <w:tcW w:w="1202" w:type="pct"/>
            <w:vAlign w:val="center"/>
          </w:tcPr>
          <w:p w14:paraId="40AE1FA7" w14:textId="77777777" w:rsidR="00B14D53" w:rsidRDefault="00000000">
            <w:pPr>
              <w:pStyle w:val="afff2"/>
              <w:spacing w:line="240" w:lineRule="auto"/>
              <w:contextualSpacing/>
              <w:rPr>
                <w:rFonts w:eastAsiaTheme="minorEastAsia" w:hAnsi="Times New Roman"/>
                <w:b/>
                <w:bCs/>
                <w:snapToGrid w:val="0"/>
                <w:szCs w:val="22"/>
              </w:rPr>
            </w:pPr>
            <w:r>
              <w:rPr>
                <w:rFonts w:eastAsiaTheme="minorEastAsia"/>
                <w:b/>
                <w:bCs/>
                <w:snapToGrid w:val="0"/>
                <w:szCs w:val="22"/>
              </w:rPr>
              <w:t>年最大用水量（</w:t>
            </w:r>
            <w:r>
              <w:rPr>
                <w:rFonts w:eastAsiaTheme="minorEastAsia"/>
                <w:b/>
                <w:bCs/>
                <w:snapToGrid w:val="0"/>
                <w:szCs w:val="22"/>
              </w:rPr>
              <w:t>t</w:t>
            </w:r>
            <w:r>
              <w:rPr>
                <w:rFonts w:eastAsiaTheme="minorEastAsia"/>
                <w:b/>
                <w:bCs/>
                <w:snapToGrid w:val="0"/>
                <w:szCs w:val="22"/>
              </w:rPr>
              <w:t>）</w:t>
            </w:r>
          </w:p>
        </w:tc>
        <w:tc>
          <w:tcPr>
            <w:tcW w:w="1223" w:type="pct"/>
            <w:vAlign w:val="center"/>
          </w:tcPr>
          <w:p w14:paraId="73011EB5" w14:textId="77777777" w:rsidR="00B14D53" w:rsidRDefault="00000000">
            <w:pPr>
              <w:pStyle w:val="afff2"/>
              <w:spacing w:line="240" w:lineRule="auto"/>
              <w:contextualSpacing/>
              <w:rPr>
                <w:rFonts w:eastAsiaTheme="minorEastAsia" w:hAnsi="Times New Roman"/>
                <w:b/>
                <w:bCs/>
                <w:snapToGrid w:val="0"/>
                <w:szCs w:val="22"/>
              </w:rPr>
            </w:pPr>
            <w:r>
              <w:rPr>
                <w:rFonts w:eastAsiaTheme="minorEastAsia"/>
                <w:b/>
                <w:bCs/>
                <w:snapToGrid w:val="0"/>
                <w:szCs w:val="22"/>
              </w:rPr>
              <w:t>备注</w:t>
            </w:r>
          </w:p>
        </w:tc>
      </w:tr>
      <w:tr w:rsidR="00B14D53" w14:paraId="02F1AF95" w14:textId="77777777">
        <w:trPr>
          <w:trHeight w:val="47"/>
        </w:trPr>
        <w:tc>
          <w:tcPr>
            <w:tcW w:w="1488" w:type="pct"/>
            <w:vAlign w:val="center"/>
          </w:tcPr>
          <w:p w14:paraId="6F53EF17"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hint="eastAsia"/>
                <w:snapToGrid w:val="0"/>
                <w:szCs w:val="22"/>
              </w:rPr>
              <w:t>待宰圈冲洗用水</w:t>
            </w:r>
          </w:p>
        </w:tc>
        <w:tc>
          <w:tcPr>
            <w:tcW w:w="1850" w:type="dxa"/>
            <w:vAlign w:val="center"/>
          </w:tcPr>
          <w:p w14:paraId="02082FE8"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4.71</w:t>
            </w:r>
          </w:p>
        </w:tc>
        <w:tc>
          <w:tcPr>
            <w:tcW w:w="2050" w:type="dxa"/>
            <w:vAlign w:val="center"/>
          </w:tcPr>
          <w:p w14:paraId="0F229626"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1600</w:t>
            </w:r>
          </w:p>
        </w:tc>
        <w:tc>
          <w:tcPr>
            <w:tcW w:w="1223" w:type="pct"/>
            <w:vAlign w:val="center"/>
          </w:tcPr>
          <w:p w14:paraId="3CE6F27E" w14:textId="77777777" w:rsidR="00B14D53" w:rsidRDefault="00000000">
            <w:pPr>
              <w:contextualSpacing/>
              <w:jc w:val="center"/>
              <w:rPr>
                <w:rFonts w:eastAsiaTheme="minorEastAsia"/>
                <w:szCs w:val="21"/>
              </w:rPr>
            </w:pPr>
            <w:r>
              <w:rPr>
                <w:rFonts w:eastAsiaTheme="minorEastAsia"/>
                <w:szCs w:val="21"/>
              </w:rPr>
              <w:t>/</w:t>
            </w:r>
          </w:p>
        </w:tc>
      </w:tr>
      <w:tr w:rsidR="00B14D53" w14:paraId="483530E5" w14:textId="77777777">
        <w:trPr>
          <w:trHeight w:val="47"/>
        </w:trPr>
        <w:tc>
          <w:tcPr>
            <w:tcW w:w="1488" w:type="pct"/>
            <w:vAlign w:val="center"/>
          </w:tcPr>
          <w:p w14:paraId="0CE99883"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hint="eastAsia"/>
                <w:snapToGrid w:val="0"/>
                <w:szCs w:val="22"/>
              </w:rPr>
              <w:t>屠宰用水</w:t>
            </w:r>
          </w:p>
        </w:tc>
        <w:tc>
          <w:tcPr>
            <w:tcW w:w="1850" w:type="dxa"/>
            <w:vAlign w:val="center"/>
          </w:tcPr>
          <w:p w14:paraId="788C819A"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282.35</w:t>
            </w:r>
          </w:p>
        </w:tc>
        <w:tc>
          <w:tcPr>
            <w:tcW w:w="2050" w:type="dxa"/>
            <w:vAlign w:val="center"/>
          </w:tcPr>
          <w:p w14:paraId="4154E1A1"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96000</w:t>
            </w:r>
          </w:p>
        </w:tc>
        <w:tc>
          <w:tcPr>
            <w:tcW w:w="1223" w:type="pct"/>
            <w:vAlign w:val="center"/>
          </w:tcPr>
          <w:p w14:paraId="7060AF62"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hint="eastAsia"/>
                <w:snapToGrid w:val="0"/>
                <w:szCs w:val="22"/>
              </w:rPr>
              <w:t>冬季不冲洗</w:t>
            </w:r>
          </w:p>
        </w:tc>
      </w:tr>
      <w:tr w:rsidR="00B14D53" w14:paraId="72459F13" w14:textId="77777777">
        <w:trPr>
          <w:trHeight w:val="47"/>
        </w:trPr>
        <w:tc>
          <w:tcPr>
            <w:tcW w:w="1488" w:type="pct"/>
            <w:vAlign w:val="center"/>
          </w:tcPr>
          <w:p w14:paraId="3BA1A96B"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电蒸气发生器用水</w:t>
            </w:r>
          </w:p>
        </w:tc>
        <w:tc>
          <w:tcPr>
            <w:tcW w:w="1850" w:type="dxa"/>
            <w:vAlign w:val="center"/>
          </w:tcPr>
          <w:p w14:paraId="43ED3ABF"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4.59</w:t>
            </w:r>
          </w:p>
        </w:tc>
        <w:tc>
          <w:tcPr>
            <w:tcW w:w="2050" w:type="dxa"/>
            <w:vAlign w:val="center"/>
          </w:tcPr>
          <w:p w14:paraId="7EF39929"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1559.13</w:t>
            </w:r>
          </w:p>
        </w:tc>
        <w:tc>
          <w:tcPr>
            <w:tcW w:w="1223" w:type="pct"/>
            <w:vAlign w:val="center"/>
          </w:tcPr>
          <w:p w14:paraId="6247A9B0"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w:t>
            </w:r>
          </w:p>
        </w:tc>
      </w:tr>
      <w:tr w:rsidR="00B14D53" w14:paraId="51242D28" w14:textId="77777777">
        <w:trPr>
          <w:trHeight w:val="47"/>
        </w:trPr>
        <w:tc>
          <w:tcPr>
            <w:tcW w:w="1488" w:type="pct"/>
            <w:vAlign w:val="center"/>
          </w:tcPr>
          <w:p w14:paraId="73F48972"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车辆冲洗用水</w:t>
            </w:r>
          </w:p>
        </w:tc>
        <w:tc>
          <w:tcPr>
            <w:tcW w:w="1850" w:type="dxa"/>
            <w:vAlign w:val="center"/>
          </w:tcPr>
          <w:p w14:paraId="0749C9D6"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2.22</w:t>
            </w:r>
          </w:p>
        </w:tc>
        <w:tc>
          <w:tcPr>
            <w:tcW w:w="2050" w:type="dxa"/>
            <w:vAlign w:val="center"/>
          </w:tcPr>
          <w:p w14:paraId="34D0CE1D"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400</w:t>
            </w:r>
          </w:p>
        </w:tc>
        <w:tc>
          <w:tcPr>
            <w:tcW w:w="1223" w:type="pct"/>
            <w:vAlign w:val="center"/>
          </w:tcPr>
          <w:p w14:paraId="4980114A"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w:t>
            </w:r>
          </w:p>
        </w:tc>
      </w:tr>
      <w:tr w:rsidR="00B14D53" w14:paraId="5EED960A" w14:textId="77777777">
        <w:trPr>
          <w:trHeight w:val="47"/>
        </w:trPr>
        <w:tc>
          <w:tcPr>
            <w:tcW w:w="1488" w:type="pct"/>
            <w:vAlign w:val="center"/>
          </w:tcPr>
          <w:p w14:paraId="73E5393C" w14:textId="77777777" w:rsidR="00B14D53" w:rsidRDefault="00000000">
            <w:pPr>
              <w:pStyle w:val="afff2"/>
              <w:spacing w:line="240" w:lineRule="auto"/>
              <w:contextualSpacing/>
              <w:rPr>
                <w:rFonts w:eastAsiaTheme="minorEastAsia" w:hAnsi="Times New Roman"/>
                <w:snapToGrid w:val="0"/>
                <w:szCs w:val="22"/>
              </w:rPr>
            </w:pPr>
            <w:r>
              <w:rPr>
                <w:rFonts w:eastAsiaTheme="minorEastAsia"/>
                <w:snapToGrid w:val="0"/>
                <w:szCs w:val="22"/>
              </w:rPr>
              <w:t>员工生活</w:t>
            </w:r>
            <w:r>
              <w:rPr>
                <w:rFonts w:eastAsiaTheme="minorEastAsia" w:hint="eastAsia"/>
                <w:snapToGrid w:val="0"/>
                <w:szCs w:val="22"/>
              </w:rPr>
              <w:t>用</w:t>
            </w:r>
            <w:r>
              <w:rPr>
                <w:rFonts w:eastAsiaTheme="minorEastAsia"/>
                <w:snapToGrid w:val="0"/>
                <w:szCs w:val="22"/>
              </w:rPr>
              <w:t>水</w:t>
            </w:r>
          </w:p>
        </w:tc>
        <w:tc>
          <w:tcPr>
            <w:tcW w:w="1850" w:type="dxa"/>
            <w:vAlign w:val="center"/>
          </w:tcPr>
          <w:p w14:paraId="3BD1AD9B"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1.2</w:t>
            </w:r>
          </w:p>
        </w:tc>
        <w:tc>
          <w:tcPr>
            <w:tcW w:w="2050" w:type="dxa"/>
            <w:vAlign w:val="center"/>
          </w:tcPr>
          <w:p w14:paraId="75FDE20E"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408</w:t>
            </w:r>
          </w:p>
        </w:tc>
        <w:tc>
          <w:tcPr>
            <w:tcW w:w="1223" w:type="pct"/>
            <w:vAlign w:val="center"/>
          </w:tcPr>
          <w:p w14:paraId="27D62F9E" w14:textId="77777777" w:rsidR="00B14D53" w:rsidRDefault="00000000">
            <w:pPr>
              <w:widowControl/>
              <w:jc w:val="center"/>
              <w:textAlignment w:val="center"/>
              <w:rPr>
                <w:rFonts w:eastAsiaTheme="minorEastAsia"/>
                <w:kern w:val="0"/>
                <w:szCs w:val="21"/>
              </w:rPr>
            </w:pPr>
            <w:r>
              <w:rPr>
                <w:rFonts w:eastAsiaTheme="minorEastAsia"/>
                <w:kern w:val="0"/>
                <w:szCs w:val="21"/>
              </w:rPr>
              <w:t>/</w:t>
            </w:r>
          </w:p>
        </w:tc>
      </w:tr>
      <w:tr w:rsidR="00B14D53" w14:paraId="38AFE8B8" w14:textId="77777777">
        <w:trPr>
          <w:trHeight w:val="47"/>
        </w:trPr>
        <w:tc>
          <w:tcPr>
            <w:tcW w:w="1488" w:type="pct"/>
            <w:vAlign w:val="center"/>
          </w:tcPr>
          <w:p w14:paraId="5BA1EF13" w14:textId="77777777" w:rsidR="00B14D53" w:rsidRDefault="00000000">
            <w:pPr>
              <w:pStyle w:val="afff2"/>
              <w:spacing w:line="240" w:lineRule="auto"/>
              <w:contextualSpacing/>
              <w:rPr>
                <w:rFonts w:eastAsiaTheme="minorEastAsia" w:hAnsi="Times New Roman"/>
                <w:snapToGrid w:val="0"/>
                <w:szCs w:val="22"/>
              </w:rPr>
            </w:pPr>
            <w:r>
              <w:rPr>
                <w:rFonts w:eastAsiaTheme="minorEastAsia"/>
                <w:snapToGrid w:val="0"/>
                <w:szCs w:val="22"/>
              </w:rPr>
              <w:t>总计</w:t>
            </w:r>
          </w:p>
        </w:tc>
        <w:tc>
          <w:tcPr>
            <w:tcW w:w="1850" w:type="dxa"/>
            <w:vAlign w:val="center"/>
          </w:tcPr>
          <w:p w14:paraId="6E5D85E4"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295.07</w:t>
            </w:r>
          </w:p>
        </w:tc>
        <w:tc>
          <w:tcPr>
            <w:tcW w:w="2050" w:type="dxa"/>
            <w:vAlign w:val="center"/>
          </w:tcPr>
          <w:p w14:paraId="14E65B71"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99967.13</w:t>
            </w:r>
          </w:p>
        </w:tc>
        <w:tc>
          <w:tcPr>
            <w:tcW w:w="1223" w:type="pct"/>
            <w:vAlign w:val="center"/>
          </w:tcPr>
          <w:p w14:paraId="644EA8D5"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w:t>
            </w:r>
          </w:p>
        </w:tc>
      </w:tr>
    </w:tbl>
    <w:p w14:paraId="4F7F9F8D"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hyperlink r:id="rId28" w:anchor="_Toc110400208" w:history="1">
        <w:r>
          <w:rPr>
            <w:rFonts w:ascii="Times New Roman" w:eastAsia="黑体" w:hAnsi="Times New Roman" w:cs="Times New Roman"/>
            <w:b w:val="0"/>
            <w:bCs w:val="0"/>
            <w:sz w:val="24"/>
            <w:szCs w:val="24"/>
          </w:rPr>
          <w:t>3.1.7.2</w:t>
        </w:r>
        <w:r>
          <w:rPr>
            <w:rFonts w:ascii="Times New Roman" w:eastAsia="黑体" w:hAnsi="Times New Roman" w:cs="Times New Roman"/>
            <w:b w:val="0"/>
            <w:bCs w:val="0"/>
            <w:sz w:val="24"/>
            <w:szCs w:val="24"/>
          </w:rPr>
          <w:t>排水工程</w:t>
        </w:r>
      </w:hyperlink>
    </w:p>
    <w:p w14:paraId="6E18D3B7" w14:textId="77777777" w:rsidR="00B14D53" w:rsidRDefault="00000000">
      <w:pPr>
        <w:spacing w:line="360" w:lineRule="auto"/>
        <w:ind w:firstLineChars="200" w:firstLine="472"/>
        <w:contextualSpacing/>
        <w:jc w:val="left"/>
        <w:rPr>
          <w:rFonts w:eastAsiaTheme="minorEastAsia" w:hAnsiTheme="minorEastAsia" w:hint="eastAsia"/>
          <w:sz w:val="24"/>
        </w:rPr>
      </w:pPr>
      <w:bookmarkStart w:id="82" w:name="_Hlk480325836"/>
      <w:r>
        <w:rPr>
          <w:rFonts w:hint="eastAsia"/>
          <w:spacing w:val="-2"/>
          <w:sz w:val="24"/>
        </w:rPr>
        <w:t>本项目排水包括生活污水及生产废水，</w:t>
      </w:r>
      <w:r>
        <w:rPr>
          <w:spacing w:val="-2"/>
          <w:sz w:val="24"/>
        </w:rPr>
        <w:t>生产废水主要来自于待宰圈冲洗排水、屠宰车间排水、</w:t>
      </w:r>
      <w:r>
        <w:rPr>
          <w:rFonts w:hint="eastAsia"/>
          <w:spacing w:val="-2"/>
          <w:sz w:val="24"/>
        </w:rPr>
        <w:t>电蒸汽发生器</w:t>
      </w:r>
      <w:r>
        <w:rPr>
          <w:spacing w:val="-2"/>
          <w:sz w:val="24"/>
        </w:rPr>
        <w:t>排污水</w:t>
      </w:r>
      <w:r>
        <w:rPr>
          <w:spacing w:val="-2"/>
          <w:sz w:val="24"/>
        </w:rPr>
        <w:t>+</w:t>
      </w:r>
      <w:r>
        <w:rPr>
          <w:spacing w:val="-2"/>
          <w:sz w:val="24"/>
        </w:rPr>
        <w:t>软化处理废水以及车辆冲洗排水等。本项目</w:t>
      </w:r>
      <w:r>
        <w:rPr>
          <w:rFonts w:hint="eastAsia"/>
          <w:spacing w:val="-2"/>
          <w:sz w:val="24"/>
        </w:rPr>
        <w:t>生活污水满足</w:t>
      </w:r>
      <w:r>
        <w:rPr>
          <w:rFonts w:hint="eastAsia"/>
          <w:bCs/>
          <w:sz w:val="24"/>
        </w:rPr>
        <w:t>《</w:t>
      </w:r>
      <w:r>
        <w:rPr>
          <w:bCs/>
          <w:sz w:val="24"/>
        </w:rPr>
        <w:t>污水综合排放标准》（</w:t>
      </w:r>
      <w:r>
        <w:rPr>
          <w:bCs/>
          <w:sz w:val="24"/>
        </w:rPr>
        <w:t>GB8978-1996</w:t>
      </w:r>
      <w:r>
        <w:rPr>
          <w:bCs/>
          <w:sz w:val="24"/>
        </w:rPr>
        <w:t>）</w:t>
      </w:r>
      <w:r>
        <w:rPr>
          <w:rFonts w:hint="eastAsia"/>
          <w:bCs/>
          <w:sz w:val="24"/>
        </w:rPr>
        <w:t>表</w:t>
      </w:r>
      <w:r>
        <w:rPr>
          <w:rFonts w:hint="eastAsia"/>
          <w:bCs/>
          <w:sz w:val="24"/>
        </w:rPr>
        <w:t>4</w:t>
      </w:r>
      <w:r>
        <w:rPr>
          <w:rFonts w:hint="eastAsia"/>
          <w:bCs/>
          <w:sz w:val="24"/>
        </w:rPr>
        <w:t>三</w:t>
      </w:r>
      <w:r>
        <w:rPr>
          <w:bCs/>
          <w:sz w:val="24"/>
        </w:rPr>
        <w:t>级标准</w:t>
      </w:r>
      <w:r>
        <w:rPr>
          <w:rFonts w:hint="eastAsia"/>
          <w:sz w:val="24"/>
        </w:rPr>
        <w:t>限值及</w:t>
      </w:r>
      <w:r>
        <w:rPr>
          <w:rFonts w:hint="eastAsia"/>
          <w:kern w:val="21"/>
          <w:sz w:val="24"/>
        </w:rPr>
        <w:t>五常市民泉污水处理有限公司（五常市山河屯林业局污水处理厂）</w:t>
      </w:r>
      <w:r>
        <w:rPr>
          <w:kern w:val="21"/>
          <w:sz w:val="24"/>
        </w:rPr>
        <w:t>设计进水水质指标</w:t>
      </w:r>
      <w:r>
        <w:rPr>
          <w:rFonts w:hint="eastAsia"/>
          <w:spacing w:val="-2"/>
          <w:sz w:val="24"/>
        </w:rPr>
        <w:t>排入市政管网，生产</w:t>
      </w:r>
      <w:r>
        <w:rPr>
          <w:spacing w:val="-2"/>
          <w:sz w:val="24"/>
        </w:rPr>
        <w:t>废水经厂区污水处理站处理达到《肉类加工工业水污染物排放标准》（</w:t>
      </w:r>
      <w:r>
        <w:rPr>
          <w:spacing w:val="-2"/>
          <w:sz w:val="24"/>
        </w:rPr>
        <w:t>GB13457-92</w:t>
      </w:r>
      <w:r>
        <w:rPr>
          <w:spacing w:val="-2"/>
          <w:sz w:val="24"/>
        </w:rPr>
        <w:t>）畜类屠宰加工三级标准及兴隆镇污水处理厂设计进水水质指标的要求后，</w:t>
      </w:r>
      <w:r>
        <w:rPr>
          <w:rFonts w:hint="eastAsia"/>
          <w:spacing w:val="-2"/>
          <w:sz w:val="24"/>
        </w:rPr>
        <w:t>排入</w:t>
      </w:r>
      <w:r>
        <w:rPr>
          <w:spacing w:val="-2"/>
          <w:sz w:val="24"/>
        </w:rPr>
        <w:t>市政管网</w:t>
      </w:r>
      <w:r>
        <w:rPr>
          <w:rFonts w:hint="eastAsia"/>
          <w:spacing w:val="-2"/>
          <w:sz w:val="24"/>
        </w:rPr>
        <w:t>，</w:t>
      </w:r>
      <w:r>
        <w:rPr>
          <w:rFonts w:eastAsiaTheme="minorEastAsia" w:hAnsiTheme="minorEastAsia" w:hint="eastAsia"/>
          <w:sz w:val="24"/>
        </w:rPr>
        <w:t>经</w:t>
      </w:r>
      <w:r>
        <w:rPr>
          <w:rFonts w:hint="eastAsia"/>
          <w:kern w:val="21"/>
          <w:sz w:val="24"/>
        </w:rPr>
        <w:t>五常市民泉污水处理有限公司（五常市山河屯林业局污水处理厂）</w:t>
      </w:r>
      <w:r>
        <w:rPr>
          <w:kern w:val="21"/>
          <w:sz w:val="24"/>
        </w:rPr>
        <w:t>处理</w:t>
      </w:r>
      <w:r>
        <w:rPr>
          <w:rFonts w:hint="eastAsia"/>
          <w:kern w:val="21"/>
          <w:sz w:val="24"/>
        </w:rPr>
        <w:t>达标后</w:t>
      </w:r>
      <w:r>
        <w:rPr>
          <w:kern w:val="21"/>
          <w:sz w:val="24"/>
        </w:rPr>
        <w:t>排入</w:t>
      </w:r>
      <w:r>
        <w:rPr>
          <w:rFonts w:hint="eastAsia"/>
          <w:kern w:val="21"/>
          <w:sz w:val="24"/>
        </w:rPr>
        <w:t>拉林</w:t>
      </w:r>
      <w:r>
        <w:rPr>
          <w:kern w:val="21"/>
          <w:sz w:val="24"/>
        </w:rPr>
        <w:t>河</w:t>
      </w:r>
      <w:r>
        <w:rPr>
          <w:spacing w:val="-2"/>
          <w:sz w:val="24"/>
        </w:rPr>
        <w:t>。</w:t>
      </w:r>
    </w:p>
    <w:p w14:paraId="497EF81C" w14:textId="77777777" w:rsidR="00B14D53" w:rsidRDefault="00000000">
      <w:pPr>
        <w:spacing w:line="360" w:lineRule="auto"/>
        <w:ind w:firstLineChars="200" w:firstLine="480"/>
        <w:contextualSpacing/>
        <w:jc w:val="left"/>
        <w:rPr>
          <w:rFonts w:eastAsiaTheme="minorEastAsia"/>
          <w:sz w:val="24"/>
        </w:rPr>
      </w:pPr>
      <w:r>
        <w:rPr>
          <w:rFonts w:eastAsiaTheme="minorEastAsia" w:hAnsiTheme="minorEastAsia"/>
          <w:sz w:val="24"/>
        </w:rPr>
        <w:t>（</w:t>
      </w:r>
      <w:r>
        <w:rPr>
          <w:rFonts w:eastAsiaTheme="minorEastAsia"/>
          <w:sz w:val="24"/>
        </w:rPr>
        <w:t>1</w:t>
      </w:r>
      <w:r>
        <w:rPr>
          <w:rFonts w:eastAsiaTheme="minorEastAsia" w:hAnsiTheme="minorEastAsia"/>
          <w:sz w:val="24"/>
        </w:rPr>
        <w:t>）</w:t>
      </w:r>
      <w:r>
        <w:rPr>
          <w:rFonts w:eastAsiaTheme="minorEastAsia" w:hAnsiTheme="minorEastAsia" w:hint="eastAsia"/>
          <w:sz w:val="24"/>
        </w:rPr>
        <w:t>生产排水</w:t>
      </w:r>
    </w:p>
    <w:p w14:paraId="270121EA" w14:textId="77777777" w:rsidR="00B14D53" w:rsidRDefault="00000000">
      <w:pPr>
        <w:widowControl/>
        <w:kinsoku w:val="0"/>
        <w:autoSpaceDE w:val="0"/>
        <w:autoSpaceDN w:val="0"/>
        <w:adjustRightInd w:val="0"/>
        <w:snapToGrid w:val="0"/>
        <w:spacing w:line="360" w:lineRule="auto"/>
        <w:ind w:firstLineChars="200" w:firstLine="472"/>
        <w:textAlignment w:val="baseline"/>
        <w:rPr>
          <w:spacing w:val="-2"/>
          <w:sz w:val="24"/>
        </w:rPr>
      </w:pPr>
      <w:bookmarkStart w:id="83" w:name="_Hlk479525300"/>
      <w:r>
        <w:rPr>
          <w:rFonts w:hint="eastAsia"/>
          <w:spacing w:val="-2"/>
          <w:sz w:val="24"/>
        </w:rPr>
        <w:t>生产废水中待宰圈冲洗废水、屠宰车间排水、车辆冲洗排水的排放系数均类比</w:t>
      </w:r>
      <w:r>
        <w:rPr>
          <w:rFonts w:eastAsiaTheme="minorEastAsia" w:hAnsiTheme="minorEastAsia" w:hint="eastAsia"/>
          <w:sz w:val="24"/>
        </w:rPr>
        <w:t>哈尔滨华康肉制品加工有限责任公司现有工程。</w:t>
      </w:r>
    </w:p>
    <w:p w14:paraId="717EDC61" w14:textId="77777777" w:rsidR="00B14D53" w:rsidRDefault="00000000">
      <w:pPr>
        <w:widowControl/>
        <w:kinsoku w:val="0"/>
        <w:autoSpaceDE w:val="0"/>
        <w:autoSpaceDN w:val="0"/>
        <w:adjustRightInd w:val="0"/>
        <w:snapToGrid w:val="0"/>
        <w:spacing w:line="360" w:lineRule="auto"/>
        <w:ind w:firstLineChars="200" w:firstLine="472"/>
        <w:textAlignment w:val="baseline"/>
        <w:rPr>
          <w:spacing w:val="-2"/>
          <w:sz w:val="24"/>
        </w:rPr>
      </w:pPr>
      <w:r>
        <w:rPr>
          <w:spacing w:val="-2"/>
          <w:sz w:val="24"/>
        </w:rPr>
        <w:t>①</w:t>
      </w:r>
      <w:r>
        <w:rPr>
          <w:spacing w:val="-2"/>
          <w:sz w:val="24"/>
        </w:rPr>
        <w:t>待宰圈冲洗排水</w:t>
      </w:r>
    </w:p>
    <w:p w14:paraId="2AD9754B" w14:textId="77777777" w:rsidR="00B14D53" w:rsidRDefault="00000000">
      <w:pPr>
        <w:widowControl/>
        <w:kinsoku w:val="0"/>
        <w:autoSpaceDE w:val="0"/>
        <w:autoSpaceDN w:val="0"/>
        <w:adjustRightInd w:val="0"/>
        <w:snapToGrid w:val="0"/>
        <w:spacing w:line="360" w:lineRule="auto"/>
        <w:ind w:firstLineChars="200" w:firstLine="480"/>
        <w:textAlignment w:val="baseline"/>
        <w:rPr>
          <w:sz w:val="24"/>
        </w:rPr>
      </w:pPr>
      <w:r>
        <w:rPr>
          <w:rFonts w:eastAsiaTheme="minorEastAsia" w:hAnsiTheme="minorEastAsia" w:hint="eastAsia"/>
          <w:sz w:val="24"/>
        </w:rPr>
        <w:t>待宰圈冲洗废水产生量约为用水量</w:t>
      </w:r>
      <w:r>
        <w:rPr>
          <w:rFonts w:eastAsiaTheme="minorEastAsia" w:hAnsiTheme="minorEastAsia" w:hint="eastAsia"/>
          <w:sz w:val="24"/>
        </w:rPr>
        <w:t>80%</w:t>
      </w:r>
      <w:r>
        <w:rPr>
          <w:rFonts w:eastAsiaTheme="minorEastAsia" w:hAnsiTheme="minorEastAsia" w:hint="eastAsia"/>
          <w:sz w:val="24"/>
        </w:rPr>
        <w:t>，因此</w:t>
      </w:r>
      <w:r>
        <w:rPr>
          <w:sz w:val="24"/>
        </w:rPr>
        <w:t>待宰圈冲洗废水量取</w:t>
      </w:r>
      <w:r>
        <w:rPr>
          <w:sz w:val="24"/>
        </w:rPr>
        <w:t>0.008m</w:t>
      </w:r>
      <w:r>
        <w:rPr>
          <w:sz w:val="24"/>
          <w:vertAlign w:val="superscript"/>
        </w:rPr>
        <w:t>3</w:t>
      </w:r>
      <w:r>
        <w:rPr>
          <w:sz w:val="24"/>
        </w:rPr>
        <w:t>/</w:t>
      </w:r>
      <w:r>
        <w:rPr>
          <w:sz w:val="24"/>
        </w:rPr>
        <w:t>头，</w:t>
      </w:r>
      <w:r>
        <w:rPr>
          <w:rFonts w:hint="eastAsia"/>
          <w:sz w:val="24"/>
        </w:rPr>
        <w:t>本项目屠宰量为</w:t>
      </w:r>
      <w:r>
        <w:rPr>
          <w:rFonts w:hint="eastAsia"/>
          <w:sz w:val="24"/>
        </w:rPr>
        <w:t>16</w:t>
      </w:r>
      <w:r>
        <w:rPr>
          <w:rFonts w:hint="eastAsia"/>
          <w:sz w:val="24"/>
        </w:rPr>
        <w:t>万</w:t>
      </w:r>
      <w:r>
        <w:rPr>
          <w:sz w:val="24"/>
        </w:rPr>
        <w:t>头</w:t>
      </w:r>
      <w:r>
        <w:rPr>
          <w:sz w:val="24"/>
        </w:rPr>
        <w:t>/</w:t>
      </w:r>
      <w:r>
        <w:rPr>
          <w:sz w:val="24"/>
        </w:rPr>
        <w:t>年，则待宰圈排水量为</w:t>
      </w:r>
      <w:r>
        <w:rPr>
          <w:sz w:val="24"/>
        </w:rPr>
        <w:t>12</w:t>
      </w:r>
      <w:r>
        <w:rPr>
          <w:rFonts w:hint="eastAsia"/>
          <w:sz w:val="24"/>
        </w:rPr>
        <w:t>80</w:t>
      </w:r>
      <w:r>
        <w:rPr>
          <w:sz w:val="24"/>
        </w:rPr>
        <w:t>m</w:t>
      </w:r>
      <w:r>
        <w:rPr>
          <w:sz w:val="24"/>
          <w:vertAlign w:val="superscript"/>
        </w:rPr>
        <w:t>3</w:t>
      </w:r>
      <w:r>
        <w:rPr>
          <w:sz w:val="24"/>
        </w:rPr>
        <w:t>/a</w:t>
      </w:r>
      <w:r>
        <w:rPr>
          <w:sz w:val="24"/>
        </w:rPr>
        <w:t>（</w:t>
      </w:r>
      <w:r>
        <w:rPr>
          <w:sz w:val="24"/>
        </w:rPr>
        <w:t>3.</w:t>
      </w:r>
      <w:r>
        <w:rPr>
          <w:rFonts w:hint="eastAsia"/>
          <w:sz w:val="24"/>
        </w:rPr>
        <w:t>76</w:t>
      </w:r>
      <w:r>
        <w:rPr>
          <w:sz w:val="24"/>
        </w:rPr>
        <w:t>m</w:t>
      </w:r>
      <w:r>
        <w:rPr>
          <w:sz w:val="24"/>
          <w:vertAlign w:val="superscript"/>
        </w:rPr>
        <w:t>3</w:t>
      </w:r>
      <w:r>
        <w:rPr>
          <w:sz w:val="24"/>
        </w:rPr>
        <w:t>/d</w:t>
      </w:r>
      <w:r>
        <w:rPr>
          <w:sz w:val="24"/>
        </w:rPr>
        <w:t>）</w:t>
      </w:r>
      <w:r>
        <w:rPr>
          <w:rFonts w:hint="eastAsia"/>
          <w:sz w:val="24"/>
        </w:rPr>
        <w:t>。</w:t>
      </w:r>
      <w:r>
        <w:rPr>
          <w:sz w:val="24"/>
        </w:rPr>
        <w:t>经检疫合格的猪准予屠宰，被送入待宰圈停食静养</w:t>
      </w:r>
      <w:r>
        <w:rPr>
          <w:sz w:val="24"/>
        </w:rPr>
        <w:t>12</w:t>
      </w:r>
      <w:r>
        <w:rPr>
          <w:sz w:val="24"/>
        </w:rPr>
        <w:t>～</w:t>
      </w:r>
      <w:r>
        <w:rPr>
          <w:sz w:val="24"/>
        </w:rPr>
        <w:t>24h</w:t>
      </w:r>
      <w:r>
        <w:rPr>
          <w:sz w:val="24"/>
        </w:rPr>
        <w:t>，根据《第一次全国污染源普查</w:t>
      </w:r>
      <w:r>
        <w:rPr>
          <w:sz w:val="24"/>
        </w:rPr>
        <w:t xml:space="preserve"> </w:t>
      </w:r>
      <w:r>
        <w:rPr>
          <w:sz w:val="24"/>
        </w:rPr>
        <w:t>畜禽养殖业源产排污系数手册》（</w:t>
      </w:r>
      <w:r>
        <w:rPr>
          <w:sz w:val="24"/>
        </w:rPr>
        <w:t>2009.2</w:t>
      </w:r>
      <w:r>
        <w:rPr>
          <w:sz w:val="24"/>
        </w:rPr>
        <w:t>）东北区猪尿液量为</w:t>
      </w:r>
      <w:r>
        <w:rPr>
          <w:sz w:val="24"/>
        </w:rPr>
        <w:t>3.62L/</w:t>
      </w:r>
      <w:r>
        <w:rPr>
          <w:sz w:val="24"/>
        </w:rPr>
        <w:t>头﹒待宰前</w:t>
      </w:r>
      <w:r>
        <w:rPr>
          <w:sz w:val="24"/>
        </w:rPr>
        <w:t>3</w:t>
      </w:r>
      <w:r>
        <w:rPr>
          <w:sz w:val="24"/>
        </w:rPr>
        <w:t>小时停止喂水，尿液量取正常饲养</w:t>
      </w:r>
      <w:r>
        <w:rPr>
          <w:sz w:val="24"/>
        </w:rPr>
        <w:t>70%</w:t>
      </w:r>
      <w:r>
        <w:rPr>
          <w:sz w:val="24"/>
        </w:rPr>
        <w:t>，则产生尿液量为</w:t>
      </w:r>
      <w:r>
        <w:rPr>
          <w:rFonts w:hint="eastAsia"/>
          <w:sz w:val="24"/>
        </w:rPr>
        <w:t>405.44</w:t>
      </w:r>
      <w:r>
        <w:rPr>
          <w:sz w:val="24"/>
        </w:rPr>
        <w:t>m</w:t>
      </w:r>
      <w:r>
        <w:rPr>
          <w:sz w:val="24"/>
          <w:vertAlign w:val="superscript"/>
        </w:rPr>
        <w:t>3</w:t>
      </w:r>
      <w:r>
        <w:rPr>
          <w:sz w:val="24"/>
        </w:rPr>
        <w:t>/a</w:t>
      </w:r>
      <w:r>
        <w:rPr>
          <w:sz w:val="24"/>
        </w:rPr>
        <w:t>（</w:t>
      </w:r>
      <w:r>
        <w:rPr>
          <w:sz w:val="24"/>
        </w:rPr>
        <w:t>1.</w:t>
      </w:r>
      <w:r>
        <w:rPr>
          <w:rFonts w:hint="eastAsia"/>
          <w:sz w:val="24"/>
        </w:rPr>
        <w:t>19</w:t>
      </w:r>
      <w:r>
        <w:rPr>
          <w:sz w:val="24"/>
        </w:rPr>
        <w:t>m</w:t>
      </w:r>
      <w:r>
        <w:rPr>
          <w:sz w:val="24"/>
          <w:vertAlign w:val="superscript"/>
        </w:rPr>
        <w:t>3</w:t>
      </w:r>
      <w:r>
        <w:rPr>
          <w:sz w:val="24"/>
        </w:rPr>
        <w:t>/d</w:t>
      </w:r>
      <w:r>
        <w:rPr>
          <w:sz w:val="24"/>
        </w:rPr>
        <w:t>），则待宰圈冲洗排水量为</w:t>
      </w:r>
      <w:r>
        <w:rPr>
          <w:rFonts w:hint="eastAsia"/>
          <w:sz w:val="24"/>
        </w:rPr>
        <w:t>1685.44</w:t>
      </w:r>
      <w:r>
        <w:rPr>
          <w:sz w:val="24"/>
        </w:rPr>
        <w:t>m</w:t>
      </w:r>
      <w:r>
        <w:rPr>
          <w:sz w:val="24"/>
          <w:vertAlign w:val="superscript"/>
        </w:rPr>
        <w:t>3</w:t>
      </w:r>
      <w:r>
        <w:rPr>
          <w:sz w:val="24"/>
        </w:rPr>
        <w:t>/a</w:t>
      </w:r>
      <w:r>
        <w:rPr>
          <w:sz w:val="24"/>
        </w:rPr>
        <w:t>（</w:t>
      </w:r>
      <w:r>
        <w:rPr>
          <w:rFonts w:hint="eastAsia"/>
          <w:sz w:val="24"/>
        </w:rPr>
        <w:t>4.96</w:t>
      </w:r>
      <w:r>
        <w:rPr>
          <w:sz w:val="24"/>
        </w:rPr>
        <w:t>m</w:t>
      </w:r>
      <w:r>
        <w:rPr>
          <w:sz w:val="24"/>
          <w:vertAlign w:val="superscript"/>
        </w:rPr>
        <w:t>3</w:t>
      </w:r>
      <w:r>
        <w:rPr>
          <w:sz w:val="24"/>
        </w:rPr>
        <w:t>/d</w:t>
      </w:r>
      <w:r>
        <w:rPr>
          <w:sz w:val="24"/>
        </w:rPr>
        <w:t>）</w:t>
      </w:r>
      <w:r>
        <w:rPr>
          <w:rFonts w:hint="eastAsia"/>
          <w:sz w:val="24"/>
        </w:rPr>
        <w:t>。</w:t>
      </w:r>
    </w:p>
    <w:bookmarkStart w:id="84" w:name="_Toc19178"/>
    <w:bookmarkStart w:id="85" w:name="_Toc2239"/>
    <w:bookmarkStart w:id="86" w:name="_Toc28785"/>
    <w:p w14:paraId="7375820E" w14:textId="77777777" w:rsidR="00B14D53" w:rsidRDefault="00000000">
      <w:pPr>
        <w:widowControl/>
        <w:kinsoku w:val="0"/>
        <w:autoSpaceDE w:val="0"/>
        <w:autoSpaceDN w:val="0"/>
        <w:adjustRightInd w:val="0"/>
        <w:snapToGrid w:val="0"/>
        <w:spacing w:line="360" w:lineRule="auto"/>
        <w:ind w:firstLineChars="200" w:firstLine="480"/>
        <w:textAlignment w:val="baseline"/>
        <w:rPr>
          <w:spacing w:val="-2"/>
          <w:sz w:val="24"/>
        </w:rPr>
      </w:pPr>
      <w:r>
        <w:rPr>
          <w:spacing w:val="-2"/>
          <w:sz w:val="24"/>
        </w:rPr>
        <w:fldChar w:fldCharType="begin"/>
      </w:r>
      <w:r>
        <w:rPr>
          <w:spacing w:val="-2"/>
          <w:sz w:val="24"/>
        </w:rPr>
        <w:instrText xml:space="preserve"> = 2 \* GB3 \* MERGEFORMAT </w:instrText>
      </w:r>
      <w:r>
        <w:rPr>
          <w:spacing w:val="-2"/>
          <w:sz w:val="24"/>
        </w:rPr>
        <w:fldChar w:fldCharType="separate"/>
      </w:r>
      <w:r>
        <w:rPr>
          <w:spacing w:val="-2"/>
          <w:sz w:val="24"/>
        </w:rPr>
        <w:t>②</w:t>
      </w:r>
      <w:r>
        <w:rPr>
          <w:spacing w:val="-2"/>
          <w:sz w:val="24"/>
        </w:rPr>
        <w:fldChar w:fldCharType="end"/>
      </w:r>
      <w:r>
        <w:rPr>
          <w:spacing w:val="-2"/>
          <w:sz w:val="24"/>
        </w:rPr>
        <w:t>屠宰车间排水</w:t>
      </w:r>
      <w:bookmarkEnd w:id="84"/>
      <w:bookmarkEnd w:id="85"/>
      <w:bookmarkEnd w:id="86"/>
    </w:p>
    <w:p w14:paraId="7E0B3BAF" w14:textId="77777777" w:rsidR="00B14D53" w:rsidRDefault="00000000">
      <w:pPr>
        <w:widowControl/>
        <w:kinsoku w:val="0"/>
        <w:autoSpaceDE w:val="0"/>
        <w:autoSpaceDN w:val="0"/>
        <w:adjustRightInd w:val="0"/>
        <w:snapToGrid w:val="0"/>
        <w:spacing w:line="360" w:lineRule="auto"/>
        <w:ind w:firstLineChars="200" w:firstLine="472"/>
        <w:textAlignment w:val="baseline"/>
        <w:rPr>
          <w:sz w:val="24"/>
        </w:rPr>
      </w:pPr>
      <w:r>
        <w:rPr>
          <w:spacing w:val="-2"/>
          <w:sz w:val="24"/>
        </w:rPr>
        <w:t>宰前喷淋间</w:t>
      </w:r>
      <w:r>
        <w:rPr>
          <w:rFonts w:hint="eastAsia"/>
          <w:spacing w:val="-2"/>
          <w:sz w:val="24"/>
        </w:rPr>
        <w:t>废水计入屠宰车间废水，</w:t>
      </w:r>
      <w:r>
        <w:rPr>
          <w:spacing w:val="-2"/>
          <w:sz w:val="24"/>
        </w:rPr>
        <w:t>屠宰车间排水量以用水量的</w:t>
      </w:r>
      <w:r>
        <w:rPr>
          <w:spacing w:val="-2"/>
          <w:sz w:val="24"/>
        </w:rPr>
        <w:t>80%</w:t>
      </w:r>
      <w:r>
        <w:rPr>
          <w:spacing w:val="-2"/>
          <w:sz w:val="24"/>
        </w:rPr>
        <w:t>计，</w:t>
      </w:r>
      <w:r>
        <w:rPr>
          <w:rFonts w:hint="eastAsia"/>
          <w:spacing w:val="-2"/>
          <w:sz w:val="24"/>
        </w:rPr>
        <w:t>屠宰车间用水量为</w:t>
      </w:r>
      <w:r>
        <w:rPr>
          <w:sz w:val="24"/>
        </w:rPr>
        <w:t>9</w:t>
      </w:r>
      <w:r>
        <w:rPr>
          <w:rFonts w:hint="eastAsia"/>
          <w:sz w:val="24"/>
        </w:rPr>
        <w:t>6000</w:t>
      </w:r>
      <w:r>
        <w:rPr>
          <w:sz w:val="24"/>
        </w:rPr>
        <w:t>m</w:t>
      </w:r>
      <w:r>
        <w:rPr>
          <w:sz w:val="24"/>
          <w:vertAlign w:val="superscript"/>
        </w:rPr>
        <w:t>3</w:t>
      </w:r>
      <w:r>
        <w:rPr>
          <w:sz w:val="24"/>
        </w:rPr>
        <w:t>/a</w:t>
      </w:r>
      <w:r>
        <w:rPr>
          <w:sz w:val="24"/>
        </w:rPr>
        <w:t>（</w:t>
      </w:r>
      <w:r>
        <w:rPr>
          <w:rFonts w:hint="eastAsia"/>
          <w:sz w:val="24"/>
        </w:rPr>
        <w:t>282.35</w:t>
      </w:r>
      <w:r>
        <w:rPr>
          <w:sz w:val="24"/>
        </w:rPr>
        <w:t>m</w:t>
      </w:r>
      <w:r>
        <w:rPr>
          <w:sz w:val="24"/>
          <w:vertAlign w:val="superscript"/>
        </w:rPr>
        <w:t>3</w:t>
      </w:r>
      <w:r>
        <w:rPr>
          <w:sz w:val="24"/>
        </w:rPr>
        <w:t>/d</w:t>
      </w:r>
      <w:r>
        <w:rPr>
          <w:sz w:val="24"/>
        </w:rPr>
        <w:t>）</w:t>
      </w:r>
      <w:r>
        <w:rPr>
          <w:rFonts w:hint="eastAsia"/>
          <w:spacing w:val="-2"/>
          <w:sz w:val="24"/>
        </w:rPr>
        <w:t>，</w:t>
      </w:r>
      <w:r>
        <w:rPr>
          <w:spacing w:val="-2"/>
          <w:sz w:val="24"/>
        </w:rPr>
        <w:t>排水量为</w:t>
      </w:r>
      <w:r>
        <w:rPr>
          <w:rFonts w:hint="eastAsia"/>
          <w:spacing w:val="-2"/>
          <w:sz w:val="24"/>
        </w:rPr>
        <w:t>76800</w:t>
      </w:r>
      <w:r>
        <w:rPr>
          <w:spacing w:val="-2"/>
          <w:sz w:val="24"/>
        </w:rPr>
        <w:t>m</w:t>
      </w:r>
      <w:r>
        <w:rPr>
          <w:sz w:val="24"/>
          <w:vertAlign w:val="superscript"/>
        </w:rPr>
        <w:t>3</w:t>
      </w:r>
      <w:r>
        <w:rPr>
          <w:sz w:val="24"/>
        </w:rPr>
        <w:t>/a</w:t>
      </w:r>
      <w:r>
        <w:rPr>
          <w:sz w:val="24"/>
        </w:rPr>
        <w:t>（</w:t>
      </w:r>
      <w:r>
        <w:rPr>
          <w:sz w:val="24"/>
        </w:rPr>
        <w:t>2</w:t>
      </w:r>
      <w:r>
        <w:rPr>
          <w:rFonts w:hint="eastAsia"/>
          <w:sz w:val="24"/>
        </w:rPr>
        <w:t>25.88</w:t>
      </w:r>
      <w:r>
        <w:rPr>
          <w:sz w:val="24"/>
        </w:rPr>
        <w:t>m</w:t>
      </w:r>
      <w:r>
        <w:rPr>
          <w:sz w:val="24"/>
          <w:vertAlign w:val="superscript"/>
        </w:rPr>
        <w:t>3</w:t>
      </w:r>
      <w:r>
        <w:rPr>
          <w:sz w:val="24"/>
        </w:rPr>
        <w:t>/d</w:t>
      </w:r>
      <w:r>
        <w:rPr>
          <w:sz w:val="24"/>
        </w:rPr>
        <w:t>）。其中屠宰加工冲洗排水为</w:t>
      </w:r>
      <w:r>
        <w:rPr>
          <w:rFonts w:hint="eastAsia"/>
          <w:sz w:val="24"/>
        </w:rPr>
        <w:t>61440</w:t>
      </w:r>
      <w:r>
        <w:rPr>
          <w:sz w:val="24"/>
        </w:rPr>
        <w:t>m</w:t>
      </w:r>
      <w:r>
        <w:rPr>
          <w:sz w:val="24"/>
          <w:vertAlign w:val="superscript"/>
        </w:rPr>
        <w:t>3</w:t>
      </w:r>
      <w:r>
        <w:rPr>
          <w:sz w:val="24"/>
        </w:rPr>
        <w:t>/a</w:t>
      </w:r>
      <w:r>
        <w:rPr>
          <w:sz w:val="24"/>
        </w:rPr>
        <w:t>（</w:t>
      </w:r>
      <w:r>
        <w:rPr>
          <w:sz w:val="24"/>
        </w:rPr>
        <w:t>1</w:t>
      </w:r>
      <w:r>
        <w:rPr>
          <w:rFonts w:hint="eastAsia"/>
          <w:sz w:val="24"/>
        </w:rPr>
        <w:t>80.71</w:t>
      </w:r>
      <w:r>
        <w:rPr>
          <w:sz w:val="24"/>
        </w:rPr>
        <w:t>m</w:t>
      </w:r>
      <w:r>
        <w:rPr>
          <w:sz w:val="24"/>
          <w:vertAlign w:val="superscript"/>
        </w:rPr>
        <w:t>3</w:t>
      </w:r>
      <w:r>
        <w:rPr>
          <w:sz w:val="24"/>
        </w:rPr>
        <w:t>/d</w:t>
      </w:r>
      <w:r>
        <w:rPr>
          <w:sz w:val="24"/>
        </w:rPr>
        <w:t>），车间地面及设备冲洗排水为</w:t>
      </w:r>
      <w:r>
        <w:rPr>
          <w:sz w:val="24"/>
        </w:rPr>
        <w:t>1</w:t>
      </w:r>
      <w:r>
        <w:rPr>
          <w:rFonts w:hint="eastAsia"/>
          <w:sz w:val="24"/>
        </w:rPr>
        <w:t>5360</w:t>
      </w:r>
      <w:r>
        <w:rPr>
          <w:sz w:val="24"/>
        </w:rPr>
        <w:t>m</w:t>
      </w:r>
      <w:r>
        <w:rPr>
          <w:sz w:val="24"/>
          <w:vertAlign w:val="superscript"/>
        </w:rPr>
        <w:t>3</w:t>
      </w:r>
      <w:r>
        <w:rPr>
          <w:sz w:val="24"/>
        </w:rPr>
        <w:t>/a</w:t>
      </w:r>
      <w:r>
        <w:rPr>
          <w:sz w:val="24"/>
        </w:rPr>
        <w:t>（</w:t>
      </w:r>
      <w:r>
        <w:rPr>
          <w:sz w:val="24"/>
        </w:rPr>
        <w:t>4</w:t>
      </w:r>
      <w:r>
        <w:rPr>
          <w:rFonts w:hint="eastAsia"/>
          <w:sz w:val="24"/>
        </w:rPr>
        <w:t>5.18</w:t>
      </w:r>
      <w:r>
        <w:rPr>
          <w:sz w:val="24"/>
        </w:rPr>
        <w:t>m</w:t>
      </w:r>
      <w:r>
        <w:rPr>
          <w:sz w:val="24"/>
          <w:vertAlign w:val="superscript"/>
        </w:rPr>
        <w:t>3</w:t>
      </w:r>
      <w:r>
        <w:rPr>
          <w:sz w:val="24"/>
        </w:rPr>
        <w:t>/d</w:t>
      </w:r>
      <w:r>
        <w:rPr>
          <w:sz w:val="24"/>
        </w:rPr>
        <w:t>）</w:t>
      </w:r>
      <w:r>
        <w:rPr>
          <w:rFonts w:hint="eastAsia"/>
          <w:sz w:val="24"/>
        </w:rPr>
        <w:t>。</w:t>
      </w:r>
    </w:p>
    <w:p w14:paraId="0FFD984C" w14:textId="77777777" w:rsidR="00B14D53" w:rsidRDefault="00000000">
      <w:pPr>
        <w:widowControl/>
        <w:kinsoku w:val="0"/>
        <w:autoSpaceDE w:val="0"/>
        <w:autoSpaceDN w:val="0"/>
        <w:adjustRightInd w:val="0"/>
        <w:snapToGrid w:val="0"/>
        <w:spacing w:line="360" w:lineRule="auto"/>
        <w:ind w:firstLineChars="200" w:firstLine="472"/>
        <w:textAlignment w:val="baseline"/>
        <w:rPr>
          <w:spacing w:val="-2"/>
          <w:sz w:val="24"/>
        </w:rPr>
      </w:pPr>
      <w:bookmarkStart w:id="87" w:name="_Toc4538"/>
      <w:bookmarkStart w:id="88" w:name="_Toc10503"/>
      <w:bookmarkStart w:id="89" w:name="_Toc30883"/>
      <w:r>
        <w:rPr>
          <w:spacing w:val="-2"/>
          <w:sz w:val="24"/>
        </w:rPr>
        <w:t>③</w:t>
      </w:r>
      <w:r>
        <w:rPr>
          <w:rFonts w:hint="eastAsia"/>
          <w:spacing w:val="-2"/>
          <w:sz w:val="24"/>
        </w:rPr>
        <w:t>电蒸汽发生器</w:t>
      </w:r>
      <w:r>
        <w:rPr>
          <w:spacing w:val="-2"/>
          <w:sz w:val="24"/>
        </w:rPr>
        <w:t>排污水</w:t>
      </w:r>
      <w:r>
        <w:rPr>
          <w:spacing w:val="-2"/>
          <w:sz w:val="24"/>
        </w:rPr>
        <w:t>+</w:t>
      </w:r>
      <w:r>
        <w:rPr>
          <w:spacing w:val="-2"/>
          <w:sz w:val="24"/>
        </w:rPr>
        <w:t>软化处理废水</w:t>
      </w:r>
      <w:bookmarkEnd w:id="87"/>
      <w:bookmarkEnd w:id="88"/>
      <w:bookmarkEnd w:id="89"/>
    </w:p>
    <w:p w14:paraId="0EC8487F" w14:textId="77777777" w:rsidR="00B14D53" w:rsidRDefault="00000000">
      <w:pPr>
        <w:widowControl/>
        <w:kinsoku w:val="0"/>
        <w:autoSpaceDE w:val="0"/>
        <w:autoSpaceDN w:val="0"/>
        <w:adjustRightInd w:val="0"/>
        <w:snapToGrid w:val="0"/>
        <w:spacing w:line="360" w:lineRule="auto"/>
        <w:ind w:firstLineChars="200" w:firstLine="472"/>
        <w:textAlignment w:val="baseline"/>
        <w:rPr>
          <w:spacing w:val="-2"/>
          <w:sz w:val="24"/>
        </w:rPr>
      </w:pPr>
      <w:r>
        <w:rPr>
          <w:spacing w:val="-2"/>
          <w:sz w:val="24"/>
        </w:rPr>
        <w:t>根据电蒸汽发生器厂家提供数据，每日生产结束后需定排水，排水量约为用水量的</w:t>
      </w:r>
      <w:r>
        <w:rPr>
          <w:spacing w:val="-2"/>
          <w:sz w:val="24"/>
        </w:rPr>
        <w:t>1%</w:t>
      </w:r>
      <w:r>
        <w:rPr>
          <w:spacing w:val="-2"/>
          <w:sz w:val="24"/>
        </w:rPr>
        <w:t>，因此定排水量为</w:t>
      </w:r>
      <w:r>
        <w:rPr>
          <w:spacing w:val="-2"/>
          <w:sz w:val="24"/>
        </w:rPr>
        <w:t>13.89t/a</w:t>
      </w:r>
      <w:r>
        <w:rPr>
          <w:spacing w:val="-2"/>
          <w:sz w:val="24"/>
        </w:rPr>
        <w:t>（</w:t>
      </w:r>
      <w:r>
        <w:rPr>
          <w:spacing w:val="-2"/>
          <w:sz w:val="24"/>
        </w:rPr>
        <w:t>0.04t/d</w:t>
      </w:r>
      <w:r>
        <w:rPr>
          <w:spacing w:val="-2"/>
          <w:sz w:val="24"/>
        </w:rPr>
        <w:t>）；锅炉用软水由软化水装置提供，软水制备效率可达</w:t>
      </w:r>
      <w:r>
        <w:rPr>
          <w:spacing w:val="-2"/>
          <w:sz w:val="24"/>
        </w:rPr>
        <w:t>90%</w:t>
      </w:r>
      <w:r>
        <w:rPr>
          <w:spacing w:val="-2"/>
          <w:sz w:val="24"/>
        </w:rPr>
        <w:t>，总补水量为</w:t>
      </w:r>
      <w:r>
        <w:rPr>
          <w:spacing w:val="-2"/>
          <w:sz w:val="24"/>
        </w:rPr>
        <w:t>1559.13t/a</w:t>
      </w:r>
      <w:r>
        <w:rPr>
          <w:spacing w:val="-2"/>
          <w:sz w:val="24"/>
        </w:rPr>
        <w:t>（</w:t>
      </w:r>
      <w:r>
        <w:rPr>
          <w:spacing w:val="-2"/>
          <w:sz w:val="24"/>
        </w:rPr>
        <w:t>4.59t/d</w:t>
      </w:r>
      <w:r>
        <w:rPr>
          <w:spacing w:val="-2"/>
          <w:sz w:val="24"/>
        </w:rPr>
        <w:t>）</w:t>
      </w:r>
      <w:r>
        <w:rPr>
          <w:rFonts w:hint="eastAsia"/>
          <w:spacing w:val="-2"/>
          <w:sz w:val="24"/>
        </w:rPr>
        <w:t>，因此软化处理废水量为</w:t>
      </w:r>
      <w:r>
        <w:rPr>
          <w:rFonts w:hint="eastAsia"/>
          <w:spacing w:val="-2"/>
          <w:sz w:val="24"/>
        </w:rPr>
        <w:t>155.91t/a</w:t>
      </w:r>
      <w:r>
        <w:rPr>
          <w:rFonts w:hint="eastAsia"/>
          <w:spacing w:val="-2"/>
          <w:sz w:val="24"/>
        </w:rPr>
        <w:t>（</w:t>
      </w:r>
      <w:r>
        <w:rPr>
          <w:rFonts w:hint="eastAsia"/>
          <w:spacing w:val="-2"/>
          <w:sz w:val="24"/>
        </w:rPr>
        <w:t>0.46t/d</w:t>
      </w:r>
      <w:r>
        <w:rPr>
          <w:rFonts w:hint="eastAsia"/>
          <w:spacing w:val="-2"/>
          <w:sz w:val="24"/>
        </w:rPr>
        <w:t>），合计排水量为</w:t>
      </w:r>
      <w:r>
        <w:rPr>
          <w:rFonts w:hint="eastAsia"/>
          <w:spacing w:val="-2"/>
          <w:sz w:val="24"/>
        </w:rPr>
        <w:t>169.8t/a</w:t>
      </w:r>
      <w:r>
        <w:rPr>
          <w:rFonts w:hint="eastAsia"/>
          <w:spacing w:val="-2"/>
          <w:sz w:val="24"/>
        </w:rPr>
        <w:t>（</w:t>
      </w:r>
      <w:r>
        <w:rPr>
          <w:rFonts w:hint="eastAsia"/>
          <w:spacing w:val="-2"/>
          <w:sz w:val="24"/>
        </w:rPr>
        <w:t>0.5t/d</w:t>
      </w:r>
      <w:r>
        <w:rPr>
          <w:rFonts w:hint="eastAsia"/>
          <w:spacing w:val="-2"/>
          <w:sz w:val="24"/>
        </w:rPr>
        <w:t>）。</w:t>
      </w:r>
    </w:p>
    <w:p w14:paraId="3491DC0C" w14:textId="77777777" w:rsidR="00B14D53" w:rsidRDefault="00000000">
      <w:pPr>
        <w:widowControl/>
        <w:kinsoku w:val="0"/>
        <w:autoSpaceDE w:val="0"/>
        <w:autoSpaceDN w:val="0"/>
        <w:adjustRightInd w:val="0"/>
        <w:snapToGrid w:val="0"/>
        <w:spacing w:line="360" w:lineRule="auto"/>
        <w:ind w:firstLineChars="200" w:firstLine="472"/>
        <w:textAlignment w:val="baseline"/>
        <w:rPr>
          <w:spacing w:val="-2"/>
          <w:sz w:val="24"/>
        </w:rPr>
      </w:pPr>
      <w:r>
        <w:rPr>
          <w:spacing w:val="-2"/>
          <w:sz w:val="24"/>
        </w:rPr>
        <w:t>④</w:t>
      </w:r>
      <w:r>
        <w:rPr>
          <w:spacing w:val="-2"/>
          <w:sz w:val="24"/>
        </w:rPr>
        <w:t>车辆冲洗排水</w:t>
      </w:r>
    </w:p>
    <w:p w14:paraId="5AB37CC5" w14:textId="77777777" w:rsidR="00B14D53" w:rsidRDefault="00000000">
      <w:pPr>
        <w:widowControl/>
        <w:kinsoku w:val="0"/>
        <w:autoSpaceDE w:val="0"/>
        <w:autoSpaceDN w:val="0"/>
        <w:adjustRightInd w:val="0"/>
        <w:snapToGrid w:val="0"/>
        <w:spacing w:line="360" w:lineRule="auto"/>
        <w:ind w:firstLineChars="200" w:firstLine="472"/>
        <w:textAlignment w:val="baseline"/>
        <w:rPr>
          <w:color w:val="000000" w:themeColor="text1"/>
        </w:rPr>
      </w:pPr>
      <w:r>
        <w:rPr>
          <w:spacing w:val="-2"/>
          <w:sz w:val="24"/>
        </w:rPr>
        <w:t>排污系数以</w:t>
      </w:r>
      <w:r>
        <w:rPr>
          <w:spacing w:val="-2"/>
          <w:sz w:val="24"/>
        </w:rPr>
        <w:t>0.8</w:t>
      </w:r>
      <w:r>
        <w:rPr>
          <w:spacing w:val="-2"/>
          <w:sz w:val="24"/>
        </w:rPr>
        <w:t>计，</w:t>
      </w:r>
      <w:r>
        <w:rPr>
          <w:rFonts w:hint="eastAsia"/>
          <w:spacing w:val="-2"/>
          <w:sz w:val="24"/>
        </w:rPr>
        <w:t>本</w:t>
      </w:r>
      <w:r>
        <w:rPr>
          <w:spacing w:val="-2"/>
          <w:sz w:val="24"/>
        </w:rPr>
        <w:t>项目</w:t>
      </w:r>
      <w:r>
        <w:rPr>
          <w:color w:val="000000" w:themeColor="text1"/>
          <w:sz w:val="24"/>
        </w:rPr>
        <w:t>车辆冲洗用水量为</w:t>
      </w:r>
      <w:r>
        <w:rPr>
          <w:rFonts w:hint="eastAsia"/>
          <w:color w:val="000000" w:themeColor="text1"/>
          <w:sz w:val="24"/>
        </w:rPr>
        <w:t>400</w:t>
      </w:r>
      <w:r>
        <w:rPr>
          <w:color w:val="000000" w:themeColor="text1"/>
          <w:sz w:val="24"/>
        </w:rPr>
        <w:t>m</w:t>
      </w:r>
      <w:r>
        <w:rPr>
          <w:color w:val="000000" w:themeColor="text1"/>
          <w:sz w:val="24"/>
          <w:vertAlign w:val="superscript"/>
        </w:rPr>
        <w:t>3</w:t>
      </w:r>
      <w:r>
        <w:rPr>
          <w:color w:val="000000" w:themeColor="text1"/>
          <w:sz w:val="24"/>
        </w:rPr>
        <w:t>/a</w:t>
      </w:r>
      <w:r>
        <w:rPr>
          <w:rFonts w:hint="eastAsia"/>
          <w:color w:val="000000" w:themeColor="text1"/>
          <w:sz w:val="24"/>
        </w:rPr>
        <w:t>，则</w:t>
      </w:r>
      <w:r>
        <w:rPr>
          <w:spacing w:val="-2"/>
          <w:sz w:val="24"/>
        </w:rPr>
        <w:t>车辆冲洗排水量为</w:t>
      </w:r>
      <w:r>
        <w:rPr>
          <w:rFonts w:hint="eastAsia"/>
          <w:color w:val="000000" w:themeColor="text1"/>
          <w:sz w:val="24"/>
        </w:rPr>
        <w:t>320</w:t>
      </w:r>
      <w:r>
        <w:rPr>
          <w:color w:val="000000" w:themeColor="text1"/>
          <w:sz w:val="24"/>
        </w:rPr>
        <w:t>m</w:t>
      </w:r>
      <w:r>
        <w:rPr>
          <w:color w:val="000000" w:themeColor="text1"/>
          <w:sz w:val="24"/>
          <w:vertAlign w:val="superscript"/>
        </w:rPr>
        <w:t>3</w:t>
      </w:r>
      <w:r>
        <w:rPr>
          <w:color w:val="000000" w:themeColor="text1"/>
          <w:sz w:val="24"/>
        </w:rPr>
        <w:t>/a</w:t>
      </w:r>
      <w:r>
        <w:rPr>
          <w:color w:val="000000" w:themeColor="text1"/>
          <w:sz w:val="24"/>
        </w:rPr>
        <w:t>。</w:t>
      </w:r>
    </w:p>
    <w:p w14:paraId="32C66530" w14:textId="77777777" w:rsidR="00B14D53" w:rsidRDefault="00000000">
      <w:pPr>
        <w:spacing w:line="360" w:lineRule="auto"/>
        <w:ind w:firstLineChars="200" w:firstLine="480"/>
        <w:contextualSpacing/>
        <w:jc w:val="left"/>
        <w:rPr>
          <w:rFonts w:eastAsiaTheme="minorEastAsia"/>
          <w:sz w:val="24"/>
        </w:rPr>
      </w:pPr>
      <w:r>
        <w:rPr>
          <w:rFonts w:eastAsiaTheme="minorEastAsia" w:hAnsiTheme="minorEastAsia"/>
          <w:sz w:val="24"/>
        </w:rPr>
        <w:t>（</w:t>
      </w:r>
      <w:r>
        <w:rPr>
          <w:rFonts w:eastAsiaTheme="minorEastAsia" w:hint="eastAsia"/>
          <w:sz w:val="24"/>
        </w:rPr>
        <w:t>2</w:t>
      </w:r>
      <w:r>
        <w:rPr>
          <w:rFonts w:eastAsiaTheme="minorEastAsia" w:hAnsiTheme="minorEastAsia"/>
          <w:sz w:val="24"/>
        </w:rPr>
        <w:t>）</w:t>
      </w:r>
      <w:r>
        <w:rPr>
          <w:rFonts w:eastAsiaTheme="minorEastAsia" w:hAnsiTheme="minorEastAsia" w:hint="eastAsia"/>
          <w:sz w:val="24"/>
        </w:rPr>
        <w:t>生活污水</w:t>
      </w:r>
    </w:p>
    <w:p w14:paraId="0024B131" w14:textId="77777777" w:rsidR="00B14D53" w:rsidRDefault="00000000">
      <w:pPr>
        <w:spacing w:line="360" w:lineRule="auto"/>
        <w:ind w:firstLineChars="200" w:firstLine="480"/>
        <w:contextualSpacing/>
        <w:jc w:val="left"/>
        <w:rPr>
          <w:rFonts w:eastAsiaTheme="minorEastAsia" w:hAnsiTheme="minorEastAsia" w:hint="eastAsia"/>
          <w:sz w:val="24"/>
        </w:rPr>
      </w:pPr>
      <w:r>
        <w:rPr>
          <w:rFonts w:eastAsiaTheme="minorEastAsia" w:hAnsiTheme="minorEastAsia"/>
          <w:sz w:val="24"/>
        </w:rPr>
        <w:t>本项目生活污水产生量按用水量的</w:t>
      </w:r>
      <w:r>
        <w:rPr>
          <w:rFonts w:eastAsiaTheme="minorEastAsia" w:hAnsiTheme="minorEastAsia"/>
          <w:sz w:val="24"/>
        </w:rPr>
        <w:t>80%</w:t>
      </w:r>
      <w:r>
        <w:rPr>
          <w:rFonts w:eastAsiaTheme="minorEastAsia" w:hAnsiTheme="minorEastAsia"/>
          <w:sz w:val="24"/>
        </w:rPr>
        <w:t>计，生活污水排放量为</w:t>
      </w:r>
      <w:r>
        <w:rPr>
          <w:rFonts w:eastAsiaTheme="minorEastAsia" w:hAnsiTheme="minorEastAsia"/>
          <w:sz w:val="24"/>
        </w:rPr>
        <w:t>0.</w:t>
      </w:r>
      <w:r>
        <w:rPr>
          <w:rFonts w:eastAsiaTheme="minorEastAsia" w:hAnsiTheme="minorEastAsia" w:hint="eastAsia"/>
          <w:sz w:val="24"/>
        </w:rPr>
        <w:t>96</w:t>
      </w:r>
      <w:r>
        <w:rPr>
          <w:rFonts w:eastAsiaTheme="minorEastAsia" w:hAnsiTheme="minorEastAsia"/>
          <w:sz w:val="24"/>
        </w:rPr>
        <w:t>t/d</w:t>
      </w:r>
      <w:r>
        <w:rPr>
          <w:rFonts w:eastAsiaTheme="minorEastAsia" w:hAnsiTheme="minorEastAsia"/>
          <w:sz w:val="24"/>
        </w:rPr>
        <w:t>，</w:t>
      </w:r>
      <w:r>
        <w:rPr>
          <w:rFonts w:eastAsiaTheme="minorEastAsia" w:hAnsiTheme="minorEastAsia" w:hint="eastAsia"/>
          <w:sz w:val="24"/>
        </w:rPr>
        <w:t>326.4</w:t>
      </w:r>
      <w:r>
        <w:rPr>
          <w:rFonts w:eastAsiaTheme="minorEastAsia" w:hAnsiTheme="minorEastAsia"/>
          <w:sz w:val="24"/>
        </w:rPr>
        <w:t>t/a</w:t>
      </w:r>
      <w:r>
        <w:rPr>
          <w:rFonts w:eastAsiaTheme="minorEastAsia" w:hAnsiTheme="minorEastAsia"/>
          <w:sz w:val="24"/>
        </w:rPr>
        <w:t>。</w:t>
      </w:r>
    </w:p>
    <w:p w14:paraId="1AAE549C" w14:textId="77777777" w:rsidR="00B14D53" w:rsidRDefault="00000000">
      <w:pPr>
        <w:pStyle w:val="NormalWeb1"/>
        <w:spacing w:line="360" w:lineRule="auto"/>
        <w:ind w:firstLineChars="200" w:firstLine="480"/>
        <w:jc w:val="both"/>
        <w:rPr>
          <w:rFonts w:ascii="Times New Roman"/>
          <w:color w:val="000000" w:themeColor="text1"/>
          <w:kern w:val="21"/>
          <w:szCs w:val="24"/>
        </w:rPr>
      </w:pPr>
      <w:r>
        <w:rPr>
          <w:rFonts w:ascii="Times New Roman"/>
          <w:color w:val="000000" w:themeColor="text1"/>
        </w:rPr>
        <w:t>综上，</w:t>
      </w:r>
      <w:r>
        <w:rPr>
          <w:rFonts w:ascii="Times New Roman" w:hint="eastAsia"/>
          <w:color w:val="000000" w:themeColor="text1"/>
        </w:rPr>
        <w:t>本项目全厂总排水量为</w:t>
      </w:r>
      <w:r>
        <w:rPr>
          <w:rFonts w:ascii="Times New Roman" w:hint="eastAsia"/>
          <w:color w:val="000000" w:themeColor="text1"/>
        </w:rPr>
        <w:t>79301.64</w:t>
      </w:r>
      <w:r>
        <w:rPr>
          <w:rFonts w:ascii="Times New Roman"/>
          <w:color w:val="000000" w:themeColor="text1"/>
        </w:rPr>
        <w:t>m</w:t>
      </w:r>
      <w:r>
        <w:rPr>
          <w:rFonts w:ascii="Times New Roman"/>
          <w:color w:val="000000" w:themeColor="text1"/>
          <w:vertAlign w:val="superscript"/>
        </w:rPr>
        <w:t>3</w:t>
      </w:r>
      <w:r>
        <w:rPr>
          <w:rFonts w:ascii="Times New Roman"/>
          <w:color w:val="000000" w:themeColor="text1"/>
        </w:rPr>
        <w:t>/a</w:t>
      </w:r>
      <w:r>
        <w:rPr>
          <w:rFonts w:ascii="Times New Roman"/>
          <w:color w:val="000000" w:themeColor="text1"/>
        </w:rPr>
        <w:t>（</w:t>
      </w:r>
      <w:r>
        <w:rPr>
          <w:rFonts w:ascii="Times New Roman" w:hint="eastAsia"/>
          <w:color w:val="000000" w:themeColor="text1"/>
        </w:rPr>
        <w:t>234.08</w:t>
      </w:r>
      <w:r>
        <w:rPr>
          <w:rFonts w:ascii="Times New Roman"/>
          <w:color w:val="000000" w:themeColor="text1"/>
        </w:rPr>
        <w:t>m</w:t>
      </w:r>
      <w:r>
        <w:rPr>
          <w:rFonts w:ascii="Times New Roman"/>
          <w:color w:val="000000" w:themeColor="text1"/>
          <w:vertAlign w:val="superscript"/>
        </w:rPr>
        <w:t>3</w:t>
      </w:r>
      <w:r>
        <w:rPr>
          <w:rFonts w:ascii="Times New Roman"/>
          <w:color w:val="000000" w:themeColor="text1"/>
        </w:rPr>
        <w:t>/d</w:t>
      </w:r>
      <w:r>
        <w:rPr>
          <w:rFonts w:ascii="Times New Roman"/>
          <w:color w:val="000000" w:themeColor="text1"/>
        </w:rPr>
        <w:t>）。</w:t>
      </w:r>
    </w:p>
    <w:p w14:paraId="2CF093CE" w14:textId="77777777" w:rsidR="00B14D53" w:rsidRDefault="00000000">
      <w:pPr>
        <w:jc w:val="center"/>
        <w:rPr>
          <w:b/>
          <w:bCs/>
        </w:rPr>
      </w:pPr>
      <w:bookmarkStart w:id="90" w:name="_Hlk479525778"/>
      <w:bookmarkEnd w:id="83"/>
      <w:r>
        <w:rPr>
          <w:rFonts w:hint="eastAsia"/>
          <w:b/>
          <w:bCs/>
        </w:rPr>
        <w:t>表</w:t>
      </w:r>
      <w:r>
        <w:rPr>
          <w:rFonts w:hint="eastAsia"/>
          <w:b/>
          <w:bCs/>
        </w:rPr>
        <w:t xml:space="preserve">3-1-6 </w:t>
      </w:r>
      <w:r>
        <w:rPr>
          <w:rFonts w:hint="eastAsia"/>
          <w:b/>
          <w:bCs/>
        </w:rPr>
        <w:t>项目废水排放情况一览表</w:t>
      </w:r>
    </w:p>
    <w:tbl>
      <w:tblPr>
        <w:tblW w:w="4971"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80"/>
        <w:gridCol w:w="1795"/>
        <w:gridCol w:w="1657"/>
        <w:gridCol w:w="2626"/>
      </w:tblGrid>
      <w:tr w:rsidR="00B14D53" w14:paraId="2849F4AB" w14:textId="77777777">
        <w:trPr>
          <w:trHeight w:val="316"/>
        </w:trPr>
        <w:tc>
          <w:tcPr>
            <w:tcW w:w="1319" w:type="pct"/>
            <w:vAlign w:val="center"/>
          </w:tcPr>
          <w:bookmarkEnd w:id="82"/>
          <w:bookmarkEnd w:id="90"/>
          <w:p w14:paraId="24631159" w14:textId="77777777" w:rsidR="00B14D53" w:rsidRDefault="00000000">
            <w:pPr>
              <w:pStyle w:val="afff2"/>
              <w:spacing w:line="240" w:lineRule="auto"/>
              <w:contextualSpacing/>
              <w:rPr>
                <w:rFonts w:eastAsiaTheme="minorEastAsia" w:hAnsi="Times New Roman"/>
                <w:b/>
                <w:bCs/>
                <w:snapToGrid w:val="0"/>
              </w:rPr>
            </w:pPr>
            <w:r>
              <w:rPr>
                <w:rFonts w:eastAsiaTheme="minorEastAsia"/>
                <w:b/>
                <w:bCs/>
                <w:snapToGrid w:val="0"/>
              </w:rPr>
              <w:t>项目</w:t>
            </w:r>
          </w:p>
        </w:tc>
        <w:tc>
          <w:tcPr>
            <w:tcW w:w="1087" w:type="pct"/>
            <w:vAlign w:val="center"/>
          </w:tcPr>
          <w:p w14:paraId="079D4247" w14:textId="77777777" w:rsidR="00B14D53" w:rsidRDefault="00000000">
            <w:pPr>
              <w:pStyle w:val="afff2"/>
              <w:spacing w:line="240" w:lineRule="auto"/>
              <w:contextualSpacing/>
              <w:rPr>
                <w:rFonts w:eastAsiaTheme="minorEastAsia" w:hAnsi="Times New Roman"/>
                <w:b/>
                <w:bCs/>
                <w:snapToGrid w:val="0"/>
              </w:rPr>
            </w:pPr>
            <w:r>
              <w:rPr>
                <w:rFonts w:eastAsiaTheme="minorEastAsia"/>
                <w:b/>
                <w:bCs/>
                <w:snapToGrid w:val="0"/>
              </w:rPr>
              <w:t>排水量</w:t>
            </w:r>
            <w:r>
              <w:rPr>
                <w:rFonts w:eastAsiaTheme="minorEastAsia" w:hAnsi="Times New Roman"/>
                <w:b/>
                <w:bCs/>
                <w:snapToGrid w:val="0"/>
              </w:rPr>
              <w:t>t/d</w:t>
            </w:r>
          </w:p>
        </w:tc>
        <w:tc>
          <w:tcPr>
            <w:tcW w:w="1003" w:type="pct"/>
            <w:vAlign w:val="center"/>
          </w:tcPr>
          <w:p w14:paraId="37044116" w14:textId="77777777" w:rsidR="00B14D53" w:rsidRDefault="00000000">
            <w:pPr>
              <w:pStyle w:val="afff2"/>
              <w:spacing w:line="240" w:lineRule="auto"/>
              <w:contextualSpacing/>
              <w:rPr>
                <w:rFonts w:eastAsiaTheme="minorEastAsia" w:hAnsi="Times New Roman"/>
                <w:b/>
                <w:bCs/>
                <w:snapToGrid w:val="0"/>
              </w:rPr>
            </w:pPr>
            <w:r>
              <w:rPr>
                <w:rFonts w:eastAsiaTheme="minorEastAsia"/>
                <w:b/>
                <w:bCs/>
                <w:snapToGrid w:val="0"/>
              </w:rPr>
              <w:t>排水量</w:t>
            </w:r>
            <w:r>
              <w:rPr>
                <w:rFonts w:eastAsiaTheme="minorEastAsia" w:hAnsi="Times New Roman"/>
                <w:b/>
                <w:bCs/>
                <w:snapToGrid w:val="0"/>
              </w:rPr>
              <w:t>t/a</w:t>
            </w:r>
          </w:p>
        </w:tc>
        <w:tc>
          <w:tcPr>
            <w:tcW w:w="1589" w:type="pct"/>
            <w:vAlign w:val="center"/>
          </w:tcPr>
          <w:p w14:paraId="3941B1AC" w14:textId="77777777" w:rsidR="00B14D53" w:rsidRDefault="00000000">
            <w:pPr>
              <w:pStyle w:val="afff2"/>
              <w:spacing w:line="240" w:lineRule="auto"/>
              <w:contextualSpacing/>
              <w:rPr>
                <w:rFonts w:eastAsiaTheme="minorEastAsia" w:hAnsi="Times New Roman"/>
                <w:b/>
                <w:bCs/>
                <w:snapToGrid w:val="0"/>
              </w:rPr>
            </w:pPr>
            <w:r>
              <w:rPr>
                <w:rFonts w:eastAsiaTheme="minorEastAsia"/>
                <w:b/>
                <w:bCs/>
                <w:snapToGrid w:val="0"/>
              </w:rPr>
              <w:t>备注</w:t>
            </w:r>
          </w:p>
        </w:tc>
      </w:tr>
      <w:tr w:rsidR="00B14D53" w14:paraId="0CAAFB6C" w14:textId="77777777">
        <w:trPr>
          <w:trHeight w:val="316"/>
        </w:trPr>
        <w:tc>
          <w:tcPr>
            <w:tcW w:w="1319" w:type="pct"/>
            <w:vAlign w:val="center"/>
          </w:tcPr>
          <w:p w14:paraId="383C0E27"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hint="eastAsia"/>
                <w:snapToGrid w:val="0"/>
                <w:szCs w:val="22"/>
              </w:rPr>
              <w:t>待宰圈冲洗废水</w:t>
            </w:r>
          </w:p>
        </w:tc>
        <w:tc>
          <w:tcPr>
            <w:tcW w:w="1843" w:type="dxa"/>
            <w:vAlign w:val="center"/>
          </w:tcPr>
          <w:p w14:paraId="72F7B353"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4.96</w:t>
            </w:r>
          </w:p>
        </w:tc>
        <w:tc>
          <w:tcPr>
            <w:tcW w:w="1701" w:type="dxa"/>
            <w:vAlign w:val="center"/>
          </w:tcPr>
          <w:p w14:paraId="23A76A18"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1685.44</w:t>
            </w:r>
          </w:p>
        </w:tc>
        <w:tc>
          <w:tcPr>
            <w:tcW w:w="1589" w:type="pct"/>
            <w:vAlign w:val="center"/>
          </w:tcPr>
          <w:p w14:paraId="689DE6C5" w14:textId="77777777" w:rsidR="00B14D53" w:rsidRDefault="00000000">
            <w:pPr>
              <w:contextualSpacing/>
              <w:jc w:val="center"/>
              <w:rPr>
                <w:rFonts w:eastAsiaTheme="minorEastAsia"/>
                <w:szCs w:val="21"/>
              </w:rPr>
            </w:pPr>
            <w:r>
              <w:rPr>
                <w:rFonts w:eastAsiaTheme="minorEastAsia"/>
                <w:szCs w:val="21"/>
              </w:rPr>
              <w:t>/</w:t>
            </w:r>
          </w:p>
        </w:tc>
      </w:tr>
      <w:tr w:rsidR="00B14D53" w14:paraId="4554FDCA" w14:textId="77777777">
        <w:trPr>
          <w:trHeight w:val="316"/>
        </w:trPr>
        <w:tc>
          <w:tcPr>
            <w:tcW w:w="1319" w:type="pct"/>
            <w:vAlign w:val="center"/>
          </w:tcPr>
          <w:p w14:paraId="167C0846"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hint="eastAsia"/>
                <w:snapToGrid w:val="0"/>
                <w:szCs w:val="22"/>
              </w:rPr>
              <w:t>屠宰废水</w:t>
            </w:r>
          </w:p>
        </w:tc>
        <w:tc>
          <w:tcPr>
            <w:tcW w:w="1843" w:type="dxa"/>
            <w:vAlign w:val="center"/>
          </w:tcPr>
          <w:p w14:paraId="2F561516"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225.88</w:t>
            </w:r>
          </w:p>
        </w:tc>
        <w:tc>
          <w:tcPr>
            <w:tcW w:w="1701" w:type="dxa"/>
            <w:vAlign w:val="center"/>
          </w:tcPr>
          <w:p w14:paraId="1473B48D"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76800</w:t>
            </w:r>
          </w:p>
        </w:tc>
        <w:tc>
          <w:tcPr>
            <w:tcW w:w="1589" w:type="pct"/>
            <w:vAlign w:val="center"/>
          </w:tcPr>
          <w:p w14:paraId="35E24A9B"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int="eastAsia"/>
                <w:snapToGrid w:val="0"/>
                <w:szCs w:val="22"/>
              </w:rPr>
              <w:t>冬季不冲洗</w:t>
            </w:r>
          </w:p>
        </w:tc>
      </w:tr>
      <w:tr w:rsidR="00B14D53" w14:paraId="3E5A66A4" w14:textId="77777777">
        <w:trPr>
          <w:trHeight w:val="316"/>
        </w:trPr>
        <w:tc>
          <w:tcPr>
            <w:tcW w:w="1319" w:type="pct"/>
            <w:vAlign w:val="center"/>
          </w:tcPr>
          <w:p w14:paraId="68991448" w14:textId="77777777" w:rsidR="00B14D53" w:rsidRDefault="00000000">
            <w:pPr>
              <w:pStyle w:val="afff2"/>
              <w:spacing w:line="240" w:lineRule="auto"/>
              <w:contextualSpacing/>
              <w:rPr>
                <w:rFonts w:eastAsiaTheme="minorEastAsia" w:hint="eastAsia"/>
                <w:snapToGrid w:val="0"/>
              </w:rPr>
            </w:pPr>
            <w:r>
              <w:rPr>
                <w:rFonts w:eastAsiaTheme="minorEastAsia" w:hint="eastAsia"/>
                <w:snapToGrid w:val="0"/>
                <w:szCs w:val="22"/>
              </w:rPr>
              <w:t>电蒸气发生器排水</w:t>
            </w:r>
          </w:p>
        </w:tc>
        <w:tc>
          <w:tcPr>
            <w:tcW w:w="1843" w:type="dxa"/>
            <w:vAlign w:val="center"/>
          </w:tcPr>
          <w:p w14:paraId="53AC0F8E"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0.50</w:t>
            </w:r>
          </w:p>
        </w:tc>
        <w:tc>
          <w:tcPr>
            <w:tcW w:w="1701" w:type="dxa"/>
            <w:vAlign w:val="center"/>
          </w:tcPr>
          <w:p w14:paraId="0ADDAF07"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169.8</w:t>
            </w:r>
          </w:p>
        </w:tc>
        <w:tc>
          <w:tcPr>
            <w:tcW w:w="1589" w:type="pct"/>
            <w:vAlign w:val="center"/>
          </w:tcPr>
          <w:p w14:paraId="75905D5B"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w:t>
            </w:r>
          </w:p>
        </w:tc>
      </w:tr>
      <w:tr w:rsidR="00B14D53" w14:paraId="6127C90C" w14:textId="77777777">
        <w:trPr>
          <w:trHeight w:val="316"/>
        </w:trPr>
        <w:tc>
          <w:tcPr>
            <w:tcW w:w="1319" w:type="pct"/>
            <w:vAlign w:val="center"/>
          </w:tcPr>
          <w:p w14:paraId="2D2081B6" w14:textId="77777777" w:rsidR="00B14D53" w:rsidRDefault="00000000">
            <w:pPr>
              <w:pStyle w:val="afff2"/>
              <w:spacing w:line="240" w:lineRule="auto"/>
              <w:contextualSpacing/>
              <w:rPr>
                <w:rFonts w:eastAsiaTheme="minorEastAsia" w:hAnsi="Times New Roman"/>
                <w:snapToGrid w:val="0"/>
              </w:rPr>
            </w:pPr>
            <w:r>
              <w:rPr>
                <w:rFonts w:eastAsiaTheme="minorEastAsia" w:hint="eastAsia"/>
                <w:snapToGrid w:val="0"/>
                <w:szCs w:val="22"/>
              </w:rPr>
              <w:t>车辆冲洗废水</w:t>
            </w:r>
          </w:p>
        </w:tc>
        <w:tc>
          <w:tcPr>
            <w:tcW w:w="1843" w:type="dxa"/>
            <w:vAlign w:val="center"/>
          </w:tcPr>
          <w:p w14:paraId="531CFEAE"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1.78</w:t>
            </w:r>
          </w:p>
        </w:tc>
        <w:tc>
          <w:tcPr>
            <w:tcW w:w="1701" w:type="dxa"/>
            <w:vAlign w:val="center"/>
          </w:tcPr>
          <w:p w14:paraId="1A6331B4"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320</w:t>
            </w:r>
          </w:p>
        </w:tc>
        <w:tc>
          <w:tcPr>
            <w:tcW w:w="1589" w:type="pct"/>
            <w:vAlign w:val="center"/>
          </w:tcPr>
          <w:p w14:paraId="6A768DB8" w14:textId="77777777" w:rsidR="00B14D53" w:rsidRDefault="00000000">
            <w:pPr>
              <w:widowControl/>
              <w:jc w:val="center"/>
              <w:textAlignment w:val="center"/>
              <w:rPr>
                <w:rFonts w:eastAsiaTheme="minorEastAsia"/>
                <w:kern w:val="0"/>
                <w:szCs w:val="21"/>
              </w:rPr>
            </w:pPr>
            <w:r>
              <w:rPr>
                <w:rFonts w:eastAsiaTheme="minorEastAsia"/>
                <w:kern w:val="0"/>
                <w:szCs w:val="21"/>
              </w:rPr>
              <w:t>/</w:t>
            </w:r>
          </w:p>
        </w:tc>
      </w:tr>
      <w:tr w:rsidR="00B14D53" w14:paraId="753A37DA" w14:textId="77777777">
        <w:trPr>
          <w:trHeight w:val="316"/>
        </w:trPr>
        <w:tc>
          <w:tcPr>
            <w:tcW w:w="1319" w:type="pct"/>
            <w:vAlign w:val="center"/>
          </w:tcPr>
          <w:p w14:paraId="4E58BF34" w14:textId="77777777" w:rsidR="00B14D53" w:rsidRDefault="00000000">
            <w:pPr>
              <w:pStyle w:val="afff2"/>
              <w:spacing w:line="240" w:lineRule="auto"/>
              <w:contextualSpacing/>
              <w:rPr>
                <w:rFonts w:eastAsiaTheme="minorEastAsia" w:hint="eastAsia"/>
                <w:snapToGrid w:val="0"/>
              </w:rPr>
            </w:pPr>
            <w:r>
              <w:rPr>
                <w:rFonts w:eastAsiaTheme="minorEastAsia"/>
                <w:snapToGrid w:val="0"/>
                <w:szCs w:val="22"/>
              </w:rPr>
              <w:t>员工生活污水</w:t>
            </w:r>
          </w:p>
        </w:tc>
        <w:tc>
          <w:tcPr>
            <w:tcW w:w="1843" w:type="dxa"/>
            <w:vAlign w:val="center"/>
          </w:tcPr>
          <w:p w14:paraId="3DAC12AB"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0.96</w:t>
            </w:r>
          </w:p>
        </w:tc>
        <w:tc>
          <w:tcPr>
            <w:tcW w:w="1701" w:type="dxa"/>
            <w:vAlign w:val="center"/>
          </w:tcPr>
          <w:p w14:paraId="0D550FBA"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326.4</w:t>
            </w:r>
          </w:p>
        </w:tc>
        <w:tc>
          <w:tcPr>
            <w:tcW w:w="1589" w:type="pct"/>
            <w:vAlign w:val="center"/>
          </w:tcPr>
          <w:p w14:paraId="134911BD" w14:textId="77777777" w:rsidR="00B14D53" w:rsidRDefault="00B14D53">
            <w:pPr>
              <w:widowControl/>
              <w:jc w:val="center"/>
              <w:textAlignment w:val="center"/>
              <w:rPr>
                <w:rFonts w:eastAsiaTheme="minorEastAsia"/>
                <w:kern w:val="0"/>
                <w:szCs w:val="21"/>
              </w:rPr>
            </w:pPr>
          </w:p>
        </w:tc>
      </w:tr>
      <w:tr w:rsidR="00B14D53" w14:paraId="1B0BC7B8" w14:textId="77777777">
        <w:trPr>
          <w:trHeight w:val="316"/>
        </w:trPr>
        <w:tc>
          <w:tcPr>
            <w:tcW w:w="1319" w:type="pct"/>
            <w:vAlign w:val="center"/>
          </w:tcPr>
          <w:p w14:paraId="557DAF3D" w14:textId="77777777" w:rsidR="00B14D53" w:rsidRDefault="00000000">
            <w:pPr>
              <w:pStyle w:val="afff2"/>
              <w:spacing w:line="240" w:lineRule="auto"/>
              <w:contextualSpacing/>
              <w:rPr>
                <w:rFonts w:eastAsiaTheme="minorEastAsia" w:hAnsi="Times New Roman"/>
                <w:snapToGrid w:val="0"/>
              </w:rPr>
            </w:pPr>
            <w:r>
              <w:rPr>
                <w:rFonts w:eastAsiaTheme="minorEastAsia"/>
                <w:snapToGrid w:val="0"/>
              </w:rPr>
              <w:t>总计</w:t>
            </w:r>
          </w:p>
        </w:tc>
        <w:tc>
          <w:tcPr>
            <w:tcW w:w="1843" w:type="dxa"/>
            <w:vAlign w:val="center"/>
          </w:tcPr>
          <w:p w14:paraId="51B8998A"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234.08</w:t>
            </w:r>
          </w:p>
        </w:tc>
        <w:tc>
          <w:tcPr>
            <w:tcW w:w="1701" w:type="dxa"/>
            <w:vAlign w:val="center"/>
          </w:tcPr>
          <w:p w14:paraId="31E72FEE" w14:textId="77777777" w:rsidR="00B14D53" w:rsidRDefault="00000000">
            <w:pPr>
              <w:pStyle w:val="afff2"/>
              <w:spacing w:line="240" w:lineRule="auto"/>
              <w:contextualSpacing/>
              <w:rPr>
                <w:rFonts w:eastAsiaTheme="minorEastAsia" w:hint="eastAsia"/>
                <w:snapToGrid w:val="0"/>
                <w:szCs w:val="22"/>
              </w:rPr>
            </w:pPr>
            <w:r>
              <w:rPr>
                <w:rFonts w:eastAsiaTheme="minorEastAsia" w:hint="eastAsia"/>
                <w:snapToGrid w:val="0"/>
                <w:szCs w:val="22"/>
              </w:rPr>
              <w:t>79301.64</w:t>
            </w:r>
          </w:p>
        </w:tc>
        <w:tc>
          <w:tcPr>
            <w:tcW w:w="1589" w:type="pct"/>
            <w:vAlign w:val="center"/>
          </w:tcPr>
          <w:p w14:paraId="0D268D6A" w14:textId="77777777" w:rsidR="00B14D53" w:rsidRDefault="00000000">
            <w:pPr>
              <w:pStyle w:val="afff2"/>
              <w:spacing w:line="240" w:lineRule="auto"/>
              <w:contextualSpacing/>
              <w:rPr>
                <w:rFonts w:eastAsiaTheme="minorEastAsia" w:hAnsi="Times New Roman"/>
                <w:snapToGrid w:val="0"/>
                <w:szCs w:val="22"/>
              </w:rPr>
            </w:pPr>
            <w:r>
              <w:rPr>
                <w:rFonts w:eastAsiaTheme="minorEastAsia" w:hAnsi="Times New Roman"/>
                <w:snapToGrid w:val="0"/>
                <w:szCs w:val="22"/>
              </w:rPr>
              <w:t>/</w:t>
            </w:r>
          </w:p>
        </w:tc>
      </w:tr>
    </w:tbl>
    <w:p w14:paraId="2DF997C4" w14:textId="77777777" w:rsidR="00B14D53" w:rsidRDefault="00000000">
      <w:pPr>
        <w:spacing w:line="360" w:lineRule="auto"/>
        <w:contextualSpacing/>
        <w:jc w:val="center"/>
        <w:rPr>
          <w:rFonts w:eastAsiaTheme="minorEastAsia"/>
        </w:rPr>
      </w:pPr>
      <w:r>
        <w:rPr>
          <w:rFonts w:eastAsiaTheme="minorEastAsia"/>
          <w:b/>
          <w:noProof/>
          <w:snapToGrid w:val="0"/>
          <w:kern w:val="0"/>
          <w:szCs w:val="21"/>
        </w:rPr>
        <mc:AlternateContent>
          <mc:Choice Requires="wpc">
            <w:drawing>
              <wp:inline distT="0" distB="0" distL="0" distR="0" wp14:anchorId="24064C94" wp14:editId="20B481E4">
                <wp:extent cx="5412740" cy="4321175"/>
                <wp:effectExtent l="4445" t="4445" r="12065" b="17780"/>
                <wp:docPr id="1907" name="画布 19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a:solidFill>
                            <a:schemeClr val="tx1"/>
                          </a:solidFill>
                        </a:ln>
                      </wpc:whole>
                      <wps:wsp>
                        <wps:cNvPr id="128" name="Text Box 1910"/>
                        <wps:cNvSpPr txBox="1">
                          <a:spLocks noChangeArrowheads="1"/>
                        </wps:cNvSpPr>
                        <wps:spPr bwMode="auto">
                          <a:xfrm>
                            <a:off x="229235" y="1642745"/>
                            <a:ext cx="610235" cy="305435"/>
                          </a:xfrm>
                          <a:prstGeom prst="rect">
                            <a:avLst/>
                          </a:prstGeom>
                          <a:solidFill>
                            <a:srgbClr val="FFFFFF"/>
                          </a:solidFill>
                          <a:ln>
                            <a:noFill/>
                          </a:ln>
                        </wps:spPr>
                        <wps:txbx>
                          <w:txbxContent>
                            <w:p w14:paraId="553D0D03" w14:textId="77777777" w:rsidR="00B14D53" w:rsidRDefault="00000000">
                              <w:pPr>
                                <w:spacing w:line="240" w:lineRule="atLeast"/>
                                <w:contextualSpacing/>
                              </w:pPr>
                              <w:r>
                                <w:rPr>
                                  <w:rFonts w:hint="eastAsia"/>
                                  <w:snapToGrid w:val="0"/>
                                  <w:szCs w:val="22"/>
                                </w:rPr>
                                <w:t>295.07</w:t>
                              </w:r>
                            </w:p>
                          </w:txbxContent>
                        </wps:txbx>
                        <wps:bodyPr rot="0" vert="horz" wrap="square" lIns="91440" tIns="45720" rIns="91440" bIns="45720" anchor="t" anchorCtr="0" upright="1">
                          <a:noAutofit/>
                        </wps:bodyPr>
                      </wps:wsp>
                      <wps:wsp>
                        <wps:cNvPr id="132" name="Text Box 1914"/>
                        <wps:cNvSpPr txBox="1">
                          <a:spLocks noChangeArrowheads="1"/>
                        </wps:cNvSpPr>
                        <wps:spPr bwMode="auto">
                          <a:xfrm>
                            <a:off x="768985" y="1892300"/>
                            <a:ext cx="500380" cy="297180"/>
                          </a:xfrm>
                          <a:prstGeom prst="rect">
                            <a:avLst/>
                          </a:prstGeom>
                          <a:solidFill>
                            <a:srgbClr val="FFFFFF"/>
                          </a:solidFill>
                          <a:ln>
                            <a:noFill/>
                          </a:ln>
                        </wps:spPr>
                        <wps:txbx>
                          <w:txbxContent>
                            <w:p w14:paraId="1AF4EBB6" w14:textId="77777777" w:rsidR="00B14D53" w:rsidRDefault="00000000">
                              <w:pPr>
                                <w:spacing w:line="240" w:lineRule="atLeast"/>
                                <w:contextualSpacing/>
                              </w:pPr>
                              <w:r>
                                <w:rPr>
                                  <w:rFonts w:hint="eastAsia"/>
                                </w:rPr>
                                <w:t>4.59</w:t>
                              </w:r>
                            </w:p>
                          </w:txbxContent>
                        </wps:txbx>
                        <wps:bodyPr rot="0" vert="horz" wrap="square" lIns="91440" tIns="45720" rIns="91440" bIns="45720" anchor="t" anchorCtr="0" upright="1">
                          <a:noAutofit/>
                        </wps:bodyPr>
                      </wps:wsp>
                      <wps:wsp>
                        <wps:cNvPr id="134" name="Text Box 1917"/>
                        <wps:cNvSpPr txBox="1">
                          <a:spLocks noChangeArrowheads="1"/>
                        </wps:cNvSpPr>
                        <wps:spPr bwMode="auto">
                          <a:xfrm>
                            <a:off x="1367155" y="1350645"/>
                            <a:ext cx="1193800" cy="297180"/>
                          </a:xfrm>
                          <a:prstGeom prst="rect">
                            <a:avLst/>
                          </a:prstGeom>
                          <a:solidFill>
                            <a:srgbClr val="FFFFFF"/>
                          </a:solidFill>
                          <a:ln w="9525">
                            <a:solidFill>
                              <a:srgbClr val="000000"/>
                            </a:solidFill>
                            <a:miter lim="800000"/>
                          </a:ln>
                        </wps:spPr>
                        <wps:txbx>
                          <w:txbxContent>
                            <w:p w14:paraId="3D0DBB7B" w14:textId="77777777" w:rsidR="00B14D53" w:rsidRDefault="00000000">
                              <w:pPr>
                                <w:spacing w:line="240" w:lineRule="atLeast"/>
                                <w:contextualSpacing/>
                                <w:jc w:val="center"/>
                              </w:pPr>
                              <w:r>
                                <w:rPr>
                                  <w:rFonts w:hint="eastAsia"/>
                                </w:rPr>
                                <w:t>屠宰用水</w:t>
                              </w:r>
                            </w:p>
                          </w:txbxContent>
                        </wps:txbx>
                        <wps:bodyPr rot="0" vert="horz" wrap="square" lIns="91440" tIns="45720" rIns="91440" bIns="45720" anchor="t" anchorCtr="0" upright="1">
                          <a:noAutofit/>
                        </wps:bodyPr>
                      </wps:wsp>
                      <wps:wsp>
                        <wps:cNvPr id="135" name="Text Box 1918"/>
                        <wps:cNvSpPr txBox="1">
                          <a:spLocks noChangeArrowheads="1"/>
                        </wps:cNvSpPr>
                        <wps:spPr bwMode="auto">
                          <a:xfrm>
                            <a:off x="1343025" y="639445"/>
                            <a:ext cx="1238250" cy="297180"/>
                          </a:xfrm>
                          <a:prstGeom prst="rect">
                            <a:avLst/>
                          </a:prstGeom>
                          <a:solidFill>
                            <a:srgbClr val="FFFFFF"/>
                          </a:solidFill>
                          <a:ln w="9525">
                            <a:solidFill>
                              <a:srgbClr val="000000"/>
                            </a:solidFill>
                            <a:miter lim="800000"/>
                          </a:ln>
                        </wps:spPr>
                        <wps:txbx>
                          <w:txbxContent>
                            <w:p w14:paraId="2FDA1A50" w14:textId="77777777" w:rsidR="00B14D53" w:rsidRDefault="00000000">
                              <w:pPr>
                                <w:spacing w:line="240" w:lineRule="atLeast"/>
                                <w:contextualSpacing/>
                                <w:jc w:val="center"/>
                              </w:pPr>
                              <w:r>
                                <w:rPr>
                                  <w:rFonts w:hint="eastAsia"/>
                                </w:rPr>
                                <w:t>待宰圈冲洗用水</w:t>
                              </w:r>
                            </w:p>
                          </w:txbxContent>
                        </wps:txbx>
                        <wps:bodyPr rot="0" vert="horz" wrap="square" lIns="91440" tIns="45720" rIns="91440" bIns="45720" anchor="t" anchorCtr="0" upright="1">
                          <a:noAutofit/>
                        </wps:bodyPr>
                      </wps:wsp>
                      <wps:wsp>
                        <wps:cNvPr id="136" name="Line 1919"/>
                        <wps:cNvCnPr>
                          <a:cxnSpLocks noChangeShapeType="1"/>
                        </wps:cNvCnPr>
                        <wps:spPr bwMode="auto">
                          <a:xfrm flipV="1">
                            <a:off x="287655" y="1877060"/>
                            <a:ext cx="501650" cy="2540"/>
                          </a:xfrm>
                          <a:prstGeom prst="line">
                            <a:avLst/>
                          </a:prstGeom>
                          <a:noFill/>
                          <a:ln w="9525">
                            <a:solidFill>
                              <a:srgbClr val="000000"/>
                            </a:solidFill>
                            <a:round/>
                            <a:tailEnd type="triangle" w="med" len="med"/>
                          </a:ln>
                        </wps:spPr>
                        <wps:bodyPr/>
                      </wps:wsp>
                      <wps:wsp>
                        <wps:cNvPr id="137" name="Line 1920"/>
                        <wps:cNvCnPr>
                          <a:cxnSpLocks noChangeShapeType="1"/>
                        </wps:cNvCnPr>
                        <wps:spPr bwMode="auto">
                          <a:xfrm>
                            <a:off x="776605" y="804545"/>
                            <a:ext cx="5080" cy="3260090"/>
                          </a:xfrm>
                          <a:prstGeom prst="line">
                            <a:avLst/>
                          </a:prstGeom>
                          <a:noFill/>
                          <a:ln w="9525">
                            <a:solidFill>
                              <a:srgbClr val="000000"/>
                            </a:solidFill>
                            <a:round/>
                          </a:ln>
                        </wps:spPr>
                        <wps:bodyPr/>
                      </wps:wsp>
                      <wps:wsp>
                        <wps:cNvPr id="138" name="Line 1921"/>
                        <wps:cNvCnPr>
                          <a:cxnSpLocks noChangeShapeType="1"/>
                        </wps:cNvCnPr>
                        <wps:spPr bwMode="auto">
                          <a:xfrm>
                            <a:off x="779145" y="2137410"/>
                            <a:ext cx="504190" cy="635"/>
                          </a:xfrm>
                          <a:prstGeom prst="line">
                            <a:avLst/>
                          </a:prstGeom>
                          <a:noFill/>
                          <a:ln w="9525">
                            <a:solidFill>
                              <a:srgbClr val="000000"/>
                            </a:solidFill>
                            <a:round/>
                            <a:tailEnd type="triangle" w="med" len="med"/>
                          </a:ln>
                        </wps:spPr>
                        <wps:bodyPr/>
                      </wps:wsp>
                      <wps:wsp>
                        <wps:cNvPr id="142" name="Line 1925"/>
                        <wps:cNvCnPr>
                          <a:cxnSpLocks noChangeShapeType="1"/>
                        </wps:cNvCnPr>
                        <wps:spPr bwMode="auto">
                          <a:xfrm flipV="1">
                            <a:off x="783590" y="1507490"/>
                            <a:ext cx="582930" cy="1905"/>
                          </a:xfrm>
                          <a:prstGeom prst="line">
                            <a:avLst/>
                          </a:prstGeom>
                          <a:noFill/>
                          <a:ln w="9525">
                            <a:solidFill>
                              <a:srgbClr val="000000"/>
                            </a:solidFill>
                            <a:round/>
                            <a:tailEnd type="triangle" w="med" len="med"/>
                          </a:ln>
                        </wps:spPr>
                        <wps:bodyPr/>
                      </wps:wsp>
                      <wps:wsp>
                        <wps:cNvPr id="144" name="Text Box 1927"/>
                        <wps:cNvSpPr txBox="1">
                          <a:spLocks noChangeArrowheads="1"/>
                        </wps:cNvSpPr>
                        <wps:spPr bwMode="auto">
                          <a:xfrm>
                            <a:off x="1289050" y="3914775"/>
                            <a:ext cx="1017905" cy="297180"/>
                          </a:xfrm>
                          <a:prstGeom prst="rect">
                            <a:avLst/>
                          </a:prstGeom>
                          <a:solidFill>
                            <a:srgbClr val="FFFFFF"/>
                          </a:solidFill>
                          <a:ln w="9525">
                            <a:solidFill>
                              <a:srgbClr val="000000"/>
                            </a:solidFill>
                            <a:miter lim="800000"/>
                          </a:ln>
                        </wps:spPr>
                        <wps:txbx>
                          <w:txbxContent>
                            <w:p w14:paraId="1ECE8A16" w14:textId="77777777" w:rsidR="00B14D53" w:rsidRDefault="00000000">
                              <w:pPr>
                                <w:spacing w:line="240" w:lineRule="atLeast"/>
                                <w:contextualSpacing/>
                                <w:jc w:val="center"/>
                              </w:pPr>
                              <w:r>
                                <w:rPr>
                                  <w:rFonts w:hint="eastAsia"/>
                                </w:rPr>
                                <w:t>生活用水</w:t>
                              </w:r>
                            </w:p>
                            <w:p w14:paraId="74942EE1" w14:textId="77777777" w:rsidR="00B14D53" w:rsidRDefault="00B14D53">
                              <w:pPr>
                                <w:spacing w:line="240" w:lineRule="atLeast"/>
                                <w:contextualSpacing/>
                              </w:pPr>
                            </w:p>
                          </w:txbxContent>
                        </wps:txbx>
                        <wps:bodyPr rot="0" vert="horz" wrap="square" lIns="91440" tIns="45720" rIns="91440" bIns="45720" anchor="t" anchorCtr="0" upright="1">
                          <a:noAutofit/>
                        </wps:bodyPr>
                      </wps:wsp>
                      <wps:wsp>
                        <wps:cNvPr id="150" name="Text Box 1933"/>
                        <wps:cNvSpPr txBox="1">
                          <a:spLocks noChangeArrowheads="1"/>
                        </wps:cNvSpPr>
                        <wps:spPr bwMode="auto">
                          <a:xfrm>
                            <a:off x="0" y="1501775"/>
                            <a:ext cx="318135" cy="655955"/>
                          </a:xfrm>
                          <a:prstGeom prst="rect">
                            <a:avLst/>
                          </a:prstGeom>
                          <a:noFill/>
                          <a:ln>
                            <a:noFill/>
                          </a:ln>
                        </wps:spPr>
                        <wps:txbx>
                          <w:txbxContent>
                            <w:p w14:paraId="269C7699" w14:textId="77777777" w:rsidR="00B14D53" w:rsidRDefault="00000000">
                              <w:pPr>
                                <w:spacing w:line="240" w:lineRule="atLeast"/>
                                <w:contextualSpacing/>
                                <w:jc w:val="center"/>
                              </w:pPr>
                              <w:r>
                                <w:rPr>
                                  <w:rFonts w:hint="eastAsia"/>
                                </w:rPr>
                                <w:t>新鲜水</w:t>
                              </w:r>
                            </w:p>
                          </w:txbxContent>
                        </wps:txbx>
                        <wps:bodyPr rot="0" vert="horz" wrap="square" lIns="91440" tIns="45720" rIns="91440" bIns="45720" anchor="t" anchorCtr="0" upright="1">
                          <a:noAutofit/>
                        </wps:bodyPr>
                      </wps:wsp>
                      <wps:wsp>
                        <wps:cNvPr id="158" name="Text Box 1943"/>
                        <wps:cNvSpPr txBox="1">
                          <a:spLocks noChangeArrowheads="1"/>
                        </wps:cNvSpPr>
                        <wps:spPr bwMode="auto">
                          <a:xfrm>
                            <a:off x="751840" y="1267460"/>
                            <a:ext cx="619125" cy="297815"/>
                          </a:xfrm>
                          <a:prstGeom prst="rect">
                            <a:avLst/>
                          </a:prstGeom>
                          <a:noFill/>
                          <a:ln>
                            <a:noFill/>
                          </a:ln>
                        </wps:spPr>
                        <wps:txbx>
                          <w:txbxContent>
                            <w:p w14:paraId="227ACA7B" w14:textId="77777777" w:rsidR="00B14D53" w:rsidRDefault="00000000">
                              <w:pPr>
                                <w:spacing w:line="240" w:lineRule="atLeast"/>
                                <w:contextualSpacing/>
                                <w:jc w:val="center"/>
                              </w:pPr>
                              <w:r>
                                <w:rPr>
                                  <w:rFonts w:hint="eastAsia"/>
                                </w:rPr>
                                <w:t>282.35</w:t>
                              </w:r>
                            </w:p>
                          </w:txbxContent>
                        </wps:txbx>
                        <wps:bodyPr rot="0" vert="horz" wrap="square" lIns="91440" tIns="45720" rIns="91440" bIns="45720" anchor="t" anchorCtr="0" upright="1">
                          <a:noAutofit/>
                        </wps:bodyPr>
                      </wps:wsp>
                      <wps:wsp>
                        <wps:cNvPr id="174" name="Text Box 1958"/>
                        <wps:cNvSpPr txBox="1">
                          <a:spLocks noChangeArrowheads="1"/>
                        </wps:cNvSpPr>
                        <wps:spPr bwMode="auto">
                          <a:xfrm>
                            <a:off x="1473835" y="2667000"/>
                            <a:ext cx="589915" cy="297815"/>
                          </a:xfrm>
                          <a:prstGeom prst="rect">
                            <a:avLst/>
                          </a:prstGeom>
                          <a:noFill/>
                          <a:ln>
                            <a:noFill/>
                          </a:ln>
                        </wps:spPr>
                        <wps:txbx>
                          <w:txbxContent>
                            <w:p w14:paraId="06435030" w14:textId="77777777" w:rsidR="00B14D53" w:rsidRDefault="00000000">
                              <w:pPr>
                                <w:spacing w:line="240" w:lineRule="atLeast"/>
                                <w:contextualSpacing/>
                                <w:jc w:val="center"/>
                              </w:pPr>
                              <w:r>
                                <w:rPr>
                                  <w:rFonts w:hint="eastAsia"/>
                                </w:rPr>
                                <w:t>损耗</w:t>
                              </w:r>
                            </w:p>
                          </w:txbxContent>
                        </wps:txbx>
                        <wps:bodyPr rot="0" vert="horz" wrap="square" lIns="91440" tIns="45720" rIns="91440" bIns="45720" anchor="t" anchorCtr="0" upright="1">
                          <a:noAutofit/>
                        </wps:bodyPr>
                      </wps:wsp>
                      <wps:wsp>
                        <wps:cNvPr id="175" name="AutoShape 1959"/>
                        <wps:cNvCnPr>
                          <a:cxnSpLocks noChangeShapeType="1"/>
                        </wps:cNvCnPr>
                        <wps:spPr bwMode="auto">
                          <a:xfrm flipV="1">
                            <a:off x="782320" y="3281680"/>
                            <a:ext cx="499745" cy="635"/>
                          </a:xfrm>
                          <a:prstGeom prst="straightConnector1">
                            <a:avLst/>
                          </a:prstGeom>
                          <a:noFill/>
                          <a:ln w="9525">
                            <a:solidFill>
                              <a:srgbClr val="000000"/>
                            </a:solidFill>
                            <a:round/>
                            <a:tailEnd type="triangle" w="med" len="med"/>
                          </a:ln>
                        </wps:spPr>
                        <wps:bodyPr/>
                      </wps:wsp>
                      <wps:wsp>
                        <wps:cNvPr id="25" name="Text Box 1918"/>
                        <wps:cNvSpPr txBox="1">
                          <a:spLocks noChangeArrowheads="1"/>
                        </wps:cNvSpPr>
                        <wps:spPr bwMode="auto">
                          <a:xfrm>
                            <a:off x="751840" y="125730"/>
                            <a:ext cx="529590" cy="281305"/>
                          </a:xfrm>
                          <a:prstGeom prst="rect">
                            <a:avLst/>
                          </a:prstGeom>
                          <a:solidFill>
                            <a:srgbClr val="FFFFFF"/>
                          </a:solidFill>
                          <a:ln w="9525">
                            <a:noFill/>
                            <a:miter lim="800000"/>
                          </a:ln>
                        </wps:spPr>
                        <wps:txbx>
                          <w:txbxContent>
                            <w:p w14:paraId="3298C1C4" w14:textId="77777777" w:rsidR="00B14D53" w:rsidRDefault="00000000">
                              <w:pPr>
                                <w:spacing w:line="240" w:lineRule="atLeast"/>
                                <w:contextualSpacing/>
                              </w:pPr>
                              <w:r>
                                <w:rPr>
                                  <w:rFonts w:hint="eastAsia"/>
                                </w:rPr>
                                <w:t>尿液</w:t>
                              </w:r>
                            </w:p>
                          </w:txbxContent>
                        </wps:txbx>
                        <wps:bodyPr rot="0" vert="horz" wrap="square" lIns="91440" tIns="45720" rIns="91440" bIns="45720" anchor="t" anchorCtr="0" upright="1">
                          <a:noAutofit/>
                        </wps:bodyPr>
                      </wps:wsp>
                      <wps:wsp>
                        <wps:cNvPr id="71" name="Text Box 1916"/>
                        <wps:cNvSpPr txBox="1">
                          <a:spLocks noChangeArrowheads="1"/>
                        </wps:cNvSpPr>
                        <wps:spPr bwMode="auto">
                          <a:xfrm>
                            <a:off x="1710055" y="144145"/>
                            <a:ext cx="508635" cy="297815"/>
                          </a:xfrm>
                          <a:prstGeom prst="rect">
                            <a:avLst/>
                          </a:prstGeom>
                          <a:noFill/>
                          <a:ln>
                            <a:noFill/>
                          </a:ln>
                        </wps:spPr>
                        <wps:txbx>
                          <w:txbxContent>
                            <w:p w14:paraId="3CBDBBE0" w14:textId="77777777" w:rsidR="00B14D53" w:rsidRDefault="00000000">
                              <w:pPr>
                                <w:spacing w:line="240" w:lineRule="atLeast"/>
                                <w:contextualSpacing/>
                                <w:jc w:val="center"/>
                              </w:pPr>
                              <w:r>
                                <w:rPr>
                                  <w:rFonts w:hint="eastAsia"/>
                                </w:rPr>
                                <w:t>损耗</w:t>
                              </w:r>
                            </w:p>
                          </w:txbxContent>
                        </wps:txbx>
                        <wps:bodyPr rot="0" vert="horz" wrap="square" lIns="91440" tIns="45720" rIns="91440" bIns="45720" anchor="t" anchorCtr="0" upright="1">
                          <a:noAutofit/>
                        </wps:bodyPr>
                      </wps:wsp>
                      <wps:wsp>
                        <wps:cNvPr id="149" name="Line 1924"/>
                        <wps:cNvCnPr>
                          <a:cxnSpLocks noChangeShapeType="1"/>
                        </wps:cNvCnPr>
                        <wps:spPr bwMode="auto">
                          <a:xfrm flipV="1">
                            <a:off x="2583180" y="797560"/>
                            <a:ext cx="1658620" cy="1270"/>
                          </a:xfrm>
                          <a:prstGeom prst="line">
                            <a:avLst/>
                          </a:prstGeom>
                          <a:noFill/>
                          <a:ln w="9525">
                            <a:solidFill>
                              <a:srgbClr val="000000"/>
                            </a:solidFill>
                            <a:round/>
                            <a:tailEnd type="triangle" w="med" len="med"/>
                          </a:ln>
                        </wps:spPr>
                        <wps:bodyPr/>
                      </wps:wsp>
                      <wps:wsp>
                        <wps:cNvPr id="159" name="Line 1924"/>
                        <wps:cNvCnPr>
                          <a:cxnSpLocks noChangeShapeType="1"/>
                        </wps:cNvCnPr>
                        <wps:spPr bwMode="auto">
                          <a:xfrm flipV="1">
                            <a:off x="782320" y="800735"/>
                            <a:ext cx="560705" cy="8255"/>
                          </a:xfrm>
                          <a:prstGeom prst="line">
                            <a:avLst/>
                          </a:prstGeom>
                          <a:noFill/>
                          <a:ln w="9525">
                            <a:solidFill>
                              <a:srgbClr val="000000"/>
                            </a:solidFill>
                            <a:round/>
                            <a:tailEnd type="triangle" w="med" len="med"/>
                          </a:ln>
                        </wps:spPr>
                        <wps:bodyPr/>
                      </wps:wsp>
                      <wps:wsp>
                        <wps:cNvPr id="160" name="Text Box 1913"/>
                        <wps:cNvSpPr txBox="1">
                          <a:spLocks noChangeArrowheads="1"/>
                        </wps:cNvSpPr>
                        <wps:spPr bwMode="auto">
                          <a:xfrm>
                            <a:off x="1248410" y="53340"/>
                            <a:ext cx="554990" cy="297180"/>
                          </a:xfrm>
                          <a:prstGeom prst="rect">
                            <a:avLst/>
                          </a:prstGeom>
                          <a:noFill/>
                          <a:ln>
                            <a:noFill/>
                          </a:ln>
                        </wps:spPr>
                        <wps:txbx>
                          <w:txbxContent>
                            <w:p w14:paraId="28AF7815" w14:textId="77777777" w:rsidR="00B14D53" w:rsidRDefault="00000000">
                              <w:pPr>
                                <w:spacing w:line="240" w:lineRule="atLeast"/>
                                <w:contextualSpacing/>
                              </w:pPr>
                              <w:r>
                                <w:rPr>
                                  <w:rFonts w:hint="eastAsia"/>
                                  <w:snapToGrid w:val="0"/>
                                  <w:szCs w:val="22"/>
                                </w:rPr>
                                <w:t>1.19</w:t>
                              </w:r>
                            </w:p>
                          </w:txbxContent>
                        </wps:txbx>
                        <wps:bodyPr rot="0" vert="horz" wrap="square" lIns="91440" tIns="45720" rIns="91440" bIns="45720" anchor="t" anchorCtr="0" upright="1">
                          <a:noAutofit/>
                        </wps:bodyPr>
                      </wps:wsp>
                      <wps:wsp>
                        <wps:cNvPr id="161" name="Text Box 1913"/>
                        <wps:cNvSpPr txBox="1">
                          <a:spLocks noChangeArrowheads="1"/>
                        </wps:cNvSpPr>
                        <wps:spPr bwMode="auto">
                          <a:xfrm>
                            <a:off x="808990" y="581660"/>
                            <a:ext cx="554990" cy="297180"/>
                          </a:xfrm>
                          <a:prstGeom prst="rect">
                            <a:avLst/>
                          </a:prstGeom>
                          <a:noFill/>
                          <a:ln>
                            <a:noFill/>
                          </a:ln>
                        </wps:spPr>
                        <wps:txbx>
                          <w:txbxContent>
                            <w:p w14:paraId="555F25AE" w14:textId="77777777" w:rsidR="00B14D53" w:rsidRDefault="00000000">
                              <w:pPr>
                                <w:spacing w:line="240" w:lineRule="atLeast"/>
                                <w:contextualSpacing/>
                              </w:pPr>
                              <w:r>
                                <w:rPr>
                                  <w:rFonts w:hint="eastAsia"/>
                                  <w:snapToGrid w:val="0"/>
                                  <w:szCs w:val="22"/>
                                </w:rPr>
                                <w:t>4.71</w:t>
                              </w:r>
                            </w:p>
                          </w:txbxContent>
                        </wps:txbx>
                        <wps:bodyPr rot="0" vert="horz" wrap="square" lIns="91440" tIns="45720" rIns="91440" bIns="45720" anchor="t" anchorCtr="0" upright="1">
                          <a:noAutofit/>
                        </wps:bodyPr>
                      </wps:wsp>
                      <wps:wsp>
                        <wps:cNvPr id="162" name="Text Box 1913"/>
                        <wps:cNvSpPr txBox="1">
                          <a:spLocks noChangeArrowheads="1"/>
                        </wps:cNvSpPr>
                        <wps:spPr bwMode="auto">
                          <a:xfrm>
                            <a:off x="2612390" y="556260"/>
                            <a:ext cx="478790" cy="297180"/>
                          </a:xfrm>
                          <a:prstGeom prst="rect">
                            <a:avLst/>
                          </a:prstGeom>
                          <a:noFill/>
                          <a:ln>
                            <a:noFill/>
                          </a:ln>
                        </wps:spPr>
                        <wps:txbx>
                          <w:txbxContent>
                            <w:p w14:paraId="1F7FF4BE" w14:textId="77777777" w:rsidR="00B14D53" w:rsidRDefault="00000000">
                              <w:pPr>
                                <w:spacing w:line="240" w:lineRule="atLeast"/>
                                <w:contextualSpacing/>
                              </w:pPr>
                              <w:r>
                                <w:rPr>
                                  <w:rFonts w:hint="eastAsia"/>
                                  <w:snapToGrid w:val="0"/>
                                  <w:szCs w:val="22"/>
                                </w:rPr>
                                <w:t>4.96</w:t>
                              </w:r>
                            </w:p>
                          </w:txbxContent>
                        </wps:txbx>
                        <wps:bodyPr rot="0" vert="horz" wrap="square" lIns="91440" tIns="45720" rIns="91440" bIns="45720" anchor="t" anchorCtr="0" upright="1">
                          <a:noAutofit/>
                        </wps:bodyPr>
                      </wps:wsp>
                      <wps:wsp>
                        <wps:cNvPr id="163" name="Text Box 1913"/>
                        <wps:cNvSpPr txBox="1">
                          <a:spLocks noChangeArrowheads="1"/>
                        </wps:cNvSpPr>
                        <wps:spPr bwMode="auto">
                          <a:xfrm>
                            <a:off x="1933575" y="387985"/>
                            <a:ext cx="478790" cy="297180"/>
                          </a:xfrm>
                          <a:prstGeom prst="rect">
                            <a:avLst/>
                          </a:prstGeom>
                          <a:noFill/>
                          <a:ln>
                            <a:noFill/>
                          </a:ln>
                        </wps:spPr>
                        <wps:txbx>
                          <w:txbxContent>
                            <w:p w14:paraId="579029A2" w14:textId="77777777" w:rsidR="00B14D53" w:rsidRDefault="00000000">
                              <w:pPr>
                                <w:spacing w:line="240" w:lineRule="atLeast"/>
                                <w:contextualSpacing/>
                              </w:pPr>
                              <w:r>
                                <w:rPr>
                                  <w:rFonts w:hint="eastAsia"/>
                                  <w:snapToGrid w:val="0"/>
                                  <w:szCs w:val="22"/>
                                </w:rPr>
                                <w:t>0.94</w:t>
                              </w:r>
                            </w:p>
                          </w:txbxContent>
                        </wps:txbx>
                        <wps:bodyPr rot="0" vert="horz" wrap="square" lIns="91440" tIns="45720" rIns="91440" bIns="45720" anchor="t" anchorCtr="0" upright="1">
                          <a:noAutofit/>
                        </wps:bodyPr>
                      </wps:wsp>
                      <wps:wsp>
                        <wps:cNvPr id="164" name="Text Box 1916"/>
                        <wps:cNvSpPr txBox="1">
                          <a:spLocks noChangeArrowheads="1"/>
                        </wps:cNvSpPr>
                        <wps:spPr bwMode="auto">
                          <a:xfrm>
                            <a:off x="1700530" y="883920"/>
                            <a:ext cx="508635" cy="297815"/>
                          </a:xfrm>
                          <a:prstGeom prst="rect">
                            <a:avLst/>
                          </a:prstGeom>
                          <a:noFill/>
                          <a:ln>
                            <a:noFill/>
                          </a:ln>
                        </wps:spPr>
                        <wps:txbx>
                          <w:txbxContent>
                            <w:p w14:paraId="3FB6AA86" w14:textId="77777777" w:rsidR="00B14D53" w:rsidRDefault="00000000">
                              <w:pPr>
                                <w:spacing w:line="240" w:lineRule="atLeast"/>
                                <w:contextualSpacing/>
                                <w:jc w:val="center"/>
                              </w:pPr>
                              <w:r>
                                <w:rPr>
                                  <w:rFonts w:hint="eastAsia"/>
                                </w:rPr>
                                <w:t>损耗</w:t>
                              </w:r>
                            </w:p>
                          </w:txbxContent>
                        </wps:txbx>
                        <wps:bodyPr rot="0" vert="horz" wrap="square" lIns="91440" tIns="45720" rIns="91440" bIns="45720" anchor="t" anchorCtr="0" upright="1">
                          <a:noAutofit/>
                        </wps:bodyPr>
                      </wps:wsp>
                      <wps:wsp>
                        <wps:cNvPr id="166" name="Line 1924"/>
                        <wps:cNvCnPr>
                          <a:cxnSpLocks noChangeShapeType="1"/>
                        </wps:cNvCnPr>
                        <wps:spPr bwMode="auto">
                          <a:xfrm flipV="1">
                            <a:off x="2564130" y="1515745"/>
                            <a:ext cx="1663065" cy="635"/>
                          </a:xfrm>
                          <a:prstGeom prst="line">
                            <a:avLst/>
                          </a:prstGeom>
                          <a:noFill/>
                          <a:ln w="9525">
                            <a:solidFill>
                              <a:srgbClr val="000000"/>
                            </a:solidFill>
                            <a:round/>
                            <a:tailEnd type="triangle" w="med" len="med"/>
                          </a:ln>
                        </wps:spPr>
                        <wps:bodyPr/>
                      </wps:wsp>
                      <wps:wsp>
                        <wps:cNvPr id="167" name="Line 1939"/>
                        <wps:cNvCnPr>
                          <a:cxnSpLocks noChangeShapeType="1"/>
                        </wps:cNvCnPr>
                        <wps:spPr bwMode="auto">
                          <a:xfrm flipH="1" flipV="1">
                            <a:off x="1965960" y="1093470"/>
                            <a:ext cx="1905" cy="245745"/>
                          </a:xfrm>
                          <a:prstGeom prst="line">
                            <a:avLst/>
                          </a:prstGeom>
                          <a:noFill/>
                          <a:ln w="9525">
                            <a:solidFill>
                              <a:srgbClr val="000000"/>
                            </a:solidFill>
                            <a:prstDash val="dash"/>
                            <a:round/>
                            <a:tailEnd type="triangle" w="med" len="med"/>
                          </a:ln>
                        </wps:spPr>
                        <wps:bodyPr/>
                      </wps:wsp>
                      <wps:wsp>
                        <wps:cNvPr id="168" name="Line 1939"/>
                        <wps:cNvCnPr>
                          <a:cxnSpLocks noChangeShapeType="1"/>
                        </wps:cNvCnPr>
                        <wps:spPr bwMode="auto">
                          <a:xfrm flipH="1" flipV="1">
                            <a:off x="1971040" y="375920"/>
                            <a:ext cx="1905" cy="245745"/>
                          </a:xfrm>
                          <a:prstGeom prst="line">
                            <a:avLst/>
                          </a:prstGeom>
                          <a:noFill/>
                          <a:ln w="9525">
                            <a:solidFill>
                              <a:srgbClr val="000000"/>
                            </a:solidFill>
                            <a:prstDash val="dash"/>
                            <a:round/>
                            <a:tailEnd type="triangle" w="med" len="med"/>
                          </a:ln>
                        </wps:spPr>
                        <wps:bodyPr/>
                      </wps:wsp>
                      <wps:wsp>
                        <wps:cNvPr id="169" name="Text Box 1927"/>
                        <wps:cNvSpPr txBox="1">
                          <a:spLocks noChangeArrowheads="1"/>
                        </wps:cNvSpPr>
                        <wps:spPr bwMode="auto">
                          <a:xfrm>
                            <a:off x="1284605" y="1983740"/>
                            <a:ext cx="929005" cy="297180"/>
                          </a:xfrm>
                          <a:prstGeom prst="rect">
                            <a:avLst/>
                          </a:prstGeom>
                          <a:solidFill>
                            <a:srgbClr val="FFFFFF"/>
                          </a:solidFill>
                          <a:ln w="9525">
                            <a:solidFill>
                              <a:srgbClr val="000000"/>
                            </a:solidFill>
                            <a:miter lim="800000"/>
                          </a:ln>
                        </wps:spPr>
                        <wps:txbx>
                          <w:txbxContent>
                            <w:p w14:paraId="12F0DDA1" w14:textId="77777777" w:rsidR="00B14D53" w:rsidRDefault="00000000">
                              <w:pPr>
                                <w:spacing w:line="240" w:lineRule="atLeast"/>
                                <w:contextualSpacing/>
                                <w:jc w:val="center"/>
                              </w:pPr>
                              <w:r>
                                <w:rPr>
                                  <w:rFonts w:hint="eastAsia"/>
                                </w:rPr>
                                <w:t>软化水制水</w:t>
                              </w:r>
                            </w:p>
                          </w:txbxContent>
                        </wps:txbx>
                        <wps:bodyPr rot="0" vert="horz" wrap="square" lIns="91440" tIns="45720" rIns="91440" bIns="45720" anchor="t" anchorCtr="0" upright="1">
                          <a:noAutofit/>
                        </wps:bodyPr>
                      </wps:wsp>
                      <wps:wsp>
                        <wps:cNvPr id="170" name="Text Box 1927"/>
                        <wps:cNvSpPr txBox="1">
                          <a:spLocks noChangeArrowheads="1"/>
                        </wps:cNvSpPr>
                        <wps:spPr bwMode="auto">
                          <a:xfrm>
                            <a:off x="2647950" y="1978025"/>
                            <a:ext cx="1052195" cy="297180"/>
                          </a:xfrm>
                          <a:prstGeom prst="rect">
                            <a:avLst/>
                          </a:prstGeom>
                          <a:solidFill>
                            <a:srgbClr val="FFFFFF"/>
                          </a:solidFill>
                          <a:ln w="9525">
                            <a:solidFill>
                              <a:srgbClr val="000000"/>
                            </a:solidFill>
                            <a:miter lim="800000"/>
                          </a:ln>
                        </wps:spPr>
                        <wps:txbx>
                          <w:txbxContent>
                            <w:p w14:paraId="02A412FF" w14:textId="77777777" w:rsidR="00B14D53" w:rsidRDefault="00000000">
                              <w:pPr>
                                <w:spacing w:line="240" w:lineRule="atLeast"/>
                                <w:contextualSpacing/>
                                <w:jc w:val="center"/>
                              </w:pPr>
                              <w:r>
                                <w:rPr>
                                  <w:rFonts w:hint="eastAsia"/>
                                </w:rPr>
                                <w:t>电蒸汽发生器</w:t>
                              </w:r>
                            </w:p>
                          </w:txbxContent>
                        </wps:txbx>
                        <wps:bodyPr rot="0" vert="horz" wrap="square" lIns="91440" tIns="45720" rIns="91440" bIns="45720" anchor="t" anchorCtr="0" upright="1">
                          <a:noAutofit/>
                        </wps:bodyPr>
                      </wps:wsp>
                      <wps:wsp>
                        <wps:cNvPr id="171" name="Line 1924"/>
                        <wps:cNvCnPr>
                          <a:cxnSpLocks noChangeShapeType="1"/>
                        </wps:cNvCnPr>
                        <wps:spPr bwMode="auto">
                          <a:xfrm>
                            <a:off x="2218690" y="2124075"/>
                            <a:ext cx="417830" cy="2540"/>
                          </a:xfrm>
                          <a:prstGeom prst="line">
                            <a:avLst/>
                          </a:prstGeom>
                          <a:noFill/>
                          <a:ln w="9525">
                            <a:solidFill>
                              <a:srgbClr val="000000"/>
                            </a:solidFill>
                            <a:round/>
                            <a:tailEnd type="triangle" w="med" len="med"/>
                          </a:ln>
                        </wps:spPr>
                        <wps:bodyPr/>
                      </wps:wsp>
                      <wps:wsp>
                        <wps:cNvPr id="172" name="肘形连接符 172"/>
                        <wps:cNvCnPr>
                          <a:stCxn id="169" idx="2"/>
                        </wps:cNvCnPr>
                        <wps:spPr>
                          <a:xfrm rot="5400000" flipV="1">
                            <a:off x="2836545" y="1193800"/>
                            <a:ext cx="321310" cy="2495550"/>
                          </a:xfrm>
                          <a:prstGeom prst="bentConnector2">
                            <a:avLst/>
                          </a:prstGeom>
                          <a:ln w="635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73" name="Text Box 1927"/>
                        <wps:cNvSpPr txBox="1">
                          <a:spLocks noChangeArrowheads="1"/>
                        </wps:cNvSpPr>
                        <wps:spPr bwMode="auto">
                          <a:xfrm>
                            <a:off x="1282065" y="3133090"/>
                            <a:ext cx="1017905" cy="297180"/>
                          </a:xfrm>
                          <a:prstGeom prst="rect">
                            <a:avLst/>
                          </a:prstGeom>
                          <a:solidFill>
                            <a:srgbClr val="FFFFFF"/>
                          </a:solidFill>
                          <a:ln w="9525">
                            <a:solidFill>
                              <a:srgbClr val="000000"/>
                            </a:solidFill>
                            <a:miter lim="800000"/>
                          </a:ln>
                        </wps:spPr>
                        <wps:txbx>
                          <w:txbxContent>
                            <w:p w14:paraId="2B1828DA" w14:textId="77777777" w:rsidR="00B14D53" w:rsidRDefault="00000000">
                              <w:pPr>
                                <w:spacing w:line="240" w:lineRule="atLeast"/>
                                <w:contextualSpacing/>
                                <w:jc w:val="center"/>
                              </w:pPr>
                              <w:r>
                                <w:rPr>
                                  <w:rFonts w:hint="eastAsia"/>
                                </w:rPr>
                                <w:t>车辆冲洗用水</w:t>
                              </w:r>
                            </w:p>
                          </w:txbxContent>
                        </wps:txbx>
                        <wps:bodyPr rot="0" vert="horz" wrap="square" lIns="91440" tIns="45720" rIns="91440" bIns="45720" anchor="t" anchorCtr="0" upright="1">
                          <a:noAutofit/>
                        </wps:bodyPr>
                      </wps:wsp>
                      <wps:wsp>
                        <wps:cNvPr id="176" name="Line 1939"/>
                        <wps:cNvCnPr>
                          <a:cxnSpLocks noChangeShapeType="1"/>
                        </wps:cNvCnPr>
                        <wps:spPr bwMode="auto">
                          <a:xfrm flipH="1" flipV="1">
                            <a:off x="1751965" y="2897505"/>
                            <a:ext cx="1905" cy="245745"/>
                          </a:xfrm>
                          <a:prstGeom prst="line">
                            <a:avLst/>
                          </a:prstGeom>
                          <a:noFill/>
                          <a:ln w="9525">
                            <a:solidFill>
                              <a:srgbClr val="000000"/>
                            </a:solidFill>
                            <a:prstDash val="dash"/>
                            <a:round/>
                            <a:tailEnd type="triangle" w="med" len="med"/>
                          </a:ln>
                        </wps:spPr>
                        <wps:bodyPr/>
                      </wps:wsp>
                      <wps:wsp>
                        <wps:cNvPr id="177" name="Line 1924"/>
                        <wps:cNvCnPr>
                          <a:cxnSpLocks noChangeShapeType="1"/>
                        </wps:cNvCnPr>
                        <wps:spPr bwMode="auto">
                          <a:xfrm>
                            <a:off x="2310765" y="3302000"/>
                            <a:ext cx="1916430" cy="3810"/>
                          </a:xfrm>
                          <a:prstGeom prst="line">
                            <a:avLst/>
                          </a:prstGeom>
                          <a:noFill/>
                          <a:ln w="9525">
                            <a:solidFill>
                              <a:srgbClr val="000000"/>
                            </a:solidFill>
                            <a:round/>
                            <a:tailEnd type="triangle" w="med" len="med"/>
                          </a:ln>
                        </wps:spPr>
                        <wps:bodyPr/>
                      </wps:wsp>
                      <wps:wsp>
                        <wps:cNvPr id="178" name="Line 1924"/>
                        <wps:cNvCnPr>
                          <a:cxnSpLocks noChangeShapeType="1"/>
                        </wps:cNvCnPr>
                        <wps:spPr bwMode="auto">
                          <a:xfrm>
                            <a:off x="3701415" y="2137410"/>
                            <a:ext cx="523875" cy="635"/>
                          </a:xfrm>
                          <a:prstGeom prst="line">
                            <a:avLst/>
                          </a:prstGeom>
                          <a:noFill/>
                          <a:ln w="9525">
                            <a:solidFill>
                              <a:srgbClr val="000000"/>
                            </a:solidFill>
                            <a:round/>
                            <a:tailEnd type="triangle" w="med" len="med"/>
                          </a:ln>
                        </wps:spPr>
                        <wps:bodyPr/>
                      </wps:wsp>
                      <wps:wsp>
                        <wps:cNvPr id="179" name="AutoShape 1959"/>
                        <wps:cNvCnPr>
                          <a:cxnSpLocks noChangeShapeType="1"/>
                        </wps:cNvCnPr>
                        <wps:spPr bwMode="auto">
                          <a:xfrm flipV="1">
                            <a:off x="782320" y="4072890"/>
                            <a:ext cx="499745" cy="635"/>
                          </a:xfrm>
                          <a:prstGeom prst="straightConnector1">
                            <a:avLst/>
                          </a:prstGeom>
                          <a:noFill/>
                          <a:ln w="9525">
                            <a:solidFill>
                              <a:srgbClr val="000000"/>
                            </a:solidFill>
                            <a:round/>
                            <a:tailEnd type="triangle" w="med" len="med"/>
                          </a:ln>
                        </wps:spPr>
                        <wps:bodyPr/>
                      </wps:wsp>
                      <wps:wsp>
                        <wps:cNvPr id="180" name="Line 1939"/>
                        <wps:cNvCnPr>
                          <a:cxnSpLocks noChangeShapeType="1"/>
                        </wps:cNvCnPr>
                        <wps:spPr bwMode="auto">
                          <a:xfrm flipH="1" flipV="1">
                            <a:off x="1788160" y="3666490"/>
                            <a:ext cx="1905" cy="245745"/>
                          </a:xfrm>
                          <a:prstGeom prst="line">
                            <a:avLst/>
                          </a:prstGeom>
                          <a:noFill/>
                          <a:ln w="9525">
                            <a:solidFill>
                              <a:srgbClr val="000000"/>
                            </a:solidFill>
                            <a:prstDash val="dash"/>
                            <a:round/>
                            <a:tailEnd type="triangle" w="med" len="med"/>
                          </a:ln>
                        </wps:spPr>
                        <wps:bodyPr/>
                      </wps:wsp>
                      <wps:wsp>
                        <wps:cNvPr id="181" name="Text Box 1958"/>
                        <wps:cNvSpPr txBox="1">
                          <a:spLocks noChangeArrowheads="1"/>
                        </wps:cNvSpPr>
                        <wps:spPr bwMode="auto">
                          <a:xfrm>
                            <a:off x="1477645" y="3441700"/>
                            <a:ext cx="589915" cy="297815"/>
                          </a:xfrm>
                          <a:prstGeom prst="rect">
                            <a:avLst/>
                          </a:prstGeom>
                          <a:noFill/>
                          <a:ln>
                            <a:noFill/>
                          </a:ln>
                        </wps:spPr>
                        <wps:txbx>
                          <w:txbxContent>
                            <w:p w14:paraId="3E36F691" w14:textId="77777777" w:rsidR="00B14D53" w:rsidRDefault="00000000">
                              <w:pPr>
                                <w:spacing w:line="240" w:lineRule="atLeast"/>
                                <w:contextualSpacing/>
                                <w:jc w:val="center"/>
                              </w:pPr>
                              <w:r>
                                <w:rPr>
                                  <w:rFonts w:hint="eastAsia"/>
                                </w:rPr>
                                <w:t>损耗</w:t>
                              </w:r>
                            </w:p>
                          </w:txbxContent>
                        </wps:txbx>
                        <wps:bodyPr rot="0" vert="horz" wrap="square" lIns="91440" tIns="45720" rIns="91440" bIns="45720" anchor="t" anchorCtr="0" upright="1">
                          <a:noAutofit/>
                        </wps:bodyPr>
                      </wps:wsp>
                      <wps:wsp>
                        <wps:cNvPr id="183" name="Text Box 1943"/>
                        <wps:cNvSpPr txBox="1">
                          <a:spLocks noChangeArrowheads="1"/>
                        </wps:cNvSpPr>
                        <wps:spPr bwMode="auto">
                          <a:xfrm>
                            <a:off x="2605405" y="1266825"/>
                            <a:ext cx="619125" cy="297815"/>
                          </a:xfrm>
                          <a:prstGeom prst="rect">
                            <a:avLst/>
                          </a:prstGeom>
                          <a:noFill/>
                          <a:ln>
                            <a:noFill/>
                          </a:ln>
                        </wps:spPr>
                        <wps:txbx>
                          <w:txbxContent>
                            <w:p w14:paraId="0C4E6795" w14:textId="77777777" w:rsidR="00B14D53" w:rsidRDefault="00000000">
                              <w:pPr>
                                <w:spacing w:line="240" w:lineRule="atLeast"/>
                                <w:contextualSpacing/>
                                <w:jc w:val="center"/>
                              </w:pPr>
                              <w:r>
                                <w:rPr>
                                  <w:rFonts w:hint="eastAsia"/>
                                </w:rPr>
                                <w:t>225.88</w:t>
                              </w:r>
                            </w:p>
                          </w:txbxContent>
                        </wps:txbx>
                        <wps:bodyPr rot="0" vert="horz" wrap="square" lIns="91440" tIns="45720" rIns="91440" bIns="45720" anchor="t" anchorCtr="0" upright="1">
                          <a:noAutofit/>
                        </wps:bodyPr>
                      </wps:wsp>
                      <wps:wsp>
                        <wps:cNvPr id="184" name="Text Box 1943"/>
                        <wps:cNvSpPr txBox="1">
                          <a:spLocks noChangeArrowheads="1"/>
                        </wps:cNvSpPr>
                        <wps:spPr bwMode="auto">
                          <a:xfrm>
                            <a:off x="1926590" y="1091565"/>
                            <a:ext cx="619125" cy="297815"/>
                          </a:xfrm>
                          <a:prstGeom prst="rect">
                            <a:avLst/>
                          </a:prstGeom>
                          <a:noFill/>
                          <a:ln>
                            <a:noFill/>
                          </a:ln>
                        </wps:spPr>
                        <wps:txbx>
                          <w:txbxContent>
                            <w:p w14:paraId="0DA6FFD0" w14:textId="77777777" w:rsidR="00B14D53" w:rsidRDefault="00000000">
                              <w:pPr>
                                <w:spacing w:line="240" w:lineRule="atLeast"/>
                                <w:contextualSpacing/>
                                <w:jc w:val="center"/>
                              </w:pPr>
                              <w:r>
                                <w:rPr>
                                  <w:rFonts w:hint="eastAsia"/>
                                </w:rPr>
                                <w:t>56.47</w:t>
                              </w:r>
                            </w:p>
                          </w:txbxContent>
                        </wps:txbx>
                        <wps:bodyPr rot="0" vert="horz" wrap="square" lIns="91440" tIns="45720" rIns="91440" bIns="45720" anchor="t" anchorCtr="0" upright="1">
                          <a:noAutofit/>
                        </wps:bodyPr>
                      </wps:wsp>
                      <wps:wsp>
                        <wps:cNvPr id="185" name="Text Box 1914"/>
                        <wps:cNvSpPr txBox="1">
                          <a:spLocks noChangeArrowheads="1"/>
                        </wps:cNvSpPr>
                        <wps:spPr bwMode="auto">
                          <a:xfrm>
                            <a:off x="2110105" y="2342515"/>
                            <a:ext cx="500380" cy="297180"/>
                          </a:xfrm>
                          <a:prstGeom prst="rect">
                            <a:avLst/>
                          </a:prstGeom>
                          <a:noFill/>
                          <a:ln>
                            <a:noFill/>
                          </a:ln>
                        </wps:spPr>
                        <wps:txbx>
                          <w:txbxContent>
                            <w:p w14:paraId="4159C138" w14:textId="77777777" w:rsidR="00B14D53" w:rsidRDefault="00000000">
                              <w:pPr>
                                <w:spacing w:line="240" w:lineRule="atLeast"/>
                                <w:contextualSpacing/>
                              </w:pPr>
                              <w:r>
                                <w:rPr>
                                  <w:rFonts w:hint="eastAsia"/>
                                </w:rPr>
                                <w:t>0.46</w:t>
                              </w:r>
                            </w:p>
                          </w:txbxContent>
                        </wps:txbx>
                        <wps:bodyPr rot="0" vert="horz" wrap="square" lIns="91440" tIns="45720" rIns="91440" bIns="45720" anchor="t" anchorCtr="0" upright="1">
                          <a:noAutofit/>
                        </wps:bodyPr>
                      </wps:wsp>
                      <wps:wsp>
                        <wps:cNvPr id="186" name="Text Box 1914"/>
                        <wps:cNvSpPr txBox="1">
                          <a:spLocks noChangeArrowheads="1"/>
                        </wps:cNvSpPr>
                        <wps:spPr bwMode="auto">
                          <a:xfrm>
                            <a:off x="3714750" y="1892935"/>
                            <a:ext cx="500380" cy="297180"/>
                          </a:xfrm>
                          <a:prstGeom prst="rect">
                            <a:avLst/>
                          </a:prstGeom>
                          <a:noFill/>
                          <a:ln>
                            <a:noFill/>
                          </a:ln>
                        </wps:spPr>
                        <wps:txbx>
                          <w:txbxContent>
                            <w:p w14:paraId="28B6059D" w14:textId="77777777" w:rsidR="00B14D53" w:rsidRDefault="00000000">
                              <w:pPr>
                                <w:spacing w:line="240" w:lineRule="atLeast"/>
                                <w:contextualSpacing/>
                              </w:pPr>
                              <w:r>
                                <w:rPr>
                                  <w:rFonts w:hint="eastAsia"/>
                                </w:rPr>
                                <w:t>0.04</w:t>
                              </w:r>
                            </w:p>
                          </w:txbxContent>
                        </wps:txbx>
                        <wps:bodyPr rot="0" vert="horz" wrap="square" lIns="91440" tIns="45720" rIns="91440" bIns="45720" anchor="t" anchorCtr="0" upright="1">
                          <a:noAutofit/>
                        </wps:bodyPr>
                      </wps:wsp>
                      <wps:wsp>
                        <wps:cNvPr id="188" name="肘形连接符 188"/>
                        <wps:cNvCnPr/>
                        <wps:spPr>
                          <a:xfrm>
                            <a:off x="1267460" y="273685"/>
                            <a:ext cx="379095" cy="382270"/>
                          </a:xfrm>
                          <a:prstGeom prst="bentConnector2">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9" name="肘形连接符 189"/>
                        <wps:cNvCnPr/>
                        <wps:spPr>
                          <a:xfrm flipV="1">
                            <a:off x="3093720" y="1778635"/>
                            <a:ext cx="442595" cy="191770"/>
                          </a:xfrm>
                          <a:prstGeom prst="bentConnector3">
                            <a:avLst>
                              <a:gd name="adj1" fmla="val -129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90" name="Text Box 1918"/>
                        <wps:cNvSpPr txBox="1">
                          <a:spLocks noChangeArrowheads="1"/>
                        </wps:cNvSpPr>
                        <wps:spPr bwMode="auto">
                          <a:xfrm>
                            <a:off x="3491865" y="1628140"/>
                            <a:ext cx="727075" cy="281305"/>
                          </a:xfrm>
                          <a:prstGeom prst="rect">
                            <a:avLst/>
                          </a:prstGeom>
                          <a:noFill/>
                          <a:ln w="9525">
                            <a:noFill/>
                            <a:miter lim="800000"/>
                          </a:ln>
                        </wps:spPr>
                        <wps:txbx>
                          <w:txbxContent>
                            <w:p w14:paraId="6E3812F6" w14:textId="77777777" w:rsidR="00B14D53" w:rsidRDefault="00000000">
                              <w:pPr>
                                <w:spacing w:line="240" w:lineRule="atLeast"/>
                                <w:contextualSpacing/>
                              </w:pPr>
                              <w:r>
                                <w:rPr>
                                  <w:rFonts w:hint="eastAsia"/>
                                </w:rPr>
                                <w:t>生产设备</w:t>
                              </w:r>
                            </w:p>
                          </w:txbxContent>
                        </wps:txbx>
                        <wps:bodyPr rot="0" vert="horz" wrap="square" lIns="91440" tIns="45720" rIns="91440" bIns="45720" anchor="t" anchorCtr="0" upright="1">
                          <a:noAutofit/>
                        </wps:bodyPr>
                      </wps:wsp>
                      <wps:wsp>
                        <wps:cNvPr id="191" name="Text Box 1943"/>
                        <wps:cNvSpPr txBox="1">
                          <a:spLocks noChangeArrowheads="1"/>
                        </wps:cNvSpPr>
                        <wps:spPr bwMode="auto">
                          <a:xfrm>
                            <a:off x="3034030" y="1576705"/>
                            <a:ext cx="532130" cy="297815"/>
                          </a:xfrm>
                          <a:prstGeom prst="rect">
                            <a:avLst/>
                          </a:prstGeom>
                          <a:noFill/>
                          <a:ln>
                            <a:noFill/>
                          </a:ln>
                        </wps:spPr>
                        <wps:txbx>
                          <w:txbxContent>
                            <w:p w14:paraId="40529E4E" w14:textId="77777777" w:rsidR="00B14D53" w:rsidRDefault="00000000">
                              <w:pPr>
                                <w:spacing w:line="240" w:lineRule="atLeast"/>
                                <w:contextualSpacing/>
                                <w:jc w:val="center"/>
                              </w:pPr>
                              <w:r>
                                <w:rPr>
                                  <w:rFonts w:hint="eastAsia"/>
                                </w:rPr>
                                <w:t>4.09</w:t>
                              </w:r>
                            </w:p>
                          </w:txbxContent>
                        </wps:txbx>
                        <wps:bodyPr rot="0" vert="horz" wrap="square" lIns="91440" tIns="45720" rIns="91440" bIns="45720" anchor="t" anchorCtr="0" upright="1">
                          <a:noAutofit/>
                        </wps:bodyPr>
                      </wps:wsp>
                      <wps:wsp>
                        <wps:cNvPr id="192" name="Text Box 1914"/>
                        <wps:cNvSpPr txBox="1">
                          <a:spLocks noChangeArrowheads="1"/>
                        </wps:cNvSpPr>
                        <wps:spPr bwMode="auto">
                          <a:xfrm>
                            <a:off x="2197735" y="1854835"/>
                            <a:ext cx="500380" cy="297180"/>
                          </a:xfrm>
                          <a:prstGeom prst="rect">
                            <a:avLst/>
                          </a:prstGeom>
                          <a:noFill/>
                          <a:ln>
                            <a:noFill/>
                          </a:ln>
                        </wps:spPr>
                        <wps:txbx>
                          <w:txbxContent>
                            <w:p w14:paraId="76B35A66" w14:textId="77777777" w:rsidR="00B14D53" w:rsidRDefault="00000000">
                              <w:pPr>
                                <w:spacing w:line="240" w:lineRule="atLeast"/>
                                <w:contextualSpacing/>
                              </w:pPr>
                              <w:r>
                                <w:rPr>
                                  <w:rFonts w:hint="eastAsia"/>
                                </w:rPr>
                                <w:t>4.13</w:t>
                              </w:r>
                            </w:p>
                          </w:txbxContent>
                        </wps:txbx>
                        <wps:bodyPr rot="0" vert="horz" wrap="square" lIns="91440" tIns="45720" rIns="91440" bIns="45720" anchor="t" anchorCtr="0" upright="1">
                          <a:noAutofit/>
                        </wps:bodyPr>
                      </wps:wsp>
                      <wps:wsp>
                        <wps:cNvPr id="193" name="Text Box 1914"/>
                        <wps:cNvSpPr txBox="1">
                          <a:spLocks noChangeArrowheads="1"/>
                        </wps:cNvSpPr>
                        <wps:spPr bwMode="auto">
                          <a:xfrm>
                            <a:off x="739775" y="3013075"/>
                            <a:ext cx="500380" cy="297180"/>
                          </a:xfrm>
                          <a:prstGeom prst="rect">
                            <a:avLst/>
                          </a:prstGeom>
                          <a:noFill/>
                          <a:ln>
                            <a:noFill/>
                          </a:ln>
                        </wps:spPr>
                        <wps:txbx>
                          <w:txbxContent>
                            <w:p w14:paraId="68E72B30" w14:textId="77777777" w:rsidR="00B14D53" w:rsidRDefault="00000000">
                              <w:pPr>
                                <w:spacing w:line="240" w:lineRule="atLeast"/>
                                <w:contextualSpacing/>
                              </w:pPr>
                              <w:r>
                                <w:rPr>
                                  <w:rFonts w:hint="eastAsia"/>
                                </w:rPr>
                                <w:t>2.22</w:t>
                              </w:r>
                            </w:p>
                          </w:txbxContent>
                        </wps:txbx>
                        <wps:bodyPr rot="0" vert="horz" wrap="square" lIns="91440" tIns="45720" rIns="91440" bIns="45720" anchor="t" anchorCtr="0" upright="1">
                          <a:noAutofit/>
                        </wps:bodyPr>
                      </wps:wsp>
                      <wps:wsp>
                        <wps:cNvPr id="194" name="Text Box 1914"/>
                        <wps:cNvSpPr txBox="1">
                          <a:spLocks noChangeArrowheads="1"/>
                        </wps:cNvSpPr>
                        <wps:spPr bwMode="auto">
                          <a:xfrm>
                            <a:off x="2329815" y="3034030"/>
                            <a:ext cx="500380" cy="297180"/>
                          </a:xfrm>
                          <a:prstGeom prst="rect">
                            <a:avLst/>
                          </a:prstGeom>
                          <a:noFill/>
                          <a:ln>
                            <a:noFill/>
                          </a:ln>
                        </wps:spPr>
                        <wps:txbx>
                          <w:txbxContent>
                            <w:p w14:paraId="0B5D73A5" w14:textId="77777777" w:rsidR="00B14D53" w:rsidRDefault="00000000">
                              <w:pPr>
                                <w:spacing w:line="240" w:lineRule="atLeast"/>
                                <w:contextualSpacing/>
                              </w:pPr>
                              <w:r>
                                <w:rPr>
                                  <w:rFonts w:hint="eastAsia"/>
                                </w:rPr>
                                <w:t>1.78</w:t>
                              </w:r>
                            </w:p>
                          </w:txbxContent>
                        </wps:txbx>
                        <wps:bodyPr rot="0" vert="horz" wrap="square" lIns="91440" tIns="45720" rIns="91440" bIns="45720" anchor="t" anchorCtr="0" upright="1">
                          <a:noAutofit/>
                        </wps:bodyPr>
                      </wps:wsp>
                      <wps:wsp>
                        <wps:cNvPr id="195" name="Text Box 1914"/>
                        <wps:cNvSpPr txBox="1">
                          <a:spLocks noChangeArrowheads="1"/>
                        </wps:cNvSpPr>
                        <wps:spPr bwMode="auto">
                          <a:xfrm>
                            <a:off x="1729105" y="2902585"/>
                            <a:ext cx="500380" cy="297180"/>
                          </a:xfrm>
                          <a:prstGeom prst="rect">
                            <a:avLst/>
                          </a:prstGeom>
                          <a:noFill/>
                          <a:ln>
                            <a:noFill/>
                          </a:ln>
                        </wps:spPr>
                        <wps:txbx>
                          <w:txbxContent>
                            <w:p w14:paraId="3E7FCF27" w14:textId="77777777" w:rsidR="00B14D53" w:rsidRDefault="00000000">
                              <w:pPr>
                                <w:spacing w:line="240" w:lineRule="atLeast"/>
                                <w:contextualSpacing/>
                              </w:pPr>
                              <w:r>
                                <w:rPr>
                                  <w:rFonts w:hint="eastAsia"/>
                                </w:rPr>
                                <w:t>0.44</w:t>
                              </w:r>
                            </w:p>
                          </w:txbxContent>
                        </wps:txbx>
                        <wps:bodyPr rot="0" vert="horz" wrap="square" lIns="91440" tIns="45720" rIns="91440" bIns="45720" anchor="t" anchorCtr="0" upright="1">
                          <a:noAutofit/>
                        </wps:bodyPr>
                      </wps:wsp>
                      <wps:wsp>
                        <wps:cNvPr id="196" name="Text Box 1914"/>
                        <wps:cNvSpPr txBox="1">
                          <a:spLocks noChangeArrowheads="1"/>
                        </wps:cNvSpPr>
                        <wps:spPr bwMode="auto">
                          <a:xfrm>
                            <a:off x="801370" y="3810000"/>
                            <a:ext cx="500380" cy="297180"/>
                          </a:xfrm>
                          <a:prstGeom prst="rect">
                            <a:avLst/>
                          </a:prstGeom>
                          <a:noFill/>
                          <a:ln>
                            <a:noFill/>
                          </a:ln>
                        </wps:spPr>
                        <wps:txbx>
                          <w:txbxContent>
                            <w:p w14:paraId="179E21D2" w14:textId="77777777" w:rsidR="00B14D53" w:rsidRDefault="00000000">
                              <w:pPr>
                                <w:spacing w:line="240" w:lineRule="atLeast"/>
                                <w:contextualSpacing/>
                              </w:pPr>
                              <w:r>
                                <w:rPr>
                                  <w:rFonts w:hint="eastAsia"/>
                                </w:rPr>
                                <w:t>1.2</w:t>
                              </w:r>
                            </w:p>
                          </w:txbxContent>
                        </wps:txbx>
                        <wps:bodyPr rot="0" vert="horz" wrap="square" lIns="91440" tIns="45720" rIns="91440" bIns="45720" anchor="t" anchorCtr="0" upright="1">
                          <a:noAutofit/>
                        </wps:bodyPr>
                      </wps:wsp>
                      <wps:wsp>
                        <wps:cNvPr id="197" name="Line 1926"/>
                        <wps:cNvCnPr>
                          <a:cxnSpLocks noChangeShapeType="1"/>
                          <a:stCxn id="144" idx="3"/>
                          <a:endCxn id="204" idx="1"/>
                        </wps:cNvCnPr>
                        <wps:spPr bwMode="auto">
                          <a:xfrm flipV="1">
                            <a:off x="2306955" y="4058285"/>
                            <a:ext cx="2225040" cy="5080"/>
                          </a:xfrm>
                          <a:prstGeom prst="line">
                            <a:avLst/>
                          </a:prstGeom>
                          <a:noFill/>
                          <a:ln w="9525">
                            <a:solidFill>
                              <a:srgbClr val="000000"/>
                            </a:solidFill>
                            <a:round/>
                            <a:tailEnd type="triangle" w="med" len="med"/>
                          </a:ln>
                        </wps:spPr>
                        <wps:bodyPr/>
                      </wps:wsp>
                      <wps:wsp>
                        <wps:cNvPr id="198" name="Text Box 1914"/>
                        <wps:cNvSpPr txBox="1">
                          <a:spLocks noChangeArrowheads="1"/>
                        </wps:cNvSpPr>
                        <wps:spPr bwMode="auto">
                          <a:xfrm>
                            <a:off x="2523490" y="3824605"/>
                            <a:ext cx="500380" cy="297180"/>
                          </a:xfrm>
                          <a:prstGeom prst="rect">
                            <a:avLst/>
                          </a:prstGeom>
                          <a:noFill/>
                          <a:ln>
                            <a:noFill/>
                          </a:ln>
                        </wps:spPr>
                        <wps:txbx>
                          <w:txbxContent>
                            <w:p w14:paraId="753029ED" w14:textId="77777777" w:rsidR="00B14D53" w:rsidRDefault="00000000">
                              <w:pPr>
                                <w:spacing w:line="240" w:lineRule="atLeast"/>
                                <w:contextualSpacing/>
                              </w:pPr>
                              <w:r>
                                <w:rPr>
                                  <w:rFonts w:hint="eastAsia"/>
                                </w:rPr>
                                <w:t>0.96</w:t>
                              </w:r>
                            </w:p>
                          </w:txbxContent>
                        </wps:txbx>
                        <wps:bodyPr rot="0" vert="horz" wrap="square" lIns="91440" tIns="45720" rIns="91440" bIns="45720" anchor="t" anchorCtr="0" upright="1">
                          <a:noAutofit/>
                        </wps:bodyPr>
                      </wps:wsp>
                      <wps:wsp>
                        <wps:cNvPr id="199" name="Text Box 1914"/>
                        <wps:cNvSpPr txBox="1">
                          <a:spLocks noChangeArrowheads="1"/>
                        </wps:cNvSpPr>
                        <wps:spPr bwMode="auto">
                          <a:xfrm>
                            <a:off x="1754505" y="3670935"/>
                            <a:ext cx="500380" cy="297180"/>
                          </a:xfrm>
                          <a:prstGeom prst="rect">
                            <a:avLst/>
                          </a:prstGeom>
                          <a:noFill/>
                          <a:ln>
                            <a:noFill/>
                          </a:ln>
                        </wps:spPr>
                        <wps:txbx>
                          <w:txbxContent>
                            <w:p w14:paraId="575CE108" w14:textId="77777777" w:rsidR="00B14D53" w:rsidRDefault="00000000">
                              <w:pPr>
                                <w:spacing w:line="240" w:lineRule="atLeast"/>
                                <w:contextualSpacing/>
                              </w:pPr>
                              <w:r>
                                <w:rPr>
                                  <w:rFonts w:hint="eastAsia"/>
                                </w:rPr>
                                <w:t>0.24</w:t>
                              </w:r>
                            </w:p>
                          </w:txbxContent>
                        </wps:txbx>
                        <wps:bodyPr rot="0" vert="horz" wrap="square" lIns="91440" tIns="45720" rIns="91440" bIns="45720" anchor="t" anchorCtr="0" upright="1">
                          <a:noAutofit/>
                        </wps:bodyPr>
                      </wps:wsp>
                      <wps:wsp>
                        <wps:cNvPr id="200" name="Line 1920"/>
                        <wps:cNvCnPr>
                          <a:cxnSpLocks noChangeShapeType="1"/>
                        </wps:cNvCnPr>
                        <wps:spPr bwMode="auto">
                          <a:xfrm>
                            <a:off x="4220845" y="782320"/>
                            <a:ext cx="17145" cy="2524125"/>
                          </a:xfrm>
                          <a:prstGeom prst="line">
                            <a:avLst/>
                          </a:prstGeom>
                          <a:noFill/>
                          <a:ln w="9525">
                            <a:solidFill>
                              <a:srgbClr val="000000"/>
                            </a:solidFill>
                            <a:round/>
                          </a:ln>
                        </wps:spPr>
                        <wps:bodyPr/>
                      </wps:wsp>
                      <wps:wsp>
                        <wps:cNvPr id="201" name="Line 1924"/>
                        <wps:cNvCnPr>
                          <a:cxnSpLocks noChangeShapeType="1"/>
                        </wps:cNvCnPr>
                        <wps:spPr bwMode="auto">
                          <a:xfrm>
                            <a:off x="4237990" y="1993900"/>
                            <a:ext cx="527685" cy="635"/>
                          </a:xfrm>
                          <a:prstGeom prst="line">
                            <a:avLst/>
                          </a:prstGeom>
                          <a:noFill/>
                          <a:ln w="9525">
                            <a:solidFill>
                              <a:srgbClr val="000000"/>
                            </a:solidFill>
                            <a:round/>
                            <a:tailEnd type="triangle" w="med" len="med"/>
                          </a:ln>
                        </wps:spPr>
                        <wps:bodyPr/>
                      </wps:wsp>
                      <wps:wsp>
                        <wps:cNvPr id="202" name="Text Box 1927"/>
                        <wps:cNvSpPr txBox="1">
                          <a:spLocks noChangeArrowheads="1"/>
                        </wps:cNvSpPr>
                        <wps:spPr bwMode="auto">
                          <a:xfrm>
                            <a:off x="4762500" y="1119505"/>
                            <a:ext cx="307975" cy="1732280"/>
                          </a:xfrm>
                          <a:prstGeom prst="rect">
                            <a:avLst/>
                          </a:prstGeom>
                          <a:solidFill>
                            <a:srgbClr val="FFFFFF"/>
                          </a:solidFill>
                          <a:ln w="9525">
                            <a:solidFill>
                              <a:srgbClr val="000000"/>
                            </a:solidFill>
                            <a:miter lim="800000"/>
                          </a:ln>
                        </wps:spPr>
                        <wps:txbx>
                          <w:txbxContent>
                            <w:p w14:paraId="0FDE8180" w14:textId="77777777" w:rsidR="00B14D53" w:rsidRDefault="00000000">
                              <w:pPr>
                                <w:spacing w:line="240" w:lineRule="atLeast"/>
                                <w:contextualSpacing/>
                              </w:pPr>
                              <w:r>
                                <w:rPr>
                                  <w:rFonts w:hint="eastAsia"/>
                                </w:rPr>
                                <w:t>厂内污水处理站</w:t>
                              </w:r>
                            </w:p>
                          </w:txbxContent>
                        </wps:txbx>
                        <wps:bodyPr rot="0" vert="horz" wrap="square" lIns="91440" tIns="45720" rIns="91440" bIns="45720" anchor="t" anchorCtr="0" upright="1">
                          <a:noAutofit/>
                        </wps:bodyPr>
                      </wps:wsp>
                      <wps:wsp>
                        <wps:cNvPr id="203" name="Line 1924"/>
                        <wps:cNvCnPr>
                          <a:cxnSpLocks noChangeShapeType="1"/>
                          <a:stCxn id="202" idx="2"/>
                          <a:endCxn id="204" idx="0"/>
                        </wps:cNvCnPr>
                        <wps:spPr bwMode="auto">
                          <a:xfrm flipH="1">
                            <a:off x="4910455" y="2851785"/>
                            <a:ext cx="6350" cy="1069340"/>
                          </a:xfrm>
                          <a:prstGeom prst="line">
                            <a:avLst/>
                          </a:prstGeom>
                          <a:noFill/>
                          <a:ln w="9525">
                            <a:solidFill>
                              <a:srgbClr val="000000"/>
                            </a:solidFill>
                            <a:round/>
                            <a:tailEnd type="triangle" w="med" len="med"/>
                          </a:ln>
                        </wps:spPr>
                        <wps:bodyPr/>
                      </wps:wsp>
                      <wps:wsp>
                        <wps:cNvPr id="204" name="Text Box 1918"/>
                        <wps:cNvSpPr txBox="1">
                          <a:spLocks noChangeArrowheads="1"/>
                        </wps:cNvSpPr>
                        <wps:spPr bwMode="auto">
                          <a:xfrm>
                            <a:off x="4531995" y="3921125"/>
                            <a:ext cx="756285" cy="273685"/>
                          </a:xfrm>
                          <a:prstGeom prst="rect">
                            <a:avLst/>
                          </a:prstGeom>
                          <a:noFill/>
                          <a:ln w="9525">
                            <a:noFill/>
                            <a:miter lim="800000"/>
                          </a:ln>
                        </wps:spPr>
                        <wps:txbx>
                          <w:txbxContent>
                            <w:p w14:paraId="2A963492" w14:textId="77777777" w:rsidR="00B14D53" w:rsidRDefault="00000000">
                              <w:pPr>
                                <w:spacing w:line="240" w:lineRule="atLeast"/>
                                <w:contextualSpacing/>
                              </w:pPr>
                              <w:r>
                                <w:rPr>
                                  <w:rFonts w:hint="eastAsia"/>
                                </w:rPr>
                                <w:t>市政管网</w:t>
                              </w:r>
                            </w:p>
                          </w:txbxContent>
                        </wps:txbx>
                        <wps:bodyPr rot="0" vert="horz" wrap="square" lIns="91440" tIns="45720" rIns="91440" bIns="45720" anchor="t" anchorCtr="0" upright="1">
                          <a:noAutofit/>
                        </wps:bodyPr>
                      </wps:wsp>
                      <wps:wsp>
                        <wps:cNvPr id="205" name="Text Box 1943"/>
                        <wps:cNvSpPr txBox="1">
                          <a:spLocks noChangeArrowheads="1"/>
                        </wps:cNvSpPr>
                        <wps:spPr bwMode="auto">
                          <a:xfrm>
                            <a:off x="4195445" y="1743075"/>
                            <a:ext cx="619125" cy="297815"/>
                          </a:xfrm>
                          <a:prstGeom prst="rect">
                            <a:avLst/>
                          </a:prstGeom>
                          <a:noFill/>
                          <a:ln>
                            <a:noFill/>
                          </a:ln>
                        </wps:spPr>
                        <wps:txbx>
                          <w:txbxContent>
                            <w:p w14:paraId="3EF18CF4" w14:textId="77777777" w:rsidR="00B14D53" w:rsidRDefault="00000000">
                              <w:pPr>
                                <w:spacing w:line="240" w:lineRule="atLeast"/>
                                <w:contextualSpacing/>
                                <w:jc w:val="center"/>
                              </w:pPr>
                              <w:r>
                                <w:rPr>
                                  <w:rFonts w:hint="eastAsia"/>
                                </w:rPr>
                                <w:t>233.12</w:t>
                              </w:r>
                            </w:p>
                          </w:txbxContent>
                        </wps:txbx>
                        <wps:bodyPr rot="0" vert="horz" wrap="square" lIns="91440" tIns="45720" rIns="91440" bIns="45720" anchor="t" anchorCtr="0" upright="1">
                          <a:noAutofit/>
                        </wps:bodyPr>
                      </wps:wsp>
                      <wps:wsp>
                        <wps:cNvPr id="206" name="Text Box 1943"/>
                        <wps:cNvSpPr txBox="1">
                          <a:spLocks noChangeArrowheads="1"/>
                        </wps:cNvSpPr>
                        <wps:spPr bwMode="auto">
                          <a:xfrm>
                            <a:off x="4385945" y="3025140"/>
                            <a:ext cx="619125" cy="297815"/>
                          </a:xfrm>
                          <a:prstGeom prst="rect">
                            <a:avLst/>
                          </a:prstGeom>
                          <a:noFill/>
                          <a:ln>
                            <a:noFill/>
                          </a:ln>
                        </wps:spPr>
                        <wps:txbx>
                          <w:txbxContent>
                            <w:p w14:paraId="058411DA" w14:textId="77777777" w:rsidR="00B14D53" w:rsidRDefault="00000000">
                              <w:pPr>
                                <w:spacing w:line="240" w:lineRule="atLeast"/>
                                <w:contextualSpacing/>
                                <w:jc w:val="center"/>
                              </w:pPr>
                              <w:r>
                                <w:rPr>
                                  <w:rFonts w:hint="eastAsia"/>
                                </w:rPr>
                                <w:t>233.12</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340.25pt;width:426.2pt;" coordsize="5412740,4321175" editas="canvas" o:gfxdata="UEsDBAoAAAAAAIdO4kAAAAAAAAAAAAAAAAAEAAAAZHJzL1BLAwQUAAAACACHTuJAt2AxYNQAAAAF&#10;AQAADwAAAGRycy9kb3ducmV2LnhtbE2PwWrDMBBE74X8g9hAL6WRYjepcS2HEOi14DQfoFhby1Ra&#10;GUuO3b+v2kt7WRhmmHlbHRZn2Q3H0HuSsN0IYEit1z11Ei7vr48FsBAVaWU9oYQvDHCoV3eVKrWf&#10;qcHbOXYslVAolQQT41ByHlqDToWNH5CS9+FHp2KSY8f1qOZU7izPhNhzp3pKC0YNeDLYfp4nJ+Eh&#10;2MWZpsuz5nm5HKfZ5vmblfJ+vRUvwCIu8S8MP/gJHerEdPUT6cCshPRI/L3JK3bZE7CrhH0hdsDr&#10;iv+nr78BUEsDBBQAAAAIAIdO4kBf4msFrgwAAI2IAAAOAAAAZHJzL2Uyb0RvYy54bWztXU2P28gR&#10;vQfIfyB0Xw+7m2STgseLzXjtBHCSBezkzpGoj0QiFZJjjXNM7jnlkFMOAZJTfkCAIMiv2ez+jLzq&#10;Jil+yePxaETa23OwpaGGIrsfu6pevap++uXtdmO9jdJsncSXE/bEnlhRPEvm63h5OfnVmxdf+BMr&#10;y8N4Hm6SOLqcvIuyyZfPfvyjp/vdNOLJKtnMo9TCSeJsut9dTlZ5vpteXGSzVbQNsyfJLopxcJGk&#10;2zDH23R5MU/DPc6+3Vxw2/Yu9kk636XJLMoy/Pa5Pjgpzph+yAmTxWI9i54ns5ttFOf6rGm0CXPc&#10;UrZa77LJM3W1i0U0y3+5WGRRbm0uJ7jTXP2LL8Hra/r34tnTcLpMw91qPSsuIfyQS2jd0zZcx/jS&#10;6lTPwzy0btJ151Tb9SxNsmSRP5kl2wt9I2pEcBfMbo3NyzS52al7WU73y1016Jio1qh/9Glnv3j7&#10;TWqt50BCYMuJFYdbzPl3f/73t//6o6V+hRHa75ZTfPBlunu9+yYtfrHU7+imbxfplv7H7Vi3amzf&#10;VWMb3ebWDL90Hcalg2Gf4ZgjOGPS1aM/W2GKOn83W319x19elF98QddXXc5+B1xmh8HKHjZYr1fh&#10;LlJzkNEYlIPF8ZTosXpDd/iT5BajxRSe6ALwSRoqK7/FEYytwka2e5XMfptZcXK1CuNl9FWaJvtV&#10;FM5xiYzGAjdS/SmNejbN6CTX+58nc8xKeJMn6kSt8eY84MKdWBhY5jkY5WJgy6H3mK2O08gL23Xw&#10;WfqycvjC6S7N8pdRsrXoxeUkxVOjvid8+yrL9UfLj9A0Z8lmPX+x3mzUm3R5fbVJrbchnrAX6qc4&#10;e+Njm5g+HCf0Z/qM9Bt1w3SP+m7z2+tbHKQbv07m73DraaKfWKxXeLFK0t9PrD2e1stJ9rubMI0m&#10;1uZnMYYvYA5hK1dvHFdyvEnrR67rR8J4hlNdTvKJpV9e5XpJuNml6+UK36QnLE6+wpAv1moMDldV&#10;XDdApq/18dEmeB/aHBroGmTOgzbp+YFfoM0H8OxiES3R5tq28IvnnAeS4bWe8BK1JZQM2saKNqcP&#10;bXIQtDHhSeYWcBOu7bUXN8YCwG1wvFl7LEIud/VCf3SBtNVP3wK5Xedwqzbr7eUEt4Of4kNmmexx&#10;jI4YZTKCXaPsDwRcR9jAA1llTwROB7dc+Nw1uFXu4g/dvHslbl+t44gcyaCG2auY/KNwOruNX7c8&#10;SPUcvHm3g3PYcCD1n7zfgbQWm/Xu16WrU7ju3Jdeudr6Utpex7gzrwKtC5frvaZ9g7t5nyNZuYPh&#10;dBM/eAVFsBTPcT3hNA/Xm6/juZWrkcnTNbztTQTP8XKyjebwGSNEvvRKX33PEqvdTzpMg3hOT6+K&#10;wQoowJPFZRRe3iNBgcasAICUnmfrVcu3Hbe9arl26doJ7tl2MEoAILIZ1ZRWoWI5pepZPeOUIjrS&#10;U8qZkI6OUsPpwWF3EOjrwNy7KzY0j3R0lK454pU4VfBWzr+Kvx93/ntXd+kLl2aaiALXlo5+fGtI&#10;8HkgCiQAEnfQBAYK94dCX2TFB4qsuI8p1mgQWCFkyceV6wKzmSQQKMZuuEj+wX6BiazuQTkfWcMI&#10;J53ISoiaa3I+urNawFgHsoL5jIJAYjrhxwZwZbWL95HcU8NBNQTmB6QsjuGn8oFqdLkzDH6ky3wi&#10;i8kKck867RjHQ/xFgTuBCMuezwyIxsGCyz7r6Q5E7zhSwJtSKOKeJwvCru5LBQGQY1A0tlwK3JzC&#10;lFFyR61XYFzcoRgX6XNB2SosNoL7zNPpkgOOnCCghJ42aXdFZ1mehpTAukriGEm8JNV5rCN5vIZ1&#10;e7Cb9TnQL7Tsd9wcNswK0zBTrkRcBlfmgAuXA7PAjbJS8HruitYeJ6nbQE0NT8bnfrDPLVkfFr1B&#10;XG4mmW2XvLDjEJ3UBKPtE3NkjN3YjJ0TlCAquae6aOCR6ORe7om7PqIzbehkIN221428gu+RIaQF&#10;DVKhUTLLn3RqAS5OYdyGxkLN50GuW2qvpmbaPFuWvBNypHeEX4aGvDcNiWevx80ZJhpn3PEpJUEO&#10;sCuETinWsODCAS5WhVNwkDUfhXJERpJ2pwj1CKPj9bonw2DIt30FEoIQQqi2aXENhsYpa/SqzFiN&#10;FWTDYIh7jIsiOea6HrLbTRfXkT6yIZWL+2BZo1mIUCxwL9n6sYVIjMiYBUK4RDARmwO8QCfbiJMM&#10;iEYqefX6qGU2VLCNWJvS8ACR74tAK4BqLpEJtkdqztoyPj5csO05oAQVhJjL3E5JCJwkYXsfSiub&#10;EOv+IVZbxyfOlWD4KUk6eykYFnhuQLEfFhZmB8LRJMthZVGaH03ioYZGk3zHy4TOiwqqGnkeZitd&#10;aDTHK21aP4e0A7I+pQ9TUDOjQAtI3yJPLqTbMUMGLFShRvKSM0uEvYrHq0VNw4nIoJ/QDi8LfKhL&#10;W2FTwAN4M6cLmxpFhdmH1h420lTHT6HqbkriufExk896cD6Lwdp0WceBcMs9RwaF+JFB40OVOo1I&#10;jdkuhyrAAHeCWfuBl+ccMrGFdT6HX1+ryeCc+V5BTXHw5XZbqeswKLsxT0oLYKpymg0pTsExyYqo&#10;/P4Pf/n2P3/7/r9//d+f/v7dP/9hMRzCwtES82f51W2suyqQtV7P0QNAfa6s8G8WaNFck0JVl7tj&#10;Aumn34fnvvCoKkf58EXpa2PhQmcFQekUhQUHCliscuSkHK32v0YLjUovxO9VroWcP30TleMv0H0D&#10;L7e7OUrz4yUK6zdLFFnN8vSjK2KbHr8yx3qNPlLepe9yTJU/so+aHMjiMe5zFfETNcmEKGq3asGf&#10;kfubfhNFKxjZZrLGEI9CEAcCQ618KF2Rrla81QB8KFYx7MU5a1Zlm+s6t38Eg4eyZYUMLGxoMtUK&#10;QiHo91CNr42i8HUB5HGLeF5i67MgsGSbwDozBIS0mUNye1i3/iJXtFugxBy5RabI9RE85IqUGpuq&#10;HuESVTo2w3ujqj+ngSDZp5bVj4jelj6kQrgw8oc9z+sUQxt+eyB+2+9Tlg1X5iWp5ZRCCYTvqPNq&#10;LiQulGemzGuELfP8vth7oIpTiMlA6mgUoeTUg6i5iSJTcjpSXZDfpwsaCEUs4Mjfa4uF9D1zEfI0&#10;qD+DorGiCI9+t6ywLg46X/cENN5Fo2G9FnHhcKiDmig6df9OI3Q9kdDVr0i5Wt6fDYMiIdEwpsyf&#10;ogts0KnhOXEXWIOiU6GoYmo6qSy/XuhMGSpYF0ps6QbNhwRS0SqubJ6hOBcpvLbYWUAvX2bQ0evy&#10;zpI+k4hCP/3H6VbuV+xMd9LbusSeSe9VEyKDJFSfbQTQ6MSjCoAb7ogD41LOPxhYdJMkQ3Ocdm3M&#10;vzgkIik7upwXBjSc/4bUjdsNuvSj5bj1BeOBbn0ZTlWbA/UNZYvpRoFX2WTSZC2LrReOFFSQi9n1&#10;Vuprw/m8FeEE0D4UkZOH/hhtfZnEslLyujj84DYIDTvTkI3Vjhg12MPVYHhquygbKLISNupOK7m8&#10;RDeftk9Mqgo8FkpUYVpCYR+HkWyMEFTCnOF9YugFJdWykz/EfNeh9lANg2giq5HG50EfVzhQZCUF&#10;UKRBJGwsOm2tnwHRWEHURxUOBCK0FAuob6FKWxTGzSxFtOnP2Hf6oYCp63wPQ/JA24otrTSKUMaB&#10;Dj7GoH0a+0UFI6IKfVgxKv2gPDukVx1xljFoYzVoHVlfvR7+Hr3DsGPcQQ/vwEwqPbxq8wH1Zjwv&#10;tfLcLo+daDMTlDhTC2iCHtKvPm+vX5xjBx4qcaS4Tm1t8V6CyugC710GHVRs8wjiMxf5riJ/Cj5a&#10;1S0ap+iTcIoq+np4FGHbUoek58qegSkyma9PZBNNyMJL17os41MJiVbp1ol32aqV8Tmc236hJSs6&#10;IDaWHzRZpaOKY3Q5tstV3vbxfMkw5gjXM6ISK+wN2J7Ueqx0DyelvzLvzr13HY40ZynKCQJ0EGsL&#10;BDk2TC2m1QjPTy4853YfAzxQjZ0jPTiUOtZh2Ji0U6IEOg+FS/oZZ1Jwrru9H3/Gz9C1u9HnoNFR&#10;gWI1DWdcYONjJgH24AQYtyvSuTRHH7ly1cMr9Tgcyo2PhFc6Ed8wfKXOo3/BUwIA1Viobs9ADjlF&#10;eIXQCjXoLXqoSLRTOgSBWNHa9TjWh7Fnn3JLZxUwd9nCYVL1jitYQPQlET0BZIZtkTN6flMErh2c&#10;Si90HA93rX21hHxr99DaEbNSnWClwqR1UDZQqh5bVbq0lzKhjEkUdbbzY0YEPU46Ec0HRoQi4btB&#10;WdaDxEZHVmRQdG8UIYBaTvfLnRLgLdNwt1rPnod5WH+P1/vdNOLJKtnMo/T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bDwAAW0NvbnRlbnRf&#10;VHlwZXNdLnhtbFBLAQIUAAoAAAAAAIdO4kAAAAAAAAAAAAAAAAAGAAAAAAAAAAAAEAAAAP0NAABf&#10;cmVscy9QSwECFAAUAAAACACHTuJAihRmPNEAAACUAQAACwAAAAAAAAABACAAAAAhDgAAX3JlbHMv&#10;LnJlbHNQSwECFAAKAAAAAACHTuJAAAAAAAAAAAAAAAAABAAAAAAAAAAAABAAAAAAAAAAZHJzL1BL&#10;AQIUABQAAAAIAIdO4kC3YDFg1AAAAAUBAAAPAAAAAAAAAAEAIAAAACIAAABkcnMvZG93bnJldi54&#10;bWxQSwECFAAUAAAACACHTuJAX+JrBa4MAACNiAAADgAAAAAAAAABACAAAAAjAQAAZHJzL2Uyb0Rv&#10;Yy54bWxQSwUGAAAAAAYABgBZAQAAQxAAAAAA&#10;">
                <o:lock v:ext="edit" aspectratio="f"/>
                <v:shape id="_x0000_s1026" o:spid="_x0000_s1026" style="position:absolute;left:0;top:0;height:4321175;width:5412740;" filled="f" stroked="t" coordsize="21600,21600" o:gfxdata="UEsDBAoAAAAAAIdO4kAAAAAAAAAAAAAAAAAEAAAAZHJzL1BLAwQUAAAACACHTuJAt2AxYNQAAAAF&#10;AQAADwAAAGRycy9kb3ducmV2LnhtbE2PwWrDMBBE74X8g9hAL6WRYjepcS2HEOi14DQfoFhby1Ra&#10;GUuO3b+v2kt7WRhmmHlbHRZn2Q3H0HuSsN0IYEit1z11Ei7vr48FsBAVaWU9oYQvDHCoV3eVKrWf&#10;qcHbOXYslVAolQQT41ByHlqDToWNH5CS9+FHp2KSY8f1qOZU7izPhNhzp3pKC0YNeDLYfp4nJ+Eh&#10;2MWZpsuz5nm5HKfZ5vmblfJ+vRUvwCIu8S8MP/gJHerEdPUT6cCshPRI/L3JK3bZE7CrhH0hdsDr&#10;iv+nr78BUEsDBBQAAAAIAIdO4kCQqve0bQwAADaIAAAOAAAAZHJzL2Uyb0RvYy54bWztXc2S20oV&#10;3lPFO6i8vxl1t6SWXHFuXSYEqApwqxLYa2x5bJAlI2kyE5Y8AGtWLKiCFa9A8TTAfQy+0y3J+nMm&#10;k/FYmnt7Fok98siS+tP5+c53jl5+fbeLrQ9Rlm/TZDFjL+yZFSXLdLVNrhez37x/85U/s/IiTFZh&#10;nCbRYvYxymdfv/rxj17e7ucRTzdpvIoyCztJ8vntfjHbFMV+fnGRLzfRLsxfpPsowcZ1mu3CAm+z&#10;64tVFt5i77v4gtu2d3GbZqt9li6jPMdvX+uNs3KP2efsMF2vt8vodbq82UVJofeaRXFY4JTyzXaf&#10;z16po12vo2Xx6/U6jworXsxwpoX6F1+C11f078Wrl+H8Ogv3m+2yPITwcw6hc067cJvgS+tdvQ6L&#10;0LrJtr1d7bbLLM3TdfFime4u9ImoK4KzYHbn2lyGyYdQn8wS17o6QLw64X6vrum4k/TNNo5xNS6w&#10;9zn9jv6/xWpHtDlOrNvFzBOurc4yT+Ptiv6AtuXZ9dVlnFkfQrrG6ocu6wW2HD6Gd3FS7r3c6+0e&#10;AMr3NZTyx53Uu024j9TC5/Plrz58m1nbFfDNAeck3AHI76O7wvpJemexgKmFpwPAJ9/t8dniDlvw&#10;cX16+7fp8ve5laSXmzC5jr7JsvR2E4UrHCJT59b4U7pS+TynnVzd/jJd4ZvCmyJVO7pbZzu6RFhn&#10;C3vnPODCnVkfsRvP4dJxNf7owJbY7jFbbV/iA8J2HXxWX8hqP/ssL34WpTuLXixmGeCtvif88DYv&#10;9Eerj6iVOVz/zjK9UT/9ZdKr1IRDvW76HPXZFndXd/g6OvGrdPURp56l+taCYcGLTZr9cWbd4rZa&#10;zPI/3IRZNLPiXyS4fAFzHLoP1RvHlRxvsuaWq+aWMFliV4tZMbP0y8tC37s3+2x7vcE36QVL0m9w&#10;yddbdQ0OR6XwpkCmj/Xp0Sb4ENocutANyJwHbdLzA79Emw/g2aW1q9Dm2rbwcfkJbTyQDK8N2p4X&#10;2pwhtMlR0MaEJ5lbwg1+wusaN8YCwG10vJEfC1zuakN/1EAe82PhfLctEP/E291ihtPBT3nXlO7N&#10;mMlmdHfEKZMT7DtlfyTgOsIGHsgreyJwerjlwueIe0a2kwa3U3DvXoXbt9skokAyaGD2Mvk2o7Br&#10;eZe860SQ6j54/3GP4LAVQOo/+XQAaa3j7f63VahThZK+9Cpr60tpez3nzrwatC5Crk+69hhn86lA&#10;ss4OqkzgURY0S2+SFY4nnBfhNv5psrIKdWWKbItoO44QOS5mu2iFmDFCikqv9NEPmFgdftJmuogI&#10;8M4W6ckOFBDJ4jDKKO+JoNDIJaT0PFtbLd923K7Vcu0qtBPcs+1gkgA4JIVNrznektapYnl3c3Wv&#10;nnFJkR3pJeVMSEdnqeH8ELA7DAupHBFScXNLN2inB/EqR6ISp07eqvVX1/hp13/QuktfuLTSRBS4&#10;tnT07dtAgs8DUSIBkDBQaDKQJ4HCUGbFR8qsuI8l1mgQsBBSqvU+oIHZTBIITISKi/QDJ6AIJ73M&#10;SohGaHI+ulNDFgaM9SArmM8oCSTuCXFsgFBWh3hfyHS2AlSKkupfDMcYhsA84gPdOgZq0OXOOPiR&#10;LvOJLCYvyD3pdHMcD/kXJe4lgekzA6JpsOByyHsCWYf86HxGCP5SIJpSKOKeJ0vC7uA9XT8IgByD&#10;oqnVUhDmlK6MijvKXoFxccdiXKTPBVWrYI0E95mnyyUHHDlBQAU97dLuy87yIgupgHWZJgmKeGmm&#10;61hH6ni1MzP0S1nWJbPfC3PYOBam5aZcibwMdu6AC5cDs8CN8lKIeu7L1p6mqNuijxt4MtWMB+gx&#10;hmMmyYaw6I3j7SSz7YoXdhyik9pgtH1ijoyzm5qzc4IKRBX31BQNPBGdPMg9cddHdqYdnQyk2426&#10;UVfwPXKEZNAYl5Nklp91aQEhTuncxsZCI+ZBrVvqqKbh2jxbVrwTaqT3pF+xKTIdVfoNexaGe28g&#10;zBknG2fc8akkQQGwK4QuKTaw4CIALq3CKdREjRiFyn6G0blXLXoMQ4PhyTgY8m0k2yWEkEJ1XYtr&#10;MDRNWaNXV8YarCAbB0PcY1xUIHI9VLfbIa4jfVRD6hD30bJGY4ig6j9FTc0TE3JmgRAuEUzE5gAv&#10;0Mm28iQDookKrL0hapmNlWwj16YyPEDk+yLQCqBGSGSS7Ym6s66Mj4+XbHsOKEEFIeYyt9cSgiBJ&#10;2N7n0somxYoenGJ1dXziXAWGn5Okc5CCYYHnBpT7EcNiB8LRJMvBsijNjybx0EOjST4Uuo8Uz8+L&#10;CmpAeh3mG90PtsIr7Vq/F6pPry6Pl9TMJNAC0reskwvp9tyQAQt1qCG8O7dE2Kt5vEbWNJ6IDPoJ&#10;HfCywIe6tJM2BTxANHO6tKnR+/mA3sNWmer4LlTfTUU8tz5m6lmPrmcxeJs+6zgSbrnnyKAUP7JA&#10;+tSp08rUmO1yqAIMcGdYtR+4+PFQiS298zni+kZPBufM90pqioMvt7tKXYdB2Y11UloA05XTnhxx&#10;Co5J1kTld3/6y3/+9bfv/v3X//757//75z8shk0wHB0xf15c3iV6UAB56+2KuvTpcypWwHCAdoMW&#10;rTUF2brdHQtIP8MxPPeFR105KoYvW19bhkugx4PKKQoLDhSwsHL0xUfD+CvMuqj1QvxB7VpqcIO1&#10;pHb8NcZk4Et3+xVa85NrNNbH12iyWhbZF3fEtiN+5Y61jT7S3qXPckrNXHKImhzJ42FiBVcZP1GT&#10;TIiyd6uR/Bm5v5k3UU43kV0mawr5KARxIDCU5UPrinS14q0B4EOzimEvztmzKrtc17njIzg8tC0r&#10;ZMCwYRpUJwmFoN9DN752isLXDZDHPeJ5ia3vBYEluwTWmSEgpM0cktvDuw03uWLcAhXmKCwyTa5P&#10;ECHXpNTUVPVIl6jTUYeOVc+zUdWf00GQ7FPL6idEb0sfUiEcGMXDnuf1mqENvz0Sv+0PKcvGa/OS&#10;NHJKoQTCd/R5tQ2JafOaqKLDH8q9R+o4hZgMpI5GEVpOPYia2ygyLadTRdGQLmgkFLGAo36vPRbK&#10;98xFytOi/gyKpooi3Pr9tsKmOOh8jcucYa5HaYu4cDjUQW0UnXp+pxG6nkjo6tekXKPuz8ZBkZBo&#10;gK/qp5gCG/R6eE48Bdag6FQoqpmaXinLbzY6U4UK3oUKWzSEuipRNcqS1fAMxblI4XXFzgJ6+aqC&#10;jlmX97b0mUIUhrE/zbRyv2Zn+ove1SUOLPqgmhAVJKHmbCOBxiQe1QDcCkccOJdq/cHAYpokOZrj&#10;tGtr/cWhEEmQu16VDjRc/Y7UjbsY4/QxGd76ivFAj74M52rMgfqG5rTyluUgIZCpWpbPSDjS2UUh&#10;Zj9aadqG80UrwgmgfSgzJw/zMbr6MgmzUvG62PzoMQg9tNQjSRtbjBrs8Wow3LV9lI2UWQkbfae1&#10;XF5imk83JiZVBW4LJaqAXMyMhJrIgxGCWpgzfkwMvaCkXnaKh5jvOjQequUQTWY10fw8GOIKR8qs&#10;pACKNIiEDaPT1foZEE0VRENU4UggwkixgJyUKluUzs2YInroz9Sf9EMJUz/4HofkgbYVj7TSKEIb&#10;Byb4GIf2PJ4XFUyIKvThxaj1g+rskF71xFnGoU3VofVkfc1++AfMDkOj1kEP78BNKj28GvMB9Way&#10;qrTy3K62nehhJmhxphHQBD2UX33etV+c4wk81OJIeZ16tMUnCSqjC3xwG3RQs80TyM9c1LvK+in4&#10;aNW3aIKiZxEU1fT1+ChiEu03ZVCEZ9OBBDdB0bMIiiALr0Lrqo1PFSQ6rVsnfspWo17mcG77pZas&#10;nIDYMj8MNVU4K8UxutyhGfQTdEeo30yoxQpPN+4uajNXekCQMtyZd++zdx2OMmclygkCTBDrCgQ5&#10;HphaLqsRnp9ceM7tIQZ4pB47R3oIKHWuw/Bg0l6LEug8NC7pe5xJwbme9n68JnqGqd2tOQef9dBt&#10;87DSE/QUc7smnSt39IWWq5leqdvh0G58JL3ShfiW46t0HsMGTwkA1GChpj8DOeSU6RVSK/SgdyKh&#10;stBO5RAkYuVo1+NYN+nVQ9MrlTD32cJxSvWOK1hA9CURPQFkhl2RM2Z+UwauA5xaL3QcD/fZvkZB&#10;Pk5aE14aW0yp/tGlek7ZTg9lI5Xq8ahKl56lTChjEk2d3fqYEUFPk07E8IEJoUj4blC19aCw0ZMV&#10;GRQ9GEVIoJYQMC6VAO86C/eb7fJ1WITN93h9u59HPN2k8SrKX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g4AAFtDb250ZW50X1R5cGVzXS54&#10;bWxQSwECFAAKAAAAAACHTuJAAAAAAAAAAAAAAAAABgAAAAAAAAAAABAAAAC8DQAAX3JlbHMvUEsB&#10;AhQAFAAAAAgAh07iQIoUZjzRAAAAlAEAAAsAAAAAAAAAAQAgAAAA4A0AAF9yZWxzLy5yZWxzUEsB&#10;AhQACgAAAAAAh07iQAAAAAAAAAAAAAAAAAQAAAAAAAAAAAAQAAAAAAAAAGRycy9QSwECFAAUAAAA&#10;CACHTuJAt2AxYNQAAAAFAQAADwAAAAAAAAABACAAAAAiAAAAZHJzL2Rvd25yZXYueG1sUEsBAhQA&#10;FAAAAAgAh07iQJCq97RtDAAANogAAA4AAAAAAAAAAQAgAAAAIwEAAGRycy9lMm9Eb2MueG1sUEsF&#10;BgAAAAAGAAYAWQEAAAIQAAAAAA==&#10;">
                  <v:fill on="f" focussize="0,0"/>
                  <v:stroke weight="0.5pt" color="#000000 [3213]" joinstyle="round"/>
                  <v:imagedata o:title=""/>
                  <o:lock v:ext="edit" aspectratio="t"/>
                </v:shape>
                <v:shape id="Text Box 1910" o:spid="_x0000_s1026" o:spt="202" type="#_x0000_t202" style="position:absolute;left:229235;top:1642745;height:305435;width:610235;" fillcolor="#FFFFFF" filled="t" stroked="f" coordsize="21600,21600" o:gfxdata="UEsDBAoAAAAAAIdO4kAAAAAAAAAAAAAAAAAEAAAAZHJzL1BLAwQUAAAACACHTuJAHMw8QtUAAAAF&#10;AQAADwAAAGRycy9kb3ducmV2LnhtbE2PwW7CMBBE75X4B2srcamKDSIhTeMggdSqVygfsImXJGq8&#10;jmJD4O/r9tJeVhrNaOZtsb3ZXlxp9J1jDcuFAkFcO9Nxo+H0+facgfAB2WDvmDTcycO2nD0UmBs3&#10;8YGux9CIWMI+Rw1tCEMupa9bsugXbiCO3tmNFkOUYyPNiFMst71cKZVKix3HhRYH2rdUfx0vVsP5&#10;Y3pKXqbqPZw2h3W6w25TubvW88elegUR6Bb+wvCDH9GhjEyVu7DxotcQHwm/N3pZslqDqDSkmUpA&#10;loX8T19+A1BLAwQUAAAACACHTuJAj3xqFCYCAABMBAAADgAAAGRycy9lMm9Eb2MueG1srVRNb9sw&#10;DL0P2H8QdF/80SRdjDhFlyDDgK4b0O4HKLIcC7NFjVJiZ79+lJy2WXfpYT4Yovn8yPdIe3kzdC07&#10;KnQaTMmzScqZMhIqbfYl//G4/fCRM+eFqUQLRpX8pBy/Wb1/t+xtoXJooK0UMiIxruhtyRvvbZEk&#10;TjaqE24CVhlK1oCd8BTiPqlQ9MTetUmepvOkB6wsglTO0dPNmORnRnwLIdS1lmoD8tAp40dWVK3w&#10;JMk12jq+it3WtZL+W1075VlbclLq452K0HkX7slqKYo9CttoeW5BvKWFV5o6oQ0VfabaCC/YAfU/&#10;VJ2WCA5qP5HQJaOQ6AipyNJX3jw0wqqohax29tl09/9o5f3xOzJd0SbkNHgjOhr5oxo8+wQDyxZZ&#10;tKi3riDkgyWsHyhD8CjX2TuQPx0zsG6E2atbROgbJSpqMQvmJhevhqG4wgWSXf8VKqokDh4i0VBj&#10;F/wjRxix5/kiv5pxdiKa+TS/ns7GSYXGJOXnWRrzkgBX6WxK2FBMFE88Fp3/rKBj4VBypEWIdcTx&#10;zvkR+gQJZR20utrqto0B7nfrFtlR0NJs43Vm/wvWmgA2EF4bGcOTKDhoHNX6YTdQMgjfQXUi6Qjj&#10;EtInSIcG8DdnPS1gyd2vg0DFWfvFkH2LbDoNGxuD6ew6pwAvM7vLjDCSqEruORuPaz9u+cGi3jdU&#10;aRyYgVuyvNbRg5euzn3TkkUXzx9E2OLLOKJefgK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zM&#10;PELVAAAABQEAAA8AAAAAAAAAAQAgAAAAIgAAAGRycy9kb3ducmV2LnhtbFBLAQIUABQAAAAIAIdO&#10;4kCPfGoUJgIAAEwEAAAOAAAAAAAAAAEAIAAAACQBAABkcnMvZTJvRG9jLnhtbFBLBQYAAAAABgAG&#10;AFkBAAC8BQAAAAA=&#10;">
                  <v:fill on="t" focussize="0,0"/>
                  <v:stroke on="f"/>
                  <v:imagedata o:title=""/>
                  <o:lock v:ext="edit" aspectratio="f"/>
                  <v:textbox>
                    <w:txbxContent>
                      <w:p w14:paraId="20D5A088">
                        <w:pPr>
                          <w:spacing w:line="240" w:lineRule="atLeast"/>
                          <w:contextualSpacing/>
                          <w:rPr>
                            <w:rFonts w:hint="default" w:eastAsia="宋体"/>
                            <w:lang w:val="en-US" w:eastAsia="zh-CN"/>
                          </w:rPr>
                        </w:pPr>
                        <w:r>
                          <w:rPr>
                            <w:rFonts w:hint="eastAsia"/>
                            <w:snapToGrid w:val="0"/>
                            <w:szCs w:val="22"/>
                            <w:lang w:val="en-US" w:eastAsia="zh-CN"/>
                          </w:rPr>
                          <w:t>295.07</w:t>
                        </w:r>
                      </w:p>
                    </w:txbxContent>
                  </v:textbox>
                </v:shape>
                <v:shape id="Text Box 1914" o:spid="_x0000_s1026" o:spt="202" type="#_x0000_t202" style="position:absolute;left:768985;top:1892300;height:297180;width:500380;" fillcolor="#FFFFFF" filled="t" stroked="f" coordsize="21600,21600" o:gfxdata="UEsDBAoAAAAAAIdO4kAAAAAAAAAAAAAAAAAEAAAAZHJzL1BLAwQUAAAACACHTuJAHMw8QtUAAAAF&#10;AQAADwAAAGRycy9kb3ducmV2LnhtbE2PwW7CMBBE75X4B2srcamKDSIhTeMggdSqVygfsImXJGq8&#10;jmJD4O/r9tJeVhrNaOZtsb3ZXlxp9J1jDcuFAkFcO9Nxo+H0+facgfAB2WDvmDTcycO2nD0UmBs3&#10;8YGux9CIWMI+Rw1tCEMupa9bsugXbiCO3tmNFkOUYyPNiFMst71cKZVKix3HhRYH2rdUfx0vVsP5&#10;Y3pKXqbqPZw2h3W6w25TubvW88elegUR6Bb+wvCDH9GhjEyVu7DxotcQHwm/N3pZslqDqDSkmUpA&#10;loX8T19+A1BLAwQUAAAACACHTuJAeygK+yYCAABMBAAADgAAAGRycy9lMm9Eb2MueG1srVTLbtsw&#10;ELwX6D8QvNeSX7EtWA5SGy4KpA8g6QfQFCURlbjskrbkfn2XlJO46SWH+iDsapezO8OR17d927CT&#10;QqfB5Hw8SjlTRkKhTZXzH4/7D0vOnBemEA0YlfOzcvx28/7durOZmkANTaGQEYhxWWdzXntvsyRx&#10;slatcCOwylCxBGyFpxSrpEDREXrbJJM0vUk6wMIiSOUcvd0NRX5BxLcAQllqqXYgj60yfkBF1QhP&#10;lFytreObuG1ZKum/laVTnjU5J6Y+PmkIxYfwTDZrkVUobK3lZQXxlhVecWqFNjT0GWonvGBH1P9A&#10;tVoiOCj9SEKbDESiIsRinL7S5qEWVkUuJLWzz6K7/wcrv56+I9MFOWE64cyIlq78UfWefYSejVfj&#10;WZCosy6jzgdLvb6nCrVHus7eg/zpmIFtLUyl7hChq5UoaMVxOJlcHR1wXAA5dF+goEni6CEC9SW2&#10;QT9ShBH64ma5Ws45OxPMcjWZppebCotJqs/TdLqkO5TUMFktxhSHYSJ7wrHo/CcFLQtBzpGMEOeI&#10;073zQ+tTSxjroNHFXjdNTLA6bBtkJ0Gm2cffBf2vtsaEZgPh2IAY3kTCgePA1veHnopBhQMUZ6KO&#10;MJiQPkEKasDfnHVkwJy7X0eBirPmsyH5SPpZcGxMZvPFhBK8rhyuK8JIgsq552wIt35w+dGirmqa&#10;NFyYgTuSvNRRg5etLnuTyaKKlw8iuPg6j10vfwK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zM&#10;PELVAAAABQEAAA8AAAAAAAAAAQAgAAAAIgAAAGRycy9kb3ducmV2LnhtbFBLAQIUABQAAAAIAIdO&#10;4kB7KAr7JgIAAEwEAAAOAAAAAAAAAAEAIAAAACQBAABkcnMvZTJvRG9jLnhtbFBLBQYAAAAABgAG&#10;AFkBAAC8BQAAAAA=&#10;">
                  <v:fill on="t" focussize="0,0"/>
                  <v:stroke on="f"/>
                  <v:imagedata o:title=""/>
                  <o:lock v:ext="edit" aspectratio="f"/>
                  <v:textbox>
                    <w:txbxContent>
                      <w:p w14:paraId="7D3E3C68">
                        <w:pPr>
                          <w:spacing w:line="240" w:lineRule="atLeast"/>
                          <w:contextualSpacing/>
                          <w:rPr>
                            <w:rFonts w:hint="default" w:eastAsia="宋体"/>
                            <w:lang w:val="en-US" w:eastAsia="zh-CN"/>
                          </w:rPr>
                        </w:pPr>
                        <w:r>
                          <w:rPr>
                            <w:rFonts w:hint="eastAsia"/>
                            <w:lang w:val="en-US" w:eastAsia="zh-CN"/>
                          </w:rPr>
                          <w:t>4.59</w:t>
                        </w:r>
                      </w:p>
                    </w:txbxContent>
                  </v:textbox>
                </v:shape>
                <v:shape id="Text Box 1917" o:spid="_x0000_s1026" o:spt="202" type="#_x0000_t202" style="position:absolute;left:1367155;top:1350645;height:297180;width:1193800;" fillcolor="#FFFFFF" filled="t" stroked="t" coordsize="21600,21600" o:gfxdata="UEsDBAoAAAAAAIdO4kAAAAAAAAAAAAAAAAAEAAAAZHJzL1BLAwQUAAAACACHTuJAEod7ddcAAAAF&#10;AQAADwAAAGRycy9kb3ducmV2LnhtbE2PwU7DMBBE70j9B2uRuKDWbmlDGuL0gASCWykVvbrxNolq&#10;r4PtpuXvMVzgstJoRjNvy9XFGjagD50jCdOJAIZUO91RI2H7/jTOgYWoSCvjCCV8YYBVNboqVaHd&#10;md5w2MSGpRIKhZLQxtgXnIe6RavCxPVIyTs4b1VM0jdce3VO5dbwmRAZt6qjtNCqHh9brI+bk5WQ&#10;z1+GXXi9W3/U2cEs4+398Pzppby5nooHYBEv8S8MP/gJHarEtHcn0oEZCemR+HuTly9mc2B7CVku&#10;FsCrkv+nr74BUEsDBBQAAAAIAIdO4kDkQl5xQAIAAJcEAAAOAAAAZHJzL2Uyb0RvYy54bWytVM1u&#10;2zAMvg/YOwi6L7bTOGmMOkXXIsOA7gdo9wCKLMfCJFGTlNjZ04+S3S7oNqCH6SCQJvWR/Ej66nrQ&#10;ihyF8xJMTYtZTokwHBpp9jX99rh9d0mJD8w0TIERNT0JT683b99c9bYSc+hANcIRBDG+6m1NuxBs&#10;lWWed0IzPwMrDBpbcJoFVN0+axzrEV2rbJ7ny6wH11gHXHiPX+9GI50Q3WsAoW0lF3fAD1qYMKI6&#10;oVjAknwnraeblG3bCh6+tK0XgaiaYqUh3RgE5V28s80Vq/aO2U7yKQX2mhRe1KSZNBj0GeqOBUYO&#10;Tv4BpSV34KENMw46GwtJjGAVRf6Cm4eOWZFqQaq9fSbd/z9Y/vn41RHZ4CRcLCgxTGPLH8UQyHsY&#10;SLEuVpGi3voKPR8s+oYBLeieyvX2Hvh3TwzcdszsxY1z0HeCNZhiEV9mZ09HHB9Bdv0naDASOwRI&#10;QEPrdOQPGSER/WK5KsqSklOUy3y5KMdWxcx4dCjWF5c5dpGjx3y9Ki5TLzNWPSFZ58MHAZpEoaYO&#10;RyFFYsd7H2JmrHpyiYE9KNlspVJJcfvdrXLkyHBstumkYl64KUP6mq7LeTmS8U+IPJ2/QWgZcJuU&#10;1DXFcvBMTspM3EW6RuLCsBumXuygOSGLDsZ5xm1GoQP3k5IeZ7mm/seBOUGJ+miwE+tisYjDn5RF&#10;uZqj4s4tu3MLMxyhahooGcXbMC7MwTq57zDS2HsDN9i9ViYyY5vHrKa8cV4Tx9NuxYU415PX7//J&#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h3t11wAAAAUBAAAPAAAAAAAAAAEAIAAAACIAAABk&#10;cnMvZG93bnJldi54bWxQSwECFAAUAAAACACHTuJA5EJecUACAACXBAAADgAAAAAAAAABACAAAAAm&#10;AQAAZHJzL2Uyb0RvYy54bWxQSwUGAAAAAAYABgBZAQAA2AUAAAAA&#10;">
                  <v:fill on="t" focussize="0,0"/>
                  <v:stroke color="#000000" miterlimit="8" joinstyle="miter"/>
                  <v:imagedata o:title=""/>
                  <o:lock v:ext="edit" aspectratio="f"/>
                  <v:textbox>
                    <w:txbxContent>
                      <w:p w14:paraId="574F0F73">
                        <w:pPr>
                          <w:spacing w:line="240" w:lineRule="atLeast"/>
                          <w:contextualSpacing/>
                          <w:jc w:val="center"/>
                          <w:rPr>
                            <w:rFonts w:hint="eastAsia" w:eastAsia="宋体"/>
                            <w:lang w:eastAsia="zh-CN"/>
                          </w:rPr>
                        </w:pPr>
                        <w:r>
                          <w:rPr>
                            <w:rFonts w:hint="eastAsia"/>
                            <w:lang w:val="en-US" w:eastAsia="zh-CN"/>
                          </w:rPr>
                          <w:t>屠宰用水</w:t>
                        </w:r>
                      </w:p>
                    </w:txbxContent>
                  </v:textbox>
                </v:shape>
                <v:shape id="Text Box 1918" o:spid="_x0000_s1026" o:spt="202" type="#_x0000_t202" style="position:absolute;left:1343025;top:639445;height:297180;width:1238250;" fillcolor="#FFFFFF" filled="t" stroked="t" coordsize="21600,21600" o:gfxdata="UEsDBAoAAAAAAIdO4kAAAAAAAAAAAAAAAAAEAAAAZHJzL1BLAwQUAAAACACHTuJAEod7ddcAAAAF&#10;AQAADwAAAGRycy9kb3ducmV2LnhtbE2PwU7DMBBE70j9B2uRuKDWbmlDGuL0gASCWykVvbrxNolq&#10;r4PtpuXvMVzgstJoRjNvy9XFGjagD50jCdOJAIZUO91RI2H7/jTOgYWoSCvjCCV8YYBVNboqVaHd&#10;md5w2MSGpRIKhZLQxtgXnIe6RavCxPVIyTs4b1VM0jdce3VO5dbwmRAZt6qjtNCqHh9brI+bk5WQ&#10;z1+GXXi9W3/U2cEs4+398Pzppby5nooHYBEv8S8MP/gJHarEtHcn0oEZCemR+HuTly9mc2B7CVku&#10;FsCrkv+nr74BUEsDBBQAAAAIAIdO4kDRTgOfPQIAAJYEAAAOAAAAZHJzL2Uyb0RvYy54bWytVNtu&#10;2zAMfR+wfxD0vjh2kjYx4hRdggwDugvQ7gMUWY6FSaImKbGzrx8lp12QDUMf5gdDNKnDw0PSy7te&#10;K3IUzkswFc1HY0qE4VBLs6/ot6ftuzklPjBTMwVGVPQkPL1bvX2z7GwpCmhB1cIRBDG+7GxF2xBs&#10;mWWet0IzPwIrDDobcJoFNN0+qx3rEF2rrBiPb7IOXG0dcOE9ft0MTnpGdK8BhKaRXGyAH7QwYUB1&#10;QrGAJflWWk9XiW3TCB6+NI0XgaiKYqUhvTEJnnfxna2WrNw7ZlvJzxTYayhc1aSZNJj0BWrDAiMH&#10;J/+A0pI78NCEEQedDYUkRbCKfHylzWPLrEi1oNTevoju/x8s/3z86oiscRImM0oM09jyJ9EH8h56&#10;ki/yeZSos77EyEeLsaFHD4ancr19AP7dEwPrlpm9uHcOulawGinm8WZ2cXXA8RFk132CGjOxQ4AE&#10;1DdOR/1QERLRJ9PJuEBCp4reTBbT6WzoVCTGo7+YzIsZNpFjQLG4zeeplRkrn4Gs8+GDAE3ioaIO&#10;JyElYscHHyIxVj6HxLwelKy3UqlkuP1urRw5MpyabXpSLVdhypCuoosZ8vw3xDg9f4PQMuAyKakr&#10;Or8MUuYsXVRr0C30u/7cih3UJxTRwTDOuMx4aMH9pKTDUa6o/3FgTlCiPhpsxCKfTuPsJ2M6uy3Q&#10;cJee3aWHGY5QFQ2UDMd1GPblYJ3ct5hpaL2Be2xeI5OYscsDqzNvHNek8Xm14j5c2inq9+9k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h3t11wAAAAUBAAAPAAAAAAAAAAEAIAAAACIAAABkcnMv&#10;ZG93bnJldi54bWxQSwECFAAUAAAACACHTuJA0U4Dnz0CAACWBAAADgAAAAAAAAABACAAAAAmAQAA&#10;ZHJzL2Uyb0RvYy54bWxQSwUGAAAAAAYABgBZAQAA1QUAAAAA&#10;">
                  <v:fill on="t" focussize="0,0"/>
                  <v:stroke color="#000000" miterlimit="8" joinstyle="miter"/>
                  <v:imagedata o:title=""/>
                  <o:lock v:ext="edit" aspectratio="f"/>
                  <v:textbox>
                    <w:txbxContent>
                      <w:p w14:paraId="7C02BA66">
                        <w:pPr>
                          <w:spacing w:line="240" w:lineRule="atLeast"/>
                          <w:contextualSpacing/>
                          <w:jc w:val="center"/>
                          <w:rPr>
                            <w:rFonts w:hint="default" w:eastAsia="宋体"/>
                            <w:lang w:val="en-US" w:eastAsia="zh-CN"/>
                          </w:rPr>
                        </w:pPr>
                        <w:r>
                          <w:rPr>
                            <w:rFonts w:hint="eastAsia"/>
                            <w:lang w:val="en-US" w:eastAsia="zh-CN"/>
                          </w:rPr>
                          <w:t>待宰圈冲洗用水</w:t>
                        </w:r>
                      </w:p>
                    </w:txbxContent>
                  </v:textbox>
                </v:shape>
                <v:line id="Line 1919" o:spid="_x0000_s1026" o:spt="20" style="position:absolute;left:287655;top:1877060;flip:y;height:2540;width:501650;" filled="f" stroked="t" coordsize="21600,21600" o:gfxdata="UEsDBAoAAAAAAIdO4kAAAAAAAAAAAAAAAAAEAAAAZHJzL1BLAwQUAAAACACHTuJACHNWRtYAAAAF&#10;AQAADwAAAGRycy9kb3ducmV2LnhtbE2PwU7DMBBE70j8g7VI3KidqqlCiNMDAokTghYhcXPjJQmN&#10;18HeNoWvx/QCl5VGM5p5W62ObhAHDLH3pCGbKRBIjbc9tRpeNvdXBYjIhqwZPKGGL4ywqs/PKlNa&#10;P9EzHtbcilRCsTQaOuaxlDI2HToTZ35ESt67D85wkqGVNpgplbtBzpVaSmd6SgudGfG2w2a33jsN&#10;15sp909h97rI+s+377sPHh8eWevLi0zdgGA88l8YfvETOtSJaev3ZKMYNKRH+HSTV+TzBYithmWh&#10;cpB1Jf/T1z9QSwMEFAAAAAgAh07iQAA1EBn8AQAA6QMAAA4AAABkcnMvZTJvRG9jLnhtbK1TTY/b&#10;IBC9V+p/QNwb22mdDyvOHpJuL2kbabe9E8AxKjAISOz8+w4k2q9e9lAfLGDevJn3GFZ3o9HkLH1Q&#10;YFtaTUpKpOUglD229Nfj/acFJSEyK5gGK1t6kYHerT9+WA2ukVPoQQvpCZLY0AyupX2MrimKwHtp&#10;WJiAkxaDHXjDIm79sRCeDchudDEty1kxgBfOA5ch4On2GqQ3Rv8eQug6xeUW+MlIG6+sXmoWUVLo&#10;lQt0nbvtOsnjz64LMhLdUlQa8x+L4PqQ/sV6xZqjZ65X/NYCe08LbzQZpiwWfaLassjIyat/qIzi&#10;HgJ0ccLBFFch2RFUUZVvvHnomZNZC1od3JPp4f/R8h/nvSdK4CR8nlFimcEr3ykrSbWslsmewYUG&#10;URu790kgH+2D2wH/E4iFTc/sUeY2Hy8OM6uUUbxKSZvgsMhh+A4CMewUIXs1dt6QTiv3OyUmcvSD&#10;jC2dLuazuqbkgueL+byc3e5JjpFwjNdlNavxBjkCpvWXHC1Yk/gSi/MhfpNgSFq0VKOazM7OuxBT&#10;f8+QBLdwr7TOg6AtGVq6rKd1TgiglUjBBAv+eNhoT84sjVL+sliMvIR5OFmRySJT+qsVJGZnolfo&#10;lZY0VTBSUKIlvr+0urak7c25ZNbV9gOIy96ncDIRJyD3fpvWNGIv9xn1/ELX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Ic1ZG1gAAAAUBAAAPAAAAAAAAAAEAIAAAACIAAABkcnMvZG93bnJldi54&#10;bWxQSwECFAAUAAAACACHTuJAADUQGfwBAADpAwAADgAAAAAAAAABACAAAAAlAQAAZHJzL2Uyb0Rv&#10;Yy54bWxQSwUGAAAAAAYABgBZAQAAkwUAAAAA&#10;">
                  <v:fill on="f" focussize="0,0"/>
                  <v:stroke color="#000000" joinstyle="round" endarrow="block"/>
                  <v:imagedata o:title=""/>
                  <o:lock v:ext="edit" aspectratio="f"/>
                </v:line>
                <v:line id="Line 1920" o:spid="_x0000_s1026" o:spt="20" style="position:absolute;left:776605;top:804545;height:3260090;width:5080;" filled="f" stroked="t" coordsize="21600,21600" o:gfxdata="UEsDBAoAAAAAAIdO4kAAAAAAAAAAAAAAAAAEAAAAZHJzL1BLAwQUAAAACACHTuJA829gddUAAAAF&#10;AQAADwAAAGRycy9kb3ducmV2LnhtbE2PzU7DMBCE70i8g7VIXCpqN9AqCtn0AOTGhQLiuo2XJCJe&#10;p7H7A0+P4QKXlUYzmvm2XJ/coA48hd4LwmJuQLE03vbSIrw811c5qBBJLA1eGOGTA6yr87OSCuuP&#10;8sSHTWxVKpFQEEIX41hoHZqOHYW5H1mS9+4nRzHJqdV2omMqd4POjFlpR72khY5Gvuu4+djsHUKo&#10;X3lXf82amXm7bj1nu/vHB0K8vFiYW1CRT/EvDD/4CR2qxLT1e7FBDQjpkfh7k5cvsxtQW4RVbpag&#10;q1L/p6++AVBLAwQUAAAACACHTuJAfBe0FOABAACxAwAADgAAAGRycy9lMm9Eb2MueG1srVNNb9sw&#10;DL0P2H8QdF/spHU+jDg9JOgu2Vag3Q9QZDkWJomCqMTJvx+lJF3XXXqYD4Jlko/vPdLLh5M17KgC&#10;anANH49KzpST0Gq3b/jPl8cvc84wCtcKA041/KyQP6w+f1oOvlYT6MG0KjACcVgPvuF9jL4uCpS9&#10;sgJH4JWjYAfBikjXsC/aIAZCt6aYlOW0GCC0PoBUiPR1cwnyK2L4CCB0nZZqA/JglYsX1KCMiCQJ&#10;e+2RrzLbrlMy/ug6VJGZhpPSmE9qQu+7dBarpaj3QfheyysF8REK7zRZoR01fYXaiCjYIeh/oKyW&#10;ARC6OJJgi4uQ7AipGJfvvHnuhVdZC1mN/tV0/H+w8vvxKTDd0ibczThzwtLIt9opNl5Msj2Dx5qy&#10;1u4pJIHy5J79FuQvZA7WvXB7lWm+nD1VjpOhxV8l6YKemuyGb9BSjjhEyF6dumATJLnATg2fzabT&#10;suLs3PB5eV/dV5fhqFNkksJVOaehSYreTaZlucjkClHfUHzA+FWBZeml4YY05C7iuMWYWIn6lpKa&#10;OnjUxuTxG8eGhi+qSZULEIxuUzClYdjv1iawo0gLlJ8skSJv0wIcXHtpYtzVgSQ67SHWO2jPT+Hm&#10;DE0ys7luXVqVt/dc/edPW/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829gddUAAAAFAQAADwAA&#10;AAAAAAABACAAAAAiAAAAZHJzL2Rvd25yZXYueG1sUEsBAhQAFAAAAAgAh07iQHwXtBTgAQAAsQMA&#10;AA4AAAAAAAAAAQAgAAAAJAEAAGRycy9lMm9Eb2MueG1sUEsFBgAAAAAGAAYAWQEAAHYFAAAAAA==&#10;">
                  <v:fill on="f" focussize="0,0"/>
                  <v:stroke color="#000000" joinstyle="round"/>
                  <v:imagedata o:title=""/>
                  <o:lock v:ext="edit" aspectratio="f"/>
                </v:line>
                <v:line id="Line 1921" o:spid="_x0000_s1026" o:spt="20" style="position:absolute;left:779145;top:2137410;height:635;width:504190;" filled="f" stroked="t" coordsize="21600,21600" o:gfxdata="UEsDBAoAAAAAAIdO4kAAAAAAAAAAAAAAAAAEAAAAZHJzL1BLAwQUAAAACACHTuJAwBvDFdcAAAAF&#10;AQAADwAAAGRycy9kb3ducmV2LnhtbE2PzU7DMBCE70i8g7VI3KidilZWiNMDUrm0gPqjCm5uvCQR&#10;8TqynTa8fU0vcFlpNKOZb4vFaDt2Qh9aRwqyiQCGVDnTUq1gv1s+SGAhajK6c4QKfjDAory9KXRu&#10;3Jk2eNrGmqUSCrlW0MTY55yHqkGrw8T1SMn7ct7qmKSvufH6nMptx6dCzLnVLaWFRvf43GD1vR2s&#10;gs16uZKH1TBW/vMle9u9r18/glTq/i4TT8AijvEvDL/4CR3KxHR0A5nAOgXpkXi9yZOz6SOwo4K5&#10;FDPgZcH/05cXUEsDBBQAAAAIAIdO4kAfO28H9AEAAN4DAAAOAAAAZHJzL2Uyb0RvYy54bWytU01z&#10;2yAQvXem/4HhXsvyR1xrLOdgN724rWeS/AAMyGIKLAPYsv99FySnTXrJITpogH37dt9bWN1fjCZn&#10;6YMCW9NyNKZEWg5C2WNNn58evnylJERmBdNgZU2vMtD79edPq85VcgItaCE9QRIbqs7VtI3RVUUR&#10;eCsNCyNw0mKwAW9YxK0/FsKzDtmNLibj8V3RgRfOA5ch4Om2D9KB0b+HEJpGcbkFfjLSxp7VS80i&#10;SgqtcoGuc7dNI3n81TRBRqJrikpj/mMRXB/Sv1ivWHX0zLWKDy2w97TwRpNhymLRF6oti4ycvPqP&#10;yijuIUATRxxM0QvJjqCKcvzGm8eWOZm1oNXBvZgePo6W/zzvPVECb8IUB2+ZwZHvlJWkXE7KZE/n&#10;QoWojd37JJBf7KPbAf8diIVNy+xR5jafrg4zc0bxKiVtgsMih+4HCMSwU4Ts1aXxJlGiC+RS08Vi&#10;Wc7mlFxrOimni1k5TEdeIuEYn49n5RLnxhFwN52n3gpW3UicD/G7BEPSoqYaJeQi7LwLsYfeIKmm&#10;hQeldZ6+tqSr6XI+meeEAFqJFEyw4I+HjfbkzNL9yd9Q9xXMw8mKTBaZ0t+sIDHbEb1Cg7SkqYKR&#10;ghIt8dGlVd+Stiji5lDv9QHEde9TOJ3j2LPM4Yqme/XvPqP+Psv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bwxXXAAAABQEAAA8AAAAAAAAAAQAgAAAAIgAAAGRycy9kb3ducmV2LnhtbFBLAQIU&#10;ABQAAAAIAIdO4kAfO28H9AEAAN4DAAAOAAAAAAAAAAEAIAAAACYBAABkcnMvZTJvRG9jLnhtbFBL&#10;BQYAAAAABgAGAFkBAACMBQAAAAA=&#10;">
                  <v:fill on="f" focussize="0,0"/>
                  <v:stroke color="#000000" joinstyle="round" endarrow="block"/>
                  <v:imagedata o:title=""/>
                  <o:lock v:ext="edit" aspectratio="f"/>
                </v:line>
                <v:line id="Line 1925" o:spid="_x0000_s1026" o:spt="20" style="position:absolute;left:783590;top:1507490;flip:y;height:1905;width:582930;" filled="f" stroked="t" coordsize="21600,21600" o:gfxdata="UEsDBAoAAAAAAIdO4kAAAAAAAAAAAAAAAAAEAAAAZHJzL1BLAwQUAAAACACHTuJACHNWRtYAAAAF&#10;AQAADwAAAGRycy9kb3ducmV2LnhtbE2PwU7DMBBE70j8g7VI3KidqqlCiNMDAokTghYhcXPjJQmN&#10;18HeNoWvx/QCl5VGM5p5W62ObhAHDLH3pCGbKRBIjbc9tRpeNvdXBYjIhqwZPKGGL4ywqs/PKlNa&#10;P9EzHtbcilRCsTQaOuaxlDI2HToTZ35ESt67D85wkqGVNpgplbtBzpVaSmd6SgudGfG2w2a33jsN&#10;15sp909h97rI+s+377sPHh8eWevLi0zdgGA88l8YfvETOtSJaev3ZKMYNKRH+HSTV+TzBYithmWh&#10;cpB1Jf/T1z9QSwMEFAAAAAgAh07iQPj9pWT5AQAA6QMAAA4AAABkcnMvZTJvRG9jLnhtbK1TwXIa&#10;MQy9d6b/4PG97EJCAzssOUDTS9oyk7R3Y2tZT23LYxsW/r6yYZKGXnLoHnYkS3rSe5YX90dr2AFC&#10;1OhaPh7VnIGTqLTbtfzn88OnGWcxCaeEQQctP0Hk98uPHxaDb2CCPRoFgRGIi83gW96n5JuqirIH&#10;K+IIPTgKdhisSOSGXaWCGAjdmmpS15+rAYPyASXESKfrc5BfEMN7ALHrtIQ1yr0Fl86oAYxIRCn2&#10;2ke+LNN2Hcj0o+siJGZaTkxT+VMTsrf5Xy0XotkF4XstLyOI94xwxckK7ajpC9RaJMH2Qf8DZbUM&#10;GLFLI4m2OhMpihCLcX2lzVMvPBQuJHX0L6LH/wcrvx82gWlFm3A74cwJS1f+qB2w8XwyzfIMPjaU&#10;tXKbkAnKo3vyjyh/R+Zw1Qu3gzLm88lT5ThXVG9KshM9NdkO31BRjtgnLFodu2BZZ7T/lQszOOnB&#10;ji2/m91M53RDJzqf1ne3ZJd7gmNikuLT2WR+Q3GZE+Z1GbMSTcbLKD7E9BXQsmy03BCbgi4OjzHl&#10;+V5TcrrDB21MaWAcG1o+nxLzHIlotMrB4oTddmUCO4i8SuUrZK/SAu6dKmBJaPPFKZaKMilo0soA&#10;zx0sKM4M0PvL1nkk4y7KZbHOsm9RnTYhh7OItAFl9su25hX72y9Zry90+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c1ZG1gAAAAUBAAAPAAAAAAAAAAEAIAAAACIAAABkcnMvZG93bnJldi54bWxQ&#10;SwECFAAUAAAACACHTuJA+P2lZPkBAADpAwAADgAAAAAAAAABACAAAAAlAQAAZHJzL2Uyb0RvYy54&#10;bWxQSwUGAAAAAAYABgBZAQAAkAUAAAAA&#10;">
                  <v:fill on="f" focussize="0,0"/>
                  <v:stroke color="#000000" joinstyle="round" endarrow="block"/>
                  <v:imagedata o:title=""/>
                  <o:lock v:ext="edit" aspectratio="f"/>
                </v:line>
                <v:shape id="Text Box 1927" o:spid="_x0000_s1026" o:spt="202" type="#_x0000_t202" style="position:absolute;left:1289050;top:3914775;height:297180;width:1017905;" fillcolor="#FFFFFF" filled="t" stroked="t" coordsize="21600,21600" o:gfxdata="UEsDBAoAAAAAAIdO4kAAAAAAAAAAAAAAAAAEAAAAZHJzL1BLAwQUAAAACACHTuJAEod7ddcAAAAF&#10;AQAADwAAAGRycy9kb3ducmV2LnhtbE2PwU7DMBBE70j9B2uRuKDWbmlDGuL0gASCWykVvbrxNolq&#10;r4PtpuXvMVzgstJoRjNvy9XFGjagD50jCdOJAIZUO91RI2H7/jTOgYWoSCvjCCV8YYBVNboqVaHd&#10;md5w2MSGpRIKhZLQxtgXnIe6RavCxPVIyTs4b1VM0jdce3VO5dbwmRAZt6qjtNCqHh9brI+bk5WQ&#10;z1+GXXi9W3/U2cEs4+398Pzppby5nooHYBEv8S8MP/gJHarEtHcn0oEZCemR+HuTly9mc2B7CVku&#10;FsCrkv+nr74BUEsDBBQAAAAIAIdO4kD+hlo2PgIAAJcEAAAOAAAAZHJzL2Uyb0RvYy54bWytVNtu&#10;2zAMfR+wfxD0vviyZEmMOEWXIMOA7gK0+wBFlmNhkqhJSuzu60fJaRdkG9CH+cEQzaND8pD06mbQ&#10;ipyE8xJMTYtJTokwHBppDjX99rB7s6DEB2YapsCImj4KT2/Wr1+teluJEjpQjXAESYyvelvTLgRb&#10;ZZnnndDMT8AKg84WnGYBTXfIGsd6ZNcqK/P8XdaDa6wDLrzHr9vRSc+M7iWE0LaSiy3woxYmjKxO&#10;KBawJN9J6+k6Zdu2gocvbetFIKqmWGlIbwyC5318Z+sVqw6O2U7ycwrsJSlc1aSZNBj0mWrLAiNH&#10;J/+g0pI78NCGCQedjYUkRbCKIr/S5r5jVqRaUGpvn0X3/4+Wfz59dUQ2OAnTKSWGaWz5gxgCeQ8D&#10;KZblPErUW18h8t4iNgzoQXgq19s74N89MbDpmDmIW+eg7wRrMMUi3swuro48PpLs+0/QYCR2DJCI&#10;htbpqB8qQiJ7uVjmM2zSY03fLovpfD4bWxUz4xGQF3NEUMIRUS7nxSL1MmPVE5N1PnwQoEk81NTh&#10;KKRI7HTnQ8yMVU+QGNiDks1OKpUMd9hvlCMnhmOzS08q5gqmDOlrupyVs1GMf1Lk6fkbhZYBt0lJ&#10;XdPFJUiZs3ZRrlG4MOyHcy/20Dyiig7GecZtxkMH7iclPc5yTf2PI3OCEvXRYCdQwGkc/mRMZ/MS&#10;DXfp2V96mOFIVdNAyXjchHFhjtbJQ4eRxt4buMXutTKJGds8ZnXOG+c1aXzerbgQl3ZC/f6fr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od7ddcAAAAFAQAADwAAAAAAAAABACAAAAAiAAAAZHJz&#10;L2Rvd25yZXYueG1sUEsBAhQAFAAAAAgAh07iQP6GWjY+AgAAlwQAAA4AAAAAAAAAAQAgAAAAJgEA&#10;AGRycy9lMm9Eb2MueG1sUEsFBgAAAAAGAAYAWQEAANYFAAAAAA==&#10;">
                  <v:fill on="t" focussize="0,0"/>
                  <v:stroke color="#000000" miterlimit="8" joinstyle="miter"/>
                  <v:imagedata o:title=""/>
                  <o:lock v:ext="edit" aspectratio="f"/>
                  <v:textbox>
                    <w:txbxContent>
                      <w:p w14:paraId="4B8D089F">
                        <w:pPr>
                          <w:spacing w:line="240" w:lineRule="atLeast"/>
                          <w:contextualSpacing/>
                          <w:jc w:val="center"/>
                        </w:pPr>
                        <w:r>
                          <w:rPr>
                            <w:rFonts w:hint="eastAsia"/>
                          </w:rPr>
                          <w:t>生活用水</w:t>
                        </w:r>
                      </w:p>
                      <w:p w14:paraId="7C9099B8">
                        <w:pPr>
                          <w:spacing w:line="240" w:lineRule="atLeast"/>
                          <w:contextualSpacing/>
                        </w:pPr>
                      </w:p>
                    </w:txbxContent>
                  </v:textbox>
                </v:shape>
                <v:shape id="Text Box 1933" o:spid="_x0000_s1026" o:spt="202" type="#_x0000_t202" style="position:absolute;left:0;top:1501775;height:655955;width:31813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AnhT3cPAgAAHgQAAA4AAABkcnMvZTJvRG9jLnhtbK1TQW7bMBC8&#10;F+gfCN5rWbaVxILlII2RokCaFkj6AJqiLKIil13SltzXd0k5qZtecuhFILmr2ZnhcHU9mI4dFHoN&#10;tuL5ZMqZshJqbXcV//509+GKMx+ErUUHVlX8qDy/Xr9/t+pdqWbQQlcrZARifdm7irchuDLLvGyV&#10;EX4CTlkqNoBGBNriLqtR9IRuumw2nV5kPWDtEKTynk43Y5GfEPEtgNA0WqoNyL1RNoyoqDoRSJJv&#10;tfN8ndg2jZLha9N4FVhXcVIa0peG0Hobv9l6JcodCtdqeaIg3kLhlSYjtKWhL1AbEQTbo/4HymiJ&#10;4KEJEwkmG4UkR0hFPn3lzWMrnEpayGrvXkz3/w9WPhy+IdM1JaEgT6wwdOVPagjsIwwsX87n0aLe&#10;+ZI6Hx31hoEq1J7kencP8odnFm5bYXfqBhH6VomaKObxz+zs1xHHR5Bt/wVqmiT2ARLQ0KCJ/pEj&#10;jNCJyjFRyi8vi/GSIidJpXl+lc8LziQ1XBTFskj1TJTPEA59+KTAsLioOFIG0ghxuPchUhLlc0uc&#10;aOFOd13KQWf/OqDGeJIkRNYj/zBsh5MlW6iPJAZhjBU9Klq0gL846ylSFfc/9wIVZ91nS4Ys88Ui&#10;ZjBtFsXljDZ4XtmeV4SVBFXxwNm4vA1jbvcO9a6lSeMVWLghExudpEW3R1Yn3hSbpPgU8ZjL833q&#10;+vOs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bQnyNMAAAAFAQAADwAAAAAAAAABACAAAAAi&#10;AAAAZHJzL2Rvd25yZXYueG1sUEsBAhQAFAAAAAgAh07iQAnhT3cPAgAAHgQAAA4AAAAAAAAAAQAg&#10;AAAAIgEAAGRycy9lMm9Eb2MueG1sUEsFBgAAAAAGAAYAWQEAAKMFAAAAAA==&#10;">
                  <v:fill on="f" focussize="0,0"/>
                  <v:stroke on="f"/>
                  <v:imagedata o:title=""/>
                  <o:lock v:ext="edit" aspectratio="f"/>
                  <v:textbox>
                    <w:txbxContent>
                      <w:p w14:paraId="682D1D0A">
                        <w:pPr>
                          <w:spacing w:line="240" w:lineRule="atLeast"/>
                          <w:contextualSpacing/>
                          <w:jc w:val="center"/>
                        </w:pPr>
                        <w:r>
                          <w:rPr>
                            <w:rFonts w:hint="eastAsia"/>
                          </w:rPr>
                          <w:t>新鲜水</w:t>
                        </w:r>
                      </w:p>
                    </w:txbxContent>
                  </v:textbox>
                </v:shape>
                <v:shape id="Text Box 1943" o:spid="_x0000_s1026" o:spt="202" type="#_x0000_t202" style="position:absolute;left:751840;top:1267460;height:297815;width:61912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BJu6tkTAgAAIwQAAA4AAABkcnMvZTJvRG9jLnhtbK1Ty27bMBC8&#10;F+g/ELzXslQ/BctBGiNFgfQBJPkAmqIsohKXXdKW3K/vklJSN73kkAtBcpezO7PDzVXfNuyk0Gkw&#10;BU8nU86UkVBqcyj448PthxVnzgtTigaMKvhZOX61ff9u09lcZVBDUypkBGJc3tmC197bPEmcrFUr&#10;3ASsMhSsAFvh6YiHpETREXrbJNl0ukg6wNIiSOUc3e6GIB8R8TWAUFVaqh3IY6uMH1BRNcITJVdr&#10;6/g2dltVSvrvVeWUZ03BiamPKxWh/T6syXYj8gMKW2s5tiBe08ILTq3Qhoo+Q+2EF+yI+j+oVksE&#10;B5WfSGiTgUhUhFik0xfa3NfCqsiFpHb2WXT3drDy2+kHMl2SE+Y0eCNaGvmD6j37BD1L17OPQaLO&#10;upwy7y3l+p4ilB7pOnsH8qdjBm5qYQ7qGhG6WomSWkzDy+Ti6YDjAsi++wolVRJHDxGor7AN+pEi&#10;jNCX83Q1oxmdCSZbLGeLcVKhMUnxRbpOszlnkhKy9XKVzmMxkT/hWHT+s4KWhU3BkYwQ64jTnfOh&#10;L5E/pYSyBm5100QzNOafC0oMN5FHaH0g4ft9P+qyh/JMjBAGb9HPok0N+JuzjnxVcPfrKFBx1nwx&#10;pMo6nQViPh5m82VGB7yM7C8jwkiCKrjnbNje+MG8R4v6UFOlYQ4GrknJSkdqQfKhq7Fv8k5kPPo8&#10;mPPyHLP+/u3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0J8jTAAAABQEAAA8AAAAAAAAAAQAg&#10;AAAAIgAAAGRycy9kb3ducmV2LnhtbFBLAQIUABQAAAAIAIdO4kASburZEwIAACMEAAAOAAAAAAAA&#10;AAEAIAAAACIBAABkcnMvZTJvRG9jLnhtbFBLBQYAAAAABgAGAFkBAACnBQAAAAA=&#10;">
                  <v:fill on="f" focussize="0,0"/>
                  <v:stroke on="f"/>
                  <v:imagedata o:title=""/>
                  <o:lock v:ext="edit" aspectratio="f"/>
                  <v:textbox>
                    <w:txbxContent>
                      <w:p w14:paraId="093C8D85">
                        <w:pPr>
                          <w:spacing w:line="240" w:lineRule="atLeast"/>
                          <w:contextualSpacing/>
                          <w:jc w:val="center"/>
                          <w:rPr>
                            <w:rFonts w:hint="default" w:eastAsia="宋体"/>
                            <w:lang w:val="en-US" w:eastAsia="zh-CN"/>
                          </w:rPr>
                        </w:pPr>
                        <w:r>
                          <w:rPr>
                            <w:rFonts w:hint="eastAsia"/>
                            <w:lang w:val="en-US" w:eastAsia="zh-CN"/>
                          </w:rPr>
                          <w:t>282.35</w:t>
                        </w:r>
                      </w:p>
                    </w:txbxContent>
                  </v:textbox>
                </v:shape>
                <v:shape id="Text Box 1958" o:spid="_x0000_s1026" o:spt="202" type="#_x0000_t202" style="position:absolute;left:1473835;top:2667000;height:297815;width:58991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Gf930gUAgAAJAQAAA4AAABkcnMvZTJvRG9jLnhtbK1Ty27bMBC8&#10;F+g/ELzXkhw/ZMFykMZIUSB9AEk/gKYoi6jEZZe0Jffru6ScxE0vOfRCLLnD2Z3hcn09dC07KnQa&#10;TMmzScqZMhIqbfYl//F49yHnzHlhKtGCUSU/KcevN+/frXtbqCk00FYKGZEYV/S25I33tkgSJxvV&#10;CTcBqwwla8BOeNriPqlQ9MTetck0TRdJD1hZBKmco9PtmORnRnwLIdS1lmoL8tAp40dWVK3wJMk1&#10;2jq+id3WtZL+W1075VlbclLq40pFKN6FNdmsRbFHYRstzy2It7TwSlMntKGiz1Rb4QU7oP6HqtMS&#10;wUHtJxK6ZBQSHSEVWfrKm4dGWBW1kNXOPpvu/h+t/Hr8jkxXNAnLGWdGdPTkj2rw7CMMLFvN82BR&#10;b11ByAdLWD9QhuBRrrP3IH86ZuC2EWavbhChb5SoqMUs3Ewuro48LpDs+i9QUSVx8BCJhhq74B85&#10;wgL7bHmVX805O5V8ulgs0/T8VKEzSYB5vlpllJcBsFrmFIdqongisuj8JwUdC0HJkSYhFhLHe+dH&#10;6BMk1DVwp9uWzkXRmr8OiDOcRCGh91GFH3YDoYO6HVQnkoQwDhd9LQoawN+c9TRYJXe/DgIVZ+1n&#10;Q7asstksTGLczObLKW3wMrO7zAgjiarknrMxvPXj9B4s6n1DlcaHMHBDVtY6Snvp6tw3DU805zzo&#10;YTov9xH18rk3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tCfI0wAAAAUBAAAPAAAAAAAAAAEA&#10;IAAAACIAAABkcnMvZG93bnJldi54bWxQSwECFAAUAAAACACHTuJAZ/3fSBQCAAAkBAAADgAAAAAA&#10;AAABACAAAAAiAQAAZHJzL2Uyb0RvYy54bWxQSwUGAAAAAAYABgBZAQAAqAUAAAAA&#10;">
                  <v:fill on="f" focussize="0,0"/>
                  <v:stroke on="f"/>
                  <v:imagedata o:title=""/>
                  <o:lock v:ext="edit" aspectratio="f"/>
                  <v:textbox>
                    <w:txbxContent>
                      <w:p w14:paraId="1774422A">
                        <w:pPr>
                          <w:spacing w:line="240" w:lineRule="atLeast"/>
                          <w:contextualSpacing/>
                          <w:jc w:val="center"/>
                        </w:pPr>
                        <w:r>
                          <w:rPr>
                            <w:rFonts w:hint="eastAsia"/>
                          </w:rPr>
                          <w:t>损耗</w:t>
                        </w:r>
                      </w:p>
                    </w:txbxContent>
                  </v:textbox>
                </v:shape>
                <v:shape id="AutoShape 1959" o:spid="_x0000_s1026" o:spt="32" type="#_x0000_t32" style="position:absolute;left:782320;top:3281680;flip:y;height:635;width:499745;" filled="f" stroked="t" coordsize="21600,21600" o:gfxdata="UEsDBAoAAAAAAIdO4kAAAAAAAAAAAAAAAAAEAAAAZHJzL1BLAwQUAAAACACHTuJACuuREdYAAAAF&#10;AQAADwAAAGRycy9kb3ducmV2LnhtbE2PwU7DMBBE70j8g7VIXBC1G5EqCnF6AAonVBHKfRsvSdR4&#10;HcVum/w9hgu9rDSa0czbYj3ZXpxo9J1jDcuFAkFcO9Nxo2H3ubnPQPiAbLB3TBpm8rAur68KzI07&#10;8wedqtCIWMI+Rw1tCEMupa9bsugXbiCO3rcbLYYox0aaEc+x3PYyUWolLXYcF1oc6Kml+lAdrYbn&#10;aptuvu52UzLXb+/Va3bY8vyi9e3NUj2CCDSF/zD84kd0KCPT3h3ZeNFriI+Evxu9LE0eQOw1rDKV&#10;giwLeUlf/gBQSwMEFAAAAAgAh07iQEkZfekHAgAA+wMAAA4AAABkcnMvZTJvRG9jLnhtbK1TwY7b&#10;IBC9V+o/IO6NE2eTTaw4qyrp9rJtI+22dwLYRgUGAYmTv++Ard3u9rKH+oDAM/Pem8ewubsYTc7S&#10;BwW2prPJlBJpOQhl25r+fLr/tKIkRGYF02BlTa8y0Lvtxw+b3lWyhA60kJ4giA1V72raxeiqogi8&#10;k4aFCThpMdiANyzi0beF8KxHdKOLcjpdFj144TxwGQL+3Q9BOiL69wBC0ygu98BPRto4oHqpWcSW&#10;QqdcoNustmkkjz+aJshIdE2x05hXJMH9Ma3FdsOq1jPXKT5KYO+R8KYnw5RF0meoPYuMnLz6B8oo&#10;7iFAEyccTDE0kh3BLmbTN948dszJ3AtaHdyz6eH/wfLv54MnSuAk3C4osczglX8+RcjcZLZerJNH&#10;vQsVpu7swacu+cU+ugfgvwOxsOuYbWXOf7o6LJ+liuJVSToEh0zH/hsIzGFIkQ27NN6QRiv3KxUm&#10;cDSFXGp6uyrnJV7TtabzcjVbrsbLkpdIOMZv1uvbG5TMMWE5X2ROViW4BOJ8iF8lGJI2NQ3RM9V2&#10;cQfW4kyAH6jY+SHEJPalIBVbuFda59HQlvQ1XS/KRdYWQCuRgikt+Pa4056cWRqu/I0qXqV5OFmR&#10;wSJT+osVJGaboldonJY0MRgpKNESX2TaDZK0HW1Mzg13cARxPfgUTo7iTGTt4/ymofv7nLNe3uz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rkRHWAAAABQEAAA8AAAAAAAAAAQAgAAAAIgAAAGRy&#10;cy9kb3ducmV2LnhtbFBLAQIUABQAAAAIAIdO4kBJGX3pBwIAAPsDAAAOAAAAAAAAAAEAIAAAACUB&#10;AABkcnMvZTJvRG9jLnhtbFBLBQYAAAAABgAGAFkBAACeBQAAAAA=&#10;">
                  <v:fill on="f" focussize="0,0"/>
                  <v:stroke color="#000000" joinstyle="round" endarrow="block"/>
                  <v:imagedata o:title=""/>
                  <o:lock v:ext="edit" aspectratio="f"/>
                </v:shape>
                <v:shape id="Text Box 1918" o:spid="_x0000_s1026" o:spt="202" type="#_x0000_t202" style="position:absolute;left:751840;top:125730;height:281305;width:529590;" fillcolor="#FFFFFF" filled="t" stroked="f" coordsize="21600,21600" o:gfxdata="UEsDBAoAAAAAAIdO4kAAAAAAAAAAAAAAAAAEAAAAZHJzL1BLAwQUAAAACACHTuJAHMw8QtUAAAAF&#10;AQAADwAAAGRycy9kb3ducmV2LnhtbE2PwW7CMBBE75X4B2srcamKDSIhTeMggdSqVygfsImXJGq8&#10;jmJD4O/r9tJeVhrNaOZtsb3ZXlxp9J1jDcuFAkFcO9Nxo+H0+facgfAB2WDvmDTcycO2nD0UmBs3&#10;8YGux9CIWMI+Rw1tCEMupa9bsugXbiCO3tmNFkOUYyPNiFMst71cKZVKix3HhRYH2rdUfx0vVsP5&#10;Y3pKXqbqPZw2h3W6w25TubvW88elegUR6Bb+wvCDH9GhjEyVu7DxotcQHwm/N3pZslqDqDSkmUpA&#10;loX8T19+A1BLAwQUAAAACACHTuJAuRo6XzoCAABqBAAADgAAAGRycy9lMm9Eb2MueG1srVTNbtsw&#10;DL4P2DsIui/+abwmRpyia5FhQPcDtHsARZZjYZKoSUrs7ulHyW6XdZcepoMgmuRH8iPpzdWoFTkJ&#10;5yWYhhaLnBJhOLTSHBr6/WH3bkWJD8y0TIERDX0Unl5t377ZDLYWJfSgWuEIghhfD7ahfQi2zjLP&#10;e6GZX4AVBpUdOM0Ciu6QtY4NiK5VVub5+2wA11oHXHiPX28nJZ0R3WsAoeskF7fAj1qYMKE6oVjA&#10;knwvrafblG3XCR6+dp0XgaiGYqUh3RgE3/t4Z9sNqw+O2V7yOQX2mhRe1KSZNBj0GeqWBUaOTv4D&#10;pSV34KELCw46mwpJjGAVRf6Cm/ueWZFqQaq9fSbd/z9Y/uX0zRHZNrSsKDFMY8cfxBjIBxhJsS5W&#10;kaHB+hoN7y2ahhE1ODepWm/vgP/wxMBNz8xBXDsHQy9YixkW0TM7c51wfATZD5+hxUjsGCABjZ3T&#10;kT4khCD6ZVWsltiiR4Qpq8uLuU8xL47qqlxXa1Rz1Jer4iKvUixWP8FY58NHAZrER0MdjkEKw053&#10;PsS0WP1kEqN6ULLdSaWS4A77G+XIieHI7NKZ0f8yU4YMDV1XSFv0MhD90zRpGXBBlNQNXeXxzO7K&#10;zHxECiYywrgfZ3730D4iMw6mEcUFxUcP7hclA45nQ/3PI3OCEvXJILvrYhkJCklYVpclCu5csz/X&#10;MMMRqqGBkul5E6YdOFonDz1Gmvpp4Bo70snEUWzdlNWcN45gom5elzjj53Ky+vOL2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w8QtUAAAAFAQAADwAAAAAAAAABACAAAAAiAAAAZHJzL2Rvd25y&#10;ZXYueG1sUEsBAhQAFAAAAAgAh07iQLkaOl86AgAAagQAAA4AAAAAAAAAAQAgAAAAJAEAAGRycy9l&#10;Mm9Eb2MueG1sUEsFBgAAAAAGAAYAWQEAANAFAAAAAA==&#10;">
                  <v:fill on="t" focussize="0,0"/>
                  <v:stroke on="f" miterlimit="8" joinstyle="miter"/>
                  <v:imagedata o:title=""/>
                  <o:lock v:ext="edit" aspectratio="f"/>
                  <v:textbox>
                    <w:txbxContent>
                      <w:p w14:paraId="631F2AC7">
                        <w:pPr>
                          <w:spacing w:line="240" w:lineRule="atLeast"/>
                          <w:contextualSpacing/>
                          <w:rPr>
                            <w:rFonts w:hint="default" w:eastAsia="宋体"/>
                            <w:lang w:val="en-US" w:eastAsia="zh-CN"/>
                          </w:rPr>
                        </w:pPr>
                        <w:r>
                          <w:rPr>
                            <w:rFonts w:hint="eastAsia"/>
                            <w:lang w:val="en-US" w:eastAsia="zh-CN"/>
                          </w:rPr>
                          <w:t>尿液</w:t>
                        </w:r>
                      </w:p>
                    </w:txbxContent>
                  </v:textbox>
                </v:shape>
                <v:shape id="Text Box 1916" o:spid="_x0000_s1026" o:spt="202" type="#_x0000_t202" style="position:absolute;left:1710055;top:144145;height:297815;width:50863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Mx4JGERAgAAIgQAAA4AAABkcnMvZTJvRG9jLnhtbK1Ty27bMBC8&#10;F+g/ELzXklw/BctBGiNFgfQBJP0AmqIsoiKXXdKW0q/vknJSN73k0Aux5C5nd4bDzdVgOnZS6DXY&#10;iheTnDNlJdTaHir+/eH23YozH4StRQdWVfxReX61fftm07tSTaGFrlbICMT6sncVb0NwZZZ52Soj&#10;/AScspRsAI0ItMVDVqPoCd102TTPF1kPWDsEqbyn092Y5GdEfA0gNI2WagfyaJQNIyqqTgSi5Fvt&#10;PN+maZtGyfC1abwKrKs4MQ1ppSYU7+OabTeiPKBwrZbnEcRrRnjByQhtqekz1E4EwY6o/4EyWiJ4&#10;aMJEgslGIkkRYlHkL7S5b4VTiQtJ7d2z6P7/wcovp2/IdF3xZcGZFYZe/EENgX2AgRXrYhEV6p0v&#10;qfDeUWkYKEO+SWy9uwP5wzMLN62wB3WNCH2rRE0TFvFmdnF1xPERZN9/hpo6iWOABDQ0aKJ8JAiL&#10;6Msiz+dzzh4pns2K2Xx8qDiYpPw8Xy3eU1pSfrperoqUz0T5hOPQh48KDItBxZF8kPqI050PcS5R&#10;PpXEthZuddclL3T2rwMqjCeJRxx9JBGG/XDWZQ/1IzFCGK1FH4uCFvAXZz3ZquL+51Gg4qz7ZEmV&#10;NdGJPkyb2Xw5pQ1eZvaXGWElQVU8cDaGN2H07tGhPrTUaXwHC9ekZKMTtSj5ONV5brJOYny2efTm&#10;5T5V/fna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htCfI0wAAAAUBAAAPAAAAAAAAAAEAIAAA&#10;ACIAAABkcnMvZG93bnJldi54bWxQSwECFAAUAAAACACHTuJAzHgkYRECAAAiBAAADgAAAAAAAAAB&#10;ACAAAAAiAQAAZHJzL2Uyb0RvYy54bWxQSwUGAAAAAAYABgBZAQAApQUAAAAA&#10;">
                  <v:fill on="f" focussize="0,0"/>
                  <v:stroke on="f"/>
                  <v:imagedata o:title=""/>
                  <o:lock v:ext="edit" aspectratio="f"/>
                  <v:textbox>
                    <w:txbxContent>
                      <w:p w14:paraId="3302A078">
                        <w:pPr>
                          <w:spacing w:line="240" w:lineRule="atLeast"/>
                          <w:contextualSpacing/>
                          <w:jc w:val="center"/>
                          <w:rPr>
                            <w:rFonts w:hint="default" w:eastAsia="宋体"/>
                            <w:lang w:val="en-US" w:eastAsia="zh-CN"/>
                          </w:rPr>
                        </w:pPr>
                        <w:r>
                          <w:rPr>
                            <w:rFonts w:hint="eastAsia"/>
                          </w:rPr>
                          <w:t>损耗</w:t>
                        </w:r>
                      </w:p>
                    </w:txbxContent>
                  </v:textbox>
                </v:shape>
                <v:line id="Line 1924" o:spid="_x0000_s1026" o:spt="20" style="position:absolute;left:2583180;top:797560;flip:y;height:1270;width:1658620;" filled="f" stroked="t" coordsize="21600,21600" o:gfxdata="UEsDBAoAAAAAAIdO4kAAAAAAAAAAAAAAAAAEAAAAZHJzL1BLAwQUAAAACACHTuJACHNWRtYAAAAF&#10;AQAADwAAAGRycy9kb3ducmV2LnhtbE2PwU7DMBBE70j8g7VI3KidqqlCiNMDAokTghYhcXPjJQmN&#10;18HeNoWvx/QCl5VGM5p5W62ObhAHDLH3pCGbKRBIjbc9tRpeNvdXBYjIhqwZPKGGL4ywqs/PKlNa&#10;P9EzHtbcilRCsTQaOuaxlDI2HToTZ35ESt67D85wkqGVNpgplbtBzpVaSmd6SgudGfG2w2a33jsN&#10;15sp909h97rI+s+377sPHh8eWevLi0zdgGA88l8YfvETOtSJaev3ZKMYNKRH+HSTV+TzBYithmWh&#10;cpB1Jf/T1z9QSwMEFAAAAAgAh07iQHNIFF39AQAA6gMAAA4AAABkcnMvZTJvRG9jLnhtbK1TTY/b&#10;IBC9V+p/QNwbx+46H1acPSTdXtI20m57J4BjVGAQkDj59x1wtLvdXvZQHxD4zbyZ9xhW9xejyVn6&#10;oMC2tJxMKZGWg1D22NKfTw+fFpSEyKxgGqxs6VUGer/++GE1uEZW0IMW0hMksaEZXEv7GF1TFIH3&#10;0rAwASctgh14wyIe/bEQng3IbnRRTaezYgAvnAcuQ8C/2xGkN0b/HkLoOsXlFvjJSBtHVi81iygp&#10;9MoFus7ddp3k8UfXBRmJbikqjXnFIrg/pLVYr1hz9Mz1it9aYO9p4Y0mw5TFos9UWxYZOXn1D5VR&#10;3EOALk44mGIUkh1BFeX0jTePPXMya0Grg3s2Pfw/Wv79vPdECZyEuyUllhm88p2ykpTL6i7ZM7jQ&#10;YNTG7n0SyC/20e2A/w7EwqZn9ihzm09Xh5llyij+SkmH4LDIYfgGAmPYKUL26tJ5Qzqt3K+UmMjR&#10;D3JpaVUvPpcLvKJrS+fLeT273ZO8RMIRL2f1YlYhzjGgrOYZLliTCBON8yF+lWBI2rRUo5xMz867&#10;EFODLyEp3MKD0jpPgrZkaOmyruqcEEArkcAUFvzxsNGenFmapfxltYi8DvNwsiKTRab0FytIzNZE&#10;r9AsLWmqYKSgREt8gGk3tqTtzbrk1uj7AcR17xOcXMQRyL3fxjXN2Otzjnp5ou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HNWRtYAAAAFAQAADwAAAAAAAAABACAAAAAiAAAAZHJzL2Rvd25yZXYu&#10;eG1sUEsBAhQAFAAAAAgAh07iQHNIFF39AQAA6gMAAA4AAAAAAAAAAQAgAAAAJQEAAGRycy9lMm9E&#10;b2MueG1sUEsFBgAAAAAGAAYAWQEAAJQFAAAAAA==&#10;">
                  <v:fill on="f" focussize="0,0"/>
                  <v:stroke color="#000000" joinstyle="round" endarrow="block"/>
                  <v:imagedata o:title=""/>
                  <o:lock v:ext="edit" aspectratio="f"/>
                </v:line>
                <v:line id="Line 1924" o:spid="_x0000_s1026" o:spt="20" style="position:absolute;left:782320;top:800735;flip:y;height:8255;width:560705;" filled="f" stroked="t" coordsize="21600,21600" o:gfxdata="UEsDBAoAAAAAAIdO4kAAAAAAAAAAAAAAAAAEAAAAZHJzL1BLAwQUAAAACACHTuJACHNWRtYAAAAF&#10;AQAADwAAAGRycy9kb3ducmV2LnhtbE2PwU7DMBBE70j8g7VI3KidqqlCiNMDAokTghYhcXPjJQmN&#10;18HeNoWvx/QCl5VGM5p5W62ObhAHDLH3pCGbKRBIjbc9tRpeNvdXBYjIhqwZPKGGL4ywqs/PKlNa&#10;P9EzHtbcilRCsTQaOuaxlDI2HToTZ35ESt67D85wkqGVNpgplbtBzpVaSmd6SgudGfG2w2a33jsN&#10;15sp909h97rI+s+377sPHh8eWevLi0zdgGA88l8YfvETOtSJaev3ZKMYNKRH+HSTV+TzBYithmWh&#10;cpB1Jf/T1z9QSwMEFAAAAAgAh07iQC+QRrL8AQAA6AMAAA4AAABkcnMvZTJvRG9jLnhtbK1TwXLb&#10;IBC9d6b/wHCvJStVbGss52A3vbitZ5LmjgFZTIBlAFv233dBniRNLzlUBwb0dt/ueyzLu7PR5CR9&#10;UGBbOp2UlEjLQSh7aOnvx/svc0pCZFYwDVa29CIDvVt9/rQcXCMr6EEL6QmS2NAMrqV9jK4pisB7&#10;aViYgJMWwQ68YRGP/lAIzwZkN7qoyvK2GMAL54HLEPDvZgTpldF/hBC6TnG5AX400saR1UvNIkoK&#10;vXKBrnK3XSd5/NV1QUaiW4pKY16xCO73aS1WS9YcPHO94tcW2EdaeKfJMGWx6AvVhkVGjl79Q2UU&#10;9xCgixMOphiFZEdQxbR8581Dz5zMWtDq4F5MD/+Plv887TxRAiehXlBimcEr3yoryXRRfU32DC40&#10;GLW2O58E8rN9cFvgz4FYWPfMHmRu8/HiMHOaMoq/UtIhOCyyH36AwBh2jJC9OnfekE4r95QSEzn6&#10;Qc4tnc2rmwpv6NLSeVnOburxmuQ5Eo5wfVvOypoSnvCqzmjBmkSXSJwP8bsEQ9KmpRrFZHJ22oaY&#10;2nsNSeEW7pXWeQ60JUNLF3VV54QAWokEprDgD/u19uTE0iTlL2tF5G2Yh6MVmSwypb9ZQWI2JnqF&#10;VmlJUwUjBSVa4vNLu7Elba/GJa9G1/cgLjuf4OQhDkDu/TqsacLennPU6wNd/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Ic1ZG1gAAAAUBAAAPAAAAAAAAAAEAIAAAACIAAABkcnMvZG93bnJldi54&#10;bWxQSwECFAAUAAAACACHTuJAL5BGsvwBAADoAwAADgAAAAAAAAABACAAAAAlAQAAZHJzL2Uyb0Rv&#10;Yy54bWxQSwUGAAAAAAYABgBZAQAAkwUAAAAA&#10;">
                  <v:fill on="f" focussize="0,0"/>
                  <v:stroke color="#000000" joinstyle="round" endarrow="block"/>
                  <v:imagedata o:title=""/>
                  <o:lock v:ext="edit" aspectratio="f"/>
                </v:line>
                <v:shape id="Text Box 1913" o:spid="_x0000_s1026" o:spt="202" type="#_x0000_t202" style="position:absolute;left:1248410;top:53340;height:297180;width:55499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C+Cv3ISAgAAIgQAAA4AAABkcnMvZTJvRG9jLnhtbK1TQW7bMBC8&#10;F+gfCN5rWbac2ILlII2RokCaFkjyAJqiLKISl13SltzXd0kpqZtccuhFIDmr2Znhcn3Vtw07KnQa&#10;TMHTyZQzZSSU2uwL/vR4+2nJmfPClKIBowp+Uo5fbT5+WHc2VzOooSkVMiIxLu9swWvvbZ4kTtaq&#10;FW4CVhkCK8BWeNriPilRdMTeNslsOr1IOsDSIkjlHJ1uB5CPjPgeQqgqLdUW5KFVxg+sqBrhyZKr&#10;tXV8E9VWlZL+e1U55VlTcHLq45ea0HoXvslmLfI9CltrOUoQ75HwylMrtKGmL1Rb4QU7oH5D1WqJ&#10;4KDyEwltMhiJiZCLdPoqm4daWBW9UNTOvoTu/h+tvD/+QKZLmoQLysSIlq78UfWefYaepat0HiLq&#10;rMup8sFSre8JofJo19k7kD8dM3BTC7NX14jQ1UqUJDENfyZnvw48LpDsum9QUidx8BCJ+grbkB8l&#10;wgL7LFtmKQk6FXwxn2fjRQVdkuDFIlutCJUEz1aX6TLiicifaSw6/0VBy8Ki4EhzENuI453zQZbI&#10;n0tCVwO3umniLDTmnwMqDCfRRlA+ePD9rh9j2UF5IkMIw2jRw6JFDfibs47GquDu10Gg4qz5aiiU&#10;VZqRGebjJltczmiD58juHBFGElXBPWfD8sYPs3uwqPc1dRquwcA1BVnpaC0kPqgaddPoRMfjmIfZ&#10;PN/Hqr9Pe/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bQnyNMAAAAFAQAADwAAAAAAAAABACAA&#10;AAAiAAAAZHJzL2Rvd25yZXYueG1sUEsBAhQAFAAAAAgAh07iQC+Cv3ISAgAAIgQAAA4AAAAAAAAA&#10;AQAgAAAAIgEAAGRycy9lMm9Eb2MueG1sUEsFBgAAAAAGAAYAWQEAAKYFAAAAAA==&#10;">
                  <v:fill on="f" focussize="0,0"/>
                  <v:stroke on="f"/>
                  <v:imagedata o:title=""/>
                  <o:lock v:ext="edit" aspectratio="f"/>
                  <v:textbox>
                    <w:txbxContent>
                      <w:p w14:paraId="6F804EF5">
                        <w:pPr>
                          <w:spacing w:line="240" w:lineRule="atLeast"/>
                          <w:contextualSpacing/>
                          <w:rPr>
                            <w:rFonts w:hint="default" w:eastAsia="宋体"/>
                            <w:lang w:val="en-US" w:eastAsia="zh-CN"/>
                          </w:rPr>
                        </w:pPr>
                        <w:r>
                          <w:rPr>
                            <w:rFonts w:hint="eastAsia"/>
                            <w:snapToGrid w:val="0"/>
                            <w:szCs w:val="22"/>
                            <w:lang w:val="en-US" w:eastAsia="zh-CN"/>
                          </w:rPr>
                          <w:t>1.19</w:t>
                        </w:r>
                      </w:p>
                    </w:txbxContent>
                  </v:textbox>
                </v:shape>
                <v:shape id="Text Box 1913" o:spid="_x0000_s1026" o:spt="202" type="#_x0000_t202" style="position:absolute;left:808990;top:581660;height:297180;width:55499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Fbqa7ESAgAAIgQAAA4AAABkcnMvZTJvRG9jLnhtbK1Ty27bMBC8&#10;F+g/ELzXslzbsQXLQRojRYH0AST9AJqiLKIil13Sltyv75JSUje95NCLQHJWszvD4ea6Ny07KfQa&#10;bMnzyZQzZSVU2h5K/v3x7t2KMx+ErUQLVpX8rDy/3r59s+lcoWbQQFspZERifdG5kjchuCLLvGyU&#10;EX4CTlkCa0AjAm3xkFUoOmI3bTabTpdZB1g5BKm8p9PdAPKREV9DCHWtpdqBPBplw8CKqhWBJPlG&#10;O8+3adq6VjJ8rWuvAmtLTkpD+lITWu/jN9tuRHFA4RotxxHEa0Z4ockIbanpM9VOBMGOqP+hMloi&#10;eKjDRILJBiHJEVKRT19489AIp5IWstq7Z9P9/6OVX07fkOmKkrDMObPC0JU/qj6wD9CzfJ2/jxZ1&#10;zhdU+eCoNvSEUHmS6909yB+eWbhthD2oG0ToGiUqGjGPf2YXvw48PpLsu89QUSdxDJCI+hpN9I8c&#10;YcS+mq7Wa7qjc8kXq3y5HC8qziUJXizmCZaEz9ZX+SrhmSieaBz68FGBYXFRcqQcpDbidO9DHEsU&#10;TyWxq4U73bYpC63964AK40mSEScfNIR+34+27KE6kyCEIVr0sGjRAP7irKNYldz/PApUnLWfLJmy&#10;zufzmMO0mS+uZrTBS2R/iQgriarkgbNheRuG7B4d6kNDnYZrsHBDRtY6SYuOD1ONc1N0kuIx5jGb&#10;l/tU9edp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bQnyNMAAAAFAQAADwAAAAAAAAABACAA&#10;AAAiAAAAZHJzL2Rvd25yZXYueG1sUEsBAhQAFAAAAAgAh07iQFbqa7ESAgAAIgQAAA4AAAAAAAAA&#10;AQAgAAAAIgEAAGRycy9lMm9Eb2MueG1sUEsFBgAAAAAGAAYAWQEAAKYFAAAAAA==&#10;">
                  <v:fill on="f" focussize="0,0"/>
                  <v:stroke on="f"/>
                  <v:imagedata o:title=""/>
                  <o:lock v:ext="edit" aspectratio="f"/>
                  <v:textbox>
                    <w:txbxContent>
                      <w:p w14:paraId="63A58A45">
                        <w:pPr>
                          <w:spacing w:line="240" w:lineRule="atLeast"/>
                          <w:contextualSpacing/>
                          <w:rPr>
                            <w:rFonts w:hint="default" w:eastAsia="宋体"/>
                            <w:lang w:val="en-US" w:eastAsia="zh-CN"/>
                          </w:rPr>
                        </w:pPr>
                        <w:r>
                          <w:rPr>
                            <w:rFonts w:hint="eastAsia"/>
                            <w:snapToGrid w:val="0"/>
                            <w:szCs w:val="22"/>
                            <w:lang w:val="en-US" w:eastAsia="zh-CN"/>
                          </w:rPr>
                          <w:t>4.71</w:t>
                        </w:r>
                      </w:p>
                    </w:txbxContent>
                  </v:textbox>
                </v:shape>
                <v:shape id="Text Box 1913" o:spid="_x0000_s1026" o:spt="202" type="#_x0000_t202" style="position:absolute;left:2612390;top:556260;height:297180;width:47879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N73rLYTAgAAIwQAAA4AAABkcnMvZTJvRG9jLnhtbK1Ty27bMBC8&#10;F+g/ELzXshQ/BctBGiNFgTQtkPQDaIqyiEpcdklbcr++S0pJ3fSSQy8CyVnN7gyHm+u+bdhJodNg&#10;Cp5OppwpI6HU5lDw7093H1acOS9MKRowquBn5fj19v27TWdzlUENTamQEYlxeWcLXntv8yRxslat&#10;cBOwyhBYAbbC0xYPSYmiI/a2SbLpdJF0gKVFkMo5Ot0NIB8Z8S2EUFVaqh3IY6uMH1hRNcKTJFdr&#10;6/g2TltVSvqvVeWUZ03BSamPX2pC6334JtuNyA8obK3lOIJ4ywivNLVCG2r6QrUTXrAj6n+oWi0R&#10;HFR+IqFNBiHREVKRTl9581gLq6IWstrZF9Pd/6OVD6dvyHRJSVhknBnR0pU/qd6zj9CzdJ1eBYs6&#10;63KqfLRU63tCqDzKdfYe5A/HDNzWwhzUDSJ0tRIljZiGP5OLXwceF0j23RcoqZM4eohEfYVt8I8c&#10;YcSeLdLsak2XdC74fL7IFuNNhcEk4bPlahlgSXi2XqariCcif+ax6PwnBS0Li4IjBSH2Ead758Nc&#10;In8uCW0N3OmmiWFozF8HVBhOoo4w+iDC9/t+9GUP5ZkUIQzZopdFixrwF2cd5arg7udRoOKs+WzI&#10;lXU6m4Ugxs1svsxog5fI/hIRRhJVwT1nw/LWD+E9WtSHmjoN92DghpysdJQWLB+mGuem7ETFY85D&#10;OC/3serP297+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0J8jTAAAABQEAAA8AAAAAAAAAAQAg&#10;AAAAIgAAAGRycy9kb3ducmV2LnhtbFBLAQIUABQAAAAIAIdO4kDe96y2EwIAACMEAAAOAAAAAAAA&#10;AAEAIAAAACIBAABkcnMvZTJvRG9jLnhtbFBLBQYAAAAABgAGAFkBAACnBQAAAAA=&#10;">
                  <v:fill on="f" focussize="0,0"/>
                  <v:stroke on="f"/>
                  <v:imagedata o:title=""/>
                  <o:lock v:ext="edit" aspectratio="f"/>
                  <v:textbox>
                    <w:txbxContent>
                      <w:p w14:paraId="69781E20">
                        <w:pPr>
                          <w:spacing w:line="240" w:lineRule="atLeast"/>
                          <w:contextualSpacing/>
                          <w:rPr>
                            <w:rFonts w:hint="default" w:eastAsia="宋体"/>
                            <w:lang w:val="en-US" w:eastAsia="zh-CN"/>
                          </w:rPr>
                        </w:pPr>
                        <w:r>
                          <w:rPr>
                            <w:rFonts w:hint="eastAsia"/>
                            <w:snapToGrid w:val="0"/>
                            <w:szCs w:val="22"/>
                            <w:lang w:val="en-US" w:eastAsia="zh-CN"/>
                          </w:rPr>
                          <w:t>4.96</w:t>
                        </w:r>
                      </w:p>
                    </w:txbxContent>
                  </v:textbox>
                </v:shape>
                <v:shape id="Text Box 1913" o:spid="_x0000_s1026" o:spt="202" type="#_x0000_t202" style="position:absolute;left:1933575;top:387985;height:297180;width:47879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AAe31MVAgAAIwQAAA4AAABkcnMvZTJvRG9jLnhtbK1Ty27bMBC8&#10;F+g/ELzXsvyIbcFykMZIUSBNCyT9AJqiLKIil13Sltyv75JyUje95NALQXKXszuzw/V1b1p2VOg1&#10;2JLnozFnykqotN2X/PvT3YclZz4IW4kWrCr5SXl+vXn/bt25Qk2ggbZSyAjE+qJzJW9CcEWWedko&#10;I/wInLIUrAGNCHTEfVah6AjdtNlkPL7KOsDKIUjlPd1uhyA/I+JbAKGutVRbkAejbBhQUbUiECXf&#10;aOf5JnVb10qGr3XtVWBtyYlpSCsVof0urtlmLYo9CtdoeW5BvKWFV5yM0JaKvkBtRRDsgPofKKMl&#10;goc6jCSYbCCSFCEW+fiVNo+NcCpxIam9exHd/z9Y+XD8hkxX5ISrKWdWGBr5k+oD+wg9y1f5NErU&#10;OV9Q5qOj3NBThNITXe/uQf7wzMJtI+xe3SBC1yhRUYt5fJldPB1wfATZdV+gokriECAB9TWaqB8p&#10;wiL6ajqdL+acnUo+XS5Wy/kwqdiYpPhsQZc0Q0nxyWqRL9MkM1E84zj04ZMCw+Km5EhGSHXE8d6H&#10;2JconlNiWQt3um2TGVr71wUlxpvEI7Y+kAj9rj/rsoPqRIwQBm/Rz6JNA/iLs458VXL/8yBQcdZ+&#10;tqTKKp/NohHTYTZfTOiAl5HdZURYSVAlD5wN29swmPfgUO8bqjTMwcINKVnrRC1KPnR17pu8kxif&#10;fR7NeXlOWX/+9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bQnyNMAAAAFAQAADwAAAAAAAAAB&#10;ACAAAAAiAAAAZHJzL2Rvd25yZXYueG1sUEsBAhQAFAAAAAgAh07iQAAe31MVAgAAIwQAAA4AAAAA&#10;AAAAAQAgAAAAIgEAAGRycy9lMm9Eb2MueG1sUEsFBgAAAAAGAAYAWQEAAKkFAAAAAA==&#10;">
                  <v:fill on="f" focussize="0,0"/>
                  <v:stroke on="f"/>
                  <v:imagedata o:title=""/>
                  <o:lock v:ext="edit" aspectratio="f"/>
                  <v:textbox>
                    <w:txbxContent>
                      <w:p w14:paraId="43CC1491">
                        <w:pPr>
                          <w:spacing w:line="240" w:lineRule="atLeast"/>
                          <w:contextualSpacing/>
                          <w:rPr>
                            <w:rFonts w:hint="default" w:eastAsia="宋体"/>
                            <w:lang w:val="en-US" w:eastAsia="zh-CN"/>
                          </w:rPr>
                        </w:pPr>
                        <w:r>
                          <w:rPr>
                            <w:rFonts w:hint="eastAsia"/>
                            <w:snapToGrid w:val="0"/>
                            <w:szCs w:val="22"/>
                            <w:lang w:val="en-US" w:eastAsia="zh-CN"/>
                          </w:rPr>
                          <w:t>0.94</w:t>
                        </w:r>
                      </w:p>
                    </w:txbxContent>
                  </v:textbox>
                </v:shape>
                <v:shape id="Text Box 1916" o:spid="_x0000_s1026" o:spt="202" type="#_x0000_t202" style="position:absolute;left:1700530;top:883920;height:297815;width:50863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EvvuUYVAgAAIwQAAA4AAABkcnMvZTJvRG9jLnhtbK1Ty27bMBC8&#10;F+g/ELzXkvyKLVgO0hgpCqRpgaQfQFOURVTiskvakvv1XVJK6qaXHHoRSO5qdmY43Fz3bcNOCp0G&#10;U/BsknKmjIRSm0PBvz/dfVhx5rwwpWjAqIKflePX2/fvNp3N1RRqaEqFjECMyztb8Np7myeJk7Vq&#10;hZuAVYaKFWArPG3xkJQoOkJvm2SapsukAywtglTO0eluKPIREd8CCFWlpdqBPLbK+AEVVSM8SXK1&#10;to5vI9uqUtJ/rSqnPGsKTkp9/NIQWu/DN9luRH5AYWstRwriLRReaWqFNjT0BWonvGBH1P9AtVoi&#10;OKj8REKbDEKiI6QiS19581gLq6IWstrZF9Pd/4OVD6dvyHRJSVjOOTOipSt/Ur1nH6Fn2TpbBos6&#10;63LqfLTU63uqUHuU6+w9yB+OGbithTmoG0ToaiVKopiFP5OLXwccF0D23RcoaZI4eohAfYVt8I8c&#10;YQH9Kk0XM7qkc8FXq9l6Ot5UICapvkhXy9mCM0n16fpqlS3iMJE/41h0/pOCloVFwZGCEOeI073z&#10;gZfIn1vCWAN3umliGBrz1wE1hpOoI1AfRPh+34++7KE8kyKEIVv0smhRA/7irKNcFdz9PApUnDWf&#10;DbmyzubzEMS4mS+uSBnDy8r+siKMJKiCe86G5a0fwnu0qA81TRruwcANOVnpKC1YPrAaeVN2ouIx&#10;5yGcl/vY9edtb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bQnyNMAAAAFAQAADwAAAAAAAAAB&#10;ACAAAAAiAAAAZHJzL2Rvd25yZXYueG1sUEsBAhQAFAAAAAgAh07iQEvvuUYVAgAAIwQAAA4AAAAA&#10;AAAAAQAgAAAAIgEAAGRycy9lMm9Eb2MueG1sUEsFBgAAAAAGAAYAWQEAAKkFAAAAAA==&#10;">
                  <v:fill on="f" focussize="0,0"/>
                  <v:stroke on="f"/>
                  <v:imagedata o:title=""/>
                  <o:lock v:ext="edit" aspectratio="f"/>
                  <v:textbox>
                    <w:txbxContent>
                      <w:p w14:paraId="5A0274F0">
                        <w:pPr>
                          <w:spacing w:line="240" w:lineRule="atLeast"/>
                          <w:contextualSpacing/>
                          <w:jc w:val="center"/>
                          <w:rPr>
                            <w:rFonts w:hint="default" w:eastAsia="宋体"/>
                            <w:lang w:val="en-US" w:eastAsia="zh-CN"/>
                          </w:rPr>
                        </w:pPr>
                        <w:r>
                          <w:rPr>
                            <w:rFonts w:hint="eastAsia"/>
                          </w:rPr>
                          <w:t>损耗</w:t>
                        </w:r>
                      </w:p>
                    </w:txbxContent>
                  </v:textbox>
                </v:shape>
                <v:line id="Line 1924" o:spid="_x0000_s1026" o:spt="20" style="position:absolute;left:2564130;top:1515745;flip:y;height:635;width:1663065;" filled="f" stroked="t" coordsize="21600,21600" o:gfxdata="UEsDBAoAAAAAAIdO4kAAAAAAAAAAAAAAAAAEAAAAZHJzL1BLAwQUAAAACACHTuJACHNWRtYAAAAF&#10;AQAADwAAAGRycy9kb3ducmV2LnhtbE2PwU7DMBBE70j8g7VI3KidqqlCiNMDAokTghYhcXPjJQmN&#10;18HeNoWvx/QCl5VGM5p5W62ObhAHDLH3pCGbKRBIjbc9tRpeNvdXBYjIhqwZPKGGL4ywqs/PKlNa&#10;P9EzHtbcilRCsTQaOuaxlDI2HToTZ35ESt67D85wkqGVNpgplbtBzpVaSmd6SgudGfG2w2a33jsN&#10;15sp909h97rI+s+377sPHh8eWevLi0zdgGA88l8YfvETOtSJaev3ZKMYNKRH+HSTV+TzBYithmWh&#10;cpB1Jf/T1z9QSwMEFAAAAAgAh07iQMmufdv9AQAA6gMAAA4AAABkcnMvZTJvRG9jLnhtbK1TwXLb&#10;IBC9d6b/wHCvZdmWmmgs52A3vbitZ5L0jgFZTIFlAFv233dBniRNLzlEBwa0b9/ueyzLu7PR5CR9&#10;UGBbWk6mlEjLQSh7aOnT4/2XG0pCZFYwDVa29CIDvVt9/rQcXCNn0IMW0hMksaEZXEv7GF1TFIH3&#10;0rAwASctBjvwhkU8+kMhPBuQ3ehiNp3WxQBeOA9choB/N2OQXhn9ewih6xSXG+BHI20cWb3ULKKk&#10;0CsX6Cp323WSx19dF2QkuqWoNOYVi+B+n9ZitWTNwTPXK35tgb2nhTeaDFMWiz5TbVhk5OjVf1RG&#10;cQ8BujjhYIpRSHYEVZTTN9489MzJrAWtDu7Z9PBxtPznaeeJEjgJdU2JZQavfKusJOXtbJHsGVxo&#10;ELW2O58E8rN9cFvgfwKxsO6ZPcjc5uPFYWaZMop/UtIhOCyyH36AQAw7RshenTtvSKeV+50SEzn6&#10;Qc4tnVX1opzjFV0wUJXV10U1XpQ8R8IRgL3Op3VFCUdEPc/RgjWJMNE4H+J3CYakTUs1ysn07LQN&#10;MTX4AklwC/dK6zwJ2pKhpbfVrMoJAbQSKZhgwR/2a+3JiaVZyl9Wi5HXMA9HKzJZZEp/s4LEbE30&#10;Cs3SkqYKRgpKtMQHmHZjS9perUtujb7vQVx2PoWTizgCuffruKYZe33OqJcnuv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HNWRtYAAAAFAQAADwAAAAAAAAABACAAAAAiAAAAZHJzL2Rvd25yZXYu&#10;eG1sUEsBAhQAFAAAAAgAh07iQMmufdv9AQAA6gMAAA4AAAAAAAAAAQAgAAAAJQEAAGRycy9lMm9E&#10;b2MueG1sUEsFBgAAAAAGAAYAWQEAAJQFAAAAAA==&#10;">
                  <v:fill on="f" focussize="0,0"/>
                  <v:stroke color="#000000" joinstyle="round" endarrow="block"/>
                  <v:imagedata o:title=""/>
                  <o:lock v:ext="edit" aspectratio="f"/>
                </v:line>
                <v:line id="Line 1939" o:spid="_x0000_s1026" o:spt="20" style="position:absolute;left:1965960;top:1093470;flip:x y;height:245745;width:1905;" filled="f" stroked="t" coordsize="21600,21600" o:gfxdata="UEsDBAoAAAAAAIdO4kAAAAAAAAAAAAAAAAAEAAAAZHJzL1BLAwQUAAAACACHTuJAEb56udQAAAAF&#10;AQAADwAAAGRycy9kb3ducmV2LnhtbE2O0UoDMRBF3wX/IYzgm01at2VZN1tQqFDwpdUPSDfjZnUz&#10;WZK0Xf16R1/sy8DlXs6cej35QZwwpj6QhvlMgUBqg+2p0/D2urkrQaRsyJohEGr4wgTr5vqqNpUN&#10;Z9rhaZ87wRBKldHgch4rKVPr0Js0CyMSd+8hepM5xk7aaM4M94NcKLWS3vTEH5wZ8clh+7k/eg1q&#10;8zHl7XMRv++lksXW7WL78qj17c1cPYDIOOX/Mfzqszo07HQIR7JJDMzg3d/lrlwuChAHDatSLUE2&#10;tby0b34AUEsDBBQAAAAIAIdO4kDbjiabCgIAAAwEAAAOAAAAZHJzL2Uyb0RvYy54bWytUz1v2zAQ&#10;3Qv0PxDca8mO7VSC5Qx20w5uYyBpd5qkLKL8Aklb9r/vHSUkTbpkqAbhqHv37t7jaXV3MZqcZYjK&#10;2YZOJyUl0nInlD029OfT/afPlMTErGDaWdnQq4z0bv3xw6r3tZy5zmkhAwESG+veN7RLyddFEXkn&#10;DYsT56WFZOuCYQmO4ViIwHpgN7qYleWy6F0QPjguY4Sv2yFJR8bwHkLXtorLreMnI20aWIPULIGk&#10;2Ckf6TpP27aSp4e2jTIR3VBQmvIbmkB8wHexXrH6GJjvFB9HYO8Z4Y0mw5SFps9UW5YYOQX1D5VR&#10;PLjo2jThzhSDkOwIqJiWb7x57JiXWQtYHf2z6fH/0fIf530gSsAmLG8psczAle+UlWRa3VRoT+9j&#10;DaiN3QcUyC/20e8c/x2JdZuO2aPMYz5dPVROsaJ4VYKH6KHJof/uBGDYKbns1aUNhrRa+W9YmKNf&#10;GGEbcIZc4FAtF9USLusKcVndzG/HK5OXRHgGlAtKOKRn88XtfJH7sxqpkcaHmL5KZwgGDdUgLNOz&#10;8y4mHPUFgnDr7pXWeSe0JX1Dq8VskQui00pgEmExHA8bHciZ4VblZ+z7CoY9tyx2A05AhChWB3ey&#10;IkeJKf3FCpKyeSkosFNLip2NFJRoCb8oRsOo2o7mop/DzRycuO4DptFnWJKsaVxo3MK/zxn18hO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vnq51AAAAAUBAAAPAAAAAAAAAAEAIAAAACIAAABk&#10;cnMvZG93bnJldi54bWxQSwECFAAUAAAACACHTuJA244mmwoCAAAMBAAADgAAAAAAAAABACAAAAAj&#10;AQAAZHJzL2Uyb0RvYy54bWxQSwUGAAAAAAYABgBZAQAAnwUAAAAA&#10;">
                  <v:fill on="f" focussize="0,0"/>
                  <v:stroke color="#000000" joinstyle="round" dashstyle="dash" endarrow="block"/>
                  <v:imagedata o:title=""/>
                  <o:lock v:ext="edit" aspectratio="f"/>
                </v:line>
                <v:line id="Line 1939" o:spid="_x0000_s1026" o:spt="20" style="position:absolute;left:1971040;top:375920;flip:x y;height:245745;width:1905;" filled="f" stroked="t" coordsize="21600,21600" o:gfxdata="UEsDBAoAAAAAAIdO4kAAAAAAAAAAAAAAAAAEAAAAZHJzL1BLAwQUAAAACACHTuJAEb56udQAAAAF&#10;AQAADwAAAGRycy9kb3ducmV2LnhtbE2O0UoDMRBF3wX/IYzgm01at2VZN1tQqFDwpdUPSDfjZnUz&#10;WZK0Xf16R1/sy8DlXs6cej35QZwwpj6QhvlMgUBqg+2p0/D2urkrQaRsyJohEGr4wgTr5vqqNpUN&#10;Z9rhaZ87wRBKldHgch4rKVPr0Js0CyMSd+8hepM5xk7aaM4M94NcKLWS3vTEH5wZ8clh+7k/eg1q&#10;8zHl7XMRv++lksXW7WL78qj17c1cPYDIOOX/Mfzqszo07HQIR7JJDMzg3d/lrlwuChAHDatSLUE2&#10;tby0b34AUEsDBBQAAAAIAIdO4kCJPMvTCQIAAAsEAAAOAAAAZHJzL2Uyb0RvYy54bWytU01v2zAM&#10;vQ/YfxB0X+ykcbMYcXpI1u2QrQHa7a5IcixMX5CUOPn3I2WjXbtLD/NBoMzHR/KRWt1djCZnGaJy&#10;tqHTSUmJtNwJZY8N/fl0/+kzJTExK5h2Vjb0KiO9W3/8sOp9LWeuc1rIQIDExrr3De1S8nVRRN5J&#10;w+LEeWnB2bpgWIJrOBYisB7YjS5mZXlb9C4IHxyXMcLf7eCkI2N4D6FrW8Xl1vGTkTYNrEFqlqCl&#10;2Ckf6TpX27aSp4e2jTIR3VDoNOUTkoB9wLNYr1h9DMx3io8lsPeU8KYnw5SFpM9UW5YYOQX1D5VR&#10;PLjo2jThzhRDI1kR6GJavtHmsWNe5l5A6uifRY//j5b/OO8DUQI24RYGb5mBke+UlWS6vFmiPL2P&#10;NaA2dh+wQX6xj37n+O9IrNt0zB5lLvPp6iFyihHFqxC8RA9JDv13JwDDTsllrS5tMKTVyn/DwGz9&#10;QgvTgDLkApflYlrOYVjXht4squVsnJi8JMKzv6wo4eCdzavFvMrpWY3MyOJDTF+lMwSNhmroK7Oz&#10;8y4mrPQFgnDr7pXWeSW0JX1Dl9WsygHRaSXQibAYjoeNDuTMcKnyN+Z9BcOcWxa7ASfAQhSrgztZ&#10;ka3ElP5iBUlZuxQUqKklxcxGCkq0hBeK1lCqtqO2KOcwmIMT131AN8oMO5J7GvcZl/Dve0a9vOH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ernUAAAABQEAAA8AAAAAAAAAAQAgAAAAIgAAAGRy&#10;cy9kb3ducmV2LnhtbFBLAQIUABQAAAAIAIdO4kCJPMvTCQIAAAsEAAAOAAAAAAAAAAEAIAAAACMB&#10;AABkcnMvZTJvRG9jLnhtbFBLBQYAAAAABgAGAFkBAACeBQAAAAA=&#10;">
                  <v:fill on="f" focussize="0,0"/>
                  <v:stroke color="#000000" joinstyle="round" dashstyle="dash" endarrow="block"/>
                  <v:imagedata o:title=""/>
                  <o:lock v:ext="edit" aspectratio="f"/>
                </v:line>
                <v:shape id="Text Box 1927" o:spid="_x0000_s1026" o:spt="202" type="#_x0000_t202" style="position:absolute;left:1284605;top:1983740;height:297180;width:929005;" fillcolor="#FFFFFF" filled="t" stroked="t" coordsize="21600,21600" o:gfxdata="UEsDBAoAAAAAAIdO4kAAAAAAAAAAAAAAAAAEAAAAZHJzL1BLAwQUAAAACACHTuJAEod7ddcAAAAF&#10;AQAADwAAAGRycy9kb3ducmV2LnhtbE2PwU7DMBBE70j9B2uRuKDWbmlDGuL0gASCWykVvbrxNolq&#10;r4PtpuXvMVzgstJoRjNvy9XFGjagD50jCdOJAIZUO91RI2H7/jTOgYWoSCvjCCV8YYBVNboqVaHd&#10;md5w2MSGpRIKhZLQxtgXnIe6RavCxPVIyTs4b1VM0jdce3VO5dbwmRAZt6qjtNCqHh9brI+bk5WQ&#10;z1+GXXi9W3/U2cEs4+398Pzppby5nooHYBEv8S8MP/gJHarEtHcn0oEZCemR+HuTly9mc2B7CVku&#10;FsCrkv+nr74BUEsDBBQAAAAIAIdO4kDrpmt6PAIAAJYEAAAOAAAAZHJzL2Uyb0RvYy54bWytVMFu&#10;2zAMvQ/YPwi6r3a8pImNOEWXosOArhvQ7gMUWY6FSaImKbG7rx8lu12QbUAP88Egw+dH8pHM+mrQ&#10;ihyF8xJMTWcXOSXCcGik2df02+PtuxUlPjDTMAVG1PRJeHq1eftm3dtKFNCBaoQjSGJ81duadiHY&#10;Kss874Rm/gKsMBhswWkW0HX7rHGsR3atsiLPL7MeXGMdcOE9/nozBunE6F5DCG0rubgBftDChJHV&#10;CcUCtuQ7aT3dpGrbVvDwpW29CETVFDsN6Y1J0N7Fd7ZZs2rvmO0kn0pgrynhrCfNpMGkL1Q3LDBy&#10;cPIPKi25Aw9tuOCgs7GRpAh2McvPtHnomBWpF5Ta2xfR/f+j5ffHr47IBjfhsqTEMI0jfxRDIB9g&#10;ILOyWEaJeusrRD5YxIYBIwhP7Xp7B/y7Jwa2HTN7ce0c9J1gDZY4i19mJ5+OPD6S7PrP0GAmdgiQ&#10;iIbW6agfKkIie7GaX+YLSp7QLlfvl/NpVLEyjoCyKPMY5wgoyuVsleIZq56JrPPhowBNolFTh5uQ&#10;ErHjnQ+xMFY9Q2JeD0o2t1Kp5Lj9bqscOTLcmtv0pF7OYMqQHitZFItRi39S5On5G4WWAY9JSV3T&#10;1SlImUm6qNaoWxh2wzSKHTRPKKKDcZ3xmNHowP2kpMdVrqn/cWBOUKI+GRxEOZujfCQkZ75YFui4&#10;08juNMIMR6qaBkpGcxvGezlYJ/cdZhpHb+Aah9fKJGac8ljVVDeua9J4Oq14D6d+Qv3+O9n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KHe3XXAAAABQEAAA8AAAAAAAAAAQAgAAAAIgAAAGRycy9k&#10;b3ducmV2LnhtbFBLAQIUABQAAAAIAIdO4kDrpmt6PAIAAJYEAAAOAAAAAAAAAAEAIAAAACYBAABk&#10;cnMvZTJvRG9jLnhtbFBLBQYAAAAABgAGAFkBAADUBQAAAAA=&#10;">
                  <v:fill on="t" focussize="0,0"/>
                  <v:stroke color="#000000" miterlimit="8" joinstyle="miter"/>
                  <v:imagedata o:title=""/>
                  <o:lock v:ext="edit" aspectratio="f"/>
                  <v:textbox>
                    <w:txbxContent>
                      <w:p w14:paraId="4BC94B73">
                        <w:pPr>
                          <w:spacing w:line="240" w:lineRule="atLeast"/>
                          <w:contextualSpacing/>
                          <w:jc w:val="center"/>
                          <w:rPr>
                            <w:rFonts w:hint="default" w:eastAsia="宋体"/>
                            <w:lang w:val="en-US" w:eastAsia="zh-CN"/>
                          </w:rPr>
                        </w:pPr>
                        <w:r>
                          <w:rPr>
                            <w:rFonts w:hint="eastAsia"/>
                            <w:lang w:val="en-US" w:eastAsia="zh-CN"/>
                          </w:rPr>
                          <w:t>软化水制水</w:t>
                        </w:r>
                      </w:p>
                    </w:txbxContent>
                  </v:textbox>
                </v:shape>
                <v:shape id="Text Box 1927" o:spid="_x0000_s1026" o:spt="202" type="#_x0000_t202" style="position:absolute;left:2647950;top:1978025;height:297180;width:1052195;" fillcolor="#FFFFFF" filled="t" stroked="t" coordsize="21600,21600" o:gfxdata="UEsDBAoAAAAAAIdO4kAAAAAAAAAAAAAAAAAEAAAAZHJzL1BLAwQUAAAACACHTuJAEod7ddcAAAAF&#10;AQAADwAAAGRycy9kb3ducmV2LnhtbE2PwU7DMBBE70j9B2uRuKDWbmlDGuL0gASCWykVvbrxNolq&#10;r4PtpuXvMVzgstJoRjNvy9XFGjagD50jCdOJAIZUO91RI2H7/jTOgYWoSCvjCCV8YYBVNboqVaHd&#10;md5w2MSGpRIKhZLQxtgXnIe6RavCxPVIyTs4b1VM0jdce3VO5dbwmRAZt6qjtNCqHh9brI+bk5WQ&#10;z1+GXXi9W3/U2cEs4+398Pzppby5nooHYBEv8S8MP/gJHarEtHcn0oEZCemR+HuTly9mc2B7CVku&#10;FsCrkv+nr74BUEsDBBQAAAAIAIdO4kA03ljWPQIAAJcEAAAOAAAAZHJzL2Uyb0RvYy54bWytVNtu&#10;2zAMfR+wfxD0vvqCpImNOEXXosOA7gK0+wBFlmNhkqhJSuzu60fJbhdkw9CH+cEQTerw8JD05mrU&#10;ihyF8xJMQ4uLnBJhOLTS7Bv67fHu3ZoSH5hpmQIjGvokPL3avn2zGWwtSuhBtcIRBDG+HmxD+xBs&#10;nWWe90IzfwFWGHR24DQLaLp91jo2ILpWWZnnl9kArrUOuPAev95OTjojutcAQtdJLm6BH7QwYUJ1&#10;QrGAJfleWk+3iW3XCR6+dJ0XgaiGYqUhvTEJnnfxnW03rN47ZnvJZwrsNRTOatJMGkz6AnXLAiMH&#10;J/+A0pI78NCFCw46mwpJimAVRX6mzUPPrEi1oNTevoju/x8s/3z86ohscRJWqIlhGlv+KMZA3sNI&#10;iqpcRYkG62uMfLAYG0b0YHgq19t74N89MXDTM7MX187B0AvWIsUi3sxOrk44PoLshk/QYiZ2CJCA&#10;xs7pqB8qQhC9vFysqiUSekKcarXOy+XUqsiMx/T5siyqJSUcI8pqVaxTLzNWPyNZ58MHAZrEQ0Md&#10;jkLKxI73PkRmrH4OiYk9KNneSaWS4fa7G+XIkeHY3KUnFXMWpgwZGlotkdy/IfL0/A1Cy4DbpKRu&#10;6Po0SJlZuyjXJFwYd+Pcix20T6iig2mecZvx0IP7ScmAs9xQ/+PAnKBEfTTYiapYLOLwJ2OxXJVo&#10;uFPP7tTDDEeohgZKpuNNmBbmYJ3c95hp6r2Ba+xeJ5OYsc0Tq5k3zmvSeN6tuBCndor6/T/Z/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h3t11wAAAAUBAAAPAAAAAAAAAAEAIAAAACIAAABkcnMv&#10;ZG93bnJldi54bWxQSwECFAAUAAAACACHTuJANN5Y1j0CAACXBAAADgAAAAAAAAABACAAAAAmAQAA&#10;ZHJzL2Uyb0RvYy54bWxQSwUGAAAAAAYABgBZAQAA1QUAAAAA&#10;">
                  <v:fill on="t" focussize="0,0"/>
                  <v:stroke color="#000000" miterlimit="8" joinstyle="miter"/>
                  <v:imagedata o:title=""/>
                  <o:lock v:ext="edit" aspectratio="f"/>
                  <v:textbox>
                    <w:txbxContent>
                      <w:p w14:paraId="750306FA">
                        <w:pPr>
                          <w:spacing w:line="240" w:lineRule="atLeast"/>
                          <w:contextualSpacing/>
                          <w:jc w:val="center"/>
                          <w:rPr>
                            <w:rFonts w:hint="default" w:eastAsia="宋体"/>
                            <w:lang w:val="en-US" w:eastAsia="zh-CN"/>
                          </w:rPr>
                        </w:pPr>
                        <w:r>
                          <w:rPr>
                            <w:rFonts w:hint="eastAsia"/>
                            <w:lang w:val="en-US" w:eastAsia="zh-CN"/>
                          </w:rPr>
                          <w:t>电蒸汽发生器</w:t>
                        </w:r>
                      </w:p>
                    </w:txbxContent>
                  </v:textbox>
                </v:shape>
                <v:line id="Line 1924" o:spid="_x0000_s1026" o:spt="20" style="position:absolute;left:2218690;top:2124075;height:2540;width:417830;" filled="f" stroked="t" coordsize="21600,21600" o:gfxdata="UEsDBAoAAAAAAIdO4kAAAAAAAAAAAAAAAAAEAAAAZHJzL1BLAwQUAAAACACHTuJAwBvDFdcAAAAF&#10;AQAADwAAAGRycy9kb3ducmV2LnhtbE2PzU7DMBCE70i8g7VI3KidilZWiNMDUrm0gPqjCm5uvCQR&#10;8TqynTa8fU0vcFlpNKOZb4vFaDt2Qh9aRwqyiQCGVDnTUq1gv1s+SGAhajK6c4QKfjDAory9KXRu&#10;3Jk2eNrGmqUSCrlW0MTY55yHqkGrw8T1SMn7ct7qmKSvufH6nMptx6dCzLnVLaWFRvf43GD1vR2s&#10;gs16uZKH1TBW/vMle9u9r18/glTq/i4TT8AijvEvDL/4CR3KxHR0A5nAOgXpkXi9yZOz6SOwo4K5&#10;FDPgZcH/05cXUEsDBBQAAAAIAIdO4kC4msJF+AEAAOADAAAOAAAAZHJzL2Uyb0RvYy54bWytU8Fu&#10;2zAMvQ/YPwi6L469pEmMOD0k6y7ZFqDdByiSbAuTREFS4uTvR8lp13WXHuaDQJnkI98jtb6/GE3O&#10;0gcFtqHlZEqJtByEsl1Dfz49fFpSEiKzgmmwsqFXGej95uOH9eBqWUEPWkhPEMSGenAN7WN0dVEE&#10;3kvDwgSctOhswRsW8eq7Qng2ILrRRTWd3hUDeOE8cBkC/t2NTnpD9O8BhLZVXO6An4y0cUT1UrOI&#10;lEKvXKCb3G3bSh5/tG2QkeiGItOYTyyC9jGdxWbN6s4z1yt+a4G9p4U3nAxTFou+QO1YZOTk1T9Q&#10;RnEPAdo44WCKkUhWBFmU0zfaPPbMycwFpQ7uRfTw/2D59/PBEyVwExYlJZYZHPleWUnKVTVL8gwu&#10;1Bi1tQefCPKLfXR74L8CsbDtme1kbvPp6jCzTBnFXynpEhwWOQ7fQGAMO0XIWl1abxIkqkAuDa2q&#10;cnm3wsFc0S6r2XQxH8cjL5FwDJiVi+Vn9PMUMJ/l4RWsfoZxPsSvEgxJRkM1kshl2HkfYmqL1c8h&#10;qaqFB6V1nr+2ZGjoal7Nc0IArURyprDgu+NWe3JmaYPylzmi53WYh5MVGSwypb9YQWIWJHqFEmlJ&#10;UwUjBSVa4rNL1tiStjfBkkaj2kcQ14NP7qQdDj73flvStFmv7znqz8P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G8MV1wAAAAUBAAAPAAAAAAAAAAEAIAAAACIAAABkcnMvZG93bnJldi54bWxQ&#10;SwECFAAUAAAACACHTuJAuJrCRfgBAADgAwAADgAAAAAAAAABACAAAAAmAQAAZHJzL2Uyb0RvYy54&#10;bWxQSwUGAAAAAAYABgBZAQAAkAUAAAAA&#10;">
                  <v:fill on="f" focussize="0,0"/>
                  <v:stroke color="#000000" joinstyle="round" endarrow="block"/>
                  <v:imagedata o:title=""/>
                  <o:lock v:ext="edit" aspectratio="f"/>
                </v:line>
                <v:shape id="_x0000_s1026" o:spid="_x0000_s1026" o:spt="33" type="#_x0000_t33" style="position:absolute;left:2836545;top:1193800;flip:y;height:2495550;width:321310;rotation:-5898240f;" filled="f" stroked="t" coordsize="21600,21600" o:gfxdata="UEsDBAoAAAAAAIdO4kAAAAAAAAAAAAAAAAAEAAAAZHJzL1BLAwQUAAAACACHTuJAnFarP9gAAAAF&#10;AQAADwAAAGRycy9kb3ducmV2LnhtbE2PwWrDMBBE74X+g9hCb40UUwfjWs6hJORikjQN1EfF2tqm&#10;1spYiuP066vm0l4Whhlm3mbLyXRsxMG1liTMZwIYUmV1S7WE4/v6KQHmvCKtOkso4YoOlvn9XaZS&#10;bS/0huPB1yyUkEuVhMb7PuXcVQ0a5Wa2Rwrepx2M8kEONdeDuoRy0/FIiAU3qqWw0KgeXxusvg5n&#10;I2H1YY9ltCvKqdyM2+t+VcT2u5Dy8WEuXoB5nPxfGH7xAzrkgelkz6Qd6ySER/ztBi+Jo2dgJwmL&#10;RMTA84z/p89/AFBLAwQUAAAACACHTuJAOQVnDygCAAAVBAAADgAAAGRycy9lMm9Eb2MueG1srVO9&#10;jtNAEO6ReIfV9sSJE4fEinNFwtEgOImffrNe2yvtn2b34qTlAaipKJC4ildAPA1wj8HsOtxxR3MF&#10;KZxZzzffzHz7eXV20IrsBXhpTUUnozElwnBbS9NW9O2b8ycLSnxgpmbKGlHRo/D0bP340ap3pcht&#10;Z1UtgCCJ8WXvKtqF4Mos87wTmvmRdcJgsrGgWcAjtFkNrEd2rbJ8PJ5nvYXageXCe3y7HZL0xAgP&#10;IbRNI7nYWn6phQkDKwjFAq7kO+k8Xadpm0bw8KppvAhEVRQ3DemJTTDexWe2XrGyBeY6yU8jsIeM&#10;cG8nzaTBpjdUWxYYuQT5D5WWHKy3TRhxq7NhkaQIbjEZ39PmdcecSLug1N7diO7/Hy1/ub8AImt0&#10;wtOcEsM0Xvn1+48/vn2+/v7p54cvv75ekZhCoXrnS8RvzAXEVX3YHMxQOl9SDA4VTbjsDjAevBtK&#10;Dg1oAhZvoZiN44+SRkn3Drsn9VAPElkW03kxKyg5YmKynC4QmC5KHALhCJjmk+kEizkC8tmyKIoE&#10;yFgZO8ThHPjwXFhNYlDRHfpkY41BP1jIUy+2f+EDsmLRH3AsNPZcKpW6KUP6is6nSE44Q6s3aDEM&#10;tUO5vGkpYarFb4gHSIzeKlnH6qQOtLuNArJn0XnDskO3O7DYest8N+BSalg1MKmemZqEo8MbCSCZ&#10;aZWIORxYGfy7FTZGO1sfLyCm4wndkoAnZ0c7/n1OqNuve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FarP9gAAAAFAQAADwAAAAAAAAABACAAAAAiAAAAZHJzL2Rvd25yZXYueG1sUEsBAhQAFAAA&#10;AAgAh07iQDkFZw8oAgAAFQQAAA4AAAAAAAAAAQAgAAAAJwEAAGRycy9lMm9Eb2MueG1sUEsFBgAA&#10;AAAGAAYAWQEAAMEFAAAAAA==&#10;">
                  <v:fill on="f" focussize="0,0"/>
                  <v:stroke weight="0.5pt" color="#000000 [3213]" joinstyle="round" endarrow="block"/>
                  <v:imagedata o:title=""/>
                  <o:lock v:ext="edit" aspectratio="f"/>
                </v:shape>
                <v:shape id="Text Box 1927" o:spid="_x0000_s1026" o:spt="202" type="#_x0000_t202" style="position:absolute;left:1282065;top:3133090;height:297180;width:1017905;" fillcolor="#FFFFFF" filled="t" stroked="t" coordsize="21600,21600" o:gfxdata="UEsDBAoAAAAAAIdO4kAAAAAAAAAAAAAAAAAEAAAAZHJzL1BLAwQUAAAACACHTuJAEod7ddcAAAAF&#10;AQAADwAAAGRycy9kb3ducmV2LnhtbE2PwU7DMBBE70j9B2uRuKDWbmlDGuL0gASCWykVvbrxNolq&#10;r4PtpuXvMVzgstJoRjNvy9XFGjagD50jCdOJAIZUO91RI2H7/jTOgYWoSCvjCCV8YYBVNboqVaHd&#10;md5w2MSGpRIKhZLQxtgXnIe6RavCxPVIyTs4b1VM0jdce3VO5dbwmRAZt6qjtNCqHh9brI+bk5WQ&#10;z1+GXXi9W3/U2cEs4+398Pzppby5nooHYBEv8S8MP/gJHarEtHcn0oEZCemR+HuTly9mc2B7CVku&#10;FsCrkv+nr74BUEsDBBQAAAAIAIdO4kB6cZAxPgIAAJcEAAAOAAAAZHJzL2Uyb0RvYy54bWytVNtu&#10;2zAMfR+wfxD0vvqSpEmMOEXXosOA7gK0+wBFlmNhkqhJSuzu60fJbhdkG9CH+cEQzaND8pD05mrQ&#10;ihyF8xJMTYuLnBJhODTS7Gv67fHu3YoSH5hpmAIjavokPL3avn2z6W0lSuhANcIRJDG+6m1NuxBs&#10;lWWed0IzfwFWGHS24DQLaLp91jjWI7tWWZnnl1kPrrEOuPAev96OTjoxutcQQttKLm6BH7QwYWR1&#10;QrGAJflOWk+3Kdu2FTx8aVsvAlE1xUpDemMQPO/iO9tuWLV3zHaSTymw16RwVpNm0mDQF6pbFhg5&#10;OPkHlZbcgYc2XHDQ2VhIUgSrKPIzbR46ZkWqBaX29kV0//9o+efjV0dkg5OwnFFimMaWP4ohkPcw&#10;kGJdLqNEvfUVIh8sYsOAHoSncr29B/7dEwM3HTN7ce0c9J1gDaZYxJvZydWRx0eSXf8JGozEDgES&#10;0dA6HfVDRUhkL1dlfrmg5Kmms2I2y9dTq2JmPALyYrnOEcARUa6XxSoBMlY9M1nnwwcBmsRDTR2O&#10;QorEjvc+xMxY9QyJgT0o2dxJpZLh9rsb5ciR4djcpScVcwZThvQ1XS/KxSjGPyny9PyNQsuA26Sk&#10;runqFKTMpF2UaxQuDLth6sUOmidU0cE4z7jNeOjA/aSkx1muqf9xYE5Qoj4a7MS6mM/j8CdjvliW&#10;aLhTz+7UwwxHqpoGSsbjTRgX5mCd3HcYaey9gWvsXiuTmLHNY1ZT3jivSeNpt+JCnNoJ9ft/s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od7ddcAAAAFAQAADwAAAAAAAAABACAAAAAiAAAAZHJz&#10;L2Rvd25yZXYueG1sUEsBAhQAFAAAAAgAh07iQHpxkDE+AgAAlwQAAA4AAAAAAAAAAQAgAAAAJgEA&#10;AGRycy9lMm9Eb2MueG1sUEsFBgAAAAAGAAYAWQEAANYFAAAAAA==&#10;">
                  <v:fill on="t" focussize="0,0"/>
                  <v:stroke color="#000000" miterlimit="8" joinstyle="miter"/>
                  <v:imagedata o:title=""/>
                  <o:lock v:ext="edit" aspectratio="f"/>
                  <v:textbox>
                    <w:txbxContent>
                      <w:p w14:paraId="227E6785">
                        <w:pPr>
                          <w:spacing w:line="240" w:lineRule="atLeast"/>
                          <w:contextualSpacing/>
                          <w:jc w:val="center"/>
                          <w:rPr>
                            <w:rFonts w:hint="default" w:eastAsia="宋体"/>
                            <w:lang w:val="en-US" w:eastAsia="zh-CN"/>
                          </w:rPr>
                        </w:pPr>
                        <w:r>
                          <w:rPr>
                            <w:rFonts w:hint="eastAsia"/>
                            <w:lang w:val="en-US" w:eastAsia="zh-CN"/>
                          </w:rPr>
                          <w:t>车辆冲洗用水</w:t>
                        </w:r>
                      </w:p>
                    </w:txbxContent>
                  </v:textbox>
                </v:shape>
                <v:line id="Line 1939" o:spid="_x0000_s1026" o:spt="20" style="position:absolute;left:1751965;top:2897505;flip:x y;height:245745;width:1905;" filled="f" stroked="t" coordsize="21600,21600" o:gfxdata="UEsDBAoAAAAAAIdO4kAAAAAAAAAAAAAAAAAEAAAAZHJzL1BLAwQUAAAACACHTuJAEb56udQAAAAF&#10;AQAADwAAAGRycy9kb3ducmV2LnhtbE2O0UoDMRBF3wX/IYzgm01at2VZN1tQqFDwpdUPSDfjZnUz&#10;WZK0Xf16R1/sy8DlXs6cej35QZwwpj6QhvlMgUBqg+2p0/D2urkrQaRsyJohEGr4wgTr5vqqNpUN&#10;Z9rhaZ87wRBKldHgch4rKVPr0Js0CyMSd+8hepM5xk7aaM4M94NcKLWS3vTEH5wZ8clh+7k/eg1q&#10;8zHl7XMRv++lksXW7WL78qj17c1cPYDIOOX/Mfzqszo07HQIR7JJDMzg3d/lrlwuChAHDatSLUE2&#10;tby0b34AUEsDBBQAAAAIAIdO4kDAhlnHCgIAAAwEAAAOAAAAZHJzL2Uyb0RvYy54bWytUz1v2zAQ&#10;3Qv0PxDca1luZEeC5Qx20w5uYyBpd5qkLKL8Aklb9r/vHWUkabpkqAbhqHv37t7jaXl3NpqcZIjK&#10;2ZaWkykl0nInlD209OfT/adbSmJiVjDtrGzpRUZ6t/r4YTn4Rs5c77SQgQCJjc3gW9qn5JuiiLyX&#10;hsWJ89JCsnPBsATHcChEYAOwG13MptN5MbggfHBcxghfN2OSXhnDewhd1ykuN44fjbRpZA1SswSS&#10;Yq98pKs8bddJnh66LspEdEtBacpvaALxHt/FasmaQ2C+V/w6AnvPCG80GaYsNH2m2rDEyDGof6iM&#10;4sFF16UJd6YYhWRHQEU5fePNY8+8zFrA6uifTY//j5b/OO0CUQI2YTGnxDIDV75VVpKy/lyjPYOP&#10;DaDWdhdQID/bR791/Hck1q17Zg8yj/l08VBZYkXxVwkeoocm++G7E4Bhx+SyV+cuGNJp5b9hYY5+&#10;YYRtwBlyxqGqsp5XlFxaOrutF9W0Gq9MnhPhCKjhC+GYvqkWNzlbsAapkcaHmL5KZwgGLdUgLNOz&#10;0zYmHPUFgnDr7pXWeSe0JUNL62pW5YLotBKYRFgMh/1aB3JiuFX5yboh8xqGPTcs9iNOQDTOHtzR&#10;itwkMaW/WEFSNi8FBXZqSbGzkYISLeEXxWgcVduruejneDN7Jy67gGn0GZYka7ouNG7h63NGvfzE&#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vnq51AAAAAUBAAAPAAAAAAAAAAEAIAAAACIAAABk&#10;cnMvZG93bnJldi54bWxQSwECFAAUAAAACACHTuJAwIZZxwoCAAAMBAAADgAAAAAAAAABACAAAAAj&#10;AQAAZHJzL2Uyb0RvYy54bWxQSwUGAAAAAAYABgBZAQAAnwUAAAAA&#10;">
                  <v:fill on="f" focussize="0,0"/>
                  <v:stroke color="#000000" joinstyle="round" dashstyle="dash" endarrow="block"/>
                  <v:imagedata o:title=""/>
                  <o:lock v:ext="edit" aspectratio="f"/>
                </v:line>
                <v:line id="Line 1924" o:spid="_x0000_s1026" o:spt="20" style="position:absolute;left:2310765;top:3302000;height:3810;width:1916430;" filled="f" stroked="t" coordsize="21600,21600" o:gfxdata="UEsDBAoAAAAAAIdO4kAAAAAAAAAAAAAAAAAEAAAAZHJzL1BLAwQUAAAACACHTuJAwBvDFdcAAAAF&#10;AQAADwAAAGRycy9kb3ducmV2LnhtbE2PzU7DMBCE70i8g7VI3KidilZWiNMDUrm0gPqjCm5uvCQR&#10;8TqynTa8fU0vcFlpNKOZb4vFaDt2Qh9aRwqyiQCGVDnTUq1gv1s+SGAhajK6c4QKfjDAory9KXRu&#10;3Jk2eNrGmqUSCrlW0MTY55yHqkGrw8T1SMn7ct7qmKSvufH6nMptx6dCzLnVLaWFRvf43GD1vR2s&#10;gs16uZKH1TBW/vMle9u9r18/glTq/i4TT8AijvEvDL/4CR3KxHR0A5nAOgXpkXi9yZOz6SOwo4K5&#10;FDPgZcH/05cXUEsDBBQAAAAIAIdO4kABT/bs+QEAAOEDAAAOAAAAZHJzL2Uyb0RvYy54bWytU01z&#10;2yAQvXem/4HhXkuyYzvWWM7BbnpxW88k+QEYkMUUWAawZf/7Llj5aHrJITowoH37dt9jWd6djSYn&#10;6YMC29BqVFIiLQeh7KGhT4/3324pCZFZwTRY2dCLDPRu9fXLsne1HEMHWkhPkMSGuncN7WJ0dVEE&#10;3knDwgictBhswRsW8egPhfCsR3aji3FZzooevHAeuAwB/26uQTow+o8QQtsqLjfAj0baeGX1UrOI&#10;kkKnXKCr3G3bSh5/t22QkeiGotKYVyyC+31ai9WS1QfPXKf40AL7SAvvNBmmLBZ9odqwyMjRq/+o&#10;jOIeArRxxMEUVyHZEVRRle+8eeiYk1kLWh3ci+nh82j5r9POEyVwEuZzSiwzeOVbZSWpFuObZE/v&#10;Qo2otd35JJCf7YPbAv8TiIV1x+xB5jYfLw4zq5RR/JOSDsFhkX3/EwRi2DFC9urcepMo0QVybuh4&#10;UpXz2ZSSS0MnkxJnZbgeeY6EI6BaVLObCd4cT4jbKocLVj/zOB/iDwmGpE1DNarIddhpG2Lqi9XP&#10;kFTWwr3SOg+AtqRv6GI6nuaEAFqJFEyw4A/7tfbkxNII5S+LxMhbmIejFZksMqW/W0FidiR6hR5p&#10;SVMFIwUlWuK7S7trS9oOjiWTrnbvQVx2PoWTeXjzufdhStNovT1n1OvLX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BvDFdcAAAAFAQAADwAAAAAAAAABACAAAAAiAAAAZHJzL2Rvd25yZXYueG1s&#10;UEsBAhQAFAAAAAgAh07iQAFP9uz5AQAA4QMAAA4AAAAAAAAAAQAgAAAAJgEAAGRycy9lMm9Eb2Mu&#10;eG1sUEsFBgAAAAAGAAYAWQEAAJEFAAAAAA==&#10;">
                  <v:fill on="f" focussize="0,0"/>
                  <v:stroke color="#000000" joinstyle="round" endarrow="block"/>
                  <v:imagedata o:title=""/>
                  <o:lock v:ext="edit" aspectratio="f"/>
                </v:line>
                <v:line id="Line 1924" o:spid="_x0000_s1026" o:spt="20" style="position:absolute;left:3701415;top:2137410;height:635;width:523875;" filled="f" stroked="t" coordsize="21600,21600" o:gfxdata="UEsDBAoAAAAAAIdO4kAAAAAAAAAAAAAAAAAEAAAAZHJzL1BLAwQUAAAACACHTuJAwBvDFdcAAAAF&#10;AQAADwAAAGRycy9kb3ducmV2LnhtbE2PzU7DMBCE70i8g7VI3KidilZWiNMDUrm0gPqjCm5uvCQR&#10;8TqynTa8fU0vcFlpNKOZb4vFaDt2Qh9aRwqyiQCGVDnTUq1gv1s+SGAhajK6c4QKfjDAory9KXRu&#10;3Jk2eNrGmqUSCrlW0MTY55yHqkGrw8T1SMn7ct7qmKSvufH6nMptx6dCzLnVLaWFRvf43GD1vR2s&#10;gs16uZKH1TBW/vMle9u9r18/glTq/i4TT8AijvEvDL/4CR3KxHR0A5nAOgXpkXi9yZOz6SOwo4K5&#10;FDPgZcH/05cXUEsDBBQAAAAIAIdO4kAz5GHB9gEAAN8DAAAOAAAAZHJzL2Uyb0RvYy54bWytU8Fy&#10;2yAQvXem/8Bwr2XJdpxoLOdgN724rWeSfgAGJDEFlgFs2X/fBStJk15yqA4MaN++t/sWVvdno8lJ&#10;+qDANrScTCmRloNQtmvor6eHL7eUhMisYBqsbOhFBnq//vxpNbhaVtCDFtITJLGhHlxD+xhdXRSB&#10;99KwMAEnLQZb8IZFPPquEJ4NyG50UU2nN8UAXjgPXIaAf7fXIB0Z/UcIoW0Vl1vgRyNtvLJ6qVnE&#10;lkKvXKDrXG3bSh5/tm2QkeiGYqcxryiC+0Nai/WK1Z1nrld8LIF9pIR3PRmmLIq+UG1ZZOTo1T9U&#10;RnEPAdo44WCKayPZEeyinL7z5rFnTuZe0OrgXkwP/4+W/zjtPVECb8ISB2+ZwZHvlJWkvKvmyZ7B&#10;hRpRG7v3qUF+to9uB/x3IBY2PbOdzGU+XRxmlimjeJOSDsGhyGH4DgIx7Bghe3VuvUmU6AI5N3S2&#10;nJbzckHJpaFVOVvOy3E88hwJR8Cimt0uMc4RcDNbZClWP7M4H+I3CYakTUM19pBV2GkXYqqK1c+Q&#10;JGrhQWmdx68tGRp6t6gWOSGAViIFEyz47rDRnpxYukD5G3XfwDwcrchkkSn91QoSsx/RK3RIS5oU&#10;jBSUaImvLu2uJWk7+pUsupp9AHHZ+xRO1uHcc+3jHU0X6+9zRr2+y/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BvDFdcAAAAFAQAADwAAAAAAAAABACAAAAAiAAAAZHJzL2Rvd25yZXYueG1sUEsB&#10;AhQAFAAAAAgAh07iQDPkYcH2AQAA3wMAAA4AAAAAAAAAAQAgAAAAJgEAAGRycy9lMm9Eb2MueG1s&#10;UEsFBgAAAAAGAAYAWQEAAI4FAAAAAA==&#10;">
                  <v:fill on="f" focussize="0,0"/>
                  <v:stroke color="#000000" joinstyle="round" endarrow="block"/>
                  <v:imagedata o:title=""/>
                  <o:lock v:ext="edit" aspectratio="f"/>
                </v:line>
                <v:shape id="AutoShape 1959" o:spid="_x0000_s1026" o:spt="32" type="#_x0000_t32" style="position:absolute;left:782320;top:4072890;flip:y;height:635;width:499745;" filled="f" stroked="t" coordsize="21600,21600" o:gfxdata="UEsDBAoAAAAAAIdO4kAAAAAAAAAAAAAAAAAEAAAAZHJzL1BLAwQUAAAACACHTuJACuuREdYAAAAF&#10;AQAADwAAAGRycy9kb3ducmV2LnhtbE2PwU7DMBBE70j8g7VIXBC1G5EqCnF6AAonVBHKfRsvSdR4&#10;HcVum/w9hgu9rDSa0czbYj3ZXpxo9J1jDcuFAkFcO9Nxo2H3ubnPQPiAbLB3TBpm8rAur68KzI07&#10;8wedqtCIWMI+Rw1tCEMupa9bsugXbiCO3rcbLYYox0aaEc+x3PYyUWolLXYcF1oc6Kml+lAdrYbn&#10;aptuvu52UzLXb+/Va3bY8vyi9e3NUj2CCDSF/zD84kd0KCPT3h3ZeNFriI+Evxu9LE0eQOw1rDKV&#10;giwLeUlf/gBQSwMEFAAAAAgAh07iQAmGX9cHAgAA+wMAAA4AAABkcnMvZTJvRG9jLnhtbK1TwY7b&#10;IBC9V+o/IO6NE2+yiaM4qyrp9rJtI+22dwLYRgUGAYmTv++Ard3u9rKH+oDAM/Pem8ewubsYTc7S&#10;BwW2prPJlBJpOQhl25r+fLr/tKIkRGYF02BlTa8y0Lvtxw+b3q1lCR1oIT1BEBvWvatpF6NbF0Xg&#10;nTQsTMBJi8EGvGERj74thGc9ohtdlNPpbdGDF84DlyHg3/0QpCOifw8gNI3icg/8ZKSNA6qXmkVs&#10;KXTKBbrNaptG8vijaYKMRNcUO415RRLcH9NabDds3XrmOsVHCew9Et70ZJiySPoMtWeRkZNX/0AZ&#10;xT0EaOKEgymGRrIj2MVs+sabx445mXtBq4N7Nj38P1j+/XzwRAmchGVFiWUGr/zzKULmJrNqUSWP&#10;ehfWmLqzB5+65Bf76B6A/w7Ewq5jtpU5/+nqsHyWKopXJekQHDId+28gMIchRTbs0nhDGq3cr1SY&#10;wNEUcqnpclXelHhN15rOp8tyVY2XJS+RcIzPq2o5X1DCMeH2ZpE52TrBJRDnQ/wqwZC0qWmInqm2&#10;izuwFmcC/EDFzg8hJrEvBanYwr3SOo+GtqSvabUoF1lbAK1ECqa04NvjTntyZmm48jeqeJXm4WRF&#10;BotM6S9WkJhtil6hcVrSxGCkoERLfJFpN0jSdrQxOTfcwRHE9eBTODmKM5G1j/Obhu7vc856ebP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rkRHWAAAABQEAAA8AAAAAAAAAAQAgAAAAIgAAAGRy&#10;cy9kb3ducmV2LnhtbFBLAQIUABQAAAAIAIdO4kAJhl/XBwIAAPsDAAAOAAAAAAAAAAEAIAAAACUB&#10;AABkcnMvZTJvRG9jLnhtbFBLBQYAAAAABgAGAFkBAACeBQAAAAA=&#10;">
                  <v:fill on="f" focussize="0,0"/>
                  <v:stroke color="#000000" joinstyle="round" endarrow="block"/>
                  <v:imagedata o:title=""/>
                  <o:lock v:ext="edit" aspectratio="f"/>
                </v:shape>
                <v:line id="Line 1939" o:spid="_x0000_s1026" o:spt="20" style="position:absolute;left:1788160;top:3666490;flip:x y;height:245745;width:1905;" filled="f" stroked="t" coordsize="21600,21600" o:gfxdata="UEsDBAoAAAAAAIdO4kAAAAAAAAAAAAAAAAAEAAAAZHJzL1BLAwQUAAAACACHTuJAEb56udQAAAAF&#10;AQAADwAAAGRycy9kb3ducmV2LnhtbE2O0UoDMRBF3wX/IYzgm01at2VZN1tQqFDwpdUPSDfjZnUz&#10;WZK0Xf16R1/sy8DlXs6cej35QZwwpj6QhvlMgUBqg+2p0/D2urkrQaRsyJohEGr4wgTr5vqqNpUN&#10;Z9rhaZ87wRBKldHgch4rKVPr0Js0CyMSd+8hepM5xk7aaM4M94NcKLWS3vTEH5wZ8clh+7k/eg1q&#10;8zHl7XMRv++lksXW7WL78qj17c1cPYDIOOX/Mfzqszo07HQIR7JJDMzg3d/lrlwuChAHDatSLUE2&#10;tby0b34AUEsDBBQAAAAIAIdO4kBm01QPCwIAAAwEAAAOAAAAZHJzL2Uyb0RvYy54bWytU8Fy2jAQ&#10;vXem/6DRvRgIEPBgcoCmPaQtM0l7F5KMNZW1Gklg+Pvuyp6kSS851AfPyvv27b6n9fru0lp21iEa&#10;cBWfjMacaSdBGXes+M+n+09LzmISTgkLTlf8qiO/23z8sO58qafQgFU6MCRxsex8xZuUfFkUUTa6&#10;FXEEXjtM1hBakfAYjoUKokP21hbT8XhRdBCUDyB1jPh11yf5wBjeQwh1baTegTy12qWeNWgrEkqK&#10;jfGRb/K0da1l+lHXUSdmK45KU35jE4wP9C42a1Eeg/CNkcMI4j0jvNHUCuOw6TPVTiTBTsH8Q9Ua&#10;GSBCnUYS2qIXkh1BFZPxG28eG+F11oJWR/9sevx/tPL7eR+YUbgJS/TEiRav/ME4zSarmxXZ0/lY&#10;Imrr9oEEyot79A8gf0fmYNsId9R5zKerx8oJVRSvSugQPTY5dN9AIUacEmSvLnVoWW2N/0qFOfpF&#10;EbVBZ9gFD7fL5WSBg10rfrNYLGar4cr0JTFJgNV4zpnE9HQ2v53Nc39REjXR+BDTFw0to6DiFoVl&#10;enF+iIlGfYEQ3MG9sTbvhHWsq/hqPp3nggjWKEoSLIbjYWsDOwvaqvwMfV/BqOdOxKbHKYwIJcoA&#10;J6dylISxn51iKZuXgkE7rebUudWKM6vxF6WoH9W6wVzys7+ZA6jrPlCafMYlyZqGhaYt/PucUS8/&#10;8e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b56udQAAAAFAQAADwAAAAAAAAABACAAAAAiAAAA&#10;ZHJzL2Rvd25yZXYueG1sUEsBAhQAFAAAAAgAh07iQGbTVA8LAgAADAQAAA4AAAAAAAAAAQAgAAAA&#10;IwEAAGRycy9lMm9Eb2MueG1sUEsFBgAAAAAGAAYAWQEAAKAFAAAAAA==&#10;">
                  <v:fill on="f" focussize="0,0"/>
                  <v:stroke color="#000000" joinstyle="round" dashstyle="dash" endarrow="block"/>
                  <v:imagedata o:title=""/>
                  <o:lock v:ext="edit" aspectratio="f"/>
                </v:line>
                <v:shape id="Text Box 1958" o:spid="_x0000_s1026" o:spt="202" type="#_x0000_t202" style="position:absolute;left:1477645;top:3441700;height:297815;width:58991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B26UU8UAgAAJAQAAA4AAABkcnMvZTJvRG9jLnhtbK1TwW7bMAy9&#10;D9g/CLovjjOnSYw4Rdegw4CuG9DuAxRZjoVZokYpsbuvHyWnbdZdethFoMSnR74nan05mI4dFXoN&#10;tuL5ZMqZshJqbfcV//Fw82HJmQ/C1qIDqyr+qDy/3Lx/t+5dqWbQQlcrZERifdm7irchuDLLvGyV&#10;EX4CTllKNoBGBNriPqtR9MRuumw2nV5kPWDtEKTynk63Y5KfGPEthNA0WqotyINRNoysqDoRSJJv&#10;tfN8k7ptGiXDt6bxKrCu4qQ0pJWKULyLa7ZZi3KPwrVanloQb2nhlSYjtKWiz1RbEQQ7oP6HymiJ&#10;4KEJEwkmG4UkR0hFPn3lzX0rnEpayGrvnk33/49W3h2/I9M1TcIy58wKQ0/+oIbAPsHA8tV8GS3q&#10;nS8Jee8IGwbKEDzJ9e4W5E/PLFy3wu7VFSL0rRI1tZjHm9nZ1ZHHR5Jd/xVqqiQOARLR0KCJ/pEj&#10;LLIXi8VFMefsseIfiyJfTE9PFTuTBJgvV6uc8pIAs9ViSXGsJsonIoc+fFZgWAwqjjQJqZA43vow&#10;Qp8gsa6FG911dC7Kzv51QJzxJAmJvY8qwrAbCB3V7aB+JEkI43DR16KgBfzNWU+DVXH/6yBQcdZ9&#10;sWTLKi+KOIlpU8wXM9rgeWZ3nhFWElXFA2djeB3G6T041PuWKo0PYeGKrGx0kvbS1alvGp5kzmnQ&#10;43Se7xPq5XN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tCfI0wAAAAUBAAAPAAAAAAAAAAEA&#10;IAAAACIAAABkcnMvZG93bnJldi54bWxQSwECFAAUAAAACACHTuJAHbpRTxQCAAAkBAAADgAAAAAA&#10;AAABACAAAAAiAQAAZHJzL2Uyb0RvYy54bWxQSwUGAAAAAAYABgBZAQAAqAUAAAAA&#10;">
                  <v:fill on="f" focussize="0,0"/>
                  <v:stroke on="f"/>
                  <v:imagedata o:title=""/>
                  <o:lock v:ext="edit" aspectratio="f"/>
                  <v:textbox>
                    <w:txbxContent>
                      <w:p w14:paraId="5E85B9E0">
                        <w:pPr>
                          <w:spacing w:line="240" w:lineRule="atLeast"/>
                          <w:contextualSpacing/>
                          <w:jc w:val="center"/>
                        </w:pPr>
                        <w:r>
                          <w:rPr>
                            <w:rFonts w:hint="eastAsia"/>
                          </w:rPr>
                          <w:t>损耗</w:t>
                        </w:r>
                      </w:p>
                    </w:txbxContent>
                  </v:textbox>
                </v:shape>
                <v:shape id="Text Box 1943" o:spid="_x0000_s1026" o:spt="202" type="#_x0000_t202" style="position:absolute;left:2605405;top:1266825;height:297815;width:61912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O2lIfAWAgAAJAQAAA4AAABkcnMvZTJvRG9jLnhtbK1Ty27bMBC8&#10;F+g/ELzXesR2bMFykMZIUSBNCyT5AJqiLKISl13Sltyv75JyUje55NCLQHJXszPD4epq6Fp2UOg0&#10;mJJnk5QzZSRU2uxK/vR4+2nBmfPCVKIFo0p+VI5frT9+WPW2UDk00FYKGYEYV/S25I33tkgSJxvV&#10;CTcBqwwVa8BOeNriLqlQ9ITetUmepvOkB6wsglTO0elmLPITIr4HEOpaS7UBue+U8SMqqlZ4kuQa&#10;bR1fR7Z1raT/XtdOedaWnJT6+KUhtN6Gb7JeiWKHwjZaniiI91B4pakT2tDQF6iN8ILtUb+B6rRE&#10;cFD7iYQuGYVER0hFlr7y5qERVkUtZLWzL6a7/wcr7w8/kOmKkrC44MyIjq78UQ2efYaBZcvpRbCo&#10;t66gzgdLvX6gCrVHuc7egfzpmIGbRpidukaEvlGiIopZ+DM5+3XEcQFk23+DiiaJvYcINNTYBf/I&#10;EUbo+TydTdMZZ0fCyefzRT4bryowk9Qwz5YZnTFJDfnycpHFeiKKZyCLzn9R0LGwKDlSEuIgcbhz&#10;PhATxXNLmGvgVrdtTENr/jmgxnAShQTuowo/bIeTMVuojiQJYQwXPS1aNIC/OespWCV3v/YCFWft&#10;V0O2LLPpNCQxbqazy5w2eF7ZnleEkQRVcs/ZuLzxY3r3FvWuoUnjRRi4JitrHaUFz0dWJ94Unqj4&#10;FPSQzvN97Pr7uN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G0J8jTAAAABQEAAA8AAAAAAAAA&#10;AQAgAAAAIgAAAGRycy9kb3ducmV2LnhtbFBLAQIUABQAAAAIAIdO4kDtpSHwFgIAACQEAAAOAAAA&#10;AAAAAAEAIAAAACIBAABkcnMvZTJvRG9jLnhtbFBLBQYAAAAABgAGAFkBAACqBQAAAAA=&#10;">
                  <v:fill on="f" focussize="0,0"/>
                  <v:stroke on="f"/>
                  <v:imagedata o:title=""/>
                  <o:lock v:ext="edit" aspectratio="f"/>
                  <v:textbox>
                    <w:txbxContent>
                      <w:p w14:paraId="352C7D45">
                        <w:pPr>
                          <w:spacing w:line="240" w:lineRule="atLeast"/>
                          <w:contextualSpacing/>
                          <w:jc w:val="center"/>
                          <w:rPr>
                            <w:rFonts w:hint="default" w:eastAsia="宋体"/>
                            <w:lang w:val="en-US" w:eastAsia="zh-CN"/>
                          </w:rPr>
                        </w:pPr>
                        <w:r>
                          <w:rPr>
                            <w:rFonts w:hint="eastAsia"/>
                            <w:lang w:val="en-US" w:eastAsia="zh-CN"/>
                          </w:rPr>
                          <w:t>225.88</w:t>
                        </w:r>
                      </w:p>
                    </w:txbxContent>
                  </v:textbox>
                </v:shape>
                <v:shape id="Text Box 1943" o:spid="_x0000_s1026" o:spt="202" type="#_x0000_t202" style="position:absolute;left:1926590;top:1091565;height:297815;width:61912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IFxGzgVAgAAJAQAAA4AAABkcnMvZTJvRG9jLnhtbK1Ty27bMBC8&#10;F+g/ELzXetR2LMFykMZIUSB9AEk/gKYoi6jEZZe0Jffru6Sc1E0vOfRCLLnL2Z3hcH099h07KnQa&#10;TMWzWcqZMhJqbfYV//54927FmfPC1KIDoyp+Uo5fb96+WQ+2VDm00NUKGYEYVw624q33tkwSJ1vV&#10;CzcDqwwlG8BeeNriPqlRDITed0mepstkAKwtglTO0el2SvIzIr4GEJpGS7UFeeiV8RMqqk54ouRa&#10;bR3fxGmbRkn/tWmc8qyrODH1caUmFO/CmmzWotyjsK2W5xHEa0Z4wakX2lDTZ6it8IIdUP8D1WuJ&#10;4KDxMwl9MhGJihCLLH2hzUMrrIpcSGpnn0V3/w9Wfjl+Q6ZrcsJqzpkRPT35oxo9+wAjy4r5+yDR&#10;YF1JlQ+Wav1IGSqPdJ29B/nDMQO3rTB7dYMIQ6tETSNm4WZycXXCcQFkN3yGmjqJg4cINDbYB/1I&#10;ERbQi3y5KOiRThSnRbZYLqanCpNJKlhmRZYvOJNUkBdXqyzmE1E+AVl0/qOCnoWg4khOiI3E8d75&#10;MJgon0pCXwN3uuuiGzrz1wEVhpNIJMw+sfDjbjwLs4P6RJQQJnPR16KgBfzF2UDGqrj7eRCoOOs+&#10;GZKlyObz4MS4mS+uctrgZWZ3mRFGElTFPWdTeOsn9x4s6n1LnaaHMHBDUjY6UguaT1Od5ybzRMZn&#10;owd3Xu5j1Z/Pvf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bQnyNMAAAAFAQAADwAAAAAAAAAB&#10;ACAAAAAiAAAAZHJzL2Rvd25yZXYueG1sUEsBAhQAFAAAAAgAh07iQIFxGzgVAgAAJAQAAA4AAAAA&#10;AAAAAQAgAAAAIgEAAGRycy9lMm9Eb2MueG1sUEsFBgAAAAAGAAYAWQEAAKkFAAAAAA==&#10;">
                  <v:fill on="f" focussize="0,0"/>
                  <v:stroke on="f"/>
                  <v:imagedata o:title=""/>
                  <o:lock v:ext="edit" aspectratio="f"/>
                  <v:textbox>
                    <w:txbxContent>
                      <w:p w14:paraId="2F071F88">
                        <w:pPr>
                          <w:spacing w:line="240" w:lineRule="atLeast"/>
                          <w:contextualSpacing/>
                          <w:jc w:val="center"/>
                          <w:rPr>
                            <w:rFonts w:hint="default" w:eastAsia="宋体"/>
                            <w:lang w:val="en-US" w:eastAsia="zh-CN"/>
                          </w:rPr>
                        </w:pPr>
                        <w:r>
                          <w:rPr>
                            <w:rFonts w:hint="eastAsia"/>
                            <w:lang w:val="en-US" w:eastAsia="zh-CN"/>
                          </w:rPr>
                          <w:t>56.47</w:t>
                        </w:r>
                      </w:p>
                    </w:txbxContent>
                  </v:textbox>
                </v:shape>
                <v:shape id="Text Box 1914" o:spid="_x0000_s1026" o:spt="202" type="#_x0000_t202" style="position:absolute;left:2110105;top:2342515;height:297180;width:50038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B6b+dsSAgAAJAQAAA4AAABkcnMvZTJvRG9jLnhtbK1TwW7bMAy9&#10;D9g/CLovttNkTY04Rdegw4CuG9D2AxRZjoVZokYpsbOvHyWnbdZdeuhFoETq8b0nank5mI7tFXoN&#10;tuLFJOdMWQm1ttuKPz7cfFpw5oOwtejAqooflOeXq48flr0r1RRa6GqFjECsL3tX8TYEV2aZl60y&#10;wk/AKUvJBtCIQFvcZjWKntBNl03z/HPWA9YOQSrv6XQ9JvkREd8CCE2jpVqD3Bllw4iKqhOBJPlW&#10;O89XiW3TKBl+NI1XgXUVJ6UhrdSE4k1cs9VSlFsUrtXySEG8hcIrTUZoS02fodYiCLZD/R+U0RLB&#10;QxMmEkw2CkmOkIoif+XNfSucSlrIau+eTffvByvv9j+R6ZomYTHnzApDT/6ghsC+wMCKi2IWLeqd&#10;L6ny3lFtGChD5Umud7cgf3lm4boVdquuEKFvlaiJYhFvZidXRxwfQTb9d6ipk9gFSEBDgyb6R44w&#10;Qp8WBdlBhA4Un82m82I+PlVkJqlgnudnC3pEGQsuzguKYzdRPgE59OGrAsNiUHGkSUiNxP7Wh7H0&#10;qST2tXCju47ORdnZfw4IM54kIZH7qCIMm4Gqo7oN1AeShDAOF30tClrAP5z1NFgV9793AhVn3TdL&#10;tpClsziJaTObn09pg6eZzWlGWElQFQ+cjeF1GKd351BvW+o0PoSFK7Ky0UnaC6sjbxqeZM5x0ON0&#10;nu5T1cvnX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bQnyNMAAAAFAQAADwAAAAAAAAABACAA&#10;AAAiAAAAZHJzL2Rvd25yZXYueG1sUEsBAhQAFAAAAAgAh07iQB6b+dsSAgAAJAQAAA4AAAAAAAAA&#10;AQAgAAAAIgEAAGRycy9lMm9Eb2MueG1sUEsFBgAAAAAGAAYAWQEAAKYFAAAAAA==&#10;">
                  <v:fill on="f" focussize="0,0"/>
                  <v:stroke on="f"/>
                  <v:imagedata o:title=""/>
                  <o:lock v:ext="edit" aspectratio="f"/>
                  <v:textbox>
                    <w:txbxContent>
                      <w:p w14:paraId="2E663164">
                        <w:pPr>
                          <w:spacing w:line="240" w:lineRule="atLeast"/>
                          <w:contextualSpacing/>
                          <w:rPr>
                            <w:rFonts w:hint="default" w:eastAsia="宋体"/>
                            <w:lang w:val="en-US" w:eastAsia="zh-CN"/>
                          </w:rPr>
                        </w:pPr>
                        <w:r>
                          <w:rPr>
                            <w:rFonts w:hint="eastAsia"/>
                            <w:lang w:val="en-US" w:eastAsia="zh-CN"/>
                          </w:rPr>
                          <w:t>0.46</w:t>
                        </w:r>
                      </w:p>
                    </w:txbxContent>
                  </v:textbox>
                </v:shape>
                <v:shape id="Text Box 1914" o:spid="_x0000_s1026" o:spt="202" type="#_x0000_t202" style="position:absolute;left:3714750;top:1892935;height:297180;width:50038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FxaLGMTAgAAJAQAAA4AAABkcnMvZTJvRG9jLnhtbK1Ty27bMBC8&#10;F+g/ELzXkvyIbcFykMZIUSB9AEk/gKIoi6jEZZe0Jffru6ScxE0vOfRCLLnD2Z3hcnM9dC07KnQa&#10;TMGzScqZMhIqbfYF//F492HFmfPCVKIFowp+Uo5fb9+/2/Q2V1NooK0UMiIxLu9twRvvbZ4kTjaq&#10;E24CVhlK1oCd8LTFfVKh6Im9a5Npml4lPWBlEaRyjk53Y5KfGfEthFDXWqodyEOnjB9ZUbXCkyTX&#10;aOv4NnZb10r6b3XtlGdtwUmpjysVobgMa7LdiHyPwjZanlsQb2nhlaZOaENFn6l2wgt2QP0PVacl&#10;goPaTyR0ySgkOkIqsvSVNw+NsCpqIaudfTbd/T9a+fX4HZmuaBJWV5wZ0dGTP6rBs48wsGydzYNF&#10;vXU5IR8sYf1AGYJHuc7eg/zpmIHbRpi9ukGEvlGiohazcDO5uDryuEBS9l+gokri4CESDTV2wT9y&#10;hBH7bJnNlwt6pFNobD1dzxbjU4XOJAEWaTpbUV4SYLpeZhSHaiJ/IrLo/CcFHQtBwZEmIRYSx3vn&#10;R+gTJNQ1cKfbls5F3pq/DogznEQhofdRhR/KgdBBXQnViSQhjMNFX4uCBvA3Zz0NVsHdr4NAxVn7&#10;2ZAtZOk8TGLczBfLKW3wMlNeZoSRRFVwz9kY3vpxeg8W9b6hSuNDGLghK2sdpb10de6bhieacx70&#10;MJ2X+4h6+dz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0J8jTAAAABQEAAA8AAAAAAAAAAQAg&#10;AAAAIgAAAGRycy9kb3ducmV2LnhtbFBLAQIUABQAAAAIAIdO4kBcWixjEwIAACQEAAAOAAAAAAAA&#10;AAEAIAAAACIBAABkcnMvZTJvRG9jLnhtbFBLBQYAAAAABgAGAFkBAACnBQAAAAA=&#10;">
                  <v:fill on="f" focussize="0,0"/>
                  <v:stroke on="f"/>
                  <v:imagedata o:title=""/>
                  <o:lock v:ext="edit" aspectratio="f"/>
                  <v:textbox>
                    <w:txbxContent>
                      <w:p w14:paraId="09708A98">
                        <w:pPr>
                          <w:spacing w:line="240" w:lineRule="atLeast"/>
                          <w:contextualSpacing/>
                          <w:rPr>
                            <w:rFonts w:hint="default" w:eastAsia="宋体"/>
                            <w:lang w:val="en-US" w:eastAsia="zh-CN"/>
                          </w:rPr>
                        </w:pPr>
                        <w:r>
                          <w:rPr>
                            <w:rFonts w:hint="eastAsia"/>
                            <w:lang w:val="en-US" w:eastAsia="zh-CN"/>
                          </w:rPr>
                          <w:t>0.04</w:t>
                        </w:r>
                      </w:p>
                    </w:txbxContent>
                  </v:textbox>
                </v:shape>
                <v:shape id="_x0000_s1026" o:spid="_x0000_s1026" o:spt="33" type="#_x0000_t33" style="position:absolute;left:1267460;top:273685;height:382270;width:379095;" filled="f" stroked="t" coordsize="21600,21600" o:gfxdata="UEsDBAoAAAAAAIdO4kAAAAAAAAAAAAAAAAAEAAAAZHJzL1BLAwQUAAAACACHTuJAJlokS9QAAAAF&#10;AQAADwAAAGRycy9kb3ducmV2LnhtbE2PS2vDMBCE74X+B7GF3BrJzgPjWA400GMPSQvtUbE2llNr&#10;JSTl9e+j9tJeFoYZZr5t1lc7sjOGODiSUEwFMKTO6YF6CR/vr88VsJgUaTU6Qgk3jLBuHx8aVWt3&#10;oS2ed6lnuYRirSSYlHzNeewMWhWnziNl7+CCVSnL0HMd1CWX25GXQiy5VQPlBaM8bgx237uTlfDF&#10;xfHN6c/5cVMYXs6E34YXL+XkqRArYAmv6S8MP/gZHdrMtHcn0pGNEvIj6fdmr1qUc2B7CctKLIC3&#10;Df9P394BUEsDBBQAAAAIAIdO4kBcvaxzCAIAANMDAAAOAAAAZHJzL2Uyb0RvYy54bWytU0uOEzEQ&#10;3SNxB8t70pkO+UyUziwShg2CSMABHLe725J/qvLks+UArFmxQILVXAFxGmCOQdkdZmDYzIJeuMuu&#10;8qt6r8qLi4M1bKcAtXcVPxsMOVNO+lq7tuJv31w+mXGGUbhaGO9UxY8K+cXy8aPFPsxV6TtvagWM&#10;QBzO96HiXYxhXhQoO2UFDnxQjpyNBysibaEtahB7QremKIfDSbH3UAfwUiHS6bp38hMiPATQN42W&#10;au3llVUu9qigjIhECTsdkC9ztU2jZHzVNKgiMxUnpjGvlITsbVqL5ULMWxCh0/JUgnhICfc4WaEd&#10;Jb2FWoso2BXof6CsluDRN3EgvS16IlkRYnE2vKfN604ElbmQ1BhuRcf/Bytf7jbAdE2TMKPGO2Gp&#10;5TfvPnz/+unm28cf7z//vP7CkouE2gecU/zKbeC0w7CBxPrQgE1/4sMOBFVOpk8nJPGx4uV0NJmN&#10;e53VITJJ/tH0fHg+5kySfzQry2nuQ3GHEwDjc+UtS0bFt9TllXeOuumhzDqL3QuMVAVd+h2cCnD+&#10;UhuTm2oc21d8MhpTHVLQoDY0IGTaQGTRtZwJ09ILkBEyInqj63Q74SC025UBthNpbvKXKFC2v8JS&#10;6rXAro/Lrp5pFNo8czWLx0B6RtDCtUadIIwjpCRmL1+ytr4+ZlXzOfU65zrNZRqmP/f59t1b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lokS9QAAAAFAQAADwAAAAAAAAABACAAAAAiAAAAZHJz&#10;L2Rvd25yZXYueG1sUEsBAhQAFAAAAAgAh07iQFy9rHMIAgAA0wMAAA4AAAAAAAAAAQAgAAAAIwEA&#10;AGRycy9lMm9Eb2MueG1sUEsFBgAAAAAGAAYAWQEAAJ0FAAAAAA==&#10;">
                  <v:fill on="f" focussize="0,0"/>
                  <v:stroke weight="0.5pt" color="#000000 [3213]" joinstyle="round" endarrow="block"/>
                  <v:imagedata o:title=""/>
                  <o:lock v:ext="edit" aspectratio="f"/>
                </v:shape>
                <v:shape id="_x0000_s1026" o:spid="_x0000_s1026" o:spt="34" type="#_x0000_t34" style="position:absolute;left:3093720;top:1778635;flip:y;height:191770;width:442595;" filled="f" stroked="t" coordsize="21600,21600" o:gfxdata="UEsDBAoAAAAAAIdO4kAAAAAAAAAAAAAAAAAEAAAAZHJzL1BLAwQUAAAACACHTuJAESIBFNcAAAAF&#10;AQAADwAAAGRycy9kb3ducmV2LnhtbE2PzU7DMBCE70h9B2srcUHUbqFVlMbpoVJBXFB/eAA33sYB&#10;e53GTlp4egwXuKw0mtHMt8Xq6iwbsAuNJwnTiQCGVHndUC3h7bC5z4CFqEgr6wklfGKAVTm6KVSu&#10;/YV2OOxjzVIJhVxJMDG2OeehMuhUmPgWKXkn3zkVk+xqrjt1SeXO8pkQC+5UQ2nBqBbXBquPfe8k&#10;vGwP5r0/vz4Mz19h4E+bu623vZS346lYAot4jX9h+MFP6FAmpqPvSQdmJaRH4u9NXjafPQI7Slhk&#10;Yg68LPh/+vIbUEsDBBQAAAAIAIdO4kBjSPKqJQIAAAsEAAAOAAAAZHJzL2Uyb0RvYy54bWytU0uO&#10;EzEQ3SNxB8v7SeczmXyUziwShg2CSHz2jtvuNvJPZU862XIA1qxYIMGKKyBOA8wxKLubAYbNLOhF&#10;q9xVflXvverV5dFochAQlLMlHQ2GlAjLXaVsXdKXL67O5pSEyGzFtLOipCcR6OX64YNV65di7Bqn&#10;KwEEQWxYtr6kTYx+WRSBN8KwMHBeWExKB4ZFPEJdVMBaRDe6GA+HF0XroPLguAgBv267JO0R4T6A&#10;TkrFxdbxayNs7FBBaBaRUmiUD3Sdp5VS8PhMyiAi0SVFpjG/sQnG+/Qu1iu2rIH5RvF+BHafEe5w&#10;MkxZbHoLtWWRkWtQ/0AZxcEFJ+OAO1N0RLIiyGI0vKPN84Z5kbmg1MHfih7+Hyx/etgBURVuwnxB&#10;iWUGLb958+7blw83X99/f/vxx+dPJKVQqNaHJdZv7A76U/A7SKyPEgyRWvlXiJN1QGbkWNLJcDGZ&#10;jVHsEyZms/nFZNpJLo6RcCw4Px9PF1NKeCpYYEm2pOggE7SHEB8LZ0gKSrpHwzfOWjTWwSS3Yocn&#10;IWbtq35+Vr0eUSKNRisPTJOz0XgxSn0Rt6/G6BdyumrdldI6L4O2pC0pDopTc4YLLnGxMDQeRQq2&#10;poTpGv8cHiG3D06rKt1OOAHq/UYDwa64Xfnp+/5VllpvWWi6upzqZIlM6Ue2IvHk0YcIitlaix5C&#10;W2SQTOhkT9HeVafsRv6OO5I59vuclvDPc779+x9e/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IgEU1wAAAAUBAAAPAAAAAAAAAAEAIAAAACIAAABkcnMvZG93bnJldi54bWxQSwECFAAUAAAACACH&#10;TuJAY0jyqiUCAAALBAAADgAAAAAAAAABACAAAAAmAQAAZHJzL2Uyb0RvYy54bWxQSwUGAAAAAAYA&#10;BgBZAQAAvQUAAAAA&#10;" adj="-279">
                  <v:fill on="f" focussize="0,0"/>
                  <v:stroke weight="0.5pt" color="#000000 [3213]" joinstyle="round" endarrow="block"/>
                  <v:imagedata o:title=""/>
                  <o:lock v:ext="edit" aspectratio="f"/>
                </v:shape>
                <v:shape id="Text Box 1918" o:spid="_x0000_s1026" o:spt="202" type="#_x0000_t202" style="position:absolute;left:3491865;top:1628140;height:281305;width:72707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Kn0g9gkAgAARAQAAA4AAABkcnMvZTJvRG9jLnhtbK1Ty27bMBC8&#10;F+g/ELzXesRPwXKQxkhRIH0AST+ApiiLKMllSdpS+vVdUkpqpJcc6oNAepczO8Ph9nrQipyF8xJM&#10;TYtZTokwHBppjjX98Xj3YU2JD8w0TIERNX0Snl7v3r/b9rYSJXSgGuEIghhf9bamXQi2yjLPO6GZ&#10;n4EVBostOM0Cbt0xaxzrEV2rrMzzZdaDa6wDLrzHf/djkU6I7i2A0LaSiz3wkxYmjKhOKBZQku+k&#10;9XSXpm1bwcO3tvUiEFVTVBrSF0lwfYjfbLdl1dEx20k+jcDeMsIrTZpJg6QvUHsWGDk5+Q+UltyB&#10;hzbMOOhsFJIcQRVF/sqbh45ZkbSg1d6+mO7/Hyz/ev7uiGwwCRv0xDCNV/4ohkA+wkCKTbGOFvXW&#10;V9j5YLE3DFjB9iTX23vgPz0xcNsxcxQ3zkHfCdbgiEU8mV0cHXF8BDn0X6BBJnYKkICG1unoHzpC&#10;EP1qjszLBSVPiLMs18V8uqo4GceGVbnKV1jn2IDlq3yR2Fj1DGSdD58EaBIXNXWYhETEzvc+xMFY&#10;9dwSeQ3cSaVSGpQhfU03i3KRDlxUtAwYfSV1Tdd5/E2cykxCo7ZRZRgOw2TcAZonlOxgDB8+PVx0&#10;4H5T0mPwaup/nZgTlKjPBm3bFHMUS0LazBerEjfusnK4rDDDEaqmgZJxeRvGdJ+sk8cOmcaLMnCD&#10;VrcySY93Mk41zY3hSo5MDyGm93Kfuv4+/t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bQnyNMA&#10;AAAFAQAADwAAAAAAAAABACAAAAAiAAAAZHJzL2Rvd25yZXYueG1sUEsBAhQAFAAAAAgAh07iQKn0&#10;g9gkAgAARAQAAA4AAAAAAAAAAQAgAAAAIgEAAGRycy9lMm9Eb2MueG1sUEsFBgAAAAAGAAYAWQEA&#10;ALgFAAAAAA==&#10;">
                  <v:fill on="f" focussize="0,0"/>
                  <v:stroke on="f" miterlimit="8" joinstyle="miter"/>
                  <v:imagedata o:title=""/>
                  <o:lock v:ext="edit" aspectratio="f"/>
                  <v:textbox>
                    <w:txbxContent>
                      <w:p w14:paraId="0EFB1021">
                        <w:pPr>
                          <w:spacing w:line="240" w:lineRule="atLeast"/>
                          <w:contextualSpacing/>
                          <w:rPr>
                            <w:rFonts w:hint="default" w:eastAsia="宋体"/>
                            <w:lang w:val="en-US" w:eastAsia="zh-CN"/>
                          </w:rPr>
                        </w:pPr>
                        <w:r>
                          <w:rPr>
                            <w:rFonts w:hint="eastAsia"/>
                            <w:lang w:val="en-US" w:eastAsia="zh-CN"/>
                          </w:rPr>
                          <w:t>生产设备</w:t>
                        </w:r>
                      </w:p>
                    </w:txbxContent>
                  </v:textbox>
                </v:shape>
                <v:shape id="Text Box 1943" o:spid="_x0000_s1026" o:spt="202" type="#_x0000_t202" style="position:absolute;left:3034030;top:1576705;height:297815;width:53213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Hs0D2YVAgAAJAQAAA4AAABkcnMvZTJvRG9jLnhtbK1Ty27bMBC8&#10;F+g/ELzXkvyIY8FykMZIUSBNCyT9AJqiLKIil13SltKv75JyUje95NCLQHJXszPD4fpqMB07KvQa&#10;bMWLSc6ZshJqbfcV//54++GSMx+ErUUHVlX8SXl+tXn/bt27Uk2hha5WyAjE+rJ3FW9DcGWWedkq&#10;I/wEnLJUbACNCLTFfVaj6AnddNk0zy+yHrB2CFJ5T6fbschPiPgWQGgaLdUW5MEoG0ZUVJ0IJMm3&#10;2nm+SWybRsnwtWm8CqyrOCkN6UtDaL2L32yzFuUehWu1PFEQb6HwSpMR2tLQF6itCIIdUP8DZbRE&#10;8NCEiQSTjUKSI6SiyF9589AKp5IWstq7F9P9/4OV98dvyHRNSVgVnFlh6Mof1RDYRxhYsZrPokW9&#10;8yV1PjjqDQNVqD3J9e4O5A/PLNy0wu7VNSL0rRI1USzin9nZryOOjyC7/gvUNEkcAiSgoUET/SNH&#10;GKHP8tk8n9ElPRHOYnmxzBfjVUVmkhoWs2kR65IapqvlZZHqmSifgRz68EmBYXFRcaQkpEHieOdD&#10;JCbK55Y418Kt7rqUhs7+dUCN8SQJidxHFWHYDSdjdlA/kSSEMVz0tGjRAv7irKdgVdz/PAhUnHWf&#10;LdmyKubzmMS0mS+WU9rgeWV3XhFWElTFA2fj8iaM6T041PuWJo0XYeGarGx0khY9H1mdeFN4kuJT&#10;0GM6z/ep68/j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bQnyNMAAAAFAQAADwAAAAAAAAAB&#10;ACAAAAAiAAAAZHJzL2Rvd25yZXYueG1sUEsBAhQAFAAAAAgAh07iQHs0D2YVAgAAJAQAAA4AAAAA&#10;AAAAAQAgAAAAIgEAAGRycy9lMm9Eb2MueG1sUEsFBgAAAAAGAAYAWQEAAKkFAAAAAA==&#10;">
                  <v:fill on="f" focussize="0,0"/>
                  <v:stroke on="f"/>
                  <v:imagedata o:title=""/>
                  <o:lock v:ext="edit" aspectratio="f"/>
                  <v:textbox>
                    <w:txbxContent>
                      <w:p w14:paraId="442CB3C9">
                        <w:pPr>
                          <w:spacing w:line="240" w:lineRule="atLeast"/>
                          <w:contextualSpacing/>
                          <w:jc w:val="center"/>
                          <w:rPr>
                            <w:rFonts w:hint="default" w:eastAsia="宋体"/>
                            <w:lang w:val="en-US" w:eastAsia="zh-CN"/>
                          </w:rPr>
                        </w:pPr>
                        <w:r>
                          <w:rPr>
                            <w:rFonts w:hint="eastAsia"/>
                            <w:lang w:val="en-US" w:eastAsia="zh-CN"/>
                          </w:rPr>
                          <w:t>4.09</w:t>
                        </w:r>
                      </w:p>
                    </w:txbxContent>
                  </v:textbox>
                </v:shape>
                <v:shape id="Text Box 1914" o:spid="_x0000_s1026" o:spt="202" type="#_x0000_t202" style="position:absolute;left:2197735;top:1854835;height:297180;width:50038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JswC24TAgAAJAQAAA4AAABkcnMvZTJvRG9jLnhtbK1Ty27bMBC8&#10;F+g/ELzXesSubcFykMZIUSBNCyT5AJqiLKISl13Sltyv75JyEje95JALseQuZ3eGw9Xl0LXsoNBp&#10;MCXPJilnykiotNmV/PHh5tOCM+eFqUQLRpX8qBy/XH/8sOptoXJooK0UMgIxruhtyRvvbZEkTjaq&#10;E24CVhlK1oCd8LTFXVKh6Am9a5M8TT8nPWBlEaRyjk43Y5KfEPEtgFDXWqoNyH2njB9RUbXCEyXX&#10;aOv4Ok5b10r6H3XtlGdtyYmpjys1oXgb1mS9EsUOhW20PI0g3jLCK06d0IaaPkNthBdsj/o/qE5L&#10;BAe1n0jokpFIVIRYZOkrbe4bYVXkQlI7+yy6ez9YeXf4iUxX5IRlzpkRHT35gxo8+wIDy5bZNEjU&#10;W1dQ5b2lWj9QhsojXWdvQf5yzMB1I8xOXSFC3yhR0YhZuJmcXR1xXADZ9t+hok5i7yECDTV2QT9S&#10;hBF6ni3n84sZZ0fCWcymC4rjU4XJJBXM0vRiQY8oqSBfzjOKQzdRPAFZdP6rgo6FoORIToiNxOHW&#10;+bH0qST0NXCj2za2aM0/B4QZTiKRMPvIwg/bgaoDuy1UR6KEMJqLvhYFDeAfznoyVsnd771AxVn7&#10;zZAsJOk0ODFuprN5Ths8z2zPM8JIgiq552wMr/3o3r1FvWuo0/gQBq5IylpHai9TneYm80RxTkYP&#10;7jzfx6qXz73+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0J8jTAAAABQEAAA8AAAAAAAAAAQAg&#10;AAAAIgAAAGRycy9kb3ducmV2LnhtbFBLAQIUABQAAAAIAIdO4kCbMAtuEwIAACQEAAAOAAAAAAAA&#10;AAEAIAAAACIBAABkcnMvZTJvRG9jLnhtbFBLBQYAAAAABgAGAFkBAACnBQAAAAA=&#10;">
                  <v:fill on="f" focussize="0,0"/>
                  <v:stroke on="f"/>
                  <v:imagedata o:title=""/>
                  <o:lock v:ext="edit" aspectratio="f"/>
                  <v:textbox>
                    <w:txbxContent>
                      <w:p w14:paraId="6D075AC3">
                        <w:pPr>
                          <w:spacing w:line="240" w:lineRule="atLeast"/>
                          <w:contextualSpacing/>
                          <w:rPr>
                            <w:rFonts w:hint="default" w:eastAsia="宋体"/>
                            <w:lang w:val="en-US" w:eastAsia="zh-CN"/>
                          </w:rPr>
                        </w:pPr>
                        <w:r>
                          <w:rPr>
                            <w:rFonts w:hint="eastAsia"/>
                            <w:lang w:val="en-US" w:eastAsia="zh-CN"/>
                          </w:rPr>
                          <w:t>4.13</w:t>
                        </w:r>
                      </w:p>
                    </w:txbxContent>
                  </v:textbox>
                </v:shape>
                <v:shape id="Text Box 1914" o:spid="_x0000_s1026" o:spt="202" type="#_x0000_t202" style="position:absolute;left:739775;top:3013075;height:297180;width:50038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BliSPQSAgAAIwQAAA4AAABkcnMvZTJvRG9jLnhtbK1Ty27bMBC8&#10;F+g/ELzXkvyoY8FykMZIUSBNCyT9AJqiLKIil13SltKv75JyEje95NALseQuZ3eGw/XlYDp2VOg1&#10;2IoXk5wzZSXU2u4r/uPh5sMFZz4IW4sOrKr4o/L8cvP+3bp3pZpCC12tkBGI9WXvKt6G4Mos87JV&#10;RvgJOGUp2QAaEWiL+6xG0RO66bJpnn/MesDaIUjlPZ1uxyQ/IeJbAKFptFRbkAejbBhRUXUiECXf&#10;auf5Jk3bNEqGb03jVWBdxYlpSCs1oXgX12yzFuUehWu1PI0g3jLCK05GaEtNn6G2Igh2QP0PlNES&#10;wUMTJhJMNhJJihCLIn+lzX0rnEpcSGrvnkX3/w9W3h2/I9M1OWE148wKQ0/+oIbAPsHAilUxjxL1&#10;zpdUee+oNgyUofJE17tbkD89s3DdCrtXV4jQt0rUNGIRb2ZnV0ccH0F2/VeoqZM4BEhAQ4Mm6keK&#10;MEJfzlbL5YKzx4rP8mKWU5xeKg4mKb/I89kFvaGkgulqWVAcm4nyCcehD58VGBaDiiMZIfURx1sf&#10;xtKnktjWwo3uutSis38dEGY8STzi6COJMOwGqo7kdlA/EiOE0Vv0syhoAX9z1pOvKu5/HQQqzrov&#10;llQhRefRiGkzXyyntMHzzO48I6wkqIoHzsbwOozmPTjU+5Y6je9g4YqUbHSi9jLVaW7yThLn5PNo&#10;zvN9qnr525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bQnyNMAAAAFAQAADwAAAAAAAAABACAA&#10;AAAiAAAAZHJzL2Rvd25yZXYueG1sUEsBAhQAFAAAAAgAh07iQBliSPQSAgAAIwQAAA4AAAAAAAAA&#10;AQAgAAAAIgEAAGRycy9lMm9Eb2MueG1sUEsFBgAAAAAGAAYAWQEAAKYFAAAAAA==&#10;">
                  <v:fill on="f" focussize="0,0"/>
                  <v:stroke on="f"/>
                  <v:imagedata o:title=""/>
                  <o:lock v:ext="edit" aspectratio="f"/>
                  <v:textbox>
                    <w:txbxContent>
                      <w:p w14:paraId="50DE5186">
                        <w:pPr>
                          <w:spacing w:line="240" w:lineRule="atLeast"/>
                          <w:contextualSpacing/>
                          <w:rPr>
                            <w:rFonts w:hint="default" w:eastAsia="宋体"/>
                            <w:lang w:val="en-US" w:eastAsia="zh-CN"/>
                          </w:rPr>
                        </w:pPr>
                        <w:r>
                          <w:rPr>
                            <w:rFonts w:hint="eastAsia"/>
                            <w:lang w:val="en-US" w:eastAsia="zh-CN"/>
                          </w:rPr>
                          <w:t>2.22</w:t>
                        </w:r>
                      </w:p>
                    </w:txbxContent>
                  </v:textbox>
                </v:shape>
                <v:shape id="Text Box 1914" o:spid="_x0000_s1026" o:spt="202" type="#_x0000_t202" style="position:absolute;left:2329815;top:3034030;height:297180;width:50038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PADjNoUAgAAJAQAAA4AAABkcnMvZTJvRG9jLnhtbK1Ty27bMBC8&#10;F+g/ELzXethubMFykMZIUSBNCyT5AJqiLKISl13Sltyv75JyEje95JALseQOZ3eGy9Xl0LXsoNBp&#10;MCXPJilnykiotNmV/PHh5tOCM+eFqUQLRpX8qBy/XH/8sOptoXJooK0UMiIxruhtyRvvbZEkTjaq&#10;E24CVhlK1oCd8LTFXVKh6Im9a5M8TT8nPWBlEaRyjk43Y5KfGPEthFDXWqoNyH2njB9ZUbXCkyTX&#10;aOv4OnZb10r6H3XtlGdtyUmpjysVoXgb1mS9EsUOhW20PLUg3tLCK02d0IaKPlNthBdsj/o/qk5L&#10;BAe1n0joklFIdIRUZOkrb+4bYVXUQlY7+2y6ez9aeXf4iUxXNAnLGWdGdPTkD2rw7AsMLFtms2BR&#10;b11ByHtLWD9QhuBRrrO3IH85ZuC6EWanrhChb5SoqMUs3EzOro48LpBs++9QUSWx9xCJhhq74B85&#10;wog9n+bLRTbn7FjyaTqdpdPTU4XOJAHmaTpd0CNKAuTLi4ziUE0UT0QWnf+qoGMhKDnSJMRC4nDr&#10;/Ah9goS6Bm5029K5KFrzzwFxhpMoJPQ+qvDDdiB0ULeF6kiSEMbhoq9FQQP4h7OeBqvk7vdeoOKs&#10;/WbIFrJ0FiYxbmbzi5w2eJ7ZnmeEkURVcs/ZGF77cXr3FvWuoUrjQxi4IitrHaW9dHXqm4YnmnMa&#10;9DCd5/uIevnc6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tCfI0wAAAAUBAAAPAAAAAAAAAAEA&#10;IAAAACIAAABkcnMvZG93bnJldi54bWxQSwECFAAUAAAACACHTuJA8AOM2hQCAAAkBAAADgAAAAAA&#10;AAABACAAAAAiAQAAZHJzL2Uyb0RvYy54bWxQSwUGAAAAAAYABgBZAQAAqAUAAAAA&#10;">
                  <v:fill on="f" focussize="0,0"/>
                  <v:stroke on="f"/>
                  <v:imagedata o:title=""/>
                  <o:lock v:ext="edit" aspectratio="f"/>
                  <v:textbox>
                    <w:txbxContent>
                      <w:p w14:paraId="0023775B">
                        <w:pPr>
                          <w:spacing w:line="240" w:lineRule="atLeast"/>
                          <w:contextualSpacing/>
                          <w:rPr>
                            <w:rFonts w:hint="default" w:eastAsia="宋体"/>
                            <w:lang w:val="en-US" w:eastAsia="zh-CN"/>
                          </w:rPr>
                        </w:pPr>
                        <w:r>
                          <w:rPr>
                            <w:rFonts w:hint="eastAsia"/>
                            <w:lang w:val="en-US" w:eastAsia="zh-CN"/>
                          </w:rPr>
                          <w:t>1.78</w:t>
                        </w:r>
                      </w:p>
                    </w:txbxContent>
                  </v:textbox>
                </v:shape>
                <v:shape id="Text Box 1914" o:spid="_x0000_s1026" o:spt="202" type="#_x0000_t202" style="position:absolute;left:1729105;top:2902585;height:297180;width:50038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J5Iy+0SAgAAJAQAAA4AAABkcnMvZTJvRG9jLnhtbK1Ty27bMBC8&#10;F+g/ELzXetSubcFykMZIUSB9AEk/gKIoi6jEZZe0Jffru6ScxE0vOfRCLLnL2ZnhcnM19h07KnQa&#10;TMmzWcqZMhJqbfYl//Fw+27FmfPC1KIDo0p+Uo5fbd++2Qy2UDm00NUKGYEYVwy25K33tkgSJ1vV&#10;CzcDqwwlG8BeeNriPqlRDITed0meph+SAbC2CFI5R6e7KcnPiPgaQGgaLdUO5KFXxk+oqDrhSZJr&#10;tXV8G9k2jZL+W9M45VlXclLq40pNKK7Cmmw3otijsK2WZwriNRReaOqFNtT0CWonvGAH1P9A9Voi&#10;OGj8TEKfTEKiI6QiS194c98Kq6IWstrZJ9Pd/4OVX4/fkemaJmG94MyInp78QY2efYSRZetsHiwa&#10;rCuo8t5SrR8pQ+VRrrN3IH86ZuCmFWavrhFhaJWoiWIWbiYXVyccF0Cq4QvU1EkcPESgscE++EeO&#10;sIC+zNdZSoROJc/Xab5YLaanCswkFSzS9P2KHlHGgmVGcegmikcgi85/UtCzEJQcaRJiI3G8c34q&#10;fSwJfQ3c6q6jc1F05q8DwgwnUUjgPqnwYzVSdVBXQX0iSQjTcNHXoqAF/M3ZQINVcvfrIFBx1n02&#10;ZAtZOg+TGDfzxTKnDV5mqsuMMJKgSu45m8IbP03vwaLet9RpeggD12Rlo6O0Z1Zn3jQ80ZzzoIfp&#10;vNzHqufPvf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bQnyNMAAAAFAQAADwAAAAAAAAABACAA&#10;AAAiAAAAZHJzL2Rvd25yZXYueG1sUEsBAhQAFAAAAAgAh07iQJ5Iy+0SAgAAJAQAAA4AAAAAAAAA&#10;AQAgAAAAIgEAAGRycy9lMm9Eb2MueG1sUEsFBgAAAAAGAAYAWQEAAKYFAAAAAA==&#10;">
                  <v:fill on="f" focussize="0,0"/>
                  <v:stroke on="f"/>
                  <v:imagedata o:title=""/>
                  <o:lock v:ext="edit" aspectratio="f"/>
                  <v:textbox>
                    <w:txbxContent>
                      <w:p w14:paraId="44312572">
                        <w:pPr>
                          <w:spacing w:line="240" w:lineRule="atLeast"/>
                          <w:contextualSpacing/>
                          <w:rPr>
                            <w:rFonts w:hint="default" w:eastAsia="宋体"/>
                            <w:lang w:val="en-US" w:eastAsia="zh-CN"/>
                          </w:rPr>
                        </w:pPr>
                        <w:r>
                          <w:rPr>
                            <w:rFonts w:hint="eastAsia"/>
                            <w:lang w:val="en-US" w:eastAsia="zh-CN"/>
                          </w:rPr>
                          <w:t>0.44</w:t>
                        </w:r>
                      </w:p>
                    </w:txbxContent>
                  </v:textbox>
                </v:shape>
                <v:shape id="Text Box 1914" o:spid="_x0000_s1026" o:spt="202" type="#_x0000_t202" style="position:absolute;left:801370;top:3810000;height:297180;width:50038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PJTdKoTAgAAIwQAAA4AAABkcnMvZTJvRG9jLnhtbK1Ty27bMBC8&#10;F+g/ELzXkmwnsQXLQRojRYH0AST9AJqiLKIil13Sltyv75JyEje95FAdhCV3ObszHK6uB9Oxg0Kv&#10;wVa8mOScKSuh1nZX8R+Pdx8WnPkgbC06sKriR+X59fr9u1XvSjWFFrpaISMQ68veVbwNwZVZ5mWr&#10;jPATcMpSsgE0ItASd1mNoid002XTPL/MesDaIUjlPe1uxiQ/IeJbAKFptFQbkHujbBhRUXUiECXf&#10;auf5Ok3bNEqGb03jVWBdxYlpSH9qQvE2/rP1SpQ7FK7V8jSCeMsIrzgZoS01fYbaiCDYHvU/UEZL&#10;BA9NmEgw2UgkKUIsivyVNg+tcCpxIam9exbd/z9Y+fXwHZmuyQnLS86sMHTlj2oI7CMMrFgW8yhR&#10;73xJlQ+OasNAGSpPdL27B/nTMwu3rbA7dYMIfatETSMW8WR2dnTE8RFk23+BmjqJfYAENDRoon6k&#10;CCP0RV7MruiOjhWfLYqcvvGm4mCS8hd5PltQXlLBdHlVUBybifIJx6EPnxQYFoOKIxkh9RGHex/G&#10;0qeS2NbCne462hdlZ//aIMy4k3jE0UcSYdgOVB3JbaE+EiOE0Vv0sihoAX9z1pOvKu5/7QUqzrrP&#10;llQhRefRiGkxv7ia0gLPM9vzjLCSoCoeOBvD2zCad+9Q71rqNN6DhRtSstGJ2stUp7nJO0mck8+j&#10;Oc/Xqerlb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0J8jTAAAABQEAAA8AAAAAAAAAAQAg&#10;AAAAIgAAAGRycy9kb3ducmV2LnhtbFBLAQIUABQAAAAIAIdO4kDyU3SqEwIAACMEAAAOAAAAAAAA&#10;AAEAIAAAACIBAABkcnMvZTJvRG9jLnhtbFBLBQYAAAAABgAGAFkBAACnBQAAAAA=&#10;">
                  <v:fill on="f" focussize="0,0"/>
                  <v:stroke on="f"/>
                  <v:imagedata o:title=""/>
                  <o:lock v:ext="edit" aspectratio="f"/>
                  <v:textbox>
                    <w:txbxContent>
                      <w:p w14:paraId="54BE1016">
                        <w:pPr>
                          <w:spacing w:line="240" w:lineRule="atLeast"/>
                          <w:contextualSpacing/>
                          <w:rPr>
                            <w:rFonts w:hint="default" w:eastAsia="宋体"/>
                            <w:lang w:val="en-US" w:eastAsia="zh-CN"/>
                          </w:rPr>
                        </w:pPr>
                        <w:r>
                          <w:rPr>
                            <w:rFonts w:hint="eastAsia"/>
                            <w:lang w:val="en-US" w:eastAsia="zh-CN"/>
                          </w:rPr>
                          <w:t>1.2</w:t>
                        </w:r>
                      </w:p>
                    </w:txbxContent>
                  </v:textbox>
                </v:shape>
                <v:line id="Line 1926" o:spid="_x0000_s1026" o:spt="20" style="position:absolute;left:2306955;top:4058285;flip:y;height:5080;width:2225040;" filled="f" stroked="t" coordsize="21600,21600" o:gfxdata="UEsDBAoAAAAAAIdO4kAAAAAAAAAAAAAAAAAEAAAAZHJzL1BLAwQUAAAACACHTuJACHNWRtYAAAAF&#10;AQAADwAAAGRycy9kb3ducmV2LnhtbE2PwU7DMBBE70j8g7VI3KidqqlCiNMDAokTghYhcXPjJQmN&#10;18HeNoWvx/QCl5VGM5p5W62ObhAHDLH3pCGbKRBIjbc9tRpeNvdXBYjIhqwZPKGGL4ywqs/PKlNa&#10;P9EzHtbcilRCsTQaOuaxlDI2HToTZ35ESt67D85wkqGVNpgplbtBzpVaSmd6SgudGfG2w2a33jsN&#10;15sp909h97rI+s+377sPHh8eWevLi0zdgGA88l8YfvETOtSJaev3ZKMYNKRH+HSTV+TzBYithmWh&#10;cpB1Jf/T1z9QSwMEFAAAAAgAh07iQEd67BEXAgAAIgQAAA4AAABkcnMvZTJvRG9jLnhtbK2TwXLa&#10;MBCG753pO2h0LzYOpuDB5ABNL7RlJmnvQpKxprJWIwls3r4rGZImveRQHzyS99e3u7/Wq/uh0+Qs&#10;nVdgajqd5JRIw0Eoc6zpz6eHTwtKfGBGMA1G1vQiPb1ff/yw6m0lC2hBC+kIQoyvelvTNgRbZZnn&#10;reyYn4CVBoMNuI4F3LpjJhzrkd7prMjzedaDE9YBl97j1+0YpFeiew8QmkZxuQV+6qQJI9VJzQK2&#10;5FtlPV2naptG8vCjabwMRNcUOw3pjUlwfYjvbL1i1dEx2yp+LYG9p4Q3PXVMGUz6jNqywMjJqX9Q&#10;neIOPDRhwqHLxkaSI9jFNH/jzWPLrEy9oNXePpvu/x+Wfz/vHVECJ2H5mRLDOrzynTKSTJfFPNrT&#10;W1+hamP2LjbIB/Nod8B/e2Jg0zJzlKnMp4vFk9PRUB82gxmpsxnFxVDTuzEkjbjFivwWS8eyV5ni&#10;xlus7dB/A4FodgqQLB4a15FGK/sr5os1oY0EMxR3+XxZlpRcajrLy0WxKK85h0B4FBRFmc/w6jkq&#10;ynyRrj9jVSRGjnU+fJXQkbioqUYbEp+ddz6gFSi9SaLcwIPSOk2QNqSv6bIsynTAg1YiBqPMu+Nh&#10;ox05sziD6YllIeyVzMHJiAQLTOkvRpCQLA1Oocla0pihk4ISLfHHjauRog3CbnaN93UAcdm7GI7f&#10;cXRSuuuYx9n8e59UL7/2+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c1ZG1gAAAAUBAAAPAAAA&#10;AAAAAAEAIAAAACIAAABkcnMvZG93bnJldi54bWxQSwECFAAUAAAACACHTuJAR3rsERcCAAAiBAAA&#10;DgAAAAAAAAABACAAAAAlAQAAZHJzL2Uyb0RvYy54bWxQSwUGAAAAAAYABgBZAQAArgUAAAAA&#10;">
                  <v:fill on="f" focussize="0,0"/>
                  <v:stroke color="#000000" joinstyle="round" endarrow="block"/>
                  <v:imagedata o:title=""/>
                  <o:lock v:ext="edit" aspectratio="f"/>
                </v:line>
                <v:shape id="Text Box 1914" o:spid="_x0000_s1026" o:spt="202" type="#_x0000_t202" style="position:absolute;left:2523490;top:3824605;height:297180;width:50038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FxshgQUAgAAJAQAAA4AAABkcnMvZTJvRG9jLnhtbK1Ty27bMBC8&#10;F+g/ELzXethObMFykMZIUSB9AEk+gKYoi6jEZZe0Jffru6ScxE0uOfQiLLmj2Z3Z5epq6Fp2UOg0&#10;mJJnk5QzZSRU2uxK/vhw+2nBmfPCVKIFo0p+VI5frT9+WPW2UDk00FYKGZEYV/S25I33tkgSJxvV&#10;CTcBqwwla8BOeDriLqlQ9MTetUmephdJD1hZBKmco9vNmOQnRnwPIdS1lmoDct8p40dWVK3wJMk1&#10;2jq+jt3WtZL+R1075VlbclLq45eKULwN32S9EsUOhW20PLUg3tPCK02d0IaKPlNthBdsj/oNVacl&#10;goPaTyR0ySgkOkIqsvSVN/eNsCpqIaudfTbd/T9a+f3wE5muaBOWNHgjOhr5gxo8+wwDy5bZLFjU&#10;W1cQ8t4S1g+UIXiU6+wdyF+OGbhphNmpa0ToGyUqajELfyZnv448LpBs+29QUSWx9xCJhhq74B85&#10;wog9n+fT2ZKGdCz5dJHPLtL5OKrQmSTAPE2nC8pLAuTLy4ziUE0UT0QWnf+ioGMhKDnSJsRC4nDn&#10;/Ah9goS6Bm5129K9KFrzzwVxhpsoJPQ+qvDDdiB0ULeF6kiSEMbloqdFQQP4h7OeFqvk7vdeoOKs&#10;/WrIFrJ0FjYxHmbzy5wOeJ7ZnmeEkURVcs/ZGN74cXv3FvWuoUrjIAxck5W1jtJeujr1TcsTzTkt&#10;etjO83NEvTzu9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tCfI0wAAAAUBAAAPAAAAAAAAAAEA&#10;IAAAACIAAABkcnMvZG93bnJldi54bWxQSwECFAAUAAAACACHTuJAXGyGBBQCAAAkBAAADgAAAAAA&#10;AAABACAAAAAiAQAAZHJzL2Uyb0RvYy54bWxQSwUGAAAAAAYABgBZAQAAqAUAAAAA&#10;">
                  <v:fill on="f" focussize="0,0"/>
                  <v:stroke on="f"/>
                  <v:imagedata o:title=""/>
                  <o:lock v:ext="edit" aspectratio="f"/>
                  <v:textbox>
                    <w:txbxContent>
                      <w:p w14:paraId="2A260CC0">
                        <w:pPr>
                          <w:spacing w:line="240" w:lineRule="atLeast"/>
                          <w:contextualSpacing/>
                          <w:rPr>
                            <w:rFonts w:hint="default" w:eastAsia="宋体"/>
                            <w:lang w:val="en-US" w:eastAsia="zh-CN"/>
                          </w:rPr>
                        </w:pPr>
                        <w:r>
                          <w:rPr>
                            <w:rFonts w:hint="eastAsia"/>
                            <w:lang w:val="en-US" w:eastAsia="zh-CN"/>
                          </w:rPr>
                          <w:t>0.96</w:t>
                        </w:r>
                      </w:p>
                    </w:txbxContent>
                  </v:textbox>
                </v:shape>
                <v:shape id="Text Box 1914" o:spid="_x0000_s1026" o:spt="202" type="#_x0000_t202" style="position:absolute;left:1754505;top:3670935;height:297180;width:500380;"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InPR2MVAgAAJAQAAA4AAABkcnMvZTJvRG9jLnhtbK1Ty27bMBC8&#10;F+g/ELzXkmwrjgXLQRojRYH0AST5AJqiLKISl13Sltyv75JyEje55NALseQOZ3eGy9XV0LXsoNBp&#10;MCXPJilnykiotNmV/PHh9tMlZ84LU4kWjCr5UTl+tf74YdXbQk2hgbZSyIjEuKK3JW+8t0WSONmo&#10;TrgJWGUoWQN2wtMWd0mFoif2rk2maXqR9ICVRZDKOTrdjEl+YsT3EEJda6k2IPedMn5kRdUKT5Jc&#10;o63j69htXSvpf9S1U561JSelPq5UhOJtWJP1ShQ7FLbR8tSCeE8LrzR1Qhsq+ky1EV6wPeo3VJ2W&#10;CA5qP5HQJaOQ6AipyNJX3tw3wqqohax29tl09/9o5ffDT2S6oklYLjkzoqMnf1CDZ59hYNkymweL&#10;eusKQt5bwvqBMgSPcp29A/nLMQM3jTA7dY0IfaNERS1m4WZydnXkcYFk23+DiiqJvYdINNTYBf/I&#10;ERbYF/k8T3POjiWfXSzS5Swfnyp0JgmQp+nskh5REmC6XGQUh2qieCKy6PwXBR0LQcmRJiEWEoc7&#10;50foEyTUNXCr25bORdGafw6IM5xEIaH3UYUftgOhg7otVEeShDAOF30tChrAP5z1NFgld7/3AhVn&#10;7VdDtpCl8zCJcTPPF1Pa4Hlme54RRhJVyT1nY3jjx+ndW9S7hiqND2HgmqysdZT20tWpbxqeaM5p&#10;0MN0nu8j6uVzr/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bQnyNMAAAAFAQAADwAAAAAAAAAB&#10;ACAAAAAiAAAAZHJzL2Rvd25yZXYueG1sUEsBAhQAFAAAAAgAh07iQInPR2MVAgAAJAQAAA4AAAAA&#10;AAAAAQAgAAAAIgEAAGRycy9lMm9Eb2MueG1sUEsFBgAAAAAGAAYAWQEAAKkFAAAAAA==&#10;">
                  <v:fill on="f" focussize="0,0"/>
                  <v:stroke on="f"/>
                  <v:imagedata o:title=""/>
                  <o:lock v:ext="edit" aspectratio="f"/>
                  <v:textbox>
                    <w:txbxContent>
                      <w:p w14:paraId="66CB8E70">
                        <w:pPr>
                          <w:spacing w:line="240" w:lineRule="atLeast"/>
                          <w:contextualSpacing/>
                          <w:rPr>
                            <w:rFonts w:hint="default" w:eastAsia="宋体"/>
                            <w:lang w:val="en-US" w:eastAsia="zh-CN"/>
                          </w:rPr>
                        </w:pPr>
                        <w:r>
                          <w:rPr>
                            <w:rFonts w:hint="eastAsia"/>
                            <w:lang w:val="en-US" w:eastAsia="zh-CN"/>
                          </w:rPr>
                          <w:t>0.24</w:t>
                        </w:r>
                      </w:p>
                    </w:txbxContent>
                  </v:textbox>
                </v:shape>
                <v:line id="Line 1920" o:spid="_x0000_s1026" o:spt="20" style="position:absolute;left:4220845;top:782320;height:2524125;width:17145;" filled="f" stroked="t" coordsize="21600,21600" o:gfxdata="UEsDBAoAAAAAAIdO4kAAAAAAAAAAAAAAAAAEAAAAZHJzL1BLAwQUAAAACACHTuJA829gddUAAAAF&#10;AQAADwAAAGRycy9kb3ducmV2LnhtbE2PzU7DMBCE70i8g7VIXCpqN9AqCtn0AOTGhQLiuo2XJCJe&#10;p7H7A0+P4QKXlUYzmvm2XJ/coA48hd4LwmJuQLE03vbSIrw811c5qBBJLA1eGOGTA6yr87OSCuuP&#10;8sSHTWxVKpFQEEIX41hoHZqOHYW5H1mS9+4nRzHJqdV2omMqd4POjFlpR72khY5Gvuu4+djsHUKo&#10;X3lXf82amXm7bj1nu/vHB0K8vFiYW1CRT/EvDD/4CR2qxLT1e7FBDQjpkfh7k5cvsxtQW4RVbpag&#10;q1L/p6++AVBLAwQUAAAACACHTuJACN/HS9wBAACzAwAADgAAAGRycy9lMm9Eb2MueG1srVPBjtsg&#10;EL1X6j8g7o1jN+lmrTh7SLS9pG2k3X7ABOMYFRgEJE7+vgNOtt3tZQ/1ATGe4b15j2H5cDaanaQP&#10;Cm3Dy8mUM2kFtsoeGv7z+fHTgrMQwbag0cqGX2TgD6uPH5aDq2WFPepWekYgNtSDa3gfo6uLIohe&#10;GggTdNJSskNvIFLoD0XrYSB0o4tqOv1SDOhb51HIEOjvZkzyK6J/DyB2nRJyg+JopI0jqpcaIkkK&#10;vXKBr3K3XSdF/NF1QUamG05KY16JhPb7tBarJdQHD65X4toCvKeFN5oMKEukL1AbiMCOXv0DZZTw&#10;GLCLE4GmGIVkR0hFOX3jzVMPTmYtZHVwL6aH/wcrvp92nqm24XQ3nFkwdOVbZSUr76tsz+BCTVVr&#10;u/NJoDjbJ7dF8Sswi+se7EHmNp8vjk6WydDi1ZEUBEck++EbtlQDx4jZq3PnTYIkF9i54bOqmi5m&#10;c84uDb9bVJ9HeqjlOTJB+fKuTFlB6WpezcpqnsmgvuE4H+JXiYalTcM1qcg8cNqGmPqC+laSaC0+&#10;Kq3zAGjLhobfzwkyZQJq1aZkDvxhv9aenSCNUP6uvK/KPB5tO5Joe/UgyU6TGOo9tpedv3lDd5m7&#10;uc5dGpa/43z6z1tb/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zb2B11QAAAAUBAAAPAAAAAAAA&#10;AAEAIAAAACIAAABkcnMvZG93bnJldi54bWxQSwECFAAUAAAACACHTuJACN/HS9wBAACzAwAADgAA&#10;AAAAAAABACAAAAAkAQAAZHJzL2Uyb0RvYy54bWxQSwUGAAAAAAYABgBZAQAAcgUAAAAA&#10;">
                  <v:fill on="f" focussize="0,0"/>
                  <v:stroke color="#000000" joinstyle="round"/>
                  <v:imagedata o:title=""/>
                  <o:lock v:ext="edit" aspectratio="f"/>
                </v:line>
                <v:line id="Line 1924" o:spid="_x0000_s1026" o:spt="20" style="position:absolute;left:4237990;top:1993900;height:635;width:527685;" filled="f" stroked="t" coordsize="21600,21600" o:gfxdata="UEsDBAoAAAAAAIdO4kAAAAAAAAAAAAAAAAAEAAAAZHJzL1BLAwQUAAAACACHTuJAwBvDFdcAAAAF&#10;AQAADwAAAGRycy9kb3ducmV2LnhtbE2PzU7DMBCE70i8g7VI3KidilZWiNMDUrm0gPqjCm5uvCQR&#10;8TqynTa8fU0vcFlpNKOZb4vFaDt2Qh9aRwqyiQCGVDnTUq1gv1s+SGAhajK6c4QKfjDAory9KXRu&#10;3Jk2eNrGmqUSCrlW0MTY55yHqkGrw8T1SMn7ct7qmKSvufH6nMptx6dCzLnVLaWFRvf43GD1vR2s&#10;gs16uZKH1TBW/vMle9u9r18/glTq/i4TT8AijvEvDL/4CR3KxHR0A5nAOgXpkXi9yZOz6SOwo4K5&#10;FDPgZcH/05cXUEsDBBQAAAAIAIdO4kCzEzus9QEAAN8DAAAOAAAAZHJzL2Uyb0RvYy54bWytU8Fy&#10;2yAQvXem/8Bwr2XLsRNpLOdgN724rWeSfgAGJDEFlgFs2X/fBStJk15yqA4MaN++t/sWVvdno8lJ&#10;+qDANnQ2mVIiLQehbNfQX08PX+4oCZFZwTRY2dCLDPR+/fnTanC1LKEHLaQnSGJDPbiG9jG6uigC&#10;76VhYQJOWgy24A2LePRdITwbkN3oopxOl8UAXjgPXIaAf7fXIB0Z/UcIoW0Vl1vgRyNtvLJ6qVnE&#10;lkKvXKDrXG3bSh5/tm2QkeiGYqcxryiC+0Nai/WK1Z1nrld8LIF9pIR3PRmmLIq+UG1ZZOTo1T9U&#10;RnEPAdo44WCKayPZEexiNn3nzWPPnMy9oNXBvZge/h8t/3Hae6JEQ1GfEssMjnynrCSzqrxJ9gwu&#10;1Ija2L1PDfKzfXQ74L8DsbDpme1kLvPp4jBzljKKNynpEByKHIbvIBDDjhGyV+fWm0SJLpBzQ2/K&#10;+W1V4WAuyFNV82o6jkeeI+EIWJS3y7sFJRwBy/kiS7H6mcX5EL9JMCRtGqqxh6zCTrsQU1WsfoYk&#10;UQsPSus8fm3J0NBqUS5yQgCtRAomWPDdYaM9ObF0gfI36r6BeThakckiU/qrFSRmP6JX6JCWNCkY&#10;KSjREl9d2l1L0nb0K1l0NfsA4rL3KZysw7nn2sc7mi7W3+eMen2X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G8MV1wAAAAUBAAAPAAAAAAAAAAEAIAAAACIAAABkcnMvZG93bnJldi54bWxQSwEC&#10;FAAUAAAACACHTuJAsxM7rPUBAADfAwAADgAAAAAAAAABACAAAAAmAQAAZHJzL2Uyb0RvYy54bWxQ&#10;SwUGAAAAAAYABgBZAQAAjQUAAAAA&#10;">
                  <v:fill on="f" focussize="0,0"/>
                  <v:stroke color="#000000" joinstyle="round" endarrow="block"/>
                  <v:imagedata o:title=""/>
                  <o:lock v:ext="edit" aspectratio="f"/>
                </v:line>
                <v:shape id="Text Box 1927" o:spid="_x0000_s1026" o:spt="202" type="#_x0000_t202" style="position:absolute;left:4762500;top:1119505;height:1732280;width:307975;" fillcolor="#FFFFFF" filled="t" stroked="t" coordsize="21600,21600" o:gfxdata="UEsDBAoAAAAAAIdO4kAAAAAAAAAAAAAAAAAEAAAAZHJzL1BLAwQUAAAACACHTuJAEod7ddcAAAAF&#10;AQAADwAAAGRycy9kb3ducmV2LnhtbE2PwU7DMBBE70j9B2uRuKDWbmlDGuL0gASCWykVvbrxNolq&#10;r4PtpuXvMVzgstJoRjNvy9XFGjagD50jCdOJAIZUO91RI2H7/jTOgYWoSCvjCCV8YYBVNboqVaHd&#10;md5w2MSGpRIKhZLQxtgXnIe6RavCxPVIyTs4b1VM0jdce3VO5dbwmRAZt6qjtNCqHh9brI+bk5WQ&#10;z1+GXXi9W3/U2cEs4+398Pzppby5nooHYBEv8S8MP/gJHarEtHcn0oEZCemR+HuTly9mc2B7CVku&#10;FsCrkv+nr74BUEsDBBQAAAAIAIdO4kAESSjfQAIAAJcEAAAOAAAAZHJzL2Uyb0RvYy54bWytVNtu&#10;2zAMfR+wfxD0vvrSuEmMOkXXIMOA7gK0+wBFlmNhkqhJSuzu60fJaRdkG9CH+cEQTeqQPIf09c2o&#10;FTkI5yWYhhYXOSXCcGil2TX02+Pm3YISH5hpmQIjGvokPL1ZvX1zPdhalNCDaoUjCGJ8PdiG9iHY&#10;Oss874Vm/gKsMOjswGkW0HS7rHVsQHStsjLPr7IBXGsdcOE9fl1PTnpEdK8BhK6TXKyB77UwYUJ1&#10;QrGALfleWk9XqdquEzx86TovAlENxU5DemMSPG/jO1tds3rnmO0lP5bAXlPCWU+aSYNJX6DWLDCy&#10;d/IPKC25Aw9duOCgs6mRxAh2UeRn3Dz0zIrUC1Lt7Qvp/v/B8s+Hr47ItqFlXlJimEbJH8UYyHsY&#10;SbEs55GiwfoaIx8sxoYRPTg4qV1v74F/98TAXc/MTtw6B0MvWIslFvFmdnJ1wvERZDt8ghYzsX2A&#10;BDR2Tkf+kBGC6LP5VVnlKNIT4hTFssqrSapYGceAy3y+nFeU8BgwvyzLRdIyY/UzknU+fBCgSTw0&#10;1OEopEzscO9DrIzVzyExsQcl241UKhlut71TjhwYjs0mPamZszBlyNDQZVVWExn/hMjT8zcILQNu&#10;k5K6oYvTIGWO3EW6JuLCuB2PWmyhfUIWHUzzjNuMhx7cT0oGnOWG+h975gQl6qNBJZbFbBaHPxmz&#10;al6i4U4921MPMxyhGhoomY53YVqYvXVy12OmSXsDt6heJxOZUeapqmPdOK+J4+NuxYU4tVPU7//J&#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h3t11wAAAAUBAAAPAAAAAAAAAAEAIAAAACIAAABk&#10;cnMvZG93bnJldi54bWxQSwECFAAUAAAACACHTuJABEko30ACAACXBAAADgAAAAAAAAABACAAAAAm&#10;AQAAZHJzL2Uyb0RvYy54bWxQSwUGAAAAAAYABgBZAQAA2AUAAAAA&#10;">
                  <v:fill on="t" focussize="0,0"/>
                  <v:stroke color="#000000" miterlimit="8" joinstyle="miter"/>
                  <v:imagedata o:title=""/>
                  <o:lock v:ext="edit" aspectratio="f"/>
                  <v:textbox>
                    <w:txbxContent>
                      <w:p w14:paraId="3B4F27CE">
                        <w:pPr>
                          <w:spacing w:line="240" w:lineRule="atLeast"/>
                          <w:contextualSpacing/>
                          <w:rPr>
                            <w:rFonts w:hint="default" w:eastAsia="宋体"/>
                            <w:lang w:val="en-US" w:eastAsia="zh-CN"/>
                          </w:rPr>
                        </w:pPr>
                        <w:r>
                          <w:rPr>
                            <w:rFonts w:hint="eastAsia"/>
                            <w:lang w:val="en-US" w:eastAsia="zh-CN"/>
                          </w:rPr>
                          <w:t>厂内污水处理站</w:t>
                        </w:r>
                      </w:p>
                    </w:txbxContent>
                  </v:textbox>
                </v:shape>
                <v:line id="Line 1924" o:spid="_x0000_s1026" o:spt="20" style="position:absolute;left:4910455;top:2851785;flip:x;height:1069340;width:6350;" filled="f" stroked="t" coordsize="21600,21600" o:gfxdata="UEsDBAoAAAAAAIdO4kAAAAAAAAAAAAAAAAAEAAAAZHJzL1BLAwQUAAAACACHTuJACHNWRtYAAAAF&#10;AQAADwAAAGRycy9kb3ducmV2LnhtbE2PwU7DMBBE70j8g7VI3KidqqlCiNMDAokTghYhcXPjJQmN&#10;18HeNoWvx/QCl5VGM5p5W62ObhAHDLH3pCGbKRBIjbc9tRpeNvdXBYjIhqwZPKGGL4ywqs/PKlNa&#10;P9EzHtbcilRCsTQaOuaxlDI2HToTZ35ESt67D85wkqGVNpgplbtBzpVaSmd6SgudGfG2w2a33jsN&#10;15sp909h97rI+s+377sPHh8eWevLi0zdgGA88l8YfvETOtSJaev3ZKMYNKRH+HSTV+TzBYithmWh&#10;cpB1Jf/T1z9QSwMEFAAAAAgAh07iQMgKhSQVAgAAIgQAAA4AAABkcnMvZTJvRG9jLnhtbK2Ty27b&#10;MBBF9wX6DwT3tR62XFuwnIXdtAu3CZD0A2iSsojyBZK25L/vkFLjJt1kUS0EUjM6d+ZyuLkblEQX&#10;7rwwusHFLMeIa2qY0KcG/3y+/7TCyAeiGZFG8wZfucd3248fNr2teWk6Ixl3CCDa171tcBeCrbPM&#10;044r4mfGcg3B1jhFAmzdKWOO9EBXMivzfJn1xjHrDOXew9f9GMQT0b0HaNpWUL439Ky4DiPVcUkC&#10;tOQ7YT3epmrbltPw0LaeByQbDJ2G9AYRWB/jO9tuSH1yxHaCTiWQ95TwpidFhAbRF9SeBILOTvyD&#10;UoI6400bZtSobGwkOQJdFPkbb546YnnqBaz29sV0//+w9Mfl0SHBGlzmc4w0UXDkB6E5KtblItrT&#10;W19D1k4/utggHfSTPRj6yyNtdh3RJ57KfL5a+LMYDfVhN+iJWmJYDMAfQ1yzW2wxxdI5ZK+U4sZb&#10;qO3YfzcM0OQcTLJ4aJ1CrRT2W9SLNYGNCBQW6yJfVBVGV1BbVcXnVTVpDgFRSFjOKzh3CuEiX67n&#10;i1GW1JEYOdb58JUbheKiwRJsSHxyOfgAVmS3lJiuzb2QMk2Q1Khv8Loqq/SDN1KwGIxp3p2OO+nQ&#10;hcQZTE8sC2Cv0pw5a5ZggQj5RTMUkqXBCTBZchwVFGcYSQ4XN65GitQA+2PXeF5Hw66PLobjdxid&#10;JDeNeZzNv/cp63a1t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HNWRtYAAAAFAQAADwAAAAAA&#10;AAABACAAAAAiAAAAZHJzL2Rvd25yZXYueG1sUEsBAhQAFAAAAAgAh07iQMgKhSQVAgAAIgQAAA4A&#10;AAAAAAAAAQAgAAAAJQEAAGRycy9lMm9Eb2MueG1sUEsFBgAAAAAGAAYAWQEAAKwFAAAAAA==&#10;">
                  <v:fill on="f" focussize="0,0"/>
                  <v:stroke color="#000000" joinstyle="round" endarrow="block"/>
                  <v:imagedata o:title=""/>
                  <o:lock v:ext="edit" aspectratio="f"/>
                </v:line>
                <v:shape id="Text Box 1918" o:spid="_x0000_s1026" o:spt="202" type="#_x0000_t202" style="position:absolute;left:4531995;top:3921125;height:273685;width:75628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CQalSQnAgAARAQAAA4AAABkcnMvZTJvRG9jLnhtbK1Ty27bMBC8&#10;F+g/ELzXetiyLcFykMZIUSBNCyT9AJqiLKIilyVpS+7XdykpieFecqgOwpK7nN0ZDjc3vWrJSVgn&#10;QZc0mcWUCM2hkvpQ0p/P95/WlDjPdMVa0KKkZ+Hozfbjh01nCpFCA20lLEEQ7YrOlLTx3hRR5Hgj&#10;FHMzMEJjsgarmMelPUSVZR2iqzZK43gZdWArY4EL53B3NybphGjfAwh1LbnYAT8qof2IakXLPFJy&#10;jTSObodp61pw/72unfCkLSky9cMfm2C8D/9ou2HFwTLTSD6NwN4zwhUnxaTGpq9QO+YZOVr5D5SS&#10;3IKD2s84qGgkMiiCLJL4SpunhhkxcEGpnXkV3f0/WP54+mGJrEqaxgtKNFN45c+i9+Qz9CTJk3WQ&#10;qDOuwMong7W+xwwaZ6DrzAPwX45ouGuYPohba6FrBKtwxCScjC6OjjgugOy7b1BhJ3b0MAD1tVVB&#10;P1SEIPoimyd5nlFyLuk8T5MkzcarCpNxLFhly3SNeY4F6Wq+xDh0Y8ULkLHOfxGgSAhKatEJQyN2&#10;enB+LH0pCX013Mu2xX1WtJp0Jc0zbHmVUdKj9VupSrqOwzf1bPVENHAbWfp+3yNaYL+H6oyULYzm&#10;w6eHQQP2DyUdGq+k7veRWUFJ+1WjbHmyWASnDotFtkpxYS8z+8sM0xyhSuopGcM7P7r7aKw8NNhp&#10;vCgNtyh1LQfqb1NNc6O5BvGmhxDce7keqt4e//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bQn&#10;yNMAAAAFAQAADwAAAAAAAAABACAAAAAiAAAAZHJzL2Rvd25yZXYueG1sUEsBAhQAFAAAAAgAh07i&#10;QCQalSQnAgAARAQAAA4AAAAAAAAAAQAgAAAAIgEAAGRycy9lMm9Eb2MueG1sUEsFBgAAAAAGAAYA&#10;WQEAALsFAAAAAA==&#10;">
                  <v:fill on="f" focussize="0,0"/>
                  <v:stroke on="f" miterlimit="8" joinstyle="miter"/>
                  <v:imagedata o:title=""/>
                  <o:lock v:ext="edit" aspectratio="f"/>
                  <v:textbox>
                    <w:txbxContent>
                      <w:p w14:paraId="0072E8AD">
                        <w:pPr>
                          <w:spacing w:line="240" w:lineRule="atLeast"/>
                          <w:contextualSpacing/>
                          <w:rPr>
                            <w:rFonts w:hint="default" w:eastAsia="宋体"/>
                            <w:lang w:val="en-US" w:eastAsia="zh-CN"/>
                          </w:rPr>
                        </w:pPr>
                        <w:r>
                          <w:rPr>
                            <w:rFonts w:hint="eastAsia"/>
                            <w:lang w:val="en-US" w:eastAsia="zh-CN"/>
                          </w:rPr>
                          <w:t>市政管网</w:t>
                        </w:r>
                      </w:p>
                    </w:txbxContent>
                  </v:textbox>
                </v:shape>
                <v:shape id="Text Box 1943" o:spid="_x0000_s1026" o:spt="202" type="#_x0000_t202" style="position:absolute;left:4195445;top:1743075;height:297815;width:61912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I6JJ0YVAgAAJAQAAA4AAABkcnMvZTJvRG9jLnhtbK1Ty27bMBC8&#10;F+g/ELzXekSOY8FykMZIUSBNCyT9AJqiLKISl13Sltyv75JyUje95NCLQHJXszPD4ep67Dt2UOg0&#10;mIpns5QzZSTU2uwq/v3p7sMVZ84LU4sOjKr4UTl+vX7/bjXYUuXQQlcrZARiXDnYirfe2zJJnGxV&#10;L9wMrDJUbAB74WmLu6RGMRB63yV5ml4mA2BtEaRyjk43U5GfEPEtgNA0WqoNyH2vjJ9QUXXCkyTX&#10;auv4OrJtGiX916ZxyrOu4qTUxy8NofU2fJP1SpQ7FLbV8kRBvIXCK0290IaGvkBthBdsj/ofqF5L&#10;BAeNn0nok0lIdIRUZOkrbx5bYVXUQlY7+2K6+3+w8uHwDZmuK56nc86M6OnKn9To2UcYWbYsLoJF&#10;g3UldT5a6vUjVSg4Ua6z9yB/OGbgthVmp24QYWiVqIliFv5Mzn6dcFwA2Q5foKZJYu8hAo0N9sE/&#10;coQRepEt50VBhI6Esygu0sV8uqrATFLDZbbMcqpLasiXi6ss1hNRPgNZdP6Tgp6FRcWRkhAHicO9&#10;84GYKJ9bwlwDd7rrYho689cBNYaTKCRwn1T4cTuejNlCfSRJCFO46GnRogX8xdlAwaq4+7kXqDjr&#10;PhuyZZkVRUhi3BTzRU4bPK9szyvCSIKquOdsWt76Kb17i3rX0qTpIgzckJWNjtKC5xOrE28KT1R8&#10;CnpI5/k+dv153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bQnyNMAAAAFAQAADwAAAAAAAAAB&#10;ACAAAAAiAAAAZHJzL2Rvd25yZXYueG1sUEsBAhQAFAAAAAgAh07iQI6JJ0YVAgAAJAQAAA4AAAAA&#10;AAAAAQAgAAAAIgEAAGRycy9lMm9Eb2MueG1sUEsFBgAAAAAGAAYAWQEAAKkFAAAAAA==&#10;">
                  <v:fill on="f" focussize="0,0"/>
                  <v:stroke on="f"/>
                  <v:imagedata o:title=""/>
                  <o:lock v:ext="edit" aspectratio="f"/>
                  <v:textbox>
                    <w:txbxContent>
                      <w:p w14:paraId="33C0CDB6">
                        <w:pPr>
                          <w:spacing w:line="240" w:lineRule="atLeast"/>
                          <w:contextualSpacing/>
                          <w:jc w:val="center"/>
                          <w:rPr>
                            <w:rFonts w:hint="default" w:eastAsia="宋体"/>
                            <w:lang w:val="en-US" w:eastAsia="zh-CN"/>
                          </w:rPr>
                        </w:pPr>
                        <w:r>
                          <w:rPr>
                            <w:rFonts w:hint="eastAsia"/>
                            <w:lang w:val="en-US" w:eastAsia="zh-CN"/>
                          </w:rPr>
                          <w:t>233.12</w:t>
                        </w:r>
                      </w:p>
                    </w:txbxContent>
                  </v:textbox>
                </v:shape>
                <v:shape id="Text Box 1943" o:spid="_x0000_s1026" o:spt="202" type="#_x0000_t202" style="position:absolute;left:4385945;top:3025140;height:297815;width:619125;" filled="f" stroked="f" coordsize="21600,21600" o:gfxdata="UEsDBAoAAAAAAIdO4kAAAAAAAAAAAAAAAAAEAAAAZHJzL1BLAwQUAAAACACHTuJAobQnyNMAAAAF&#10;AQAADwAAAGRycy9kb3ducmV2LnhtbE2PwU7DMBBE70j8g7VI3Oi6VVOFEKcHEFcQpSBxc+NtEhGv&#10;o9htwt+zcIHLSqMZzbwtt7Pv1ZnG2AU2sFxoUMR1cB03Bvavjzc5qJgsO9sHJgNfFGFbXV6UtnBh&#10;4hc671KjpIRjYQ20KQ0FYqxb8jYuwkAs3jGM3iaRY4NutJOU+x5XWm/Q245lobUD3bdUf+5O3sDb&#10;0/Hjfa2fmwefDVOYNbK/RWOur5b6DlSiOf2F4Qdf0KESpkM4sYuqNyCPpN8rXp6t1qAOBja5zgCr&#10;Ev/TV99QSwMEFAAAAAgAh07iQAXa+wcXAgAAJAQAAA4AAABkcnMvZTJvRG9jLnhtbK1Ty27bMBC8&#10;F+g/ELzXelh2bMFykMZIUSBNCyT9AJqiLKIilyVpS+7Xd0kpqZtecuhFILmr2ZnhcHM9qI6chHUS&#10;dEWzWUqJ0BxqqQ8V/f5092FFifNM16wDLSp6Fo5eb9+/2/SmFDm00NXCEgTRruxNRVvvTZkkjrdC&#10;MTcDIzQWG7CKedzaQ1Jb1iO66pI8TZdJD7Y2FrhwDk93Y5FOiPYtgNA0kosd8KMS2o+oVnTMoyTX&#10;SuPoNrJtGsH916ZxwpOuoqjUxy8OwfU+fJPthpUHy0wr+USBvYXCK02KSY1DX6B2zDNytPIfKCW5&#10;BQeNn3FQySgkOoIqsvSVN48tMyJqQaudeTHd/T9Y/nD6ZomsK5qnS0o0U3jlT2Lw5CMMJFsX82BR&#10;b1yJnY8Ge/2AFQxOlOvMPfAfjmi4bZk+iBtroW8Fq5FiFv5MLn4dcVwA2fdfoMZJ7OghAg2NVcE/&#10;dIQgejFfLdbFgpJzRedpvsiK6aoCM44Ny2yd5Vjn2JCvr1bZIk5j5TOQsc5/EqBIWFTUYhLiIHa6&#10;dz4QY+VzS5ir4U52XUxDp/86wMZwEoUE7qMKP+yHyZg91GeUZGEMFz4tXLRgf1HSY7Aq6n4emRWU&#10;dJ812rLOChRDfNwUi6scN/aysr+sMM0RqqKeknF568f0Ho2VhxYnjReh4QatbGSUFjwfWU28MTxR&#10;8RT0kM7Lfez687i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tCfI0wAAAAUBAAAPAAAAAAAA&#10;AAEAIAAAACIAAABkcnMvZG93bnJldi54bWxQSwECFAAUAAAACACHTuJABdr7BxcCAAAkBAAADgAA&#10;AAAAAAABACAAAAAiAQAAZHJzL2Uyb0RvYy54bWxQSwUGAAAAAAYABgBZAQAAqwUAAAAA&#10;">
                  <v:fill on="f" focussize="0,0"/>
                  <v:stroke on="f"/>
                  <v:imagedata o:title=""/>
                  <o:lock v:ext="edit" aspectratio="f"/>
                  <v:textbox>
                    <w:txbxContent>
                      <w:p w14:paraId="55BD7F7D">
                        <w:pPr>
                          <w:spacing w:line="240" w:lineRule="atLeast"/>
                          <w:contextualSpacing/>
                          <w:jc w:val="center"/>
                          <w:rPr>
                            <w:rFonts w:hint="default" w:eastAsia="宋体"/>
                            <w:lang w:val="en-US" w:eastAsia="zh-CN"/>
                          </w:rPr>
                        </w:pPr>
                        <w:r>
                          <w:rPr>
                            <w:rFonts w:hint="eastAsia"/>
                            <w:lang w:val="en-US" w:eastAsia="zh-CN"/>
                          </w:rPr>
                          <w:t>233.12</w:t>
                        </w:r>
                      </w:p>
                    </w:txbxContent>
                  </v:textbox>
                </v:shape>
                <w10:wrap type="none"/>
                <w10:anchorlock/>
              </v:group>
            </w:pict>
          </mc:Fallback>
        </mc:AlternateContent>
      </w:r>
    </w:p>
    <w:p w14:paraId="5B3FFD56" w14:textId="77777777" w:rsidR="00B14D53" w:rsidRDefault="00000000">
      <w:pPr>
        <w:jc w:val="center"/>
        <w:rPr>
          <w:b/>
          <w:bCs/>
        </w:rPr>
      </w:pPr>
      <w:r>
        <w:rPr>
          <w:rFonts w:hint="eastAsia"/>
          <w:b/>
          <w:bCs/>
        </w:rPr>
        <w:t>图</w:t>
      </w:r>
      <w:r>
        <w:rPr>
          <w:rFonts w:hint="eastAsia"/>
          <w:b/>
          <w:bCs/>
        </w:rPr>
        <w:t xml:space="preserve">3-1-1 </w:t>
      </w:r>
      <w:r>
        <w:rPr>
          <w:rFonts w:hint="eastAsia"/>
          <w:b/>
          <w:bCs/>
        </w:rPr>
        <w:t>夏季水平衡图</w:t>
      </w:r>
      <w:r>
        <w:rPr>
          <w:rFonts w:hint="eastAsia"/>
          <w:b/>
          <w:bCs/>
        </w:rPr>
        <w:t xml:space="preserve">     </w:t>
      </w:r>
      <w:r>
        <w:rPr>
          <w:rFonts w:hint="eastAsia"/>
          <w:b/>
          <w:bCs/>
        </w:rPr>
        <w:t>单位：</w:t>
      </w:r>
      <w:r>
        <w:rPr>
          <w:rFonts w:hint="eastAsia"/>
          <w:b/>
          <w:bCs/>
        </w:rPr>
        <w:t>t/d</w:t>
      </w:r>
    </w:p>
    <w:p w14:paraId="40E6C2DB" w14:textId="77777777" w:rsidR="00B14D53" w:rsidRDefault="00000000">
      <w:pPr>
        <w:spacing w:line="360" w:lineRule="auto"/>
        <w:contextualSpacing/>
        <w:jc w:val="center"/>
        <w:rPr>
          <w:rFonts w:eastAsiaTheme="minorEastAsia"/>
        </w:rPr>
      </w:pPr>
      <w:r>
        <w:rPr>
          <w:rFonts w:eastAsiaTheme="minorEastAsia"/>
          <w:b/>
          <w:noProof/>
          <w:snapToGrid w:val="0"/>
          <w:kern w:val="0"/>
          <w:szCs w:val="21"/>
        </w:rPr>
        <mc:AlternateContent>
          <mc:Choice Requires="wpc">
            <w:drawing>
              <wp:inline distT="0" distB="0" distL="0" distR="0" wp14:anchorId="47E7BD2D" wp14:editId="20514DC7">
                <wp:extent cx="5412740" cy="3688715"/>
                <wp:effectExtent l="4445" t="4445" r="12065" b="21590"/>
                <wp:docPr id="207" name="画布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a:solidFill>
                            <a:schemeClr val="tx1"/>
                          </a:solidFill>
                        </a:ln>
                      </wpc:whole>
                      <wps:wsp>
                        <wps:cNvPr id="208" name="Text Box 1910"/>
                        <wps:cNvSpPr txBox="1">
                          <a:spLocks noChangeArrowheads="1"/>
                        </wps:cNvSpPr>
                        <wps:spPr bwMode="auto">
                          <a:xfrm>
                            <a:off x="229235" y="1642745"/>
                            <a:ext cx="610235" cy="305435"/>
                          </a:xfrm>
                          <a:prstGeom prst="rect">
                            <a:avLst/>
                          </a:prstGeom>
                          <a:solidFill>
                            <a:srgbClr val="FFFFFF"/>
                          </a:solidFill>
                          <a:ln>
                            <a:noFill/>
                          </a:ln>
                        </wps:spPr>
                        <wps:txbx>
                          <w:txbxContent>
                            <w:p w14:paraId="3A303E87" w14:textId="77777777" w:rsidR="00B14D53" w:rsidRDefault="00000000">
                              <w:pPr>
                                <w:spacing w:line="240" w:lineRule="atLeast"/>
                                <w:contextualSpacing/>
                              </w:pPr>
                              <w:r>
                                <w:rPr>
                                  <w:rFonts w:hint="eastAsia"/>
                                </w:rPr>
                                <w:t>292.85</w:t>
                              </w:r>
                            </w:p>
                          </w:txbxContent>
                        </wps:txbx>
                        <wps:bodyPr rot="0" vert="horz" wrap="square" lIns="91440" tIns="45720" rIns="91440" bIns="45720" anchor="t" anchorCtr="0" upright="1">
                          <a:noAutofit/>
                        </wps:bodyPr>
                      </wps:wsp>
                      <wps:wsp>
                        <wps:cNvPr id="209" name="Text Box 1914"/>
                        <wps:cNvSpPr txBox="1">
                          <a:spLocks noChangeArrowheads="1"/>
                        </wps:cNvSpPr>
                        <wps:spPr bwMode="auto">
                          <a:xfrm>
                            <a:off x="768985" y="1892300"/>
                            <a:ext cx="500380" cy="297180"/>
                          </a:xfrm>
                          <a:prstGeom prst="rect">
                            <a:avLst/>
                          </a:prstGeom>
                          <a:solidFill>
                            <a:srgbClr val="FFFFFF"/>
                          </a:solidFill>
                          <a:ln>
                            <a:noFill/>
                          </a:ln>
                        </wps:spPr>
                        <wps:txbx>
                          <w:txbxContent>
                            <w:p w14:paraId="6F757A66" w14:textId="77777777" w:rsidR="00B14D53" w:rsidRDefault="00000000">
                              <w:pPr>
                                <w:spacing w:line="240" w:lineRule="atLeast"/>
                                <w:contextualSpacing/>
                              </w:pPr>
                              <w:r>
                                <w:rPr>
                                  <w:rFonts w:hint="eastAsia"/>
                                </w:rPr>
                                <w:t>4.59</w:t>
                              </w:r>
                            </w:p>
                          </w:txbxContent>
                        </wps:txbx>
                        <wps:bodyPr rot="0" vert="horz" wrap="square" lIns="91440" tIns="45720" rIns="91440" bIns="45720" anchor="t" anchorCtr="0" upright="1">
                          <a:noAutofit/>
                        </wps:bodyPr>
                      </wps:wsp>
                      <wps:wsp>
                        <wps:cNvPr id="210" name="Text Box 1917"/>
                        <wps:cNvSpPr txBox="1">
                          <a:spLocks noChangeArrowheads="1"/>
                        </wps:cNvSpPr>
                        <wps:spPr bwMode="auto">
                          <a:xfrm>
                            <a:off x="1367155" y="1350645"/>
                            <a:ext cx="1193800" cy="297180"/>
                          </a:xfrm>
                          <a:prstGeom prst="rect">
                            <a:avLst/>
                          </a:prstGeom>
                          <a:solidFill>
                            <a:srgbClr val="FFFFFF"/>
                          </a:solidFill>
                          <a:ln w="9525">
                            <a:solidFill>
                              <a:srgbClr val="000000"/>
                            </a:solidFill>
                            <a:miter lim="800000"/>
                          </a:ln>
                        </wps:spPr>
                        <wps:txbx>
                          <w:txbxContent>
                            <w:p w14:paraId="6ABBADB8" w14:textId="77777777" w:rsidR="00B14D53" w:rsidRDefault="00000000">
                              <w:pPr>
                                <w:spacing w:line="240" w:lineRule="atLeast"/>
                                <w:contextualSpacing/>
                                <w:jc w:val="center"/>
                              </w:pPr>
                              <w:r>
                                <w:rPr>
                                  <w:rFonts w:hint="eastAsia"/>
                                </w:rPr>
                                <w:t>屠宰用水</w:t>
                              </w:r>
                            </w:p>
                          </w:txbxContent>
                        </wps:txbx>
                        <wps:bodyPr rot="0" vert="horz" wrap="square" lIns="91440" tIns="45720" rIns="91440" bIns="45720" anchor="t" anchorCtr="0" upright="1">
                          <a:noAutofit/>
                        </wps:bodyPr>
                      </wps:wsp>
                      <wps:wsp>
                        <wps:cNvPr id="211" name="Text Box 1918"/>
                        <wps:cNvSpPr txBox="1">
                          <a:spLocks noChangeArrowheads="1"/>
                        </wps:cNvSpPr>
                        <wps:spPr bwMode="auto">
                          <a:xfrm>
                            <a:off x="1343025" y="639445"/>
                            <a:ext cx="1238250" cy="297180"/>
                          </a:xfrm>
                          <a:prstGeom prst="rect">
                            <a:avLst/>
                          </a:prstGeom>
                          <a:solidFill>
                            <a:srgbClr val="FFFFFF"/>
                          </a:solidFill>
                          <a:ln w="9525">
                            <a:solidFill>
                              <a:srgbClr val="000000"/>
                            </a:solidFill>
                            <a:miter lim="800000"/>
                          </a:ln>
                        </wps:spPr>
                        <wps:txbx>
                          <w:txbxContent>
                            <w:p w14:paraId="6C5609AD" w14:textId="77777777" w:rsidR="00B14D53" w:rsidRDefault="00000000">
                              <w:pPr>
                                <w:spacing w:line="240" w:lineRule="atLeast"/>
                                <w:contextualSpacing/>
                                <w:jc w:val="center"/>
                              </w:pPr>
                              <w:r>
                                <w:rPr>
                                  <w:rFonts w:hint="eastAsia"/>
                                </w:rPr>
                                <w:t>待宰圈冲洗用水</w:t>
                              </w:r>
                            </w:p>
                          </w:txbxContent>
                        </wps:txbx>
                        <wps:bodyPr rot="0" vert="horz" wrap="square" lIns="91440" tIns="45720" rIns="91440" bIns="45720" anchor="t" anchorCtr="0" upright="1">
                          <a:noAutofit/>
                        </wps:bodyPr>
                      </wps:wsp>
                      <wps:wsp>
                        <wps:cNvPr id="212" name="Line 1919"/>
                        <wps:cNvCnPr>
                          <a:cxnSpLocks noChangeShapeType="1"/>
                        </wps:cNvCnPr>
                        <wps:spPr bwMode="auto">
                          <a:xfrm flipV="1">
                            <a:off x="287655" y="1877060"/>
                            <a:ext cx="501650" cy="2540"/>
                          </a:xfrm>
                          <a:prstGeom prst="line">
                            <a:avLst/>
                          </a:prstGeom>
                          <a:noFill/>
                          <a:ln w="9525">
                            <a:solidFill>
                              <a:srgbClr val="000000"/>
                            </a:solidFill>
                            <a:round/>
                            <a:tailEnd type="triangle" w="med" len="med"/>
                          </a:ln>
                        </wps:spPr>
                        <wps:bodyPr/>
                      </wps:wsp>
                      <wps:wsp>
                        <wps:cNvPr id="213" name="Line 1920"/>
                        <wps:cNvCnPr>
                          <a:cxnSpLocks noChangeShapeType="1"/>
                        </wps:cNvCnPr>
                        <wps:spPr bwMode="auto">
                          <a:xfrm flipH="1">
                            <a:off x="775970" y="804545"/>
                            <a:ext cx="635" cy="2484755"/>
                          </a:xfrm>
                          <a:prstGeom prst="line">
                            <a:avLst/>
                          </a:prstGeom>
                          <a:noFill/>
                          <a:ln w="9525">
                            <a:solidFill>
                              <a:srgbClr val="000000"/>
                            </a:solidFill>
                            <a:round/>
                          </a:ln>
                        </wps:spPr>
                        <wps:bodyPr/>
                      </wps:wsp>
                      <wps:wsp>
                        <wps:cNvPr id="214" name="Line 1921"/>
                        <wps:cNvCnPr>
                          <a:cxnSpLocks noChangeShapeType="1"/>
                        </wps:cNvCnPr>
                        <wps:spPr bwMode="auto">
                          <a:xfrm>
                            <a:off x="779145" y="2137410"/>
                            <a:ext cx="504190" cy="635"/>
                          </a:xfrm>
                          <a:prstGeom prst="line">
                            <a:avLst/>
                          </a:prstGeom>
                          <a:noFill/>
                          <a:ln w="9525">
                            <a:solidFill>
                              <a:srgbClr val="000000"/>
                            </a:solidFill>
                            <a:round/>
                            <a:tailEnd type="triangle" w="med" len="med"/>
                          </a:ln>
                        </wps:spPr>
                        <wps:bodyPr/>
                      </wps:wsp>
                      <wps:wsp>
                        <wps:cNvPr id="215" name="Line 1925"/>
                        <wps:cNvCnPr>
                          <a:cxnSpLocks noChangeShapeType="1"/>
                        </wps:cNvCnPr>
                        <wps:spPr bwMode="auto">
                          <a:xfrm flipV="1">
                            <a:off x="783590" y="1507490"/>
                            <a:ext cx="582930" cy="1905"/>
                          </a:xfrm>
                          <a:prstGeom prst="line">
                            <a:avLst/>
                          </a:prstGeom>
                          <a:noFill/>
                          <a:ln w="9525">
                            <a:solidFill>
                              <a:srgbClr val="000000"/>
                            </a:solidFill>
                            <a:round/>
                            <a:tailEnd type="triangle" w="med" len="med"/>
                          </a:ln>
                        </wps:spPr>
                        <wps:bodyPr/>
                      </wps:wsp>
                      <wps:wsp>
                        <wps:cNvPr id="216" name="Text Box 1927"/>
                        <wps:cNvSpPr txBox="1">
                          <a:spLocks noChangeArrowheads="1"/>
                        </wps:cNvSpPr>
                        <wps:spPr bwMode="auto">
                          <a:xfrm>
                            <a:off x="1312545" y="3136265"/>
                            <a:ext cx="1017905" cy="297180"/>
                          </a:xfrm>
                          <a:prstGeom prst="rect">
                            <a:avLst/>
                          </a:prstGeom>
                          <a:solidFill>
                            <a:srgbClr val="FFFFFF"/>
                          </a:solidFill>
                          <a:ln w="9525">
                            <a:solidFill>
                              <a:srgbClr val="000000"/>
                            </a:solidFill>
                            <a:miter lim="800000"/>
                          </a:ln>
                        </wps:spPr>
                        <wps:txbx>
                          <w:txbxContent>
                            <w:p w14:paraId="0A7ECF4E" w14:textId="77777777" w:rsidR="00B14D53" w:rsidRDefault="00000000">
                              <w:pPr>
                                <w:spacing w:line="240" w:lineRule="atLeast"/>
                                <w:contextualSpacing/>
                                <w:jc w:val="center"/>
                              </w:pPr>
                              <w:r>
                                <w:rPr>
                                  <w:rFonts w:hint="eastAsia"/>
                                </w:rPr>
                                <w:t>生活用水</w:t>
                              </w:r>
                            </w:p>
                            <w:p w14:paraId="3DE38CD9" w14:textId="77777777" w:rsidR="00B14D53" w:rsidRDefault="00B14D53">
                              <w:pPr>
                                <w:spacing w:line="240" w:lineRule="atLeast"/>
                                <w:contextualSpacing/>
                              </w:pPr>
                            </w:p>
                          </w:txbxContent>
                        </wps:txbx>
                        <wps:bodyPr rot="0" vert="horz" wrap="square" lIns="91440" tIns="45720" rIns="91440" bIns="45720" anchor="t" anchorCtr="0" upright="1">
                          <a:noAutofit/>
                        </wps:bodyPr>
                      </wps:wsp>
                      <wps:wsp>
                        <wps:cNvPr id="217" name="Text Box 1933"/>
                        <wps:cNvSpPr txBox="1">
                          <a:spLocks noChangeArrowheads="1"/>
                        </wps:cNvSpPr>
                        <wps:spPr bwMode="auto">
                          <a:xfrm>
                            <a:off x="0" y="1501775"/>
                            <a:ext cx="318135" cy="655955"/>
                          </a:xfrm>
                          <a:prstGeom prst="rect">
                            <a:avLst/>
                          </a:prstGeom>
                          <a:noFill/>
                          <a:ln>
                            <a:noFill/>
                          </a:ln>
                        </wps:spPr>
                        <wps:txbx>
                          <w:txbxContent>
                            <w:p w14:paraId="3E7882BB" w14:textId="77777777" w:rsidR="00B14D53" w:rsidRDefault="00000000">
                              <w:pPr>
                                <w:spacing w:line="240" w:lineRule="atLeast"/>
                                <w:contextualSpacing/>
                                <w:jc w:val="center"/>
                              </w:pPr>
                              <w:r>
                                <w:rPr>
                                  <w:rFonts w:hint="eastAsia"/>
                                </w:rPr>
                                <w:t>新鲜水</w:t>
                              </w:r>
                            </w:p>
                          </w:txbxContent>
                        </wps:txbx>
                        <wps:bodyPr rot="0" vert="horz" wrap="square" lIns="91440" tIns="45720" rIns="91440" bIns="45720" anchor="t" anchorCtr="0" upright="1">
                          <a:noAutofit/>
                        </wps:bodyPr>
                      </wps:wsp>
                      <wps:wsp>
                        <wps:cNvPr id="218" name="Text Box 1943"/>
                        <wps:cNvSpPr txBox="1">
                          <a:spLocks noChangeArrowheads="1"/>
                        </wps:cNvSpPr>
                        <wps:spPr bwMode="auto">
                          <a:xfrm>
                            <a:off x="751840" y="1267460"/>
                            <a:ext cx="619125" cy="297815"/>
                          </a:xfrm>
                          <a:prstGeom prst="rect">
                            <a:avLst/>
                          </a:prstGeom>
                          <a:noFill/>
                          <a:ln>
                            <a:noFill/>
                          </a:ln>
                        </wps:spPr>
                        <wps:txbx>
                          <w:txbxContent>
                            <w:p w14:paraId="09403A70" w14:textId="77777777" w:rsidR="00B14D53" w:rsidRDefault="00000000">
                              <w:pPr>
                                <w:spacing w:line="240" w:lineRule="atLeast"/>
                                <w:contextualSpacing/>
                                <w:jc w:val="center"/>
                              </w:pPr>
                              <w:r>
                                <w:rPr>
                                  <w:rFonts w:hint="eastAsia"/>
                                </w:rPr>
                                <w:t>282.35</w:t>
                              </w:r>
                            </w:p>
                          </w:txbxContent>
                        </wps:txbx>
                        <wps:bodyPr rot="0" vert="horz" wrap="square" lIns="91440" tIns="45720" rIns="91440" bIns="45720" anchor="t" anchorCtr="0" upright="1">
                          <a:noAutofit/>
                        </wps:bodyPr>
                      </wps:wsp>
                      <wps:wsp>
                        <wps:cNvPr id="221" name="Text Box 1918"/>
                        <wps:cNvSpPr txBox="1">
                          <a:spLocks noChangeArrowheads="1"/>
                        </wps:cNvSpPr>
                        <wps:spPr bwMode="auto">
                          <a:xfrm>
                            <a:off x="751840" y="125730"/>
                            <a:ext cx="529590" cy="281305"/>
                          </a:xfrm>
                          <a:prstGeom prst="rect">
                            <a:avLst/>
                          </a:prstGeom>
                          <a:solidFill>
                            <a:srgbClr val="FFFFFF"/>
                          </a:solidFill>
                          <a:ln w="9525">
                            <a:noFill/>
                            <a:miter lim="800000"/>
                          </a:ln>
                        </wps:spPr>
                        <wps:txbx>
                          <w:txbxContent>
                            <w:p w14:paraId="49DDEE04" w14:textId="77777777" w:rsidR="00B14D53" w:rsidRDefault="00000000">
                              <w:pPr>
                                <w:spacing w:line="240" w:lineRule="atLeast"/>
                                <w:contextualSpacing/>
                              </w:pPr>
                              <w:r>
                                <w:rPr>
                                  <w:rFonts w:hint="eastAsia"/>
                                </w:rPr>
                                <w:t>尿液</w:t>
                              </w:r>
                            </w:p>
                          </w:txbxContent>
                        </wps:txbx>
                        <wps:bodyPr rot="0" vert="horz" wrap="square" lIns="91440" tIns="45720" rIns="91440" bIns="45720" anchor="t" anchorCtr="0" upright="1">
                          <a:noAutofit/>
                        </wps:bodyPr>
                      </wps:wsp>
                      <wps:wsp>
                        <wps:cNvPr id="222" name="Text Box 1916"/>
                        <wps:cNvSpPr txBox="1">
                          <a:spLocks noChangeArrowheads="1"/>
                        </wps:cNvSpPr>
                        <wps:spPr bwMode="auto">
                          <a:xfrm>
                            <a:off x="1710055" y="144145"/>
                            <a:ext cx="508635" cy="297815"/>
                          </a:xfrm>
                          <a:prstGeom prst="rect">
                            <a:avLst/>
                          </a:prstGeom>
                          <a:noFill/>
                          <a:ln>
                            <a:noFill/>
                          </a:ln>
                        </wps:spPr>
                        <wps:txbx>
                          <w:txbxContent>
                            <w:p w14:paraId="5778C7C3" w14:textId="77777777" w:rsidR="00B14D53" w:rsidRDefault="00000000">
                              <w:pPr>
                                <w:spacing w:line="240" w:lineRule="atLeast"/>
                                <w:contextualSpacing/>
                                <w:jc w:val="center"/>
                              </w:pPr>
                              <w:r>
                                <w:rPr>
                                  <w:rFonts w:hint="eastAsia"/>
                                </w:rPr>
                                <w:t>损耗</w:t>
                              </w:r>
                            </w:p>
                          </w:txbxContent>
                        </wps:txbx>
                        <wps:bodyPr rot="0" vert="horz" wrap="square" lIns="91440" tIns="45720" rIns="91440" bIns="45720" anchor="t" anchorCtr="0" upright="1">
                          <a:noAutofit/>
                        </wps:bodyPr>
                      </wps:wsp>
                      <wps:wsp>
                        <wps:cNvPr id="223" name="Line 1924"/>
                        <wps:cNvCnPr>
                          <a:cxnSpLocks noChangeShapeType="1"/>
                        </wps:cNvCnPr>
                        <wps:spPr bwMode="auto">
                          <a:xfrm flipV="1">
                            <a:off x="2583180" y="797560"/>
                            <a:ext cx="1658620" cy="1270"/>
                          </a:xfrm>
                          <a:prstGeom prst="line">
                            <a:avLst/>
                          </a:prstGeom>
                          <a:noFill/>
                          <a:ln w="9525">
                            <a:solidFill>
                              <a:srgbClr val="000000"/>
                            </a:solidFill>
                            <a:round/>
                            <a:tailEnd type="triangle" w="med" len="med"/>
                          </a:ln>
                        </wps:spPr>
                        <wps:bodyPr/>
                      </wps:wsp>
                      <wps:wsp>
                        <wps:cNvPr id="224" name="Line 1924"/>
                        <wps:cNvCnPr>
                          <a:cxnSpLocks noChangeShapeType="1"/>
                        </wps:cNvCnPr>
                        <wps:spPr bwMode="auto">
                          <a:xfrm flipV="1">
                            <a:off x="782320" y="800735"/>
                            <a:ext cx="560705" cy="8255"/>
                          </a:xfrm>
                          <a:prstGeom prst="line">
                            <a:avLst/>
                          </a:prstGeom>
                          <a:noFill/>
                          <a:ln w="9525">
                            <a:solidFill>
                              <a:srgbClr val="000000"/>
                            </a:solidFill>
                            <a:round/>
                            <a:tailEnd type="triangle" w="med" len="med"/>
                          </a:ln>
                        </wps:spPr>
                        <wps:bodyPr/>
                      </wps:wsp>
                      <wps:wsp>
                        <wps:cNvPr id="225" name="Text Box 1913"/>
                        <wps:cNvSpPr txBox="1">
                          <a:spLocks noChangeArrowheads="1"/>
                        </wps:cNvSpPr>
                        <wps:spPr bwMode="auto">
                          <a:xfrm>
                            <a:off x="1248410" y="53340"/>
                            <a:ext cx="554990" cy="297180"/>
                          </a:xfrm>
                          <a:prstGeom prst="rect">
                            <a:avLst/>
                          </a:prstGeom>
                          <a:noFill/>
                          <a:ln>
                            <a:noFill/>
                          </a:ln>
                        </wps:spPr>
                        <wps:txbx>
                          <w:txbxContent>
                            <w:p w14:paraId="0B05A070" w14:textId="77777777" w:rsidR="00B14D53" w:rsidRDefault="00000000">
                              <w:pPr>
                                <w:spacing w:line="240" w:lineRule="atLeast"/>
                                <w:contextualSpacing/>
                              </w:pPr>
                              <w:r>
                                <w:rPr>
                                  <w:rFonts w:hint="eastAsia"/>
                                  <w:snapToGrid w:val="0"/>
                                  <w:szCs w:val="22"/>
                                </w:rPr>
                                <w:t>1.19</w:t>
                              </w:r>
                            </w:p>
                          </w:txbxContent>
                        </wps:txbx>
                        <wps:bodyPr rot="0" vert="horz" wrap="square" lIns="91440" tIns="45720" rIns="91440" bIns="45720" anchor="t" anchorCtr="0" upright="1">
                          <a:noAutofit/>
                        </wps:bodyPr>
                      </wps:wsp>
                      <wps:wsp>
                        <wps:cNvPr id="226" name="Text Box 1913"/>
                        <wps:cNvSpPr txBox="1">
                          <a:spLocks noChangeArrowheads="1"/>
                        </wps:cNvSpPr>
                        <wps:spPr bwMode="auto">
                          <a:xfrm>
                            <a:off x="808990" y="581660"/>
                            <a:ext cx="554990" cy="297180"/>
                          </a:xfrm>
                          <a:prstGeom prst="rect">
                            <a:avLst/>
                          </a:prstGeom>
                          <a:noFill/>
                          <a:ln>
                            <a:noFill/>
                          </a:ln>
                        </wps:spPr>
                        <wps:txbx>
                          <w:txbxContent>
                            <w:p w14:paraId="02AD9517" w14:textId="77777777" w:rsidR="00B14D53" w:rsidRDefault="00000000">
                              <w:pPr>
                                <w:spacing w:line="240" w:lineRule="atLeast"/>
                                <w:contextualSpacing/>
                              </w:pPr>
                              <w:r>
                                <w:rPr>
                                  <w:rFonts w:hint="eastAsia"/>
                                  <w:snapToGrid w:val="0"/>
                                  <w:szCs w:val="22"/>
                                </w:rPr>
                                <w:t>4.71</w:t>
                              </w:r>
                            </w:p>
                          </w:txbxContent>
                        </wps:txbx>
                        <wps:bodyPr rot="0" vert="horz" wrap="square" lIns="91440" tIns="45720" rIns="91440" bIns="45720" anchor="t" anchorCtr="0" upright="1">
                          <a:noAutofit/>
                        </wps:bodyPr>
                      </wps:wsp>
                      <wps:wsp>
                        <wps:cNvPr id="227" name="Text Box 1913"/>
                        <wps:cNvSpPr txBox="1">
                          <a:spLocks noChangeArrowheads="1"/>
                        </wps:cNvSpPr>
                        <wps:spPr bwMode="auto">
                          <a:xfrm>
                            <a:off x="2612390" y="556260"/>
                            <a:ext cx="478790" cy="297180"/>
                          </a:xfrm>
                          <a:prstGeom prst="rect">
                            <a:avLst/>
                          </a:prstGeom>
                          <a:noFill/>
                          <a:ln>
                            <a:noFill/>
                          </a:ln>
                        </wps:spPr>
                        <wps:txbx>
                          <w:txbxContent>
                            <w:p w14:paraId="4251A55D" w14:textId="77777777" w:rsidR="00B14D53" w:rsidRDefault="00000000">
                              <w:pPr>
                                <w:spacing w:line="240" w:lineRule="atLeast"/>
                                <w:contextualSpacing/>
                              </w:pPr>
                              <w:r>
                                <w:rPr>
                                  <w:rFonts w:hint="eastAsia"/>
                                  <w:snapToGrid w:val="0"/>
                                  <w:szCs w:val="22"/>
                                </w:rPr>
                                <w:t>4.96</w:t>
                              </w:r>
                            </w:p>
                          </w:txbxContent>
                        </wps:txbx>
                        <wps:bodyPr rot="0" vert="horz" wrap="square" lIns="91440" tIns="45720" rIns="91440" bIns="45720" anchor="t" anchorCtr="0" upright="1">
                          <a:noAutofit/>
                        </wps:bodyPr>
                      </wps:wsp>
                      <wps:wsp>
                        <wps:cNvPr id="228" name="Text Box 1913"/>
                        <wps:cNvSpPr txBox="1">
                          <a:spLocks noChangeArrowheads="1"/>
                        </wps:cNvSpPr>
                        <wps:spPr bwMode="auto">
                          <a:xfrm>
                            <a:off x="1933575" y="387985"/>
                            <a:ext cx="478790" cy="297180"/>
                          </a:xfrm>
                          <a:prstGeom prst="rect">
                            <a:avLst/>
                          </a:prstGeom>
                          <a:noFill/>
                          <a:ln>
                            <a:noFill/>
                          </a:ln>
                        </wps:spPr>
                        <wps:txbx>
                          <w:txbxContent>
                            <w:p w14:paraId="60D546FA" w14:textId="77777777" w:rsidR="00B14D53" w:rsidRDefault="00000000">
                              <w:pPr>
                                <w:spacing w:line="240" w:lineRule="atLeast"/>
                                <w:contextualSpacing/>
                              </w:pPr>
                              <w:r>
                                <w:rPr>
                                  <w:rFonts w:hint="eastAsia"/>
                                  <w:snapToGrid w:val="0"/>
                                  <w:szCs w:val="22"/>
                                </w:rPr>
                                <w:t>0.94</w:t>
                              </w:r>
                            </w:p>
                          </w:txbxContent>
                        </wps:txbx>
                        <wps:bodyPr rot="0" vert="horz" wrap="square" lIns="91440" tIns="45720" rIns="91440" bIns="45720" anchor="t" anchorCtr="0" upright="1">
                          <a:noAutofit/>
                        </wps:bodyPr>
                      </wps:wsp>
                      <wps:wsp>
                        <wps:cNvPr id="229" name="Text Box 1916"/>
                        <wps:cNvSpPr txBox="1">
                          <a:spLocks noChangeArrowheads="1"/>
                        </wps:cNvSpPr>
                        <wps:spPr bwMode="auto">
                          <a:xfrm>
                            <a:off x="1700530" y="883920"/>
                            <a:ext cx="508635" cy="297815"/>
                          </a:xfrm>
                          <a:prstGeom prst="rect">
                            <a:avLst/>
                          </a:prstGeom>
                          <a:noFill/>
                          <a:ln>
                            <a:noFill/>
                          </a:ln>
                        </wps:spPr>
                        <wps:txbx>
                          <w:txbxContent>
                            <w:p w14:paraId="2DF8A255" w14:textId="77777777" w:rsidR="00B14D53" w:rsidRDefault="00000000">
                              <w:pPr>
                                <w:spacing w:line="240" w:lineRule="atLeast"/>
                                <w:contextualSpacing/>
                                <w:jc w:val="center"/>
                              </w:pPr>
                              <w:r>
                                <w:rPr>
                                  <w:rFonts w:hint="eastAsia"/>
                                </w:rPr>
                                <w:t>损耗</w:t>
                              </w:r>
                            </w:p>
                          </w:txbxContent>
                        </wps:txbx>
                        <wps:bodyPr rot="0" vert="horz" wrap="square" lIns="91440" tIns="45720" rIns="91440" bIns="45720" anchor="t" anchorCtr="0" upright="1">
                          <a:noAutofit/>
                        </wps:bodyPr>
                      </wps:wsp>
                      <wps:wsp>
                        <wps:cNvPr id="230" name="Line 1924"/>
                        <wps:cNvCnPr>
                          <a:cxnSpLocks noChangeShapeType="1"/>
                        </wps:cNvCnPr>
                        <wps:spPr bwMode="auto">
                          <a:xfrm flipV="1">
                            <a:off x="2564130" y="1515745"/>
                            <a:ext cx="1663065" cy="635"/>
                          </a:xfrm>
                          <a:prstGeom prst="line">
                            <a:avLst/>
                          </a:prstGeom>
                          <a:noFill/>
                          <a:ln w="9525">
                            <a:solidFill>
                              <a:srgbClr val="000000"/>
                            </a:solidFill>
                            <a:round/>
                            <a:tailEnd type="triangle" w="med" len="med"/>
                          </a:ln>
                        </wps:spPr>
                        <wps:bodyPr/>
                      </wps:wsp>
                      <wps:wsp>
                        <wps:cNvPr id="231" name="Line 1939"/>
                        <wps:cNvCnPr>
                          <a:cxnSpLocks noChangeShapeType="1"/>
                        </wps:cNvCnPr>
                        <wps:spPr bwMode="auto">
                          <a:xfrm flipH="1" flipV="1">
                            <a:off x="1965960" y="1093470"/>
                            <a:ext cx="1905" cy="245745"/>
                          </a:xfrm>
                          <a:prstGeom prst="line">
                            <a:avLst/>
                          </a:prstGeom>
                          <a:noFill/>
                          <a:ln w="9525">
                            <a:solidFill>
                              <a:srgbClr val="000000"/>
                            </a:solidFill>
                            <a:prstDash val="dash"/>
                            <a:round/>
                            <a:tailEnd type="triangle" w="med" len="med"/>
                          </a:ln>
                        </wps:spPr>
                        <wps:bodyPr/>
                      </wps:wsp>
                      <wps:wsp>
                        <wps:cNvPr id="232" name="Line 1939"/>
                        <wps:cNvCnPr>
                          <a:cxnSpLocks noChangeShapeType="1"/>
                        </wps:cNvCnPr>
                        <wps:spPr bwMode="auto">
                          <a:xfrm flipH="1" flipV="1">
                            <a:off x="1971040" y="375920"/>
                            <a:ext cx="1905" cy="245745"/>
                          </a:xfrm>
                          <a:prstGeom prst="line">
                            <a:avLst/>
                          </a:prstGeom>
                          <a:noFill/>
                          <a:ln w="9525">
                            <a:solidFill>
                              <a:srgbClr val="000000"/>
                            </a:solidFill>
                            <a:prstDash val="dash"/>
                            <a:round/>
                            <a:tailEnd type="triangle" w="med" len="med"/>
                          </a:ln>
                        </wps:spPr>
                        <wps:bodyPr/>
                      </wps:wsp>
                      <wps:wsp>
                        <wps:cNvPr id="233" name="Text Box 1927"/>
                        <wps:cNvSpPr txBox="1">
                          <a:spLocks noChangeArrowheads="1"/>
                        </wps:cNvSpPr>
                        <wps:spPr bwMode="auto">
                          <a:xfrm>
                            <a:off x="1284605" y="1983740"/>
                            <a:ext cx="929005" cy="297180"/>
                          </a:xfrm>
                          <a:prstGeom prst="rect">
                            <a:avLst/>
                          </a:prstGeom>
                          <a:solidFill>
                            <a:srgbClr val="FFFFFF"/>
                          </a:solidFill>
                          <a:ln w="9525">
                            <a:solidFill>
                              <a:srgbClr val="000000"/>
                            </a:solidFill>
                            <a:miter lim="800000"/>
                          </a:ln>
                        </wps:spPr>
                        <wps:txbx>
                          <w:txbxContent>
                            <w:p w14:paraId="40A98CA5" w14:textId="77777777" w:rsidR="00B14D53" w:rsidRDefault="00000000">
                              <w:pPr>
                                <w:spacing w:line="240" w:lineRule="atLeast"/>
                                <w:contextualSpacing/>
                                <w:jc w:val="center"/>
                              </w:pPr>
                              <w:r>
                                <w:rPr>
                                  <w:rFonts w:hint="eastAsia"/>
                                </w:rPr>
                                <w:t>软化水制水</w:t>
                              </w:r>
                            </w:p>
                          </w:txbxContent>
                        </wps:txbx>
                        <wps:bodyPr rot="0" vert="horz" wrap="square" lIns="91440" tIns="45720" rIns="91440" bIns="45720" anchor="t" anchorCtr="0" upright="1">
                          <a:noAutofit/>
                        </wps:bodyPr>
                      </wps:wsp>
                      <wps:wsp>
                        <wps:cNvPr id="234" name="Text Box 1927"/>
                        <wps:cNvSpPr txBox="1">
                          <a:spLocks noChangeArrowheads="1"/>
                        </wps:cNvSpPr>
                        <wps:spPr bwMode="auto">
                          <a:xfrm>
                            <a:off x="2647950" y="1978025"/>
                            <a:ext cx="1052195" cy="297180"/>
                          </a:xfrm>
                          <a:prstGeom prst="rect">
                            <a:avLst/>
                          </a:prstGeom>
                          <a:solidFill>
                            <a:srgbClr val="FFFFFF"/>
                          </a:solidFill>
                          <a:ln w="9525">
                            <a:solidFill>
                              <a:srgbClr val="000000"/>
                            </a:solidFill>
                            <a:miter lim="800000"/>
                          </a:ln>
                        </wps:spPr>
                        <wps:txbx>
                          <w:txbxContent>
                            <w:p w14:paraId="6EDF3731" w14:textId="77777777" w:rsidR="00B14D53" w:rsidRDefault="00000000">
                              <w:pPr>
                                <w:spacing w:line="240" w:lineRule="atLeast"/>
                                <w:contextualSpacing/>
                                <w:jc w:val="center"/>
                              </w:pPr>
                              <w:r>
                                <w:rPr>
                                  <w:rFonts w:hint="eastAsia"/>
                                </w:rPr>
                                <w:t>电蒸汽发生器</w:t>
                              </w:r>
                            </w:p>
                          </w:txbxContent>
                        </wps:txbx>
                        <wps:bodyPr rot="0" vert="horz" wrap="square" lIns="91440" tIns="45720" rIns="91440" bIns="45720" anchor="t" anchorCtr="0" upright="1">
                          <a:noAutofit/>
                        </wps:bodyPr>
                      </wps:wsp>
                      <wps:wsp>
                        <wps:cNvPr id="235" name="Line 1924"/>
                        <wps:cNvCnPr>
                          <a:cxnSpLocks noChangeShapeType="1"/>
                        </wps:cNvCnPr>
                        <wps:spPr bwMode="auto">
                          <a:xfrm>
                            <a:off x="2218690" y="2124075"/>
                            <a:ext cx="417830" cy="2540"/>
                          </a:xfrm>
                          <a:prstGeom prst="line">
                            <a:avLst/>
                          </a:prstGeom>
                          <a:noFill/>
                          <a:ln w="9525">
                            <a:solidFill>
                              <a:srgbClr val="000000"/>
                            </a:solidFill>
                            <a:round/>
                            <a:tailEnd type="triangle" w="med" len="med"/>
                          </a:ln>
                        </wps:spPr>
                        <wps:bodyPr/>
                      </wps:wsp>
                      <wps:wsp>
                        <wps:cNvPr id="236" name="肘形连接符 172"/>
                        <wps:cNvCnPr/>
                        <wps:spPr>
                          <a:xfrm rot="5400000" flipV="1">
                            <a:off x="2836545" y="1193800"/>
                            <a:ext cx="321310" cy="2495550"/>
                          </a:xfrm>
                          <a:prstGeom prst="bentConnector2">
                            <a:avLst/>
                          </a:prstGeom>
                          <a:ln w="635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40" name="Line 1924"/>
                        <wps:cNvCnPr>
                          <a:cxnSpLocks noChangeShapeType="1"/>
                        </wps:cNvCnPr>
                        <wps:spPr bwMode="auto">
                          <a:xfrm>
                            <a:off x="3701415" y="2137410"/>
                            <a:ext cx="523875" cy="635"/>
                          </a:xfrm>
                          <a:prstGeom prst="line">
                            <a:avLst/>
                          </a:prstGeom>
                          <a:noFill/>
                          <a:ln w="9525">
                            <a:solidFill>
                              <a:srgbClr val="000000"/>
                            </a:solidFill>
                            <a:round/>
                            <a:tailEnd type="triangle" w="med" len="med"/>
                          </a:ln>
                        </wps:spPr>
                        <wps:bodyPr/>
                      </wps:wsp>
                      <wps:wsp>
                        <wps:cNvPr id="241" name="AutoShape 1959"/>
                        <wps:cNvCnPr>
                          <a:cxnSpLocks noChangeShapeType="1"/>
                        </wps:cNvCnPr>
                        <wps:spPr bwMode="auto">
                          <a:xfrm flipV="1">
                            <a:off x="782955" y="3288665"/>
                            <a:ext cx="499745" cy="635"/>
                          </a:xfrm>
                          <a:prstGeom prst="straightConnector1">
                            <a:avLst/>
                          </a:prstGeom>
                          <a:noFill/>
                          <a:ln w="9525">
                            <a:solidFill>
                              <a:srgbClr val="000000"/>
                            </a:solidFill>
                            <a:round/>
                            <a:tailEnd type="triangle" w="med" len="med"/>
                          </a:ln>
                        </wps:spPr>
                        <wps:bodyPr/>
                      </wps:wsp>
                      <wps:wsp>
                        <wps:cNvPr id="242" name="Line 1939"/>
                        <wps:cNvCnPr>
                          <a:cxnSpLocks noChangeShapeType="1"/>
                        </wps:cNvCnPr>
                        <wps:spPr bwMode="auto">
                          <a:xfrm flipH="1" flipV="1">
                            <a:off x="1751330" y="2882265"/>
                            <a:ext cx="1905" cy="245745"/>
                          </a:xfrm>
                          <a:prstGeom prst="line">
                            <a:avLst/>
                          </a:prstGeom>
                          <a:noFill/>
                          <a:ln w="9525">
                            <a:solidFill>
                              <a:srgbClr val="000000"/>
                            </a:solidFill>
                            <a:prstDash val="dash"/>
                            <a:round/>
                            <a:tailEnd type="triangle" w="med" len="med"/>
                          </a:ln>
                        </wps:spPr>
                        <wps:bodyPr/>
                      </wps:wsp>
                      <wps:wsp>
                        <wps:cNvPr id="243" name="Text Box 1958"/>
                        <wps:cNvSpPr txBox="1">
                          <a:spLocks noChangeArrowheads="1"/>
                        </wps:cNvSpPr>
                        <wps:spPr bwMode="auto">
                          <a:xfrm>
                            <a:off x="1485900" y="2672080"/>
                            <a:ext cx="589915" cy="297815"/>
                          </a:xfrm>
                          <a:prstGeom prst="rect">
                            <a:avLst/>
                          </a:prstGeom>
                          <a:noFill/>
                          <a:ln>
                            <a:noFill/>
                          </a:ln>
                        </wps:spPr>
                        <wps:txbx>
                          <w:txbxContent>
                            <w:p w14:paraId="55560207" w14:textId="77777777" w:rsidR="00B14D53" w:rsidRDefault="00000000">
                              <w:pPr>
                                <w:spacing w:line="240" w:lineRule="atLeast"/>
                                <w:contextualSpacing/>
                                <w:jc w:val="center"/>
                              </w:pPr>
                              <w:r>
                                <w:rPr>
                                  <w:rFonts w:hint="eastAsia"/>
                                </w:rPr>
                                <w:t>损耗</w:t>
                              </w:r>
                            </w:p>
                          </w:txbxContent>
                        </wps:txbx>
                        <wps:bodyPr rot="0" vert="horz" wrap="square" lIns="91440" tIns="45720" rIns="91440" bIns="45720" anchor="t" anchorCtr="0" upright="1">
                          <a:noAutofit/>
                        </wps:bodyPr>
                      </wps:wsp>
                      <wps:wsp>
                        <wps:cNvPr id="244" name="Text Box 1943"/>
                        <wps:cNvSpPr txBox="1">
                          <a:spLocks noChangeArrowheads="1"/>
                        </wps:cNvSpPr>
                        <wps:spPr bwMode="auto">
                          <a:xfrm>
                            <a:off x="2605405" y="1266825"/>
                            <a:ext cx="619125" cy="297815"/>
                          </a:xfrm>
                          <a:prstGeom prst="rect">
                            <a:avLst/>
                          </a:prstGeom>
                          <a:noFill/>
                          <a:ln>
                            <a:noFill/>
                          </a:ln>
                        </wps:spPr>
                        <wps:txbx>
                          <w:txbxContent>
                            <w:p w14:paraId="7E4D75C3" w14:textId="77777777" w:rsidR="00B14D53" w:rsidRDefault="00000000">
                              <w:pPr>
                                <w:spacing w:line="240" w:lineRule="atLeast"/>
                                <w:contextualSpacing/>
                                <w:jc w:val="center"/>
                              </w:pPr>
                              <w:r>
                                <w:rPr>
                                  <w:rFonts w:hint="eastAsia"/>
                                </w:rPr>
                                <w:t>225.88</w:t>
                              </w:r>
                            </w:p>
                          </w:txbxContent>
                        </wps:txbx>
                        <wps:bodyPr rot="0" vert="horz" wrap="square" lIns="91440" tIns="45720" rIns="91440" bIns="45720" anchor="t" anchorCtr="0" upright="1">
                          <a:noAutofit/>
                        </wps:bodyPr>
                      </wps:wsp>
                      <wps:wsp>
                        <wps:cNvPr id="245" name="Text Box 1943"/>
                        <wps:cNvSpPr txBox="1">
                          <a:spLocks noChangeArrowheads="1"/>
                        </wps:cNvSpPr>
                        <wps:spPr bwMode="auto">
                          <a:xfrm>
                            <a:off x="1926590" y="1091565"/>
                            <a:ext cx="619125" cy="297815"/>
                          </a:xfrm>
                          <a:prstGeom prst="rect">
                            <a:avLst/>
                          </a:prstGeom>
                          <a:noFill/>
                          <a:ln>
                            <a:noFill/>
                          </a:ln>
                        </wps:spPr>
                        <wps:txbx>
                          <w:txbxContent>
                            <w:p w14:paraId="5FC2CFB5" w14:textId="77777777" w:rsidR="00B14D53" w:rsidRDefault="00000000">
                              <w:pPr>
                                <w:spacing w:line="240" w:lineRule="atLeast"/>
                                <w:contextualSpacing/>
                                <w:jc w:val="center"/>
                              </w:pPr>
                              <w:r>
                                <w:rPr>
                                  <w:rFonts w:hint="eastAsia"/>
                                </w:rPr>
                                <w:t>56.47</w:t>
                              </w:r>
                            </w:p>
                          </w:txbxContent>
                        </wps:txbx>
                        <wps:bodyPr rot="0" vert="horz" wrap="square" lIns="91440" tIns="45720" rIns="91440" bIns="45720" anchor="t" anchorCtr="0" upright="1">
                          <a:noAutofit/>
                        </wps:bodyPr>
                      </wps:wsp>
                      <wps:wsp>
                        <wps:cNvPr id="246" name="Text Box 1914"/>
                        <wps:cNvSpPr txBox="1">
                          <a:spLocks noChangeArrowheads="1"/>
                        </wps:cNvSpPr>
                        <wps:spPr bwMode="auto">
                          <a:xfrm>
                            <a:off x="2110105" y="2342515"/>
                            <a:ext cx="500380" cy="297180"/>
                          </a:xfrm>
                          <a:prstGeom prst="rect">
                            <a:avLst/>
                          </a:prstGeom>
                          <a:noFill/>
                          <a:ln>
                            <a:noFill/>
                          </a:ln>
                        </wps:spPr>
                        <wps:txbx>
                          <w:txbxContent>
                            <w:p w14:paraId="60295E0E" w14:textId="77777777" w:rsidR="00B14D53" w:rsidRDefault="00000000">
                              <w:pPr>
                                <w:spacing w:line="240" w:lineRule="atLeast"/>
                                <w:contextualSpacing/>
                              </w:pPr>
                              <w:r>
                                <w:rPr>
                                  <w:rFonts w:hint="eastAsia"/>
                                </w:rPr>
                                <w:t>0.46</w:t>
                              </w:r>
                            </w:p>
                          </w:txbxContent>
                        </wps:txbx>
                        <wps:bodyPr rot="0" vert="horz" wrap="square" lIns="91440" tIns="45720" rIns="91440" bIns="45720" anchor="t" anchorCtr="0" upright="1">
                          <a:noAutofit/>
                        </wps:bodyPr>
                      </wps:wsp>
                      <wps:wsp>
                        <wps:cNvPr id="247" name="Text Box 1914"/>
                        <wps:cNvSpPr txBox="1">
                          <a:spLocks noChangeArrowheads="1"/>
                        </wps:cNvSpPr>
                        <wps:spPr bwMode="auto">
                          <a:xfrm>
                            <a:off x="3714750" y="1892935"/>
                            <a:ext cx="500380" cy="297180"/>
                          </a:xfrm>
                          <a:prstGeom prst="rect">
                            <a:avLst/>
                          </a:prstGeom>
                          <a:noFill/>
                          <a:ln>
                            <a:noFill/>
                          </a:ln>
                        </wps:spPr>
                        <wps:txbx>
                          <w:txbxContent>
                            <w:p w14:paraId="56F4B08A" w14:textId="77777777" w:rsidR="00B14D53" w:rsidRDefault="00000000">
                              <w:pPr>
                                <w:spacing w:line="240" w:lineRule="atLeast"/>
                                <w:contextualSpacing/>
                              </w:pPr>
                              <w:r>
                                <w:rPr>
                                  <w:rFonts w:hint="eastAsia"/>
                                </w:rPr>
                                <w:t>0.04</w:t>
                              </w:r>
                            </w:p>
                          </w:txbxContent>
                        </wps:txbx>
                        <wps:bodyPr rot="0" vert="horz" wrap="square" lIns="91440" tIns="45720" rIns="91440" bIns="45720" anchor="t" anchorCtr="0" upright="1">
                          <a:noAutofit/>
                        </wps:bodyPr>
                      </wps:wsp>
                      <wps:wsp>
                        <wps:cNvPr id="248" name="肘形连接符 188"/>
                        <wps:cNvCnPr/>
                        <wps:spPr>
                          <a:xfrm>
                            <a:off x="1267460" y="273685"/>
                            <a:ext cx="379095" cy="382270"/>
                          </a:xfrm>
                          <a:prstGeom prst="bentConnector2">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49" name="肘形连接符 189"/>
                        <wps:cNvCnPr/>
                        <wps:spPr>
                          <a:xfrm flipV="1">
                            <a:off x="3093720" y="1778635"/>
                            <a:ext cx="442595" cy="191770"/>
                          </a:xfrm>
                          <a:prstGeom prst="bentConnector3">
                            <a:avLst>
                              <a:gd name="adj1" fmla="val -129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50" name="Text Box 1918"/>
                        <wps:cNvSpPr txBox="1">
                          <a:spLocks noChangeArrowheads="1"/>
                        </wps:cNvSpPr>
                        <wps:spPr bwMode="auto">
                          <a:xfrm>
                            <a:off x="3491865" y="1628140"/>
                            <a:ext cx="727075" cy="281305"/>
                          </a:xfrm>
                          <a:prstGeom prst="rect">
                            <a:avLst/>
                          </a:prstGeom>
                          <a:noFill/>
                          <a:ln w="9525">
                            <a:noFill/>
                            <a:miter lim="800000"/>
                          </a:ln>
                        </wps:spPr>
                        <wps:txbx>
                          <w:txbxContent>
                            <w:p w14:paraId="308EAE0E" w14:textId="77777777" w:rsidR="00B14D53" w:rsidRDefault="00000000">
                              <w:pPr>
                                <w:spacing w:line="240" w:lineRule="atLeast"/>
                                <w:contextualSpacing/>
                              </w:pPr>
                              <w:r>
                                <w:rPr>
                                  <w:rFonts w:hint="eastAsia"/>
                                </w:rPr>
                                <w:t>生产设备</w:t>
                              </w:r>
                            </w:p>
                          </w:txbxContent>
                        </wps:txbx>
                        <wps:bodyPr rot="0" vert="horz" wrap="square" lIns="91440" tIns="45720" rIns="91440" bIns="45720" anchor="t" anchorCtr="0" upright="1">
                          <a:noAutofit/>
                        </wps:bodyPr>
                      </wps:wsp>
                      <wps:wsp>
                        <wps:cNvPr id="251" name="Text Box 1943"/>
                        <wps:cNvSpPr txBox="1">
                          <a:spLocks noChangeArrowheads="1"/>
                        </wps:cNvSpPr>
                        <wps:spPr bwMode="auto">
                          <a:xfrm>
                            <a:off x="3034030" y="1576705"/>
                            <a:ext cx="532130" cy="297815"/>
                          </a:xfrm>
                          <a:prstGeom prst="rect">
                            <a:avLst/>
                          </a:prstGeom>
                          <a:noFill/>
                          <a:ln>
                            <a:noFill/>
                          </a:ln>
                        </wps:spPr>
                        <wps:txbx>
                          <w:txbxContent>
                            <w:p w14:paraId="6F602545" w14:textId="77777777" w:rsidR="00B14D53" w:rsidRDefault="00000000">
                              <w:pPr>
                                <w:spacing w:line="240" w:lineRule="atLeast"/>
                                <w:contextualSpacing/>
                                <w:jc w:val="center"/>
                              </w:pPr>
                              <w:r>
                                <w:rPr>
                                  <w:rFonts w:hint="eastAsia"/>
                                </w:rPr>
                                <w:t>4.09</w:t>
                              </w:r>
                            </w:p>
                          </w:txbxContent>
                        </wps:txbx>
                        <wps:bodyPr rot="0" vert="horz" wrap="square" lIns="91440" tIns="45720" rIns="91440" bIns="45720" anchor="t" anchorCtr="0" upright="1">
                          <a:noAutofit/>
                        </wps:bodyPr>
                      </wps:wsp>
                      <wps:wsp>
                        <wps:cNvPr id="252" name="Text Box 1914"/>
                        <wps:cNvSpPr txBox="1">
                          <a:spLocks noChangeArrowheads="1"/>
                        </wps:cNvSpPr>
                        <wps:spPr bwMode="auto">
                          <a:xfrm>
                            <a:off x="2197735" y="1854835"/>
                            <a:ext cx="500380" cy="297180"/>
                          </a:xfrm>
                          <a:prstGeom prst="rect">
                            <a:avLst/>
                          </a:prstGeom>
                          <a:noFill/>
                          <a:ln>
                            <a:noFill/>
                          </a:ln>
                        </wps:spPr>
                        <wps:txbx>
                          <w:txbxContent>
                            <w:p w14:paraId="6DCC048B" w14:textId="77777777" w:rsidR="00B14D53" w:rsidRDefault="00000000">
                              <w:pPr>
                                <w:spacing w:line="240" w:lineRule="atLeast"/>
                                <w:contextualSpacing/>
                              </w:pPr>
                              <w:r>
                                <w:rPr>
                                  <w:rFonts w:hint="eastAsia"/>
                                </w:rPr>
                                <w:t>4.13</w:t>
                              </w:r>
                            </w:p>
                          </w:txbxContent>
                        </wps:txbx>
                        <wps:bodyPr rot="0" vert="horz" wrap="square" lIns="91440" tIns="45720" rIns="91440" bIns="45720" anchor="t" anchorCtr="0" upright="1">
                          <a:noAutofit/>
                        </wps:bodyPr>
                      </wps:wsp>
                      <wps:wsp>
                        <wps:cNvPr id="260" name="Text Box 1914"/>
                        <wps:cNvSpPr txBox="1">
                          <a:spLocks noChangeArrowheads="1"/>
                        </wps:cNvSpPr>
                        <wps:spPr bwMode="auto">
                          <a:xfrm>
                            <a:off x="816610" y="3030220"/>
                            <a:ext cx="500380" cy="297180"/>
                          </a:xfrm>
                          <a:prstGeom prst="rect">
                            <a:avLst/>
                          </a:prstGeom>
                          <a:noFill/>
                          <a:ln>
                            <a:noFill/>
                          </a:ln>
                        </wps:spPr>
                        <wps:txbx>
                          <w:txbxContent>
                            <w:p w14:paraId="471925E2" w14:textId="77777777" w:rsidR="00B14D53" w:rsidRDefault="00000000">
                              <w:pPr>
                                <w:spacing w:line="240" w:lineRule="atLeast"/>
                                <w:contextualSpacing/>
                              </w:pPr>
                              <w:r>
                                <w:rPr>
                                  <w:rFonts w:hint="eastAsia"/>
                                </w:rPr>
                                <w:t>1.2</w:t>
                              </w:r>
                            </w:p>
                          </w:txbxContent>
                        </wps:txbx>
                        <wps:bodyPr rot="0" vert="horz" wrap="square" lIns="91440" tIns="45720" rIns="91440" bIns="45720" anchor="t" anchorCtr="0" upright="1">
                          <a:noAutofit/>
                        </wps:bodyPr>
                      </wps:wsp>
                      <wps:wsp>
                        <wps:cNvPr id="265" name="Line 1926"/>
                        <wps:cNvCnPr>
                          <a:cxnSpLocks noChangeShapeType="1"/>
                        </wps:cNvCnPr>
                        <wps:spPr bwMode="auto">
                          <a:xfrm flipV="1">
                            <a:off x="2329180" y="3296285"/>
                            <a:ext cx="2225040" cy="5080"/>
                          </a:xfrm>
                          <a:prstGeom prst="line">
                            <a:avLst/>
                          </a:prstGeom>
                          <a:noFill/>
                          <a:ln w="9525">
                            <a:solidFill>
                              <a:srgbClr val="000000"/>
                            </a:solidFill>
                            <a:round/>
                            <a:tailEnd type="triangle" w="med" len="med"/>
                          </a:ln>
                        </wps:spPr>
                        <wps:bodyPr/>
                      </wps:wsp>
                      <wps:wsp>
                        <wps:cNvPr id="266" name="Text Box 1914"/>
                        <wps:cNvSpPr txBox="1">
                          <a:spLocks noChangeArrowheads="1"/>
                        </wps:cNvSpPr>
                        <wps:spPr bwMode="auto">
                          <a:xfrm>
                            <a:off x="2530475" y="3044825"/>
                            <a:ext cx="500380" cy="297180"/>
                          </a:xfrm>
                          <a:prstGeom prst="rect">
                            <a:avLst/>
                          </a:prstGeom>
                          <a:noFill/>
                          <a:ln>
                            <a:noFill/>
                          </a:ln>
                        </wps:spPr>
                        <wps:txbx>
                          <w:txbxContent>
                            <w:p w14:paraId="66CD2975" w14:textId="77777777" w:rsidR="00B14D53" w:rsidRDefault="00000000">
                              <w:pPr>
                                <w:spacing w:line="240" w:lineRule="atLeast"/>
                                <w:contextualSpacing/>
                              </w:pPr>
                              <w:r>
                                <w:rPr>
                                  <w:rFonts w:hint="eastAsia"/>
                                </w:rPr>
                                <w:t>0.96</w:t>
                              </w:r>
                            </w:p>
                          </w:txbxContent>
                        </wps:txbx>
                        <wps:bodyPr rot="0" vert="horz" wrap="square" lIns="91440" tIns="45720" rIns="91440" bIns="45720" anchor="t" anchorCtr="0" upright="1">
                          <a:noAutofit/>
                        </wps:bodyPr>
                      </wps:wsp>
                      <wps:wsp>
                        <wps:cNvPr id="267" name="Text Box 1914"/>
                        <wps:cNvSpPr txBox="1">
                          <a:spLocks noChangeArrowheads="1"/>
                        </wps:cNvSpPr>
                        <wps:spPr bwMode="auto">
                          <a:xfrm>
                            <a:off x="1732915" y="2886710"/>
                            <a:ext cx="500380" cy="297180"/>
                          </a:xfrm>
                          <a:prstGeom prst="rect">
                            <a:avLst/>
                          </a:prstGeom>
                          <a:noFill/>
                          <a:ln>
                            <a:noFill/>
                          </a:ln>
                        </wps:spPr>
                        <wps:txbx>
                          <w:txbxContent>
                            <w:p w14:paraId="3DD023B8" w14:textId="77777777" w:rsidR="00B14D53" w:rsidRDefault="00000000">
                              <w:pPr>
                                <w:spacing w:line="240" w:lineRule="atLeast"/>
                                <w:contextualSpacing/>
                              </w:pPr>
                              <w:r>
                                <w:rPr>
                                  <w:rFonts w:hint="eastAsia"/>
                                </w:rPr>
                                <w:t>0.24</w:t>
                              </w:r>
                            </w:p>
                          </w:txbxContent>
                        </wps:txbx>
                        <wps:bodyPr rot="0" vert="horz" wrap="square" lIns="91440" tIns="45720" rIns="91440" bIns="45720" anchor="t" anchorCtr="0" upright="1">
                          <a:noAutofit/>
                        </wps:bodyPr>
                      </wps:wsp>
                      <wps:wsp>
                        <wps:cNvPr id="268" name="Line 1920"/>
                        <wps:cNvCnPr>
                          <a:cxnSpLocks noChangeShapeType="1"/>
                        </wps:cNvCnPr>
                        <wps:spPr bwMode="auto">
                          <a:xfrm>
                            <a:off x="4234815" y="782320"/>
                            <a:ext cx="6350" cy="1825625"/>
                          </a:xfrm>
                          <a:prstGeom prst="line">
                            <a:avLst/>
                          </a:prstGeom>
                          <a:noFill/>
                          <a:ln w="9525">
                            <a:solidFill>
                              <a:srgbClr val="000000"/>
                            </a:solidFill>
                            <a:round/>
                          </a:ln>
                        </wps:spPr>
                        <wps:bodyPr/>
                      </wps:wsp>
                      <wps:wsp>
                        <wps:cNvPr id="269" name="Line 1924"/>
                        <wps:cNvCnPr>
                          <a:cxnSpLocks noChangeShapeType="1"/>
                        </wps:cNvCnPr>
                        <wps:spPr bwMode="auto">
                          <a:xfrm flipV="1">
                            <a:off x="4248785" y="1716405"/>
                            <a:ext cx="502920" cy="5080"/>
                          </a:xfrm>
                          <a:prstGeom prst="line">
                            <a:avLst/>
                          </a:prstGeom>
                          <a:noFill/>
                          <a:ln w="9525">
                            <a:solidFill>
                              <a:srgbClr val="000000"/>
                            </a:solidFill>
                            <a:round/>
                            <a:tailEnd type="triangle" w="med" len="med"/>
                          </a:ln>
                        </wps:spPr>
                        <wps:bodyPr/>
                      </wps:wsp>
                      <wps:wsp>
                        <wps:cNvPr id="270" name="Text Box 1927"/>
                        <wps:cNvSpPr txBox="1">
                          <a:spLocks noChangeArrowheads="1"/>
                        </wps:cNvSpPr>
                        <wps:spPr bwMode="auto">
                          <a:xfrm>
                            <a:off x="4755515" y="525780"/>
                            <a:ext cx="307975" cy="1732280"/>
                          </a:xfrm>
                          <a:prstGeom prst="rect">
                            <a:avLst/>
                          </a:prstGeom>
                          <a:solidFill>
                            <a:srgbClr val="FFFFFF"/>
                          </a:solidFill>
                          <a:ln w="9525">
                            <a:solidFill>
                              <a:srgbClr val="000000"/>
                            </a:solidFill>
                            <a:miter lim="800000"/>
                          </a:ln>
                        </wps:spPr>
                        <wps:txbx>
                          <w:txbxContent>
                            <w:p w14:paraId="45B0FE4F" w14:textId="77777777" w:rsidR="00B14D53" w:rsidRDefault="00000000">
                              <w:pPr>
                                <w:spacing w:line="240" w:lineRule="atLeast"/>
                                <w:contextualSpacing/>
                              </w:pPr>
                              <w:r>
                                <w:rPr>
                                  <w:rFonts w:hint="eastAsia"/>
                                </w:rPr>
                                <w:t>厂内污水处理站</w:t>
                              </w:r>
                            </w:p>
                          </w:txbxContent>
                        </wps:txbx>
                        <wps:bodyPr rot="0" vert="horz" wrap="square" lIns="91440" tIns="45720" rIns="91440" bIns="45720" anchor="t" anchorCtr="0" upright="1">
                          <a:noAutofit/>
                        </wps:bodyPr>
                      </wps:wsp>
                      <wps:wsp>
                        <wps:cNvPr id="271" name="Line 1924"/>
                        <wps:cNvCnPr>
                          <a:cxnSpLocks noChangeShapeType="1"/>
                          <a:stCxn id="270" idx="2"/>
                          <a:endCxn id="272" idx="0"/>
                        </wps:cNvCnPr>
                        <wps:spPr bwMode="auto">
                          <a:xfrm>
                            <a:off x="4909820" y="2258060"/>
                            <a:ext cx="6985" cy="900430"/>
                          </a:xfrm>
                          <a:prstGeom prst="line">
                            <a:avLst/>
                          </a:prstGeom>
                          <a:noFill/>
                          <a:ln w="9525">
                            <a:solidFill>
                              <a:srgbClr val="000000"/>
                            </a:solidFill>
                            <a:round/>
                            <a:tailEnd type="triangle" w="med" len="med"/>
                          </a:ln>
                        </wps:spPr>
                        <wps:bodyPr/>
                      </wps:wsp>
                      <wps:wsp>
                        <wps:cNvPr id="272" name="Text Box 1918"/>
                        <wps:cNvSpPr txBox="1">
                          <a:spLocks noChangeArrowheads="1"/>
                        </wps:cNvSpPr>
                        <wps:spPr bwMode="auto">
                          <a:xfrm>
                            <a:off x="4538345" y="3158490"/>
                            <a:ext cx="756285" cy="273685"/>
                          </a:xfrm>
                          <a:prstGeom prst="rect">
                            <a:avLst/>
                          </a:prstGeom>
                          <a:noFill/>
                          <a:ln w="9525">
                            <a:noFill/>
                            <a:miter lim="800000"/>
                          </a:ln>
                        </wps:spPr>
                        <wps:txbx>
                          <w:txbxContent>
                            <w:p w14:paraId="047189E4" w14:textId="77777777" w:rsidR="00B14D53" w:rsidRDefault="00000000">
                              <w:pPr>
                                <w:spacing w:line="240" w:lineRule="atLeast"/>
                                <w:contextualSpacing/>
                              </w:pPr>
                              <w:r>
                                <w:rPr>
                                  <w:rFonts w:hint="eastAsia"/>
                                </w:rPr>
                                <w:t>市政管网</w:t>
                              </w:r>
                            </w:p>
                          </w:txbxContent>
                        </wps:txbx>
                        <wps:bodyPr rot="0" vert="horz" wrap="square" lIns="91440" tIns="45720" rIns="91440" bIns="45720" anchor="t" anchorCtr="0" upright="1">
                          <a:noAutofit/>
                        </wps:bodyPr>
                      </wps:wsp>
                      <wps:wsp>
                        <wps:cNvPr id="273" name="Text Box 1943"/>
                        <wps:cNvSpPr txBox="1">
                          <a:spLocks noChangeArrowheads="1"/>
                        </wps:cNvSpPr>
                        <wps:spPr bwMode="auto">
                          <a:xfrm>
                            <a:off x="4173855" y="1371600"/>
                            <a:ext cx="619125" cy="297815"/>
                          </a:xfrm>
                          <a:prstGeom prst="rect">
                            <a:avLst/>
                          </a:prstGeom>
                          <a:noFill/>
                          <a:ln>
                            <a:noFill/>
                          </a:ln>
                        </wps:spPr>
                        <wps:txbx>
                          <w:txbxContent>
                            <w:p w14:paraId="78EC1B85" w14:textId="77777777" w:rsidR="00B14D53" w:rsidRDefault="00000000">
                              <w:pPr>
                                <w:spacing w:line="240" w:lineRule="atLeast"/>
                                <w:contextualSpacing/>
                                <w:jc w:val="center"/>
                              </w:pPr>
                              <w:r>
                                <w:rPr>
                                  <w:rFonts w:hint="eastAsia"/>
                                </w:rPr>
                                <w:t>231.34</w:t>
                              </w:r>
                            </w:p>
                          </w:txbxContent>
                        </wps:txbx>
                        <wps:bodyPr rot="0" vert="horz" wrap="square" lIns="91440" tIns="45720" rIns="91440" bIns="45720" anchor="t" anchorCtr="0" upright="1">
                          <a:noAutofit/>
                        </wps:bodyPr>
                      </wps:wsp>
                      <wps:wsp>
                        <wps:cNvPr id="275" name="Text Box 1943"/>
                        <wps:cNvSpPr txBox="1">
                          <a:spLocks noChangeArrowheads="1"/>
                        </wps:cNvSpPr>
                        <wps:spPr bwMode="auto">
                          <a:xfrm>
                            <a:off x="4364355" y="2353310"/>
                            <a:ext cx="619125" cy="297815"/>
                          </a:xfrm>
                          <a:prstGeom prst="rect">
                            <a:avLst/>
                          </a:prstGeom>
                          <a:noFill/>
                          <a:ln>
                            <a:noFill/>
                          </a:ln>
                        </wps:spPr>
                        <wps:txbx>
                          <w:txbxContent>
                            <w:p w14:paraId="3CD5CA6E" w14:textId="77777777" w:rsidR="00B14D53" w:rsidRDefault="00000000">
                              <w:pPr>
                                <w:spacing w:line="240" w:lineRule="atLeast"/>
                                <w:contextualSpacing/>
                                <w:jc w:val="center"/>
                              </w:pPr>
                              <w:r>
                                <w:rPr>
                                  <w:rFonts w:hint="eastAsia"/>
                                </w:rPr>
                                <w:t>231.34</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290.45pt;width:426.2pt;" coordsize="5412740,3688715" editas="canvas" o:gfxdata="UEsDBAoAAAAAAIdO4kAAAAAAAAAAAAAAAAAEAAAAZHJzL1BLAwQUAAAACACHTuJAkN2AudQAAAAF&#10;AQAADwAAAGRycy9kb3ducmV2LnhtbE2PwU7DMBBE70j9B2sr9YKo3YRCCHGqCokrUko/wI2XOMJe&#10;R7HThL/HcIHLSqMZzbytDouz7Ipj6D1J2G0FMKTW6546Cef317sCWIiKtLKeUMIXBjjUq5tKldrP&#10;1OD1FDuWSiiUSoKJcSg5D61Bp8LWD0jJ+/CjUzHJseN6VHMqd5ZnQjxwp3pKC0YN+GKw/TxNTsJt&#10;sIszTZdnzeNyPk6zzfM3K+VmvRPPwCIu8S8MP/gJHerEdPET6cCshPRI/L3JK/bZPbCLhH0hnoDX&#10;Ff9PX38DUEsDBBQAAAAIAIdO4kCo1+g8vwsAAD92AAAOAAAAZHJzL2Uyb0RvYy54bWztXcuS21oV&#10;nVPFP6g0v2mdh16udG5dOjeBqgC3KoG52pYfYEtGUscdhjBnxIARA6pgxAdQRVF8zeXez2DtcyRZ&#10;Dzvd6XZbIpweJLYly9I5S3uvvfbeR8+/vN2srfdxlq/S5NJmzxzbipNpOlsli0v7F+9efRHYVl5E&#10;ySxap0l8aX+Ic/vLFz/8wfPddhLzdJmuZ3Fm4SBJPtltL+1lUWwnFxf5dBlvovxZuo0TbJyn2SYq&#10;8DZbXMyyaIejb9YX3HG8i12azbZZOo3zHJ++1Bvt8ojZfQ6Yzuerafwynd5s4qTQR83idVTgkvLl&#10;apvbL9TZzufxtPj5fJ7HhbW+tHGlhfoXP4LX1/TvxYvn0WSRRdvlalqeQnSfU+hc0yZaJfjR+lAv&#10;oyKybrJV71Cb1TRL83RePJummwt9IWpEcBXM6YzN6yy92aprWUx2i2096Jiozqg/+LDTn73/JrNW&#10;s0ubO75tJdEGU/7dH//57T9+b9EnGJ/ddjHBbq+z7dvtN1n5wUK/o0u+nWcb+h8XY92qkf1Qj2x8&#10;W1hTfOhKxn2JQZ9im/CCwGeuHvvpEhPU+950+fUd37yofviCzq8+nd0WqMz3Q5U/bqjeLqNtrGYg&#10;pzGohwr3iB6qd3SFP0pvLRYyhSY6AexJQ2UVt9iCe0whI9++Sae/zq0kvVpGySL+KsvS3TKOZjhF&#10;RmOBC6m/SqOeT3I6yPXup+kMkxLdFKk6UGe8OQ+5cG0LA8s8iVEuB7Yaeo85arsaeceV2Jd+rBq+&#10;aLLN8uJ1nG4senFpZ7hn1O9E79/khd612oWmOU/Xq9mr1Xqt3mSL66t1Zr2PcH+9Un/l0Vu7rRPa&#10;OUnpa/qI9Im6YLpGfbXF7fUtNtKFX6ezD7j0LNX3K6wVXizT7Le2tcO9emnnv7mJsti21j9JMHwh&#10;k4StQr2Rrs/xJmtuuW5uiZIpDnVpF7alX14V2iDcbLPVYolf0hOWpF9hyOcrNQb7syrPGyDT53oG&#10;tIWH0CZpoBuQOQ/afC8IgxJtAYDnlCa0QpvrOCIo73Me+gyv9YRXqK2gZNA2UrTBjB2wbaUnqA3U&#10;edDGhAdHUcJNuI7XNW6MhYDb4HizdjBCLne1oT9qIB31d8hAblYFSNV6tbm0cTn4K3cyZvIALTri&#10;lBk7BNxgEDPJhBQO8EBe2ROh7OGWi4C7BreKLv6fu3fGK9y+WSUxEcmwgdmrhPhRNJneJm87DFLd&#10;B+8+bEEOWwRSf+XjBNKar1fbX1ZUp6TuPPC9ytoGvu94PefOvBq0LijXR137GlfzMSJZ08Fosk4e&#10;bUERKiUznE80KaLV+utkZhVqZIpsBba9BleEjd7EM3DGGHEvvdJnf8DEavpJm2kQz8j0mOhAAUwW&#10;p1GyvKeEwo87UPB9N/Rhn2C/Ake6XfvlUcRBEQWXgfSBGT2WR0jeMEhAiDOquZXduVU37dPOLd0P&#10;5c3t+wiTtEfiTPhSh6vRZM/cJQtLj0TTO8IZ/d++tzH2WjMozTzowXnu7a6Z9wPh0kyTYuA6vsRr&#10;nEgDCQEPRYkEQMJAoalvfpLSdoypehUUGvIRHyrEYpzMO6FBIN7inprvPRqYw3wCgTb3g4X0jyYI&#10;JsT6BOX5GHBribgBXCEadux8umdtwBi4StuACRawiqCA0IZ38ZO7JM8WUyVLWX9wmGMYJfMYfg7p&#10;5nIY/PguC0g1Ji/IPV92gx0PgRhF8Irlhn6gExYP181rzGhaakB0Z/rrCIj4iHSeFohcH6ypzaR4&#10;qJiWwhBs0l1c6i5D1Eqq5PfNvbRcZwOGxiM+3iPyWrxpeETmDeIRmc8cp9JvpKRor41GJ9jH7cai&#10;wYuPJMHHe7JPM7n3lLJPNzTkbgDypL2iH/pu1ylC/ws8Sq+SRUNK30iAp44NeU8mGgoLfsAFTTVm&#10;GjkpX0tC+7gQ2PCrsBC5DKMSnBwJtWDUdC3DkGVGOi9lhgEGVwgt/Tew4Mqw0g5PkfVvkBSScA1X&#10;fjBXPqQ0IcuwFx7PF7AHTqBAQhAKmNd1La7B0DjLjyBMHigIGQZD3GNclNq160Ks7ARc0g8gVtZB&#10;+6PLj4whQknvKSRvfkj5GcgQoWZIuNAMleQNvKCerRUnGRCNtDSNHyyEHCrYRqxNWTKix4EIdaa+&#10;QYlMsD1Od0Zz1s7DDhVgcdeT0AQVhJjL3F7pNkiScJCPU9G2ycm3G01O4ZVELSWXOXlxrtIrVW9z&#10;sAiLhZ4bgteQYWFOKKQWWfaWRaXkdVoCte5a5Dueljhv7Q1Vd7+M8qVuCJjhlXatn0V1lqi13jGh&#10;BaJvmcYSqNnquiEDFuokAb07dykfsuL9qGmoGg8eIL2pCS8LAxR/dcKmkIdgM6cLm06Qpzp+CFUf&#10;XwnPrd1MQuvxCS1R688N1XEg3HJP+iEVHJMrRMKKKupbkRpzXM5CA1xTRm+rHsez8/pGfS3nLPBK&#10;aYpDL3e6VUmSofASYFbFAKZ6/gnYfC12f/+7P337r798/+8//+cPf/3u73+zmM/JcHRqrfPi6jZR&#10;vc/Mg7KwmqFXV+1XdeK2GylorqnAXbelYgJVn9ZBDs8D4VVFlVWLWstwCZRgUzpFYUGiQA1WjkjK&#10;0a7cazS6X6VJgubcNOOf1FaBwJF+idpm5+iRx8vNdoYW2mSBBtj1As0Q0yJ7cOdam/Erd6xt9JE2&#10;DH2VYyrMJ/Y8pOEQvsMkqsvIyx2uzEezGMmVBBajApzebshaBaB6EFV1hi4s91xSQLcGA3l3qlgl&#10;OAgeBF63IBupVor67weHvMgiamqvbYfubT/S299Kd7TKxlo8u1V5dpyOfxZBvxxj0I+yQ1EKh0AI&#10;79fs7wv2jUR0zgY+1DL3o353oB5kGaD4FM6N/IqHRTH0Wgx7IdFFPp78jiIhph5wPPWA8lAMPlCZ&#10;PFLsoLraHaFO3kOpVzsGN3XyI82WEkfQvLah5AyEIhbCR5XBMZIazO2SGoOisaKoDqobKGLNlOn5&#10;Ksg4QzNiaYu4kBw507YtOvXqQy0+bOoQ77Fk3ZGeHXmwhmwYFAmfYckCzYsY1rAKe5XNJ17DyqDo&#10;REVksi4i6wl8QZNjk25Xyn16ebm9rFYuhlB1/Clu7GNBwo4hEagirPIKWKnnzkYHI89hLdCnWWtR&#10;1kVf/UnvSjQHJv2gPitQV6FWCURohPZh1RaF7+5DIwnnUs0/+kCxFg45mnvKs2Ivz9IxF7OShkWz&#10;X0Fpmm/WWGEUCyZaXzAe6oV7ookSZNQvVAvktdxNtUSO0XLLZWOP+Bky6z3Oy5q24XxsRcgQGaEy&#10;cvJ4wLpZdx9mpdJ1sfnR3aEtP9NS7xpbTI788TlytxaMG5x4oMhKOOjGqYsIfY96slqmzKVcE24L&#10;o/KMbFlXt1aWGygaLLIKferwIz7EAldihaAOigwnHmc5M1WK9j3eMJEVdXWVTYIwSw7vFiOa8Hyk&#10;Ig+xlHYKvNlUcdYGdAFOXDag4yVoU8cQcY51UyllT/7MLXMax4n5ecufP4uMpzcmxQ8tNhBrdDLc&#10;kbKXfTAmZawmZUSKH/PJqmgUUUUFSuYNu1FPQRj7ow+8WvErWy40pegU8p14bWRSXkqdUCLNQCt/&#10;ES8u18NoBVelHqNYM9q5dG50bN4I5zOmejuqtWyTjSZbPSfZkFjVwq+eZuHj6Sm92NnBw1UM16AH&#10;PT2NuEtLTPeil4G6DWgda8oo0r2OZzmg3aDtJIRDKyJp4kkehesdjt/tZ1jN7SFleUYBfLwC6NcK&#10;YOWXHmjD8DylugqdskyNKnRkI5JZVaHOUcGut+lMRMsD0htKdN35rCgs9RwGZNAAccRRQW+Ff089&#10;3IdCK1SO4REWdAccB7gJruKjz247kqCgaewZvIESFNIVgaAqIUy3YG7QWwgc679R/K2l4zpLehwP&#10;dxm8Rhqi88SHxhZjnk5gng6VoQ6UoEDbkwiqVSlRe+F1HxlmSr9GGsIT2enZqqFQJDw8uVDbKrT6&#10;CeqeakdiZrnmT01QoM1NPVdUufjyGaj04NLme7xuPvf1x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LA4AAFtDb250ZW50X1R5cGVzXS54bWxQ&#10;SwECFAAKAAAAAACHTuJAAAAAAAAAAAAAAAAABgAAAAAAAAAAABAAAAAODQAAX3JlbHMvUEsBAhQA&#10;FAAAAAgAh07iQIoUZjzRAAAAlAEAAAsAAAAAAAAAAQAgAAAAMg0AAF9yZWxzLy5yZWxzUEsBAhQA&#10;CgAAAAAAh07iQAAAAAAAAAAAAAAAAAQAAAAAAAAAAAAQAAAAAAAAAGRycy9QSwECFAAUAAAACACH&#10;TuJAkN2AudQAAAAFAQAADwAAAAAAAAABACAAAAAiAAAAZHJzL2Rvd25yZXYueG1sUEsBAhQAFAAA&#10;AAgAh07iQKjX6Dy/CwAAP3YAAA4AAAAAAAAAAQAgAAAAIwEAAGRycy9lMm9Eb2MueG1sUEsFBgAA&#10;AAAGAAYAWQEAAFQPAAAAAA==&#10;">
                <o:lock v:ext="edit" aspectratio="f"/>
                <v:shape id="_x0000_s1026" o:spid="_x0000_s1026" style="position:absolute;left:0;top:0;height:3688715;width:5412740;" filled="f" stroked="t" coordsize="21600,21600" o:gfxdata="UEsDBAoAAAAAAIdO4kAAAAAAAAAAAAAAAAAEAAAAZHJzL1BLAwQUAAAACACHTuJAkN2AudQAAAAF&#10;AQAADwAAAGRycy9kb3ducmV2LnhtbE2PwU7DMBBE70j9B2sr9YKo3YRCCHGqCokrUko/wI2XOMJe&#10;R7HThL/HcIHLSqMZzbytDouz7Ipj6D1J2G0FMKTW6546Cef317sCWIiKtLKeUMIXBjjUq5tKldrP&#10;1OD1FDuWSiiUSoKJcSg5D61Bp8LWD0jJ+/CjUzHJseN6VHMqd5ZnQjxwp3pKC0YN+GKw/TxNTsJt&#10;sIszTZdnzeNyPk6zzfM3K+VmvRPPwCIu8S8MP/gJHerEdPET6cCshPRI/L3JK/bZPbCLhH0hnoDX&#10;Ff9PX38DUEsDBBQAAAAIAIdO4kDx1mzAgQsAAOp1AAAOAAAAZHJzL2Uyb0RvYy54bWztXc2S20oV&#10;3lPFO6i8vxn1j9SSK86ty4QAVQFuVQJ7jS2PDbZkJE1mwpIHYM2KBVWw4hUonga4j8F3uiVZP3Zm&#10;JuOxlHt7Fok80siS+tM53/nOOd0vv77bbpwPcZav02Q2YS/ciRMn83SxTq5nk9+8f/NVMHHyIkoW&#10;0SZN4tnkY5xPvn714x+9vN1NY56u0s0izhycJMmnt7vZZFUUu+nFRT5fxdsof5Hu4gQ7l2m2jQp8&#10;zK4vFll0i7NvNxfcdf2L2zRb7LJ0Huc5fvva7JyUZ8wecsJ0uVzP49fp/GYbJ4U5axZvogK3lK/W&#10;u3zySl/tchnPi18vl3lcOJvZBHda6H/xJdi+on8vXr2MptdZtFut5+UlRA+5hM49baN1gi+tT/U6&#10;KiLnJlv3TrVdz7M0T5fFi3m6vTA3op8I7oK5nWdzGSUfInMzczzr6gKxdcLzXl3TdSfpm/Vmg6dx&#10;gbNP6Xf0/y1GO6bdm8S5nU184bn6LvN0s17QH9C+PLu+utxkzoeInrH+ocd6gT37w/Bpk5RnL896&#10;uwOA8l0NpfxpN/VuFe1iPfD5dP6rD99mznoxm3AXcE6iLYD8Pr4rnJ+kdw4LmR54ugAc+W6HY4s7&#10;7MHrYG5v9zad/z53kvRyFSXX8TdZlt6u4miBS2T63hp/Sk8qn+Z0kqvbX6YLfFN0U6T6RHfLbEuP&#10;COPs4Oych1x4E+cjTuNLrqRn8EcXNsd+n7l6/xwHCNeTONY8yOo8uywvfhanW4c2ZpMM8NbfE314&#10;mxfm0OoQPTL7598Zpjf6pz9MZpSacKjHzdyjudvi7uoOX0c3fpUuPuLWs9S8WjAs2Fil2R8nzi1e&#10;q9kk/8NNlMUTZ/OLBI8vZFLSe6g/SE9xfMiae66ae6JkjlPNJsXEMZuXhXl3b3bZ+nqFbzIDlqTf&#10;4JEv1/oZ7K9K402DzFzrGdAWHkKbpAfdgMx50Kb8IAxKtAUAnltauwptnuuKAI+f0MZDxbBt0fZF&#10;oQ1m7IBtU4OgjQlfMa+EG/yE3zVujIWA2+B4Iz8Wetwzhv6ogTzmx6Lpdl2A/2zW29kEt4Of8q0p&#10;3Zs1k012d8QpM3YIuMFAwJXCBR7IK/silD3cchFw8J6B7aTF7QjcO+MVbt+uk5iIZNjA7GXybUa0&#10;a36XvOswSP0evP+4AzlsEUjzJ58mkM5ys979tqI6FZUMlF9Z20Ap1+85d+bXoPVAuT7p2je4m08R&#10;yTo6qCKBJ1nQLL1JFrieaFpE681Pk4VT6CdTZGuw7Q24Imz0Nl6AM8YIUWnLXP0BE2voJ+2mhwiC&#10;dy6mx0QHCmCyuIyS5T0nFH7egYJSXqhgn2C/Ald6XfuFoK20XTKQCpgxz/JISDEMEvbRYdN9Dje2&#10;sju2+qV93rFtxIlKIUwyHokzoaQJV6PpnrlLFpYeiYZ3hCP6Zb/bePZGMyjNPOjBed7trplXgfBo&#10;pPFuM89VEtu4kAYSAh6KEgmAhIVCU4p8lNZ2jKn6FRQa8hEfKsRinMw7oUEg3uK+Hu89GpjLFIHA&#10;UlW8Ej9wJYqpA8AVomHHzqd71gaMgau0DZhgAasICghteB8/uU/ybDFVspT1Lw5zDKtkHjN8h3Rz&#10;OQx+lMcCUo3JC3JfyW6w4yMQowi+VDIDdo8ftCDSccrzy+F8RDpPC0SeAmtqMykeaqalMQSbdB+X&#10;ug9DjdzXI3IvLZWnNl1WdDwFleO1eNOgcswfxCMyxVy30m+kpGivjUY32MftobIWbSwJPt6TfZrJ&#10;veeUfbqhIfcCkCfjFVWovK5ThP4X+JReJYvGOBQiIAwkaFTCzxctE/CeTDQUFlTABQ01Rho5KWUk&#10;oX1cCGyoKixELuMedjSMBPhlI6EWjJquZRiyzDh0XsoMAwyeEEb6b2DBk2GlHZ4i698gKSTP24Dr&#10;3qquIwEXP6Q0IcsAq10Kz+cL2AM30CAhCAXM77oWz2JonOVHECYPFIQMgyHuMy5K7drzIFZ2Ai6p&#10;AoiVddD+5PIja4hQfXuSOOmQ8jOQIULNkPCgGWrJG3hBPVsrTrIgGmkhJD9YCDlUsI1Ym7JkRI8D&#10;EZpMfYMS2WB7nO6Mxqydhx0qwOKeL6EJaggxj3m90m2QJOEiH6ejbZuTb/eEnMIriVpKLnPy4lyl&#10;V7re5mARFgt9LwSvIcPC3FBII7LsLYtOyZu0BGrdjcg3FgmGGgVeR/nK9G0ssGVc6/eiOkvUWu+Y&#10;0ALRt0xjCdRsdd2QBQt1kpBIeeZSPmTF+1HTUDUePEB60xBeFgYo/uqETSEPwWZOFzadIE91/BS2&#10;it50ST5Pa5uo9eeG6jgQbrkvVUgFx+QKkbCiivpWpMZcj7PQAle3nv7Aa5Oo4OfsvL5RX8s5C/xS&#10;muLQy91uVZJkKLwEmHUxgK2efwY2X4vd3/3pL//519+++/df//vnv//vn/9wmOJkODq11nlxeZfo&#10;hl7mQ1lYL6iblo7TXAFNvO1GChprynOatlQMoO7TOsjheSD8qqiyalFrGS6BEmxKp2gsSBSowcrR&#10;Fx/NpF6hJ/0yTRI056YZf1RbBQJH+iZqm12inR2b290CLbTJNRpgN9dohpgX2Wd3rrUZv/baxkYf&#10;acMwdzmmpgtiz0MaDqFcJlFdRl7ucGU+msVIriSwWBXg9HZD1ioANXzrTBq6sLxzSQHdGgzk3ali&#10;leAgeBD43YJspFop6n8YHPIii6ipvbYdprf9SG9/K93RKhv7HDr+vQj65RiDfpQdilI4BEJ4v2Z/&#10;X7BvJaJzNvChlrkf9XsD9SDLAMWncG7kV3xMimHmYtgLiR7y8eR3NAmx9YCo6h/JhB/yUAw+UJk8&#10;UuygusYdoU7eR6mX4XdV36Ctkx9ptpQ4guG1DSVnIBSxED6qDI6R1GBel9RYFI0VRXVQ3UARa6ZM&#10;z1dBxhmaEUtbxIXkyJm2bdGpZx9q8WFbh/iA2eWO1CHKgzVkw6BIKIYpCwwvYpjDKuxVNp94DiuL&#10;ohMVkcm6iKwn8AVNjk26HXQmkvtoCr1KuGuItVXHn+bGSvjdEjCBKsIqr4CZeu5tdLDyHKaSfJ6E&#10;lKyLvvqD3pVoDgz6QX1WoK5CzxKI0Ajtw7otCn+7D40knEs1/ugDxVw45GgeKM+KvTxL57xelDQs&#10;WvwOStNyu8FkoJjX0vmK8dBM3BNNtSCjv6E512LLcpAeY7XccobXI36GzHqP87KmbTgfWxEyREao&#10;jJx8HrBu1l3BrFS6LnY/uTu0h5Z6QqXGHjvT3CPmyj2GslowbnDigSIr4aIbpy4iVD71ZLVMmUe5&#10;JrwWVuUZ2bSuXq0sN1A0WGQVKurwIz7EAk9ihqAOiiwnHmc5M1WK9j3eMJEVdXWVTYIwSy7vFiPa&#10;8HykIg+xlHYKvNlUcdYGdAFOXDagYxO0qWOIOMe8qZSyJ3/mlTmN48Tc9h3HR1cCOMJu/DEpfmix&#10;gVhjkuGulL3sgzUpYzUpI1L8mCKrYlBEFRUombfsRq+CMPalD/xa8StbLgyl6BTynXhu5IZOKJFm&#10;oHlyiBeX82G0gqtSj9GsGe1cJjc6Nm+E6xlTvR3VWrbJRpOtnpNsSMxqoarVLBRWT+nFzi4WV7Fc&#10;A3NgP5O4S1NM96KXgboNaB5ryijSu461HNBu0HYSwqUZkQzxJI/CzQHH3/YzzOb2OWV5VgF8ugKo&#10;agWw8kufacMwjV9dhU5ZpkYVOrIRyaKqUOeoYDf7TCai5QHpAyW67l0rClM9hwEZNEAccVTQm+Hf&#10;14v7UGiFyjEsYUFvwHGA2+Dq0cEVDWPP4A2UoJCeCARVCWG4BfOC3kTgmP+N4m8jHddZ0uN4uM/g&#10;NdIQZu03m6B4npypOlSGOlCCAm1PIqhmpUTthd9dMsyWfo00hCey07NVQ6FI+Fi50NgqLGcoqHuq&#10;HYnZ6Zofm6DQq3JiRU7t4svlSmmN0eZnbDeXaH3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4NAABbQ29udGVudF9UeXBlc10ueG1sUEsBAhQA&#10;CgAAAAAAh07iQAAAAAAAAAAAAAAAAAYAAAAAAAAAAAAQAAAA0AwAAF9yZWxzL1BLAQIUABQAAAAI&#10;AIdO4kCKFGY80QAAAJQBAAALAAAAAAAAAAEAIAAAAPQMAABfcmVscy8ucmVsc1BLAQIUAAoAAAAA&#10;AIdO4kAAAAAAAAAAAAAAAAAEAAAAAAAAAAAAEAAAAAAAAABkcnMvUEsBAhQAFAAAAAgAh07iQJDd&#10;gLnUAAAABQEAAA8AAAAAAAAAAQAgAAAAIgAAAGRycy9kb3ducmV2LnhtbFBLAQIUABQAAAAIAIdO&#10;4kDx1mzAgQsAAOp1AAAOAAAAAAAAAAEAIAAAACMBAABkcnMvZTJvRG9jLnhtbFBLBQYAAAAABgAG&#10;AFkBAAAWDwAAAAA=&#10;">
                  <v:fill on="f" focussize="0,0"/>
                  <v:stroke weight="0.5pt" color="#000000 [3213]" joinstyle="round"/>
                  <v:imagedata o:title=""/>
                  <o:lock v:ext="edit" aspectratio="t"/>
                </v:shape>
                <v:shape id="Text Box 1910" o:spid="_x0000_s1026" o:spt="202" type="#_x0000_t202" style="position:absolute;left:229235;top:1642745;height:305435;width:610235;" fillcolor="#FFFFFF" filled="t" stroked="f" coordsize="21600,21600" o:gfxdata="UEsDBAoAAAAAAIdO4kAAAAAAAAAAAAAAAAAEAAAAZHJzL1BLAwQUAAAACACHTuJAO3GNm9UAAAAF&#10;AQAADwAAAGRycy9kb3ducmV2LnhtbE2PzWrDMBCE74W+g9hCLyWREuLEcSwHWkjpNT8PsLY2tqm1&#10;MpYSJ28ftZf2sjDMMPNtvr3ZTlxp8K1jDbOpAkFcOdNyreF03E1SED4gG+wck4Y7edgWz085ZsaN&#10;vKfrIdQilrDPUEMTQp9J6auGLPqp64mjd3aDxRDlUEsz4BjLbSfnSi2lxZbjQoM9fTRUfR8uVsP5&#10;a3xL1mP5GU6r/WL5ju2qdHetX19magMi0C38heEHP6JDEZlKd2HjRachPhJ+b/TSZL4AUWpIUrUG&#10;WeTyP33xAFBLAwQUAAAACACHTuJAG9pI3ycCAABMBAAADgAAAGRycy9lMm9Eb2MueG1srVRNb9sw&#10;DL0P2H8QdF/80SRdjDhFlyDDgK4b0O4HKLIcC7NFjVJiZ79+lJy2WXfpYT4Yokk/8j0+e3kzdC07&#10;KnQaTMmzScqZMhIqbfYl//G4/fCRM+eFqUQLRpX8pBy/Wb1/t+xtoXJooK0UMgIxruhtyRvvbZEk&#10;TjaqE24CVhlK1oCd8BTiPqlQ9ITetUmepvOkB6wsglTO0dPNmORnRHwLINS1lmoD8tAp40dUVK3w&#10;RMk12jq+itPWtZL+W1075VlbcmLq452a0HkX7slqKYo9CttoeR5BvGWEV5w6oQ01fYbaCC/YAfU/&#10;UJ2WCA5qP5HQJSORqAixyNJX2jw0wqrIhaR29ll09/9g5f3xOzJdlTxPafFGdLTyRzV49gkGli2y&#10;KFFvXUGVD5Zq/UAZMk6k6+wdyJ+OGVg3wuzVLSL0jRIVjZgFcZOLV8NSXOECyK7/ChV1EgcPEWio&#10;sQv6kSKM0PN8kV/NODsRzHyaX09n46bCYJLy8yyNeUkFV+lsSrWhmSiecCw6/1lBx8Kh5EhGiH3E&#10;8c75sfSpJLR10Opqq9s2BrjfrVtkR0Gm2cbrjP5XWWtCsYHw2ogYnkTCgePI1g+7gZKB+A6qE1FH&#10;GE1InyAdGsDfnPVkwJK7XweBirP2iyH5Ftl0Ghwbg+nsOqcALzO7y4wwkqBK7jkbj2s/uvxgUe8b&#10;6jQuzMAtSV7rqMHLVOe5yWRRxfMHEVx8Gceql5/A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7&#10;cY2b1QAAAAUBAAAPAAAAAAAAAAEAIAAAACIAAABkcnMvZG93bnJldi54bWxQSwECFAAUAAAACACH&#10;TuJAG9pI3ycCAABMBAAADgAAAAAAAAABACAAAAAkAQAAZHJzL2Uyb0RvYy54bWxQSwUGAAAAAAYA&#10;BgBZAQAAvQUAAAAA&#10;">
                  <v:fill on="t" focussize="0,0"/>
                  <v:stroke on="f"/>
                  <v:imagedata o:title=""/>
                  <o:lock v:ext="edit" aspectratio="f"/>
                  <v:textbox>
                    <w:txbxContent>
                      <w:p w14:paraId="39C2447E">
                        <w:pPr>
                          <w:spacing w:line="240" w:lineRule="atLeast"/>
                          <w:contextualSpacing/>
                          <w:rPr>
                            <w:rFonts w:hint="default" w:eastAsia="宋体"/>
                            <w:lang w:val="en-US" w:eastAsia="zh-CN"/>
                          </w:rPr>
                        </w:pPr>
                        <w:r>
                          <w:rPr>
                            <w:rFonts w:hint="eastAsia"/>
                            <w:lang w:val="en-US" w:eastAsia="zh-CN"/>
                          </w:rPr>
                          <w:t>292.85</w:t>
                        </w:r>
                      </w:p>
                    </w:txbxContent>
                  </v:textbox>
                </v:shape>
                <v:shape id="Text Box 1914" o:spid="_x0000_s1026" o:spt="202" type="#_x0000_t202" style="position:absolute;left:768985;top:1892300;height:297180;width:500380;" fillcolor="#FFFFFF" filled="t" stroked="f" coordsize="21600,21600" o:gfxdata="UEsDBAoAAAAAAIdO4kAAAAAAAAAAAAAAAAAEAAAAZHJzL1BLAwQUAAAACACHTuJAO3GNm9UAAAAF&#10;AQAADwAAAGRycy9kb3ducmV2LnhtbE2PzWrDMBCE74W+g9hCLyWREuLEcSwHWkjpNT8PsLY2tqm1&#10;MpYSJ28ftZf2sjDMMPNtvr3ZTlxp8K1jDbOpAkFcOdNyreF03E1SED4gG+wck4Y7edgWz085ZsaN&#10;vKfrIdQilrDPUEMTQp9J6auGLPqp64mjd3aDxRDlUEsz4BjLbSfnSi2lxZbjQoM9fTRUfR8uVsP5&#10;a3xL1mP5GU6r/WL5ju2qdHetX19magMi0C38heEHP6JDEZlKd2HjRachPhJ+b/TSZL4AUWpIUrUG&#10;WeTyP33xAFBLAwQUAAAACACHTuJAIOeE7icCAABMBAAADgAAAGRycy9lMm9Eb2MueG1srVRNb9sw&#10;DL0P2H8QdF/suEmbBHGKLkGGAd0H0O4HyLJsC7NFjVJiZ79+lJy2WXfpYTkYpEk98j09Z307dC07&#10;KnQaTM6nk5QzZSSU2tQ5//G4/7DgzHlhStGCUTk/KcdvN+/frXu7Uhk00JYKGYEYt+ptzhvv7SpJ&#10;nGxUJ9wErDJUrAA74SnFOilR9ITetUmWptdJD1haBKmco7e7scjPiPgWQKgqLdUO5KFTxo+oqFrh&#10;iZJrtHV8E7etKiX9t6pyyrM258TUxycNobgIz2SzFqsahW20PK8g3rLCK06d0IaGPkPthBfsgPof&#10;qE5LBAeVn0jokpFIVIRYTNNX2jw0wqrIhaR29ll09/9g5dfjd2S6zHmWLjkzoqMrf1SDZx9hYNPl&#10;dBYk6q1bUeeDpV4/UIWME+k6ew/yp2MGto0wtbpDhL5RoqQVp+FkcnF0xHEBpOi/QEmTxMFDBBoq&#10;7IJ+pAgj9JvrxXIx5+xEMItldpWebyosJqk+T9OrBd2hpIZseTOlOAwTqycci85/UtCxEOQcyQhx&#10;jjjeOz+2PrWEsQ5aXe5128YE62LbIjsKMs0+/s7of7W1JjQbCMdGxPAmEg4cR7Z+KAYqBhUKKE9E&#10;HWE0IX2CFDSAvznryYA5d78OAhVn7WdD8pH0s+DYmMzmNxkleFkpLivCSILKuedsDLd+dPnBoq4b&#10;mjRemIE7krzSUYOXrc57k8miiucPIrj4Mo9dL38C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7&#10;cY2b1QAAAAUBAAAPAAAAAAAAAAEAIAAAACIAAABkcnMvZG93bnJldi54bWxQSwECFAAUAAAACACH&#10;TuJAIOeE7icCAABMBAAADgAAAAAAAAABACAAAAAkAQAAZHJzL2Uyb0RvYy54bWxQSwUGAAAAAAYA&#10;BgBZAQAAvQUAAAAA&#10;">
                  <v:fill on="t" focussize="0,0"/>
                  <v:stroke on="f"/>
                  <v:imagedata o:title=""/>
                  <o:lock v:ext="edit" aspectratio="f"/>
                  <v:textbox>
                    <w:txbxContent>
                      <w:p w14:paraId="1CD167D7">
                        <w:pPr>
                          <w:spacing w:line="240" w:lineRule="atLeast"/>
                          <w:contextualSpacing/>
                          <w:rPr>
                            <w:rFonts w:hint="default" w:eastAsia="宋体"/>
                            <w:lang w:val="en-US" w:eastAsia="zh-CN"/>
                          </w:rPr>
                        </w:pPr>
                        <w:r>
                          <w:rPr>
                            <w:rFonts w:hint="eastAsia"/>
                            <w:lang w:val="en-US" w:eastAsia="zh-CN"/>
                          </w:rPr>
                          <w:t>4.59</w:t>
                        </w:r>
                      </w:p>
                    </w:txbxContent>
                  </v:textbox>
                </v:shape>
                <v:shape id="Text Box 1917" o:spid="_x0000_s1026" o:spt="202" type="#_x0000_t202" style="position:absolute;left:1367155;top:1350645;height:297180;width:1193800;" fillcolor="#FFFFFF" filled="t" stroked="t" coordsize="21600,21600" o:gfxdata="UEsDBAoAAAAAAIdO4kAAAAAAAAAAAAAAAAAEAAAAZHJzL1BLAwQUAAAACACHTuJANTrKrNYAAAAF&#10;AQAADwAAAGRycy9kb3ducmV2LnhtbE2PwU7DMBBE70j8g7VIXBC1W9qShjg9IIHgBgXB1Y23SYS9&#10;DvY2LX+P4QKXlUYzmnlbrY/eiRFj6gNpmE4UCKQm2J5aDa8vd5cFiMSGrHGBUMMXJljXpyeVKW04&#10;0DOOG25FLqFUGg0d81BKmZoOvUmTMCBlbxeiN5xlbKWN5pDLvZMzpZbSm57yQmcGvO2w+djsvYZi&#10;/jC+p8erp7dmuXMrvrge7z+j1udnU3UDgvHIf2H4wc/oUGembdiTTcJpyI/w781esZjNQWw1LAq1&#10;AllX8j99/Q1QSwMEFAAAAAgAh07iQKBOjSFAAgAAlwQAAA4AAABkcnMvZTJvRG9jLnhtbK1UzW7b&#10;MAy+D9g7CLqvttO4SYw6Rdcgw4DuB2j3AIosx8IkUZOU2N3Tj5LdLsg2oIfpIJAm9ZH8SPr6ZtCK&#10;HIXzEkxNi4ucEmE4NNLsa/rtcftuSYkPzDRMgRE1fRKe3qzfvrnubSVm0IFqhCMIYnzV25p2Idgq&#10;yzzvhGb+AqwwaGzBaRZQdfuscaxHdK2yWZ5fZT24xjrgwnv8uhmNdEJ0rwGEtpVcbIAftDBhRHVC&#10;sYAl+U5aT9cp27YVPHxpWy8CUTXFSkO6MQjKu3hn62tW7R2zneRTCuw1KZzVpJk0GPQFasMCIwcn&#10;/4DSkjvw0IYLDjobC0mMYBVFfsbNQ8esSLUg1d6+kO7/Hyz/fPzqiGxqOiuQE8M0tvxRDIG8h4EU&#10;q2IRKeqtr9DzwaJvGNCCg5PK9fYe+HdPDNx1zOzFrXPQd4I1mGIRX2YnT0ccH0F2/SdoMBI7BEhA&#10;Q+t05A8ZIRH98mpRlCUlT1Eu86t5ObYqZsajQ7G6XOaYMUeP2WpRLFMvM1Y9I1nnwwcBmkShpg5H&#10;IUVix3sfYmasenaJgT0o2WylUklx+92dcuTIcGy26aRiztyUIX1NV+WsHMn4J0Sezt8gtAy4TUrq&#10;mmI5eCYnZSbuIl0jcWHYDVMvdtA8IYsOxnnGbUahA/eTkh5nuab+x4E5QYn6aLATq2I+j8OflHm5&#10;mKHiTi27UwszHKFqGigZxbswLszBOrnvMNLYewO32L1WJjJjm8esprxxXhPH027FhTjVk9fv/8n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U6yqzWAAAABQEAAA8AAAAAAAAAAQAgAAAAIgAAAGRy&#10;cy9kb3ducmV2LnhtbFBLAQIUABQAAAAIAIdO4kCgTo0hQAIAAJcEAAAOAAAAAAAAAAEAIAAAACUB&#10;AABkcnMvZTJvRG9jLnhtbFBLBQYAAAAABgAGAFkBAADXBQAAAAA=&#10;">
                  <v:fill on="t" focussize="0,0"/>
                  <v:stroke color="#000000" miterlimit="8" joinstyle="miter"/>
                  <v:imagedata o:title=""/>
                  <o:lock v:ext="edit" aspectratio="f"/>
                  <v:textbox>
                    <w:txbxContent>
                      <w:p w14:paraId="2105EEB1">
                        <w:pPr>
                          <w:spacing w:line="240" w:lineRule="atLeast"/>
                          <w:contextualSpacing/>
                          <w:jc w:val="center"/>
                          <w:rPr>
                            <w:rFonts w:hint="eastAsia" w:eastAsia="宋体"/>
                            <w:lang w:eastAsia="zh-CN"/>
                          </w:rPr>
                        </w:pPr>
                        <w:r>
                          <w:rPr>
                            <w:rFonts w:hint="eastAsia"/>
                            <w:lang w:val="en-US" w:eastAsia="zh-CN"/>
                          </w:rPr>
                          <w:t>屠宰用水</w:t>
                        </w:r>
                      </w:p>
                    </w:txbxContent>
                  </v:textbox>
                </v:shape>
                <v:shape id="Text Box 1918" o:spid="_x0000_s1026" o:spt="202" type="#_x0000_t202" style="position:absolute;left:1343025;top:639445;height:297180;width:1238250;" fillcolor="#FFFFFF" filled="t" stroked="t" coordsize="21600,21600" o:gfxdata="UEsDBAoAAAAAAIdO4kAAAAAAAAAAAAAAAAAEAAAAZHJzL1BLAwQUAAAACACHTuJANTrKrNYAAAAF&#10;AQAADwAAAGRycy9kb3ducmV2LnhtbE2PwU7DMBBE70j8g7VIXBC1W9qShjg9IIHgBgXB1Y23SYS9&#10;DvY2LX+P4QKXlUYzmnlbrY/eiRFj6gNpmE4UCKQm2J5aDa8vd5cFiMSGrHGBUMMXJljXpyeVKW04&#10;0DOOG25FLqFUGg0d81BKmZoOvUmTMCBlbxeiN5xlbKWN5pDLvZMzpZbSm57yQmcGvO2w+djsvYZi&#10;/jC+p8erp7dmuXMrvrge7z+j1udnU3UDgvHIf2H4wc/oUGembdiTTcJpyI/w781esZjNQWw1LAq1&#10;AllX8j99/Q1QSwMEFAAAAAgAh07iQKE2fkk+AgAAlgQAAA4AAABkcnMvZTJvRG9jLnhtbK1U227b&#10;MAx9H7B/EPS+OHaSNjHiFF2CDAO6C9DuAxRZjoVJoiYpsbOvHyWnXZANQx/mB0M0qUPyHNLLu14r&#10;chTOSzAVzUdjSoThUEuzr+i3p+27OSU+MFMzBUZU9CQ8vVu9fbPsbCkKaEHVwhEEMb7sbEXbEGyZ&#10;ZZ63QjM/AisMOhtwmgU03T6rHesQXausGI9vsg5cbR1w4T1+3QxOekZ0rwGEppFcbIAftDBhQHVC&#10;sYAt+VZaT1ep2qYRPHxpGi8CURXFTkN6YxI87+I7Wy1ZuXfMtpKfS2CvKeGqJ82kwaQvUBsWGDk4&#10;+QeUltyBhyaMOOhsaCQxgl3k4ytuHltmReoFqfb2hXT//2D55+NXR2Rd0SLPKTFMo+RPog/kPfQk&#10;X+TzSFFnfYmRjxZjQ48eHJzUrrcPwL97YmDdMrMX985B1wpWY4l5vJldXB1wfATZdZ+gxkzsECAB&#10;9Y3TkT9khET0yXQyLmaUnCp6M1lMp7NBqVgYj/5iMi9mKCLHgGJxm8+TlBkrn4Gs8+GDAE3ioaIO&#10;JyElYscHH2JhrHwOiXk9KFlvpVLJcPvdWjlyZDg12/SkXq7ClCFdRRczrPPfEOP0/A1Cy4DLpKSu&#10;6PwySJkzdZGtgbfQ7/qzFDuoT0iig2GccZnx0IL7SUmHo1xR/+PAnKBEfTQoxCKfTuPsJ2M6uy3Q&#10;cJee3aWHGY5QFQ2UDMd1GPblYJ3ct5hpkN7APYrXyERmVHmo6lw3jmvi+LxacR8u7RT1+3ey+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Osqs1gAAAAUBAAAPAAAAAAAAAAEAIAAAACIAAABkcnMv&#10;ZG93bnJldi54bWxQSwECFAAUAAAACACHTuJAoTZ+ST4CAACWBAAADgAAAAAAAAABACAAAAAlAQAA&#10;ZHJzL2Uyb0RvYy54bWxQSwUGAAAAAAYABgBZAQAA1QUAAAAA&#10;">
                  <v:fill on="t" focussize="0,0"/>
                  <v:stroke color="#000000" miterlimit="8" joinstyle="miter"/>
                  <v:imagedata o:title=""/>
                  <o:lock v:ext="edit" aspectratio="f"/>
                  <v:textbox>
                    <w:txbxContent>
                      <w:p w14:paraId="360F4E6F">
                        <w:pPr>
                          <w:spacing w:line="240" w:lineRule="atLeast"/>
                          <w:contextualSpacing/>
                          <w:jc w:val="center"/>
                          <w:rPr>
                            <w:rFonts w:hint="default" w:eastAsia="宋体"/>
                            <w:lang w:val="en-US" w:eastAsia="zh-CN"/>
                          </w:rPr>
                        </w:pPr>
                        <w:r>
                          <w:rPr>
                            <w:rFonts w:hint="eastAsia"/>
                            <w:lang w:val="en-US" w:eastAsia="zh-CN"/>
                          </w:rPr>
                          <w:t>待宰圈冲洗用水</w:t>
                        </w:r>
                      </w:p>
                    </w:txbxContent>
                  </v:textbox>
                </v:shape>
                <v:line id="Line 1919" o:spid="_x0000_s1026" o:spt="20" style="position:absolute;left:287655;top:1877060;flip:y;height:2540;width:501650;" filled="f" stroked="t" coordsize="21600,21600" o:gfxdata="UEsDBAoAAAAAAIdO4kAAAAAAAAAAAAAAAAAEAAAAZHJzL1BLAwQUAAAACACHTuJAL87nn9YAAAAF&#10;AQAADwAAAGRycy9kb3ducmV2LnhtbE2PwU7DMBBE70j8g7VI3KidqkFpiNMDAokTghYhcXPjJQmN&#10;18HeNoWvx/QCl5VGM5p5W62ObhAHDLH3pCGbKRBIjbc9tRpeNvdXBYjIhqwZPKGGL4ywqs/PKlNa&#10;P9EzHtbcilRCsTQaOuaxlDI2HToTZ35ESt67D85wkqGVNpgplbtBzpW6ls70lBY6M+Jth81uvXca&#10;lpsp909h97rI+s+377sPHh8eWevLi0zdgGA88l8YfvETOtSJaev3ZKMYNKRH+HSTV+TzBYithrxQ&#10;S5B1Jf/T1z9QSwMEFAAAAAgAh07iQIjXTJX7AQAA6QMAAA4AAABkcnMvZTJvRG9jLnhtbK1TTW8b&#10;IRC9V+p/QNzr/VDWHyuvc7CbXtzWUtLeMbBeFGAQYK/97ztgK0nTSw7dwwqYmTfvPYbl/dlocpI+&#10;KLAdrSYlJdJyEMoeOvrr6eHLnJIQmRVMg5UdvchA71efPy1H18oaBtBCeoIgNrSj6+gQo2uLIvBB&#10;GhYm4KTFYA/esIhbfyiEZyOiG13UZTktRvDCeeAyBDzdXIP0hug/Agh9r7jcAD8aaeMV1UvNIkoK&#10;g3KBrjLbvpc8/uz7ICPRHUWlMf+xCa736V+slqw9eOYGxW8U2EcovNNkmLLY9AVqwyIjR6/+gTKK&#10;ewjQxwkHU1yFZEdQRVW+8+ZxYE5mLWh1cC+mh/8Hy3+cdp4o0dG6qimxzOCVb5WVpFpUi2TP6EKL&#10;WWu780kgP9tHtwX+HIiF9cDsQWaaTxeHlVWqKP4qSZvgsMl+/A4Cc9gxQvbq3HtDeq3c71SYwNEP&#10;ckYq89m0aSi54Pl8Niunt3uS50g4xpuymjZ4gxwT6uYuRwvWJryE4nyI3yQYkhYd1agmo7PTNsTE&#10;7zUlpVt4UFrnQdCWjB1dNHWTCwJoJVIwpQV/2K+1JyeWRil/WSxG3qZ5OFqRwSJT+qsVJGZnolfo&#10;lZY0dTBSUKIlvr+0ulLS9uZcMutq+x7EZedTOJmIE5C536Y1jdjbfc56faG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55/WAAAABQEAAA8AAAAAAAAAAQAgAAAAIgAAAGRycy9kb3ducmV2Lnht&#10;bFBLAQIUABQAAAAIAIdO4kCI10yV+wEAAOkDAAAOAAAAAAAAAAEAIAAAACUBAABkcnMvZTJvRG9j&#10;LnhtbFBLBQYAAAAABgAGAFkBAACSBQAAAAA=&#10;">
                  <v:fill on="f" focussize="0,0"/>
                  <v:stroke color="#000000" joinstyle="round" endarrow="block"/>
                  <v:imagedata o:title=""/>
                  <o:lock v:ext="edit" aspectratio="f"/>
                </v:line>
                <v:line id="Line 1920" o:spid="_x0000_s1026" o:spt="20" style="position:absolute;left:775970;top:804545;flip:x;height:2484755;width:635;" filled="f" stroked="t" coordsize="21600,21600" o:gfxdata="UEsDBAoAAAAAAIdO4kAAAAAAAAAAAAAAAAAEAAAAZHJzL1BLAwQUAAAACACHTuJA2OTeAtUAAAAF&#10;AQAADwAAAGRycy9kb3ducmV2LnhtbE2PwU7DMBBE70j8g7VI3KjdQFGaxqkQAi5ISJTAeRNvkwh7&#10;HcVuWv4ewwUuK41mNPO23J6cFTNNYfCsYblQIIhbbwbuNNRvj1c5iBCRDVrPpOGLAmyr87MSC+OP&#10;/ErzLnYilXAoUEMf41hIGdqeHIaFH4mTt/eTw5jk1Ekz4TGVOyszpW6lw4HTQo8j3ffUfu4OTsPd&#10;x/PD9cvcOG/NuqvfjavVU6b15cVSbUBEOsW/MPzgJ3SoElPjD2yCsBrSI/H3Ji9fZTcgGg2rXK1B&#10;VqX8T199A1BLAwQUAAAACACHTuJAmHEJaeUBAAC6AwAADgAAAGRycy9lMm9Eb2MueG1srVNNj9ow&#10;EL1X6n+wfC+BLFkgIuwBtO2Btivt9gcYxyFWbY/lMQT+fceG/ej2sofmYMV5M2/mvZks707WsKMK&#10;qME1fDIac6achFa7fcN/Pd1/mXOGUbhWGHCq4WeF/G71+dNy8LUqoQfTqsCIxGE9+Ib3Mfq6KFD2&#10;ygocgVeOwA6CFZGuYV+0QQzEbk1Rjse3xQCh9QGkQqSvmwvIr4zhI4TQdVqqDciDVS5eWIMyIpIk&#10;7LVHvsrddp2S8WfXoYrMNJyUxnxSEXrfpbNYLUW9D8L3Wl5bEB9p4Z0mK7Sjoi9UGxEFOwT9D5XV&#10;MgBCF0cSbHERkh0hFZPxO28ee+FV1kJWo38xHf8frfxxfAhMtw0vJzecOWFp5FvtFJssymzP4LGm&#10;qLV7CEmgPLlHvwX5G5mDdS/cXuU2n86eMifJ0OKvlHRBT0V2w3doKUYcImSvTl2wrDPaf0uJiZz8&#10;YKeGz2bVYkYTOjd8Pp5W0+oyJnWKTBJ8e1NxJgksp/PprMpoIepEl0h8wPhVgWXppeGGxGRycdxi&#10;TO29hqRwB/famLwHxrGh4YuqrHICgtFtAlMYhv1ubQI7irRJ+claCXkbFuDg2ksR465WJPVpIbHe&#10;QXt+CM8W0UhzN9f1Szvz9p6zX3+5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Y5N4C1QAAAAUB&#10;AAAPAAAAAAAAAAEAIAAAACIAAABkcnMvZG93bnJldi54bWxQSwECFAAUAAAACACHTuJAmHEJaeUB&#10;AAC6AwAADgAAAAAAAAABACAAAAAkAQAAZHJzL2Uyb0RvYy54bWxQSwUGAAAAAAYABgBZAQAAewUA&#10;AAAA&#10;">
                  <v:fill on="f" focussize="0,0"/>
                  <v:stroke color="#000000" joinstyle="round"/>
                  <v:imagedata o:title=""/>
                  <o:lock v:ext="edit" aspectratio="f"/>
                </v:line>
                <v:line id="Line 1921" o:spid="_x0000_s1026" o:spt="20" style="position:absolute;left:779145;top:2137410;height:635;width:504190;" filled="f" stroked="t" coordsize="21600,21600" o:gfxdata="UEsDBAoAAAAAAIdO4kAAAAAAAAAAAAAAAAAEAAAAZHJzL1BLAwQUAAAACACHTuJA56ZyzNcAAAAF&#10;AQAADwAAAGRycy9kb3ducmV2LnhtbE2PwU7DMBBE70j8g7VI3KidiiKTxumhUrm0gNoiBDc33iZR&#10;43VkO234ewwXuKw0mtHM22Ix2o6d0YfWkYJsIoAhVc60VCt426/uJLAQNRndOUIFXxhgUV5fFTo3&#10;7kJbPO9izVIJhVwraGLsc85D1aDVYeJ6pOQdnbc6Julrbry+pHLb8akQD9zqltJCo3tcNliddoNV&#10;sN2s1vJ9PYyV/3zKXvavm+ePIJW6vcnEHFjEMf6F4Qc/oUOZmA5uIBNYpyA9En9v8uRseg/soGAm&#10;xSPwsuD/6ctvUEsDBBQAAAAIAIdO4kBpoWC78wEAAN4DAAAOAAAAZHJzL2Uyb0RvYy54bWytU01z&#10;2yAQvXem/4HhXusjdlxrLOdgN724rWeS/gAMyGIKLAPYsv99F2SnTXrJoTpogH37dt9bWD6cjSYn&#10;6YMC29JqUlIiLQeh7KGlP58fP32mJERmBdNgZUsvMtCH1ccPy8E1soYetJCeIIkNzeBa2sfomqII&#10;vJeGhQk4aTHYgTcs4tYfCuHZgOxGF3VZ3hcDeOE8cBkCnm7GIL0y+vcQQtcpLjfAj0baOLJ6qVlE&#10;SaFXLtBV7rbrJI8/ui7ISHRLUWnMfyyC6336F6slaw6euV7xawvsPS280WSYslj0hWrDIiNHr/6h&#10;Mop7CNDFCQdTjEKyI6iiKt9489QzJ7MWtDq4F9PD/6Pl3087T5RoaV1NKbHM4Mi3ykpSLeoq2TO4&#10;0CBqbXc+CeRn++S2wH8FYmHdM3uQuc3ni8PMnFG8Skmb4LDIfvgGAjHsGCF7de68SZToAjm3dD5f&#10;VNMZJZfUy918Wl2nI8+RcIzPymm1wLlxBNzfzVJvBWtuJM6H+FWCIWnRUo0SchF22oY4Qm+QVNPC&#10;o9I6T19bMrR0MatnOSGAViIFEyz4w36tPTmxdH/yd637CubhaEUmi0zpL1aQmO2IXqFBWtJUwUhB&#10;iZb46NJqbElbFHFzaPR6D+Ky8ymcznHsWeb1iqZ79fc+o/48y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6ZyzNcAAAAFAQAADwAAAAAAAAABACAAAAAiAAAAZHJzL2Rvd25yZXYueG1sUEsBAhQA&#10;FAAAAAgAh07iQGmhYLvzAQAA3gMAAA4AAAAAAAAAAQAgAAAAJgEAAGRycy9lMm9Eb2MueG1sUEsF&#10;BgAAAAAGAAYAWQEAAIsFAAAAAA==&#10;">
                  <v:fill on="f" focussize="0,0"/>
                  <v:stroke color="#000000" joinstyle="round" endarrow="block"/>
                  <v:imagedata o:title=""/>
                  <o:lock v:ext="edit" aspectratio="f"/>
                </v:line>
                <v:line id="Line 1925" o:spid="_x0000_s1026" o:spt="20" style="position:absolute;left:783590;top:1507490;flip:y;height:1905;width:582930;" filled="f" stroked="t" coordsize="21600,21600" o:gfxdata="UEsDBAoAAAAAAIdO4kAAAAAAAAAAAAAAAAAEAAAAZHJzL1BLAwQUAAAACACHTuJAL87nn9YAAAAF&#10;AQAADwAAAGRycy9kb3ducmV2LnhtbE2PwU7DMBBE70j8g7VI3KidqkFpiNMDAokTghYhcXPjJQmN&#10;18HeNoWvx/QCl5VGM5p5W62ObhAHDLH3pCGbKRBIjbc9tRpeNvdXBYjIhqwZPKGGL4ywqs/PKlNa&#10;P9EzHtbcilRCsTQaOuaxlDI2HToTZ35ESt67D85wkqGVNpgplbtBzpW6ls70lBY6M+Jth81uvXca&#10;lpsp909h97rI+s+377sPHh8eWevLi0zdgGA88l8YfvETOtSJaev3ZKMYNKRH+HSTV+TzBYithrxQ&#10;S5B1Jf/T1z9QSwMEFAAAAAgAh07iQLbrG5/5AQAA6QMAAA4AAABkcnMvZTJvRG9jLnhtbK1TwY4a&#10;MQy9V+o/RLmXGdhOFxDDHqDbC22Rdtt7SDJM1CSOksDA39cOaLellz10DiM7tp/9XpzFw8lZdtQx&#10;GfAtH49qzrSXoIzft/zH8+OHKWcpC6+EBa9bftaJPyzfv1sMYa4n0INVOjIE8Wk+hJb3OYd5VSXZ&#10;ayfSCIL2GOwgOpHRjftKRTEgurPVpK4/VQNEFSJInRKeri9BfkWMbwGErjNSr0EenPb5ghq1FRkp&#10;pd6ExJdl2q7TMn/vuqQzsy1Hprn8sQnaO/pXy4WY76MIvZHXEcRbRrjh5ITx2PQFai2yYIdo/oFy&#10;RkZI0OWRBFddiBRFkMW4vtHmqRdBFy4odQovoqf/Byu/HbeRGdXyybjhzAuHV74xXrPxbNKQPENI&#10;c8xa+W0kgvLkn8IG5K/EPKx64fe6jPl8Dlg5porqrxJyUsAmu+ErKMwRhwxFq1MXHeusCT+pkMBR&#10;D3Zq+f30rpnhDZ3xvKnvP6Jd7kmfMpMYb6aT2R3GJSXM6jJmJeaERyghpvxFg2NktNwim4IujpuU&#10;ab7XFEr38GisLQ2sZ0PLZw0yp0gCaxQFixP3u5WN7CholcpXyN6kRTh4VcCyMPazVywXZXI0qJXV&#10;nDo4rTizGt8fWZeRrL8qR2JdZN+BOm8jhUlE3IAy+3VbacX+9EvW6wt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zuef1gAAAAUBAAAPAAAAAAAAAAEAIAAAACIAAABkcnMvZG93bnJldi54bWxQ&#10;SwECFAAUAAAACACHTuJAtusbn/kBAADpAwAADgAAAAAAAAABACAAAAAlAQAAZHJzL2Uyb0RvYy54&#10;bWxQSwUGAAAAAAYABgBZAQAAkAUAAAAA&#10;">
                  <v:fill on="f" focussize="0,0"/>
                  <v:stroke color="#000000" joinstyle="round" endarrow="block"/>
                  <v:imagedata o:title=""/>
                  <o:lock v:ext="edit" aspectratio="f"/>
                </v:line>
                <v:shape id="Text Box 1927" o:spid="_x0000_s1026" o:spt="202" type="#_x0000_t202" style="position:absolute;left:1312545;top:3136265;height:297180;width:1017905;" fillcolor="#FFFFFF" filled="t" stroked="t" coordsize="21600,21600" o:gfxdata="UEsDBAoAAAAAAIdO4kAAAAAAAAAAAAAAAAAEAAAAZHJzL1BLAwQUAAAACACHTuJANTrKrNYAAAAF&#10;AQAADwAAAGRycy9kb3ducmV2LnhtbE2PwU7DMBBE70j8g7VIXBC1W9qShjg9IIHgBgXB1Y23SYS9&#10;DvY2LX+P4QKXlUYzmnlbrY/eiRFj6gNpmE4UCKQm2J5aDa8vd5cFiMSGrHGBUMMXJljXpyeVKW04&#10;0DOOG25FLqFUGg0d81BKmZoOvUmTMCBlbxeiN5xlbKWN5pDLvZMzpZbSm57yQmcGvO2w+djsvYZi&#10;/jC+p8erp7dmuXMrvrge7z+j1udnU3UDgvHIf2H4wc/oUGembdiTTcJpyI/w781esZjNQWw1LAq1&#10;AllX8j99/Q1QSwMEFAAAAAgAh07iQMqkVC0/AgAAlwQAAA4AAABkcnMvZTJvRG9jLnhtbK1U227b&#10;MAx9H7B/EPS++NJcjTpF1yDDgO4CtPsARZZjYZKoSUrs7OtHyWkXdBvQh/nBEM2jQ/KQ9PXNoBU5&#10;CuclmJoWk5wSYTg00uxr+u1x+25JiQ/MNEyBETU9CU9v1m/fXPe2EiV0oBrhCJIYX/W2pl0Itsoy&#10;zzuhmZ+AFQadLTjNAppunzWO9ciuVVbm+TzrwTXWARfe49fN6KRnRvcaQmhbycUG+EELE0ZWJxQL&#10;WJLvpPV0nbJtW8HDl7b1IhBVU6w0pDcGwfMuvrP1Nav2jtlO8nMK7DUpvKhJM2kw6DPVhgVGDk7+&#10;QaUld+ChDRMOOhsLSYpgFUX+QpuHjlmRakGpvX0W3f8/Wv75+NUR2dS0LOaUGKax5Y9iCOQ9DKRY&#10;lYsoUW99hcgHi9gwoAcHJ5Xr7T3w754YuOuY2Ytb56DvBGswxSLezC6ujjw+kuz6T9BgJHYIkIiG&#10;1umoHypCIvtVUc6mM0pONb0qrublfDa2KmbGIyAvFqscARwR5WpRLFMvM1Y9MVnnwwcBmsRDTR2O&#10;QorEjvc+xMxY9QSJgT0o2WylUslw+92dcuTIcGy26UnFvIApQ/qarmblbBTjnxR5ev5GoWXAbVJS&#10;13R5CVLmrF2UaxQuDLvh3IsdNCdU0cE4z7jNeOjA/aSkx1muqf9xYE5Qoj4a7MSqmE7j8CdjOluU&#10;aLhLz+7SwwxHqpoGSsbjXRgX5mCd3HcYaey9gVvsXiuTmLHNY1bnvHFek8bn3YoLcWkn1O//yf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TrKrNYAAAAFAQAADwAAAAAAAAABACAAAAAiAAAAZHJz&#10;L2Rvd25yZXYueG1sUEsBAhQAFAAAAAgAh07iQMqkVC0/AgAAlwQAAA4AAAAAAAAAAQAgAAAAJQEA&#10;AGRycy9lMm9Eb2MueG1sUEsFBgAAAAAGAAYAWQEAANYFAAAAAA==&#10;">
                  <v:fill on="t" focussize="0,0"/>
                  <v:stroke color="#000000" miterlimit="8" joinstyle="miter"/>
                  <v:imagedata o:title=""/>
                  <o:lock v:ext="edit" aspectratio="f"/>
                  <v:textbox>
                    <w:txbxContent>
                      <w:p w14:paraId="4BEB8D35">
                        <w:pPr>
                          <w:spacing w:line="240" w:lineRule="atLeast"/>
                          <w:contextualSpacing/>
                          <w:jc w:val="center"/>
                        </w:pPr>
                        <w:r>
                          <w:rPr>
                            <w:rFonts w:hint="eastAsia"/>
                          </w:rPr>
                          <w:t>生活用水</w:t>
                        </w:r>
                      </w:p>
                      <w:p w14:paraId="2D867D27">
                        <w:pPr>
                          <w:spacing w:line="240" w:lineRule="atLeast"/>
                          <w:contextualSpacing/>
                        </w:pPr>
                      </w:p>
                    </w:txbxContent>
                  </v:textbox>
                </v:shape>
                <v:shape id="Text Box 1933" o:spid="_x0000_s1026" o:spt="202" type="#_x0000_t202" style="position:absolute;left:0;top:1501775;height:655955;width:31813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PrhlI0RAgAAHgQAAA4AAABkcnMvZTJvRG9jLnhtbK1TQW7bMBC8&#10;F+gfCN5rWbYVx4LlII2RokCaFkj6AJqiLKIil13SltLXd0k5qZtecuhFILmr2ZnhcH01mI4dFXoN&#10;tuL5ZMqZshJqbfcV//54++GSMx+ErUUHVlX8SXl+tXn/bt27Us2gha5WyAjE+rJ3FW9DcGWWedkq&#10;I/wEnLJUbACNCLTFfVaj6AnddNlsOr3IesDaIUjlPZ1uxyI/IeJbAKFptFRbkAejbBhRUXUikCTf&#10;auf5JrFtGiXD16bxKrCu4qQ0pC8NofUufrPNWpR7FK7V8kRBvIXCK01GaEtDX6C2Igh2QP0PlNES&#10;wUMTJhJMNgpJjpCKfPrKm4dWOJW0kNXevZju/x+svD9+Q6bris/yJWdWGLryRzUE9hEGlq/m82hR&#10;73xJnQ+OesNAFQpOkuvdHcgfnlm4aYXdq2tE6FslaqKYxz+zs19HHB9Bdv0XqGmSOARIQEODJvpH&#10;jjBCp+t5IoRimi+XxXhJkZOk0jy/zOcFZ5IaLopiVaR6JspnCIc+fFJgWFxUHCkDaYQ43vkQKYny&#10;uSVOtHCruy7loLN/HVBjPEkSIuuRfxh2w8mSHdRPJAZhjBU9Klq0gL846ylSFfc/DwIVZ91nS4as&#10;8sUiZjBtFsVyRhs8r+zOK8JKgqp44Gxc3oQxtweHet/SpPEKLFyTiY1O0qLbI6sTb4pNUnyKeMzl&#10;+T51/XnW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CZYR0wAAAAUBAAAPAAAAAAAAAAEAIAAA&#10;ACIAAABkcnMvZG93bnJldi54bWxQSwECFAAUAAAACACHTuJA+uGUjRECAAAeBAAADgAAAAAAAAAB&#10;ACAAAAAiAQAAZHJzL2Uyb0RvYy54bWxQSwUGAAAAAAYABgBZAQAApQUAAAAA&#10;">
                  <v:fill on="f" focussize="0,0"/>
                  <v:stroke on="f"/>
                  <v:imagedata o:title=""/>
                  <o:lock v:ext="edit" aspectratio="f"/>
                  <v:textbox>
                    <w:txbxContent>
                      <w:p w14:paraId="37F9B7CD">
                        <w:pPr>
                          <w:spacing w:line="240" w:lineRule="atLeast"/>
                          <w:contextualSpacing/>
                          <w:jc w:val="center"/>
                        </w:pPr>
                        <w:r>
                          <w:rPr>
                            <w:rFonts w:hint="eastAsia"/>
                          </w:rPr>
                          <w:t>新鲜水</w:t>
                        </w:r>
                      </w:p>
                    </w:txbxContent>
                  </v:textbox>
                </v:shape>
                <v:shape id="Text Box 1943" o:spid="_x0000_s1026" o:spt="202" type="#_x0000_t202" style="position:absolute;left:751840;top:1267460;height:297815;width:61912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JfwgHUUAgAAIwQAAA4AAABkcnMvZTJvRG9jLnhtbK1Ty27bMBC8&#10;F+g/ELzXslQ/BctBGiNFgfQBJPkAmqIsohKXXdKW3K/vklJSN73kkAtBcpezO7PDzVXfNuyk0Gkw&#10;BU8nU86UkVBqcyj448PthxVnzgtTigaMKvhZOX61ff9u09lcZVBDUypkBGJc3tmC197bPEmcrFUr&#10;3ASsMhSsAFvh6YiHpETREXrbJNl0ukg6wNIiSOUc3e6GIB8R8TWAUFVaqh3IY6uMH1BRNcITJVdr&#10;6/g2dltVSvrvVeWUZ03BiamPKxWh/T6syXYj8gMKW2s5tiBe08ILTq3Qhoo+Q+2EF+yI+j+oVksE&#10;B5WfSGiTgUhUhFik0xfa3NfCqsiFpHb2WXT3drDy2+kHMl0WPEtp8Ea0NPIH1Xv2CXqWrmcfg0Sd&#10;dTll3lvK9T1FyDiRrrN3IH86ZuCmFuagrhGhq5UoqcU0vEwung44LoDsu69QUiVx9BCB+grboB8p&#10;wgh9OU9XM5rRmWCyxXK2GCcVGpMUX6TrNJtzJikhWy9X6TwWE/kTjkXnPytoWdgUHMkIsY443Tkf&#10;+hL5U0ooa+BWN000Q2P+uaDEcBN5hNYHEr7f96MueyjPxAhh8Bb9LNrUgL8568hXBXe/jgIVZ80X&#10;Q6qs01kg5uNhNl9mdMDLyP4yIowkqIJ7zobtjR/Me7SoDzVVGuZg4JqUrHSkFiQfuhr7Ju9ExqPP&#10;gzkvzzHr79/e/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CZYR0wAAAAUBAAAPAAAAAAAAAAEA&#10;IAAAACIAAABkcnMvZG93bnJldi54bWxQSwECFAAUAAAACACHTuJAl/CAdRQCAAAjBAAADgAAAAAA&#10;AAABACAAAAAiAQAAZHJzL2Uyb0RvYy54bWxQSwUGAAAAAAYABgBZAQAAqAUAAAAA&#10;">
                  <v:fill on="f" focussize="0,0"/>
                  <v:stroke on="f"/>
                  <v:imagedata o:title=""/>
                  <o:lock v:ext="edit" aspectratio="f"/>
                  <v:textbox>
                    <w:txbxContent>
                      <w:p w14:paraId="7FCE2F4A">
                        <w:pPr>
                          <w:spacing w:line="240" w:lineRule="atLeast"/>
                          <w:contextualSpacing/>
                          <w:jc w:val="center"/>
                          <w:rPr>
                            <w:rFonts w:hint="default" w:eastAsia="宋体"/>
                            <w:lang w:val="en-US" w:eastAsia="zh-CN"/>
                          </w:rPr>
                        </w:pPr>
                        <w:r>
                          <w:rPr>
                            <w:rFonts w:hint="eastAsia"/>
                            <w:lang w:val="en-US" w:eastAsia="zh-CN"/>
                          </w:rPr>
                          <w:t>282.35</w:t>
                        </w:r>
                      </w:p>
                    </w:txbxContent>
                  </v:textbox>
                </v:shape>
                <v:shape id="Text Box 1918" o:spid="_x0000_s1026" o:spt="202" type="#_x0000_t202" style="position:absolute;left:751840;top:125730;height:281305;width:529590;" fillcolor="#FFFFFF" filled="t" stroked="f" coordsize="21600,21600" o:gfxdata="UEsDBAoAAAAAAIdO4kAAAAAAAAAAAAAAAAAEAAAAZHJzL1BLAwQUAAAACACHTuJAO3GNm9UAAAAF&#10;AQAADwAAAGRycy9kb3ducmV2LnhtbE2PzWrDMBCE74W+g9hCLyWREuLEcSwHWkjpNT8PsLY2tqm1&#10;MpYSJ28ftZf2sjDMMPNtvr3ZTlxp8K1jDbOpAkFcOdNyreF03E1SED4gG+wck4Y7edgWz085ZsaN&#10;vKfrIdQilrDPUEMTQp9J6auGLPqp64mjd3aDxRDlUEsz4BjLbSfnSi2lxZbjQoM9fTRUfR8uVsP5&#10;a3xL1mP5GU6r/WL5ju2qdHetX19magMi0C38heEHP6JDEZlKd2HjRachPhJ+b/TSZL4AUWpIUrUG&#10;WeTyP33xAFBLAwQUAAAACACHTuJASmx/BToCAABrBAAADgAAAGRycy9lMm9Eb2MueG1srVTNbtsw&#10;DL4P2DsIui/+abwmRpyia5FhQPcDtHsARZZjYZKoSUrs7ulHyW6XdZcepoMgmuRH8iPpzdWoFTkJ&#10;5yWYhhaLnBJhOLTSHBr6/WH3bkWJD8y0TIERDX0Unl5t377ZDLYWJfSgWuEIghhfD7ahfQi2zjLP&#10;e6GZX4AVBpUdOM0Ciu6QtY4NiK5VVub5+2wA11oHXHiPX28nJZ0R3WsAoeskF7fAj1qYMKE6oVjA&#10;knwvrafblG3XCR6+dp0XgaiGYqUh3RgE3/t4Z9sNqw+O2V7yOQX2mhRe1KSZNBj0GeqWBUaOTv4D&#10;pSV34KELCw46mwpJjGAVRf6Cm/ueWZFqQaq9fSbd/z9Y/uX0zRHZNrQsC0oM09jyBzEG8gFGUqyL&#10;VaRosL5Gy3uLtmFEDQ5OKtfbO+A/PDFw0zNzENfOwdAL1mKKRfTMzlwnHB9B9sNnaDESOwZIQGPn&#10;dOQPGSGIflkVqyX26BFhyuryYm5UzIujuirX1RrVHPXlqrjIqxSL1U8w1vnwUYAm8dFQh3OQwrDT&#10;nQ8xLVY/mcSoHpRsd1KpJLjD/kY5cmI4M7t0ZvS/zJQhQ0PXVVklZAPRP42TlgE3REnd0FUez+yu&#10;zMxHpGAiI4z7ceZ3D+0jMuNgmlHcUHz04H5RMuB8NtT/PDInKFGfDLK7LpaRoJCEZXVZouDONftz&#10;DTMcoRoaKJmeN2FagqN18tBjpKmfBq6xI51MHMXWTVnNeeMMJurmfYlDfi4nqz//iO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3GNm9UAAAAFAQAADwAAAAAAAAABACAAAAAiAAAAZHJzL2Rvd25y&#10;ZXYueG1sUEsBAhQAFAAAAAgAh07iQEpsfwU6AgAAawQAAA4AAAAAAAAAAQAgAAAAJAEAAGRycy9l&#10;Mm9Eb2MueG1sUEsFBgAAAAAGAAYAWQEAANAFAAAAAA==&#10;">
                  <v:fill on="t" focussize="0,0"/>
                  <v:stroke on="f" miterlimit="8" joinstyle="miter"/>
                  <v:imagedata o:title=""/>
                  <o:lock v:ext="edit" aspectratio="f"/>
                  <v:textbox>
                    <w:txbxContent>
                      <w:p w14:paraId="3D3C69B5">
                        <w:pPr>
                          <w:spacing w:line="240" w:lineRule="atLeast"/>
                          <w:contextualSpacing/>
                          <w:rPr>
                            <w:rFonts w:hint="default" w:eastAsia="宋体"/>
                            <w:lang w:val="en-US" w:eastAsia="zh-CN"/>
                          </w:rPr>
                        </w:pPr>
                        <w:r>
                          <w:rPr>
                            <w:rFonts w:hint="eastAsia"/>
                            <w:lang w:val="en-US" w:eastAsia="zh-CN"/>
                          </w:rPr>
                          <w:t>尿液</w:t>
                        </w:r>
                      </w:p>
                    </w:txbxContent>
                  </v:textbox>
                </v:shape>
                <v:shape id="Text Box 1916" o:spid="_x0000_s1026" o:spt="202" type="#_x0000_t202" style="position:absolute;left:1710055;top:144145;height:297815;width:50863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EMl5GESAgAAIwQAAA4AAABkcnMvZTJvRG9jLnhtbK1Ty27bMBC8&#10;F+g/ELzXetRPwXKQxkhRIH0AST6ApiiLqMRll7Ql9+u7pJzUTS855EIsucvZneFwfTV0LTsqdBpM&#10;ybNJypkyEipt9iV/fLj9sOTMeWEq0YJRJT8px68279+te1uoHBpoK4WMQIwrelvyxntbJImTjeqE&#10;m4BVhpI1YCc8bXGfVCh6Qu/aJE/TedIDVhZBKufodDsm+RkRXwMIda2l2oI8dMr4ERVVKzxRco22&#10;jm/itHWtpP9e10551pacmPq4UhOKd2FNNmtR7FHYRsvzCOI1I7zg1AltqOkz1FZ4wQ6o/4PqtERw&#10;UPuJhC4ZiURFiEWWvtDmvhFWRS4ktbPPoru3g5Xfjj+Q6arkeZ5zZkRHT/6gBs8+wcCyVTYPEvXW&#10;FVR5b6nWD5Qh40S6zt6B/OmYgZtGmL26RoS+UaKiEbNwM7m4OuK4ALLrv0JFncTBQwQaauyCfqQI&#10;C+iLLE1nM85OFE+n2XQ2vlQYTFJ+li7nHyktKZ+vFsss5hNRPOFYdP6zgo6FoORIRoh9xPHO+TCX&#10;KJ5KQlsDt7ptoxla888BFYaTyCOMPpLww24467KD6kSMEEZv0c+ioAH8zVlPviq5+3UQqDhrvxhS&#10;ZUV0ghHjZjpb5LTBy8zuMiOMJKiSe87G8MaP5j1Y1PuGOo3vYOCalKx1pBYkH6c6z03eiYzPPg/m&#10;vNzHqr9/e/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gmWEdMAAAAFAQAADwAAAAAAAAABACAA&#10;AAAiAAAAZHJzL2Rvd25yZXYueG1sUEsBAhQAFAAAAAgAh07iQEMl5GESAgAAIwQAAA4AAAAAAAAA&#10;AQAgAAAAIgEAAGRycy9lMm9Eb2MueG1sUEsFBgAAAAAGAAYAWQEAAKYFAAAAAA==&#10;">
                  <v:fill on="f" focussize="0,0"/>
                  <v:stroke on="f"/>
                  <v:imagedata o:title=""/>
                  <o:lock v:ext="edit" aspectratio="f"/>
                  <v:textbox>
                    <w:txbxContent>
                      <w:p w14:paraId="3FC49079">
                        <w:pPr>
                          <w:spacing w:line="240" w:lineRule="atLeast"/>
                          <w:contextualSpacing/>
                          <w:jc w:val="center"/>
                          <w:rPr>
                            <w:rFonts w:hint="default" w:eastAsia="宋体"/>
                            <w:lang w:val="en-US" w:eastAsia="zh-CN"/>
                          </w:rPr>
                        </w:pPr>
                        <w:r>
                          <w:rPr>
                            <w:rFonts w:hint="eastAsia"/>
                          </w:rPr>
                          <w:t>损耗</w:t>
                        </w:r>
                      </w:p>
                    </w:txbxContent>
                  </v:textbox>
                </v:shape>
                <v:line id="Line 1924" o:spid="_x0000_s1026" o:spt="20" style="position:absolute;left:2583180;top:797560;flip:y;height:1270;width:1658620;" filled="f" stroked="t" coordsize="21600,21600" o:gfxdata="UEsDBAoAAAAAAIdO4kAAAAAAAAAAAAAAAAAEAAAAZHJzL1BLAwQUAAAACACHTuJAL87nn9YAAAAF&#10;AQAADwAAAGRycy9kb3ducmV2LnhtbE2PwU7DMBBE70j8g7VI3KidqkFpiNMDAokTghYhcXPjJQmN&#10;18HeNoWvx/QCl5VGM5p5W62ObhAHDLH3pCGbKRBIjbc9tRpeNvdXBYjIhqwZPKGGL4ywqs/PKlNa&#10;P9EzHtbcilRCsTQaOuaxlDI2HToTZ35ESt67D85wkqGVNpgplbtBzpW6ls70lBY6M+Jth81uvXca&#10;lpsp909h97rI+s+377sPHh8eWevLi0zdgGA88l8YfvETOtSJaev3ZKMYNKRH+HSTV+TzBYithrxQ&#10;S5B1Jf/T1z9QSwMEFAAAAAgAh07iQKg96dT9AQAA6gMAAA4AAABkcnMvZTJvRG9jLnhtbK1TTY/b&#10;IBC9V+p/QNwbx97my4qzh6TbS9pG2m3vBLCNCgwCEjv/vgOJdrfbyx7qAwLPzJv3HsP6fjSanKUP&#10;CmxDy8mUEmk5CGW7hv58evi0pCREZgXTYGVDLzLQ+83HD+vB1bKCHrSQniCIDfXgGtrH6OqiCLyX&#10;hoUJOGkx2II3LOLRd4XwbEB0o4tqOp0XA3jhPHAZAv7dXYP0hujfAwhtq7jcAT8ZaeMV1UvNIkoK&#10;vXKBbjLbtpU8/mjbICPRDUWlMa/YBPfHtBabNas7z1yv+I0Cew+FN5oMUxabPkPtWGTk5NU/UEZx&#10;DwHaOOFgiquQ7AiqKKdvvHnsmZNZC1od3LPp4f/B8u/ngydKNLSq7iixzOCV75WVpFxVn5M9gws1&#10;Zm3twSeBfLSPbg/8dyAWtj2zncw0ny4OK8tUUfxVkg7BYZPj8A0E5rBThOzV2HpDWq3cr1SYwNEP&#10;MiKV2fKuXOIVXRq6WC1m89s9yTESjvFyPlvOK4xzTCirRQ4XrE6ACcb5EL9KMCRtGqpRToZn532I&#10;ieBLSkq38KC0zpOgLRkauppVs1wQQCuRgikt+O641Z6cWZql/GW1GHmd5uFkRQaLTOkvVpCYrYle&#10;oVla0tTBSEGJlvgA0+5KSdubdcmtq+9HEJeDT+HkIo5A5n4b1zRjr8856+WJ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87nn9YAAAAFAQAADwAAAAAAAAABACAAAAAiAAAAZHJzL2Rvd25yZXYu&#10;eG1sUEsBAhQAFAAAAAgAh07iQKg96dT9AQAA6gMAAA4AAAAAAAAAAQAgAAAAJQEAAGRycy9lMm9E&#10;b2MueG1sUEsFBgAAAAAGAAYAWQEAAJQFAAAAAA==&#10;">
                  <v:fill on="f" focussize="0,0"/>
                  <v:stroke color="#000000" joinstyle="round" endarrow="block"/>
                  <v:imagedata o:title=""/>
                  <o:lock v:ext="edit" aspectratio="f"/>
                </v:line>
                <v:line id="Line 1924" o:spid="_x0000_s1026" o:spt="20" style="position:absolute;left:782320;top:800735;flip:y;height:8255;width:560705;" filled="f" stroked="t" coordsize="21600,21600" o:gfxdata="UEsDBAoAAAAAAIdO4kAAAAAAAAAAAAAAAAAEAAAAZHJzL1BLAwQUAAAACACHTuJAL87nn9YAAAAF&#10;AQAADwAAAGRycy9kb3ducmV2LnhtbE2PwU7DMBBE70j8g7VI3KidqkFpiNMDAokTghYhcXPjJQmN&#10;18HeNoWvx/QCl5VGM5p5W62ObhAHDLH3pCGbKRBIjbc9tRpeNvdXBYjIhqwZPKGGL4ywqs/PKlNa&#10;P9EzHtbcilRCsTQaOuaxlDI2HToTZ35ESt67D85wkqGVNpgplbtBzpW6ls70lBY6M+Jth81uvXca&#10;lpsp909h97rI+s+377sPHh8eWevLi0zdgGA88l8YfvETOtSJaev3ZKMYNKRH+HSTV+TzBYithrxQ&#10;S5B1Jf/T1z9QSwMEFAAAAAgAh07iQPeNUsz8AQAA6AMAAA4AAABkcnMvZTJvRG9jLnhtbK1TwXLb&#10;IBC9d6b/wHCvJStV7Ggs52A3vbitZ5L2jgFJTIFlAFv233dBniRNLzlUBw3wdt/ueyyr+7PR5CR9&#10;UGBbOp+VlEjLQSjbt/Tn08OnJSUhMiuYBitbepGB3q8/fliNrpEVDKCF9ARJbGhG19IhRtcUReCD&#10;NCzMwEmLYAfesIhb3xfCsxHZjS6qsrwtRvDCeeAyBDzdTiC9Mvr3EELXKS63wI9G2jixeqlZRElh&#10;UC7Qde626ySPP7ouyEh0S1FpzH8sgutD+hfrFWt6z9yg+LUF9p4W3mgyTFks+ky1ZZGRo1f/UBnF&#10;PQTo4oyDKSYh2RFUMS/fePM4MCezFrQ6uGfTw/+j5d9Pe0+UaGlVfabEMoNXvlNWkvkdHqA9owsN&#10;Rm3s3ieB/Gwf3Q7470AsbAZme5nbfLo4zJynjOKvlLQJDoscxm8gMIYdI2Svzp03pNPK/UqJiRz9&#10;IOeWLpbVTYU3dGnpsiwXN/V0TfIcCUe4vi0XZU0JT3hVZ7RgTaJLJM6H+FWCIWnRUo1iMjk77UJM&#10;7b2EpHALD0rrPAfakrGld3VV54QAWokEprDg+8NGe3JiaZLyl7Ui8jrMw9GKTBaZ0l+sIDEbE71C&#10;q7SkqYKRghIt8fml1dSStlfjkleT6wcQl71PcPIQByD3fh3WNGGv9znq5YGu/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zuef1gAAAAUBAAAPAAAAAAAAAAEAIAAAACIAAABkcnMvZG93bnJldi54&#10;bWxQSwECFAAUAAAACACHTuJA941SzPwBAADoAwAADgAAAAAAAAABACAAAAAlAQAAZHJzL2Uyb0Rv&#10;Yy54bWxQSwUGAAAAAAYABgBZAQAAkwUAAAAA&#10;">
                  <v:fill on="f" focussize="0,0"/>
                  <v:stroke color="#000000" joinstyle="round" endarrow="block"/>
                  <v:imagedata o:title=""/>
                  <o:lock v:ext="edit" aspectratio="f"/>
                </v:line>
                <v:shape id="Text Box 1913" o:spid="_x0000_s1026" o:spt="202" type="#_x0000_t202" style="position:absolute;left:1248410;top:53340;height:297180;width:55499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P7CiHYTAgAAIgQAAA4AAABkcnMvZTJvRG9jLnhtbK1Ty27bMBC8&#10;F+g/ELzXsmS5sQXLQRojRYH0AST9AJqiLKISl13Sltyv75JSUje95NCLQHJWszvD4eZ66Fp2Uug0&#10;mJKnszlnykiotDmU/Pvj3bsVZ84LU4kWjCr5WTl+vX37ZtPbQmXQQFspZERiXNHbkjfe2yJJnGxU&#10;J9wMrDIE1oCd8LTFQ1Kh6Im9a5NsPn+f9ICVRZDKOTrdjSCfGPE1hFDXWqodyGOnjB9ZUbXCkyTX&#10;aOv4Nk5b10r6r3XtlGdtyUmpj19qQut9+CbbjSgOKGyj5TSCeM0ILzR1Qhtq+ky1E16wI+p/qDot&#10;ERzUfiahS0Yh0RFSkc5fePPQCKuiFrLa2WfT3f+jlV9O35DpquRZtuTMiI6u/FENnn2AgaXrdBEs&#10;6q0rqPLBUq0fCKHgRLnO3oP84ZiB20aYg7pBhL5RoqIR0/BncvHryOMCyb7/DBV1EkcPkWiosQv+&#10;kSMssGf5Kk/pks4lXy4W+XRRYS5J8HKZr9eESoKz9VW6ingiiicai85/VNCxsCg5Ug5iG3G6dz6M&#10;JYqnktDVwJ1u25iF1vx1QIXhJMoIk48a/LAfJlv2UJ1JEMIYLXpYtGgAf3HWU6xK7n4eBSrO2k+G&#10;TFmnOYlhPm7y5VVGG7xE9peIMJKoSu45G5e3fszu0aI+NNRpvAYDN2RkraO04Pg41TQ3RScqnmIe&#10;snm5j1V/nvb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YJlhHTAAAABQEAAA8AAAAAAAAAAQAg&#10;AAAAIgAAAGRycy9kb3ducmV2LnhtbFBLAQIUABQAAAAIAIdO4kD+woh2EwIAACIEAAAOAAAAAAAA&#10;AAEAIAAAACIBAABkcnMvZTJvRG9jLnhtbFBLBQYAAAAABgAGAFkBAACnBQAAAAA=&#10;">
                  <v:fill on="f" focussize="0,0"/>
                  <v:stroke on="f"/>
                  <v:imagedata o:title=""/>
                  <o:lock v:ext="edit" aspectratio="f"/>
                  <v:textbox>
                    <w:txbxContent>
                      <w:p w14:paraId="27CFF999">
                        <w:pPr>
                          <w:spacing w:line="240" w:lineRule="atLeast"/>
                          <w:contextualSpacing/>
                          <w:rPr>
                            <w:rFonts w:hint="default" w:eastAsia="宋体"/>
                            <w:lang w:val="en-US" w:eastAsia="zh-CN"/>
                          </w:rPr>
                        </w:pPr>
                        <w:r>
                          <w:rPr>
                            <w:rFonts w:hint="eastAsia"/>
                            <w:snapToGrid w:val="0"/>
                            <w:szCs w:val="22"/>
                            <w:lang w:val="en-US" w:eastAsia="zh-CN"/>
                          </w:rPr>
                          <w:t>1.19</w:t>
                        </w:r>
                      </w:p>
                    </w:txbxContent>
                  </v:textbox>
                </v:shape>
                <v:shape id="Text Box 1913" o:spid="_x0000_s1026" o:spt="202" type="#_x0000_t202" style="position:absolute;left:808990;top:581660;height:297180;width:55499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MlUHBoTAgAAIgQAAA4AAABkcnMvZTJvRG9jLnhtbK1Ty27bMBC8&#10;F+g/ELzXslTbkQXLQRojRYH0AST9AJqiLKISl13Sltyv75JSUje95NCLQHJWszvD4eZ66Fp2Uug0&#10;mJKnszlnykiotDmU/Pvj3bucM+eFqUQLRpX8rBy/3r59s+ltoTJooK0UMiIxruhtyRvvbZEkTjaq&#10;E24GVhkCa8BOeNriIalQ9MTetUk2n6+SHrCyCFI5R6e7EeQTI76GEOpaS7UDeeyU8SMrqlZ4kuQa&#10;bR3fxmnrWkn/ta6d8qwtOSn18UtNaL0P32S7EcUBhW20nEYQrxnhhaZOaENNn6l2wgt2RP0PVacl&#10;goPazyR0ySgkOkIq0vkLbx4aYVXUQlY7+2y6+3+08svpGzJdlTzLVpwZ0dGVP6rBsw8wsHSdvg8W&#10;9dYVVPlgqdYPhFBwolxn70H+cMzAbSPMQd0gQt8oUdGIafgzufh15HGBZN9/hoo6iaOHSDTU2AX/&#10;yBFG7Pk8X6/pjs4lX+bpajVdVJhLErxcLiIsCc/WV2ke8UQUTzQWnf+ooGNhUXKkHMQ24nTvfBhL&#10;FE8loauBO922MQut+euACsNJlBEmHzX4YT9MtuyhOpMghDFa9LBo0QD+4qynWJXc/TwKVJy1nwyZ&#10;sk4Xi5DDuFksrzLa4CWyv0SEkURVcs/ZuLz1Y3aPFvWhoU7jNRi4ISNrHaUFx8epprkpOlHxFPOQ&#10;zct9rPrztL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YJlhHTAAAABQEAAA8AAAAAAAAAAQAg&#10;AAAAIgAAAGRycy9kb3ducmV2LnhtbFBLAQIUABQAAAAIAIdO4kDJVBwaEwIAACIEAAAOAAAAAAAA&#10;AAEAIAAAACIBAABkcnMvZTJvRG9jLnhtbFBLBQYAAAAABgAGAFkBAACnBQAAAAA=&#10;">
                  <v:fill on="f" focussize="0,0"/>
                  <v:stroke on="f"/>
                  <v:imagedata o:title=""/>
                  <o:lock v:ext="edit" aspectratio="f"/>
                  <v:textbox>
                    <w:txbxContent>
                      <w:p w14:paraId="05970800">
                        <w:pPr>
                          <w:spacing w:line="240" w:lineRule="atLeast"/>
                          <w:contextualSpacing/>
                          <w:rPr>
                            <w:rFonts w:hint="default" w:eastAsia="宋体"/>
                            <w:lang w:val="en-US" w:eastAsia="zh-CN"/>
                          </w:rPr>
                        </w:pPr>
                        <w:r>
                          <w:rPr>
                            <w:rFonts w:hint="eastAsia"/>
                            <w:snapToGrid w:val="0"/>
                            <w:szCs w:val="22"/>
                            <w:lang w:val="en-US" w:eastAsia="zh-CN"/>
                          </w:rPr>
                          <w:t>4.71</w:t>
                        </w:r>
                      </w:p>
                    </w:txbxContent>
                  </v:textbox>
                </v:shape>
                <v:shape id="Text Box 1913" o:spid="_x0000_s1026" o:spt="202" type="#_x0000_t202" style="position:absolute;left:2612390;top:556260;height:297180;width:47879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NwifEcTAgAAIwQAAA4AAABkcnMvZTJvRG9jLnhtbK1Ty27bMBC8&#10;F+g/ELzXshQ/BctBGiNFgTQtkPQDaIqyiEpcdklbcr++S0pJ3fSSQy8CyVnN7gyHm+u+bdhJodNg&#10;Cp5OppwpI6HU5lDw7093H1acOS9MKRowquBn5fj19v27TWdzlUENTamQEYlxeWcLXntv8yRxslat&#10;cBOwyhBYAbbC0xYPSYmiI/a2SbLpdJF0gKVFkMo5Ot0NIB8Z8S2EUFVaqh3IY6uMH1hRNcKTJFdr&#10;6/g2TltVSvqvVeWUZ03BSamPX2pC6334JtuNyA8obK3lOIJ4ywivNLVCG2r6QrUTXrAj6n+oWi0R&#10;HFR+IqFNBiHREVKRTl9581gLq6IWstrZF9Pd/6OVD6dvyHRZ8CxbcmZES1f+pHrPPkLP0nV6FSzq&#10;rMup8tFSre8JoeBEuc7eg/zhmIHbWpiDukGErlaipBHT8Gdy8evA4wLJvvsCJXUSRw+RqK+wDf6R&#10;I4zYs0WaXa3pks4Fn88X2WK8qTCYJHy2XC0DLAnP1st0FfFE5M88Fp3/pKBlYVFwpCDEPuJ073yY&#10;S+TPJaGtgTvdNDEMjfnrgArDSdQRRh9E+H7fj77soTyTIoQhW/SyaFED/uKso1wV3P08ClScNZ8N&#10;ubJOZ7MQxLiZzZcZbfAS2V8iwkiiKrjnbFje+iG8R4v6UFOn4R4M3JCTlY7SguXDVOPclJ2oeMx5&#10;COflPlb9edv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YJlhHTAAAABQEAAA8AAAAAAAAAAQAg&#10;AAAAIgAAAGRycy9kb3ducmV2LnhtbFBLAQIUABQAAAAIAIdO4kDcInxHEwIAACMEAAAOAAAAAAAA&#10;AAEAIAAAACIBAABkcnMvZTJvRG9jLnhtbFBLBQYAAAAABgAGAFkBAACnBQAAAAA=&#10;">
                  <v:fill on="f" focussize="0,0"/>
                  <v:stroke on="f"/>
                  <v:imagedata o:title=""/>
                  <o:lock v:ext="edit" aspectratio="f"/>
                  <v:textbox>
                    <w:txbxContent>
                      <w:p w14:paraId="711C6956">
                        <w:pPr>
                          <w:spacing w:line="240" w:lineRule="atLeast"/>
                          <w:contextualSpacing/>
                          <w:rPr>
                            <w:rFonts w:hint="default" w:eastAsia="宋体"/>
                            <w:lang w:val="en-US" w:eastAsia="zh-CN"/>
                          </w:rPr>
                        </w:pPr>
                        <w:r>
                          <w:rPr>
                            <w:rFonts w:hint="eastAsia"/>
                            <w:snapToGrid w:val="0"/>
                            <w:szCs w:val="22"/>
                            <w:lang w:val="en-US" w:eastAsia="zh-CN"/>
                          </w:rPr>
                          <w:t>4.96</w:t>
                        </w:r>
                      </w:p>
                    </w:txbxContent>
                  </v:textbox>
                </v:shape>
                <v:shape id="Text Box 1913" o:spid="_x0000_s1026" o:spt="202" type="#_x0000_t202" style="position:absolute;left:1933575;top:387985;height:297180;width:47879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J8CnOEVAgAAIwQAAA4AAABkcnMvZTJvRG9jLnhtbK1Ty27bMBC8&#10;F+g/ELzXsmS7tgXLQRojRYH0AST9AJqiLKIil13SltKv75JyUje95NALQXKXszuzw83VYDp2Uug1&#10;2IrnkylnykqotT1U/PvD7bsVZz4IW4sOrKr4o/L8avv2zaZ3pSqgha5WyAjE+rJ3FW9DcGWWedkq&#10;I/wEnLIUbACNCHTEQ1aj6AnddFkxnb7PesDaIUjlPd3uxiA/I+JrAKFptFQ7kEejbBhRUXUiECXf&#10;auf5NnXbNEqGr03jVWBdxYlpSCsVof0+rtl2I8oDCtdqeW5BvKaFF5yM0JaKPkPtRBDsiPofKKMl&#10;gocmTCSYbCSSFCEW+fSFNvetcCpxIam9exbd/z9Y+eX0DZmuK14UNHgrDI38QQ2BfYCB5et8FiXq&#10;nS8p895RbhgoQsZJdL27A/nDMws3rbAHdY0IfatETS3m8WV28XTE8RFk33+GmiqJY4AENDRoon6k&#10;CIvo69lssVxw9ljx2Wq5Xi3GScXGJMXnS7qkGUqKF+tlvkqTzET5hOPQh48KDIubiiMZIdURpzsf&#10;Yl+ifEqJZS3c6q5LZujsXxeUGG8Sj9j6SCIM++Gsyx7qR2KEMHqLfhZtWsBfnPXkq4r7n0eBirPu&#10;kyVV1vl8Ho2YDvPFsqADXkb2lxFhJUFVPHA2bm/CaN6jQ31oqdI4BwvXpGSjE7Uo+djVuW/yTmJ8&#10;9nk05+U5Zf3529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mWEdMAAAAFAQAADwAAAAAAAAAB&#10;ACAAAAAiAAAAZHJzL2Rvd25yZXYueG1sUEsBAhQAFAAAAAgAh07iQJ8CnOEVAgAAIwQAAA4AAAAA&#10;AAAAAQAgAAAAIgEAAGRycy9lMm9Eb2MueG1sUEsFBgAAAAAGAAYAWQEAAKkFAAAAAA==&#10;">
                  <v:fill on="f" focussize="0,0"/>
                  <v:stroke on="f"/>
                  <v:imagedata o:title=""/>
                  <o:lock v:ext="edit" aspectratio="f"/>
                  <v:textbox>
                    <w:txbxContent>
                      <w:p w14:paraId="248192CF">
                        <w:pPr>
                          <w:spacing w:line="240" w:lineRule="atLeast"/>
                          <w:contextualSpacing/>
                          <w:rPr>
                            <w:rFonts w:hint="default" w:eastAsia="宋体"/>
                            <w:lang w:val="en-US" w:eastAsia="zh-CN"/>
                          </w:rPr>
                        </w:pPr>
                        <w:r>
                          <w:rPr>
                            <w:rFonts w:hint="eastAsia"/>
                            <w:snapToGrid w:val="0"/>
                            <w:szCs w:val="22"/>
                            <w:lang w:val="en-US" w:eastAsia="zh-CN"/>
                          </w:rPr>
                          <w:t>0.94</w:t>
                        </w:r>
                      </w:p>
                    </w:txbxContent>
                  </v:textbox>
                </v:shape>
                <v:shape id="Text Box 1916" o:spid="_x0000_s1026" o:spt="202" type="#_x0000_t202" style="position:absolute;left:1700530;top:883920;height:297815;width:50863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C6B1p0WAgAAIwQAAA4AAABkcnMvZTJvRG9jLnhtbK1Ty27bMBC8&#10;F+g/ELzXevgRW7AcpDFSFEjTAkk/gKYoi6jEZZe0Jffru6Sc1E0vOfQikNzV7MxwuL4eupYdFToN&#10;puTZJOVMGQmVNvuSf3+6+7DkzHlhKtGCUSU/KcevN+/frXtbqBwaaCuFjECMK3pb8sZ7WySJk43q&#10;hJuAVYaKNWAnPG1xn1QoekLv2iRP00XSA1YWQSrn6HQ7FvkZEd8CCHWtpdqCPHTK+BEVVSs8SXKN&#10;to5vItu6VtJ/rWunPGtLTkp9/NIQWu/CN9msRbFHYRstzxTEWyi80tQJbWjoC9RWeMEOqP+B6rRE&#10;cFD7iYQuGYVER0hFlr7y5rERVkUtZLWzL6a7/wcrH47fkOmq5Hm+4syIjq78SQ2efYSBZatsESzq&#10;rSuo89FSrx+oQsGJcp29B/nDMQO3jTB7dYMIfaNERRSz8Gdy8euI4wLIrv8CFU0SBw8RaKixC/6R&#10;IyygX6XpfEqXdCr5cjld5eebCsQk1efpcjGdcyapnq+ultk8DhPFM45F5z8p6FhYlBwpCHGOON47&#10;H3iJ4rkljDVwp9s2hqE1fx1QYziJOgL1UYQfdsPZlx1UJ1KEMGaLXhYtGsBfnPWUq5K7nweBirP2&#10;syFXVtlsFoIYN7P5FSljeFnZXVaEkQRVcs/ZuLz1Y3gPFvW+oUnjPRi4ISdrHaUFy0dWZ96Unaj4&#10;nPMQzst97Przt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JlhHTAAAABQEAAA8AAAAAAAAA&#10;AQAgAAAAIgAAAGRycy9kb3ducmV2LnhtbFBLAQIUABQAAAAIAIdO4kAugdadFgIAACMEAAAOAAAA&#10;AAAAAAEAIAAAACIBAABkcnMvZTJvRG9jLnhtbFBLBQYAAAAABgAGAFkBAACqBQAAAAA=&#10;">
                  <v:fill on="f" focussize="0,0"/>
                  <v:stroke on="f"/>
                  <v:imagedata o:title=""/>
                  <o:lock v:ext="edit" aspectratio="f"/>
                  <v:textbox>
                    <w:txbxContent>
                      <w:p w14:paraId="66916DF4">
                        <w:pPr>
                          <w:spacing w:line="240" w:lineRule="atLeast"/>
                          <w:contextualSpacing/>
                          <w:jc w:val="center"/>
                          <w:rPr>
                            <w:rFonts w:hint="default" w:eastAsia="宋体"/>
                            <w:lang w:val="en-US" w:eastAsia="zh-CN"/>
                          </w:rPr>
                        </w:pPr>
                        <w:r>
                          <w:rPr>
                            <w:rFonts w:hint="eastAsia"/>
                          </w:rPr>
                          <w:t>损耗</w:t>
                        </w:r>
                      </w:p>
                    </w:txbxContent>
                  </v:textbox>
                </v:shape>
                <v:line id="Line 1924" o:spid="_x0000_s1026" o:spt="20" style="position:absolute;left:2564130;top:1515745;flip:y;height:635;width:1663065;" filled="f" stroked="t" coordsize="21600,21600" o:gfxdata="UEsDBAoAAAAAAIdO4kAAAAAAAAAAAAAAAAAEAAAAZHJzL1BLAwQUAAAACACHTuJAL87nn9YAAAAF&#10;AQAADwAAAGRycy9kb3ducmV2LnhtbE2PwU7DMBBE70j8g7VI3KidqkFpiNMDAokTghYhcXPjJQmN&#10;18HeNoWvx/QCl5VGM5p5W62ObhAHDLH3pCGbKRBIjbc9tRpeNvdXBYjIhqwZPKGGL4ywqs/PKlNa&#10;P9EzHtbcilRCsTQaOuaxlDI2HToTZ35ESt67D85wkqGVNpgplbtBzpW6ls70lBY6M+Jth81uvXca&#10;lpsp909h97rI+s+377sPHh8eWevLi0zdgGA88l8YfvETOtSJaev3ZKMYNKRH+HSTV+TzBYithrxQ&#10;S5B1Jf/T1z9QSwMEFAAAAAgAh07iQA4KbUP8AQAA6gMAAA4AAABkcnMvZTJvRG9jLnhtbK1TwXLb&#10;IBS8d6b/wHCvZdmWmmgs52A3vbitZ5L0jgFZTIHHALbsv+8DeZI0veQQHTSgt2/ZXT2Wd2ejyUn6&#10;oMC2tJxMKZGWg1D20NKnx/svN5SEyKxgGqxs6UUGerf6/Gk5uEbOoActpCdIYkMzuJb2MbqmKALv&#10;pWFhAk5aLHbgDYu49YdCeDYgu9HFbDqtiwG8cB64DAG/bsYivTL69xBC1ykuN8CPRto4snqpWURL&#10;oVcu0FVW23WSx19dF2QkuqXoNOY3HoLrfXoXqyVrDp65XvGrBPYeCW88GaYsHvpMtWGRkaNX/1EZ&#10;xT0E6OKEgylGIzkRdFFO32Tz0DMnsxeMOrjn0MPH0fKfp50nSrR0NsdMLDP4y7fKSlLezhYpnsGF&#10;BlFru/PJID/bB7cF/icQC+ue2YPMMh8vDjvL1FH805I2weEh++EHCMSwY4Sc1bnzhnRaud+pMZFj&#10;HuSMUqp6USY5FyxUZfV1UY0/Sp4j4Qgo63o+rStKOCLqea4WrEmEicb5EL9LMCQtWqrRTqZnp22I&#10;SeALJMEt3Cut8yRoS4aW3lazKjcE0EqkYoIFf9ivtScnlmYpP9ktVl7DPBytyGSRKf3NChJzNNEr&#10;DEtLmk4wUlCiJV7AtBolaXuNLqU15r4Hcdn5VE4p4ghk7ddxTTP2ep9RL1d09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zuef1gAAAAUBAAAPAAAAAAAAAAEAIAAAACIAAABkcnMvZG93bnJldi54&#10;bWxQSwECFAAUAAAACACHTuJADgptQ/wBAADqAwAADgAAAAAAAAABACAAAAAlAQAAZHJzL2Uyb0Rv&#10;Yy54bWxQSwUGAAAAAAYABgBZAQAAkwUAAAAA&#10;">
                  <v:fill on="f" focussize="0,0"/>
                  <v:stroke color="#000000" joinstyle="round" endarrow="block"/>
                  <v:imagedata o:title=""/>
                  <o:lock v:ext="edit" aspectratio="f"/>
                </v:line>
                <v:line id="Line 1939" o:spid="_x0000_s1026" o:spt="20" style="position:absolute;left:1965960;top:1093470;flip:x y;height:245745;width:1905;" filled="f" stroked="t" coordsize="21600,21600" o:gfxdata="UEsDBAoAAAAAAIdO4kAAAAAAAAAAAAAAAAAEAAAAZHJzL1BLAwQUAAAACACHTuJANgPLYNQAAAAF&#10;AQAADwAAAGRycy9kb3ducmV2LnhtbE2OQU7DMBBF90jcwRokdtRuSVEIcSqBVKRKbFo4gBsPcSAe&#10;R7bbBk7PwIZuRvr6X29evZr8II4YUx9Iw3ymQCC1wfbUaXh7Xd+UIFI2ZM0QCDV8YYJVc3lRm8qG&#10;E23xuMudYAilymhwOY+VlKl16E2ahRGJu/cQvckcYydtNCeG+0EulLqT3vTEH5wZ8clh+7k7eA1q&#10;/THlzXMRv2+lksXGbWP78qj19dVcPYDIOOX/Mfzqszo07LQPB7JJDMzg3d/lrlwuChB7DctS3YNs&#10;anlu3/wAUEsDBBQAAAAIAIdO4kBFAFhVCgIAAAwEAAAOAAAAZHJzL2Uyb0RvYy54bWytU8tu2zAQ&#10;vBfoPxC815IfcirBcg520x7SxkDS3mmSsojyBZK27L/vLmUkTXrJoToIS+3s7M5wtbo9G01OMkTl&#10;bEunk5ISabkTyh5a+vPp7tNnSmJiVjDtrGzpRUZ6u/74YTX4Rs5c77SQgQCJjc3gW9qn5JuiiLyX&#10;hsWJ89JCsnPBsATHcChEYAOwG13MynJZDC4IHxyXMcLX7ZikV8bwHkLXdYrLreNHI20aWYPULIGk&#10;2Csf6TpP23WSp4euizIR3VJQmvIbmkC8x3exXrHmEJjvFb+OwN4zwhtNhikLTZ+ptiwxcgzqHyqj&#10;eHDRdWnCnSlGIdkRUDEt33jz2DMvsxawOvpn0+P/o+U/TrtAlGjpbD6lxDIDV36vrCTTel6jPYOP&#10;DaA2dhdQID/bR3/v+O9IrNv0zB5kHvPp4qFyihXFqxI8RA9N9sN3JwDDjsllr85dMKTTyn/Dwhz9&#10;wgjbgDPkDId6WdVLuKwLxGU9X9xcr0yeE+EZUFaUcEjPFtXNosr9WYPUSONDTF+lMwSDlmoQlunZ&#10;6T4mHPUFgnDr7pTWeSe0JUNL62pW5YLotBKYRFgMh/1GB3JiuFX5ufZ9BcOeWxb7EScgQhRrgjta&#10;kaPElP5iBUnZvBQU2Kklxc5GCkq0hF8Uo3FUba/mop/jzeyduOwCptFnWJKs6brQuIV/nzPq5Sde&#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2A8tg1AAAAAUBAAAPAAAAAAAAAAEAIAAAACIAAABk&#10;cnMvZG93bnJldi54bWxQSwECFAAUAAAACACHTuJARQBYVQoCAAAMBAAADgAAAAAAAAABACAAAAAj&#10;AQAAZHJzL2Uyb0RvYy54bWxQSwUGAAAAAAYABgBZAQAAnwUAAAAA&#10;">
                  <v:fill on="f" focussize="0,0"/>
                  <v:stroke color="#000000" joinstyle="round" dashstyle="dash" endarrow="block"/>
                  <v:imagedata o:title=""/>
                  <o:lock v:ext="edit" aspectratio="f"/>
                </v:line>
                <v:line id="Line 1939" o:spid="_x0000_s1026" o:spt="20" style="position:absolute;left:1971040;top:375920;flip:x y;height:245745;width:1905;" filled="f" stroked="t" coordsize="21600,21600" o:gfxdata="UEsDBAoAAAAAAIdO4kAAAAAAAAAAAAAAAAAEAAAAZHJzL1BLAwQUAAAACACHTuJANgPLYNQAAAAF&#10;AQAADwAAAGRycy9kb3ducmV2LnhtbE2OQU7DMBBF90jcwRokdtRuSVEIcSqBVKRKbFo4gBsPcSAe&#10;R7bbBk7PwIZuRvr6X29evZr8II4YUx9Iw3ymQCC1wfbUaXh7Xd+UIFI2ZM0QCDV8YYJVc3lRm8qG&#10;E23xuMudYAilymhwOY+VlKl16E2ahRGJu/cQvckcYydtNCeG+0EulLqT3vTEH5wZ8clh+7k7eA1q&#10;/THlzXMRv2+lksXGbWP78qj19dVcPYDIOOX/Mfzqszo07LQPB7JJDMzg3d/lrlwuChB7DctS3YNs&#10;anlu3/wAUEsDBBQAAAAIAIdO4kDn+5k9CQIAAAsEAAAOAAAAZHJzL2Uyb0RvYy54bWytU02P2jAQ&#10;vVfqf7B8LwkBSokIe4Bue6At0m57N7ZDrPpLtiHw7zvjRLvd7WUPzSEaZ968mfc8Wd9djSYXGaJy&#10;tqHTSUmJtNwJZU8N/fl4/+ETJTExK5h2Vjb0JiO927x/t+59LSvXOS1kIEBiY937hnYp+booIu+k&#10;YXHivLSQbF0wLMExnAoRWA/sRhdVWX4seheED47LGOHrbkjSkTG8hdC1reJy5/jZSJsG1iA1SyAp&#10;dspHusnTtq3k6UfbRpmIbigoTfkNTSA+4rvYrFl9Csx3io8jsLeM8EqTYcpC0yeqHUuMnIP6h8oo&#10;Hlx0bZpwZ4pBSHYEVEzLV948dMzLrAWsjv7J9Pj/aPn3yyEQJRpazSpKLDNw5XtlJZmuZiu0p/ex&#10;BtTWHgIK5Ff74PeO/47Eum3H7EnmMR9vHiqnWFG8KMFD9NDk2H9zAjDsnFz26toGQ1qt/FcszNEv&#10;jLANOEOucFgtp+UcLuvW0NlysarGG5PXRHjOlwtKOGSr+WI5X+T2rEZmZPEhpi/SGYJBQzXoyuzs&#10;so8JJ32GINy6e6V1XgltSd/Q1aJa5ILotBKYRFgMp+NWB3JhuFT5Gfu+gGHPHYvdgBMQIYrVwZ2t&#10;yFFiSn+2gqTsXQoK3NSSYmcjBSVawh+K0TCqtqO3aOdwMUcnboeAabQZdiRrGvcZl/Dvc0Y9/8O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Dy2DUAAAABQEAAA8AAAAAAAAAAQAgAAAAIgAAAGRy&#10;cy9kb3ducmV2LnhtbFBLAQIUABQAAAAIAIdO4kDn+5k9CQIAAAsEAAAOAAAAAAAAAAEAIAAAACMB&#10;AABkcnMvZTJvRG9jLnhtbFBLBQYAAAAABgAGAFkBAACeBQAAAAA=&#10;">
                  <v:fill on="f" focussize="0,0"/>
                  <v:stroke color="#000000" joinstyle="round" dashstyle="dash" endarrow="block"/>
                  <v:imagedata o:title=""/>
                  <o:lock v:ext="edit" aspectratio="f"/>
                </v:line>
                <v:shape id="Text Box 1927" o:spid="_x0000_s1026" o:spt="202" type="#_x0000_t202" style="position:absolute;left:1284605;top:1983740;height:297180;width:929005;" fillcolor="#FFFFFF" filled="t" stroked="t" coordsize="21600,21600" o:gfxdata="UEsDBAoAAAAAAIdO4kAAAAAAAAAAAAAAAAAEAAAAZHJzL1BLAwQUAAAACACHTuJANTrKrNYAAAAF&#10;AQAADwAAAGRycy9kb3ducmV2LnhtbE2PwU7DMBBE70j8g7VIXBC1W9qShjg9IIHgBgXB1Y23SYS9&#10;DvY2LX+P4QKXlUYzmnlbrY/eiRFj6gNpmE4UCKQm2J5aDa8vd5cFiMSGrHGBUMMXJljXpyeVKW04&#10;0DOOG25FLqFUGg0d81BKmZoOvUmTMCBlbxeiN5xlbKWN5pDLvZMzpZbSm57yQmcGvO2w+djsvYZi&#10;/jC+p8erp7dmuXMrvrge7z+j1udnU3UDgvHIf2H4wc/oUGembdiTTcJpyI/w781esZjNQWw1LAq1&#10;AllX8j99/Q1QSwMEFAAAAAgAh07iQDrPUgM9AgAAlgQAAA4AAABkcnMvZTJvRG9jLnhtbK1U227b&#10;MAx9H7B/EPS+2HGTJjbqFF2LDAO6C9DuAxRZjoVJoiYpsbuvHyW7XZBtQB/mB4MM6cPDQzJX14NW&#10;5Cicl2BqOp/llAjDoZFmX9Nvj9t3a0p8YKZhCoyo6ZPw9Hrz9s1VbytRQAeqEY4giPFVb2vahWCr&#10;LPO8E5r5GVhhMNiC0yyg6/ZZ41iP6FplRZ5fZj24xjrgwnv89W4M0gnRvQYQ2lZycQf8oIUJI6oT&#10;igVsyXfSerpJbNtW8PClbb0IRNUUOw3pjUXQ3sV3trli1d4x20k+UWCvoXDWk2bSYNEXqDsWGDk4&#10;+QeUltyBhzbMOOhsbCQpgl3M8zNtHjpmReoFpfb2RXT//2D55+NXR2RT0+LighLDNI78UQyBvIeB&#10;zMtiFSXqra8w88FibhgwgouT2vX2Hvh3TwzcdszsxY1z0HeCNUhxHr/MTj4dcXwE2fWfoMFK7BAg&#10;AQ2t01E/VIRE9GK9uMyXlDyhXa4vVotpVJEZx4SyKPMY55hQlKv5OsUzVj0DWefDBwGaRKOmDjch&#10;FWLHex8iMVY9p8S6HpRstlKp5Lj97lY5cmS4Ndv0pF7O0pQhPTJZFstRi39C5On5G4SWAY9JSV3T&#10;9WmSMpN0Ua1RtzDshmkUO2ieUEQH4zrjMaPRgftJSY+rXFP/48CcoER9NDiIcr5A+UhIzmK5KtBx&#10;p5HdaYQZjlA1DZSM5m0Y7+Vgndx3WGkcvYEbHF4rk5hxyiOriTeua9J4Oq14D6d+yvr9d7L5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U6yqzWAAAABQEAAA8AAAAAAAAAAQAgAAAAIgAAAGRycy9k&#10;b3ducmV2LnhtbFBLAQIUABQAAAAIAIdO4kA6z1IDPQIAAJYEAAAOAAAAAAAAAAEAIAAAACUBAABk&#10;cnMvZTJvRG9jLnhtbFBLBQYAAAAABgAGAFkBAADUBQAAAAA=&#10;">
                  <v:fill on="t" focussize="0,0"/>
                  <v:stroke color="#000000" miterlimit="8" joinstyle="miter"/>
                  <v:imagedata o:title=""/>
                  <o:lock v:ext="edit" aspectratio="f"/>
                  <v:textbox>
                    <w:txbxContent>
                      <w:p w14:paraId="1B2A2E19">
                        <w:pPr>
                          <w:spacing w:line="240" w:lineRule="atLeast"/>
                          <w:contextualSpacing/>
                          <w:jc w:val="center"/>
                          <w:rPr>
                            <w:rFonts w:hint="default" w:eastAsia="宋体"/>
                            <w:lang w:val="en-US" w:eastAsia="zh-CN"/>
                          </w:rPr>
                        </w:pPr>
                        <w:r>
                          <w:rPr>
                            <w:rFonts w:hint="eastAsia"/>
                            <w:lang w:val="en-US" w:eastAsia="zh-CN"/>
                          </w:rPr>
                          <w:t>软化水制水</w:t>
                        </w:r>
                      </w:p>
                    </w:txbxContent>
                  </v:textbox>
                </v:shape>
                <v:shape id="Text Box 1927" o:spid="_x0000_s1026" o:spt="202" type="#_x0000_t202" style="position:absolute;left:2647950;top:1978025;height:297180;width:1052195;" fillcolor="#FFFFFF" filled="t" stroked="t" coordsize="21600,21600" o:gfxdata="UEsDBAoAAAAAAIdO4kAAAAAAAAAAAAAAAAAEAAAAZHJzL1BLAwQUAAAACACHTuJANTrKrNYAAAAF&#10;AQAADwAAAGRycy9kb3ducmV2LnhtbE2PwU7DMBBE70j8g7VIXBC1W9qShjg9IIHgBgXB1Y23SYS9&#10;DvY2LX+P4QKXlUYzmnlbrY/eiRFj6gNpmE4UCKQm2J5aDa8vd5cFiMSGrHGBUMMXJljXpyeVKW04&#10;0DOOG25FLqFUGg0d81BKmZoOvUmTMCBlbxeiN5xlbKWN5pDLvZMzpZbSm57yQmcGvO2w+djsvYZi&#10;/jC+p8erp7dmuXMrvrge7z+j1udnU3UDgvHIf2H4wc/oUGembdiTTcJpyI/w781esZjNQWw1LAq1&#10;AllX8j99/Q1QSwMEFAAAAAgAh07iQBDmW9o/AgAAlwQAAA4AAABkcnMvZTJvRG9jLnhtbK1U227b&#10;MAx9H7B/EPS++rKkiY04RZeiw4CuG9DuAxRZjoVJoiYpsbuvHyWnXZANQx/mB0M0qcPDQ9Krq1Er&#10;chDOSzANLS5ySoTh0Eqza+i3x9t3S0p8YKZlCoxo6JPw9Gr99s1qsLUooQfVCkcQxPh6sA3tQ7B1&#10;lnneC838BVhh0NmB0yyg6XZZ69iA6FplZZ5fZgO41jrgwnv8ejM56RHRvQYQuk5ycQN8r4UJE6oT&#10;igUsyffSerpObLtO8PCl67wIRDUUKw3pjUnwvI3vbL1i9c4x20t+pMBeQ+GsJs2kwaQvUDcsMLJ3&#10;8g8oLbkDD1244KCzqZCkCFZR5GfaPPTMilQLSu3ti+j+/8Hy+8NXR2Tb0PL9jBLDNLb8UYyBfICR&#10;FFW5iBIN1tcY+WAxNozowcFJ5Xp7B/y7JwY2PTM7ce0cDL1gLVIs4s3s5OqE4yPIdvgMLWZi+wAJ&#10;aOycjvqhIgTRy8vZoppjk54Qp1os83I+tSoy4zF9Pi+Lak4Jx4iyWhTL1MuM1c9I1vnwUYAm8dBQ&#10;h6OQMrHDnQ+RGaufQ2JiD0q2t1KpZLjddqMcOTAcm9v0pGLOwpQhQ0OrOZL7N0Senr9BaBlwm5TU&#10;DV2eBilz1C7KNQkXxu147MUW2idU0cE0z7jNeOjB/aRkwFluqP+xZ05Qoj4Z7ERVzGZx+JMxmy9K&#10;NNypZ3vqYYYjVEMDJdNxE6aF2Vsndz1mmnpv4Bq718kkZmzzxOrIG+c1aXzcrbgQp3aK+v0/W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TrKrNYAAAAFAQAADwAAAAAAAAABACAAAAAiAAAAZHJz&#10;L2Rvd25yZXYueG1sUEsBAhQAFAAAAAgAh07iQBDmW9o/AgAAlwQAAA4AAAAAAAAAAQAgAAAAJQEA&#10;AGRycy9lMm9Eb2MueG1sUEsFBgAAAAAGAAYAWQEAANYFAAAAAA==&#10;">
                  <v:fill on="t" focussize="0,0"/>
                  <v:stroke color="#000000" miterlimit="8" joinstyle="miter"/>
                  <v:imagedata o:title=""/>
                  <o:lock v:ext="edit" aspectratio="f"/>
                  <v:textbox>
                    <w:txbxContent>
                      <w:p w14:paraId="4F421107">
                        <w:pPr>
                          <w:spacing w:line="240" w:lineRule="atLeast"/>
                          <w:contextualSpacing/>
                          <w:jc w:val="center"/>
                          <w:rPr>
                            <w:rFonts w:hint="default" w:eastAsia="宋体"/>
                            <w:lang w:val="en-US" w:eastAsia="zh-CN"/>
                          </w:rPr>
                        </w:pPr>
                        <w:r>
                          <w:rPr>
                            <w:rFonts w:hint="eastAsia"/>
                            <w:lang w:val="en-US" w:eastAsia="zh-CN"/>
                          </w:rPr>
                          <w:t>电蒸汽发生器</w:t>
                        </w:r>
                      </w:p>
                    </w:txbxContent>
                  </v:textbox>
                </v:shape>
                <v:line id="Line 1924" o:spid="_x0000_s1026" o:spt="20" style="position:absolute;left:2218690;top:2124075;height:2540;width:417830;" filled="f" stroked="t" coordsize="21600,21600" o:gfxdata="UEsDBAoAAAAAAIdO4kAAAAAAAAAAAAAAAAAEAAAAZHJzL1BLAwQUAAAACACHTuJA56ZyzNcAAAAF&#10;AQAADwAAAGRycy9kb3ducmV2LnhtbE2PwU7DMBBE70j8g7VI3KidiiKTxumhUrm0gNoiBDc33iZR&#10;43VkO234ewwXuKw0mtHM22Ix2o6d0YfWkYJsIoAhVc60VCt426/uJLAQNRndOUIFXxhgUV5fFTo3&#10;7kJbPO9izVIJhVwraGLsc85D1aDVYeJ6pOQdnbc6Julrbry+pHLb8akQD9zqltJCo3tcNliddoNV&#10;sN2s1vJ9PYyV/3zKXvavm+ePIJW6vcnEHFjEMf6F4Qc/oUOZmA5uIBNYpyA9En9v8uRseg/soGAm&#10;xSPwsuD/6ctvUEsDBBQAAAAIAIdO4kCgAhK9+AEAAOADAAAOAAAAZHJzL2Uyb0RvYy54bWytU01z&#10;2yAQvXem/4HhXstSrMTWWM7BbnpxW88k/QEYkMUUWAawZf/7Lsj5aHrJoTowoH37dt9bWN6fjSYn&#10;6YMC29JyMqVEWg5C2UNLfz09fJlTEiKzgmmwsqUXGej96vOn5eAaWUEPWkhPkMSGZnAt7WN0TVEE&#10;3kvDwgSctBjswBsW8egPhfBsQHaji2o6vS0G8MJ54DIE/LsZg/TK6D9CCF2nuNwAPxpp48jqpWYR&#10;JYVeuUBXuduukzz+7LogI9EtRaUxr1gE9/u0Fqslaw6euV7xawvsIy2802SYslj0hWrDIiNHr/6h&#10;Mop7CNDFCQdTjEKyI6iinL7z5rFnTmYtaHVwL6aH/0fLf5x2nijR0uqmpsQygyPfKitJuahmyZ7B&#10;hQZRa7vzSSA/20e3Bf47EAvrntmDzG0+XRxmlimj+CslHYLDIvvhOwjEsGOE7NW58yZRogvkjA1U&#10;5fx2gYO54L6sZtO7ehyPPEfCETAr7+Y3GOcJUM/y8ArWPNM4H+I3CYakTUs1ishl2GkbYmqLNc+Q&#10;VNXCg9I6z19bMrR0UVd1TgiglUjBBAv+sF9rT04s3aD8ZY0YeQvzcLQik0Wm9FcrSMyGRK/QIi1p&#10;qmCkoERLfHZpN7ak7dWw5NHo9h7EZedTOHmHg8+9Xy9pullvzxn1+jB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pnLM1wAAAAUBAAAPAAAAAAAAAAEAIAAAACIAAABkcnMvZG93bnJldi54bWxQ&#10;SwECFAAUAAAACACHTuJAoAISvfgBAADgAwAADgAAAAAAAAABACAAAAAmAQAAZHJzL2Uyb0RvYy54&#10;bWxQSwUGAAAAAAYABgBZAQAAkAUAAAAA&#10;">
                  <v:fill on="f" focussize="0,0"/>
                  <v:stroke color="#000000" joinstyle="round" endarrow="block"/>
                  <v:imagedata o:title=""/>
                  <o:lock v:ext="edit" aspectratio="f"/>
                </v:line>
                <v:shape id="肘形连接符 172" o:spid="_x0000_s1026" o:spt="33" type="#_x0000_t33" style="position:absolute;left:2836545;top:1193800;flip:y;height:2495550;width:321310;rotation:-5898240f;" filled="f" stroked="t" coordsize="21600,21600" o:gfxdata="UEsDBAoAAAAAAIdO4kAAAAAAAAAAAAAAAAAEAAAAZHJzL1BLAwQUAAAACACHTuJAu+sa5tgAAAAF&#10;AQAADwAAAGRycy9kb3ducmV2LnhtbE2PzWrDMBCE74W8g9hCb40UUxfXsZxDSOnF9CcJ1EfF2tim&#10;1spYiuP06av20lwWhhlmvs1Wk+nYiINrLUlYzAUwpMrqlmoJ+93zfQLMeUVadZZQwgUdrPLZTaZS&#10;bc/0gePW1yyUkEuVhMb7PuXcVQ0a5ea2Rwre0Q5G+SCHmutBnUO56XgkxCM3qqWw0Kge1w1WX9uT&#10;kbD5tPsyeivKqXwZXy/vmyK234WUd7cLsQTmcfL/YfjFD+iQB6aDPZF2rJMQHvF/N3hJHD0AO0iI&#10;E/EEPM/4NX3+A1BLAwQUAAAACACHTuJAygeu4ioCAAAVBAAADgAAAGRycy9lMm9Eb2MueG1srVPL&#10;jtMwFN0j8Q+W9zRN0pQ2ajqLlmGDoBKPvevYiSW/ZHuadssHsGbFAglW/ALia4D5DK6daoYZNrMg&#10;i8iOzz33nuOT1cVRSXRgzgujG5xPphgxTU0rdNfgt28unyww8oHolkijWYNPzOOL9eNHq8HWrDC9&#10;kS1zCEi0rwfb4D4EW2eZpz1TxE+MZRoOuXGKBNi6LmsdGYBdyayYTufZYFxrnaHMe/i6HQ/xmdE9&#10;hNBwLijbGnqlmA4jq2OSBJDke2E9XqdpOWc0vOLcs4Bkg0FpSG9oAut9fGfrFak7R2wv6HkE8pAR&#10;7mlSRGhoekO1JYGgKyf+oVKCOuMNDxNqVDYKSY6Ainx6z5vXPbEsaQGrvb0x3f8/WvrysHNItA0u&#10;yjlGmii48uv3H39+/3z949OvD19+f/uK8qdFNGqwvgb8Ru9clOrD5qhTaT5fYlgcgSTisjvAuPF2&#10;LDlyp5AzcAvVbBofjLgU9h3kMLkHfqDIsijn1azC6AQH+bJcADBdFDsGRAFQFnmZQzEFQDFbVlWV&#10;ABmpY4c4nHU+PGdGobho8B5ysjFaQx6MK1IvcnjhQ5z2FhwLtbkUUqZuUqOhwfMSyBElEHUOEYOl&#10;smCX1x1GRHbwD9HgEqM3UrSxOrnjuv1GOnQgMXmj2LHbHVgcb0t8P+LS0Sg1ECGf6RaFk4UbCU4Q&#10;3UmW7CW11GeXR2OjxXvTnnYudog7SEtSdk52jOPf+4S6/Zv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6xrm2AAAAAUBAAAPAAAAAAAAAAEAIAAAACIAAABkcnMvZG93bnJldi54bWxQSwECFAAU&#10;AAAACACHTuJAygeu4ioCAAAVBAAADgAAAAAAAAABACAAAAAnAQAAZHJzL2Uyb0RvYy54bWxQSwUG&#10;AAAAAAYABgBZAQAAwwUAAAAA&#10;">
                  <v:fill on="f" focussize="0,0"/>
                  <v:stroke weight="0.5pt" color="#000000 [3213]" joinstyle="round" endarrow="block"/>
                  <v:imagedata o:title=""/>
                  <o:lock v:ext="edit" aspectratio="f"/>
                </v:shape>
                <v:line id="Line 1924" o:spid="_x0000_s1026" o:spt="20" style="position:absolute;left:3701415;top:2137410;height:635;width:523875;" filled="f" stroked="t" coordsize="21600,21600" o:gfxdata="UEsDBAoAAAAAAIdO4kAAAAAAAAAAAAAAAAAEAAAAZHJzL1BLAwQUAAAACACHTuJA56ZyzNcAAAAF&#10;AQAADwAAAGRycy9kb3ducmV2LnhtbE2PwU7DMBBE70j8g7VI3KidiiKTxumhUrm0gNoiBDc33iZR&#10;43VkO234ewwXuKw0mtHM22Ix2o6d0YfWkYJsIoAhVc60VCt426/uJLAQNRndOUIFXxhgUV5fFTo3&#10;7kJbPO9izVIJhVwraGLsc85D1aDVYeJ6pOQdnbc6Julrbry+pHLb8akQD9zqltJCo3tcNliddoNV&#10;sN2s1vJ9PYyV/3zKXvavm+ePIJW6vcnEHFjEMf6F4Qc/oUOZmA5uIBNYpyA9En9v8uRseg/soGAm&#10;xSPwsuD/6ctvUEsDBBQAAAAIAIdO4kD/L8dh9gEAAN8DAAAOAAAAZHJzL2Uyb0RvYy54bWytU8Fy&#10;2yAQvXem/8Bwr2XJdpxoLOdgN724rWeSfgAGJDEFlgFs2X/fBStJk15yqA4MaHffe/sWVvdno8lJ&#10;+qDANrScTCmRloNQtmvor6eHL7eUhMisYBqsbOhFBnq//vxpNbhaVtCDFtITBLGhHlxD+xhdXRSB&#10;99KwMAEnLQZb8IZFPPquEJ4NiG50UU2nN8UAXjgPXIaAf7fXIB0R/UcAoW0Vl1vgRyNtvKJ6qVnE&#10;lkKvXKDrrLZtJY8/2zbISHRDsdOYVyTB/SGtxXrF6s4z1ys+SmAfkfCuJ8OURdIXqC2LjBy9+gfK&#10;KO4hQBsnHExxbSQ7gl2U03fePPbMydwLWh3ci+nh/8HyH6e9J0o0tJqjJ5YZHPlOWUnKu2qe7Blc&#10;qDFrY/c+NcjP9tHtgP8OxMKmZ7aTWebTxWFlmSqKNyXpEBySHIbvIDCHHSNkr86tNwkSXSDnhs6W&#10;03JeLii5oJhytpyX43jkORKOCYtqdrvEOMeEm9kiU7H6GcX5EL9JMCRtGqqxh8zCTrsQkypWP6ck&#10;UgsPSus8fm3J0NC7RbXIBQG0EimY0oLvDhvtyYmlC5S/kfdNmoejFRksMqW/WkFi9iN6hQ5pSROD&#10;kYISLfHVpd1VkrajX8miq9kHEJe9T+FkHc49ax/vaLpYf59z1uu7X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6ZyzNcAAAAFAQAADwAAAAAAAAABACAAAAAiAAAAZHJzL2Rvd25yZXYueG1sUEsB&#10;AhQAFAAAAAgAh07iQP8vx2H2AQAA3wMAAA4AAAAAAAAAAQAgAAAAJgEAAGRycy9lMm9Eb2MueG1s&#10;UEsFBgAAAAAGAAYAWQEAAI4FAAAAAA==&#10;">
                  <v:fill on="f" focussize="0,0"/>
                  <v:stroke color="#000000" joinstyle="round" endarrow="block"/>
                  <v:imagedata o:title=""/>
                  <o:lock v:ext="edit" aspectratio="f"/>
                </v:line>
                <v:shape id="AutoShape 1959" o:spid="_x0000_s1026" o:spt="32" type="#_x0000_t32" style="position:absolute;left:782955;top:3288665;flip:y;height:635;width:499745;" filled="f" stroked="t" coordsize="21600,21600" o:gfxdata="UEsDBAoAAAAAAIdO4kAAAAAAAAAAAAAAAAAEAAAAZHJzL1BLAwQUAAAACACHTuJALVYgyNYAAAAF&#10;AQAADwAAAGRycy9kb3ducmV2LnhtbE2PwU7DMBBE70j8g7VIXBC1GxEUQjY9AIUTqgjl7sZLEjVe&#10;R7HbJn+P4VIuK41mNPO2WE22F0cafecYYblQIIhrZzpuELaf69sMhA+aje4dE8JMHlbl5UWhc+NO&#10;/EHHKjQilrDPNUIbwpBL6euWrPYLNxBH79uNVocox0aaUZ9iue1lotS9tLrjuNDqgZ5aqvfVwSI8&#10;V5t0/XWznZK5fnuvXrP9hucXxOurpXoEEWgK5zD84kd0KCPTzh3YeNEjxEfC341eliZ3IHYIaaYe&#10;QJaF/E9f/gBQSwMEFAAAAAgAh07iQAm3HBoJAgAA+wMAAA4AAABkcnMvZTJvRG9jLnhtbK1TwY7b&#10;IBC9V+o/IO6NE2+cjaM4qyrp9rJtI+22dwLYRgUGAYmTv++Ao93t9rKH+oDAb+bNvMewvjsbTU7S&#10;BwW2obPJlBJpOQhlu4b+fLr/tKQkRGYF02BlQy8y0LvNxw/rwa1kCT1oIT1BEhtWg2toH6NbFUXg&#10;vTQsTMBJi2AL3rCIR98VwrMB2Y0uyul0UQzghfPAZQj4dzeC9Mro30MIbau43AE/GmnjyOqlZhEl&#10;hV65QDe527aVPP5o2yAj0Q1FpTGvWAT3h7QWmzVbdZ65XvFrC+w9LbzRZJiyWPSZasciI0ev/qEy&#10;insI0MYJB1OMQrIjqGI2fePNY8+czFrQ6uCeTQ//j5Z/P+09UaKh5XxGiWUGr/zzMUKuTWZ1VSeP&#10;BhdWGLq1e59U8rN9dA/AfwdiYdsz28kc/3RxmD5LGcVfKekQHFY6DN9AYAzDEtmwc+sNabVyv1Ji&#10;IkdTyLmht8uyripKLg29KZfLxaIaL0ueI+GIz+v6do44x4DFTQYLtkp0icT5EL9KMCRtGhqiZ6rr&#10;4xasxZkAP5Zip4cQU7MvCSnZwr3SOo+GtmRoaF2VVe4tgFYigSks+O6w1Z6cWBqu/GXliLwO83C0&#10;IpNFpvQXK0jMNkWv0DgtaapgpKBES3yRaTe2pO3VxuTceAcHEJe9T3ByFGci936d3zR0r8856uXN&#10;bv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VYgyNYAAAAFAQAADwAAAAAAAAABACAAAAAiAAAA&#10;ZHJzL2Rvd25yZXYueG1sUEsBAhQAFAAAAAgAh07iQAm3HBoJAgAA+wMAAA4AAAAAAAAAAQAgAAAA&#10;JQEAAGRycy9lMm9Eb2MueG1sUEsFBgAAAAAGAAYAWQEAAKAFAAAAAA==&#10;">
                  <v:fill on="f" focussize="0,0"/>
                  <v:stroke color="#000000" joinstyle="round" endarrow="block"/>
                  <v:imagedata o:title=""/>
                  <o:lock v:ext="edit" aspectratio="f"/>
                </v:shape>
                <v:line id="Line 1939" o:spid="_x0000_s1026" o:spt="20" style="position:absolute;left:1751330;top:2882265;flip:x y;height:245745;width:1905;" filled="f" stroked="t" coordsize="21600,21600" o:gfxdata="UEsDBAoAAAAAAIdO4kAAAAAAAAAAAAAAAAAEAAAAZHJzL1BLAwQUAAAACACHTuJANgPLYNQAAAAF&#10;AQAADwAAAGRycy9kb3ducmV2LnhtbE2OQU7DMBBF90jcwRokdtRuSVEIcSqBVKRKbFo4gBsPcSAe&#10;R7bbBk7PwIZuRvr6X29evZr8II4YUx9Iw3ymQCC1wfbUaXh7Xd+UIFI2ZM0QCDV8YYJVc3lRm8qG&#10;E23xuMudYAilymhwOY+VlKl16E2ahRGJu/cQvckcYydtNCeG+0EulLqT3vTEH5wZ8clh+7k7eA1q&#10;/THlzXMRv2+lksXGbWP78qj19dVcPYDIOOX/Mfzqszo07LQPB7JJDMzg3d/lrlwuChB7DctS3YNs&#10;anlu3/wAUEsDBBQAAAAIAIdO4kB75shRCwIAAAwEAAAOAAAAZHJzL2Uyb0RvYy54bWytU01z2jAQ&#10;vXem/0GjezEYnIAHkwM07YG2zCTNXUgy1lRfIwkM/767MpOk6SWH+OBZed++3fe0Xt6djSYnGaJy&#10;tqGT0ZgSabkTyh4a+vvx/suckpiYFUw7Kxt6kZHerT5/Wva+lqXrnBYyECCxse59Q7uUfF0UkXfS&#10;sDhyXlpIti4YluAYDoUIrAd2o4tyPL4peheED47LGOHrZkjSK2N4D6FrW8XlxvGjkTYNrEFqlkBS&#10;7JSPdJWnbVvJ06+2jTIR3VBQmvIbmkC8x3exWrL6EJjvFL+OwN4zwhtNhikLTZ+pNiwxcgzqPyqj&#10;eHDRtWnEnSkGIdkRUDEZv/HmoWNeZi1gdfTPpsePo+U/T7tAlGhoOSspsczAlW+VlWSymC7Qnt7H&#10;GlBruwsokJ/tg986/icS69YdsweZx3y8eKicYEXxTwkeoocm+/6HE4Bhx+SyV+c2GNJq5b9jYY6e&#10;MMI24Aw5w+G2mkyncFkXGHA+L8ubargyeU6EI2AxrijhmJ5Vt7OcLViN1EjjQ0zfpDMEg4ZqEJbp&#10;2WkbE476AkG4dfdK67wT2pK+oYuqrHJBdFoJTCIshsN+rQM5Mdyq/GTdkHkNw54bFrsBJyAaZg/u&#10;aEVukpjSX60gKZuXggI7taTY2UhBiZbwi2I0jKrt1Vz0c7iZvROXXcA0+gxLkjVdFxq38PU5o15+&#10;4t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gPLYNQAAAAFAQAADwAAAAAAAAABACAAAAAiAAAA&#10;ZHJzL2Rvd25yZXYueG1sUEsBAhQAFAAAAAgAh07iQHvmyFELAgAADAQAAA4AAAAAAAAAAQAgAAAA&#10;IwEAAGRycy9lMm9Eb2MueG1sUEsFBgAAAAAGAAYAWQEAAKAFAAAAAA==&#10;">
                  <v:fill on="f" focussize="0,0"/>
                  <v:stroke color="#000000" joinstyle="round" dashstyle="dash" endarrow="block"/>
                  <v:imagedata o:title=""/>
                  <o:lock v:ext="edit" aspectratio="f"/>
                </v:line>
                <v:shape id="Text Box 1958" o:spid="_x0000_s1026" o:spt="202" type="#_x0000_t202" style="position:absolute;left:1485900;top:2672080;height:297815;width:58991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CoF2YYUAgAAJAQAAA4AAABkcnMvZTJvRG9jLnhtbK1TwW7bMAy9&#10;D9g/CLovtrOktY04Rdegw4CuG9DuAxRZjoXZokYpsbOvHyWnbdZdethFoETq8b0nanU19h07KHQa&#10;TMWzWcqZMhJqbXYV//F4+yHnzHlhatGBURU/Ksev1u/frQZbqjm00NUKGYEYVw624q33tkwSJ1vV&#10;CzcDqwwlG8BeeNriLqlRDITed8k8TS+SAbC2CFI5R6ebKclPiPgWQGgaLdUG5L5Xxk+oqDrhSZJr&#10;tXV8Hdk2jZL+W9M45VlXcVLq40pNKN6GNVmvRLlDYVstTxTEWyi80tQLbajpM9RGeMH2qP+B6rVE&#10;cND4mYQ+mYRER0hFlr7y5qEVVkUtZLWzz6a7/wcr7w/fkem64vPFR86M6OnJH9Xo2ScYWVYs82DR&#10;YF1JlQ+Wav1IGRqcKNfZO5A/HTNw0wqzU9eIMLRK1EQxCzeTs6sTjgsg2+Er1NRJ7D1EoLHBPvhH&#10;jrCAvsiXRUqPdCRiF5fzND89VWAmqWCZF0W25EyGguIypzh0E+UTkEXnPyvoWQgqjjQJsZE43Dk/&#10;lT6VhL4GbnXX0bkoO/PXAWGGkygkcJ9U+HE7UnVQt4X6SJIQpuGir0VBC/ibs4EGq+Lu116g4qz7&#10;YsiWIlsswiTGzWJJ2jjD88z2PCOMJKiKe86m8MZP07u3qHctdZoewsA1WdnoKO2F1Yk3DU805zTo&#10;YTrP97Hq5XO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CZYR0wAAAAUBAAAPAAAAAAAAAAEA&#10;IAAAACIAAABkcnMvZG93bnJldi54bWxQSwECFAAUAAAACACHTuJAKgXZhhQCAAAkBAAADgAAAAAA&#10;AAABACAAAAAiAQAAZHJzL2Uyb0RvYy54bWxQSwUGAAAAAAYABgBZAQAAqAUAAAAA&#10;">
                  <v:fill on="f" focussize="0,0"/>
                  <v:stroke on="f"/>
                  <v:imagedata o:title=""/>
                  <o:lock v:ext="edit" aspectratio="f"/>
                  <v:textbox>
                    <w:txbxContent>
                      <w:p w14:paraId="32311A05">
                        <w:pPr>
                          <w:spacing w:line="240" w:lineRule="atLeast"/>
                          <w:contextualSpacing/>
                          <w:jc w:val="center"/>
                        </w:pPr>
                        <w:r>
                          <w:rPr>
                            <w:rFonts w:hint="eastAsia"/>
                          </w:rPr>
                          <w:t>损耗</w:t>
                        </w:r>
                      </w:p>
                    </w:txbxContent>
                  </v:textbox>
                </v:shape>
                <v:shape id="Text Box 1943" o:spid="_x0000_s1026" o:spt="202" type="#_x0000_t202" style="position:absolute;left:2605405;top:1266825;height:297815;width:61912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B+7LlwVAgAAJAQAAA4AAABkcnMvZTJvRG9jLnhtbK1Ty27bMBC8&#10;F+g/ELzXelR2bMFykMZIUSB9AEk/gKYoi6jEZZe0Jffru6Sc1E0vOfQikNzV7MxwuL4e+44dFToN&#10;puLZLOVMGQm1NvuKf3+8e7fkzHlhatGBURU/KcevN2/frAdbqhxa6GqFjECMKwdb8dZ7WyaJk63q&#10;hZuBVYaKDWAvPG1xn9QoBkLvuyRP00UyANYWQSrn6HQ7FfkZEV8DCE2jpdqCPPTK+AkVVSc8SXKt&#10;to5vItumUdJ/bRqnPOsqTkp9/NIQWu/CN9msRblHYVstzxTEayi80NQLbWjoM9RWeMEOqP+B6rVE&#10;cND4mYQ+mYRER0hFlr7w5qEVVkUtZLWzz6a7/wcrvxy/IdN1xfOi4MyInq78UY2efYCRZavifbBo&#10;sK6kzgdLvX6kCgUnynX2HuQPxwzctsLs1Q0iDK0SNVHMwp/Jxa8Tjgsgu+Ez1DRJHDxEoLHBPvhH&#10;jjBCzxfpvEjnnJ0IJ18slvl8uqrATFLDIltldMYkNeSrq2UW64kon4AsOv9RQc/CouJISYiDxPHe&#10;+UBMlE8tYa6BO911MQ2d+euAGsNJFBK4Tyr8uBvPxuygPpEkhClc9LRo0QL+4mygYFXc/TwIVJx1&#10;nwzZssqKIiQxbor5VU4bvKzsLivCSIKquOdsWt76Kb0Hi3rf0qTpIgzckJWNjtKC5xOrM28KT1R8&#10;DnpI5+U+dv153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mWEdMAAAAFAQAADwAAAAAAAAAB&#10;ACAAAAAiAAAAZHJzL2Rvd25yZXYueG1sUEsBAhQAFAAAAAgAh07iQB+7LlwVAgAAJAQAAA4AAAAA&#10;AAAAAQAgAAAAIgEAAGRycy9lMm9Eb2MueG1sUEsFBgAAAAAGAAYAWQEAAKkFAAAAAA==&#10;">
                  <v:fill on="f" focussize="0,0"/>
                  <v:stroke on="f"/>
                  <v:imagedata o:title=""/>
                  <o:lock v:ext="edit" aspectratio="f"/>
                  <v:textbox>
                    <w:txbxContent>
                      <w:p w14:paraId="3295B0D8">
                        <w:pPr>
                          <w:spacing w:line="240" w:lineRule="atLeast"/>
                          <w:contextualSpacing/>
                          <w:jc w:val="center"/>
                          <w:rPr>
                            <w:rFonts w:hint="default" w:eastAsia="宋体"/>
                            <w:lang w:val="en-US" w:eastAsia="zh-CN"/>
                          </w:rPr>
                        </w:pPr>
                        <w:r>
                          <w:rPr>
                            <w:rFonts w:hint="eastAsia"/>
                            <w:lang w:val="en-US" w:eastAsia="zh-CN"/>
                          </w:rPr>
                          <w:t>225.88</w:t>
                        </w:r>
                      </w:p>
                    </w:txbxContent>
                  </v:textbox>
                </v:shape>
                <v:shape id="Text Box 1943" o:spid="_x0000_s1026" o:spt="202" type="#_x0000_t202" style="position:absolute;left:1926590;top:1091565;height:297815;width:61912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ANYFckVAgAAJAQAAA4AAABkcnMvZTJvRG9jLnhtbK1Ty27bMBC8&#10;F+g/ELzXslTbiQTLQRojRYH0AST9AJqiLKISl13SltKv75J0Uje95NCLQHJXszPD4fpqGnp2VOg0&#10;mJrnszlnykhotNnX/PvD7btLzpwXphE9GFXzR+X41ebtm/VoK1VAB32jkBGIcdVoa955b6ssc7JT&#10;g3AzsMpQsQUchKct7rMGxUjoQ58V8/kqGwEbiyCVc3S6TUV+QsTXAELbaqm2IA+DMj6houqFJ0mu&#10;09bxTWTbtkr6r23rlGd9zUmpj18aQutd+Gabtaj2KGyn5YmCeA2FF5oGoQ0NfYbaCi/YAfU/UIOW&#10;CA5aP5MwZElIdIRU5PMX3tx3wqqohax29tl09/9g5ZfjN2S6qXmxWHJmxEBX/qAmzz7AxPJy8T5Y&#10;NFpXUee9pV4/UYWCE+U6ewfyh2MGbjph9uoaEcZOiYYo5uHP7OzXhOMCyG78DA1NEgcPEWhqcQj+&#10;kSMsoJfFalnSJT3Sel7my9UyXVVgJqlhlZd5QYQlNRTlxWUe65monoAsOv9RwcDCouZISYiDxPHO&#10;+UBMVE8tYa6BW933MQ29+euAGsNJFBK4JxV+2k0nY3bQPJIkhBQuelq06AB/cTZSsGrufh4EKs76&#10;T4ZsKfPFIiQxbhbLi4I2eF7ZnVeEkQRVc89ZWt74lN6DRb3vaFK6CAPXZGWro7TgeWJ14k3hiYpP&#10;QQ/pPN/Hrj+Pe/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mWEdMAAAAFAQAADwAAAAAAAAAB&#10;ACAAAAAiAAAAZHJzL2Rvd25yZXYueG1sUEsBAhQAFAAAAAgAh07iQANYFckVAgAAJAQAAA4AAAAA&#10;AAAAAQAgAAAAIgEAAGRycy9lMm9Eb2MueG1sUEsFBgAAAAAGAAYAWQEAAKkFAAAAAA==&#10;">
                  <v:fill on="f" focussize="0,0"/>
                  <v:stroke on="f"/>
                  <v:imagedata o:title=""/>
                  <o:lock v:ext="edit" aspectratio="f"/>
                  <v:textbox>
                    <w:txbxContent>
                      <w:p w14:paraId="4825C899">
                        <w:pPr>
                          <w:spacing w:line="240" w:lineRule="atLeast"/>
                          <w:contextualSpacing/>
                          <w:jc w:val="center"/>
                          <w:rPr>
                            <w:rFonts w:hint="default" w:eastAsia="宋体"/>
                            <w:lang w:val="en-US" w:eastAsia="zh-CN"/>
                          </w:rPr>
                        </w:pPr>
                        <w:r>
                          <w:rPr>
                            <w:rFonts w:hint="eastAsia"/>
                            <w:lang w:val="en-US" w:eastAsia="zh-CN"/>
                          </w:rPr>
                          <w:t>56.47</w:t>
                        </w:r>
                      </w:p>
                    </w:txbxContent>
                  </v:textbox>
                </v:shape>
                <v:shape id="Text Box 1914" o:spid="_x0000_s1026" o:spt="202" type="#_x0000_t202" style="position:absolute;left:2110105;top:2342515;height:297180;width:50038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EygCB4TAgAAJAQAAA4AAABkcnMvZTJvRG9jLnhtbK1Ty27bMBC8&#10;F+g/ELzXesTOQ7AcpDFSFEgfQNIPoCnKIipy2SVtyf36LikncdNLDr0QS+5ydmc4XF6Ppmd7hV6D&#10;rXkxyzlTVkKj7bbmPx7vPlxy5oOwjejBqpoflOfXq/fvloOrVAkd9I1CRiDWV4OreReCq7LMy04Z&#10;4WfglKVkC2hEoC1uswbFQOimz8o8P88GwMYhSOU9na6nJD8i4lsAoW21VGuQO6NsmFBR9SIQJd9p&#10;5/kqTdu2SoZvbetVYH3NiWlIKzWheBPXbLUU1RaF67Q8jiDeMsIrTkZoS02fodYiCLZD/Q+U0RLB&#10;QxtmEkw2EUmKEIsif6XNQyecSlxIau+eRff/D1Z+3X9Hppual/Nzzqww9OSPagzsI4ysuCrmUaLB&#10;+YoqHxzVhpEyZJxE17t7kD89s3DbCbtVN4gwdEo0NGIRb2YnVyccH0E2wxdoqJPYBUhAY4sm6keK&#10;MEIvi4LkWHB2oPhsXi6KxfRUcTJJBYs8P7ukR5Sx4OqioDh2E9UTkEMfPikwLAY1R3JCaiT29z5M&#10;pU8lsa+FO933dC6q3v51QJjxJBGJs08swrgZqTqy20BzIEoIk7noa1HQAf7mbCBj1dz/2glUnPWf&#10;LclCks6jE9NmvrgoaYOnmc1pRlhJUDUPnE3hbZjcu3Ootx11mh7Cwg1J2epE7WWq49xkniTO0ejR&#10;naf7VPXyuV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YJlhHTAAAABQEAAA8AAAAAAAAAAQAg&#10;AAAAIgAAAGRycy9kb3ducmV2LnhtbFBLAQIUABQAAAAIAIdO4kBMoAgeEwIAACQEAAAOAAAAAAAA&#10;AAEAIAAAACIBAABkcnMvZTJvRG9jLnhtbFBLBQYAAAAABgAGAFkBAACnBQAAAAA=&#10;">
                  <v:fill on="f" focussize="0,0"/>
                  <v:stroke on="f"/>
                  <v:imagedata o:title=""/>
                  <o:lock v:ext="edit" aspectratio="f"/>
                  <v:textbox>
                    <w:txbxContent>
                      <w:p w14:paraId="6E8FAC42">
                        <w:pPr>
                          <w:spacing w:line="240" w:lineRule="atLeast"/>
                          <w:contextualSpacing/>
                          <w:rPr>
                            <w:rFonts w:hint="default" w:eastAsia="宋体"/>
                            <w:lang w:val="en-US" w:eastAsia="zh-CN"/>
                          </w:rPr>
                        </w:pPr>
                        <w:r>
                          <w:rPr>
                            <w:rFonts w:hint="eastAsia"/>
                            <w:lang w:val="en-US" w:eastAsia="zh-CN"/>
                          </w:rPr>
                          <w:t>0.46</w:t>
                        </w:r>
                      </w:p>
                    </w:txbxContent>
                  </v:textbox>
                </v:shape>
                <v:shape id="Text Box 1914" o:spid="_x0000_s1026" o:spt="202" type="#_x0000_t202" style="position:absolute;left:3714750;top:1892935;height:297180;width:50038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N5zIpIVAgAAJAQAAA4AAABkcnMvZTJvRG9jLnhtbK1Ty27bMBC8&#10;F+g/ELzXetiubcFykMZIUSBNCyT9AJqiLKISl13Sltyv75JyEje95NALseQuZ3eGw/XV0LXsqNBp&#10;MCXPJilnykiotNmX/Mfj7YclZ84LU4kWjCr5STl+tXn/bt3bQuXQQFspZARiXNHbkjfe2yJJnGxU&#10;J9wErDKUrAE74WmL+6RC0RN61yZ5mn5MesDKIkjlHJ1uxyQ/I+JbAKGutVRbkIdOGT+iomqFJ0qu&#10;0dbxTZy2rpX03+raKc/akhNTH1dqQvEurMlmLYo9CttoeR5BvGWEV5w6oQ01fYbaCi/YAfU/UJ2W&#10;CA5qP5HQJSORqAixyNJX2jw0wqrIhaR29ll09/9g5f3xOzJdlTyfLTgzoqMnf1SDZ59gYNkqmwWJ&#10;eusKqnywVOsHypBxIl1n70D+dMzATSPMXl0jQt8oUdGIWbiZXFwdcVwA2fVfoaJO4uAhAg01dkE/&#10;UoQR+nSRzRZzeqQT4SxX+Wo6H58qTCapYJ6m0yXlJRXkq0VGcegmiicgi85/VtCxEJQcyQmxkTje&#10;OT+WPpWEvgZuddvSuSha89cBYYaTSCTMPrLww26g6sBuB9WJKCGM5qKvRUED+JuznoxVcvfrIFBx&#10;1n4xJAtJOgtOjJvZfJHTBi8zu8uMMJKgSu45G8MbP7r3YFHvG+o0PoSBa5Ky1pHay1Tnuck8UZyz&#10;0YM7L/ex6uVzb/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mWEdMAAAAFAQAADwAAAAAAAAAB&#10;ACAAAAAiAAAAZHJzL2Rvd25yZXYueG1sUEsBAhQAFAAAAAgAh07iQN5zIpIVAgAAJAQAAA4AAAAA&#10;AAAAAQAgAAAAIgEAAGRycy9lMm9Eb2MueG1sUEsFBgAAAAAGAAYAWQEAAKkFAAAAAA==&#10;">
                  <v:fill on="f" focussize="0,0"/>
                  <v:stroke on="f"/>
                  <v:imagedata o:title=""/>
                  <o:lock v:ext="edit" aspectratio="f"/>
                  <v:textbox>
                    <w:txbxContent>
                      <w:p w14:paraId="4256D850">
                        <w:pPr>
                          <w:spacing w:line="240" w:lineRule="atLeast"/>
                          <w:contextualSpacing/>
                          <w:rPr>
                            <w:rFonts w:hint="default" w:eastAsia="宋体"/>
                            <w:lang w:val="en-US" w:eastAsia="zh-CN"/>
                          </w:rPr>
                        </w:pPr>
                        <w:r>
                          <w:rPr>
                            <w:rFonts w:hint="eastAsia"/>
                            <w:lang w:val="en-US" w:eastAsia="zh-CN"/>
                          </w:rPr>
                          <w:t>0.04</w:t>
                        </w:r>
                      </w:p>
                    </w:txbxContent>
                  </v:textbox>
                </v:shape>
                <v:shape id="肘形连接符 188" o:spid="_x0000_s1026" o:spt="33" type="#_x0000_t33" style="position:absolute;left:1267460;top:273685;height:382270;width:379095;" filled="f" stroked="t" coordsize="21600,21600" o:gfxdata="UEsDBAoAAAAAAIdO4kAAAAAAAAAAAAAAAAAEAAAAZHJzL1BLAwQUAAAACACHTuJAAeeVktQAAAAF&#10;AQAADwAAAGRycy9kb3ducmV2LnhtbE2PzU7DMBCE70h9B2srcaN2QotCGqdSK/XIoQUJjm68xGnj&#10;tWW7P7w9hgtcVhrNaObbZnWzI7tgiIMjCcVMAEPqnB6ol/D2un2ogMWkSKvREUr4wgirdnLXqFq7&#10;K+3wsk89yyUUayXBpORrzmNn0Ko4cx4pe58uWJWyDD3XQV1zuR15KcQTt2qgvGCUx43B7rQ/Wwkf&#10;XBxfnH6fHzeF4eWj8Luw9lLeTwuxBJbwlv7C8IOf0aHNTAd3Jh3ZKCE/kn5v9qpFOQd2kLCoxDPw&#10;tuH/6dtvUEsDBBQAAAAIAIdO4kDtHWeMCQIAANMDAAAOAAAAZHJzL2Uyb0RvYy54bWytU0uOEzEQ&#10;3SNxB8t70kln8pkonVkkDBsEIwEHcNzubkv+qcqTz5YDsGbFAglWXAFxGmCOQdkdZmDYzIJeuMuu&#10;8qt6r8rLi4M1bKcAtXcVHw2GnCknfa1dW/E3ry+fzDnDKFwtjHeq4keF/GL1+NFyHxaq9J03tQJG&#10;IA4X+1DxLsawKAqUnbICBz4oR87GgxWRttAWNYg9oVtTlMPhtNh7qAN4qRDpdNM7+QkRHgLom0ZL&#10;tfHy2ioXe1RQRkSihJ0OyFe52qZRMr5sGlSRmYoT05hXSkL2Nq3FaikWLYjQaXkqQTykhHucrNCO&#10;kt5CbUQU7Br0P1BWS/DomziQ3hY9kawIsRgN72nzqhNBZS4kNYZb0fH/wcoXuytguq54eUaNd8JS&#10;y2/evv/+9ePNtw8/3n36+eUzG83nSah9wAXFr90VnHYYriCxPjRg05/4sAMNVTmdnU1J4iPBzsbT&#10;+aTXWR0ik+Qfz86H5xPOJPnH87Kc5T4UdzgBMD5T3rJkVHxLXV5756ibHsqss9g9x0hV0KXfwakA&#10;5y+1MbmpxrF9xafjCdUhBQ1qQwNCpg1EFl3LmTAtvQAZISOiN7pOtxMOQrtdG2A7keYmf4kCZfsr&#10;LKXeCOz6uOzqmUahzVNXs3gMpGcELVxr1AnCOEJKYvbyJWvr62NWNZ9Tr3Ou01ymYfpzn2/fvcX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HnlZLUAAAABQEAAA8AAAAAAAAAAQAgAAAAIgAAAGRy&#10;cy9kb3ducmV2LnhtbFBLAQIUABQAAAAIAIdO4kDtHWeMCQIAANMDAAAOAAAAAAAAAAEAIAAAACMB&#10;AABkcnMvZTJvRG9jLnhtbFBLBQYAAAAABgAGAFkBAACeBQAAAAA=&#10;">
                  <v:fill on="f" focussize="0,0"/>
                  <v:stroke weight="0.5pt" color="#000000 [3213]" joinstyle="round" endarrow="block"/>
                  <v:imagedata o:title=""/>
                  <o:lock v:ext="edit" aspectratio="f"/>
                </v:shape>
                <v:shape id="肘形连接符 189" o:spid="_x0000_s1026" o:spt="34" type="#_x0000_t34" style="position:absolute;left:3093720;top:1778635;flip:y;height:191770;width:442595;" filled="f" stroked="t" coordsize="21600,21600" o:gfxdata="UEsDBAoAAAAAAIdO4kAAAAAAAAAAAAAAAAAEAAAAZHJzL1BLAwQUAAAACACHTuJANp+wzdcAAAAF&#10;AQAADwAAAGRycy9kb3ducmV2LnhtbE2PwU7DMBBE75X4B2uRuFSt3UJRCHF6QGorLqi0/QA3XuKA&#10;vQ6xkxa+HpcLXFYazWjmbbE8O8sG7ELjScJsKoAhVV43VEs47FeTDFiIirSynlDCFwZYllejQuXa&#10;n+gVh12sWSqhkCsJJsY25zxUBp0KU98iJe/Nd07FJLua606dUrmzfC7EPXeqobRgVItPBquPXe8k&#10;PG/35r3/fLkdNt9h4OvVeOttL+XN9Uw8Aot4jn9huOAndCgT09H3pAOzEtIj8fcmL1vM74AdJSwy&#10;8QC8LPh/+vIHUEsDBBQAAAAIAIdO4kAcVvWCJwIAAAsEAAAOAAAAZHJzL2Uyb0RvYy54bWytU8uO&#10;0zAU3SPxD5b30zRpO22qprNoGTYIKvHYu46dGPkl29O0Wz6ANSsWSLDiF9B8zcB8BtdOGGDYzIIs&#10;omv7+tx7zrleXRyVRAfmvDC6wvlojBHT1NRCNxV+/erybIGRD0TXRBrNKnxiHl+sHz9adXbJCtMa&#10;WTOHAET7ZWcr3IZgl1nmacsU8SNjmYZDbpwiAZauyWpHOkBXMivG4/OsM662zlDmPexu+0M8ILqH&#10;ABrOBWVbQ68U06FHdUySAJR8K6zH69Qt54yGF5x7FpCsMDAN6Q9FIN7Hf7ZekWXjiG0FHVogD2nh&#10;HidFhIaid1BbEgi6cuIfKCWoM97wMKJGZT2RpAiwyMf3tHnZEssSF5Da2zvR/f+Dpc8PO4dEXeFi&#10;WmKkiQLLb999uPn26fb64/f3n398/YLyRRmF6qxfQv5G79yw8nbnIusjdwpxKewbmKikAzBDxwpP&#10;xuVkXoDYJziYzxfnk1kvOTsGRCFhOi1m5QwjGhNKSEmWZD1khLbOh6fMKBSDCu/B8I3RGow1bpJK&#10;kcMzH5L29dA/qd/mGHElwcoDkegsL8o81gXcIRuiX8jxqjaXQso0DFKjrsLQKHRNCQw4h8GCUFkQ&#10;yesGIyIbeDk0uFTeGynqeDvieNfsN9IhqArTlb6h7l9psfSW+LbPS0e9LIEI+UTXKJws+BCcILqR&#10;bICQGhhEE3rZY7Q39Sm5kfZhRhLHYZ7jEP65Trd/v+H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afsM3XAAAABQEAAA8AAAAAAAAAAQAgAAAAIgAAAGRycy9kb3ducmV2LnhtbFBLAQIUABQAAAAI&#10;AIdO4kAcVvWCJwIAAAsEAAAOAAAAAAAAAAEAIAAAACYBAABkcnMvZTJvRG9jLnhtbFBLBQYAAAAA&#10;BgAGAFkBAAC/BQAAAAA=&#10;" adj="-279">
                  <v:fill on="f" focussize="0,0"/>
                  <v:stroke weight="0.5pt" color="#000000 [3213]" joinstyle="round" endarrow="block"/>
                  <v:imagedata o:title=""/>
                  <o:lock v:ext="edit" aspectratio="f"/>
                </v:shape>
                <v:shape id="Text Box 1918" o:spid="_x0000_s1026" o:spt="202" type="#_x0000_t202" style="position:absolute;left:3491865;top:1628140;height:281305;width:72707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IgRgEwlAgAARAQAAA4AAABkcnMvZTJvRG9jLnhtbK1Ty27bMBC8&#10;F+g/ELzXesRPwXKQxkhRIH0AST+ApiiLKMllSdpS+vVdUkpqpJcc6oNAepczO8Ph9nrQipyF8xJM&#10;TYtZTokwHBppjjX98Xj3YU2JD8w0TIERNX0Snl7v3r/b9rYSJXSgGuEIghhf9bamXQi2yjLPO6GZ&#10;n4EVBostOM0Cbt0xaxzrEV2rrMzzZdaDa6wDLrzHf/djkU6I7i2A0LaSiz3wkxYmjKhOKBZQku+k&#10;9XSXpm1bwcO3tvUiEFVTVBrSF0lwfYjfbLdl1dEx20k+jcDeMsIrTZpJg6QvUHsWGDk5+Q+UltyB&#10;hzbMOOhsFJIcQRVF/sqbh45ZkbSg1d6+mO7/Hyz/ev7uiGxqWi7QE8M0XvmjGAL5CAMpNsU6WtRb&#10;X2Hng8XeMGAFg5PkensP/KcnBm47Zo7ixjnoO8EaHLGIJ7OLoyOOjyCH/gs0yMROARLQ0Dod/UNH&#10;CKJfzZF5uaDkCXGW5bqYT1cVJ+PYsCpX+QrrHBuwfJUvEhurnoGs8+GTAE3ioqYOk5CI2PnehzgY&#10;q55bIq+BO6lUSoMypK/pZlEu0oGLipYBo6+kruk6j7+JU5lJaNQ2qgzDYZiMO0DzhJIdjOHDp4eL&#10;DtxvSnoMXk39rxNzghL12aBtm2KOYklIm/liVeLGXVYOlxVmOELVNFAyLm/DmO6TdfLYIdN4UQZu&#10;0OpWJunxTsapprkxXMmR6SHE9F7uU9ffx7/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YJlhHT&#10;AAAABQEAAA8AAAAAAAAAAQAgAAAAIgAAAGRycy9kb3ducmV2LnhtbFBLAQIUABQAAAAIAIdO4kCI&#10;EYBMJQIAAEQEAAAOAAAAAAAAAAEAIAAAACIBAABkcnMvZTJvRG9jLnhtbFBLBQYAAAAABgAGAFkB&#10;AAC5BQAAAAA=&#10;">
                  <v:fill on="f" focussize="0,0"/>
                  <v:stroke on="f" miterlimit="8" joinstyle="miter"/>
                  <v:imagedata o:title=""/>
                  <o:lock v:ext="edit" aspectratio="f"/>
                  <v:textbox>
                    <w:txbxContent>
                      <w:p w14:paraId="65D3AF5A">
                        <w:pPr>
                          <w:spacing w:line="240" w:lineRule="atLeast"/>
                          <w:contextualSpacing/>
                          <w:rPr>
                            <w:rFonts w:hint="default" w:eastAsia="宋体"/>
                            <w:lang w:val="en-US" w:eastAsia="zh-CN"/>
                          </w:rPr>
                        </w:pPr>
                        <w:r>
                          <w:rPr>
                            <w:rFonts w:hint="eastAsia"/>
                            <w:lang w:val="en-US" w:eastAsia="zh-CN"/>
                          </w:rPr>
                          <w:t>生产设备</w:t>
                        </w:r>
                      </w:p>
                    </w:txbxContent>
                  </v:textbox>
                </v:shape>
                <v:shape id="Text Box 1943" o:spid="_x0000_s1026" o:spt="202" type="#_x0000_t202" style="position:absolute;left:3034030;top:1576705;height:297815;width:53213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JGUfo0WAgAAJAQAAA4AAABkcnMvZTJvRG9jLnhtbK1Ty27bMBC8&#10;F+g/ELzXetiOY8FykMZIUSBNCyT5AJqiLKISl13Sltyv75JyUje55NCLQHJXszPD4epq6Fp2UOg0&#10;mJJnk5QzZSRU2uxK/vR4++mSM+eFqUQLRpX8qBy/Wn/8sOptoXJooK0UMgIxruhtyRvvbZEkTjaq&#10;E24CVhkq1oCd8LTFXVKh6Am9a5M8TS+SHrCyCFI5R6ebschPiPgeQKhrLdUG5L5Txo+oqFrhSZJr&#10;tHV8HdnWtZL+e1075VlbclLq45eG0Hobvsl6JYodCttoeaIg3kPhlaZOaENDX6A2wgu2R/0GqtMS&#10;wUHtJxK6ZBQSHSEVWfrKm4dGWBW1kNXOvpju/h+svD/8QKarkufzjDMjOrryRzV49hkGli1n02BR&#10;b11BnQ+Wev1AFQpOlOvsHcifjhm4aYTZqWtE6BslKqKYhT+Ts19HHBdAtv03qGiS2HuIQEONXfCP&#10;HGGEPk2ns3RKl3QknPniYpHOx6sKzCQ1zKd5FuqSGvLl4jKL9UQUz0AWnf+ioGNhUXKkJMRB4nDn&#10;fCAmiueWMNfArW7bmIbW/HNAjeEkCgncRxV+2A4nY7ZQHUkSwhguelq0aAB/c9ZTsErufu0FKs7a&#10;r4ZsWWazWUhi3Mzmi5w2eF7ZnleEkQRVcs/ZuLzxY3r3FvWuoUnjRRi4JitrHaUFz0dWJ94Unqj4&#10;FPSQzvN97Pr7uN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JlhHTAAAABQEAAA8AAAAAAAAA&#10;AQAgAAAAIgAAAGRycy9kb3ducmV2LnhtbFBLAQIUABQAAAAIAIdO4kCRlH6NFgIAACQEAAAOAAAA&#10;AAAAAAEAIAAAACIBAABkcnMvZTJvRG9jLnhtbFBLBQYAAAAABgAGAFkBAACqBQAAAAA=&#10;">
                  <v:fill on="f" focussize="0,0"/>
                  <v:stroke on="f"/>
                  <v:imagedata o:title=""/>
                  <o:lock v:ext="edit" aspectratio="f"/>
                  <v:textbox>
                    <w:txbxContent>
                      <w:p w14:paraId="0C8E3252">
                        <w:pPr>
                          <w:spacing w:line="240" w:lineRule="atLeast"/>
                          <w:contextualSpacing/>
                          <w:jc w:val="center"/>
                          <w:rPr>
                            <w:rFonts w:hint="default" w:eastAsia="宋体"/>
                            <w:lang w:val="en-US" w:eastAsia="zh-CN"/>
                          </w:rPr>
                        </w:pPr>
                        <w:r>
                          <w:rPr>
                            <w:rFonts w:hint="eastAsia"/>
                            <w:lang w:val="en-US" w:eastAsia="zh-CN"/>
                          </w:rPr>
                          <w:t>4.09</w:t>
                        </w:r>
                      </w:p>
                    </w:txbxContent>
                  </v:textbox>
                </v:shape>
                <v:shape id="Text Box 1914" o:spid="_x0000_s1026" o:spt="202" type="#_x0000_t202" style="position:absolute;left:2197735;top:1854835;height:297180;width:50038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HGQeoUUAgAAJAQAAA4AAABkcnMvZTJvRG9jLnhtbK1Ty27bMBC8&#10;F+g/ELzXesSubcFykMZIUSBNCyT5AJqiLKISl13Sltyv75JyEje95JALseQuZ3eGw9Xl0LXsoNBp&#10;MCXPJilnykiotNmV/PHh5tOCM+eFqUQLRpX8qBy/XH/8sOptoXJooK0UMgIxruhtyRvvbZEkTjaq&#10;E24CVhlK1oCd8LTFXVKh6Am9a5M8TT8nPWBlEaRyjk43Y5KfEPEtgFDXWqoNyH2njB9RUbXCEyXX&#10;aOv4Ok5b10r6H3XtlGdtyYmpjys1oXgb1mS9EsUOhW20PI0g3jLCK06d0IaaPkNthBdsj/o/qE5L&#10;BAe1n0jokpFIVIRYZOkrbe4bYVXkQlI7+yy6ez9YeXf4iUxXJc9nOWdGdPTkD2rw7AsMLFtm0yBR&#10;b11BlfeWav1AGTJOpOvsLchfjhm4boTZqStE6BslKhoxCzeTs6sjjgsg2/47VNRJ7D1EoKHGLuhH&#10;ijBCz7PlfH4x4+xIOIvZdEFxfKowmaSCWZpeLOgRJRXky3lGcegmiicgi85/VdCxEJQcyQmxkTjc&#10;Oj+WPpWEvgZudNvGFq3554Aww0kkEmYfWfhhO1B1YLeF6kiUEEZz0deioAH8w1lPxiq5+70XqDhr&#10;vxmShSSdBifGzXQ2z2mD55nteUYYSVAl95yN4bUf3bu3qHcNdRofwsAVSVnrSO1lqtPcZJ4ozsno&#10;wZ3n+1j18rn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CZYR0wAAAAUBAAAPAAAAAAAAAAEA&#10;IAAAACIAAABkcnMvZG93bnJldi54bWxQSwECFAAUAAAACACHTuJAcZB6hRQCAAAkBAAADgAAAAAA&#10;AAABACAAAAAiAQAAZHJzL2Uyb0RvYy54bWxQSwUGAAAAAAYABgBZAQAAqAUAAAAA&#10;">
                  <v:fill on="f" focussize="0,0"/>
                  <v:stroke on="f"/>
                  <v:imagedata o:title=""/>
                  <o:lock v:ext="edit" aspectratio="f"/>
                  <v:textbox>
                    <w:txbxContent>
                      <w:p w14:paraId="42BCC3EB">
                        <w:pPr>
                          <w:spacing w:line="240" w:lineRule="atLeast"/>
                          <w:contextualSpacing/>
                          <w:rPr>
                            <w:rFonts w:hint="default" w:eastAsia="宋体"/>
                            <w:lang w:val="en-US" w:eastAsia="zh-CN"/>
                          </w:rPr>
                        </w:pPr>
                        <w:r>
                          <w:rPr>
                            <w:rFonts w:hint="eastAsia"/>
                            <w:lang w:val="en-US" w:eastAsia="zh-CN"/>
                          </w:rPr>
                          <w:t>4.13</w:t>
                        </w:r>
                      </w:p>
                    </w:txbxContent>
                  </v:textbox>
                </v:shape>
                <v:shape id="Text Box 1914" o:spid="_x0000_s1026" o:spt="202" type="#_x0000_t202" style="position:absolute;left:816610;top:3030220;height:297180;width:50038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Exu1XUTAgAAIwQAAA4AAABkcnMvZTJvRG9jLnhtbK1Ty27bMBC8&#10;F+g/ELzXethxHMFykMZIUSB9AEk/gKIoi6jEZZe0Jffru6ScxE0vOfRCLLnL2Znhcn099h07KHQa&#10;TMmzWcqZMhJqbXYl//F492HFmfPC1KIDo0p+VI5fb96/Ww+2UDm00NUKGYEYVwy25K33tkgSJ1vV&#10;CzcDqwwlG8BeeNriLqlRDITed0mepstkAKwtglTO0el2SvITIr4FEJpGS7UFue+V8RMqqk54kuRa&#10;bR3fRLZNo6T/1jROedaVnJT6uFITiquwJpu1KHYobKvliYJ4C4VXmnqhDTV9htoKL9ge9T9QvZYI&#10;Dho/k9Ank5DoCKnI0lfePLTCqqiFrHb22XT3/2Dl18N3ZLoueb4kT4zo6ckf1ejZRxhZdpUtgkWD&#10;dQVVPliq9SNlaHCiXGfvQf50zMBtK8xO3SDC0CpRE8Us3EzOrk44LoBUwxeoqZPYe4hAY4N98I8c&#10;YYS+ypbLjPgcSz5P52men14qEJOUv0jT+Yrykgryq8uM4tBMFE84Fp3/pKBnISg50iDEPuJw7/xU&#10;+lQS2hq4011H56LozF8HhBlOoo5AfRLhx2qk6iCugvpIihCm2aKfRUEL+Juzgeaq5O7XXqDirPts&#10;yBVydEHEfdwsLi5JGcPzTHWeEUYSVMk9Z1N466fh3VvUu5Y6Te9g4IacbHSU9sLqxJtmJ5pzmvMw&#10;nOf7WPXytz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YJlhHTAAAABQEAAA8AAAAAAAAAAQAg&#10;AAAAIgAAAGRycy9kb3ducmV2LnhtbFBLAQIUABQAAAAIAIdO4kBMbtV1EwIAACMEAAAOAAAAAAAA&#10;AAEAIAAAACIBAABkcnMvZTJvRG9jLnhtbFBLBQYAAAAABgAGAFkBAACnBQAAAAA=&#10;">
                  <v:fill on="f" focussize="0,0"/>
                  <v:stroke on="f"/>
                  <v:imagedata o:title=""/>
                  <o:lock v:ext="edit" aspectratio="f"/>
                  <v:textbox>
                    <w:txbxContent>
                      <w:p w14:paraId="35F4BFE5">
                        <w:pPr>
                          <w:spacing w:line="240" w:lineRule="atLeast"/>
                          <w:contextualSpacing/>
                          <w:rPr>
                            <w:rFonts w:hint="default" w:eastAsia="宋体"/>
                            <w:lang w:val="en-US" w:eastAsia="zh-CN"/>
                          </w:rPr>
                        </w:pPr>
                        <w:r>
                          <w:rPr>
                            <w:rFonts w:hint="eastAsia"/>
                            <w:lang w:val="en-US" w:eastAsia="zh-CN"/>
                          </w:rPr>
                          <w:t>1.2</w:t>
                        </w:r>
                      </w:p>
                    </w:txbxContent>
                  </v:textbox>
                </v:shape>
                <v:line id="Line 1926" o:spid="_x0000_s1026" o:spt="20" style="position:absolute;left:2329180;top:3296285;flip:y;height:5080;width:2225040;" filled="f" stroked="t" coordsize="21600,21600" o:gfxdata="UEsDBAoAAAAAAIdO4kAAAAAAAAAAAAAAAAAEAAAAZHJzL1BLAwQUAAAACACHTuJAL87nn9YAAAAF&#10;AQAADwAAAGRycy9kb3ducmV2LnhtbE2PwU7DMBBE70j8g7VI3KidqkFpiNMDAokTghYhcXPjJQmN&#10;18HeNoWvx/QCl5VGM5p5W62ObhAHDLH3pCGbKRBIjbc9tRpeNvdXBYjIhqwZPKGGL4ywqs/PKlNa&#10;P9EzHtbcilRCsTQaOuaxlDI2HToTZ35ESt67D85wkqGVNpgplbtBzpW6ls70lBY6M+Jth81uvXca&#10;lpsp909h97rI+s+377sPHh8eWevLi0zdgGA88l8YfvETOtSJaev3ZKMYNKRH+HSTV+TzBYithrxQ&#10;S5B1Jf/T1z9QSwMEFAAAAAgAh07iQKaZfvj7AQAA6wMAAA4AAABkcnMvZTJvRG9jLnhtbK1TTY/b&#10;IBC9V+p/QNwbf7SOEivOHpJuL2kbabe9E8AxKjAISJz8+w44u+1uL3uoDxYwb97Mewyru4vR5Cx9&#10;UGA7Ws1KSqTlIJQ9dvTH4/2HBSUhMiuYBis7epWB3q3fv1uNrpU1DKCF9ARJbGhH19EhRtcWReCD&#10;NCzMwEmLwR68YRG3/lgIz0ZkN7qoy3JejOCF88BlCHi6nYL0xujfQgh9r7jcAj8ZaePE6qVmESWF&#10;QblA17nbvpc8fu/7ICPRHUWlMf+xCK4P6V+sV6w9euYGxW8tsLe08EqTYcpi0WeqLYuMnLz6h8oo&#10;7iFAH2ccTDEJyY6giqp85c3DwJzMWtDq4J5ND/+Pln877z1RoqP1vKHEMoNXvlNWkmpZz5M9owst&#10;ojZ275NAfrEPbgf8VyAWNgOzR5nbfLw6zKxSRvEiJW2CwyKH8SsIxLBThOzVpfeG9Fq5nykxkaMf&#10;5IKtfKyX1QKv6NpRXM7rRTNdlLxEwhOgrpvyEwI4IpoSoaksaxNj4nE+xC8SDEmLjmrUk/nZeRfi&#10;BH2CJLiFe6U1nrNWWzJ2dNnUTU4IoJVIwRQL/njYaE/OLA1T/m51X8A8nKzIZJEp/dkKErM30St0&#10;S0uaKhgpKNESX2BaTS1pe/Mu2TUZfwBx3fsUTjbiDGSZt3lNQ/b3PqP+vNH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55/WAAAABQEAAA8AAAAAAAAAAQAgAAAAIgAAAGRycy9kb3ducmV2Lnht&#10;bFBLAQIUABQAAAAIAIdO4kCmmX74+wEAAOsDAAAOAAAAAAAAAAEAIAAAACUBAABkcnMvZTJvRG9j&#10;LnhtbFBLBQYAAAAABgAGAFkBAACSBQAAAAA=&#10;">
                  <v:fill on="f" focussize="0,0"/>
                  <v:stroke color="#000000" joinstyle="round" endarrow="block"/>
                  <v:imagedata o:title=""/>
                  <o:lock v:ext="edit" aspectratio="f"/>
                </v:line>
                <v:shape id="Text Box 1914" o:spid="_x0000_s1026" o:spt="202" type="#_x0000_t202" style="position:absolute;left:2530475;top:3044825;height:297180;width:50038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HvJOcoUAgAAJAQAAA4AAABkcnMvZTJvRG9jLnhtbK1Ty27bMBC8&#10;F+g/ELzXesSvCJaDNEaKAukDSPIBNEVZRCUuu6QtuV/fJeUkbnLJoRdiyV3O7gyHq6uha9lBodNg&#10;Sp5NUs6UkVBpsyv548PtpyVnzgtTiRaMKvlROX61/vhh1dtC5dBAWylkBGJc0duSN97bIkmcbFQn&#10;3ASsMpSsATvhaYu7pELRE3rXJnmazpMesLIIUjlHp5sxyU+I+B5AqGst1QbkvlPGj6ioWuGJkmu0&#10;dXwdp61rJf2PunbKs7bkxNTHlZpQvA1rsl6JYofCNlqeRhDvGeEVp05oQ02foTbCC7ZH/Qaq0xLB&#10;Qe0nErpkJBIVIRZZ+kqb+0ZYFbmQ1M4+i+7+H6z8fviJTFclz+dzzozo6Mkf1ODZZxhYdplNg0S9&#10;dQVV3luq9QNlyDiRrrN3IH85ZuCmEWanrhGhb5SoaMQs3EzOro44LoBs+29QUSex9xCBhhq7oB8p&#10;wgg9n12k08WMs2PJKZou89n4VGEySQWzNL1Y0iNKKsgvFxnFoZsonoAsOv9FQcdCUHIkJ8RG4nDn&#10;/Fj6VBL6GrjVbUvnomjNPweEGU4ikTD7yMIP24GqA7stVEeihDCai74WBQ3gH856MlbJ3e+9QMVZ&#10;+9WQLCTpNDgxbqazRU4bPM9szzPCSIIquedsDG/86N69Rb1rqNP4EAauScpaR2ovU53mJvNEcU5G&#10;D+4838eql8+9/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CZYR0wAAAAUBAAAPAAAAAAAAAAEA&#10;IAAAACIAAABkcnMvZG93bnJldi54bWxQSwECFAAUAAAACACHTuJAe8k5yhQCAAAkBAAADgAAAAAA&#10;AAABACAAAAAiAQAAZHJzL2Uyb0RvYy54bWxQSwUGAAAAAAYABgBZAQAAqAUAAAAA&#10;">
                  <v:fill on="f" focussize="0,0"/>
                  <v:stroke on="f"/>
                  <v:imagedata o:title=""/>
                  <o:lock v:ext="edit" aspectratio="f"/>
                  <v:textbox>
                    <w:txbxContent>
                      <w:p w14:paraId="4B2BC674">
                        <w:pPr>
                          <w:spacing w:line="240" w:lineRule="atLeast"/>
                          <w:contextualSpacing/>
                          <w:rPr>
                            <w:rFonts w:hint="default" w:eastAsia="宋体"/>
                            <w:lang w:val="en-US" w:eastAsia="zh-CN"/>
                          </w:rPr>
                        </w:pPr>
                        <w:r>
                          <w:rPr>
                            <w:rFonts w:hint="eastAsia"/>
                            <w:lang w:val="en-US" w:eastAsia="zh-CN"/>
                          </w:rPr>
                          <w:t>0.96</w:t>
                        </w:r>
                      </w:p>
                    </w:txbxContent>
                  </v:textbox>
                </v:shape>
                <v:shape id="Text Box 1914" o:spid="_x0000_s1026" o:spt="202" type="#_x0000_t202" style="position:absolute;left:1732915;top:2886710;height:297180;width:500380;"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LCrclYTAgAAJAQAAA4AAABkcnMvZTJvRG9jLnhtbK1Ty27bMBC8&#10;F+g/ELzXkhw/BctBGiNFgfQBJP0AiqIsohKXXdKW3K/vknISN73k0Aux5C5nZ4bLzfXQteyo0Gkw&#10;Bc8mKWfKSKi02Rf8x+PdhxVnzgtTiRaMKvhJOX69ff9u09tcTaGBtlLICMS4vLcFb7y3eZI42ahO&#10;uAlYZShZA3bC0xb3SYWiJ/SuTaZpukh6wMoiSOUcne7GJD8j4lsAoa61VDuQh04ZP6KiaoUnSa7R&#10;1vFtZFvXSvpvde2UZ23BSamPKzWhuAxrst2IfI/CNlqeKYi3UHilqRPaUNNnqJ3wgh1Q/wPVaYng&#10;oPYTCV0yComOkIosfeXNQyOsilrIamefTXf/D1Z+PX5HpquCTxdLzozo6Mkf1eDZRxhYts5mwaLe&#10;upwqHyzV+oEyNDhRrrP3IH86ZuC2EWavbhChb5SoiGIWbiYXV0ccF0DK/gtU1EkcPESgocYu+EeO&#10;sIC+vJquszlnJyK2Wi2W2fmpAjNJBfM0vVrRI8pQsF5mFIduIn8Csuj8JwUdC0HBkSYhNhLHe+fH&#10;0qeS0NfAnW5bOhd5a/46IMxwEoUE7qMKP5QDVQd1JVQnkoQwDhd9LQoawN+c9TRYBXe/DgIVZ+1n&#10;Q7aQpbMwiXEzmy+ntMHLTHmZEUYSVME9Z2N468fpPVjU+4Y6jQ9h4IasrHWU9sLqzJuGJ5pzHvQw&#10;nZf7WPXyub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YJlhHTAAAABQEAAA8AAAAAAAAAAQAg&#10;AAAAIgAAAGRycy9kb3ducmV2LnhtbFBLAQIUABQAAAAIAIdO4kCwq3JWEwIAACQEAAAOAAAAAAAA&#10;AAEAIAAAACIBAABkcnMvZTJvRG9jLnhtbFBLBQYAAAAABgAGAFkBAACnBQAAAAA=&#10;">
                  <v:fill on="f" focussize="0,0"/>
                  <v:stroke on="f"/>
                  <v:imagedata o:title=""/>
                  <o:lock v:ext="edit" aspectratio="f"/>
                  <v:textbox>
                    <w:txbxContent>
                      <w:p w14:paraId="32B23BD8">
                        <w:pPr>
                          <w:spacing w:line="240" w:lineRule="atLeast"/>
                          <w:contextualSpacing/>
                          <w:rPr>
                            <w:rFonts w:hint="default" w:eastAsia="宋体"/>
                            <w:lang w:val="en-US" w:eastAsia="zh-CN"/>
                          </w:rPr>
                        </w:pPr>
                        <w:r>
                          <w:rPr>
                            <w:rFonts w:hint="eastAsia"/>
                            <w:lang w:val="en-US" w:eastAsia="zh-CN"/>
                          </w:rPr>
                          <w:t>0.24</w:t>
                        </w:r>
                      </w:p>
                    </w:txbxContent>
                  </v:textbox>
                </v:shape>
                <v:line id="Line 1920" o:spid="_x0000_s1026" o:spt="20" style="position:absolute;left:4234815;top:782320;height:1825625;width:6350;" filled="f" stroked="t" coordsize="21600,21600" o:gfxdata="UEsDBAoAAAAAAIdO4kAAAAAAAAAAAAAAAAAEAAAAZHJzL1BLAwQUAAAACACHTuJA1NLRrNUAAAAF&#10;AQAADwAAAGRycy9kb3ducmV2LnhtbE2PzU7DMBCE70i8g7VIXCpqN1AUQpwegNy4UEBct/GSRMTr&#10;NHZ/4OlZuMBlpdGMZr4tV0c/qD1NsQ9sYTE3oIib4HpuLbw81xc5qJiQHQ6BycInRVhVpyclFi4c&#10;+In269QqKeFYoIUupbHQOjYdeYzzMBKL9x4mj0nk1Go34UHK/aAzY661x55locOR7jpqPtY7byHW&#10;r7Stv2bNzLxdtoGy7f3jA1p7frYwt6ASHdNfGH7wBR0qYdqEHbuoBgvySPq94uXL7ArUxsIyNzeg&#10;q1L/p6++AVBLAwQUAAAACACHTuJAO3YlNN0BAACyAwAADgAAAGRycy9lMm9Eb2MueG1srVPBctow&#10;EL13pv+g0b0Ym0CJB5MDTHqhLTNJP0DIMtZU0mq0AsPfdyUgadJLDvVB4/Wu3tv3dr14OFnDjiqg&#10;BtfwcjTmTDkJrXb7hv96fvwy5wyjcK0w4FTDzwr5w/Lzp8Xga1VBD6ZVgRGIw3rwDe9j9HVRoOyV&#10;FTgCrxwlOwhWRArDvmiDGAjdmqIaj2fFAKH1AaRCpK/rS5JfEcNHAKHrtFRrkAerXLygBmVEJEnY&#10;a498mbvtOiXjz65DFZlpOCmN+SQSet+ls1guRL0PwvdaXlsQH2nhnSYrtCPSF6i1iIIdgv4HymoZ&#10;AKGLIwm2uAjJjpCKcvzOm6deeJW1kNXoX0zH/wcrfxy3gem24dWMBu+EpZFvtFOsvK+yPYPHmqpW&#10;bhuSQHlyT34D8jcyB6teuL3KbT6fPd0sk6HFmyspQE8ku+E7tFQjDhGyV6cu2ARJLrBTw++qyd28&#10;nHJ2bvjXeTW50ItanSKTlJ9NpjQ1SdlyXk1n1TRzifoG4wPGbwosSy8NNyQi04jjBmNqS9S3ksTq&#10;4FEbk+dvHBsafj8lyJRBMLpNyRyE/W5lAjuKtEH5ufK+KQtwcO2FxLirBUl1WkSsd9Cet+FmDY0y&#10;d3Ndu7Qrf8f59uuvtv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NLRrNUAAAAFAQAADwAAAAAA&#10;AAABACAAAAAiAAAAZHJzL2Rvd25yZXYueG1sUEsBAhQAFAAAAAgAh07iQDt2JTTdAQAAsgMAAA4A&#10;AAAAAAAAAQAgAAAAJAEAAGRycy9lMm9Eb2MueG1sUEsFBgAAAAAGAAYAWQEAAHMFAAAAAA==&#10;">
                  <v:fill on="f" focussize="0,0"/>
                  <v:stroke color="#000000" joinstyle="round"/>
                  <v:imagedata o:title=""/>
                  <o:lock v:ext="edit" aspectratio="f"/>
                </v:line>
                <v:line id="Line 1924" o:spid="_x0000_s1026" o:spt="20" style="position:absolute;left:4248785;top:1716405;flip:y;height:5080;width:502920;" filled="f" stroked="t" coordsize="21600,21600" o:gfxdata="UEsDBAoAAAAAAIdO4kAAAAAAAAAAAAAAAAAEAAAAZHJzL1BLAwQUAAAACACHTuJAL87nn9YAAAAF&#10;AQAADwAAAGRycy9kb3ducmV2LnhtbE2PwU7DMBBE70j8g7VI3KidqkFpiNMDAokTghYhcXPjJQmN&#10;18HeNoWvx/QCl5VGM5p5W62ObhAHDLH3pCGbKRBIjbc9tRpeNvdXBYjIhqwZPKGGL4ywqs/PKlNa&#10;P9EzHtbcilRCsTQaOuaxlDI2HToTZ35ESt67D85wkqGVNpgplbtBzpW6ls70lBY6M+Jth81uvXca&#10;lpsp909h97rI+s+377sPHh8eWevLi0zdgGA88l8YfvETOtSJaev3ZKMYNKRH+HSTV+TzBYithrxQ&#10;S5B1Jf/T1z9QSwMEFAAAAAgAh07iQBtalk/+AQAA6gMAAA4AAABkcnMvZTJvRG9jLnhtbK1TwY7b&#10;IBC9V+o/IO6NHSvOJlacPSTdXtI20u72TgDHqMAgIHHy9x1wtLvdXvZQHxB43ryZ9xhW9xejyVn6&#10;oMC2dDopKZGWg1D22NLnp4cvC0pCZFYwDVa29CoDvV9//rQaXCMr6EEL6QmS2NAMrqV9jK4pisB7&#10;aViYgJMWgx14wyIe/bEQng3IbnRRleW8GMAL54HLEPDvdgzSG6P/CCF0neJyC/xkpI0jq5eaRZQU&#10;euUCXeduu07y+LPrgoxEtxSVxrxiEdwf0lqsV6w5euZ6xW8tsI+08E6TYcpi0ReqLYuMnLz6h8oo&#10;7iFAFyccTDEKyY6gimn5zpvHnjmZtaDVwb2YHv4fLf9x3nuiREur+ZISywxe+U5ZSabLapbsGVxo&#10;ELWxe58E8ot9dDvgvwOxsOmZPcrc5tPVYeY0ZRR/paRDcFjkMHwHgRh2ipC9unTekE4r9yslJnL0&#10;g1xaOqtmi7tFTckVA3fT+aysx4uSl0g4AuqyWlZ4hRwBdbnI11iwJhEmGudD/CbBkLRpqUY5mZ6d&#10;dyGmBl8hCW7hQWmdJ0FbMrR0WVd1TgiglUjBBAv+eNhoT84szVL+slqMvIV5OFmRySJT+qsVJGZr&#10;oldolpY0VTBSUKIlPsC0G1vS9mZdcmv0/QDiuvcpnFzEEci938Y1zdjbc0a9PtH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O55/WAAAABQEAAA8AAAAAAAAAAQAgAAAAIgAAAGRycy9kb3ducmV2&#10;LnhtbFBLAQIUABQAAAAIAIdO4kAbWpZP/gEAAOoDAAAOAAAAAAAAAAEAIAAAACUBAABkcnMvZTJv&#10;RG9jLnhtbFBLBQYAAAAABgAGAFkBAACVBQAAAAA=&#10;">
                  <v:fill on="f" focussize="0,0"/>
                  <v:stroke color="#000000" joinstyle="round" endarrow="block"/>
                  <v:imagedata o:title=""/>
                  <o:lock v:ext="edit" aspectratio="f"/>
                </v:line>
                <v:shape id="Text Box 1927" o:spid="_x0000_s1026" o:spt="202" type="#_x0000_t202" style="position:absolute;left:4755515;top:525780;height:1732280;width:307975;" fillcolor="#FFFFFF" filled="t" stroked="t" coordsize="21600,21600" o:gfxdata="UEsDBAoAAAAAAIdO4kAAAAAAAAAAAAAAAAAEAAAAZHJzL1BLAwQUAAAACACHTuJANTrKrNYAAAAF&#10;AQAADwAAAGRycy9kb3ducmV2LnhtbE2PwU7DMBBE70j8g7VIXBC1W9qShjg9IIHgBgXB1Y23SYS9&#10;DvY2LX+P4QKXlUYzmnlbrY/eiRFj6gNpmE4UCKQm2J5aDa8vd5cFiMSGrHGBUMMXJljXpyeVKW04&#10;0DOOG25FLqFUGg0d81BKmZoOvUmTMCBlbxeiN5xlbKWN5pDLvZMzpZbSm57yQmcGvO2w+djsvYZi&#10;/jC+p8erp7dmuXMrvrge7z+j1udnU3UDgvHIf2H4wc/oUGembdiTTcJpyI/w781esZjNQWw1LAq1&#10;AllX8j99/Q1QSwMEFAAAAAgAh07iQJJS9Yw9AgAAlgQAAA4AAABkcnMvZTJvRG9jLnhtbK1UwW7b&#10;MAy9D9g/CLqvjt14bow6RZeiw4CuG9DuAxRZjoVJoiYpsbuvHyW7XZBtQA/zwRBN6vHxkfTl1agV&#10;OQjnJZiG5mcLSoTh0Eqza+i3x9t3F5T4wEzLFBjR0Cfh6dX67ZvLwdaigB5UKxxBEOPrwTa0D8HW&#10;WeZ5LzTzZ2CFQWcHTrOApttlrWMDomuVFYvF+2wA11oHXHiPX28mJ50R3WsAoeskFzfA91qYMKE6&#10;oVjAknwvrafrxLbrBA9fus6LQFRDsdKQ3pgEz9v4ztaXrN45ZnvJZwrsNRROatJMGkz6AnXDAiN7&#10;J/+A0pI78NCFMw46mwpJimAV+eJEm4eeWZFqQam9fRHd/z9Yfn/46ohsG1pUqIlhGlv+KMZAPsBI&#10;8lVRRYkG62uMfLAYG0b04OCkcr29A/7dEwObnpmduHYOhl6wFinm8WZ2dHXC8RFkO3yGFjOxfYAE&#10;NHZOR/1QEYLoy6osy7yk5KmhZVFWF3OnIjGO/vNFtarQzdGfV+dFMQVkrH4Gss6HjwI0iYeGOpyE&#10;lIgd7nyIxFj9HBLzelCyvZVKJcPtthvlyIHh1NymJ9VyEqYMGRq6Qn6TFv+EWKTnbxBaBlwmJXVD&#10;L46DlJmli2pNuoVxO86t2EL7hCI6mMYZlxkPPbiflAw4yg31P/bMCUrUJ4ONWOXLZZz9ZCzLqkDD&#10;HXu2xx5mOEI1NFAyHTdh2pe9dXLXY6ap9QausXmdTGLGLk+sZt44rknjebXiPhzbKer372T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U6yqzWAAAABQEAAA8AAAAAAAAAAQAgAAAAIgAAAGRycy9k&#10;b3ducmV2LnhtbFBLAQIUABQAAAAIAIdO4kCSUvWMPQIAAJYEAAAOAAAAAAAAAAEAIAAAACUBAABk&#10;cnMvZTJvRG9jLnhtbFBLBQYAAAAABgAGAFkBAADUBQAAAAA=&#10;">
                  <v:fill on="t" focussize="0,0"/>
                  <v:stroke color="#000000" miterlimit="8" joinstyle="miter"/>
                  <v:imagedata o:title=""/>
                  <o:lock v:ext="edit" aspectratio="f"/>
                  <v:textbox>
                    <w:txbxContent>
                      <w:p w14:paraId="6F6B595D">
                        <w:pPr>
                          <w:spacing w:line="240" w:lineRule="atLeast"/>
                          <w:contextualSpacing/>
                          <w:rPr>
                            <w:rFonts w:hint="default" w:eastAsia="宋体"/>
                            <w:lang w:val="en-US" w:eastAsia="zh-CN"/>
                          </w:rPr>
                        </w:pPr>
                        <w:r>
                          <w:rPr>
                            <w:rFonts w:hint="eastAsia"/>
                            <w:lang w:val="en-US" w:eastAsia="zh-CN"/>
                          </w:rPr>
                          <w:t>厂内污水处理站</w:t>
                        </w:r>
                      </w:p>
                    </w:txbxContent>
                  </v:textbox>
                </v:shape>
                <v:line id="Line 1924" o:spid="_x0000_s1026" o:spt="20" style="position:absolute;left:4909820;top:2258060;height:900430;width:6985;" filled="f" stroked="t" coordsize="21600,21600" o:gfxdata="UEsDBAoAAAAAAIdO4kAAAAAAAAAAAAAAAAAEAAAAZHJzL1BLAwQUAAAACACHTuJA56ZyzNcAAAAF&#10;AQAADwAAAGRycy9kb3ducmV2LnhtbE2PwU7DMBBE70j8g7VI3KidiiKTxumhUrm0gNoiBDc33iZR&#10;43VkO234ewwXuKw0mtHM22Ix2o6d0YfWkYJsIoAhVc60VCt426/uJLAQNRndOUIFXxhgUV5fFTo3&#10;7kJbPO9izVIJhVwraGLsc85D1aDVYeJ6pOQdnbc6Julrbry+pHLb8akQD9zqltJCo3tcNliddoNV&#10;sN2s1vJ9PYyV/3zKXvavm+ePIJW6vcnEHFjEMf6F4Qc/oUOZmA5uIBNYpyA9En9v8uRseg/soGAm&#10;xSPwsuD/6ctvUEsDBBQAAAAIAIdO4kDpkfkFCwIAABcEAAAOAAAAZHJzL2Uyb0RvYy54bWytU8Fy&#10;2yAQvXem/8BwryWrdmprLOdgN724rWeSfgAGZDEFlgFs2X/fBclJk15yqA4aYJf39r1dVvcXo8lZ&#10;+qDANnQ6KSmRloNQ9tjQX08PnxaUhMisYBqsbOhVBnq//vhh1btaVtCBFtITBLGh7l1DuxhdXRSB&#10;d9KwMAEnLQZb8IZF3PpjITzrEd3ooirLu6IHL5wHLkPA0+0QpCOifw8gtK3icgv8ZKSNA6qXmkWU&#10;FDrlAl3nattW8vizbYOMRDcUlcb8RxJcH9K/WK9YffTMdYqPJbD3lPBGk2HKIukz1JZFRk5e/QNl&#10;FPcQoI0TDqYYhGRHUMW0fOPNY8eczFrQ6uCeTQ//D5b/OO89UaKh1ZcpJZYZbPlOWUmmy2qW7Old&#10;qDFrY/c+CeQX++h2wH8HYmHTMXuUucynq8Ob08HQEDcXO6Ki00pcEH8ISSteYtUYy30oXjGlTXBY&#10;26H/DgKh2SlCtvjSepMqQfMI4s6W5XJRIcsVOar5orwbuyovkXBMuFsu5pRwDC/LcvZ54GL1Dcb5&#10;EL9JMCQtGqpRe6Zh512IqL9g9S0lsVp4UFrnsdGW9Ag6r+b5QgCtRAqmtOCPh4325MzS4OUv6Uew&#10;V2keTlZksMiU/moFidnH6BU6qyVNDEYKSrTE15pWA4q2CHbzaGjSAcR171M4neO8ZLpxttNA/r3P&#10;WS/ve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6ZyzNcAAAAFAQAADwAAAAAAAAABACAAAAAi&#10;AAAAZHJzL2Rvd25yZXYueG1sUEsBAhQAFAAAAAgAh07iQOmR+QULAgAAFwQAAA4AAAAAAAAAAQAg&#10;AAAAJgEAAGRycy9lMm9Eb2MueG1sUEsFBgAAAAAGAAYAWQEAAKMFAAAAAA==&#10;">
                  <v:fill on="f" focussize="0,0"/>
                  <v:stroke color="#000000" joinstyle="round" endarrow="block"/>
                  <v:imagedata o:title=""/>
                  <o:lock v:ext="edit" aspectratio="f"/>
                </v:line>
                <v:shape id="Text Box 1918" o:spid="_x0000_s1026" o:spt="202" type="#_x0000_t202" style="position:absolute;left:4538345;top:3158490;height:273685;width:75628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AFaf+4oAgAARAQAAA4AAABkcnMvZTJvRG9jLnhtbK1TQW7bMBC8&#10;F+gfCN5rWbJly4LpII2RokCaFkj6AJqiLKIilyVpS+nru5SUxEgvOVQHYcldzu4Mh9urXrfkLJ1X&#10;YBhNZ3NKpBFQKXNk9Ofj7aeCEh+4qXgLRjL6JD292n38sO1sKTNooK2kIwhifNlZRpsQbJkkXjRS&#10;cz8DKw0ma3CaB1y6Y1I53iG6bpNsPl8lHbjKOhDSe9zdj0k6Ibr3AEJdKyH3IE5amjCiOtnygJR8&#10;o6ynu2HaupYifK9rLwNpGUWmYfhjE4wP8Z/strw8Om4bJaYR+HtGeMNJc2Ww6QvUngdOTk79A6WV&#10;cOChDjMBOhmJDIogi3T+RpuHhls5cEGpvX0R3f8/WHF//uGIqhjN1hklhmu88kfZB/IZepJu0iJK&#10;1FlfYuWDxdrQYwaNM9D19g7EL08M3DTcHOW1c9A1klc4YhpPJhdHRxwfQQ7dN6iwEz8FGID62umo&#10;HypCEH2ZL4rFMqfkidFFmhfLzXRVcTKBBet8lRWYF1iQrRcrjGM3Xj4DWefDFwmaxIBRh04YGvHz&#10;nQ9j6XNJ7GvgVrUt7vOyNaRjdJNn+XDgIqNVQOu3SjNazOM39WzNRDRyG1mG/tAjWmR/gOoJKTsY&#10;zYdPD4MG3B9KOjQeo/73iTtJSfvVoGybdLmMTh0Wy3yd4cJdZg6XGW4EQjEaKBnDmzC6+2SdOjbY&#10;abwoA9coda0G6q9TTXOjuQbxpocQ3Xu5HqpeH//u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YJ&#10;lhHTAAAABQEAAA8AAAAAAAAAAQAgAAAAIgAAAGRycy9kb3ducmV2LnhtbFBLAQIUABQAAAAIAIdO&#10;4kABWn/uKAIAAEQEAAAOAAAAAAAAAAEAIAAAACIBAABkcnMvZTJvRG9jLnhtbFBLBQYAAAAABgAG&#10;AFkBAAC8BQAAAAA=&#10;">
                  <v:fill on="f" focussize="0,0"/>
                  <v:stroke on="f" miterlimit="8" joinstyle="miter"/>
                  <v:imagedata o:title=""/>
                  <o:lock v:ext="edit" aspectratio="f"/>
                  <v:textbox>
                    <w:txbxContent>
                      <w:p w14:paraId="7E1A62AA">
                        <w:pPr>
                          <w:spacing w:line="240" w:lineRule="atLeast"/>
                          <w:contextualSpacing/>
                          <w:rPr>
                            <w:rFonts w:hint="default" w:eastAsia="宋体"/>
                            <w:lang w:val="en-US" w:eastAsia="zh-CN"/>
                          </w:rPr>
                        </w:pPr>
                        <w:r>
                          <w:rPr>
                            <w:rFonts w:hint="eastAsia"/>
                            <w:lang w:val="en-US" w:eastAsia="zh-CN"/>
                          </w:rPr>
                          <w:t>市政管网</w:t>
                        </w:r>
                      </w:p>
                    </w:txbxContent>
                  </v:textbox>
                </v:shape>
                <v:shape id="Text Box 1943" o:spid="_x0000_s1026" o:spt="202" type="#_x0000_t202" style="position:absolute;left:4173855;top:1371600;height:297815;width:61912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KVVsmkVAgAAJAQAAA4AAABkcnMvZTJvRG9jLnhtbK1Ty27bMBC8&#10;F+g/ELzXsuS3YDlIY6QokKYFkn4ATVEWUYnLLmlL6dd3SSmpm15y6EUguavZmeFwe9W3DTsrdBpM&#10;wdPJlDNlJJTaHAv+/fH2w5oz54UpRQNGFfxJOX61e/9u29lcZVBDUypkBGJc3tmC197bPEmcrFUr&#10;3ASsMlSsAFvhaYvHpETREXrbJNl0ukw6wNIiSOUcne6HIh8R8S2AUFVaqj3IU6uMH1BRNcKTJFdr&#10;6/gusq0qJf3XqnLKs6bgpNTHLw2h9SF8k91W5EcUttZypCDeQuGVplZoQ0NfoPbCC3ZC/Q9UqyWC&#10;g8pPJLTJICQ6QirS6StvHmphVdRCVjv7Yrr7f7Dy/vwNmS4Lnq1mnBnR0pU/qt6zj9CzdDOfBYs6&#10;63LqfLDU63uqUHCiXGfvQP5wzMBNLcxRXSNCVytREsU0/Jlc/DrguABy6L5ASZPEyUME6itsg3/k&#10;CCP0ebqarRcLzp4IZ7ZKl9PxqgIzSQ3LdJNmVJfUkG1W63QRp4n8Gcii858UtCwsCo6UhDhInO+c&#10;D8RE/twS5hq41U0T09CYvw6oMZxEIYH7oML3h3405gDlE0lCGMJFT4sWNeAvzjoKVsHdz5NAxVnz&#10;2ZAtm3Q+D0mMm/lildEGLyuHy4owkqAK7jkbljd+SO/Joj7WNGm4CAPXZGWlo7Tg+cBq5E3hiYrH&#10;oId0Xu5j15/Hvf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mWEdMAAAAFAQAADwAAAAAAAAAB&#10;ACAAAAAiAAAAZHJzL2Rvd25yZXYueG1sUEsBAhQAFAAAAAgAh07iQKVVsmkVAgAAJAQAAA4AAAAA&#10;AAAAAQAgAAAAIgEAAGRycy9lMm9Eb2MueG1sUEsFBgAAAAAGAAYAWQEAAKkFAAAAAA==&#10;">
                  <v:fill on="f" focussize="0,0"/>
                  <v:stroke on="f"/>
                  <v:imagedata o:title=""/>
                  <o:lock v:ext="edit" aspectratio="f"/>
                  <v:textbox>
                    <w:txbxContent>
                      <w:p w14:paraId="7AEB6A15">
                        <w:pPr>
                          <w:spacing w:line="240" w:lineRule="atLeast"/>
                          <w:contextualSpacing/>
                          <w:jc w:val="center"/>
                          <w:rPr>
                            <w:rFonts w:hint="default" w:eastAsia="宋体"/>
                            <w:lang w:val="en-US" w:eastAsia="zh-CN"/>
                          </w:rPr>
                        </w:pPr>
                        <w:r>
                          <w:rPr>
                            <w:rFonts w:hint="eastAsia"/>
                            <w:lang w:val="en-US" w:eastAsia="zh-CN"/>
                          </w:rPr>
                          <w:t>231.34</w:t>
                        </w:r>
                      </w:p>
                    </w:txbxContent>
                  </v:textbox>
                </v:shape>
                <v:shape id="Text Box 1943" o:spid="_x0000_s1026" o:spt="202" type="#_x0000_t202" style="position:absolute;left:4364355;top:2353310;height:297815;width:619125;" filled="f" stroked="f" coordsize="21600,21600" o:gfxdata="UEsDBAoAAAAAAIdO4kAAAAAAAAAAAAAAAAAEAAAAZHJzL1BLAwQUAAAACACHTuJAhgmWEdMAAAAF&#10;AQAADwAAAGRycy9kb3ducmV2LnhtbE2PwU7DMBBE70j8g7VI3KjdqkFpyKYHEFcQpSBx28bbJCJe&#10;R7HbhL/HcIHLSqMZzbwtt7Pr1ZnH0HlBWC4MKJba204ahP3r400OKkQSS70XRvjiANvq8qKkwvpJ&#10;Xvi8i41KJRIKQmhjHAqtQ92yo7DwA0vyjn50FJMcG21HmlK56/XKmFvtqJO00NLA9y3Xn7uTQ3h7&#10;On68r81z8+CyYfKz0eI2GvH6amnuQEWe418YfvATOlSJ6eBPYoPqEdIj8fcmL89Wa1AHhCw3G9BV&#10;qf/TV99QSwMEFAAAAAgAh07iQKO5LQgVAgAAJAQAAA4AAABkcnMvZTJvRG9jLnhtbK1TQW7bMBC8&#10;F+gfCN5rWZZsx4LlII2RokCaFkj6AJqiLKISl13SltzXd0k5qZtecuhFILmr2ZnhcH09dC07KnQa&#10;TMnTyZQzZSRU2uxL/v3p7sMVZ84LU4kWjCr5STl+vXn/bt3bQs2ggbZSyAjEuKK3JW+8t0WSONmo&#10;TrgJWGWoWAN2wtMW90mFoif0rk1m0+ki6QEriyCVc3S6HYv8jIhvAYS61lJtQR46ZfyIiqoVniS5&#10;RlvHN5FtXSvpv9a1U561JSelPn5pCK134Zts1qLYo7CNlmcK4i0UXmnqhDY09AVqK7xgB9T/QHVa&#10;Ijio/URCl4xCoiOkIp2+8uaxEVZFLWS1sy+mu/8HKx+O35DpquSz5ZwzIzq68ic1ePYRBpau8ixY&#10;1FtXUOejpV4/UIWCE+U6ew/yh2MGbhth9uoGEfpGiYoopuHP5OLXEccFkF3/BSqaJA4eItBQYxf8&#10;I0cYoefZIs/mROhExLJ5lqXnqwrMJDUs0lU6o7oMDavlVTqP00TxDGTR+U8KOhYWJUdKQhwkjvfO&#10;B2KieG4Jcw3c6baNaWjNXwfUGE6ikMB9VOGH3XA2ZgfViSQhjOGip0WLBvAXZz0Fq+Tu50Gg4qz9&#10;bMiWVZrnIYlxk8+XM9rgZWV3WRFGElTJPWfj8taP6T1Y1PuGJo0XYeCGrKx1lBY8H1mdeVN4ouJz&#10;0EM6L/ex68/j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mWEdMAAAAFAQAADwAAAAAAAAAB&#10;ACAAAAAiAAAAZHJzL2Rvd25yZXYueG1sUEsBAhQAFAAAAAgAh07iQKO5LQgVAgAAJAQAAA4AAAAA&#10;AAAAAQAgAAAAIgEAAGRycy9lMm9Eb2MueG1sUEsFBgAAAAAGAAYAWQEAAKkFAAAAAA==&#10;">
                  <v:fill on="f" focussize="0,0"/>
                  <v:stroke on="f"/>
                  <v:imagedata o:title=""/>
                  <o:lock v:ext="edit" aspectratio="f"/>
                  <v:textbox>
                    <w:txbxContent>
                      <w:p w14:paraId="66C964D2">
                        <w:pPr>
                          <w:spacing w:line="240" w:lineRule="atLeast"/>
                          <w:contextualSpacing/>
                          <w:jc w:val="center"/>
                          <w:rPr>
                            <w:rFonts w:hint="default" w:eastAsia="宋体"/>
                            <w:lang w:val="en-US" w:eastAsia="zh-CN"/>
                          </w:rPr>
                        </w:pPr>
                        <w:r>
                          <w:rPr>
                            <w:rFonts w:hint="eastAsia"/>
                            <w:lang w:val="en-US" w:eastAsia="zh-CN"/>
                          </w:rPr>
                          <w:t>231.34</w:t>
                        </w:r>
                      </w:p>
                    </w:txbxContent>
                  </v:textbox>
                </v:shape>
                <w10:wrap type="none"/>
                <w10:anchorlock/>
              </v:group>
            </w:pict>
          </mc:Fallback>
        </mc:AlternateContent>
      </w:r>
    </w:p>
    <w:p w14:paraId="6FCE13A3" w14:textId="77777777" w:rsidR="00B14D53" w:rsidRDefault="00000000">
      <w:pPr>
        <w:jc w:val="center"/>
        <w:rPr>
          <w:b/>
          <w:bCs/>
        </w:rPr>
      </w:pPr>
      <w:r>
        <w:rPr>
          <w:rFonts w:hint="eastAsia"/>
          <w:b/>
          <w:bCs/>
        </w:rPr>
        <w:t>图</w:t>
      </w:r>
      <w:r>
        <w:rPr>
          <w:rFonts w:hint="eastAsia"/>
          <w:b/>
          <w:bCs/>
        </w:rPr>
        <w:t xml:space="preserve">3-1-2 </w:t>
      </w:r>
      <w:r>
        <w:rPr>
          <w:rFonts w:hint="eastAsia"/>
          <w:b/>
          <w:bCs/>
        </w:rPr>
        <w:t>冬季水平衡图</w:t>
      </w:r>
      <w:r>
        <w:rPr>
          <w:rFonts w:hint="eastAsia"/>
          <w:b/>
          <w:bCs/>
        </w:rPr>
        <w:t xml:space="preserve">     </w:t>
      </w:r>
      <w:r>
        <w:rPr>
          <w:rFonts w:hint="eastAsia"/>
          <w:b/>
          <w:bCs/>
        </w:rPr>
        <w:t>单位：</w:t>
      </w:r>
      <w:r>
        <w:rPr>
          <w:rFonts w:hint="eastAsia"/>
          <w:b/>
          <w:bCs/>
        </w:rPr>
        <w:t>t/d</w:t>
      </w:r>
    </w:p>
    <w:p w14:paraId="4FD44A60"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hyperlink r:id="rId29" w:anchor="_Toc110400208" w:history="1">
        <w:bookmarkStart w:id="91" w:name="_Toc112420358"/>
        <w:bookmarkStart w:id="92" w:name="_Toc182022288"/>
        <w:bookmarkStart w:id="93" w:name="_Toc113078929"/>
        <w:bookmarkStart w:id="94" w:name="_Toc118087007"/>
        <w:r>
          <w:rPr>
            <w:rFonts w:ascii="Times New Roman" w:eastAsia="黑体" w:hAnsi="Times New Roman" w:cs="Times New Roman"/>
            <w:b w:val="0"/>
            <w:bCs w:val="0"/>
            <w:sz w:val="24"/>
            <w:szCs w:val="24"/>
          </w:rPr>
          <w:t>3.1.7.3</w:t>
        </w:r>
        <w:r>
          <w:rPr>
            <w:rFonts w:ascii="Times New Roman" w:eastAsia="黑体" w:hAnsi="Times New Roman" w:cs="Times New Roman"/>
            <w:b w:val="0"/>
            <w:bCs w:val="0"/>
            <w:sz w:val="24"/>
            <w:szCs w:val="24"/>
          </w:rPr>
          <w:t>供电工程</w:t>
        </w:r>
        <w:bookmarkEnd w:id="91"/>
        <w:bookmarkEnd w:id="92"/>
        <w:bookmarkEnd w:id="93"/>
        <w:bookmarkEnd w:id="94"/>
      </w:hyperlink>
    </w:p>
    <w:p w14:paraId="1E362FF3"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本项目供电由当地电业局提供。</w:t>
      </w:r>
    </w:p>
    <w:p w14:paraId="1FDA4669" w14:textId="77777777" w:rsidR="00B14D53" w:rsidRDefault="00000000">
      <w:pPr>
        <w:pStyle w:val="4"/>
        <w:spacing w:before="100" w:beforeAutospacing="1" w:after="0" w:line="240" w:lineRule="auto"/>
        <w:ind w:firstLineChars="200" w:firstLine="480"/>
        <w:rPr>
          <w:b w:val="0"/>
          <w:bCs w:val="0"/>
          <w:sz w:val="24"/>
        </w:rPr>
      </w:pPr>
      <w:hyperlink r:id="rId30" w:anchor="_Toc110400209" w:history="1">
        <w:r>
          <w:rPr>
            <w:rFonts w:ascii="Times New Roman" w:eastAsia="黑体" w:hAnsi="Times New Roman" w:cs="Times New Roman"/>
            <w:b w:val="0"/>
            <w:bCs w:val="0"/>
            <w:sz w:val="24"/>
            <w:szCs w:val="24"/>
          </w:rPr>
          <w:t>3.1.7.4</w:t>
        </w:r>
      </w:hyperlink>
      <w:r>
        <w:rPr>
          <w:rFonts w:ascii="Times New Roman" w:eastAsia="黑体" w:hAnsi="Times New Roman" w:cs="Times New Roman"/>
          <w:b w:val="0"/>
          <w:bCs w:val="0"/>
          <w:sz w:val="24"/>
          <w:szCs w:val="24"/>
        </w:rPr>
        <w:t>供热工程</w:t>
      </w:r>
    </w:p>
    <w:p w14:paraId="13CBE86A" w14:textId="77777777" w:rsidR="00B14D53" w:rsidRDefault="00000000">
      <w:pPr>
        <w:spacing w:line="360" w:lineRule="auto"/>
        <w:ind w:firstLineChars="200" w:firstLine="480"/>
        <w:rPr>
          <w:rFonts w:eastAsiaTheme="minorEastAsia"/>
          <w:kern w:val="44"/>
          <w:sz w:val="24"/>
        </w:rPr>
      </w:pPr>
      <w:r>
        <w:rPr>
          <w:rFonts w:eastAsiaTheme="minorEastAsia" w:hAnsiTheme="minorEastAsia"/>
          <w:sz w:val="24"/>
        </w:rPr>
        <w:t>本项目冬季</w:t>
      </w:r>
      <w:r>
        <w:rPr>
          <w:rFonts w:eastAsiaTheme="minorEastAsia" w:hAnsiTheme="minorEastAsia" w:hint="eastAsia"/>
          <w:sz w:val="24"/>
        </w:rPr>
        <w:t>由黑龙江省山河屯林业局有限公司供热站提供集中供热</w:t>
      </w:r>
      <w:r>
        <w:rPr>
          <w:rFonts w:eastAsiaTheme="minorEastAsia" w:hAnsiTheme="minorEastAsia"/>
          <w:kern w:val="44"/>
          <w:sz w:val="24"/>
        </w:rPr>
        <w:t>。</w:t>
      </w:r>
    </w:p>
    <w:p w14:paraId="109FDBD0"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95" w:name="_Toc26375"/>
      <w:r>
        <w:rPr>
          <w:rFonts w:ascii="Times New Roman" w:eastAsia="黑体" w:hAnsi="Times New Roman" w:cs="Times New Roman"/>
          <w:b w:val="0"/>
          <w:bCs w:val="0"/>
          <w:sz w:val="30"/>
          <w:szCs w:val="30"/>
        </w:rPr>
        <w:t>3.2</w:t>
      </w:r>
      <w:r>
        <w:rPr>
          <w:rFonts w:ascii="Times New Roman" w:eastAsia="黑体" w:hAnsi="Times New Roman" w:cs="Times New Roman"/>
          <w:b w:val="0"/>
          <w:bCs w:val="0"/>
          <w:sz w:val="30"/>
          <w:szCs w:val="30"/>
        </w:rPr>
        <w:t>影响因素分析</w:t>
      </w:r>
      <w:bookmarkEnd w:id="95"/>
    </w:p>
    <w:p w14:paraId="5FC081F8"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3.2.1</w:t>
      </w:r>
      <w:r>
        <w:rPr>
          <w:rFonts w:ascii="Times New Roman" w:eastAsia="黑体" w:hAnsi="Times New Roman" w:cs="Times New Roman"/>
          <w:sz w:val="28"/>
          <w:szCs w:val="28"/>
        </w:rPr>
        <w:t>施工期影响因素分析</w:t>
      </w:r>
    </w:p>
    <w:p w14:paraId="7746E4E7" w14:textId="77777777" w:rsidR="00B14D53" w:rsidRDefault="00000000">
      <w:pPr>
        <w:pStyle w:val="4"/>
        <w:spacing w:before="100" w:beforeAutospacing="1" w:after="0" w:line="240" w:lineRule="auto"/>
        <w:ind w:firstLineChars="200" w:firstLine="480"/>
        <w:rPr>
          <w:b w:val="0"/>
          <w:bCs w:val="0"/>
          <w:sz w:val="24"/>
        </w:rPr>
      </w:pPr>
      <w:hyperlink r:id="rId31" w:history="1">
        <w:r>
          <w:rPr>
            <w:rFonts w:ascii="Times New Roman" w:eastAsia="黑体" w:hAnsi="Times New Roman" w:cs="Times New Roman"/>
            <w:b w:val="0"/>
            <w:bCs w:val="0"/>
            <w:sz w:val="24"/>
            <w:szCs w:val="24"/>
          </w:rPr>
          <w:t>3.</w:t>
        </w:r>
        <w:r>
          <w:rPr>
            <w:rFonts w:ascii="Times New Roman" w:eastAsia="黑体" w:hAnsi="Times New Roman" w:cs="Times New Roman" w:hint="eastAsia"/>
            <w:b w:val="0"/>
            <w:bCs w:val="0"/>
            <w:sz w:val="24"/>
            <w:szCs w:val="24"/>
          </w:rPr>
          <w:t>2</w:t>
        </w:r>
        <w:r>
          <w:rPr>
            <w:rFonts w:ascii="Times New Roman" w:eastAsia="黑体" w:hAnsi="Times New Roman" w:cs="Times New Roman"/>
            <w:b w:val="0"/>
            <w:bCs w:val="0"/>
            <w:sz w:val="24"/>
            <w:szCs w:val="24"/>
          </w:rPr>
          <w:t>.1.1</w:t>
        </w:r>
      </w:hyperlink>
      <w:r>
        <w:rPr>
          <w:rFonts w:ascii="Times New Roman" w:eastAsia="黑体" w:hAnsi="Times New Roman" w:cs="Times New Roman" w:hint="eastAsia"/>
          <w:b w:val="0"/>
          <w:bCs w:val="0"/>
          <w:sz w:val="24"/>
          <w:szCs w:val="24"/>
        </w:rPr>
        <w:t>施工期工艺流程及产污环节分析</w:t>
      </w:r>
    </w:p>
    <w:p w14:paraId="75C85BA4" w14:textId="77777777" w:rsidR="00B14D53" w:rsidRDefault="00000000">
      <w:pPr>
        <w:pStyle w:val="afff"/>
        <w:adjustRightInd/>
        <w:snapToGrid/>
        <w:contextualSpacing/>
        <w:jc w:val="both"/>
        <w:rPr>
          <w:rFonts w:ascii="Times New Roman" w:hAnsi="Times New Roman" w:cs="Times New Roman"/>
          <w:snapToGrid w:val="0"/>
          <w:lang w:val="zh-CN"/>
        </w:rPr>
      </w:pPr>
      <w:r>
        <w:rPr>
          <w:rFonts w:ascii="Times New Roman" w:hAnsiTheme="minorEastAsia" w:cs="Times New Roman"/>
          <w:snapToGrid w:val="0"/>
          <w:lang w:val="zh-CN"/>
        </w:rPr>
        <w:t>本项目</w:t>
      </w:r>
      <w:r>
        <w:rPr>
          <w:rFonts w:ascii="Times New Roman" w:hAnsiTheme="minorEastAsia" w:cs="Times New Roman" w:hint="eastAsia"/>
          <w:snapToGrid w:val="0"/>
        </w:rPr>
        <w:t>利用厂内现有建筑建设，涉及土建部分较少，多为设备安装。主要施工期工程内容为：新建</w:t>
      </w:r>
      <w:r>
        <w:rPr>
          <w:rFonts w:ascii="Times New Roman" w:hAnsiTheme="minorEastAsia" w:cs="Times New Roman" w:hint="eastAsia"/>
          <w:snapToGrid w:val="0"/>
        </w:rPr>
        <w:t>1</w:t>
      </w:r>
      <w:r>
        <w:rPr>
          <w:rFonts w:ascii="Times New Roman" w:hAnsiTheme="minorEastAsia" w:cs="Times New Roman" w:hint="eastAsia"/>
          <w:snapToGrid w:val="0"/>
        </w:rPr>
        <w:t>间隔离间、</w:t>
      </w:r>
      <w:r>
        <w:rPr>
          <w:rFonts w:ascii="Times New Roman" w:hAnsiTheme="minorEastAsia" w:cs="Times New Roman" w:hint="eastAsia"/>
          <w:snapToGrid w:val="0"/>
        </w:rPr>
        <w:t>1</w:t>
      </w:r>
      <w:r>
        <w:rPr>
          <w:rFonts w:ascii="Times New Roman" w:hAnsiTheme="minorEastAsia" w:cs="Times New Roman" w:hint="eastAsia"/>
          <w:snapToGrid w:val="0"/>
        </w:rPr>
        <w:t>间急宰间，拆除并新建污水处理站，扩建</w:t>
      </w:r>
      <w:r>
        <w:rPr>
          <w:rFonts w:ascii="Times New Roman" w:hAnsiTheme="minorEastAsia" w:cs="Times New Roman" w:hint="eastAsia"/>
          <w:snapToGrid w:val="0"/>
        </w:rPr>
        <w:t>1</w:t>
      </w:r>
      <w:r>
        <w:rPr>
          <w:rFonts w:ascii="Times New Roman" w:hAnsiTheme="minorEastAsia" w:cs="Times New Roman" w:hint="eastAsia"/>
          <w:snapToGrid w:val="0"/>
        </w:rPr>
        <w:t>座事故池，拆除车间现有老旧生产线并新建，配套安装废气处理设施</w:t>
      </w:r>
      <w:r>
        <w:rPr>
          <w:rFonts w:ascii="Times New Roman" w:hAnsiTheme="minorEastAsia" w:cs="Times New Roman" w:hint="eastAsia"/>
          <w:snapToGrid w:val="0"/>
          <w:lang w:val="zh-CN"/>
        </w:rPr>
        <w:t>。施工期环境影响较小。环境影响主要来源于运营期。</w:t>
      </w:r>
    </w:p>
    <w:p w14:paraId="227087CF" w14:textId="77777777" w:rsidR="00B14D53" w:rsidRDefault="00000000">
      <w:pPr>
        <w:pStyle w:val="4"/>
        <w:spacing w:before="100" w:beforeAutospacing="1" w:after="0" w:line="240" w:lineRule="auto"/>
        <w:ind w:firstLineChars="200" w:firstLine="480"/>
        <w:rPr>
          <w:b w:val="0"/>
          <w:bCs w:val="0"/>
          <w:sz w:val="24"/>
        </w:rPr>
      </w:pPr>
      <w:hyperlink r:id="rId32" w:history="1">
        <w:r>
          <w:rPr>
            <w:rFonts w:ascii="Times New Roman" w:eastAsia="黑体" w:hAnsi="Times New Roman" w:cs="Times New Roman"/>
            <w:b w:val="0"/>
            <w:bCs w:val="0"/>
            <w:sz w:val="24"/>
            <w:szCs w:val="24"/>
          </w:rPr>
          <w:t>3.</w:t>
        </w:r>
        <w:r>
          <w:rPr>
            <w:rFonts w:ascii="Times New Roman" w:eastAsia="黑体" w:hAnsi="Times New Roman" w:cs="Times New Roman" w:hint="eastAsia"/>
            <w:b w:val="0"/>
            <w:bCs w:val="0"/>
            <w:sz w:val="24"/>
            <w:szCs w:val="24"/>
          </w:rPr>
          <w:t>2</w:t>
        </w:r>
        <w:r>
          <w:rPr>
            <w:rFonts w:ascii="Times New Roman" w:eastAsia="黑体" w:hAnsi="Times New Roman" w:cs="Times New Roman"/>
            <w:b w:val="0"/>
            <w:bCs w:val="0"/>
            <w:sz w:val="24"/>
            <w:szCs w:val="24"/>
          </w:rPr>
          <w:t>.1.2</w:t>
        </w:r>
      </w:hyperlink>
      <w:r>
        <w:rPr>
          <w:rFonts w:ascii="Times New Roman" w:eastAsia="黑体" w:hAnsi="Times New Roman" w:cs="Times New Roman"/>
          <w:b w:val="0"/>
          <w:bCs w:val="0"/>
          <w:sz w:val="24"/>
          <w:szCs w:val="24"/>
        </w:rPr>
        <w:t>施工期工程污染分析</w:t>
      </w:r>
    </w:p>
    <w:p w14:paraId="5216D2F6"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w:t>
      </w:r>
      <w:r>
        <w:rPr>
          <w:rFonts w:ascii="Times New Roman" w:hAnsiTheme="minorEastAsia" w:cs="Times New Roman"/>
          <w:snapToGrid w:val="0"/>
          <w:lang w:val="zh-CN"/>
        </w:rPr>
        <w:t>1</w:t>
      </w:r>
      <w:r>
        <w:rPr>
          <w:rFonts w:ascii="Times New Roman" w:hAnsiTheme="minorEastAsia" w:cs="Times New Roman"/>
          <w:snapToGrid w:val="0"/>
          <w:lang w:val="zh-CN"/>
        </w:rPr>
        <w:t>）废水</w:t>
      </w:r>
    </w:p>
    <w:p w14:paraId="50A7FB23"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施工期的污水主要是施工人员生活污水和建筑污水。施工员工生活污水排入</w:t>
      </w:r>
      <w:r>
        <w:rPr>
          <w:rFonts w:ascii="Times New Roman" w:hAnsiTheme="minorEastAsia" w:cs="Times New Roman" w:hint="eastAsia"/>
          <w:snapToGrid w:val="0"/>
        </w:rPr>
        <w:t>市政管网</w:t>
      </w:r>
      <w:r>
        <w:rPr>
          <w:rFonts w:ascii="Times New Roman" w:hAnsiTheme="minorEastAsia" w:cs="Times New Roman"/>
          <w:snapToGrid w:val="0"/>
          <w:lang w:val="zh-CN"/>
        </w:rPr>
        <w:t>；建筑污水中主要污染物为泥悬浮颗粒，不含有毒、有害物，而且水量也少，可以全部用于施工场地泼洒地面抑尘。</w:t>
      </w:r>
    </w:p>
    <w:p w14:paraId="575A4A66"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w:t>
      </w:r>
      <w:r>
        <w:rPr>
          <w:rFonts w:ascii="Times New Roman" w:hAnsiTheme="minorEastAsia" w:cs="Times New Roman"/>
          <w:snapToGrid w:val="0"/>
          <w:lang w:val="zh-CN"/>
        </w:rPr>
        <w:t>2</w:t>
      </w:r>
      <w:r>
        <w:rPr>
          <w:rFonts w:ascii="Times New Roman" w:hAnsiTheme="minorEastAsia" w:cs="Times New Roman"/>
          <w:snapToGrid w:val="0"/>
          <w:lang w:val="zh-CN"/>
        </w:rPr>
        <w:t>）废气</w:t>
      </w:r>
    </w:p>
    <w:p w14:paraId="3DE51F58"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对整个施工期而言，施工过程中对环境造成影响较为突出的是扬尘污染。施工期产生的扬尘主要集中在土建施工阶段。按起尘的原因可分为风力起尘和动力起尘，其中风力起尘主要是由于露天堆放的建材（如黄沙、水泥等）及裸露的施工区表层浮尘因天气干燥及大风，产生风力扬尘；而动力起尘，主要是在建材的装卸、搅拌过程中，由于外力而产生的尘粒再悬浮而造成，其中施工及装卸车辆造成的扬尘最为严重。</w:t>
      </w:r>
    </w:p>
    <w:p w14:paraId="19F04937"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w:t>
      </w:r>
      <w:r>
        <w:rPr>
          <w:rFonts w:ascii="Times New Roman" w:hAnsiTheme="minorEastAsia" w:cs="Times New Roman"/>
          <w:snapToGrid w:val="0"/>
          <w:lang w:val="zh-CN"/>
        </w:rPr>
        <w:t>3</w:t>
      </w:r>
      <w:r>
        <w:rPr>
          <w:rFonts w:ascii="Times New Roman" w:hAnsiTheme="minorEastAsia" w:cs="Times New Roman"/>
          <w:snapToGrid w:val="0"/>
          <w:lang w:val="zh-CN"/>
        </w:rPr>
        <w:t>）噪声</w:t>
      </w:r>
    </w:p>
    <w:p w14:paraId="32357914"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施工期的噪声主要可分为机械噪声、施工作业噪声和施工车辆噪声。机械噪声主要由施工机械所造成，多为点声源；施工作业噪声主要指一些零星的敲打声、装卸车辆的撞击声、吆喝声、拆装模板的撞击声等，多为瞬间噪声；施工车辆的噪声属于交通噪声</w:t>
      </w:r>
      <w:r>
        <w:rPr>
          <w:rFonts w:ascii="Times New Roman" w:hAnsiTheme="minorEastAsia" w:cs="Times New Roman" w:hint="eastAsia"/>
          <w:snapToGrid w:val="0"/>
          <w:lang w:val="zh-CN"/>
        </w:rPr>
        <w:t>。</w:t>
      </w:r>
    </w:p>
    <w:p w14:paraId="4872D3A6"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w:t>
      </w:r>
      <w:r>
        <w:rPr>
          <w:rFonts w:ascii="Times New Roman" w:hAnsiTheme="minorEastAsia" w:cs="Times New Roman"/>
          <w:snapToGrid w:val="0"/>
          <w:lang w:val="zh-CN"/>
        </w:rPr>
        <w:t>4</w:t>
      </w:r>
      <w:r>
        <w:rPr>
          <w:rFonts w:ascii="Times New Roman" w:hAnsiTheme="minorEastAsia" w:cs="Times New Roman"/>
          <w:snapToGrid w:val="0"/>
          <w:lang w:val="zh-CN"/>
        </w:rPr>
        <w:t>）固废</w:t>
      </w:r>
    </w:p>
    <w:p w14:paraId="782E69E8"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施工期产生的固体废弃物主要是</w:t>
      </w:r>
      <w:r>
        <w:rPr>
          <w:rFonts w:ascii="Times New Roman" w:hAnsiTheme="minorEastAsia" w:cs="Times New Roman" w:hint="eastAsia"/>
          <w:snapToGrid w:val="0"/>
          <w:lang w:val="zh-CN"/>
        </w:rPr>
        <w:t>施工废物、</w:t>
      </w:r>
      <w:r>
        <w:rPr>
          <w:rFonts w:ascii="Times New Roman" w:hAnsiTheme="minorEastAsia" w:cs="Times New Roman" w:hint="eastAsia"/>
          <w:snapToGrid w:val="0"/>
        </w:rPr>
        <w:t>拆除的老旧设备</w:t>
      </w:r>
      <w:r>
        <w:rPr>
          <w:rFonts w:ascii="Times New Roman" w:hAnsiTheme="minorEastAsia" w:cs="Times New Roman"/>
          <w:snapToGrid w:val="0"/>
          <w:lang w:val="zh-CN"/>
        </w:rPr>
        <w:t>及施工人员生活垃圾。</w:t>
      </w:r>
      <w:r>
        <w:rPr>
          <w:rFonts w:ascii="Times New Roman" w:hAnsiTheme="minorEastAsia" w:cs="Times New Roman" w:hint="eastAsia"/>
          <w:snapToGrid w:val="0"/>
          <w:lang w:val="zh-CN"/>
        </w:rPr>
        <w:t>施工废物</w:t>
      </w:r>
      <w:r>
        <w:rPr>
          <w:rFonts w:ascii="Times New Roman" w:hAnsiTheme="minorEastAsia" w:cs="Times New Roman"/>
          <w:snapToGrid w:val="0"/>
          <w:lang w:val="zh-CN"/>
        </w:rPr>
        <w:t>主要包括平整场地</w:t>
      </w:r>
      <w:r>
        <w:rPr>
          <w:rFonts w:ascii="Times New Roman" w:hAnsiTheme="minorEastAsia" w:cs="Times New Roman" w:hint="eastAsia"/>
          <w:snapToGrid w:val="0"/>
          <w:lang w:val="zh-CN"/>
        </w:rPr>
        <w:t>和地基开挖</w:t>
      </w:r>
      <w:r>
        <w:rPr>
          <w:rFonts w:ascii="Times New Roman" w:hAnsiTheme="minorEastAsia" w:cs="Times New Roman"/>
          <w:snapToGrid w:val="0"/>
          <w:lang w:val="zh-CN"/>
        </w:rPr>
        <w:t>产生的</w:t>
      </w:r>
      <w:r>
        <w:rPr>
          <w:rFonts w:ascii="Times New Roman" w:hAnsiTheme="minorEastAsia" w:cs="Times New Roman" w:hint="eastAsia"/>
          <w:snapToGrid w:val="0"/>
          <w:lang w:val="zh-CN"/>
        </w:rPr>
        <w:t>少量</w:t>
      </w:r>
      <w:r>
        <w:rPr>
          <w:rFonts w:ascii="Times New Roman" w:hAnsiTheme="minorEastAsia" w:cs="Times New Roman"/>
          <w:snapToGrid w:val="0"/>
          <w:lang w:val="zh-CN"/>
        </w:rPr>
        <w:t>弃土弃渣</w:t>
      </w:r>
      <w:r>
        <w:rPr>
          <w:rFonts w:ascii="Times New Roman" w:hAnsiTheme="minorEastAsia" w:cs="Times New Roman" w:hint="eastAsia"/>
          <w:snapToGrid w:val="0"/>
          <w:lang w:val="zh-CN"/>
        </w:rPr>
        <w:t>、</w:t>
      </w:r>
      <w:r>
        <w:rPr>
          <w:rFonts w:ascii="Times New Roman" w:hAnsiTheme="minorEastAsia" w:cs="Times New Roman"/>
          <w:snapToGrid w:val="0"/>
          <w:lang w:val="zh-CN"/>
        </w:rPr>
        <w:t>建筑</w:t>
      </w:r>
      <w:r>
        <w:rPr>
          <w:rFonts w:ascii="Times New Roman" w:hAnsiTheme="minorEastAsia" w:cs="Times New Roman" w:hint="eastAsia"/>
          <w:snapToGrid w:val="0"/>
          <w:lang w:val="zh-CN"/>
        </w:rPr>
        <w:t>垃圾</w:t>
      </w:r>
      <w:r>
        <w:rPr>
          <w:rFonts w:ascii="Times New Roman" w:hAnsiTheme="minorEastAsia" w:cs="Times New Roman"/>
          <w:snapToGrid w:val="0"/>
          <w:lang w:val="zh-CN"/>
        </w:rPr>
        <w:t>等。</w:t>
      </w:r>
    </w:p>
    <w:p w14:paraId="27A1EAFC"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3.2.2</w:t>
      </w:r>
      <w:r>
        <w:rPr>
          <w:rFonts w:ascii="Times New Roman" w:eastAsia="黑体" w:hAnsi="Times New Roman" w:cs="Times New Roman"/>
          <w:bCs/>
          <w:sz w:val="28"/>
          <w:szCs w:val="28"/>
        </w:rPr>
        <w:t>营运期影响因素分析</w:t>
      </w:r>
    </w:p>
    <w:p w14:paraId="09C08936"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lang w:val="zh-CN"/>
        </w:rPr>
      </w:pPr>
      <w:r>
        <w:rPr>
          <w:rFonts w:ascii="Times New Roman" w:eastAsia="黑体" w:hAnsi="Times New Roman" w:cs="Times New Roman"/>
          <w:b w:val="0"/>
          <w:sz w:val="24"/>
          <w:szCs w:val="24"/>
        </w:rPr>
        <w:t>3.2.2.1</w:t>
      </w:r>
      <w:r>
        <w:rPr>
          <w:rFonts w:ascii="Times New Roman" w:eastAsia="黑体" w:hAnsi="Times New Roman" w:cs="Times New Roman"/>
          <w:b w:val="0"/>
          <w:sz w:val="24"/>
          <w:szCs w:val="24"/>
          <w:lang w:val="zh-CN"/>
        </w:rPr>
        <w:t>生猪进厂及其产污环节</w:t>
      </w:r>
    </w:p>
    <w:p w14:paraId="3A5C90EB"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运输车辆进入厂区后将生猪卸入待宰圈，空车到洗车台进行整车清洗，清洗干净的空车出门。其工艺流程及排污点示意图详见下图。</w:t>
      </w:r>
    </w:p>
    <w:p w14:paraId="0C3058F9" w14:textId="77777777" w:rsidR="00B14D53" w:rsidRDefault="00000000">
      <w:pPr>
        <w:spacing w:line="360" w:lineRule="auto"/>
        <w:jc w:val="center"/>
      </w:pPr>
      <w:r>
        <w:rPr>
          <w:noProof/>
        </w:rPr>
        <mc:AlternateContent>
          <mc:Choice Requires="wps">
            <w:drawing>
              <wp:anchor distT="0" distB="0" distL="114300" distR="114300" simplePos="0" relativeHeight="251728896" behindDoc="0" locked="0" layoutInCell="1" allowOverlap="1" wp14:anchorId="6A218A61" wp14:editId="23C6A932">
                <wp:simplePos x="0" y="0"/>
                <wp:positionH relativeFrom="column">
                  <wp:posOffset>3206115</wp:posOffset>
                </wp:positionH>
                <wp:positionV relativeFrom="paragraph">
                  <wp:posOffset>508000</wp:posOffset>
                </wp:positionV>
                <wp:extent cx="657225" cy="292735"/>
                <wp:effectExtent l="0" t="0" r="0" b="0"/>
                <wp:wrapNone/>
                <wp:docPr id="292" name="矩形 292"/>
                <wp:cNvGraphicFramePr/>
                <a:graphic xmlns:a="http://schemas.openxmlformats.org/drawingml/2006/main">
                  <a:graphicData uri="http://schemas.microsoft.com/office/word/2010/wordprocessingShape">
                    <wps:wsp>
                      <wps:cNvSpPr/>
                      <wps:spPr>
                        <a:xfrm flipH="1">
                          <a:off x="0" y="0"/>
                          <a:ext cx="657225" cy="2927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EC56CC7" w14:textId="77777777" w:rsidR="00B14D53" w:rsidRDefault="00000000">
                            <w:pPr>
                              <w:jc w:val="center"/>
                              <w:rPr>
                                <w:color w:val="000000" w:themeColor="text1"/>
                              </w:rPr>
                            </w:pPr>
                            <w:r>
                              <w:rPr>
                                <w:rFonts w:hint="eastAsia"/>
                                <w:color w:val="000000" w:themeColor="text1"/>
                              </w:rPr>
                              <w:t>（</w:t>
                            </w:r>
                            <w:r>
                              <w:rPr>
                                <w:rFonts w:hint="eastAsia"/>
                                <w:color w:val="000000" w:themeColor="text1"/>
                              </w:rPr>
                              <w:t>W1</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flip:x;margin-left:252.45pt;margin-top:40pt;height:23.05pt;width:51.75pt;z-index:251728896;v-text-anchor:middle;mso-width-relative:page;mso-height-relative:page;" filled="f" stroked="f" coordsize="21600,21600" o:gfxdata="UEsDBAoAAAAAAIdO4kAAAAAAAAAAAAAAAAAEAAAAZHJzL1BLAwQUAAAACACHTuJA816kKdgAAAAK&#10;AQAADwAAAGRycy9kb3ducmV2LnhtbE2PQUvEMBCF74L/IYzgzU26rKXWpgu7ICguBVfxnDaxKTaT&#10;kqTb1V/veNLjMB/vfa/ant3ITibEwaOEbCWAGey8HrCX8Pb6cFMAi0mhVqNHI+HLRNjWlxeVKrVf&#10;8MWcjqlnFIKxVBJsSlPJeeyscSqu/GSQfh8+OJXoDD3XQS0U7ka+FiLnTg1IDVZNZm9N93mcnYSn&#10;OTbNrln2/Pn90H7Pj9GG3UHK66tM3ANL5pz+YPjVJ3Woyan1M+rIRgm3YnNHqIRC0CYCclFsgLVE&#10;rvMMeF3x/xPqH1BLAwQUAAAACACHTuJAM9kqaVgCAACjBAAADgAAAGRycy9lMm9Eb2MueG1srVTN&#10;bhMxEL4j8Q6W73STkLQ06qaKGhWQKlqpIM6O185a8h+2k015GSRufQgeB/EafPZuS1Q49MDFmvHM&#10;fp7vm5k9O98bTXYiROVsTcdHI0qE5a5RdlPTTx8vX72hJCZmG6adFTW9E5GeL16+OOv8XExc63Qj&#10;AgGIjfPO17RNyc+rKvJWGBaPnBcWQemCYQlu2FRNYB3Qja4mo9Fx1bnQ+OC4iBG3qz5IB8TwHEAn&#10;peJi5fjWCJt61CA0S6AUW+UjXZRqpRQ8XUsZRSK6pmCayolHYK/zWS3O2HwTmG8VH0pgzynhCSfD&#10;lMWjj1ArlhjZBvUXlFE8uOhkOuLOVD2RoghYjEdPtLltmReFC6SO/lH0+P9g+YfdTSCqqenkdEKJ&#10;ZQYt//Xt/ueP7yTfQJ/OxznSbv1NGLwIM5Pdy2CI1Mq/wyAV+iBE9kXdu0d1xT4Rjsvj2clkMqOE&#10;IwTok9ezjF71MBnOh5jeCmdINmoa0LwCynZXMfWpDyk53bpLpTXu2Vxb0gF0Nh2hr5xhKiWmAabx&#10;YBbthhKmNxh3nkKBPPg2Q65YbMmOYUai06oZ6tIW5WX2Pd9spf16P4iwds0dpAuun6no+aUC1BWL&#10;6YYFDBFKwZqlaxxSO9TnBouS1oWv/7rP+egtopR0GErU82XLgqBEv7fo+ul4Os1TXJwp9IQTDiPr&#10;w4jdmgsHTmMstOfFzPlJP5gyOPMZ27jMryLELMfbvUqDc5H6ZcE+c7FcljRMrmfpyt56/tB365bb&#10;5KQqbcpC9eoM+mF2S6OHPcvLceiXrD//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16kKdgA&#10;AAAKAQAADwAAAAAAAAABACAAAAAiAAAAZHJzL2Rvd25yZXYueG1sUEsBAhQAFAAAAAgAh07iQDPZ&#10;KmlYAgAAowQAAA4AAAAAAAAAAQAgAAAAJwEAAGRycy9lMm9Eb2MueG1sUEsFBgAAAAAGAAYAWQEA&#10;APEFAAAAAA==&#10;">
                <v:fill on="f" focussize="0,0"/>
                <v:stroke on="f" weight="2pt"/>
                <v:imagedata o:title=""/>
                <o:lock v:ext="edit" aspectratio="f"/>
                <v:textbox>
                  <w:txbxContent>
                    <w:p w14:paraId="4B679629">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（W1）</w:t>
                      </w:r>
                    </w:p>
                  </w:txbxContent>
                </v:textbox>
              </v:rect>
            </w:pict>
          </mc:Fallback>
        </mc:AlternateContent>
      </w:r>
      <w:r>
        <w:rPr>
          <w:noProof/>
          <w:position w:val="-22"/>
        </w:rPr>
        <w:drawing>
          <wp:inline distT="0" distB="0" distL="0" distR="0" wp14:anchorId="1755A39B" wp14:editId="4B722CE0">
            <wp:extent cx="4190365" cy="708025"/>
            <wp:effectExtent l="9525" t="9525" r="10160" b="25400"/>
            <wp:docPr id="276" name="IM 60"/>
            <wp:cNvGraphicFramePr/>
            <a:graphic xmlns:a="http://schemas.openxmlformats.org/drawingml/2006/main">
              <a:graphicData uri="http://schemas.openxmlformats.org/drawingml/2006/picture">
                <pic:pic xmlns:pic="http://schemas.openxmlformats.org/drawingml/2006/picture">
                  <pic:nvPicPr>
                    <pic:cNvPr id="276" name="IM 60"/>
                    <pic:cNvPicPr/>
                  </pic:nvPicPr>
                  <pic:blipFill>
                    <a:blip r:embed="rId33"/>
                    <a:stretch>
                      <a:fillRect/>
                    </a:stretch>
                  </pic:blipFill>
                  <pic:spPr>
                    <a:xfrm>
                      <a:off x="0" y="0"/>
                      <a:ext cx="4190879" cy="708594"/>
                    </a:xfrm>
                    <a:prstGeom prst="rect">
                      <a:avLst/>
                    </a:prstGeom>
                    <a:ln w="6350">
                      <a:solidFill>
                        <a:schemeClr val="tx1"/>
                      </a:solidFill>
                    </a:ln>
                  </pic:spPr>
                </pic:pic>
              </a:graphicData>
            </a:graphic>
          </wp:inline>
        </w:drawing>
      </w:r>
    </w:p>
    <w:p w14:paraId="35D1F484" w14:textId="77777777" w:rsidR="00B14D53" w:rsidRDefault="00000000">
      <w:pPr>
        <w:jc w:val="center"/>
        <w:rPr>
          <w:b/>
          <w:bCs/>
        </w:rPr>
      </w:pPr>
      <w:r>
        <w:rPr>
          <w:b/>
          <w:bCs/>
        </w:rPr>
        <w:t>图</w:t>
      </w:r>
      <w:r>
        <w:rPr>
          <w:b/>
          <w:bCs/>
        </w:rPr>
        <w:t>3</w:t>
      </w:r>
      <w:r>
        <w:rPr>
          <w:rFonts w:hint="eastAsia"/>
          <w:b/>
          <w:bCs/>
        </w:rPr>
        <w:t>-2-1</w:t>
      </w:r>
      <w:r>
        <w:rPr>
          <w:b/>
          <w:bCs/>
        </w:rPr>
        <w:t xml:space="preserve"> </w:t>
      </w:r>
      <w:r>
        <w:rPr>
          <w:b/>
          <w:bCs/>
        </w:rPr>
        <w:t>生猪运输工序及排污点示意图</w:t>
      </w:r>
    </w:p>
    <w:p w14:paraId="529E3E4C"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3.2.2.</w:t>
      </w:r>
      <w:r>
        <w:rPr>
          <w:rFonts w:ascii="Times New Roman" w:eastAsia="黑体" w:hAnsi="Times New Roman" w:cs="Times New Roman" w:hint="eastAsia"/>
          <w:b w:val="0"/>
          <w:bCs w:val="0"/>
          <w:sz w:val="24"/>
          <w:szCs w:val="24"/>
        </w:rPr>
        <w:t>2</w:t>
      </w:r>
      <w:r>
        <w:rPr>
          <w:rFonts w:ascii="Times New Roman" w:eastAsia="黑体" w:hAnsi="Times New Roman" w:cs="Times New Roman"/>
          <w:b w:val="0"/>
          <w:bCs w:val="0"/>
          <w:sz w:val="24"/>
          <w:szCs w:val="24"/>
        </w:rPr>
        <w:t>生猪屠宰加工工艺流程</w:t>
      </w:r>
      <w:r>
        <w:rPr>
          <w:rFonts w:ascii="Times New Roman" w:eastAsia="黑体" w:hAnsi="Times New Roman" w:cs="Times New Roman" w:hint="eastAsia"/>
          <w:b w:val="0"/>
          <w:bCs w:val="0"/>
          <w:sz w:val="24"/>
          <w:szCs w:val="24"/>
        </w:rPr>
        <w:t>及产污环节</w:t>
      </w:r>
    </w:p>
    <w:p w14:paraId="1BC8DB5A" w14:textId="77777777" w:rsidR="00B14D53" w:rsidRDefault="00000000">
      <w:pPr>
        <w:pStyle w:val="afff"/>
        <w:adjustRightInd/>
        <w:snapToGrid/>
        <w:contextualSpacing/>
        <w:jc w:val="both"/>
        <w:rPr>
          <w:rFonts w:ascii="Times New Roman" w:hAnsiTheme="minorEastAsia" w:cs="Times New Roman" w:hint="eastAsia"/>
          <w:snapToGrid w:val="0"/>
        </w:rPr>
      </w:pPr>
      <w:r>
        <w:rPr>
          <w:rFonts w:ascii="Times New Roman" w:hAnsiTheme="minorEastAsia" w:cs="Times New Roman"/>
          <w:snapToGrid w:val="0"/>
          <w:lang w:val="zh-CN"/>
        </w:rPr>
        <w:t>本项目采用机械</w:t>
      </w:r>
      <w:r>
        <w:rPr>
          <w:rFonts w:ascii="Times New Roman" w:hAnsiTheme="minorEastAsia" w:cs="Times New Roman" w:hint="eastAsia"/>
          <w:snapToGrid w:val="0"/>
        </w:rPr>
        <w:t>屠宰</w:t>
      </w:r>
      <w:r>
        <w:rPr>
          <w:rFonts w:ascii="Times New Roman" w:hAnsiTheme="minorEastAsia" w:cs="Times New Roman"/>
          <w:snapToGrid w:val="0"/>
          <w:lang w:val="zh-CN"/>
        </w:rPr>
        <w:t>生产线，</w:t>
      </w:r>
      <w:r>
        <w:rPr>
          <w:rFonts w:ascii="Times New Roman" w:hAnsiTheme="minorEastAsia" w:cs="Times New Roman"/>
          <w:snapToGrid w:val="0"/>
        </w:rPr>
        <w:t>整个生产过程分为宰前处理、屠宰、排酸、冷藏</w:t>
      </w:r>
      <w:r>
        <w:rPr>
          <w:rFonts w:ascii="Times New Roman" w:hAnsiTheme="minorEastAsia" w:cs="Times New Roman"/>
          <w:snapToGrid w:val="0"/>
        </w:rPr>
        <w:t>4</w:t>
      </w:r>
      <w:r>
        <w:rPr>
          <w:rFonts w:ascii="Times New Roman" w:hAnsiTheme="minorEastAsia" w:cs="Times New Roman"/>
          <w:snapToGrid w:val="0"/>
        </w:rPr>
        <w:t>个工段。从宰杀放血到猪胴体冷藏时间及放血开始到取出内脏的时间均应符合现行国家标准《畜禽屠宰操作规程</w:t>
      </w:r>
      <w:r>
        <w:rPr>
          <w:rFonts w:ascii="Times New Roman" w:hAnsiTheme="minorEastAsia" w:cs="Times New Roman"/>
          <w:snapToGrid w:val="0"/>
        </w:rPr>
        <w:t xml:space="preserve"> </w:t>
      </w:r>
      <w:r>
        <w:rPr>
          <w:rFonts w:ascii="Times New Roman" w:hAnsiTheme="minorEastAsia" w:cs="Times New Roman"/>
          <w:snapToGrid w:val="0"/>
        </w:rPr>
        <w:t>生猪》</w:t>
      </w:r>
      <w:r>
        <w:rPr>
          <w:rFonts w:ascii="Times New Roman" w:hAnsiTheme="minorEastAsia" w:cs="Times New Roman"/>
          <w:snapToGrid w:val="0"/>
        </w:rPr>
        <w:t>(GB/T 17236-2019)</w:t>
      </w:r>
      <w:r>
        <w:rPr>
          <w:rFonts w:ascii="Times New Roman" w:hAnsiTheme="minorEastAsia" w:cs="Times New Roman"/>
          <w:snapToGrid w:val="0"/>
        </w:rPr>
        <w:t>的规定。</w:t>
      </w:r>
    </w:p>
    <w:p w14:paraId="0393DB33" w14:textId="77777777" w:rsidR="00B14D53" w:rsidRDefault="00000000">
      <w:pPr>
        <w:pStyle w:val="afff"/>
        <w:adjustRightInd/>
        <w:snapToGrid/>
        <w:contextualSpacing/>
        <w:jc w:val="both"/>
        <w:rPr>
          <w:rFonts w:ascii="Times New Roman" w:hAnsiTheme="minorEastAsia" w:cs="Times New Roman" w:hint="eastAsia"/>
          <w:snapToGrid w:val="0"/>
        </w:rPr>
      </w:pPr>
      <w:bookmarkStart w:id="96" w:name="_Toc13702"/>
      <w:bookmarkStart w:id="97" w:name="_Toc17934"/>
      <w:bookmarkStart w:id="98" w:name="_Toc25669"/>
      <w:bookmarkStart w:id="99" w:name="_Toc9458"/>
      <w:bookmarkStart w:id="100" w:name="_Toc20287"/>
      <w:r>
        <w:rPr>
          <w:rFonts w:ascii="Times New Roman" w:hAnsiTheme="minorEastAsia" w:cs="Times New Roman"/>
          <w:snapToGrid w:val="0"/>
        </w:rPr>
        <w:t>1</w:t>
      </w:r>
      <w:r>
        <w:rPr>
          <w:rFonts w:ascii="Times New Roman" w:hAnsiTheme="minorEastAsia" w:cs="Times New Roman"/>
          <w:snapToGrid w:val="0"/>
        </w:rPr>
        <w:t>、宰前处理</w:t>
      </w:r>
      <w:bookmarkEnd w:id="96"/>
      <w:bookmarkEnd w:id="97"/>
      <w:bookmarkEnd w:id="98"/>
      <w:bookmarkEnd w:id="99"/>
      <w:bookmarkEnd w:id="100"/>
    </w:p>
    <w:p w14:paraId="5A4CDC49" w14:textId="77777777" w:rsidR="00B14D53" w:rsidRDefault="00000000">
      <w:pPr>
        <w:pStyle w:val="afff"/>
        <w:adjustRightInd/>
        <w:snapToGrid/>
        <w:contextualSpacing/>
        <w:jc w:val="both"/>
        <w:rPr>
          <w:rFonts w:ascii="Times New Roman" w:hAnsiTheme="minorEastAsia" w:cs="Times New Roman" w:hint="eastAsia"/>
          <w:snapToGrid w:val="0"/>
        </w:rPr>
      </w:pPr>
      <w:bookmarkStart w:id="101" w:name="_Toc3217"/>
      <w:bookmarkStart w:id="102" w:name="_Toc15548"/>
      <w:bookmarkStart w:id="103" w:name="_Toc11399"/>
      <w:bookmarkStart w:id="104" w:name="_Toc5366"/>
      <w:bookmarkStart w:id="105" w:name="_Toc9609"/>
      <w:r>
        <w:rPr>
          <w:rFonts w:ascii="Times New Roman" w:hAnsiTheme="minorEastAsia" w:cs="Times New Roman"/>
          <w:snapToGrid w:val="0"/>
        </w:rPr>
        <w:t>①进厂检疫</w:t>
      </w:r>
      <w:bookmarkEnd w:id="101"/>
      <w:bookmarkEnd w:id="102"/>
      <w:bookmarkEnd w:id="103"/>
      <w:bookmarkEnd w:id="104"/>
      <w:bookmarkEnd w:id="105"/>
    </w:p>
    <w:p w14:paraId="51ABD587"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生猪在屠宰前</w:t>
      </w:r>
      <w:r>
        <w:rPr>
          <w:rFonts w:ascii="Times New Roman" w:hAnsiTheme="minorEastAsia" w:cs="Times New Roman"/>
          <w:snapToGrid w:val="0"/>
          <w:lang w:val="zh-CN"/>
        </w:rPr>
        <w:t>12</w:t>
      </w:r>
      <w:r>
        <w:rPr>
          <w:rFonts w:ascii="Times New Roman" w:hAnsiTheme="minorEastAsia" w:cs="Times New Roman"/>
          <w:snapToGrid w:val="0"/>
          <w:lang w:val="zh-CN"/>
        </w:rPr>
        <w:t>～</w:t>
      </w:r>
      <w:r>
        <w:rPr>
          <w:rFonts w:ascii="Times New Roman" w:hAnsiTheme="minorEastAsia" w:cs="Times New Roman"/>
          <w:snapToGrid w:val="0"/>
          <w:lang w:val="zh-CN"/>
        </w:rPr>
        <w:t>24h</w:t>
      </w:r>
      <w:r>
        <w:rPr>
          <w:rFonts w:ascii="Times New Roman" w:hAnsiTheme="minorEastAsia" w:cs="Times New Roman"/>
          <w:snapToGrid w:val="0"/>
          <w:lang w:val="zh-CN"/>
        </w:rPr>
        <w:t>被运至屠宰场，在未卸车之前，检疫员向货主索要《动物产地检疫合格证明》和《动物及动物产品运载工具消毒证明》后，根据检疫证核对活猪头数，并对活猪进行感官检查。感官检查主要是对猪的精神和外观进行系统的观察，初步确定其健康状态，不合格猪退回，感官检查合格的生猪进入厂区待宰圈。</w:t>
      </w:r>
    </w:p>
    <w:p w14:paraId="482B834B" w14:textId="77777777" w:rsidR="00B14D53" w:rsidRDefault="00000000">
      <w:pPr>
        <w:pStyle w:val="afff"/>
        <w:adjustRightInd/>
        <w:snapToGrid/>
        <w:contextualSpacing/>
        <w:jc w:val="both"/>
        <w:rPr>
          <w:rFonts w:ascii="Times New Roman" w:hAnsiTheme="minorEastAsia" w:cs="Times New Roman" w:hint="eastAsia"/>
          <w:snapToGrid w:val="0"/>
        </w:rPr>
      </w:pPr>
      <w:bookmarkStart w:id="106" w:name="_Toc19179"/>
      <w:bookmarkStart w:id="107" w:name="_Toc28292"/>
      <w:bookmarkStart w:id="108" w:name="_Toc21115"/>
      <w:bookmarkStart w:id="109" w:name="_Toc320"/>
      <w:bookmarkStart w:id="110" w:name="_Toc23154"/>
      <w:r>
        <w:rPr>
          <w:rFonts w:ascii="Times New Roman" w:hAnsiTheme="minorEastAsia" w:cs="Times New Roman"/>
          <w:snapToGrid w:val="0"/>
        </w:rPr>
        <w:t>②候宰休息、检</w:t>
      </w:r>
      <w:bookmarkEnd w:id="106"/>
      <w:bookmarkEnd w:id="107"/>
      <w:bookmarkEnd w:id="108"/>
      <w:bookmarkEnd w:id="109"/>
      <w:bookmarkEnd w:id="110"/>
      <w:r>
        <w:rPr>
          <w:rFonts w:ascii="Times New Roman" w:hAnsiTheme="minorEastAsia" w:cs="Times New Roman" w:hint="eastAsia"/>
          <w:snapToGrid w:val="0"/>
        </w:rPr>
        <w:t>查</w:t>
      </w:r>
    </w:p>
    <w:p w14:paraId="4858B9A0"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经检疫合格的猪准予屠宰，被送入待宰圈停食静养</w:t>
      </w:r>
      <w:r>
        <w:rPr>
          <w:rFonts w:ascii="Times New Roman" w:hAnsiTheme="minorEastAsia" w:cs="Times New Roman"/>
          <w:snapToGrid w:val="0"/>
          <w:lang w:val="zh-CN"/>
        </w:rPr>
        <w:t>12</w:t>
      </w:r>
      <w:r>
        <w:rPr>
          <w:rFonts w:ascii="Times New Roman" w:hAnsiTheme="minorEastAsia" w:cs="Times New Roman"/>
          <w:snapToGrid w:val="0"/>
          <w:lang w:val="zh-CN"/>
        </w:rPr>
        <w:t>～</w:t>
      </w:r>
      <w:r>
        <w:rPr>
          <w:rFonts w:ascii="Times New Roman" w:hAnsiTheme="minorEastAsia" w:cs="Times New Roman"/>
          <w:snapToGrid w:val="0"/>
          <w:lang w:val="zh-CN"/>
        </w:rPr>
        <w:t>24h</w:t>
      </w:r>
      <w:r>
        <w:rPr>
          <w:rFonts w:ascii="Times New Roman" w:hAnsiTheme="minorEastAsia" w:cs="Times New Roman"/>
          <w:snapToGrid w:val="0"/>
          <w:lang w:val="zh-CN"/>
        </w:rPr>
        <w:t>，供给充足的饮水，待宰前</w:t>
      </w:r>
      <w:r>
        <w:rPr>
          <w:rFonts w:ascii="Times New Roman" w:hAnsiTheme="minorEastAsia" w:cs="Times New Roman"/>
          <w:snapToGrid w:val="0"/>
        </w:rPr>
        <w:t>3h</w:t>
      </w:r>
      <w:r>
        <w:rPr>
          <w:rFonts w:ascii="Times New Roman" w:hAnsiTheme="minorEastAsia" w:cs="Times New Roman"/>
          <w:snapToGrid w:val="0"/>
          <w:lang w:val="zh-CN"/>
        </w:rPr>
        <w:t>停止喂水。宰前休息，保证活猪有充分的休息时间，使活猪保持安静的状态，能够有利于放血，并防止代谢机能旺盛，消除应激反应，减少猪体内产生淤血的现象，进而提高肉的商品价值。</w:t>
      </w:r>
    </w:p>
    <w:p w14:paraId="0ED5FFC0"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活猪在候宰时，检疫员进入待宰圈内观察猪休息、行动状态，如发现异常，随时剔出检查，必要时急宰后剖检诊断：临宰前要对猪进行一次普查，减少屠宰过程中病猪与健康猪的交叉感染，以保证产品质量。发现病死猪立即送入</w:t>
      </w:r>
      <w:r>
        <w:rPr>
          <w:rFonts w:ascii="Times New Roman" w:hAnsiTheme="minorEastAsia" w:cs="Times New Roman" w:hint="eastAsia"/>
          <w:snapToGrid w:val="0"/>
        </w:rPr>
        <w:t>哈尔滨银山无害化处理有限公司</w:t>
      </w:r>
      <w:r>
        <w:rPr>
          <w:rFonts w:ascii="Times New Roman" w:hAnsiTheme="minorEastAsia" w:cs="Times New Roman"/>
          <w:snapToGrid w:val="0"/>
          <w:lang w:val="zh-CN"/>
        </w:rPr>
        <w:t>。</w:t>
      </w:r>
    </w:p>
    <w:p w14:paraId="42C12D4F" w14:textId="77777777" w:rsidR="00B14D53" w:rsidRDefault="00000000">
      <w:pPr>
        <w:pStyle w:val="afff"/>
        <w:adjustRightInd/>
        <w:snapToGrid/>
        <w:contextualSpacing/>
        <w:jc w:val="both"/>
        <w:rPr>
          <w:rFonts w:ascii="Times New Roman" w:hAnsiTheme="minorEastAsia" w:cs="Times New Roman" w:hint="eastAsia"/>
          <w:snapToGrid w:val="0"/>
        </w:rPr>
      </w:pPr>
      <w:bookmarkStart w:id="111" w:name="_Toc31338"/>
      <w:bookmarkStart w:id="112" w:name="_Toc13046"/>
      <w:bookmarkStart w:id="113" w:name="_Toc3512"/>
      <w:bookmarkStart w:id="114" w:name="_Toc25250"/>
      <w:bookmarkStart w:id="115" w:name="_Toc18321"/>
      <w:r>
        <w:rPr>
          <w:rFonts w:ascii="Times New Roman" w:hAnsiTheme="minorEastAsia" w:cs="Times New Roman"/>
          <w:snapToGrid w:val="0"/>
        </w:rPr>
        <w:t>③称重</w:t>
      </w:r>
      <w:bookmarkEnd w:id="111"/>
      <w:bookmarkEnd w:id="112"/>
      <w:r>
        <w:rPr>
          <w:rFonts w:ascii="Times New Roman" w:hAnsiTheme="minorEastAsia" w:cs="Times New Roman"/>
          <w:snapToGrid w:val="0"/>
        </w:rPr>
        <w:t>、淋浴</w:t>
      </w:r>
      <w:bookmarkEnd w:id="113"/>
      <w:bookmarkEnd w:id="114"/>
      <w:bookmarkEnd w:id="115"/>
    </w:p>
    <w:p w14:paraId="07F41142"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宰前检疫合格的待宰猪，沿赶猪通道被赶至地磅上称重。而后用</w:t>
      </w:r>
      <w:r>
        <w:rPr>
          <w:rFonts w:ascii="Times New Roman" w:hAnsiTheme="minorEastAsia" w:cs="Times New Roman"/>
          <w:snapToGrid w:val="0"/>
          <w:lang w:val="zh-CN"/>
        </w:rPr>
        <w:t>30</w:t>
      </w:r>
      <w:r>
        <w:rPr>
          <w:rFonts w:ascii="Times New Roman" w:hAnsiTheme="minorEastAsia" w:cs="Times New Roman"/>
          <w:snapToGrid w:val="0"/>
          <w:lang w:val="zh-CN"/>
        </w:rPr>
        <w:t>℃左右温水均匀冲淋猪体，冲淋时间</w:t>
      </w:r>
      <w:r>
        <w:rPr>
          <w:rFonts w:ascii="Times New Roman" w:hAnsiTheme="minorEastAsia" w:cs="Times New Roman"/>
          <w:snapToGrid w:val="0"/>
          <w:lang w:val="zh-CN"/>
        </w:rPr>
        <w:t>5~10</w:t>
      </w:r>
      <w:r>
        <w:rPr>
          <w:rFonts w:ascii="Times New Roman" w:hAnsiTheme="minorEastAsia" w:cs="Times New Roman"/>
          <w:snapToGrid w:val="0"/>
          <w:lang w:val="zh-CN"/>
        </w:rPr>
        <w:t>分钟，清洗生猪体表灰尘、污泥、粪便等污物，以减少猪身上的附着物对屠宰过程的污染。而且，淋浴能使猪有舒适的感觉，可促使毛细血管收缩，便于充分放血。淋浴后，活猪沿赶猪通道被赶至屠宰车间。</w:t>
      </w:r>
    </w:p>
    <w:p w14:paraId="3946D77C" w14:textId="77777777" w:rsidR="00B14D53" w:rsidRDefault="00000000">
      <w:pPr>
        <w:pStyle w:val="afff"/>
        <w:adjustRightInd/>
        <w:snapToGrid/>
        <w:contextualSpacing/>
        <w:jc w:val="both"/>
        <w:rPr>
          <w:rFonts w:ascii="Times New Roman" w:hAnsiTheme="minorEastAsia" w:cs="Times New Roman" w:hint="eastAsia"/>
          <w:snapToGrid w:val="0"/>
        </w:rPr>
      </w:pPr>
      <w:bookmarkStart w:id="116" w:name="_Toc16242"/>
      <w:bookmarkStart w:id="117" w:name="_Toc12909"/>
      <w:bookmarkStart w:id="118" w:name="_Toc15031"/>
      <w:bookmarkStart w:id="119" w:name="_Toc23554"/>
      <w:bookmarkStart w:id="120" w:name="_Toc8498"/>
      <w:r>
        <w:rPr>
          <w:rFonts w:ascii="Times New Roman" w:hAnsiTheme="minorEastAsia" w:cs="Times New Roman"/>
          <w:snapToGrid w:val="0"/>
        </w:rPr>
        <w:t>2</w:t>
      </w:r>
      <w:r>
        <w:rPr>
          <w:rFonts w:ascii="Times New Roman" w:hAnsiTheme="minorEastAsia" w:cs="Times New Roman"/>
          <w:snapToGrid w:val="0"/>
        </w:rPr>
        <w:t>、屠宰</w:t>
      </w:r>
      <w:bookmarkEnd w:id="116"/>
      <w:bookmarkEnd w:id="117"/>
      <w:bookmarkEnd w:id="118"/>
      <w:bookmarkEnd w:id="119"/>
      <w:bookmarkEnd w:id="120"/>
    </w:p>
    <w:p w14:paraId="6DC586F6"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21" w:name="_Toc11011"/>
      <w:bookmarkStart w:id="122" w:name="_Toc9371"/>
      <w:bookmarkStart w:id="123" w:name="_Toc10066"/>
      <w:bookmarkStart w:id="124" w:name="_Toc28523"/>
      <w:bookmarkStart w:id="125" w:name="_Toc1214"/>
      <w:r>
        <w:rPr>
          <w:rFonts w:ascii="Times New Roman" w:hAnsiTheme="minorEastAsia" w:cs="Times New Roman"/>
          <w:snapToGrid w:val="0"/>
          <w:lang w:val="zh-CN"/>
        </w:rPr>
        <w:t>①击晕</w:t>
      </w:r>
      <w:bookmarkEnd w:id="121"/>
      <w:bookmarkEnd w:id="122"/>
      <w:bookmarkEnd w:id="123"/>
      <w:bookmarkEnd w:id="124"/>
      <w:bookmarkEnd w:id="125"/>
    </w:p>
    <w:p w14:paraId="4DD7802E"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击晕是生猪屠宰过程中的一个重要环节，采用瞬间击晕的目的是使生猪暂时失去知觉，处于昏迷状态，以便刺杀放血，确保刺杀操作工的安全，减少劳动强度，提高劳动生产率，确保屠宰场周围环境的安静，同时也挺高了肉品的质量。</w:t>
      </w:r>
    </w:p>
    <w:p w14:paraId="5F5D4571"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活猪通过赶猪道进入麻电机的输入装置，拖着猪的腹部四蹄悬空经过</w:t>
      </w:r>
      <w:r>
        <w:rPr>
          <w:rFonts w:ascii="Times New Roman" w:hAnsiTheme="minorEastAsia" w:cs="Times New Roman"/>
          <w:snapToGrid w:val="0"/>
          <w:lang w:val="zh-CN"/>
        </w:rPr>
        <w:t>1</w:t>
      </w:r>
      <w:r>
        <w:rPr>
          <w:rFonts w:ascii="Times New Roman" w:hAnsiTheme="minorEastAsia" w:cs="Times New Roman"/>
          <w:snapToGrid w:val="0"/>
          <w:lang w:val="zh-CN"/>
        </w:rPr>
        <w:t>～</w:t>
      </w:r>
      <w:r>
        <w:rPr>
          <w:rFonts w:ascii="Times New Roman" w:hAnsiTheme="minorEastAsia" w:cs="Times New Roman"/>
          <w:snapToGrid w:val="0"/>
          <w:lang w:val="zh-CN"/>
        </w:rPr>
        <w:t>2</w:t>
      </w:r>
      <w:r>
        <w:rPr>
          <w:rFonts w:ascii="Times New Roman" w:hAnsiTheme="minorEastAsia" w:cs="Times New Roman"/>
          <w:snapToGrid w:val="0"/>
          <w:lang w:val="zh-CN"/>
        </w:rPr>
        <w:t>分钟的输送，消除猪的紧张状态，在猪不紧张的情况下瞬间脑、心麻电，击晕时间：</w:t>
      </w:r>
      <w:r>
        <w:rPr>
          <w:rFonts w:ascii="Times New Roman" w:hAnsiTheme="minorEastAsia" w:cs="Times New Roman"/>
          <w:snapToGrid w:val="0"/>
          <w:lang w:val="zh-CN"/>
        </w:rPr>
        <w:t>1</w:t>
      </w:r>
      <w:r>
        <w:rPr>
          <w:rFonts w:ascii="Times New Roman" w:hAnsiTheme="minorEastAsia" w:cs="Times New Roman"/>
          <w:snapToGrid w:val="0"/>
          <w:lang w:val="zh-CN"/>
        </w:rPr>
        <w:t>～</w:t>
      </w:r>
      <w:r>
        <w:rPr>
          <w:rFonts w:ascii="Times New Roman" w:hAnsiTheme="minorEastAsia" w:cs="Times New Roman"/>
          <w:snapToGrid w:val="0"/>
          <w:lang w:val="zh-CN"/>
        </w:rPr>
        <w:t>3s</w:t>
      </w:r>
      <w:r>
        <w:rPr>
          <w:rFonts w:ascii="Times New Roman" w:hAnsiTheme="minorEastAsia" w:cs="Times New Roman"/>
          <w:snapToGrid w:val="0"/>
          <w:lang w:val="zh-CN"/>
        </w:rPr>
        <w:t>，击晕电压：</w:t>
      </w:r>
      <w:r>
        <w:rPr>
          <w:rFonts w:ascii="Times New Roman" w:hAnsiTheme="minorEastAsia" w:cs="Times New Roman"/>
          <w:snapToGrid w:val="0"/>
          <w:lang w:val="zh-CN"/>
        </w:rPr>
        <w:t>150</w:t>
      </w:r>
      <w:r>
        <w:rPr>
          <w:rFonts w:ascii="Times New Roman" w:hAnsiTheme="minorEastAsia" w:cs="Times New Roman"/>
          <w:snapToGrid w:val="0"/>
          <w:lang w:val="zh-CN"/>
        </w:rPr>
        <w:t>～</w:t>
      </w:r>
      <w:r>
        <w:rPr>
          <w:rFonts w:ascii="Times New Roman" w:hAnsiTheme="minorEastAsia" w:cs="Times New Roman"/>
          <w:snapToGrid w:val="0"/>
          <w:lang w:val="zh-CN"/>
        </w:rPr>
        <w:t>300V</w:t>
      </w:r>
      <w:r>
        <w:rPr>
          <w:rFonts w:ascii="Times New Roman" w:hAnsiTheme="minorEastAsia" w:cs="Times New Roman"/>
          <w:snapToGrid w:val="0"/>
          <w:lang w:val="zh-CN"/>
        </w:rPr>
        <w:t>，击晕电流：</w:t>
      </w:r>
      <w:r>
        <w:rPr>
          <w:rFonts w:ascii="Times New Roman" w:hAnsiTheme="minorEastAsia" w:cs="Times New Roman"/>
          <w:snapToGrid w:val="0"/>
          <w:lang w:val="zh-CN"/>
        </w:rPr>
        <w:t>1</w:t>
      </w:r>
      <w:r>
        <w:rPr>
          <w:rFonts w:ascii="Times New Roman" w:hAnsiTheme="minorEastAsia" w:cs="Times New Roman"/>
          <w:snapToGrid w:val="0"/>
          <w:lang w:val="zh-CN"/>
        </w:rPr>
        <w:t>～</w:t>
      </w:r>
      <w:r>
        <w:rPr>
          <w:rFonts w:ascii="Times New Roman" w:hAnsiTheme="minorEastAsia" w:cs="Times New Roman"/>
          <w:snapToGrid w:val="0"/>
          <w:lang w:val="zh-CN"/>
        </w:rPr>
        <w:t>3</w:t>
      </w:r>
      <w:r>
        <w:rPr>
          <w:rFonts w:ascii="Times New Roman" w:hAnsiTheme="minorEastAsia" w:cs="Times New Roman"/>
          <w:snapToGrid w:val="0"/>
          <w:lang w:val="zh-CN"/>
        </w:rPr>
        <w:t>安培，击晕频率：</w:t>
      </w:r>
      <w:r>
        <w:rPr>
          <w:rFonts w:ascii="Times New Roman" w:hAnsiTheme="minorEastAsia" w:cs="Times New Roman"/>
          <w:snapToGrid w:val="0"/>
          <w:lang w:val="zh-CN"/>
        </w:rPr>
        <w:t>800</w:t>
      </w:r>
      <w:r>
        <w:rPr>
          <w:rFonts w:ascii="Times New Roman" w:hAnsiTheme="minorEastAsia" w:cs="Times New Roman"/>
          <w:snapToGrid w:val="0"/>
          <w:lang w:val="zh-CN"/>
        </w:rPr>
        <w:t>赫兹。这种击晕方式没有血斑，没有骨折，延缓</w:t>
      </w:r>
      <w:r>
        <w:rPr>
          <w:rFonts w:ascii="Times New Roman" w:hAnsiTheme="minorEastAsia" w:cs="Times New Roman"/>
          <w:snapToGrid w:val="0"/>
          <w:lang w:val="zh-CN"/>
        </w:rPr>
        <w:t>PH</w:t>
      </w:r>
      <w:r>
        <w:rPr>
          <w:rFonts w:ascii="Times New Roman" w:hAnsiTheme="minorEastAsia" w:cs="Times New Roman"/>
          <w:snapToGrid w:val="0"/>
          <w:lang w:val="zh-CN"/>
        </w:rPr>
        <w:t>值的下降，大大改善了猪肉的品质，同时也改善了动物福利。</w:t>
      </w:r>
    </w:p>
    <w:p w14:paraId="183DED00"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26" w:name="_Toc17152"/>
      <w:bookmarkStart w:id="127" w:name="_Toc20923"/>
      <w:bookmarkStart w:id="128" w:name="_Toc8877"/>
      <w:bookmarkStart w:id="129" w:name="_Toc3062"/>
      <w:bookmarkStart w:id="130" w:name="_Toc8467"/>
      <w:r>
        <w:rPr>
          <w:rFonts w:ascii="Times New Roman" w:hAnsiTheme="minorEastAsia" w:cs="Times New Roman"/>
          <w:snapToGrid w:val="0"/>
          <w:lang w:val="zh-CN"/>
        </w:rPr>
        <w:t>②刺杀放血</w:t>
      </w:r>
      <w:bookmarkEnd w:id="126"/>
      <w:bookmarkEnd w:id="127"/>
      <w:bookmarkEnd w:id="128"/>
      <w:bookmarkEnd w:id="129"/>
      <w:bookmarkEnd w:id="130"/>
    </w:p>
    <w:p w14:paraId="1AB9D086"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卧式放血：击晕后的毛猪通过滑槽滑入卧式放血平板输送机上持刀刺杀放血，通过</w:t>
      </w:r>
      <w:r>
        <w:rPr>
          <w:rFonts w:ascii="Times New Roman" w:hAnsiTheme="minorEastAsia" w:cs="Times New Roman"/>
          <w:snapToGrid w:val="0"/>
          <w:lang w:val="zh-CN"/>
        </w:rPr>
        <w:t>1</w:t>
      </w:r>
      <w:r>
        <w:rPr>
          <w:rFonts w:ascii="Times New Roman" w:hAnsiTheme="minorEastAsia" w:cs="Times New Roman"/>
          <w:snapToGrid w:val="0"/>
          <w:lang w:val="zh-CN"/>
        </w:rPr>
        <w:t>～</w:t>
      </w:r>
      <w:r>
        <w:rPr>
          <w:rFonts w:ascii="Times New Roman" w:hAnsiTheme="minorEastAsia" w:cs="Times New Roman"/>
          <w:snapToGrid w:val="0"/>
          <w:lang w:val="zh-CN"/>
        </w:rPr>
        <w:t>2</w:t>
      </w:r>
      <w:r>
        <w:rPr>
          <w:rFonts w:ascii="Times New Roman" w:hAnsiTheme="minorEastAsia" w:cs="Times New Roman"/>
          <w:snapToGrid w:val="0"/>
          <w:lang w:val="zh-CN"/>
        </w:rPr>
        <w:t>分钟沥血输送，猪体有</w:t>
      </w:r>
      <w:r>
        <w:rPr>
          <w:rFonts w:ascii="Times New Roman" w:hAnsiTheme="minorEastAsia" w:cs="Times New Roman"/>
          <w:snapToGrid w:val="0"/>
          <w:lang w:val="zh-CN"/>
        </w:rPr>
        <w:t>90%</w:t>
      </w:r>
      <w:r>
        <w:rPr>
          <w:rFonts w:ascii="Times New Roman" w:hAnsiTheme="minorEastAsia" w:cs="Times New Roman"/>
          <w:snapToGrid w:val="0"/>
          <w:lang w:val="zh-CN"/>
        </w:rPr>
        <w:t>的血液流入血液收集槽内，这种屠宰方式有利于血液的收集和利用，也提高了宰杀能力。</w:t>
      </w:r>
    </w:p>
    <w:p w14:paraId="65816F02"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本工序将有猪血产生，在专用容器内临时储存、凝固成血块后外售。</w:t>
      </w:r>
    </w:p>
    <w:p w14:paraId="318C80C3"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31" w:name="_Toc24786"/>
      <w:bookmarkStart w:id="132" w:name="_Toc14722"/>
      <w:bookmarkStart w:id="133" w:name="_Toc12445"/>
      <w:bookmarkStart w:id="134" w:name="_Toc11601"/>
      <w:bookmarkStart w:id="135" w:name="_Toc19272"/>
      <w:r>
        <w:rPr>
          <w:rFonts w:ascii="Times New Roman" w:hAnsiTheme="minorEastAsia" w:cs="Times New Roman"/>
          <w:snapToGrid w:val="0"/>
          <w:lang w:val="zh-CN"/>
        </w:rPr>
        <w:t>③浸烫刨毛</w:t>
      </w:r>
      <w:bookmarkEnd w:id="131"/>
      <w:bookmarkEnd w:id="132"/>
      <w:bookmarkEnd w:id="133"/>
      <w:bookmarkEnd w:id="134"/>
      <w:bookmarkEnd w:id="135"/>
    </w:p>
    <w:p w14:paraId="763474EE"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hint="eastAsia"/>
          <w:snapToGrid w:val="0"/>
          <w:lang w:val="zh-CN"/>
        </w:rPr>
        <w:t>浸烫池</w:t>
      </w:r>
      <w:r>
        <w:rPr>
          <w:rFonts w:ascii="Times New Roman" w:hAnsiTheme="minorEastAsia" w:cs="Times New Roman"/>
          <w:snapToGrid w:val="0"/>
          <w:lang w:val="zh-CN"/>
        </w:rPr>
        <w:t>浸烫：将放好血的毛猪通过卸猪器卸入</w:t>
      </w:r>
      <w:r>
        <w:rPr>
          <w:rFonts w:ascii="Times New Roman" w:hAnsiTheme="minorEastAsia" w:cs="Times New Roman" w:hint="eastAsia"/>
          <w:snapToGrid w:val="0"/>
          <w:lang w:val="zh-CN"/>
        </w:rPr>
        <w:t>浸烫池</w:t>
      </w:r>
      <w:r>
        <w:rPr>
          <w:rFonts w:ascii="Times New Roman" w:hAnsiTheme="minorEastAsia" w:cs="Times New Roman"/>
          <w:snapToGrid w:val="0"/>
          <w:lang w:val="zh-CN"/>
        </w:rPr>
        <w:t>的接收台上，慢慢的把猪体滑入</w:t>
      </w:r>
      <w:r>
        <w:rPr>
          <w:rFonts w:ascii="Times New Roman" w:hAnsiTheme="minorEastAsia" w:cs="Times New Roman" w:hint="eastAsia"/>
          <w:snapToGrid w:val="0"/>
          <w:lang w:val="zh-CN"/>
        </w:rPr>
        <w:t>浸烫池</w:t>
      </w:r>
      <w:r>
        <w:rPr>
          <w:rFonts w:ascii="Times New Roman" w:hAnsiTheme="minorEastAsia" w:cs="Times New Roman"/>
          <w:snapToGrid w:val="0"/>
          <w:lang w:val="zh-CN"/>
        </w:rPr>
        <w:t>内浸烫，浸烫的方式烫猪机摇烫，烫毛池的水温一般控制在</w:t>
      </w:r>
      <w:r>
        <w:rPr>
          <w:rFonts w:ascii="Times New Roman" w:hAnsiTheme="minorEastAsia" w:cs="Times New Roman"/>
          <w:snapToGrid w:val="0"/>
          <w:lang w:val="zh-CN"/>
        </w:rPr>
        <w:t>58</w:t>
      </w:r>
      <w:r>
        <w:rPr>
          <w:rFonts w:ascii="Times New Roman" w:hAnsiTheme="minorEastAsia" w:cs="Times New Roman"/>
          <w:snapToGrid w:val="0"/>
          <w:lang w:val="zh-CN"/>
        </w:rPr>
        <w:t>～</w:t>
      </w:r>
      <w:r>
        <w:rPr>
          <w:rFonts w:ascii="Times New Roman" w:hAnsiTheme="minorEastAsia" w:cs="Times New Roman"/>
          <w:snapToGrid w:val="0"/>
          <w:lang w:val="zh-CN"/>
        </w:rPr>
        <w:t>62</w:t>
      </w:r>
      <w:r>
        <w:rPr>
          <w:rFonts w:ascii="Times New Roman" w:hAnsiTheme="minorEastAsia" w:cs="Times New Roman"/>
          <w:snapToGrid w:val="0"/>
          <w:lang w:val="zh-CN"/>
        </w:rPr>
        <w:t>℃之间，水温过高防止把猪体烫白，影响脱毛效果。浸烫时间：</w:t>
      </w:r>
      <w:r>
        <w:rPr>
          <w:rFonts w:ascii="Times New Roman" w:hAnsiTheme="minorEastAsia" w:cs="Times New Roman"/>
          <w:snapToGrid w:val="0"/>
          <w:lang w:val="zh-CN"/>
        </w:rPr>
        <w:t>4</w:t>
      </w:r>
      <w:r>
        <w:rPr>
          <w:rFonts w:ascii="Times New Roman" w:hAnsiTheme="minorEastAsia" w:cs="Times New Roman"/>
          <w:snapToGrid w:val="0"/>
          <w:lang w:val="zh-CN"/>
        </w:rPr>
        <w:t>～</w:t>
      </w:r>
      <w:r>
        <w:rPr>
          <w:rFonts w:ascii="Times New Roman" w:hAnsiTheme="minorEastAsia" w:cs="Times New Roman"/>
          <w:snapToGrid w:val="0"/>
          <w:lang w:val="zh-CN"/>
        </w:rPr>
        <w:t>6min</w:t>
      </w:r>
      <w:r>
        <w:rPr>
          <w:rFonts w:ascii="Times New Roman" w:hAnsiTheme="minorEastAsia" w:cs="Times New Roman"/>
          <w:snapToGrid w:val="0"/>
          <w:lang w:val="zh-CN"/>
        </w:rPr>
        <w:t>。</w:t>
      </w:r>
    </w:p>
    <w:p w14:paraId="5576C239" w14:textId="77777777" w:rsidR="00B14D53" w:rsidRDefault="00000000">
      <w:pPr>
        <w:pStyle w:val="afff"/>
        <w:adjustRightInd/>
        <w:snapToGrid/>
        <w:contextualSpacing/>
        <w:jc w:val="both"/>
        <w:rPr>
          <w:rFonts w:ascii="Times New Roman" w:hAnsiTheme="minorEastAsia" w:cs="Times New Roman" w:hint="eastAsia"/>
          <w:snapToGrid w:val="0"/>
        </w:rPr>
      </w:pPr>
      <w:r>
        <w:rPr>
          <w:rFonts w:ascii="Times New Roman" w:hAnsiTheme="minorEastAsia" w:cs="Times New Roman"/>
          <w:snapToGrid w:val="0"/>
        </w:rPr>
        <w:t>机械脱毛后仍不能将毛全部清除干净，仍需进一步刮毛修整对生猪进行再次处理，脱毛后的猪屠体放置在清水</w:t>
      </w:r>
      <w:r>
        <w:rPr>
          <w:rFonts w:ascii="Times New Roman" w:hAnsiTheme="minorEastAsia" w:cs="Times New Roman" w:hint="eastAsia"/>
          <w:snapToGrid w:val="0"/>
        </w:rPr>
        <w:t>泡</w:t>
      </w:r>
      <w:r>
        <w:rPr>
          <w:rFonts w:ascii="Times New Roman" w:hAnsiTheme="minorEastAsia" w:cs="Times New Roman"/>
          <w:snapToGrid w:val="0"/>
        </w:rPr>
        <w:t>池中浸泡</w:t>
      </w:r>
      <w:r>
        <w:rPr>
          <w:rFonts w:ascii="Times New Roman" w:hAnsiTheme="minorEastAsia" w:cs="Times New Roman"/>
          <w:snapToGrid w:val="0"/>
        </w:rPr>
        <w:t>1-2min</w:t>
      </w:r>
      <w:r>
        <w:rPr>
          <w:rFonts w:ascii="Times New Roman" w:hAnsiTheme="minorEastAsia" w:cs="Times New Roman"/>
          <w:snapToGrid w:val="0"/>
        </w:rPr>
        <w:t>，达到卫生标准、外观清洁的要求。</w:t>
      </w:r>
    </w:p>
    <w:p w14:paraId="4805F6F9"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36" w:name="_Toc3945"/>
      <w:bookmarkStart w:id="137" w:name="_Toc22309"/>
      <w:bookmarkStart w:id="138" w:name="_Toc32568"/>
      <w:bookmarkStart w:id="139" w:name="_Toc29529"/>
      <w:bookmarkStart w:id="140" w:name="_Toc31363"/>
      <w:r>
        <w:rPr>
          <w:rFonts w:ascii="Times New Roman" w:hAnsiTheme="minorEastAsia" w:cs="Times New Roman" w:hint="eastAsia"/>
          <w:snapToGrid w:val="0"/>
        </w:rPr>
        <w:t>④</w:t>
      </w:r>
      <w:r>
        <w:rPr>
          <w:rFonts w:ascii="Times New Roman" w:hAnsiTheme="minorEastAsia" w:cs="Times New Roman"/>
          <w:snapToGrid w:val="0"/>
          <w:lang w:val="zh-CN"/>
        </w:rPr>
        <w:t>酮体加工</w:t>
      </w:r>
      <w:bookmarkEnd w:id="136"/>
      <w:bookmarkEnd w:id="137"/>
      <w:bookmarkEnd w:id="138"/>
      <w:bookmarkEnd w:id="139"/>
      <w:bookmarkEnd w:id="140"/>
    </w:p>
    <w:p w14:paraId="27E0885F"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酮体加工工位：酮体修割、封直肠、去生殖器、剖腹折胸骨、去白内脏、旋毛虫检验、预摘红内脏、去红内脏、劈半、检验、去板油等。</w:t>
      </w:r>
    </w:p>
    <w:p w14:paraId="6BDC7D26"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打开猪的胸腔后，从猪的胸膛内取下白内脏，即肠、肚。取出的白内脏</w:t>
      </w:r>
      <w:r>
        <w:rPr>
          <w:rFonts w:ascii="Times New Roman" w:hAnsiTheme="minorEastAsia" w:cs="Times New Roman" w:hint="eastAsia"/>
          <w:snapToGrid w:val="0"/>
        </w:rPr>
        <w:t>等待</w:t>
      </w:r>
      <w:r>
        <w:rPr>
          <w:rFonts w:ascii="Times New Roman" w:hAnsiTheme="minorEastAsia" w:cs="Times New Roman"/>
          <w:snapToGrid w:val="0"/>
          <w:lang w:val="zh-CN"/>
        </w:rPr>
        <w:t>检验。</w:t>
      </w:r>
    </w:p>
    <w:p w14:paraId="04BA1671"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取出红内脏，即心、肝、肺。取出的红内脏</w:t>
      </w:r>
      <w:r>
        <w:rPr>
          <w:rFonts w:ascii="Times New Roman" w:hAnsiTheme="minorEastAsia" w:cs="Times New Roman" w:hint="eastAsia"/>
          <w:snapToGrid w:val="0"/>
        </w:rPr>
        <w:t>等待</w:t>
      </w:r>
      <w:r>
        <w:rPr>
          <w:rFonts w:ascii="Times New Roman" w:hAnsiTheme="minorEastAsia" w:cs="Times New Roman"/>
          <w:snapToGrid w:val="0"/>
          <w:lang w:val="zh-CN"/>
        </w:rPr>
        <w:t>检验。</w:t>
      </w:r>
    </w:p>
    <w:p w14:paraId="71FB956F"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用</w:t>
      </w:r>
      <w:r>
        <w:rPr>
          <w:rFonts w:ascii="Times New Roman" w:hAnsiTheme="minorEastAsia" w:cs="Times New Roman" w:hint="eastAsia"/>
          <w:snapToGrid w:val="0"/>
        </w:rPr>
        <w:t>电动</w:t>
      </w:r>
      <w:r>
        <w:rPr>
          <w:rFonts w:ascii="Times New Roman" w:hAnsiTheme="minorEastAsia" w:cs="Times New Roman"/>
          <w:snapToGrid w:val="0"/>
          <w:lang w:val="zh-CN"/>
        </w:rPr>
        <w:t>劈半锯沿猪的脊椎把猪平均分成两半，摘猪腰子和去板油。</w:t>
      </w:r>
    </w:p>
    <w:p w14:paraId="5BA0BFDB"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把猪</w:t>
      </w:r>
      <w:r>
        <w:rPr>
          <w:rFonts w:ascii="Times New Roman" w:hAnsiTheme="minorEastAsia" w:cs="Times New Roman" w:hint="eastAsia"/>
          <w:snapToGrid w:val="0"/>
        </w:rPr>
        <w:t>胴体</w:t>
      </w:r>
      <w:r>
        <w:rPr>
          <w:rFonts w:ascii="Times New Roman" w:hAnsiTheme="minorEastAsia" w:cs="Times New Roman"/>
          <w:snapToGrid w:val="0"/>
          <w:lang w:val="zh-CN"/>
        </w:rPr>
        <w:t>进行修整，修整后称重。根据称重的结果进行分级盖章。</w:t>
      </w:r>
    </w:p>
    <w:p w14:paraId="40ED0A34"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41" w:name="_Toc25746"/>
      <w:bookmarkStart w:id="142" w:name="_Toc31201"/>
      <w:bookmarkStart w:id="143" w:name="_Toc5969"/>
      <w:bookmarkStart w:id="144" w:name="_Toc17091"/>
      <w:bookmarkStart w:id="145" w:name="_Toc16592"/>
      <w:r>
        <w:rPr>
          <w:rFonts w:ascii="Times New Roman" w:hAnsiTheme="minorEastAsia" w:cs="Times New Roman"/>
          <w:snapToGrid w:val="0"/>
          <w:lang w:val="zh-CN"/>
        </w:rPr>
        <w:t>3</w:t>
      </w:r>
      <w:r>
        <w:rPr>
          <w:rFonts w:ascii="Times New Roman" w:hAnsiTheme="minorEastAsia" w:cs="Times New Roman"/>
          <w:snapToGrid w:val="0"/>
          <w:lang w:val="zh-CN"/>
        </w:rPr>
        <w:t>、副产品加工</w:t>
      </w:r>
      <w:bookmarkEnd w:id="141"/>
      <w:bookmarkEnd w:id="142"/>
      <w:bookmarkEnd w:id="143"/>
      <w:bookmarkEnd w:id="144"/>
      <w:bookmarkEnd w:id="145"/>
    </w:p>
    <w:p w14:paraId="60AD37F8"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46" w:name="_Toc27808"/>
      <w:bookmarkStart w:id="147" w:name="_Toc20912"/>
      <w:bookmarkStart w:id="148" w:name="_Toc11134"/>
      <w:r>
        <w:rPr>
          <w:rFonts w:ascii="Times New Roman" w:hAnsiTheme="minorEastAsia" w:cs="Times New Roman"/>
          <w:snapToGrid w:val="0"/>
          <w:lang w:val="zh-CN"/>
        </w:rPr>
        <w:t>（</w:t>
      </w:r>
      <w:r>
        <w:rPr>
          <w:rFonts w:ascii="Times New Roman" w:hAnsiTheme="minorEastAsia" w:cs="Times New Roman"/>
          <w:snapToGrid w:val="0"/>
        </w:rPr>
        <w:t>1</w:t>
      </w:r>
      <w:r>
        <w:rPr>
          <w:rFonts w:ascii="Times New Roman" w:hAnsiTheme="minorEastAsia" w:cs="Times New Roman"/>
          <w:snapToGrid w:val="0"/>
          <w:lang w:val="zh-CN"/>
        </w:rPr>
        <w:t>）猪头、蹄、尾加工</w:t>
      </w:r>
      <w:bookmarkEnd w:id="146"/>
      <w:bookmarkEnd w:id="147"/>
      <w:bookmarkEnd w:id="148"/>
    </w:p>
    <w:p w14:paraId="7048FF14"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屠宰车间所产生的头、蹄、尾去头蹄处理间处理，头、蹄、尾分别经头烫池和蹄尾烫池进行烫毛，然后分别经由猪头脱毛机和蹄尾脱毛机进行脱毛，之后对脱毛之后的头、蹄、尾进行清洗，进一步洗去表面的灰尘、残留猪毛等，洁净的头、蹄、尾分类收集后入库待售。</w:t>
      </w:r>
    </w:p>
    <w:p w14:paraId="3B6EA83D"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49" w:name="_Toc16581"/>
      <w:bookmarkStart w:id="150" w:name="_Toc26762"/>
      <w:bookmarkStart w:id="151" w:name="_Toc23006"/>
      <w:r>
        <w:rPr>
          <w:rFonts w:ascii="Times New Roman" w:hAnsiTheme="minorEastAsia" w:cs="Times New Roman"/>
          <w:snapToGrid w:val="0"/>
          <w:lang w:val="zh-CN"/>
        </w:rPr>
        <w:t>（</w:t>
      </w:r>
      <w:r>
        <w:rPr>
          <w:rFonts w:ascii="Times New Roman" w:hAnsiTheme="minorEastAsia" w:cs="Times New Roman"/>
          <w:snapToGrid w:val="0"/>
        </w:rPr>
        <w:t>2</w:t>
      </w:r>
      <w:r>
        <w:rPr>
          <w:rFonts w:ascii="Times New Roman" w:hAnsiTheme="minorEastAsia" w:cs="Times New Roman"/>
          <w:snapToGrid w:val="0"/>
          <w:lang w:val="zh-CN"/>
        </w:rPr>
        <w:t>）白内脏加工</w:t>
      </w:r>
      <w:bookmarkEnd w:id="149"/>
      <w:bookmarkEnd w:id="150"/>
      <w:bookmarkEnd w:id="151"/>
    </w:p>
    <w:p w14:paraId="1F38FD4F"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猪的白内脏主要包括大肠、小肠、猪肚等白色内脏，该部分内脏主要属于猪的消化系统，其中大量未消化物包裹其中。屠宰车间取出的内脏经检</w:t>
      </w:r>
      <w:r>
        <w:rPr>
          <w:rFonts w:ascii="Times New Roman" w:hAnsiTheme="minorEastAsia" w:cs="Times New Roman" w:hint="eastAsia"/>
          <w:snapToGrid w:val="0"/>
        </w:rPr>
        <w:t>验</w:t>
      </w:r>
      <w:r>
        <w:rPr>
          <w:rFonts w:ascii="Times New Roman" w:hAnsiTheme="minorEastAsia" w:cs="Times New Roman"/>
          <w:snapToGrid w:val="0"/>
          <w:lang w:val="zh-CN"/>
        </w:rPr>
        <w:t>合格后送至白内脏处理间，对其进行人工分拣，将大肠、小肠、猪肚等分离归类，归类后对胃肠容物进行清洗，洗净的白内脏分类入库待售。肠内容物清理至包装桶内，暂存于待宰圈内。</w:t>
      </w:r>
    </w:p>
    <w:p w14:paraId="685A8EAC"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52" w:name="_Toc28125"/>
      <w:bookmarkStart w:id="153" w:name="_Toc22682"/>
      <w:bookmarkStart w:id="154" w:name="_Toc26216"/>
      <w:r>
        <w:rPr>
          <w:rFonts w:ascii="Times New Roman" w:hAnsiTheme="minorEastAsia" w:cs="Times New Roman"/>
          <w:snapToGrid w:val="0"/>
        </w:rPr>
        <w:t>（</w:t>
      </w:r>
      <w:r>
        <w:rPr>
          <w:rFonts w:ascii="Times New Roman" w:hAnsiTheme="minorEastAsia" w:cs="Times New Roman"/>
          <w:snapToGrid w:val="0"/>
        </w:rPr>
        <w:t>3</w:t>
      </w:r>
      <w:r>
        <w:rPr>
          <w:rFonts w:ascii="Times New Roman" w:hAnsiTheme="minorEastAsia" w:cs="Times New Roman"/>
          <w:snapToGrid w:val="0"/>
        </w:rPr>
        <w:t>）</w:t>
      </w:r>
      <w:r>
        <w:rPr>
          <w:rFonts w:ascii="Times New Roman" w:hAnsiTheme="minorEastAsia" w:cs="Times New Roman"/>
          <w:snapToGrid w:val="0"/>
          <w:lang w:val="zh-CN"/>
        </w:rPr>
        <w:t>红内脏加工</w:t>
      </w:r>
      <w:bookmarkEnd w:id="152"/>
      <w:bookmarkEnd w:id="153"/>
      <w:bookmarkEnd w:id="154"/>
    </w:p>
    <w:p w14:paraId="7520478E"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猪的红内脏主要包括心、肝、肺等红色内脏，屠宰车间取出的内脏经检疫合格后送至红内脏处理间，对红内脏进行人工分拣，分拣同时对内脏所带肉屑进行剔除，分拣完成后，对上述内脏进行清洗，完成后分类入库待售。</w:t>
      </w:r>
    </w:p>
    <w:p w14:paraId="72660214"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55" w:name="_Toc2422"/>
      <w:bookmarkStart w:id="156" w:name="_Toc12477"/>
      <w:bookmarkStart w:id="157" w:name="_Toc23082"/>
      <w:bookmarkStart w:id="158" w:name="_Toc6734"/>
      <w:bookmarkStart w:id="159" w:name="_Toc11261"/>
      <w:r>
        <w:rPr>
          <w:rFonts w:ascii="Times New Roman" w:hAnsiTheme="minorEastAsia" w:cs="Times New Roman"/>
          <w:snapToGrid w:val="0"/>
          <w:lang w:val="zh-CN"/>
        </w:rPr>
        <w:t>4</w:t>
      </w:r>
      <w:r>
        <w:rPr>
          <w:rFonts w:ascii="Times New Roman" w:hAnsiTheme="minorEastAsia" w:cs="Times New Roman"/>
          <w:snapToGrid w:val="0"/>
          <w:lang w:val="zh-CN"/>
        </w:rPr>
        <w:t>、排酸</w:t>
      </w:r>
      <w:bookmarkEnd w:id="155"/>
      <w:bookmarkEnd w:id="156"/>
      <w:bookmarkEnd w:id="157"/>
      <w:bookmarkEnd w:id="158"/>
      <w:bookmarkEnd w:id="159"/>
    </w:p>
    <w:p w14:paraId="4E6A9DE5"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将修割、冲洗后的</w:t>
      </w:r>
      <w:r>
        <w:rPr>
          <w:rFonts w:ascii="Times New Roman" w:hAnsiTheme="minorEastAsia" w:cs="Times New Roman" w:hint="eastAsia"/>
          <w:snapToGrid w:val="0"/>
        </w:rPr>
        <w:t>猪胴体</w:t>
      </w:r>
      <w:r>
        <w:rPr>
          <w:rFonts w:ascii="Times New Roman" w:hAnsiTheme="minorEastAsia" w:cs="Times New Roman"/>
          <w:snapToGrid w:val="0"/>
          <w:lang w:val="zh-CN"/>
        </w:rPr>
        <w:t>进排酸间进行排酸，这是猪肉冷分割工艺的一个重要环节。为了缩短排酸时间，</w:t>
      </w:r>
      <w:r>
        <w:rPr>
          <w:rFonts w:ascii="Times New Roman" w:hAnsiTheme="minorEastAsia" w:cs="Times New Roman" w:hint="eastAsia"/>
          <w:snapToGrid w:val="0"/>
        </w:rPr>
        <w:t>猪胴体</w:t>
      </w:r>
      <w:r>
        <w:rPr>
          <w:rFonts w:ascii="Times New Roman" w:hAnsiTheme="minorEastAsia" w:cs="Times New Roman"/>
          <w:snapToGrid w:val="0"/>
          <w:lang w:val="zh-CN"/>
        </w:rPr>
        <w:t>在进排酸间之前设计</w:t>
      </w:r>
      <w:r>
        <w:rPr>
          <w:rFonts w:ascii="Times New Roman" w:hAnsiTheme="minorEastAsia" w:cs="Times New Roman" w:hint="eastAsia"/>
          <w:snapToGrid w:val="0"/>
        </w:rPr>
        <w:t>猪胴体</w:t>
      </w:r>
      <w:r>
        <w:rPr>
          <w:rFonts w:ascii="Times New Roman" w:hAnsiTheme="minorEastAsia" w:cs="Times New Roman"/>
          <w:snapToGrid w:val="0"/>
          <w:lang w:val="zh-CN"/>
        </w:rPr>
        <w:t>的快冷工艺，快冷间的温度设计为</w:t>
      </w:r>
      <w:r>
        <w:rPr>
          <w:rFonts w:ascii="Times New Roman" w:hAnsiTheme="minorEastAsia" w:cs="Times New Roman"/>
          <w:snapToGrid w:val="0"/>
          <w:lang w:val="zh-CN"/>
        </w:rPr>
        <w:t>-20</w:t>
      </w:r>
      <w:r>
        <w:rPr>
          <w:rFonts w:ascii="Times New Roman" w:hAnsiTheme="minorEastAsia" w:cs="Times New Roman"/>
          <w:snapToGrid w:val="0"/>
          <w:lang w:val="zh-CN"/>
        </w:rPr>
        <w:t>摄氏度，快冷时间设计为</w:t>
      </w:r>
      <w:r>
        <w:rPr>
          <w:rFonts w:ascii="Times New Roman" w:hAnsiTheme="minorEastAsia" w:cs="Times New Roman"/>
          <w:snapToGrid w:val="0"/>
          <w:lang w:val="zh-CN"/>
        </w:rPr>
        <w:t>90</w:t>
      </w:r>
      <w:r>
        <w:rPr>
          <w:rFonts w:ascii="Times New Roman" w:hAnsiTheme="minorEastAsia" w:cs="Times New Roman"/>
          <w:snapToGrid w:val="0"/>
          <w:lang w:val="zh-CN"/>
        </w:rPr>
        <w:t>分钟</w:t>
      </w:r>
      <w:r>
        <w:rPr>
          <w:rFonts w:ascii="Times New Roman" w:hAnsiTheme="minorEastAsia" w:cs="Times New Roman" w:hint="eastAsia"/>
          <w:snapToGrid w:val="0"/>
          <w:lang w:val="zh-CN"/>
        </w:rPr>
        <w:t>，</w:t>
      </w:r>
      <w:r>
        <w:rPr>
          <w:rFonts w:ascii="Times New Roman" w:hAnsiTheme="minorEastAsia" w:cs="Times New Roman" w:hint="eastAsia"/>
          <w:snapToGrid w:val="0"/>
        </w:rPr>
        <w:t>冷库制冷设备采用制冷剂为</w:t>
      </w:r>
      <w:r>
        <w:rPr>
          <w:rFonts w:ascii="Times New Roman" w:hAnsiTheme="minorEastAsia" w:cs="Times New Roman" w:hint="eastAsia"/>
          <w:snapToGrid w:val="0"/>
        </w:rPr>
        <w:t>R404A</w:t>
      </w:r>
      <w:r>
        <w:rPr>
          <w:rFonts w:ascii="Times New Roman" w:hAnsiTheme="minorEastAsia" w:cs="Times New Roman"/>
          <w:snapToGrid w:val="0"/>
          <w:lang w:val="zh-CN"/>
        </w:rPr>
        <w:t>。</w:t>
      </w:r>
    </w:p>
    <w:p w14:paraId="6B3831EE"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使用空调将排酸间的控制温度为</w:t>
      </w:r>
      <w:r>
        <w:rPr>
          <w:rFonts w:ascii="Times New Roman" w:hAnsiTheme="minorEastAsia" w:cs="Times New Roman"/>
          <w:snapToGrid w:val="0"/>
          <w:lang w:val="zh-CN"/>
        </w:rPr>
        <w:t>0</w:t>
      </w:r>
      <w:r>
        <w:rPr>
          <w:rFonts w:ascii="Times New Roman" w:hAnsiTheme="minorEastAsia" w:cs="Times New Roman"/>
          <w:snapToGrid w:val="0"/>
          <w:lang w:val="zh-CN"/>
        </w:rPr>
        <w:t>～</w:t>
      </w:r>
      <w:r>
        <w:rPr>
          <w:rFonts w:ascii="Times New Roman" w:hAnsiTheme="minorEastAsia" w:cs="Times New Roman"/>
          <w:snapToGrid w:val="0"/>
          <w:lang w:val="zh-CN"/>
        </w:rPr>
        <w:t>4</w:t>
      </w:r>
      <w:r>
        <w:rPr>
          <w:rFonts w:ascii="Times New Roman" w:hAnsiTheme="minorEastAsia" w:cs="Times New Roman"/>
          <w:snapToGrid w:val="0"/>
          <w:lang w:val="zh-CN"/>
        </w:rPr>
        <w:t>摄氏度，排酸时间不超过</w:t>
      </w:r>
      <w:r>
        <w:rPr>
          <w:rFonts w:ascii="Times New Roman" w:hAnsiTheme="minorEastAsia" w:cs="Times New Roman"/>
          <w:snapToGrid w:val="0"/>
          <w:lang w:val="zh-CN"/>
        </w:rPr>
        <w:t>16</w:t>
      </w:r>
      <w:r>
        <w:rPr>
          <w:rFonts w:ascii="Times New Roman" w:hAnsiTheme="minorEastAsia" w:cs="Times New Roman"/>
          <w:snapToGrid w:val="0"/>
          <w:lang w:val="zh-CN"/>
        </w:rPr>
        <w:t>小时。</w:t>
      </w:r>
    </w:p>
    <w:p w14:paraId="65E06C32" w14:textId="77777777" w:rsidR="00B14D53" w:rsidRDefault="00000000">
      <w:pPr>
        <w:pStyle w:val="afff"/>
        <w:adjustRightInd/>
        <w:snapToGrid/>
        <w:contextualSpacing/>
        <w:jc w:val="both"/>
        <w:rPr>
          <w:rFonts w:ascii="Times New Roman" w:hAnsiTheme="minorEastAsia" w:cs="Times New Roman" w:hint="eastAsia"/>
          <w:snapToGrid w:val="0"/>
          <w:lang w:val="zh-CN"/>
        </w:rPr>
      </w:pPr>
      <w:bookmarkStart w:id="160" w:name="_Toc21093"/>
      <w:bookmarkStart w:id="161" w:name="_Toc32705"/>
      <w:bookmarkStart w:id="162" w:name="_Toc31816"/>
      <w:bookmarkStart w:id="163" w:name="_Toc29862"/>
      <w:bookmarkStart w:id="164" w:name="_Toc4779"/>
      <w:r>
        <w:rPr>
          <w:rFonts w:ascii="Times New Roman" w:hAnsiTheme="minorEastAsia" w:cs="Times New Roman" w:hint="eastAsia"/>
          <w:snapToGrid w:val="0"/>
        </w:rPr>
        <w:t>5</w:t>
      </w:r>
      <w:r>
        <w:rPr>
          <w:rFonts w:ascii="Times New Roman" w:hAnsiTheme="minorEastAsia" w:cs="Times New Roman"/>
          <w:snapToGrid w:val="0"/>
          <w:lang w:val="zh-CN"/>
        </w:rPr>
        <w:t>、储藏</w:t>
      </w:r>
      <w:bookmarkEnd w:id="160"/>
      <w:bookmarkEnd w:id="161"/>
      <w:bookmarkEnd w:id="162"/>
      <w:bookmarkEnd w:id="163"/>
      <w:bookmarkEnd w:id="164"/>
    </w:p>
    <w:p w14:paraId="6DA3BA5D"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副产品</w:t>
      </w:r>
      <w:r>
        <w:rPr>
          <w:rFonts w:ascii="Times New Roman" w:hAnsiTheme="minorEastAsia" w:cs="Times New Roman" w:hint="eastAsia"/>
          <w:snapToGrid w:val="0"/>
        </w:rPr>
        <w:t>包装后与</w:t>
      </w:r>
      <w:r>
        <w:rPr>
          <w:rFonts w:ascii="Times New Roman" w:hAnsiTheme="minorEastAsia" w:cs="Times New Roman"/>
          <w:snapToGrid w:val="0"/>
          <w:lang w:val="zh-CN"/>
        </w:rPr>
        <w:t>经冷却排酸后的</w:t>
      </w:r>
      <w:r>
        <w:rPr>
          <w:rFonts w:ascii="Times New Roman" w:hAnsiTheme="minorEastAsia" w:cs="Times New Roman" w:hint="eastAsia"/>
          <w:snapToGrid w:val="0"/>
        </w:rPr>
        <w:t>猪胴体</w:t>
      </w:r>
      <w:r>
        <w:rPr>
          <w:rFonts w:ascii="Times New Roman" w:hAnsiTheme="minorEastAsia" w:cs="Times New Roman"/>
          <w:snapToGrid w:val="0"/>
          <w:lang w:val="zh-CN"/>
        </w:rPr>
        <w:t>存储于鲜销品冷藏区，使鲜销品肉中心温度控制于</w:t>
      </w:r>
      <w:r>
        <w:rPr>
          <w:rFonts w:ascii="Times New Roman" w:hAnsiTheme="minorEastAsia" w:cs="Times New Roman"/>
          <w:snapToGrid w:val="0"/>
          <w:lang w:val="zh-CN"/>
        </w:rPr>
        <w:t>-10</w:t>
      </w:r>
      <w:r>
        <w:rPr>
          <w:rFonts w:ascii="Times New Roman" w:hAnsiTheme="minorEastAsia" w:cs="Times New Roman"/>
          <w:snapToGrid w:val="0"/>
          <w:lang w:val="zh-CN"/>
        </w:rPr>
        <w:t>～</w:t>
      </w:r>
      <w:r>
        <w:rPr>
          <w:rFonts w:ascii="Times New Roman" w:hAnsiTheme="minorEastAsia" w:cs="Times New Roman"/>
          <w:snapToGrid w:val="0"/>
          <w:lang w:val="zh-CN"/>
        </w:rPr>
        <w:t>-15</w:t>
      </w:r>
      <w:r>
        <w:rPr>
          <w:rFonts w:ascii="Times New Roman" w:hAnsiTheme="minorEastAsia" w:cs="Times New Roman"/>
          <w:snapToGrid w:val="0"/>
          <w:lang w:val="zh-CN"/>
        </w:rPr>
        <w:t>℃。</w:t>
      </w:r>
    </w:p>
    <w:p w14:paraId="3D3179D2" w14:textId="77777777" w:rsidR="00B14D53" w:rsidRDefault="00000000">
      <w:pPr>
        <w:pStyle w:val="afff"/>
        <w:adjustRightInd/>
        <w:snapToGrid/>
        <w:contextualSpacing/>
        <w:jc w:val="both"/>
        <w:rPr>
          <w:rFonts w:ascii="Times New Roman" w:hAnsiTheme="minorEastAsia" w:cs="Times New Roman" w:hint="eastAsia"/>
          <w:snapToGrid w:val="0"/>
          <w:lang w:val="zh-CN"/>
        </w:rPr>
      </w:pPr>
      <w:r>
        <w:rPr>
          <w:rFonts w:ascii="Times New Roman" w:hAnsiTheme="minorEastAsia" w:cs="Times New Roman"/>
          <w:snapToGrid w:val="0"/>
          <w:lang w:val="zh-CN"/>
        </w:rPr>
        <w:t>冻销品送冻结区，在冻结区内预冷肉在</w:t>
      </w:r>
      <w:r>
        <w:rPr>
          <w:rFonts w:ascii="Times New Roman" w:hAnsiTheme="minorEastAsia" w:cs="Times New Roman"/>
          <w:snapToGrid w:val="0"/>
          <w:lang w:val="zh-CN"/>
        </w:rPr>
        <w:t>10h</w:t>
      </w:r>
      <w:r>
        <w:rPr>
          <w:rFonts w:ascii="Times New Roman" w:hAnsiTheme="minorEastAsia" w:cs="Times New Roman"/>
          <w:snapToGrid w:val="0"/>
          <w:lang w:val="zh-CN"/>
        </w:rPr>
        <w:t>内速冻，使冻销品肉中心温度达到</w:t>
      </w:r>
      <w:r>
        <w:rPr>
          <w:rFonts w:ascii="Times New Roman" w:hAnsiTheme="minorEastAsia" w:cs="Times New Roman"/>
          <w:snapToGrid w:val="0"/>
          <w:lang w:val="zh-CN"/>
        </w:rPr>
        <w:t>-18</w:t>
      </w:r>
      <w:r>
        <w:rPr>
          <w:rFonts w:ascii="Times New Roman" w:hAnsiTheme="minorEastAsia" w:cs="Times New Roman"/>
          <w:snapToGrid w:val="0"/>
          <w:lang w:val="zh-CN"/>
        </w:rPr>
        <w:t>～</w:t>
      </w:r>
      <w:r>
        <w:rPr>
          <w:rFonts w:ascii="Times New Roman" w:hAnsiTheme="minorEastAsia" w:cs="Times New Roman"/>
          <w:snapToGrid w:val="0"/>
          <w:lang w:val="zh-CN"/>
        </w:rPr>
        <w:t>-15</w:t>
      </w:r>
      <w:r>
        <w:rPr>
          <w:rFonts w:ascii="Times New Roman" w:hAnsiTheme="minorEastAsia" w:cs="Times New Roman"/>
          <w:snapToGrid w:val="0"/>
          <w:lang w:val="zh-CN"/>
        </w:rPr>
        <w:t>℃。然后将冻品送至低温冷藏区，冷藏区温度≤</w:t>
      </w:r>
      <w:r>
        <w:rPr>
          <w:rFonts w:ascii="Times New Roman" w:hAnsiTheme="minorEastAsia" w:cs="Times New Roman"/>
          <w:snapToGrid w:val="0"/>
          <w:lang w:val="zh-CN"/>
        </w:rPr>
        <w:t>-18</w:t>
      </w:r>
      <w:r>
        <w:rPr>
          <w:rFonts w:ascii="Times New Roman" w:hAnsiTheme="minorEastAsia" w:cs="Times New Roman"/>
          <w:snapToGrid w:val="0"/>
          <w:lang w:val="zh-CN"/>
        </w:rPr>
        <w:t>℃，使冻销品肉中心温度≤</w:t>
      </w:r>
      <w:r>
        <w:rPr>
          <w:rFonts w:ascii="Times New Roman" w:hAnsiTheme="minorEastAsia" w:cs="Times New Roman"/>
          <w:snapToGrid w:val="0"/>
          <w:lang w:val="zh-CN"/>
        </w:rPr>
        <w:t>-15</w:t>
      </w:r>
      <w:r>
        <w:rPr>
          <w:rFonts w:ascii="Times New Roman" w:hAnsiTheme="minorEastAsia" w:cs="Times New Roman"/>
          <w:snapToGrid w:val="0"/>
          <w:lang w:val="zh-CN"/>
        </w:rPr>
        <w:t>℃。</w:t>
      </w:r>
    </w:p>
    <w:p w14:paraId="2E1B46D4" w14:textId="77777777" w:rsidR="00B14D53" w:rsidRDefault="00000000">
      <w:pPr>
        <w:pStyle w:val="afff"/>
        <w:adjustRightInd/>
        <w:snapToGrid/>
        <w:contextualSpacing/>
        <w:jc w:val="both"/>
        <w:rPr>
          <w:rFonts w:ascii="Times New Roman" w:hAnsiTheme="minorEastAsia" w:cs="Times New Roman" w:hint="eastAsia"/>
          <w:snapToGrid w:val="0"/>
        </w:rPr>
      </w:pPr>
      <w:r>
        <w:rPr>
          <w:rFonts w:ascii="Times New Roman" w:hAnsiTheme="minorEastAsia" w:cs="Times New Roman"/>
          <w:snapToGrid w:val="0"/>
          <w:lang w:val="zh-CN"/>
        </w:rPr>
        <w:t>屠宰加工生产工艺流程及排污节点见</w:t>
      </w:r>
      <w:r>
        <w:rPr>
          <w:rFonts w:ascii="Times New Roman" w:hAnsiTheme="minorEastAsia" w:cs="Times New Roman" w:hint="eastAsia"/>
          <w:snapToGrid w:val="0"/>
        </w:rPr>
        <w:t>下</w:t>
      </w:r>
      <w:r>
        <w:rPr>
          <w:rFonts w:ascii="Times New Roman" w:hAnsiTheme="minorEastAsia" w:cs="Times New Roman"/>
          <w:snapToGrid w:val="0"/>
          <w:lang w:val="zh-CN"/>
        </w:rPr>
        <w:t>图</w:t>
      </w:r>
      <w:r>
        <w:rPr>
          <w:rFonts w:ascii="Times New Roman" w:hAnsiTheme="minorEastAsia" w:cs="Times New Roman" w:hint="eastAsia"/>
          <w:snapToGrid w:val="0"/>
        </w:rPr>
        <w:t>。</w:t>
      </w:r>
    </w:p>
    <w:p w14:paraId="67790F2D" w14:textId="77777777" w:rsidR="00B14D53" w:rsidRDefault="00000000">
      <w:pPr>
        <w:spacing w:line="360" w:lineRule="auto"/>
        <w:rPr>
          <w:rFonts w:eastAsiaTheme="minorEastAsia" w:hAnsiTheme="minorEastAsia" w:hint="eastAsia"/>
          <w:snapToGrid w:val="0"/>
          <w:kern w:val="0"/>
          <w:sz w:val="24"/>
        </w:rPr>
      </w:pPr>
      <w:r>
        <w:rPr>
          <w:noProof/>
          <w:sz w:val="24"/>
        </w:rPr>
        <mc:AlternateContent>
          <mc:Choice Requires="wps">
            <w:drawing>
              <wp:anchor distT="0" distB="0" distL="114300" distR="114300" simplePos="0" relativeHeight="251740160" behindDoc="0" locked="0" layoutInCell="1" allowOverlap="1" wp14:anchorId="763076B9" wp14:editId="3C477FE2">
                <wp:simplePos x="0" y="0"/>
                <wp:positionH relativeFrom="column">
                  <wp:posOffset>2875280</wp:posOffset>
                </wp:positionH>
                <wp:positionV relativeFrom="paragraph">
                  <wp:posOffset>5142230</wp:posOffset>
                </wp:positionV>
                <wp:extent cx="5080" cy="162560"/>
                <wp:effectExtent l="35560" t="0" r="35560" b="8890"/>
                <wp:wrapNone/>
                <wp:docPr id="36" name="直接箭头连接符 36"/>
                <wp:cNvGraphicFramePr/>
                <a:graphic xmlns:a="http://schemas.openxmlformats.org/drawingml/2006/main">
                  <a:graphicData uri="http://schemas.microsoft.com/office/word/2010/wordprocessingShape">
                    <wps:wsp>
                      <wps:cNvCnPr/>
                      <wps:spPr>
                        <a:xfrm>
                          <a:off x="0" y="0"/>
                          <a:ext cx="5080" cy="16256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26.4pt;margin-top:404.9pt;height:12.8pt;width:0.4pt;z-index:251740160;mso-width-relative:page;mso-height-relative:page;" filled="f" stroked="t" coordsize="21600,21600" o:gfxdata="UEsDBAoAAAAAAIdO4kAAAAAAAAAAAAAAAAAEAAAAZHJzL1BLAwQUAAAACACHTuJAxiLWHNwAAAAL&#10;AQAADwAAAGRycy9kb3ducmV2LnhtbE2PzU7DMBCE70i8g7VIXFBrt4mrNsSpUCV6QUIioJ7d2CQR&#10;8Tqynf7w9CwnuO3Ojma+LbcXN7CTDbH3qGAxF8AsNt702Cr4eH+erYHFpNHowaNVcLURttXtTakL&#10;48/4Zk91ahmFYCy0gi6lseA8Np11Os79aJFunz44nWgNLTdBnyncDXwpxIo73SM1dHq0u842X/Xk&#10;FDy1Wbh+Hxonp/3udRP29Yt8qJW6v1uIR2DJXtKfGX7xCR0qYjr6CU1kg4JcLgk9KViLDQ3kyGW2&#10;AnYkJZM58Krk/3+ofgBQSwMEFAAAAAgAh07iQOsReXAPAgAA9wMAAA4AAABkcnMvZTJvRG9jLnht&#10;bK1TS44TMRDdI3EHy3vSSUaJRlE6s0gYNggiAQeo2O5uS/7J5cnnElwAiRWwAlaz5zQwHIOyOyQw&#10;bGZBL7rL5a736j2X51d7a9hWRdTe1Xw0GHKmnPBSu7bmb15fP7nkDBM4CcY7VfODQn61ePxovgsz&#10;NfadN1JFRiAOZ7tQ8y6lMKsqFJ2ygAMflKPNxkcLiZaxrWSEHaFbU42Hw2m181GG6IVCpOyq3+RH&#10;xPgQQN80WqiVFzdWudSjRmUgkSTsdEC+KN02jRLpZdOgSszUnJSm8iYSijf5XS3mMGsjhE6LYwvw&#10;kBbuabKgHZGeoFaQgN1E/Q+U1SJ69E0aCG+rXkhxhFSMhve8edVBUEULWY3hZDr+P1jxYruOTMua&#10;X0w5c2DpxO/e3f54+/Hu65fvH25/fnuf48+fGO2TWbuAM6pZunU8rjCsY1a+b6LNX9LE9sXgw8lg&#10;tU9MUHIyvCTjBW2MpuPJtNhfnUtDxPRMectyUHNMEXTbpaV3jg7Sx1GxGLbPMRE5Ff4uyLzOX2tj&#10;ynkax3Y1n15MMhnQjDY0GxTaQDrRtZyBaWn4RYoFEb3RMldnHIztZmki20IemfJk4cT212+ZegXY&#10;9f9JivpZ6hTIp06ydAhkpaMr1OcTaHPOp6jBtUbx3KhVkjOjqKEc9VzGEWU2u7c3RxsvD8X1kqd5&#10;KE0dZzcP3J/rUn2+r4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iLWHNwAAAALAQAADwAAAAAA&#10;AAABACAAAAAiAAAAZHJzL2Rvd25yZXYueG1sUEsBAhQAFAAAAAgAh07iQOsReXAPAgAA9wMAAA4A&#10;AAAAAAAAAQAgAAAAKwEAAGRycy9lMm9Eb2MueG1sUEsFBgAAAAAGAAYAWQEAAKw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39136" behindDoc="0" locked="0" layoutInCell="1" allowOverlap="1" wp14:anchorId="1E01D181" wp14:editId="46CEF185">
                <wp:simplePos x="0" y="0"/>
                <wp:positionH relativeFrom="column">
                  <wp:posOffset>2208530</wp:posOffset>
                </wp:positionH>
                <wp:positionV relativeFrom="paragraph">
                  <wp:posOffset>5149850</wp:posOffset>
                </wp:positionV>
                <wp:extent cx="5080" cy="162560"/>
                <wp:effectExtent l="35560" t="0" r="35560" b="8890"/>
                <wp:wrapNone/>
                <wp:docPr id="7" name="直接箭头连接符 7"/>
                <wp:cNvGraphicFramePr/>
                <a:graphic xmlns:a="http://schemas.openxmlformats.org/drawingml/2006/main">
                  <a:graphicData uri="http://schemas.microsoft.com/office/word/2010/wordprocessingShape">
                    <wps:wsp>
                      <wps:cNvCnPr/>
                      <wps:spPr>
                        <a:xfrm>
                          <a:off x="0" y="0"/>
                          <a:ext cx="5080" cy="16256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73.9pt;margin-top:405.5pt;height:12.8pt;width:0.4pt;z-index:251739136;mso-width-relative:page;mso-height-relative:page;" filled="f" stroked="t" coordsize="21600,21600" o:gfxdata="UEsDBAoAAAAAAIdO4kAAAAAAAAAAAAAAAAAEAAAAZHJzL1BLAwQUAAAACACHTuJA2u+xzdsAAAAL&#10;AQAADwAAAGRycy9kb3ducmV2LnhtbE2PzU7DMBCE70i8g7VIXBB1QtoQQpwKVaIXpEoExNmNlyQi&#10;Xke20x+enuUEx9kZzX5TrU92FAf0YXCkIF0kIJBaZwbqFLy/Pd8WIELUZPToCBWcMcC6vryodGnc&#10;kV7x0MROcAmFUivoY5xKKUPbo9Vh4SYk9j6dtzqy9J00Xh+53I7yLklyafVA/KHXE256bL+a2Sp4&#10;6jJ//v5o7WrebnYPftu8rG4apa6v0uQRRMRT/AvDLz6jQ81MezeTCWJUkC3vGT0qKNKUR3EiWxY5&#10;iD1fsjwHWVfy/4b6B1BLAwQUAAAACACHTuJAHpW50Q8CAAD1AwAADgAAAGRycy9lMm9Eb2MueG1s&#10;rVNLjhMxEN0jcQfLe9JJUDKjKJ1ZJAwbBCMBB6jY7m5L/qnsyecSXACJFbACVrOf08BwDMrukMCw&#10;mQW96C6Xu96r91yeX+ysYRuFUXtX89FgyJlywkvt2pq/fXP55JyzmMBJMN6pmu9V5BeLx4/m2zBT&#10;Y995IxUyAnFxtg0171IKs6qKolMW4sAH5Wiz8Wgh0RLbSiJsCd2aajwcTqutRxnQCxUjZVf9Jj8g&#10;4kMAfdNooVZeXFvlUo+KykAiSbHTIfJF6bZplEivmiaqxEzNSWkqbyKheJ3f1WIOsxYhdFocWoCH&#10;tHBPkwXtiPQItYIE7Br1P1BWC/TRN2kgvK16IcURUjEa3vPmdQdBFS1kdQxH0+P/gxUvN1fItKz5&#10;GWcOLB343fubH+8+3X37+v3jzc/bDzn+8pmdZau2Ic6oYumu8LCK4Qqz7l2DNn9JEdsVe/dHe9Uu&#10;MUHJyfCcbBe0MZqOJ9NifnUqDRjTc+Uty0HNY0LQbZeW3jk6Ro+jYjBsXsRE5FT4uyDzOn+pjSmn&#10;aRzb1nz6dJLJgCa0ocmg0AZSGV3LGZiWRl8kLIjRGy1zdcaJ2K6XBtkG8sCUJwsntr9+y9QriF3/&#10;n6Son6ROgXzmJEv7QE46ukB9PoE2p3xCDa41iudGrZKcGUUN5ajnMo4os9m9vTlae7kvrpc8TUNp&#10;6jC5edz+XJfq021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77HN2wAAAAsBAAAPAAAAAAAA&#10;AAEAIAAAACIAAABkcnMvZG93bnJldi54bWxQSwECFAAUAAAACACHTuJAHpW50Q8CAAD1AwAADgAA&#10;AAAAAAABACAAAAAqAQAAZHJzL2Uyb0RvYy54bWxQSwUGAAAAAAYABgBZAQAAqwU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38112" behindDoc="0" locked="0" layoutInCell="1" allowOverlap="1" wp14:anchorId="0C1442E0" wp14:editId="005650C3">
                <wp:simplePos x="0" y="0"/>
                <wp:positionH relativeFrom="column">
                  <wp:posOffset>2414270</wp:posOffset>
                </wp:positionH>
                <wp:positionV relativeFrom="paragraph">
                  <wp:posOffset>4997450</wp:posOffset>
                </wp:positionV>
                <wp:extent cx="290830" cy="5080"/>
                <wp:effectExtent l="0" t="34290" r="13970" b="36830"/>
                <wp:wrapNone/>
                <wp:docPr id="2" name="直接箭头连接符 2"/>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90.1pt;margin-top:393.5pt;height:0.4pt;width:22.9pt;z-index:251738112;mso-width-relative:page;mso-height-relative:page;" filled="f" stroked="t" coordsize="21600,21600" o:gfxdata="UEsDBAoAAAAAAIdO4kAAAAAAAAAAAAAAAAAEAAAAZHJzL1BLAwQUAAAACACHTuJAy0hrO9oAAAAL&#10;AQAADwAAAGRycy9kb3ducmV2LnhtbE2PzU7DMBCE70i8g7VIXBC1G1Cbhjg9IIGExIUUpB7deEki&#10;7HUUO/3h6Vm4lNvuzmj2m3J99E7scYx9IA3zmQKB1ATbU6vhffN0m4OIyZA1LhBqOGGEdXV5UZrC&#10;hgO94b5OreAQioXR0KU0FFLGpkNv4iwMSKx9htGbxOvYSjuaA4d7JzOlFtKbnvhDZwZ87LD5qiev&#10;ISna1P20fUnPp9W3es2cMjcfWl9fzdUDiITHdDbDLz6jQ8VMuzCRjcJpuMtVxlYNy3zJpdhxny14&#10;2P1dcpBVKf93qH4AUEsDBBQAAAAIAIdO4kBQNaHHDwIAAPYDAAAOAAAAZHJzL2Uyb0RvYy54bWyt&#10;U82O0zAQviPxDpbvNGlXuypV0z20LBcElYAHmDpOYsl/8nib9iV4ASROwAk47X2fBpbHYOyUFpbL&#10;HsghGY8z3zff5/H8cmc028qAytmKj0clZ9IKVyvbVvztm6snU84wgq1BOysrvpfILxePH817P5MT&#10;1zldy8AIxOKs9xXvYvSzokDRSQM4cl5a2mxcMBBpGdqiDtATutHFpCwvit6F2gcnJCJlV8MmPyCG&#10;hwC6plFCrpy4NtLGATVIDZEkYac88kXutmmkiK+aBmVkuuKkNOY3kVC8Se9iMYdZG8B3ShxagIe0&#10;cE+TAWWJ9Ai1ggjsOqh/oIwSwaFr4kg4UwxCsiOkYlze8+Z1B15mLWQ1+qPp+P9gxcvtOjBVV3zC&#10;mQVDB373/ubHu093375+/3jz8/ZDir98ZpNkVe9xRhVLuw6HFfp1SLp3TTDpS4rYLtu7P9ord5EJ&#10;Sk6eltMzMl7Q1nk5zeYXp1IfMD6XzrAUVBxjANV2cemspWN0YZwNhu0LjEROhb8LEq91V0rrfJra&#10;sr7iF2fniQpoQhuaDAqNJ5VoW85AtzT6IoaMiE6rOlUnHAztZqkD20IamPwk4cT212+JegXYDf/l&#10;rWGUOgn1M1uzuPdkpaUbNOQjKH3Kx6DAtlry1KmRNWdaUkcpGsi0Jc7k9uBvijau3mfbc57GIXd1&#10;GN00b3+uc/Xpui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tIazvaAAAACwEAAA8AAAAAAAAA&#10;AQAgAAAAIgAAAGRycy9kb3ducmV2LnhtbFBLAQIUABQAAAAIAIdO4kBQNaHHDwIAAPYDAAAOAAAA&#10;AAAAAAEAIAAAACkBAABkcnMvZTJvRG9jLnhtbFBLBQYAAAAABgAGAFkBAACq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32992" behindDoc="0" locked="0" layoutInCell="1" allowOverlap="1" wp14:anchorId="0A6503F6" wp14:editId="6055B3E8">
                <wp:simplePos x="0" y="0"/>
                <wp:positionH relativeFrom="column">
                  <wp:posOffset>3779520</wp:posOffset>
                </wp:positionH>
                <wp:positionV relativeFrom="paragraph">
                  <wp:posOffset>6765290</wp:posOffset>
                </wp:positionV>
                <wp:extent cx="278765" cy="8890"/>
                <wp:effectExtent l="0" t="35560" r="6985" b="31750"/>
                <wp:wrapNone/>
                <wp:docPr id="300" name="直接箭头连接符 300"/>
                <wp:cNvGraphicFramePr/>
                <a:graphic xmlns:a="http://schemas.openxmlformats.org/drawingml/2006/main">
                  <a:graphicData uri="http://schemas.microsoft.com/office/word/2010/wordprocessingShape">
                    <wps:wsp>
                      <wps:cNvCnPr/>
                      <wps:spPr>
                        <a:xfrm flipV="1">
                          <a:off x="0" y="0"/>
                          <a:ext cx="278765" cy="889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y;margin-left:297.6pt;margin-top:532.7pt;height:0.7pt;width:21.95pt;z-index:251732992;mso-width-relative:page;mso-height-relative:page;" filled="f" stroked="t" coordsize="21600,21600" o:gfxdata="UEsDBAoAAAAAAIdO4kAAAAAAAAAAAAAAAAAEAAAAZHJzL1BLAwQUAAAACACHTuJAptQxEtoAAAAN&#10;AQAADwAAAGRycy9kb3ducmV2LnhtbE2P3U6EMBBG7018h2ZMvHNbUMguUvbCSGI0QV19gC7MAkKn&#10;hHb/3t7RG72c+U6+OZOvT3YUB5x970hDtFAgkGrX9NRq+Pwob5YgfDDUmNERajijh3VxeZGbrHFH&#10;esfDJrSCS8hnRkMXwpRJ6esOrfELNyFxtnOzNYHHuZXNbI5cbkcZK5VKa3riC52Z8KHDetjsrYav&#10;6vkpmc7lUL6+hKrahQHjt0etr68idQ8i4Cn8wfCjz+pQsNPW7anxYtSQrJKYUQ5UmtyBYCS9XUUg&#10;tr+rdAmyyOX/L4pvUEsDBBQAAAAIAIdO4kD6B+pbGQIAAAMEAAAOAAAAZHJzL2Uyb0RvYy54bWyt&#10;U0uOEzEQ3SNxB8t70pmMJhOidGaRMGwQROKzr9jubkv+yeXJ5xJcAIkVsAJWs+c0MByDsjtkYNjM&#10;gl60ymXXq/eey7OLnTVsoyJq72p+MhhyppzwUru25q9fXT6acIYJnATjnar5XiG/mD98MNuGqRr5&#10;zhupIiMQh9NtqHmXUphWFYpOWcCBD8rRZuOjhUTL2FYywpbQralGw+G42vooQ/RCIVJ22W/yA2K8&#10;D6BvGi3U0osrq1zqUaMykEgSdjognxe2TaNEetE0qBIzNSelqfypCcXr/K/mM5i2EUKnxYEC3IfC&#10;HU0WtKOmR6glJGBXUf8DZbWIHn2TBsLbqhdSHCEVJ8M73rzsIKiihazGcDQd/x+seL5ZRaZlzU+H&#10;5IkDS1d+8+76x9uPN1+/fP9w/fPb+xx//sTyAbJrG3BKVQu3iocVhlXM2ndNtKwxOryhuSpukD62&#10;K2bvj2arXWKCkqPzyfn4jDNBW5PJ44Jd9SAZLERMT5W3LAc1xxRBt11aeOfoUn3sG8DmGSaiQYW/&#10;C3Kx85famHK3xrFtzcenZ6ROAM1rQ3NCoQ2kGV3LGZiWHoJIsVBGb7TM1RkHY7temMg2kMenfNkC&#10;6vbXsdx6Cdj15yRF/Vx1CuQTJ1naB3LV0XPq8wm0uc2nqMG1RvFM1CrJmVFEKEd9L+OoZba9NzpH&#10;ay/3xf+Sp9kopA5znIfvz3Wpvn278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1DES2gAAAA0B&#10;AAAPAAAAAAAAAAEAIAAAACIAAABkcnMvZG93bnJldi54bWxQSwECFAAUAAAACACHTuJA+gfqWxkC&#10;AAADBAAADgAAAAAAAAABACAAAAApAQAAZHJzL2Uyb0RvYy54bWxQSwUGAAAAAAYABgBZAQAAtAUA&#10;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31968" behindDoc="0" locked="0" layoutInCell="1" allowOverlap="1" wp14:anchorId="52E3B4B2" wp14:editId="0497F107">
                <wp:simplePos x="0" y="0"/>
                <wp:positionH relativeFrom="column">
                  <wp:posOffset>2755265</wp:posOffset>
                </wp:positionH>
                <wp:positionV relativeFrom="paragraph">
                  <wp:posOffset>6513195</wp:posOffset>
                </wp:positionV>
                <wp:extent cx="306705" cy="234315"/>
                <wp:effectExtent l="3175" t="3810" r="13970" b="9525"/>
                <wp:wrapNone/>
                <wp:docPr id="298" name="直接箭头连接符 298"/>
                <wp:cNvGraphicFramePr/>
                <a:graphic xmlns:a="http://schemas.openxmlformats.org/drawingml/2006/main">
                  <a:graphicData uri="http://schemas.microsoft.com/office/word/2010/wordprocessingShape">
                    <wps:wsp>
                      <wps:cNvCnPr/>
                      <wps:spPr>
                        <a:xfrm>
                          <a:off x="0" y="0"/>
                          <a:ext cx="306705" cy="23431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16.95pt;margin-top:512.85pt;height:18.45pt;width:24.15pt;z-index:251731968;mso-width-relative:page;mso-height-relative:page;" filled="f" stroked="t" coordsize="21600,21600" o:gfxdata="UEsDBAoAAAAAAIdO4kAAAAAAAAAAAAAAAAAEAAAAZHJzL1BLAwQUAAAACACHTuJAvYiqmdsAAAAN&#10;AQAADwAAAGRycy9kb3ducmV2LnhtbE2PTU/DMAyG70j8h8hIXBBLlo2ylaY7IIGExIUOJI5eE9qK&#10;xqmadB/8erwTHO330evHxeboe7F3Y+wCGZjPFAhHdbAdNQbet0+3KxAxIVnsAzkDJxdhU15eFJjb&#10;cKA3t69SI7iEYo4G2pSGXMpYt85jnIXBEWdfYfSYeBwbaUc8cLnvpVYqkx474gstDu6xdfV3NXkD&#10;SdG26qbPl/R8Wv+oV90rvPkw5vpqrh5AJHdMfzCc9VkdSnbahYlsFL2B5WKxZpQDpe/uQTCyXGkN&#10;YndeZToDWRby/xflL1BLAwQUAAAACACHTuJAb5d5AhMCAAD8AwAADgAAAGRycy9lMm9Eb2MueG1s&#10;rVPNjtMwEL4j8Q6W7zRpSwtETffQslwQVAIeYGo7iSX/yfY27UvwAkicgBNw2jtPA8tjMHZKC8tl&#10;D+TgjGc8n+f7Zry42GtFdsIHaU1Nx6OSEmGY5dK0NX3z+vLBY0pCBMNBWSNqehCBXizv31v0rhIT&#10;21nFhScIYkLVu5p2MbqqKALrhIYwsk4YDDbWa4i49W3BPfSIrlUxKct50VvPnbdMhIDe9RCkR0R/&#10;F0DbNJKJtWVXWpg4oHqhICKl0EkX6DJX2zSCxZdNE0QkqqbINOYVL0F7m9ZiuYCq9eA6yY4lwF1K&#10;uMVJgzR46QlqDRHIlZf/QGnJvA22iSNmdTEQyYogi3F5S5tXHTiRuaDUwZ1ED/8Plr3YbTyRvKaT&#10;J9h4AxpbfvPu+sfbjzdfv3z/cP3z2/tkf/5E0gGUq3ehwqyV2fjjLriNT9z3jdfpj6zIPkt8OEks&#10;9pEwdE7L+aNyRgnD0GT6cDqeJczinOx8iM+E1SQZNQ3Rg2y7uLLGYDOtH2eZYfc8xCHxd0K62dhL&#10;qRT6oVKG9DWdT2fYaQY4pw3OB5raIddgWkpAtfgAWPQZMVglecpOycG325XyZAdpbPJ3LPOvY+nq&#10;NYRuOJdD6RhUnQD+1HASDw7lNPiOBn8Eqc7+6CWYVgmaKtWCU6IEVpSsgZoyKE3Se1A4WVvLD1n4&#10;7MehyOIdBzhN3Z/7nH1+tM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YiqmdsAAAANAQAADwAA&#10;AAAAAAABACAAAAAiAAAAZHJzL2Rvd25yZXYueG1sUEsBAhQAFAAAAAgAh07iQG+XeQITAgAA/AMA&#10;AA4AAAAAAAAAAQAgAAAAKgEAAGRycy9lMm9Eb2MueG1sUEsFBgAAAAAGAAYAWQEAAK8FA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30944" behindDoc="0" locked="0" layoutInCell="1" allowOverlap="1" wp14:anchorId="54063D48" wp14:editId="0E69E5A6">
                <wp:simplePos x="0" y="0"/>
                <wp:positionH relativeFrom="column">
                  <wp:posOffset>4385310</wp:posOffset>
                </wp:positionH>
                <wp:positionV relativeFrom="paragraph">
                  <wp:posOffset>5587365</wp:posOffset>
                </wp:positionV>
                <wp:extent cx="1905" cy="276225"/>
                <wp:effectExtent l="36830" t="0" r="37465" b="9525"/>
                <wp:wrapNone/>
                <wp:docPr id="296" name="直接箭头连接符 296"/>
                <wp:cNvGraphicFramePr/>
                <a:graphic xmlns:a="http://schemas.openxmlformats.org/drawingml/2006/main">
                  <a:graphicData uri="http://schemas.microsoft.com/office/word/2010/wordprocessingShape">
                    <wps:wsp>
                      <wps:cNvCnPr/>
                      <wps:spPr>
                        <a:xfrm>
                          <a:off x="0" y="0"/>
                          <a:ext cx="1905" cy="276225"/>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345.3pt;margin-top:439.95pt;height:21.75pt;width:0.15pt;z-index:251730944;mso-width-relative:page;mso-height-relative:page;" filled="f" stroked="t" coordsize="21600,21600" o:gfxdata="UEsDBAoAAAAAAIdO4kAAAAAAAAAAAAAAAAAEAAAAZHJzL1BLAwQUAAAACACHTuJAVVrNntoAAAAL&#10;AQAADwAAAGRycy9kb3ducmV2LnhtbE2Py07DMBBF90j8gzVIbBB12tJQh0wqVIlukJAIiLUbmyQi&#10;Hke20wdfz7CC3TyO7pwpNyc3iIMNsfeEMJ9lICw13vTUIry/Pd2uQcSkyejBk0U42wib6vKi1IXx&#10;R3q1hzq1gkMoFhqhS2kspIxNZ52OMz9a4t2nD04nbkMrTdBHDneDXGRZLp3uiS90erTbzjZf9eQQ&#10;HttlOH9/NG417bYvKuzq59VNjXh9Nc8eQCR7Sn8w/OqzOlTstPcTmSgGhFxlOaMI63ulQDDBEy72&#10;CGqxvANZlfL/D9UPUEsDBBQAAAAIAIdO4kA+g0uGEwIAAPkDAAAOAAAAZHJzL2Uyb0RvYy54bWyt&#10;U82O0zAQviPxDpbvNG1QCxs13UPLckFQCXiAqe0klvwn29u0L8ELIHECTrCnvfM07O5jMHZKC8tl&#10;D+TgjMcz38z3eTw/32lFtsIHaU1NJ6MxJcIwy6Vpa/r+3cWT55SECIaDskbUdC8CPV88fjTvXSVK&#10;21nFhScIYkLVu5p2MbqqKALrhIYwsk4YPGys1xBx69uCe+gRXauiHI9nRW89d94yEQJ6V8MhPSD6&#10;hwDappFMrCy71MLEAdULBREphU66QBe526YRLL5pmiAiUTVFpjGvWATtTVqLxRyq1oPrJDu0AA9p&#10;4R4nDdJg0SPUCiKQSy//gdKSeRtsE0fM6mIgkhVBFpPxPW3eduBE5oJSB3cUPfw/WPZ6u/ZE8pqW&#10;ZzNKDGi88tuP1zcfvtxeff/5+frux6dkf/tKUgDK1btQYdbSrP1hF9zaJ+67xuv0R1ZklyXeHyUW&#10;u0gYOidn4yklDA/KZ7OynCbE4pTqfIgvhdUkGTUN0YNsu7i0xuBVWj/JIsP2VYhD4u+EVNfYC6kU&#10;+qFShvQ1nT2d4j0zwCltcDrQ1A6ZBtNSAqrF8WfRZ8RgleQpOyUH326WypMtpKHJ36HNv8JS6RWE&#10;bojjaKUoqDoB/IXhJO4damnwEQ3+CFKd/NFLMK0SNDWqBadECWwoWQMzZVCZJPYgb7I2lu+z6tmP&#10;E5G1O0xvGrk/9zn79GI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Ws2e2gAAAAsBAAAPAAAA&#10;AAAAAAEAIAAAACIAAABkcnMvZG93bnJldi54bWxQSwECFAAUAAAACACHTuJAPoNLhhMCAAD5AwAA&#10;DgAAAAAAAAABACAAAAApAQAAZHJzL2Uyb0RvYy54bWxQSwUGAAAAAAYABgBZAQAArgU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29920" behindDoc="0" locked="0" layoutInCell="1" allowOverlap="1" wp14:anchorId="0F9BD9C3" wp14:editId="68FDDA1D">
                <wp:simplePos x="0" y="0"/>
                <wp:positionH relativeFrom="column">
                  <wp:posOffset>3785870</wp:posOffset>
                </wp:positionH>
                <wp:positionV relativeFrom="paragraph">
                  <wp:posOffset>5440045</wp:posOffset>
                </wp:positionV>
                <wp:extent cx="290830" cy="5080"/>
                <wp:effectExtent l="0" t="34290" r="13970" b="36830"/>
                <wp:wrapNone/>
                <wp:docPr id="294" name="直接箭头连接符 294"/>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98.1pt;margin-top:428.35pt;height:0.4pt;width:22.9pt;z-index:251729920;mso-width-relative:page;mso-height-relative:page;" filled="f" stroked="t" coordsize="21600,21600" o:gfxdata="UEsDBAoAAAAAAIdO4kAAAAAAAAAAAAAAAAAEAAAAZHJzL1BLAwQUAAAACACHTuJA3Rr/MNsAAAAL&#10;AQAADwAAAGRycy9kb3ducmV2LnhtbE2PTU/DMAyG70j8h8hIXBBLVtFuK013QAIJiQsdSDtmjddW&#10;NE7VpPvg1+OdxtH2o9fPW6xPrhcHHEPnScN8pkAg1d521Gj42rw+LkGEaMia3hNqOGOAdXl7U5jc&#10;+iN94qGKjeAQCrnR0MY45FKGukVnwswPSHzb+9GZyOPYSDuaI4e7XiZKZdKZjvhDawZ8abH+qSan&#10;ISraVN20fY9v59Wv+kh6ZR6+tb6/m6tnEBFP8QrDRZ/VoWSnnZ/IBtFrSFdZwqiGZZotQDCRPSXc&#10;bnfZLFKQZSH/dyj/AFBLAwQUAAAACACHTuJALLSWMRICAAD6AwAADgAAAGRycy9lMm9Eb2MueG1s&#10;rVPNjtMwEL4j8Q6W7zRpl13tVk330LJcEFQCHmDqOIkl/8njbdqX4AWQOAEn2NPeeRpYHoOxU1pY&#10;Lnsgh2Q89nzffJ8ns8ut0WwjAypnKz4elZxJK1ytbFvxt2+unpxzhhFsDdpZWfGdRH45f/xo1vup&#10;nLjO6VoGRiAWp72veBejnxYFik4awJHz0tJm44KBSMvQFnWAntCNLiZleVb0LtQ+OCERKbscNvke&#10;MTwE0DWNEnLpxLWRNg6oQWqIJAk75ZHPc7dNI0V81TQoI9MVJ6Uxv4mE4nV6F/MZTNsAvlNi3wI8&#10;pIV7mgwoS6QHqCVEYNdB/QNllAgOXRNHwpliEJIdIRXj8p43rzvwMmshq9EfTMf/ByteblaBqbri&#10;k4unnFkwdOV3729/vPt0d/P1+8fbn98+pPjLZ5YOkF29xylVLewq7FfoVyFp3zbBpC+pYtts8e5g&#10;sdxGJig5uSjPT8h8QVun5Xm+gOJY6gPG59IZloKKYwyg2i4unLV0lS6Ms8mweYGRyKnwd0Hite5K&#10;aZ1vVFvWV/zs5DRRAU1pQ9NBofGkFG3LGeiWxl/EkBHRaVWn6oSDoV0vdGAbSEOTnySc2P46lqiX&#10;gN1wLm8N49RJqJ/ZmsWdJzMt/UVDPoLSx3wMCmyrJU+dGllzpiV1lKKBTFviTG4P/qZo7epdtj3n&#10;aSRyV/vxTTP35zpXH3/Z+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Gv8w2wAAAAsBAAAPAAAA&#10;AAAAAAEAIAAAACIAAABkcnMvZG93bnJldi54bWxQSwECFAAUAAAACACHTuJALLSWMRICAAD6AwAA&#10;DgAAAAAAAAABACAAAAAqAQAAZHJzL2Uyb0RvYy54bWxQSwUGAAAAAAYABgBZAQAArg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98176" behindDoc="0" locked="0" layoutInCell="1" allowOverlap="1" wp14:anchorId="6DA5874A" wp14:editId="02440C49">
                <wp:simplePos x="0" y="0"/>
                <wp:positionH relativeFrom="column">
                  <wp:posOffset>1374775</wp:posOffset>
                </wp:positionH>
                <wp:positionV relativeFrom="paragraph">
                  <wp:posOffset>7052310</wp:posOffset>
                </wp:positionV>
                <wp:extent cx="485775" cy="0"/>
                <wp:effectExtent l="0" t="38100" r="9525" b="38100"/>
                <wp:wrapNone/>
                <wp:docPr id="256" name="直接箭头连接符 256"/>
                <wp:cNvGraphicFramePr/>
                <a:graphic xmlns:a="http://schemas.openxmlformats.org/drawingml/2006/main">
                  <a:graphicData uri="http://schemas.microsoft.com/office/word/2010/wordprocessingShape">
                    <wps:wsp>
                      <wps:cNvCnPr/>
                      <wps:spPr>
                        <a:xfrm>
                          <a:off x="0" y="0"/>
                          <a:ext cx="485775" cy="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08.25pt;margin-top:555.3pt;height:0pt;width:38.25pt;z-index:251698176;mso-width-relative:page;mso-height-relative:page;" filled="f" stroked="t" coordsize="21600,21600" o:gfxdata="UEsDBAoAAAAAAIdO4kAAAAAAAAAAAAAAAAAEAAAAZHJzL1BLAwQUAAAACACHTuJAtXWwrtkAAAAN&#10;AQAADwAAAGRycy9kb3ducmV2LnhtbE2PT0vEMBDF74LfIYzgRXaTdGnZrU0XWXAvgmAVz9lmbItN&#10;UpJ0//jpHQ+ix3nvx5v3qu3ZjuyIIQ7eKZBLAQxd683gOgVvr4+LNbCYtDN69A4VXDDCtr6+qnRp&#10;/Mm94LFJHaMQF0utoE9pKjmPbY9Wx6Wf0JH34YPVic7QcRP0icLtyDMhCm714OhDryfc9dh+NrNV&#10;8NCtwuXrvbX5vN89b8K+ecrvGqVub6S4B5bwnP5g+KlP1aGmTgc/OxPZqCCTRU4oGVKKAhgh2WZF&#10;8w6/Eq8r/n9F/Q1QSwMEFAAAAAgAh07iQKWfGaUPAgAA9gMAAA4AAABkcnMvZTJvRG9jLnhtbK1T&#10;vY4TMRDukXgHyz3ZJJDcKcrmioSjQRAJeICJ17tryX/y+LLJS/ACSFRABVddz9PA8RiMvbkEjuYK&#10;tvCOx55v5vtmPL/YGc22MqBytuSjwZAzaYWrlG1K/u7t5ZNzzjCCrUA7K0u+l8gvFo8fzTs/k2PX&#10;Ol3JwAjE4qzzJW9j9LOiQNFKAzhwXlo6rF0wEGkbmqIK0BG60cV4OJwWnQuVD05IRPKu+kN+QAwP&#10;AXR1rYRcOXFlpI09apAaIlHCVnnki1xtXUsRX9c1ysh0yYlpzCslIXuT1mIxh1kTwLdKHEqAh5Rw&#10;j5MBZSnpEWoFEdhVUP9AGSWCQ1fHgXCm6IlkRYjFaHhPmzcteJm5kNToj6Lj/4MVr7brwFRV8vFk&#10;ypkFQy2//XDz8/3n2+tvPz7d/Pr+Mdlfv7B0geTqPM4oamnX4bBDvw6J+64OJv2JFdtlifdHieUu&#10;MkHOZ+eTs7MJZ+LuqDjF+YDxhXSGJaPkGAOopo1LZy310YVRVhi2LzFSZgq8C0hJrbtUWud2asu6&#10;kk+fTqjJAmhEaxoNMo0nmmgbzkA3NPsihoyITqsqRSccDM1mqQPbQpqY/CXWlO2vayn1CrDt71Vk&#10;9aPUSqie24rFvSchLb2g3h9B6ZM/BgW20ZKnQo2sONOSCkpWn0tbSpmU7rVN1sZV+yx59tM45KIO&#10;o5vm7c99jj4918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XWwrtkAAAANAQAADwAAAAAAAAAB&#10;ACAAAAAiAAAAZHJzL2Rvd25yZXYueG1sUEsBAhQAFAAAAAgAh07iQKWfGaUPAgAA9gMAAA4AAAAA&#10;AAAAAQAgAAAAKAEAAGRycy9lMm9Eb2MueG1sUEsFBgAAAAAGAAYAWQEAAKk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00224" behindDoc="0" locked="0" layoutInCell="1" allowOverlap="1" wp14:anchorId="0797FD4D" wp14:editId="6CDD2FF7">
                <wp:simplePos x="0" y="0"/>
                <wp:positionH relativeFrom="column">
                  <wp:posOffset>2367915</wp:posOffset>
                </wp:positionH>
                <wp:positionV relativeFrom="paragraph">
                  <wp:posOffset>6435090</wp:posOffset>
                </wp:positionV>
                <wp:extent cx="306705" cy="3810"/>
                <wp:effectExtent l="0" t="34925" r="17145" b="37465"/>
                <wp:wrapNone/>
                <wp:docPr id="239" name="直接箭头连接符 239"/>
                <wp:cNvGraphicFramePr/>
                <a:graphic xmlns:a="http://schemas.openxmlformats.org/drawingml/2006/main">
                  <a:graphicData uri="http://schemas.microsoft.com/office/word/2010/wordprocessingShape">
                    <wps:wsp>
                      <wps:cNvCnPr/>
                      <wps:spPr>
                        <a:xfrm>
                          <a:off x="0" y="0"/>
                          <a:ext cx="306705" cy="381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86.45pt;margin-top:506.7pt;height:0.3pt;width:24.15pt;z-index:251700224;mso-width-relative:page;mso-height-relative:page;" filled="f" stroked="t" coordsize="21600,21600" o:gfxdata="UEsDBAoAAAAAAIdO4kAAAAAAAAAAAAAAAAAEAAAAZHJzL1BLAwQUAAAACACHTuJAFVJj9tsAAAAN&#10;AQAADwAAAGRycy9kb3ducmV2LnhtbE2PTUvEMBCG74L/IYzgRdykH6tubbrIgnsRBKt4zrZjW2wm&#10;JUn3w1/v6EWPM+/DO8+U66MdxR59GBxpSBYKBFLj2oE6DW+vj9d3IEI01JrREWo4YYB1dX5WmqJ1&#10;B3rBfR07wSUUCqOhj3EqpAxNj9aEhZuQOPtw3prIo+9k682By+0oU6VupDUD8YXeTLjpsfmsZ6vh&#10;ocv86eu9sct5u3le+W39tLyqtb68SNQ9iIjH+AfDjz6rQ8VOOzdTG8SoIbtNV4xyoJIsB8FIniYp&#10;iN3vKlcgq1L+/6L6BlBLAwQUAAAACACHTuJAO2EtoRMCAAD5AwAADgAAAGRycy9lMm9Eb2MueG1s&#10;rVPNjtMwEL4j8Q6W7zTpVluWqukeWpYLgkrAA0wdJ7HkP429TfsSvAASJ+AEnPbO08DyGIyd0sJy&#10;2QM5OOOx55v5vhnPL3dGs63EoJyt+HhUciatcLWybcXfvL56dMFZiGBr0M7Kiu9l4JeLhw/mvZ/J&#10;M9c5XUtkBGLDrPcV72L0s6IIopMGwsh5aemwcWgg0hbbokboCd3o4qwsp0XvsPbohAyBvKvhkB8Q&#10;8T6ArmmUkCsnro20cUBFqSESpdApH/giV9s0UsSXTRNkZLrixDTmlZKQvUlrsZjDrEXwnRKHEuA+&#10;JdzhZEBZSnqEWkEEdo3qHyijBLrgmjgSzhQDkawIsRiXd7R51YGXmQtJHfxR9PD/YMWL7RqZqit+&#10;NnnCmQVDLb99d/Pj7cfbr1++f7j5+e19sj9/YukCydX7MKOopV3jYRf8GhP3XYMm/YkV22WJ90eJ&#10;5S4yQc5JOX1cnnMm6GhyMc4NKE6hHkN8Jp1hyah4iAiq7eLSWUutdDjOIsP2eYiUnAJ/B6S81l0p&#10;rXNHtWV9xaeTc+qzAJrShqaDTOOJabAtZ6BbGn8RMSMGp1WdohNOwHaz1Mi2kIYmf4k4ZfvrWkq9&#10;gtAN92qyhmnqJNRPbc3i3pOWlh7R4I+g9MkfUYFtteSpUCNrzrSkgpI15NKWUiaxB3mTtXH1Pque&#10;/TQRuajD9KaR+3Ofo08vdv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VJj9tsAAAANAQAADwAA&#10;AAAAAAABACAAAAAiAAAAZHJzL2Rvd25yZXYueG1sUEsBAhQAFAAAAAgAh07iQDthLaETAgAA+QMA&#10;AA4AAAAAAAAAAQAgAAAAKgEAAGRycy9lMm9Eb2MueG1sUEsFBgAAAAAGAAYAWQEAAK8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02272" behindDoc="0" locked="0" layoutInCell="1" allowOverlap="1" wp14:anchorId="7C860204" wp14:editId="3C0848B7">
                <wp:simplePos x="0" y="0"/>
                <wp:positionH relativeFrom="column">
                  <wp:posOffset>2359025</wp:posOffset>
                </wp:positionH>
                <wp:positionV relativeFrom="paragraph">
                  <wp:posOffset>5761355</wp:posOffset>
                </wp:positionV>
                <wp:extent cx="324485" cy="1905"/>
                <wp:effectExtent l="0" t="36830" r="18415" b="37465"/>
                <wp:wrapNone/>
                <wp:docPr id="220" name="直接箭头连接符 220"/>
                <wp:cNvGraphicFramePr/>
                <a:graphic xmlns:a="http://schemas.openxmlformats.org/drawingml/2006/main">
                  <a:graphicData uri="http://schemas.microsoft.com/office/word/2010/wordprocessingShape">
                    <wps:wsp>
                      <wps:cNvCnPr/>
                      <wps:spPr>
                        <a:xfrm>
                          <a:off x="0" y="0"/>
                          <a:ext cx="324485" cy="1905"/>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85.75pt;margin-top:453.65pt;height:0.15pt;width:25.55pt;z-index:251702272;mso-width-relative:page;mso-height-relative:page;" filled="f" stroked="t" coordsize="21600,21600" o:gfxdata="UEsDBAoAAAAAAIdO4kAAAAAAAAAAAAAAAAAEAAAAZHJzL1BLAwQUAAAACACHTuJA7Rg/1NsAAAAL&#10;AQAADwAAAGRycy9kb3ducmV2LnhtbE2PTUvEMBCG74L/IYzgRdykre26tekiC+5FWLCK52wztsVm&#10;UpJ0P/z1Ri96nJmHd563Wp/MyA7o/GBJQrIQwJBaqwfqJLy9Pt3eA/NBkVajJZRwRg/r+vKiUqW2&#10;R3rBQxM6FkPIl0pCH8JUcu7bHo3yCzshxduHdUaFOLqOa6eOMdyMPBWi4EYNFD/0asJNj+1nMxsJ&#10;j13mzl/vrcnn7Wa3ctvmOb9ppLy+SsQDsICn8AfDj35Uhzo67e1M2rNRQrZM8ohKWIllBiwSd2la&#10;ANv/bgrgdcX/d6i/AVBLAwQUAAAACACHTuJAg2ngLRICAAD5AwAADgAAAGRycy9lMm9Eb2MueG1s&#10;rVPNbhMxEL4j8Q6W72STtKnKKpseEsoFQSXgASZe764l/8njZpOX4AWQOAEn6Kl3ngbKYzD2hgTK&#10;pQf24B2PZ76Z7/N4frE1mm1kQOVsxSejMWfSClcr21b87ZvLJ+ecYQRbg3ZWVnwnkV8sHj+a976U&#10;U9c5XcvACMRi2fuKdzH6sihQdNIAjpyXlg4bFwxE2oa2qAP0hG50MR2Pz4rehdoHJyQieVfDId8j&#10;hocAuqZRQq6cuDbSxgE1SA2RKGGnPPJF7rZppIivmgZlZLrixDTmlYqQvU5rsZhD2QbwnRL7FuAh&#10;LdzjZEBZKnqAWkEEdh3UP1BGieDQNXEknCkGIlkRYjEZ39PmdQdeZi4kNfqD6Pj/YMXLzVVgqq74&#10;dEqaWDB05Xfvb3+8+3R38/X7x9uf3z4k+8tnlgJIrt5jSVlLexX2O/RXIXHfNsGkP7Fi2yzx7iCx&#10;3EYmyHkyPT09n3Em6GjydDxLiMUx1QeMz6UzLBkVxxhAtV1cOmvpKl2YZJFh8wLjkPg7IdW17lJp&#10;TX4otWV9xc9OZsRJAE1pQ9NBpvHEFG3LGeiWxl/EkBHRaVWn7JSMoV0vdWAbSEOTv32bf4Wl0ivA&#10;boiryUpRUHYS6me2ZnHnSUtLj2jwR1D66I9BgW215KlRI2vOtKSGkjUw05aUSWIP8iZr7epdVj37&#10;aSKydvvpTSP35z5nH1/s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GD/U2wAAAAsBAAAPAAAA&#10;AAAAAAEAIAAAACIAAABkcnMvZG93bnJldi54bWxQSwECFAAUAAAACACHTuJAg2ngLRICAAD5AwAA&#10;DgAAAAAAAAABACAAAAAqAQAAZHJzL2Uyb0RvYy54bWxQSwUGAAAAAAYABgBZAQAArgU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695104" behindDoc="0" locked="0" layoutInCell="1" allowOverlap="1" wp14:anchorId="24DA78A9" wp14:editId="6C53BF9D">
                <wp:simplePos x="0" y="0"/>
                <wp:positionH relativeFrom="column">
                  <wp:posOffset>3947160</wp:posOffset>
                </wp:positionH>
                <wp:positionV relativeFrom="paragraph">
                  <wp:posOffset>4139565</wp:posOffset>
                </wp:positionV>
                <wp:extent cx="6985" cy="347345"/>
                <wp:effectExtent l="36830" t="0" r="32385" b="14605"/>
                <wp:wrapNone/>
                <wp:docPr id="121" name="直接箭头连接符 121"/>
                <wp:cNvGraphicFramePr/>
                <a:graphic xmlns:a="http://schemas.openxmlformats.org/drawingml/2006/main">
                  <a:graphicData uri="http://schemas.microsoft.com/office/word/2010/wordprocessingShape">
                    <wps:wsp>
                      <wps:cNvCnPr/>
                      <wps:spPr>
                        <a:xfrm flipH="1">
                          <a:off x="0" y="0"/>
                          <a:ext cx="6985" cy="34734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310.8pt;margin-top:325.95pt;height:27.35pt;width:0.55pt;z-index:251695104;mso-width-relative:page;mso-height-relative:page;" filled="f" stroked="t" coordsize="21600,21600" o:gfxdata="UEsDBAoAAAAAAIdO4kAAAAAAAAAAAAAAAAAEAAAAZHJzL1BLAwQUAAAACACHTuJAfCgTctcAAAAL&#10;AQAADwAAAGRycy9kb3ducmV2LnhtbE2Py07DMBBF90j8gzVI7KgdIxwa4lSAyKIrREFdu/GQRPgR&#10;YvfB3zOs6G5Gc3Tn3Hp18o4dcE5jDBqKhQCGoYt2DL2Gj/f25h5YyiZY42JADT+YYNVcXtSmsvEY&#10;3vCwyT2jkJAqo2HIeao4T92A3qRFnDDQ7TPO3mRa557b2Rwp3DsuhVDcmzHQh8FM+Dxg97XZew23&#10;EtXTN75uX4TnYu3L9nHtWq2vrwrxACzjKf/D8KdP6tCQ0y7ug03MaVCyUITScFcsgRGhpCyB7TSU&#10;QingTc3POzS/UEsDBBQAAAAIAIdO4kBGkgdxGQIAAAQEAAAOAAAAZHJzL2Uyb0RvYy54bWytU0uO&#10;EzEQ3SNxB8t70vlMhqGVziwSBhYIIgEHqLjd3Zb8k8uTzyW4ABIrYDWwmj2ngeEYlN0hA8NmFvSi&#10;Va5yvar3qjw73xnNNjKgcrbio8GQM2mFq5VtK/72zcWjM84wgq1BOysrvpfIz+cPH8y2vpRj1zld&#10;y8AIxGK59RXvYvRlUaDopAEcOC8tBRsXDEQ6hraoA2wJ3ehiPByeFlsXah+ckIjkXfZBfkAM9wF0&#10;TaOEXDpxaaSNPWqQGiJRwk555PPcbdNIEV81DcrIdMWJacx/KkL2Ov2L+QzKNoDvlDi0APdp4Q4n&#10;A8pS0SPUEiKwy6D+gTJKBIeuiQPhTNETyYoQi9HwjjavO/AycyGp0R9Fx/8HK15uVoGpmjZhPOLM&#10;gqGR37y//vHu083XL98/Xv/89iHZV59ZukBybT2WlLWwq3A4oV+FxH3XBMMarfxzQstqED+2y2Lv&#10;j2LLXWSCnKdPzqacCQpMTh5PTqYJu+hBEpgPGJ9JZ1gyKo4xgGq7uHDW0lBd6AvA5gXGPvF3Qkq2&#10;7kJpTX4otWVbKjaZ0sQF0L42tCdkGk+c0bacgW7pIYgYcsvotKpTdkrG0K4XOrANpPXJ36HNv66l&#10;0kvArr+XQ+kalJ2E+qmtWdx7ktXSe+r9EZS+9cegwLZa8tSpkTVnWlJHyeqpaUvSJN17pZO1dvU+&#10;DyD7aTmyeIdFTtv35zln3z7e+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8KBNy1wAAAAsBAAAP&#10;AAAAAAAAAAEAIAAAACIAAABkcnMvZG93bnJldi54bWxQSwECFAAUAAAACACHTuJARpIHcRkCAAAE&#10;BAAADgAAAAAAAAABACAAAAAmAQAAZHJzL2Uyb0RvYy54bWxQSwUGAAAAAAYABgBZAQAAsQ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27872" behindDoc="0" locked="0" layoutInCell="1" allowOverlap="1" wp14:anchorId="63EACA2B" wp14:editId="415AAF42">
                <wp:simplePos x="0" y="0"/>
                <wp:positionH relativeFrom="column">
                  <wp:posOffset>168910</wp:posOffset>
                </wp:positionH>
                <wp:positionV relativeFrom="paragraph">
                  <wp:posOffset>1422400</wp:posOffset>
                </wp:positionV>
                <wp:extent cx="0" cy="827405"/>
                <wp:effectExtent l="38100" t="0" r="38100" b="10795"/>
                <wp:wrapNone/>
                <wp:docPr id="291" name="直接箭头连接符 291"/>
                <wp:cNvGraphicFramePr/>
                <a:graphic xmlns:a="http://schemas.openxmlformats.org/drawingml/2006/main">
                  <a:graphicData uri="http://schemas.microsoft.com/office/word/2010/wordprocessingShape">
                    <wps:wsp>
                      <wps:cNvCnPr/>
                      <wps:spPr>
                        <a:xfrm>
                          <a:off x="0" y="0"/>
                          <a:ext cx="0" cy="82740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3.3pt;margin-top:112pt;height:65.15pt;width:0pt;z-index:251727872;mso-width-relative:page;mso-height-relative:page;" filled="f" stroked="t" coordsize="21600,21600" o:gfxdata="UEsDBAoAAAAAAIdO4kAAAAAAAAAAAAAAAAAEAAAAZHJzL1BLAwQUAAAACACHTuJAMoAxeNgAAAAJ&#10;AQAADwAAAGRycy9kb3ducmV2LnhtbE2PzU7DMBCE70i8g7VIXFBrNy0RhDg9IIGExIUUpB63sUki&#10;7HUUO/3h6Vm4lNNqd0az35Tro3dib8fYB9KwmCsQlppgemo1vG+eZncgYkIy6AJZDScbYV1dXpRY&#10;mHCgN7uvUys4hGKBGrqUhkLK2HTWY5yHwRJrn2H0mHgdW2lGPHC4dzJTKpcee+IPHQ72sbPNVz15&#10;DUnRpu6n7Ut6Pt1/q9fMKbz50Pr6aqEeQCR7TGcz/OIzOlTMtAsTmSichizP2ckzW3EnNvwddhqW&#10;t6slyKqU/xtUP1BLAwQUAAAACACHTuJAyuQDRg4CAAD3AwAADgAAAGRycy9lMm9Eb2MueG1srVPN&#10;bhMxEL4j8Q6W72STQEtZZdNDQrkgiAR9gInXu2vJf/K42eQleAEkTsAJOPXO09DyGIy9IYFy6YE9&#10;eMfjmW/m+zyenW+NZhsZUDlb8clozJm0wtXKthW/fHvx6IwzjGBr0M7Kiu8k8vP5wwez3pdy6jqn&#10;axkYgVgse1/xLkZfFgWKThrAkfPS0mHjgoFI29AWdYCe0I0upuPxadG7UPvghEQk73I45HvEcB9A&#10;1zRKyKUTV0baOKAGqSESJeyURz7P3TaNFPF106CMTFecmMa8UhGy12kt5jMo2wC+U2LfAtynhTuc&#10;DChLRQ9QS4jAroL6B8ooERy6Jo6EM8VAJCtCLCbjO9q86cDLzIWkRn8QHf8frHi1WQWm6opPn004&#10;s2Doym/fX9+8+3T77euPj9c/v39I9pfPLAWQXL3HkrIWdhX2O/SrkLhvm2DSn1ixbZZ4d5BYbiMT&#10;g1OQ92z69Mn4JMEVxzwfML6QzrBkVBxjANV2ceGspXt0YZIVhs1LjEPi74RU1LoLpTX5odSW9RU/&#10;fXxClyyARrSh0SDTeKKJtuUMdEuzL2LIiOi0qlN2SsbQrhc6sA2kicnfvs2/wlLpJWA3xOWjFAZl&#10;J6F+bmsWd56UtPSEBn8EpY/+GBTYVkueOjWy5kxL6ihZAzVtSZok9SBustau3mXNs5/mIYu3n900&#10;cH/uc/bxvc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KAMXjYAAAACQEAAA8AAAAAAAAAAQAg&#10;AAAAIgAAAGRycy9kb3ducmV2LnhtbFBLAQIUABQAAAAIAIdO4kDK5ANGDgIAAPcDAAAOAAAAAAAA&#10;AAEAIAAAACcBAABkcnMvZTJvRG9jLnhtbFBLBQYAAAAABgAGAFkBAACn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26848" behindDoc="0" locked="0" layoutInCell="1" allowOverlap="1" wp14:anchorId="4F02566F" wp14:editId="27BAC9E6">
                <wp:simplePos x="0" y="0"/>
                <wp:positionH relativeFrom="column">
                  <wp:posOffset>1832610</wp:posOffset>
                </wp:positionH>
                <wp:positionV relativeFrom="paragraph">
                  <wp:posOffset>1304925</wp:posOffset>
                </wp:positionV>
                <wp:extent cx="0" cy="109855"/>
                <wp:effectExtent l="4445" t="0" r="14605" b="4445"/>
                <wp:wrapNone/>
                <wp:docPr id="288" name="直接连接符 288"/>
                <wp:cNvGraphicFramePr/>
                <a:graphic xmlns:a="http://schemas.openxmlformats.org/drawingml/2006/main">
                  <a:graphicData uri="http://schemas.microsoft.com/office/word/2010/wordprocessingShape">
                    <wps:wsp>
                      <wps:cNvCnPr/>
                      <wps:spPr>
                        <a:xfrm>
                          <a:off x="2975610" y="2219325"/>
                          <a:ext cx="0" cy="10985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44.3pt;margin-top:102.75pt;height:8.65pt;width:0pt;z-index:251726848;mso-width-relative:page;mso-height-relative:page;" filled="f" stroked="t" coordsize="21600,21600" o:gfxdata="UEsDBAoAAAAAAIdO4kAAAAAAAAAAAAAAAAAEAAAAZHJzL1BLAwQUAAAACACHTuJAorGWx9YAAAAL&#10;AQAADwAAAGRycy9kb3ducmV2LnhtbE2PMU/DMBCFdyT+g3WV2KidSK6iNE6HSkEsDBTE7MYmibDP&#10;UezGhV/PIQbY3t17evddc7h6x1a7xCmggmIrgFnsg5lwUPD60t1XwGLSaLQLaBV82giH9vam0bUJ&#10;GZ/tekoDoxKMtVYwpjTXnMd+tF7HbZgtkvceFq8TjcvAzaIzlXvHSyF23OsJ6cKoZ3scbf9xungF&#10;WKQ3l3PK6/IlH2Qhu0fx1Cl1tynEHliy1/QXhh98QoeWmM7hgiYyp6Csqh1FSQgpgVHid3MmUZYV&#10;8Lbh/39ovwFQSwMEFAAAAAgAh07iQJgGddbmAQAAqQMAAA4AAABkcnMvZTJvRG9jLnhtbK1TzY7T&#10;MBC+I/EOlu80TVYtbdR0D1stFwSVgAdwHTux5D95vE37ErwAEjc4ceTO27D7GIydsAvLZQ/k4Iw9&#10;X76Z7/Nkc3kymhxFAOVsQ8vZnBJhuWuV7Rr64f31ixUlEJltmXZWNPQsgF5unz/bDL4WleudbkUg&#10;SGKhHnxD+xh9XRTAe2EYzJwXFpPSBcMibkNXtIENyG50Uc3ny2JwofXBcQGAp7sxSSfG8BRCJ6Xi&#10;Yuf4jRE2jqxBaBZREvTKA93mbqUUPL6VEkQkuqGoNOYVi2B8SGux3bC6C8z3ik8tsKe08EiTYcpi&#10;0XuqHYuM3AT1D5VRPDhwMs64M8UoJDuCKsr5I2/e9cyLrAWtBn9vOvw/Wv7muA9EtQ2tVnjxlhm8&#10;8ttP339+/HL34zOut9++kpRCowYPNeKv7D5MO/D7kFSfZDDpjXrICanWLxfLEi0+Y1yV64tqMRot&#10;TpFwBGCKY66cr1eLnCoeOHyA+Eo4Q1LQUK1ssoDV7PgaItZF6G9IOrbuWmmdr1FbMjR0ebFI9AxH&#10;U+JIYGg8ygPbUcJ0hzPPY8iM4LRq09eJB0J3uNKBHFmalPyknrHaX7BUesegH3E5NcG0RXSyaDQl&#10;RQfXnrNX+RxvMPNN05ZG5M99/vrhD9v+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KxlsfWAAAA&#10;CwEAAA8AAAAAAAAAAQAgAAAAIgAAAGRycy9kb3ducmV2LnhtbFBLAQIUABQAAAAIAIdO4kCYBnXW&#10;5gEAAKkDAAAOAAAAAAAAAAEAIAAAACUBAABkcnMvZTJvRG9jLnhtbFBLBQYAAAAABgAGAFkBAAB9&#10;BQAAAAA=&#10;">
                <v:fill on="f" focussize="0,0"/>
                <v:stroke weight="0.5pt" color="#000000 [3213]" joinstyle="round"/>
                <v:imagedata o:title=""/>
                <o:lock v:ext="edit" aspectratio="f"/>
              </v:line>
            </w:pict>
          </mc:Fallback>
        </mc:AlternateContent>
      </w:r>
      <w:r>
        <w:rPr>
          <w:noProof/>
          <w:sz w:val="24"/>
        </w:rPr>
        <mc:AlternateContent>
          <mc:Choice Requires="wps">
            <w:drawing>
              <wp:anchor distT="0" distB="0" distL="114300" distR="114300" simplePos="0" relativeHeight="251691008" behindDoc="0" locked="0" layoutInCell="1" allowOverlap="1" wp14:anchorId="43E053C5" wp14:editId="0FFA96E5">
                <wp:simplePos x="0" y="0"/>
                <wp:positionH relativeFrom="column">
                  <wp:posOffset>319405</wp:posOffset>
                </wp:positionH>
                <wp:positionV relativeFrom="paragraph">
                  <wp:posOffset>3682365</wp:posOffset>
                </wp:positionV>
                <wp:extent cx="2030730" cy="5080"/>
                <wp:effectExtent l="0" t="38100" r="7620" b="33020"/>
                <wp:wrapNone/>
                <wp:docPr id="112" name="直接箭头连接符 112"/>
                <wp:cNvGraphicFramePr/>
                <a:graphic xmlns:a="http://schemas.openxmlformats.org/drawingml/2006/main">
                  <a:graphicData uri="http://schemas.microsoft.com/office/word/2010/wordprocessingShape">
                    <wps:wsp>
                      <wps:cNvCnPr/>
                      <wps:spPr>
                        <a:xfrm flipH="1" flipV="1">
                          <a:off x="0" y="0"/>
                          <a:ext cx="20307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 y;margin-left:25.15pt;margin-top:289.95pt;height:0.4pt;width:159.9pt;z-index:251691008;mso-width-relative:page;mso-height-relative:page;" filled="f" stroked="t" coordsize="21600,21600" o:gfxdata="UEsDBAoAAAAAAIdO4kAAAAAAAAAAAAAAAAAEAAAAZHJzL1BLAwQUAAAACACHTuJAy8J9W9gAAAAK&#10;AQAADwAAAGRycy9kb3ducmV2LnhtbE2PwU7DMAyG70i8Q2QkLmhLugm6laYTglXiyuCwY9Z4bSFx&#10;qibdxttjTnCybH/6/bncXLwTJxxjH0hDNlcgkJpge2o1fLzXsxWImAxZ4wKhhm+MsKmur0pT2HCm&#10;NzztUis4hGJhNHQpDYWUsenQmzgPAxLvjmH0JnE7ttKO5szh3smFUg/Sm574QmcGfO6w+dpNXsPr&#10;Qlq33bdd9nS3n/x2qO3LZ6317U2mHkEkvKQ/GH71WR0qdjqEiWwUTsO9WjLJNV+vQTCwzFUG4sCT&#10;lcpBVqX8/0L1A1BLAwQUAAAACACHTuJAEoR0TR4CAAAPBAAADgAAAGRycy9lMm9Eb2MueG1srVO9&#10;jhMxEO6ReAfLPdlNojtOUTZXJBwUCCLx0zte764l/2nGl01eghdAogIqjup6ngaOx2DsDTk4mivY&#10;YjWe8Xwz3zfj+fnOGrZVgNq7io9HJWfKSV9r11b8zeuLR2ecYRSuFsY7VfG9Qn6+ePhg3oeZmvjO&#10;m1oBIxCHsz5UvIsxzIoCZaeswJEPylGw8WBFpCO0RQ2iJ3RriklZnha9hzqAlwqRvKshyA+IcB9A&#10;3zRaqpWXl1a5OKCCMiISJex0QL7I3TaNkvFl06CKzFScmMb8pyJkb9K/WMzFrAUROi0PLYj7tHCH&#10;kxXaUdEj1EpEwS5B/wNltQSPvokj6W0xEMmKEItxeUebV50IKnMhqTEcRcf/BytfbNfAdE2bMJ5w&#10;5oSlkd+8v/7x7tPN16vvH69/fvuQ7C+fWbpAcvUBZ5S1dGs4nDCsIXHfNWBZY3R4Rmg8W2+TlWLE&#10;lO2y7Puj7GoXmSTnpJyWj6c0EUmxk/IsT6UY8FJuAIxPlbcsGRXHCEK3XVx652i+HoYKYvscI3VE&#10;ib8TUrLzF9qYPGbjWF/x0+lJKiVodRtaGTJtIProWs6EaelNyAi5Z/RG1yk74SC0m6UBthVpk/KX&#10;1KBqf11LpVcCu+FeDg071ilRP3E1i/tACjt6WoM/Cm1u/RG0cK1RPHVqVc2ZUdRRsoZixlHNNIJB&#10;9GRtfL3Ps8h+2pPc1WGn0yL+ec7Zt+94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Lwn1b2AAA&#10;AAoBAAAPAAAAAAAAAAEAIAAAACIAAABkcnMvZG93bnJldi54bWxQSwECFAAUAAAACACHTuJAEoR0&#10;TR4CAAAPBAAADgAAAAAAAAABACAAAAAnAQAAZHJzL2Uyb0RvYy54bWxQSwUGAAAAAAYABgBZAQAA&#10;tw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25824" behindDoc="0" locked="0" layoutInCell="1" allowOverlap="1" wp14:anchorId="1B7B7901" wp14:editId="6ADDDC79">
                <wp:simplePos x="0" y="0"/>
                <wp:positionH relativeFrom="column">
                  <wp:posOffset>1790065</wp:posOffset>
                </wp:positionH>
                <wp:positionV relativeFrom="paragraph">
                  <wp:posOffset>4194810</wp:posOffset>
                </wp:positionV>
                <wp:extent cx="8255" cy="233680"/>
                <wp:effectExtent l="32385" t="0" r="35560" b="13970"/>
                <wp:wrapNone/>
                <wp:docPr id="286" name="直接箭头连接符 286"/>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40.95pt;margin-top:330.3pt;height:18.4pt;width:0.65pt;z-index:251725824;mso-width-relative:page;mso-height-relative:page;" filled="f" stroked="t" coordsize="21600,21600" o:gfxdata="UEsDBAoAAAAAAIdO4kAAAAAAAAAAAAAAAAAEAAAAZHJzL1BLAwQUAAAACACHTuJAMYu2pNwAAAAL&#10;AQAADwAAAGRycy9kb3ducmV2LnhtbE2PTUvEMBCG74L/IYzgRXaTdt3a1qaLLLgXQbAunrPN2Bab&#10;SUnS/fDXG096nJmHd5632pzNyI7o/GBJQrIUwJBaqwfqJOzfnxc5MB8UaTVaQgkX9LCpr68qVWp7&#10;ojc8NqFjMYR8qST0IUwl577t0Si/tBNSvH1aZ1SIo+u4duoUw83IUyEybtRA8UOvJtz22H41s5Hw&#10;1K3c5fujNet5t30t3K55Wd81Ut7eJOIRWMBz+IPhVz+qQx2dDnYm7dkoIc2TIqISskxkwCKR5qsU&#10;2CFuiod74HXF/3eofwBQSwMEFAAAAAgAh07iQCAh050SAgAA+QMAAA4AAABkcnMvZTJvRG9jLnht&#10;bK1TS44TMRDdI3EHy3vS+ShRFKUzi4RhgyAScADH7e625J+qPOnkElwAiRWwAlaz5zQwHIOyOyQw&#10;bGZBL9zlsutVvVfl5dXBGrZXgNq7ko8GQ86Uk77Srin5m9fXT+acYRSuEsY7VfKjQn61evxo2YWF&#10;GvvWm0oBIxCHiy6UvI0xLIoCZauswIEPytFh7cGKSFtoigpER+jWFOPhcFZ0HqoAXipE8m76Q35C&#10;hIcA+rrWUm28vLHKxR4VlBGRKGGrA/JVrraulYwv6xpVZKbkxDTmlZKQvUtrsVqKRQMitFqeShAP&#10;KeEeJyu0o6RnqI2Igt2A/gfKagkefR0H0tuiJ5IVIRaj4T1tXrUiqMyFpMZwFh3/H6x8sd8C01XJ&#10;x/MZZ05Yavndu9sfbz/eff3y/cPtz2/vk/35E0sXSK4u4IKi1m4Lpx2GLSTuhxps+hMrdsgSH88S&#10;q0Nkkpzz8XTKmaSD8WQym+cGFJfQABifKW9ZMkqOEYRu2rj2zlErPYyyyGL/HCMlp8DfASmv89fa&#10;mNxR41hX8tlkSn2Wgqa0pukg0wZiiq7hTJiGxl9GyIjoja5SdMJBaHZrA2wv0tDkLxGnbH9dS6k3&#10;Atv+XkVWP02tEtVTV7F4DKSlo0fU+6PQ5uKPoIVrjOKpUKsqzoyigpLV5zKOUiaxe3mTtfPVMaue&#10;/TQRuajT9KaR+3Ofoy8vd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Yu2pNwAAAALAQAADwAA&#10;AAAAAAABACAAAAAiAAAAZHJzL2Rvd25yZXYueG1sUEsBAhQAFAAAAAgAh07iQCAh050SAgAA+QMA&#10;AA4AAAAAAAAAAQAgAAAAKwEAAGRycy9lMm9Eb2MueG1sUEsFBgAAAAAGAAYAWQEAAK8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24800" behindDoc="0" locked="0" layoutInCell="1" allowOverlap="1" wp14:anchorId="5C60083D" wp14:editId="6B28F6C8">
                <wp:simplePos x="0" y="0"/>
                <wp:positionH relativeFrom="column">
                  <wp:posOffset>2609850</wp:posOffset>
                </wp:positionH>
                <wp:positionV relativeFrom="paragraph">
                  <wp:posOffset>3366135</wp:posOffset>
                </wp:positionV>
                <wp:extent cx="8255" cy="233680"/>
                <wp:effectExtent l="32385" t="0" r="35560" b="13970"/>
                <wp:wrapNone/>
                <wp:docPr id="284" name="直接箭头连接符 284"/>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5.5pt;margin-top:265.05pt;height:18.4pt;width:0.65pt;z-index:251724800;mso-width-relative:page;mso-height-relative:page;" filled="f" stroked="t" coordsize="21600,21600" o:gfxdata="UEsDBAoAAAAAAIdO4kAAAAAAAAAAAAAAAAAEAAAAZHJzL1BLAwQUAAAACACHTuJA93or29sAAAAL&#10;AQAADwAAAGRycy9kb3ducmV2LnhtbE2PzU7DMBCE70i8g7VIXBC13TQRDXEqVIlekJAIiLMbL0lE&#10;bEe20x+enuVEj7Mzmv2m2pzsyA4Y4uCdArkQwNC13gyuU/Dx/nz/ACwm7YwevUMFZ4ywqa+vKl0a&#10;f3RveGhSx6jExVIr6FOaSs5j26PVceEndOR9+WB1Ihk6boI+Urkd+VKIgls9OPrQ6wm3PbbfzWwV&#10;PHVZOP98tjafd9vXddg1L/ldo9TtjRSPwBKe0n8Y/vAJHWpi2vvZmchGBSspaUtSkGdCAqPESi4z&#10;YHu6FMUaeF3xyw31L1BLAwQUAAAACACHTuJAjpTsLRMCAAD5AwAADgAAAGRycy9lMm9Eb2MueG1s&#10;rVNLjhMxEN0jcQfLe9L5kCiK0plFwrBBMBJwAMft7rbkn6o86eQSXACJFbACVrOf08BwDMrukMCw&#10;mQW9cJfLrlf1XpWXF3tr2E4Bau9KPhoMOVNO+kq7puRv31w+mXOGUbhKGO9UyQ8K+cXq8aNlFxZq&#10;7FtvKgWMQBwuulDyNsawKAqUrbICBz4oR4e1BysibaEpKhAdoVtTjIfDWdF5qAJ4qRDJu+kP+RER&#10;HgLo61pLtfHy2ioXe1RQRkSihK0OyFe52rpWMr6qa1SRmZIT05hXSkL2Nq3FaikWDYjQanksQTyk&#10;hHucrNCOkp6gNiIKdg36HyirJXj0dRxIb4ueSFaEWIyG97R53YqgMheSGsNJdPx/sPLl7gqYrko+&#10;nj/lzAlLLb97f/Pj3ae7b1+/f7z5efsh2V8+s3SB5OoCLihq7a7guMNwBYn7vgab/sSK7bPEh5PE&#10;ah+ZJOd8PJ1yJulgPJnM5rkBxTk0AMbnyluWjJJjBKGbNq69c9RKD6Mssti9wEjJKfB3QMrr/KU2&#10;JnfUONaVfDaZUp+loCmtaTrItIGYoms4E6ah8ZcRMiJ6o6sUnXAQmu3aANuJNDT5S8Qp21/XUuqN&#10;wLa/V5HVT1OrRPXMVSweAmnp6BH1/ii0OfsjaOEao3gq1KqKM6OooGT1uYyjlEnsXt5kbX11yKpn&#10;P01ELuo4vWnk/tzn6POLXf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3or29sAAAALAQAADwAA&#10;AAAAAAABACAAAAAiAAAAZHJzL2Rvd25yZXYueG1sUEsBAhQAFAAAAAgAh07iQI6U7C0TAgAA+QMA&#10;AA4AAAAAAAAAAQAgAAAAKgEAAGRycy9lMm9Eb2MueG1sUEsFBgAAAAAGAAYAWQEAAK8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23776" behindDoc="0" locked="0" layoutInCell="1" allowOverlap="1" wp14:anchorId="1D9042B5" wp14:editId="425BCA88">
                <wp:simplePos x="0" y="0"/>
                <wp:positionH relativeFrom="column">
                  <wp:posOffset>3592195</wp:posOffset>
                </wp:positionH>
                <wp:positionV relativeFrom="paragraph">
                  <wp:posOffset>3373755</wp:posOffset>
                </wp:positionV>
                <wp:extent cx="8255" cy="233680"/>
                <wp:effectExtent l="32385" t="0" r="35560" b="13970"/>
                <wp:wrapNone/>
                <wp:docPr id="282" name="直接箭头连接符 282"/>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82.85pt;margin-top:265.65pt;height:18.4pt;width:0.65pt;z-index:251723776;mso-width-relative:page;mso-height-relative:page;" filled="f" stroked="t" coordsize="21600,21600" o:gfxdata="UEsDBAoAAAAAAIdO4kAAAAAAAAAAAAAAAAAEAAAAZHJzL1BLAwQUAAAACACHTuJA2ULM9NoAAAAL&#10;AQAADwAAAGRycy9kb3ducmV2LnhtbE2PT0vEMBDF74LfIYzgRdy0lnTX2nSRBfciCFbxnG3HtthM&#10;SpLuHz+9syf39h7z48175fpoR7FHHwZHGtJFAgKpce1AnYbPj5f7FYgQDbVmdIQaThhgXV1flaZo&#10;3YHecV/HTnAIhcJo6GOcCilD06M1YeEmJL59O29NZOs72Xpz4HA7yockyaU1A/GH3ky46bH5qWer&#10;4bnL/On3q7Fq3m7eHv22flV3tda3N2nyBCLiMf7DcK7P1aHiTjs3UxvEqEHlaskoiyzNQDCh8iWv&#10;253FKgVZlfJyQ/UHUEsDBBQAAAAIAIdO4kA9TN0mEgIAAPkDAAAOAAAAZHJzL2Uyb0RvYy54bWyt&#10;U82O0zAQviPxDpbvNG2qVlXUdA8tywVBJeABXNtJLPlPY2/TvgQvgMQJOAGnvfM0sDwGY6e0sFz2&#10;QA7OeOz5Zr5vxsurg9FkLyEoZ2s6GY0pkZY7oWxb0zevr58sKAmRWcG0s7KmRxno1erxo2XvK1m6&#10;zmkhgSCIDVXva9rF6KuiCLyThoWR89LiYePAsIhbaAsBrEd0o4tyPJ4XvQPhwXEZAno3wyE9IcJD&#10;AF3TKC43jt8YaeOAClKziJRCp3ygq1xt00geXzZNkJHomiLTmFdMgvYurcVqyaoWmO8UP5XAHlLC&#10;PU6GKYtJz1AbFhm5AfUPlFEcXHBNHHFnioFIVgRZTMb3tHnVMS8zF5Q6+LPo4f/B8hf7LRAlalou&#10;SkosM9jyu3e3P95+vPv65fuH25/f3if78yeSLqBcvQ8VRq3tFk674LeQuB8aMOmPrMghS3w8SywP&#10;kXB0LsrZjBKOB+V0Ol/kBhSXUA8hPpPOkGTUNERgqu3i2lmLrXQwySKz/fMQMTkG/g5Iea27Vlrn&#10;jmpL+prOpzPsM2c4pQ1OB5rGI9NgW0qYbnH8eYSMGJxWIkUnnADtbq2B7Fkamvwl4pjtr2sp9YaF&#10;brgn0BqmqZNMPLWCxKNHLS0+osEfmdIXfwTFbKslTYUaKSjREgtK1pBLW0yZxB7kTdbOiWNWPftx&#10;InJRp+lNI/fnPkdfXuz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lCzPTaAAAACwEAAA8AAAAA&#10;AAAAAQAgAAAAIgAAAGRycy9kb3ducmV2LnhtbFBLAQIUABQAAAAIAIdO4kA9TN0mEgIAAPkDAAAO&#10;AAAAAAAAAAEAIAAAACkBAABkcnMvZTJvRG9jLnhtbFBLBQYAAAAABgAGAFkBAACtBQ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22752" behindDoc="0" locked="0" layoutInCell="1" allowOverlap="1" wp14:anchorId="5675A6C3" wp14:editId="7A8B5B22">
                <wp:simplePos x="0" y="0"/>
                <wp:positionH relativeFrom="column">
                  <wp:posOffset>4112260</wp:posOffset>
                </wp:positionH>
                <wp:positionV relativeFrom="paragraph">
                  <wp:posOffset>1717040</wp:posOffset>
                </wp:positionV>
                <wp:extent cx="8255" cy="233680"/>
                <wp:effectExtent l="32385" t="0" r="35560" b="13970"/>
                <wp:wrapNone/>
                <wp:docPr id="279" name="直接箭头连接符 279"/>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323.8pt;margin-top:135.2pt;height:18.4pt;width:0.65pt;z-index:251722752;mso-width-relative:page;mso-height-relative:page;" filled="f" stroked="t" coordsize="21600,21600" o:gfxdata="UEsDBAoAAAAAAIdO4kAAAAAAAAAAAAAAAAAEAAAAZHJzL1BLAwQUAAAACACHTuJAhKGTqtwAAAAL&#10;AQAADwAAAGRycy9kb3ducmV2LnhtbE2Py07DMBBF90j8gzVIbFBrN02TNsSpUCW6QUIiVKzdeEgi&#10;4nFkO33w9ZgVLEf36N4z5fZiBnZC53tLEhZzAQypsbqnVsLh/Xm2BuaDIq0GSyjhih621e1NqQpt&#10;z/SGpzq0LJaQL5SELoSx4Nw3HRrl53ZEitmndUaFeLqWa6fOsdwMPBEi40b1FBc6NeKuw+arnoyE&#10;p3bprt8fjVlN+93rxu3rl9VDLeX93UI8Agt4CX8w/OpHdaii09FOpD0bJGRpnkVUQpKLFFgksnS9&#10;AXaUsBR5Arwq+f8fqh9QSwMEFAAAAAgAh07iQBSxZu4TAgAA+QMAAA4AAABkcnMvZTJvRG9jLnht&#10;bK1TS44TMRDdI3EHy3vS+ShhiNKZRcKwQRAJOEDF7e625J9cnnRyCS6AxApYAavZcxoYjkHZHRIY&#10;NrOgF+5y2fWq3qvy4nJvNNvJgMrZko8GQ86kFa5Stin5m9dXjy44wwi2Au2sLPlBIr9cPnyw6Pxc&#10;jl3rdCUDIxCL886XvI3Rz4sCRSsN4MB5aemwdsFApG1oiipAR+hGF+PhcFZ0LlQ+OCERybvuD/kR&#10;MdwH0NW1EnLtxLWRNvaoQWqIRAlb5ZEvc7V1LUV8WdcoI9MlJ6Yxr5SE7G1ai+UC5k0A3ypxLAHu&#10;U8IdTgaUpaQnqDVEYNdB/QNllAgOXR0HwpmiJ5IVIRaj4R1tXrXgZeZCUqM/iY7/D1a82G0CU1XJ&#10;x4+fcGbBUMtv3938ePvx9uuX7x9ufn57n+zPn1i6QHJ1HucUtbKbcNyh34TEfV8Hk/7Eiu2zxIeT&#10;xHIfmSDnxXg65UzQwXgymV3kBhTnUB8wPpPOsGSUHGMA1bRx5aylVrowyiLD7jlGSk6BvwNSXuuu&#10;lNa5o9qyruSzyZT6LICmtKbpINN4Yoq24Qx0Q+MvYsiI6LSqUnTCwdBsVzqwHaShyV8iTtn+upZS&#10;rwHb/l5FVj9NrYTqqa1YPHjS0tIj6v0RlD77Y1BgGy15KtTIijMtqaBk9bm0pZRJ7F7eZG1ddciq&#10;Zz9NRC7qOL1p5P7c5+jzi1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hk6rcAAAACwEAAA8A&#10;AAAAAAAAAQAgAAAAIgAAAGRycy9kb3ducmV2LnhtbFBLAQIUABQAAAAIAIdO4kAUsWbuEwIAAPkD&#10;AAAOAAAAAAAAAAEAIAAAACsBAABkcnMvZTJvRG9jLnhtbFBLBQYAAAAABgAGAFkBAACwBQ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21728" behindDoc="0" locked="0" layoutInCell="1" allowOverlap="1" wp14:anchorId="4F340E74" wp14:editId="1B1B4F96">
                <wp:simplePos x="0" y="0"/>
                <wp:positionH relativeFrom="column">
                  <wp:posOffset>2493645</wp:posOffset>
                </wp:positionH>
                <wp:positionV relativeFrom="paragraph">
                  <wp:posOffset>4171950</wp:posOffset>
                </wp:positionV>
                <wp:extent cx="8255" cy="233680"/>
                <wp:effectExtent l="32385" t="0" r="35560" b="13970"/>
                <wp:wrapNone/>
                <wp:docPr id="278" name="直接箭头连接符 278"/>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96.35pt;margin-top:328.5pt;height:18.4pt;width:0.65pt;z-index:251721728;mso-width-relative:page;mso-height-relative:page;" filled="f" stroked="t" coordsize="21600,21600" o:gfxdata="UEsDBAoAAAAAAIdO4kAAAAAAAAAAAAAAAAAEAAAAZHJzL1BLAwQUAAAACACHTuJAF0YRItwAAAAL&#10;AQAADwAAAGRycy9kb3ducmV2LnhtbE2PzU7DMBCE70i8g7VIXBB12pC2CXEqVIlekCoREGc3XpKI&#10;eB3ZTn94epYT3HZ3RrPflJuzHcQRfegdKZjPEhBIjTM9tQre357v1yBC1GT04AgVXDDAprq+KnVh&#10;3Ile8VjHVnAIhUIr6GIcCylD06HVYeZGJNY+nbc68upbabw+cbgd5CJJltLqnvhDp0fcdth81ZNV&#10;8NSm/vL90dhs2m33ud/VL9ldrdTtzTx5BBHxHP/M8IvP6FAx08FNZIIYFKT5YsVWBctsxaXYkeYP&#10;PBz4kqdrkFUp/3eofgBQSwMEFAAAAAgAh07iQMNrebYTAgAA+QMAAA4AAABkcnMvZTJvRG9jLnht&#10;bK1TS44TMRDdI3EHy3vS+ShhFKUzi4RhgyAScADH7e625J+qPOnkElwAiRWwAlazn9PAcAzK7pDA&#10;sJkFvXCXy65X9V6VF5d7a9hOAWrvSj4aDDlTTvpKu6bkb99cPbngDKNwlTDeqZIfFPLL5eNHiy7M&#10;1di33lQKGIE4nHeh5G2MYV4UKFtlBQ58UI4Oaw9WRNpCU1QgOkK3phgPh7Oi81AF8FIhknfdH/Ij&#10;IjwE0Ne1lmrt5bVVLvaooIyIRAlbHZAvc7V1rWR8VdeoIjMlJ6Yxr5SE7G1ai+VCzBsQodXyWIJ4&#10;SAn3OFmhHSU9Qa1FFOwa9D9QVkvw6Os4kN4WPZGsCLEYDe9p87oVQWUuJDWGk+j4/2Dly90GmK5K&#10;Pn5KjXfCUsvv3t/8ePfp7tvX7x9vft5+SPaXzyxdILm6gHOKWrkNHHcYNpC472uw6U+s2D5LfDhJ&#10;rPaRSXJejKdTziQdjCeT2UVuQHEODYDxufKWJaPkGEHopo0r7xy10sMoiyx2LzBScgr8HZDyOn+l&#10;jckdNY51JZ9NptRnKWhKa5oOMm0gpugazoRpaPxlhIyI3ugqRScchGa7MsB2Ig1N/hJxyvbXtZR6&#10;LbDt71Vk9dPUKlE9cxWLh0BaOnpEvT8Kbc7+CFq4xiieCrWq4swoKihZfS7jKGUSu5c3WVtfHbLq&#10;2U8TkYs6Tm8auT/3Ofr8Yp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dGESLcAAAACwEAAA8A&#10;AAAAAAAAAQAgAAAAIgAAAGRycy9kb3ducmV2LnhtbFBLAQIUABQAAAAIAIdO4kDDa3m2EwIAAPkD&#10;AAAOAAAAAAAAAAEAIAAAACsBAABkcnMvZTJvRG9jLnhtbFBLBQYAAAAABgAGAFkBAACwBQ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20704" behindDoc="0" locked="0" layoutInCell="1" allowOverlap="1" wp14:anchorId="01C8DFFF" wp14:editId="1245FD73">
                <wp:simplePos x="0" y="0"/>
                <wp:positionH relativeFrom="column">
                  <wp:posOffset>3218815</wp:posOffset>
                </wp:positionH>
                <wp:positionV relativeFrom="paragraph">
                  <wp:posOffset>4156710</wp:posOffset>
                </wp:positionV>
                <wp:extent cx="8255" cy="233680"/>
                <wp:effectExtent l="32385" t="0" r="35560" b="13970"/>
                <wp:wrapNone/>
                <wp:docPr id="264" name="直接箭头连接符 264"/>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53.45pt;margin-top:327.3pt;height:18.4pt;width:0.65pt;z-index:251720704;mso-width-relative:page;mso-height-relative:page;" filled="f" stroked="t" coordsize="21600,21600" o:gfxdata="UEsDBAoAAAAAAIdO4kAAAAAAAAAAAAAAAAAEAAAAZHJzL1BLAwQUAAAACACHTuJAjEohWtsAAAAL&#10;AQAADwAAAGRycy9kb3ducmV2LnhtbE2PTUvEMBCG74L/IYzgRdyk66Zsa9NFFtyLIFjFc7YZ22Iz&#10;KUm6H/5648k9zszDO89bbU52ZAf0YXCkIFsIYEitMwN1Cj7en+/XwELUZPToCBWcMcCmvr6qdGnc&#10;kd7w0MSOpRAKpVbQxziVnIe2R6vDwk1I6fblvNUxjb7jxutjCrcjXwqRc6sHSh96PeG2x/a7ma2C&#10;p+7Bn38+Wyvn3fa18LvmRd41St3eZOIRWMRT/IfhTz+pQ52c9m4mE9ioQIq8SKiCXK5yYImQYr0E&#10;tk+bIlsBryt+2aH+BVBLAwQUAAAACACHTuJACIL1uBMCAAD5AwAADgAAAGRycy9lMm9Eb2MueG1s&#10;rVNLjhMxEN0jcQfLe9L5kGgUpTOLhGGDIBJwAMft7rbkn6o86eQSXACJFbACVrOf08BwDMrukMCw&#10;mQW9cJfLrlf1XpUXl3tr2E4Bau9KPhoMOVNO+kq7puRv31w9ueAMo3CVMN6pkh8U8svl40eLLszV&#10;2LfeVAoYgTicd6HkbYxhXhQoW2UFDnxQjg5rD1ZE2kJTVCA6QremGA+Hs6LzUAXwUiGSd90f8iMi&#10;PATQ17WWau3ltVUu9qigjIhECVsdkC9ztXWtZHxV16giMyUnpjGvlITsbVqL5ULMGxCh1fJYgnhI&#10;Cfc4WaEdJT1BrUUU7Br0P1BWS/Do6ziQ3hY9kawIsRgN72nzuhVBZS4kNYaT6Pj/YOXL3QaYrko+&#10;nj3lzAlLLb97f/Pj3ae7b1+/f7z5efsh2V8+s3SB5OoCzilq5TZw3GHYQOK+r8GmP7Fi+yzx4SSx&#10;2kcmyXkxnk45k3QwnkxmF7kBxTk0AMbnyluWjJJjBKGbNq68c9RKD6Mssti9wEjJKfB3QMrr/JU2&#10;JnfUONaVfDaZUp+loCmtaTrItIGYoms4E6ah8ZcRMiJ6o6sUnXAQmu3KANuJNDT5S8Qp21/XUuq1&#10;wLa/V5HVT1OrRPXMVSweAmnp6BH1/ii0OfsjaOEao3gq1KqKM6OooGT1uYyjlEnsXt5kbX11yKpn&#10;P01ELuo4vWnk/tzn6POLX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EohWtsAAAALAQAADwAA&#10;AAAAAAABACAAAAAiAAAAZHJzL2Rvd25yZXYueG1sUEsBAhQAFAAAAAgAh07iQAiC9bgTAgAA+QMA&#10;AA4AAAAAAAAAAQAgAAAAKgEAAGRycy9lMm9Eb2MueG1sUEsFBgAAAAAGAAYAWQEAAK8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19680" behindDoc="0" locked="0" layoutInCell="1" allowOverlap="1" wp14:anchorId="2218E705" wp14:editId="306364D0">
                <wp:simplePos x="0" y="0"/>
                <wp:positionH relativeFrom="column">
                  <wp:posOffset>4904105</wp:posOffset>
                </wp:positionH>
                <wp:positionV relativeFrom="paragraph">
                  <wp:posOffset>4794885</wp:posOffset>
                </wp:positionV>
                <wp:extent cx="8255" cy="233680"/>
                <wp:effectExtent l="32385" t="0" r="35560" b="13970"/>
                <wp:wrapNone/>
                <wp:docPr id="262" name="直接箭头连接符 262"/>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386.15pt;margin-top:377.55pt;height:18.4pt;width:0.65pt;z-index:251719680;mso-width-relative:page;mso-height-relative:page;" filled="f" stroked="t" coordsize="21600,21600" o:gfxdata="UEsDBAoAAAAAAIdO4kAAAAAAAAAAAAAAAAAEAAAAZHJzL1BLAwQUAAAACACHTuJAs4hOddsAAAAL&#10;AQAADwAAAGRycy9kb3ducmV2LnhtbE2PTUvDQBCG74L/YRnBi9hNGtI0MZsiBXsRBKP0vE3GJJid&#10;DbubfvjrHU/29g7z8M4z5eZsRnFE5wdLCuJFBAKpse1AnYLPj5fHNQgfNLV6tIQKLuhhU93elLpo&#10;7Yne8ViHTnAJ+UIr6EOYCil906PRfmEnJN59WWd04NF1snX6xOVmlMsoWkmjB+ILvZ5w22PzXc9G&#10;wXOXuMvPvjHpvNu+5W5Xv6YPtVL3d3H0BCLgOfzD8KfP6lCx08HO1HoxKsiyZcIohzSNQTCRZckK&#10;xIFDHucgq1Je/1D9AlBLAwQUAAAACACHTuJAu1rEsxICAAD5AwAADgAAAGRycy9lMm9Eb2MueG1s&#10;rVPNjtMwEL4j8Q6W7zRtqlZV1HQPLcsFQSXgAVzbSSz5Tx5v074EL4DECTgBp73zNLA8BmOntLBc&#10;9kAOznjs+Wa+b8bLq4PRZC8DKGdrOhmNKZGWO6FsW9M3r6+fLCiByKxg2llZ06MEerV6/GjZ+0qW&#10;rnNayEAQxELV+5p2MfqqKIB30jAYOS8tHjYuGBZxG9pCBNYjutFFOR7Pi94F4YPjEgC9m+GQnhDD&#10;QwBd0yguN47fGGnjgBqkZhEpQac80FWutmkkjy+bBmQkuqbINOYVk6C9S2uxWrKqDcx3ip9KYA8p&#10;4R4nw5TFpGeoDYuM3AT1D5RRPDhwTRxxZ4qBSFYEWUzG97R51TEvMxeUGvxZdPh/sPzFfhuIEjUt&#10;5yUllhls+d272x9vP959/fL9w+3Pb++T/fkTSRdQrt5DhVFruw2nHfhtSNwPTTDpj6zIIUt8PEss&#10;D5FwdC7K2YwSjgfldDpf5AYUl1AfID6TzpBk1BRiYKrt4tpZi610YZJFZvvnEDE5Bv4OSHmtu1Za&#10;545qS/qazqcz7DNnOKUNTgeaxiNTsC0lTLc4/jyGjAhOK5GiEw6EdrfWgexZGpr8JeKY7a9rKfWG&#10;QTfcE2gN09RJJp5aQeLRo5YWH9Hgj0zpiz8GxWyrJU2FGiko0RILStaQS1tMmcQe5E3WzoljVj37&#10;cSJyUafpTSP35z5HX17s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iE512wAAAAsBAAAPAAAA&#10;AAAAAAEAIAAAACIAAABkcnMvZG93bnJldi54bWxQSwECFAAUAAAACACHTuJAu1rEsxICAAD5AwAA&#10;DgAAAAAAAAABACAAAAAqAQAAZHJzL2Uyb0RvYy54bWxQSwUGAAAAAAYABgBZAQAArgU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693056" behindDoc="0" locked="0" layoutInCell="1" allowOverlap="1" wp14:anchorId="701F49AA" wp14:editId="7B59F13F">
                <wp:simplePos x="0" y="0"/>
                <wp:positionH relativeFrom="column">
                  <wp:posOffset>4917440</wp:posOffset>
                </wp:positionH>
                <wp:positionV relativeFrom="paragraph">
                  <wp:posOffset>3865245</wp:posOffset>
                </wp:positionV>
                <wp:extent cx="1905" cy="632460"/>
                <wp:effectExtent l="36195" t="0" r="38100" b="15240"/>
                <wp:wrapNone/>
                <wp:docPr id="117" name="直接箭头连接符 117"/>
                <wp:cNvGraphicFramePr/>
                <a:graphic xmlns:a="http://schemas.openxmlformats.org/drawingml/2006/main">
                  <a:graphicData uri="http://schemas.microsoft.com/office/word/2010/wordprocessingShape">
                    <wps:wsp>
                      <wps:cNvCnPr/>
                      <wps:spPr>
                        <a:xfrm flipV="1">
                          <a:off x="0" y="0"/>
                          <a:ext cx="1905" cy="63246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y;margin-left:387.2pt;margin-top:304.35pt;height:49.8pt;width:0.15pt;z-index:251693056;mso-width-relative:page;mso-height-relative:page;" filled="f" stroked="t" coordsize="21600,21600" o:gfxdata="UEsDBAoAAAAAAIdO4kAAAAAAAAAAAAAAAAAEAAAAZHJzL1BLAwQUAAAACACHTuJAbikEVtcAAAAL&#10;AQAADwAAAGRycy9kb3ducmV2LnhtbE2PS0/DMBCE70j8B2uRuFG7DyVRiFMBIoeeEAVxduNtEtVe&#10;h9h98O9ZTvQ2uzOa/bZaX7wTJ5ziEEjDfKZAILXBDtRp+PxoHgoQMRmyxgVCDT8YYV3f3lSmtOFM&#10;73japk5wCcXSaOhTGkspY9ujN3EWRiT29mHyJvE4ddJO5szl3smFUpn0ZiC+0JsRX3psD9uj17Bc&#10;YPb8jW9fr8pLtfF587Rxjdb3d3P1CCLhJf2H4Q+f0aFmpl04ko3Cacjz1YqjGjJV5CA4wRsWOxaq&#10;WIKsK3n9Q/0LUEsDBBQAAAAIAIdO4kDm6BptGAIAAAQEAAAOAAAAZHJzL2Uyb0RvYy54bWytU72O&#10;EzEQ7pF4B8s92SRwAaJsrkg4GgQn8dNPvPauJf9p7MsmL8ELIFEBFVBdz9PA8RiMvSEHR3MFW6zG&#10;M55v5vtmvDjdWcO2EqP2ruaT0Zgz6YRvtGtr/vrV2b1HnMUErgHjnaz5XkZ+urx7Z9GHuZz6zptG&#10;IiMQF+d9qHmXUphXVRSdtBBHPkhHQeXRQqIjtlWD0BO6NdV0PJ5VvccmoBcyRvKuhyA/IOJtAL1S&#10;Wsi1FxdWujSgojSQiFLsdIh8WbpVSor0QqkoEzM1J6ap/KkI2Zv8r5YLmLcIodPi0ALcpoUbnCxo&#10;R0WPUGtIwC5Q/wNltUAfvUoj4W01ECmKEIvJ+IY2LzsIsnAhqWM4ih7/H6x4vj1HphvahMlDzhxY&#10;GvnVu8sfbz9eff3y/cPlz2/vs/35E8sXSK4+xDllrdw5Hk4xnGPmvlNomTI6vCG0ogbxY7si9v4o&#10;ttwlJsg5eTw+4UxQYHZ/+mBWRlENIBksYExPpbcsGzWPCUG3XVp552ioHocCsH0WE7VBib8TcrLz&#10;Z9qYMlvjWJ9LnNDEBdC+KtoTMm0gztG1nIFp6SGIhKXl6I1ucnbGidhuVgbZFvL6lC9LQNX+upZL&#10;ryF2w70SGhark9A8cQ1L+0CyOnpPgz+BNtf+hBpcayTPnVrZcGYkdZStoZhxVDPrPiidrY1v9mUA&#10;xU/LUbo6LHLevj/PJfv68S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4pBFbXAAAACwEAAA8A&#10;AAAAAAAAAQAgAAAAIgAAAGRycy9kb3ducmV2LnhtbFBLAQIUABQAAAAIAIdO4kDm6BptGAIAAAQE&#10;AAAOAAAAAAAAAAEAIAAAACYBAABkcnMvZTJvRG9jLnhtbFBLBQYAAAAABgAGAFkBAACw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96128" behindDoc="0" locked="0" layoutInCell="1" allowOverlap="1" wp14:anchorId="4488ECB5" wp14:editId="53EDA81B">
                <wp:simplePos x="0" y="0"/>
                <wp:positionH relativeFrom="column">
                  <wp:posOffset>4198620</wp:posOffset>
                </wp:positionH>
                <wp:positionV relativeFrom="paragraph">
                  <wp:posOffset>4620260</wp:posOffset>
                </wp:positionV>
                <wp:extent cx="456565" cy="635"/>
                <wp:effectExtent l="0" t="38100" r="635" b="37465"/>
                <wp:wrapNone/>
                <wp:docPr id="123" name="直接箭头连接符 123"/>
                <wp:cNvGraphicFramePr/>
                <a:graphic xmlns:a="http://schemas.openxmlformats.org/drawingml/2006/main">
                  <a:graphicData uri="http://schemas.microsoft.com/office/word/2010/wordprocessingShape">
                    <wps:wsp>
                      <wps:cNvCnPr/>
                      <wps:spPr>
                        <a:xfrm flipV="1">
                          <a:off x="0" y="0"/>
                          <a:ext cx="456565" cy="63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y;margin-left:330.6pt;margin-top:363.8pt;height:0.05pt;width:35.95pt;z-index:251696128;mso-width-relative:page;mso-height-relative:page;" filled="f" stroked="t" coordsize="21600,21600" o:gfxdata="UEsDBAoAAAAAAIdO4kAAAAAAAAAAAAAAAAAEAAAAZHJzL1BLAwQUAAAACACHTuJA5/cwTNcAAAAL&#10;AQAADwAAAGRycy9kb3ducmV2LnhtbE2Py07EMAxF90j8Q2QkdkzSVkpQaToCRBezQswg1pnGtBWJ&#10;U5rMg78nsIGl7aPrc5v12Tt2xCVOgTQUKwEMqQ92okHD6667uQUWkyFrXCDU8IUR1u3lRWNqG070&#10;gsdtGlgOoVgbDWNKc8157Ef0Jq7CjJRv72HxJuVxGbhdzCmHe8dLIST3ZqL8YTQzPo7Yf2wPXkNV&#10;onz4xOe3J+G52HjV3W9cp/X1VSHugCU8pz8YfvSzOrTZaR8OZCNzGqQsyoxqUKWSwDKhqqoAtv/d&#10;KOBtw/93aL8BUEsDBBQAAAAIAIdO4kB0yY6EEwIAAAMEAAAOAAAAZHJzL2Uyb0RvYy54bWytU82O&#10;0zAQviPxDpbvNN0uW6Go6R5alguCSvzcp46TWPKfPN6mfQleAIkTcII97Z2ngeUxGDuhC8tlDySS&#10;NZ6fz/N9Hi/O90aznQyonK34yWTKmbTC1cq2FX/z+uLRE84wgq1BOysrfpDIz5cPHyx6X8qZ65yu&#10;ZWAEYrHsfcW7GH1ZFCg6aQAnzktLwcYFA5G2oS3qAD2hG13MptN50btQ++CERCTvegjyETHcB9A1&#10;jRJy7cSlkTYOqEFqiEQJO+WRL3O3TSNFfNk0KCPTFSemMa90CNnbtBbLBZRtAN8pMbYA92nhDicD&#10;ytKhR6g1RGCXQf0DZZQIDl0TJ8KZYiCSFSEWJ9M72rzqwMvMhaRGfxQd/x+seLHbBKZqmoTZKWcW&#10;DF35zfvrH+8+3Vx9/f7x+ue3D8n+8pmlBJKr91hS1cpuwrhDvwmJ+74JhjVa+beEltUgfmyfxT4c&#10;xZb7yAQ5H5/N6edMUGh+epagiwEjYfmA8Zl0hiWj4hgDqLaLK2ct3akLAz7snmMcCn8XpGLrLpTW&#10;5IdSW9ZnfLpwATSuDY0JmcYTZbQtZ6BbegcihtwxOq3qVJ2KMbTblQ5sB2l68je2+VdaOnoN2A15&#10;OZTSoOwk1E9tzeLBk6qWntPgj6D0rT8GBbbVkqdOjaw505I6StZATVuSJsk+CJ2srasPWf/sp9nI&#10;4o1znIbvz32uvn27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9zBM1wAAAAsBAAAPAAAAAAAA&#10;AAEAIAAAACIAAABkcnMvZG93bnJldi54bWxQSwECFAAUAAAACACHTuJAdMmOhBMCAAADBAAADgAA&#10;AAAAAAABACAAAAAmAQAAZHJzL2Uyb0RvYy54bWxQSwUGAAAAAAYABgBZAQAAqw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18656" behindDoc="0" locked="0" layoutInCell="1" allowOverlap="1" wp14:anchorId="5F56F12B" wp14:editId="256EE4E6">
                <wp:simplePos x="0" y="0"/>
                <wp:positionH relativeFrom="column">
                  <wp:posOffset>3504565</wp:posOffset>
                </wp:positionH>
                <wp:positionV relativeFrom="paragraph">
                  <wp:posOffset>2508885</wp:posOffset>
                </wp:positionV>
                <wp:extent cx="8255" cy="233680"/>
                <wp:effectExtent l="32385" t="0" r="35560" b="13970"/>
                <wp:wrapNone/>
                <wp:docPr id="259" name="直接箭头连接符 259"/>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75.95pt;margin-top:197.55pt;height:18.4pt;width:0.65pt;z-index:251718656;mso-width-relative:page;mso-height-relative:page;" filled="f" stroked="t" coordsize="21600,21600" o:gfxdata="UEsDBAoAAAAAAIdO4kAAAAAAAAAAAAAAAAAEAAAAZHJzL1BLAwQUAAAACACHTuJAw4nCdNoAAAAL&#10;AQAADwAAAGRycy9kb3ducmV2LnhtbE2PTUvEMBCG74L/IYzgRXbTbo3Y2ukiC+5FEKyy52w7tsUm&#10;KUm6H/56x5N7HN6H932mXJ/MKA7kw+AsQrpMQJBtXDvYDuHz42XxCCJEbVs9OksIZwqwrq6vSl20&#10;7mjf6VDHTnCJDYVG6GOcCilD05PRYekmspx9OW905NN3svX6yOVmlKskeZBGD5YXej3Rpqfmu54N&#10;wnOX+fPPrjFq3m7ecr+tX9VdjXh7kyZPICKd4j8Mf/qsDhU77d1s2yBGBKXSnFGELFcpCCaUylYg&#10;9gj3GUeyKuXlD9UvUEsDBBQAAAAIAIdO4kBOALjfEwIAAPkDAAAOAAAAZHJzL2Uyb0RvYy54bWyt&#10;U0uOEzEQ3SNxB8t70vkoUYjSmUXCsEEwEnCAitvdbck/uTzp5BJcAIkVsAJWs5/TwHAMyu6QwLCZ&#10;Bb1wl8uuV/VelZcXe6PZTgZUzpZ8NBhyJq1wlbJNyd++uXwy5wwj2Aq0s7LkB4n8YvX40bLzCzl2&#10;rdOVDIxALC46X/I2Rr8oChStNIAD56Wlw9oFA5G2oSmqAB2hG12Mh8NZ0blQ+eCERCTvpj/kR8Tw&#10;EEBX10rIjRPXRtrYowapIRIlbJVHvsrV1rUU8VVdo4xMl5yYxrxSErK3aS1WS1g0AXyrxLEEeEgJ&#10;9zgZUJaSnqA2EIFdB/UPlFEiOHR1HAhnip5IVoRYjIb3tHndgpeZC0mN/iQ6/j9Y8XJ3FZiqSj6e&#10;PuXMgqGW372/+fHu0923r98/3vy8/ZDsL59ZukBydR4XFLW2V+G4Q38VEvd9HUz6Eyu2zxIfThLL&#10;fWSCnPPxdMqZoIPxZDKb5wYU51AfMD6XzrBklBxjANW0ce2spVa6MMoiw+4FRkpOgb8DUl7rLpXW&#10;uaPasq7ks8mU+iyAprSm6SDTeGKKtuEMdEPjL2LIiOi0qlJ0wsHQbNc6sB2koclfIk7Z/rqWUm8A&#10;2/5eRVY/Ta2E6pmtWDx40tLSI+r9EZQ++2NQYBsteSrUyIozLamgZPW5tKWUSexe3mRtXXXIqmc/&#10;TUQu6ji9aeT+3Ofo84td/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icJ02gAAAAsBAAAPAAAA&#10;AAAAAAEAIAAAACIAAABkcnMvZG93bnJldi54bWxQSwECFAAUAAAACACHTuJATgC43xMCAAD5AwAA&#10;DgAAAAAAAAABACAAAAApAQAAZHJzL2Uyb0RvYy54bWxQSwUGAAAAAAYABgBZAQAArgU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17632" behindDoc="0" locked="0" layoutInCell="1" allowOverlap="1" wp14:anchorId="2A502313" wp14:editId="5F5E495F">
                <wp:simplePos x="0" y="0"/>
                <wp:positionH relativeFrom="column">
                  <wp:posOffset>1958340</wp:posOffset>
                </wp:positionH>
                <wp:positionV relativeFrom="paragraph">
                  <wp:posOffset>2508250</wp:posOffset>
                </wp:positionV>
                <wp:extent cx="8255" cy="233680"/>
                <wp:effectExtent l="32385" t="0" r="35560" b="13970"/>
                <wp:wrapNone/>
                <wp:docPr id="257" name="直接箭头连接符 257"/>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54.2pt;margin-top:197.5pt;height:18.4pt;width:0.65pt;z-index:251717632;mso-width-relative:page;mso-height-relative:page;" filled="f" stroked="t" coordsize="21600,21600" o:gfxdata="UEsDBAoAAAAAAIdO4kAAAAAAAAAAAAAAAAAEAAAAZHJzL1BLAwQUAAAACACHTuJAxrP1ftsAAAAL&#10;AQAADwAAAGRycy9kb3ducmV2LnhtbE2PTUvEMBCG74L/IYzgRXaT2q22tekiC+5FWLAunrPN2Bab&#10;pCTpfvjrHU96m2Ee3nnean02IzuiD4OzEpKlAIa2dXqwnYT9+8siBxaislqNzqKECwZY19dXlSq1&#10;O9k3PDaxYxRiQ6kk9DFOJeeh7dGosHQTWrp9Om9UpNV3XHt1onAz8nshHrhRg6UPvZpw02P71cxG&#10;wnOX+sv3R2uyebvZFX7bvGZ3jZS3N4l4AhbxHP9g+NUndajJ6eBmqwMbJaQiXxFKQ5FRKSJSUTwC&#10;O0hYpUkOvK74/w71D1BLAwQUAAAACACHTuJAhgTkeRMCAAD5AwAADgAAAGRycy9lMm9Eb2MueG1s&#10;rVNLjhMxEN0jcQfLe9L5KGEUpTOLhGGDIBJwgIrb3W3JP7k86eQSXACJFbACVrOf08BwDMrukMCw&#10;mQW9cJfLrlf1XpUXl3uj2U4GVM6WfDQYciatcJWyTcnfvrl6csEZRrAVaGdlyQ8S+eXy8aNF5+dy&#10;7FqnKxkYgVicd77kbYx+XhQoWmkAB85LS4e1CwYibUNTVAE6Qje6GA+Hs6JzofLBCYlI3nV/yI+I&#10;4SGArq6VkGsnro20sUcNUkMkStgqj3yZq61rKeKrukYZmS45MY15pSRkb9NaLBcwbwL4VoljCfCQ&#10;Eu5xMqAsJT1BrSECuw7qHyijRHDo6jgQzhQ9kawIsRgN72nzugUvMxeSGv1JdPx/sOLlbhOYqko+&#10;nj7lzIKhlt+9v/nx7tPdt6/fP978vP2Q7C+fWbpAcnUe5xS1sptw3KHfhMR9XweT/sSK7bPEh5PE&#10;ch+ZIOfFeDrlTNDBeDKZXeQGFOdQHzA+l86wZJQcYwDVtHHlrKVWujDKIsPuBUZKToG/A1Je666U&#10;1rmj2rKu5LPJlPosgKa0pukg03hiirbhDHRD4y9iyIjotKpSdMLB0GxXOrAdpKHJXyJO2f66llKv&#10;Adv+XkVWP02thOqZrVg8eNLS0iPq/RGUPvtjUGAbLXkq1MiKMy2poGT1ubSllEnsXt5kbV11yKpn&#10;P01ELuo4vWnk/tzn6POLX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rP1ftsAAAALAQAADwAA&#10;AAAAAAABACAAAAAiAAAAZHJzL2Rvd25yZXYueG1sUEsBAhQAFAAAAAgAh07iQIYE5HkTAgAA+QMA&#10;AA4AAAAAAAAAAQAgAAAAKgEAAGRycy9lMm9Eb2MueG1sUEsFBgAAAAAGAAYAWQEAAK8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16608" behindDoc="0" locked="0" layoutInCell="1" allowOverlap="1" wp14:anchorId="3F31A790" wp14:editId="6EF62849">
                <wp:simplePos x="0" y="0"/>
                <wp:positionH relativeFrom="column">
                  <wp:posOffset>1262380</wp:posOffset>
                </wp:positionH>
                <wp:positionV relativeFrom="paragraph">
                  <wp:posOffset>2515870</wp:posOffset>
                </wp:positionV>
                <wp:extent cx="8255" cy="233680"/>
                <wp:effectExtent l="32385" t="0" r="35560" b="13970"/>
                <wp:wrapNone/>
                <wp:docPr id="151" name="直接箭头连接符 151"/>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99.4pt;margin-top:198.1pt;height:18.4pt;width:0.65pt;z-index:251716608;mso-width-relative:page;mso-height-relative:page;" filled="f" stroked="t" coordsize="21600,21600" o:gfxdata="UEsDBAoAAAAAAIdO4kAAAAAAAAAAAAAAAAAEAAAAZHJzL1BLAwQUAAAACACHTuJAw2YUTtoAAAAL&#10;AQAADwAAAGRycy9kb3ducmV2LnhtbE2PT0vDQBTE74LfYXmCF7GbNLY0MZsiBXsRBKP0vM2+JsHs&#10;27C76R8/vc+TPQ4zzPymXJ/tII7oQ+9IQTpLQCA1zvTUKvj6fH1cgQhRk9GDI1RwwQDr6vam1IVx&#10;J/rAYx1bwSUUCq2gi3EspAxNh1aHmRuR2Ds4b3Vk6VtpvD5xuR3kPEmW0uqeeKHTI246bL7rySp4&#10;aTN/+dk1djFtN++539Zvi4daqfu7NHkGEfEc/8Pwh8/oUDHT3k1kghhY5ytGjwqyfDkHwQneS0Hs&#10;FTxlWQKyKuX1h+oXUEsDBBQAAAAIAIdO4kBjiiVREgIAAPkDAAAOAAAAZHJzL2Uyb0RvYy54bWyt&#10;U0uOEzEQ3SNxB8t70vkoURSlM4uEYYMgEnCAitvdbck/lT3p5BJcAIkVsAJWs+c0MByDsjskMGxm&#10;QS/c5bLrVb1X5eXVwWi2lxiUsyUfDYacSStcpWxT8jevr5/MOQsRbAXaWVnyowz8avX40bLzCzl2&#10;rdOVREYgNiw6X/I2Rr8oiiBaaSAMnJeWDmuHBiJtsSkqhI7QjS7Gw+Gs6BxWHp2QIZB30x/yEyI+&#10;BNDVtRJy48SNkTb2qCg1RKIUWuUDX+Vq61qK+LKug4xMl5yYxrxSErJ3aS1WS1g0CL5V4lQCPKSE&#10;e5wMKEtJz1AbiMBuUP0DZZRAF1wdB8KZoieSFSEWo+E9bV614GXmQlIHfxY9/D9Y8WK/RaYqmoTp&#10;iDMLhlp+9+72x9uPd1+/fP9w+/Pb+2R//sTSBZKr82FBUWu7xdMu+C0m7ocaTfoTK3bIEh/PEstD&#10;ZIKc8/F0ypmgg/FkMpvnBhSXUI8hPpPOsGSUPEQE1bRx7aylVjocZZFh/zxESk6BvwNSXuuulda5&#10;o9qyruSzyZT6LICmtKbpINN4YhpswxnohsZfRMyIwWlVpeiEE7DZrTWyPaShyV8iTtn+upZSbyC0&#10;/b2KrH6aWgnVU1uxePSkpaVH1PsjKH3xR1RgGy15KtTIijMtqaBk9bm0pZRJ7F7eZO1cdcyqZz9N&#10;RC7qNL1p5P7c5+jLi13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NmFE7aAAAACwEAAA8AAAAA&#10;AAAAAQAgAAAAIgAAAGRycy9kb3ducmV2LnhtbFBLAQIUABQAAAAIAIdO4kBjiiVREgIAAPkDAAAO&#10;AAAAAAAAAAEAIAAAACkBAABkcnMvZTJvRG9jLnhtbFBLBQYAAAAABgAGAFkBAACtBQ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15584" behindDoc="0" locked="0" layoutInCell="1" allowOverlap="1" wp14:anchorId="747464B7" wp14:editId="3048A569">
                <wp:simplePos x="0" y="0"/>
                <wp:positionH relativeFrom="column">
                  <wp:posOffset>551815</wp:posOffset>
                </wp:positionH>
                <wp:positionV relativeFrom="paragraph">
                  <wp:posOffset>2501265</wp:posOffset>
                </wp:positionV>
                <wp:extent cx="8255" cy="233680"/>
                <wp:effectExtent l="32385" t="0" r="35560" b="13970"/>
                <wp:wrapNone/>
                <wp:docPr id="98" name="直接箭头连接符 98"/>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43.45pt;margin-top:196.95pt;height:18.4pt;width:0.65pt;z-index:251715584;mso-width-relative:page;mso-height-relative:page;" filled="f" stroked="t" coordsize="21600,21600" o:gfxdata="UEsDBAoAAAAAAIdO4kAAAAAAAAAAAAAAAAAEAAAAZHJzL1BLAwQUAAAACACHTuJAZzaArNoAAAAJ&#10;AQAADwAAAGRycy9kb3ducmV2LnhtbE2PTUvDQBCG74L/YRnBi7SbNrYmMZMiBXsRBGPxvM2OSTA7&#10;G3Y3/fDXu570NsM8vPO85eZsBnEk53vLCIt5AoK4sbrnFmH//jzLQPigWKvBMiFcyMOmur4qVaHt&#10;id/oWIdWxBD2hULoQhgLKX3TkVF+bkfiePu0zqgQV9dK7dQphptBLpNkLY3qOX7o1EjbjpqvejII&#10;T23qLt8fjVlNu+1r7nb1y+quRry9WSSPIAKdwx8Mv/pRHarodLATay8GhGydRxIhzdM4RCDLliAO&#10;CPdp8gCyKuX/BtUPUEsDBBQAAAAIAIdO4kA5RT5zEQIAAPcDAAAOAAAAZHJzL2Uyb0RvYy54bWyt&#10;U0uOEzEQ3SNxB8t70vkoUYjSmUXCsEEwEnAAx+3utuSfqjzp5BJcAIkVsAJWs5/TwHAMyu6QwLCZ&#10;Bb1wl8uuV/VelZcXe2vYTgFq70o+Ggw5U076Srum5G/fXD6Zc4ZRuEoY71TJDwr5xerxo2UXFmrs&#10;W28qBYxAHC66UPI2xrAoCpStsgIHPihHh7UHKyJtoSkqEB2hW1OMh8NZ0XmoAnipEMm76Q/5EREe&#10;AujrWku18fLaKhd7VFBGRKKErQ7IV7naulYyvqprVJGZkhPTmFdKQvY2rcVqKRYNiNBqeSxBPKSE&#10;e5ys0I6SnqA2Igp2DfofKKslePR1HEhvi55IVoRYjIb3tHndiqAyF5Iaw0l0/H+w8uXuCpiuSv6U&#10;+u6EpY7fvb/58e7T3bev3z/e/Lz9kOwvnxmdk1hdwAXFrN0VHHcYriAx39dg0584sX0W+HASWO0j&#10;k+Scj6dTziQdjCeT2TzLX5xDA2B8rrxlySg5RhC6aePaO0eN9DDKEovdC4yUnAJ/B6S8zl9qY3I/&#10;jWNdyWeTKXVZCprRmmaDTBuIJ7qGM2EaGn4ZISOiN7pK0QkHodmuDbCdSCOTv0Scsv11LaXeCGz7&#10;exVZ/Sy1SlTPXMXiIZCUjp5Q749Cm7M/ghauMYqnQq2qODOKCkpWn8s4SpnE7uVN1tZXh6x69tM8&#10;5KKOs5sG7s99jj6/1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zaArNoAAAAJAQAADwAAAAAA&#10;AAABACAAAAAiAAAAZHJzL2Rvd25yZXYueG1sUEsBAhQAFAAAAAgAh07iQDlFPnMRAgAA9wMAAA4A&#10;AAAAAAAAAQAgAAAAKQEAAGRycy9lMm9Eb2MueG1sUEsFBgAAAAAGAAYAWQEAAKw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14560" behindDoc="0" locked="0" layoutInCell="1" allowOverlap="1" wp14:anchorId="6DFE7A65" wp14:editId="56AA58F2">
                <wp:simplePos x="0" y="0"/>
                <wp:positionH relativeFrom="column">
                  <wp:posOffset>800735</wp:posOffset>
                </wp:positionH>
                <wp:positionV relativeFrom="paragraph">
                  <wp:posOffset>1746250</wp:posOffset>
                </wp:positionV>
                <wp:extent cx="8255" cy="233680"/>
                <wp:effectExtent l="32385" t="0" r="35560" b="13970"/>
                <wp:wrapNone/>
                <wp:docPr id="77" name="直接箭头连接符 77"/>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63.05pt;margin-top:137.5pt;height:18.4pt;width:0.65pt;z-index:251714560;mso-width-relative:page;mso-height-relative:page;" filled="f" stroked="t" coordsize="21600,21600" o:gfxdata="UEsDBAoAAAAAAIdO4kAAAAAAAAAAAAAAAAAEAAAAZHJzL1BLAwQUAAAACACHTuJA2mss2dsAAAAL&#10;AQAADwAAAGRycy9kb3ducmV2LnhtbE2PTUvDQBCG74L/YRnBi9hNUtPWmE2Rgr0IBaN43mbHJJid&#10;DbubfvjrnZ70+DIP7zxvuT7ZQRzQh96RgnSWgEBqnOmpVfDx/nK/AhGiJqMHR6jgjAHW1fVVqQvj&#10;jvSGhzq2gksoFFpBF+NYSBmaDq0OMzci8e3LeasjR99K4/WRy+0gsyRZSKt74g+dHnHTYfNdT1bB&#10;czv355/PxubTdrN79Nv6Nb+rlbq9SZMnEBFP8Q+Giz6rQ8VOezeRCWLgnC1SRhVky5xHXYhs+QBi&#10;r2CepiuQVSn/b6h+AVBLAwQUAAAACACHTuJA5zzzZBICAAD3AwAADgAAAGRycy9lMm9Eb2MueG1s&#10;rVNLjhMxEN0jcQfLe9L5KJlRlM4sEoYNgkjAASpud7cl/1T2pJNLcAEkVsAKWM2e08BwDMrukMCw&#10;mQW9cJfLrlf1XpUXV3uj2U5iUM6WfDQYciatcJWyTcnfvL5+cslZiGAr0M7Kkh9k4FfLx48WnZ/L&#10;sWudriQyArFh3vmStzH6eVEE0UoDYeC8tHRYOzQQaYtNUSF0hG50MR4OZ0XnsPLohAyBvOv+kB8R&#10;8SGArq6VkGsnboy0sUdFqSESpdAqH/gyV1vXUsSXdR1kZLrkxDTmlZKQvU1rsVzAvEHwrRLHEuAh&#10;JdzjZEBZSnqCWkMEdoPqHyijBLrg6jgQzhQ9kawIsRgN72nzqgUvMxeSOviT6OH/wYoXuw0yVZX8&#10;4oIzC4Y6fvfu9sfbj3dfv3z/cPvz2/tkf/7E6JzE6nyYU8zKbvC4C36Difm+RpP+xInts8CHk8By&#10;H5kg5+V4OuVM0MF4MpldZvmLc6jHEJ9JZ1gySh4igmrauHLWUiMdjrLEsHseIiWnwN8BKa9110rr&#10;3E9tWVfy2WRKXRZAM1rTbJBpPPEMtuEMdEPDLyJmxOC0qlJ0wgnYbFca2Q7SyOQvEadsf11LqdcQ&#10;2v5eRVY/S62E6qmtWDx4ktLSE+r9EZQ++yMqsI2WPBVqZMWZllRQsvpc2lLKJHYvb7K2rjpk1bOf&#10;5iEXdZzdNHB/7nP0+b0u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ayzZ2wAAAAsBAAAPAAAA&#10;AAAAAAEAIAAAACIAAABkcnMvZG93bnJldi54bWxQSwECFAAUAAAACACHTuJA5zzzZBICAAD3AwAA&#10;DgAAAAAAAAABACAAAAAqAQAAZHJzL2Uyb0RvYy54bWxQSwUGAAAAAAYABgBZAQAArgU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13536" behindDoc="0" locked="0" layoutInCell="1" allowOverlap="1" wp14:anchorId="60231740" wp14:editId="3D3FDC33">
                <wp:simplePos x="0" y="0"/>
                <wp:positionH relativeFrom="column">
                  <wp:posOffset>1580515</wp:posOffset>
                </wp:positionH>
                <wp:positionV relativeFrom="paragraph">
                  <wp:posOffset>1734820</wp:posOffset>
                </wp:positionV>
                <wp:extent cx="8255" cy="233680"/>
                <wp:effectExtent l="32385" t="0" r="35560" b="13970"/>
                <wp:wrapNone/>
                <wp:docPr id="75" name="直接箭头连接符 75"/>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24.45pt;margin-top:136.6pt;height:18.4pt;width:0.65pt;z-index:251713536;mso-width-relative:page;mso-height-relative:page;" filled="f" stroked="t" coordsize="21600,21600" o:gfxdata="UEsDBAoAAAAAAIdO4kAAAAAAAAAAAAAAAAAEAAAAZHJzL1BLAwQUAAAACACHTuJAA1Wle9oAAAAL&#10;AQAADwAAAGRycy9kb3ducmV2LnhtbE2PTUvEMBCG74L/IYzgRdykrdXd2nSRBfciLFjFc7Yd22Iz&#10;KUm6H/56x5Pe3mEe3nmmXJ/sKA7ow+BIQ7JQIJAa1w7UaXh/e75dggjRUGtGR6jhjAHW1eVFaYrW&#10;HekVD3XsBJdQKIyGPsapkDI0PVoTFm5C4t2n89ZEHn0nW2+OXG5HmSp1L60ZiC/0ZsJNj81XPVsN&#10;T13mz98fjc3n7Wa38tv6Jb+ptb6+StQjiIin+AfDrz6rQ8VOezdTG8SoIb1brhjl8JClIJhIc8Vh&#10;ryFLlAJZlfL/D9UPUEsDBBQAAAAIAIdO4kDDEBqAEQIAAPcDAAAOAAAAZHJzL2Uyb0RvYy54bWyt&#10;U0uOEzEQ3SNxB8t70vkoYRSlM4uEYYMgEnAAx+3utuSfqjzp5BJcAIkVsAJWs5/TwHAMyu6QwLCZ&#10;Bb3oLpe73qv3XF5c7q1hOwWovSv5aDDkTDnpK+2akr99c/XkgjOMwlXCeKdKflDIL5ePHy26MFdj&#10;33pTKWAE4nDehZK3MYZ5UaBslRU48EE52qw9WBFpCU1RgegI3ZpiPBzOis5DFcBLhUjZdb/Jj4jw&#10;EEBf11qqtZfXVrnYo4IyIpIkbHVAvszd1rWS8VVdo4rMlJyUxvwmEoq36V0sF2LegAitlscWxENa&#10;uKfJCu2I9AS1FlGwa9D/QFktwaOv40B6W/RCsiOkYjS8583rVgSVtZDVGE6m4/+DlS93G2C6KvnT&#10;KWdOWDrxu/c3P959uvv29fvHm5+3H1L85TOjfTKrCzinmpXbwHGFYQNJ+b4Gm76kie2zwYeTwWof&#10;maTkxXhKLJI2xpPJ7CLbX5xLA2B8rrxlKSg5RhC6aePKO0cH6WGULRa7FxiJnAp/FyRe56+0Mfk8&#10;jWNdyWeTKZ2yFDSjNc0GhTaQTnQNZ8I0NPwyQkZEb3SVqhMOQrNdGWA7kUYmP0k4sf31W6JeC2z7&#10;/yqK+llqlaieuYrFQyArHV2hPh+FNud8BC1cYxRPjVpVcWYUNZSinss4okxm9/amaOurQ3Y952ke&#10;clPH2U0D9+c6V5/v6/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1Wle9oAAAALAQAADwAAAAAA&#10;AAABACAAAAAiAAAAZHJzL2Rvd25yZXYueG1sUEsBAhQAFAAAAAgAh07iQMMQGoARAgAA9wMAAA4A&#10;AAAAAAAAAQAgAAAAKQEAAGRycy9lMm9Eb2MueG1sUEsFBgAAAAAGAAYAWQEAAKw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12512" behindDoc="0" locked="0" layoutInCell="1" allowOverlap="1" wp14:anchorId="55EF6439" wp14:editId="5BE4B46C">
                <wp:simplePos x="0" y="0"/>
                <wp:positionH relativeFrom="column">
                  <wp:posOffset>2400935</wp:posOffset>
                </wp:positionH>
                <wp:positionV relativeFrom="paragraph">
                  <wp:posOffset>1734820</wp:posOffset>
                </wp:positionV>
                <wp:extent cx="8255" cy="233680"/>
                <wp:effectExtent l="32385" t="0" r="35560" b="13970"/>
                <wp:wrapNone/>
                <wp:docPr id="73" name="直接箭头连接符 73"/>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89.05pt;margin-top:136.6pt;height:18.4pt;width:0.65pt;z-index:251712512;mso-width-relative:page;mso-height-relative:page;" filled="f" stroked="t" coordsize="21600,21600" o:gfxdata="UEsDBAoAAAAAAIdO4kAAAAAAAAAAAAAAAAAEAAAAZHJzL1BLAwQUAAAACACHTuJAZ6PARNsAAAAL&#10;AQAADwAAAGRycy9kb3ducmV2LnhtbE2PTUvEMBCG74L/IYzgRdykrWt3a9NFFtyLIFjFc7Yd22Iz&#10;KUm6H/56x5PeZpiHd5633JzsKA7ow+BIQ7JQIJAa1w7UaXh/e7pdgQjRUGtGR6jhjAE21eVFaYrW&#10;HekVD3XsBIdQKIyGPsapkDI0PVoTFm5C4tun89ZEXn0nW2+OHG5HmSp1L60ZiD/0ZsJtj81XPVsN&#10;j13mz98fjV3Ou+3L2u/q5+VNrfX1VaIeQEQ8xT8YfvVZHSp22ruZ2iBGDVm+ShjVkOZZCoKJLF/f&#10;gdjzkCgFsirl/w7VD1BLAwQUAAAACACHTuJA7mJQdhICAAD3AwAADgAAAGRycy9lMm9Eb2MueG1s&#10;rVNLjhMxEN0jcQfLe9L5KGEUpTOLhGGDIBJwgIrb3W3JP7k86eQSXACJFbACVrOf08BwDMrukMCw&#10;mQW9cJfLrlf1XpUXl3uj2U4GVM6WfDQYciatcJWyTcnfvrl6csEZRrAVaGdlyQ8S+eXy8aNF5+dy&#10;7FqnKxkYgVicd77kbYx+XhQoWmkAB85LS4e1CwYibUNTVAE6Qje6GA+Hs6JzofLBCYlI3nV/yI+I&#10;4SGArq6VkGsnro20sUcNUkMkStgqj3yZq61rKeKrukYZmS45MY15pSRkb9NaLBcwbwL4VoljCfCQ&#10;Eu5xMqAsJT1BrSECuw7qHyijRHDo6jgQzhQ9kawIsRgN72nzugUvMxeSGv1JdPx/sOLlbhOYqkr+&#10;dMKZBUMdv3t/8+Pdp7tvX79/vPl5+yHZXz4zOiexOo9zilnZTTju0G9CYr6vg0l/4sT2WeDDSWC5&#10;j0yQ82I8nXIm6GA8mcwusvzFOdQHjM+lMywZJccYQDVtXDlrqZEujLLEsHuBkZJT4O+AlNe6K6V1&#10;7qe2rCv5bDKlLgugGa1pNsg0nniibTgD3dDwixgyIjqtqhSdcDA025UObAdpZPKXiFO2v66l1GvA&#10;tr9XkdXPUiuhemYrFg+epLT0hHp/BKXP/hgU2EZLngo1suJMSyooWX0ubSllEruXN1lbVx2y6tlP&#10;85CLOs5uGrg/9zn6/F6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o8BE2wAAAAsBAAAPAAAA&#10;AAAAAAEAIAAAACIAAABkcnMvZG93bnJldi54bWxQSwECFAAUAAAACACHTuJA7mJQdhICAAD3AwAA&#10;DgAAAAAAAAABACAAAAAqAQAAZHJzL2Uyb0RvYy54bWxQSwUGAAAAAAYABgBZAQAArgU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11488" behindDoc="0" locked="0" layoutInCell="1" allowOverlap="1" wp14:anchorId="6FEA8BA4" wp14:editId="13FC0ED0">
                <wp:simplePos x="0" y="0"/>
                <wp:positionH relativeFrom="column">
                  <wp:posOffset>3240405</wp:posOffset>
                </wp:positionH>
                <wp:positionV relativeFrom="paragraph">
                  <wp:posOffset>1717040</wp:posOffset>
                </wp:positionV>
                <wp:extent cx="8255" cy="233680"/>
                <wp:effectExtent l="32385" t="0" r="35560" b="13970"/>
                <wp:wrapNone/>
                <wp:docPr id="68" name="直接箭头连接符 68"/>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55.15pt;margin-top:135.2pt;height:18.4pt;width:0.65pt;z-index:251711488;mso-width-relative:page;mso-height-relative:page;" filled="f" stroked="t" coordsize="21600,21600" o:gfxdata="UEsDBAoAAAAAAIdO4kAAAAAAAAAAAAAAAAAEAAAAZHJzL1BLAwQUAAAACACHTuJA3h1Kr9sAAAAL&#10;AQAADwAAAGRycy9kb3ducmV2LnhtbE2PTUvEMBRF94L/ITzBjThJWjujtekgA85GGLCK60zzbIvN&#10;S0nS+fDXG1e6fNzDvedV65Md2QF9GBwpkAsBDKl1ZqBOwfvb8+09sBA1GT06QgVnDLCuLy8qXRp3&#10;pFc8NLFjqYRCqRX0MU4l56Ht0eqwcBNSyj6dtzqm03fceH1M5XbkmRBLbvVAaaHXE256bL+a2Sp4&#10;6nJ//v5obTFvN7sHv21eiptGqesrKR6BRTzFPxh+9ZM61Mlp72YygY0KCinyhCrIVuIOWCIKKZfA&#10;9gpyscqA1xX//0P9A1BLAwQUAAAACACHTuJAFGFANhACAAD3AwAADgAAAGRycy9lMm9Eb2MueG1s&#10;rVNLjhMxEN0jcQfLe9L5KFEUpTOLhGGDIBJwgIrb3W3JP7k86eQSXACJFbACVrPnNDAcg7I7JDBs&#10;ZkEv3OWy61W9V+Xl1cFotpcBlbMlHw2GnEkrXKVsU/I3r6+fzDnDCLYC7aws+VEiv1o9frTs/EKO&#10;Xet0JQMjEIuLzpe8jdEvigJFKw3gwHlp6bB2wUCkbWiKKkBH6EYX4+FwVnQuVD44IRHJu+kP+Qkx&#10;PATQ1bUScuPEjZE29qhBaohECVvlka9ytXUtRXxZ1ygj0yUnpjGvlITsXVqL1RIWTQDfKnEqAR5S&#10;wj1OBpSlpGeoDURgN0H9A2WUCA5dHQfCmaInkhUhFqPhPW1eteBl5kJSoz+Ljv8PVrzYbwNTVcln&#10;1HcLhjp+9+72x9uPd1+/fP9w+/Pb+2R//sTonMTqPC4oZm234bRDvw2J+aEOJv2JEztkgY9ngeUh&#10;MkHO+Xg65UzQwXgymc2z/MUl1AeMz6QzLBklxxhANW1cO2upkS6MssSwf46RklPg74CU17prpXXu&#10;p7asI0KTKXVZAM1oTbNBpvHEE23DGeiGhl/EkBHRaVWl6ISDodmtdWB7SCOTv0Scsv11LaXeALb9&#10;vYqsfpZaCdVTW7F49CSlpSfU+yMoffHHoMA2WvJUqJEVZ1pSQcnqc2lLKZPYvbzJ2rnqmFXPfpqH&#10;XNRpdtPA/bnP0Zf3u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h1Kr9sAAAALAQAADwAAAAAA&#10;AAABACAAAAAiAAAAZHJzL2Rvd25yZXYueG1sUEsBAhQAFAAAAAgAh07iQBRhQDYQAgAA9wMAAA4A&#10;AAAAAAAAAQAgAAAAKgEAAGRycy9lMm9Eb2MueG1sUEsFBgAAAAAGAAYAWQEAAKw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10464" behindDoc="0" locked="0" layoutInCell="1" allowOverlap="1" wp14:anchorId="47D0FB55" wp14:editId="3746C771">
                <wp:simplePos x="0" y="0"/>
                <wp:positionH relativeFrom="column">
                  <wp:posOffset>4418330</wp:posOffset>
                </wp:positionH>
                <wp:positionV relativeFrom="paragraph">
                  <wp:posOffset>617855</wp:posOffset>
                </wp:positionV>
                <wp:extent cx="264795" cy="6985"/>
                <wp:effectExtent l="0" t="36195" r="1905" b="33020"/>
                <wp:wrapNone/>
                <wp:docPr id="64" name="直接箭头连接符 64"/>
                <wp:cNvGraphicFramePr/>
                <a:graphic xmlns:a="http://schemas.openxmlformats.org/drawingml/2006/main">
                  <a:graphicData uri="http://schemas.microsoft.com/office/word/2010/wordprocessingShape">
                    <wps:wsp>
                      <wps:cNvCnPr/>
                      <wps:spPr>
                        <a:xfrm flipV="1">
                          <a:off x="0" y="0"/>
                          <a:ext cx="264795" cy="6985"/>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y;margin-left:347.9pt;margin-top:48.65pt;height:0.55pt;width:20.85pt;z-index:251710464;mso-width-relative:page;mso-height-relative:page;" filled="f" stroked="t" coordsize="21600,21600" o:gfxdata="UEsDBAoAAAAAAIdO4kAAAAAAAAAAAAAAAAAEAAAAZHJzL1BLAwQUAAAACACHTuJAtd+Q1NoAAAAJ&#10;AQAADwAAAGRycy9kb3ducmV2LnhtbE2PzU7DMBCE70i8g7VI3KjTljRtiNMDIhKiUoDCA7jxNgmJ&#10;7Sje/r09y6kcd3Y08022PtteHHEMrXcKppMIBLrKm9bVCr6/iocliEDaGd17hwouGGCd395kOjX+&#10;5D7xuKVacIgLqVbQEA2plKFq0Oow8QM6/u39aDXxOdbSjPrE4baXsyhaSKtbxw2NHvC5warbHqyC&#10;n/LtNR4uRVe8b6gs99Th7ONFqfu7afQEgvBMVzP84TM65My08wdngugVLFYxo5OCVTIHwYZknsQg&#10;diwsH0Hmmfy/IP8FUEsDBBQAAAAIAIdO4kCygJiFGAIAAAEEAAAOAAAAZHJzL2Uyb0RvYy54bWyt&#10;U81uEzEQviPxDpbvZNPQhHaVTQ8J5YKgEj/3iX92LflPtptNXoIXQOIEnAqn3nkaKI/B2BtSKJce&#10;8MEaz3i+me/zeH62NZpsRIjK2YYejcaUCMscV7Zt6JvX549OKIkJLAftrGjoTkR6tnj4YN77Wkxc&#10;5zQXgSCIjXXvG9ql5OuqiqwTBuLIeWExKF0wkPAY2ooH6BHd6GoyHs+q3gXug2MiRvSuhiDdI4b7&#10;ADopFRMrxy6NsGlADUJDQkqxUz7SRelWSsHSSymjSEQ3FJmmsmMRtNd5rxZzqNsAvlNs3wLcp4U7&#10;nAwoi0UPUCtIQC6D+gfKKBZcdDKNmDPVQKQogiyOxne0edWBF4ULSh39QfT4/2DZi81FIIo3dHZM&#10;iQWDL37z/vrHu083X798/3j989uHbF99JhhHsXofa8xZ2ouwP0V/ETLzrQyGSK38W5yqogWyI9si&#10;9e4gtdgmwtA5mR0/OZ1SwjA0Oz2ZZuxqAMlgPsT0TDhDstHQmAKotktLZy0+qQtDAdg8j2lI/J2Q&#10;k607V1qjH2ptSY8FHk/xvRngtEqcEjSNR8bRtpSAbvEbsBRKy9FpxXN2To6hXS91IBvIw1PWvs2/&#10;ruXSK4jdcI+jlW9B3QngTy0naedRVIufafAnUPrWn4IC22pBc6NGcEq0wIayNTDTFpXJsg9CZ2vt&#10;+K7oX/w4GUW7/RTn0fvzXLJvf+7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fkNTaAAAACQEA&#10;AA8AAAAAAAAAAQAgAAAAIgAAAGRycy9kb3ducmV2LnhtbFBLAQIUABQAAAAIAIdO4kCygJiFGAIA&#10;AAEEAAAOAAAAAAAAAAEAIAAAACkBAABkcnMvZTJvRG9jLnhtbFBLBQYAAAAABgAGAFkBAACzBQAA&#10;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09440" behindDoc="0" locked="0" layoutInCell="1" allowOverlap="1" wp14:anchorId="315E128B" wp14:editId="00FA25D5">
                <wp:simplePos x="0" y="0"/>
                <wp:positionH relativeFrom="column">
                  <wp:posOffset>2877185</wp:posOffset>
                </wp:positionH>
                <wp:positionV relativeFrom="paragraph">
                  <wp:posOffset>738505</wp:posOffset>
                </wp:positionV>
                <wp:extent cx="8255" cy="233680"/>
                <wp:effectExtent l="32385" t="0" r="35560" b="13970"/>
                <wp:wrapNone/>
                <wp:docPr id="41" name="直接箭头连接符 41"/>
                <wp:cNvGraphicFramePr/>
                <a:graphic xmlns:a="http://schemas.openxmlformats.org/drawingml/2006/main">
                  <a:graphicData uri="http://schemas.microsoft.com/office/word/2010/wordprocessingShape">
                    <wps:wsp>
                      <wps:cNvCnPr/>
                      <wps:spPr>
                        <a:xfrm>
                          <a:off x="0" y="0"/>
                          <a:ext cx="8255" cy="23368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26.55pt;margin-top:58.15pt;height:18.4pt;width:0.65pt;z-index:251709440;mso-width-relative:page;mso-height-relative:page;" filled="f" stroked="t" coordsize="21600,21600" o:gfxdata="UEsDBAoAAAAAAIdO4kAAAAAAAAAAAAAAAAAEAAAAZHJzL1BLAwQUAAAACACHTuJAcUt67dkAAAAL&#10;AQAADwAAAGRycy9kb3ducmV2LnhtbE2PTUvEMBCG74L/IYzgRXbT2nbR2nSRBfciCFbZc7YZ22Iz&#10;KUm6H/56Z096nHle3nmmWp/sKA7ow+BIQbpMQCC1zgzUKfj8eFk8gAhRk9GjI1RwxgDr+vqq0qVx&#10;R3rHQxM7wSUUSq2gj3EqpQxtj1aHpZuQmH05b3Xk0XfSeH3kcjvK+yRZSasH4gu9nnDTY/vdzFbB&#10;c5f588+utcW83bw9+m3zWtw1St3epMkTiIin+BeGiz6rQ81OezeTCWJUkBdZylEG6SoDwYm8yHMQ&#10;e95ckKwr+f+H+hdQSwMEFAAAAAgAh07iQOlGlV0SAgAA9wMAAA4AAABkcnMvZTJvRG9jLnhtbK1T&#10;S44TMRDdI3EHy3vS+ZBoFKUzi4RhgyAScICK291tyT+VPenkElwAiRWwAlazn9PAcAzK7pDAsJkF&#10;vXCXy65X9V6VF5d7o9lOYlDOlnw0GHImrXCVsk3J3765enLBWYhgK9DOypIfZOCXy8ePFp2fy7Fr&#10;na4kMgKxYd75krcx+nlRBNFKA2HgvLR0WDs0EGmLTVEhdIRudDEeDmdF57Dy6IQMgbzr/pAfEfEh&#10;gK6ulZBrJ66NtLFHRakhEqXQKh/4Mldb11LEV3UdZGS65MQ05pWSkL1Na7FcwLxB8K0SxxLgISXc&#10;42RAWUp6glpDBHaN6h8oowS64Oo4EM4UPZGsCLEYDe9p87oFLzMXkjr4k+jh/8GKl7sNMlWV/OmI&#10;MwuGOn73/ubHu093375+/3jz8/ZDsr98ZnROYnU+zClmZTd43AW/wcR8X6NJf+LE9lngw0lguY9M&#10;kPNiPJ1yJuhgPJnMLrL8xTnUY4jPpTMsGSUPEUE1bVw5a6mRDkdZYti9CJGSU+DvgJTXuiulde6n&#10;tqwr+WwypS4LoBmtaTbINJ54BttwBrqh4RcRM2JwWlUpOuEEbLYrjWwHaWTyl4hTtr+updRrCG1/&#10;ryKrn6VWQvXMViwePElp6Qn1/ghKn/0RFdhGS54KNbLiTEsqKFl9Lm0pZRK7lzdZW1cdsurZT/OQ&#10;izrObhq4P/c5+vxe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Ut67dkAAAALAQAADwAAAAAA&#10;AAABACAAAAAiAAAAZHJzL2Rvd25yZXYueG1sUEsBAhQAFAAAAAgAh07iQOlGlV0SAgAA9wMAAA4A&#10;AAAAAAAAAQAgAAAAKAEAAGRycy9lMm9Eb2MueG1sUEsFBgAAAAAGAAYAWQEAAKwFA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08416" behindDoc="0" locked="0" layoutInCell="1" allowOverlap="1" wp14:anchorId="178A0CDC" wp14:editId="261C1B68">
                <wp:simplePos x="0" y="0"/>
                <wp:positionH relativeFrom="column">
                  <wp:posOffset>1551305</wp:posOffset>
                </wp:positionH>
                <wp:positionV relativeFrom="paragraph">
                  <wp:posOffset>747395</wp:posOffset>
                </wp:positionV>
                <wp:extent cx="635" cy="241935"/>
                <wp:effectExtent l="37465" t="0" r="38100" b="5715"/>
                <wp:wrapNone/>
                <wp:docPr id="37" name="直接箭头连接符 37"/>
                <wp:cNvGraphicFramePr/>
                <a:graphic xmlns:a="http://schemas.openxmlformats.org/drawingml/2006/main">
                  <a:graphicData uri="http://schemas.microsoft.com/office/word/2010/wordprocessingShape">
                    <wps:wsp>
                      <wps:cNvCnPr/>
                      <wps:spPr>
                        <a:xfrm>
                          <a:off x="0" y="0"/>
                          <a:ext cx="635" cy="241935"/>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22.15pt;margin-top:58.85pt;height:19.05pt;width:0.05pt;z-index:251708416;mso-width-relative:page;mso-height-relative:page;" filled="f" stroked="t" coordsize="21600,21600" o:gfxdata="UEsDBAoAAAAAAIdO4kAAAAAAAAAAAAAAAAAEAAAAZHJzL1BLAwQUAAAACACHTuJAonL/3NoAAAAL&#10;AQAADwAAAGRycy9kb3ducmV2LnhtbE2PzU7DMBCE70i8g7VIXFDrpE3aEuJUqBK9ICEREGc3XpKI&#10;eB3ZTn94epYTHHfm0+xMuT3bQRzRh96RgnSegEBqnOmpVfD+9jTbgAhRk9GDI1RwwQDb6vqq1IVx&#10;J3rFYx1bwSEUCq2gi3EspAxNh1aHuRuR2Pt03urIp2+l8frE4XaQiyRZSat74g+dHnHXYfNVT1bB&#10;Y7v0l++PxubTfvdy7/f1c35XK3V7kyYPICKe4x8Mv/W5OlTc6eAmMkEMChZZtmSUjXS9BsEEKxmI&#10;Ayt5vgFZlfL/huoHUEsDBBQAAAAIAIdO4kDOEWh+DQIAAPYDAAAOAAAAZHJzL2Uyb0RvYy54bWyt&#10;U0uOEzEQ3SNxB8t70kkGBmilM4uEYYNgJOAAFdvdbck/lT35XIILILECVgyr2XMaGI5B2R0SGDaz&#10;oBfdz2XXq3rP1bOzrTVsrTBq7xo+GY05U054qV3X8Ldvzh884SwmcBKMd6rhOxX52fz+vdkm1Grq&#10;e2+kQkYkLtab0PA+pVBXVRS9shBHPihHm61HC4mW2FUSYUPs1lTT8fi02niUAb1QMVJ0OWzyPSPe&#10;hdC3rRZq6cWlVS4NrKgMJJIUex0in5du21aJ9Kpto0rMNJyUpvKmIoRX+V3NZ1B3CKHXYt8C3KWF&#10;W5osaEdFD1RLSMAuUf9DZbVAH32bRsLbahBSHCEVk/Etb173EFTRQlbHcDA9/j9a8XJ9gUzLhp88&#10;5syBpRu/eX/9492nm69X3z9e//z2IeMvnxntk1mbEGvKWbgL3K9iuMCsfNuizV/SxLbF4N3BYLVN&#10;TFDw9OQRZ4Li04eTp4SJojpmBozpufKWZdDwmBB016eFd47u0eOkOAzrFzENib8Tclnnz7UxFIfa&#10;OLYpteiSBdCItjQaBG0gmdF1nIHpaPZFwsIYvdEyZ+fkiN1qYZCtIU9MefZt/nUsl15C7IdzklA+&#10;BXWvQD5zkqVdICcd/UFDPIE2x3hCDa4ziudGrZKcGUUNZTQoM46cyV4P7ma08nJXTC9xGofi3X50&#10;87z9uS7Zx991/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icv/c2gAAAAsBAAAPAAAAAAAAAAEA&#10;IAAAACIAAABkcnMvZG93bnJldi54bWxQSwECFAAUAAAACACHTuJAzhFofg0CAAD2AwAADgAAAAAA&#10;AAABACAAAAApAQAAZHJzL2Uyb0RvYy54bWxQSwUGAAAAAAYABgBZAQAAqAU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704320" behindDoc="0" locked="0" layoutInCell="1" allowOverlap="1" wp14:anchorId="1F542EB3" wp14:editId="7B9056E9">
                <wp:simplePos x="0" y="0"/>
                <wp:positionH relativeFrom="column">
                  <wp:posOffset>1715770</wp:posOffset>
                </wp:positionH>
                <wp:positionV relativeFrom="paragraph">
                  <wp:posOffset>4989195</wp:posOffset>
                </wp:positionV>
                <wp:extent cx="290830" cy="5080"/>
                <wp:effectExtent l="0" t="34290" r="13970" b="36830"/>
                <wp:wrapNone/>
                <wp:docPr id="145" name="直接箭头连接符 145"/>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35.1pt;margin-top:392.85pt;height:0.4pt;width:22.9pt;z-index:251704320;mso-width-relative:page;mso-height-relative:page;" filled="f" stroked="t" coordsize="21600,21600" o:gfxdata="UEsDBAoAAAAAAIdO4kAAAAAAAAAAAAAAAAAEAAAAZHJzL1BLAwQUAAAACACHTuJAYQHQ+NoAAAAL&#10;AQAADwAAAGRycy9kb3ducmV2LnhtbE2PTU/DMAyG70j8h8hIXNCWtGjtKE13QAIJiQsdSDt6TWgr&#10;Gqdq0n3w6/FOcLT96PXzlpuTG8TBTqH3pCFZKhCWGm96ajV8bJ8XaxAhIhkcPFkNZxtgU11flVgY&#10;f6R3e6hjKziEQoEauhjHQsrQdNZhWPrREt++/OQw8ji10kx45HA3yFSpTDrsiT90ONqnzjbf9ew0&#10;REXbup93r/Hl/PCj3tJB4d2n1rc3iXoEEe0p/sFw0Wd1qNhp72cyQQwa0lyljGrI16scBBP3Scbt&#10;9pdNtgJZlfJ/h+oXUEsDBBQAAAAIAIdO4kBDgeyMEQIAAPoDAAAOAAAAZHJzL2Uyb0RvYy54bWyt&#10;U82O0zAQviPxDpbvNGmXrpaq6R5alguCSsADTB0nseQ/ebxN+xK8ABIn4ASc9s7TwPIYjJ3SwnLZ&#10;Azkk47Hnm/k+f5lf7oxmWxlQOVvx8ajkTFrhamXbir95ffXogjOMYGvQzsqK7yXyy8XDB/Pez+TE&#10;dU7XMjACsTjrfcW7GP2sKFB00gCOnJeWNhsXDERahraoA/SEbnQxKcvzoneh9sEJiUjZ1bDJD4jh&#10;PoCuaZSQKyeujbRxQA1SQyRK2CmPfJGnbRop4sumQRmZrjgxjflNTSjepHexmMOsDeA7JQ4jwH1G&#10;uMPJgLLU9Ai1ggjsOqh/oIwSwaFr4kg4UwxEsiLEYlze0eZVB15mLiQ1+qPo+P9gxYvtOjBVkxMe&#10;TzmzYOjKb9/d/Hj78fbrl+8fbn5+e5/iz59YOkBy9R5nVLW063BYoV+HxH3XBJO+xIrtssT7o8Ry&#10;F5mg5ORJeXFG4gvampYX+QKKU6kPGJ9JZ1gKKo4xgGq7uHTW0lW6MM4iw/Y5RmpOhb8LUl/rrpTW&#10;+Ua1ZX3Fz8+mqRWQSxtyB4XGE1O0LWegW7K/iCEjotOqTtUJB0O7WerAtpBMk59EnLr9dSy1XgF2&#10;w7m8Ndipk1A/tTWLe09iWvqLhnwEpU/5GBTYVkueJjWy5kxLmihFQzNtqWdSe9A3RRtX77PsOU+W&#10;yFMd7Js89+c6V59+2c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QHQ+NoAAAALAQAADwAAAAAA&#10;AAABACAAAAAiAAAAZHJzL2Rvd25yZXYueG1sUEsBAhQAFAAAAAgAh07iQEOB7IwRAgAA+gMAAA4A&#10;AAAAAAAAAQAgAAAAKQEAAGRycy9lMm9Eb2MueG1sUEsFBgAAAAAGAAYAWQEAAKwFA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07392" behindDoc="0" locked="0" layoutInCell="1" allowOverlap="1" wp14:anchorId="6B6334F2" wp14:editId="57F319BB">
                <wp:simplePos x="0" y="0"/>
                <wp:positionH relativeFrom="column">
                  <wp:posOffset>1022350</wp:posOffset>
                </wp:positionH>
                <wp:positionV relativeFrom="paragraph">
                  <wp:posOffset>4983480</wp:posOffset>
                </wp:positionV>
                <wp:extent cx="290830" cy="5080"/>
                <wp:effectExtent l="0" t="34290" r="13970" b="36830"/>
                <wp:wrapNone/>
                <wp:docPr id="141" name="直接箭头连接符 141"/>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80.5pt;margin-top:392.4pt;height:0.4pt;width:22.9pt;z-index:251707392;mso-width-relative:page;mso-height-relative:page;" filled="f" stroked="t" coordsize="21600,21600" o:gfxdata="UEsDBAoAAAAAAIdO4kAAAAAAAAAAAAAAAAAEAAAAZHJzL1BLAwQUAAAACACHTuJAm7fZT9kAAAAL&#10;AQAADwAAAGRycy9kb3ducmV2LnhtbE2PT0vEMBDF74LfIYzgRXaTFu2utekeBAXBi10Fj9kmtsVk&#10;Uprp/vHTO3vS27yZx5v3qzbH4MXeTWmIqCFbKhAO22gH7DS8b58WaxCJDFrjIzoNJ5dgU19eVKa0&#10;8YBvbt9QJzgEU2k09ERjKWVqexdMWsbRId++4hQMsZw6aSdz4PDgZa5UIYMZkD/0ZnSPvWu/mzlo&#10;IIXbZpg/X+j5dP+jXnOvzM2H1tdXmXoAQe5If2Y41+fqUHOnXZzRJuFZFxmzkIbV+pYZ2JGrgofd&#10;eXNXgKwr+Z+h/gVQSwMEFAAAAAgAh07iQPfjUe8RAgAA+gMAAA4AAABkcnMvZTJvRG9jLnhtbK1T&#10;zY7TMBC+I/EOlu80aZddlarpHlqWC4JKwANMHSex5D95vE37ErwAEifgBJz2ztPA8hiMndLCctkD&#10;OSTjseeb+T5/mV/ujGZbGVA5W/HxqORMWuFqZduKv3l99WjKGUawNWhnZcX3Evnl4uGDee9ncuI6&#10;p2sZGIFYnPW+4l2MflYUKDppAEfOS0ubjQsGIi1DW9QBekI3upiU5UXRu1D74IREpOxq2OQHxHAf&#10;QNc0SsiVE9dG2jigBqkhEiXslEe+yNM2jRTxZdOgjExXnJjG/KYmFG/Su1jMYdYG8J0ShxHgPiPc&#10;4WRAWWp6hFpBBHYd1D9QRong0DVxJJwpBiJZEWIxLu9o86oDLzMXkhr9UXT8f7DixXYdmKrJCY/H&#10;nFkwdOW3725+vP14+/XL9w83P7+9T/HnTywdILl6jzOqWtp1OKzQr0PivmuCSV9ixXZZ4v1RYrmL&#10;TFBy8qScnpH4grbOy2m+gOJU6gPGZ9IZloKKYwyg2i4unbV0lS6Ms8iwfY6RmlPh74LU17orpXW+&#10;UW1ZX/GLs/PUCsilDbmDQuOJKdqWM9At2V/EkBHRaVWn6oSDod0sdWBbSKbJTyJO3f46llqvALvh&#10;XN4a7NRJqJ/amsW9JzEt/UVDPoLSp3wMCmyrJU+TGllzpiVNlKKhmbbUM6k96Juijav3WfacJ0vk&#10;qQ72TZ77c52rT7/s4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t9lP2QAAAAsBAAAPAAAAAAAA&#10;AAEAIAAAACIAAABkcnMvZG93bnJldi54bWxQSwECFAAUAAAACACHTuJA9+NR7xECAAD6AwAADgAA&#10;AAAAAAABACAAAAAoAQAAZHJzL2Uyb0RvYy54bWxQSwUGAAAAAAYABgBZAQAAqw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3840" behindDoc="0" locked="0" layoutInCell="1" allowOverlap="1" wp14:anchorId="242EF17A" wp14:editId="37F2A74B">
                <wp:simplePos x="0" y="0"/>
                <wp:positionH relativeFrom="column">
                  <wp:posOffset>579120</wp:posOffset>
                </wp:positionH>
                <wp:positionV relativeFrom="paragraph">
                  <wp:posOffset>1738630</wp:posOffset>
                </wp:positionV>
                <wp:extent cx="4445" cy="486410"/>
                <wp:effectExtent l="37465" t="0" r="34290" b="8890"/>
                <wp:wrapNone/>
                <wp:docPr id="99" name="直接箭头连接符 99"/>
                <wp:cNvGraphicFramePr/>
                <a:graphic xmlns:a="http://schemas.openxmlformats.org/drawingml/2006/main">
                  <a:graphicData uri="http://schemas.microsoft.com/office/word/2010/wordprocessingShape">
                    <wps:wsp>
                      <wps:cNvCnPr/>
                      <wps:spPr>
                        <a:xfrm flipH="1">
                          <a:off x="0" y="0"/>
                          <a:ext cx="4445" cy="4864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45.6pt;margin-top:136.9pt;height:38.3pt;width:0.35pt;z-index:251683840;mso-width-relative:page;mso-height-relative:page;" filled="f" stroked="t" coordsize="21600,21600" o:gfxdata="UEsDBAoAAAAAAIdO4kAAAAAAAAAAAAAAAAAEAAAAZHJzL1BLAwQUAAAACACHTuJAbiHiTtcAAAAJ&#10;AQAADwAAAGRycy9kb3ducmV2LnhtbE2Py07DMBBF90j8gzVI7KidFNomxKkAkUVXiIJYu/E0ibDH&#10;IXYf/D3DCpajOTr33mp99k4ccYpDIA3ZTIFAaoMdqNPw/tbcrEDEZMgaFwg1fGOEdX15UZnShhO9&#10;4nGbOsESiqXR0Kc0llLGtkdv4iyMSPzbh8mbxOfUSTuZE8u9k7lSC+nNQJzQmxGfemw/twevYZ7j&#10;4vELXz6elZdq45fNw8Y1Wl9fZeoeRMJz+oPhtz5Xh5o77cKBbBROQ5HlTGrIl3OewECRFSB2LL9T&#10;tyDrSv5fUP8AUEsDBBQAAAAIAIdO4kDEIX7mGgIAAAIEAAAOAAAAZHJzL2Uyb0RvYy54bWytU81u&#10;EzEQviPxDpbvZJOSRu0qmx4SCgcEkYAHmHi9u5b8p7GbTV6CF0DiBJyAU+88DZTHYOwNKZRLD+zB&#10;Gs/sfDPfN+P5xc5otpUYlLMVn4zGnEkrXK1sW/E3ry8fnXEWItgatLOy4nsZ+MXi4YN570t54jqn&#10;a4mMQGwoe1/xLkZfFkUQnTQQRs5LS8HGoYFIV2yLGqEndKOLk/F4VvQOa49OyBDIuxqC/ICI9wF0&#10;TaOEXDlxZaSNAypKDZEohU75wBe526aRIr5smiAj0xUnpjGfVITsTTqLxRzKFsF3ShxagPu0cIeT&#10;AWWp6BFqBRHYFap/oIwS6IJr4kg4UwxEsiLEYjK+o82rDrzMXEjq4I+ih/8HK15s18hUXfHzc84s&#10;GJr4zbvrH28/3nz98v3D9c9v75P9+ROjOInV+1BSztKu8XALfo2J+a5Bwxqt/DPaqqwFsWO7LPX+&#10;KLXcRSbIOZ1OTzkTFJiezaaTPIhiAElgHkN8Kp1hyah4iAiq7eLSWUsjdTgUgO3zEKkNSvydkJKt&#10;u1Ra58lqy/qKzx6f0rwF0LY2tCVkGk+Mg205A93SMxARc8vBaVWn7IQTsN0sNbItpOXJX5KAqv31&#10;Wyq9gtAN/+XQsFadhPqJrVnce1LV0msa/BGUvvVHVGBbLXnq1MiaMy2po2QNxbSlmkn3QelkbVy9&#10;zwPIflqN3NVhjdPu/XnP2bdPd/E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iHiTtcAAAAJAQAA&#10;DwAAAAAAAAABACAAAAAiAAAAZHJzL2Rvd25yZXYueG1sUEsBAhQAFAAAAAgAh07iQMQhfuYaAgAA&#10;AgQAAA4AAAAAAAAAAQAgAAAAJgEAAGRycy9lMm9Eb2MueG1sUEsFBgAAAAAGAAYAWQEAALIFAAAA&#10;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94080" behindDoc="0" locked="0" layoutInCell="1" allowOverlap="1" wp14:anchorId="7308B725" wp14:editId="3066EA8C">
                <wp:simplePos x="0" y="0"/>
                <wp:positionH relativeFrom="column">
                  <wp:posOffset>4411345</wp:posOffset>
                </wp:positionH>
                <wp:positionV relativeFrom="paragraph">
                  <wp:posOffset>2492375</wp:posOffset>
                </wp:positionV>
                <wp:extent cx="4445" cy="1365250"/>
                <wp:effectExtent l="33655" t="0" r="38100" b="6350"/>
                <wp:wrapNone/>
                <wp:docPr id="119" name="直接箭头连接符 119"/>
                <wp:cNvGraphicFramePr/>
                <a:graphic xmlns:a="http://schemas.openxmlformats.org/drawingml/2006/main">
                  <a:graphicData uri="http://schemas.microsoft.com/office/word/2010/wordprocessingShape">
                    <wps:wsp>
                      <wps:cNvCnPr/>
                      <wps:spPr>
                        <a:xfrm>
                          <a:off x="0" y="0"/>
                          <a:ext cx="4445" cy="136525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347.35pt;margin-top:196.25pt;height:107.5pt;width:0.35pt;z-index:251694080;mso-width-relative:page;mso-height-relative:page;" filled="f" stroked="t" coordsize="21600,21600" o:gfxdata="UEsDBAoAAAAAAIdO4kAAAAAAAAAAAAAAAAAEAAAAZHJzL1BLAwQUAAAACACHTuJAlWTfndsAAAAL&#10;AQAADwAAAGRycy9kb3ducmV2LnhtbE2PTUvEMBCG74L/IYzgRdxk67Zra9M9CAqCl+0qeJxtYlts&#10;JqVJ98Nf73jS2wzz8M7zlpuTG8TBTqH3pGG5UCAsNd701Gp42z3d3oMIEcng4MlqONsAm+ryosTC&#10;+CNt7aGOreAQCgVq6GIcCylD01mHYeFHS3z79JPDyOvUSjPhkcPdIBOlMumwJ/7Q4WgfO9t81bPT&#10;EBXt6n7+eInP5/xbvSaDwpt3ra+vluoBRLSn+AfDrz6rQ8VOez+TCWLQkOWrNaMa7vIkBcFElqcr&#10;EHse1DoFWZXyf4fqB1BLAwQUAAAACACHTuJA2DDAqhMCAAD7AwAADgAAAGRycy9lMm9Eb2MueG1s&#10;rVPNjtMwEL4j8Q6W7zRtt62garqHluWCoBLwAFPHSSz5Tx5v074EL4DECTgBp73zNLA8BmOntLBc&#10;9kAOyXjs+Wa+z18Wl3uj2U4GVM6WfDQYciatcJWyTcnfvL569JgzjGAr0M7Kkh8k8svlwweLzs/l&#10;2LVOVzIwArE473zJ2xj9vChQtNIADpyXljZrFwxEWoamqAJ0hG50MR4OZ0XnQuWDExKRsut+kx8R&#10;w30AXV0rIddOXBtpY48apIZIlLBVHvkyT1vXUsSXdY0yMl1yYhrzm5pQvE3vYrmAeRPAt0ocR4D7&#10;jHCHkwFlqekJag0R2HVQ/0AZJYJDV8eBcKboiWRFiMVoeEebVy14mbmQ1OhPouP/gxUvdpvAVEVO&#10;GD3hzIKhK799d/Pj7cfbr1++f7j5+e19ij9/YukAydV5nFPVym7CcYV+ExL3fR1M+hIrts8SH04S&#10;y31kgpKTyWTKmaCN0cVsOp7mGyjOtT5gfCadYSkoOcYAqmnjyllLd+nCKKsMu+cYqTsV/i5Ija27&#10;UlrnK9WWdSWfXVADJoBsWpM9KDSeqKJtOAPdkP9FDBkRnVZVqk44GJrtSge2g+Sa/CTm1O2vY6n1&#10;GrDtz+Wt3k+thOqprVg8eFLT0m/U5yMofc7HoMA2WvI0qZEVZ1rSRCnqm2lLPZPcvcAp2rrqkHXP&#10;efJEnuro32S6P9e5+vzPL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WTfndsAAAALAQAADwAA&#10;AAAAAAABACAAAAAiAAAAZHJzL2Rvd25yZXYueG1sUEsBAhQAFAAAAAgAh07iQNgwwKoTAgAA+wMA&#10;AA4AAAAAAAAAAQAgAAAAKgEAAGRycy9lMm9Eb2MueG1sUEsFBgAAAAAGAAYAWQEAAK8FA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9984" behindDoc="0" locked="0" layoutInCell="1" allowOverlap="1" wp14:anchorId="7740CA1B" wp14:editId="0B96786E">
                <wp:simplePos x="0" y="0"/>
                <wp:positionH relativeFrom="column">
                  <wp:posOffset>2654935</wp:posOffset>
                </wp:positionH>
                <wp:positionV relativeFrom="paragraph">
                  <wp:posOffset>2504440</wp:posOffset>
                </wp:positionV>
                <wp:extent cx="635" cy="574040"/>
                <wp:effectExtent l="38100" t="0" r="37465" b="16510"/>
                <wp:wrapNone/>
                <wp:docPr id="110" name="直接箭头连接符 110"/>
                <wp:cNvGraphicFramePr/>
                <a:graphic xmlns:a="http://schemas.openxmlformats.org/drawingml/2006/main">
                  <a:graphicData uri="http://schemas.microsoft.com/office/word/2010/wordprocessingShape">
                    <wps:wsp>
                      <wps:cNvCnPr/>
                      <wps:spPr>
                        <a:xfrm flipH="1">
                          <a:off x="0" y="0"/>
                          <a:ext cx="635" cy="57404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09.05pt;margin-top:197.2pt;height:45.2pt;width:0.05pt;z-index:251689984;mso-width-relative:page;mso-height-relative:page;" filled="f" stroked="t" coordsize="21600,21600" o:gfxdata="UEsDBAoAAAAAAIdO4kAAAAAAAAAAAAAAAAAEAAAAZHJzL1BLAwQUAAAACACHTuJAnNHO1tcAAAAL&#10;AQAADwAAAGRycy9kb3ducmV2LnhtbE2Py07DMBBF90j8gzVI7KidEJU0xKkAkUVXiIK6duMhibDH&#10;IXYf/D3DCnbzOLpzpl6fvRNHnOMYSEO2UCCQumBH6jW8v7U3JYiYDFnjAqGGb4ywbi4valPZcKJX&#10;PG5TLziEYmU0DClNlZSxG9CbuAgTEu8+wuxN4nbupZ3NicO9k7lSS+nNSHxhMBM+Ddh9bg9ew22O&#10;y8cvfNk9Ky/Vxt+1DxvXan19lal7EAnP6Q+GX31Wh4ad9uFANgqnocjKjFEOWxUFCCZ4koPYc1EW&#10;Jcimlv9/aH4AUEsDBBQAAAAIAIdO4kAaAbCnFQIAAAMEAAAOAAAAZHJzL2Uyb0RvYy54bWytU81u&#10;EzEQviPxDpbvZJPSFhQl6SGhcEBQCXiAide7a8l/mnGzyUvwAkicgBNw6p2ngfIYjL0hhXLpgT2s&#10;xmPPN9/3eTw72zorNhrJBD+Xk9FYCu1VqI1v5/LN6/MHj6WgBL4GG7yey50meba4f2/Wx6k+Cl2w&#10;tUbBIJ6mfZzLLqU4rSpSnXZAoxC1580moIPES2yrGqFndGero/H4tOoD1hGD0kScXQ2bco+IdwEM&#10;TWOUXgV16bRPAypqC4klUWciyUVh2zRapZdNQzoJO5esNJU/N+F4nf/VYgbTFiF2Ru0pwF0o3NLk&#10;wHhueoBaQQJxieYfKGcUBgpNGqngqkFIcYRVTMa3vHnVQdRFC1tN8WA6/T9Y9WJzgcLUPAkT9sSD&#10;4yu/fnf14+3H669fvn+4+vntfY4/fxL5ANvVR5py1dJf4H5F8QKz9m2DTjTWxGeMVtxgfWJbzN4d&#10;zNbbJBQnTx+eSKE4f/LoeHxcoKsBI2NFpPRUBydyMJeUEEzbpWXwnu804IAPm+eUmAUX/i7IxT6c&#10;G2vL1Vov+tKLxSngcW14TDh0kSWTb6UA2/I7UAkLYwrW1Lk64xC266VFsYE8PeXLDnC3v47l1iug&#10;bjhXtoa56jTUT3wt0i6yq56f05BPYOxNPqEB31otM1OnaymsZkY5GppZzz2z7YPROVqHelf8L3me&#10;jcJqP8d5+P5cl+qbt7v4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zRztbXAAAACwEAAA8AAAAA&#10;AAAAAQAgAAAAIgAAAGRycy9kb3ducmV2LnhtbFBLAQIUABQAAAAIAIdO4kAaAbCnFQIAAAMEAAAO&#10;AAAAAAAAAAEAIAAAACYBAABkcnMvZTJvRG9jLnhtbFBLBQYAAAAABgAGAFkBAACt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03296" behindDoc="0" locked="0" layoutInCell="1" allowOverlap="1" wp14:anchorId="2696C8F0" wp14:editId="01A762C7">
                <wp:simplePos x="0" y="0"/>
                <wp:positionH relativeFrom="column">
                  <wp:posOffset>1982470</wp:posOffset>
                </wp:positionH>
                <wp:positionV relativeFrom="paragraph">
                  <wp:posOffset>4017010</wp:posOffset>
                </wp:positionV>
                <wp:extent cx="314325" cy="3810"/>
                <wp:effectExtent l="0" t="34925" r="9525" b="37465"/>
                <wp:wrapNone/>
                <wp:docPr id="129" name="直接箭头连接符 129"/>
                <wp:cNvGraphicFramePr/>
                <a:graphic xmlns:a="http://schemas.openxmlformats.org/drawingml/2006/main">
                  <a:graphicData uri="http://schemas.microsoft.com/office/word/2010/wordprocessingShape">
                    <wps:wsp>
                      <wps:cNvCnPr/>
                      <wps:spPr>
                        <a:xfrm flipH="1">
                          <a:off x="0" y="0"/>
                          <a:ext cx="31432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156.1pt;margin-top:316.3pt;height:0.3pt;width:24.75pt;z-index:251703296;mso-width-relative:page;mso-height-relative:page;" filled="f" stroked="t" coordsize="21600,21600" o:gfxdata="UEsDBAoAAAAAAIdO4kAAAAAAAAAAAAAAAAAEAAAAZHJzL1BLAwQUAAAACACHTuJAUJ2qYtcAAAAL&#10;AQAADwAAAGRycy9kb3ducmV2LnhtbE2Py07DMBBF90j8gzVI7KgdR3JRiFMBIouuEC1i7cbTJKof&#10;IXYf/D3TFSxn5urMufXq4h074ZzGGDQUCwEMQxftGHoNn9v24RFYyiZY42JADT+YYNXc3tSmsvEc&#10;PvC0yT0jSEiV0TDkPFWcp25Ab9IiThjoto+zN5nGued2NmeCe8elEIp7Mwb6MJgJXwfsDpuj11BK&#10;VC/f+P71JjwXa79sn9eu1fr+rhBPwDJe8l8YrvqkDg057eIx2MQcMQopKapBlVIBo0SpiiWw3XVT&#10;SuBNzf93aH4BUEsDBBQAAAAIAIdO4kAKXjGmGgIAAAQEAAAOAAAAZHJzL2Uyb0RvYy54bWytU81u&#10;EzEQviPxDpbvZPNDq7LKpoeEwgFBJOABHK9315L/NONmk5fgBZA4ASfKqXeeBspjMPaGFMqlB/aw&#10;Gs94vpnvm/H8fGcN2ypA7V3FJ6MxZ8pJX2vXVvztm4tHZ5xhFK4WxjtV8b1Cfr54+GDeh1JNfedN&#10;rYARiMOyDxXvYgxlUaDslBU48kE5CjYerIh0hLaoQfSEbk0xHY9Pi95DHcBLhUje1RDkB0S4D6Bv&#10;Gi3VystLq1wcUEEZEYkSdjogX+Rum0bJ+KppUEVmKk5MY/5TEbI36V8s5qJsQYROy0ML4j4t3OFk&#10;hXZU9Ai1ElGwS9D/QFktwaNv4kh6WwxEsiLEYjK+o83rTgSVuZDUGI6i4/+DlS+3a2C6pk2YPuHM&#10;CUsjv3l//ePdp5uvV98/Xv/89iHZXz6zdIHk6gOWlLV0azicMKwhcd81YFljdHhOaFkN4sd2Wez9&#10;UWy1i0ySczZ5PJuecCYpNDub5FEUA0gCC4DxmfKWJaPiGEHototL7xwN1cNQQGxfYKQ2KPF3Qkp2&#10;/kIbk2drHOsrfjo7oYlLQfva0J6QaQNxRtdyJkxLD0FGyC2jN7pO2QkHod0sDbCtSOuTvyQBVfvr&#10;Wiq9EtgN93JoWKxOifqpq1ncB5LV0Xsa/FFoc+uPoIVrjeKpU6tqzoyijpI1FDOOaibdB6WTtfH1&#10;Pg8g+2k5cleHRU7b9+c5Z98+3s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J2qYtcAAAALAQAA&#10;DwAAAAAAAAABACAAAAAiAAAAZHJzL2Rvd25yZXYueG1sUEsBAhQAFAAAAAgAh07iQApeMaYaAgAA&#10;BAQAAA4AAAAAAAAAAQAgAAAAJgEAAGRycy9lMm9Eb2MueG1sUEsFBgAAAAAGAAYAWQEAALIFAAAA&#10;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06368" behindDoc="0" locked="0" layoutInCell="1" allowOverlap="1" wp14:anchorId="0D8519A1" wp14:editId="4634E4D8">
                <wp:simplePos x="0" y="0"/>
                <wp:positionH relativeFrom="column">
                  <wp:posOffset>2689225</wp:posOffset>
                </wp:positionH>
                <wp:positionV relativeFrom="paragraph">
                  <wp:posOffset>4009390</wp:posOffset>
                </wp:positionV>
                <wp:extent cx="314325" cy="3810"/>
                <wp:effectExtent l="0" t="34925" r="9525" b="37465"/>
                <wp:wrapNone/>
                <wp:docPr id="126" name="直接箭头连接符 126"/>
                <wp:cNvGraphicFramePr/>
                <a:graphic xmlns:a="http://schemas.openxmlformats.org/drawingml/2006/main">
                  <a:graphicData uri="http://schemas.microsoft.com/office/word/2010/wordprocessingShape">
                    <wps:wsp>
                      <wps:cNvCnPr/>
                      <wps:spPr>
                        <a:xfrm flipH="1">
                          <a:off x="0" y="0"/>
                          <a:ext cx="31432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11.75pt;margin-top:315.7pt;height:0.3pt;width:24.75pt;z-index:251706368;mso-width-relative:page;mso-height-relative:page;" filled="f" stroked="t" coordsize="21600,21600" o:gfxdata="UEsDBAoAAAAAAIdO4kAAAAAAAAAAAAAAAAAEAAAAZHJzL1BLAwQUAAAACACHTuJAmYsdo9gAAAAL&#10;AQAADwAAAGRycy9kb3ducmV2LnhtbE2Py07DMBBF90j8gzVI7KidB2kV4lSAyKIrREFdu/GQRMTj&#10;ELsP/p7pCpYzc3Tn3Gp9dqM44hwGTxqShQKB1Ho7UKfh4725W4EI0ZA1oyfU8IMB1vX1VWVK60/0&#10;hsdt7ASHUCiNhj7GqZQytD06ExZ+QuLbp5+diTzOnbSzOXG4G2WqVCGdGYg/9GbC5x7br+3BachS&#10;LJ6+8XX3opxUG7dsHjdjo/XtTaIeQEQ8xz8YLvqsDjU77f2BbBCjhjzN7hnVUGRJDoKJfJlxu/1l&#10;kyqQdSX/d6h/AVBLAwQUAAAACACHTuJAR+gZ1xoCAAAEBAAADgAAAGRycy9lMm9Eb2MueG1srVNL&#10;jhMxEN0jcQfLe9L5MNGolc4sEgYWCCIBB6i43d2W/JPLk04uwQWQWAErYDV7TgPDMSi7QwaGzSzo&#10;Ratc5XpV71V5cbE3mu1kQOVsxSejMWfSClcr21b8zevLR+ecYQRbg3ZWVvwgkV8sHz5Y9L6UU9c5&#10;XcvACMRi2fuKdzH6sihQdNIAjpyXloKNCwYiHUNb1AF6Qje6mI7H86J3ofbBCYlI3vUQ5EfEcB9A&#10;1zRKyLUTV0baOKAGqSESJeyUR77M3TaNFPFl06CMTFecmMb8pyJkb9O/WC6gbAP4ToljC3CfFu5w&#10;MqAsFT1BrSECuwrqHyijRHDomjgSzhQDkawIsZiM72jzqgMvMxeSGv1JdPx/sOLFbhOYqmkTpnPO&#10;LBga+c276x9vP958/fL9w/XPb++T/fkTSxdIrt5jSVkruwnHE/pNSNz3TTCs0co/I7SsBvFj+yz2&#10;4SS23EcmyDmbPJ5NzzgTFJqdT/IoigEkgfmA8al0hiWj4hgDqLaLK2ctDdWFoQDsnmOkNijxd0JK&#10;tu5SaZ1nqy3rKz6fndHEBdC+NrQnZBpPnNG2nIFu6SGIGHLL6LSqU3bCwdBuVzqwHaT1yV+SgKr9&#10;dS2VXgN2w70cGhark1A/sTWLB0+yWnpPgz+C0rf+GBTYVkueOjWy5kxL6ihZQzFtqWbSfVA6WVtX&#10;H/IAsp+WI3d1XOS0fX+ec/bt41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LHaPYAAAACwEA&#10;AA8AAAAAAAAAAQAgAAAAIgAAAGRycy9kb3ducmV2LnhtbFBLAQIUABQAAAAIAIdO4kBH6BnXGgIA&#10;AAQEAAAOAAAAAAAAAAEAIAAAACcBAABkcnMvZTJvRG9jLnhtbFBLBQYAAAAABgAGAFkBAACzBQAA&#10;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97152" behindDoc="0" locked="0" layoutInCell="1" allowOverlap="1" wp14:anchorId="763C1004" wp14:editId="793F4E01">
                <wp:simplePos x="0" y="0"/>
                <wp:positionH relativeFrom="column">
                  <wp:posOffset>3416935</wp:posOffset>
                </wp:positionH>
                <wp:positionV relativeFrom="paragraph">
                  <wp:posOffset>4003040</wp:posOffset>
                </wp:positionV>
                <wp:extent cx="314325" cy="3810"/>
                <wp:effectExtent l="0" t="34925" r="9525" b="37465"/>
                <wp:wrapNone/>
                <wp:docPr id="124" name="直接箭头连接符 124"/>
                <wp:cNvGraphicFramePr/>
                <a:graphic xmlns:a="http://schemas.openxmlformats.org/drawingml/2006/main">
                  <a:graphicData uri="http://schemas.microsoft.com/office/word/2010/wordprocessingShape">
                    <wps:wsp>
                      <wps:cNvCnPr/>
                      <wps:spPr>
                        <a:xfrm flipH="1">
                          <a:off x="0" y="0"/>
                          <a:ext cx="31432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69.05pt;margin-top:315.2pt;height:0.3pt;width:24.75pt;z-index:251697152;mso-width-relative:page;mso-height-relative:page;" filled="f" stroked="t" coordsize="21600,21600" o:gfxdata="UEsDBAoAAAAAAIdO4kAAAAAAAAAAAAAAAAAEAAAAZHJzL1BLAwQUAAAACACHTuJAAelCgNkAAAAL&#10;AQAADwAAAGRycy9kb3ducmV2LnhtbE2Py27CMBBF90j9B2uQugM7pIQoxEFt1SxYVaVV1yYekgh7&#10;nMbm0b+vWZXlzBzdObfcXK1hZxx970hCMhfAkBqne2olfH3WsxyYD4q0Mo5Qwi962FQPk1IV2l3o&#10;A8+70LIYQr5QEroQhoJz33RolZ+7ASneDm60KsRxbLke1SWGW8MXQmTcqp7ih04N+Nphc9ydrIR0&#10;gdnLD75/vwnLxdau6uetqaV8nCZiDSzgNfzDcNOP6lBFp707kfbMSFimeRJRCVkqnoBFYpmvMmD7&#10;2yYRwKuS33eo/gBQSwMEFAAAAAgAh07iQNDgszsaAgAABAQAAA4AAABkcnMvZTJvRG9jLnhtbK1T&#10;zW4TMRC+I/EOlu9k89NW1SqbHhIKBwSRgAdwvN5dS/7TjJtNXoIXQOIEnKCn3nkaKI/B2BtSKJce&#10;2MNqPOP5Zr5vxvOLnTVsqwC1dxWfjMacKSd9rV1b8bdvLp+cc4ZRuFoY71TF9wr5xeLxo3kfSjX1&#10;nTe1AkYgDss+VLyLMZRFgbJTVuDIB+Uo2HiwItIR2qIG0RO6NcV0PD4reg91AC8VInlXQ5AfEOEh&#10;gL5ptFQrL6+scnFABWVEJErY6YB8kbttGiXjq6ZBFZmpODGN+U9FyN6kf7GYi7IFETotDy2Ih7Rw&#10;j5MV2lHRI9RKRMGuQP8DZbUEj76JI+ltMRDJihCLyfieNq87EVTmQlJjOIqO/w9WvtyugemaNmF6&#10;wpkTlkZ++/7mx7tPt9dfv3+8+fntQ7K/fGbpAsnVBywpa+nWcDhhWEPivmvAssbo8JzQshrEj+2y&#10;2Puj2GoXmSTnbHIym55yJik0O5/kURQDSAILgPGZ8pYlo+IYQei2i0vvHA3Vw1BAbF9gpDYo8XdC&#10;Snb+UhuTZ2sc6yt+NjuliUtB+9rQnpBpA3FG13ImTEsPQUbILaM3uk7ZCQeh3SwNsK1I65O/JAFV&#10;++taKr0S2A33cmhYrE6J+qmrWdwHktXRexr8UWhz54+ghWuN4qlTq2rOjKKOkjUUM45qJt0HpZO1&#10;8fU+DyD7aTlyV4dFTtv35zln3z3e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6UKA2QAAAAsB&#10;AAAPAAAAAAAAAAEAIAAAACIAAABkcnMvZG93bnJldi54bWxQSwECFAAUAAAACACHTuJA0OCzOxoC&#10;AAAEBAAADgAAAAAAAAABACAAAAAoAQAAZHJzL2Uyb0RvYy54bWxQSwUGAAAAAAYABgBZAQAAtAUA&#10;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05344" behindDoc="0" locked="0" layoutInCell="1" allowOverlap="1" wp14:anchorId="0CA07394" wp14:editId="027EA7F2">
                <wp:simplePos x="0" y="0"/>
                <wp:positionH relativeFrom="column">
                  <wp:posOffset>717550</wp:posOffset>
                </wp:positionH>
                <wp:positionV relativeFrom="paragraph">
                  <wp:posOffset>6028690</wp:posOffset>
                </wp:positionV>
                <wp:extent cx="635" cy="384810"/>
                <wp:effectExtent l="38100" t="0" r="37465" b="15240"/>
                <wp:wrapNone/>
                <wp:docPr id="165" name="直接箭头连接符 165"/>
                <wp:cNvGraphicFramePr/>
                <a:graphic xmlns:a="http://schemas.openxmlformats.org/drawingml/2006/main">
                  <a:graphicData uri="http://schemas.microsoft.com/office/word/2010/wordprocessingShape">
                    <wps:wsp>
                      <wps:cNvCnPr/>
                      <wps:spPr>
                        <a:xfrm flipH="1">
                          <a:off x="0" y="0"/>
                          <a:ext cx="635" cy="384810"/>
                        </a:xfrm>
                        <a:prstGeom prst="straightConnector1">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56.5pt;margin-top:474.7pt;height:30.3pt;width:0.05pt;z-index:251705344;mso-width-relative:page;mso-height-relative:page;" filled="f" stroked="t" coordsize="21600,21600" o:gfxdata="UEsDBAoAAAAAAIdO4kAAAAAAAAAAAAAAAAAEAAAAZHJzL1BLAwQUAAAACACHTuJA/tV89toAAAAM&#10;AQAADwAAAGRycy9kb3ducmV2LnhtbE2PzU7DMBCE70i8g7VI3KjttiAa4vSAiIRASqHtA7jJNgmJ&#10;11G8/Xt73BPcdrSjmW/S5dn14ohjaD0Z0BMFAqn0VUu1ge0mf3gGEdhSZXtPaOCCAZbZ7U1qk8qf&#10;6BuPa65FDKGQWAMN85BIGcoGnQ0TPyDF396PznKUYy2r0Z5iuOvlVKkn6WxLsaGxA742WHbrgzPw&#10;U3y8Pw6XvMtXn1wUe+5w+vVmzP2dVi8gGM/8Z4YrfkSHLDLt/IGqIPqo9SxuYQOL+WIO4urQMw1i&#10;Fw+llQKZpfL/iOwXUEsDBBQAAAAIAIdO4kCTTDi4FgIAAAIEAAAOAAAAZHJzL2Uyb0RvYy54bWyt&#10;U81uEzEQviPxDpbvZJMWoirKpoeEwgFBJOABHNu7a8l/mnGzyUvwAkicgBP01DtPA+UxGHtDCuXS&#10;Az5Y47Hnm/m+Gc/Pd86yrQY0wdd8Mhpzpr0Myvi25m/fXDw64wyT8ErY4HXN9xr5+eLhg3kfZ/ok&#10;dMEqDYxAPM76WPMupTirKpSddgJHIWpPl00AJxIdoa0UiJ7Qna1OxuNp1QdQEYLUiORdDZf8gAj3&#10;AQxNY6ReBXnptE8DKmgrElHCzkTki1Jt02iZXjUN6sRszYlpKjslIXuT92oxF7MWROyMPJQg7lPC&#10;HU5OGE9Jj1ArkQS7BPMPlDMSAoYmjWRw1UCkKEIsJuM72rzuRNSFC0mN8Sg6/j9Y+XK7BmYUTcL0&#10;CWdeOGr5zfvrH+8+3Vx9/f7x+ue3D9n+8pnlByRXH3FGUUu/hsMJ4xoy910DjjXWxOeEVtQgfmxX&#10;xN4fxda7xCQ5p6eUT5L/9Ozx2aR0ohowMlYETM90cCwbNccEwrRdWgbvqacBBnyxfYGJqqDA3wE5&#10;2IcLY21prfWsL7mo4VLQuDY0JmS6SJTRt5wJ29I/kAlKxRisUTk64yC0m6UFthV5esrKClC2v57l&#10;1CuB3fBOkTWMVaeFeuoVS/tIonr6TYM/CWNv/QmM8K3VPBfqtOLMaiooW0Mu6yllVn3QOVuboPZF&#10;/uKn0ShFHcY4z96f5xJ9+3U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Xz22gAAAAwBAAAP&#10;AAAAAAAAAAEAIAAAACIAAABkcnMvZG93bnJldi54bWxQSwECFAAUAAAACACHTuJAk0w4uBYCAAAC&#10;BAAADgAAAAAAAAABACAAAAApAQAAZHJzL2Uyb0RvYy54bWxQSwUGAAAAAAYABgBZAQAAsQUAAAAA&#10;">
                <v:fill on="f" focussize="0,0"/>
                <v:stroke weight="0.5pt" color="#000000 [3213]" joinstyle="round" dashstyle="dash" endarrow="block"/>
                <v:imagedata o:title=""/>
                <o:lock v:ext="edit" aspectratio="f"/>
              </v:shape>
            </w:pict>
          </mc:Fallback>
        </mc:AlternateContent>
      </w:r>
      <w:r>
        <w:rPr>
          <w:noProof/>
          <w:sz w:val="24"/>
        </w:rPr>
        <mc:AlternateContent>
          <mc:Choice Requires="wps">
            <w:drawing>
              <wp:anchor distT="0" distB="0" distL="114300" distR="114300" simplePos="0" relativeHeight="251699200" behindDoc="0" locked="0" layoutInCell="1" allowOverlap="1" wp14:anchorId="4FFDA4B6" wp14:editId="50A4C3FE">
                <wp:simplePos x="0" y="0"/>
                <wp:positionH relativeFrom="column">
                  <wp:posOffset>800735</wp:posOffset>
                </wp:positionH>
                <wp:positionV relativeFrom="paragraph">
                  <wp:posOffset>4170680</wp:posOffset>
                </wp:positionV>
                <wp:extent cx="6350" cy="646430"/>
                <wp:effectExtent l="32385" t="0" r="37465" b="1270"/>
                <wp:wrapNone/>
                <wp:docPr id="139" name="直接箭头连接符 139"/>
                <wp:cNvGraphicFramePr/>
                <a:graphic xmlns:a="http://schemas.openxmlformats.org/drawingml/2006/main">
                  <a:graphicData uri="http://schemas.microsoft.com/office/word/2010/wordprocessingShape">
                    <wps:wsp>
                      <wps:cNvCnPr/>
                      <wps:spPr>
                        <a:xfrm>
                          <a:off x="0" y="0"/>
                          <a:ext cx="6350" cy="64643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63.05pt;margin-top:328.4pt;height:50.9pt;width:0.5pt;z-index:251699200;mso-width-relative:page;mso-height-relative:page;" filled="f" stroked="t" coordsize="21600,21600" o:gfxdata="UEsDBAoAAAAAAIdO4kAAAAAAAAAAAAAAAAAEAAAAZHJzL1BLAwQUAAAACACHTuJASwmewNkAAAAL&#10;AQAADwAAAGRycy9kb3ducmV2LnhtbE2PzU7DMBCE70i8g7VIXBC1E6luCXF6QAIJiQspSBy3sUki&#10;4nUUO/3h6dme6HFmP83OlJujH8TeTbEPZCBbKBCOmmB7ag18bJ/v1yBiQrI4BHIGTi7Cprq+KrGw&#10;4UDvbl+nVnAIxQINdCmNhZSx6ZzHuAijI759h8ljYjm10k544HA/yFwpLT32xB86HN1T55qfevYG&#10;kqJt3c9fr+nl9PCr3vJB4d2nMbc3mXoEkdwx/cNwrs/VoeJOuzCTjWJgneuMUQN6qXnDmchX7OwM&#10;rJZrDbIq5eWG6g9QSwMEFAAAAAgAh07iQJiBQ7sOAgAA+gMAAA4AAABkcnMvZTJvRG9jLnhtbK1T&#10;zY7TMBC+I/EOlu807XapIGq6h5blgqAS8ABTx0ks+U8eb9O+BC+AxAk4wZ72ztPA8hiMndLCctkD&#10;OSTjsef75vs8mV/sjGZbGVA5W/HJaMyZtMLVyrYVf/vm8tETzjCCrUE7Kyu+l8gvFg8fzHtfyjPX&#10;OV3LwAjEYtn7incx+rIoUHTSAI6cl5Y2GxcMRFqGtqgD9IRudHE2Hs+K3oXaByckImVXwyY/IIb7&#10;ALqmUUKunLgy0sYBNUgNkSRhpzzyRe62aaSIr5oGZWS64qQ05jeRULxJ72Ixh7IN4DslDi3AfVq4&#10;o8mAskR6hFpBBHYV1D9QRong0DVxJJwpBiHZEVIxGd/x5nUHXmYtZDX6o+n4/2DFy+06MFXTJEyf&#10;cmbB0JXfvr/58e7T7fXX7x9vfn77kOIvn1k6QHb1HkuqWtp1OKzQr0PSvmuCSV9SxXbZ4v3RYrmL&#10;TFByNn1M1gvamJ3Pzqf5AopTqQ8Yn0tnWAoqjjGAaru4dNbSVbowySbD9gVGIqfC3wWJ17pLpXW+&#10;UW1ZfyQDmtKGpoN4jSelaFvOQLc0/iKGjIhOqzpVJxwM7WapA9tCGpr8JOHE9texRL0C7IZzeWsY&#10;p05C/czWLO49mWnpLxryEZQ+5WNQYFsteerUyJozLamjFA1k2hJncnvwN0UbV++z7TlPI5G7Ooxv&#10;mrk/17n69Ms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CZ7A2QAAAAsBAAAPAAAAAAAAAAEA&#10;IAAAACIAAABkcnMvZG93bnJldi54bWxQSwECFAAUAAAACACHTuJAmIFDuw4CAAD6AwAADgAAAAAA&#10;AAABACAAAAAoAQAAZHJzL2Uyb0RvYy54bWxQSwUGAAAAAAYABgBZAQAAqA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01248" behindDoc="0" locked="0" layoutInCell="1" allowOverlap="1" wp14:anchorId="5BFFCB00" wp14:editId="7F1BB622">
                <wp:simplePos x="0" y="0"/>
                <wp:positionH relativeFrom="column">
                  <wp:posOffset>1261110</wp:posOffset>
                </wp:positionH>
                <wp:positionV relativeFrom="paragraph">
                  <wp:posOffset>4027805</wp:posOffset>
                </wp:positionV>
                <wp:extent cx="314325" cy="3810"/>
                <wp:effectExtent l="0" t="34925" r="9525" b="37465"/>
                <wp:wrapNone/>
                <wp:docPr id="131" name="直接箭头连接符 131"/>
                <wp:cNvGraphicFramePr/>
                <a:graphic xmlns:a="http://schemas.openxmlformats.org/drawingml/2006/main">
                  <a:graphicData uri="http://schemas.microsoft.com/office/word/2010/wordprocessingShape">
                    <wps:wsp>
                      <wps:cNvCnPr/>
                      <wps:spPr>
                        <a:xfrm flipH="1">
                          <a:off x="0" y="0"/>
                          <a:ext cx="31432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99.3pt;margin-top:317.15pt;height:0.3pt;width:24.75pt;z-index:251701248;mso-width-relative:page;mso-height-relative:page;" filled="f" stroked="t" coordsize="21600,21600" o:gfxdata="UEsDBAoAAAAAAIdO4kAAAAAAAAAAAAAAAAAEAAAAZHJzL1BLAwQUAAAACACHTuJAI8ybGtcAAAAL&#10;AQAADwAAAGRycy9kb3ducmV2LnhtbE2PTU/DMAyG70j8h8hI3FjSdipdaToBooed0AbinDWmrWic&#10;0mQf/HsMFzi+9qPXj6v12Y3iiHMYPGlIFgoEUuvtQJ2G15fmpgARoiFrRk+o4QsDrOvLi8qU1p9o&#10;i8dd7ASXUCiNhj7GqZQytD06ExZ+QuLdu5+diRznTtrZnLjcjTJVKpfODMQXejPhY4/tx+7gNGQp&#10;5g+f+Pz2pJxUG3fb3G/GRuvrq0TdgYh4jn8w/OizOtTstPcHskGMnFdFzqiGPFtmIJhIl0UCYv87&#10;WYGsK/n/h/obUEsDBBQAAAAIAIdO4kCDJYB4GgIAAAQEAAAOAAAAZHJzL2Uyb0RvYy54bWytU81u&#10;EzEQviPxDpbvZPNDqyrKpoeGwgFBJOABHNu7a8l/mnGzyUvwAkicgBNw6p2ngfIYjL0hhXLpgT2s&#10;xjOeb+b7Zrw43znLthrQBF/zyWjMmfYyKOPbmr95ffnojDNMwithg9c132vk58uHDxZ9nOtp6IJV&#10;GhiBeJz3seZdSnFeVSg77QSOQtSegk0AJxIdoa0UiJ7Qna2m4/Fp1QdQEYLUiORdDUF+QIT7AIam&#10;MVKvgrxy2qcBFbQViShhZyLyZem2abRML5sGdWK25sQ0lT8VIXuT/9VyIeYtiNgZeWhB3KeFO5yc&#10;MJ6KHqFWIgl2BeYfKGckBAxNGsngqoFIUYRYTMZ3tHnViagLF5Ia41F0/H+w8sV2Dcwo2oTZhDMv&#10;HI385t31j7cfb75++f7h+ue399n+/InlCyRXH3FOWRd+DYcTxjVk7rsGHGusic8IrahB/NiuiL0/&#10;iq13iUlyziaPZ9MTziSFZmeTMopqAMlgETA91cGxbNQcEwjTdukieE9DDTAUENvnmKgNSvydkJN9&#10;uDTWltlaz/qan85OaOJS0L42tCdkukic0becCdvSQ5AJSssYrFE5O+MgtJsLC2wr8vqUL0tA1f66&#10;lkuvBHbDvRIaFqvTQj3xiqV9JFk9vafBn4Sxt/4ERvjWap47dVpxZjV1lK2hmPVUM+s+KJ2tTVD7&#10;MoDip+UoXR0WOW/fn+eSfft4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8ybGtcAAAALAQAA&#10;DwAAAAAAAAABACAAAAAiAAAAZHJzL2Rvd25yZXYueG1sUEsBAhQAFAAAAAgAh07iQIMlgHgaAgAA&#10;BAQAAA4AAAAAAAAAAQAgAAAAJgEAAGRycy9lMm9Eb2MueG1sUEsFBgAAAAAGAAYAWQEAALIFAAAA&#10;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92032" behindDoc="0" locked="0" layoutInCell="1" allowOverlap="1" wp14:anchorId="65272F35" wp14:editId="2B4B0402">
                <wp:simplePos x="0" y="0"/>
                <wp:positionH relativeFrom="column">
                  <wp:posOffset>2855595</wp:posOffset>
                </wp:positionH>
                <wp:positionV relativeFrom="paragraph">
                  <wp:posOffset>3199765</wp:posOffset>
                </wp:positionV>
                <wp:extent cx="290830" cy="5080"/>
                <wp:effectExtent l="0" t="34290" r="13970" b="36830"/>
                <wp:wrapNone/>
                <wp:docPr id="113" name="直接箭头连接符 113"/>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24.85pt;margin-top:251.95pt;height:0.4pt;width:22.9pt;z-index:251692032;mso-width-relative:page;mso-height-relative:page;" filled="f" stroked="t" coordsize="21600,21600" o:gfxdata="UEsDBAoAAAAAAIdO4kAAAAAAAAAAAAAAAAAEAAAAZHJzL1BLAwQUAAAACACHTuJAMIUZjNsAAAAL&#10;AQAADwAAAGRycy9kb3ducmV2LnhtbE2PTU/DMAyG70j8h8hIXBBLNlpGS9MdkEBC4rKOSTt6jWkr&#10;Gqdq0n3w68lOcLT96PXzFquT7cWBRt851jCfKRDEtTMdNxo+N6/3TyB8QDbYOyYNZ/KwKq+vCsyN&#10;O/KaDlVoRAxhn6OGNoQhl9LXLVn0MzcQx9uXGy2GOI6NNCMeY7jt5UKpR2mx4/ihxYFeWqq/q8lq&#10;CIo3VTft3sPbOftRH4te4d1W69ubuXoGEegU/mC46Ed1KKPT3k1svOg1JEm2jKiGVD1kICKRZGkK&#10;Yn/ZJEuQZSH/dyh/AVBLAwQUAAAACACHTuJAV6ifuhECAAD6AwAADgAAAGRycy9lMm9Eb2MueG1s&#10;rVPNjtMwEL4j8Q6W7zRpq12VqukeWpYLgpWAB5g6TmLJf/J4m/YleAEkTsAJOO19nwaWx2DslBaW&#10;yx7IIRmPPd/M9/nL4mJnNNvKgMrZio9HJWfSClcr21b87ZvLJzPOMIKtQTsrK76XyC+Wjx8tej+X&#10;E9c5XcvACMTivPcV72L086JA0UkDOHJeWtpsXDAQaRnaog7QE7rRxaQsz4vehdoHJyQiZdfDJj8g&#10;hocAuqZRQq6duDbSxgE1SA2RKGGnPPJlnrZppIivmgZlZLrixDTmNzWheJPexXIB8zaA75Q4jAAP&#10;GeEeJwPKUtMj1BoisOug/oEySgSHrokj4UwxEMmKEItxeU+b1x14mbmQ1OiPouP/gxUvt1eBqZqc&#10;MJ5yZsHQld+9v/nx7tPdt6/fP978vP2Q4i+fWTpAcvUe51S1slfhsEJ/FRL3XRNM+hIrtssS748S&#10;y11kgpKTp+VsSuIL2jorZ/kCilOpDxifS2dYCiqOMYBqu7hy1tJVujDOIsP2BUZqToW/C1Jf6y6V&#10;1vlGtWV9xc+nZ6kVkEsbcgeFxhNTtC1noFuyv4ghI6LTqk7VCQdDu1npwLaQTJOfRJy6/XUstV4D&#10;dsO5vDXYqZNQP7M1i3tPYlr6i4Z8BKVP+RgU2FZLniY1suZMS5ooRUMzbalnUnvQN0UbV++z7DlP&#10;lshTHeybPPfnOlefftn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CFGYzbAAAACwEAAA8AAAAA&#10;AAAAAQAgAAAAIgAAAGRycy9kb3ducmV2LnhtbFBLAQIUABQAAAAIAIdO4kBXqJ+6EQIAAPoDAAAO&#10;AAAAAAAAAAEAIAAAACoBAABkcnMvZTJvRG9jLnhtbFBLBQYAAAAABgAGAFkBAACt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8960" behindDoc="0" locked="0" layoutInCell="1" allowOverlap="1" wp14:anchorId="77E58EF3" wp14:editId="3CA9F265">
                <wp:simplePos x="0" y="0"/>
                <wp:positionH relativeFrom="column">
                  <wp:posOffset>3834765</wp:posOffset>
                </wp:positionH>
                <wp:positionV relativeFrom="paragraph">
                  <wp:posOffset>2359660</wp:posOffset>
                </wp:positionV>
                <wp:extent cx="290830" cy="5080"/>
                <wp:effectExtent l="0" t="34290" r="13970" b="36830"/>
                <wp:wrapNone/>
                <wp:docPr id="108" name="直接箭头连接符 108"/>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301.95pt;margin-top:185.8pt;height:0.4pt;width:22.9pt;z-index:251688960;mso-width-relative:page;mso-height-relative:page;" filled="f" stroked="t" coordsize="21600,21600" o:gfxdata="UEsDBAoAAAAAAIdO4kAAAAAAAAAAAAAAAAAEAAAAZHJzL1BLAwQUAAAACACHTuJAOvYOYtoAAAAL&#10;AQAADwAAAGRycy9kb3ducmV2LnhtbE2PTU/DMAyG70j8h8hIXBBL2k0dLU13QAIJiQsdSBy9xrQV&#10;jVM16T749WSncbT96PXzlpujHcSeJt871pAsFAjixpmeWw0f2+f7BxA+IBscHJOGE3nYVNdXJRbG&#10;Hfid9nVoRQxhX6CGLoSxkNI3HVn0CzcSx9u3myyGOE6tNBMeYrgdZKpUJi32HD90ONJTR81PPVsN&#10;QfG27uev1/Byyn/VWzoovPvU+vYmUY8gAh3DBYazflSHKjrt3MzGi0FDppZ5RDUs10kGIhLZKl+D&#10;2J036QpkVcr/Hao/UEsDBBQAAAAIAIdO4kDFtKv8EQIAAPoDAAAOAAAAZHJzL2Uyb0RvYy54bWyt&#10;U82O0zAQviPxDpbvNGlXuypV0z20LBcElYAHmDpOYsl/8nib9iV4ASROwAk47X2fBpbHYOyUFpbL&#10;HsjBGY8938z3zXh+uTOabWVA5WzFx6OSM2mFq5VtK/72zdWTKWcYwdagnZUV30vkl4vHj+a9n8mJ&#10;65yuZWAEYnHW+4p3MfpZUaDopAEcOS8tHTYuGIi0DW1RB+gJ3ehiUpYXRe9C7YMTEpG8q+GQHxDD&#10;QwBd0yghV05cG2njgBqkhkiUsFMe+SJX2zRSxFdNgzIyXXFiGvNKScjepLVYzGHWBvCdEocS4CEl&#10;3ONkQFlKeoRaQQR2HdQ/UEaJ4NA1cSScKQYiWRFiMS7vafO6Ay8zF5Ia/VF0/H+w4uV2HZiqaRJK&#10;arwFQy2/e3/z492nu29fv3+8+Xn7IdlfPrN0geTqPc4oamnX4bBDvw6J+64JJv2JFdtlifdHieUu&#10;MkHOydNyekbiCzo6L6e5AcUp1AeMz6UzLBkVxxhAtV1cOmuplS6Ms8iwfYGRklPg74CU17orpXXu&#10;qLasr/jF2XlKBTSlDU0HmcYTU7QtZ6BbGn8RQ0ZEp1WdohMOhnaz1IFtIQ1N/hJxyvbXtZR6BdgN&#10;9/LRME6dhPqZrVncexLT0isa/BGUPvljUGBbLXmq1MiaMy2pomQNybSlnEntQd9kbVy9z7JnP41E&#10;ruowvmnm/tzn6NOTXf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vYOYtoAAAALAQAADwAAAAAA&#10;AAABACAAAAAiAAAAZHJzL2Rvd25yZXYueG1sUEsBAhQAFAAAAAgAh07iQMW0q/wRAgAA+gMAAA4A&#10;AAAAAAAAAQAgAAAAKQEAAGRycy9lMm9Eb2MueG1sUEsFBgAAAAAGAAYAWQEAAKwFA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7936" behindDoc="0" locked="0" layoutInCell="1" allowOverlap="1" wp14:anchorId="5EC4D8BE" wp14:editId="40BBD8E0">
                <wp:simplePos x="0" y="0"/>
                <wp:positionH relativeFrom="column">
                  <wp:posOffset>2876550</wp:posOffset>
                </wp:positionH>
                <wp:positionV relativeFrom="paragraph">
                  <wp:posOffset>2359660</wp:posOffset>
                </wp:positionV>
                <wp:extent cx="290830" cy="5080"/>
                <wp:effectExtent l="0" t="34290" r="13970" b="36830"/>
                <wp:wrapNone/>
                <wp:docPr id="106" name="直接箭头连接符 106"/>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26.5pt;margin-top:185.8pt;height:0.4pt;width:22.9pt;z-index:251687936;mso-width-relative:page;mso-height-relative:page;" filled="f" stroked="t" coordsize="21600,21600" o:gfxdata="UEsDBAoAAAAAAIdO4kAAAAAAAAAAAAAAAAAEAAAAZHJzL1BLAwQUAAAACACHTuJAbNgl2dsAAAAL&#10;AQAADwAAAGRycy9kb3ducmV2LnhtbE2PTU/DMAyG70j8h8hIXNCWtCtjK013QAIJiQsdkzh6bWgr&#10;Eqdq0n3w6/FOcLT96vXzFJuTs+JgxtB70pDMFQhDtW96ajV8bJ9nKxAhIjVoPRkNZxNgU15fFZg3&#10;/kjv5lDFVnAJhRw1dDEOuZSh7ozDMPeDIb59+dFh5HFsZTPikcudlalSS+mwJ/7Q4WCeOlN/V5PT&#10;EBVtq376fI0v5/WPekutwrud1rc3iXoEEc0p/oXhgs/oUDLT3k/UBGE1ZPcLdokaFg/JEgQnsvWK&#10;ZfaXTZqBLAv536H8BVBLAwQUAAAACACHTuJAQ6KyaRECAAD6AwAADgAAAGRycy9lMm9Eb2MueG1s&#10;rVPNjtMwEL4j8Q6W7zRpV1uVqukeWpYLgpWAB5g6TmLJf/J4m/YleAEkTsAJOO19nwaWx2DslBaW&#10;yx7IIRmPPd/M9/nL4mJnNNvKgMrZio9HJWfSClcr21b87ZvLJzPOMIKtQTsrK76XyC+Wjx8tej+X&#10;E9c5XcvACMTivPcV72L086JA0UkDOHJeWtpsXDAQaRnaog7QE7rRxaQsp0XvQu2DExKRsuthkx8Q&#10;w0MAXdMoIddOXBtp44AapIZIlLBTHvkyT9s0UsRXTYMyMl1xYhrzm5pQvEnvYrmAeRvAd0ocRoCH&#10;jHCPkwFlqekRag0R2HVQ/0AZJYJD18SRcKYYiGRFiMW4vKfN6w68zFxIavRH0fH/wYqX26vAVE1O&#10;KKecWTB05Xfvb368+3T37ev3jzc/bz+k+Mtnlg6QXL3HOVWt7FU4rNBfhcR91wSTvsSK7bLE+6PE&#10;cheZoOTkaTk7I/EFbZ2Xs3wBxanUB4zPpTMsBRXHGEC1XVw5a+kqXRhnkWH7AiM1p8LfBamvdZdK&#10;63yj2rK+4tOz89QKyKUNuYNC44kp2pYz0C3ZX8SQEdFpVafqhIOh3ax0YFtIpslPIk7d/jqWWq8B&#10;u+Fc3hrs1Emon9maxb0nMS39RUM+gtKnfAwKbKslT5MaWXOmJU2UoqGZttQzqT3om6KNq/dZ9pwn&#10;S+SpDvZNnvtznatPv+z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zYJdnbAAAACwEAAA8AAAAA&#10;AAAAAQAgAAAAIgAAAGRycy9kb3ducmV2LnhtbFBLAQIUABQAAAAIAIdO4kBDorJpEQIAAPoDAAAO&#10;AAAAAAAAAAEAIAAAACoBAABkcnMvZTJvRG9jLnhtbFBLBQYAAAAABgAGAFkBAACt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6912" behindDoc="0" locked="0" layoutInCell="1" allowOverlap="1" wp14:anchorId="017BD9C7" wp14:editId="075E56F3">
                <wp:simplePos x="0" y="0"/>
                <wp:positionH relativeFrom="column">
                  <wp:posOffset>2172970</wp:posOffset>
                </wp:positionH>
                <wp:positionV relativeFrom="paragraph">
                  <wp:posOffset>2353945</wp:posOffset>
                </wp:positionV>
                <wp:extent cx="290830" cy="5080"/>
                <wp:effectExtent l="0" t="34290" r="13970" b="36830"/>
                <wp:wrapNone/>
                <wp:docPr id="104" name="直接箭头连接符 104"/>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71.1pt;margin-top:185.35pt;height:0.4pt;width:22.9pt;z-index:251686912;mso-width-relative:page;mso-height-relative:page;" filled="f" stroked="t" coordsize="21600,21600" o:gfxdata="UEsDBAoAAAAAAIdO4kAAAAAAAAAAAAAAAAAEAAAAZHJzL1BLAwQUAAAACACHTuJAsH9fBNoAAAAL&#10;AQAADwAAAGRycy9kb3ducmV2LnhtbE2PT0vEMBDF74LfIYzgRdykXXVrbboHQUHwYlfB42wT22Iy&#10;KU26f/z0zp70NjPv8eb3qvXBO7GzUxwCacgWCoSlNpiBOg3vm6frAkRMSAZdIKvhaCOs6/OzCksT&#10;9vRmd03qBIdQLFFDn9JYShnb3nqMizBaYu0rTB4Tr1MnzYR7DvdO5krdSY8D8YceR/vY2/a7mb2G&#10;pGjTDPPnS3o+3v+o19wpvPrQ+vIiUw8gkj2kPzOc8BkdambahplMFE7D8ibP2crDSq1AsGNZFNxu&#10;e7pktyDrSv7vUP8CUEsDBBQAAAAIAIdO4kAZE2xYEQIAAPoDAAAOAAAAZHJzL2Uyb0RvYy54bWyt&#10;U82O0zAQviPxDpbvNGmXXZWq6R5alguCSsADuI6TWPKfZrxN+xK8ABIn4ASc9s7TwPIYjJ3SwnLZ&#10;Azkk47Hnm/k+f5lf7qxhWwWovav4eFRyppz0tXZtxd+8vno05QyjcLUw3qmK7xXyy8XDB/M+zNTE&#10;d97UChiBOJz1oeJdjGFWFCg7ZQWOfFCONhsPVkRaQlvUIHpCt6aYlOVF0XuoA3ipECm7Gjb5ARHu&#10;A+ibRku18vLaKhcHVFBGRKKEnQ7IF3naplEyvmwaVJGZihPTmN/UhOJNeheLuZi1IEKn5WEEcZ8R&#10;7nCyQjtqeoRaiSjYNeh/oKyW4NE3cSS9LQYiWRFiMS7vaPOqE0FlLiQ1hqPo+P9g5YvtGpiuyQnl&#10;Y86csHTlt+9ufrz9ePv1y/cPNz+/vU/x508sHSC5+oAzqlq6NRxWGNaQuO8asOlLrNguS7w/Sqx2&#10;kUlKTp6U0zMSX9LWeTnNF1CcSgNgfKa8ZSmoOEYQuu3i0jtHV+lhnEUW2+cYqTkV/i5IfZ2/0sbk&#10;GzWO9RW/ODtPrQS5tCF3UGgDMUXXciZMS/aXETIieqPrVJ1wENrN0gDbimSa/CTi1O2vY6n1SmA3&#10;nMtbg506JeqnrmZxH0hMR3/RkI9Cm1M+ghauNYqnSa2qOTOKJkrR0Mw46pnUHvRN0cbX+yx7zpMl&#10;8lQH+ybP/bnO1adfdv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H9fBNoAAAALAQAADwAAAAAA&#10;AAABACAAAAAiAAAAZHJzL2Rvd25yZXYueG1sUEsBAhQAFAAAAAgAh07iQBkTbFgRAgAA+gMAAA4A&#10;AAAAAAAAAQAgAAAAKQEAAGRycy9lMm9Eb2MueG1sUEsFBgAAAAAGAAYAWQEAAKwFA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5888" behindDoc="0" locked="0" layoutInCell="1" allowOverlap="1" wp14:anchorId="493A6FD6" wp14:editId="61E135A0">
                <wp:simplePos x="0" y="0"/>
                <wp:positionH relativeFrom="column">
                  <wp:posOffset>1474470</wp:posOffset>
                </wp:positionH>
                <wp:positionV relativeFrom="paragraph">
                  <wp:posOffset>2348865</wp:posOffset>
                </wp:positionV>
                <wp:extent cx="290830" cy="5080"/>
                <wp:effectExtent l="0" t="34290" r="13970" b="36830"/>
                <wp:wrapNone/>
                <wp:docPr id="102" name="直接箭头连接符 102"/>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16.1pt;margin-top:184.95pt;height:0.4pt;width:22.9pt;z-index:251685888;mso-width-relative:page;mso-height-relative:page;" filled="f" stroked="t" coordsize="21600,21600" o:gfxdata="UEsDBAoAAAAAAIdO4kAAAAAAAAAAAAAAAAAEAAAAZHJzL1BLAwQUAAAACACHTuJAi2t2tdoAAAAL&#10;AQAADwAAAGRycy9kb3ducmV2LnhtbE2PTUvEMBCG74L/IYzgRdxks7Dd1qZ7EBQEL3YVPM42sS02&#10;k9Kk++Gvdzy5x5l5eOd5y+3JD+LgptgHMrBcKBCOmmB7ag28757uNyBiQrI4BHIGzi7Ctrq+KrGw&#10;4Uhv7lCnVnAIxQINdCmNhZSx6ZzHuAijI759hclj4nFqpZ3wyOF+kFqptfTYE3/ocHSPnWu+69kb&#10;SIp2dT9/vqTnc/6jXvWg8O7DmNubpXoAkdwp/cPwp8/qULHTPsxkoxgM6JXWjBpYrfMcBBM623C7&#10;PW8ylYGsSnnZofoFUEsDBBQAAAAIAIdO4kD3wA8KEQIAAPoDAAAOAAAAZHJzL2Uyb0RvYy54bWyt&#10;U82O0zAQviPxDpbvNGlXuypV0z20LBcElYAHcB0nseQ/zXib9iV4ASROwAk47X2fBpbHYOyUFpbL&#10;HsghGY8938z3+cv8cmcN2ypA7V3Fx6OSM+Wkr7VrK/72zdWTKWcYhauF8U5VfK+QXy4eP5r3YaYm&#10;vvOmVsAIxOGsDxXvYgyzokDZKStw5INytNl4sCLSEtqiBtETujXFpCwvit5DHcBLhUjZ1bDJD4jw&#10;EEDfNFqqlZfXVrk4oIIyIhIl7HRAvsjTNo2S8VXToIrMVJyYxvymJhRv0rtYzMWsBRE6LQ8jiIeM&#10;cI+TFdpR0yPUSkTBrkH/A2W1BI++iSPpbTEQyYoQi3F5T5vXnQgqcyGpMRxFx/8HK19u18B0TU4o&#10;J5w5YenK797f/Hj36e7b1+8fb37efkjxl88sHSC5+oAzqlq6NRxWGNaQuO8asOlLrNguS7w/Sqx2&#10;kUlKTp6W0zMSX9LWeTnNF1CcSgNgfK68ZSmoOEYQuu3i0jtHV+lhnEUW2xcYqTkV/i5IfZ2/0sbk&#10;GzWO9RW/ODtPrQS5tCF3UGgDMUXXciZMS/aXETIieqPrVJ1wENrN0gDbimSa/CTi1O2vY6n1SmA3&#10;nMtbg506JepnrmZxH0hMR3/RkI9Cm1M+ghauNYqnSa2qOTOKJkrR0Mw46pnUHvRN0cbX+yx7zpMl&#10;8lQH+ybP/bnO1adfdv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2t2tdoAAAALAQAADwAAAAAA&#10;AAABACAAAAAiAAAAZHJzL2Rvd25yZXYueG1sUEsBAhQAFAAAAAgAh07iQPfADwoRAgAA+gMAAA4A&#10;AAAAAAAAAQAgAAAAKQEAAGRycy9lMm9Eb2MueG1sUEsFBgAAAAAGAAYAWQEAAKwFA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4864" behindDoc="0" locked="0" layoutInCell="1" allowOverlap="1" wp14:anchorId="17D32B38" wp14:editId="1B2DD2FF">
                <wp:simplePos x="0" y="0"/>
                <wp:positionH relativeFrom="column">
                  <wp:posOffset>775970</wp:posOffset>
                </wp:positionH>
                <wp:positionV relativeFrom="paragraph">
                  <wp:posOffset>2343150</wp:posOffset>
                </wp:positionV>
                <wp:extent cx="290830" cy="5080"/>
                <wp:effectExtent l="0" t="34290" r="13970" b="36830"/>
                <wp:wrapNone/>
                <wp:docPr id="100" name="直接箭头连接符 100"/>
                <wp:cNvGraphicFramePr/>
                <a:graphic xmlns:a="http://schemas.openxmlformats.org/drawingml/2006/main">
                  <a:graphicData uri="http://schemas.microsoft.com/office/word/2010/wordprocessingShape">
                    <wps:wsp>
                      <wps:cNvCnPr/>
                      <wps:spPr>
                        <a:xfrm>
                          <a:off x="0" y="0"/>
                          <a:ext cx="290830" cy="508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61.1pt;margin-top:184.5pt;height:0.4pt;width:22.9pt;z-index:251684864;mso-width-relative:page;mso-height-relative:page;" filled="f" stroked="t" coordsize="21600,21600" o:gfxdata="UEsDBAoAAAAAAIdO4kAAAAAAAAAAAAAAAAAEAAAAZHJzL1BLAwQUAAAACACHTuJAnWi5ldgAAAAL&#10;AQAADwAAAGRycy9kb3ducmV2LnhtbE2PT0vEMBDF74LfIYzgRdxkI5Rut+keBAXBi10Fj9lmti02&#10;k9Kk+8dP76wXvc2bebz5vXJz8oM44BT7QAaWCwUCqQmup9bA+/bpPgcRkyVnh0Bo4IwRNtX1VWkL&#10;F470hoc6tYJDKBbWQJfSWEgZmw69jYswIvFtHyZvE8uplW6yRw73g9RKZdLbnvhDZ0d87LD5qmdv&#10;ICna1v38+ZKez6tv9aoHZe8+jLm9Wao1iISn9GeGCz6jQ8VMuzCTi2JgrbVmq4GHbMWlLo4s52H3&#10;u8lBVqX836H6AVBLAwQUAAAACACHTuJArXHROxACAAD6AwAADgAAAGRycy9lMm9Eb2MueG1srVPN&#10;jtMwEL4j8Q6W7zRpV7sqVdM9tCwXBJWAB5g6TmLJf/J4m/YleAEkTsAJOO19nwaWx2DslBaWyx7I&#10;IRmPPd833+fJ/HJnNNvKgMrZio9HJWfSClcr21b87ZurJ1POMIKtQTsrK76XyC8Xjx/Nez+TE9c5&#10;XcvACMTirPcV72L0s6JA0UkDOHJeWtpsXDAQaRnaog7QE7rRxaQsL4rehdoHJyQiZVfDJj8ghocA&#10;uqZRQq6cuDbSxgE1SA2RJGGnPPJF7rZppIivmgZlZLripDTmN5FQvEnvYjGHWRvAd0ocWoCHtHBP&#10;kwFlifQItYII7Dqof6CMEsGha+JIOFMMQrIjpGJc3vPmdQdeZi1kNfqj6fj/YMXL7TowVdMklOSJ&#10;BUNXfvf+5se7T3ffvn7/ePPz9kOKv3xm6QDZ1XucUdXSrsNhhX4dkvZdE0z6kiq2yxbvjxbLXWSC&#10;kpOn5fSMiARtnZfTjFicSn3A+Fw6w1JQcYwBVNvFpbOWrtKFcTYZti8wEjkV/i5IvNZdKa3zjWrL&#10;+opfnJ0nKqApbWg6KDSelKJtOQPd0viLGDIiOq3qVJ1wMLSbpQ5sC2lo8pOEE9tfxxL1CrAbzuWt&#10;YZw6CfUzW7O492Smpb9oyEdQ+pSPQYFtteSpUyNrzrSkjlI0kGlLnMntwd8UbVy9z7bnPI1E7uow&#10;vmnm/lzn6tMvu/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Wi5ldgAAAALAQAADwAAAAAAAAAB&#10;ACAAAAAiAAAAZHJzL2Rvd25yZXYueG1sUEsBAhQAFAAAAAgAh07iQK1x0TsQAgAA+gMAAA4AAAAA&#10;AAAAAQAgAAAAJwEAAGRycy9lMm9Eb2MueG1sUEsFBgAAAAAGAAYAWQEAAKkFA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2816" behindDoc="0" locked="0" layoutInCell="1" allowOverlap="1" wp14:anchorId="48043756" wp14:editId="64CBA8A5">
                <wp:simplePos x="0" y="0"/>
                <wp:positionH relativeFrom="column">
                  <wp:posOffset>1001395</wp:posOffset>
                </wp:positionH>
                <wp:positionV relativeFrom="paragraph">
                  <wp:posOffset>1577340</wp:posOffset>
                </wp:positionV>
                <wp:extent cx="314325" cy="3810"/>
                <wp:effectExtent l="0" t="34925" r="9525" b="37465"/>
                <wp:wrapNone/>
                <wp:docPr id="94" name="直接箭头连接符 94"/>
                <wp:cNvGraphicFramePr/>
                <a:graphic xmlns:a="http://schemas.openxmlformats.org/drawingml/2006/main">
                  <a:graphicData uri="http://schemas.microsoft.com/office/word/2010/wordprocessingShape">
                    <wps:wsp>
                      <wps:cNvCnPr/>
                      <wps:spPr>
                        <a:xfrm flipH="1">
                          <a:off x="0" y="0"/>
                          <a:ext cx="31432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78.85pt;margin-top:124.2pt;height:0.3pt;width:24.75pt;z-index:251682816;mso-width-relative:page;mso-height-relative:page;" filled="f" stroked="t" coordsize="21600,21600" o:gfxdata="UEsDBAoAAAAAAIdO4kAAAAAAAAAAAAAAAAAEAAAAZHJzL1BLAwQUAAAACACHTuJAQjVAVdcAAAAL&#10;AQAADwAAAGRycy9kb3ducmV2LnhtbE2PTU/DMAyG70j8h8hI3FiyMNatNJ0A0cNOEwPtnLWmrUic&#10;0mQf/Hu8Exxf+9Hrx8Xq7J044hj7QAamEwUCqQ5NT62Bj/fqbgEiJkuNdYHQwA9GWJXXV4XNm3Ci&#10;NzxuUyu4hGJuDXQpDbmUse7Q2zgJAxLvPsPobeI4trIZ7YnLvZNaqbn0tie+0NkBXzqsv7YHb+Be&#10;4/z5Gze7V+WlWvuselq7ypjbm6l6BJHwnP5guOizOpTstA8HaqJwnB+yjFEDeraYgWBCq0yD2F8m&#10;SwWyLOT/H8pfUEsDBBQAAAAIAIdO4kC6uQIMGgIAAAIEAAAOAAAAZHJzL2Uyb0RvYy54bWytU81u&#10;EzEQviPxDpbvZPPTVmWVTQ8JhQOCSMADTLzeXUv+09jNJi/BCyBxAk7AqXeeBspjMPaGFMqlB/Zg&#10;jWd2vpnvm/H8Ymc020oMytmKT0ZjzqQVrla2rfib15ePzjkLEWwN2llZ8b0M/GLx8MG896Wcus7p&#10;WiIjEBvK3le8i9GXRRFEJw2EkfPSUrBxaCDSFduiRugJ3ehiOh6fFb3D2qMTMgTyroYgPyDifQBd&#10;0yghV05cGWnjgIpSQyRKoVM+8EXutmmkiC+bJsjIdMWJacwnFSF7k85iMYeyRfCdEocW4D4t3OFk&#10;QFkqeoRaQQR2heofKKMEuuCaOBLOFAORrAixmIzvaPOqAy8zF5I6+KPo4f/BihfbNTJVV/zxCWcW&#10;DE385t31j7cfb75++f7h+ue398n+/IlRnMTqfSgpZ2nXeLgFv8bEfNegYY1W/hltVdaC2LFdlnp/&#10;lFruIhPknE1OZtNTzgSFZueTPIhiAElgHkN8Kp1hyah4iAiq7eLSWUsjdTgUgO3zEKkNSvydkJKt&#10;u1Ra58lqy/qKn81Oad4CaFsb2hIyjSfGwbacgW7pGYiIueXgtKpTdsIJ2G6WGtkW0vLkL0lA1f76&#10;LZVeQeiG/3JoWKtOQv3E1izuPalq6TUN/ghK3/ojKrCtljx1amTNmZbUUbKGYtpSzaT7oHSyNq7e&#10;5wFkP61G7uqwxmn3/rzn7Nunu/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jVAVdcAAAALAQAA&#10;DwAAAAAAAAABACAAAAAiAAAAZHJzL2Rvd25yZXYueG1sUEsBAhQAFAAAAAgAh07iQLq5AgwaAgAA&#10;AgQAAA4AAAAAAAAAAQAgAAAAJgEAAGRycy9lMm9Eb2MueG1sUEsFBgAAAAAGAAYAWQEAALIFAAAA&#10;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1792" behindDoc="0" locked="0" layoutInCell="1" allowOverlap="1" wp14:anchorId="7411A9F0" wp14:editId="64B160E2">
                <wp:simplePos x="0" y="0"/>
                <wp:positionH relativeFrom="column">
                  <wp:posOffset>1833245</wp:posOffset>
                </wp:positionH>
                <wp:positionV relativeFrom="paragraph">
                  <wp:posOffset>1570990</wp:posOffset>
                </wp:positionV>
                <wp:extent cx="314325" cy="3810"/>
                <wp:effectExtent l="0" t="34925" r="9525" b="37465"/>
                <wp:wrapNone/>
                <wp:docPr id="92" name="直接箭头连接符 92"/>
                <wp:cNvGraphicFramePr/>
                <a:graphic xmlns:a="http://schemas.openxmlformats.org/drawingml/2006/main">
                  <a:graphicData uri="http://schemas.microsoft.com/office/word/2010/wordprocessingShape">
                    <wps:wsp>
                      <wps:cNvCnPr/>
                      <wps:spPr>
                        <a:xfrm flipH="1">
                          <a:off x="0" y="0"/>
                          <a:ext cx="31432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144.35pt;margin-top:123.7pt;height:0.3pt;width:24.75pt;z-index:251681792;mso-width-relative:page;mso-height-relative:page;" filled="f" stroked="t" coordsize="21600,21600" o:gfxdata="UEsDBAoAAAAAAIdO4kAAAAAAAAAAAAAAAAAEAAAAZHJzL1BLAwQUAAAACACHTuJAwSHHCNcAAAAL&#10;AQAADwAAAGRycy9kb3ducmV2LnhtbE2Py07DMBBF90j8gzVI7KjdpGqsEKcCRBZdIQpi7cZDEhGP&#10;Q+w++HumK9jN4+jOmWpz9qM44hyHQAaWCwUCqQ1uoM7A+1tzp0HEZMnZMRAa+MEIm/r6qrKlCyd6&#10;xeMudYJDKJbWQJ/SVEoZ2x69jYswIfHuM8zeJm7nTrrZnjjcjzJTai29HYgv9HbCpx7br93BG8gz&#10;XD9+48vHs/JSbX3RPGzHxpjbm6W6B5HwnP5guOizOtTstA8HclGMBjKtC0a5WBUrEEzkuc5A7C8T&#10;rUDWlfz/Q/0LUEsDBBQAAAAIAIdO4kCbug7BGgIAAAIEAAAOAAAAZHJzL2Uyb0RvYy54bWytU81u&#10;EzEQviPxDpbvZPNDq7LKpoeEwgFBJOABHK9315L/NONmk5fgBZA4ASfKqXeeBspjMPaGFMqlB/Zg&#10;jWd2vpnvm/H8fGcN2ypA7V3FJ6MxZ8pJX2vXVvztm4tHZ5xhFK4WxjtV8b1Cfr54+GDeh1JNfedN&#10;rYARiMOyDxXvYgxlUaDslBU48kE5CjYerIh0hbaoQfSEbk0xHY9Pi95DHcBLhUje1RDkB0S4D6Bv&#10;Gi3VystLq1wcUEEZEYkSdjogX+Rum0bJ+KppUEVmKk5MYz6pCNmbdBaLuShbEKHT8tCCuE8LdzhZ&#10;oR0VPUKtRBTsEvQ/UFZL8OibOJLeFgORrAixmIzvaPO6E0FlLiQ1hqPo+P9g5cvtGpiuK/5kypkT&#10;liZ+8/76x7tPN1+vvn+8/vntQ7K/fGYUJ7H6gCXlLN0aDjcMa0jMdw1Y1hgdntNWZS2IHdtlqfdH&#10;qdUuMknO2eTxbHrCmaTQ7GySB1EMIAksAMZnyluWjIpjBKHbLi69czRSD0MBsX2BkdqgxN8JKdn5&#10;C21MnqxxrK/46eyE5i0FbWtDW0KmDcQYXcuZMC09Axkht4ze6DplJxyEdrM0wLYiLU/+kgRU7a/f&#10;UumVwG74L4eGteqUqJ+6msV9IFUdvabBH4U2t/4IWrjWKJ46tarmzCjqKFlDMeOoZtJ9UDpZG1/v&#10;8wCyn1Yjd3VY47R7f95z9u3T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SHHCNcAAAALAQAA&#10;DwAAAAAAAAABACAAAAAiAAAAZHJzL2Rvd25yZXYueG1sUEsBAhQAFAAAAAgAh07iQJu6DsEaAgAA&#10;AgQAAA4AAAAAAAAAAQAgAAAAJgEAAGRycy9lMm9Eb2MueG1sUEsFBgAAAAAGAAYAWQEAALIFAAAA&#10;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80768" behindDoc="0" locked="0" layoutInCell="1" allowOverlap="1" wp14:anchorId="03DEB252" wp14:editId="116B9CB4">
                <wp:simplePos x="0" y="0"/>
                <wp:positionH relativeFrom="column">
                  <wp:posOffset>2668270</wp:posOffset>
                </wp:positionH>
                <wp:positionV relativeFrom="paragraph">
                  <wp:posOffset>1557655</wp:posOffset>
                </wp:positionV>
                <wp:extent cx="314325" cy="3810"/>
                <wp:effectExtent l="0" t="34925" r="9525" b="37465"/>
                <wp:wrapNone/>
                <wp:docPr id="90" name="直接箭头连接符 90"/>
                <wp:cNvGraphicFramePr/>
                <a:graphic xmlns:a="http://schemas.openxmlformats.org/drawingml/2006/main">
                  <a:graphicData uri="http://schemas.microsoft.com/office/word/2010/wordprocessingShape">
                    <wps:wsp>
                      <wps:cNvCnPr/>
                      <wps:spPr>
                        <a:xfrm flipH="1">
                          <a:off x="0" y="0"/>
                          <a:ext cx="31432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10.1pt;margin-top:122.65pt;height:0.3pt;width:24.75pt;z-index:251680768;mso-width-relative:page;mso-height-relative:page;" filled="f" stroked="t" coordsize="21600,21600" o:gfxdata="UEsDBAoAAAAAAIdO4kAAAAAAAAAAAAAAAAAEAAAAZHJzL1BLAwQUAAAACACHTuJAfPita9gAAAAL&#10;AQAADwAAAGRycy9kb3ducmV2LnhtbE2Py07DMBBF90j8gzVI7KhdN6Q0xKkAkUVXqC1i7cZDEmGP&#10;Q+w++PuabmA5M0d3zi2XJ2fZAcfQe1IwnQhgSI03PbUK3rf13QOwEDUZbT2hgh8MsKyur0pdGH+k&#10;NR42sWUphEKhFXQxDgXnoenQ6TDxA1K6ffrR6ZjGseVm1McU7iyXQuTc6Z7Sh04P+NJh87XZOwUz&#10;ifnzN759vArHxcrN66eVrZW6vZmKR2ART/EPhl/9pA5Vctr5PZnArIJMCplQBTK7nwFLRJYv5sB2&#10;l80CeFXy/x2qM1BLAwQUAAAACACHTuJAu7klMxkCAAACBAAADgAAAGRycy9lMm9Eb2MueG1srVPN&#10;bhMxEL4j8Q6W72TzQ6uyyqaHhMIBQSTgASZe764l/2nsZpOX4AWQOAEnyql3ngbKYzD2hhTKpQf2&#10;YI1ndr6Z75vx/HxnNNtKDMrZik9GY86kFa5Wtq342zcXj844CxFsDdpZWfG9DPx88fDBvPelnLrO&#10;6VoiIxAbyt5XvIvRl0URRCcNhJHz0lKwcWgg0hXbokboCd3oYjoenxa9w9qjEzIE8q6GID8g4n0A&#10;XdMoIVdOXBpp44CKUkMkSqFTPvBF7rZppIivmibIyHTFiWnMJxUhe5POYjGHskXwnRKHFuA+Ldzh&#10;ZEBZKnqEWkEEdonqHyijBLrgmjgSzhQDkawIsZiM72jzugMvMxeSOvij6OH/wYqX2zUyVVf8CUli&#10;wdDEb95f/3j36ebr1feP1z+/fUj2l8+M4iRW70NJOUu7xsMt+DUm5rsGDWu08s9pq7IWxI7tstT7&#10;o9RyF5kg52zyeDY94UxQaHY2ydjFAJLAPIb4TDrDklHxEBFU28Wls5ZG6nAoANsXIVIblPg7ISVb&#10;d6G0zpPVlvUVP52dEDkBtK0NbQmZxhPjYFvOQLf0DETE3HJwWtUpO+EEbDdLjWwLaXnylySgan/9&#10;lkqvIHTDfzk0rFUnoX5qaxb3nlS19JoGfwSlb/0RFdhWS546NbLmTEvqKFlDMW2pZtJ9UDpZG1fv&#10;8wCyn1Yjd3VY47R7f95z9u3T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Pita9gAAAALAQAA&#10;DwAAAAAAAAABACAAAAAiAAAAZHJzL2Rvd25yZXYueG1sUEsBAhQAFAAAAAgAh07iQLu5JTMZAgAA&#10;AgQAAA4AAAAAAAAAAQAgAAAAJwEAAGRycy9lMm9Eb2MueG1sUEsFBgAAAAAGAAYAWQEAALIFAAAA&#10;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79744" behindDoc="0" locked="0" layoutInCell="1" allowOverlap="1" wp14:anchorId="68675F9C" wp14:editId="60CBC2AE">
                <wp:simplePos x="0" y="0"/>
                <wp:positionH relativeFrom="column">
                  <wp:posOffset>3501390</wp:posOffset>
                </wp:positionH>
                <wp:positionV relativeFrom="paragraph">
                  <wp:posOffset>1550670</wp:posOffset>
                </wp:positionV>
                <wp:extent cx="314325" cy="3810"/>
                <wp:effectExtent l="0" t="34925" r="9525" b="37465"/>
                <wp:wrapNone/>
                <wp:docPr id="88" name="直接箭头连接符 88"/>
                <wp:cNvGraphicFramePr/>
                <a:graphic xmlns:a="http://schemas.openxmlformats.org/drawingml/2006/main">
                  <a:graphicData uri="http://schemas.microsoft.com/office/word/2010/wordprocessingShape">
                    <wps:wsp>
                      <wps:cNvCnPr/>
                      <wps:spPr>
                        <a:xfrm flipH="1">
                          <a:off x="0" y="0"/>
                          <a:ext cx="31432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75.7pt;margin-top:122.1pt;height:0.3pt;width:24.75pt;z-index:251679744;mso-width-relative:page;mso-height-relative:page;" filled="f" stroked="t" coordsize="21600,21600" o:gfxdata="UEsDBAoAAAAAAIdO4kAAAAAAAAAAAAAAAAAEAAAAZHJzL1BLAwQUAAAACACHTuJAZDXlCNgAAAAL&#10;AQAADwAAAGRycy9kb3ducmV2LnhtbE2Py07DMBBF90j8gzVI7KidkIYS4lSAyKKrqqXq2o2HJMIe&#10;h9h98Pc1bNrlzBzdObecn6xhBxx970hCMhHAkBqne2olbD7rhxkwHxRpZRyhhF/0MK9ub0pVaHek&#10;FR7WoWUxhHyhJHQhDAXnvunQKj9xA1K8fbnRqhDHseV6VMcYbg1Phci5VT3FD50a8L3D5nu9txIe&#10;U8zffnC5/RCWi4V9ql8Xppby/i4RL8ACnsIFhj/9qA5VdNq5PWnPjITpNMkiKiHNshRYJHIhnoHt&#10;/jcz4FXJrztUZ1BLAwQUAAAACACHTuJAfD8dvRkCAAACBAAADgAAAGRycy9lMm9Eb2MueG1srVNL&#10;jhMxEN0jcQfLe9L5MKOolc4sEgYWCCIBB6i43d2W/FPZk04uwQWQWAErYDV7TgPDMSi7QwaGzSzo&#10;hVWu6npV71V5cbE3mu0kBuVsxSejMWfSClcr21b8zevLR3POQgRbg3ZWVvwgA79YPnyw6H0pp65z&#10;upbICMSGsvcV72L0ZVEE0UkDYeS8tBRsHBqIdMW2qBF6Qje6mI7H50XvsPbohAyBvOshyI+IeB9A&#10;1zRKyLUTV0baOKCi1BCJUuiUD3yZu20aKeLLpgkyMl1xYhrzSUXI3qazWC6gbBF8p8SxBbhPC3c4&#10;GVCWip6g1hCBXaH6B8oogS64Jo6EM8VAJCtCLCbjO9q86sDLzIWkDv4kevh/sOLFboNM1RWf09wt&#10;GJr4zbvrH28/3nz98v3D9c9v75P9+ROjOInV+1BSzspu8HgLfoOJ+b5Bwxqt/DPaqqwFsWP7LPXh&#10;JLXcRybIOZs8nk3POBMUms0neRDFAJLAPIb4VDrDklHxEBFU28WVs5ZG6nAoALvnIVIblPg7ISVb&#10;d6m0zpPVlvUVP5+d0bwF0LY2tCVkGk+Mg205A93SMxARc8vBaVWn7IQTsN2uNLIdpOXJX5KAqv31&#10;Wyq9htAN/+XQsFadhPqJrVk8eFLV0msa/BGUvvVHVGBbLXnq1MiaMy2po2QNxbSlmkn3QelkbV19&#10;yAPIflqN3NVxjdPu/XnP2bdP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DXlCNgAAAALAQAA&#10;DwAAAAAAAAABACAAAAAiAAAAZHJzL2Rvd25yZXYueG1sUEsBAhQAFAAAAAgAh07iQHw/Hb0ZAgAA&#10;AgQAAA4AAAAAAAAAAQAgAAAAJwEAAGRycy9lMm9Eb2MueG1sUEsFBgAAAAAGAAYAWQEAALIFAAAA&#10;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78720" behindDoc="0" locked="0" layoutInCell="1" allowOverlap="1" wp14:anchorId="03F87358" wp14:editId="6D6D9A2F">
                <wp:simplePos x="0" y="0"/>
                <wp:positionH relativeFrom="column">
                  <wp:posOffset>4017010</wp:posOffset>
                </wp:positionH>
                <wp:positionV relativeFrom="paragraph">
                  <wp:posOffset>736600</wp:posOffset>
                </wp:positionV>
                <wp:extent cx="2540" cy="696595"/>
                <wp:effectExtent l="38100" t="0" r="35560" b="8255"/>
                <wp:wrapNone/>
                <wp:docPr id="86" name="直接箭头连接符 86"/>
                <wp:cNvGraphicFramePr/>
                <a:graphic xmlns:a="http://schemas.openxmlformats.org/drawingml/2006/main">
                  <a:graphicData uri="http://schemas.microsoft.com/office/word/2010/wordprocessingShape">
                    <wps:wsp>
                      <wps:cNvCnPr/>
                      <wps:spPr>
                        <a:xfrm flipH="1">
                          <a:off x="0" y="0"/>
                          <a:ext cx="2540" cy="69659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316.3pt;margin-top:58pt;height:54.85pt;width:0.2pt;z-index:251678720;mso-width-relative:page;mso-height-relative:page;" filled="f" stroked="t" coordsize="21600,21600" o:gfxdata="UEsDBAoAAAAAAIdO4kAAAAAAAAAAAAAAAAAEAAAAZHJzL1BLAwQUAAAACACHTuJAoLcnKdcAAAAL&#10;AQAADwAAAGRycy9kb3ducmV2LnhtbE2PS0/DMBCE70j8B2uRuFE7jnBRGqcCRA49IQri7MbbJMKP&#10;ELsP/j3Lid52NJ9mZ+r12Tt2xDmNMWgoFgIYhi7aMfQaPt7buwdgKZtgjYsBNfxggnVzfVWbysZT&#10;eMPjNveMQkKqjIYh56niPHUDepMWccJA3j7O3mSSc8/tbE4U7h2XQijuzRjow2AmfB6w+9oevIZS&#10;onr6xtfPF+G52Phl+7hxrda3N4VYAct4zv8w/NWn6tBQp108BJuY06BKqQglo1A0ighVlnTsNEh5&#10;vwTe1PxyQ/MLUEsDBBQAAAAIAIdO4kDyUwKqFwIAAAIEAAAOAAAAZHJzL2Uyb0RvYy54bWytU81u&#10;EzEQviPxDpbvZNNAonaVTQ8JhQOCSMADTLzeXUv+k8fNJi/BCyBxAk6UU+88DZTHYOwNKZRLD+xh&#10;NZ7xfDPfN+P5+c5otpUBlbMVPxmNOZNWuFrZtuJv31w8OuUMI9gatLOy4nuJ/Hzx8MG896WcuM7p&#10;WgZGIBbL3le8i9GXRYGikwZw5Ly0FGxcMBDpGNqiDtATutHFZDyeFb0LtQ9OSETyroYgPyCG+wC6&#10;plFCrpy4NNLGATVIDZEoYac88kXutmmkiK+aBmVkuuLENOY/FSF7k/7FYg5lG8B3ShxagPu0cIeT&#10;AWWp6BFqBRHYZVD/QBklgkPXxJFwphiIZEWIxcn4jjavO/AycyGp0R9Fx/8HK15u14GpuuKnM84s&#10;GJr4zfvrH+8+3Xy9+v7x+ue3D8n+8plRnMTqPZaUs7TrcDihX4fEfNcEwxqt/HPaqqwFsWO7LPX+&#10;KLXcRSbIOZk+oREICszOZtOzacIuBpAE5gPGZ9IZloyKYwyg2i4unbU0UheGArB9gXFI/J2Qkq27&#10;UFqTH0ptWU8lHk9TMaBtbWhLyDSeGKNtOQPd0jMQMeSW0WlVp+yUjKHdLHVgW0jLk79Dm39dS6VX&#10;gN1wL4fSNSg7CfVTW7O496Sqpdc0+CMofeuPQYFtteSpUyNrzrSkjpI1UNOWpEm6D0ona+PqfR5A&#10;9tNqZPEOa5x2789zzr59uo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LcnKdcAAAALAQAADwAA&#10;AAAAAAABACAAAAAiAAAAZHJzL2Rvd25yZXYueG1sUEsBAhQAFAAAAAgAh07iQPJTAqoXAgAAAgQA&#10;AA4AAAAAAAAAAQAgAAAAJgEAAGRycy9lMm9Eb2MueG1sUEsFBgAAAAAGAAYAWQEAAK8FA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77696" behindDoc="0" locked="0" layoutInCell="1" allowOverlap="1" wp14:anchorId="20C0E527" wp14:editId="2323C82F">
                <wp:simplePos x="0" y="0"/>
                <wp:positionH relativeFrom="column">
                  <wp:posOffset>3284220</wp:posOffset>
                </wp:positionH>
                <wp:positionV relativeFrom="paragraph">
                  <wp:posOffset>575945</wp:posOffset>
                </wp:positionV>
                <wp:extent cx="342265" cy="12065"/>
                <wp:effectExtent l="0" t="35560" r="635" b="28575"/>
                <wp:wrapNone/>
                <wp:docPr id="84" name="直接箭头连接符 84"/>
                <wp:cNvGraphicFramePr/>
                <a:graphic xmlns:a="http://schemas.openxmlformats.org/drawingml/2006/main">
                  <a:graphicData uri="http://schemas.microsoft.com/office/word/2010/wordprocessingShape">
                    <wps:wsp>
                      <wps:cNvCnPr/>
                      <wps:spPr>
                        <a:xfrm flipV="1">
                          <a:off x="0" y="0"/>
                          <a:ext cx="342265" cy="1206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y;margin-left:258.6pt;margin-top:45.35pt;height:0.95pt;width:26.95pt;z-index:251677696;mso-width-relative:page;mso-height-relative:page;" filled="f" stroked="t" coordsize="21600,21600" o:gfxdata="UEsDBAoAAAAAAIdO4kAAAAAAAAAAAAAAAAAEAAAAZHJzL1BLAwQUAAAACACHTuJAHFMMbtYAAAAJ&#10;AQAADwAAAGRycy9kb3ducmV2LnhtbE2PTU/DMAyG70j8h8hI3FiSorWjNJ0A0cNOiIF2zhrTVjRO&#10;abIP/j3mBEfbj14/b7U++1EccY5DIAN6oUAgtcEN1Bl4f2tuViBisuTsGAgNfGOEdX15UdnShRO9&#10;4nGbOsEhFEtroE9pKqWMbY/exkWYkPj2EWZvE49zJ91sTxzuR5kplUtvB+IPvZ3wqcf2c3vwBm4z&#10;zB+/8GX3rLxUG180D5uxMeb6Sqt7EAnP6Q+GX31Wh5qd9uFALorRwFIXGaMG7lQBgoFloTWIPS+y&#10;HGRdyf8N6h9QSwMEFAAAAAgAh07iQPUY1C8ZAgAAAwQAAA4AAABkcnMvZTJvRG9jLnhtbK1TzW4T&#10;MRC+I/EOlu9kk7SNqlU2PSSUC4JI/NwnXu+uJf9p7GaTl+AFkDgBJ+ipd54GymMw9oYUyqUH9rAa&#10;z3i+me+b8fxiZzTbSgzK2YpPRmPOpBWuVrat+JvXl0/OOQsRbA3aWVnxvQz8YvH40bz3pZy6zula&#10;IiMQG8reV7yL0ZdFEUQnDYSR89JSsHFoINIR26JG6And6GI6Hs+K3mHt0QkZAnlXQ5AfEPEhgK5p&#10;lJArJ66MtHFARakhEqXQKR/4InfbNFLEl00TZGS64sQ05j8VIXuT/sViDmWL4DslDi3AQ1q4x8mA&#10;slT0CLWCCOwK1T9QRgl0wTVxJJwpBiJZEWIxGd/T5lUHXmYuJHXwR9HD/4MVL7ZrZKqu+PkpZxYM&#10;Tfz2/c2Pd59ur79+/3jz89uHZH/5zChOYvU+lJSztGs8nIJfY2K+a9CwRiv/lrYqa0Hs2C5LvT9K&#10;LXeRCXKenE6nszPOBIUm0zGZBFcMKAnNY4jPpDMsGRUPEUG1XVw6a2mmDocKsH0e4pD4OyElW3ep&#10;tCY/lNqyvuKzkzMauABa14bWhEzjiXKwLWegW3oHImLuOTit6pSdkgO2m6VGtoW0Pfk7tPnXtVR6&#10;BaEb7uVQugZlJ6F+amsW955ktfScBn8Epe/8ERXYVkueOjWy5kxL6ihZAzVtSZok/CB1sjau3ucJ&#10;ZD/tRhbvsMdp+f485+y7t7v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xTDG7WAAAACQEAAA8A&#10;AAAAAAAAAQAgAAAAIgAAAGRycy9kb3ducmV2LnhtbFBLAQIUABQAAAAIAIdO4kD1GNQvGQIAAAME&#10;AAAOAAAAAAAAAAEAIAAAACUBAABkcnMvZTJvRG9jLnhtbFBLBQYAAAAABgAGAFkBAACw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76672" behindDoc="0" locked="0" layoutInCell="1" allowOverlap="1" wp14:anchorId="2EC383B3" wp14:editId="1DA02E97">
                <wp:simplePos x="0" y="0"/>
                <wp:positionH relativeFrom="column">
                  <wp:posOffset>2106930</wp:posOffset>
                </wp:positionH>
                <wp:positionV relativeFrom="paragraph">
                  <wp:posOffset>570865</wp:posOffset>
                </wp:positionV>
                <wp:extent cx="357505" cy="7620"/>
                <wp:effectExtent l="0" t="36195" r="4445" b="32385"/>
                <wp:wrapNone/>
                <wp:docPr id="82" name="直接箭头连接符 82"/>
                <wp:cNvGraphicFramePr/>
                <a:graphic xmlns:a="http://schemas.openxmlformats.org/drawingml/2006/main">
                  <a:graphicData uri="http://schemas.microsoft.com/office/word/2010/wordprocessingShape">
                    <wps:wsp>
                      <wps:cNvCnPr/>
                      <wps:spPr>
                        <a:xfrm flipV="1">
                          <a:off x="0" y="0"/>
                          <a:ext cx="357505" cy="762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y;margin-left:165.9pt;margin-top:44.95pt;height:0.6pt;width:28.15pt;z-index:251676672;mso-width-relative:page;mso-height-relative:page;" filled="f" stroked="t" coordsize="21600,21600" o:gfxdata="UEsDBAoAAAAAAIdO4kAAAAAAAAAAAAAAAAAEAAAAZHJzL1BLAwQUAAAACACHTuJAkEXFyNYAAAAJ&#10;AQAADwAAAGRycy9kb3ducmV2LnhtbE2Py07DMBBF90j8gzVI7KjtRipJGqcCRBZdIQpi7cbTJCIe&#10;h9h98PcMK1hezdWZc6vNxY/ihHMcAhnQCwUCqQ1uoM7A+1tzl4OIyZKzYyA08I0RNvX1VWVLF870&#10;iqdd6gRDKJbWQJ/SVEoZ2x69jYswIfHtEGZvE8e5k262Z4b7US6VWklvB+IPvZ3wqcf2c3f0BrIl&#10;rh6/8OXjWXmptv6+ediOjTG3N1qtQSS8pL8y/OqzOtTstA9HclGMzMg0qycDeVGA4EKW5xrE3kCh&#10;Nci6kv8X1D9QSwMEFAAAAAgAh07iQI7j914aAgAAAgQAAA4AAABkcnMvZTJvRG9jLnhtbK1TzW4T&#10;MRC+I/EOlu9kt6mSVlE2PSSUC4JI/Nwdr3fXkv8042aTl+AFkDgBJ+ipd54GymMw9oYUyqUH9mCN&#10;Z3a+me+b8fxiZw3bKkDtXcVPRiVnyklfa9dW/M3ryyfnnGEUrhbGO1XxvUJ+sXj8aN6HmRr7zpta&#10;ASMQh7M+VLyLMcyKAmWnrMCRD8pRsPFgRaQrtEUNoid0a4pxWU6L3kMdwEuFSN7VEOQHRHgIoG8a&#10;LdXKyyurXBxQQRkRiRJ2OiBf5G6bRsn4smlQRWYqTkxjPqkI2Zt0Fou5mLUgQqfloQXxkBbucbJC&#10;Oyp6hFqJKNgV6H+grJbg0TdxJL0tBiJZEWJxUt7T5lUngspcSGoMR9Hx/8HKF9s1MF1X/HzMmROW&#10;Jn77/ubHu0+311+/f7z5+e1Dsr98ZhQnsfqAM8pZujUcbhjWkJjvGrCsMTq8pa3KWhA7tstS749S&#10;q11kkpynk7NJOeFMUuhsOs6DKAaQBBYA4zPlLUtGxTGC0G0Xl945GqmHoYDYPsdIbVDi74SU7Pyl&#10;NiZP1jjWV3x6OqF5S0Hb2tCWkGkDMUbXciZMS89ARsgtoze6TtkJB6HdLA2wrUjLk78kAVX767dU&#10;eiWwG/7LoWGtOiXqp65mcR9IVUevafBHoc2dP4IWrjWKp06tqjkzijpK1lDMOKqZdB+UTtbG1/s8&#10;gOyn1chdHdY47d6f95x993Q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RcXI1gAAAAkBAAAP&#10;AAAAAAAAAAEAIAAAACIAAABkcnMvZG93bnJldi54bWxQSwECFAAUAAAACACHTuJAjuP3XhoCAAAC&#10;BAAADgAAAAAAAAABACAAAAAlAQAAZHJzL2Uyb0RvYy54bWxQSwUGAAAAAAYABgBZAQAAsQ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675648" behindDoc="0" locked="0" layoutInCell="1" allowOverlap="1" wp14:anchorId="2528120D" wp14:editId="0D49433C">
                <wp:simplePos x="0" y="0"/>
                <wp:positionH relativeFrom="column">
                  <wp:posOffset>773430</wp:posOffset>
                </wp:positionH>
                <wp:positionV relativeFrom="paragraph">
                  <wp:posOffset>571500</wp:posOffset>
                </wp:positionV>
                <wp:extent cx="357505" cy="7620"/>
                <wp:effectExtent l="0" t="36195" r="4445" b="32385"/>
                <wp:wrapNone/>
                <wp:docPr id="80" name="直接箭头连接符 80"/>
                <wp:cNvGraphicFramePr/>
                <a:graphic xmlns:a="http://schemas.openxmlformats.org/drawingml/2006/main">
                  <a:graphicData uri="http://schemas.microsoft.com/office/word/2010/wordprocessingShape">
                    <wps:wsp>
                      <wps:cNvCnPr/>
                      <wps:spPr>
                        <a:xfrm flipV="1">
                          <a:off x="2098675" y="1508760"/>
                          <a:ext cx="357505" cy="762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y;margin-left:60.9pt;margin-top:45pt;height:0.6pt;width:28.15pt;z-index:251675648;mso-width-relative:page;mso-height-relative:page;" filled="f" stroked="t" coordsize="21600,21600" o:gfxdata="UEsDBAoAAAAAAIdO4kAAAAAAAAAAAAAAAAAEAAAAZHJzL1BLAwQUAAAACACHTuJAV2bd1tUAAAAJ&#10;AQAADwAAAGRycy9kb3ducmV2LnhtbE2PzU7DMBCE70i8g7VI3KjtILUlxKkAkUNPFQVxduMlibDX&#10;IXZ/ePtuT3Cc2dHsN9XqFLw44JSGSAb0TIFAaqMbqDPw8d7cLUGkbMlZHwkN/GKCVX19VdnSxSO9&#10;4WGbO8EllEproM95LKVMbY/Bplkckfj2FadgM8upk26yRy4PXhZKzWWwA/GH3o740mP7vd0HA/cF&#10;zp9/cPP5qoJU67Bonta+Meb2RqtHEBlP+S8MF3xGh5qZdnFPLgnPutCMng08KN50CSyWGsSODV2A&#10;rCv5f0F9BlBLAwQUAAAACACHTuJAxzpLRyUCAAAOBAAADgAAAGRycy9lMm9Eb2MueG1srVO9jhMx&#10;EO6ReAfLPdm9nPJDlM0VCUeD4CR++onXu2vJf/L4sslL8AJIVEAFVNfzNHA8BmNvuIOjuYItVuMZ&#10;zzfzfTNenu2NZjsZUDlb8ZNRyZm0wtXKthV//er80ZwzjGBr0M7Kih8k8rPVwwfL3i/k2HVO1zIw&#10;ArG46H3Fuxj9oihQdNIAjpyXloKNCwYiHUNb1AF6Qje6GJfltOhdqH1wQiKSdzME+REx3AfQNY0S&#10;cuPEpZE2DqhBaohECTvlka9yt00jRXzRNCgj0xUnpjH/qQjZ2/QvVktYtAF8p8SxBbhPC3c4GVCW&#10;it5AbSACuwzqHyijRHDomjgSzhQDkawIsTgp72jzsgMvMxeSGv2N6Pj/YMXz3UVgqq74nCSxYGji&#10;1++ufrz9eP31y/cPVz+/vU/250+M4iRW73FBOWt7EY4n9BchMd83wbBGK/+GtiprQezYvuLj8vF8&#10;OptwdqDApJzPpkfZ5T4yQRdOJ7NJSXFBF2bTcY4WA2AC9gHjU+kMS0bFMQZQbRfXzloarwtDMdg9&#10;w0gtUeLvhJRs3bnSOk9ZW9ZXfHo6IaICaHMb2hgyjSf2aFvOQLf0JEQMuX10WtUpO+FgaLdrHdgO&#10;0iLlL8lB1f66lkpvALvhXg4NK9ZJqJ/YmsWDJ4UtvazBH0HpW38MCmyrJU+dGllzpiV1lKyhmLZU&#10;M81gUD1ZW1cf8jCyn9Ykd3Vc6bSHf55z9u0zX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2bd&#10;1tUAAAAJAQAADwAAAAAAAAABACAAAAAiAAAAZHJzL2Rvd25yZXYueG1sUEsBAhQAFAAAAAgAh07i&#10;QMc6S0clAgAADgQAAA4AAAAAAAAAAQAgAAAAJAEAAGRycy9lMm9Eb2MueG1sUEsFBgAAAAAGAAYA&#10;WQEAALsFAAAAAA==&#10;">
                <v:fill on="f" focussize="0,0"/>
                <v:stroke weight="0.5pt" color="#000000 [3213]" joinstyle="round" endarrow="block"/>
                <v:imagedata o:title=""/>
                <o:lock v:ext="edit" aspectratio="f"/>
              </v:shape>
            </w:pict>
          </mc:Fallback>
        </mc:AlternateContent>
      </w:r>
      <w:r>
        <w:rPr>
          <w:noProof/>
          <w:sz w:val="24"/>
        </w:rPr>
        <mc:AlternateContent>
          <mc:Choice Requires="wpc">
            <w:drawing>
              <wp:inline distT="0" distB="0" distL="114300" distR="114300" wp14:anchorId="4EA5055A" wp14:editId="2BCB1C26">
                <wp:extent cx="5274310" cy="7367270"/>
                <wp:effectExtent l="4445" t="4445" r="17145" b="19685"/>
                <wp:docPr id="28" name="画布 28"/>
                <wp:cNvGraphicFramePr/>
                <a:graphic xmlns:a="http://schemas.openxmlformats.org/drawingml/2006/main">
                  <a:graphicData uri="http://schemas.microsoft.com/office/word/2010/wordprocessingCanvas">
                    <wpc:wpc>
                      <wpc:bg/>
                      <wpc:whole>
                        <a:ln w="6350">
                          <a:solidFill>
                            <a:schemeClr val="tx1"/>
                          </a:solidFill>
                        </a:ln>
                      </wpc:whole>
                      <wps:wsp>
                        <wps:cNvPr id="29" name="矩形 29"/>
                        <wps:cNvSpPr/>
                        <wps:spPr>
                          <a:xfrm>
                            <a:off x="146685" y="391160"/>
                            <a:ext cx="629285" cy="26606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8FB5E83" w14:textId="77777777" w:rsidR="00B14D53" w:rsidRDefault="00000000">
                              <w:pPr>
                                <w:ind w:leftChars="-100" w:left="-210" w:rightChars="-100" w:right="-210"/>
                                <w:jc w:val="center"/>
                                <w:rPr>
                                  <w:color w:val="000000" w:themeColor="text1"/>
                                </w:rPr>
                              </w:pPr>
                              <w:r>
                                <w:rPr>
                                  <w:rFonts w:hint="eastAsia"/>
                                  <w:color w:val="000000" w:themeColor="text1"/>
                                </w:rPr>
                                <w:t>进厂检疫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矩形 81"/>
                        <wps:cNvSpPr/>
                        <wps:spPr>
                          <a:xfrm>
                            <a:off x="1130300" y="383540"/>
                            <a:ext cx="960755" cy="27368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B988E83" w14:textId="77777777" w:rsidR="00B14D53" w:rsidRDefault="00000000">
                              <w:pPr>
                                <w:ind w:leftChars="-100" w:left="-210" w:rightChars="-100" w:right="-210"/>
                                <w:jc w:val="center"/>
                                <w:rPr>
                                  <w:color w:val="000000" w:themeColor="text1"/>
                                </w:rPr>
                              </w:pPr>
                              <w:r>
                                <w:rPr>
                                  <w:rFonts w:hint="eastAsia"/>
                                  <w:color w:val="000000" w:themeColor="text1"/>
                                </w:rPr>
                                <w:t>候宰休息、检查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矩形 83"/>
                        <wps:cNvSpPr/>
                        <wps:spPr>
                          <a:xfrm>
                            <a:off x="2447925" y="384810"/>
                            <a:ext cx="84264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6FFECAB" w14:textId="77777777" w:rsidR="00B14D53" w:rsidRDefault="00000000">
                              <w:pPr>
                                <w:ind w:leftChars="-100" w:left="-210" w:rightChars="-100" w:right="-210"/>
                                <w:jc w:val="center"/>
                                <w:rPr>
                                  <w:color w:val="000000" w:themeColor="text1"/>
                                </w:rPr>
                              </w:pPr>
                              <w:r>
                                <w:rPr>
                                  <w:rFonts w:hint="eastAsia"/>
                                  <w:color w:val="000000" w:themeColor="text1"/>
                                </w:rPr>
                                <w:t>称重、淋浴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矩形 85"/>
                        <wps:cNvSpPr/>
                        <wps:spPr>
                          <a:xfrm>
                            <a:off x="3636010" y="401955"/>
                            <a:ext cx="775970" cy="27305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EC758A5" w14:textId="77777777" w:rsidR="00B14D53" w:rsidRDefault="00000000">
                              <w:pPr>
                                <w:ind w:leftChars="-100" w:left="-210" w:rightChars="-100" w:right="-210"/>
                                <w:jc w:val="center"/>
                                <w:rPr>
                                  <w:color w:val="000000" w:themeColor="text1"/>
                                </w:rPr>
                              </w:pPr>
                              <w:r>
                                <w:rPr>
                                  <w:rFonts w:hint="eastAsia"/>
                                  <w:color w:val="000000" w:themeColor="text1"/>
                                </w:rPr>
                                <w:t>击晕、吊挂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3809365" y="1376045"/>
                            <a:ext cx="54292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E4119BC" w14:textId="77777777" w:rsidR="00B14D53" w:rsidRDefault="00000000">
                              <w:pPr>
                                <w:ind w:leftChars="-100" w:left="-210" w:rightChars="-100" w:right="-210"/>
                                <w:jc w:val="center"/>
                                <w:rPr>
                                  <w:color w:val="000000" w:themeColor="text1"/>
                                </w:rPr>
                              </w:pPr>
                              <w:r>
                                <w:rPr>
                                  <w:rFonts w:hint="eastAsia"/>
                                  <w:color w:val="000000" w:themeColor="text1"/>
                                </w:rPr>
                                <w:t>放血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矩形 89"/>
                        <wps:cNvSpPr/>
                        <wps:spPr>
                          <a:xfrm>
                            <a:off x="2987040" y="1374140"/>
                            <a:ext cx="508000"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A0F8120" w14:textId="77777777" w:rsidR="00B14D53" w:rsidRDefault="00000000">
                              <w:pPr>
                                <w:ind w:leftChars="-100" w:left="-210" w:rightChars="-100" w:right="-210"/>
                                <w:jc w:val="center"/>
                                <w:rPr>
                                  <w:color w:val="000000" w:themeColor="text1"/>
                                </w:rPr>
                              </w:pPr>
                              <w:r>
                                <w:rPr>
                                  <w:rFonts w:hint="eastAsia"/>
                                  <w:color w:val="000000" w:themeColor="text1"/>
                                </w:rPr>
                                <w:t>浸烫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矩形 91"/>
                        <wps:cNvSpPr/>
                        <wps:spPr>
                          <a:xfrm>
                            <a:off x="2145665" y="1377315"/>
                            <a:ext cx="508000"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5946ABB" w14:textId="77777777" w:rsidR="00B14D53" w:rsidRDefault="00000000">
                              <w:pPr>
                                <w:ind w:leftChars="-100" w:left="-210" w:rightChars="-100" w:right="-210"/>
                                <w:jc w:val="center"/>
                                <w:rPr>
                                  <w:color w:val="000000" w:themeColor="text1"/>
                                </w:rPr>
                              </w:pPr>
                              <w:r>
                                <w:rPr>
                                  <w:rFonts w:hint="eastAsia"/>
                                  <w:color w:val="000000" w:themeColor="text1"/>
                                </w:rPr>
                                <w:t>烫毛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矩形 93"/>
                        <wps:cNvSpPr/>
                        <wps:spPr>
                          <a:xfrm>
                            <a:off x="1312545" y="1391920"/>
                            <a:ext cx="508000"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4CCB041" w14:textId="77777777" w:rsidR="00B14D53" w:rsidRDefault="00000000">
                              <w:pPr>
                                <w:ind w:leftChars="-100" w:left="-210" w:rightChars="-100" w:right="-210"/>
                                <w:jc w:val="center"/>
                                <w:rPr>
                                  <w:color w:val="000000" w:themeColor="text1"/>
                                </w:rPr>
                              </w:pPr>
                              <w:r>
                                <w:rPr>
                                  <w:rFonts w:hint="eastAsia"/>
                                  <w:color w:val="000000" w:themeColor="text1"/>
                                </w:rPr>
                                <w:t>刨毛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矩形 95"/>
                        <wps:cNvSpPr/>
                        <wps:spPr>
                          <a:xfrm>
                            <a:off x="493395" y="1404620"/>
                            <a:ext cx="508000"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1A7E4B0" w14:textId="77777777" w:rsidR="00B14D53" w:rsidRDefault="00000000">
                              <w:pPr>
                                <w:ind w:leftChars="-100" w:left="-210" w:rightChars="-100" w:right="-210"/>
                                <w:jc w:val="center"/>
                                <w:rPr>
                                  <w:color w:val="000000" w:themeColor="text1"/>
                                </w:rPr>
                              </w:pPr>
                              <w:r>
                                <w:rPr>
                                  <w:rFonts w:hint="eastAsia"/>
                                  <w:color w:val="000000" w:themeColor="text1"/>
                                </w:rPr>
                                <w:t>修刮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矩形 96"/>
                        <wps:cNvSpPr/>
                        <wps:spPr>
                          <a:xfrm>
                            <a:off x="358140" y="2148840"/>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8AFC9D4" w14:textId="77777777" w:rsidR="00B14D53" w:rsidRDefault="00000000">
                              <w:pPr>
                                <w:ind w:leftChars="-100" w:left="-210" w:rightChars="-100" w:right="-210"/>
                                <w:jc w:val="center"/>
                                <w:rPr>
                                  <w:color w:val="000000" w:themeColor="text1"/>
                                </w:rPr>
                              </w:pPr>
                              <w:r>
                                <w:rPr>
                                  <w:rFonts w:hint="eastAsia"/>
                                  <w:color w:val="000000" w:themeColor="text1"/>
                                </w:rPr>
                                <w:t>吊挂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矩形 101"/>
                        <wps:cNvSpPr/>
                        <wps:spPr>
                          <a:xfrm>
                            <a:off x="1062355" y="2155825"/>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5056200" w14:textId="77777777" w:rsidR="00B14D53" w:rsidRDefault="00000000">
                              <w:pPr>
                                <w:ind w:leftChars="-100" w:left="-210" w:rightChars="-100" w:right="-210"/>
                                <w:jc w:val="center"/>
                                <w:rPr>
                                  <w:color w:val="000000" w:themeColor="text1"/>
                                </w:rPr>
                              </w:pPr>
                              <w:r>
                                <w:rPr>
                                  <w:rFonts w:hint="eastAsia"/>
                                  <w:color w:val="000000" w:themeColor="text1"/>
                                </w:rPr>
                                <w:t>挑胸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矩形 103"/>
                        <wps:cNvSpPr/>
                        <wps:spPr>
                          <a:xfrm>
                            <a:off x="1760855" y="2151380"/>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C5796AB" w14:textId="77777777" w:rsidR="00B14D53" w:rsidRDefault="00000000">
                              <w:pPr>
                                <w:ind w:leftChars="-100" w:left="-210" w:rightChars="-100" w:right="-210"/>
                                <w:jc w:val="center"/>
                                <w:rPr>
                                  <w:color w:val="000000" w:themeColor="text1"/>
                                </w:rPr>
                              </w:pPr>
                              <w:r>
                                <w:rPr>
                                  <w:rFonts w:hint="eastAsia"/>
                                  <w:color w:val="000000" w:themeColor="text1"/>
                                </w:rPr>
                                <w:t>开膛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矩形 105"/>
                        <wps:cNvSpPr/>
                        <wps:spPr>
                          <a:xfrm>
                            <a:off x="2464435" y="2162810"/>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54DAB63" w14:textId="77777777" w:rsidR="00B14D53" w:rsidRDefault="00000000">
                              <w:pPr>
                                <w:ind w:leftChars="-100" w:left="-210" w:rightChars="-100" w:right="-210"/>
                                <w:jc w:val="center"/>
                                <w:rPr>
                                  <w:color w:val="000000" w:themeColor="text1"/>
                                </w:rPr>
                              </w:pPr>
                              <w:r>
                                <w:rPr>
                                  <w:rFonts w:hint="eastAsia"/>
                                  <w:color w:val="000000" w:themeColor="text1"/>
                                </w:rPr>
                                <w:t>取内脏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矩形 107"/>
                        <wps:cNvSpPr/>
                        <wps:spPr>
                          <a:xfrm>
                            <a:off x="3162935" y="2173605"/>
                            <a:ext cx="66738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9798377" w14:textId="77777777" w:rsidR="00B14D53" w:rsidRDefault="00000000">
                              <w:pPr>
                                <w:ind w:leftChars="-100" w:left="-210" w:rightChars="-100" w:right="-210"/>
                                <w:jc w:val="center"/>
                                <w:rPr>
                                  <w:color w:val="000000" w:themeColor="text1"/>
                                </w:rPr>
                              </w:pPr>
                              <w:r>
                                <w:rPr>
                                  <w:rFonts w:hint="eastAsia"/>
                                  <w:color w:val="000000" w:themeColor="text1"/>
                                </w:rPr>
                                <w:t>冲洗胸腹腔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矩形 109"/>
                        <wps:cNvSpPr/>
                        <wps:spPr>
                          <a:xfrm>
                            <a:off x="4115435" y="2162810"/>
                            <a:ext cx="66738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FDBFC71" w14:textId="77777777" w:rsidR="00B14D53" w:rsidRDefault="00000000">
                              <w:pPr>
                                <w:ind w:leftChars="-100" w:left="-210" w:rightChars="-100" w:right="-210"/>
                                <w:jc w:val="center"/>
                                <w:rPr>
                                  <w:color w:val="000000" w:themeColor="text1"/>
                                </w:rPr>
                              </w:pPr>
                              <w:r>
                                <w:rPr>
                                  <w:rFonts w:hint="eastAsia"/>
                                  <w:color w:val="000000" w:themeColor="text1"/>
                                </w:rPr>
                                <w:t>寄生虫检验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矩形 111"/>
                        <wps:cNvSpPr/>
                        <wps:spPr>
                          <a:xfrm>
                            <a:off x="2346960" y="3011170"/>
                            <a:ext cx="508000"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52FD591" w14:textId="77777777" w:rsidR="00B14D53" w:rsidRDefault="00000000">
                              <w:pPr>
                                <w:ind w:leftChars="-100" w:left="-210" w:rightChars="-100" w:right="-210"/>
                                <w:jc w:val="center"/>
                                <w:rPr>
                                  <w:color w:val="000000" w:themeColor="text1"/>
                                </w:rPr>
                              </w:pPr>
                              <w:r>
                                <w:rPr>
                                  <w:rFonts w:hint="eastAsia"/>
                                  <w:color w:val="000000" w:themeColor="text1"/>
                                </w:rPr>
                                <w:t>检验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 name="矩形 114"/>
                        <wps:cNvSpPr/>
                        <wps:spPr>
                          <a:xfrm>
                            <a:off x="3145155" y="3013710"/>
                            <a:ext cx="97218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295075E" w14:textId="77777777" w:rsidR="00B14D53" w:rsidRDefault="00000000">
                              <w:pPr>
                                <w:ind w:leftChars="-100" w:left="-210" w:rightChars="-100" w:right="-210"/>
                                <w:jc w:val="center"/>
                                <w:rPr>
                                  <w:color w:val="000000" w:themeColor="text1"/>
                                </w:rPr>
                              </w:pPr>
                              <w:r>
                                <w:rPr>
                                  <w:rFonts w:hint="eastAsia"/>
                                  <w:color w:val="000000" w:themeColor="text1"/>
                                </w:rPr>
                                <w:t>去内容物、清洗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任意多边形 115"/>
                        <wps:cNvSpPr/>
                        <wps:spPr>
                          <a:xfrm flipV="1">
                            <a:off x="4119245" y="3085465"/>
                            <a:ext cx="636270" cy="76200"/>
                          </a:xfrm>
                          <a:custGeom>
                            <a:avLst/>
                            <a:gdLst/>
                            <a:ahLst/>
                            <a:cxnLst/>
                            <a:rect l="0" t="0" r="0" b="0"/>
                            <a:pathLst>
                              <a:path w="1155" h="90">
                                <a:moveTo>
                                  <a:pt x="0" y="0"/>
                                </a:moveTo>
                                <a:lnTo>
                                  <a:pt x="318" y="0"/>
                                </a:lnTo>
                                <a:lnTo>
                                  <a:pt x="453" y="90"/>
                                </a:lnTo>
                                <a:lnTo>
                                  <a:pt x="618" y="0"/>
                                </a:lnTo>
                                <a:lnTo>
                                  <a:pt x="1155" y="1"/>
                                </a:lnTo>
                              </a:path>
                            </a:pathLst>
                          </a:custGeom>
                          <a:noFill/>
                          <a:ln w="9525" cap="flat" cmpd="sng">
                            <a:solidFill>
                              <a:srgbClr val="000000"/>
                            </a:solidFill>
                            <a:prstDash val="solid"/>
                            <a:headEnd type="none" w="med" len="med"/>
                            <a:tailEnd type="stealth" w="sm" len="lg"/>
                          </a:ln>
                        </wps:spPr>
                        <wps:bodyPr upright="1"/>
                      </wps:wsp>
                      <wps:wsp>
                        <wps:cNvPr id="116" name="矩形 116"/>
                        <wps:cNvSpPr/>
                        <wps:spPr>
                          <a:xfrm>
                            <a:off x="4750435" y="3068955"/>
                            <a:ext cx="282575" cy="74041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048C119" w14:textId="77777777" w:rsidR="00B14D53" w:rsidRDefault="00000000">
                              <w:pPr>
                                <w:ind w:leftChars="-100" w:left="-210" w:rightChars="-100" w:right="-210"/>
                                <w:jc w:val="center"/>
                                <w:rPr>
                                  <w:color w:val="000000" w:themeColor="text1"/>
                                </w:rPr>
                              </w:pPr>
                              <w:r>
                                <w:rPr>
                                  <w:rFonts w:hint="eastAsia"/>
                                  <w:color w:val="000000" w:themeColor="text1"/>
                                </w:rPr>
                                <w:t>副</w:t>
                              </w:r>
                            </w:p>
                            <w:p w14:paraId="7224A5A9" w14:textId="77777777" w:rsidR="00B14D53" w:rsidRDefault="00000000">
                              <w:pPr>
                                <w:ind w:leftChars="-100" w:left="-210" w:rightChars="-100" w:right="-210"/>
                                <w:jc w:val="center"/>
                                <w:rPr>
                                  <w:color w:val="000000" w:themeColor="text1"/>
                                </w:rPr>
                              </w:pPr>
                              <w:r>
                                <w:rPr>
                                  <w:rFonts w:hint="eastAsia"/>
                                  <w:color w:val="000000" w:themeColor="text1"/>
                                </w:rPr>
                                <w:t>产</w:t>
                              </w:r>
                            </w:p>
                            <w:p w14:paraId="02F42C79" w14:textId="77777777" w:rsidR="00B14D53" w:rsidRDefault="00000000">
                              <w:pPr>
                                <w:ind w:leftChars="-100" w:left="-210" w:rightChars="-100" w:right="-210"/>
                                <w:jc w:val="center"/>
                                <w:rPr>
                                  <w:color w:val="000000" w:themeColor="text1"/>
                                </w:rPr>
                              </w:pPr>
                              <w:r>
                                <w:rPr>
                                  <w:rFonts w:hint="eastAsia"/>
                                  <w:color w:val="000000" w:themeColor="text1"/>
                                </w:rPr>
                                <w:t>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矩形 118"/>
                        <wps:cNvSpPr/>
                        <wps:spPr>
                          <a:xfrm>
                            <a:off x="4646295" y="4439285"/>
                            <a:ext cx="508000"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4DC0D14" w14:textId="77777777" w:rsidR="00B14D53" w:rsidRDefault="00000000">
                              <w:pPr>
                                <w:ind w:leftChars="-100" w:left="-210" w:rightChars="-100" w:right="-210"/>
                                <w:jc w:val="center"/>
                                <w:rPr>
                                  <w:color w:val="000000" w:themeColor="text1"/>
                                </w:rPr>
                              </w:pPr>
                              <w:r>
                                <w:rPr>
                                  <w:rFonts w:hint="eastAsia"/>
                                  <w:color w:val="000000" w:themeColor="text1"/>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矩形 120"/>
                        <wps:cNvSpPr/>
                        <wps:spPr>
                          <a:xfrm>
                            <a:off x="3723005" y="3801110"/>
                            <a:ext cx="90106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96CA23D" w14:textId="77777777" w:rsidR="00B14D53" w:rsidRDefault="00000000">
                              <w:pPr>
                                <w:ind w:leftChars="-100" w:left="-210" w:rightChars="-100" w:right="-210"/>
                                <w:jc w:val="center"/>
                                <w:rPr>
                                  <w:color w:val="000000" w:themeColor="text1"/>
                                </w:rPr>
                              </w:pPr>
                              <w:r>
                                <w:rPr>
                                  <w:rFonts w:hint="eastAsia"/>
                                  <w:color w:val="000000" w:themeColor="text1"/>
                                </w:rPr>
                                <w:t>去头、尾、蹄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22"/>
                        <wps:cNvSpPr/>
                        <wps:spPr>
                          <a:xfrm>
                            <a:off x="3680460" y="4419600"/>
                            <a:ext cx="508000"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B4A84B3" w14:textId="77777777" w:rsidR="00B14D53" w:rsidRDefault="00000000">
                              <w:pPr>
                                <w:ind w:leftChars="-100" w:left="-210" w:rightChars="-100" w:right="-210"/>
                                <w:jc w:val="center"/>
                                <w:rPr>
                                  <w:color w:val="000000" w:themeColor="text1"/>
                                </w:rPr>
                              </w:pPr>
                              <w:r>
                                <w:rPr>
                                  <w:rFonts w:hint="eastAsia"/>
                                  <w:color w:val="000000" w:themeColor="text1"/>
                                </w:rPr>
                                <w:t>去毛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矩形 125"/>
                        <wps:cNvSpPr/>
                        <wps:spPr>
                          <a:xfrm>
                            <a:off x="2999105" y="3818255"/>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B9BF93A" w14:textId="77777777" w:rsidR="00B14D53" w:rsidRDefault="00000000">
                              <w:pPr>
                                <w:ind w:leftChars="-100" w:left="-210" w:rightChars="-100" w:right="-210"/>
                                <w:jc w:val="center"/>
                                <w:rPr>
                                  <w:color w:val="000000" w:themeColor="text1"/>
                                </w:rPr>
                              </w:pPr>
                              <w:r>
                                <w:rPr>
                                  <w:rFonts w:hint="eastAsia"/>
                                  <w:color w:val="000000" w:themeColor="text1"/>
                                </w:rPr>
                                <w:t>劈半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矩形 127"/>
                        <wps:cNvSpPr/>
                        <wps:spPr>
                          <a:xfrm>
                            <a:off x="2284730" y="3825240"/>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8FF4D8F" w14:textId="77777777" w:rsidR="00B14D53" w:rsidRDefault="00000000">
                              <w:pPr>
                                <w:ind w:leftChars="-100" w:left="-210" w:rightChars="-100" w:right="-210"/>
                                <w:jc w:val="center"/>
                                <w:rPr>
                                  <w:color w:val="000000" w:themeColor="text1"/>
                                </w:rPr>
                              </w:pPr>
                              <w:r>
                                <w:rPr>
                                  <w:rFonts w:hint="eastAsia"/>
                                  <w:color w:val="000000" w:themeColor="text1"/>
                                </w:rPr>
                                <w:t>修整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矩形 130"/>
                        <wps:cNvSpPr/>
                        <wps:spPr>
                          <a:xfrm>
                            <a:off x="1578610" y="3832860"/>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C589859" w14:textId="77777777" w:rsidR="00B14D53" w:rsidRDefault="00000000">
                              <w:pPr>
                                <w:ind w:leftChars="-100" w:left="-210" w:rightChars="-100" w:right="-210"/>
                                <w:jc w:val="center"/>
                                <w:rPr>
                                  <w:color w:val="000000" w:themeColor="text1"/>
                                </w:rPr>
                              </w:pPr>
                              <w:r>
                                <w:rPr>
                                  <w:rFonts w:hint="eastAsia"/>
                                  <w:color w:val="000000" w:themeColor="text1"/>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矩形 133"/>
                        <wps:cNvSpPr/>
                        <wps:spPr>
                          <a:xfrm>
                            <a:off x="483870" y="3835400"/>
                            <a:ext cx="77533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8DA2D84" w14:textId="77777777" w:rsidR="00B14D53" w:rsidRDefault="00000000">
                              <w:pPr>
                                <w:ind w:leftChars="-100" w:left="-210" w:rightChars="-100" w:right="-210"/>
                                <w:jc w:val="center"/>
                                <w:rPr>
                                  <w:color w:val="000000" w:themeColor="text1"/>
                                </w:rPr>
                              </w:pPr>
                              <w:r>
                                <w:rPr>
                                  <w:rFonts w:hint="eastAsia"/>
                                  <w:color w:val="000000" w:themeColor="text1"/>
                                </w:rPr>
                                <w:t>检验、分级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 name="矩形 140"/>
                        <wps:cNvSpPr/>
                        <wps:spPr>
                          <a:xfrm>
                            <a:off x="593090" y="4772660"/>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A9CAB06" w14:textId="77777777" w:rsidR="00B14D53" w:rsidRDefault="00000000">
                              <w:pPr>
                                <w:ind w:leftChars="-100" w:left="-210" w:rightChars="-100" w:right="-210"/>
                                <w:jc w:val="center"/>
                                <w:rPr>
                                  <w:color w:val="000000" w:themeColor="text1"/>
                                </w:rPr>
                              </w:pPr>
                              <w:r>
                                <w:rPr>
                                  <w:rFonts w:hint="eastAsia"/>
                                  <w:color w:val="000000" w:themeColor="text1"/>
                                </w:rPr>
                                <w:t>称重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矩形 143"/>
                        <wps:cNvSpPr/>
                        <wps:spPr>
                          <a:xfrm>
                            <a:off x="1308100" y="4773930"/>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D187CA2" w14:textId="77777777" w:rsidR="00B14D53" w:rsidRDefault="00000000">
                              <w:pPr>
                                <w:ind w:leftChars="-100" w:left="-210" w:rightChars="-100" w:right="-210"/>
                                <w:jc w:val="center"/>
                                <w:rPr>
                                  <w:color w:val="000000" w:themeColor="text1"/>
                                </w:rPr>
                              </w:pPr>
                              <w:r>
                                <w:rPr>
                                  <w:rFonts w:hint="eastAsia"/>
                                  <w:color w:val="000000" w:themeColor="text1"/>
                                </w:rPr>
                                <w:t>排酸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 name="矩形 146"/>
                        <wps:cNvSpPr/>
                        <wps:spPr>
                          <a:xfrm>
                            <a:off x="2008505" y="4793615"/>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E81C1ED" w14:textId="77777777" w:rsidR="00B14D53" w:rsidRDefault="00000000">
                              <w:pPr>
                                <w:ind w:leftChars="-100" w:left="-210" w:rightChars="-100" w:right="-210"/>
                                <w:jc w:val="center"/>
                                <w:rPr>
                                  <w:color w:val="000000" w:themeColor="text1"/>
                                </w:rPr>
                              </w:pPr>
                              <w:r>
                                <w:rPr>
                                  <w:rFonts w:hint="eastAsia"/>
                                  <w:color w:val="000000" w:themeColor="text1"/>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 name="矩形 147"/>
                        <wps:cNvSpPr/>
                        <wps:spPr>
                          <a:xfrm>
                            <a:off x="21590" y="2183765"/>
                            <a:ext cx="282575" cy="154940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492A186" w14:textId="77777777" w:rsidR="00B14D53" w:rsidRDefault="00000000">
                              <w:pPr>
                                <w:ind w:leftChars="-100" w:left="-210" w:rightChars="-100" w:right="-210"/>
                                <w:jc w:val="center"/>
                                <w:rPr>
                                  <w:color w:val="000000" w:themeColor="text1"/>
                                </w:rPr>
                              </w:pPr>
                              <w:r>
                                <w:rPr>
                                  <w:rFonts w:hint="eastAsia"/>
                                  <w:color w:val="000000" w:themeColor="text1"/>
                                </w:rPr>
                                <w:t>银</w:t>
                              </w:r>
                            </w:p>
                            <w:p w14:paraId="384B9601" w14:textId="77777777" w:rsidR="00B14D53" w:rsidRDefault="00000000">
                              <w:pPr>
                                <w:ind w:leftChars="-100" w:left="-210" w:rightChars="-100" w:right="-210"/>
                                <w:jc w:val="center"/>
                                <w:rPr>
                                  <w:color w:val="000000" w:themeColor="text1"/>
                                </w:rPr>
                              </w:pPr>
                              <w:r>
                                <w:rPr>
                                  <w:rFonts w:hint="eastAsia"/>
                                  <w:color w:val="000000" w:themeColor="text1"/>
                                </w:rPr>
                                <w:t>山</w:t>
                              </w:r>
                            </w:p>
                            <w:p w14:paraId="46C675CF" w14:textId="77777777" w:rsidR="00B14D53" w:rsidRDefault="00000000">
                              <w:pPr>
                                <w:ind w:leftChars="-100" w:left="-210" w:rightChars="-100" w:right="-210"/>
                                <w:jc w:val="center"/>
                                <w:rPr>
                                  <w:color w:val="000000" w:themeColor="text1"/>
                                </w:rPr>
                              </w:pPr>
                              <w:r>
                                <w:rPr>
                                  <w:rFonts w:hint="eastAsia"/>
                                  <w:color w:val="000000" w:themeColor="text1"/>
                                </w:rPr>
                                <w:t>无</w:t>
                              </w:r>
                            </w:p>
                            <w:p w14:paraId="46A2710C" w14:textId="77777777" w:rsidR="00B14D53" w:rsidRDefault="00000000">
                              <w:pPr>
                                <w:ind w:leftChars="-100" w:left="-210" w:rightChars="-100" w:right="-210"/>
                                <w:jc w:val="center"/>
                                <w:rPr>
                                  <w:color w:val="000000" w:themeColor="text1"/>
                                </w:rPr>
                              </w:pPr>
                              <w:r>
                                <w:rPr>
                                  <w:rFonts w:hint="eastAsia"/>
                                  <w:color w:val="000000" w:themeColor="text1"/>
                                </w:rPr>
                                <w:t>害</w:t>
                              </w:r>
                            </w:p>
                            <w:p w14:paraId="60D7B3F2" w14:textId="77777777" w:rsidR="00B14D53" w:rsidRDefault="00000000">
                              <w:pPr>
                                <w:ind w:leftChars="-100" w:left="-210" w:rightChars="-100" w:right="-210"/>
                                <w:jc w:val="center"/>
                                <w:rPr>
                                  <w:color w:val="000000" w:themeColor="text1"/>
                                </w:rPr>
                              </w:pPr>
                              <w:r>
                                <w:rPr>
                                  <w:rFonts w:hint="eastAsia"/>
                                  <w:color w:val="000000" w:themeColor="text1"/>
                                </w:rPr>
                                <w:t>化</w:t>
                              </w:r>
                            </w:p>
                            <w:p w14:paraId="4E1F3BE8" w14:textId="77777777" w:rsidR="00B14D53" w:rsidRDefault="00000000">
                              <w:pPr>
                                <w:ind w:leftChars="-100" w:left="-210" w:rightChars="-100" w:right="-210"/>
                                <w:jc w:val="center"/>
                                <w:rPr>
                                  <w:color w:val="000000" w:themeColor="text1"/>
                                </w:rPr>
                              </w:pPr>
                              <w:r>
                                <w:rPr>
                                  <w:rFonts w:hint="eastAsia"/>
                                  <w:color w:val="000000" w:themeColor="text1"/>
                                </w:rPr>
                                <w:t>处</w:t>
                              </w:r>
                            </w:p>
                            <w:p w14:paraId="1F4A09D3" w14:textId="77777777" w:rsidR="00B14D53" w:rsidRDefault="00000000">
                              <w:pPr>
                                <w:ind w:leftChars="-100" w:left="-210" w:rightChars="-100" w:right="-210"/>
                                <w:jc w:val="center"/>
                                <w:rPr>
                                  <w:color w:val="000000" w:themeColor="text1"/>
                                </w:rPr>
                              </w:pPr>
                              <w:r>
                                <w:rPr>
                                  <w:rFonts w:hint="eastAsia"/>
                                  <w:color w:val="000000" w:themeColor="text1"/>
                                </w:rPr>
                                <w:t>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矩形 157"/>
                        <wps:cNvSpPr/>
                        <wps:spPr>
                          <a:xfrm>
                            <a:off x="293370" y="5481955"/>
                            <a:ext cx="918845" cy="48133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3AF8A07" w14:textId="77777777" w:rsidR="00B14D53" w:rsidRDefault="00000000">
                              <w:pPr>
                                <w:ind w:leftChars="-100" w:left="-210" w:rightChars="-100" w:right="-210"/>
                                <w:jc w:val="center"/>
                                <w:rPr>
                                  <w:color w:val="000000" w:themeColor="text1"/>
                                </w:rPr>
                              </w:pPr>
                              <w:r>
                                <w:rPr>
                                  <w:rFonts w:hint="eastAsia"/>
                                  <w:color w:val="000000" w:themeColor="text1"/>
                                </w:rPr>
                                <w:t>屠宰车间地面、设备冲洗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 name="矩形 187"/>
                        <wps:cNvSpPr/>
                        <wps:spPr>
                          <a:xfrm>
                            <a:off x="457835" y="6363335"/>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6ECE59A4" w14:textId="77777777" w:rsidR="00B14D53" w:rsidRDefault="00000000">
                              <w:pPr>
                                <w:ind w:leftChars="-100" w:left="-210" w:rightChars="-100" w:right="-210"/>
                                <w:jc w:val="center"/>
                                <w:rPr>
                                  <w:color w:val="000000" w:themeColor="text1"/>
                                </w:rPr>
                              </w:pPr>
                              <w:r>
                                <w:rPr>
                                  <w:rFonts w:hint="eastAsia"/>
                                  <w:color w:val="000000" w:themeColor="text1"/>
                                </w:rPr>
                                <w:t>W5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9" name="矩形 219"/>
                        <wps:cNvSpPr/>
                        <wps:spPr>
                          <a:xfrm>
                            <a:off x="1428115" y="5481955"/>
                            <a:ext cx="918845" cy="48006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58DD824" w14:textId="77777777" w:rsidR="00B14D53" w:rsidRDefault="00000000">
                              <w:pPr>
                                <w:ind w:leftChars="-100" w:left="-210" w:rightChars="-100" w:right="-210"/>
                                <w:jc w:val="center"/>
                                <w:rPr>
                                  <w:color w:val="000000" w:themeColor="text1"/>
                                </w:rPr>
                              </w:pPr>
                              <w:r>
                                <w:rPr>
                                  <w:rFonts w:hint="eastAsia"/>
                                  <w:color w:val="000000" w:themeColor="text1"/>
                                </w:rPr>
                                <w:t>软化水设备</w:t>
                              </w:r>
                              <w:r>
                                <w:rPr>
                                  <w:rFonts w:hint="eastAsia"/>
                                  <w:color w:val="000000" w:themeColor="text1"/>
                                </w:rPr>
                                <w:t>+</w:t>
                              </w:r>
                              <w:r>
                                <w:rPr>
                                  <w:rFonts w:hint="eastAsia"/>
                                  <w:color w:val="000000" w:themeColor="text1"/>
                                </w:rPr>
                                <w:t>电蒸汽发生器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7" name="矩形 237"/>
                        <wps:cNvSpPr/>
                        <wps:spPr>
                          <a:xfrm>
                            <a:off x="2677795" y="5551805"/>
                            <a:ext cx="673735"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22FDA57E" w14:textId="77777777" w:rsidR="00B14D53" w:rsidRDefault="00000000">
                              <w:pPr>
                                <w:ind w:leftChars="-100" w:left="-210" w:rightChars="-100" w:right="-210"/>
                                <w:jc w:val="center"/>
                                <w:rPr>
                                  <w:color w:val="000000" w:themeColor="text1"/>
                                </w:rPr>
                              </w:pPr>
                              <w:r>
                                <w:rPr>
                                  <w:rFonts w:hint="eastAsia"/>
                                  <w:color w:val="000000" w:themeColor="text1"/>
                                </w:rPr>
                                <w:t>W6</w:t>
                              </w:r>
                              <w:r>
                                <w:rPr>
                                  <w:rFonts w:hint="eastAsia"/>
                                  <w:color w:val="000000" w:themeColor="text1"/>
                                </w:rPr>
                                <w:t>、</w:t>
                              </w:r>
                              <w:r>
                                <w:rPr>
                                  <w:rFonts w:hint="eastAsia"/>
                                  <w:color w:val="000000" w:themeColor="text1"/>
                                </w:rPr>
                                <w:t>N</w:t>
                              </w:r>
                              <w:r>
                                <w:rPr>
                                  <w:rFonts w:hint="eastAsia"/>
                                  <w:color w:val="000000" w:themeColor="text1"/>
                                </w:rPr>
                                <w:t>、</w:t>
                              </w:r>
                              <w:r>
                                <w:rPr>
                                  <w:rFonts w:hint="eastAsia"/>
                                  <w:color w:val="000000" w:themeColor="text1"/>
                                </w:rPr>
                                <w:t>S9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8" name="矩形 238"/>
                        <wps:cNvSpPr/>
                        <wps:spPr>
                          <a:xfrm>
                            <a:off x="1437640" y="6186805"/>
                            <a:ext cx="918845" cy="34163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0AFE85E" w14:textId="77777777" w:rsidR="00B14D53" w:rsidRDefault="00000000">
                              <w:pPr>
                                <w:ind w:leftChars="-100" w:left="-210" w:rightChars="-100" w:right="-210"/>
                                <w:jc w:val="center"/>
                                <w:rPr>
                                  <w:color w:val="000000" w:themeColor="text1"/>
                                </w:rPr>
                              </w:pPr>
                              <w:r>
                                <w:rPr>
                                  <w:rFonts w:hint="eastAsia"/>
                                  <w:color w:val="000000" w:themeColor="text1"/>
                                </w:rPr>
                                <w:t>污水处理站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3" name="矩形 253"/>
                        <wps:cNvSpPr/>
                        <wps:spPr>
                          <a:xfrm>
                            <a:off x="2579370" y="6214745"/>
                            <a:ext cx="90805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6FF26396" w14:textId="77777777" w:rsidR="00B14D53" w:rsidRDefault="00000000">
                              <w:pPr>
                                <w:ind w:leftChars="-100" w:left="-210" w:rightChars="-100" w:right="-210"/>
                                <w:jc w:val="center"/>
                                <w:rPr>
                                  <w:color w:val="000000" w:themeColor="text1"/>
                                </w:rPr>
                              </w:pPr>
                              <w:r>
                                <w:rPr>
                                  <w:rFonts w:hint="eastAsia"/>
                                  <w:color w:val="000000" w:themeColor="text1"/>
                                </w:rPr>
                                <w:t>G3</w:t>
                              </w:r>
                              <w:r>
                                <w:rPr>
                                  <w:rFonts w:hint="eastAsia"/>
                                  <w:color w:val="000000" w:themeColor="text1"/>
                                </w:rPr>
                                <w:t>、</w:t>
                              </w:r>
                              <w:r>
                                <w:rPr>
                                  <w:rFonts w:hint="eastAsia"/>
                                  <w:color w:val="000000" w:themeColor="text1"/>
                                </w:rPr>
                                <w:t>N</w:t>
                              </w:r>
                              <w:r>
                                <w:rPr>
                                  <w:rFonts w:hint="eastAsia"/>
                                  <w:color w:val="000000" w:themeColor="text1"/>
                                </w:rPr>
                                <w:t>、</w:t>
                              </w:r>
                              <w:r>
                                <w:rPr>
                                  <w:rFonts w:hint="eastAsia"/>
                                  <w:color w:val="000000" w:themeColor="text1"/>
                                </w:rPr>
                                <w:t>S7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4" name="矩形 254"/>
                        <wps:cNvSpPr/>
                        <wps:spPr>
                          <a:xfrm>
                            <a:off x="454025" y="6789420"/>
                            <a:ext cx="918845" cy="34163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EAAA123" w14:textId="77777777" w:rsidR="00B14D53" w:rsidRDefault="00000000">
                              <w:pPr>
                                <w:ind w:leftChars="-100" w:left="-210" w:rightChars="-100" w:right="-210"/>
                                <w:jc w:val="center"/>
                                <w:rPr>
                                  <w:color w:val="000000" w:themeColor="text1"/>
                                </w:rPr>
                              </w:pPr>
                              <w:r>
                                <w:rPr>
                                  <w:rFonts w:hint="eastAsia"/>
                                  <w:color w:val="000000" w:themeColor="text1"/>
                                </w:rPr>
                                <w:t>员工生活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4" name="矩形 274"/>
                        <wps:cNvSpPr/>
                        <wps:spPr>
                          <a:xfrm>
                            <a:off x="1678305" y="6840220"/>
                            <a:ext cx="90805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1D594C0E" w14:textId="77777777" w:rsidR="00B14D53" w:rsidRDefault="00000000">
                              <w:pPr>
                                <w:ind w:leftChars="-100" w:left="-210" w:rightChars="-100" w:right="-210"/>
                                <w:jc w:val="center"/>
                                <w:rPr>
                                  <w:color w:val="000000" w:themeColor="text1"/>
                                </w:rPr>
                              </w:pPr>
                              <w:r>
                                <w:rPr>
                                  <w:rFonts w:hint="eastAsia"/>
                                  <w:color w:val="000000" w:themeColor="text1"/>
                                </w:rPr>
                                <w:t>W7</w:t>
                              </w:r>
                              <w:r>
                                <w:rPr>
                                  <w:rFonts w:hint="eastAsia"/>
                                  <w:color w:val="000000" w:themeColor="text1"/>
                                </w:rPr>
                                <w:t>、</w:t>
                              </w:r>
                              <w:r>
                                <w:rPr>
                                  <w:rFonts w:hint="eastAsia"/>
                                  <w:color w:val="000000" w:themeColor="text1"/>
                                </w:rPr>
                                <w:t>S11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矩形 34"/>
                        <wps:cNvSpPr/>
                        <wps:spPr>
                          <a:xfrm>
                            <a:off x="1964690" y="7049770"/>
                            <a:ext cx="3028315" cy="29400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5078B1A9" w14:textId="77777777" w:rsidR="00B14D53" w:rsidRDefault="00000000">
                              <w:pPr>
                                <w:rPr>
                                  <w:color w:val="000000" w:themeColor="text1"/>
                                </w:rPr>
                              </w:pPr>
                              <w:r>
                                <w:rPr>
                                  <w:color w:val="000000" w:themeColor="text1"/>
                                  <w:szCs w:val="21"/>
                                </w:rPr>
                                <w:t>图例：</w:t>
                              </w:r>
                              <w:r>
                                <w:rPr>
                                  <w:color w:val="000000" w:themeColor="text1"/>
                                  <w:szCs w:val="21"/>
                                </w:rPr>
                                <w:t>G</w:t>
                              </w:r>
                              <w:r>
                                <w:rPr>
                                  <w:color w:val="000000" w:themeColor="text1"/>
                                  <w:szCs w:val="21"/>
                                </w:rPr>
                                <w:t>：废气；</w:t>
                              </w:r>
                              <w:r>
                                <w:rPr>
                                  <w:color w:val="000000" w:themeColor="text1"/>
                                  <w:szCs w:val="21"/>
                                </w:rPr>
                                <w:t>W</w:t>
                              </w:r>
                              <w:r>
                                <w:rPr>
                                  <w:color w:val="000000" w:themeColor="text1"/>
                                  <w:szCs w:val="21"/>
                                </w:rPr>
                                <w:t>：废水；</w:t>
                              </w:r>
                              <w:r>
                                <w:rPr>
                                  <w:color w:val="000000" w:themeColor="text1"/>
                                  <w:szCs w:val="21"/>
                                </w:rPr>
                                <w:t>N</w:t>
                              </w:r>
                              <w:r>
                                <w:rPr>
                                  <w:color w:val="000000" w:themeColor="text1"/>
                                  <w:szCs w:val="21"/>
                                </w:rPr>
                                <w:t>：噪声</w:t>
                              </w:r>
                              <w:r>
                                <w:rPr>
                                  <w:rFonts w:hint="eastAsia"/>
                                  <w:color w:val="000000" w:themeColor="text1"/>
                                  <w:szCs w:val="21"/>
                                </w:rPr>
                                <w:t>；</w:t>
                              </w:r>
                              <w:r>
                                <w:rPr>
                                  <w:rFonts w:hint="eastAsia"/>
                                  <w:color w:val="000000" w:themeColor="text1"/>
                                  <w:szCs w:val="21"/>
                                </w:rPr>
                                <w:t>S</w:t>
                              </w:r>
                              <w:r>
                                <w:rPr>
                                  <w:rFonts w:hint="eastAsia"/>
                                  <w:color w:val="000000" w:themeColor="text1"/>
                                  <w:szCs w:val="21"/>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38"/>
                        <wps:cNvSpPr/>
                        <wps:spPr>
                          <a:xfrm>
                            <a:off x="942340" y="843915"/>
                            <a:ext cx="1217930" cy="471170"/>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7DBB62D1" w14:textId="77777777" w:rsidR="00B14D53" w:rsidRDefault="00000000">
                              <w:pPr>
                                <w:spacing w:line="0" w:lineRule="atLeast"/>
                                <w:ind w:leftChars="-100" w:left="-210" w:rightChars="-100" w:right="-210"/>
                                <w:jc w:val="center"/>
                                <w:rPr>
                                  <w:color w:val="000000" w:themeColor="text1"/>
                                </w:rPr>
                              </w:pPr>
                              <w:r>
                                <w:rPr>
                                  <w:rFonts w:hint="eastAsia"/>
                                  <w:color w:val="000000" w:themeColor="text1"/>
                                </w:rPr>
                                <w:t>G1</w:t>
                              </w:r>
                              <w:r>
                                <w:rPr>
                                  <w:rFonts w:hint="eastAsia"/>
                                  <w:color w:val="000000" w:themeColor="text1"/>
                                </w:rPr>
                                <w:t>、</w:t>
                              </w:r>
                              <w:r>
                                <w:rPr>
                                  <w:rFonts w:hint="eastAsia"/>
                                  <w:color w:val="000000" w:themeColor="text1"/>
                                </w:rPr>
                                <w:t>W2</w:t>
                              </w:r>
                              <w:r>
                                <w:rPr>
                                  <w:rFonts w:hint="eastAsia"/>
                                  <w:color w:val="000000" w:themeColor="text1"/>
                                </w:rPr>
                                <w:t>、</w:t>
                              </w:r>
                              <w:r>
                                <w:rPr>
                                  <w:rFonts w:hint="eastAsia"/>
                                  <w:color w:val="000000" w:themeColor="text1"/>
                                </w:rPr>
                                <w:t>N</w:t>
                              </w:r>
                              <w:r>
                                <w:rPr>
                                  <w:rFonts w:hint="eastAsia"/>
                                  <w:color w:val="000000" w:themeColor="text1"/>
                                </w:rPr>
                                <w:t>、</w:t>
                              </w:r>
                            </w:p>
                            <w:p w14:paraId="18CADA13" w14:textId="77777777" w:rsidR="00B14D53" w:rsidRDefault="00000000">
                              <w:pPr>
                                <w:spacing w:line="0" w:lineRule="atLeast"/>
                                <w:ind w:leftChars="-100" w:left="-210" w:rightChars="-100" w:right="-210"/>
                                <w:jc w:val="center"/>
                                <w:rPr>
                                  <w:color w:val="000000" w:themeColor="text1"/>
                                </w:rPr>
                              </w:pPr>
                              <w:r>
                                <w:rPr>
                                  <w:rFonts w:hint="eastAsia"/>
                                  <w:color w:val="000000" w:themeColor="text1"/>
                                </w:rPr>
                                <w:t>S1</w:t>
                              </w:r>
                              <w:r>
                                <w:rPr>
                                  <w:rFonts w:hint="eastAsia"/>
                                  <w:color w:val="000000" w:themeColor="text1"/>
                                </w:rPr>
                                <w:t>、</w:t>
                              </w:r>
                              <w:r>
                                <w:rPr>
                                  <w:rFonts w:hint="eastAsia"/>
                                  <w:color w:val="000000" w:themeColor="text1"/>
                                </w:rPr>
                                <w:t>S2</w:t>
                              </w:r>
                              <w:r>
                                <w:rPr>
                                  <w:rFonts w:hint="eastAsia"/>
                                  <w:color w:val="000000" w:themeColor="text1"/>
                                </w:rPr>
                                <w:t>、</w:t>
                              </w:r>
                              <w:r>
                                <w:rPr>
                                  <w:rFonts w:hint="eastAsia"/>
                                  <w:color w:val="000000" w:themeColor="text1"/>
                                </w:rPr>
                                <w:t>S4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a:off x="2534920" y="868045"/>
                            <a:ext cx="681990" cy="228600"/>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1ED75FE1" w14:textId="77777777" w:rsidR="00B14D53" w:rsidRDefault="00000000">
                              <w:pPr>
                                <w:spacing w:line="0" w:lineRule="atLeast"/>
                                <w:ind w:leftChars="-100" w:left="-210" w:rightChars="-100" w:right="-210"/>
                                <w:jc w:val="center"/>
                                <w:rPr>
                                  <w:color w:val="000000" w:themeColor="text1"/>
                                </w:rPr>
                              </w:pPr>
                              <w:r>
                                <w:rPr>
                                  <w:rFonts w:hint="eastAsia"/>
                                  <w:color w:val="000000" w:themeColor="text1"/>
                                </w:rPr>
                                <w:t>W3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65"/>
                        <wps:cNvSpPr/>
                        <wps:spPr>
                          <a:xfrm>
                            <a:off x="4552950" y="427990"/>
                            <a:ext cx="500380" cy="228600"/>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78CE3D1D" w14:textId="77777777" w:rsidR="00B14D53" w:rsidRDefault="00000000">
                              <w:pPr>
                                <w:spacing w:line="0" w:lineRule="atLeast"/>
                                <w:ind w:leftChars="-100" w:left="-210" w:rightChars="-100" w:right="-210"/>
                                <w:jc w:val="center"/>
                                <w:rPr>
                                  <w:color w:val="000000" w:themeColor="text1"/>
                                </w:rPr>
                              </w:pPr>
                              <w:r>
                                <w:rPr>
                                  <w:rFonts w:hint="eastAsia"/>
                                  <w:color w:val="000000" w:themeColor="text1"/>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70"/>
                        <wps:cNvSpPr/>
                        <wps:spPr>
                          <a:xfrm>
                            <a:off x="2986405" y="1797050"/>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22E78822" w14:textId="77777777" w:rsidR="00B14D53" w:rsidRDefault="00000000">
                              <w:pPr>
                                <w:ind w:leftChars="-100" w:left="-210" w:rightChars="-100" w:right="-210"/>
                                <w:jc w:val="center"/>
                                <w:rPr>
                                  <w:color w:val="000000" w:themeColor="text1"/>
                                </w:rPr>
                              </w:pP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74"/>
                        <wps:cNvSpPr/>
                        <wps:spPr>
                          <a:xfrm>
                            <a:off x="2181225" y="1840865"/>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684F8BA3" w14:textId="77777777" w:rsidR="00B14D53" w:rsidRDefault="00000000">
                              <w:pPr>
                                <w:ind w:leftChars="-100" w:left="-210" w:rightChars="-100" w:right="-210"/>
                                <w:jc w:val="center"/>
                                <w:rPr>
                                  <w:color w:val="000000" w:themeColor="text1"/>
                                </w:rPr>
                              </w:pPr>
                              <w:r>
                                <w:rPr>
                                  <w:rFonts w:hint="eastAsia"/>
                                  <w:color w:val="000000" w:themeColor="text1"/>
                                </w:rPr>
                                <w:t>G2</w:t>
                              </w:r>
                              <w:r>
                                <w:rPr>
                                  <w:rFonts w:hint="eastAsia"/>
                                  <w:color w:val="000000" w:themeColor="text1"/>
                                </w:rPr>
                                <w:t>、</w:t>
                              </w: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76"/>
                        <wps:cNvSpPr/>
                        <wps:spPr>
                          <a:xfrm>
                            <a:off x="1325245" y="1826260"/>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579B1D36" w14:textId="77777777" w:rsidR="00B14D53" w:rsidRDefault="00000000">
                              <w:pPr>
                                <w:ind w:leftChars="-100" w:left="-210" w:rightChars="-100" w:right="-210"/>
                                <w:jc w:val="center"/>
                                <w:rPr>
                                  <w:color w:val="000000" w:themeColor="text1"/>
                                </w:rPr>
                              </w:pPr>
                              <w:r>
                                <w:rPr>
                                  <w:rFonts w:hint="eastAsia"/>
                                  <w:color w:val="000000" w:themeColor="text1"/>
                                </w:rPr>
                                <w:t>G2</w:t>
                              </w:r>
                              <w:r>
                                <w:rPr>
                                  <w:rFonts w:hint="eastAsia"/>
                                  <w:color w:val="000000" w:themeColor="text1"/>
                                </w:rPr>
                                <w:t>、</w:t>
                              </w: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矩形 97"/>
                        <wps:cNvSpPr/>
                        <wps:spPr>
                          <a:xfrm>
                            <a:off x="569595" y="1834515"/>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7E50C50F" w14:textId="77777777" w:rsidR="00B14D53" w:rsidRDefault="00000000">
                              <w:pPr>
                                <w:ind w:leftChars="-100" w:left="-210" w:rightChars="-100" w:right="-210"/>
                                <w:jc w:val="center"/>
                                <w:rPr>
                                  <w:color w:val="000000" w:themeColor="text1"/>
                                </w:rPr>
                              </w:pP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 name="矩形 148"/>
                        <wps:cNvSpPr/>
                        <wps:spPr>
                          <a:xfrm>
                            <a:off x="335915" y="2582545"/>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7D5E22FB" w14:textId="77777777" w:rsidR="00B14D53" w:rsidRDefault="00000000">
                              <w:pPr>
                                <w:ind w:leftChars="-100" w:left="-210" w:rightChars="-100" w:right="-210"/>
                                <w:jc w:val="center"/>
                                <w:rPr>
                                  <w:color w:val="000000" w:themeColor="text1"/>
                                </w:rPr>
                              </w:pP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5" name="矩形 255"/>
                        <wps:cNvSpPr/>
                        <wps:spPr>
                          <a:xfrm>
                            <a:off x="995680" y="2612390"/>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49DB3937" w14:textId="77777777" w:rsidR="00B14D53" w:rsidRDefault="00000000">
                              <w:pPr>
                                <w:ind w:leftChars="-100" w:left="-210" w:rightChars="-100" w:right="-210"/>
                                <w:jc w:val="center"/>
                                <w:rPr>
                                  <w:color w:val="000000" w:themeColor="text1"/>
                                </w:rPr>
                              </w:pP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8" name="矩形 258"/>
                        <wps:cNvSpPr/>
                        <wps:spPr>
                          <a:xfrm>
                            <a:off x="1694180" y="2613025"/>
                            <a:ext cx="537210" cy="264160"/>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6FA84F24" w14:textId="77777777" w:rsidR="00B14D53" w:rsidRDefault="00000000">
                              <w:pPr>
                                <w:ind w:leftChars="-100" w:left="-210" w:rightChars="-100" w:right="-210"/>
                                <w:jc w:val="center"/>
                                <w:rPr>
                                  <w:color w:val="000000" w:themeColor="text1"/>
                                </w:rPr>
                              </w:pP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 name="矩形 261"/>
                        <wps:cNvSpPr/>
                        <wps:spPr>
                          <a:xfrm>
                            <a:off x="3256280" y="2628900"/>
                            <a:ext cx="537210" cy="264160"/>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0809ED41" w14:textId="77777777" w:rsidR="00B14D53" w:rsidRDefault="00000000">
                              <w:pPr>
                                <w:ind w:leftChars="-100" w:left="-210" w:rightChars="-100" w:right="-210"/>
                                <w:jc w:val="center"/>
                                <w:rPr>
                                  <w:color w:val="000000" w:themeColor="text1"/>
                                </w:rPr>
                              </w:pP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3" name="矩形 263"/>
                        <wps:cNvSpPr/>
                        <wps:spPr>
                          <a:xfrm>
                            <a:off x="4649470" y="4916170"/>
                            <a:ext cx="537210" cy="264160"/>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3F0BF728" w14:textId="77777777" w:rsidR="00B14D53" w:rsidRDefault="00000000">
                              <w:pPr>
                                <w:ind w:leftChars="-100" w:left="-210" w:rightChars="-100" w:right="-210"/>
                                <w:jc w:val="center"/>
                                <w:rPr>
                                  <w:color w:val="000000" w:themeColor="text1"/>
                                </w:rPr>
                              </w:pP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7" name="矩形 277"/>
                        <wps:cNvSpPr/>
                        <wps:spPr>
                          <a:xfrm>
                            <a:off x="2971165" y="4266565"/>
                            <a:ext cx="500380" cy="2520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59ACCD3D" w14:textId="77777777" w:rsidR="00B14D53" w:rsidRDefault="00000000">
                              <w:pPr>
                                <w:spacing w:line="0" w:lineRule="atLeast"/>
                                <w:ind w:leftChars="-100" w:left="-210" w:rightChars="-100" w:right="-210"/>
                                <w:jc w:val="center"/>
                                <w:rPr>
                                  <w:color w:val="000000" w:themeColor="text1"/>
                                </w:rPr>
                              </w:pPr>
                              <w:r>
                                <w:rPr>
                                  <w:rFonts w:hint="eastAsia"/>
                                  <w:color w:val="000000" w:themeColor="text1"/>
                                </w:rPr>
                                <w:t>G2</w:t>
                              </w:r>
                              <w:r>
                                <w:rPr>
                                  <w:rFonts w:hint="eastAsia"/>
                                  <w:color w:val="000000" w:themeColor="text1"/>
                                </w:rPr>
                                <w:t>、</w:t>
                              </w:r>
                              <w:r>
                                <w:rPr>
                                  <w:rFonts w:hint="eastAsia"/>
                                  <w:color w:val="000000" w:themeColor="text1"/>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0" name="矩形 280"/>
                        <wps:cNvSpPr/>
                        <wps:spPr>
                          <a:xfrm>
                            <a:off x="3886835" y="1805305"/>
                            <a:ext cx="54483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24960EBE" w14:textId="77777777" w:rsidR="00B14D53" w:rsidRDefault="00000000">
                              <w:pPr>
                                <w:ind w:leftChars="-100" w:left="-210" w:rightChars="-100" w:right="-210"/>
                                <w:jc w:val="center"/>
                                <w:rPr>
                                  <w:color w:val="000000" w:themeColor="text1"/>
                                </w:rPr>
                              </w:pPr>
                              <w:r>
                                <w:rPr>
                                  <w:rFonts w:hint="eastAsia"/>
                                  <w:color w:val="000000" w:themeColor="text1"/>
                                </w:rPr>
                                <w:t>G2</w:t>
                              </w:r>
                              <w:r>
                                <w:rPr>
                                  <w:rFonts w:hint="eastAsia"/>
                                  <w:color w:val="000000" w:themeColor="text1"/>
                                </w:rPr>
                                <w:t>、</w:t>
                              </w: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1" name="矩形 281"/>
                        <wps:cNvSpPr/>
                        <wps:spPr>
                          <a:xfrm>
                            <a:off x="2245995" y="4326255"/>
                            <a:ext cx="500380" cy="228600"/>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0DD48B5C" w14:textId="77777777" w:rsidR="00B14D53" w:rsidRDefault="00000000">
                              <w:pPr>
                                <w:spacing w:line="0" w:lineRule="atLeast"/>
                                <w:ind w:leftChars="-100" w:left="-210" w:rightChars="-100" w:right="-210"/>
                                <w:jc w:val="center"/>
                                <w:rPr>
                                  <w:color w:val="000000" w:themeColor="text1"/>
                                </w:rPr>
                              </w:pPr>
                              <w:r>
                                <w:rPr>
                                  <w:rFonts w:hint="eastAsia"/>
                                  <w:color w:val="000000" w:themeColor="text1"/>
                                </w:rPr>
                                <w:t>S6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3" name="矩形 283"/>
                        <wps:cNvSpPr/>
                        <wps:spPr>
                          <a:xfrm>
                            <a:off x="3368040" y="3481705"/>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5E4BF180" w14:textId="77777777" w:rsidR="00B14D53" w:rsidRDefault="00000000">
                              <w:pPr>
                                <w:ind w:leftChars="-100" w:left="-210" w:rightChars="-100" w:right="-210"/>
                                <w:jc w:val="center"/>
                                <w:rPr>
                                  <w:color w:val="000000" w:themeColor="text1"/>
                                </w:rPr>
                              </w:pPr>
                              <w:r>
                                <w:rPr>
                                  <w:rFonts w:hint="eastAsia"/>
                                  <w:color w:val="000000" w:themeColor="text1"/>
                                </w:rPr>
                                <w:t>W4</w:t>
                              </w:r>
                              <w:r>
                                <w:rPr>
                                  <w:rFonts w:hint="eastAsia"/>
                                  <w:color w:val="000000" w:themeColor="text1"/>
                                </w:rPr>
                                <w:t>、</w:t>
                              </w:r>
                              <w:r>
                                <w:rPr>
                                  <w:rFonts w:hint="eastAsia"/>
                                  <w:color w:val="000000" w:themeColor="text1"/>
                                </w:rPr>
                                <w:t>S3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5" name="矩形 285"/>
                        <wps:cNvSpPr/>
                        <wps:spPr>
                          <a:xfrm>
                            <a:off x="2276475" y="3474085"/>
                            <a:ext cx="617855"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22CA21A3" w14:textId="77777777" w:rsidR="00B14D53" w:rsidRDefault="00000000">
                              <w:pPr>
                                <w:ind w:leftChars="-100" w:left="-210" w:rightChars="-100" w:right="-210"/>
                                <w:jc w:val="center"/>
                                <w:rPr>
                                  <w:color w:val="000000" w:themeColor="text1"/>
                                </w:rPr>
                              </w:pPr>
                              <w:r>
                                <w:rPr>
                                  <w:rFonts w:hint="eastAsia"/>
                                  <w:color w:val="000000" w:themeColor="text1"/>
                                </w:rPr>
                                <w:t>S5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7" name="矩形 287"/>
                        <wps:cNvSpPr/>
                        <wps:spPr>
                          <a:xfrm>
                            <a:off x="1506855" y="4277360"/>
                            <a:ext cx="537210" cy="264160"/>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2965A812" w14:textId="77777777" w:rsidR="00B14D53" w:rsidRDefault="00000000">
                              <w:pPr>
                                <w:ind w:leftChars="-100" w:left="-210" w:rightChars="-100" w:right="-210"/>
                                <w:jc w:val="center"/>
                                <w:rPr>
                                  <w:color w:val="000000" w:themeColor="text1"/>
                                </w:rPr>
                              </w:pPr>
                              <w:r>
                                <w:rPr>
                                  <w:rFonts w:hint="eastAsia"/>
                                  <w:color w:val="000000" w:themeColor="text1"/>
                                </w:rPr>
                                <w:t>W4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0" name="直接连接符 290"/>
                        <wps:cNvCnPr/>
                        <wps:spPr>
                          <a:xfrm flipH="1">
                            <a:off x="157480" y="1341755"/>
                            <a:ext cx="167767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93" name="矩形 293"/>
                        <wps:cNvSpPr/>
                        <wps:spPr>
                          <a:xfrm>
                            <a:off x="3272155" y="5196205"/>
                            <a:ext cx="495300" cy="30797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2C9F147" w14:textId="77777777" w:rsidR="00B14D53" w:rsidRDefault="00000000">
                              <w:pPr>
                                <w:ind w:leftChars="-100" w:left="-210" w:rightChars="-100" w:right="-210"/>
                                <w:jc w:val="center"/>
                                <w:rPr>
                                  <w:color w:val="000000" w:themeColor="text1"/>
                                </w:rPr>
                              </w:pPr>
                              <w:r>
                                <w:rPr>
                                  <w:rFonts w:hint="eastAsia"/>
                                  <w:color w:val="000000" w:themeColor="text1"/>
                                </w:rPr>
                                <w:t>G1</w:t>
                              </w:r>
                              <w:r>
                                <w:rPr>
                                  <w:rFonts w:hint="eastAsia"/>
                                  <w:color w:val="000000" w:themeColor="text1"/>
                                </w:rPr>
                                <w:t>、</w:t>
                              </w:r>
                              <w:r>
                                <w:rPr>
                                  <w:rFonts w:hint="eastAsia"/>
                                  <w:color w:val="000000" w:themeColor="text1"/>
                                </w:rPr>
                                <w:t>G2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5" name="矩形 295"/>
                        <wps:cNvSpPr/>
                        <wps:spPr>
                          <a:xfrm>
                            <a:off x="4061460" y="5227320"/>
                            <a:ext cx="71056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15B6CB4" w14:textId="77777777" w:rsidR="00B14D53" w:rsidRDefault="00000000">
                              <w:pPr>
                                <w:ind w:leftChars="-100" w:left="-210" w:rightChars="-100" w:right="-210"/>
                                <w:jc w:val="center"/>
                                <w:rPr>
                                  <w:color w:val="000000" w:themeColor="text1"/>
                                </w:rPr>
                              </w:pPr>
                              <w:r>
                                <w:rPr>
                                  <w:rFonts w:hint="eastAsia"/>
                                  <w:color w:val="000000" w:themeColor="text1"/>
                                </w:rPr>
                                <w:t>活性炭装置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7" name="矩形 297"/>
                        <wps:cNvSpPr/>
                        <wps:spPr>
                          <a:xfrm>
                            <a:off x="4123690" y="5785485"/>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237A7218" w14:textId="77777777" w:rsidR="00B14D53" w:rsidRDefault="00000000">
                              <w:pPr>
                                <w:ind w:leftChars="-100" w:left="-210" w:rightChars="-100" w:right="-210"/>
                                <w:jc w:val="center"/>
                                <w:rPr>
                                  <w:color w:val="000000" w:themeColor="text1"/>
                                </w:rPr>
                              </w:pPr>
                              <w:r>
                                <w:rPr>
                                  <w:rFonts w:hint="eastAsia"/>
                                  <w:color w:val="000000" w:themeColor="text1"/>
                                </w:rPr>
                                <w:t>S8</w:t>
                              </w:r>
                              <w:r>
                                <w:rPr>
                                  <w:rFonts w:hint="eastAsia"/>
                                  <w:color w:val="000000" w:themeColor="text1"/>
                                </w:rPr>
                                <w:t>、</w:t>
                              </w:r>
                              <w:r>
                                <w:rPr>
                                  <w:rFonts w:hint="eastAsia"/>
                                  <w:color w:val="000000" w:themeColor="text1"/>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9" name="矩形 299"/>
                        <wps:cNvSpPr/>
                        <wps:spPr>
                          <a:xfrm>
                            <a:off x="3056890" y="6560820"/>
                            <a:ext cx="71056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C055D49" w14:textId="77777777" w:rsidR="00B14D53" w:rsidRDefault="00000000">
                              <w:pPr>
                                <w:ind w:leftChars="-100" w:left="-210" w:rightChars="-100" w:right="-210"/>
                                <w:jc w:val="center"/>
                                <w:rPr>
                                  <w:color w:val="000000" w:themeColor="text1"/>
                                </w:rPr>
                              </w:pPr>
                              <w:r>
                                <w:rPr>
                                  <w:rFonts w:hint="eastAsia"/>
                                  <w:color w:val="000000" w:themeColor="text1"/>
                                </w:rPr>
                                <w:t>活性炭装置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1" name="矩形 301"/>
                        <wps:cNvSpPr/>
                        <wps:spPr>
                          <a:xfrm>
                            <a:off x="4011295" y="6539865"/>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5F38F487" w14:textId="77777777" w:rsidR="00B14D53" w:rsidRDefault="00000000">
                              <w:pPr>
                                <w:ind w:leftChars="-100" w:left="-210" w:rightChars="-100" w:right="-210"/>
                                <w:jc w:val="center"/>
                                <w:rPr>
                                  <w:color w:val="000000" w:themeColor="text1"/>
                                </w:rPr>
                              </w:pPr>
                              <w:r>
                                <w:rPr>
                                  <w:rFonts w:hint="eastAsia"/>
                                  <w:color w:val="000000" w:themeColor="text1"/>
                                </w:rPr>
                                <w:t>S8</w:t>
                              </w:r>
                              <w:r>
                                <w:rPr>
                                  <w:rFonts w:hint="eastAsia"/>
                                  <w:color w:val="000000" w:themeColor="text1"/>
                                </w:rPr>
                                <w:t>、</w:t>
                              </w:r>
                              <w:r>
                                <w:rPr>
                                  <w:rFonts w:hint="eastAsia"/>
                                  <w:color w:val="000000" w:themeColor="text1"/>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a:off x="2707005" y="4801235"/>
                            <a:ext cx="408305" cy="2647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019CD52" w14:textId="77777777" w:rsidR="00B14D53" w:rsidRDefault="00000000">
                              <w:pPr>
                                <w:ind w:leftChars="-100" w:left="-210" w:rightChars="-100" w:right="-210"/>
                                <w:jc w:val="center"/>
                                <w:rPr>
                                  <w:color w:val="000000" w:themeColor="text1"/>
                                </w:rPr>
                              </w:pPr>
                              <w:r>
                                <w:rPr>
                                  <w:rFonts w:hint="eastAsia"/>
                                  <w:color w:val="000000" w:themeColor="text1"/>
                                </w:rPr>
                                <w:t>冷藏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a:off x="1979295" y="5206365"/>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7ED203A9" w14:textId="77777777" w:rsidR="00B14D53" w:rsidRDefault="00000000">
                              <w:pPr>
                                <w:ind w:leftChars="-100" w:left="-210" w:rightChars="-100" w:right="-210"/>
                                <w:jc w:val="center"/>
                                <w:rPr>
                                  <w:color w:val="000000" w:themeColor="text1"/>
                                </w:rPr>
                              </w:pPr>
                              <w:r>
                                <w:rPr>
                                  <w:rFonts w:hint="eastAsia"/>
                                  <w:color w:val="000000" w:themeColor="text1"/>
                                </w:rPr>
                                <w:t>S10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40"/>
                        <wps:cNvSpPr/>
                        <wps:spPr>
                          <a:xfrm>
                            <a:off x="2607310" y="5198110"/>
                            <a:ext cx="508000" cy="264795"/>
                          </a:xfrm>
                          <a:prstGeom prst="rect">
                            <a:avLst/>
                          </a:prstGeom>
                          <a:noFill/>
                          <a:ln w="6350">
                            <a:noFill/>
                          </a:ln>
                        </wps:spPr>
                        <wps:style>
                          <a:lnRef idx="2">
                            <a:schemeClr val="accent1">
                              <a:lumMod val="75000"/>
                            </a:schemeClr>
                          </a:lnRef>
                          <a:fillRef idx="1">
                            <a:schemeClr val="accent1"/>
                          </a:fillRef>
                          <a:effectRef idx="0">
                            <a:srgbClr val="FFFFFF"/>
                          </a:effectRef>
                          <a:fontRef idx="minor">
                            <a:schemeClr val="lt1"/>
                          </a:fontRef>
                        </wps:style>
                        <wps:txbx>
                          <w:txbxContent>
                            <w:p w14:paraId="054C3805" w14:textId="77777777" w:rsidR="00B14D53" w:rsidRDefault="00000000">
                              <w:pPr>
                                <w:ind w:leftChars="-100" w:left="-210" w:rightChars="-100" w:right="-210"/>
                                <w:jc w:val="center"/>
                                <w:rPr>
                                  <w:color w:val="000000" w:themeColor="text1"/>
                                </w:rPr>
                              </w:pPr>
                              <w:r>
                                <w:rPr>
                                  <w:rFonts w:hint="eastAsia"/>
                                  <w:color w:val="000000" w:themeColor="text1"/>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xmlns:wpsCustomData="http://www.wps.cn/officeDocument/2013/wpsCustomData">
            <w:pict>
              <v:group id="_x0000_s1026" o:spid="_x0000_s1026" o:spt="203" style="height:580.1pt;width:415.3pt;" coordsize="5274310,7367270" editas="canvas" o:gfxdata="UEsDBAoAAAAAAIdO4kAAAAAAAAAAAAAAAAAEAAAAZHJzL1BLAwQUAAAACACHTuJANep1pNIAAAAG&#10;AQAADwAAAGRycy9kb3ducmV2LnhtbE2PQUvEMBCF74L/IYzgRdykLXSX2nQRwavQdX9AthnbYjIp&#10;Tbqt/97Ri14eDO/x3jf1cfNOXHGOYyAN2U6BQOqCHanXcH5/fTyAiMmQNS4QavjCCMfm9qY2lQ0r&#10;tXg9pV5wCcXKaBhSmiopYzegN3EXJiT2PsLsTeJz7qWdzcrl3slcqVJ6MxIvDGbClwG7z9PiNTxE&#10;t/mh7Yu83W/n52V1RfHmtL6/y9QTiIRb+gvDDz6jQ8NMl7CQjcJp4EfSr7J3KFQJ4sKhrFQ5yKaW&#10;//Gbb1BLAwQUAAAACACHTuJAqyHsJG4NAABRvwAADgAAAGRycy9lMm9Eb2MueG1s7V1Lj+NYFd4j&#10;8R+i7OnyffgVTfWo1T09jDSiW5oB1m7HeUiObWxXV/VsYQ0bViCBhAAJiSUL0Aj4M8zjZ/CdazuV&#10;XDdMLtOpsorTi2rn2HHi688n53zn9d77N7t89jqrm21ZXM7FI28+y4q0XG6L9eX8h58+/140nzVt&#10;UiyTvCyyy/mbrJm///i733nvulpkstyU+TKrZzhJ0Syuq8v5pm2rxcVFk26yXdI8KquswM5VWe+S&#10;Fi/r9cWyTq5x9l1+IT0vuLgu62VVl2nWNJA+63bO+zPWp5ywXK22afasTK92WdF2Z62zPGlxSc1m&#10;WzXzx+bbrlZZ2r5YrZqsneWXc1xpa/7iQ7D9iv5ePH4vWazrpNps0/4rJKd8Beuadsm2wIfuT/Us&#10;aZPZVb0dnWq3TeuyKVfto7TcXXQXYlYEVyE8a20+rMurylzLenG9rvaLjhtlrfr/fNr0B69f1rPt&#10;8nIucd+LZIc7/tUvP//irz+dQYDVua7WCxz0YV19Ur2se8G6e0UXfLOqd/Q/LmV2Y9b1zX5ds5t2&#10;lkLoy1ArgSVPsS9UQSjDfuXTDW7P6H3p5oNveOfF8MEX9P32X+e6Aiab24Vqvt1CfbJJqsysf0Nr&#10;MCxUvF+o3/7pi7//bibjbqHMQftVahYNFuwtSyR0EET+fIa1ULEQQb8Uw2IFMpa0m9ZKBoEX+HT2&#10;/QUni6pu2g+zcjejjct5DYwb6CWvP27a7tDhEPr0ony+zXPIk0VezK4v54Hy6VYkeHZXeGawuatw&#10;/5tiPZ8l+RpKIW1rc8amzLdLeje9uanXr57m9ex1Qo+S+dd/saPD6KOfJc2mO87s6g/LC1wG3aFu&#10;XWirvXl1YyDVLF6VyzdY4LrsHtGmSp9vcaqPk6Z9mdR4JvGdobXaF/izyktcR9lvzWebsv7sbXI6&#10;HgjA3vnsGs84LvInV0mdzWf5RwWwEQutcdrWvNB+KPGiPtzz6nBPcbV7WuLaBfRjlZpNOr7Nh81V&#10;Xe5+DOX2hD4Vu5IixWd3y9m/eNp2ugfqMc2ePDGHQRFUSftx8UmV0sm7e/bkqi1XW3M7aaG61enX&#10;Dwin5/IOoB7hWnud0EEdgv5+4Xk4AepCecrDUhDWI+VjtQ0QB6zHgRf6A9ahGIB77GesY8UY60ZX&#10;3CHWlY115YR1qXUYy16vRzrC790R1iMtAz1gPcCxjHXW6/el14HDY71uwEi/KSfpdRWoAOaq0eva&#10;EzF0+BHWw9CPYeJ1NkyoPBgcrNfZhiEL7+5tmNDGeuik11XkxQpGONkwQoWBByV+BHZfw2Jnxc4G&#10;+xQMdts3jdx8UxlHoUc+UQd2LWyL3fciuH6Dd8pWDHun9+edxrZ3CgE088lWjBTaD241e6iErdkZ&#10;7HjUmYqZAhUT2+4pBC5gF0pIn/xPo9ljEYPsOjZjGOwM9nIavCO4kWP/tCNLTtbsOlaKzkFY154O&#10;GOvmV5E59gly7HFgYz1wUuzKj8hKJ6zDoIki22LXXgQChi12jifdfzxJeLbJThInM8YLpKKQkYG7&#10;70dgXo7MGIY7hR7ZZp+CzS4822gniRPcwTdGt3AXICMZ7nvGgbMFJpUtIMjMOAorkcQF7lIHWqtB&#10;uwdyFERl7c7avZiIkyo8O7JEEhe4K4Fkrz3ckf/SPS7JYsiPCYJQ3eaCMdvObPv+t+/O46jCs2NL&#10;JHGBuxbC/6/aneHO2n0y2l2MXFVIXOAulQ6Q4GhcVeUJIYak50G7cyyV4T4duGvbdhfaCe4K0VTR&#10;u6qAuwrtBMg4lIKNGWZmJsHMINTfu6r/+vzzL3/2iy9+/6uv//E3quaAkfLNuJ+t8m31oyFdv699&#10;gX0Tyz7EqkDb6K5048CcVwFVvnRlMAhK2VmR6VVX2UElAEM1B0qKll1dB2SbYSu9KYZN1A6QmN5D&#10;m1ThgUvA5W1Q4OAZgmCHUolPS3NEaxXbINf+dm9eHB6lBCqCQLMO33LYO/xfmXNpHxwXjsJH4ccR&#10;pxt2D/93hwUnnaz74jib+aXdnwwbdGnm9PvLhfBwvUZlLrFvkvLeVuZCK2EqU95NbUuy2GTJ8oNi&#10;OWvfVKifKlA3h4KTy/kuW6LUJENFDW1heZJFm2zz2yObNkvydmMObnb9sfl6v5K9kX9bMNNH8K6q&#10;erveoMqkW6e+FuSOikJQsjQ8O191VSEkcbGMdOh7gyOgvCAa5Q9L0PohIGzqxRDA7X5KcMeHarOh&#10;wIlroLpqKK6BomLUs5T7CdJcx6wmJE5wD5CB0KcjgN405X1GGbAjwCV/gw0xGUdAwkA5hjskLnBX&#10;oUTNH7Q3fscRr4Lja95/awbFKB2htMuuwpVZTWY175HVlHIEd+kG9yBChllH82gtwPhYcGeah2me&#10;6Wh36F1Lu5/g7pLn0ju5Mo5jE+g12l3AUOcEHPK/OLdygrmVQo5CtJC4GDNSRhoFrL0xI33J6ZWc&#10;SgwOapLtOtBtw9bukLjAXfhhFPSF3WjYISO7Ow0n4LAxMxljRo3SKyFxgbuOFOpde+VO7Wks0x19&#10;DBTl57Cnyr2Y7rsXkynyODbdO1vk5KooP1YewjTEy+gwpN5i9LDc8jKs21m3T0a365Fuh8RFt8MY&#10;QvrwHu4K4Ge4s6M6Uctdj2KqkLjAHdkEkd+z7qDUVWA3M2Dtztp9Otp9xMtoR15G+L0pg6QydGWy&#10;SMjDBAIkHce9Zc8ZBPg95M6Sd9xZEqSKTctA4qTc0c+g91N9dJYc5cvEAnXfvZ+K/aozdRjtjPa7&#10;77cnohHaIXFBOzoxo1ew8VPRZ1IRA4O33/qpEwqoHmQdcuPrB9T4Wgq72IkkLiAWGtWrlGUMtuUE&#10;nY3BCMY9ZZ3NOvvudbZUts4miQvcZRCG1NLawN33RTQqZQ1VOBEqnZU2ecIPb1qBVHamLklcUCw0&#10;XMm+mRIqFpDZZZkeh4a20iJgQ5uHc9zXcA5JlTdHASGSuMAdRRbx4FcGaB4W2q2tY/SENMNiYMRg&#10;esF9zixgpf1AlbZvF56iTakTijXi9v3cjSCMYi2tOA/rbCa+p0J8YxCarbMhcdHZAhg3/RyhkgM0&#10;e5QjuLPONgPCuCTubCVxygYxBE4YjlER14dvMG4gDu3OGMqTEXVj7xKvKHpj7PB7IUfY8HiYhsfI&#10;WXT0FWFoqN5VjFDUaYfbhRQwruFnU+6gDofuLwzh27GNPJ7x5Emwb59Equ3aNQhc9DD8RU1zAIi0&#10;I7LDdv8ChBpJTZv0V8oFvz+KmrXww9TCVAd8xGF0mRwn57Rq30dpfQdhLUOCK56Aw1ihRz1zGcI8&#10;JPdcDSIoMeMIwp01ezKEMXMLnHMXOoHNEPbTEg8xPJmZW6yGH6YaHtESjqwEkvCE7Ek4AVYishPy&#10;OGeDG/VUs5tdXpyNlQjtFGoIXKxhoai8t9fDkQykXR/DGGYMnxnDsZ2HAYELhv0g9ofBV5Gihpy2&#10;OcymxCovr5kcPpsaxgwqyx4miQuIkfBJdBqxEpIG/Ni0BOth1sNn1sPU1ebYqev73Jzs1cWxD0at&#10;A3EgpBoTE6yJWROf1SCG8hyB2E0TiyDWSOUcUIywnG1PoNkftQvpGySIe0xiZmriYVITMrAHMZDE&#10;yZ6QPkZJDSiWUWy3+fAZxZwycV5yQgajZE1IXFCM0Wix7osAdSyC8TgRRjGj+MwoDm1+QkLigmIZ&#10;IxWCgn6UFYEWNP6YKD4I2PnSA5uB83PaBKdNbLJd0jzabdP6W6ZNGFvgKGJHEhcUqwjpEn2JKpU6&#10;UUIm3n8QstNoLXZrF3PivNHMl3NG8TtE8cgujtzsYoloB2iKThcrBDzsVr6+d6CLOf8H+WrEWDCK&#10;m/QdonhkF0dudrFSlLnWeXcKzS+QP2HpYiTEUx+wCTRxZI7igXIUNNfOsigMCk+mi6VE4SmNPIJd&#10;rFCIh2ZexyiGv2cGwTOKN2X92QvWxZu2rRYXF+9UF4+8O8fOLcLHNC8KnRjvLqSJ1scoZqaNQ3fn&#10;Dt1Rxnqvi3/9ly9//oev//kb/P3qz3+cyS4I1yvlp8XLunf6ugF73Xg5M9rx+8NYpn7qBVp46Z5B&#10;Fqj7D21LGVV5YUDkHKnnb8iSz7cYD0jO4jDiEeTGMM+OxAdGQl7QGMFAmRrst00ynCX5GuMF07Y2&#10;Z3yHQw3xpfLiP8wfJEKGFvG6qe5o5qCMR2YiJE4uu0SkqldNPqb0SNtM1DHc+P4OKg95uOYH+F6I&#10;p7Pfxvbm1U2/eDy3ZIJzS8y0wGN7suNBT7YntReIYSqVD+NSSeuXGOOZiXudglfEcP+owOhKtL3D&#10;TZoVV7unZU6/PzPMijabkNZtPmw+wMY9o7RHhAmctLtGhs1QUYzugWi4ZrlPnDPGhufZDc9Rz8DY&#10;rWcgwggYhoynHUYkImNexEqbh01NddiU8uz4A0lcTHKN2bDDXOTAVyiDY6Wd1e3buC3mvGD5Xs7f&#10;PedldzJxa2QiQy8cRh2DH4ARYiGYhy6ADSE79jkPkLr3AVJ2fZxwrI+Lw3hQ10jMQWtuC+xsY7ON&#10;fWYbm+K8R7wIBC4mB2o6Q9XPtwQLiA7dFi3CGP5/xjBY7fXieg1WG7zvuk6qzTZ9lrTJ4WvDfS8y&#10;WW7KfJnVj/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2Q8AAFtDb250ZW50X1R5cGVzXS54bWxQSwECFAAKAAAAAACHTuJAAAAAAAAAAAAAAAAA&#10;BgAAAAAAAAAAABAAAAC7DgAAX3JlbHMvUEsBAhQAFAAAAAgAh07iQIoUZjzRAAAAlAEAAAsAAAAA&#10;AAAAAQAgAAAA3w4AAF9yZWxzLy5yZWxzUEsBAhQACgAAAAAAh07iQAAAAAAAAAAAAAAAAAQAAAAA&#10;AAAAAAAQAAAAAAAAAGRycy9QSwECFAAUAAAACACHTuJANep1pNIAAAAGAQAADwAAAAAAAAABACAA&#10;AAAiAAAAZHJzL2Rvd25yZXYueG1sUEsBAhQAFAAAAAgAh07iQKsh7CRuDQAAUb8AAA4AAAAAAAAA&#10;AQAgAAAAIQEAAGRycy9lMm9Eb2MueG1sUEsFBgAAAAAGAAYAWQEAAAERAAAAAA==&#10;">
                <o:lock v:ext="edit" aspectratio="f"/>
                <v:shape id="_x0000_s1026" o:spid="_x0000_s1026" style="position:absolute;left:0;top:0;height:7367270;width:5274310;" filled="f" stroked="t" coordsize="21600,21600" o:gfxdata="UEsDBAoAAAAAAIdO4kAAAAAAAAAAAAAAAAAEAAAAZHJzL1BLAwQUAAAACACHTuJANep1pNIAAAAG&#10;AQAADwAAAGRycy9kb3ducmV2LnhtbE2PQUvEMBCF74L/IYzgRdykLXSX2nQRwavQdX9AthnbYjIp&#10;Tbqt/97Ri14eDO/x3jf1cfNOXHGOYyAN2U6BQOqCHanXcH5/fTyAiMmQNS4QavjCCMfm9qY2lQ0r&#10;tXg9pV5wCcXKaBhSmiopYzegN3EXJiT2PsLsTeJz7qWdzcrl3slcqVJ6MxIvDGbClwG7z9PiNTxE&#10;t/mh7Yu83W/n52V1RfHmtL6/y9QTiIRb+gvDDz6jQ8NMl7CQjcJp4EfSr7J3KFQJ4sKhrFQ5yKaW&#10;//Gbb1BLAwQUAAAACACHTuJAdqKrzy0NAADrvgAADgAAAGRycy9lMm9Eb2MueG1s7V1Lj9xYFd4j&#10;8R+s2pP2ffjVSmcUJWQYKZpEygBrt9vVVZLLNrY73Zk1a9iDBBICJCSWbNAI+DPM42fwnevrrqrr&#10;DFNmUt1Wc7LouI5drvL151PfeT/+6GZTeG/zpl1X5dlCPPIXXl5m1cW6vDxb/PSzFz+KF17bpeVF&#10;WlRlfrZ4l7eLj5788AePr+vTXFarqrjIGw8nKdvT6/psseq6+vTkpM1W+SZtH1V1XmLnsmo2aYeX&#10;zeXJRZNe4+yb4kT6fnhyXTUXdVNledtC+rzfubBnbA45YbVcrrP8eZVdbfKy68/a5EXa4ZLa1bpu&#10;F0/Mt10u86x7tVy2eecVZwtcaWf+4kOwfU5/T548Tk8vm7RerTP7FdJDvoJzTZt0XeJDb0/1PO1S&#10;76pZj061WWdN1VbL7lFWbU76CzErgqsQvrM2z9LybdpfTIa1Hr4gtj7gec8vsQY45ek1bm1O11CU&#10;3vXZIlSBby6prYr1xYt1UdC+trk8f1Y03tuUFtT8ozU8wZ7tYXhVlBDunPW6Blra+hY37fe7gjer&#10;tM7NXW5Ps0/fvm689cXZQiYLr0w3AO3Xv//Ll//4gweBuThz0Jv6dWNftdikq7lZNhv6H/fBu8HD&#10;oMMwDhbeu7OFSoQILTzym87LsDuUiaTdGfbLMPTDwF76cJq6abuP82rj0cbZogH6zAqmb1+2Xb9K&#10;wyH0qWVFqwr53pJ7WYqnagk045M2NS6rLS8XXlpc4nHNuuZ/vCfpKX3087Rd9ffO3C77/e3Nak/7&#10;daF71d2c39jFOq8u3mGBm6p/eNo6e7HGqV6mbfc6bfC04FmCPule4c+yqACdym4tvFXVfP4+OR0P&#10;BGDvwrvG04eL/MVV2uQLr/ikBDYSoTU9ruaFDiKJF83unvPdPeXV5lkFPAporjozm3R8Vwyby6ba&#10;/Bxq5yl9KnalZYbP7pfTvnjW9VoBiivLnz41h+ERrdPuZfmGHjhhFr6snl511XJtbictVL86BuwG&#10;4fQs3QHUY1zrHtQhsPcLz8MBUBfKVz6WgrAeqwCrbYA4YD0J/SgYsB4peiywHw82Y52xDsV+p1hX&#10;LtbVJKxLraNEWr0e61g4WI+1DPWA9RDHMtZZr9+XXgcO9/W6ASM9cAfpdRWqEETS6HXtiwQ6fE+v&#10;R1GQRNhtOEykfHA81uvMYYjh3T2HiVysR5P0uor9RIGEE4cRKgp9KPE9sAcajJ0VOxP2ORB21zaN&#10;p9mmMokjn2yiHuxauIw98GOY44N1yiyGrdP7s04T1zqFAJr5YBYjhQ7CrWaPlHA1O4Mdjzq7Yubg&#10;iklc8xSCKWAXSsiA7E+j2RORwNm1T2MY7Az2mfgd4RvZt097Z8nBml0nStE5COva1yFj3fwqso99&#10;hj72JHSxHk5S7CqIiaUT1kFo4thl7NqP4YBhxs7xpPuPJwnfpewkmURj/FAqChkZuAdBDM/LHo1h&#10;uFPokTn7HDi78F3STpJJcIe/Md7CXcAZyXC/9ThwtsCssgUE0Yy9sBJJpsBd6lBrNWj3UI6CqKzd&#10;WbvPJTlG+G5kiSRT4K4Ekr1u4Y78l/5xSU+H/JgwjNQ2F4y97extv/3tu/M4qvDd2BJJpsBdCxH8&#10;V+3OcGftPhvtLkamKiRT4C6VDpHgaExV5QshkBGD92+1O8dSGe7zgbt2ubvQk+CuEE0V1lQF3FXk&#10;JkAmkRRMZtgzMwvPDEL91lT99xdffPXLX3/5x99888+/UzUHSMp3495bFuv6Z0O6vi3sAL9JpA2x&#10;KrhtdF+6sVX4yJqUQ1pkhKCUmxWZXfWVHfQjMVRzoNjnoq/rgGw1bGU35bCJ2gES03tok4pqcAm4&#10;vBUKHPramg1KJT6rzBEdVaD0v0nDp2/3FuXuUUqgRgtu1uG4Ye/wf23OpQP4uHAUPgo/bqYmpz/J&#10;/mHhQSfrvzjOZn5pb0+GDbo0c/rby4Vwd71GZS5JYJLy3lfmQithKlMm1Rt9a21LerrK04sflxde&#10;965GWVCJijYUnJwtNvkFSk1yVNTQlvnt79J1sT2y7fK06Fbm4HZjjy0ub1fSkvxtwYyN4F3Vzfpy&#10;hSqTfp3uNlEeJUvDs2MLoEiCqzs8PBsF/mAIKD+MR/nDEm79CBCm/OEIAdz+pwR3nOtCuC7kjutC&#10;BGmufa8mJJPgHiIDwaYjwL1pyvuMMhjcPGwIsCEwG0NAgh3swx2SKXBXkUTNH7Q3lDfiVTB8zfu3&#10;NChB6QilXfYVruzVZK/mPXo1pRzBXU6Dexgjw6yn1FoLeHwcuLN2Z+0+H+0Oveto9wPMXTKYrJEr&#10;kyQxgV6j3QWIOifgkOHDuZUzzK0UchSihWQKmZEy1ihgtWRGBpLTKzmVGD6oWbbrQLcNV7tDMgXu&#10;Ioji0BZ2o2GHjN3uNJyAw2RmNmRGjdIrIZkCdx0r1Lta5U7taRzqjj4GivJz2FLlXkz33YvJFHns&#10;U/eeixzsdg8S5SNMQ34ZHUXUW4welq1fhnU76/bZ6HY90u2QTNHtIENIH76FuwL4Ge5sqM6UuetR&#10;TBWSKXBHNkEcWK87XOoqdJsZsHZn7T4f7T7yy+iJfhkRWCqDpDJ0ZXKckLsJBEg6Tiyz5wwC/B5y&#10;BsFdZxAEI7RDMkm5o5+BtVMDdJYc5cskAnXf1k7FftVTHUY7o/3u++2JeIR2SKagHZ2Y0SvY2KnI&#10;mFTkgcHbt3bqjAKqO1mH3Pj6ATW+lsItdiLJFBALjepVyjKGt+UAnY2RBcY8ZZ3NOvvudbZUrs4m&#10;yRS4yzCKqKW1gXsQiHhUyhqpaCaudFbaZAk/vGkFUrmZuiSZgmKhYUraZkqoWEBml0M9dom20iJk&#10;os3DOe5rOIekypu9gBBJpsAdRRbJYFeGaB4Wua2tE/SERO/2OcQ/WWk/UKUduIWnaFM6CcUacXs7&#10;dyOM4kRLJ87DOpsd33NxfMtohHZIpuhsAYybfo6wK0M0e5QjuLPONgPCeCwYpifVR5mAp1wQQzAJ&#10;wwkq4mz4BuMGksjtjKF8GVM39p54UPTG8PB7cY4w8XiYxGNkLE60FUE0lDUVYxR1uuF2IQXIteXO&#10;Ohq6vzCEt2MbeTzjwTNa3z+JVLu1axBM0cOwFzXNASCnHTk7XPMvRKiR1LRJf6Vc8PtzUbMWfpha&#10;mOqA93wYfSbHwTmtOghQWt9DWMuI4IonYDdW6FPPXIYwD8k9FhumxIw9CPds9mAIY+YWfM596ASc&#10;IbLTEncxPJuZW6yGH6YaHrklJnolkIQnpHXCCXglYjchj3M2+rHl7JU4mlciclOoIZjChoWi8l6r&#10;h2MZSrc+hjHMGK69m01RHg3DiZuHAcEUDAdhEgyDr2JFDTldOsxUYllU16yGjwZhzKBy+DBJpoAY&#10;CZ/kTiOvhKQBP65bgvUw6+Ej62HqarNv1Nk+NwdbdUkSwKPWgzgUUo0dE6yJWRMflUxAeY5APE0T&#10;izDRSOUcUIywnMsn0OyP2oXYBgniHpOY2TXxMF0TMnQHMZBkEp+QAUZJDSiWceK2+QgYxZwycVzD&#10;ToajZE1IpqAYo9ESbYsAdSLC8TgRRjGj+Mgojlz/hIRkCoplglQICvrBuNNoQROMHcU7AbtA+vBm&#10;4PycNsFpE6t8k7aPNuus+Z5pE4YL7EXsSDIFxSpGuoQtUaVSJ0rIxPt3QnYarcW2vJgqoxjFmIjB&#10;KP6AKB7x4ngaL5aIdsBN0etihYCH28o38Hd0Mef/IF+NPBaM4jb7gCge8eJ4Gi9WijLXeutOofkF&#10;8iccXYyEeOoDNoMmjuyjeKA+Cppr5zAKg8KD3cVSovCURh6BFysU4qGZ1z6KYe+ZQfCM4lXVfP6K&#10;dfGq6+rTk5MPqotH1t3Ezi0iwDQvCp0Y6y6iidb7KGZPG4fujh26o4x1q4t/+7evfvWnb/71O/z9&#10;+q9/9mQfhLNK+Vn5urFGXz9grx8vZ0Y7/sQZ7Yi+6Np6kAXq/iOXKaMqLwrJOUfq+Tuy5Is1xgOS&#10;sTiMeIRzg5oHfZxXGxLvkISipDGCoTI12O+bZOilxSXGC2ZdY874AYca4ksV5bfMHyRTlhbxuq37&#10;qX/YOLLjKRnRREjs3cs+ffumfu+9pOW0c0uURKTKqqYAU3qkSxN1AjPe3kHlIw/3/kz2o9/G7ub8&#10;xi4ezy2Z4dwSMy1wn0/2HqSD+aT2QzFMpQpALpV0fokxnpl8r3Owihjun5So00XbO9wkr7zaPKsK&#10;+v3xMCvabELadMWw+QAb94zSHhEmmKTdNTJshopidA9EwzXHfOKcMSaeR+coo56BybSegQgjYBgy&#10;nnaQSETG/JiVNg+bmuuwKeW78QeSTKHkGrNhh7nIYaBQBsdKO2+69/m22OcF5nu2+PA+L7eTybRG&#10;JjLyo2HUMfwDICEOgnnoArwhxGNf8ACpex8g5dbHiYn1cUmUDOoaiTloze2AnTk2c+wjc2yK8+75&#10;RSCYQjlQ0xkpO98SXkB06HbcIozh/2cMw6udoU1EZhIOL5u0Xq2z52mX7r42vu/TXFarqrjImy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gP&#10;AABbQ29udGVudF9UeXBlc10ueG1sUEsBAhQACgAAAAAAh07iQAAAAAAAAAAAAAAAAAYAAAAAAAAA&#10;AAAQAAAAeg4AAF9yZWxzL1BLAQIUABQAAAAIAIdO4kCKFGY80QAAAJQBAAALAAAAAAAAAAEAIAAA&#10;AJ4OAABfcmVscy8ucmVsc1BLAQIUAAoAAAAAAIdO4kAAAAAAAAAAAAAAAAAEAAAAAAAAAAAAEAAA&#10;AAAAAABkcnMvUEsBAhQAFAAAAAgAh07iQDXqdaTSAAAABgEAAA8AAAAAAAAAAQAgAAAAIgAAAGRy&#10;cy9kb3ducmV2LnhtbFBLAQIUABQAAAAIAIdO4kB2oqvPLQ0AAOu+AAAOAAAAAAAAAAEAIAAAACEB&#10;AABkcnMvZTJvRG9jLnhtbFBLBQYAAAAABgAGAFkBAADAEAAAAAA=&#10;">
                  <v:fill on="f" focussize="0,0"/>
                  <v:stroke weight="0.5pt" color="#000000 [3213]" joinstyle="round"/>
                  <v:imagedata o:title=""/>
                  <o:lock v:ext="edit" aspectratio="f"/>
                </v:shape>
                <v:rect id="_x0000_s1026" o:spid="_x0000_s1026" o:spt="1" style="position:absolute;left:146685;top:391160;height:266065;width:62928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5oPcbAIAAMkEAAAOAAAAZHJzL2Uyb0RvYy54bWytVEtu2zAQ&#10;3RfoHQjuG9mKrcaG5cCwkaJA0ARIi65pirQI8NchbTm9TIHueogcp+g1OqSUT9MusqgX8pAzesP3&#10;+EaL86PR5CAgKGdrOj4ZUSIsd42yu5p++njx5oySEJltmHZW1PRWBHq+fP1q0fm5KF3rdCOAIIgN&#10;887XtI3Rz4si8FYYFk6cFxaT0oFhEZewKxpgHaIbXZSjUVV0DhoPjosQcHfTJ+mACC8BdFIqLjaO&#10;742wsUcFoVlESqFVPtBlPq2UgscrKYOIRNcUmcb8xCYYb9OzWC7YfAfMt4oPR2AvOcIzToYpi00f&#10;oDYsMrIH9ReUURxccDKecGeKnkhWBFmMR8+0uWmZF5kLSh38g+jh/8HyD4drIKqpaTmjxDKDN/7r&#10;24+fd98JbqA6nQ9zLLrx1zCsAoaJ6lGCSf9IghzRSZOqOptSclvT09l4XA3aimMkHNNVOStTmmO+&#10;rKpRNU3oxSOMhxDfCWdICmoKeHVZUXa4DLEvvS9JXa27UFrjPptrSzpscDrFS+UMLSnRChgaj7SC&#10;3VHC9A69ziNkxOC0atLb6eUAu+1aAzmw5JD8Gw72R1lqvWGh7etyaijTFmkklXpdUhSP2+Mg1tY1&#10;tygwuN55wfMLhVCXLMRrBmg1PDMOY7zCh9QOebghoqR18PVf+6keHYBZSjq0LpL8smcgKNHvLXpj&#10;Np5MktfzYjJ9W+ICnma2TzN2b9YOuY9x7D3PYaqP+j6U4MxnnNlV6oopZjn27uUcFuvYjxROPRer&#10;VS5Df3sWL+2N5wm8v7PVPjqp8nUmoXp1Bv3Q4dkQwzSmEXq6zlWPX6D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EYpfzUAAAABgEAAA8AAAAAAAAAAQAgAAAAIgAAAGRycy9kb3ducmV2LnhtbFBL&#10;AQIUABQAAAAIAIdO4kB/5oPcbAIAAMkEAAAOAAAAAAAAAAEAIAAAACMBAABkcnMvZTJvRG9jLnht&#10;bFBLBQYAAAAABgAGAFkBAAABBgAAAAA=&#10;">
                  <v:fill on="f" focussize="0,0"/>
                  <v:stroke weight="0.5pt" color="#000000 [3213]" joinstyle="round"/>
                  <v:imagedata o:title=""/>
                  <o:lock v:ext="edit" aspectratio="f"/>
                  <v:textbox>
                    <w:txbxContent>
                      <w:p w14:paraId="08D359D2">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进厂检疫</w:t>
                        </w:r>
                      </w:p>
                    </w:txbxContent>
                  </v:textbox>
                </v:rect>
                <v:rect id="_x0000_s1026" o:spid="_x0000_s1026" o:spt="1" style="position:absolute;left:1130300;top:383540;height:273685;width:96075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AHPowWbwIAAMoEAAAOAAAAZHJzL2Uyb0RvYy54bWytVEtu2zAU&#10;3BfoHQjuG8l27DhG5MCIkaJA0ARIi65pirII8FeStpxepkB3PUSPU/QaHVLKp2kXWdQL+ZHvaR5n&#10;OE9n5wetyF74IK2p6OiopEQYbmtpthX9+OHyzZySEJmpmbJGVPROBHq+fP3qrHMLMbatVbXwBCAm&#10;LDpX0TZGtyiKwFuhWTiyThgkG+s1i1j6bVF71gFdq2JclrOis7523nIRAnbXfZIOiP4lgLZpJBdr&#10;y3damNijeqFYBKXQShfoMp+2aQSP100TRCSqomAa8xNNEG/Ss1iescXWM9dKPhyBveQIzzhpJg2a&#10;PkCtWWRk5+VfUFpyb4Nt4hG3uuiJZEXAYlQ+0+a2ZU5kLpA6uAfRw/+D5e/3N57IuqLzESWGadz4&#10;r6/ff/74RrABdToXFii6dTd+WAWEieqh8Tr9gwQ5wEmjSTkpoetdRSfzyfR4EFccIuHIn87Kk+mU&#10;Eo78+GQym08TfPGI43yIb4XVJAUV9bi7LCnbX4XYl96XpLbGXkqlsM8WypCuorPJFN05gycbeAGh&#10;duAVzJYSprYwO48+IwarZJ3eTi8Hv91cKE/2LFkk/4aD/VGWWq9ZaPu6nBrKlAGNJFMvTIriYXMY&#10;1NrY+g4Ke9tbLzh+KQF1xUK8YR5ew5kxjfEaj0ZZ8LBDRElr/Zd/7ad6WABZSjp4FyQ/75gXlKh3&#10;BuY4HR1DfRLz4nh6MsbCP81snmbMTl9YcMf943Q5TPVR3YeNt/oThnaVuiLFDEfvXs5hcRH7mcLY&#10;c7Fa5TIY3LF4ZW4dT+D9na120TYyX2cSqldn0A8Wz4YYxjHN0NN1rnr8BC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EYpfzUAAAABgEAAA8AAAAAAAAAAQAgAAAAIgAAAGRycy9kb3ducmV2Lnht&#10;bFBLAQIUABQAAAAIAIdO4kAHPowWbwIAAMoEAAAOAAAAAAAAAAEAIAAAACMBAABkcnMvZTJvRG9j&#10;LnhtbFBLBQYAAAAABgAGAFkBAAAEBgAAAAA=&#10;">
                  <v:fill on="f" focussize="0,0"/>
                  <v:stroke weight="0.5pt" color="#000000 [3213]" joinstyle="round"/>
                  <v:imagedata o:title=""/>
                  <o:lock v:ext="edit" aspectratio="f"/>
                  <v:textbox>
                    <w:txbxContent>
                      <w:p w14:paraId="4E3F6BF8">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候宰休息、检查</w:t>
                        </w:r>
                      </w:p>
                    </w:txbxContent>
                  </v:textbox>
                </v:rect>
                <v:rect id="_x0000_s1026" o:spid="_x0000_s1026" o:spt="1" style="position:absolute;left:2447925;top:384810;height:264795;width:84264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ApJs30bgIAAMoEAAAOAAAAZHJzL2Uyb0RvYy54bWytVEtu2zAU&#10;3BfoHQjuG9mOnDhG5MCIkaJA0BhIi65pirQE8FeStpxepkB3PUSPU/QaHVLKp2kXWdQL+ZHvaR5n&#10;OE/nFwetyF740FpT0fHRiBJhuK1bs63oxw9Xb2aUhMhMzZQ1oqJ3ItCLxetX552bi4ltrKqFJwAx&#10;Yd65ijYxunlRBN4IzcKRdcIgKa3XLGLpt0XtWQd0rYrJaHRSdNbXzlsuQsDuqk/SAdG/BNBK2XKx&#10;snynhYk9qheKRVAKTesCXeTTSil4vJEyiEhURcE05ieaIN6kZ7E4Z/OtZ65p+XAE9pIjPOOkWWvQ&#10;9AFqxSIjO9/+BaVb7m2wMh5xq4ueSFYELMajZ9rcNsyJzAVSB/cgevh/sPz9fu1JW1d0dkyJYRo3&#10;/uvr958/vhFsQJ3OhTmKbt3aD6uAMFE9SK/TP0iQQ0UnZXl6NplSclfR41k5Gw/iikMkHPlZOTkp&#10;kebIIzo9myb44hHH+RDfCqtJCirqcXdZUra/DrEvvS9JbY29apXCPpsrQ7qKnhxPcaucwZMSXkCo&#10;HXgFs6WEqS3MzqPPiMGqtk5vp5eD324ulSd7liySf8PB/ihLrVcsNH1dTg1lyoBGkqkXJkXxsDkM&#10;am1sfQeFve2tFxy/agF1zUJcMw+v4cyYxniDh1QWPOwQUdJY/+Vf+6keFkCWkg7eBcnPO+YFJeqd&#10;gTnOxmWZzJ4X5fR0goV/mtk8zZidvrTgPsbcO57DVB/VfSi91Z8wtMvUFSlmOHr3cg6Ly9jPFMae&#10;i+Uyl8HgjsVrc+t4Au/vbLmLVrb5OpNQvTqDfrB4NsQwjmmGnq5z1eMna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Ril/NQAAAAGAQAADwAAAAAAAAABACAAAAAiAAAAZHJzL2Rvd25yZXYueG1s&#10;UEsBAhQAFAAAAAgAh07iQCkmzfRuAgAAygQAAA4AAAAAAAAAAQAgAAAAIwEAAGRycy9lMm9Eb2Mu&#10;eG1sUEsFBgAAAAAGAAYAWQEAAAMGAAAAAA==&#10;">
                  <v:fill on="f" focussize="0,0"/>
                  <v:stroke weight="0.5pt" color="#000000 [3213]" joinstyle="round"/>
                  <v:imagedata o:title=""/>
                  <o:lock v:ext="edit" aspectratio="f"/>
                  <v:textbox>
                    <w:txbxContent>
                      <w:p w14:paraId="69097674">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称重、淋浴</w:t>
                        </w:r>
                      </w:p>
                    </w:txbxContent>
                  </v:textbox>
                </v:rect>
                <v:rect id="_x0000_s1026" o:spid="_x0000_s1026" o:spt="1" style="position:absolute;left:3636010;top:401955;height:273050;width:775970;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2Wq/JbgIAAMoEAAAOAAAAZHJzL2Uyb0RvYy54bWytVEtu2zAQ&#10;3RfoHQjuG/nvxIgcGDFSFAgaA2nRNU1RFgH+StKW08sU6K6H6HGKXqOPlPJp2kUW1YKa4Yze8D3O&#10;6PziqBU5CB+kNSUdngwoEYbbSppdST9+uHpzSkmIzFRMWSNKeicCvVi+fnXeuoUY2caqSngCEBMW&#10;rStpE6NbFEXgjdAsnFgnDIK19ZpFuH5XVJ61QNeqGA0Gs6K1vnLechECdtddkPaI/iWAtq4lF2vL&#10;91qY2KF6oVgEpdBIF+gyn7auBY83dR1EJKqkYBrziiKwt2ktludssfPMNZL3R2AvOcIzTppJg6IP&#10;UGsWGdl7+ReUltzbYOt4wq0uOiJZEbAYDp5pc9swJzIXSB3cg+jh/8Hy94eNJ7Iq6emUEsM0bvzX&#10;1+8/f3wj2IA6rQsLJN26je+9ADNRPdZepzdIkGNJx7PxDBQouSvpZDA8m+bP2UIcI+GIz+fTsznC&#10;HPHRfDyYZvGLRxznQ3wrrCbJKKnH3WVJ2eE6RNRG6n1KKmvslVQq358ypC3pbAxIwhl6skYvwNQO&#10;vILZUcLUDs3Oo8+IwSpZpa8TTvC77aXy5MBSi+Qn8Ua1P9JS6TULTZeXQ32aMshOMnXCJCset8de&#10;ra2t7qCwt13rBcevJKCuWYgb5tFrODOmMd5gqZUFD9tblDTWf/nXfspHCyBKSYveBcnPe+YFJeqd&#10;QXOcDScTwMbsTKbzERz/NLJ9GjF7fWnBfYi5dzybKT+qe7P2Vn/C0K5SVYSY4ajdydk7l7GbKYw9&#10;F6tVTkODOxavza3jCby7s9U+2lrm60xCder0+qHFs+79OKYZeurnrMdf0P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Ril/NQAAAAGAQAADwAAAAAAAAABACAAAAAiAAAAZHJzL2Rvd25yZXYueG1s&#10;UEsBAhQAFAAAAAgAh07iQPZar8luAgAAygQAAA4AAAAAAAAAAQAgAAAAIwEAAGRycy9lMm9Eb2Mu&#10;eG1sUEsFBgAAAAAGAAYAWQEAAAMGAAAAAA==&#10;">
                  <v:fill on="f" focussize="0,0"/>
                  <v:stroke weight="0.5pt" color="#000000 [3213]" joinstyle="round"/>
                  <v:imagedata o:title=""/>
                  <o:lock v:ext="edit" aspectratio="f"/>
                  <v:textbox>
                    <w:txbxContent>
                      <w:p w14:paraId="2BEE4120">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击晕、吊挂</w:t>
                        </w:r>
                      </w:p>
                    </w:txbxContent>
                  </v:textbox>
                </v:rect>
                <v:rect id="_x0000_s1026" o:spid="_x0000_s1026" o:spt="1" style="position:absolute;left:3809365;top:1376045;height:264795;width:54292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fpJcubwIAAMsEAAAOAAAAZHJzL2Uyb0RvYy54bWytVMtuEzEU&#10;3SPxD5b3dPJOE3VSRY2KkCpaqSDWjsfOjOQXtpNJ+RkkdnwEn4P4DY490weFRRdk4Vz7npzre3xu&#10;zs6PWpGD8KGxpqTDkwElwnBbNWZX0o8fLt+cUhIiMxVT1oiS3olAz1evX521bilGtraqEp6AxIRl&#10;60pax+iWRRF4LTQLJ9YJg6S0XrOIrd8VlWct2LUqRoPBrGitr5y3XISA002XpD2jfwmhlbLhYmP5&#10;XgsTO1YvFItoKdSNC3SVbyul4PFayiAiUSVFpzGvKIJ4m9ZidcaWO89c3fD+CuwlV3jWk2aNQdEH&#10;qg2LjOx98xeVbri3wcp4wq0uukayIuhiOHimzW3NnMi9QOrgHkQP/4+Wvz/ceNJUJT2dU2KYxov/&#10;+vr9549vBAdQp3VhCdCtu/H9LiBMrR6l1+kbTZBjSceng8V4NqXkDq4az2eDybRTVxwj4QBMJ6PF&#10;CHkOwGg2mS9yvngkcj7Et8JqkoKSejxe1pQdrkJEcUDvIamusZeNUvkBlSFtSWfjKZ6VM5hSwgwI&#10;tUNjwewoYWoHt/PoM2OwqqnSrxNP8LvthfLkwJJH8iddHNX+gKXSGxbqDpdTPUwZoJNOnTIpisft&#10;sZdra6s7SOxt573g+GUDqisW4g3zMBvujHGM11iksujD9hEltfVf/nWe8PAAspS0MC+a/LxnXlCi&#10;3hm4YzGcTJLb82YynY+w8U8z26cZs9cXFr0PMfiO5zDho7oPpbf6E6Z2naoixQxH7U7OfnMRu6HC&#10;3HOxXmcYHO5YvDK3jify7s3W+2hlk58zCdWp0+sHj2fd+3lMQ/R0n1GP/0G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EYpfzUAAAABgEAAA8AAAAAAAAAAQAgAAAAIgAAAGRycy9kb3ducmV2Lnht&#10;bFBLAQIUABQAAAAIAIdO4kBfpJcubwIAAMsEAAAOAAAAAAAAAAEAIAAAACMBAABkcnMvZTJvRG9j&#10;LnhtbFBLBQYAAAAABgAGAFkBAAAEBgAAAAA=&#10;">
                  <v:fill on="f" focussize="0,0"/>
                  <v:stroke weight="0.5pt" color="#000000 [3213]" joinstyle="round"/>
                  <v:imagedata o:title=""/>
                  <o:lock v:ext="edit" aspectratio="f"/>
                  <v:textbox>
                    <w:txbxContent>
                      <w:p w14:paraId="508CCE4C">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放血</w:t>
                        </w:r>
                      </w:p>
                    </w:txbxContent>
                  </v:textbox>
                </v:rect>
                <v:rect id="_x0000_s1026" o:spid="_x0000_s1026" o:spt="1" style="position:absolute;left:2987040;top:1374140;height:264795;width:508000;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mihF7bAIAAMsEAAAOAAAAZHJzL2Uyb0RvYy54bWytVMtuEzEU&#10;3SPxD5b3dCZp0jyUSRUlKkKqaKSCWDseT2Ykv7CdTMrPILHjI/gcxG9w7Jk+KCy6IAvn2vfmXJ/j&#10;c7O4PClJjsL5xuiCDs5ySoTmpmz0vqAfP1y9mVLiA9Mlk0aLgt4JTy+Xr18tWjsXQ1MbWQpHAKL9&#10;vLUFrUOw8yzzvBaK+TNjhUayMk6xgK3bZ6VjLdCVzIZ5fpG1xpXWGS68x+mmS9Ie0b0E0FRVw8XG&#10;8IMSOnSoTkgWQMnXjfV0mW5bVYKHm6ryIhBZUDANaUUTxLu4ZssFm+8ds3XD+yuwl1zhGSfFGo2m&#10;D1AbFhg5uOYvKNVwZ7ypwhk3KuuIJEXAYpA/0+a2ZlYkLpDa2wfR/f+D5e+PW0easqDTGSWaKbz4&#10;r6/ff/74RnAAdVrr5yi6tVvX7zzCSPVUORW/QYKcCjqcTSf5CLrewVXnk9EAcVJXnALhKBjn0zxH&#10;nqNgeDGazMYxnz0CWefDW2EUiUFBHR4vacqO1z50pfclsa82V42UqYXUpC3oxfk4wjOYsoIZECoL&#10;Yl7vKWFyD7fz4BKiN7Ip468jjnf73Vo6cmTRI+nTX+yPsth6w3zd1aVUXyY1aESdOmViFE67E24W&#10;w50p7yCxM533vOVXDaCumQ9b5mA23BnjGG6wVNKAh+kjSmrjvvzrPNbDA8hS0sK8IPn5wJygRL7T&#10;cMdsMIovEdJmNJ4MsXFPM7unGX1QawPuAwy+5SmM9UHeh5Uz6hOmdhW7IsU0R+9Ozn6zDt1QYe65&#10;WK1SGRxuWbjWt5ZH8O7NVodgqiY956M6vX7weDJEP49xiJ7uU9Xjf9D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EYpfzUAAAABgEAAA8AAAAAAAAAAQAgAAAAIgAAAGRycy9kb3ducmV2LnhtbFBL&#10;AQIUABQAAAAIAIdO4kBmihF7bAIAAMsEAAAOAAAAAAAAAAEAIAAAACMBAABkcnMvZTJvRG9jLnht&#10;bFBLBQYAAAAABgAGAFkBAAABBgAAAAA=&#10;">
                  <v:fill on="f" focussize="0,0"/>
                  <v:stroke weight="0.5pt" color="#000000 [3213]" joinstyle="round"/>
                  <v:imagedata o:title=""/>
                  <o:lock v:ext="edit" aspectratio="f"/>
                  <v:textbox>
                    <w:txbxContent>
                      <w:p w14:paraId="1E82E6F1">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浸烫</w:t>
                        </w:r>
                      </w:p>
                    </w:txbxContent>
                  </v:textbox>
                </v:rect>
                <v:rect id="_x0000_s1026" o:spid="_x0000_s1026" o:spt="1" style="position:absolute;left:2145665;top:1377315;height:264795;width:508000;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AR5iMqbwIAAMsEAAAOAAAAZHJzL2Uyb0RvYy54bWytVMtuEzEU&#10;3SPxD5b3dCZpHm3USRU1KkKqaKWCWDseT8aSX9hOJuVnkNjxEXwO4jc49kwfFBZdkIVz7Xtyru/x&#10;uTk7P2hF9sIHaU1FR0clJcJwW0uzrejHD5dvTigJkZmaKWtERe9EoOfL16/OOrcQY9taVQtPQGLC&#10;onMVbWN0i6IIvBWahSPrhEGysV6ziK3fFrVnHdi1KsZlOSs662vnLRch4HTdJ+nA6F9CaJtGcrG2&#10;fKeFiT2rF4pFtBRa6QJd5ts2jeDxummCiERVFJ3GvKII4k1ai+UZW2w9c63kwxXYS67wrCfNpEHR&#10;B6o1i4zsvPyLSkvubbBNPOJWF30jWRF0MSqfaXPbMidyL5A6uAfRw/+j5e/3N57IuqKnI0oM03jx&#10;X1+///zxjeAA6nQuLAC6dTd+2AWEqdVD43X6RhPkUNHxaDKdzaaU3MFVx/P58WjaqysOkXAApuVJ&#10;WUJ3DsB4Npmf5nzxSOR8iG+F1SQFFfV4vKwp21+FiOKA3kNSXWMvpVL5AZUhXUVnx9NEz2DKBmZA&#10;qB0aC2ZLCVNbuJ1HnxmDVbJOv048wW83F8qTPUseyZ90cVT7A5ZKr1loe1xODTBlgE469cqkKB42&#10;h0Guja3vILG3vfeC45cSVFcsxBvmYTbcGeMYr7E0yqIPO0SUtNZ/+dd5wsMDyFLSwbxo8vOOeUGJ&#10;emfgjtPRZALamDeT6XyMjX+a2TzNmJ2+sOgdBsDtcpjwUd2Hjbf6E6Z2laoixQxH7V7OYXMR+6HC&#10;3HOxWmUYHO5YvDK3jify/s1Wu2gbmZ8zCdWrM+gHj2fdh3lMQ/R0n1GP/0H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EYpfzUAAAABgEAAA8AAAAAAAAAAQAgAAAAIgAAAGRycy9kb3ducmV2Lnht&#10;bFBLAQIUABQAAAAIAIdO4kAR5iMqbwIAAMsEAAAOAAAAAAAAAAEAIAAAACMBAABkcnMvZTJvRG9j&#10;LnhtbFBLBQYAAAAABgAGAFkBAAAEBgAAAAA=&#10;">
                  <v:fill on="f" focussize="0,0"/>
                  <v:stroke weight="0.5pt" color="#000000 [3213]" joinstyle="round"/>
                  <v:imagedata o:title=""/>
                  <o:lock v:ext="edit" aspectratio="f"/>
                  <v:textbox>
                    <w:txbxContent>
                      <w:p w14:paraId="6A30FD05">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烫毛</w:t>
                        </w:r>
                      </w:p>
                    </w:txbxContent>
                  </v:textbox>
                </v:rect>
                <v:rect id="_x0000_s1026" o:spid="_x0000_s1026" o:spt="1" style="position:absolute;left:1312545;top:1391920;height:264795;width:508000;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8Xe0nbgIAAMsEAAAOAAAAZHJzL2Uyb0RvYy54bWytVEtu2zAU&#10;3BfoHQjuG8mOncRG5MCIkaJA0ARwi65pirQE8FeStpxepkB3PUSPU/QaHVLKp2kXWdQL+ZHvaR5n&#10;OE/nFwetyF740FpT0dFRSYkw3Nat2Vb044erN2eUhMhMzZQ1oqJ3ItCLxetX552bi7FtrKqFJwAx&#10;Yd65ijYxunlRBN4IzcKRdcIgKa3XLGLpt0XtWQd0rYpxWZ4UnfW185aLELC76pN0QPQvAbRStlys&#10;LN9pYWKP6oViEZRC07pAF/m0Ugoeb6QMIhJVUTCN+YkmiDfpWSzO2XzrmWtaPhyBveQIzzhp1ho0&#10;fYBascjIzrd/QemWexusjEfc6qInkhUBi1H5TJt1w5zIXCB1cA+ih/8Hy9/vbz1p64rOjikxTOPG&#10;f339/vPHN4INqNO5MEfR2t36YRUQJqoH6XX6BwlygJOOR+PpZErJXYpno9l4UFccIuEomJZnZQnd&#10;OQrGJ5PT2TThF49Azof4VlhNUlBRj8vLmrL9dYh96X1J6mvsVasU9tlcGdJV9OR4muAZTClhBoTa&#10;gVgwW0qY2sLtPPqMGKxq6/R2ejn47eZSebJnySP5Nxzsj7LUesVC09fl1FCmDGgknXplUhQPm8Mg&#10;18bWd5DY2957wfGrFlDXLMRb5mE2nBnjGG/wkMqChx0iShrrv/xrP9XDA8hS0sG8IPl5x7ygRL0z&#10;cMdsNJkANubFZHqKqyD+aWbzNGN2+tKC+wiD73gOU31U96H0Vn/C1C5TV6SY4ejdyzksLmM/VJh7&#10;LpbLXAaHOxavzdrxBN7f2XIXrWzzdSahenUG/eDxbIhhHtMQPV3nqsdv0O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Ril/NQAAAAGAQAADwAAAAAAAAABACAAAAAiAAAAZHJzL2Rvd25yZXYueG1s&#10;UEsBAhQAFAAAAAgAh07iQPxd7SduAgAAywQAAA4AAAAAAAAAAQAgAAAAIwEAAGRycy9lMm9Eb2Mu&#10;eG1sUEsFBgAAAAAGAAYAWQEAAAMGAAAAAA==&#10;">
                  <v:fill on="f" focussize="0,0"/>
                  <v:stroke weight="0.5pt" color="#000000 [3213]" joinstyle="round"/>
                  <v:imagedata o:title=""/>
                  <o:lock v:ext="edit" aspectratio="f"/>
                  <v:textbox>
                    <w:txbxContent>
                      <w:p w14:paraId="21CA98AF">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刨毛</w:t>
                        </w:r>
                      </w:p>
                    </w:txbxContent>
                  </v:textbox>
                </v:rect>
                <v:rect id="_x0000_s1026" o:spid="_x0000_s1026" o:spt="1" style="position:absolute;left:493395;top:1404620;height:264795;width:508000;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jOegabQIAAMoEAAAOAAAAZHJzL2Uyb0RvYy54bWytVMtuEzEU&#10;3SPxD5b3dCbJJG2jTKqoURFSRSsFxNrxeDIj+YXtZFJ+BokdH8HnIH6DY8/0QWHRBVk417435/oc&#10;n5vFxVFJchDOt0aXdHSSUyI0N1WrdyX9+OHqzRklPjBdMWm0KOmd8PRi+frVorNzMTaNkZVwBCDa&#10;zztb0iYEO88yzxuhmD8xVmgka+MUC9i6XVY51gFdyWyc57OsM66yznDhPU7XfZIOiO4lgKauWy7W&#10;hu+V0KFHdUKyAEq+aa2ny3TbuhY83NS1F4HIkoJpSCuaIN7GNVsu2HznmG1aPlyBveQKzzgp1mo0&#10;fYBas8DI3rV/QamWO+NNHU64UVlPJCkCFqP8mTabhlmRuEBqbx9E9/8Plr8/3DrSViU9n1KimcKL&#10;//r6/eePbwQHUKezfo6ijb11w84jjFSPtVPxGyTIsaTF+WQSMe5gqiIvZuNBXHEMhCM/zc/yHLJz&#10;FIxnxWkPnz3iWOfDW2EUiUFJHd4uScoO1z6gN0rvS2Jbba5aKdP7SU26ks4m0wjP4MkaXkCoLHh5&#10;vaOEyR3MzoNLiN7Itoq/jjje7baX0pEDixZJn8gb3f4oi63XzDd9XUoNZVKjOsrUCxOjcNweB7W2&#10;prqDws701vOWX7WAumY+3DIHr+HOmMZwg6WWBjzMEFHSGPflX+exHhZAlpIO3gXJz3vmBCXynYY5&#10;zkdFAdiQNsX0FE9B3NPM9mlG79WlAfcR5t7yFMb6IO/D2hn1CUO7il2RYpqjdy/nsLkM/Uxh7LlY&#10;rVIZDG5ZuNYbyyN4/2arfTB1m54zCtWrM+gHiyfdh3GMM/R0n6oe/4K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RGKX81AAAAAYBAAAPAAAAAAAAAAEAIAAAACIAAABkcnMvZG93bnJldi54bWxQ&#10;SwECFAAUAAAACACHTuJAYznoGm0CAADKBAAADgAAAAAAAAABACAAAAAjAQAAZHJzL2Uyb0RvYy54&#10;bWxQSwUGAAAAAAYABgBZAQAAAgYAAAAA&#10;">
                  <v:fill on="f" focussize="0,0"/>
                  <v:stroke weight="0.5pt" color="#000000 [3213]" joinstyle="round"/>
                  <v:imagedata o:title=""/>
                  <o:lock v:ext="edit" aspectratio="f"/>
                  <v:textbox>
                    <w:txbxContent>
                      <w:p w14:paraId="26C52763">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修刮</w:t>
                        </w:r>
                      </w:p>
                    </w:txbxContent>
                  </v:textbox>
                </v:rect>
                <v:rect id="_x0000_s1026" o:spid="_x0000_s1026" o:spt="1" style="position:absolute;left:358140;top:2148840;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SnWd9awIAAMoEAAAOAAAAZHJzL2Uyb0RvYy54bWytVEuOEzEQ&#10;3SNxB8t70vlPJkpnFE00CCliRgqIteO205b8o+ykEy6DxI5DcBzENSi7ez4MLGZBFk6Vq/Kq3nNV&#10;Flcno8lRQFDOlnTQ61MiLHeVsvuSfvxw82ZGSYjMVkw7K0p6FoFeLV+/WjR+LoaudroSQBDEhnnj&#10;S1rH6OdFEXgtDAs954XFoHRgWEQX9kUFrEF0o4thvz8tGgeVB8dFCHi7boO0Q4SXADopFRdrxw9G&#10;2NiigtAsIqVQKx/oMncrpeDxVsogItElRaYxn1gE7V06i+WCzffAfK141wJ7SQvPOBmmLBZ9gFqz&#10;yMgB1F9QRnFwwcnY484ULZGsCLIY9J9ps62ZF5kLSh38g+jh/8Hy98c7IKoq6eWUEssMvvivr99/&#10;/vhG8ALVaXyYY9LW30HnBTQT1ZMEk76RBDmVdDSZDcYo67mkw8F4NkM7iytOkXCMj/uzUX9CCU8J&#10;0/HF5STFi0ccDyG+Fc6QZJQU8O2ypOy4CbFNvU9JZa27UVrnEtqSpqTT0QTLc4YzKXEW0DQeeQW7&#10;p4TpPQ47j5ARg9OqSr9OOAH2u2sN5MjSiORP19gfaan0moW6zcuhLk1bpJFkaoVJVjztTthZMneu&#10;OqPC4NrRC57fKITasBDvGOCsYc+4jfEWD6kd8nCdRUnt4Mu/7lM+jgBGKWlwdpHk5wMDQYl+Z3E4&#10;Lgfj9BIxO+PJxRAdeBrZPY3Yg7l2yH2Ae+95NlN+1PemBGc+4dKuUlUMMcuxditn51zHdqdw7blY&#10;rXIaDrhncWO3nifw9s1Wh+ikys/5qE6nH454HohuHdMOPfVz1uNf0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Ril/NQAAAAGAQAADwAAAAAAAAABACAAAAAiAAAAZHJzL2Rvd25yZXYueG1sUEsB&#10;AhQAFAAAAAgAh07iQFKdZ31rAgAAygQAAA4AAAAAAAAAAQAgAAAAIwEAAGRycy9lMm9Eb2MueG1s&#10;UEsFBgAAAAAGAAYAWQEAAAAGAAAAAA==&#10;">
                  <v:fill on="f" focussize="0,0"/>
                  <v:stroke weight="0.5pt" color="#000000 [3213]" joinstyle="round"/>
                  <v:imagedata o:title=""/>
                  <o:lock v:ext="edit" aspectratio="f"/>
                  <v:textbox>
                    <w:txbxContent>
                      <w:p w14:paraId="01410699">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吊挂</w:t>
                        </w:r>
                      </w:p>
                    </w:txbxContent>
                  </v:textbox>
                </v:rect>
                <v:rect id="_x0000_s1026" o:spid="_x0000_s1026" o:spt="1" style="position:absolute;left:1062355;top:2155825;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eLKHibwIAAM0EAAAOAAAAZHJzL2Uyb0RvYy54bWytVMtuEzEU&#10;3SPxD5b3dCaPSduokypKVIRU0UoBsXY8nsxIfmE7mZSfQWLHR/A5iN/g2DN9UFh0QRbOte/Jub7H&#10;5+bi8qgkOQjnW6NLOjrJKRGam6rVu5J+/HD15owSH5iumDRalPROeHq5eP3qorNzMTaNkZVwBCTa&#10;zztb0iYEO88yzxuhmD8xVmgka+MUC9i6XVY51oFdyWyc57OsM66yznDhPU7XfZIOjO4lhKauWy7W&#10;hu+V0KFndUKygJZ801pPF+m2dS14uKlrLwKRJUWnIa0ogngb12xxweY7x2zT8uEK7CVXeNaTYq1G&#10;0QeqNQuM7F37F5VquTPe1OGEG5X1jSRF0MUof6bNpmFWpF4gtbcPovv/R8vfH24daSs4IR9RopnC&#10;k//6+v3nj28knkCfzvo5YBt764adRxibPdZOxW+0QY6RYTaeFAUldyUdj4ribFz0+opjIByAaX42&#10;yZHnETCbnp6nfPZIZJ0Pb4VRJAYldXi+pCo7XPuA4oDeQ2Jdba5aKdMTSk26ks4mBR6WM9iyhh0Q&#10;KovWvN5RwuQOfufBJUZvZFvFX0ce73bblXTkwKJL0ideHNX+gMXSa+abHpdSA0xqoKNOvTIxCsft&#10;cZBra6o7iOxM7z5v+VULqmvmwy1zsBvujIEMN1hqadCHGSJKGuO+/Os84uECZCnpYF80+XnPnKBE&#10;vtPwx/loOo1+T5tpcTrGxj3NbJ9m9F6tDHqHA3C7FEZ8kPdh7Yz6hLldxqpIMc1Ru5dz2KxCP1aY&#10;fC6WywSDxy0L13pjeSTv32y5D6Zu03NGoXp1Bv3g8qT7MJFxjJ7uE+rxX2j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EYpfzUAAAABgEAAA8AAAAAAAAAAQAgAAAAIgAAAGRycy9kb3ducmV2Lnht&#10;bFBLAQIUABQAAAAIAIdO4kBeLKHibwIAAM0EAAAOAAAAAAAAAAEAIAAAACMBAABkcnMvZTJvRG9j&#10;LnhtbFBLBQYAAAAABgAGAFkBAAAEBgAAAAA=&#10;">
                  <v:fill on="f" focussize="0,0"/>
                  <v:stroke weight="0.5pt" color="#000000 [3213]" joinstyle="round"/>
                  <v:imagedata o:title=""/>
                  <o:lock v:ext="edit" aspectratio="f"/>
                  <v:textbox>
                    <w:txbxContent>
                      <w:p w14:paraId="17AF2B27">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挑胸</w:t>
                        </w:r>
                      </w:p>
                    </w:txbxContent>
                  </v:textbox>
                </v:rect>
                <v:rect id="_x0000_s1026" o:spid="_x0000_s1026" o:spt="1" style="position:absolute;left:1760855;top:2151380;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CX7YAsbwIAAM0EAAAOAAAAZHJzL2Uyb0RvYy54bWytVEtu2zAQ&#10;3RfoHQjuG8nfOIblwLCRokDQGEiLrmmKtAjw1yFtOb1Mge56iB6n6DU6pJRP0y6yqBfykDN6w/f4&#10;RovLk9HkKCAoZys6OCspEZa7Wtl9RT9+uHozoyREZmumnRUVvROBXi5fv1q0fi6GrnG6FkAQxIZ5&#10;6yvaxOjnRRF4IwwLZ84Li0npwLCIS9gXNbAW0Y0uhmU5LVoHtQfHRQi4u+mStEeElwA6KRUXG8cP&#10;RtjYoYLQLCKl0Cgf6DKfVkrB442UQUSiK4pMY35iE4x36VksF2y+B+YbxfsjsJcc4Rknw5TFpg9Q&#10;GxYZOYD6C8ooDi44Gc+4M0VHJCuCLAblM21uG+ZF5oJSB/8gevh/sPz9cQtE1eiEckSJZQav/NfX&#10;7z9/fCNpB/VpfZhj2a3fQr8KGCayJwkm/SMNckKE82k5m0wouavocDAZjGa9vuIUCceCcTkblZjn&#10;qWA6Pr+YJPziEchDiG+FMyQFFQW8vqwqO16H2JXel6S+1l0prXGfzbUlbUWnowleLGdoS4l2wNB4&#10;pBbsnhKm9+h3HiEjBqdVnd5OLwfY79YayJEll+Rff7A/ylLrDQtNV5dTfZm2SCPp1CmTonjanXq5&#10;dq6+Q5HBde4Lnl8phLpmIW4ZoN3wzDiQ8QYfUjvk4fqIksbBl3/tp3p0AWYpadG+SPLzgYGgRL+z&#10;6I+LwXic/J4X48n5EBfwNLN7mrEHs3bIfYCj73kOU33U96EEZz7h3K5SV0wxy7F3J2e/WMdurHDy&#10;uVitchl63LN4bW89T+Ddna0O0UmVrzMJ1anT64cuz4boJzKN0dN1rnr8Ci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EYpfzUAAAABgEAAA8AAAAAAAAAAQAgAAAAIgAAAGRycy9kb3ducmV2Lnht&#10;bFBLAQIUABQAAAAIAIdO4kCX7YAsbwIAAM0EAAAOAAAAAAAAAAEAIAAAACMBAABkcnMvZTJvRG9j&#10;LnhtbFBLBQYAAAAABgAGAFkBAAAEBgAAAAA=&#10;">
                  <v:fill on="f" focussize="0,0"/>
                  <v:stroke weight="0.5pt" color="#000000 [3213]" joinstyle="round"/>
                  <v:imagedata o:title=""/>
                  <o:lock v:ext="edit" aspectratio="f"/>
                  <v:textbox>
                    <w:txbxContent>
                      <w:p w14:paraId="32C22E6E">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开膛</w:t>
                        </w:r>
                      </w:p>
                    </w:txbxContent>
                  </v:textbox>
                </v:rect>
                <v:rect id="_x0000_s1026" o:spid="_x0000_s1026" o:spt="1" style="position:absolute;left:2464435;top:2162810;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0ZHIZbgIAAM0EAAAOAAAAZHJzL2Uyb0RvYy54bWytVMtuEzEU&#10;3SPxD5b3dJJ0mrZRJ1WUKAipopUKYu14PBlLfmE7mZSfQWLHR/A5iN/g2DN9UFh0QRbOte/Jub7H&#10;5+bi8qAV2QsfpDUVHR+NKBGG21qabUU/fli/OaMkRGZqpqwRFb0TgV7OX7+66NxMTGxrVS08AYkJ&#10;s85VtI3RzYoi8FZoFo6sEwbJxnrNIrZ+W9SedWDXqpiMRtOis7523nIRAk5XfZIOjP4lhLZpJBcr&#10;y3damNizeqFYREuhlS7Qeb5t0wger5smiEhURdFpzCuKIN6ktZhfsNnWM9dKPlyBveQKz3rSTBoU&#10;faBascjIzsu/qLTk3gbbxCNuddE3khVBF+PRM21uW+ZE7gVSB/cgevh/tPz9/sYTWcMJoxNKDNN4&#10;8l9fv//88Y2kE+jTuTAD7Nbd+GEXEKZmD43X6RttkENFJ+W0LI/Bcod4PJ2cjQd9xSESDkA5OjtO&#10;VXgCTMvT88xfPBI5H+JbYTVJQUU9ni+ryvZXIaI4oPeQVNfYtVQqP6EypKvo9PgED8sZbNnADgi1&#10;Q2vBbClhagu/8+gzY7BK1unXiSf47WapPNmz5JL8SY2j2h+wVHrFQtvjcmqAKQN00qlXJkXxsDkM&#10;cm1sfQeRve3dFxxfS1BdsRBvmIfdcGcMZLzG0iiLPuwQUdJa/+Vf5wkPFyBLSQf7osnPO+YFJeqd&#10;gT/Ox2WZ/J435cnpBBv/NLN5mjE7vbTofYzRdzyHCR/Vfdh4qz9hbhepKlLMcNTu5Rw2y9iPFSaf&#10;i8Uiw+Bxx+KVuXU8kfdvtthF28j8nEmoXp1BP7g86z5MZBqjp/uMevwX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Ril/NQAAAAGAQAADwAAAAAAAAABACAAAAAiAAAAZHJzL2Rvd25yZXYueG1s&#10;UEsBAhQAFAAAAAgAh07iQPRkchluAgAAzQQAAA4AAAAAAAAAAQAgAAAAIwEAAGRycy9lMm9Eb2Mu&#10;eG1sUEsFBgAAAAAGAAYAWQEAAAMGAAAAAA==&#10;">
                  <v:fill on="f" focussize="0,0"/>
                  <v:stroke weight="0.5pt" color="#000000 [3213]" joinstyle="round"/>
                  <v:imagedata o:title=""/>
                  <o:lock v:ext="edit" aspectratio="f"/>
                  <v:textbox>
                    <w:txbxContent>
                      <w:p w14:paraId="728D2F33">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取内脏</w:t>
                        </w:r>
                      </w:p>
                    </w:txbxContent>
                  </v:textbox>
                </v:rect>
                <v:rect id="_x0000_s1026" o:spid="_x0000_s1026" o:spt="1" style="position:absolute;left:3162935;top:2173605;height:264795;width:66738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CZv6/WbwIAAM0EAAAOAAAAZHJzL2Uyb0RvYy54bWytVMtuEzEU&#10;3SPxD5b3dPJOG3VSRY2KkCoaqSDWjsfOjOQXtpNJ+RkkdnwEn4P4DY490weFRRdk4Vz7npzre3xu&#10;zi+OWpGD8KGxpqTDkwElwnBbNWZX0o8frt6cUhIiMxVT1oiS3olAL5avX523biFGtraqEp6AxIRF&#10;60pax+gWRRF4LTQLJ9YJg6S0XrOIrd8VlWct2LUqRoPBrGitr5y3XISA03WXpD2jfwmhlbLhYm35&#10;XgsTO1YvFItoKdSNC3SZbyul4PFGyiAiUSVFpzGvKIJ4m9Ziec4WO89c3fD+CuwlV3jWk2aNQdEH&#10;qjWLjOx98xeVbri3wcp4wq0uukayIuhiOHimzW3NnMi9QOrgHkQP/4+Wvz9sPGkqOGEwp8QwjSf/&#10;9fX7zx/fSDqBPq0LC8Bu3cb3u4AwNXuUXqdvtEGOJR0PZ6Oz8ZSSu5KOhvPxbDDt9BXHSDgAs9l8&#10;fIo8T4DZZH6W88UjkfMhvhVWkxSU1OP5sqrscB0iigN6D0l1jb1qlMpPqAxpUWA8xcNyBltK2AGh&#10;dmgtmB0lTO3gdx59ZgxWNVX6deIJfre9VJ4cWHJJ/qSLo9ofsFR6zULd4XKqhykDdNKpUyZF8bg9&#10;9nJtbXUHkb3t3Bccv2pAdc1C3DAPu+HOGMh4g0Uqiz5sH1FSW//lX+cJDxcgS0kL+6LJz3vmBSXq&#10;nYE/zoaTSfJ73kym8xE2/mlm+zRj9vrSovchRt/xHCZ8VPeh9FZ/wtyuUlWkmOGo3cnZby5jN1aY&#10;fC5WqwyDxx2L1+bW8UTevdlqH61s8nMmoTp1ev3g8qx7P5FpjJ7uM+rxX2j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EYpfzUAAAABgEAAA8AAAAAAAAAAQAgAAAAIgAAAGRycy9kb3ducmV2Lnht&#10;bFBLAQIUABQAAAAIAIdO4kCZv6/WbwIAAM0EAAAOAAAAAAAAAAEAIAAAACMBAABkcnMvZTJvRG9j&#10;LnhtbFBLBQYAAAAABgAGAFkBAAAEBgAAAAA=&#10;">
                  <v:fill on="f" focussize="0,0"/>
                  <v:stroke weight="0.5pt" color="#000000 [3213]" joinstyle="round"/>
                  <v:imagedata o:title=""/>
                  <o:lock v:ext="edit" aspectratio="f"/>
                  <v:textbox>
                    <w:txbxContent>
                      <w:p w14:paraId="49BC76D2">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冲洗胸腹腔</w:t>
                        </w:r>
                      </w:p>
                    </w:txbxContent>
                  </v:textbox>
                </v:rect>
                <v:rect id="_x0000_s1026" o:spid="_x0000_s1026" o:spt="1" style="position:absolute;left:4115435;top:2162810;height:264795;width:66738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ESatIcAIAAM0EAAAOAAAAZHJzL2Uyb0RvYy54bWytVEtu2zAQ&#10;3RfoHQjuG1mO7cRG5MCIkaKA0Rhwi65pirQI8Nchbdm9TIHueogep+g1OqSUT9MusqgX8pAzesP3&#10;+EZX10ejyUFAUM5WtDwbUCIsd7Wyu4p+/HD75pKSEJmtmXZWVPQkAr2ev3511fqZGLrG6VoAQRAb&#10;Zq2vaBOjnxVF4I0wLJw5LywmpQPDIi5hV9TAWkQ3uhgOBpOidVB7cFyEgLvLLkl7RHgJoJNScbF0&#10;fG+EjR0qCM0iUgqN8oHO82mlFDzeSRlEJLqiyDTmJzbBeJuexfyKzXbAfKN4fwT2kiM842SYstj0&#10;AWrJIiN7UH9BGcXBBSfjGXem6IhkRZBFOXimzaZhXmQuKHXwD6KH/wfL3x/WQFSNThhMKbHM4JX/&#10;+vr9549vJO2gPq0PMyzb+DX0q4BhInuUYNI/0iDHio7Kcjw6H1NyquiwnAwvy15fcYyEY8FkcnF+&#10;iXmeCiaji+k44RePQB5CfCucISmoKOD1ZVXZYRViV3pfkvpad6u0xn0205a02OB8jBfLGdpSoh0w&#10;NB6pBbujhOkd+p1HyIjBaVWnt9PLAXbbGw3kwJJL8q8/2B9lqfWShaary6m+TFukkXTqlElRPG6P&#10;vVxbV59QZHCd+4LntwqhVizENQO0G54ZBzLe4UNqhzxcH1HSOPjyr/1Ujy7ALCUt2hdJft4zEJTo&#10;dxb9MS1Ho+T3vBiNL4a4gKeZ7dOM3Zsbh9xLHH3Pc5jqo74PJTjzCed2kbpiilmOvTs5+8VN7MYK&#10;J5+LxSKXocc9iyu78TyBd3e22EcnVb7OJFSnTq8fujwbop/INEZP17nq8Ss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xEmrSHACAADNBAAADgAAAAAAAAABACAAAAAjAQAAZHJzL2Uyb0Rv&#10;Yy54bWxQSwUGAAAAAAYABgBZAQAABQYAAAAA&#10;">
                  <v:fill on="f" focussize="0,0"/>
                  <v:stroke weight="0.5pt" color="#000000 [3213]" joinstyle="round"/>
                  <v:imagedata o:title=""/>
                  <o:lock v:ext="edit" aspectratio="f"/>
                  <v:textbox>
                    <w:txbxContent>
                      <w:p w14:paraId="67E38E0E">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寄生虫检验</w:t>
                        </w:r>
                      </w:p>
                    </w:txbxContent>
                  </v:textbox>
                </v:rect>
                <v:rect id="_x0000_s1026" o:spid="_x0000_s1026" o:spt="1" style="position:absolute;left:2346960;top:3011170;height:264795;width:508000;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fdbzMbgIAAM0EAAAOAAAAZHJzL2Uyb0RvYy54bWytVMtuEzEU&#10;3SPxD5b3dCZpkrZRJ1XUqAipopEKYu14PBlLfmE7mZSfQWLHR/A5iN/g2DN9UFh0QRbOte/1sc/x&#10;uXN+cdCK7IUP0pqKjo5KSoThtpZmW9GPH67enFISIjM1U9aIit6JQC8Wr1+dd24uxra1qhaeAMSE&#10;eecq2sbo5kUReCs0C0fWCYNkY71mEVO/LWrPOqBrVYzLclZ01tfOWy5CwOqqT9IB0b8E0DaN5GJl&#10;+U4LE3tULxSLoBRa6QJd5Ns2jeDxpmmCiERVFExjHnEI4k0ai8U5m289c63kwxXYS67wjJNm0uDQ&#10;B6gVi4zsvPwLSkvubbBNPOJWFz2RrAhYjMpn2ty2zInMBVIH9yB6+H+w/P1+7Yms4YTRiBLDNJ78&#10;19fvP398I2kF+nQuzFF269Z+mAWEieyh8Tr9gwY5VHR8PJmdzaDsXUWPS+w+GfQVh0g4CqblaVki&#10;z1Ewnk1OzqYJv3gEcj7Et8JqkoKKejxfVpXtr0PsS+9L0rnGXkmlsM7mypCuorPjaYJnsGUDOyDU&#10;DtSC2VLC1BZ+59FnxGCVrNPutDn47eZSebJnySX5N1zsj7J09IqFtq/LqaFMGdBIOvXKpCgeNodB&#10;ro2t7yCyt737guNXElDXLMQ187Ab7oyGjDcYGmXBww4RJa31X/61nurhAmQp6WBfkPy8Y15Qot4Z&#10;+ONsNJkANubJZHoyxsQ/zWyeZsxOX1pwhwNwuxym+qjuw8Zb/Ql9u0ynIsUMx9m9nMPkMvZthc7n&#10;YrnMZfC4Y/Ha3DqewPs3W+6ibWR+ziRUr86gH1yeDTF0ZGqjp/Nc9fgVWv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Ril/NQAAAAGAQAADwAAAAAAAAABACAAAAAiAAAAZHJzL2Rvd25yZXYueG1s&#10;UEsBAhQAFAAAAAgAh07iQN91vMxuAgAAzQQAAA4AAAAAAAAAAQAgAAAAIwEAAGRycy9lMm9Eb2Mu&#10;eG1sUEsFBgAAAAAGAAYAWQEAAAMGAAAAAA==&#10;">
                  <v:fill on="f" focussize="0,0"/>
                  <v:stroke weight="0.5pt" color="#000000 [3213]" joinstyle="round"/>
                  <v:imagedata o:title=""/>
                  <o:lock v:ext="edit" aspectratio="f"/>
                  <v:textbox>
                    <w:txbxContent>
                      <w:p w14:paraId="6DA2184F">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检验</w:t>
                        </w:r>
                      </w:p>
                    </w:txbxContent>
                  </v:textbox>
                </v:rect>
                <v:rect id="_x0000_s1026" o:spid="_x0000_s1026" o:spt="1" style="position:absolute;left:3145155;top:3013710;height:264795;width:97218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0Op2KcAIAAM0EAAAOAAAAZHJzL2Uyb0RvYy54bWytVEtu2zAU&#10;3BfoHQjuG1mOHSdG5MCIkaJA0BhIi65pirII8FeStpxepkB3PUSPU/QaHVLKp2kXWdQL+ZHvaR5n&#10;OE/nFwetyF74IK2paHk0okQYbmtpthX9+OHqzSklITJTM2WNqOidCPRi8frVeefmYmxbq2rhCUBM&#10;mHeuom2Mbl4UgbdCs3BknTBINtZrFrH026L2rAO6VsV4NDopOutr5y0XIWB31SfpgOhfAmibRnKx&#10;snynhYk9qheKRVAKrXSBLvJpm0bweNM0QUSiKgqmMT/RBPEmPYvFOZtvPXOt5MMR2EuO8IyTZtKg&#10;6QPUikVGdl7+BaUl9zbYJh5xq4ueSFYELMrRM21uW+ZE5gKpg3sQPfw/WP5+v/ZE1nBCOaHEMI0r&#10;//X1+88f30jagT6dC3OU3bq1H1YBYSJ7aLxO/6BBDhU9LifTcjql5A7xqDyelYO+4hAJR8HZbFye&#10;Is9RMD6ZzM6mCb94BHI+xLfCapKCinpcX1aV7a9D7EvvS1JfY6+kUthnc2VIV9GT4ykuljPYsoEd&#10;EGoHasFsKWFqC7/z6DNisErW6e30cvDbzaXyZM+SS/JvONgfZan1ioW2r8upoUwZ0Eg69cqkKB42&#10;h0Guja3vILK3vfuC41cSUNcsxDXzsBvOjIGMN3g0yoKHHSJKWuu//Gs/1cMFyFLSwb4g+XnHvKBE&#10;vTPwx1k5mSS/58VkOhtj4Z9mNk8zZqcvLbiXGH3Hc5jqo7oPG2/1J8ztMnVFihmO3r2cw+Iy9mOF&#10;yediucxl8Lhj8drcOp7A+ztb7qJtZL7OJFSvzqAfXJ4NMUxkGqOn61z1+BV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dDqdinACAADNBAAADgAAAAAAAAABACAAAAAjAQAAZHJzL2Uyb0Rv&#10;Yy54bWxQSwUGAAAAAAYABgBZAQAABQYAAAAA&#10;">
                  <v:fill on="f" focussize="0,0"/>
                  <v:stroke weight="0.5pt" color="#000000 [3213]" joinstyle="round"/>
                  <v:imagedata o:title=""/>
                  <o:lock v:ext="edit" aspectratio="f"/>
                  <v:textbox>
                    <w:txbxContent>
                      <w:p w14:paraId="76AD15D8">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去内容物、清洗</w:t>
                        </w:r>
                      </w:p>
                    </w:txbxContent>
                  </v:textbox>
                </v:rect>
                <v:shape id="_x0000_s1026" o:spid="_x0000_s1026" o:spt="100" style="position:absolute;left:4119245;top:3085465;flip:y;height:76200;width:636270;" filled="f" stroked="t" coordsize="1155,90" o:gfxdata="UEsDBAoAAAAAAIdO4kAAAAAAAAAAAAAAAAAEAAAAZHJzL1BLAwQUAAAACACHTuJA9F1dtdYAAAAG&#10;AQAADwAAAGRycy9kb3ducmV2LnhtbE2PQUvDQBCF74L/YRnBm91NhVBiNgUVBS+CbRF622anSdrs&#10;bNzdJu2/d/SilwfDe7z3Tbk8u16MGGLnSUM2UyCQam87ajRs1i93CxAxGbKm94QaLhhhWV1flaaw&#10;fqIPHFepEVxCsTAa2pSGQspYt+hMnPkBib29D84kPkMjbTATl7tezpXKpTMd8UJrBnxqsT6uTk7D&#10;dn103SbbPn6lw+V9eB5f36bwqfXtTaYeQCQ8p78w/OAzOlTMtPMnslH0GviR9KvsLe5VDmLHoSxX&#10;c5BVKf/jV99QSwMEFAAAAAgAh07iQIrzDV5xAgAAGgUAAA4AAABkcnMvZTJvRG9jLnhtbK1Uy27U&#10;MBTdI/EPlvc0k3m1jSbTBUPZIKjUwv7WcRJLfsn2vPbs2bNE/ASqytdQxGdw7UxmpmXTBVkk174n&#10;x/cc+3p2sVGSrLjzwuiS5icDSrhmphK6KenHm8tXZ5T4ALoCaTQv6ZZ7ejF/+WK2tgUfmtbIijuC&#10;JNoXa1vSNgRbZJlnLVfgT4zlGpO1cQoCDl2TVQ7WyK5kNhwMptnauMo6w7j3OLvoknTH6J5DaOpa&#10;ML4wbKm4Dh2r4xICSvKtsJ7OU7V1zVn4UNeeByJLikpDeuMiGN/GdzafQdE4sK1guxLgOSU80aRA&#10;aFx0T7WAAGTpxD9USjBnvKnDCTMq64QkR1BFPnjizXULlictaLW3e9P9/6Nl71dXjogKT0I+oUSD&#10;wi3/dXf3+/OXh+9f//z88XD/jcQUGrW2vkD8tb1yu5HHMKre1E6RWgr7CXmSD6iMbEo6zvPz4RiJ&#10;tyUdDc4m42ligoJvAmEImI6mw1PcDIaA0ymej7hQ1jFGZrb04S03KsaweudDt2FVH0HbR2yj+9BC&#10;iNPxnxiSdVKHVbQlPR+k+pRZ8RuTECEWiiVgBf3qh6zUx6hRjs1xhOuz/dcmrvFklFC4VCemT/ff&#10;DjZ9Fhl639mXPyJDi6K05NVeLk4e+6XNpZAyGSZ1NOF8MkQuBti1NXYLhsriznvdJE+8kaKKv0Rb&#10;vGtuX0tHVhA7Jz27Ah7BrPNhAb7tcCkVYVC0HKo3uiJha/FEabxKaCxB8YoSyfHmiVFCBhDygPSB&#10;gwxtAnu1w8pmLx4Vx3PYnbwY3Zpqi0d4aZ1oWuzvzqeYwZZJ/uzaO/bk8TgxHa60+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0XV211gAAAAYBAAAPAAAAAAAAAAEAIAAAACIAAABkcnMvZG93bnJl&#10;di54bWxQSwECFAAUAAAACACHTuJAivMNXnECAAAaBQAADgAAAAAAAAABACAAAAAlAQAAZHJzL2Uy&#10;b0RvYy54bWxQSwUGAAAAAAYABgBZAQAACAYAAAAA&#10;" path="m0,0l318,0,453,90,618,0,1155,1e">
                  <v:fill on="f" focussize="0,0"/>
                  <v:stroke color="#000000" joinstyle="round" endarrow="classic" endarrowwidth="narrow" endarrowlength="long"/>
                  <v:imagedata o:title=""/>
                  <o:lock v:ext="edit" aspectratio="f"/>
                </v:shape>
                <v:rect id="_x0000_s1026" o:spid="_x0000_s1026" o:spt="1" style="position:absolute;left:4750435;top:3068955;height:740410;width:28257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CtlCXFcgIAAM0EAAAOAAAAZHJzL2Uyb0RvYy54bWytVEtu2zAU&#10;3BfoHQjuG8mOZCdG5MCIkaJA0ARIi65pirIE8FeStpxepkB3PUSPU/QaHVLKp2kXWdQL+pFvPI9v&#10;OM9n5wclyV443xld0clRTonQ3NSd3lb044fLNyeU+MB0zaTRoqJ3wtPz5etXZ71diKlpjayFIyDR&#10;ftHbirYh2EWWed4KxfyRsUIj2RinWMDWbbPasR7sSmbTPJ9lvXG1dYYL73G6HpJ0ZHQvITRN03Gx&#10;NnynhA4DqxOSBbTk2856uky3bRrBw3XTeBGIrCg6DWlFEcSbuGbLM7bYOmbbjo9XYC+5wrOeFOs0&#10;ij5QrVlgZOe6v6hUx53xpglH3KhsaCQpgi4m+TNtbltmReoFUnv7ILr/f7T8/f7Gka6GEyYzSjRT&#10;ePJfX7///PGNxBPo01u/AOzW3rhx5xHGZg+NU/EbbZBDRYt5mRfHJSV3FT3OZyenZTnoKw6BcACm&#10;J9NyjjwHYF7kxSTpnz0SWefDW2EUiUFFHZ4vqcr2Vz6gOKD3kFhXm8tOyvSEUpO+orPjEg/LGWzZ&#10;wA4IlUVrXm8pYXILv/PgEqM3sqvjryOPd9vNhXRkz6JL0ideHNX+gMXSa+bbAZdSI0xqoKNOgzIx&#10;CofNYZRrY+o7iOzM4D5v+WUHqivmww1zsBvujIEM11gaadCHGSNKWuO+/Os84uECZCnpYV80+XnH&#10;nKBEvtPwx+mkKKLf06Yo51Ns3NPM5mlG79SFQe8TjL7lKYz4IO/Dxhn1CXO7ilWRYpqj9iDnuLkI&#10;w1hh8rlYrRIMHrcsXOlbyyP58GarXTBNl54zCjWoM+oHlyfdx4mMY/R0n1CP/0L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EYpfzUAAAABgEAAA8AAAAAAAAAAQAgAAAAIgAAAGRycy9kb3ducmV2&#10;LnhtbFBLAQIUABQAAAAIAIdO4kCtlCXFcgIAAM0EAAAOAAAAAAAAAAEAIAAAACMBAABkcnMvZTJv&#10;RG9jLnhtbFBLBQYAAAAABgAGAFkBAAAHBgAAAAA=&#10;">
                  <v:fill on="f" focussize="0,0"/>
                  <v:stroke weight="0.5pt" color="#000000 [3213]" joinstyle="round"/>
                  <v:imagedata o:title=""/>
                  <o:lock v:ext="edit" aspectratio="f"/>
                  <v:textbox>
                    <w:txbxContent>
                      <w:p w14:paraId="38504821">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副</w:t>
                        </w:r>
                      </w:p>
                      <w:p w14:paraId="5A12117D">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w:t>
                        </w:r>
                      </w:p>
                      <w:p w14:paraId="31596664">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品</w:t>
                        </w:r>
                      </w:p>
                    </w:txbxContent>
                  </v:textbox>
                </v:rect>
                <v:rect id="_x0000_s1026" o:spid="_x0000_s1026" o:spt="1" style="position:absolute;left:4646295;top:4439285;height:264795;width:508000;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As60H/cAIAAM0EAAAOAAAAZHJzL2Uyb0RvYy54bWytVEtu2zAU&#10;3BfoHQjuG8mO7CSG5cCwkaJA0ARwi65pirIE8FeStpxepkB3PUSPU/QaHVLKp2kXWdQL+ZFvNI9v&#10;OE/zy6OS5CCcb40u6egkp0RobqpW70r68cPVm3NKfGC6YtJoUdI74enl4vWreWdnYmwaIyvhCEi0&#10;n3W2pE0IdpZlnjdCMX9irNBI1sYpFrB0u6xyrAO7ktk4z6dZZ1xlneHCe+yu+yQdGN1LCE1dt1ys&#10;Dd8roUPP6oRkAS35prWeLtJp61rwcFPXXgQiS4pOQ3qiCOJtfGaLOZvtHLNNy4cjsJcc4VlPirUa&#10;RR+o1iwwsnftX1Sq5c54U4cTblTWN5IUQRej/Jk2m4ZZkXqB1N4+iO7/Hy1/f7h1pK3ghBEuXjOF&#10;K//19fvPH99I3IE+nfUzwDb21g0rjzA2e6ydiv9ogxxLWkyL6fhiQskd4uL0Ynw+6fUVx0A4AJP8&#10;PM+hPAdgPC3OgAVj9khknQ9vhVEkBiV1uL6kKjtc+9BD7yGxrjZXrZTYZzOpSVfS6ekk0jPYsoYd&#10;ECqL1rzeUcLkDn7nwSVGb2Rbxbfjy97ttivpyIFFl6TfcLA/YLH0mvmmx6XUAJMabUSdemViFI7b&#10;4yDX1lR3ENmZ3n3e8qsWVNfMh1vmYDecGQMZbvCopUEfZogoaYz78q/9iIcLkKWkg33R5Oc9c4IS&#10;+U7DHxejogBtSIticjbGwj3NbJ9m9F6tDHofYfQtT2HEB3kf1s6oT5jbZayKFNMctXs5h8Uq9GOF&#10;yediuUwweNyycK03lkfy/s6W+2DqNl1nFKpXZ9APLk+GGCYyjtHTdUI9foU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LOtB/3ACAADNBAAADgAAAAAAAAABACAAAAAjAQAAZHJzL2Uyb0Rv&#10;Yy54bWxQSwUGAAAAAAYABgBZAQAABQYAAAAA&#10;">
                  <v:fill on="f" focussize="0,0"/>
                  <v:stroke weight="0.5pt" color="#000000 [3213]" joinstyle="round"/>
                  <v:imagedata o:title=""/>
                  <o:lock v:ext="edit" aspectratio="f"/>
                  <v:textbox>
                    <w:txbxContent>
                      <w:p w14:paraId="23ED1329">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w:t>
                        </w:r>
                      </w:p>
                    </w:txbxContent>
                  </v:textbox>
                </v:rect>
                <v:rect id="_x0000_s1026" o:spid="_x0000_s1026" o:spt="1" style="position:absolute;left:3723005;top:3801110;height:264795;width:90106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CHGk8hbgIAAM0EAAAOAAAAZHJzL2Uyb0RvYy54bWytVEtu2zAU&#10;3BfoHQjuG0n+JTEiB4aNFAWCxkBadE1TlCWAv5K05fQyBbrrIXqcotfokFI+TbvIol7Ij3xP8zjD&#10;ebq4PCpJDsL51uiSFic5JUJzU7V6V9KPH67enFHiA9MVk0aLkt4JTy8Xr19ddHYuRqYxshKOAET7&#10;eWdL2oRg51nmeSMU8yfGCo1kbZxiAUu3yyrHOqArmY3yfJZ1xlXWGS68x+66T9IB0b0E0NR1y8Xa&#10;8L0SOvSoTkgWQMk3rfV0kU5b14KHm7r2IhBZUjAN6YkmiLfxmS0u2HznmG1aPhyBveQIzzgp1mo0&#10;fYBas8DI3rV/QamWO+NNHU64UVlPJCkCFkX+TJvbhlmRuEBqbx9E9/8Plr8/bBxpKzhhBE00U7jy&#10;X1+///zxjcQd6NNZP0fZrd24YeURRrLH2qn4DxrkWNLx6Wic51NK7hCf5UVRDPqKYyAcBeegOEOe&#10;o2A0m5yeTyN+9ghknQ9vhVEkBiV1uL6kKjtc+9CX3pfEvtpctVJin82lJl1JZ+MpSHAGW9awA0Jl&#10;Qc3rHSVM7uB3HlxC9Ea2VXw7vuzdbruSjhxYdEn6DQf7oyy2XjPf9HUpNZRJDRpRp16ZGIXj9jjI&#10;tTXVHUR2pneft/yqBdQ182HDHOyGM2Mgww0etTTgYYaIksa4L//aj/VwAbKUdLAvSH7eMycoke80&#10;/HFeTCaADWkxmZ7Gy3VPM9unGb1XKwPuBUbf8hTG+iDvw9oZ9Qlzu4xdkWKao3cv57BYhX6sMPlc&#10;LJepDB63LFzrW8sjeH9ny30wdZuuMwrVqzPoB5cnQwwTGcfo6TpVPX6F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Ril/NQAAAAGAQAADwAAAAAAAAABACAAAAAiAAAAZHJzL2Rvd25yZXYueG1s&#10;UEsBAhQAFAAAAAgAh07iQIcaTyFuAgAAzQQAAA4AAAAAAAAAAQAgAAAAIwEAAGRycy9lMm9Eb2Mu&#10;eG1sUEsFBgAAAAAGAAYAWQEAAAMGAAAAAA==&#10;">
                  <v:fill on="f" focussize="0,0"/>
                  <v:stroke weight="0.5pt" color="#000000 [3213]" joinstyle="round"/>
                  <v:imagedata o:title=""/>
                  <o:lock v:ext="edit" aspectratio="f"/>
                  <v:textbox>
                    <w:txbxContent>
                      <w:p w14:paraId="6EB2717B">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去头、尾、蹄</w:t>
                        </w:r>
                      </w:p>
                    </w:txbxContent>
                  </v:textbox>
                </v:rect>
                <v:rect id="_x0000_s1026" o:spid="_x0000_s1026" o:spt="1" style="position:absolute;left:3680460;top:4419600;height:264795;width:508000;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5Y2z4cAIAAM0EAAAOAAAAZHJzL2Uyb0RvYy54bWytVEtu2zAQ&#10;3RfoHQjuG8mO7CSG5cCwkaJA0ARwi65pirQI8NchbTm9TIHueogep+g1OqSUT9MusqgX8pAzesP3&#10;+Ebzy6PR5CAgKGdrOjopKRGWu0bZXU0/frh6c05JiMw2TDsranonAr1cvH417/xMjF3rdCOAIIgN&#10;s87XtI3Rz4oi8FYYFk6cFxaT0oFhEZewKxpgHaIbXYzLclp0DhoPjosQcHfdJ+mACC8BdFIqLtaO&#10;742wsUcFoVlESqFVPtBFPq2UgscbKYOIRNcUmcb8xCYYb9OzWMzZbAfMt4oPR2AvOcIzToYpi00f&#10;oNYsMrIH9ReUURxccDKecGeKnkhWBFmMymfabFrmReaCUgf/IHr4f7D8/eEWiGrQCeMxJZYZvPJf&#10;X7///PGNpB3Up/NhhmUbfwvDKmCYyB4lmPSPNMixpqfT87KaorJ3Na2q0cW0HPQVx0g4FkzK8xL3&#10;CMeC8bQ6u5gk/OIRyEOIb4UzJAU1Bby+rCo7XIfYl96XpL7WXSmtcZ/NtCVdTaenkwTP0JYS7YCh&#10;8Ugt2B0lTO/Q7zxCRgxOqya9nV4OsNuuNJADSy7Jv+Fgf5Sl1msW2r4up4YybZFG0qlXJkXxuD0O&#10;cm1dc4cig+vdFzy/Ugh1zUK8ZYB2wzPjQMYbfEjtkIcbIkpaB1/+tZ/q0QWYpaRD+yLJz3sGghL9&#10;zqI/LkZVhbAxL6rJ2RgX8DSzfZqxe7NyyH2Eo+95DlN91PehBGc+4dwuU1dMMcuxdy/nsFjFfqxw&#10;8rlYLnMZetyzeG03nifw/s6W++ikyteZhOrVGfRDl2dDDBOZxujpOlc9foU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WNs+HACAADNBAAADgAAAAAAAAABACAAAAAjAQAAZHJzL2Uyb0Rv&#10;Yy54bWxQSwUGAAAAAAYABgBZAQAABQYAAAAA&#10;">
                  <v:fill on="f" focussize="0,0"/>
                  <v:stroke weight="0.5pt" color="#000000 [3213]" joinstyle="round"/>
                  <v:imagedata o:title=""/>
                  <o:lock v:ext="edit" aspectratio="f"/>
                  <v:textbox>
                    <w:txbxContent>
                      <w:p w14:paraId="7878CB6A">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去毛</w:t>
                        </w:r>
                      </w:p>
                    </w:txbxContent>
                  </v:textbox>
                </v:rect>
                <v:rect id="_x0000_s1026" o:spid="_x0000_s1026" o:spt="1" style="position:absolute;left:2999105;top:3818255;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xoBTacQIAAM0EAAAOAAAAZHJzL2Uyb0RvYy54bWytVEtu2zAU&#10;3BfoHQjuG9mKndhG5MCIkaJA0ARIi65pirII8FeStpxepkB3PUSPU/QaHVLKp2kXWdQL+lFvNI8z&#10;fE9n5wetyF74IK2p6PhoRIkw3NbSbCv68cPlmxklITJTM2WNqOidCPR8+frVWecWorStVbXwBCQm&#10;LDpX0TZGtyiKwFuhWTiyThgkG+s1i9j6bVF71oFdq6IcjU6KzvraectFCHi67pN0YPQvIbRNI7lY&#10;W77TwsSe1QvFIiSFVrpAl/m0TSN4vG6aICJRFYXSmFcUQbxJa7E8Y4utZ66VfDgCe8kRnmnSTBoU&#10;faBas8jIzsu/qLTk3gbbxCNuddELyY5AxXj0zJvbljmRtcDq4B5MD/+Plr/f33gia3RCOaXEMI0r&#10;//X1+88f30h6An86FxaA3bobP+wCwiT20Hid/iGDHCpazufz8QgsdxU9no1n5TS/zxbiEAkHYDKa&#10;Hac8B6A8mZzOc754JHI+xLfCapKCinpcX3aV7a9CRHFA7yGprrGXUql8hcqQrqInx1NcLGdoywbt&#10;gFA7SAtmSwlTW/Q7jz4zBqtknd5OPMFvNxfKkz1LXZJ/STiq/QFLpdcstD0upwaYMkAnn3pnUhQP&#10;m8Ng18bWdzDZ2777guOXElRXLMQb5tFuODMGMl5jaZSFDjtElLTWf/nX84RHFyBLSYf2hcjPO+YF&#10;JeqdQX/Mx5NJ6ve8mUxPS2z808zmacbs9IWF9jFG3/EcJnxU92Hjrf6EuV2lqkgxw1G7t3PYXMR+&#10;rDD5XKxWGYYedyxemVvHE3l/Z6tdtI3M15mM6t0Z/EOXZ9+HiUxj9HSfUY9fo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Ril/NQAAAAGAQAADwAAAAAAAAABACAAAAAiAAAAZHJzL2Rvd25yZXYu&#10;eG1sUEsBAhQAFAAAAAgAh07iQPGgFNpxAgAAzQQAAA4AAAAAAAAAAQAgAAAAIwEAAGRycy9lMm9E&#10;b2MueG1sUEsFBgAAAAAGAAYAWQEAAAYGAAAAAA==&#10;">
                  <v:fill on="f" focussize="0,0"/>
                  <v:stroke weight="0.5pt" color="#000000 [3213]" joinstyle="round"/>
                  <v:imagedata o:title=""/>
                  <o:lock v:ext="edit" aspectratio="f"/>
                  <v:textbox>
                    <w:txbxContent>
                      <w:p w14:paraId="2EFB07D9">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劈半</w:t>
                        </w:r>
                      </w:p>
                    </w:txbxContent>
                  </v:textbox>
                </v:rect>
                <v:rect id="_x0000_s1026" o:spid="_x0000_s1026" o:spt="1" style="position:absolute;left:2284730;top:3825240;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v2AM5cQIAAM0EAAAOAAAAZHJzL2Uyb0RvYy54bWytVEtu2zAQ&#10;3RfoHQjuG9myHTuG5cCwkaJA0BhIi65pirQI8NchbTm9TIHueogep+g1OqSUT9MusqgX8pAzesP3&#10;+EaLy5PR5CggKGcrOjwbUCIsd7Wy+4p+/HD1ZkZJiMzWTDsrKnonAr1cvn61aP1clK5xuhZAEMSG&#10;eesr2sTo50UReCMMC2fOC4tJ6cCwiEvYFzWwFtGNLsrB4LxoHdQeHBch4O6mS9IeEV4C6KRUXGwc&#10;PxhhY4cKQrOIlEKjfKDLfFopBY83UgYRia4oMo35iU0w3qVnsVyw+R6YbxTvj8BecoRnnAxTFps+&#10;QG1YZOQA6i8oozi44GQ8484UHZGsCLIYDp5pc9swLzIXlDr4B9HD/4Pl749bIKpGJ5RTSiwzeOW/&#10;vn7/+eMbSTuoT+vDHMtu/Rb6VcAwkT1JMOkfaZBTRctyNp6OUNm7io5m5aQc9/qKUyQcC8aD2Wgw&#10;oYRjQXk+nl5MEn7xCOQhxLfCGZKCigJeX1aVHa9D7ErvS1Jf666U1rjP5tqStqLnowm25wxtKdEO&#10;GBqP1ILdU8L0Hv3OI2TE4LSq09vp5QD73VoDObLkkvzrD/ZHWWq9YaHp6nKqL9MWaSSdOmVSFE+7&#10;Uy/XztV3KDK4zn3B8yuFUNcsxC0DtBueGQcy3uBDaoc8XB9R0jj48q/9VI8uwCwlLdoXSX4+MBCU&#10;6HcW/XExHKP6JObFeDItcQFPM7unGXswa4fchzj6nucw1Ud9H0pw5hPO7Sp1xRSzHHt3cvaLdezG&#10;Ciefi9Uql6HHPYvX9tbzBN7d2eoQnVT5OpNQnTq9fujybIh+ItMYPV3nqsev0P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Ril/NQAAAAGAQAADwAAAAAAAAABACAAAAAiAAAAZHJzL2Rvd25yZXYu&#10;eG1sUEsBAhQAFAAAAAgAh07iQO/YAzlxAgAAzQQAAA4AAAAAAAAAAQAgAAAAIwEAAGRycy9lMm9E&#10;b2MueG1sUEsFBgAAAAAGAAYAWQEAAAYGAAAAAA==&#10;">
                  <v:fill on="f" focussize="0,0"/>
                  <v:stroke weight="0.5pt" color="#000000 [3213]" joinstyle="round"/>
                  <v:imagedata o:title=""/>
                  <o:lock v:ext="edit" aspectratio="f"/>
                  <v:textbox>
                    <w:txbxContent>
                      <w:p w14:paraId="72F19C20">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修整</w:t>
                        </w:r>
                      </w:p>
                    </w:txbxContent>
                  </v:textbox>
                </v:rect>
                <v:rect id="_x0000_s1026" o:spid="_x0000_s1026" o:spt="1" style="position:absolute;left:1578610;top:3832860;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ATbszHbgIAAM0EAAAOAAAAZHJzL2Uyb0RvYy54bWytVMtuEzEU&#10;3SPxD5b3dPJuGnVSRY2KkCoaqSDWjsfOjOQXtpNJ+RkkdnwEn4P4DY490weFRRdkMbn2vXOuz/G5&#10;c35x1IochA+NNSUdngwoEYbbqjG7kn78cPVmTkmIzFRMWSNKeicCvVi+fnXeuoUY2dqqSngCEBMW&#10;rStpHaNbFEXgtdAsnFgnDJLSes0iln5XVJ61QNeqGA0Gs6K1vnLechECdtddkvaI/iWAVsqGi7Xl&#10;ey1M7FC9UCyCUqgbF+gyn1ZKweONlEFEokoKpjE/0QTxNj2L5Tlb7DxzdcP7I7CXHOEZJ80ag6YP&#10;UGsWGdn75i8o3XBvg5XxhFtddESyImAxHDzT5rZmTmQukDq4B9HD/4Pl7w8bT5oKThhDE8M0rvzX&#10;1+8/f3wjaQf6tC4sUHbrNr5fBYSJ7FF6nf5BgxyBMD2dz4ZAuSvpeD4ezWe9vuIYCUfBZDAfD6aU&#10;cBSMZpPTs2nCLx6BnA/xrbCapKCkHteXVWWH6xC70vuS1NfYq0Yp7LOFMqQt6Ww8RXvOYEsJOyDU&#10;DtSC2VHC1A5+59FnxGBVU6W308vB77aXypMDSy7Jv/5gf5Sl1msW6q4up/oyZUAj6dQpk6J43B57&#10;uba2uoPI3nbuC45fNYC6ZiFumIfdcGYMZLzBQyoLHraPKKmt//Kv/VQPFyBLSQv7guTnPfOCEvXO&#10;wB9nw8kEsDEvJtPTERb+aWb7NGP2+tKC+xCj73gOU31U96H0Vn/C3K5SV6SY4ejdydkvLmM3Vph8&#10;LlarXAaPOxavza3jCby7s9U+Wtnk60xCder0+sHl2RD9RKYxerrOVY9fo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Ril/NQAAAAGAQAADwAAAAAAAAABACAAAAAiAAAAZHJzL2Rvd25yZXYueG1s&#10;UEsBAhQAFAAAAAgAh07iQBNuzMduAgAAzQQAAA4AAAAAAAAAAQAgAAAAIwEAAGRycy9lMm9Eb2Mu&#10;eG1sUEsFBgAAAAAGAAYAWQEAAAMGAAAAAA==&#10;">
                  <v:fill on="f" focussize="0,0"/>
                  <v:stroke weight="0.5pt" color="#000000 [3213]" joinstyle="round"/>
                  <v:imagedata o:title=""/>
                  <o:lock v:ext="edit" aspectratio="f"/>
                  <v:textbox>
                    <w:txbxContent>
                      <w:p w14:paraId="2155FF1C">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w:t>
                        </w:r>
                      </w:p>
                    </w:txbxContent>
                  </v:textbox>
                </v:rect>
                <v:rect id="_x0000_s1026" o:spid="_x0000_s1026" o:spt="1" style="position:absolute;left:483870;top:3835400;height:264795;width:77533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AUXjWRcAIAAMwEAAAOAAAAZHJzL2Uyb0RvYy54bWytVEtu2zAQ&#10;3RfoHQjuG9mWHTuG5cCwkaJA0BhIi65pirQI8NchbTm9TIHueogep+g1OqSUT9MusqgX8pAzesP3&#10;+EaLy5PR5CggKGcrOjwbUCIsd7Wy+4p+/HD1ZkZJiMzWTDsrKnonAr1cvn61aP1cjFzjdC2AIIgN&#10;89ZXtInRz4si8EYYFs6cFxaT0oFhEZewL2pgLaIbXYwGg/OidVB7cFyEgLubLkl7RHgJoJNScbFx&#10;/GCEjR0qCM0iUgqN8oEu82mlFDzeSBlEJLqiyDTmJzbBeJeexXLB5ntgvlG8PwJ7yRGecTJMWWz6&#10;ALVhkZEDqL+gjOLggpPxjDtTdESyIshiOHimzW3DvMhcUOrgH0QP/w+Wvz9ugaganVCWlFhm8Mp/&#10;ff3+88c3knZQn9aHOZbd+i30q4BhInuSYNI/0iCnio5n5WyKwt5VtJyVk/Ggl1ecIuGYn04nZTmh&#10;hGPB6Hw8vZgk+OIRx0OIb4UzJAUVBby9LCo7XofYld6XpLbWXSmtcZ/NtSVtRc/LCbbnDF0p0Q0Y&#10;Go/Mgt1TwvQe7c4jZMTgtKrT2+nlAPvdWgM5smSS/OsP9kdZar1hoenqcqov0xZpJJk6YVIUT7tT&#10;r9bO1XeoMbjOfMHzK4VQ1yzELQN0G54Z5zHe4ENqhzxcH1HSOPjyr/1UjybALCUtuhdJfj4wEJTo&#10;dxbtcTEcjxE25sV4Mh3hAp5mdk8z9mDWDrkPcfI9z2Gqj/o+lODMJxzbVeqKKWY59u7k7Bfr2E0V&#10;Dj4Xq1UuQ4t7Fq/trecJvLuz1SE6qfJ1JqE6dXr90OTZEP1Apil6us5Vjx+h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FF41kXACAADMBAAADgAAAAAAAAABACAAAAAjAQAAZHJzL2Uyb0Rv&#10;Yy54bWxQSwUGAAAAAAYABgBZAQAABQYAAAAA&#10;">
                  <v:fill on="f" focussize="0,0"/>
                  <v:stroke weight="0.5pt" color="#000000 [3213]" joinstyle="round"/>
                  <v:imagedata o:title=""/>
                  <o:lock v:ext="edit" aspectratio="f"/>
                  <v:textbox>
                    <w:txbxContent>
                      <w:p w14:paraId="673F4155">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检验、分级</w:t>
                        </w:r>
                      </w:p>
                    </w:txbxContent>
                  </v:textbox>
                </v:rect>
                <v:rect id="_x0000_s1026" o:spid="_x0000_s1026" o:spt="1" style="position:absolute;left:593090;top:4772660;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aXcFHbgIAAMwEAAAOAAAAZHJzL2Uyb0RvYy54bWytVEtu2zAQ&#10;3RfoHQjuG8n/2LAcGDFSFAgaA2nRNU2RFgH+OqQtp5cp0F0P0eMUvUaHlPJp2kUW9UIeckZv+B7f&#10;aHlxMpocBQTlbEUHZyUlwnJXK7uv6McPV2/OKQmR2ZppZ0VF70SgF6vXr5atX4iha5yuBRAEsWHR&#10;+oo2MfpFUQTeCMPCmfPCYlI6MCziEvZFDaxFdKOLYVlOi9ZB7cFxEQLubrok7RHhJYBOSsXFxvGD&#10;ETZ2qCA0i0gpNMoHusqnlVLweCNlEJHoiiLTmJ/YBONdeharJVvsgflG8f4I7CVHeMbJMGWx6QPU&#10;hkVGDqD+gjKKgwtOxjPuTNERyYogi0H5TJvbhnmRuaDUwT+IHv4fLH9/3AJRNTphjJpYZvDKf339&#10;/vPHN5J2UJ/WhwWW3fot9KuAYSJ7kmDSP9Igp4pO5qNyjiB3FR3PZsPptJdXnCLhmB+X56NyQgnH&#10;guF0PJtPEnzxiOMhxLfCGZKCigLeXhaVHa9D7ErvS1Jb666U1rjPFtqStqLT0QTbc4aulOgGDI1H&#10;ZsHuKWF6j3bnETJicFrV6e30coD97lIDObJkkvzrD/ZHWWq9YaHp6nKqL9MWaSSZOmFSFE+7U6/W&#10;ztV3qDG4znzB8yuFUNcsxC0DdBueGecx3uBDaoc8XB9R0jj48q/9VI8mwCwlLboXSX4+MBCU6HcW&#10;7TEfjNN1xrwYT2ZDXMDTzO5pxh7MpUPuA5x8z3OY6qO+DyU48wnHdp26YopZjr07OfvFZeymCgef&#10;i/U6l6HFPYvX9tbzBN7d2foQnVT5OpNQnTq9fmjybIh+INMUPV3nqseP0O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Ril/NQAAAAGAQAADwAAAAAAAAABACAAAAAiAAAAZHJzL2Rvd25yZXYueG1s&#10;UEsBAhQAFAAAAAgAh07iQFpdwUduAgAAzAQAAA4AAAAAAAAAAQAgAAAAIwEAAGRycy9lMm9Eb2Mu&#10;eG1sUEsFBgAAAAAGAAYAWQEAAAMGAAAAAA==&#10;">
                  <v:fill on="f" focussize="0,0"/>
                  <v:stroke weight="0.5pt" color="#000000 [3213]" joinstyle="round"/>
                  <v:imagedata o:title=""/>
                  <o:lock v:ext="edit" aspectratio="f"/>
                  <v:textbox>
                    <w:txbxContent>
                      <w:p w14:paraId="1CE14ADD">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称重</w:t>
                        </w:r>
                      </w:p>
                    </w:txbxContent>
                  </v:textbox>
                </v:rect>
                <v:rect id="_x0000_s1026" o:spid="_x0000_s1026" o:spt="1" style="position:absolute;left:1308100;top:4773930;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mB9l2cAIAAM0EAAAOAAAAZHJzL2Uyb0RvYy54bWytVEtu2zAU&#10;3BfoHQjuG8m2HCeG5cCwkaJA0ARIi65pirIE8FeStpxepkB3PUSPU/QaHVLKp2kXWdQL+ZHvaR5n&#10;OE+Li6OS5CCcb40u6egkp0RobqpW70r68cPlmzNKfGC6YtJoUdI74enF8vWrRWfnYmwaIyvhCEC0&#10;n3e2pE0Idp5lnjdCMX9irNBI1sYpFrB0u6xyrAO6ktk4z0+zzrjKOsOF99jd9Ek6ILqXAJq6brnY&#10;GL5XQoce1QnJAij5prWeLtNp61rwcF3XXgQiSwqmIT3RBPE2PrPlgs13jtmm5cMR2EuO8IyTYq1G&#10;0weoDQuM7F37F5RquTPe1OGEG5X1RJIiYDHKn2lz2zArEhdI7e2D6P7/wfL3hxtH2gpOKCaUaKZw&#10;5b++fv/54xuJO9Cns36Oslt744aVRxjJHmun4j9okCMQJvnZKIeydyUtZrPJ+WTQVxwD4Sgo8rNJ&#10;PqWEo2B8WszOpxE/ewSyzoe3wigSg5I6XF9SlR2ufOhL70tiX20uWymxz+ZSk66kp5Mp2nMGW9aw&#10;A0JlQc3rHSVM7uB3HlxC9Ea2VXw7vuzdbruWjhxYdEn6DQf7oyy23jDf9HUpNZRJDRpRp16ZGIXj&#10;9jjItTXVHUR2pneft/yyBdQV8+GGOdgNZ8ZAhms8amnAwwwRJY1xX/61H+vhAmQp6WBfkPy8Z05Q&#10;It9p+ON8VBSADWlRTGdjLNzTzPZpRu/V2oD7CKNveQpjfZD3Ye2M+oS5XcWuSDHN0buXc1isQz9W&#10;mHwuVqtUBo9bFq70reURvL+z1T6Yuk3XGYXq1Rn0g8uTIYaJjGP0dJ2qHr9C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ZgfZdnACAADNBAAADgAAAAAAAAABACAAAAAjAQAAZHJzL2Uyb0Rv&#10;Yy54bWxQSwUGAAAAAAYABgBZAQAABQYAAAAA&#10;">
                  <v:fill on="f" focussize="0,0"/>
                  <v:stroke weight="0.5pt" color="#000000 [3213]" joinstyle="round"/>
                  <v:imagedata o:title=""/>
                  <o:lock v:ext="edit" aspectratio="f"/>
                  <v:textbox>
                    <w:txbxContent>
                      <w:p w14:paraId="7B5A0C56">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排酸</w:t>
                        </w:r>
                      </w:p>
                    </w:txbxContent>
                  </v:textbox>
                </v:rect>
                <v:rect id="_x0000_s1026" o:spid="_x0000_s1026" o:spt="1" style="position:absolute;left:2008505;top:4793615;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acqCrbgIAAM0EAAAOAAAAZHJzL2Uyb0RvYy54bWytVMtuEzEU&#10;3SPxD5b3dPJuG3VSRYmKkCpaKSDWjsfOjOQXtpNJ+RkkdnwEn4P4DY490weFRRdkMbmee3Ku77nn&#10;5uLyqBU5CB8aa0o6PBlQIgy3VWN2Jf344erNGSUhMlMxZY0o6Z0I9HLx+tVF6+ZiZGurKuEJSEyY&#10;t66kdYxuXhSB10KzcGKdMEhK6zWLOPpdUXnWgl2rYjQYzIrW+sp5y0UIeLvukrRn9C8htFI2XKwt&#10;32thYsfqhWIRLYW6cYEu8m2lFDzeSBlEJKqk6DTmJ4og3qZnsbhg851nrm54fwX2kis860mzxqDo&#10;A9WaRUb2vvmLSjfc22BlPOFWF10jWRF0MRw802ZTMydyL5A6uAfRw/+j5e8Pt540FZwwmVFimMbI&#10;f339/vPHN5LeQJ/WhTlgG3fr+1NAmJo9Sq/TN9ogx5JiumfTwZSSu5JOTs/Hs+G001ccI+EATAZn&#10;45TnAIxmgOR88UjkfIhvhdUkBSX1GF9WlR2uQ0RxQO8hqa6xV41SeYTKkLaks/EUg+UMtpSwA0Lt&#10;0FowO0qY2sHvPPrMGKxqqvTrxBP8brtSnhxYckn+pIuj2h+wVHrNQt3hcqqHKQN00qlTJkXxuD32&#10;cm1tdQeRve3cFxy/akB1zUK8ZR52w52xkPEGD6ks+rB9RElt/Zd/vU94uABZSlrYF01+3jMvKFHv&#10;DPxxPpxMkt/zYTI9HeHgn2a2TzNmr1cWvQ+x+o7nMOGjug+lt/oT9naZqiLFDEftTs7+sIrdWmHz&#10;uVguMwwedyxem43jibyb2XIfrWzyOJNQnTq9fnB51r3fyLRGT88Z9fgvt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Ril/NQAAAAGAQAADwAAAAAAAAABACAAAAAiAAAAZHJzL2Rvd25yZXYueG1s&#10;UEsBAhQAFAAAAAgAh07iQFpyoKtuAgAAzQQAAA4AAAAAAAAAAQAgAAAAIwEAAGRycy9lMm9Eb2Mu&#10;eG1sUEsFBgAAAAAGAAYAWQEAAAMGAAAAAA==&#10;">
                  <v:fill on="f" focussize="0,0"/>
                  <v:stroke weight="0.5pt" color="#000000 [3213]" joinstyle="round"/>
                  <v:imagedata o:title=""/>
                  <o:lock v:ext="edit" aspectratio="f"/>
                  <v:textbox>
                    <w:txbxContent>
                      <w:p w14:paraId="34341E67">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包装</w:t>
                        </w:r>
                      </w:p>
                    </w:txbxContent>
                  </v:textbox>
                </v:rect>
                <v:rect id="_x0000_s1026" o:spid="_x0000_s1026" o:spt="1" style="position:absolute;left:21590;top:2183765;height:1549400;width:28257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CUXhkQbwIAAMwEAAAOAAAAZHJzL2Uyb0RvYy54bWytVMtuEzEU&#10;3SPxD5b3dJI007RRJ1XUqAipopEKYu14PBlLfmE7mZSfQWLHR/A5iN/g2DN9UFh0QRbOte/Jub7H&#10;5+b84qAV2QsfpDUVHR+NKBGG21qabUU/frh6c0pJiMzUTFkjKnonAr1YvH513rm5mNjWqlp4AhIT&#10;5p2raBujmxdF4K3QLBxZJwySjfWaRWz9tqg968CuVTEZjU6KzvraectFCDhd9Uk6MPqXENqmkVys&#10;LN9pYWLP6oViES2FVrpAF/m2TSN4vGmaICJRFUWnMa8ogniT1mJxzuZbz1wr+XAF9pIrPOtJM2lQ&#10;9IFqxSIjOy//otKSextsE4+41UXfSFYEXYxHz7S5bZkTuRdIHdyD6OH/0fL3+7UnsoYTpjNKDNN4&#10;8l9fv//88Y2kE+jTuTAH7Nat/bALCFOzh8br9I02yKGik3F5Bl3vUnR6PDspe3XFIRKe0qeTclZS&#10;wgEYl9Oz6SjLXzzyOB/iW2E1SUFFPV4vi8r21yGiNqD3kFTW2CupVH5BZUhX0ZPjEvU5gysbuAGh&#10;dugsmC0lTG1hdx59ZgxWyTr9OvEEv91cKk/2LJkkf9LNUe0PWCq9YqHtcTk1wJQBOsnUC5OieNgc&#10;BrU2tr6Dxt725guOX0lQXbMQ18zDbbgz5jHeYGmURR92iChprf/yr/OEhwmQpaSDe9Hk5x3zghL1&#10;zsAeZ+PpFLQxb6blbIKNf5rZPM2Ynb606H2MyXc8hwkf1X3YeKs/YWyXqSpSzHDU7uUcNpexnyoM&#10;PhfLZYbB4o7Fa3PreCLv32y5i7aR+TmTUL06g34wedZ9GMg0RU/3GfX4J7T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EYpfzUAAAABgEAAA8AAAAAAAAAAQAgAAAAIgAAAGRycy9kb3ducmV2Lnht&#10;bFBLAQIUABQAAAAIAIdO4kCUXhkQbwIAAMwEAAAOAAAAAAAAAAEAIAAAACMBAABkcnMvZTJvRG9j&#10;LnhtbFBLBQYAAAAABgAGAFkBAAAEBgAAAAA=&#10;">
                  <v:fill on="f" focussize="0,0"/>
                  <v:stroke weight="0.5pt" color="#000000 [3213]" joinstyle="round"/>
                  <v:imagedata o:title=""/>
                  <o:lock v:ext="edit" aspectratio="f"/>
                  <v:textbox>
                    <w:txbxContent>
                      <w:p w14:paraId="0F96C74D">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银</w:t>
                        </w:r>
                      </w:p>
                      <w:p w14:paraId="53FC1D14">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山</w:t>
                        </w:r>
                      </w:p>
                      <w:p w14:paraId="317ECAED">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p w14:paraId="45F66C46">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害</w:t>
                        </w:r>
                      </w:p>
                      <w:p w14:paraId="18955E6B">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w:t>
                        </w:r>
                      </w:p>
                      <w:p w14:paraId="74F15D47">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处</w:t>
                        </w:r>
                      </w:p>
                      <w:p w14:paraId="5BEE5651">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置</w:t>
                        </w:r>
                      </w:p>
                    </w:txbxContent>
                  </v:textbox>
                </v:rect>
                <v:rect id="_x0000_s1026" o:spid="_x0000_s1026" o:spt="1" style="position:absolute;left:293370;top:5481955;height:481330;width:91884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qztpvcAIAAMwEAAAOAAAAZHJzL2Uyb0RvYy54bWytVMtuEzEU&#10;3SPxD5b3dPKaNokyqaJERUgVjVQQa8fjyYzkF7aTSfkZJHZ8BJ+D+A2OPdMHhUUXZOFc+56c63t8&#10;bhaXJyXJUTjfGF3Q4dmAEqG5KRu9L+jHD1dvppT4wHTJpNGioHfC08vl61eL1s7FyNRGlsIRkGg/&#10;b21B6xDsPMs8r4Vi/sxYoZGsjFMsYOv2WelYC3Yls9FgcJ61xpXWGS68x+mmS9Ke0b2E0FRVw8XG&#10;8IMSOnSsTkgW0JKvG+vpMt22qgQPN1XlRSCyoOg0pBVFEO/imi0XbL53zNYN76/AXnKFZz0p1mgU&#10;faDasMDIwTV/UamGO+NNFc64UVnXSFIEXQwHz7S5rZkVqRdI7e2D6P7/0fL3x60jTQkn5BeUaKbw&#10;5L++fv/54xuJJ9CntX4O2K3dun7nEcZmT5VT8RttkFNBR7Px+ALC3hU0n0yHszzv5BWnQDjys+F0&#10;Oskp4QAgPx4n+bNHHut8eCuMIjEoqMPrJVHZ8doH1Ab0HhLLanPVSJleUGrSFvR8nKM8Z3BlBTcg&#10;VBadeb2nhMk97M6DS4zeyKaMv4483u13a+nIkUWTpE+8OKr9AYulN8zXHS6lepjUQEeZOmFiFE67&#10;U6/WzpR30NiZznze8qsGVNfMhy1zcBvujHkMN1gqadCH6SNKauO+/Os84mECZClp4V40+fnAnKBE&#10;vtOwx2w4mYA2pM0kvxhh455mdk8z+qDWBr0PMfmWpzDig7wPK2fUJ4ztKlZFimmO2p2c/WYduqnC&#10;4HOxWiUYLG5ZuNa3lkfy7s1Wh2CqJj1nFKpTp9cPJk+69wMZp+jpPqEe/4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6s7ab3ACAADMBAAADgAAAAAAAAABACAAAAAjAQAAZHJzL2Uyb0Rv&#10;Yy54bWxQSwUGAAAAAAYABgBZAQAABQYAAAAA&#10;">
                  <v:fill on="f" focussize="0,0"/>
                  <v:stroke weight="0.5pt" color="#000000 [3213]" joinstyle="round"/>
                  <v:imagedata o:title=""/>
                  <o:lock v:ext="edit" aspectratio="f"/>
                  <v:textbox>
                    <w:txbxContent>
                      <w:p w14:paraId="0F78397E">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屠宰车间地面、设备冲洗</w:t>
                        </w:r>
                      </w:p>
                    </w:txbxContent>
                  </v:textbox>
                </v:rect>
                <v:rect id="_x0000_s1026" o:spid="_x0000_s1026" o:spt="1" style="position:absolute;left:457835;top:6363335;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2vj3QWwIAAKMEAAAOAAAAZHJzL2Uyb0RvYy54bWytVEtu&#10;2zAQ3RfoHQjuG8nfOIblwIiRokDQGEiLrmmKsgTwV5K2nF6mQHc9RI5T9Bp9pJTESLvIohtqhjN+&#10;M+9xxovLo5LkIJxvjC7o4CynRGhuykbvCvr50/W7GSU+MF0yabQo6L3w9HL59s2itXMxNLWRpXAE&#10;INrPW1vQOgQ7zzLPa6GYPzNWaAQr4xQLcN0uKx1rga5kNszzadYaV1pnuPAet+suSHtE9xpAU1UN&#10;F2vD90ro0KE6IVkAJV831tNl6raqBA+3VeVFILKgYBrSiSKwt/HMlgs23zlm64b3LbDXtPCCk2KN&#10;RtEnqDULjOxd8xeUargz3lThjBuVdUSSImAxyF9oc1czKxIXSO3tk+j+/8Hyj4eNI02JSZidU6KZ&#10;wpP//v7z18MPEm+gT2v9HGl3duN6z8OMZI+VU/ELGuRY0PHkfDaaUHJf0OloOhrBTvKKYyAc8Uk+&#10;y3MIz5EwnI7PL1I8e8axzof3wigSjYI6vF4SlR1ufAAUUh9TYlltrhspUwmpSRurTiI8w1RWmAaY&#10;yoKZ1ztKmNxh3HlwCfHkpxFxzXxNDgwz4o1sytg2akmNT2Tf8Y1WOG6PCEZza8p7SOdMN1Pe8usG&#10;UDfMhw1zGCK0gjULtzgqadCe6S1KauO+/es+5uNtEaWkxVCin6975gQl8oPGq18MxmPAhuRA7iEc&#10;dxrZnkb0Xl0ZcBpgoS1PZswP8tGsnFFfsI2rWBUhpjlqdyr1zlXolgX7zMVqldIwuZaFG31neQTv&#10;nmK1D6Zq0is9q9Prh9lNgvZ7Fpfj1E9Zz/8t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KtAq&#10;1wAAAAYBAAAPAAAAAAAAAAEAIAAAACIAAABkcnMvZG93bnJldi54bWxQSwECFAAUAAAACACHTuJA&#10;tr490FsCAACjBAAADgAAAAAAAAABACAAAAAmAQAAZHJzL2Uyb0RvYy54bWxQSwUGAAAAAAYABgBZ&#10;AQAA8wUAAAAA&#10;">
                  <v:fill on="f" focussize="0,0"/>
                  <v:stroke on="f" weight="0.5pt"/>
                  <v:imagedata o:title=""/>
                  <o:lock v:ext="edit" aspectratio="f"/>
                  <v:textbox>
                    <w:txbxContent>
                      <w:p w14:paraId="45A91109">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W5</w:t>
                        </w:r>
                      </w:p>
                    </w:txbxContent>
                  </v:textbox>
                </v:rect>
                <v:rect id="_x0000_s1026" o:spid="_x0000_s1026" o:spt="1" style="position:absolute;left:1428115;top:5481955;height:480060;width:91884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A7Bm4ScQIAAM0EAAAOAAAAZHJzL2Uyb0RvYy54bWytVMtuEzEU&#10;3SPxD5b3dDJhUpKokypKFIRU0UoFsXY8nsxIfmE7mZSfQWLHR/A5iN/g2DNtQ2HRBVk4174n5/oe&#10;n5uLy6OS5CCcb40uaX42okRobqpW70r68cPm1ZQSH5iumDRalPROeHq5ePniorNzMTaNkZVwBCTa&#10;zztb0iYEO88yzxuhmD8zVmgka+MUC9i6XVY51oFdyWw8Gp1nnXGVdYYL73G67pN0YHTPITR13XKx&#10;NnyvhA49qxOSBbTkm9Z6uki3rWvBw3VdexGILCk6DWlFEcTbuGaLCzbfOWablg9XYM+5wpOeFGs1&#10;ij5QrVlgZO/av6hUy53xpg5n3KisbyQpgi7y0RNtbhtmReoFUnv7ILr/f7T8/eHGkbYq6TifUaKZ&#10;wpP/+vr9549vJJ5An876OWC39sYNO48wNnusnYrfaIMc4aViPM3zCSV3JZ0U03w2mfT6imMgHIBZ&#10;Pp0WyHMAiim8kPTPHoms8+GtMIrEoKQOz5dUZYcrH1Ac0HtIrKvNppUyPaHUpCvp+esJHpYz2LKG&#10;HRAqi9a83lHC5A5+58ElRm9kW8VfRx7vdtuVdOTAokvSJ14c1f6AxdJr5psel1IDTGqgo069MjEK&#10;x+1xkGtrqjuI7EzvPm/5pgXVFfPhhjnYDXfGQIZrLLU06MMMESWNcV/+dR7xcAGylHSwL5r8vGdO&#10;UCLfafhjlhdF9HvaFJM3Y2zcaWZ7mtF7tTLoPcfoW57CiA/yPqydUZ8wt8tYFSmmOWr3cg6bVejH&#10;CpPPxXKZYPC4ZeFK31oeyfs3W+6Dqdv0nFGoXp1BP7g86T5MZByj031CPf4L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Ril/NQAAAAGAQAADwAAAAAAAAABACAAAAAiAAAAZHJzL2Rvd25yZXYu&#10;eG1sUEsBAhQAFAAAAAgAh07iQDsGbhJxAgAAzQQAAA4AAAAAAAAAAQAgAAAAIwEAAGRycy9lMm9E&#10;b2MueG1sUEsFBgAAAAAGAAYAWQEAAAYGAAAAAA==&#10;">
                  <v:fill on="f" focussize="0,0"/>
                  <v:stroke weight="0.5pt" color="#000000 [3213]" joinstyle="round"/>
                  <v:imagedata o:title=""/>
                  <o:lock v:ext="edit" aspectratio="f"/>
                  <v:textbox>
                    <w:txbxContent>
                      <w:p w14:paraId="03FF2664">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软化水设备+电蒸汽发生器</w:t>
                        </w:r>
                      </w:p>
                    </w:txbxContent>
                  </v:textbox>
                </v:rect>
                <v:rect id="_x0000_s1026" o:spid="_x0000_s1026" o:spt="1" style="position:absolute;left:2677795;top:5551805;height:264795;width:673735;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BFLBLHXwIAAKQEAAAOAAAAZHJzL2Uyb0RvYy54bWytVEtu&#10;2zAQ3RfoHQjuG/knKzEiB0aMFAWCJkBadE1TpCWAv5K05fQyBbrrIXKcotfoo6QkRtpFFt3QM5zx&#10;47w3Mzq/OGhF9sKHxpqSjk9GlAjDbdWYbUk/f7p6d0pJiMxUTFkjSnovAr1Yvn1z3rqFmNjaqkp4&#10;AhATFq0raR2jW2RZ4LXQLJxYJwyC0nrNIly/zSrPWqBrlU1Go3nWWl85b7kIAbfrPkgHRP8aQCtl&#10;w8Xa8p0WJvaoXigWQSnUjQt02VUrpeDxRsogIlElBdPYnXgE9iad2fKcLbaeubrhQwnsNSW84KRZ&#10;Y/DoE9SaRUZ2vvkLSjfc22BlPOFWZz2RThGwGI9eaHNXMyc6LpA6uCfRw/+D5R/3t540VUkn04IS&#10;wzRa/vv7z18PP0i6gT6tCwuk3blbP3gBZiJ7kF6nX9AgByDMi6I4yym5L2me5+PTUd7rKw6RcCTM&#10;i2kxRZwjYTKfpVwgZs9Azof4XlhNklFSj/Z1qrL9dYh96mNKetfYq0Yp3LOFMqTFA9McjeUMYykx&#10;DjC1A7VgtpQwtcW88+g7xKO/JsQ1CzXZMwxJsKqphrKUQXWJfk84WfGwOQwqbGx1D+287YcqOH7V&#10;AOqahXjLPKYIpWDP4g0OqSzKs4NFSW39t3/dp3w0F1FKWkwl6vm6Y15Qoj4YtP1sPJulMe6cWV5M&#10;4PjjyOY4Ynb60oLTGBvteGem/KgeTemt/oJ1XKVXEWKG4+1epcG5jP22YKG5WK26NIyuY/Ha3Dme&#10;wPtWrHbRyqbrUhKqV2fQD8Pb9XlYtLQdx36X9fxx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rQKtcAAAAGAQAADwAAAAAAAAABACAAAAAiAAAAZHJzL2Rvd25yZXYueG1sUEsBAhQAFAAAAAgA&#10;h07iQEUsEsdfAgAApAQAAA4AAAAAAAAAAQAgAAAAJgEAAGRycy9lMm9Eb2MueG1sUEsFBgAAAAAG&#10;AAYAWQEAAPcFAAAAAA==&#10;">
                  <v:fill on="f" focussize="0,0"/>
                  <v:stroke on="f" weight="0.5pt"/>
                  <v:imagedata o:title=""/>
                  <o:lock v:ext="edit" aspectratio="f"/>
                  <v:textbox>
                    <w:txbxContent>
                      <w:p w14:paraId="46CBA35A">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W6、N、S9</w:t>
                        </w:r>
                      </w:p>
                    </w:txbxContent>
                  </v:textbox>
                </v:rect>
                <v:rect id="_x0000_s1026" o:spid="_x0000_s1026" o:spt="1" style="position:absolute;left:1437640;top:6186805;height:341630;width:91884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SAUBUcQIAAM0EAAAOAAAAZHJzL2Uyb0RvYy54bWytVEtu2zAQ&#10;3RfoHQjuG1n+xTEiB4YNFwWCJoBbdE1TlCWAv5K05fQyBbrrIXqcotfoI6V8mnaRRb2gZzjPbzhv&#10;Znx5dVKSHIXzjdEFzc8GlAjNTdnofUE/fti8mVHiA9Mlk0aLgt4JT68Wr19dtnYuhqY2shSOgET7&#10;eWsLWodg51nmeS0U82fGCo1gZZxiAa7bZ6VjLdiVzIaDwTRrjSutM1x4j9t1F6Q9o3sJoamqhou1&#10;4QcldOhYnZAsoCRfN9bTRXptVQkebqrKi0BkQVFpSCeSwN7FM1tcsvneMVs3vH8Ce8kTntWkWKOR&#10;9IFqzQIjB9f8RaUa7ow3VTjjRmVdIUkRVJEPnmmzrZkVqRZI7e2D6P7/0fL3x1tHmrKgwxEar5lC&#10;y399/f7zxzcSb6BPa/0csK29db3nYcZiT5VT8RtlkBNmaTw6n46h7F1Bp/lsOhtMOn3FKRAOwEU+&#10;m40nlHAARuN8Okr6Z49E1vnwVhhFolFQh/YlVdnx2gckB/QeEvNqs2mkTC2UmrTIOpogPWcYywrj&#10;AFNZlOb1nhIm95h3Hlxi9EY2Zfx15PFuv1tJR44sTkn6xIcj2x+wmHrNfN3hUqiHSQ101KlTJlrh&#10;tDv1cu1MeQeRnemmz1u+aUB1zXy4ZQ7jhjdjIcMNjkoa1GF6i5LauC//uo94TAGilLQYXxT5+cCc&#10;oES+05iPi3wcOxGSM56cD+G4p5Hd04g+qJVB7TlW3/JkRnyQ92bljPqEvV3GrAgxzZG7k7N3VqFb&#10;K2w+F8tlgmHGLQvXemt5JO96tjwEUzWpnVGoTp1eP0x50r3fyLhGT/2EevwX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Ril/NQAAAAGAQAADwAAAAAAAAABACAAAAAiAAAAZHJzL2Rvd25yZXYu&#10;eG1sUEsBAhQAFAAAAAgAh07iQNIBQFRxAgAAzQQAAA4AAAAAAAAAAQAgAAAAIwEAAGRycy9lMm9E&#10;b2MueG1sUEsFBgAAAAAGAAYAWQEAAAYGAAAAAA==&#10;">
                  <v:fill on="f" focussize="0,0"/>
                  <v:stroke weight="0.5pt" color="#000000 [3213]" joinstyle="round"/>
                  <v:imagedata o:title=""/>
                  <o:lock v:ext="edit" aspectratio="f"/>
                  <v:textbox>
                    <w:txbxContent>
                      <w:p w14:paraId="645E8E46">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污水处理站</w:t>
                        </w:r>
                      </w:p>
                    </w:txbxContent>
                  </v:textbox>
                </v:rect>
                <v:rect id="_x0000_s1026" o:spid="_x0000_s1026" o:spt="1" style="position:absolute;left:2579370;top:6214745;height:264795;width:90805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Z0W7SXgIAAKQEAAAOAAAAZHJzL2Uyb0RvYy54bWytVM1u&#10;EzEQviPxDpbvdJM0aZqomypqVIRU0UoBcXa83qwl/2E72ZSXQeLGQ/RxEK/BZ++2jQqHHrh4ZzyT&#10;b/x9M5OLy4NWZC98kNaUdHgyoEQYbitptiX9/On63TklITJTMWWNKOm9CPRy8fbNRevmYmQbqyrh&#10;CUBMmLeupE2Mbl4UgTdCs3BinTAI1tZrFuH6bVF51gJdq2I0GJwVrfWV85aLEHC76oK0R/SvAbR1&#10;LblYWb7TwsQO1QvFIiiFRrpAF/m1dS14vK3rICJRJQXTmE8Ugb1JZ7G4YPOtZ66RvH8Ce80TXnDS&#10;TBoUfYJascjIzsu/oLTk3gZbxxNuddERyYqAxXDwQpt1w5zIXCB1cE+ih/8Hyz/u7zyRVUlHk1NK&#10;DNNo+e/vP389/CDpBvq0LsyRtnZ3vvcCzET2UHudvqBBDglhOjudQtn7kp6NhuPpeNLpKw6RcCTM&#10;BueDCeIcCaOz8XSW48UzkPMhvhdWk2SU1KN9WVW2vwkRxZH6mJLqGnstlcotVIa0qHqa4RnGssY4&#10;oJJ2oBbMlhKmtph3Hn1GPPppQlyx0JA9w5AEq2SVno1ayuCT6HeEkxUPm0OvwsZW99DO226oguPX&#10;ElA3LMQ75jFFYIo9i7c4amXxPNtblDTWf/vXfcpHcxGlpMVU4j1fd8wLStQHg7bPhuMxYGN2xpPp&#10;CI4/jmyOI2anryw4DbHRjmcz5Uf1aNbe6i9Yx2WqihAzHLU7lXrnKnbbgoXmYrnMaRhdx+KNWTue&#10;wLtWLHfR1jJ3KQnVqdPrh+HNgvaLlrbj2M9Zz38u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B&#10;KtAq1wAAAAYBAAAPAAAAAAAAAAEAIAAAACIAAABkcnMvZG93bnJldi54bWxQSwECFAAUAAAACACH&#10;TuJAmdFu0l4CAACkBAAADgAAAAAAAAABACAAAAAmAQAAZHJzL2Uyb0RvYy54bWxQSwUGAAAAAAYA&#10;BgBZAQAA9gUAAAAA&#10;">
                  <v:fill on="f" focussize="0,0"/>
                  <v:stroke on="f" weight="0.5pt"/>
                  <v:imagedata o:title=""/>
                  <o:lock v:ext="edit" aspectratio="f"/>
                  <v:textbox>
                    <w:txbxContent>
                      <w:p w14:paraId="7E384196">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G3、N、S7</w:t>
                        </w:r>
                      </w:p>
                    </w:txbxContent>
                  </v:textbox>
                </v:rect>
                <v:rect id="_x0000_s1026" o:spid="_x0000_s1026" o:spt="1" style="position:absolute;left:454025;top:6789420;height:341630;width:91884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9lF2JcAIAAMwEAAAOAAAAZHJzL2Uyb0RvYy54bWytVMtu2zAQ&#10;vBfoPxC8N7IdOXGMyIERI0WBoDGQFj3TFGkJ4KskbTn9mQK99SP6OUV/o0NKeTTtIYf6IC+161nO&#10;7KzPLw5akb3wobWmouOjESXCcFu3ZlvRjx+u3swoCZGZmilrREXvRKAXi9evzjs3FxPbWFULTwBi&#10;wrxzFW1idPOiCLwRmoUj64RBUlqvWcTRb4vasw7oWhWT0eik6KyvnbdchIC3qz5JB0T/EkArZcvF&#10;yvKdFib2qF4oFkEpNK0LdJFvK6Xg8UbKICJRFQXTmJ9ogniTnsXinM23nrmm5cMV2Euu8IyTZq1B&#10;0weoFYuM7Hz7F5RuubfBynjErS56IlkRsBiPnmlz2zAnMhdIHdyD6OH/wfL3+7UnbV3RybSkxDCN&#10;kf/6+v3nj28kvYE+nQtzlN26tR9OAWEie5Bep2/QIIeKltNyNJlSclfRk9PZWTkZ5BWHSDjyZ+PZ&#10;rESeo+C4HJ8c53zxiON8iG+F1SQFFfWYXhaV7a9DRG+U3pektsZetUrlCSpDOnQ9nmKunMGVEm5A&#10;qB2YBbOlhKkt7M6jz4jBqrZOv044wW83l8qTPUsmyZ/EG93+KEutVyw0fV1ODWXKoDrJ1AuTonjY&#10;HAa1Nra+g8be9uYLjl+1gLpmIa6Zh9twZ+xjvMFDKgsedogoaaz/8q/3qR4mQJaSDu4Fyc875gUl&#10;6p2BPc7GZZnsng/l9BSjIP5pZvM0Y3b60oL7GJvveA5TfVT3ofRWf8LaLlNXpJjh6N3LORwuY79V&#10;WHwulstcBos7Fq/NreMJvJ/ZchetbPM4k1C9OoN+MHnWfVjItEVPz7nq8U9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fZRdiXACAADMBAAADgAAAAAAAAABACAAAAAjAQAAZHJzL2Uyb0Rv&#10;Yy54bWxQSwUGAAAAAAYABgBZAQAABQYAAAAA&#10;">
                  <v:fill on="f" focussize="0,0"/>
                  <v:stroke weight="0.5pt" color="#000000 [3213]" joinstyle="round"/>
                  <v:imagedata o:title=""/>
                  <o:lock v:ext="edit" aspectratio="f"/>
                  <v:textbox>
                    <w:txbxContent>
                      <w:p w14:paraId="2C429F81">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员工生活</w:t>
                        </w:r>
                      </w:p>
                    </w:txbxContent>
                  </v:textbox>
                </v:rect>
                <v:rect id="_x0000_s1026" o:spid="_x0000_s1026" o:spt="1" style="position:absolute;left:1678305;top:6840220;height:264795;width:90805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DzDlTMXwIAAKQEAAAOAAAAZHJzL2Uyb0RvYy54bWytVEtu&#10;2zAQ3RfoHQjuG8mOfzEsB0YMFwWCJkBadE1TlCWAv5K05fQyBbrrIXKcotfoI6UkRtpFFt3QQ874&#10;zbw3M1pcHpUkB+F8Y3RBB2c5JUJzUzZ6V9DPnzbvZpT4wHTJpNGioPfC08vl2zeL1s7F0NRGlsIR&#10;gGg/b21B6xDsPMs8r4Vi/sxYoeGsjFMs4Op2WelYC3Qls2GeT7LWuNI6w4X3eF13TtojutcAmqpq&#10;uFgbvldChw7VCckCKPm6sZ4uU7VVJXi4qSovApEFBdOQTiSBvY1ntlyw+c4xWze8L4G9poQXnBRr&#10;NJI+Qa1ZYGTvmr+gVMOd8aYKZ9yorCOSFAGLQf5Cm7uaWZG4QGpvn0T3/w+WfzzcOtKUBR1OR5Ro&#10;ptDy399//nr4QeIL9GmtnyPszt66/uZhRrLHyqn4CxrkiFmaTGfn+ZiS+4JOZqN8OOz1FcdAOAIu&#10;8lk+hvIcAcPJaHoxjvjZM5B1PrwXRpFoFNShfUlVdrj2oQt9DIl5tdk0UuKdzaUmLbKeJ3iGsaww&#10;DsikLKh5vaOEyR3mnQeXEE/+GhHXzNfkwDAk3sim7MuSGtVF+h3haIXj9tirsDXlPbRzphsqb/mm&#10;AdQ18+GWOUwRmGLPwg2OShqUZ3qLktq4b/96j/FoLryUtJhK1PN1z5ygRH7QaPvFYDSKY5wuo/EU&#10;ChN36tmeevReXRlwGmCjLU9mjA/y0aycUV+wjquYFS6mOXJ3KvWXq9BtCxaai9UqhWF0LQvX+s7y&#10;CN61YrUPpmpSl6JQnTq9fhje1Od+0eJ2nN5T1PPHZf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rQKtcAAAAGAQAADwAAAAAAAAABACAAAAAiAAAAZHJzL2Rvd25yZXYueG1sUEsBAhQAFAAAAAgA&#10;h07iQPMOVMxfAgAApAQAAA4AAAAAAAAAAQAgAAAAJgEAAGRycy9lMm9Eb2MueG1sUEsFBgAAAAAG&#10;AAYAWQEAAPcFAAAAAA==&#10;">
                  <v:fill on="f" focussize="0,0"/>
                  <v:stroke on="f" weight="0.5pt"/>
                  <v:imagedata o:title=""/>
                  <o:lock v:ext="edit" aspectratio="f"/>
                  <v:textbox>
                    <w:txbxContent>
                      <w:p w14:paraId="3A9635E1">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W7、S11</w:t>
                        </w:r>
                      </w:p>
                    </w:txbxContent>
                  </v:textbox>
                </v:rect>
                <v:rect id="_x0000_s1026" o:spid="_x0000_s1026" o:spt="1" style="position:absolute;left:1964690;top:7049770;height:294005;width:3028315;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PkeKnYQIAAKMEAAAOAAAAZHJzL2Uyb0RvYy54bWytVEtu&#10;2zAQ3RfoHQjuG8m2bMdG5MCIkaJA0AZIi65pirII8FeStpxepkB3PUSPU/QafZSUxEi7yKIbeoYc&#10;v5n3ZkYXl0etyEH4IK0p6egsp0QYbitpdiX99PH6zTklITJTMWWNKOm9CPRy9frVReuWYmwbqyrh&#10;CUBMWLaupE2MbpllgTdCs3BmnTB4rK3XLML1u6zyrAW6Vtk4z2dZa33lvOUiBNxu+kc6IPqXANq6&#10;llxsLN9rYWKP6oViEZRCI12gq67auhY8fqjrICJRJQXT2J1IAnubzmx1wZY7z1wj+VACe0kJzzhp&#10;Jg2SPkJtWGRk7+VfUFpyb4Ot4xm3OuuJdIqAxSh/ps1dw5zouEDq4B5FD/8Plr8/3Hoiq5JOCkoM&#10;0+j4728/fv38TnABdVoXlgi6c7d+8ALMRPVYe51+QYIcMUmLWTFbQNf7ks7zYjGfD+qKYyQcAZN8&#10;fD4ZTSnhiBgvijyfpgTZE5LzIb4VVpNklNSje52o7HATYh/6EJISG3stlcI9WypD2pLOJlPk5wxT&#10;WWMaYGoHZsHsKGFqh3Hn0XeIJ39NiBsWGnJgmJFglayGspRBdYl/zzhZ8bg9DjJsbXUP6bztZyo4&#10;fi0BdcNCvGUeQ4RSsGbxA45aWZRnB4uSxvqv/7pP8egtXilpMZSo58ueeUGJemfQ9cWoKAAbO6eY&#10;zsdw/OnL9vTF7PWVBacRFtrxzkzxUT2Ytbf6M7ZxnbLiiRmO3L1Kg3MV+2XBPnOxXndhmFzH4o25&#10;czyB961Y76OtZdelJFSvzqAfZrfr87BnaTlO/S7q6duy+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KtAq1wAAAAYBAAAPAAAAAAAAAAEAIAAAACIAAABkcnMvZG93bnJldi54bWxQSwECFAAUAAAA&#10;CACHTuJAj5Hip2ECAACjBAAADgAAAAAAAAABACAAAAAmAQAAZHJzL2Uyb0RvYy54bWxQSwUGAAAA&#10;AAYABgBZAQAA+QUAAAAA&#10;">
                  <v:fill on="f" focussize="0,0"/>
                  <v:stroke on="f" weight="0.5pt"/>
                  <v:imagedata o:title=""/>
                  <o:lock v:ext="edit" aspectratio="f"/>
                  <v:textbox>
                    <w:txbxContent>
                      <w:p w14:paraId="61D72FB4">
                        <w:pPr>
                          <w:rPr>
                            <w:rFonts w:hint="default" w:eastAsia="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图例：G：废气；W：废水；N：噪声</w:t>
                        </w: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S：固废</w:t>
                        </w:r>
                      </w:p>
                    </w:txbxContent>
                  </v:textbox>
                </v:rect>
                <v:rect id="_x0000_s1026" o:spid="_x0000_s1026" o:spt="1" style="position:absolute;left:942340;top:843915;height:471170;width:121793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BKQPCQXgIAAKEEAAAOAAAAZHJzL2Uyb0RvYy54bWytVM1u&#10;EzEQviPxDpbvdLNJ2jRRN1XUqAipgkoFcXa83qwl/2E72ZSXQeLGQ/A4iNfgs3fbRoVDD1y8Y8/k&#10;m/m+mcnF5UErshc+SGsqWp6MKBGG21qabUU/fbx+c05JiMzUTFkjKnovAr1cvn510bmFGNvWqlp4&#10;AhATFp2raBujWxRF4K3QLJxYJwycjfWaRVz9tqg964CuVTEejc6KzvraectFCHhd9046IPqXANqm&#10;kVysLd9pYWKP6oViEZRCK12gy1xt0wgePzRNEJGoioJpzCeSwN6ks1hesMXWM9dKPpTAXlLCM06a&#10;SYOkj1BrFhnZefkXlJbc22CbeMKtLnoiWRGwKEfPtLlrmROZC6QO7lH08P9g+fv9rSeyrugEfTdM&#10;o+O/v/349fM7wQPU6VxYIOjO3frhFmAmqofG6/QFCXKo6Hw6nkwh631Fz6eTeXnaaysOkXC4y3E5&#10;m0/g5wiYzspylsUvnnCcD/GtsJoko6IevcuSsv1NiMiN0IeQlNbYa6lU7p8ypKvo2eQ0wTPMZINZ&#10;gKkdeAWzpYSpLYadR58Rj36aENcstGTPMCHBKlmnupFLGXwS+55vsuJhcxhE2Nj6HsJ5209UcPxa&#10;AuqGhXjLPEYIpWDJ4gccjbIozw4WJa31X//1nuLRWXgp6TCSqOfLjnlBiXpn0PN5OU0Cx3yZns7G&#10;uPhjz+bYY3b6yoJTiXV2PJspPqoHs/FWf8YurlJWuJjhyN2rNFyuYr8q2GYuVqschrl1LN6YO8cT&#10;eN+K1S7aRuYuJaF6dQb9MLlZ0GHL0moc33PU0z/L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B&#10;KtAq1wAAAAYBAAAPAAAAAAAAAAEAIAAAACIAAABkcnMvZG93bnJldi54bWxQSwECFAAUAAAACACH&#10;TuJASkDwkF4CAAChBAAADgAAAAAAAAABACAAAAAmAQAAZHJzL2Uyb0RvYy54bWxQSwUGAAAAAAYA&#10;BgBZAQAA9gUAAAAA&#10;">
                  <v:fill on="f" focussize="0,0"/>
                  <v:stroke on="f" weight="0.5pt"/>
                  <v:imagedata o:title=""/>
                  <o:lock v:ext="edit" aspectratio="f"/>
                  <v:textbox>
                    <w:txbxContent>
                      <w:p w14:paraId="74310C82">
                        <w:pPr>
                          <w:keepNext w:val="0"/>
                          <w:keepLines w:val="0"/>
                          <w:pageBreakBefore w:val="0"/>
                          <w:widowControl w:val="0"/>
                          <w:kinsoku/>
                          <w:wordWrap/>
                          <w:overflowPunct/>
                          <w:topLinePunct w:val="0"/>
                          <w:bidi w:val="0"/>
                          <w:adjustRightInd/>
                          <w:snapToGrid/>
                          <w:spacing w:line="0" w:lineRule="atLeast"/>
                          <w:ind w:left="-210" w:leftChars="-100" w:right="-210" w:rightChars="-10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G1、W2、N、</w:t>
                        </w:r>
                      </w:p>
                      <w:p w14:paraId="7428FDE2">
                        <w:pPr>
                          <w:keepNext w:val="0"/>
                          <w:keepLines w:val="0"/>
                          <w:pageBreakBefore w:val="0"/>
                          <w:widowControl w:val="0"/>
                          <w:kinsoku/>
                          <w:wordWrap/>
                          <w:overflowPunct/>
                          <w:topLinePunct w:val="0"/>
                          <w:bidi w:val="0"/>
                          <w:adjustRightInd/>
                          <w:snapToGrid/>
                          <w:spacing w:line="0" w:lineRule="atLeast"/>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S1、S2、S4</w:t>
                        </w:r>
                      </w:p>
                    </w:txbxContent>
                  </v:textbox>
                </v:rect>
                <v:rect id="_x0000_s1026" o:spid="_x0000_s1026" o:spt="1" style="position:absolute;left:2534920;top:868045;height:228600;width:68199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AW6wzQXgIAAKEEAAAOAAAAZHJzL2Uyb0RvYy54bWytVM1u&#10;EzEQviPxDpbvdJNtEpIomypqVIQU0UoFcXa83uxK/sN2sgkvg8SNh+BxEK/BZ++2jQqHHrh4x57J&#10;N/N9M5PF1VFJchDON0YXdHgxoERobspG7wr66ePNmyklPjBdMmm0KOhJeHq1fP1q0dq5yE1tZCkc&#10;AYj289YWtA7BzrPM81oo5i+MFRrOyjjFAq5ul5WOtUBXMssHg0nWGldaZ7jwHq/rzkl7RPcSQFNV&#10;DRdrw/dK6NChOiFZACVfN9bTZaq2qgQPt1XlRSCyoGAa0okksLfxzJYLNt85ZuuG9yWwl5TwjJNi&#10;jUbSR6g1C4zsXfMXlGq4M95U4YIblXVEkiJgMRw80+a+ZlYkLpDa20fR/f+D5R8Od440ZUFHOSWa&#10;KXT897cfv35+J3iAOq31cwTd2zvX3zzMSPVYORW/IEGOBc3Hl6NZDl1PBZ1OpoPRuBNXHAPh8E+m&#10;w9kMbg5/nk8ngyR+9oRjnQ/vhFEkGgV16F2SlB02PiA3Qh9CYlptbhopU/+kJi0SXI4jPMNMVpgF&#10;mMqCl9c7SpjcYdh5cAnx7KcRcc18TQ4ME+KNbMpYNnJJjU9k3/GNVjhuj70IW1OeIJwz3UR5y28a&#10;QG2YD3fMYYRQCpYs3OKopEF5prcoqY37+q/3GI/OwktJi5FEPV/2zAlK5HuNns+GoxFgQ7qMxm+j&#10;2O7csz336L26NuA0xDpbnswYH+SDWTmjPmMXVzErXExz5O5U6i/XoVsVbDMXq1UKw9xaFjb63vII&#10;3rVitQ+malKXolCdOr1+mNwkaL9lcTXO7ynq6Z9l+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B&#10;KtAq1wAAAAYBAAAPAAAAAAAAAAEAIAAAACIAAABkcnMvZG93bnJldi54bWxQSwECFAAUAAAACACH&#10;TuJAFusM0F4CAAChBAAADgAAAAAAAAABACAAAAAmAQAAZHJzL2Uyb0RvYy54bWxQSwUGAAAAAAYA&#10;BgBZAQAA9gUAAAAA&#10;">
                  <v:fill on="f" focussize="0,0"/>
                  <v:stroke on="f" weight="0.5pt"/>
                  <v:imagedata o:title=""/>
                  <o:lock v:ext="edit" aspectratio="f"/>
                  <v:textbox>
                    <w:txbxContent>
                      <w:p w14:paraId="641DCCA8">
                        <w:pPr>
                          <w:keepNext w:val="0"/>
                          <w:keepLines w:val="0"/>
                          <w:pageBreakBefore w:val="0"/>
                          <w:widowControl w:val="0"/>
                          <w:kinsoku/>
                          <w:wordWrap/>
                          <w:overflowPunct/>
                          <w:topLinePunct w:val="0"/>
                          <w:bidi w:val="0"/>
                          <w:adjustRightInd/>
                          <w:snapToGrid/>
                          <w:spacing w:line="0" w:lineRule="atLeast"/>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W3</w:t>
                        </w:r>
                      </w:p>
                    </w:txbxContent>
                  </v:textbox>
                </v:rect>
                <v:rect id="_x0000_s1026" o:spid="_x0000_s1026" o:spt="1" style="position:absolute;left:4552950;top:427990;height:228600;width:50038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0GMKiXAIAAKEEAAAOAAAAZHJzL2Uyb0RvYy54bWytVEtu&#10;2zAQ3RfoHQjua8mKncRG5MCI4aJA0ARIi65pirIE8FeStpxepkB3PUSOU/QafaSUxEi7yKIbaoYz&#10;fsP3ZsYXlwclyV443xpd0vEop0RobqpWb0v6+dP63TklPjBdMWm0KOm98PRy8fbNRWfnojCNkZVw&#10;BCDazztb0iYEO88yzxuhmB8ZKzSCtXGKBbhum1WOdUBXMivy/DTrjKusM1x4j9tVH6QDonsNoKnr&#10;louV4TsldOhRnZAsgJJvWuvpIr22rgUPN3XtRSCypGAa0okisDfxzBYXbL51zDYtH57AXvOEF5wU&#10;azWKPkGtWGBk59q/oFTLnfGmDiNuVNYTSYqAxTh/oc1dw6xIXCC1t0+i+/8Hyz/ubx1pq5KeTinR&#10;TKHjv7///PXwg+AC6nTWz5F0Z2/d4HmYkeqhdip+QYIcSjqZTovZFLrewy7OZrNBXHEIhCM+zfOT&#10;c4Q54kVxfpqnePaMY50P74VRJBoldehdkpTtr31AbaQ+psSy2qxbKVP/pCYdCJzE6pxhJmvMAkxl&#10;wcvrLSVMbjHsPLiEePTTiLhiviF7hgnxRrZVZI1aUuMT2fd8oxUOm8MgwsZU9xDOmX6ivOXrFlDX&#10;zIdb5jBCeAqWLNzgqKXB88xgUdIY9+1f9zEfnUWUkg4jifd83TEnKJEfNHo+G08mgA3JmUzPCjju&#10;OLI5juidujLgNMY6W57MmB/ko1k7o75gF5exKkJMc9TuVRqcq9CvCraZi+UypWFuLQvX+s7yCN63&#10;YrkLpm5Tl6JQvTqDfpjcJOiwZXE1jv2U9fzPs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rQ&#10;KtcAAAAGAQAADwAAAAAAAAABACAAAAAiAAAAZHJzL2Rvd25yZXYueG1sUEsBAhQAFAAAAAgAh07i&#10;QLQYwqJcAgAAoQQAAA4AAAAAAAAAAQAgAAAAJgEAAGRycy9lMm9Eb2MueG1sUEsFBgAAAAAGAAYA&#10;WQEAAPQFAAAAAA==&#10;">
                  <v:fill on="f" focussize="0,0"/>
                  <v:stroke on="f" weight="0.5pt"/>
                  <v:imagedata o:title=""/>
                  <o:lock v:ext="edit" aspectratio="f"/>
                  <v:textbox>
                    <w:txbxContent>
                      <w:p w14:paraId="06C18E47">
                        <w:pPr>
                          <w:keepNext w:val="0"/>
                          <w:keepLines w:val="0"/>
                          <w:pageBreakBefore w:val="0"/>
                          <w:widowControl w:val="0"/>
                          <w:kinsoku/>
                          <w:wordWrap/>
                          <w:overflowPunct/>
                          <w:topLinePunct w:val="0"/>
                          <w:bidi w:val="0"/>
                          <w:adjustRightInd/>
                          <w:snapToGrid/>
                          <w:spacing w:line="0" w:lineRule="atLeast"/>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p>
                    </w:txbxContent>
                  </v:textbox>
                </v:rect>
                <v:rect id="_x0000_s1026" o:spid="_x0000_s1026" o:spt="1" style="position:absolute;left:2986405;top:1797050;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Pe5csXwIAAKIEAAAOAAAAZHJzL2Uyb0RvYy54bWytVEtu&#10;2zAQ3RfoHQjua8muP7FhOTBipCgQNAbSomuaoiwC/JWkLaeXKdBdD9HjFL1GHyUlMdIusuiGniHH&#10;b+a9mdHy8qQVOQofpDUFHQ5ySoThtpRmX9BPH6/fXFASIjMlU9aIgt6LQC9Xr18tG7cQI1tbVQpP&#10;AGLConEFrWN0iywLvBaahYF1wuCxsl6zCNfvs9KzBuhaZaM8n2aN9aXzlosQcLvpHmmP6F8CaKtK&#10;crGx/KCFiR2qF4pFUAq1dIGu2mqrSvB4W1VBRKIKCqaxPZEE9i6d2WrJFnvPXC15XwJ7SQnPOGkm&#10;DZI+Qm1YZOTg5V9QWnJvg63igFuddURaRcBimD/T5q5mTrRcIHVwj6KH/wfLPxy3nsiyoDNIYphG&#10;x39/+/Hr53eCC6jTuLBA0J3b+t4LMBPVU+V1+gUJciroaH4xHecTSu4xVbP5LJ/06opTJBwBk/wi&#10;z5GEI2A0Hc/mk4SfPQE5H+I7YTVJRkE9mtdqyo43IXahDyEpr7HXUincs4UypCno9C1SEs4wlBWG&#10;AaZ2IBbMnhKm9ph2Hn2LePbXhLhhoSZHhhEJVsmyL0sZVJfod4STFU+7U6/Czpb3UM7bbqSC49cS&#10;UDcsxC3zmCGUgi2LtzgqZVGe7S1Kauu//us+xaO1eKWkwUyini8H5gUl6r1B0+fD8RiwsXXGk9kI&#10;jj9/2Z2/mIO+suA0xD473popPqoHs/JWf8YyrlNWPDHDkbtTqXeuYrcrWGcu1us2DIPrWLwxd44n&#10;8K4V60O0lWy7lITq1On1w+i2fe7XLO3Gud9GPX1a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rQKtcAAAAGAQAADwAAAAAAAAABACAAAAAiAAAAZHJzL2Rvd25yZXYueG1sUEsBAhQAFAAAAAgA&#10;h07iQI97lyxfAgAAogQAAA4AAAAAAAAAAQAgAAAAJgEAAGRycy9lMm9Eb2MueG1sUEsFBgAAAAAG&#10;AAYAWQEAAPcFAAAAAA==&#10;">
                  <v:fill on="f" focussize="0,0"/>
                  <v:stroke on="f" weight="0.5pt"/>
                  <v:imagedata o:title=""/>
                  <o:lock v:ext="edit" aspectratio="f"/>
                  <v:textbox>
                    <w:txbxContent>
                      <w:p w14:paraId="3B20624E">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w:t>
                        </w:r>
                      </w:p>
                    </w:txbxContent>
                  </v:textbox>
                </v:rect>
                <v:rect id="_x0000_s1026" o:spid="_x0000_s1026" o:spt="1" style="position:absolute;left:2181225;top:1840865;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DALQepYAIAAKIEAAAOAAAAZHJzL2Uyb0RvYy54bWytVEtu&#10;2zAQ3RfoHQjuG8mq7ThG5MCI4aJA0BhIi65pirIE8FeStpxepkB3PUSPU/QafaSUxEi7yKIbasgZ&#10;v5n3ZsaXV0clyUE43xpd0tFZTonQ3FSt3pX008f1mxklPjBdMWm0KOm98PRq8frVZWfnojCNkZVw&#10;BCDazztb0iYEO88yzxuhmD8zVmg4a+MUC7i6XVY51gFdyazI82nWGVdZZ7jwHq+r3kkHRPcSQFPX&#10;LRcrw/dK6NCjOiFZACXftNbTRaq2rgUPt3XtRSCypGAa0okksLfxzBaXbL5zzDYtH0pgLynhGSfF&#10;Wo2kj1ArFhjZu/YvKNVyZ7ypwxk3KuuJJEXAYpQ/0+auYVYkLpDa20fR/f+D5R8OG0faqqTnY0o0&#10;U+j4728/fv38TvAAdTrr5wi6sxs33DzMSPVYOxW/IEGOJS1Gs1FRTCi5x1TNxvlsOunVFcdAOAIm&#10;+SzPoTtHQDEdn18kf/YEZJ0P74RRJBoldWhe0pQdbnxAcoQ+hMS82qxbKVMDpSZdSadvJxGeYShr&#10;DANMZUHM6x0lTO4w7Ty4hHjy04i4Yr4hB4YR8Ua2VSwbuaTGJ9LvCUcrHLfHQYWtqe6hnDP9SHnL&#10;1y2gbpgPG+YwQygFWxZucdTSoDwzWJQ0xn3913uMR2vhpaTDTKKeL3vmBCXyvUbTL0bjMWBDuown&#10;5wUu7tSzPfXovbo24DTCPluezBgf5INZO6M+YxmXMStcTHPk7lUaLteh3xWsMxfLZQrD4FoWbvSd&#10;5RG8b8VyH0zdpi5FoXp1Bv0wuknQYc3ibpzeU9TTX8v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Eq0CrXAAAABgEAAA8AAAAAAAAAAQAgAAAAIgAAAGRycy9kb3ducmV2LnhtbFBLAQIUABQAAAAI&#10;AIdO4kDALQepYAIAAKIEAAAOAAAAAAAAAAEAIAAAACYBAABkcnMvZTJvRG9jLnhtbFBLBQYAAAAA&#10;BgAGAFkBAAD4BQAAAAA=&#10;">
                  <v:fill on="f" focussize="0,0"/>
                  <v:stroke on="f" weight="0.5pt"/>
                  <v:imagedata o:title=""/>
                  <o:lock v:ext="edit" aspectratio="f"/>
                  <v:textbox>
                    <w:txbxContent>
                      <w:p w14:paraId="061BB523">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G2、W4</w:t>
                        </w:r>
                      </w:p>
                    </w:txbxContent>
                  </v:textbox>
                </v:rect>
                <v:rect id="_x0000_s1026" o:spid="_x0000_s1026" o:spt="1" style="position:absolute;left:1325245;top:1826260;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DgbSDNXgIAAKIEAAAOAAAAZHJzL2Uyb0RvYy54bWytVEtu&#10;2zAQ3RfoHQjua8mK7SRG5MCI4aJA0ARIi65pirQE8FeStpxepkB3PUSOU/QafZSUxEi7yKIbeoYz&#10;fpz3ZkYXlwetyF740FhT0vEop0QYbqvGbEv6+dP63RklITJTMWWNKOm9CPRy8fbNRevmorC1VZXw&#10;BCAmzFtX0jpGN8+ywGuhWRhZJwyC0nrNIly/zSrPWqBrlRV5Psta6yvnLRch4HbVB+mA6F8DaKVs&#10;uFhZvtPCxB7VC8UiKIW6cYEuumqlFDzeSBlEJKqkYBq7E4/A3qQzW1yw+dYzVzd8KIG9poQXnDRr&#10;DB59glqxyMjON39B6YZ7G6yMI2511hPpFAGLcf5Cm7uaOdFxgdTBPYke/h8s/7i/9aSpSno6o8Qw&#10;jY7//v7z18MPgguo07owR9Kdu/WDF2AmqgfpdfoFCXLAJJ0U02IypeQe9lkxK2aDuuIQCUfCND/L&#10;c+jOkVDMJqfn04SfPQM5H+J7YTVJRkk9mtdpyvbXIfapjynpXWPXjVK4Z3NlSFvS2ck0wTMMpcQw&#10;wNQOxILZUsLUFtPOo+8Qj/6aEFcs1GTPMCLBqqYaylIG1SX6PeFkxcPmMKiwsdU9lPO2H6ng+LoB&#10;1DUL8ZZ5zBBKwZbFGxxSWZRnB4uS2vpv/7pP+WgtopS0mEnU83XHvKBEfTBo+vl4MgFs7JzJ9LSA&#10;448jm+OI2ekrC05j7LPjnZnyo3o0pbf6C5ZxmV5FiBmOt3uVBucq9ruCdeZiuezSMLiOxWtz53gC&#10;71ux3EUrm65LSahenUE/jG7X52HN0m4c+13W86dl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B&#10;KtAq1wAAAAYBAAAPAAAAAAAAAAEAIAAAACIAAABkcnMvZG93bnJldi54bWxQSwECFAAUAAAACACH&#10;TuJA4G0gzV4CAACiBAAADgAAAAAAAAABACAAAAAmAQAAZHJzL2Uyb0RvYy54bWxQSwUGAAAAAAYA&#10;BgBZAQAA9gUAAAAA&#10;">
                  <v:fill on="f" focussize="0,0"/>
                  <v:stroke on="f" weight="0.5pt"/>
                  <v:imagedata o:title=""/>
                  <o:lock v:ext="edit" aspectratio="f"/>
                  <v:textbox>
                    <w:txbxContent>
                      <w:p w14:paraId="0883039A">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G2、W4</w:t>
                        </w:r>
                      </w:p>
                    </w:txbxContent>
                  </v:textbox>
                </v:rect>
                <v:rect id="_x0000_s1026" o:spid="_x0000_s1026" o:spt="1" style="position:absolute;left:569595;top:1834515;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kb3i+XgIAAKEEAAAOAAAAZHJzL2Uyb0RvYy54bWytVEtu&#10;2zAQ3RfoHQjuG8mO5cRG5MCIkaJA0ARwi65pirII8FeStpxepkB3PUSOU/QafZSUxEi7yKIbeoYz&#10;fpz3ZkYXlwetyF74IK0p6egkp0QYbitptiX9/On63TklITJTMWWNKOm9CPRy8fbNRevmYmwbqyrh&#10;CUBMmLeupE2Mbp5lgTdCs3BinTAI1tZrFuH6bVZ51gJdq2yc59Ostb5y3nIRAm5XfZAOiP41gLau&#10;JRcry3damNijeqFYBKXQSBfooqu2rgWPt3UdRCSqpGAauxOPwN6kM1tcsPnWM9dIPpTAXlPCC06a&#10;SYNHn6BWLDKy8/IvKC25t8HW8YRbnfVEOkXAYpS/0GbdMCc6LpA6uCfRw/+D5R/3d57IqqSzM0oM&#10;0+j47+8/fz38ILiAOq0LcySt3Z0fvAAzUT3UXqdfkCCHkhbTWTErKLnHUJ2fTopR0YsrDpHwFM/P&#10;8xyycySMp5Mz5AIwe8ZxPsT3wmqSjJJ69K6TlO1vQuxTH1PSs8ZeS6Vwz+bKkLak09MiwTPMZI1Z&#10;gKkdeAWzpYSpLYadR98hHv01Ia5YaMieYUKCVbIaylIG1SX2Pd9kxcPmMIiwsdU9hPO2n6jg+LUE&#10;1A0L8Y55jBBKwZLFWxy1sijPDhYljfXf/nWf8tFZRClpMZKo5+uOeUGJ+mDQ89loMgFs7JxJcTaG&#10;448jm+OI2ekrC04jrLPjnZnyo3o0a2/1F+ziMr2KEDMcb/cqDc5V7FcF28zFctmlYW4dizdm7XgC&#10;71ux3EVby65LSahenUE/TG7X52HL0moc+13W85dl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B&#10;KtAq1wAAAAYBAAAPAAAAAAAAAAEAIAAAACIAAABkcnMvZG93bnJldi54bWxQSwECFAAUAAAACACH&#10;TuJApG94vl4CAAChBAAADgAAAAAAAAABACAAAAAmAQAAZHJzL2Uyb0RvYy54bWxQSwUGAAAAAAYA&#10;BgBZAQAA9gUAAAAA&#10;">
                  <v:fill on="f" focussize="0,0"/>
                  <v:stroke on="f" weight="0.5pt"/>
                  <v:imagedata o:title=""/>
                  <o:lock v:ext="edit" aspectratio="f"/>
                  <v:textbox>
                    <w:txbxContent>
                      <w:p w14:paraId="7FAEAD2A">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w:t>
                        </w:r>
                      </w:p>
                    </w:txbxContent>
                  </v:textbox>
                </v:rect>
                <v:rect id="_x0000_s1026" o:spid="_x0000_s1026" o:spt="1" style="position:absolute;left:335915;top:2582545;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Bjn0reXwIAAKMEAAAOAAAAZHJzL2Uyb0RvYy54bWytVEtu&#10;2zAQ3RfoHQjuG8mOlY8ROTBipCgQtAHSomuaIi0B/JWkLaeXKdBdD9HjFL1GHyklMdIusuiGGnLG&#10;b+a9mfHF5V4rshM+dNbUdHJUUiIMt01nNjX99PH6zRklITLTMGWNqOm9CPRy8frVRe/mYmpbqxrh&#10;CUBMmPeupm2Mbl4UgbdCs3BknTBwSus1i7j6TdF41gNdq2JalidFb33jvOUiBLyuBicdEf1LAK2U&#10;HRcry7damDigeqFYBKXQdi7QRa5WSsHjBymDiETVFExjPpEE9jqdxeKCzTeeubbjYwnsJSU846RZ&#10;Z5D0EWrFIiNb3/0FpTvubbAyHnGri4FIVgQsJuUzbe5a5kTmAqmDexQ9/D9Y/n5360nXYBJmaLxh&#10;Gi3//e3Hr5/fSXqBPr0Lc4TduVs/3gLMRHYvvU5f0CD7mh4fV+eTipL7mk6rs2k1qwZ5xT4SDn9V&#10;npUlhOcp4GR2ep79xROO8yG+FVaTZNTUo3tZVLa7CRG5EfoQktIae90plTuoDOlrenJcJXiGqZSY&#10;BpjagVkwG0qY2mDcefQZ8eCnCXHFQkt2DDMSrOqaVDZyKYNPYj/wTVbcr/ejCGvb3EM6b4eZCo5f&#10;d4C6YSHeMo8hQilYs/gBh1QW5dnRoqS1/uu/3lM8egsvJT2GEvV82TIvKFHvDLp+PpnNABvzZVad&#10;TnHxh571ocds9ZUFpwkW2vFspvioHkzprf6MbVymrHAxw5F7UGm8XMVhWbDPXCyXOQyT61i8MXeO&#10;J/ChFctttLLLXUpCDeqM+mF2s6DjnqXlOLznqKf/l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rQKtcAAAAGAQAADwAAAAAAAAABACAAAAAiAAAAZHJzL2Rvd25yZXYueG1sUEsBAhQAFAAAAAgA&#10;h07iQGOfSt5fAgAAowQAAA4AAAAAAAAAAQAgAAAAJgEAAGRycy9lMm9Eb2MueG1sUEsFBgAAAAAG&#10;AAYAWQEAAPcFAAAAAA==&#10;">
                  <v:fill on="f" focussize="0,0"/>
                  <v:stroke on="f" weight="0.5pt"/>
                  <v:imagedata o:title=""/>
                  <o:lock v:ext="edit" aspectratio="f"/>
                  <v:textbox>
                    <w:txbxContent>
                      <w:p w14:paraId="77F42DB5">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w:t>
                        </w:r>
                      </w:p>
                    </w:txbxContent>
                  </v:textbox>
                </v:rect>
                <v:rect id="_x0000_s1026" o:spid="_x0000_s1026" o:spt="1" style="position:absolute;left:995680;top:2612390;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AiS5u9XQIAAKMEAAAOAAAAZHJzL2Uyb0RvYy54bWytVM1u&#10;EzEQviPxDpbvdDdpkjZRN1XUqAipgkoFcXa83qwl/2E72ZSXQeLGQ/A4iNfgs3fbRoVDD1y8M57J&#10;N/6+mcnF5UErshc+SGsqOjopKRGG21qabUU/fbx+c05JiMzUTFkjKnovAr1cvn510bmFGNvWqlp4&#10;AhATFp2raBujWxRF4K3QLJxYJwyCjfWaRbh+W9SedUDXqhiX5azorK+dt1yEgNt1H6QDon8JoG0a&#10;ycXa8p0WJvaoXigWQSm00gW6zK9tGsHjh6YJIhJVUTCN+UQR2Jt0FssLtth65lrJhyewlzzhGSfN&#10;pEHRR6g1i4zsvPwLSkvubbBNPOFWFz2RrAhYjMpn2ty1zInMBVIH9yh6+H+w/P3+1hNZV3Q8nVJi&#10;mEbLf3/78evnd5JuoE/nwgJpd+7WD16AmcgeGq/TFzTIoaLz+XR2DmHvATYbjU/ng7ziEAlHfFqe&#10;lyXiPCdMzuYZvnjCcT7Et8JqkoyKenQvi8r2NyGiNlIfUlJZY6+lUrmDypCuorPTaYJnmMoG0wBT&#10;OzALZksJU1uMO48+Ix79NCGuWWjJnmFGglWyTqxRSxl8Evueb7LiYXMYRNjY+h7SedvPVHD8WgLq&#10;hoV4yzyGCE/BmsUPOBpl8Tw7WJS01n/9133KR28RpaTDUOI9X3bMC0rUO4Ouz0eTCWBjdibTszEc&#10;fxzZHEfMTl9ZcBphoR3PZsqP6sFsvNWfsY2rVBUhZjhq9yoNzlXslwX7zMVqldMwuY7FG3PneALv&#10;W7HaRdvI3KUkVK/OoB9mNws67FlajmM/Zz39ty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Eq&#10;0CrXAAAABgEAAA8AAAAAAAAAAQAgAAAAIgAAAGRycy9kb3ducmV2LnhtbFBLAQIUABQAAAAIAIdO&#10;4kAiS5u9XQIAAKMEAAAOAAAAAAAAAAEAIAAAACYBAABkcnMvZTJvRG9jLnhtbFBLBQYAAAAABgAG&#10;AFkBAAD1BQAAAAA=&#10;">
                  <v:fill on="f" focussize="0,0"/>
                  <v:stroke on="f" weight="0.5pt"/>
                  <v:imagedata o:title=""/>
                  <o:lock v:ext="edit" aspectratio="f"/>
                  <v:textbox>
                    <w:txbxContent>
                      <w:p w14:paraId="2375C83E">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w:t>
                        </w:r>
                      </w:p>
                    </w:txbxContent>
                  </v:textbox>
                </v:rect>
                <v:rect id="_x0000_s1026" o:spid="_x0000_s1026" o:spt="1" style="position:absolute;left:1694180;top:2613025;height:264160;width:53721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AISA7MXgIAAKQEAAAOAAAAZHJzL2Uyb0RvYy54bWytVEtu&#10;2zAQ3RfoHQjuG1mO7SRG5MCIkaJA0ARIi65pirII8FeStpxepkB3PUSOU/QafaSUxEi7yKIbasgZ&#10;v5n3ZsbnF3utyE74IK2paHk0okQYbmtpNhX9/Onq3SklITJTM2WNqOi9CPRi8fbNeefmYmxbq2rh&#10;CUBMmHeuom2Mbl4UgbdCs3BknTBwNtZrFnH1m6L2rAO6VsV4NJoVnfW185aLEPC66p10QPSvAbRN&#10;I7lYWb7VwsQe1QvFIiiFVrpAF7naphE83jRNEJGoioJpzCeSwF6ns1ics/nGM9dKPpTAXlPCC06a&#10;SYOkT1ArFhnZevkXlJbc22CbeMStLnoiWRGwKEcvtLlrmROZC6QO7kn08P9g+cfdrSeyruh4isYb&#10;ptHy399//nr4QdIL9OlcmCPszt364RZgJrL7xuv0BQ2yxyzNziblKZS9B9qsPB6Np72+Yh8JR8D0&#10;+GRcws9zwKScZf2LZyDnQ3wvrCbJqKhH+7KqbHcdIpIj9DEk5TX2SiqVW6gM6So6O54meIaxbDAO&#10;MLUDtWA2lDC1wbzz6DPiwU8T4oqFluwYhiRYJetUNnIpg0+i3xNOVtyv94MKa1vfQztv+6EKjl9J&#10;QF2zEG+ZxxShFOxZvMHRKIvy7GBR0lr/7V/vKR7NhZeSDlOJer5umReUqA8GbT8rJxPAxnyZTE/G&#10;uPhDz/rQY7b60oJTiY12PJspPqpHs/FWf8E6LlNWuJjhyN2rNFwuY78tWGgulsschtF1LF6bO8cT&#10;eN+K5TbaRuYuJaF6dQb9MLxZ0GHR0nYc3nPU85/L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B&#10;KtAq1wAAAAYBAAAPAAAAAAAAAAEAIAAAACIAAABkcnMvZG93bnJldi54bWxQSwECFAAUAAAACACH&#10;TuJACEgOzF4CAACkBAAADgAAAAAAAAABACAAAAAmAQAAZHJzL2Uyb0RvYy54bWxQSwUGAAAAAAYA&#10;BgBZAQAA9gUAAAAA&#10;">
                  <v:fill on="f" focussize="0,0"/>
                  <v:stroke on="f" weight="0.5pt"/>
                  <v:imagedata o:title=""/>
                  <o:lock v:ext="edit" aspectratio="f"/>
                  <v:textbox>
                    <w:txbxContent>
                      <w:p w14:paraId="749F9E7F">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w:t>
                        </w:r>
                      </w:p>
                    </w:txbxContent>
                  </v:textbox>
                </v:rect>
                <v:rect id="_x0000_s1026" o:spid="_x0000_s1026" o:spt="1" style="position:absolute;left:3256280;top:2628900;height:264160;width:53721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e9Zl4XAIAAKQEAAAOAAAAZHJzL2Uyb0RvYy54bWytVEtu&#10;2zAQ3RfoHQjuG9mK7SRG5MCIkaJA0ARIi65pirII8FeStpxepkB3PUSOU/QafaSUxEi7yKIbaoYz&#10;fjPvzdDnF3utyE74IK2p6PhoRIkw3NbSbCr6+dPVu1NKQmSmZsoaUdF7EejF4u2b887NRWlbq2rh&#10;CUBMmHeuom2Mbl4UgbdCs3BknTAINtZrFuH6TVF71gFdq6IcjWZFZ33tvOUiBNyu+iAdEP1rAG3T&#10;SC5Wlm+1MLFH9UKxCEqhlS7QRe62aQSPN00TRCSqomAa84kisNfpLBbnbL7xzLWSDy2w17TwgpNm&#10;0qDoE9SKRUa2Xv4FpSX3NtgmHnGri55IVgQsxqMX2ty1zInMBVIH9yR6+H+w/OPu1hNZV7ScjSkx&#10;TGPkv7///PXwg6Qb6NO5MEfanbv1gxdgJrL7xuv0BQ2yr+hxOZ2Vp1D2PqGVp2ejQV+xj4QjYXp8&#10;Uo4R5zlhMp7lePEM5HyI74XVJBkV9RhfVpXtrkNEcaQ+pqS6xl5JpfIIlSFdRWfH0wTPsJYN1gGm&#10;dqAWzIYSpjbYdx59Rjz4aUJcsdCSHcOSBKtknWijljL4JPo94WTF/Xo/qLC29T2087ZfquD4lQTU&#10;NQvxlnlsEVrBO4s3OBpl0Z4dLEpa67/96z7lY7iIUtJhK9HP1y3zghL1wWDsZ+PJBLAxO5PpSQnH&#10;H0bWhxGz1ZcWnDBYdJfNlB/Vo9l4q7/gOS5TVYSY4ajdqzQ4l7F/LXjQXCyXOQ2r61i8NneOJ/B+&#10;FMtttI3MU0pC9eoM+mF5s6DDQ0uv49DPWc9/L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rQ&#10;KtcAAAAGAQAADwAAAAAAAAABACAAAAAiAAAAZHJzL2Rvd25yZXYueG1sUEsBAhQAFAAAAAgAh07i&#10;QJ71mXhcAgAApAQAAA4AAAAAAAAAAQAgAAAAJgEAAGRycy9lMm9Eb2MueG1sUEsFBgAAAAAGAAYA&#10;WQEAAPQFAAAAAA==&#10;">
                  <v:fill on="f" focussize="0,0"/>
                  <v:stroke on="f" weight="0.5pt"/>
                  <v:imagedata o:title=""/>
                  <o:lock v:ext="edit" aspectratio="f"/>
                  <v:textbox>
                    <w:txbxContent>
                      <w:p w14:paraId="3FE20595">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w:t>
                        </w:r>
                      </w:p>
                    </w:txbxContent>
                  </v:textbox>
                </v:rect>
                <v:rect id="_x0000_s1026" o:spid="_x0000_s1026" o:spt="1" style="position:absolute;left:4649470;top:4916170;height:264160;width:53721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adD7WXgIAAKQEAAAOAAAAZHJzL2Uyb0RvYy54bWytVEtu&#10;2zAQ3RfoHQjuG1m2ojRG5MCI4aJA0ARIi65pirIE8FeStpxepkB3PUSPU/QafaSUxEi7yKIbaoYz&#10;fjPvccYXlwclyV443xld0fxkQonQ3NSd3lb008f1m7eU+MB0zaTRoqL3wtPLxetXF72di6lpjayF&#10;IwDRft7birYh2HmWed4KxfyJsUIj2BinWIDrtlntWA90JbPpZFJmvXG1dYYL73G7GoJ0RHQvATRN&#10;03GxMnynhA4DqhOSBVDybWc9XaRum0bwcNM0XgQiKwqmIZ0oAnsTz2xxweZbx2zb8bEF9pIWnnFS&#10;rNMo+gi1YoGRnev+glIdd8abJpxwo7KBSFIELPLJM23uWmZF4gKpvX0U3f8/WP5hf+tIV1d0Ws4o&#10;0UzhyX9/+/Hr53cSb6BPb/0caXf21o2ehxnJHhqn4hc0yKGiRVmcF2dQ9h72eV7msJO+4hAIR8Lp&#10;7GyaI86RMC2LvEzx7AnIOh/eCaNINCrq8HxJVba/9gFQSH1IiXW1WXdSphJSk76i5ew0wjOMZYNx&#10;gKksqHm9pYTJLeadB5cQj34aEVfMt2TPMCTeyK6ObaOW1PhE+gPhaIXD5oBgNDemvod2zgxD5S1f&#10;d4C6Zj7cMocpQivYs3CDo5EG7ZnRoqQ17uu/7mM+HhdRSnpMJfr5smNOUCLfazz7eV4UgA3JKU7P&#10;pnDccWRzHNE7dWXAKcdGW57MmB/kg9k4oz5jHZexKkJMc9QeVBqdqzBsCxaai+UypWF0LQvX+s7y&#10;CD48xXIXTNOlV3pSZ9QPw5sEHRctbsexn7Ke/lw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B&#10;KtAq1wAAAAYBAAAPAAAAAAAAAAEAIAAAACIAAABkcnMvZG93bnJldi54bWxQSwECFAAUAAAACACH&#10;TuJAmnQ+1l4CAACkBAAADgAAAAAAAAABACAAAAAmAQAAZHJzL2Uyb0RvYy54bWxQSwUGAAAAAAYA&#10;BgBZAQAA9gUAAAAA&#10;">
                  <v:fill on="f" focussize="0,0"/>
                  <v:stroke on="f" weight="0.5pt"/>
                  <v:imagedata o:title=""/>
                  <o:lock v:ext="edit" aspectratio="f"/>
                  <v:textbox>
                    <w:txbxContent>
                      <w:p w14:paraId="3CBF38D9">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w:t>
                        </w:r>
                      </w:p>
                    </w:txbxContent>
                  </v:textbox>
                </v:rect>
                <v:rect id="_x0000_s1026" o:spid="_x0000_s1026" o:spt="1" style="position:absolute;left:2971165;top:4266565;height:252095;width:50038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DKyzf3XwIAAKQEAAAOAAAAZHJzL2Uyb0RvYy54bWytVEtu&#10;2zAQ3RfoHQjuG8mKP4kROTBipCgQNAHcomuaoiwB/JWkLaeXKdBdD5HjFL1GHyklMdIusuiGmuGM&#10;38x7nPHF5UFJshfOt0aXdHSSUyI0N1WrtyX9/On63RklPjBdMWm0KOm98PRy8fbNRWfnojCNkZVw&#10;BCDazztb0iYEO88yzxuhmD8xVmgEa+MUC3DdNqsc64CuZFbk+TTrjKusM1x4j9tVH6QDonsNoKnr&#10;louV4TsldOhRnZAsgJJvWuvpInVb14KH27r2IhBZUjAN6UQR2Jt4ZosLNt86ZpuWDy2w17TwgpNi&#10;rUbRJ6gVC4zsXPsXlGq5M97U4YQblfVEkiJgMcpfaLNumBWJC6T29kl0//9g+cf9nSNtVdJiNqNE&#10;M4Un//3956+HHyTeQJ/O+jnS1vbODZ6HGckeaqfiFzTIAQjns9FoOqHkvqTjYjqdwE76ikMgHAmT&#10;PD89g/IcCcWkyM9TPHsGss6H98IoEo2SOjxfUpXtb3wAFFIfU2Jdba5bKVMJqUlX0unpJMIzjGWN&#10;cYCpLKh5vaWEyS3mnQeXEI9+GhFXzDdkzzAk3si2im2jltT4RPo94WiFw+aAYDQ3prqHds70Q+Ut&#10;v24BdcN8uGMOU4RWsGfhFkctDdozg0VJY9y3f93HfDwuopR0mEr083XHnKBEftB49vPReAzYkJzx&#10;ZFbAcceRzXFE79SVAacRNtryZMb8IB/N2hn1Beu4jFURYpqjdq/S4FyFfluw0FwslykNo2tZuNFr&#10;yyN4/xTLXTB1m17pWZ1BPwxvEnRYtLgdx37Kev5z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rQKtcAAAAGAQAADwAAAAAAAAABACAAAAAiAAAAZHJzL2Rvd25yZXYueG1sUEsBAhQAFAAAAAgA&#10;h07iQMrLN/dfAgAApAQAAA4AAAAAAAAAAQAgAAAAJgEAAGRycy9lMm9Eb2MueG1sUEsFBgAAAAAG&#10;AAYAWQEAAPcFAAAAAA==&#10;">
                  <v:fill on="f" focussize="0,0"/>
                  <v:stroke on="f" weight="0.5pt"/>
                  <v:imagedata o:title=""/>
                  <o:lock v:ext="edit" aspectratio="f"/>
                  <v:textbox>
                    <w:txbxContent>
                      <w:p w14:paraId="6F4AC766">
                        <w:pPr>
                          <w:keepNext w:val="0"/>
                          <w:keepLines w:val="0"/>
                          <w:pageBreakBefore w:val="0"/>
                          <w:widowControl w:val="0"/>
                          <w:kinsoku/>
                          <w:wordWrap/>
                          <w:overflowPunct/>
                          <w:topLinePunct w:val="0"/>
                          <w:bidi w:val="0"/>
                          <w:adjustRightInd/>
                          <w:snapToGrid/>
                          <w:spacing w:line="0" w:lineRule="atLeast"/>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G2、N</w:t>
                        </w:r>
                      </w:p>
                    </w:txbxContent>
                  </v:textbox>
                </v:rect>
                <v:rect id="_x0000_s1026" o:spid="_x0000_s1026" o:spt="1" style="position:absolute;left:3886835;top:1805305;height:264795;width:54483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87r0AYAIAAKQEAAAOAAAAZHJzL2Uyb0RvYy54bWytVEtu&#10;2zAQ3RfoHQjua/kfxYgcGDFcFAiaAGnRNU1RlgD+StKW08sU6K6HyHGKXqOPlJIYaRdZdEMNOeM3&#10;897M+OLyqCQ5COcbows6GgwpEZqbstG7gn7+tHmXU+ID0yWTRouC3gtPL5dv31y0diHGpjayFI4A&#10;RPtFawtah2AXWeZ5LRTzA2OFhrMyTrGAq9tlpWMt0JXMxsPhPGuNK60zXHiP13XnpD2iew2gqaqG&#10;i7XheyV06FCdkCyAkq8b6+kyVVtVgoebqvIiEFlQMA3pRBLY23hmywu22Dlm64b3JbDXlPCCk2KN&#10;RtInqDULjOxd8xeUargz3lRhwI3KOiJJEbAYDV9oc1czKxIXSO3tk+j+/8Hyj4dbR5qyoOMcmmim&#10;0PLf33/+evhB4gv0aa1fIOzO3rr+5mFGssfKqfgFDXIs6CTP5/lkRsk95iofzibDWaevOAbCETCb&#10;TvMJsnAEjOfTs/Pkz56BrPPhvTCKRKOgDu1LqrLDtQ9IjtDHkJhXm00jZWqh1KQt6Hwyi/AMY1lh&#10;HGAqC2pe7yhhcod558ElxJOfRsQ18zU5MAyJN7IpY9nIJTU+kX5HOFrhuD32KmxNeQ/tnOmGylu+&#10;aQB1zXy4ZQ5ThFKwZ+EGRyUNyjO9RUlt3Ld/vcd4NBdeSlpMJer5umdOUCI/aLT9fDSdAjaky3R2&#10;NsbFnXq2px69V1cGnEbYaMuTGeODfDQrZ9QXrOMqZoWLaY7cnUr95Sp024KF5mK1SmEYXcvCtb6z&#10;PIJ3rVjtg6ma1KUoVKdOrx+GNwnaL1rcjtN7inr+c1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Eq0CrXAAAABgEAAA8AAAAAAAAAAQAgAAAAIgAAAGRycy9kb3ducmV2LnhtbFBLAQIUABQAAAAI&#10;AIdO4kC87r0AYAIAAKQEAAAOAAAAAAAAAAEAIAAAACYBAABkcnMvZTJvRG9jLnhtbFBLBQYAAAAA&#10;BgAGAFkBAAD4BQAAAAA=&#10;">
                  <v:fill on="f" focussize="0,0"/>
                  <v:stroke on="f" weight="0.5pt"/>
                  <v:imagedata o:title=""/>
                  <o:lock v:ext="edit" aspectratio="f"/>
                  <v:textbox>
                    <w:txbxContent>
                      <w:p w14:paraId="0D1FE614">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G2、W4</w:t>
                        </w:r>
                      </w:p>
                    </w:txbxContent>
                  </v:textbox>
                </v:rect>
                <v:rect id="_x0000_s1026" o:spid="_x0000_s1026" o:spt="1" style="position:absolute;left:2245995;top:4326255;height:228600;width:50038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DDUJefYAIAAKQEAAAOAAAAZHJzL2Uyb0RvYy54bWytVEtu&#10;2zAQ3RfoHQjuG8mK5TpG5MCIkaJA0ARIi65pirIE8FeStpxepkB3PUSPU/QafaSUxEi7yKIbaoYc&#10;v5n3ZsbnFwclyV443xld0clJTonQ3NSd3lb008erN3NKfGC6ZtJoUdF74enF8vWr894uRGFaI2vh&#10;CEC0X/S2om0IdpFlnrdCMX9irNB4bIxTLMB126x2rAe6klmR57OsN662znDhPW7XwyMdEd1LAE3T&#10;dFysDd8pocOA6oRkAZR821lPl6naphE83DSNF4HIioJpSCeSwN7EM1ues8XWMdt2fCyBvaSEZ5wU&#10;6zSSPkKtWWBk57q/oFTHnfGmCSfcqGwgkhQBi0n+TJu7llmRuEBqbx9F9/8Pln/Y3zrS1RUt5hNK&#10;NFNo+e9vP379/E7iDfTprV8g7M7eutHzMCPZQ+NU/IIGOQChmJZnZyUl9xWdnhazoiwHfcUhEI6A&#10;Ms9P51CeI6Ao5rM86Z89AVnnwzthFIlGRR3al1Rl+2sfkByhDyExrzZXnZSphVKTvqKz0zLCM4xl&#10;g3GAqSyoeb2lhMkt5p0HlxCPfhoR18y3ZM8wJN7Iro5lI5fU+ET6A+FohcPmMKqwMfU9tHNmGCpv&#10;+VUHqGvmwy1zmCKUgj0LNzgaaVCeGS1KWuO+/us+xqO5eKWkx1Sini875gQl8r1G288m0ylgQ3Km&#10;5dsCjjt+2Ry/6J26NOCExqK6ZMb4IB/Mxhn1Geu4ilnxxDRH7kGl0bkMw7ZgoblYrVIYRteycK3v&#10;LI/gQytWu2CaLnUpCjWoM+qH4U2CjosWt+PYT1FPfy7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Eq0CrXAAAABgEAAA8AAAAAAAAAAQAgAAAAIgAAAGRycy9kb3ducmV2LnhtbFBLAQIUABQAAAAI&#10;AIdO4kDDUJefYAIAAKQEAAAOAAAAAAAAAAEAIAAAACYBAABkcnMvZTJvRG9jLnhtbFBLBQYAAAAA&#10;BgAGAFkBAAD4BQAAAAA=&#10;">
                  <v:fill on="f" focussize="0,0"/>
                  <v:stroke on="f" weight="0.5pt"/>
                  <v:imagedata o:title=""/>
                  <o:lock v:ext="edit" aspectratio="f"/>
                  <v:textbox>
                    <w:txbxContent>
                      <w:p w14:paraId="513BF694">
                        <w:pPr>
                          <w:keepNext w:val="0"/>
                          <w:keepLines w:val="0"/>
                          <w:pageBreakBefore w:val="0"/>
                          <w:widowControl w:val="0"/>
                          <w:kinsoku/>
                          <w:wordWrap/>
                          <w:overflowPunct/>
                          <w:topLinePunct w:val="0"/>
                          <w:bidi w:val="0"/>
                          <w:adjustRightInd/>
                          <w:snapToGrid/>
                          <w:spacing w:line="0" w:lineRule="atLeast"/>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S6</w:t>
                        </w:r>
                      </w:p>
                    </w:txbxContent>
                  </v:textbox>
                </v:rect>
                <v:rect id="_x0000_s1026" o:spid="_x0000_s1026" o:spt="1" style="position:absolute;left:3368040;top:3481705;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AU73QHXwIAAKQEAAAOAAAAZHJzL2Uyb0RvYy54bWytVEtu&#10;2zAQ3RfoHQjua8nfOEbkwIjhokDQBEiLrmmKsgTwV5K2nF6mQHc9RI5T9Bp9pJTESLvIohtqyBm/&#10;mfdmxheXRyXJQTjfGF3Q4SCnRGhuykbvCvr50+bdnBIfmC6ZNFoU9F54erl8++aitQsxMrWRpXAE&#10;INovWlvQOgS7yDLPa6GYHxgrNJyVcYoFXN0uKx1rga5kNsrzWdYaV1pnuPAer+vOSXtE9xpAU1UN&#10;F2vD90ro0KE6IVkAJV831tNlqraqBA83VeVFILKgYBrSiSSwt/HMlhdssXPM1g3vS2CvKeEFJ8Ua&#10;jaRPUGsWGNm75i8o1XBnvKnCgBuVdUSSImAxzF9oc1czKxIXSO3tk+j+/8Hyj4dbR5qyoKP5mBLN&#10;FFr++/vPXw8/SHyBPq31C4Td2VvX3zzMSPZYORW/oEGOBR2PZ/N8AmXvYU/mw7N82ukrjoFwBEzz&#10;eZ7DzxEwmk3OzpM/ewayzof3wigSjYI6tC+pyg7XPiA5Qh9DYl5tNo2UqYVSk7ags/E0wjOMZYVx&#10;gKksqHm9o4TJHeadB5cQT34aEdfM1+TAMCTeyKaMZSOX1PhE+h3haIXj9tirsDXlPbRzphsqb/mm&#10;AdQ18+GWOUwRSsGehRsclTQoz/QWJbVx3/71HuPRXHgpaTGVqOfrnjlBifyg0fbz4SQKHNJlMj0b&#10;4eJOPdtTj96rKwNOQ2y05cmM8UE+mpUz6gvWcRWzwsU0R+5Opf5yFbptwUJzsVqlMIyuZeFa31ke&#10;wbtWrPbBVE3qUhSqU6fXD8ObBO0XLW7H6T1FPf+5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rQKtcAAAAGAQAADwAAAAAAAAABACAAAAAiAAAAZHJzL2Rvd25yZXYueG1sUEsBAhQAFAAAAAgA&#10;h07iQBTvdAdfAgAApAQAAA4AAAAAAAAAAQAgAAAAJgEAAGRycy9lMm9Eb2MueG1sUEsFBgAAAAAG&#10;AAYAWQEAAPcFAAAAAA==&#10;">
                  <v:fill on="f" focussize="0,0"/>
                  <v:stroke on="f" weight="0.5pt"/>
                  <v:imagedata o:title=""/>
                  <o:lock v:ext="edit" aspectratio="f"/>
                  <v:textbox>
                    <w:txbxContent>
                      <w:p w14:paraId="4F651712">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W4、S3</w:t>
                        </w:r>
                      </w:p>
                    </w:txbxContent>
                  </v:textbox>
                </v:rect>
                <v:rect id="_x0000_s1026" o:spid="_x0000_s1026" o:spt="1" style="position:absolute;left:2276475;top:3474085;height:264795;width:617855;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DgHJCxXwIAAKQEAAAOAAAAZHJzL2Uyb0RvYy54bWytVEtu&#10;2zAQ3RfoHQjua9mOHSdG5MCI4aJA0ARIi65pirII8FeStpxepkB3PUSOU/QafaSUxEi7yKIbakYz&#10;esP3ZkYXlwetyF74IK0p6WgwpEQYbitptiX9/Gn97oySEJmpmLJGlPReBHq5ePvmonVzMbaNVZXw&#10;BCAmzFtX0iZGNy+KwBuhWRhYJwyCtfWaRbh+W1SetUDXqhgPh6dFa33lvOUiBLxddUHaI/rXANq6&#10;llysLN9pYWKH6oViEZRCI12gi3zbuhY83tR1EJGokoJpzCeKwN6ks1hcsPnWM9dI3l+BveYKLzhp&#10;Jg2KPkGtWGRk5+VfUFpyb4Ot44BbXXREsiJgMRq+0OauYU5kLpA6uCfRw/+D5R/3t57IqqTjsykl&#10;hmm0/Pf3n78efpD0Bvq0LsyRdudufe8FmInsofY6PUGDHIAwnp1OZkC5L+nJZDYZdt+zuThEwpFw&#10;OpqdTRHnSBgj9TzjF89Azof4XlhNklFSj/ZlVdn+OkQUR+pjSqpr7FoqlVuoDGlR4GSKxnKGsawx&#10;DjC1A7VgtpQwtcW88+gz4tGnCXHFQkP2DEMSrJJVoo1ayuCR6HeEkxUPm0OvwsZW99DO226oguNr&#10;CahrFuIt85giXAV7Fm9w1Mriera3KGms//av9ykfzUWUkhZTift83TEvKFEfDNp+PppM0hhnZzKd&#10;jeH448jmOGJ2+sqC0wgb7Xg2U35Uj2btrf6CdVymqggxw1G7U6l3rmK3LVhoLpbLnIbRdSxemzvH&#10;E3jXiuUu2lrmLiWhOnV6/TC8WdB+0dJ2HPs56/nns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rQKtcAAAAGAQAADwAAAAAAAAABACAAAAAiAAAAZHJzL2Rvd25yZXYueG1sUEsBAhQAFAAAAAgA&#10;h07iQOAckLFfAgAApAQAAA4AAAAAAAAAAQAgAAAAJgEAAGRycy9lMm9Eb2MueG1sUEsFBgAAAAAG&#10;AAYAWQEAAPcFAAAAAA==&#10;">
                  <v:fill on="f" focussize="0,0"/>
                  <v:stroke on="f" weight="0.5pt"/>
                  <v:imagedata o:title=""/>
                  <o:lock v:ext="edit" aspectratio="f"/>
                  <v:textbox>
                    <w:txbxContent>
                      <w:p w14:paraId="182C25D2">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S5</w:t>
                        </w:r>
                      </w:p>
                    </w:txbxContent>
                  </v:textbox>
                </v:rect>
                <v:rect id="_x0000_s1026" o:spid="_x0000_s1026" o:spt="1" style="position:absolute;left:1506855;top:4277360;height:264160;width:53721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A8B9PxXwIAAKQEAAAOAAAAZHJzL2Uyb0RvYy54bWytVM1u&#10;EzEQviPxDpbvdJNtfkrUTRU1KkKqaKWCODteO7uS/7CdbMrLIHHjIXgcxGvw2btto8KhBy7eGc/k&#10;G3/fzOT84qAV2QsfWmsqOj4ZUSIMt3VrthX99PHqzRklITJTM2WNqOi9CPRi+frVeecWorSNVbXw&#10;BCAmLDpX0SZGtyiKwBuhWTixThgEpfWaRbh+W9SedUDXqihHo1nRWV87b7kIAbfrPkgHRP8SQCtl&#10;y8Xa8p0WJvaoXigWQSk0rQt0mV8rpeDxRsogIlEVBdOYTxSBvUlnsTxni61nrmn58AT2kic846RZ&#10;a1D0EWrNIiM73/4FpVvubbAynnCri55IVgQsxqNn2tw1zInMBVIH9yh6+H+w/MP+1pO2rmh5NqfE&#10;MI2W//7249fP7yTdQJ/OhQXS7tytH7wAM5E9SK/TFzTIAbM0Hc3OplNK7is6Kefz09mgrzhEwpEw&#10;PZ2XYyjPkVDOJuM+XjwBOR/iO2E1SUZFPdqXVWX76xBRHKkPKamusVetUrmFypCuorPTaYJnGEuJ&#10;cYCpHagFs6WEqS3mnUefEY9+mhDXLDRkzzAkwaq2TrRRSxl8Ev2ecLLiYXMYVNjY+h7aedsPVXD8&#10;qgXUNQvxlnlMEZ6CPYs3OKSyeJ4dLEoa67/+6z7lo7mIUtJhKvGeLzvmBSXqvUHb344nE8DG7Eym&#10;8xKOP45sjiNmpy8tOI2x0Y5nM+VH9WBKb/VnrOMqVUWIGY7avUqDcxn7bcFCc7Fa5TSMrmPx2tw5&#10;nsD7Vqx20co2dykJ1asz6IfhzYIOi5a249jPWU9/Ls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rQKtcAAAAGAQAADwAAAAAAAAABACAAAAAiAAAAZHJzL2Rvd25yZXYueG1sUEsBAhQAFAAAAAgA&#10;h07iQDwH0/FfAgAApAQAAA4AAAAAAAAAAQAgAAAAJgEAAGRycy9lMm9Eb2MueG1sUEsFBgAAAAAG&#10;AAYAWQEAAPcFAAAAAA==&#10;">
                  <v:fill on="f" focussize="0,0"/>
                  <v:stroke on="f" weight="0.5pt"/>
                  <v:imagedata o:title=""/>
                  <o:lock v:ext="edit" aspectratio="f"/>
                  <v:textbox>
                    <w:txbxContent>
                      <w:p w14:paraId="0A6E05ED">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w:t>
                        </w:r>
                      </w:p>
                    </w:txbxContent>
                  </v:textbox>
                </v:rect>
                <v:line id="_x0000_s1026" o:spid="_x0000_s1026" o:spt="20" style="position:absolute;left:157480;top:1341755;flip:x;height:0;width:1677670;" filled="f" stroked="t" coordsize="21600,21600" o:gfxdata="UEsDBAoAAAAAAIdO4kAAAAAAAAAAAAAAAAAEAAAAZHJzL1BLAwQUAAAACACHTuJA3f6xANcAAAAG&#10;AQAADwAAAGRycy9kb3ducmV2LnhtbE2PT0vDQBDF74LfYRnBm91NKjGk2RTxD4ggYit43WanSWx2&#10;NmQ3bfz2jl708mB4j/d+U65n14sjjqHzpCFZKBBItbcdNRret49XOYgQDVnTe0INXxhgXZ2flaaw&#10;/kRveNzERnAJhcJoaGMcCilD3aIzYeEHJPb2fnQm8jk20o7mxOWul6lSmXSmI15ozYB3LdaHzeQ0&#10;vKbNcniw28P1y3P9dJPP97cf06fWlxeJWoGIOMe/MPzgMzpUzLTzE9kgeg38SPxV9vKlykDsOJRk&#10;KgVZlfI/fvUNUEsDBBQAAAAIAIdO4kDmvXzI7gEAALMDAAAOAAAAZHJzL2Uyb0RvYy54bWytU81u&#10;EzEQviPxDpbvZJO0ybarbHpoVDggiAQ8gOO1dy35Tx43m7wEL4DEDU4cufdtKI/B2LsttL30wB6s&#10;sefzN/N9nl1dHIwmexFAOVvT2WRKibDcNcq2Nf308erVGSUQmW2YdlbU9CiAXqxfvlj1vhJz1znd&#10;iECQxELV+5p2MfqqKIB3wjCYOC8sJqULhkXchrZoAuuR3ehiPp0ui96FxgfHBQCeboYkHRnDcwid&#10;lIqLjePXRtg4sAahWURJ0CkPdJ27lVLw+F5KEJHomqLSmFcsgvEurcV6xao2MN8pPrbAntPCI02G&#10;KYtF76k2LDJyHdQTKqN4cOBknHBnikFIdgRVzKaPvPnQMS+yFrQa/L3p8P9o+bv9NhDV1HR+jp5Y&#10;ZvDJb7/8/PX52++br7je/vhOUgqN6j1UiL+02zDuwG9DUn2QwRCplX+DE5V9QGXkgJtFeXqGvEcM&#10;T05n5WIxOC4OkfCUX5blskQAR0QuUgxsidUHiK+FMyQFNdXKJjNYxfZvIWIHCL2DpGPrrpTW+UG1&#10;JX1NlyeLxMxwSCUOB4bGo1CwLSVMtzj9PIbMCE6rJt1OPBDa3aUOZM/SzOQvNY3VHsBS6Q2DbsDl&#10;1AjTFtHJrMGeFO1cc8yu5XN8y8w3zl0aln/3+fbff23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3+sQDXAAAABgEAAA8AAAAAAAAAAQAgAAAAIgAAAGRycy9kb3ducmV2LnhtbFBLAQIUABQAAAAI&#10;AIdO4kDmvXzI7gEAALMDAAAOAAAAAAAAAAEAIAAAACYBAABkcnMvZTJvRG9jLnhtbFBLBQYAAAAA&#10;BgAGAFkBAACGBQAAAAA=&#10;">
                  <v:fill on="f" focussize="0,0"/>
                  <v:stroke weight="0.5pt" color="#000000 [3213]" joinstyle="round"/>
                  <v:imagedata o:title=""/>
                  <o:lock v:ext="edit" aspectratio="f"/>
                </v:line>
                <v:rect id="_x0000_s1026" o:spid="_x0000_s1026" o:spt="1" style="position:absolute;left:3272155;top:5196205;height:307975;width:495300;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lKtWMcQIAAM0EAAAOAAAAZHJzL2Uyb0RvYy54bWytVM1uEzEQ&#10;viPxDpbvdDebbEOibqqoURFSBZUK4ux47awl/zF2sikvg8SNh+BxEK/B2Lv9oXDogRycsefLN/4+&#10;z+Ts/Gg0OQgIytmGTk5KSoTlrlV219CPHy5fvaYkRGZbpp0VDb0VgZ6vXr446/1SVK5zuhVAkMSG&#10;Ze8b2sXol0UReCcMCyfOC4tJ6cCwiFvYFS2wHtmNLqqyPC16B60Hx0UIeLoZknRkhOcQOikVFxvH&#10;90bYOLCC0CyipNApH+gq31ZKweN7KYOIRDcUlca8YhGMt2ktVmdsuQPmO8XHK7DnXOGJJsOUxaL3&#10;VBsWGdmD+ovKKA4uOBlPuDPFICQ7giom5RNvbjrmRdaCVgd/b3r4f7T83eEaiGobWi2mlFhm8Ml/&#10;ff3+88c3kk7Qn96HJcJu/DWMu4BhEnuUYNI3yiDHhk6reTWpa0puG1pPFqdVWQ/+imMkHAGzRT0t&#10;0XmOgGk5X8xzvngg8hDiG+EMSUFDAZ8vu8oOVyFicYTeQVJd6y6V1vkJtSV9Q0+ndaJn2JYS2wFD&#10;41FasDtKmN5hv/MImTE4rdr068QTYLe90EAOLHVJ/qSLY7U/YKn0hoVuwOXUCNMW0cmnwZkUxeP2&#10;ONq1de0tmgxu6L7g+aVCqisW4jUDbDe8Mw5kfI+L1A51uDGipHPw5V/nCY9dgFlKemxfFPl5z0BQ&#10;ot9a7I/FZDZD2pg3s3pe4QYeZ7aPM3ZvLhxqn+Doe57DhI/6LpTgzCec23WqiilmOdYe7Bw3F3EY&#10;K5x8LtbrDMMe9yxe2RvPE/nwZut9dFLl50xGDe6M/mGXZ9/HiUxj9HifUQ//Qq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Ril/NQAAAAGAQAADwAAAAAAAAABACAAAAAiAAAAZHJzL2Rvd25yZXYu&#10;eG1sUEsBAhQAFAAAAAgAh07iQOUq1YxxAgAAzQQAAA4AAAAAAAAAAQAgAAAAIwEAAGRycy9lMm9E&#10;b2MueG1sUEsFBgAAAAAGAAYAWQEAAAYGAAAAAA==&#10;">
                  <v:fill on="f" focussize="0,0"/>
                  <v:stroke weight="0.5pt" color="#000000 [3213]" joinstyle="round"/>
                  <v:imagedata o:title=""/>
                  <o:lock v:ext="edit" aspectratio="f"/>
                  <v:textbox>
                    <w:txbxContent>
                      <w:p w14:paraId="230D5297">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G1、G2</w:t>
                        </w:r>
                      </w:p>
                    </w:txbxContent>
                  </v:textbox>
                </v:rect>
                <v:rect id="_x0000_s1026" o:spid="_x0000_s1026" o:spt="1" style="position:absolute;left:4061460;top:5227320;height:264795;width:71056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D/ltL9cAIAAM0EAAAOAAAAZHJzL2Uyb0RvYy54bWytVMtuEzEU&#10;3SPxD5b3dJJpHjTqpIoaFSFVtFJBrB2PJ2PJL2wnk/IzSOz4iH4O4jc49kwfFBZdkIVz7Xtyrs/x&#10;vTk9O2hF9sIHaU1Fx0cjSoThtpZmW9FPHy/evKUkRGZqpqwRFb0VgZ4tX7867dxClLa1qhaegMSE&#10;Recq2sboFkUReCs0C0fWCYNkY71mEVu/LWrPOrBrVZSj0azorK+dt1yEgNN1n6QDo38JoW0aycXa&#10;8p0WJvasXigWISm00gW6zLdtGsHjVdMEEYmqKJTGvKII4k1ai+UpW2w9c63kwxXYS67wTJNm0qDo&#10;A9WaRUZ2Xv5FpSX3NtgmHnGri15IdgQqxqNn3ty0zImsBVYH92B6+H+0/MP+2hNZV7Q8mVJimMaT&#10;//r24+fdd5JO4E/nwgKwG3fth11AmMQeGq/TN2SQQ0Uno9l4MoOztxWdluX8uBz8FYdIOADz8Wg6&#10;QxUOQDmbzHv+4pHI+RDfCatJCirq8XzZVba/DBHFAb2HpLrGXkil8hMqQ7qKzo6nKM8Z2rJBOyDU&#10;DtKC2VLC1Bb9zqPPjMEqWadfJ57gt5tz5cmepS7JnyQc1f6ApdJrFtoel1MDTBmgk0+9MymKh81h&#10;sGtj61uY7G3ffcHxCwmqSxbiNfNoN9wZAxmvsDTKQocdIkpa67/+6zzh0QXIUtKhfSHyy455QYl6&#10;b9AfJ+PJBLQxbybTOZ6C+KeZzdOM2elzC+1jjL7jOUz4qO7Dxlv9GXO7SlWRYoajdm/nsDmP/Vhh&#10;8rlYrTIMPe5YvDQ3jify/s1Wu2gbmZ8zGdW7M/iHLs++DxOZxujpPqMe/4W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5bS/XACAADNBAAADgAAAAAAAAABACAAAAAjAQAAZHJzL2Uyb0Rv&#10;Yy54bWxQSwUGAAAAAAYABgBZAQAABQYAAAAA&#10;">
                  <v:fill on="f" focussize="0,0"/>
                  <v:stroke weight="0.5pt" color="#000000 [3213]" joinstyle="round"/>
                  <v:imagedata o:title=""/>
                  <o:lock v:ext="edit" aspectratio="f"/>
                  <v:textbox>
                    <w:txbxContent>
                      <w:p w14:paraId="0B0FDB59">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活性炭装置</w:t>
                        </w:r>
                      </w:p>
                    </w:txbxContent>
                  </v:textbox>
                </v:rect>
                <v:rect id="_x0000_s1026" o:spid="_x0000_s1026" o:spt="1" style="position:absolute;left:4123690;top:5785485;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BTuM2gYAIAAKQEAAAOAAAAZHJzL2Uyb0RvYy54bWytVEtu&#10;2zAQ3RfoHQjuG8mO/4gcGDFSFAiaAG7RNU1RlgD+StKW08sU6K6HyHGKXqOPlJIYaRdZdEMNOeM3&#10;897M+OLyqCQ5COcbows6OMspEZqbstG7gn7+dP1uRokPTJdMGi0Kei88vVy+fXPR2oUYmtrIUjgC&#10;EO0XrS1oHYJdZJnntVDMnxkrNJyVcYoFXN0uKx1rga5kNszzSdYaV1pnuPAer+vOSXtE9xpAU1UN&#10;F2vD90ro0KE6IVkAJV831tNlqraqBA+3VeVFILKgYBrSiSSwt/HMlhdssXPM1g3vS2CvKeEFJ8Ua&#10;jaRPUGsWGNm75i8o1XBnvKnCGTcq64gkRcBikL/QZlMzKxIXSO3tk+j+/8Hyj4c7R5qyoMP5lBLN&#10;FFr++/vPXw8/SHyBPq31C4Rt7J3rbx5mJHusnIpf0CDHgo4Gw/PJHMreF3Q8nY1Hs3GnrzgGwhEw&#10;zmd5Dj9HwHAyms6TP3sGss6H98IoEo2COrQvqcoONz4gOUIfQ2Jeba4bKVMLpSZtQSfn4wjPMJYV&#10;xgGmsqDm9Y4SJneYdx5cQjz5aURcM1+TA8OQeCObMpaNXFLjE+l3hKMVjttjr8LWlPfQzpluqLzl&#10;1w2gbpgPd8xhilAK9izc4qikQXmmtyipjfv2r/cYj+bCS0mLqUQ9X/fMCUrkB422zwejEWBDuozG&#10;0yEu7tSzPfXovboy4DTARluezBgf5KNZOaO+YB1XMStcTHPk7lTqL1eh2xYsNBerVQrD6FoWbvTG&#10;8gjetWK1D6ZqUpeiUJ06vX4Y3iRov2hxO07vKer5z2X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Eq0CrXAAAABgEAAA8AAAAAAAAAAQAgAAAAIgAAAGRycy9kb3ducmV2LnhtbFBLAQIUABQAAAAI&#10;AIdO4kBTuM2gYAIAAKQEAAAOAAAAAAAAAAEAIAAAACYBAABkcnMvZTJvRG9jLnhtbFBLBQYAAAAA&#10;BgAGAFkBAAD4BQAAAAA=&#10;">
                  <v:fill on="f" focussize="0,0"/>
                  <v:stroke on="f" weight="0.5pt"/>
                  <v:imagedata o:title=""/>
                  <o:lock v:ext="edit" aspectratio="f"/>
                  <v:textbox>
                    <w:txbxContent>
                      <w:p w14:paraId="636F67A4">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S8、N</w:t>
                        </w:r>
                      </w:p>
                    </w:txbxContent>
                  </v:textbox>
                </v:rect>
                <v:rect id="_x0000_s1026" o:spid="_x0000_s1026" o:spt="1" style="position:absolute;left:3056890;top:6560820;height:264795;width:71056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MNZJxcAIAAM0EAAAOAAAAZHJzL2Uyb0RvYy54bWytVMtuEzEU&#10;3SPxD5b3dJI0SZuokypKFIRU0UoFsXY8nowlv7CdTMrPILHjI/gcxG9w7Jk+KCy6IIvJte+Zc32O&#10;752Ly6NW5CB8kNaUdHgyoEQYbitpdiX9+GHz5pySEJmpmLJGlPROBHq5eP3qonVzMbKNVZXwBCQm&#10;zFtX0iZGNy+KwBuhWTixThgka+s1i1j6XVF51oJdq2I0GEyL1vrKectFCNhdd0naM/qXENq6llys&#10;Ld9rYWLH6oViEZJCI12gi3zauhY8Xtd1EJGokkJpzE8UQbxNz2JxweY7z1wjeX8E9pIjPNOkmTQo&#10;+kC1ZpGRvZd/UWnJvQ22jifc6qITkh2BiuHgmTe3DXMia4HVwT2YHv4fLX9/uPFEViUdzWaUGKZx&#10;5b++fv/54xtJO/CndWEO2K278f0qIExij7XX6R8yyLGkp4PJ9HwGZ+9KOp1MB+ej3l9xjIQDcDYE&#10;YkIJB2A0HZ/NJom/eCRyPsS3wmqSgpJ6XF92lR2uQuyg95BU19iNVAr7bK4MaVH1dILynKEta7QD&#10;Qu0gLZgdJUzt0O88+swYrJJVeju9HPxuu1KeHFjqkvzrD/YHLJVes9B0uJzqYcpARvKpcyZF8bg9&#10;9nZtbXUHk73tui84vpGgumIh3jCPdsOZMZDxGo9aWeiwfURJY/2Xf+0nPLoAWUpatC9Eft4zLyhR&#10;7wz6YzYcj0Eb82I8OcNVEP80s32aMXu9stA+xOg7nsOEj+o+rL3VnzC3y1QVKWY4and29otV7MYK&#10;k8/Fcplh6HHH4pW5dTyRd3e23Edby3ydyajOnd4/dHluiH4i0xg9XWfU41d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GKX81AAAAAYBAAAPAAAAAAAAAAEAIAAAACIAAABkcnMvZG93bnJldi54&#10;bWxQSwECFAAUAAAACACHTuJATDWScXACAADNBAAADgAAAAAAAAABACAAAAAjAQAAZHJzL2Uyb0Rv&#10;Yy54bWxQSwUGAAAAAAYABgBZAQAABQYAAAAA&#10;">
                  <v:fill on="f" focussize="0,0"/>
                  <v:stroke weight="0.5pt" color="#000000 [3213]" joinstyle="round"/>
                  <v:imagedata o:title=""/>
                  <o:lock v:ext="edit" aspectratio="f"/>
                  <v:textbox>
                    <w:txbxContent>
                      <w:p w14:paraId="37715671">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活性炭装置</w:t>
                        </w:r>
                      </w:p>
                    </w:txbxContent>
                  </v:textbox>
                </v:rect>
                <v:rect id="_x0000_s1026" o:spid="_x0000_s1026" o:spt="1" style="position:absolute;left:4011295;top:6539865;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Op7fvYAIAAKQEAAAOAAAAZHJzL2Uyb0RvYy54bWytVEtu&#10;2zAQ3RfoHQjuG8mO7SRG5MCIkaJA0ARIi65pirQI8FeStpxepkB3PUSOU/QafZSUxEi7yKIbeoYc&#10;v5n3ZkbnF3ujyU6EqJyt6OiopERY7mplNxX9/Onq3SklMTFbM+2sqOi9iPRi8fbNeevnYuwap2sR&#10;CEBsnLe+ok1Kfl4UkTfCsHjkvLB4lC4YluCGTVEH1gLd6GJclrOidaH2wXERI25X/SMdEMNrAJ2U&#10;iouV41sjbOpRg9AsgVJslI900VUrpeDpRsooEtEVBdPUnUgCe53PYnHO5pvAfKP4UAJ7TQkvOBmm&#10;LJI+Qa1YYmQb1F9QRvHgopPpiDtT9EQ6RcBiVL7Q5q5hXnRcIHX0T6LH/wfLP+5uA1F1RY/LESWW&#10;GbT89/efvx5+kHwDfVof5wi787dh8CLMTHYvg8m/oEH2FZ2Uo9H4bErJfUVn0+Oz09m011fsE+EI&#10;mJanZQnlOQLGs8kJYoFYPAP5ENN74QzJRkUD2tepynbXMfWhjyE5r3VXSmvcs7m2pEXW42mGZxhL&#10;iXGAaTyoRbuhhOkN5p2n0CEe/DUjrlhsyI5hSKLTqh7K0hbVZfo94Wyl/Xo/qLB29T20C64fquj5&#10;lQLUNYvplgVMEUrBnqUbHFI7lOcGi5LGhW//us/xaC5eKWkxlajn65YFQYn+YNH2s9FkAtjUOZPp&#10;yRhOOHxZH77Yrbl04ITGorrOzPFJP5oyOPMF67jMWfHELEfuXqXBuUz9tmChuVguuzCMrmfp2t55&#10;nsH7Viy3yUnVdSkL1asz6Ifh7fo8LFrejkO/i3r+uC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Eq0CrXAAAABgEAAA8AAAAAAAAAAQAgAAAAIgAAAGRycy9kb3ducmV2LnhtbFBLAQIUABQAAAAI&#10;AIdO4kCOp7fvYAIAAKQEAAAOAAAAAAAAAAEAIAAAACYBAABkcnMvZTJvRG9jLnhtbFBLBQYAAAAA&#10;BgAGAFkBAAD4BQAAAAA=&#10;">
                  <v:fill on="f" focussize="0,0"/>
                  <v:stroke on="f" weight="0.5pt"/>
                  <v:imagedata o:title=""/>
                  <o:lock v:ext="edit" aspectratio="f"/>
                  <v:textbox>
                    <w:txbxContent>
                      <w:p w14:paraId="2285572F">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S8、N</w:t>
                        </w:r>
                      </w:p>
                    </w:txbxContent>
                  </v:textbox>
                </v:rect>
                <v:rect id="_x0000_s1026" o:spid="_x0000_s1026" o:spt="1" style="position:absolute;left:2707005;top:4801235;height:264795;width:408305;v-text-anchor:middle;" filled="f" stroked="t" coordsize="21600,21600" o:gfxdata="UEsDBAoAAAAAAIdO4kAAAAAAAAAAAAAAAAAEAAAAZHJzL1BLAwQUAAAACACHTuJAkRil/NQAAAAG&#10;AQAADwAAAGRycy9kb3ducmV2LnhtbE2PzUrEQBCE74LvMLTgzZ1JhOwaM1lQUDwt7M8D9GbaJJjp&#10;CZnJ7urT23rRS0FTRdXX1friB3WiKfaBLWQLA4q4Ca7n1sJh/3K3AhUTssMhMFn4pAjr+vqqwtKF&#10;M2/ptEutkhKOJVroUhpLrWPTkce4CCOxeO9h8pjknFrtJjxLuR90bkyhPfYsCx2O9NxR87GbvQW/&#10;+erdfl7SJr2F16V7evDb3Fl7e5OZR1CJLukvDD/4gg61MB3DzC6qwYI8kn5VvNW9KUAdJZQVJgdd&#10;V/o/fv0NUEsDBBQAAAAIAIdO4kBwm+dzbwIAAMkEAAAOAAAAZHJzL2Uyb0RvYy54bWytVEtu2zAQ&#10;3RfoHQjuG8m2HCeG5cCIkaJA0BhIi65pirQI8NchbTm9TIHueogep+g1OqSUT9MusqgX8ozm+Q3n&#10;8Y0XF0ejyUFAUM7WdHRSUiIsd42yu5p+/HD15oySEJltmHZW1PROBHqxfP1q0fm5GLvW6UYAQRIb&#10;5p2vaRujnxdF4K0wLJw4LywWpQPDIqawKxpgHbIbXYzL8rToHDQeHBch4Nt1X6QDI7yE0EmpuFg7&#10;vjfCxp4VhGYRRwqt8oEu82mlFDzeSBlEJLqmOGnMT2yC8TY9i+WCzXfAfKv4cAT2kiM8m8kwZbHp&#10;A9WaRUb2oP6iMoqDC07GE+5M0Q+SFcEpRuUzbW5b5kWeBaUO/kH08P9o+fvDBohqalpRYpnBC//1&#10;9fvPH99IlbTpfJgj5NZvYMgChmnQowSTvnEEcqzpeFbOynJKyR0ynZWj8WTaayuOkXAEVOXZJNU5&#10;Asan1ew814tHIg8hvhXOkBTUFPDqsqLscB0iNkfoPST1te5KaZ2vT1vS1fR0MsVL5QwtKdEKGBqP&#10;YwW7o4TpHXqdR8iMwWnVpF8nngC77aUGcmDJIfmTDo7d/oCl1msW2h6XSwNMW0QnnXplUhSP2+Mg&#10;19Y1dygwuN55wfMrhVTXLMQNA7QanhmXMd7gQ2qHc7ghoqR18OVf7xMeHYBVSjq0Lg75ec9AUKLf&#10;WfTG+aiqktdzUk1nY0zgaWX7tGL35tLh7CNce89zmPBR34cSnPmEO7tKXbHELMfevZxDchn7lcKt&#10;52K1yjD0t2fx2t56nsj7O1vto5MqX2cSqldn0A8dnnUftjGt0NM8ox7/g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EYpfzUAAAABgEAAA8AAAAAAAAAAQAgAAAAIgAAAGRycy9kb3ducmV2Lnht&#10;bFBLAQIUABQAAAAIAIdO4kBwm+dzbwIAAMkEAAAOAAAAAAAAAAEAIAAAACMBAABkcnMvZTJvRG9j&#10;LnhtbFBLBQYAAAAABgAGAFkBAAAEBgAAAAA=&#10;">
                  <v:fill on="f" focussize="0,0"/>
                  <v:stroke weight="0.5pt" color="#000000 [3213]" joinstyle="round"/>
                  <v:imagedata o:title=""/>
                  <o:lock v:ext="edit" aspectratio="f"/>
                  <v:textbox>
                    <w:txbxContent>
                      <w:p w14:paraId="514FBD0B">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冷藏</w:t>
                        </w:r>
                      </w:p>
                    </w:txbxContent>
                  </v:textbox>
                </v:rect>
                <v:rect id="_x0000_s1026" o:spid="_x0000_s1026" o:spt="1" style="position:absolute;left:1979295;top:5206365;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NoU2XwIAAKIEAAAOAAAAZHJzL2Uyb0RvYy54bWytVM1u&#10;EzEQviPxDpbvdDdpkjZRN1XUqAipgkoFcXa8dtaS/7CdbMrLIHHjIXgcxGvweXfbRoVDD1ycGc/s&#10;5/m+mcnF5cFoshchKmcrOjopKRGWu1rZbUU/fbx+c05JTMzWTDsrKnovIr1cvn510fqFGLvG6VoE&#10;AhAbF62vaJOSXxRF5I0wLJ44LyyC0gXDEtywLerAWqAbXYzLcla0LtQ+OC5ixO26D9IBMbwE0Emp&#10;uFg7vjPCph41CM0SKMVG+UiXXbVSCp4+SBlFIrqiYJq6E4/A3uSzWF6wxTYw3yg+lMBeUsIzToYp&#10;i0cfodYsMbIL6i8oo3hw0cl0wp0peiKdImAxKp9pc9cwLzoukDr6R9Hj/4Pl7/e3gagakzCjxDKD&#10;jv/+9uPXz+8EF1Cn9XGBpDt/GwYvwsxUDzKY/AsS5IDv52fz8XxKyX1Fp+Nydjqb9uqKQyIcCdPy&#10;vCyhO0fCeDY5Qy4QiycgH2J6K5wh2ahoQPM6Tdn+JqY+9SElv2vdtdIa92yhLWkrOjudZniGoZQY&#10;BpjGg1i0W0qY3mLaeQod4tGnGXHNYkP2DCMSnVb1UJa2qC7T7wlnKx02h0GFjavvoVxw/UhFz68V&#10;oG5YTLcsYIZQCrYsfcAhtUN5brAoaVz4+q/7nI/WIkpJi5lEPV92LAhK9DuLps9HkwlgU+dMpmdj&#10;OOE4sjmO2J25cuA0wj573pk5P+kHUwZnPmMZV/lVhJjleLtXaXCuUr8rWGcuVqsuDYPrWbqxd55n&#10;8L4Vq11yUnVdykL16gz6YXS7Pg9rlnfj2O+ynv5a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rQKtcAAAAGAQAADwAAAAAAAAABACAAAAAiAAAAZHJzL2Rvd25yZXYueG1sUEsBAhQAFAAAAAgA&#10;h07iQL82hTZfAgAAogQAAA4AAAAAAAAAAQAgAAAAJgEAAGRycy9lMm9Eb2MueG1sUEsFBgAAAAAG&#10;AAYAWQEAAPcFAAAAAA==&#10;">
                  <v:fill on="f" focussize="0,0"/>
                  <v:stroke on="f" weight="0.5pt"/>
                  <v:imagedata o:title=""/>
                  <o:lock v:ext="edit" aspectratio="f"/>
                  <v:textbox>
                    <w:txbxContent>
                      <w:p w14:paraId="098D0B73">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S10</w:t>
                        </w:r>
                      </w:p>
                    </w:txbxContent>
                  </v:textbox>
                </v:rect>
                <v:rect id="_x0000_s1026" o:spid="_x0000_s1026" o:spt="1" style="position:absolute;left:2607310;top:5198110;height:264795;width:508000;v-text-anchor:middle;" filled="f" stroked="f" coordsize="21600,21600" o:gfxdata="UEsDBAoAAAAAAIdO4kAAAAAAAAAAAAAAAAAEAAAAZHJzL1BLAwQUAAAACACHTuJAQSrQKtcAAAAG&#10;AQAADwAAAGRycy9kb3ducmV2LnhtbE2PT0vDQBDF74LfYRnBm91NhVBiNoUWxZNo2qL0ts1Ok8Xs&#10;bMxu/317Ry96eTC8x3u/Kedn34sjjtEF0pBNFAikJlhHrYbN+uluBiImQ9b0gVDDBSPMq+ur0hQ2&#10;nKjG4yq1gksoFkZDl9JQSBmbDr2JkzAgsbcPozeJz7GVdjQnLve9nCqVS28c8UJnBlx22HyuDl7D&#10;y+ZtYV392l2+npeP79nH4Bb1Vuvbm0w9gEh4Tn9h+MFndKiYaRcOZKPoNfAj6VfZm92rHMSOQ1mu&#10;piCrUv7Hr74BUEsDBBQAAAAIAIdO4kCPF90GXAIAAKIEAAAOAAAAZHJzL2Uyb0RvYy54bWytVEtu&#10;2zAQ3RfoHQjuG0mO7SRG5MCI4aJA0BhIi65pirIE8FeStpxepkB3PUSOU/QafaSUxEi7yKIbesgZ&#10;v5n3ZkaXVwclyV443xpd0uIkp0RobqpWb0v6+dPq3TklPjBdMWm0KOm98PRq/vbNZWdnYmQaIyvh&#10;CEC0n3W2pE0IdpZlnjdCMX9irNBw1sYpFnB126xyrAO6ktkoz6dZZ1xlneHCe7wueycdEN1rAE1d&#10;t1wsDd8poUOP6oRkAZR801pP56nauhY83Na1F4HIkoJpSCeSwN7EM5tfstnWMdu0fCiBvaaEF5wU&#10;azWSPkEtWWBk59q/oFTLnfGmDifcqKwnkhQBiyJ/oc1dw6xIXCC1t0+i+/8Hyz/u1460VUnHkEQz&#10;hY7//v7z18MPggeo01k/Q9CdXbvh5mFGqofaqfgLEuRQ0tE0PzstAHJf0klxcV7ATuqKQyAcAZP8&#10;PM/h5wgYTcdnF5Poz56BrPPhvTCKRKOkDs1LmrL9jQ996GNIzKvNqpUypZCadCWdnk4iPMNQ1hgG&#10;mMqCmNdbSpjcYtp5cAnx6K8Rccl8Q/YMI+KNbKuhLKlRXaTfE45WOGwOSBjNjanuoZwz/Uh5y1ct&#10;oG6YD2vmMEMoBVsWbnHU0qA8M1iUNMZ9+9d7jEdr4aWkw0yinq875gQl8oNG0y+KcexSSJfx5GyE&#10;izv2bI49eqeuDTgV2GfLkxnjg3w0a2fUFyzjImaFi2mO3L1Kw+U69LuCdeZisUhhGFzLwo2+szyC&#10;961Y7IKp29SlZ3UG/TC6qc/DmsXdOL6nqOdPy/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rQ&#10;KtcAAAAGAQAADwAAAAAAAAABACAAAAAiAAAAZHJzL2Rvd25yZXYueG1sUEsBAhQAFAAAAAgAh07i&#10;QI8X3QZcAgAAogQAAA4AAAAAAAAAAQAgAAAAJgEAAGRycy9lMm9Eb2MueG1sUEsFBgAAAAAGAAYA&#10;WQEAAPQFAAAAAA==&#10;">
                  <v:fill on="f" focussize="0,0"/>
                  <v:stroke on="f" weight="0.5pt"/>
                  <v:imagedata o:title=""/>
                  <o:lock v:ext="edit" aspectratio="f"/>
                  <v:textbox>
                    <w:txbxContent>
                      <w:p w14:paraId="08DB858C">
                        <w:pPr>
                          <w:keepNext w:val="0"/>
                          <w:keepLines w:val="0"/>
                          <w:pageBreakBefore w:val="0"/>
                          <w:widowControl w:val="0"/>
                          <w:kinsoku/>
                          <w:wordWrap/>
                          <w:overflowPunct/>
                          <w:topLinePunct w:val="0"/>
                          <w:bidi w:val="0"/>
                          <w:adjustRightInd/>
                          <w:snapToGrid/>
                          <w:ind w:left="-210" w:leftChars="-100" w:right="-210" w:rightChars="-10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p>
                    </w:txbxContent>
                  </v:textbox>
                </v:rect>
                <w10:wrap type="none"/>
                <w10:anchorlock/>
              </v:group>
            </w:pict>
          </mc:Fallback>
        </mc:AlternateContent>
      </w:r>
    </w:p>
    <w:p w14:paraId="2A481B39" w14:textId="77777777" w:rsidR="00B14D53" w:rsidRDefault="00000000">
      <w:pPr>
        <w:jc w:val="center"/>
        <w:rPr>
          <w:b/>
          <w:bCs/>
        </w:rPr>
      </w:pPr>
      <w:r>
        <w:rPr>
          <w:rFonts w:hint="eastAsia"/>
          <w:b/>
          <w:bCs/>
        </w:rPr>
        <w:t>图</w:t>
      </w:r>
      <w:r>
        <w:rPr>
          <w:rFonts w:hint="eastAsia"/>
          <w:b/>
          <w:bCs/>
        </w:rPr>
        <w:t xml:space="preserve">3-2-2 </w:t>
      </w:r>
      <w:r>
        <w:rPr>
          <w:b/>
          <w:bCs/>
        </w:rPr>
        <w:t>生猪屠宰加工工艺流程及排污节点</w:t>
      </w:r>
      <w:r>
        <w:rPr>
          <w:rFonts w:hint="eastAsia"/>
          <w:b/>
          <w:bCs/>
        </w:rPr>
        <w:t>示意图</w:t>
      </w:r>
    </w:p>
    <w:p w14:paraId="2B49266F" w14:textId="77777777" w:rsidR="00B14D53" w:rsidRDefault="00000000">
      <w:pPr>
        <w:widowControl/>
        <w:kinsoku w:val="0"/>
        <w:autoSpaceDE w:val="0"/>
        <w:autoSpaceDN w:val="0"/>
        <w:adjustRightInd w:val="0"/>
        <w:snapToGrid w:val="0"/>
        <w:spacing w:line="360" w:lineRule="auto"/>
        <w:ind w:firstLineChars="200" w:firstLine="472"/>
        <w:textAlignment w:val="baseline"/>
        <w:rPr>
          <w:spacing w:val="-2"/>
          <w:position w:val="18"/>
          <w:sz w:val="24"/>
        </w:rPr>
      </w:pPr>
      <w:r>
        <w:rPr>
          <w:spacing w:val="-2"/>
          <w:position w:val="18"/>
          <w:sz w:val="24"/>
        </w:rPr>
        <w:t>生猪屠宰加工工艺排污节点见</w:t>
      </w:r>
      <w:r>
        <w:rPr>
          <w:rFonts w:hint="eastAsia"/>
          <w:spacing w:val="-2"/>
          <w:position w:val="18"/>
          <w:sz w:val="24"/>
        </w:rPr>
        <w:t>下</w:t>
      </w:r>
      <w:r>
        <w:rPr>
          <w:spacing w:val="-2"/>
          <w:position w:val="18"/>
          <w:sz w:val="24"/>
        </w:rPr>
        <w:t>表。</w:t>
      </w:r>
    </w:p>
    <w:p w14:paraId="30544A2A" w14:textId="77777777" w:rsidR="00B14D53" w:rsidRDefault="00B14D53">
      <w:pPr>
        <w:spacing w:line="360" w:lineRule="auto"/>
        <w:ind w:left="420"/>
        <w:contextualSpacing/>
        <w:jc w:val="center"/>
        <w:rPr>
          <w:rFonts w:eastAsiaTheme="minorEastAsia" w:hAnsiTheme="minorEastAsia" w:hint="eastAsia"/>
          <w:b/>
          <w:sz w:val="24"/>
        </w:rPr>
      </w:pPr>
    </w:p>
    <w:p w14:paraId="2CADFEEE" w14:textId="77777777" w:rsidR="00B14D53" w:rsidRDefault="00B14D53">
      <w:pPr>
        <w:spacing w:line="360" w:lineRule="auto"/>
        <w:ind w:left="420"/>
        <w:contextualSpacing/>
        <w:jc w:val="center"/>
        <w:rPr>
          <w:rFonts w:eastAsiaTheme="minorEastAsia" w:hAnsiTheme="minorEastAsia" w:hint="eastAsia"/>
          <w:b/>
          <w:sz w:val="24"/>
        </w:rPr>
      </w:pPr>
    </w:p>
    <w:p w14:paraId="2A19C9DA" w14:textId="77777777" w:rsidR="00B14D53" w:rsidRDefault="00000000">
      <w:pPr>
        <w:jc w:val="center"/>
        <w:rPr>
          <w:b/>
          <w:bCs/>
        </w:rPr>
      </w:pPr>
      <w:r>
        <w:rPr>
          <w:b/>
          <w:bCs/>
        </w:rPr>
        <w:t>表</w:t>
      </w:r>
      <w:r>
        <w:rPr>
          <w:b/>
          <w:bCs/>
        </w:rPr>
        <w:t>3</w:t>
      </w:r>
      <w:r>
        <w:rPr>
          <w:rFonts w:hint="eastAsia"/>
          <w:b/>
          <w:bCs/>
        </w:rPr>
        <w:t>-1</w:t>
      </w:r>
      <w:r>
        <w:rPr>
          <w:b/>
          <w:bCs/>
        </w:rPr>
        <w:t xml:space="preserve">-1 </w:t>
      </w:r>
      <w:r>
        <w:rPr>
          <w:b/>
          <w:bCs/>
        </w:rPr>
        <w:t>生猪屠宰加工工艺排污节点分析一览表</w:t>
      </w:r>
    </w:p>
    <w:tbl>
      <w:tblPr>
        <w:tblW w:w="4995" w:type="pct"/>
        <w:jc w:val="center"/>
        <w:tblBorders>
          <w:top w:val="single" w:sz="12" w:space="0" w:color="auto"/>
          <w:bottom w:val="single" w:sz="12" w:space="0" w:color="auto"/>
          <w:insideH w:val="single" w:sz="6" w:space="0" w:color="auto"/>
          <w:insideV w:val="single" w:sz="4" w:space="0" w:color="auto"/>
        </w:tblBorders>
        <w:tblCellMar>
          <w:left w:w="0" w:type="dxa"/>
          <w:right w:w="0" w:type="dxa"/>
        </w:tblCellMar>
        <w:tblLook w:val="04A0" w:firstRow="1" w:lastRow="0" w:firstColumn="1" w:lastColumn="0" w:noHBand="0" w:noVBand="1"/>
      </w:tblPr>
      <w:tblGrid>
        <w:gridCol w:w="570"/>
        <w:gridCol w:w="587"/>
        <w:gridCol w:w="2060"/>
        <w:gridCol w:w="1042"/>
        <w:gridCol w:w="1603"/>
        <w:gridCol w:w="2436"/>
      </w:tblGrid>
      <w:tr w:rsidR="00B14D53" w14:paraId="7C9D7B2E" w14:textId="77777777">
        <w:trPr>
          <w:trHeight w:val="340"/>
          <w:jc w:val="center"/>
        </w:trPr>
        <w:tc>
          <w:tcPr>
            <w:tcW w:w="343" w:type="pct"/>
            <w:tcBorders>
              <w:tl2br w:val="nil"/>
              <w:tr2bl w:val="nil"/>
            </w:tcBorders>
            <w:vAlign w:val="center"/>
          </w:tcPr>
          <w:p w14:paraId="3A617E6C" w14:textId="77777777" w:rsidR="00B14D53" w:rsidRDefault="00000000">
            <w:pPr>
              <w:pStyle w:val="a9"/>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类别</w:t>
            </w:r>
          </w:p>
        </w:tc>
        <w:tc>
          <w:tcPr>
            <w:tcW w:w="354" w:type="pct"/>
            <w:tcBorders>
              <w:tl2br w:val="nil"/>
              <w:tr2bl w:val="nil"/>
            </w:tcBorders>
            <w:vAlign w:val="center"/>
          </w:tcPr>
          <w:p w14:paraId="493BC0FD" w14:textId="77777777" w:rsidR="00B14D53" w:rsidRDefault="00000000">
            <w:pPr>
              <w:pStyle w:val="a9"/>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序号</w:t>
            </w:r>
          </w:p>
        </w:tc>
        <w:tc>
          <w:tcPr>
            <w:tcW w:w="1240" w:type="pct"/>
            <w:tcBorders>
              <w:tl2br w:val="nil"/>
              <w:tr2bl w:val="nil"/>
            </w:tcBorders>
            <w:vAlign w:val="center"/>
          </w:tcPr>
          <w:p w14:paraId="146775E4" w14:textId="77777777" w:rsidR="00B14D53" w:rsidRDefault="00000000">
            <w:pPr>
              <w:pStyle w:val="a9"/>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产污环节</w:t>
            </w:r>
          </w:p>
        </w:tc>
        <w:tc>
          <w:tcPr>
            <w:tcW w:w="628" w:type="pct"/>
            <w:tcBorders>
              <w:tl2br w:val="nil"/>
              <w:tr2bl w:val="nil"/>
            </w:tcBorders>
            <w:vAlign w:val="center"/>
          </w:tcPr>
          <w:p w14:paraId="60226658" w14:textId="77777777" w:rsidR="00B14D53" w:rsidRDefault="00000000">
            <w:pPr>
              <w:pStyle w:val="a9"/>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排放规律</w:t>
            </w:r>
          </w:p>
        </w:tc>
        <w:tc>
          <w:tcPr>
            <w:tcW w:w="965" w:type="pct"/>
            <w:tcBorders>
              <w:tl2br w:val="nil"/>
              <w:tr2bl w:val="nil"/>
            </w:tcBorders>
            <w:vAlign w:val="center"/>
          </w:tcPr>
          <w:p w14:paraId="22BD38DA" w14:textId="77777777" w:rsidR="00B14D53" w:rsidRDefault="00000000">
            <w:pPr>
              <w:pStyle w:val="a9"/>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主要污染物</w:t>
            </w:r>
          </w:p>
        </w:tc>
        <w:tc>
          <w:tcPr>
            <w:tcW w:w="1467" w:type="pct"/>
            <w:tcBorders>
              <w:tl2br w:val="nil"/>
              <w:tr2bl w:val="nil"/>
            </w:tcBorders>
            <w:vAlign w:val="center"/>
          </w:tcPr>
          <w:p w14:paraId="503AD8D6" w14:textId="77777777" w:rsidR="00B14D53" w:rsidRDefault="00000000">
            <w:pPr>
              <w:pStyle w:val="a9"/>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排放去向</w:t>
            </w:r>
          </w:p>
        </w:tc>
      </w:tr>
      <w:tr w:rsidR="00B14D53" w14:paraId="70CA1D20" w14:textId="77777777">
        <w:trPr>
          <w:trHeight w:val="340"/>
          <w:jc w:val="center"/>
        </w:trPr>
        <w:tc>
          <w:tcPr>
            <w:tcW w:w="343" w:type="pct"/>
            <w:vMerge w:val="restart"/>
            <w:tcBorders>
              <w:tl2br w:val="nil"/>
              <w:tr2bl w:val="nil"/>
            </w:tcBorders>
            <w:vAlign w:val="center"/>
          </w:tcPr>
          <w:p w14:paraId="408B9410"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废气</w:t>
            </w:r>
          </w:p>
        </w:tc>
        <w:tc>
          <w:tcPr>
            <w:tcW w:w="354" w:type="pct"/>
            <w:tcBorders>
              <w:tl2br w:val="nil"/>
              <w:tr2bl w:val="nil"/>
            </w:tcBorders>
            <w:vAlign w:val="center"/>
          </w:tcPr>
          <w:p w14:paraId="45BC097F"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G1</w:t>
            </w:r>
          </w:p>
        </w:tc>
        <w:tc>
          <w:tcPr>
            <w:tcW w:w="1240" w:type="pct"/>
            <w:tcBorders>
              <w:tl2br w:val="nil"/>
              <w:tr2bl w:val="nil"/>
            </w:tcBorders>
            <w:vAlign w:val="center"/>
          </w:tcPr>
          <w:p w14:paraId="59C52540"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待宰圈</w:t>
            </w:r>
          </w:p>
        </w:tc>
        <w:tc>
          <w:tcPr>
            <w:tcW w:w="628" w:type="pct"/>
            <w:tcBorders>
              <w:tl2br w:val="nil"/>
              <w:tr2bl w:val="nil"/>
            </w:tcBorders>
            <w:vAlign w:val="center"/>
          </w:tcPr>
          <w:p w14:paraId="7B32F977"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965" w:type="pct"/>
            <w:tcBorders>
              <w:tl2br w:val="nil"/>
              <w:tr2bl w:val="nil"/>
            </w:tcBorders>
            <w:vAlign w:val="center"/>
          </w:tcPr>
          <w:p w14:paraId="6D9935AD"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vertAlign w:val="subscript"/>
              </w:rPr>
            </w:pPr>
            <w:r>
              <w:rPr>
                <w:rFonts w:ascii="Times New Roman" w:eastAsia="宋体" w:hAnsi="Times New Roman" w:cs="Times New Roman" w:hint="eastAsia"/>
                <w:sz w:val="21"/>
                <w:szCs w:val="21"/>
              </w:rPr>
              <w:t>氨、硫化氢、</w:t>
            </w:r>
            <w:r>
              <w:rPr>
                <w:rFonts w:ascii="Times New Roman" w:eastAsia="宋体" w:hAnsi="Times New Roman" w:cs="Times New Roman"/>
                <w:sz w:val="21"/>
                <w:szCs w:val="21"/>
              </w:rPr>
              <w:t>臭</w:t>
            </w:r>
            <w:r>
              <w:rPr>
                <w:rFonts w:ascii="Times New Roman" w:eastAsia="宋体" w:hAnsi="Times New Roman" w:cs="Times New Roman" w:hint="eastAsia"/>
                <w:sz w:val="21"/>
                <w:szCs w:val="21"/>
              </w:rPr>
              <w:t>气浓度</w:t>
            </w:r>
          </w:p>
        </w:tc>
        <w:tc>
          <w:tcPr>
            <w:tcW w:w="1467" w:type="pct"/>
            <w:tcBorders>
              <w:tl2br w:val="nil"/>
              <w:tr2bl w:val="nil"/>
            </w:tcBorders>
            <w:vAlign w:val="center"/>
          </w:tcPr>
          <w:p w14:paraId="29AD19F9"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喷洒除臭剂</w:t>
            </w:r>
            <w:r>
              <w:rPr>
                <w:rFonts w:ascii="Times New Roman" w:eastAsia="宋体" w:hAnsi="Times New Roman" w:cs="Times New Roman"/>
                <w:sz w:val="21"/>
                <w:szCs w:val="21"/>
              </w:rPr>
              <w:t>+</w:t>
            </w:r>
            <w:r>
              <w:rPr>
                <w:rFonts w:ascii="Times New Roman" w:eastAsia="宋体" w:hAnsi="Times New Roman" w:cs="Times New Roman"/>
                <w:sz w:val="21"/>
                <w:szCs w:val="21"/>
              </w:rPr>
              <w:t>活性炭吸附</w:t>
            </w:r>
            <w:r>
              <w:rPr>
                <w:rFonts w:ascii="Times New Roman" w:eastAsia="宋体" w:hAnsi="Times New Roman" w:cs="Times New Roman"/>
                <w:sz w:val="21"/>
                <w:szCs w:val="21"/>
              </w:rPr>
              <w:t>+15m</w:t>
            </w:r>
            <w:r>
              <w:rPr>
                <w:rFonts w:ascii="Times New Roman" w:eastAsia="宋体" w:hAnsi="Times New Roman" w:cs="Times New Roman"/>
                <w:sz w:val="21"/>
                <w:szCs w:val="21"/>
              </w:rPr>
              <w:t>排气筒</w:t>
            </w:r>
          </w:p>
        </w:tc>
      </w:tr>
      <w:tr w:rsidR="00B14D53" w14:paraId="3988F3ED" w14:textId="77777777">
        <w:trPr>
          <w:trHeight w:val="340"/>
          <w:jc w:val="center"/>
        </w:trPr>
        <w:tc>
          <w:tcPr>
            <w:tcW w:w="343" w:type="pct"/>
            <w:vMerge/>
            <w:tcBorders>
              <w:tl2br w:val="nil"/>
              <w:tr2bl w:val="nil"/>
            </w:tcBorders>
            <w:vAlign w:val="center"/>
          </w:tcPr>
          <w:p w14:paraId="14CC5342"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7DA2BD8D"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G2</w:t>
            </w:r>
          </w:p>
        </w:tc>
        <w:tc>
          <w:tcPr>
            <w:tcW w:w="1240" w:type="pct"/>
            <w:tcBorders>
              <w:tl2br w:val="nil"/>
              <w:tr2bl w:val="nil"/>
            </w:tcBorders>
            <w:vAlign w:val="center"/>
          </w:tcPr>
          <w:p w14:paraId="674EBB5D"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屠宰车间</w:t>
            </w:r>
          </w:p>
        </w:tc>
        <w:tc>
          <w:tcPr>
            <w:tcW w:w="628" w:type="pct"/>
            <w:tcBorders>
              <w:tl2br w:val="nil"/>
              <w:tr2bl w:val="nil"/>
            </w:tcBorders>
            <w:vAlign w:val="center"/>
          </w:tcPr>
          <w:p w14:paraId="5276C36A"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965" w:type="pct"/>
            <w:tcBorders>
              <w:tl2br w:val="nil"/>
              <w:tr2bl w:val="nil"/>
            </w:tcBorders>
            <w:vAlign w:val="center"/>
          </w:tcPr>
          <w:p w14:paraId="3133912D"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氨、硫化氢、</w:t>
            </w:r>
            <w:r>
              <w:rPr>
                <w:rFonts w:ascii="Times New Roman" w:eastAsia="宋体" w:hAnsi="Times New Roman" w:cs="Times New Roman"/>
                <w:sz w:val="21"/>
                <w:szCs w:val="21"/>
              </w:rPr>
              <w:t>臭</w:t>
            </w:r>
            <w:r>
              <w:rPr>
                <w:rFonts w:ascii="Times New Roman" w:eastAsia="宋体" w:hAnsi="Times New Roman" w:cs="Times New Roman" w:hint="eastAsia"/>
                <w:sz w:val="21"/>
                <w:szCs w:val="21"/>
              </w:rPr>
              <w:t>气浓度</w:t>
            </w:r>
          </w:p>
        </w:tc>
        <w:tc>
          <w:tcPr>
            <w:tcW w:w="1467" w:type="pct"/>
            <w:tcBorders>
              <w:tl2br w:val="nil"/>
              <w:tr2bl w:val="nil"/>
            </w:tcBorders>
            <w:vAlign w:val="center"/>
          </w:tcPr>
          <w:p w14:paraId="225532C2"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活性炭吸附</w:t>
            </w:r>
            <w:r>
              <w:rPr>
                <w:rFonts w:ascii="Times New Roman" w:eastAsia="宋体" w:hAnsi="Times New Roman" w:cs="Times New Roman"/>
                <w:sz w:val="21"/>
                <w:szCs w:val="21"/>
              </w:rPr>
              <w:t>+15m</w:t>
            </w:r>
            <w:r>
              <w:rPr>
                <w:rFonts w:ascii="Times New Roman" w:eastAsia="宋体" w:hAnsi="Times New Roman" w:cs="Times New Roman"/>
                <w:sz w:val="21"/>
                <w:szCs w:val="21"/>
              </w:rPr>
              <w:t>排气筒</w:t>
            </w:r>
          </w:p>
        </w:tc>
      </w:tr>
      <w:tr w:rsidR="00B14D53" w14:paraId="6C76F558" w14:textId="77777777">
        <w:trPr>
          <w:trHeight w:val="340"/>
          <w:jc w:val="center"/>
        </w:trPr>
        <w:tc>
          <w:tcPr>
            <w:tcW w:w="343" w:type="pct"/>
            <w:vMerge/>
            <w:tcBorders>
              <w:tl2br w:val="nil"/>
              <w:tr2bl w:val="nil"/>
            </w:tcBorders>
            <w:vAlign w:val="center"/>
          </w:tcPr>
          <w:p w14:paraId="56028E75"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3B2003A8"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G3</w:t>
            </w:r>
          </w:p>
        </w:tc>
        <w:tc>
          <w:tcPr>
            <w:tcW w:w="1240" w:type="pct"/>
            <w:tcBorders>
              <w:tl2br w:val="nil"/>
              <w:tr2bl w:val="nil"/>
            </w:tcBorders>
            <w:vAlign w:val="center"/>
          </w:tcPr>
          <w:p w14:paraId="5639261D"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污水处理站</w:t>
            </w:r>
          </w:p>
        </w:tc>
        <w:tc>
          <w:tcPr>
            <w:tcW w:w="628" w:type="pct"/>
            <w:tcBorders>
              <w:tl2br w:val="nil"/>
              <w:tr2bl w:val="nil"/>
            </w:tcBorders>
            <w:vAlign w:val="center"/>
          </w:tcPr>
          <w:p w14:paraId="6977F775"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965" w:type="pct"/>
            <w:tcBorders>
              <w:tl2br w:val="nil"/>
              <w:tr2bl w:val="nil"/>
            </w:tcBorders>
            <w:vAlign w:val="center"/>
          </w:tcPr>
          <w:p w14:paraId="3A5D23F0"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氨、硫化氢、</w:t>
            </w:r>
            <w:r>
              <w:rPr>
                <w:rFonts w:ascii="Times New Roman" w:eastAsia="宋体" w:hAnsi="Times New Roman" w:cs="Times New Roman"/>
                <w:sz w:val="21"/>
                <w:szCs w:val="21"/>
              </w:rPr>
              <w:t>臭</w:t>
            </w:r>
            <w:r>
              <w:rPr>
                <w:rFonts w:ascii="Times New Roman" w:eastAsia="宋体" w:hAnsi="Times New Roman" w:cs="Times New Roman" w:hint="eastAsia"/>
                <w:sz w:val="21"/>
                <w:szCs w:val="21"/>
              </w:rPr>
              <w:t>气浓度</w:t>
            </w:r>
          </w:p>
        </w:tc>
        <w:tc>
          <w:tcPr>
            <w:tcW w:w="1467" w:type="pct"/>
            <w:tcBorders>
              <w:tl2br w:val="nil"/>
              <w:tr2bl w:val="nil"/>
            </w:tcBorders>
            <w:vAlign w:val="center"/>
          </w:tcPr>
          <w:p w14:paraId="22387F43"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活性炭吸附</w:t>
            </w:r>
            <w:r>
              <w:rPr>
                <w:rFonts w:ascii="Times New Roman" w:eastAsia="宋体" w:hAnsi="Times New Roman" w:cs="Times New Roman"/>
                <w:sz w:val="21"/>
                <w:szCs w:val="21"/>
              </w:rPr>
              <w:t>+15m</w:t>
            </w:r>
            <w:r>
              <w:rPr>
                <w:rFonts w:ascii="Times New Roman" w:eastAsia="宋体" w:hAnsi="Times New Roman" w:cs="Times New Roman"/>
                <w:sz w:val="21"/>
                <w:szCs w:val="21"/>
              </w:rPr>
              <w:t>排气筒</w:t>
            </w:r>
          </w:p>
        </w:tc>
      </w:tr>
      <w:tr w:rsidR="00B14D53" w14:paraId="159E9C60" w14:textId="77777777">
        <w:trPr>
          <w:trHeight w:val="340"/>
          <w:jc w:val="center"/>
        </w:trPr>
        <w:tc>
          <w:tcPr>
            <w:tcW w:w="343" w:type="pct"/>
            <w:vMerge w:val="restart"/>
            <w:tcBorders>
              <w:tl2br w:val="nil"/>
              <w:tr2bl w:val="nil"/>
            </w:tcBorders>
            <w:vAlign w:val="center"/>
          </w:tcPr>
          <w:p w14:paraId="2AAF202A"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废水</w:t>
            </w:r>
          </w:p>
        </w:tc>
        <w:tc>
          <w:tcPr>
            <w:tcW w:w="354" w:type="pct"/>
            <w:tcBorders>
              <w:tl2br w:val="nil"/>
              <w:tr2bl w:val="nil"/>
            </w:tcBorders>
            <w:vAlign w:val="center"/>
          </w:tcPr>
          <w:p w14:paraId="1B71B404"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W1</w:t>
            </w:r>
          </w:p>
        </w:tc>
        <w:tc>
          <w:tcPr>
            <w:tcW w:w="1240" w:type="pct"/>
            <w:tcBorders>
              <w:tl2br w:val="nil"/>
              <w:tr2bl w:val="nil"/>
            </w:tcBorders>
            <w:vAlign w:val="center"/>
          </w:tcPr>
          <w:p w14:paraId="7413BF3D"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车辆冲洗废水</w:t>
            </w:r>
          </w:p>
        </w:tc>
        <w:tc>
          <w:tcPr>
            <w:tcW w:w="628" w:type="pct"/>
            <w:tcBorders>
              <w:tl2br w:val="nil"/>
              <w:tr2bl w:val="nil"/>
            </w:tcBorders>
            <w:vAlign w:val="center"/>
          </w:tcPr>
          <w:p w14:paraId="349C736F"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间断</w:t>
            </w:r>
          </w:p>
        </w:tc>
        <w:tc>
          <w:tcPr>
            <w:tcW w:w="965" w:type="pct"/>
            <w:vMerge w:val="restart"/>
            <w:tcBorders>
              <w:tl2br w:val="nil"/>
              <w:tr2bl w:val="nil"/>
            </w:tcBorders>
            <w:vAlign w:val="center"/>
          </w:tcPr>
          <w:p w14:paraId="71052EEE"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pH</w:t>
            </w:r>
            <w:r>
              <w:rPr>
                <w:rFonts w:ascii="Times New Roman" w:eastAsia="宋体" w:hAnsi="Times New Roman" w:cs="Times New Roman" w:hint="eastAsia"/>
                <w:sz w:val="21"/>
                <w:szCs w:val="21"/>
              </w:rPr>
              <w:t>、</w:t>
            </w:r>
            <w:r>
              <w:rPr>
                <w:rFonts w:ascii="Times New Roman" w:eastAsia="宋体" w:hAnsi="Times New Roman" w:cs="Times New Roman"/>
                <w:sz w:val="21"/>
                <w:szCs w:val="21"/>
              </w:rPr>
              <w:t>COD</w:t>
            </w:r>
            <w:r>
              <w:rPr>
                <w:rFonts w:ascii="Times New Roman" w:eastAsia="宋体" w:hAnsi="Times New Roman" w:cs="Times New Roman"/>
                <w:sz w:val="21"/>
                <w:szCs w:val="21"/>
              </w:rPr>
              <w:t>、</w:t>
            </w: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w:t>
            </w:r>
            <w:r>
              <w:rPr>
                <w:rFonts w:ascii="Times New Roman" w:eastAsia="宋体" w:hAnsi="Times New Roman" w:cs="Times New Roman"/>
                <w:sz w:val="21"/>
                <w:szCs w:val="21"/>
              </w:rPr>
              <w:t>SS</w:t>
            </w:r>
            <w:r>
              <w:rPr>
                <w:rFonts w:ascii="Times New Roman" w:eastAsia="宋体" w:hAnsi="Times New Roman" w:cs="Times New Roman"/>
                <w:sz w:val="21"/>
                <w:szCs w:val="21"/>
              </w:rPr>
              <w:t>、氨氮、动植物油、大肠菌群</w:t>
            </w:r>
            <w:r>
              <w:rPr>
                <w:rFonts w:ascii="Times New Roman" w:eastAsia="宋体" w:hAnsi="Times New Roman" w:cs="Times New Roman" w:hint="eastAsia"/>
                <w:sz w:val="21"/>
                <w:szCs w:val="21"/>
              </w:rPr>
              <w:t>数</w:t>
            </w:r>
          </w:p>
        </w:tc>
        <w:tc>
          <w:tcPr>
            <w:tcW w:w="1467" w:type="pct"/>
            <w:vMerge w:val="restart"/>
            <w:tcBorders>
              <w:tl2br w:val="nil"/>
              <w:tr2bl w:val="nil"/>
            </w:tcBorders>
            <w:vAlign w:val="center"/>
          </w:tcPr>
          <w:p w14:paraId="6EE656D8"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pacing w:val="4"/>
                <w:sz w:val="21"/>
                <w:szCs w:val="21"/>
              </w:rPr>
              <w:t>污水处理站处理后排入市政管网</w:t>
            </w:r>
          </w:p>
        </w:tc>
      </w:tr>
      <w:tr w:rsidR="00B14D53" w14:paraId="4256B77B" w14:textId="77777777">
        <w:trPr>
          <w:trHeight w:val="340"/>
          <w:jc w:val="center"/>
        </w:trPr>
        <w:tc>
          <w:tcPr>
            <w:tcW w:w="343" w:type="pct"/>
            <w:vMerge/>
            <w:tcBorders>
              <w:tl2br w:val="nil"/>
              <w:tr2bl w:val="nil"/>
            </w:tcBorders>
            <w:vAlign w:val="center"/>
          </w:tcPr>
          <w:p w14:paraId="00E1C4C1"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7045C43A"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W2</w:t>
            </w:r>
          </w:p>
        </w:tc>
        <w:tc>
          <w:tcPr>
            <w:tcW w:w="1240" w:type="pct"/>
            <w:tcBorders>
              <w:tl2br w:val="nil"/>
              <w:tr2bl w:val="nil"/>
            </w:tcBorders>
            <w:vAlign w:val="center"/>
          </w:tcPr>
          <w:p w14:paraId="3F85D40A"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待宰猪尿液、地面冲洗</w:t>
            </w:r>
          </w:p>
        </w:tc>
        <w:tc>
          <w:tcPr>
            <w:tcW w:w="628" w:type="pct"/>
            <w:tcBorders>
              <w:tl2br w:val="nil"/>
              <w:tr2bl w:val="nil"/>
            </w:tcBorders>
            <w:vAlign w:val="center"/>
          </w:tcPr>
          <w:p w14:paraId="0C246977"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间断</w:t>
            </w:r>
          </w:p>
        </w:tc>
        <w:tc>
          <w:tcPr>
            <w:tcW w:w="965" w:type="pct"/>
            <w:vMerge/>
            <w:tcBorders>
              <w:tl2br w:val="nil"/>
              <w:tr2bl w:val="nil"/>
            </w:tcBorders>
            <w:vAlign w:val="center"/>
          </w:tcPr>
          <w:p w14:paraId="6BEEA7EF"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1467" w:type="pct"/>
            <w:vMerge/>
            <w:tcBorders>
              <w:tl2br w:val="nil"/>
              <w:tr2bl w:val="nil"/>
            </w:tcBorders>
            <w:vAlign w:val="center"/>
          </w:tcPr>
          <w:p w14:paraId="3DAD7462"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r>
      <w:tr w:rsidR="00B14D53" w14:paraId="2646CA60" w14:textId="77777777">
        <w:trPr>
          <w:trHeight w:val="340"/>
          <w:jc w:val="center"/>
        </w:trPr>
        <w:tc>
          <w:tcPr>
            <w:tcW w:w="343" w:type="pct"/>
            <w:vMerge/>
            <w:tcBorders>
              <w:tl2br w:val="nil"/>
              <w:tr2bl w:val="nil"/>
            </w:tcBorders>
            <w:vAlign w:val="center"/>
          </w:tcPr>
          <w:p w14:paraId="13C9C865"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3F1994F2"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W3</w:t>
            </w:r>
          </w:p>
        </w:tc>
        <w:tc>
          <w:tcPr>
            <w:tcW w:w="1240" w:type="pct"/>
            <w:tcBorders>
              <w:tl2br w:val="nil"/>
              <w:tr2bl w:val="nil"/>
            </w:tcBorders>
            <w:vAlign w:val="center"/>
          </w:tcPr>
          <w:p w14:paraId="5373E1FA"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宰前冲洗</w:t>
            </w:r>
            <w:r>
              <w:rPr>
                <w:rFonts w:ascii="Times New Roman" w:eastAsia="宋体" w:hAnsi="Times New Roman" w:cs="Times New Roman" w:hint="eastAsia"/>
                <w:sz w:val="21"/>
                <w:szCs w:val="21"/>
              </w:rPr>
              <w:t>（废水量计入屠宰废水）</w:t>
            </w:r>
          </w:p>
        </w:tc>
        <w:tc>
          <w:tcPr>
            <w:tcW w:w="628" w:type="pct"/>
            <w:tcBorders>
              <w:tl2br w:val="nil"/>
              <w:tr2bl w:val="nil"/>
            </w:tcBorders>
            <w:vAlign w:val="center"/>
          </w:tcPr>
          <w:p w14:paraId="1FB11A66"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965" w:type="pct"/>
            <w:vMerge/>
            <w:tcBorders>
              <w:tl2br w:val="nil"/>
              <w:tr2bl w:val="nil"/>
            </w:tcBorders>
            <w:vAlign w:val="center"/>
          </w:tcPr>
          <w:p w14:paraId="684E8814"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1467" w:type="pct"/>
            <w:vMerge/>
            <w:tcBorders>
              <w:tl2br w:val="nil"/>
              <w:tr2bl w:val="nil"/>
            </w:tcBorders>
            <w:vAlign w:val="center"/>
          </w:tcPr>
          <w:p w14:paraId="27C75CFB"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r>
      <w:tr w:rsidR="00B14D53" w14:paraId="45B9B34C" w14:textId="77777777">
        <w:trPr>
          <w:trHeight w:val="340"/>
          <w:jc w:val="center"/>
        </w:trPr>
        <w:tc>
          <w:tcPr>
            <w:tcW w:w="343" w:type="pct"/>
            <w:vMerge/>
            <w:tcBorders>
              <w:tl2br w:val="nil"/>
              <w:tr2bl w:val="nil"/>
            </w:tcBorders>
            <w:vAlign w:val="center"/>
          </w:tcPr>
          <w:p w14:paraId="04CE7967"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00142490"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W4</w:t>
            </w:r>
          </w:p>
        </w:tc>
        <w:tc>
          <w:tcPr>
            <w:tcW w:w="1240" w:type="pct"/>
            <w:tcBorders>
              <w:tl2br w:val="nil"/>
              <w:tr2bl w:val="nil"/>
            </w:tcBorders>
            <w:vAlign w:val="center"/>
          </w:tcPr>
          <w:p w14:paraId="1FCB4802"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屠宰废水</w:t>
            </w:r>
          </w:p>
        </w:tc>
        <w:tc>
          <w:tcPr>
            <w:tcW w:w="628" w:type="pct"/>
            <w:tcBorders>
              <w:tl2br w:val="nil"/>
              <w:tr2bl w:val="nil"/>
            </w:tcBorders>
            <w:vAlign w:val="center"/>
          </w:tcPr>
          <w:p w14:paraId="54964832"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965" w:type="pct"/>
            <w:vMerge/>
            <w:tcBorders>
              <w:tl2br w:val="nil"/>
              <w:tr2bl w:val="nil"/>
            </w:tcBorders>
            <w:vAlign w:val="center"/>
          </w:tcPr>
          <w:p w14:paraId="245C9AFB"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1467" w:type="pct"/>
            <w:vMerge/>
            <w:tcBorders>
              <w:tl2br w:val="nil"/>
              <w:tr2bl w:val="nil"/>
            </w:tcBorders>
            <w:vAlign w:val="center"/>
          </w:tcPr>
          <w:p w14:paraId="0FB2497B"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r>
      <w:tr w:rsidR="00B14D53" w14:paraId="7B681F3D" w14:textId="77777777">
        <w:trPr>
          <w:trHeight w:val="340"/>
          <w:jc w:val="center"/>
        </w:trPr>
        <w:tc>
          <w:tcPr>
            <w:tcW w:w="343" w:type="pct"/>
            <w:vMerge/>
            <w:tcBorders>
              <w:tl2br w:val="nil"/>
              <w:tr2bl w:val="nil"/>
            </w:tcBorders>
            <w:vAlign w:val="center"/>
          </w:tcPr>
          <w:p w14:paraId="00204C9F"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7228135A"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W5</w:t>
            </w:r>
          </w:p>
        </w:tc>
        <w:tc>
          <w:tcPr>
            <w:tcW w:w="1240" w:type="pct"/>
            <w:tcBorders>
              <w:tl2br w:val="nil"/>
              <w:tr2bl w:val="nil"/>
            </w:tcBorders>
            <w:vAlign w:val="center"/>
          </w:tcPr>
          <w:p w14:paraId="067B4841"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屠宰车间地面冲洗</w:t>
            </w:r>
            <w:r>
              <w:rPr>
                <w:rFonts w:ascii="Times New Roman" w:eastAsia="宋体" w:hAnsi="Times New Roman" w:cs="Times New Roman" w:hint="eastAsia"/>
                <w:sz w:val="21"/>
                <w:szCs w:val="21"/>
              </w:rPr>
              <w:t>（废水量计入屠宰废水）</w:t>
            </w:r>
          </w:p>
        </w:tc>
        <w:tc>
          <w:tcPr>
            <w:tcW w:w="628" w:type="pct"/>
            <w:tcBorders>
              <w:tl2br w:val="nil"/>
              <w:tr2bl w:val="nil"/>
            </w:tcBorders>
            <w:vAlign w:val="center"/>
          </w:tcPr>
          <w:p w14:paraId="428F9E56"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间断</w:t>
            </w:r>
          </w:p>
        </w:tc>
        <w:tc>
          <w:tcPr>
            <w:tcW w:w="965" w:type="pct"/>
            <w:vMerge/>
            <w:tcBorders>
              <w:tl2br w:val="nil"/>
              <w:tr2bl w:val="nil"/>
            </w:tcBorders>
            <w:vAlign w:val="center"/>
          </w:tcPr>
          <w:p w14:paraId="1ABA0FFA"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1467" w:type="pct"/>
            <w:vMerge/>
            <w:tcBorders>
              <w:tl2br w:val="nil"/>
              <w:tr2bl w:val="nil"/>
            </w:tcBorders>
            <w:vAlign w:val="center"/>
          </w:tcPr>
          <w:p w14:paraId="6F03AF47"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r>
      <w:tr w:rsidR="00B14D53" w14:paraId="451C03EA" w14:textId="77777777">
        <w:trPr>
          <w:trHeight w:val="340"/>
          <w:jc w:val="center"/>
        </w:trPr>
        <w:tc>
          <w:tcPr>
            <w:tcW w:w="343" w:type="pct"/>
            <w:vMerge/>
            <w:tcBorders>
              <w:tl2br w:val="nil"/>
              <w:tr2bl w:val="nil"/>
            </w:tcBorders>
            <w:vAlign w:val="center"/>
          </w:tcPr>
          <w:p w14:paraId="64836F74"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21579E91"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W6</w:t>
            </w:r>
          </w:p>
        </w:tc>
        <w:tc>
          <w:tcPr>
            <w:tcW w:w="1240" w:type="pct"/>
            <w:tcBorders>
              <w:tl2br w:val="nil"/>
              <w:tr2bl w:val="nil"/>
            </w:tcBorders>
            <w:vAlign w:val="center"/>
          </w:tcPr>
          <w:p w14:paraId="396AE9F5"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电蒸汽发生器排污水</w:t>
            </w:r>
            <w:r>
              <w:rPr>
                <w:rFonts w:ascii="Times New Roman" w:eastAsia="宋体" w:hAnsi="Times New Roman" w:cs="Times New Roman"/>
                <w:sz w:val="21"/>
                <w:szCs w:val="21"/>
              </w:rPr>
              <w:t>+</w:t>
            </w:r>
            <w:r>
              <w:rPr>
                <w:rFonts w:ascii="Times New Roman" w:eastAsia="宋体" w:hAnsi="Times New Roman" w:cs="Times New Roman"/>
                <w:sz w:val="21"/>
                <w:szCs w:val="21"/>
              </w:rPr>
              <w:t>软化处理废水</w:t>
            </w:r>
          </w:p>
        </w:tc>
        <w:tc>
          <w:tcPr>
            <w:tcW w:w="628" w:type="pct"/>
            <w:tcBorders>
              <w:tl2br w:val="nil"/>
              <w:tr2bl w:val="nil"/>
            </w:tcBorders>
            <w:vAlign w:val="center"/>
          </w:tcPr>
          <w:p w14:paraId="559E2834"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965" w:type="pct"/>
            <w:vMerge/>
            <w:tcBorders>
              <w:bottom w:val="single" w:sz="4" w:space="0" w:color="auto"/>
              <w:tl2br w:val="nil"/>
              <w:tr2bl w:val="nil"/>
            </w:tcBorders>
            <w:vAlign w:val="center"/>
          </w:tcPr>
          <w:p w14:paraId="2F7948AE"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1467" w:type="pct"/>
            <w:vMerge/>
            <w:tcBorders>
              <w:bottom w:val="single" w:sz="4" w:space="0" w:color="auto"/>
              <w:tl2br w:val="nil"/>
              <w:tr2bl w:val="nil"/>
            </w:tcBorders>
            <w:vAlign w:val="center"/>
          </w:tcPr>
          <w:p w14:paraId="5AE6035E"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r>
      <w:tr w:rsidR="00B14D53" w14:paraId="29622150" w14:textId="77777777">
        <w:trPr>
          <w:trHeight w:val="340"/>
          <w:jc w:val="center"/>
        </w:trPr>
        <w:tc>
          <w:tcPr>
            <w:tcW w:w="343" w:type="pct"/>
            <w:vMerge/>
            <w:tcBorders>
              <w:tl2br w:val="nil"/>
              <w:tr2bl w:val="nil"/>
            </w:tcBorders>
            <w:vAlign w:val="center"/>
          </w:tcPr>
          <w:p w14:paraId="5ECF0EE2"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487ADD00"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W7</w:t>
            </w:r>
          </w:p>
        </w:tc>
        <w:tc>
          <w:tcPr>
            <w:tcW w:w="1240" w:type="pct"/>
            <w:tcBorders>
              <w:tl2br w:val="nil"/>
              <w:tr2bl w:val="nil"/>
            </w:tcBorders>
            <w:vAlign w:val="center"/>
          </w:tcPr>
          <w:p w14:paraId="2C7D2E3B"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生活污水</w:t>
            </w:r>
          </w:p>
        </w:tc>
        <w:tc>
          <w:tcPr>
            <w:tcW w:w="628" w:type="pct"/>
            <w:tcBorders>
              <w:tl2br w:val="nil"/>
              <w:tr2bl w:val="nil"/>
            </w:tcBorders>
            <w:vAlign w:val="center"/>
          </w:tcPr>
          <w:p w14:paraId="5963501E"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间断</w:t>
            </w:r>
          </w:p>
        </w:tc>
        <w:tc>
          <w:tcPr>
            <w:tcW w:w="965" w:type="pct"/>
            <w:tcBorders>
              <w:top w:val="single" w:sz="4" w:space="0" w:color="auto"/>
              <w:bottom w:val="single" w:sz="4" w:space="0" w:color="auto"/>
              <w:tl2br w:val="nil"/>
              <w:tr2bl w:val="nil"/>
            </w:tcBorders>
            <w:vAlign w:val="center"/>
          </w:tcPr>
          <w:p w14:paraId="52058210"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pH</w:t>
            </w:r>
            <w:r>
              <w:rPr>
                <w:rFonts w:ascii="Times New Roman" w:eastAsia="宋体" w:hAnsi="Times New Roman" w:cs="Times New Roman" w:hint="eastAsia"/>
                <w:sz w:val="21"/>
                <w:szCs w:val="21"/>
              </w:rPr>
              <w:t>、</w:t>
            </w:r>
            <w:r>
              <w:rPr>
                <w:rFonts w:ascii="Times New Roman" w:eastAsia="宋体" w:hAnsi="Times New Roman" w:cs="Times New Roman"/>
                <w:sz w:val="21"/>
                <w:szCs w:val="21"/>
              </w:rPr>
              <w:t>COD</w:t>
            </w:r>
            <w:r>
              <w:rPr>
                <w:rFonts w:ascii="Times New Roman" w:eastAsia="宋体" w:hAnsi="Times New Roman" w:cs="Times New Roman"/>
                <w:sz w:val="21"/>
                <w:szCs w:val="21"/>
              </w:rPr>
              <w:t>、</w:t>
            </w: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w:t>
            </w:r>
            <w:r>
              <w:rPr>
                <w:rFonts w:ascii="Times New Roman" w:eastAsia="宋体" w:hAnsi="Times New Roman" w:cs="Times New Roman"/>
                <w:sz w:val="21"/>
                <w:szCs w:val="21"/>
              </w:rPr>
              <w:t>SS</w:t>
            </w:r>
            <w:r>
              <w:rPr>
                <w:rFonts w:ascii="Times New Roman" w:eastAsia="宋体" w:hAnsi="Times New Roman" w:cs="Times New Roman"/>
                <w:sz w:val="21"/>
                <w:szCs w:val="21"/>
              </w:rPr>
              <w:t>、氨氮、动植物油</w:t>
            </w:r>
          </w:p>
        </w:tc>
        <w:tc>
          <w:tcPr>
            <w:tcW w:w="1467" w:type="pct"/>
            <w:tcBorders>
              <w:top w:val="single" w:sz="4" w:space="0" w:color="auto"/>
              <w:bottom w:val="single" w:sz="4" w:space="0" w:color="auto"/>
              <w:tl2br w:val="nil"/>
              <w:tr2bl w:val="nil"/>
            </w:tcBorders>
            <w:vAlign w:val="center"/>
          </w:tcPr>
          <w:p w14:paraId="385B809F"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pacing w:val="4"/>
                <w:sz w:val="21"/>
                <w:szCs w:val="21"/>
              </w:rPr>
              <w:t>排入市政管网</w:t>
            </w:r>
          </w:p>
        </w:tc>
      </w:tr>
      <w:tr w:rsidR="00B14D53" w14:paraId="6C05A9B9" w14:textId="77777777">
        <w:trPr>
          <w:trHeight w:val="340"/>
          <w:jc w:val="center"/>
        </w:trPr>
        <w:tc>
          <w:tcPr>
            <w:tcW w:w="343" w:type="pct"/>
            <w:tcBorders>
              <w:tl2br w:val="nil"/>
              <w:tr2bl w:val="nil"/>
            </w:tcBorders>
            <w:vAlign w:val="center"/>
          </w:tcPr>
          <w:p w14:paraId="34A4D3D4"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噪声</w:t>
            </w:r>
          </w:p>
        </w:tc>
        <w:tc>
          <w:tcPr>
            <w:tcW w:w="354" w:type="pct"/>
            <w:tcBorders>
              <w:tl2br w:val="nil"/>
              <w:tr2bl w:val="nil"/>
            </w:tcBorders>
            <w:vAlign w:val="center"/>
          </w:tcPr>
          <w:p w14:paraId="325F36B8"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w:t>
            </w:r>
          </w:p>
        </w:tc>
        <w:tc>
          <w:tcPr>
            <w:tcW w:w="1240" w:type="pct"/>
            <w:tcBorders>
              <w:tl2br w:val="nil"/>
              <w:tr2bl w:val="nil"/>
            </w:tcBorders>
            <w:vAlign w:val="center"/>
          </w:tcPr>
          <w:p w14:paraId="09C30E5C"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设备噪声</w:t>
            </w:r>
          </w:p>
        </w:tc>
        <w:tc>
          <w:tcPr>
            <w:tcW w:w="628" w:type="pct"/>
            <w:tcBorders>
              <w:tl2br w:val="nil"/>
              <w:tr2bl w:val="nil"/>
            </w:tcBorders>
            <w:vAlign w:val="center"/>
          </w:tcPr>
          <w:p w14:paraId="1B0A86E9"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连续</w:t>
            </w:r>
          </w:p>
        </w:tc>
        <w:tc>
          <w:tcPr>
            <w:tcW w:w="965" w:type="pct"/>
            <w:tcBorders>
              <w:top w:val="single" w:sz="4" w:space="0" w:color="auto"/>
              <w:bottom w:val="single" w:sz="4" w:space="0" w:color="auto"/>
              <w:tl2br w:val="nil"/>
              <w:tr2bl w:val="nil"/>
            </w:tcBorders>
            <w:vAlign w:val="center"/>
          </w:tcPr>
          <w:p w14:paraId="7DE667EA"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等效连续</w:t>
            </w:r>
            <w:r>
              <w:rPr>
                <w:rFonts w:ascii="Times New Roman" w:eastAsia="宋体" w:hAnsi="Times New Roman" w:cs="Times New Roman"/>
                <w:sz w:val="21"/>
                <w:szCs w:val="21"/>
              </w:rPr>
              <w:t>A</w:t>
            </w:r>
            <w:r>
              <w:rPr>
                <w:rFonts w:ascii="Times New Roman" w:eastAsia="宋体" w:hAnsi="Times New Roman" w:cs="Times New Roman"/>
                <w:sz w:val="21"/>
                <w:szCs w:val="21"/>
              </w:rPr>
              <w:t>声级</w:t>
            </w:r>
          </w:p>
        </w:tc>
        <w:tc>
          <w:tcPr>
            <w:tcW w:w="1467" w:type="pct"/>
            <w:tcBorders>
              <w:top w:val="single" w:sz="4" w:space="0" w:color="auto"/>
              <w:bottom w:val="single" w:sz="4" w:space="0" w:color="auto"/>
              <w:tl2br w:val="nil"/>
              <w:tr2bl w:val="nil"/>
            </w:tcBorders>
            <w:vAlign w:val="center"/>
          </w:tcPr>
          <w:p w14:paraId="0B2D82F5"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排放</w:t>
            </w:r>
          </w:p>
        </w:tc>
      </w:tr>
      <w:tr w:rsidR="00B14D53" w14:paraId="5D88D3C7" w14:textId="77777777">
        <w:trPr>
          <w:trHeight w:val="340"/>
          <w:jc w:val="center"/>
        </w:trPr>
        <w:tc>
          <w:tcPr>
            <w:tcW w:w="343" w:type="pct"/>
            <w:vMerge w:val="restart"/>
            <w:tcBorders>
              <w:tl2br w:val="nil"/>
              <w:tr2bl w:val="nil"/>
            </w:tcBorders>
            <w:vAlign w:val="center"/>
          </w:tcPr>
          <w:p w14:paraId="304D0B4E"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固体</w:t>
            </w:r>
          </w:p>
          <w:p w14:paraId="16B774CC"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废物</w:t>
            </w:r>
          </w:p>
        </w:tc>
        <w:tc>
          <w:tcPr>
            <w:tcW w:w="354" w:type="pct"/>
            <w:tcBorders>
              <w:tl2br w:val="nil"/>
              <w:tr2bl w:val="nil"/>
            </w:tcBorders>
            <w:vAlign w:val="center"/>
          </w:tcPr>
          <w:p w14:paraId="17087833"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S1</w:t>
            </w:r>
          </w:p>
        </w:tc>
        <w:tc>
          <w:tcPr>
            <w:tcW w:w="1240" w:type="pct"/>
            <w:tcBorders>
              <w:tl2br w:val="nil"/>
              <w:tr2bl w:val="nil"/>
            </w:tcBorders>
            <w:vAlign w:val="center"/>
          </w:tcPr>
          <w:p w14:paraId="3AF7F7F2"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待宰</w:t>
            </w:r>
            <w:r>
              <w:rPr>
                <w:rFonts w:ascii="Times New Roman" w:eastAsia="宋体" w:hAnsi="Times New Roman" w:cs="Times New Roman" w:hint="eastAsia"/>
                <w:sz w:val="21"/>
                <w:szCs w:val="21"/>
              </w:rPr>
              <w:t>圈</w:t>
            </w:r>
          </w:p>
        </w:tc>
        <w:tc>
          <w:tcPr>
            <w:tcW w:w="628" w:type="pct"/>
            <w:tcBorders>
              <w:tl2br w:val="nil"/>
              <w:tr2bl w:val="nil"/>
            </w:tcBorders>
            <w:vAlign w:val="center"/>
          </w:tcPr>
          <w:p w14:paraId="55EFDA53"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965" w:type="pct"/>
            <w:tcBorders>
              <w:top w:val="single" w:sz="4" w:space="0" w:color="auto"/>
              <w:tl2br w:val="nil"/>
              <w:tr2bl w:val="nil"/>
            </w:tcBorders>
            <w:vAlign w:val="center"/>
          </w:tcPr>
          <w:p w14:paraId="6D979311"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猪粪</w:t>
            </w:r>
          </w:p>
        </w:tc>
        <w:tc>
          <w:tcPr>
            <w:tcW w:w="1467" w:type="pct"/>
            <w:tcBorders>
              <w:top w:val="single" w:sz="4" w:space="0" w:color="auto"/>
              <w:tl2br w:val="nil"/>
              <w:tr2bl w:val="nil"/>
            </w:tcBorders>
          </w:tcPr>
          <w:p w14:paraId="6AF1E91C" w14:textId="77777777" w:rsidR="00B14D53" w:rsidRDefault="00000000">
            <w:pPr>
              <w:jc w:val="center"/>
              <w:rPr>
                <w:szCs w:val="21"/>
              </w:rPr>
            </w:pPr>
            <w:r>
              <w:rPr>
                <w:szCs w:val="21"/>
              </w:rPr>
              <w:t>外售有机肥厂进行堆肥处理</w:t>
            </w:r>
          </w:p>
        </w:tc>
      </w:tr>
      <w:tr w:rsidR="00B14D53" w14:paraId="38C7ABFF" w14:textId="77777777">
        <w:trPr>
          <w:trHeight w:val="340"/>
          <w:jc w:val="center"/>
        </w:trPr>
        <w:tc>
          <w:tcPr>
            <w:tcW w:w="343" w:type="pct"/>
            <w:vMerge/>
            <w:tcBorders>
              <w:tl2br w:val="nil"/>
              <w:tr2bl w:val="nil"/>
            </w:tcBorders>
            <w:vAlign w:val="center"/>
          </w:tcPr>
          <w:p w14:paraId="653155D4"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30B68C5E"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S2</w:t>
            </w:r>
          </w:p>
        </w:tc>
        <w:tc>
          <w:tcPr>
            <w:tcW w:w="1240" w:type="pct"/>
            <w:tcBorders>
              <w:tl2br w:val="nil"/>
              <w:tr2bl w:val="nil"/>
            </w:tcBorders>
            <w:vAlign w:val="center"/>
          </w:tcPr>
          <w:p w14:paraId="6633D0A2"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检查</w:t>
            </w:r>
          </w:p>
        </w:tc>
        <w:tc>
          <w:tcPr>
            <w:tcW w:w="628" w:type="pct"/>
            <w:tcBorders>
              <w:tl2br w:val="nil"/>
              <w:tr2bl w:val="nil"/>
            </w:tcBorders>
            <w:vAlign w:val="center"/>
          </w:tcPr>
          <w:p w14:paraId="6CD7B290"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间断</w:t>
            </w:r>
          </w:p>
        </w:tc>
        <w:tc>
          <w:tcPr>
            <w:tcW w:w="965" w:type="pct"/>
            <w:tcBorders>
              <w:top w:val="single" w:sz="4" w:space="0" w:color="auto"/>
              <w:tl2br w:val="nil"/>
              <w:tr2bl w:val="nil"/>
            </w:tcBorders>
            <w:vAlign w:val="center"/>
          </w:tcPr>
          <w:p w14:paraId="29EA24BE"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检验废物（类别：</w:t>
            </w:r>
            <w:r>
              <w:rPr>
                <w:rFonts w:ascii="Times New Roman" w:eastAsia="宋体" w:hAnsi="Times New Roman" w:cs="Times New Roman" w:hint="eastAsia"/>
                <w:sz w:val="21"/>
                <w:szCs w:val="21"/>
              </w:rPr>
              <w:t>HW01</w:t>
            </w:r>
            <w:r>
              <w:rPr>
                <w:rFonts w:ascii="Times New Roman" w:eastAsia="宋体" w:hAnsi="Times New Roman" w:cs="Times New Roman" w:hint="eastAsia"/>
                <w:sz w:val="21"/>
                <w:szCs w:val="21"/>
              </w:rPr>
              <w:t>，代码：</w:t>
            </w:r>
            <w:r>
              <w:rPr>
                <w:rFonts w:ascii="Times New Roman" w:eastAsia="宋体" w:hAnsi="Times New Roman" w:cs="Times New Roman" w:hint="eastAsia"/>
                <w:sz w:val="21"/>
                <w:szCs w:val="21"/>
              </w:rPr>
              <w:t>841-001-01</w:t>
            </w:r>
            <w:r>
              <w:rPr>
                <w:rFonts w:ascii="Times New Roman" w:eastAsia="宋体" w:hAnsi="Times New Roman" w:cs="Times New Roman" w:hint="eastAsia"/>
                <w:sz w:val="21"/>
                <w:szCs w:val="21"/>
              </w:rPr>
              <w:t>）</w:t>
            </w:r>
          </w:p>
        </w:tc>
        <w:tc>
          <w:tcPr>
            <w:tcW w:w="1467" w:type="pct"/>
            <w:tcBorders>
              <w:top w:val="single" w:sz="4" w:space="0" w:color="auto"/>
              <w:tl2br w:val="nil"/>
              <w:tr2bl w:val="nil"/>
            </w:tcBorders>
          </w:tcPr>
          <w:p w14:paraId="16904C31" w14:textId="77777777" w:rsidR="00B14D53" w:rsidRDefault="00000000">
            <w:pPr>
              <w:jc w:val="center"/>
              <w:rPr>
                <w:szCs w:val="21"/>
              </w:rPr>
            </w:pPr>
            <w:r>
              <w:rPr>
                <w:rFonts w:hint="eastAsia"/>
                <w:szCs w:val="21"/>
              </w:rPr>
              <w:t>委托有资质单位处置</w:t>
            </w:r>
          </w:p>
        </w:tc>
      </w:tr>
      <w:tr w:rsidR="00B14D53" w14:paraId="76D8312A" w14:textId="77777777">
        <w:trPr>
          <w:trHeight w:val="340"/>
          <w:jc w:val="center"/>
        </w:trPr>
        <w:tc>
          <w:tcPr>
            <w:tcW w:w="343" w:type="pct"/>
            <w:vMerge/>
            <w:tcBorders>
              <w:tl2br w:val="nil"/>
              <w:tr2bl w:val="nil"/>
            </w:tcBorders>
            <w:vAlign w:val="center"/>
          </w:tcPr>
          <w:p w14:paraId="5F1E3851"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25635DBC"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S3</w:t>
            </w:r>
          </w:p>
        </w:tc>
        <w:tc>
          <w:tcPr>
            <w:tcW w:w="1240" w:type="pct"/>
            <w:tcBorders>
              <w:tl2br w:val="nil"/>
              <w:tr2bl w:val="nil"/>
            </w:tcBorders>
            <w:vAlign w:val="center"/>
          </w:tcPr>
          <w:p w14:paraId="700FB4C2"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去内容物</w:t>
            </w:r>
          </w:p>
        </w:tc>
        <w:tc>
          <w:tcPr>
            <w:tcW w:w="628" w:type="pct"/>
            <w:tcBorders>
              <w:tl2br w:val="nil"/>
              <w:tr2bl w:val="nil"/>
            </w:tcBorders>
            <w:vAlign w:val="center"/>
          </w:tcPr>
          <w:p w14:paraId="259670E9"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965" w:type="pct"/>
            <w:tcBorders>
              <w:tl2br w:val="nil"/>
              <w:tr2bl w:val="nil"/>
            </w:tcBorders>
            <w:vAlign w:val="center"/>
          </w:tcPr>
          <w:p w14:paraId="17766CFE"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废弃肠胃内容物</w:t>
            </w:r>
          </w:p>
        </w:tc>
        <w:tc>
          <w:tcPr>
            <w:tcW w:w="1467" w:type="pct"/>
            <w:tcBorders>
              <w:tl2br w:val="nil"/>
              <w:tr2bl w:val="nil"/>
            </w:tcBorders>
          </w:tcPr>
          <w:p w14:paraId="354017A7"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外售有机肥厂进行堆肥处理</w:t>
            </w:r>
          </w:p>
        </w:tc>
      </w:tr>
      <w:tr w:rsidR="00B14D53" w14:paraId="5EE03F71" w14:textId="77777777">
        <w:trPr>
          <w:trHeight w:val="340"/>
          <w:jc w:val="center"/>
        </w:trPr>
        <w:tc>
          <w:tcPr>
            <w:tcW w:w="343" w:type="pct"/>
            <w:vMerge/>
            <w:tcBorders>
              <w:tl2br w:val="nil"/>
              <w:tr2bl w:val="nil"/>
            </w:tcBorders>
            <w:vAlign w:val="center"/>
          </w:tcPr>
          <w:p w14:paraId="5EE30DBE"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47932B08"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S4</w:t>
            </w:r>
          </w:p>
        </w:tc>
        <w:tc>
          <w:tcPr>
            <w:tcW w:w="1240" w:type="pct"/>
            <w:tcBorders>
              <w:tl2br w:val="nil"/>
              <w:tr2bl w:val="nil"/>
            </w:tcBorders>
            <w:vAlign w:val="center"/>
          </w:tcPr>
          <w:p w14:paraId="73E6B928" w14:textId="77777777" w:rsidR="00B14D53" w:rsidRDefault="00000000">
            <w:pPr>
              <w:pStyle w:val="a9"/>
              <w:adjustRightInd/>
              <w:snapToGrid/>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待宰圈</w:t>
            </w:r>
          </w:p>
        </w:tc>
        <w:tc>
          <w:tcPr>
            <w:tcW w:w="628" w:type="pct"/>
            <w:tcBorders>
              <w:tl2br w:val="nil"/>
              <w:tr2bl w:val="nil"/>
            </w:tcBorders>
            <w:vAlign w:val="center"/>
          </w:tcPr>
          <w:p w14:paraId="755A18E8" w14:textId="77777777" w:rsidR="00B14D53" w:rsidRDefault="00000000">
            <w:pPr>
              <w:pStyle w:val="a9"/>
              <w:adjustRightInd/>
              <w:snapToGrid/>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间断</w:t>
            </w:r>
          </w:p>
        </w:tc>
        <w:tc>
          <w:tcPr>
            <w:tcW w:w="965" w:type="pct"/>
            <w:tcBorders>
              <w:tl2br w:val="nil"/>
              <w:tr2bl w:val="nil"/>
            </w:tcBorders>
            <w:vAlign w:val="center"/>
          </w:tcPr>
          <w:p w14:paraId="1C7A7358" w14:textId="77777777" w:rsidR="00B14D53" w:rsidRDefault="00000000">
            <w:pPr>
              <w:pStyle w:val="a9"/>
              <w:adjustRightInd/>
              <w:snapToGrid/>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病死猪</w:t>
            </w:r>
          </w:p>
        </w:tc>
        <w:tc>
          <w:tcPr>
            <w:tcW w:w="1467" w:type="pct"/>
            <w:vMerge w:val="restart"/>
            <w:tcBorders>
              <w:tl2br w:val="nil"/>
              <w:tr2bl w:val="nil"/>
            </w:tcBorders>
            <w:vAlign w:val="center"/>
          </w:tcPr>
          <w:p w14:paraId="20A7C293" w14:textId="77777777" w:rsidR="00B14D53" w:rsidRDefault="00000000">
            <w:pPr>
              <w:jc w:val="center"/>
              <w:rPr>
                <w:szCs w:val="21"/>
              </w:rPr>
            </w:pPr>
            <w:r>
              <w:rPr>
                <w:szCs w:val="21"/>
              </w:rPr>
              <w:t>送至</w:t>
            </w:r>
            <w:r>
              <w:rPr>
                <w:rFonts w:hint="eastAsia"/>
                <w:szCs w:val="21"/>
              </w:rPr>
              <w:t>哈尔滨银山无害化处理有限公司处理</w:t>
            </w:r>
          </w:p>
        </w:tc>
      </w:tr>
      <w:tr w:rsidR="00B14D53" w14:paraId="2714813A" w14:textId="77777777">
        <w:trPr>
          <w:trHeight w:val="340"/>
          <w:jc w:val="center"/>
        </w:trPr>
        <w:tc>
          <w:tcPr>
            <w:tcW w:w="343" w:type="pct"/>
            <w:vMerge/>
            <w:tcBorders>
              <w:tl2br w:val="nil"/>
              <w:tr2bl w:val="nil"/>
            </w:tcBorders>
            <w:vAlign w:val="center"/>
          </w:tcPr>
          <w:p w14:paraId="5BEEBB2C"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708F811D"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S5</w:t>
            </w:r>
          </w:p>
        </w:tc>
        <w:tc>
          <w:tcPr>
            <w:tcW w:w="1240" w:type="pct"/>
            <w:tcBorders>
              <w:tl2br w:val="nil"/>
              <w:tr2bl w:val="nil"/>
            </w:tcBorders>
            <w:vAlign w:val="center"/>
          </w:tcPr>
          <w:p w14:paraId="4C593896"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检验</w:t>
            </w:r>
          </w:p>
        </w:tc>
        <w:tc>
          <w:tcPr>
            <w:tcW w:w="628" w:type="pct"/>
            <w:tcBorders>
              <w:tl2br w:val="nil"/>
              <w:tr2bl w:val="nil"/>
            </w:tcBorders>
            <w:vAlign w:val="center"/>
          </w:tcPr>
          <w:p w14:paraId="15DCA07F"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间断</w:t>
            </w:r>
          </w:p>
        </w:tc>
        <w:tc>
          <w:tcPr>
            <w:tcW w:w="965" w:type="pct"/>
            <w:tcBorders>
              <w:tl2br w:val="nil"/>
              <w:tr2bl w:val="nil"/>
            </w:tcBorders>
            <w:vAlign w:val="center"/>
          </w:tcPr>
          <w:p w14:paraId="4C05DEFC" w14:textId="77777777" w:rsidR="00B14D53" w:rsidRDefault="00000000">
            <w:pPr>
              <w:jc w:val="center"/>
              <w:rPr>
                <w:szCs w:val="21"/>
              </w:rPr>
            </w:pPr>
            <w:r>
              <w:rPr>
                <w:szCs w:val="21"/>
              </w:rPr>
              <w:t>病变内脏、腺体</w:t>
            </w:r>
          </w:p>
        </w:tc>
        <w:tc>
          <w:tcPr>
            <w:tcW w:w="1467" w:type="pct"/>
            <w:vMerge/>
            <w:tcBorders>
              <w:tl2br w:val="nil"/>
              <w:tr2bl w:val="nil"/>
            </w:tcBorders>
          </w:tcPr>
          <w:p w14:paraId="184841E4" w14:textId="77777777" w:rsidR="00B14D53" w:rsidRDefault="00B14D53">
            <w:pPr>
              <w:jc w:val="center"/>
              <w:rPr>
                <w:szCs w:val="21"/>
              </w:rPr>
            </w:pPr>
          </w:p>
        </w:tc>
      </w:tr>
      <w:tr w:rsidR="00B14D53" w14:paraId="2F81B9BB" w14:textId="77777777">
        <w:trPr>
          <w:trHeight w:val="340"/>
          <w:jc w:val="center"/>
        </w:trPr>
        <w:tc>
          <w:tcPr>
            <w:tcW w:w="343" w:type="pct"/>
            <w:vMerge/>
            <w:tcBorders>
              <w:tl2br w:val="nil"/>
              <w:tr2bl w:val="nil"/>
            </w:tcBorders>
            <w:vAlign w:val="center"/>
          </w:tcPr>
          <w:p w14:paraId="58AE46CA"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30DEA07B"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S6</w:t>
            </w:r>
          </w:p>
        </w:tc>
        <w:tc>
          <w:tcPr>
            <w:tcW w:w="1240" w:type="pct"/>
            <w:tcBorders>
              <w:tl2br w:val="nil"/>
              <w:tr2bl w:val="nil"/>
            </w:tcBorders>
            <w:vAlign w:val="center"/>
          </w:tcPr>
          <w:p w14:paraId="67BF5424"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修整</w:t>
            </w:r>
          </w:p>
        </w:tc>
        <w:tc>
          <w:tcPr>
            <w:tcW w:w="628" w:type="pct"/>
            <w:tcBorders>
              <w:tl2br w:val="nil"/>
              <w:tr2bl w:val="nil"/>
            </w:tcBorders>
            <w:vAlign w:val="center"/>
          </w:tcPr>
          <w:p w14:paraId="320BD188"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间断</w:t>
            </w:r>
          </w:p>
        </w:tc>
        <w:tc>
          <w:tcPr>
            <w:tcW w:w="965" w:type="pct"/>
            <w:tcBorders>
              <w:tl2br w:val="nil"/>
              <w:tr2bl w:val="nil"/>
            </w:tcBorders>
            <w:vAlign w:val="center"/>
          </w:tcPr>
          <w:p w14:paraId="0A7209D4" w14:textId="77777777" w:rsidR="00B14D53" w:rsidRDefault="00000000">
            <w:pPr>
              <w:pStyle w:val="a9"/>
              <w:adjustRightInd/>
              <w:snapToGrid/>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脂肪</w:t>
            </w:r>
          </w:p>
        </w:tc>
        <w:tc>
          <w:tcPr>
            <w:tcW w:w="1467" w:type="pct"/>
            <w:vMerge/>
            <w:tcBorders>
              <w:tl2br w:val="nil"/>
              <w:tr2bl w:val="nil"/>
            </w:tcBorders>
          </w:tcPr>
          <w:p w14:paraId="53EFBF10" w14:textId="77777777" w:rsidR="00B14D53" w:rsidRDefault="00B14D53">
            <w:pPr>
              <w:jc w:val="center"/>
              <w:rPr>
                <w:szCs w:val="21"/>
              </w:rPr>
            </w:pPr>
          </w:p>
        </w:tc>
      </w:tr>
      <w:tr w:rsidR="00B14D53" w14:paraId="22201A6C" w14:textId="77777777">
        <w:trPr>
          <w:trHeight w:val="340"/>
          <w:jc w:val="center"/>
        </w:trPr>
        <w:tc>
          <w:tcPr>
            <w:tcW w:w="343" w:type="pct"/>
            <w:vMerge/>
            <w:tcBorders>
              <w:tl2br w:val="nil"/>
              <w:tr2bl w:val="nil"/>
            </w:tcBorders>
            <w:vAlign w:val="center"/>
          </w:tcPr>
          <w:p w14:paraId="1EBF0A83"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2202F352"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kern w:val="0"/>
                <w:sz w:val="21"/>
                <w:szCs w:val="21"/>
              </w:rPr>
              <w:t>S7</w:t>
            </w:r>
          </w:p>
        </w:tc>
        <w:tc>
          <w:tcPr>
            <w:tcW w:w="1240" w:type="pct"/>
            <w:tcBorders>
              <w:tl2br w:val="nil"/>
              <w:tr2bl w:val="nil"/>
            </w:tcBorders>
            <w:vAlign w:val="center"/>
          </w:tcPr>
          <w:p w14:paraId="663D5F50" w14:textId="77777777" w:rsidR="00B14D53" w:rsidRDefault="00000000">
            <w:pPr>
              <w:pStyle w:val="a9"/>
              <w:adjustRightInd/>
              <w:snapToGrid/>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污水处理站</w:t>
            </w:r>
          </w:p>
        </w:tc>
        <w:tc>
          <w:tcPr>
            <w:tcW w:w="628" w:type="pct"/>
            <w:tcBorders>
              <w:tl2br w:val="nil"/>
              <w:tr2bl w:val="nil"/>
            </w:tcBorders>
            <w:vAlign w:val="center"/>
          </w:tcPr>
          <w:p w14:paraId="5B7E67B0" w14:textId="77777777" w:rsidR="00B14D53" w:rsidRDefault="00000000">
            <w:pPr>
              <w:pStyle w:val="a9"/>
              <w:adjustRightInd/>
              <w:snapToGrid/>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间断</w:t>
            </w:r>
          </w:p>
        </w:tc>
        <w:tc>
          <w:tcPr>
            <w:tcW w:w="965" w:type="pct"/>
            <w:tcBorders>
              <w:tl2br w:val="nil"/>
              <w:tr2bl w:val="nil"/>
            </w:tcBorders>
            <w:vAlign w:val="center"/>
          </w:tcPr>
          <w:p w14:paraId="1B5CACCC"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污泥、栅渣</w:t>
            </w:r>
          </w:p>
        </w:tc>
        <w:tc>
          <w:tcPr>
            <w:tcW w:w="1467" w:type="pct"/>
            <w:tcBorders>
              <w:tl2br w:val="nil"/>
              <w:tr2bl w:val="nil"/>
            </w:tcBorders>
          </w:tcPr>
          <w:p w14:paraId="4D5DCA20" w14:textId="77777777" w:rsidR="00B14D53" w:rsidRDefault="00000000">
            <w:pPr>
              <w:jc w:val="center"/>
              <w:rPr>
                <w:szCs w:val="21"/>
              </w:rPr>
            </w:pPr>
            <w:r>
              <w:rPr>
                <w:szCs w:val="21"/>
              </w:rPr>
              <w:t>经离心式脱水机脱水、</w:t>
            </w:r>
            <w:r>
              <w:rPr>
                <w:rFonts w:hint="eastAsia"/>
                <w:szCs w:val="21"/>
              </w:rPr>
              <w:t>送至生活垃圾填埋场</w:t>
            </w:r>
          </w:p>
        </w:tc>
      </w:tr>
      <w:tr w:rsidR="00B14D53" w14:paraId="01DC68B8" w14:textId="77777777">
        <w:trPr>
          <w:trHeight w:val="340"/>
          <w:jc w:val="center"/>
        </w:trPr>
        <w:tc>
          <w:tcPr>
            <w:tcW w:w="343" w:type="pct"/>
            <w:vMerge/>
            <w:tcBorders>
              <w:tl2br w:val="nil"/>
              <w:tr2bl w:val="nil"/>
            </w:tcBorders>
            <w:vAlign w:val="center"/>
          </w:tcPr>
          <w:p w14:paraId="44A2712F"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26DCEAA6" w14:textId="77777777" w:rsidR="00B14D53" w:rsidRDefault="00000000">
            <w:pPr>
              <w:pStyle w:val="a9"/>
              <w:adjustRightInd/>
              <w:snapToGrid/>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S8</w:t>
            </w:r>
          </w:p>
        </w:tc>
        <w:tc>
          <w:tcPr>
            <w:tcW w:w="1240" w:type="pct"/>
            <w:tcBorders>
              <w:tl2br w:val="nil"/>
              <w:tr2bl w:val="nil"/>
            </w:tcBorders>
            <w:vAlign w:val="center"/>
          </w:tcPr>
          <w:p w14:paraId="04229C3A"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恶臭吸附</w:t>
            </w:r>
          </w:p>
        </w:tc>
        <w:tc>
          <w:tcPr>
            <w:tcW w:w="628" w:type="pct"/>
            <w:tcBorders>
              <w:tl2br w:val="nil"/>
              <w:tr2bl w:val="nil"/>
            </w:tcBorders>
            <w:vAlign w:val="center"/>
          </w:tcPr>
          <w:p w14:paraId="3ED02035"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间断</w:t>
            </w:r>
          </w:p>
        </w:tc>
        <w:tc>
          <w:tcPr>
            <w:tcW w:w="965" w:type="pct"/>
            <w:tcBorders>
              <w:tl2br w:val="nil"/>
              <w:tr2bl w:val="nil"/>
            </w:tcBorders>
            <w:vAlign w:val="center"/>
          </w:tcPr>
          <w:p w14:paraId="51706180"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废活性炭</w:t>
            </w:r>
          </w:p>
        </w:tc>
        <w:tc>
          <w:tcPr>
            <w:tcW w:w="1467" w:type="pct"/>
            <w:tcBorders>
              <w:tl2br w:val="nil"/>
              <w:tr2bl w:val="nil"/>
            </w:tcBorders>
            <w:vAlign w:val="center"/>
          </w:tcPr>
          <w:p w14:paraId="5F5959F1" w14:textId="77777777" w:rsidR="00B14D53" w:rsidRDefault="00000000">
            <w:pPr>
              <w:jc w:val="center"/>
              <w:rPr>
                <w:szCs w:val="21"/>
              </w:rPr>
            </w:pPr>
            <w:r>
              <w:rPr>
                <w:szCs w:val="21"/>
              </w:rPr>
              <w:t>由活性炭厂家回收再生处理</w:t>
            </w:r>
          </w:p>
        </w:tc>
      </w:tr>
      <w:tr w:rsidR="00B14D53" w14:paraId="7CC4CFFD" w14:textId="77777777">
        <w:trPr>
          <w:trHeight w:val="90"/>
          <w:jc w:val="center"/>
        </w:trPr>
        <w:tc>
          <w:tcPr>
            <w:tcW w:w="343" w:type="pct"/>
            <w:vMerge/>
            <w:tcBorders>
              <w:tl2br w:val="nil"/>
              <w:tr2bl w:val="nil"/>
            </w:tcBorders>
            <w:vAlign w:val="center"/>
          </w:tcPr>
          <w:p w14:paraId="7FA9F91C"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36C6B610" w14:textId="77777777" w:rsidR="00B14D53" w:rsidRDefault="00000000">
            <w:pPr>
              <w:pStyle w:val="a9"/>
              <w:adjustRightInd/>
              <w:snapToGrid/>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S9</w:t>
            </w:r>
          </w:p>
        </w:tc>
        <w:tc>
          <w:tcPr>
            <w:tcW w:w="1240" w:type="pct"/>
            <w:tcBorders>
              <w:tl2br w:val="nil"/>
              <w:tr2bl w:val="nil"/>
            </w:tcBorders>
            <w:vAlign w:val="center"/>
          </w:tcPr>
          <w:p w14:paraId="00435D35"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软化水制备</w:t>
            </w:r>
          </w:p>
        </w:tc>
        <w:tc>
          <w:tcPr>
            <w:tcW w:w="628" w:type="pct"/>
            <w:tcBorders>
              <w:tl2br w:val="nil"/>
              <w:tr2bl w:val="nil"/>
            </w:tcBorders>
            <w:vAlign w:val="center"/>
          </w:tcPr>
          <w:p w14:paraId="335B621E"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间断</w:t>
            </w:r>
          </w:p>
        </w:tc>
        <w:tc>
          <w:tcPr>
            <w:tcW w:w="965" w:type="pct"/>
            <w:tcBorders>
              <w:tl2br w:val="nil"/>
              <w:tr2bl w:val="nil"/>
            </w:tcBorders>
            <w:vAlign w:val="center"/>
          </w:tcPr>
          <w:p w14:paraId="53CFE4A7"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废离子交换树脂</w:t>
            </w:r>
          </w:p>
        </w:tc>
        <w:tc>
          <w:tcPr>
            <w:tcW w:w="1467" w:type="pct"/>
            <w:tcBorders>
              <w:tl2br w:val="nil"/>
              <w:tr2bl w:val="nil"/>
            </w:tcBorders>
            <w:vAlign w:val="center"/>
          </w:tcPr>
          <w:p w14:paraId="6983B507" w14:textId="77777777" w:rsidR="00B14D53" w:rsidRDefault="00000000">
            <w:pPr>
              <w:jc w:val="center"/>
              <w:rPr>
                <w:szCs w:val="21"/>
              </w:rPr>
            </w:pPr>
            <w:r>
              <w:rPr>
                <w:rFonts w:hint="eastAsia"/>
                <w:szCs w:val="21"/>
              </w:rPr>
              <w:t>由厂家回收利用</w:t>
            </w:r>
          </w:p>
        </w:tc>
      </w:tr>
      <w:tr w:rsidR="00B14D53" w14:paraId="02328C88" w14:textId="77777777">
        <w:trPr>
          <w:trHeight w:val="90"/>
          <w:jc w:val="center"/>
        </w:trPr>
        <w:tc>
          <w:tcPr>
            <w:tcW w:w="343" w:type="pct"/>
            <w:vMerge/>
            <w:tcBorders>
              <w:tl2br w:val="nil"/>
              <w:tr2bl w:val="nil"/>
            </w:tcBorders>
            <w:vAlign w:val="center"/>
          </w:tcPr>
          <w:p w14:paraId="256C262E"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588" w:type="dxa"/>
            <w:tcBorders>
              <w:tl2br w:val="nil"/>
              <w:tr2bl w:val="nil"/>
            </w:tcBorders>
            <w:vAlign w:val="center"/>
          </w:tcPr>
          <w:p w14:paraId="4101838F" w14:textId="77777777" w:rsidR="00B14D53" w:rsidRDefault="00000000">
            <w:pPr>
              <w:pStyle w:val="a9"/>
              <w:adjustRightInd/>
              <w:snapToGrid/>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S10</w:t>
            </w:r>
          </w:p>
        </w:tc>
        <w:tc>
          <w:tcPr>
            <w:tcW w:w="2059" w:type="dxa"/>
            <w:tcBorders>
              <w:tl2br w:val="nil"/>
              <w:tr2bl w:val="nil"/>
            </w:tcBorders>
            <w:vAlign w:val="center"/>
          </w:tcPr>
          <w:p w14:paraId="7220DE69"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包装</w:t>
            </w:r>
          </w:p>
        </w:tc>
        <w:tc>
          <w:tcPr>
            <w:tcW w:w="1043" w:type="dxa"/>
            <w:tcBorders>
              <w:tl2br w:val="nil"/>
              <w:tr2bl w:val="nil"/>
            </w:tcBorders>
            <w:vAlign w:val="center"/>
          </w:tcPr>
          <w:p w14:paraId="72015DB3"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连续</w:t>
            </w:r>
          </w:p>
        </w:tc>
        <w:tc>
          <w:tcPr>
            <w:tcW w:w="1602" w:type="dxa"/>
            <w:tcBorders>
              <w:tl2br w:val="nil"/>
              <w:tr2bl w:val="nil"/>
            </w:tcBorders>
            <w:vAlign w:val="center"/>
          </w:tcPr>
          <w:p w14:paraId="39748A19"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废外包装</w:t>
            </w:r>
          </w:p>
        </w:tc>
        <w:tc>
          <w:tcPr>
            <w:tcW w:w="2436" w:type="dxa"/>
            <w:tcBorders>
              <w:tl2br w:val="nil"/>
              <w:tr2bl w:val="nil"/>
            </w:tcBorders>
            <w:vAlign w:val="center"/>
          </w:tcPr>
          <w:p w14:paraId="46E2B47A" w14:textId="77777777" w:rsidR="00B14D53" w:rsidRDefault="00000000">
            <w:pPr>
              <w:jc w:val="center"/>
              <w:rPr>
                <w:szCs w:val="21"/>
              </w:rPr>
            </w:pPr>
            <w:r>
              <w:rPr>
                <w:rFonts w:hint="eastAsia"/>
                <w:szCs w:val="21"/>
              </w:rPr>
              <w:t>外售物资回收单位</w:t>
            </w:r>
          </w:p>
        </w:tc>
      </w:tr>
      <w:tr w:rsidR="00B14D53" w14:paraId="1258F069" w14:textId="77777777">
        <w:trPr>
          <w:trHeight w:val="340"/>
          <w:jc w:val="center"/>
        </w:trPr>
        <w:tc>
          <w:tcPr>
            <w:tcW w:w="343" w:type="pct"/>
            <w:vMerge/>
            <w:tcBorders>
              <w:tl2br w:val="nil"/>
              <w:tr2bl w:val="nil"/>
            </w:tcBorders>
            <w:vAlign w:val="center"/>
          </w:tcPr>
          <w:p w14:paraId="6845F992" w14:textId="77777777" w:rsidR="00B14D53" w:rsidRDefault="00B14D53">
            <w:pPr>
              <w:pStyle w:val="a9"/>
              <w:adjustRightInd/>
              <w:snapToGrid/>
              <w:spacing w:line="240" w:lineRule="auto"/>
              <w:ind w:firstLineChars="0" w:firstLine="0"/>
              <w:jc w:val="center"/>
              <w:rPr>
                <w:rFonts w:ascii="Times New Roman" w:eastAsia="宋体" w:hAnsi="Times New Roman" w:cs="Times New Roman"/>
                <w:sz w:val="21"/>
                <w:szCs w:val="21"/>
              </w:rPr>
            </w:pPr>
          </w:p>
        </w:tc>
        <w:tc>
          <w:tcPr>
            <w:tcW w:w="354" w:type="pct"/>
            <w:tcBorders>
              <w:tl2br w:val="nil"/>
              <w:tr2bl w:val="nil"/>
            </w:tcBorders>
            <w:vAlign w:val="center"/>
          </w:tcPr>
          <w:p w14:paraId="5F8450C6" w14:textId="77777777" w:rsidR="00B14D53" w:rsidRDefault="00000000">
            <w:pPr>
              <w:pStyle w:val="a9"/>
              <w:adjustRightInd/>
              <w:snapToGrid/>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S11</w:t>
            </w:r>
          </w:p>
        </w:tc>
        <w:tc>
          <w:tcPr>
            <w:tcW w:w="1240" w:type="pct"/>
            <w:tcBorders>
              <w:tl2br w:val="nil"/>
              <w:tr2bl w:val="nil"/>
            </w:tcBorders>
            <w:vAlign w:val="center"/>
          </w:tcPr>
          <w:p w14:paraId="721B9AA3"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员工生活</w:t>
            </w:r>
          </w:p>
        </w:tc>
        <w:tc>
          <w:tcPr>
            <w:tcW w:w="628" w:type="pct"/>
            <w:tcBorders>
              <w:tl2br w:val="nil"/>
              <w:tr2bl w:val="nil"/>
            </w:tcBorders>
            <w:vAlign w:val="center"/>
          </w:tcPr>
          <w:p w14:paraId="28084FD5"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间断</w:t>
            </w:r>
          </w:p>
        </w:tc>
        <w:tc>
          <w:tcPr>
            <w:tcW w:w="965" w:type="pct"/>
            <w:tcBorders>
              <w:tl2br w:val="nil"/>
              <w:tr2bl w:val="nil"/>
            </w:tcBorders>
            <w:vAlign w:val="center"/>
          </w:tcPr>
          <w:p w14:paraId="61EB7884" w14:textId="77777777" w:rsidR="00B14D53" w:rsidRDefault="00000000">
            <w:pPr>
              <w:pStyle w:val="a9"/>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生活垃圾</w:t>
            </w:r>
          </w:p>
        </w:tc>
        <w:tc>
          <w:tcPr>
            <w:tcW w:w="1467" w:type="pct"/>
            <w:tcBorders>
              <w:tl2br w:val="nil"/>
              <w:tr2bl w:val="nil"/>
            </w:tcBorders>
            <w:vAlign w:val="center"/>
          </w:tcPr>
          <w:p w14:paraId="217B4D80" w14:textId="77777777" w:rsidR="00B14D53" w:rsidRDefault="00000000">
            <w:pPr>
              <w:jc w:val="center"/>
              <w:rPr>
                <w:szCs w:val="21"/>
              </w:rPr>
            </w:pPr>
            <w:r>
              <w:rPr>
                <w:rFonts w:hint="eastAsia"/>
                <w:szCs w:val="21"/>
              </w:rPr>
              <w:t>交由市政部门统一处理</w:t>
            </w:r>
          </w:p>
        </w:tc>
      </w:tr>
    </w:tbl>
    <w:p w14:paraId="790B9580"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165" w:name="_Toc15991649"/>
      <w:bookmarkStart w:id="166" w:name="_Toc7169"/>
      <w:r>
        <w:rPr>
          <w:rFonts w:ascii="Times New Roman" w:eastAsia="黑体" w:hAnsi="Times New Roman" w:cs="Times New Roman"/>
          <w:b w:val="0"/>
          <w:bCs w:val="0"/>
          <w:sz w:val="30"/>
          <w:szCs w:val="30"/>
        </w:rPr>
        <w:t>3.3</w:t>
      </w:r>
      <w:r>
        <w:rPr>
          <w:rFonts w:ascii="Times New Roman" w:eastAsia="黑体" w:hAnsi="Times New Roman" w:cs="Times New Roman"/>
          <w:b w:val="0"/>
          <w:bCs w:val="0"/>
          <w:sz w:val="30"/>
          <w:szCs w:val="30"/>
        </w:rPr>
        <w:t>污染源源强核算</w:t>
      </w:r>
      <w:bookmarkEnd w:id="165"/>
      <w:bookmarkEnd w:id="166"/>
    </w:p>
    <w:p w14:paraId="4C7359E4"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3.3.1</w:t>
      </w:r>
      <w:r>
        <w:rPr>
          <w:rFonts w:ascii="Times New Roman" w:eastAsia="黑体" w:hAnsi="Times New Roman" w:cs="Times New Roman"/>
          <w:sz w:val="28"/>
          <w:szCs w:val="28"/>
        </w:rPr>
        <w:t>施工期污染源强核算</w:t>
      </w:r>
    </w:p>
    <w:p w14:paraId="004C6C8E" w14:textId="77777777" w:rsidR="00B14D53" w:rsidRDefault="00000000">
      <w:pPr>
        <w:widowControl/>
        <w:spacing w:line="360" w:lineRule="auto"/>
        <w:ind w:firstLineChars="200" w:firstLine="480"/>
        <w:rPr>
          <w:rFonts w:eastAsiaTheme="minorEastAsia"/>
          <w:kern w:val="0"/>
          <w:sz w:val="24"/>
        </w:rPr>
      </w:pPr>
      <w:r>
        <w:rPr>
          <w:rFonts w:eastAsiaTheme="minorEastAsia" w:hAnsiTheme="minorEastAsia"/>
          <w:kern w:val="0"/>
          <w:sz w:val="24"/>
        </w:rPr>
        <w:t>施工活动的工程内容主要为：平整土地、建筑施工、管线铺设、设备</w:t>
      </w:r>
      <w:r>
        <w:rPr>
          <w:rFonts w:eastAsiaTheme="minorEastAsia" w:hAnsiTheme="minorEastAsia" w:hint="eastAsia"/>
          <w:kern w:val="0"/>
          <w:sz w:val="24"/>
        </w:rPr>
        <w:t>拆除及</w:t>
      </w:r>
      <w:r>
        <w:rPr>
          <w:rFonts w:eastAsiaTheme="minorEastAsia" w:hAnsiTheme="minorEastAsia"/>
          <w:kern w:val="0"/>
          <w:sz w:val="24"/>
        </w:rPr>
        <w:t>安装，主要影响范围为项目场区区域，施工过程将产生施工扬尘、施工废水、施工噪声、</w:t>
      </w:r>
      <w:r>
        <w:rPr>
          <w:rFonts w:eastAsiaTheme="minorEastAsia" w:hAnsiTheme="minorEastAsia" w:hint="eastAsia"/>
          <w:kern w:val="0"/>
          <w:sz w:val="24"/>
        </w:rPr>
        <w:t>拆除设备、</w:t>
      </w:r>
      <w:r>
        <w:rPr>
          <w:rFonts w:eastAsiaTheme="minorEastAsia" w:hAnsiTheme="minorEastAsia"/>
          <w:kern w:val="0"/>
          <w:sz w:val="24"/>
        </w:rPr>
        <w:t>施工固废及生活垃圾等污染物，主要环境影响因子包括环境空气、水环境、声环境、人群健康、生态环境等，并新增少量水土流失。</w:t>
      </w:r>
    </w:p>
    <w:p w14:paraId="0EED2635" w14:textId="77777777" w:rsidR="00B14D53" w:rsidRDefault="00000000">
      <w:pPr>
        <w:pStyle w:val="4"/>
        <w:spacing w:before="100" w:beforeAutospacing="1" w:after="0" w:line="240" w:lineRule="auto"/>
        <w:ind w:firstLineChars="200" w:firstLine="480"/>
        <w:rPr>
          <w:rFonts w:ascii="Times New Roman" w:eastAsia="黑体" w:hAnsi="Times New Roman" w:cs="Times New Roman"/>
          <w:sz w:val="24"/>
          <w:szCs w:val="24"/>
        </w:rPr>
      </w:pPr>
      <w:r>
        <w:rPr>
          <w:rFonts w:ascii="Times New Roman" w:eastAsia="黑体" w:hAnsi="Times New Roman" w:cs="Times New Roman"/>
          <w:b w:val="0"/>
          <w:bCs w:val="0"/>
          <w:sz w:val="24"/>
          <w:szCs w:val="24"/>
        </w:rPr>
        <w:t>3.3.1.1</w:t>
      </w:r>
      <w:r>
        <w:rPr>
          <w:rFonts w:ascii="Times New Roman" w:eastAsia="黑体" w:hAnsi="Times New Roman" w:cs="Times New Roman"/>
          <w:b w:val="0"/>
          <w:bCs w:val="0"/>
          <w:sz w:val="24"/>
          <w:szCs w:val="24"/>
        </w:rPr>
        <w:t>废水污染分析</w:t>
      </w:r>
    </w:p>
    <w:p w14:paraId="3ADF6F96" w14:textId="77777777" w:rsidR="00B14D53" w:rsidRDefault="00000000">
      <w:pPr>
        <w:widowControl/>
        <w:spacing w:line="360" w:lineRule="auto"/>
        <w:ind w:firstLineChars="200" w:firstLine="480"/>
        <w:rPr>
          <w:rFonts w:eastAsiaTheme="minorEastAsia"/>
          <w:kern w:val="0"/>
          <w:sz w:val="24"/>
        </w:rPr>
      </w:pPr>
      <w:r>
        <w:rPr>
          <w:rFonts w:eastAsiaTheme="minorEastAsia" w:hAnsiTheme="minorEastAsia"/>
          <w:kern w:val="0"/>
          <w:sz w:val="24"/>
        </w:rPr>
        <w:t>项目施工期对水环境造成的影响主要有施工废水和生活污水。本项目施工期使用商品混凝土，不现场搅拌，无混凝土搅拌废水。施工场地堆放的土石方被雨水冲刷易对地面径流产生污染。施工机械不在现场维修和冲洗，施工废水主要污染因子为</w:t>
      </w:r>
      <w:r>
        <w:rPr>
          <w:rFonts w:eastAsiaTheme="minorEastAsia"/>
          <w:kern w:val="0"/>
          <w:sz w:val="24"/>
        </w:rPr>
        <w:t>COD</w:t>
      </w:r>
      <w:r>
        <w:rPr>
          <w:rFonts w:eastAsiaTheme="minorEastAsia" w:hAnsiTheme="minorEastAsia"/>
          <w:kern w:val="0"/>
          <w:sz w:val="24"/>
        </w:rPr>
        <w:t>、</w:t>
      </w:r>
      <w:r>
        <w:rPr>
          <w:rFonts w:eastAsiaTheme="minorEastAsia"/>
          <w:kern w:val="0"/>
          <w:sz w:val="24"/>
        </w:rPr>
        <w:t>BOD</w:t>
      </w:r>
      <w:r>
        <w:rPr>
          <w:rFonts w:eastAsiaTheme="minorEastAsia" w:hAnsiTheme="minorEastAsia"/>
          <w:kern w:val="0"/>
          <w:sz w:val="24"/>
        </w:rPr>
        <w:t>、氨氮、</w:t>
      </w:r>
      <w:r>
        <w:rPr>
          <w:rFonts w:eastAsiaTheme="minorEastAsia"/>
          <w:kern w:val="0"/>
          <w:sz w:val="24"/>
        </w:rPr>
        <w:t>SS</w:t>
      </w:r>
      <w:r>
        <w:rPr>
          <w:rFonts w:eastAsiaTheme="minorEastAsia" w:hAnsiTheme="minorEastAsia"/>
          <w:kern w:val="0"/>
          <w:sz w:val="24"/>
        </w:rPr>
        <w:t>、石油类。施工现场设置临时沉淀池，施工废水经沉淀后上清液用于施工场地和道路洒水降尘。</w:t>
      </w:r>
    </w:p>
    <w:p w14:paraId="28C89568" w14:textId="77777777" w:rsidR="00B14D53" w:rsidRDefault="00000000">
      <w:pPr>
        <w:widowControl/>
        <w:spacing w:line="360" w:lineRule="auto"/>
        <w:ind w:firstLineChars="200" w:firstLine="480"/>
        <w:rPr>
          <w:rFonts w:eastAsiaTheme="minorEastAsia"/>
          <w:kern w:val="0"/>
          <w:sz w:val="24"/>
        </w:rPr>
      </w:pPr>
      <w:r>
        <w:rPr>
          <w:rFonts w:eastAsiaTheme="minorEastAsia" w:hAnsiTheme="minorEastAsia"/>
          <w:kern w:val="0"/>
          <w:sz w:val="24"/>
        </w:rPr>
        <w:t>施工现场高峰期人数约为</w:t>
      </w:r>
      <w:r>
        <w:rPr>
          <w:rFonts w:eastAsiaTheme="minorEastAsia" w:hint="eastAsia"/>
          <w:kern w:val="0"/>
          <w:sz w:val="24"/>
        </w:rPr>
        <w:t>10</w:t>
      </w:r>
      <w:r>
        <w:rPr>
          <w:rFonts w:eastAsiaTheme="minorEastAsia" w:hAnsiTheme="minorEastAsia"/>
          <w:kern w:val="0"/>
          <w:sz w:val="24"/>
        </w:rPr>
        <w:t>人，按照黑龙江省《用水定额》（</w:t>
      </w:r>
      <w:r>
        <w:rPr>
          <w:rFonts w:eastAsiaTheme="minorEastAsia"/>
          <w:kern w:val="0"/>
          <w:sz w:val="24"/>
        </w:rPr>
        <w:t>DB23/T727-2021</w:t>
      </w:r>
      <w:r>
        <w:rPr>
          <w:rFonts w:eastAsiaTheme="minorEastAsia" w:hAnsiTheme="minorEastAsia"/>
          <w:kern w:val="0"/>
          <w:sz w:val="24"/>
        </w:rPr>
        <w:t>）规定，施工营地施工人员产生生活污水约为</w:t>
      </w:r>
      <w:r>
        <w:rPr>
          <w:rFonts w:eastAsiaTheme="minorEastAsia"/>
          <w:kern w:val="0"/>
          <w:sz w:val="24"/>
        </w:rPr>
        <w:t>0.</w:t>
      </w:r>
      <w:r>
        <w:rPr>
          <w:rFonts w:eastAsiaTheme="minorEastAsia" w:hint="eastAsia"/>
          <w:kern w:val="0"/>
          <w:sz w:val="24"/>
        </w:rPr>
        <w:t>08</w:t>
      </w:r>
      <w:r>
        <w:rPr>
          <w:rFonts w:eastAsiaTheme="minorEastAsia"/>
          <w:kern w:val="0"/>
          <w:sz w:val="24"/>
        </w:rPr>
        <w:t>t/d</w:t>
      </w:r>
      <w:r>
        <w:rPr>
          <w:rFonts w:eastAsiaTheme="minorEastAsia" w:hAnsiTheme="minorEastAsia"/>
          <w:kern w:val="0"/>
          <w:sz w:val="24"/>
        </w:rPr>
        <w:t>，污染物产生情况见下表。施工场地不设置食堂。施工</w:t>
      </w:r>
      <w:r>
        <w:rPr>
          <w:rFonts w:eastAsiaTheme="minorEastAsia" w:hAnsiTheme="minorEastAsia" w:hint="eastAsia"/>
          <w:kern w:val="0"/>
          <w:sz w:val="24"/>
        </w:rPr>
        <w:t>生活污水排入市政管网。</w:t>
      </w:r>
    </w:p>
    <w:p w14:paraId="32188083" w14:textId="77777777" w:rsidR="00B14D53" w:rsidRDefault="00000000">
      <w:pPr>
        <w:jc w:val="center"/>
        <w:rPr>
          <w:b/>
          <w:bCs/>
        </w:rPr>
      </w:pPr>
      <w:r>
        <w:rPr>
          <w:rFonts w:hint="eastAsia"/>
          <w:b/>
          <w:bCs/>
        </w:rPr>
        <w:t>表</w:t>
      </w:r>
      <w:r>
        <w:rPr>
          <w:rFonts w:hint="eastAsia"/>
          <w:b/>
          <w:bCs/>
        </w:rPr>
        <w:t xml:space="preserve">3-3-1 </w:t>
      </w:r>
      <w:r>
        <w:rPr>
          <w:rFonts w:hint="eastAsia"/>
          <w:b/>
          <w:bCs/>
        </w:rPr>
        <w:t>施工期生活污水排放情况表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36"/>
        <w:gridCol w:w="2058"/>
        <w:gridCol w:w="1201"/>
        <w:gridCol w:w="1204"/>
        <w:gridCol w:w="1204"/>
        <w:gridCol w:w="1203"/>
      </w:tblGrid>
      <w:tr w:rsidR="00B14D53" w14:paraId="542C8FB9" w14:textId="77777777">
        <w:trPr>
          <w:trHeight w:val="35"/>
        </w:trPr>
        <w:tc>
          <w:tcPr>
            <w:tcW w:w="864" w:type="pct"/>
            <w:vAlign w:val="center"/>
          </w:tcPr>
          <w:p w14:paraId="7106F13C"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废水量（</w:t>
            </w:r>
            <w:r>
              <w:rPr>
                <w:rFonts w:eastAsiaTheme="minorEastAsia" w:hAnsi="Times New Roman"/>
                <w:b/>
                <w:bCs/>
                <w:snapToGrid w:val="0"/>
                <w:szCs w:val="22"/>
              </w:rPr>
              <w:t>t/d</w:t>
            </w:r>
            <w:r>
              <w:rPr>
                <w:rFonts w:eastAsiaTheme="minorEastAsia"/>
                <w:b/>
                <w:bCs/>
                <w:snapToGrid w:val="0"/>
                <w:szCs w:val="22"/>
              </w:rPr>
              <w:t>）</w:t>
            </w:r>
          </w:p>
        </w:tc>
        <w:tc>
          <w:tcPr>
            <w:tcW w:w="1239" w:type="pct"/>
            <w:vAlign w:val="center"/>
          </w:tcPr>
          <w:p w14:paraId="32618E39"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水质</w:t>
            </w:r>
          </w:p>
        </w:tc>
        <w:tc>
          <w:tcPr>
            <w:tcW w:w="723" w:type="pct"/>
            <w:vAlign w:val="center"/>
          </w:tcPr>
          <w:p w14:paraId="6399EB42"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COD</w:t>
            </w:r>
            <w:r>
              <w:rPr>
                <w:rFonts w:eastAsiaTheme="minorEastAsia" w:hAnsi="Times New Roman"/>
                <w:b/>
                <w:bCs/>
                <w:snapToGrid w:val="0"/>
                <w:szCs w:val="22"/>
                <w:vertAlign w:val="subscript"/>
              </w:rPr>
              <w:t>cr</w:t>
            </w:r>
          </w:p>
        </w:tc>
        <w:tc>
          <w:tcPr>
            <w:tcW w:w="725" w:type="pct"/>
            <w:vAlign w:val="center"/>
          </w:tcPr>
          <w:p w14:paraId="22E338EA"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BOD</w:t>
            </w:r>
            <w:r>
              <w:rPr>
                <w:rFonts w:eastAsiaTheme="minorEastAsia" w:hAnsi="Times New Roman"/>
                <w:b/>
                <w:bCs/>
                <w:snapToGrid w:val="0"/>
                <w:szCs w:val="22"/>
                <w:vertAlign w:val="subscript"/>
              </w:rPr>
              <w:t>5</w:t>
            </w:r>
          </w:p>
        </w:tc>
        <w:tc>
          <w:tcPr>
            <w:tcW w:w="725" w:type="pct"/>
            <w:vAlign w:val="center"/>
          </w:tcPr>
          <w:p w14:paraId="020B3F1B"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SS</w:t>
            </w:r>
          </w:p>
        </w:tc>
        <w:tc>
          <w:tcPr>
            <w:tcW w:w="724" w:type="pct"/>
            <w:vAlign w:val="center"/>
          </w:tcPr>
          <w:p w14:paraId="048096F9"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氨氮</w:t>
            </w:r>
          </w:p>
        </w:tc>
      </w:tr>
      <w:tr w:rsidR="00B14D53" w14:paraId="7ECD5F2B" w14:textId="77777777">
        <w:trPr>
          <w:trHeight w:val="54"/>
        </w:trPr>
        <w:tc>
          <w:tcPr>
            <w:tcW w:w="864" w:type="pct"/>
            <w:vMerge w:val="restart"/>
            <w:vAlign w:val="center"/>
          </w:tcPr>
          <w:p w14:paraId="4C927EB1"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w:t>
            </w:r>
            <w:r>
              <w:rPr>
                <w:rFonts w:eastAsiaTheme="minorEastAsia" w:hAnsi="Times New Roman" w:hint="eastAsia"/>
                <w:snapToGrid w:val="0"/>
                <w:szCs w:val="22"/>
              </w:rPr>
              <w:t>08</w:t>
            </w:r>
          </w:p>
        </w:tc>
        <w:tc>
          <w:tcPr>
            <w:tcW w:w="1239" w:type="pct"/>
            <w:vAlign w:val="center"/>
          </w:tcPr>
          <w:p w14:paraId="2B133CB2" w14:textId="77777777" w:rsidR="00B14D53" w:rsidRDefault="00000000">
            <w:pPr>
              <w:pStyle w:val="afff2"/>
              <w:spacing w:line="240" w:lineRule="auto"/>
              <w:rPr>
                <w:rFonts w:eastAsiaTheme="minorEastAsia" w:hAnsi="Times New Roman"/>
                <w:snapToGrid w:val="0"/>
                <w:szCs w:val="22"/>
              </w:rPr>
            </w:pPr>
            <w:r>
              <w:rPr>
                <w:rFonts w:eastAsiaTheme="minorEastAsia"/>
                <w:snapToGrid w:val="0"/>
                <w:szCs w:val="22"/>
              </w:rPr>
              <w:t>产生浓度（</w:t>
            </w:r>
            <w:r>
              <w:rPr>
                <w:rFonts w:eastAsiaTheme="minorEastAsia" w:hAnsi="Times New Roman"/>
                <w:snapToGrid w:val="0"/>
                <w:szCs w:val="22"/>
              </w:rPr>
              <w:t>mg/L</w:t>
            </w:r>
            <w:r>
              <w:rPr>
                <w:rFonts w:eastAsiaTheme="minorEastAsia"/>
                <w:snapToGrid w:val="0"/>
                <w:szCs w:val="22"/>
              </w:rPr>
              <w:t>）</w:t>
            </w:r>
          </w:p>
        </w:tc>
        <w:tc>
          <w:tcPr>
            <w:tcW w:w="723" w:type="pct"/>
            <w:vAlign w:val="center"/>
          </w:tcPr>
          <w:p w14:paraId="1C0C3DD3"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3</w:t>
            </w:r>
            <w:r>
              <w:rPr>
                <w:rFonts w:eastAsiaTheme="minorEastAsia" w:hAnsi="Times New Roman" w:hint="eastAsia"/>
                <w:snapToGrid w:val="0"/>
                <w:szCs w:val="22"/>
              </w:rPr>
              <w:t>5</w:t>
            </w:r>
            <w:r>
              <w:rPr>
                <w:rFonts w:eastAsiaTheme="minorEastAsia" w:hAnsi="Times New Roman"/>
                <w:snapToGrid w:val="0"/>
                <w:szCs w:val="22"/>
              </w:rPr>
              <w:t>0</w:t>
            </w:r>
          </w:p>
        </w:tc>
        <w:tc>
          <w:tcPr>
            <w:tcW w:w="725" w:type="pct"/>
            <w:vAlign w:val="center"/>
          </w:tcPr>
          <w:p w14:paraId="1CAC943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200</w:t>
            </w:r>
          </w:p>
        </w:tc>
        <w:tc>
          <w:tcPr>
            <w:tcW w:w="725" w:type="pct"/>
            <w:vAlign w:val="center"/>
          </w:tcPr>
          <w:p w14:paraId="23BF6757"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2</w:t>
            </w:r>
            <w:r>
              <w:rPr>
                <w:rFonts w:eastAsiaTheme="minorEastAsia" w:hAnsi="Times New Roman" w:hint="eastAsia"/>
                <w:snapToGrid w:val="0"/>
                <w:szCs w:val="22"/>
              </w:rPr>
              <w:t>2</w:t>
            </w:r>
            <w:r>
              <w:rPr>
                <w:rFonts w:eastAsiaTheme="minorEastAsia" w:hAnsi="Times New Roman"/>
                <w:snapToGrid w:val="0"/>
                <w:szCs w:val="22"/>
              </w:rPr>
              <w:t>0</w:t>
            </w:r>
          </w:p>
        </w:tc>
        <w:tc>
          <w:tcPr>
            <w:tcW w:w="724" w:type="pct"/>
            <w:vAlign w:val="center"/>
          </w:tcPr>
          <w:p w14:paraId="00EC2829"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3</w:t>
            </w:r>
            <w:r>
              <w:rPr>
                <w:rFonts w:eastAsiaTheme="minorEastAsia" w:hAnsi="Times New Roman" w:hint="eastAsia"/>
                <w:snapToGrid w:val="0"/>
                <w:szCs w:val="22"/>
              </w:rPr>
              <w:t>5</w:t>
            </w:r>
          </w:p>
        </w:tc>
      </w:tr>
      <w:tr w:rsidR="00B14D53" w14:paraId="52D640E9" w14:textId="77777777">
        <w:trPr>
          <w:trHeight w:val="54"/>
        </w:trPr>
        <w:tc>
          <w:tcPr>
            <w:tcW w:w="0" w:type="auto"/>
            <w:vMerge/>
            <w:vAlign w:val="center"/>
          </w:tcPr>
          <w:p w14:paraId="27C8F041" w14:textId="77777777" w:rsidR="00B14D53" w:rsidRDefault="00B14D53">
            <w:pPr>
              <w:pStyle w:val="afff2"/>
              <w:spacing w:line="240" w:lineRule="auto"/>
              <w:rPr>
                <w:rFonts w:eastAsiaTheme="minorEastAsia" w:hAnsi="Times New Roman"/>
                <w:snapToGrid w:val="0"/>
              </w:rPr>
            </w:pPr>
          </w:p>
        </w:tc>
        <w:tc>
          <w:tcPr>
            <w:tcW w:w="1239" w:type="pct"/>
            <w:vAlign w:val="center"/>
          </w:tcPr>
          <w:p w14:paraId="62B5C7C0" w14:textId="77777777" w:rsidR="00B14D53" w:rsidRDefault="00000000">
            <w:pPr>
              <w:pStyle w:val="afff2"/>
              <w:spacing w:line="240" w:lineRule="auto"/>
              <w:rPr>
                <w:rFonts w:eastAsiaTheme="minorEastAsia" w:hAnsi="Times New Roman"/>
                <w:b/>
                <w:snapToGrid w:val="0"/>
                <w:szCs w:val="22"/>
              </w:rPr>
            </w:pPr>
            <w:r>
              <w:rPr>
                <w:rFonts w:eastAsiaTheme="minorEastAsia"/>
                <w:snapToGrid w:val="0"/>
                <w:szCs w:val="22"/>
              </w:rPr>
              <w:t>产生量（</w:t>
            </w:r>
            <w:r>
              <w:rPr>
                <w:rFonts w:eastAsiaTheme="minorEastAsia" w:hAnsi="Times New Roman"/>
                <w:snapToGrid w:val="0"/>
                <w:szCs w:val="22"/>
              </w:rPr>
              <w:t>kg/d</w:t>
            </w:r>
            <w:r>
              <w:rPr>
                <w:rFonts w:eastAsiaTheme="minorEastAsia"/>
                <w:snapToGrid w:val="0"/>
                <w:szCs w:val="22"/>
              </w:rPr>
              <w:t>）</w:t>
            </w:r>
          </w:p>
        </w:tc>
        <w:tc>
          <w:tcPr>
            <w:tcW w:w="723" w:type="pct"/>
            <w:vAlign w:val="center"/>
          </w:tcPr>
          <w:p w14:paraId="72BCFE4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hint="eastAsia"/>
                <w:snapToGrid w:val="0"/>
                <w:szCs w:val="22"/>
              </w:rPr>
              <w:t>0.00003</w:t>
            </w:r>
          </w:p>
        </w:tc>
        <w:tc>
          <w:tcPr>
            <w:tcW w:w="725" w:type="pct"/>
            <w:vAlign w:val="center"/>
          </w:tcPr>
          <w:p w14:paraId="57747283"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hint="eastAsia"/>
                <w:snapToGrid w:val="0"/>
                <w:szCs w:val="22"/>
              </w:rPr>
              <w:t>0.00002</w:t>
            </w:r>
          </w:p>
        </w:tc>
        <w:tc>
          <w:tcPr>
            <w:tcW w:w="725" w:type="pct"/>
            <w:vAlign w:val="center"/>
          </w:tcPr>
          <w:p w14:paraId="295A01C1"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hint="eastAsia"/>
                <w:snapToGrid w:val="0"/>
                <w:szCs w:val="22"/>
              </w:rPr>
              <w:t>0.00002</w:t>
            </w:r>
          </w:p>
        </w:tc>
        <w:tc>
          <w:tcPr>
            <w:tcW w:w="724" w:type="pct"/>
            <w:vAlign w:val="center"/>
          </w:tcPr>
          <w:p w14:paraId="7D020DB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hint="eastAsia"/>
                <w:snapToGrid w:val="0"/>
                <w:szCs w:val="22"/>
              </w:rPr>
              <w:t>0.000003</w:t>
            </w:r>
          </w:p>
        </w:tc>
      </w:tr>
    </w:tbl>
    <w:p w14:paraId="00851379"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3.3.1.2</w:t>
      </w:r>
      <w:r>
        <w:rPr>
          <w:rFonts w:ascii="Times New Roman" w:eastAsia="黑体" w:hAnsi="Times New Roman" w:cs="Times New Roman"/>
          <w:b w:val="0"/>
          <w:bCs w:val="0"/>
          <w:sz w:val="24"/>
          <w:szCs w:val="24"/>
        </w:rPr>
        <w:t>废气污染分析</w:t>
      </w:r>
    </w:p>
    <w:p w14:paraId="0C48C0DB" w14:textId="77777777" w:rsidR="00B14D53" w:rsidRDefault="00000000">
      <w:pPr>
        <w:pStyle w:val="afff"/>
        <w:adjustRightInd/>
        <w:snapToGrid/>
        <w:jc w:val="both"/>
        <w:rPr>
          <w:rFonts w:ascii="Times New Roman" w:hAnsi="Times New Roman" w:cs="Times New Roman"/>
          <w:snapToGrid w:val="0"/>
        </w:rPr>
      </w:pPr>
      <w:r>
        <w:rPr>
          <w:rFonts w:ascii="Times New Roman" w:hAnsiTheme="minorEastAsia" w:cs="Times New Roman"/>
          <w:snapToGrid w:val="0"/>
        </w:rPr>
        <w:t>施工期大气污染物主要为施工机械、运输车辆尾气，施工环节产生的扬尘。施工期扬尘主要产生于土方挖掘、平整土地、建材装卸以及车辆行</w:t>
      </w:r>
      <w:r>
        <w:rPr>
          <w:rFonts w:ascii="Times New Roman" w:hAnsiTheme="minorEastAsia" w:cs="Times New Roman" w:hint="eastAsia"/>
          <w:snapToGrid w:val="0"/>
        </w:rPr>
        <w:t>驶</w:t>
      </w:r>
      <w:r>
        <w:rPr>
          <w:rFonts w:ascii="Times New Roman" w:hAnsiTheme="minorEastAsia" w:cs="Times New Roman"/>
          <w:snapToGrid w:val="0"/>
        </w:rPr>
        <w:t>等作业环节。根据类比调查，施工作业场地近地面扬尘浓度可达</w:t>
      </w:r>
      <w:r>
        <w:rPr>
          <w:rFonts w:ascii="Times New Roman" w:hAnsi="Times New Roman" w:cs="Times New Roman"/>
          <w:snapToGrid w:val="0"/>
        </w:rPr>
        <w:t>1.5mg/m</w:t>
      </w:r>
      <w:r>
        <w:rPr>
          <w:rFonts w:ascii="Times New Roman" w:hAnsi="Times New Roman" w:cs="Times New Roman"/>
          <w:snapToGrid w:val="0"/>
          <w:vertAlign w:val="superscript"/>
        </w:rPr>
        <w:t>3</w:t>
      </w:r>
      <w:r>
        <w:rPr>
          <w:rFonts w:ascii="Times New Roman" w:hAnsiTheme="minorEastAsia" w:cs="Times New Roman"/>
          <w:snapToGrid w:val="0"/>
        </w:rPr>
        <w:t>～</w:t>
      </w:r>
      <w:r>
        <w:rPr>
          <w:rFonts w:ascii="Times New Roman" w:hAnsi="Times New Roman" w:cs="Times New Roman"/>
          <w:snapToGrid w:val="0"/>
        </w:rPr>
        <w:t>30mg/m</w:t>
      </w:r>
      <w:r>
        <w:rPr>
          <w:rFonts w:ascii="Times New Roman" w:hAnsi="Times New Roman" w:cs="Times New Roman"/>
          <w:snapToGrid w:val="0"/>
          <w:vertAlign w:val="superscript"/>
        </w:rPr>
        <w:t>3</w:t>
      </w:r>
      <w:r>
        <w:rPr>
          <w:rFonts w:ascii="Times New Roman" w:hAnsiTheme="minorEastAsia" w:cs="Times New Roman"/>
          <w:snapToGrid w:val="0"/>
        </w:rPr>
        <w:t>，将对养殖项目周边产生一定的不利影响。考虑到施工期产生扬尘颗粒粒径较大，受自然沉降作用明显。由于施工机械数量少且较分散，施工期不长，其污染程度相对较轻。</w:t>
      </w:r>
    </w:p>
    <w:p w14:paraId="5E1B585E" w14:textId="77777777" w:rsidR="00B14D53" w:rsidRDefault="00000000">
      <w:pPr>
        <w:pStyle w:val="afff"/>
        <w:adjustRightInd/>
        <w:snapToGrid/>
        <w:jc w:val="both"/>
        <w:rPr>
          <w:rFonts w:ascii="Times New Roman" w:hAnsi="Times New Roman" w:cs="Times New Roman"/>
          <w:snapToGrid w:val="0"/>
          <w:szCs w:val="21"/>
        </w:rPr>
      </w:pPr>
      <w:r>
        <w:rPr>
          <w:rFonts w:ascii="Times New Roman" w:hAnsiTheme="minorEastAsia" w:cs="Times New Roman"/>
          <w:snapToGrid w:val="0"/>
        </w:rPr>
        <w:t>根据有关</w:t>
      </w:r>
      <w:r>
        <w:rPr>
          <w:rFonts w:ascii="Times New Roman" w:hAnsiTheme="minorEastAsia" w:cs="Times New Roman" w:hint="eastAsia"/>
          <w:snapToGrid w:val="0"/>
        </w:rPr>
        <w:t>资料</w:t>
      </w:r>
      <w:r>
        <w:rPr>
          <w:rFonts w:ascii="Times New Roman" w:hAnsiTheme="minorEastAsia" w:cs="Times New Roman"/>
          <w:snapToGrid w:val="0"/>
        </w:rPr>
        <w:t>，施工现场扬尘的另一个主要来源是车辆运输造成的，约占扬尘总量的</w:t>
      </w:r>
      <w:r>
        <w:rPr>
          <w:rFonts w:ascii="Times New Roman" w:hAnsi="Times New Roman" w:cs="Times New Roman"/>
          <w:snapToGrid w:val="0"/>
        </w:rPr>
        <w:t>60%</w:t>
      </w:r>
      <w:r>
        <w:rPr>
          <w:rFonts w:ascii="Times New Roman" w:hAnsiTheme="minorEastAsia" w:cs="Times New Roman"/>
          <w:snapToGrid w:val="0"/>
        </w:rPr>
        <w:t>。扬尘量的大小与天气干燥程度、道路路况、车辆行驶速度、风速大小等有关。一般情况下，在自然风作用下道路扬尘影响范围在</w:t>
      </w:r>
      <w:r>
        <w:rPr>
          <w:rFonts w:ascii="Times New Roman" w:hAnsi="Times New Roman" w:cs="Times New Roman"/>
          <w:snapToGrid w:val="0"/>
        </w:rPr>
        <w:t>100m</w:t>
      </w:r>
      <w:r>
        <w:rPr>
          <w:rFonts w:ascii="Times New Roman" w:hAnsiTheme="minorEastAsia" w:cs="Times New Roman"/>
          <w:snapToGrid w:val="0"/>
        </w:rPr>
        <w:t>以内，在大风天气，扬尘量及影响范围将有所扩大。对于施工中的挖方、填方作业及施工场地，采用洒水降尘湿法作业抑制扬尘，以降低对大气环境影响。</w:t>
      </w:r>
    </w:p>
    <w:p w14:paraId="5A19E613"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3.3.1.3</w:t>
      </w:r>
      <w:r>
        <w:rPr>
          <w:rFonts w:ascii="Times New Roman" w:eastAsia="黑体" w:hAnsi="Times New Roman" w:cs="Times New Roman"/>
          <w:b w:val="0"/>
          <w:bCs w:val="0"/>
          <w:sz w:val="24"/>
          <w:szCs w:val="24"/>
        </w:rPr>
        <w:t>噪声污染分析</w:t>
      </w:r>
    </w:p>
    <w:p w14:paraId="2E9C59D8"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不同施工阶段的噪声源和物性不同可分为：</w:t>
      </w:r>
    </w:p>
    <w:p w14:paraId="3F2F7F5F"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①基础施工阶段：主要噪声源是各种装载机、挖掘机、推土机等，大部分为移动声源。该阶段占整个施工期比例较小，但噪声大；</w:t>
      </w:r>
    </w:p>
    <w:p w14:paraId="1C36396E"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②建筑结构施工阶段：主要噪声源是塔式起重机、钢筋调直机、电渣焊机、电焊机、石料切割机、机械振捣器和电锯等，此阶段占整个施工期比例最大。声源有固定的也有移动的；</w:t>
      </w:r>
    </w:p>
    <w:p w14:paraId="6745E33C"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③设备安装阶段：主要噪声源有电锯、电锤、电刨、塔吊、套丝切管机、多功能木工刨等。此阶段占施工期的比例也较大，但大部分在房间内部使用，对环境影响不大。</w:t>
      </w:r>
    </w:p>
    <w:p w14:paraId="7F2B706D"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各施工阶段主要噪声源强详见下表。</w:t>
      </w:r>
    </w:p>
    <w:p w14:paraId="4084FA90" w14:textId="77777777" w:rsidR="00B14D53" w:rsidRDefault="00000000">
      <w:pPr>
        <w:jc w:val="center"/>
        <w:rPr>
          <w:b/>
          <w:bCs/>
        </w:rPr>
      </w:pPr>
      <w:r>
        <w:rPr>
          <w:rFonts w:hint="eastAsia"/>
          <w:b/>
          <w:bCs/>
        </w:rPr>
        <w:t>表</w:t>
      </w:r>
      <w:r>
        <w:rPr>
          <w:rFonts w:hint="eastAsia"/>
          <w:b/>
          <w:bCs/>
        </w:rPr>
        <w:t xml:space="preserve">3-3-2 </w:t>
      </w:r>
      <w:r>
        <w:rPr>
          <w:rFonts w:hint="eastAsia"/>
          <w:b/>
          <w:bCs/>
        </w:rPr>
        <w:t>各施工阶段主要噪声源强及周围环境噪声情况</w:t>
      </w:r>
    </w:p>
    <w:tbl>
      <w:tblPr>
        <w:tblW w:w="843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44"/>
        <w:gridCol w:w="2030"/>
        <w:gridCol w:w="1272"/>
        <w:gridCol w:w="3284"/>
      </w:tblGrid>
      <w:tr w:rsidR="00B14D53" w14:paraId="61D36310" w14:textId="77777777">
        <w:trPr>
          <w:trHeight w:val="85"/>
          <w:tblHeader/>
          <w:jc w:val="center"/>
        </w:trPr>
        <w:tc>
          <w:tcPr>
            <w:tcW w:w="1844" w:type="dxa"/>
            <w:vAlign w:val="center"/>
          </w:tcPr>
          <w:p w14:paraId="488D2E9E" w14:textId="77777777" w:rsidR="00B14D53" w:rsidRDefault="00000000">
            <w:pPr>
              <w:widowControl/>
              <w:jc w:val="center"/>
              <w:rPr>
                <w:rFonts w:eastAsiaTheme="minorEastAsia"/>
                <w:b/>
                <w:bCs/>
                <w:kern w:val="0"/>
                <w:szCs w:val="21"/>
              </w:rPr>
            </w:pPr>
            <w:r>
              <w:rPr>
                <w:rFonts w:eastAsiaTheme="minorEastAsia" w:hAnsiTheme="minorEastAsia"/>
                <w:b/>
                <w:bCs/>
                <w:kern w:val="0"/>
                <w:szCs w:val="21"/>
              </w:rPr>
              <w:t>施工阶段</w:t>
            </w:r>
          </w:p>
        </w:tc>
        <w:tc>
          <w:tcPr>
            <w:tcW w:w="2030" w:type="dxa"/>
            <w:vAlign w:val="center"/>
          </w:tcPr>
          <w:p w14:paraId="6B42481A" w14:textId="77777777" w:rsidR="00B14D53" w:rsidRDefault="00000000">
            <w:pPr>
              <w:widowControl/>
              <w:jc w:val="center"/>
              <w:rPr>
                <w:rFonts w:eastAsiaTheme="minorEastAsia"/>
                <w:b/>
                <w:bCs/>
                <w:kern w:val="0"/>
                <w:szCs w:val="21"/>
              </w:rPr>
            </w:pPr>
            <w:r>
              <w:rPr>
                <w:rFonts w:eastAsiaTheme="minorEastAsia" w:hAnsiTheme="minorEastAsia"/>
                <w:b/>
                <w:bCs/>
                <w:kern w:val="0"/>
                <w:szCs w:val="21"/>
              </w:rPr>
              <w:t>声源</w:t>
            </w:r>
          </w:p>
        </w:tc>
        <w:tc>
          <w:tcPr>
            <w:tcW w:w="1272" w:type="dxa"/>
            <w:vAlign w:val="center"/>
          </w:tcPr>
          <w:p w14:paraId="68D4EC14" w14:textId="77777777" w:rsidR="00B14D53" w:rsidRDefault="00000000">
            <w:pPr>
              <w:widowControl/>
              <w:jc w:val="center"/>
              <w:rPr>
                <w:rFonts w:eastAsiaTheme="minorEastAsia"/>
                <w:b/>
                <w:bCs/>
                <w:kern w:val="0"/>
                <w:szCs w:val="21"/>
              </w:rPr>
            </w:pPr>
            <w:r>
              <w:rPr>
                <w:rFonts w:eastAsiaTheme="minorEastAsia" w:hAnsiTheme="minorEastAsia"/>
                <w:b/>
                <w:bCs/>
                <w:kern w:val="0"/>
                <w:szCs w:val="21"/>
              </w:rPr>
              <w:t>型号规格</w:t>
            </w:r>
          </w:p>
        </w:tc>
        <w:tc>
          <w:tcPr>
            <w:tcW w:w="3284" w:type="dxa"/>
            <w:vAlign w:val="center"/>
          </w:tcPr>
          <w:p w14:paraId="4B71A4FD" w14:textId="77777777" w:rsidR="00B14D53" w:rsidRDefault="00000000">
            <w:pPr>
              <w:widowControl/>
              <w:jc w:val="center"/>
              <w:rPr>
                <w:rFonts w:eastAsiaTheme="minorEastAsia"/>
                <w:b/>
                <w:bCs/>
                <w:kern w:val="0"/>
                <w:szCs w:val="21"/>
              </w:rPr>
            </w:pPr>
            <w:r>
              <w:rPr>
                <w:rFonts w:eastAsiaTheme="minorEastAsia" w:hAnsiTheme="minorEastAsia"/>
                <w:b/>
                <w:bCs/>
                <w:kern w:val="0"/>
                <w:szCs w:val="21"/>
              </w:rPr>
              <w:t>噪声源强</w:t>
            </w:r>
            <w:r>
              <w:rPr>
                <w:rFonts w:eastAsiaTheme="minorEastAsia"/>
                <w:b/>
                <w:bCs/>
                <w:kern w:val="0"/>
                <w:szCs w:val="21"/>
              </w:rPr>
              <w:t>dB(A)</w:t>
            </w:r>
          </w:p>
        </w:tc>
      </w:tr>
      <w:tr w:rsidR="00B14D53" w14:paraId="3B498880" w14:textId="77777777">
        <w:trPr>
          <w:trHeight w:val="267"/>
          <w:tblHeader/>
          <w:jc w:val="center"/>
        </w:trPr>
        <w:tc>
          <w:tcPr>
            <w:tcW w:w="1844" w:type="dxa"/>
            <w:vMerge w:val="restart"/>
            <w:vAlign w:val="center"/>
          </w:tcPr>
          <w:p w14:paraId="058C3EE6" w14:textId="77777777" w:rsidR="00B14D53" w:rsidRDefault="00000000">
            <w:pPr>
              <w:widowControl/>
              <w:jc w:val="center"/>
              <w:rPr>
                <w:rFonts w:eastAsiaTheme="minorEastAsia"/>
                <w:kern w:val="0"/>
                <w:szCs w:val="21"/>
              </w:rPr>
            </w:pPr>
            <w:r>
              <w:rPr>
                <w:rFonts w:eastAsiaTheme="minorEastAsia" w:hAnsiTheme="minorEastAsia"/>
                <w:kern w:val="0"/>
                <w:szCs w:val="21"/>
              </w:rPr>
              <w:t>基础阶段</w:t>
            </w:r>
          </w:p>
        </w:tc>
        <w:tc>
          <w:tcPr>
            <w:tcW w:w="2030" w:type="dxa"/>
            <w:vAlign w:val="center"/>
          </w:tcPr>
          <w:p w14:paraId="7055A81D" w14:textId="77777777" w:rsidR="00B14D53" w:rsidRDefault="00000000">
            <w:pPr>
              <w:widowControl/>
              <w:jc w:val="center"/>
              <w:rPr>
                <w:rFonts w:eastAsiaTheme="minorEastAsia"/>
                <w:kern w:val="0"/>
                <w:szCs w:val="21"/>
              </w:rPr>
            </w:pPr>
            <w:r>
              <w:rPr>
                <w:rFonts w:eastAsiaTheme="minorEastAsia" w:hAnsiTheme="minorEastAsia"/>
                <w:kern w:val="0"/>
                <w:szCs w:val="21"/>
              </w:rPr>
              <w:t>装载机</w:t>
            </w:r>
          </w:p>
        </w:tc>
        <w:tc>
          <w:tcPr>
            <w:tcW w:w="1272" w:type="dxa"/>
            <w:vAlign w:val="center"/>
          </w:tcPr>
          <w:p w14:paraId="211F40F8" w14:textId="77777777" w:rsidR="00B14D53" w:rsidRDefault="00000000">
            <w:pPr>
              <w:widowControl/>
              <w:jc w:val="center"/>
              <w:rPr>
                <w:rFonts w:eastAsiaTheme="minorEastAsia"/>
                <w:kern w:val="0"/>
                <w:szCs w:val="21"/>
              </w:rPr>
            </w:pPr>
            <w:r>
              <w:rPr>
                <w:rFonts w:eastAsiaTheme="minorEastAsia"/>
                <w:kern w:val="0"/>
                <w:szCs w:val="21"/>
              </w:rPr>
              <w:t>/</w:t>
            </w:r>
          </w:p>
        </w:tc>
        <w:tc>
          <w:tcPr>
            <w:tcW w:w="3284" w:type="dxa"/>
            <w:vAlign w:val="center"/>
          </w:tcPr>
          <w:p w14:paraId="470C3B3E" w14:textId="77777777" w:rsidR="00B14D53" w:rsidRDefault="00000000">
            <w:pPr>
              <w:widowControl/>
              <w:jc w:val="center"/>
              <w:rPr>
                <w:rFonts w:eastAsiaTheme="minorEastAsia"/>
                <w:kern w:val="0"/>
                <w:szCs w:val="21"/>
              </w:rPr>
            </w:pPr>
            <w:r>
              <w:rPr>
                <w:rFonts w:eastAsiaTheme="minorEastAsia"/>
                <w:kern w:val="0"/>
                <w:szCs w:val="21"/>
              </w:rPr>
              <w:t>95</w:t>
            </w:r>
          </w:p>
        </w:tc>
      </w:tr>
      <w:tr w:rsidR="00B14D53" w14:paraId="0CFBDFC0" w14:textId="77777777">
        <w:trPr>
          <w:trHeight w:val="267"/>
          <w:tblHeader/>
          <w:jc w:val="center"/>
        </w:trPr>
        <w:tc>
          <w:tcPr>
            <w:tcW w:w="1844" w:type="dxa"/>
            <w:vMerge/>
            <w:vAlign w:val="center"/>
          </w:tcPr>
          <w:p w14:paraId="0F065B36" w14:textId="77777777" w:rsidR="00B14D53" w:rsidRDefault="00B14D53">
            <w:pPr>
              <w:widowControl/>
              <w:jc w:val="left"/>
              <w:rPr>
                <w:rFonts w:eastAsiaTheme="minorEastAsia"/>
                <w:kern w:val="0"/>
                <w:szCs w:val="21"/>
              </w:rPr>
            </w:pPr>
          </w:p>
        </w:tc>
        <w:tc>
          <w:tcPr>
            <w:tcW w:w="2030" w:type="dxa"/>
            <w:vAlign w:val="center"/>
          </w:tcPr>
          <w:p w14:paraId="01E5EFC0" w14:textId="77777777" w:rsidR="00B14D53" w:rsidRDefault="00000000">
            <w:pPr>
              <w:widowControl/>
              <w:jc w:val="center"/>
              <w:rPr>
                <w:rFonts w:eastAsiaTheme="minorEastAsia"/>
                <w:kern w:val="0"/>
                <w:szCs w:val="21"/>
              </w:rPr>
            </w:pPr>
            <w:r>
              <w:rPr>
                <w:rFonts w:eastAsiaTheme="minorEastAsia" w:hAnsiTheme="minorEastAsia"/>
                <w:kern w:val="0"/>
                <w:szCs w:val="21"/>
              </w:rPr>
              <w:t>挖掘机</w:t>
            </w:r>
          </w:p>
        </w:tc>
        <w:tc>
          <w:tcPr>
            <w:tcW w:w="1272" w:type="dxa"/>
            <w:vAlign w:val="center"/>
          </w:tcPr>
          <w:p w14:paraId="6D2B5703" w14:textId="77777777" w:rsidR="00B14D53" w:rsidRDefault="00000000">
            <w:pPr>
              <w:widowControl/>
              <w:jc w:val="center"/>
              <w:rPr>
                <w:rFonts w:eastAsiaTheme="minorEastAsia"/>
                <w:kern w:val="0"/>
                <w:szCs w:val="21"/>
              </w:rPr>
            </w:pPr>
            <w:r>
              <w:rPr>
                <w:rFonts w:eastAsiaTheme="minorEastAsia"/>
                <w:kern w:val="0"/>
                <w:szCs w:val="21"/>
              </w:rPr>
              <w:t>A12-201</w:t>
            </w:r>
          </w:p>
        </w:tc>
        <w:tc>
          <w:tcPr>
            <w:tcW w:w="3284" w:type="dxa"/>
            <w:vAlign w:val="center"/>
          </w:tcPr>
          <w:p w14:paraId="32B60C1F" w14:textId="77777777" w:rsidR="00B14D53" w:rsidRDefault="00000000">
            <w:pPr>
              <w:widowControl/>
              <w:jc w:val="center"/>
              <w:rPr>
                <w:rFonts w:eastAsiaTheme="minorEastAsia"/>
                <w:kern w:val="0"/>
                <w:szCs w:val="21"/>
              </w:rPr>
            </w:pPr>
            <w:r>
              <w:rPr>
                <w:rFonts w:eastAsiaTheme="minorEastAsia"/>
                <w:kern w:val="0"/>
                <w:szCs w:val="21"/>
              </w:rPr>
              <w:t>95</w:t>
            </w:r>
          </w:p>
        </w:tc>
      </w:tr>
      <w:tr w:rsidR="00B14D53" w14:paraId="65DD1859" w14:textId="77777777">
        <w:trPr>
          <w:trHeight w:val="267"/>
          <w:tblHeader/>
          <w:jc w:val="center"/>
        </w:trPr>
        <w:tc>
          <w:tcPr>
            <w:tcW w:w="1844" w:type="dxa"/>
            <w:vMerge/>
            <w:vAlign w:val="center"/>
          </w:tcPr>
          <w:p w14:paraId="35C37E1A" w14:textId="77777777" w:rsidR="00B14D53" w:rsidRDefault="00B14D53">
            <w:pPr>
              <w:widowControl/>
              <w:jc w:val="left"/>
              <w:rPr>
                <w:rFonts w:eastAsiaTheme="minorEastAsia"/>
                <w:kern w:val="0"/>
                <w:szCs w:val="21"/>
              </w:rPr>
            </w:pPr>
          </w:p>
        </w:tc>
        <w:tc>
          <w:tcPr>
            <w:tcW w:w="2030" w:type="dxa"/>
            <w:vAlign w:val="center"/>
          </w:tcPr>
          <w:p w14:paraId="27C96B83" w14:textId="77777777" w:rsidR="00B14D53" w:rsidRDefault="00000000">
            <w:pPr>
              <w:widowControl/>
              <w:jc w:val="center"/>
              <w:rPr>
                <w:rFonts w:eastAsiaTheme="minorEastAsia"/>
                <w:kern w:val="0"/>
                <w:szCs w:val="21"/>
              </w:rPr>
            </w:pPr>
            <w:r>
              <w:rPr>
                <w:rFonts w:eastAsiaTheme="minorEastAsia" w:hAnsiTheme="minorEastAsia"/>
                <w:kern w:val="0"/>
                <w:szCs w:val="21"/>
              </w:rPr>
              <w:t>推土机</w:t>
            </w:r>
          </w:p>
        </w:tc>
        <w:tc>
          <w:tcPr>
            <w:tcW w:w="1272" w:type="dxa"/>
            <w:vAlign w:val="center"/>
          </w:tcPr>
          <w:p w14:paraId="752E3FAD" w14:textId="77777777" w:rsidR="00B14D53" w:rsidRDefault="00000000">
            <w:pPr>
              <w:widowControl/>
              <w:jc w:val="center"/>
              <w:rPr>
                <w:rFonts w:eastAsiaTheme="minorEastAsia"/>
                <w:kern w:val="0"/>
                <w:szCs w:val="21"/>
              </w:rPr>
            </w:pPr>
            <w:r>
              <w:rPr>
                <w:rFonts w:eastAsiaTheme="minorEastAsia"/>
                <w:kern w:val="0"/>
                <w:szCs w:val="21"/>
              </w:rPr>
              <w:t>/</w:t>
            </w:r>
          </w:p>
        </w:tc>
        <w:tc>
          <w:tcPr>
            <w:tcW w:w="3284" w:type="dxa"/>
            <w:vAlign w:val="center"/>
          </w:tcPr>
          <w:p w14:paraId="0A4DCDCE" w14:textId="77777777" w:rsidR="00B14D53" w:rsidRDefault="00000000">
            <w:pPr>
              <w:widowControl/>
              <w:jc w:val="center"/>
              <w:rPr>
                <w:rFonts w:eastAsiaTheme="minorEastAsia"/>
                <w:kern w:val="0"/>
                <w:szCs w:val="21"/>
              </w:rPr>
            </w:pPr>
            <w:r>
              <w:rPr>
                <w:rFonts w:eastAsiaTheme="minorEastAsia"/>
                <w:kern w:val="0"/>
                <w:szCs w:val="21"/>
              </w:rPr>
              <w:t>90</w:t>
            </w:r>
          </w:p>
        </w:tc>
      </w:tr>
      <w:tr w:rsidR="00B14D53" w14:paraId="2378F18D" w14:textId="77777777">
        <w:trPr>
          <w:trHeight w:val="267"/>
          <w:tblHeader/>
          <w:jc w:val="center"/>
        </w:trPr>
        <w:tc>
          <w:tcPr>
            <w:tcW w:w="1844" w:type="dxa"/>
            <w:vMerge w:val="restart"/>
            <w:vAlign w:val="center"/>
          </w:tcPr>
          <w:p w14:paraId="6DFBF73B" w14:textId="77777777" w:rsidR="00B14D53" w:rsidRDefault="00000000">
            <w:pPr>
              <w:jc w:val="center"/>
              <w:rPr>
                <w:rFonts w:eastAsiaTheme="minorEastAsia"/>
                <w:kern w:val="0"/>
                <w:szCs w:val="21"/>
              </w:rPr>
            </w:pPr>
            <w:r>
              <w:rPr>
                <w:rFonts w:eastAsiaTheme="minorEastAsia" w:hAnsiTheme="minorEastAsia"/>
                <w:kern w:val="0"/>
                <w:szCs w:val="21"/>
              </w:rPr>
              <w:t>结构阶段</w:t>
            </w:r>
          </w:p>
        </w:tc>
        <w:tc>
          <w:tcPr>
            <w:tcW w:w="2030" w:type="dxa"/>
            <w:vAlign w:val="center"/>
          </w:tcPr>
          <w:p w14:paraId="764877A9" w14:textId="77777777" w:rsidR="00B14D53" w:rsidRDefault="00000000">
            <w:pPr>
              <w:widowControl/>
              <w:jc w:val="center"/>
              <w:rPr>
                <w:rFonts w:eastAsiaTheme="minorEastAsia"/>
                <w:kern w:val="0"/>
                <w:szCs w:val="21"/>
              </w:rPr>
            </w:pPr>
            <w:r>
              <w:rPr>
                <w:rFonts w:eastAsiaTheme="minorEastAsia" w:hAnsiTheme="minorEastAsia"/>
                <w:kern w:val="0"/>
                <w:szCs w:val="21"/>
              </w:rPr>
              <w:t>塔式起重机</w:t>
            </w:r>
          </w:p>
        </w:tc>
        <w:tc>
          <w:tcPr>
            <w:tcW w:w="1272" w:type="dxa"/>
            <w:vAlign w:val="center"/>
          </w:tcPr>
          <w:p w14:paraId="55237785" w14:textId="77777777" w:rsidR="00B14D53" w:rsidRDefault="00000000">
            <w:pPr>
              <w:widowControl/>
              <w:jc w:val="center"/>
              <w:rPr>
                <w:rFonts w:eastAsiaTheme="minorEastAsia"/>
                <w:kern w:val="0"/>
                <w:szCs w:val="21"/>
              </w:rPr>
            </w:pPr>
            <w:r>
              <w:rPr>
                <w:rFonts w:eastAsiaTheme="minorEastAsia"/>
                <w:kern w:val="0"/>
                <w:szCs w:val="21"/>
              </w:rPr>
              <w:t>HC03215</w:t>
            </w:r>
          </w:p>
        </w:tc>
        <w:tc>
          <w:tcPr>
            <w:tcW w:w="3284" w:type="dxa"/>
            <w:vAlign w:val="center"/>
          </w:tcPr>
          <w:p w14:paraId="4CACFD29" w14:textId="77777777" w:rsidR="00B14D53" w:rsidRDefault="00000000">
            <w:pPr>
              <w:widowControl/>
              <w:jc w:val="center"/>
              <w:rPr>
                <w:rFonts w:eastAsiaTheme="minorEastAsia"/>
                <w:kern w:val="0"/>
                <w:szCs w:val="21"/>
              </w:rPr>
            </w:pPr>
            <w:r>
              <w:rPr>
                <w:rFonts w:eastAsiaTheme="minorEastAsia"/>
                <w:kern w:val="0"/>
                <w:szCs w:val="21"/>
              </w:rPr>
              <w:t>85</w:t>
            </w:r>
          </w:p>
        </w:tc>
      </w:tr>
      <w:tr w:rsidR="00B14D53" w14:paraId="4897AABE" w14:textId="77777777">
        <w:trPr>
          <w:trHeight w:val="267"/>
          <w:tblHeader/>
          <w:jc w:val="center"/>
        </w:trPr>
        <w:tc>
          <w:tcPr>
            <w:tcW w:w="1844" w:type="dxa"/>
            <w:vMerge/>
            <w:vAlign w:val="center"/>
          </w:tcPr>
          <w:p w14:paraId="71D77806" w14:textId="77777777" w:rsidR="00B14D53" w:rsidRDefault="00B14D53">
            <w:pPr>
              <w:widowControl/>
              <w:jc w:val="center"/>
              <w:rPr>
                <w:rFonts w:eastAsiaTheme="minorEastAsia"/>
                <w:kern w:val="0"/>
                <w:szCs w:val="21"/>
              </w:rPr>
            </w:pPr>
          </w:p>
        </w:tc>
        <w:tc>
          <w:tcPr>
            <w:tcW w:w="2030" w:type="dxa"/>
            <w:vAlign w:val="center"/>
          </w:tcPr>
          <w:p w14:paraId="72247B28" w14:textId="77777777" w:rsidR="00B14D53" w:rsidRDefault="00000000">
            <w:pPr>
              <w:widowControl/>
              <w:jc w:val="center"/>
              <w:rPr>
                <w:rFonts w:eastAsiaTheme="minorEastAsia"/>
                <w:kern w:val="0"/>
                <w:szCs w:val="21"/>
              </w:rPr>
            </w:pPr>
            <w:r>
              <w:rPr>
                <w:rFonts w:eastAsiaTheme="minorEastAsia" w:hAnsiTheme="minorEastAsia"/>
                <w:kern w:val="0"/>
                <w:szCs w:val="21"/>
              </w:rPr>
              <w:t>钢筋调直机</w:t>
            </w:r>
          </w:p>
        </w:tc>
        <w:tc>
          <w:tcPr>
            <w:tcW w:w="1272" w:type="dxa"/>
            <w:vAlign w:val="center"/>
          </w:tcPr>
          <w:p w14:paraId="7C95ACD5" w14:textId="77777777" w:rsidR="00B14D53" w:rsidRDefault="00000000">
            <w:pPr>
              <w:widowControl/>
              <w:jc w:val="center"/>
              <w:rPr>
                <w:rFonts w:eastAsiaTheme="minorEastAsia"/>
                <w:kern w:val="0"/>
                <w:szCs w:val="21"/>
              </w:rPr>
            </w:pPr>
            <w:r>
              <w:rPr>
                <w:rFonts w:eastAsiaTheme="minorEastAsia"/>
                <w:kern w:val="0"/>
                <w:szCs w:val="21"/>
              </w:rPr>
              <w:t>SP150</w:t>
            </w:r>
          </w:p>
        </w:tc>
        <w:tc>
          <w:tcPr>
            <w:tcW w:w="3284" w:type="dxa"/>
            <w:vAlign w:val="center"/>
          </w:tcPr>
          <w:p w14:paraId="15145899" w14:textId="77777777" w:rsidR="00B14D53" w:rsidRDefault="00000000">
            <w:pPr>
              <w:widowControl/>
              <w:jc w:val="center"/>
              <w:rPr>
                <w:rFonts w:eastAsiaTheme="minorEastAsia"/>
                <w:kern w:val="0"/>
                <w:szCs w:val="21"/>
              </w:rPr>
            </w:pPr>
            <w:r>
              <w:rPr>
                <w:rFonts w:eastAsiaTheme="minorEastAsia"/>
                <w:kern w:val="0"/>
                <w:szCs w:val="21"/>
              </w:rPr>
              <w:t>90</w:t>
            </w:r>
          </w:p>
        </w:tc>
      </w:tr>
      <w:tr w:rsidR="00B14D53" w14:paraId="69D9C3B3" w14:textId="77777777">
        <w:trPr>
          <w:trHeight w:val="267"/>
          <w:tblHeader/>
          <w:jc w:val="center"/>
        </w:trPr>
        <w:tc>
          <w:tcPr>
            <w:tcW w:w="1844" w:type="dxa"/>
            <w:vMerge/>
            <w:vAlign w:val="center"/>
          </w:tcPr>
          <w:p w14:paraId="7D7E0799" w14:textId="77777777" w:rsidR="00B14D53" w:rsidRDefault="00B14D53">
            <w:pPr>
              <w:widowControl/>
              <w:jc w:val="left"/>
              <w:rPr>
                <w:rFonts w:eastAsiaTheme="minorEastAsia"/>
                <w:kern w:val="0"/>
                <w:szCs w:val="21"/>
              </w:rPr>
            </w:pPr>
          </w:p>
        </w:tc>
        <w:tc>
          <w:tcPr>
            <w:tcW w:w="2030" w:type="dxa"/>
            <w:vAlign w:val="center"/>
          </w:tcPr>
          <w:p w14:paraId="66F66AD8" w14:textId="77777777" w:rsidR="00B14D53" w:rsidRDefault="00000000">
            <w:pPr>
              <w:widowControl/>
              <w:jc w:val="center"/>
              <w:rPr>
                <w:rFonts w:eastAsiaTheme="minorEastAsia"/>
                <w:kern w:val="0"/>
                <w:szCs w:val="21"/>
              </w:rPr>
            </w:pPr>
            <w:r>
              <w:rPr>
                <w:rFonts w:eastAsiaTheme="minorEastAsia" w:hAnsiTheme="minorEastAsia"/>
                <w:kern w:val="0"/>
                <w:szCs w:val="21"/>
              </w:rPr>
              <w:t>电渣焊机</w:t>
            </w:r>
          </w:p>
        </w:tc>
        <w:tc>
          <w:tcPr>
            <w:tcW w:w="1272" w:type="dxa"/>
            <w:vAlign w:val="center"/>
          </w:tcPr>
          <w:p w14:paraId="166DE0D3" w14:textId="77777777" w:rsidR="00B14D53" w:rsidRDefault="00000000">
            <w:pPr>
              <w:widowControl/>
              <w:jc w:val="center"/>
              <w:rPr>
                <w:rFonts w:eastAsiaTheme="minorEastAsia"/>
                <w:kern w:val="0"/>
                <w:szCs w:val="21"/>
              </w:rPr>
            </w:pPr>
            <w:r>
              <w:rPr>
                <w:rFonts w:eastAsiaTheme="minorEastAsia"/>
                <w:kern w:val="0"/>
                <w:szCs w:val="21"/>
              </w:rPr>
              <w:t>YT300</w:t>
            </w:r>
          </w:p>
        </w:tc>
        <w:tc>
          <w:tcPr>
            <w:tcW w:w="3284" w:type="dxa"/>
            <w:vAlign w:val="center"/>
          </w:tcPr>
          <w:p w14:paraId="1056B7E7" w14:textId="77777777" w:rsidR="00B14D53" w:rsidRDefault="00000000">
            <w:pPr>
              <w:widowControl/>
              <w:jc w:val="center"/>
              <w:rPr>
                <w:rFonts w:eastAsiaTheme="minorEastAsia"/>
                <w:kern w:val="0"/>
                <w:szCs w:val="21"/>
              </w:rPr>
            </w:pPr>
            <w:r>
              <w:rPr>
                <w:rFonts w:eastAsiaTheme="minorEastAsia"/>
                <w:kern w:val="0"/>
                <w:szCs w:val="21"/>
              </w:rPr>
              <w:t>60</w:t>
            </w:r>
          </w:p>
        </w:tc>
      </w:tr>
      <w:tr w:rsidR="00B14D53" w14:paraId="1168095D" w14:textId="77777777">
        <w:trPr>
          <w:trHeight w:val="267"/>
          <w:tblHeader/>
          <w:jc w:val="center"/>
        </w:trPr>
        <w:tc>
          <w:tcPr>
            <w:tcW w:w="1844" w:type="dxa"/>
            <w:vMerge/>
            <w:vAlign w:val="center"/>
          </w:tcPr>
          <w:p w14:paraId="62359F5D" w14:textId="77777777" w:rsidR="00B14D53" w:rsidRDefault="00B14D53">
            <w:pPr>
              <w:widowControl/>
              <w:jc w:val="left"/>
              <w:rPr>
                <w:rFonts w:eastAsiaTheme="minorEastAsia"/>
                <w:kern w:val="0"/>
                <w:szCs w:val="21"/>
              </w:rPr>
            </w:pPr>
          </w:p>
        </w:tc>
        <w:tc>
          <w:tcPr>
            <w:tcW w:w="2030" w:type="dxa"/>
            <w:vAlign w:val="center"/>
          </w:tcPr>
          <w:p w14:paraId="3E2F9DDC" w14:textId="77777777" w:rsidR="00B14D53" w:rsidRDefault="00000000">
            <w:pPr>
              <w:widowControl/>
              <w:jc w:val="center"/>
              <w:rPr>
                <w:rFonts w:eastAsiaTheme="minorEastAsia"/>
                <w:kern w:val="0"/>
                <w:szCs w:val="21"/>
              </w:rPr>
            </w:pPr>
            <w:r>
              <w:rPr>
                <w:rFonts w:eastAsiaTheme="minorEastAsia" w:hAnsiTheme="minorEastAsia"/>
                <w:kern w:val="0"/>
                <w:szCs w:val="21"/>
              </w:rPr>
              <w:t>交流电焊机</w:t>
            </w:r>
          </w:p>
        </w:tc>
        <w:tc>
          <w:tcPr>
            <w:tcW w:w="1272" w:type="dxa"/>
            <w:vAlign w:val="center"/>
          </w:tcPr>
          <w:p w14:paraId="43C7CA0D" w14:textId="77777777" w:rsidR="00B14D53" w:rsidRDefault="00000000">
            <w:pPr>
              <w:widowControl/>
              <w:jc w:val="center"/>
              <w:rPr>
                <w:rFonts w:eastAsiaTheme="minorEastAsia"/>
                <w:kern w:val="0"/>
                <w:szCs w:val="21"/>
              </w:rPr>
            </w:pPr>
            <w:r>
              <w:rPr>
                <w:rFonts w:eastAsiaTheme="minorEastAsia"/>
                <w:kern w:val="0"/>
                <w:szCs w:val="21"/>
              </w:rPr>
              <w:t>QL150</w:t>
            </w:r>
          </w:p>
        </w:tc>
        <w:tc>
          <w:tcPr>
            <w:tcW w:w="3284" w:type="dxa"/>
            <w:vAlign w:val="center"/>
          </w:tcPr>
          <w:p w14:paraId="629F3959" w14:textId="77777777" w:rsidR="00B14D53" w:rsidRDefault="00000000">
            <w:pPr>
              <w:widowControl/>
              <w:jc w:val="center"/>
              <w:rPr>
                <w:rFonts w:eastAsiaTheme="minorEastAsia"/>
                <w:kern w:val="0"/>
                <w:szCs w:val="21"/>
              </w:rPr>
            </w:pPr>
            <w:r>
              <w:rPr>
                <w:rFonts w:eastAsiaTheme="minorEastAsia"/>
                <w:kern w:val="0"/>
                <w:szCs w:val="21"/>
              </w:rPr>
              <w:t>60</w:t>
            </w:r>
          </w:p>
        </w:tc>
      </w:tr>
      <w:tr w:rsidR="00B14D53" w14:paraId="4FAFAA8D" w14:textId="77777777">
        <w:trPr>
          <w:trHeight w:val="267"/>
          <w:tblHeader/>
          <w:jc w:val="center"/>
        </w:trPr>
        <w:tc>
          <w:tcPr>
            <w:tcW w:w="1844" w:type="dxa"/>
            <w:vMerge/>
            <w:vAlign w:val="center"/>
          </w:tcPr>
          <w:p w14:paraId="5F3BFC31" w14:textId="77777777" w:rsidR="00B14D53" w:rsidRDefault="00B14D53">
            <w:pPr>
              <w:widowControl/>
              <w:jc w:val="center"/>
              <w:rPr>
                <w:rFonts w:eastAsiaTheme="minorEastAsia"/>
                <w:kern w:val="0"/>
                <w:szCs w:val="21"/>
              </w:rPr>
            </w:pPr>
          </w:p>
        </w:tc>
        <w:tc>
          <w:tcPr>
            <w:tcW w:w="2030" w:type="dxa"/>
            <w:vAlign w:val="center"/>
          </w:tcPr>
          <w:p w14:paraId="1B46C19D" w14:textId="77777777" w:rsidR="00B14D53" w:rsidRDefault="00000000">
            <w:pPr>
              <w:widowControl/>
              <w:jc w:val="center"/>
              <w:rPr>
                <w:rFonts w:eastAsiaTheme="minorEastAsia"/>
                <w:kern w:val="0"/>
                <w:szCs w:val="21"/>
              </w:rPr>
            </w:pPr>
            <w:r>
              <w:rPr>
                <w:rFonts w:eastAsiaTheme="minorEastAsia" w:hAnsiTheme="minorEastAsia"/>
                <w:kern w:val="0"/>
                <w:szCs w:val="21"/>
              </w:rPr>
              <w:t>直流电焊机</w:t>
            </w:r>
          </w:p>
        </w:tc>
        <w:tc>
          <w:tcPr>
            <w:tcW w:w="1272" w:type="dxa"/>
            <w:vAlign w:val="center"/>
          </w:tcPr>
          <w:p w14:paraId="047E6766" w14:textId="77777777" w:rsidR="00B14D53" w:rsidRDefault="00000000">
            <w:pPr>
              <w:widowControl/>
              <w:jc w:val="center"/>
              <w:rPr>
                <w:rFonts w:eastAsiaTheme="minorEastAsia"/>
                <w:kern w:val="0"/>
                <w:szCs w:val="21"/>
              </w:rPr>
            </w:pPr>
            <w:r>
              <w:rPr>
                <w:rFonts w:eastAsiaTheme="minorEastAsia"/>
                <w:kern w:val="0"/>
                <w:szCs w:val="21"/>
              </w:rPr>
              <w:t>S-150</w:t>
            </w:r>
          </w:p>
        </w:tc>
        <w:tc>
          <w:tcPr>
            <w:tcW w:w="3284" w:type="dxa"/>
            <w:vAlign w:val="center"/>
          </w:tcPr>
          <w:p w14:paraId="005172D9" w14:textId="77777777" w:rsidR="00B14D53" w:rsidRDefault="00000000">
            <w:pPr>
              <w:widowControl/>
              <w:jc w:val="center"/>
              <w:rPr>
                <w:rFonts w:eastAsiaTheme="minorEastAsia"/>
                <w:kern w:val="0"/>
                <w:szCs w:val="21"/>
              </w:rPr>
            </w:pPr>
            <w:r>
              <w:rPr>
                <w:rFonts w:eastAsiaTheme="minorEastAsia"/>
                <w:kern w:val="0"/>
                <w:szCs w:val="21"/>
              </w:rPr>
              <w:t>60</w:t>
            </w:r>
          </w:p>
        </w:tc>
      </w:tr>
      <w:tr w:rsidR="00B14D53" w14:paraId="140622C9" w14:textId="77777777">
        <w:trPr>
          <w:trHeight w:val="267"/>
          <w:tblHeader/>
          <w:jc w:val="center"/>
        </w:trPr>
        <w:tc>
          <w:tcPr>
            <w:tcW w:w="1844" w:type="dxa"/>
            <w:vMerge/>
            <w:vAlign w:val="center"/>
          </w:tcPr>
          <w:p w14:paraId="212EB426" w14:textId="77777777" w:rsidR="00B14D53" w:rsidRDefault="00B14D53">
            <w:pPr>
              <w:widowControl/>
              <w:jc w:val="left"/>
              <w:rPr>
                <w:rFonts w:eastAsiaTheme="minorEastAsia"/>
                <w:kern w:val="0"/>
                <w:szCs w:val="21"/>
              </w:rPr>
            </w:pPr>
          </w:p>
        </w:tc>
        <w:tc>
          <w:tcPr>
            <w:tcW w:w="2030" w:type="dxa"/>
            <w:vAlign w:val="center"/>
          </w:tcPr>
          <w:p w14:paraId="17C1DE43" w14:textId="77777777" w:rsidR="00B14D53" w:rsidRDefault="00000000">
            <w:pPr>
              <w:widowControl/>
              <w:jc w:val="center"/>
              <w:rPr>
                <w:rFonts w:eastAsiaTheme="minorEastAsia"/>
                <w:kern w:val="0"/>
                <w:szCs w:val="21"/>
              </w:rPr>
            </w:pPr>
            <w:r>
              <w:rPr>
                <w:rFonts w:eastAsiaTheme="minorEastAsia" w:hAnsiTheme="minorEastAsia"/>
                <w:kern w:val="0"/>
                <w:szCs w:val="21"/>
              </w:rPr>
              <w:t>石料切割机</w:t>
            </w:r>
          </w:p>
        </w:tc>
        <w:tc>
          <w:tcPr>
            <w:tcW w:w="1272" w:type="dxa"/>
            <w:vAlign w:val="center"/>
          </w:tcPr>
          <w:p w14:paraId="03787C9F" w14:textId="77777777" w:rsidR="00B14D53" w:rsidRDefault="00000000">
            <w:pPr>
              <w:widowControl/>
              <w:jc w:val="center"/>
              <w:rPr>
                <w:rFonts w:eastAsiaTheme="minorEastAsia"/>
                <w:kern w:val="0"/>
                <w:szCs w:val="21"/>
              </w:rPr>
            </w:pPr>
            <w:r>
              <w:rPr>
                <w:rFonts w:eastAsiaTheme="minorEastAsia"/>
                <w:kern w:val="0"/>
                <w:szCs w:val="21"/>
              </w:rPr>
              <w:t>LK50</w:t>
            </w:r>
          </w:p>
        </w:tc>
        <w:tc>
          <w:tcPr>
            <w:tcW w:w="3284" w:type="dxa"/>
            <w:vAlign w:val="center"/>
          </w:tcPr>
          <w:p w14:paraId="40518FCB" w14:textId="77777777" w:rsidR="00B14D53" w:rsidRDefault="00000000">
            <w:pPr>
              <w:widowControl/>
              <w:jc w:val="center"/>
              <w:rPr>
                <w:rFonts w:eastAsiaTheme="minorEastAsia"/>
                <w:kern w:val="0"/>
                <w:szCs w:val="21"/>
              </w:rPr>
            </w:pPr>
            <w:r>
              <w:rPr>
                <w:rFonts w:eastAsiaTheme="minorEastAsia"/>
                <w:kern w:val="0"/>
                <w:szCs w:val="21"/>
              </w:rPr>
              <w:t>95</w:t>
            </w:r>
          </w:p>
        </w:tc>
      </w:tr>
      <w:tr w:rsidR="00B14D53" w14:paraId="386551F9" w14:textId="77777777">
        <w:trPr>
          <w:trHeight w:val="267"/>
          <w:tblHeader/>
          <w:jc w:val="center"/>
        </w:trPr>
        <w:tc>
          <w:tcPr>
            <w:tcW w:w="1844" w:type="dxa"/>
            <w:vMerge/>
            <w:vAlign w:val="center"/>
          </w:tcPr>
          <w:p w14:paraId="4A7129CC" w14:textId="77777777" w:rsidR="00B14D53" w:rsidRDefault="00B14D53">
            <w:pPr>
              <w:widowControl/>
              <w:jc w:val="left"/>
              <w:rPr>
                <w:rFonts w:eastAsiaTheme="minorEastAsia"/>
                <w:kern w:val="0"/>
                <w:szCs w:val="21"/>
              </w:rPr>
            </w:pPr>
          </w:p>
        </w:tc>
        <w:tc>
          <w:tcPr>
            <w:tcW w:w="2030" w:type="dxa"/>
            <w:vAlign w:val="center"/>
          </w:tcPr>
          <w:p w14:paraId="725D5A76" w14:textId="77777777" w:rsidR="00B14D53" w:rsidRDefault="00000000">
            <w:pPr>
              <w:widowControl/>
              <w:jc w:val="center"/>
              <w:rPr>
                <w:rFonts w:eastAsiaTheme="minorEastAsia"/>
                <w:kern w:val="0"/>
                <w:szCs w:val="21"/>
              </w:rPr>
            </w:pPr>
            <w:r>
              <w:rPr>
                <w:rFonts w:eastAsiaTheme="minorEastAsia" w:hAnsiTheme="minorEastAsia"/>
                <w:kern w:val="0"/>
                <w:szCs w:val="21"/>
              </w:rPr>
              <w:t>机械振捣器</w:t>
            </w:r>
          </w:p>
        </w:tc>
        <w:tc>
          <w:tcPr>
            <w:tcW w:w="1272" w:type="dxa"/>
            <w:vAlign w:val="center"/>
          </w:tcPr>
          <w:p w14:paraId="02645B87" w14:textId="77777777" w:rsidR="00B14D53" w:rsidRDefault="00000000">
            <w:pPr>
              <w:widowControl/>
              <w:jc w:val="center"/>
              <w:rPr>
                <w:rFonts w:eastAsiaTheme="minorEastAsia"/>
                <w:kern w:val="0"/>
                <w:szCs w:val="21"/>
              </w:rPr>
            </w:pPr>
            <w:r>
              <w:rPr>
                <w:rFonts w:eastAsiaTheme="minorEastAsia"/>
                <w:kern w:val="0"/>
                <w:szCs w:val="21"/>
              </w:rPr>
              <w:t>HZB50</w:t>
            </w:r>
          </w:p>
        </w:tc>
        <w:tc>
          <w:tcPr>
            <w:tcW w:w="3284" w:type="dxa"/>
            <w:vAlign w:val="center"/>
          </w:tcPr>
          <w:p w14:paraId="5F180ADB" w14:textId="77777777" w:rsidR="00B14D53" w:rsidRDefault="00000000">
            <w:pPr>
              <w:widowControl/>
              <w:jc w:val="center"/>
              <w:rPr>
                <w:rFonts w:eastAsiaTheme="minorEastAsia"/>
                <w:kern w:val="0"/>
                <w:szCs w:val="21"/>
              </w:rPr>
            </w:pPr>
            <w:r>
              <w:rPr>
                <w:rFonts w:eastAsiaTheme="minorEastAsia"/>
                <w:kern w:val="0"/>
                <w:szCs w:val="21"/>
              </w:rPr>
              <w:t>75</w:t>
            </w:r>
          </w:p>
        </w:tc>
      </w:tr>
      <w:tr w:rsidR="00B14D53" w14:paraId="2C8FBC03" w14:textId="77777777">
        <w:trPr>
          <w:trHeight w:val="267"/>
          <w:tblHeader/>
          <w:jc w:val="center"/>
        </w:trPr>
        <w:tc>
          <w:tcPr>
            <w:tcW w:w="1844" w:type="dxa"/>
            <w:vMerge/>
            <w:vAlign w:val="center"/>
          </w:tcPr>
          <w:p w14:paraId="220682D8" w14:textId="77777777" w:rsidR="00B14D53" w:rsidRDefault="00B14D53">
            <w:pPr>
              <w:widowControl/>
              <w:jc w:val="left"/>
              <w:rPr>
                <w:rFonts w:eastAsiaTheme="minorEastAsia"/>
                <w:kern w:val="0"/>
                <w:szCs w:val="21"/>
              </w:rPr>
            </w:pPr>
          </w:p>
        </w:tc>
        <w:tc>
          <w:tcPr>
            <w:tcW w:w="2030" w:type="dxa"/>
            <w:vAlign w:val="center"/>
          </w:tcPr>
          <w:p w14:paraId="6ED65396" w14:textId="77777777" w:rsidR="00B14D53" w:rsidRDefault="00000000">
            <w:pPr>
              <w:widowControl/>
              <w:jc w:val="center"/>
              <w:rPr>
                <w:rFonts w:eastAsiaTheme="minorEastAsia"/>
                <w:kern w:val="0"/>
                <w:szCs w:val="21"/>
              </w:rPr>
            </w:pPr>
            <w:r>
              <w:rPr>
                <w:rFonts w:eastAsiaTheme="minorEastAsia" w:hAnsiTheme="minorEastAsia"/>
                <w:kern w:val="0"/>
                <w:szCs w:val="21"/>
              </w:rPr>
              <w:t>电锯</w:t>
            </w:r>
          </w:p>
        </w:tc>
        <w:tc>
          <w:tcPr>
            <w:tcW w:w="1272" w:type="dxa"/>
            <w:vAlign w:val="center"/>
          </w:tcPr>
          <w:p w14:paraId="2F518765" w14:textId="77777777" w:rsidR="00B14D53" w:rsidRDefault="00000000">
            <w:pPr>
              <w:widowControl/>
              <w:jc w:val="center"/>
              <w:rPr>
                <w:rFonts w:eastAsiaTheme="minorEastAsia"/>
                <w:kern w:val="0"/>
                <w:szCs w:val="21"/>
              </w:rPr>
            </w:pPr>
            <w:r>
              <w:rPr>
                <w:rFonts w:eastAsiaTheme="minorEastAsia"/>
                <w:kern w:val="0"/>
                <w:szCs w:val="21"/>
              </w:rPr>
              <w:t>/</w:t>
            </w:r>
          </w:p>
        </w:tc>
        <w:tc>
          <w:tcPr>
            <w:tcW w:w="3284" w:type="dxa"/>
            <w:vAlign w:val="center"/>
          </w:tcPr>
          <w:p w14:paraId="65C408BA" w14:textId="77777777" w:rsidR="00B14D53" w:rsidRDefault="00000000">
            <w:pPr>
              <w:widowControl/>
              <w:jc w:val="center"/>
              <w:rPr>
                <w:rFonts w:eastAsiaTheme="minorEastAsia"/>
                <w:kern w:val="0"/>
                <w:szCs w:val="21"/>
              </w:rPr>
            </w:pPr>
            <w:r>
              <w:rPr>
                <w:rFonts w:eastAsiaTheme="minorEastAsia"/>
                <w:kern w:val="0"/>
                <w:szCs w:val="21"/>
              </w:rPr>
              <w:t>85</w:t>
            </w:r>
          </w:p>
        </w:tc>
      </w:tr>
      <w:tr w:rsidR="00B14D53" w14:paraId="5D0A4726" w14:textId="77777777">
        <w:trPr>
          <w:trHeight w:val="267"/>
          <w:tblHeader/>
          <w:jc w:val="center"/>
        </w:trPr>
        <w:tc>
          <w:tcPr>
            <w:tcW w:w="1844" w:type="dxa"/>
            <w:vMerge w:val="restart"/>
            <w:vAlign w:val="center"/>
          </w:tcPr>
          <w:p w14:paraId="212C7CE8" w14:textId="77777777" w:rsidR="00B14D53" w:rsidRDefault="00000000">
            <w:pPr>
              <w:widowControl/>
              <w:jc w:val="center"/>
              <w:rPr>
                <w:rFonts w:eastAsiaTheme="minorEastAsia"/>
                <w:kern w:val="0"/>
                <w:szCs w:val="21"/>
              </w:rPr>
            </w:pPr>
            <w:r>
              <w:rPr>
                <w:rFonts w:eastAsiaTheme="minorEastAsia" w:hAnsiTheme="minorEastAsia"/>
                <w:kern w:val="0"/>
                <w:szCs w:val="21"/>
              </w:rPr>
              <w:t>装修阶段</w:t>
            </w:r>
          </w:p>
        </w:tc>
        <w:tc>
          <w:tcPr>
            <w:tcW w:w="2030" w:type="dxa"/>
            <w:vAlign w:val="center"/>
          </w:tcPr>
          <w:p w14:paraId="42C0A480" w14:textId="77777777" w:rsidR="00B14D53" w:rsidRDefault="00000000">
            <w:pPr>
              <w:widowControl/>
              <w:jc w:val="center"/>
              <w:rPr>
                <w:rFonts w:eastAsiaTheme="minorEastAsia"/>
                <w:kern w:val="0"/>
                <w:szCs w:val="21"/>
              </w:rPr>
            </w:pPr>
            <w:r>
              <w:rPr>
                <w:rFonts w:eastAsiaTheme="minorEastAsia" w:hAnsiTheme="minorEastAsia"/>
                <w:kern w:val="0"/>
                <w:szCs w:val="21"/>
              </w:rPr>
              <w:t>电锯</w:t>
            </w:r>
          </w:p>
        </w:tc>
        <w:tc>
          <w:tcPr>
            <w:tcW w:w="1272" w:type="dxa"/>
            <w:vAlign w:val="center"/>
          </w:tcPr>
          <w:p w14:paraId="7373A2A1" w14:textId="77777777" w:rsidR="00B14D53" w:rsidRDefault="00000000">
            <w:pPr>
              <w:widowControl/>
              <w:jc w:val="center"/>
              <w:rPr>
                <w:rFonts w:eastAsiaTheme="minorEastAsia"/>
                <w:kern w:val="0"/>
                <w:szCs w:val="21"/>
              </w:rPr>
            </w:pPr>
            <w:r>
              <w:rPr>
                <w:rFonts w:eastAsiaTheme="minorEastAsia"/>
                <w:kern w:val="0"/>
                <w:szCs w:val="21"/>
              </w:rPr>
              <w:t>/</w:t>
            </w:r>
          </w:p>
        </w:tc>
        <w:tc>
          <w:tcPr>
            <w:tcW w:w="3284" w:type="dxa"/>
            <w:vAlign w:val="center"/>
          </w:tcPr>
          <w:p w14:paraId="3632FC6A" w14:textId="77777777" w:rsidR="00B14D53" w:rsidRDefault="00000000">
            <w:pPr>
              <w:widowControl/>
              <w:jc w:val="center"/>
              <w:rPr>
                <w:rFonts w:eastAsiaTheme="minorEastAsia"/>
                <w:kern w:val="0"/>
                <w:szCs w:val="21"/>
              </w:rPr>
            </w:pPr>
            <w:r>
              <w:rPr>
                <w:rFonts w:eastAsiaTheme="minorEastAsia"/>
                <w:kern w:val="0"/>
                <w:szCs w:val="21"/>
              </w:rPr>
              <w:t>85</w:t>
            </w:r>
          </w:p>
        </w:tc>
      </w:tr>
      <w:tr w:rsidR="00B14D53" w14:paraId="3A6286CA" w14:textId="77777777">
        <w:trPr>
          <w:trHeight w:val="267"/>
          <w:tblHeader/>
          <w:jc w:val="center"/>
        </w:trPr>
        <w:tc>
          <w:tcPr>
            <w:tcW w:w="1844" w:type="dxa"/>
            <w:vMerge/>
            <w:vAlign w:val="center"/>
          </w:tcPr>
          <w:p w14:paraId="6E585212" w14:textId="77777777" w:rsidR="00B14D53" w:rsidRDefault="00B14D53">
            <w:pPr>
              <w:widowControl/>
              <w:jc w:val="left"/>
              <w:rPr>
                <w:rFonts w:eastAsiaTheme="minorEastAsia"/>
                <w:kern w:val="0"/>
                <w:szCs w:val="21"/>
              </w:rPr>
            </w:pPr>
          </w:p>
        </w:tc>
        <w:tc>
          <w:tcPr>
            <w:tcW w:w="2030" w:type="dxa"/>
            <w:vAlign w:val="center"/>
          </w:tcPr>
          <w:p w14:paraId="4D517180" w14:textId="77777777" w:rsidR="00B14D53" w:rsidRDefault="00000000">
            <w:pPr>
              <w:widowControl/>
              <w:jc w:val="center"/>
              <w:rPr>
                <w:rFonts w:eastAsiaTheme="minorEastAsia"/>
                <w:kern w:val="0"/>
                <w:szCs w:val="21"/>
              </w:rPr>
            </w:pPr>
            <w:r>
              <w:rPr>
                <w:rFonts w:eastAsiaTheme="minorEastAsia" w:hAnsiTheme="minorEastAsia"/>
                <w:kern w:val="0"/>
                <w:szCs w:val="21"/>
              </w:rPr>
              <w:t>电锤</w:t>
            </w:r>
          </w:p>
        </w:tc>
        <w:tc>
          <w:tcPr>
            <w:tcW w:w="1272" w:type="dxa"/>
            <w:vAlign w:val="center"/>
          </w:tcPr>
          <w:p w14:paraId="487C2A2B" w14:textId="77777777" w:rsidR="00B14D53" w:rsidRDefault="00000000">
            <w:pPr>
              <w:widowControl/>
              <w:jc w:val="center"/>
              <w:rPr>
                <w:rFonts w:eastAsiaTheme="minorEastAsia"/>
                <w:kern w:val="0"/>
                <w:szCs w:val="21"/>
              </w:rPr>
            </w:pPr>
            <w:r>
              <w:rPr>
                <w:rFonts w:eastAsiaTheme="minorEastAsia"/>
                <w:kern w:val="0"/>
                <w:szCs w:val="21"/>
              </w:rPr>
              <w:t>/</w:t>
            </w:r>
          </w:p>
        </w:tc>
        <w:tc>
          <w:tcPr>
            <w:tcW w:w="3284" w:type="dxa"/>
            <w:vAlign w:val="center"/>
          </w:tcPr>
          <w:p w14:paraId="5E6A9853" w14:textId="77777777" w:rsidR="00B14D53" w:rsidRDefault="00000000">
            <w:pPr>
              <w:widowControl/>
              <w:jc w:val="center"/>
              <w:rPr>
                <w:rFonts w:eastAsiaTheme="minorEastAsia"/>
                <w:kern w:val="0"/>
                <w:szCs w:val="21"/>
              </w:rPr>
            </w:pPr>
            <w:r>
              <w:rPr>
                <w:rFonts w:eastAsiaTheme="minorEastAsia"/>
                <w:kern w:val="0"/>
                <w:szCs w:val="21"/>
              </w:rPr>
              <w:t>85</w:t>
            </w:r>
          </w:p>
        </w:tc>
      </w:tr>
      <w:tr w:rsidR="00B14D53" w14:paraId="2282D8EE" w14:textId="77777777">
        <w:trPr>
          <w:trHeight w:val="267"/>
          <w:tblHeader/>
          <w:jc w:val="center"/>
        </w:trPr>
        <w:tc>
          <w:tcPr>
            <w:tcW w:w="1844" w:type="dxa"/>
            <w:vMerge/>
            <w:vAlign w:val="center"/>
          </w:tcPr>
          <w:p w14:paraId="70D9B6AA" w14:textId="77777777" w:rsidR="00B14D53" w:rsidRDefault="00B14D53">
            <w:pPr>
              <w:widowControl/>
              <w:jc w:val="left"/>
              <w:rPr>
                <w:rFonts w:eastAsiaTheme="minorEastAsia"/>
                <w:kern w:val="0"/>
                <w:szCs w:val="21"/>
              </w:rPr>
            </w:pPr>
          </w:p>
        </w:tc>
        <w:tc>
          <w:tcPr>
            <w:tcW w:w="2030" w:type="dxa"/>
            <w:vAlign w:val="center"/>
          </w:tcPr>
          <w:p w14:paraId="6B419C4E" w14:textId="77777777" w:rsidR="00B14D53" w:rsidRDefault="00000000">
            <w:pPr>
              <w:widowControl/>
              <w:jc w:val="center"/>
              <w:rPr>
                <w:rFonts w:eastAsiaTheme="minorEastAsia"/>
                <w:kern w:val="0"/>
                <w:szCs w:val="21"/>
              </w:rPr>
            </w:pPr>
            <w:r>
              <w:rPr>
                <w:rFonts w:eastAsiaTheme="minorEastAsia" w:hAnsiTheme="minorEastAsia"/>
                <w:kern w:val="0"/>
                <w:szCs w:val="21"/>
              </w:rPr>
              <w:t>电刨</w:t>
            </w:r>
          </w:p>
        </w:tc>
        <w:tc>
          <w:tcPr>
            <w:tcW w:w="1272" w:type="dxa"/>
            <w:vAlign w:val="center"/>
          </w:tcPr>
          <w:p w14:paraId="4F16429D" w14:textId="77777777" w:rsidR="00B14D53" w:rsidRDefault="00000000">
            <w:pPr>
              <w:widowControl/>
              <w:jc w:val="center"/>
              <w:rPr>
                <w:rFonts w:eastAsiaTheme="minorEastAsia"/>
                <w:kern w:val="0"/>
                <w:szCs w:val="21"/>
              </w:rPr>
            </w:pPr>
            <w:r>
              <w:rPr>
                <w:rFonts w:eastAsiaTheme="minorEastAsia"/>
                <w:kern w:val="0"/>
                <w:szCs w:val="21"/>
              </w:rPr>
              <w:t>/</w:t>
            </w:r>
          </w:p>
        </w:tc>
        <w:tc>
          <w:tcPr>
            <w:tcW w:w="3284" w:type="dxa"/>
            <w:vAlign w:val="center"/>
          </w:tcPr>
          <w:p w14:paraId="240658A1" w14:textId="77777777" w:rsidR="00B14D53" w:rsidRDefault="00000000">
            <w:pPr>
              <w:widowControl/>
              <w:jc w:val="center"/>
              <w:rPr>
                <w:rFonts w:eastAsiaTheme="minorEastAsia"/>
                <w:kern w:val="0"/>
                <w:szCs w:val="21"/>
              </w:rPr>
            </w:pPr>
            <w:r>
              <w:rPr>
                <w:rFonts w:eastAsiaTheme="minorEastAsia"/>
                <w:kern w:val="0"/>
                <w:szCs w:val="21"/>
              </w:rPr>
              <w:t>85</w:t>
            </w:r>
          </w:p>
        </w:tc>
      </w:tr>
      <w:tr w:rsidR="00B14D53" w14:paraId="2439637D" w14:textId="77777777">
        <w:trPr>
          <w:trHeight w:val="267"/>
          <w:tblHeader/>
          <w:jc w:val="center"/>
        </w:trPr>
        <w:tc>
          <w:tcPr>
            <w:tcW w:w="1844" w:type="dxa"/>
            <w:vMerge/>
            <w:vAlign w:val="center"/>
          </w:tcPr>
          <w:p w14:paraId="10C8DE08" w14:textId="77777777" w:rsidR="00B14D53" w:rsidRDefault="00B14D53">
            <w:pPr>
              <w:widowControl/>
              <w:jc w:val="left"/>
              <w:rPr>
                <w:rFonts w:eastAsiaTheme="minorEastAsia"/>
                <w:kern w:val="0"/>
                <w:szCs w:val="21"/>
              </w:rPr>
            </w:pPr>
          </w:p>
        </w:tc>
        <w:tc>
          <w:tcPr>
            <w:tcW w:w="2030" w:type="dxa"/>
            <w:vAlign w:val="center"/>
          </w:tcPr>
          <w:p w14:paraId="04FA9BE5" w14:textId="77777777" w:rsidR="00B14D53" w:rsidRDefault="00000000">
            <w:pPr>
              <w:widowControl/>
              <w:jc w:val="center"/>
              <w:rPr>
                <w:rFonts w:eastAsiaTheme="minorEastAsia"/>
                <w:kern w:val="0"/>
                <w:szCs w:val="21"/>
              </w:rPr>
            </w:pPr>
            <w:r>
              <w:rPr>
                <w:rFonts w:eastAsiaTheme="minorEastAsia" w:hAnsiTheme="minorEastAsia"/>
                <w:kern w:val="0"/>
                <w:szCs w:val="21"/>
              </w:rPr>
              <w:t>塔吊</w:t>
            </w:r>
          </w:p>
        </w:tc>
        <w:tc>
          <w:tcPr>
            <w:tcW w:w="1272" w:type="dxa"/>
            <w:vAlign w:val="center"/>
          </w:tcPr>
          <w:p w14:paraId="1D3B6281" w14:textId="77777777" w:rsidR="00B14D53" w:rsidRDefault="00000000">
            <w:pPr>
              <w:widowControl/>
              <w:jc w:val="center"/>
              <w:rPr>
                <w:rFonts w:eastAsiaTheme="minorEastAsia"/>
                <w:kern w:val="0"/>
                <w:szCs w:val="21"/>
              </w:rPr>
            </w:pPr>
            <w:r>
              <w:rPr>
                <w:rFonts w:eastAsiaTheme="minorEastAsia"/>
                <w:kern w:val="0"/>
                <w:szCs w:val="21"/>
              </w:rPr>
              <w:t>/</w:t>
            </w:r>
          </w:p>
        </w:tc>
        <w:tc>
          <w:tcPr>
            <w:tcW w:w="3284" w:type="dxa"/>
            <w:vAlign w:val="center"/>
          </w:tcPr>
          <w:p w14:paraId="0A3EBF31" w14:textId="77777777" w:rsidR="00B14D53" w:rsidRDefault="00000000">
            <w:pPr>
              <w:widowControl/>
              <w:jc w:val="center"/>
              <w:rPr>
                <w:rFonts w:eastAsiaTheme="minorEastAsia"/>
                <w:kern w:val="0"/>
                <w:szCs w:val="21"/>
              </w:rPr>
            </w:pPr>
            <w:r>
              <w:rPr>
                <w:rFonts w:eastAsiaTheme="minorEastAsia"/>
                <w:kern w:val="0"/>
                <w:szCs w:val="21"/>
              </w:rPr>
              <w:t>60</w:t>
            </w:r>
            <w:r>
              <w:rPr>
                <w:rFonts w:eastAsiaTheme="minorEastAsia" w:hAnsiTheme="minorEastAsia"/>
                <w:kern w:val="0"/>
                <w:szCs w:val="21"/>
              </w:rPr>
              <w:t>（地面测试）</w:t>
            </w:r>
          </w:p>
        </w:tc>
      </w:tr>
      <w:tr w:rsidR="00B14D53" w14:paraId="553F8E35" w14:textId="77777777">
        <w:trPr>
          <w:trHeight w:val="267"/>
          <w:tblHeader/>
          <w:jc w:val="center"/>
        </w:trPr>
        <w:tc>
          <w:tcPr>
            <w:tcW w:w="1844" w:type="dxa"/>
            <w:vMerge/>
            <w:vAlign w:val="center"/>
          </w:tcPr>
          <w:p w14:paraId="48AA7E16" w14:textId="77777777" w:rsidR="00B14D53" w:rsidRDefault="00B14D53">
            <w:pPr>
              <w:widowControl/>
              <w:jc w:val="left"/>
              <w:rPr>
                <w:rFonts w:eastAsiaTheme="minorEastAsia"/>
                <w:kern w:val="0"/>
                <w:szCs w:val="21"/>
              </w:rPr>
            </w:pPr>
          </w:p>
        </w:tc>
        <w:tc>
          <w:tcPr>
            <w:tcW w:w="2030" w:type="dxa"/>
            <w:vAlign w:val="center"/>
          </w:tcPr>
          <w:p w14:paraId="4FB3FD5D" w14:textId="77777777" w:rsidR="00B14D53" w:rsidRDefault="00000000">
            <w:pPr>
              <w:widowControl/>
              <w:jc w:val="center"/>
              <w:rPr>
                <w:rFonts w:eastAsiaTheme="minorEastAsia"/>
                <w:kern w:val="0"/>
                <w:szCs w:val="21"/>
              </w:rPr>
            </w:pPr>
            <w:r>
              <w:rPr>
                <w:rFonts w:eastAsiaTheme="minorEastAsia" w:hAnsiTheme="minorEastAsia"/>
                <w:kern w:val="0"/>
                <w:szCs w:val="21"/>
              </w:rPr>
              <w:t>套丝切管机</w:t>
            </w:r>
          </w:p>
        </w:tc>
        <w:tc>
          <w:tcPr>
            <w:tcW w:w="1272" w:type="dxa"/>
            <w:vAlign w:val="center"/>
          </w:tcPr>
          <w:p w14:paraId="470BBDCA" w14:textId="77777777" w:rsidR="00B14D53" w:rsidRDefault="00000000">
            <w:pPr>
              <w:widowControl/>
              <w:jc w:val="center"/>
              <w:rPr>
                <w:rFonts w:eastAsiaTheme="minorEastAsia"/>
                <w:kern w:val="0"/>
                <w:szCs w:val="21"/>
              </w:rPr>
            </w:pPr>
            <w:r>
              <w:rPr>
                <w:rFonts w:eastAsiaTheme="minorEastAsia"/>
                <w:kern w:val="0"/>
                <w:szCs w:val="21"/>
              </w:rPr>
              <w:t>100mm</w:t>
            </w:r>
          </w:p>
        </w:tc>
        <w:tc>
          <w:tcPr>
            <w:tcW w:w="3284" w:type="dxa"/>
            <w:vAlign w:val="center"/>
          </w:tcPr>
          <w:p w14:paraId="287CC287" w14:textId="77777777" w:rsidR="00B14D53" w:rsidRDefault="00000000">
            <w:pPr>
              <w:widowControl/>
              <w:jc w:val="center"/>
              <w:rPr>
                <w:rFonts w:eastAsiaTheme="minorEastAsia"/>
                <w:kern w:val="0"/>
                <w:szCs w:val="21"/>
              </w:rPr>
            </w:pPr>
            <w:r>
              <w:rPr>
                <w:rFonts w:eastAsiaTheme="minorEastAsia"/>
                <w:kern w:val="0"/>
                <w:szCs w:val="21"/>
              </w:rPr>
              <w:t>75</w:t>
            </w:r>
          </w:p>
        </w:tc>
      </w:tr>
      <w:tr w:rsidR="00B14D53" w14:paraId="6D97525E" w14:textId="77777777">
        <w:trPr>
          <w:trHeight w:val="267"/>
          <w:tblHeader/>
          <w:jc w:val="center"/>
        </w:trPr>
        <w:tc>
          <w:tcPr>
            <w:tcW w:w="1844" w:type="dxa"/>
            <w:vMerge/>
            <w:vAlign w:val="center"/>
          </w:tcPr>
          <w:p w14:paraId="023F66F1" w14:textId="77777777" w:rsidR="00B14D53" w:rsidRDefault="00B14D53">
            <w:pPr>
              <w:widowControl/>
              <w:jc w:val="left"/>
              <w:rPr>
                <w:rFonts w:eastAsiaTheme="minorEastAsia"/>
                <w:kern w:val="0"/>
                <w:szCs w:val="21"/>
              </w:rPr>
            </w:pPr>
          </w:p>
        </w:tc>
        <w:tc>
          <w:tcPr>
            <w:tcW w:w="2030" w:type="dxa"/>
            <w:vAlign w:val="center"/>
          </w:tcPr>
          <w:p w14:paraId="555CDD4D" w14:textId="77777777" w:rsidR="00B14D53" w:rsidRDefault="00000000">
            <w:pPr>
              <w:widowControl/>
              <w:jc w:val="center"/>
              <w:rPr>
                <w:rFonts w:eastAsiaTheme="minorEastAsia"/>
                <w:kern w:val="0"/>
                <w:szCs w:val="21"/>
              </w:rPr>
            </w:pPr>
            <w:r>
              <w:rPr>
                <w:rFonts w:eastAsiaTheme="minorEastAsia" w:hAnsiTheme="minorEastAsia"/>
                <w:kern w:val="0"/>
                <w:szCs w:val="21"/>
              </w:rPr>
              <w:t>多功能木工刨</w:t>
            </w:r>
          </w:p>
        </w:tc>
        <w:tc>
          <w:tcPr>
            <w:tcW w:w="1272" w:type="dxa"/>
            <w:vAlign w:val="center"/>
          </w:tcPr>
          <w:p w14:paraId="66A2C431" w14:textId="77777777" w:rsidR="00B14D53" w:rsidRDefault="00000000">
            <w:pPr>
              <w:widowControl/>
              <w:jc w:val="center"/>
              <w:rPr>
                <w:rFonts w:eastAsiaTheme="minorEastAsia"/>
                <w:kern w:val="0"/>
                <w:szCs w:val="21"/>
              </w:rPr>
            </w:pPr>
            <w:r>
              <w:rPr>
                <w:rFonts w:eastAsiaTheme="minorEastAsia"/>
                <w:kern w:val="0"/>
                <w:szCs w:val="21"/>
              </w:rPr>
              <w:t>/</w:t>
            </w:r>
          </w:p>
        </w:tc>
        <w:tc>
          <w:tcPr>
            <w:tcW w:w="3284" w:type="dxa"/>
            <w:vAlign w:val="center"/>
          </w:tcPr>
          <w:p w14:paraId="0D4D67E4" w14:textId="77777777" w:rsidR="00B14D53" w:rsidRDefault="00000000">
            <w:pPr>
              <w:widowControl/>
              <w:jc w:val="center"/>
              <w:rPr>
                <w:rFonts w:eastAsiaTheme="minorEastAsia"/>
                <w:kern w:val="0"/>
                <w:szCs w:val="21"/>
              </w:rPr>
            </w:pPr>
            <w:r>
              <w:rPr>
                <w:rFonts w:eastAsiaTheme="minorEastAsia"/>
                <w:kern w:val="0"/>
                <w:szCs w:val="21"/>
              </w:rPr>
              <w:t>100</w:t>
            </w:r>
          </w:p>
        </w:tc>
      </w:tr>
    </w:tbl>
    <w:p w14:paraId="613FD75C" w14:textId="77777777" w:rsidR="00B14D53" w:rsidRDefault="00000000">
      <w:pPr>
        <w:spacing w:line="360" w:lineRule="auto"/>
        <w:ind w:firstLineChars="200" w:firstLine="480"/>
        <w:contextualSpacing/>
        <w:rPr>
          <w:rFonts w:eastAsiaTheme="minorEastAsia" w:hAnsiTheme="minorEastAsia" w:hint="eastAsia"/>
          <w:sz w:val="24"/>
        </w:rPr>
      </w:pPr>
      <w:r>
        <w:rPr>
          <w:rFonts w:eastAsiaTheme="minorEastAsia" w:hAnsiTheme="minorEastAsia"/>
          <w:sz w:val="24"/>
        </w:rPr>
        <w:t>此外，由于施工期运输车辆增加，会增加评价区内公路沿线地区的交通噪声污染。</w:t>
      </w:r>
    </w:p>
    <w:p w14:paraId="6935BDF6"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bookmarkStart w:id="167" w:name="_Toc15991650"/>
      <w:r>
        <w:rPr>
          <w:rFonts w:ascii="Times New Roman" w:eastAsia="黑体" w:hAnsi="Times New Roman" w:cs="Times New Roman"/>
          <w:b w:val="0"/>
          <w:bCs w:val="0"/>
          <w:sz w:val="24"/>
          <w:szCs w:val="24"/>
        </w:rPr>
        <w:t>3.3.1.4</w:t>
      </w:r>
      <w:r>
        <w:rPr>
          <w:rFonts w:ascii="Times New Roman" w:eastAsia="黑体" w:hAnsi="Times New Roman" w:cs="Times New Roman"/>
          <w:b w:val="0"/>
          <w:bCs w:val="0"/>
          <w:sz w:val="24"/>
          <w:szCs w:val="24"/>
        </w:rPr>
        <w:t>固废污染分析</w:t>
      </w:r>
    </w:p>
    <w:p w14:paraId="4DC56287" w14:textId="77777777" w:rsidR="00B14D53" w:rsidRDefault="00000000">
      <w:pPr>
        <w:pStyle w:val="afff"/>
        <w:adjustRightInd/>
        <w:snapToGrid/>
        <w:contextualSpacing/>
        <w:jc w:val="both"/>
        <w:rPr>
          <w:rFonts w:ascii="Times New Roman" w:hAnsi="Times New Roman" w:cs="Times New Roman"/>
          <w:snapToGrid w:val="0"/>
        </w:rPr>
      </w:pPr>
      <w:r>
        <w:rPr>
          <w:rFonts w:ascii="Times New Roman" w:hAnsiTheme="minorEastAsia" w:cs="Times New Roman"/>
          <w:snapToGrid w:val="0"/>
        </w:rPr>
        <w:t>施工期固体废物主要包括</w:t>
      </w:r>
      <w:r>
        <w:rPr>
          <w:rFonts w:ascii="Times New Roman" w:hAnsiTheme="minorEastAsia" w:cs="Times New Roman" w:hint="eastAsia"/>
          <w:snapToGrid w:val="0"/>
        </w:rPr>
        <w:t>拆除设备、</w:t>
      </w:r>
      <w:r>
        <w:rPr>
          <w:rFonts w:ascii="Times New Roman" w:hAnsiTheme="minorEastAsia" w:cs="Times New Roman"/>
          <w:snapToGrid w:val="0"/>
        </w:rPr>
        <w:t>建筑垃圾、施工弃土弃渣和生活垃圾。建筑垃圾有废建材、废钢材、包装袋等。对可再利用的建筑废料，应进行回收利用，以节省资源。</w:t>
      </w:r>
      <w:r>
        <w:rPr>
          <w:rFonts w:ascii="Times New Roman" w:hAnsiTheme="minorEastAsia" w:cs="Times New Roman" w:hint="eastAsia"/>
          <w:snapToGrid w:val="0"/>
        </w:rPr>
        <w:t>不</w:t>
      </w:r>
      <w:r>
        <w:rPr>
          <w:rFonts w:ascii="Times New Roman" w:hAnsiTheme="minorEastAsia" w:cs="Times New Roman"/>
          <w:snapToGrid w:val="0"/>
        </w:rPr>
        <w:t>可回收利用外建筑垃圾应运输到环境保护管理部门指定的地点进行填埋，最大程度减小对环境的影响。本项目产生的土方主要为土地平整及挖地基时产生的少许土方，除回填外平整场地外，挖方的表土用于场区绿化，无弃土产生。</w:t>
      </w:r>
    </w:p>
    <w:p w14:paraId="2861BEEB" w14:textId="77777777" w:rsidR="00B14D53" w:rsidRDefault="00000000">
      <w:pPr>
        <w:pStyle w:val="afff"/>
        <w:adjustRightInd/>
        <w:snapToGrid/>
        <w:contextualSpacing/>
        <w:jc w:val="both"/>
        <w:rPr>
          <w:rFonts w:ascii="Times New Roman" w:hAnsi="Times New Roman" w:cs="Times New Roman"/>
          <w:snapToGrid w:val="0"/>
        </w:rPr>
      </w:pPr>
      <w:r>
        <w:rPr>
          <w:rFonts w:ascii="Times New Roman" w:hAnsiTheme="minorEastAsia" w:cs="Times New Roman"/>
          <w:snapToGrid w:val="0"/>
        </w:rPr>
        <w:t>施工期生活垃圾按照每天每人产生</w:t>
      </w:r>
      <w:r>
        <w:rPr>
          <w:rFonts w:ascii="Times New Roman" w:hAnsi="Times New Roman" w:cs="Times New Roman"/>
          <w:snapToGrid w:val="0"/>
        </w:rPr>
        <w:t>0.</w:t>
      </w:r>
      <w:r>
        <w:rPr>
          <w:rFonts w:ascii="Times New Roman" w:hAnsi="Times New Roman" w:cs="Times New Roman" w:hint="eastAsia"/>
          <w:snapToGrid w:val="0"/>
        </w:rPr>
        <w:t>4</w:t>
      </w:r>
      <w:r>
        <w:rPr>
          <w:rFonts w:ascii="Times New Roman" w:hAnsi="Times New Roman" w:cs="Times New Roman"/>
          <w:snapToGrid w:val="0"/>
        </w:rPr>
        <w:t>kg</w:t>
      </w:r>
      <w:r>
        <w:rPr>
          <w:rFonts w:ascii="Times New Roman" w:hAnsiTheme="minorEastAsia" w:cs="Times New Roman"/>
          <w:snapToGrid w:val="0"/>
        </w:rPr>
        <w:t>固体废物计算，预计一天产生</w:t>
      </w:r>
      <w:r>
        <w:rPr>
          <w:rFonts w:ascii="Times New Roman" w:hAnsi="Times New Roman" w:cs="Times New Roman" w:hint="eastAsia"/>
          <w:snapToGrid w:val="0"/>
        </w:rPr>
        <w:t>0.004t</w:t>
      </w:r>
      <w:r>
        <w:rPr>
          <w:rFonts w:ascii="Times New Roman" w:hAnsiTheme="minorEastAsia" w:cs="Times New Roman"/>
          <w:snapToGrid w:val="0"/>
        </w:rPr>
        <w:t>固体废物。施工人员产生的生活垃圾若随意堆放，不仅影响施工区环境景观，而且影响施工区环境卫生。在施工现场设置垃圾收集箱，集中收集后应由市政环卫部门统一清运处置。</w:t>
      </w:r>
      <w:r>
        <w:rPr>
          <w:rFonts w:ascii="Times New Roman" w:hAnsiTheme="minorEastAsia" w:cs="Times New Roman" w:hint="eastAsia"/>
          <w:snapToGrid w:val="0"/>
        </w:rPr>
        <w:t>拆除设备有利用价值可作为二手设备外售，不可利用的外售物资回收单位。</w:t>
      </w:r>
    </w:p>
    <w:p w14:paraId="48E60A19"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168" w:name="_Toc15991651"/>
      <w:bookmarkEnd w:id="167"/>
      <w:r>
        <w:rPr>
          <w:rFonts w:ascii="Times New Roman" w:eastAsia="黑体" w:hAnsi="Times New Roman" w:cs="Times New Roman"/>
          <w:sz w:val="28"/>
          <w:szCs w:val="28"/>
        </w:rPr>
        <w:t>3.3.2</w:t>
      </w:r>
      <w:r>
        <w:rPr>
          <w:rFonts w:ascii="Times New Roman" w:eastAsia="黑体" w:hAnsi="Times New Roman" w:cs="Times New Roman"/>
          <w:sz w:val="28"/>
          <w:szCs w:val="28"/>
        </w:rPr>
        <w:t>营运期污染源源强</w:t>
      </w:r>
      <w:bookmarkEnd w:id="168"/>
    </w:p>
    <w:p w14:paraId="3C1E3AEC"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3.3.2.1</w:t>
      </w:r>
      <w:r>
        <w:rPr>
          <w:rFonts w:ascii="Times New Roman" w:eastAsia="黑体" w:hAnsi="Times New Roman" w:cs="Times New Roman"/>
          <w:b w:val="0"/>
          <w:bCs w:val="0"/>
          <w:sz w:val="24"/>
          <w:szCs w:val="24"/>
        </w:rPr>
        <w:t>废</w:t>
      </w:r>
      <w:r>
        <w:rPr>
          <w:rFonts w:ascii="Times New Roman" w:eastAsia="黑体" w:hAnsi="Times New Roman" w:cs="Times New Roman" w:hint="eastAsia"/>
          <w:b w:val="0"/>
          <w:bCs w:val="0"/>
          <w:sz w:val="24"/>
          <w:szCs w:val="24"/>
        </w:rPr>
        <w:t>气</w:t>
      </w:r>
      <w:r>
        <w:rPr>
          <w:rFonts w:ascii="Times New Roman" w:eastAsia="黑体" w:hAnsi="Times New Roman" w:cs="Times New Roman"/>
          <w:b w:val="0"/>
          <w:bCs w:val="0"/>
          <w:sz w:val="24"/>
          <w:szCs w:val="24"/>
        </w:rPr>
        <w:t>污染分析</w:t>
      </w:r>
    </w:p>
    <w:p w14:paraId="6EC74167" w14:textId="77777777" w:rsidR="00B14D53" w:rsidRDefault="00000000">
      <w:pPr>
        <w:spacing w:line="360" w:lineRule="auto"/>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）恶臭气体</w:t>
      </w:r>
    </w:p>
    <w:p w14:paraId="6D250C2B" w14:textId="77777777" w:rsidR="00B14D53" w:rsidRDefault="00000000">
      <w:pPr>
        <w:spacing w:line="360" w:lineRule="auto"/>
        <w:ind w:firstLineChars="200" w:firstLine="480"/>
        <w:rPr>
          <w:color w:val="000000" w:themeColor="text1"/>
          <w:sz w:val="24"/>
        </w:rPr>
      </w:pPr>
      <w:r>
        <w:rPr>
          <w:color w:val="000000" w:themeColor="text1"/>
          <w:sz w:val="24"/>
        </w:rPr>
        <w:t>恶臭来源：主要来自待宰圈、屠宰车间和污水处理站。</w:t>
      </w:r>
    </w:p>
    <w:p w14:paraId="4150C249" w14:textId="77777777" w:rsidR="00B14D53" w:rsidRDefault="00000000">
      <w:pPr>
        <w:spacing w:line="360" w:lineRule="auto"/>
        <w:ind w:firstLineChars="200" w:firstLine="480"/>
        <w:rPr>
          <w:color w:val="000000" w:themeColor="text1"/>
          <w:sz w:val="24"/>
        </w:rPr>
      </w:pPr>
      <w:r>
        <w:rPr>
          <w:color w:val="000000" w:themeColor="text1"/>
          <w:sz w:val="24"/>
        </w:rPr>
        <w:fldChar w:fldCharType="begin"/>
      </w:r>
      <w:r>
        <w:rPr>
          <w:color w:val="000000" w:themeColor="text1"/>
          <w:sz w:val="24"/>
        </w:rPr>
        <w:instrText xml:space="preserve"> = 1 \* GB3 \* MERGEFORMAT </w:instrText>
      </w:r>
      <w:r>
        <w:rPr>
          <w:color w:val="000000" w:themeColor="text1"/>
          <w:sz w:val="24"/>
        </w:rPr>
        <w:fldChar w:fldCharType="separate"/>
      </w:r>
      <w:r>
        <w:rPr>
          <w:color w:val="000000" w:themeColor="text1"/>
          <w:sz w:val="24"/>
        </w:rPr>
        <w:t>①</w:t>
      </w:r>
      <w:r>
        <w:rPr>
          <w:color w:val="000000" w:themeColor="text1"/>
          <w:sz w:val="24"/>
        </w:rPr>
        <w:fldChar w:fldCharType="end"/>
      </w:r>
      <w:r>
        <w:rPr>
          <w:color w:val="000000" w:themeColor="text1"/>
          <w:sz w:val="24"/>
        </w:rPr>
        <w:t>待宰圈恶臭</w:t>
      </w:r>
    </w:p>
    <w:p w14:paraId="523A3D51" w14:textId="77777777" w:rsidR="00B14D53" w:rsidRDefault="00000000">
      <w:pPr>
        <w:spacing w:line="360" w:lineRule="auto"/>
        <w:ind w:firstLineChars="200" w:firstLine="480"/>
        <w:rPr>
          <w:color w:val="000000" w:themeColor="text1"/>
          <w:sz w:val="24"/>
        </w:rPr>
      </w:pPr>
      <w:r>
        <w:rPr>
          <w:rFonts w:hint="eastAsia"/>
          <w:color w:val="000000" w:themeColor="text1"/>
          <w:sz w:val="24"/>
        </w:rPr>
        <w:t>待宰圈</w:t>
      </w:r>
      <w:r>
        <w:rPr>
          <w:color w:val="000000" w:themeColor="text1"/>
          <w:sz w:val="24"/>
        </w:rPr>
        <w:t>是为生猪提供存放、观察及休息的场所，</w:t>
      </w:r>
      <w:r>
        <w:rPr>
          <w:rFonts w:hint="eastAsia"/>
          <w:color w:val="000000" w:themeColor="text1"/>
          <w:sz w:val="24"/>
        </w:rPr>
        <w:t>待宰圈</w:t>
      </w:r>
      <w:r>
        <w:rPr>
          <w:color w:val="000000" w:themeColor="text1"/>
          <w:sz w:val="24"/>
        </w:rPr>
        <w:t>的恶臭主要来自畜禽尿液，主要会产生氨、硫化氢等恶臭气体，若未及时清除或清除后不能及时处理，将会使臭味成倍增加，并会孳生大量蚊蝇，影响环境卫生。</w:t>
      </w:r>
    </w:p>
    <w:p w14:paraId="1F4F1B41" w14:textId="77777777" w:rsidR="00B14D53" w:rsidRDefault="00000000">
      <w:pPr>
        <w:spacing w:line="360" w:lineRule="auto"/>
        <w:ind w:firstLineChars="200" w:firstLine="480"/>
        <w:rPr>
          <w:color w:val="000000" w:themeColor="text1"/>
          <w:sz w:val="24"/>
        </w:rPr>
      </w:pPr>
      <w:r>
        <w:rPr>
          <w:color w:val="000000" w:themeColor="text1"/>
          <w:sz w:val="24"/>
        </w:rPr>
        <w:t>本项目运营期屠宰猪的平均重量约为</w:t>
      </w:r>
      <w:r>
        <w:rPr>
          <w:color w:val="000000" w:themeColor="text1"/>
          <w:sz w:val="24"/>
        </w:rPr>
        <w:t>110kg</w:t>
      </w:r>
      <w:r>
        <w:rPr>
          <w:color w:val="000000" w:themeColor="text1"/>
          <w:sz w:val="24"/>
        </w:rPr>
        <w:t>（属于大猪），根据《养猪场恶臭影响量化分析及控制对策研究》（天津市环境影响评价中心孙艳青等编制）可知，大猪在待宰期间</w:t>
      </w:r>
      <w:r>
        <w:rPr>
          <w:rFonts w:hint="eastAsia"/>
          <w:color w:val="000000" w:themeColor="text1"/>
          <w:sz w:val="24"/>
        </w:rPr>
        <w:t>氨</w:t>
      </w:r>
      <w:r>
        <w:rPr>
          <w:color w:val="000000" w:themeColor="text1"/>
          <w:sz w:val="24"/>
        </w:rPr>
        <w:t>的排放强度为</w:t>
      </w:r>
      <w:r>
        <w:rPr>
          <w:color w:val="000000" w:themeColor="text1"/>
          <w:sz w:val="24"/>
        </w:rPr>
        <w:t>5.65g/</w:t>
      </w:r>
      <w:r>
        <w:rPr>
          <w:color w:val="000000" w:themeColor="text1"/>
          <w:sz w:val="24"/>
        </w:rPr>
        <w:t>（头</w:t>
      </w:r>
      <w:r>
        <w:rPr>
          <w:color w:val="000000" w:themeColor="text1"/>
          <w:sz w:val="24"/>
        </w:rPr>
        <w:t>·d</w:t>
      </w:r>
      <w:r>
        <w:rPr>
          <w:color w:val="000000" w:themeColor="text1"/>
          <w:sz w:val="24"/>
        </w:rPr>
        <w:t>），硫化氢的排放强度为</w:t>
      </w:r>
      <w:r>
        <w:rPr>
          <w:color w:val="000000" w:themeColor="text1"/>
          <w:sz w:val="24"/>
        </w:rPr>
        <w:t>0.5g/</w:t>
      </w:r>
      <w:r>
        <w:rPr>
          <w:color w:val="000000" w:themeColor="text1"/>
          <w:sz w:val="24"/>
        </w:rPr>
        <w:t>（头</w:t>
      </w:r>
      <w:r>
        <w:rPr>
          <w:color w:val="000000" w:themeColor="text1"/>
          <w:sz w:val="24"/>
        </w:rPr>
        <w:t>·d</w:t>
      </w:r>
      <w:r>
        <w:rPr>
          <w:color w:val="000000" w:themeColor="text1"/>
          <w:sz w:val="24"/>
        </w:rPr>
        <w:t>），项目运营期生猪提前一天进厂，本项目生猪待宰量为</w:t>
      </w:r>
      <w:r>
        <w:rPr>
          <w:rFonts w:hint="eastAsia"/>
          <w:color w:val="000000" w:themeColor="text1"/>
          <w:sz w:val="24"/>
        </w:rPr>
        <w:t>16</w:t>
      </w:r>
      <w:r>
        <w:rPr>
          <w:color w:val="000000" w:themeColor="text1"/>
          <w:sz w:val="24"/>
        </w:rPr>
        <w:t>万头</w:t>
      </w:r>
      <w:r>
        <w:rPr>
          <w:color w:val="000000" w:themeColor="text1"/>
          <w:sz w:val="24"/>
        </w:rPr>
        <w:t>/a</w:t>
      </w:r>
      <w:r>
        <w:rPr>
          <w:color w:val="000000" w:themeColor="text1"/>
          <w:sz w:val="24"/>
        </w:rPr>
        <w:t>，</w:t>
      </w:r>
      <w:r>
        <w:rPr>
          <w:rFonts w:hint="eastAsia"/>
          <w:color w:val="000000" w:themeColor="text1"/>
          <w:sz w:val="24"/>
        </w:rPr>
        <w:t>待宰圈</w:t>
      </w:r>
      <w:r>
        <w:rPr>
          <w:color w:val="000000" w:themeColor="text1"/>
          <w:sz w:val="24"/>
        </w:rPr>
        <w:t>粪便每天清理</w:t>
      </w:r>
      <w:r>
        <w:rPr>
          <w:rFonts w:hint="eastAsia"/>
          <w:color w:val="000000" w:themeColor="text1"/>
          <w:sz w:val="24"/>
        </w:rPr>
        <w:t>1</w:t>
      </w:r>
      <w:r>
        <w:rPr>
          <w:color w:val="000000" w:themeColor="text1"/>
          <w:sz w:val="24"/>
        </w:rPr>
        <w:t>次，计算可得</w:t>
      </w:r>
      <w:r>
        <w:rPr>
          <w:rFonts w:hint="eastAsia"/>
          <w:color w:val="000000" w:themeColor="text1"/>
          <w:sz w:val="24"/>
        </w:rPr>
        <w:t>氨</w:t>
      </w:r>
      <w:r>
        <w:rPr>
          <w:color w:val="000000" w:themeColor="text1"/>
          <w:sz w:val="24"/>
        </w:rPr>
        <w:t>产生量为</w:t>
      </w:r>
      <w:r>
        <w:rPr>
          <w:rFonts w:hint="eastAsia"/>
          <w:color w:val="000000" w:themeColor="text1"/>
          <w:sz w:val="24"/>
        </w:rPr>
        <w:t>0.904t/a</w:t>
      </w:r>
      <w:r>
        <w:rPr>
          <w:color w:val="000000" w:themeColor="text1"/>
          <w:sz w:val="24"/>
        </w:rPr>
        <w:t>，产生速率为</w:t>
      </w:r>
      <w:r>
        <w:rPr>
          <w:rFonts w:hint="eastAsia"/>
          <w:color w:val="000000" w:themeColor="text1"/>
          <w:sz w:val="24"/>
        </w:rPr>
        <w:t>0.11</w:t>
      </w:r>
      <w:r>
        <w:rPr>
          <w:color w:val="000000" w:themeColor="text1"/>
          <w:sz w:val="24"/>
        </w:rPr>
        <w:t>kg/h</w:t>
      </w:r>
      <w:r>
        <w:rPr>
          <w:color w:val="000000" w:themeColor="text1"/>
          <w:sz w:val="24"/>
        </w:rPr>
        <w:t>，硫化氢产生量为</w:t>
      </w:r>
      <w:r>
        <w:rPr>
          <w:rFonts w:hint="eastAsia"/>
          <w:color w:val="000000" w:themeColor="text1"/>
          <w:sz w:val="24"/>
        </w:rPr>
        <w:t>0.08t/a</w:t>
      </w:r>
      <w:r>
        <w:rPr>
          <w:color w:val="000000" w:themeColor="text1"/>
          <w:sz w:val="24"/>
        </w:rPr>
        <w:t>，产生速率为</w:t>
      </w:r>
      <w:r>
        <w:rPr>
          <w:rFonts w:hint="eastAsia"/>
          <w:color w:val="000000" w:themeColor="text1"/>
          <w:sz w:val="24"/>
        </w:rPr>
        <w:t>0.01</w:t>
      </w:r>
      <w:r>
        <w:rPr>
          <w:color w:val="000000" w:themeColor="text1"/>
          <w:sz w:val="24"/>
        </w:rPr>
        <w:t>kg/h</w:t>
      </w:r>
      <w:r>
        <w:rPr>
          <w:color w:val="000000" w:themeColor="text1"/>
          <w:sz w:val="24"/>
        </w:rPr>
        <w:t>。</w:t>
      </w:r>
    </w:p>
    <w:p w14:paraId="38D54363" w14:textId="77777777" w:rsidR="00B14D53" w:rsidRDefault="00000000">
      <w:pPr>
        <w:spacing w:line="360" w:lineRule="auto"/>
        <w:ind w:firstLineChars="200" w:firstLine="480"/>
        <w:rPr>
          <w:color w:val="000000" w:themeColor="text1"/>
          <w:sz w:val="24"/>
        </w:rPr>
      </w:pPr>
      <w:r>
        <w:rPr>
          <w:rFonts w:hint="eastAsia"/>
          <w:color w:val="000000" w:themeColor="text1"/>
          <w:sz w:val="24"/>
        </w:rPr>
        <w:t>本项目设有</w:t>
      </w:r>
      <w:r>
        <w:rPr>
          <w:rFonts w:hint="eastAsia"/>
          <w:color w:val="000000" w:themeColor="text1"/>
          <w:sz w:val="24"/>
        </w:rPr>
        <w:t>2</w:t>
      </w:r>
      <w:r>
        <w:rPr>
          <w:rFonts w:hint="eastAsia"/>
          <w:color w:val="000000" w:themeColor="text1"/>
          <w:sz w:val="24"/>
        </w:rPr>
        <w:t>间待宰圈建筑面积分别为</w:t>
      </w:r>
      <w:r>
        <w:rPr>
          <w:rFonts w:hint="eastAsia"/>
          <w:color w:val="000000" w:themeColor="text1"/>
          <w:sz w:val="24"/>
        </w:rPr>
        <w:t>1#</w:t>
      </w:r>
      <w:r>
        <w:rPr>
          <w:rFonts w:hint="eastAsia"/>
          <w:color w:val="000000" w:themeColor="text1"/>
          <w:sz w:val="24"/>
        </w:rPr>
        <w:t>待宰圈</w:t>
      </w:r>
      <w:r>
        <w:rPr>
          <w:rFonts w:hint="eastAsia"/>
          <w:color w:val="000000" w:themeColor="text1"/>
          <w:sz w:val="24"/>
        </w:rPr>
        <w:t>240m2</w:t>
      </w:r>
      <w:r>
        <w:rPr>
          <w:rFonts w:hint="eastAsia"/>
          <w:color w:val="000000" w:themeColor="text1"/>
          <w:sz w:val="24"/>
        </w:rPr>
        <w:t>、</w:t>
      </w:r>
      <w:r>
        <w:rPr>
          <w:rFonts w:hint="eastAsia"/>
          <w:color w:val="000000" w:themeColor="text1"/>
          <w:sz w:val="24"/>
        </w:rPr>
        <w:t>2#</w:t>
      </w:r>
      <w:r>
        <w:rPr>
          <w:rFonts w:hint="eastAsia"/>
          <w:color w:val="000000" w:themeColor="text1"/>
          <w:sz w:val="24"/>
        </w:rPr>
        <w:t>待宰圈</w:t>
      </w:r>
      <w:r>
        <w:rPr>
          <w:rFonts w:hint="eastAsia"/>
          <w:color w:val="000000" w:themeColor="text1"/>
          <w:sz w:val="24"/>
        </w:rPr>
        <w:t>600m2</w:t>
      </w:r>
      <w:r>
        <w:rPr>
          <w:rFonts w:hint="eastAsia"/>
          <w:color w:val="000000" w:themeColor="text1"/>
          <w:sz w:val="24"/>
        </w:rPr>
        <w:t>，按照建筑面积平均分配待宰猪数量，因此</w:t>
      </w:r>
      <w:r>
        <w:rPr>
          <w:rFonts w:hint="eastAsia"/>
          <w:color w:val="000000" w:themeColor="text1"/>
          <w:sz w:val="24"/>
        </w:rPr>
        <w:t>1#</w:t>
      </w:r>
      <w:r>
        <w:rPr>
          <w:rFonts w:hint="eastAsia"/>
          <w:color w:val="000000" w:themeColor="text1"/>
          <w:sz w:val="24"/>
        </w:rPr>
        <w:t>待宰圈占比</w:t>
      </w:r>
      <w:r>
        <w:rPr>
          <w:rFonts w:hint="eastAsia"/>
          <w:color w:val="000000" w:themeColor="text1"/>
          <w:sz w:val="24"/>
        </w:rPr>
        <w:t>29%</w:t>
      </w:r>
      <w:r>
        <w:rPr>
          <w:rFonts w:hint="eastAsia"/>
          <w:color w:val="000000" w:themeColor="text1"/>
          <w:sz w:val="24"/>
        </w:rPr>
        <w:t>，</w:t>
      </w:r>
      <w:r>
        <w:rPr>
          <w:rFonts w:hint="eastAsia"/>
          <w:color w:val="000000" w:themeColor="text1"/>
          <w:sz w:val="24"/>
        </w:rPr>
        <w:t>2#</w:t>
      </w:r>
      <w:r>
        <w:rPr>
          <w:rFonts w:hint="eastAsia"/>
          <w:color w:val="000000" w:themeColor="text1"/>
          <w:sz w:val="24"/>
        </w:rPr>
        <w:t>待宰圈占比</w:t>
      </w:r>
      <w:r>
        <w:rPr>
          <w:rFonts w:hint="eastAsia"/>
          <w:color w:val="000000" w:themeColor="text1"/>
          <w:sz w:val="24"/>
        </w:rPr>
        <w:t>71%</w:t>
      </w:r>
      <w:r>
        <w:rPr>
          <w:rFonts w:hint="eastAsia"/>
          <w:color w:val="000000" w:themeColor="text1"/>
          <w:sz w:val="24"/>
        </w:rPr>
        <w:t>。</w:t>
      </w:r>
    </w:p>
    <w:p w14:paraId="6886FE56" w14:textId="77777777" w:rsidR="00B14D53" w:rsidRDefault="00000000">
      <w:pPr>
        <w:spacing w:line="360" w:lineRule="auto"/>
        <w:ind w:firstLineChars="200" w:firstLine="480"/>
        <w:rPr>
          <w:bCs/>
          <w:sz w:val="24"/>
        </w:rPr>
      </w:pPr>
      <w:r>
        <w:rPr>
          <w:sz w:val="24"/>
        </w:rPr>
        <w:t>本项目</w:t>
      </w:r>
      <w:r>
        <w:rPr>
          <w:rFonts w:hint="eastAsia"/>
          <w:sz w:val="24"/>
        </w:rPr>
        <w:t>待宰圈</w:t>
      </w:r>
      <w:r>
        <w:rPr>
          <w:sz w:val="24"/>
        </w:rPr>
        <w:t>封闭，</w:t>
      </w:r>
      <w:r>
        <w:rPr>
          <w:bCs/>
          <w:sz w:val="24"/>
        </w:rPr>
        <w:t>采用</w:t>
      </w:r>
      <w:r>
        <w:rPr>
          <w:rFonts w:hint="eastAsia"/>
          <w:bCs/>
          <w:sz w:val="24"/>
        </w:rPr>
        <w:t>引风机集中收集</w:t>
      </w:r>
      <w:r>
        <w:rPr>
          <w:bCs/>
          <w:sz w:val="24"/>
        </w:rPr>
        <w:t>的方式，</w:t>
      </w:r>
      <w:r>
        <w:rPr>
          <w:rFonts w:hint="eastAsia"/>
          <w:bCs/>
          <w:sz w:val="24"/>
        </w:rPr>
        <w:t>分别</w:t>
      </w:r>
      <w:r>
        <w:rPr>
          <w:bCs/>
          <w:sz w:val="24"/>
        </w:rPr>
        <w:t>设置</w:t>
      </w:r>
      <w:r>
        <w:rPr>
          <w:bCs/>
          <w:sz w:val="24"/>
        </w:rPr>
        <w:t>1</w:t>
      </w:r>
      <w:r>
        <w:rPr>
          <w:bCs/>
          <w:sz w:val="24"/>
        </w:rPr>
        <w:t>台风量</w:t>
      </w:r>
      <w:r>
        <w:rPr>
          <w:rFonts w:hint="eastAsia"/>
          <w:bCs/>
          <w:sz w:val="24"/>
        </w:rPr>
        <w:t>1000m</w:t>
      </w:r>
      <w:r>
        <w:rPr>
          <w:bCs/>
          <w:sz w:val="24"/>
          <w:vertAlign w:val="superscript"/>
        </w:rPr>
        <w:t>3</w:t>
      </w:r>
      <w:r>
        <w:rPr>
          <w:bCs/>
          <w:sz w:val="24"/>
        </w:rPr>
        <w:t>/h</w:t>
      </w:r>
      <w:r>
        <w:rPr>
          <w:bCs/>
          <w:sz w:val="24"/>
        </w:rPr>
        <w:t>的风机收集恶臭污染物，同时待宰圈经过及时清扫并定期喷洒生物除臭剂，</w:t>
      </w:r>
      <w:r>
        <w:rPr>
          <w:rFonts w:hint="eastAsia"/>
          <w:bCs/>
          <w:sz w:val="24"/>
        </w:rPr>
        <w:t>收集</w:t>
      </w:r>
      <w:r>
        <w:rPr>
          <w:bCs/>
          <w:sz w:val="24"/>
        </w:rPr>
        <w:t>率约</w:t>
      </w:r>
      <w:r>
        <w:rPr>
          <w:bCs/>
          <w:sz w:val="24"/>
        </w:rPr>
        <w:t>80%</w:t>
      </w:r>
      <w:r>
        <w:rPr>
          <w:bCs/>
          <w:sz w:val="24"/>
        </w:rPr>
        <w:t>左右，</w:t>
      </w:r>
      <w:r>
        <w:rPr>
          <w:rFonts w:hint="eastAsia"/>
          <w:bCs/>
          <w:sz w:val="24"/>
        </w:rPr>
        <w:t>收集</w:t>
      </w:r>
      <w:r>
        <w:rPr>
          <w:bCs/>
          <w:sz w:val="24"/>
        </w:rPr>
        <w:t>的废气通过活性炭吸附净化后（恶臭气体净化率</w:t>
      </w:r>
      <w:r>
        <w:rPr>
          <w:rFonts w:hint="eastAsia"/>
          <w:bCs/>
          <w:sz w:val="24"/>
        </w:rPr>
        <w:t>为</w:t>
      </w:r>
      <w:r>
        <w:rPr>
          <w:rFonts w:hint="eastAsia"/>
          <w:bCs/>
          <w:sz w:val="24"/>
        </w:rPr>
        <w:t>9</w:t>
      </w:r>
      <w:r>
        <w:rPr>
          <w:bCs/>
          <w:sz w:val="24"/>
        </w:rPr>
        <w:t>0%</w:t>
      </w:r>
      <w:r>
        <w:rPr>
          <w:bCs/>
          <w:sz w:val="24"/>
        </w:rPr>
        <w:t>）经</w:t>
      </w:r>
      <w:r>
        <w:rPr>
          <w:rFonts w:hint="eastAsia"/>
          <w:bCs/>
          <w:sz w:val="24"/>
        </w:rPr>
        <w:t>2</w:t>
      </w:r>
      <w:r>
        <w:rPr>
          <w:rFonts w:hint="eastAsia"/>
          <w:bCs/>
          <w:sz w:val="24"/>
        </w:rPr>
        <w:t>根</w:t>
      </w:r>
      <w:r>
        <w:rPr>
          <w:bCs/>
          <w:sz w:val="24"/>
        </w:rPr>
        <w:t>15m</w:t>
      </w:r>
      <w:r>
        <w:rPr>
          <w:bCs/>
          <w:sz w:val="24"/>
        </w:rPr>
        <w:t>高排气筒（</w:t>
      </w:r>
      <w:r>
        <w:rPr>
          <w:bCs/>
          <w:sz w:val="24"/>
        </w:rPr>
        <w:t>DA00</w:t>
      </w:r>
      <w:r>
        <w:rPr>
          <w:rFonts w:hint="eastAsia"/>
          <w:bCs/>
          <w:sz w:val="24"/>
        </w:rPr>
        <w:t>1</w:t>
      </w:r>
      <w:r>
        <w:rPr>
          <w:rFonts w:hint="eastAsia"/>
          <w:bCs/>
          <w:sz w:val="24"/>
        </w:rPr>
        <w:t>、</w:t>
      </w:r>
      <w:r>
        <w:rPr>
          <w:rFonts w:hint="eastAsia"/>
          <w:bCs/>
          <w:sz w:val="24"/>
        </w:rPr>
        <w:t>DA002</w:t>
      </w:r>
      <w:r>
        <w:rPr>
          <w:bCs/>
          <w:sz w:val="24"/>
        </w:rPr>
        <w:t>）排放。约</w:t>
      </w:r>
      <w:r>
        <w:rPr>
          <w:bCs/>
          <w:sz w:val="24"/>
        </w:rPr>
        <w:t>20%</w:t>
      </w:r>
      <w:r>
        <w:rPr>
          <w:bCs/>
          <w:sz w:val="24"/>
        </w:rPr>
        <w:t>为无组织排放。</w:t>
      </w:r>
    </w:p>
    <w:p w14:paraId="1DD80D20" w14:textId="77777777" w:rsidR="00B14D53" w:rsidRDefault="00000000">
      <w:pPr>
        <w:spacing w:line="360" w:lineRule="auto"/>
        <w:ind w:firstLineChars="200" w:firstLine="480"/>
        <w:rPr>
          <w:rFonts w:eastAsiaTheme="minorEastAsia" w:hAnsiTheme="minorEastAsia" w:hint="eastAsia"/>
          <w:sz w:val="24"/>
        </w:rPr>
      </w:pPr>
      <w:r>
        <w:rPr>
          <w:rFonts w:eastAsiaTheme="minorEastAsia" w:hAnsiTheme="minorEastAsia"/>
          <w:sz w:val="24"/>
        </w:rPr>
        <w:t>根据文献（丁湘蓉</w:t>
      </w:r>
      <w:r>
        <w:rPr>
          <w:rFonts w:eastAsiaTheme="minorEastAsia"/>
          <w:sz w:val="24"/>
        </w:rPr>
        <w:t>.</w:t>
      </w:r>
      <w:r>
        <w:rPr>
          <w:rFonts w:eastAsiaTheme="minorEastAsia" w:hAnsiTheme="minorEastAsia"/>
          <w:sz w:val="24"/>
        </w:rPr>
        <w:t>多种除臭剂对氨和硫化氢去除效果的试验研究</w:t>
      </w:r>
      <w:r>
        <w:rPr>
          <w:rFonts w:eastAsiaTheme="minorEastAsia"/>
          <w:sz w:val="24"/>
        </w:rPr>
        <w:t>[J].</w:t>
      </w:r>
      <w:r>
        <w:rPr>
          <w:rFonts w:eastAsiaTheme="minorEastAsia" w:hAnsiTheme="minorEastAsia"/>
          <w:sz w:val="24"/>
        </w:rPr>
        <w:t>环境卫生工程</w:t>
      </w:r>
      <w:r>
        <w:rPr>
          <w:rFonts w:eastAsiaTheme="minorEastAsia"/>
          <w:sz w:val="24"/>
        </w:rPr>
        <w:t>,2016,24(06):42-45.</w:t>
      </w:r>
      <w:r>
        <w:rPr>
          <w:rFonts w:eastAsiaTheme="minorEastAsia" w:hAnsiTheme="minorEastAsia"/>
          <w:sz w:val="24"/>
        </w:rPr>
        <w:t>）植物除臭剂对</w:t>
      </w:r>
      <w:r>
        <w:rPr>
          <w:rFonts w:eastAsiaTheme="minorEastAsia"/>
          <w:sz w:val="24"/>
        </w:rPr>
        <w:t>NH</w:t>
      </w:r>
      <w:r>
        <w:rPr>
          <w:rFonts w:eastAsiaTheme="minorEastAsia"/>
          <w:sz w:val="24"/>
          <w:vertAlign w:val="subscript"/>
        </w:rPr>
        <w:t>3</w:t>
      </w:r>
      <w:r>
        <w:rPr>
          <w:rFonts w:eastAsiaTheme="minorEastAsia" w:hAnsiTheme="minorEastAsia"/>
          <w:sz w:val="24"/>
        </w:rPr>
        <w:t>、</w:t>
      </w:r>
      <w:r>
        <w:rPr>
          <w:rFonts w:eastAsiaTheme="minorEastAsia"/>
          <w:sz w:val="24"/>
        </w:rPr>
        <w:t>H</w:t>
      </w:r>
      <w:r>
        <w:rPr>
          <w:rFonts w:eastAsiaTheme="minorEastAsia"/>
          <w:sz w:val="24"/>
          <w:vertAlign w:val="subscript"/>
        </w:rPr>
        <w:t>2</w:t>
      </w:r>
      <w:r>
        <w:rPr>
          <w:rFonts w:eastAsiaTheme="minorEastAsia"/>
          <w:sz w:val="24"/>
        </w:rPr>
        <w:t>S</w:t>
      </w:r>
      <w:r>
        <w:rPr>
          <w:rFonts w:eastAsiaTheme="minorEastAsia" w:hAnsiTheme="minorEastAsia"/>
          <w:sz w:val="24"/>
        </w:rPr>
        <w:t>去除效果显著，对</w:t>
      </w:r>
      <w:r>
        <w:rPr>
          <w:rFonts w:eastAsiaTheme="minorEastAsia"/>
          <w:sz w:val="24"/>
        </w:rPr>
        <w:t>NH</w:t>
      </w:r>
      <w:r>
        <w:rPr>
          <w:rFonts w:eastAsiaTheme="minorEastAsia"/>
          <w:sz w:val="24"/>
          <w:vertAlign w:val="subscript"/>
        </w:rPr>
        <w:t>3</w:t>
      </w:r>
      <w:r>
        <w:rPr>
          <w:rFonts w:eastAsiaTheme="minorEastAsia" w:hAnsiTheme="minorEastAsia"/>
          <w:sz w:val="24"/>
        </w:rPr>
        <w:t>去除效率可达</w:t>
      </w:r>
      <w:r>
        <w:rPr>
          <w:rFonts w:eastAsiaTheme="minorEastAsia"/>
          <w:sz w:val="24"/>
        </w:rPr>
        <w:t>75%</w:t>
      </w:r>
      <w:r>
        <w:rPr>
          <w:rFonts w:eastAsiaTheme="minorEastAsia" w:hAnsiTheme="minorEastAsia"/>
          <w:sz w:val="24"/>
        </w:rPr>
        <w:t>，对</w:t>
      </w:r>
      <w:r>
        <w:rPr>
          <w:rFonts w:eastAsiaTheme="minorEastAsia"/>
          <w:sz w:val="24"/>
        </w:rPr>
        <w:t>H</w:t>
      </w:r>
      <w:r>
        <w:rPr>
          <w:rFonts w:eastAsiaTheme="minorEastAsia"/>
          <w:sz w:val="24"/>
          <w:vertAlign w:val="subscript"/>
        </w:rPr>
        <w:t>2</w:t>
      </w:r>
      <w:r>
        <w:rPr>
          <w:rFonts w:eastAsiaTheme="minorEastAsia"/>
          <w:sz w:val="24"/>
        </w:rPr>
        <w:t>S</w:t>
      </w:r>
      <w:r>
        <w:rPr>
          <w:rFonts w:eastAsiaTheme="minorEastAsia" w:hAnsiTheme="minorEastAsia"/>
          <w:sz w:val="24"/>
        </w:rPr>
        <w:t>去除效率可达</w:t>
      </w:r>
      <w:r>
        <w:rPr>
          <w:rFonts w:eastAsiaTheme="minorEastAsia"/>
          <w:sz w:val="24"/>
        </w:rPr>
        <w:t>83%</w:t>
      </w:r>
      <w:r>
        <w:rPr>
          <w:rFonts w:eastAsiaTheme="minorEastAsia" w:hAnsiTheme="minorEastAsia"/>
          <w:sz w:val="24"/>
        </w:rPr>
        <w:t>。</w:t>
      </w:r>
    </w:p>
    <w:p w14:paraId="047C3CFA" w14:textId="77777777" w:rsidR="00B14D53" w:rsidRDefault="00000000">
      <w:pPr>
        <w:spacing w:line="360" w:lineRule="auto"/>
        <w:ind w:firstLineChars="200" w:firstLine="480"/>
        <w:rPr>
          <w:rFonts w:eastAsiaTheme="minorEastAsia" w:hAnsiTheme="minorEastAsia" w:hint="eastAsia"/>
          <w:sz w:val="24"/>
        </w:rPr>
      </w:pPr>
      <w:r>
        <w:rPr>
          <w:rFonts w:eastAsiaTheme="minorEastAsia" w:hAnsiTheme="minorEastAsia" w:hint="eastAsia"/>
          <w:sz w:val="24"/>
        </w:rPr>
        <w:t>根据</w:t>
      </w:r>
      <w:r>
        <w:rPr>
          <w:rFonts w:eastAsiaTheme="minorEastAsia" w:hAnsiTheme="minorEastAsia"/>
          <w:sz w:val="24"/>
        </w:rPr>
        <w:t>《屠宰及肉类加工业污染防治可行技术指南》（</w:t>
      </w:r>
      <w:r>
        <w:rPr>
          <w:rFonts w:eastAsiaTheme="minorEastAsia" w:hAnsiTheme="minorEastAsia"/>
          <w:sz w:val="24"/>
        </w:rPr>
        <w:t>HJ1285</w:t>
      </w:r>
      <w:r>
        <w:rPr>
          <w:rFonts w:eastAsiaTheme="minorEastAsia" w:hAnsiTheme="minorEastAsia"/>
          <w:sz w:val="24"/>
        </w:rPr>
        <w:t>—</w:t>
      </w:r>
      <w:r>
        <w:rPr>
          <w:rFonts w:eastAsiaTheme="minorEastAsia" w:hAnsiTheme="minorEastAsia"/>
          <w:sz w:val="24"/>
        </w:rPr>
        <w:t>2023</w:t>
      </w:r>
      <w:r>
        <w:rPr>
          <w:rFonts w:eastAsiaTheme="minorEastAsia" w:hAnsiTheme="minorEastAsia"/>
          <w:sz w:val="24"/>
        </w:rPr>
        <w:t>）</w:t>
      </w:r>
      <w:r>
        <w:rPr>
          <w:rFonts w:eastAsiaTheme="minorEastAsia" w:hAnsiTheme="minorEastAsia" w:hint="eastAsia"/>
          <w:sz w:val="24"/>
        </w:rPr>
        <w:t>，活性炭对恶臭去除率可达</w:t>
      </w:r>
      <w:r>
        <w:rPr>
          <w:rFonts w:eastAsiaTheme="minorEastAsia" w:hAnsiTheme="minorEastAsia" w:hint="eastAsia"/>
          <w:sz w:val="24"/>
        </w:rPr>
        <w:t>90%</w:t>
      </w:r>
      <w:r>
        <w:rPr>
          <w:rFonts w:eastAsiaTheme="minorEastAsia" w:hAnsiTheme="minorEastAsia" w:hint="eastAsia"/>
          <w:sz w:val="24"/>
        </w:rPr>
        <w:t>。</w:t>
      </w:r>
    </w:p>
    <w:p w14:paraId="2D3BE6B6" w14:textId="77777777" w:rsidR="00B14D53" w:rsidRDefault="00000000">
      <w:pPr>
        <w:pStyle w:val="af2"/>
        <w:spacing w:line="360" w:lineRule="auto"/>
        <w:ind w:firstLineChars="200" w:firstLine="480"/>
        <w:rPr>
          <w:rFonts w:hAnsiTheme="minorEastAsia" w:hint="eastAsia"/>
          <w:sz w:val="24"/>
        </w:rPr>
      </w:pPr>
      <w:r>
        <w:rPr>
          <w:rFonts w:hint="eastAsia"/>
          <w:sz w:val="24"/>
        </w:rPr>
        <w:t>综上，本项目</w:t>
      </w:r>
      <w:r>
        <w:rPr>
          <w:rFonts w:hint="eastAsia"/>
          <w:sz w:val="24"/>
        </w:rPr>
        <w:t>1#</w:t>
      </w:r>
      <w:r>
        <w:rPr>
          <w:rFonts w:hint="eastAsia"/>
          <w:sz w:val="24"/>
        </w:rPr>
        <w:t>待宰圈氨有组织产生量为</w:t>
      </w:r>
      <w:r>
        <w:rPr>
          <w:rFonts w:hint="eastAsia"/>
          <w:sz w:val="24"/>
        </w:rPr>
        <w:t>0.05t/a</w:t>
      </w:r>
      <w:r>
        <w:rPr>
          <w:rFonts w:hint="eastAsia"/>
          <w:sz w:val="24"/>
        </w:rPr>
        <w:t>，</w:t>
      </w:r>
      <w:r>
        <w:rPr>
          <w:rFonts w:hint="eastAsia"/>
          <w:sz w:val="24"/>
        </w:rPr>
        <w:t>0.006kg/h</w:t>
      </w:r>
      <w:r>
        <w:rPr>
          <w:rFonts w:hint="eastAsia"/>
          <w:sz w:val="24"/>
        </w:rPr>
        <w:t>，</w:t>
      </w:r>
      <w:r>
        <w:rPr>
          <w:rFonts w:hint="eastAsia"/>
          <w:sz w:val="24"/>
        </w:rPr>
        <w:t>6.43mg/m</w:t>
      </w:r>
      <w:r>
        <w:rPr>
          <w:rFonts w:hint="eastAsia"/>
          <w:sz w:val="24"/>
          <w:vertAlign w:val="superscript"/>
        </w:rPr>
        <w:t>3</w:t>
      </w:r>
      <w:r>
        <w:rPr>
          <w:rFonts w:hint="eastAsia"/>
          <w:sz w:val="24"/>
        </w:rPr>
        <w:t>；硫化氢有组织产生量为</w:t>
      </w:r>
      <w:r>
        <w:rPr>
          <w:rFonts w:hint="eastAsia"/>
          <w:sz w:val="24"/>
        </w:rPr>
        <w:t>0.003t/a</w:t>
      </w:r>
      <w:r>
        <w:rPr>
          <w:rFonts w:hint="eastAsia"/>
          <w:sz w:val="24"/>
        </w:rPr>
        <w:t>，</w:t>
      </w:r>
      <w:r>
        <w:rPr>
          <w:rFonts w:hint="eastAsia"/>
          <w:sz w:val="24"/>
        </w:rPr>
        <w:t>0.0004kg/h</w:t>
      </w:r>
      <w:r>
        <w:rPr>
          <w:rFonts w:hint="eastAsia"/>
          <w:sz w:val="24"/>
        </w:rPr>
        <w:t>，</w:t>
      </w:r>
      <w:r>
        <w:rPr>
          <w:rFonts w:hint="eastAsia"/>
          <w:sz w:val="24"/>
        </w:rPr>
        <w:t>0.39mg/m</w:t>
      </w:r>
      <w:r>
        <w:rPr>
          <w:rFonts w:hint="eastAsia"/>
          <w:sz w:val="24"/>
          <w:vertAlign w:val="superscript"/>
        </w:rPr>
        <w:t>3</w:t>
      </w:r>
      <w:r>
        <w:rPr>
          <w:rFonts w:hint="eastAsia"/>
          <w:sz w:val="24"/>
        </w:rPr>
        <w:t>；氨有组织排放量为</w:t>
      </w:r>
      <w:r>
        <w:rPr>
          <w:rFonts w:hint="eastAsia"/>
          <w:sz w:val="24"/>
        </w:rPr>
        <w:t>0.005t/a</w:t>
      </w:r>
      <w:r>
        <w:rPr>
          <w:rFonts w:hint="eastAsia"/>
          <w:sz w:val="24"/>
        </w:rPr>
        <w:t>，</w:t>
      </w:r>
      <w:r>
        <w:rPr>
          <w:rFonts w:hint="eastAsia"/>
          <w:sz w:val="24"/>
        </w:rPr>
        <w:t>0.0006kg/h</w:t>
      </w:r>
      <w:r>
        <w:rPr>
          <w:rFonts w:hint="eastAsia"/>
          <w:sz w:val="24"/>
        </w:rPr>
        <w:t>，</w:t>
      </w:r>
      <w:r>
        <w:rPr>
          <w:rFonts w:hint="eastAsia"/>
          <w:sz w:val="24"/>
        </w:rPr>
        <w:t>0.64mg/m</w:t>
      </w:r>
      <w:r>
        <w:rPr>
          <w:rFonts w:hint="eastAsia"/>
          <w:sz w:val="24"/>
          <w:vertAlign w:val="superscript"/>
        </w:rPr>
        <w:t>3</w:t>
      </w:r>
      <w:r>
        <w:rPr>
          <w:rFonts w:hint="eastAsia"/>
          <w:sz w:val="24"/>
        </w:rPr>
        <w:t>；硫化氢有组织排放量为</w:t>
      </w:r>
      <w:r>
        <w:rPr>
          <w:rFonts w:hint="eastAsia"/>
          <w:sz w:val="24"/>
        </w:rPr>
        <w:t>0.0003t/a</w:t>
      </w:r>
      <w:r>
        <w:rPr>
          <w:rFonts w:hint="eastAsia"/>
          <w:sz w:val="24"/>
        </w:rPr>
        <w:t>，</w:t>
      </w:r>
      <w:r>
        <w:rPr>
          <w:rFonts w:hint="eastAsia"/>
          <w:sz w:val="24"/>
        </w:rPr>
        <w:t>0.00004kg/h</w:t>
      </w:r>
      <w:r>
        <w:rPr>
          <w:rFonts w:hint="eastAsia"/>
          <w:sz w:val="24"/>
        </w:rPr>
        <w:t>，</w:t>
      </w:r>
      <w:r>
        <w:rPr>
          <w:rFonts w:hint="eastAsia"/>
          <w:sz w:val="24"/>
        </w:rPr>
        <w:t>0.04mg/m</w:t>
      </w:r>
      <w:r>
        <w:rPr>
          <w:rFonts w:hint="eastAsia"/>
          <w:sz w:val="24"/>
          <w:vertAlign w:val="superscript"/>
        </w:rPr>
        <w:t>3</w:t>
      </w:r>
      <w:r>
        <w:rPr>
          <w:rFonts w:hint="eastAsia"/>
          <w:sz w:val="24"/>
        </w:rPr>
        <w:t>；氨无组织排放量为</w:t>
      </w:r>
      <w:r>
        <w:rPr>
          <w:rFonts w:hint="eastAsia"/>
          <w:sz w:val="24"/>
        </w:rPr>
        <w:t>0.01t/a</w:t>
      </w:r>
      <w:r>
        <w:rPr>
          <w:rFonts w:hint="eastAsia"/>
          <w:sz w:val="24"/>
        </w:rPr>
        <w:t>，</w:t>
      </w:r>
      <w:r>
        <w:rPr>
          <w:rFonts w:hint="eastAsia"/>
          <w:sz w:val="24"/>
        </w:rPr>
        <w:t>0.002kg/h</w:t>
      </w:r>
      <w:r>
        <w:rPr>
          <w:rFonts w:hint="eastAsia"/>
          <w:sz w:val="24"/>
        </w:rPr>
        <w:t>；硫化氢无组织排放量为</w:t>
      </w:r>
      <w:r>
        <w:rPr>
          <w:rFonts w:hint="eastAsia"/>
          <w:sz w:val="24"/>
        </w:rPr>
        <w:t>0.0008t/a</w:t>
      </w:r>
      <w:r>
        <w:rPr>
          <w:rFonts w:hint="eastAsia"/>
          <w:sz w:val="24"/>
        </w:rPr>
        <w:t>，</w:t>
      </w:r>
      <w:r>
        <w:rPr>
          <w:rFonts w:hint="eastAsia"/>
          <w:sz w:val="24"/>
        </w:rPr>
        <w:t>0.0001kg/h</w:t>
      </w:r>
      <w:r>
        <w:rPr>
          <w:rFonts w:hint="eastAsia"/>
          <w:sz w:val="24"/>
        </w:rPr>
        <w:t>。</w:t>
      </w:r>
      <w:r>
        <w:rPr>
          <w:rFonts w:hint="eastAsia"/>
          <w:sz w:val="24"/>
        </w:rPr>
        <w:t>2#</w:t>
      </w:r>
      <w:r>
        <w:rPr>
          <w:rFonts w:hint="eastAsia"/>
          <w:sz w:val="24"/>
        </w:rPr>
        <w:t>待宰圈氨有组织产生量为</w:t>
      </w:r>
      <w:r>
        <w:rPr>
          <w:rFonts w:hint="eastAsia"/>
          <w:sz w:val="24"/>
        </w:rPr>
        <w:t>0.13t/a</w:t>
      </w:r>
      <w:r>
        <w:rPr>
          <w:rFonts w:hint="eastAsia"/>
          <w:sz w:val="24"/>
        </w:rPr>
        <w:t>，</w:t>
      </w:r>
      <w:r>
        <w:rPr>
          <w:rFonts w:hint="eastAsia"/>
          <w:sz w:val="24"/>
        </w:rPr>
        <w:t>0.02kg/h</w:t>
      </w:r>
      <w:r>
        <w:rPr>
          <w:rFonts w:hint="eastAsia"/>
          <w:sz w:val="24"/>
        </w:rPr>
        <w:t>，</w:t>
      </w:r>
      <w:r>
        <w:rPr>
          <w:rFonts w:hint="eastAsia"/>
          <w:sz w:val="24"/>
        </w:rPr>
        <w:t>15.73mg/m</w:t>
      </w:r>
      <w:r>
        <w:rPr>
          <w:rFonts w:hint="eastAsia"/>
          <w:sz w:val="24"/>
          <w:vertAlign w:val="superscript"/>
        </w:rPr>
        <w:t>3</w:t>
      </w:r>
      <w:r>
        <w:rPr>
          <w:rFonts w:hint="eastAsia"/>
          <w:sz w:val="24"/>
        </w:rPr>
        <w:t>；硫化氢有组织产生量为</w:t>
      </w:r>
      <w:r>
        <w:rPr>
          <w:rFonts w:hint="eastAsia"/>
          <w:sz w:val="24"/>
        </w:rPr>
        <w:t>0.008t/a</w:t>
      </w:r>
      <w:r>
        <w:rPr>
          <w:rFonts w:hint="eastAsia"/>
          <w:sz w:val="24"/>
        </w:rPr>
        <w:t>，</w:t>
      </w:r>
      <w:r>
        <w:rPr>
          <w:rFonts w:hint="eastAsia"/>
          <w:sz w:val="24"/>
        </w:rPr>
        <w:t>0.0009kg/h</w:t>
      </w:r>
      <w:r>
        <w:rPr>
          <w:rFonts w:hint="eastAsia"/>
          <w:sz w:val="24"/>
        </w:rPr>
        <w:t>，</w:t>
      </w:r>
      <w:r>
        <w:rPr>
          <w:rFonts w:hint="eastAsia"/>
          <w:sz w:val="24"/>
        </w:rPr>
        <w:t>0.95mg/m</w:t>
      </w:r>
      <w:r>
        <w:rPr>
          <w:rFonts w:hint="eastAsia"/>
          <w:sz w:val="24"/>
          <w:vertAlign w:val="superscript"/>
        </w:rPr>
        <w:t>3</w:t>
      </w:r>
      <w:r>
        <w:rPr>
          <w:rFonts w:hint="eastAsia"/>
          <w:sz w:val="24"/>
        </w:rPr>
        <w:t>；氨有组织排放量为</w:t>
      </w:r>
      <w:r>
        <w:rPr>
          <w:rFonts w:hint="eastAsia"/>
          <w:sz w:val="24"/>
        </w:rPr>
        <w:t>0.01t/a</w:t>
      </w:r>
      <w:r>
        <w:rPr>
          <w:rFonts w:hint="eastAsia"/>
          <w:sz w:val="24"/>
        </w:rPr>
        <w:t>，</w:t>
      </w:r>
      <w:r>
        <w:rPr>
          <w:rFonts w:hint="eastAsia"/>
          <w:sz w:val="24"/>
        </w:rPr>
        <w:t>0.002kg/h</w:t>
      </w:r>
      <w:r>
        <w:rPr>
          <w:rFonts w:hint="eastAsia"/>
          <w:sz w:val="24"/>
        </w:rPr>
        <w:t>，</w:t>
      </w:r>
      <w:r>
        <w:rPr>
          <w:rFonts w:hint="eastAsia"/>
          <w:sz w:val="24"/>
        </w:rPr>
        <w:t>1.57mg/m</w:t>
      </w:r>
      <w:r>
        <w:rPr>
          <w:rFonts w:hint="eastAsia"/>
          <w:sz w:val="24"/>
          <w:vertAlign w:val="superscript"/>
        </w:rPr>
        <w:t>3</w:t>
      </w:r>
      <w:r>
        <w:rPr>
          <w:rFonts w:hint="eastAsia"/>
          <w:sz w:val="24"/>
        </w:rPr>
        <w:t>；硫化氢有组织排放量为</w:t>
      </w:r>
      <w:r>
        <w:rPr>
          <w:rFonts w:hint="eastAsia"/>
          <w:sz w:val="24"/>
        </w:rPr>
        <w:t>0.0008t/a</w:t>
      </w:r>
      <w:r>
        <w:rPr>
          <w:rFonts w:hint="eastAsia"/>
          <w:sz w:val="24"/>
        </w:rPr>
        <w:t>，</w:t>
      </w:r>
      <w:r>
        <w:rPr>
          <w:rFonts w:hint="eastAsia"/>
          <w:sz w:val="24"/>
        </w:rPr>
        <w:t>0.0001kg/h</w:t>
      </w:r>
      <w:r>
        <w:rPr>
          <w:rFonts w:hint="eastAsia"/>
          <w:sz w:val="24"/>
        </w:rPr>
        <w:t>，</w:t>
      </w:r>
      <w:r>
        <w:rPr>
          <w:rFonts w:hint="eastAsia"/>
          <w:sz w:val="24"/>
        </w:rPr>
        <w:t>0.09mg/m</w:t>
      </w:r>
      <w:r>
        <w:rPr>
          <w:rFonts w:hint="eastAsia"/>
          <w:sz w:val="24"/>
          <w:vertAlign w:val="superscript"/>
        </w:rPr>
        <w:t>3</w:t>
      </w:r>
      <w:r>
        <w:rPr>
          <w:rFonts w:hint="eastAsia"/>
          <w:sz w:val="24"/>
        </w:rPr>
        <w:t>；氨无组织排放量为</w:t>
      </w:r>
      <w:r>
        <w:rPr>
          <w:rFonts w:hint="eastAsia"/>
          <w:sz w:val="24"/>
        </w:rPr>
        <w:t>0.03t/a</w:t>
      </w:r>
      <w:r>
        <w:rPr>
          <w:rFonts w:hint="eastAsia"/>
          <w:sz w:val="24"/>
        </w:rPr>
        <w:t>，</w:t>
      </w:r>
      <w:r>
        <w:rPr>
          <w:rFonts w:hint="eastAsia"/>
          <w:sz w:val="24"/>
        </w:rPr>
        <w:t>0.004kg/h</w:t>
      </w:r>
      <w:r>
        <w:rPr>
          <w:rFonts w:hint="eastAsia"/>
          <w:sz w:val="24"/>
        </w:rPr>
        <w:t>；硫化氢无组织产生量为</w:t>
      </w:r>
      <w:r>
        <w:rPr>
          <w:rFonts w:hint="eastAsia"/>
          <w:sz w:val="24"/>
        </w:rPr>
        <w:t>0.002t/a</w:t>
      </w:r>
      <w:r>
        <w:rPr>
          <w:rFonts w:hint="eastAsia"/>
          <w:sz w:val="24"/>
        </w:rPr>
        <w:t>，</w:t>
      </w:r>
      <w:r>
        <w:rPr>
          <w:rFonts w:hint="eastAsia"/>
          <w:sz w:val="24"/>
        </w:rPr>
        <w:t>0.0002kg/h</w:t>
      </w:r>
      <w:r>
        <w:rPr>
          <w:rFonts w:hint="eastAsia"/>
          <w:sz w:val="24"/>
        </w:rPr>
        <w:t>。</w:t>
      </w:r>
    </w:p>
    <w:p w14:paraId="6E0EAE2E" w14:textId="77777777" w:rsidR="00B14D53" w:rsidRDefault="00000000">
      <w:pPr>
        <w:spacing w:line="360" w:lineRule="auto"/>
        <w:ind w:firstLineChars="200" w:firstLine="480"/>
        <w:rPr>
          <w:color w:val="000000" w:themeColor="text1"/>
          <w:sz w:val="24"/>
        </w:rPr>
      </w:pPr>
      <w:r>
        <w:rPr>
          <w:color w:val="000000" w:themeColor="text1"/>
          <w:sz w:val="24"/>
        </w:rPr>
        <w:fldChar w:fldCharType="begin"/>
      </w:r>
      <w:r>
        <w:rPr>
          <w:color w:val="000000" w:themeColor="text1"/>
          <w:sz w:val="24"/>
        </w:rPr>
        <w:instrText xml:space="preserve"> = 2 \* GB3 \* MERGEFORMAT </w:instrText>
      </w:r>
      <w:r>
        <w:rPr>
          <w:color w:val="000000" w:themeColor="text1"/>
          <w:sz w:val="24"/>
        </w:rPr>
        <w:fldChar w:fldCharType="separate"/>
      </w:r>
      <w:r>
        <w:rPr>
          <w:color w:val="000000" w:themeColor="text1"/>
          <w:sz w:val="24"/>
        </w:rPr>
        <w:t>②</w:t>
      </w:r>
      <w:r>
        <w:rPr>
          <w:color w:val="000000" w:themeColor="text1"/>
          <w:sz w:val="24"/>
        </w:rPr>
        <w:fldChar w:fldCharType="end"/>
      </w:r>
      <w:r>
        <w:rPr>
          <w:color w:val="000000" w:themeColor="text1"/>
          <w:sz w:val="24"/>
        </w:rPr>
        <w:t>屠宰车间恶臭</w:t>
      </w:r>
    </w:p>
    <w:p w14:paraId="443D014A" w14:textId="77777777" w:rsidR="00B14D53" w:rsidRDefault="00000000">
      <w:pPr>
        <w:spacing w:line="360" w:lineRule="auto"/>
        <w:ind w:firstLineChars="200" w:firstLine="480"/>
        <w:rPr>
          <w:color w:val="000000" w:themeColor="text1"/>
          <w:sz w:val="24"/>
          <w:lang w:val="zh-CN"/>
        </w:rPr>
      </w:pPr>
      <w:r>
        <w:rPr>
          <w:color w:val="000000" w:themeColor="text1"/>
          <w:sz w:val="24"/>
          <w:lang w:val="zh-CN"/>
        </w:rPr>
        <w:t>屠宰车间内湿度较高，屠宰后牲畜的湿皮、血、肠肚、粪尿等产生的臭气混杂在一起，形成刺鼻的腥臭味。</w:t>
      </w:r>
    </w:p>
    <w:p w14:paraId="736740FB" w14:textId="77777777" w:rsidR="00B14D53" w:rsidRDefault="00000000">
      <w:pPr>
        <w:spacing w:line="360" w:lineRule="auto"/>
        <w:ind w:firstLineChars="200" w:firstLine="480"/>
        <w:rPr>
          <w:color w:val="000000" w:themeColor="text1"/>
          <w:sz w:val="24"/>
          <w:lang w:val="zh-CN"/>
        </w:rPr>
      </w:pPr>
      <w:r>
        <w:rPr>
          <w:color w:val="000000" w:themeColor="text1"/>
          <w:sz w:val="24"/>
          <w:lang w:val="zh-CN"/>
        </w:rPr>
        <w:t>本项目生宰车间恶臭污染源源强参照哈尔滨云宴农业畜牧科技园区有限责任公司</w:t>
      </w:r>
      <w:r>
        <w:rPr>
          <w:rFonts w:hint="eastAsia"/>
          <w:color w:val="000000" w:themeColor="text1"/>
          <w:sz w:val="24"/>
        </w:rPr>
        <w:t>2024</w:t>
      </w:r>
      <w:r>
        <w:rPr>
          <w:rFonts w:hint="eastAsia"/>
          <w:color w:val="000000" w:themeColor="text1"/>
          <w:sz w:val="24"/>
        </w:rPr>
        <w:t>年执行报告中数据</w:t>
      </w:r>
      <w:r>
        <w:rPr>
          <w:color w:val="000000" w:themeColor="text1"/>
          <w:sz w:val="24"/>
          <w:lang w:val="zh-CN"/>
        </w:rPr>
        <w:t>，该项目</w:t>
      </w:r>
      <w:r>
        <w:rPr>
          <w:rFonts w:hint="eastAsia"/>
          <w:color w:val="000000" w:themeColor="text1"/>
          <w:sz w:val="24"/>
        </w:rPr>
        <w:t>屠宰量为</w:t>
      </w:r>
      <w:r>
        <w:rPr>
          <w:rFonts w:hint="eastAsia"/>
          <w:color w:val="000000" w:themeColor="text1"/>
          <w:sz w:val="24"/>
        </w:rPr>
        <w:t>44</w:t>
      </w:r>
      <w:r>
        <w:rPr>
          <w:rFonts w:hint="eastAsia"/>
          <w:color w:val="000000" w:themeColor="text1"/>
          <w:sz w:val="24"/>
        </w:rPr>
        <w:t>头</w:t>
      </w:r>
      <w:r>
        <w:rPr>
          <w:rFonts w:hint="eastAsia"/>
          <w:color w:val="000000" w:themeColor="text1"/>
          <w:sz w:val="24"/>
        </w:rPr>
        <w:t>/h</w:t>
      </w:r>
      <w:r>
        <w:rPr>
          <w:rFonts w:hint="eastAsia"/>
          <w:color w:val="000000" w:themeColor="text1"/>
          <w:sz w:val="24"/>
        </w:rPr>
        <w:t>，屠宰车间恶臭气体集中收集经活性炭吸附装置处理后由排气筒排放，本项目屠宰能力约为</w:t>
      </w:r>
      <w:r>
        <w:rPr>
          <w:rFonts w:hint="eastAsia"/>
          <w:color w:val="000000" w:themeColor="text1"/>
          <w:sz w:val="24"/>
        </w:rPr>
        <w:t>30</w:t>
      </w:r>
      <w:r>
        <w:rPr>
          <w:rFonts w:hint="eastAsia"/>
          <w:color w:val="000000" w:themeColor="text1"/>
          <w:sz w:val="24"/>
        </w:rPr>
        <w:t>头</w:t>
      </w:r>
      <w:r>
        <w:rPr>
          <w:rFonts w:hint="eastAsia"/>
          <w:color w:val="000000" w:themeColor="text1"/>
          <w:sz w:val="24"/>
        </w:rPr>
        <w:t>/h</w:t>
      </w:r>
      <w:r>
        <w:rPr>
          <w:color w:val="000000" w:themeColor="text1"/>
          <w:sz w:val="24"/>
          <w:lang w:val="zh-CN"/>
        </w:rPr>
        <w:t>，</w:t>
      </w:r>
      <w:r>
        <w:rPr>
          <w:rFonts w:hint="eastAsia"/>
          <w:color w:val="000000" w:themeColor="text1"/>
          <w:sz w:val="24"/>
        </w:rPr>
        <w:t>环保治理措施与类比项目相同，屠宰工艺相同，因此类比具有可行性。类比项目屠宰车间排气筒年均排放污染物速率分别为氨</w:t>
      </w:r>
      <w:r>
        <w:rPr>
          <w:rFonts w:hint="eastAsia"/>
          <w:color w:val="000000" w:themeColor="text1"/>
          <w:sz w:val="24"/>
        </w:rPr>
        <w:t>0.002kg/h</w:t>
      </w:r>
      <w:r>
        <w:rPr>
          <w:rFonts w:hint="eastAsia"/>
          <w:color w:val="000000" w:themeColor="text1"/>
          <w:sz w:val="24"/>
        </w:rPr>
        <w:t>、硫化氢</w:t>
      </w:r>
      <w:r>
        <w:rPr>
          <w:rFonts w:hint="eastAsia"/>
          <w:color w:val="000000" w:themeColor="text1"/>
          <w:sz w:val="24"/>
        </w:rPr>
        <w:t>0.000055kg/h</w:t>
      </w:r>
      <w:r>
        <w:rPr>
          <w:color w:val="000000" w:themeColor="text1"/>
          <w:sz w:val="24"/>
          <w:lang w:val="zh-CN"/>
        </w:rPr>
        <w:t>。</w:t>
      </w:r>
    </w:p>
    <w:p w14:paraId="5B34D9DD" w14:textId="77777777" w:rsidR="00B14D53" w:rsidRDefault="00000000">
      <w:pPr>
        <w:spacing w:line="360" w:lineRule="auto"/>
        <w:ind w:firstLineChars="200" w:firstLine="480"/>
        <w:rPr>
          <w:color w:val="000000" w:themeColor="text1"/>
          <w:sz w:val="24"/>
        </w:rPr>
      </w:pPr>
      <w:r>
        <w:rPr>
          <w:rFonts w:hint="eastAsia"/>
          <w:color w:val="000000" w:themeColor="text1"/>
          <w:sz w:val="24"/>
        </w:rPr>
        <w:t>经类比，本项目屠宰车间有组织排放量为氨</w:t>
      </w:r>
      <w:r>
        <w:rPr>
          <w:rFonts w:hint="eastAsia"/>
          <w:color w:val="000000" w:themeColor="text1"/>
          <w:sz w:val="24"/>
        </w:rPr>
        <w:t>0.001kg/h</w:t>
      </w:r>
      <w:r>
        <w:rPr>
          <w:rFonts w:hint="eastAsia"/>
          <w:color w:val="000000" w:themeColor="text1"/>
          <w:sz w:val="24"/>
        </w:rPr>
        <w:t>、硫化氢</w:t>
      </w:r>
      <w:r>
        <w:rPr>
          <w:rFonts w:hint="eastAsia"/>
          <w:color w:val="000000" w:themeColor="text1"/>
          <w:sz w:val="24"/>
        </w:rPr>
        <w:t>0.00004kg/h</w:t>
      </w:r>
      <w:r>
        <w:rPr>
          <w:color w:val="000000" w:themeColor="text1"/>
          <w:sz w:val="24"/>
          <w:lang w:val="zh-CN"/>
        </w:rPr>
        <w:t>。</w:t>
      </w:r>
      <w:r>
        <w:rPr>
          <w:rFonts w:hint="eastAsia"/>
          <w:color w:val="000000" w:themeColor="text1"/>
          <w:sz w:val="24"/>
        </w:rPr>
        <w:t>本项目集气效率约</w:t>
      </w:r>
      <w:r>
        <w:rPr>
          <w:rFonts w:hint="eastAsia"/>
          <w:color w:val="000000" w:themeColor="text1"/>
          <w:sz w:val="24"/>
        </w:rPr>
        <w:t>80%</w:t>
      </w:r>
      <w:r>
        <w:rPr>
          <w:rFonts w:hint="eastAsia"/>
          <w:color w:val="000000" w:themeColor="text1"/>
          <w:sz w:val="24"/>
        </w:rPr>
        <w:t>，活性炭净化效率为</w:t>
      </w:r>
      <w:r>
        <w:rPr>
          <w:rFonts w:hint="eastAsia"/>
          <w:color w:val="000000" w:themeColor="text1"/>
          <w:sz w:val="24"/>
        </w:rPr>
        <w:t>90%</w:t>
      </w:r>
      <w:r>
        <w:rPr>
          <w:rFonts w:hint="eastAsia"/>
          <w:color w:val="000000" w:themeColor="text1"/>
          <w:sz w:val="24"/>
        </w:rPr>
        <w:t>，设计风量为</w:t>
      </w:r>
      <w:r>
        <w:rPr>
          <w:rFonts w:hint="eastAsia"/>
          <w:color w:val="000000" w:themeColor="text1"/>
          <w:sz w:val="24"/>
        </w:rPr>
        <w:t>2</w:t>
      </w:r>
      <w:r>
        <w:rPr>
          <w:color w:val="000000" w:themeColor="text1"/>
          <w:sz w:val="24"/>
        </w:rPr>
        <w:t>000m</w:t>
      </w:r>
      <w:r>
        <w:rPr>
          <w:color w:val="000000" w:themeColor="text1"/>
          <w:sz w:val="24"/>
          <w:vertAlign w:val="superscript"/>
        </w:rPr>
        <w:t>3</w:t>
      </w:r>
      <w:r>
        <w:rPr>
          <w:color w:val="000000" w:themeColor="text1"/>
          <w:sz w:val="24"/>
        </w:rPr>
        <w:t>/h</w:t>
      </w:r>
      <w:r>
        <w:rPr>
          <w:rFonts w:hint="eastAsia"/>
          <w:color w:val="000000" w:themeColor="text1"/>
          <w:sz w:val="24"/>
        </w:rPr>
        <w:t>。</w:t>
      </w:r>
    </w:p>
    <w:p w14:paraId="1596D6B8" w14:textId="77777777" w:rsidR="00B14D53" w:rsidRDefault="00000000">
      <w:pPr>
        <w:spacing w:line="360" w:lineRule="auto"/>
        <w:ind w:firstLineChars="200" w:firstLine="480"/>
        <w:rPr>
          <w:color w:val="000000" w:themeColor="text1"/>
          <w:sz w:val="24"/>
        </w:rPr>
      </w:pPr>
      <w:r>
        <w:rPr>
          <w:rFonts w:hint="eastAsia"/>
          <w:color w:val="000000" w:themeColor="text1"/>
          <w:sz w:val="24"/>
        </w:rPr>
        <w:t>因此得出，</w:t>
      </w:r>
      <w:r>
        <w:rPr>
          <w:rFonts w:hint="eastAsia"/>
          <w:sz w:val="24"/>
        </w:rPr>
        <w:t>屠宰车间有组织产生量为</w:t>
      </w:r>
      <w:r>
        <w:rPr>
          <w:rFonts w:hint="eastAsia"/>
          <w:sz w:val="24"/>
        </w:rPr>
        <w:t>0.07t/a</w:t>
      </w:r>
      <w:r>
        <w:rPr>
          <w:rFonts w:hint="eastAsia"/>
          <w:sz w:val="24"/>
        </w:rPr>
        <w:t>，</w:t>
      </w:r>
      <w:r>
        <w:rPr>
          <w:rFonts w:hint="eastAsia"/>
          <w:sz w:val="24"/>
        </w:rPr>
        <w:t>0.01kg/h</w:t>
      </w:r>
      <w:r>
        <w:rPr>
          <w:rFonts w:hint="eastAsia"/>
          <w:sz w:val="24"/>
        </w:rPr>
        <w:t>，</w:t>
      </w:r>
      <w:r>
        <w:rPr>
          <w:rFonts w:hint="eastAsia"/>
          <w:sz w:val="24"/>
        </w:rPr>
        <w:t>6.82mg/m</w:t>
      </w:r>
      <w:r>
        <w:rPr>
          <w:rFonts w:hint="eastAsia"/>
          <w:sz w:val="24"/>
          <w:vertAlign w:val="superscript"/>
        </w:rPr>
        <w:t>3</w:t>
      </w:r>
      <w:r>
        <w:rPr>
          <w:rFonts w:hint="eastAsia"/>
          <w:sz w:val="24"/>
        </w:rPr>
        <w:t>；硫化氢有组织产生量为</w:t>
      </w:r>
      <w:r>
        <w:rPr>
          <w:rFonts w:hint="eastAsia"/>
          <w:sz w:val="24"/>
        </w:rPr>
        <w:t>0.002t/a</w:t>
      </w:r>
      <w:r>
        <w:rPr>
          <w:rFonts w:hint="eastAsia"/>
          <w:sz w:val="24"/>
        </w:rPr>
        <w:t>，</w:t>
      </w:r>
      <w:r>
        <w:rPr>
          <w:rFonts w:hint="eastAsia"/>
          <w:sz w:val="24"/>
        </w:rPr>
        <w:t>0.0004kg/h</w:t>
      </w:r>
      <w:r>
        <w:rPr>
          <w:rFonts w:hint="eastAsia"/>
          <w:sz w:val="24"/>
        </w:rPr>
        <w:t>，</w:t>
      </w:r>
      <w:r>
        <w:rPr>
          <w:rFonts w:hint="eastAsia"/>
          <w:sz w:val="24"/>
        </w:rPr>
        <w:t>0.19mg/m</w:t>
      </w:r>
      <w:r>
        <w:rPr>
          <w:rFonts w:hint="eastAsia"/>
          <w:sz w:val="24"/>
          <w:vertAlign w:val="superscript"/>
        </w:rPr>
        <w:t>3</w:t>
      </w:r>
      <w:r>
        <w:rPr>
          <w:rFonts w:hint="eastAsia"/>
          <w:sz w:val="24"/>
        </w:rPr>
        <w:t>；氨有组织排放量为</w:t>
      </w:r>
      <w:r>
        <w:rPr>
          <w:rFonts w:hint="eastAsia"/>
          <w:sz w:val="24"/>
        </w:rPr>
        <w:t>0.007t/a</w:t>
      </w:r>
      <w:r>
        <w:rPr>
          <w:rFonts w:hint="eastAsia"/>
          <w:sz w:val="24"/>
        </w:rPr>
        <w:t>，</w:t>
      </w:r>
      <w:r>
        <w:rPr>
          <w:rFonts w:hint="eastAsia"/>
          <w:sz w:val="24"/>
        </w:rPr>
        <w:t>0.001kg/h</w:t>
      </w:r>
      <w:r>
        <w:rPr>
          <w:rFonts w:hint="eastAsia"/>
          <w:sz w:val="24"/>
        </w:rPr>
        <w:t>，</w:t>
      </w:r>
      <w:r>
        <w:rPr>
          <w:rFonts w:hint="eastAsia"/>
          <w:sz w:val="24"/>
        </w:rPr>
        <w:t>0.68mg/m</w:t>
      </w:r>
      <w:r>
        <w:rPr>
          <w:rFonts w:hint="eastAsia"/>
          <w:sz w:val="24"/>
          <w:vertAlign w:val="superscript"/>
        </w:rPr>
        <w:t>3</w:t>
      </w:r>
      <w:r>
        <w:rPr>
          <w:rFonts w:hint="eastAsia"/>
          <w:sz w:val="24"/>
        </w:rPr>
        <w:t>；硫化氢有组织排放量为</w:t>
      </w:r>
      <w:r>
        <w:rPr>
          <w:rFonts w:hint="eastAsia"/>
          <w:sz w:val="24"/>
        </w:rPr>
        <w:t>0.0002t/a</w:t>
      </w:r>
      <w:r>
        <w:rPr>
          <w:rFonts w:hint="eastAsia"/>
          <w:sz w:val="24"/>
        </w:rPr>
        <w:t>，</w:t>
      </w:r>
      <w:r>
        <w:rPr>
          <w:rFonts w:hint="eastAsia"/>
          <w:sz w:val="24"/>
        </w:rPr>
        <w:t>0.00004kg/h</w:t>
      </w:r>
      <w:r>
        <w:rPr>
          <w:rFonts w:hint="eastAsia"/>
          <w:sz w:val="24"/>
        </w:rPr>
        <w:t>，</w:t>
      </w:r>
      <w:r>
        <w:rPr>
          <w:rFonts w:hint="eastAsia"/>
          <w:sz w:val="24"/>
        </w:rPr>
        <w:t>0.02mg/m</w:t>
      </w:r>
      <w:r>
        <w:rPr>
          <w:rFonts w:hint="eastAsia"/>
          <w:sz w:val="24"/>
          <w:vertAlign w:val="superscript"/>
        </w:rPr>
        <w:t>3</w:t>
      </w:r>
      <w:r>
        <w:rPr>
          <w:rFonts w:hint="eastAsia"/>
          <w:sz w:val="24"/>
        </w:rPr>
        <w:t>；氨无组织排放量为</w:t>
      </w:r>
      <w:r>
        <w:rPr>
          <w:rFonts w:hint="eastAsia"/>
          <w:sz w:val="24"/>
        </w:rPr>
        <w:t>0.02t/a</w:t>
      </w:r>
      <w:r>
        <w:rPr>
          <w:rFonts w:hint="eastAsia"/>
          <w:sz w:val="24"/>
        </w:rPr>
        <w:t>，</w:t>
      </w:r>
      <w:r>
        <w:rPr>
          <w:rFonts w:hint="eastAsia"/>
          <w:sz w:val="24"/>
        </w:rPr>
        <w:t>0.003kg/h</w:t>
      </w:r>
      <w:r>
        <w:rPr>
          <w:rFonts w:hint="eastAsia"/>
          <w:sz w:val="24"/>
        </w:rPr>
        <w:t>；硫化氢无组织排放量为</w:t>
      </w:r>
      <w:r>
        <w:rPr>
          <w:rFonts w:hint="eastAsia"/>
          <w:sz w:val="24"/>
        </w:rPr>
        <w:t>0.0005t/a</w:t>
      </w:r>
      <w:r>
        <w:rPr>
          <w:rFonts w:hint="eastAsia"/>
          <w:sz w:val="24"/>
        </w:rPr>
        <w:t>，</w:t>
      </w:r>
      <w:r>
        <w:rPr>
          <w:rFonts w:hint="eastAsia"/>
          <w:sz w:val="24"/>
        </w:rPr>
        <w:t>0.0001kg/h</w:t>
      </w:r>
      <w:r>
        <w:rPr>
          <w:rFonts w:hint="eastAsia"/>
          <w:sz w:val="24"/>
        </w:rPr>
        <w:t>。</w:t>
      </w:r>
    </w:p>
    <w:p w14:paraId="56B805BE" w14:textId="77777777" w:rsidR="00B14D53" w:rsidRDefault="00000000">
      <w:pPr>
        <w:spacing w:line="360" w:lineRule="auto"/>
        <w:ind w:firstLineChars="200" w:firstLine="480"/>
        <w:rPr>
          <w:color w:val="000000" w:themeColor="text1"/>
          <w:sz w:val="24"/>
        </w:rPr>
      </w:pPr>
      <w:r>
        <w:rPr>
          <w:color w:val="000000" w:themeColor="text1"/>
          <w:sz w:val="24"/>
        </w:rPr>
        <w:fldChar w:fldCharType="begin"/>
      </w:r>
      <w:r>
        <w:rPr>
          <w:color w:val="000000" w:themeColor="text1"/>
          <w:sz w:val="24"/>
        </w:rPr>
        <w:instrText xml:space="preserve"> = 3 \* GB3 \* MERGEFORMAT </w:instrText>
      </w:r>
      <w:r>
        <w:rPr>
          <w:color w:val="000000" w:themeColor="text1"/>
          <w:sz w:val="24"/>
        </w:rPr>
        <w:fldChar w:fldCharType="separate"/>
      </w:r>
      <w:r>
        <w:rPr>
          <w:color w:val="000000" w:themeColor="text1"/>
          <w:sz w:val="24"/>
        </w:rPr>
        <w:t>③</w:t>
      </w:r>
      <w:r>
        <w:rPr>
          <w:color w:val="000000" w:themeColor="text1"/>
          <w:sz w:val="24"/>
        </w:rPr>
        <w:fldChar w:fldCharType="end"/>
      </w:r>
      <w:r>
        <w:rPr>
          <w:color w:val="000000" w:themeColor="text1"/>
          <w:sz w:val="24"/>
        </w:rPr>
        <w:t>污水处理站恶臭</w:t>
      </w:r>
    </w:p>
    <w:p w14:paraId="6CC12D00" w14:textId="77777777" w:rsidR="00B14D53" w:rsidRDefault="00000000">
      <w:pPr>
        <w:spacing w:line="360" w:lineRule="auto"/>
        <w:ind w:firstLineChars="200" w:firstLine="480"/>
        <w:rPr>
          <w:color w:val="000000" w:themeColor="text1"/>
          <w:kern w:val="0"/>
          <w:sz w:val="24"/>
        </w:rPr>
      </w:pPr>
      <w:r>
        <w:rPr>
          <w:color w:val="000000" w:themeColor="text1"/>
          <w:sz w:val="24"/>
        </w:rPr>
        <w:t>本项目污水处理站恶臭污染物源强</w:t>
      </w:r>
      <w:r>
        <w:rPr>
          <w:color w:val="000000" w:themeColor="text1"/>
          <w:kern w:val="0"/>
          <w:sz w:val="24"/>
        </w:rPr>
        <w:t>根据美国</w:t>
      </w:r>
      <w:r>
        <w:rPr>
          <w:color w:val="000000" w:themeColor="text1"/>
          <w:kern w:val="0"/>
          <w:sz w:val="24"/>
        </w:rPr>
        <w:t>EPA</w:t>
      </w:r>
      <w:r>
        <w:rPr>
          <w:color w:val="000000" w:themeColor="text1"/>
          <w:kern w:val="0"/>
          <w:sz w:val="24"/>
        </w:rPr>
        <w:t>对城市污水处理厂恶臭污染物产生情况的研究，每去除</w:t>
      </w:r>
      <w:r>
        <w:rPr>
          <w:color w:val="000000" w:themeColor="text1"/>
          <w:kern w:val="0"/>
          <w:sz w:val="24"/>
        </w:rPr>
        <w:t>1g</w:t>
      </w:r>
      <w:r>
        <w:rPr>
          <w:color w:val="000000" w:themeColor="text1"/>
          <w:kern w:val="0"/>
          <w:sz w:val="24"/>
        </w:rPr>
        <w:t>的</w:t>
      </w:r>
      <w:r>
        <w:rPr>
          <w:color w:val="000000" w:themeColor="text1"/>
          <w:kern w:val="0"/>
          <w:sz w:val="24"/>
        </w:rPr>
        <w:t>BOD</w:t>
      </w:r>
      <w:r>
        <w:rPr>
          <w:color w:val="000000" w:themeColor="text1"/>
          <w:kern w:val="0"/>
          <w:sz w:val="24"/>
          <w:vertAlign w:val="subscript"/>
        </w:rPr>
        <w:t>5</w:t>
      </w:r>
      <w:r>
        <w:rPr>
          <w:color w:val="000000" w:themeColor="text1"/>
          <w:kern w:val="0"/>
          <w:sz w:val="24"/>
        </w:rPr>
        <w:t>，可产生</w:t>
      </w:r>
      <w:r>
        <w:rPr>
          <w:color w:val="000000" w:themeColor="text1"/>
          <w:kern w:val="0"/>
          <w:sz w:val="24"/>
        </w:rPr>
        <w:t>0.0031g</w:t>
      </w:r>
      <w:r>
        <w:rPr>
          <w:color w:val="000000" w:themeColor="text1"/>
          <w:kern w:val="0"/>
          <w:sz w:val="24"/>
        </w:rPr>
        <w:t>的</w:t>
      </w:r>
      <w:r>
        <w:rPr>
          <w:color w:val="000000" w:themeColor="text1"/>
          <w:kern w:val="0"/>
          <w:sz w:val="24"/>
        </w:rPr>
        <w:t>NH</w:t>
      </w:r>
      <w:r>
        <w:rPr>
          <w:color w:val="000000" w:themeColor="text1"/>
          <w:kern w:val="0"/>
          <w:sz w:val="24"/>
          <w:vertAlign w:val="subscript"/>
        </w:rPr>
        <w:t>3</w:t>
      </w:r>
      <w:r>
        <w:rPr>
          <w:color w:val="000000" w:themeColor="text1"/>
          <w:kern w:val="0"/>
          <w:sz w:val="24"/>
        </w:rPr>
        <w:t>、</w:t>
      </w:r>
      <w:r>
        <w:rPr>
          <w:color w:val="000000" w:themeColor="text1"/>
          <w:kern w:val="0"/>
          <w:sz w:val="24"/>
        </w:rPr>
        <w:t>0.00012g</w:t>
      </w:r>
      <w:r>
        <w:rPr>
          <w:color w:val="000000" w:themeColor="text1"/>
          <w:kern w:val="0"/>
          <w:sz w:val="24"/>
        </w:rPr>
        <w:t>的</w:t>
      </w:r>
      <w:r>
        <w:rPr>
          <w:color w:val="000000" w:themeColor="text1"/>
          <w:kern w:val="0"/>
          <w:sz w:val="24"/>
        </w:rPr>
        <w:t>H</w:t>
      </w:r>
      <w:r>
        <w:rPr>
          <w:color w:val="000000" w:themeColor="text1"/>
          <w:kern w:val="0"/>
          <w:sz w:val="24"/>
          <w:vertAlign w:val="subscript"/>
        </w:rPr>
        <w:t>2</w:t>
      </w:r>
      <w:r>
        <w:rPr>
          <w:color w:val="000000" w:themeColor="text1"/>
          <w:kern w:val="0"/>
          <w:sz w:val="24"/>
        </w:rPr>
        <w:t>S</w:t>
      </w:r>
      <w:r>
        <w:rPr>
          <w:color w:val="000000" w:themeColor="text1"/>
          <w:kern w:val="0"/>
          <w:sz w:val="24"/>
        </w:rPr>
        <w:t>，根据进出水浓度、设计规模可计算出</w:t>
      </w:r>
      <w:r>
        <w:rPr>
          <w:color w:val="000000" w:themeColor="text1"/>
          <w:kern w:val="0"/>
          <w:sz w:val="24"/>
        </w:rPr>
        <w:t>NH</w:t>
      </w:r>
      <w:r>
        <w:rPr>
          <w:color w:val="000000" w:themeColor="text1"/>
          <w:kern w:val="0"/>
          <w:sz w:val="24"/>
          <w:vertAlign w:val="subscript"/>
        </w:rPr>
        <w:t>3</w:t>
      </w:r>
      <w:r>
        <w:rPr>
          <w:color w:val="000000" w:themeColor="text1"/>
          <w:kern w:val="0"/>
          <w:sz w:val="24"/>
        </w:rPr>
        <w:t>和</w:t>
      </w:r>
      <w:r>
        <w:rPr>
          <w:color w:val="000000" w:themeColor="text1"/>
          <w:kern w:val="0"/>
          <w:sz w:val="24"/>
        </w:rPr>
        <w:t>H</w:t>
      </w:r>
      <w:r>
        <w:rPr>
          <w:color w:val="000000" w:themeColor="text1"/>
          <w:kern w:val="0"/>
          <w:sz w:val="24"/>
          <w:vertAlign w:val="subscript"/>
        </w:rPr>
        <w:t>2</w:t>
      </w:r>
      <w:r>
        <w:rPr>
          <w:color w:val="000000" w:themeColor="text1"/>
          <w:kern w:val="0"/>
          <w:sz w:val="24"/>
        </w:rPr>
        <w:t>S</w:t>
      </w:r>
      <w:r>
        <w:rPr>
          <w:color w:val="000000" w:themeColor="text1"/>
          <w:kern w:val="0"/>
          <w:sz w:val="24"/>
        </w:rPr>
        <w:t>的量。</w:t>
      </w:r>
    </w:p>
    <w:p w14:paraId="49E8572E" w14:textId="77777777" w:rsidR="00B14D53" w:rsidRDefault="00000000">
      <w:pPr>
        <w:spacing w:line="360" w:lineRule="auto"/>
        <w:ind w:firstLineChars="200" w:firstLine="480"/>
        <w:rPr>
          <w:color w:val="000000" w:themeColor="text1"/>
          <w:sz w:val="24"/>
        </w:rPr>
      </w:pPr>
      <w:r>
        <w:rPr>
          <w:color w:val="000000" w:themeColor="text1"/>
          <w:kern w:val="0"/>
          <w:sz w:val="24"/>
        </w:rPr>
        <w:t>本项目污水处理站</w:t>
      </w:r>
      <w:r>
        <w:rPr>
          <w:color w:val="000000" w:themeColor="text1"/>
          <w:kern w:val="0"/>
          <w:sz w:val="24"/>
        </w:rPr>
        <w:t>BOD</w:t>
      </w:r>
      <w:r>
        <w:rPr>
          <w:color w:val="000000" w:themeColor="text1"/>
          <w:kern w:val="0"/>
          <w:sz w:val="24"/>
          <w:vertAlign w:val="subscript"/>
        </w:rPr>
        <w:t>5</w:t>
      </w:r>
      <w:r>
        <w:rPr>
          <w:color w:val="000000" w:themeColor="text1"/>
          <w:kern w:val="0"/>
          <w:sz w:val="24"/>
        </w:rPr>
        <w:t>处理量为</w:t>
      </w:r>
      <w:r>
        <w:rPr>
          <w:rFonts w:hint="eastAsia"/>
          <w:color w:val="000000" w:themeColor="text1"/>
          <w:kern w:val="0"/>
          <w:sz w:val="24"/>
        </w:rPr>
        <w:t>62.99</w:t>
      </w:r>
      <w:r>
        <w:rPr>
          <w:color w:val="000000" w:themeColor="text1"/>
          <w:kern w:val="0"/>
          <w:sz w:val="24"/>
        </w:rPr>
        <w:t>t/a</w:t>
      </w:r>
      <w:r>
        <w:rPr>
          <w:color w:val="000000" w:themeColor="text1"/>
          <w:kern w:val="0"/>
          <w:sz w:val="24"/>
        </w:rPr>
        <w:t>，则</w:t>
      </w:r>
      <w:r>
        <w:rPr>
          <w:color w:val="000000" w:themeColor="text1"/>
          <w:kern w:val="0"/>
          <w:sz w:val="24"/>
        </w:rPr>
        <w:t>NH</w:t>
      </w:r>
      <w:r>
        <w:rPr>
          <w:color w:val="000000" w:themeColor="text1"/>
          <w:kern w:val="0"/>
          <w:sz w:val="24"/>
          <w:vertAlign w:val="subscript"/>
        </w:rPr>
        <w:t>3</w:t>
      </w:r>
      <w:r>
        <w:rPr>
          <w:color w:val="000000" w:themeColor="text1"/>
          <w:kern w:val="0"/>
          <w:sz w:val="24"/>
        </w:rPr>
        <w:t>产生量为</w:t>
      </w:r>
      <w:r>
        <w:rPr>
          <w:rFonts w:hint="eastAsia"/>
          <w:color w:val="000000" w:themeColor="text1"/>
          <w:kern w:val="0"/>
          <w:sz w:val="24"/>
        </w:rPr>
        <w:t>0.2</w:t>
      </w:r>
      <w:r>
        <w:rPr>
          <w:color w:val="000000" w:themeColor="text1"/>
          <w:kern w:val="0"/>
          <w:sz w:val="24"/>
        </w:rPr>
        <w:t>t/a</w:t>
      </w:r>
      <w:r>
        <w:rPr>
          <w:color w:val="000000" w:themeColor="text1"/>
          <w:kern w:val="0"/>
          <w:sz w:val="24"/>
        </w:rPr>
        <w:t>，</w:t>
      </w:r>
      <w:r>
        <w:rPr>
          <w:color w:val="000000" w:themeColor="text1"/>
          <w:kern w:val="0"/>
          <w:sz w:val="24"/>
        </w:rPr>
        <w:t>H</w:t>
      </w:r>
      <w:r>
        <w:rPr>
          <w:color w:val="000000" w:themeColor="text1"/>
          <w:kern w:val="0"/>
          <w:sz w:val="24"/>
          <w:vertAlign w:val="subscript"/>
        </w:rPr>
        <w:t>2</w:t>
      </w:r>
      <w:r>
        <w:rPr>
          <w:color w:val="000000" w:themeColor="text1"/>
          <w:kern w:val="0"/>
          <w:sz w:val="24"/>
        </w:rPr>
        <w:t>S</w:t>
      </w:r>
      <w:r>
        <w:rPr>
          <w:color w:val="000000" w:themeColor="text1"/>
          <w:kern w:val="0"/>
          <w:sz w:val="24"/>
        </w:rPr>
        <w:t>产生量为</w:t>
      </w:r>
      <w:r>
        <w:rPr>
          <w:rFonts w:hint="eastAsia"/>
          <w:color w:val="000000" w:themeColor="text1"/>
          <w:kern w:val="0"/>
          <w:sz w:val="24"/>
        </w:rPr>
        <w:t>0.008</w:t>
      </w:r>
      <w:r>
        <w:rPr>
          <w:color w:val="000000" w:themeColor="text1"/>
          <w:kern w:val="0"/>
          <w:sz w:val="24"/>
        </w:rPr>
        <w:t>t/a</w:t>
      </w:r>
      <w:r>
        <w:rPr>
          <w:color w:val="000000" w:themeColor="text1"/>
          <w:kern w:val="0"/>
          <w:sz w:val="24"/>
        </w:rPr>
        <w:t>。本项目污水处理站封闭，采用</w:t>
      </w:r>
      <w:r>
        <w:rPr>
          <w:rFonts w:hint="eastAsia"/>
          <w:color w:val="000000" w:themeColor="text1"/>
          <w:kern w:val="0"/>
          <w:sz w:val="24"/>
        </w:rPr>
        <w:t>引风机</w:t>
      </w:r>
      <w:r>
        <w:rPr>
          <w:color w:val="000000" w:themeColor="text1"/>
          <w:kern w:val="0"/>
          <w:sz w:val="24"/>
        </w:rPr>
        <w:t>集中收集废气（收集效率约为</w:t>
      </w:r>
      <w:r>
        <w:rPr>
          <w:color w:val="000000" w:themeColor="text1"/>
          <w:kern w:val="0"/>
          <w:sz w:val="24"/>
        </w:rPr>
        <w:t>80%</w:t>
      </w:r>
      <w:r>
        <w:rPr>
          <w:color w:val="000000" w:themeColor="text1"/>
          <w:kern w:val="0"/>
          <w:sz w:val="24"/>
        </w:rPr>
        <w:t>，风机设计风量</w:t>
      </w:r>
      <w:r>
        <w:rPr>
          <w:rFonts w:hint="eastAsia"/>
          <w:color w:val="000000" w:themeColor="text1"/>
          <w:kern w:val="0"/>
          <w:sz w:val="24"/>
        </w:rPr>
        <w:t>2</w:t>
      </w:r>
      <w:r>
        <w:rPr>
          <w:color w:val="000000" w:themeColor="text1"/>
          <w:kern w:val="0"/>
          <w:sz w:val="24"/>
        </w:rPr>
        <w:t>000m</w:t>
      </w:r>
      <w:r>
        <w:rPr>
          <w:color w:val="000000" w:themeColor="text1"/>
          <w:kern w:val="0"/>
          <w:sz w:val="24"/>
          <w:vertAlign w:val="superscript"/>
        </w:rPr>
        <w:t>3</w:t>
      </w:r>
      <w:r>
        <w:rPr>
          <w:color w:val="000000" w:themeColor="text1"/>
          <w:kern w:val="0"/>
          <w:sz w:val="24"/>
        </w:rPr>
        <w:t>/h</w:t>
      </w:r>
      <w:r>
        <w:rPr>
          <w:color w:val="000000" w:themeColor="text1"/>
          <w:kern w:val="0"/>
          <w:sz w:val="24"/>
        </w:rPr>
        <w:t>），</w:t>
      </w:r>
      <w:r>
        <w:rPr>
          <w:rFonts w:hint="eastAsia"/>
          <w:color w:val="000000" w:themeColor="text1"/>
          <w:kern w:val="0"/>
          <w:sz w:val="24"/>
        </w:rPr>
        <w:t>引风机</w:t>
      </w:r>
      <w:r>
        <w:rPr>
          <w:color w:val="000000" w:themeColor="text1"/>
          <w:kern w:val="0"/>
          <w:sz w:val="24"/>
        </w:rPr>
        <w:t>收集的废气通过活性炭吸附净化（净化效率</w:t>
      </w:r>
      <w:r>
        <w:rPr>
          <w:rFonts w:hint="eastAsia"/>
          <w:color w:val="000000" w:themeColor="text1"/>
          <w:kern w:val="0"/>
          <w:sz w:val="24"/>
        </w:rPr>
        <w:t>9</w:t>
      </w:r>
      <w:r>
        <w:rPr>
          <w:color w:val="000000" w:themeColor="text1"/>
          <w:kern w:val="0"/>
          <w:sz w:val="24"/>
        </w:rPr>
        <w:t>0%</w:t>
      </w:r>
      <w:r>
        <w:rPr>
          <w:color w:val="000000" w:themeColor="text1"/>
          <w:kern w:val="0"/>
          <w:sz w:val="24"/>
        </w:rPr>
        <w:t>）后由</w:t>
      </w:r>
      <w:r>
        <w:rPr>
          <w:color w:val="000000" w:themeColor="text1"/>
          <w:kern w:val="0"/>
          <w:sz w:val="24"/>
        </w:rPr>
        <w:t>1</w:t>
      </w:r>
      <w:r>
        <w:rPr>
          <w:color w:val="000000" w:themeColor="text1"/>
          <w:kern w:val="0"/>
          <w:sz w:val="24"/>
        </w:rPr>
        <w:t>根</w:t>
      </w:r>
      <w:r>
        <w:rPr>
          <w:color w:val="000000" w:themeColor="text1"/>
          <w:kern w:val="0"/>
          <w:sz w:val="24"/>
        </w:rPr>
        <w:t>15m</w:t>
      </w:r>
      <w:r>
        <w:rPr>
          <w:color w:val="000000" w:themeColor="text1"/>
          <w:kern w:val="0"/>
          <w:sz w:val="24"/>
        </w:rPr>
        <w:t>高排气筒（</w:t>
      </w:r>
      <w:r>
        <w:rPr>
          <w:color w:val="000000" w:themeColor="text1"/>
          <w:kern w:val="0"/>
          <w:sz w:val="24"/>
        </w:rPr>
        <w:t>DA00</w:t>
      </w:r>
      <w:r>
        <w:rPr>
          <w:rFonts w:hint="eastAsia"/>
          <w:color w:val="000000" w:themeColor="text1"/>
          <w:kern w:val="0"/>
          <w:sz w:val="24"/>
        </w:rPr>
        <w:t>4</w:t>
      </w:r>
      <w:r>
        <w:rPr>
          <w:color w:val="000000" w:themeColor="text1"/>
          <w:kern w:val="0"/>
          <w:sz w:val="24"/>
        </w:rPr>
        <w:t>）排放。</w:t>
      </w:r>
      <w:r>
        <w:rPr>
          <w:bCs/>
          <w:color w:val="000000" w:themeColor="text1"/>
          <w:kern w:val="0"/>
          <w:sz w:val="24"/>
        </w:rPr>
        <w:t>经计算，有组织</w:t>
      </w:r>
      <w:r>
        <w:rPr>
          <w:bCs/>
          <w:color w:val="000000" w:themeColor="text1"/>
          <w:kern w:val="0"/>
          <w:sz w:val="24"/>
        </w:rPr>
        <w:t>NH</w:t>
      </w:r>
      <w:r>
        <w:rPr>
          <w:bCs/>
          <w:color w:val="000000" w:themeColor="text1"/>
          <w:kern w:val="0"/>
          <w:sz w:val="24"/>
          <w:vertAlign w:val="subscript"/>
        </w:rPr>
        <w:t>3</w:t>
      </w:r>
      <w:r>
        <w:rPr>
          <w:bCs/>
          <w:color w:val="000000" w:themeColor="text1"/>
          <w:kern w:val="0"/>
          <w:sz w:val="24"/>
        </w:rPr>
        <w:t>产生量为</w:t>
      </w:r>
      <w:r>
        <w:rPr>
          <w:rFonts w:hint="eastAsia"/>
          <w:bCs/>
          <w:color w:val="000000" w:themeColor="text1"/>
          <w:kern w:val="0"/>
          <w:sz w:val="24"/>
        </w:rPr>
        <w:t>0.16</w:t>
      </w:r>
      <w:r>
        <w:rPr>
          <w:bCs/>
          <w:color w:val="000000" w:themeColor="text1"/>
          <w:kern w:val="0"/>
          <w:sz w:val="24"/>
        </w:rPr>
        <w:t>t/a</w:t>
      </w:r>
      <w:r>
        <w:rPr>
          <w:bCs/>
          <w:color w:val="000000" w:themeColor="text1"/>
          <w:kern w:val="0"/>
          <w:sz w:val="24"/>
        </w:rPr>
        <w:t>，产生速率为</w:t>
      </w:r>
      <w:r>
        <w:rPr>
          <w:rFonts w:hint="eastAsia"/>
          <w:bCs/>
          <w:color w:val="000000" w:themeColor="text1"/>
          <w:kern w:val="0"/>
          <w:sz w:val="24"/>
        </w:rPr>
        <w:t>0.02</w:t>
      </w:r>
      <w:r>
        <w:rPr>
          <w:bCs/>
          <w:color w:val="000000" w:themeColor="text1"/>
          <w:kern w:val="0"/>
          <w:sz w:val="24"/>
        </w:rPr>
        <w:t>kg/h</w:t>
      </w:r>
      <w:r>
        <w:rPr>
          <w:bCs/>
          <w:color w:val="000000" w:themeColor="text1"/>
          <w:kern w:val="0"/>
          <w:sz w:val="24"/>
        </w:rPr>
        <w:t>，</w:t>
      </w:r>
      <w:r>
        <w:rPr>
          <w:bCs/>
          <w:kern w:val="0"/>
          <w:sz w:val="24"/>
        </w:rPr>
        <w:t>产生浓度为</w:t>
      </w:r>
      <w:r>
        <w:rPr>
          <w:rFonts w:hint="eastAsia"/>
          <w:bCs/>
          <w:kern w:val="0"/>
          <w:sz w:val="24"/>
        </w:rPr>
        <w:t>9.57</w:t>
      </w:r>
      <w:r>
        <w:rPr>
          <w:bCs/>
          <w:kern w:val="0"/>
          <w:sz w:val="24"/>
        </w:rPr>
        <w:t>mg/m</w:t>
      </w:r>
      <w:r>
        <w:rPr>
          <w:bCs/>
          <w:kern w:val="0"/>
          <w:sz w:val="24"/>
          <w:vertAlign w:val="superscript"/>
        </w:rPr>
        <w:t>3</w:t>
      </w:r>
      <w:r>
        <w:rPr>
          <w:bCs/>
          <w:kern w:val="0"/>
          <w:sz w:val="24"/>
        </w:rPr>
        <w:t>，</w:t>
      </w:r>
      <w:r>
        <w:rPr>
          <w:bCs/>
          <w:color w:val="000000" w:themeColor="text1"/>
          <w:kern w:val="0"/>
          <w:sz w:val="24"/>
        </w:rPr>
        <w:t>有组织</w:t>
      </w:r>
      <w:r>
        <w:rPr>
          <w:bCs/>
          <w:color w:val="000000" w:themeColor="text1"/>
          <w:kern w:val="0"/>
          <w:sz w:val="24"/>
        </w:rPr>
        <w:t>H</w:t>
      </w:r>
      <w:r>
        <w:rPr>
          <w:bCs/>
          <w:color w:val="000000" w:themeColor="text1"/>
          <w:kern w:val="0"/>
          <w:sz w:val="24"/>
          <w:vertAlign w:val="subscript"/>
        </w:rPr>
        <w:t>2</w:t>
      </w:r>
      <w:r>
        <w:rPr>
          <w:bCs/>
          <w:color w:val="000000" w:themeColor="text1"/>
          <w:kern w:val="0"/>
          <w:sz w:val="24"/>
        </w:rPr>
        <w:t>S</w:t>
      </w:r>
      <w:r>
        <w:rPr>
          <w:bCs/>
          <w:color w:val="000000" w:themeColor="text1"/>
          <w:kern w:val="0"/>
          <w:sz w:val="24"/>
        </w:rPr>
        <w:t>产生量为</w:t>
      </w:r>
      <w:r>
        <w:rPr>
          <w:rFonts w:hint="eastAsia"/>
          <w:bCs/>
          <w:color w:val="000000" w:themeColor="text1"/>
          <w:kern w:val="0"/>
          <w:sz w:val="24"/>
        </w:rPr>
        <w:t>0.006</w:t>
      </w:r>
      <w:r>
        <w:rPr>
          <w:bCs/>
          <w:color w:val="000000" w:themeColor="text1"/>
          <w:kern w:val="0"/>
          <w:sz w:val="24"/>
        </w:rPr>
        <w:t>t/a</w:t>
      </w:r>
      <w:r>
        <w:rPr>
          <w:bCs/>
          <w:color w:val="000000" w:themeColor="text1"/>
          <w:kern w:val="0"/>
          <w:sz w:val="24"/>
        </w:rPr>
        <w:t>，产生速率为</w:t>
      </w:r>
      <w:r>
        <w:rPr>
          <w:rFonts w:hint="eastAsia"/>
          <w:bCs/>
          <w:color w:val="000000" w:themeColor="text1"/>
          <w:kern w:val="0"/>
          <w:sz w:val="24"/>
        </w:rPr>
        <w:t>0.001</w:t>
      </w:r>
      <w:r>
        <w:rPr>
          <w:bCs/>
          <w:color w:val="000000" w:themeColor="text1"/>
          <w:kern w:val="0"/>
          <w:sz w:val="24"/>
        </w:rPr>
        <w:t>kg/h</w:t>
      </w:r>
      <w:r>
        <w:rPr>
          <w:rFonts w:hint="eastAsia"/>
          <w:bCs/>
          <w:color w:val="000000" w:themeColor="text1"/>
          <w:kern w:val="0"/>
          <w:sz w:val="24"/>
        </w:rPr>
        <w:t>，</w:t>
      </w:r>
      <w:r>
        <w:rPr>
          <w:bCs/>
          <w:kern w:val="0"/>
          <w:sz w:val="24"/>
        </w:rPr>
        <w:t>产生浓度为</w:t>
      </w:r>
      <w:r>
        <w:rPr>
          <w:rFonts w:hint="eastAsia"/>
          <w:bCs/>
          <w:kern w:val="0"/>
          <w:sz w:val="24"/>
        </w:rPr>
        <w:t>0.37</w:t>
      </w:r>
      <w:r>
        <w:rPr>
          <w:bCs/>
          <w:kern w:val="0"/>
          <w:sz w:val="24"/>
        </w:rPr>
        <w:t>mg/m</w:t>
      </w:r>
      <w:r>
        <w:rPr>
          <w:bCs/>
          <w:kern w:val="0"/>
          <w:sz w:val="24"/>
          <w:vertAlign w:val="superscript"/>
        </w:rPr>
        <w:t>3</w:t>
      </w:r>
      <w:r>
        <w:rPr>
          <w:bCs/>
          <w:color w:val="000000" w:themeColor="text1"/>
          <w:kern w:val="0"/>
          <w:sz w:val="24"/>
        </w:rPr>
        <w:t>。经活性炭吸附净化后</w:t>
      </w:r>
      <w:r>
        <w:rPr>
          <w:bCs/>
          <w:color w:val="000000" w:themeColor="text1"/>
          <w:kern w:val="0"/>
          <w:sz w:val="24"/>
        </w:rPr>
        <w:t>NH</w:t>
      </w:r>
      <w:r>
        <w:rPr>
          <w:bCs/>
          <w:color w:val="000000" w:themeColor="text1"/>
          <w:kern w:val="0"/>
          <w:sz w:val="24"/>
          <w:vertAlign w:val="subscript"/>
        </w:rPr>
        <w:t>3</w:t>
      </w:r>
      <w:r>
        <w:rPr>
          <w:bCs/>
          <w:color w:val="000000" w:themeColor="text1"/>
          <w:kern w:val="0"/>
          <w:sz w:val="24"/>
        </w:rPr>
        <w:t>排放量为</w:t>
      </w:r>
      <w:r>
        <w:rPr>
          <w:rFonts w:hint="eastAsia"/>
          <w:bCs/>
          <w:color w:val="000000" w:themeColor="text1"/>
          <w:kern w:val="0"/>
          <w:sz w:val="24"/>
        </w:rPr>
        <w:t>0.02</w:t>
      </w:r>
      <w:r>
        <w:rPr>
          <w:bCs/>
          <w:color w:val="000000" w:themeColor="text1"/>
          <w:kern w:val="0"/>
          <w:sz w:val="24"/>
        </w:rPr>
        <w:t>t/a</w:t>
      </w:r>
      <w:r>
        <w:rPr>
          <w:bCs/>
          <w:color w:val="000000" w:themeColor="text1"/>
          <w:kern w:val="0"/>
          <w:sz w:val="24"/>
        </w:rPr>
        <w:t>，排放速率为</w:t>
      </w:r>
      <w:r>
        <w:rPr>
          <w:rFonts w:hint="eastAsia"/>
          <w:bCs/>
          <w:color w:val="000000" w:themeColor="text1"/>
          <w:kern w:val="0"/>
          <w:sz w:val="24"/>
        </w:rPr>
        <w:t>0.002</w:t>
      </w:r>
      <w:r>
        <w:rPr>
          <w:bCs/>
          <w:color w:val="000000" w:themeColor="text1"/>
          <w:kern w:val="0"/>
          <w:sz w:val="24"/>
        </w:rPr>
        <w:t>kg/h</w:t>
      </w:r>
      <w:r>
        <w:rPr>
          <w:bCs/>
          <w:color w:val="000000" w:themeColor="text1"/>
          <w:kern w:val="0"/>
          <w:sz w:val="24"/>
        </w:rPr>
        <w:t>，</w:t>
      </w:r>
      <w:r>
        <w:rPr>
          <w:rFonts w:hint="eastAsia"/>
          <w:bCs/>
          <w:kern w:val="0"/>
          <w:sz w:val="24"/>
        </w:rPr>
        <w:t>排放</w:t>
      </w:r>
      <w:r>
        <w:rPr>
          <w:bCs/>
          <w:kern w:val="0"/>
          <w:sz w:val="24"/>
        </w:rPr>
        <w:t>浓度为</w:t>
      </w:r>
      <w:r>
        <w:rPr>
          <w:rFonts w:hint="eastAsia"/>
          <w:bCs/>
          <w:kern w:val="0"/>
          <w:sz w:val="24"/>
        </w:rPr>
        <w:t>0.96</w:t>
      </w:r>
      <w:r>
        <w:rPr>
          <w:bCs/>
          <w:kern w:val="0"/>
          <w:sz w:val="24"/>
        </w:rPr>
        <w:t>mg/m</w:t>
      </w:r>
      <w:r>
        <w:rPr>
          <w:bCs/>
          <w:kern w:val="0"/>
          <w:sz w:val="24"/>
          <w:vertAlign w:val="superscript"/>
        </w:rPr>
        <w:t>3</w:t>
      </w:r>
      <w:r>
        <w:rPr>
          <w:bCs/>
          <w:color w:val="000000" w:themeColor="text1"/>
          <w:kern w:val="0"/>
          <w:sz w:val="24"/>
        </w:rPr>
        <w:t>。</w:t>
      </w:r>
      <w:r>
        <w:rPr>
          <w:bCs/>
          <w:color w:val="000000" w:themeColor="text1"/>
          <w:kern w:val="0"/>
          <w:sz w:val="24"/>
        </w:rPr>
        <w:t>H</w:t>
      </w:r>
      <w:r>
        <w:rPr>
          <w:bCs/>
          <w:color w:val="000000" w:themeColor="text1"/>
          <w:kern w:val="0"/>
          <w:sz w:val="24"/>
          <w:vertAlign w:val="subscript"/>
        </w:rPr>
        <w:t>2</w:t>
      </w:r>
      <w:r>
        <w:rPr>
          <w:bCs/>
          <w:color w:val="000000" w:themeColor="text1"/>
          <w:kern w:val="0"/>
          <w:sz w:val="24"/>
        </w:rPr>
        <w:t>S</w:t>
      </w:r>
      <w:r>
        <w:rPr>
          <w:bCs/>
          <w:color w:val="000000" w:themeColor="text1"/>
          <w:kern w:val="0"/>
          <w:sz w:val="24"/>
        </w:rPr>
        <w:t>排放速率为排放量为</w:t>
      </w:r>
      <w:r>
        <w:rPr>
          <w:rFonts w:hint="eastAsia"/>
          <w:bCs/>
          <w:color w:val="000000" w:themeColor="text1"/>
          <w:kern w:val="0"/>
          <w:sz w:val="24"/>
        </w:rPr>
        <w:t>0.0006</w:t>
      </w:r>
      <w:r>
        <w:rPr>
          <w:bCs/>
          <w:color w:val="000000" w:themeColor="text1"/>
          <w:kern w:val="0"/>
          <w:sz w:val="24"/>
        </w:rPr>
        <w:t>t/a</w:t>
      </w:r>
      <w:r>
        <w:rPr>
          <w:bCs/>
          <w:color w:val="000000" w:themeColor="text1"/>
          <w:kern w:val="0"/>
          <w:sz w:val="24"/>
        </w:rPr>
        <w:t>，</w:t>
      </w:r>
      <w:r>
        <w:rPr>
          <w:rFonts w:hint="eastAsia"/>
          <w:bCs/>
          <w:color w:val="000000" w:themeColor="text1"/>
          <w:kern w:val="0"/>
          <w:sz w:val="24"/>
        </w:rPr>
        <w:t>0.0001</w:t>
      </w:r>
      <w:r>
        <w:rPr>
          <w:bCs/>
          <w:color w:val="000000" w:themeColor="text1"/>
          <w:kern w:val="0"/>
          <w:sz w:val="24"/>
        </w:rPr>
        <w:t>kg/h</w:t>
      </w:r>
      <w:r>
        <w:rPr>
          <w:rFonts w:hint="eastAsia"/>
          <w:bCs/>
          <w:color w:val="000000" w:themeColor="text1"/>
          <w:kern w:val="0"/>
          <w:sz w:val="24"/>
        </w:rPr>
        <w:t>，</w:t>
      </w:r>
      <w:r>
        <w:rPr>
          <w:rFonts w:hint="eastAsia"/>
          <w:bCs/>
          <w:kern w:val="0"/>
          <w:sz w:val="24"/>
        </w:rPr>
        <w:t>排放</w:t>
      </w:r>
      <w:r>
        <w:rPr>
          <w:bCs/>
          <w:kern w:val="0"/>
          <w:sz w:val="24"/>
        </w:rPr>
        <w:t>浓度为</w:t>
      </w:r>
      <w:r>
        <w:rPr>
          <w:rFonts w:hint="eastAsia"/>
          <w:bCs/>
          <w:kern w:val="0"/>
          <w:sz w:val="24"/>
        </w:rPr>
        <w:t>0.04</w:t>
      </w:r>
      <w:r>
        <w:rPr>
          <w:bCs/>
          <w:kern w:val="0"/>
          <w:sz w:val="24"/>
        </w:rPr>
        <w:t>mg/m</w:t>
      </w:r>
      <w:r>
        <w:rPr>
          <w:bCs/>
          <w:kern w:val="0"/>
          <w:sz w:val="24"/>
          <w:vertAlign w:val="superscript"/>
        </w:rPr>
        <w:t>3</w:t>
      </w:r>
      <w:r>
        <w:rPr>
          <w:bCs/>
          <w:color w:val="000000" w:themeColor="text1"/>
          <w:kern w:val="0"/>
          <w:sz w:val="24"/>
        </w:rPr>
        <w:t>。无组织</w:t>
      </w:r>
      <w:r>
        <w:rPr>
          <w:bCs/>
          <w:color w:val="000000" w:themeColor="text1"/>
          <w:kern w:val="0"/>
          <w:sz w:val="24"/>
        </w:rPr>
        <w:t>NH</w:t>
      </w:r>
      <w:r>
        <w:rPr>
          <w:bCs/>
          <w:color w:val="000000" w:themeColor="text1"/>
          <w:kern w:val="0"/>
          <w:sz w:val="24"/>
          <w:vertAlign w:val="subscript"/>
        </w:rPr>
        <w:t>3</w:t>
      </w:r>
      <w:r>
        <w:rPr>
          <w:bCs/>
          <w:color w:val="000000" w:themeColor="text1"/>
          <w:kern w:val="0"/>
          <w:sz w:val="24"/>
        </w:rPr>
        <w:t>排放量为</w:t>
      </w:r>
      <w:r>
        <w:rPr>
          <w:rFonts w:hint="eastAsia"/>
          <w:bCs/>
          <w:color w:val="000000" w:themeColor="text1"/>
          <w:kern w:val="0"/>
          <w:sz w:val="24"/>
        </w:rPr>
        <w:t>0.04</w:t>
      </w:r>
      <w:r>
        <w:rPr>
          <w:bCs/>
          <w:color w:val="000000" w:themeColor="text1"/>
          <w:kern w:val="0"/>
          <w:sz w:val="24"/>
        </w:rPr>
        <w:t>t/a</w:t>
      </w:r>
      <w:r>
        <w:rPr>
          <w:bCs/>
          <w:color w:val="000000" w:themeColor="text1"/>
          <w:kern w:val="0"/>
          <w:sz w:val="24"/>
        </w:rPr>
        <w:t>，排放速率为</w:t>
      </w:r>
      <w:r>
        <w:rPr>
          <w:bCs/>
          <w:color w:val="000000" w:themeColor="text1"/>
          <w:kern w:val="0"/>
          <w:sz w:val="24"/>
        </w:rPr>
        <w:t>0.00</w:t>
      </w:r>
      <w:r>
        <w:rPr>
          <w:rFonts w:hint="eastAsia"/>
          <w:bCs/>
          <w:color w:val="000000" w:themeColor="text1"/>
          <w:kern w:val="0"/>
          <w:sz w:val="24"/>
        </w:rPr>
        <w:t>5</w:t>
      </w:r>
      <w:r>
        <w:rPr>
          <w:bCs/>
          <w:color w:val="000000" w:themeColor="text1"/>
          <w:kern w:val="0"/>
          <w:sz w:val="24"/>
        </w:rPr>
        <w:t>kg/h</w:t>
      </w:r>
      <w:r>
        <w:rPr>
          <w:bCs/>
          <w:color w:val="000000" w:themeColor="text1"/>
          <w:kern w:val="0"/>
          <w:sz w:val="24"/>
        </w:rPr>
        <w:t>，</w:t>
      </w:r>
      <w:r>
        <w:rPr>
          <w:bCs/>
          <w:color w:val="000000" w:themeColor="text1"/>
          <w:kern w:val="0"/>
          <w:sz w:val="24"/>
        </w:rPr>
        <w:t>H</w:t>
      </w:r>
      <w:r>
        <w:rPr>
          <w:bCs/>
          <w:color w:val="000000" w:themeColor="text1"/>
          <w:kern w:val="0"/>
          <w:sz w:val="24"/>
          <w:vertAlign w:val="subscript"/>
        </w:rPr>
        <w:t>2</w:t>
      </w:r>
      <w:r>
        <w:rPr>
          <w:bCs/>
          <w:color w:val="000000" w:themeColor="text1"/>
          <w:kern w:val="0"/>
          <w:sz w:val="24"/>
        </w:rPr>
        <w:t>S</w:t>
      </w:r>
      <w:r>
        <w:rPr>
          <w:bCs/>
          <w:color w:val="000000" w:themeColor="text1"/>
          <w:kern w:val="0"/>
          <w:sz w:val="24"/>
        </w:rPr>
        <w:t>排放量为</w:t>
      </w:r>
      <w:r>
        <w:rPr>
          <w:rFonts w:hint="eastAsia"/>
          <w:bCs/>
          <w:color w:val="000000" w:themeColor="text1"/>
          <w:kern w:val="0"/>
          <w:sz w:val="24"/>
        </w:rPr>
        <w:t>0.002</w:t>
      </w:r>
      <w:r>
        <w:rPr>
          <w:bCs/>
          <w:color w:val="000000" w:themeColor="text1"/>
          <w:kern w:val="0"/>
          <w:sz w:val="24"/>
        </w:rPr>
        <w:t>t/a</w:t>
      </w:r>
      <w:r>
        <w:rPr>
          <w:rFonts w:hint="eastAsia"/>
          <w:bCs/>
          <w:color w:val="000000" w:themeColor="text1"/>
          <w:kern w:val="0"/>
          <w:sz w:val="24"/>
        </w:rPr>
        <w:t>，</w:t>
      </w:r>
      <w:r>
        <w:rPr>
          <w:bCs/>
          <w:color w:val="000000" w:themeColor="text1"/>
          <w:kern w:val="0"/>
          <w:sz w:val="24"/>
        </w:rPr>
        <w:t>排放速率为</w:t>
      </w:r>
      <w:r>
        <w:rPr>
          <w:bCs/>
          <w:color w:val="000000" w:themeColor="text1"/>
          <w:kern w:val="0"/>
          <w:sz w:val="24"/>
        </w:rPr>
        <w:t>0.000</w:t>
      </w:r>
      <w:r>
        <w:rPr>
          <w:rFonts w:hint="eastAsia"/>
          <w:bCs/>
          <w:color w:val="000000" w:themeColor="text1"/>
          <w:kern w:val="0"/>
          <w:sz w:val="24"/>
        </w:rPr>
        <w:t>2</w:t>
      </w:r>
      <w:r>
        <w:rPr>
          <w:bCs/>
          <w:color w:val="000000" w:themeColor="text1"/>
          <w:kern w:val="0"/>
          <w:sz w:val="24"/>
        </w:rPr>
        <w:t>kg/h</w:t>
      </w:r>
      <w:r>
        <w:rPr>
          <w:bCs/>
          <w:color w:val="000000" w:themeColor="text1"/>
          <w:kern w:val="0"/>
          <w:sz w:val="24"/>
        </w:rPr>
        <w:t>。</w:t>
      </w:r>
    </w:p>
    <w:p w14:paraId="7165550D" w14:textId="77777777" w:rsidR="00B14D53" w:rsidRDefault="00B14D53">
      <w:pPr>
        <w:spacing w:line="360" w:lineRule="auto"/>
        <w:ind w:firstLineChars="200" w:firstLine="480"/>
        <w:rPr>
          <w:rFonts w:eastAsiaTheme="minorEastAsia" w:hAnsiTheme="minorEastAsia" w:hint="eastAsia"/>
          <w:color w:val="00B0F0"/>
          <w:sz w:val="24"/>
        </w:rPr>
      </w:pPr>
    </w:p>
    <w:p w14:paraId="577CCFA7" w14:textId="77777777" w:rsidR="00B14D53" w:rsidRDefault="00B14D53">
      <w:pPr>
        <w:spacing w:line="360" w:lineRule="auto"/>
        <w:ind w:firstLineChars="200" w:firstLine="480"/>
        <w:rPr>
          <w:rFonts w:eastAsiaTheme="minorEastAsia" w:hAnsiTheme="minorEastAsia" w:hint="eastAsia"/>
          <w:color w:val="00B0F0"/>
          <w:sz w:val="24"/>
        </w:rPr>
      </w:pPr>
    </w:p>
    <w:p w14:paraId="6A37244A" w14:textId="77777777" w:rsidR="00B14D53" w:rsidRDefault="00B14D53">
      <w:pPr>
        <w:spacing w:line="360" w:lineRule="auto"/>
        <w:ind w:firstLineChars="200" w:firstLine="480"/>
        <w:rPr>
          <w:rFonts w:eastAsiaTheme="minorEastAsia" w:hAnsiTheme="minorEastAsia" w:hint="eastAsia"/>
          <w:color w:val="00B0F0"/>
          <w:sz w:val="24"/>
        </w:rPr>
      </w:pPr>
    </w:p>
    <w:p w14:paraId="607816EE" w14:textId="77777777" w:rsidR="00B14D53" w:rsidRDefault="00B14D53">
      <w:pPr>
        <w:spacing w:line="360" w:lineRule="auto"/>
        <w:ind w:firstLineChars="200" w:firstLine="480"/>
        <w:rPr>
          <w:rFonts w:eastAsiaTheme="minorEastAsia" w:hAnsiTheme="minorEastAsia" w:hint="eastAsia"/>
          <w:color w:val="00B0F0"/>
          <w:sz w:val="24"/>
        </w:rPr>
      </w:pPr>
    </w:p>
    <w:p w14:paraId="7A147F73" w14:textId="77777777" w:rsidR="00B14D53" w:rsidRDefault="00B14D53">
      <w:pPr>
        <w:spacing w:line="360" w:lineRule="auto"/>
        <w:ind w:firstLineChars="200" w:firstLine="480"/>
        <w:rPr>
          <w:rFonts w:eastAsiaTheme="minorEastAsia" w:hAnsiTheme="minorEastAsia" w:hint="eastAsia"/>
          <w:color w:val="00B0F0"/>
          <w:sz w:val="24"/>
        </w:rPr>
      </w:pPr>
    </w:p>
    <w:p w14:paraId="7F6A5A8E" w14:textId="77777777" w:rsidR="00B14D53" w:rsidRDefault="00B14D53">
      <w:pPr>
        <w:spacing w:line="360" w:lineRule="auto"/>
        <w:ind w:firstLineChars="200" w:firstLine="480"/>
        <w:contextualSpacing/>
        <w:rPr>
          <w:rFonts w:eastAsiaTheme="minorEastAsia"/>
          <w:color w:val="00B0F0"/>
          <w:sz w:val="24"/>
        </w:rPr>
      </w:pPr>
    </w:p>
    <w:p w14:paraId="2E20FC7D" w14:textId="77777777" w:rsidR="00B14D53" w:rsidRDefault="00B14D53">
      <w:pPr>
        <w:spacing w:line="360" w:lineRule="auto"/>
        <w:ind w:firstLineChars="200" w:firstLine="480"/>
        <w:contextualSpacing/>
        <w:rPr>
          <w:rFonts w:eastAsiaTheme="minorEastAsia"/>
          <w:color w:val="00B0F0"/>
          <w:sz w:val="24"/>
        </w:rPr>
        <w:sectPr w:rsidR="00B14D53">
          <w:pgSz w:w="11906" w:h="16838"/>
          <w:pgMar w:top="1440" w:right="1800" w:bottom="1440" w:left="1800" w:header="851" w:footer="992" w:gutter="0"/>
          <w:cols w:space="425"/>
          <w:docGrid w:type="lines" w:linePitch="312"/>
        </w:sectPr>
      </w:pPr>
    </w:p>
    <w:p w14:paraId="42830779" w14:textId="77777777" w:rsidR="00B14D53" w:rsidRDefault="00000000">
      <w:pPr>
        <w:jc w:val="center"/>
        <w:rPr>
          <w:rFonts w:eastAsiaTheme="minorEastAsia" w:hAnsiTheme="minorEastAsia" w:hint="eastAsia"/>
          <w:sz w:val="24"/>
        </w:rPr>
      </w:pPr>
      <w:r>
        <w:rPr>
          <w:rFonts w:hint="eastAsia"/>
          <w:b/>
          <w:bCs/>
        </w:rPr>
        <w:t>表</w:t>
      </w:r>
      <w:r>
        <w:rPr>
          <w:rFonts w:hint="eastAsia"/>
          <w:b/>
          <w:bCs/>
        </w:rPr>
        <w:t xml:space="preserve">3-3-3 </w:t>
      </w:r>
      <w:r>
        <w:rPr>
          <w:rFonts w:hint="eastAsia"/>
          <w:b/>
          <w:bCs/>
        </w:rPr>
        <w:t>大气污染源源强核算结果及相关参数一览表</w:t>
      </w:r>
    </w:p>
    <w:tbl>
      <w:tblPr>
        <w:tblW w:w="4959"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3"/>
        <w:gridCol w:w="804"/>
        <w:gridCol w:w="870"/>
        <w:gridCol w:w="840"/>
        <w:gridCol w:w="566"/>
        <w:gridCol w:w="806"/>
        <w:gridCol w:w="1069"/>
        <w:gridCol w:w="1127"/>
        <w:gridCol w:w="1548"/>
        <w:gridCol w:w="1166"/>
        <w:gridCol w:w="460"/>
        <w:gridCol w:w="820"/>
        <w:gridCol w:w="939"/>
        <w:gridCol w:w="1119"/>
        <w:gridCol w:w="1047"/>
      </w:tblGrid>
      <w:tr w:rsidR="00B14D53" w14:paraId="7248CD62" w14:textId="77777777">
        <w:tc>
          <w:tcPr>
            <w:tcW w:w="239" w:type="pct"/>
            <w:vMerge w:val="restart"/>
            <w:vAlign w:val="center"/>
          </w:tcPr>
          <w:p w14:paraId="37C29269" w14:textId="77777777" w:rsidR="00B14D53" w:rsidRDefault="00000000">
            <w:pPr>
              <w:pStyle w:val="afff2"/>
              <w:spacing w:line="240" w:lineRule="auto"/>
              <w:rPr>
                <w:rFonts w:hAnsi="Times New Roman"/>
                <w:b/>
                <w:bCs/>
                <w:snapToGrid w:val="0"/>
                <w:szCs w:val="22"/>
              </w:rPr>
            </w:pPr>
            <w:r>
              <w:rPr>
                <w:rFonts w:hAnsi="Times New Roman"/>
                <w:b/>
                <w:bCs/>
                <w:snapToGrid w:val="0"/>
                <w:szCs w:val="22"/>
              </w:rPr>
              <w:t>工序</w:t>
            </w:r>
          </w:p>
        </w:tc>
        <w:tc>
          <w:tcPr>
            <w:tcW w:w="290" w:type="pct"/>
            <w:vMerge w:val="restart"/>
            <w:vAlign w:val="center"/>
          </w:tcPr>
          <w:p w14:paraId="3E779DBC" w14:textId="77777777" w:rsidR="00B14D53" w:rsidRDefault="00000000">
            <w:pPr>
              <w:pStyle w:val="afff2"/>
              <w:spacing w:line="240" w:lineRule="auto"/>
              <w:rPr>
                <w:rFonts w:hAnsi="Times New Roman"/>
                <w:b/>
                <w:bCs/>
                <w:snapToGrid w:val="0"/>
                <w:szCs w:val="22"/>
              </w:rPr>
            </w:pPr>
            <w:r>
              <w:rPr>
                <w:rFonts w:hAnsi="Times New Roman"/>
                <w:b/>
                <w:bCs/>
                <w:snapToGrid w:val="0"/>
                <w:szCs w:val="22"/>
              </w:rPr>
              <w:t>装置</w:t>
            </w:r>
          </w:p>
        </w:tc>
        <w:tc>
          <w:tcPr>
            <w:tcW w:w="314" w:type="pct"/>
            <w:vMerge w:val="restart"/>
            <w:vAlign w:val="center"/>
          </w:tcPr>
          <w:p w14:paraId="0DEB1C1A"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污染源</w:t>
            </w:r>
          </w:p>
        </w:tc>
        <w:tc>
          <w:tcPr>
            <w:tcW w:w="303" w:type="pct"/>
            <w:vMerge w:val="restart"/>
            <w:vAlign w:val="center"/>
          </w:tcPr>
          <w:p w14:paraId="0FA1CD04"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污染物</w:t>
            </w:r>
          </w:p>
        </w:tc>
        <w:tc>
          <w:tcPr>
            <w:tcW w:w="1288" w:type="pct"/>
            <w:gridSpan w:val="4"/>
            <w:vAlign w:val="center"/>
          </w:tcPr>
          <w:p w14:paraId="4D42D570"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污染物产生</w:t>
            </w:r>
          </w:p>
        </w:tc>
        <w:tc>
          <w:tcPr>
            <w:tcW w:w="980" w:type="pct"/>
            <w:gridSpan w:val="2"/>
            <w:vAlign w:val="center"/>
          </w:tcPr>
          <w:p w14:paraId="1803125D"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治理措施</w:t>
            </w:r>
          </w:p>
        </w:tc>
        <w:tc>
          <w:tcPr>
            <w:tcW w:w="1205" w:type="pct"/>
            <w:gridSpan w:val="4"/>
            <w:vAlign w:val="center"/>
          </w:tcPr>
          <w:p w14:paraId="48E44A1C"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污染物排放</w:t>
            </w:r>
          </w:p>
        </w:tc>
        <w:tc>
          <w:tcPr>
            <w:tcW w:w="378" w:type="pct"/>
            <w:vMerge w:val="restart"/>
            <w:vAlign w:val="center"/>
          </w:tcPr>
          <w:p w14:paraId="78FBE338"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排放时间（</w:t>
            </w:r>
            <w:r>
              <w:rPr>
                <w:rFonts w:hAnsi="Times New Roman"/>
                <w:b/>
                <w:bCs/>
                <w:snapToGrid w:val="0"/>
                <w:szCs w:val="22"/>
              </w:rPr>
              <w:t>h</w:t>
            </w:r>
            <w:r>
              <w:rPr>
                <w:rFonts w:hAnsi="Times New Roman"/>
                <w:b/>
                <w:bCs/>
                <w:snapToGrid w:val="0"/>
                <w:szCs w:val="22"/>
              </w:rPr>
              <w:t>）</w:t>
            </w:r>
          </w:p>
        </w:tc>
      </w:tr>
      <w:tr w:rsidR="00B14D53" w14:paraId="3DFA6179" w14:textId="77777777">
        <w:trPr>
          <w:trHeight w:val="856"/>
        </w:trPr>
        <w:tc>
          <w:tcPr>
            <w:tcW w:w="239" w:type="pct"/>
            <w:vMerge/>
            <w:vAlign w:val="center"/>
          </w:tcPr>
          <w:p w14:paraId="6DFC141F" w14:textId="77777777" w:rsidR="00B14D53" w:rsidRDefault="00B14D53">
            <w:pPr>
              <w:pStyle w:val="afff2"/>
              <w:spacing w:line="240" w:lineRule="auto"/>
              <w:rPr>
                <w:rFonts w:hAnsi="Times New Roman"/>
                <w:b/>
                <w:bCs/>
                <w:snapToGrid w:val="0"/>
                <w:szCs w:val="22"/>
              </w:rPr>
            </w:pPr>
          </w:p>
        </w:tc>
        <w:tc>
          <w:tcPr>
            <w:tcW w:w="290" w:type="pct"/>
            <w:vMerge/>
            <w:vAlign w:val="center"/>
          </w:tcPr>
          <w:p w14:paraId="7A9CDC46" w14:textId="77777777" w:rsidR="00B14D53" w:rsidRDefault="00B14D53">
            <w:pPr>
              <w:pStyle w:val="afff2"/>
              <w:spacing w:line="240" w:lineRule="auto"/>
              <w:rPr>
                <w:rFonts w:hAnsi="Times New Roman"/>
                <w:b/>
                <w:bCs/>
                <w:snapToGrid w:val="0"/>
                <w:szCs w:val="22"/>
              </w:rPr>
            </w:pPr>
          </w:p>
        </w:tc>
        <w:tc>
          <w:tcPr>
            <w:tcW w:w="314" w:type="pct"/>
            <w:vMerge/>
            <w:vAlign w:val="center"/>
          </w:tcPr>
          <w:p w14:paraId="6EBB62BC" w14:textId="77777777" w:rsidR="00B14D53" w:rsidRDefault="00B14D53">
            <w:pPr>
              <w:pStyle w:val="afff2"/>
              <w:spacing w:line="240" w:lineRule="auto"/>
              <w:rPr>
                <w:rFonts w:hAnsi="Times New Roman"/>
                <w:b/>
                <w:bCs/>
                <w:snapToGrid w:val="0"/>
                <w:szCs w:val="22"/>
              </w:rPr>
            </w:pPr>
          </w:p>
        </w:tc>
        <w:tc>
          <w:tcPr>
            <w:tcW w:w="303" w:type="pct"/>
            <w:vMerge/>
            <w:vAlign w:val="center"/>
          </w:tcPr>
          <w:p w14:paraId="25C7C980" w14:textId="77777777" w:rsidR="00B14D53" w:rsidRDefault="00B14D53">
            <w:pPr>
              <w:pStyle w:val="afff2"/>
              <w:spacing w:line="240" w:lineRule="auto"/>
              <w:rPr>
                <w:rFonts w:hAnsi="Times New Roman"/>
                <w:b/>
                <w:bCs/>
                <w:snapToGrid w:val="0"/>
                <w:szCs w:val="22"/>
              </w:rPr>
            </w:pPr>
          </w:p>
        </w:tc>
        <w:tc>
          <w:tcPr>
            <w:tcW w:w="204" w:type="pct"/>
            <w:vAlign w:val="center"/>
          </w:tcPr>
          <w:p w14:paraId="7C89E912"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核算方法</w:t>
            </w:r>
          </w:p>
        </w:tc>
        <w:tc>
          <w:tcPr>
            <w:tcW w:w="291" w:type="pct"/>
            <w:vAlign w:val="center"/>
          </w:tcPr>
          <w:p w14:paraId="51BF52DF" w14:textId="77777777" w:rsidR="00B14D53" w:rsidRDefault="00000000">
            <w:pPr>
              <w:pStyle w:val="afff2"/>
              <w:spacing w:line="240" w:lineRule="auto"/>
              <w:rPr>
                <w:rFonts w:hAnsi="Times New Roman"/>
                <w:b/>
                <w:bCs/>
                <w:snapToGrid w:val="0"/>
                <w:szCs w:val="22"/>
              </w:rPr>
            </w:pPr>
            <w:r>
              <w:rPr>
                <w:rFonts w:hAnsi="Times New Roman"/>
                <w:b/>
                <w:bCs/>
                <w:snapToGrid w:val="0"/>
                <w:szCs w:val="22"/>
              </w:rPr>
              <w:t>废气产生量</w:t>
            </w:r>
            <w:r>
              <w:rPr>
                <w:rFonts w:hAnsi="Times New Roman"/>
                <w:b/>
                <w:bCs/>
                <w:snapToGrid w:val="0"/>
                <w:szCs w:val="22"/>
              </w:rPr>
              <w:t>(m</w:t>
            </w:r>
            <w:r>
              <w:rPr>
                <w:rFonts w:hAnsi="Times New Roman"/>
                <w:b/>
                <w:bCs/>
                <w:snapToGrid w:val="0"/>
                <w:szCs w:val="22"/>
                <w:vertAlign w:val="superscript"/>
              </w:rPr>
              <w:t>3</w:t>
            </w:r>
            <w:r>
              <w:rPr>
                <w:rFonts w:hAnsi="Times New Roman"/>
                <w:b/>
                <w:bCs/>
                <w:snapToGrid w:val="0"/>
                <w:szCs w:val="22"/>
              </w:rPr>
              <w:t>/h)</w:t>
            </w:r>
          </w:p>
        </w:tc>
        <w:tc>
          <w:tcPr>
            <w:tcW w:w="386" w:type="pct"/>
            <w:vAlign w:val="center"/>
          </w:tcPr>
          <w:p w14:paraId="33DB0E41" w14:textId="77777777" w:rsidR="00B14D53" w:rsidRDefault="00000000">
            <w:pPr>
              <w:pStyle w:val="afff2"/>
              <w:spacing w:line="240" w:lineRule="auto"/>
              <w:rPr>
                <w:rFonts w:hAnsi="Times New Roman"/>
                <w:b/>
                <w:bCs/>
                <w:snapToGrid w:val="0"/>
                <w:szCs w:val="22"/>
              </w:rPr>
            </w:pPr>
            <w:r>
              <w:rPr>
                <w:rFonts w:hAnsi="Times New Roman"/>
                <w:b/>
                <w:bCs/>
                <w:snapToGrid w:val="0"/>
                <w:szCs w:val="22"/>
              </w:rPr>
              <w:t>产生浓度</w:t>
            </w:r>
            <w:r>
              <w:rPr>
                <w:rFonts w:hAnsi="Times New Roman"/>
                <w:b/>
                <w:bCs/>
                <w:snapToGrid w:val="0"/>
                <w:szCs w:val="22"/>
              </w:rPr>
              <w:t>(mg/m</w:t>
            </w:r>
            <w:r>
              <w:rPr>
                <w:rFonts w:hAnsi="Times New Roman"/>
                <w:b/>
                <w:bCs/>
                <w:snapToGrid w:val="0"/>
                <w:szCs w:val="22"/>
                <w:vertAlign w:val="superscript"/>
              </w:rPr>
              <w:t>3</w:t>
            </w:r>
            <w:r>
              <w:rPr>
                <w:rFonts w:hAnsi="Times New Roman"/>
                <w:b/>
                <w:bCs/>
                <w:snapToGrid w:val="0"/>
                <w:szCs w:val="22"/>
              </w:rPr>
              <w:t>)</w:t>
            </w:r>
          </w:p>
        </w:tc>
        <w:tc>
          <w:tcPr>
            <w:tcW w:w="405" w:type="pct"/>
            <w:vAlign w:val="center"/>
          </w:tcPr>
          <w:p w14:paraId="75BE93E6" w14:textId="77777777" w:rsidR="00B14D53" w:rsidRDefault="00000000">
            <w:pPr>
              <w:pStyle w:val="afff2"/>
              <w:spacing w:line="240" w:lineRule="auto"/>
              <w:rPr>
                <w:rFonts w:hAnsi="Times New Roman"/>
                <w:b/>
                <w:bCs/>
                <w:snapToGrid w:val="0"/>
                <w:szCs w:val="22"/>
              </w:rPr>
            </w:pPr>
            <w:r>
              <w:rPr>
                <w:rFonts w:hAnsi="Times New Roman"/>
                <w:b/>
                <w:bCs/>
                <w:snapToGrid w:val="0"/>
                <w:szCs w:val="22"/>
              </w:rPr>
              <w:t>产生量（</w:t>
            </w:r>
            <w:r>
              <w:rPr>
                <w:rFonts w:hAnsi="Times New Roman"/>
                <w:b/>
                <w:bCs/>
                <w:snapToGrid w:val="0"/>
                <w:szCs w:val="22"/>
              </w:rPr>
              <w:t>kg/h</w:t>
            </w:r>
            <w:r>
              <w:rPr>
                <w:rFonts w:hAnsi="Times New Roman"/>
                <w:b/>
                <w:bCs/>
                <w:snapToGrid w:val="0"/>
                <w:szCs w:val="22"/>
              </w:rPr>
              <w:t>）</w:t>
            </w:r>
          </w:p>
        </w:tc>
        <w:tc>
          <w:tcPr>
            <w:tcW w:w="559" w:type="pct"/>
            <w:tcBorders>
              <w:bottom w:val="single" w:sz="4" w:space="0" w:color="auto"/>
            </w:tcBorders>
            <w:vAlign w:val="center"/>
          </w:tcPr>
          <w:p w14:paraId="2B3CD8EA" w14:textId="77777777" w:rsidR="00B14D53" w:rsidRDefault="00000000">
            <w:pPr>
              <w:pStyle w:val="afff2"/>
              <w:spacing w:line="240" w:lineRule="auto"/>
              <w:rPr>
                <w:rFonts w:hAnsi="Times New Roman"/>
                <w:b/>
                <w:bCs/>
                <w:snapToGrid w:val="0"/>
                <w:szCs w:val="22"/>
              </w:rPr>
            </w:pPr>
            <w:r>
              <w:rPr>
                <w:rFonts w:hAnsi="Times New Roman"/>
                <w:b/>
                <w:bCs/>
                <w:snapToGrid w:val="0"/>
                <w:szCs w:val="22"/>
              </w:rPr>
              <w:t>工艺</w:t>
            </w:r>
          </w:p>
        </w:tc>
        <w:tc>
          <w:tcPr>
            <w:tcW w:w="420" w:type="pct"/>
            <w:tcBorders>
              <w:bottom w:val="single" w:sz="4" w:space="0" w:color="auto"/>
            </w:tcBorders>
            <w:vAlign w:val="center"/>
          </w:tcPr>
          <w:p w14:paraId="585A544F"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效率</w:t>
            </w:r>
            <w:r>
              <w:rPr>
                <w:rFonts w:hAnsi="Times New Roman"/>
                <w:b/>
                <w:bCs/>
                <w:snapToGrid w:val="0"/>
                <w:szCs w:val="22"/>
              </w:rPr>
              <w:t>%</w:t>
            </w:r>
          </w:p>
        </w:tc>
        <w:tc>
          <w:tcPr>
            <w:tcW w:w="166" w:type="pct"/>
            <w:vAlign w:val="center"/>
          </w:tcPr>
          <w:p w14:paraId="1C614998"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核算方法</w:t>
            </w:r>
          </w:p>
        </w:tc>
        <w:tc>
          <w:tcPr>
            <w:tcW w:w="296" w:type="pct"/>
            <w:vAlign w:val="center"/>
          </w:tcPr>
          <w:p w14:paraId="5B511F76" w14:textId="77777777" w:rsidR="00B14D53" w:rsidRDefault="00000000">
            <w:pPr>
              <w:pStyle w:val="afff2"/>
              <w:spacing w:line="240" w:lineRule="auto"/>
              <w:rPr>
                <w:rFonts w:hAnsi="Times New Roman"/>
                <w:b/>
                <w:bCs/>
                <w:snapToGrid w:val="0"/>
                <w:szCs w:val="22"/>
              </w:rPr>
            </w:pPr>
            <w:r>
              <w:rPr>
                <w:rFonts w:hAnsi="Times New Roman"/>
                <w:b/>
                <w:bCs/>
                <w:snapToGrid w:val="0"/>
                <w:szCs w:val="22"/>
              </w:rPr>
              <w:t>废气排放量</w:t>
            </w:r>
            <w:r>
              <w:rPr>
                <w:rFonts w:hAnsi="Times New Roman"/>
                <w:b/>
                <w:bCs/>
                <w:snapToGrid w:val="0"/>
                <w:szCs w:val="22"/>
              </w:rPr>
              <w:t>(m</w:t>
            </w:r>
            <w:r>
              <w:rPr>
                <w:rFonts w:hAnsi="Times New Roman"/>
                <w:b/>
                <w:bCs/>
                <w:snapToGrid w:val="0"/>
                <w:szCs w:val="22"/>
                <w:vertAlign w:val="superscript"/>
              </w:rPr>
              <w:t>3</w:t>
            </w:r>
            <w:r>
              <w:rPr>
                <w:rFonts w:hAnsi="Times New Roman"/>
                <w:b/>
                <w:bCs/>
                <w:snapToGrid w:val="0"/>
                <w:szCs w:val="22"/>
              </w:rPr>
              <w:t>/h)</w:t>
            </w:r>
          </w:p>
        </w:tc>
        <w:tc>
          <w:tcPr>
            <w:tcW w:w="339" w:type="pct"/>
            <w:vAlign w:val="center"/>
          </w:tcPr>
          <w:p w14:paraId="5230EA80"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排放浓度</w:t>
            </w:r>
            <w:r>
              <w:rPr>
                <w:rFonts w:hAnsi="Times New Roman"/>
                <w:b/>
                <w:bCs/>
                <w:snapToGrid w:val="0"/>
                <w:szCs w:val="22"/>
              </w:rPr>
              <w:t>(mg/m</w:t>
            </w:r>
            <w:r>
              <w:rPr>
                <w:rFonts w:hAnsi="Times New Roman"/>
                <w:b/>
                <w:bCs/>
                <w:snapToGrid w:val="0"/>
                <w:szCs w:val="22"/>
                <w:vertAlign w:val="superscript"/>
              </w:rPr>
              <w:t>3</w:t>
            </w:r>
            <w:r>
              <w:rPr>
                <w:rFonts w:hAnsi="Times New Roman"/>
                <w:b/>
                <w:bCs/>
                <w:snapToGrid w:val="0"/>
                <w:szCs w:val="22"/>
              </w:rPr>
              <w:t>)</w:t>
            </w:r>
          </w:p>
        </w:tc>
        <w:tc>
          <w:tcPr>
            <w:tcW w:w="403" w:type="pct"/>
            <w:vAlign w:val="center"/>
          </w:tcPr>
          <w:p w14:paraId="39A11B46" w14:textId="77777777" w:rsidR="00B14D53" w:rsidRDefault="00000000">
            <w:pPr>
              <w:pStyle w:val="afff2"/>
              <w:spacing w:line="240" w:lineRule="auto"/>
              <w:rPr>
                <w:rFonts w:hAnsi="Times New Roman"/>
                <w:b/>
                <w:bCs/>
                <w:snapToGrid w:val="0"/>
                <w:szCs w:val="22"/>
              </w:rPr>
            </w:pPr>
            <w:r>
              <w:rPr>
                <w:rFonts w:hAnsi="Times New Roman"/>
                <w:b/>
                <w:bCs/>
                <w:snapToGrid w:val="0"/>
                <w:szCs w:val="22"/>
              </w:rPr>
              <w:t>排放量（</w:t>
            </w:r>
            <w:r>
              <w:rPr>
                <w:rFonts w:hAnsi="Times New Roman"/>
                <w:b/>
                <w:bCs/>
                <w:snapToGrid w:val="0"/>
                <w:szCs w:val="22"/>
              </w:rPr>
              <w:t>kg/h</w:t>
            </w:r>
            <w:r>
              <w:rPr>
                <w:rFonts w:hAnsi="Times New Roman"/>
                <w:b/>
                <w:bCs/>
                <w:snapToGrid w:val="0"/>
                <w:szCs w:val="22"/>
              </w:rPr>
              <w:t>）</w:t>
            </w:r>
          </w:p>
        </w:tc>
        <w:tc>
          <w:tcPr>
            <w:tcW w:w="378" w:type="pct"/>
            <w:vMerge/>
            <w:vAlign w:val="center"/>
          </w:tcPr>
          <w:p w14:paraId="74A0200C" w14:textId="77777777" w:rsidR="00B14D53" w:rsidRDefault="00B14D53">
            <w:pPr>
              <w:pStyle w:val="afff2"/>
              <w:spacing w:line="240" w:lineRule="auto"/>
              <w:rPr>
                <w:rFonts w:hAnsi="Times New Roman"/>
                <w:snapToGrid w:val="0"/>
                <w:szCs w:val="22"/>
              </w:rPr>
            </w:pPr>
          </w:p>
        </w:tc>
      </w:tr>
      <w:tr w:rsidR="00B14D53" w14:paraId="69FFEA9C" w14:textId="77777777">
        <w:trPr>
          <w:trHeight w:val="1067"/>
        </w:trPr>
        <w:tc>
          <w:tcPr>
            <w:tcW w:w="239" w:type="pct"/>
            <w:vMerge w:val="restart"/>
            <w:vAlign w:val="center"/>
          </w:tcPr>
          <w:p w14:paraId="497A3533" w14:textId="77777777" w:rsidR="00B14D53" w:rsidRDefault="00000000">
            <w:pPr>
              <w:pStyle w:val="afff2"/>
              <w:spacing w:line="240" w:lineRule="auto"/>
              <w:rPr>
                <w:rFonts w:hAnsi="Times New Roman"/>
                <w:snapToGrid w:val="0"/>
                <w:szCs w:val="22"/>
              </w:rPr>
            </w:pPr>
            <w:r>
              <w:rPr>
                <w:rFonts w:hAnsi="Times New Roman"/>
                <w:snapToGrid w:val="0"/>
                <w:szCs w:val="22"/>
              </w:rPr>
              <w:t>待宰</w:t>
            </w:r>
          </w:p>
        </w:tc>
        <w:tc>
          <w:tcPr>
            <w:tcW w:w="290" w:type="pct"/>
            <w:vMerge w:val="restart"/>
            <w:vAlign w:val="center"/>
          </w:tcPr>
          <w:p w14:paraId="7057C1FC" w14:textId="77777777" w:rsidR="00B14D53" w:rsidRDefault="00000000">
            <w:pPr>
              <w:pStyle w:val="afff2"/>
              <w:spacing w:line="240" w:lineRule="auto"/>
              <w:rPr>
                <w:rFonts w:hAnsi="Times New Roman"/>
                <w:snapToGrid w:val="0"/>
                <w:szCs w:val="22"/>
              </w:rPr>
            </w:pPr>
            <w:r>
              <w:rPr>
                <w:rFonts w:hAnsi="Times New Roman" w:hint="eastAsia"/>
                <w:snapToGrid w:val="0"/>
                <w:szCs w:val="22"/>
              </w:rPr>
              <w:t>1#</w:t>
            </w:r>
            <w:r>
              <w:rPr>
                <w:rFonts w:hAnsi="Times New Roman"/>
                <w:snapToGrid w:val="0"/>
                <w:szCs w:val="22"/>
              </w:rPr>
              <w:t>待宰</w:t>
            </w:r>
            <w:r>
              <w:rPr>
                <w:rFonts w:hAnsi="Times New Roman" w:hint="eastAsia"/>
                <w:snapToGrid w:val="0"/>
                <w:szCs w:val="22"/>
              </w:rPr>
              <w:t>圈</w:t>
            </w:r>
          </w:p>
        </w:tc>
        <w:tc>
          <w:tcPr>
            <w:tcW w:w="314" w:type="pct"/>
            <w:vMerge w:val="restart"/>
            <w:vAlign w:val="center"/>
          </w:tcPr>
          <w:p w14:paraId="71B9E64B" w14:textId="77777777" w:rsidR="00B14D53" w:rsidRDefault="00000000">
            <w:pPr>
              <w:pStyle w:val="afff2"/>
              <w:spacing w:line="240" w:lineRule="auto"/>
              <w:rPr>
                <w:rFonts w:hAnsi="Times New Roman"/>
                <w:snapToGrid w:val="0"/>
                <w:szCs w:val="22"/>
              </w:rPr>
            </w:pPr>
            <w:r>
              <w:rPr>
                <w:rFonts w:hAnsi="Times New Roman"/>
                <w:snapToGrid w:val="0"/>
                <w:szCs w:val="22"/>
              </w:rPr>
              <w:t>排气筒</w:t>
            </w:r>
            <w:r>
              <w:rPr>
                <w:rFonts w:hAnsi="Times New Roman" w:hint="eastAsia"/>
                <w:snapToGrid w:val="0"/>
                <w:szCs w:val="22"/>
              </w:rPr>
              <w:t>DA001</w:t>
            </w:r>
          </w:p>
        </w:tc>
        <w:tc>
          <w:tcPr>
            <w:tcW w:w="303" w:type="pct"/>
            <w:vAlign w:val="center"/>
          </w:tcPr>
          <w:p w14:paraId="03C4ADEE" w14:textId="77777777" w:rsidR="00B14D53" w:rsidRDefault="00000000">
            <w:pPr>
              <w:pStyle w:val="afff2"/>
              <w:spacing w:line="240" w:lineRule="auto"/>
              <w:rPr>
                <w:rFonts w:hAnsi="Times New Roman"/>
                <w:snapToGrid w:val="0"/>
                <w:szCs w:val="22"/>
              </w:rPr>
            </w:pPr>
            <w:r>
              <w:rPr>
                <w:rFonts w:hAnsi="Times New Roman"/>
                <w:snapToGrid w:val="0"/>
                <w:szCs w:val="22"/>
              </w:rPr>
              <w:t>NH</w:t>
            </w:r>
            <w:r>
              <w:rPr>
                <w:rFonts w:hAnsi="Times New Roman"/>
                <w:snapToGrid w:val="0"/>
                <w:szCs w:val="22"/>
                <w:vertAlign w:val="subscript"/>
              </w:rPr>
              <w:t>3</w:t>
            </w:r>
          </w:p>
        </w:tc>
        <w:tc>
          <w:tcPr>
            <w:tcW w:w="204" w:type="pct"/>
            <w:vMerge w:val="restart"/>
            <w:vAlign w:val="center"/>
          </w:tcPr>
          <w:p w14:paraId="2B513F7B" w14:textId="77777777" w:rsidR="00B14D53" w:rsidRDefault="00000000">
            <w:pPr>
              <w:pStyle w:val="afff2"/>
              <w:spacing w:line="240" w:lineRule="auto"/>
              <w:rPr>
                <w:rFonts w:hAnsi="Times New Roman"/>
                <w:snapToGrid w:val="0"/>
                <w:szCs w:val="22"/>
              </w:rPr>
            </w:pPr>
            <w:r>
              <w:rPr>
                <w:rFonts w:hAnsi="Times New Roman"/>
                <w:snapToGrid w:val="0"/>
                <w:szCs w:val="22"/>
              </w:rPr>
              <w:t>产污系数法</w:t>
            </w:r>
          </w:p>
        </w:tc>
        <w:tc>
          <w:tcPr>
            <w:tcW w:w="291" w:type="pct"/>
            <w:vMerge w:val="restart"/>
            <w:vAlign w:val="center"/>
          </w:tcPr>
          <w:p w14:paraId="66FD181D" w14:textId="77777777" w:rsidR="00B14D53" w:rsidRDefault="00000000">
            <w:pPr>
              <w:pStyle w:val="afff2"/>
              <w:spacing w:line="240" w:lineRule="auto"/>
              <w:rPr>
                <w:rFonts w:hAnsi="Times New Roman"/>
                <w:snapToGrid w:val="0"/>
                <w:szCs w:val="22"/>
              </w:rPr>
            </w:pPr>
            <w:r>
              <w:rPr>
                <w:rFonts w:hAnsi="Times New Roman" w:hint="eastAsia"/>
                <w:snapToGrid w:val="0"/>
                <w:szCs w:val="22"/>
              </w:rPr>
              <w:t>1</w:t>
            </w:r>
            <w:r>
              <w:rPr>
                <w:rFonts w:hAnsi="Times New Roman"/>
                <w:snapToGrid w:val="0"/>
                <w:szCs w:val="22"/>
              </w:rPr>
              <w:t>000</w:t>
            </w:r>
          </w:p>
        </w:tc>
        <w:tc>
          <w:tcPr>
            <w:tcW w:w="386" w:type="pct"/>
            <w:vAlign w:val="center"/>
          </w:tcPr>
          <w:p w14:paraId="169306DA" w14:textId="77777777" w:rsidR="00B14D53" w:rsidRDefault="00000000">
            <w:pPr>
              <w:widowControl/>
              <w:jc w:val="center"/>
              <w:textAlignment w:val="center"/>
              <w:rPr>
                <w:snapToGrid w:val="0"/>
                <w:szCs w:val="22"/>
              </w:rPr>
            </w:pPr>
            <w:r>
              <w:rPr>
                <w:rFonts w:hint="eastAsia"/>
                <w:snapToGrid w:val="0"/>
                <w:szCs w:val="22"/>
              </w:rPr>
              <w:t>6.43</w:t>
            </w:r>
          </w:p>
        </w:tc>
        <w:tc>
          <w:tcPr>
            <w:tcW w:w="405" w:type="pct"/>
            <w:vAlign w:val="center"/>
          </w:tcPr>
          <w:p w14:paraId="217A8568" w14:textId="77777777" w:rsidR="00B14D53" w:rsidRDefault="00000000">
            <w:pPr>
              <w:widowControl/>
              <w:jc w:val="center"/>
              <w:textAlignment w:val="center"/>
              <w:rPr>
                <w:snapToGrid w:val="0"/>
                <w:szCs w:val="22"/>
              </w:rPr>
            </w:pPr>
            <w:r>
              <w:rPr>
                <w:rFonts w:hint="eastAsia"/>
                <w:snapToGrid w:val="0"/>
                <w:szCs w:val="22"/>
              </w:rPr>
              <w:t>0.006</w:t>
            </w:r>
          </w:p>
        </w:tc>
        <w:tc>
          <w:tcPr>
            <w:tcW w:w="559" w:type="pct"/>
            <w:vMerge w:val="restart"/>
            <w:vAlign w:val="center"/>
          </w:tcPr>
          <w:p w14:paraId="745CA0B3" w14:textId="77777777" w:rsidR="00B14D53" w:rsidRDefault="00000000">
            <w:pPr>
              <w:pStyle w:val="afff2"/>
              <w:spacing w:line="240" w:lineRule="auto"/>
              <w:rPr>
                <w:rFonts w:hAnsi="Times New Roman"/>
                <w:snapToGrid w:val="0"/>
                <w:szCs w:val="22"/>
              </w:rPr>
            </w:pPr>
            <w:r>
              <w:rPr>
                <w:rFonts w:hAnsi="Times New Roman"/>
                <w:snapToGrid w:val="0"/>
                <w:szCs w:val="22"/>
              </w:rPr>
              <w:t>待宰</w:t>
            </w:r>
            <w:r>
              <w:rPr>
                <w:rFonts w:hAnsi="Times New Roman" w:hint="eastAsia"/>
                <w:snapToGrid w:val="0"/>
                <w:szCs w:val="22"/>
              </w:rPr>
              <w:t>圈</w:t>
            </w:r>
            <w:r>
              <w:rPr>
                <w:rFonts w:hAnsi="Times New Roman"/>
                <w:snapToGrid w:val="0"/>
                <w:szCs w:val="22"/>
              </w:rPr>
              <w:t>及时清扫，并投加或喷洒除臭剂</w:t>
            </w:r>
            <w:r>
              <w:rPr>
                <w:rFonts w:hAnsi="Times New Roman"/>
                <w:snapToGrid w:val="0"/>
                <w:szCs w:val="22"/>
              </w:rPr>
              <w:t>+</w:t>
            </w:r>
            <w:r>
              <w:rPr>
                <w:rFonts w:hAnsi="Times New Roman" w:hint="eastAsia"/>
                <w:snapToGrid w:val="0"/>
                <w:szCs w:val="22"/>
              </w:rPr>
              <w:t>引风机</w:t>
            </w:r>
            <w:r>
              <w:rPr>
                <w:rFonts w:hAnsi="Times New Roman"/>
                <w:snapToGrid w:val="0"/>
                <w:szCs w:val="22"/>
              </w:rPr>
              <w:t>收集</w:t>
            </w:r>
            <w:r>
              <w:rPr>
                <w:rFonts w:hAnsi="Times New Roman"/>
                <w:snapToGrid w:val="0"/>
                <w:szCs w:val="22"/>
              </w:rPr>
              <w:t>+</w:t>
            </w:r>
            <w:r>
              <w:rPr>
                <w:rFonts w:hAnsi="Times New Roman"/>
                <w:snapToGrid w:val="0"/>
                <w:szCs w:val="22"/>
              </w:rPr>
              <w:t>活性炭吸附装置净化处理</w:t>
            </w:r>
          </w:p>
        </w:tc>
        <w:tc>
          <w:tcPr>
            <w:tcW w:w="420" w:type="pct"/>
            <w:vMerge w:val="restart"/>
            <w:vAlign w:val="center"/>
          </w:tcPr>
          <w:p w14:paraId="208DDC87" w14:textId="77777777" w:rsidR="00B14D53" w:rsidRDefault="00000000">
            <w:pPr>
              <w:pStyle w:val="afff2"/>
              <w:spacing w:line="240" w:lineRule="auto"/>
              <w:rPr>
                <w:rFonts w:hAnsi="Times New Roman"/>
                <w:snapToGrid w:val="0"/>
                <w:szCs w:val="22"/>
              </w:rPr>
            </w:pPr>
            <w:r>
              <w:rPr>
                <w:rFonts w:hAnsi="Times New Roman"/>
                <w:bCs/>
                <w:snapToGrid w:val="0"/>
                <w:szCs w:val="22"/>
              </w:rPr>
              <w:t>除臭剂效率</w:t>
            </w:r>
            <w:r>
              <w:rPr>
                <w:rFonts w:hAnsi="Times New Roman" w:hint="eastAsia"/>
                <w:bCs/>
                <w:snapToGrid w:val="0"/>
                <w:szCs w:val="22"/>
              </w:rPr>
              <w:t>氨</w:t>
            </w:r>
            <w:r>
              <w:rPr>
                <w:rFonts w:hAnsi="Times New Roman" w:hint="eastAsia"/>
                <w:bCs/>
                <w:snapToGrid w:val="0"/>
                <w:szCs w:val="22"/>
              </w:rPr>
              <w:t>75</w:t>
            </w:r>
            <w:r>
              <w:rPr>
                <w:rFonts w:hAnsi="Times New Roman" w:hint="eastAsia"/>
                <w:bCs/>
                <w:snapToGrid w:val="0"/>
                <w:szCs w:val="22"/>
              </w:rPr>
              <w:t>、硫化氢</w:t>
            </w:r>
            <w:r>
              <w:rPr>
                <w:rFonts w:hAnsi="Times New Roman" w:hint="eastAsia"/>
                <w:bCs/>
                <w:snapToGrid w:val="0"/>
                <w:szCs w:val="22"/>
              </w:rPr>
              <w:t>83</w:t>
            </w:r>
            <w:r>
              <w:rPr>
                <w:rFonts w:hAnsi="Times New Roman"/>
                <w:bCs/>
                <w:snapToGrid w:val="0"/>
                <w:szCs w:val="22"/>
              </w:rPr>
              <w:t>+</w:t>
            </w:r>
            <w:r>
              <w:rPr>
                <w:rFonts w:hAnsi="Times New Roman"/>
                <w:bCs/>
                <w:snapToGrid w:val="0"/>
                <w:szCs w:val="22"/>
              </w:rPr>
              <w:t>活性炭效率</w:t>
            </w:r>
            <w:r>
              <w:rPr>
                <w:rFonts w:hAnsi="Times New Roman" w:hint="eastAsia"/>
                <w:bCs/>
                <w:snapToGrid w:val="0"/>
                <w:szCs w:val="22"/>
              </w:rPr>
              <w:t>9</w:t>
            </w:r>
            <w:r>
              <w:rPr>
                <w:rFonts w:hAnsi="Times New Roman"/>
                <w:bCs/>
                <w:snapToGrid w:val="0"/>
                <w:szCs w:val="22"/>
              </w:rPr>
              <w:t>0</w:t>
            </w:r>
          </w:p>
        </w:tc>
        <w:tc>
          <w:tcPr>
            <w:tcW w:w="166" w:type="pct"/>
            <w:vMerge w:val="restart"/>
            <w:vAlign w:val="center"/>
          </w:tcPr>
          <w:p w14:paraId="7D51F74A" w14:textId="77777777" w:rsidR="00B14D53" w:rsidRDefault="00000000">
            <w:pPr>
              <w:pStyle w:val="afff2"/>
              <w:spacing w:line="240" w:lineRule="auto"/>
              <w:rPr>
                <w:rFonts w:hAnsi="Times New Roman"/>
                <w:snapToGrid w:val="0"/>
                <w:szCs w:val="22"/>
              </w:rPr>
            </w:pPr>
            <w:r>
              <w:rPr>
                <w:rFonts w:hAnsi="Times New Roman"/>
                <w:snapToGrid w:val="0"/>
                <w:szCs w:val="22"/>
              </w:rPr>
              <w:t>物料衡算法</w:t>
            </w:r>
          </w:p>
        </w:tc>
        <w:tc>
          <w:tcPr>
            <w:tcW w:w="296" w:type="pct"/>
            <w:vMerge w:val="restart"/>
            <w:vAlign w:val="center"/>
          </w:tcPr>
          <w:p w14:paraId="4C88C054" w14:textId="77777777" w:rsidR="00B14D53" w:rsidRDefault="00000000">
            <w:pPr>
              <w:pStyle w:val="afff2"/>
              <w:spacing w:line="240" w:lineRule="auto"/>
              <w:rPr>
                <w:rFonts w:hAnsi="Times New Roman"/>
                <w:snapToGrid w:val="0"/>
                <w:szCs w:val="22"/>
              </w:rPr>
            </w:pPr>
            <w:r>
              <w:rPr>
                <w:rFonts w:hAnsi="Times New Roman" w:hint="eastAsia"/>
                <w:snapToGrid w:val="0"/>
                <w:szCs w:val="22"/>
              </w:rPr>
              <w:t>1</w:t>
            </w:r>
            <w:r>
              <w:rPr>
                <w:rFonts w:hAnsi="Times New Roman"/>
                <w:snapToGrid w:val="0"/>
                <w:szCs w:val="22"/>
              </w:rPr>
              <w:t>000</w:t>
            </w:r>
          </w:p>
        </w:tc>
        <w:tc>
          <w:tcPr>
            <w:tcW w:w="339" w:type="pct"/>
            <w:vAlign w:val="center"/>
          </w:tcPr>
          <w:p w14:paraId="35472677" w14:textId="77777777" w:rsidR="00B14D53" w:rsidRDefault="00000000">
            <w:pPr>
              <w:widowControl/>
              <w:jc w:val="center"/>
              <w:textAlignment w:val="center"/>
              <w:rPr>
                <w:snapToGrid w:val="0"/>
                <w:szCs w:val="22"/>
              </w:rPr>
            </w:pPr>
            <w:r>
              <w:rPr>
                <w:rFonts w:hint="eastAsia"/>
                <w:snapToGrid w:val="0"/>
                <w:szCs w:val="22"/>
              </w:rPr>
              <w:t>0.64</w:t>
            </w:r>
          </w:p>
        </w:tc>
        <w:tc>
          <w:tcPr>
            <w:tcW w:w="403" w:type="pct"/>
            <w:vAlign w:val="center"/>
          </w:tcPr>
          <w:p w14:paraId="059B75CE" w14:textId="77777777" w:rsidR="00B14D53" w:rsidRDefault="00000000">
            <w:pPr>
              <w:widowControl/>
              <w:jc w:val="center"/>
              <w:textAlignment w:val="center"/>
              <w:rPr>
                <w:snapToGrid w:val="0"/>
                <w:szCs w:val="22"/>
              </w:rPr>
            </w:pPr>
            <w:r>
              <w:rPr>
                <w:rFonts w:hint="eastAsia"/>
                <w:snapToGrid w:val="0"/>
                <w:szCs w:val="22"/>
              </w:rPr>
              <w:t>0.0006</w:t>
            </w:r>
          </w:p>
        </w:tc>
        <w:tc>
          <w:tcPr>
            <w:tcW w:w="378" w:type="pct"/>
            <w:vMerge w:val="restart"/>
            <w:vAlign w:val="center"/>
          </w:tcPr>
          <w:p w14:paraId="380319C2" w14:textId="77777777" w:rsidR="00B14D53" w:rsidRDefault="00000000">
            <w:pPr>
              <w:pStyle w:val="afff2"/>
              <w:spacing w:line="240" w:lineRule="auto"/>
              <w:rPr>
                <w:rFonts w:hAnsi="Times New Roman"/>
                <w:snapToGrid w:val="0"/>
                <w:szCs w:val="22"/>
              </w:rPr>
            </w:pPr>
            <w:r>
              <w:rPr>
                <w:rFonts w:hAnsi="Times New Roman" w:hint="eastAsia"/>
                <w:snapToGrid w:val="0"/>
                <w:szCs w:val="22"/>
              </w:rPr>
              <w:t>8160</w:t>
            </w:r>
          </w:p>
        </w:tc>
      </w:tr>
      <w:tr w:rsidR="00B14D53" w14:paraId="121752D2" w14:textId="77777777">
        <w:trPr>
          <w:trHeight w:val="182"/>
        </w:trPr>
        <w:tc>
          <w:tcPr>
            <w:tcW w:w="239" w:type="pct"/>
            <w:vMerge/>
            <w:vAlign w:val="center"/>
          </w:tcPr>
          <w:p w14:paraId="19D85949" w14:textId="77777777" w:rsidR="00B14D53" w:rsidRDefault="00B14D53">
            <w:pPr>
              <w:pStyle w:val="afff2"/>
              <w:spacing w:line="240" w:lineRule="auto"/>
              <w:rPr>
                <w:rFonts w:hAnsi="Times New Roman"/>
                <w:snapToGrid w:val="0"/>
                <w:szCs w:val="22"/>
              </w:rPr>
            </w:pPr>
          </w:p>
        </w:tc>
        <w:tc>
          <w:tcPr>
            <w:tcW w:w="290" w:type="pct"/>
            <w:vMerge/>
            <w:vAlign w:val="center"/>
          </w:tcPr>
          <w:p w14:paraId="1BE60D9A" w14:textId="77777777" w:rsidR="00B14D53" w:rsidRDefault="00B14D53">
            <w:pPr>
              <w:pStyle w:val="afff2"/>
              <w:spacing w:line="240" w:lineRule="auto"/>
              <w:rPr>
                <w:rFonts w:hAnsi="Times New Roman"/>
                <w:snapToGrid w:val="0"/>
                <w:szCs w:val="22"/>
              </w:rPr>
            </w:pPr>
          </w:p>
        </w:tc>
        <w:tc>
          <w:tcPr>
            <w:tcW w:w="314" w:type="pct"/>
            <w:vMerge/>
            <w:vAlign w:val="center"/>
          </w:tcPr>
          <w:p w14:paraId="63A49CBE" w14:textId="77777777" w:rsidR="00B14D53" w:rsidRDefault="00B14D53">
            <w:pPr>
              <w:pStyle w:val="afff2"/>
              <w:spacing w:line="240" w:lineRule="auto"/>
              <w:jc w:val="both"/>
              <w:rPr>
                <w:rFonts w:hAnsi="Times New Roman"/>
                <w:snapToGrid w:val="0"/>
                <w:szCs w:val="22"/>
              </w:rPr>
            </w:pPr>
          </w:p>
        </w:tc>
        <w:tc>
          <w:tcPr>
            <w:tcW w:w="303" w:type="pct"/>
            <w:vAlign w:val="center"/>
          </w:tcPr>
          <w:p w14:paraId="3D1E1006" w14:textId="77777777" w:rsidR="00B14D53" w:rsidRDefault="00000000">
            <w:pPr>
              <w:pStyle w:val="afff2"/>
              <w:spacing w:line="240" w:lineRule="auto"/>
              <w:rPr>
                <w:rFonts w:hAnsi="Times New Roman"/>
                <w:snapToGrid w:val="0"/>
                <w:szCs w:val="22"/>
              </w:rPr>
            </w:pPr>
            <w:r>
              <w:rPr>
                <w:rFonts w:hAnsi="Times New Roman"/>
                <w:snapToGrid w:val="0"/>
                <w:szCs w:val="22"/>
              </w:rPr>
              <w:t>H</w:t>
            </w:r>
            <w:r>
              <w:rPr>
                <w:rFonts w:hAnsi="Times New Roman"/>
                <w:snapToGrid w:val="0"/>
                <w:szCs w:val="22"/>
                <w:vertAlign w:val="subscript"/>
              </w:rPr>
              <w:t>2</w:t>
            </w:r>
            <w:r>
              <w:rPr>
                <w:rFonts w:hAnsi="Times New Roman"/>
                <w:snapToGrid w:val="0"/>
                <w:szCs w:val="22"/>
              </w:rPr>
              <w:t>S</w:t>
            </w:r>
          </w:p>
        </w:tc>
        <w:tc>
          <w:tcPr>
            <w:tcW w:w="204" w:type="pct"/>
            <w:vMerge/>
            <w:vAlign w:val="center"/>
          </w:tcPr>
          <w:p w14:paraId="45597857" w14:textId="77777777" w:rsidR="00B14D53" w:rsidRDefault="00B14D53">
            <w:pPr>
              <w:pStyle w:val="afff2"/>
              <w:spacing w:line="240" w:lineRule="auto"/>
              <w:rPr>
                <w:rFonts w:hAnsi="Times New Roman"/>
                <w:snapToGrid w:val="0"/>
                <w:szCs w:val="22"/>
              </w:rPr>
            </w:pPr>
          </w:p>
        </w:tc>
        <w:tc>
          <w:tcPr>
            <w:tcW w:w="291" w:type="pct"/>
            <w:vMerge/>
            <w:vAlign w:val="center"/>
          </w:tcPr>
          <w:p w14:paraId="146A8A5C" w14:textId="77777777" w:rsidR="00B14D53" w:rsidRDefault="00B14D53">
            <w:pPr>
              <w:pStyle w:val="afff2"/>
              <w:spacing w:line="240" w:lineRule="auto"/>
              <w:rPr>
                <w:rFonts w:hAnsi="Times New Roman"/>
                <w:snapToGrid w:val="0"/>
                <w:color w:val="FF0000"/>
                <w:szCs w:val="22"/>
              </w:rPr>
            </w:pPr>
          </w:p>
        </w:tc>
        <w:tc>
          <w:tcPr>
            <w:tcW w:w="386" w:type="pct"/>
            <w:vAlign w:val="center"/>
          </w:tcPr>
          <w:p w14:paraId="564A9C59" w14:textId="77777777" w:rsidR="00B14D53" w:rsidRDefault="00000000">
            <w:pPr>
              <w:widowControl/>
              <w:jc w:val="center"/>
              <w:textAlignment w:val="center"/>
              <w:rPr>
                <w:snapToGrid w:val="0"/>
                <w:szCs w:val="22"/>
              </w:rPr>
            </w:pPr>
            <w:r>
              <w:rPr>
                <w:rFonts w:hint="eastAsia"/>
                <w:snapToGrid w:val="0"/>
                <w:szCs w:val="22"/>
              </w:rPr>
              <w:t>0.39</w:t>
            </w:r>
          </w:p>
        </w:tc>
        <w:tc>
          <w:tcPr>
            <w:tcW w:w="405" w:type="pct"/>
            <w:vAlign w:val="center"/>
          </w:tcPr>
          <w:p w14:paraId="075CF3A1" w14:textId="77777777" w:rsidR="00B14D53" w:rsidRDefault="00000000">
            <w:pPr>
              <w:widowControl/>
              <w:jc w:val="center"/>
              <w:textAlignment w:val="center"/>
              <w:rPr>
                <w:snapToGrid w:val="0"/>
                <w:szCs w:val="22"/>
              </w:rPr>
            </w:pPr>
            <w:r>
              <w:rPr>
                <w:rFonts w:hint="eastAsia"/>
                <w:snapToGrid w:val="0"/>
                <w:szCs w:val="22"/>
              </w:rPr>
              <w:t>0.0004</w:t>
            </w:r>
          </w:p>
        </w:tc>
        <w:tc>
          <w:tcPr>
            <w:tcW w:w="559" w:type="pct"/>
            <w:vMerge/>
            <w:vAlign w:val="center"/>
          </w:tcPr>
          <w:p w14:paraId="13FB0D2E" w14:textId="77777777" w:rsidR="00B14D53" w:rsidRDefault="00B14D53">
            <w:pPr>
              <w:pStyle w:val="afff2"/>
              <w:spacing w:line="240" w:lineRule="auto"/>
              <w:rPr>
                <w:rFonts w:hAnsi="Times New Roman"/>
                <w:snapToGrid w:val="0"/>
                <w:szCs w:val="22"/>
              </w:rPr>
            </w:pPr>
          </w:p>
        </w:tc>
        <w:tc>
          <w:tcPr>
            <w:tcW w:w="420" w:type="pct"/>
            <w:vMerge/>
            <w:vAlign w:val="center"/>
          </w:tcPr>
          <w:p w14:paraId="21355F33" w14:textId="77777777" w:rsidR="00B14D53" w:rsidRDefault="00B14D53">
            <w:pPr>
              <w:pStyle w:val="afff2"/>
              <w:spacing w:line="240" w:lineRule="auto"/>
              <w:rPr>
                <w:rFonts w:hAnsi="Times New Roman"/>
                <w:snapToGrid w:val="0"/>
                <w:szCs w:val="22"/>
              </w:rPr>
            </w:pPr>
          </w:p>
        </w:tc>
        <w:tc>
          <w:tcPr>
            <w:tcW w:w="166" w:type="pct"/>
            <w:vMerge/>
            <w:vAlign w:val="center"/>
          </w:tcPr>
          <w:p w14:paraId="1791F7EE" w14:textId="77777777" w:rsidR="00B14D53" w:rsidRDefault="00B14D53">
            <w:pPr>
              <w:pStyle w:val="afff2"/>
              <w:spacing w:line="240" w:lineRule="auto"/>
              <w:rPr>
                <w:rFonts w:hAnsi="Times New Roman"/>
                <w:snapToGrid w:val="0"/>
                <w:szCs w:val="22"/>
              </w:rPr>
            </w:pPr>
          </w:p>
        </w:tc>
        <w:tc>
          <w:tcPr>
            <w:tcW w:w="296" w:type="pct"/>
            <w:vMerge/>
            <w:vAlign w:val="center"/>
          </w:tcPr>
          <w:p w14:paraId="55E1151D" w14:textId="77777777" w:rsidR="00B14D53" w:rsidRDefault="00B14D53">
            <w:pPr>
              <w:pStyle w:val="afff2"/>
              <w:spacing w:line="240" w:lineRule="auto"/>
              <w:rPr>
                <w:rFonts w:hAnsi="Times New Roman"/>
                <w:snapToGrid w:val="0"/>
                <w:szCs w:val="22"/>
              </w:rPr>
            </w:pPr>
          </w:p>
        </w:tc>
        <w:tc>
          <w:tcPr>
            <w:tcW w:w="339" w:type="pct"/>
            <w:vAlign w:val="center"/>
          </w:tcPr>
          <w:p w14:paraId="36F3E775" w14:textId="77777777" w:rsidR="00B14D53" w:rsidRDefault="00000000">
            <w:pPr>
              <w:widowControl/>
              <w:jc w:val="center"/>
              <w:textAlignment w:val="center"/>
              <w:rPr>
                <w:snapToGrid w:val="0"/>
                <w:szCs w:val="22"/>
              </w:rPr>
            </w:pPr>
            <w:r>
              <w:rPr>
                <w:rFonts w:hint="eastAsia"/>
                <w:snapToGrid w:val="0"/>
                <w:szCs w:val="22"/>
              </w:rPr>
              <w:t>0.04</w:t>
            </w:r>
          </w:p>
        </w:tc>
        <w:tc>
          <w:tcPr>
            <w:tcW w:w="403" w:type="pct"/>
            <w:vAlign w:val="center"/>
          </w:tcPr>
          <w:p w14:paraId="460338E3" w14:textId="77777777" w:rsidR="00B14D53" w:rsidRDefault="00000000">
            <w:pPr>
              <w:widowControl/>
              <w:jc w:val="center"/>
              <w:textAlignment w:val="center"/>
              <w:rPr>
                <w:snapToGrid w:val="0"/>
                <w:szCs w:val="22"/>
              </w:rPr>
            </w:pPr>
            <w:r>
              <w:rPr>
                <w:rFonts w:hint="eastAsia"/>
                <w:snapToGrid w:val="0"/>
                <w:szCs w:val="22"/>
              </w:rPr>
              <w:t>0.00004</w:t>
            </w:r>
          </w:p>
        </w:tc>
        <w:tc>
          <w:tcPr>
            <w:tcW w:w="378" w:type="pct"/>
            <w:vMerge/>
            <w:vAlign w:val="center"/>
          </w:tcPr>
          <w:p w14:paraId="04AA3DF3" w14:textId="77777777" w:rsidR="00B14D53" w:rsidRDefault="00B14D53">
            <w:pPr>
              <w:pStyle w:val="afff2"/>
              <w:spacing w:line="240" w:lineRule="auto"/>
              <w:rPr>
                <w:rFonts w:hAnsi="Times New Roman"/>
                <w:snapToGrid w:val="0"/>
                <w:szCs w:val="22"/>
              </w:rPr>
            </w:pPr>
          </w:p>
        </w:tc>
      </w:tr>
      <w:tr w:rsidR="00B14D53" w14:paraId="57DC4358" w14:textId="77777777">
        <w:trPr>
          <w:trHeight w:val="182"/>
        </w:trPr>
        <w:tc>
          <w:tcPr>
            <w:tcW w:w="239" w:type="pct"/>
            <w:vMerge/>
            <w:vAlign w:val="center"/>
          </w:tcPr>
          <w:p w14:paraId="23D0F6F7" w14:textId="77777777" w:rsidR="00B14D53" w:rsidRDefault="00B14D53">
            <w:pPr>
              <w:pStyle w:val="afff2"/>
              <w:spacing w:line="240" w:lineRule="auto"/>
              <w:rPr>
                <w:rFonts w:hAnsi="Times New Roman"/>
                <w:snapToGrid w:val="0"/>
                <w:szCs w:val="22"/>
              </w:rPr>
            </w:pPr>
          </w:p>
        </w:tc>
        <w:tc>
          <w:tcPr>
            <w:tcW w:w="290" w:type="pct"/>
            <w:vMerge/>
            <w:vAlign w:val="center"/>
          </w:tcPr>
          <w:p w14:paraId="229F2FCF" w14:textId="77777777" w:rsidR="00B14D53" w:rsidRDefault="00B14D53">
            <w:pPr>
              <w:pStyle w:val="afff2"/>
              <w:spacing w:line="240" w:lineRule="auto"/>
              <w:rPr>
                <w:rFonts w:hAnsi="Times New Roman"/>
                <w:snapToGrid w:val="0"/>
                <w:szCs w:val="22"/>
              </w:rPr>
            </w:pPr>
          </w:p>
        </w:tc>
        <w:tc>
          <w:tcPr>
            <w:tcW w:w="314" w:type="pct"/>
            <w:vMerge w:val="restart"/>
            <w:vAlign w:val="center"/>
          </w:tcPr>
          <w:p w14:paraId="4FF9D604" w14:textId="77777777" w:rsidR="00B14D53" w:rsidRDefault="00000000">
            <w:pPr>
              <w:pStyle w:val="afff2"/>
              <w:spacing w:line="240" w:lineRule="auto"/>
              <w:rPr>
                <w:rFonts w:hAnsi="Times New Roman"/>
                <w:snapToGrid w:val="0"/>
                <w:szCs w:val="22"/>
              </w:rPr>
            </w:pPr>
            <w:r>
              <w:rPr>
                <w:rFonts w:hAnsi="Times New Roman"/>
                <w:snapToGrid w:val="0"/>
                <w:szCs w:val="22"/>
              </w:rPr>
              <w:t>无组织</w:t>
            </w:r>
          </w:p>
        </w:tc>
        <w:tc>
          <w:tcPr>
            <w:tcW w:w="303" w:type="pct"/>
            <w:vAlign w:val="center"/>
          </w:tcPr>
          <w:p w14:paraId="3E942BAC" w14:textId="77777777" w:rsidR="00B14D53" w:rsidRDefault="00000000">
            <w:pPr>
              <w:pStyle w:val="afff2"/>
              <w:spacing w:line="240" w:lineRule="auto"/>
              <w:rPr>
                <w:rFonts w:hAnsi="Times New Roman"/>
                <w:snapToGrid w:val="0"/>
                <w:szCs w:val="22"/>
              </w:rPr>
            </w:pPr>
            <w:r>
              <w:rPr>
                <w:rFonts w:hAnsi="Times New Roman"/>
                <w:snapToGrid w:val="0"/>
                <w:szCs w:val="22"/>
              </w:rPr>
              <w:t>NH</w:t>
            </w:r>
            <w:r>
              <w:rPr>
                <w:rFonts w:hAnsi="Times New Roman"/>
                <w:snapToGrid w:val="0"/>
                <w:szCs w:val="22"/>
                <w:vertAlign w:val="subscript"/>
              </w:rPr>
              <w:t>3</w:t>
            </w:r>
          </w:p>
        </w:tc>
        <w:tc>
          <w:tcPr>
            <w:tcW w:w="204" w:type="pct"/>
            <w:vMerge/>
            <w:vAlign w:val="center"/>
          </w:tcPr>
          <w:p w14:paraId="555C459E" w14:textId="77777777" w:rsidR="00B14D53" w:rsidRDefault="00B14D53">
            <w:pPr>
              <w:pStyle w:val="afff2"/>
              <w:spacing w:line="240" w:lineRule="auto"/>
              <w:rPr>
                <w:rFonts w:hAnsi="Times New Roman"/>
                <w:snapToGrid w:val="0"/>
                <w:szCs w:val="22"/>
              </w:rPr>
            </w:pPr>
          </w:p>
        </w:tc>
        <w:tc>
          <w:tcPr>
            <w:tcW w:w="291" w:type="pct"/>
            <w:vMerge w:val="restart"/>
            <w:vAlign w:val="center"/>
          </w:tcPr>
          <w:p w14:paraId="4FE799F6"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386" w:type="pct"/>
            <w:vAlign w:val="center"/>
          </w:tcPr>
          <w:p w14:paraId="030A4ADD"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5" w:type="pct"/>
            <w:vAlign w:val="center"/>
          </w:tcPr>
          <w:p w14:paraId="3CE6A141" w14:textId="77777777" w:rsidR="00B14D53" w:rsidRDefault="00000000">
            <w:pPr>
              <w:widowControl/>
              <w:jc w:val="center"/>
              <w:textAlignment w:val="center"/>
              <w:rPr>
                <w:snapToGrid w:val="0"/>
              </w:rPr>
            </w:pPr>
            <w:r>
              <w:rPr>
                <w:rFonts w:hint="eastAsia"/>
                <w:snapToGrid w:val="0"/>
              </w:rPr>
              <w:t>0.002</w:t>
            </w:r>
          </w:p>
        </w:tc>
        <w:tc>
          <w:tcPr>
            <w:tcW w:w="559" w:type="pct"/>
            <w:vMerge w:val="restart"/>
            <w:vAlign w:val="center"/>
          </w:tcPr>
          <w:p w14:paraId="76C51174"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420" w:type="pct"/>
            <w:vMerge w:val="restart"/>
            <w:vAlign w:val="center"/>
          </w:tcPr>
          <w:p w14:paraId="013B93FE"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166" w:type="pct"/>
            <w:vMerge/>
            <w:vAlign w:val="center"/>
          </w:tcPr>
          <w:p w14:paraId="65A92CB2" w14:textId="77777777" w:rsidR="00B14D53" w:rsidRDefault="00B14D53">
            <w:pPr>
              <w:pStyle w:val="afff2"/>
              <w:spacing w:line="240" w:lineRule="auto"/>
              <w:rPr>
                <w:rFonts w:hAnsi="Times New Roman"/>
                <w:snapToGrid w:val="0"/>
                <w:szCs w:val="22"/>
              </w:rPr>
            </w:pPr>
          </w:p>
        </w:tc>
        <w:tc>
          <w:tcPr>
            <w:tcW w:w="296" w:type="pct"/>
            <w:vMerge w:val="restart"/>
            <w:vAlign w:val="center"/>
          </w:tcPr>
          <w:p w14:paraId="26249610"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339" w:type="pct"/>
            <w:vAlign w:val="center"/>
          </w:tcPr>
          <w:p w14:paraId="649DAA3E"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3" w:type="pct"/>
            <w:vAlign w:val="center"/>
          </w:tcPr>
          <w:p w14:paraId="0F9902D7" w14:textId="77777777" w:rsidR="00B14D53" w:rsidRDefault="00000000">
            <w:pPr>
              <w:widowControl/>
              <w:jc w:val="center"/>
              <w:textAlignment w:val="center"/>
              <w:rPr>
                <w:snapToGrid w:val="0"/>
              </w:rPr>
            </w:pPr>
            <w:r>
              <w:rPr>
                <w:rFonts w:hint="eastAsia"/>
                <w:snapToGrid w:val="0"/>
              </w:rPr>
              <w:t>0.002</w:t>
            </w:r>
          </w:p>
        </w:tc>
        <w:tc>
          <w:tcPr>
            <w:tcW w:w="378" w:type="pct"/>
            <w:vMerge/>
            <w:vAlign w:val="center"/>
          </w:tcPr>
          <w:p w14:paraId="7C0E9E4F" w14:textId="77777777" w:rsidR="00B14D53" w:rsidRDefault="00B14D53">
            <w:pPr>
              <w:pStyle w:val="afff2"/>
              <w:spacing w:line="240" w:lineRule="auto"/>
              <w:rPr>
                <w:rFonts w:hAnsi="Times New Roman"/>
                <w:snapToGrid w:val="0"/>
                <w:szCs w:val="22"/>
              </w:rPr>
            </w:pPr>
          </w:p>
        </w:tc>
      </w:tr>
      <w:tr w:rsidR="00B14D53" w14:paraId="44060A34" w14:textId="77777777">
        <w:trPr>
          <w:trHeight w:val="182"/>
        </w:trPr>
        <w:tc>
          <w:tcPr>
            <w:tcW w:w="239" w:type="pct"/>
            <w:vMerge/>
            <w:vAlign w:val="center"/>
          </w:tcPr>
          <w:p w14:paraId="3810708B" w14:textId="77777777" w:rsidR="00B14D53" w:rsidRDefault="00B14D53">
            <w:pPr>
              <w:pStyle w:val="afff2"/>
              <w:spacing w:line="240" w:lineRule="auto"/>
              <w:rPr>
                <w:rFonts w:hAnsi="Times New Roman"/>
                <w:snapToGrid w:val="0"/>
                <w:szCs w:val="22"/>
              </w:rPr>
            </w:pPr>
          </w:p>
        </w:tc>
        <w:tc>
          <w:tcPr>
            <w:tcW w:w="290" w:type="pct"/>
            <w:vMerge/>
            <w:vAlign w:val="center"/>
          </w:tcPr>
          <w:p w14:paraId="69BA5BB6" w14:textId="77777777" w:rsidR="00B14D53" w:rsidRDefault="00B14D53">
            <w:pPr>
              <w:pStyle w:val="afff2"/>
              <w:spacing w:line="240" w:lineRule="auto"/>
              <w:rPr>
                <w:rFonts w:hAnsi="Times New Roman"/>
                <w:snapToGrid w:val="0"/>
                <w:szCs w:val="22"/>
              </w:rPr>
            </w:pPr>
          </w:p>
        </w:tc>
        <w:tc>
          <w:tcPr>
            <w:tcW w:w="314" w:type="pct"/>
            <w:vMerge/>
            <w:vAlign w:val="center"/>
          </w:tcPr>
          <w:p w14:paraId="2D5D3F71" w14:textId="77777777" w:rsidR="00B14D53" w:rsidRDefault="00B14D53">
            <w:pPr>
              <w:pStyle w:val="afff2"/>
              <w:spacing w:line="240" w:lineRule="auto"/>
              <w:jc w:val="both"/>
              <w:rPr>
                <w:rFonts w:hAnsi="Times New Roman"/>
                <w:snapToGrid w:val="0"/>
                <w:szCs w:val="22"/>
              </w:rPr>
            </w:pPr>
          </w:p>
        </w:tc>
        <w:tc>
          <w:tcPr>
            <w:tcW w:w="303" w:type="pct"/>
            <w:vAlign w:val="center"/>
          </w:tcPr>
          <w:p w14:paraId="6D57A239" w14:textId="77777777" w:rsidR="00B14D53" w:rsidRDefault="00000000">
            <w:pPr>
              <w:pStyle w:val="afff2"/>
              <w:spacing w:line="240" w:lineRule="auto"/>
              <w:rPr>
                <w:rFonts w:hAnsi="Times New Roman"/>
                <w:snapToGrid w:val="0"/>
                <w:szCs w:val="22"/>
              </w:rPr>
            </w:pPr>
            <w:r>
              <w:rPr>
                <w:rFonts w:hAnsi="Times New Roman"/>
                <w:snapToGrid w:val="0"/>
                <w:szCs w:val="22"/>
              </w:rPr>
              <w:t>H</w:t>
            </w:r>
            <w:r>
              <w:rPr>
                <w:rFonts w:hAnsi="Times New Roman"/>
                <w:snapToGrid w:val="0"/>
                <w:szCs w:val="22"/>
                <w:vertAlign w:val="subscript"/>
              </w:rPr>
              <w:t>2</w:t>
            </w:r>
            <w:r>
              <w:rPr>
                <w:rFonts w:hAnsi="Times New Roman"/>
                <w:snapToGrid w:val="0"/>
                <w:szCs w:val="22"/>
              </w:rPr>
              <w:t>S</w:t>
            </w:r>
          </w:p>
        </w:tc>
        <w:tc>
          <w:tcPr>
            <w:tcW w:w="204" w:type="pct"/>
            <w:vMerge/>
            <w:vAlign w:val="center"/>
          </w:tcPr>
          <w:p w14:paraId="55F74C2F" w14:textId="77777777" w:rsidR="00B14D53" w:rsidRDefault="00B14D53">
            <w:pPr>
              <w:pStyle w:val="afff2"/>
              <w:spacing w:line="240" w:lineRule="auto"/>
              <w:rPr>
                <w:rFonts w:hAnsi="Times New Roman"/>
                <w:snapToGrid w:val="0"/>
                <w:szCs w:val="22"/>
              </w:rPr>
            </w:pPr>
          </w:p>
        </w:tc>
        <w:tc>
          <w:tcPr>
            <w:tcW w:w="291" w:type="pct"/>
            <w:vMerge/>
            <w:vAlign w:val="center"/>
          </w:tcPr>
          <w:p w14:paraId="0B327B13" w14:textId="77777777" w:rsidR="00B14D53" w:rsidRDefault="00B14D53">
            <w:pPr>
              <w:pStyle w:val="afff2"/>
              <w:spacing w:line="240" w:lineRule="auto"/>
              <w:rPr>
                <w:rFonts w:hAnsi="Times New Roman"/>
                <w:snapToGrid w:val="0"/>
                <w:szCs w:val="22"/>
              </w:rPr>
            </w:pPr>
          </w:p>
        </w:tc>
        <w:tc>
          <w:tcPr>
            <w:tcW w:w="386" w:type="pct"/>
            <w:vAlign w:val="center"/>
          </w:tcPr>
          <w:p w14:paraId="2AA82CC5"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5" w:type="pct"/>
            <w:vAlign w:val="center"/>
          </w:tcPr>
          <w:p w14:paraId="10CA4322" w14:textId="77777777" w:rsidR="00B14D53" w:rsidRDefault="00000000">
            <w:pPr>
              <w:widowControl/>
              <w:jc w:val="center"/>
              <w:textAlignment w:val="center"/>
              <w:rPr>
                <w:snapToGrid w:val="0"/>
              </w:rPr>
            </w:pPr>
            <w:r>
              <w:rPr>
                <w:rFonts w:hint="eastAsia"/>
                <w:snapToGrid w:val="0"/>
              </w:rPr>
              <w:t>0.0001</w:t>
            </w:r>
          </w:p>
        </w:tc>
        <w:tc>
          <w:tcPr>
            <w:tcW w:w="559" w:type="pct"/>
            <w:vMerge/>
            <w:vAlign w:val="center"/>
          </w:tcPr>
          <w:p w14:paraId="3A7E205B" w14:textId="77777777" w:rsidR="00B14D53" w:rsidRDefault="00B14D53">
            <w:pPr>
              <w:pStyle w:val="afff2"/>
              <w:spacing w:line="240" w:lineRule="auto"/>
              <w:rPr>
                <w:rFonts w:hAnsi="Times New Roman"/>
                <w:snapToGrid w:val="0"/>
                <w:szCs w:val="22"/>
              </w:rPr>
            </w:pPr>
          </w:p>
        </w:tc>
        <w:tc>
          <w:tcPr>
            <w:tcW w:w="420" w:type="pct"/>
            <w:vMerge/>
            <w:vAlign w:val="center"/>
          </w:tcPr>
          <w:p w14:paraId="13AC14F5" w14:textId="77777777" w:rsidR="00B14D53" w:rsidRDefault="00B14D53">
            <w:pPr>
              <w:pStyle w:val="afff2"/>
              <w:spacing w:line="240" w:lineRule="auto"/>
              <w:rPr>
                <w:rFonts w:hAnsi="Times New Roman"/>
                <w:snapToGrid w:val="0"/>
                <w:szCs w:val="22"/>
              </w:rPr>
            </w:pPr>
          </w:p>
        </w:tc>
        <w:tc>
          <w:tcPr>
            <w:tcW w:w="166" w:type="pct"/>
            <w:vMerge/>
            <w:vAlign w:val="center"/>
          </w:tcPr>
          <w:p w14:paraId="4BACC2EF" w14:textId="77777777" w:rsidR="00B14D53" w:rsidRDefault="00B14D53">
            <w:pPr>
              <w:pStyle w:val="afff2"/>
              <w:spacing w:line="240" w:lineRule="auto"/>
              <w:rPr>
                <w:rFonts w:hAnsi="Times New Roman"/>
                <w:snapToGrid w:val="0"/>
                <w:szCs w:val="22"/>
              </w:rPr>
            </w:pPr>
          </w:p>
        </w:tc>
        <w:tc>
          <w:tcPr>
            <w:tcW w:w="296" w:type="pct"/>
            <w:vMerge/>
            <w:vAlign w:val="center"/>
          </w:tcPr>
          <w:p w14:paraId="3DBF330D" w14:textId="77777777" w:rsidR="00B14D53" w:rsidRDefault="00B14D53">
            <w:pPr>
              <w:pStyle w:val="afff2"/>
              <w:spacing w:line="240" w:lineRule="auto"/>
              <w:rPr>
                <w:rFonts w:hAnsi="Times New Roman"/>
                <w:snapToGrid w:val="0"/>
                <w:szCs w:val="22"/>
              </w:rPr>
            </w:pPr>
          </w:p>
        </w:tc>
        <w:tc>
          <w:tcPr>
            <w:tcW w:w="339" w:type="pct"/>
            <w:vAlign w:val="center"/>
          </w:tcPr>
          <w:p w14:paraId="6B164699"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3" w:type="pct"/>
            <w:vAlign w:val="center"/>
          </w:tcPr>
          <w:p w14:paraId="509F435B" w14:textId="77777777" w:rsidR="00B14D53" w:rsidRDefault="00000000">
            <w:pPr>
              <w:widowControl/>
              <w:jc w:val="center"/>
              <w:textAlignment w:val="center"/>
              <w:rPr>
                <w:snapToGrid w:val="0"/>
              </w:rPr>
            </w:pPr>
            <w:r>
              <w:rPr>
                <w:rFonts w:hint="eastAsia"/>
                <w:snapToGrid w:val="0"/>
              </w:rPr>
              <w:t>0.0001</w:t>
            </w:r>
          </w:p>
        </w:tc>
        <w:tc>
          <w:tcPr>
            <w:tcW w:w="378" w:type="pct"/>
            <w:vMerge/>
            <w:vAlign w:val="center"/>
          </w:tcPr>
          <w:p w14:paraId="08E7E9EE" w14:textId="77777777" w:rsidR="00B14D53" w:rsidRDefault="00B14D53">
            <w:pPr>
              <w:pStyle w:val="afff2"/>
              <w:spacing w:line="240" w:lineRule="auto"/>
              <w:rPr>
                <w:rFonts w:hAnsi="Times New Roman"/>
                <w:snapToGrid w:val="0"/>
                <w:szCs w:val="22"/>
              </w:rPr>
            </w:pPr>
          </w:p>
        </w:tc>
      </w:tr>
      <w:tr w:rsidR="00B14D53" w14:paraId="4D517243" w14:textId="77777777">
        <w:trPr>
          <w:trHeight w:val="834"/>
        </w:trPr>
        <w:tc>
          <w:tcPr>
            <w:tcW w:w="239" w:type="pct"/>
            <w:vMerge/>
            <w:vAlign w:val="center"/>
          </w:tcPr>
          <w:p w14:paraId="36C25651" w14:textId="77777777" w:rsidR="00B14D53" w:rsidRDefault="00B14D53">
            <w:pPr>
              <w:pStyle w:val="afff2"/>
              <w:spacing w:line="240" w:lineRule="auto"/>
              <w:rPr>
                <w:rFonts w:hAnsi="Times New Roman"/>
                <w:snapToGrid w:val="0"/>
                <w:szCs w:val="22"/>
              </w:rPr>
            </w:pPr>
          </w:p>
        </w:tc>
        <w:tc>
          <w:tcPr>
            <w:tcW w:w="290" w:type="pct"/>
            <w:vMerge w:val="restart"/>
            <w:vAlign w:val="center"/>
          </w:tcPr>
          <w:p w14:paraId="58762AB4" w14:textId="77777777" w:rsidR="00B14D53" w:rsidRDefault="00000000">
            <w:pPr>
              <w:pStyle w:val="afff2"/>
              <w:spacing w:line="240" w:lineRule="auto"/>
              <w:rPr>
                <w:rFonts w:hAnsi="Times New Roman"/>
                <w:snapToGrid w:val="0"/>
                <w:szCs w:val="22"/>
              </w:rPr>
            </w:pPr>
            <w:r>
              <w:rPr>
                <w:rFonts w:hAnsi="Times New Roman" w:hint="eastAsia"/>
                <w:snapToGrid w:val="0"/>
                <w:szCs w:val="22"/>
              </w:rPr>
              <w:t>2#</w:t>
            </w:r>
            <w:r>
              <w:rPr>
                <w:rFonts w:hAnsi="Times New Roman"/>
                <w:snapToGrid w:val="0"/>
                <w:szCs w:val="22"/>
              </w:rPr>
              <w:t>待宰</w:t>
            </w:r>
            <w:r>
              <w:rPr>
                <w:rFonts w:hAnsi="Times New Roman" w:hint="eastAsia"/>
                <w:snapToGrid w:val="0"/>
                <w:szCs w:val="22"/>
              </w:rPr>
              <w:t>圈</w:t>
            </w:r>
          </w:p>
        </w:tc>
        <w:tc>
          <w:tcPr>
            <w:tcW w:w="314" w:type="pct"/>
            <w:vMerge w:val="restart"/>
            <w:vAlign w:val="center"/>
          </w:tcPr>
          <w:p w14:paraId="48512DF5" w14:textId="77777777" w:rsidR="00B14D53" w:rsidRDefault="00000000">
            <w:pPr>
              <w:pStyle w:val="afff2"/>
              <w:spacing w:line="240" w:lineRule="auto"/>
              <w:rPr>
                <w:rFonts w:hAnsi="Times New Roman"/>
                <w:snapToGrid w:val="0"/>
                <w:szCs w:val="22"/>
              </w:rPr>
            </w:pPr>
            <w:r>
              <w:rPr>
                <w:rFonts w:hAnsi="Times New Roman"/>
                <w:snapToGrid w:val="0"/>
                <w:szCs w:val="22"/>
              </w:rPr>
              <w:t>排气筒</w:t>
            </w:r>
            <w:r>
              <w:rPr>
                <w:rFonts w:hAnsi="Times New Roman" w:hint="eastAsia"/>
                <w:snapToGrid w:val="0"/>
                <w:szCs w:val="22"/>
              </w:rPr>
              <w:t>DA002</w:t>
            </w:r>
          </w:p>
        </w:tc>
        <w:tc>
          <w:tcPr>
            <w:tcW w:w="303" w:type="pct"/>
            <w:vAlign w:val="center"/>
          </w:tcPr>
          <w:p w14:paraId="6D5CDF6D" w14:textId="77777777" w:rsidR="00B14D53" w:rsidRDefault="00000000">
            <w:pPr>
              <w:pStyle w:val="afff2"/>
              <w:spacing w:line="240" w:lineRule="auto"/>
              <w:rPr>
                <w:rFonts w:hAnsi="Times New Roman"/>
                <w:snapToGrid w:val="0"/>
                <w:szCs w:val="22"/>
              </w:rPr>
            </w:pPr>
            <w:r>
              <w:rPr>
                <w:rFonts w:hAnsi="Times New Roman"/>
                <w:snapToGrid w:val="0"/>
                <w:szCs w:val="22"/>
              </w:rPr>
              <w:t>NH</w:t>
            </w:r>
            <w:r>
              <w:rPr>
                <w:rFonts w:hAnsi="Times New Roman"/>
                <w:snapToGrid w:val="0"/>
                <w:szCs w:val="22"/>
                <w:vertAlign w:val="subscript"/>
              </w:rPr>
              <w:t>3</w:t>
            </w:r>
          </w:p>
        </w:tc>
        <w:tc>
          <w:tcPr>
            <w:tcW w:w="204" w:type="pct"/>
            <w:vMerge/>
            <w:vAlign w:val="center"/>
          </w:tcPr>
          <w:p w14:paraId="1EF4471F" w14:textId="77777777" w:rsidR="00B14D53" w:rsidRDefault="00B14D53">
            <w:pPr>
              <w:pStyle w:val="afff2"/>
              <w:spacing w:line="240" w:lineRule="auto"/>
              <w:rPr>
                <w:rFonts w:hAnsi="Times New Roman"/>
                <w:snapToGrid w:val="0"/>
                <w:szCs w:val="22"/>
              </w:rPr>
            </w:pPr>
          </w:p>
        </w:tc>
        <w:tc>
          <w:tcPr>
            <w:tcW w:w="291" w:type="pct"/>
            <w:vMerge w:val="restart"/>
            <w:vAlign w:val="center"/>
          </w:tcPr>
          <w:p w14:paraId="1C5920BE" w14:textId="77777777" w:rsidR="00B14D53" w:rsidRDefault="00000000">
            <w:pPr>
              <w:pStyle w:val="afff2"/>
              <w:spacing w:line="240" w:lineRule="auto"/>
              <w:rPr>
                <w:rFonts w:hAnsi="Times New Roman"/>
                <w:snapToGrid w:val="0"/>
                <w:szCs w:val="22"/>
              </w:rPr>
            </w:pPr>
            <w:r>
              <w:rPr>
                <w:rFonts w:hAnsi="Times New Roman" w:hint="eastAsia"/>
                <w:snapToGrid w:val="0"/>
                <w:szCs w:val="22"/>
              </w:rPr>
              <w:t>1000</w:t>
            </w:r>
          </w:p>
        </w:tc>
        <w:tc>
          <w:tcPr>
            <w:tcW w:w="386" w:type="pct"/>
            <w:vAlign w:val="center"/>
          </w:tcPr>
          <w:p w14:paraId="2249E082"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15.73</w:t>
            </w:r>
          </w:p>
        </w:tc>
        <w:tc>
          <w:tcPr>
            <w:tcW w:w="405" w:type="pct"/>
            <w:vAlign w:val="center"/>
          </w:tcPr>
          <w:p w14:paraId="073699A5"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0.02</w:t>
            </w:r>
          </w:p>
        </w:tc>
        <w:tc>
          <w:tcPr>
            <w:tcW w:w="559" w:type="pct"/>
            <w:vMerge w:val="restart"/>
            <w:vAlign w:val="center"/>
          </w:tcPr>
          <w:p w14:paraId="54B10E2E" w14:textId="77777777" w:rsidR="00B14D53" w:rsidRDefault="00000000">
            <w:pPr>
              <w:pStyle w:val="afff2"/>
              <w:spacing w:line="240" w:lineRule="auto"/>
              <w:rPr>
                <w:rFonts w:hAnsi="Times New Roman"/>
                <w:snapToGrid w:val="0"/>
                <w:szCs w:val="22"/>
              </w:rPr>
            </w:pPr>
            <w:r>
              <w:rPr>
                <w:rFonts w:hAnsi="Times New Roman"/>
                <w:snapToGrid w:val="0"/>
                <w:szCs w:val="22"/>
              </w:rPr>
              <w:t>待宰</w:t>
            </w:r>
            <w:r>
              <w:rPr>
                <w:rFonts w:hAnsi="Times New Roman" w:hint="eastAsia"/>
                <w:snapToGrid w:val="0"/>
                <w:szCs w:val="22"/>
              </w:rPr>
              <w:t>圈</w:t>
            </w:r>
            <w:r>
              <w:rPr>
                <w:rFonts w:hAnsi="Times New Roman"/>
                <w:snapToGrid w:val="0"/>
                <w:szCs w:val="22"/>
              </w:rPr>
              <w:t>及时清扫，并投加或喷洒除臭剂</w:t>
            </w:r>
            <w:r>
              <w:rPr>
                <w:rFonts w:hAnsi="Times New Roman"/>
                <w:snapToGrid w:val="0"/>
                <w:szCs w:val="22"/>
              </w:rPr>
              <w:t>+</w:t>
            </w:r>
            <w:r>
              <w:rPr>
                <w:rFonts w:hAnsi="Times New Roman" w:hint="eastAsia"/>
                <w:snapToGrid w:val="0"/>
                <w:szCs w:val="22"/>
              </w:rPr>
              <w:t>引风机</w:t>
            </w:r>
            <w:r>
              <w:rPr>
                <w:rFonts w:hAnsi="Times New Roman"/>
                <w:snapToGrid w:val="0"/>
                <w:szCs w:val="22"/>
              </w:rPr>
              <w:t>收集</w:t>
            </w:r>
            <w:r>
              <w:rPr>
                <w:rFonts w:hAnsi="Times New Roman"/>
                <w:snapToGrid w:val="0"/>
                <w:szCs w:val="22"/>
              </w:rPr>
              <w:t>+</w:t>
            </w:r>
            <w:r>
              <w:rPr>
                <w:rFonts w:hAnsi="Times New Roman"/>
                <w:snapToGrid w:val="0"/>
                <w:szCs w:val="22"/>
              </w:rPr>
              <w:t>活性炭吸附装置净化处理</w:t>
            </w:r>
          </w:p>
        </w:tc>
        <w:tc>
          <w:tcPr>
            <w:tcW w:w="420" w:type="pct"/>
            <w:vMerge w:val="restart"/>
            <w:vAlign w:val="center"/>
          </w:tcPr>
          <w:p w14:paraId="2779E03E" w14:textId="77777777" w:rsidR="00B14D53" w:rsidRDefault="00000000">
            <w:pPr>
              <w:pStyle w:val="afff2"/>
              <w:spacing w:line="240" w:lineRule="auto"/>
              <w:rPr>
                <w:rFonts w:hAnsi="Times New Roman"/>
                <w:snapToGrid w:val="0"/>
                <w:szCs w:val="22"/>
              </w:rPr>
            </w:pPr>
            <w:r>
              <w:rPr>
                <w:rFonts w:hAnsi="Times New Roman"/>
                <w:bCs/>
                <w:snapToGrid w:val="0"/>
                <w:szCs w:val="22"/>
              </w:rPr>
              <w:t>除臭剂效率</w:t>
            </w:r>
            <w:r>
              <w:rPr>
                <w:rFonts w:hAnsi="Times New Roman" w:hint="eastAsia"/>
                <w:bCs/>
                <w:snapToGrid w:val="0"/>
                <w:szCs w:val="22"/>
              </w:rPr>
              <w:t>氨</w:t>
            </w:r>
            <w:r>
              <w:rPr>
                <w:rFonts w:hAnsi="Times New Roman" w:hint="eastAsia"/>
                <w:bCs/>
                <w:snapToGrid w:val="0"/>
                <w:szCs w:val="22"/>
              </w:rPr>
              <w:t>75</w:t>
            </w:r>
            <w:r>
              <w:rPr>
                <w:rFonts w:hAnsi="Times New Roman" w:hint="eastAsia"/>
                <w:bCs/>
                <w:snapToGrid w:val="0"/>
                <w:szCs w:val="22"/>
              </w:rPr>
              <w:t>、硫化氢</w:t>
            </w:r>
            <w:r>
              <w:rPr>
                <w:rFonts w:hAnsi="Times New Roman" w:hint="eastAsia"/>
                <w:bCs/>
                <w:snapToGrid w:val="0"/>
                <w:szCs w:val="22"/>
              </w:rPr>
              <w:t>83</w:t>
            </w:r>
            <w:r>
              <w:rPr>
                <w:rFonts w:hAnsi="Times New Roman"/>
                <w:bCs/>
                <w:snapToGrid w:val="0"/>
                <w:szCs w:val="22"/>
              </w:rPr>
              <w:t>+</w:t>
            </w:r>
            <w:r>
              <w:rPr>
                <w:rFonts w:hAnsi="Times New Roman"/>
                <w:bCs/>
                <w:snapToGrid w:val="0"/>
                <w:szCs w:val="22"/>
              </w:rPr>
              <w:t>活性炭效率</w:t>
            </w:r>
            <w:r>
              <w:rPr>
                <w:rFonts w:hAnsi="Times New Roman" w:hint="eastAsia"/>
                <w:bCs/>
                <w:snapToGrid w:val="0"/>
                <w:szCs w:val="22"/>
              </w:rPr>
              <w:t>9</w:t>
            </w:r>
            <w:r>
              <w:rPr>
                <w:rFonts w:hAnsi="Times New Roman"/>
                <w:bCs/>
                <w:snapToGrid w:val="0"/>
                <w:szCs w:val="22"/>
              </w:rPr>
              <w:t>0</w:t>
            </w:r>
          </w:p>
        </w:tc>
        <w:tc>
          <w:tcPr>
            <w:tcW w:w="166" w:type="pct"/>
            <w:vMerge/>
            <w:vAlign w:val="center"/>
          </w:tcPr>
          <w:p w14:paraId="099C62B9" w14:textId="77777777" w:rsidR="00B14D53" w:rsidRDefault="00B14D53">
            <w:pPr>
              <w:pStyle w:val="afff2"/>
              <w:spacing w:line="240" w:lineRule="auto"/>
              <w:rPr>
                <w:rFonts w:hAnsi="Times New Roman"/>
                <w:snapToGrid w:val="0"/>
                <w:szCs w:val="22"/>
              </w:rPr>
            </w:pPr>
          </w:p>
        </w:tc>
        <w:tc>
          <w:tcPr>
            <w:tcW w:w="296" w:type="pct"/>
            <w:vMerge w:val="restart"/>
            <w:vAlign w:val="center"/>
          </w:tcPr>
          <w:p w14:paraId="4F840F86" w14:textId="77777777" w:rsidR="00B14D53" w:rsidRDefault="00000000">
            <w:pPr>
              <w:pStyle w:val="afff2"/>
              <w:spacing w:line="240" w:lineRule="auto"/>
              <w:rPr>
                <w:rFonts w:hAnsi="Times New Roman"/>
                <w:snapToGrid w:val="0"/>
                <w:szCs w:val="22"/>
              </w:rPr>
            </w:pPr>
            <w:r>
              <w:rPr>
                <w:rFonts w:hAnsi="Times New Roman" w:hint="eastAsia"/>
                <w:snapToGrid w:val="0"/>
                <w:szCs w:val="22"/>
              </w:rPr>
              <w:t>1000</w:t>
            </w:r>
          </w:p>
        </w:tc>
        <w:tc>
          <w:tcPr>
            <w:tcW w:w="339" w:type="pct"/>
            <w:vAlign w:val="center"/>
          </w:tcPr>
          <w:p w14:paraId="185469FD"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1.57</w:t>
            </w:r>
          </w:p>
        </w:tc>
        <w:tc>
          <w:tcPr>
            <w:tcW w:w="403" w:type="pct"/>
            <w:vAlign w:val="center"/>
          </w:tcPr>
          <w:p w14:paraId="7972CE5F"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0.002</w:t>
            </w:r>
          </w:p>
        </w:tc>
        <w:tc>
          <w:tcPr>
            <w:tcW w:w="378" w:type="pct"/>
            <w:vMerge/>
            <w:vAlign w:val="center"/>
          </w:tcPr>
          <w:p w14:paraId="44640CF2" w14:textId="77777777" w:rsidR="00B14D53" w:rsidRDefault="00B14D53">
            <w:pPr>
              <w:pStyle w:val="afff2"/>
              <w:spacing w:line="240" w:lineRule="auto"/>
              <w:rPr>
                <w:rFonts w:hAnsi="Times New Roman"/>
                <w:snapToGrid w:val="0"/>
                <w:szCs w:val="22"/>
              </w:rPr>
            </w:pPr>
          </w:p>
        </w:tc>
      </w:tr>
      <w:tr w:rsidR="00B14D53" w14:paraId="468DFE93" w14:textId="77777777">
        <w:trPr>
          <w:trHeight w:val="182"/>
        </w:trPr>
        <w:tc>
          <w:tcPr>
            <w:tcW w:w="239" w:type="pct"/>
            <w:vMerge/>
            <w:vAlign w:val="center"/>
          </w:tcPr>
          <w:p w14:paraId="48993FB8" w14:textId="77777777" w:rsidR="00B14D53" w:rsidRDefault="00B14D53">
            <w:pPr>
              <w:pStyle w:val="afff2"/>
              <w:spacing w:line="240" w:lineRule="auto"/>
              <w:rPr>
                <w:rFonts w:hAnsi="Times New Roman"/>
                <w:snapToGrid w:val="0"/>
                <w:szCs w:val="22"/>
              </w:rPr>
            </w:pPr>
          </w:p>
        </w:tc>
        <w:tc>
          <w:tcPr>
            <w:tcW w:w="290" w:type="pct"/>
            <w:vMerge/>
            <w:vAlign w:val="center"/>
          </w:tcPr>
          <w:p w14:paraId="3A2E4558" w14:textId="77777777" w:rsidR="00B14D53" w:rsidRDefault="00B14D53">
            <w:pPr>
              <w:pStyle w:val="afff2"/>
              <w:spacing w:line="240" w:lineRule="auto"/>
              <w:rPr>
                <w:rFonts w:hAnsi="Times New Roman"/>
                <w:snapToGrid w:val="0"/>
                <w:szCs w:val="22"/>
              </w:rPr>
            </w:pPr>
          </w:p>
        </w:tc>
        <w:tc>
          <w:tcPr>
            <w:tcW w:w="314" w:type="pct"/>
            <w:vMerge/>
            <w:vAlign w:val="center"/>
          </w:tcPr>
          <w:p w14:paraId="1C271018" w14:textId="77777777" w:rsidR="00B14D53" w:rsidRDefault="00B14D53">
            <w:pPr>
              <w:pStyle w:val="afff2"/>
              <w:spacing w:line="240" w:lineRule="auto"/>
              <w:jc w:val="both"/>
              <w:rPr>
                <w:rFonts w:hAnsi="Times New Roman"/>
                <w:snapToGrid w:val="0"/>
                <w:szCs w:val="22"/>
              </w:rPr>
            </w:pPr>
          </w:p>
        </w:tc>
        <w:tc>
          <w:tcPr>
            <w:tcW w:w="303" w:type="pct"/>
            <w:vAlign w:val="center"/>
          </w:tcPr>
          <w:p w14:paraId="21A13B5E" w14:textId="77777777" w:rsidR="00B14D53" w:rsidRDefault="00000000">
            <w:pPr>
              <w:pStyle w:val="afff2"/>
              <w:spacing w:line="240" w:lineRule="auto"/>
              <w:rPr>
                <w:rFonts w:hAnsi="Times New Roman"/>
                <w:snapToGrid w:val="0"/>
                <w:szCs w:val="22"/>
              </w:rPr>
            </w:pPr>
            <w:r>
              <w:rPr>
                <w:rFonts w:hAnsi="Times New Roman"/>
                <w:snapToGrid w:val="0"/>
                <w:szCs w:val="22"/>
              </w:rPr>
              <w:t>H</w:t>
            </w:r>
            <w:r>
              <w:rPr>
                <w:rFonts w:hAnsi="Times New Roman"/>
                <w:snapToGrid w:val="0"/>
                <w:szCs w:val="22"/>
                <w:vertAlign w:val="subscript"/>
              </w:rPr>
              <w:t>2</w:t>
            </w:r>
            <w:r>
              <w:rPr>
                <w:rFonts w:hAnsi="Times New Roman"/>
                <w:snapToGrid w:val="0"/>
                <w:szCs w:val="22"/>
              </w:rPr>
              <w:t>S</w:t>
            </w:r>
          </w:p>
        </w:tc>
        <w:tc>
          <w:tcPr>
            <w:tcW w:w="204" w:type="pct"/>
            <w:vMerge/>
            <w:vAlign w:val="center"/>
          </w:tcPr>
          <w:p w14:paraId="416F4609" w14:textId="77777777" w:rsidR="00B14D53" w:rsidRDefault="00B14D53">
            <w:pPr>
              <w:pStyle w:val="afff2"/>
              <w:spacing w:line="240" w:lineRule="auto"/>
              <w:rPr>
                <w:rFonts w:hAnsi="Times New Roman"/>
                <w:snapToGrid w:val="0"/>
                <w:szCs w:val="22"/>
              </w:rPr>
            </w:pPr>
          </w:p>
        </w:tc>
        <w:tc>
          <w:tcPr>
            <w:tcW w:w="291" w:type="pct"/>
            <w:vMerge/>
            <w:vAlign w:val="center"/>
          </w:tcPr>
          <w:p w14:paraId="64DEACA5" w14:textId="77777777" w:rsidR="00B14D53" w:rsidRDefault="00B14D53">
            <w:pPr>
              <w:pStyle w:val="afff2"/>
              <w:spacing w:line="240" w:lineRule="auto"/>
              <w:rPr>
                <w:rFonts w:hAnsi="Times New Roman"/>
                <w:snapToGrid w:val="0"/>
                <w:szCs w:val="22"/>
              </w:rPr>
            </w:pPr>
          </w:p>
        </w:tc>
        <w:tc>
          <w:tcPr>
            <w:tcW w:w="386" w:type="pct"/>
            <w:vAlign w:val="center"/>
          </w:tcPr>
          <w:p w14:paraId="4D922CED"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0.95</w:t>
            </w:r>
          </w:p>
        </w:tc>
        <w:tc>
          <w:tcPr>
            <w:tcW w:w="405" w:type="pct"/>
            <w:vAlign w:val="center"/>
          </w:tcPr>
          <w:p w14:paraId="7BD26B04"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0.0009</w:t>
            </w:r>
          </w:p>
        </w:tc>
        <w:tc>
          <w:tcPr>
            <w:tcW w:w="559" w:type="pct"/>
            <w:vMerge/>
            <w:vAlign w:val="center"/>
          </w:tcPr>
          <w:p w14:paraId="5260805F" w14:textId="77777777" w:rsidR="00B14D53" w:rsidRDefault="00B14D53">
            <w:pPr>
              <w:pStyle w:val="afff2"/>
              <w:spacing w:line="240" w:lineRule="auto"/>
              <w:rPr>
                <w:rFonts w:hAnsi="Times New Roman"/>
                <w:snapToGrid w:val="0"/>
                <w:szCs w:val="22"/>
              </w:rPr>
            </w:pPr>
          </w:p>
        </w:tc>
        <w:tc>
          <w:tcPr>
            <w:tcW w:w="420" w:type="pct"/>
            <w:vMerge/>
            <w:vAlign w:val="center"/>
          </w:tcPr>
          <w:p w14:paraId="5B29A988" w14:textId="77777777" w:rsidR="00B14D53" w:rsidRDefault="00B14D53">
            <w:pPr>
              <w:pStyle w:val="afff2"/>
              <w:spacing w:line="240" w:lineRule="auto"/>
              <w:rPr>
                <w:rFonts w:hAnsi="Times New Roman"/>
                <w:snapToGrid w:val="0"/>
                <w:szCs w:val="22"/>
              </w:rPr>
            </w:pPr>
          </w:p>
        </w:tc>
        <w:tc>
          <w:tcPr>
            <w:tcW w:w="166" w:type="pct"/>
            <w:vMerge/>
            <w:vAlign w:val="center"/>
          </w:tcPr>
          <w:p w14:paraId="6859AB42" w14:textId="77777777" w:rsidR="00B14D53" w:rsidRDefault="00B14D53">
            <w:pPr>
              <w:pStyle w:val="afff2"/>
              <w:spacing w:line="240" w:lineRule="auto"/>
              <w:rPr>
                <w:rFonts w:hAnsi="Times New Roman"/>
                <w:snapToGrid w:val="0"/>
                <w:szCs w:val="22"/>
              </w:rPr>
            </w:pPr>
          </w:p>
        </w:tc>
        <w:tc>
          <w:tcPr>
            <w:tcW w:w="296" w:type="pct"/>
            <w:vMerge/>
            <w:vAlign w:val="center"/>
          </w:tcPr>
          <w:p w14:paraId="530BEF8C" w14:textId="77777777" w:rsidR="00B14D53" w:rsidRDefault="00B14D53">
            <w:pPr>
              <w:pStyle w:val="afff2"/>
              <w:spacing w:line="240" w:lineRule="auto"/>
              <w:rPr>
                <w:rFonts w:hAnsi="Times New Roman"/>
                <w:snapToGrid w:val="0"/>
                <w:szCs w:val="22"/>
              </w:rPr>
            </w:pPr>
          </w:p>
        </w:tc>
        <w:tc>
          <w:tcPr>
            <w:tcW w:w="339" w:type="pct"/>
            <w:vAlign w:val="center"/>
          </w:tcPr>
          <w:p w14:paraId="0BF1AF45"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0.09</w:t>
            </w:r>
          </w:p>
        </w:tc>
        <w:tc>
          <w:tcPr>
            <w:tcW w:w="403" w:type="pct"/>
            <w:vAlign w:val="center"/>
          </w:tcPr>
          <w:p w14:paraId="51DDA2A3" w14:textId="77777777" w:rsidR="00B14D53" w:rsidRDefault="00000000">
            <w:pPr>
              <w:widowControl/>
              <w:jc w:val="center"/>
              <w:textAlignment w:val="center"/>
              <w:rPr>
                <w:snapToGrid w:val="0"/>
                <w:color w:val="000000"/>
                <w:kern w:val="0"/>
                <w:szCs w:val="21"/>
                <w:lang w:bidi="ar"/>
              </w:rPr>
            </w:pPr>
            <w:r>
              <w:rPr>
                <w:snapToGrid w:val="0"/>
                <w:color w:val="000000"/>
                <w:kern w:val="0"/>
                <w:szCs w:val="21"/>
                <w:lang w:bidi="ar"/>
              </w:rPr>
              <w:t>0.0001</w:t>
            </w:r>
          </w:p>
        </w:tc>
        <w:tc>
          <w:tcPr>
            <w:tcW w:w="378" w:type="pct"/>
            <w:vMerge/>
            <w:vAlign w:val="center"/>
          </w:tcPr>
          <w:p w14:paraId="3EB52660" w14:textId="77777777" w:rsidR="00B14D53" w:rsidRDefault="00B14D53">
            <w:pPr>
              <w:pStyle w:val="afff2"/>
              <w:spacing w:line="240" w:lineRule="auto"/>
              <w:rPr>
                <w:rFonts w:hAnsi="Times New Roman"/>
                <w:snapToGrid w:val="0"/>
                <w:szCs w:val="22"/>
              </w:rPr>
            </w:pPr>
          </w:p>
        </w:tc>
      </w:tr>
      <w:tr w:rsidR="00B14D53" w14:paraId="2B27DC1A" w14:textId="77777777">
        <w:trPr>
          <w:trHeight w:val="182"/>
        </w:trPr>
        <w:tc>
          <w:tcPr>
            <w:tcW w:w="239" w:type="pct"/>
            <w:vMerge/>
            <w:vAlign w:val="center"/>
          </w:tcPr>
          <w:p w14:paraId="506C351A" w14:textId="77777777" w:rsidR="00B14D53" w:rsidRDefault="00B14D53">
            <w:pPr>
              <w:pStyle w:val="afff2"/>
              <w:spacing w:line="240" w:lineRule="auto"/>
              <w:rPr>
                <w:rFonts w:hAnsi="Times New Roman"/>
                <w:snapToGrid w:val="0"/>
                <w:szCs w:val="22"/>
              </w:rPr>
            </w:pPr>
          </w:p>
        </w:tc>
        <w:tc>
          <w:tcPr>
            <w:tcW w:w="290" w:type="pct"/>
            <w:vMerge/>
            <w:vAlign w:val="center"/>
          </w:tcPr>
          <w:p w14:paraId="623E0F45" w14:textId="77777777" w:rsidR="00B14D53" w:rsidRDefault="00B14D53">
            <w:pPr>
              <w:pStyle w:val="afff2"/>
              <w:spacing w:line="240" w:lineRule="auto"/>
              <w:rPr>
                <w:rFonts w:hAnsi="Times New Roman"/>
                <w:snapToGrid w:val="0"/>
                <w:szCs w:val="22"/>
              </w:rPr>
            </w:pPr>
          </w:p>
        </w:tc>
        <w:tc>
          <w:tcPr>
            <w:tcW w:w="314" w:type="pct"/>
            <w:vMerge w:val="restart"/>
            <w:vAlign w:val="center"/>
          </w:tcPr>
          <w:p w14:paraId="01DCA855" w14:textId="77777777" w:rsidR="00B14D53" w:rsidRDefault="00000000">
            <w:pPr>
              <w:pStyle w:val="afff2"/>
              <w:spacing w:line="240" w:lineRule="auto"/>
              <w:rPr>
                <w:rFonts w:hAnsi="Times New Roman"/>
                <w:snapToGrid w:val="0"/>
                <w:szCs w:val="22"/>
              </w:rPr>
            </w:pPr>
            <w:r>
              <w:rPr>
                <w:rFonts w:hAnsi="Times New Roman"/>
                <w:snapToGrid w:val="0"/>
                <w:szCs w:val="22"/>
              </w:rPr>
              <w:t>无组织</w:t>
            </w:r>
          </w:p>
        </w:tc>
        <w:tc>
          <w:tcPr>
            <w:tcW w:w="303" w:type="pct"/>
            <w:vAlign w:val="center"/>
          </w:tcPr>
          <w:p w14:paraId="09326554" w14:textId="77777777" w:rsidR="00B14D53" w:rsidRDefault="00000000">
            <w:pPr>
              <w:pStyle w:val="afff2"/>
              <w:spacing w:line="240" w:lineRule="auto"/>
              <w:rPr>
                <w:rFonts w:hAnsi="Times New Roman"/>
                <w:snapToGrid w:val="0"/>
                <w:szCs w:val="22"/>
              </w:rPr>
            </w:pPr>
            <w:r>
              <w:rPr>
                <w:rFonts w:hAnsi="Times New Roman"/>
                <w:snapToGrid w:val="0"/>
                <w:szCs w:val="22"/>
              </w:rPr>
              <w:t>NH</w:t>
            </w:r>
            <w:r>
              <w:rPr>
                <w:rFonts w:hAnsi="Times New Roman"/>
                <w:snapToGrid w:val="0"/>
                <w:szCs w:val="22"/>
                <w:vertAlign w:val="subscript"/>
              </w:rPr>
              <w:t>3</w:t>
            </w:r>
          </w:p>
        </w:tc>
        <w:tc>
          <w:tcPr>
            <w:tcW w:w="204" w:type="pct"/>
            <w:vMerge/>
            <w:vAlign w:val="center"/>
          </w:tcPr>
          <w:p w14:paraId="6D65ED94" w14:textId="77777777" w:rsidR="00B14D53" w:rsidRDefault="00B14D53">
            <w:pPr>
              <w:pStyle w:val="afff2"/>
              <w:spacing w:line="240" w:lineRule="auto"/>
              <w:rPr>
                <w:rFonts w:hAnsi="Times New Roman"/>
                <w:snapToGrid w:val="0"/>
                <w:szCs w:val="22"/>
              </w:rPr>
            </w:pPr>
          </w:p>
        </w:tc>
        <w:tc>
          <w:tcPr>
            <w:tcW w:w="291" w:type="pct"/>
            <w:vMerge w:val="restart"/>
            <w:vAlign w:val="center"/>
          </w:tcPr>
          <w:p w14:paraId="7A584216" w14:textId="77777777" w:rsidR="00B14D53" w:rsidRDefault="00000000">
            <w:pPr>
              <w:pStyle w:val="afff2"/>
              <w:spacing w:line="240" w:lineRule="auto"/>
              <w:rPr>
                <w:rFonts w:hAnsi="Times New Roman"/>
                <w:snapToGrid w:val="0"/>
                <w:szCs w:val="22"/>
              </w:rPr>
            </w:pPr>
            <w:r>
              <w:rPr>
                <w:rFonts w:hAnsi="Times New Roman" w:hint="eastAsia"/>
                <w:snapToGrid w:val="0"/>
                <w:szCs w:val="22"/>
              </w:rPr>
              <w:t>-</w:t>
            </w:r>
          </w:p>
        </w:tc>
        <w:tc>
          <w:tcPr>
            <w:tcW w:w="386" w:type="pct"/>
            <w:vAlign w:val="center"/>
          </w:tcPr>
          <w:p w14:paraId="26EC3650"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w:t>
            </w:r>
          </w:p>
        </w:tc>
        <w:tc>
          <w:tcPr>
            <w:tcW w:w="405" w:type="pct"/>
            <w:vAlign w:val="center"/>
          </w:tcPr>
          <w:p w14:paraId="4EEC5954"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0.004</w:t>
            </w:r>
          </w:p>
        </w:tc>
        <w:tc>
          <w:tcPr>
            <w:tcW w:w="559" w:type="pct"/>
            <w:vMerge w:val="restart"/>
            <w:vAlign w:val="center"/>
          </w:tcPr>
          <w:p w14:paraId="5C2BC32E" w14:textId="77777777" w:rsidR="00B14D53" w:rsidRDefault="00000000">
            <w:pPr>
              <w:pStyle w:val="afff2"/>
              <w:spacing w:line="240" w:lineRule="auto"/>
              <w:rPr>
                <w:rFonts w:hAnsi="Times New Roman"/>
                <w:snapToGrid w:val="0"/>
                <w:szCs w:val="22"/>
              </w:rPr>
            </w:pPr>
            <w:r>
              <w:rPr>
                <w:rFonts w:hAnsi="Times New Roman" w:hint="eastAsia"/>
                <w:snapToGrid w:val="0"/>
                <w:szCs w:val="22"/>
              </w:rPr>
              <w:t>-</w:t>
            </w:r>
          </w:p>
        </w:tc>
        <w:tc>
          <w:tcPr>
            <w:tcW w:w="420" w:type="pct"/>
            <w:vMerge w:val="restart"/>
            <w:vAlign w:val="center"/>
          </w:tcPr>
          <w:p w14:paraId="15EBA97C" w14:textId="77777777" w:rsidR="00B14D53" w:rsidRDefault="00000000">
            <w:pPr>
              <w:pStyle w:val="afff2"/>
              <w:spacing w:line="240" w:lineRule="auto"/>
              <w:rPr>
                <w:rFonts w:hAnsi="Times New Roman"/>
                <w:snapToGrid w:val="0"/>
                <w:szCs w:val="22"/>
              </w:rPr>
            </w:pPr>
            <w:r>
              <w:rPr>
                <w:rFonts w:hAnsi="Times New Roman" w:hint="eastAsia"/>
                <w:snapToGrid w:val="0"/>
                <w:szCs w:val="22"/>
              </w:rPr>
              <w:t>-</w:t>
            </w:r>
          </w:p>
        </w:tc>
        <w:tc>
          <w:tcPr>
            <w:tcW w:w="166" w:type="pct"/>
            <w:vMerge/>
            <w:vAlign w:val="center"/>
          </w:tcPr>
          <w:p w14:paraId="0CD1B17F" w14:textId="77777777" w:rsidR="00B14D53" w:rsidRDefault="00B14D53">
            <w:pPr>
              <w:pStyle w:val="afff2"/>
              <w:spacing w:line="240" w:lineRule="auto"/>
              <w:rPr>
                <w:rFonts w:hAnsi="Times New Roman"/>
                <w:snapToGrid w:val="0"/>
                <w:szCs w:val="22"/>
              </w:rPr>
            </w:pPr>
          </w:p>
        </w:tc>
        <w:tc>
          <w:tcPr>
            <w:tcW w:w="296" w:type="pct"/>
            <w:vMerge w:val="restart"/>
            <w:vAlign w:val="center"/>
          </w:tcPr>
          <w:p w14:paraId="6393187F"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339" w:type="pct"/>
            <w:vAlign w:val="center"/>
          </w:tcPr>
          <w:p w14:paraId="1D1FA54B" w14:textId="77777777" w:rsidR="00B14D53" w:rsidRDefault="00000000">
            <w:pPr>
              <w:widowControl/>
              <w:jc w:val="center"/>
              <w:textAlignment w:val="center"/>
              <w:rPr>
                <w:snapToGrid w:val="0"/>
                <w:color w:val="000000"/>
                <w:kern w:val="0"/>
                <w:szCs w:val="21"/>
                <w:lang w:bidi="ar"/>
              </w:rPr>
            </w:pPr>
            <w:r>
              <w:rPr>
                <w:snapToGrid w:val="0"/>
                <w:color w:val="000000"/>
                <w:kern w:val="0"/>
                <w:szCs w:val="21"/>
                <w:lang w:bidi="ar"/>
              </w:rPr>
              <w:t>-</w:t>
            </w:r>
          </w:p>
        </w:tc>
        <w:tc>
          <w:tcPr>
            <w:tcW w:w="403" w:type="pct"/>
            <w:vAlign w:val="center"/>
          </w:tcPr>
          <w:p w14:paraId="6214E9F6"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0.004</w:t>
            </w:r>
          </w:p>
        </w:tc>
        <w:tc>
          <w:tcPr>
            <w:tcW w:w="378" w:type="pct"/>
            <w:vMerge/>
            <w:vAlign w:val="center"/>
          </w:tcPr>
          <w:p w14:paraId="576079A7" w14:textId="77777777" w:rsidR="00B14D53" w:rsidRDefault="00B14D53">
            <w:pPr>
              <w:pStyle w:val="afff2"/>
              <w:spacing w:line="240" w:lineRule="auto"/>
              <w:rPr>
                <w:rFonts w:hAnsi="Times New Roman"/>
                <w:snapToGrid w:val="0"/>
                <w:szCs w:val="22"/>
              </w:rPr>
            </w:pPr>
          </w:p>
        </w:tc>
      </w:tr>
      <w:tr w:rsidR="00B14D53" w14:paraId="7B493342" w14:textId="77777777">
        <w:trPr>
          <w:trHeight w:val="182"/>
        </w:trPr>
        <w:tc>
          <w:tcPr>
            <w:tcW w:w="239" w:type="pct"/>
            <w:vMerge/>
            <w:vAlign w:val="center"/>
          </w:tcPr>
          <w:p w14:paraId="3333A285" w14:textId="77777777" w:rsidR="00B14D53" w:rsidRDefault="00B14D53">
            <w:pPr>
              <w:pStyle w:val="afff2"/>
              <w:spacing w:line="240" w:lineRule="auto"/>
              <w:rPr>
                <w:rFonts w:hAnsi="Times New Roman"/>
                <w:snapToGrid w:val="0"/>
                <w:szCs w:val="22"/>
              </w:rPr>
            </w:pPr>
          </w:p>
        </w:tc>
        <w:tc>
          <w:tcPr>
            <w:tcW w:w="290" w:type="pct"/>
            <w:vMerge/>
            <w:vAlign w:val="center"/>
          </w:tcPr>
          <w:p w14:paraId="5EEE9052" w14:textId="77777777" w:rsidR="00B14D53" w:rsidRDefault="00B14D53">
            <w:pPr>
              <w:pStyle w:val="afff2"/>
              <w:spacing w:line="240" w:lineRule="auto"/>
              <w:rPr>
                <w:rFonts w:hAnsi="Times New Roman"/>
                <w:snapToGrid w:val="0"/>
                <w:szCs w:val="22"/>
              </w:rPr>
            </w:pPr>
          </w:p>
        </w:tc>
        <w:tc>
          <w:tcPr>
            <w:tcW w:w="314" w:type="pct"/>
            <w:vMerge/>
            <w:vAlign w:val="center"/>
          </w:tcPr>
          <w:p w14:paraId="012388FD" w14:textId="77777777" w:rsidR="00B14D53" w:rsidRDefault="00B14D53">
            <w:pPr>
              <w:pStyle w:val="afff2"/>
              <w:spacing w:line="240" w:lineRule="auto"/>
              <w:jc w:val="both"/>
              <w:rPr>
                <w:rFonts w:hAnsi="Times New Roman"/>
                <w:snapToGrid w:val="0"/>
                <w:szCs w:val="22"/>
              </w:rPr>
            </w:pPr>
          </w:p>
        </w:tc>
        <w:tc>
          <w:tcPr>
            <w:tcW w:w="303" w:type="pct"/>
            <w:vAlign w:val="center"/>
          </w:tcPr>
          <w:p w14:paraId="4B4AF44D" w14:textId="77777777" w:rsidR="00B14D53" w:rsidRDefault="00000000">
            <w:pPr>
              <w:pStyle w:val="afff2"/>
              <w:spacing w:line="240" w:lineRule="auto"/>
              <w:rPr>
                <w:rFonts w:hAnsi="Times New Roman"/>
                <w:snapToGrid w:val="0"/>
                <w:szCs w:val="22"/>
              </w:rPr>
            </w:pPr>
            <w:r>
              <w:rPr>
                <w:rFonts w:hAnsi="Times New Roman"/>
                <w:snapToGrid w:val="0"/>
                <w:szCs w:val="22"/>
              </w:rPr>
              <w:t>H</w:t>
            </w:r>
            <w:r>
              <w:rPr>
                <w:rFonts w:hAnsi="Times New Roman"/>
                <w:snapToGrid w:val="0"/>
                <w:szCs w:val="22"/>
                <w:vertAlign w:val="subscript"/>
              </w:rPr>
              <w:t>2</w:t>
            </w:r>
            <w:r>
              <w:rPr>
                <w:rFonts w:hAnsi="Times New Roman"/>
                <w:snapToGrid w:val="0"/>
                <w:szCs w:val="22"/>
              </w:rPr>
              <w:t>S</w:t>
            </w:r>
          </w:p>
        </w:tc>
        <w:tc>
          <w:tcPr>
            <w:tcW w:w="204" w:type="pct"/>
            <w:vMerge/>
            <w:vAlign w:val="center"/>
          </w:tcPr>
          <w:p w14:paraId="158B1621" w14:textId="77777777" w:rsidR="00B14D53" w:rsidRDefault="00B14D53">
            <w:pPr>
              <w:pStyle w:val="afff2"/>
              <w:spacing w:line="240" w:lineRule="auto"/>
              <w:rPr>
                <w:rFonts w:hAnsi="Times New Roman"/>
                <w:snapToGrid w:val="0"/>
                <w:szCs w:val="22"/>
              </w:rPr>
            </w:pPr>
          </w:p>
        </w:tc>
        <w:tc>
          <w:tcPr>
            <w:tcW w:w="291" w:type="pct"/>
            <w:vMerge/>
            <w:vAlign w:val="center"/>
          </w:tcPr>
          <w:p w14:paraId="13DC9B00" w14:textId="77777777" w:rsidR="00B14D53" w:rsidRDefault="00B14D53">
            <w:pPr>
              <w:pStyle w:val="afff2"/>
              <w:spacing w:line="240" w:lineRule="auto"/>
              <w:rPr>
                <w:rFonts w:hAnsi="Times New Roman"/>
                <w:snapToGrid w:val="0"/>
                <w:szCs w:val="22"/>
              </w:rPr>
            </w:pPr>
          </w:p>
        </w:tc>
        <w:tc>
          <w:tcPr>
            <w:tcW w:w="386" w:type="pct"/>
            <w:vAlign w:val="center"/>
          </w:tcPr>
          <w:p w14:paraId="11330C85"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w:t>
            </w:r>
          </w:p>
        </w:tc>
        <w:tc>
          <w:tcPr>
            <w:tcW w:w="405" w:type="pct"/>
            <w:vAlign w:val="center"/>
          </w:tcPr>
          <w:p w14:paraId="6E7402A9"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0.0002</w:t>
            </w:r>
          </w:p>
        </w:tc>
        <w:tc>
          <w:tcPr>
            <w:tcW w:w="559" w:type="pct"/>
            <w:vMerge/>
            <w:vAlign w:val="center"/>
          </w:tcPr>
          <w:p w14:paraId="7396FE02" w14:textId="77777777" w:rsidR="00B14D53" w:rsidRDefault="00B14D53">
            <w:pPr>
              <w:pStyle w:val="afff2"/>
              <w:spacing w:line="240" w:lineRule="auto"/>
              <w:rPr>
                <w:rFonts w:hAnsi="Times New Roman"/>
                <w:snapToGrid w:val="0"/>
                <w:szCs w:val="22"/>
              </w:rPr>
            </w:pPr>
          </w:p>
        </w:tc>
        <w:tc>
          <w:tcPr>
            <w:tcW w:w="420" w:type="pct"/>
            <w:vMerge/>
            <w:vAlign w:val="center"/>
          </w:tcPr>
          <w:p w14:paraId="029B933C" w14:textId="77777777" w:rsidR="00B14D53" w:rsidRDefault="00B14D53">
            <w:pPr>
              <w:pStyle w:val="afff2"/>
              <w:spacing w:line="240" w:lineRule="auto"/>
              <w:rPr>
                <w:rFonts w:hAnsi="Times New Roman"/>
                <w:snapToGrid w:val="0"/>
                <w:szCs w:val="22"/>
              </w:rPr>
            </w:pPr>
          </w:p>
        </w:tc>
        <w:tc>
          <w:tcPr>
            <w:tcW w:w="166" w:type="pct"/>
            <w:vMerge/>
            <w:vAlign w:val="center"/>
          </w:tcPr>
          <w:p w14:paraId="256C05B1" w14:textId="77777777" w:rsidR="00B14D53" w:rsidRDefault="00B14D53">
            <w:pPr>
              <w:pStyle w:val="afff2"/>
              <w:spacing w:line="240" w:lineRule="auto"/>
              <w:rPr>
                <w:rFonts w:hAnsi="Times New Roman"/>
                <w:snapToGrid w:val="0"/>
                <w:szCs w:val="22"/>
              </w:rPr>
            </w:pPr>
          </w:p>
        </w:tc>
        <w:tc>
          <w:tcPr>
            <w:tcW w:w="296" w:type="pct"/>
            <w:vMerge/>
            <w:vAlign w:val="center"/>
          </w:tcPr>
          <w:p w14:paraId="3C23272D" w14:textId="77777777" w:rsidR="00B14D53" w:rsidRDefault="00B14D53">
            <w:pPr>
              <w:pStyle w:val="afff2"/>
              <w:spacing w:line="240" w:lineRule="auto"/>
              <w:rPr>
                <w:rFonts w:hAnsi="Times New Roman"/>
                <w:snapToGrid w:val="0"/>
                <w:szCs w:val="22"/>
              </w:rPr>
            </w:pPr>
          </w:p>
        </w:tc>
        <w:tc>
          <w:tcPr>
            <w:tcW w:w="339" w:type="pct"/>
            <w:vAlign w:val="center"/>
          </w:tcPr>
          <w:p w14:paraId="2BA2CBF4" w14:textId="77777777" w:rsidR="00B14D53" w:rsidRDefault="00000000">
            <w:pPr>
              <w:widowControl/>
              <w:jc w:val="center"/>
              <w:textAlignment w:val="center"/>
              <w:rPr>
                <w:snapToGrid w:val="0"/>
                <w:color w:val="000000"/>
                <w:kern w:val="0"/>
                <w:szCs w:val="21"/>
                <w:lang w:bidi="ar"/>
              </w:rPr>
            </w:pPr>
            <w:r>
              <w:rPr>
                <w:snapToGrid w:val="0"/>
                <w:color w:val="000000"/>
                <w:kern w:val="0"/>
                <w:szCs w:val="21"/>
                <w:lang w:bidi="ar"/>
              </w:rPr>
              <w:t>-</w:t>
            </w:r>
          </w:p>
        </w:tc>
        <w:tc>
          <w:tcPr>
            <w:tcW w:w="403" w:type="pct"/>
            <w:vAlign w:val="center"/>
          </w:tcPr>
          <w:p w14:paraId="1F772AFB" w14:textId="77777777" w:rsidR="00B14D53" w:rsidRDefault="00000000">
            <w:pPr>
              <w:widowControl/>
              <w:jc w:val="center"/>
              <w:textAlignment w:val="center"/>
              <w:rPr>
                <w:snapToGrid w:val="0"/>
                <w:color w:val="000000"/>
                <w:kern w:val="0"/>
                <w:szCs w:val="21"/>
                <w:lang w:bidi="ar"/>
              </w:rPr>
            </w:pPr>
            <w:r>
              <w:rPr>
                <w:rFonts w:hint="eastAsia"/>
                <w:snapToGrid w:val="0"/>
                <w:color w:val="000000"/>
                <w:kern w:val="0"/>
                <w:szCs w:val="21"/>
                <w:lang w:bidi="ar"/>
              </w:rPr>
              <w:t>0.0002</w:t>
            </w:r>
          </w:p>
        </w:tc>
        <w:tc>
          <w:tcPr>
            <w:tcW w:w="378" w:type="pct"/>
            <w:vMerge/>
            <w:vAlign w:val="center"/>
          </w:tcPr>
          <w:p w14:paraId="39B8A2C5" w14:textId="77777777" w:rsidR="00B14D53" w:rsidRDefault="00B14D53">
            <w:pPr>
              <w:pStyle w:val="afff2"/>
              <w:spacing w:line="240" w:lineRule="auto"/>
              <w:rPr>
                <w:rFonts w:hAnsi="Times New Roman"/>
                <w:snapToGrid w:val="0"/>
                <w:szCs w:val="22"/>
              </w:rPr>
            </w:pPr>
          </w:p>
        </w:tc>
      </w:tr>
      <w:tr w:rsidR="00B14D53" w14:paraId="1C227778" w14:textId="77777777">
        <w:trPr>
          <w:trHeight w:val="78"/>
        </w:trPr>
        <w:tc>
          <w:tcPr>
            <w:tcW w:w="239" w:type="pct"/>
            <w:vMerge w:val="restart"/>
            <w:vAlign w:val="center"/>
          </w:tcPr>
          <w:p w14:paraId="4240670F" w14:textId="77777777" w:rsidR="00B14D53" w:rsidRDefault="00000000">
            <w:pPr>
              <w:pStyle w:val="afff2"/>
              <w:spacing w:line="240" w:lineRule="auto"/>
              <w:rPr>
                <w:rFonts w:hAnsi="Times New Roman"/>
                <w:snapToGrid w:val="0"/>
                <w:szCs w:val="22"/>
              </w:rPr>
            </w:pPr>
            <w:r>
              <w:rPr>
                <w:rFonts w:hAnsi="Times New Roman"/>
                <w:snapToGrid w:val="0"/>
                <w:szCs w:val="22"/>
              </w:rPr>
              <w:t>屠宰</w:t>
            </w:r>
          </w:p>
        </w:tc>
        <w:tc>
          <w:tcPr>
            <w:tcW w:w="290" w:type="pct"/>
            <w:vMerge w:val="restart"/>
            <w:vAlign w:val="center"/>
          </w:tcPr>
          <w:p w14:paraId="3BBE7C7F" w14:textId="77777777" w:rsidR="00B14D53" w:rsidRDefault="00000000">
            <w:pPr>
              <w:pStyle w:val="afff2"/>
              <w:spacing w:line="240" w:lineRule="auto"/>
              <w:rPr>
                <w:rFonts w:hAnsi="Times New Roman"/>
                <w:snapToGrid w:val="0"/>
                <w:szCs w:val="22"/>
              </w:rPr>
            </w:pPr>
            <w:r>
              <w:rPr>
                <w:rFonts w:hAnsi="Times New Roman"/>
                <w:snapToGrid w:val="0"/>
                <w:szCs w:val="22"/>
              </w:rPr>
              <w:t>屠宰车间</w:t>
            </w:r>
          </w:p>
        </w:tc>
        <w:tc>
          <w:tcPr>
            <w:tcW w:w="314" w:type="pct"/>
            <w:vMerge w:val="restart"/>
            <w:vAlign w:val="center"/>
          </w:tcPr>
          <w:p w14:paraId="15BAEA02" w14:textId="77777777" w:rsidR="00B14D53" w:rsidRDefault="00000000">
            <w:pPr>
              <w:pStyle w:val="afff2"/>
              <w:spacing w:line="240" w:lineRule="auto"/>
              <w:rPr>
                <w:rFonts w:hAnsi="Times New Roman"/>
                <w:snapToGrid w:val="0"/>
                <w:szCs w:val="22"/>
              </w:rPr>
            </w:pPr>
            <w:r>
              <w:rPr>
                <w:rFonts w:hAnsi="Times New Roman" w:hint="eastAsia"/>
                <w:snapToGrid w:val="0"/>
                <w:szCs w:val="22"/>
              </w:rPr>
              <w:t>DA003</w:t>
            </w:r>
            <w:r>
              <w:rPr>
                <w:rFonts w:hAnsi="Times New Roman"/>
                <w:snapToGrid w:val="0"/>
                <w:szCs w:val="22"/>
              </w:rPr>
              <w:t>排气筒</w:t>
            </w:r>
          </w:p>
        </w:tc>
        <w:tc>
          <w:tcPr>
            <w:tcW w:w="303" w:type="pct"/>
            <w:vAlign w:val="center"/>
          </w:tcPr>
          <w:p w14:paraId="3EB00859" w14:textId="77777777" w:rsidR="00B14D53" w:rsidRDefault="00000000">
            <w:pPr>
              <w:pStyle w:val="afff2"/>
              <w:spacing w:line="240" w:lineRule="auto"/>
              <w:rPr>
                <w:rFonts w:hAnsi="Times New Roman"/>
                <w:snapToGrid w:val="0"/>
                <w:szCs w:val="22"/>
              </w:rPr>
            </w:pPr>
            <w:r>
              <w:rPr>
                <w:rFonts w:hAnsi="Times New Roman"/>
                <w:snapToGrid w:val="0"/>
                <w:szCs w:val="22"/>
              </w:rPr>
              <w:t>NH</w:t>
            </w:r>
            <w:r>
              <w:rPr>
                <w:rFonts w:hAnsi="Times New Roman"/>
                <w:snapToGrid w:val="0"/>
                <w:szCs w:val="22"/>
                <w:vertAlign w:val="subscript"/>
              </w:rPr>
              <w:t>3</w:t>
            </w:r>
          </w:p>
        </w:tc>
        <w:tc>
          <w:tcPr>
            <w:tcW w:w="204" w:type="pct"/>
            <w:vMerge w:val="restart"/>
            <w:vAlign w:val="center"/>
          </w:tcPr>
          <w:p w14:paraId="023D0BF6" w14:textId="77777777" w:rsidR="00B14D53" w:rsidRDefault="00000000">
            <w:pPr>
              <w:pStyle w:val="afff2"/>
              <w:spacing w:line="240" w:lineRule="auto"/>
              <w:rPr>
                <w:rFonts w:hAnsi="Times New Roman"/>
                <w:snapToGrid w:val="0"/>
                <w:szCs w:val="22"/>
              </w:rPr>
            </w:pPr>
            <w:r>
              <w:rPr>
                <w:rFonts w:hAnsi="Times New Roman"/>
                <w:snapToGrid w:val="0"/>
                <w:szCs w:val="22"/>
              </w:rPr>
              <w:t>类比法</w:t>
            </w:r>
          </w:p>
        </w:tc>
        <w:tc>
          <w:tcPr>
            <w:tcW w:w="291" w:type="pct"/>
            <w:vMerge w:val="restart"/>
            <w:vAlign w:val="center"/>
          </w:tcPr>
          <w:p w14:paraId="7B0096BC" w14:textId="77777777" w:rsidR="00B14D53" w:rsidRDefault="00000000">
            <w:pPr>
              <w:pStyle w:val="afff2"/>
              <w:spacing w:line="240" w:lineRule="auto"/>
              <w:rPr>
                <w:rFonts w:hAnsi="Times New Roman"/>
                <w:snapToGrid w:val="0"/>
                <w:szCs w:val="22"/>
              </w:rPr>
            </w:pPr>
            <w:r>
              <w:rPr>
                <w:rFonts w:hAnsi="Times New Roman" w:hint="eastAsia"/>
                <w:snapToGrid w:val="0"/>
                <w:szCs w:val="22"/>
              </w:rPr>
              <w:t>2</w:t>
            </w:r>
            <w:r>
              <w:rPr>
                <w:rFonts w:hAnsi="Times New Roman"/>
                <w:snapToGrid w:val="0"/>
                <w:szCs w:val="22"/>
              </w:rPr>
              <w:t>000</w:t>
            </w:r>
          </w:p>
        </w:tc>
        <w:tc>
          <w:tcPr>
            <w:tcW w:w="386" w:type="pct"/>
            <w:vAlign w:val="center"/>
          </w:tcPr>
          <w:p w14:paraId="60A3973E" w14:textId="77777777" w:rsidR="00B14D53" w:rsidRDefault="00000000">
            <w:pPr>
              <w:widowControl/>
              <w:jc w:val="center"/>
              <w:textAlignment w:val="center"/>
              <w:rPr>
                <w:snapToGrid w:val="0"/>
              </w:rPr>
            </w:pPr>
            <w:r>
              <w:rPr>
                <w:rFonts w:hint="eastAsia"/>
                <w:snapToGrid w:val="0"/>
              </w:rPr>
              <w:t>6.82</w:t>
            </w:r>
          </w:p>
        </w:tc>
        <w:tc>
          <w:tcPr>
            <w:tcW w:w="405" w:type="pct"/>
            <w:vAlign w:val="center"/>
          </w:tcPr>
          <w:p w14:paraId="7EEE1A7C" w14:textId="77777777" w:rsidR="00B14D53" w:rsidRDefault="00000000">
            <w:pPr>
              <w:widowControl/>
              <w:jc w:val="center"/>
              <w:textAlignment w:val="center"/>
              <w:rPr>
                <w:snapToGrid w:val="0"/>
              </w:rPr>
            </w:pPr>
            <w:r>
              <w:rPr>
                <w:rFonts w:hint="eastAsia"/>
                <w:snapToGrid w:val="0"/>
              </w:rPr>
              <w:t>0.01</w:t>
            </w:r>
          </w:p>
        </w:tc>
        <w:tc>
          <w:tcPr>
            <w:tcW w:w="559" w:type="pct"/>
            <w:vMerge w:val="restart"/>
            <w:vAlign w:val="center"/>
          </w:tcPr>
          <w:p w14:paraId="0F7AF5A5" w14:textId="77777777" w:rsidR="00B14D53" w:rsidRDefault="00000000">
            <w:pPr>
              <w:pStyle w:val="afff2"/>
              <w:spacing w:line="240" w:lineRule="auto"/>
              <w:rPr>
                <w:rFonts w:hAnsi="Times New Roman"/>
                <w:snapToGrid w:val="0"/>
              </w:rPr>
            </w:pPr>
            <w:r>
              <w:rPr>
                <w:rFonts w:hAnsi="Times New Roman"/>
              </w:rPr>
              <w:t>活性炭吸附装置净化处理</w:t>
            </w:r>
          </w:p>
        </w:tc>
        <w:tc>
          <w:tcPr>
            <w:tcW w:w="420" w:type="pct"/>
            <w:vMerge w:val="restart"/>
            <w:vAlign w:val="center"/>
          </w:tcPr>
          <w:p w14:paraId="7B2E724F" w14:textId="77777777" w:rsidR="00B14D53" w:rsidRDefault="00000000">
            <w:pPr>
              <w:pStyle w:val="afff2"/>
              <w:spacing w:line="240" w:lineRule="auto"/>
              <w:rPr>
                <w:rFonts w:hAnsi="Times New Roman"/>
                <w:snapToGrid w:val="0"/>
              </w:rPr>
            </w:pPr>
            <w:r>
              <w:rPr>
                <w:rFonts w:hAnsi="Times New Roman" w:hint="eastAsia"/>
                <w:snapToGrid w:val="0"/>
              </w:rPr>
              <w:t>80</w:t>
            </w:r>
          </w:p>
        </w:tc>
        <w:tc>
          <w:tcPr>
            <w:tcW w:w="166" w:type="pct"/>
            <w:vMerge/>
            <w:vAlign w:val="center"/>
          </w:tcPr>
          <w:p w14:paraId="3FE449D1" w14:textId="77777777" w:rsidR="00B14D53" w:rsidRDefault="00B14D53">
            <w:pPr>
              <w:pStyle w:val="afff2"/>
              <w:spacing w:line="240" w:lineRule="auto"/>
              <w:rPr>
                <w:rFonts w:hAnsi="Times New Roman"/>
                <w:snapToGrid w:val="0"/>
                <w:color w:val="FF0000"/>
              </w:rPr>
            </w:pPr>
          </w:p>
        </w:tc>
        <w:tc>
          <w:tcPr>
            <w:tcW w:w="296" w:type="pct"/>
            <w:vMerge w:val="restart"/>
            <w:vAlign w:val="center"/>
          </w:tcPr>
          <w:p w14:paraId="33F0C05A" w14:textId="77777777" w:rsidR="00B14D53" w:rsidRDefault="00000000">
            <w:pPr>
              <w:pStyle w:val="afff2"/>
              <w:spacing w:line="240" w:lineRule="auto"/>
              <w:rPr>
                <w:rFonts w:hAnsi="Times New Roman"/>
                <w:snapToGrid w:val="0"/>
              </w:rPr>
            </w:pPr>
            <w:r>
              <w:rPr>
                <w:rFonts w:hAnsi="Times New Roman" w:hint="eastAsia"/>
                <w:snapToGrid w:val="0"/>
              </w:rPr>
              <w:t>2</w:t>
            </w:r>
            <w:r>
              <w:rPr>
                <w:rFonts w:hAnsi="Times New Roman"/>
                <w:snapToGrid w:val="0"/>
              </w:rPr>
              <w:t>000</w:t>
            </w:r>
          </w:p>
        </w:tc>
        <w:tc>
          <w:tcPr>
            <w:tcW w:w="339" w:type="pct"/>
            <w:vAlign w:val="center"/>
          </w:tcPr>
          <w:p w14:paraId="361005FA" w14:textId="77777777" w:rsidR="00B14D53" w:rsidRDefault="00000000">
            <w:pPr>
              <w:widowControl/>
              <w:jc w:val="center"/>
              <w:textAlignment w:val="center"/>
              <w:rPr>
                <w:snapToGrid w:val="0"/>
              </w:rPr>
            </w:pPr>
            <w:r>
              <w:rPr>
                <w:rFonts w:hint="eastAsia"/>
                <w:snapToGrid w:val="0"/>
              </w:rPr>
              <w:t>0.68</w:t>
            </w:r>
          </w:p>
        </w:tc>
        <w:tc>
          <w:tcPr>
            <w:tcW w:w="403" w:type="pct"/>
            <w:vAlign w:val="center"/>
          </w:tcPr>
          <w:p w14:paraId="1FC21406" w14:textId="77777777" w:rsidR="00B14D53" w:rsidRDefault="00000000">
            <w:pPr>
              <w:widowControl/>
              <w:jc w:val="center"/>
              <w:textAlignment w:val="center"/>
              <w:rPr>
                <w:snapToGrid w:val="0"/>
              </w:rPr>
            </w:pPr>
            <w:r>
              <w:rPr>
                <w:rFonts w:hint="eastAsia"/>
                <w:snapToGrid w:val="0"/>
              </w:rPr>
              <w:t>0.001</w:t>
            </w:r>
          </w:p>
        </w:tc>
        <w:tc>
          <w:tcPr>
            <w:tcW w:w="378" w:type="pct"/>
            <w:vMerge w:val="restart"/>
            <w:vAlign w:val="center"/>
          </w:tcPr>
          <w:p w14:paraId="7386F99A" w14:textId="77777777" w:rsidR="00B14D53" w:rsidRDefault="00000000">
            <w:pPr>
              <w:pStyle w:val="afff2"/>
              <w:spacing w:line="240" w:lineRule="auto"/>
              <w:rPr>
                <w:rFonts w:hAnsi="Times New Roman"/>
                <w:snapToGrid w:val="0"/>
              </w:rPr>
            </w:pPr>
            <w:r>
              <w:rPr>
                <w:rFonts w:hAnsi="Times New Roman" w:hint="eastAsia"/>
                <w:snapToGrid w:val="0"/>
              </w:rPr>
              <w:t>5440</w:t>
            </w:r>
          </w:p>
        </w:tc>
      </w:tr>
      <w:tr w:rsidR="00B14D53" w14:paraId="424298F2" w14:textId="77777777">
        <w:trPr>
          <w:trHeight w:val="70"/>
        </w:trPr>
        <w:tc>
          <w:tcPr>
            <w:tcW w:w="239" w:type="pct"/>
            <w:vMerge/>
            <w:vAlign w:val="center"/>
          </w:tcPr>
          <w:p w14:paraId="714DE712" w14:textId="77777777" w:rsidR="00B14D53" w:rsidRDefault="00B14D53">
            <w:pPr>
              <w:pStyle w:val="afff2"/>
              <w:spacing w:line="240" w:lineRule="auto"/>
              <w:rPr>
                <w:rFonts w:hAnsi="Times New Roman"/>
                <w:snapToGrid w:val="0"/>
                <w:szCs w:val="22"/>
              </w:rPr>
            </w:pPr>
          </w:p>
        </w:tc>
        <w:tc>
          <w:tcPr>
            <w:tcW w:w="290" w:type="pct"/>
            <w:vMerge/>
            <w:vAlign w:val="center"/>
          </w:tcPr>
          <w:p w14:paraId="54A68B62" w14:textId="77777777" w:rsidR="00B14D53" w:rsidRDefault="00B14D53">
            <w:pPr>
              <w:pStyle w:val="afff2"/>
              <w:spacing w:line="240" w:lineRule="auto"/>
              <w:rPr>
                <w:rFonts w:hAnsi="Times New Roman"/>
                <w:snapToGrid w:val="0"/>
                <w:szCs w:val="22"/>
              </w:rPr>
            </w:pPr>
          </w:p>
        </w:tc>
        <w:tc>
          <w:tcPr>
            <w:tcW w:w="314" w:type="pct"/>
            <w:vMerge/>
            <w:vAlign w:val="center"/>
          </w:tcPr>
          <w:p w14:paraId="143E1388" w14:textId="77777777" w:rsidR="00B14D53" w:rsidRDefault="00B14D53">
            <w:pPr>
              <w:pStyle w:val="afff2"/>
              <w:spacing w:line="240" w:lineRule="auto"/>
              <w:rPr>
                <w:rFonts w:hAnsi="Times New Roman"/>
                <w:snapToGrid w:val="0"/>
                <w:szCs w:val="22"/>
              </w:rPr>
            </w:pPr>
          </w:p>
        </w:tc>
        <w:tc>
          <w:tcPr>
            <w:tcW w:w="303" w:type="pct"/>
            <w:vAlign w:val="center"/>
          </w:tcPr>
          <w:p w14:paraId="2C801595" w14:textId="77777777" w:rsidR="00B14D53" w:rsidRDefault="00000000">
            <w:pPr>
              <w:pStyle w:val="afff2"/>
              <w:spacing w:line="240" w:lineRule="auto"/>
              <w:rPr>
                <w:rFonts w:hAnsi="Times New Roman"/>
                <w:snapToGrid w:val="0"/>
                <w:szCs w:val="22"/>
              </w:rPr>
            </w:pPr>
            <w:r>
              <w:rPr>
                <w:rFonts w:hAnsi="Times New Roman"/>
                <w:snapToGrid w:val="0"/>
                <w:szCs w:val="22"/>
              </w:rPr>
              <w:t>H</w:t>
            </w:r>
            <w:r>
              <w:rPr>
                <w:rFonts w:hAnsi="Times New Roman"/>
                <w:snapToGrid w:val="0"/>
                <w:szCs w:val="22"/>
                <w:vertAlign w:val="subscript"/>
              </w:rPr>
              <w:t>2</w:t>
            </w:r>
            <w:r>
              <w:rPr>
                <w:rFonts w:hAnsi="Times New Roman"/>
                <w:snapToGrid w:val="0"/>
                <w:szCs w:val="22"/>
              </w:rPr>
              <w:t>S</w:t>
            </w:r>
          </w:p>
        </w:tc>
        <w:tc>
          <w:tcPr>
            <w:tcW w:w="204" w:type="pct"/>
            <w:vMerge/>
            <w:vAlign w:val="center"/>
          </w:tcPr>
          <w:p w14:paraId="48C8D26A" w14:textId="77777777" w:rsidR="00B14D53" w:rsidRDefault="00B14D53">
            <w:pPr>
              <w:pStyle w:val="afff2"/>
              <w:spacing w:line="240" w:lineRule="auto"/>
              <w:rPr>
                <w:rFonts w:hAnsi="Times New Roman"/>
                <w:snapToGrid w:val="0"/>
                <w:color w:val="FF0000"/>
                <w:szCs w:val="22"/>
              </w:rPr>
            </w:pPr>
          </w:p>
        </w:tc>
        <w:tc>
          <w:tcPr>
            <w:tcW w:w="291" w:type="pct"/>
            <w:vMerge/>
            <w:vAlign w:val="center"/>
          </w:tcPr>
          <w:p w14:paraId="5B3D0BD1" w14:textId="77777777" w:rsidR="00B14D53" w:rsidRDefault="00B14D53">
            <w:pPr>
              <w:pStyle w:val="afff2"/>
              <w:spacing w:line="240" w:lineRule="auto"/>
              <w:rPr>
                <w:rFonts w:hAnsi="Times New Roman"/>
                <w:snapToGrid w:val="0"/>
                <w:szCs w:val="22"/>
              </w:rPr>
            </w:pPr>
          </w:p>
        </w:tc>
        <w:tc>
          <w:tcPr>
            <w:tcW w:w="386" w:type="pct"/>
            <w:vAlign w:val="center"/>
          </w:tcPr>
          <w:p w14:paraId="4FFB2C90" w14:textId="77777777" w:rsidR="00B14D53" w:rsidRDefault="00000000">
            <w:pPr>
              <w:widowControl/>
              <w:jc w:val="center"/>
              <w:textAlignment w:val="center"/>
              <w:rPr>
                <w:snapToGrid w:val="0"/>
              </w:rPr>
            </w:pPr>
            <w:r>
              <w:rPr>
                <w:rFonts w:hint="eastAsia"/>
                <w:snapToGrid w:val="0"/>
              </w:rPr>
              <w:t>0.19</w:t>
            </w:r>
          </w:p>
        </w:tc>
        <w:tc>
          <w:tcPr>
            <w:tcW w:w="405" w:type="pct"/>
            <w:vAlign w:val="center"/>
          </w:tcPr>
          <w:p w14:paraId="71E96FC5" w14:textId="77777777" w:rsidR="00B14D53" w:rsidRDefault="00000000">
            <w:pPr>
              <w:widowControl/>
              <w:jc w:val="center"/>
              <w:textAlignment w:val="center"/>
              <w:rPr>
                <w:snapToGrid w:val="0"/>
              </w:rPr>
            </w:pPr>
            <w:r>
              <w:rPr>
                <w:rFonts w:hint="eastAsia"/>
                <w:snapToGrid w:val="0"/>
              </w:rPr>
              <w:t>0.0004</w:t>
            </w:r>
          </w:p>
        </w:tc>
        <w:tc>
          <w:tcPr>
            <w:tcW w:w="559" w:type="pct"/>
            <w:vMerge/>
            <w:vAlign w:val="center"/>
          </w:tcPr>
          <w:p w14:paraId="2371C224" w14:textId="77777777" w:rsidR="00B14D53" w:rsidRDefault="00B14D53">
            <w:pPr>
              <w:pStyle w:val="afff2"/>
              <w:spacing w:line="240" w:lineRule="auto"/>
              <w:rPr>
                <w:rFonts w:hAnsi="Times New Roman"/>
                <w:snapToGrid w:val="0"/>
              </w:rPr>
            </w:pPr>
          </w:p>
        </w:tc>
        <w:tc>
          <w:tcPr>
            <w:tcW w:w="420" w:type="pct"/>
            <w:vMerge/>
            <w:vAlign w:val="center"/>
          </w:tcPr>
          <w:p w14:paraId="5E31B65E" w14:textId="77777777" w:rsidR="00B14D53" w:rsidRDefault="00B14D53">
            <w:pPr>
              <w:pStyle w:val="afff2"/>
              <w:spacing w:line="240" w:lineRule="auto"/>
              <w:rPr>
                <w:rFonts w:hAnsi="Times New Roman"/>
                <w:snapToGrid w:val="0"/>
              </w:rPr>
            </w:pPr>
          </w:p>
        </w:tc>
        <w:tc>
          <w:tcPr>
            <w:tcW w:w="166" w:type="pct"/>
            <w:vMerge/>
            <w:vAlign w:val="center"/>
          </w:tcPr>
          <w:p w14:paraId="342E2571" w14:textId="77777777" w:rsidR="00B14D53" w:rsidRDefault="00B14D53">
            <w:pPr>
              <w:pStyle w:val="afff2"/>
              <w:spacing w:line="240" w:lineRule="auto"/>
              <w:rPr>
                <w:rFonts w:hAnsi="Times New Roman"/>
                <w:snapToGrid w:val="0"/>
                <w:color w:val="FF0000"/>
              </w:rPr>
            </w:pPr>
          </w:p>
        </w:tc>
        <w:tc>
          <w:tcPr>
            <w:tcW w:w="296" w:type="pct"/>
            <w:vMerge/>
            <w:vAlign w:val="center"/>
          </w:tcPr>
          <w:p w14:paraId="695F2C1A" w14:textId="77777777" w:rsidR="00B14D53" w:rsidRDefault="00B14D53">
            <w:pPr>
              <w:pStyle w:val="afff2"/>
              <w:spacing w:line="240" w:lineRule="auto"/>
              <w:rPr>
                <w:rFonts w:hAnsi="Times New Roman"/>
                <w:snapToGrid w:val="0"/>
              </w:rPr>
            </w:pPr>
          </w:p>
        </w:tc>
        <w:tc>
          <w:tcPr>
            <w:tcW w:w="339" w:type="pct"/>
            <w:vAlign w:val="center"/>
          </w:tcPr>
          <w:p w14:paraId="032BC94D" w14:textId="77777777" w:rsidR="00B14D53" w:rsidRDefault="00000000">
            <w:pPr>
              <w:widowControl/>
              <w:jc w:val="center"/>
              <w:textAlignment w:val="center"/>
              <w:rPr>
                <w:snapToGrid w:val="0"/>
              </w:rPr>
            </w:pPr>
            <w:r>
              <w:rPr>
                <w:rFonts w:hint="eastAsia"/>
                <w:snapToGrid w:val="0"/>
              </w:rPr>
              <w:t>0.02</w:t>
            </w:r>
          </w:p>
        </w:tc>
        <w:tc>
          <w:tcPr>
            <w:tcW w:w="403" w:type="pct"/>
            <w:vAlign w:val="center"/>
          </w:tcPr>
          <w:p w14:paraId="41D63902" w14:textId="77777777" w:rsidR="00B14D53" w:rsidRDefault="00000000">
            <w:pPr>
              <w:widowControl/>
              <w:jc w:val="center"/>
              <w:textAlignment w:val="center"/>
              <w:rPr>
                <w:snapToGrid w:val="0"/>
              </w:rPr>
            </w:pPr>
            <w:r>
              <w:rPr>
                <w:rFonts w:hint="eastAsia"/>
                <w:snapToGrid w:val="0"/>
              </w:rPr>
              <w:t>0.00004</w:t>
            </w:r>
          </w:p>
        </w:tc>
        <w:tc>
          <w:tcPr>
            <w:tcW w:w="378" w:type="pct"/>
            <w:vMerge/>
            <w:vAlign w:val="center"/>
          </w:tcPr>
          <w:p w14:paraId="5255D7BF" w14:textId="77777777" w:rsidR="00B14D53" w:rsidRDefault="00B14D53">
            <w:pPr>
              <w:pStyle w:val="afff2"/>
              <w:spacing w:line="240" w:lineRule="auto"/>
              <w:rPr>
                <w:rFonts w:hAnsi="Times New Roman"/>
                <w:snapToGrid w:val="0"/>
              </w:rPr>
            </w:pPr>
          </w:p>
        </w:tc>
      </w:tr>
      <w:tr w:rsidR="00B14D53" w14:paraId="5E79B980" w14:textId="77777777">
        <w:trPr>
          <w:trHeight w:val="70"/>
        </w:trPr>
        <w:tc>
          <w:tcPr>
            <w:tcW w:w="239" w:type="pct"/>
            <w:vMerge/>
            <w:vAlign w:val="center"/>
          </w:tcPr>
          <w:p w14:paraId="0FF25E99" w14:textId="77777777" w:rsidR="00B14D53" w:rsidRDefault="00B14D53">
            <w:pPr>
              <w:pStyle w:val="afff2"/>
              <w:spacing w:line="240" w:lineRule="auto"/>
              <w:rPr>
                <w:rFonts w:hAnsi="Times New Roman"/>
                <w:snapToGrid w:val="0"/>
                <w:szCs w:val="22"/>
              </w:rPr>
            </w:pPr>
          </w:p>
        </w:tc>
        <w:tc>
          <w:tcPr>
            <w:tcW w:w="290" w:type="pct"/>
            <w:vMerge/>
            <w:vAlign w:val="center"/>
          </w:tcPr>
          <w:p w14:paraId="6023CF86" w14:textId="77777777" w:rsidR="00B14D53" w:rsidRDefault="00B14D53">
            <w:pPr>
              <w:pStyle w:val="afff2"/>
              <w:spacing w:line="240" w:lineRule="auto"/>
              <w:rPr>
                <w:rFonts w:hAnsi="Times New Roman"/>
                <w:snapToGrid w:val="0"/>
                <w:szCs w:val="22"/>
              </w:rPr>
            </w:pPr>
          </w:p>
        </w:tc>
        <w:tc>
          <w:tcPr>
            <w:tcW w:w="314" w:type="pct"/>
            <w:vMerge w:val="restart"/>
            <w:vAlign w:val="center"/>
          </w:tcPr>
          <w:p w14:paraId="58DD2D82" w14:textId="77777777" w:rsidR="00B14D53" w:rsidRDefault="00000000">
            <w:pPr>
              <w:pStyle w:val="afff2"/>
              <w:spacing w:line="240" w:lineRule="auto"/>
              <w:rPr>
                <w:rFonts w:hAnsi="Times New Roman"/>
                <w:snapToGrid w:val="0"/>
                <w:szCs w:val="22"/>
              </w:rPr>
            </w:pPr>
            <w:r>
              <w:rPr>
                <w:rFonts w:hAnsi="Times New Roman"/>
                <w:snapToGrid w:val="0"/>
                <w:szCs w:val="22"/>
              </w:rPr>
              <w:t>无组织</w:t>
            </w:r>
          </w:p>
        </w:tc>
        <w:tc>
          <w:tcPr>
            <w:tcW w:w="303" w:type="pct"/>
            <w:vAlign w:val="center"/>
          </w:tcPr>
          <w:p w14:paraId="3827A84C" w14:textId="77777777" w:rsidR="00B14D53" w:rsidRDefault="00000000">
            <w:pPr>
              <w:pStyle w:val="afff2"/>
              <w:spacing w:line="240" w:lineRule="auto"/>
              <w:rPr>
                <w:rFonts w:hAnsi="Times New Roman"/>
                <w:snapToGrid w:val="0"/>
                <w:szCs w:val="22"/>
              </w:rPr>
            </w:pPr>
            <w:r>
              <w:rPr>
                <w:rFonts w:hAnsi="Times New Roman"/>
                <w:snapToGrid w:val="0"/>
                <w:szCs w:val="22"/>
              </w:rPr>
              <w:t>NH</w:t>
            </w:r>
            <w:r>
              <w:rPr>
                <w:rFonts w:hAnsi="Times New Roman"/>
                <w:snapToGrid w:val="0"/>
                <w:szCs w:val="22"/>
                <w:vertAlign w:val="subscript"/>
              </w:rPr>
              <w:t>3</w:t>
            </w:r>
          </w:p>
        </w:tc>
        <w:tc>
          <w:tcPr>
            <w:tcW w:w="204" w:type="pct"/>
            <w:vMerge/>
            <w:vAlign w:val="center"/>
          </w:tcPr>
          <w:p w14:paraId="64703DCE" w14:textId="77777777" w:rsidR="00B14D53" w:rsidRDefault="00B14D53">
            <w:pPr>
              <w:pStyle w:val="afff2"/>
              <w:spacing w:line="240" w:lineRule="auto"/>
              <w:rPr>
                <w:rFonts w:hAnsi="Times New Roman"/>
                <w:snapToGrid w:val="0"/>
                <w:color w:val="FF0000"/>
                <w:szCs w:val="22"/>
              </w:rPr>
            </w:pPr>
          </w:p>
        </w:tc>
        <w:tc>
          <w:tcPr>
            <w:tcW w:w="291" w:type="pct"/>
            <w:vMerge w:val="restart"/>
            <w:vAlign w:val="center"/>
          </w:tcPr>
          <w:p w14:paraId="40FFEBA4"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386" w:type="pct"/>
            <w:vAlign w:val="center"/>
          </w:tcPr>
          <w:p w14:paraId="34FFCA52"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5" w:type="pct"/>
            <w:vAlign w:val="center"/>
          </w:tcPr>
          <w:p w14:paraId="54017A2A" w14:textId="77777777" w:rsidR="00B14D53" w:rsidRDefault="00000000">
            <w:pPr>
              <w:widowControl/>
              <w:jc w:val="center"/>
              <w:textAlignment w:val="center"/>
            </w:pPr>
            <w:r>
              <w:rPr>
                <w:rFonts w:hint="eastAsia"/>
              </w:rPr>
              <w:t>0.003</w:t>
            </w:r>
          </w:p>
        </w:tc>
        <w:tc>
          <w:tcPr>
            <w:tcW w:w="559" w:type="pct"/>
            <w:vAlign w:val="center"/>
          </w:tcPr>
          <w:p w14:paraId="57B876F2"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420" w:type="pct"/>
            <w:vAlign w:val="center"/>
          </w:tcPr>
          <w:p w14:paraId="5AB80C03"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166" w:type="pct"/>
            <w:vMerge/>
            <w:vAlign w:val="center"/>
          </w:tcPr>
          <w:p w14:paraId="61B1B0B8" w14:textId="77777777" w:rsidR="00B14D53" w:rsidRDefault="00B14D53">
            <w:pPr>
              <w:pStyle w:val="afff2"/>
              <w:spacing w:line="240" w:lineRule="auto"/>
              <w:rPr>
                <w:rFonts w:hAnsi="Times New Roman"/>
                <w:snapToGrid w:val="0"/>
                <w:color w:val="FF0000"/>
                <w:szCs w:val="22"/>
              </w:rPr>
            </w:pPr>
          </w:p>
        </w:tc>
        <w:tc>
          <w:tcPr>
            <w:tcW w:w="296" w:type="pct"/>
            <w:vMerge w:val="restart"/>
            <w:vAlign w:val="center"/>
          </w:tcPr>
          <w:p w14:paraId="78D576AE"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339" w:type="pct"/>
            <w:vAlign w:val="center"/>
          </w:tcPr>
          <w:p w14:paraId="3036EA5F"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3" w:type="pct"/>
            <w:vAlign w:val="center"/>
          </w:tcPr>
          <w:p w14:paraId="45CA0D69" w14:textId="77777777" w:rsidR="00B14D53" w:rsidRDefault="00000000">
            <w:pPr>
              <w:widowControl/>
              <w:jc w:val="center"/>
              <w:textAlignment w:val="center"/>
            </w:pPr>
            <w:r>
              <w:rPr>
                <w:rFonts w:hint="eastAsia"/>
              </w:rPr>
              <w:t>0.003</w:t>
            </w:r>
          </w:p>
        </w:tc>
        <w:tc>
          <w:tcPr>
            <w:tcW w:w="378" w:type="pct"/>
            <w:vMerge/>
            <w:vAlign w:val="center"/>
          </w:tcPr>
          <w:p w14:paraId="7371593F" w14:textId="77777777" w:rsidR="00B14D53" w:rsidRDefault="00B14D53">
            <w:pPr>
              <w:pStyle w:val="afff2"/>
              <w:spacing w:line="240" w:lineRule="auto"/>
              <w:rPr>
                <w:rFonts w:hAnsi="Times New Roman"/>
                <w:snapToGrid w:val="0"/>
              </w:rPr>
            </w:pPr>
          </w:p>
        </w:tc>
      </w:tr>
      <w:tr w:rsidR="00B14D53" w14:paraId="40C6A12E" w14:textId="77777777">
        <w:trPr>
          <w:trHeight w:val="70"/>
        </w:trPr>
        <w:tc>
          <w:tcPr>
            <w:tcW w:w="239" w:type="pct"/>
            <w:vMerge/>
            <w:vAlign w:val="center"/>
          </w:tcPr>
          <w:p w14:paraId="7ECE47D3" w14:textId="77777777" w:rsidR="00B14D53" w:rsidRDefault="00B14D53">
            <w:pPr>
              <w:pStyle w:val="afff2"/>
              <w:spacing w:line="240" w:lineRule="auto"/>
              <w:rPr>
                <w:rFonts w:hAnsi="Times New Roman"/>
                <w:snapToGrid w:val="0"/>
                <w:szCs w:val="22"/>
              </w:rPr>
            </w:pPr>
          </w:p>
        </w:tc>
        <w:tc>
          <w:tcPr>
            <w:tcW w:w="290" w:type="pct"/>
            <w:vMerge/>
            <w:vAlign w:val="center"/>
          </w:tcPr>
          <w:p w14:paraId="4AA6722C" w14:textId="77777777" w:rsidR="00B14D53" w:rsidRDefault="00B14D53">
            <w:pPr>
              <w:pStyle w:val="afff2"/>
              <w:spacing w:line="240" w:lineRule="auto"/>
              <w:rPr>
                <w:rFonts w:hAnsi="Times New Roman"/>
                <w:snapToGrid w:val="0"/>
                <w:szCs w:val="22"/>
              </w:rPr>
            </w:pPr>
          </w:p>
        </w:tc>
        <w:tc>
          <w:tcPr>
            <w:tcW w:w="314" w:type="pct"/>
            <w:vMerge/>
            <w:vAlign w:val="center"/>
          </w:tcPr>
          <w:p w14:paraId="6E76DA06" w14:textId="77777777" w:rsidR="00B14D53" w:rsidRDefault="00B14D53">
            <w:pPr>
              <w:pStyle w:val="afff2"/>
              <w:spacing w:line="240" w:lineRule="auto"/>
              <w:rPr>
                <w:rFonts w:hAnsi="Times New Roman"/>
                <w:snapToGrid w:val="0"/>
                <w:szCs w:val="22"/>
              </w:rPr>
            </w:pPr>
          </w:p>
        </w:tc>
        <w:tc>
          <w:tcPr>
            <w:tcW w:w="303" w:type="pct"/>
            <w:vAlign w:val="center"/>
          </w:tcPr>
          <w:p w14:paraId="6097026D" w14:textId="77777777" w:rsidR="00B14D53" w:rsidRDefault="00000000">
            <w:pPr>
              <w:pStyle w:val="afff2"/>
              <w:spacing w:line="240" w:lineRule="auto"/>
              <w:rPr>
                <w:rFonts w:hAnsi="Times New Roman"/>
                <w:snapToGrid w:val="0"/>
                <w:szCs w:val="22"/>
              </w:rPr>
            </w:pPr>
            <w:r>
              <w:rPr>
                <w:rFonts w:hAnsi="Times New Roman"/>
                <w:snapToGrid w:val="0"/>
                <w:szCs w:val="22"/>
              </w:rPr>
              <w:t>H</w:t>
            </w:r>
            <w:r>
              <w:rPr>
                <w:rFonts w:hAnsi="Times New Roman"/>
                <w:snapToGrid w:val="0"/>
                <w:szCs w:val="22"/>
                <w:vertAlign w:val="subscript"/>
              </w:rPr>
              <w:t>2</w:t>
            </w:r>
            <w:r>
              <w:rPr>
                <w:rFonts w:hAnsi="Times New Roman"/>
                <w:snapToGrid w:val="0"/>
                <w:szCs w:val="22"/>
              </w:rPr>
              <w:t>S</w:t>
            </w:r>
          </w:p>
        </w:tc>
        <w:tc>
          <w:tcPr>
            <w:tcW w:w="204" w:type="pct"/>
            <w:vMerge/>
            <w:vAlign w:val="center"/>
          </w:tcPr>
          <w:p w14:paraId="1C44FF51" w14:textId="77777777" w:rsidR="00B14D53" w:rsidRDefault="00B14D53">
            <w:pPr>
              <w:pStyle w:val="afff2"/>
              <w:spacing w:line="240" w:lineRule="auto"/>
              <w:rPr>
                <w:rFonts w:hAnsi="Times New Roman"/>
                <w:snapToGrid w:val="0"/>
                <w:color w:val="FF0000"/>
                <w:szCs w:val="22"/>
              </w:rPr>
            </w:pPr>
          </w:p>
        </w:tc>
        <w:tc>
          <w:tcPr>
            <w:tcW w:w="291" w:type="pct"/>
            <w:vMerge/>
            <w:vAlign w:val="center"/>
          </w:tcPr>
          <w:p w14:paraId="1E039999" w14:textId="77777777" w:rsidR="00B14D53" w:rsidRDefault="00B14D53">
            <w:pPr>
              <w:pStyle w:val="afff2"/>
              <w:spacing w:line="240" w:lineRule="auto"/>
              <w:rPr>
                <w:rFonts w:hAnsi="Times New Roman"/>
                <w:snapToGrid w:val="0"/>
                <w:szCs w:val="22"/>
              </w:rPr>
            </w:pPr>
          </w:p>
        </w:tc>
        <w:tc>
          <w:tcPr>
            <w:tcW w:w="386" w:type="pct"/>
            <w:vAlign w:val="center"/>
          </w:tcPr>
          <w:p w14:paraId="0B284DE3"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5" w:type="pct"/>
            <w:vAlign w:val="center"/>
          </w:tcPr>
          <w:p w14:paraId="2440C5FF" w14:textId="77777777" w:rsidR="00B14D53" w:rsidRDefault="00000000">
            <w:pPr>
              <w:widowControl/>
              <w:jc w:val="center"/>
              <w:textAlignment w:val="center"/>
            </w:pPr>
            <w:r>
              <w:rPr>
                <w:rFonts w:hint="eastAsia"/>
              </w:rPr>
              <w:t>0.0001</w:t>
            </w:r>
          </w:p>
        </w:tc>
        <w:tc>
          <w:tcPr>
            <w:tcW w:w="559" w:type="pct"/>
            <w:vAlign w:val="center"/>
          </w:tcPr>
          <w:p w14:paraId="63F89AE1"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420" w:type="pct"/>
            <w:vAlign w:val="center"/>
          </w:tcPr>
          <w:p w14:paraId="535AA25F"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166" w:type="pct"/>
            <w:vMerge/>
            <w:vAlign w:val="center"/>
          </w:tcPr>
          <w:p w14:paraId="57140149" w14:textId="77777777" w:rsidR="00B14D53" w:rsidRDefault="00B14D53">
            <w:pPr>
              <w:pStyle w:val="afff2"/>
              <w:spacing w:line="240" w:lineRule="auto"/>
              <w:rPr>
                <w:rFonts w:hAnsi="Times New Roman"/>
                <w:snapToGrid w:val="0"/>
                <w:color w:val="FF0000"/>
                <w:szCs w:val="22"/>
              </w:rPr>
            </w:pPr>
          </w:p>
        </w:tc>
        <w:tc>
          <w:tcPr>
            <w:tcW w:w="296" w:type="pct"/>
            <w:vMerge/>
            <w:vAlign w:val="center"/>
          </w:tcPr>
          <w:p w14:paraId="35822124" w14:textId="77777777" w:rsidR="00B14D53" w:rsidRDefault="00B14D53">
            <w:pPr>
              <w:pStyle w:val="afff2"/>
              <w:spacing w:line="240" w:lineRule="auto"/>
              <w:rPr>
                <w:rFonts w:hAnsi="Times New Roman"/>
                <w:snapToGrid w:val="0"/>
                <w:szCs w:val="22"/>
              </w:rPr>
            </w:pPr>
          </w:p>
        </w:tc>
        <w:tc>
          <w:tcPr>
            <w:tcW w:w="339" w:type="pct"/>
            <w:vAlign w:val="center"/>
          </w:tcPr>
          <w:p w14:paraId="5C3E30D4"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3" w:type="pct"/>
            <w:vAlign w:val="center"/>
          </w:tcPr>
          <w:p w14:paraId="58E40B2F" w14:textId="77777777" w:rsidR="00B14D53" w:rsidRDefault="00000000">
            <w:pPr>
              <w:widowControl/>
              <w:jc w:val="center"/>
              <w:textAlignment w:val="center"/>
            </w:pPr>
            <w:r>
              <w:rPr>
                <w:rFonts w:hint="eastAsia"/>
              </w:rPr>
              <w:t>0.0001</w:t>
            </w:r>
          </w:p>
        </w:tc>
        <w:tc>
          <w:tcPr>
            <w:tcW w:w="378" w:type="pct"/>
            <w:vMerge/>
            <w:vAlign w:val="center"/>
          </w:tcPr>
          <w:p w14:paraId="3F8DDF91" w14:textId="77777777" w:rsidR="00B14D53" w:rsidRDefault="00B14D53">
            <w:pPr>
              <w:pStyle w:val="afff2"/>
              <w:spacing w:line="240" w:lineRule="auto"/>
              <w:rPr>
                <w:rFonts w:hAnsi="Times New Roman"/>
                <w:snapToGrid w:val="0"/>
              </w:rPr>
            </w:pPr>
          </w:p>
        </w:tc>
      </w:tr>
    </w:tbl>
    <w:p w14:paraId="1F2243F2" w14:textId="77777777" w:rsidR="00B14D53" w:rsidRDefault="00000000">
      <w:pPr>
        <w:jc w:val="center"/>
        <w:rPr>
          <w:b/>
          <w:bCs/>
        </w:rPr>
      </w:pPr>
      <w:r>
        <w:rPr>
          <w:rFonts w:hint="eastAsia"/>
          <w:b/>
          <w:bCs/>
        </w:rPr>
        <w:t>续表</w:t>
      </w:r>
      <w:r>
        <w:rPr>
          <w:rFonts w:hint="eastAsia"/>
          <w:b/>
          <w:bCs/>
        </w:rPr>
        <w:t xml:space="preserve">3-3-3 </w:t>
      </w:r>
      <w:r>
        <w:rPr>
          <w:rFonts w:hint="eastAsia"/>
          <w:b/>
          <w:bCs/>
        </w:rPr>
        <w:t>大气污染源源强核算结果及相关参数一览表</w:t>
      </w:r>
    </w:p>
    <w:tbl>
      <w:tblPr>
        <w:tblW w:w="4959"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2"/>
        <w:gridCol w:w="803"/>
        <w:gridCol w:w="869"/>
        <w:gridCol w:w="839"/>
        <w:gridCol w:w="565"/>
        <w:gridCol w:w="806"/>
        <w:gridCol w:w="1072"/>
        <w:gridCol w:w="1124"/>
        <w:gridCol w:w="1551"/>
        <w:gridCol w:w="1166"/>
        <w:gridCol w:w="460"/>
        <w:gridCol w:w="820"/>
        <w:gridCol w:w="939"/>
        <w:gridCol w:w="1119"/>
        <w:gridCol w:w="1049"/>
      </w:tblGrid>
      <w:tr w:rsidR="00B14D53" w14:paraId="202B3CFC" w14:textId="77777777">
        <w:trPr>
          <w:trHeight w:val="70"/>
        </w:trPr>
        <w:tc>
          <w:tcPr>
            <w:tcW w:w="239" w:type="pct"/>
            <w:vMerge w:val="restart"/>
            <w:vAlign w:val="center"/>
          </w:tcPr>
          <w:p w14:paraId="0095536A" w14:textId="77777777" w:rsidR="00B14D53" w:rsidRDefault="00000000">
            <w:pPr>
              <w:pStyle w:val="afff2"/>
              <w:spacing w:line="240" w:lineRule="auto"/>
              <w:rPr>
                <w:rFonts w:hAnsi="Times New Roman"/>
                <w:snapToGrid w:val="0"/>
                <w:szCs w:val="22"/>
              </w:rPr>
            </w:pPr>
            <w:r>
              <w:rPr>
                <w:rFonts w:hAnsi="Times New Roman"/>
                <w:snapToGrid w:val="0"/>
                <w:szCs w:val="22"/>
              </w:rPr>
              <w:t>水处理</w:t>
            </w:r>
          </w:p>
        </w:tc>
        <w:tc>
          <w:tcPr>
            <w:tcW w:w="290" w:type="pct"/>
            <w:vMerge w:val="restart"/>
            <w:vAlign w:val="center"/>
          </w:tcPr>
          <w:p w14:paraId="7BADBB55" w14:textId="77777777" w:rsidR="00B14D53" w:rsidRDefault="00000000">
            <w:pPr>
              <w:pStyle w:val="afff2"/>
              <w:spacing w:line="240" w:lineRule="auto"/>
              <w:rPr>
                <w:rFonts w:hAnsi="Times New Roman"/>
                <w:snapToGrid w:val="0"/>
                <w:szCs w:val="22"/>
              </w:rPr>
            </w:pPr>
            <w:r>
              <w:rPr>
                <w:rFonts w:hAnsi="Times New Roman"/>
                <w:snapToGrid w:val="0"/>
                <w:szCs w:val="22"/>
              </w:rPr>
              <w:t>污水处理站</w:t>
            </w:r>
          </w:p>
        </w:tc>
        <w:tc>
          <w:tcPr>
            <w:tcW w:w="314" w:type="pct"/>
            <w:vMerge w:val="restart"/>
            <w:vAlign w:val="center"/>
          </w:tcPr>
          <w:p w14:paraId="52F8A410" w14:textId="77777777" w:rsidR="00B14D53" w:rsidRDefault="00000000">
            <w:pPr>
              <w:pStyle w:val="afff2"/>
              <w:spacing w:line="240" w:lineRule="auto"/>
              <w:rPr>
                <w:rFonts w:hAnsi="Times New Roman"/>
                <w:snapToGrid w:val="0"/>
                <w:szCs w:val="22"/>
              </w:rPr>
            </w:pPr>
            <w:r>
              <w:rPr>
                <w:rFonts w:hAnsi="Times New Roman" w:hint="eastAsia"/>
                <w:snapToGrid w:val="0"/>
                <w:szCs w:val="22"/>
              </w:rPr>
              <w:t>DA004</w:t>
            </w:r>
            <w:r>
              <w:rPr>
                <w:rFonts w:hAnsi="Times New Roman"/>
                <w:snapToGrid w:val="0"/>
                <w:szCs w:val="22"/>
              </w:rPr>
              <w:t>排气筒</w:t>
            </w:r>
          </w:p>
        </w:tc>
        <w:tc>
          <w:tcPr>
            <w:tcW w:w="303" w:type="pct"/>
            <w:vAlign w:val="center"/>
          </w:tcPr>
          <w:p w14:paraId="27BAECAE" w14:textId="77777777" w:rsidR="00B14D53" w:rsidRDefault="00000000">
            <w:pPr>
              <w:pStyle w:val="afff2"/>
              <w:spacing w:line="240" w:lineRule="auto"/>
              <w:rPr>
                <w:rFonts w:hAnsi="Times New Roman"/>
                <w:snapToGrid w:val="0"/>
                <w:szCs w:val="22"/>
              </w:rPr>
            </w:pPr>
            <w:r>
              <w:rPr>
                <w:rFonts w:hAnsi="Times New Roman"/>
                <w:snapToGrid w:val="0"/>
                <w:szCs w:val="22"/>
              </w:rPr>
              <w:t>NH</w:t>
            </w:r>
            <w:r>
              <w:rPr>
                <w:rFonts w:hAnsi="Times New Roman"/>
                <w:snapToGrid w:val="0"/>
                <w:szCs w:val="22"/>
                <w:vertAlign w:val="subscript"/>
              </w:rPr>
              <w:t>3</w:t>
            </w:r>
          </w:p>
        </w:tc>
        <w:tc>
          <w:tcPr>
            <w:tcW w:w="204" w:type="pct"/>
            <w:vMerge w:val="restart"/>
            <w:vAlign w:val="center"/>
          </w:tcPr>
          <w:p w14:paraId="49169425" w14:textId="77777777" w:rsidR="00B14D53" w:rsidRDefault="00000000">
            <w:pPr>
              <w:pStyle w:val="afff2"/>
              <w:spacing w:line="240" w:lineRule="auto"/>
              <w:rPr>
                <w:rFonts w:hAnsi="Times New Roman"/>
                <w:snapToGrid w:val="0"/>
                <w:szCs w:val="22"/>
              </w:rPr>
            </w:pPr>
            <w:r>
              <w:rPr>
                <w:rFonts w:hAnsi="Times New Roman"/>
                <w:snapToGrid w:val="0"/>
                <w:szCs w:val="22"/>
              </w:rPr>
              <w:t>产污系数法</w:t>
            </w:r>
          </w:p>
        </w:tc>
        <w:tc>
          <w:tcPr>
            <w:tcW w:w="291" w:type="pct"/>
            <w:vMerge w:val="restart"/>
            <w:vAlign w:val="center"/>
          </w:tcPr>
          <w:p w14:paraId="023E2D7B" w14:textId="77777777" w:rsidR="00B14D53" w:rsidRDefault="00000000">
            <w:pPr>
              <w:pStyle w:val="afff2"/>
              <w:spacing w:line="240" w:lineRule="auto"/>
              <w:rPr>
                <w:rFonts w:hAnsi="Times New Roman"/>
                <w:snapToGrid w:val="0"/>
                <w:szCs w:val="22"/>
              </w:rPr>
            </w:pPr>
            <w:r>
              <w:rPr>
                <w:rFonts w:hAnsi="Times New Roman" w:hint="eastAsia"/>
                <w:snapToGrid w:val="0"/>
                <w:szCs w:val="22"/>
              </w:rPr>
              <w:t>2</w:t>
            </w:r>
            <w:r>
              <w:rPr>
                <w:rFonts w:hAnsi="Times New Roman"/>
                <w:snapToGrid w:val="0"/>
                <w:szCs w:val="22"/>
              </w:rPr>
              <w:t>000</w:t>
            </w:r>
          </w:p>
        </w:tc>
        <w:tc>
          <w:tcPr>
            <w:tcW w:w="386" w:type="pct"/>
            <w:vAlign w:val="center"/>
          </w:tcPr>
          <w:p w14:paraId="26637996" w14:textId="77777777" w:rsidR="00B14D53" w:rsidRDefault="00000000">
            <w:pPr>
              <w:widowControl/>
              <w:jc w:val="center"/>
              <w:textAlignment w:val="center"/>
              <w:rPr>
                <w:snapToGrid w:val="0"/>
              </w:rPr>
            </w:pPr>
            <w:r>
              <w:rPr>
                <w:rFonts w:hint="eastAsia"/>
                <w:snapToGrid w:val="0"/>
              </w:rPr>
              <w:t>9.57</w:t>
            </w:r>
          </w:p>
        </w:tc>
        <w:tc>
          <w:tcPr>
            <w:tcW w:w="405" w:type="pct"/>
            <w:vAlign w:val="center"/>
          </w:tcPr>
          <w:p w14:paraId="513C4849" w14:textId="77777777" w:rsidR="00B14D53" w:rsidRDefault="00000000">
            <w:pPr>
              <w:widowControl/>
              <w:jc w:val="center"/>
              <w:textAlignment w:val="center"/>
              <w:rPr>
                <w:bCs/>
              </w:rPr>
            </w:pPr>
            <w:r>
              <w:rPr>
                <w:rFonts w:hint="eastAsia"/>
                <w:bCs/>
              </w:rPr>
              <w:t>0.02</w:t>
            </w:r>
          </w:p>
        </w:tc>
        <w:tc>
          <w:tcPr>
            <w:tcW w:w="559" w:type="pct"/>
            <w:vMerge w:val="restart"/>
            <w:vAlign w:val="center"/>
          </w:tcPr>
          <w:p w14:paraId="10ADEC5E" w14:textId="77777777" w:rsidR="00B14D53" w:rsidRDefault="00000000">
            <w:pPr>
              <w:pStyle w:val="afff2"/>
              <w:spacing w:line="240" w:lineRule="auto"/>
              <w:rPr>
                <w:rFonts w:hAnsi="Times New Roman"/>
                <w:snapToGrid w:val="0"/>
                <w:szCs w:val="22"/>
              </w:rPr>
            </w:pPr>
            <w:r>
              <w:rPr>
                <w:rFonts w:hAnsi="Times New Roman"/>
                <w:szCs w:val="22"/>
              </w:rPr>
              <w:t>活性炭吸附装置净化处理</w:t>
            </w:r>
          </w:p>
        </w:tc>
        <w:tc>
          <w:tcPr>
            <w:tcW w:w="420" w:type="pct"/>
            <w:vMerge w:val="restart"/>
            <w:vAlign w:val="center"/>
          </w:tcPr>
          <w:p w14:paraId="7B518F70" w14:textId="77777777" w:rsidR="00B14D53" w:rsidRDefault="00000000">
            <w:pPr>
              <w:pStyle w:val="afff2"/>
              <w:spacing w:line="240" w:lineRule="auto"/>
              <w:rPr>
                <w:rFonts w:hAnsi="Times New Roman"/>
                <w:snapToGrid w:val="0"/>
                <w:szCs w:val="22"/>
              </w:rPr>
            </w:pPr>
            <w:r>
              <w:rPr>
                <w:rFonts w:hAnsi="Times New Roman" w:hint="eastAsia"/>
                <w:snapToGrid w:val="0"/>
                <w:szCs w:val="22"/>
              </w:rPr>
              <w:t>90</w:t>
            </w:r>
          </w:p>
        </w:tc>
        <w:tc>
          <w:tcPr>
            <w:tcW w:w="166" w:type="pct"/>
            <w:vMerge w:val="restart"/>
            <w:vAlign w:val="center"/>
          </w:tcPr>
          <w:p w14:paraId="02F8ABDC" w14:textId="77777777" w:rsidR="00B14D53" w:rsidRDefault="00000000">
            <w:pPr>
              <w:pStyle w:val="afff2"/>
              <w:spacing w:line="240" w:lineRule="auto"/>
              <w:rPr>
                <w:rFonts w:hAnsi="Times New Roman"/>
                <w:snapToGrid w:val="0"/>
                <w:color w:val="FF0000"/>
                <w:szCs w:val="22"/>
              </w:rPr>
            </w:pPr>
            <w:r>
              <w:rPr>
                <w:rFonts w:hAnsi="Times New Roman"/>
                <w:snapToGrid w:val="0"/>
                <w:szCs w:val="22"/>
              </w:rPr>
              <w:t>物料衡算法</w:t>
            </w:r>
          </w:p>
        </w:tc>
        <w:tc>
          <w:tcPr>
            <w:tcW w:w="296" w:type="pct"/>
            <w:vMerge w:val="restart"/>
            <w:vAlign w:val="center"/>
          </w:tcPr>
          <w:p w14:paraId="18E5C741" w14:textId="77777777" w:rsidR="00B14D53" w:rsidRDefault="00000000">
            <w:pPr>
              <w:pStyle w:val="afff2"/>
              <w:spacing w:line="240" w:lineRule="auto"/>
              <w:rPr>
                <w:rFonts w:hAnsi="Times New Roman"/>
                <w:snapToGrid w:val="0"/>
                <w:szCs w:val="22"/>
              </w:rPr>
            </w:pPr>
            <w:r>
              <w:rPr>
                <w:rFonts w:hAnsi="Times New Roman" w:hint="eastAsia"/>
                <w:snapToGrid w:val="0"/>
                <w:szCs w:val="22"/>
              </w:rPr>
              <w:t>2</w:t>
            </w:r>
            <w:r>
              <w:rPr>
                <w:rFonts w:hAnsi="Times New Roman"/>
                <w:snapToGrid w:val="0"/>
                <w:szCs w:val="22"/>
              </w:rPr>
              <w:t>000</w:t>
            </w:r>
          </w:p>
        </w:tc>
        <w:tc>
          <w:tcPr>
            <w:tcW w:w="339" w:type="pct"/>
            <w:vAlign w:val="center"/>
          </w:tcPr>
          <w:p w14:paraId="4219C229" w14:textId="77777777" w:rsidR="00B14D53" w:rsidRDefault="00000000">
            <w:pPr>
              <w:widowControl/>
              <w:jc w:val="center"/>
              <w:textAlignment w:val="center"/>
              <w:rPr>
                <w:snapToGrid w:val="0"/>
              </w:rPr>
            </w:pPr>
            <w:r>
              <w:rPr>
                <w:rFonts w:hint="eastAsia"/>
                <w:snapToGrid w:val="0"/>
              </w:rPr>
              <w:t>0.96</w:t>
            </w:r>
          </w:p>
        </w:tc>
        <w:tc>
          <w:tcPr>
            <w:tcW w:w="403" w:type="pct"/>
            <w:vAlign w:val="center"/>
          </w:tcPr>
          <w:p w14:paraId="713A7C8D" w14:textId="77777777" w:rsidR="00B14D53" w:rsidRDefault="00000000">
            <w:pPr>
              <w:widowControl/>
              <w:jc w:val="center"/>
              <w:textAlignment w:val="center"/>
              <w:rPr>
                <w:bCs/>
              </w:rPr>
            </w:pPr>
            <w:r>
              <w:rPr>
                <w:rFonts w:hint="eastAsia"/>
                <w:bCs/>
              </w:rPr>
              <w:t>0.002</w:t>
            </w:r>
          </w:p>
        </w:tc>
        <w:tc>
          <w:tcPr>
            <w:tcW w:w="378" w:type="pct"/>
            <w:vMerge w:val="restart"/>
            <w:vAlign w:val="center"/>
          </w:tcPr>
          <w:p w14:paraId="6BC92F5F" w14:textId="77777777" w:rsidR="00B14D53" w:rsidRDefault="00000000">
            <w:pPr>
              <w:pStyle w:val="afff2"/>
              <w:spacing w:line="240" w:lineRule="auto"/>
              <w:rPr>
                <w:rFonts w:hAnsi="Times New Roman"/>
                <w:snapToGrid w:val="0"/>
              </w:rPr>
            </w:pPr>
            <w:r>
              <w:rPr>
                <w:rFonts w:hAnsi="Times New Roman" w:hint="eastAsia"/>
                <w:snapToGrid w:val="0"/>
              </w:rPr>
              <w:t>8160</w:t>
            </w:r>
          </w:p>
        </w:tc>
      </w:tr>
      <w:tr w:rsidR="00B14D53" w14:paraId="45E59176" w14:textId="77777777">
        <w:trPr>
          <w:trHeight w:val="90"/>
        </w:trPr>
        <w:tc>
          <w:tcPr>
            <w:tcW w:w="239" w:type="pct"/>
            <w:vMerge/>
            <w:vAlign w:val="center"/>
          </w:tcPr>
          <w:p w14:paraId="35CF518F" w14:textId="77777777" w:rsidR="00B14D53" w:rsidRDefault="00B14D53">
            <w:pPr>
              <w:pStyle w:val="afff2"/>
              <w:spacing w:line="240" w:lineRule="auto"/>
              <w:rPr>
                <w:rFonts w:hAnsi="Times New Roman"/>
                <w:snapToGrid w:val="0"/>
                <w:szCs w:val="22"/>
              </w:rPr>
            </w:pPr>
          </w:p>
        </w:tc>
        <w:tc>
          <w:tcPr>
            <w:tcW w:w="290" w:type="pct"/>
            <w:vMerge/>
            <w:vAlign w:val="center"/>
          </w:tcPr>
          <w:p w14:paraId="6D78B5C3" w14:textId="77777777" w:rsidR="00B14D53" w:rsidRDefault="00B14D53">
            <w:pPr>
              <w:pStyle w:val="afff2"/>
              <w:spacing w:line="240" w:lineRule="auto"/>
              <w:rPr>
                <w:rFonts w:hAnsi="Times New Roman"/>
                <w:snapToGrid w:val="0"/>
                <w:szCs w:val="22"/>
              </w:rPr>
            </w:pPr>
          </w:p>
        </w:tc>
        <w:tc>
          <w:tcPr>
            <w:tcW w:w="314" w:type="pct"/>
            <w:vMerge/>
            <w:vAlign w:val="center"/>
          </w:tcPr>
          <w:p w14:paraId="4AE1D960" w14:textId="77777777" w:rsidR="00B14D53" w:rsidRDefault="00B14D53">
            <w:pPr>
              <w:pStyle w:val="afff2"/>
              <w:spacing w:line="240" w:lineRule="auto"/>
              <w:rPr>
                <w:rFonts w:hAnsi="Times New Roman"/>
                <w:snapToGrid w:val="0"/>
                <w:szCs w:val="22"/>
              </w:rPr>
            </w:pPr>
          </w:p>
        </w:tc>
        <w:tc>
          <w:tcPr>
            <w:tcW w:w="303" w:type="pct"/>
            <w:vAlign w:val="center"/>
          </w:tcPr>
          <w:p w14:paraId="555D0221" w14:textId="77777777" w:rsidR="00B14D53" w:rsidRDefault="00000000">
            <w:pPr>
              <w:pStyle w:val="afff2"/>
              <w:spacing w:line="240" w:lineRule="auto"/>
              <w:rPr>
                <w:rFonts w:hAnsi="Times New Roman"/>
                <w:snapToGrid w:val="0"/>
                <w:szCs w:val="22"/>
              </w:rPr>
            </w:pPr>
            <w:r>
              <w:rPr>
                <w:rFonts w:hAnsi="Times New Roman"/>
                <w:snapToGrid w:val="0"/>
                <w:szCs w:val="22"/>
              </w:rPr>
              <w:t>H</w:t>
            </w:r>
            <w:r>
              <w:rPr>
                <w:rFonts w:hAnsi="Times New Roman"/>
                <w:snapToGrid w:val="0"/>
                <w:szCs w:val="22"/>
                <w:vertAlign w:val="subscript"/>
              </w:rPr>
              <w:t>2</w:t>
            </w:r>
            <w:r>
              <w:rPr>
                <w:rFonts w:hAnsi="Times New Roman"/>
                <w:snapToGrid w:val="0"/>
                <w:szCs w:val="22"/>
              </w:rPr>
              <w:t>S</w:t>
            </w:r>
          </w:p>
        </w:tc>
        <w:tc>
          <w:tcPr>
            <w:tcW w:w="204" w:type="pct"/>
            <w:vMerge/>
            <w:vAlign w:val="center"/>
          </w:tcPr>
          <w:p w14:paraId="6C27860D" w14:textId="77777777" w:rsidR="00B14D53" w:rsidRDefault="00B14D53">
            <w:pPr>
              <w:pStyle w:val="afff2"/>
              <w:spacing w:line="240" w:lineRule="auto"/>
              <w:rPr>
                <w:rFonts w:hAnsi="Times New Roman"/>
                <w:snapToGrid w:val="0"/>
                <w:szCs w:val="22"/>
              </w:rPr>
            </w:pPr>
          </w:p>
        </w:tc>
        <w:tc>
          <w:tcPr>
            <w:tcW w:w="291" w:type="pct"/>
            <w:vMerge/>
            <w:vAlign w:val="center"/>
          </w:tcPr>
          <w:p w14:paraId="434E874D" w14:textId="77777777" w:rsidR="00B14D53" w:rsidRDefault="00B14D53">
            <w:pPr>
              <w:pStyle w:val="afff2"/>
              <w:spacing w:line="240" w:lineRule="auto"/>
              <w:rPr>
                <w:rFonts w:hAnsi="Times New Roman"/>
                <w:snapToGrid w:val="0"/>
                <w:szCs w:val="22"/>
              </w:rPr>
            </w:pPr>
          </w:p>
        </w:tc>
        <w:tc>
          <w:tcPr>
            <w:tcW w:w="386" w:type="pct"/>
            <w:vAlign w:val="center"/>
          </w:tcPr>
          <w:p w14:paraId="36A96213" w14:textId="77777777" w:rsidR="00B14D53" w:rsidRDefault="00000000">
            <w:pPr>
              <w:widowControl/>
              <w:jc w:val="center"/>
              <w:textAlignment w:val="center"/>
              <w:rPr>
                <w:snapToGrid w:val="0"/>
              </w:rPr>
            </w:pPr>
            <w:r>
              <w:rPr>
                <w:rFonts w:hint="eastAsia"/>
                <w:snapToGrid w:val="0"/>
              </w:rPr>
              <w:t>0.37</w:t>
            </w:r>
          </w:p>
        </w:tc>
        <w:tc>
          <w:tcPr>
            <w:tcW w:w="405" w:type="pct"/>
            <w:vAlign w:val="center"/>
          </w:tcPr>
          <w:p w14:paraId="1B244939" w14:textId="77777777" w:rsidR="00B14D53" w:rsidRDefault="00000000">
            <w:pPr>
              <w:widowControl/>
              <w:jc w:val="center"/>
              <w:textAlignment w:val="center"/>
              <w:rPr>
                <w:bCs/>
              </w:rPr>
            </w:pPr>
            <w:r>
              <w:rPr>
                <w:rFonts w:hint="eastAsia"/>
                <w:bCs/>
              </w:rPr>
              <w:t>0.001</w:t>
            </w:r>
          </w:p>
        </w:tc>
        <w:tc>
          <w:tcPr>
            <w:tcW w:w="559" w:type="pct"/>
            <w:vMerge/>
            <w:vAlign w:val="center"/>
          </w:tcPr>
          <w:p w14:paraId="5A19CCC6" w14:textId="77777777" w:rsidR="00B14D53" w:rsidRDefault="00B14D53">
            <w:pPr>
              <w:pStyle w:val="afff2"/>
              <w:spacing w:line="240" w:lineRule="auto"/>
              <w:rPr>
                <w:rFonts w:hAnsi="Times New Roman"/>
                <w:snapToGrid w:val="0"/>
                <w:szCs w:val="22"/>
              </w:rPr>
            </w:pPr>
          </w:p>
        </w:tc>
        <w:tc>
          <w:tcPr>
            <w:tcW w:w="420" w:type="pct"/>
            <w:vMerge/>
            <w:vAlign w:val="center"/>
          </w:tcPr>
          <w:p w14:paraId="2AD1A332" w14:textId="77777777" w:rsidR="00B14D53" w:rsidRDefault="00B14D53">
            <w:pPr>
              <w:pStyle w:val="afff2"/>
              <w:spacing w:line="240" w:lineRule="auto"/>
              <w:rPr>
                <w:rFonts w:hAnsi="Times New Roman"/>
                <w:snapToGrid w:val="0"/>
                <w:szCs w:val="22"/>
              </w:rPr>
            </w:pPr>
          </w:p>
        </w:tc>
        <w:tc>
          <w:tcPr>
            <w:tcW w:w="166" w:type="pct"/>
            <w:vMerge/>
            <w:vAlign w:val="center"/>
          </w:tcPr>
          <w:p w14:paraId="476E71C8" w14:textId="77777777" w:rsidR="00B14D53" w:rsidRDefault="00B14D53">
            <w:pPr>
              <w:pStyle w:val="afff2"/>
              <w:spacing w:line="240" w:lineRule="auto"/>
              <w:rPr>
                <w:rFonts w:hAnsi="Times New Roman"/>
                <w:snapToGrid w:val="0"/>
                <w:color w:val="FF0000"/>
                <w:szCs w:val="22"/>
              </w:rPr>
            </w:pPr>
          </w:p>
        </w:tc>
        <w:tc>
          <w:tcPr>
            <w:tcW w:w="296" w:type="pct"/>
            <w:vMerge/>
            <w:vAlign w:val="center"/>
          </w:tcPr>
          <w:p w14:paraId="730FDD78" w14:textId="77777777" w:rsidR="00B14D53" w:rsidRDefault="00B14D53">
            <w:pPr>
              <w:pStyle w:val="afff2"/>
              <w:spacing w:line="240" w:lineRule="auto"/>
              <w:rPr>
                <w:rFonts w:hAnsi="Times New Roman"/>
                <w:snapToGrid w:val="0"/>
                <w:szCs w:val="22"/>
              </w:rPr>
            </w:pPr>
          </w:p>
        </w:tc>
        <w:tc>
          <w:tcPr>
            <w:tcW w:w="339" w:type="pct"/>
            <w:vAlign w:val="center"/>
          </w:tcPr>
          <w:p w14:paraId="42B0404D" w14:textId="77777777" w:rsidR="00B14D53" w:rsidRDefault="00000000">
            <w:pPr>
              <w:widowControl/>
              <w:jc w:val="center"/>
              <w:textAlignment w:val="center"/>
              <w:rPr>
                <w:snapToGrid w:val="0"/>
              </w:rPr>
            </w:pPr>
            <w:r>
              <w:rPr>
                <w:rFonts w:hint="eastAsia"/>
                <w:snapToGrid w:val="0"/>
              </w:rPr>
              <w:t>0.04</w:t>
            </w:r>
          </w:p>
        </w:tc>
        <w:tc>
          <w:tcPr>
            <w:tcW w:w="403" w:type="pct"/>
            <w:vAlign w:val="center"/>
          </w:tcPr>
          <w:p w14:paraId="7E9F9F9D" w14:textId="77777777" w:rsidR="00B14D53" w:rsidRDefault="00000000">
            <w:pPr>
              <w:widowControl/>
              <w:jc w:val="center"/>
              <w:textAlignment w:val="center"/>
              <w:rPr>
                <w:bCs/>
              </w:rPr>
            </w:pPr>
            <w:r>
              <w:rPr>
                <w:rFonts w:hint="eastAsia"/>
                <w:bCs/>
              </w:rPr>
              <w:t>0.0001</w:t>
            </w:r>
          </w:p>
        </w:tc>
        <w:tc>
          <w:tcPr>
            <w:tcW w:w="378" w:type="pct"/>
            <w:vMerge/>
            <w:vAlign w:val="center"/>
          </w:tcPr>
          <w:p w14:paraId="4CBB3B7A" w14:textId="77777777" w:rsidR="00B14D53" w:rsidRDefault="00B14D53">
            <w:pPr>
              <w:pStyle w:val="afff2"/>
              <w:spacing w:line="240" w:lineRule="auto"/>
              <w:rPr>
                <w:rFonts w:hAnsi="Times New Roman"/>
                <w:snapToGrid w:val="0"/>
              </w:rPr>
            </w:pPr>
          </w:p>
        </w:tc>
      </w:tr>
      <w:tr w:rsidR="00B14D53" w14:paraId="07352E96" w14:textId="77777777">
        <w:trPr>
          <w:trHeight w:val="358"/>
        </w:trPr>
        <w:tc>
          <w:tcPr>
            <w:tcW w:w="239" w:type="pct"/>
            <w:vMerge/>
            <w:vAlign w:val="center"/>
          </w:tcPr>
          <w:p w14:paraId="130A230D" w14:textId="77777777" w:rsidR="00B14D53" w:rsidRDefault="00B14D53">
            <w:pPr>
              <w:pStyle w:val="afff2"/>
              <w:spacing w:line="240" w:lineRule="auto"/>
              <w:rPr>
                <w:rFonts w:hAnsi="Times New Roman"/>
                <w:snapToGrid w:val="0"/>
                <w:szCs w:val="22"/>
              </w:rPr>
            </w:pPr>
          </w:p>
        </w:tc>
        <w:tc>
          <w:tcPr>
            <w:tcW w:w="290" w:type="pct"/>
            <w:vMerge/>
            <w:vAlign w:val="center"/>
          </w:tcPr>
          <w:p w14:paraId="06EF72A2" w14:textId="77777777" w:rsidR="00B14D53" w:rsidRDefault="00B14D53">
            <w:pPr>
              <w:pStyle w:val="afff2"/>
              <w:spacing w:line="240" w:lineRule="auto"/>
              <w:rPr>
                <w:rFonts w:hAnsi="Times New Roman"/>
                <w:snapToGrid w:val="0"/>
                <w:szCs w:val="22"/>
              </w:rPr>
            </w:pPr>
          </w:p>
        </w:tc>
        <w:tc>
          <w:tcPr>
            <w:tcW w:w="314" w:type="pct"/>
            <w:vMerge w:val="restart"/>
            <w:vAlign w:val="center"/>
          </w:tcPr>
          <w:p w14:paraId="2B0D5A37" w14:textId="77777777" w:rsidR="00B14D53" w:rsidRDefault="00000000">
            <w:pPr>
              <w:pStyle w:val="afff2"/>
              <w:spacing w:line="240" w:lineRule="auto"/>
              <w:rPr>
                <w:rFonts w:hAnsi="Times New Roman"/>
                <w:snapToGrid w:val="0"/>
                <w:szCs w:val="22"/>
              </w:rPr>
            </w:pPr>
            <w:r>
              <w:rPr>
                <w:rFonts w:hAnsi="Times New Roman"/>
                <w:snapToGrid w:val="0"/>
                <w:szCs w:val="22"/>
              </w:rPr>
              <w:t>无组织</w:t>
            </w:r>
          </w:p>
        </w:tc>
        <w:tc>
          <w:tcPr>
            <w:tcW w:w="303" w:type="pct"/>
            <w:vAlign w:val="center"/>
          </w:tcPr>
          <w:p w14:paraId="3A4AADA6" w14:textId="77777777" w:rsidR="00B14D53" w:rsidRDefault="00000000">
            <w:pPr>
              <w:pStyle w:val="afff2"/>
              <w:spacing w:line="240" w:lineRule="auto"/>
              <w:rPr>
                <w:rFonts w:hAnsi="Times New Roman"/>
                <w:snapToGrid w:val="0"/>
                <w:szCs w:val="22"/>
              </w:rPr>
            </w:pPr>
            <w:r>
              <w:rPr>
                <w:rFonts w:hAnsi="Times New Roman"/>
                <w:snapToGrid w:val="0"/>
                <w:szCs w:val="22"/>
              </w:rPr>
              <w:t>NH</w:t>
            </w:r>
            <w:r>
              <w:rPr>
                <w:rFonts w:hAnsi="Times New Roman"/>
                <w:snapToGrid w:val="0"/>
                <w:szCs w:val="22"/>
                <w:vertAlign w:val="subscript"/>
              </w:rPr>
              <w:t>3</w:t>
            </w:r>
          </w:p>
        </w:tc>
        <w:tc>
          <w:tcPr>
            <w:tcW w:w="204" w:type="pct"/>
            <w:vMerge/>
            <w:vAlign w:val="center"/>
          </w:tcPr>
          <w:p w14:paraId="5DF47F96" w14:textId="77777777" w:rsidR="00B14D53" w:rsidRDefault="00B14D53">
            <w:pPr>
              <w:pStyle w:val="afff2"/>
              <w:spacing w:line="240" w:lineRule="auto"/>
              <w:rPr>
                <w:rFonts w:hAnsi="Times New Roman"/>
                <w:snapToGrid w:val="0"/>
                <w:szCs w:val="22"/>
              </w:rPr>
            </w:pPr>
          </w:p>
        </w:tc>
        <w:tc>
          <w:tcPr>
            <w:tcW w:w="291" w:type="pct"/>
            <w:vMerge w:val="restart"/>
            <w:vAlign w:val="center"/>
          </w:tcPr>
          <w:p w14:paraId="07CF85DF"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386" w:type="pct"/>
            <w:vAlign w:val="center"/>
          </w:tcPr>
          <w:p w14:paraId="3F4F7076"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1139" w:type="dxa"/>
            <w:vAlign w:val="center"/>
          </w:tcPr>
          <w:p w14:paraId="659A3E66" w14:textId="77777777" w:rsidR="00B14D53" w:rsidRDefault="00000000">
            <w:pPr>
              <w:widowControl/>
              <w:jc w:val="center"/>
              <w:textAlignment w:val="center"/>
            </w:pPr>
            <w:r>
              <w:rPr>
                <w:rFonts w:hint="eastAsia"/>
              </w:rPr>
              <w:t>0.005</w:t>
            </w:r>
          </w:p>
        </w:tc>
        <w:tc>
          <w:tcPr>
            <w:tcW w:w="559" w:type="pct"/>
            <w:vAlign w:val="center"/>
          </w:tcPr>
          <w:p w14:paraId="6958BF98"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420" w:type="pct"/>
            <w:vAlign w:val="center"/>
          </w:tcPr>
          <w:p w14:paraId="0CBB23AE"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166" w:type="pct"/>
            <w:vMerge/>
            <w:vAlign w:val="center"/>
          </w:tcPr>
          <w:p w14:paraId="02548E8D" w14:textId="77777777" w:rsidR="00B14D53" w:rsidRDefault="00B14D53">
            <w:pPr>
              <w:pStyle w:val="afff2"/>
              <w:spacing w:line="240" w:lineRule="auto"/>
              <w:rPr>
                <w:rFonts w:hAnsi="Times New Roman"/>
                <w:snapToGrid w:val="0"/>
                <w:color w:val="FF0000"/>
                <w:szCs w:val="22"/>
              </w:rPr>
            </w:pPr>
          </w:p>
        </w:tc>
        <w:tc>
          <w:tcPr>
            <w:tcW w:w="296" w:type="pct"/>
            <w:vMerge w:val="restart"/>
            <w:vAlign w:val="center"/>
          </w:tcPr>
          <w:p w14:paraId="00ED5D84"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339" w:type="pct"/>
            <w:vAlign w:val="center"/>
          </w:tcPr>
          <w:p w14:paraId="2D293D77"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3" w:type="pct"/>
            <w:vAlign w:val="center"/>
          </w:tcPr>
          <w:p w14:paraId="2227C4A9" w14:textId="77777777" w:rsidR="00B14D53" w:rsidRDefault="00000000">
            <w:pPr>
              <w:widowControl/>
              <w:jc w:val="center"/>
              <w:textAlignment w:val="center"/>
            </w:pPr>
            <w:r>
              <w:rPr>
                <w:rFonts w:hint="eastAsia"/>
              </w:rPr>
              <w:t>0.005</w:t>
            </w:r>
          </w:p>
        </w:tc>
        <w:tc>
          <w:tcPr>
            <w:tcW w:w="378" w:type="pct"/>
            <w:vMerge/>
            <w:vAlign w:val="center"/>
          </w:tcPr>
          <w:p w14:paraId="6AB04432" w14:textId="77777777" w:rsidR="00B14D53" w:rsidRDefault="00B14D53">
            <w:pPr>
              <w:pStyle w:val="afff2"/>
              <w:spacing w:line="240" w:lineRule="auto"/>
              <w:rPr>
                <w:rFonts w:hAnsi="Times New Roman"/>
                <w:snapToGrid w:val="0"/>
              </w:rPr>
            </w:pPr>
          </w:p>
        </w:tc>
      </w:tr>
      <w:tr w:rsidR="00B14D53" w14:paraId="70A61BC3" w14:textId="77777777">
        <w:trPr>
          <w:trHeight w:val="283"/>
        </w:trPr>
        <w:tc>
          <w:tcPr>
            <w:tcW w:w="239" w:type="pct"/>
            <w:vMerge/>
            <w:vAlign w:val="center"/>
          </w:tcPr>
          <w:p w14:paraId="1E48E864" w14:textId="77777777" w:rsidR="00B14D53" w:rsidRDefault="00B14D53">
            <w:pPr>
              <w:pStyle w:val="afff2"/>
              <w:spacing w:line="240" w:lineRule="auto"/>
              <w:rPr>
                <w:rFonts w:hAnsi="Times New Roman"/>
                <w:snapToGrid w:val="0"/>
                <w:szCs w:val="22"/>
              </w:rPr>
            </w:pPr>
          </w:p>
        </w:tc>
        <w:tc>
          <w:tcPr>
            <w:tcW w:w="290" w:type="pct"/>
            <w:vMerge/>
            <w:vAlign w:val="center"/>
          </w:tcPr>
          <w:p w14:paraId="6E080B22" w14:textId="77777777" w:rsidR="00B14D53" w:rsidRDefault="00B14D53">
            <w:pPr>
              <w:pStyle w:val="afff2"/>
              <w:spacing w:line="240" w:lineRule="auto"/>
              <w:rPr>
                <w:rFonts w:hAnsi="Times New Roman"/>
                <w:snapToGrid w:val="0"/>
                <w:szCs w:val="22"/>
              </w:rPr>
            </w:pPr>
          </w:p>
        </w:tc>
        <w:tc>
          <w:tcPr>
            <w:tcW w:w="314" w:type="pct"/>
            <w:vMerge/>
            <w:vAlign w:val="center"/>
          </w:tcPr>
          <w:p w14:paraId="45A00A24" w14:textId="77777777" w:rsidR="00B14D53" w:rsidRDefault="00B14D53">
            <w:pPr>
              <w:pStyle w:val="afff2"/>
              <w:spacing w:line="240" w:lineRule="auto"/>
              <w:rPr>
                <w:rFonts w:hAnsi="Times New Roman"/>
                <w:snapToGrid w:val="0"/>
                <w:szCs w:val="22"/>
              </w:rPr>
            </w:pPr>
          </w:p>
        </w:tc>
        <w:tc>
          <w:tcPr>
            <w:tcW w:w="303" w:type="pct"/>
            <w:vAlign w:val="center"/>
          </w:tcPr>
          <w:p w14:paraId="27B1EB69" w14:textId="77777777" w:rsidR="00B14D53" w:rsidRDefault="00000000">
            <w:pPr>
              <w:pStyle w:val="afff2"/>
              <w:spacing w:line="240" w:lineRule="auto"/>
              <w:rPr>
                <w:rFonts w:hAnsi="Times New Roman"/>
                <w:snapToGrid w:val="0"/>
                <w:szCs w:val="22"/>
              </w:rPr>
            </w:pPr>
            <w:r>
              <w:rPr>
                <w:rFonts w:hAnsi="Times New Roman"/>
                <w:snapToGrid w:val="0"/>
                <w:szCs w:val="22"/>
              </w:rPr>
              <w:t>H</w:t>
            </w:r>
            <w:r>
              <w:rPr>
                <w:rFonts w:hAnsi="Times New Roman"/>
                <w:snapToGrid w:val="0"/>
                <w:szCs w:val="22"/>
                <w:vertAlign w:val="subscript"/>
              </w:rPr>
              <w:t>2</w:t>
            </w:r>
            <w:r>
              <w:rPr>
                <w:rFonts w:hAnsi="Times New Roman"/>
                <w:snapToGrid w:val="0"/>
                <w:szCs w:val="22"/>
              </w:rPr>
              <w:t>S</w:t>
            </w:r>
          </w:p>
        </w:tc>
        <w:tc>
          <w:tcPr>
            <w:tcW w:w="204" w:type="pct"/>
            <w:vMerge/>
            <w:vAlign w:val="center"/>
          </w:tcPr>
          <w:p w14:paraId="6FA0D6EF" w14:textId="77777777" w:rsidR="00B14D53" w:rsidRDefault="00B14D53">
            <w:pPr>
              <w:pStyle w:val="afff2"/>
              <w:spacing w:line="240" w:lineRule="auto"/>
              <w:rPr>
                <w:rFonts w:hAnsi="Times New Roman"/>
                <w:snapToGrid w:val="0"/>
                <w:szCs w:val="22"/>
              </w:rPr>
            </w:pPr>
          </w:p>
        </w:tc>
        <w:tc>
          <w:tcPr>
            <w:tcW w:w="291" w:type="pct"/>
            <w:vMerge/>
            <w:vAlign w:val="center"/>
          </w:tcPr>
          <w:p w14:paraId="08628D15" w14:textId="77777777" w:rsidR="00B14D53" w:rsidRDefault="00B14D53">
            <w:pPr>
              <w:pStyle w:val="afff2"/>
              <w:spacing w:line="240" w:lineRule="auto"/>
              <w:rPr>
                <w:rFonts w:hAnsi="Times New Roman"/>
                <w:snapToGrid w:val="0"/>
                <w:szCs w:val="22"/>
              </w:rPr>
            </w:pPr>
          </w:p>
        </w:tc>
        <w:tc>
          <w:tcPr>
            <w:tcW w:w="386" w:type="pct"/>
            <w:vAlign w:val="center"/>
          </w:tcPr>
          <w:p w14:paraId="47CB14A7"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1139" w:type="dxa"/>
            <w:vAlign w:val="center"/>
          </w:tcPr>
          <w:p w14:paraId="54E42315" w14:textId="77777777" w:rsidR="00B14D53" w:rsidRDefault="00000000">
            <w:pPr>
              <w:widowControl/>
              <w:jc w:val="center"/>
              <w:textAlignment w:val="center"/>
            </w:pPr>
            <w:r>
              <w:rPr>
                <w:rFonts w:hint="eastAsia"/>
              </w:rPr>
              <w:t>0.0002</w:t>
            </w:r>
          </w:p>
        </w:tc>
        <w:tc>
          <w:tcPr>
            <w:tcW w:w="559" w:type="pct"/>
            <w:vAlign w:val="center"/>
          </w:tcPr>
          <w:p w14:paraId="4F22C35B"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420" w:type="pct"/>
            <w:vAlign w:val="center"/>
          </w:tcPr>
          <w:p w14:paraId="03AD5507" w14:textId="77777777" w:rsidR="00B14D53" w:rsidRDefault="00000000">
            <w:pPr>
              <w:pStyle w:val="afff2"/>
              <w:spacing w:line="240" w:lineRule="auto"/>
              <w:rPr>
                <w:rFonts w:hAnsi="Times New Roman"/>
                <w:snapToGrid w:val="0"/>
                <w:szCs w:val="22"/>
              </w:rPr>
            </w:pPr>
            <w:r>
              <w:rPr>
                <w:rFonts w:hAnsi="Times New Roman"/>
                <w:snapToGrid w:val="0"/>
                <w:szCs w:val="22"/>
              </w:rPr>
              <w:t>-</w:t>
            </w:r>
          </w:p>
        </w:tc>
        <w:tc>
          <w:tcPr>
            <w:tcW w:w="166" w:type="pct"/>
            <w:vMerge/>
            <w:vAlign w:val="center"/>
          </w:tcPr>
          <w:p w14:paraId="2BA38E4A" w14:textId="77777777" w:rsidR="00B14D53" w:rsidRDefault="00B14D53">
            <w:pPr>
              <w:pStyle w:val="afff2"/>
              <w:spacing w:line="240" w:lineRule="auto"/>
              <w:rPr>
                <w:rFonts w:hAnsi="Times New Roman"/>
                <w:snapToGrid w:val="0"/>
                <w:color w:val="FF0000"/>
                <w:szCs w:val="22"/>
              </w:rPr>
            </w:pPr>
          </w:p>
        </w:tc>
        <w:tc>
          <w:tcPr>
            <w:tcW w:w="296" w:type="pct"/>
            <w:vMerge/>
            <w:vAlign w:val="center"/>
          </w:tcPr>
          <w:p w14:paraId="3C966ED2" w14:textId="77777777" w:rsidR="00B14D53" w:rsidRDefault="00B14D53">
            <w:pPr>
              <w:pStyle w:val="afff2"/>
              <w:spacing w:line="240" w:lineRule="auto"/>
              <w:rPr>
                <w:rFonts w:hAnsi="Times New Roman"/>
                <w:snapToGrid w:val="0"/>
                <w:szCs w:val="22"/>
              </w:rPr>
            </w:pPr>
          </w:p>
        </w:tc>
        <w:tc>
          <w:tcPr>
            <w:tcW w:w="339" w:type="pct"/>
            <w:vAlign w:val="center"/>
          </w:tcPr>
          <w:p w14:paraId="72264222" w14:textId="77777777" w:rsidR="00B14D53" w:rsidRDefault="00000000">
            <w:pPr>
              <w:widowControl/>
              <w:jc w:val="center"/>
              <w:textAlignment w:val="center"/>
              <w:rPr>
                <w:snapToGrid w:val="0"/>
                <w:szCs w:val="22"/>
              </w:rPr>
            </w:pPr>
            <w:r>
              <w:rPr>
                <w:snapToGrid w:val="0"/>
                <w:color w:val="000000"/>
                <w:kern w:val="0"/>
                <w:szCs w:val="21"/>
                <w:lang w:bidi="ar"/>
              </w:rPr>
              <w:t>-</w:t>
            </w:r>
          </w:p>
        </w:tc>
        <w:tc>
          <w:tcPr>
            <w:tcW w:w="403" w:type="pct"/>
            <w:vAlign w:val="center"/>
          </w:tcPr>
          <w:p w14:paraId="40C3F602" w14:textId="77777777" w:rsidR="00B14D53" w:rsidRDefault="00000000">
            <w:pPr>
              <w:widowControl/>
              <w:jc w:val="center"/>
              <w:textAlignment w:val="center"/>
            </w:pPr>
            <w:r>
              <w:rPr>
                <w:rFonts w:hint="eastAsia"/>
              </w:rPr>
              <w:t>0.0002</w:t>
            </w:r>
          </w:p>
        </w:tc>
        <w:tc>
          <w:tcPr>
            <w:tcW w:w="378" w:type="pct"/>
            <w:vMerge/>
            <w:vAlign w:val="center"/>
          </w:tcPr>
          <w:p w14:paraId="38C174AE" w14:textId="77777777" w:rsidR="00B14D53" w:rsidRDefault="00B14D53">
            <w:pPr>
              <w:pStyle w:val="afff2"/>
              <w:spacing w:line="240" w:lineRule="auto"/>
              <w:rPr>
                <w:rFonts w:hAnsi="Times New Roman"/>
                <w:snapToGrid w:val="0"/>
              </w:rPr>
            </w:pPr>
          </w:p>
        </w:tc>
      </w:tr>
    </w:tbl>
    <w:p w14:paraId="2F83FEE7" w14:textId="77777777" w:rsidR="00B14D53" w:rsidRDefault="00000000">
      <w:pPr>
        <w:jc w:val="center"/>
        <w:rPr>
          <w:b/>
          <w:bCs/>
        </w:rPr>
      </w:pPr>
      <w:r>
        <w:rPr>
          <w:rFonts w:hint="eastAsia"/>
          <w:b/>
          <w:bCs/>
        </w:rPr>
        <w:t>表</w:t>
      </w:r>
      <w:r>
        <w:rPr>
          <w:rFonts w:hint="eastAsia"/>
          <w:b/>
          <w:bCs/>
        </w:rPr>
        <w:t xml:space="preserve">3-3-4 </w:t>
      </w:r>
      <w:r>
        <w:rPr>
          <w:b/>
          <w:bCs/>
        </w:rPr>
        <w:t>非正常工况下废气污染物参数</w:t>
      </w:r>
    </w:p>
    <w:tbl>
      <w:tblPr>
        <w:tblW w:w="4995"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969"/>
        <w:gridCol w:w="1507"/>
        <w:gridCol w:w="2480"/>
        <w:gridCol w:w="1283"/>
        <w:gridCol w:w="1774"/>
        <w:gridCol w:w="1779"/>
        <w:gridCol w:w="1327"/>
        <w:gridCol w:w="1327"/>
        <w:gridCol w:w="1498"/>
      </w:tblGrid>
      <w:tr w:rsidR="00B14D53" w14:paraId="5DC5C741" w14:textId="77777777">
        <w:trPr>
          <w:trHeight w:val="306"/>
          <w:jc w:val="center"/>
        </w:trPr>
        <w:tc>
          <w:tcPr>
            <w:tcW w:w="347" w:type="pct"/>
            <w:tcBorders>
              <w:top w:val="single" w:sz="12" w:space="0" w:color="000000"/>
              <w:left w:val="nil"/>
              <w:bottom w:val="single" w:sz="4" w:space="0" w:color="auto"/>
              <w:right w:val="single" w:sz="6" w:space="0" w:color="auto"/>
            </w:tcBorders>
            <w:vAlign w:val="center"/>
          </w:tcPr>
          <w:p w14:paraId="75D6AF85"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序号</w:t>
            </w:r>
          </w:p>
        </w:tc>
        <w:tc>
          <w:tcPr>
            <w:tcW w:w="540" w:type="pct"/>
            <w:tcBorders>
              <w:top w:val="single" w:sz="12" w:space="0" w:color="000000"/>
              <w:left w:val="single" w:sz="6" w:space="0" w:color="auto"/>
              <w:bottom w:val="single" w:sz="4" w:space="0" w:color="auto"/>
              <w:right w:val="single" w:sz="6" w:space="0" w:color="000000"/>
            </w:tcBorders>
            <w:vAlign w:val="center"/>
          </w:tcPr>
          <w:p w14:paraId="481865B8"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正常排放源</w:t>
            </w:r>
          </w:p>
        </w:tc>
        <w:tc>
          <w:tcPr>
            <w:tcW w:w="888" w:type="pct"/>
            <w:tcBorders>
              <w:top w:val="single" w:sz="12" w:space="0" w:color="000000"/>
              <w:left w:val="single" w:sz="6" w:space="0" w:color="000000"/>
              <w:bottom w:val="single" w:sz="4" w:space="0" w:color="auto"/>
              <w:right w:val="single" w:sz="6" w:space="0" w:color="000000"/>
            </w:tcBorders>
            <w:vAlign w:val="center"/>
          </w:tcPr>
          <w:p w14:paraId="6B032CF7"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非正常排放原因</w:t>
            </w:r>
          </w:p>
        </w:tc>
        <w:tc>
          <w:tcPr>
            <w:tcW w:w="460" w:type="pct"/>
            <w:tcBorders>
              <w:top w:val="single" w:sz="12" w:space="0" w:color="000000"/>
              <w:left w:val="single" w:sz="6" w:space="0" w:color="000000"/>
              <w:bottom w:val="single" w:sz="4" w:space="0" w:color="auto"/>
              <w:right w:val="single" w:sz="6" w:space="0" w:color="000000"/>
            </w:tcBorders>
            <w:vAlign w:val="center"/>
          </w:tcPr>
          <w:p w14:paraId="73E0F9DC"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污染物</w:t>
            </w:r>
          </w:p>
        </w:tc>
        <w:tc>
          <w:tcPr>
            <w:tcW w:w="635" w:type="pct"/>
            <w:tcBorders>
              <w:top w:val="single" w:sz="12" w:space="0" w:color="000000"/>
              <w:left w:val="single" w:sz="6" w:space="0" w:color="auto"/>
              <w:bottom w:val="single" w:sz="4" w:space="0" w:color="auto"/>
              <w:right w:val="single" w:sz="6" w:space="0" w:color="000000"/>
            </w:tcBorders>
            <w:vAlign w:val="center"/>
          </w:tcPr>
          <w:p w14:paraId="18DE7020" w14:textId="77777777" w:rsidR="00B14D53" w:rsidRDefault="00000000">
            <w:pPr>
              <w:jc w:val="center"/>
              <w:rPr>
                <w:b/>
                <w:bCs/>
                <w:kern w:val="0"/>
                <w:szCs w:val="21"/>
              </w:rPr>
            </w:pPr>
            <w:r>
              <w:rPr>
                <w:b/>
                <w:bCs/>
                <w:kern w:val="0"/>
                <w:szCs w:val="21"/>
              </w:rPr>
              <w:t>非正常排放浓度</w:t>
            </w:r>
            <w:r>
              <w:rPr>
                <w:b/>
                <w:bCs/>
                <w:kern w:val="0"/>
                <w:szCs w:val="21"/>
              </w:rPr>
              <w:t>/</w:t>
            </w:r>
            <w:r>
              <w:rPr>
                <w:rFonts w:hint="eastAsia"/>
                <w:b/>
                <w:bCs/>
                <w:kern w:val="0"/>
                <w:szCs w:val="21"/>
              </w:rPr>
              <w:t>m</w:t>
            </w:r>
            <w:r>
              <w:rPr>
                <w:b/>
                <w:bCs/>
                <w:kern w:val="0"/>
                <w:szCs w:val="21"/>
              </w:rPr>
              <w:t>g/m</w:t>
            </w:r>
            <w:r>
              <w:rPr>
                <w:b/>
                <w:bCs/>
                <w:kern w:val="0"/>
                <w:szCs w:val="21"/>
                <w:vertAlign w:val="superscript"/>
              </w:rPr>
              <w:t>3</w:t>
            </w:r>
          </w:p>
        </w:tc>
        <w:tc>
          <w:tcPr>
            <w:tcW w:w="637" w:type="pct"/>
            <w:tcBorders>
              <w:top w:val="single" w:sz="12" w:space="0" w:color="000000"/>
              <w:left w:val="single" w:sz="6" w:space="0" w:color="000000"/>
              <w:bottom w:val="single" w:sz="4" w:space="0" w:color="auto"/>
              <w:right w:val="single" w:sz="6" w:space="0" w:color="000000"/>
            </w:tcBorders>
            <w:vAlign w:val="center"/>
          </w:tcPr>
          <w:p w14:paraId="2880313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非正常排放速率（</w:t>
            </w:r>
            <w:r>
              <w:rPr>
                <w:rFonts w:ascii="Times New Roman" w:eastAsia="宋体" w:hAnsi="Times New Roman" w:cs="Times New Roman"/>
                <w:b/>
                <w:bCs/>
                <w:sz w:val="21"/>
                <w:szCs w:val="21"/>
              </w:rPr>
              <w:t>kg/h</w:t>
            </w:r>
            <w:r>
              <w:rPr>
                <w:rFonts w:ascii="Times New Roman" w:eastAsia="宋体" w:hAnsi="Times New Roman" w:cs="Times New Roman"/>
                <w:b/>
                <w:bCs/>
                <w:sz w:val="21"/>
                <w:szCs w:val="21"/>
              </w:rPr>
              <w:t>）</w:t>
            </w:r>
          </w:p>
        </w:tc>
        <w:tc>
          <w:tcPr>
            <w:tcW w:w="476" w:type="pct"/>
            <w:tcBorders>
              <w:top w:val="single" w:sz="12" w:space="0" w:color="000000"/>
              <w:left w:val="single" w:sz="6" w:space="0" w:color="000000"/>
              <w:bottom w:val="single" w:sz="4" w:space="0" w:color="auto"/>
              <w:right w:val="single" w:sz="6" w:space="0" w:color="000000"/>
            </w:tcBorders>
            <w:vAlign w:val="center"/>
          </w:tcPr>
          <w:p w14:paraId="58EC467F"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单次持续时间</w:t>
            </w:r>
            <w:r>
              <w:rPr>
                <w:rFonts w:ascii="Times New Roman" w:eastAsia="宋体" w:hAnsi="Times New Roman" w:cs="Times New Roman"/>
                <w:b/>
                <w:bCs/>
                <w:sz w:val="21"/>
                <w:szCs w:val="21"/>
              </w:rPr>
              <w:t>/h</w:t>
            </w:r>
          </w:p>
        </w:tc>
        <w:tc>
          <w:tcPr>
            <w:tcW w:w="476" w:type="pct"/>
            <w:tcBorders>
              <w:top w:val="single" w:sz="12" w:space="0" w:color="000000"/>
              <w:left w:val="single" w:sz="6" w:space="0" w:color="000000"/>
              <w:bottom w:val="single" w:sz="4" w:space="0" w:color="auto"/>
              <w:right w:val="single" w:sz="6" w:space="0" w:color="auto"/>
            </w:tcBorders>
            <w:vAlign w:val="center"/>
          </w:tcPr>
          <w:p w14:paraId="7B594F39"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年发生频次</w:t>
            </w:r>
            <w:r>
              <w:rPr>
                <w:rFonts w:ascii="Times New Roman" w:eastAsia="宋体" w:hAnsi="Times New Roman" w:cs="Times New Roman"/>
                <w:b/>
                <w:bCs/>
                <w:sz w:val="21"/>
                <w:szCs w:val="21"/>
              </w:rPr>
              <w:t>/</w:t>
            </w:r>
            <w:r>
              <w:rPr>
                <w:rFonts w:ascii="Times New Roman" w:eastAsia="宋体" w:hAnsi="Times New Roman" w:cs="Times New Roman"/>
                <w:b/>
                <w:bCs/>
                <w:sz w:val="21"/>
                <w:szCs w:val="21"/>
              </w:rPr>
              <w:t>次</w:t>
            </w:r>
          </w:p>
        </w:tc>
        <w:tc>
          <w:tcPr>
            <w:tcW w:w="537" w:type="pct"/>
            <w:tcBorders>
              <w:top w:val="single" w:sz="12" w:space="0" w:color="000000"/>
              <w:left w:val="single" w:sz="6" w:space="0" w:color="auto"/>
              <w:bottom w:val="single" w:sz="4" w:space="0" w:color="auto"/>
              <w:right w:val="nil"/>
            </w:tcBorders>
            <w:vAlign w:val="center"/>
          </w:tcPr>
          <w:p w14:paraId="2C413CC9"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应该对措施</w:t>
            </w:r>
          </w:p>
        </w:tc>
      </w:tr>
      <w:tr w:rsidR="00B14D53" w14:paraId="19A8FD45" w14:textId="77777777">
        <w:trPr>
          <w:trHeight w:val="306"/>
          <w:jc w:val="center"/>
        </w:trPr>
        <w:tc>
          <w:tcPr>
            <w:tcW w:w="347" w:type="pct"/>
            <w:vMerge w:val="restart"/>
            <w:tcBorders>
              <w:top w:val="single" w:sz="4" w:space="0" w:color="auto"/>
              <w:left w:val="nil"/>
              <w:right w:val="single" w:sz="4" w:space="0" w:color="auto"/>
            </w:tcBorders>
            <w:vAlign w:val="center"/>
          </w:tcPr>
          <w:p w14:paraId="0779F976"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540" w:type="pct"/>
            <w:vMerge w:val="restart"/>
            <w:tcBorders>
              <w:top w:val="single" w:sz="4" w:space="0" w:color="auto"/>
              <w:left w:val="single" w:sz="4" w:space="0" w:color="auto"/>
              <w:right w:val="single" w:sz="4" w:space="0" w:color="auto"/>
            </w:tcBorders>
            <w:vAlign w:val="center"/>
          </w:tcPr>
          <w:p w14:paraId="6D63C61B"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待宰圈</w:t>
            </w:r>
            <w:r>
              <w:rPr>
                <w:rFonts w:ascii="Times New Roman" w:eastAsia="宋体" w:hAnsi="Times New Roman" w:cs="Times New Roman"/>
                <w:sz w:val="21"/>
                <w:szCs w:val="21"/>
              </w:rPr>
              <w:t>排气筒（</w:t>
            </w:r>
            <w:r>
              <w:rPr>
                <w:rFonts w:ascii="Times New Roman" w:eastAsia="宋体" w:hAnsi="Times New Roman" w:cs="Times New Roman"/>
                <w:sz w:val="21"/>
                <w:szCs w:val="21"/>
              </w:rPr>
              <w:t>DA00</w:t>
            </w:r>
            <w:r>
              <w:rPr>
                <w:rFonts w:ascii="Times New Roman" w:hAnsi="Times New Roman" w:cs="Times New Roman"/>
                <w:sz w:val="21"/>
                <w:szCs w:val="21"/>
              </w:rPr>
              <w:t>1</w:t>
            </w:r>
            <w:r>
              <w:rPr>
                <w:rFonts w:ascii="Times New Roman" w:eastAsia="宋体" w:hAnsi="Times New Roman" w:cs="Times New Roman"/>
                <w:sz w:val="21"/>
                <w:szCs w:val="21"/>
              </w:rPr>
              <w:t>）</w:t>
            </w:r>
          </w:p>
        </w:tc>
        <w:tc>
          <w:tcPr>
            <w:tcW w:w="888" w:type="pct"/>
            <w:vMerge w:val="restart"/>
            <w:tcBorders>
              <w:top w:val="single" w:sz="4" w:space="0" w:color="auto"/>
              <w:left w:val="single" w:sz="4" w:space="0" w:color="auto"/>
              <w:right w:val="single" w:sz="4" w:space="0" w:color="auto"/>
            </w:tcBorders>
            <w:vAlign w:val="center"/>
          </w:tcPr>
          <w:p w14:paraId="27B3FA6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除臭装置故障、管理不当，除臭效率为</w:t>
            </w:r>
            <w:r>
              <w:rPr>
                <w:rFonts w:ascii="Times New Roman" w:eastAsia="宋体" w:hAnsi="Times New Roman" w:cs="Times New Roman"/>
                <w:sz w:val="21"/>
                <w:szCs w:val="21"/>
              </w:rPr>
              <w:t>30%</w:t>
            </w:r>
          </w:p>
        </w:tc>
        <w:tc>
          <w:tcPr>
            <w:tcW w:w="1304" w:type="dxa"/>
            <w:tcBorders>
              <w:top w:val="single" w:sz="4" w:space="0" w:color="auto"/>
              <w:left w:val="single" w:sz="4" w:space="0" w:color="auto"/>
              <w:bottom w:val="single" w:sz="4" w:space="0" w:color="auto"/>
              <w:right w:val="single" w:sz="4" w:space="0" w:color="auto"/>
            </w:tcBorders>
            <w:vAlign w:val="center"/>
          </w:tcPr>
          <w:p w14:paraId="3E99761E"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635" w:type="pct"/>
            <w:tcBorders>
              <w:top w:val="single" w:sz="4" w:space="0" w:color="auto"/>
              <w:left w:val="single" w:sz="4" w:space="0" w:color="auto"/>
              <w:bottom w:val="single" w:sz="4" w:space="0" w:color="auto"/>
              <w:right w:val="single" w:sz="4" w:space="0" w:color="auto"/>
            </w:tcBorders>
            <w:vAlign w:val="center"/>
          </w:tcPr>
          <w:p w14:paraId="205521AF" w14:textId="77777777" w:rsidR="00B14D53" w:rsidRDefault="00000000">
            <w:pPr>
              <w:jc w:val="center"/>
              <w:rPr>
                <w:kern w:val="0"/>
                <w:szCs w:val="21"/>
              </w:rPr>
            </w:pPr>
            <w:r>
              <w:rPr>
                <w:rFonts w:hint="eastAsia"/>
                <w:kern w:val="0"/>
                <w:szCs w:val="21"/>
              </w:rPr>
              <w:t>4.5</w:t>
            </w:r>
          </w:p>
        </w:tc>
        <w:tc>
          <w:tcPr>
            <w:tcW w:w="637" w:type="pct"/>
            <w:tcBorders>
              <w:top w:val="single" w:sz="4" w:space="0" w:color="auto"/>
              <w:left w:val="single" w:sz="4" w:space="0" w:color="auto"/>
              <w:bottom w:val="single" w:sz="4" w:space="0" w:color="auto"/>
              <w:right w:val="single" w:sz="4" w:space="0" w:color="auto"/>
            </w:tcBorders>
            <w:vAlign w:val="center"/>
          </w:tcPr>
          <w:p w14:paraId="7CFA06AB"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0.005</w:t>
            </w:r>
          </w:p>
        </w:tc>
        <w:tc>
          <w:tcPr>
            <w:tcW w:w="476" w:type="pct"/>
            <w:vMerge w:val="restart"/>
            <w:tcBorders>
              <w:top w:val="single" w:sz="4" w:space="0" w:color="auto"/>
              <w:left w:val="single" w:sz="4" w:space="0" w:color="auto"/>
              <w:right w:val="single" w:sz="4" w:space="0" w:color="auto"/>
            </w:tcBorders>
            <w:vAlign w:val="center"/>
          </w:tcPr>
          <w:p w14:paraId="1EDED4FF"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1</w:t>
            </w:r>
          </w:p>
        </w:tc>
        <w:tc>
          <w:tcPr>
            <w:tcW w:w="476" w:type="pct"/>
            <w:vMerge w:val="restart"/>
            <w:tcBorders>
              <w:top w:val="single" w:sz="4" w:space="0" w:color="auto"/>
              <w:left w:val="single" w:sz="4" w:space="0" w:color="auto"/>
              <w:right w:val="single" w:sz="4" w:space="0" w:color="auto"/>
            </w:tcBorders>
            <w:vAlign w:val="center"/>
          </w:tcPr>
          <w:p w14:paraId="659DEC50"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537" w:type="pct"/>
            <w:vMerge w:val="restart"/>
            <w:tcBorders>
              <w:top w:val="single" w:sz="4" w:space="0" w:color="auto"/>
              <w:left w:val="single" w:sz="4" w:space="0" w:color="auto"/>
              <w:right w:val="nil"/>
            </w:tcBorders>
            <w:vAlign w:val="center"/>
          </w:tcPr>
          <w:p w14:paraId="767FA34F"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及时检修，加强维护</w:t>
            </w:r>
          </w:p>
        </w:tc>
      </w:tr>
      <w:tr w:rsidR="00B14D53" w14:paraId="32053EE0" w14:textId="77777777">
        <w:trPr>
          <w:trHeight w:val="306"/>
          <w:jc w:val="center"/>
        </w:trPr>
        <w:tc>
          <w:tcPr>
            <w:tcW w:w="347" w:type="pct"/>
            <w:vMerge/>
            <w:tcBorders>
              <w:left w:val="nil"/>
              <w:bottom w:val="single" w:sz="4" w:space="0" w:color="auto"/>
              <w:right w:val="single" w:sz="4" w:space="0" w:color="auto"/>
            </w:tcBorders>
            <w:vAlign w:val="center"/>
          </w:tcPr>
          <w:p w14:paraId="03090561"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40" w:type="pct"/>
            <w:vMerge/>
            <w:tcBorders>
              <w:left w:val="single" w:sz="4" w:space="0" w:color="auto"/>
              <w:bottom w:val="single" w:sz="4" w:space="0" w:color="auto"/>
              <w:right w:val="single" w:sz="4" w:space="0" w:color="auto"/>
            </w:tcBorders>
            <w:vAlign w:val="center"/>
          </w:tcPr>
          <w:p w14:paraId="0C200E64"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888" w:type="pct"/>
            <w:vMerge/>
            <w:tcBorders>
              <w:left w:val="single" w:sz="4" w:space="0" w:color="auto"/>
              <w:right w:val="single" w:sz="4" w:space="0" w:color="auto"/>
            </w:tcBorders>
            <w:vAlign w:val="center"/>
          </w:tcPr>
          <w:p w14:paraId="44D4D5FE"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1304" w:type="dxa"/>
            <w:tcBorders>
              <w:top w:val="single" w:sz="4" w:space="0" w:color="auto"/>
              <w:left w:val="single" w:sz="4" w:space="0" w:color="auto"/>
              <w:bottom w:val="single" w:sz="4" w:space="0" w:color="auto"/>
              <w:right w:val="single" w:sz="4" w:space="0" w:color="auto"/>
            </w:tcBorders>
            <w:vAlign w:val="center"/>
          </w:tcPr>
          <w:p w14:paraId="34223C91"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635" w:type="pct"/>
            <w:tcBorders>
              <w:top w:val="single" w:sz="4" w:space="0" w:color="auto"/>
              <w:left w:val="single" w:sz="4" w:space="0" w:color="auto"/>
              <w:bottom w:val="single" w:sz="4" w:space="0" w:color="auto"/>
              <w:right w:val="single" w:sz="4" w:space="0" w:color="auto"/>
            </w:tcBorders>
            <w:vAlign w:val="center"/>
          </w:tcPr>
          <w:p w14:paraId="207A6649" w14:textId="77777777" w:rsidR="00B14D53" w:rsidRDefault="00000000">
            <w:pPr>
              <w:jc w:val="center"/>
              <w:rPr>
                <w:kern w:val="0"/>
                <w:szCs w:val="21"/>
              </w:rPr>
            </w:pPr>
            <w:r>
              <w:rPr>
                <w:rFonts w:hint="eastAsia"/>
                <w:kern w:val="0"/>
                <w:szCs w:val="21"/>
              </w:rPr>
              <w:t>0.27</w:t>
            </w:r>
          </w:p>
        </w:tc>
        <w:tc>
          <w:tcPr>
            <w:tcW w:w="637" w:type="pct"/>
            <w:tcBorders>
              <w:top w:val="single" w:sz="4" w:space="0" w:color="auto"/>
              <w:left w:val="single" w:sz="4" w:space="0" w:color="auto"/>
              <w:bottom w:val="single" w:sz="4" w:space="0" w:color="auto"/>
              <w:right w:val="single" w:sz="4" w:space="0" w:color="auto"/>
            </w:tcBorders>
            <w:vAlign w:val="center"/>
          </w:tcPr>
          <w:p w14:paraId="12B2CFAC"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cs="Times New Roman" w:hint="eastAsia"/>
                <w:kern w:val="0"/>
                <w:szCs w:val="21"/>
              </w:rPr>
              <w:t>0.0003</w:t>
            </w:r>
          </w:p>
        </w:tc>
        <w:tc>
          <w:tcPr>
            <w:tcW w:w="476" w:type="pct"/>
            <w:vMerge/>
            <w:tcBorders>
              <w:left w:val="single" w:sz="4" w:space="0" w:color="auto"/>
              <w:right w:val="single" w:sz="4" w:space="0" w:color="auto"/>
            </w:tcBorders>
            <w:vAlign w:val="center"/>
          </w:tcPr>
          <w:p w14:paraId="70D5A218"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76" w:type="pct"/>
            <w:vMerge/>
            <w:tcBorders>
              <w:left w:val="single" w:sz="4" w:space="0" w:color="auto"/>
              <w:right w:val="single" w:sz="4" w:space="0" w:color="auto"/>
            </w:tcBorders>
            <w:vAlign w:val="center"/>
          </w:tcPr>
          <w:p w14:paraId="4EB85DCA"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37" w:type="pct"/>
            <w:vMerge/>
            <w:tcBorders>
              <w:left w:val="single" w:sz="4" w:space="0" w:color="auto"/>
              <w:right w:val="nil"/>
            </w:tcBorders>
            <w:vAlign w:val="center"/>
          </w:tcPr>
          <w:p w14:paraId="11F2FDF4"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r>
      <w:tr w:rsidR="00B14D53" w14:paraId="08BAA7A4" w14:textId="77777777">
        <w:trPr>
          <w:trHeight w:val="306"/>
          <w:jc w:val="center"/>
        </w:trPr>
        <w:tc>
          <w:tcPr>
            <w:tcW w:w="347" w:type="pct"/>
            <w:vMerge w:val="restart"/>
            <w:tcBorders>
              <w:left w:val="nil"/>
              <w:right w:val="single" w:sz="4" w:space="0" w:color="auto"/>
            </w:tcBorders>
            <w:vAlign w:val="center"/>
          </w:tcPr>
          <w:p w14:paraId="0E49EAEC"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40" w:type="pct"/>
            <w:vMerge w:val="restart"/>
            <w:tcBorders>
              <w:left w:val="single" w:sz="4" w:space="0" w:color="auto"/>
              <w:right w:val="single" w:sz="4" w:space="0" w:color="auto"/>
            </w:tcBorders>
            <w:vAlign w:val="center"/>
          </w:tcPr>
          <w:p w14:paraId="44C62784"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待宰圈</w:t>
            </w:r>
            <w:r>
              <w:rPr>
                <w:rFonts w:ascii="Times New Roman" w:eastAsia="宋体" w:hAnsi="Times New Roman" w:cs="Times New Roman"/>
                <w:sz w:val="21"/>
                <w:szCs w:val="21"/>
              </w:rPr>
              <w:t>排气筒（</w:t>
            </w:r>
            <w:r>
              <w:rPr>
                <w:rFonts w:ascii="Times New Roman" w:eastAsia="宋体" w:hAnsi="Times New Roman" w:cs="Times New Roman"/>
                <w:sz w:val="21"/>
                <w:szCs w:val="21"/>
              </w:rPr>
              <w:t>DA00</w:t>
            </w:r>
            <w:r>
              <w:rPr>
                <w:rFonts w:ascii="Times New Roman" w:hAnsi="Times New Roman" w:cs="Times New Roman" w:hint="eastAsia"/>
                <w:sz w:val="21"/>
                <w:szCs w:val="21"/>
              </w:rPr>
              <w:t>2</w:t>
            </w:r>
            <w:r>
              <w:rPr>
                <w:rFonts w:ascii="Times New Roman" w:eastAsia="宋体" w:hAnsi="Times New Roman" w:cs="Times New Roman"/>
                <w:sz w:val="21"/>
                <w:szCs w:val="21"/>
              </w:rPr>
              <w:t>）</w:t>
            </w:r>
          </w:p>
        </w:tc>
        <w:tc>
          <w:tcPr>
            <w:tcW w:w="888" w:type="pct"/>
            <w:vMerge/>
            <w:tcBorders>
              <w:left w:val="single" w:sz="4" w:space="0" w:color="auto"/>
              <w:right w:val="single" w:sz="4" w:space="0" w:color="auto"/>
            </w:tcBorders>
            <w:vAlign w:val="center"/>
          </w:tcPr>
          <w:p w14:paraId="00E6CD3F"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1304" w:type="dxa"/>
            <w:tcBorders>
              <w:top w:val="single" w:sz="4" w:space="0" w:color="auto"/>
              <w:left w:val="single" w:sz="4" w:space="0" w:color="auto"/>
              <w:bottom w:val="single" w:sz="4" w:space="0" w:color="auto"/>
              <w:right w:val="single" w:sz="4" w:space="0" w:color="auto"/>
            </w:tcBorders>
            <w:vAlign w:val="center"/>
          </w:tcPr>
          <w:p w14:paraId="315C98A5"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635" w:type="pct"/>
            <w:tcBorders>
              <w:top w:val="single" w:sz="4" w:space="0" w:color="auto"/>
              <w:left w:val="single" w:sz="4" w:space="0" w:color="auto"/>
              <w:bottom w:val="single" w:sz="4" w:space="0" w:color="auto"/>
              <w:right w:val="single" w:sz="4" w:space="0" w:color="auto"/>
            </w:tcBorders>
            <w:vAlign w:val="center"/>
          </w:tcPr>
          <w:p w14:paraId="4858B29B" w14:textId="77777777" w:rsidR="00B14D53" w:rsidRDefault="00000000">
            <w:pPr>
              <w:jc w:val="center"/>
              <w:rPr>
                <w:kern w:val="0"/>
                <w:szCs w:val="21"/>
              </w:rPr>
            </w:pPr>
            <w:r>
              <w:rPr>
                <w:rFonts w:hint="eastAsia"/>
                <w:kern w:val="0"/>
                <w:szCs w:val="21"/>
              </w:rPr>
              <w:t>11.01</w:t>
            </w:r>
          </w:p>
        </w:tc>
        <w:tc>
          <w:tcPr>
            <w:tcW w:w="637" w:type="pct"/>
            <w:tcBorders>
              <w:top w:val="single" w:sz="4" w:space="0" w:color="auto"/>
              <w:left w:val="single" w:sz="4" w:space="0" w:color="auto"/>
              <w:bottom w:val="single" w:sz="4" w:space="0" w:color="auto"/>
              <w:right w:val="single" w:sz="4" w:space="0" w:color="auto"/>
            </w:tcBorders>
            <w:vAlign w:val="center"/>
          </w:tcPr>
          <w:p w14:paraId="0DC8C049"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0.01</w:t>
            </w:r>
          </w:p>
        </w:tc>
        <w:tc>
          <w:tcPr>
            <w:tcW w:w="476" w:type="pct"/>
            <w:vMerge/>
            <w:tcBorders>
              <w:left w:val="single" w:sz="4" w:space="0" w:color="auto"/>
              <w:right w:val="single" w:sz="4" w:space="0" w:color="auto"/>
            </w:tcBorders>
            <w:vAlign w:val="center"/>
          </w:tcPr>
          <w:p w14:paraId="698575C0"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76" w:type="pct"/>
            <w:vMerge/>
            <w:tcBorders>
              <w:left w:val="single" w:sz="4" w:space="0" w:color="auto"/>
              <w:right w:val="single" w:sz="4" w:space="0" w:color="auto"/>
            </w:tcBorders>
            <w:vAlign w:val="center"/>
          </w:tcPr>
          <w:p w14:paraId="400340A9"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37" w:type="pct"/>
            <w:vMerge/>
            <w:tcBorders>
              <w:left w:val="single" w:sz="4" w:space="0" w:color="auto"/>
              <w:right w:val="nil"/>
            </w:tcBorders>
            <w:vAlign w:val="center"/>
          </w:tcPr>
          <w:p w14:paraId="57D45B2D"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r>
      <w:tr w:rsidR="00B14D53" w14:paraId="0361DDDF" w14:textId="77777777">
        <w:trPr>
          <w:trHeight w:val="306"/>
          <w:jc w:val="center"/>
        </w:trPr>
        <w:tc>
          <w:tcPr>
            <w:tcW w:w="347" w:type="pct"/>
            <w:vMerge/>
            <w:tcBorders>
              <w:left w:val="nil"/>
              <w:bottom w:val="single" w:sz="4" w:space="0" w:color="auto"/>
              <w:right w:val="single" w:sz="4" w:space="0" w:color="auto"/>
            </w:tcBorders>
            <w:vAlign w:val="center"/>
          </w:tcPr>
          <w:p w14:paraId="7BBDED54"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40" w:type="pct"/>
            <w:vMerge/>
            <w:tcBorders>
              <w:left w:val="single" w:sz="4" w:space="0" w:color="auto"/>
              <w:bottom w:val="single" w:sz="4" w:space="0" w:color="auto"/>
              <w:right w:val="single" w:sz="4" w:space="0" w:color="auto"/>
            </w:tcBorders>
            <w:vAlign w:val="center"/>
          </w:tcPr>
          <w:p w14:paraId="4046BCE8"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888" w:type="pct"/>
            <w:vMerge/>
            <w:tcBorders>
              <w:left w:val="single" w:sz="4" w:space="0" w:color="auto"/>
              <w:right w:val="single" w:sz="4" w:space="0" w:color="auto"/>
            </w:tcBorders>
            <w:vAlign w:val="center"/>
          </w:tcPr>
          <w:p w14:paraId="74C9E0D4"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1304" w:type="dxa"/>
            <w:tcBorders>
              <w:top w:val="single" w:sz="4" w:space="0" w:color="auto"/>
              <w:left w:val="single" w:sz="4" w:space="0" w:color="auto"/>
              <w:bottom w:val="single" w:sz="4" w:space="0" w:color="auto"/>
              <w:right w:val="single" w:sz="4" w:space="0" w:color="auto"/>
            </w:tcBorders>
            <w:vAlign w:val="center"/>
          </w:tcPr>
          <w:p w14:paraId="7FC308F7"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635" w:type="pct"/>
            <w:tcBorders>
              <w:top w:val="single" w:sz="4" w:space="0" w:color="auto"/>
              <w:left w:val="single" w:sz="4" w:space="0" w:color="auto"/>
              <w:bottom w:val="single" w:sz="4" w:space="0" w:color="auto"/>
              <w:right w:val="single" w:sz="4" w:space="0" w:color="auto"/>
            </w:tcBorders>
            <w:vAlign w:val="center"/>
          </w:tcPr>
          <w:p w14:paraId="783BF7EB" w14:textId="77777777" w:rsidR="00B14D53" w:rsidRDefault="00000000">
            <w:pPr>
              <w:jc w:val="center"/>
              <w:rPr>
                <w:kern w:val="0"/>
                <w:szCs w:val="21"/>
              </w:rPr>
            </w:pPr>
            <w:r>
              <w:rPr>
                <w:rFonts w:hint="eastAsia"/>
                <w:kern w:val="0"/>
                <w:szCs w:val="21"/>
              </w:rPr>
              <w:t>0.66</w:t>
            </w:r>
          </w:p>
        </w:tc>
        <w:tc>
          <w:tcPr>
            <w:tcW w:w="637" w:type="pct"/>
            <w:tcBorders>
              <w:top w:val="single" w:sz="4" w:space="0" w:color="auto"/>
              <w:left w:val="single" w:sz="4" w:space="0" w:color="auto"/>
              <w:bottom w:val="single" w:sz="4" w:space="0" w:color="auto"/>
              <w:right w:val="single" w:sz="4" w:space="0" w:color="auto"/>
            </w:tcBorders>
            <w:vAlign w:val="center"/>
          </w:tcPr>
          <w:p w14:paraId="2FA2ECE1"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0.0007</w:t>
            </w:r>
          </w:p>
        </w:tc>
        <w:tc>
          <w:tcPr>
            <w:tcW w:w="476" w:type="pct"/>
            <w:vMerge/>
            <w:tcBorders>
              <w:left w:val="single" w:sz="4" w:space="0" w:color="auto"/>
              <w:right w:val="single" w:sz="4" w:space="0" w:color="auto"/>
            </w:tcBorders>
            <w:vAlign w:val="center"/>
          </w:tcPr>
          <w:p w14:paraId="18664CFB"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76" w:type="pct"/>
            <w:vMerge/>
            <w:tcBorders>
              <w:left w:val="single" w:sz="4" w:space="0" w:color="auto"/>
              <w:right w:val="single" w:sz="4" w:space="0" w:color="auto"/>
            </w:tcBorders>
            <w:vAlign w:val="center"/>
          </w:tcPr>
          <w:p w14:paraId="27A3F979"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37" w:type="pct"/>
            <w:vMerge/>
            <w:tcBorders>
              <w:left w:val="single" w:sz="4" w:space="0" w:color="auto"/>
              <w:right w:val="nil"/>
            </w:tcBorders>
            <w:vAlign w:val="center"/>
          </w:tcPr>
          <w:p w14:paraId="58A66AF3"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r>
      <w:tr w:rsidR="00B14D53" w14:paraId="2D313E17" w14:textId="77777777">
        <w:trPr>
          <w:trHeight w:val="227"/>
          <w:jc w:val="center"/>
        </w:trPr>
        <w:tc>
          <w:tcPr>
            <w:tcW w:w="347" w:type="pct"/>
            <w:vMerge w:val="restart"/>
            <w:tcBorders>
              <w:top w:val="single" w:sz="4" w:space="0" w:color="auto"/>
              <w:left w:val="nil"/>
              <w:right w:val="single" w:sz="6" w:space="0" w:color="auto"/>
            </w:tcBorders>
            <w:vAlign w:val="center"/>
          </w:tcPr>
          <w:p w14:paraId="5C89759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540" w:type="pct"/>
            <w:vMerge w:val="restart"/>
            <w:tcBorders>
              <w:top w:val="single" w:sz="4" w:space="0" w:color="auto"/>
              <w:left w:val="single" w:sz="6" w:space="0" w:color="auto"/>
              <w:right w:val="single" w:sz="6" w:space="0" w:color="000000"/>
            </w:tcBorders>
            <w:vAlign w:val="center"/>
          </w:tcPr>
          <w:p w14:paraId="20705FC5"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屠宰车间排气筒（</w:t>
            </w:r>
            <w:r>
              <w:rPr>
                <w:rFonts w:ascii="Times New Roman" w:eastAsia="宋体" w:hAnsi="Times New Roman" w:cs="Times New Roman"/>
                <w:sz w:val="21"/>
                <w:szCs w:val="21"/>
              </w:rPr>
              <w:t>DA00</w:t>
            </w:r>
            <w:r>
              <w:rPr>
                <w:rFonts w:ascii="Times New Roman" w:hAnsi="Times New Roman" w:cs="Times New Roman" w:hint="eastAsia"/>
                <w:sz w:val="21"/>
                <w:szCs w:val="21"/>
              </w:rPr>
              <w:t>3</w:t>
            </w:r>
            <w:r>
              <w:rPr>
                <w:rFonts w:ascii="Times New Roman" w:eastAsia="宋体" w:hAnsi="Times New Roman" w:cs="Times New Roman"/>
                <w:sz w:val="21"/>
                <w:szCs w:val="21"/>
              </w:rPr>
              <w:t>）</w:t>
            </w:r>
          </w:p>
        </w:tc>
        <w:tc>
          <w:tcPr>
            <w:tcW w:w="888" w:type="pct"/>
            <w:vMerge/>
            <w:tcBorders>
              <w:left w:val="single" w:sz="4" w:space="0" w:color="auto"/>
              <w:right w:val="single" w:sz="4" w:space="0" w:color="auto"/>
            </w:tcBorders>
            <w:vAlign w:val="center"/>
          </w:tcPr>
          <w:p w14:paraId="1216DA77"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60" w:type="pct"/>
            <w:tcBorders>
              <w:top w:val="single" w:sz="4" w:space="0" w:color="auto"/>
              <w:left w:val="single" w:sz="6" w:space="0" w:color="000000"/>
              <w:right w:val="single" w:sz="6" w:space="0" w:color="000000"/>
            </w:tcBorders>
            <w:vAlign w:val="center"/>
          </w:tcPr>
          <w:p w14:paraId="11C7CF2A"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635" w:type="pct"/>
            <w:tcBorders>
              <w:top w:val="single" w:sz="4" w:space="0" w:color="auto"/>
              <w:left w:val="single" w:sz="6" w:space="0" w:color="auto"/>
              <w:bottom w:val="single" w:sz="6" w:space="0" w:color="000000"/>
              <w:right w:val="single" w:sz="6" w:space="0" w:color="000000"/>
            </w:tcBorders>
            <w:vAlign w:val="center"/>
          </w:tcPr>
          <w:p w14:paraId="3963401F" w14:textId="77777777" w:rsidR="00B14D53" w:rsidRDefault="00000000">
            <w:pPr>
              <w:widowControl/>
              <w:jc w:val="center"/>
              <w:textAlignment w:val="center"/>
              <w:rPr>
                <w:snapToGrid w:val="0"/>
                <w:szCs w:val="22"/>
              </w:rPr>
            </w:pPr>
            <w:r>
              <w:rPr>
                <w:rFonts w:hint="eastAsia"/>
                <w:snapToGrid w:val="0"/>
                <w:szCs w:val="22"/>
              </w:rPr>
              <w:t>0.68</w:t>
            </w:r>
          </w:p>
        </w:tc>
        <w:tc>
          <w:tcPr>
            <w:tcW w:w="637" w:type="pct"/>
            <w:tcBorders>
              <w:top w:val="single" w:sz="4" w:space="0" w:color="auto"/>
              <w:left w:val="single" w:sz="6" w:space="0" w:color="000000"/>
              <w:right w:val="single" w:sz="6" w:space="0" w:color="000000"/>
            </w:tcBorders>
            <w:vAlign w:val="center"/>
          </w:tcPr>
          <w:p w14:paraId="2F9FB224" w14:textId="77777777" w:rsidR="00B14D53" w:rsidRDefault="00000000">
            <w:pPr>
              <w:widowControl/>
              <w:jc w:val="center"/>
              <w:textAlignment w:val="center"/>
              <w:rPr>
                <w:snapToGrid w:val="0"/>
                <w:szCs w:val="22"/>
              </w:rPr>
            </w:pPr>
            <w:r>
              <w:rPr>
                <w:rFonts w:hint="eastAsia"/>
                <w:snapToGrid w:val="0"/>
                <w:szCs w:val="22"/>
              </w:rPr>
              <w:t>0.001</w:t>
            </w:r>
          </w:p>
        </w:tc>
        <w:tc>
          <w:tcPr>
            <w:tcW w:w="476" w:type="pct"/>
            <w:vMerge/>
            <w:tcBorders>
              <w:left w:val="single" w:sz="4" w:space="0" w:color="auto"/>
              <w:right w:val="single" w:sz="4" w:space="0" w:color="auto"/>
            </w:tcBorders>
            <w:vAlign w:val="center"/>
          </w:tcPr>
          <w:p w14:paraId="1C81D07E"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76" w:type="pct"/>
            <w:vMerge/>
            <w:tcBorders>
              <w:left w:val="single" w:sz="4" w:space="0" w:color="auto"/>
              <w:right w:val="single" w:sz="4" w:space="0" w:color="auto"/>
            </w:tcBorders>
            <w:vAlign w:val="center"/>
          </w:tcPr>
          <w:p w14:paraId="3B283B34"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37" w:type="pct"/>
            <w:vMerge/>
            <w:tcBorders>
              <w:left w:val="single" w:sz="4" w:space="0" w:color="auto"/>
              <w:right w:val="nil"/>
            </w:tcBorders>
            <w:vAlign w:val="center"/>
          </w:tcPr>
          <w:p w14:paraId="11741408"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r>
      <w:tr w:rsidR="00B14D53" w14:paraId="0A0DE3F4" w14:textId="77777777">
        <w:trPr>
          <w:trHeight w:val="147"/>
          <w:jc w:val="center"/>
        </w:trPr>
        <w:tc>
          <w:tcPr>
            <w:tcW w:w="347" w:type="pct"/>
            <w:vMerge/>
            <w:tcBorders>
              <w:left w:val="nil"/>
              <w:right w:val="single" w:sz="6" w:space="0" w:color="auto"/>
            </w:tcBorders>
            <w:vAlign w:val="center"/>
          </w:tcPr>
          <w:p w14:paraId="5527C142"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40" w:type="pct"/>
            <w:vMerge/>
            <w:tcBorders>
              <w:left w:val="single" w:sz="6" w:space="0" w:color="auto"/>
              <w:right w:val="single" w:sz="6" w:space="0" w:color="000000"/>
            </w:tcBorders>
            <w:vAlign w:val="center"/>
          </w:tcPr>
          <w:p w14:paraId="712DF710"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888" w:type="pct"/>
            <w:vMerge/>
            <w:tcBorders>
              <w:left w:val="single" w:sz="4" w:space="0" w:color="auto"/>
              <w:right w:val="single" w:sz="4" w:space="0" w:color="auto"/>
            </w:tcBorders>
            <w:vAlign w:val="center"/>
          </w:tcPr>
          <w:p w14:paraId="0B6C04D8"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60" w:type="pct"/>
            <w:tcBorders>
              <w:left w:val="single" w:sz="6" w:space="0" w:color="000000"/>
              <w:right w:val="single" w:sz="6" w:space="0" w:color="000000"/>
            </w:tcBorders>
            <w:vAlign w:val="center"/>
          </w:tcPr>
          <w:p w14:paraId="4A0298D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635" w:type="pct"/>
            <w:tcBorders>
              <w:top w:val="single" w:sz="6" w:space="0" w:color="000000"/>
              <w:left w:val="single" w:sz="6" w:space="0" w:color="auto"/>
              <w:bottom w:val="single" w:sz="6" w:space="0" w:color="000000"/>
              <w:right w:val="single" w:sz="6" w:space="0" w:color="000000"/>
            </w:tcBorders>
            <w:vAlign w:val="center"/>
          </w:tcPr>
          <w:p w14:paraId="60ADC5FE" w14:textId="77777777" w:rsidR="00B14D53" w:rsidRDefault="00000000">
            <w:pPr>
              <w:widowControl/>
              <w:jc w:val="center"/>
              <w:textAlignment w:val="center"/>
              <w:rPr>
                <w:snapToGrid w:val="0"/>
                <w:szCs w:val="22"/>
              </w:rPr>
            </w:pPr>
            <w:r>
              <w:rPr>
                <w:rFonts w:hint="eastAsia"/>
                <w:snapToGrid w:val="0"/>
                <w:szCs w:val="22"/>
              </w:rPr>
              <w:t>0.02</w:t>
            </w:r>
          </w:p>
        </w:tc>
        <w:tc>
          <w:tcPr>
            <w:tcW w:w="637" w:type="pct"/>
            <w:tcBorders>
              <w:left w:val="single" w:sz="6" w:space="0" w:color="000000"/>
              <w:right w:val="single" w:sz="6" w:space="0" w:color="000000"/>
            </w:tcBorders>
            <w:vAlign w:val="center"/>
          </w:tcPr>
          <w:p w14:paraId="05919E55" w14:textId="77777777" w:rsidR="00B14D53" w:rsidRDefault="00000000">
            <w:pPr>
              <w:widowControl/>
              <w:jc w:val="center"/>
              <w:textAlignment w:val="center"/>
              <w:rPr>
                <w:snapToGrid w:val="0"/>
                <w:szCs w:val="22"/>
              </w:rPr>
            </w:pPr>
            <w:r>
              <w:rPr>
                <w:rFonts w:hint="eastAsia"/>
                <w:snapToGrid w:val="0"/>
                <w:szCs w:val="22"/>
              </w:rPr>
              <w:t>0.00004</w:t>
            </w:r>
          </w:p>
        </w:tc>
        <w:tc>
          <w:tcPr>
            <w:tcW w:w="476" w:type="pct"/>
            <w:vMerge/>
            <w:tcBorders>
              <w:left w:val="single" w:sz="4" w:space="0" w:color="auto"/>
              <w:right w:val="single" w:sz="4" w:space="0" w:color="auto"/>
            </w:tcBorders>
            <w:vAlign w:val="center"/>
          </w:tcPr>
          <w:p w14:paraId="3E73DC6D" w14:textId="77777777" w:rsidR="00B14D53" w:rsidRDefault="00B14D53">
            <w:pPr>
              <w:pStyle w:val="afff2"/>
              <w:spacing w:line="240" w:lineRule="auto"/>
              <w:rPr>
                <w:rFonts w:hAnsi="Times New Roman"/>
                <w:color w:val="FF0000"/>
              </w:rPr>
            </w:pPr>
          </w:p>
        </w:tc>
        <w:tc>
          <w:tcPr>
            <w:tcW w:w="476" w:type="pct"/>
            <w:vMerge/>
            <w:tcBorders>
              <w:left w:val="single" w:sz="4" w:space="0" w:color="auto"/>
              <w:right w:val="single" w:sz="4" w:space="0" w:color="auto"/>
            </w:tcBorders>
            <w:vAlign w:val="center"/>
          </w:tcPr>
          <w:p w14:paraId="7DDC0840"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c>
          <w:tcPr>
            <w:tcW w:w="537" w:type="pct"/>
            <w:vMerge/>
            <w:tcBorders>
              <w:left w:val="single" w:sz="4" w:space="0" w:color="auto"/>
              <w:right w:val="nil"/>
            </w:tcBorders>
            <w:vAlign w:val="center"/>
          </w:tcPr>
          <w:p w14:paraId="7D358A77"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r>
      <w:tr w:rsidR="00B14D53" w14:paraId="54D98B3E" w14:textId="77777777">
        <w:trPr>
          <w:trHeight w:val="147"/>
          <w:jc w:val="center"/>
        </w:trPr>
        <w:tc>
          <w:tcPr>
            <w:tcW w:w="347" w:type="pct"/>
            <w:vMerge w:val="restart"/>
            <w:tcBorders>
              <w:left w:val="nil"/>
              <w:right w:val="single" w:sz="6" w:space="0" w:color="auto"/>
            </w:tcBorders>
            <w:vAlign w:val="center"/>
          </w:tcPr>
          <w:p w14:paraId="51EED0B2"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540" w:type="pct"/>
            <w:vMerge w:val="restart"/>
            <w:tcBorders>
              <w:left w:val="single" w:sz="6" w:space="0" w:color="auto"/>
              <w:right w:val="single" w:sz="6" w:space="0" w:color="000000"/>
            </w:tcBorders>
            <w:vAlign w:val="center"/>
          </w:tcPr>
          <w:p w14:paraId="51C91A5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污水处理站排气筒（</w:t>
            </w:r>
            <w:r>
              <w:rPr>
                <w:rFonts w:ascii="Times New Roman" w:eastAsia="宋体" w:hAnsi="Times New Roman" w:cs="Times New Roman"/>
                <w:sz w:val="21"/>
                <w:szCs w:val="21"/>
              </w:rPr>
              <w:t>DA00</w:t>
            </w:r>
            <w:r>
              <w:rPr>
                <w:rFonts w:ascii="Times New Roman" w:hAnsi="Times New Roman" w:cs="Times New Roman" w:hint="eastAsia"/>
                <w:sz w:val="21"/>
                <w:szCs w:val="21"/>
              </w:rPr>
              <w:t>4</w:t>
            </w:r>
            <w:r>
              <w:rPr>
                <w:rFonts w:ascii="Times New Roman" w:eastAsia="宋体" w:hAnsi="Times New Roman" w:cs="Times New Roman"/>
                <w:sz w:val="21"/>
                <w:szCs w:val="21"/>
              </w:rPr>
              <w:t>）</w:t>
            </w:r>
          </w:p>
        </w:tc>
        <w:tc>
          <w:tcPr>
            <w:tcW w:w="888" w:type="pct"/>
            <w:vMerge/>
            <w:tcBorders>
              <w:left w:val="single" w:sz="4" w:space="0" w:color="auto"/>
              <w:right w:val="single" w:sz="4" w:space="0" w:color="auto"/>
            </w:tcBorders>
            <w:vAlign w:val="center"/>
          </w:tcPr>
          <w:p w14:paraId="2B03BDF1"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60" w:type="pct"/>
            <w:tcBorders>
              <w:left w:val="single" w:sz="6" w:space="0" w:color="000000"/>
              <w:right w:val="single" w:sz="6" w:space="0" w:color="000000"/>
            </w:tcBorders>
            <w:vAlign w:val="center"/>
          </w:tcPr>
          <w:p w14:paraId="499A8D95"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635" w:type="pct"/>
            <w:tcBorders>
              <w:top w:val="single" w:sz="6" w:space="0" w:color="000000"/>
              <w:left w:val="single" w:sz="6" w:space="0" w:color="auto"/>
              <w:bottom w:val="single" w:sz="6" w:space="0" w:color="000000"/>
              <w:right w:val="single" w:sz="6" w:space="0" w:color="000000"/>
            </w:tcBorders>
            <w:vAlign w:val="center"/>
          </w:tcPr>
          <w:p w14:paraId="49366E76" w14:textId="77777777" w:rsidR="00B14D53" w:rsidRDefault="00000000">
            <w:pPr>
              <w:widowControl/>
              <w:jc w:val="center"/>
              <w:textAlignment w:val="center"/>
              <w:rPr>
                <w:snapToGrid w:val="0"/>
                <w:szCs w:val="22"/>
              </w:rPr>
            </w:pPr>
            <w:r>
              <w:rPr>
                <w:rFonts w:hint="eastAsia"/>
                <w:snapToGrid w:val="0"/>
                <w:szCs w:val="22"/>
              </w:rPr>
              <w:t>6.7</w:t>
            </w:r>
          </w:p>
        </w:tc>
        <w:tc>
          <w:tcPr>
            <w:tcW w:w="637" w:type="pct"/>
            <w:tcBorders>
              <w:left w:val="single" w:sz="6" w:space="0" w:color="000000"/>
              <w:right w:val="single" w:sz="6" w:space="0" w:color="000000"/>
            </w:tcBorders>
            <w:vAlign w:val="center"/>
          </w:tcPr>
          <w:p w14:paraId="48387CD5" w14:textId="77777777" w:rsidR="00B14D53" w:rsidRDefault="00000000">
            <w:pPr>
              <w:widowControl/>
              <w:jc w:val="center"/>
              <w:textAlignment w:val="center"/>
              <w:rPr>
                <w:bCs/>
              </w:rPr>
            </w:pPr>
            <w:r>
              <w:rPr>
                <w:rFonts w:hint="eastAsia"/>
                <w:bCs/>
              </w:rPr>
              <w:t>0.01</w:t>
            </w:r>
          </w:p>
        </w:tc>
        <w:tc>
          <w:tcPr>
            <w:tcW w:w="476" w:type="pct"/>
            <w:vMerge/>
            <w:tcBorders>
              <w:left w:val="single" w:sz="4" w:space="0" w:color="auto"/>
              <w:right w:val="single" w:sz="4" w:space="0" w:color="auto"/>
            </w:tcBorders>
            <w:vAlign w:val="center"/>
          </w:tcPr>
          <w:p w14:paraId="3A19DAA9" w14:textId="77777777" w:rsidR="00B14D53" w:rsidRDefault="00B14D53">
            <w:pPr>
              <w:pStyle w:val="afff2"/>
              <w:spacing w:line="240" w:lineRule="auto"/>
              <w:rPr>
                <w:rFonts w:hAnsi="Times New Roman"/>
                <w:color w:val="FF0000"/>
              </w:rPr>
            </w:pPr>
          </w:p>
        </w:tc>
        <w:tc>
          <w:tcPr>
            <w:tcW w:w="476" w:type="pct"/>
            <w:vMerge/>
            <w:tcBorders>
              <w:left w:val="single" w:sz="4" w:space="0" w:color="auto"/>
              <w:right w:val="single" w:sz="4" w:space="0" w:color="auto"/>
            </w:tcBorders>
            <w:vAlign w:val="center"/>
          </w:tcPr>
          <w:p w14:paraId="0CE652B9"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c>
          <w:tcPr>
            <w:tcW w:w="537" w:type="pct"/>
            <w:vMerge/>
            <w:tcBorders>
              <w:left w:val="single" w:sz="4" w:space="0" w:color="auto"/>
              <w:right w:val="nil"/>
            </w:tcBorders>
            <w:vAlign w:val="center"/>
          </w:tcPr>
          <w:p w14:paraId="7B004810"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r>
      <w:tr w:rsidR="00B14D53" w14:paraId="659E7C17" w14:textId="77777777">
        <w:trPr>
          <w:trHeight w:val="147"/>
          <w:jc w:val="center"/>
        </w:trPr>
        <w:tc>
          <w:tcPr>
            <w:tcW w:w="347" w:type="pct"/>
            <w:vMerge/>
            <w:tcBorders>
              <w:left w:val="nil"/>
              <w:right w:val="single" w:sz="6" w:space="0" w:color="auto"/>
            </w:tcBorders>
            <w:vAlign w:val="center"/>
          </w:tcPr>
          <w:p w14:paraId="38BFA610"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40" w:type="pct"/>
            <w:vMerge/>
            <w:tcBorders>
              <w:left w:val="single" w:sz="6" w:space="0" w:color="auto"/>
              <w:right w:val="single" w:sz="6" w:space="0" w:color="000000"/>
            </w:tcBorders>
            <w:vAlign w:val="center"/>
          </w:tcPr>
          <w:p w14:paraId="2B5273CE"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888" w:type="pct"/>
            <w:vMerge/>
            <w:tcBorders>
              <w:left w:val="single" w:sz="4" w:space="0" w:color="auto"/>
              <w:right w:val="single" w:sz="4" w:space="0" w:color="auto"/>
            </w:tcBorders>
            <w:vAlign w:val="center"/>
          </w:tcPr>
          <w:p w14:paraId="15315DF6"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60" w:type="pct"/>
            <w:tcBorders>
              <w:left w:val="single" w:sz="6" w:space="0" w:color="000000"/>
              <w:right w:val="single" w:sz="6" w:space="0" w:color="000000"/>
            </w:tcBorders>
            <w:vAlign w:val="center"/>
          </w:tcPr>
          <w:p w14:paraId="21EE5BB8"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635" w:type="pct"/>
            <w:tcBorders>
              <w:top w:val="single" w:sz="6" w:space="0" w:color="000000"/>
              <w:left w:val="single" w:sz="6" w:space="0" w:color="auto"/>
              <w:bottom w:val="single" w:sz="12" w:space="0" w:color="auto"/>
              <w:right w:val="single" w:sz="6" w:space="0" w:color="000000"/>
            </w:tcBorders>
            <w:vAlign w:val="center"/>
          </w:tcPr>
          <w:p w14:paraId="504161E8" w14:textId="77777777" w:rsidR="00B14D53" w:rsidRDefault="00000000">
            <w:pPr>
              <w:widowControl/>
              <w:jc w:val="center"/>
              <w:textAlignment w:val="center"/>
              <w:rPr>
                <w:snapToGrid w:val="0"/>
                <w:szCs w:val="22"/>
              </w:rPr>
            </w:pPr>
            <w:r>
              <w:rPr>
                <w:rFonts w:hint="eastAsia"/>
                <w:snapToGrid w:val="0"/>
                <w:szCs w:val="22"/>
              </w:rPr>
              <w:t>0.3</w:t>
            </w:r>
          </w:p>
        </w:tc>
        <w:tc>
          <w:tcPr>
            <w:tcW w:w="637" w:type="pct"/>
            <w:tcBorders>
              <w:left w:val="single" w:sz="6" w:space="0" w:color="000000"/>
              <w:right w:val="single" w:sz="6" w:space="0" w:color="000000"/>
            </w:tcBorders>
            <w:vAlign w:val="center"/>
          </w:tcPr>
          <w:p w14:paraId="7755E6BB" w14:textId="77777777" w:rsidR="00B14D53" w:rsidRDefault="00000000">
            <w:pPr>
              <w:widowControl/>
              <w:jc w:val="center"/>
              <w:textAlignment w:val="center"/>
              <w:rPr>
                <w:bCs/>
              </w:rPr>
            </w:pPr>
            <w:r>
              <w:rPr>
                <w:rFonts w:hint="eastAsia"/>
                <w:bCs/>
              </w:rPr>
              <w:t>0.0005</w:t>
            </w:r>
          </w:p>
        </w:tc>
        <w:tc>
          <w:tcPr>
            <w:tcW w:w="476" w:type="pct"/>
            <w:vMerge/>
            <w:tcBorders>
              <w:left w:val="single" w:sz="4" w:space="0" w:color="auto"/>
              <w:right w:val="single" w:sz="4" w:space="0" w:color="auto"/>
            </w:tcBorders>
            <w:vAlign w:val="center"/>
          </w:tcPr>
          <w:p w14:paraId="358191E4" w14:textId="77777777" w:rsidR="00B14D53" w:rsidRDefault="00B14D53">
            <w:pPr>
              <w:pStyle w:val="afff2"/>
              <w:spacing w:line="240" w:lineRule="auto"/>
              <w:rPr>
                <w:rFonts w:hAnsi="Times New Roman"/>
                <w:color w:val="FF0000"/>
              </w:rPr>
            </w:pPr>
          </w:p>
        </w:tc>
        <w:tc>
          <w:tcPr>
            <w:tcW w:w="476" w:type="pct"/>
            <w:vMerge/>
            <w:tcBorders>
              <w:left w:val="single" w:sz="4" w:space="0" w:color="auto"/>
              <w:right w:val="single" w:sz="4" w:space="0" w:color="auto"/>
            </w:tcBorders>
            <w:vAlign w:val="center"/>
          </w:tcPr>
          <w:p w14:paraId="46C69857"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c>
          <w:tcPr>
            <w:tcW w:w="537" w:type="pct"/>
            <w:vMerge/>
            <w:tcBorders>
              <w:left w:val="single" w:sz="4" w:space="0" w:color="auto"/>
              <w:right w:val="nil"/>
            </w:tcBorders>
            <w:vAlign w:val="center"/>
          </w:tcPr>
          <w:p w14:paraId="4BCF2A81"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r>
    </w:tbl>
    <w:p w14:paraId="0C0B6769" w14:textId="77777777" w:rsidR="00B14D53" w:rsidRDefault="00B14D53">
      <w:pPr>
        <w:pStyle w:val="afff0"/>
        <w:spacing w:line="360" w:lineRule="auto"/>
        <w:ind w:firstLineChars="0" w:firstLine="0"/>
        <w:rPr>
          <w:rFonts w:ascii="Times New Roman" w:eastAsiaTheme="minorEastAsia" w:hAnsiTheme="minorEastAsia" w:cs="Times New Roman" w:hint="eastAsia"/>
          <w:sz w:val="24"/>
          <w:szCs w:val="24"/>
        </w:rPr>
      </w:pPr>
    </w:p>
    <w:p w14:paraId="2C8ACD96" w14:textId="77777777" w:rsidR="00B14D53" w:rsidRDefault="00B14D53">
      <w:pPr>
        <w:pStyle w:val="afff0"/>
        <w:spacing w:line="360" w:lineRule="auto"/>
        <w:ind w:firstLineChars="0" w:firstLine="0"/>
        <w:rPr>
          <w:rFonts w:ascii="Times New Roman" w:eastAsiaTheme="minorEastAsia" w:hAnsiTheme="minorEastAsia" w:cs="Times New Roman" w:hint="eastAsia"/>
          <w:sz w:val="24"/>
          <w:szCs w:val="24"/>
        </w:rPr>
      </w:pPr>
    </w:p>
    <w:p w14:paraId="63FDADEF" w14:textId="77777777" w:rsidR="00B14D53" w:rsidRDefault="00B14D53">
      <w:pPr>
        <w:pStyle w:val="afff0"/>
        <w:spacing w:line="360" w:lineRule="auto"/>
        <w:ind w:firstLineChars="0" w:firstLine="0"/>
        <w:rPr>
          <w:rFonts w:ascii="Times New Roman" w:eastAsiaTheme="minorEastAsia" w:hAnsiTheme="minorEastAsia" w:cs="Times New Roman" w:hint="eastAsia"/>
          <w:sz w:val="24"/>
          <w:szCs w:val="24"/>
        </w:rPr>
      </w:pPr>
    </w:p>
    <w:p w14:paraId="16069DBE" w14:textId="77777777" w:rsidR="00B14D53" w:rsidRDefault="00B14D53">
      <w:pPr>
        <w:adjustRightInd w:val="0"/>
        <w:snapToGrid w:val="0"/>
        <w:jc w:val="left"/>
        <w:rPr>
          <w:rFonts w:eastAsiaTheme="minorEastAsia"/>
          <w:b/>
          <w:szCs w:val="21"/>
        </w:rPr>
        <w:sectPr w:rsidR="00B14D53">
          <w:pgSz w:w="16838" w:h="11906" w:orient="landscape"/>
          <w:pgMar w:top="1800" w:right="1440" w:bottom="1800" w:left="1440" w:header="851" w:footer="992" w:gutter="0"/>
          <w:cols w:space="425"/>
          <w:docGrid w:type="lines" w:linePitch="312"/>
        </w:sectPr>
      </w:pPr>
    </w:p>
    <w:p w14:paraId="16DE356D"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3.3.2.2</w:t>
      </w:r>
      <w:r>
        <w:rPr>
          <w:rFonts w:ascii="Times New Roman" w:eastAsia="黑体" w:hAnsi="Times New Roman" w:cs="Times New Roman"/>
          <w:b w:val="0"/>
          <w:bCs w:val="0"/>
          <w:sz w:val="24"/>
          <w:szCs w:val="24"/>
        </w:rPr>
        <w:t>废</w:t>
      </w:r>
      <w:r>
        <w:rPr>
          <w:rFonts w:ascii="Times New Roman" w:eastAsia="黑体" w:hAnsi="Times New Roman" w:cs="Times New Roman" w:hint="eastAsia"/>
          <w:b w:val="0"/>
          <w:bCs w:val="0"/>
          <w:sz w:val="24"/>
          <w:szCs w:val="24"/>
        </w:rPr>
        <w:t>水</w:t>
      </w:r>
      <w:r>
        <w:rPr>
          <w:rFonts w:ascii="Times New Roman" w:eastAsia="黑体" w:hAnsi="Times New Roman" w:cs="Times New Roman"/>
          <w:b w:val="0"/>
          <w:bCs w:val="0"/>
          <w:sz w:val="24"/>
          <w:szCs w:val="24"/>
        </w:rPr>
        <w:t>污染分析</w:t>
      </w:r>
    </w:p>
    <w:p w14:paraId="65B4614D"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本项目废水主要为：待宰圈冲洗排水、屠宰车间排水、电蒸汽发生器排污水</w:t>
      </w:r>
      <w:r>
        <w:rPr>
          <w:rFonts w:ascii="Times New Roman" w:hAnsiTheme="minorEastAsia" w:cs="Times New Roman" w:hint="eastAsia"/>
        </w:rPr>
        <w:t>+</w:t>
      </w:r>
      <w:r>
        <w:rPr>
          <w:rFonts w:ascii="Times New Roman" w:hAnsiTheme="minorEastAsia" w:cs="Times New Roman" w:hint="eastAsia"/>
        </w:rPr>
        <w:t>软化处理废水、车辆冲洗排水、生活污水。生活污水直接排入市政管网，生产废水经污水处理站处理后排入市政管网。</w:t>
      </w:r>
    </w:p>
    <w:p w14:paraId="5405A47B"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w:t>
      </w:r>
      <w:r>
        <w:rPr>
          <w:rFonts w:ascii="Times New Roman" w:hAnsiTheme="minorEastAsia" w:cs="Times New Roman" w:hint="eastAsia"/>
        </w:rPr>
        <w:t>1</w:t>
      </w:r>
      <w:r>
        <w:rPr>
          <w:rFonts w:ascii="Times New Roman" w:hAnsiTheme="minorEastAsia" w:cs="Times New Roman" w:hint="eastAsia"/>
        </w:rPr>
        <w:t>）生产废水</w:t>
      </w:r>
    </w:p>
    <w:p w14:paraId="7783F6E5"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本项目污染物浓度类比《哈尔滨华康肉制品加工有限责任公司扩建项目》检测报告中数据可知，处理前废水污染物情况见下表。</w:t>
      </w:r>
    </w:p>
    <w:p w14:paraId="1CA3A4D5" w14:textId="77777777" w:rsidR="00B14D53" w:rsidRDefault="00000000">
      <w:pPr>
        <w:jc w:val="center"/>
        <w:rPr>
          <w:b/>
          <w:bCs/>
        </w:rPr>
      </w:pPr>
      <w:r>
        <w:rPr>
          <w:rFonts w:hint="eastAsia"/>
          <w:b/>
          <w:bCs/>
        </w:rPr>
        <w:t>表</w:t>
      </w:r>
      <w:r>
        <w:rPr>
          <w:rFonts w:hint="eastAsia"/>
          <w:b/>
          <w:bCs/>
        </w:rPr>
        <w:t xml:space="preserve">3-3-5 </w:t>
      </w:r>
      <w:r>
        <w:rPr>
          <w:rFonts w:hint="eastAsia"/>
          <w:b/>
          <w:bCs/>
        </w:rPr>
        <w:t>类比项目废水产生源强一览表</w:t>
      </w:r>
    </w:p>
    <w:tbl>
      <w:tblPr>
        <w:tblStyle w:val="a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151"/>
        <w:gridCol w:w="4155"/>
      </w:tblGrid>
      <w:tr w:rsidR="00B14D53" w14:paraId="1E2A37C4" w14:textId="77777777">
        <w:trPr>
          <w:jc w:val="center"/>
        </w:trPr>
        <w:tc>
          <w:tcPr>
            <w:tcW w:w="4261" w:type="dxa"/>
            <w:vAlign w:val="center"/>
          </w:tcPr>
          <w:p w14:paraId="4CF739BF"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b/>
                <w:bCs/>
                <w:sz w:val="21"/>
                <w:szCs w:val="21"/>
              </w:rPr>
            </w:pPr>
            <w:r>
              <w:rPr>
                <w:rFonts w:ascii="Times New Roman" w:hAnsiTheme="minorEastAsia" w:cs="Times New Roman" w:hint="eastAsia"/>
                <w:b/>
                <w:bCs/>
                <w:sz w:val="21"/>
                <w:szCs w:val="21"/>
              </w:rPr>
              <w:t>污染物名称</w:t>
            </w:r>
          </w:p>
        </w:tc>
        <w:tc>
          <w:tcPr>
            <w:tcW w:w="4261" w:type="dxa"/>
            <w:vAlign w:val="center"/>
          </w:tcPr>
          <w:p w14:paraId="436F4155"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b/>
                <w:bCs/>
                <w:sz w:val="21"/>
                <w:szCs w:val="21"/>
              </w:rPr>
            </w:pPr>
            <w:r>
              <w:rPr>
                <w:rFonts w:ascii="Times New Roman" w:hAnsiTheme="minorEastAsia" w:cs="Times New Roman" w:hint="eastAsia"/>
                <w:b/>
                <w:bCs/>
                <w:sz w:val="21"/>
                <w:szCs w:val="21"/>
              </w:rPr>
              <w:t>产生浓度</w:t>
            </w:r>
            <w:r>
              <w:rPr>
                <w:rFonts w:ascii="Times New Roman" w:hAnsiTheme="minorEastAsia" w:cs="Times New Roman" w:hint="eastAsia"/>
                <w:b/>
                <w:bCs/>
                <w:sz w:val="21"/>
                <w:szCs w:val="21"/>
              </w:rPr>
              <w:t>mg/L</w:t>
            </w:r>
          </w:p>
        </w:tc>
      </w:tr>
      <w:tr w:rsidR="00B14D53" w14:paraId="5828E924" w14:textId="77777777">
        <w:trPr>
          <w:jc w:val="center"/>
        </w:trPr>
        <w:tc>
          <w:tcPr>
            <w:tcW w:w="4261" w:type="dxa"/>
            <w:vAlign w:val="center"/>
          </w:tcPr>
          <w:p w14:paraId="54AA2488"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sz w:val="21"/>
                <w:szCs w:val="21"/>
              </w:rPr>
              <w:t>COD</w:t>
            </w:r>
          </w:p>
        </w:tc>
        <w:tc>
          <w:tcPr>
            <w:tcW w:w="4261" w:type="dxa"/>
            <w:vAlign w:val="center"/>
          </w:tcPr>
          <w:p w14:paraId="1E485671"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hint="eastAsia"/>
                <w:sz w:val="21"/>
                <w:szCs w:val="21"/>
              </w:rPr>
              <w:t>2.52</w:t>
            </w:r>
            <w:r>
              <w:rPr>
                <w:rFonts w:ascii="Times New Roman" w:hAnsiTheme="minorEastAsia" w:cs="Times New Roman" w:hint="eastAsia"/>
                <w:sz w:val="21"/>
                <w:szCs w:val="21"/>
              </w:rPr>
              <w:t>×</w:t>
            </w:r>
            <w:r>
              <w:rPr>
                <w:rFonts w:ascii="Times New Roman" w:hAnsiTheme="minorEastAsia" w:cs="Times New Roman" w:hint="eastAsia"/>
                <w:sz w:val="21"/>
                <w:szCs w:val="21"/>
              </w:rPr>
              <w:t>10</w:t>
            </w:r>
            <w:r>
              <w:rPr>
                <w:rFonts w:ascii="Times New Roman" w:hAnsiTheme="minorEastAsia" w:cs="Times New Roman" w:hint="eastAsia"/>
                <w:sz w:val="21"/>
                <w:szCs w:val="21"/>
                <w:vertAlign w:val="superscript"/>
              </w:rPr>
              <w:t>3</w:t>
            </w:r>
          </w:p>
        </w:tc>
      </w:tr>
      <w:tr w:rsidR="00B14D53" w14:paraId="5CF01D8E" w14:textId="77777777">
        <w:trPr>
          <w:jc w:val="center"/>
        </w:trPr>
        <w:tc>
          <w:tcPr>
            <w:tcW w:w="4261" w:type="dxa"/>
            <w:vAlign w:val="center"/>
          </w:tcPr>
          <w:p w14:paraId="3484FDD8"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hint="eastAsia"/>
                <w:sz w:val="21"/>
                <w:szCs w:val="21"/>
              </w:rPr>
              <w:t>氨氮</w:t>
            </w:r>
          </w:p>
        </w:tc>
        <w:tc>
          <w:tcPr>
            <w:tcW w:w="4261" w:type="dxa"/>
            <w:vAlign w:val="center"/>
          </w:tcPr>
          <w:p w14:paraId="6D0B134B"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hint="eastAsia"/>
                <w:sz w:val="21"/>
                <w:szCs w:val="21"/>
              </w:rPr>
              <w:t>121</w:t>
            </w:r>
          </w:p>
        </w:tc>
      </w:tr>
      <w:tr w:rsidR="00B14D53" w14:paraId="70FA6115" w14:textId="77777777">
        <w:trPr>
          <w:jc w:val="center"/>
        </w:trPr>
        <w:tc>
          <w:tcPr>
            <w:tcW w:w="4261" w:type="dxa"/>
            <w:vAlign w:val="center"/>
          </w:tcPr>
          <w:p w14:paraId="02AAAD6D"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sz w:val="21"/>
                <w:szCs w:val="21"/>
              </w:rPr>
              <w:t>BOD</w:t>
            </w:r>
            <w:r>
              <w:rPr>
                <w:rFonts w:ascii="Times New Roman" w:hAnsiTheme="minorEastAsia" w:cs="Times New Roman"/>
                <w:sz w:val="21"/>
                <w:szCs w:val="21"/>
                <w:vertAlign w:val="subscript"/>
              </w:rPr>
              <w:t>5</w:t>
            </w:r>
          </w:p>
        </w:tc>
        <w:tc>
          <w:tcPr>
            <w:tcW w:w="4261" w:type="dxa"/>
            <w:vAlign w:val="center"/>
          </w:tcPr>
          <w:p w14:paraId="68CBE418"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hint="eastAsia"/>
                <w:sz w:val="21"/>
                <w:szCs w:val="21"/>
              </w:rPr>
              <w:t>997</w:t>
            </w:r>
          </w:p>
        </w:tc>
      </w:tr>
      <w:tr w:rsidR="00B14D53" w14:paraId="3C08187A" w14:textId="77777777">
        <w:trPr>
          <w:jc w:val="center"/>
        </w:trPr>
        <w:tc>
          <w:tcPr>
            <w:tcW w:w="4261" w:type="dxa"/>
            <w:vAlign w:val="center"/>
          </w:tcPr>
          <w:p w14:paraId="506B56D8"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sz w:val="21"/>
                <w:szCs w:val="21"/>
              </w:rPr>
              <w:t>SS</w:t>
            </w:r>
          </w:p>
        </w:tc>
        <w:tc>
          <w:tcPr>
            <w:tcW w:w="4261" w:type="dxa"/>
            <w:vAlign w:val="center"/>
          </w:tcPr>
          <w:p w14:paraId="40EF6BD1"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hint="eastAsia"/>
                <w:sz w:val="21"/>
                <w:szCs w:val="21"/>
              </w:rPr>
              <w:t>995</w:t>
            </w:r>
          </w:p>
        </w:tc>
      </w:tr>
      <w:tr w:rsidR="00B14D53" w14:paraId="35D7E689" w14:textId="77777777">
        <w:trPr>
          <w:jc w:val="center"/>
        </w:trPr>
        <w:tc>
          <w:tcPr>
            <w:tcW w:w="4261" w:type="dxa"/>
            <w:vAlign w:val="center"/>
          </w:tcPr>
          <w:p w14:paraId="1D9FDB36"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sz w:val="21"/>
                <w:szCs w:val="21"/>
              </w:rPr>
              <w:t>动植物油</w:t>
            </w:r>
          </w:p>
        </w:tc>
        <w:tc>
          <w:tcPr>
            <w:tcW w:w="4261" w:type="dxa"/>
            <w:vAlign w:val="center"/>
          </w:tcPr>
          <w:p w14:paraId="18A966C2"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hint="eastAsia"/>
                <w:sz w:val="21"/>
                <w:szCs w:val="21"/>
              </w:rPr>
              <w:t>200</w:t>
            </w:r>
          </w:p>
        </w:tc>
      </w:tr>
      <w:tr w:rsidR="00B14D53" w14:paraId="5504B1A7" w14:textId="77777777">
        <w:trPr>
          <w:jc w:val="center"/>
        </w:trPr>
        <w:tc>
          <w:tcPr>
            <w:tcW w:w="4261" w:type="dxa"/>
            <w:vAlign w:val="center"/>
          </w:tcPr>
          <w:p w14:paraId="36B3E93E"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sz w:val="21"/>
                <w:szCs w:val="21"/>
              </w:rPr>
              <w:t>大肠菌群</w:t>
            </w:r>
            <w:r>
              <w:rPr>
                <w:rFonts w:ascii="Times New Roman" w:hAnsiTheme="minorEastAsia" w:cs="Times New Roman" w:hint="eastAsia"/>
                <w:sz w:val="21"/>
                <w:szCs w:val="21"/>
              </w:rPr>
              <w:t>数</w:t>
            </w:r>
          </w:p>
        </w:tc>
        <w:tc>
          <w:tcPr>
            <w:tcW w:w="4261" w:type="dxa"/>
            <w:vAlign w:val="center"/>
          </w:tcPr>
          <w:p w14:paraId="2F07B056"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imes New Roman" w:cs="Times New Roman"/>
                <w:sz w:val="21"/>
                <w:szCs w:val="21"/>
              </w:rPr>
              <w:t>≥</w:t>
            </w:r>
            <w:r>
              <w:rPr>
                <w:rFonts w:ascii="Times New Roman" w:hAnsiTheme="minorEastAsia" w:cs="Times New Roman"/>
                <w:sz w:val="21"/>
                <w:szCs w:val="21"/>
              </w:rPr>
              <w:t>24000</w:t>
            </w:r>
            <w:r>
              <w:rPr>
                <w:rFonts w:ascii="Times New Roman" w:hAnsiTheme="minorEastAsia" w:cs="Times New Roman" w:hint="eastAsia"/>
                <w:sz w:val="21"/>
                <w:szCs w:val="21"/>
              </w:rPr>
              <w:t>个</w:t>
            </w:r>
            <w:r>
              <w:rPr>
                <w:rFonts w:ascii="Times New Roman" w:hAnsiTheme="minorEastAsia" w:cs="Times New Roman" w:hint="eastAsia"/>
                <w:sz w:val="21"/>
                <w:szCs w:val="21"/>
              </w:rPr>
              <w:t>/L</w:t>
            </w:r>
          </w:p>
        </w:tc>
      </w:tr>
      <w:tr w:rsidR="00B14D53" w14:paraId="13FB2162" w14:textId="77777777">
        <w:trPr>
          <w:jc w:val="center"/>
        </w:trPr>
        <w:tc>
          <w:tcPr>
            <w:tcW w:w="4261" w:type="dxa"/>
            <w:vAlign w:val="center"/>
          </w:tcPr>
          <w:p w14:paraId="3020286A"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sz w:val="21"/>
                <w:szCs w:val="21"/>
              </w:rPr>
              <w:t>pH</w:t>
            </w:r>
          </w:p>
        </w:tc>
        <w:tc>
          <w:tcPr>
            <w:tcW w:w="4261" w:type="dxa"/>
            <w:vAlign w:val="center"/>
          </w:tcPr>
          <w:p w14:paraId="5CBB2EB1" w14:textId="77777777" w:rsidR="00B14D53" w:rsidRDefault="00000000">
            <w:pPr>
              <w:pStyle w:val="afff"/>
              <w:adjustRightInd/>
              <w:snapToGrid/>
              <w:spacing w:line="240" w:lineRule="auto"/>
              <w:ind w:firstLineChars="0" w:firstLine="0"/>
              <w:contextualSpacing/>
              <w:jc w:val="center"/>
              <w:rPr>
                <w:rFonts w:ascii="Times New Roman" w:hAnsiTheme="minorEastAsia" w:cs="Times New Roman" w:hint="eastAsia"/>
                <w:sz w:val="21"/>
                <w:szCs w:val="21"/>
              </w:rPr>
            </w:pPr>
            <w:r>
              <w:rPr>
                <w:rFonts w:ascii="Times New Roman" w:hAnsiTheme="minorEastAsia" w:cs="Times New Roman" w:hint="eastAsia"/>
                <w:sz w:val="21"/>
                <w:szCs w:val="21"/>
              </w:rPr>
              <w:t>7.2~</w:t>
            </w:r>
            <w:r>
              <w:rPr>
                <w:rFonts w:ascii="Times New Roman" w:hAnsiTheme="minorEastAsia" w:cs="Times New Roman"/>
                <w:sz w:val="21"/>
                <w:szCs w:val="21"/>
              </w:rPr>
              <w:t>7.3</w:t>
            </w:r>
            <w:r>
              <w:rPr>
                <w:rFonts w:ascii="Times New Roman" w:hAnsiTheme="minorEastAsia" w:cs="Times New Roman" w:hint="eastAsia"/>
                <w:sz w:val="21"/>
                <w:szCs w:val="21"/>
              </w:rPr>
              <w:t>无量纲</w:t>
            </w:r>
          </w:p>
        </w:tc>
      </w:tr>
    </w:tbl>
    <w:p w14:paraId="243C615A"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本项目生产废水排放量为</w:t>
      </w:r>
      <w:r>
        <w:rPr>
          <w:rFonts w:ascii="Times New Roman" w:hAnsiTheme="minorEastAsia" w:cs="Times New Roman" w:hint="eastAsia"/>
        </w:rPr>
        <w:t>78975.24t/a</w:t>
      </w:r>
      <w:r>
        <w:rPr>
          <w:rFonts w:ascii="Times New Roman" w:hAnsiTheme="minorEastAsia" w:cs="Times New Roman" w:hint="eastAsia"/>
        </w:rPr>
        <w:t>，因此各污染物产生量分别为：</w:t>
      </w:r>
      <w:r>
        <w:rPr>
          <w:rFonts w:ascii="Times New Roman" w:hAnsiTheme="minorEastAsia" w:cs="Times New Roman" w:hint="eastAsia"/>
        </w:rPr>
        <w:t>COD199.02t/a</w:t>
      </w:r>
      <w:r>
        <w:rPr>
          <w:rFonts w:ascii="Times New Roman" w:hAnsiTheme="minorEastAsia" w:cs="Times New Roman" w:hint="eastAsia"/>
        </w:rPr>
        <w:t>、氨氮</w:t>
      </w:r>
      <w:r>
        <w:rPr>
          <w:rFonts w:ascii="Times New Roman" w:hAnsiTheme="minorEastAsia" w:cs="Times New Roman" w:hint="eastAsia"/>
        </w:rPr>
        <w:t>9.56t/a</w:t>
      </w:r>
      <w:r>
        <w:rPr>
          <w:rFonts w:ascii="Times New Roman" w:hAnsiTheme="minorEastAsia" w:cs="Times New Roman" w:hint="eastAsia"/>
        </w:rPr>
        <w:t>、</w:t>
      </w:r>
      <w:r>
        <w:rPr>
          <w:rFonts w:ascii="Times New Roman" w:hAnsiTheme="minorEastAsia" w:cs="Times New Roman" w:hint="eastAsia"/>
        </w:rPr>
        <w:t>BOD</w:t>
      </w:r>
      <w:r>
        <w:rPr>
          <w:rFonts w:ascii="Times New Roman" w:hAnsiTheme="minorEastAsia" w:cs="Times New Roman" w:hint="eastAsia"/>
          <w:vertAlign w:val="subscript"/>
        </w:rPr>
        <w:t>5</w:t>
      </w:r>
      <w:r>
        <w:rPr>
          <w:rFonts w:ascii="Times New Roman" w:hAnsiTheme="minorEastAsia" w:cs="Times New Roman" w:hint="eastAsia"/>
        </w:rPr>
        <w:t xml:space="preserve"> 78.74t/a</w:t>
      </w:r>
      <w:r>
        <w:rPr>
          <w:rFonts w:ascii="Times New Roman" w:hAnsiTheme="minorEastAsia" w:cs="Times New Roman" w:hint="eastAsia"/>
        </w:rPr>
        <w:t>、</w:t>
      </w:r>
      <w:r>
        <w:rPr>
          <w:rFonts w:ascii="Times New Roman" w:hAnsiTheme="minorEastAsia" w:cs="Times New Roman" w:hint="eastAsia"/>
        </w:rPr>
        <w:t>SS 78.58t/a</w:t>
      </w:r>
      <w:r>
        <w:rPr>
          <w:rFonts w:ascii="Times New Roman" w:hAnsiTheme="minorEastAsia" w:cs="Times New Roman" w:hint="eastAsia"/>
        </w:rPr>
        <w:t>、动植物油</w:t>
      </w:r>
      <w:r>
        <w:rPr>
          <w:rFonts w:ascii="Times New Roman" w:hAnsiTheme="minorEastAsia" w:cs="Times New Roman" w:hint="eastAsia"/>
        </w:rPr>
        <w:t>15.8t/a</w:t>
      </w:r>
      <w:r>
        <w:rPr>
          <w:rFonts w:ascii="Times New Roman" w:hAnsiTheme="minorEastAsia" w:cs="Times New Roman" w:hint="eastAsia"/>
        </w:rPr>
        <w:t>。</w:t>
      </w:r>
    </w:p>
    <w:p w14:paraId="3B6F8EBD"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根据污水处理站设计各污染物去除效率分别为：</w:t>
      </w:r>
      <w:r>
        <w:rPr>
          <w:rFonts w:ascii="Times New Roman" w:hAnsiTheme="minorEastAsia" w:cs="Times New Roman" w:hint="eastAsia"/>
        </w:rPr>
        <w:t>COD87%</w:t>
      </w:r>
      <w:r>
        <w:rPr>
          <w:rFonts w:ascii="Times New Roman" w:hAnsiTheme="minorEastAsia" w:cs="Times New Roman" w:hint="eastAsia"/>
        </w:rPr>
        <w:t>、氨氮</w:t>
      </w:r>
      <w:r>
        <w:rPr>
          <w:rFonts w:ascii="Times New Roman" w:hAnsiTheme="minorEastAsia" w:cs="Times New Roman" w:hint="eastAsia"/>
        </w:rPr>
        <w:t>80%</w:t>
      </w:r>
      <w:r>
        <w:rPr>
          <w:rFonts w:ascii="Times New Roman" w:hAnsiTheme="minorEastAsia" w:cs="Times New Roman" w:hint="eastAsia"/>
        </w:rPr>
        <w:t>、</w:t>
      </w:r>
      <w:r>
        <w:rPr>
          <w:rFonts w:ascii="Times New Roman" w:hAnsiTheme="minorEastAsia" w:cs="Times New Roman" w:hint="eastAsia"/>
        </w:rPr>
        <w:t>BOD</w:t>
      </w:r>
      <w:r>
        <w:rPr>
          <w:rFonts w:ascii="Times New Roman" w:hAnsiTheme="minorEastAsia" w:cs="Times New Roman" w:hint="eastAsia"/>
          <w:vertAlign w:val="subscript"/>
        </w:rPr>
        <w:t>5</w:t>
      </w:r>
      <w:r>
        <w:rPr>
          <w:rFonts w:ascii="Times New Roman" w:hAnsiTheme="minorEastAsia" w:cs="Times New Roman" w:hint="eastAsia"/>
        </w:rPr>
        <w:t xml:space="preserve"> 80%</w:t>
      </w:r>
      <w:r>
        <w:rPr>
          <w:rFonts w:ascii="Times New Roman" w:hAnsiTheme="minorEastAsia" w:cs="Times New Roman" w:hint="eastAsia"/>
        </w:rPr>
        <w:t>、</w:t>
      </w:r>
      <w:r>
        <w:rPr>
          <w:rFonts w:ascii="Times New Roman" w:hAnsiTheme="minorEastAsia" w:cs="Times New Roman" w:hint="eastAsia"/>
        </w:rPr>
        <w:t>SS 70%</w:t>
      </w:r>
      <w:r>
        <w:rPr>
          <w:rFonts w:ascii="Times New Roman" w:hAnsiTheme="minorEastAsia" w:cs="Times New Roman" w:hint="eastAsia"/>
        </w:rPr>
        <w:t>、动植物油</w:t>
      </w:r>
      <w:r>
        <w:rPr>
          <w:rFonts w:ascii="Times New Roman" w:hAnsiTheme="minorEastAsia" w:cs="Times New Roman" w:hint="eastAsia"/>
        </w:rPr>
        <w:t>70%</w:t>
      </w:r>
      <w:r>
        <w:rPr>
          <w:rFonts w:ascii="Times New Roman" w:hAnsiTheme="minorEastAsia" w:cs="Times New Roman" w:hint="eastAsia"/>
        </w:rPr>
        <w:t>、大肠菌群数</w:t>
      </w:r>
      <w:r>
        <w:rPr>
          <w:rFonts w:ascii="Times New Roman" w:hAnsiTheme="minorEastAsia" w:cs="Times New Roman" w:hint="eastAsia"/>
        </w:rPr>
        <w:t>99.9%</w:t>
      </w:r>
      <w:r>
        <w:rPr>
          <w:rFonts w:ascii="Times New Roman" w:hAnsiTheme="minorEastAsia" w:cs="Times New Roman" w:hint="eastAsia"/>
        </w:rPr>
        <w:t>。</w:t>
      </w:r>
    </w:p>
    <w:p w14:paraId="41C3C8B8"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生产废水各污染物排放情况分别为：</w:t>
      </w:r>
      <w:r>
        <w:rPr>
          <w:rFonts w:ascii="Times New Roman" w:hAnsiTheme="minorEastAsia" w:cs="Times New Roman" w:hint="eastAsia"/>
        </w:rPr>
        <w:t>COD327.6mg/L</w:t>
      </w:r>
      <w:r>
        <w:rPr>
          <w:rFonts w:ascii="Times New Roman" w:hAnsiTheme="minorEastAsia" w:cs="Times New Roman" w:hint="eastAsia"/>
        </w:rPr>
        <w:t>、</w:t>
      </w:r>
      <w:r>
        <w:rPr>
          <w:rFonts w:ascii="Times New Roman" w:hAnsiTheme="minorEastAsia" w:cs="Times New Roman" w:hint="eastAsia"/>
        </w:rPr>
        <w:t>25.87t/a</w:t>
      </w:r>
      <w:r>
        <w:rPr>
          <w:rFonts w:ascii="Times New Roman" w:hAnsiTheme="minorEastAsia" w:cs="Times New Roman" w:hint="eastAsia"/>
        </w:rPr>
        <w:t>，氨氮</w:t>
      </w:r>
      <w:r>
        <w:rPr>
          <w:rFonts w:ascii="Times New Roman" w:hAnsiTheme="minorEastAsia" w:cs="Times New Roman" w:hint="eastAsia"/>
        </w:rPr>
        <w:t>24.2mg/L</w:t>
      </w:r>
      <w:r>
        <w:rPr>
          <w:rFonts w:ascii="Times New Roman" w:hAnsiTheme="minorEastAsia" w:cs="Times New Roman" w:hint="eastAsia"/>
        </w:rPr>
        <w:t>、</w:t>
      </w:r>
      <w:r>
        <w:rPr>
          <w:rFonts w:ascii="Times New Roman" w:hAnsiTheme="minorEastAsia" w:cs="Times New Roman" w:hint="eastAsia"/>
        </w:rPr>
        <w:t>1.91t/a</w:t>
      </w:r>
      <w:r>
        <w:rPr>
          <w:rFonts w:ascii="Times New Roman" w:hAnsiTheme="minorEastAsia" w:cs="Times New Roman" w:hint="eastAsia"/>
        </w:rPr>
        <w:t>，</w:t>
      </w:r>
      <w:r>
        <w:rPr>
          <w:rFonts w:ascii="Times New Roman" w:hAnsiTheme="minorEastAsia" w:cs="Times New Roman" w:hint="eastAsia"/>
        </w:rPr>
        <w:t>BOD</w:t>
      </w:r>
      <w:r>
        <w:rPr>
          <w:rFonts w:ascii="Times New Roman" w:hAnsiTheme="minorEastAsia" w:cs="Times New Roman" w:hint="eastAsia"/>
          <w:vertAlign w:val="subscript"/>
        </w:rPr>
        <w:t>5</w:t>
      </w:r>
      <w:r>
        <w:rPr>
          <w:rFonts w:ascii="Times New Roman" w:hAnsiTheme="minorEastAsia" w:cs="Times New Roman" w:hint="eastAsia"/>
        </w:rPr>
        <w:t xml:space="preserve"> 199.4mg/L</w:t>
      </w:r>
      <w:r>
        <w:rPr>
          <w:rFonts w:ascii="Times New Roman" w:hAnsiTheme="minorEastAsia" w:cs="Times New Roman" w:hint="eastAsia"/>
        </w:rPr>
        <w:t>、</w:t>
      </w:r>
      <w:r>
        <w:rPr>
          <w:rFonts w:ascii="Times New Roman" w:hAnsiTheme="minorEastAsia" w:cs="Times New Roman" w:hint="eastAsia"/>
        </w:rPr>
        <w:t>15.75t/a</w:t>
      </w:r>
      <w:r>
        <w:rPr>
          <w:rFonts w:ascii="Times New Roman" w:hAnsiTheme="minorEastAsia" w:cs="Times New Roman" w:hint="eastAsia"/>
        </w:rPr>
        <w:t>，</w:t>
      </w:r>
      <w:r>
        <w:rPr>
          <w:rFonts w:ascii="Times New Roman" w:hAnsiTheme="minorEastAsia" w:cs="Times New Roman" w:hint="eastAsia"/>
        </w:rPr>
        <w:t>SS 298.5mg/L</w:t>
      </w:r>
      <w:r>
        <w:rPr>
          <w:rFonts w:ascii="Times New Roman" w:hAnsiTheme="minorEastAsia" w:cs="Times New Roman" w:hint="eastAsia"/>
        </w:rPr>
        <w:t>、</w:t>
      </w:r>
      <w:r>
        <w:rPr>
          <w:rFonts w:ascii="Times New Roman" w:hAnsiTheme="minorEastAsia" w:cs="Times New Roman" w:hint="eastAsia"/>
        </w:rPr>
        <w:t>23.57t/a</w:t>
      </w:r>
      <w:r>
        <w:rPr>
          <w:rFonts w:ascii="Times New Roman" w:hAnsiTheme="minorEastAsia" w:cs="Times New Roman" w:hint="eastAsia"/>
        </w:rPr>
        <w:t>，动植物油</w:t>
      </w:r>
      <w:r>
        <w:rPr>
          <w:rFonts w:ascii="Times New Roman" w:hAnsiTheme="minorEastAsia" w:cs="Times New Roman" w:hint="eastAsia"/>
        </w:rPr>
        <w:t>60mg/L</w:t>
      </w:r>
      <w:r>
        <w:rPr>
          <w:rFonts w:ascii="Times New Roman" w:hAnsiTheme="minorEastAsia" w:cs="Times New Roman" w:hint="eastAsia"/>
        </w:rPr>
        <w:t>、</w:t>
      </w:r>
      <w:r>
        <w:rPr>
          <w:rFonts w:ascii="Times New Roman" w:hAnsiTheme="minorEastAsia" w:cs="Times New Roman" w:hint="eastAsia"/>
        </w:rPr>
        <w:t>23.57t/a</w:t>
      </w:r>
      <w:r>
        <w:rPr>
          <w:rFonts w:ascii="Times New Roman" w:hAnsiTheme="minorEastAsia" w:cs="Times New Roman" w:hint="eastAsia"/>
        </w:rPr>
        <w:t>，大肠菌群数</w:t>
      </w:r>
      <w:r>
        <w:rPr>
          <w:rFonts w:ascii="Times New Roman" w:hAnsiTheme="minorEastAsia" w:cs="Times New Roman" w:hint="eastAsia"/>
        </w:rPr>
        <w:t>240mg/L</w:t>
      </w:r>
      <w:r>
        <w:rPr>
          <w:rFonts w:ascii="Times New Roman" w:hAnsiTheme="minorEastAsia" w:cs="Times New Roman" w:hint="eastAsia"/>
        </w:rPr>
        <w:t>，</w:t>
      </w:r>
      <w:r>
        <w:rPr>
          <w:rFonts w:ascii="Times New Roman" w:hAnsiTheme="minorEastAsia" w:cs="Times New Roman" w:hint="eastAsia"/>
        </w:rPr>
        <w:t>pH7.2~7.3</w:t>
      </w:r>
      <w:r>
        <w:rPr>
          <w:rFonts w:ascii="Times New Roman" w:hAnsiTheme="minorEastAsia" w:cs="Times New Roman" w:hint="eastAsia"/>
        </w:rPr>
        <w:t>无量纲。</w:t>
      </w:r>
    </w:p>
    <w:p w14:paraId="0EF80F71"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w:t>
      </w:r>
      <w:r>
        <w:rPr>
          <w:rFonts w:ascii="Times New Roman" w:hAnsiTheme="minorEastAsia" w:cs="Times New Roman" w:hint="eastAsia"/>
        </w:rPr>
        <w:t>2</w:t>
      </w:r>
      <w:r>
        <w:rPr>
          <w:rFonts w:ascii="Times New Roman" w:hAnsiTheme="minorEastAsia" w:cs="Times New Roman" w:hint="eastAsia"/>
        </w:rPr>
        <w:t>）生活污水</w:t>
      </w:r>
    </w:p>
    <w:p w14:paraId="5D75184C"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rPr>
        <w:t>本项目生活污水</w:t>
      </w:r>
      <w:r>
        <w:rPr>
          <w:rFonts w:ascii="Times New Roman" w:hAnsiTheme="minorEastAsia" w:cs="Times New Roman" w:hint="eastAsia"/>
        </w:rPr>
        <w:t>水质类比</w:t>
      </w:r>
      <w:r>
        <w:rPr>
          <w:rFonts w:ascii="Times New Roman" w:hAnsiTheme="minorEastAsia" w:cs="Times New Roman"/>
        </w:rPr>
        <w:t>《</w:t>
      </w:r>
      <w:r>
        <w:rPr>
          <w:rFonts w:ascii="Times New Roman" w:hAnsiTheme="minorEastAsia" w:cs="Times New Roman" w:hint="eastAsia"/>
        </w:rPr>
        <w:t>绥化华粮粮食储备库有限公司建设项目竣工环境保护验收监测报告</w:t>
      </w:r>
      <w:r>
        <w:rPr>
          <w:rFonts w:ascii="Times New Roman" w:hAnsiTheme="minorEastAsia" w:cs="Times New Roman"/>
        </w:rPr>
        <w:t>》，</w:t>
      </w:r>
      <w:r>
        <w:rPr>
          <w:rFonts w:ascii="Times New Roman" w:hAnsiTheme="minorEastAsia" w:cs="Times New Roman" w:hint="eastAsia"/>
        </w:rPr>
        <w:t>类比</w:t>
      </w:r>
      <w:r>
        <w:rPr>
          <w:rFonts w:ascii="Times New Roman" w:hAnsiTheme="minorEastAsia" w:cs="Times New Roman"/>
        </w:rPr>
        <w:t>项目生活污水</w:t>
      </w:r>
      <w:r>
        <w:rPr>
          <w:rFonts w:ascii="Times New Roman" w:hAnsiTheme="minorEastAsia" w:cs="Times New Roman" w:hint="eastAsia"/>
        </w:rPr>
        <w:t>pH</w:t>
      </w:r>
      <w:r>
        <w:rPr>
          <w:rFonts w:ascii="Times New Roman" w:hAnsiTheme="minorEastAsia" w:cs="Times New Roman" w:hint="eastAsia"/>
        </w:rPr>
        <w:t>的范围为</w:t>
      </w:r>
      <w:r>
        <w:rPr>
          <w:rFonts w:ascii="Times New Roman" w:hAnsiTheme="minorEastAsia" w:cs="Times New Roman" w:hint="eastAsia"/>
        </w:rPr>
        <w:t>6.9~7.8</w:t>
      </w:r>
      <w:r>
        <w:rPr>
          <w:rFonts w:ascii="Times New Roman" w:hAnsiTheme="minorEastAsia" w:cs="Times New Roman" w:hint="eastAsia"/>
        </w:rPr>
        <w:t>（无量纲），化学需氧量最大排放浓度为</w:t>
      </w:r>
      <w:r>
        <w:rPr>
          <w:rFonts w:ascii="Times New Roman" w:hAnsiTheme="minorEastAsia" w:cs="Times New Roman" w:hint="eastAsia"/>
        </w:rPr>
        <w:t>226mg/L</w:t>
      </w:r>
      <w:r>
        <w:rPr>
          <w:rFonts w:ascii="Times New Roman" w:hAnsiTheme="minorEastAsia" w:cs="Times New Roman" w:hint="eastAsia"/>
        </w:rPr>
        <w:t>，五日生化需氧量最大排放浓度为</w:t>
      </w:r>
      <w:r>
        <w:rPr>
          <w:rFonts w:ascii="Times New Roman" w:hAnsiTheme="minorEastAsia" w:cs="Times New Roman" w:hint="eastAsia"/>
        </w:rPr>
        <w:t>78.6mg/L</w:t>
      </w:r>
      <w:r>
        <w:rPr>
          <w:rFonts w:ascii="Times New Roman" w:hAnsiTheme="minorEastAsia" w:cs="Times New Roman" w:hint="eastAsia"/>
        </w:rPr>
        <w:t>，氨氮最大排放浓度为</w:t>
      </w:r>
      <w:r>
        <w:rPr>
          <w:rFonts w:ascii="Times New Roman" w:hAnsiTheme="minorEastAsia" w:cs="Times New Roman" w:hint="eastAsia"/>
        </w:rPr>
        <w:t>2.25mg/L</w:t>
      </w:r>
      <w:r>
        <w:rPr>
          <w:rFonts w:ascii="Times New Roman" w:hAnsiTheme="minorEastAsia" w:cs="Times New Roman" w:hint="eastAsia"/>
        </w:rPr>
        <w:t>，动植物油最大排放浓度为</w:t>
      </w:r>
      <w:r>
        <w:rPr>
          <w:rFonts w:ascii="Times New Roman" w:hAnsiTheme="minorEastAsia" w:cs="Times New Roman" w:hint="eastAsia"/>
        </w:rPr>
        <w:t>0.8mg/L</w:t>
      </w:r>
      <w:r>
        <w:rPr>
          <w:rFonts w:ascii="Times New Roman" w:hAnsiTheme="minorEastAsia" w:cs="Times New Roman" w:hint="eastAsia"/>
        </w:rPr>
        <w:t>，悬浮物最大排放浓度为</w:t>
      </w:r>
      <w:r>
        <w:rPr>
          <w:rFonts w:ascii="Times New Roman" w:hAnsiTheme="minorEastAsia" w:cs="Times New Roman" w:hint="eastAsia"/>
        </w:rPr>
        <w:t>128mg/L</w:t>
      </w:r>
      <w:r>
        <w:rPr>
          <w:rFonts w:ascii="Times New Roman" w:hAnsiTheme="minorEastAsia" w:cs="Times New Roman" w:hint="eastAsia"/>
        </w:rPr>
        <w:t>。</w:t>
      </w:r>
    </w:p>
    <w:p w14:paraId="703208ED" w14:textId="77777777" w:rsidR="00B14D53" w:rsidRDefault="00000000">
      <w:pPr>
        <w:pStyle w:val="afff"/>
        <w:adjustRightInd/>
        <w:snapToGrid/>
        <w:contextualSpacing/>
        <w:rPr>
          <w:rFonts w:ascii="Times New Roman" w:hAnsiTheme="minorEastAsia" w:cs="Times New Roman" w:hint="eastAsia"/>
        </w:rPr>
      </w:pPr>
      <w:r>
        <w:rPr>
          <w:rFonts w:ascii="Times New Roman" w:hAnsiTheme="minorEastAsia" w:cs="Times New Roman" w:hint="eastAsia"/>
        </w:rPr>
        <w:t>本项目生活污水排放量为</w:t>
      </w:r>
      <w:r>
        <w:rPr>
          <w:rFonts w:ascii="Times New Roman" w:hAnsiTheme="minorEastAsia" w:cs="Times New Roman" w:hint="eastAsia"/>
        </w:rPr>
        <w:t>326.4t/a</w:t>
      </w:r>
      <w:r>
        <w:rPr>
          <w:rFonts w:ascii="Times New Roman" w:hAnsiTheme="minorEastAsia" w:cs="Times New Roman" w:hint="eastAsia"/>
        </w:rPr>
        <w:t>。经计算生活污水各污染物</w:t>
      </w:r>
      <w:r>
        <w:rPr>
          <w:rFonts w:ascii="Times New Roman" w:hAnsiTheme="minorEastAsia" w:cs="Times New Roman"/>
        </w:rPr>
        <w:t>排放</w:t>
      </w:r>
      <w:r>
        <w:rPr>
          <w:rFonts w:ascii="Times New Roman" w:hAnsiTheme="minorEastAsia" w:cs="Times New Roman" w:hint="eastAsia"/>
        </w:rPr>
        <w:t>情况为</w:t>
      </w:r>
      <w:r>
        <w:rPr>
          <w:rFonts w:ascii="Times New Roman" w:hAnsiTheme="minorEastAsia" w:cs="Times New Roman"/>
        </w:rPr>
        <w:t>COD</w:t>
      </w:r>
      <w:r>
        <w:rPr>
          <w:rFonts w:ascii="Times New Roman" w:hAnsiTheme="minorEastAsia" w:cs="Times New Roman" w:hint="eastAsia"/>
        </w:rPr>
        <w:t xml:space="preserve"> 226mg/L</w:t>
      </w:r>
      <w:r>
        <w:rPr>
          <w:rFonts w:ascii="Times New Roman" w:hAnsiTheme="minorEastAsia" w:cs="Times New Roman" w:hint="eastAsia"/>
        </w:rPr>
        <w:t>、</w:t>
      </w:r>
      <w:r>
        <w:rPr>
          <w:rFonts w:ascii="Times New Roman" w:hAnsiTheme="minorEastAsia" w:cs="Times New Roman" w:hint="eastAsia"/>
        </w:rPr>
        <w:t>0.07</w:t>
      </w:r>
      <w:r>
        <w:rPr>
          <w:rFonts w:ascii="Times New Roman" w:hAnsiTheme="minorEastAsia" w:cs="Times New Roman"/>
        </w:rPr>
        <w:t>t/a</w:t>
      </w:r>
      <w:r>
        <w:rPr>
          <w:rFonts w:ascii="Times New Roman" w:hAnsiTheme="minorEastAsia" w:cs="Times New Roman" w:hint="eastAsia"/>
        </w:rPr>
        <w:t>，</w:t>
      </w:r>
      <w:r>
        <w:rPr>
          <w:rFonts w:ascii="Times New Roman" w:hAnsiTheme="minorEastAsia" w:cs="Times New Roman" w:hint="eastAsia"/>
        </w:rPr>
        <w:t>BOD</w:t>
      </w:r>
      <w:r>
        <w:rPr>
          <w:rFonts w:ascii="Times New Roman" w:hAnsiTheme="minorEastAsia" w:cs="Times New Roman" w:hint="eastAsia"/>
          <w:vertAlign w:val="subscript"/>
        </w:rPr>
        <w:t xml:space="preserve">5 </w:t>
      </w:r>
      <w:r>
        <w:rPr>
          <w:rFonts w:ascii="Times New Roman" w:hAnsiTheme="minorEastAsia" w:cs="Times New Roman" w:hint="eastAsia"/>
        </w:rPr>
        <w:t>78.6mg/L</w:t>
      </w:r>
      <w:r>
        <w:rPr>
          <w:rFonts w:ascii="Times New Roman" w:hAnsiTheme="minorEastAsia" w:cs="Times New Roman" w:hint="eastAsia"/>
        </w:rPr>
        <w:t>、</w:t>
      </w:r>
      <w:r>
        <w:rPr>
          <w:rFonts w:ascii="Times New Roman" w:hAnsiTheme="minorEastAsia" w:cs="Times New Roman" w:hint="eastAsia"/>
        </w:rPr>
        <w:t>0.03</w:t>
      </w:r>
      <w:r>
        <w:rPr>
          <w:rFonts w:ascii="Times New Roman" w:hAnsiTheme="minorEastAsia" w:cs="Times New Roman"/>
        </w:rPr>
        <w:t>t/a</w:t>
      </w:r>
      <w:r>
        <w:rPr>
          <w:rFonts w:ascii="Times New Roman" w:hAnsiTheme="minorEastAsia" w:cs="Times New Roman" w:hint="eastAsia"/>
        </w:rPr>
        <w:t>，</w:t>
      </w:r>
      <w:r>
        <w:rPr>
          <w:rFonts w:ascii="Times New Roman" w:hAnsiTheme="minorEastAsia" w:cs="Times New Roman"/>
        </w:rPr>
        <w:t>氨氮</w:t>
      </w:r>
      <w:r>
        <w:rPr>
          <w:rFonts w:ascii="Times New Roman" w:hAnsiTheme="minorEastAsia" w:cs="Times New Roman" w:hint="eastAsia"/>
        </w:rPr>
        <w:t>2.25mg/L</w:t>
      </w:r>
      <w:r>
        <w:rPr>
          <w:rFonts w:ascii="Times New Roman" w:hAnsiTheme="minorEastAsia" w:cs="Times New Roman" w:hint="eastAsia"/>
        </w:rPr>
        <w:t>、</w:t>
      </w:r>
      <w:r>
        <w:rPr>
          <w:rFonts w:ascii="Times New Roman" w:hAnsiTheme="minorEastAsia" w:cs="Times New Roman" w:hint="eastAsia"/>
        </w:rPr>
        <w:t>0.0007</w:t>
      </w:r>
      <w:r>
        <w:rPr>
          <w:rFonts w:ascii="Times New Roman" w:hAnsiTheme="minorEastAsia" w:cs="Times New Roman"/>
        </w:rPr>
        <w:t>t/a</w:t>
      </w:r>
      <w:r>
        <w:rPr>
          <w:rFonts w:ascii="Times New Roman" w:hAnsiTheme="minorEastAsia" w:cs="Times New Roman" w:hint="eastAsia"/>
        </w:rPr>
        <w:t>，动植物油</w:t>
      </w:r>
      <w:r>
        <w:rPr>
          <w:rFonts w:ascii="Times New Roman" w:hAnsiTheme="minorEastAsia" w:cs="Times New Roman" w:hint="eastAsia"/>
        </w:rPr>
        <w:t>0.8mg/L</w:t>
      </w:r>
      <w:r>
        <w:rPr>
          <w:rFonts w:ascii="Times New Roman" w:hAnsiTheme="minorEastAsia" w:cs="Times New Roman" w:hint="eastAsia"/>
        </w:rPr>
        <w:t>、</w:t>
      </w:r>
      <w:r>
        <w:rPr>
          <w:rFonts w:ascii="Times New Roman" w:hAnsiTheme="minorEastAsia" w:cs="Times New Roman" w:hint="eastAsia"/>
        </w:rPr>
        <w:t>0.0003</w:t>
      </w:r>
      <w:r>
        <w:rPr>
          <w:rFonts w:ascii="Times New Roman" w:hAnsiTheme="minorEastAsia" w:cs="Times New Roman"/>
        </w:rPr>
        <w:t>t/a</w:t>
      </w:r>
      <w:r>
        <w:rPr>
          <w:rFonts w:ascii="Times New Roman" w:hAnsiTheme="minorEastAsia" w:cs="Times New Roman" w:hint="eastAsia"/>
        </w:rPr>
        <w:t>，</w:t>
      </w:r>
      <w:r>
        <w:rPr>
          <w:rFonts w:ascii="Times New Roman" w:hAnsiTheme="minorEastAsia" w:cs="Times New Roman" w:hint="eastAsia"/>
        </w:rPr>
        <w:t>SS 128mg/L</w:t>
      </w:r>
      <w:r>
        <w:rPr>
          <w:rFonts w:ascii="Times New Roman" w:hAnsiTheme="minorEastAsia" w:cs="Times New Roman" w:hint="eastAsia"/>
        </w:rPr>
        <w:t>、</w:t>
      </w:r>
      <w:r>
        <w:rPr>
          <w:rFonts w:ascii="Times New Roman" w:hAnsiTheme="minorEastAsia" w:cs="Times New Roman" w:hint="eastAsia"/>
        </w:rPr>
        <w:t>0.04</w:t>
      </w:r>
      <w:r>
        <w:rPr>
          <w:rFonts w:ascii="Times New Roman" w:hAnsiTheme="minorEastAsia" w:cs="Times New Roman"/>
        </w:rPr>
        <w:t>t/a</w:t>
      </w:r>
      <w:r>
        <w:rPr>
          <w:rFonts w:ascii="Times New Roman" w:hAnsiTheme="minorEastAsia" w:cs="Times New Roman" w:hint="eastAsia"/>
        </w:rPr>
        <w:t>。</w:t>
      </w:r>
    </w:p>
    <w:p w14:paraId="4A8D6CD3" w14:textId="77777777" w:rsidR="00B14D53" w:rsidRDefault="00B14D53">
      <w:pPr>
        <w:spacing w:line="360" w:lineRule="auto"/>
        <w:ind w:leftChars="203" w:left="1134" w:hangingChars="295" w:hanging="708"/>
        <w:jc w:val="left"/>
        <w:textAlignment w:val="baseline"/>
        <w:rPr>
          <w:rFonts w:eastAsiaTheme="minorEastAsia"/>
          <w:sz w:val="24"/>
        </w:rPr>
        <w:sectPr w:rsidR="00B14D53">
          <w:pgSz w:w="11906" w:h="16838"/>
          <w:pgMar w:top="1440" w:right="1800" w:bottom="1440" w:left="1800" w:header="851" w:footer="992" w:gutter="0"/>
          <w:cols w:space="425"/>
          <w:docGrid w:type="lines" w:linePitch="312"/>
        </w:sectPr>
      </w:pPr>
    </w:p>
    <w:p w14:paraId="2E94B6E4" w14:textId="77777777" w:rsidR="00B14D53" w:rsidRDefault="00000000">
      <w:pPr>
        <w:jc w:val="center"/>
        <w:rPr>
          <w:b/>
          <w:bCs/>
        </w:rPr>
      </w:pPr>
      <w:r>
        <w:rPr>
          <w:rFonts w:hint="eastAsia"/>
          <w:b/>
          <w:bCs/>
        </w:rPr>
        <w:t>表</w:t>
      </w:r>
      <w:r>
        <w:rPr>
          <w:rFonts w:hint="eastAsia"/>
          <w:b/>
          <w:bCs/>
        </w:rPr>
        <w:t xml:space="preserve">3-3-6 </w:t>
      </w:r>
      <w:r>
        <w:rPr>
          <w:rFonts w:hint="eastAsia"/>
          <w:b/>
          <w:bCs/>
        </w:rPr>
        <w:t>废水污染源源强核算结果及相关参数一览表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32"/>
        <w:gridCol w:w="663"/>
        <w:gridCol w:w="1160"/>
        <w:gridCol w:w="1218"/>
        <w:gridCol w:w="702"/>
        <w:gridCol w:w="1087"/>
        <w:gridCol w:w="1306"/>
        <w:gridCol w:w="1069"/>
        <w:gridCol w:w="1770"/>
        <w:gridCol w:w="826"/>
        <w:gridCol w:w="664"/>
        <w:gridCol w:w="1058"/>
        <w:gridCol w:w="971"/>
        <w:gridCol w:w="832"/>
      </w:tblGrid>
      <w:tr w:rsidR="00B14D53" w14:paraId="15A1045D" w14:textId="77777777">
        <w:trPr>
          <w:jc w:val="center"/>
        </w:trPr>
        <w:tc>
          <w:tcPr>
            <w:tcW w:w="226" w:type="pct"/>
            <w:vMerge w:val="restart"/>
            <w:vAlign w:val="center"/>
          </w:tcPr>
          <w:p w14:paraId="1A39134F"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工序</w:t>
            </w:r>
          </w:p>
        </w:tc>
        <w:tc>
          <w:tcPr>
            <w:tcW w:w="237" w:type="pct"/>
            <w:vMerge w:val="restart"/>
            <w:vAlign w:val="center"/>
          </w:tcPr>
          <w:p w14:paraId="1AA6864F"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装置</w:t>
            </w:r>
          </w:p>
        </w:tc>
        <w:tc>
          <w:tcPr>
            <w:tcW w:w="415" w:type="pct"/>
            <w:vMerge w:val="restart"/>
            <w:vAlign w:val="center"/>
          </w:tcPr>
          <w:p w14:paraId="017B388E"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污染源</w:t>
            </w:r>
          </w:p>
        </w:tc>
        <w:tc>
          <w:tcPr>
            <w:tcW w:w="436" w:type="pct"/>
            <w:vMerge w:val="restart"/>
            <w:vAlign w:val="center"/>
          </w:tcPr>
          <w:p w14:paraId="6F35475F"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污染物</w:t>
            </w:r>
          </w:p>
        </w:tc>
        <w:tc>
          <w:tcPr>
            <w:tcW w:w="1491" w:type="pct"/>
            <w:gridSpan w:val="4"/>
            <w:vAlign w:val="center"/>
          </w:tcPr>
          <w:p w14:paraId="69FFF2A8"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污染物产生</w:t>
            </w:r>
          </w:p>
        </w:tc>
        <w:tc>
          <w:tcPr>
            <w:tcW w:w="930" w:type="pct"/>
            <w:gridSpan w:val="2"/>
            <w:vAlign w:val="center"/>
          </w:tcPr>
          <w:p w14:paraId="1B0D1909"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治理措施</w:t>
            </w:r>
          </w:p>
        </w:tc>
        <w:tc>
          <w:tcPr>
            <w:tcW w:w="1263" w:type="pct"/>
            <w:gridSpan w:val="4"/>
            <w:vAlign w:val="center"/>
          </w:tcPr>
          <w:p w14:paraId="6086275D"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污染物排放</w:t>
            </w:r>
          </w:p>
        </w:tc>
      </w:tr>
      <w:tr w:rsidR="00B14D53" w14:paraId="31F11FAC" w14:textId="77777777">
        <w:trPr>
          <w:jc w:val="center"/>
        </w:trPr>
        <w:tc>
          <w:tcPr>
            <w:tcW w:w="0" w:type="auto"/>
            <w:vMerge/>
            <w:vAlign w:val="center"/>
          </w:tcPr>
          <w:p w14:paraId="5D3114A3" w14:textId="77777777" w:rsidR="00B14D53" w:rsidRDefault="00B14D53">
            <w:pPr>
              <w:widowControl/>
              <w:contextualSpacing/>
              <w:jc w:val="center"/>
              <w:rPr>
                <w:rFonts w:eastAsiaTheme="minorEastAsia"/>
                <w:b/>
                <w:bCs/>
                <w:snapToGrid w:val="0"/>
                <w:szCs w:val="21"/>
              </w:rPr>
            </w:pPr>
          </w:p>
        </w:tc>
        <w:tc>
          <w:tcPr>
            <w:tcW w:w="0" w:type="auto"/>
            <w:vMerge/>
            <w:vAlign w:val="center"/>
          </w:tcPr>
          <w:p w14:paraId="3EF19B8A" w14:textId="77777777" w:rsidR="00B14D53" w:rsidRDefault="00B14D53">
            <w:pPr>
              <w:widowControl/>
              <w:contextualSpacing/>
              <w:jc w:val="center"/>
              <w:rPr>
                <w:rFonts w:eastAsiaTheme="minorEastAsia"/>
                <w:b/>
                <w:bCs/>
                <w:snapToGrid w:val="0"/>
                <w:szCs w:val="21"/>
              </w:rPr>
            </w:pPr>
          </w:p>
        </w:tc>
        <w:tc>
          <w:tcPr>
            <w:tcW w:w="415" w:type="pct"/>
            <w:vMerge/>
            <w:vAlign w:val="center"/>
          </w:tcPr>
          <w:p w14:paraId="55E8CD4E" w14:textId="77777777" w:rsidR="00B14D53" w:rsidRDefault="00B14D53">
            <w:pPr>
              <w:widowControl/>
              <w:contextualSpacing/>
              <w:jc w:val="center"/>
              <w:rPr>
                <w:rFonts w:eastAsiaTheme="minorEastAsia"/>
                <w:b/>
                <w:bCs/>
                <w:snapToGrid w:val="0"/>
                <w:szCs w:val="21"/>
              </w:rPr>
            </w:pPr>
          </w:p>
        </w:tc>
        <w:tc>
          <w:tcPr>
            <w:tcW w:w="436" w:type="pct"/>
            <w:vMerge/>
            <w:vAlign w:val="center"/>
          </w:tcPr>
          <w:p w14:paraId="5F1910CF" w14:textId="77777777" w:rsidR="00B14D53" w:rsidRDefault="00B14D53">
            <w:pPr>
              <w:widowControl/>
              <w:contextualSpacing/>
              <w:jc w:val="center"/>
              <w:rPr>
                <w:rFonts w:eastAsiaTheme="minorEastAsia"/>
                <w:b/>
                <w:bCs/>
                <w:snapToGrid w:val="0"/>
                <w:szCs w:val="21"/>
              </w:rPr>
            </w:pPr>
          </w:p>
        </w:tc>
        <w:tc>
          <w:tcPr>
            <w:tcW w:w="251" w:type="pct"/>
            <w:vAlign w:val="center"/>
          </w:tcPr>
          <w:p w14:paraId="5FA6CF7B"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核算方法</w:t>
            </w:r>
          </w:p>
        </w:tc>
        <w:tc>
          <w:tcPr>
            <w:tcW w:w="389" w:type="pct"/>
            <w:vAlign w:val="center"/>
          </w:tcPr>
          <w:p w14:paraId="1D728C4F"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产生废水量（</w:t>
            </w:r>
            <w:r>
              <w:rPr>
                <w:rFonts w:eastAsiaTheme="minorEastAsia" w:hAnsi="Times New Roman"/>
                <w:b/>
                <w:bCs/>
                <w:snapToGrid w:val="0"/>
              </w:rPr>
              <w:t>t/a</w:t>
            </w:r>
            <w:r>
              <w:rPr>
                <w:rFonts w:eastAsiaTheme="minorEastAsia" w:hAnsi="Times New Roman"/>
                <w:b/>
                <w:bCs/>
                <w:snapToGrid w:val="0"/>
              </w:rPr>
              <w:t>）</w:t>
            </w:r>
          </w:p>
        </w:tc>
        <w:tc>
          <w:tcPr>
            <w:tcW w:w="468" w:type="pct"/>
            <w:vAlign w:val="center"/>
          </w:tcPr>
          <w:p w14:paraId="4E7D7862"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产生浓度</w:t>
            </w:r>
            <w:r>
              <w:rPr>
                <w:rFonts w:eastAsiaTheme="minorEastAsia" w:hAnsi="Times New Roman"/>
                <w:b/>
                <w:bCs/>
                <w:snapToGrid w:val="0"/>
              </w:rPr>
              <w:t>mg/L</w:t>
            </w:r>
          </w:p>
        </w:tc>
        <w:tc>
          <w:tcPr>
            <w:tcW w:w="382" w:type="pct"/>
            <w:vAlign w:val="center"/>
          </w:tcPr>
          <w:p w14:paraId="3E801E98"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产生量</w:t>
            </w:r>
            <w:r>
              <w:rPr>
                <w:rFonts w:eastAsiaTheme="minorEastAsia" w:hAnsi="Times New Roman"/>
                <w:b/>
                <w:bCs/>
                <w:snapToGrid w:val="0"/>
              </w:rPr>
              <w:t>t/a</w:t>
            </w:r>
          </w:p>
        </w:tc>
        <w:tc>
          <w:tcPr>
            <w:tcW w:w="634" w:type="pct"/>
            <w:vAlign w:val="center"/>
          </w:tcPr>
          <w:p w14:paraId="542282A3"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工艺</w:t>
            </w:r>
          </w:p>
        </w:tc>
        <w:tc>
          <w:tcPr>
            <w:tcW w:w="295" w:type="pct"/>
            <w:vAlign w:val="center"/>
          </w:tcPr>
          <w:p w14:paraId="4AFA83C0"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效率</w:t>
            </w:r>
            <w:r>
              <w:rPr>
                <w:rFonts w:eastAsiaTheme="minorEastAsia" w:hAnsi="Times New Roman"/>
                <w:b/>
                <w:bCs/>
                <w:snapToGrid w:val="0"/>
              </w:rPr>
              <w:t>%</w:t>
            </w:r>
          </w:p>
        </w:tc>
        <w:tc>
          <w:tcPr>
            <w:tcW w:w="238" w:type="pct"/>
            <w:vAlign w:val="center"/>
          </w:tcPr>
          <w:p w14:paraId="079D431B"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核算方法</w:t>
            </w:r>
          </w:p>
        </w:tc>
        <w:tc>
          <w:tcPr>
            <w:tcW w:w="379" w:type="pct"/>
            <w:vAlign w:val="center"/>
          </w:tcPr>
          <w:p w14:paraId="37241AEE"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排放废水量（</w:t>
            </w:r>
            <w:r>
              <w:rPr>
                <w:rFonts w:eastAsiaTheme="minorEastAsia" w:hAnsi="Times New Roman"/>
                <w:b/>
                <w:bCs/>
                <w:snapToGrid w:val="0"/>
              </w:rPr>
              <w:t>t/a</w:t>
            </w:r>
            <w:r>
              <w:rPr>
                <w:rFonts w:eastAsiaTheme="minorEastAsia" w:hAnsi="Times New Roman"/>
                <w:b/>
                <w:bCs/>
                <w:snapToGrid w:val="0"/>
              </w:rPr>
              <w:t>）</w:t>
            </w:r>
          </w:p>
        </w:tc>
        <w:tc>
          <w:tcPr>
            <w:tcW w:w="348" w:type="pct"/>
            <w:vAlign w:val="center"/>
          </w:tcPr>
          <w:p w14:paraId="7F29F82B"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排放浓度</w:t>
            </w:r>
            <w:r>
              <w:rPr>
                <w:rFonts w:eastAsiaTheme="minorEastAsia" w:hAnsi="Times New Roman"/>
                <w:b/>
                <w:bCs/>
                <w:snapToGrid w:val="0"/>
              </w:rPr>
              <w:t>mg/L</w:t>
            </w:r>
          </w:p>
        </w:tc>
        <w:tc>
          <w:tcPr>
            <w:tcW w:w="298" w:type="pct"/>
            <w:vAlign w:val="center"/>
          </w:tcPr>
          <w:p w14:paraId="0822966A" w14:textId="77777777" w:rsidR="00B14D53" w:rsidRDefault="00000000">
            <w:pPr>
              <w:pStyle w:val="afff2"/>
              <w:spacing w:line="240" w:lineRule="auto"/>
              <w:contextualSpacing/>
              <w:rPr>
                <w:rFonts w:eastAsiaTheme="minorEastAsia" w:hAnsi="Times New Roman"/>
                <w:b/>
                <w:bCs/>
                <w:snapToGrid w:val="0"/>
              </w:rPr>
            </w:pPr>
            <w:r>
              <w:rPr>
                <w:rFonts w:eastAsiaTheme="minorEastAsia" w:hAnsi="Times New Roman"/>
                <w:b/>
                <w:bCs/>
                <w:snapToGrid w:val="0"/>
              </w:rPr>
              <w:t>排放量</w:t>
            </w:r>
            <w:r>
              <w:rPr>
                <w:rFonts w:eastAsiaTheme="minorEastAsia" w:hAnsi="Times New Roman"/>
                <w:b/>
                <w:bCs/>
                <w:snapToGrid w:val="0"/>
              </w:rPr>
              <w:t>t/a</w:t>
            </w:r>
          </w:p>
        </w:tc>
      </w:tr>
      <w:tr w:rsidR="00B14D53" w14:paraId="4812AE69" w14:textId="77777777">
        <w:trPr>
          <w:trHeight w:val="236"/>
          <w:jc w:val="center"/>
        </w:trPr>
        <w:tc>
          <w:tcPr>
            <w:tcW w:w="226" w:type="pct"/>
            <w:vMerge w:val="restart"/>
            <w:vAlign w:val="center"/>
          </w:tcPr>
          <w:p w14:paraId="0A58E80C"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屠宰生产废水</w:t>
            </w:r>
          </w:p>
        </w:tc>
        <w:tc>
          <w:tcPr>
            <w:tcW w:w="237" w:type="pct"/>
            <w:vMerge w:val="restart"/>
            <w:vAlign w:val="center"/>
          </w:tcPr>
          <w:p w14:paraId="0FCAD0AE"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冲洗设施、电蒸汽发生器及软化水装置</w:t>
            </w:r>
          </w:p>
        </w:tc>
        <w:tc>
          <w:tcPr>
            <w:tcW w:w="415" w:type="pct"/>
            <w:vMerge w:val="restart"/>
            <w:vAlign w:val="center"/>
          </w:tcPr>
          <w:p w14:paraId="72B45F27" w14:textId="77777777" w:rsidR="00B14D53" w:rsidRDefault="00000000">
            <w:pPr>
              <w:pStyle w:val="afff2"/>
              <w:spacing w:line="240" w:lineRule="auto"/>
              <w:contextualSpacing/>
              <w:rPr>
                <w:rFonts w:eastAsiaTheme="minorEastAsia" w:hAnsi="Times New Roman"/>
                <w:snapToGrid w:val="0"/>
              </w:rPr>
            </w:pPr>
            <w:r>
              <w:rPr>
                <w:rFonts w:hAnsi="Times New Roman"/>
              </w:rPr>
              <w:t>待宰圈冲洗排水、屠宰车间排水、电蒸汽发生器排污水</w:t>
            </w:r>
            <w:r>
              <w:rPr>
                <w:rFonts w:hAnsi="Times New Roman"/>
              </w:rPr>
              <w:t>+</w:t>
            </w:r>
            <w:r>
              <w:rPr>
                <w:rFonts w:hAnsi="Times New Roman"/>
              </w:rPr>
              <w:t>软化处理废水、车辆冲洗排水</w:t>
            </w:r>
          </w:p>
        </w:tc>
        <w:tc>
          <w:tcPr>
            <w:tcW w:w="436" w:type="pct"/>
            <w:vAlign w:val="center"/>
          </w:tcPr>
          <w:p w14:paraId="0CB34100"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COD</w:t>
            </w:r>
          </w:p>
        </w:tc>
        <w:tc>
          <w:tcPr>
            <w:tcW w:w="251" w:type="pct"/>
            <w:vMerge w:val="restart"/>
            <w:vAlign w:val="center"/>
          </w:tcPr>
          <w:p w14:paraId="53D14AC8"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类比法</w:t>
            </w:r>
          </w:p>
        </w:tc>
        <w:tc>
          <w:tcPr>
            <w:tcW w:w="389" w:type="pct"/>
            <w:vMerge w:val="restart"/>
            <w:vAlign w:val="center"/>
          </w:tcPr>
          <w:p w14:paraId="1F2EB3D3" w14:textId="77777777" w:rsidR="00B14D53" w:rsidRDefault="00000000">
            <w:pPr>
              <w:pStyle w:val="afff2"/>
              <w:spacing w:line="240" w:lineRule="auto"/>
              <w:contextualSpacing/>
              <w:rPr>
                <w:rFonts w:eastAsiaTheme="minorEastAsia" w:hAnsi="Times New Roman"/>
                <w:snapToGrid w:val="0"/>
              </w:rPr>
            </w:pPr>
            <w:r>
              <w:rPr>
                <w:rFonts w:hAnsi="Times New Roman"/>
              </w:rPr>
              <w:t>78975.24</w:t>
            </w:r>
          </w:p>
        </w:tc>
        <w:tc>
          <w:tcPr>
            <w:tcW w:w="468" w:type="pct"/>
            <w:vAlign w:val="center"/>
          </w:tcPr>
          <w:p w14:paraId="5DB55EF9"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2520</w:t>
            </w:r>
          </w:p>
        </w:tc>
        <w:tc>
          <w:tcPr>
            <w:tcW w:w="382" w:type="pct"/>
            <w:vAlign w:val="center"/>
          </w:tcPr>
          <w:p w14:paraId="12094E93" w14:textId="77777777" w:rsidR="00B14D53" w:rsidRDefault="00000000">
            <w:pPr>
              <w:widowControl/>
              <w:jc w:val="center"/>
              <w:textAlignment w:val="center"/>
              <w:rPr>
                <w:szCs w:val="21"/>
              </w:rPr>
            </w:pPr>
            <w:r>
              <w:rPr>
                <w:kern w:val="0"/>
                <w:szCs w:val="21"/>
                <w:lang w:bidi="ar"/>
              </w:rPr>
              <w:t>199.02</w:t>
            </w:r>
          </w:p>
        </w:tc>
        <w:tc>
          <w:tcPr>
            <w:tcW w:w="634" w:type="pct"/>
            <w:vMerge w:val="restart"/>
            <w:vAlign w:val="center"/>
          </w:tcPr>
          <w:p w14:paraId="0A182842"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hint="eastAsia"/>
                <w:snapToGrid w:val="0"/>
              </w:rPr>
              <w:t>格栅</w:t>
            </w:r>
            <w:r>
              <w:rPr>
                <w:rFonts w:eastAsiaTheme="minorEastAsia" w:hAnsi="Times New Roman" w:hint="eastAsia"/>
                <w:snapToGrid w:val="0"/>
              </w:rPr>
              <w:t>+</w:t>
            </w:r>
            <w:r>
              <w:rPr>
                <w:rFonts w:eastAsiaTheme="minorEastAsia" w:hAnsi="Times New Roman" w:hint="eastAsia"/>
                <w:snapToGrid w:val="0"/>
              </w:rPr>
              <w:t>调节沉淀池</w:t>
            </w:r>
            <w:r>
              <w:rPr>
                <w:rFonts w:eastAsiaTheme="minorEastAsia" w:hAnsi="Times New Roman" w:hint="eastAsia"/>
                <w:snapToGrid w:val="0"/>
              </w:rPr>
              <w:t>+</w:t>
            </w:r>
            <w:r>
              <w:rPr>
                <w:rFonts w:eastAsiaTheme="minorEastAsia" w:hAnsi="Times New Roman" w:hint="eastAsia"/>
                <w:snapToGrid w:val="0"/>
              </w:rPr>
              <w:t>气浮机</w:t>
            </w:r>
            <w:r>
              <w:rPr>
                <w:rFonts w:eastAsiaTheme="minorEastAsia" w:hAnsi="Times New Roman" w:hint="eastAsia"/>
                <w:snapToGrid w:val="0"/>
              </w:rPr>
              <w:t>+</w:t>
            </w:r>
            <w:r>
              <w:rPr>
                <w:rFonts w:eastAsiaTheme="minorEastAsia" w:hAnsi="Times New Roman" w:hint="eastAsia"/>
                <w:snapToGrid w:val="0"/>
              </w:rPr>
              <w:t>水解酸化池</w:t>
            </w:r>
            <w:r>
              <w:rPr>
                <w:rFonts w:eastAsiaTheme="minorEastAsia" w:hAnsi="Times New Roman" w:hint="eastAsia"/>
                <w:snapToGrid w:val="0"/>
              </w:rPr>
              <w:t>+</w:t>
            </w:r>
            <w:r>
              <w:rPr>
                <w:rFonts w:eastAsiaTheme="minorEastAsia" w:hAnsi="Times New Roman" w:hint="eastAsia"/>
                <w:snapToGrid w:val="0"/>
              </w:rPr>
              <w:t>接触氧化池</w:t>
            </w:r>
            <w:r>
              <w:rPr>
                <w:rFonts w:eastAsiaTheme="minorEastAsia" w:hAnsi="Times New Roman" w:hint="eastAsia"/>
                <w:snapToGrid w:val="0"/>
              </w:rPr>
              <w:t>+</w:t>
            </w:r>
            <w:r>
              <w:rPr>
                <w:rFonts w:eastAsiaTheme="minorEastAsia" w:hAnsi="Times New Roman" w:hint="eastAsia"/>
                <w:snapToGrid w:val="0"/>
              </w:rPr>
              <w:t>二沉池</w:t>
            </w:r>
            <w:r>
              <w:rPr>
                <w:rFonts w:eastAsiaTheme="minorEastAsia" w:hAnsi="Times New Roman" w:hint="eastAsia"/>
                <w:snapToGrid w:val="0"/>
              </w:rPr>
              <w:t>+</w:t>
            </w:r>
            <w:r>
              <w:rPr>
                <w:rFonts w:eastAsiaTheme="minorEastAsia" w:hAnsi="Times New Roman" w:hint="eastAsia"/>
                <w:snapToGrid w:val="0"/>
              </w:rPr>
              <w:t>污泥浓缩池</w:t>
            </w:r>
            <w:r>
              <w:rPr>
                <w:rFonts w:eastAsiaTheme="minorEastAsia" w:hAnsi="Times New Roman" w:hint="eastAsia"/>
                <w:snapToGrid w:val="0"/>
              </w:rPr>
              <w:t>+</w:t>
            </w:r>
            <w:r>
              <w:rPr>
                <w:rFonts w:eastAsiaTheme="minorEastAsia" w:hAnsi="Times New Roman" w:hint="eastAsia"/>
                <w:snapToGrid w:val="0"/>
              </w:rPr>
              <w:t>次氯酸钠消毒工艺</w:t>
            </w:r>
          </w:p>
        </w:tc>
        <w:tc>
          <w:tcPr>
            <w:tcW w:w="295" w:type="pct"/>
            <w:tcBorders>
              <w:bottom w:val="single" w:sz="4" w:space="0" w:color="auto"/>
            </w:tcBorders>
            <w:vAlign w:val="center"/>
          </w:tcPr>
          <w:p w14:paraId="5BCD310F"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87</w:t>
            </w:r>
          </w:p>
        </w:tc>
        <w:tc>
          <w:tcPr>
            <w:tcW w:w="238" w:type="pct"/>
            <w:vMerge w:val="restart"/>
            <w:vAlign w:val="center"/>
          </w:tcPr>
          <w:p w14:paraId="69DFF86B"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物料衡算法</w:t>
            </w:r>
          </w:p>
        </w:tc>
        <w:tc>
          <w:tcPr>
            <w:tcW w:w="379" w:type="pct"/>
            <w:vMerge w:val="restart"/>
            <w:vAlign w:val="center"/>
          </w:tcPr>
          <w:p w14:paraId="504A1742" w14:textId="77777777" w:rsidR="00B14D53" w:rsidRDefault="00000000">
            <w:pPr>
              <w:pStyle w:val="afff2"/>
              <w:spacing w:line="240" w:lineRule="auto"/>
              <w:contextualSpacing/>
              <w:rPr>
                <w:rFonts w:eastAsiaTheme="minorEastAsia" w:hAnsi="Times New Roman"/>
                <w:snapToGrid w:val="0"/>
              </w:rPr>
            </w:pPr>
            <w:r>
              <w:rPr>
                <w:rFonts w:hAnsi="Times New Roman"/>
              </w:rPr>
              <w:t>78975.24</w:t>
            </w:r>
          </w:p>
        </w:tc>
        <w:tc>
          <w:tcPr>
            <w:tcW w:w="348" w:type="pct"/>
            <w:tcBorders>
              <w:bottom w:val="single" w:sz="4" w:space="0" w:color="auto"/>
            </w:tcBorders>
            <w:vAlign w:val="center"/>
          </w:tcPr>
          <w:p w14:paraId="456B1884" w14:textId="77777777" w:rsidR="00B14D53" w:rsidRDefault="00000000">
            <w:pPr>
              <w:widowControl/>
              <w:jc w:val="center"/>
              <w:textAlignment w:val="center"/>
              <w:rPr>
                <w:rFonts w:eastAsiaTheme="minorEastAsia"/>
                <w:snapToGrid w:val="0"/>
                <w:szCs w:val="21"/>
              </w:rPr>
            </w:pPr>
            <w:r>
              <w:rPr>
                <w:kern w:val="0"/>
                <w:szCs w:val="21"/>
                <w:lang w:bidi="ar"/>
              </w:rPr>
              <w:t>327.6</w:t>
            </w:r>
          </w:p>
        </w:tc>
        <w:tc>
          <w:tcPr>
            <w:tcW w:w="298" w:type="pct"/>
            <w:tcBorders>
              <w:bottom w:val="single" w:sz="4" w:space="0" w:color="auto"/>
            </w:tcBorders>
            <w:vAlign w:val="center"/>
          </w:tcPr>
          <w:p w14:paraId="38985C1E" w14:textId="77777777" w:rsidR="00B14D53" w:rsidRDefault="00000000">
            <w:pPr>
              <w:widowControl/>
              <w:jc w:val="center"/>
              <w:textAlignment w:val="center"/>
              <w:rPr>
                <w:rFonts w:eastAsiaTheme="minorEastAsia"/>
                <w:snapToGrid w:val="0"/>
                <w:szCs w:val="21"/>
              </w:rPr>
            </w:pPr>
            <w:r>
              <w:rPr>
                <w:kern w:val="0"/>
                <w:szCs w:val="21"/>
                <w:lang w:bidi="ar"/>
              </w:rPr>
              <w:t>25.87</w:t>
            </w:r>
          </w:p>
        </w:tc>
      </w:tr>
      <w:tr w:rsidR="00B14D53" w14:paraId="4C75A025" w14:textId="77777777">
        <w:trPr>
          <w:trHeight w:val="198"/>
          <w:jc w:val="center"/>
        </w:trPr>
        <w:tc>
          <w:tcPr>
            <w:tcW w:w="226" w:type="pct"/>
            <w:vMerge/>
            <w:vAlign w:val="center"/>
          </w:tcPr>
          <w:p w14:paraId="0FB9BEE0" w14:textId="77777777" w:rsidR="00B14D53" w:rsidRDefault="00B14D53">
            <w:pPr>
              <w:pStyle w:val="afff2"/>
              <w:spacing w:line="240" w:lineRule="auto"/>
              <w:contextualSpacing/>
              <w:rPr>
                <w:rFonts w:eastAsiaTheme="minorEastAsia" w:hAnsi="Times New Roman"/>
                <w:snapToGrid w:val="0"/>
              </w:rPr>
            </w:pPr>
          </w:p>
        </w:tc>
        <w:tc>
          <w:tcPr>
            <w:tcW w:w="237" w:type="pct"/>
            <w:vMerge/>
            <w:vAlign w:val="center"/>
          </w:tcPr>
          <w:p w14:paraId="63DC4AD9" w14:textId="77777777" w:rsidR="00B14D53" w:rsidRDefault="00B14D53">
            <w:pPr>
              <w:pStyle w:val="afff2"/>
              <w:spacing w:line="240" w:lineRule="auto"/>
              <w:contextualSpacing/>
              <w:rPr>
                <w:rFonts w:eastAsiaTheme="minorEastAsia" w:hAnsi="Times New Roman"/>
                <w:snapToGrid w:val="0"/>
              </w:rPr>
            </w:pPr>
          </w:p>
        </w:tc>
        <w:tc>
          <w:tcPr>
            <w:tcW w:w="415" w:type="pct"/>
            <w:vMerge/>
            <w:vAlign w:val="center"/>
          </w:tcPr>
          <w:p w14:paraId="15305EDF"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7BB44409"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氨氮</w:t>
            </w:r>
          </w:p>
        </w:tc>
        <w:tc>
          <w:tcPr>
            <w:tcW w:w="251" w:type="pct"/>
            <w:vMerge/>
            <w:vAlign w:val="center"/>
          </w:tcPr>
          <w:p w14:paraId="4DA301DC" w14:textId="77777777" w:rsidR="00B14D53" w:rsidRDefault="00B14D53">
            <w:pPr>
              <w:pStyle w:val="afff2"/>
              <w:spacing w:line="240" w:lineRule="auto"/>
              <w:contextualSpacing/>
              <w:rPr>
                <w:rFonts w:eastAsiaTheme="minorEastAsia" w:hAnsi="Times New Roman"/>
                <w:snapToGrid w:val="0"/>
              </w:rPr>
            </w:pPr>
          </w:p>
        </w:tc>
        <w:tc>
          <w:tcPr>
            <w:tcW w:w="389" w:type="pct"/>
            <w:vMerge/>
            <w:vAlign w:val="center"/>
          </w:tcPr>
          <w:p w14:paraId="018B20AE" w14:textId="77777777" w:rsidR="00B14D53" w:rsidRDefault="00B14D53">
            <w:pPr>
              <w:pStyle w:val="afff2"/>
              <w:spacing w:line="240" w:lineRule="auto"/>
              <w:contextualSpacing/>
              <w:rPr>
                <w:rFonts w:eastAsiaTheme="minorEastAsia" w:hAnsi="Times New Roman"/>
              </w:rPr>
            </w:pPr>
          </w:p>
        </w:tc>
        <w:tc>
          <w:tcPr>
            <w:tcW w:w="468" w:type="pct"/>
            <w:vAlign w:val="center"/>
          </w:tcPr>
          <w:p w14:paraId="517158D3"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121</w:t>
            </w:r>
          </w:p>
        </w:tc>
        <w:tc>
          <w:tcPr>
            <w:tcW w:w="382" w:type="pct"/>
            <w:vAlign w:val="center"/>
          </w:tcPr>
          <w:p w14:paraId="0469778A" w14:textId="77777777" w:rsidR="00B14D53" w:rsidRDefault="00000000">
            <w:pPr>
              <w:widowControl/>
              <w:jc w:val="center"/>
              <w:textAlignment w:val="center"/>
              <w:rPr>
                <w:szCs w:val="21"/>
              </w:rPr>
            </w:pPr>
            <w:r>
              <w:rPr>
                <w:kern w:val="0"/>
                <w:szCs w:val="21"/>
                <w:lang w:bidi="ar"/>
              </w:rPr>
              <w:t>9.56</w:t>
            </w:r>
          </w:p>
        </w:tc>
        <w:tc>
          <w:tcPr>
            <w:tcW w:w="634" w:type="pct"/>
            <w:vMerge/>
            <w:vAlign w:val="center"/>
          </w:tcPr>
          <w:p w14:paraId="5D1BA2C0" w14:textId="77777777" w:rsidR="00B14D53" w:rsidRDefault="00B14D53">
            <w:pPr>
              <w:pStyle w:val="afff2"/>
              <w:spacing w:line="240" w:lineRule="auto"/>
              <w:contextualSpacing/>
              <w:rPr>
                <w:rFonts w:eastAsiaTheme="minorEastAsia" w:hAnsi="Times New Roman"/>
              </w:rPr>
            </w:pPr>
          </w:p>
        </w:tc>
        <w:tc>
          <w:tcPr>
            <w:tcW w:w="295" w:type="pct"/>
            <w:tcBorders>
              <w:top w:val="single" w:sz="4" w:space="0" w:color="auto"/>
              <w:bottom w:val="single" w:sz="4" w:space="0" w:color="auto"/>
            </w:tcBorders>
            <w:vAlign w:val="center"/>
          </w:tcPr>
          <w:p w14:paraId="083F93BE"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80</w:t>
            </w:r>
          </w:p>
        </w:tc>
        <w:tc>
          <w:tcPr>
            <w:tcW w:w="238" w:type="pct"/>
            <w:vMerge/>
            <w:vAlign w:val="center"/>
          </w:tcPr>
          <w:p w14:paraId="0A139A65" w14:textId="77777777" w:rsidR="00B14D53" w:rsidRDefault="00B14D53">
            <w:pPr>
              <w:pStyle w:val="afff2"/>
              <w:spacing w:line="240" w:lineRule="auto"/>
              <w:contextualSpacing/>
              <w:rPr>
                <w:rFonts w:eastAsiaTheme="minorEastAsia" w:hAnsi="Times New Roman"/>
                <w:snapToGrid w:val="0"/>
              </w:rPr>
            </w:pPr>
          </w:p>
        </w:tc>
        <w:tc>
          <w:tcPr>
            <w:tcW w:w="379" w:type="pct"/>
            <w:vMerge/>
            <w:vAlign w:val="center"/>
          </w:tcPr>
          <w:p w14:paraId="2D16DB46" w14:textId="77777777" w:rsidR="00B14D53" w:rsidRDefault="00B14D53">
            <w:pPr>
              <w:pStyle w:val="afff2"/>
              <w:spacing w:line="240" w:lineRule="auto"/>
              <w:contextualSpacing/>
              <w:rPr>
                <w:rFonts w:eastAsiaTheme="minorEastAsia" w:hAnsi="Times New Roman"/>
                <w:snapToGrid w:val="0"/>
              </w:rPr>
            </w:pPr>
          </w:p>
        </w:tc>
        <w:tc>
          <w:tcPr>
            <w:tcW w:w="348" w:type="pct"/>
            <w:tcBorders>
              <w:top w:val="single" w:sz="4" w:space="0" w:color="auto"/>
              <w:bottom w:val="single" w:sz="4" w:space="0" w:color="auto"/>
            </w:tcBorders>
            <w:vAlign w:val="center"/>
          </w:tcPr>
          <w:p w14:paraId="60E6EA50" w14:textId="77777777" w:rsidR="00B14D53" w:rsidRDefault="00000000">
            <w:pPr>
              <w:widowControl/>
              <w:jc w:val="center"/>
              <w:textAlignment w:val="center"/>
              <w:rPr>
                <w:rFonts w:eastAsiaTheme="minorEastAsia"/>
                <w:snapToGrid w:val="0"/>
                <w:szCs w:val="21"/>
              </w:rPr>
            </w:pPr>
            <w:r>
              <w:rPr>
                <w:kern w:val="0"/>
                <w:szCs w:val="21"/>
                <w:lang w:bidi="ar"/>
              </w:rPr>
              <w:t>24.2</w:t>
            </w:r>
          </w:p>
        </w:tc>
        <w:tc>
          <w:tcPr>
            <w:tcW w:w="298" w:type="pct"/>
            <w:tcBorders>
              <w:top w:val="single" w:sz="4" w:space="0" w:color="auto"/>
              <w:bottom w:val="single" w:sz="4" w:space="0" w:color="auto"/>
            </w:tcBorders>
            <w:vAlign w:val="center"/>
          </w:tcPr>
          <w:p w14:paraId="15B7EFC2" w14:textId="77777777" w:rsidR="00B14D53" w:rsidRDefault="00000000">
            <w:pPr>
              <w:widowControl/>
              <w:jc w:val="center"/>
              <w:textAlignment w:val="center"/>
              <w:rPr>
                <w:rFonts w:eastAsiaTheme="minorEastAsia"/>
                <w:snapToGrid w:val="0"/>
                <w:szCs w:val="21"/>
              </w:rPr>
            </w:pPr>
            <w:r>
              <w:rPr>
                <w:kern w:val="0"/>
                <w:szCs w:val="21"/>
                <w:lang w:bidi="ar"/>
              </w:rPr>
              <w:t>1.91</w:t>
            </w:r>
          </w:p>
        </w:tc>
      </w:tr>
      <w:tr w:rsidR="00B14D53" w14:paraId="35468601" w14:textId="77777777">
        <w:trPr>
          <w:trHeight w:val="198"/>
          <w:jc w:val="center"/>
        </w:trPr>
        <w:tc>
          <w:tcPr>
            <w:tcW w:w="226" w:type="pct"/>
            <w:vMerge/>
            <w:vAlign w:val="center"/>
          </w:tcPr>
          <w:p w14:paraId="578D8DE5" w14:textId="77777777" w:rsidR="00B14D53" w:rsidRDefault="00B14D53">
            <w:pPr>
              <w:pStyle w:val="afff2"/>
              <w:spacing w:line="240" w:lineRule="auto"/>
              <w:contextualSpacing/>
              <w:rPr>
                <w:rFonts w:eastAsiaTheme="minorEastAsia" w:hAnsi="Times New Roman"/>
                <w:snapToGrid w:val="0"/>
              </w:rPr>
            </w:pPr>
          </w:p>
        </w:tc>
        <w:tc>
          <w:tcPr>
            <w:tcW w:w="237" w:type="pct"/>
            <w:vMerge/>
            <w:vAlign w:val="center"/>
          </w:tcPr>
          <w:p w14:paraId="6C897DF4" w14:textId="77777777" w:rsidR="00B14D53" w:rsidRDefault="00B14D53">
            <w:pPr>
              <w:pStyle w:val="afff2"/>
              <w:spacing w:line="240" w:lineRule="auto"/>
              <w:contextualSpacing/>
              <w:rPr>
                <w:rFonts w:eastAsiaTheme="minorEastAsia" w:hAnsi="Times New Roman"/>
                <w:snapToGrid w:val="0"/>
              </w:rPr>
            </w:pPr>
          </w:p>
        </w:tc>
        <w:tc>
          <w:tcPr>
            <w:tcW w:w="415" w:type="pct"/>
            <w:vMerge/>
            <w:vAlign w:val="center"/>
          </w:tcPr>
          <w:p w14:paraId="71B1EBD4"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51B11D53"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251" w:type="pct"/>
            <w:vMerge/>
            <w:vAlign w:val="center"/>
          </w:tcPr>
          <w:p w14:paraId="12BED5FE" w14:textId="77777777" w:rsidR="00B14D53" w:rsidRDefault="00B14D53">
            <w:pPr>
              <w:pStyle w:val="afff2"/>
              <w:spacing w:line="240" w:lineRule="auto"/>
              <w:contextualSpacing/>
              <w:rPr>
                <w:rFonts w:eastAsiaTheme="minorEastAsia" w:hAnsi="Times New Roman"/>
                <w:snapToGrid w:val="0"/>
              </w:rPr>
            </w:pPr>
          </w:p>
        </w:tc>
        <w:tc>
          <w:tcPr>
            <w:tcW w:w="389" w:type="pct"/>
            <w:vMerge/>
            <w:vAlign w:val="center"/>
          </w:tcPr>
          <w:p w14:paraId="3E2426C6" w14:textId="77777777" w:rsidR="00B14D53" w:rsidRDefault="00B14D53">
            <w:pPr>
              <w:pStyle w:val="afff2"/>
              <w:spacing w:line="240" w:lineRule="auto"/>
              <w:contextualSpacing/>
              <w:rPr>
                <w:rFonts w:eastAsiaTheme="minorEastAsia" w:hAnsi="Times New Roman"/>
              </w:rPr>
            </w:pPr>
          </w:p>
        </w:tc>
        <w:tc>
          <w:tcPr>
            <w:tcW w:w="468" w:type="pct"/>
            <w:vAlign w:val="center"/>
          </w:tcPr>
          <w:p w14:paraId="0BF047EF"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997</w:t>
            </w:r>
          </w:p>
        </w:tc>
        <w:tc>
          <w:tcPr>
            <w:tcW w:w="382" w:type="pct"/>
            <w:vAlign w:val="center"/>
          </w:tcPr>
          <w:p w14:paraId="1C0452AD" w14:textId="77777777" w:rsidR="00B14D53" w:rsidRDefault="00000000">
            <w:pPr>
              <w:widowControl/>
              <w:jc w:val="center"/>
              <w:textAlignment w:val="center"/>
              <w:rPr>
                <w:szCs w:val="21"/>
              </w:rPr>
            </w:pPr>
            <w:r>
              <w:rPr>
                <w:kern w:val="0"/>
                <w:szCs w:val="21"/>
                <w:lang w:bidi="ar"/>
              </w:rPr>
              <w:t>78.74</w:t>
            </w:r>
          </w:p>
        </w:tc>
        <w:tc>
          <w:tcPr>
            <w:tcW w:w="634" w:type="pct"/>
            <w:vMerge/>
            <w:vAlign w:val="center"/>
          </w:tcPr>
          <w:p w14:paraId="6CE468D3" w14:textId="77777777" w:rsidR="00B14D53" w:rsidRDefault="00B14D53">
            <w:pPr>
              <w:pStyle w:val="afff2"/>
              <w:spacing w:line="240" w:lineRule="auto"/>
              <w:contextualSpacing/>
              <w:rPr>
                <w:rFonts w:eastAsiaTheme="minorEastAsia" w:hAnsi="Times New Roman"/>
              </w:rPr>
            </w:pPr>
          </w:p>
        </w:tc>
        <w:tc>
          <w:tcPr>
            <w:tcW w:w="295" w:type="pct"/>
            <w:tcBorders>
              <w:top w:val="single" w:sz="4" w:space="0" w:color="auto"/>
              <w:bottom w:val="single" w:sz="4" w:space="0" w:color="auto"/>
            </w:tcBorders>
            <w:vAlign w:val="center"/>
          </w:tcPr>
          <w:p w14:paraId="1196466A"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80</w:t>
            </w:r>
          </w:p>
        </w:tc>
        <w:tc>
          <w:tcPr>
            <w:tcW w:w="238" w:type="pct"/>
            <w:vMerge/>
            <w:vAlign w:val="center"/>
          </w:tcPr>
          <w:p w14:paraId="4D180961" w14:textId="77777777" w:rsidR="00B14D53" w:rsidRDefault="00B14D53">
            <w:pPr>
              <w:pStyle w:val="afff2"/>
              <w:spacing w:line="240" w:lineRule="auto"/>
              <w:contextualSpacing/>
              <w:rPr>
                <w:rFonts w:eastAsiaTheme="minorEastAsia" w:hAnsi="Times New Roman"/>
                <w:snapToGrid w:val="0"/>
              </w:rPr>
            </w:pPr>
          </w:p>
        </w:tc>
        <w:tc>
          <w:tcPr>
            <w:tcW w:w="379" w:type="pct"/>
            <w:vMerge/>
            <w:vAlign w:val="center"/>
          </w:tcPr>
          <w:p w14:paraId="2E2CA2E9" w14:textId="77777777" w:rsidR="00B14D53" w:rsidRDefault="00B14D53">
            <w:pPr>
              <w:pStyle w:val="afff2"/>
              <w:spacing w:line="240" w:lineRule="auto"/>
              <w:contextualSpacing/>
              <w:rPr>
                <w:rFonts w:eastAsiaTheme="minorEastAsia" w:hAnsi="Times New Roman"/>
                <w:snapToGrid w:val="0"/>
              </w:rPr>
            </w:pPr>
          </w:p>
        </w:tc>
        <w:tc>
          <w:tcPr>
            <w:tcW w:w="348" w:type="pct"/>
            <w:tcBorders>
              <w:top w:val="single" w:sz="4" w:space="0" w:color="auto"/>
              <w:bottom w:val="single" w:sz="4" w:space="0" w:color="auto"/>
            </w:tcBorders>
            <w:vAlign w:val="center"/>
          </w:tcPr>
          <w:p w14:paraId="017281DD" w14:textId="77777777" w:rsidR="00B14D53" w:rsidRDefault="00000000">
            <w:pPr>
              <w:widowControl/>
              <w:jc w:val="center"/>
              <w:textAlignment w:val="center"/>
              <w:rPr>
                <w:rFonts w:eastAsiaTheme="minorEastAsia"/>
                <w:snapToGrid w:val="0"/>
                <w:szCs w:val="21"/>
              </w:rPr>
            </w:pPr>
            <w:r>
              <w:rPr>
                <w:kern w:val="0"/>
                <w:szCs w:val="21"/>
                <w:lang w:bidi="ar"/>
              </w:rPr>
              <w:t>199.4</w:t>
            </w:r>
          </w:p>
        </w:tc>
        <w:tc>
          <w:tcPr>
            <w:tcW w:w="298" w:type="pct"/>
            <w:tcBorders>
              <w:top w:val="single" w:sz="4" w:space="0" w:color="auto"/>
              <w:bottom w:val="single" w:sz="4" w:space="0" w:color="auto"/>
            </w:tcBorders>
            <w:vAlign w:val="center"/>
          </w:tcPr>
          <w:p w14:paraId="20ECBE20" w14:textId="77777777" w:rsidR="00B14D53" w:rsidRDefault="00000000">
            <w:pPr>
              <w:widowControl/>
              <w:jc w:val="center"/>
              <w:textAlignment w:val="center"/>
              <w:rPr>
                <w:rFonts w:eastAsiaTheme="minorEastAsia"/>
                <w:snapToGrid w:val="0"/>
                <w:szCs w:val="21"/>
              </w:rPr>
            </w:pPr>
            <w:r>
              <w:rPr>
                <w:kern w:val="0"/>
                <w:szCs w:val="21"/>
                <w:lang w:bidi="ar"/>
              </w:rPr>
              <w:t>15.75</w:t>
            </w:r>
          </w:p>
        </w:tc>
      </w:tr>
      <w:tr w:rsidR="00B14D53" w14:paraId="4D13ABA1" w14:textId="77777777">
        <w:trPr>
          <w:trHeight w:val="65"/>
          <w:jc w:val="center"/>
        </w:trPr>
        <w:tc>
          <w:tcPr>
            <w:tcW w:w="0" w:type="auto"/>
            <w:vMerge/>
            <w:vAlign w:val="center"/>
          </w:tcPr>
          <w:p w14:paraId="6D8F9210" w14:textId="77777777" w:rsidR="00B14D53" w:rsidRDefault="00B14D53">
            <w:pPr>
              <w:widowControl/>
              <w:contextualSpacing/>
              <w:jc w:val="center"/>
              <w:rPr>
                <w:rFonts w:eastAsiaTheme="minorEastAsia"/>
                <w:snapToGrid w:val="0"/>
                <w:szCs w:val="21"/>
              </w:rPr>
            </w:pPr>
          </w:p>
        </w:tc>
        <w:tc>
          <w:tcPr>
            <w:tcW w:w="0" w:type="auto"/>
            <w:vMerge/>
            <w:vAlign w:val="center"/>
          </w:tcPr>
          <w:p w14:paraId="37E37320" w14:textId="77777777" w:rsidR="00B14D53" w:rsidRDefault="00B14D53">
            <w:pPr>
              <w:widowControl/>
              <w:contextualSpacing/>
              <w:jc w:val="center"/>
              <w:rPr>
                <w:rFonts w:eastAsiaTheme="minorEastAsia"/>
                <w:snapToGrid w:val="0"/>
                <w:szCs w:val="21"/>
              </w:rPr>
            </w:pPr>
          </w:p>
        </w:tc>
        <w:tc>
          <w:tcPr>
            <w:tcW w:w="415" w:type="pct"/>
            <w:vMerge/>
            <w:vAlign w:val="center"/>
          </w:tcPr>
          <w:p w14:paraId="2BC465DF"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2884EE49"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SS</w:t>
            </w:r>
          </w:p>
        </w:tc>
        <w:tc>
          <w:tcPr>
            <w:tcW w:w="251" w:type="pct"/>
            <w:vMerge/>
            <w:vAlign w:val="center"/>
          </w:tcPr>
          <w:p w14:paraId="0EB62AEF" w14:textId="77777777" w:rsidR="00B14D53" w:rsidRDefault="00B14D53">
            <w:pPr>
              <w:widowControl/>
              <w:contextualSpacing/>
              <w:jc w:val="center"/>
              <w:rPr>
                <w:rFonts w:eastAsiaTheme="minorEastAsia"/>
                <w:snapToGrid w:val="0"/>
                <w:szCs w:val="21"/>
              </w:rPr>
            </w:pPr>
          </w:p>
        </w:tc>
        <w:tc>
          <w:tcPr>
            <w:tcW w:w="389" w:type="pct"/>
            <w:vMerge/>
            <w:vAlign w:val="center"/>
          </w:tcPr>
          <w:p w14:paraId="7D99C014" w14:textId="77777777" w:rsidR="00B14D53" w:rsidRDefault="00B14D53">
            <w:pPr>
              <w:pStyle w:val="afff2"/>
              <w:spacing w:line="240" w:lineRule="auto"/>
              <w:contextualSpacing/>
              <w:rPr>
                <w:rFonts w:eastAsiaTheme="minorEastAsia" w:hAnsi="Times New Roman"/>
                <w:snapToGrid w:val="0"/>
              </w:rPr>
            </w:pPr>
          </w:p>
        </w:tc>
        <w:tc>
          <w:tcPr>
            <w:tcW w:w="468" w:type="pct"/>
            <w:vAlign w:val="center"/>
          </w:tcPr>
          <w:p w14:paraId="0E6AB462"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995</w:t>
            </w:r>
          </w:p>
        </w:tc>
        <w:tc>
          <w:tcPr>
            <w:tcW w:w="382" w:type="pct"/>
            <w:vAlign w:val="center"/>
          </w:tcPr>
          <w:p w14:paraId="2E96C37B" w14:textId="77777777" w:rsidR="00B14D53" w:rsidRDefault="00000000">
            <w:pPr>
              <w:widowControl/>
              <w:jc w:val="center"/>
              <w:textAlignment w:val="center"/>
              <w:rPr>
                <w:szCs w:val="21"/>
              </w:rPr>
            </w:pPr>
            <w:r>
              <w:rPr>
                <w:kern w:val="0"/>
                <w:szCs w:val="21"/>
                <w:lang w:bidi="ar"/>
              </w:rPr>
              <w:t>78.58</w:t>
            </w:r>
          </w:p>
        </w:tc>
        <w:tc>
          <w:tcPr>
            <w:tcW w:w="634" w:type="pct"/>
            <w:vMerge/>
            <w:vAlign w:val="center"/>
          </w:tcPr>
          <w:p w14:paraId="68D62225" w14:textId="77777777" w:rsidR="00B14D53" w:rsidRDefault="00B14D53">
            <w:pPr>
              <w:widowControl/>
              <w:contextualSpacing/>
              <w:jc w:val="center"/>
              <w:rPr>
                <w:rFonts w:eastAsiaTheme="minorEastAsia"/>
                <w:snapToGrid w:val="0"/>
                <w:szCs w:val="21"/>
              </w:rPr>
            </w:pPr>
          </w:p>
        </w:tc>
        <w:tc>
          <w:tcPr>
            <w:tcW w:w="295" w:type="pct"/>
            <w:tcBorders>
              <w:top w:val="single" w:sz="4" w:space="0" w:color="auto"/>
              <w:bottom w:val="single" w:sz="4" w:space="0" w:color="auto"/>
            </w:tcBorders>
            <w:vAlign w:val="center"/>
          </w:tcPr>
          <w:p w14:paraId="79E8C4D2" w14:textId="77777777" w:rsidR="00B14D53" w:rsidRDefault="00000000">
            <w:pPr>
              <w:widowControl/>
              <w:contextualSpacing/>
              <w:jc w:val="center"/>
              <w:rPr>
                <w:rFonts w:eastAsiaTheme="minorEastAsia"/>
                <w:snapToGrid w:val="0"/>
                <w:szCs w:val="21"/>
              </w:rPr>
            </w:pPr>
            <w:r>
              <w:rPr>
                <w:rFonts w:eastAsiaTheme="minorEastAsia"/>
                <w:snapToGrid w:val="0"/>
                <w:szCs w:val="21"/>
              </w:rPr>
              <w:t>70</w:t>
            </w:r>
          </w:p>
        </w:tc>
        <w:tc>
          <w:tcPr>
            <w:tcW w:w="238" w:type="pct"/>
            <w:vMerge/>
            <w:vAlign w:val="center"/>
          </w:tcPr>
          <w:p w14:paraId="71D3B541" w14:textId="77777777" w:rsidR="00B14D53" w:rsidRDefault="00B14D53">
            <w:pPr>
              <w:widowControl/>
              <w:contextualSpacing/>
              <w:jc w:val="center"/>
              <w:rPr>
                <w:rFonts w:eastAsiaTheme="minorEastAsia"/>
                <w:snapToGrid w:val="0"/>
                <w:szCs w:val="21"/>
              </w:rPr>
            </w:pPr>
          </w:p>
        </w:tc>
        <w:tc>
          <w:tcPr>
            <w:tcW w:w="379" w:type="pct"/>
            <w:vMerge/>
            <w:vAlign w:val="center"/>
          </w:tcPr>
          <w:p w14:paraId="61DD8050" w14:textId="77777777" w:rsidR="00B14D53" w:rsidRDefault="00B14D53">
            <w:pPr>
              <w:widowControl/>
              <w:contextualSpacing/>
              <w:jc w:val="center"/>
              <w:rPr>
                <w:rFonts w:eastAsiaTheme="minorEastAsia"/>
                <w:snapToGrid w:val="0"/>
                <w:szCs w:val="21"/>
              </w:rPr>
            </w:pPr>
          </w:p>
        </w:tc>
        <w:tc>
          <w:tcPr>
            <w:tcW w:w="348" w:type="pct"/>
            <w:tcBorders>
              <w:top w:val="single" w:sz="4" w:space="0" w:color="auto"/>
              <w:bottom w:val="single" w:sz="4" w:space="0" w:color="auto"/>
            </w:tcBorders>
            <w:vAlign w:val="center"/>
          </w:tcPr>
          <w:p w14:paraId="09906717" w14:textId="77777777" w:rsidR="00B14D53" w:rsidRDefault="00000000">
            <w:pPr>
              <w:widowControl/>
              <w:jc w:val="center"/>
              <w:textAlignment w:val="center"/>
              <w:rPr>
                <w:rFonts w:eastAsiaTheme="minorEastAsia"/>
                <w:snapToGrid w:val="0"/>
                <w:szCs w:val="21"/>
              </w:rPr>
            </w:pPr>
            <w:r>
              <w:rPr>
                <w:kern w:val="0"/>
                <w:szCs w:val="21"/>
                <w:lang w:bidi="ar"/>
              </w:rPr>
              <w:t>298.5</w:t>
            </w:r>
          </w:p>
        </w:tc>
        <w:tc>
          <w:tcPr>
            <w:tcW w:w="298" w:type="pct"/>
            <w:tcBorders>
              <w:top w:val="single" w:sz="4" w:space="0" w:color="auto"/>
              <w:bottom w:val="single" w:sz="4" w:space="0" w:color="auto"/>
            </w:tcBorders>
            <w:vAlign w:val="center"/>
          </w:tcPr>
          <w:p w14:paraId="03CF91A9" w14:textId="77777777" w:rsidR="00B14D53" w:rsidRDefault="00000000">
            <w:pPr>
              <w:widowControl/>
              <w:jc w:val="center"/>
              <w:textAlignment w:val="center"/>
              <w:rPr>
                <w:rFonts w:eastAsiaTheme="minorEastAsia"/>
                <w:snapToGrid w:val="0"/>
                <w:szCs w:val="21"/>
              </w:rPr>
            </w:pPr>
            <w:r>
              <w:rPr>
                <w:kern w:val="0"/>
                <w:szCs w:val="21"/>
                <w:lang w:bidi="ar"/>
              </w:rPr>
              <w:t>23.57</w:t>
            </w:r>
          </w:p>
        </w:tc>
      </w:tr>
      <w:tr w:rsidR="00B14D53" w14:paraId="380FD2D7" w14:textId="77777777">
        <w:trPr>
          <w:trHeight w:val="65"/>
          <w:jc w:val="center"/>
        </w:trPr>
        <w:tc>
          <w:tcPr>
            <w:tcW w:w="0" w:type="auto"/>
            <w:vMerge/>
            <w:vAlign w:val="center"/>
          </w:tcPr>
          <w:p w14:paraId="06AC11EA" w14:textId="77777777" w:rsidR="00B14D53" w:rsidRDefault="00B14D53">
            <w:pPr>
              <w:widowControl/>
              <w:contextualSpacing/>
              <w:jc w:val="center"/>
              <w:rPr>
                <w:rFonts w:eastAsiaTheme="minorEastAsia"/>
                <w:snapToGrid w:val="0"/>
                <w:szCs w:val="21"/>
              </w:rPr>
            </w:pPr>
          </w:p>
        </w:tc>
        <w:tc>
          <w:tcPr>
            <w:tcW w:w="0" w:type="auto"/>
            <w:vMerge/>
            <w:vAlign w:val="center"/>
          </w:tcPr>
          <w:p w14:paraId="1237E9FE" w14:textId="77777777" w:rsidR="00B14D53" w:rsidRDefault="00B14D53">
            <w:pPr>
              <w:widowControl/>
              <w:contextualSpacing/>
              <w:jc w:val="center"/>
              <w:rPr>
                <w:rFonts w:eastAsiaTheme="minorEastAsia"/>
                <w:snapToGrid w:val="0"/>
                <w:szCs w:val="21"/>
              </w:rPr>
            </w:pPr>
          </w:p>
        </w:tc>
        <w:tc>
          <w:tcPr>
            <w:tcW w:w="415" w:type="pct"/>
            <w:vMerge/>
            <w:vAlign w:val="center"/>
          </w:tcPr>
          <w:p w14:paraId="061880A8"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750C562A"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动植物油</w:t>
            </w:r>
          </w:p>
        </w:tc>
        <w:tc>
          <w:tcPr>
            <w:tcW w:w="251" w:type="pct"/>
            <w:vMerge/>
            <w:vAlign w:val="center"/>
          </w:tcPr>
          <w:p w14:paraId="75527EBE" w14:textId="77777777" w:rsidR="00B14D53" w:rsidRDefault="00B14D53">
            <w:pPr>
              <w:widowControl/>
              <w:contextualSpacing/>
              <w:jc w:val="center"/>
              <w:rPr>
                <w:rFonts w:eastAsiaTheme="minorEastAsia"/>
                <w:snapToGrid w:val="0"/>
                <w:szCs w:val="21"/>
              </w:rPr>
            </w:pPr>
          </w:p>
        </w:tc>
        <w:tc>
          <w:tcPr>
            <w:tcW w:w="389" w:type="pct"/>
            <w:vMerge/>
            <w:vAlign w:val="center"/>
          </w:tcPr>
          <w:p w14:paraId="78D53808" w14:textId="77777777" w:rsidR="00B14D53" w:rsidRDefault="00B14D53">
            <w:pPr>
              <w:pStyle w:val="afff2"/>
              <w:spacing w:line="240" w:lineRule="auto"/>
              <w:contextualSpacing/>
              <w:rPr>
                <w:rFonts w:eastAsiaTheme="minorEastAsia" w:hAnsi="Times New Roman"/>
                <w:snapToGrid w:val="0"/>
              </w:rPr>
            </w:pPr>
          </w:p>
        </w:tc>
        <w:tc>
          <w:tcPr>
            <w:tcW w:w="468" w:type="pct"/>
            <w:vAlign w:val="center"/>
          </w:tcPr>
          <w:p w14:paraId="26D3723C"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200</w:t>
            </w:r>
          </w:p>
        </w:tc>
        <w:tc>
          <w:tcPr>
            <w:tcW w:w="382" w:type="pct"/>
            <w:vAlign w:val="center"/>
          </w:tcPr>
          <w:p w14:paraId="18D22DDC" w14:textId="77777777" w:rsidR="00B14D53" w:rsidRDefault="00000000">
            <w:pPr>
              <w:widowControl/>
              <w:jc w:val="center"/>
              <w:textAlignment w:val="center"/>
              <w:rPr>
                <w:szCs w:val="21"/>
              </w:rPr>
            </w:pPr>
            <w:r>
              <w:rPr>
                <w:kern w:val="0"/>
                <w:szCs w:val="21"/>
                <w:lang w:bidi="ar"/>
              </w:rPr>
              <w:t>15.8</w:t>
            </w:r>
          </w:p>
        </w:tc>
        <w:tc>
          <w:tcPr>
            <w:tcW w:w="634" w:type="pct"/>
            <w:vMerge/>
            <w:vAlign w:val="center"/>
          </w:tcPr>
          <w:p w14:paraId="5235FE07" w14:textId="77777777" w:rsidR="00B14D53" w:rsidRDefault="00B14D53">
            <w:pPr>
              <w:widowControl/>
              <w:contextualSpacing/>
              <w:jc w:val="center"/>
              <w:rPr>
                <w:rFonts w:eastAsiaTheme="minorEastAsia"/>
                <w:snapToGrid w:val="0"/>
                <w:szCs w:val="21"/>
              </w:rPr>
            </w:pPr>
          </w:p>
        </w:tc>
        <w:tc>
          <w:tcPr>
            <w:tcW w:w="295" w:type="pct"/>
            <w:tcBorders>
              <w:top w:val="single" w:sz="4" w:space="0" w:color="auto"/>
              <w:bottom w:val="single" w:sz="4" w:space="0" w:color="auto"/>
            </w:tcBorders>
            <w:vAlign w:val="center"/>
          </w:tcPr>
          <w:p w14:paraId="7C5F39B7" w14:textId="77777777" w:rsidR="00B14D53" w:rsidRDefault="00000000">
            <w:pPr>
              <w:widowControl/>
              <w:contextualSpacing/>
              <w:jc w:val="center"/>
              <w:rPr>
                <w:rFonts w:eastAsiaTheme="minorEastAsia"/>
                <w:snapToGrid w:val="0"/>
                <w:szCs w:val="21"/>
              </w:rPr>
            </w:pPr>
            <w:r>
              <w:rPr>
                <w:rFonts w:eastAsiaTheme="minorEastAsia"/>
                <w:snapToGrid w:val="0"/>
                <w:szCs w:val="21"/>
              </w:rPr>
              <w:t>70</w:t>
            </w:r>
          </w:p>
        </w:tc>
        <w:tc>
          <w:tcPr>
            <w:tcW w:w="238" w:type="pct"/>
            <w:vMerge/>
            <w:vAlign w:val="center"/>
          </w:tcPr>
          <w:p w14:paraId="6C362640" w14:textId="77777777" w:rsidR="00B14D53" w:rsidRDefault="00B14D53">
            <w:pPr>
              <w:widowControl/>
              <w:contextualSpacing/>
              <w:jc w:val="center"/>
              <w:rPr>
                <w:rFonts w:eastAsiaTheme="minorEastAsia"/>
                <w:snapToGrid w:val="0"/>
                <w:szCs w:val="21"/>
              </w:rPr>
            </w:pPr>
          </w:p>
        </w:tc>
        <w:tc>
          <w:tcPr>
            <w:tcW w:w="379" w:type="pct"/>
            <w:vMerge/>
            <w:vAlign w:val="center"/>
          </w:tcPr>
          <w:p w14:paraId="7466605B" w14:textId="77777777" w:rsidR="00B14D53" w:rsidRDefault="00B14D53">
            <w:pPr>
              <w:widowControl/>
              <w:contextualSpacing/>
              <w:jc w:val="center"/>
              <w:rPr>
                <w:rFonts w:eastAsiaTheme="minorEastAsia"/>
                <w:snapToGrid w:val="0"/>
                <w:szCs w:val="21"/>
              </w:rPr>
            </w:pPr>
          </w:p>
        </w:tc>
        <w:tc>
          <w:tcPr>
            <w:tcW w:w="348" w:type="pct"/>
            <w:tcBorders>
              <w:top w:val="single" w:sz="4" w:space="0" w:color="auto"/>
              <w:bottom w:val="single" w:sz="4" w:space="0" w:color="auto"/>
            </w:tcBorders>
            <w:vAlign w:val="center"/>
          </w:tcPr>
          <w:p w14:paraId="168B6DAF" w14:textId="77777777" w:rsidR="00B14D53" w:rsidRDefault="00000000">
            <w:pPr>
              <w:widowControl/>
              <w:jc w:val="center"/>
              <w:textAlignment w:val="center"/>
              <w:rPr>
                <w:rFonts w:eastAsiaTheme="minorEastAsia"/>
                <w:snapToGrid w:val="0"/>
                <w:szCs w:val="21"/>
              </w:rPr>
            </w:pPr>
            <w:r>
              <w:rPr>
                <w:kern w:val="0"/>
                <w:szCs w:val="21"/>
                <w:lang w:bidi="ar"/>
              </w:rPr>
              <w:t>60</w:t>
            </w:r>
          </w:p>
        </w:tc>
        <w:tc>
          <w:tcPr>
            <w:tcW w:w="298" w:type="pct"/>
            <w:tcBorders>
              <w:top w:val="single" w:sz="4" w:space="0" w:color="auto"/>
              <w:bottom w:val="single" w:sz="4" w:space="0" w:color="auto"/>
            </w:tcBorders>
            <w:vAlign w:val="center"/>
          </w:tcPr>
          <w:p w14:paraId="7DFB9854" w14:textId="77777777" w:rsidR="00B14D53" w:rsidRDefault="00000000">
            <w:pPr>
              <w:widowControl/>
              <w:jc w:val="center"/>
              <w:textAlignment w:val="center"/>
              <w:rPr>
                <w:rFonts w:eastAsiaTheme="minorEastAsia"/>
                <w:snapToGrid w:val="0"/>
                <w:szCs w:val="21"/>
              </w:rPr>
            </w:pPr>
            <w:r>
              <w:rPr>
                <w:kern w:val="0"/>
                <w:szCs w:val="21"/>
                <w:lang w:bidi="ar"/>
              </w:rPr>
              <w:t>4.74</w:t>
            </w:r>
          </w:p>
        </w:tc>
      </w:tr>
      <w:tr w:rsidR="00B14D53" w14:paraId="0273A07F" w14:textId="77777777">
        <w:trPr>
          <w:trHeight w:val="65"/>
          <w:jc w:val="center"/>
        </w:trPr>
        <w:tc>
          <w:tcPr>
            <w:tcW w:w="0" w:type="auto"/>
            <w:vMerge/>
            <w:vAlign w:val="center"/>
          </w:tcPr>
          <w:p w14:paraId="5218538D" w14:textId="77777777" w:rsidR="00B14D53" w:rsidRDefault="00B14D53">
            <w:pPr>
              <w:widowControl/>
              <w:contextualSpacing/>
              <w:jc w:val="center"/>
              <w:rPr>
                <w:rFonts w:eastAsiaTheme="minorEastAsia"/>
                <w:snapToGrid w:val="0"/>
                <w:szCs w:val="21"/>
              </w:rPr>
            </w:pPr>
          </w:p>
        </w:tc>
        <w:tc>
          <w:tcPr>
            <w:tcW w:w="0" w:type="auto"/>
            <w:vMerge/>
            <w:vAlign w:val="center"/>
          </w:tcPr>
          <w:p w14:paraId="0A4A3313" w14:textId="77777777" w:rsidR="00B14D53" w:rsidRDefault="00B14D53">
            <w:pPr>
              <w:widowControl/>
              <w:contextualSpacing/>
              <w:jc w:val="center"/>
              <w:rPr>
                <w:rFonts w:eastAsiaTheme="minorEastAsia"/>
                <w:snapToGrid w:val="0"/>
                <w:szCs w:val="21"/>
              </w:rPr>
            </w:pPr>
          </w:p>
        </w:tc>
        <w:tc>
          <w:tcPr>
            <w:tcW w:w="415" w:type="pct"/>
            <w:vMerge/>
            <w:vAlign w:val="center"/>
          </w:tcPr>
          <w:p w14:paraId="5B961420"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278F009E"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粪大肠菌群</w:t>
            </w:r>
          </w:p>
        </w:tc>
        <w:tc>
          <w:tcPr>
            <w:tcW w:w="251" w:type="pct"/>
            <w:vMerge/>
            <w:vAlign w:val="center"/>
          </w:tcPr>
          <w:p w14:paraId="341783F1" w14:textId="77777777" w:rsidR="00B14D53" w:rsidRDefault="00B14D53">
            <w:pPr>
              <w:widowControl/>
              <w:contextualSpacing/>
              <w:jc w:val="center"/>
              <w:rPr>
                <w:rFonts w:eastAsiaTheme="minorEastAsia"/>
                <w:snapToGrid w:val="0"/>
                <w:szCs w:val="21"/>
              </w:rPr>
            </w:pPr>
          </w:p>
        </w:tc>
        <w:tc>
          <w:tcPr>
            <w:tcW w:w="389" w:type="pct"/>
            <w:vMerge/>
            <w:vAlign w:val="center"/>
          </w:tcPr>
          <w:p w14:paraId="052D8687" w14:textId="77777777" w:rsidR="00B14D53" w:rsidRDefault="00B14D53">
            <w:pPr>
              <w:pStyle w:val="afff2"/>
              <w:spacing w:line="240" w:lineRule="auto"/>
              <w:contextualSpacing/>
              <w:rPr>
                <w:rFonts w:eastAsiaTheme="minorEastAsia" w:hAnsi="Times New Roman"/>
                <w:snapToGrid w:val="0"/>
              </w:rPr>
            </w:pPr>
          </w:p>
        </w:tc>
        <w:tc>
          <w:tcPr>
            <w:tcW w:w="468" w:type="pct"/>
            <w:vAlign w:val="center"/>
          </w:tcPr>
          <w:p w14:paraId="3E8E9194"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≥24000</w:t>
            </w:r>
            <w:r>
              <w:rPr>
                <w:rFonts w:ascii="Times New Roman" w:hAnsi="Times New Roman" w:cs="Times New Roman"/>
                <w:sz w:val="21"/>
                <w:szCs w:val="21"/>
              </w:rPr>
              <w:t>个</w:t>
            </w:r>
            <w:r>
              <w:rPr>
                <w:rFonts w:ascii="Times New Roman" w:hAnsi="Times New Roman" w:cs="Times New Roman"/>
                <w:sz w:val="21"/>
                <w:szCs w:val="21"/>
              </w:rPr>
              <w:t>/L</w:t>
            </w:r>
          </w:p>
        </w:tc>
        <w:tc>
          <w:tcPr>
            <w:tcW w:w="382" w:type="pct"/>
            <w:vAlign w:val="center"/>
          </w:tcPr>
          <w:p w14:paraId="7E73BEDE" w14:textId="77777777" w:rsidR="00B14D53" w:rsidRDefault="00000000">
            <w:pPr>
              <w:pStyle w:val="afff2"/>
              <w:spacing w:line="240" w:lineRule="auto"/>
              <w:contextualSpacing/>
              <w:rPr>
                <w:rFonts w:hAnsi="Times New Roman"/>
              </w:rPr>
            </w:pPr>
            <w:r>
              <w:rPr>
                <w:rFonts w:hAnsi="Times New Roman"/>
              </w:rPr>
              <w:t>/</w:t>
            </w:r>
          </w:p>
        </w:tc>
        <w:tc>
          <w:tcPr>
            <w:tcW w:w="634" w:type="pct"/>
            <w:vMerge/>
            <w:vAlign w:val="center"/>
          </w:tcPr>
          <w:p w14:paraId="396E3E43" w14:textId="77777777" w:rsidR="00B14D53" w:rsidRDefault="00B14D53">
            <w:pPr>
              <w:widowControl/>
              <w:contextualSpacing/>
              <w:jc w:val="center"/>
              <w:rPr>
                <w:rFonts w:eastAsiaTheme="minorEastAsia"/>
                <w:snapToGrid w:val="0"/>
                <w:szCs w:val="21"/>
              </w:rPr>
            </w:pPr>
          </w:p>
        </w:tc>
        <w:tc>
          <w:tcPr>
            <w:tcW w:w="295" w:type="pct"/>
            <w:tcBorders>
              <w:top w:val="single" w:sz="4" w:space="0" w:color="auto"/>
              <w:bottom w:val="single" w:sz="4" w:space="0" w:color="auto"/>
            </w:tcBorders>
            <w:vAlign w:val="center"/>
          </w:tcPr>
          <w:p w14:paraId="555774AB" w14:textId="77777777" w:rsidR="00B14D53" w:rsidRDefault="00000000">
            <w:pPr>
              <w:widowControl/>
              <w:contextualSpacing/>
              <w:jc w:val="center"/>
              <w:rPr>
                <w:rFonts w:eastAsiaTheme="minorEastAsia"/>
                <w:snapToGrid w:val="0"/>
                <w:szCs w:val="21"/>
              </w:rPr>
            </w:pPr>
            <w:r>
              <w:rPr>
                <w:rFonts w:eastAsiaTheme="minorEastAsia"/>
                <w:snapToGrid w:val="0"/>
                <w:szCs w:val="21"/>
              </w:rPr>
              <w:t>99</w:t>
            </w:r>
          </w:p>
        </w:tc>
        <w:tc>
          <w:tcPr>
            <w:tcW w:w="238" w:type="pct"/>
            <w:vMerge/>
            <w:vAlign w:val="center"/>
          </w:tcPr>
          <w:p w14:paraId="1723A648" w14:textId="77777777" w:rsidR="00B14D53" w:rsidRDefault="00B14D53">
            <w:pPr>
              <w:widowControl/>
              <w:contextualSpacing/>
              <w:jc w:val="center"/>
              <w:rPr>
                <w:rFonts w:eastAsiaTheme="minorEastAsia"/>
                <w:snapToGrid w:val="0"/>
                <w:szCs w:val="21"/>
              </w:rPr>
            </w:pPr>
          </w:p>
        </w:tc>
        <w:tc>
          <w:tcPr>
            <w:tcW w:w="379" w:type="pct"/>
            <w:vMerge/>
            <w:vAlign w:val="center"/>
          </w:tcPr>
          <w:p w14:paraId="4DAEC9AF" w14:textId="77777777" w:rsidR="00B14D53" w:rsidRDefault="00B14D53">
            <w:pPr>
              <w:widowControl/>
              <w:contextualSpacing/>
              <w:jc w:val="center"/>
              <w:rPr>
                <w:rFonts w:eastAsiaTheme="minorEastAsia"/>
                <w:snapToGrid w:val="0"/>
                <w:szCs w:val="21"/>
              </w:rPr>
            </w:pPr>
          </w:p>
        </w:tc>
        <w:tc>
          <w:tcPr>
            <w:tcW w:w="348" w:type="pct"/>
            <w:tcBorders>
              <w:top w:val="single" w:sz="4" w:space="0" w:color="auto"/>
              <w:bottom w:val="single" w:sz="4" w:space="0" w:color="auto"/>
            </w:tcBorders>
            <w:vAlign w:val="center"/>
          </w:tcPr>
          <w:p w14:paraId="457C1AE3" w14:textId="77777777" w:rsidR="00B14D53" w:rsidRDefault="00000000">
            <w:pPr>
              <w:widowControl/>
              <w:jc w:val="center"/>
              <w:textAlignment w:val="center"/>
              <w:rPr>
                <w:rFonts w:eastAsiaTheme="minorEastAsia"/>
                <w:snapToGrid w:val="0"/>
                <w:szCs w:val="21"/>
              </w:rPr>
            </w:pPr>
            <w:r>
              <w:rPr>
                <w:kern w:val="0"/>
                <w:szCs w:val="21"/>
                <w:lang w:bidi="ar"/>
              </w:rPr>
              <w:t>240</w:t>
            </w:r>
          </w:p>
        </w:tc>
        <w:tc>
          <w:tcPr>
            <w:tcW w:w="298" w:type="pct"/>
            <w:tcBorders>
              <w:top w:val="single" w:sz="4" w:space="0" w:color="auto"/>
              <w:bottom w:val="single" w:sz="4" w:space="0" w:color="auto"/>
            </w:tcBorders>
            <w:vAlign w:val="center"/>
          </w:tcPr>
          <w:p w14:paraId="452047E9" w14:textId="77777777" w:rsidR="00B14D53" w:rsidRDefault="00000000">
            <w:pPr>
              <w:widowControl/>
              <w:jc w:val="center"/>
              <w:textAlignment w:val="center"/>
              <w:rPr>
                <w:rFonts w:eastAsiaTheme="minorEastAsia"/>
                <w:snapToGrid w:val="0"/>
                <w:szCs w:val="21"/>
              </w:rPr>
            </w:pPr>
            <w:r>
              <w:rPr>
                <w:kern w:val="0"/>
                <w:szCs w:val="21"/>
                <w:lang w:bidi="ar"/>
              </w:rPr>
              <w:t>/</w:t>
            </w:r>
          </w:p>
        </w:tc>
      </w:tr>
      <w:tr w:rsidR="00B14D53" w14:paraId="14663543" w14:textId="77777777">
        <w:trPr>
          <w:trHeight w:val="65"/>
          <w:jc w:val="center"/>
        </w:trPr>
        <w:tc>
          <w:tcPr>
            <w:tcW w:w="226" w:type="pct"/>
            <w:vMerge/>
            <w:vAlign w:val="center"/>
          </w:tcPr>
          <w:p w14:paraId="28E0DC5D" w14:textId="77777777" w:rsidR="00B14D53" w:rsidRDefault="00B14D53">
            <w:pPr>
              <w:pStyle w:val="afff2"/>
              <w:spacing w:line="240" w:lineRule="auto"/>
              <w:contextualSpacing/>
              <w:rPr>
                <w:rFonts w:eastAsiaTheme="minorEastAsia" w:hAnsi="Times New Roman"/>
                <w:snapToGrid w:val="0"/>
              </w:rPr>
            </w:pPr>
          </w:p>
        </w:tc>
        <w:tc>
          <w:tcPr>
            <w:tcW w:w="237" w:type="pct"/>
            <w:vMerge/>
            <w:vAlign w:val="center"/>
          </w:tcPr>
          <w:p w14:paraId="5572A66A" w14:textId="77777777" w:rsidR="00B14D53" w:rsidRDefault="00B14D53">
            <w:pPr>
              <w:pStyle w:val="afff2"/>
              <w:spacing w:line="240" w:lineRule="auto"/>
              <w:contextualSpacing/>
              <w:rPr>
                <w:rFonts w:eastAsiaTheme="minorEastAsia" w:hAnsi="Times New Roman"/>
                <w:snapToGrid w:val="0"/>
              </w:rPr>
            </w:pPr>
          </w:p>
        </w:tc>
        <w:tc>
          <w:tcPr>
            <w:tcW w:w="415" w:type="pct"/>
            <w:vMerge/>
            <w:vAlign w:val="center"/>
          </w:tcPr>
          <w:p w14:paraId="2A671E0E"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50F8C7FE"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napToGrid w:val="0"/>
                <w:sz w:val="21"/>
                <w:szCs w:val="21"/>
              </w:rPr>
            </w:pPr>
            <w:r>
              <w:rPr>
                <w:rFonts w:ascii="Times New Roman" w:hAnsi="Times New Roman" w:cs="Times New Roman"/>
                <w:sz w:val="21"/>
                <w:szCs w:val="21"/>
              </w:rPr>
              <w:t>pH</w:t>
            </w:r>
          </w:p>
        </w:tc>
        <w:tc>
          <w:tcPr>
            <w:tcW w:w="251" w:type="pct"/>
            <w:vMerge/>
            <w:vAlign w:val="center"/>
          </w:tcPr>
          <w:p w14:paraId="731D2AFF" w14:textId="77777777" w:rsidR="00B14D53" w:rsidRDefault="00B14D53">
            <w:pPr>
              <w:widowControl/>
              <w:contextualSpacing/>
              <w:jc w:val="center"/>
              <w:rPr>
                <w:rFonts w:eastAsiaTheme="minorEastAsia"/>
                <w:snapToGrid w:val="0"/>
                <w:szCs w:val="21"/>
              </w:rPr>
            </w:pPr>
          </w:p>
        </w:tc>
        <w:tc>
          <w:tcPr>
            <w:tcW w:w="389" w:type="pct"/>
            <w:vMerge/>
            <w:vAlign w:val="center"/>
          </w:tcPr>
          <w:p w14:paraId="41075CAB" w14:textId="77777777" w:rsidR="00B14D53" w:rsidRDefault="00B14D53">
            <w:pPr>
              <w:pStyle w:val="afff2"/>
              <w:spacing w:line="240" w:lineRule="auto"/>
              <w:contextualSpacing/>
              <w:rPr>
                <w:rFonts w:eastAsiaTheme="minorEastAsia" w:hAnsi="Times New Roman"/>
                <w:snapToGrid w:val="0"/>
              </w:rPr>
            </w:pPr>
          </w:p>
        </w:tc>
        <w:tc>
          <w:tcPr>
            <w:tcW w:w="851" w:type="pct"/>
            <w:gridSpan w:val="2"/>
            <w:vAlign w:val="center"/>
          </w:tcPr>
          <w:p w14:paraId="527AD27A" w14:textId="77777777" w:rsidR="00B14D53" w:rsidRDefault="00000000">
            <w:pPr>
              <w:pStyle w:val="afff2"/>
              <w:spacing w:line="240" w:lineRule="auto"/>
              <w:contextualSpacing/>
              <w:rPr>
                <w:rFonts w:hAnsi="Times New Roman"/>
                <w:snapToGrid w:val="0"/>
              </w:rPr>
            </w:pPr>
            <w:r>
              <w:rPr>
                <w:rFonts w:hAnsi="Times New Roman"/>
                <w:snapToGrid w:val="0"/>
              </w:rPr>
              <w:t>7.2~7.3</w:t>
            </w:r>
            <w:r>
              <w:rPr>
                <w:rFonts w:hAnsi="Times New Roman"/>
                <w:snapToGrid w:val="0"/>
              </w:rPr>
              <w:t>无量纲</w:t>
            </w:r>
          </w:p>
        </w:tc>
        <w:tc>
          <w:tcPr>
            <w:tcW w:w="634" w:type="pct"/>
            <w:vMerge/>
            <w:vAlign w:val="center"/>
          </w:tcPr>
          <w:p w14:paraId="4CE981AA" w14:textId="77777777" w:rsidR="00B14D53" w:rsidRDefault="00B14D53">
            <w:pPr>
              <w:widowControl/>
              <w:contextualSpacing/>
              <w:jc w:val="center"/>
              <w:rPr>
                <w:rFonts w:eastAsiaTheme="minorEastAsia"/>
                <w:snapToGrid w:val="0"/>
                <w:szCs w:val="21"/>
              </w:rPr>
            </w:pPr>
          </w:p>
        </w:tc>
        <w:tc>
          <w:tcPr>
            <w:tcW w:w="295" w:type="pct"/>
            <w:tcBorders>
              <w:top w:val="single" w:sz="4" w:space="0" w:color="auto"/>
              <w:bottom w:val="single" w:sz="4" w:space="0" w:color="auto"/>
            </w:tcBorders>
            <w:vAlign w:val="center"/>
          </w:tcPr>
          <w:p w14:paraId="35202D73" w14:textId="77777777" w:rsidR="00B14D53" w:rsidRDefault="00000000">
            <w:pPr>
              <w:widowControl/>
              <w:contextualSpacing/>
              <w:jc w:val="center"/>
              <w:rPr>
                <w:rFonts w:eastAsiaTheme="minorEastAsia"/>
                <w:snapToGrid w:val="0"/>
                <w:szCs w:val="21"/>
              </w:rPr>
            </w:pPr>
            <w:r>
              <w:rPr>
                <w:rFonts w:eastAsiaTheme="minorEastAsia"/>
                <w:snapToGrid w:val="0"/>
                <w:szCs w:val="21"/>
              </w:rPr>
              <w:t>/</w:t>
            </w:r>
          </w:p>
        </w:tc>
        <w:tc>
          <w:tcPr>
            <w:tcW w:w="238" w:type="pct"/>
            <w:vMerge/>
            <w:vAlign w:val="center"/>
          </w:tcPr>
          <w:p w14:paraId="2E7C74B0" w14:textId="77777777" w:rsidR="00B14D53" w:rsidRDefault="00B14D53">
            <w:pPr>
              <w:widowControl/>
              <w:contextualSpacing/>
              <w:jc w:val="center"/>
              <w:rPr>
                <w:rFonts w:eastAsiaTheme="minorEastAsia"/>
                <w:snapToGrid w:val="0"/>
                <w:szCs w:val="21"/>
              </w:rPr>
            </w:pPr>
          </w:p>
        </w:tc>
        <w:tc>
          <w:tcPr>
            <w:tcW w:w="379" w:type="pct"/>
            <w:vMerge/>
            <w:vAlign w:val="center"/>
          </w:tcPr>
          <w:p w14:paraId="77954A98" w14:textId="77777777" w:rsidR="00B14D53" w:rsidRDefault="00B14D53">
            <w:pPr>
              <w:widowControl/>
              <w:contextualSpacing/>
              <w:jc w:val="center"/>
              <w:rPr>
                <w:rFonts w:eastAsiaTheme="minorEastAsia"/>
                <w:snapToGrid w:val="0"/>
                <w:szCs w:val="21"/>
              </w:rPr>
            </w:pPr>
          </w:p>
        </w:tc>
        <w:tc>
          <w:tcPr>
            <w:tcW w:w="646" w:type="pct"/>
            <w:gridSpan w:val="2"/>
            <w:tcBorders>
              <w:top w:val="single" w:sz="4" w:space="0" w:color="auto"/>
              <w:bottom w:val="single" w:sz="4" w:space="0" w:color="auto"/>
            </w:tcBorders>
            <w:vAlign w:val="center"/>
          </w:tcPr>
          <w:p w14:paraId="355B8E13" w14:textId="77777777" w:rsidR="00B14D53" w:rsidRDefault="00000000">
            <w:pPr>
              <w:widowControl/>
              <w:contextualSpacing/>
              <w:jc w:val="center"/>
              <w:rPr>
                <w:rFonts w:eastAsiaTheme="minorEastAsia"/>
                <w:snapToGrid w:val="0"/>
                <w:szCs w:val="21"/>
              </w:rPr>
            </w:pPr>
            <w:r>
              <w:rPr>
                <w:snapToGrid w:val="0"/>
                <w:szCs w:val="21"/>
              </w:rPr>
              <w:t>7.2~7.3</w:t>
            </w:r>
            <w:r>
              <w:rPr>
                <w:snapToGrid w:val="0"/>
                <w:szCs w:val="21"/>
              </w:rPr>
              <w:t>无量纲</w:t>
            </w:r>
          </w:p>
        </w:tc>
      </w:tr>
      <w:tr w:rsidR="00B14D53" w14:paraId="57C6187A" w14:textId="77777777">
        <w:trPr>
          <w:trHeight w:val="65"/>
          <w:jc w:val="center"/>
        </w:trPr>
        <w:tc>
          <w:tcPr>
            <w:tcW w:w="226" w:type="pct"/>
            <w:vMerge w:val="restart"/>
            <w:vAlign w:val="center"/>
          </w:tcPr>
          <w:p w14:paraId="30161452"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员工生活</w:t>
            </w:r>
          </w:p>
        </w:tc>
        <w:tc>
          <w:tcPr>
            <w:tcW w:w="237" w:type="pct"/>
            <w:vMerge w:val="restart"/>
            <w:vAlign w:val="center"/>
          </w:tcPr>
          <w:p w14:paraId="5A16647B"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员工生活</w:t>
            </w:r>
          </w:p>
        </w:tc>
        <w:tc>
          <w:tcPr>
            <w:tcW w:w="415" w:type="pct"/>
            <w:vMerge w:val="restart"/>
            <w:vAlign w:val="center"/>
          </w:tcPr>
          <w:p w14:paraId="2819A298"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生活污水</w:t>
            </w:r>
          </w:p>
        </w:tc>
        <w:tc>
          <w:tcPr>
            <w:tcW w:w="436" w:type="pct"/>
            <w:vAlign w:val="center"/>
          </w:tcPr>
          <w:p w14:paraId="7A7F67DF"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COD</w:t>
            </w:r>
          </w:p>
        </w:tc>
        <w:tc>
          <w:tcPr>
            <w:tcW w:w="251" w:type="pct"/>
            <w:vMerge w:val="restart"/>
            <w:vAlign w:val="center"/>
          </w:tcPr>
          <w:p w14:paraId="04C0E13C" w14:textId="77777777" w:rsidR="00B14D53" w:rsidRDefault="00000000">
            <w:pPr>
              <w:widowControl/>
              <w:contextualSpacing/>
              <w:jc w:val="center"/>
              <w:rPr>
                <w:rFonts w:eastAsiaTheme="minorEastAsia"/>
                <w:snapToGrid w:val="0"/>
                <w:szCs w:val="21"/>
              </w:rPr>
            </w:pPr>
            <w:r>
              <w:rPr>
                <w:rFonts w:eastAsiaTheme="minorEastAsia"/>
                <w:snapToGrid w:val="0"/>
                <w:szCs w:val="21"/>
              </w:rPr>
              <w:t>类比法</w:t>
            </w:r>
          </w:p>
        </w:tc>
        <w:tc>
          <w:tcPr>
            <w:tcW w:w="389" w:type="pct"/>
            <w:vMerge w:val="restart"/>
            <w:vAlign w:val="center"/>
          </w:tcPr>
          <w:p w14:paraId="768D5ACA"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326.4</w:t>
            </w:r>
          </w:p>
        </w:tc>
        <w:tc>
          <w:tcPr>
            <w:tcW w:w="468" w:type="pct"/>
            <w:tcBorders>
              <w:right w:val="single" w:sz="4" w:space="0" w:color="auto"/>
            </w:tcBorders>
            <w:vAlign w:val="center"/>
          </w:tcPr>
          <w:p w14:paraId="27E0E6BA" w14:textId="77777777" w:rsidR="00B14D53" w:rsidRDefault="00000000">
            <w:pPr>
              <w:widowControl/>
              <w:jc w:val="center"/>
              <w:textAlignment w:val="center"/>
              <w:rPr>
                <w:snapToGrid w:val="0"/>
                <w:szCs w:val="21"/>
              </w:rPr>
            </w:pPr>
            <w:r>
              <w:rPr>
                <w:kern w:val="0"/>
                <w:szCs w:val="21"/>
                <w:lang w:bidi="ar"/>
              </w:rPr>
              <w:t>226</w:t>
            </w:r>
          </w:p>
        </w:tc>
        <w:tc>
          <w:tcPr>
            <w:tcW w:w="382" w:type="pct"/>
            <w:tcBorders>
              <w:left w:val="single" w:sz="4" w:space="0" w:color="auto"/>
            </w:tcBorders>
            <w:vAlign w:val="center"/>
          </w:tcPr>
          <w:p w14:paraId="7A004469" w14:textId="77777777" w:rsidR="00B14D53" w:rsidRDefault="00000000">
            <w:pPr>
              <w:widowControl/>
              <w:jc w:val="center"/>
              <w:textAlignment w:val="center"/>
              <w:rPr>
                <w:snapToGrid w:val="0"/>
                <w:szCs w:val="21"/>
              </w:rPr>
            </w:pPr>
            <w:r>
              <w:rPr>
                <w:kern w:val="0"/>
                <w:szCs w:val="21"/>
                <w:lang w:bidi="ar"/>
              </w:rPr>
              <w:t>0.07</w:t>
            </w:r>
          </w:p>
        </w:tc>
        <w:tc>
          <w:tcPr>
            <w:tcW w:w="634" w:type="pct"/>
            <w:vMerge w:val="restart"/>
            <w:vAlign w:val="center"/>
          </w:tcPr>
          <w:p w14:paraId="774D5DFD" w14:textId="77777777" w:rsidR="00B14D53" w:rsidRDefault="00000000">
            <w:pPr>
              <w:widowControl/>
              <w:contextualSpacing/>
              <w:jc w:val="center"/>
              <w:rPr>
                <w:rFonts w:eastAsiaTheme="minorEastAsia"/>
                <w:snapToGrid w:val="0"/>
                <w:szCs w:val="21"/>
              </w:rPr>
            </w:pPr>
            <w:r>
              <w:rPr>
                <w:rFonts w:eastAsiaTheme="minorEastAsia"/>
                <w:snapToGrid w:val="0"/>
                <w:szCs w:val="21"/>
              </w:rPr>
              <w:t>/</w:t>
            </w:r>
          </w:p>
        </w:tc>
        <w:tc>
          <w:tcPr>
            <w:tcW w:w="295" w:type="pct"/>
            <w:vMerge w:val="restart"/>
            <w:tcBorders>
              <w:top w:val="single" w:sz="4" w:space="0" w:color="auto"/>
            </w:tcBorders>
            <w:vAlign w:val="center"/>
          </w:tcPr>
          <w:p w14:paraId="6E1B97D6" w14:textId="77777777" w:rsidR="00B14D53" w:rsidRDefault="00000000">
            <w:pPr>
              <w:widowControl/>
              <w:contextualSpacing/>
              <w:jc w:val="center"/>
              <w:rPr>
                <w:rFonts w:eastAsiaTheme="minorEastAsia"/>
                <w:snapToGrid w:val="0"/>
                <w:szCs w:val="21"/>
              </w:rPr>
            </w:pPr>
            <w:r>
              <w:rPr>
                <w:rFonts w:eastAsiaTheme="minorEastAsia"/>
                <w:snapToGrid w:val="0"/>
                <w:szCs w:val="21"/>
              </w:rPr>
              <w:t>/</w:t>
            </w:r>
          </w:p>
        </w:tc>
        <w:tc>
          <w:tcPr>
            <w:tcW w:w="238" w:type="pct"/>
            <w:vMerge w:val="restart"/>
            <w:vAlign w:val="center"/>
          </w:tcPr>
          <w:p w14:paraId="339CE05C" w14:textId="77777777" w:rsidR="00B14D53" w:rsidRDefault="00000000">
            <w:pPr>
              <w:widowControl/>
              <w:contextualSpacing/>
              <w:jc w:val="center"/>
              <w:rPr>
                <w:rFonts w:eastAsiaTheme="minorEastAsia"/>
                <w:snapToGrid w:val="0"/>
                <w:szCs w:val="21"/>
              </w:rPr>
            </w:pPr>
            <w:r>
              <w:rPr>
                <w:rFonts w:eastAsiaTheme="minorEastAsia"/>
                <w:snapToGrid w:val="0"/>
                <w:szCs w:val="21"/>
              </w:rPr>
              <w:t>物料衡算法</w:t>
            </w:r>
          </w:p>
        </w:tc>
        <w:tc>
          <w:tcPr>
            <w:tcW w:w="379" w:type="pct"/>
            <w:vMerge w:val="restart"/>
            <w:vAlign w:val="center"/>
          </w:tcPr>
          <w:p w14:paraId="2457E764"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snapToGrid w:val="0"/>
              </w:rPr>
              <w:t>326.4</w:t>
            </w:r>
          </w:p>
        </w:tc>
        <w:tc>
          <w:tcPr>
            <w:tcW w:w="348" w:type="pct"/>
            <w:tcBorders>
              <w:top w:val="single" w:sz="4" w:space="0" w:color="auto"/>
              <w:bottom w:val="single" w:sz="4" w:space="0" w:color="auto"/>
            </w:tcBorders>
            <w:vAlign w:val="center"/>
          </w:tcPr>
          <w:p w14:paraId="5B54A31F" w14:textId="77777777" w:rsidR="00B14D53" w:rsidRDefault="00000000">
            <w:pPr>
              <w:widowControl/>
              <w:jc w:val="center"/>
              <w:textAlignment w:val="center"/>
              <w:rPr>
                <w:rFonts w:eastAsiaTheme="minorEastAsia"/>
                <w:snapToGrid w:val="0"/>
                <w:szCs w:val="21"/>
              </w:rPr>
            </w:pPr>
            <w:r>
              <w:rPr>
                <w:kern w:val="0"/>
                <w:szCs w:val="21"/>
                <w:lang w:bidi="ar"/>
              </w:rPr>
              <w:t>226</w:t>
            </w:r>
          </w:p>
        </w:tc>
        <w:tc>
          <w:tcPr>
            <w:tcW w:w="298" w:type="pct"/>
            <w:tcBorders>
              <w:top w:val="single" w:sz="4" w:space="0" w:color="auto"/>
              <w:bottom w:val="single" w:sz="4" w:space="0" w:color="auto"/>
            </w:tcBorders>
            <w:vAlign w:val="center"/>
          </w:tcPr>
          <w:p w14:paraId="5902B427" w14:textId="77777777" w:rsidR="00B14D53" w:rsidRDefault="00000000">
            <w:pPr>
              <w:widowControl/>
              <w:jc w:val="center"/>
              <w:textAlignment w:val="center"/>
              <w:rPr>
                <w:rFonts w:eastAsiaTheme="minorEastAsia"/>
                <w:snapToGrid w:val="0"/>
                <w:szCs w:val="21"/>
              </w:rPr>
            </w:pPr>
            <w:r>
              <w:rPr>
                <w:kern w:val="0"/>
                <w:szCs w:val="21"/>
                <w:lang w:bidi="ar"/>
              </w:rPr>
              <w:t>0.07</w:t>
            </w:r>
          </w:p>
        </w:tc>
      </w:tr>
      <w:tr w:rsidR="00B14D53" w14:paraId="278468D2" w14:textId="77777777">
        <w:trPr>
          <w:trHeight w:val="65"/>
          <w:jc w:val="center"/>
        </w:trPr>
        <w:tc>
          <w:tcPr>
            <w:tcW w:w="226" w:type="pct"/>
            <w:vMerge/>
            <w:vAlign w:val="center"/>
          </w:tcPr>
          <w:p w14:paraId="65A5F821" w14:textId="77777777" w:rsidR="00B14D53" w:rsidRDefault="00B14D53">
            <w:pPr>
              <w:pStyle w:val="afff2"/>
              <w:spacing w:line="240" w:lineRule="auto"/>
              <w:contextualSpacing/>
              <w:rPr>
                <w:rFonts w:eastAsiaTheme="minorEastAsia" w:hAnsi="Times New Roman"/>
                <w:snapToGrid w:val="0"/>
              </w:rPr>
            </w:pPr>
          </w:p>
        </w:tc>
        <w:tc>
          <w:tcPr>
            <w:tcW w:w="237" w:type="pct"/>
            <w:vMerge/>
            <w:vAlign w:val="center"/>
          </w:tcPr>
          <w:p w14:paraId="2B2CF4D6" w14:textId="77777777" w:rsidR="00B14D53" w:rsidRDefault="00B14D53">
            <w:pPr>
              <w:pStyle w:val="afff2"/>
              <w:spacing w:line="240" w:lineRule="auto"/>
              <w:contextualSpacing/>
              <w:rPr>
                <w:rFonts w:eastAsiaTheme="minorEastAsia" w:hAnsi="Times New Roman"/>
                <w:snapToGrid w:val="0"/>
              </w:rPr>
            </w:pPr>
          </w:p>
        </w:tc>
        <w:tc>
          <w:tcPr>
            <w:tcW w:w="415" w:type="pct"/>
            <w:vMerge/>
            <w:vAlign w:val="center"/>
          </w:tcPr>
          <w:p w14:paraId="76B99054"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47E2D782"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251" w:type="pct"/>
            <w:vMerge/>
            <w:vAlign w:val="center"/>
          </w:tcPr>
          <w:p w14:paraId="64726CC4" w14:textId="77777777" w:rsidR="00B14D53" w:rsidRDefault="00B14D53">
            <w:pPr>
              <w:widowControl/>
              <w:contextualSpacing/>
              <w:jc w:val="center"/>
              <w:rPr>
                <w:rFonts w:eastAsiaTheme="minorEastAsia"/>
                <w:snapToGrid w:val="0"/>
                <w:szCs w:val="21"/>
              </w:rPr>
            </w:pPr>
          </w:p>
        </w:tc>
        <w:tc>
          <w:tcPr>
            <w:tcW w:w="389" w:type="pct"/>
            <w:vMerge/>
            <w:vAlign w:val="center"/>
          </w:tcPr>
          <w:p w14:paraId="14C3938A" w14:textId="77777777" w:rsidR="00B14D53" w:rsidRDefault="00B14D53">
            <w:pPr>
              <w:pStyle w:val="afff2"/>
              <w:spacing w:line="240" w:lineRule="auto"/>
              <w:contextualSpacing/>
              <w:rPr>
                <w:rFonts w:eastAsiaTheme="minorEastAsia" w:hAnsi="Times New Roman"/>
                <w:snapToGrid w:val="0"/>
              </w:rPr>
            </w:pPr>
          </w:p>
        </w:tc>
        <w:tc>
          <w:tcPr>
            <w:tcW w:w="468" w:type="pct"/>
            <w:tcBorders>
              <w:right w:val="single" w:sz="4" w:space="0" w:color="auto"/>
            </w:tcBorders>
            <w:vAlign w:val="center"/>
          </w:tcPr>
          <w:p w14:paraId="2DFFE409" w14:textId="77777777" w:rsidR="00B14D53" w:rsidRDefault="00000000">
            <w:pPr>
              <w:widowControl/>
              <w:jc w:val="center"/>
              <w:textAlignment w:val="center"/>
              <w:rPr>
                <w:snapToGrid w:val="0"/>
                <w:szCs w:val="21"/>
              </w:rPr>
            </w:pPr>
            <w:r>
              <w:rPr>
                <w:kern w:val="0"/>
                <w:szCs w:val="21"/>
                <w:lang w:bidi="ar"/>
              </w:rPr>
              <w:t>78.6</w:t>
            </w:r>
          </w:p>
        </w:tc>
        <w:tc>
          <w:tcPr>
            <w:tcW w:w="382" w:type="pct"/>
            <w:tcBorders>
              <w:left w:val="single" w:sz="4" w:space="0" w:color="auto"/>
            </w:tcBorders>
            <w:vAlign w:val="center"/>
          </w:tcPr>
          <w:p w14:paraId="4CDBEB03" w14:textId="77777777" w:rsidR="00B14D53" w:rsidRDefault="00000000">
            <w:pPr>
              <w:widowControl/>
              <w:jc w:val="center"/>
              <w:textAlignment w:val="center"/>
              <w:rPr>
                <w:snapToGrid w:val="0"/>
                <w:szCs w:val="21"/>
              </w:rPr>
            </w:pPr>
            <w:r>
              <w:rPr>
                <w:kern w:val="0"/>
                <w:szCs w:val="21"/>
                <w:lang w:bidi="ar"/>
              </w:rPr>
              <w:t>0.03</w:t>
            </w:r>
          </w:p>
        </w:tc>
        <w:tc>
          <w:tcPr>
            <w:tcW w:w="634" w:type="pct"/>
            <w:vMerge/>
            <w:vAlign w:val="center"/>
          </w:tcPr>
          <w:p w14:paraId="2BD39F58" w14:textId="77777777" w:rsidR="00B14D53" w:rsidRDefault="00B14D53">
            <w:pPr>
              <w:widowControl/>
              <w:contextualSpacing/>
              <w:jc w:val="center"/>
              <w:rPr>
                <w:rFonts w:eastAsiaTheme="minorEastAsia"/>
                <w:snapToGrid w:val="0"/>
                <w:szCs w:val="21"/>
              </w:rPr>
            </w:pPr>
          </w:p>
        </w:tc>
        <w:tc>
          <w:tcPr>
            <w:tcW w:w="295" w:type="pct"/>
            <w:vMerge/>
            <w:vAlign w:val="center"/>
          </w:tcPr>
          <w:p w14:paraId="7094B0DB" w14:textId="77777777" w:rsidR="00B14D53" w:rsidRDefault="00B14D53">
            <w:pPr>
              <w:widowControl/>
              <w:contextualSpacing/>
              <w:jc w:val="center"/>
              <w:rPr>
                <w:rFonts w:eastAsiaTheme="minorEastAsia"/>
                <w:snapToGrid w:val="0"/>
                <w:szCs w:val="21"/>
              </w:rPr>
            </w:pPr>
          </w:p>
        </w:tc>
        <w:tc>
          <w:tcPr>
            <w:tcW w:w="238" w:type="pct"/>
            <w:vMerge/>
            <w:vAlign w:val="center"/>
          </w:tcPr>
          <w:p w14:paraId="1351C31D" w14:textId="77777777" w:rsidR="00B14D53" w:rsidRDefault="00B14D53">
            <w:pPr>
              <w:widowControl/>
              <w:contextualSpacing/>
              <w:jc w:val="center"/>
              <w:rPr>
                <w:rFonts w:eastAsiaTheme="minorEastAsia"/>
                <w:snapToGrid w:val="0"/>
                <w:szCs w:val="21"/>
              </w:rPr>
            </w:pPr>
          </w:p>
        </w:tc>
        <w:tc>
          <w:tcPr>
            <w:tcW w:w="379" w:type="pct"/>
            <w:vMerge/>
            <w:vAlign w:val="center"/>
          </w:tcPr>
          <w:p w14:paraId="42B6E542" w14:textId="77777777" w:rsidR="00B14D53" w:rsidRDefault="00B14D53">
            <w:pPr>
              <w:widowControl/>
              <w:contextualSpacing/>
              <w:jc w:val="center"/>
              <w:rPr>
                <w:rFonts w:eastAsiaTheme="minorEastAsia"/>
                <w:snapToGrid w:val="0"/>
                <w:szCs w:val="21"/>
              </w:rPr>
            </w:pPr>
          </w:p>
        </w:tc>
        <w:tc>
          <w:tcPr>
            <w:tcW w:w="348" w:type="pct"/>
            <w:tcBorders>
              <w:top w:val="single" w:sz="4" w:space="0" w:color="auto"/>
              <w:bottom w:val="single" w:sz="4" w:space="0" w:color="auto"/>
            </w:tcBorders>
            <w:vAlign w:val="center"/>
          </w:tcPr>
          <w:p w14:paraId="7D85F7E1" w14:textId="77777777" w:rsidR="00B14D53" w:rsidRDefault="00000000">
            <w:pPr>
              <w:widowControl/>
              <w:jc w:val="center"/>
              <w:textAlignment w:val="center"/>
              <w:rPr>
                <w:rFonts w:eastAsiaTheme="minorEastAsia"/>
                <w:snapToGrid w:val="0"/>
                <w:szCs w:val="21"/>
              </w:rPr>
            </w:pPr>
            <w:r>
              <w:rPr>
                <w:kern w:val="0"/>
                <w:szCs w:val="21"/>
                <w:lang w:bidi="ar"/>
              </w:rPr>
              <w:t>78.6</w:t>
            </w:r>
          </w:p>
        </w:tc>
        <w:tc>
          <w:tcPr>
            <w:tcW w:w="298" w:type="pct"/>
            <w:tcBorders>
              <w:top w:val="single" w:sz="4" w:space="0" w:color="auto"/>
              <w:bottom w:val="single" w:sz="4" w:space="0" w:color="auto"/>
            </w:tcBorders>
            <w:vAlign w:val="center"/>
          </w:tcPr>
          <w:p w14:paraId="178369F4" w14:textId="77777777" w:rsidR="00B14D53" w:rsidRDefault="00000000">
            <w:pPr>
              <w:widowControl/>
              <w:jc w:val="center"/>
              <w:textAlignment w:val="center"/>
              <w:rPr>
                <w:rFonts w:eastAsiaTheme="minorEastAsia"/>
                <w:snapToGrid w:val="0"/>
                <w:szCs w:val="21"/>
              </w:rPr>
            </w:pPr>
            <w:r>
              <w:rPr>
                <w:kern w:val="0"/>
                <w:szCs w:val="21"/>
                <w:lang w:bidi="ar"/>
              </w:rPr>
              <w:t>0.03</w:t>
            </w:r>
          </w:p>
        </w:tc>
      </w:tr>
      <w:tr w:rsidR="00B14D53" w14:paraId="32D40013" w14:textId="77777777">
        <w:trPr>
          <w:trHeight w:val="65"/>
          <w:jc w:val="center"/>
        </w:trPr>
        <w:tc>
          <w:tcPr>
            <w:tcW w:w="226" w:type="pct"/>
            <w:vMerge/>
            <w:vAlign w:val="center"/>
          </w:tcPr>
          <w:p w14:paraId="1DB5F617" w14:textId="77777777" w:rsidR="00B14D53" w:rsidRDefault="00B14D53">
            <w:pPr>
              <w:pStyle w:val="afff2"/>
              <w:spacing w:line="240" w:lineRule="auto"/>
              <w:contextualSpacing/>
              <w:rPr>
                <w:rFonts w:eastAsiaTheme="minorEastAsia" w:hAnsi="Times New Roman"/>
                <w:snapToGrid w:val="0"/>
              </w:rPr>
            </w:pPr>
          </w:p>
        </w:tc>
        <w:tc>
          <w:tcPr>
            <w:tcW w:w="237" w:type="pct"/>
            <w:vMerge/>
            <w:vAlign w:val="center"/>
          </w:tcPr>
          <w:p w14:paraId="68AE93DD" w14:textId="77777777" w:rsidR="00B14D53" w:rsidRDefault="00B14D53">
            <w:pPr>
              <w:pStyle w:val="afff2"/>
              <w:spacing w:line="240" w:lineRule="auto"/>
              <w:contextualSpacing/>
              <w:rPr>
                <w:rFonts w:eastAsiaTheme="minorEastAsia" w:hAnsi="Times New Roman"/>
                <w:snapToGrid w:val="0"/>
              </w:rPr>
            </w:pPr>
          </w:p>
        </w:tc>
        <w:tc>
          <w:tcPr>
            <w:tcW w:w="415" w:type="pct"/>
            <w:vMerge/>
            <w:vAlign w:val="center"/>
          </w:tcPr>
          <w:p w14:paraId="0C6B7861"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11F5D4B8"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氨氮</w:t>
            </w:r>
          </w:p>
        </w:tc>
        <w:tc>
          <w:tcPr>
            <w:tcW w:w="251" w:type="pct"/>
            <w:vMerge/>
            <w:vAlign w:val="center"/>
          </w:tcPr>
          <w:p w14:paraId="1EEE4228" w14:textId="77777777" w:rsidR="00B14D53" w:rsidRDefault="00B14D53">
            <w:pPr>
              <w:widowControl/>
              <w:contextualSpacing/>
              <w:jc w:val="center"/>
              <w:rPr>
                <w:rFonts w:eastAsiaTheme="minorEastAsia"/>
                <w:snapToGrid w:val="0"/>
                <w:szCs w:val="21"/>
              </w:rPr>
            </w:pPr>
          </w:p>
        </w:tc>
        <w:tc>
          <w:tcPr>
            <w:tcW w:w="389" w:type="pct"/>
            <w:vMerge/>
            <w:vAlign w:val="center"/>
          </w:tcPr>
          <w:p w14:paraId="356CAB8F" w14:textId="77777777" w:rsidR="00B14D53" w:rsidRDefault="00B14D53">
            <w:pPr>
              <w:pStyle w:val="afff2"/>
              <w:spacing w:line="240" w:lineRule="auto"/>
              <w:contextualSpacing/>
              <w:rPr>
                <w:rFonts w:eastAsiaTheme="minorEastAsia" w:hAnsi="Times New Roman"/>
                <w:snapToGrid w:val="0"/>
              </w:rPr>
            </w:pPr>
          </w:p>
        </w:tc>
        <w:tc>
          <w:tcPr>
            <w:tcW w:w="468" w:type="pct"/>
            <w:tcBorders>
              <w:right w:val="single" w:sz="4" w:space="0" w:color="auto"/>
            </w:tcBorders>
            <w:vAlign w:val="center"/>
          </w:tcPr>
          <w:p w14:paraId="24FE5B2D" w14:textId="77777777" w:rsidR="00B14D53" w:rsidRDefault="00000000">
            <w:pPr>
              <w:widowControl/>
              <w:jc w:val="center"/>
              <w:textAlignment w:val="center"/>
              <w:rPr>
                <w:snapToGrid w:val="0"/>
                <w:szCs w:val="21"/>
              </w:rPr>
            </w:pPr>
            <w:r>
              <w:rPr>
                <w:kern w:val="0"/>
                <w:szCs w:val="21"/>
                <w:lang w:bidi="ar"/>
              </w:rPr>
              <w:t>2.25</w:t>
            </w:r>
          </w:p>
        </w:tc>
        <w:tc>
          <w:tcPr>
            <w:tcW w:w="382" w:type="pct"/>
            <w:tcBorders>
              <w:left w:val="single" w:sz="4" w:space="0" w:color="auto"/>
            </w:tcBorders>
            <w:vAlign w:val="center"/>
          </w:tcPr>
          <w:p w14:paraId="4CFC991A" w14:textId="77777777" w:rsidR="00B14D53" w:rsidRDefault="00000000">
            <w:pPr>
              <w:widowControl/>
              <w:jc w:val="center"/>
              <w:textAlignment w:val="center"/>
              <w:rPr>
                <w:snapToGrid w:val="0"/>
                <w:szCs w:val="21"/>
              </w:rPr>
            </w:pPr>
            <w:r>
              <w:rPr>
                <w:kern w:val="0"/>
                <w:szCs w:val="21"/>
                <w:lang w:bidi="ar"/>
              </w:rPr>
              <w:t>0.0007</w:t>
            </w:r>
          </w:p>
        </w:tc>
        <w:tc>
          <w:tcPr>
            <w:tcW w:w="634" w:type="pct"/>
            <w:vMerge/>
            <w:vAlign w:val="center"/>
          </w:tcPr>
          <w:p w14:paraId="118A466D" w14:textId="77777777" w:rsidR="00B14D53" w:rsidRDefault="00B14D53">
            <w:pPr>
              <w:widowControl/>
              <w:contextualSpacing/>
              <w:jc w:val="center"/>
              <w:rPr>
                <w:rFonts w:eastAsiaTheme="minorEastAsia"/>
                <w:snapToGrid w:val="0"/>
                <w:szCs w:val="21"/>
              </w:rPr>
            </w:pPr>
          </w:p>
        </w:tc>
        <w:tc>
          <w:tcPr>
            <w:tcW w:w="295" w:type="pct"/>
            <w:vMerge/>
            <w:vAlign w:val="center"/>
          </w:tcPr>
          <w:p w14:paraId="00BC7E1F" w14:textId="77777777" w:rsidR="00B14D53" w:rsidRDefault="00B14D53">
            <w:pPr>
              <w:widowControl/>
              <w:contextualSpacing/>
              <w:jc w:val="center"/>
              <w:rPr>
                <w:rFonts w:eastAsiaTheme="minorEastAsia"/>
                <w:snapToGrid w:val="0"/>
                <w:szCs w:val="21"/>
              </w:rPr>
            </w:pPr>
          </w:p>
        </w:tc>
        <w:tc>
          <w:tcPr>
            <w:tcW w:w="238" w:type="pct"/>
            <w:vMerge/>
            <w:vAlign w:val="center"/>
          </w:tcPr>
          <w:p w14:paraId="5A3F196B" w14:textId="77777777" w:rsidR="00B14D53" w:rsidRDefault="00B14D53">
            <w:pPr>
              <w:widowControl/>
              <w:contextualSpacing/>
              <w:jc w:val="center"/>
              <w:rPr>
                <w:rFonts w:eastAsiaTheme="minorEastAsia"/>
                <w:snapToGrid w:val="0"/>
                <w:szCs w:val="21"/>
              </w:rPr>
            </w:pPr>
          </w:p>
        </w:tc>
        <w:tc>
          <w:tcPr>
            <w:tcW w:w="379" w:type="pct"/>
            <w:vMerge/>
            <w:vAlign w:val="center"/>
          </w:tcPr>
          <w:p w14:paraId="41BEF384" w14:textId="77777777" w:rsidR="00B14D53" w:rsidRDefault="00B14D53">
            <w:pPr>
              <w:widowControl/>
              <w:contextualSpacing/>
              <w:jc w:val="center"/>
              <w:rPr>
                <w:rFonts w:eastAsiaTheme="minorEastAsia"/>
                <w:snapToGrid w:val="0"/>
                <w:szCs w:val="21"/>
              </w:rPr>
            </w:pPr>
          </w:p>
        </w:tc>
        <w:tc>
          <w:tcPr>
            <w:tcW w:w="348" w:type="pct"/>
            <w:tcBorders>
              <w:top w:val="single" w:sz="4" w:space="0" w:color="auto"/>
              <w:bottom w:val="single" w:sz="4" w:space="0" w:color="auto"/>
            </w:tcBorders>
            <w:vAlign w:val="center"/>
          </w:tcPr>
          <w:p w14:paraId="5590E57F" w14:textId="77777777" w:rsidR="00B14D53" w:rsidRDefault="00000000">
            <w:pPr>
              <w:widowControl/>
              <w:jc w:val="center"/>
              <w:textAlignment w:val="center"/>
              <w:rPr>
                <w:rFonts w:eastAsiaTheme="minorEastAsia"/>
                <w:snapToGrid w:val="0"/>
                <w:szCs w:val="21"/>
              </w:rPr>
            </w:pPr>
            <w:r>
              <w:rPr>
                <w:kern w:val="0"/>
                <w:szCs w:val="21"/>
                <w:lang w:bidi="ar"/>
              </w:rPr>
              <w:t>2.25</w:t>
            </w:r>
          </w:p>
        </w:tc>
        <w:tc>
          <w:tcPr>
            <w:tcW w:w="298" w:type="pct"/>
            <w:tcBorders>
              <w:top w:val="single" w:sz="4" w:space="0" w:color="auto"/>
              <w:bottom w:val="single" w:sz="4" w:space="0" w:color="auto"/>
            </w:tcBorders>
            <w:vAlign w:val="center"/>
          </w:tcPr>
          <w:p w14:paraId="32C10B1C" w14:textId="77777777" w:rsidR="00B14D53" w:rsidRDefault="00000000">
            <w:pPr>
              <w:widowControl/>
              <w:jc w:val="center"/>
              <w:textAlignment w:val="center"/>
              <w:rPr>
                <w:rFonts w:eastAsiaTheme="minorEastAsia"/>
                <w:snapToGrid w:val="0"/>
                <w:szCs w:val="21"/>
              </w:rPr>
            </w:pPr>
            <w:r>
              <w:rPr>
                <w:kern w:val="0"/>
                <w:szCs w:val="21"/>
                <w:lang w:bidi="ar"/>
              </w:rPr>
              <w:t>0.0007</w:t>
            </w:r>
          </w:p>
        </w:tc>
      </w:tr>
      <w:tr w:rsidR="00B14D53" w14:paraId="6889AB50" w14:textId="77777777">
        <w:trPr>
          <w:trHeight w:val="65"/>
          <w:jc w:val="center"/>
        </w:trPr>
        <w:tc>
          <w:tcPr>
            <w:tcW w:w="226" w:type="pct"/>
            <w:vMerge/>
            <w:vAlign w:val="center"/>
          </w:tcPr>
          <w:p w14:paraId="0A1396A6" w14:textId="77777777" w:rsidR="00B14D53" w:rsidRDefault="00B14D53">
            <w:pPr>
              <w:pStyle w:val="afff2"/>
              <w:spacing w:line="240" w:lineRule="auto"/>
              <w:contextualSpacing/>
              <w:rPr>
                <w:rFonts w:eastAsiaTheme="minorEastAsia" w:hAnsi="Times New Roman"/>
                <w:snapToGrid w:val="0"/>
              </w:rPr>
            </w:pPr>
          </w:p>
        </w:tc>
        <w:tc>
          <w:tcPr>
            <w:tcW w:w="237" w:type="pct"/>
            <w:vMerge/>
            <w:vAlign w:val="center"/>
          </w:tcPr>
          <w:p w14:paraId="2C870532" w14:textId="77777777" w:rsidR="00B14D53" w:rsidRDefault="00B14D53">
            <w:pPr>
              <w:pStyle w:val="afff2"/>
              <w:spacing w:line="240" w:lineRule="auto"/>
              <w:contextualSpacing/>
              <w:rPr>
                <w:rFonts w:eastAsiaTheme="minorEastAsia" w:hAnsi="Times New Roman"/>
                <w:snapToGrid w:val="0"/>
              </w:rPr>
            </w:pPr>
          </w:p>
        </w:tc>
        <w:tc>
          <w:tcPr>
            <w:tcW w:w="415" w:type="pct"/>
            <w:vMerge/>
            <w:vAlign w:val="center"/>
          </w:tcPr>
          <w:p w14:paraId="52DF0D0E"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5204AD46"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动植物油</w:t>
            </w:r>
          </w:p>
        </w:tc>
        <w:tc>
          <w:tcPr>
            <w:tcW w:w="251" w:type="pct"/>
            <w:vMerge/>
            <w:vAlign w:val="center"/>
          </w:tcPr>
          <w:p w14:paraId="18783272" w14:textId="77777777" w:rsidR="00B14D53" w:rsidRDefault="00B14D53">
            <w:pPr>
              <w:widowControl/>
              <w:contextualSpacing/>
              <w:jc w:val="center"/>
              <w:rPr>
                <w:rFonts w:eastAsiaTheme="minorEastAsia"/>
                <w:snapToGrid w:val="0"/>
                <w:szCs w:val="21"/>
              </w:rPr>
            </w:pPr>
          </w:p>
        </w:tc>
        <w:tc>
          <w:tcPr>
            <w:tcW w:w="389" w:type="pct"/>
            <w:vMerge/>
            <w:vAlign w:val="center"/>
          </w:tcPr>
          <w:p w14:paraId="5633F4FD" w14:textId="77777777" w:rsidR="00B14D53" w:rsidRDefault="00B14D53">
            <w:pPr>
              <w:pStyle w:val="afff2"/>
              <w:spacing w:line="240" w:lineRule="auto"/>
              <w:contextualSpacing/>
              <w:rPr>
                <w:rFonts w:eastAsiaTheme="minorEastAsia" w:hAnsi="Times New Roman"/>
                <w:snapToGrid w:val="0"/>
              </w:rPr>
            </w:pPr>
          </w:p>
        </w:tc>
        <w:tc>
          <w:tcPr>
            <w:tcW w:w="468" w:type="pct"/>
            <w:tcBorders>
              <w:right w:val="single" w:sz="4" w:space="0" w:color="auto"/>
            </w:tcBorders>
            <w:vAlign w:val="center"/>
          </w:tcPr>
          <w:p w14:paraId="224A62E2" w14:textId="77777777" w:rsidR="00B14D53" w:rsidRDefault="00000000">
            <w:pPr>
              <w:widowControl/>
              <w:jc w:val="center"/>
              <w:textAlignment w:val="center"/>
              <w:rPr>
                <w:snapToGrid w:val="0"/>
                <w:szCs w:val="21"/>
              </w:rPr>
            </w:pPr>
            <w:r>
              <w:rPr>
                <w:kern w:val="0"/>
                <w:szCs w:val="21"/>
                <w:lang w:bidi="ar"/>
              </w:rPr>
              <w:t>0.8</w:t>
            </w:r>
          </w:p>
        </w:tc>
        <w:tc>
          <w:tcPr>
            <w:tcW w:w="382" w:type="pct"/>
            <w:tcBorders>
              <w:left w:val="single" w:sz="4" w:space="0" w:color="auto"/>
            </w:tcBorders>
            <w:vAlign w:val="center"/>
          </w:tcPr>
          <w:p w14:paraId="1AC02AD5" w14:textId="77777777" w:rsidR="00B14D53" w:rsidRDefault="00000000">
            <w:pPr>
              <w:widowControl/>
              <w:jc w:val="center"/>
              <w:textAlignment w:val="center"/>
              <w:rPr>
                <w:snapToGrid w:val="0"/>
                <w:szCs w:val="21"/>
              </w:rPr>
            </w:pPr>
            <w:r>
              <w:rPr>
                <w:kern w:val="0"/>
                <w:szCs w:val="21"/>
                <w:lang w:bidi="ar"/>
              </w:rPr>
              <w:t>0.0003</w:t>
            </w:r>
          </w:p>
        </w:tc>
        <w:tc>
          <w:tcPr>
            <w:tcW w:w="634" w:type="pct"/>
            <w:vMerge/>
            <w:vAlign w:val="center"/>
          </w:tcPr>
          <w:p w14:paraId="5937DFBB" w14:textId="77777777" w:rsidR="00B14D53" w:rsidRDefault="00B14D53">
            <w:pPr>
              <w:widowControl/>
              <w:contextualSpacing/>
              <w:jc w:val="center"/>
              <w:rPr>
                <w:rFonts w:eastAsiaTheme="minorEastAsia"/>
                <w:snapToGrid w:val="0"/>
                <w:szCs w:val="21"/>
              </w:rPr>
            </w:pPr>
          </w:p>
        </w:tc>
        <w:tc>
          <w:tcPr>
            <w:tcW w:w="295" w:type="pct"/>
            <w:vMerge/>
            <w:vAlign w:val="center"/>
          </w:tcPr>
          <w:p w14:paraId="4F8EE52B" w14:textId="77777777" w:rsidR="00B14D53" w:rsidRDefault="00B14D53">
            <w:pPr>
              <w:widowControl/>
              <w:contextualSpacing/>
              <w:jc w:val="center"/>
              <w:rPr>
                <w:rFonts w:eastAsiaTheme="minorEastAsia"/>
                <w:snapToGrid w:val="0"/>
                <w:szCs w:val="21"/>
              </w:rPr>
            </w:pPr>
          </w:p>
        </w:tc>
        <w:tc>
          <w:tcPr>
            <w:tcW w:w="238" w:type="pct"/>
            <w:vMerge/>
            <w:vAlign w:val="center"/>
          </w:tcPr>
          <w:p w14:paraId="37FA9377" w14:textId="77777777" w:rsidR="00B14D53" w:rsidRDefault="00B14D53">
            <w:pPr>
              <w:widowControl/>
              <w:contextualSpacing/>
              <w:jc w:val="center"/>
              <w:rPr>
                <w:rFonts w:eastAsiaTheme="minorEastAsia"/>
                <w:snapToGrid w:val="0"/>
                <w:szCs w:val="21"/>
              </w:rPr>
            </w:pPr>
          </w:p>
        </w:tc>
        <w:tc>
          <w:tcPr>
            <w:tcW w:w="379" w:type="pct"/>
            <w:vMerge/>
            <w:vAlign w:val="center"/>
          </w:tcPr>
          <w:p w14:paraId="22F804D7" w14:textId="77777777" w:rsidR="00B14D53" w:rsidRDefault="00B14D53">
            <w:pPr>
              <w:widowControl/>
              <w:contextualSpacing/>
              <w:jc w:val="center"/>
              <w:rPr>
                <w:rFonts w:eastAsiaTheme="minorEastAsia"/>
                <w:snapToGrid w:val="0"/>
                <w:szCs w:val="21"/>
              </w:rPr>
            </w:pPr>
          </w:p>
        </w:tc>
        <w:tc>
          <w:tcPr>
            <w:tcW w:w="348" w:type="pct"/>
            <w:tcBorders>
              <w:top w:val="single" w:sz="4" w:space="0" w:color="auto"/>
              <w:bottom w:val="single" w:sz="4" w:space="0" w:color="auto"/>
            </w:tcBorders>
            <w:vAlign w:val="center"/>
          </w:tcPr>
          <w:p w14:paraId="1FDE5FF5" w14:textId="77777777" w:rsidR="00B14D53" w:rsidRDefault="00000000">
            <w:pPr>
              <w:widowControl/>
              <w:jc w:val="center"/>
              <w:textAlignment w:val="center"/>
              <w:rPr>
                <w:rFonts w:eastAsiaTheme="minorEastAsia"/>
                <w:snapToGrid w:val="0"/>
                <w:szCs w:val="21"/>
              </w:rPr>
            </w:pPr>
            <w:r>
              <w:rPr>
                <w:kern w:val="0"/>
                <w:szCs w:val="21"/>
                <w:lang w:bidi="ar"/>
              </w:rPr>
              <w:t>0.8</w:t>
            </w:r>
          </w:p>
        </w:tc>
        <w:tc>
          <w:tcPr>
            <w:tcW w:w="298" w:type="pct"/>
            <w:tcBorders>
              <w:top w:val="single" w:sz="4" w:space="0" w:color="auto"/>
              <w:bottom w:val="single" w:sz="4" w:space="0" w:color="auto"/>
            </w:tcBorders>
            <w:vAlign w:val="center"/>
          </w:tcPr>
          <w:p w14:paraId="31140828" w14:textId="77777777" w:rsidR="00B14D53" w:rsidRDefault="00000000">
            <w:pPr>
              <w:widowControl/>
              <w:jc w:val="center"/>
              <w:textAlignment w:val="center"/>
              <w:rPr>
                <w:rFonts w:eastAsiaTheme="minorEastAsia"/>
                <w:snapToGrid w:val="0"/>
                <w:szCs w:val="21"/>
              </w:rPr>
            </w:pPr>
            <w:r>
              <w:rPr>
                <w:kern w:val="0"/>
                <w:szCs w:val="21"/>
                <w:lang w:bidi="ar"/>
              </w:rPr>
              <w:t>0.0003</w:t>
            </w:r>
          </w:p>
        </w:tc>
      </w:tr>
      <w:tr w:rsidR="00B14D53" w14:paraId="2E6D4C3B" w14:textId="77777777">
        <w:trPr>
          <w:trHeight w:val="65"/>
          <w:jc w:val="center"/>
        </w:trPr>
        <w:tc>
          <w:tcPr>
            <w:tcW w:w="226" w:type="pct"/>
            <w:vMerge/>
            <w:vAlign w:val="center"/>
          </w:tcPr>
          <w:p w14:paraId="047E1287" w14:textId="77777777" w:rsidR="00B14D53" w:rsidRDefault="00B14D53">
            <w:pPr>
              <w:pStyle w:val="afff2"/>
              <w:spacing w:line="240" w:lineRule="auto"/>
              <w:contextualSpacing/>
              <w:rPr>
                <w:rFonts w:eastAsiaTheme="minorEastAsia" w:hAnsi="Times New Roman"/>
                <w:snapToGrid w:val="0"/>
              </w:rPr>
            </w:pPr>
          </w:p>
        </w:tc>
        <w:tc>
          <w:tcPr>
            <w:tcW w:w="237" w:type="pct"/>
            <w:vMerge/>
            <w:vAlign w:val="center"/>
          </w:tcPr>
          <w:p w14:paraId="73997F2F" w14:textId="77777777" w:rsidR="00B14D53" w:rsidRDefault="00B14D53">
            <w:pPr>
              <w:pStyle w:val="afff2"/>
              <w:spacing w:line="240" w:lineRule="auto"/>
              <w:contextualSpacing/>
              <w:rPr>
                <w:rFonts w:eastAsiaTheme="minorEastAsia" w:hAnsi="Times New Roman"/>
                <w:snapToGrid w:val="0"/>
              </w:rPr>
            </w:pPr>
          </w:p>
        </w:tc>
        <w:tc>
          <w:tcPr>
            <w:tcW w:w="415" w:type="pct"/>
            <w:vMerge/>
            <w:vAlign w:val="center"/>
          </w:tcPr>
          <w:p w14:paraId="62B12C7A"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42042EA5"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SS</w:t>
            </w:r>
          </w:p>
        </w:tc>
        <w:tc>
          <w:tcPr>
            <w:tcW w:w="251" w:type="pct"/>
            <w:vMerge/>
            <w:vAlign w:val="center"/>
          </w:tcPr>
          <w:p w14:paraId="357E401E" w14:textId="77777777" w:rsidR="00B14D53" w:rsidRDefault="00B14D53">
            <w:pPr>
              <w:widowControl/>
              <w:contextualSpacing/>
              <w:jc w:val="center"/>
              <w:rPr>
                <w:rFonts w:eastAsiaTheme="minorEastAsia"/>
                <w:snapToGrid w:val="0"/>
                <w:szCs w:val="21"/>
              </w:rPr>
            </w:pPr>
          </w:p>
        </w:tc>
        <w:tc>
          <w:tcPr>
            <w:tcW w:w="389" w:type="pct"/>
            <w:vMerge/>
            <w:vAlign w:val="center"/>
          </w:tcPr>
          <w:p w14:paraId="476E8003" w14:textId="77777777" w:rsidR="00B14D53" w:rsidRDefault="00B14D53">
            <w:pPr>
              <w:pStyle w:val="afff2"/>
              <w:spacing w:line="240" w:lineRule="auto"/>
              <w:contextualSpacing/>
              <w:rPr>
                <w:rFonts w:eastAsiaTheme="minorEastAsia" w:hAnsi="Times New Roman"/>
                <w:snapToGrid w:val="0"/>
              </w:rPr>
            </w:pPr>
          </w:p>
        </w:tc>
        <w:tc>
          <w:tcPr>
            <w:tcW w:w="468" w:type="pct"/>
            <w:tcBorders>
              <w:right w:val="single" w:sz="4" w:space="0" w:color="auto"/>
            </w:tcBorders>
            <w:vAlign w:val="center"/>
          </w:tcPr>
          <w:p w14:paraId="7531C702" w14:textId="77777777" w:rsidR="00B14D53" w:rsidRDefault="00000000">
            <w:pPr>
              <w:widowControl/>
              <w:jc w:val="center"/>
              <w:textAlignment w:val="center"/>
              <w:rPr>
                <w:snapToGrid w:val="0"/>
                <w:szCs w:val="21"/>
              </w:rPr>
            </w:pPr>
            <w:r>
              <w:rPr>
                <w:kern w:val="0"/>
                <w:szCs w:val="21"/>
                <w:lang w:bidi="ar"/>
              </w:rPr>
              <w:t>128</w:t>
            </w:r>
          </w:p>
        </w:tc>
        <w:tc>
          <w:tcPr>
            <w:tcW w:w="382" w:type="pct"/>
            <w:tcBorders>
              <w:left w:val="single" w:sz="4" w:space="0" w:color="auto"/>
            </w:tcBorders>
            <w:vAlign w:val="center"/>
          </w:tcPr>
          <w:p w14:paraId="11AC825A" w14:textId="77777777" w:rsidR="00B14D53" w:rsidRDefault="00000000">
            <w:pPr>
              <w:widowControl/>
              <w:jc w:val="center"/>
              <w:textAlignment w:val="center"/>
              <w:rPr>
                <w:snapToGrid w:val="0"/>
                <w:szCs w:val="21"/>
              </w:rPr>
            </w:pPr>
            <w:r>
              <w:rPr>
                <w:kern w:val="0"/>
                <w:szCs w:val="21"/>
                <w:lang w:bidi="ar"/>
              </w:rPr>
              <w:t>0.04</w:t>
            </w:r>
          </w:p>
        </w:tc>
        <w:tc>
          <w:tcPr>
            <w:tcW w:w="634" w:type="pct"/>
            <w:vMerge/>
            <w:vAlign w:val="center"/>
          </w:tcPr>
          <w:p w14:paraId="22117C75" w14:textId="77777777" w:rsidR="00B14D53" w:rsidRDefault="00B14D53">
            <w:pPr>
              <w:widowControl/>
              <w:contextualSpacing/>
              <w:jc w:val="center"/>
              <w:rPr>
                <w:rFonts w:eastAsiaTheme="minorEastAsia"/>
                <w:snapToGrid w:val="0"/>
                <w:szCs w:val="21"/>
              </w:rPr>
            </w:pPr>
          </w:p>
        </w:tc>
        <w:tc>
          <w:tcPr>
            <w:tcW w:w="295" w:type="pct"/>
            <w:vMerge/>
            <w:vAlign w:val="center"/>
          </w:tcPr>
          <w:p w14:paraId="13E04C1B" w14:textId="77777777" w:rsidR="00B14D53" w:rsidRDefault="00B14D53">
            <w:pPr>
              <w:widowControl/>
              <w:contextualSpacing/>
              <w:jc w:val="center"/>
              <w:rPr>
                <w:rFonts w:eastAsiaTheme="minorEastAsia"/>
                <w:snapToGrid w:val="0"/>
                <w:szCs w:val="21"/>
              </w:rPr>
            </w:pPr>
          </w:p>
        </w:tc>
        <w:tc>
          <w:tcPr>
            <w:tcW w:w="238" w:type="pct"/>
            <w:vMerge/>
            <w:vAlign w:val="center"/>
          </w:tcPr>
          <w:p w14:paraId="1ED452BF" w14:textId="77777777" w:rsidR="00B14D53" w:rsidRDefault="00B14D53">
            <w:pPr>
              <w:widowControl/>
              <w:contextualSpacing/>
              <w:jc w:val="center"/>
              <w:rPr>
                <w:rFonts w:eastAsiaTheme="minorEastAsia"/>
                <w:snapToGrid w:val="0"/>
                <w:szCs w:val="21"/>
              </w:rPr>
            </w:pPr>
          </w:p>
        </w:tc>
        <w:tc>
          <w:tcPr>
            <w:tcW w:w="379" w:type="pct"/>
            <w:vMerge/>
            <w:vAlign w:val="center"/>
          </w:tcPr>
          <w:p w14:paraId="52771FEF" w14:textId="77777777" w:rsidR="00B14D53" w:rsidRDefault="00B14D53">
            <w:pPr>
              <w:widowControl/>
              <w:contextualSpacing/>
              <w:jc w:val="center"/>
              <w:rPr>
                <w:rFonts w:eastAsiaTheme="minorEastAsia"/>
                <w:snapToGrid w:val="0"/>
                <w:szCs w:val="21"/>
              </w:rPr>
            </w:pPr>
          </w:p>
        </w:tc>
        <w:tc>
          <w:tcPr>
            <w:tcW w:w="348" w:type="pct"/>
            <w:tcBorders>
              <w:top w:val="single" w:sz="4" w:space="0" w:color="auto"/>
              <w:bottom w:val="single" w:sz="4" w:space="0" w:color="auto"/>
            </w:tcBorders>
            <w:vAlign w:val="center"/>
          </w:tcPr>
          <w:p w14:paraId="3F10F6A8" w14:textId="77777777" w:rsidR="00B14D53" w:rsidRDefault="00000000">
            <w:pPr>
              <w:widowControl/>
              <w:jc w:val="center"/>
              <w:textAlignment w:val="center"/>
              <w:rPr>
                <w:rFonts w:eastAsiaTheme="minorEastAsia"/>
                <w:snapToGrid w:val="0"/>
                <w:szCs w:val="21"/>
              </w:rPr>
            </w:pPr>
            <w:r>
              <w:rPr>
                <w:kern w:val="0"/>
                <w:szCs w:val="21"/>
                <w:lang w:bidi="ar"/>
              </w:rPr>
              <w:t>128</w:t>
            </w:r>
          </w:p>
        </w:tc>
        <w:tc>
          <w:tcPr>
            <w:tcW w:w="298" w:type="pct"/>
            <w:tcBorders>
              <w:top w:val="single" w:sz="4" w:space="0" w:color="auto"/>
              <w:bottom w:val="single" w:sz="4" w:space="0" w:color="auto"/>
            </w:tcBorders>
            <w:vAlign w:val="center"/>
          </w:tcPr>
          <w:p w14:paraId="08D354EA" w14:textId="77777777" w:rsidR="00B14D53" w:rsidRDefault="00000000">
            <w:pPr>
              <w:widowControl/>
              <w:jc w:val="center"/>
              <w:textAlignment w:val="center"/>
              <w:rPr>
                <w:rFonts w:eastAsiaTheme="minorEastAsia"/>
                <w:snapToGrid w:val="0"/>
                <w:szCs w:val="21"/>
              </w:rPr>
            </w:pPr>
            <w:r>
              <w:rPr>
                <w:kern w:val="0"/>
                <w:szCs w:val="21"/>
                <w:lang w:bidi="ar"/>
              </w:rPr>
              <w:t>0.04</w:t>
            </w:r>
          </w:p>
        </w:tc>
      </w:tr>
      <w:tr w:rsidR="00B14D53" w14:paraId="03BCAD2E" w14:textId="77777777">
        <w:trPr>
          <w:trHeight w:val="65"/>
          <w:jc w:val="center"/>
        </w:trPr>
        <w:tc>
          <w:tcPr>
            <w:tcW w:w="226" w:type="pct"/>
            <w:vMerge/>
            <w:vAlign w:val="center"/>
          </w:tcPr>
          <w:p w14:paraId="32124841" w14:textId="77777777" w:rsidR="00B14D53" w:rsidRDefault="00B14D53">
            <w:pPr>
              <w:pStyle w:val="afff2"/>
              <w:spacing w:line="240" w:lineRule="auto"/>
              <w:contextualSpacing/>
              <w:rPr>
                <w:rFonts w:eastAsiaTheme="minorEastAsia" w:hAnsi="Times New Roman"/>
                <w:snapToGrid w:val="0"/>
              </w:rPr>
            </w:pPr>
          </w:p>
        </w:tc>
        <w:tc>
          <w:tcPr>
            <w:tcW w:w="237" w:type="pct"/>
            <w:vMerge/>
            <w:vAlign w:val="center"/>
          </w:tcPr>
          <w:p w14:paraId="026AB0C5" w14:textId="77777777" w:rsidR="00B14D53" w:rsidRDefault="00B14D53">
            <w:pPr>
              <w:pStyle w:val="afff2"/>
              <w:spacing w:line="240" w:lineRule="auto"/>
              <w:contextualSpacing/>
              <w:rPr>
                <w:rFonts w:eastAsiaTheme="minorEastAsia" w:hAnsi="Times New Roman"/>
                <w:snapToGrid w:val="0"/>
              </w:rPr>
            </w:pPr>
          </w:p>
        </w:tc>
        <w:tc>
          <w:tcPr>
            <w:tcW w:w="415" w:type="pct"/>
            <w:vMerge/>
            <w:vAlign w:val="center"/>
          </w:tcPr>
          <w:p w14:paraId="520C3029" w14:textId="77777777" w:rsidR="00B14D53" w:rsidRDefault="00B14D53">
            <w:pPr>
              <w:pStyle w:val="afff2"/>
              <w:spacing w:line="240" w:lineRule="auto"/>
              <w:contextualSpacing/>
              <w:rPr>
                <w:rFonts w:eastAsiaTheme="minorEastAsia" w:hAnsi="Times New Roman"/>
                <w:snapToGrid w:val="0"/>
              </w:rPr>
            </w:pPr>
          </w:p>
        </w:tc>
        <w:tc>
          <w:tcPr>
            <w:tcW w:w="436" w:type="pct"/>
            <w:vAlign w:val="center"/>
          </w:tcPr>
          <w:p w14:paraId="38A07063"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pH</w:t>
            </w:r>
          </w:p>
        </w:tc>
        <w:tc>
          <w:tcPr>
            <w:tcW w:w="251" w:type="pct"/>
            <w:vMerge/>
            <w:vAlign w:val="center"/>
          </w:tcPr>
          <w:p w14:paraId="7E044820" w14:textId="77777777" w:rsidR="00B14D53" w:rsidRDefault="00B14D53">
            <w:pPr>
              <w:widowControl/>
              <w:contextualSpacing/>
              <w:jc w:val="center"/>
              <w:rPr>
                <w:rFonts w:eastAsiaTheme="minorEastAsia"/>
                <w:snapToGrid w:val="0"/>
                <w:szCs w:val="21"/>
              </w:rPr>
            </w:pPr>
          </w:p>
        </w:tc>
        <w:tc>
          <w:tcPr>
            <w:tcW w:w="389" w:type="pct"/>
            <w:vMerge/>
            <w:vAlign w:val="center"/>
          </w:tcPr>
          <w:p w14:paraId="054FDC61" w14:textId="77777777" w:rsidR="00B14D53" w:rsidRDefault="00B14D53">
            <w:pPr>
              <w:pStyle w:val="afff2"/>
              <w:spacing w:line="240" w:lineRule="auto"/>
              <w:contextualSpacing/>
              <w:rPr>
                <w:rFonts w:eastAsiaTheme="minorEastAsia" w:hAnsi="Times New Roman"/>
                <w:snapToGrid w:val="0"/>
              </w:rPr>
            </w:pPr>
          </w:p>
        </w:tc>
        <w:tc>
          <w:tcPr>
            <w:tcW w:w="851" w:type="pct"/>
            <w:gridSpan w:val="2"/>
            <w:vAlign w:val="center"/>
          </w:tcPr>
          <w:p w14:paraId="63C62651" w14:textId="77777777" w:rsidR="00B14D53" w:rsidRDefault="00000000">
            <w:pPr>
              <w:pStyle w:val="afff2"/>
              <w:spacing w:line="240" w:lineRule="auto"/>
              <w:contextualSpacing/>
              <w:rPr>
                <w:rFonts w:hAnsi="Times New Roman"/>
                <w:snapToGrid w:val="0"/>
              </w:rPr>
            </w:pPr>
            <w:r>
              <w:rPr>
                <w:rFonts w:hAnsi="Times New Roman"/>
              </w:rPr>
              <w:t>6.9~7.8</w:t>
            </w:r>
            <w:r>
              <w:rPr>
                <w:rFonts w:hAnsi="Times New Roman"/>
              </w:rPr>
              <w:t>无量纲</w:t>
            </w:r>
          </w:p>
        </w:tc>
        <w:tc>
          <w:tcPr>
            <w:tcW w:w="634" w:type="pct"/>
            <w:vMerge/>
            <w:tcBorders>
              <w:bottom w:val="single" w:sz="12" w:space="0" w:color="auto"/>
            </w:tcBorders>
            <w:vAlign w:val="center"/>
          </w:tcPr>
          <w:p w14:paraId="43B8CA4A" w14:textId="77777777" w:rsidR="00B14D53" w:rsidRDefault="00B14D53">
            <w:pPr>
              <w:widowControl/>
              <w:contextualSpacing/>
              <w:jc w:val="center"/>
              <w:rPr>
                <w:rFonts w:eastAsiaTheme="minorEastAsia"/>
                <w:snapToGrid w:val="0"/>
                <w:szCs w:val="21"/>
              </w:rPr>
            </w:pPr>
          </w:p>
        </w:tc>
        <w:tc>
          <w:tcPr>
            <w:tcW w:w="295" w:type="pct"/>
            <w:vMerge/>
            <w:tcBorders>
              <w:bottom w:val="single" w:sz="12" w:space="0" w:color="auto"/>
            </w:tcBorders>
            <w:vAlign w:val="center"/>
          </w:tcPr>
          <w:p w14:paraId="2335630F" w14:textId="77777777" w:rsidR="00B14D53" w:rsidRDefault="00B14D53">
            <w:pPr>
              <w:widowControl/>
              <w:contextualSpacing/>
              <w:jc w:val="center"/>
              <w:rPr>
                <w:rFonts w:eastAsiaTheme="minorEastAsia"/>
                <w:snapToGrid w:val="0"/>
                <w:szCs w:val="21"/>
              </w:rPr>
            </w:pPr>
          </w:p>
        </w:tc>
        <w:tc>
          <w:tcPr>
            <w:tcW w:w="238" w:type="pct"/>
            <w:vMerge/>
            <w:vAlign w:val="center"/>
          </w:tcPr>
          <w:p w14:paraId="5225F8AF" w14:textId="77777777" w:rsidR="00B14D53" w:rsidRDefault="00B14D53">
            <w:pPr>
              <w:widowControl/>
              <w:contextualSpacing/>
              <w:jc w:val="center"/>
              <w:rPr>
                <w:rFonts w:eastAsiaTheme="minorEastAsia"/>
                <w:snapToGrid w:val="0"/>
                <w:szCs w:val="21"/>
              </w:rPr>
            </w:pPr>
          </w:p>
        </w:tc>
        <w:tc>
          <w:tcPr>
            <w:tcW w:w="379" w:type="pct"/>
            <w:vMerge/>
            <w:vAlign w:val="center"/>
          </w:tcPr>
          <w:p w14:paraId="15C2414C" w14:textId="77777777" w:rsidR="00B14D53" w:rsidRDefault="00B14D53">
            <w:pPr>
              <w:widowControl/>
              <w:contextualSpacing/>
              <w:jc w:val="center"/>
              <w:rPr>
                <w:rFonts w:eastAsiaTheme="minorEastAsia"/>
                <w:snapToGrid w:val="0"/>
                <w:szCs w:val="21"/>
              </w:rPr>
            </w:pPr>
          </w:p>
        </w:tc>
        <w:tc>
          <w:tcPr>
            <w:tcW w:w="646" w:type="pct"/>
            <w:gridSpan w:val="2"/>
            <w:tcBorders>
              <w:top w:val="single" w:sz="4" w:space="0" w:color="auto"/>
            </w:tcBorders>
            <w:vAlign w:val="center"/>
          </w:tcPr>
          <w:p w14:paraId="584FAD6A" w14:textId="77777777" w:rsidR="00B14D53" w:rsidRDefault="00000000">
            <w:pPr>
              <w:pStyle w:val="afff2"/>
              <w:spacing w:line="240" w:lineRule="auto"/>
              <w:contextualSpacing/>
              <w:rPr>
                <w:rFonts w:eastAsiaTheme="minorEastAsia" w:hAnsi="Times New Roman"/>
                <w:snapToGrid w:val="0"/>
              </w:rPr>
            </w:pPr>
            <w:r>
              <w:rPr>
                <w:rFonts w:hAnsi="Times New Roman"/>
              </w:rPr>
              <w:t>6.9~7.8</w:t>
            </w:r>
            <w:r>
              <w:rPr>
                <w:rFonts w:hAnsi="Times New Roman"/>
              </w:rPr>
              <w:t>无量纲</w:t>
            </w:r>
          </w:p>
        </w:tc>
      </w:tr>
    </w:tbl>
    <w:p w14:paraId="784C5FE0"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3.</w:t>
      </w:r>
      <w:r>
        <w:rPr>
          <w:rFonts w:ascii="Times New Roman" w:eastAsia="黑体" w:hAnsi="Times New Roman" w:cs="Times New Roman" w:hint="eastAsia"/>
          <w:b w:val="0"/>
          <w:bCs w:val="0"/>
          <w:sz w:val="24"/>
          <w:szCs w:val="24"/>
        </w:rPr>
        <w:t>3</w:t>
      </w:r>
      <w:r>
        <w:rPr>
          <w:rFonts w:ascii="Times New Roman" w:eastAsia="黑体" w:hAnsi="Times New Roman" w:cs="Times New Roman"/>
          <w:b w:val="0"/>
          <w:bCs w:val="0"/>
          <w:sz w:val="24"/>
          <w:szCs w:val="24"/>
        </w:rPr>
        <w:t>.2.3</w:t>
      </w:r>
      <w:r>
        <w:rPr>
          <w:rFonts w:ascii="Times New Roman" w:eastAsia="黑体" w:hAnsi="Times New Roman" w:cs="Times New Roman"/>
          <w:b w:val="0"/>
          <w:bCs w:val="0"/>
          <w:sz w:val="24"/>
          <w:szCs w:val="24"/>
        </w:rPr>
        <w:t>噪声污染分析</w:t>
      </w:r>
    </w:p>
    <w:p w14:paraId="25070DFC"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本项目固定噪声源主要为水泵、</w:t>
      </w:r>
      <w:r>
        <w:rPr>
          <w:rFonts w:eastAsiaTheme="minorEastAsia" w:hAnsiTheme="minorEastAsia" w:hint="eastAsia"/>
          <w:sz w:val="24"/>
        </w:rPr>
        <w:t>风机</w:t>
      </w:r>
      <w:r>
        <w:rPr>
          <w:rFonts w:eastAsiaTheme="minorEastAsia" w:hAnsiTheme="minorEastAsia"/>
          <w:sz w:val="24"/>
        </w:rPr>
        <w:t>等，噪声源强见下表。</w:t>
      </w:r>
    </w:p>
    <w:p w14:paraId="1AB04EE5" w14:textId="77777777" w:rsidR="00B14D53" w:rsidRDefault="00B14D53">
      <w:pPr>
        <w:pStyle w:val="afff0"/>
        <w:spacing w:line="360" w:lineRule="auto"/>
        <w:ind w:firstLine="426"/>
        <w:contextualSpacing/>
        <w:rPr>
          <w:rFonts w:ascii="Times New Roman" w:eastAsiaTheme="minorEastAsia" w:hAnsiTheme="minorEastAsia" w:cs="Times New Roman" w:hint="eastAsia"/>
          <w:color w:val="0000FF"/>
          <w:sz w:val="24"/>
          <w:szCs w:val="24"/>
        </w:rPr>
      </w:pPr>
    </w:p>
    <w:p w14:paraId="78CF7291" w14:textId="77777777" w:rsidR="00B14D53" w:rsidRDefault="00B14D53">
      <w:pPr>
        <w:pStyle w:val="afff0"/>
        <w:spacing w:line="360" w:lineRule="auto"/>
        <w:ind w:firstLine="426"/>
        <w:contextualSpacing/>
        <w:rPr>
          <w:rFonts w:ascii="Times New Roman" w:eastAsiaTheme="minorEastAsia" w:hAnsiTheme="minorEastAsia" w:cs="Times New Roman" w:hint="eastAsia"/>
          <w:color w:val="0000FF"/>
          <w:sz w:val="24"/>
          <w:szCs w:val="24"/>
        </w:rPr>
      </w:pPr>
    </w:p>
    <w:p w14:paraId="496B1A8A" w14:textId="77777777" w:rsidR="00B14D53" w:rsidRDefault="00000000">
      <w:pPr>
        <w:jc w:val="center"/>
        <w:rPr>
          <w:b/>
          <w:bCs/>
        </w:rPr>
      </w:pPr>
      <w:r>
        <w:rPr>
          <w:b/>
          <w:bCs/>
        </w:rPr>
        <w:t>表</w:t>
      </w:r>
      <w:r>
        <w:rPr>
          <w:b/>
          <w:bCs/>
        </w:rPr>
        <w:t>3</w:t>
      </w:r>
      <w:r>
        <w:rPr>
          <w:rFonts w:hint="eastAsia"/>
          <w:b/>
          <w:bCs/>
        </w:rPr>
        <w:t>-3</w:t>
      </w:r>
      <w:r>
        <w:rPr>
          <w:b/>
          <w:bCs/>
        </w:rPr>
        <w:t>-</w:t>
      </w:r>
      <w:r>
        <w:rPr>
          <w:rFonts w:hint="eastAsia"/>
          <w:b/>
          <w:bCs/>
        </w:rPr>
        <w:t>7</w:t>
      </w:r>
      <w:r>
        <w:rPr>
          <w:b/>
          <w:bCs/>
        </w:rPr>
        <w:t xml:space="preserve"> </w:t>
      </w:r>
      <w:r>
        <w:rPr>
          <w:b/>
          <w:bCs/>
        </w:rPr>
        <w:t>噪声污染源强核算结果及相关参数一览表</w:t>
      </w:r>
    </w:p>
    <w:tbl>
      <w:tblPr>
        <w:tblW w:w="4887"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33"/>
        <w:gridCol w:w="1504"/>
        <w:gridCol w:w="1625"/>
        <w:gridCol w:w="863"/>
        <w:gridCol w:w="839"/>
        <w:gridCol w:w="989"/>
        <w:gridCol w:w="1087"/>
        <w:gridCol w:w="2557"/>
        <w:gridCol w:w="999"/>
        <w:gridCol w:w="835"/>
        <w:gridCol w:w="980"/>
        <w:gridCol w:w="832"/>
      </w:tblGrid>
      <w:tr w:rsidR="00B14D53" w14:paraId="6C628F7D" w14:textId="77777777">
        <w:trPr>
          <w:trHeight w:val="65"/>
        </w:trPr>
        <w:tc>
          <w:tcPr>
            <w:tcW w:w="195" w:type="pct"/>
            <w:vMerge w:val="restart"/>
            <w:vAlign w:val="center"/>
          </w:tcPr>
          <w:p w14:paraId="2CE5EF55" w14:textId="77777777" w:rsidR="00B14D53" w:rsidRDefault="00000000">
            <w:pPr>
              <w:jc w:val="center"/>
              <w:rPr>
                <w:rFonts w:eastAsiaTheme="minorEastAsia"/>
                <w:b/>
                <w:bCs/>
                <w:snapToGrid w:val="0"/>
                <w:szCs w:val="22"/>
              </w:rPr>
            </w:pPr>
            <w:r>
              <w:rPr>
                <w:rFonts w:eastAsiaTheme="minorEastAsia" w:hAnsiTheme="minorEastAsia"/>
                <w:b/>
                <w:bCs/>
                <w:snapToGrid w:val="0"/>
                <w:szCs w:val="22"/>
              </w:rPr>
              <w:t>序号</w:t>
            </w:r>
          </w:p>
        </w:tc>
        <w:tc>
          <w:tcPr>
            <w:tcW w:w="551" w:type="pct"/>
            <w:vMerge w:val="restart"/>
            <w:vAlign w:val="center"/>
          </w:tcPr>
          <w:p w14:paraId="0C1B697F" w14:textId="77777777" w:rsidR="00B14D53" w:rsidRDefault="00000000">
            <w:pPr>
              <w:jc w:val="center"/>
              <w:rPr>
                <w:rFonts w:eastAsiaTheme="minorEastAsia"/>
                <w:b/>
                <w:bCs/>
                <w:snapToGrid w:val="0"/>
                <w:szCs w:val="22"/>
              </w:rPr>
            </w:pPr>
            <w:r>
              <w:rPr>
                <w:rFonts w:eastAsiaTheme="minorEastAsia" w:hAnsiTheme="minorEastAsia"/>
                <w:b/>
                <w:bCs/>
                <w:snapToGrid w:val="0"/>
                <w:szCs w:val="22"/>
              </w:rPr>
              <w:t>噪声源</w:t>
            </w:r>
          </w:p>
        </w:tc>
        <w:tc>
          <w:tcPr>
            <w:tcW w:w="595" w:type="pct"/>
            <w:vMerge w:val="restart"/>
            <w:tcBorders>
              <w:right w:val="single" w:sz="4" w:space="0" w:color="auto"/>
            </w:tcBorders>
            <w:vAlign w:val="center"/>
          </w:tcPr>
          <w:p w14:paraId="12AAE9E8" w14:textId="77777777" w:rsidR="00B14D53" w:rsidRDefault="00000000">
            <w:pPr>
              <w:jc w:val="center"/>
              <w:rPr>
                <w:rFonts w:eastAsiaTheme="minorEastAsia"/>
                <w:b/>
                <w:bCs/>
                <w:snapToGrid w:val="0"/>
                <w:szCs w:val="22"/>
              </w:rPr>
            </w:pPr>
            <w:r>
              <w:rPr>
                <w:rFonts w:eastAsiaTheme="minorEastAsia" w:hAnsiTheme="minorEastAsia"/>
                <w:b/>
                <w:bCs/>
                <w:snapToGrid w:val="0"/>
                <w:szCs w:val="22"/>
              </w:rPr>
              <w:t>位置</w:t>
            </w:r>
          </w:p>
        </w:tc>
        <w:tc>
          <w:tcPr>
            <w:tcW w:w="316" w:type="pct"/>
            <w:vMerge w:val="restart"/>
            <w:tcBorders>
              <w:left w:val="single" w:sz="4" w:space="0" w:color="auto"/>
            </w:tcBorders>
            <w:vAlign w:val="center"/>
          </w:tcPr>
          <w:p w14:paraId="41DC28AC" w14:textId="77777777" w:rsidR="00B14D53" w:rsidRDefault="00000000">
            <w:pPr>
              <w:jc w:val="center"/>
              <w:rPr>
                <w:rFonts w:eastAsiaTheme="minorEastAsia"/>
                <w:b/>
                <w:bCs/>
                <w:snapToGrid w:val="0"/>
                <w:szCs w:val="22"/>
              </w:rPr>
            </w:pPr>
            <w:r>
              <w:rPr>
                <w:rFonts w:eastAsiaTheme="minorEastAsia" w:hAnsiTheme="minorEastAsia"/>
                <w:b/>
                <w:bCs/>
                <w:snapToGrid w:val="0"/>
                <w:szCs w:val="22"/>
              </w:rPr>
              <w:t>设备数量</w:t>
            </w:r>
          </w:p>
        </w:tc>
        <w:tc>
          <w:tcPr>
            <w:tcW w:w="307" w:type="pct"/>
            <w:vMerge w:val="restart"/>
            <w:vAlign w:val="center"/>
          </w:tcPr>
          <w:p w14:paraId="36111B96" w14:textId="77777777" w:rsidR="00B14D53" w:rsidRDefault="00000000">
            <w:pPr>
              <w:jc w:val="center"/>
              <w:rPr>
                <w:rFonts w:eastAsiaTheme="minorEastAsia"/>
                <w:b/>
                <w:bCs/>
                <w:snapToGrid w:val="0"/>
                <w:szCs w:val="22"/>
              </w:rPr>
            </w:pPr>
            <w:r>
              <w:rPr>
                <w:rFonts w:eastAsiaTheme="minorEastAsia" w:hAnsiTheme="minorEastAsia"/>
                <w:b/>
                <w:bCs/>
                <w:snapToGrid w:val="0"/>
                <w:szCs w:val="22"/>
              </w:rPr>
              <w:t>声源类型</w:t>
            </w:r>
          </w:p>
        </w:tc>
        <w:tc>
          <w:tcPr>
            <w:tcW w:w="760" w:type="pct"/>
            <w:gridSpan w:val="2"/>
            <w:vAlign w:val="center"/>
          </w:tcPr>
          <w:p w14:paraId="495C1FCF" w14:textId="77777777" w:rsidR="00B14D53" w:rsidRDefault="00000000">
            <w:pPr>
              <w:jc w:val="center"/>
              <w:rPr>
                <w:rFonts w:eastAsiaTheme="minorEastAsia"/>
                <w:b/>
                <w:bCs/>
                <w:snapToGrid w:val="0"/>
                <w:szCs w:val="22"/>
              </w:rPr>
            </w:pPr>
            <w:r>
              <w:rPr>
                <w:rFonts w:eastAsiaTheme="minorEastAsia" w:hAnsiTheme="minorEastAsia"/>
                <w:b/>
                <w:bCs/>
                <w:snapToGrid w:val="0"/>
                <w:szCs w:val="21"/>
              </w:rPr>
              <w:t>噪声源强</w:t>
            </w:r>
          </w:p>
        </w:tc>
        <w:tc>
          <w:tcPr>
            <w:tcW w:w="1302" w:type="pct"/>
            <w:gridSpan w:val="2"/>
            <w:vAlign w:val="center"/>
          </w:tcPr>
          <w:p w14:paraId="6E3D2BA0" w14:textId="77777777" w:rsidR="00B14D53" w:rsidRDefault="00000000">
            <w:pPr>
              <w:jc w:val="center"/>
              <w:rPr>
                <w:rFonts w:eastAsiaTheme="minorEastAsia"/>
                <w:b/>
                <w:bCs/>
                <w:snapToGrid w:val="0"/>
                <w:szCs w:val="22"/>
              </w:rPr>
            </w:pPr>
            <w:r>
              <w:rPr>
                <w:rFonts w:eastAsiaTheme="minorEastAsia" w:hAnsiTheme="minorEastAsia"/>
                <w:b/>
                <w:bCs/>
                <w:snapToGrid w:val="0"/>
                <w:szCs w:val="21"/>
              </w:rPr>
              <w:t>降噪措施</w:t>
            </w:r>
          </w:p>
        </w:tc>
        <w:tc>
          <w:tcPr>
            <w:tcW w:w="665" w:type="pct"/>
            <w:gridSpan w:val="2"/>
            <w:vAlign w:val="center"/>
          </w:tcPr>
          <w:p w14:paraId="3BBF9AC0" w14:textId="77777777" w:rsidR="00B14D53" w:rsidRDefault="00000000">
            <w:pPr>
              <w:jc w:val="center"/>
              <w:rPr>
                <w:rFonts w:eastAsiaTheme="minorEastAsia"/>
                <w:b/>
                <w:bCs/>
                <w:snapToGrid w:val="0"/>
                <w:szCs w:val="22"/>
              </w:rPr>
            </w:pPr>
            <w:r>
              <w:rPr>
                <w:rFonts w:eastAsiaTheme="minorEastAsia" w:hAnsiTheme="minorEastAsia"/>
                <w:b/>
                <w:bCs/>
                <w:snapToGrid w:val="0"/>
                <w:szCs w:val="21"/>
              </w:rPr>
              <w:t>噪声排放</w:t>
            </w:r>
          </w:p>
        </w:tc>
        <w:tc>
          <w:tcPr>
            <w:tcW w:w="305" w:type="pct"/>
            <w:vMerge w:val="restart"/>
            <w:vAlign w:val="center"/>
          </w:tcPr>
          <w:p w14:paraId="40A09AE1" w14:textId="77777777" w:rsidR="00B14D53" w:rsidRDefault="00000000">
            <w:pPr>
              <w:jc w:val="center"/>
              <w:rPr>
                <w:rFonts w:eastAsiaTheme="minorEastAsia"/>
                <w:b/>
                <w:bCs/>
                <w:szCs w:val="22"/>
              </w:rPr>
            </w:pPr>
            <w:r>
              <w:rPr>
                <w:rFonts w:eastAsiaTheme="minorEastAsia" w:hAnsiTheme="minorEastAsia"/>
                <w:b/>
                <w:bCs/>
                <w:snapToGrid w:val="0"/>
                <w:szCs w:val="22"/>
              </w:rPr>
              <w:t>持续时间</w:t>
            </w:r>
            <w:r>
              <w:rPr>
                <w:rFonts w:eastAsiaTheme="minorEastAsia"/>
                <w:b/>
                <w:bCs/>
                <w:snapToGrid w:val="0"/>
                <w:szCs w:val="22"/>
              </w:rPr>
              <w:t>h</w:t>
            </w:r>
          </w:p>
        </w:tc>
      </w:tr>
      <w:tr w:rsidR="00B14D53" w14:paraId="668D4729" w14:textId="77777777">
        <w:trPr>
          <w:trHeight w:val="622"/>
        </w:trPr>
        <w:tc>
          <w:tcPr>
            <w:tcW w:w="0" w:type="auto"/>
            <w:vMerge/>
            <w:vAlign w:val="center"/>
          </w:tcPr>
          <w:p w14:paraId="1C27A1E1" w14:textId="77777777" w:rsidR="00B14D53" w:rsidRDefault="00B14D53">
            <w:pPr>
              <w:widowControl/>
              <w:jc w:val="left"/>
              <w:rPr>
                <w:rFonts w:eastAsiaTheme="minorEastAsia"/>
                <w:snapToGrid w:val="0"/>
                <w:szCs w:val="22"/>
              </w:rPr>
            </w:pPr>
          </w:p>
        </w:tc>
        <w:tc>
          <w:tcPr>
            <w:tcW w:w="551" w:type="pct"/>
            <w:vMerge/>
            <w:vAlign w:val="center"/>
          </w:tcPr>
          <w:p w14:paraId="3779E4C5" w14:textId="77777777" w:rsidR="00B14D53" w:rsidRDefault="00B14D53">
            <w:pPr>
              <w:widowControl/>
              <w:jc w:val="left"/>
              <w:rPr>
                <w:rFonts w:eastAsiaTheme="minorEastAsia"/>
                <w:snapToGrid w:val="0"/>
                <w:szCs w:val="22"/>
              </w:rPr>
            </w:pPr>
          </w:p>
        </w:tc>
        <w:tc>
          <w:tcPr>
            <w:tcW w:w="595" w:type="pct"/>
            <w:vMerge/>
            <w:tcBorders>
              <w:right w:val="single" w:sz="4" w:space="0" w:color="auto"/>
            </w:tcBorders>
            <w:vAlign w:val="center"/>
          </w:tcPr>
          <w:p w14:paraId="5A4A1D9A" w14:textId="77777777" w:rsidR="00B14D53" w:rsidRDefault="00B14D53">
            <w:pPr>
              <w:widowControl/>
              <w:jc w:val="left"/>
              <w:rPr>
                <w:rFonts w:eastAsiaTheme="minorEastAsia"/>
                <w:snapToGrid w:val="0"/>
                <w:szCs w:val="22"/>
              </w:rPr>
            </w:pPr>
          </w:p>
        </w:tc>
        <w:tc>
          <w:tcPr>
            <w:tcW w:w="316" w:type="pct"/>
            <w:vMerge/>
            <w:tcBorders>
              <w:left w:val="single" w:sz="4" w:space="0" w:color="auto"/>
            </w:tcBorders>
            <w:vAlign w:val="center"/>
          </w:tcPr>
          <w:p w14:paraId="685E7416" w14:textId="77777777" w:rsidR="00B14D53" w:rsidRDefault="00B14D53">
            <w:pPr>
              <w:widowControl/>
              <w:jc w:val="left"/>
              <w:rPr>
                <w:rFonts w:eastAsiaTheme="minorEastAsia"/>
                <w:snapToGrid w:val="0"/>
                <w:szCs w:val="22"/>
              </w:rPr>
            </w:pPr>
          </w:p>
        </w:tc>
        <w:tc>
          <w:tcPr>
            <w:tcW w:w="307" w:type="pct"/>
            <w:vMerge/>
            <w:vAlign w:val="center"/>
          </w:tcPr>
          <w:p w14:paraId="0A98535A" w14:textId="77777777" w:rsidR="00B14D53" w:rsidRDefault="00B14D53">
            <w:pPr>
              <w:widowControl/>
              <w:jc w:val="left"/>
              <w:rPr>
                <w:rFonts w:eastAsiaTheme="minorEastAsia"/>
                <w:snapToGrid w:val="0"/>
                <w:szCs w:val="22"/>
              </w:rPr>
            </w:pPr>
          </w:p>
        </w:tc>
        <w:tc>
          <w:tcPr>
            <w:tcW w:w="362" w:type="pct"/>
            <w:vAlign w:val="center"/>
          </w:tcPr>
          <w:p w14:paraId="10C251A1" w14:textId="77777777" w:rsidR="00B14D53" w:rsidRDefault="00000000">
            <w:pPr>
              <w:jc w:val="center"/>
              <w:rPr>
                <w:rFonts w:eastAsiaTheme="minorEastAsia"/>
                <w:b/>
                <w:bCs/>
                <w:snapToGrid w:val="0"/>
                <w:szCs w:val="21"/>
              </w:rPr>
            </w:pPr>
            <w:r>
              <w:rPr>
                <w:rFonts w:eastAsiaTheme="minorEastAsia" w:hAnsiTheme="minorEastAsia"/>
                <w:b/>
                <w:bCs/>
                <w:snapToGrid w:val="0"/>
                <w:szCs w:val="21"/>
              </w:rPr>
              <w:t>核算方法</w:t>
            </w:r>
          </w:p>
        </w:tc>
        <w:tc>
          <w:tcPr>
            <w:tcW w:w="398" w:type="pct"/>
            <w:vAlign w:val="center"/>
          </w:tcPr>
          <w:p w14:paraId="09C24E3B" w14:textId="77777777" w:rsidR="00B14D53" w:rsidRDefault="00000000">
            <w:pPr>
              <w:jc w:val="center"/>
              <w:rPr>
                <w:rFonts w:eastAsiaTheme="minorEastAsia"/>
                <w:b/>
                <w:bCs/>
                <w:snapToGrid w:val="0"/>
                <w:szCs w:val="21"/>
              </w:rPr>
            </w:pPr>
            <w:r>
              <w:rPr>
                <w:rFonts w:eastAsiaTheme="minorEastAsia" w:hAnsiTheme="minorEastAsia"/>
                <w:b/>
                <w:bCs/>
                <w:snapToGrid w:val="0"/>
                <w:szCs w:val="21"/>
              </w:rPr>
              <w:t>噪声值</w:t>
            </w:r>
          </w:p>
          <w:p w14:paraId="7E3FDE82" w14:textId="77777777" w:rsidR="00B14D53" w:rsidRDefault="00000000">
            <w:pPr>
              <w:jc w:val="center"/>
              <w:rPr>
                <w:rFonts w:eastAsiaTheme="minorEastAsia"/>
                <w:b/>
                <w:bCs/>
                <w:snapToGrid w:val="0"/>
                <w:szCs w:val="21"/>
              </w:rPr>
            </w:pPr>
            <w:r>
              <w:rPr>
                <w:rFonts w:eastAsiaTheme="minorEastAsia"/>
                <w:b/>
                <w:bCs/>
                <w:snapToGrid w:val="0"/>
                <w:szCs w:val="21"/>
              </w:rPr>
              <w:t>dB(A)</w:t>
            </w:r>
          </w:p>
        </w:tc>
        <w:tc>
          <w:tcPr>
            <w:tcW w:w="936" w:type="pct"/>
            <w:vAlign w:val="center"/>
          </w:tcPr>
          <w:p w14:paraId="73482074" w14:textId="77777777" w:rsidR="00B14D53" w:rsidRDefault="00000000">
            <w:pPr>
              <w:jc w:val="center"/>
              <w:rPr>
                <w:rFonts w:eastAsiaTheme="minorEastAsia"/>
                <w:b/>
                <w:bCs/>
                <w:snapToGrid w:val="0"/>
                <w:szCs w:val="21"/>
              </w:rPr>
            </w:pPr>
            <w:r>
              <w:rPr>
                <w:rFonts w:eastAsiaTheme="minorEastAsia" w:hAnsiTheme="minorEastAsia"/>
                <w:b/>
                <w:bCs/>
                <w:snapToGrid w:val="0"/>
                <w:szCs w:val="21"/>
              </w:rPr>
              <w:t>工艺</w:t>
            </w:r>
          </w:p>
        </w:tc>
        <w:tc>
          <w:tcPr>
            <w:tcW w:w="365" w:type="pct"/>
            <w:vAlign w:val="center"/>
          </w:tcPr>
          <w:p w14:paraId="3111EC77" w14:textId="77777777" w:rsidR="00B14D53" w:rsidRDefault="00000000">
            <w:pPr>
              <w:jc w:val="center"/>
              <w:rPr>
                <w:rFonts w:eastAsiaTheme="minorEastAsia"/>
                <w:b/>
                <w:bCs/>
                <w:snapToGrid w:val="0"/>
                <w:szCs w:val="21"/>
              </w:rPr>
            </w:pPr>
            <w:r>
              <w:rPr>
                <w:rFonts w:eastAsiaTheme="minorEastAsia" w:hAnsiTheme="minorEastAsia"/>
                <w:b/>
                <w:bCs/>
                <w:snapToGrid w:val="0"/>
                <w:szCs w:val="21"/>
              </w:rPr>
              <w:t>降噪效果</w:t>
            </w:r>
            <w:r>
              <w:rPr>
                <w:rFonts w:eastAsiaTheme="minorEastAsia"/>
                <w:b/>
                <w:bCs/>
                <w:snapToGrid w:val="0"/>
                <w:szCs w:val="21"/>
              </w:rPr>
              <w:t>dB(A)</w:t>
            </w:r>
          </w:p>
        </w:tc>
        <w:tc>
          <w:tcPr>
            <w:tcW w:w="306" w:type="pct"/>
            <w:vAlign w:val="center"/>
          </w:tcPr>
          <w:p w14:paraId="17A9617B" w14:textId="77777777" w:rsidR="00B14D53" w:rsidRDefault="00000000">
            <w:pPr>
              <w:jc w:val="center"/>
              <w:rPr>
                <w:rFonts w:eastAsiaTheme="minorEastAsia"/>
                <w:b/>
                <w:bCs/>
                <w:snapToGrid w:val="0"/>
                <w:szCs w:val="21"/>
              </w:rPr>
            </w:pPr>
            <w:r>
              <w:rPr>
                <w:rFonts w:eastAsiaTheme="minorEastAsia" w:hAnsiTheme="minorEastAsia"/>
                <w:b/>
                <w:bCs/>
                <w:snapToGrid w:val="0"/>
                <w:szCs w:val="21"/>
              </w:rPr>
              <w:t>核算方法</w:t>
            </w:r>
          </w:p>
        </w:tc>
        <w:tc>
          <w:tcPr>
            <w:tcW w:w="359" w:type="pct"/>
            <w:vAlign w:val="center"/>
          </w:tcPr>
          <w:p w14:paraId="580D73C3" w14:textId="77777777" w:rsidR="00B14D53" w:rsidRDefault="00000000">
            <w:pPr>
              <w:jc w:val="center"/>
              <w:rPr>
                <w:rFonts w:eastAsiaTheme="minorEastAsia"/>
                <w:b/>
                <w:bCs/>
                <w:snapToGrid w:val="0"/>
                <w:szCs w:val="21"/>
              </w:rPr>
            </w:pPr>
            <w:r>
              <w:rPr>
                <w:rFonts w:eastAsiaTheme="minorEastAsia" w:hAnsiTheme="minorEastAsia"/>
                <w:b/>
                <w:bCs/>
                <w:snapToGrid w:val="0"/>
                <w:szCs w:val="21"/>
              </w:rPr>
              <w:t>噪声值</w:t>
            </w:r>
          </w:p>
          <w:p w14:paraId="171EF601" w14:textId="77777777" w:rsidR="00B14D53" w:rsidRDefault="00000000">
            <w:pPr>
              <w:jc w:val="center"/>
              <w:rPr>
                <w:rFonts w:eastAsiaTheme="minorEastAsia"/>
                <w:b/>
                <w:bCs/>
                <w:snapToGrid w:val="0"/>
                <w:szCs w:val="21"/>
              </w:rPr>
            </w:pPr>
            <w:r>
              <w:rPr>
                <w:rFonts w:eastAsiaTheme="minorEastAsia"/>
                <w:b/>
                <w:bCs/>
                <w:snapToGrid w:val="0"/>
                <w:szCs w:val="21"/>
              </w:rPr>
              <w:t>dB(A)</w:t>
            </w:r>
          </w:p>
        </w:tc>
        <w:tc>
          <w:tcPr>
            <w:tcW w:w="305" w:type="pct"/>
            <w:vMerge/>
            <w:vAlign w:val="center"/>
          </w:tcPr>
          <w:p w14:paraId="19D04900" w14:textId="77777777" w:rsidR="00B14D53" w:rsidRDefault="00B14D53">
            <w:pPr>
              <w:widowControl/>
              <w:jc w:val="left"/>
              <w:rPr>
                <w:rFonts w:eastAsiaTheme="minorEastAsia"/>
                <w:szCs w:val="22"/>
              </w:rPr>
            </w:pPr>
          </w:p>
        </w:tc>
      </w:tr>
      <w:tr w:rsidR="00B14D53" w14:paraId="50422531" w14:textId="77777777">
        <w:trPr>
          <w:trHeight w:val="297"/>
        </w:trPr>
        <w:tc>
          <w:tcPr>
            <w:tcW w:w="195" w:type="pct"/>
            <w:vAlign w:val="center"/>
          </w:tcPr>
          <w:p w14:paraId="54EFD8A5" w14:textId="77777777" w:rsidR="00B14D53" w:rsidRDefault="00000000">
            <w:pPr>
              <w:jc w:val="center"/>
              <w:rPr>
                <w:rFonts w:eastAsiaTheme="minorEastAsia"/>
                <w:snapToGrid w:val="0"/>
                <w:szCs w:val="22"/>
              </w:rPr>
            </w:pPr>
            <w:r>
              <w:rPr>
                <w:rFonts w:eastAsiaTheme="minorEastAsia"/>
                <w:snapToGrid w:val="0"/>
                <w:szCs w:val="22"/>
              </w:rPr>
              <w:t>1</w:t>
            </w:r>
          </w:p>
        </w:tc>
        <w:tc>
          <w:tcPr>
            <w:tcW w:w="551" w:type="pct"/>
            <w:vAlign w:val="center"/>
          </w:tcPr>
          <w:p w14:paraId="1057093C" w14:textId="77777777" w:rsidR="00B14D53" w:rsidRDefault="00000000">
            <w:pPr>
              <w:jc w:val="center"/>
              <w:rPr>
                <w:rFonts w:eastAsiaTheme="minorEastAsia"/>
                <w:szCs w:val="21"/>
              </w:rPr>
            </w:pPr>
            <w:r>
              <w:rPr>
                <w:rFonts w:hint="eastAsia"/>
                <w:szCs w:val="21"/>
              </w:rPr>
              <w:t>卧式三轴液压刨毛机</w:t>
            </w:r>
          </w:p>
        </w:tc>
        <w:tc>
          <w:tcPr>
            <w:tcW w:w="595" w:type="pct"/>
            <w:vMerge w:val="restart"/>
            <w:tcBorders>
              <w:right w:val="single" w:sz="4" w:space="0" w:color="auto"/>
            </w:tcBorders>
            <w:vAlign w:val="center"/>
          </w:tcPr>
          <w:p w14:paraId="760A0DB9" w14:textId="77777777" w:rsidR="00B14D53" w:rsidRDefault="00000000">
            <w:pPr>
              <w:jc w:val="center"/>
              <w:rPr>
                <w:rFonts w:eastAsiaTheme="minorEastAsia"/>
                <w:snapToGrid w:val="0"/>
                <w:szCs w:val="22"/>
              </w:rPr>
            </w:pPr>
            <w:r>
              <w:rPr>
                <w:rFonts w:eastAsiaTheme="minorEastAsia" w:hAnsiTheme="minorEastAsia" w:hint="eastAsia"/>
              </w:rPr>
              <w:t>屠宰车间</w:t>
            </w:r>
          </w:p>
        </w:tc>
        <w:tc>
          <w:tcPr>
            <w:tcW w:w="316" w:type="pct"/>
            <w:tcBorders>
              <w:left w:val="single" w:sz="4" w:space="0" w:color="auto"/>
            </w:tcBorders>
            <w:vAlign w:val="center"/>
          </w:tcPr>
          <w:p w14:paraId="7ABD649F" w14:textId="77777777" w:rsidR="00B14D53" w:rsidRDefault="00000000">
            <w:pPr>
              <w:jc w:val="center"/>
              <w:rPr>
                <w:rFonts w:eastAsiaTheme="minorEastAsia"/>
                <w:snapToGrid w:val="0"/>
                <w:szCs w:val="22"/>
              </w:rPr>
            </w:pPr>
            <w:r>
              <w:rPr>
                <w:rFonts w:eastAsiaTheme="minorEastAsia"/>
                <w:snapToGrid w:val="0"/>
                <w:szCs w:val="22"/>
              </w:rPr>
              <w:t>1</w:t>
            </w:r>
            <w:r>
              <w:rPr>
                <w:rFonts w:eastAsiaTheme="minorEastAsia" w:hint="eastAsia"/>
                <w:snapToGrid w:val="0"/>
                <w:szCs w:val="22"/>
              </w:rPr>
              <w:t>台</w:t>
            </w:r>
          </w:p>
        </w:tc>
        <w:tc>
          <w:tcPr>
            <w:tcW w:w="307" w:type="pct"/>
            <w:vAlign w:val="center"/>
          </w:tcPr>
          <w:p w14:paraId="4ECA0FB0" w14:textId="77777777" w:rsidR="00B14D53" w:rsidRDefault="00000000">
            <w:pPr>
              <w:jc w:val="center"/>
              <w:rPr>
                <w:rFonts w:eastAsiaTheme="minorEastAsia"/>
                <w:snapToGrid w:val="0"/>
                <w:szCs w:val="22"/>
              </w:rPr>
            </w:pPr>
            <w:r>
              <w:rPr>
                <w:rFonts w:eastAsiaTheme="minorEastAsia" w:hAnsiTheme="minorEastAsia"/>
                <w:snapToGrid w:val="0"/>
                <w:szCs w:val="22"/>
              </w:rPr>
              <w:t>频发</w:t>
            </w:r>
          </w:p>
        </w:tc>
        <w:tc>
          <w:tcPr>
            <w:tcW w:w="362" w:type="pct"/>
            <w:vAlign w:val="center"/>
          </w:tcPr>
          <w:p w14:paraId="38C8AA61" w14:textId="77777777" w:rsidR="00B14D53" w:rsidRDefault="00000000">
            <w:pPr>
              <w:jc w:val="center"/>
              <w:rPr>
                <w:rFonts w:eastAsiaTheme="minorEastAsia"/>
                <w:snapToGrid w:val="0"/>
                <w:szCs w:val="22"/>
              </w:rPr>
            </w:pPr>
            <w:r>
              <w:rPr>
                <w:rFonts w:eastAsiaTheme="minorEastAsia" w:hAnsiTheme="minorEastAsia"/>
                <w:snapToGrid w:val="0"/>
                <w:szCs w:val="22"/>
              </w:rPr>
              <w:t>类比法</w:t>
            </w:r>
          </w:p>
        </w:tc>
        <w:tc>
          <w:tcPr>
            <w:tcW w:w="398" w:type="pct"/>
            <w:vAlign w:val="center"/>
          </w:tcPr>
          <w:p w14:paraId="053D241B" w14:textId="77777777" w:rsidR="00B14D53" w:rsidRDefault="00000000">
            <w:pPr>
              <w:jc w:val="center"/>
              <w:rPr>
                <w:rFonts w:eastAsiaTheme="minorEastAsia"/>
                <w:snapToGrid w:val="0"/>
                <w:szCs w:val="22"/>
              </w:rPr>
            </w:pPr>
            <w:r>
              <w:rPr>
                <w:rFonts w:eastAsiaTheme="minorEastAsia" w:hint="eastAsia"/>
                <w:snapToGrid w:val="0"/>
                <w:szCs w:val="22"/>
              </w:rPr>
              <w:t>90</w:t>
            </w:r>
          </w:p>
        </w:tc>
        <w:tc>
          <w:tcPr>
            <w:tcW w:w="936" w:type="pct"/>
            <w:vMerge w:val="restart"/>
            <w:vAlign w:val="center"/>
          </w:tcPr>
          <w:p w14:paraId="159EE39F" w14:textId="77777777" w:rsidR="00B14D53" w:rsidRDefault="00000000">
            <w:pPr>
              <w:jc w:val="center"/>
              <w:rPr>
                <w:rFonts w:eastAsiaTheme="minorEastAsia"/>
                <w:snapToGrid w:val="0"/>
                <w:szCs w:val="22"/>
              </w:rPr>
            </w:pPr>
            <w:r>
              <w:rPr>
                <w:rFonts w:eastAsiaTheme="minorEastAsia" w:hAnsiTheme="minorEastAsia"/>
                <w:snapToGrid w:val="0"/>
                <w:szCs w:val="22"/>
              </w:rPr>
              <w:t>选用低噪声设备、基础减震、厂房隔声</w:t>
            </w:r>
          </w:p>
        </w:tc>
        <w:tc>
          <w:tcPr>
            <w:tcW w:w="365" w:type="pct"/>
            <w:vMerge w:val="restart"/>
            <w:vAlign w:val="center"/>
          </w:tcPr>
          <w:p w14:paraId="0B8F0D00" w14:textId="77777777" w:rsidR="00B14D53" w:rsidRDefault="00000000">
            <w:pPr>
              <w:jc w:val="center"/>
              <w:rPr>
                <w:rFonts w:eastAsiaTheme="minorEastAsia"/>
                <w:snapToGrid w:val="0"/>
                <w:szCs w:val="21"/>
              </w:rPr>
            </w:pPr>
            <w:r>
              <w:rPr>
                <w:rFonts w:eastAsiaTheme="minorEastAsia" w:hint="eastAsia"/>
                <w:snapToGrid w:val="0"/>
                <w:szCs w:val="21"/>
              </w:rPr>
              <w:t>20</w:t>
            </w:r>
          </w:p>
        </w:tc>
        <w:tc>
          <w:tcPr>
            <w:tcW w:w="306" w:type="pct"/>
            <w:vAlign w:val="center"/>
          </w:tcPr>
          <w:p w14:paraId="09F2825C" w14:textId="77777777" w:rsidR="00B14D53" w:rsidRDefault="00000000">
            <w:pPr>
              <w:jc w:val="center"/>
              <w:rPr>
                <w:rFonts w:eastAsiaTheme="minorEastAsia"/>
                <w:snapToGrid w:val="0"/>
                <w:szCs w:val="21"/>
              </w:rPr>
            </w:pPr>
            <w:r>
              <w:rPr>
                <w:rFonts w:eastAsiaTheme="minorEastAsia" w:hAnsiTheme="minorEastAsia"/>
                <w:snapToGrid w:val="0"/>
                <w:szCs w:val="22"/>
              </w:rPr>
              <w:t>类比法</w:t>
            </w:r>
          </w:p>
        </w:tc>
        <w:tc>
          <w:tcPr>
            <w:tcW w:w="359" w:type="pct"/>
            <w:vAlign w:val="center"/>
          </w:tcPr>
          <w:p w14:paraId="377FB03B" w14:textId="77777777" w:rsidR="00B14D53" w:rsidRDefault="00000000">
            <w:pPr>
              <w:jc w:val="center"/>
              <w:rPr>
                <w:rFonts w:eastAsiaTheme="minorEastAsia"/>
                <w:snapToGrid w:val="0"/>
                <w:szCs w:val="21"/>
              </w:rPr>
            </w:pPr>
            <w:r>
              <w:rPr>
                <w:rFonts w:eastAsiaTheme="minorEastAsia" w:hint="eastAsia"/>
                <w:snapToGrid w:val="0"/>
                <w:szCs w:val="21"/>
              </w:rPr>
              <w:t>70</w:t>
            </w:r>
          </w:p>
        </w:tc>
        <w:tc>
          <w:tcPr>
            <w:tcW w:w="305" w:type="pct"/>
            <w:vMerge w:val="restart"/>
            <w:vAlign w:val="center"/>
          </w:tcPr>
          <w:p w14:paraId="389892BD" w14:textId="77777777" w:rsidR="00B14D53" w:rsidRDefault="00000000">
            <w:pPr>
              <w:jc w:val="center"/>
              <w:rPr>
                <w:rFonts w:eastAsiaTheme="minorEastAsia"/>
                <w:snapToGrid w:val="0"/>
                <w:szCs w:val="22"/>
              </w:rPr>
            </w:pPr>
            <w:r>
              <w:rPr>
                <w:rFonts w:eastAsiaTheme="minorEastAsia" w:hint="eastAsia"/>
                <w:snapToGrid w:val="0"/>
                <w:szCs w:val="22"/>
              </w:rPr>
              <w:t>5440</w:t>
            </w:r>
          </w:p>
        </w:tc>
      </w:tr>
      <w:tr w:rsidR="00B14D53" w14:paraId="3D1DAB35" w14:textId="77777777">
        <w:trPr>
          <w:trHeight w:val="297"/>
        </w:trPr>
        <w:tc>
          <w:tcPr>
            <w:tcW w:w="195" w:type="pct"/>
            <w:vAlign w:val="center"/>
          </w:tcPr>
          <w:p w14:paraId="14999C0D" w14:textId="77777777" w:rsidR="00B14D53" w:rsidRDefault="00000000">
            <w:pPr>
              <w:jc w:val="center"/>
              <w:rPr>
                <w:rFonts w:eastAsiaTheme="minorEastAsia"/>
                <w:snapToGrid w:val="0"/>
                <w:szCs w:val="22"/>
              </w:rPr>
            </w:pPr>
            <w:r>
              <w:rPr>
                <w:rFonts w:eastAsiaTheme="minorEastAsia"/>
                <w:snapToGrid w:val="0"/>
                <w:szCs w:val="22"/>
              </w:rPr>
              <w:t>2</w:t>
            </w:r>
          </w:p>
        </w:tc>
        <w:tc>
          <w:tcPr>
            <w:tcW w:w="551" w:type="pct"/>
            <w:vAlign w:val="center"/>
          </w:tcPr>
          <w:p w14:paraId="64044AA1" w14:textId="77777777" w:rsidR="00B14D53" w:rsidRDefault="00000000">
            <w:pPr>
              <w:jc w:val="center"/>
              <w:rPr>
                <w:rFonts w:eastAsiaTheme="minorEastAsia"/>
                <w:szCs w:val="21"/>
              </w:rPr>
            </w:pPr>
            <w:r>
              <w:rPr>
                <w:rFonts w:hint="eastAsia"/>
                <w:szCs w:val="21"/>
              </w:rPr>
              <w:t>电麻机</w:t>
            </w:r>
          </w:p>
        </w:tc>
        <w:tc>
          <w:tcPr>
            <w:tcW w:w="595" w:type="pct"/>
            <w:vMerge/>
            <w:tcBorders>
              <w:right w:val="single" w:sz="4" w:space="0" w:color="auto"/>
            </w:tcBorders>
            <w:vAlign w:val="center"/>
          </w:tcPr>
          <w:p w14:paraId="13AFED44" w14:textId="77777777" w:rsidR="00B14D53" w:rsidRDefault="00B14D53">
            <w:pPr>
              <w:jc w:val="center"/>
              <w:rPr>
                <w:rFonts w:eastAsiaTheme="minorEastAsia"/>
                <w:snapToGrid w:val="0"/>
                <w:szCs w:val="22"/>
              </w:rPr>
            </w:pPr>
          </w:p>
        </w:tc>
        <w:tc>
          <w:tcPr>
            <w:tcW w:w="316" w:type="pct"/>
            <w:tcBorders>
              <w:left w:val="single" w:sz="4" w:space="0" w:color="auto"/>
            </w:tcBorders>
            <w:vAlign w:val="center"/>
          </w:tcPr>
          <w:p w14:paraId="5F2DF6F5" w14:textId="77777777" w:rsidR="00B14D53" w:rsidRDefault="00000000">
            <w:pPr>
              <w:jc w:val="center"/>
              <w:rPr>
                <w:rFonts w:eastAsiaTheme="minorEastAsia"/>
                <w:snapToGrid w:val="0"/>
                <w:szCs w:val="22"/>
              </w:rPr>
            </w:pPr>
            <w:r>
              <w:rPr>
                <w:rFonts w:eastAsiaTheme="minorEastAsia"/>
                <w:snapToGrid w:val="0"/>
                <w:szCs w:val="22"/>
              </w:rPr>
              <w:t>1</w:t>
            </w:r>
            <w:r>
              <w:rPr>
                <w:rFonts w:eastAsiaTheme="minorEastAsia" w:hint="eastAsia"/>
                <w:snapToGrid w:val="0"/>
                <w:szCs w:val="22"/>
              </w:rPr>
              <w:t>台</w:t>
            </w:r>
          </w:p>
        </w:tc>
        <w:tc>
          <w:tcPr>
            <w:tcW w:w="307" w:type="pct"/>
            <w:vAlign w:val="center"/>
          </w:tcPr>
          <w:p w14:paraId="01680A1F" w14:textId="77777777" w:rsidR="00B14D53" w:rsidRDefault="00000000">
            <w:pPr>
              <w:jc w:val="center"/>
              <w:rPr>
                <w:rFonts w:eastAsiaTheme="minorEastAsia"/>
                <w:snapToGrid w:val="0"/>
                <w:szCs w:val="22"/>
              </w:rPr>
            </w:pPr>
            <w:r>
              <w:rPr>
                <w:rFonts w:eastAsiaTheme="minorEastAsia" w:hAnsiTheme="minorEastAsia"/>
                <w:snapToGrid w:val="0"/>
                <w:szCs w:val="22"/>
              </w:rPr>
              <w:t>频发</w:t>
            </w:r>
          </w:p>
        </w:tc>
        <w:tc>
          <w:tcPr>
            <w:tcW w:w="362" w:type="pct"/>
            <w:vAlign w:val="center"/>
          </w:tcPr>
          <w:p w14:paraId="0F58F712" w14:textId="77777777" w:rsidR="00B14D53" w:rsidRDefault="00000000">
            <w:pPr>
              <w:jc w:val="center"/>
              <w:rPr>
                <w:rFonts w:eastAsiaTheme="minorEastAsia"/>
                <w:snapToGrid w:val="0"/>
                <w:szCs w:val="22"/>
              </w:rPr>
            </w:pPr>
            <w:r>
              <w:rPr>
                <w:rFonts w:eastAsiaTheme="minorEastAsia" w:hAnsiTheme="minorEastAsia"/>
                <w:snapToGrid w:val="0"/>
                <w:szCs w:val="22"/>
              </w:rPr>
              <w:t>类比法</w:t>
            </w:r>
          </w:p>
        </w:tc>
        <w:tc>
          <w:tcPr>
            <w:tcW w:w="398" w:type="pct"/>
            <w:vAlign w:val="center"/>
          </w:tcPr>
          <w:p w14:paraId="630B1CAB" w14:textId="77777777" w:rsidR="00B14D53" w:rsidRDefault="00000000">
            <w:pPr>
              <w:jc w:val="center"/>
              <w:rPr>
                <w:rFonts w:eastAsiaTheme="minorEastAsia"/>
                <w:snapToGrid w:val="0"/>
                <w:szCs w:val="22"/>
              </w:rPr>
            </w:pPr>
            <w:r>
              <w:rPr>
                <w:rFonts w:eastAsiaTheme="minorEastAsia" w:hint="eastAsia"/>
                <w:snapToGrid w:val="0"/>
                <w:szCs w:val="22"/>
              </w:rPr>
              <w:t>75</w:t>
            </w:r>
          </w:p>
        </w:tc>
        <w:tc>
          <w:tcPr>
            <w:tcW w:w="936" w:type="pct"/>
            <w:vMerge/>
            <w:vAlign w:val="center"/>
          </w:tcPr>
          <w:p w14:paraId="3C57BB21" w14:textId="77777777" w:rsidR="00B14D53" w:rsidRDefault="00B14D53">
            <w:pPr>
              <w:jc w:val="center"/>
              <w:rPr>
                <w:rFonts w:eastAsiaTheme="minorEastAsia"/>
                <w:snapToGrid w:val="0"/>
                <w:szCs w:val="22"/>
              </w:rPr>
            </w:pPr>
          </w:p>
        </w:tc>
        <w:tc>
          <w:tcPr>
            <w:tcW w:w="365" w:type="pct"/>
            <w:vMerge/>
            <w:vAlign w:val="center"/>
          </w:tcPr>
          <w:p w14:paraId="0CB2AB78" w14:textId="77777777" w:rsidR="00B14D53" w:rsidRDefault="00B14D53">
            <w:pPr>
              <w:jc w:val="center"/>
              <w:rPr>
                <w:rFonts w:eastAsiaTheme="minorEastAsia"/>
              </w:rPr>
            </w:pPr>
          </w:p>
        </w:tc>
        <w:tc>
          <w:tcPr>
            <w:tcW w:w="306" w:type="pct"/>
            <w:vAlign w:val="center"/>
          </w:tcPr>
          <w:p w14:paraId="3D68E333" w14:textId="77777777" w:rsidR="00B14D53" w:rsidRDefault="00000000">
            <w:pPr>
              <w:jc w:val="center"/>
              <w:rPr>
                <w:rFonts w:eastAsiaTheme="minorEastAsia"/>
                <w:snapToGrid w:val="0"/>
                <w:szCs w:val="21"/>
              </w:rPr>
            </w:pPr>
            <w:r>
              <w:rPr>
                <w:rFonts w:eastAsiaTheme="minorEastAsia" w:hAnsiTheme="minorEastAsia"/>
                <w:snapToGrid w:val="0"/>
                <w:szCs w:val="22"/>
              </w:rPr>
              <w:t>类比法</w:t>
            </w:r>
          </w:p>
        </w:tc>
        <w:tc>
          <w:tcPr>
            <w:tcW w:w="359" w:type="pct"/>
            <w:vAlign w:val="center"/>
          </w:tcPr>
          <w:p w14:paraId="7BE0F5BD" w14:textId="77777777" w:rsidR="00B14D53" w:rsidRDefault="00000000">
            <w:pPr>
              <w:jc w:val="center"/>
              <w:rPr>
                <w:rFonts w:eastAsiaTheme="minorEastAsia"/>
              </w:rPr>
            </w:pPr>
            <w:r>
              <w:rPr>
                <w:rFonts w:eastAsiaTheme="minorEastAsia" w:hint="eastAsia"/>
              </w:rPr>
              <w:t>55</w:t>
            </w:r>
          </w:p>
        </w:tc>
        <w:tc>
          <w:tcPr>
            <w:tcW w:w="305" w:type="pct"/>
            <w:vMerge/>
            <w:vAlign w:val="center"/>
          </w:tcPr>
          <w:p w14:paraId="0040482E" w14:textId="77777777" w:rsidR="00B14D53" w:rsidRDefault="00B14D53">
            <w:pPr>
              <w:jc w:val="center"/>
              <w:rPr>
                <w:rFonts w:eastAsiaTheme="minorEastAsia"/>
                <w:snapToGrid w:val="0"/>
                <w:szCs w:val="22"/>
              </w:rPr>
            </w:pPr>
          </w:p>
        </w:tc>
      </w:tr>
      <w:tr w:rsidR="00B14D53" w14:paraId="68951D52" w14:textId="77777777">
        <w:trPr>
          <w:trHeight w:val="310"/>
        </w:trPr>
        <w:tc>
          <w:tcPr>
            <w:tcW w:w="195" w:type="pct"/>
            <w:vAlign w:val="center"/>
          </w:tcPr>
          <w:p w14:paraId="363DE753" w14:textId="77777777" w:rsidR="00B14D53" w:rsidRDefault="00000000">
            <w:pPr>
              <w:jc w:val="center"/>
              <w:rPr>
                <w:rFonts w:eastAsiaTheme="minorEastAsia"/>
                <w:snapToGrid w:val="0"/>
                <w:szCs w:val="22"/>
              </w:rPr>
            </w:pPr>
            <w:r>
              <w:rPr>
                <w:rFonts w:eastAsiaTheme="minorEastAsia"/>
                <w:snapToGrid w:val="0"/>
                <w:szCs w:val="22"/>
              </w:rPr>
              <w:t>3</w:t>
            </w:r>
          </w:p>
        </w:tc>
        <w:tc>
          <w:tcPr>
            <w:tcW w:w="551" w:type="pct"/>
            <w:vAlign w:val="center"/>
          </w:tcPr>
          <w:p w14:paraId="7FE01F8F" w14:textId="77777777" w:rsidR="00B14D53" w:rsidRDefault="00000000">
            <w:pPr>
              <w:contextualSpacing/>
              <w:jc w:val="center"/>
              <w:rPr>
                <w:rFonts w:eastAsiaTheme="minorEastAsia"/>
                <w:szCs w:val="21"/>
              </w:rPr>
            </w:pPr>
            <w:r>
              <w:rPr>
                <w:rFonts w:hint="eastAsia"/>
                <w:szCs w:val="21"/>
              </w:rPr>
              <w:t>提升机</w:t>
            </w:r>
          </w:p>
        </w:tc>
        <w:tc>
          <w:tcPr>
            <w:tcW w:w="595" w:type="pct"/>
            <w:vMerge/>
            <w:tcBorders>
              <w:right w:val="single" w:sz="4" w:space="0" w:color="auto"/>
            </w:tcBorders>
            <w:vAlign w:val="center"/>
          </w:tcPr>
          <w:p w14:paraId="5427AAEE" w14:textId="77777777" w:rsidR="00B14D53" w:rsidRDefault="00B14D53">
            <w:pPr>
              <w:jc w:val="center"/>
              <w:rPr>
                <w:rFonts w:eastAsiaTheme="minorEastAsia"/>
                <w:snapToGrid w:val="0"/>
                <w:szCs w:val="22"/>
              </w:rPr>
            </w:pPr>
          </w:p>
        </w:tc>
        <w:tc>
          <w:tcPr>
            <w:tcW w:w="316" w:type="pct"/>
            <w:tcBorders>
              <w:left w:val="single" w:sz="4" w:space="0" w:color="auto"/>
            </w:tcBorders>
            <w:vAlign w:val="center"/>
          </w:tcPr>
          <w:p w14:paraId="10D56194" w14:textId="77777777" w:rsidR="00B14D53" w:rsidRDefault="00000000">
            <w:pPr>
              <w:jc w:val="center"/>
              <w:rPr>
                <w:rFonts w:eastAsiaTheme="minorEastAsia"/>
                <w:snapToGrid w:val="0"/>
                <w:szCs w:val="22"/>
              </w:rPr>
            </w:pPr>
            <w:r>
              <w:rPr>
                <w:rFonts w:eastAsiaTheme="minorEastAsia" w:hint="eastAsia"/>
                <w:snapToGrid w:val="0"/>
                <w:szCs w:val="22"/>
              </w:rPr>
              <w:t>2</w:t>
            </w:r>
            <w:r>
              <w:rPr>
                <w:rFonts w:eastAsiaTheme="minorEastAsia" w:hint="eastAsia"/>
                <w:snapToGrid w:val="0"/>
                <w:szCs w:val="22"/>
              </w:rPr>
              <w:t>台</w:t>
            </w:r>
          </w:p>
        </w:tc>
        <w:tc>
          <w:tcPr>
            <w:tcW w:w="307" w:type="pct"/>
            <w:vAlign w:val="center"/>
          </w:tcPr>
          <w:p w14:paraId="650D1A91" w14:textId="77777777" w:rsidR="00B14D53" w:rsidRDefault="00000000">
            <w:pPr>
              <w:jc w:val="center"/>
              <w:rPr>
                <w:rFonts w:eastAsiaTheme="minorEastAsia"/>
                <w:snapToGrid w:val="0"/>
                <w:szCs w:val="22"/>
              </w:rPr>
            </w:pPr>
            <w:r>
              <w:rPr>
                <w:rFonts w:eastAsiaTheme="minorEastAsia" w:hAnsiTheme="minorEastAsia"/>
                <w:snapToGrid w:val="0"/>
                <w:szCs w:val="22"/>
              </w:rPr>
              <w:t>频发</w:t>
            </w:r>
          </w:p>
        </w:tc>
        <w:tc>
          <w:tcPr>
            <w:tcW w:w="362" w:type="pct"/>
            <w:vAlign w:val="center"/>
          </w:tcPr>
          <w:p w14:paraId="42C12888" w14:textId="77777777" w:rsidR="00B14D53" w:rsidRDefault="00000000">
            <w:pPr>
              <w:jc w:val="center"/>
              <w:rPr>
                <w:rFonts w:eastAsiaTheme="minorEastAsia"/>
                <w:snapToGrid w:val="0"/>
                <w:szCs w:val="22"/>
              </w:rPr>
            </w:pPr>
            <w:r>
              <w:rPr>
                <w:rFonts w:eastAsiaTheme="minorEastAsia" w:hAnsiTheme="minorEastAsia"/>
                <w:snapToGrid w:val="0"/>
                <w:szCs w:val="22"/>
              </w:rPr>
              <w:t>类比法</w:t>
            </w:r>
          </w:p>
        </w:tc>
        <w:tc>
          <w:tcPr>
            <w:tcW w:w="398" w:type="pct"/>
            <w:vAlign w:val="center"/>
          </w:tcPr>
          <w:p w14:paraId="073CCCEA" w14:textId="77777777" w:rsidR="00B14D53" w:rsidRDefault="00000000">
            <w:pPr>
              <w:jc w:val="center"/>
              <w:rPr>
                <w:rFonts w:eastAsiaTheme="minorEastAsia"/>
                <w:snapToGrid w:val="0"/>
                <w:szCs w:val="22"/>
              </w:rPr>
            </w:pPr>
            <w:r>
              <w:rPr>
                <w:rFonts w:eastAsiaTheme="minorEastAsia" w:hint="eastAsia"/>
                <w:snapToGrid w:val="0"/>
                <w:szCs w:val="22"/>
              </w:rPr>
              <w:t>75</w:t>
            </w:r>
          </w:p>
        </w:tc>
        <w:tc>
          <w:tcPr>
            <w:tcW w:w="936" w:type="pct"/>
            <w:vMerge/>
            <w:vAlign w:val="center"/>
          </w:tcPr>
          <w:p w14:paraId="428DE8E0" w14:textId="77777777" w:rsidR="00B14D53" w:rsidRDefault="00B14D53">
            <w:pPr>
              <w:jc w:val="center"/>
              <w:rPr>
                <w:rFonts w:eastAsiaTheme="minorEastAsia"/>
                <w:snapToGrid w:val="0"/>
                <w:szCs w:val="22"/>
              </w:rPr>
            </w:pPr>
          </w:p>
        </w:tc>
        <w:tc>
          <w:tcPr>
            <w:tcW w:w="365" w:type="pct"/>
            <w:vMerge/>
            <w:vAlign w:val="center"/>
          </w:tcPr>
          <w:p w14:paraId="592BB83C" w14:textId="77777777" w:rsidR="00B14D53" w:rsidRDefault="00B14D53">
            <w:pPr>
              <w:jc w:val="center"/>
              <w:rPr>
                <w:rFonts w:eastAsiaTheme="minorEastAsia"/>
              </w:rPr>
            </w:pPr>
          </w:p>
        </w:tc>
        <w:tc>
          <w:tcPr>
            <w:tcW w:w="306" w:type="pct"/>
            <w:vAlign w:val="center"/>
          </w:tcPr>
          <w:p w14:paraId="7D47ADFC" w14:textId="77777777" w:rsidR="00B14D53" w:rsidRDefault="00000000">
            <w:pPr>
              <w:jc w:val="center"/>
              <w:rPr>
                <w:rFonts w:eastAsiaTheme="minorEastAsia"/>
                <w:snapToGrid w:val="0"/>
                <w:szCs w:val="22"/>
              </w:rPr>
            </w:pPr>
            <w:r>
              <w:rPr>
                <w:rFonts w:eastAsiaTheme="minorEastAsia" w:hAnsiTheme="minorEastAsia"/>
                <w:snapToGrid w:val="0"/>
                <w:szCs w:val="22"/>
              </w:rPr>
              <w:t>类比法</w:t>
            </w:r>
          </w:p>
        </w:tc>
        <w:tc>
          <w:tcPr>
            <w:tcW w:w="359" w:type="pct"/>
            <w:vAlign w:val="center"/>
          </w:tcPr>
          <w:p w14:paraId="41EA94BB" w14:textId="77777777" w:rsidR="00B14D53" w:rsidRDefault="00000000">
            <w:pPr>
              <w:jc w:val="center"/>
              <w:rPr>
                <w:rFonts w:eastAsiaTheme="minorEastAsia"/>
              </w:rPr>
            </w:pPr>
            <w:r>
              <w:rPr>
                <w:rFonts w:eastAsiaTheme="minorEastAsia" w:hint="eastAsia"/>
              </w:rPr>
              <w:t>55</w:t>
            </w:r>
          </w:p>
        </w:tc>
        <w:tc>
          <w:tcPr>
            <w:tcW w:w="305" w:type="pct"/>
            <w:vMerge/>
            <w:vAlign w:val="center"/>
          </w:tcPr>
          <w:p w14:paraId="5F58B142" w14:textId="77777777" w:rsidR="00B14D53" w:rsidRDefault="00B14D53">
            <w:pPr>
              <w:jc w:val="center"/>
              <w:rPr>
                <w:rFonts w:eastAsiaTheme="minorEastAsia"/>
                <w:snapToGrid w:val="0"/>
                <w:szCs w:val="22"/>
              </w:rPr>
            </w:pPr>
          </w:p>
        </w:tc>
      </w:tr>
      <w:tr w:rsidR="00B14D53" w14:paraId="20160411" w14:textId="77777777">
        <w:trPr>
          <w:trHeight w:val="310"/>
        </w:trPr>
        <w:tc>
          <w:tcPr>
            <w:tcW w:w="195" w:type="pct"/>
            <w:vAlign w:val="center"/>
          </w:tcPr>
          <w:p w14:paraId="3B92C5A8" w14:textId="77777777" w:rsidR="00B14D53" w:rsidRDefault="00000000">
            <w:pPr>
              <w:jc w:val="center"/>
              <w:rPr>
                <w:rFonts w:eastAsiaTheme="minorEastAsia"/>
                <w:snapToGrid w:val="0"/>
                <w:szCs w:val="22"/>
              </w:rPr>
            </w:pPr>
            <w:r>
              <w:rPr>
                <w:rFonts w:eastAsiaTheme="minorEastAsia"/>
                <w:snapToGrid w:val="0"/>
                <w:szCs w:val="22"/>
              </w:rPr>
              <w:t>4</w:t>
            </w:r>
          </w:p>
        </w:tc>
        <w:tc>
          <w:tcPr>
            <w:tcW w:w="551" w:type="pct"/>
            <w:vAlign w:val="center"/>
          </w:tcPr>
          <w:p w14:paraId="08B582F8" w14:textId="77777777" w:rsidR="00B14D53" w:rsidRDefault="00000000">
            <w:pPr>
              <w:contextualSpacing/>
              <w:jc w:val="center"/>
              <w:rPr>
                <w:rFonts w:eastAsiaTheme="minorEastAsia"/>
                <w:szCs w:val="21"/>
              </w:rPr>
            </w:pPr>
            <w:r>
              <w:rPr>
                <w:rFonts w:hint="eastAsia"/>
                <w:szCs w:val="21"/>
              </w:rPr>
              <w:t>电动劈半锯</w:t>
            </w:r>
          </w:p>
        </w:tc>
        <w:tc>
          <w:tcPr>
            <w:tcW w:w="595" w:type="pct"/>
            <w:vMerge/>
            <w:tcBorders>
              <w:right w:val="single" w:sz="4" w:space="0" w:color="auto"/>
            </w:tcBorders>
            <w:vAlign w:val="center"/>
          </w:tcPr>
          <w:p w14:paraId="366E1BC4" w14:textId="77777777" w:rsidR="00B14D53" w:rsidRDefault="00B14D53">
            <w:pPr>
              <w:jc w:val="center"/>
              <w:rPr>
                <w:rFonts w:eastAsiaTheme="minorEastAsia"/>
                <w:snapToGrid w:val="0"/>
                <w:szCs w:val="22"/>
              </w:rPr>
            </w:pPr>
          </w:p>
        </w:tc>
        <w:tc>
          <w:tcPr>
            <w:tcW w:w="316" w:type="pct"/>
            <w:tcBorders>
              <w:left w:val="single" w:sz="4" w:space="0" w:color="auto"/>
            </w:tcBorders>
            <w:vAlign w:val="center"/>
          </w:tcPr>
          <w:p w14:paraId="392C0678" w14:textId="77777777" w:rsidR="00B14D53" w:rsidRDefault="00000000">
            <w:pPr>
              <w:jc w:val="center"/>
              <w:rPr>
                <w:rFonts w:eastAsiaTheme="minorEastAsia"/>
                <w:snapToGrid w:val="0"/>
                <w:szCs w:val="22"/>
              </w:rPr>
            </w:pPr>
            <w:r>
              <w:rPr>
                <w:rFonts w:eastAsiaTheme="minorEastAsia" w:hint="eastAsia"/>
                <w:snapToGrid w:val="0"/>
                <w:szCs w:val="22"/>
              </w:rPr>
              <w:t>2</w:t>
            </w:r>
            <w:r>
              <w:rPr>
                <w:rFonts w:eastAsiaTheme="minorEastAsia" w:hint="eastAsia"/>
                <w:snapToGrid w:val="0"/>
                <w:szCs w:val="22"/>
              </w:rPr>
              <w:t>台</w:t>
            </w:r>
          </w:p>
        </w:tc>
        <w:tc>
          <w:tcPr>
            <w:tcW w:w="307" w:type="pct"/>
            <w:vAlign w:val="center"/>
          </w:tcPr>
          <w:p w14:paraId="69010262" w14:textId="77777777" w:rsidR="00B14D53" w:rsidRDefault="00000000">
            <w:pPr>
              <w:jc w:val="center"/>
              <w:rPr>
                <w:rFonts w:eastAsiaTheme="minorEastAsia"/>
                <w:snapToGrid w:val="0"/>
                <w:szCs w:val="22"/>
              </w:rPr>
            </w:pPr>
            <w:r>
              <w:rPr>
                <w:rFonts w:eastAsiaTheme="minorEastAsia" w:hAnsiTheme="minorEastAsia"/>
                <w:snapToGrid w:val="0"/>
                <w:szCs w:val="22"/>
              </w:rPr>
              <w:t>频发</w:t>
            </w:r>
          </w:p>
        </w:tc>
        <w:tc>
          <w:tcPr>
            <w:tcW w:w="362" w:type="pct"/>
            <w:vAlign w:val="center"/>
          </w:tcPr>
          <w:p w14:paraId="66C54CCE" w14:textId="77777777" w:rsidR="00B14D53" w:rsidRDefault="00000000">
            <w:pPr>
              <w:jc w:val="center"/>
              <w:rPr>
                <w:rFonts w:eastAsiaTheme="minorEastAsia"/>
                <w:snapToGrid w:val="0"/>
                <w:szCs w:val="22"/>
              </w:rPr>
            </w:pPr>
            <w:r>
              <w:rPr>
                <w:rFonts w:eastAsiaTheme="minorEastAsia" w:hAnsiTheme="minorEastAsia"/>
                <w:snapToGrid w:val="0"/>
                <w:szCs w:val="22"/>
              </w:rPr>
              <w:t>类比法</w:t>
            </w:r>
          </w:p>
        </w:tc>
        <w:tc>
          <w:tcPr>
            <w:tcW w:w="398" w:type="pct"/>
            <w:vAlign w:val="center"/>
          </w:tcPr>
          <w:p w14:paraId="3A20678F" w14:textId="77777777" w:rsidR="00B14D53" w:rsidRDefault="00000000">
            <w:pPr>
              <w:jc w:val="center"/>
              <w:rPr>
                <w:rFonts w:eastAsiaTheme="minorEastAsia"/>
                <w:snapToGrid w:val="0"/>
                <w:szCs w:val="22"/>
              </w:rPr>
            </w:pPr>
            <w:r>
              <w:rPr>
                <w:rFonts w:eastAsiaTheme="minorEastAsia" w:hint="eastAsia"/>
                <w:snapToGrid w:val="0"/>
                <w:szCs w:val="22"/>
              </w:rPr>
              <w:t>90</w:t>
            </w:r>
          </w:p>
        </w:tc>
        <w:tc>
          <w:tcPr>
            <w:tcW w:w="936" w:type="pct"/>
            <w:vMerge/>
            <w:vAlign w:val="center"/>
          </w:tcPr>
          <w:p w14:paraId="0831A1EF" w14:textId="77777777" w:rsidR="00B14D53" w:rsidRDefault="00B14D53">
            <w:pPr>
              <w:jc w:val="center"/>
              <w:rPr>
                <w:rFonts w:eastAsiaTheme="minorEastAsia"/>
                <w:snapToGrid w:val="0"/>
                <w:szCs w:val="22"/>
              </w:rPr>
            </w:pPr>
          </w:p>
        </w:tc>
        <w:tc>
          <w:tcPr>
            <w:tcW w:w="365" w:type="pct"/>
            <w:vMerge/>
            <w:vAlign w:val="center"/>
          </w:tcPr>
          <w:p w14:paraId="731DFE26" w14:textId="77777777" w:rsidR="00B14D53" w:rsidRDefault="00B14D53">
            <w:pPr>
              <w:jc w:val="center"/>
              <w:rPr>
                <w:rFonts w:eastAsiaTheme="minorEastAsia"/>
              </w:rPr>
            </w:pPr>
          </w:p>
        </w:tc>
        <w:tc>
          <w:tcPr>
            <w:tcW w:w="306" w:type="pct"/>
            <w:vAlign w:val="center"/>
          </w:tcPr>
          <w:p w14:paraId="60ABFE13" w14:textId="77777777" w:rsidR="00B14D53" w:rsidRDefault="00000000">
            <w:pPr>
              <w:jc w:val="center"/>
              <w:rPr>
                <w:rFonts w:eastAsiaTheme="minorEastAsia"/>
                <w:snapToGrid w:val="0"/>
                <w:szCs w:val="22"/>
              </w:rPr>
            </w:pPr>
            <w:r>
              <w:rPr>
                <w:rFonts w:eastAsiaTheme="minorEastAsia" w:hAnsiTheme="minorEastAsia"/>
                <w:snapToGrid w:val="0"/>
                <w:szCs w:val="22"/>
              </w:rPr>
              <w:t>类比法</w:t>
            </w:r>
          </w:p>
        </w:tc>
        <w:tc>
          <w:tcPr>
            <w:tcW w:w="359" w:type="pct"/>
            <w:vAlign w:val="center"/>
          </w:tcPr>
          <w:p w14:paraId="413F0BEC" w14:textId="77777777" w:rsidR="00B14D53" w:rsidRDefault="00000000">
            <w:pPr>
              <w:jc w:val="center"/>
              <w:rPr>
                <w:rFonts w:eastAsiaTheme="minorEastAsia"/>
              </w:rPr>
            </w:pPr>
            <w:r>
              <w:rPr>
                <w:rFonts w:eastAsiaTheme="minorEastAsia" w:hint="eastAsia"/>
              </w:rPr>
              <w:t>70</w:t>
            </w:r>
          </w:p>
        </w:tc>
        <w:tc>
          <w:tcPr>
            <w:tcW w:w="305" w:type="pct"/>
            <w:vMerge/>
            <w:vAlign w:val="center"/>
          </w:tcPr>
          <w:p w14:paraId="2AB94197" w14:textId="77777777" w:rsidR="00B14D53" w:rsidRDefault="00B14D53">
            <w:pPr>
              <w:jc w:val="center"/>
              <w:rPr>
                <w:rFonts w:eastAsiaTheme="minorEastAsia"/>
                <w:snapToGrid w:val="0"/>
                <w:szCs w:val="22"/>
              </w:rPr>
            </w:pPr>
          </w:p>
        </w:tc>
      </w:tr>
      <w:tr w:rsidR="00B14D53" w14:paraId="473984C7" w14:textId="77777777">
        <w:trPr>
          <w:trHeight w:val="310"/>
        </w:trPr>
        <w:tc>
          <w:tcPr>
            <w:tcW w:w="195" w:type="pct"/>
            <w:vAlign w:val="center"/>
          </w:tcPr>
          <w:p w14:paraId="07A6BB39" w14:textId="77777777" w:rsidR="00B14D53" w:rsidRDefault="00000000">
            <w:pPr>
              <w:jc w:val="center"/>
              <w:rPr>
                <w:rFonts w:eastAsiaTheme="minorEastAsia"/>
                <w:snapToGrid w:val="0"/>
                <w:szCs w:val="22"/>
              </w:rPr>
            </w:pPr>
            <w:r>
              <w:rPr>
                <w:rFonts w:eastAsiaTheme="minorEastAsia" w:hint="eastAsia"/>
                <w:snapToGrid w:val="0"/>
                <w:szCs w:val="22"/>
              </w:rPr>
              <w:t>5</w:t>
            </w:r>
          </w:p>
        </w:tc>
        <w:tc>
          <w:tcPr>
            <w:tcW w:w="551" w:type="pct"/>
            <w:vAlign w:val="center"/>
          </w:tcPr>
          <w:p w14:paraId="22693248" w14:textId="77777777" w:rsidR="00B14D53" w:rsidRDefault="00000000">
            <w:pPr>
              <w:contextualSpacing/>
              <w:jc w:val="center"/>
              <w:rPr>
                <w:szCs w:val="21"/>
              </w:rPr>
            </w:pPr>
            <w:r>
              <w:rPr>
                <w:rFonts w:hint="eastAsia"/>
                <w:szCs w:val="21"/>
              </w:rPr>
              <w:t>真空放血系统</w:t>
            </w:r>
          </w:p>
        </w:tc>
        <w:tc>
          <w:tcPr>
            <w:tcW w:w="595" w:type="pct"/>
            <w:vMerge/>
            <w:tcBorders>
              <w:right w:val="single" w:sz="4" w:space="0" w:color="auto"/>
            </w:tcBorders>
            <w:vAlign w:val="center"/>
          </w:tcPr>
          <w:p w14:paraId="38BAACF4" w14:textId="77777777" w:rsidR="00B14D53" w:rsidRDefault="00B14D53">
            <w:pPr>
              <w:jc w:val="center"/>
              <w:rPr>
                <w:rFonts w:eastAsiaTheme="minorEastAsia"/>
                <w:snapToGrid w:val="0"/>
                <w:szCs w:val="22"/>
              </w:rPr>
            </w:pPr>
          </w:p>
        </w:tc>
        <w:tc>
          <w:tcPr>
            <w:tcW w:w="316" w:type="pct"/>
            <w:tcBorders>
              <w:left w:val="single" w:sz="4" w:space="0" w:color="auto"/>
            </w:tcBorders>
            <w:vAlign w:val="center"/>
          </w:tcPr>
          <w:p w14:paraId="6C89DA57" w14:textId="77777777" w:rsidR="00B14D53" w:rsidRDefault="00000000">
            <w:pPr>
              <w:jc w:val="center"/>
              <w:rPr>
                <w:rFonts w:eastAsiaTheme="minorEastAsia"/>
                <w:snapToGrid w:val="0"/>
                <w:szCs w:val="22"/>
              </w:rPr>
            </w:pPr>
            <w:r>
              <w:rPr>
                <w:rFonts w:eastAsiaTheme="minorEastAsia" w:hint="eastAsia"/>
                <w:snapToGrid w:val="0"/>
                <w:szCs w:val="22"/>
              </w:rPr>
              <w:t>1</w:t>
            </w:r>
            <w:r>
              <w:rPr>
                <w:rFonts w:eastAsiaTheme="minorEastAsia" w:hint="eastAsia"/>
                <w:snapToGrid w:val="0"/>
                <w:szCs w:val="22"/>
              </w:rPr>
              <w:t>套</w:t>
            </w:r>
          </w:p>
        </w:tc>
        <w:tc>
          <w:tcPr>
            <w:tcW w:w="307" w:type="pct"/>
            <w:vAlign w:val="center"/>
          </w:tcPr>
          <w:p w14:paraId="7F8A234D"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频发</w:t>
            </w:r>
          </w:p>
        </w:tc>
        <w:tc>
          <w:tcPr>
            <w:tcW w:w="362" w:type="pct"/>
            <w:vAlign w:val="center"/>
          </w:tcPr>
          <w:p w14:paraId="71795028"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98" w:type="pct"/>
            <w:vAlign w:val="center"/>
          </w:tcPr>
          <w:p w14:paraId="5605133A" w14:textId="77777777" w:rsidR="00B14D53" w:rsidRDefault="00000000">
            <w:pPr>
              <w:jc w:val="center"/>
              <w:rPr>
                <w:rFonts w:eastAsiaTheme="minorEastAsia"/>
                <w:snapToGrid w:val="0"/>
                <w:szCs w:val="22"/>
              </w:rPr>
            </w:pPr>
            <w:r>
              <w:rPr>
                <w:rFonts w:eastAsiaTheme="minorEastAsia" w:hint="eastAsia"/>
                <w:snapToGrid w:val="0"/>
                <w:szCs w:val="22"/>
              </w:rPr>
              <w:t>70</w:t>
            </w:r>
          </w:p>
        </w:tc>
        <w:tc>
          <w:tcPr>
            <w:tcW w:w="936" w:type="pct"/>
            <w:vMerge/>
            <w:vAlign w:val="center"/>
          </w:tcPr>
          <w:p w14:paraId="1BBF8C49" w14:textId="77777777" w:rsidR="00B14D53" w:rsidRDefault="00B14D53">
            <w:pPr>
              <w:jc w:val="center"/>
              <w:rPr>
                <w:rFonts w:eastAsiaTheme="minorEastAsia"/>
                <w:snapToGrid w:val="0"/>
                <w:szCs w:val="22"/>
              </w:rPr>
            </w:pPr>
          </w:p>
        </w:tc>
        <w:tc>
          <w:tcPr>
            <w:tcW w:w="365" w:type="pct"/>
            <w:vMerge/>
            <w:vAlign w:val="center"/>
          </w:tcPr>
          <w:p w14:paraId="1E759BCC" w14:textId="77777777" w:rsidR="00B14D53" w:rsidRDefault="00B14D53">
            <w:pPr>
              <w:jc w:val="center"/>
              <w:rPr>
                <w:rFonts w:eastAsiaTheme="minorEastAsia"/>
              </w:rPr>
            </w:pPr>
          </w:p>
        </w:tc>
        <w:tc>
          <w:tcPr>
            <w:tcW w:w="306" w:type="pct"/>
            <w:vAlign w:val="center"/>
          </w:tcPr>
          <w:p w14:paraId="20E69B55" w14:textId="77777777" w:rsidR="00B14D53" w:rsidRDefault="00000000">
            <w:pPr>
              <w:jc w:val="center"/>
              <w:rPr>
                <w:rFonts w:eastAsiaTheme="minorEastAsia" w:hAnsiTheme="minorEastAsia" w:hint="eastAsia"/>
                <w:snapToGrid w:val="0"/>
                <w:szCs w:val="22"/>
              </w:rPr>
            </w:pPr>
            <w:r>
              <w:rPr>
                <w:rFonts w:eastAsiaTheme="minorEastAsia" w:hAnsiTheme="minorEastAsia" w:hint="eastAsia"/>
                <w:snapToGrid w:val="0"/>
                <w:szCs w:val="22"/>
              </w:rPr>
              <w:t>类比法</w:t>
            </w:r>
          </w:p>
        </w:tc>
        <w:tc>
          <w:tcPr>
            <w:tcW w:w="359" w:type="pct"/>
            <w:vAlign w:val="center"/>
          </w:tcPr>
          <w:p w14:paraId="49E1C486" w14:textId="77777777" w:rsidR="00B14D53" w:rsidRDefault="00000000">
            <w:pPr>
              <w:jc w:val="center"/>
              <w:rPr>
                <w:rFonts w:eastAsiaTheme="minorEastAsia"/>
              </w:rPr>
            </w:pPr>
            <w:r>
              <w:rPr>
                <w:rFonts w:eastAsiaTheme="minorEastAsia" w:hint="eastAsia"/>
              </w:rPr>
              <w:t>50</w:t>
            </w:r>
          </w:p>
        </w:tc>
        <w:tc>
          <w:tcPr>
            <w:tcW w:w="305" w:type="pct"/>
            <w:vMerge/>
            <w:vAlign w:val="center"/>
          </w:tcPr>
          <w:p w14:paraId="753D2ECE" w14:textId="77777777" w:rsidR="00B14D53" w:rsidRDefault="00B14D53">
            <w:pPr>
              <w:jc w:val="center"/>
              <w:rPr>
                <w:rFonts w:eastAsiaTheme="minorEastAsia"/>
                <w:snapToGrid w:val="0"/>
                <w:szCs w:val="22"/>
              </w:rPr>
            </w:pPr>
          </w:p>
        </w:tc>
      </w:tr>
      <w:tr w:rsidR="00B14D53" w14:paraId="3F783768" w14:textId="77777777">
        <w:trPr>
          <w:trHeight w:val="310"/>
        </w:trPr>
        <w:tc>
          <w:tcPr>
            <w:tcW w:w="195" w:type="pct"/>
            <w:vAlign w:val="center"/>
          </w:tcPr>
          <w:p w14:paraId="04A7AE86" w14:textId="77777777" w:rsidR="00B14D53" w:rsidRDefault="00000000">
            <w:pPr>
              <w:jc w:val="center"/>
              <w:rPr>
                <w:rFonts w:eastAsiaTheme="minorEastAsia"/>
                <w:snapToGrid w:val="0"/>
                <w:szCs w:val="22"/>
              </w:rPr>
            </w:pPr>
            <w:r>
              <w:rPr>
                <w:rFonts w:eastAsiaTheme="minorEastAsia" w:hint="eastAsia"/>
                <w:snapToGrid w:val="0"/>
                <w:szCs w:val="22"/>
              </w:rPr>
              <w:t>6</w:t>
            </w:r>
          </w:p>
        </w:tc>
        <w:tc>
          <w:tcPr>
            <w:tcW w:w="551" w:type="pct"/>
            <w:vAlign w:val="center"/>
          </w:tcPr>
          <w:p w14:paraId="2FDEF132" w14:textId="77777777" w:rsidR="00B14D53" w:rsidRDefault="00000000">
            <w:pPr>
              <w:contextualSpacing/>
              <w:jc w:val="center"/>
              <w:rPr>
                <w:szCs w:val="21"/>
              </w:rPr>
            </w:pPr>
            <w:r>
              <w:rPr>
                <w:rFonts w:hint="eastAsia"/>
                <w:szCs w:val="21"/>
              </w:rPr>
              <w:t>电蒸汽发生器</w:t>
            </w:r>
          </w:p>
        </w:tc>
        <w:tc>
          <w:tcPr>
            <w:tcW w:w="595" w:type="pct"/>
            <w:vMerge/>
            <w:tcBorders>
              <w:right w:val="single" w:sz="4" w:space="0" w:color="auto"/>
            </w:tcBorders>
            <w:vAlign w:val="center"/>
          </w:tcPr>
          <w:p w14:paraId="16D7CC94" w14:textId="77777777" w:rsidR="00B14D53" w:rsidRDefault="00B14D53">
            <w:pPr>
              <w:jc w:val="center"/>
              <w:rPr>
                <w:rFonts w:eastAsiaTheme="minorEastAsia"/>
                <w:snapToGrid w:val="0"/>
                <w:szCs w:val="22"/>
              </w:rPr>
            </w:pPr>
          </w:p>
        </w:tc>
        <w:tc>
          <w:tcPr>
            <w:tcW w:w="316" w:type="pct"/>
            <w:tcBorders>
              <w:left w:val="single" w:sz="4" w:space="0" w:color="auto"/>
            </w:tcBorders>
            <w:vAlign w:val="center"/>
          </w:tcPr>
          <w:p w14:paraId="6FD01331" w14:textId="77777777" w:rsidR="00B14D53" w:rsidRDefault="00000000">
            <w:pPr>
              <w:jc w:val="center"/>
              <w:rPr>
                <w:rFonts w:eastAsiaTheme="minorEastAsia"/>
                <w:snapToGrid w:val="0"/>
                <w:szCs w:val="22"/>
              </w:rPr>
            </w:pPr>
            <w:r>
              <w:rPr>
                <w:rFonts w:eastAsiaTheme="minorEastAsia" w:hint="eastAsia"/>
                <w:snapToGrid w:val="0"/>
                <w:szCs w:val="22"/>
              </w:rPr>
              <w:t>1</w:t>
            </w:r>
            <w:r>
              <w:rPr>
                <w:rFonts w:eastAsiaTheme="minorEastAsia" w:hint="eastAsia"/>
                <w:snapToGrid w:val="0"/>
                <w:szCs w:val="22"/>
              </w:rPr>
              <w:t>台</w:t>
            </w:r>
          </w:p>
        </w:tc>
        <w:tc>
          <w:tcPr>
            <w:tcW w:w="851" w:type="dxa"/>
            <w:vAlign w:val="center"/>
          </w:tcPr>
          <w:p w14:paraId="1C7D3F4E"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频发</w:t>
            </w:r>
          </w:p>
        </w:tc>
        <w:tc>
          <w:tcPr>
            <w:tcW w:w="1004" w:type="dxa"/>
            <w:vAlign w:val="center"/>
          </w:tcPr>
          <w:p w14:paraId="0BF25A99"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98" w:type="pct"/>
            <w:vAlign w:val="center"/>
          </w:tcPr>
          <w:p w14:paraId="6B8A4917" w14:textId="77777777" w:rsidR="00B14D53" w:rsidRDefault="00000000">
            <w:pPr>
              <w:jc w:val="center"/>
              <w:rPr>
                <w:rFonts w:eastAsiaTheme="minorEastAsia"/>
                <w:snapToGrid w:val="0"/>
                <w:szCs w:val="22"/>
              </w:rPr>
            </w:pPr>
            <w:r>
              <w:rPr>
                <w:rFonts w:eastAsiaTheme="minorEastAsia" w:hint="eastAsia"/>
                <w:snapToGrid w:val="0"/>
                <w:szCs w:val="22"/>
              </w:rPr>
              <w:t>70</w:t>
            </w:r>
          </w:p>
        </w:tc>
        <w:tc>
          <w:tcPr>
            <w:tcW w:w="936" w:type="pct"/>
            <w:vMerge/>
            <w:vAlign w:val="center"/>
          </w:tcPr>
          <w:p w14:paraId="3322E953" w14:textId="77777777" w:rsidR="00B14D53" w:rsidRDefault="00B14D53">
            <w:pPr>
              <w:jc w:val="center"/>
              <w:rPr>
                <w:rFonts w:eastAsiaTheme="minorEastAsia"/>
                <w:snapToGrid w:val="0"/>
                <w:szCs w:val="22"/>
              </w:rPr>
            </w:pPr>
          </w:p>
        </w:tc>
        <w:tc>
          <w:tcPr>
            <w:tcW w:w="365" w:type="pct"/>
            <w:vMerge/>
            <w:vAlign w:val="center"/>
          </w:tcPr>
          <w:p w14:paraId="5D5DD344" w14:textId="77777777" w:rsidR="00B14D53" w:rsidRDefault="00B14D53">
            <w:pPr>
              <w:jc w:val="center"/>
              <w:rPr>
                <w:rFonts w:eastAsiaTheme="minorEastAsia"/>
              </w:rPr>
            </w:pPr>
          </w:p>
        </w:tc>
        <w:tc>
          <w:tcPr>
            <w:tcW w:w="849" w:type="dxa"/>
            <w:vAlign w:val="center"/>
          </w:tcPr>
          <w:p w14:paraId="737EC7CB"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59" w:type="pct"/>
            <w:vAlign w:val="center"/>
          </w:tcPr>
          <w:p w14:paraId="61C3ACC2" w14:textId="77777777" w:rsidR="00B14D53" w:rsidRDefault="00000000">
            <w:pPr>
              <w:jc w:val="center"/>
              <w:rPr>
                <w:rFonts w:eastAsiaTheme="minorEastAsia"/>
              </w:rPr>
            </w:pPr>
            <w:r>
              <w:rPr>
                <w:rFonts w:eastAsiaTheme="minorEastAsia" w:hint="eastAsia"/>
              </w:rPr>
              <w:t>50</w:t>
            </w:r>
          </w:p>
        </w:tc>
        <w:tc>
          <w:tcPr>
            <w:tcW w:w="305" w:type="pct"/>
            <w:vMerge/>
            <w:vAlign w:val="center"/>
          </w:tcPr>
          <w:p w14:paraId="2AC76B9D" w14:textId="77777777" w:rsidR="00B14D53" w:rsidRDefault="00B14D53">
            <w:pPr>
              <w:jc w:val="center"/>
              <w:rPr>
                <w:rFonts w:eastAsiaTheme="minorEastAsia"/>
                <w:snapToGrid w:val="0"/>
                <w:szCs w:val="22"/>
              </w:rPr>
            </w:pPr>
          </w:p>
        </w:tc>
      </w:tr>
      <w:tr w:rsidR="00B14D53" w14:paraId="0084609A" w14:textId="77777777">
        <w:trPr>
          <w:trHeight w:val="310"/>
        </w:trPr>
        <w:tc>
          <w:tcPr>
            <w:tcW w:w="195" w:type="pct"/>
            <w:vAlign w:val="center"/>
          </w:tcPr>
          <w:p w14:paraId="01F274AA" w14:textId="77777777" w:rsidR="00B14D53" w:rsidRDefault="00000000">
            <w:pPr>
              <w:jc w:val="center"/>
              <w:rPr>
                <w:rFonts w:eastAsiaTheme="minorEastAsia"/>
                <w:snapToGrid w:val="0"/>
                <w:szCs w:val="22"/>
              </w:rPr>
            </w:pPr>
            <w:r>
              <w:rPr>
                <w:rFonts w:eastAsiaTheme="minorEastAsia" w:hint="eastAsia"/>
                <w:snapToGrid w:val="0"/>
                <w:szCs w:val="22"/>
              </w:rPr>
              <w:t>7</w:t>
            </w:r>
          </w:p>
        </w:tc>
        <w:tc>
          <w:tcPr>
            <w:tcW w:w="551" w:type="pct"/>
            <w:vAlign w:val="center"/>
          </w:tcPr>
          <w:p w14:paraId="4D72561A" w14:textId="77777777" w:rsidR="00B14D53" w:rsidRDefault="00000000">
            <w:pPr>
              <w:contextualSpacing/>
              <w:jc w:val="center"/>
              <w:rPr>
                <w:szCs w:val="21"/>
              </w:rPr>
            </w:pPr>
            <w:r>
              <w:rPr>
                <w:rFonts w:hint="eastAsia"/>
                <w:szCs w:val="21"/>
              </w:rPr>
              <w:t>电热烫池</w:t>
            </w:r>
          </w:p>
        </w:tc>
        <w:tc>
          <w:tcPr>
            <w:tcW w:w="595" w:type="pct"/>
            <w:vMerge/>
            <w:tcBorders>
              <w:right w:val="single" w:sz="4" w:space="0" w:color="auto"/>
            </w:tcBorders>
            <w:vAlign w:val="center"/>
          </w:tcPr>
          <w:p w14:paraId="365E1411" w14:textId="77777777" w:rsidR="00B14D53" w:rsidRDefault="00B14D53">
            <w:pPr>
              <w:jc w:val="center"/>
              <w:rPr>
                <w:rFonts w:eastAsiaTheme="minorEastAsia"/>
                <w:snapToGrid w:val="0"/>
                <w:szCs w:val="22"/>
              </w:rPr>
            </w:pPr>
          </w:p>
        </w:tc>
        <w:tc>
          <w:tcPr>
            <w:tcW w:w="316" w:type="pct"/>
            <w:tcBorders>
              <w:left w:val="single" w:sz="4" w:space="0" w:color="auto"/>
            </w:tcBorders>
            <w:vAlign w:val="center"/>
          </w:tcPr>
          <w:p w14:paraId="52349AE1" w14:textId="77777777" w:rsidR="00B14D53" w:rsidRDefault="00000000">
            <w:pPr>
              <w:jc w:val="center"/>
              <w:rPr>
                <w:rFonts w:eastAsiaTheme="minorEastAsia"/>
                <w:snapToGrid w:val="0"/>
                <w:szCs w:val="22"/>
              </w:rPr>
            </w:pPr>
            <w:r>
              <w:rPr>
                <w:rFonts w:eastAsiaTheme="minorEastAsia" w:hint="eastAsia"/>
                <w:snapToGrid w:val="0"/>
                <w:szCs w:val="22"/>
              </w:rPr>
              <w:t>1</w:t>
            </w:r>
            <w:r>
              <w:rPr>
                <w:rFonts w:eastAsiaTheme="minorEastAsia" w:hint="eastAsia"/>
                <w:snapToGrid w:val="0"/>
                <w:szCs w:val="22"/>
              </w:rPr>
              <w:t>台</w:t>
            </w:r>
          </w:p>
        </w:tc>
        <w:tc>
          <w:tcPr>
            <w:tcW w:w="851" w:type="dxa"/>
            <w:vAlign w:val="center"/>
          </w:tcPr>
          <w:p w14:paraId="47268740"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频发</w:t>
            </w:r>
          </w:p>
        </w:tc>
        <w:tc>
          <w:tcPr>
            <w:tcW w:w="1004" w:type="dxa"/>
            <w:vAlign w:val="center"/>
          </w:tcPr>
          <w:p w14:paraId="2C1F701A"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98" w:type="pct"/>
            <w:vAlign w:val="center"/>
          </w:tcPr>
          <w:p w14:paraId="4D1C64B8" w14:textId="77777777" w:rsidR="00B14D53" w:rsidRDefault="00000000">
            <w:pPr>
              <w:jc w:val="center"/>
              <w:rPr>
                <w:rFonts w:eastAsiaTheme="minorEastAsia"/>
                <w:snapToGrid w:val="0"/>
                <w:szCs w:val="22"/>
              </w:rPr>
            </w:pPr>
            <w:r>
              <w:rPr>
                <w:rFonts w:eastAsiaTheme="minorEastAsia" w:hint="eastAsia"/>
                <w:snapToGrid w:val="0"/>
                <w:szCs w:val="22"/>
              </w:rPr>
              <w:t>60</w:t>
            </w:r>
          </w:p>
        </w:tc>
        <w:tc>
          <w:tcPr>
            <w:tcW w:w="936" w:type="pct"/>
            <w:vMerge/>
            <w:vAlign w:val="center"/>
          </w:tcPr>
          <w:p w14:paraId="5550C76D" w14:textId="77777777" w:rsidR="00B14D53" w:rsidRDefault="00B14D53">
            <w:pPr>
              <w:jc w:val="center"/>
              <w:rPr>
                <w:rFonts w:eastAsiaTheme="minorEastAsia"/>
                <w:snapToGrid w:val="0"/>
                <w:szCs w:val="22"/>
              </w:rPr>
            </w:pPr>
          </w:p>
        </w:tc>
        <w:tc>
          <w:tcPr>
            <w:tcW w:w="365" w:type="pct"/>
            <w:vMerge/>
            <w:vAlign w:val="center"/>
          </w:tcPr>
          <w:p w14:paraId="16FF7F9C" w14:textId="77777777" w:rsidR="00B14D53" w:rsidRDefault="00B14D53">
            <w:pPr>
              <w:jc w:val="center"/>
              <w:rPr>
                <w:rFonts w:eastAsiaTheme="minorEastAsia"/>
              </w:rPr>
            </w:pPr>
          </w:p>
        </w:tc>
        <w:tc>
          <w:tcPr>
            <w:tcW w:w="849" w:type="dxa"/>
            <w:vAlign w:val="center"/>
          </w:tcPr>
          <w:p w14:paraId="62CF436F" w14:textId="77777777" w:rsidR="00B14D53" w:rsidRDefault="00000000">
            <w:pPr>
              <w:jc w:val="center"/>
              <w:rPr>
                <w:rFonts w:eastAsiaTheme="minorEastAsia" w:hAnsiTheme="minorEastAsia" w:hint="eastAsia"/>
                <w:snapToGrid w:val="0"/>
                <w:szCs w:val="22"/>
              </w:rPr>
            </w:pPr>
            <w:r>
              <w:rPr>
                <w:rFonts w:eastAsiaTheme="minorEastAsia" w:hAnsiTheme="minorEastAsia" w:hint="eastAsia"/>
                <w:snapToGrid w:val="0"/>
                <w:szCs w:val="22"/>
              </w:rPr>
              <w:t>类比法</w:t>
            </w:r>
          </w:p>
        </w:tc>
        <w:tc>
          <w:tcPr>
            <w:tcW w:w="359" w:type="pct"/>
            <w:vAlign w:val="center"/>
          </w:tcPr>
          <w:p w14:paraId="445AE944" w14:textId="77777777" w:rsidR="00B14D53" w:rsidRDefault="00000000">
            <w:pPr>
              <w:jc w:val="center"/>
              <w:rPr>
                <w:rFonts w:eastAsiaTheme="minorEastAsia"/>
              </w:rPr>
            </w:pPr>
            <w:r>
              <w:rPr>
                <w:rFonts w:eastAsiaTheme="minorEastAsia" w:hint="eastAsia"/>
              </w:rPr>
              <w:t>40</w:t>
            </w:r>
          </w:p>
        </w:tc>
        <w:tc>
          <w:tcPr>
            <w:tcW w:w="305" w:type="pct"/>
            <w:vMerge/>
            <w:vAlign w:val="center"/>
          </w:tcPr>
          <w:p w14:paraId="6EB3BDC7" w14:textId="77777777" w:rsidR="00B14D53" w:rsidRDefault="00B14D53">
            <w:pPr>
              <w:jc w:val="center"/>
              <w:rPr>
                <w:rFonts w:eastAsiaTheme="minorEastAsia"/>
                <w:snapToGrid w:val="0"/>
                <w:szCs w:val="22"/>
              </w:rPr>
            </w:pPr>
          </w:p>
        </w:tc>
      </w:tr>
      <w:tr w:rsidR="00B14D53" w14:paraId="33B7893D" w14:textId="77777777">
        <w:trPr>
          <w:trHeight w:val="310"/>
        </w:trPr>
        <w:tc>
          <w:tcPr>
            <w:tcW w:w="195" w:type="pct"/>
            <w:vAlign w:val="center"/>
          </w:tcPr>
          <w:p w14:paraId="717A973C" w14:textId="77777777" w:rsidR="00B14D53" w:rsidRDefault="00000000">
            <w:pPr>
              <w:jc w:val="center"/>
              <w:rPr>
                <w:rFonts w:eastAsiaTheme="minorEastAsia"/>
                <w:snapToGrid w:val="0"/>
                <w:szCs w:val="22"/>
              </w:rPr>
            </w:pPr>
            <w:r>
              <w:rPr>
                <w:rFonts w:eastAsiaTheme="minorEastAsia" w:hint="eastAsia"/>
                <w:snapToGrid w:val="0"/>
                <w:szCs w:val="22"/>
              </w:rPr>
              <w:t>8</w:t>
            </w:r>
          </w:p>
        </w:tc>
        <w:tc>
          <w:tcPr>
            <w:tcW w:w="551" w:type="pct"/>
            <w:vAlign w:val="center"/>
          </w:tcPr>
          <w:p w14:paraId="0708C7D8" w14:textId="77777777" w:rsidR="00B14D53" w:rsidRDefault="00000000">
            <w:pPr>
              <w:contextualSpacing/>
              <w:jc w:val="center"/>
              <w:rPr>
                <w:szCs w:val="21"/>
              </w:rPr>
            </w:pPr>
            <w:r>
              <w:rPr>
                <w:szCs w:val="21"/>
              </w:rPr>
              <w:t>软化水设备</w:t>
            </w:r>
          </w:p>
        </w:tc>
        <w:tc>
          <w:tcPr>
            <w:tcW w:w="595" w:type="pct"/>
            <w:vMerge/>
            <w:tcBorders>
              <w:right w:val="single" w:sz="4" w:space="0" w:color="auto"/>
            </w:tcBorders>
            <w:vAlign w:val="center"/>
          </w:tcPr>
          <w:p w14:paraId="76E76FD3" w14:textId="77777777" w:rsidR="00B14D53" w:rsidRDefault="00B14D53">
            <w:pPr>
              <w:jc w:val="center"/>
              <w:rPr>
                <w:rFonts w:eastAsiaTheme="minorEastAsia"/>
                <w:snapToGrid w:val="0"/>
                <w:szCs w:val="22"/>
              </w:rPr>
            </w:pPr>
          </w:p>
        </w:tc>
        <w:tc>
          <w:tcPr>
            <w:tcW w:w="316" w:type="pct"/>
            <w:tcBorders>
              <w:left w:val="single" w:sz="4" w:space="0" w:color="auto"/>
            </w:tcBorders>
            <w:vAlign w:val="center"/>
          </w:tcPr>
          <w:p w14:paraId="27B9E0FF" w14:textId="77777777" w:rsidR="00B14D53" w:rsidRDefault="00000000">
            <w:pPr>
              <w:jc w:val="center"/>
              <w:rPr>
                <w:rFonts w:eastAsiaTheme="minorEastAsia"/>
                <w:snapToGrid w:val="0"/>
                <w:szCs w:val="22"/>
              </w:rPr>
            </w:pPr>
            <w:r>
              <w:rPr>
                <w:rFonts w:eastAsiaTheme="minorEastAsia" w:hint="eastAsia"/>
                <w:snapToGrid w:val="0"/>
                <w:szCs w:val="22"/>
              </w:rPr>
              <w:t>1</w:t>
            </w:r>
            <w:r>
              <w:rPr>
                <w:rFonts w:eastAsiaTheme="minorEastAsia" w:hint="eastAsia"/>
                <w:snapToGrid w:val="0"/>
                <w:szCs w:val="22"/>
              </w:rPr>
              <w:t>台</w:t>
            </w:r>
          </w:p>
        </w:tc>
        <w:tc>
          <w:tcPr>
            <w:tcW w:w="851" w:type="dxa"/>
            <w:vAlign w:val="center"/>
          </w:tcPr>
          <w:p w14:paraId="20F96D7B"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频发</w:t>
            </w:r>
          </w:p>
        </w:tc>
        <w:tc>
          <w:tcPr>
            <w:tcW w:w="1004" w:type="dxa"/>
            <w:vAlign w:val="center"/>
          </w:tcPr>
          <w:p w14:paraId="1BE9CF2B"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98" w:type="pct"/>
            <w:vAlign w:val="center"/>
          </w:tcPr>
          <w:p w14:paraId="73BD6309" w14:textId="77777777" w:rsidR="00B14D53" w:rsidRDefault="00000000">
            <w:pPr>
              <w:jc w:val="center"/>
              <w:rPr>
                <w:rFonts w:eastAsiaTheme="minorEastAsia"/>
                <w:snapToGrid w:val="0"/>
                <w:szCs w:val="22"/>
              </w:rPr>
            </w:pPr>
            <w:r>
              <w:rPr>
                <w:rFonts w:eastAsiaTheme="minorEastAsia" w:hint="eastAsia"/>
                <w:snapToGrid w:val="0"/>
                <w:szCs w:val="22"/>
              </w:rPr>
              <w:t>70</w:t>
            </w:r>
          </w:p>
        </w:tc>
        <w:tc>
          <w:tcPr>
            <w:tcW w:w="936" w:type="pct"/>
            <w:vMerge/>
            <w:vAlign w:val="center"/>
          </w:tcPr>
          <w:p w14:paraId="438D35DF" w14:textId="77777777" w:rsidR="00B14D53" w:rsidRDefault="00B14D53">
            <w:pPr>
              <w:jc w:val="center"/>
              <w:rPr>
                <w:rFonts w:eastAsiaTheme="minorEastAsia"/>
                <w:snapToGrid w:val="0"/>
                <w:szCs w:val="22"/>
              </w:rPr>
            </w:pPr>
          </w:p>
        </w:tc>
        <w:tc>
          <w:tcPr>
            <w:tcW w:w="365" w:type="pct"/>
            <w:vMerge/>
            <w:vAlign w:val="center"/>
          </w:tcPr>
          <w:p w14:paraId="1B58918B" w14:textId="77777777" w:rsidR="00B14D53" w:rsidRDefault="00B14D53">
            <w:pPr>
              <w:jc w:val="center"/>
              <w:rPr>
                <w:rFonts w:eastAsiaTheme="minorEastAsia"/>
              </w:rPr>
            </w:pPr>
          </w:p>
        </w:tc>
        <w:tc>
          <w:tcPr>
            <w:tcW w:w="849" w:type="dxa"/>
            <w:vAlign w:val="center"/>
          </w:tcPr>
          <w:p w14:paraId="2FD439B2"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59" w:type="pct"/>
            <w:vAlign w:val="center"/>
          </w:tcPr>
          <w:p w14:paraId="7BB61DFA" w14:textId="77777777" w:rsidR="00B14D53" w:rsidRDefault="00000000">
            <w:pPr>
              <w:jc w:val="center"/>
              <w:rPr>
                <w:rFonts w:eastAsiaTheme="minorEastAsia"/>
              </w:rPr>
            </w:pPr>
            <w:r>
              <w:rPr>
                <w:rFonts w:eastAsiaTheme="minorEastAsia" w:hint="eastAsia"/>
              </w:rPr>
              <w:t>50</w:t>
            </w:r>
          </w:p>
        </w:tc>
        <w:tc>
          <w:tcPr>
            <w:tcW w:w="305" w:type="pct"/>
            <w:vMerge/>
            <w:vAlign w:val="center"/>
          </w:tcPr>
          <w:p w14:paraId="14A9087E" w14:textId="77777777" w:rsidR="00B14D53" w:rsidRDefault="00B14D53">
            <w:pPr>
              <w:jc w:val="center"/>
              <w:rPr>
                <w:rFonts w:eastAsiaTheme="minorEastAsia"/>
                <w:snapToGrid w:val="0"/>
                <w:szCs w:val="22"/>
              </w:rPr>
            </w:pPr>
          </w:p>
        </w:tc>
      </w:tr>
      <w:tr w:rsidR="00B14D53" w14:paraId="28F7B0E8" w14:textId="77777777">
        <w:trPr>
          <w:trHeight w:val="310"/>
        </w:trPr>
        <w:tc>
          <w:tcPr>
            <w:tcW w:w="195" w:type="pct"/>
            <w:vAlign w:val="center"/>
          </w:tcPr>
          <w:p w14:paraId="2318BD3B" w14:textId="77777777" w:rsidR="00B14D53" w:rsidRDefault="00000000">
            <w:pPr>
              <w:jc w:val="center"/>
              <w:rPr>
                <w:rFonts w:eastAsiaTheme="minorEastAsia"/>
                <w:snapToGrid w:val="0"/>
                <w:szCs w:val="22"/>
              </w:rPr>
            </w:pPr>
            <w:r>
              <w:rPr>
                <w:rFonts w:eastAsiaTheme="minorEastAsia" w:hint="eastAsia"/>
                <w:snapToGrid w:val="0"/>
                <w:szCs w:val="22"/>
              </w:rPr>
              <w:t>9</w:t>
            </w:r>
          </w:p>
        </w:tc>
        <w:tc>
          <w:tcPr>
            <w:tcW w:w="551" w:type="pct"/>
            <w:vAlign w:val="center"/>
          </w:tcPr>
          <w:p w14:paraId="072052A2" w14:textId="77777777" w:rsidR="00B14D53" w:rsidRDefault="00000000">
            <w:pPr>
              <w:contextualSpacing/>
              <w:jc w:val="center"/>
              <w:rPr>
                <w:szCs w:val="21"/>
              </w:rPr>
            </w:pPr>
            <w:r>
              <w:rPr>
                <w:szCs w:val="21"/>
              </w:rPr>
              <w:t>清水泡池</w:t>
            </w:r>
          </w:p>
        </w:tc>
        <w:tc>
          <w:tcPr>
            <w:tcW w:w="595" w:type="pct"/>
            <w:vMerge/>
            <w:tcBorders>
              <w:right w:val="single" w:sz="4" w:space="0" w:color="auto"/>
            </w:tcBorders>
            <w:vAlign w:val="center"/>
          </w:tcPr>
          <w:p w14:paraId="7E0ECE4A" w14:textId="77777777" w:rsidR="00B14D53" w:rsidRDefault="00B14D53">
            <w:pPr>
              <w:jc w:val="center"/>
              <w:rPr>
                <w:rFonts w:eastAsiaTheme="minorEastAsia"/>
                <w:snapToGrid w:val="0"/>
                <w:szCs w:val="22"/>
              </w:rPr>
            </w:pPr>
          </w:p>
        </w:tc>
        <w:tc>
          <w:tcPr>
            <w:tcW w:w="316" w:type="pct"/>
            <w:tcBorders>
              <w:left w:val="single" w:sz="4" w:space="0" w:color="auto"/>
            </w:tcBorders>
            <w:vAlign w:val="center"/>
          </w:tcPr>
          <w:p w14:paraId="190CEAFD" w14:textId="77777777" w:rsidR="00B14D53" w:rsidRDefault="00000000">
            <w:pPr>
              <w:jc w:val="center"/>
              <w:rPr>
                <w:rFonts w:eastAsiaTheme="minorEastAsia"/>
                <w:snapToGrid w:val="0"/>
                <w:szCs w:val="22"/>
              </w:rPr>
            </w:pPr>
            <w:r>
              <w:rPr>
                <w:rFonts w:eastAsiaTheme="minorEastAsia" w:hint="eastAsia"/>
                <w:snapToGrid w:val="0"/>
                <w:szCs w:val="22"/>
              </w:rPr>
              <w:t>1</w:t>
            </w:r>
            <w:r>
              <w:rPr>
                <w:rFonts w:eastAsiaTheme="minorEastAsia" w:hint="eastAsia"/>
                <w:snapToGrid w:val="0"/>
                <w:szCs w:val="22"/>
              </w:rPr>
              <w:t>个</w:t>
            </w:r>
          </w:p>
        </w:tc>
        <w:tc>
          <w:tcPr>
            <w:tcW w:w="851" w:type="dxa"/>
            <w:vAlign w:val="center"/>
          </w:tcPr>
          <w:p w14:paraId="1F9FBA5D"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频发</w:t>
            </w:r>
          </w:p>
        </w:tc>
        <w:tc>
          <w:tcPr>
            <w:tcW w:w="1004" w:type="dxa"/>
            <w:vAlign w:val="center"/>
          </w:tcPr>
          <w:p w14:paraId="4DBD3C14"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98" w:type="pct"/>
            <w:vAlign w:val="center"/>
          </w:tcPr>
          <w:p w14:paraId="6FB6B13E" w14:textId="77777777" w:rsidR="00B14D53" w:rsidRDefault="00000000">
            <w:pPr>
              <w:jc w:val="center"/>
              <w:rPr>
                <w:rFonts w:eastAsiaTheme="minorEastAsia"/>
                <w:snapToGrid w:val="0"/>
                <w:szCs w:val="22"/>
              </w:rPr>
            </w:pPr>
            <w:r>
              <w:rPr>
                <w:rFonts w:eastAsiaTheme="minorEastAsia" w:hint="eastAsia"/>
                <w:snapToGrid w:val="0"/>
                <w:szCs w:val="22"/>
              </w:rPr>
              <w:t>60</w:t>
            </w:r>
          </w:p>
        </w:tc>
        <w:tc>
          <w:tcPr>
            <w:tcW w:w="936" w:type="pct"/>
            <w:vMerge/>
            <w:vAlign w:val="center"/>
          </w:tcPr>
          <w:p w14:paraId="4EBA7987" w14:textId="77777777" w:rsidR="00B14D53" w:rsidRDefault="00B14D53">
            <w:pPr>
              <w:jc w:val="center"/>
              <w:rPr>
                <w:rFonts w:eastAsiaTheme="minorEastAsia"/>
                <w:snapToGrid w:val="0"/>
                <w:szCs w:val="22"/>
              </w:rPr>
            </w:pPr>
          </w:p>
        </w:tc>
        <w:tc>
          <w:tcPr>
            <w:tcW w:w="365" w:type="pct"/>
            <w:vMerge/>
            <w:vAlign w:val="center"/>
          </w:tcPr>
          <w:p w14:paraId="62D5205C" w14:textId="77777777" w:rsidR="00B14D53" w:rsidRDefault="00B14D53">
            <w:pPr>
              <w:jc w:val="center"/>
              <w:rPr>
                <w:rFonts w:eastAsiaTheme="minorEastAsia"/>
              </w:rPr>
            </w:pPr>
          </w:p>
        </w:tc>
        <w:tc>
          <w:tcPr>
            <w:tcW w:w="849" w:type="dxa"/>
            <w:vAlign w:val="center"/>
          </w:tcPr>
          <w:p w14:paraId="25474DFA" w14:textId="77777777" w:rsidR="00B14D53" w:rsidRDefault="00000000">
            <w:pPr>
              <w:jc w:val="center"/>
              <w:rPr>
                <w:rFonts w:eastAsiaTheme="minorEastAsia" w:hAnsiTheme="minorEastAsia" w:hint="eastAsia"/>
                <w:snapToGrid w:val="0"/>
                <w:szCs w:val="22"/>
              </w:rPr>
            </w:pPr>
            <w:r>
              <w:rPr>
                <w:rFonts w:eastAsiaTheme="minorEastAsia" w:hAnsiTheme="minorEastAsia" w:hint="eastAsia"/>
                <w:snapToGrid w:val="0"/>
                <w:szCs w:val="22"/>
              </w:rPr>
              <w:t>类比法</w:t>
            </w:r>
          </w:p>
        </w:tc>
        <w:tc>
          <w:tcPr>
            <w:tcW w:w="359" w:type="pct"/>
            <w:vAlign w:val="center"/>
          </w:tcPr>
          <w:p w14:paraId="3B874085" w14:textId="77777777" w:rsidR="00B14D53" w:rsidRDefault="00000000">
            <w:pPr>
              <w:jc w:val="center"/>
              <w:rPr>
                <w:rFonts w:eastAsiaTheme="minorEastAsia"/>
              </w:rPr>
            </w:pPr>
            <w:r>
              <w:rPr>
                <w:rFonts w:eastAsiaTheme="minorEastAsia" w:hint="eastAsia"/>
              </w:rPr>
              <w:t>40</w:t>
            </w:r>
          </w:p>
        </w:tc>
        <w:tc>
          <w:tcPr>
            <w:tcW w:w="305" w:type="pct"/>
            <w:vMerge/>
            <w:vAlign w:val="center"/>
          </w:tcPr>
          <w:p w14:paraId="4EC2F9D8" w14:textId="77777777" w:rsidR="00B14D53" w:rsidRDefault="00B14D53">
            <w:pPr>
              <w:jc w:val="center"/>
              <w:rPr>
                <w:rFonts w:eastAsiaTheme="minorEastAsia"/>
                <w:snapToGrid w:val="0"/>
                <w:szCs w:val="22"/>
              </w:rPr>
            </w:pPr>
          </w:p>
        </w:tc>
      </w:tr>
      <w:tr w:rsidR="00B14D53" w14:paraId="69A13E70" w14:textId="77777777">
        <w:trPr>
          <w:trHeight w:val="310"/>
        </w:trPr>
        <w:tc>
          <w:tcPr>
            <w:tcW w:w="195" w:type="pct"/>
            <w:vAlign w:val="center"/>
          </w:tcPr>
          <w:p w14:paraId="414A7B2A" w14:textId="77777777" w:rsidR="00B14D53" w:rsidRDefault="00000000">
            <w:pPr>
              <w:jc w:val="center"/>
              <w:rPr>
                <w:rFonts w:eastAsiaTheme="minorEastAsia"/>
                <w:snapToGrid w:val="0"/>
                <w:szCs w:val="22"/>
              </w:rPr>
            </w:pPr>
            <w:r>
              <w:rPr>
                <w:rFonts w:eastAsiaTheme="minorEastAsia" w:hint="eastAsia"/>
                <w:snapToGrid w:val="0"/>
                <w:szCs w:val="22"/>
              </w:rPr>
              <w:t>10</w:t>
            </w:r>
          </w:p>
        </w:tc>
        <w:tc>
          <w:tcPr>
            <w:tcW w:w="551" w:type="pct"/>
            <w:vAlign w:val="center"/>
          </w:tcPr>
          <w:p w14:paraId="6163CDA7" w14:textId="77777777" w:rsidR="00B14D53" w:rsidRDefault="00000000">
            <w:pPr>
              <w:contextualSpacing/>
              <w:jc w:val="center"/>
              <w:rPr>
                <w:szCs w:val="21"/>
              </w:rPr>
            </w:pPr>
            <w:r>
              <w:rPr>
                <w:rFonts w:hint="eastAsia"/>
                <w:szCs w:val="21"/>
              </w:rPr>
              <w:t>滑道</w:t>
            </w:r>
          </w:p>
        </w:tc>
        <w:tc>
          <w:tcPr>
            <w:tcW w:w="595" w:type="pct"/>
            <w:vMerge/>
            <w:tcBorders>
              <w:bottom w:val="single" w:sz="4" w:space="0" w:color="auto"/>
              <w:right w:val="single" w:sz="4" w:space="0" w:color="auto"/>
            </w:tcBorders>
            <w:vAlign w:val="center"/>
          </w:tcPr>
          <w:p w14:paraId="4CD55FE0" w14:textId="77777777" w:rsidR="00B14D53" w:rsidRDefault="00B14D53">
            <w:pPr>
              <w:jc w:val="center"/>
              <w:rPr>
                <w:rFonts w:eastAsiaTheme="minorEastAsia"/>
                <w:snapToGrid w:val="0"/>
                <w:szCs w:val="22"/>
              </w:rPr>
            </w:pPr>
          </w:p>
        </w:tc>
        <w:tc>
          <w:tcPr>
            <w:tcW w:w="316" w:type="pct"/>
            <w:tcBorders>
              <w:left w:val="single" w:sz="4" w:space="0" w:color="auto"/>
            </w:tcBorders>
            <w:vAlign w:val="center"/>
          </w:tcPr>
          <w:p w14:paraId="30CBF6E8" w14:textId="77777777" w:rsidR="00B14D53" w:rsidRDefault="00000000">
            <w:pPr>
              <w:jc w:val="center"/>
              <w:rPr>
                <w:rFonts w:eastAsiaTheme="minorEastAsia"/>
                <w:snapToGrid w:val="0"/>
                <w:szCs w:val="22"/>
              </w:rPr>
            </w:pPr>
            <w:r>
              <w:rPr>
                <w:rFonts w:eastAsiaTheme="minorEastAsia" w:hint="eastAsia"/>
                <w:snapToGrid w:val="0"/>
                <w:szCs w:val="22"/>
              </w:rPr>
              <w:t>1</w:t>
            </w:r>
            <w:r>
              <w:rPr>
                <w:rFonts w:eastAsiaTheme="minorEastAsia" w:hint="eastAsia"/>
                <w:snapToGrid w:val="0"/>
                <w:szCs w:val="22"/>
              </w:rPr>
              <w:t>个</w:t>
            </w:r>
          </w:p>
        </w:tc>
        <w:tc>
          <w:tcPr>
            <w:tcW w:w="851" w:type="dxa"/>
            <w:vAlign w:val="center"/>
          </w:tcPr>
          <w:p w14:paraId="1BCBF6A7"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频发</w:t>
            </w:r>
          </w:p>
        </w:tc>
        <w:tc>
          <w:tcPr>
            <w:tcW w:w="1004" w:type="dxa"/>
            <w:vAlign w:val="center"/>
          </w:tcPr>
          <w:p w14:paraId="7AC22C5F"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98" w:type="pct"/>
            <w:vAlign w:val="center"/>
          </w:tcPr>
          <w:p w14:paraId="062D3233" w14:textId="77777777" w:rsidR="00B14D53" w:rsidRDefault="00000000">
            <w:pPr>
              <w:jc w:val="center"/>
              <w:rPr>
                <w:rFonts w:eastAsiaTheme="minorEastAsia"/>
                <w:snapToGrid w:val="0"/>
                <w:szCs w:val="22"/>
              </w:rPr>
            </w:pPr>
            <w:r>
              <w:rPr>
                <w:rFonts w:eastAsiaTheme="minorEastAsia" w:hint="eastAsia"/>
                <w:snapToGrid w:val="0"/>
                <w:szCs w:val="22"/>
              </w:rPr>
              <w:t>70</w:t>
            </w:r>
          </w:p>
        </w:tc>
        <w:tc>
          <w:tcPr>
            <w:tcW w:w="936" w:type="pct"/>
            <w:vMerge/>
            <w:vAlign w:val="center"/>
          </w:tcPr>
          <w:p w14:paraId="0EEB8168" w14:textId="77777777" w:rsidR="00B14D53" w:rsidRDefault="00B14D53">
            <w:pPr>
              <w:jc w:val="center"/>
              <w:rPr>
                <w:rFonts w:eastAsiaTheme="minorEastAsia"/>
                <w:snapToGrid w:val="0"/>
                <w:szCs w:val="22"/>
              </w:rPr>
            </w:pPr>
          </w:p>
        </w:tc>
        <w:tc>
          <w:tcPr>
            <w:tcW w:w="365" w:type="pct"/>
            <w:vMerge/>
            <w:vAlign w:val="center"/>
          </w:tcPr>
          <w:p w14:paraId="7BD03311" w14:textId="77777777" w:rsidR="00B14D53" w:rsidRDefault="00B14D53">
            <w:pPr>
              <w:jc w:val="center"/>
              <w:rPr>
                <w:rFonts w:eastAsiaTheme="minorEastAsia"/>
              </w:rPr>
            </w:pPr>
          </w:p>
        </w:tc>
        <w:tc>
          <w:tcPr>
            <w:tcW w:w="849" w:type="dxa"/>
            <w:vAlign w:val="center"/>
          </w:tcPr>
          <w:p w14:paraId="7D440D88"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59" w:type="pct"/>
            <w:vAlign w:val="center"/>
          </w:tcPr>
          <w:p w14:paraId="36C80C13" w14:textId="77777777" w:rsidR="00B14D53" w:rsidRDefault="00000000">
            <w:pPr>
              <w:jc w:val="center"/>
              <w:rPr>
                <w:rFonts w:eastAsiaTheme="minorEastAsia"/>
              </w:rPr>
            </w:pPr>
            <w:r>
              <w:rPr>
                <w:rFonts w:eastAsiaTheme="minorEastAsia" w:hint="eastAsia"/>
              </w:rPr>
              <w:t>50</w:t>
            </w:r>
          </w:p>
        </w:tc>
        <w:tc>
          <w:tcPr>
            <w:tcW w:w="305" w:type="pct"/>
            <w:vMerge/>
            <w:tcBorders>
              <w:bottom w:val="single" w:sz="4" w:space="0" w:color="auto"/>
            </w:tcBorders>
            <w:vAlign w:val="center"/>
          </w:tcPr>
          <w:p w14:paraId="3383FD82" w14:textId="77777777" w:rsidR="00B14D53" w:rsidRDefault="00B14D53">
            <w:pPr>
              <w:jc w:val="center"/>
              <w:rPr>
                <w:rFonts w:eastAsiaTheme="minorEastAsia"/>
                <w:snapToGrid w:val="0"/>
                <w:szCs w:val="22"/>
              </w:rPr>
            </w:pPr>
          </w:p>
        </w:tc>
      </w:tr>
      <w:tr w:rsidR="00B14D53" w14:paraId="003A1347" w14:textId="77777777">
        <w:trPr>
          <w:trHeight w:val="310"/>
        </w:trPr>
        <w:tc>
          <w:tcPr>
            <w:tcW w:w="195" w:type="pct"/>
            <w:vAlign w:val="center"/>
          </w:tcPr>
          <w:p w14:paraId="69E54333" w14:textId="77777777" w:rsidR="00B14D53" w:rsidRDefault="00000000">
            <w:pPr>
              <w:jc w:val="center"/>
              <w:rPr>
                <w:rFonts w:eastAsiaTheme="minorEastAsia"/>
                <w:snapToGrid w:val="0"/>
                <w:szCs w:val="22"/>
              </w:rPr>
            </w:pPr>
            <w:r>
              <w:rPr>
                <w:rFonts w:eastAsiaTheme="minorEastAsia" w:hint="eastAsia"/>
                <w:snapToGrid w:val="0"/>
                <w:szCs w:val="22"/>
              </w:rPr>
              <w:t>11</w:t>
            </w:r>
          </w:p>
        </w:tc>
        <w:tc>
          <w:tcPr>
            <w:tcW w:w="551" w:type="pct"/>
            <w:vAlign w:val="center"/>
          </w:tcPr>
          <w:p w14:paraId="1B4FE6AD" w14:textId="77777777" w:rsidR="00B14D53" w:rsidRDefault="00000000">
            <w:pPr>
              <w:contextualSpacing/>
              <w:jc w:val="center"/>
              <w:rPr>
                <w:szCs w:val="21"/>
              </w:rPr>
            </w:pPr>
            <w:r>
              <w:rPr>
                <w:rFonts w:hint="eastAsia"/>
                <w:szCs w:val="21"/>
              </w:rPr>
              <w:t>制冷压缩机</w:t>
            </w:r>
          </w:p>
        </w:tc>
        <w:tc>
          <w:tcPr>
            <w:tcW w:w="595" w:type="pct"/>
            <w:tcBorders>
              <w:top w:val="single" w:sz="4" w:space="0" w:color="auto"/>
              <w:right w:val="single" w:sz="4" w:space="0" w:color="auto"/>
            </w:tcBorders>
            <w:vAlign w:val="center"/>
          </w:tcPr>
          <w:p w14:paraId="63514AF2" w14:textId="77777777" w:rsidR="00B14D53" w:rsidRDefault="00000000">
            <w:pPr>
              <w:jc w:val="center"/>
              <w:rPr>
                <w:rFonts w:eastAsiaTheme="minorEastAsia"/>
                <w:snapToGrid w:val="0"/>
                <w:szCs w:val="22"/>
              </w:rPr>
            </w:pPr>
            <w:r>
              <w:rPr>
                <w:rFonts w:eastAsiaTheme="minorEastAsia" w:hint="eastAsia"/>
                <w:snapToGrid w:val="0"/>
                <w:szCs w:val="22"/>
              </w:rPr>
              <w:t>机房</w:t>
            </w:r>
          </w:p>
        </w:tc>
        <w:tc>
          <w:tcPr>
            <w:tcW w:w="316" w:type="pct"/>
            <w:tcBorders>
              <w:left w:val="single" w:sz="4" w:space="0" w:color="auto"/>
            </w:tcBorders>
            <w:vAlign w:val="center"/>
          </w:tcPr>
          <w:p w14:paraId="40B5066C" w14:textId="77777777" w:rsidR="00B14D53" w:rsidRDefault="00000000">
            <w:pPr>
              <w:jc w:val="center"/>
              <w:rPr>
                <w:rFonts w:eastAsiaTheme="minorEastAsia"/>
                <w:snapToGrid w:val="0"/>
                <w:szCs w:val="22"/>
              </w:rPr>
            </w:pPr>
            <w:r>
              <w:rPr>
                <w:rFonts w:eastAsiaTheme="minorEastAsia" w:hint="eastAsia"/>
                <w:snapToGrid w:val="0"/>
                <w:szCs w:val="22"/>
              </w:rPr>
              <w:t>2</w:t>
            </w:r>
            <w:r>
              <w:rPr>
                <w:rFonts w:eastAsiaTheme="minorEastAsia" w:hint="eastAsia"/>
                <w:snapToGrid w:val="0"/>
                <w:szCs w:val="22"/>
              </w:rPr>
              <w:t>台</w:t>
            </w:r>
          </w:p>
        </w:tc>
        <w:tc>
          <w:tcPr>
            <w:tcW w:w="307" w:type="pct"/>
            <w:vAlign w:val="center"/>
          </w:tcPr>
          <w:p w14:paraId="7BC43546"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频发</w:t>
            </w:r>
          </w:p>
        </w:tc>
        <w:tc>
          <w:tcPr>
            <w:tcW w:w="362" w:type="pct"/>
            <w:vAlign w:val="center"/>
          </w:tcPr>
          <w:p w14:paraId="313CA8AE"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98" w:type="pct"/>
            <w:vAlign w:val="center"/>
          </w:tcPr>
          <w:p w14:paraId="7F1FE490" w14:textId="77777777" w:rsidR="00B14D53" w:rsidRDefault="00000000">
            <w:pPr>
              <w:jc w:val="center"/>
              <w:rPr>
                <w:rFonts w:eastAsiaTheme="minorEastAsia"/>
                <w:snapToGrid w:val="0"/>
                <w:szCs w:val="22"/>
              </w:rPr>
            </w:pPr>
            <w:r>
              <w:rPr>
                <w:rFonts w:eastAsiaTheme="minorEastAsia" w:hint="eastAsia"/>
                <w:snapToGrid w:val="0"/>
                <w:szCs w:val="22"/>
              </w:rPr>
              <w:t>85</w:t>
            </w:r>
          </w:p>
        </w:tc>
        <w:tc>
          <w:tcPr>
            <w:tcW w:w="936" w:type="pct"/>
            <w:vMerge/>
            <w:vAlign w:val="center"/>
          </w:tcPr>
          <w:p w14:paraId="059061DA" w14:textId="77777777" w:rsidR="00B14D53" w:rsidRDefault="00B14D53">
            <w:pPr>
              <w:jc w:val="center"/>
              <w:rPr>
                <w:rFonts w:eastAsiaTheme="minorEastAsia" w:hAnsiTheme="minorEastAsia" w:hint="eastAsia"/>
                <w:snapToGrid w:val="0"/>
                <w:szCs w:val="22"/>
              </w:rPr>
            </w:pPr>
          </w:p>
        </w:tc>
        <w:tc>
          <w:tcPr>
            <w:tcW w:w="365" w:type="pct"/>
            <w:vMerge/>
            <w:vAlign w:val="center"/>
          </w:tcPr>
          <w:p w14:paraId="0F068D4A" w14:textId="77777777" w:rsidR="00B14D53" w:rsidRDefault="00B14D53">
            <w:pPr>
              <w:jc w:val="center"/>
              <w:rPr>
                <w:rFonts w:eastAsiaTheme="minorEastAsia"/>
                <w:snapToGrid w:val="0"/>
                <w:szCs w:val="21"/>
              </w:rPr>
            </w:pPr>
          </w:p>
        </w:tc>
        <w:tc>
          <w:tcPr>
            <w:tcW w:w="306" w:type="pct"/>
            <w:vAlign w:val="center"/>
          </w:tcPr>
          <w:p w14:paraId="0966FFFE"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59" w:type="pct"/>
            <w:vAlign w:val="center"/>
          </w:tcPr>
          <w:p w14:paraId="4F7757EA" w14:textId="77777777" w:rsidR="00B14D53" w:rsidRDefault="00000000">
            <w:pPr>
              <w:jc w:val="center"/>
              <w:rPr>
                <w:rFonts w:eastAsiaTheme="minorEastAsia"/>
                <w:snapToGrid w:val="0"/>
                <w:szCs w:val="21"/>
              </w:rPr>
            </w:pPr>
            <w:r>
              <w:rPr>
                <w:rFonts w:eastAsiaTheme="minorEastAsia" w:hint="eastAsia"/>
                <w:snapToGrid w:val="0"/>
                <w:szCs w:val="21"/>
              </w:rPr>
              <w:t>65</w:t>
            </w:r>
          </w:p>
        </w:tc>
        <w:tc>
          <w:tcPr>
            <w:tcW w:w="305" w:type="pct"/>
            <w:tcBorders>
              <w:top w:val="single" w:sz="4" w:space="0" w:color="auto"/>
            </w:tcBorders>
            <w:vAlign w:val="center"/>
          </w:tcPr>
          <w:p w14:paraId="30747F08" w14:textId="77777777" w:rsidR="00B14D53" w:rsidRDefault="00000000">
            <w:pPr>
              <w:jc w:val="center"/>
              <w:rPr>
                <w:rFonts w:eastAsiaTheme="minorEastAsia"/>
                <w:snapToGrid w:val="0"/>
                <w:szCs w:val="22"/>
              </w:rPr>
            </w:pPr>
            <w:r>
              <w:rPr>
                <w:rFonts w:eastAsiaTheme="minorEastAsia" w:hint="eastAsia"/>
                <w:snapToGrid w:val="0"/>
                <w:szCs w:val="22"/>
              </w:rPr>
              <w:t>8760</w:t>
            </w:r>
          </w:p>
        </w:tc>
      </w:tr>
      <w:tr w:rsidR="00B14D53" w14:paraId="57B4189E" w14:textId="77777777">
        <w:trPr>
          <w:trHeight w:val="310"/>
        </w:trPr>
        <w:tc>
          <w:tcPr>
            <w:tcW w:w="195" w:type="pct"/>
            <w:vAlign w:val="center"/>
          </w:tcPr>
          <w:p w14:paraId="4F023534" w14:textId="77777777" w:rsidR="00B14D53" w:rsidRDefault="00000000">
            <w:pPr>
              <w:jc w:val="center"/>
              <w:rPr>
                <w:rFonts w:eastAsiaTheme="minorEastAsia"/>
                <w:snapToGrid w:val="0"/>
                <w:szCs w:val="22"/>
              </w:rPr>
            </w:pPr>
            <w:r>
              <w:rPr>
                <w:rFonts w:eastAsiaTheme="minorEastAsia" w:hint="eastAsia"/>
                <w:snapToGrid w:val="0"/>
                <w:szCs w:val="22"/>
              </w:rPr>
              <w:t>12</w:t>
            </w:r>
          </w:p>
        </w:tc>
        <w:tc>
          <w:tcPr>
            <w:tcW w:w="551" w:type="pct"/>
            <w:vAlign w:val="center"/>
          </w:tcPr>
          <w:p w14:paraId="22BFDE64" w14:textId="77777777" w:rsidR="00B14D53" w:rsidRDefault="00000000">
            <w:pPr>
              <w:jc w:val="center"/>
              <w:rPr>
                <w:rFonts w:eastAsiaTheme="minorEastAsia"/>
                <w:szCs w:val="21"/>
              </w:rPr>
            </w:pPr>
            <w:r>
              <w:rPr>
                <w:rFonts w:eastAsiaTheme="minorEastAsia" w:hint="eastAsia"/>
                <w:szCs w:val="21"/>
              </w:rPr>
              <w:t>水泵</w:t>
            </w:r>
          </w:p>
        </w:tc>
        <w:tc>
          <w:tcPr>
            <w:tcW w:w="595" w:type="pct"/>
            <w:tcBorders>
              <w:right w:val="single" w:sz="4" w:space="0" w:color="auto"/>
            </w:tcBorders>
            <w:vAlign w:val="center"/>
          </w:tcPr>
          <w:p w14:paraId="35C363AB" w14:textId="77777777" w:rsidR="00B14D53" w:rsidRDefault="00000000">
            <w:pPr>
              <w:jc w:val="center"/>
              <w:rPr>
                <w:rFonts w:eastAsiaTheme="minorEastAsia"/>
                <w:snapToGrid w:val="0"/>
                <w:szCs w:val="22"/>
              </w:rPr>
            </w:pPr>
            <w:r>
              <w:rPr>
                <w:rFonts w:eastAsiaTheme="minorEastAsia" w:hint="eastAsia"/>
                <w:snapToGrid w:val="0"/>
                <w:szCs w:val="22"/>
              </w:rPr>
              <w:t>污水处理站</w:t>
            </w:r>
          </w:p>
        </w:tc>
        <w:tc>
          <w:tcPr>
            <w:tcW w:w="316" w:type="pct"/>
            <w:tcBorders>
              <w:left w:val="single" w:sz="4" w:space="0" w:color="auto"/>
            </w:tcBorders>
            <w:vAlign w:val="center"/>
          </w:tcPr>
          <w:p w14:paraId="23D35996" w14:textId="77777777" w:rsidR="00B14D53" w:rsidRDefault="00000000">
            <w:pPr>
              <w:jc w:val="center"/>
              <w:rPr>
                <w:rFonts w:eastAsiaTheme="minorEastAsia"/>
                <w:snapToGrid w:val="0"/>
                <w:szCs w:val="22"/>
              </w:rPr>
            </w:pPr>
            <w:r>
              <w:rPr>
                <w:rFonts w:eastAsiaTheme="minorEastAsia" w:hint="eastAsia"/>
                <w:snapToGrid w:val="0"/>
                <w:szCs w:val="22"/>
              </w:rPr>
              <w:t>3</w:t>
            </w:r>
            <w:r>
              <w:rPr>
                <w:rFonts w:eastAsiaTheme="minorEastAsia" w:hAnsiTheme="minorEastAsia"/>
                <w:snapToGrid w:val="0"/>
                <w:szCs w:val="22"/>
              </w:rPr>
              <w:t>个</w:t>
            </w:r>
          </w:p>
        </w:tc>
        <w:tc>
          <w:tcPr>
            <w:tcW w:w="307" w:type="pct"/>
            <w:vAlign w:val="center"/>
          </w:tcPr>
          <w:p w14:paraId="7E208763" w14:textId="77777777" w:rsidR="00B14D53" w:rsidRDefault="00000000">
            <w:pPr>
              <w:jc w:val="center"/>
              <w:rPr>
                <w:rFonts w:eastAsiaTheme="minorEastAsia"/>
                <w:snapToGrid w:val="0"/>
                <w:szCs w:val="22"/>
              </w:rPr>
            </w:pPr>
            <w:r>
              <w:rPr>
                <w:rFonts w:eastAsiaTheme="minorEastAsia" w:hAnsiTheme="minorEastAsia"/>
                <w:snapToGrid w:val="0"/>
                <w:szCs w:val="22"/>
              </w:rPr>
              <w:t>频发</w:t>
            </w:r>
          </w:p>
        </w:tc>
        <w:tc>
          <w:tcPr>
            <w:tcW w:w="362" w:type="pct"/>
            <w:vAlign w:val="center"/>
          </w:tcPr>
          <w:p w14:paraId="40F6CE23" w14:textId="77777777" w:rsidR="00B14D53" w:rsidRDefault="00000000">
            <w:pPr>
              <w:jc w:val="center"/>
              <w:rPr>
                <w:rFonts w:eastAsiaTheme="minorEastAsia"/>
                <w:snapToGrid w:val="0"/>
                <w:szCs w:val="22"/>
              </w:rPr>
            </w:pPr>
            <w:r>
              <w:rPr>
                <w:rFonts w:eastAsiaTheme="minorEastAsia" w:hAnsiTheme="minorEastAsia"/>
                <w:snapToGrid w:val="0"/>
                <w:szCs w:val="22"/>
              </w:rPr>
              <w:t>类比法</w:t>
            </w:r>
          </w:p>
        </w:tc>
        <w:tc>
          <w:tcPr>
            <w:tcW w:w="398" w:type="pct"/>
            <w:vAlign w:val="center"/>
          </w:tcPr>
          <w:p w14:paraId="574EE137" w14:textId="77777777" w:rsidR="00B14D53" w:rsidRDefault="00000000">
            <w:pPr>
              <w:jc w:val="center"/>
              <w:rPr>
                <w:rFonts w:eastAsiaTheme="minorEastAsia"/>
                <w:snapToGrid w:val="0"/>
                <w:szCs w:val="22"/>
              </w:rPr>
            </w:pPr>
            <w:r>
              <w:rPr>
                <w:rFonts w:eastAsiaTheme="minorEastAsia" w:hint="eastAsia"/>
                <w:snapToGrid w:val="0"/>
                <w:szCs w:val="22"/>
              </w:rPr>
              <w:t>90</w:t>
            </w:r>
          </w:p>
        </w:tc>
        <w:tc>
          <w:tcPr>
            <w:tcW w:w="936" w:type="pct"/>
            <w:vMerge/>
            <w:vAlign w:val="center"/>
          </w:tcPr>
          <w:p w14:paraId="0822E648" w14:textId="77777777" w:rsidR="00B14D53" w:rsidRDefault="00B14D53">
            <w:pPr>
              <w:jc w:val="center"/>
              <w:rPr>
                <w:rFonts w:eastAsiaTheme="minorEastAsia"/>
                <w:snapToGrid w:val="0"/>
                <w:szCs w:val="21"/>
              </w:rPr>
            </w:pPr>
          </w:p>
        </w:tc>
        <w:tc>
          <w:tcPr>
            <w:tcW w:w="365" w:type="pct"/>
            <w:vMerge/>
            <w:vAlign w:val="center"/>
          </w:tcPr>
          <w:p w14:paraId="3DE90FD4" w14:textId="77777777" w:rsidR="00B14D53" w:rsidRDefault="00B14D53">
            <w:pPr>
              <w:jc w:val="center"/>
              <w:rPr>
                <w:rFonts w:eastAsiaTheme="minorEastAsia"/>
              </w:rPr>
            </w:pPr>
          </w:p>
        </w:tc>
        <w:tc>
          <w:tcPr>
            <w:tcW w:w="306" w:type="pct"/>
            <w:vAlign w:val="center"/>
          </w:tcPr>
          <w:p w14:paraId="31111048" w14:textId="77777777" w:rsidR="00B14D53" w:rsidRDefault="00000000">
            <w:pPr>
              <w:jc w:val="center"/>
              <w:rPr>
                <w:rFonts w:eastAsiaTheme="minorEastAsia"/>
                <w:snapToGrid w:val="0"/>
                <w:szCs w:val="22"/>
              </w:rPr>
            </w:pPr>
            <w:r>
              <w:rPr>
                <w:rFonts w:eastAsiaTheme="minorEastAsia" w:hAnsiTheme="minorEastAsia"/>
                <w:snapToGrid w:val="0"/>
                <w:szCs w:val="22"/>
              </w:rPr>
              <w:t>类比法</w:t>
            </w:r>
          </w:p>
        </w:tc>
        <w:tc>
          <w:tcPr>
            <w:tcW w:w="359" w:type="pct"/>
            <w:vAlign w:val="center"/>
          </w:tcPr>
          <w:p w14:paraId="76AA72F1" w14:textId="77777777" w:rsidR="00B14D53" w:rsidRDefault="00000000">
            <w:pPr>
              <w:jc w:val="center"/>
              <w:rPr>
                <w:rFonts w:eastAsiaTheme="minorEastAsia"/>
              </w:rPr>
            </w:pPr>
            <w:r>
              <w:rPr>
                <w:rFonts w:eastAsiaTheme="minorEastAsia" w:hint="eastAsia"/>
              </w:rPr>
              <w:t>70</w:t>
            </w:r>
          </w:p>
        </w:tc>
        <w:tc>
          <w:tcPr>
            <w:tcW w:w="305" w:type="pct"/>
            <w:vAlign w:val="center"/>
          </w:tcPr>
          <w:p w14:paraId="04089120" w14:textId="77777777" w:rsidR="00B14D53" w:rsidRDefault="00000000">
            <w:pPr>
              <w:jc w:val="center"/>
              <w:rPr>
                <w:rFonts w:eastAsiaTheme="minorEastAsia"/>
                <w:snapToGrid w:val="0"/>
                <w:szCs w:val="22"/>
              </w:rPr>
            </w:pPr>
            <w:r>
              <w:rPr>
                <w:rFonts w:eastAsiaTheme="minorEastAsia" w:hint="eastAsia"/>
                <w:snapToGrid w:val="0"/>
                <w:szCs w:val="22"/>
              </w:rPr>
              <w:t>8160</w:t>
            </w:r>
          </w:p>
        </w:tc>
      </w:tr>
      <w:tr w:rsidR="00B14D53" w14:paraId="39CEBAF8" w14:textId="77777777">
        <w:trPr>
          <w:trHeight w:val="330"/>
        </w:trPr>
        <w:tc>
          <w:tcPr>
            <w:tcW w:w="195" w:type="pct"/>
            <w:vMerge w:val="restart"/>
            <w:vAlign w:val="center"/>
          </w:tcPr>
          <w:p w14:paraId="332154BE" w14:textId="77777777" w:rsidR="00B14D53" w:rsidRDefault="00000000">
            <w:pPr>
              <w:jc w:val="center"/>
              <w:rPr>
                <w:rFonts w:eastAsiaTheme="minorEastAsia"/>
                <w:snapToGrid w:val="0"/>
                <w:szCs w:val="22"/>
              </w:rPr>
            </w:pPr>
            <w:r>
              <w:rPr>
                <w:rFonts w:eastAsiaTheme="minorEastAsia" w:hint="eastAsia"/>
                <w:snapToGrid w:val="0"/>
                <w:szCs w:val="22"/>
              </w:rPr>
              <w:t>13</w:t>
            </w:r>
          </w:p>
        </w:tc>
        <w:tc>
          <w:tcPr>
            <w:tcW w:w="551" w:type="pct"/>
            <w:vMerge w:val="restart"/>
            <w:vAlign w:val="center"/>
          </w:tcPr>
          <w:p w14:paraId="20BCD3B8" w14:textId="77777777" w:rsidR="00B14D53" w:rsidRDefault="00000000">
            <w:pPr>
              <w:jc w:val="center"/>
              <w:rPr>
                <w:rFonts w:eastAsiaTheme="minorEastAsia"/>
                <w:szCs w:val="21"/>
              </w:rPr>
            </w:pPr>
            <w:r>
              <w:rPr>
                <w:rFonts w:eastAsiaTheme="minorEastAsia" w:hint="eastAsia"/>
                <w:szCs w:val="21"/>
              </w:rPr>
              <w:t>风机</w:t>
            </w:r>
          </w:p>
        </w:tc>
        <w:tc>
          <w:tcPr>
            <w:tcW w:w="595" w:type="pct"/>
            <w:tcBorders>
              <w:bottom w:val="single" w:sz="4" w:space="0" w:color="auto"/>
              <w:right w:val="single" w:sz="4" w:space="0" w:color="auto"/>
            </w:tcBorders>
            <w:vAlign w:val="center"/>
          </w:tcPr>
          <w:p w14:paraId="0712F364" w14:textId="77777777" w:rsidR="00B14D53" w:rsidRDefault="00000000">
            <w:pPr>
              <w:jc w:val="center"/>
              <w:rPr>
                <w:rFonts w:eastAsiaTheme="minorEastAsia"/>
                <w:snapToGrid w:val="0"/>
                <w:szCs w:val="22"/>
              </w:rPr>
            </w:pPr>
            <w:r>
              <w:rPr>
                <w:rFonts w:eastAsiaTheme="minorEastAsia" w:hint="eastAsia"/>
                <w:snapToGrid w:val="0"/>
                <w:szCs w:val="22"/>
              </w:rPr>
              <w:t>屠宰车间</w:t>
            </w:r>
          </w:p>
        </w:tc>
        <w:tc>
          <w:tcPr>
            <w:tcW w:w="316" w:type="pct"/>
            <w:tcBorders>
              <w:left w:val="single" w:sz="4" w:space="0" w:color="auto"/>
              <w:bottom w:val="single" w:sz="4" w:space="0" w:color="auto"/>
            </w:tcBorders>
            <w:vAlign w:val="center"/>
          </w:tcPr>
          <w:p w14:paraId="7D1009FB" w14:textId="77777777" w:rsidR="00B14D53" w:rsidRDefault="00000000">
            <w:pPr>
              <w:jc w:val="center"/>
              <w:rPr>
                <w:rFonts w:eastAsiaTheme="minorEastAsia"/>
                <w:snapToGrid w:val="0"/>
                <w:szCs w:val="22"/>
              </w:rPr>
            </w:pPr>
            <w:r>
              <w:rPr>
                <w:rFonts w:eastAsiaTheme="minorEastAsia" w:hint="eastAsia"/>
                <w:snapToGrid w:val="0"/>
                <w:szCs w:val="22"/>
              </w:rPr>
              <w:t>1</w:t>
            </w:r>
            <w:r>
              <w:rPr>
                <w:rFonts w:eastAsiaTheme="minorEastAsia" w:hint="eastAsia"/>
                <w:snapToGrid w:val="0"/>
                <w:szCs w:val="22"/>
              </w:rPr>
              <w:t>个</w:t>
            </w:r>
          </w:p>
        </w:tc>
        <w:tc>
          <w:tcPr>
            <w:tcW w:w="307" w:type="pct"/>
            <w:vMerge w:val="restart"/>
            <w:vAlign w:val="center"/>
          </w:tcPr>
          <w:p w14:paraId="6B5BED66"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频发</w:t>
            </w:r>
          </w:p>
        </w:tc>
        <w:tc>
          <w:tcPr>
            <w:tcW w:w="362" w:type="pct"/>
            <w:vMerge w:val="restart"/>
            <w:vAlign w:val="center"/>
          </w:tcPr>
          <w:p w14:paraId="40AF4EC7"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98" w:type="pct"/>
            <w:vMerge w:val="restart"/>
            <w:vAlign w:val="center"/>
          </w:tcPr>
          <w:p w14:paraId="206DF15A" w14:textId="77777777" w:rsidR="00B14D53" w:rsidRDefault="00000000">
            <w:pPr>
              <w:jc w:val="center"/>
              <w:rPr>
                <w:rFonts w:eastAsiaTheme="minorEastAsia"/>
                <w:snapToGrid w:val="0"/>
                <w:szCs w:val="22"/>
              </w:rPr>
            </w:pPr>
            <w:r>
              <w:rPr>
                <w:rFonts w:eastAsiaTheme="minorEastAsia" w:hint="eastAsia"/>
                <w:snapToGrid w:val="0"/>
                <w:szCs w:val="22"/>
              </w:rPr>
              <w:t>90</w:t>
            </w:r>
          </w:p>
        </w:tc>
        <w:tc>
          <w:tcPr>
            <w:tcW w:w="936" w:type="pct"/>
            <w:vMerge/>
            <w:vAlign w:val="center"/>
          </w:tcPr>
          <w:p w14:paraId="34D0C0FE" w14:textId="77777777" w:rsidR="00B14D53" w:rsidRDefault="00B14D53">
            <w:pPr>
              <w:jc w:val="center"/>
              <w:rPr>
                <w:rFonts w:eastAsiaTheme="minorEastAsia"/>
                <w:snapToGrid w:val="0"/>
                <w:szCs w:val="21"/>
              </w:rPr>
            </w:pPr>
          </w:p>
        </w:tc>
        <w:tc>
          <w:tcPr>
            <w:tcW w:w="365" w:type="pct"/>
            <w:vMerge/>
            <w:vAlign w:val="center"/>
          </w:tcPr>
          <w:p w14:paraId="4788AC0F" w14:textId="77777777" w:rsidR="00B14D53" w:rsidRDefault="00B14D53">
            <w:pPr>
              <w:jc w:val="center"/>
              <w:rPr>
                <w:rFonts w:eastAsiaTheme="minorEastAsia"/>
                <w:snapToGrid w:val="0"/>
                <w:szCs w:val="21"/>
              </w:rPr>
            </w:pPr>
          </w:p>
        </w:tc>
        <w:tc>
          <w:tcPr>
            <w:tcW w:w="306" w:type="pct"/>
            <w:vMerge w:val="restart"/>
            <w:vAlign w:val="center"/>
          </w:tcPr>
          <w:p w14:paraId="613DA8D8" w14:textId="77777777" w:rsidR="00B14D53" w:rsidRDefault="00000000">
            <w:pPr>
              <w:jc w:val="center"/>
              <w:rPr>
                <w:rFonts w:eastAsiaTheme="minorEastAsia" w:hAnsiTheme="minorEastAsia" w:hint="eastAsia"/>
                <w:snapToGrid w:val="0"/>
                <w:szCs w:val="22"/>
              </w:rPr>
            </w:pPr>
            <w:r>
              <w:rPr>
                <w:rFonts w:eastAsiaTheme="minorEastAsia" w:hAnsiTheme="minorEastAsia"/>
                <w:snapToGrid w:val="0"/>
                <w:szCs w:val="22"/>
              </w:rPr>
              <w:t>类比法</w:t>
            </w:r>
          </w:p>
        </w:tc>
        <w:tc>
          <w:tcPr>
            <w:tcW w:w="359" w:type="pct"/>
            <w:vMerge w:val="restart"/>
            <w:vAlign w:val="center"/>
          </w:tcPr>
          <w:p w14:paraId="158347CE" w14:textId="77777777" w:rsidR="00B14D53" w:rsidRDefault="00000000">
            <w:pPr>
              <w:jc w:val="center"/>
              <w:rPr>
                <w:rFonts w:eastAsiaTheme="minorEastAsia"/>
                <w:snapToGrid w:val="0"/>
                <w:szCs w:val="21"/>
              </w:rPr>
            </w:pPr>
            <w:r>
              <w:rPr>
                <w:rFonts w:eastAsiaTheme="minorEastAsia" w:hint="eastAsia"/>
                <w:snapToGrid w:val="0"/>
                <w:szCs w:val="21"/>
              </w:rPr>
              <w:t>70</w:t>
            </w:r>
          </w:p>
        </w:tc>
        <w:tc>
          <w:tcPr>
            <w:tcW w:w="305" w:type="pct"/>
            <w:tcBorders>
              <w:bottom w:val="single" w:sz="4" w:space="0" w:color="auto"/>
            </w:tcBorders>
            <w:vAlign w:val="center"/>
          </w:tcPr>
          <w:p w14:paraId="68665B70" w14:textId="77777777" w:rsidR="00B14D53" w:rsidRDefault="00000000">
            <w:pPr>
              <w:jc w:val="center"/>
              <w:rPr>
                <w:rFonts w:eastAsiaTheme="minorEastAsia"/>
                <w:snapToGrid w:val="0"/>
                <w:szCs w:val="22"/>
              </w:rPr>
            </w:pPr>
            <w:r>
              <w:rPr>
                <w:rFonts w:eastAsiaTheme="minorEastAsia" w:hint="eastAsia"/>
                <w:snapToGrid w:val="0"/>
                <w:szCs w:val="22"/>
              </w:rPr>
              <w:t>5440</w:t>
            </w:r>
          </w:p>
        </w:tc>
      </w:tr>
      <w:tr w:rsidR="00B14D53" w14:paraId="5792A400" w14:textId="77777777">
        <w:trPr>
          <w:trHeight w:val="379"/>
        </w:trPr>
        <w:tc>
          <w:tcPr>
            <w:tcW w:w="195" w:type="pct"/>
            <w:vMerge/>
            <w:vAlign w:val="center"/>
          </w:tcPr>
          <w:p w14:paraId="4AE7896B" w14:textId="77777777" w:rsidR="00B14D53" w:rsidRDefault="00B14D53">
            <w:pPr>
              <w:jc w:val="center"/>
              <w:rPr>
                <w:rFonts w:eastAsiaTheme="minorEastAsia"/>
                <w:snapToGrid w:val="0"/>
                <w:szCs w:val="22"/>
              </w:rPr>
            </w:pPr>
          </w:p>
        </w:tc>
        <w:tc>
          <w:tcPr>
            <w:tcW w:w="551" w:type="pct"/>
            <w:vMerge/>
            <w:vAlign w:val="center"/>
          </w:tcPr>
          <w:p w14:paraId="2F8FB918" w14:textId="77777777" w:rsidR="00B14D53" w:rsidRDefault="00B14D53">
            <w:pPr>
              <w:jc w:val="center"/>
              <w:rPr>
                <w:rFonts w:eastAsiaTheme="minorEastAsia"/>
                <w:szCs w:val="21"/>
              </w:rPr>
            </w:pPr>
          </w:p>
        </w:tc>
        <w:tc>
          <w:tcPr>
            <w:tcW w:w="595" w:type="pct"/>
            <w:tcBorders>
              <w:top w:val="single" w:sz="4" w:space="0" w:color="auto"/>
              <w:bottom w:val="single" w:sz="4" w:space="0" w:color="auto"/>
              <w:right w:val="single" w:sz="4" w:space="0" w:color="auto"/>
            </w:tcBorders>
            <w:vAlign w:val="center"/>
          </w:tcPr>
          <w:p w14:paraId="37BCA4C9" w14:textId="77777777" w:rsidR="00B14D53" w:rsidRDefault="00000000">
            <w:pPr>
              <w:jc w:val="center"/>
              <w:rPr>
                <w:rFonts w:eastAsiaTheme="minorEastAsia"/>
                <w:snapToGrid w:val="0"/>
                <w:szCs w:val="22"/>
              </w:rPr>
            </w:pPr>
            <w:r>
              <w:rPr>
                <w:rFonts w:eastAsiaTheme="minorEastAsia" w:hint="eastAsia"/>
                <w:snapToGrid w:val="0"/>
                <w:szCs w:val="22"/>
              </w:rPr>
              <w:t>污水处理站</w:t>
            </w:r>
          </w:p>
        </w:tc>
        <w:tc>
          <w:tcPr>
            <w:tcW w:w="316" w:type="pct"/>
            <w:tcBorders>
              <w:top w:val="single" w:sz="4" w:space="0" w:color="auto"/>
              <w:left w:val="single" w:sz="4" w:space="0" w:color="auto"/>
              <w:bottom w:val="single" w:sz="4" w:space="0" w:color="auto"/>
            </w:tcBorders>
            <w:vAlign w:val="center"/>
          </w:tcPr>
          <w:p w14:paraId="5B0A8F68" w14:textId="77777777" w:rsidR="00B14D53" w:rsidRDefault="00000000">
            <w:pPr>
              <w:jc w:val="center"/>
              <w:rPr>
                <w:rFonts w:eastAsiaTheme="minorEastAsia"/>
                <w:snapToGrid w:val="0"/>
                <w:szCs w:val="22"/>
              </w:rPr>
            </w:pPr>
            <w:r>
              <w:rPr>
                <w:rFonts w:eastAsiaTheme="minorEastAsia" w:hint="eastAsia"/>
                <w:snapToGrid w:val="0"/>
                <w:szCs w:val="22"/>
              </w:rPr>
              <w:t>1</w:t>
            </w:r>
            <w:r>
              <w:rPr>
                <w:rFonts w:eastAsiaTheme="minorEastAsia" w:hint="eastAsia"/>
                <w:snapToGrid w:val="0"/>
                <w:szCs w:val="22"/>
              </w:rPr>
              <w:t>个</w:t>
            </w:r>
          </w:p>
        </w:tc>
        <w:tc>
          <w:tcPr>
            <w:tcW w:w="307" w:type="pct"/>
            <w:vMerge/>
            <w:vAlign w:val="center"/>
          </w:tcPr>
          <w:p w14:paraId="3F2C6132" w14:textId="77777777" w:rsidR="00B14D53" w:rsidRDefault="00B14D53">
            <w:pPr>
              <w:jc w:val="center"/>
              <w:rPr>
                <w:rFonts w:eastAsiaTheme="minorEastAsia" w:hAnsiTheme="minorEastAsia" w:hint="eastAsia"/>
                <w:snapToGrid w:val="0"/>
                <w:szCs w:val="22"/>
              </w:rPr>
            </w:pPr>
          </w:p>
        </w:tc>
        <w:tc>
          <w:tcPr>
            <w:tcW w:w="362" w:type="pct"/>
            <w:vMerge/>
            <w:vAlign w:val="center"/>
          </w:tcPr>
          <w:p w14:paraId="2499A1E5" w14:textId="77777777" w:rsidR="00B14D53" w:rsidRDefault="00B14D53">
            <w:pPr>
              <w:jc w:val="center"/>
              <w:rPr>
                <w:rFonts w:eastAsiaTheme="minorEastAsia" w:hAnsiTheme="minorEastAsia" w:hint="eastAsia"/>
                <w:snapToGrid w:val="0"/>
                <w:szCs w:val="22"/>
              </w:rPr>
            </w:pPr>
          </w:p>
        </w:tc>
        <w:tc>
          <w:tcPr>
            <w:tcW w:w="398" w:type="pct"/>
            <w:vMerge/>
            <w:vAlign w:val="center"/>
          </w:tcPr>
          <w:p w14:paraId="34E482CB" w14:textId="77777777" w:rsidR="00B14D53" w:rsidRDefault="00B14D53">
            <w:pPr>
              <w:jc w:val="center"/>
              <w:rPr>
                <w:rFonts w:eastAsiaTheme="minorEastAsia"/>
                <w:snapToGrid w:val="0"/>
                <w:szCs w:val="22"/>
              </w:rPr>
            </w:pPr>
          </w:p>
        </w:tc>
        <w:tc>
          <w:tcPr>
            <w:tcW w:w="936" w:type="pct"/>
            <w:vMerge/>
            <w:vAlign w:val="center"/>
          </w:tcPr>
          <w:p w14:paraId="3D7A6CDB" w14:textId="77777777" w:rsidR="00B14D53" w:rsidRDefault="00B14D53">
            <w:pPr>
              <w:jc w:val="center"/>
              <w:rPr>
                <w:rFonts w:eastAsiaTheme="minorEastAsia"/>
                <w:snapToGrid w:val="0"/>
                <w:szCs w:val="21"/>
              </w:rPr>
            </w:pPr>
          </w:p>
        </w:tc>
        <w:tc>
          <w:tcPr>
            <w:tcW w:w="365" w:type="pct"/>
            <w:vMerge/>
            <w:vAlign w:val="center"/>
          </w:tcPr>
          <w:p w14:paraId="1CAECF7F" w14:textId="77777777" w:rsidR="00B14D53" w:rsidRDefault="00B14D53">
            <w:pPr>
              <w:jc w:val="center"/>
              <w:rPr>
                <w:rFonts w:eastAsiaTheme="minorEastAsia"/>
                <w:snapToGrid w:val="0"/>
                <w:szCs w:val="21"/>
              </w:rPr>
            </w:pPr>
          </w:p>
        </w:tc>
        <w:tc>
          <w:tcPr>
            <w:tcW w:w="306" w:type="pct"/>
            <w:vMerge/>
            <w:vAlign w:val="center"/>
          </w:tcPr>
          <w:p w14:paraId="795B0EFA" w14:textId="77777777" w:rsidR="00B14D53" w:rsidRDefault="00B14D53">
            <w:pPr>
              <w:jc w:val="center"/>
              <w:rPr>
                <w:rFonts w:eastAsiaTheme="minorEastAsia" w:hAnsiTheme="minorEastAsia" w:hint="eastAsia"/>
                <w:snapToGrid w:val="0"/>
                <w:szCs w:val="22"/>
              </w:rPr>
            </w:pPr>
          </w:p>
        </w:tc>
        <w:tc>
          <w:tcPr>
            <w:tcW w:w="359" w:type="pct"/>
            <w:vMerge/>
            <w:vAlign w:val="center"/>
          </w:tcPr>
          <w:p w14:paraId="355A96D7" w14:textId="77777777" w:rsidR="00B14D53" w:rsidRDefault="00B14D53">
            <w:pPr>
              <w:jc w:val="center"/>
              <w:rPr>
                <w:rFonts w:eastAsiaTheme="minorEastAsia"/>
                <w:snapToGrid w:val="0"/>
                <w:szCs w:val="21"/>
              </w:rPr>
            </w:pPr>
          </w:p>
        </w:tc>
        <w:tc>
          <w:tcPr>
            <w:tcW w:w="305" w:type="pct"/>
            <w:vMerge w:val="restart"/>
            <w:tcBorders>
              <w:top w:val="single" w:sz="4" w:space="0" w:color="auto"/>
            </w:tcBorders>
            <w:vAlign w:val="center"/>
          </w:tcPr>
          <w:p w14:paraId="6F59800F" w14:textId="77777777" w:rsidR="00B14D53" w:rsidRDefault="00000000">
            <w:pPr>
              <w:jc w:val="center"/>
              <w:rPr>
                <w:rFonts w:eastAsiaTheme="minorEastAsia"/>
                <w:snapToGrid w:val="0"/>
                <w:szCs w:val="22"/>
              </w:rPr>
            </w:pPr>
            <w:r>
              <w:rPr>
                <w:rFonts w:eastAsiaTheme="minorEastAsia" w:hint="eastAsia"/>
                <w:snapToGrid w:val="0"/>
                <w:szCs w:val="22"/>
              </w:rPr>
              <w:t>8160</w:t>
            </w:r>
          </w:p>
        </w:tc>
      </w:tr>
      <w:tr w:rsidR="00B14D53" w14:paraId="45999CAD" w14:textId="77777777">
        <w:trPr>
          <w:trHeight w:val="350"/>
        </w:trPr>
        <w:tc>
          <w:tcPr>
            <w:tcW w:w="195" w:type="pct"/>
            <w:vMerge/>
            <w:vAlign w:val="center"/>
          </w:tcPr>
          <w:p w14:paraId="2FAA8B36" w14:textId="77777777" w:rsidR="00B14D53" w:rsidRDefault="00B14D53">
            <w:pPr>
              <w:jc w:val="center"/>
              <w:rPr>
                <w:rFonts w:eastAsiaTheme="minorEastAsia"/>
                <w:snapToGrid w:val="0"/>
                <w:szCs w:val="22"/>
              </w:rPr>
            </w:pPr>
          </w:p>
        </w:tc>
        <w:tc>
          <w:tcPr>
            <w:tcW w:w="551" w:type="pct"/>
            <w:vMerge/>
            <w:vAlign w:val="center"/>
          </w:tcPr>
          <w:p w14:paraId="3CAB7015" w14:textId="77777777" w:rsidR="00B14D53" w:rsidRDefault="00B14D53">
            <w:pPr>
              <w:jc w:val="center"/>
              <w:rPr>
                <w:rFonts w:eastAsiaTheme="minorEastAsia"/>
                <w:szCs w:val="21"/>
              </w:rPr>
            </w:pPr>
          </w:p>
        </w:tc>
        <w:tc>
          <w:tcPr>
            <w:tcW w:w="595" w:type="pct"/>
            <w:tcBorders>
              <w:top w:val="single" w:sz="4" w:space="0" w:color="auto"/>
              <w:right w:val="single" w:sz="4" w:space="0" w:color="auto"/>
            </w:tcBorders>
            <w:vAlign w:val="center"/>
          </w:tcPr>
          <w:p w14:paraId="17F7AAD3" w14:textId="77777777" w:rsidR="00B14D53" w:rsidRDefault="00000000">
            <w:pPr>
              <w:jc w:val="center"/>
              <w:rPr>
                <w:rFonts w:eastAsiaTheme="minorEastAsia"/>
                <w:snapToGrid w:val="0"/>
                <w:szCs w:val="22"/>
              </w:rPr>
            </w:pPr>
            <w:r>
              <w:rPr>
                <w:rFonts w:eastAsiaTheme="minorEastAsia" w:hint="eastAsia"/>
                <w:snapToGrid w:val="0"/>
                <w:szCs w:val="22"/>
              </w:rPr>
              <w:t>2</w:t>
            </w:r>
            <w:r>
              <w:rPr>
                <w:rFonts w:eastAsiaTheme="minorEastAsia" w:hint="eastAsia"/>
                <w:snapToGrid w:val="0"/>
                <w:szCs w:val="22"/>
              </w:rPr>
              <w:t>间待宰圈</w:t>
            </w:r>
          </w:p>
        </w:tc>
        <w:tc>
          <w:tcPr>
            <w:tcW w:w="316" w:type="pct"/>
            <w:tcBorders>
              <w:top w:val="single" w:sz="4" w:space="0" w:color="auto"/>
              <w:left w:val="single" w:sz="4" w:space="0" w:color="auto"/>
            </w:tcBorders>
            <w:vAlign w:val="center"/>
          </w:tcPr>
          <w:p w14:paraId="13612849" w14:textId="77777777" w:rsidR="00B14D53" w:rsidRDefault="00000000">
            <w:pPr>
              <w:jc w:val="center"/>
              <w:rPr>
                <w:rFonts w:eastAsiaTheme="minorEastAsia"/>
                <w:snapToGrid w:val="0"/>
                <w:szCs w:val="22"/>
              </w:rPr>
            </w:pPr>
            <w:r>
              <w:rPr>
                <w:rFonts w:eastAsiaTheme="minorEastAsia" w:hint="eastAsia"/>
                <w:snapToGrid w:val="0"/>
                <w:szCs w:val="22"/>
              </w:rPr>
              <w:t>2</w:t>
            </w:r>
            <w:r>
              <w:rPr>
                <w:rFonts w:eastAsiaTheme="minorEastAsia" w:hint="eastAsia"/>
                <w:snapToGrid w:val="0"/>
                <w:szCs w:val="22"/>
              </w:rPr>
              <w:t>个</w:t>
            </w:r>
          </w:p>
        </w:tc>
        <w:tc>
          <w:tcPr>
            <w:tcW w:w="307" w:type="pct"/>
            <w:vMerge/>
            <w:vAlign w:val="center"/>
          </w:tcPr>
          <w:p w14:paraId="115344E0" w14:textId="77777777" w:rsidR="00B14D53" w:rsidRDefault="00B14D53">
            <w:pPr>
              <w:jc w:val="center"/>
              <w:rPr>
                <w:rFonts w:eastAsiaTheme="minorEastAsia" w:hAnsiTheme="minorEastAsia" w:hint="eastAsia"/>
                <w:snapToGrid w:val="0"/>
                <w:szCs w:val="22"/>
              </w:rPr>
            </w:pPr>
          </w:p>
        </w:tc>
        <w:tc>
          <w:tcPr>
            <w:tcW w:w="362" w:type="pct"/>
            <w:vMerge/>
            <w:vAlign w:val="center"/>
          </w:tcPr>
          <w:p w14:paraId="4285FC5F" w14:textId="77777777" w:rsidR="00B14D53" w:rsidRDefault="00B14D53">
            <w:pPr>
              <w:jc w:val="center"/>
              <w:rPr>
                <w:rFonts w:eastAsiaTheme="minorEastAsia" w:hAnsiTheme="minorEastAsia" w:hint="eastAsia"/>
                <w:snapToGrid w:val="0"/>
                <w:szCs w:val="22"/>
              </w:rPr>
            </w:pPr>
          </w:p>
        </w:tc>
        <w:tc>
          <w:tcPr>
            <w:tcW w:w="398" w:type="pct"/>
            <w:vMerge/>
            <w:vAlign w:val="center"/>
          </w:tcPr>
          <w:p w14:paraId="292FAECA" w14:textId="77777777" w:rsidR="00B14D53" w:rsidRDefault="00B14D53">
            <w:pPr>
              <w:jc w:val="center"/>
              <w:rPr>
                <w:rFonts w:eastAsiaTheme="minorEastAsia"/>
                <w:snapToGrid w:val="0"/>
                <w:szCs w:val="22"/>
              </w:rPr>
            </w:pPr>
          </w:p>
        </w:tc>
        <w:tc>
          <w:tcPr>
            <w:tcW w:w="936" w:type="pct"/>
            <w:vMerge/>
            <w:vAlign w:val="center"/>
          </w:tcPr>
          <w:p w14:paraId="255152E7" w14:textId="77777777" w:rsidR="00B14D53" w:rsidRDefault="00B14D53">
            <w:pPr>
              <w:jc w:val="center"/>
              <w:rPr>
                <w:rFonts w:eastAsiaTheme="minorEastAsia"/>
                <w:snapToGrid w:val="0"/>
                <w:szCs w:val="21"/>
              </w:rPr>
            </w:pPr>
          </w:p>
        </w:tc>
        <w:tc>
          <w:tcPr>
            <w:tcW w:w="365" w:type="pct"/>
            <w:vMerge/>
            <w:vAlign w:val="center"/>
          </w:tcPr>
          <w:p w14:paraId="3BE62163" w14:textId="77777777" w:rsidR="00B14D53" w:rsidRDefault="00B14D53">
            <w:pPr>
              <w:jc w:val="center"/>
              <w:rPr>
                <w:rFonts w:eastAsiaTheme="minorEastAsia"/>
                <w:snapToGrid w:val="0"/>
                <w:szCs w:val="21"/>
              </w:rPr>
            </w:pPr>
          </w:p>
        </w:tc>
        <w:tc>
          <w:tcPr>
            <w:tcW w:w="306" w:type="pct"/>
            <w:vMerge/>
            <w:vAlign w:val="center"/>
          </w:tcPr>
          <w:p w14:paraId="069BB905" w14:textId="77777777" w:rsidR="00B14D53" w:rsidRDefault="00B14D53">
            <w:pPr>
              <w:jc w:val="center"/>
              <w:rPr>
                <w:rFonts w:eastAsiaTheme="minorEastAsia" w:hAnsiTheme="minorEastAsia" w:hint="eastAsia"/>
                <w:snapToGrid w:val="0"/>
                <w:szCs w:val="22"/>
              </w:rPr>
            </w:pPr>
          </w:p>
        </w:tc>
        <w:tc>
          <w:tcPr>
            <w:tcW w:w="359" w:type="pct"/>
            <w:vMerge/>
            <w:vAlign w:val="center"/>
          </w:tcPr>
          <w:p w14:paraId="1F15B76E" w14:textId="77777777" w:rsidR="00B14D53" w:rsidRDefault="00B14D53">
            <w:pPr>
              <w:jc w:val="center"/>
              <w:rPr>
                <w:rFonts w:eastAsiaTheme="minorEastAsia"/>
                <w:snapToGrid w:val="0"/>
                <w:szCs w:val="21"/>
              </w:rPr>
            </w:pPr>
          </w:p>
        </w:tc>
        <w:tc>
          <w:tcPr>
            <w:tcW w:w="305" w:type="pct"/>
            <w:vMerge/>
            <w:vAlign w:val="center"/>
          </w:tcPr>
          <w:p w14:paraId="1F2ABCCC" w14:textId="77777777" w:rsidR="00B14D53" w:rsidRDefault="00B14D53">
            <w:pPr>
              <w:jc w:val="center"/>
              <w:rPr>
                <w:rFonts w:eastAsiaTheme="minorEastAsia"/>
                <w:snapToGrid w:val="0"/>
                <w:szCs w:val="22"/>
              </w:rPr>
            </w:pPr>
          </w:p>
        </w:tc>
      </w:tr>
    </w:tbl>
    <w:p w14:paraId="311C6606" w14:textId="77777777" w:rsidR="00B14D53" w:rsidRDefault="00B14D53">
      <w:pPr>
        <w:spacing w:line="360" w:lineRule="auto"/>
        <w:ind w:firstLineChars="200" w:firstLine="480"/>
        <w:rPr>
          <w:rFonts w:eastAsiaTheme="minorEastAsia"/>
          <w:sz w:val="24"/>
        </w:rPr>
        <w:sectPr w:rsidR="00B14D53">
          <w:pgSz w:w="16838" w:h="11906" w:orient="landscape"/>
          <w:pgMar w:top="1800" w:right="1440" w:bottom="1800" w:left="1440" w:header="851" w:footer="992" w:gutter="0"/>
          <w:cols w:space="425"/>
          <w:docGrid w:type="lines" w:linePitch="312"/>
        </w:sectPr>
      </w:pPr>
    </w:p>
    <w:p w14:paraId="2982D178"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3.3.2.4</w:t>
      </w:r>
      <w:r>
        <w:rPr>
          <w:rFonts w:ascii="Times New Roman" w:eastAsia="黑体" w:hAnsi="Times New Roman" w:cs="Times New Roman"/>
          <w:b w:val="0"/>
          <w:bCs w:val="0"/>
          <w:sz w:val="24"/>
          <w:szCs w:val="24"/>
        </w:rPr>
        <w:t>固体废物污染分析</w:t>
      </w:r>
    </w:p>
    <w:p w14:paraId="1AAAA18B" w14:textId="77777777" w:rsidR="00B14D53" w:rsidRDefault="00000000">
      <w:pPr>
        <w:spacing w:line="360" w:lineRule="auto"/>
        <w:ind w:firstLineChars="200" w:firstLine="476"/>
        <w:rPr>
          <w:spacing w:val="-1"/>
          <w:sz w:val="24"/>
        </w:rPr>
      </w:pPr>
      <w:r>
        <w:rPr>
          <w:spacing w:val="-1"/>
          <w:sz w:val="24"/>
        </w:rPr>
        <w:t>固体废物主要为一般工业固废、生活垃圾及危险固废。</w:t>
      </w:r>
    </w:p>
    <w:p w14:paraId="1F0406C6" w14:textId="77777777" w:rsidR="00B14D53" w:rsidRDefault="00000000">
      <w:pPr>
        <w:spacing w:line="360" w:lineRule="auto"/>
        <w:ind w:firstLineChars="200" w:firstLine="480"/>
        <w:rPr>
          <w:sz w:val="24"/>
        </w:rPr>
      </w:pPr>
      <w:r>
        <w:rPr>
          <w:sz w:val="24"/>
        </w:rPr>
        <w:t>（</w:t>
      </w:r>
      <w:r>
        <w:rPr>
          <w:sz w:val="24"/>
        </w:rPr>
        <w:t>1</w:t>
      </w:r>
      <w:r>
        <w:rPr>
          <w:sz w:val="24"/>
        </w:rPr>
        <w:t>）正常工况</w:t>
      </w:r>
    </w:p>
    <w:p w14:paraId="78849306" w14:textId="77777777" w:rsidR="00B14D53" w:rsidRDefault="00000000">
      <w:pPr>
        <w:spacing w:line="360" w:lineRule="auto"/>
        <w:ind w:firstLineChars="200" w:firstLine="480"/>
        <w:rPr>
          <w:sz w:val="24"/>
        </w:rPr>
      </w:pPr>
      <w:r>
        <w:rPr>
          <w:sz w:val="24"/>
        </w:rPr>
        <w:t>项目正常工况下产生的一般固体废物主要有待宰圈产生的猪粪；</w:t>
      </w:r>
      <w:r>
        <w:rPr>
          <w:rFonts w:hint="eastAsia"/>
          <w:sz w:val="24"/>
        </w:rPr>
        <w:t>屠宰加车间产生的</w:t>
      </w:r>
      <w:r>
        <w:rPr>
          <w:sz w:val="24"/>
        </w:rPr>
        <w:t>肠胃内容物</w:t>
      </w:r>
      <w:r>
        <w:rPr>
          <w:rFonts w:hint="eastAsia"/>
          <w:sz w:val="24"/>
        </w:rPr>
        <w:t>、废外包装、</w:t>
      </w:r>
      <w:r>
        <w:rPr>
          <w:sz w:val="24"/>
        </w:rPr>
        <w:t>病变腺体、内脏及</w:t>
      </w:r>
      <w:r>
        <w:rPr>
          <w:rFonts w:hint="eastAsia"/>
          <w:sz w:val="24"/>
        </w:rPr>
        <w:t>残留</w:t>
      </w:r>
      <w:r>
        <w:rPr>
          <w:sz w:val="24"/>
        </w:rPr>
        <w:t>脂肪</w:t>
      </w:r>
      <w:r>
        <w:rPr>
          <w:rFonts w:hint="eastAsia"/>
          <w:sz w:val="24"/>
        </w:rPr>
        <w:t>；</w:t>
      </w:r>
      <w:r>
        <w:rPr>
          <w:sz w:val="24"/>
        </w:rPr>
        <w:t>检</w:t>
      </w:r>
      <w:r>
        <w:rPr>
          <w:rFonts w:hint="eastAsia"/>
          <w:sz w:val="24"/>
        </w:rPr>
        <w:t>验</w:t>
      </w:r>
      <w:r>
        <w:rPr>
          <w:sz w:val="24"/>
        </w:rPr>
        <w:t>室产生的</w:t>
      </w:r>
      <w:r>
        <w:rPr>
          <w:rFonts w:hint="eastAsia"/>
          <w:sz w:val="24"/>
        </w:rPr>
        <w:t>检验废物（类别：</w:t>
      </w:r>
      <w:r>
        <w:rPr>
          <w:rFonts w:hint="eastAsia"/>
          <w:sz w:val="24"/>
        </w:rPr>
        <w:t>HW01</w:t>
      </w:r>
      <w:r>
        <w:rPr>
          <w:rFonts w:hint="eastAsia"/>
          <w:sz w:val="24"/>
        </w:rPr>
        <w:t>，代码：</w:t>
      </w:r>
      <w:r>
        <w:rPr>
          <w:rFonts w:hint="eastAsia"/>
          <w:sz w:val="24"/>
        </w:rPr>
        <w:t>841-001-01</w:t>
      </w:r>
      <w:r>
        <w:rPr>
          <w:rFonts w:hint="eastAsia"/>
          <w:sz w:val="24"/>
        </w:rPr>
        <w:t>）</w:t>
      </w:r>
      <w:r>
        <w:rPr>
          <w:sz w:val="24"/>
        </w:rPr>
        <w:t>；污水处理站产生的污泥、栅渣；</w:t>
      </w:r>
      <w:r>
        <w:rPr>
          <w:rFonts w:hint="eastAsia"/>
          <w:sz w:val="24"/>
        </w:rPr>
        <w:t>废气治理设施产生的</w:t>
      </w:r>
      <w:r>
        <w:rPr>
          <w:sz w:val="24"/>
        </w:rPr>
        <w:t>废活性炭；</w:t>
      </w:r>
      <w:r>
        <w:rPr>
          <w:rFonts w:hint="eastAsia"/>
          <w:sz w:val="24"/>
        </w:rPr>
        <w:t>软化水装置</w:t>
      </w:r>
      <w:r>
        <w:rPr>
          <w:sz w:val="24"/>
        </w:rPr>
        <w:t>产生的废离子交换树脂；</w:t>
      </w:r>
      <w:r>
        <w:rPr>
          <w:rFonts w:hint="eastAsia"/>
          <w:sz w:val="24"/>
        </w:rPr>
        <w:t>职工生活产生的</w:t>
      </w:r>
      <w:r>
        <w:rPr>
          <w:sz w:val="24"/>
        </w:rPr>
        <w:t>生活垃圾。</w:t>
      </w:r>
    </w:p>
    <w:p w14:paraId="110936C2" w14:textId="77777777" w:rsidR="00B14D53" w:rsidRDefault="00000000">
      <w:pPr>
        <w:spacing w:line="360" w:lineRule="auto"/>
        <w:ind w:firstLineChars="200" w:firstLine="480"/>
        <w:rPr>
          <w:sz w:val="24"/>
        </w:rPr>
      </w:pPr>
      <w:r>
        <w:rPr>
          <w:sz w:val="24"/>
        </w:rPr>
        <w:t>1</w:t>
      </w:r>
      <w:r>
        <w:rPr>
          <w:sz w:val="24"/>
        </w:rPr>
        <w:t>）猪粪</w:t>
      </w:r>
    </w:p>
    <w:p w14:paraId="29866168" w14:textId="77777777" w:rsidR="00B14D53" w:rsidRDefault="00000000">
      <w:pPr>
        <w:pStyle w:val="affffffffff3"/>
        <w:ind w:firstLine="480"/>
      </w:pPr>
      <w:r>
        <w:t>入场</w:t>
      </w:r>
      <w:r>
        <w:rPr>
          <w:rFonts w:hint="eastAsia"/>
        </w:rPr>
        <w:t>后</w:t>
      </w:r>
      <w:r>
        <w:t>毛猪停食静养，前三小时停止进水，其粪便产生量相对较少，猪粪产生量为</w:t>
      </w:r>
      <w:r>
        <w:t>0.5kg/d</w:t>
      </w:r>
      <w:r>
        <w:t>头，本项目生猪在待宰圈内停留</w:t>
      </w:r>
      <w:r>
        <w:t>24h</w:t>
      </w:r>
      <w:r>
        <w:t>，则每头猪粪便产生量为</w:t>
      </w:r>
      <w:r>
        <w:t>0.5kg</w:t>
      </w:r>
      <w:r>
        <w:t>，</w:t>
      </w:r>
      <w:r>
        <w:rPr>
          <w:rFonts w:hint="eastAsia"/>
        </w:rPr>
        <w:t>本项目</w:t>
      </w:r>
      <w:r>
        <w:t>全厂待宰圈年存栏</w:t>
      </w:r>
      <w:r>
        <w:rPr>
          <w:rFonts w:hint="eastAsia"/>
        </w:rPr>
        <w:t>160000</w:t>
      </w:r>
      <w:r>
        <w:t>头，则猪粪便（代码：</w:t>
      </w:r>
      <w:r>
        <w:rPr>
          <w:rFonts w:hint="eastAsia"/>
        </w:rPr>
        <w:t>030-001-S82</w:t>
      </w:r>
      <w:r>
        <w:t>）产生量为</w:t>
      </w:r>
      <w:r>
        <w:t>80t/a</w:t>
      </w:r>
      <w:r>
        <w:t>。猪粪便</w:t>
      </w:r>
      <w:r>
        <w:rPr>
          <w:rFonts w:eastAsiaTheme="minorEastAsia" w:hint="eastAsia"/>
        </w:rPr>
        <w:t>清理至包装桶内，暂存于待宰圈内</w:t>
      </w:r>
      <w:r>
        <w:rPr>
          <w:rFonts w:eastAsiaTheme="minorEastAsia"/>
        </w:rPr>
        <w:t>，</w:t>
      </w:r>
      <w:r>
        <w:rPr>
          <w:rFonts w:eastAsiaTheme="minorEastAsia" w:hint="eastAsia"/>
        </w:rPr>
        <w:t>每日生产结束后</w:t>
      </w:r>
      <w:r>
        <w:rPr>
          <w:rFonts w:eastAsiaTheme="minorEastAsia"/>
        </w:rPr>
        <w:t>清运一次，外售有机肥厂进行堆肥处理</w:t>
      </w:r>
      <w:r>
        <w:t>。</w:t>
      </w:r>
    </w:p>
    <w:p w14:paraId="23539DB6" w14:textId="77777777" w:rsidR="00B14D53" w:rsidRDefault="00000000">
      <w:pPr>
        <w:spacing w:line="360" w:lineRule="auto"/>
        <w:ind w:firstLineChars="200" w:firstLine="480"/>
        <w:rPr>
          <w:sz w:val="24"/>
        </w:rPr>
      </w:pPr>
      <w:r>
        <w:rPr>
          <w:rFonts w:hint="eastAsia"/>
          <w:sz w:val="24"/>
        </w:rPr>
        <w:t>2</w:t>
      </w:r>
      <w:r>
        <w:rPr>
          <w:sz w:val="24"/>
        </w:rPr>
        <w:t>）检</w:t>
      </w:r>
      <w:r>
        <w:rPr>
          <w:rFonts w:hint="eastAsia"/>
          <w:sz w:val="24"/>
        </w:rPr>
        <w:t>验</w:t>
      </w:r>
      <w:r>
        <w:rPr>
          <w:sz w:val="24"/>
        </w:rPr>
        <w:t>废物</w:t>
      </w:r>
    </w:p>
    <w:p w14:paraId="59D61B2B" w14:textId="77777777" w:rsidR="00B14D53" w:rsidRDefault="00000000">
      <w:pPr>
        <w:spacing w:line="360" w:lineRule="auto"/>
        <w:ind w:firstLineChars="200" w:firstLine="480"/>
        <w:rPr>
          <w:sz w:val="24"/>
        </w:rPr>
      </w:pPr>
      <w:r>
        <w:rPr>
          <w:sz w:val="24"/>
        </w:rPr>
        <w:t>根据《国家危险废物名录》（</w:t>
      </w:r>
      <w:r>
        <w:rPr>
          <w:sz w:val="24"/>
        </w:rPr>
        <w:t>202</w:t>
      </w:r>
      <w:r>
        <w:rPr>
          <w:rFonts w:hint="eastAsia"/>
          <w:sz w:val="24"/>
        </w:rPr>
        <w:t>5</w:t>
      </w:r>
      <w:r>
        <w:rPr>
          <w:sz w:val="24"/>
        </w:rPr>
        <w:t>年），本项目检疫过程中产生的检疫废物属于危险废物，类别为</w:t>
      </w:r>
      <w:r>
        <w:rPr>
          <w:sz w:val="24"/>
        </w:rPr>
        <w:t>HW01</w:t>
      </w:r>
      <w:r>
        <w:rPr>
          <w:sz w:val="24"/>
        </w:rPr>
        <w:t>医疗废物，代码为</w:t>
      </w:r>
      <w:r>
        <w:rPr>
          <w:sz w:val="24"/>
        </w:rPr>
        <w:t>841-00</w:t>
      </w:r>
      <w:r>
        <w:rPr>
          <w:rFonts w:hint="eastAsia"/>
          <w:sz w:val="24"/>
        </w:rPr>
        <w:t>1</w:t>
      </w:r>
      <w:r>
        <w:rPr>
          <w:sz w:val="24"/>
        </w:rPr>
        <w:t>-01</w:t>
      </w:r>
      <w:r>
        <w:rPr>
          <w:sz w:val="24"/>
        </w:rPr>
        <w:t>，</w:t>
      </w:r>
      <w:r>
        <w:rPr>
          <w:rFonts w:hint="eastAsia"/>
          <w:sz w:val="24"/>
        </w:rPr>
        <w:t>产生量约为</w:t>
      </w:r>
      <w:r>
        <w:rPr>
          <w:rFonts w:hint="eastAsia"/>
          <w:sz w:val="24"/>
        </w:rPr>
        <w:t>0.5</w:t>
      </w:r>
      <w:r>
        <w:rPr>
          <w:sz w:val="24"/>
        </w:rPr>
        <w:t>t/a</w:t>
      </w:r>
      <w:r>
        <w:rPr>
          <w:rFonts w:hint="eastAsia"/>
          <w:sz w:val="24"/>
        </w:rPr>
        <w:t>，单独收集，用有明显标识的塑料袋盛装，暂存于危险废物贮存点，交由有资质单位处置</w:t>
      </w:r>
      <w:r>
        <w:rPr>
          <w:sz w:val="24"/>
        </w:rPr>
        <w:t>。</w:t>
      </w:r>
    </w:p>
    <w:p w14:paraId="05DD287A" w14:textId="77777777" w:rsidR="00B14D53" w:rsidRDefault="00000000">
      <w:pPr>
        <w:spacing w:line="360" w:lineRule="auto"/>
        <w:ind w:firstLineChars="200" w:firstLine="480"/>
        <w:rPr>
          <w:sz w:val="24"/>
        </w:rPr>
      </w:pPr>
      <w:r>
        <w:rPr>
          <w:rFonts w:hint="eastAsia"/>
          <w:sz w:val="24"/>
        </w:rPr>
        <w:t>3</w:t>
      </w:r>
      <w:r>
        <w:rPr>
          <w:sz w:val="24"/>
        </w:rPr>
        <w:t>）肠胃内容物</w:t>
      </w:r>
    </w:p>
    <w:p w14:paraId="10667A5C" w14:textId="77777777" w:rsidR="00B14D53" w:rsidRDefault="00000000">
      <w:pPr>
        <w:pStyle w:val="affffffffff3"/>
        <w:ind w:firstLine="480"/>
      </w:pPr>
      <w:r>
        <w:rPr>
          <w:rFonts w:hint="eastAsia"/>
        </w:rPr>
        <w:t>本</w:t>
      </w:r>
      <w:r>
        <w:t>项目肠胃内容物（代码：</w:t>
      </w:r>
      <w:r>
        <w:rPr>
          <w:rFonts w:hint="eastAsia"/>
        </w:rPr>
        <w:t>135-001-S13</w:t>
      </w:r>
      <w:r>
        <w:t>）产生量</w:t>
      </w:r>
      <w:r>
        <w:rPr>
          <w:rFonts w:hint="eastAsia"/>
        </w:rPr>
        <w:t>880</w:t>
      </w:r>
      <w:r>
        <w:t>t/a</w:t>
      </w:r>
      <w:r>
        <w:t>。</w:t>
      </w:r>
      <w:r>
        <w:rPr>
          <w:rFonts w:eastAsiaTheme="minorEastAsia" w:hint="eastAsia"/>
        </w:rPr>
        <w:t>清理至包装桶内，暂存于待宰圈内</w:t>
      </w:r>
      <w:r>
        <w:rPr>
          <w:rFonts w:eastAsiaTheme="minorEastAsia"/>
        </w:rPr>
        <w:t>，</w:t>
      </w:r>
      <w:r>
        <w:rPr>
          <w:rFonts w:eastAsiaTheme="minorEastAsia" w:hint="eastAsia"/>
        </w:rPr>
        <w:t>每日生产结束后</w:t>
      </w:r>
      <w:r>
        <w:rPr>
          <w:rFonts w:eastAsiaTheme="minorEastAsia"/>
        </w:rPr>
        <w:t>清运一次，外售有机肥厂进行堆肥处理</w:t>
      </w:r>
      <w:r>
        <w:t>。</w:t>
      </w:r>
    </w:p>
    <w:p w14:paraId="4670CB14" w14:textId="77777777" w:rsidR="00B14D53" w:rsidRDefault="00000000">
      <w:pPr>
        <w:spacing w:line="360" w:lineRule="auto"/>
        <w:ind w:firstLineChars="200" w:firstLine="480"/>
        <w:rPr>
          <w:sz w:val="24"/>
        </w:rPr>
      </w:pPr>
      <w:r>
        <w:rPr>
          <w:rFonts w:hint="eastAsia"/>
          <w:sz w:val="24"/>
        </w:rPr>
        <w:t>4</w:t>
      </w:r>
      <w:r>
        <w:rPr>
          <w:sz w:val="24"/>
        </w:rPr>
        <w:t>）病变腺体、内脏</w:t>
      </w:r>
      <w:r>
        <w:rPr>
          <w:rFonts w:hint="eastAsia"/>
          <w:sz w:val="24"/>
        </w:rPr>
        <w:t>及残留脂肪</w:t>
      </w:r>
    </w:p>
    <w:p w14:paraId="702B85D2" w14:textId="77777777" w:rsidR="00B14D53" w:rsidRDefault="00000000">
      <w:pPr>
        <w:pStyle w:val="affffffffff3"/>
        <w:ind w:firstLine="480"/>
      </w:pPr>
      <w:r>
        <w:rPr>
          <w:rFonts w:hint="eastAsia"/>
        </w:rPr>
        <w:t>本项目</w:t>
      </w:r>
      <w:r>
        <w:t>病变腺体、内脏</w:t>
      </w:r>
      <w:r>
        <w:rPr>
          <w:rFonts w:hint="eastAsia"/>
        </w:rPr>
        <w:t>及残留脂肪</w:t>
      </w:r>
      <w:r>
        <w:t>（代码：</w:t>
      </w:r>
      <w:r>
        <w:rPr>
          <w:rFonts w:hint="eastAsia"/>
        </w:rPr>
        <w:t>135-001-S13</w:t>
      </w:r>
      <w:r>
        <w:t>）产生量为</w:t>
      </w:r>
      <w:r>
        <w:rPr>
          <w:rFonts w:hint="eastAsia"/>
        </w:rPr>
        <w:t>140.8</w:t>
      </w:r>
      <w:r>
        <w:t>t/a</w:t>
      </w:r>
      <w:r>
        <w:rPr>
          <w:rFonts w:hint="eastAsia"/>
        </w:rPr>
        <w:t>，暂存至固废暂存间内的冷藏柜中，</w:t>
      </w:r>
      <w:r>
        <w:t>送至</w:t>
      </w:r>
      <w:r>
        <w:rPr>
          <w:rFonts w:hint="eastAsia"/>
        </w:rPr>
        <w:t>哈尔滨银山无害化处理有限公司</w:t>
      </w:r>
      <w:r>
        <w:t>。</w:t>
      </w:r>
    </w:p>
    <w:p w14:paraId="50B9B509" w14:textId="77777777" w:rsidR="00B14D53" w:rsidRDefault="00000000">
      <w:pPr>
        <w:spacing w:line="360" w:lineRule="auto"/>
        <w:ind w:firstLineChars="200" w:firstLine="480"/>
        <w:rPr>
          <w:sz w:val="24"/>
        </w:rPr>
      </w:pPr>
      <w:r>
        <w:rPr>
          <w:rFonts w:hint="eastAsia"/>
          <w:sz w:val="24"/>
        </w:rPr>
        <w:t>5</w:t>
      </w:r>
      <w:r>
        <w:rPr>
          <w:sz w:val="24"/>
        </w:rPr>
        <w:t>）污水处理站污泥、栅渣</w:t>
      </w:r>
    </w:p>
    <w:p w14:paraId="7F62FBE6" w14:textId="77777777" w:rsidR="00B14D53" w:rsidRDefault="00000000">
      <w:pPr>
        <w:pStyle w:val="affffffffff3"/>
        <w:ind w:firstLine="480"/>
      </w:pPr>
      <w:r>
        <w:t>本项目栅渣产生量参照《污水处理厂工艺设计手册》，栅渣产生系数为</w:t>
      </w:r>
      <w:r>
        <w:t>0.05m</w:t>
      </w:r>
      <w:r>
        <w:rPr>
          <w:vertAlign w:val="superscript"/>
        </w:rPr>
        <w:t>3</w:t>
      </w:r>
      <w:r>
        <w:t>/1000m</w:t>
      </w:r>
      <w:r>
        <w:rPr>
          <w:vertAlign w:val="superscript"/>
        </w:rPr>
        <w:t>3</w:t>
      </w:r>
      <w:r>
        <w:t>～</w:t>
      </w:r>
      <w:r>
        <w:t>0.10m</w:t>
      </w:r>
      <w:r>
        <w:rPr>
          <w:vertAlign w:val="superscript"/>
        </w:rPr>
        <w:t>3</w:t>
      </w:r>
      <w:r>
        <w:t>/1000m</w:t>
      </w:r>
      <w:r>
        <w:rPr>
          <w:vertAlign w:val="superscript"/>
        </w:rPr>
        <w:t>3</w:t>
      </w:r>
      <w:r>
        <w:t>污水，本项目取最大值</w:t>
      </w:r>
      <w:r>
        <w:t>0.10m</w:t>
      </w:r>
      <w:r>
        <w:rPr>
          <w:vertAlign w:val="superscript"/>
        </w:rPr>
        <w:t>3</w:t>
      </w:r>
      <w:r>
        <w:t>/1000m</w:t>
      </w:r>
      <w:r>
        <w:rPr>
          <w:vertAlign w:val="superscript"/>
        </w:rPr>
        <w:t>3</w:t>
      </w:r>
      <w:r>
        <w:t>，即每处理</w:t>
      </w:r>
      <w:r>
        <w:t>10000m</w:t>
      </w:r>
      <w:r>
        <w:rPr>
          <w:vertAlign w:val="superscript"/>
        </w:rPr>
        <w:t>3</w:t>
      </w:r>
      <w:r>
        <w:t>污水产生栅渣</w:t>
      </w:r>
      <w:r>
        <w:t>1m</w:t>
      </w:r>
      <w:r>
        <w:rPr>
          <w:vertAlign w:val="superscript"/>
        </w:rPr>
        <w:t>3</w:t>
      </w:r>
      <w:r>
        <w:t>，栅渣密度取</w:t>
      </w:r>
      <w:r>
        <w:t>800kg/m</w:t>
      </w:r>
      <w:r>
        <w:rPr>
          <w:vertAlign w:val="superscript"/>
        </w:rPr>
        <w:t>3</w:t>
      </w:r>
      <w:r>
        <w:t>。本项目污水处理量为</w:t>
      </w:r>
      <w:r>
        <w:rPr>
          <w:rFonts w:hAnsiTheme="minorEastAsia" w:hint="eastAsia"/>
        </w:rPr>
        <w:t>78975.24</w:t>
      </w:r>
      <w:r>
        <w:t>m</w:t>
      </w:r>
      <w:r>
        <w:rPr>
          <w:vertAlign w:val="superscript"/>
        </w:rPr>
        <w:t>3</w:t>
      </w:r>
      <w:r>
        <w:t>，则栅渣产生量约为</w:t>
      </w:r>
      <w:r>
        <w:rPr>
          <w:rFonts w:hint="eastAsia"/>
        </w:rPr>
        <w:t>6.32</w:t>
      </w:r>
      <w:r>
        <w:t>t/a</w:t>
      </w:r>
      <w:r>
        <w:t>。</w:t>
      </w:r>
    </w:p>
    <w:p w14:paraId="13669A66" w14:textId="77777777" w:rsidR="00B14D53" w:rsidRDefault="00000000">
      <w:pPr>
        <w:pStyle w:val="affffffffff3"/>
        <w:ind w:firstLine="480"/>
      </w:pPr>
      <w:r>
        <w:t>根据《屠宰与肉类加工废水治理工程技术规范》（</w:t>
      </w:r>
      <w:r>
        <w:t>HJ2004-2010</w:t>
      </w:r>
      <w:r>
        <w:t>），污泥产生量一般按</w:t>
      </w:r>
      <w:r>
        <w:t>0.3-0.5kg/DS/kgBOD</w:t>
      </w:r>
      <w:r>
        <w:rPr>
          <w:vertAlign w:val="subscript"/>
        </w:rPr>
        <w:t>5</w:t>
      </w:r>
      <w:r>
        <w:t>计，污泥含水率为</w:t>
      </w:r>
      <w:r>
        <w:t>99.3%</w:t>
      </w:r>
      <w:r>
        <w:t>，本项目取</w:t>
      </w:r>
      <w:r>
        <w:t>0.4kg/DS/kgBOD</w:t>
      </w:r>
      <w:r>
        <w:rPr>
          <w:vertAlign w:val="subscript"/>
        </w:rPr>
        <w:t>5</w:t>
      </w:r>
      <w:r>
        <w:t>，则</w:t>
      </w:r>
      <w:r>
        <w:rPr>
          <w:rFonts w:hint="eastAsia"/>
        </w:rPr>
        <w:t>本项目</w:t>
      </w:r>
      <w:r>
        <w:t>污泥产生量为</w:t>
      </w:r>
      <w:r>
        <w:rPr>
          <w:rFonts w:hint="eastAsia"/>
        </w:rPr>
        <w:t>6.3t</w:t>
      </w:r>
      <w:r>
        <w:t>/a</w:t>
      </w:r>
      <w:r>
        <w:t>，暂存污泥</w:t>
      </w:r>
      <w:r>
        <w:rPr>
          <w:rFonts w:hint="eastAsia"/>
        </w:rPr>
        <w:t>浓缩</w:t>
      </w:r>
      <w:r>
        <w:t>池，采用压滤机脱水后污泥含水率约为</w:t>
      </w:r>
      <w:r>
        <w:t>60%</w:t>
      </w:r>
      <w:r>
        <w:t>，压滤废水返回污水处理工艺，则污泥</w:t>
      </w:r>
      <w:r>
        <w:rPr>
          <w:rFonts w:hint="eastAsia"/>
        </w:rPr>
        <w:t>排放量为</w:t>
      </w:r>
      <w:r>
        <w:rPr>
          <w:rFonts w:hint="eastAsia"/>
        </w:rPr>
        <w:t>5.06</w:t>
      </w:r>
      <w:r>
        <w:t>t/a</w:t>
      </w:r>
      <w:r>
        <w:t>。污水处理站栅渣及污泥</w:t>
      </w:r>
      <w:r>
        <w:rPr>
          <w:rFonts w:hint="eastAsia"/>
          <w:snapToGrid w:val="0"/>
          <w:kern w:val="0"/>
        </w:rPr>
        <w:t>（代码：</w:t>
      </w:r>
      <w:r>
        <w:rPr>
          <w:rFonts w:hint="eastAsia"/>
          <w:snapToGrid w:val="0"/>
          <w:kern w:val="0"/>
        </w:rPr>
        <w:t>135-001-S07</w:t>
      </w:r>
      <w:r>
        <w:rPr>
          <w:rFonts w:hint="eastAsia"/>
          <w:snapToGrid w:val="0"/>
          <w:kern w:val="0"/>
        </w:rPr>
        <w:t>）</w:t>
      </w:r>
      <w:r>
        <w:t>送生活垃圾填埋场处理。</w:t>
      </w:r>
    </w:p>
    <w:p w14:paraId="623DE7A3" w14:textId="77777777" w:rsidR="00B14D53" w:rsidRDefault="00000000">
      <w:pPr>
        <w:spacing w:line="360" w:lineRule="auto"/>
        <w:ind w:leftChars="200" w:left="420"/>
        <w:rPr>
          <w:sz w:val="24"/>
        </w:rPr>
      </w:pPr>
      <w:r>
        <w:rPr>
          <w:rFonts w:hint="eastAsia"/>
          <w:sz w:val="24"/>
        </w:rPr>
        <w:t>6</w:t>
      </w:r>
      <w:r>
        <w:rPr>
          <w:rFonts w:hint="eastAsia"/>
          <w:sz w:val="24"/>
        </w:rPr>
        <w:t>）</w:t>
      </w:r>
      <w:r>
        <w:rPr>
          <w:sz w:val="24"/>
        </w:rPr>
        <w:t>废外包装</w:t>
      </w:r>
    </w:p>
    <w:p w14:paraId="7BEC34F9" w14:textId="77777777" w:rsidR="00B14D53" w:rsidRDefault="00000000">
      <w:pPr>
        <w:spacing w:line="360" w:lineRule="auto"/>
        <w:ind w:firstLineChars="200" w:firstLine="480"/>
        <w:rPr>
          <w:sz w:val="24"/>
        </w:rPr>
      </w:pPr>
      <w:r>
        <w:rPr>
          <w:sz w:val="24"/>
        </w:rPr>
        <w:t>废外包装（代码：</w:t>
      </w:r>
      <w:r>
        <w:rPr>
          <w:rFonts w:hint="eastAsia"/>
          <w:sz w:val="24"/>
        </w:rPr>
        <w:t>900-005-S17</w:t>
      </w:r>
      <w:r>
        <w:rPr>
          <w:sz w:val="24"/>
        </w:rPr>
        <w:t>）产生量为</w:t>
      </w:r>
      <w:r>
        <w:rPr>
          <w:rFonts w:hint="eastAsia"/>
          <w:sz w:val="24"/>
        </w:rPr>
        <w:t>0.6</w:t>
      </w:r>
      <w:r>
        <w:rPr>
          <w:sz w:val="24"/>
        </w:rPr>
        <w:t>t/a</w:t>
      </w:r>
      <w:r>
        <w:rPr>
          <w:sz w:val="24"/>
        </w:rPr>
        <w:t>，收集后外售</w:t>
      </w:r>
      <w:r>
        <w:rPr>
          <w:rFonts w:hint="eastAsia"/>
          <w:sz w:val="24"/>
        </w:rPr>
        <w:t>物资回收单位综合利用</w:t>
      </w:r>
      <w:r>
        <w:rPr>
          <w:sz w:val="24"/>
        </w:rPr>
        <w:t>。</w:t>
      </w:r>
    </w:p>
    <w:p w14:paraId="2FB92FB7" w14:textId="77777777" w:rsidR="00B14D53" w:rsidRDefault="00000000">
      <w:pPr>
        <w:spacing w:line="360" w:lineRule="auto"/>
        <w:ind w:firstLineChars="200" w:firstLine="480"/>
        <w:rPr>
          <w:sz w:val="24"/>
        </w:rPr>
      </w:pPr>
      <w:r>
        <w:rPr>
          <w:rFonts w:hint="eastAsia"/>
          <w:sz w:val="24"/>
        </w:rPr>
        <w:t>7</w:t>
      </w:r>
      <w:r>
        <w:rPr>
          <w:sz w:val="24"/>
        </w:rPr>
        <w:t>）废活性炭</w:t>
      </w:r>
    </w:p>
    <w:p w14:paraId="6E6851AD" w14:textId="77777777" w:rsidR="00B14D53" w:rsidRDefault="00000000">
      <w:pPr>
        <w:spacing w:line="360" w:lineRule="auto"/>
        <w:ind w:firstLineChars="200" w:firstLine="480"/>
        <w:rPr>
          <w:sz w:val="24"/>
        </w:rPr>
      </w:pPr>
      <w:r>
        <w:rPr>
          <w:rFonts w:hint="eastAsia"/>
          <w:sz w:val="24"/>
        </w:rPr>
        <w:t>废活性炭来自待宰圈、屠宰车间及污水处理站活性炭吸附处理装置，每季度更换一次，根据本项目处理规模并采用经验数据（《简明通风设计手册》活性炭有效吸附量</w:t>
      </w:r>
      <w:r>
        <w:rPr>
          <w:rFonts w:hint="eastAsia"/>
          <w:sz w:val="24"/>
        </w:rPr>
        <w:t>qe=0.24kg/kg</w:t>
      </w:r>
      <w:r>
        <w:rPr>
          <w:rFonts w:hint="eastAsia"/>
          <w:sz w:val="24"/>
        </w:rPr>
        <w:t>活性炭）估算，吸附量约为</w:t>
      </w:r>
      <w:r>
        <w:rPr>
          <w:rFonts w:hint="eastAsia"/>
          <w:sz w:val="24"/>
        </w:rPr>
        <w:t>0.39t/a</w:t>
      </w:r>
      <w:r>
        <w:rPr>
          <w:rFonts w:hint="eastAsia"/>
          <w:sz w:val="24"/>
        </w:rPr>
        <w:t>，经计算废活性炭（代码：</w:t>
      </w:r>
      <w:r>
        <w:rPr>
          <w:rFonts w:hint="eastAsia"/>
          <w:sz w:val="24"/>
        </w:rPr>
        <w:t>900-008-S59</w:t>
      </w:r>
      <w:r>
        <w:rPr>
          <w:rFonts w:hint="eastAsia"/>
          <w:sz w:val="24"/>
        </w:rPr>
        <w:t>）量约为</w:t>
      </w:r>
      <w:r>
        <w:rPr>
          <w:rFonts w:hint="eastAsia"/>
          <w:sz w:val="24"/>
        </w:rPr>
        <w:t>2.02t/a</w:t>
      </w:r>
      <w:r>
        <w:rPr>
          <w:rFonts w:hint="eastAsia"/>
          <w:sz w:val="24"/>
        </w:rPr>
        <w:t>，活性炭半年更换一次，废活性炭交由厂家再生利用。</w:t>
      </w:r>
    </w:p>
    <w:p w14:paraId="33123DA7" w14:textId="77777777" w:rsidR="00B14D53" w:rsidRDefault="00000000">
      <w:pPr>
        <w:spacing w:line="360" w:lineRule="auto"/>
        <w:ind w:firstLineChars="200" w:firstLine="480"/>
        <w:rPr>
          <w:sz w:val="24"/>
        </w:rPr>
      </w:pPr>
      <w:r>
        <w:rPr>
          <w:rFonts w:hint="eastAsia"/>
          <w:sz w:val="24"/>
        </w:rPr>
        <w:t>8</w:t>
      </w:r>
      <w:r>
        <w:rPr>
          <w:sz w:val="24"/>
        </w:rPr>
        <w:t>）</w:t>
      </w:r>
      <w:r>
        <w:rPr>
          <w:rFonts w:hint="eastAsia"/>
          <w:sz w:val="24"/>
        </w:rPr>
        <w:t>废离子交换树脂</w:t>
      </w:r>
    </w:p>
    <w:p w14:paraId="5DD40768" w14:textId="77777777" w:rsidR="00B14D53" w:rsidRDefault="00000000">
      <w:pPr>
        <w:spacing w:line="360" w:lineRule="auto"/>
        <w:ind w:firstLineChars="200" w:firstLine="480"/>
        <w:rPr>
          <w:sz w:val="24"/>
        </w:rPr>
      </w:pPr>
      <w:r>
        <w:rPr>
          <w:rFonts w:hint="eastAsia"/>
          <w:sz w:val="24"/>
        </w:rPr>
        <w:t>软化水装置</w:t>
      </w:r>
      <w:r>
        <w:rPr>
          <w:sz w:val="24"/>
        </w:rPr>
        <w:t>需定期更换离子交换树脂（代码：</w:t>
      </w:r>
      <w:r>
        <w:rPr>
          <w:rFonts w:hint="eastAsia"/>
          <w:sz w:val="24"/>
        </w:rPr>
        <w:t>900-008-S59</w:t>
      </w:r>
      <w:r>
        <w:rPr>
          <w:sz w:val="24"/>
        </w:rPr>
        <w:t>），每</w:t>
      </w:r>
      <w:r>
        <w:rPr>
          <w:rFonts w:hint="eastAsia"/>
          <w:sz w:val="24"/>
        </w:rPr>
        <w:t>3</w:t>
      </w:r>
      <w:r>
        <w:rPr>
          <w:sz w:val="24"/>
        </w:rPr>
        <w:t>年更换一次，更换量为</w:t>
      </w:r>
      <w:r>
        <w:rPr>
          <w:sz w:val="24"/>
        </w:rPr>
        <w:t>0.3t/</w:t>
      </w:r>
      <w:r>
        <w:rPr>
          <w:rFonts w:hint="eastAsia"/>
          <w:sz w:val="24"/>
        </w:rPr>
        <w:t>3</w:t>
      </w:r>
      <w:r>
        <w:rPr>
          <w:sz w:val="24"/>
        </w:rPr>
        <w:t>a</w:t>
      </w:r>
      <w:r>
        <w:rPr>
          <w:sz w:val="24"/>
        </w:rPr>
        <w:t>，属于一般工业固废，由厂家回收。</w:t>
      </w:r>
    </w:p>
    <w:p w14:paraId="2A2D1585" w14:textId="77777777" w:rsidR="00B14D53" w:rsidRDefault="00000000">
      <w:pPr>
        <w:spacing w:line="360" w:lineRule="auto"/>
        <w:ind w:firstLineChars="200" w:firstLine="480"/>
      </w:pPr>
      <w:r>
        <w:rPr>
          <w:rFonts w:hint="eastAsia"/>
          <w:sz w:val="24"/>
        </w:rPr>
        <w:t>9</w:t>
      </w:r>
      <w:r>
        <w:rPr>
          <w:rFonts w:hint="eastAsia"/>
          <w:sz w:val="24"/>
        </w:rPr>
        <w:t>）生活垃圾</w:t>
      </w:r>
    </w:p>
    <w:p w14:paraId="1E9F6902" w14:textId="77777777" w:rsidR="00B14D53" w:rsidRDefault="00000000">
      <w:pPr>
        <w:spacing w:line="360" w:lineRule="auto"/>
        <w:ind w:firstLineChars="200" w:firstLine="480"/>
      </w:pPr>
      <w:r>
        <w:rPr>
          <w:rFonts w:hint="eastAsia"/>
          <w:sz w:val="24"/>
        </w:rPr>
        <w:t>本项目工作人员</w:t>
      </w:r>
      <w:r>
        <w:rPr>
          <w:rFonts w:hint="eastAsia"/>
          <w:sz w:val="24"/>
        </w:rPr>
        <w:t>30</w:t>
      </w:r>
      <w:r>
        <w:rPr>
          <w:rFonts w:hint="eastAsia"/>
          <w:sz w:val="24"/>
        </w:rPr>
        <w:t>人，员工生活垃圾产生量为</w:t>
      </w:r>
      <w:r>
        <w:rPr>
          <w:rFonts w:hint="eastAsia"/>
          <w:sz w:val="24"/>
        </w:rPr>
        <w:t>0.4kg/</w:t>
      </w:r>
      <w:r>
        <w:rPr>
          <w:rFonts w:hint="eastAsia"/>
          <w:sz w:val="24"/>
        </w:rPr>
        <w:t>人·</w:t>
      </w:r>
      <w:r>
        <w:rPr>
          <w:rFonts w:hint="eastAsia"/>
          <w:sz w:val="24"/>
        </w:rPr>
        <w:t>d</w:t>
      </w:r>
      <w:r>
        <w:rPr>
          <w:rFonts w:hint="eastAsia"/>
          <w:sz w:val="24"/>
        </w:rPr>
        <w:t>，则项目运行期间生活垃圾产生量为</w:t>
      </w:r>
      <w:r>
        <w:rPr>
          <w:rFonts w:hint="eastAsia"/>
          <w:sz w:val="24"/>
        </w:rPr>
        <w:t>4.08t/a</w:t>
      </w:r>
      <w:r>
        <w:rPr>
          <w:rFonts w:hint="eastAsia"/>
          <w:sz w:val="24"/>
        </w:rPr>
        <w:t>，生活垃圾</w:t>
      </w:r>
      <w:r>
        <w:rPr>
          <w:rFonts w:hint="eastAsia"/>
          <w:sz w:val="24"/>
        </w:rPr>
        <w:t>(</w:t>
      </w:r>
      <w:r>
        <w:rPr>
          <w:rFonts w:hint="eastAsia"/>
          <w:sz w:val="24"/>
        </w:rPr>
        <w:t>代码：</w:t>
      </w:r>
      <w:r>
        <w:rPr>
          <w:rFonts w:hint="eastAsia"/>
          <w:sz w:val="24"/>
        </w:rPr>
        <w:t>900-099-S64)</w:t>
      </w:r>
      <w:r>
        <w:rPr>
          <w:rFonts w:hint="eastAsia"/>
          <w:sz w:val="24"/>
        </w:rPr>
        <w:t>由市政部门统一处理。</w:t>
      </w:r>
    </w:p>
    <w:p w14:paraId="648C3576" w14:textId="77777777" w:rsidR="00B14D53" w:rsidRDefault="00000000">
      <w:pPr>
        <w:spacing w:line="360" w:lineRule="auto"/>
        <w:ind w:firstLineChars="200" w:firstLine="480"/>
        <w:rPr>
          <w:sz w:val="24"/>
        </w:rPr>
      </w:pPr>
      <w:r>
        <w:rPr>
          <w:sz w:val="24"/>
        </w:rPr>
        <w:t>（</w:t>
      </w:r>
      <w:r>
        <w:rPr>
          <w:sz w:val="24"/>
        </w:rPr>
        <w:t>2</w:t>
      </w:r>
      <w:r>
        <w:rPr>
          <w:sz w:val="24"/>
        </w:rPr>
        <w:t>）非正常工况</w:t>
      </w:r>
    </w:p>
    <w:p w14:paraId="71EBD17F" w14:textId="77777777" w:rsidR="00B14D53" w:rsidRDefault="00000000">
      <w:pPr>
        <w:spacing w:line="360" w:lineRule="auto"/>
        <w:ind w:firstLineChars="200" w:firstLine="480"/>
        <w:rPr>
          <w:sz w:val="24"/>
        </w:rPr>
      </w:pPr>
      <w:r>
        <w:rPr>
          <w:sz w:val="24"/>
        </w:rPr>
        <w:t>非正常工况是指出现疫病的情况，毛猪在被送至屠宰厂前已经在养殖场及出场前进行过严格检疫，进厂后、进入待宰圈前不能通过感官检查的生猪也被退回，所以送至屠宰厂的猪一般不会有病猪。但为保险起见本项目在厂内设置急宰间，对发现的病猪进行急宰。急宰后送往</w:t>
      </w:r>
      <w:r>
        <w:rPr>
          <w:rFonts w:hint="eastAsia"/>
          <w:sz w:val="24"/>
        </w:rPr>
        <w:t>哈尔滨银山无害化处理有限公司</w:t>
      </w:r>
      <w:r>
        <w:rPr>
          <w:sz w:val="24"/>
        </w:rPr>
        <w:t>。</w:t>
      </w:r>
    </w:p>
    <w:p w14:paraId="7ED0E8F9" w14:textId="77777777" w:rsidR="00B14D53" w:rsidRDefault="00000000">
      <w:pPr>
        <w:spacing w:line="360" w:lineRule="auto"/>
        <w:ind w:firstLineChars="200" w:firstLine="480"/>
        <w:rPr>
          <w:sz w:val="24"/>
        </w:rPr>
        <w:sectPr w:rsidR="00B14D53">
          <w:pgSz w:w="11906" w:h="16838"/>
          <w:pgMar w:top="1440" w:right="1800" w:bottom="1440" w:left="1800" w:header="851" w:footer="992" w:gutter="0"/>
          <w:cols w:space="425"/>
          <w:docGrid w:type="lines" w:linePitch="312"/>
        </w:sectPr>
      </w:pPr>
      <w:r>
        <w:rPr>
          <w:sz w:val="24"/>
        </w:rPr>
        <w:t>所有固体废物均得到综合利用和妥善处置，不排入外环境。本项目固体废物产生情况及处理处置措施见</w:t>
      </w:r>
      <w:r>
        <w:rPr>
          <w:rFonts w:hint="eastAsia"/>
          <w:sz w:val="24"/>
        </w:rPr>
        <w:t>下</w:t>
      </w:r>
      <w:r>
        <w:rPr>
          <w:sz w:val="24"/>
        </w:rPr>
        <w:t>表。</w:t>
      </w:r>
    </w:p>
    <w:p w14:paraId="2F8691C4" w14:textId="77777777" w:rsidR="00B14D53" w:rsidRDefault="00000000">
      <w:pPr>
        <w:jc w:val="center"/>
        <w:rPr>
          <w:b/>
          <w:bCs/>
        </w:rPr>
      </w:pPr>
      <w:r>
        <w:rPr>
          <w:rFonts w:hint="eastAsia"/>
          <w:b/>
          <w:bCs/>
        </w:rPr>
        <w:t>表</w:t>
      </w:r>
      <w:r>
        <w:rPr>
          <w:rFonts w:hint="eastAsia"/>
          <w:b/>
          <w:bCs/>
        </w:rPr>
        <w:t xml:space="preserve">3-3-8 </w:t>
      </w:r>
      <w:r>
        <w:rPr>
          <w:rFonts w:hint="eastAsia"/>
          <w:b/>
          <w:bCs/>
        </w:rPr>
        <w:t>固废产生及处置情况一览表</w:t>
      </w:r>
    </w:p>
    <w:tbl>
      <w:tblPr>
        <w:tblpPr w:leftFromText="180" w:rightFromText="180" w:vertAnchor="text" w:tblpXSpec="center" w:tblpY="1"/>
        <w:tblOverlap w:val="never"/>
        <w:tblW w:w="4994" w:type="pct"/>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952"/>
        <w:gridCol w:w="1033"/>
        <w:gridCol w:w="2488"/>
        <w:gridCol w:w="996"/>
        <w:gridCol w:w="1069"/>
        <w:gridCol w:w="937"/>
        <w:gridCol w:w="4347"/>
        <w:gridCol w:w="962"/>
        <w:gridCol w:w="1157"/>
      </w:tblGrid>
      <w:tr w:rsidR="00B14D53" w14:paraId="3529F176" w14:textId="77777777">
        <w:trPr>
          <w:trHeight w:val="316"/>
        </w:trPr>
        <w:tc>
          <w:tcPr>
            <w:tcW w:w="341" w:type="pct"/>
            <w:vMerge w:val="restart"/>
            <w:tcBorders>
              <w:tl2br w:val="nil"/>
              <w:tr2bl w:val="nil"/>
            </w:tcBorders>
            <w:vAlign w:val="center"/>
          </w:tcPr>
          <w:p w14:paraId="5892E90A" w14:textId="77777777" w:rsidR="00B14D53" w:rsidRDefault="00000000">
            <w:pPr>
              <w:pStyle w:val="afff2"/>
              <w:spacing w:line="240" w:lineRule="auto"/>
              <w:rPr>
                <w:rFonts w:hAnsi="Times New Roman"/>
                <w:b/>
                <w:bCs/>
              </w:rPr>
            </w:pPr>
            <w:r>
              <w:rPr>
                <w:rFonts w:hAnsi="Times New Roman"/>
                <w:b/>
                <w:bCs/>
              </w:rPr>
              <w:t>工序</w:t>
            </w:r>
            <w:r>
              <w:rPr>
                <w:rFonts w:hAnsi="Times New Roman"/>
                <w:b/>
                <w:bCs/>
              </w:rPr>
              <w:t>/</w:t>
            </w:r>
            <w:r>
              <w:rPr>
                <w:rFonts w:hAnsi="Times New Roman"/>
                <w:b/>
                <w:bCs/>
              </w:rPr>
              <w:t>生产线</w:t>
            </w:r>
          </w:p>
        </w:tc>
        <w:tc>
          <w:tcPr>
            <w:tcW w:w="370" w:type="pct"/>
            <w:vMerge w:val="restart"/>
            <w:tcBorders>
              <w:tl2br w:val="nil"/>
              <w:tr2bl w:val="nil"/>
            </w:tcBorders>
            <w:vAlign w:val="center"/>
          </w:tcPr>
          <w:p w14:paraId="1703007F" w14:textId="77777777" w:rsidR="00B14D53" w:rsidRDefault="00000000">
            <w:pPr>
              <w:pStyle w:val="afff2"/>
              <w:spacing w:line="240" w:lineRule="auto"/>
              <w:rPr>
                <w:rFonts w:hAnsi="Times New Roman"/>
                <w:b/>
                <w:bCs/>
              </w:rPr>
            </w:pPr>
            <w:r>
              <w:rPr>
                <w:rFonts w:hAnsi="Times New Roman"/>
                <w:b/>
                <w:bCs/>
              </w:rPr>
              <w:t>装置</w:t>
            </w:r>
          </w:p>
        </w:tc>
        <w:tc>
          <w:tcPr>
            <w:tcW w:w="891" w:type="pct"/>
            <w:vMerge w:val="restart"/>
            <w:tcBorders>
              <w:tl2br w:val="nil"/>
              <w:tr2bl w:val="nil"/>
            </w:tcBorders>
            <w:vAlign w:val="center"/>
          </w:tcPr>
          <w:p w14:paraId="6936D623" w14:textId="77777777" w:rsidR="00B14D53" w:rsidRDefault="00000000">
            <w:pPr>
              <w:pStyle w:val="afff2"/>
              <w:spacing w:line="240" w:lineRule="auto"/>
              <w:rPr>
                <w:rFonts w:hAnsi="Times New Roman"/>
                <w:b/>
                <w:bCs/>
              </w:rPr>
            </w:pPr>
            <w:r>
              <w:rPr>
                <w:rFonts w:hAnsi="Times New Roman"/>
                <w:b/>
                <w:bCs/>
              </w:rPr>
              <w:t>固体废物名称</w:t>
            </w:r>
          </w:p>
        </w:tc>
        <w:tc>
          <w:tcPr>
            <w:tcW w:w="357" w:type="pct"/>
            <w:vMerge w:val="restart"/>
            <w:tcBorders>
              <w:tl2br w:val="nil"/>
              <w:tr2bl w:val="nil"/>
            </w:tcBorders>
            <w:vAlign w:val="center"/>
          </w:tcPr>
          <w:p w14:paraId="77C1D9EC" w14:textId="77777777" w:rsidR="00B14D53" w:rsidRDefault="00000000">
            <w:pPr>
              <w:pStyle w:val="afff2"/>
              <w:spacing w:line="240" w:lineRule="auto"/>
              <w:rPr>
                <w:rFonts w:hAnsi="Times New Roman"/>
                <w:b/>
                <w:bCs/>
              </w:rPr>
            </w:pPr>
            <w:r>
              <w:rPr>
                <w:rFonts w:hAnsi="Times New Roman"/>
                <w:b/>
                <w:bCs/>
              </w:rPr>
              <w:t>固废属性</w:t>
            </w:r>
          </w:p>
        </w:tc>
        <w:tc>
          <w:tcPr>
            <w:tcW w:w="719" w:type="pct"/>
            <w:gridSpan w:val="2"/>
            <w:tcBorders>
              <w:tl2br w:val="nil"/>
              <w:tr2bl w:val="nil"/>
            </w:tcBorders>
            <w:vAlign w:val="center"/>
          </w:tcPr>
          <w:p w14:paraId="62D23170" w14:textId="77777777" w:rsidR="00B14D53" w:rsidRDefault="00000000">
            <w:pPr>
              <w:pStyle w:val="afff2"/>
              <w:spacing w:line="240" w:lineRule="auto"/>
              <w:rPr>
                <w:rFonts w:hAnsi="Times New Roman"/>
                <w:b/>
                <w:bCs/>
              </w:rPr>
            </w:pPr>
            <w:r>
              <w:rPr>
                <w:rFonts w:hAnsi="Times New Roman"/>
                <w:b/>
                <w:bCs/>
              </w:rPr>
              <w:t>产生量</w:t>
            </w:r>
          </w:p>
        </w:tc>
        <w:tc>
          <w:tcPr>
            <w:tcW w:w="1903" w:type="pct"/>
            <w:gridSpan w:val="2"/>
            <w:tcBorders>
              <w:tl2br w:val="nil"/>
              <w:tr2bl w:val="nil"/>
            </w:tcBorders>
            <w:vAlign w:val="center"/>
          </w:tcPr>
          <w:p w14:paraId="34BF7586" w14:textId="77777777" w:rsidR="00B14D53" w:rsidRDefault="00000000">
            <w:pPr>
              <w:pStyle w:val="afff2"/>
              <w:spacing w:line="240" w:lineRule="auto"/>
              <w:rPr>
                <w:rFonts w:hAnsi="Times New Roman"/>
                <w:b/>
                <w:bCs/>
              </w:rPr>
            </w:pPr>
            <w:r>
              <w:rPr>
                <w:rFonts w:hAnsi="Times New Roman"/>
                <w:b/>
                <w:bCs/>
              </w:rPr>
              <w:t>处置措施</w:t>
            </w:r>
          </w:p>
        </w:tc>
        <w:tc>
          <w:tcPr>
            <w:tcW w:w="415" w:type="pct"/>
            <w:vMerge w:val="restart"/>
            <w:tcBorders>
              <w:tl2br w:val="nil"/>
              <w:tr2bl w:val="nil"/>
            </w:tcBorders>
            <w:vAlign w:val="center"/>
          </w:tcPr>
          <w:p w14:paraId="300C555F" w14:textId="77777777" w:rsidR="00B14D53" w:rsidRDefault="00000000">
            <w:pPr>
              <w:pStyle w:val="afff2"/>
              <w:spacing w:line="240" w:lineRule="auto"/>
              <w:rPr>
                <w:rFonts w:hAnsi="Times New Roman"/>
                <w:b/>
                <w:bCs/>
              </w:rPr>
            </w:pPr>
            <w:r>
              <w:rPr>
                <w:rFonts w:hAnsi="Times New Roman"/>
                <w:b/>
                <w:bCs/>
              </w:rPr>
              <w:t>最终</w:t>
            </w:r>
          </w:p>
          <w:p w14:paraId="6433E01F" w14:textId="77777777" w:rsidR="00B14D53" w:rsidRDefault="00000000">
            <w:pPr>
              <w:pStyle w:val="afff2"/>
              <w:spacing w:line="240" w:lineRule="auto"/>
              <w:rPr>
                <w:rFonts w:hAnsi="Times New Roman"/>
              </w:rPr>
            </w:pPr>
            <w:r>
              <w:rPr>
                <w:rFonts w:hAnsi="Times New Roman"/>
                <w:b/>
                <w:bCs/>
              </w:rPr>
              <w:t>去向</w:t>
            </w:r>
          </w:p>
        </w:tc>
      </w:tr>
      <w:tr w:rsidR="00B14D53" w14:paraId="763E6928" w14:textId="77777777">
        <w:trPr>
          <w:trHeight w:val="194"/>
        </w:trPr>
        <w:tc>
          <w:tcPr>
            <w:tcW w:w="341" w:type="pct"/>
            <w:vMerge/>
            <w:tcBorders>
              <w:tl2br w:val="nil"/>
              <w:tr2bl w:val="nil"/>
            </w:tcBorders>
            <w:vAlign w:val="center"/>
          </w:tcPr>
          <w:p w14:paraId="2520FA6F" w14:textId="77777777" w:rsidR="00B14D53" w:rsidRDefault="00B14D53">
            <w:pPr>
              <w:widowControl/>
              <w:jc w:val="center"/>
              <w:rPr>
                <w:b/>
                <w:bCs/>
                <w:szCs w:val="21"/>
              </w:rPr>
            </w:pPr>
          </w:p>
        </w:tc>
        <w:tc>
          <w:tcPr>
            <w:tcW w:w="370" w:type="pct"/>
            <w:vMerge/>
            <w:tcBorders>
              <w:tl2br w:val="nil"/>
              <w:tr2bl w:val="nil"/>
            </w:tcBorders>
            <w:vAlign w:val="center"/>
          </w:tcPr>
          <w:p w14:paraId="7D34417F" w14:textId="77777777" w:rsidR="00B14D53" w:rsidRDefault="00B14D53">
            <w:pPr>
              <w:widowControl/>
              <w:jc w:val="center"/>
              <w:rPr>
                <w:b/>
                <w:bCs/>
                <w:szCs w:val="21"/>
              </w:rPr>
            </w:pPr>
          </w:p>
        </w:tc>
        <w:tc>
          <w:tcPr>
            <w:tcW w:w="891" w:type="pct"/>
            <w:vMerge/>
            <w:tcBorders>
              <w:tl2br w:val="nil"/>
              <w:tr2bl w:val="nil"/>
            </w:tcBorders>
            <w:vAlign w:val="center"/>
          </w:tcPr>
          <w:p w14:paraId="58C1A8C9" w14:textId="77777777" w:rsidR="00B14D53" w:rsidRDefault="00B14D53">
            <w:pPr>
              <w:widowControl/>
              <w:jc w:val="center"/>
              <w:rPr>
                <w:b/>
                <w:bCs/>
                <w:szCs w:val="21"/>
              </w:rPr>
            </w:pPr>
          </w:p>
        </w:tc>
        <w:tc>
          <w:tcPr>
            <w:tcW w:w="357" w:type="pct"/>
            <w:vMerge/>
            <w:tcBorders>
              <w:tl2br w:val="nil"/>
              <w:tr2bl w:val="nil"/>
            </w:tcBorders>
            <w:vAlign w:val="center"/>
          </w:tcPr>
          <w:p w14:paraId="18750668" w14:textId="77777777" w:rsidR="00B14D53" w:rsidRDefault="00B14D53">
            <w:pPr>
              <w:widowControl/>
              <w:jc w:val="center"/>
              <w:rPr>
                <w:b/>
                <w:bCs/>
                <w:szCs w:val="21"/>
              </w:rPr>
            </w:pPr>
          </w:p>
        </w:tc>
        <w:tc>
          <w:tcPr>
            <w:tcW w:w="383" w:type="pct"/>
            <w:tcBorders>
              <w:tl2br w:val="nil"/>
              <w:tr2bl w:val="nil"/>
            </w:tcBorders>
            <w:vAlign w:val="center"/>
          </w:tcPr>
          <w:p w14:paraId="5C838006" w14:textId="77777777" w:rsidR="00B14D53" w:rsidRDefault="00000000">
            <w:pPr>
              <w:pStyle w:val="afff2"/>
              <w:spacing w:line="240" w:lineRule="auto"/>
              <w:rPr>
                <w:rFonts w:hAnsi="Times New Roman"/>
                <w:b/>
                <w:bCs/>
              </w:rPr>
            </w:pPr>
            <w:r>
              <w:rPr>
                <w:rFonts w:hAnsi="Times New Roman"/>
                <w:b/>
                <w:bCs/>
              </w:rPr>
              <w:t>核算方法</w:t>
            </w:r>
          </w:p>
        </w:tc>
        <w:tc>
          <w:tcPr>
            <w:tcW w:w="335" w:type="pct"/>
            <w:tcBorders>
              <w:tl2br w:val="nil"/>
              <w:tr2bl w:val="nil"/>
            </w:tcBorders>
            <w:vAlign w:val="center"/>
          </w:tcPr>
          <w:p w14:paraId="3BD34185" w14:textId="77777777" w:rsidR="00B14D53" w:rsidRDefault="00000000">
            <w:pPr>
              <w:pStyle w:val="afff2"/>
              <w:spacing w:line="240" w:lineRule="auto"/>
              <w:rPr>
                <w:rFonts w:hAnsi="Times New Roman"/>
                <w:b/>
                <w:bCs/>
              </w:rPr>
            </w:pPr>
            <w:r>
              <w:rPr>
                <w:rFonts w:hAnsi="Times New Roman"/>
                <w:b/>
                <w:bCs/>
              </w:rPr>
              <w:t>产生量</w:t>
            </w:r>
          </w:p>
        </w:tc>
        <w:tc>
          <w:tcPr>
            <w:tcW w:w="1558" w:type="pct"/>
            <w:tcBorders>
              <w:tl2br w:val="nil"/>
              <w:tr2bl w:val="nil"/>
            </w:tcBorders>
            <w:vAlign w:val="center"/>
          </w:tcPr>
          <w:p w14:paraId="32854EE7" w14:textId="77777777" w:rsidR="00B14D53" w:rsidRDefault="00000000">
            <w:pPr>
              <w:pStyle w:val="afff2"/>
              <w:spacing w:line="240" w:lineRule="auto"/>
              <w:rPr>
                <w:rFonts w:hAnsi="Times New Roman"/>
                <w:b/>
                <w:bCs/>
              </w:rPr>
            </w:pPr>
            <w:r>
              <w:rPr>
                <w:rFonts w:hAnsi="Times New Roman"/>
                <w:b/>
                <w:bCs/>
              </w:rPr>
              <w:t>工艺</w:t>
            </w:r>
          </w:p>
        </w:tc>
        <w:tc>
          <w:tcPr>
            <w:tcW w:w="345" w:type="pct"/>
            <w:tcBorders>
              <w:tl2br w:val="nil"/>
              <w:tr2bl w:val="nil"/>
            </w:tcBorders>
            <w:vAlign w:val="center"/>
          </w:tcPr>
          <w:p w14:paraId="3F30C79D" w14:textId="77777777" w:rsidR="00B14D53" w:rsidRDefault="00000000">
            <w:pPr>
              <w:pStyle w:val="afff2"/>
              <w:spacing w:line="240" w:lineRule="auto"/>
              <w:rPr>
                <w:rFonts w:hAnsi="Times New Roman"/>
                <w:b/>
                <w:bCs/>
              </w:rPr>
            </w:pPr>
            <w:r>
              <w:rPr>
                <w:rFonts w:hAnsi="Times New Roman"/>
                <w:b/>
                <w:bCs/>
              </w:rPr>
              <w:t>处置量</w:t>
            </w:r>
          </w:p>
        </w:tc>
        <w:tc>
          <w:tcPr>
            <w:tcW w:w="415" w:type="pct"/>
            <w:vMerge/>
            <w:tcBorders>
              <w:tl2br w:val="nil"/>
              <w:tr2bl w:val="nil"/>
            </w:tcBorders>
            <w:vAlign w:val="center"/>
          </w:tcPr>
          <w:p w14:paraId="4D66A7C1" w14:textId="77777777" w:rsidR="00B14D53" w:rsidRDefault="00B14D53">
            <w:pPr>
              <w:widowControl/>
              <w:jc w:val="center"/>
              <w:rPr>
                <w:szCs w:val="21"/>
              </w:rPr>
            </w:pPr>
          </w:p>
        </w:tc>
      </w:tr>
      <w:tr w:rsidR="00B14D53" w14:paraId="0F76FC77" w14:textId="77777777">
        <w:trPr>
          <w:trHeight w:val="510"/>
        </w:trPr>
        <w:tc>
          <w:tcPr>
            <w:tcW w:w="341" w:type="pct"/>
            <w:vMerge w:val="restart"/>
            <w:tcBorders>
              <w:tl2br w:val="nil"/>
              <w:tr2bl w:val="nil"/>
            </w:tcBorders>
            <w:vAlign w:val="center"/>
          </w:tcPr>
          <w:p w14:paraId="53551FC3" w14:textId="77777777" w:rsidR="00B14D53" w:rsidRDefault="00000000">
            <w:pPr>
              <w:pStyle w:val="afff2"/>
              <w:spacing w:line="240" w:lineRule="auto"/>
              <w:rPr>
                <w:rFonts w:hAnsi="Times New Roman"/>
              </w:rPr>
            </w:pPr>
            <w:r>
              <w:rPr>
                <w:rFonts w:hAnsi="Times New Roman"/>
              </w:rPr>
              <w:t>待宰</w:t>
            </w:r>
          </w:p>
        </w:tc>
        <w:tc>
          <w:tcPr>
            <w:tcW w:w="370" w:type="pct"/>
            <w:vMerge w:val="restart"/>
            <w:tcBorders>
              <w:tl2br w:val="nil"/>
              <w:tr2bl w:val="nil"/>
            </w:tcBorders>
            <w:vAlign w:val="center"/>
          </w:tcPr>
          <w:p w14:paraId="03B05BFA" w14:textId="77777777" w:rsidR="00B14D53" w:rsidRDefault="00000000">
            <w:pPr>
              <w:pStyle w:val="afff2"/>
              <w:spacing w:line="240" w:lineRule="auto"/>
              <w:rPr>
                <w:rFonts w:hAnsi="Times New Roman"/>
              </w:rPr>
            </w:pPr>
            <w:r>
              <w:rPr>
                <w:rFonts w:hAnsi="Times New Roman" w:hint="eastAsia"/>
              </w:rPr>
              <w:t>待宰圈</w:t>
            </w:r>
          </w:p>
        </w:tc>
        <w:tc>
          <w:tcPr>
            <w:tcW w:w="891" w:type="pct"/>
            <w:tcBorders>
              <w:tl2br w:val="nil"/>
              <w:tr2bl w:val="nil"/>
            </w:tcBorders>
            <w:vAlign w:val="center"/>
          </w:tcPr>
          <w:p w14:paraId="1FC53B06" w14:textId="77777777" w:rsidR="00B14D53" w:rsidRDefault="00000000">
            <w:pPr>
              <w:pStyle w:val="afff2"/>
              <w:spacing w:line="240" w:lineRule="auto"/>
              <w:rPr>
                <w:rFonts w:hAnsi="Times New Roman"/>
              </w:rPr>
            </w:pPr>
            <w:r>
              <w:rPr>
                <w:rFonts w:hAnsi="Times New Roman"/>
              </w:rPr>
              <w:t>猪粪（代码：</w:t>
            </w:r>
            <w:r>
              <w:rPr>
                <w:rFonts w:hAnsi="Times New Roman" w:hint="eastAsia"/>
              </w:rPr>
              <w:t>030-001-S82</w:t>
            </w:r>
            <w:r>
              <w:rPr>
                <w:rFonts w:hAnsi="Times New Roman"/>
              </w:rPr>
              <w:t>）</w:t>
            </w:r>
          </w:p>
        </w:tc>
        <w:tc>
          <w:tcPr>
            <w:tcW w:w="357" w:type="pct"/>
            <w:vMerge w:val="restart"/>
            <w:tcBorders>
              <w:tl2br w:val="nil"/>
              <w:tr2bl w:val="nil"/>
            </w:tcBorders>
            <w:vAlign w:val="center"/>
          </w:tcPr>
          <w:p w14:paraId="6C76074E" w14:textId="77777777" w:rsidR="00B14D53" w:rsidRDefault="00000000">
            <w:pPr>
              <w:pStyle w:val="afff2"/>
              <w:spacing w:line="240" w:lineRule="auto"/>
              <w:rPr>
                <w:rFonts w:hAnsi="Times New Roman"/>
              </w:rPr>
            </w:pPr>
            <w:r>
              <w:rPr>
                <w:rFonts w:hAnsi="Times New Roman"/>
              </w:rPr>
              <w:t>一般工业固体废物</w:t>
            </w:r>
          </w:p>
        </w:tc>
        <w:tc>
          <w:tcPr>
            <w:tcW w:w="383" w:type="pct"/>
            <w:tcBorders>
              <w:tl2br w:val="nil"/>
              <w:tr2bl w:val="nil"/>
            </w:tcBorders>
            <w:vAlign w:val="center"/>
          </w:tcPr>
          <w:p w14:paraId="07032909" w14:textId="77777777" w:rsidR="00B14D53" w:rsidRDefault="00000000">
            <w:pPr>
              <w:pStyle w:val="afff2"/>
              <w:spacing w:line="240" w:lineRule="auto"/>
              <w:rPr>
                <w:rFonts w:hAnsi="Times New Roman"/>
              </w:rPr>
            </w:pPr>
            <w:r>
              <w:rPr>
                <w:rFonts w:hAnsi="Times New Roman"/>
              </w:rPr>
              <w:t>系数法</w:t>
            </w:r>
          </w:p>
        </w:tc>
        <w:tc>
          <w:tcPr>
            <w:tcW w:w="335" w:type="pct"/>
            <w:tcBorders>
              <w:tl2br w:val="nil"/>
              <w:tr2bl w:val="nil"/>
            </w:tcBorders>
            <w:vAlign w:val="center"/>
          </w:tcPr>
          <w:p w14:paraId="1F49EEC0" w14:textId="77777777" w:rsidR="00B14D53" w:rsidRDefault="00000000">
            <w:pPr>
              <w:pStyle w:val="afff2"/>
              <w:spacing w:line="240" w:lineRule="auto"/>
              <w:rPr>
                <w:rFonts w:hAnsi="Times New Roman"/>
              </w:rPr>
            </w:pPr>
            <w:r>
              <w:rPr>
                <w:rFonts w:hAnsi="Times New Roman"/>
              </w:rPr>
              <w:t>80t/a</w:t>
            </w:r>
          </w:p>
        </w:tc>
        <w:tc>
          <w:tcPr>
            <w:tcW w:w="1558" w:type="pct"/>
            <w:tcBorders>
              <w:tl2br w:val="nil"/>
              <w:tr2bl w:val="nil"/>
            </w:tcBorders>
            <w:vAlign w:val="center"/>
          </w:tcPr>
          <w:p w14:paraId="7259033B" w14:textId="77777777" w:rsidR="00B14D53" w:rsidRDefault="00000000">
            <w:pPr>
              <w:pStyle w:val="afff2"/>
              <w:spacing w:line="240" w:lineRule="auto"/>
              <w:rPr>
                <w:rFonts w:hAnsi="Times New Roman"/>
              </w:rPr>
            </w:pPr>
            <w:r>
              <w:rPr>
                <w:rFonts w:hAnsi="Times New Roman"/>
              </w:rPr>
              <w:t>猪粪便清理至包装桶内，暂存于待宰圈内，每日生产结束后清运一次，外售有机肥厂进行堆肥处理</w:t>
            </w:r>
          </w:p>
        </w:tc>
        <w:tc>
          <w:tcPr>
            <w:tcW w:w="345" w:type="pct"/>
            <w:tcBorders>
              <w:tl2br w:val="nil"/>
              <w:tr2bl w:val="nil"/>
            </w:tcBorders>
            <w:vAlign w:val="center"/>
          </w:tcPr>
          <w:p w14:paraId="5BDDD336" w14:textId="77777777" w:rsidR="00B14D53" w:rsidRDefault="00000000">
            <w:pPr>
              <w:pStyle w:val="afff2"/>
              <w:spacing w:line="240" w:lineRule="auto"/>
              <w:rPr>
                <w:rFonts w:hAnsi="Times New Roman"/>
              </w:rPr>
            </w:pPr>
            <w:r>
              <w:rPr>
                <w:rFonts w:hAnsi="Times New Roman" w:hint="eastAsia"/>
              </w:rPr>
              <w:t>80</w:t>
            </w:r>
            <w:r>
              <w:rPr>
                <w:rFonts w:hAnsi="Times New Roman"/>
              </w:rPr>
              <w:t>t/a</w:t>
            </w:r>
          </w:p>
        </w:tc>
        <w:tc>
          <w:tcPr>
            <w:tcW w:w="415" w:type="pct"/>
            <w:tcBorders>
              <w:tl2br w:val="nil"/>
              <w:tr2bl w:val="nil"/>
            </w:tcBorders>
            <w:vAlign w:val="center"/>
          </w:tcPr>
          <w:p w14:paraId="67FCA44B" w14:textId="77777777" w:rsidR="00B14D53" w:rsidRDefault="00000000">
            <w:pPr>
              <w:pStyle w:val="afff2"/>
              <w:spacing w:line="240" w:lineRule="auto"/>
              <w:rPr>
                <w:rFonts w:hAnsi="Times New Roman"/>
              </w:rPr>
            </w:pPr>
            <w:r>
              <w:rPr>
                <w:rFonts w:hAnsi="Times New Roman"/>
              </w:rPr>
              <w:t>有机</w:t>
            </w:r>
          </w:p>
          <w:p w14:paraId="6237BDBE" w14:textId="77777777" w:rsidR="00B14D53" w:rsidRDefault="00000000">
            <w:pPr>
              <w:pStyle w:val="afff2"/>
              <w:spacing w:line="240" w:lineRule="auto"/>
              <w:rPr>
                <w:rFonts w:hAnsi="Times New Roman"/>
              </w:rPr>
            </w:pPr>
            <w:r>
              <w:rPr>
                <w:rFonts w:hAnsi="Times New Roman"/>
              </w:rPr>
              <w:t>肥厂</w:t>
            </w:r>
          </w:p>
        </w:tc>
      </w:tr>
      <w:tr w:rsidR="00B14D53" w14:paraId="7297ED58" w14:textId="77777777">
        <w:trPr>
          <w:trHeight w:val="67"/>
        </w:trPr>
        <w:tc>
          <w:tcPr>
            <w:tcW w:w="341" w:type="pct"/>
            <w:vMerge/>
            <w:tcBorders>
              <w:tl2br w:val="nil"/>
              <w:tr2bl w:val="nil"/>
            </w:tcBorders>
            <w:vAlign w:val="center"/>
          </w:tcPr>
          <w:p w14:paraId="62C01DEC" w14:textId="77777777" w:rsidR="00B14D53" w:rsidRDefault="00B14D53">
            <w:pPr>
              <w:pStyle w:val="afff2"/>
              <w:spacing w:line="240" w:lineRule="auto"/>
              <w:rPr>
                <w:rFonts w:hAnsi="Times New Roman"/>
              </w:rPr>
            </w:pPr>
          </w:p>
        </w:tc>
        <w:tc>
          <w:tcPr>
            <w:tcW w:w="370" w:type="pct"/>
            <w:vMerge/>
            <w:tcBorders>
              <w:tl2br w:val="nil"/>
              <w:tr2bl w:val="nil"/>
            </w:tcBorders>
            <w:vAlign w:val="center"/>
          </w:tcPr>
          <w:p w14:paraId="7F48C584" w14:textId="77777777" w:rsidR="00B14D53" w:rsidRDefault="00B14D53">
            <w:pPr>
              <w:pStyle w:val="afff2"/>
              <w:spacing w:line="240" w:lineRule="auto"/>
              <w:rPr>
                <w:rFonts w:hAnsi="Times New Roman"/>
              </w:rPr>
            </w:pPr>
          </w:p>
        </w:tc>
        <w:tc>
          <w:tcPr>
            <w:tcW w:w="891" w:type="pct"/>
            <w:tcBorders>
              <w:tl2br w:val="nil"/>
              <w:tr2bl w:val="nil"/>
            </w:tcBorders>
            <w:vAlign w:val="center"/>
          </w:tcPr>
          <w:p w14:paraId="25CE508A" w14:textId="77777777" w:rsidR="00B14D53" w:rsidRDefault="00000000">
            <w:pPr>
              <w:pStyle w:val="afff2"/>
              <w:spacing w:line="240" w:lineRule="auto"/>
              <w:rPr>
                <w:rFonts w:hAnsi="Times New Roman"/>
              </w:rPr>
            </w:pPr>
            <w:r>
              <w:rPr>
                <w:rFonts w:hAnsi="Times New Roman" w:hint="eastAsia"/>
              </w:rPr>
              <w:t>病死猪（代码：</w:t>
            </w:r>
            <w:r>
              <w:rPr>
                <w:rFonts w:hAnsi="Times New Roman" w:hint="eastAsia"/>
              </w:rPr>
              <w:t>135-001-S13</w:t>
            </w:r>
            <w:r>
              <w:rPr>
                <w:rFonts w:hAnsi="Times New Roman" w:hint="eastAsia"/>
              </w:rPr>
              <w:t>）</w:t>
            </w:r>
          </w:p>
        </w:tc>
        <w:tc>
          <w:tcPr>
            <w:tcW w:w="357" w:type="pct"/>
            <w:vMerge/>
            <w:tcBorders>
              <w:tl2br w:val="nil"/>
              <w:tr2bl w:val="nil"/>
            </w:tcBorders>
            <w:vAlign w:val="center"/>
          </w:tcPr>
          <w:p w14:paraId="76F49413" w14:textId="77777777" w:rsidR="00B14D53" w:rsidRDefault="00B14D53">
            <w:pPr>
              <w:pStyle w:val="afff2"/>
              <w:spacing w:line="240" w:lineRule="auto"/>
              <w:rPr>
                <w:rFonts w:hAnsi="Times New Roman"/>
              </w:rPr>
            </w:pPr>
          </w:p>
        </w:tc>
        <w:tc>
          <w:tcPr>
            <w:tcW w:w="383" w:type="pct"/>
            <w:tcBorders>
              <w:tl2br w:val="nil"/>
              <w:tr2bl w:val="nil"/>
            </w:tcBorders>
            <w:vAlign w:val="center"/>
          </w:tcPr>
          <w:p w14:paraId="1FE183DB" w14:textId="77777777" w:rsidR="00B14D53" w:rsidRDefault="00000000">
            <w:pPr>
              <w:pStyle w:val="afff2"/>
              <w:spacing w:line="240" w:lineRule="auto"/>
              <w:rPr>
                <w:rFonts w:hAnsi="Times New Roman"/>
              </w:rPr>
            </w:pPr>
            <w:r>
              <w:rPr>
                <w:rFonts w:hAnsi="Times New Roman" w:hint="eastAsia"/>
              </w:rPr>
              <w:t>/</w:t>
            </w:r>
          </w:p>
        </w:tc>
        <w:tc>
          <w:tcPr>
            <w:tcW w:w="335" w:type="pct"/>
            <w:tcBorders>
              <w:tl2br w:val="nil"/>
              <w:tr2bl w:val="nil"/>
            </w:tcBorders>
            <w:vAlign w:val="center"/>
          </w:tcPr>
          <w:p w14:paraId="298C3237" w14:textId="77777777" w:rsidR="00B14D53" w:rsidRDefault="00000000">
            <w:pPr>
              <w:pStyle w:val="afff2"/>
              <w:spacing w:line="240" w:lineRule="auto"/>
              <w:rPr>
                <w:rFonts w:hAnsi="Times New Roman"/>
              </w:rPr>
            </w:pPr>
            <w:r>
              <w:rPr>
                <w:rFonts w:hAnsi="Times New Roman" w:hint="eastAsia"/>
              </w:rPr>
              <w:t>/</w:t>
            </w:r>
          </w:p>
        </w:tc>
        <w:tc>
          <w:tcPr>
            <w:tcW w:w="1558" w:type="pct"/>
            <w:tcBorders>
              <w:tl2br w:val="nil"/>
              <w:tr2bl w:val="nil"/>
            </w:tcBorders>
            <w:vAlign w:val="center"/>
          </w:tcPr>
          <w:p w14:paraId="026F30AA" w14:textId="77777777" w:rsidR="00B14D53" w:rsidRDefault="00000000">
            <w:pPr>
              <w:pStyle w:val="afff2"/>
              <w:spacing w:line="240" w:lineRule="auto"/>
              <w:rPr>
                <w:rFonts w:hAnsi="Times New Roman"/>
              </w:rPr>
            </w:pPr>
            <w:r>
              <w:rPr>
                <w:rFonts w:hAnsi="Times New Roman" w:hint="eastAsia"/>
              </w:rPr>
              <w:t>委托哈尔滨银山无害化处理有限公司处理</w:t>
            </w:r>
          </w:p>
        </w:tc>
        <w:tc>
          <w:tcPr>
            <w:tcW w:w="345" w:type="pct"/>
            <w:tcBorders>
              <w:tl2br w:val="nil"/>
              <w:tr2bl w:val="nil"/>
            </w:tcBorders>
            <w:vAlign w:val="center"/>
          </w:tcPr>
          <w:p w14:paraId="7EAAA493" w14:textId="77777777" w:rsidR="00B14D53" w:rsidRDefault="00000000">
            <w:pPr>
              <w:pStyle w:val="afff2"/>
              <w:spacing w:line="240" w:lineRule="auto"/>
              <w:rPr>
                <w:rFonts w:hAnsi="Times New Roman"/>
              </w:rPr>
            </w:pPr>
            <w:r>
              <w:rPr>
                <w:rFonts w:hAnsi="Times New Roman" w:hint="eastAsia"/>
              </w:rPr>
              <w:t>/</w:t>
            </w:r>
          </w:p>
        </w:tc>
        <w:tc>
          <w:tcPr>
            <w:tcW w:w="415" w:type="pct"/>
            <w:tcBorders>
              <w:tl2br w:val="nil"/>
              <w:tr2bl w:val="nil"/>
            </w:tcBorders>
            <w:vAlign w:val="center"/>
          </w:tcPr>
          <w:p w14:paraId="73788BCB" w14:textId="77777777" w:rsidR="00B14D53" w:rsidRDefault="00000000">
            <w:pPr>
              <w:pStyle w:val="afff2"/>
              <w:spacing w:line="240" w:lineRule="auto"/>
              <w:rPr>
                <w:rFonts w:hAnsi="Times New Roman"/>
              </w:rPr>
            </w:pPr>
            <w:r>
              <w:rPr>
                <w:rFonts w:hAnsi="Times New Roman" w:hint="eastAsia"/>
              </w:rPr>
              <w:t>无害化处置</w:t>
            </w:r>
          </w:p>
        </w:tc>
      </w:tr>
      <w:tr w:rsidR="00B14D53" w14:paraId="7388C879" w14:textId="77777777">
        <w:trPr>
          <w:trHeight w:val="67"/>
        </w:trPr>
        <w:tc>
          <w:tcPr>
            <w:tcW w:w="341" w:type="pct"/>
            <w:tcBorders>
              <w:tl2br w:val="nil"/>
              <w:tr2bl w:val="nil"/>
            </w:tcBorders>
            <w:vAlign w:val="center"/>
          </w:tcPr>
          <w:p w14:paraId="497939E3" w14:textId="77777777" w:rsidR="00B14D53" w:rsidRDefault="00000000">
            <w:pPr>
              <w:pStyle w:val="afff2"/>
              <w:spacing w:line="240" w:lineRule="auto"/>
              <w:rPr>
                <w:rFonts w:hAnsi="Times New Roman"/>
              </w:rPr>
            </w:pPr>
            <w:r>
              <w:rPr>
                <w:rFonts w:hAnsi="Times New Roman"/>
              </w:rPr>
              <w:t>检</w:t>
            </w:r>
            <w:r>
              <w:rPr>
                <w:rFonts w:hAnsi="Times New Roman" w:hint="eastAsia"/>
              </w:rPr>
              <w:t>验</w:t>
            </w:r>
          </w:p>
        </w:tc>
        <w:tc>
          <w:tcPr>
            <w:tcW w:w="370" w:type="pct"/>
            <w:tcBorders>
              <w:tl2br w:val="nil"/>
              <w:tr2bl w:val="nil"/>
            </w:tcBorders>
            <w:vAlign w:val="center"/>
          </w:tcPr>
          <w:p w14:paraId="4AAE891D" w14:textId="77777777" w:rsidR="00B14D53" w:rsidRDefault="00000000">
            <w:pPr>
              <w:pStyle w:val="afff2"/>
              <w:spacing w:line="240" w:lineRule="auto"/>
              <w:rPr>
                <w:rFonts w:hAnsi="Times New Roman"/>
              </w:rPr>
            </w:pPr>
            <w:r>
              <w:rPr>
                <w:rFonts w:hAnsi="Times New Roman"/>
              </w:rPr>
              <w:t>检</w:t>
            </w:r>
            <w:r>
              <w:rPr>
                <w:rFonts w:hAnsi="Times New Roman" w:hint="eastAsia"/>
              </w:rPr>
              <w:t>验</w:t>
            </w:r>
            <w:r>
              <w:rPr>
                <w:rFonts w:hAnsi="Times New Roman"/>
              </w:rPr>
              <w:t>室</w:t>
            </w:r>
          </w:p>
        </w:tc>
        <w:tc>
          <w:tcPr>
            <w:tcW w:w="891" w:type="pct"/>
            <w:tcBorders>
              <w:tl2br w:val="nil"/>
              <w:tr2bl w:val="nil"/>
            </w:tcBorders>
            <w:vAlign w:val="center"/>
          </w:tcPr>
          <w:p w14:paraId="24CEFA99" w14:textId="77777777" w:rsidR="00B14D53" w:rsidRDefault="00000000">
            <w:pPr>
              <w:pStyle w:val="afff2"/>
              <w:spacing w:line="240" w:lineRule="auto"/>
              <w:rPr>
                <w:rFonts w:hAnsi="Times New Roman"/>
              </w:rPr>
            </w:pPr>
            <w:r>
              <w:rPr>
                <w:rFonts w:hAnsi="Times New Roman"/>
              </w:rPr>
              <w:t>检</w:t>
            </w:r>
            <w:r>
              <w:rPr>
                <w:rFonts w:hAnsi="Times New Roman" w:hint="eastAsia"/>
              </w:rPr>
              <w:t>验</w:t>
            </w:r>
            <w:r>
              <w:rPr>
                <w:rFonts w:hAnsi="Times New Roman"/>
              </w:rPr>
              <w:t>废物（</w:t>
            </w:r>
            <w:r>
              <w:rPr>
                <w:rFonts w:hAnsi="Times New Roman" w:hint="eastAsia"/>
              </w:rPr>
              <w:t>类别：</w:t>
            </w:r>
            <w:r>
              <w:rPr>
                <w:rFonts w:hAnsi="Times New Roman"/>
              </w:rPr>
              <w:t>HW01</w:t>
            </w:r>
            <w:r>
              <w:rPr>
                <w:rFonts w:hAnsi="Times New Roman" w:hint="eastAsia"/>
              </w:rPr>
              <w:t>，代码：</w:t>
            </w:r>
            <w:r>
              <w:rPr>
                <w:rFonts w:hAnsi="Times New Roman" w:hint="eastAsia"/>
              </w:rPr>
              <w:t>841-001-01</w:t>
            </w:r>
            <w:r>
              <w:rPr>
                <w:rFonts w:hAnsi="Times New Roman"/>
              </w:rPr>
              <w:t>）</w:t>
            </w:r>
          </w:p>
        </w:tc>
        <w:tc>
          <w:tcPr>
            <w:tcW w:w="357" w:type="pct"/>
            <w:tcBorders>
              <w:tl2br w:val="nil"/>
              <w:tr2bl w:val="nil"/>
            </w:tcBorders>
            <w:vAlign w:val="center"/>
          </w:tcPr>
          <w:p w14:paraId="337089FD" w14:textId="77777777" w:rsidR="00B14D53" w:rsidRDefault="00000000">
            <w:pPr>
              <w:widowControl/>
              <w:jc w:val="center"/>
            </w:pPr>
            <w:r>
              <w:rPr>
                <w:szCs w:val="21"/>
              </w:rPr>
              <w:t>危险废物</w:t>
            </w:r>
          </w:p>
        </w:tc>
        <w:tc>
          <w:tcPr>
            <w:tcW w:w="383" w:type="pct"/>
            <w:tcBorders>
              <w:tl2br w:val="nil"/>
              <w:tr2bl w:val="nil"/>
            </w:tcBorders>
            <w:vAlign w:val="center"/>
          </w:tcPr>
          <w:p w14:paraId="7F6A708B" w14:textId="77777777" w:rsidR="00B14D53" w:rsidRDefault="00000000">
            <w:pPr>
              <w:widowControl/>
              <w:jc w:val="center"/>
            </w:pPr>
            <w:r>
              <w:t>类比法</w:t>
            </w:r>
          </w:p>
        </w:tc>
        <w:tc>
          <w:tcPr>
            <w:tcW w:w="335" w:type="pct"/>
            <w:tcBorders>
              <w:tl2br w:val="nil"/>
              <w:tr2bl w:val="nil"/>
            </w:tcBorders>
            <w:vAlign w:val="center"/>
          </w:tcPr>
          <w:p w14:paraId="316C8932" w14:textId="77777777" w:rsidR="00B14D53" w:rsidRDefault="00000000">
            <w:pPr>
              <w:pStyle w:val="afff2"/>
              <w:spacing w:line="240" w:lineRule="auto"/>
              <w:rPr>
                <w:rFonts w:hAnsi="Times New Roman"/>
              </w:rPr>
            </w:pPr>
            <w:r>
              <w:rPr>
                <w:rFonts w:hAnsi="Times New Roman" w:hint="eastAsia"/>
              </w:rPr>
              <w:t>0.5</w:t>
            </w:r>
            <w:r>
              <w:rPr>
                <w:rFonts w:hAnsi="Times New Roman"/>
              </w:rPr>
              <w:t>t/a</w:t>
            </w:r>
          </w:p>
        </w:tc>
        <w:tc>
          <w:tcPr>
            <w:tcW w:w="1558" w:type="pct"/>
            <w:tcBorders>
              <w:tl2br w:val="nil"/>
              <w:tr2bl w:val="nil"/>
            </w:tcBorders>
            <w:vAlign w:val="center"/>
          </w:tcPr>
          <w:p w14:paraId="2BD81104" w14:textId="77777777" w:rsidR="00B14D53" w:rsidRDefault="00000000">
            <w:pPr>
              <w:pStyle w:val="afff2"/>
              <w:spacing w:line="240" w:lineRule="auto"/>
              <w:rPr>
                <w:rFonts w:hAnsi="Times New Roman"/>
              </w:rPr>
            </w:pPr>
            <w:r>
              <w:rPr>
                <w:rFonts w:eastAsiaTheme="minorEastAsia" w:hAnsi="Times New Roman" w:hint="eastAsia"/>
              </w:rPr>
              <w:t>交由有资质单位处置</w:t>
            </w:r>
          </w:p>
        </w:tc>
        <w:tc>
          <w:tcPr>
            <w:tcW w:w="345" w:type="pct"/>
            <w:tcBorders>
              <w:tl2br w:val="nil"/>
              <w:tr2bl w:val="nil"/>
            </w:tcBorders>
            <w:vAlign w:val="center"/>
          </w:tcPr>
          <w:p w14:paraId="1B1195BB" w14:textId="77777777" w:rsidR="00B14D53" w:rsidRDefault="00000000">
            <w:pPr>
              <w:pStyle w:val="afff2"/>
              <w:spacing w:line="240" w:lineRule="auto"/>
              <w:rPr>
                <w:rFonts w:hAnsi="Times New Roman"/>
              </w:rPr>
            </w:pPr>
            <w:r>
              <w:rPr>
                <w:rFonts w:hAnsi="Times New Roman" w:hint="eastAsia"/>
              </w:rPr>
              <w:t>0.5</w:t>
            </w:r>
            <w:r>
              <w:rPr>
                <w:rFonts w:hAnsi="Times New Roman"/>
              </w:rPr>
              <w:t>t/a</w:t>
            </w:r>
          </w:p>
        </w:tc>
        <w:tc>
          <w:tcPr>
            <w:tcW w:w="415" w:type="pct"/>
            <w:tcBorders>
              <w:tl2br w:val="nil"/>
              <w:tr2bl w:val="nil"/>
            </w:tcBorders>
            <w:vAlign w:val="center"/>
          </w:tcPr>
          <w:p w14:paraId="0CA9E128" w14:textId="77777777" w:rsidR="00B14D53" w:rsidRDefault="00000000">
            <w:pPr>
              <w:pStyle w:val="afff2"/>
              <w:spacing w:line="240" w:lineRule="auto"/>
              <w:rPr>
                <w:rFonts w:hAnsi="Times New Roman"/>
              </w:rPr>
            </w:pPr>
            <w:r>
              <w:rPr>
                <w:rFonts w:hAnsi="Times New Roman"/>
              </w:rPr>
              <w:t>委托</w:t>
            </w:r>
          </w:p>
          <w:p w14:paraId="6C2F742D" w14:textId="77777777" w:rsidR="00B14D53" w:rsidRDefault="00000000">
            <w:pPr>
              <w:pStyle w:val="afff2"/>
              <w:spacing w:line="240" w:lineRule="auto"/>
              <w:rPr>
                <w:rFonts w:hAnsi="Times New Roman"/>
              </w:rPr>
            </w:pPr>
            <w:r>
              <w:rPr>
                <w:rFonts w:hAnsi="Times New Roman"/>
              </w:rPr>
              <w:t>处置</w:t>
            </w:r>
          </w:p>
        </w:tc>
      </w:tr>
      <w:tr w:rsidR="00B14D53" w14:paraId="24F22DA6" w14:textId="77777777">
        <w:trPr>
          <w:trHeight w:val="67"/>
        </w:trPr>
        <w:tc>
          <w:tcPr>
            <w:tcW w:w="341" w:type="pct"/>
            <w:vMerge w:val="restart"/>
            <w:tcBorders>
              <w:tl2br w:val="nil"/>
              <w:tr2bl w:val="nil"/>
            </w:tcBorders>
            <w:vAlign w:val="center"/>
          </w:tcPr>
          <w:p w14:paraId="617FB9F9" w14:textId="77777777" w:rsidR="00B14D53" w:rsidRDefault="00000000">
            <w:pPr>
              <w:widowControl/>
              <w:jc w:val="center"/>
              <w:rPr>
                <w:szCs w:val="21"/>
              </w:rPr>
            </w:pPr>
            <w:r>
              <w:rPr>
                <w:szCs w:val="21"/>
              </w:rPr>
              <w:t>屠宰</w:t>
            </w:r>
          </w:p>
        </w:tc>
        <w:tc>
          <w:tcPr>
            <w:tcW w:w="370" w:type="pct"/>
            <w:vMerge w:val="restart"/>
            <w:tcBorders>
              <w:tl2br w:val="nil"/>
              <w:tr2bl w:val="nil"/>
            </w:tcBorders>
            <w:vAlign w:val="center"/>
          </w:tcPr>
          <w:p w14:paraId="7C0E7493" w14:textId="77777777" w:rsidR="00B14D53" w:rsidRDefault="00000000">
            <w:pPr>
              <w:pStyle w:val="afff2"/>
              <w:spacing w:line="240" w:lineRule="auto"/>
              <w:rPr>
                <w:rFonts w:hAnsi="Times New Roman"/>
              </w:rPr>
            </w:pPr>
            <w:r>
              <w:rPr>
                <w:rFonts w:hAnsi="Times New Roman" w:hint="eastAsia"/>
              </w:rPr>
              <w:t>屠宰车间</w:t>
            </w:r>
          </w:p>
        </w:tc>
        <w:tc>
          <w:tcPr>
            <w:tcW w:w="891" w:type="pct"/>
            <w:tcBorders>
              <w:tl2br w:val="nil"/>
              <w:tr2bl w:val="nil"/>
            </w:tcBorders>
            <w:vAlign w:val="center"/>
          </w:tcPr>
          <w:p w14:paraId="519B138D" w14:textId="77777777" w:rsidR="00B14D53" w:rsidRDefault="00000000">
            <w:pPr>
              <w:pStyle w:val="afff2"/>
              <w:spacing w:line="240" w:lineRule="auto"/>
              <w:rPr>
                <w:rFonts w:hAnsi="Times New Roman"/>
              </w:rPr>
            </w:pPr>
            <w:r>
              <w:rPr>
                <w:rFonts w:hAnsi="Times New Roman"/>
              </w:rPr>
              <w:t>胃肠内容物（代码：</w:t>
            </w:r>
            <w:r>
              <w:rPr>
                <w:rFonts w:hAnsi="Times New Roman" w:hint="eastAsia"/>
              </w:rPr>
              <w:t>135-001-S13</w:t>
            </w:r>
            <w:r>
              <w:rPr>
                <w:rFonts w:hAnsi="Times New Roman"/>
              </w:rPr>
              <w:t>）</w:t>
            </w:r>
          </w:p>
        </w:tc>
        <w:tc>
          <w:tcPr>
            <w:tcW w:w="357" w:type="pct"/>
            <w:vMerge w:val="restart"/>
            <w:tcBorders>
              <w:tl2br w:val="nil"/>
              <w:tr2bl w:val="nil"/>
            </w:tcBorders>
            <w:vAlign w:val="center"/>
          </w:tcPr>
          <w:p w14:paraId="4549F4A5" w14:textId="77777777" w:rsidR="00B14D53" w:rsidRDefault="00000000">
            <w:pPr>
              <w:pStyle w:val="afff2"/>
              <w:spacing w:line="240" w:lineRule="auto"/>
              <w:rPr>
                <w:rFonts w:hAnsi="Times New Roman"/>
              </w:rPr>
            </w:pPr>
            <w:r>
              <w:rPr>
                <w:rFonts w:hAnsi="Times New Roman"/>
              </w:rPr>
              <w:t>一般工业固体废物</w:t>
            </w:r>
          </w:p>
        </w:tc>
        <w:tc>
          <w:tcPr>
            <w:tcW w:w="383" w:type="pct"/>
            <w:tcBorders>
              <w:tl2br w:val="nil"/>
              <w:tr2bl w:val="nil"/>
            </w:tcBorders>
            <w:vAlign w:val="center"/>
          </w:tcPr>
          <w:p w14:paraId="413B3169" w14:textId="77777777" w:rsidR="00B14D53" w:rsidRDefault="00000000">
            <w:pPr>
              <w:pStyle w:val="afff2"/>
              <w:spacing w:line="240" w:lineRule="auto"/>
              <w:rPr>
                <w:rFonts w:hAnsi="Times New Roman"/>
              </w:rPr>
            </w:pPr>
            <w:r>
              <w:rPr>
                <w:rFonts w:hAnsi="Times New Roman"/>
              </w:rPr>
              <w:t>类比法</w:t>
            </w:r>
          </w:p>
        </w:tc>
        <w:tc>
          <w:tcPr>
            <w:tcW w:w="335" w:type="pct"/>
            <w:tcBorders>
              <w:tl2br w:val="nil"/>
              <w:tr2bl w:val="nil"/>
            </w:tcBorders>
            <w:vAlign w:val="center"/>
          </w:tcPr>
          <w:p w14:paraId="16E37053" w14:textId="77777777" w:rsidR="00B14D53" w:rsidRDefault="00000000">
            <w:pPr>
              <w:pStyle w:val="afff2"/>
              <w:spacing w:line="240" w:lineRule="auto"/>
              <w:rPr>
                <w:rFonts w:hAnsi="Times New Roman"/>
              </w:rPr>
            </w:pPr>
            <w:r>
              <w:rPr>
                <w:rFonts w:hAnsi="Times New Roman"/>
              </w:rPr>
              <w:t>880t/a</w:t>
            </w:r>
          </w:p>
        </w:tc>
        <w:tc>
          <w:tcPr>
            <w:tcW w:w="1558" w:type="pct"/>
            <w:tcBorders>
              <w:tl2br w:val="nil"/>
              <w:tr2bl w:val="nil"/>
            </w:tcBorders>
            <w:vAlign w:val="center"/>
          </w:tcPr>
          <w:p w14:paraId="2E58D833" w14:textId="77777777" w:rsidR="00B14D53" w:rsidRDefault="00000000">
            <w:pPr>
              <w:pStyle w:val="afff2"/>
              <w:spacing w:line="240" w:lineRule="auto"/>
              <w:rPr>
                <w:rFonts w:hAnsi="Times New Roman"/>
              </w:rPr>
            </w:pPr>
            <w:r>
              <w:rPr>
                <w:rFonts w:eastAsiaTheme="minorEastAsia" w:hAnsi="Times New Roman" w:hint="eastAsia"/>
              </w:rPr>
              <w:t>清理至包装桶内，暂存于待宰圈内</w:t>
            </w:r>
            <w:r>
              <w:rPr>
                <w:rFonts w:eastAsiaTheme="minorEastAsia" w:hAnsi="Times New Roman"/>
              </w:rPr>
              <w:t>，</w:t>
            </w:r>
            <w:r>
              <w:rPr>
                <w:rFonts w:eastAsiaTheme="minorEastAsia" w:hAnsi="Times New Roman" w:hint="eastAsia"/>
              </w:rPr>
              <w:t>每日生产结束后</w:t>
            </w:r>
            <w:r>
              <w:rPr>
                <w:rFonts w:eastAsiaTheme="minorEastAsia" w:hAnsi="Times New Roman"/>
              </w:rPr>
              <w:t>清运一次，外售有机肥厂进行堆肥处理</w:t>
            </w:r>
          </w:p>
        </w:tc>
        <w:tc>
          <w:tcPr>
            <w:tcW w:w="345" w:type="pct"/>
            <w:tcBorders>
              <w:tl2br w:val="nil"/>
              <w:tr2bl w:val="nil"/>
            </w:tcBorders>
            <w:vAlign w:val="center"/>
          </w:tcPr>
          <w:p w14:paraId="216AF146" w14:textId="77777777" w:rsidR="00B14D53" w:rsidRDefault="00000000">
            <w:pPr>
              <w:pStyle w:val="afff2"/>
              <w:spacing w:line="240" w:lineRule="auto"/>
              <w:rPr>
                <w:rFonts w:hAnsi="Times New Roman"/>
              </w:rPr>
            </w:pPr>
            <w:r>
              <w:rPr>
                <w:rFonts w:hAnsi="Times New Roman"/>
              </w:rPr>
              <w:t>880t/a</w:t>
            </w:r>
          </w:p>
        </w:tc>
        <w:tc>
          <w:tcPr>
            <w:tcW w:w="415" w:type="pct"/>
            <w:tcBorders>
              <w:tl2br w:val="nil"/>
              <w:tr2bl w:val="nil"/>
            </w:tcBorders>
            <w:vAlign w:val="center"/>
          </w:tcPr>
          <w:p w14:paraId="1EB6CE9E" w14:textId="77777777" w:rsidR="00B14D53" w:rsidRDefault="00000000">
            <w:pPr>
              <w:pStyle w:val="afff2"/>
              <w:spacing w:line="240" w:lineRule="auto"/>
              <w:rPr>
                <w:rFonts w:hAnsi="Times New Roman"/>
              </w:rPr>
            </w:pPr>
            <w:r>
              <w:rPr>
                <w:rFonts w:hAnsi="Times New Roman"/>
              </w:rPr>
              <w:t>有机</w:t>
            </w:r>
          </w:p>
          <w:p w14:paraId="6621421D" w14:textId="77777777" w:rsidR="00B14D53" w:rsidRDefault="00000000">
            <w:pPr>
              <w:pStyle w:val="afff2"/>
              <w:spacing w:line="240" w:lineRule="auto"/>
              <w:rPr>
                <w:rFonts w:hAnsi="Times New Roman"/>
              </w:rPr>
            </w:pPr>
            <w:r>
              <w:rPr>
                <w:rFonts w:hAnsi="Times New Roman"/>
              </w:rPr>
              <w:t>肥厂</w:t>
            </w:r>
          </w:p>
        </w:tc>
      </w:tr>
      <w:tr w:rsidR="00B14D53" w14:paraId="6E407C23" w14:textId="77777777">
        <w:trPr>
          <w:trHeight w:val="67"/>
        </w:trPr>
        <w:tc>
          <w:tcPr>
            <w:tcW w:w="341" w:type="pct"/>
            <w:vMerge/>
            <w:tcBorders>
              <w:tl2br w:val="nil"/>
              <w:tr2bl w:val="nil"/>
            </w:tcBorders>
            <w:vAlign w:val="center"/>
          </w:tcPr>
          <w:p w14:paraId="79CE0E58" w14:textId="77777777" w:rsidR="00B14D53" w:rsidRDefault="00B14D53">
            <w:pPr>
              <w:widowControl/>
              <w:jc w:val="center"/>
              <w:rPr>
                <w:szCs w:val="21"/>
              </w:rPr>
            </w:pPr>
          </w:p>
        </w:tc>
        <w:tc>
          <w:tcPr>
            <w:tcW w:w="370" w:type="pct"/>
            <w:vMerge/>
            <w:tcBorders>
              <w:tl2br w:val="nil"/>
              <w:tr2bl w:val="nil"/>
            </w:tcBorders>
            <w:vAlign w:val="center"/>
          </w:tcPr>
          <w:p w14:paraId="71094C63" w14:textId="77777777" w:rsidR="00B14D53" w:rsidRDefault="00B14D53">
            <w:pPr>
              <w:pStyle w:val="afff2"/>
              <w:spacing w:line="240" w:lineRule="auto"/>
              <w:rPr>
                <w:rFonts w:hAnsi="Times New Roman"/>
              </w:rPr>
            </w:pPr>
          </w:p>
        </w:tc>
        <w:tc>
          <w:tcPr>
            <w:tcW w:w="891" w:type="pct"/>
            <w:tcBorders>
              <w:tl2br w:val="nil"/>
              <w:tr2bl w:val="nil"/>
            </w:tcBorders>
            <w:vAlign w:val="center"/>
          </w:tcPr>
          <w:p w14:paraId="0CC46D13" w14:textId="77777777" w:rsidR="00B14D53" w:rsidRDefault="00000000">
            <w:pPr>
              <w:pStyle w:val="afff2"/>
              <w:spacing w:line="240" w:lineRule="auto"/>
              <w:rPr>
                <w:rFonts w:hAnsi="Times New Roman"/>
                <w:highlight w:val="yellow"/>
              </w:rPr>
            </w:pPr>
            <w:r>
              <w:rPr>
                <w:rFonts w:hAnsi="Times New Roman"/>
              </w:rPr>
              <w:t>废外包装（代码：</w:t>
            </w:r>
            <w:r>
              <w:rPr>
                <w:rFonts w:hAnsi="Times New Roman" w:hint="eastAsia"/>
              </w:rPr>
              <w:t>900-005-S17</w:t>
            </w:r>
            <w:r>
              <w:rPr>
                <w:rFonts w:hAnsi="Times New Roman"/>
              </w:rPr>
              <w:t>）</w:t>
            </w:r>
          </w:p>
        </w:tc>
        <w:tc>
          <w:tcPr>
            <w:tcW w:w="357" w:type="pct"/>
            <w:vMerge/>
            <w:tcBorders>
              <w:tl2br w:val="nil"/>
              <w:tr2bl w:val="nil"/>
            </w:tcBorders>
            <w:vAlign w:val="center"/>
          </w:tcPr>
          <w:p w14:paraId="66993629" w14:textId="77777777" w:rsidR="00B14D53" w:rsidRDefault="00B14D53">
            <w:pPr>
              <w:pStyle w:val="afff2"/>
              <w:spacing w:line="240" w:lineRule="auto"/>
              <w:rPr>
                <w:rFonts w:hAnsi="Times New Roman"/>
              </w:rPr>
            </w:pPr>
          </w:p>
        </w:tc>
        <w:tc>
          <w:tcPr>
            <w:tcW w:w="383" w:type="pct"/>
            <w:tcBorders>
              <w:tl2br w:val="nil"/>
              <w:tr2bl w:val="nil"/>
            </w:tcBorders>
            <w:vAlign w:val="center"/>
          </w:tcPr>
          <w:p w14:paraId="1EBFAEF2" w14:textId="77777777" w:rsidR="00B14D53" w:rsidRDefault="00000000">
            <w:pPr>
              <w:pStyle w:val="afff2"/>
              <w:spacing w:line="240" w:lineRule="auto"/>
              <w:rPr>
                <w:rFonts w:hAnsi="Times New Roman"/>
              </w:rPr>
            </w:pPr>
            <w:r>
              <w:rPr>
                <w:rFonts w:hAnsi="Times New Roman"/>
              </w:rPr>
              <w:t>类比法</w:t>
            </w:r>
          </w:p>
        </w:tc>
        <w:tc>
          <w:tcPr>
            <w:tcW w:w="335" w:type="pct"/>
            <w:tcBorders>
              <w:tl2br w:val="nil"/>
              <w:tr2bl w:val="nil"/>
            </w:tcBorders>
            <w:vAlign w:val="center"/>
          </w:tcPr>
          <w:p w14:paraId="3AA72A8B" w14:textId="77777777" w:rsidR="00B14D53" w:rsidRDefault="00000000">
            <w:pPr>
              <w:pStyle w:val="afff2"/>
              <w:spacing w:line="240" w:lineRule="auto"/>
              <w:rPr>
                <w:rFonts w:hAnsi="Times New Roman"/>
              </w:rPr>
            </w:pPr>
            <w:r>
              <w:rPr>
                <w:rFonts w:hAnsi="Times New Roman" w:hint="eastAsia"/>
                <w:bCs/>
              </w:rPr>
              <w:t>0.6</w:t>
            </w:r>
            <w:r>
              <w:rPr>
                <w:rFonts w:hAnsi="Times New Roman"/>
              </w:rPr>
              <w:t>t/a</w:t>
            </w:r>
          </w:p>
        </w:tc>
        <w:tc>
          <w:tcPr>
            <w:tcW w:w="1558" w:type="pct"/>
            <w:tcBorders>
              <w:tl2br w:val="nil"/>
              <w:tr2bl w:val="nil"/>
            </w:tcBorders>
            <w:vAlign w:val="center"/>
          </w:tcPr>
          <w:p w14:paraId="3A17EBEA" w14:textId="77777777" w:rsidR="00B14D53" w:rsidRDefault="00000000">
            <w:pPr>
              <w:pStyle w:val="afff2"/>
              <w:spacing w:line="240" w:lineRule="auto"/>
              <w:rPr>
                <w:rFonts w:hAnsi="Times New Roman"/>
              </w:rPr>
            </w:pPr>
            <w:r>
              <w:rPr>
                <w:rFonts w:hAnsi="Times New Roman"/>
              </w:rPr>
              <w:t>外售</w:t>
            </w:r>
            <w:r>
              <w:rPr>
                <w:rFonts w:hAnsi="Times New Roman" w:hint="eastAsia"/>
              </w:rPr>
              <w:t>物资回收单位</w:t>
            </w:r>
          </w:p>
        </w:tc>
        <w:tc>
          <w:tcPr>
            <w:tcW w:w="345" w:type="pct"/>
            <w:tcBorders>
              <w:tl2br w:val="nil"/>
              <w:tr2bl w:val="nil"/>
            </w:tcBorders>
            <w:vAlign w:val="center"/>
          </w:tcPr>
          <w:p w14:paraId="42C24C8B" w14:textId="77777777" w:rsidR="00B14D53" w:rsidRDefault="00000000">
            <w:pPr>
              <w:pStyle w:val="afff2"/>
              <w:spacing w:line="240" w:lineRule="auto"/>
              <w:rPr>
                <w:rFonts w:hAnsi="Times New Roman"/>
              </w:rPr>
            </w:pPr>
            <w:r>
              <w:rPr>
                <w:rFonts w:hAnsi="Times New Roman" w:hint="eastAsia"/>
                <w:bCs/>
              </w:rPr>
              <w:t>0.6</w:t>
            </w:r>
            <w:r>
              <w:rPr>
                <w:rFonts w:hAnsi="Times New Roman"/>
              </w:rPr>
              <w:t>t/a</w:t>
            </w:r>
          </w:p>
        </w:tc>
        <w:tc>
          <w:tcPr>
            <w:tcW w:w="415" w:type="pct"/>
            <w:tcBorders>
              <w:tl2br w:val="nil"/>
              <w:tr2bl w:val="nil"/>
            </w:tcBorders>
            <w:vAlign w:val="center"/>
          </w:tcPr>
          <w:p w14:paraId="32FF56D9" w14:textId="77777777" w:rsidR="00B14D53" w:rsidRDefault="00000000">
            <w:pPr>
              <w:pStyle w:val="afff2"/>
              <w:spacing w:line="240" w:lineRule="auto"/>
              <w:rPr>
                <w:rFonts w:hAnsi="Times New Roman"/>
              </w:rPr>
            </w:pPr>
            <w:r>
              <w:rPr>
                <w:rFonts w:hAnsi="Times New Roman"/>
              </w:rPr>
              <w:t>综合</w:t>
            </w:r>
          </w:p>
          <w:p w14:paraId="08B3A152" w14:textId="77777777" w:rsidR="00B14D53" w:rsidRDefault="00000000">
            <w:pPr>
              <w:pStyle w:val="afff2"/>
              <w:spacing w:line="240" w:lineRule="auto"/>
              <w:rPr>
                <w:rFonts w:hAnsi="Times New Roman"/>
              </w:rPr>
            </w:pPr>
            <w:r>
              <w:rPr>
                <w:rFonts w:hAnsi="Times New Roman"/>
              </w:rPr>
              <w:t>利用</w:t>
            </w:r>
          </w:p>
        </w:tc>
      </w:tr>
      <w:tr w:rsidR="00B14D53" w14:paraId="69E7738C" w14:textId="77777777">
        <w:trPr>
          <w:trHeight w:val="67"/>
        </w:trPr>
        <w:tc>
          <w:tcPr>
            <w:tcW w:w="341" w:type="pct"/>
            <w:vMerge/>
            <w:tcBorders>
              <w:tl2br w:val="nil"/>
              <w:tr2bl w:val="nil"/>
            </w:tcBorders>
            <w:vAlign w:val="center"/>
          </w:tcPr>
          <w:p w14:paraId="3AE73124" w14:textId="77777777" w:rsidR="00B14D53" w:rsidRDefault="00B14D53">
            <w:pPr>
              <w:widowControl/>
              <w:jc w:val="center"/>
              <w:rPr>
                <w:szCs w:val="21"/>
              </w:rPr>
            </w:pPr>
          </w:p>
        </w:tc>
        <w:tc>
          <w:tcPr>
            <w:tcW w:w="370" w:type="pct"/>
            <w:vMerge/>
            <w:tcBorders>
              <w:tl2br w:val="nil"/>
              <w:tr2bl w:val="nil"/>
            </w:tcBorders>
            <w:vAlign w:val="center"/>
          </w:tcPr>
          <w:p w14:paraId="5255179B" w14:textId="77777777" w:rsidR="00B14D53" w:rsidRDefault="00B14D53">
            <w:pPr>
              <w:pStyle w:val="afff2"/>
              <w:spacing w:line="240" w:lineRule="auto"/>
              <w:rPr>
                <w:rFonts w:hAnsi="Times New Roman"/>
              </w:rPr>
            </w:pPr>
          </w:p>
        </w:tc>
        <w:tc>
          <w:tcPr>
            <w:tcW w:w="891" w:type="pct"/>
            <w:tcBorders>
              <w:tl2br w:val="nil"/>
              <w:tr2bl w:val="nil"/>
            </w:tcBorders>
            <w:vAlign w:val="center"/>
          </w:tcPr>
          <w:p w14:paraId="257773DF" w14:textId="77777777" w:rsidR="00B14D53" w:rsidRDefault="00000000">
            <w:pPr>
              <w:pStyle w:val="afff2"/>
              <w:spacing w:line="240" w:lineRule="auto"/>
              <w:rPr>
                <w:rFonts w:hAnsi="Times New Roman"/>
                <w:bCs/>
              </w:rPr>
            </w:pPr>
            <w:r>
              <w:rPr>
                <w:rFonts w:hAnsi="Times New Roman"/>
              </w:rPr>
              <w:t>病变腺体、内脏及残留脂肪（代码：</w:t>
            </w:r>
            <w:r>
              <w:rPr>
                <w:rFonts w:hAnsi="Times New Roman" w:hint="eastAsia"/>
              </w:rPr>
              <w:t>135-001-S13</w:t>
            </w:r>
            <w:r>
              <w:rPr>
                <w:rFonts w:hAnsi="Times New Roman"/>
              </w:rPr>
              <w:t>）</w:t>
            </w:r>
          </w:p>
        </w:tc>
        <w:tc>
          <w:tcPr>
            <w:tcW w:w="357" w:type="pct"/>
            <w:vMerge/>
            <w:tcBorders>
              <w:tl2br w:val="nil"/>
              <w:tr2bl w:val="nil"/>
            </w:tcBorders>
            <w:vAlign w:val="center"/>
          </w:tcPr>
          <w:p w14:paraId="72A4EE54" w14:textId="77777777" w:rsidR="00B14D53" w:rsidRDefault="00B14D53">
            <w:pPr>
              <w:pStyle w:val="afff2"/>
              <w:spacing w:line="240" w:lineRule="auto"/>
              <w:rPr>
                <w:rFonts w:hAnsi="Times New Roman"/>
              </w:rPr>
            </w:pPr>
          </w:p>
        </w:tc>
        <w:tc>
          <w:tcPr>
            <w:tcW w:w="383" w:type="pct"/>
            <w:tcBorders>
              <w:tl2br w:val="nil"/>
              <w:tr2bl w:val="nil"/>
            </w:tcBorders>
            <w:vAlign w:val="center"/>
          </w:tcPr>
          <w:p w14:paraId="3C57EED2" w14:textId="77777777" w:rsidR="00B14D53" w:rsidRDefault="00000000">
            <w:pPr>
              <w:pStyle w:val="afff2"/>
              <w:spacing w:line="240" w:lineRule="auto"/>
              <w:rPr>
                <w:rFonts w:hAnsi="Times New Roman"/>
              </w:rPr>
            </w:pPr>
            <w:r>
              <w:rPr>
                <w:rFonts w:hAnsi="Times New Roman"/>
              </w:rPr>
              <w:t>类比法</w:t>
            </w:r>
          </w:p>
        </w:tc>
        <w:tc>
          <w:tcPr>
            <w:tcW w:w="335" w:type="pct"/>
            <w:tcBorders>
              <w:tl2br w:val="nil"/>
              <w:tr2bl w:val="nil"/>
            </w:tcBorders>
            <w:vAlign w:val="center"/>
          </w:tcPr>
          <w:p w14:paraId="1471D41F" w14:textId="77777777" w:rsidR="00B14D53" w:rsidRDefault="00000000">
            <w:pPr>
              <w:pStyle w:val="afff2"/>
              <w:spacing w:line="240" w:lineRule="auto"/>
              <w:rPr>
                <w:rFonts w:hAnsi="Times New Roman"/>
                <w:bCs/>
              </w:rPr>
            </w:pPr>
            <w:r>
              <w:rPr>
                <w:rFonts w:hAnsi="Times New Roman"/>
              </w:rPr>
              <w:t>140.8t/a</w:t>
            </w:r>
          </w:p>
        </w:tc>
        <w:tc>
          <w:tcPr>
            <w:tcW w:w="1558" w:type="pct"/>
            <w:tcBorders>
              <w:tl2br w:val="nil"/>
              <w:tr2bl w:val="nil"/>
            </w:tcBorders>
            <w:vAlign w:val="center"/>
          </w:tcPr>
          <w:p w14:paraId="6DE356F7" w14:textId="77777777" w:rsidR="00B14D53" w:rsidRDefault="00000000">
            <w:pPr>
              <w:pStyle w:val="afff2"/>
              <w:spacing w:line="240" w:lineRule="auto"/>
              <w:rPr>
                <w:rFonts w:hAnsi="Times New Roman"/>
              </w:rPr>
            </w:pPr>
            <w:r>
              <w:rPr>
                <w:rFonts w:hAnsi="Times New Roman"/>
              </w:rPr>
              <w:t>委托</w:t>
            </w:r>
            <w:r>
              <w:rPr>
                <w:rFonts w:hAnsi="Times New Roman" w:hint="eastAsia"/>
              </w:rPr>
              <w:t>哈尔滨银山无害化处理有限公司</w:t>
            </w:r>
          </w:p>
        </w:tc>
        <w:tc>
          <w:tcPr>
            <w:tcW w:w="345" w:type="pct"/>
            <w:tcBorders>
              <w:tl2br w:val="nil"/>
              <w:tr2bl w:val="nil"/>
            </w:tcBorders>
            <w:vAlign w:val="center"/>
          </w:tcPr>
          <w:p w14:paraId="458C3A4A" w14:textId="77777777" w:rsidR="00B14D53" w:rsidRDefault="00000000">
            <w:pPr>
              <w:pStyle w:val="afff2"/>
              <w:spacing w:line="240" w:lineRule="auto"/>
              <w:rPr>
                <w:rFonts w:hAnsi="Times New Roman"/>
                <w:bCs/>
              </w:rPr>
            </w:pPr>
            <w:r>
              <w:rPr>
                <w:rFonts w:hAnsi="Times New Roman"/>
              </w:rPr>
              <w:t>140.8t/a</w:t>
            </w:r>
          </w:p>
        </w:tc>
        <w:tc>
          <w:tcPr>
            <w:tcW w:w="415" w:type="pct"/>
            <w:tcBorders>
              <w:tl2br w:val="nil"/>
              <w:tr2bl w:val="nil"/>
            </w:tcBorders>
            <w:vAlign w:val="center"/>
          </w:tcPr>
          <w:p w14:paraId="2FA50CC3" w14:textId="77777777" w:rsidR="00B14D53" w:rsidRDefault="00000000">
            <w:pPr>
              <w:pStyle w:val="afff2"/>
              <w:spacing w:line="240" w:lineRule="auto"/>
              <w:rPr>
                <w:rFonts w:hAnsi="Times New Roman"/>
              </w:rPr>
            </w:pPr>
            <w:r>
              <w:rPr>
                <w:rFonts w:hAnsi="Times New Roman"/>
              </w:rPr>
              <w:t>无害化处置</w:t>
            </w:r>
          </w:p>
        </w:tc>
      </w:tr>
      <w:tr w:rsidR="00B14D53" w14:paraId="0BA75E4F" w14:textId="77777777">
        <w:trPr>
          <w:trHeight w:val="67"/>
        </w:trPr>
        <w:tc>
          <w:tcPr>
            <w:tcW w:w="341" w:type="pct"/>
            <w:vMerge w:val="restart"/>
            <w:tcBorders>
              <w:tl2br w:val="nil"/>
              <w:tr2bl w:val="nil"/>
            </w:tcBorders>
            <w:vAlign w:val="center"/>
          </w:tcPr>
          <w:p w14:paraId="6F48B279" w14:textId="77777777" w:rsidR="00B14D53" w:rsidRDefault="00000000">
            <w:pPr>
              <w:widowControl/>
              <w:jc w:val="center"/>
              <w:rPr>
                <w:szCs w:val="21"/>
              </w:rPr>
            </w:pPr>
            <w:r>
              <w:rPr>
                <w:szCs w:val="21"/>
              </w:rPr>
              <w:t>污水处理</w:t>
            </w:r>
          </w:p>
        </w:tc>
        <w:tc>
          <w:tcPr>
            <w:tcW w:w="370" w:type="pct"/>
            <w:vMerge w:val="restart"/>
            <w:tcBorders>
              <w:tl2br w:val="nil"/>
              <w:tr2bl w:val="nil"/>
            </w:tcBorders>
            <w:vAlign w:val="center"/>
          </w:tcPr>
          <w:p w14:paraId="52F3CC62" w14:textId="77777777" w:rsidR="00B14D53" w:rsidRDefault="00000000">
            <w:pPr>
              <w:pStyle w:val="afff2"/>
              <w:spacing w:line="240" w:lineRule="auto"/>
              <w:rPr>
                <w:rFonts w:hAnsi="Times New Roman"/>
              </w:rPr>
            </w:pPr>
            <w:r>
              <w:rPr>
                <w:rFonts w:hAnsi="Times New Roman"/>
              </w:rPr>
              <w:t>污水处理站</w:t>
            </w:r>
          </w:p>
        </w:tc>
        <w:tc>
          <w:tcPr>
            <w:tcW w:w="891" w:type="pct"/>
            <w:tcBorders>
              <w:tl2br w:val="nil"/>
              <w:tr2bl w:val="nil"/>
            </w:tcBorders>
            <w:vAlign w:val="center"/>
          </w:tcPr>
          <w:p w14:paraId="6DF4B253" w14:textId="77777777" w:rsidR="00B14D53" w:rsidRDefault="00000000">
            <w:pPr>
              <w:pStyle w:val="afff2"/>
              <w:spacing w:line="240" w:lineRule="auto"/>
              <w:rPr>
                <w:rFonts w:hAnsi="Times New Roman"/>
                <w:szCs w:val="22"/>
              </w:rPr>
            </w:pPr>
            <w:r>
              <w:rPr>
                <w:rFonts w:hAnsi="Times New Roman"/>
                <w:szCs w:val="22"/>
              </w:rPr>
              <w:t>污泥（代码：</w:t>
            </w:r>
            <w:r>
              <w:rPr>
                <w:rFonts w:hAnsi="Times New Roman" w:hint="eastAsia"/>
                <w:szCs w:val="22"/>
              </w:rPr>
              <w:t>135-001-S07</w:t>
            </w:r>
            <w:r>
              <w:rPr>
                <w:rFonts w:hAnsi="Times New Roman"/>
                <w:szCs w:val="22"/>
              </w:rPr>
              <w:t>）</w:t>
            </w:r>
          </w:p>
        </w:tc>
        <w:tc>
          <w:tcPr>
            <w:tcW w:w="357" w:type="pct"/>
            <w:vMerge w:val="restart"/>
            <w:tcBorders>
              <w:tl2br w:val="nil"/>
              <w:tr2bl w:val="nil"/>
            </w:tcBorders>
            <w:vAlign w:val="center"/>
          </w:tcPr>
          <w:p w14:paraId="5F6A1B7A" w14:textId="77777777" w:rsidR="00B14D53" w:rsidRDefault="00000000">
            <w:pPr>
              <w:jc w:val="center"/>
            </w:pPr>
            <w:r>
              <w:rPr>
                <w:szCs w:val="21"/>
              </w:rPr>
              <w:t>一般工业固体废物</w:t>
            </w:r>
          </w:p>
        </w:tc>
        <w:tc>
          <w:tcPr>
            <w:tcW w:w="383" w:type="pct"/>
            <w:vMerge w:val="restart"/>
            <w:tcBorders>
              <w:tl2br w:val="nil"/>
              <w:tr2bl w:val="nil"/>
            </w:tcBorders>
            <w:vAlign w:val="center"/>
          </w:tcPr>
          <w:p w14:paraId="04AD04F2" w14:textId="77777777" w:rsidR="00B14D53" w:rsidRDefault="00000000">
            <w:pPr>
              <w:pStyle w:val="afff2"/>
              <w:spacing w:line="240" w:lineRule="auto"/>
              <w:rPr>
                <w:rFonts w:hAnsi="Times New Roman"/>
              </w:rPr>
            </w:pPr>
            <w:r>
              <w:rPr>
                <w:rFonts w:hAnsi="Times New Roman"/>
              </w:rPr>
              <w:t>系数法</w:t>
            </w:r>
          </w:p>
        </w:tc>
        <w:tc>
          <w:tcPr>
            <w:tcW w:w="335" w:type="pct"/>
            <w:tcBorders>
              <w:tl2br w:val="nil"/>
              <w:tr2bl w:val="nil"/>
            </w:tcBorders>
            <w:vAlign w:val="center"/>
          </w:tcPr>
          <w:p w14:paraId="7CA3616C" w14:textId="77777777" w:rsidR="00B14D53" w:rsidRDefault="00000000">
            <w:pPr>
              <w:pStyle w:val="afff2"/>
              <w:spacing w:line="240" w:lineRule="auto"/>
              <w:rPr>
                <w:rFonts w:hAnsi="Times New Roman"/>
              </w:rPr>
            </w:pPr>
            <w:r>
              <w:rPr>
                <w:rFonts w:hAnsi="Times New Roman" w:hint="eastAsia"/>
              </w:rPr>
              <w:t>5.06</w:t>
            </w:r>
            <w:r>
              <w:rPr>
                <w:rFonts w:hAnsi="Times New Roman"/>
              </w:rPr>
              <w:t>t/a</w:t>
            </w:r>
          </w:p>
        </w:tc>
        <w:tc>
          <w:tcPr>
            <w:tcW w:w="1558" w:type="pct"/>
            <w:vMerge w:val="restart"/>
            <w:tcBorders>
              <w:tl2br w:val="nil"/>
              <w:tr2bl w:val="nil"/>
            </w:tcBorders>
            <w:vAlign w:val="center"/>
          </w:tcPr>
          <w:p w14:paraId="22DD5E34" w14:textId="77777777" w:rsidR="00B14D53" w:rsidRDefault="00000000">
            <w:pPr>
              <w:pStyle w:val="afff2"/>
              <w:spacing w:line="240" w:lineRule="auto"/>
              <w:rPr>
                <w:rFonts w:hAnsi="Times New Roman"/>
              </w:rPr>
            </w:pPr>
            <w:r>
              <w:rPr>
                <w:rFonts w:hAnsi="Times New Roman"/>
              </w:rPr>
              <w:t>采用压滤机脱水后，送生活垃圾填埋场处理</w:t>
            </w:r>
          </w:p>
        </w:tc>
        <w:tc>
          <w:tcPr>
            <w:tcW w:w="345" w:type="pct"/>
            <w:tcBorders>
              <w:tl2br w:val="nil"/>
              <w:tr2bl w:val="nil"/>
            </w:tcBorders>
            <w:vAlign w:val="center"/>
          </w:tcPr>
          <w:p w14:paraId="2173AF02" w14:textId="77777777" w:rsidR="00B14D53" w:rsidRDefault="00000000">
            <w:pPr>
              <w:pStyle w:val="afff2"/>
              <w:spacing w:line="240" w:lineRule="auto"/>
              <w:rPr>
                <w:rFonts w:hAnsi="Times New Roman"/>
              </w:rPr>
            </w:pPr>
            <w:r>
              <w:rPr>
                <w:rFonts w:hAnsi="Times New Roman" w:hint="eastAsia"/>
              </w:rPr>
              <w:t>5.06</w:t>
            </w:r>
            <w:r>
              <w:rPr>
                <w:rFonts w:hAnsi="Times New Roman"/>
              </w:rPr>
              <w:t>t/a</w:t>
            </w:r>
          </w:p>
        </w:tc>
        <w:tc>
          <w:tcPr>
            <w:tcW w:w="415" w:type="pct"/>
            <w:vMerge w:val="restart"/>
            <w:tcBorders>
              <w:tl2br w:val="nil"/>
              <w:tr2bl w:val="nil"/>
            </w:tcBorders>
            <w:vAlign w:val="center"/>
          </w:tcPr>
          <w:p w14:paraId="6E0DA974" w14:textId="77777777" w:rsidR="00B14D53" w:rsidRDefault="00000000">
            <w:pPr>
              <w:pStyle w:val="afff2"/>
              <w:spacing w:line="240" w:lineRule="auto"/>
              <w:rPr>
                <w:rFonts w:hAnsi="Times New Roman"/>
              </w:rPr>
            </w:pPr>
            <w:r>
              <w:rPr>
                <w:rFonts w:hAnsi="Times New Roman"/>
              </w:rPr>
              <w:t>卫生</w:t>
            </w:r>
          </w:p>
          <w:p w14:paraId="1D2ABD28" w14:textId="77777777" w:rsidR="00B14D53" w:rsidRDefault="00000000">
            <w:pPr>
              <w:pStyle w:val="afff2"/>
              <w:spacing w:line="240" w:lineRule="auto"/>
              <w:rPr>
                <w:rFonts w:hAnsi="Times New Roman"/>
              </w:rPr>
            </w:pPr>
            <w:r>
              <w:rPr>
                <w:rFonts w:hAnsi="Times New Roman"/>
              </w:rPr>
              <w:t>填埋</w:t>
            </w:r>
          </w:p>
        </w:tc>
      </w:tr>
      <w:tr w:rsidR="00B14D53" w14:paraId="7C1413D5" w14:textId="77777777">
        <w:trPr>
          <w:trHeight w:val="90"/>
        </w:trPr>
        <w:tc>
          <w:tcPr>
            <w:tcW w:w="341" w:type="pct"/>
            <w:vMerge/>
            <w:tcBorders>
              <w:tl2br w:val="nil"/>
              <w:tr2bl w:val="nil"/>
            </w:tcBorders>
            <w:vAlign w:val="center"/>
          </w:tcPr>
          <w:p w14:paraId="2ED9A7B6" w14:textId="77777777" w:rsidR="00B14D53" w:rsidRDefault="00B14D53">
            <w:pPr>
              <w:widowControl/>
              <w:jc w:val="center"/>
              <w:rPr>
                <w:szCs w:val="21"/>
              </w:rPr>
            </w:pPr>
          </w:p>
        </w:tc>
        <w:tc>
          <w:tcPr>
            <w:tcW w:w="370" w:type="pct"/>
            <w:vMerge/>
            <w:tcBorders>
              <w:tl2br w:val="nil"/>
              <w:tr2bl w:val="nil"/>
            </w:tcBorders>
            <w:vAlign w:val="center"/>
          </w:tcPr>
          <w:p w14:paraId="6F03AEA1" w14:textId="77777777" w:rsidR="00B14D53" w:rsidRDefault="00B14D53">
            <w:pPr>
              <w:pStyle w:val="afff2"/>
              <w:spacing w:line="240" w:lineRule="auto"/>
              <w:rPr>
                <w:rFonts w:hAnsi="Times New Roman"/>
              </w:rPr>
            </w:pPr>
          </w:p>
        </w:tc>
        <w:tc>
          <w:tcPr>
            <w:tcW w:w="891" w:type="pct"/>
            <w:tcBorders>
              <w:tl2br w:val="nil"/>
              <w:tr2bl w:val="nil"/>
            </w:tcBorders>
            <w:vAlign w:val="center"/>
          </w:tcPr>
          <w:p w14:paraId="7B4F5B8F" w14:textId="77777777" w:rsidR="00B14D53" w:rsidRDefault="00000000">
            <w:pPr>
              <w:pStyle w:val="afff2"/>
              <w:spacing w:line="240" w:lineRule="auto"/>
              <w:rPr>
                <w:rFonts w:hAnsi="Times New Roman"/>
                <w:szCs w:val="22"/>
              </w:rPr>
            </w:pPr>
            <w:r>
              <w:rPr>
                <w:rFonts w:hAnsi="Times New Roman"/>
                <w:szCs w:val="22"/>
              </w:rPr>
              <w:t>栅渣（代码：</w:t>
            </w:r>
            <w:r>
              <w:rPr>
                <w:rFonts w:hAnsi="Times New Roman" w:hint="eastAsia"/>
                <w:szCs w:val="22"/>
              </w:rPr>
              <w:t>135-001-S07</w:t>
            </w:r>
            <w:r>
              <w:rPr>
                <w:rFonts w:hAnsi="Times New Roman"/>
                <w:szCs w:val="22"/>
              </w:rPr>
              <w:t>）</w:t>
            </w:r>
          </w:p>
        </w:tc>
        <w:tc>
          <w:tcPr>
            <w:tcW w:w="357" w:type="pct"/>
            <w:vMerge/>
            <w:tcBorders>
              <w:tl2br w:val="nil"/>
              <w:tr2bl w:val="nil"/>
            </w:tcBorders>
            <w:vAlign w:val="center"/>
          </w:tcPr>
          <w:p w14:paraId="2E786D91" w14:textId="77777777" w:rsidR="00B14D53" w:rsidRDefault="00B14D53">
            <w:pPr>
              <w:jc w:val="center"/>
            </w:pPr>
          </w:p>
        </w:tc>
        <w:tc>
          <w:tcPr>
            <w:tcW w:w="383" w:type="pct"/>
            <w:vMerge/>
            <w:tcBorders>
              <w:tl2br w:val="nil"/>
              <w:tr2bl w:val="nil"/>
            </w:tcBorders>
            <w:vAlign w:val="center"/>
          </w:tcPr>
          <w:p w14:paraId="5D102DD0" w14:textId="77777777" w:rsidR="00B14D53" w:rsidRDefault="00B14D53">
            <w:pPr>
              <w:pStyle w:val="afff2"/>
              <w:spacing w:line="240" w:lineRule="auto"/>
              <w:rPr>
                <w:rFonts w:hAnsi="Times New Roman"/>
              </w:rPr>
            </w:pPr>
          </w:p>
        </w:tc>
        <w:tc>
          <w:tcPr>
            <w:tcW w:w="335" w:type="pct"/>
            <w:tcBorders>
              <w:tl2br w:val="nil"/>
              <w:tr2bl w:val="nil"/>
            </w:tcBorders>
            <w:vAlign w:val="center"/>
          </w:tcPr>
          <w:p w14:paraId="50BA721B" w14:textId="77777777" w:rsidR="00B14D53" w:rsidRDefault="00000000">
            <w:pPr>
              <w:pStyle w:val="afff2"/>
              <w:spacing w:line="240" w:lineRule="auto"/>
              <w:rPr>
                <w:rFonts w:hAnsi="Times New Roman"/>
              </w:rPr>
            </w:pPr>
            <w:r>
              <w:rPr>
                <w:rFonts w:hAnsi="Times New Roman" w:hint="eastAsia"/>
              </w:rPr>
              <w:t>6.32</w:t>
            </w:r>
            <w:r>
              <w:rPr>
                <w:rFonts w:hAnsi="Times New Roman"/>
              </w:rPr>
              <w:t>t/a</w:t>
            </w:r>
          </w:p>
        </w:tc>
        <w:tc>
          <w:tcPr>
            <w:tcW w:w="1558" w:type="pct"/>
            <w:vMerge/>
            <w:tcBorders>
              <w:tl2br w:val="nil"/>
              <w:tr2bl w:val="nil"/>
            </w:tcBorders>
            <w:vAlign w:val="center"/>
          </w:tcPr>
          <w:p w14:paraId="1BB86514" w14:textId="77777777" w:rsidR="00B14D53" w:rsidRDefault="00B14D53">
            <w:pPr>
              <w:pStyle w:val="afff2"/>
              <w:spacing w:line="240" w:lineRule="auto"/>
              <w:rPr>
                <w:rFonts w:hAnsi="Times New Roman"/>
              </w:rPr>
            </w:pPr>
          </w:p>
        </w:tc>
        <w:tc>
          <w:tcPr>
            <w:tcW w:w="345" w:type="pct"/>
            <w:tcBorders>
              <w:tl2br w:val="nil"/>
              <w:tr2bl w:val="nil"/>
            </w:tcBorders>
            <w:vAlign w:val="center"/>
          </w:tcPr>
          <w:p w14:paraId="0C0A7FFE" w14:textId="77777777" w:rsidR="00B14D53" w:rsidRDefault="00000000">
            <w:pPr>
              <w:pStyle w:val="afff2"/>
              <w:spacing w:line="240" w:lineRule="auto"/>
              <w:rPr>
                <w:rFonts w:hAnsi="Times New Roman"/>
              </w:rPr>
            </w:pPr>
            <w:r>
              <w:rPr>
                <w:rFonts w:hAnsi="Times New Roman" w:hint="eastAsia"/>
              </w:rPr>
              <w:t>6.32</w:t>
            </w:r>
            <w:r>
              <w:rPr>
                <w:rFonts w:hAnsi="Times New Roman"/>
              </w:rPr>
              <w:t>t/a</w:t>
            </w:r>
          </w:p>
        </w:tc>
        <w:tc>
          <w:tcPr>
            <w:tcW w:w="415" w:type="pct"/>
            <w:vMerge/>
            <w:tcBorders>
              <w:tl2br w:val="nil"/>
              <w:tr2bl w:val="nil"/>
            </w:tcBorders>
            <w:vAlign w:val="center"/>
          </w:tcPr>
          <w:p w14:paraId="09DCF0F1" w14:textId="77777777" w:rsidR="00B14D53" w:rsidRDefault="00B14D53">
            <w:pPr>
              <w:pStyle w:val="afff2"/>
              <w:spacing w:line="240" w:lineRule="auto"/>
              <w:rPr>
                <w:rFonts w:hAnsi="Times New Roman"/>
              </w:rPr>
            </w:pPr>
          </w:p>
        </w:tc>
      </w:tr>
      <w:tr w:rsidR="00B14D53" w14:paraId="5C59558C" w14:textId="77777777">
        <w:trPr>
          <w:trHeight w:val="318"/>
        </w:trPr>
        <w:tc>
          <w:tcPr>
            <w:tcW w:w="341" w:type="pct"/>
            <w:tcBorders>
              <w:tl2br w:val="nil"/>
              <w:tr2bl w:val="nil"/>
            </w:tcBorders>
            <w:vAlign w:val="center"/>
          </w:tcPr>
          <w:p w14:paraId="2949BAC1" w14:textId="77777777" w:rsidR="00B14D53" w:rsidRDefault="00000000">
            <w:pPr>
              <w:pStyle w:val="afff2"/>
              <w:spacing w:line="240" w:lineRule="auto"/>
              <w:rPr>
                <w:rFonts w:hAnsi="Times New Roman"/>
              </w:rPr>
            </w:pPr>
            <w:r>
              <w:rPr>
                <w:rFonts w:hAnsi="Times New Roman"/>
              </w:rPr>
              <w:t>废气治理</w:t>
            </w:r>
          </w:p>
        </w:tc>
        <w:tc>
          <w:tcPr>
            <w:tcW w:w="370" w:type="pct"/>
            <w:tcBorders>
              <w:tl2br w:val="nil"/>
              <w:tr2bl w:val="nil"/>
            </w:tcBorders>
            <w:vAlign w:val="center"/>
          </w:tcPr>
          <w:p w14:paraId="0C8E5901" w14:textId="77777777" w:rsidR="00B14D53" w:rsidRDefault="00000000">
            <w:pPr>
              <w:pStyle w:val="afff2"/>
              <w:spacing w:line="240" w:lineRule="auto"/>
              <w:rPr>
                <w:rFonts w:hAnsi="Times New Roman"/>
              </w:rPr>
            </w:pPr>
            <w:r>
              <w:rPr>
                <w:rFonts w:hAnsi="Times New Roman"/>
              </w:rPr>
              <w:t>活性炭吸附装置</w:t>
            </w:r>
          </w:p>
        </w:tc>
        <w:tc>
          <w:tcPr>
            <w:tcW w:w="891" w:type="pct"/>
            <w:tcBorders>
              <w:tl2br w:val="nil"/>
              <w:tr2bl w:val="nil"/>
            </w:tcBorders>
            <w:vAlign w:val="center"/>
          </w:tcPr>
          <w:p w14:paraId="4BF93B80" w14:textId="77777777" w:rsidR="00B14D53" w:rsidRDefault="00000000">
            <w:pPr>
              <w:pStyle w:val="afff2"/>
              <w:spacing w:line="240" w:lineRule="auto"/>
              <w:rPr>
                <w:rFonts w:hAnsi="Times New Roman"/>
              </w:rPr>
            </w:pPr>
            <w:r>
              <w:rPr>
                <w:rFonts w:hAnsi="Times New Roman"/>
              </w:rPr>
              <w:t>废活性炭</w:t>
            </w:r>
            <w:r>
              <w:rPr>
                <w:rFonts w:hAnsi="Times New Roman"/>
                <w:bCs/>
              </w:rPr>
              <w:t>（代码：</w:t>
            </w:r>
            <w:r>
              <w:rPr>
                <w:rFonts w:hAnsi="Times New Roman" w:hint="eastAsia"/>
                <w:bCs/>
              </w:rPr>
              <w:t>900-008-S59</w:t>
            </w:r>
            <w:r>
              <w:rPr>
                <w:rFonts w:hAnsi="Times New Roman"/>
                <w:bCs/>
              </w:rPr>
              <w:t>）</w:t>
            </w:r>
          </w:p>
        </w:tc>
        <w:tc>
          <w:tcPr>
            <w:tcW w:w="357" w:type="pct"/>
            <w:vMerge/>
            <w:tcBorders>
              <w:tl2br w:val="nil"/>
              <w:tr2bl w:val="nil"/>
            </w:tcBorders>
            <w:vAlign w:val="center"/>
          </w:tcPr>
          <w:p w14:paraId="336C89EC" w14:textId="77777777" w:rsidR="00B14D53" w:rsidRDefault="00B14D53">
            <w:pPr>
              <w:widowControl/>
              <w:jc w:val="center"/>
              <w:rPr>
                <w:szCs w:val="21"/>
              </w:rPr>
            </w:pPr>
          </w:p>
        </w:tc>
        <w:tc>
          <w:tcPr>
            <w:tcW w:w="383" w:type="pct"/>
            <w:tcBorders>
              <w:tl2br w:val="nil"/>
              <w:tr2bl w:val="nil"/>
            </w:tcBorders>
            <w:vAlign w:val="center"/>
          </w:tcPr>
          <w:p w14:paraId="65F3F634" w14:textId="77777777" w:rsidR="00B14D53" w:rsidRDefault="00000000">
            <w:pPr>
              <w:widowControl/>
              <w:jc w:val="center"/>
              <w:rPr>
                <w:szCs w:val="21"/>
              </w:rPr>
            </w:pPr>
            <w:r>
              <w:rPr>
                <w:szCs w:val="21"/>
              </w:rPr>
              <w:t>系数法</w:t>
            </w:r>
          </w:p>
        </w:tc>
        <w:tc>
          <w:tcPr>
            <w:tcW w:w="335" w:type="pct"/>
            <w:tcBorders>
              <w:tl2br w:val="nil"/>
              <w:tr2bl w:val="nil"/>
            </w:tcBorders>
            <w:vAlign w:val="center"/>
          </w:tcPr>
          <w:p w14:paraId="5B391011" w14:textId="77777777" w:rsidR="00B14D53" w:rsidRDefault="00000000">
            <w:pPr>
              <w:pStyle w:val="afff2"/>
              <w:spacing w:line="240" w:lineRule="auto"/>
              <w:rPr>
                <w:rFonts w:hAnsi="Times New Roman"/>
              </w:rPr>
            </w:pPr>
            <w:r>
              <w:rPr>
                <w:rFonts w:hAnsi="Times New Roman" w:hint="eastAsia"/>
              </w:rPr>
              <w:t>2.02</w:t>
            </w:r>
            <w:r>
              <w:rPr>
                <w:rFonts w:hAnsi="Times New Roman"/>
              </w:rPr>
              <w:t>t/a</w:t>
            </w:r>
          </w:p>
        </w:tc>
        <w:tc>
          <w:tcPr>
            <w:tcW w:w="1558" w:type="pct"/>
            <w:tcBorders>
              <w:tl2br w:val="nil"/>
              <w:tr2bl w:val="nil"/>
            </w:tcBorders>
            <w:vAlign w:val="center"/>
          </w:tcPr>
          <w:p w14:paraId="372A3A96" w14:textId="77777777" w:rsidR="00B14D53" w:rsidRDefault="00000000">
            <w:pPr>
              <w:pStyle w:val="afff2"/>
              <w:spacing w:line="240" w:lineRule="auto"/>
              <w:rPr>
                <w:rFonts w:hAnsi="Times New Roman"/>
              </w:rPr>
            </w:pPr>
            <w:r>
              <w:rPr>
                <w:rFonts w:hAnsi="Times New Roman"/>
              </w:rPr>
              <w:t>交由厂家再生利用</w:t>
            </w:r>
          </w:p>
        </w:tc>
        <w:tc>
          <w:tcPr>
            <w:tcW w:w="345" w:type="pct"/>
            <w:tcBorders>
              <w:tl2br w:val="nil"/>
              <w:tr2bl w:val="nil"/>
            </w:tcBorders>
            <w:vAlign w:val="center"/>
          </w:tcPr>
          <w:p w14:paraId="6A16613C" w14:textId="77777777" w:rsidR="00B14D53" w:rsidRDefault="00000000">
            <w:pPr>
              <w:pStyle w:val="afff2"/>
              <w:spacing w:line="240" w:lineRule="auto"/>
              <w:rPr>
                <w:rFonts w:hAnsi="Times New Roman"/>
              </w:rPr>
            </w:pPr>
            <w:r>
              <w:rPr>
                <w:rFonts w:hAnsi="Times New Roman" w:hint="eastAsia"/>
              </w:rPr>
              <w:t>2.02</w:t>
            </w:r>
            <w:r>
              <w:rPr>
                <w:rFonts w:hAnsi="Times New Roman"/>
              </w:rPr>
              <w:t>t/a</w:t>
            </w:r>
          </w:p>
        </w:tc>
        <w:tc>
          <w:tcPr>
            <w:tcW w:w="415" w:type="pct"/>
            <w:tcBorders>
              <w:tl2br w:val="nil"/>
              <w:tr2bl w:val="nil"/>
            </w:tcBorders>
            <w:vAlign w:val="center"/>
          </w:tcPr>
          <w:p w14:paraId="779D2558" w14:textId="77777777" w:rsidR="00B14D53" w:rsidRDefault="00000000">
            <w:pPr>
              <w:pStyle w:val="afff2"/>
              <w:spacing w:line="240" w:lineRule="auto"/>
              <w:rPr>
                <w:rFonts w:hAnsi="Times New Roman"/>
              </w:rPr>
            </w:pPr>
            <w:r>
              <w:rPr>
                <w:rFonts w:hAnsi="Times New Roman"/>
              </w:rPr>
              <w:t>再生</w:t>
            </w:r>
          </w:p>
          <w:p w14:paraId="62AE860C" w14:textId="77777777" w:rsidR="00B14D53" w:rsidRDefault="00000000">
            <w:pPr>
              <w:pStyle w:val="afff2"/>
              <w:spacing w:line="240" w:lineRule="auto"/>
              <w:rPr>
                <w:rFonts w:hAnsi="Times New Roman"/>
              </w:rPr>
            </w:pPr>
            <w:r>
              <w:rPr>
                <w:rFonts w:hAnsi="Times New Roman"/>
              </w:rPr>
              <w:t>利用</w:t>
            </w:r>
          </w:p>
        </w:tc>
      </w:tr>
      <w:tr w:rsidR="00B14D53" w14:paraId="05838184" w14:textId="77777777">
        <w:trPr>
          <w:trHeight w:val="90"/>
        </w:trPr>
        <w:tc>
          <w:tcPr>
            <w:tcW w:w="341" w:type="pct"/>
            <w:tcBorders>
              <w:tl2br w:val="nil"/>
              <w:tr2bl w:val="nil"/>
            </w:tcBorders>
            <w:vAlign w:val="center"/>
          </w:tcPr>
          <w:p w14:paraId="6A33B7DE" w14:textId="77777777" w:rsidR="00B14D53" w:rsidRDefault="00000000">
            <w:pPr>
              <w:pStyle w:val="afff2"/>
              <w:spacing w:line="240" w:lineRule="auto"/>
              <w:rPr>
                <w:rFonts w:hAnsi="Times New Roman"/>
              </w:rPr>
            </w:pPr>
            <w:r>
              <w:rPr>
                <w:rFonts w:hAnsi="Times New Roman" w:hint="eastAsia"/>
              </w:rPr>
              <w:t>软化水制备</w:t>
            </w:r>
          </w:p>
        </w:tc>
        <w:tc>
          <w:tcPr>
            <w:tcW w:w="370" w:type="pct"/>
            <w:tcBorders>
              <w:tl2br w:val="nil"/>
              <w:tr2bl w:val="nil"/>
            </w:tcBorders>
            <w:vAlign w:val="center"/>
          </w:tcPr>
          <w:p w14:paraId="5D21C1F3" w14:textId="77777777" w:rsidR="00B14D53" w:rsidRDefault="00000000">
            <w:pPr>
              <w:pStyle w:val="afff2"/>
              <w:spacing w:line="240" w:lineRule="auto"/>
              <w:rPr>
                <w:rFonts w:hAnsi="Times New Roman"/>
              </w:rPr>
            </w:pPr>
            <w:r>
              <w:rPr>
                <w:rFonts w:hAnsi="Times New Roman" w:hint="eastAsia"/>
              </w:rPr>
              <w:t>软化水装置</w:t>
            </w:r>
          </w:p>
        </w:tc>
        <w:tc>
          <w:tcPr>
            <w:tcW w:w="891" w:type="pct"/>
            <w:tcBorders>
              <w:tl2br w:val="nil"/>
              <w:tr2bl w:val="nil"/>
            </w:tcBorders>
            <w:vAlign w:val="center"/>
          </w:tcPr>
          <w:p w14:paraId="731A5C3E" w14:textId="77777777" w:rsidR="00B14D53" w:rsidRDefault="00000000">
            <w:pPr>
              <w:pStyle w:val="afff2"/>
              <w:spacing w:line="240" w:lineRule="auto"/>
              <w:rPr>
                <w:rFonts w:hAnsi="Times New Roman"/>
                <w:color w:val="FF0000"/>
                <w:spacing w:val="-20"/>
              </w:rPr>
            </w:pPr>
            <w:r>
              <w:rPr>
                <w:rFonts w:hAnsi="Times New Roman"/>
              </w:rPr>
              <w:t>废离子交换树脂（代码：</w:t>
            </w:r>
            <w:r>
              <w:rPr>
                <w:rFonts w:hAnsi="Times New Roman" w:hint="eastAsia"/>
              </w:rPr>
              <w:t>900-008-S59</w:t>
            </w:r>
            <w:r>
              <w:rPr>
                <w:rFonts w:hAnsi="Times New Roman"/>
              </w:rPr>
              <w:t>）</w:t>
            </w:r>
          </w:p>
        </w:tc>
        <w:tc>
          <w:tcPr>
            <w:tcW w:w="357" w:type="pct"/>
            <w:vMerge/>
            <w:tcBorders>
              <w:tl2br w:val="nil"/>
              <w:tr2bl w:val="nil"/>
            </w:tcBorders>
            <w:vAlign w:val="center"/>
          </w:tcPr>
          <w:p w14:paraId="5551B5FA" w14:textId="77777777" w:rsidR="00B14D53" w:rsidRDefault="00B14D53">
            <w:pPr>
              <w:widowControl/>
              <w:jc w:val="center"/>
              <w:rPr>
                <w:color w:val="FF0000"/>
                <w:szCs w:val="21"/>
              </w:rPr>
            </w:pPr>
          </w:p>
        </w:tc>
        <w:tc>
          <w:tcPr>
            <w:tcW w:w="383" w:type="pct"/>
            <w:tcBorders>
              <w:tl2br w:val="nil"/>
              <w:tr2bl w:val="nil"/>
            </w:tcBorders>
            <w:vAlign w:val="center"/>
          </w:tcPr>
          <w:p w14:paraId="3ABF109C" w14:textId="77777777" w:rsidR="00B14D53" w:rsidRDefault="00000000">
            <w:pPr>
              <w:widowControl/>
              <w:jc w:val="center"/>
              <w:rPr>
                <w:color w:val="FF0000"/>
                <w:szCs w:val="21"/>
              </w:rPr>
            </w:pPr>
            <w:r>
              <w:rPr>
                <w:szCs w:val="21"/>
              </w:rPr>
              <w:t>类比法</w:t>
            </w:r>
          </w:p>
        </w:tc>
        <w:tc>
          <w:tcPr>
            <w:tcW w:w="335" w:type="pct"/>
            <w:tcBorders>
              <w:tl2br w:val="nil"/>
              <w:tr2bl w:val="nil"/>
            </w:tcBorders>
            <w:vAlign w:val="center"/>
          </w:tcPr>
          <w:p w14:paraId="4EED13E0" w14:textId="77777777" w:rsidR="00B14D53" w:rsidRDefault="00000000">
            <w:pPr>
              <w:pStyle w:val="afff2"/>
              <w:spacing w:line="240" w:lineRule="auto"/>
              <w:rPr>
                <w:rFonts w:hAnsi="Times New Roman"/>
              </w:rPr>
            </w:pPr>
            <w:r>
              <w:rPr>
                <w:rFonts w:hAnsi="Times New Roman"/>
              </w:rPr>
              <w:t>0.3t/</w:t>
            </w:r>
            <w:r>
              <w:rPr>
                <w:rFonts w:hAnsi="Times New Roman" w:hint="eastAsia"/>
              </w:rPr>
              <w:t>3</w:t>
            </w:r>
            <w:r>
              <w:rPr>
                <w:rFonts w:hAnsi="Times New Roman"/>
              </w:rPr>
              <w:t>a</w:t>
            </w:r>
          </w:p>
        </w:tc>
        <w:tc>
          <w:tcPr>
            <w:tcW w:w="1558" w:type="pct"/>
            <w:tcBorders>
              <w:tl2br w:val="nil"/>
              <w:tr2bl w:val="nil"/>
            </w:tcBorders>
            <w:vAlign w:val="center"/>
          </w:tcPr>
          <w:p w14:paraId="78206518" w14:textId="77777777" w:rsidR="00B14D53" w:rsidRDefault="00000000">
            <w:pPr>
              <w:pStyle w:val="afff2"/>
              <w:spacing w:line="240" w:lineRule="auto"/>
              <w:rPr>
                <w:rFonts w:hAnsi="Times New Roman"/>
              </w:rPr>
            </w:pPr>
            <w:r>
              <w:rPr>
                <w:rFonts w:hAnsi="Times New Roman"/>
              </w:rPr>
              <w:t>由厂家回收利用</w:t>
            </w:r>
          </w:p>
        </w:tc>
        <w:tc>
          <w:tcPr>
            <w:tcW w:w="345" w:type="pct"/>
            <w:tcBorders>
              <w:tl2br w:val="nil"/>
              <w:tr2bl w:val="nil"/>
            </w:tcBorders>
            <w:vAlign w:val="center"/>
          </w:tcPr>
          <w:p w14:paraId="0DD33911" w14:textId="77777777" w:rsidR="00B14D53" w:rsidRDefault="00000000">
            <w:pPr>
              <w:pStyle w:val="afff2"/>
              <w:spacing w:line="240" w:lineRule="auto"/>
              <w:rPr>
                <w:rFonts w:hAnsi="Times New Roman"/>
              </w:rPr>
            </w:pPr>
            <w:r>
              <w:rPr>
                <w:rFonts w:hAnsi="Times New Roman"/>
              </w:rPr>
              <w:t>0.3t/</w:t>
            </w:r>
            <w:r>
              <w:rPr>
                <w:rFonts w:hAnsi="Times New Roman" w:hint="eastAsia"/>
              </w:rPr>
              <w:t>3</w:t>
            </w:r>
            <w:r>
              <w:rPr>
                <w:rFonts w:hAnsi="Times New Roman"/>
              </w:rPr>
              <w:t>a</w:t>
            </w:r>
          </w:p>
        </w:tc>
        <w:tc>
          <w:tcPr>
            <w:tcW w:w="415" w:type="pct"/>
            <w:tcBorders>
              <w:tl2br w:val="nil"/>
              <w:tr2bl w:val="nil"/>
            </w:tcBorders>
            <w:vAlign w:val="center"/>
          </w:tcPr>
          <w:p w14:paraId="7B40F1A7" w14:textId="77777777" w:rsidR="00B14D53" w:rsidRDefault="00000000">
            <w:pPr>
              <w:pStyle w:val="afff2"/>
              <w:spacing w:line="240" w:lineRule="auto"/>
              <w:rPr>
                <w:rFonts w:hAnsi="Times New Roman"/>
              </w:rPr>
            </w:pPr>
            <w:r>
              <w:rPr>
                <w:rFonts w:hAnsi="Times New Roman"/>
              </w:rPr>
              <w:t>厂家回收利用</w:t>
            </w:r>
          </w:p>
        </w:tc>
      </w:tr>
      <w:tr w:rsidR="00B14D53" w14:paraId="4153F328" w14:textId="77777777">
        <w:trPr>
          <w:trHeight w:val="90"/>
        </w:trPr>
        <w:tc>
          <w:tcPr>
            <w:tcW w:w="341" w:type="pct"/>
            <w:tcBorders>
              <w:tl2br w:val="nil"/>
              <w:tr2bl w:val="nil"/>
            </w:tcBorders>
            <w:vAlign w:val="center"/>
          </w:tcPr>
          <w:p w14:paraId="210C6385" w14:textId="77777777" w:rsidR="00B14D53" w:rsidRDefault="00000000">
            <w:pPr>
              <w:pStyle w:val="afff2"/>
              <w:spacing w:line="240" w:lineRule="auto"/>
              <w:rPr>
                <w:rFonts w:hAnsi="Times New Roman"/>
              </w:rPr>
            </w:pPr>
            <w:r>
              <w:rPr>
                <w:rFonts w:hAnsi="Times New Roman"/>
              </w:rPr>
              <w:t>职工生活</w:t>
            </w:r>
          </w:p>
        </w:tc>
        <w:tc>
          <w:tcPr>
            <w:tcW w:w="370" w:type="pct"/>
            <w:tcBorders>
              <w:tl2br w:val="nil"/>
              <w:tr2bl w:val="nil"/>
            </w:tcBorders>
            <w:vAlign w:val="center"/>
          </w:tcPr>
          <w:p w14:paraId="7352B27D" w14:textId="77777777" w:rsidR="00B14D53" w:rsidRDefault="00000000">
            <w:pPr>
              <w:pStyle w:val="afff2"/>
              <w:spacing w:line="240" w:lineRule="auto"/>
              <w:rPr>
                <w:rFonts w:hAnsi="Times New Roman"/>
                <w:szCs w:val="22"/>
              </w:rPr>
            </w:pPr>
            <w:r>
              <w:rPr>
                <w:rFonts w:hAnsi="Times New Roman" w:hint="eastAsia"/>
                <w:szCs w:val="22"/>
              </w:rPr>
              <w:t>休息室</w:t>
            </w:r>
          </w:p>
        </w:tc>
        <w:tc>
          <w:tcPr>
            <w:tcW w:w="891" w:type="pct"/>
            <w:tcBorders>
              <w:tl2br w:val="nil"/>
              <w:tr2bl w:val="nil"/>
            </w:tcBorders>
            <w:vAlign w:val="center"/>
          </w:tcPr>
          <w:p w14:paraId="4696690F" w14:textId="77777777" w:rsidR="00B14D53" w:rsidRDefault="00000000">
            <w:pPr>
              <w:pStyle w:val="afff2"/>
              <w:spacing w:line="240" w:lineRule="auto"/>
              <w:rPr>
                <w:rFonts w:hAnsi="Times New Roman"/>
              </w:rPr>
            </w:pPr>
            <w:r>
              <w:rPr>
                <w:rFonts w:hAnsi="Times New Roman"/>
              </w:rPr>
              <w:t>生活垃圾</w:t>
            </w:r>
            <w:r>
              <w:rPr>
                <w:rFonts w:hAnsi="Times New Roman" w:hint="eastAsia"/>
              </w:rPr>
              <w:t>（代码：</w:t>
            </w:r>
            <w:r>
              <w:rPr>
                <w:rFonts w:hAnsi="Times New Roman" w:hint="eastAsia"/>
              </w:rPr>
              <w:t>900-099-S64</w:t>
            </w:r>
            <w:r>
              <w:rPr>
                <w:rFonts w:hAnsi="Times New Roman" w:hint="eastAsia"/>
              </w:rPr>
              <w:t>）</w:t>
            </w:r>
          </w:p>
        </w:tc>
        <w:tc>
          <w:tcPr>
            <w:tcW w:w="357" w:type="pct"/>
            <w:tcBorders>
              <w:tl2br w:val="nil"/>
              <w:tr2bl w:val="nil"/>
            </w:tcBorders>
            <w:vAlign w:val="center"/>
          </w:tcPr>
          <w:p w14:paraId="134943D6" w14:textId="77777777" w:rsidR="00B14D53" w:rsidRDefault="00000000">
            <w:pPr>
              <w:widowControl/>
              <w:jc w:val="center"/>
              <w:rPr>
                <w:szCs w:val="21"/>
              </w:rPr>
            </w:pPr>
            <w:r>
              <w:rPr>
                <w:szCs w:val="21"/>
              </w:rPr>
              <w:t>/</w:t>
            </w:r>
          </w:p>
        </w:tc>
        <w:tc>
          <w:tcPr>
            <w:tcW w:w="383" w:type="pct"/>
            <w:tcBorders>
              <w:tl2br w:val="nil"/>
              <w:tr2bl w:val="nil"/>
            </w:tcBorders>
            <w:vAlign w:val="center"/>
          </w:tcPr>
          <w:p w14:paraId="7CBC24FB" w14:textId="77777777" w:rsidR="00B14D53" w:rsidRDefault="00000000">
            <w:pPr>
              <w:pStyle w:val="afff2"/>
              <w:spacing w:line="240" w:lineRule="auto"/>
              <w:rPr>
                <w:rFonts w:hAnsi="Times New Roman"/>
                <w:szCs w:val="22"/>
              </w:rPr>
            </w:pPr>
            <w:r>
              <w:rPr>
                <w:rFonts w:hAnsi="Times New Roman"/>
              </w:rPr>
              <w:t>系数法</w:t>
            </w:r>
          </w:p>
        </w:tc>
        <w:tc>
          <w:tcPr>
            <w:tcW w:w="335" w:type="pct"/>
            <w:tcBorders>
              <w:tl2br w:val="nil"/>
              <w:tr2bl w:val="nil"/>
            </w:tcBorders>
            <w:vAlign w:val="center"/>
          </w:tcPr>
          <w:p w14:paraId="58E3B2E2" w14:textId="77777777" w:rsidR="00B14D53" w:rsidRDefault="00000000">
            <w:pPr>
              <w:pStyle w:val="afff2"/>
              <w:spacing w:line="240" w:lineRule="auto"/>
              <w:rPr>
                <w:rFonts w:hAnsi="Times New Roman"/>
                <w:szCs w:val="22"/>
              </w:rPr>
            </w:pPr>
            <w:r>
              <w:rPr>
                <w:rFonts w:hAnsi="Times New Roman" w:hint="eastAsia"/>
                <w:szCs w:val="22"/>
              </w:rPr>
              <w:t>4.08</w:t>
            </w:r>
            <w:r>
              <w:rPr>
                <w:rFonts w:hAnsi="Times New Roman"/>
                <w:szCs w:val="22"/>
              </w:rPr>
              <w:t>t/a</w:t>
            </w:r>
          </w:p>
        </w:tc>
        <w:tc>
          <w:tcPr>
            <w:tcW w:w="1558" w:type="pct"/>
            <w:tcBorders>
              <w:tl2br w:val="nil"/>
              <w:tr2bl w:val="nil"/>
            </w:tcBorders>
            <w:vAlign w:val="center"/>
          </w:tcPr>
          <w:p w14:paraId="32527220" w14:textId="77777777" w:rsidR="00B14D53" w:rsidRDefault="00000000">
            <w:pPr>
              <w:pStyle w:val="afff2"/>
              <w:spacing w:line="240" w:lineRule="auto"/>
              <w:rPr>
                <w:rFonts w:hAnsi="Times New Roman"/>
              </w:rPr>
            </w:pPr>
            <w:r>
              <w:rPr>
                <w:rFonts w:hAnsi="Times New Roman"/>
              </w:rPr>
              <w:t>由市政部门统一处理</w:t>
            </w:r>
          </w:p>
        </w:tc>
        <w:tc>
          <w:tcPr>
            <w:tcW w:w="345" w:type="pct"/>
            <w:tcBorders>
              <w:tl2br w:val="nil"/>
              <w:tr2bl w:val="nil"/>
            </w:tcBorders>
            <w:vAlign w:val="center"/>
          </w:tcPr>
          <w:p w14:paraId="1FF1104A" w14:textId="77777777" w:rsidR="00B14D53" w:rsidRDefault="00000000">
            <w:pPr>
              <w:pStyle w:val="afff2"/>
              <w:spacing w:line="240" w:lineRule="auto"/>
              <w:rPr>
                <w:rFonts w:hAnsi="Times New Roman"/>
                <w:szCs w:val="22"/>
              </w:rPr>
            </w:pPr>
            <w:r>
              <w:rPr>
                <w:rFonts w:hAnsi="Times New Roman" w:hint="eastAsia"/>
                <w:szCs w:val="22"/>
              </w:rPr>
              <w:t>4.08</w:t>
            </w:r>
            <w:r>
              <w:rPr>
                <w:rFonts w:hAnsi="Times New Roman"/>
                <w:szCs w:val="22"/>
              </w:rPr>
              <w:t>t/a</w:t>
            </w:r>
          </w:p>
        </w:tc>
        <w:tc>
          <w:tcPr>
            <w:tcW w:w="415" w:type="pct"/>
            <w:tcBorders>
              <w:tl2br w:val="nil"/>
              <w:tr2bl w:val="nil"/>
            </w:tcBorders>
            <w:vAlign w:val="center"/>
          </w:tcPr>
          <w:p w14:paraId="7E0AB87A" w14:textId="77777777" w:rsidR="00B14D53" w:rsidRDefault="00000000">
            <w:pPr>
              <w:pStyle w:val="afff2"/>
              <w:spacing w:line="240" w:lineRule="auto"/>
              <w:rPr>
                <w:rFonts w:hAnsi="Times New Roman"/>
              </w:rPr>
            </w:pPr>
            <w:r>
              <w:rPr>
                <w:rFonts w:hAnsi="Times New Roman"/>
              </w:rPr>
              <w:t>卫生</w:t>
            </w:r>
          </w:p>
          <w:p w14:paraId="7C54191A" w14:textId="77777777" w:rsidR="00B14D53" w:rsidRDefault="00000000">
            <w:pPr>
              <w:pStyle w:val="afff2"/>
              <w:spacing w:line="240" w:lineRule="auto"/>
              <w:rPr>
                <w:rFonts w:hAnsi="Times New Roman"/>
              </w:rPr>
            </w:pPr>
            <w:r>
              <w:rPr>
                <w:rFonts w:hAnsi="Times New Roman"/>
              </w:rPr>
              <w:t>填埋</w:t>
            </w:r>
          </w:p>
        </w:tc>
      </w:tr>
    </w:tbl>
    <w:p w14:paraId="4CA410FC" w14:textId="77777777" w:rsidR="00B14D53" w:rsidRDefault="00B14D53">
      <w:pPr>
        <w:spacing w:line="360" w:lineRule="auto"/>
        <w:outlineLvl w:val="3"/>
        <w:rPr>
          <w:rFonts w:eastAsiaTheme="minorEastAsia"/>
          <w:b/>
          <w:sz w:val="24"/>
        </w:rPr>
        <w:sectPr w:rsidR="00B14D53">
          <w:pgSz w:w="16838" w:h="11906" w:orient="landscape"/>
          <w:pgMar w:top="1800" w:right="1440" w:bottom="1800" w:left="1440" w:header="851" w:footer="992" w:gutter="0"/>
          <w:cols w:space="425"/>
          <w:docGrid w:type="lines" w:linePitch="312"/>
        </w:sectPr>
      </w:pPr>
    </w:p>
    <w:p w14:paraId="4D2C6A03"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3.3.2.5</w:t>
      </w:r>
      <w:r>
        <w:rPr>
          <w:rFonts w:ascii="Times New Roman" w:eastAsia="黑体" w:hAnsi="Times New Roman" w:cs="Times New Roman"/>
          <w:b w:val="0"/>
          <w:bCs w:val="0"/>
          <w:sz w:val="24"/>
          <w:szCs w:val="24"/>
        </w:rPr>
        <w:t>地下水污染分析</w:t>
      </w:r>
    </w:p>
    <w:p w14:paraId="3BEBE675" w14:textId="77777777" w:rsidR="00B14D53" w:rsidRDefault="00000000">
      <w:pPr>
        <w:spacing w:line="360" w:lineRule="auto"/>
        <w:ind w:firstLineChars="200" w:firstLine="480"/>
        <w:contextualSpacing/>
        <w:rPr>
          <w:rFonts w:eastAsiaTheme="minorEastAsia"/>
          <w:sz w:val="24"/>
        </w:rPr>
      </w:pPr>
      <w:r>
        <w:rPr>
          <w:rFonts w:eastAsiaTheme="minorEastAsia"/>
          <w:sz w:val="24"/>
        </w:rPr>
        <w:fldChar w:fldCharType="begin"/>
      </w:r>
      <w:r>
        <w:rPr>
          <w:rFonts w:eastAsiaTheme="minorEastAsia"/>
          <w:sz w:val="24"/>
        </w:rPr>
        <w:instrText xml:space="preserve"> = 1 \* GB3 </w:instrText>
      </w:r>
      <w:r>
        <w:rPr>
          <w:rFonts w:eastAsiaTheme="minorEastAsia"/>
          <w:sz w:val="24"/>
        </w:rPr>
        <w:fldChar w:fldCharType="separate"/>
      </w:r>
      <w:r>
        <w:rPr>
          <w:rFonts w:eastAsiaTheme="minorEastAsia" w:hAnsiTheme="minorEastAsia"/>
          <w:sz w:val="24"/>
        </w:rPr>
        <w:t>①</w:t>
      </w:r>
      <w:r>
        <w:rPr>
          <w:rFonts w:eastAsiaTheme="minorEastAsia"/>
          <w:sz w:val="24"/>
        </w:rPr>
        <w:fldChar w:fldCharType="end"/>
      </w:r>
      <w:r>
        <w:rPr>
          <w:rFonts w:eastAsiaTheme="minorEastAsia" w:hAnsiTheme="minorEastAsia"/>
          <w:sz w:val="24"/>
        </w:rPr>
        <w:t>污染源强识别</w:t>
      </w:r>
    </w:p>
    <w:p w14:paraId="63F4E986" w14:textId="77777777" w:rsidR="00B14D53" w:rsidRDefault="00000000">
      <w:pPr>
        <w:pStyle w:val="afff"/>
        <w:adjustRightInd/>
        <w:snapToGrid/>
        <w:contextualSpacing/>
        <w:jc w:val="both"/>
        <w:rPr>
          <w:rFonts w:ascii="Times New Roman" w:eastAsia="宋体" w:hAnsi="Times New Roman" w:cs="Times New Roman"/>
        </w:rPr>
      </w:pPr>
      <w:r>
        <w:rPr>
          <w:rFonts w:ascii="Times New Roman" w:eastAsia="宋体" w:hAnsi="宋体" w:cs="Times New Roman"/>
        </w:rPr>
        <w:t>本项目</w:t>
      </w:r>
      <w:r>
        <w:rPr>
          <w:rFonts w:ascii="Times New Roman" w:eastAsia="宋体" w:hAnsi="宋体" w:cs="Times New Roman" w:hint="eastAsia"/>
        </w:rPr>
        <w:t>考虑地下污水处理站</w:t>
      </w:r>
      <w:r>
        <w:rPr>
          <w:rFonts w:ascii="Times New Roman" w:eastAsia="宋体" w:hAnsi="宋体" w:cs="Times New Roman"/>
        </w:rPr>
        <w:t>对地下水产生影响，在达到防渗要求时正常运营状态下不会有污水渗漏，当因防渗膜破裂等突发情况可能造成污水渗漏，本项目针对</w:t>
      </w:r>
      <w:r>
        <w:rPr>
          <w:rFonts w:ascii="Times New Roman" w:eastAsia="宋体" w:hAnsi="宋体" w:cs="Times New Roman" w:hint="eastAsia"/>
        </w:rPr>
        <w:t>非正常工况</w:t>
      </w:r>
      <w:r>
        <w:rPr>
          <w:rFonts w:ascii="Times New Roman" w:eastAsia="宋体" w:hAnsi="宋体" w:cs="Times New Roman"/>
        </w:rPr>
        <w:t>下进行地下水环境影响预测。</w:t>
      </w:r>
    </w:p>
    <w:p w14:paraId="45AF9D69"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2 \* GB3 </w:instrText>
      </w:r>
      <w:r>
        <w:rPr>
          <w:rFonts w:ascii="Times New Roman" w:hAnsi="Times New Roman" w:cs="Times New Roman"/>
        </w:rPr>
        <w:fldChar w:fldCharType="separate"/>
      </w:r>
      <w:r>
        <w:rPr>
          <w:rFonts w:ascii="Times New Roman" w:hAnsiTheme="minorEastAsia" w:cs="Times New Roman"/>
        </w:rPr>
        <w:t>②</w:t>
      </w:r>
      <w:r>
        <w:rPr>
          <w:rFonts w:ascii="Times New Roman" w:hAnsi="Times New Roman" w:cs="Times New Roman"/>
        </w:rPr>
        <w:fldChar w:fldCharType="end"/>
      </w:r>
      <w:r>
        <w:rPr>
          <w:rFonts w:ascii="Times New Roman" w:hAnsiTheme="minorEastAsia" w:cs="Times New Roman"/>
        </w:rPr>
        <w:t>源强确定过程</w:t>
      </w:r>
    </w:p>
    <w:p w14:paraId="7D3695EA" w14:textId="77777777" w:rsidR="00B14D53" w:rsidRDefault="00000000">
      <w:pPr>
        <w:pStyle w:val="afff"/>
        <w:adjustRightInd/>
        <w:snapToGrid/>
        <w:contextualSpacing/>
        <w:jc w:val="both"/>
        <w:rPr>
          <w:rFonts w:ascii="Times New Roman" w:hAnsiTheme="minorEastAsia" w:cs="Times New Roman" w:hint="eastAsia"/>
        </w:rPr>
      </w:pPr>
      <w:r>
        <w:rPr>
          <w:rFonts w:ascii="Times New Roman" w:eastAsia="宋体" w:hAnsi="宋体" w:cs="Times New Roman"/>
        </w:rPr>
        <w:t>结合项目的特点，</w:t>
      </w:r>
      <w:r>
        <w:rPr>
          <w:rFonts w:ascii="Times New Roman" w:eastAsia="宋体" w:hAnsi="宋体" w:cs="Times New Roman" w:hint="eastAsia"/>
        </w:rPr>
        <w:t>事故</w:t>
      </w:r>
      <w:r>
        <w:rPr>
          <w:rFonts w:ascii="Times New Roman" w:eastAsia="宋体" w:hAnsi="宋体" w:cs="Times New Roman"/>
        </w:rPr>
        <w:t>状况下为池体破裂和防渗层同时破裂时污水渗漏对地下水水质造成影响。根据《给排水构筑物工程施工及验收规范》，水池允许最大渗水量按池壁和池底浸湿面积计算，钢筋混凝土结构水池渗漏量不得超过</w:t>
      </w:r>
      <w:r>
        <w:rPr>
          <w:rFonts w:ascii="Times New Roman" w:eastAsia="宋体" w:hAnsi="Times New Roman" w:cs="Times New Roman"/>
        </w:rPr>
        <w:t>2L/</w:t>
      </w:r>
      <w:r>
        <w:rPr>
          <w:rFonts w:ascii="Times New Roman" w:eastAsia="宋体" w:hAnsi="宋体" w:cs="Times New Roman"/>
        </w:rPr>
        <w:t>（</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Times New Roman" w:cs="Times New Roman"/>
        </w:rPr>
        <w:t>·d</w:t>
      </w:r>
      <w:r>
        <w:rPr>
          <w:rFonts w:ascii="Times New Roman" w:eastAsia="宋体" w:hAnsi="宋体" w:cs="Times New Roman"/>
        </w:rPr>
        <w:t>）。本项目</w:t>
      </w:r>
      <w:r>
        <w:rPr>
          <w:rFonts w:ascii="Times New Roman" w:eastAsia="宋体" w:hAnsi="宋体" w:cs="Times New Roman" w:hint="eastAsia"/>
        </w:rPr>
        <w:t>生产</w:t>
      </w:r>
      <w:r>
        <w:rPr>
          <w:rFonts w:ascii="Times New Roman" w:eastAsia="宋体" w:hAnsi="宋体" w:cs="Times New Roman"/>
        </w:rPr>
        <w:t>废水在</w:t>
      </w:r>
      <w:r>
        <w:rPr>
          <w:rFonts w:ascii="Times New Roman" w:eastAsia="宋体" w:hAnsi="宋体" w:cs="Times New Roman" w:hint="eastAsia"/>
        </w:rPr>
        <w:t>生化处理前位于调节沉淀池中缓冲均质</w:t>
      </w:r>
      <w:r>
        <w:rPr>
          <w:rFonts w:ascii="Times New Roman" w:eastAsia="宋体" w:hAnsi="宋体" w:cs="Times New Roman"/>
        </w:rPr>
        <w:t>，在正常状况下，污水处理站渗漏面积为：池底面积</w:t>
      </w:r>
      <w:r>
        <w:rPr>
          <w:rFonts w:ascii="Times New Roman" w:eastAsia="宋体" w:hAnsi="Times New Roman" w:cs="Times New Roman"/>
        </w:rPr>
        <w:t>+</w:t>
      </w:r>
      <w:r>
        <w:rPr>
          <w:rFonts w:ascii="Times New Roman" w:eastAsia="宋体" w:hAnsi="宋体" w:cs="Times New Roman"/>
        </w:rPr>
        <w:t>池壁面积</w:t>
      </w:r>
      <w:r>
        <w:rPr>
          <w:rFonts w:ascii="Times New Roman" w:eastAsia="宋体" w:hAnsi="Times New Roman" w:cs="Times New Roman"/>
        </w:rPr>
        <w:t>=L×B+2×B×H+2×L×H=</w:t>
      </w:r>
      <w:r>
        <w:rPr>
          <w:rFonts w:ascii="Times New Roman" w:eastAsia="宋体" w:hAnsi="Times New Roman" w:cs="Times New Roman" w:hint="eastAsia"/>
        </w:rPr>
        <w:t>5</w:t>
      </w:r>
      <w:r>
        <w:rPr>
          <w:rFonts w:ascii="Times New Roman" w:eastAsia="宋体" w:hAnsi="Times New Roman" w:cs="Times New Roman"/>
        </w:rPr>
        <w:t>×</w:t>
      </w:r>
      <w:r>
        <w:rPr>
          <w:rFonts w:ascii="Times New Roman" w:eastAsia="宋体" w:hAnsi="Times New Roman" w:cs="Times New Roman" w:hint="eastAsia"/>
        </w:rPr>
        <w:t>7</w:t>
      </w:r>
      <w:r>
        <w:rPr>
          <w:rFonts w:ascii="Times New Roman" w:eastAsia="宋体" w:hAnsi="Times New Roman" w:cs="Times New Roman"/>
        </w:rPr>
        <w:t>+2×</w:t>
      </w:r>
      <w:r>
        <w:rPr>
          <w:rFonts w:ascii="Times New Roman" w:eastAsia="宋体" w:hAnsi="Times New Roman" w:cs="Times New Roman" w:hint="eastAsia"/>
        </w:rPr>
        <w:t>7</w:t>
      </w:r>
      <w:r>
        <w:rPr>
          <w:rFonts w:ascii="Times New Roman" w:eastAsia="宋体" w:hAnsi="Times New Roman" w:cs="Times New Roman"/>
        </w:rPr>
        <w:t>×</w:t>
      </w:r>
      <w:r>
        <w:rPr>
          <w:rFonts w:ascii="Times New Roman" w:eastAsia="宋体" w:hAnsi="Times New Roman" w:cs="Times New Roman" w:hint="eastAsia"/>
        </w:rPr>
        <w:t>4</w:t>
      </w:r>
      <w:r>
        <w:rPr>
          <w:rFonts w:ascii="Times New Roman" w:eastAsia="宋体" w:hAnsi="Times New Roman" w:cs="Times New Roman"/>
        </w:rPr>
        <w:t>+2×</w:t>
      </w:r>
      <w:r>
        <w:rPr>
          <w:rFonts w:ascii="Times New Roman" w:eastAsia="宋体" w:hAnsi="Times New Roman" w:cs="Times New Roman" w:hint="eastAsia"/>
        </w:rPr>
        <w:t>5</w:t>
      </w:r>
      <w:r>
        <w:rPr>
          <w:rFonts w:ascii="Times New Roman" w:eastAsia="宋体" w:hAnsi="Times New Roman" w:cs="Times New Roman"/>
        </w:rPr>
        <w:t>×</w:t>
      </w:r>
      <w:r>
        <w:rPr>
          <w:rFonts w:ascii="Times New Roman" w:eastAsia="宋体" w:hAnsi="Times New Roman" w:cs="Times New Roman" w:hint="eastAsia"/>
        </w:rPr>
        <w:t>4</w:t>
      </w:r>
      <w:r>
        <w:rPr>
          <w:rFonts w:ascii="Times New Roman" w:eastAsia="宋体" w:hAnsi="Times New Roman" w:cs="Times New Roman"/>
        </w:rPr>
        <w:t>=</w:t>
      </w:r>
      <w:r>
        <w:rPr>
          <w:rFonts w:ascii="Times New Roman" w:eastAsia="宋体" w:hAnsi="Times New Roman" w:cs="Times New Roman" w:hint="eastAsia"/>
        </w:rPr>
        <w:t>131</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宋体" w:cs="Times New Roman"/>
        </w:rPr>
        <w:t>，每日的最大允许污水渗透量</w:t>
      </w:r>
      <w:r>
        <w:rPr>
          <w:rFonts w:ascii="Times New Roman" w:eastAsia="宋体" w:hAnsi="Times New Roman" w:cs="Times New Roman"/>
        </w:rPr>
        <w:t>Q</w:t>
      </w:r>
      <w:r>
        <w:rPr>
          <w:rFonts w:ascii="Times New Roman" w:eastAsia="宋体" w:hAnsi="宋体" w:cs="Times New Roman"/>
        </w:rPr>
        <w:t>计算如下：渗漏量</w:t>
      </w:r>
      <w:r>
        <w:rPr>
          <w:rFonts w:ascii="Times New Roman" w:eastAsia="宋体" w:hAnsi="Times New Roman" w:cs="Times New Roman"/>
        </w:rPr>
        <w:t>=</w:t>
      </w:r>
      <w:r>
        <w:rPr>
          <w:rFonts w:ascii="Times New Roman" w:eastAsia="宋体" w:hAnsi="宋体" w:cs="Times New Roman"/>
        </w:rPr>
        <w:t>渗漏面积</w:t>
      </w:r>
      <w:r>
        <w:rPr>
          <w:rFonts w:ascii="Times New Roman" w:eastAsia="宋体" w:hAnsi="Times New Roman" w:cs="Times New Roman"/>
        </w:rPr>
        <w:t>×</w:t>
      </w:r>
      <w:r>
        <w:rPr>
          <w:rFonts w:ascii="Times New Roman" w:eastAsia="宋体" w:hAnsi="宋体" w:cs="Times New Roman"/>
        </w:rPr>
        <w:t>渗漏强度</w:t>
      </w:r>
      <w:r>
        <w:rPr>
          <w:rFonts w:ascii="Times New Roman" w:eastAsia="宋体" w:hAnsi="Times New Roman" w:cs="Times New Roman"/>
        </w:rPr>
        <w:t>=2L/</w:t>
      </w:r>
      <w:r>
        <w:rPr>
          <w:rFonts w:ascii="Times New Roman" w:eastAsia="宋体" w:hAnsi="宋体" w:cs="Times New Roman"/>
        </w:rPr>
        <w:t>（</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Times New Roman" w:cs="Times New Roman"/>
        </w:rPr>
        <w:t>·d</w:t>
      </w:r>
      <w:r>
        <w:rPr>
          <w:rFonts w:ascii="Times New Roman" w:eastAsia="宋体" w:hAnsi="宋体" w:cs="Times New Roman"/>
        </w:rPr>
        <w:t>）</w:t>
      </w:r>
      <w:r>
        <w:rPr>
          <w:rFonts w:ascii="Times New Roman" w:eastAsia="宋体" w:hAnsi="Times New Roman" w:cs="Times New Roman"/>
        </w:rPr>
        <w:t>×</w:t>
      </w:r>
      <w:r>
        <w:rPr>
          <w:rFonts w:ascii="Times New Roman" w:eastAsia="宋体" w:hAnsi="Times New Roman" w:cs="Times New Roman" w:hint="eastAsia"/>
        </w:rPr>
        <w:t>131</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Times New Roman" w:cs="Times New Roman"/>
        </w:rPr>
        <w:t>=</w:t>
      </w:r>
      <w:r>
        <w:rPr>
          <w:rFonts w:ascii="Times New Roman" w:eastAsia="宋体" w:hAnsi="Times New Roman" w:cs="Times New Roman" w:hint="eastAsia"/>
        </w:rPr>
        <w:t>262</w:t>
      </w:r>
      <w:r>
        <w:rPr>
          <w:rFonts w:ascii="Times New Roman" w:eastAsia="宋体" w:hAnsi="Times New Roman" w:cs="Times New Roman"/>
        </w:rPr>
        <w:t>L/d</w:t>
      </w:r>
      <w:r>
        <w:rPr>
          <w:rFonts w:ascii="Times New Roman" w:eastAsia="宋体" w:hAnsi="宋体" w:cs="Times New Roman"/>
        </w:rPr>
        <w:t>，本次</w:t>
      </w:r>
      <w:r>
        <w:rPr>
          <w:rFonts w:ascii="Times New Roman" w:eastAsia="宋体" w:hAnsi="宋体" w:cs="Times New Roman" w:hint="eastAsia"/>
        </w:rPr>
        <w:t>非正常工况</w:t>
      </w:r>
      <w:r>
        <w:rPr>
          <w:rFonts w:ascii="Times New Roman" w:eastAsia="宋体" w:hAnsi="宋体" w:cs="Times New Roman"/>
        </w:rPr>
        <w:t>下的污染源强按正常状态下的</w:t>
      </w:r>
      <w:r>
        <w:rPr>
          <w:rFonts w:ascii="Times New Roman" w:eastAsia="宋体" w:hAnsi="Times New Roman" w:cs="Times New Roman"/>
        </w:rPr>
        <w:t>10</w:t>
      </w:r>
      <w:r>
        <w:rPr>
          <w:rFonts w:ascii="Times New Roman" w:eastAsia="宋体" w:hAnsi="宋体" w:cs="Times New Roman"/>
        </w:rPr>
        <w:t>倍计算，则</w:t>
      </w:r>
      <w:r>
        <w:rPr>
          <w:rFonts w:ascii="Times New Roman" w:eastAsia="宋体" w:hAnsi="宋体" w:cs="Times New Roman" w:hint="eastAsia"/>
        </w:rPr>
        <w:t>非正常工况下</w:t>
      </w:r>
      <w:r>
        <w:rPr>
          <w:rFonts w:ascii="Times New Roman" w:eastAsia="宋体" w:hAnsi="宋体" w:cs="Times New Roman"/>
        </w:rPr>
        <w:t>源强如下表所示：</w:t>
      </w:r>
    </w:p>
    <w:p w14:paraId="32222ADE" w14:textId="77777777" w:rsidR="00B14D53" w:rsidRDefault="00000000">
      <w:pPr>
        <w:jc w:val="center"/>
        <w:rPr>
          <w:b/>
          <w:bCs/>
        </w:rPr>
      </w:pPr>
      <w:r>
        <w:rPr>
          <w:rFonts w:hint="eastAsia"/>
          <w:b/>
          <w:bCs/>
        </w:rPr>
        <w:t>表</w:t>
      </w:r>
      <w:r>
        <w:rPr>
          <w:rFonts w:hint="eastAsia"/>
          <w:b/>
          <w:bCs/>
        </w:rPr>
        <w:t xml:space="preserve">3-3-9 </w:t>
      </w:r>
      <w:r>
        <w:rPr>
          <w:rFonts w:hint="eastAsia"/>
          <w:b/>
          <w:bCs/>
        </w:rPr>
        <w:t>非正常工况源强排放情况一览表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62"/>
        <w:gridCol w:w="1061"/>
        <w:gridCol w:w="1165"/>
        <w:gridCol w:w="1371"/>
        <w:gridCol w:w="1061"/>
        <w:gridCol w:w="1232"/>
        <w:gridCol w:w="1154"/>
      </w:tblGrid>
      <w:tr w:rsidR="00B14D53" w14:paraId="462F9D1F" w14:textId="77777777">
        <w:tc>
          <w:tcPr>
            <w:tcW w:w="759" w:type="pct"/>
            <w:vAlign w:val="center"/>
          </w:tcPr>
          <w:p w14:paraId="63D36009" w14:textId="77777777" w:rsidR="00B14D53" w:rsidRDefault="00000000">
            <w:pPr>
              <w:jc w:val="center"/>
              <w:rPr>
                <w:b/>
                <w:bCs/>
                <w:snapToGrid w:val="0"/>
                <w:szCs w:val="21"/>
              </w:rPr>
            </w:pPr>
            <w:r>
              <w:rPr>
                <w:rFonts w:hAnsi="宋体"/>
                <w:b/>
                <w:bCs/>
                <w:snapToGrid w:val="0"/>
                <w:szCs w:val="21"/>
              </w:rPr>
              <w:t>工况</w:t>
            </w:r>
          </w:p>
        </w:tc>
        <w:tc>
          <w:tcPr>
            <w:tcW w:w="638" w:type="pct"/>
            <w:vAlign w:val="center"/>
          </w:tcPr>
          <w:p w14:paraId="3F182DDC" w14:textId="77777777" w:rsidR="00B14D53" w:rsidRDefault="00000000">
            <w:pPr>
              <w:jc w:val="center"/>
              <w:rPr>
                <w:b/>
                <w:bCs/>
                <w:snapToGrid w:val="0"/>
                <w:szCs w:val="21"/>
              </w:rPr>
            </w:pPr>
            <w:r>
              <w:rPr>
                <w:rFonts w:hAnsi="宋体"/>
                <w:b/>
                <w:bCs/>
                <w:snapToGrid w:val="0"/>
                <w:szCs w:val="21"/>
              </w:rPr>
              <w:t>预测因子</w:t>
            </w:r>
          </w:p>
        </w:tc>
        <w:tc>
          <w:tcPr>
            <w:tcW w:w="701" w:type="pct"/>
            <w:vAlign w:val="center"/>
          </w:tcPr>
          <w:p w14:paraId="1DA41CAD" w14:textId="77777777" w:rsidR="00B14D53" w:rsidRDefault="00000000">
            <w:pPr>
              <w:jc w:val="center"/>
              <w:rPr>
                <w:b/>
                <w:bCs/>
                <w:snapToGrid w:val="0"/>
                <w:szCs w:val="21"/>
              </w:rPr>
            </w:pPr>
            <w:r>
              <w:rPr>
                <w:rFonts w:hAnsi="宋体"/>
                <w:b/>
                <w:bCs/>
                <w:snapToGrid w:val="0"/>
                <w:szCs w:val="21"/>
              </w:rPr>
              <w:t>渗漏面积（</w:t>
            </w:r>
            <w:r>
              <w:rPr>
                <w:b/>
                <w:bCs/>
                <w:snapToGrid w:val="0"/>
                <w:szCs w:val="21"/>
              </w:rPr>
              <w:t>m</w:t>
            </w:r>
            <w:r>
              <w:rPr>
                <w:b/>
                <w:bCs/>
                <w:snapToGrid w:val="0"/>
                <w:szCs w:val="21"/>
                <w:vertAlign w:val="superscript"/>
              </w:rPr>
              <w:t>2</w:t>
            </w:r>
            <w:r>
              <w:rPr>
                <w:rFonts w:hAnsi="宋体"/>
                <w:b/>
                <w:bCs/>
                <w:snapToGrid w:val="0"/>
                <w:szCs w:val="21"/>
              </w:rPr>
              <w:t>）</w:t>
            </w:r>
          </w:p>
        </w:tc>
        <w:tc>
          <w:tcPr>
            <w:tcW w:w="825" w:type="pct"/>
            <w:vAlign w:val="center"/>
          </w:tcPr>
          <w:p w14:paraId="3BECE4D3" w14:textId="77777777" w:rsidR="00B14D53" w:rsidRDefault="00000000">
            <w:pPr>
              <w:jc w:val="center"/>
              <w:rPr>
                <w:b/>
                <w:bCs/>
                <w:snapToGrid w:val="0"/>
                <w:szCs w:val="21"/>
              </w:rPr>
            </w:pPr>
            <w:r>
              <w:rPr>
                <w:rFonts w:hAnsi="宋体"/>
                <w:b/>
                <w:bCs/>
                <w:snapToGrid w:val="0"/>
                <w:szCs w:val="21"/>
              </w:rPr>
              <w:t>渗漏强度（</w:t>
            </w:r>
            <w:r>
              <w:rPr>
                <w:b/>
                <w:bCs/>
                <w:snapToGrid w:val="0"/>
                <w:szCs w:val="21"/>
              </w:rPr>
              <w:t>L/m</w:t>
            </w:r>
            <w:r>
              <w:rPr>
                <w:b/>
                <w:bCs/>
                <w:snapToGrid w:val="0"/>
                <w:szCs w:val="21"/>
                <w:vertAlign w:val="superscript"/>
              </w:rPr>
              <w:t>2</w:t>
            </w:r>
            <w:r>
              <w:rPr>
                <w:rFonts w:hAnsi="宋体"/>
                <w:b/>
                <w:bCs/>
                <w:snapToGrid w:val="0"/>
                <w:szCs w:val="21"/>
              </w:rPr>
              <w:t>﹒</w:t>
            </w:r>
            <w:r>
              <w:rPr>
                <w:b/>
                <w:bCs/>
                <w:snapToGrid w:val="0"/>
                <w:szCs w:val="21"/>
              </w:rPr>
              <w:t>d</w:t>
            </w:r>
            <w:r>
              <w:rPr>
                <w:rFonts w:hAnsi="宋体"/>
                <w:b/>
                <w:bCs/>
                <w:snapToGrid w:val="0"/>
                <w:szCs w:val="21"/>
              </w:rPr>
              <w:t>）</w:t>
            </w:r>
          </w:p>
        </w:tc>
        <w:tc>
          <w:tcPr>
            <w:tcW w:w="638" w:type="pct"/>
            <w:vAlign w:val="center"/>
          </w:tcPr>
          <w:p w14:paraId="0A13538A" w14:textId="77777777" w:rsidR="00B14D53" w:rsidRDefault="00000000">
            <w:pPr>
              <w:jc w:val="center"/>
              <w:rPr>
                <w:b/>
                <w:bCs/>
                <w:snapToGrid w:val="0"/>
                <w:szCs w:val="21"/>
              </w:rPr>
            </w:pPr>
            <w:r>
              <w:rPr>
                <w:rFonts w:hAnsi="宋体"/>
                <w:b/>
                <w:bCs/>
                <w:snapToGrid w:val="0"/>
                <w:szCs w:val="21"/>
              </w:rPr>
              <w:t>渗漏量（</w:t>
            </w:r>
            <w:r>
              <w:rPr>
                <w:b/>
                <w:bCs/>
                <w:snapToGrid w:val="0"/>
                <w:szCs w:val="21"/>
              </w:rPr>
              <w:t>L/d</w:t>
            </w:r>
            <w:r>
              <w:rPr>
                <w:rFonts w:hAnsi="宋体"/>
                <w:b/>
                <w:bCs/>
                <w:snapToGrid w:val="0"/>
                <w:szCs w:val="21"/>
              </w:rPr>
              <w:t>）</w:t>
            </w:r>
          </w:p>
        </w:tc>
        <w:tc>
          <w:tcPr>
            <w:tcW w:w="741" w:type="pct"/>
            <w:vAlign w:val="center"/>
          </w:tcPr>
          <w:p w14:paraId="2278834A" w14:textId="77777777" w:rsidR="00B14D53" w:rsidRDefault="00000000">
            <w:pPr>
              <w:jc w:val="center"/>
              <w:rPr>
                <w:b/>
                <w:bCs/>
                <w:snapToGrid w:val="0"/>
                <w:szCs w:val="21"/>
              </w:rPr>
            </w:pPr>
            <w:r>
              <w:rPr>
                <w:rFonts w:hAnsi="宋体"/>
                <w:b/>
                <w:bCs/>
                <w:snapToGrid w:val="0"/>
                <w:szCs w:val="21"/>
              </w:rPr>
              <w:t>浓度（</w:t>
            </w:r>
            <w:r>
              <w:rPr>
                <w:b/>
                <w:bCs/>
                <w:snapToGrid w:val="0"/>
                <w:szCs w:val="21"/>
              </w:rPr>
              <w:t>mg/L</w:t>
            </w:r>
            <w:r>
              <w:rPr>
                <w:rFonts w:hAnsi="宋体"/>
                <w:b/>
                <w:bCs/>
                <w:snapToGrid w:val="0"/>
                <w:szCs w:val="21"/>
              </w:rPr>
              <w:t>）</w:t>
            </w:r>
          </w:p>
        </w:tc>
        <w:tc>
          <w:tcPr>
            <w:tcW w:w="694" w:type="pct"/>
            <w:vAlign w:val="center"/>
          </w:tcPr>
          <w:p w14:paraId="04518388" w14:textId="77777777" w:rsidR="00B14D53" w:rsidRDefault="00000000">
            <w:pPr>
              <w:jc w:val="center"/>
              <w:rPr>
                <w:b/>
                <w:bCs/>
                <w:snapToGrid w:val="0"/>
                <w:szCs w:val="21"/>
              </w:rPr>
            </w:pPr>
            <w:r>
              <w:rPr>
                <w:rFonts w:hAnsi="宋体"/>
                <w:b/>
                <w:bCs/>
                <w:snapToGrid w:val="0"/>
                <w:szCs w:val="21"/>
              </w:rPr>
              <w:t>污染物质量（</w:t>
            </w:r>
            <w:r>
              <w:rPr>
                <w:b/>
                <w:bCs/>
                <w:snapToGrid w:val="0"/>
                <w:szCs w:val="21"/>
              </w:rPr>
              <w:t>kg/d</w:t>
            </w:r>
            <w:r>
              <w:rPr>
                <w:rFonts w:hAnsi="宋体"/>
                <w:b/>
                <w:bCs/>
                <w:snapToGrid w:val="0"/>
                <w:szCs w:val="21"/>
              </w:rPr>
              <w:t>）</w:t>
            </w:r>
          </w:p>
        </w:tc>
      </w:tr>
      <w:tr w:rsidR="00B14D53" w14:paraId="31C28EC1" w14:textId="77777777">
        <w:trPr>
          <w:trHeight w:val="70"/>
        </w:trPr>
        <w:tc>
          <w:tcPr>
            <w:tcW w:w="759" w:type="pct"/>
            <w:vAlign w:val="center"/>
          </w:tcPr>
          <w:p w14:paraId="2BAB8841" w14:textId="77777777" w:rsidR="00B14D53" w:rsidRDefault="00000000">
            <w:pPr>
              <w:jc w:val="center"/>
              <w:rPr>
                <w:snapToGrid w:val="0"/>
                <w:szCs w:val="21"/>
              </w:rPr>
            </w:pPr>
            <w:r>
              <w:rPr>
                <w:rFonts w:hAnsi="宋体" w:hint="eastAsia"/>
                <w:snapToGrid w:val="0"/>
                <w:szCs w:val="21"/>
              </w:rPr>
              <w:t>非正常工况</w:t>
            </w:r>
          </w:p>
        </w:tc>
        <w:tc>
          <w:tcPr>
            <w:tcW w:w="638" w:type="pct"/>
            <w:vAlign w:val="center"/>
          </w:tcPr>
          <w:p w14:paraId="6E96DEDB" w14:textId="77777777" w:rsidR="00B14D53" w:rsidRDefault="00000000">
            <w:pPr>
              <w:jc w:val="center"/>
              <w:rPr>
                <w:rFonts w:eastAsiaTheme="minorEastAsia"/>
                <w:snapToGrid w:val="0"/>
                <w:szCs w:val="21"/>
              </w:rPr>
            </w:pPr>
            <w:r>
              <w:rPr>
                <w:rFonts w:eastAsiaTheme="minorEastAsia" w:hint="eastAsia"/>
                <w:snapToGrid w:val="0"/>
                <w:szCs w:val="21"/>
              </w:rPr>
              <w:t>氨氮</w:t>
            </w:r>
          </w:p>
        </w:tc>
        <w:tc>
          <w:tcPr>
            <w:tcW w:w="701" w:type="pct"/>
            <w:vAlign w:val="center"/>
          </w:tcPr>
          <w:p w14:paraId="2CF06F12" w14:textId="77777777" w:rsidR="00B14D53" w:rsidRDefault="00000000">
            <w:pPr>
              <w:jc w:val="center"/>
              <w:rPr>
                <w:szCs w:val="21"/>
              </w:rPr>
            </w:pPr>
            <w:r>
              <w:rPr>
                <w:rFonts w:hint="eastAsia"/>
                <w:szCs w:val="21"/>
              </w:rPr>
              <w:t>131</w:t>
            </w:r>
          </w:p>
        </w:tc>
        <w:tc>
          <w:tcPr>
            <w:tcW w:w="825" w:type="pct"/>
            <w:vAlign w:val="center"/>
          </w:tcPr>
          <w:p w14:paraId="1EE1D497" w14:textId="77777777" w:rsidR="00B14D53" w:rsidRDefault="00000000">
            <w:pPr>
              <w:jc w:val="center"/>
              <w:rPr>
                <w:snapToGrid w:val="0"/>
                <w:szCs w:val="21"/>
              </w:rPr>
            </w:pPr>
            <w:r>
              <w:rPr>
                <w:rFonts w:hint="eastAsia"/>
                <w:snapToGrid w:val="0"/>
                <w:szCs w:val="21"/>
              </w:rPr>
              <w:t>20</w:t>
            </w:r>
          </w:p>
        </w:tc>
        <w:tc>
          <w:tcPr>
            <w:tcW w:w="638" w:type="pct"/>
            <w:vAlign w:val="center"/>
          </w:tcPr>
          <w:p w14:paraId="58A57088" w14:textId="77777777" w:rsidR="00B14D53" w:rsidRDefault="00000000">
            <w:pPr>
              <w:jc w:val="center"/>
              <w:rPr>
                <w:snapToGrid w:val="0"/>
                <w:szCs w:val="21"/>
              </w:rPr>
            </w:pPr>
            <w:r>
              <w:rPr>
                <w:rFonts w:hint="eastAsia"/>
                <w:snapToGrid w:val="0"/>
                <w:szCs w:val="21"/>
              </w:rPr>
              <w:t>2620</w:t>
            </w:r>
          </w:p>
        </w:tc>
        <w:tc>
          <w:tcPr>
            <w:tcW w:w="741" w:type="pct"/>
            <w:vAlign w:val="center"/>
          </w:tcPr>
          <w:p w14:paraId="5DDAFCC7" w14:textId="77777777" w:rsidR="00B14D53" w:rsidRDefault="00000000">
            <w:pPr>
              <w:pStyle w:val="afff2"/>
              <w:spacing w:line="240" w:lineRule="auto"/>
              <w:rPr>
                <w:rFonts w:eastAsiaTheme="minorEastAsia" w:hAnsi="Times New Roman"/>
              </w:rPr>
            </w:pPr>
            <w:r>
              <w:rPr>
                <w:rFonts w:eastAsiaTheme="minorEastAsia" w:hAnsi="Times New Roman" w:hint="eastAsia"/>
              </w:rPr>
              <w:t>121</w:t>
            </w:r>
          </w:p>
        </w:tc>
        <w:tc>
          <w:tcPr>
            <w:tcW w:w="694" w:type="pct"/>
          </w:tcPr>
          <w:p w14:paraId="3520434C" w14:textId="77777777" w:rsidR="00B14D53" w:rsidRDefault="00000000">
            <w:pPr>
              <w:jc w:val="center"/>
              <w:rPr>
                <w:rFonts w:eastAsiaTheme="minorEastAsia"/>
              </w:rPr>
            </w:pPr>
            <w:r>
              <w:rPr>
                <w:rFonts w:eastAsiaTheme="minorEastAsia" w:hint="eastAsia"/>
              </w:rPr>
              <w:t>0.32</w:t>
            </w:r>
          </w:p>
        </w:tc>
      </w:tr>
    </w:tbl>
    <w:p w14:paraId="0FEB5B48"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3.3.3</w:t>
      </w:r>
      <w:r>
        <w:rPr>
          <w:rFonts w:ascii="Times New Roman" w:eastAsia="黑体" w:hAnsi="Times New Roman" w:cs="Times New Roman"/>
          <w:bCs/>
          <w:sz w:val="28"/>
          <w:szCs w:val="28"/>
        </w:rPr>
        <w:t>环境风险识别</w:t>
      </w:r>
    </w:p>
    <w:p w14:paraId="5319927A" w14:textId="77777777" w:rsidR="00B14D53" w:rsidRDefault="00000000">
      <w:pPr>
        <w:pStyle w:val="afff"/>
        <w:adjustRightInd/>
        <w:snapToGrid/>
        <w:jc w:val="both"/>
        <w:rPr>
          <w:rFonts w:ascii="Times New Roman" w:hAnsiTheme="minorEastAsia" w:cs="Times New Roman" w:hint="eastAsia"/>
        </w:rPr>
      </w:pPr>
      <w:r>
        <w:rPr>
          <w:rFonts w:ascii="Times New Roman" w:hAnsiTheme="minorEastAsia" w:cs="Times New Roman"/>
        </w:rPr>
        <w:t>根据本项目所用物料与《建设项目环境风险评价技术导则》（</w:t>
      </w:r>
      <w:r>
        <w:rPr>
          <w:rFonts w:ascii="Times New Roman" w:hAnsiTheme="minorEastAsia" w:cs="Times New Roman"/>
        </w:rPr>
        <w:t>HJ 169-2018</w:t>
      </w:r>
      <w:r>
        <w:rPr>
          <w:rFonts w:ascii="Times New Roman" w:hAnsiTheme="minorEastAsia" w:cs="Times New Roman"/>
        </w:rPr>
        <w:t>）附录</w:t>
      </w:r>
      <w:r>
        <w:rPr>
          <w:rFonts w:ascii="Times New Roman" w:hAnsiTheme="minorEastAsia" w:cs="Times New Roman"/>
        </w:rPr>
        <w:t>B</w:t>
      </w:r>
      <w:r>
        <w:rPr>
          <w:rFonts w:ascii="Times New Roman" w:hAnsiTheme="minorEastAsia" w:cs="Times New Roman"/>
        </w:rPr>
        <w:t>中重点关注的危险物质进行对比，本项目重点关注的危险物质为次氯酸钠。</w:t>
      </w:r>
    </w:p>
    <w:p w14:paraId="17152A70"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本项目</w:t>
      </w:r>
      <w:r>
        <w:rPr>
          <w:rFonts w:ascii="Times New Roman" w:hAnsiTheme="minorEastAsia" w:cs="Times New Roman" w:hint="eastAsia"/>
        </w:rPr>
        <w:t>厂</w:t>
      </w:r>
      <w:r>
        <w:rPr>
          <w:rFonts w:ascii="Times New Roman" w:hAnsiTheme="minorEastAsia" w:cs="Times New Roman"/>
        </w:rPr>
        <w:t>区内</w:t>
      </w:r>
      <w:r>
        <w:rPr>
          <w:rFonts w:ascii="Times New Roman" w:hAnsiTheme="minorEastAsia" w:cs="Times New Roman" w:hint="eastAsia"/>
        </w:rPr>
        <w:t>次氯酸钠最大贮存量为</w:t>
      </w:r>
      <w:r>
        <w:rPr>
          <w:rFonts w:ascii="Times New Roman" w:hAnsiTheme="minorEastAsia" w:cs="Times New Roman" w:hint="eastAsia"/>
        </w:rPr>
        <w:t>0.5t</w:t>
      </w:r>
      <w:r>
        <w:rPr>
          <w:rFonts w:ascii="Times New Roman" w:hAnsiTheme="minorEastAsia" w:cs="Times New Roman" w:hint="eastAsia"/>
        </w:rPr>
        <w:t>，</w:t>
      </w:r>
      <w:r>
        <w:rPr>
          <w:rFonts w:ascii="Times New Roman" w:hAnsiTheme="minorEastAsia" w:cs="Times New Roman"/>
        </w:rPr>
        <w:t>小于</w:t>
      </w:r>
      <w:r>
        <w:rPr>
          <w:rFonts w:ascii="Times New Roman" w:hAnsi="Times New Roman" w:cs="Times New Roman" w:hint="eastAsia"/>
        </w:rPr>
        <w:t>5</w:t>
      </w:r>
      <w:r>
        <w:rPr>
          <w:rFonts w:ascii="Times New Roman" w:hAnsi="Times New Roman" w:cs="Times New Roman"/>
        </w:rPr>
        <w:t>t</w:t>
      </w:r>
      <w:r>
        <w:rPr>
          <w:rFonts w:ascii="Times New Roman" w:hAnsiTheme="minorEastAsia" w:cs="Times New Roman"/>
        </w:rPr>
        <w:t>（临界量）。</w:t>
      </w:r>
    </w:p>
    <w:p w14:paraId="2209D58B" w14:textId="77777777" w:rsidR="00B14D53" w:rsidRDefault="00000000">
      <w:pPr>
        <w:pStyle w:val="afff"/>
        <w:adjustRightInd/>
        <w:snapToGrid/>
        <w:jc w:val="both"/>
        <w:rPr>
          <w:rFonts w:ascii="Times New Roman" w:hAnsiTheme="minorEastAsia" w:cs="Times New Roman" w:hint="eastAsia"/>
        </w:rPr>
      </w:pPr>
      <w:r>
        <w:rPr>
          <w:rFonts w:ascii="Times New Roman" w:hAnsiTheme="minorEastAsia" w:cs="Times New Roman"/>
        </w:rPr>
        <w:t>当只涉及一种危险物质时，计算该物质的总量与其临界量的比值，即为</w:t>
      </w:r>
      <w:r>
        <w:rPr>
          <w:rFonts w:ascii="Times New Roman" w:hAnsi="Times New Roman" w:cs="Times New Roman"/>
        </w:rPr>
        <w:t>Q</w:t>
      </w:r>
      <w:r>
        <w:rPr>
          <w:rFonts w:ascii="Times New Roman" w:hAnsiTheme="minorEastAsia" w:cs="Times New Roman"/>
        </w:rPr>
        <w:t>；当存在多种危险物质时，则按如下公式计算物质总量与其临界量比值（</w:t>
      </w:r>
      <w:r>
        <w:rPr>
          <w:rFonts w:ascii="Times New Roman" w:hAnsi="Times New Roman" w:cs="Times New Roman"/>
        </w:rPr>
        <w:t>Q</w:t>
      </w:r>
      <w:r>
        <w:rPr>
          <w:rFonts w:ascii="Times New Roman" w:hAnsiTheme="minorEastAsia" w:cs="Times New Roman"/>
        </w:rPr>
        <w:t>）：</w:t>
      </w:r>
      <w:r>
        <w:rPr>
          <w:rFonts w:ascii="Times New Roman" w:hAnsiTheme="minorEastAsia" w:cs="Times New Roman"/>
        </w:rPr>
        <w:t xml:space="preserve"> </w:t>
      </w:r>
    </w:p>
    <w:p w14:paraId="6E51FA94" w14:textId="77777777" w:rsidR="00B14D53" w:rsidRDefault="00000000">
      <w:pPr>
        <w:pStyle w:val="afff"/>
        <w:adjustRightInd/>
        <w:snapToGrid/>
        <w:ind w:firstLineChars="0" w:firstLine="0"/>
        <w:jc w:val="center"/>
        <w:rPr>
          <w:rFonts w:ascii="Times New Roman" w:hAnsiTheme="minorEastAsia" w:cs="Times New Roman" w:hint="eastAsia"/>
        </w:rPr>
      </w:pPr>
      <w:r>
        <w:rPr>
          <w:rFonts w:ascii="Times New Roman" w:hAnsi="Times New Roman" w:cs="Times New Roman"/>
          <w:bCs/>
          <w:i/>
          <w:noProof/>
        </w:rPr>
        <w:drawing>
          <wp:inline distT="0" distB="0" distL="0" distR="0" wp14:anchorId="2A03981A" wp14:editId="66EEDD0F">
            <wp:extent cx="1941195" cy="511810"/>
            <wp:effectExtent l="19050" t="0" r="1677" b="0"/>
            <wp:docPr id="8" name="图片 12" descr="155382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1553825092(1)"/>
                    <pic:cNvPicPr>
                      <a:picLocks noChangeAspect="1" noChangeArrowheads="1"/>
                    </pic:cNvPicPr>
                  </pic:nvPicPr>
                  <pic:blipFill>
                    <a:blip r:embed="rId17" cstate="print"/>
                    <a:srcRect r="44174"/>
                    <a:stretch>
                      <a:fillRect/>
                    </a:stretch>
                  </pic:blipFill>
                  <pic:spPr>
                    <a:xfrm>
                      <a:off x="0" y="0"/>
                      <a:ext cx="1941423" cy="512064"/>
                    </a:xfrm>
                    <a:prstGeom prst="rect">
                      <a:avLst/>
                    </a:prstGeom>
                    <a:noFill/>
                    <a:ln w="9525">
                      <a:noFill/>
                      <a:miter lim="800000"/>
                      <a:headEnd/>
                      <a:tailEnd/>
                    </a:ln>
                  </pic:spPr>
                </pic:pic>
              </a:graphicData>
            </a:graphic>
          </wp:inline>
        </w:drawing>
      </w:r>
    </w:p>
    <w:p w14:paraId="5A06EBBC"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式中：</w:t>
      </w:r>
      <w:r>
        <w:rPr>
          <w:rFonts w:ascii="Times New Roman" w:hAnsi="Times New Roman" w:cs="Times New Roman"/>
          <w:i/>
        </w:rPr>
        <w:t>q</w:t>
      </w:r>
      <w:r>
        <w:rPr>
          <w:rFonts w:ascii="Times New Roman" w:hAnsi="Times New Roman" w:cs="Times New Roman"/>
          <w:vertAlign w:val="subscript"/>
        </w:rPr>
        <w:t>1</w:t>
      </w:r>
      <w:r>
        <w:rPr>
          <w:rFonts w:ascii="Times New Roman" w:hAnsiTheme="minorEastAsia"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q</w:t>
      </w:r>
      <w:r>
        <w:rPr>
          <w:rFonts w:ascii="Times New Roman" w:hAnsi="Times New Roman" w:cs="Times New Roman"/>
          <w:vertAlign w:val="subscript"/>
        </w:rPr>
        <w:t>n</w:t>
      </w:r>
      <w:r>
        <w:rPr>
          <w:rFonts w:ascii="Times New Roman" w:hAnsi="Times New Roman" w:cs="Times New Roman"/>
        </w:rPr>
        <w:t>—</w:t>
      </w:r>
      <w:r>
        <w:rPr>
          <w:rFonts w:ascii="Times New Roman" w:hAnsiTheme="minorEastAsia" w:cs="Times New Roman"/>
        </w:rPr>
        <w:t>每种危险物质实际存在总量，</w:t>
      </w:r>
      <w:r>
        <w:rPr>
          <w:rFonts w:ascii="Times New Roman" w:hAnsi="Times New Roman" w:cs="Times New Roman"/>
        </w:rPr>
        <w:t>t</w:t>
      </w:r>
      <w:r>
        <w:rPr>
          <w:rFonts w:ascii="Times New Roman" w:hAnsiTheme="minorEastAsia" w:cs="Times New Roman"/>
        </w:rPr>
        <w:t>。</w:t>
      </w:r>
    </w:p>
    <w:p w14:paraId="568E81C2" w14:textId="77777777" w:rsidR="00B14D53" w:rsidRDefault="00000000">
      <w:pPr>
        <w:pStyle w:val="afff"/>
        <w:adjustRightInd/>
        <w:snapToGrid/>
        <w:jc w:val="both"/>
        <w:rPr>
          <w:rFonts w:ascii="Times New Roman" w:hAnsi="Times New Roman" w:cs="Times New Roman"/>
        </w:rPr>
      </w:pPr>
      <w:r>
        <w:rPr>
          <w:rFonts w:ascii="Times New Roman" w:hAnsi="Times New Roman" w:cs="Times New Roman"/>
          <w:i/>
        </w:rPr>
        <w:t>Q</w:t>
      </w:r>
      <w:r>
        <w:rPr>
          <w:rFonts w:ascii="Times New Roman" w:hAnsi="Times New Roman" w:cs="Times New Roman"/>
          <w:vertAlign w:val="subscript"/>
        </w:rPr>
        <w:t>1</w:t>
      </w:r>
      <w:r>
        <w:rPr>
          <w:rFonts w:ascii="Times New Roman" w:hAnsiTheme="minorEastAsia"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Q</w:t>
      </w:r>
      <w:r>
        <w:rPr>
          <w:rFonts w:ascii="Times New Roman" w:hAnsi="Times New Roman" w:cs="Times New Roman"/>
          <w:vertAlign w:val="subscript"/>
        </w:rPr>
        <w:t>n</w:t>
      </w:r>
      <w:r>
        <w:rPr>
          <w:rFonts w:ascii="Times New Roman" w:hAnsi="Times New Roman" w:cs="Times New Roman"/>
        </w:rPr>
        <w:t>—</w:t>
      </w:r>
      <w:r>
        <w:rPr>
          <w:rFonts w:ascii="Times New Roman" w:hAnsiTheme="minorEastAsia" w:cs="Times New Roman"/>
        </w:rPr>
        <w:t>每种危险物质的临界量，</w:t>
      </w:r>
      <w:r>
        <w:rPr>
          <w:rFonts w:ascii="Times New Roman" w:hAnsi="Times New Roman" w:cs="Times New Roman"/>
        </w:rPr>
        <w:t>t</w:t>
      </w:r>
      <w:r>
        <w:rPr>
          <w:rFonts w:ascii="Times New Roman" w:hAnsiTheme="minorEastAsia" w:cs="Times New Roman"/>
        </w:rPr>
        <w:t>。</w:t>
      </w:r>
    </w:p>
    <w:p w14:paraId="3414CFFC"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当</w:t>
      </w:r>
      <w:r>
        <w:rPr>
          <w:rFonts w:ascii="Times New Roman" w:hAnsi="Times New Roman" w:cs="Times New Roman"/>
        </w:rPr>
        <w:t>Q</w:t>
      </w:r>
      <w:r>
        <w:rPr>
          <w:rFonts w:ascii="Times New Roman" w:hAnsiTheme="minorEastAsia" w:cs="Times New Roman"/>
        </w:rPr>
        <w:t>＜</w:t>
      </w:r>
      <w:r>
        <w:rPr>
          <w:rFonts w:ascii="Times New Roman" w:hAnsi="Times New Roman" w:cs="Times New Roman"/>
        </w:rPr>
        <w:t>1</w:t>
      </w:r>
      <w:r>
        <w:rPr>
          <w:rFonts w:ascii="Times New Roman" w:hAnsiTheme="minorEastAsia" w:cs="Times New Roman"/>
        </w:rPr>
        <w:t>时，该项目环境风险潜势为</w:t>
      </w:r>
      <w:r>
        <w:rPr>
          <w:rFonts w:ascii="Times New Roman" w:hAnsi="Times New Roman" w:cs="Times New Roman"/>
        </w:rPr>
        <w:fldChar w:fldCharType="begin"/>
      </w:r>
      <w:r>
        <w:rPr>
          <w:rFonts w:ascii="Times New Roman" w:hAnsi="Times New Roman" w:cs="Times New Roman"/>
        </w:rPr>
        <w:instrText xml:space="preserve"> = 1 \* ROMAN </w:instrText>
      </w:r>
      <w:r>
        <w:rPr>
          <w:rFonts w:ascii="Times New Roman" w:hAnsi="Times New Roman" w:cs="Times New Roman"/>
        </w:rPr>
        <w:fldChar w:fldCharType="separate"/>
      </w:r>
      <w:r>
        <w:rPr>
          <w:rFonts w:ascii="Times New Roman" w:hAnsi="Times New Roman" w:cs="Times New Roman"/>
        </w:rPr>
        <w:t>I</w:t>
      </w:r>
      <w:r>
        <w:rPr>
          <w:rFonts w:ascii="Times New Roman" w:hAnsi="Times New Roman" w:cs="Times New Roman"/>
        </w:rPr>
        <w:fldChar w:fldCharType="end"/>
      </w:r>
      <w:r>
        <w:rPr>
          <w:rFonts w:ascii="Times New Roman" w:hAnsiTheme="minorEastAsia" w:cs="Times New Roman"/>
        </w:rPr>
        <w:t>。</w:t>
      </w:r>
    </w:p>
    <w:p w14:paraId="1D7BCE97"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当</w:t>
      </w:r>
      <w:r>
        <w:rPr>
          <w:rFonts w:ascii="Times New Roman" w:hAnsi="Times New Roman" w:cs="Times New Roman"/>
        </w:rPr>
        <w:t>Q≥1</w:t>
      </w:r>
      <w:r>
        <w:rPr>
          <w:rFonts w:ascii="Times New Roman" w:hAnsiTheme="minorEastAsia" w:cs="Times New Roman"/>
        </w:rPr>
        <w:t>时，将</w:t>
      </w:r>
      <w:r>
        <w:rPr>
          <w:rFonts w:ascii="Times New Roman" w:hAnsi="Times New Roman" w:cs="Times New Roman"/>
        </w:rPr>
        <w:t>Q</w:t>
      </w:r>
      <w:r>
        <w:rPr>
          <w:rFonts w:ascii="Times New Roman" w:hAnsiTheme="minorEastAsia" w:cs="Times New Roman"/>
        </w:rPr>
        <w:t>值划分为：（</w:t>
      </w:r>
      <w:r>
        <w:rPr>
          <w:rFonts w:ascii="Times New Roman" w:hAnsi="Times New Roman" w:cs="Times New Roman"/>
        </w:rPr>
        <w:t>1</w:t>
      </w:r>
      <w:r>
        <w:rPr>
          <w:rFonts w:ascii="Times New Roman" w:hAnsiTheme="minorEastAsia" w:cs="Times New Roman"/>
        </w:rPr>
        <w:t>）</w:t>
      </w:r>
      <w:r>
        <w:rPr>
          <w:rFonts w:ascii="Times New Roman" w:hAnsi="Times New Roman" w:cs="Times New Roman"/>
        </w:rPr>
        <w:t>1≤Q</w:t>
      </w:r>
      <w:r>
        <w:rPr>
          <w:rFonts w:ascii="Times New Roman" w:hAnsiTheme="minorEastAsia" w:cs="Times New Roman"/>
        </w:rPr>
        <w:t>＜</w:t>
      </w:r>
      <w:r>
        <w:rPr>
          <w:rFonts w:ascii="Times New Roman" w:hAnsi="Times New Roman" w:cs="Times New Roman"/>
        </w:rPr>
        <w:t>10</w:t>
      </w:r>
      <w:r>
        <w:rPr>
          <w:rFonts w:ascii="Times New Roman" w:hAnsiTheme="minorEastAsia" w:cs="Times New Roman"/>
        </w:rPr>
        <w:t>；（</w:t>
      </w:r>
      <w:r>
        <w:rPr>
          <w:rFonts w:ascii="Times New Roman" w:hAnsi="Times New Roman" w:cs="Times New Roman"/>
        </w:rPr>
        <w:t>2</w:t>
      </w:r>
      <w:r>
        <w:rPr>
          <w:rFonts w:ascii="Times New Roman" w:hAnsiTheme="minorEastAsia" w:cs="Times New Roman"/>
        </w:rPr>
        <w:t>）</w:t>
      </w:r>
      <w:r>
        <w:rPr>
          <w:rFonts w:ascii="Times New Roman" w:hAnsi="Times New Roman" w:cs="Times New Roman"/>
        </w:rPr>
        <w:t>10≤Q</w:t>
      </w:r>
      <w:r>
        <w:rPr>
          <w:rFonts w:ascii="Times New Roman" w:hAnsiTheme="minorEastAsia" w:cs="Times New Roman"/>
        </w:rPr>
        <w:t>＜</w:t>
      </w:r>
      <w:r>
        <w:rPr>
          <w:rFonts w:ascii="Times New Roman" w:hAnsi="Times New Roman" w:cs="Times New Roman"/>
        </w:rPr>
        <w:t>100</w:t>
      </w:r>
      <w:r>
        <w:rPr>
          <w:rFonts w:ascii="Times New Roman" w:hAnsiTheme="minorEastAsia" w:cs="Times New Roman"/>
        </w:rPr>
        <w:t>；（</w:t>
      </w:r>
      <w:r>
        <w:rPr>
          <w:rFonts w:ascii="Times New Roman" w:hAnsi="Times New Roman" w:cs="Times New Roman"/>
        </w:rPr>
        <w:t>3</w:t>
      </w:r>
      <w:r>
        <w:rPr>
          <w:rFonts w:ascii="Times New Roman" w:hAnsiTheme="minorEastAsia" w:cs="Times New Roman"/>
        </w:rPr>
        <w:t>）</w:t>
      </w:r>
      <w:r>
        <w:rPr>
          <w:rFonts w:ascii="Times New Roman" w:hAnsi="Times New Roman" w:cs="Times New Roman"/>
        </w:rPr>
        <w:t>Q≥100</w:t>
      </w:r>
      <w:r>
        <w:rPr>
          <w:rFonts w:ascii="Times New Roman" w:hAnsiTheme="minorEastAsia" w:cs="Times New Roman"/>
        </w:rPr>
        <w:t>。</w:t>
      </w:r>
    </w:p>
    <w:p w14:paraId="31B13ABE" w14:textId="77777777" w:rsidR="00B14D53" w:rsidRDefault="00000000">
      <w:pPr>
        <w:jc w:val="center"/>
        <w:rPr>
          <w:b/>
          <w:bCs/>
        </w:rPr>
      </w:pPr>
      <w:r>
        <w:rPr>
          <w:rFonts w:hint="eastAsia"/>
          <w:b/>
          <w:bCs/>
        </w:rPr>
        <w:t>表</w:t>
      </w:r>
      <w:r>
        <w:rPr>
          <w:rFonts w:hint="eastAsia"/>
          <w:b/>
          <w:bCs/>
        </w:rPr>
        <w:t>3-4-15 Q</w:t>
      </w:r>
      <w:r>
        <w:rPr>
          <w:rFonts w:hint="eastAsia"/>
          <w:b/>
          <w:bCs/>
        </w:rPr>
        <w:t>值计算表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5"/>
        <w:gridCol w:w="2211"/>
        <w:gridCol w:w="1518"/>
        <w:gridCol w:w="1987"/>
        <w:gridCol w:w="1655"/>
      </w:tblGrid>
      <w:tr w:rsidR="00B14D53" w14:paraId="7D6E9C5E" w14:textId="77777777">
        <w:tc>
          <w:tcPr>
            <w:tcW w:w="563" w:type="pct"/>
            <w:vAlign w:val="center"/>
          </w:tcPr>
          <w:p w14:paraId="7727543A"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序号</w:t>
            </w:r>
          </w:p>
        </w:tc>
        <w:tc>
          <w:tcPr>
            <w:tcW w:w="1331" w:type="pct"/>
            <w:vAlign w:val="center"/>
          </w:tcPr>
          <w:p w14:paraId="3AD720AB"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物质名称</w:t>
            </w:r>
          </w:p>
        </w:tc>
        <w:tc>
          <w:tcPr>
            <w:tcW w:w="914" w:type="pct"/>
            <w:vAlign w:val="center"/>
          </w:tcPr>
          <w:p w14:paraId="6A0D13AA" w14:textId="77777777" w:rsidR="00B14D53" w:rsidRDefault="00000000">
            <w:pPr>
              <w:pStyle w:val="afff2"/>
              <w:spacing w:line="240" w:lineRule="auto"/>
              <w:rPr>
                <w:rFonts w:eastAsiaTheme="minorEastAsia" w:hAnsi="Times New Roman"/>
                <w:b/>
                <w:bCs/>
                <w:snapToGrid w:val="0"/>
                <w:szCs w:val="22"/>
              </w:rPr>
            </w:pPr>
            <w:r>
              <w:rPr>
                <w:rFonts w:eastAsiaTheme="minorEastAsia"/>
                <w:b/>
                <w:bCs/>
                <w:snapToGrid w:val="0"/>
                <w:szCs w:val="22"/>
              </w:rPr>
              <w:t>临界量（</w:t>
            </w:r>
            <w:r>
              <w:rPr>
                <w:rFonts w:eastAsiaTheme="minorEastAsia" w:hAnsi="Times New Roman"/>
                <w:b/>
                <w:bCs/>
                <w:snapToGrid w:val="0"/>
                <w:szCs w:val="22"/>
              </w:rPr>
              <w:t>t</w:t>
            </w:r>
            <w:r>
              <w:rPr>
                <w:rFonts w:eastAsiaTheme="minorEastAsia"/>
                <w:b/>
                <w:bCs/>
                <w:snapToGrid w:val="0"/>
                <w:szCs w:val="22"/>
              </w:rPr>
              <w:t>）</w:t>
            </w:r>
          </w:p>
        </w:tc>
        <w:tc>
          <w:tcPr>
            <w:tcW w:w="1196" w:type="pct"/>
            <w:vAlign w:val="center"/>
          </w:tcPr>
          <w:p w14:paraId="12B84EE8" w14:textId="77777777" w:rsidR="00B14D53" w:rsidRDefault="00000000">
            <w:pPr>
              <w:pStyle w:val="afff2"/>
              <w:spacing w:line="240" w:lineRule="auto"/>
              <w:rPr>
                <w:rFonts w:eastAsiaTheme="minorEastAsia" w:hAnsi="Times New Roman"/>
                <w:b/>
                <w:bCs/>
                <w:snapToGrid w:val="0"/>
                <w:szCs w:val="22"/>
              </w:rPr>
            </w:pPr>
            <w:r>
              <w:rPr>
                <w:rFonts w:eastAsiaTheme="minorEastAsia" w:hint="eastAsia"/>
                <w:b/>
                <w:bCs/>
                <w:snapToGrid w:val="0"/>
                <w:szCs w:val="22"/>
              </w:rPr>
              <w:t>最大</w:t>
            </w:r>
            <w:r>
              <w:rPr>
                <w:rFonts w:eastAsiaTheme="minorEastAsia"/>
                <w:b/>
                <w:bCs/>
                <w:snapToGrid w:val="0"/>
                <w:szCs w:val="22"/>
              </w:rPr>
              <w:t>储存量（</w:t>
            </w:r>
            <w:r>
              <w:rPr>
                <w:rFonts w:eastAsiaTheme="minorEastAsia" w:hAnsi="Times New Roman"/>
                <w:b/>
                <w:bCs/>
                <w:snapToGrid w:val="0"/>
                <w:szCs w:val="22"/>
              </w:rPr>
              <w:t>t</w:t>
            </w:r>
            <w:r>
              <w:rPr>
                <w:rFonts w:eastAsiaTheme="minorEastAsia"/>
                <w:b/>
                <w:bCs/>
                <w:snapToGrid w:val="0"/>
                <w:szCs w:val="22"/>
              </w:rPr>
              <w:t>）</w:t>
            </w:r>
          </w:p>
        </w:tc>
        <w:tc>
          <w:tcPr>
            <w:tcW w:w="996" w:type="pct"/>
            <w:vAlign w:val="center"/>
          </w:tcPr>
          <w:p w14:paraId="43B7CE35"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q/Q</w:t>
            </w:r>
          </w:p>
        </w:tc>
      </w:tr>
      <w:tr w:rsidR="00B14D53" w14:paraId="5C81D13A" w14:textId="77777777">
        <w:trPr>
          <w:trHeight w:val="56"/>
        </w:trPr>
        <w:tc>
          <w:tcPr>
            <w:tcW w:w="563" w:type="pct"/>
            <w:vAlign w:val="center"/>
          </w:tcPr>
          <w:p w14:paraId="1771CF8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w:t>
            </w:r>
          </w:p>
        </w:tc>
        <w:tc>
          <w:tcPr>
            <w:tcW w:w="1331" w:type="pct"/>
            <w:vAlign w:val="center"/>
          </w:tcPr>
          <w:p w14:paraId="0433B1AF" w14:textId="77777777" w:rsidR="00B14D53" w:rsidRDefault="00000000">
            <w:pPr>
              <w:pStyle w:val="afff2"/>
              <w:spacing w:line="240" w:lineRule="auto"/>
              <w:rPr>
                <w:rFonts w:eastAsiaTheme="minorEastAsia" w:hAnsi="Times New Roman"/>
                <w:snapToGrid w:val="0"/>
                <w:szCs w:val="22"/>
              </w:rPr>
            </w:pPr>
            <w:r>
              <w:rPr>
                <w:rFonts w:eastAsiaTheme="minorEastAsia" w:hint="eastAsia"/>
                <w:snapToGrid w:val="0"/>
                <w:szCs w:val="22"/>
              </w:rPr>
              <w:t>次氯酸钠</w:t>
            </w:r>
          </w:p>
        </w:tc>
        <w:tc>
          <w:tcPr>
            <w:tcW w:w="914" w:type="pct"/>
            <w:vAlign w:val="center"/>
          </w:tcPr>
          <w:p w14:paraId="4E34442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hint="eastAsia"/>
                <w:snapToGrid w:val="0"/>
                <w:szCs w:val="22"/>
              </w:rPr>
              <w:t>5</w:t>
            </w:r>
          </w:p>
        </w:tc>
        <w:tc>
          <w:tcPr>
            <w:tcW w:w="1196" w:type="pct"/>
            <w:vAlign w:val="center"/>
          </w:tcPr>
          <w:p w14:paraId="4627E4E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hint="eastAsia"/>
                <w:snapToGrid w:val="0"/>
                <w:szCs w:val="22"/>
              </w:rPr>
              <w:t>0.5</w:t>
            </w:r>
          </w:p>
        </w:tc>
        <w:tc>
          <w:tcPr>
            <w:tcW w:w="996" w:type="pct"/>
            <w:vAlign w:val="center"/>
          </w:tcPr>
          <w:p w14:paraId="03869153"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w:t>
            </w:r>
            <w:r>
              <w:rPr>
                <w:rFonts w:eastAsiaTheme="minorEastAsia" w:hAnsi="Times New Roman" w:hint="eastAsia"/>
                <w:snapToGrid w:val="0"/>
                <w:szCs w:val="22"/>
              </w:rPr>
              <w:t>1</w:t>
            </w:r>
          </w:p>
        </w:tc>
      </w:tr>
    </w:tbl>
    <w:p w14:paraId="7B44811F" w14:textId="77777777" w:rsidR="00B14D53" w:rsidRDefault="00000000">
      <w:pPr>
        <w:pStyle w:val="afff"/>
        <w:adjustRightInd/>
        <w:snapToGrid/>
        <w:rPr>
          <w:rFonts w:ascii="Times New Roman" w:hAnsi="Times New Roman" w:cs="Times New Roman"/>
        </w:rPr>
      </w:pPr>
      <w:r>
        <w:rPr>
          <w:rFonts w:ascii="Times New Roman" w:hAnsiTheme="minorEastAsia" w:cs="Times New Roman"/>
        </w:rPr>
        <w:t>根据上述公式计算可知：</w:t>
      </w:r>
      <w:r>
        <w:rPr>
          <w:rFonts w:ascii="Times New Roman" w:hAnsi="Times New Roman" w:cs="Times New Roman"/>
        </w:rPr>
        <w:t>Q=0</w:t>
      </w: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0.1</w:t>
      </w:r>
      <w:r>
        <w:rPr>
          <w:rFonts w:ascii="Times New Roman" w:hAnsi="Times New Roman" w:cs="Times New Roman"/>
        </w:rPr>
        <w:t>&lt;1</w:t>
      </w:r>
      <w:r>
        <w:rPr>
          <w:rFonts w:ascii="Times New Roman" w:hAnsiTheme="minorEastAsia" w:cs="Times New Roman"/>
        </w:rPr>
        <w:t>，故环境风险潜势为</w:t>
      </w:r>
      <w:r>
        <w:rPr>
          <w:rFonts w:ascii="Times New Roman" w:hAnsi="Times New Roman" w:cs="Times New Roman"/>
        </w:rPr>
        <w:fldChar w:fldCharType="begin"/>
      </w:r>
      <w:r>
        <w:rPr>
          <w:rFonts w:ascii="Times New Roman" w:hAnsi="Times New Roman" w:cs="Times New Roman"/>
        </w:rPr>
        <w:instrText xml:space="preserve"> = 1 \* ROMAN </w:instrText>
      </w:r>
      <w:r>
        <w:rPr>
          <w:rFonts w:ascii="Times New Roman" w:hAnsi="Times New Roman" w:cs="Times New Roman"/>
        </w:rPr>
        <w:fldChar w:fldCharType="separate"/>
      </w:r>
      <w:r>
        <w:rPr>
          <w:rFonts w:ascii="Times New Roman" w:hAnsi="Times New Roman" w:cs="Times New Roman"/>
        </w:rPr>
        <w:t>I</w:t>
      </w:r>
      <w:r>
        <w:rPr>
          <w:rFonts w:ascii="Times New Roman" w:hAnsi="Times New Roman" w:cs="Times New Roman"/>
        </w:rPr>
        <w:fldChar w:fldCharType="end"/>
      </w:r>
      <w:r>
        <w:rPr>
          <w:rFonts w:ascii="Times New Roman" w:hAnsiTheme="minorEastAsia" w:cs="Times New Roman"/>
        </w:rPr>
        <w:t>。</w:t>
      </w:r>
    </w:p>
    <w:p w14:paraId="0E1A876A"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169" w:name="_Toc8813"/>
      <w:r>
        <w:rPr>
          <w:rFonts w:ascii="Times New Roman" w:eastAsia="黑体" w:hAnsi="Times New Roman" w:cs="Times New Roman"/>
          <w:b w:val="0"/>
          <w:bCs w:val="0"/>
          <w:sz w:val="30"/>
          <w:szCs w:val="30"/>
        </w:rPr>
        <w:t>3.4</w:t>
      </w:r>
      <w:r>
        <w:rPr>
          <w:rFonts w:ascii="Times New Roman" w:eastAsia="黑体" w:hAnsi="Times New Roman" w:cs="Times New Roman"/>
          <w:b w:val="0"/>
          <w:bCs w:val="0"/>
          <w:sz w:val="30"/>
          <w:szCs w:val="30"/>
        </w:rPr>
        <w:t>清洁生产</w:t>
      </w:r>
      <w:bookmarkEnd w:id="169"/>
    </w:p>
    <w:p w14:paraId="2AC99871"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rPr>
        <w:t>清洁生产（</w:t>
      </w:r>
      <w:r>
        <w:rPr>
          <w:rFonts w:ascii="Times New Roman" w:hAnsiTheme="minorEastAsia" w:cs="Times New Roman"/>
        </w:rPr>
        <w:t>cleaner production</w:t>
      </w:r>
      <w:r>
        <w:rPr>
          <w:rFonts w:ascii="Times New Roman" w:hAnsiTheme="minorEastAsia" w:cs="Times New Roman"/>
        </w:rPr>
        <w:t>）作为一种新的污染预防策略，其根本思想在于资源消耗、污染影响最小化，它的实施可以减少生产过程原材料的消耗，同时降低污染物的产生量，使生产发展与环境保护相互协调。根据《中华人民共和国清洁生产促进法》第一章第二条定义“清洁生产”指的是不断采取改进设计、使用清洁的能源和原料、采用先进工艺技术与设备、改善管理、综合利用等措施，从源头削减污染，提高资源利用效率，减少或者避免生产、服务和产品使用过程中污染物的产生和排放，以减轻或者消除对人类健康和环境的危害。实行清洁生产可实现合理利用资源，减缓资源的枯竭，节水、节能、省料，并且在生产过程中，消减甚至消除废物和污染物的产生和排放，促进工业产品生产和产品消费过程与环境相容，减少在产品整个生命周期内对人类和环境的危害。</w:t>
      </w:r>
    </w:p>
    <w:p w14:paraId="12EA03F7"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170" w:name="_Toc5185"/>
      <w:bookmarkStart w:id="171" w:name="_Toc8224"/>
      <w:bookmarkStart w:id="172" w:name="_Toc4961"/>
      <w:r>
        <w:rPr>
          <w:rFonts w:ascii="Times New Roman" w:eastAsia="黑体" w:hAnsi="Times New Roman" w:cs="Times New Roman"/>
          <w:bCs/>
          <w:sz w:val="28"/>
          <w:szCs w:val="28"/>
        </w:rPr>
        <w:t>3.</w:t>
      </w:r>
      <w:r>
        <w:rPr>
          <w:rFonts w:ascii="Times New Roman" w:eastAsia="黑体" w:hAnsi="Times New Roman" w:cs="Times New Roman" w:hint="eastAsia"/>
          <w:bCs/>
          <w:sz w:val="28"/>
          <w:szCs w:val="28"/>
        </w:rPr>
        <w:t>4</w:t>
      </w:r>
      <w:r>
        <w:rPr>
          <w:rFonts w:ascii="Times New Roman" w:eastAsia="黑体" w:hAnsi="Times New Roman" w:cs="Times New Roman"/>
          <w:bCs/>
          <w:sz w:val="28"/>
          <w:szCs w:val="28"/>
        </w:rPr>
        <w:t>.1</w:t>
      </w:r>
      <w:r>
        <w:rPr>
          <w:rFonts w:ascii="Times New Roman" w:eastAsia="黑体" w:hAnsi="Times New Roman" w:cs="Times New Roman"/>
          <w:bCs/>
          <w:sz w:val="28"/>
          <w:szCs w:val="28"/>
        </w:rPr>
        <w:t>工艺技术与设备的先进性分析</w:t>
      </w:r>
      <w:bookmarkEnd w:id="170"/>
      <w:bookmarkEnd w:id="171"/>
      <w:bookmarkEnd w:id="172"/>
    </w:p>
    <w:p w14:paraId="36A6D733"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rPr>
        <w:t>国际先进经验证明，没有发达的农产品加工业，就没有农产品的商品化和产业化。目前，发达国家农产品加工程度达到</w:t>
      </w:r>
      <w:r>
        <w:rPr>
          <w:rFonts w:ascii="Times New Roman" w:hAnsiTheme="minorEastAsia" w:cs="Times New Roman"/>
        </w:rPr>
        <w:t>80%</w:t>
      </w:r>
      <w:r>
        <w:rPr>
          <w:rFonts w:ascii="Times New Roman" w:hAnsiTheme="minorEastAsia" w:cs="Times New Roman"/>
        </w:rPr>
        <w:t>以上，我国只有</w:t>
      </w:r>
      <w:r>
        <w:rPr>
          <w:rFonts w:ascii="Times New Roman" w:hAnsiTheme="minorEastAsia" w:cs="Times New Roman"/>
        </w:rPr>
        <w:t>45%</w:t>
      </w:r>
      <w:r>
        <w:rPr>
          <w:rFonts w:ascii="Times New Roman" w:hAnsiTheme="minorEastAsia" w:cs="Times New Roman"/>
        </w:rPr>
        <w:t>，而黑龙江省的猪肉及其制品主要是由中小屠宰场生产，工艺落后，设备陈旧，厂房简陋，生产环境较差，有的还延续手工屠宰工艺。本项目通过建</w:t>
      </w:r>
      <w:r>
        <w:rPr>
          <w:rFonts w:ascii="Times New Roman" w:hAnsiTheme="minorEastAsia" w:cs="Times New Roman" w:hint="eastAsia"/>
        </w:rPr>
        <w:t>设</w:t>
      </w:r>
      <w:r>
        <w:rPr>
          <w:rFonts w:ascii="Times New Roman" w:hAnsiTheme="minorEastAsia" w:cs="Times New Roman"/>
        </w:rPr>
        <w:t>规范化、现代化的生猪屠宰线，生猪屠宰量达到每年</w:t>
      </w:r>
      <w:r>
        <w:rPr>
          <w:rFonts w:ascii="Times New Roman" w:hAnsiTheme="minorEastAsia" w:cs="Times New Roman"/>
        </w:rPr>
        <w:t>16</w:t>
      </w:r>
      <w:r>
        <w:rPr>
          <w:rFonts w:ascii="Times New Roman" w:hAnsiTheme="minorEastAsia" w:cs="Times New Roman"/>
        </w:rPr>
        <w:t>万头，可大大提高农产品加工水平，促进产业升级，保证群众吃上“放心肉”、“安全肉”，因此，本项目产业结构与规模合理，项目建设符合国家发展规划，符合我国畜牧业总体发展目标。</w:t>
      </w:r>
    </w:p>
    <w:p w14:paraId="399A8968"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rPr>
        <w:t>本项目屠宰工艺为生猪</w:t>
      </w:r>
      <w:r>
        <w:rPr>
          <w:rFonts w:ascii="Times New Roman" w:hAnsiTheme="minorEastAsia" w:cs="Times New Roman"/>
        </w:rPr>
        <w:t>-</w:t>
      </w:r>
      <w:r>
        <w:rPr>
          <w:rFonts w:ascii="Times New Roman" w:hAnsiTheme="minorEastAsia" w:cs="Times New Roman"/>
        </w:rPr>
        <w:t>电麻</w:t>
      </w:r>
      <w:r>
        <w:rPr>
          <w:rFonts w:ascii="Times New Roman" w:hAnsiTheme="minorEastAsia" w:cs="Times New Roman"/>
        </w:rPr>
        <w:t>-</w:t>
      </w:r>
      <w:r>
        <w:rPr>
          <w:rFonts w:ascii="Times New Roman" w:hAnsiTheme="minorEastAsia" w:cs="Times New Roman"/>
        </w:rPr>
        <w:t>宰杀放血</w:t>
      </w:r>
      <w:r>
        <w:rPr>
          <w:rFonts w:ascii="Times New Roman" w:hAnsiTheme="minorEastAsia" w:cs="Times New Roman"/>
        </w:rPr>
        <w:t>-</w:t>
      </w:r>
      <w:r>
        <w:rPr>
          <w:rFonts w:ascii="Times New Roman" w:hAnsiTheme="minorEastAsia" w:cs="Times New Roman"/>
        </w:rPr>
        <w:t>热水烫毛</w:t>
      </w:r>
      <w:r>
        <w:rPr>
          <w:rFonts w:ascii="Times New Roman" w:hAnsiTheme="minorEastAsia" w:cs="Times New Roman"/>
        </w:rPr>
        <w:t>-</w:t>
      </w:r>
      <w:r>
        <w:rPr>
          <w:rFonts w:ascii="Times New Roman" w:hAnsiTheme="minorEastAsia" w:cs="Times New Roman"/>
        </w:rPr>
        <w:t>脱毛</w:t>
      </w:r>
      <w:r>
        <w:rPr>
          <w:rFonts w:ascii="Times New Roman" w:hAnsiTheme="minorEastAsia" w:cs="Times New Roman"/>
        </w:rPr>
        <w:t>-</w:t>
      </w:r>
      <w:r>
        <w:rPr>
          <w:rFonts w:ascii="Times New Roman" w:hAnsiTheme="minorEastAsia" w:cs="Times New Roman"/>
        </w:rPr>
        <w:t>清洗</w:t>
      </w:r>
      <w:r>
        <w:rPr>
          <w:rFonts w:ascii="Times New Roman" w:hAnsiTheme="minorEastAsia" w:cs="Times New Roman"/>
        </w:rPr>
        <w:t>-</w:t>
      </w:r>
      <w:r>
        <w:rPr>
          <w:rFonts w:ascii="Times New Roman" w:hAnsiTheme="minorEastAsia" w:cs="Times New Roman"/>
        </w:rPr>
        <w:t>剖腹</w:t>
      </w:r>
      <w:r>
        <w:rPr>
          <w:rFonts w:ascii="Times New Roman" w:hAnsiTheme="minorEastAsia" w:cs="Times New Roman"/>
        </w:rPr>
        <w:t>-</w:t>
      </w:r>
      <w:r>
        <w:rPr>
          <w:rFonts w:ascii="Times New Roman" w:hAnsiTheme="minorEastAsia" w:cs="Times New Roman"/>
        </w:rPr>
        <w:t>开胸</w:t>
      </w:r>
      <w:r>
        <w:rPr>
          <w:rFonts w:ascii="Times New Roman" w:hAnsiTheme="minorEastAsia" w:cs="Times New Roman"/>
        </w:rPr>
        <w:t>-</w:t>
      </w:r>
      <w:r>
        <w:rPr>
          <w:rFonts w:ascii="Times New Roman" w:hAnsiTheme="minorEastAsia" w:cs="Times New Roman"/>
        </w:rPr>
        <w:t>同步卫检</w:t>
      </w:r>
      <w:r>
        <w:rPr>
          <w:rFonts w:ascii="Times New Roman" w:hAnsiTheme="minorEastAsia" w:cs="Times New Roman"/>
        </w:rPr>
        <w:t>-</w:t>
      </w:r>
      <w:r>
        <w:rPr>
          <w:rFonts w:ascii="Times New Roman" w:hAnsiTheme="minorEastAsia" w:cs="Times New Roman"/>
        </w:rPr>
        <w:t>出售，该工艺目前在畜类屠宰行业比较成熟，各工艺参数运行稳定。屠宰项目应采用全自动流水生产线，清洁生产水平达到国内同行业水平。畜类屠宰应选用电击晕、真空采血、往复式劈半机、高压自动清洗等先进的工艺装备，其中猪屠宰应选用蒸汽隧道烫毛、螺旋式刮毛机等先进装备。浸烫设备应配备自动线性控温装置，保障浸烫效果。</w:t>
      </w:r>
    </w:p>
    <w:p w14:paraId="7896385D"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rPr>
        <w:t>本项目屠宰线采用电击晕、高压自动清洗设备等先进的工艺装备，采用全自动流水生产线，设备先进性主要体现在：</w:t>
      </w:r>
    </w:p>
    <w:p w14:paraId="35FD42F8"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rPr>
        <w:t>①采用三点式自动电击晕机，该设备是目前最先进的麻电设备，这种击晕方式没有血斑，没有骨折，延缓</w:t>
      </w:r>
      <w:r>
        <w:rPr>
          <w:rFonts w:ascii="Times New Roman" w:hAnsiTheme="minorEastAsia" w:cs="Times New Roman"/>
        </w:rPr>
        <w:t>PH</w:t>
      </w:r>
      <w:r>
        <w:rPr>
          <w:rFonts w:ascii="Times New Roman" w:hAnsiTheme="minorEastAsia" w:cs="Times New Roman"/>
        </w:rPr>
        <w:t>值的下降，大大改善猪肉的品质质量。</w:t>
      </w:r>
    </w:p>
    <w:p w14:paraId="4FFEEF3F"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rPr>
        <w:t>②采用脱毛机进行机械脱毛；</w:t>
      </w:r>
    </w:p>
    <w:p w14:paraId="022D24D9"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hint="eastAsia"/>
        </w:rPr>
        <w:t>③</w:t>
      </w:r>
      <w:r>
        <w:rPr>
          <w:rFonts w:ascii="Times New Roman" w:hAnsiTheme="minorEastAsia" w:cs="Times New Roman"/>
        </w:rPr>
        <w:t>浸烫池配备自动线性控温装置，保障浸烫效果</w:t>
      </w:r>
      <w:r>
        <w:rPr>
          <w:rFonts w:ascii="Times New Roman" w:hAnsiTheme="minorEastAsia" w:cs="Times New Roman" w:hint="eastAsia"/>
        </w:rPr>
        <w:t>。</w:t>
      </w:r>
    </w:p>
    <w:p w14:paraId="18EB4DF5"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173" w:name="_Toc2945"/>
      <w:bookmarkStart w:id="174" w:name="_Toc11368"/>
      <w:bookmarkStart w:id="175" w:name="_Toc306"/>
      <w:r>
        <w:rPr>
          <w:rFonts w:ascii="Times New Roman" w:eastAsia="黑体" w:hAnsi="Times New Roman" w:cs="Times New Roman"/>
          <w:bCs/>
          <w:sz w:val="28"/>
          <w:szCs w:val="28"/>
        </w:rPr>
        <w:t>3.</w:t>
      </w:r>
      <w:r>
        <w:rPr>
          <w:rFonts w:ascii="Times New Roman" w:eastAsia="黑体" w:hAnsi="Times New Roman" w:cs="Times New Roman" w:hint="eastAsia"/>
          <w:bCs/>
          <w:sz w:val="28"/>
          <w:szCs w:val="28"/>
        </w:rPr>
        <w:t>4</w:t>
      </w:r>
      <w:r>
        <w:rPr>
          <w:rFonts w:ascii="Times New Roman" w:eastAsia="黑体" w:hAnsi="Times New Roman" w:cs="Times New Roman"/>
          <w:bCs/>
          <w:sz w:val="28"/>
          <w:szCs w:val="28"/>
        </w:rPr>
        <w:t>.2</w:t>
      </w:r>
      <w:r>
        <w:rPr>
          <w:rFonts w:ascii="Times New Roman" w:eastAsia="黑体" w:hAnsi="Times New Roman" w:cs="Times New Roman"/>
          <w:bCs/>
          <w:sz w:val="28"/>
          <w:szCs w:val="28"/>
        </w:rPr>
        <w:t>资源能源利用指标</w:t>
      </w:r>
      <w:bookmarkEnd w:id="173"/>
      <w:bookmarkEnd w:id="174"/>
      <w:bookmarkEnd w:id="175"/>
    </w:p>
    <w:p w14:paraId="161A8188" w14:textId="77777777" w:rsidR="00B14D53" w:rsidRDefault="00000000">
      <w:pPr>
        <w:widowControl/>
        <w:kinsoku w:val="0"/>
        <w:autoSpaceDE w:val="0"/>
        <w:autoSpaceDN w:val="0"/>
        <w:spacing w:line="360" w:lineRule="auto"/>
        <w:ind w:firstLineChars="200" w:firstLine="476"/>
        <w:textAlignment w:val="baseline"/>
        <w:rPr>
          <w:spacing w:val="-1"/>
          <w:sz w:val="24"/>
        </w:rPr>
      </w:pPr>
      <w:r>
        <w:rPr>
          <w:rFonts w:hint="eastAsia"/>
          <w:spacing w:val="-1"/>
          <w:sz w:val="24"/>
        </w:rPr>
        <w:t>（</w:t>
      </w:r>
      <w:r>
        <w:rPr>
          <w:rFonts w:hint="eastAsia"/>
          <w:spacing w:val="-1"/>
          <w:sz w:val="24"/>
        </w:rPr>
        <w:t>1</w:t>
      </w:r>
      <w:r>
        <w:rPr>
          <w:rFonts w:hint="eastAsia"/>
          <w:spacing w:val="-1"/>
          <w:sz w:val="24"/>
        </w:rPr>
        <w:t>）</w:t>
      </w:r>
      <w:r>
        <w:rPr>
          <w:spacing w:val="-1"/>
          <w:sz w:val="24"/>
        </w:rPr>
        <w:t>能耗分析</w:t>
      </w:r>
    </w:p>
    <w:p w14:paraId="11E7FA80"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本项目能耗主要是电耗，项目采取的主要节能措施有：</w:t>
      </w:r>
    </w:p>
    <w:p w14:paraId="0B81CDE8"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①</w:t>
      </w:r>
      <w:r>
        <w:rPr>
          <w:spacing w:val="-1"/>
          <w:sz w:val="24"/>
        </w:rPr>
        <w:t>采用处理国际国内领先水平的行业最新技术、工艺路线和生产技术设备，保持生产运行的最佳状态，取得最好节能效果。</w:t>
      </w:r>
    </w:p>
    <w:p w14:paraId="0DC4E2C0"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②</w:t>
      </w:r>
      <w:r>
        <w:rPr>
          <w:spacing w:val="-1"/>
          <w:sz w:val="24"/>
        </w:rPr>
        <w:t>本项目冬季供暖</w:t>
      </w:r>
      <w:r>
        <w:rPr>
          <w:rFonts w:hint="eastAsia"/>
          <w:spacing w:val="-1"/>
          <w:sz w:val="24"/>
        </w:rPr>
        <w:t>由</w:t>
      </w:r>
      <w:r>
        <w:rPr>
          <w:spacing w:val="-1"/>
          <w:sz w:val="24"/>
        </w:rPr>
        <w:t>黑龙江省山河屯林业局有限公司供热站提供集中供热。</w:t>
      </w:r>
    </w:p>
    <w:p w14:paraId="553B8C55"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③</w:t>
      </w:r>
      <w:r>
        <w:rPr>
          <w:spacing w:val="-1"/>
          <w:sz w:val="24"/>
        </w:rPr>
        <w:t>传动设备的电机全部采用节能型的</w:t>
      </w:r>
      <w:r>
        <w:rPr>
          <w:spacing w:val="-1"/>
          <w:sz w:val="24"/>
        </w:rPr>
        <w:t>Y</w:t>
      </w:r>
      <w:r>
        <w:rPr>
          <w:spacing w:val="-1"/>
          <w:sz w:val="24"/>
        </w:rPr>
        <w:t>系列产品。</w:t>
      </w:r>
    </w:p>
    <w:p w14:paraId="688375A3"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④</w:t>
      </w:r>
      <w:r>
        <w:rPr>
          <w:spacing w:val="-1"/>
          <w:sz w:val="24"/>
        </w:rPr>
        <w:t>设立无功补偿电容器柜，使补偿后的功率因数达到</w:t>
      </w:r>
      <w:r>
        <w:rPr>
          <w:spacing w:val="-1"/>
          <w:sz w:val="24"/>
        </w:rPr>
        <w:t>0.9</w:t>
      </w:r>
      <w:r>
        <w:rPr>
          <w:spacing w:val="-1"/>
          <w:sz w:val="24"/>
        </w:rPr>
        <w:t>以上，节省电能。</w:t>
      </w:r>
    </w:p>
    <w:p w14:paraId="1644E97A"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⑤</w:t>
      </w:r>
      <w:r>
        <w:rPr>
          <w:spacing w:val="-1"/>
          <w:sz w:val="24"/>
        </w:rPr>
        <w:t>对非常温设备及管道均采用保温材料予以保温，减少冷、热损耗，节约能源。</w:t>
      </w:r>
    </w:p>
    <w:p w14:paraId="6CBD9913"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⑥</w:t>
      </w:r>
      <w:r>
        <w:rPr>
          <w:spacing w:val="-1"/>
          <w:sz w:val="24"/>
        </w:rPr>
        <w:t>所有照明都要选用节能灯具，室外光源采用光电控制，充分利用自然光，节约电源。</w:t>
      </w:r>
    </w:p>
    <w:p w14:paraId="40A6711A"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⑦</w:t>
      </w:r>
      <w:r>
        <w:rPr>
          <w:spacing w:val="-1"/>
          <w:sz w:val="24"/>
        </w:rPr>
        <w:t>本项目主要工艺流程和生产设备，均应采取节能新技术、新工艺、新设备。</w:t>
      </w:r>
    </w:p>
    <w:p w14:paraId="4C4DCE62"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⑧</w:t>
      </w:r>
      <w:r>
        <w:rPr>
          <w:spacing w:val="-1"/>
          <w:sz w:val="24"/>
        </w:rPr>
        <w:t>厂房墙体围护材料，选用彩钢夹层发泡塑料材料，以节约冬季取暖、夏季降温的能源消耗。</w:t>
      </w:r>
    </w:p>
    <w:p w14:paraId="5FF35A92"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⑨</w:t>
      </w:r>
      <w:r>
        <w:rPr>
          <w:spacing w:val="-1"/>
          <w:sz w:val="24"/>
        </w:rPr>
        <w:t>加强节能教育，制定和严格执行节能规章制度。提高全体员工节能意识，建设</w:t>
      </w:r>
      <w:r>
        <w:rPr>
          <w:spacing w:val="-1"/>
          <w:sz w:val="24"/>
        </w:rPr>
        <w:t>“</w:t>
      </w:r>
      <w:r>
        <w:rPr>
          <w:spacing w:val="-1"/>
          <w:sz w:val="24"/>
        </w:rPr>
        <w:t>节能型企业</w:t>
      </w:r>
      <w:r>
        <w:rPr>
          <w:spacing w:val="-1"/>
          <w:sz w:val="24"/>
        </w:rPr>
        <w:t>”</w:t>
      </w:r>
      <w:r>
        <w:rPr>
          <w:spacing w:val="-1"/>
          <w:sz w:val="24"/>
        </w:rPr>
        <w:t>。</w:t>
      </w:r>
    </w:p>
    <w:p w14:paraId="15E66C22" w14:textId="77777777" w:rsidR="00B14D53" w:rsidRDefault="00000000">
      <w:pPr>
        <w:widowControl/>
        <w:kinsoku w:val="0"/>
        <w:autoSpaceDE w:val="0"/>
        <w:autoSpaceDN w:val="0"/>
        <w:spacing w:line="360" w:lineRule="auto"/>
        <w:ind w:firstLineChars="200" w:firstLine="476"/>
        <w:textAlignment w:val="baseline"/>
        <w:rPr>
          <w:spacing w:val="-1"/>
          <w:sz w:val="24"/>
        </w:rPr>
      </w:pPr>
      <w:r>
        <w:rPr>
          <w:spacing w:val="-1"/>
          <w:sz w:val="24"/>
        </w:rPr>
        <w:t>在采取上述节能措施后，可将能耗控制在最低水平。</w:t>
      </w:r>
    </w:p>
    <w:p w14:paraId="43CF06B4" w14:textId="77777777" w:rsidR="00B14D53" w:rsidRDefault="00000000">
      <w:pPr>
        <w:widowControl/>
        <w:kinsoku w:val="0"/>
        <w:autoSpaceDE w:val="0"/>
        <w:autoSpaceDN w:val="0"/>
        <w:spacing w:line="360" w:lineRule="auto"/>
        <w:ind w:leftChars="200" w:left="420"/>
        <w:textAlignment w:val="baseline"/>
        <w:rPr>
          <w:spacing w:val="-1"/>
          <w:sz w:val="24"/>
        </w:rPr>
      </w:pPr>
      <w:r>
        <w:rPr>
          <w:rFonts w:hint="eastAsia"/>
          <w:spacing w:val="-1"/>
          <w:sz w:val="24"/>
        </w:rPr>
        <w:t>（</w:t>
      </w:r>
      <w:r>
        <w:rPr>
          <w:rFonts w:hint="eastAsia"/>
          <w:spacing w:val="-1"/>
          <w:sz w:val="24"/>
        </w:rPr>
        <w:t>2</w:t>
      </w:r>
      <w:r>
        <w:rPr>
          <w:rFonts w:hint="eastAsia"/>
          <w:spacing w:val="-1"/>
          <w:sz w:val="24"/>
        </w:rPr>
        <w:t>）</w:t>
      </w:r>
      <w:r>
        <w:rPr>
          <w:spacing w:val="-1"/>
          <w:sz w:val="24"/>
        </w:rPr>
        <w:t>水资源利用水平分析</w:t>
      </w:r>
    </w:p>
    <w:p w14:paraId="784103A0" w14:textId="77777777" w:rsidR="00B14D53" w:rsidRDefault="00000000">
      <w:pPr>
        <w:spacing w:line="360" w:lineRule="auto"/>
        <w:ind w:firstLineChars="200" w:firstLine="480"/>
        <w:rPr>
          <w:color w:val="000000" w:themeColor="text1"/>
          <w:sz w:val="24"/>
        </w:rPr>
      </w:pPr>
      <w:r>
        <w:rPr>
          <w:color w:val="000000" w:themeColor="text1"/>
          <w:sz w:val="24"/>
        </w:rPr>
        <w:t>本项目耗水最多的是屠宰过程对生猪的清洗、酮体清洗、设备清洗和冲洗地面耗水。</w:t>
      </w:r>
    </w:p>
    <w:p w14:paraId="713501F7" w14:textId="77777777" w:rsidR="00B14D53" w:rsidRDefault="00000000">
      <w:pPr>
        <w:spacing w:line="360" w:lineRule="auto"/>
        <w:ind w:firstLineChars="200" w:firstLine="480"/>
        <w:rPr>
          <w:color w:val="000000" w:themeColor="text1"/>
          <w:sz w:val="24"/>
        </w:rPr>
      </w:pPr>
      <w:r>
        <w:rPr>
          <w:color w:val="000000" w:themeColor="text1"/>
          <w:sz w:val="24"/>
        </w:rPr>
        <w:t>采取的主要节水措施有：</w:t>
      </w:r>
    </w:p>
    <w:p w14:paraId="19994FDA" w14:textId="77777777" w:rsidR="00B14D53" w:rsidRDefault="00000000">
      <w:pPr>
        <w:spacing w:line="360" w:lineRule="auto"/>
        <w:ind w:firstLineChars="200" w:firstLine="480"/>
        <w:rPr>
          <w:color w:val="000000" w:themeColor="text1"/>
          <w:sz w:val="24"/>
        </w:rPr>
      </w:pPr>
      <w:r>
        <w:rPr>
          <w:color w:val="000000" w:themeColor="text1"/>
          <w:sz w:val="24"/>
        </w:rPr>
        <w:t>①</w:t>
      </w:r>
      <w:r>
        <w:rPr>
          <w:color w:val="000000" w:themeColor="text1"/>
          <w:sz w:val="24"/>
        </w:rPr>
        <w:t>屠宰过程实现机械化作业，流水线生产。胴体不与地面等任何污染源接触，猪血集中收集，</w:t>
      </w:r>
      <w:r>
        <w:rPr>
          <w:sz w:val="24"/>
        </w:rPr>
        <w:t>猪粪便清理至包装桶内，暂存于待宰圈内，每日生产结束后清运一次。</w:t>
      </w:r>
      <w:r>
        <w:rPr>
          <w:color w:val="000000" w:themeColor="text1"/>
          <w:sz w:val="24"/>
        </w:rPr>
        <w:t>从而可大大减少冲洗水用量。</w:t>
      </w:r>
    </w:p>
    <w:p w14:paraId="2999200F" w14:textId="77777777" w:rsidR="00B14D53" w:rsidRDefault="00000000">
      <w:pPr>
        <w:spacing w:line="360" w:lineRule="auto"/>
        <w:ind w:firstLineChars="200" w:firstLine="480"/>
        <w:rPr>
          <w:color w:val="000000" w:themeColor="text1"/>
          <w:sz w:val="24"/>
        </w:rPr>
      </w:pPr>
      <w:r>
        <w:rPr>
          <w:color w:val="000000" w:themeColor="text1"/>
          <w:sz w:val="24"/>
        </w:rPr>
        <w:t>②</w:t>
      </w:r>
      <w:r>
        <w:rPr>
          <w:color w:val="000000" w:themeColor="text1"/>
          <w:sz w:val="24"/>
        </w:rPr>
        <w:t>冲洗采用高压水作业，提高冲洗效率，节约用水。</w:t>
      </w:r>
    </w:p>
    <w:p w14:paraId="726FAC53" w14:textId="77777777" w:rsidR="00B14D53" w:rsidRDefault="00000000">
      <w:pPr>
        <w:spacing w:line="360" w:lineRule="auto"/>
        <w:ind w:firstLineChars="200" w:firstLine="480"/>
        <w:rPr>
          <w:spacing w:val="-1"/>
          <w:sz w:val="24"/>
        </w:rPr>
      </w:pPr>
      <w:r>
        <w:rPr>
          <w:color w:val="000000" w:themeColor="text1"/>
          <w:sz w:val="24"/>
        </w:rPr>
        <w:t>本项目屠宰耗水量、屠宰量越大，单位耗水量越小，根据黑龙江省地方标准《用水定额》（</w:t>
      </w:r>
      <w:r>
        <w:rPr>
          <w:color w:val="000000" w:themeColor="text1"/>
          <w:sz w:val="24"/>
        </w:rPr>
        <w:t>DB23/T 727-2021</w:t>
      </w:r>
      <w:r>
        <w:rPr>
          <w:color w:val="000000" w:themeColor="text1"/>
          <w:sz w:val="24"/>
        </w:rPr>
        <w:t>）牲畜屠宰行业，</w:t>
      </w:r>
      <w:r>
        <w:rPr>
          <w:sz w:val="24"/>
        </w:rPr>
        <w:t>参考黑龙江省《用水定额标准》（</w:t>
      </w:r>
      <w:r>
        <w:rPr>
          <w:sz w:val="24"/>
        </w:rPr>
        <w:t>DB23/T 727-2021</w:t>
      </w:r>
      <w:r>
        <w:rPr>
          <w:sz w:val="24"/>
        </w:rPr>
        <w:t>），生猪屠宰用水定额为</w:t>
      </w:r>
      <w:r>
        <w:rPr>
          <w:sz w:val="24"/>
        </w:rPr>
        <w:t>0.6m</w:t>
      </w:r>
      <w:r>
        <w:rPr>
          <w:sz w:val="24"/>
          <w:vertAlign w:val="superscript"/>
        </w:rPr>
        <w:t>3</w:t>
      </w:r>
      <w:r>
        <w:rPr>
          <w:sz w:val="24"/>
        </w:rPr>
        <w:t>/</w:t>
      </w:r>
      <w:r>
        <w:rPr>
          <w:sz w:val="24"/>
        </w:rPr>
        <w:t>头，根据《屠宰与肉类加工废水治理工程技术规范》（</w:t>
      </w:r>
      <w:r>
        <w:rPr>
          <w:sz w:val="24"/>
        </w:rPr>
        <w:t>HJ 2004-2010</w:t>
      </w:r>
      <w:r>
        <w:rPr>
          <w:sz w:val="24"/>
        </w:rPr>
        <w:t>），生猪屠宰废水产生量为</w:t>
      </w:r>
      <w:r>
        <w:rPr>
          <w:sz w:val="24"/>
        </w:rPr>
        <w:t>0.5~0.7m</w:t>
      </w:r>
      <w:r>
        <w:rPr>
          <w:sz w:val="24"/>
          <w:vertAlign w:val="superscript"/>
        </w:rPr>
        <w:t>3</w:t>
      </w:r>
      <w:r>
        <w:rPr>
          <w:sz w:val="24"/>
        </w:rPr>
        <w:t>/</w:t>
      </w:r>
      <w:r>
        <w:rPr>
          <w:sz w:val="24"/>
        </w:rPr>
        <w:t>头，生猪屠宰用水量包括浸烫冲洗、烫毛冲洗、修刮冲洗、吊挂冲洗、挑胸冲洗、开膛冲洗、胸膛冲洗、内脏冲洗、猪体冲洗、头、尾、蹄加工冲洗、屠宰车间、地面及设备冲洗等用水，本项目屠宰用水系数取</w:t>
      </w:r>
      <w:r>
        <w:rPr>
          <w:sz w:val="24"/>
        </w:rPr>
        <w:t>0.6m</w:t>
      </w:r>
      <w:r>
        <w:rPr>
          <w:sz w:val="24"/>
          <w:vertAlign w:val="superscript"/>
        </w:rPr>
        <w:t>3</w:t>
      </w:r>
      <w:r>
        <w:rPr>
          <w:sz w:val="24"/>
        </w:rPr>
        <w:t>/</w:t>
      </w:r>
      <w:r>
        <w:rPr>
          <w:sz w:val="24"/>
        </w:rPr>
        <w:t>头，</w:t>
      </w:r>
      <w:r>
        <w:rPr>
          <w:rFonts w:hint="eastAsia"/>
          <w:sz w:val="24"/>
        </w:rPr>
        <w:t>总</w:t>
      </w:r>
      <w:r>
        <w:rPr>
          <w:sz w:val="24"/>
        </w:rPr>
        <w:t>用水量为</w:t>
      </w:r>
      <w:r>
        <w:rPr>
          <w:rFonts w:hint="eastAsia"/>
          <w:sz w:val="24"/>
        </w:rPr>
        <w:t>96000</w:t>
      </w:r>
      <w:r>
        <w:rPr>
          <w:sz w:val="24"/>
        </w:rPr>
        <w:t>m</w:t>
      </w:r>
      <w:r>
        <w:rPr>
          <w:sz w:val="24"/>
          <w:vertAlign w:val="superscript"/>
        </w:rPr>
        <w:t>3</w:t>
      </w:r>
      <w:r>
        <w:rPr>
          <w:sz w:val="24"/>
        </w:rPr>
        <w:t>/a</w:t>
      </w:r>
      <w:r>
        <w:rPr>
          <w:sz w:val="24"/>
        </w:rPr>
        <w:t>（</w:t>
      </w:r>
      <w:r>
        <w:rPr>
          <w:rFonts w:hint="eastAsia"/>
          <w:sz w:val="24"/>
        </w:rPr>
        <w:t>282.35</w:t>
      </w:r>
      <w:r>
        <w:rPr>
          <w:sz w:val="24"/>
        </w:rPr>
        <w:t>m</w:t>
      </w:r>
      <w:r>
        <w:rPr>
          <w:sz w:val="24"/>
          <w:vertAlign w:val="superscript"/>
        </w:rPr>
        <w:t>3</w:t>
      </w:r>
      <w:r>
        <w:rPr>
          <w:sz w:val="24"/>
        </w:rPr>
        <w:t>/d</w:t>
      </w:r>
      <w:r>
        <w:rPr>
          <w:sz w:val="24"/>
        </w:rPr>
        <w:t>）。</w:t>
      </w:r>
      <w:r>
        <w:rPr>
          <w:color w:val="000000" w:themeColor="text1"/>
          <w:sz w:val="24"/>
        </w:rPr>
        <w:t>因此，通过采用节水措施和强化管理，可达到节约用水的目的。</w:t>
      </w:r>
    </w:p>
    <w:p w14:paraId="4132D3E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176" w:name="_Toc15962"/>
      <w:bookmarkStart w:id="177" w:name="_Toc18281"/>
      <w:bookmarkStart w:id="178" w:name="_Toc1113"/>
      <w:r>
        <w:rPr>
          <w:rFonts w:ascii="Times New Roman" w:eastAsia="黑体" w:hAnsi="Times New Roman" w:cs="Times New Roman"/>
          <w:bCs/>
          <w:sz w:val="28"/>
          <w:szCs w:val="28"/>
        </w:rPr>
        <w:t>3.</w:t>
      </w:r>
      <w:r>
        <w:rPr>
          <w:rFonts w:ascii="Times New Roman" w:eastAsia="黑体" w:hAnsi="Times New Roman" w:cs="Times New Roman" w:hint="eastAsia"/>
          <w:bCs/>
          <w:sz w:val="28"/>
          <w:szCs w:val="28"/>
        </w:rPr>
        <w:t>4</w:t>
      </w:r>
      <w:r>
        <w:rPr>
          <w:rFonts w:ascii="Times New Roman" w:eastAsia="黑体" w:hAnsi="Times New Roman" w:cs="Times New Roman"/>
          <w:bCs/>
          <w:sz w:val="28"/>
          <w:szCs w:val="28"/>
        </w:rPr>
        <w:t>.3</w:t>
      </w:r>
      <w:r>
        <w:rPr>
          <w:rFonts w:ascii="Times New Roman" w:eastAsia="黑体" w:hAnsi="Times New Roman" w:cs="Times New Roman"/>
          <w:bCs/>
          <w:sz w:val="28"/>
          <w:szCs w:val="28"/>
        </w:rPr>
        <w:t>污染物产生分析</w:t>
      </w:r>
      <w:bookmarkEnd w:id="176"/>
      <w:bookmarkEnd w:id="177"/>
      <w:bookmarkEnd w:id="178"/>
    </w:p>
    <w:p w14:paraId="55F91AF7" w14:textId="77777777" w:rsidR="00B14D53" w:rsidRDefault="00000000">
      <w:pPr>
        <w:spacing w:line="360" w:lineRule="auto"/>
        <w:ind w:firstLineChars="200" w:firstLine="480"/>
        <w:rPr>
          <w:color w:val="000000" w:themeColor="text1"/>
          <w:sz w:val="24"/>
        </w:rPr>
      </w:pPr>
      <w:r>
        <w:rPr>
          <w:bCs/>
          <w:color w:val="000000" w:themeColor="text1"/>
          <w:sz w:val="24"/>
        </w:rPr>
        <w:t>本项目</w:t>
      </w:r>
      <w:r>
        <w:rPr>
          <w:rFonts w:hint="eastAsia"/>
          <w:bCs/>
          <w:color w:val="000000" w:themeColor="text1"/>
          <w:sz w:val="24"/>
        </w:rPr>
        <w:t>生猪</w:t>
      </w:r>
      <w:r>
        <w:rPr>
          <w:bCs/>
          <w:color w:val="000000" w:themeColor="text1"/>
          <w:sz w:val="24"/>
        </w:rPr>
        <w:t>屠宰加工的剩余物都可以进一步加工利用，</w:t>
      </w:r>
      <w:r>
        <w:rPr>
          <w:rFonts w:hint="eastAsia"/>
          <w:bCs/>
          <w:color w:val="000000" w:themeColor="text1"/>
          <w:sz w:val="24"/>
        </w:rPr>
        <w:t>生猪</w:t>
      </w:r>
      <w:r>
        <w:rPr>
          <w:bCs/>
          <w:color w:val="000000" w:themeColor="text1"/>
          <w:sz w:val="24"/>
        </w:rPr>
        <w:t>本身基本无废物，主要污染物来自屠宰加工过</w:t>
      </w:r>
      <w:r>
        <w:rPr>
          <w:color w:val="000000" w:themeColor="text1"/>
          <w:sz w:val="24"/>
        </w:rPr>
        <w:t>程中产生的废水、固废和恶臭气体等。</w:t>
      </w:r>
    </w:p>
    <w:p w14:paraId="508C56D6" w14:textId="77777777" w:rsidR="00B14D53" w:rsidRDefault="00000000">
      <w:pPr>
        <w:spacing w:line="360" w:lineRule="auto"/>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）废水</w:t>
      </w:r>
    </w:p>
    <w:p w14:paraId="32EC392B" w14:textId="77777777" w:rsidR="00B14D53" w:rsidRDefault="00000000">
      <w:pPr>
        <w:spacing w:line="360" w:lineRule="auto"/>
        <w:ind w:firstLineChars="200" w:firstLine="480"/>
        <w:rPr>
          <w:color w:val="000000" w:themeColor="text1"/>
          <w:sz w:val="24"/>
        </w:rPr>
      </w:pPr>
      <w:r>
        <w:rPr>
          <w:color w:val="000000" w:themeColor="text1"/>
          <w:sz w:val="24"/>
        </w:rPr>
        <w:t>污水中污染物的产生量取决于设备的先进性、员工操作技术、废水产生量、血液收集率、粪便收集率及生产管理水平等。通过分析，本项目对</w:t>
      </w:r>
      <w:r>
        <w:rPr>
          <w:rFonts w:hint="eastAsia"/>
          <w:color w:val="000000" w:themeColor="text1"/>
          <w:sz w:val="24"/>
        </w:rPr>
        <w:t>猪血、猪毛</w:t>
      </w:r>
      <w:r>
        <w:rPr>
          <w:color w:val="000000" w:themeColor="text1"/>
          <w:sz w:val="24"/>
        </w:rPr>
        <w:t>、头蹄、红白内脏等有价物质的回收率较高，致使污染物的产生量较低，因而，污水可通过生化处理实现达标排放。本项目所排放的废水经厂区污水处理站处理后达到</w:t>
      </w:r>
      <w:r>
        <w:rPr>
          <w:sz w:val="24"/>
        </w:rPr>
        <w:t>《肉类加工工业水污染物排放标准》（</w:t>
      </w:r>
      <w:r>
        <w:rPr>
          <w:sz w:val="24"/>
        </w:rPr>
        <w:t>GB13457-92</w:t>
      </w:r>
      <w:r>
        <w:rPr>
          <w:sz w:val="24"/>
        </w:rPr>
        <w:t>）表</w:t>
      </w:r>
      <w:r>
        <w:rPr>
          <w:sz w:val="24"/>
        </w:rPr>
        <w:t>3</w:t>
      </w:r>
      <w:r>
        <w:rPr>
          <w:sz w:val="24"/>
        </w:rPr>
        <w:t>畜类屠宰加工三级标准限值</w:t>
      </w:r>
      <w:r>
        <w:rPr>
          <w:rFonts w:hint="eastAsia"/>
          <w:sz w:val="24"/>
        </w:rPr>
        <w:t>及</w:t>
      </w:r>
      <w:r>
        <w:rPr>
          <w:rFonts w:hint="eastAsia"/>
          <w:kern w:val="21"/>
          <w:sz w:val="24"/>
        </w:rPr>
        <w:t>五常市民泉污水处理有限公司（五常市山河屯林业局污水处理厂）</w:t>
      </w:r>
      <w:r>
        <w:rPr>
          <w:kern w:val="21"/>
          <w:sz w:val="24"/>
        </w:rPr>
        <w:t>设计进水水质指标</w:t>
      </w:r>
      <w:r>
        <w:rPr>
          <w:color w:val="000000" w:themeColor="text1"/>
          <w:sz w:val="24"/>
        </w:rPr>
        <w:t>，排入</w:t>
      </w:r>
      <w:r>
        <w:rPr>
          <w:rFonts w:hint="eastAsia"/>
          <w:kern w:val="21"/>
          <w:sz w:val="24"/>
        </w:rPr>
        <w:t>五常市民泉污水处理有限公司（五常市山河屯林业局污水处理厂）</w:t>
      </w:r>
      <w:r>
        <w:rPr>
          <w:color w:val="000000" w:themeColor="text1"/>
          <w:sz w:val="24"/>
        </w:rPr>
        <w:t>，排入</w:t>
      </w:r>
      <w:r>
        <w:rPr>
          <w:rFonts w:hint="eastAsia"/>
          <w:color w:val="000000" w:themeColor="text1"/>
          <w:sz w:val="24"/>
        </w:rPr>
        <w:t>拉林</w:t>
      </w:r>
      <w:r>
        <w:rPr>
          <w:color w:val="000000" w:themeColor="text1"/>
          <w:sz w:val="24"/>
        </w:rPr>
        <w:t>河。本项目所排废水量较小，能够达到节水降污的要求。</w:t>
      </w:r>
    </w:p>
    <w:p w14:paraId="2B59EFE7" w14:textId="77777777" w:rsidR="00B14D53" w:rsidRDefault="00000000">
      <w:pPr>
        <w:spacing w:line="360" w:lineRule="auto"/>
        <w:ind w:firstLineChars="200" w:firstLine="480"/>
        <w:rPr>
          <w:color w:val="000000" w:themeColor="text1"/>
          <w:sz w:val="24"/>
        </w:rPr>
      </w:pPr>
      <w:bookmarkStart w:id="179" w:name="_Hlk479528944"/>
      <w:r>
        <w:rPr>
          <w:color w:val="000000" w:themeColor="text1"/>
          <w:sz w:val="24"/>
        </w:rPr>
        <w:t>（</w:t>
      </w:r>
      <w:r>
        <w:rPr>
          <w:color w:val="000000" w:themeColor="text1"/>
          <w:sz w:val="24"/>
        </w:rPr>
        <w:t>2</w:t>
      </w:r>
      <w:r>
        <w:rPr>
          <w:color w:val="000000" w:themeColor="text1"/>
          <w:sz w:val="24"/>
        </w:rPr>
        <w:t>）废气</w:t>
      </w:r>
    </w:p>
    <w:p w14:paraId="34553D1F" w14:textId="77777777" w:rsidR="00B14D53" w:rsidRDefault="00000000">
      <w:pPr>
        <w:spacing w:line="360" w:lineRule="auto"/>
        <w:ind w:firstLineChars="200" w:firstLine="480"/>
        <w:rPr>
          <w:color w:val="000000" w:themeColor="text1"/>
          <w:sz w:val="24"/>
        </w:rPr>
      </w:pPr>
      <w:r>
        <w:rPr>
          <w:color w:val="000000" w:themeColor="text1"/>
          <w:sz w:val="24"/>
        </w:rPr>
        <w:t>本项目待宰圈封闭，两个待宰圈分别采用引风机集中收集恶臭污染物，同时待宰圈经过及时清扫并定期喷洒生物除臭剂可降低臭气浓度，收集的废气分别经</w:t>
      </w:r>
      <w:r>
        <w:rPr>
          <w:rFonts w:hint="eastAsia"/>
          <w:color w:val="000000" w:themeColor="text1"/>
          <w:sz w:val="24"/>
        </w:rPr>
        <w:t>活性炭</w:t>
      </w:r>
      <w:r>
        <w:rPr>
          <w:color w:val="000000" w:themeColor="text1"/>
          <w:sz w:val="24"/>
        </w:rPr>
        <w:t>吸附净化后由</w:t>
      </w:r>
      <w:r>
        <w:rPr>
          <w:color w:val="000000" w:themeColor="text1"/>
          <w:sz w:val="24"/>
        </w:rPr>
        <w:t>2</w:t>
      </w:r>
      <w:r>
        <w:rPr>
          <w:color w:val="000000" w:themeColor="text1"/>
          <w:sz w:val="24"/>
        </w:rPr>
        <w:t>根</w:t>
      </w:r>
      <w:r>
        <w:rPr>
          <w:color w:val="000000" w:themeColor="text1"/>
          <w:sz w:val="24"/>
        </w:rPr>
        <w:t>15m</w:t>
      </w:r>
      <w:r>
        <w:rPr>
          <w:color w:val="000000" w:themeColor="text1"/>
          <w:sz w:val="24"/>
        </w:rPr>
        <w:t>高排气筒（</w:t>
      </w:r>
      <w:r>
        <w:rPr>
          <w:color w:val="000000" w:themeColor="text1"/>
          <w:sz w:val="24"/>
        </w:rPr>
        <w:t>DA001</w:t>
      </w:r>
      <w:r>
        <w:rPr>
          <w:color w:val="000000" w:themeColor="text1"/>
          <w:sz w:val="24"/>
        </w:rPr>
        <w:t>、</w:t>
      </w:r>
      <w:r>
        <w:rPr>
          <w:color w:val="000000" w:themeColor="text1"/>
          <w:sz w:val="24"/>
        </w:rPr>
        <w:t>DA002</w:t>
      </w:r>
      <w:r>
        <w:rPr>
          <w:color w:val="000000" w:themeColor="text1"/>
          <w:sz w:val="24"/>
        </w:rPr>
        <w:t>）排放。本项目屠宰车间封闭，用引风机集中收集恶臭污染物，收集的废气分别经</w:t>
      </w:r>
      <w:r>
        <w:rPr>
          <w:rFonts w:hint="eastAsia"/>
          <w:color w:val="000000" w:themeColor="text1"/>
          <w:sz w:val="24"/>
        </w:rPr>
        <w:t>活性炭</w:t>
      </w:r>
      <w:r>
        <w:rPr>
          <w:color w:val="000000" w:themeColor="text1"/>
          <w:sz w:val="24"/>
        </w:rPr>
        <w:t>吸附净化后由</w:t>
      </w:r>
      <w:r>
        <w:rPr>
          <w:color w:val="000000" w:themeColor="text1"/>
          <w:sz w:val="24"/>
        </w:rPr>
        <w:t>1</w:t>
      </w:r>
      <w:r>
        <w:rPr>
          <w:color w:val="000000" w:themeColor="text1"/>
          <w:sz w:val="24"/>
        </w:rPr>
        <w:t>根</w:t>
      </w:r>
      <w:r>
        <w:rPr>
          <w:color w:val="000000" w:themeColor="text1"/>
          <w:sz w:val="24"/>
        </w:rPr>
        <w:t>15m</w:t>
      </w:r>
      <w:r>
        <w:rPr>
          <w:color w:val="000000" w:themeColor="text1"/>
          <w:sz w:val="24"/>
        </w:rPr>
        <w:t>高排气筒（</w:t>
      </w:r>
      <w:r>
        <w:rPr>
          <w:color w:val="000000" w:themeColor="text1"/>
          <w:sz w:val="24"/>
        </w:rPr>
        <w:t>DA003</w:t>
      </w:r>
      <w:r>
        <w:rPr>
          <w:color w:val="000000" w:themeColor="text1"/>
          <w:sz w:val="24"/>
        </w:rPr>
        <w:t>）排放。污水处理站封闭，采用引风机集中收集废气，废气经</w:t>
      </w:r>
      <w:r>
        <w:rPr>
          <w:rFonts w:hint="eastAsia"/>
          <w:color w:val="000000" w:themeColor="text1"/>
          <w:sz w:val="24"/>
        </w:rPr>
        <w:t>活性炭</w:t>
      </w:r>
      <w:r>
        <w:rPr>
          <w:color w:val="000000" w:themeColor="text1"/>
          <w:sz w:val="24"/>
        </w:rPr>
        <w:t>吸附净化（治理效率</w:t>
      </w:r>
      <w:r>
        <w:rPr>
          <w:color w:val="000000" w:themeColor="text1"/>
          <w:sz w:val="24"/>
        </w:rPr>
        <w:t>90%</w:t>
      </w:r>
      <w:r>
        <w:rPr>
          <w:color w:val="000000" w:themeColor="text1"/>
          <w:sz w:val="24"/>
        </w:rPr>
        <w:t>）后由</w:t>
      </w:r>
      <w:r>
        <w:rPr>
          <w:color w:val="000000" w:themeColor="text1"/>
          <w:sz w:val="24"/>
        </w:rPr>
        <w:t>1</w:t>
      </w:r>
      <w:r>
        <w:rPr>
          <w:color w:val="000000" w:themeColor="text1"/>
          <w:sz w:val="24"/>
        </w:rPr>
        <w:t>根</w:t>
      </w:r>
      <w:r>
        <w:rPr>
          <w:color w:val="000000" w:themeColor="text1"/>
          <w:sz w:val="24"/>
        </w:rPr>
        <w:t>15m</w:t>
      </w:r>
      <w:r>
        <w:rPr>
          <w:color w:val="000000" w:themeColor="text1"/>
          <w:sz w:val="24"/>
        </w:rPr>
        <w:t>高排气筒（</w:t>
      </w:r>
      <w:r>
        <w:rPr>
          <w:color w:val="000000" w:themeColor="text1"/>
          <w:sz w:val="24"/>
        </w:rPr>
        <w:t>DA004</w:t>
      </w:r>
      <w:r>
        <w:rPr>
          <w:color w:val="000000" w:themeColor="text1"/>
          <w:sz w:val="24"/>
        </w:rPr>
        <w:t>）排放。</w:t>
      </w:r>
      <w:r>
        <w:rPr>
          <w:bCs/>
          <w:color w:val="000000" w:themeColor="text1"/>
          <w:sz w:val="24"/>
        </w:rPr>
        <w:t>本项目废弃各污染物均达标排放，</w:t>
      </w:r>
      <w:r>
        <w:rPr>
          <w:color w:val="000000" w:themeColor="text1"/>
          <w:sz w:val="24"/>
        </w:rPr>
        <w:t>对周围环境空气影响较小。</w:t>
      </w:r>
    </w:p>
    <w:bookmarkEnd w:id="179"/>
    <w:p w14:paraId="45169DB0" w14:textId="77777777" w:rsidR="00B14D53" w:rsidRDefault="00000000">
      <w:pPr>
        <w:spacing w:line="360" w:lineRule="auto"/>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）固体废物</w:t>
      </w:r>
    </w:p>
    <w:p w14:paraId="0FAC3119" w14:textId="77777777" w:rsidR="00B14D53" w:rsidRDefault="00000000">
      <w:pPr>
        <w:pStyle w:val="11111"/>
        <w:ind w:firstLine="480"/>
        <w:rPr>
          <w:rFonts w:ascii="Times New Roman" w:hAnsi="Times New Roman" w:cs="Times New Roman"/>
        </w:rPr>
      </w:pPr>
      <w:bookmarkStart w:id="180" w:name="_Toc32088"/>
      <w:bookmarkStart w:id="181" w:name="_Toc12660"/>
      <w:bookmarkStart w:id="182" w:name="_Toc4535"/>
      <w:r>
        <w:rPr>
          <w:rFonts w:ascii="Times New Roman" w:hAnsi="Times New Roman" w:cs="Times New Roman"/>
        </w:rPr>
        <w:t>待宰圈的猪粪便，清理至包装桶内，暂存于待宰圈内，每日生产结束后清运一次，外售有机肥厂进行堆肥处理。肠胃内容物清理至包装桶内，暂存于待宰圈内，每日生产结束后清运一次，外售有机肥厂进行堆肥处理。病变腺体、内脏及残留脂肪交由哈尔滨银山无害化处理有限公司处理</w:t>
      </w:r>
      <w:r>
        <w:rPr>
          <w:rFonts w:ascii="Times New Roman" w:hAnsi="Times New Roman" w:cs="Times New Roman" w:hint="eastAsia"/>
        </w:rPr>
        <w:t>。检验废物（类别：</w:t>
      </w:r>
      <w:r>
        <w:rPr>
          <w:rFonts w:ascii="Times New Roman" w:hAnsi="Times New Roman" w:cs="Times New Roman" w:hint="eastAsia"/>
        </w:rPr>
        <w:t>HW01</w:t>
      </w:r>
      <w:r>
        <w:rPr>
          <w:rFonts w:ascii="Times New Roman" w:hAnsi="Times New Roman" w:cs="Times New Roman" w:hint="eastAsia"/>
        </w:rPr>
        <w:t>，代码：</w:t>
      </w:r>
      <w:r>
        <w:rPr>
          <w:rFonts w:ascii="Times New Roman" w:hAnsi="Times New Roman" w:cs="Times New Roman" w:hint="eastAsia"/>
        </w:rPr>
        <w:t>841-001-01</w:t>
      </w:r>
      <w:r>
        <w:rPr>
          <w:rFonts w:ascii="Times New Roman" w:hAnsi="Times New Roman" w:cs="Times New Roman" w:hint="eastAsia"/>
        </w:rPr>
        <w:t>）</w:t>
      </w:r>
      <w:r>
        <w:rPr>
          <w:rFonts w:eastAsiaTheme="minorEastAsia" w:hAnsi="Times New Roman" w:hint="eastAsia"/>
        </w:rPr>
        <w:t>交由有资质单位处置</w:t>
      </w:r>
      <w:r>
        <w:rPr>
          <w:rFonts w:ascii="Times New Roman" w:hAnsi="Times New Roman" w:cs="Times New Roman"/>
        </w:rPr>
        <w:t>。污水处理站污泥及栅渣采用压滤机脱水后，送生活垃圾填埋场处理。废活性炭交由厂家再生利用。废离子交换树脂由厂家回收利用。生活垃圾由市政部门统一处理。病死猪交由哈尔滨银山无害化处理有限公司处置。所有固体废物均得到综合利用和妥善处置，不排入外环境。</w:t>
      </w:r>
    </w:p>
    <w:p w14:paraId="5BE43C7C"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3.</w:t>
      </w:r>
      <w:r>
        <w:rPr>
          <w:rFonts w:ascii="Times New Roman" w:eastAsia="黑体" w:hAnsi="Times New Roman" w:cs="Times New Roman" w:hint="eastAsia"/>
          <w:bCs/>
          <w:sz w:val="28"/>
          <w:szCs w:val="28"/>
        </w:rPr>
        <w:t>4</w:t>
      </w:r>
      <w:r>
        <w:rPr>
          <w:rFonts w:ascii="Times New Roman" w:eastAsia="黑体" w:hAnsi="Times New Roman" w:cs="Times New Roman"/>
          <w:bCs/>
          <w:sz w:val="28"/>
          <w:szCs w:val="28"/>
        </w:rPr>
        <w:t>.4</w:t>
      </w:r>
      <w:r>
        <w:rPr>
          <w:rFonts w:ascii="Times New Roman" w:eastAsia="黑体" w:hAnsi="Times New Roman" w:cs="Times New Roman"/>
          <w:bCs/>
          <w:sz w:val="28"/>
          <w:szCs w:val="28"/>
        </w:rPr>
        <w:t>清洁生产方案</w:t>
      </w:r>
      <w:bookmarkEnd w:id="180"/>
      <w:bookmarkEnd w:id="181"/>
      <w:bookmarkEnd w:id="182"/>
    </w:p>
    <w:p w14:paraId="5DF147EC" w14:textId="77777777" w:rsidR="00B14D53" w:rsidRDefault="00000000">
      <w:pPr>
        <w:widowControl/>
        <w:kinsoku w:val="0"/>
        <w:autoSpaceDE w:val="0"/>
        <w:autoSpaceDN w:val="0"/>
        <w:spacing w:line="360" w:lineRule="auto"/>
        <w:ind w:firstLineChars="200" w:firstLine="480"/>
        <w:textAlignment w:val="baseline"/>
        <w:rPr>
          <w:bCs/>
          <w:color w:val="000000" w:themeColor="text1"/>
          <w:sz w:val="24"/>
        </w:rPr>
      </w:pPr>
      <w:r>
        <w:rPr>
          <w:bCs/>
          <w:color w:val="000000" w:themeColor="text1"/>
          <w:sz w:val="24"/>
        </w:rPr>
        <w:t>（</w:t>
      </w:r>
      <w:r>
        <w:rPr>
          <w:bCs/>
          <w:color w:val="000000" w:themeColor="text1"/>
          <w:sz w:val="24"/>
        </w:rPr>
        <w:t>1</w:t>
      </w:r>
      <w:r>
        <w:rPr>
          <w:bCs/>
          <w:color w:val="000000" w:themeColor="text1"/>
          <w:sz w:val="24"/>
        </w:rPr>
        <w:t>）节水方案</w:t>
      </w:r>
    </w:p>
    <w:p w14:paraId="0C6111A3" w14:textId="77777777" w:rsidR="00B14D53" w:rsidRDefault="00000000">
      <w:pPr>
        <w:widowControl/>
        <w:kinsoku w:val="0"/>
        <w:autoSpaceDE w:val="0"/>
        <w:autoSpaceDN w:val="0"/>
        <w:spacing w:line="360" w:lineRule="auto"/>
        <w:ind w:firstLineChars="200" w:firstLine="480"/>
        <w:textAlignment w:val="baseline"/>
        <w:rPr>
          <w:bCs/>
          <w:color w:val="000000" w:themeColor="text1"/>
          <w:sz w:val="24"/>
        </w:rPr>
      </w:pPr>
      <w:r>
        <w:rPr>
          <w:bCs/>
          <w:color w:val="000000" w:themeColor="text1"/>
          <w:sz w:val="24"/>
        </w:rPr>
        <w:t>①</w:t>
      </w:r>
      <w:r>
        <w:rPr>
          <w:bCs/>
          <w:color w:val="000000" w:themeColor="text1"/>
          <w:sz w:val="24"/>
        </w:rPr>
        <w:t>安装水表、定期记录用水量、避免浪费行为。</w:t>
      </w:r>
    </w:p>
    <w:p w14:paraId="02EE5915" w14:textId="77777777" w:rsidR="00B14D53" w:rsidRDefault="00000000">
      <w:pPr>
        <w:widowControl/>
        <w:kinsoku w:val="0"/>
        <w:autoSpaceDE w:val="0"/>
        <w:autoSpaceDN w:val="0"/>
        <w:spacing w:line="360" w:lineRule="auto"/>
        <w:ind w:firstLineChars="200" w:firstLine="480"/>
        <w:textAlignment w:val="baseline"/>
        <w:rPr>
          <w:bCs/>
          <w:color w:val="000000" w:themeColor="text1"/>
          <w:sz w:val="24"/>
        </w:rPr>
      </w:pPr>
      <w:r>
        <w:rPr>
          <w:bCs/>
          <w:color w:val="000000" w:themeColor="text1"/>
          <w:sz w:val="24"/>
        </w:rPr>
        <w:t>②</w:t>
      </w:r>
      <w:r>
        <w:rPr>
          <w:bCs/>
          <w:color w:val="000000" w:themeColor="text1"/>
          <w:sz w:val="24"/>
        </w:rPr>
        <w:t>洗手和刀具消毒器的水流控制采用自动控制系统。</w:t>
      </w:r>
    </w:p>
    <w:p w14:paraId="0CDC3D52" w14:textId="77777777" w:rsidR="00B14D53" w:rsidRDefault="00000000">
      <w:pPr>
        <w:widowControl/>
        <w:kinsoku w:val="0"/>
        <w:autoSpaceDE w:val="0"/>
        <w:autoSpaceDN w:val="0"/>
        <w:spacing w:line="360" w:lineRule="auto"/>
        <w:ind w:firstLineChars="200" w:firstLine="480"/>
        <w:textAlignment w:val="baseline"/>
        <w:rPr>
          <w:bCs/>
          <w:color w:val="000000" w:themeColor="text1"/>
          <w:sz w:val="24"/>
        </w:rPr>
      </w:pPr>
      <w:r>
        <w:rPr>
          <w:bCs/>
          <w:color w:val="000000" w:themeColor="text1"/>
          <w:sz w:val="24"/>
        </w:rPr>
        <w:t>③</w:t>
      </w:r>
      <w:r>
        <w:rPr>
          <w:bCs/>
          <w:color w:val="000000" w:themeColor="text1"/>
          <w:sz w:val="24"/>
        </w:rPr>
        <w:t>安装高压、低剂量喷嘴。</w:t>
      </w:r>
    </w:p>
    <w:p w14:paraId="7829193A" w14:textId="77777777" w:rsidR="00B14D53" w:rsidRDefault="00000000">
      <w:pPr>
        <w:widowControl/>
        <w:kinsoku w:val="0"/>
        <w:autoSpaceDE w:val="0"/>
        <w:autoSpaceDN w:val="0"/>
        <w:spacing w:line="360" w:lineRule="auto"/>
        <w:ind w:firstLineChars="200" w:firstLine="480"/>
        <w:textAlignment w:val="baseline"/>
        <w:rPr>
          <w:bCs/>
          <w:color w:val="000000" w:themeColor="text1"/>
          <w:sz w:val="24"/>
        </w:rPr>
      </w:pPr>
      <w:r>
        <w:rPr>
          <w:bCs/>
          <w:color w:val="000000" w:themeColor="text1"/>
          <w:sz w:val="24"/>
        </w:rPr>
        <w:t>④</w:t>
      </w:r>
      <w:r>
        <w:rPr>
          <w:bCs/>
          <w:color w:val="000000" w:themeColor="text1"/>
          <w:sz w:val="24"/>
        </w:rPr>
        <w:t>使用内脏转动系统以避免或尽量减少水的消耗。</w:t>
      </w:r>
    </w:p>
    <w:p w14:paraId="5BB9BDDF" w14:textId="77777777" w:rsidR="00B14D53" w:rsidRDefault="00000000">
      <w:pPr>
        <w:widowControl/>
        <w:kinsoku w:val="0"/>
        <w:autoSpaceDE w:val="0"/>
        <w:autoSpaceDN w:val="0"/>
        <w:spacing w:line="360" w:lineRule="auto"/>
        <w:ind w:firstLineChars="200" w:firstLine="480"/>
        <w:textAlignment w:val="baseline"/>
        <w:rPr>
          <w:bCs/>
          <w:color w:val="000000" w:themeColor="text1"/>
          <w:sz w:val="24"/>
        </w:rPr>
      </w:pPr>
      <w:r>
        <w:rPr>
          <w:bCs/>
          <w:color w:val="000000" w:themeColor="text1"/>
          <w:sz w:val="24"/>
        </w:rPr>
        <w:t>⑤</w:t>
      </w:r>
      <w:r>
        <w:rPr>
          <w:bCs/>
          <w:color w:val="000000" w:themeColor="text1"/>
          <w:sz w:val="24"/>
        </w:rPr>
        <w:t>表面清洁采用高压冲洗而非大量清水冲洗。</w:t>
      </w:r>
    </w:p>
    <w:p w14:paraId="7FB5EFA5" w14:textId="77777777" w:rsidR="00B14D53" w:rsidRDefault="00000000">
      <w:pPr>
        <w:widowControl/>
        <w:kinsoku w:val="0"/>
        <w:autoSpaceDE w:val="0"/>
        <w:autoSpaceDN w:val="0"/>
        <w:spacing w:line="360" w:lineRule="auto"/>
        <w:ind w:firstLineChars="200" w:firstLine="480"/>
        <w:textAlignment w:val="baseline"/>
        <w:rPr>
          <w:bCs/>
          <w:color w:val="000000" w:themeColor="text1"/>
          <w:sz w:val="24"/>
        </w:rPr>
      </w:pPr>
      <w:r>
        <w:rPr>
          <w:bCs/>
          <w:color w:val="000000" w:themeColor="text1"/>
          <w:sz w:val="24"/>
        </w:rPr>
        <w:t>⑥</w:t>
      </w:r>
      <w:r>
        <w:rPr>
          <w:bCs/>
          <w:color w:val="000000" w:themeColor="text1"/>
          <w:sz w:val="24"/>
        </w:rPr>
        <w:t>将清洗操作程序产生的最终废水再应用于第二天的必要清洗环节。</w:t>
      </w:r>
    </w:p>
    <w:p w14:paraId="01B792C4" w14:textId="77777777" w:rsidR="00B14D53" w:rsidRDefault="00000000">
      <w:pPr>
        <w:widowControl/>
        <w:kinsoku w:val="0"/>
        <w:autoSpaceDE w:val="0"/>
        <w:autoSpaceDN w:val="0"/>
        <w:spacing w:line="360" w:lineRule="auto"/>
        <w:ind w:firstLineChars="200" w:firstLine="480"/>
        <w:textAlignment w:val="baseline"/>
        <w:rPr>
          <w:color w:val="000000" w:themeColor="text1"/>
          <w:sz w:val="24"/>
        </w:rPr>
      </w:pPr>
      <w:r>
        <w:rPr>
          <w:color w:val="000000" w:themeColor="text1"/>
          <w:sz w:val="24"/>
        </w:rPr>
        <w:t>（</w:t>
      </w:r>
      <w:r>
        <w:rPr>
          <w:color w:val="000000" w:themeColor="text1"/>
          <w:sz w:val="24"/>
        </w:rPr>
        <w:t>2</w:t>
      </w:r>
      <w:r>
        <w:rPr>
          <w:color w:val="000000" w:themeColor="text1"/>
          <w:sz w:val="24"/>
        </w:rPr>
        <w:t>）减少废水所含污染物质的方案</w:t>
      </w:r>
    </w:p>
    <w:p w14:paraId="7A862C8F" w14:textId="77777777" w:rsidR="00B14D53" w:rsidRDefault="00000000">
      <w:pPr>
        <w:widowControl/>
        <w:kinsoku w:val="0"/>
        <w:autoSpaceDE w:val="0"/>
        <w:autoSpaceDN w:val="0"/>
        <w:spacing w:line="360" w:lineRule="auto"/>
        <w:ind w:firstLineChars="200" w:firstLine="480"/>
        <w:textAlignment w:val="baseline"/>
        <w:rPr>
          <w:bCs/>
          <w:color w:val="000000" w:themeColor="text1"/>
          <w:sz w:val="24"/>
        </w:rPr>
      </w:pPr>
      <w:r>
        <w:rPr>
          <w:bCs/>
          <w:color w:val="000000" w:themeColor="text1"/>
          <w:sz w:val="24"/>
        </w:rPr>
        <w:t>①</w:t>
      </w:r>
      <w:r>
        <w:rPr>
          <w:bCs/>
          <w:color w:val="000000" w:themeColor="text1"/>
          <w:sz w:val="24"/>
        </w:rPr>
        <w:t>通过设计使用合适的血液收集设备并给予放血足够的时间（通常为</w:t>
      </w:r>
      <w:r>
        <w:rPr>
          <w:bCs/>
          <w:color w:val="000000" w:themeColor="text1"/>
          <w:sz w:val="24"/>
        </w:rPr>
        <w:t>7min</w:t>
      </w:r>
      <w:r>
        <w:rPr>
          <w:bCs/>
          <w:color w:val="000000" w:themeColor="text1"/>
          <w:sz w:val="24"/>
        </w:rPr>
        <w:t>）最大限度的将血液分离出来。</w:t>
      </w:r>
    </w:p>
    <w:p w14:paraId="08687579" w14:textId="77777777" w:rsidR="00B14D53" w:rsidRDefault="00000000">
      <w:pPr>
        <w:widowControl/>
        <w:kinsoku w:val="0"/>
        <w:autoSpaceDE w:val="0"/>
        <w:autoSpaceDN w:val="0"/>
        <w:spacing w:line="360" w:lineRule="auto"/>
        <w:ind w:firstLineChars="200" w:firstLine="480"/>
        <w:textAlignment w:val="baseline"/>
        <w:rPr>
          <w:bCs/>
          <w:color w:val="000000" w:themeColor="text1"/>
          <w:sz w:val="24"/>
        </w:rPr>
      </w:pPr>
      <w:r>
        <w:rPr>
          <w:bCs/>
          <w:color w:val="000000" w:themeColor="text1"/>
          <w:sz w:val="24"/>
        </w:rPr>
        <w:t>②</w:t>
      </w:r>
      <w:r>
        <w:rPr>
          <w:bCs/>
          <w:color w:val="000000" w:themeColor="text1"/>
          <w:sz w:val="24"/>
        </w:rPr>
        <w:t>在排水管上装配筛网以防止固体物质进入废水排放系统。</w:t>
      </w:r>
    </w:p>
    <w:p w14:paraId="2A6F4F64" w14:textId="77777777" w:rsidR="00B14D53" w:rsidRDefault="00000000">
      <w:pPr>
        <w:widowControl/>
        <w:kinsoku w:val="0"/>
        <w:autoSpaceDE w:val="0"/>
        <w:autoSpaceDN w:val="0"/>
        <w:spacing w:line="360" w:lineRule="auto"/>
        <w:ind w:firstLineChars="200" w:firstLine="480"/>
        <w:textAlignment w:val="baseline"/>
        <w:rPr>
          <w:color w:val="000000" w:themeColor="text1"/>
          <w:sz w:val="24"/>
        </w:rPr>
      </w:pPr>
      <w:r>
        <w:rPr>
          <w:color w:val="000000" w:themeColor="text1"/>
          <w:sz w:val="24"/>
        </w:rPr>
        <w:t>（</w:t>
      </w:r>
      <w:r>
        <w:rPr>
          <w:color w:val="000000" w:themeColor="text1"/>
          <w:sz w:val="24"/>
        </w:rPr>
        <w:t>3</w:t>
      </w:r>
      <w:r>
        <w:rPr>
          <w:color w:val="000000" w:themeColor="text1"/>
          <w:sz w:val="24"/>
        </w:rPr>
        <w:t>）节约能源方案</w:t>
      </w:r>
    </w:p>
    <w:p w14:paraId="0B457E28" w14:textId="77777777" w:rsidR="00B14D53" w:rsidRDefault="00000000">
      <w:pPr>
        <w:widowControl/>
        <w:kinsoku w:val="0"/>
        <w:autoSpaceDE w:val="0"/>
        <w:autoSpaceDN w:val="0"/>
        <w:spacing w:line="360" w:lineRule="auto"/>
        <w:ind w:firstLineChars="200" w:firstLine="480"/>
        <w:textAlignment w:val="baseline"/>
        <w:rPr>
          <w:color w:val="000000" w:themeColor="text1"/>
          <w:sz w:val="24"/>
        </w:rPr>
      </w:pPr>
      <w:r>
        <w:rPr>
          <w:bCs/>
          <w:color w:val="000000" w:themeColor="text1"/>
          <w:sz w:val="24"/>
        </w:rPr>
        <w:t>①</w:t>
      </w:r>
      <w:r>
        <w:rPr>
          <w:color w:val="000000" w:themeColor="text1"/>
          <w:sz w:val="24"/>
        </w:rPr>
        <w:t>实施能源断开项目，安装传感器以使在电灯及设备不使用时关闭电源或停止供电。</w:t>
      </w:r>
    </w:p>
    <w:p w14:paraId="04057B4F" w14:textId="77777777" w:rsidR="00B14D53" w:rsidRDefault="00000000">
      <w:pPr>
        <w:widowControl/>
        <w:kinsoku w:val="0"/>
        <w:autoSpaceDE w:val="0"/>
        <w:autoSpaceDN w:val="0"/>
        <w:spacing w:line="360" w:lineRule="auto"/>
        <w:ind w:firstLineChars="200" w:firstLine="480"/>
        <w:textAlignment w:val="baseline"/>
        <w:rPr>
          <w:color w:val="000000" w:themeColor="text1"/>
          <w:sz w:val="24"/>
        </w:rPr>
      </w:pPr>
      <w:r>
        <w:rPr>
          <w:bCs/>
          <w:color w:val="000000" w:themeColor="text1"/>
          <w:sz w:val="24"/>
        </w:rPr>
        <w:t>②</w:t>
      </w:r>
      <w:r>
        <w:rPr>
          <w:color w:val="000000" w:themeColor="text1"/>
          <w:sz w:val="24"/>
        </w:rPr>
        <w:t>更多地采用高效能设备。</w:t>
      </w:r>
    </w:p>
    <w:p w14:paraId="615830B5" w14:textId="77777777" w:rsidR="00B14D53" w:rsidRDefault="00000000">
      <w:pPr>
        <w:widowControl/>
        <w:kinsoku w:val="0"/>
        <w:autoSpaceDE w:val="0"/>
        <w:autoSpaceDN w:val="0"/>
        <w:spacing w:line="360" w:lineRule="auto"/>
        <w:ind w:firstLineChars="200" w:firstLine="480"/>
        <w:textAlignment w:val="baseline"/>
        <w:rPr>
          <w:sz w:val="24"/>
        </w:rPr>
      </w:pPr>
      <w:r>
        <w:rPr>
          <w:bCs/>
          <w:color w:val="000000" w:themeColor="text1"/>
          <w:sz w:val="24"/>
        </w:rPr>
        <w:t>③</w:t>
      </w:r>
      <w:r>
        <w:rPr>
          <w:color w:val="000000" w:themeColor="text1"/>
          <w:sz w:val="24"/>
        </w:rPr>
        <w:t>提高维护保养水平以实现设备能源效率最大化。</w:t>
      </w:r>
    </w:p>
    <w:p w14:paraId="0F5173A3"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183" w:name="_Toc4659"/>
      <w:bookmarkStart w:id="184" w:name="_Toc20431"/>
      <w:bookmarkStart w:id="185" w:name="_Toc13663"/>
      <w:r>
        <w:rPr>
          <w:rFonts w:ascii="Times New Roman" w:eastAsia="黑体" w:hAnsi="Times New Roman" w:cs="Times New Roman"/>
          <w:bCs/>
          <w:sz w:val="28"/>
          <w:szCs w:val="28"/>
        </w:rPr>
        <w:t>3.</w:t>
      </w:r>
      <w:r>
        <w:rPr>
          <w:rFonts w:ascii="Times New Roman" w:eastAsia="黑体" w:hAnsi="Times New Roman" w:cs="Times New Roman" w:hint="eastAsia"/>
          <w:bCs/>
          <w:sz w:val="28"/>
          <w:szCs w:val="28"/>
        </w:rPr>
        <w:t>4</w:t>
      </w:r>
      <w:r>
        <w:rPr>
          <w:rFonts w:ascii="Times New Roman" w:eastAsia="黑体" w:hAnsi="Times New Roman" w:cs="Times New Roman"/>
          <w:bCs/>
          <w:sz w:val="28"/>
          <w:szCs w:val="28"/>
        </w:rPr>
        <w:t>.5</w:t>
      </w:r>
      <w:r>
        <w:rPr>
          <w:rFonts w:ascii="Times New Roman" w:eastAsia="黑体" w:hAnsi="Times New Roman" w:cs="Times New Roman"/>
          <w:bCs/>
          <w:sz w:val="28"/>
          <w:szCs w:val="28"/>
        </w:rPr>
        <w:t>清洁生产结论</w:t>
      </w:r>
      <w:bookmarkEnd w:id="183"/>
      <w:bookmarkEnd w:id="184"/>
      <w:bookmarkEnd w:id="185"/>
    </w:p>
    <w:p w14:paraId="42CDEC90" w14:textId="77777777" w:rsidR="00B14D53" w:rsidRDefault="00000000">
      <w:pPr>
        <w:spacing w:line="360" w:lineRule="auto"/>
        <w:ind w:firstLineChars="200" w:firstLine="480"/>
        <w:rPr>
          <w:rFonts w:eastAsiaTheme="minorEastAsia"/>
          <w:b/>
          <w:sz w:val="24"/>
        </w:rPr>
        <w:sectPr w:rsidR="00B14D53">
          <w:pgSz w:w="11906" w:h="16838"/>
          <w:pgMar w:top="1440" w:right="1800" w:bottom="1440" w:left="1800" w:header="851" w:footer="992" w:gutter="0"/>
          <w:cols w:space="425"/>
          <w:docGrid w:type="lines" w:linePitch="312"/>
        </w:sectPr>
      </w:pPr>
      <w:r>
        <w:rPr>
          <w:bCs/>
          <w:color w:val="000000" w:themeColor="text1"/>
          <w:sz w:val="24"/>
        </w:rPr>
        <w:t>本项目的建设采用先进的工艺和设备，实现连续机械化、规模化生产，保证原料利用率、能源利用率达</w:t>
      </w:r>
      <w:r>
        <w:rPr>
          <w:color w:val="000000" w:themeColor="text1"/>
          <w:sz w:val="24"/>
        </w:rPr>
        <w:t>到较高的水平，同时提高废物资源化水平以减少污染物的产生量，可达到增效、节能、降耗、减污的清洁生产目的，在提高经济效益的同时，达到保护环境的目的。因此，本项目符合清洁生产要求，清洁生产是本企业可持续发展的必然选择，同时，清洁生产又是一个相对的、动态的概念，推行清洁生产本身是一个不断完善的过程，建议企业要适时地提出更新的目标，将清洁生产不断地、长期地进行下去，实现企业的可持续发展。</w:t>
      </w:r>
    </w:p>
    <w:p w14:paraId="70F91A90" w14:textId="77777777" w:rsidR="00B14D53" w:rsidRDefault="00000000">
      <w:pPr>
        <w:pStyle w:val="1"/>
        <w:spacing w:before="100" w:beforeAutospacing="1" w:after="0" w:line="240" w:lineRule="auto"/>
        <w:ind w:firstLineChars="200" w:firstLine="640"/>
        <w:rPr>
          <w:rFonts w:eastAsia="黑体"/>
          <w:b w:val="0"/>
          <w:bCs w:val="0"/>
          <w:sz w:val="32"/>
          <w:szCs w:val="32"/>
        </w:rPr>
      </w:pPr>
      <w:bookmarkStart w:id="186" w:name="_Toc477954563"/>
      <w:bookmarkStart w:id="187" w:name="_Toc7823"/>
      <w:r>
        <w:rPr>
          <w:rFonts w:eastAsia="黑体" w:hint="eastAsia"/>
          <w:b w:val="0"/>
          <w:bCs w:val="0"/>
          <w:sz w:val="32"/>
          <w:szCs w:val="32"/>
        </w:rPr>
        <w:t>4</w:t>
      </w:r>
      <w:r>
        <w:rPr>
          <w:rFonts w:eastAsia="黑体" w:hint="eastAsia"/>
          <w:b w:val="0"/>
          <w:bCs w:val="0"/>
          <w:sz w:val="32"/>
          <w:szCs w:val="32"/>
        </w:rPr>
        <w:t>环境现状调查与评价</w:t>
      </w:r>
      <w:bookmarkEnd w:id="186"/>
      <w:bookmarkEnd w:id="187"/>
    </w:p>
    <w:p w14:paraId="1F7D06BE"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188" w:name="_Toc15785"/>
      <w:r>
        <w:rPr>
          <w:rFonts w:ascii="Times New Roman" w:eastAsia="黑体" w:hAnsi="Times New Roman" w:cs="Times New Roman"/>
          <w:b w:val="0"/>
          <w:bCs w:val="0"/>
          <w:sz w:val="30"/>
          <w:szCs w:val="30"/>
        </w:rPr>
        <w:t>4.1</w:t>
      </w:r>
      <w:r>
        <w:rPr>
          <w:rFonts w:ascii="Times New Roman" w:eastAsia="黑体" w:hAnsi="Times New Roman" w:cs="Times New Roman"/>
          <w:b w:val="0"/>
          <w:bCs w:val="0"/>
          <w:sz w:val="30"/>
          <w:szCs w:val="30"/>
        </w:rPr>
        <w:t>自然环境概况</w:t>
      </w:r>
      <w:bookmarkEnd w:id="188"/>
    </w:p>
    <w:p w14:paraId="1A786764"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189" w:name="_Toc218825485"/>
      <w:r>
        <w:rPr>
          <w:rFonts w:ascii="Times New Roman" w:eastAsia="黑体" w:hAnsi="Times New Roman" w:cs="Times New Roman"/>
          <w:sz w:val="28"/>
          <w:szCs w:val="28"/>
        </w:rPr>
        <w:t>4.1.1</w:t>
      </w:r>
      <w:r>
        <w:rPr>
          <w:rFonts w:ascii="Times New Roman" w:eastAsia="黑体" w:hAnsi="Times New Roman" w:cs="Times New Roman"/>
          <w:sz w:val="28"/>
          <w:szCs w:val="28"/>
        </w:rPr>
        <w:t>地理位置</w:t>
      </w:r>
      <w:bookmarkEnd w:id="189"/>
    </w:p>
    <w:p w14:paraId="18231BEE" w14:textId="77777777" w:rsidR="00B14D53" w:rsidRDefault="00000000">
      <w:pPr>
        <w:spacing w:line="360" w:lineRule="auto"/>
        <w:ind w:firstLineChars="200" w:firstLine="480"/>
        <w:rPr>
          <w:rFonts w:eastAsia="新宋体"/>
          <w:sz w:val="24"/>
        </w:rPr>
      </w:pPr>
      <w:r>
        <w:rPr>
          <w:rFonts w:eastAsia="新宋体" w:hint="eastAsia"/>
          <w:sz w:val="24"/>
        </w:rPr>
        <w:t>五常市是黑龙江省的一个省辖县级市，位于黑龙江省南部。北依阿城区，东、东南与尚志市、海林市和吉林省敦化市毗邻，南、西南与吉林省舒兰市、榆树市接壤，西北与双城区相连。总面积</w:t>
      </w:r>
      <w:r>
        <w:rPr>
          <w:rFonts w:eastAsia="新宋体" w:hint="eastAsia"/>
          <w:sz w:val="24"/>
        </w:rPr>
        <w:t>7512</w:t>
      </w:r>
      <w:r>
        <w:rPr>
          <w:rFonts w:eastAsia="新宋体" w:hint="eastAsia"/>
          <w:sz w:val="24"/>
        </w:rPr>
        <w:t>平方千米。总人口</w:t>
      </w:r>
      <w:r>
        <w:rPr>
          <w:rFonts w:eastAsia="新宋体" w:hint="eastAsia"/>
          <w:sz w:val="24"/>
        </w:rPr>
        <w:t>87.1</w:t>
      </w:r>
      <w:r>
        <w:rPr>
          <w:rFonts w:eastAsia="新宋体" w:hint="eastAsia"/>
          <w:sz w:val="24"/>
        </w:rPr>
        <w:t>万人。辖</w:t>
      </w:r>
      <w:r>
        <w:rPr>
          <w:rFonts w:eastAsia="新宋体" w:hint="eastAsia"/>
          <w:sz w:val="24"/>
        </w:rPr>
        <w:t>12</w:t>
      </w:r>
      <w:r>
        <w:rPr>
          <w:rFonts w:eastAsia="新宋体" w:hint="eastAsia"/>
          <w:sz w:val="24"/>
        </w:rPr>
        <w:t>个镇、</w:t>
      </w:r>
      <w:r>
        <w:rPr>
          <w:rFonts w:eastAsia="新宋体" w:hint="eastAsia"/>
          <w:sz w:val="24"/>
        </w:rPr>
        <w:t>12</w:t>
      </w:r>
      <w:r>
        <w:rPr>
          <w:rFonts w:eastAsia="新宋体" w:hint="eastAsia"/>
          <w:sz w:val="24"/>
        </w:rPr>
        <w:t>个乡，另设有</w:t>
      </w:r>
      <w:r>
        <w:rPr>
          <w:rFonts w:eastAsia="新宋体" w:hint="eastAsia"/>
          <w:sz w:val="24"/>
        </w:rPr>
        <w:t>1</w:t>
      </w:r>
      <w:r>
        <w:rPr>
          <w:rFonts w:eastAsia="新宋体" w:hint="eastAsia"/>
          <w:sz w:val="24"/>
        </w:rPr>
        <w:t>个林业局。山河镇位于五常市西南部，北纬</w:t>
      </w:r>
      <w:r>
        <w:rPr>
          <w:rFonts w:eastAsia="新宋体" w:hint="eastAsia"/>
          <w:sz w:val="24"/>
        </w:rPr>
        <w:t>44</w:t>
      </w:r>
      <w:r>
        <w:rPr>
          <w:rFonts w:eastAsia="新宋体" w:hint="eastAsia"/>
          <w:sz w:val="24"/>
        </w:rPr>
        <w:t>°</w:t>
      </w:r>
      <w:r>
        <w:rPr>
          <w:rFonts w:eastAsia="新宋体" w:hint="eastAsia"/>
          <w:sz w:val="24"/>
        </w:rPr>
        <w:t>42</w:t>
      </w:r>
      <w:r>
        <w:rPr>
          <w:rFonts w:eastAsia="新宋体" w:hint="eastAsia"/>
          <w:sz w:val="24"/>
        </w:rPr>
        <w:t>′、东经</w:t>
      </w:r>
      <w:r>
        <w:rPr>
          <w:rFonts w:eastAsia="新宋体" w:hint="eastAsia"/>
          <w:sz w:val="24"/>
        </w:rPr>
        <w:t>127</w:t>
      </w:r>
      <w:r>
        <w:rPr>
          <w:rFonts w:eastAsia="新宋体" w:hint="eastAsia"/>
          <w:sz w:val="24"/>
        </w:rPr>
        <w:t>°</w:t>
      </w:r>
      <w:r>
        <w:rPr>
          <w:rFonts w:eastAsia="新宋体" w:hint="eastAsia"/>
          <w:sz w:val="24"/>
        </w:rPr>
        <w:t>12</w:t>
      </w:r>
      <w:r>
        <w:rPr>
          <w:rFonts w:eastAsia="新宋体" w:hint="eastAsia"/>
          <w:sz w:val="24"/>
        </w:rPr>
        <w:t>′、距市区</w:t>
      </w:r>
      <w:r>
        <w:rPr>
          <w:rFonts w:eastAsia="新宋体" w:hint="eastAsia"/>
          <w:sz w:val="24"/>
        </w:rPr>
        <w:t>25</w:t>
      </w:r>
      <w:r>
        <w:rPr>
          <w:rFonts w:eastAsia="新宋体" w:hint="eastAsia"/>
          <w:sz w:val="24"/>
        </w:rPr>
        <w:t>千米。辖</w:t>
      </w:r>
      <w:r>
        <w:rPr>
          <w:rFonts w:eastAsia="新宋体" w:hint="eastAsia"/>
          <w:sz w:val="24"/>
        </w:rPr>
        <w:t>6</w:t>
      </w:r>
      <w:r>
        <w:rPr>
          <w:rFonts w:eastAsia="新宋体" w:hint="eastAsia"/>
          <w:sz w:val="24"/>
        </w:rPr>
        <w:t>个社区、</w:t>
      </w:r>
      <w:r>
        <w:rPr>
          <w:rFonts w:eastAsia="新宋体" w:hint="eastAsia"/>
          <w:sz w:val="24"/>
        </w:rPr>
        <w:t>13</w:t>
      </w:r>
      <w:r>
        <w:rPr>
          <w:rFonts w:eastAsia="新宋体" w:hint="eastAsia"/>
          <w:sz w:val="24"/>
        </w:rPr>
        <w:t>个行政村。是山河林业局驻地，五常市南部地区的经济、文化中心。胜利河从镇区环绕西去，流入溪浪河。拉滨铁路贯穿境南北，森林铁路通往东南山区。</w:t>
      </w:r>
    </w:p>
    <w:p w14:paraId="15F34092" w14:textId="77777777" w:rsidR="00B14D53" w:rsidRDefault="00000000">
      <w:pPr>
        <w:spacing w:line="360" w:lineRule="auto"/>
        <w:ind w:firstLineChars="200" w:firstLine="480"/>
        <w:rPr>
          <w:rFonts w:eastAsiaTheme="minorEastAsia"/>
          <w:b/>
          <w:sz w:val="24"/>
        </w:rPr>
      </w:pPr>
      <w:r>
        <w:rPr>
          <w:rFonts w:eastAsiaTheme="minorEastAsia" w:hAnsiTheme="minorEastAsia"/>
          <w:sz w:val="24"/>
        </w:rPr>
        <w:t>本项目位于</w:t>
      </w:r>
      <w:r>
        <w:rPr>
          <w:rFonts w:eastAsiaTheme="minorEastAsia" w:hAnsiTheme="minorEastAsia" w:hint="eastAsia"/>
          <w:snapToGrid w:val="0"/>
          <w:kern w:val="0"/>
          <w:sz w:val="24"/>
        </w:rPr>
        <w:t>黑龙江省哈尔滨市五常市山河镇山河屯林业地区林业大街南</w:t>
      </w:r>
      <w:r>
        <w:rPr>
          <w:rFonts w:eastAsiaTheme="minorEastAsia" w:hAnsiTheme="minorEastAsia" w:hint="eastAsia"/>
          <w:snapToGrid w:val="0"/>
          <w:kern w:val="0"/>
          <w:sz w:val="24"/>
        </w:rPr>
        <w:t>200</w:t>
      </w:r>
      <w:r>
        <w:rPr>
          <w:rFonts w:eastAsiaTheme="minorEastAsia" w:hAnsiTheme="minorEastAsia" w:hint="eastAsia"/>
          <w:snapToGrid w:val="0"/>
          <w:kern w:val="0"/>
          <w:sz w:val="24"/>
        </w:rPr>
        <w:t>米处</w:t>
      </w:r>
      <w:r>
        <w:rPr>
          <w:rFonts w:eastAsiaTheme="minorEastAsia" w:hAnsiTheme="minorEastAsia"/>
          <w:sz w:val="24"/>
        </w:rPr>
        <w:t>，</w:t>
      </w:r>
      <w:r>
        <w:rPr>
          <w:rFonts w:eastAsiaTheme="minorEastAsia" w:hAnsiTheme="minorEastAsia" w:hint="eastAsia"/>
          <w:sz w:val="24"/>
        </w:rPr>
        <w:t>北侧为园区路，隔路为空地，西</w:t>
      </w:r>
      <w:r>
        <w:rPr>
          <w:rFonts w:eastAsiaTheme="minorEastAsia" w:hAnsiTheme="minorEastAsia"/>
          <w:sz w:val="24"/>
        </w:rPr>
        <w:t>侧为</w:t>
      </w:r>
      <w:r>
        <w:rPr>
          <w:rFonts w:eastAsiaTheme="minorEastAsia" w:hAnsiTheme="minorEastAsia" w:hint="eastAsia"/>
          <w:sz w:val="24"/>
        </w:rPr>
        <w:t>五常市崧海油脂有限公司</w:t>
      </w:r>
      <w:r>
        <w:rPr>
          <w:rFonts w:eastAsiaTheme="minorEastAsia" w:hAnsiTheme="minorEastAsia"/>
          <w:sz w:val="24"/>
        </w:rPr>
        <w:t>，南侧</w:t>
      </w:r>
      <w:r>
        <w:rPr>
          <w:rFonts w:eastAsiaTheme="minorEastAsia" w:hAnsiTheme="minorEastAsia" w:hint="eastAsia"/>
          <w:sz w:val="24"/>
        </w:rPr>
        <w:t>为无名路，隔路为空地，东</w:t>
      </w:r>
      <w:r>
        <w:rPr>
          <w:rFonts w:eastAsiaTheme="minorEastAsia" w:hAnsiTheme="minorEastAsia"/>
          <w:sz w:val="24"/>
        </w:rPr>
        <w:t>侧为</w:t>
      </w:r>
      <w:r>
        <w:rPr>
          <w:rFonts w:eastAsiaTheme="minorEastAsia" w:hAnsiTheme="minorEastAsia" w:hint="eastAsia"/>
          <w:sz w:val="24"/>
        </w:rPr>
        <w:t>环卫队</w:t>
      </w:r>
      <w:r>
        <w:rPr>
          <w:rFonts w:eastAsiaTheme="minorEastAsia" w:hAnsiTheme="minorEastAsia"/>
        </w:rPr>
        <w:t>。</w:t>
      </w:r>
    </w:p>
    <w:p w14:paraId="3000E2FA" w14:textId="77777777" w:rsidR="00B14D53" w:rsidRDefault="00000000">
      <w:pPr>
        <w:spacing w:line="0" w:lineRule="atLeast"/>
        <w:contextualSpacing/>
        <w:rPr>
          <w:rFonts w:eastAsiaTheme="minorEastAsia"/>
          <w:b/>
          <w:sz w:val="24"/>
        </w:rPr>
      </w:pPr>
      <w:r>
        <w:rPr>
          <w:rFonts w:eastAsiaTheme="minorEastAsia"/>
          <w:b/>
          <w:sz w:val="24"/>
        </w:rPr>
        <w:t xml:space="preserve">  </w:t>
      </w:r>
      <w:r>
        <w:rPr>
          <w:noProof/>
        </w:rPr>
        <w:drawing>
          <wp:inline distT="0" distB="0" distL="114300" distR="114300" wp14:anchorId="74A36A74" wp14:editId="3C37D475">
            <wp:extent cx="2265680" cy="1553845"/>
            <wp:effectExtent l="9525" t="9525" r="10795" b="177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4"/>
                    <a:stretch>
                      <a:fillRect/>
                    </a:stretch>
                  </pic:blipFill>
                  <pic:spPr>
                    <a:xfrm>
                      <a:off x="0" y="0"/>
                      <a:ext cx="2265680" cy="1553845"/>
                    </a:xfrm>
                    <a:prstGeom prst="rect">
                      <a:avLst/>
                    </a:prstGeom>
                    <a:noFill/>
                    <a:ln>
                      <a:solidFill>
                        <a:schemeClr val="tx1"/>
                      </a:solidFill>
                    </a:ln>
                  </pic:spPr>
                </pic:pic>
              </a:graphicData>
            </a:graphic>
          </wp:inline>
        </w:drawing>
      </w:r>
      <w:r>
        <w:rPr>
          <w:rFonts w:eastAsiaTheme="minorEastAsia"/>
          <w:b/>
          <w:sz w:val="24"/>
        </w:rPr>
        <w:t xml:space="preserve"> </w:t>
      </w:r>
      <w:r>
        <w:rPr>
          <w:rFonts w:eastAsiaTheme="minorEastAsia" w:hint="eastAsia"/>
          <w:b/>
          <w:sz w:val="24"/>
        </w:rPr>
        <w:t xml:space="preserve">  </w:t>
      </w:r>
      <w:r>
        <w:rPr>
          <w:rFonts w:eastAsiaTheme="minorEastAsia"/>
          <w:b/>
          <w:sz w:val="24"/>
        </w:rPr>
        <w:t xml:space="preserve">   </w:t>
      </w:r>
      <w:r>
        <w:rPr>
          <w:noProof/>
        </w:rPr>
        <w:drawing>
          <wp:inline distT="0" distB="0" distL="114300" distR="114300" wp14:anchorId="44DE7122" wp14:editId="24A6FD05">
            <wp:extent cx="2203450" cy="1579880"/>
            <wp:effectExtent l="9525" t="9525" r="1587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5"/>
                    <a:stretch>
                      <a:fillRect/>
                    </a:stretch>
                  </pic:blipFill>
                  <pic:spPr>
                    <a:xfrm>
                      <a:off x="0" y="0"/>
                      <a:ext cx="2203450" cy="1579880"/>
                    </a:xfrm>
                    <a:prstGeom prst="rect">
                      <a:avLst/>
                    </a:prstGeom>
                    <a:noFill/>
                    <a:ln>
                      <a:solidFill>
                        <a:schemeClr val="tx1"/>
                      </a:solidFill>
                    </a:ln>
                  </pic:spPr>
                </pic:pic>
              </a:graphicData>
            </a:graphic>
          </wp:inline>
        </w:drawing>
      </w:r>
    </w:p>
    <w:p w14:paraId="2D1064AB" w14:textId="77777777" w:rsidR="00B14D53" w:rsidRDefault="00000000">
      <w:pPr>
        <w:spacing w:line="0" w:lineRule="atLeast"/>
        <w:contextualSpacing/>
        <w:rPr>
          <w:rFonts w:eastAsiaTheme="minorEastAsia"/>
          <w:sz w:val="24"/>
        </w:rPr>
      </w:pPr>
      <w:r>
        <w:rPr>
          <w:rFonts w:eastAsiaTheme="minorEastAsia"/>
          <w:sz w:val="24"/>
        </w:rPr>
        <w:t xml:space="preserve">   </w:t>
      </w:r>
      <w:r>
        <w:rPr>
          <w:rFonts w:eastAsiaTheme="minorEastAsia" w:hint="eastAsia"/>
          <w:sz w:val="24"/>
        </w:rPr>
        <w:t xml:space="preserve">  </w:t>
      </w:r>
      <w:r>
        <w:rPr>
          <w:rFonts w:eastAsiaTheme="minorEastAsia" w:hAnsiTheme="minorEastAsia" w:hint="eastAsia"/>
          <w:sz w:val="24"/>
        </w:rPr>
        <w:t>北侧园区路，隔路为空地</w:t>
      </w:r>
      <w:r>
        <w:rPr>
          <w:rFonts w:eastAsiaTheme="minorEastAsia"/>
          <w:sz w:val="24"/>
        </w:rPr>
        <w:t xml:space="preserve">             </w:t>
      </w:r>
      <w:r>
        <w:rPr>
          <w:rFonts w:eastAsiaTheme="minorEastAsia" w:hint="eastAsia"/>
          <w:sz w:val="24"/>
        </w:rPr>
        <w:t xml:space="preserve"> </w:t>
      </w:r>
      <w:r>
        <w:rPr>
          <w:rFonts w:eastAsiaTheme="minorEastAsia" w:hAnsiTheme="minorEastAsia"/>
          <w:sz w:val="24"/>
        </w:rPr>
        <w:t>南侧</w:t>
      </w:r>
      <w:r>
        <w:rPr>
          <w:rFonts w:eastAsiaTheme="minorEastAsia" w:hAnsiTheme="minorEastAsia" w:hint="eastAsia"/>
          <w:sz w:val="24"/>
        </w:rPr>
        <w:t>无名路，隔路为空地</w:t>
      </w:r>
      <w:r>
        <w:rPr>
          <w:rFonts w:eastAsiaTheme="minorEastAsia"/>
          <w:sz w:val="24"/>
        </w:rPr>
        <w:t xml:space="preserve"> </w:t>
      </w:r>
    </w:p>
    <w:p w14:paraId="68F2B169" w14:textId="77777777" w:rsidR="00B14D53" w:rsidRDefault="00000000">
      <w:pPr>
        <w:contextualSpacing/>
        <w:jc w:val="left"/>
        <w:rPr>
          <w:rFonts w:eastAsiaTheme="minorEastAsia"/>
          <w:sz w:val="24"/>
        </w:rPr>
      </w:pPr>
      <w:r>
        <w:rPr>
          <w:rFonts w:eastAsiaTheme="minorEastAsia"/>
          <w:sz w:val="24"/>
        </w:rPr>
        <w:t xml:space="preserve">  </w:t>
      </w:r>
      <w:r>
        <w:rPr>
          <w:noProof/>
        </w:rPr>
        <w:drawing>
          <wp:inline distT="0" distB="0" distL="114300" distR="114300" wp14:anchorId="35457039" wp14:editId="43EF1884">
            <wp:extent cx="2291080" cy="1513840"/>
            <wp:effectExtent l="9525" t="9525" r="23495" b="1968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6"/>
                    <a:stretch>
                      <a:fillRect/>
                    </a:stretch>
                  </pic:blipFill>
                  <pic:spPr>
                    <a:xfrm>
                      <a:off x="0" y="0"/>
                      <a:ext cx="2291080" cy="1513840"/>
                    </a:xfrm>
                    <a:prstGeom prst="rect">
                      <a:avLst/>
                    </a:prstGeom>
                    <a:noFill/>
                    <a:ln>
                      <a:solidFill>
                        <a:schemeClr val="tx1"/>
                      </a:solidFill>
                    </a:ln>
                  </pic:spPr>
                </pic:pic>
              </a:graphicData>
            </a:graphic>
          </wp:inline>
        </w:drawing>
      </w:r>
      <w:r>
        <w:rPr>
          <w:rFonts w:eastAsiaTheme="minorEastAsia"/>
          <w:sz w:val="24"/>
        </w:rPr>
        <w:t xml:space="preserve">  </w:t>
      </w:r>
      <w:r>
        <w:rPr>
          <w:rFonts w:eastAsiaTheme="minorEastAsia" w:hint="eastAsia"/>
          <w:sz w:val="24"/>
        </w:rPr>
        <w:t xml:space="preserve">  </w:t>
      </w:r>
      <w:r>
        <w:rPr>
          <w:rFonts w:eastAsiaTheme="minorEastAsia"/>
          <w:sz w:val="24"/>
        </w:rPr>
        <w:t xml:space="preserve">  </w:t>
      </w:r>
      <w:r>
        <w:rPr>
          <w:noProof/>
        </w:rPr>
        <w:drawing>
          <wp:inline distT="0" distB="0" distL="114300" distR="114300" wp14:anchorId="468C69AD" wp14:editId="13BEF701">
            <wp:extent cx="2181225" cy="1565275"/>
            <wp:effectExtent l="9525" t="9525" r="19050" b="2540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37"/>
                    <a:stretch>
                      <a:fillRect/>
                    </a:stretch>
                  </pic:blipFill>
                  <pic:spPr>
                    <a:xfrm>
                      <a:off x="0" y="0"/>
                      <a:ext cx="2181225" cy="1565275"/>
                    </a:xfrm>
                    <a:prstGeom prst="rect">
                      <a:avLst/>
                    </a:prstGeom>
                    <a:noFill/>
                    <a:ln>
                      <a:solidFill>
                        <a:schemeClr val="tx1"/>
                      </a:solidFill>
                    </a:ln>
                  </pic:spPr>
                </pic:pic>
              </a:graphicData>
            </a:graphic>
          </wp:inline>
        </w:drawing>
      </w:r>
    </w:p>
    <w:p w14:paraId="418CF950" w14:textId="77777777" w:rsidR="00B14D53" w:rsidRDefault="00000000">
      <w:pPr>
        <w:contextualSpacing/>
        <w:rPr>
          <w:rFonts w:eastAsiaTheme="minorEastAsia"/>
          <w:sz w:val="24"/>
        </w:rPr>
      </w:pPr>
      <w:r>
        <w:rPr>
          <w:rFonts w:eastAsiaTheme="minorEastAsia"/>
          <w:sz w:val="24"/>
        </w:rPr>
        <w:t xml:space="preserve">    </w:t>
      </w:r>
      <w:r>
        <w:rPr>
          <w:rFonts w:eastAsiaTheme="minorEastAsia" w:hAnsiTheme="minorEastAsia" w:hint="eastAsia"/>
          <w:sz w:val="24"/>
        </w:rPr>
        <w:t>西</w:t>
      </w:r>
      <w:r>
        <w:rPr>
          <w:rFonts w:eastAsiaTheme="minorEastAsia" w:hAnsiTheme="minorEastAsia"/>
          <w:sz w:val="24"/>
        </w:rPr>
        <w:t>侧</w:t>
      </w:r>
      <w:r>
        <w:rPr>
          <w:rFonts w:eastAsiaTheme="minorEastAsia" w:hAnsiTheme="minorEastAsia" w:hint="eastAsia"/>
          <w:sz w:val="24"/>
        </w:rPr>
        <w:t>五常市崧海油脂有限公司</w:t>
      </w:r>
      <w:r>
        <w:rPr>
          <w:rFonts w:eastAsiaTheme="minorEastAsia" w:hint="eastAsia"/>
          <w:sz w:val="24"/>
        </w:rPr>
        <w:t xml:space="preserve">    </w:t>
      </w:r>
      <w:r>
        <w:rPr>
          <w:rFonts w:eastAsiaTheme="minorEastAsia"/>
          <w:sz w:val="24"/>
        </w:rPr>
        <w:t xml:space="preserve">  </w:t>
      </w:r>
      <w:r>
        <w:rPr>
          <w:rFonts w:eastAsiaTheme="minorEastAsia" w:hint="eastAsia"/>
          <w:sz w:val="24"/>
        </w:rPr>
        <w:t xml:space="preserve">          </w:t>
      </w:r>
      <w:r>
        <w:rPr>
          <w:rFonts w:eastAsiaTheme="minorEastAsia" w:hAnsiTheme="minorEastAsia" w:hint="eastAsia"/>
          <w:sz w:val="24"/>
        </w:rPr>
        <w:t>东</w:t>
      </w:r>
      <w:r>
        <w:rPr>
          <w:rFonts w:eastAsiaTheme="minorEastAsia" w:hAnsiTheme="minorEastAsia"/>
          <w:sz w:val="24"/>
        </w:rPr>
        <w:t>侧</w:t>
      </w:r>
      <w:r>
        <w:rPr>
          <w:rFonts w:eastAsiaTheme="minorEastAsia" w:hAnsiTheme="minorEastAsia" w:hint="eastAsia"/>
          <w:sz w:val="24"/>
        </w:rPr>
        <w:t>环卫队</w:t>
      </w:r>
    </w:p>
    <w:p w14:paraId="584548AE" w14:textId="77777777" w:rsidR="00B14D53" w:rsidRDefault="00000000">
      <w:pPr>
        <w:jc w:val="center"/>
        <w:rPr>
          <w:b/>
          <w:bCs/>
        </w:rPr>
      </w:pPr>
      <w:r>
        <w:rPr>
          <w:rFonts w:hint="eastAsia"/>
          <w:b/>
          <w:bCs/>
        </w:rPr>
        <w:t>图</w:t>
      </w:r>
      <w:r>
        <w:rPr>
          <w:rFonts w:hint="eastAsia"/>
          <w:b/>
          <w:bCs/>
        </w:rPr>
        <w:t xml:space="preserve">4-1-1 </w:t>
      </w:r>
      <w:r>
        <w:rPr>
          <w:rFonts w:hint="eastAsia"/>
          <w:b/>
          <w:bCs/>
        </w:rPr>
        <w:t>本项目周边环境图</w:t>
      </w:r>
    </w:p>
    <w:p w14:paraId="75021426"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4.1.2</w:t>
      </w:r>
      <w:r>
        <w:rPr>
          <w:rFonts w:ascii="Times New Roman" w:eastAsia="黑体" w:hAnsi="Times New Roman" w:cs="Times New Roman"/>
          <w:bCs/>
          <w:sz w:val="28"/>
          <w:szCs w:val="28"/>
        </w:rPr>
        <w:t>地形地貌</w:t>
      </w:r>
    </w:p>
    <w:p w14:paraId="6BCBE6F2" w14:textId="77777777" w:rsidR="00B14D53" w:rsidRDefault="00000000">
      <w:pPr>
        <w:pStyle w:val="2fd"/>
        <w:ind w:firstLine="480"/>
        <w:rPr>
          <w:rFonts w:ascii="Times New Roman" w:hAnsi="Times New Roman" w:cs="Times New Roman"/>
          <w:bCs/>
        </w:rPr>
      </w:pPr>
      <w:bookmarkStart w:id="190" w:name="_Toc241292978"/>
      <w:r>
        <w:rPr>
          <w:rFonts w:eastAsia="宋体" w:cs="宋体"/>
          <w:bCs/>
          <w:szCs w:val="24"/>
        </w:rPr>
        <w:t>五常市素有</w:t>
      </w:r>
      <w:r>
        <w:rPr>
          <w:rFonts w:ascii="Times New Roman" w:eastAsia="Times New Roman" w:hAnsi="Times New Roman" w:cs="Times New Roman"/>
          <w:bCs/>
          <w:szCs w:val="24"/>
        </w:rPr>
        <w:t>“</w:t>
      </w:r>
      <w:r>
        <w:rPr>
          <w:rFonts w:eastAsia="宋体" w:cs="宋体"/>
          <w:bCs/>
          <w:szCs w:val="24"/>
        </w:rPr>
        <w:t>六山一水半草二分半田</w:t>
      </w:r>
      <w:r>
        <w:rPr>
          <w:rFonts w:ascii="Times New Roman" w:eastAsia="Times New Roman" w:hAnsi="Times New Roman" w:cs="Times New Roman"/>
          <w:bCs/>
          <w:szCs w:val="24"/>
        </w:rPr>
        <w:t>”</w:t>
      </w:r>
      <w:r>
        <w:rPr>
          <w:rFonts w:eastAsia="宋体" w:cs="宋体"/>
          <w:bCs/>
          <w:szCs w:val="24"/>
        </w:rPr>
        <w:t>之称。市域内中山</w:t>
      </w:r>
      <w:r>
        <w:rPr>
          <w:rFonts w:eastAsia="宋体" w:cs="宋体"/>
          <w:bCs/>
          <w:spacing w:val="-1"/>
          <w:szCs w:val="24"/>
        </w:rPr>
        <w:t>面积达</w:t>
      </w:r>
      <w:r>
        <w:rPr>
          <w:rFonts w:ascii="Times New Roman" w:eastAsia="Times New Roman" w:hAnsi="Times New Roman" w:cs="Times New Roman"/>
          <w:bCs/>
          <w:spacing w:val="-1"/>
          <w:szCs w:val="24"/>
        </w:rPr>
        <w:t>481km</w:t>
      </w:r>
      <w:r>
        <w:rPr>
          <w:rFonts w:ascii="Times New Roman" w:eastAsia="Times New Roman" w:hAnsi="Times New Roman" w:cs="Times New Roman"/>
          <w:bCs/>
          <w:spacing w:val="-1"/>
          <w:position w:val="8"/>
          <w:sz w:val="15"/>
          <w:szCs w:val="15"/>
        </w:rPr>
        <w:t>2</w:t>
      </w:r>
      <w:r>
        <w:rPr>
          <w:rFonts w:eastAsia="宋体" w:cs="宋体"/>
          <w:bCs/>
          <w:spacing w:val="-1"/>
          <w:szCs w:val="24"/>
        </w:rPr>
        <w:t>，占</w:t>
      </w:r>
      <w:r>
        <w:rPr>
          <w:rFonts w:eastAsia="宋体" w:cs="宋体"/>
          <w:bCs/>
          <w:spacing w:val="-4"/>
          <w:szCs w:val="24"/>
        </w:rPr>
        <w:t>总面积的</w:t>
      </w:r>
      <w:r>
        <w:rPr>
          <w:rFonts w:ascii="Times New Roman" w:eastAsia="Times New Roman" w:hAnsi="Times New Roman" w:cs="Times New Roman"/>
          <w:bCs/>
          <w:spacing w:val="-4"/>
          <w:szCs w:val="24"/>
        </w:rPr>
        <w:t>6.4%</w:t>
      </w:r>
      <w:r>
        <w:rPr>
          <w:rFonts w:eastAsia="宋体" w:cs="宋体"/>
          <w:bCs/>
          <w:spacing w:val="-4"/>
          <w:szCs w:val="24"/>
        </w:rPr>
        <w:t>，低山面积</w:t>
      </w:r>
      <w:r>
        <w:rPr>
          <w:rFonts w:ascii="Times New Roman" w:eastAsia="Times New Roman" w:hAnsi="Times New Roman" w:cs="Times New Roman"/>
          <w:bCs/>
          <w:spacing w:val="-4"/>
          <w:szCs w:val="24"/>
        </w:rPr>
        <w:t>1653km</w:t>
      </w:r>
      <w:r>
        <w:rPr>
          <w:rFonts w:ascii="Times New Roman" w:eastAsia="Times New Roman" w:hAnsi="Times New Roman" w:cs="Times New Roman"/>
          <w:bCs/>
          <w:spacing w:val="-4"/>
          <w:position w:val="8"/>
          <w:sz w:val="15"/>
          <w:szCs w:val="15"/>
        </w:rPr>
        <w:t>2</w:t>
      </w:r>
      <w:r>
        <w:rPr>
          <w:rFonts w:eastAsia="宋体" w:cs="宋体"/>
          <w:bCs/>
          <w:spacing w:val="-4"/>
          <w:szCs w:val="24"/>
        </w:rPr>
        <w:t>，占总面积的</w:t>
      </w:r>
      <w:r>
        <w:rPr>
          <w:rFonts w:ascii="Times New Roman" w:eastAsia="Times New Roman" w:hAnsi="Times New Roman" w:cs="Times New Roman"/>
          <w:bCs/>
          <w:spacing w:val="-4"/>
          <w:szCs w:val="24"/>
        </w:rPr>
        <w:t>22%</w:t>
      </w:r>
      <w:r>
        <w:rPr>
          <w:rFonts w:eastAsia="宋体" w:cs="宋体"/>
          <w:bCs/>
          <w:spacing w:val="-4"/>
          <w:szCs w:val="24"/>
        </w:rPr>
        <w:t>，丘陵面积</w:t>
      </w:r>
      <w:r>
        <w:rPr>
          <w:rFonts w:ascii="Times New Roman" w:eastAsia="Times New Roman" w:hAnsi="Times New Roman" w:cs="Times New Roman"/>
          <w:bCs/>
          <w:spacing w:val="-4"/>
          <w:szCs w:val="24"/>
        </w:rPr>
        <w:t>1118km</w:t>
      </w:r>
      <w:r>
        <w:rPr>
          <w:rFonts w:ascii="Times New Roman" w:eastAsia="Times New Roman" w:hAnsi="Times New Roman" w:cs="Times New Roman"/>
          <w:bCs/>
          <w:spacing w:val="-4"/>
          <w:position w:val="8"/>
          <w:sz w:val="15"/>
          <w:szCs w:val="15"/>
        </w:rPr>
        <w:t>2</w:t>
      </w:r>
      <w:r>
        <w:rPr>
          <w:rFonts w:eastAsia="宋体" w:cs="宋体"/>
          <w:bCs/>
          <w:spacing w:val="-5"/>
          <w:szCs w:val="24"/>
        </w:rPr>
        <w:t>，占</w:t>
      </w:r>
      <w:r>
        <w:rPr>
          <w:rFonts w:eastAsia="宋体" w:cs="宋体"/>
          <w:bCs/>
          <w:spacing w:val="-6"/>
          <w:szCs w:val="24"/>
        </w:rPr>
        <w:t>总面积的</w:t>
      </w:r>
      <w:r>
        <w:rPr>
          <w:rFonts w:ascii="Times New Roman" w:eastAsia="Times New Roman" w:hAnsi="Times New Roman" w:cs="Times New Roman"/>
          <w:bCs/>
          <w:spacing w:val="-6"/>
          <w:szCs w:val="24"/>
        </w:rPr>
        <w:t>14.9%</w:t>
      </w:r>
      <w:r>
        <w:rPr>
          <w:rFonts w:eastAsia="宋体" w:cs="宋体"/>
          <w:bCs/>
          <w:spacing w:val="-6"/>
          <w:szCs w:val="24"/>
        </w:rPr>
        <w:t>，高平原面积</w:t>
      </w:r>
      <w:r>
        <w:rPr>
          <w:rFonts w:ascii="Times New Roman" w:eastAsia="Times New Roman" w:hAnsi="Times New Roman" w:cs="Times New Roman"/>
          <w:bCs/>
          <w:spacing w:val="-6"/>
          <w:szCs w:val="24"/>
        </w:rPr>
        <w:t>2270km</w:t>
      </w:r>
      <w:r>
        <w:rPr>
          <w:rFonts w:ascii="Times New Roman" w:eastAsia="Times New Roman" w:hAnsi="Times New Roman" w:cs="Times New Roman"/>
          <w:bCs/>
          <w:spacing w:val="-6"/>
          <w:position w:val="8"/>
          <w:sz w:val="15"/>
          <w:szCs w:val="15"/>
        </w:rPr>
        <w:t>2</w:t>
      </w:r>
      <w:r>
        <w:rPr>
          <w:rFonts w:eastAsia="宋体" w:cs="宋体"/>
          <w:bCs/>
          <w:spacing w:val="-6"/>
          <w:szCs w:val="24"/>
        </w:rPr>
        <w:t>，占总面积的</w:t>
      </w:r>
      <w:r>
        <w:rPr>
          <w:rFonts w:ascii="Times New Roman" w:eastAsia="Times New Roman" w:hAnsi="Times New Roman" w:cs="Times New Roman"/>
          <w:bCs/>
          <w:spacing w:val="-6"/>
          <w:szCs w:val="24"/>
        </w:rPr>
        <w:t>30.2%</w:t>
      </w:r>
      <w:r>
        <w:rPr>
          <w:rFonts w:eastAsia="宋体" w:cs="宋体"/>
          <w:bCs/>
          <w:spacing w:val="-6"/>
          <w:szCs w:val="24"/>
        </w:rPr>
        <w:t>，堆积谷平原面积</w:t>
      </w:r>
      <w:r>
        <w:rPr>
          <w:rFonts w:ascii="Times New Roman" w:eastAsia="Times New Roman" w:hAnsi="Times New Roman" w:cs="Times New Roman"/>
          <w:bCs/>
          <w:spacing w:val="-6"/>
          <w:szCs w:val="24"/>
        </w:rPr>
        <w:t>323</w:t>
      </w:r>
      <w:r>
        <w:rPr>
          <w:rFonts w:ascii="Times New Roman" w:eastAsia="Times New Roman" w:hAnsi="Times New Roman" w:cs="Times New Roman"/>
          <w:bCs/>
          <w:spacing w:val="-3"/>
          <w:szCs w:val="24"/>
        </w:rPr>
        <w:t>km</w:t>
      </w:r>
      <w:r>
        <w:rPr>
          <w:rFonts w:ascii="Times New Roman" w:eastAsia="Times New Roman" w:hAnsi="Times New Roman" w:cs="Times New Roman"/>
          <w:bCs/>
          <w:spacing w:val="-3"/>
          <w:position w:val="7"/>
          <w:sz w:val="15"/>
          <w:szCs w:val="15"/>
        </w:rPr>
        <w:t>2</w:t>
      </w:r>
      <w:r>
        <w:rPr>
          <w:rFonts w:eastAsia="宋体" w:cs="宋体"/>
          <w:bCs/>
          <w:spacing w:val="-3"/>
          <w:szCs w:val="24"/>
        </w:rPr>
        <w:t>，占总面积</w:t>
      </w:r>
      <w:r>
        <w:rPr>
          <w:rFonts w:ascii="Times New Roman" w:eastAsia="Times New Roman" w:hAnsi="Times New Roman" w:cs="Times New Roman"/>
          <w:bCs/>
          <w:spacing w:val="-3"/>
          <w:szCs w:val="24"/>
        </w:rPr>
        <w:t>4.3%</w:t>
      </w:r>
      <w:r>
        <w:rPr>
          <w:rFonts w:ascii="Times New Roman" w:eastAsia="宋体" w:hAnsi="Times New Roman" w:cs="Times New Roman" w:hint="eastAsia"/>
          <w:bCs/>
          <w:spacing w:val="-3"/>
          <w:szCs w:val="24"/>
        </w:rPr>
        <w:t>，</w:t>
      </w:r>
      <w:r>
        <w:rPr>
          <w:rFonts w:eastAsia="宋体" w:cs="宋体"/>
          <w:bCs/>
          <w:spacing w:val="-3"/>
          <w:szCs w:val="24"/>
        </w:rPr>
        <w:t>冲积平原面积</w:t>
      </w:r>
      <w:r>
        <w:rPr>
          <w:rFonts w:ascii="Times New Roman" w:eastAsia="Times New Roman" w:hAnsi="Times New Roman" w:cs="Times New Roman"/>
          <w:bCs/>
          <w:spacing w:val="-4"/>
          <w:szCs w:val="24"/>
        </w:rPr>
        <w:t>1667km</w:t>
      </w:r>
      <w:r>
        <w:rPr>
          <w:rFonts w:ascii="Times New Roman" w:eastAsia="Times New Roman" w:hAnsi="Times New Roman" w:cs="Times New Roman"/>
          <w:bCs/>
          <w:spacing w:val="-4"/>
          <w:position w:val="7"/>
          <w:sz w:val="15"/>
          <w:szCs w:val="15"/>
        </w:rPr>
        <w:t>2</w:t>
      </w:r>
      <w:r>
        <w:rPr>
          <w:rFonts w:eastAsia="宋体" w:cs="宋体"/>
          <w:bCs/>
          <w:spacing w:val="-4"/>
          <w:szCs w:val="24"/>
        </w:rPr>
        <w:t>，占总面积的</w:t>
      </w:r>
      <w:r>
        <w:rPr>
          <w:rFonts w:ascii="Times New Roman" w:eastAsia="Times New Roman" w:hAnsi="Times New Roman" w:cs="Times New Roman"/>
          <w:bCs/>
          <w:spacing w:val="-4"/>
          <w:szCs w:val="24"/>
        </w:rPr>
        <w:t>22.2%</w:t>
      </w:r>
      <w:r>
        <w:rPr>
          <w:rFonts w:eastAsia="宋体" w:cs="宋体"/>
          <w:bCs/>
          <w:spacing w:val="-4"/>
          <w:szCs w:val="24"/>
        </w:rPr>
        <w:t>。中山、低山、</w:t>
      </w:r>
      <w:r>
        <w:rPr>
          <w:rFonts w:eastAsia="宋体" w:cs="宋体"/>
          <w:bCs/>
          <w:spacing w:val="-7"/>
          <w:szCs w:val="24"/>
        </w:rPr>
        <w:t>丘陵面积</w:t>
      </w:r>
      <w:r>
        <w:rPr>
          <w:rFonts w:ascii="Times New Roman" w:eastAsia="Times New Roman" w:hAnsi="Times New Roman" w:cs="Times New Roman"/>
          <w:bCs/>
          <w:spacing w:val="-7"/>
          <w:szCs w:val="24"/>
        </w:rPr>
        <w:t>3252km</w:t>
      </w:r>
      <w:r>
        <w:rPr>
          <w:rFonts w:ascii="Times New Roman" w:eastAsia="Times New Roman" w:hAnsi="Times New Roman" w:cs="Times New Roman"/>
          <w:bCs/>
          <w:spacing w:val="-7"/>
          <w:position w:val="7"/>
          <w:sz w:val="15"/>
          <w:szCs w:val="15"/>
        </w:rPr>
        <w:t>2</w:t>
      </w:r>
      <w:r>
        <w:rPr>
          <w:rFonts w:eastAsia="宋体" w:cs="宋体"/>
          <w:bCs/>
          <w:spacing w:val="-7"/>
          <w:szCs w:val="24"/>
        </w:rPr>
        <w:t>，占总面积的</w:t>
      </w:r>
      <w:r>
        <w:rPr>
          <w:rFonts w:ascii="Times New Roman" w:eastAsia="Times New Roman" w:hAnsi="Times New Roman" w:cs="Times New Roman"/>
          <w:bCs/>
          <w:spacing w:val="-7"/>
          <w:szCs w:val="24"/>
        </w:rPr>
        <w:t>43.9%</w:t>
      </w:r>
      <w:r>
        <w:rPr>
          <w:rFonts w:eastAsia="宋体" w:cs="宋体"/>
          <w:bCs/>
          <w:spacing w:val="-7"/>
          <w:szCs w:val="24"/>
        </w:rPr>
        <w:t>，高平原、平原、河谷平原面积</w:t>
      </w:r>
      <w:r>
        <w:rPr>
          <w:rFonts w:ascii="Times New Roman" w:eastAsia="Times New Roman" w:hAnsi="Times New Roman" w:cs="Times New Roman"/>
          <w:bCs/>
          <w:spacing w:val="-7"/>
          <w:szCs w:val="24"/>
        </w:rPr>
        <w:t>4260km</w:t>
      </w:r>
      <w:r>
        <w:rPr>
          <w:rFonts w:ascii="Times New Roman" w:eastAsia="Times New Roman" w:hAnsi="Times New Roman" w:cs="Times New Roman"/>
          <w:bCs/>
          <w:spacing w:val="-7"/>
          <w:position w:val="7"/>
          <w:sz w:val="15"/>
          <w:szCs w:val="15"/>
        </w:rPr>
        <w:t>2</w:t>
      </w:r>
      <w:r>
        <w:rPr>
          <w:rFonts w:eastAsia="宋体" w:cs="宋体"/>
          <w:bCs/>
          <w:spacing w:val="-7"/>
          <w:szCs w:val="24"/>
        </w:rPr>
        <w:t>，</w:t>
      </w:r>
      <w:r>
        <w:rPr>
          <w:rFonts w:eastAsia="宋体" w:cs="宋体"/>
          <w:bCs/>
          <w:spacing w:val="-3"/>
          <w:szCs w:val="24"/>
        </w:rPr>
        <w:t>占总面积</w:t>
      </w:r>
      <w:r>
        <w:rPr>
          <w:rFonts w:ascii="Times New Roman" w:eastAsia="Times New Roman" w:hAnsi="Times New Roman" w:cs="Times New Roman"/>
          <w:bCs/>
          <w:spacing w:val="-3"/>
          <w:szCs w:val="24"/>
        </w:rPr>
        <w:t>56.7%</w:t>
      </w:r>
      <w:r>
        <w:rPr>
          <w:rFonts w:eastAsia="宋体" w:cs="宋体"/>
          <w:bCs/>
          <w:spacing w:val="-3"/>
          <w:szCs w:val="24"/>
        </w:rPr>
        <w:t>，水面</w:t>
      </w:r>
      <w:r>
        <w:rPr>
          <w:rFonts w:ascii="Times New Roman" w:eastAsia="Times New Roman" w:hAnsi="Times New Roman" w:cs="Times New Roman"/>
          <w:bCs/>
          <w:spacing w:val="-3"/>
          <w:szCs w:val="24"/>
        </w:rPr>
        <w:t>183.7km</w:t>
      </w:r>
      <w:r>
        <w:rPr>
          <w:rFonts w:ascii="Times New Roman" w:eastAsia="Times New Roman" w:hAnsi="Times New Roman" w:cs="Times New Roman"/>
          <w:bCs/>
          <w:spacing w:val="-3"/>
          <w:position w:val="7"/>
          <w:sz w:val="15"/>
          <w:szCs w:val="15"/>
        </w:rPr>
        <w:t>2</w:t>
      </w:r>
      <w:r>
        <w:rPr>
          <w:rFonts w:eastAsia="宋体" w:cs="宋体"/>
          <w:bCs/>
          <w:spacing w:val="-3"/>
          <w:szCs w:val="24"/>
        </w:rPr>
        <w:t>，占全市总面积的</w:t>
      </w:r>
      <w:r>
        <w:rPr>
          <w:rFonts w:ascii="Times New Roman" w:eastAsia="Times New Roman" w:hAnsi="Times New Roman" w:cs="Times New Roman"/>
          <w:bCs/>
          <w:spacing w:val="-3"/>
          <w:szCs w:val="24"/>
        </w:rPr>
        <w:t>2.5%</w:t>
      </w:r>
      <w:r>
        <w:rPr>
          <w:rFonts w:ascii="Times New Roman" w:hAnsiTheme="minorEastAsia" w:cs="Times New Roman"/>
          <w:bCs/>
        </w:rPr>
        <w:t>。</w:t>
      </w:r>
    </w:p>
    <w:p w14:paraId="0867B68C"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4.1.3</w:t>
      </w:r>
      <w:r>
        <w:rPr>
          <w:rFonts w:ascii="Times New Roman" w:eastAsia="黑体" w:hAnsi="Times New Roman" w:cs="Times New Roman"/>
          <w:bCs/>
          <w:sz w:val="28"/>
          <w:szCs w:val="28"/>
        </w:rPr>
        <w:t>气候</w:t>
      </w:r>
      <w:bookmarkEnd w:id="190"/>
      <w:r>
        <w:rPr>
          <w:rFonts w:ascii="Times New Roman" w:eastAsia="黑体" w:hAnsi="Times New Roman" w:cs="Times New Roman"/>
          <w:bCs/>
          <w:sz w:val="28"/>
          <w:szCs w:val="28"/>
        </w:rPr>
        <w:t>、气象</w:t>
      </w:r>
    </w:p>
    <w:p w14:paraId="0DD2CA3E" w14:textId="77777777" w:rsidR="00B14D53" w:rsidRDefault="00000000">
      <w:pPr>
        <w:pStyle w:val="2fd"/>
        <w:ind w:firstLine="464"/>
        <w:rPr>
          <w:rFonts w:eastAsia="宋体" w:cs="宋体" w:hint="eastAsia"/>
          <w:spacing w:val="-1"/>
          <w:szCs w:val="24"/>
        </w:rPr>
      </w:pPr>
      <w:r>
        <w:rPr>
          <w:rFonts w:eastAsia="宋体" w:cs="宋体" w:hint="eastAsia"/>
          <w:spacing w:val="-4"/>
          <w:szCs w:val="24"/>
        </w:rPr>
        <w:t>五常市</w:t>
      </w:r>
      <w:r>
        <w:rPr>
          <w:rFonts w:eastAsia="宋体" w:cs="宋体"/>
          <w:spacing w:val="-4"/>
          <w:szCs w:val="24"/>
        </w:rPr>
        <w:t>地处中纬度，属中温大陆性季风气候，四季明显，冬季炎热，春秋适</w:t>
      </w:r>
      <w:r>
        <w:rPr>
          <w:rFonts w:eastAsia="宋体" w:cs="宋体"/>
          <w:spacing w:val="-2"/>
          <w:szCs w:val="24"/>
        </w:rPr>
        <w:t>中。年降水量在</w:t>
      </w:r>
      <w:r>
        <w:rPr>
          <w:rFonts w:eastAsia="宋体" w:cs="宋体"/>
          <w:spacing w:val="-46"/>
          <w:szCs w:val="24"/>
        </w:rPr>
        <w:t xml:space="preserve"> </w:t>
      </w:r>
      <w:r>
        <w:rPr>
          <w:rFonts w:ascii="Times New Roman" w:eastAsia="Times New Roman" w:hAnsi="Times New Roman" w:cs="Times New Roman"/>
          <w:spacing w:val="-2"/>
          <w:szCs w:val="24"/>
        </w:rPr>
        <w:t>600-700</w:t>
      </w:r>
      <w:r>
        <w:rPr>
          <w:rFonts w:eastAsia="宋体" w:cs="宋体"/>
          <w:spacing w:val="-2"/>
          <w:szCs w:val="24"/>
        </w:rPr>
        <w:t>毫米；降水多集中于六、七月份。每年冬季和春季降水</w:t>
      </w:r>
      <w:r>
        <w:rPr>
          <w:rFonts w:eastAsia="宋体" w:cs="宋体"/>
          <w:spacing w:val="-3"/>
          <w:szCs w:val="24"/>
        </w:rPr>
        <w:t>量少，夏季多雷雨，水位上涨，进入汛期，往往发生春早夏夏涝，秋季冷空气活</w:t>
      </w:r>
      <w:r>
        <w:rPr>
          <w:rFonts w:eastAsia="宋体" w:cs="宋体"/>
          <w:spacing w:val="3"/>
          <w:szCs w:val="24"/>
        </w:rPr>
        <w:t>动频繁，降温较快，寒潮来得早易发生早霜灾害。年活动积</w:t>
      </w:r>
      <w:r>
        <w:rPr>
          <w:rFonts w:eastAsia="宋体" w:cs="宋体"/>
          <w:spacing w:val="2"/>
          <w:szCs w:val="24"/>
        </w:rPr>
        <w:t>温在</w:t>
      </w:r>
      <w:r>
        <w:rPr>
          <w:rFonts w:ascii="Times New Roman" w:eastAsia="Times New Roman" w:hAnsi="Times New Roman" w:cs="Times New Roman"/>
          <w:spacing w:val="2"/>
          <w:szCs w:val="24"/>
        </w:rPr>
        <w:t>2500</w:t>
      </w:r>
      <w:r>
        <w:rPr>
          <w:rFonts w:eastAsia="宋体" w:cs="宋体"/>
          <w:spacing w:val="2"/>
          <w:szCs w:val="24"/>
        </w:rPr>
        <w:t>℃。一般</w:t>
      </w:r>
      <w:r>
        <w:rPr>
          <w:rFonts w:eastAsia="宋体" w:cs="宋体"/>
          <w:spacing w:val="-5"/>
          <w:szCs w:val="24"/>
        </w:rPr>
        <w:t>出初霜在九月中、下旬，无霜期一百三十五天到一百四十天。年平均日照在</w:t>
      </w:r>
      <w:r>
        <w:rPr>
          <w:rFonts w:ascii="Times New Roman" w:eastAsia="Times New Roman" w:hAnsi="Times New Roman" w:cs="Times New Roman"/>
          <w:spacing w:val="-5"/>
          <w:szCs w:val="24"/>
        </w:rPr>
        <w:t>2200</w:t>
      </w:r>
      <w:r>
        <w:rPr>
          <w:rFonts w:eastAsia="宋体" w:cs="宋体"/>
          <w:spacing w:val="-2"/>
          <w:szCs w:val="24"/>
        </w:rPr>
        <w:t>小时到</w:t>
      </w:r>
      <w:r>
        <w:rPr>
          <w:rFonts w:ascii="Times New Roman" w:eastAsia="Times New Roman" w:hAnsi="Times New Roman" w:cs="Times New Roman"/>
          <w:spacing w:val="-2"/>
          <w:szCs w:val="24"/>
        </w:rPr>
        <w:t>2600</w:t>
      </w:r>
      <w:r>
        <w:rPr>
          <w:rFonts w:eastAsia="宋体" w:cs="宋体"/>
          <w:spacing w:val="-2"/>
          <w:szCs w:val="24"/>
        </w:rPr>
        <w:t>小时。冬季平均气温可达零下</w:t>
      </w:r>
      <w:r>
        <w:rPr>
          <w:rFonts w:ascii="Times New Roman" w:eastAsia="Times New Roman" w:hAnsi="Times New Roman" w:cs="Times New Roman"/>
          <w:spacing w:val="-2"/>
          <w:szCs w:val="24"/>
        </w:rPr>
        <w:t>20</w:t>
      </w:r>
      <w:r>
        <w:rPr>
          <w:rFonts w:eastAsia="宋体" w:cs="宋体"/>
          <w:spacing w:val="-2"/>
          <w:szCs w:val="24"/>
        </w:rPr>
        <w:t>℃左右，最低温度可达零下</w:t>
      </w:r>
      <w:r>
        <w:rPr>
          <w:rFonts w:ascii="Times New Roman" w:eastAsia="Times New Roman" w:hAnsi="Times New Roman" w:cs="Times New Roman"/>
          <w:spacing w:val="-2"/>
          <w:szCs w:val="24"/>
        </w:rPr>
        <w:t>35</w:t>
      </w:r>
      <w:r>
        <w:rPr>
          <w:rFonts w:eastAsia="宋体" w:cs="宋体"/>
          <w:spacing w:val="-2"/>
          <w:szCs w:val="24"/>
        </w:rPr>
        <w:t>℃左</w:t>
      </w:r>
      <w:r>
        <w:rPr>
          <w:rFonts w:eastAsia="宋体" w:cs="宋体"/>
          <w:spacing w:val="-1"/>
          <w:szCs w:val="24"/>
        </w:rPr>
        <w:t>右；春秋两季平均气温在</w:t>
      </w:r>
      <w:r>
        <w:rPr>
          <w:rFonts w:ascii="Times New Roman" w:eastAsia="Times New Roman" w:hAnsi="Times New Roman" w:cs="Times New Roman"/>
          <w:spacing w:val="-1"/>
          <w:szCs w:val="24"/>
        </w:rPr>
        <w:t>18</w:t>
      </w:r>
      <w:r>
        <w:rPr>
          <w:rFonts w:eastAsia="宋体" w:cs="宋体"/>
          <w:spacing w:val="-1"/>
          <w:szCs w:val="24"/>
        </w:rPr>
        <w:t>℃左右；夏季气候炎热，最高气温达</w:t>
      </w:r>
      <w:r>
        <w:rPr>
          <w:rFonts w:ascii="Times New Roman" w:eastAsia="Times New Roman" w:hAnsi="Times New Roman" w:cs="Times New Roman"/>
          <w:spacing w:val="-1"/>
          <w:szCs w:val="24"/>
        </w:rPr>
        <w:t>35</w:t>
      </w:r>
      <w:r>
        <w:rPr>
          <w:rFonts w:eastAsia="宋体" w:cs="宋体"/>
          <w:spacing w:val="-1"/>
          <w:szCs w:val="24"/>
        </w:rPr>
        <w:t>℃以上，常</w:t>
      </w:r>
      <w:r>
        <w:rPr>
          <w:rFonts w:eastAsia="宋体" w:cs="宋体"/>
          <w:spacing w:val="-2"/>
          <w:szCs w:val="24"/>
        </w:rPr>
        <w:t>年有雷雨。全年风向频率以西南风最多，平均风速为</w:t>
      </w:r>
      <w:r>
        <w:rPr>
          <w:rFonts w:eastAsia="宋体" w:cs="宋体"/>
          <w:spacing w:val="-50"/>
          <w:szCs w:val="24"/>
        </w:rPr>
        <w:t xml:space="preserve"> </w:t>
      </w:r>
      <w:r>
        <w:rPr>
          <w:rFonts w:ascii="Times New Roman" w:eastAsia="Times New Roman" w:hAnsi="Times New Roman" w:cs="Times New Roman"/>
          <w:spacing w:val="-2"/>
          <w:szCs w:val="24"/>
        </w:rPr>
        <w:t>3-4</w:t>
      </w:r>
      <w:r>
        <w:rPr>
          <w:rFonts w:eastAsia="宋体" w:cs="宋体"/>
          <w:spacing w:val="-2"/>
          <w:szCs w:val="24"/>
        </w:rPr>
        <w:t>米</w:t>
      </w:r>
      <w:r>
        <w:rPr>
          <w:rFonts w:ascii="Times New Roman" w:eastAsia="Times New Roman" w:hAnsi="Times New Roman" w:cs="Times New Roman"/>
          <w:spacing w:val="-2"/>
          <w:szCs w:val="24"/>
        </w:rPr>
        <w:t>/</w:t>
      </w:r>
      <w:r>
        <w:rPr>
          <w:rFonts w:eastAsia="宋体" w:cs="宋体"/>
          <w:spacing w:val="-2"/>
          <w:szCs w:val="24"/>
        </w:rPr>
        <w:t>秒，春秋多西南</w:t>
      </w:r>
      <w:r>
        <w:rPr>
          <w:rFonts w:eastAsia="宋体" w:cs="宋体"/>
          <w:spacing w:val="-3"/>
          <w:szCs w:val="24"/>
        </w:rPr>
        <w:t>风</w:t>
      </w:r>
      <w:r>
        <w:rPr>
          <w:rFonts w:ascii="Times New Roman" w:hAnsiTheme="minorEastAsia" w:cs="Times New Roman"/>
        </w:rPr>
        <w:t>。</w:t>
      </w:r>
      <w:r>
        <w:rPr>
          <w:rFonts w:eastAsia="宋体" w:cs="宋体"/>
          <w:spacing w:val="-1"/>
          <w:szCs w:val="24"/>
        </w:rPr>
        <w:t>夏季多南风，冬季多西北风或偏北风，风力一般</w:t>
      </w:r>
      <w:r>
        <w:rPr>
          <w:rFonts w:ascii="Times New Roman" w:eastAsia="Times New Roman" w:hAnsi="Times New Roman" w:cs="Times New Roman"/>
          <w:spacing w:val="-1"/>
          <w:szCs w:val="24"/>
        </w:rPr>
        <w:t>2-3</w:t>
      </w:r>
      <w:r>
        <w:rPr>
          <w:rFonts w:eastAsia="宋体" w:cs="宋体"/>
          <w:spacing w:val="-1"/>
          <w:szCs w:val="24"/>
        </w:rPr>
        <w:t>级，最大可达</w:t>
      </w:r>
      <w:r>
        <w:rPr>
          <w:rFonts w:ascii="Times New Roman" w:eastAsia="Times New Roman" w:hAnsi="Times New Roman" w:cs="Times New Roman"/>
          <w:spacing w:val="-1"/>
          <w:szCs w:val="24"/>
        </w:rPr>
        <w:t>6-7</w:t>
      </w:r>
      <w:r>
        <w:rPr>
          <w:rFonts w:eastAsia="宋体" w:cs="宋体"/>
          <w:spacing w:val="-1"/>
          <w:szCs w:val="24"/>
        </w:rPr>
        <w:t>级。</w:t>
      </w:r>
    </w:p>
    <w:p w14:paraId="6AA55488" w14:textId="77777777" w:rsidR="00B14D53" w:rsidRDefault="00000000">
      <w:bookmarkStart w:id="191" w:name="_Toc241292979"/>
      <w:r>
        <w:rPr>
          <w:noProof/>
        </w:rPr>
        <w:drawing>
          <wp:inline distT="0" distB="0" distL="114300" distR="114300" wp14:anchorId="20169D15" wp14:editId="1E94FF8E">
            <wp:extent cx="5270500" cy="6979920"/>
            <wp:effectExtent l="9525" t="9525" r="15875" b="20955"/>
            <wp:docPr id="3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8"/>
                    <pic:cNvPicPr>
                      <a:picLocks noChangeAspect="1"/>
                    </pic:cNvPicPr>
                  </pic:nvPicPr>
                  <pic:blipFill>
                    <a:blip r:embed="rId38"/>
                    <a:stretch>
                      <a:fillRect/>
                    </a:stretch>
                  </pic:blipFill>
                  <pic:spPr>
                    <a:xfrm>
                      <a:off x="0" y="0"/>
                      <a:ext cx="5270500" cy="6979920"/>
                    </a:xfrm>
                    <a:prstGeom prst="rect">
                      <a:avLst/>
                    </a:prstGeom>
                    <a:noFill/>
                    <a:ln w="6350">
                      <a:solidFill>
                        <a:schemeClr val="tx1"/>
                      </a:solidFill>
                    </a:ln>
                  </pic:spPr>
                </pic:pic>
              </a:graphicData>
            </a:graphic>
          </wp:inline>
        </w:drawing>
      </w:r>
    </w:p>
    <w:p w14:paraId="63A8E575" w14:textId="77777777" w:rsidR="00B14D53" w:rsidRDefault="00000000">
      <w:pPr>
        <w:jc w:val="center"/>
        <w:rPr>
          <w:b/>
          <w:bCs/>
        </w:rPr>
      </w:pPr>
      <w:r>
        <w:rPr>
          <w:rFonts w:hint="eastAsia"/>
          <w:b/>
          <w:bCs/>
        </w:rPr>
        <w:t>图</w:t>
      </w:r>
      <w:r>
        <w:rPr>
          <w:rFonts w:hint="eastAsia"/>
          <w:b/>
          <w:bCs/>
        </w:rPr>
        <w:t xml:space="preserve">4-1-2 </w:t>
      </w:r>
      <w:r>
        <w:rPr>
          <w:rFonts w:hint="eastAsia"/>
          <w:b/>
          <w:bCs/>
        </w:rPr>
        <w:t>哈尔滨市近</w:t>
      </w:r>
      <w:r>
        <w:rPr>
          <w:rFonts w:hint="eastAsia"/>
          <w:b/>
          <w:bCs/>
        </w:rPr>
        <w:t>20</w:t>
      </w:r>
      <w:r>
        <w:rPr>
          <w:rFonts w:hint="eastAsia"/>
          <w:b/>
          <w:bCs/>
        </w:rPr>
        <w:t>年风频玫瑰图</w:t>
      </w:r>
    </w:p>
    <w:p w14:paraId="6177A39A" w14:textId="77777777" w:rsidR="00B14D53" w:rsidRDefault="00B14D53">
      <w:pPr>
        <w:pStyle w:val="afffb"/>
      </w:pPr>
    </w:p>
    <w:p w14:paraId="45CC2C94" w14:textId="77777777" w:rsidR="00B14D53" w:rsidRDefault="00B14D53">
      <w:pPr>
        <w:spacing w:line="360" w:lineRule="auto"/>
        <w:contextualSpacing/>
        <w:sectPr w:rsidR="00B14D53">
          <w:pgSz w:w="11906" w:h="16838"/>
          <w:pgMar w:top="1440" w:right="1800" w:bottom="1440" w:left="1800" w:header="851" w:footer="992" w:gutter="0"/>
          <w:cols w:space="425"/>
          <w:docGrid w:type="lines" w:linePitch="312"/>
        </w:sectPr>
      </w:pPr>
    </w:p>
    <w:p w14:paraId="44D6F73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4.1.</w:t>
      </w:r>
      <w:r>
        <w:rPr>
          <w:rFonts w:ascii="Times New Roman" w:eastAsia="黑体" w:hAnsi="Times New Roman" w:cs="Times New Roman" w:hint="eastAsia"/>
          <w:bCs/>
          <w:sz w:val="28"/>
          <w:szCs w:val="28"/>
        </w:rPr>
        <w:t>4</w:t>
      </w:r>
      <w:r>
        <w:rPr>
          <w:rFonts w:ascii="Times New Roman" w:eastAsia="黑体" w:hAnsi="Times New Roman" w:cs="Times New Roman"/>
          <w:bCs/>
          <w:sz w:val="28"/>
          <w:szCs w:val="28"/>
        </w:rPr>
        <w:t>水文</w:t>
      </w:r>
      <w:bookmarkEnd w:id="191"/>
      <w:r>
        <w:rPr>
          <w:rFonts w:ascii="Times New Roman" w:eastAsia="黑体" w:hAnsi="Times New Roman" w:cs="Times New Roman"/>
          <w:bCs/>
          <w:sz w:val="28"/>
          <w:szCs w:val="28"/>
        </w:rPr>
        <w:t>地质情况</w:t>
      </w:r>
    </w:p>
    <w:p w14:paraId="05D7D853"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bookmarkStart w:id="192" w:name="_Toc241292980"/>
      <w:r>
        <w:rPr>
          <w:rFonts w:ascii="Times New Roman" w:eastAsia="黑体" w:hAnsi="Times New Roman" w:cs="Times New Roman"/>
          <w:b w:val="0"/>
          <w:sz w:val="24"/>
          <w:szCs w:val="24"/>
        </w:rPr>
        <w:t>4.1.</w:t>
      </w:r>
      <w:r>
        <w:rPr>
          <w:rFonts w:ascii="Times New Roman" w:eastAsia="黑体" w:hAnsi="Times New Roman" w:cs="Times New Roman" w:hint="eastAsia"/>
          <w:b w:val="0"/>
          <w:sz w:val="24"/>
          <w:szCs w:val="24"/>
        </w:rPr>
        <w:t>4</w:t>
      </w:r>
      <w:r>
        <w:rPr>
          <w:rFonts w:ascii="Times New Roman" w:eastAsia="黑体" w:hAnsi="Times New Roman" w:cs="Times New Roman"/>
          <w:b w:val="0"/>
          <w:sz w:val="24"/>
          <w:szCs w:val="24"/>
        </w:rPr>
        <w:t>.</w:t>
      </w:r>
      <w:r>
        <w:rPr>
          <w:rFonts w:ascii="Times New Roman" w:eastAsia="黑体" w:hAnsi="Times New Roman" w:cs="Times New Roman" w:hint="eastAsia"/>
          <w:b w:val="0"/>
          <w:sz w:val="24"/>
          <w:szCs w:val="24"/>
        </w:rPr>
        <w:t>1</w:t>
      </w:r>
      <w:r>
        <w:rPr>
          <w:rFonts w:ascii="Times New Roman" w:eastAsia="黑体" w:hAnsi="Times New Roman" w:cs="Times New Roman"/>
          <w:b w:val="0"/>
          <w:sz w:val="24"/>
          <w:szCs w:val="24"/>
        </w:rPr>
        <w:t>水文特征</w:t>
      </w:r>
    </w:p>
    <w:p w14:paraId="4492909D" w14:textId="77777777" w:rsidR="00B14D53" w:rsidRDefault="00000000">
      <w:pPr>
        <w:pStyle w:val="afff"/>
        <w:adjustRightInd/>
        <w:snapToGrid/>
        <w:contextualSpacing/>
        <w:rPr>
          <w:rFonts w:ascii="Times New Roman" w:hAnsi="Times New Roman" w:cs="Times New Roman"/>
          <w:bCs/>
          <w:snapToGrid w:val="0"/>
          <w:szCs w:val="21"/>
        </w:rPr>
      </w:pPr>
      <w:r>
        <w:rPr>
          <w:rFonts w:ascii="Times New Roman" w:hAnsi="Times New Roman" w:cs="Times New Roman"/>
          <w:bCs/>
          <w:snapToGrid w:val="0"/>
          <w:szCs w:val="21"/>
        </w:rPr>
        <w:t>五常市不仅山青青，而且水碧碧。这里水网密集，河流众多，以拉林河、虻牛河、溪浪河三大水系为主的大小河流</w:t>
      </w:r>
      <w:r>
        <w:rPr>
          <w:rFonts w:ascii="Times New Roman" w:hAnsi="Times New Roman" w:cs="Times New Roman"/>
          <w:bCs/>
          <w:snapToGrid w:val="0"/>
          <w:szCs w:val="21"/>
        </w:rPr>
        <w:t>297</w:t>
      </w:r>
      <w:r>
        <w:rPr>
          <w:rFonts w:ascii="Times New Roman" w:hAnsi="Times New Roman" w:cs="Times New Roman"/>
          <w:bCs/>
          <w:snapToGrid w:val="0"/>
          <w:szCs w:val="21"/>
        </w:rPr>
        <w:t>条，纵横交错，各具风韵，千徊百转，奔流不息。湖泊、泡沼星罗棋布，浇灌着</w:t>
      </w:r>
      <w:r>
        <w:rPr>
          <w:rFonts w:ascii="Times New Roman" w:hAnsi="Times New Roman" w:cs="Times New Roman"/>
          <w:bCs/>
          <w:snapToGrid w:val="0"/>
          <w:szCs w:val="21"/>
        </w:rPr>
        <w:t>360</w:t>
      </w:r>
      <w:r>
        <w:rPr>
          <w:rFonts w:ascii="Times New Roman" w:hAnsi="Times New Roman" w:cs="Times New Roman"/>
          <w:bCs/>
          <w:snapToGrid w:val="0"/>
          <w:szCs w:val="21"/>
        </w:rPr>
        <w:t>万亩良田。</w:t>
      </w:r>
    </w:p>
    <w:p w14:paraId="45C2B42C" w14:textId="77777777" w:rsidR="00B14D53" w:rsidRDefault="00000000">
      <w:pPr>
        <w:pStyle w:val="afff"/>
        <w:adjustRightInd/>
        <w:snapToGrid/>
        <w:contextualSpacing/>
        <w:rPr>
          <w:rFonts w:ascii="Times New Roman" w:hAnsi="Times New Roman" w:cs="Times New Roman"/>
          <w:bCs/>
          <w:snapToGrid w:val="0"/>
          <w:szCs w:val="21"/>
        </w:rPr>
      </w:pPr>
      <w:r>
        <w:rPr>
          <w:rFonts w:ascii="Times New Roman" w:hAnsi="Times New Roman" w:cs="Times New Roman"/>
          <w:bCs/>
          <w:snapToGrid w:val="0"/>
          <w:szCs w:val="21"/>
        </w:rPr>
        <w:t>拉林河是</w:t>
      </w:r>
      <w:hyperlink r:id="rId39" w:history="1">
        <w:r>
          <w:rPr>
            <w:rFonts w:ascii="Times New Roman" w:hAnsi="Times New Roman" w:cs="Times New Roman"/>
            <w:bCs/>
            <w:snapToGrid w:val="0"/>
            <w:szCs w:val="21"/>
          </w:rPr>
          <w:t>松花江</w:t>
        </w:r>
      </w:hyperlink>
      <w:r>
        <w:rPr>
          <w:rFonts w:ascii="Times New Roman" w:hAnsi="Times New Roman" w:cs="Times New Roman"/>
          <w:bCs/>
          <w:snapToGrid w:val="0"/>
          <w:szCs w:val="21"/>
        </w:rPr>
        <w:t>的支流，流经黑吉两省，中下游是黑吉两省的界河。拉林河发源于长白山</w:t>
      </w:r>
      <w:hyperlink r:id="rId40" w:history="1">
        <w:r>
          <w:rPr>
            <w:rFonts w:ascii="Times New Roman" w:hAnsi="Times New Roman" w:cs="Times New Roman"/>
            <w:bCs/>
            <w:snapToGrid w:val="0"/>
            <w:szCs w:val="21"/>
          </w:rPr>
          <w:t>张广才岭</w:t>
        </w:r>
      </w:hyperlink>
      <w:r>
        <w:rPr>
          <w:rFonts w:ascii="Times New Roman" w:hAnsi="Times New Roman" w:cs="Times New Roman"/>
          <w:bCs/>
          <w:snapToGrid w:val="0"/>
          <w:szCs w:val="21"/>
        </w:rPr>
        <w:t>地区。全长</w:t>
      </w:r>
      <w:r>
        <w:rPr>
          <w:rFonts w:ascii="Times New Roman" w:hAnsi="Times New Roman" w:cs="Times New Roman"/>
          <w:bCs/>
          <w:snapToGrid w:val="0"/>
          <w:szCs w:val="21"/>
        </w:rPr>
        <w:t>244km</w:t>
      </w:r>
      <w:r>
        <w:rPr>
          <w:rFonts w:ascii="Times New Roman" w:hAnsi="Times New Roman" w:cs="Times New Roman"/>
          <w:bCs/>
          <w:snapToGrid w:val="0"/>
          <w:szCs w:val="21"/>
        </w:rPr>
        <w:t>，流域面积</w:t>
      </w:r>
      <w:r>
        <w:rPr>
          <w:rFonts w:ascii="Times New Roman" w:hAnsi="Times New Roman" w:cs="Times New Roman"/>
          <w:bCs/>
          <w:snapToGrid w:val="0"/>
          <w:szCs w:val="21"/>
        </w:rPr>
        <w:t>21844km</w:t>
      </w:r>
      <w:r>
        <w:rPr>
          <w:rFonts w:ascii="Times New Roman" w:hAnsi="Times New Roman" w:cs="Times New Roman"/>
          <w:bCs/>
          <w:snapToGrid w:val="0"/>
          <w:szCs w:val="21"/>
          <w:vertAlign w:val="superscript"/>
        </w:rPr>
        <w:t>2</w:t>
      </w:r>
      <w:r>
        <w:rPr>
          <w:rFonts w:ascii="Times New Roman" w:hAnsi="Times New Roman" w:cs="Times New Roman"/>
          <w:bCs/>
          <w:snapToGrid w:val="0"/>
          <w:szCs w:val="21"/>
        </w:rPr>
        <w:t>。年均径流量</w:t>
      </w:r>
      <w:r>
        <w:rPr>
          <w:rFonts w:ascii="Times New Roman" w:hAnsi="Times New Roman" w:cs="Times New Roman"/>
          <w:bCs/>
          <w:snapToGrid w:val="0"/>
          <w:szCs w:val="21"/>
        </w:rPr>
        <w:t>35</w:t>
      </w:r>
      <w:r>
        <w:rPr>
          <w:rFonts w:ascii="Times New Roman" w:hAnsi="Times New Roman" w:cs="Times New Roman"/>
          <w:bCs/>
          <w:snapToGrid w:val="0"/>
          <w:szCs w:val="21"/>
        </w:rPr>
        <w:t>亿</w:t>
      </w:r>
      <w:r>
        <w:rPr>
          <w:rFonts w:ascii="Times New Roman" w:hAnsi="Times New Roman" w:cs="Times New Roman"/>
          <w:bCs/>
          <w:snapToGrid w:val="0"/>
          <w:szCs w:val="21"/>
        </w:rPr>
        <w:t>m</w:t>
      </w:r>
      <w:r>
        <w:rPr>
          <w:rFonts w:ascii="Times New Roman" w:hAnsi="Times New Roman" w:cs="Times New Roman"/>
          <w:bCs/>
          <w:snapToGrid w:val="0"/>
          <w:szCs w:val="21"/>
          <w:vertAlign w:val="superscript"/>
        </w:rPr>
        <w:t>3</w:t>
      </w:r>
      <w:r>
        <w:rPr>
          <w:rFonts w:ascii="Times New Roman" w:hAnsi="Times New Roman" w:cs="Times New Roman"/>
          <w:bCs/>
          <w:snapToGrid w:val="0"/>
          <w:szCs w:val="21"/>
        </w:rPr>
        <w:t>。主要支流有卡岔河、大荒沟和会塘沟。拉林河南岸的朱尔山，风景秀美。拉林河在</w:t>
      </w:r>
      <w:hyperlink r:id="rId41" w:history="1">
        <w:r>
          <w:rPr>
            <w:rFonts w:ascii="Times New Roman" w:hAnsi="Times New Roman" w:cs="Times New Roman"/>
            <w:bCs/>
            <w:snapToGrid w:val="0"/>
            <w:szCs w:val="21"/>
          </w:rPr>
          <w:t>扶余</w:t>
        </w:r>
      </w:hyperlink>
      <w:r>
        <w:rPr>
          <w:rFonts w:ascii="Times New Roman" w:hAnsi="Times New Roman" w:cs="Times New Roman"/>
          <w:bCs/>
          <w:snapToGrid w:val="0"/>
          <w:szCs w:val="21"/>
        </w:rPr>
        <w:t>县境内开凿了引拉河，灌溉了农田。拉林河又名</w:t>
      </w:r>
      <w:r>
        <w:rPr>
          <w:rFonts w:ascii="Times New Roman" w:hAnsi="Times New Roman" w:cs="Times New Roman"/>
          <w:bCs/>
          <w:snapToGrid w:val="0"/>
          <w:szCs w:val="21"/>
        </w:rPr>
        <w:t>“</w:t>
      </w:r>
      <w:r>
        <w:rPr>
          <w:rFonts w:ascii="Times New Roman" w:hAnsi="Times New Roman" w:cs="Times New Roman"/>
          <w:bCs/>
          <w:snapToGrid w:val="0"/>
          <w:szCs w:val="21"/>
        </w:rPr>
        <w:t>兰棱河</w:t>
      </w:r>
      <w:r>
        <w:rPr>
          <w:rFonts w:ascii="Times New Roman" w:hAnsi="Times New Roman" w:cs="Times New Roman"/>
          <w:bCs/>
          <w:snapToGrid w:val="0"/>
          <w:szCs w:val="21"/>
        </w:rPr>
        <w:t>”</w:t>
      </w:r>
      <w:r>
        <w:rPr>
          <w:rFonts w:ascii="Times New Roman" w:hAnsi="Times New Roman" w:cs="Times New Roman"/>
          <w:bCs/>
          <w:snapToGrid w:val="0"/>
          <w:szCs w:val="21"/>
        </w:rPr>
        <w:t>，是松花江干流右岸较大支流，位于黑龙江省南部与吉林省北部边境。</w:t>
      </w:r>
    </w:p>
    <w:p w14:paraId="5986CD5B" w14:textId="77777777" w:rsidR="00B14D53" w:rsidRDefault="00000000">
      <w:pPr>
        <w:pStyle w:val="afff"/>
        <w:adjustRightInd/>
        <w:snapToGrid/>
        <w:contextualSpacing/>
        <w:rPr>
          <w:rFonts w:ascii="Times New Roman" w:hAnsi="Times New Roman" w:cs="Times New Roman"/>
          <w:bCs/>
          <w:snapToGrid w:val="0"/>
          <w:szCs w:val="21"/>
        </w:rPr>
      </w:pPr>
      <w:r>
        <w:rPr>
          <w:rFonts w:ascii="Times New Roman" w:hAnsi="Times New Roman" w:cs="Times New Roman"/>
          <w:bCs/>
          <w:snapToGrid w:val="0"/>
          <w:szCs w:val="21"/>
        </w:rPr>
        <w:t>拉林和河岸两侧设置了防洪堤，拉林河堤于</w:t>
      </w:r>
      <w:r>
        <w:rPr>
          <w:rFonts w:ascii="Times New Roman" w:hAnsi="Times New Roman" w:cs="Times New Roman"/>
          <w:bCs/>
          <w:snapToGrid w:val="0"/>
          <w:szCs w:val="21"/>
        </w:rPr>
        <w:t xml:space="preserve">1956 </w:t>
      </w:r>
      <w:r>
        <w:rPr>
          <w:rFonts w:ascii="Times New Roman" w:hAnsi="Times New Roman" w:cs="Times New Roman"/>
          <w:bCs/>
          <w:snapToGrid w:val="0"/>
          <w:szCs w:val="21"/>
        </w:rPr>
        <w:t>年将民堤联结，去弯取直，加高培厚修筑起来的。</w:t>
      </w:r>
      <w:r>
        <w:rPr>
          <w:rFonts w:ascii="Times New Roman" w:hAnsi="Times New Roman" w:cs="Times New Roman"/>
          <w:bCs/>
          <w:snapToGrid w:val="0"/>
          <w:szCs w:val="21"/>
        </w:rPr>
        <w:t>1960</w:t>
      </w:r>
      <w:r>
        <w:rPr>
          <w:rFonts w:ascii="Times New Roman" w:hAnsi="Times New Roman" w:cs="Times New Roman"/>
          <w:bCs/>
          <w:snapToGrid w:val="0"/>
          <w:szCs w:val="21"/>
        </w:rPr>
        <w:t>年、</w:t>
      </w:r>
      <w:r>
        <w:rPr>
          <w:rFonts w:ascii="Times New Roman" w:hAnsi="Times New Roman" w:cs="Times New Roman"/>
          <w:bCs/>
          <w:snapToGrid w:val="0"/>
          <w:szCs w:val="21"/>
        </w:rPr>
        <w:t>1962</w:t>
      </w:r>
      <w:r>
        <w:rPr>
          <w:rFonts w:ascii="Times New Roman" w:hAnsi="Times New Roman" w:cs="Times New Roman"/>
          <w:bCs/>
          <w:snapToGrid w:val="0"/>
          <w:szCs w:val="21"/>
        </w:rPr>
        <w:t>年和</w:t>
      </w:r>
      <w:r>
        <w:rPr>
          <w:rFonts w:ascii="Times New Roman" w:hAnsi="Times New Roman" w:cs="Times New Roman"/>
          <w:bCs/>
          <w:snapToGrid w:val="0"/>
          <w:szCs w:val="21"/>
        </w:rPr>
        <w:t>1965</w:t>
      </w:r>
      <w:r>
        <w:rPr>
          <w:rFonts w:ascii="Times New Roman" w:hAnsi="Times New Roman" w:cs="Times New Roman"/>
          <w:bCs/>
          <w:snapToGrid w:val="0"/>
          <w:szCs w:val="21"/>
        </w:rPr>
        <w:t>年进行三次大的维修加固，加高培厚。拉林河堤按</w:t>
      </w:r>
      <w:r>
        <w:rPr>
          <w:rFonts w:ascii="Times New Roman" w:hAnsi="Times New Roman" w:cs="Times New Roman"/>
          <w:bCs/>
          <w:snapToGrid w:val="0"/>
          <w:szCs w:val="21"/>
        </w:rPr>
        <w:t>20</w:t>
      </w:r>
      <w:r>
        <w:rPr>
          <w:rFonts w:ascii="Times New Roman" w:hAnsi="Times New Roman" w:cs="Times New Roman"/>
          <w:bCs/>
          <w:snapToGrid w:val="0"/>
          <w:szCs w:val="21"/>
        </w:rPr>
        <w:t>年一遇的防御标准。堤面现状标高为</w:t>
      </w:r>
      <w:r>
        <w:rPr>
          <w:rFonts w:ascii="Times New Roman" w:hAnsi="Times New Roman" w:cs="Times New Roman"/>
          <w:bCs/>
          <w:snapToGrid w:val="0"/>
          <w:szCs w:val="21"/>
        </w:rPr>
        <w:t>197.86m</w:t>
      </w:r>
      <w:r>
        <w:rPr>
          <w:rFonts w:ascii="Times New Roman" w:hAnsi="Times New Roman" w:cs="Times New Roman"/>
          <w:bCs/>
          <w:snapToGrid w:val="0"/>
          <w:szCs w:val="21"/>
        </w:rPr>
        <w:t>，水面标高为</w:t>
      </w:r>
      <w:r>
        <w:rPr>
          <w:rFonts w:ascii="Times New Roman" w:hAnsi="Times New Roman" w:cs="Times New Roman"/>
          <w:bCs/>
          <w:snapToGrid w:val="0"/>
          <w:szCs w:val="21"/>
        </w:rPr>
        <w:t>192.44m</w:t>
      </w:r>
      <w:r>
        <w:rPr>
          <w:rFonts w:ascii="Times New Roman" w:hAnsi="Times New Roman" w:cs="Times New Roman"/>
          <w:bCs/>
          <w:snapToGrid w:val="0"/>
          <w:szCs w:val="21"/>
        </w:rPr>
        <w:t>。</w:t>
      </w:r>
    </w:p>
    <w:p w14:paraId="2380FFF1"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4.1.</w:t>
      </w:r>
      <w:r>
        <w:rPr>
          <w:rFonts w:ascii="Times New Roman" w:eastAsia="黑体" w:hAnsi="Times New Roman" w:cs="Times New Roman" w:hint="eastAsia"/>
          <w:b w:val="0"/>
          <w:sz w:val="24"/>
          <w:szCs w:val="24"/>
        </w:rPr>
        <w:t>4</w:t>
      </w:r>
      <w:r>
        <w:rPr>
          <w:rFonts w:ascii="Times New Roman" w:eastAsia="黑体" w:hAnsi="Times New Roman" w:cs="Times New Roman"/>
          <w:b w:val="0"/>
          <w:sz w:val="24"/>
          <w:szCs w:val="24"/>
        </w:rPr>
        <w:t>.</w:t>
      </w:r>
      <w:r>
        <w:rPr>
          <w:rFonts w:ascii="Times New Roman" w:eastAsia="黑体" w:hAnsi="Times New Roman" w:cs="Times New Roman" w:hint="eastAsia"/>
          <w:b w:val="0"/>
          <w:sz w:val="24"/>
          <w:szCs w:val="24"/>
        </w:rPr>
        <w:t>2</w:t>
      </w:r>
      <w:r>
        <w:rPr>
          <w:rFonts w:ascii="Times New Roman" w:eastAsia="黑体" w:hAnsi="Times New Roman" w:cs="Times New Roman" w:hint="eastAsia"/>
          <w:b w:val="0"/>
          <w:sz w:val="24"/>
          <w:szCs w:val="24"/>
        </w:rPr>
        <w:t>地层岩性</w:t>
      </w:r>
    </w:p>
    <w:p w14:paraId="26E778E6" w14:textId="77777777" w:rsidR="00B14D53" w:rsidRDefault="00000000">
      <w:pPr>
        <w:pStyle w:val="afff"/>
        <w:adjustRightInd/>
        <w:snapToGrid/>
        <w:contextualSpacing/>
        <w:rPr>
          <w:rFonts w:ascii="Times New Roman" w:hAnsi="Times New Roman" w:cs="Times New Roman"/>
          <w:snapToGrid w:val="0"/>
          <w:szCs w:val="21"/>
        </w:rPr>
      </w:pPr>
      <w:r>
        <w:rPr>
          <w:rFonts w:ascii="Times New Roman" w:hAnsi="Times New Roman" w:cs="Times New Roman"/>
          <w:snapToGrid w:val="0"/>
          <w:szCs w:val="21"/>
        </w:rPr>
        <w:t>区域地层分为第四系和前第四系地层，由上至下分述如下：</w:t>
      </w:r>
    </w:p>
    <w:p w14:paraId="1915D9D0" w14:textId="77777777" w:rsidR="00B14D53" w:rsidRDefault="00000000">
      <w:pPr>
        <w:pStyle w:val="afff"/>
        <w:adjustRightInd/>
        <w:snapToGrid/>
        <w:contextualSpacing/>
        <w:rPr>
          <w:rFonts w:ascii="Times New Roman" w:hAnsi="Times New Roman" w:cs="Times New Roman"/>
          <w:snapToGrid w:val="0"/>
          <w:szCs w:val="21"/>
        </w:rPr>
      </w:pPr>
      <w:r>
        <w:rPr>
          <w:rFonts w:ascii="Times New Roman" w:hAnsi="Times New Roman" w:cs="Times New Roman"/>
          <w:snapToGrid w:val="0"/>
          <w:szCs w:val="21"/>
        </w:rPr>
        <w:t>（</w:t>
      </w:r>
      <w:r>
        <w:rPr>
          <w:rFonts w:ascii="Times New Roman" w:hAnsi="Times New Roman" w:cs="Times New Roman"/>
          <w:snapToGrid w:val="0"/>
          <w:szCs w:val="21"/>
        </w:rPr>
        <w:t>1</w:t>
      </w:r>
      <w:r>
        <w:rPr>
          <w:rFonts w:ascii="Times New Roman" w:hAnsi="Times New Roman" w:cs="Times New Roman"/>
          <w:snapToGrid w:val="0"/>
          <w:szCs w:val="21"/>
        </w:rPr>
        <w:t>）第四系</w:t>
      </w:r>
    </w:p>
    <w:p w14:paraId="7651B443" w14:textId="77777777" w:rsidR="00B14D53" w:rsidRDefault="00000000">
      <w:pPr>
        <w:pStyle w:val="afff"/>
        <w:adjustRightInd/>
        <w:snapToGrid/>
        <w:contextualSpacing/>
        <w:rPr>
          <w:rFonts w:ascii="Times New Roman" w:hAnsi="Times New Roman" w:cs="Times New Roman"/>
          <w:snapToGrid w:val="0"/>
          <w:szCs w:val="21"/>
        </w:rPr>
      </w:pPr>
      <w:r>
        <w:rPr>
          <w:rFonts w:ascii="Times New Roman" w:hAnsi="Times New Roman" w:cs="Times New Roman"/>
          <w:snapToGrid w:val="0"/>
          <w:szCs w:val="21"/>
        </w:rPr>
        <w:t>广泛分布在中部和北部的阶地和河床当中，分别是：冲积、洪积层</w:t>
      </w:r>
      <w:r>
        <w:rPr>
          <w:rFonts w:ascii="宋体" w:eastAsia="宋体" w:hAnsi="宋体" w:cs="宋体"/>
          <w:spacing w:val="-1"/>
        </w:rPr>
        <w:t>（</w:t>
      </w:r>
      <w:r>
        <w:rPr>
          <w:rFonts w:ascii="Cambria Math" w:eastAsia="Cambria Math" w:hAnsi="Cambria Math" w:cs="Cambria Math"/>
          <w:spacing w:val="-1"/>
        </w:rPr>
        <w:t>Q</w:t>
      </w:r>
      <w:r>
        <w:ruby>
          <w:rubyPr>
            <w:rubyAlign w:val="left"/>
            <w:hps w:val="16"/>
            <w:hpsRaise w:val="8"/>
            <w:hpsBaseText w:val="24"/>
            <w:lid w:val="zh-CN"/>
          </w:rubyPr>
          <w:rt>
            <w:r>
              <w:rPr>
                <w:rFonts w:ascii="Cambria Math" w:eastAsia="Cambria Math" w:hAnsi="Cambria Math" w:cs="Cambria Math"/>
                <w:w w:val="104"/>
                <w:sz w:val="16"/>
                <w:szCs w:val="16"/>
              </w:rPr>
              <w:t>2</w:t>
            </w:r>
          </w:rt>
          <w:rubyBase>
            <w:r>
              <w:rPr>
                <w:rFonts w:ascii="Cambria Math" w:eastAsia="Cambria Math" w:hAnsi="Cambria Math" w:cs="Cambria Math"/>
                <w:w w:val="104"/>
                <w:position w:val="-5"/>
                <w:sz w:val="16"/>
                <w:szCs w:val="16"/>
              </w:rPr>
              <w:t>3</w:t>
            </w:r>
          </w:rubyBase>
        </w:ruby>
      </w:r>
      <w:r>
        <w:rPr>
          <w:rFonts w:ascii="宋体" w:eastAsia="宋体" w:hAnsi="宋体" w:cs="宋体"/>
          <w:spacing w:val="-16"/>
        </w:rPr>
        <w:t>）</w:t>
      </w:r>
      <w:r>
        <w:rPr>
          <w:rFonts w:ascii="Times New Roman" w:hAnsi="Times New Roman" w:cs="Times New Roman"/>
          <w:snapToGrid w:val="0"/>
          <w:szCs w:val="21"/>
        </w:rPr>
        <w:t>，</w:t>
      </w:r>
      <w:r>
        <w:rPr>
          <w:rFonts w:ascii="Times New Roman" w:hAnsi="Times New Roman" w:cs="Times New Roman"/>
          <w:snapToGrid w:val="0"/>
          <w:szCs w:val="21"/>
        </w:rPr>
        <w:t xml:space="preserve"> </w:t>
      </w:r>
      <w:r>
        <w:rPr>
          <w:rFonts w:ascii="Times New Roman" w:hAnsi="Times New Roman" w:cs="Times New Roman"/>
          <w:snapToGrid w:val="0"/>
          <w:szCs w:val="21"/>
        </w:rPr>
        <w:t>为浅色、灰褐色黄土、亚粘土、含砾粘土、砂、砂砾石，构成</w:t>
      </w:r>
      <w:r>
        <w:rPr>
          <w:rFonts w:ascii="Times New Roman" w:hAnsi="Times New Roman" w:cs="Times New Roman"/>
          <w:snapToGrid w:val="0"/>
          <w:szCs w:val="21"/>
        </w:rPr>
        <w:t>Ⅱ</w:t>
      </w:r>
      <w:r>
        <w:rPr>
          <w:rFonts w:ascii="Times New Roman" w:hAnsi="Times New Roman" w:cs="Times New Roman"/>
          <w:snapToGrid w:val="0"/>
          <w:szCs w:val="21"/>
        </w:rPr>
        <w:t>级阶地；阶地堆</w:t>
      </w:r>
      <w:r>
        <w:rPr>
          <w:rFonts w:ascii="Times New Roman" w:hAnsi="Times New Roman" w:cs="Times New Roman"/>
          <w:snapToGrid w:val="0"/>
          <w:szCs w:val="21"/>
        </w:rPr>
        <w:t xml:space="preserve"> </w:t>
      </w:r>
      <w:r>
        <w:rPr>
          <w:rFonts w:ascii="Times New Roman" w:hAnsi="Times New Roman" w:cs="Times New Roman"/>
          <w:snapToGrid w:val="0"/>
          <w:szCs w:val="21"/>
        </w:rPr>
        <w:t>积层</w:t>
      </w:r>
      <w:r>
        <w:rPr>
          <w:rFonts w:ascii="宋体" w:eastAsia="宋体" w:hAnsi="宋体" w:cs="宋体"/>
          <w:spacing w:val="-3"/>
        </w:rPr>
        <w:t>（</w:t>
      </w:r>
      <w:r>
        <w:rPr>
          <w:rFonts w:ascii="Cambria Math" w:eastAsia="Cambria Math" w:hAnsi="Cambria Math" w:cs="Cambria Math"/>
          <w:spacing w:val="-3"/>
        </w:rPr>
        <w:t>Q</w:t>
      </w:r>
      <w:r>
        <w:ruby>
          <w:rubyPr>
            <w:rubyAlign w:val="left"/>
            <w:hps w:val="16"/>
            <w:hpsRaise w:val="8"/>
            <w:hpsBaseText w:val="24"/>
            <w:lid w:val="zh-CN"/>
          </w:rubyPr>
          <w:rt>
            <w:r>
              <w:rPr>
                <w:rFonts w:ascii="Cambria Math" w:eastAsia="Cambria Math" w:hAnsi="Cambria Math" w:cs="Cambria Math"/>
                <w:w w:val="104"/>
                <w:sz w:val="16"/>
                <w:szCs w:val="16"/>
              </w:rPr>
              <w:t>1</w:t>
            </w:r>
          </w:rt>
          <w:rubyBase>
            <w:r>
              <w:rPr>
                <w:rFonts w:ascii="Cambria Math" w:eastAsia="Cambria Math" w:hAnsi="Cambria Math" w:cs="Cambria Math"/>
                <w:w w:val="104"/>
                <w:position w:val="-5"/>
                <w:sz w:val="16"/>
                <w:szCs w:val="16"/>
              </w:rPr>
              <w:t>4</w:t>
            </w:r>
          </w:rubyBase>
        </w:ruby>
      </w:r>
      <w:r>
        <w:rPr>
          <w:rFonts w:ascii="宋体" w:eastAsia="宋体" w:hAnsi="宋体" w:cs="宋体"/>
          <w:spacing w:val="-7"/>
        </w:rPr>
        <w:t>）</w:t>
      </w:r>
      <w:r>
        <w:rPr>
          <w:rFonts w:ascii="Times New Roman" w:hAnsi="Times New Roman" w:cs="Times New Roman"/>
          <w:snapToGrid w:val="0"/>
          <w:szCs w:val="21"/>
        </w:rPr>
        <w:t>，上部为亚粘土、亚砂土夹透镜状褐铁矿，下部为砂、砂砾石，构成</w:t>
      </w:r>
      <w:r>
        <w:rPr>
          <w:rFonts w:ascii="Times New Roman" w:hAnsi="Times New Roman" w:cs="Times New Roman"/>
          <w:snapToGrid w:val="0"/>
          <w:szCs w:val="21"/>
        </w:rPr>
        <w:t xml:space="preserve"> </w:t>
      </w:r>
      <w:r>
        <w:rPr>
          <w:rFonts w:ascii="Times New Roman" w:hAnsi="Times New Roman" w:cs="Times New Roman"/>
          <w:snapToGrid w:val="0"/>
          <w:szCs w:val="21"/>
        </w:rPr>
        <w:t>二元结构；现代河流冲积层</w:t>
      </w:r>
      <w:r>
        <w:rPr>
          <w:rFonts w:ascii="宋体" w:eastAsia="宋体" w:hAnsi="宋体" w:cs="宋体"/>
          <w:spacing w:val="-2"/>
        </w:rPr>
        <w:t>（</w:t>
      </w:r>
      <w:r>
        <w:rPr>
          <w:rFonts w:ascii="Cambria Math" w:eastAsia="Cambria Math" w:hAnsi="Cambria Math" w:cs="Cambria Math"/>
          <w:spacing w:val="-2"/>
        </w:rPr>
        <w:t>Q</w:t>
      </w:r>
      <w:r>
        <w:ruby>
          <w:rubyPr>
            <w:rubyAlign w:val="left"/>
            <w:hps w:val="16"/>
            <w:hpsRaise w:val="8"/>
            <w:hpsBaseText w:val="24"/>
            <w:lid w:val="zh-CN"/>
          </w:rubyPr>
          <w:rt>
            <w:r>
              <w:rPr>
                <w:rFonts w:ascii="Cambria Math" w:eastAsia="Cambria Math" w:hAnsi="Cambria Math" w:cs="Cambria Math"/>
                <w:w w:val="104"/>
                <w:sz w:val="16"/>
                <w:szCs w:val="16"/>
              </w:rPr>
              <w:t>2</w:t>
            </w:r>
          </w:rt>
          <w:rubyBase>
            <w:r>
              <w:rPr>
                <w:rFonts w:ascii="Cambria Math" w:eastAsia="Cambria Math" w:hAnsi="Cambria Math" w:cs="Cambria Math"/>
                <w:w w:val="104"/>
                <w:position w:val="-5"/>
                <w:sz w:val="16"/>
                <w:szCs w:val="16"/>
              </w:rPr>
              <w:t>4</w:t>
            </w:r>
          </w:rubyBase>
        </w:ruby>
      </w:r>
      <w:r>
        <w:rPr>
          <w:rFonts w:ascii="宋体" w:eastAsia="宋体" w:hAnsi="宋体" w:cs="宋体"/>
          <w:spacing w:val="15"/>
        </w:rPr>
        <w:t>）</w:t>
      </w:r>
      <w:r>
        <w:rPr>
          <w:rFonts w:ascii="Times New Roman" w:hAnsi="Times New Roman" w:cs="Times New Roman"/>
          <w:snapToGrid w:val="0"/>
          <w:szCs w:val="21"/>
        </w:rPr>
        <w:t>，为灰黄色、黄褐色亚粘土、亚粘土、粉砂、</w:t>
      </w:r>
      <w:r>
        <w:rPr>
          <w:rFonts w:ascii="Times New Roman" w:hAnsi="Times New Roman" w:cs="Times New Roman"/>
          <w:snapToGrid w:val="0"/>
          <w:szCs w:val="21"/>
        </w:rPr>
        <w:t xml:space="preserve"> </w:t>
      </w:r>
      <w:r>
        <w:rPr>
          <w:rFonts w:ascii="Times New Roman" w:hAnsi="Times New Roman" w:cs="Times New Roman"/>
          <w:snapToGrid w:val="0"/>
          <w:szCs w:val="21"/>
        </w:rPr>
        <w:t>砂、含砾中粗砂、砂砾石，构成</w:t>
      </w:r>
      <w:r>
        <w:rPr>
          <w:rFonts w:ascii="Times New Roman" w:hAnsi="Times New Roman" w:cs="Times New Roman"/>
          <w:snapToGrid w:val="0"/>
          <w:szCs w:val="21"/>
        </w:rPr>
        <w:t>Ⅰ</w:t>
      </w:r>
      <w:r>
        <w:rPr>
          <w:rFonts w:ascii="Times New Roman" w:hAnsi="Times New Roman" w:cs="Times New Roman"/>
          <w:snapToGrid w:val="0"/>
          <w:szCs w:val="21"/>
        </w:rPr>
        <w:t>级阶地。</w:t>
      </w:r>
    </w:p>
    <w:p w14:paraId="377D54EB" w14:textId="77777777" w:rsidR="00B14D53" w:rsidRDefault="00000000">
      <w:pPr>
        <w:pStyle w:val="afff"/>
        <w:adjustRightInd/>
        <w:snapToGrid/>
        <w:contextualSpacing/>
        <w:rPr>
          <w:rFonts w:ascii="Times New Roman" w:hAnsi="Times New Roman" w:cs="Times New Roman"/>
          <w:snapToGrid w:val="0"/>
        </w:rPr>
      </w:pPr>
      <w:r>
        <w:rPr>
          <w:rFonts w:ascii="Times New Roman" w:hAnsi="Times New Roman" w:cs="Times New Roman" w:hint="eastAsia"/>
          <w:snapToGrid w:val="0"/>
        </w:rPr>
        <w:t>（</w:t>
      </w:r>
      <w:r>
        <w:rPr>
          <w:rFonts w:ascii="Times New Roman" w:hAnsi="Times New Roman" w:cs="Times New Roman" w:hint="eastAsia"/>
          <w:snapToGrid w:val="0"/>
        </w:rPr>
        <w:t>2</w:t>
      </w:r>
      <w:r>
        <w:rPr>
          <w:rFonts w:ascii="Times New Roman" w:hAnsi="Times New Roman" w:cs="Times New Roman" w:hint="eastAsia"/>
          <w:snapToGrid w:val="0"/>
        </w:rPr>
        <w:t>）</w:t>
      </w:r>
      <w:r>
        <w:rPr>
          <w:rFonts w:ascii="Times New Roman" w:hAnsi="Times New Roman" w:cs="Times New Roman"/>
          <w:snapToGrid w:val="0"/>
        </w:rPr>
        <w:t>前第四系</w:t>
      </w:r>
    </w:p>
    <w:p w14:paraId="5E2F8879" w14:textId="77777777" w:rsidR="00B14D53" w:rsidRDefault="00000000">
      <w:pPr>
        <w:pStyle w:val="afff"/>
        <w:adjustRightInd/>
        <w:snapToGrid/>
        <w:contextualSpacing/>
        <w:rPr>
          <w:rFonts w:ascii="Times New Roman" w:hAnsi="Times New Roman" w:cs="Times New Roman"/>
          <w:snapToGrid w:val="0"/>
        </w:rPr>
      </w:pPr>
      <w:r>
        <w:rPr>
          <w:rFonts w:ascii="Times New Roman" w:hAnsi="Times New Roman" w:cs="Times New Roman"/>
          <w:snapToGrid w:val="0"/>
        </w:rPr>
        <w:t>①</w:t>
      </w:r>
      <w:r>
        <w:rPr>
          <w:rFonts w:ascii="Times New Roman" w:hAnsi="Times New Roman" w:cs="Times New Roman"/>
          <w:snapToGrid w:val="0"/>
        </w:rPr>
        <w:t>二叠系</w:t>
      </w:r>
    </w:p>
    <w:p w14:paraId="60936046" w14:textId="77777777" w:rsidR="00B14D53" w:rsidRDefault="00000000">
      <w:pPr>
        <w:pStyle w:val="afff"/>
        <w:adjustRightInd/>
        <w:snapToGrid/>
        <w:contextualSpacing/>
        <w:rPr>
          <w:rFonts w:ascii="宋体" w:eastAsia="宋体" w:hAnsi="宋体" w:cs="宋体" w:hint="eastAsia"/>
        </w:rPr>
      </w:pPr>
      <w:r>
        <w:rPr>
          <w:rFonts w:ascii="Times New Roman" w:hAnsi="Times New Roman" w:cs="Times New Roman"/>
          <w:snapToGrid w:val="0"/>
        </w:rPr>
        <w:t>区域内零星出露，主要分布在五常市东南部，分别是：唐家屯组</w:t>
      </w:r>
      <w:r>
        <w:rPr>
          <w:rFonts w:ascii="宋体" w:eastAsia="宋体" w:hAnsi="宋体" w:cs="宋体"/>
          <w:position w:val="-2"/>
        </w:rPr>
        <w:t>（</w:t>
      </w:r>
      <w:r>
        <w:rPr>
          <w:rFonts w:ascii="Cambria Math" w:eastAsia="Cambria Math" w:hAnsi="Cambria Math" w:cs="Cambria Math"/>
          <w:position w:val="-2"/>
        </w:rPr>
        <w:t>p</w:t>
      </w:r>
      <w:r>
        <w:ruby>
          <w:rubyPr>
            <w:rubyAlign w:val="left"/>
            <w:hps w:val="16"/>
            <w:hpsRaise w:val="8"/>
            <w:hpsBaseText w:val="24"/>
            <w:lid w:val="zh-CN"/>
          </w:rubyPr>
          <w:rt>
            <w:r>
              <w:rPr>
                <w:rFonts w:ascii="Cambria Math" w:eastAsia="Cambria Math" w:hAnsi="Cambria Math" w:cs="Cambria Math"/>
                <w:w w:val="106"/>
                <w:position w:val="-2"/>
                <w:sz w:val="16"/>
                <w:szCs w:val="16"/>
              </w:rPr>
              <w:t>1</w:t>
            </w:r>
          </w:rt>
          <w:rubyBase>
            <w:r>
              <w:rPr>
                <w:rFonts w:ascii="Cambria Math" w:eastAsia="Cambria Math" w:hAnsi="Cambria Math" w:cs="Cambria Math"/>
                <w:w w:val="106"/>
                <w:position w:val="-7"/>
                <w:sz w:val="16"/>
                <w:szCs w:val="16"/>
              </w:rPr>
              <w:t>1</w:t>
            </w:r>
          </w:rubyBase>
        </w:ruby>
      </w:r>
      <w:r>
        <w:rPr>
          <w:rFonts w:ascii="Cambria Math" w:eastAsia="Cambria Math" w:hAnsi="Cambria Math" w:cs="Cambria Math"/>
          <w:position w:val="-2"/>
        </w:rPr>
        <w:t>t</w:t>
      </w:r>
      <w:r>
        <w:rPr>
          <w:rFonts w:ascii="宋体" w:eastAsia="宋体" w:hAnsi="宋体" w:cs="宋体"/>
          <w:spacing w:val="-13"/>
          <w:position w:val="-2"/>
        </w:rPr>
        <w:t>）</w:t>
      </w:r>
      <w:r>
        <w:rPr>
          <w:rFonts w:ascii="Times New Roman" w:hAnsi="Times New Roman" w:cs="Times New Roman"/>
          <w:snapToGrid w:val="0"/>
        </w:rPr>
        <w:t>，岩性主要为炭质泥质板岩、凝灰质板岩夹粉砂－细砂岩及大理岩透镜体等；杨木</w:t>
      </w:r>
      <w:r>
        <w:rPr>
          <w:rFonts w:ascii="宋体" w:eastAsia="宋体" w:hAnsi="宋体" w:cs="宋体"/>
        </w:rPr>
        <w:t>岗组（</w:t>
      </w:r>
      <w:r>
        <w:rPr>
          <w:rFonts w:ascii="Cambria Math" w:eastAsia="Cambria Math" w:hAnsi="Cambria Math" w:cs="Cambria Math"/>
        </w:rPr>
        <w:t>p</w:t>
      </w:r>
      <w:r>
        <w:ruby>
          <w:rubyPr>
            <w:rubyAlign w:val="left"/>
            <w:hps w:val="16"/>
            <w:hpsRaise w:val="8"/>
            <w:hpsBaseText w:val="24"/>
            <w:lid w:val="zh-CN"/>
          </w:rubyPr>
          <w:rt>
            <w:r>
              <w:rPr>
                <w:rFonts w:ascii="Cambria Math" w:eastAsia="Cambria Math" w:hAnsi="Cambria Math" w:cs="Cambria Math"/>
                <w:w w:val="106"/>
                <w:sz w:val="16"/>
                <w:szCs w:val="16"/>
              </w:rPr>
              <w:t>1</w:t>
            </w:r>
          </w:rt>
          <w:rubyBase>
            <w:r>
              <w:rPr>
                <w:rFonts w:ascii="Cambria Math" w:eastAsia="Cambria Math" w:hAnsi="Cambria Math" w:cs="Cambria Math"/>
                <w:w w:val="106"/>
                <w:position w:val="-5"/>
                <w:sz w:val="16"/>
                <w:szCs w:val="16"/>
              </w:rPr>
              <w:t>1</w:t>
            </w:r>
          </w:rubyBase>
        </w:ruby>
      </w:r>
      <w:r>
        <w:rPr>
          <w:rFonts w:ascii="Cambria Math" w:eastAsia="Cambria Math" w:hAnsi="Cambria Math" w:cs="Cambria Math"/>
        </w:rPr>
        <w:t>y</w:t>
      </w:r>
      <w:r>
        <w:rPr>
          <w:rFonts w:ascii="宋体" w:eastAsia="宋体" w:hAnsi="宋体" w:cs="宋体"/>
          <w:spacing w:val="2"/>
        </w:rPr>
        <w:t>）），</w:t>
      </w:r>
      <w:r>
        <w:rPr>
          <w:rFonts w:ascii="宋体" w:eastAsia="宋体" w:hAnsi="宋体" w:cs="宋体"/>
        </w:rPr>
        <w:t>岩性以砂岩、板岩为主，夹灰岩、中酸性</w:t>
      </w:r>
      <w:r>
        <w:rPr>
          <w:rFonts w:ascii="宋体" w:eastAsia="宋体" w:hAnsi="宋体" w:cs="宋体"/>
          <w:spacing w:val="-1"/>
        </w:rPr>
        <w:t>含砾凝灰岩等；土门</w:t>
      </w:r>
      <w:r>
        <w:rPr>
          <w:rFonts w:ascii="宋体" w:eastAsia="宋体" w:hAnsi="宋体" w:cs="宋体"/>
          <w:spacing w:val="1"/>
        </w:rPr>
        <w:t>岭组（</w:t>
      </w:r>
      <w:r>
        <w:rPr>
          <w:rFonts w:ascii="Cambria Math" w:eastAsia="Cambria Math" w:hAnsi="Cambria Math" w:cs="Cambria Math"/>
        </w:rPr>
        <w:t>p</w:t>
      </w:r>
      <w:r>
        <w:ruby>
          <w:rubyPr>
            <w:rubyAlign w:val="left"/>
            <w:hps w:val="16"/>
            <w:hpsRaise w:val="8"/>
            <w:hpsBaseText w:val="24"/>
            <w:lid w:val="zh-CN"/>
          </w:rubyPr>
          <w:rt>
            <w:r>
              <w:rPr>
                <w:rFonts w:ascii="Cambria Math" w:eastAsia="Cambria Math" w:hAnsi="Cambria Math" w:cs="Cambria Math"/>
                <w:w w:val="106"/>
                <w:sz w:val="16"/>
                <w:szCs w:val="16"/>
              </w:rPr>
              <w:t>2</w:t>
            </w:r>
          </w:rt>
          <w:rubyBase>
            <w:r>
              <w:rPr>
                <w:rFonts w:ascii="Cambria Math" w:eastAsia="Cambria Math" w:hAnsi="Cambria Math" w:cs="Cambria Math"/>
                <w:w w:val="106"/>
                <w:position w:val="-5"/>
                <w:sz w:val="16"/>
                <w:szCs w:val="16"/>
              </w:rPr>
              <w:t>1</w:t>
            </w:r>
          </w:rubyBase>
        </w:ruby>
      </w:r>
      <w:r>
        <w:rPr>
          <w:rFonts w:ascii="Cambria Math" w:eastAsia="Cambria Math" w:hAnsi="Cambria Math" w:cs="Cambria Math"/>
        </w:rPr>
        <w:t>tm</w:t>
      </w:r>
      <w:r>
        <w:rPr>
          <w:rFonts w:ascii="宋体" w:eastAsia="宋体" w:hAnsi="宋体" w:cs="宋体"/>
          <w:spacing w:val="2"/>
        </w:rPr>
        <w:t>）），</w:t>
      </w:r>
      <w:r>
        <w:rPr>
          <w:rFonts w:ascii="宋体" w:eastAsia="宋体" w:hAnsi="宋体" w:cs="宋体"/>
          <w:spacing w:val="1"/>
        </w:rPr>
        <w:t>岩性以砂岩为主，含粉砂泥质板岩、</w:t>
      </w:r>
      <w:r>
        <w:rPr>
          <w:rFonts w:ascii="宋体" w:eastAsia="宋体" w:hAnsi="宋体" w:cs="宋体"/>
        </w:rPr>
        <w:t>硬砂质长石砂岩、硬砂</w:t>
      </w:r>
      <w:r>
        <w:rPr>
          <w:rFonts w:ascii="宋体" w:eastAsia="宋体" w:hAnsi="宋体" w:cs="宋体"/>
          <w:spacing w:val="-1"/>
        </w:rPr>
        <w:t>岩夹灰岩、大理岩透镜体；五道岭组（</w:t>
      </w:r>
      <w:r>
        <w:rPr>
          <w:rFonts w:ascii="Cambria Math" w:eastAsia="Cambria Math" w:hAnsi="Cambria Math" w:cs="Cambria Math"/>
          <w:spacing w:val="-1"/>
        </w:rPr>
        <w:t>p</w:t>
      </w:r>
      <w:r>
        <w:rPr>
          <w:rFonts w:ascii="Cambria Math" w:eastAsia="Cambria Math" w:hAnsi="Cambria Math" w:cs="Cambria Math"/>
          <w:spacing w:val="-1"/>
          <w:position w:val="-4"/>
          <w:sz w:val="16"/>
          <w:szCs w:val="16"/>
        </w:rPr>
        <w:t>2</w:t>
      </w:r>
      <w:r>
        <w:rPr>
          <w:rFonts w:ascii="Cambria Math" w:eastAsia="Cambria Math" w:hAnsi="Cambria Math" w:cs="Cambria Math"/>
          <w:spacing w:val="-20"/>
          <w:position w:val="-4"/>
          <w:sz w:val="16"/>
          <w:szCs w:val="16"/>
        </w:rPr>
        <w:t xml:space="preserve"> </w:t>
      </w:r>
      <w:r>
        <w:rPr>
          <w:rFonts w:ascii="Cambria Math" w:eastAsia="Cambria Math" w:hAnsi="Cambria Math" w:cs="Cambria Math"/>
          <w:spacing w:val="-1"/>
        </w:rPr>
        <w:t>w</w:t>
      </w:r>
      <w:r>
        <w:rPr>
          <w:rFonts w:ascii="宋体" w:eastAsia="宋体" w:hAnsi="宋体" w:cs="宋体"/>
          <w:spacing w:val="-14"/>
        </w:rPr>
        <w:t>）），</w:t>
      </w:r>
      <w:r>
        <w:rPr>
          <w:rFonts w:ascii="宋体" w:eastAsia="宋体" w:hAnsi="宋体" w:cs="宋体"/>
          <w:spacing w:val="-1"/>
        </w:rPr>
        <w:t>上部以火山碎</w:t>
      </w:r>
      <w:r>
        <w:rPr>
          <w:rFonts w:ascii="宋体" w:eastAsia="宋体" w:hAnsi="宋体" w:cs="宋体"/>
          <w:spacing w:val="-2"/>
        </w:rPr>
        <w:t>屑岩为主，夹中</w:t>
      </w:r>
      <w:r>
        <w:rPr>
          <w:rFonts w:ascii="宋体" w:eastAsia="宋体" w:hAnsi="宋体" w:cs="宋体"/>
          <w:spacing w:val="-1"/>
        </w:rPr>
        <w:t>酸性凝灰岩、含砾凝灰质砂板岩；下部以中－</w:t>
      </w:r>
      <w:r>
        <w:rPr>
          <w:rFonts w:ascii="宋体" w:eastAsia="宋体" w:hAnsi="宋体" w:cs="宋体"/>
          <w:spacing w:val="-2"/>
        </w:rPr>
        <w:t>中酸性火山碎屑岩为主，夹板岩、</w:t>
      </w:r>
      <w:r>
        <w:rPr>
          <w:rFonts w:ascii="宋体" w:eastAsia="宋体" w:hAnsi="宋体" w:cs="宋体"/>
          <w:spacing w:val="-1"/>
        </w:rPr>
        <w:t>粉砂岩、流纹斑岩等。</w:t>
      </w:r>
    </w:p>
    <w:p w14:paraId="10E140DD" w14:textId="77777777" w:rsidR="00B14D53" w:rsidRDefault="00000000">
      <w:pPr>
        <w:pStyle w:val="afff"/>
        <w:adjustRightInd/>
        <w:snapToGrid/>
        <w:contextualSpacing/>
        <w:rPr>
          <w:rFonts w:ascii="Times New Roman" w:hAnsi="Times New Roman" w:cs="Times New Roman"/>
          <w:snapToGrid w:val="0"/>
        </w:rPr>
      </w:pPr>
      <w:r>
        <w:rPr>
          <w:rFonts w:ascii="Times New Roman" w:hAnsi="Times New Roman" w:cs="Times New Roman"/>
          <w:snapToGrid w:val="0"/>
        </w:rPr>
        <w:t>②</w:t>
      </w:r>
      <w:r>
        <w:rPr>
          <w:rFonts w:ascii="Times New Roman" w:hAnsi="Times New Roman" w:cs="Times New Roman"/>
          <w:snapToGrid w:val="0"/>
        </w:rPr>
        <w:t>侵入岩</w:t>
      </w:r>
    </w:p>
    <w:p w14:paraId="2C821330" w14:textId="77777777" w:rsidR="00B14D53" w:rsidRDefault="00000000">
      <w:pPr>
        <w:pStyle w:val="afff"/>
        <w:adjustRightInd/>
        <w:snapToGrid/>
        <w:ind w:firstLine="464"/>
        <w:contextualSpacing/>
        <w:rPr>
          <w:rFonts w:ascii="宋体" w:eastAsia="宋体" w:hAnsi="宋体" w:cs="宋体" w:hint="eastAsia"/>
          <w:spacing w:val="-2"/>
        </w:rPr>
      </w:pPr>
      <w:r>
        <w:rPr>
          <w:rFonts w:ascii="宋体" w:eastAsia="宋体" w:hAnsi="宋体" w:cs="宋体"/>
          <w:spacing w:val="-4"/>
        </w:rPr>
        <w:t>区域内出露主要为燕山期早期侵入岩，集中在五常市东南部，集中分布有白</w:t>
      </w:r>
      <w:r>
        <w:rPr>
          <w:rFonts w:ascii="宋体" w:eastAsia="宋体" w:hAnsi="宋体" w:cs="宋体"/>
          <w:spacing w:val="10"/>
        </w:rPr>
        <w:t xml:space="preserve"> </w:t>
      </w:r>
      <w:r>
        <w:rPr>
          <w:rFonts w:ascii="宋体" w:eastAsia="宋体" w:hAnsi="宋体" w:cs="宋体"/>
          <w:spacing w:val="-2"/>
        </w:rPr>
        <w:t>岗质花岗岩岩组：中粗粒白岗质花岗岩；少量分布花岗斑岩</w:t>
      </w:r>
      <w:r>
        <w:rPr>
          <w:rFonts w:ascii="宋体" w:eastAsia="宋体" w:hAnsi="宋体" w:cs="宋体" w:hint="eastAsia"/>
          <w:spacing w:val="-2"/>
        </w:rPr>
        <w:t>。</w:t>
      </w:r>
    </w:p>
    <w:p w14:paraId="1526D50F" w14:textId="2DB045B2" w:rsidR="00B14D53" w:rsidRDefault="00000000">
      <w:pPr>
        <w:pStyle w:val="4"/>
        <w:spacing w:before="100" w:beforeAutospacing="1" w:after="0" w:line="240" w:lineRule="auto"/>
        <w:ind w:firstLineChars="200" w:firstLine="480"/>
        <w:rPr>
          <w:rFonts w:eastAsiaTheme="minorEastAsia" w:hAnsiTheme="minorEastAsia" w:hint="eastAsia"/>
          <w:b w:val="0"/>
          <w:bCs w:val="0"/>
          <w:sz w:val="24"/>
        </w:rPr>
      </w:pPr>
      <w:hyperlink r:id="rId42" w:history="1">
        <w:r>
          <w:rPr>
            <w:rFonts w:ascii="Times New Roman" w:eastAsia="黑体" w:hAnsi="Times New Roman" w:cs="Times New Roman"/>
            <w:b w:val="0"/>
            <w:bCs w:val="0"/>
            <w:sz w:val="24"/>
            <w:szCs w:val="24"/>
          </w:rPr>
          <w:t>4.1.</w:t>
        </w:r>
        <w:r>
          <w:rPr>
            <w:rFonts w:ascii="Times New Roman" w:eastAsia="黑体" w:hAnsi="Times New Roman" w:cs="Times New Roman" w:hint="eastAsia"/>
            <w:b w:val="0"/>
            <w:bCs w:val="0"/>
            <w:sz w:val="24"/>
            <w:szCs w:val="24"/>
          </w:rPr>
          <w:t>4</w:t>
        </w:r>
        <w:r>
          <w:rPr>
            <w:rFonts w:ascii="Times New Roman" w:eastAsia="黑体" w:hAnsi="Times New Roman" w:cs="Times New Roman"/>
            <w:b w:val="0"/>
            <w:bCs w:val="0"/>
            <w:sz w:val="24"/>
            <w:szCs w:val="24"/>
          </w:rPr>
          <w:t>.</w:t>
        </w:r>
        <w:r>
          <w:rPr>
            <w:rFonts w:ascii="Times New Roman" w:eastAsia="黑体" w:hAnsi="Times New Roman" w:cs="Times New Roman" w:hint="eastAsia"/>
            <w:b w:val="0"/>
            <w:bCs w:val="0"/>
            <w:sz w:val="24"/>
            <w:szCs w:val="24"/>
          </w:rPr>
          <w:t>3</w:t>
        </w:r>
      </w:hyperlink>
      <w:r>
        <w:rPr>
          <w:rFonts w:ascii="Times New Roman" w:eastAsia="黑体" w:hAnsi="Times New Roman" w:cs="Times New Roman"/>
          <w:b w:val="0"/>
          <w:bCs w:val="0"/>
          <w:sz w:val="24"/>
          <w:szCs w:val="24"/>
        </w:rPr>
        <w:t>水文地质条件</w:t>
      </w:r>
    </w:p>
    <w:p w14:paraId="0DC851E8" w14:textId="77777777" w:rsidR="00B14D53" w:rsidRDefault="00000000">
      <w:pPr>
        <w:spacing w:line="360" w:lineRule="auto"/>
        <w:ind w:firstLine="498"/>
        <w:rPr>
          <w:rFonts w:ascii="宋体" w:hAnsi="宋体" w:cs="宋体" w:hint="eastAsia"/>
          <w:sz w:val="24"/>
        </w:rPr>
      </w:pPr>
      <w:r>
        <w:rPr>
          <w:rFonts w:ascii="宋体" w:hAnsi="宋体" w:cs="宋体"/>
          <w:spacing w:val="-2"/>
          <w:sz w:val="24"/>
        </w:rPr>
        <w:t>区域地下水的形成、分布和水化学特征受区域地貌、地层岩性、地质构</w:t>
      </w:r>
      <w:r>
        <w:rPr>
          <w:rFonts w:ascii="宋体" w:hAnsi="宋体" w:cs="宋体"/>
          <w:spacing w:val="-3"/>
          <w:sz w:val="24"/>
        </w:rPr>
        <w:t>造、古地理环境以及水文气象等诸多因素综合控制，但不同类型的地下水主导因素是不同的。第四系松散岩类孔隙潜水直接受水文气象、现代地貌、古地理环境以及含水层岩性、厚度的控制；碎屑岩类裂隙孔隙潜水主要受岩性特征、裂隙发育程</w:t>
      </w:r>
      <w:r>
        <w:rPr>
          <w:rFonts w:ascii="宋体" w:hAnsi="宋体" w:cs="宋体"/>
          <w:spacing w:val="-1"/>
          <w:sz w:val="24"/>
        </w:rPr>
        <w:t>度和地貌条件的控制。</w:t>
      </w:r>
    </w:p>
    <w:p w14:paraId="58FAE043" w14:textId="77777777" w:rsidR="00B14D53" w:rsidRDefault="00000000">
      <w:pPr>
        <w:spacing w:line="360" w:lineRule="auto"/>
        <w:ind w:firstLine="496"/>
        <w:rPr>
          <w:rFonts w:ascii="宋体" w:hAnsi="宋体" w:cs="宋体" w:hint="eastAsia"/>
          <w:sz w:val="24"/>
        </w:rPr>
      </w:pPr>
      <w:r>
        <w:rPr>
          <w:rFonts w:ascii="宋体" w:hAnsi="宋体" w:cs="宋体"/>
          <w:spacing w:val="-2"/>
          <w:sz w:val="24"/>
        </w:rPr>
        <w:t>区域水文地质条件各有特征，含水岩组从上至下主要分为松散堆积层（</w:t>
      </w:r>
      <w:r>
        <w:rPr>
          <w:rFonts w:eastAsia="Times New Roman"/>
          <w:spacing w:val="-2"/>
          <w:sz w:val="24"/>
        </w:rPr>
        <w:t>Q</w:t>
      </w:r>
      <w:r>
        <w:rPr>
          <w:rFonts w:ascii="宋体" w:hAnsi="宋体" w:cs="宋体"/>
          <w:spacing w:val="-2"/>
          <w:sz w:val="24"/>
        </w:rPr>
        <w:t>）</w:t>
      </w:r>
      <w:r>
        <w:rPr>
          <w:rFonts w:ascii="宋体" w:hAnsi="宋体" w:cs="宋体"/>
          <w:sz w:val="24"/>
        </w:rPr>
        <w:t>孔隙水、连续分布的碎屑岩（</w:t>
      </w:r>
      <w:r>
        <w:rPr>
          <w:rFonts w:eastAsia="Times New Roman"/>
          <w:sz w:val="24"/>
        </w:rPr>
        <w:t>N</w:t>
      </w:r>
      <w:r>
        <w:rPr>
          <w:rFonts w:ascii="宋体" w:hAnsi="宋体" w:cs="宋体"/>
          <w:sz w:val="24"/>
        </w:rPr>
        <w:t>、</w:t>
      </w:r>
      <w:r>
        <w:rPr>
          <w:rFonts w:eastAsia="Times New Roman"/>
          <w:sz w:val="24"/>
        </w:rPr>
        <w:t>E</w:t>
      </w:r>
      <w:r>
        <w:rPr>
          <w:rFonts w:ascii="宋体" w:hAnsi="宋体" w:cs="宋体"/>
          <w:sz w:val="24"/>
        </w:rPr>
        <w:t>）裂隙孔隙水和</w:t>
      </w:r>
      <w:r>
        <w:rPr>
          <w:rFonts w:ascii="宋体" w:hAnsi="宋体" w:cs="宋体"/>
          <w:spacing w:val="-1"/>
          <w:sz w:val="24"/>
        </w:rPr>
        <w:t>分布不均匀的基岩裂隙水，</w:t>
      </w:r>
      <w:r>
        <w:rPr>
          <w:rFonts w:ascii="宋体" w:hAnsi="宋体" w:cs="宋体"/>
          <w:spacing w:val="-4"/>
          <w:sz w:val="24"/>
        </w:rPr>
        <w:t>现分述如下</w:t>
      </w:r>
      <w:r>
        <w:rPr>
          <w:rFonts w:ascii="宋体" w:hAnsi="宋体" w:cs="宋体"/>
          <w:spacing w:val="2"/>
          <w:sz w:val="24"/>
        </w:rPr>
        <w:t>：</w:t>
      </w:r>
    </w:p>
    <w:p w14:paraId="2B7A3FE9" w14:textId="77777777" w:rsidR="00B14D53" w:rsidRDefault="00000000">
      <w:pPr>
        <w:spacing w:line="360" w:lineRule="auto"/>
        <w:rPr>
          <w:rFonts w:ascii="宋体" w:hAnsi="宋体" w:cs="宋体" w:hint="eastAsia"/>
          <w:sz w:val="24"/>
        </w:rPr>
      </w:pPr>
      <w:r>
        <w:rPr>
          <w:rFonts w:ascii="宋体" w:hAnsi="宋体" w:cs="宋体"/>
          <w:spacing w:val="-2"/>
          <w:sz w:val="24"/>
        </w:rPr>
        <w:t>（</w:t>
      </w:r>
      <w:r>
        <w:rPr>
          <w:rFonts w:eastAsia="Times New Roman"/>
          <w:spacing w:val="-2"/>
          <w:sz w:val="24"/>
        </w:rPr>
        <w:t>1</w:t>
      </w:r>
      <w:r>
        <w:rPr>
          <w:rFonts w:ascii="宋体" w:hAnsi="宋体" w:cs="宋体"/>
          <w:spacing w:val="-2"/>
          <w:sz w:val="24"/>
        </w:rPr>
        <w:t>）松散堆积层孔隙水</w:t>
      </w:r>
    </w:p>
    <w:p w14:paraId="0BF291C2" w14:textId="77777777" w:rsidR="00B14D53" w:rsidRDefault="00000000">
      <w:pPr>
        <w:spacing w:line="360" w:lineRule="auto"/>
        <w:ind w:firstLine="477"/>
        <w:rPr>
          <w:rFonts w:ascii="宋体" w:hAnsi="宋体" w:cs="宋体" w:hint="eastAsia"/>
          <w:sz w:val="24"/>
        </w:rPr>
      </w:pPr>
      <w:r>
        <w:rPr>
          <w:rFonts w:ascii="宋体" w:hAnsi="宋体" w:cs="宋体"/>
          <w:spacing w:val="-3"/>
          <w:sz w:val="24"/>
        </w:rPr>
        <w:t>主要分布于拉林河及溪浪河沟谷的一级阶地、二级阶地和高漫滩，其</w:t>
      </w:r>
      <w:r>
        <w:rPr>
          <w:rFonts w:ascii="宋体" w:hAnsi="宋体" w:cs="宋体"/>
          <w:spacing w:val="-4"/>
          <w:sz w:val="24"/>
        </w:rPr>
        <w:t>富水性</w:t>
      </w:r>
      <w:r>
        <w:rPr>
          <w:rFonts w:ascii="宋体" w:hAnsi="宋体" w:cs="宋体"/>
          <w:spacing w:val="-1"/>
          <w:sz w:val="24"/>
        </w:rPr>
        <w:t>受含水层岩性和补给条件控制。沿河谷川道地下水富水性受侧向补给量差别明显，富水性亦有较大差别。一般堆积物厚的地段富水性好，反之则差。</w:t>
      </w:r>
    </w:p>
    <w:p w14:paraId="73CE7738" w14:textId="77777777" w:rsidR="00B14D53" w:rsidRDefault="00000000">
      <w:pPr>
        <w:spacing w:line="360" w:lineRule="auto"/>
        <w:rPr>
          <w:rFonts w:ascii="宋体" w:hAnsi="宋体" w:cs="宋体" w:hint="eastAsia"/>
          <w:sz w:val="24"/>
        </w:rPr>
      </w:pPr>
      <w:r>
        <w:rPr>
          <w:rFonts w:ascii="宋体" w:hAnsi="宋体" w:cs="宋体"/>
          <w:spacing w:val="-3"/>
          <w:sz w:val="24"/>
        </w:rPr>
        <w:t>（</w:t>
      </w:r>
      <w:r>
        <w:rPr>
          <w:rFonts w:eastAsia="Times New Roman"/>
          <w:spacing w:val="-3"/>
          <w:sz w:val="24"/>
        </w:rPr>
        <w:t>2</w:t>
      </w:r>
      <w:r>
        <w:rPr>
          <w:rFonts w:ascii="宋体" w:hAnsi="宋体" w:cs="宋体"/>
          <w:spacing w:val="-3"/>
          <w:sz w:val="24"/>
        </w:rPr>
        <w:t>）连续分布的碎屑岩（</w:t>
      </w:r>
      <w:r>
        <w:rPr>
          <w:rFonts w:eastAsia="Times New Roman"/>
          <w:spacing w:val="-3"/>
          <w:sz w:val="24"/>
        </w:rPr>
        <w:t>N</w:t>
      </w:r>
      <w:r>
        <w:rPr>
          <w:rFonts w:ascii="宋体" w:hAnsi="宋体" w:cs="宋体"/>
          <w:spacing w:val="-3"/>
          <w:sz w:val="24"/>
        </w:rPr>
        <w:t>、</w:t>
      </w:r>
      <w:r>
        <w:rPr>
          <w:rFonts w:eastAsia="Times New Roman"/>
          <w:spacing w:val="-3"/>
          <w:sz w:val="24"/>
        </w:rPr>
        <w:t>E</w:t>
      </w:r>
      <w:r>
        <w:rPr>
          <w:rFonts w:ascii="宋体" w:hAnsi="宋体" w:cs="宋体"/>
          <w:spacing w:val="-3"/>
          <w:sz w:val="24"/>
        </w:rPr>
        <w:t>）裂隙孔隙水</w:t>
      </w:r>
    </w:p>
    <w:p w14:paraId="52C0A4F1" w14:textId="77777777" w:rsidR="00B14D53" w:rsidRDefault="00000000">
      <w:pPr>
        <w:spacing w:line="360" w:lineRule="auto"/>
        <w:ind w:firstLine="482"/>
        <w:rPr>
          <w:rFonts w:ascii="宋体" w:hAnsi="宋体" w:cs="宋体" w:hint="eastAsia"/>
          <w:sz w:val="24"/>
        </w:rPr>
      </w:pPr>
      <w:r>
        <w:rPr>
          <w:rFonts w:ascii="宋体" w:hAnsi="宋体" w:cs="宋体"/>
          <w:spacing w:val="-4"/>
          <w:sz w:val="24"/>
        </w:rPr>
        <w:t>主要近北东向分布于“依舒地堑</w:t>
      </w:r>
      <w:r>
        <w:rPr>
          <w:rFonts w:ascii="宋体" w:hAnsi="宋体" w:cs="宋体"/>
          <w:spacing w:val="-88"/>
          <w:sz w:val="24"/>
        </w:rPr>
        <w:t xml:space="preserve"> </w:t>
      </w:r>
      <w:r>
        <w:rPr>
          <w:rFonts w:ascii="宋体" w:hAnsi="宋体" w:cs="宋体"/>
          <w:spacing w:val="-4"/>
          <w:sz w:val="24"/>
        </w:rPr>
        <w:t>”中，丘陵边部亦零星可见，地堑中均</w:t>
      </w:r>
      <w:r>
        <w:rPr>
          <w:rFonts w:ascii="宋体" w:hAnsi="宋体" w:cs="宋体"/>
          <w:spacing w:val="-5"/>
          <w:sz w:val="24"/>
        </w:rPr>
        <w:t>埋藏</w:t>
      </w:r>
      <w:r>
        <w:rPr>
          <w:rFonts w:ascii="宋体" w:hAnsi="宋体" w:cs="宋体"/>
          <w:spacing w:val="-6"/>
          <w:sz w:val="24"/>
        </w:rPr>
        <w:t>于</w:t>
      </w:r>
      <w:r>
        <w:rPr>
          <w:rFonts w:eastAsia="Times New Roman"/>
          <w:spacing w:val="-6"/>
          <w:sz w:val="24"/>
        </w:rPr>
        <w:t>2.86~78.63m</w:t>
      </w:r>
      <w:r>
        <w:rPr>
          <w:rFonts w:ascii="宋体" w:hAnsi="宋体" w:cs="宋体"/>
          <w:spacing w:val="-6"/>
          <w:sz w:val="24"/>
        </w:rPr>
        <w:t>之下，水位埋深</w:t>
      </w:r>
      <w:r>
        <w:rPr>
          <w:rFonts w:eastAsia="Times New Roman"/>
          <w:spacing w:val="-6"/>
          <w:sz w:val="24"/>
        </w:rPr>
        <w:t>1.75~6.39m</w:t>
      </w:r>
      <w:r>
        <w:rPr>
          <w:rFonts w:ascii="宋体" w:hAnsi="宋体" w:cs="宋体"/>
          <w:spacing w:val="-6"/>
          <w:sz w:val="24"/>
        </w:rPr>
        <w:t>，承压。含水层岩性为弱胶结的砂岩、砂砾岩</w:t>
      </w:r>
      <w:r>
        <w:rPr>
          <w:rFonts w:ascii="宋体" w:hAnsi="宋体" w:cs="宋体"/>
          <w:spacing w:val="-7"/>
          <w:sz w:val="24"/>
        </w:rPr>
        <w:t>。</w:t>
      </w:r>
    </w:p>
    <w:p w14:paraId="4384864B" w14:textId="77777777" w:rsidR="00B14D53" w:rsidRDefault="00000000">
      <w:pPr>
        <w:spacing w:line="360" w:lineRule="auto"/>
        <w:rPr>
          <w:rFonts w:ascii="宋体" w:hAnsi="宋体" w:cs="宋体" w:hint="eastAsia"/>
          <w:sz w:val="24"/>
        </w:rPr>
      </w:pPr>
      <w:r>
        <w:rPr>
          <w:rFonts w:ascii="宋体" w:hAnsi="宋体" w:cs="宋体"/>
          <w:spacing w:val="-2"/>
          <w:sz w:val="24"/>
        </w:rPr>
        <w:t>（</w:t>
      </w:r>
      <w:r>
        <w:rPr>
          <w:rFonts w:eastAsia="Times New Roman"/>
          <w:spacing w:val="-2"/>
          <w:sz w:val="24"/>
        </w:rPr>
        <w:t>3</w:t>
      </w:r>
      <w:r>
        <w:rPr>
          <w:rFonts w:ascii="宋体" w:hAnsi="宋体" w:cs="宋体"/>
          <w:spacing w:val="-2"/>
          <w:sz w:val="24"/>
        </w:rPr>
        <w:t>）分布不均匀的基岩裂隙水</w:t>
      </w:r>
    </w:p>
    <w:p w14:paraId="4E20D5CB" w14:textId="77777777" w:rsidR="00B14D53" w:rsidRDefault="00000000">
      <w:pPr>
        <w:spacing w:line="360" w:lineRule="auto"/>
        <w:rPr>
          <w:rFonts w:ascii="宋体" w:hAnsi="宋体" w:cs="宋体" w:hint="eastAsia"/>
          <w:sz w:val="24"/>
        </w:rPr>
      </w:pPr>
      <w:r>
        <w:rPr>
          <w:rFonts w:ascii="宋体" w:hAnsi="宋体" w:cs="宋体"/>
          <w:spacing w:val="-1"/>
          <w:sz w:val="24"/>
        </w:rPr>
        <w:t>基岩裂隙水分为风化带裂隙水和基岩裂隙水：</w:t>
      </w:r>
    </w:p>
    <w:p w14:paraId="5CB6B1D3" w14:textId="77777777" w:rsidR="00B14D53" w:rsidRDefault="00000000">
      <w:pPr>
        <w:spacing w:line="360" w:lineRule="auto"/>
        <w:ind w:firstLine="486"/>
        <w:rPr>
          <w:rFonts w:ascii="宋体" w:hAnsi="宋体" w:cs="宋体" w:hint="eastAsia"/>
          <w:sz w:val="24"/>
        </w:rPr>
      </w:pPr>
      <w:r>
        <w:rPr>
          <w:rFonts w:ascii="宋体" w:hAnsi="宋体" w:cs="宋体"/>
          <w:spacing w:val="-2"/>
          <w:sz w:val="24"/>
        </w:rPr>
        <w:t>风化带裂隙水广泛分布于丘陵区外围高平原，埋藏于</w:t>
      </w:r>
      <w:r>
        <w:rPr>
          <w:rFonts w:eastAsia="Times New Roman"/>
          <w:spacing w:val="-2"/>
          <w:sz w:val="24"/>
        </w:rPr>
        <w:t>20~60m</w:t>
      </w:r>
      <w:r>
        <w:rPr>
          <w:rFonts w:ascii="宋体" w:hAnsi="宋体" w:cs="宋体"/>
          <w:spacing w:val="-2"/>
          <w:sz w:val="24"/>
        </w:rPr>
        <w:t>亚粘土之下、</w:t>
      </w:r>
      <w:r>
        <w:rPr>
          <w:rFonts w:ascii="宋体" w:hAnsi="宋体" w:cs="宋体"/>
          <w:spacing w:val="-3"/>
          <w:sz w:val="24"/>
        </w:rPr>
        <w:t>水位埋深</w:t>
      </w:r>
      <w:r>
        <w:rPr>
          <w:rFonts w:eastAsia="Times New Roman"/>
          <w:spacing w:val="-3"/>
          <w:sz w:val="24"/>
        </w:rPr>
        <w:t>1~15m</w:t>
      </w:r>
      <w:r>
        <w:rPr>
          <w:rFonts w:ascii="宋体" w:hAnsi="宋体" w:cs="宋体"/>
          <w:spacing w:val="-3"/>
          <w:sz w:val="24"/>
        </w:rPr>
        <w:t>，承压，承压水头</w:t>
      </w:r>
      <w:r>
        <w:rPr>
          <w:rFonts w:eastAsia="Times New Roman"/>
          <w:spacing w:val="-3"/>
          <w:sz w:val="24"/>
        </w:rPr>
        <w:t>15~25m</w:t>
      </w:r>
      <w:r>
        <w:rPr>
          <w:rFonts w:ascii="宋体" w:hAnsi="宋体" w:cs="宋体"/>
          <w:spacing w:val="-1"/>
          <w:sz w:val="24"/>
        </w:rPr>
        <w:t>。</w:t>
      </w:r>
    </w:p>
    <w:p w14:paraId="67D0C6C3" w14:textId="77777777" w:rsidR="00B14D53" w:rsidRDefault="00000000">
      <w:pPr>
        <w:pStyle w:val="afff"/>
        <w:adjustRightInd/>
        <w:snapToGrid/>
        <w:ind w:firstLine="468"/>
        <w:contextualSpacing/>
        <w:rPr>
          <w:rFonts w:ascii="宋体" w:eastAsia="宋体" w:hAnsi="宋体" w:cs="宋体" w:hint="eastAsia"/>
          <w:spacing w:val="-1"/>
        </w:rPr>
      </w:pPr>
      <w:r>
        <w:rPr>
          <w:rFonts w:ascii="宋体" w:eastAsia="宋体" w:hAnsi="宋体" w:cs="宋体"/>
          <w:spacing w:val="-3"/>
        </w:rPr>
        <w:t>基岩裂隙水赋存于低山丘陵之花岗岩、变质岩、火山碎屑岩的构造裂隙与风化裂隙中。含水性不均一，泉水流量</w:t>
      </w:r>
      <w:r>
        <w:rPr>
          <w:rFonts w:ascii="Times New Roman" w:eastAsia="Times New Roman" w:hAnsi="Times New Roman" w:cs="Times New Roman"/>
          <w:spacing w:val="-3"/>
        </w:rPr>
        <w:t>1~200m</w:t>
      </w:r>
      <w:r>
        <w:rPr>
          <w:rFonts w:ascii="Times New Roman" w:eastAsia="宋体" w:hAnsi="Times New Roman" w:cs="Times New Roman" w:hint="eastAsia"/>
          <w:spacing w:val="-3"/>
          <w:vertAlign w:val="superscript"/>
        </w:rPr>
        <w:t>3</w:t>
      </w:r>
      <w:r>
        <w:rPr>
          <w:rFonts w:ascii="Times New Roman" w:eastAsia="Times New Roman" w:hAnsi="Times New Roman" w:cs="Times New Roman"/>
          <w:spacing w:val="-3"/>
        </w:rPr>
        <w:t>/d</w:t>
      </w:r>
      <w:r>
        <w:rPr>
          <w:rFonts w:ascii="宋体" w:eastAsia="宋体" w:hAnsi="宋体" w:cs="宋体"/>
          <w:spacing w:val="-3"/>
        </w:rPr>
        <w:t>。在一些断裂附近，可形成局部</w:t>
      </w:r>
      <w:r>
        <w:rPr>
          <w:rFonts w:ascii="宋体" w:eastAsia="宋体" w:hAnsi="宋体" w:cs="宋体"/>
          <w:spacing w:val="-5"/>
        </w:rPr>
        <w:t>赋水破碎带。</w:t>
      </w:r>
    </w:p>
    <w:p w14:paraId="4F66223F" w14:textId="40130C73"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hyperlink r:id="rId43" w:history="1">
        <w:r>
          <w:rPr>
            <w:rFonts w:ascii="Times New Roman" w:eastAsia="黑体" w:hAnsi="Times New Roman" w:cs="Times New Roman"/>
            <w:b w:val="0"/>
            <w:bCs w:val="0"/>
            <w:sz w:val="24"/>
            <w:szCs w:val="24"/>
          </w:rPr>
          <w:t>4.1.3.</w:t>
        </w:r>
        <w:r>
          <w:rPr>
            <w:rFonts w:ascii="Times New Roman" w:eastAsia="黑体" w:hAnsi="Times New Roman" w:cs="Times New Roman" w:hint="eastAsia"/>
            <w:b w:val="0"/>
            <w:bCs w:val="0"/>
            <w:sz w:val="24"/>
            <w:szCs w:val="24"/>
          </w:rPr>
          <w:t>4</w:t>
        </w:r>
      </w:hyperlink>
      <w:r>
        <w:rPr>
          <w:rFonts w:ascii="Times New Roman" w:eastAsia="黑体" w:hAnsi="Times New Roman" w:cs="Times New Roman"/>
          <w:b w:val="0"/>
          <w:bCs w:val="0"/>
          <w:sz w:val="24"/>
          <w:szCs w:val="24"/>
        </w:rPr>
        <w:t>地下水补、径、排条件</w:t>
      </w:r>
    </w:p>
    <w:p w14:paraId="1C3CAAF3" w14:textId="77777777" w:rsidR="00B14D53" w:rsidRDefault="00000000">
      <w:pPr>
        <w:spacing w:line="360" w:lineRule="auto"/>
        <w:ind w:left="118" w:right="149" w:firstLine="478"/>
        <w:rPr>
          <w:rFonts w:ascii="宋体" w:hAnsi="宋体" w:cs="宋体" w:hint="eastAsia"/>
          <w:sz w:val="24"/>
        </w:rPr>
      </w:pPr>
      <w:r>
        <w:rPr>
          <w:rFonts w:ascii="宋体" w:hAnsi="宋体" w:cs="宋体"/>
          <w:spacing w:val="-3"/>
          <w:sz w:val="24"/>
        </w:rPr>
        <w:t>评价区地下水分布和埋藏特征主要受第四系松散沉积物控制。含水层岩性主</w:t>
      </w:r>
      <w:r>
        <w:rPr>
          <w:rFonts w:ascii="宋体" w:hAnsi="宋体" w:cs="宋体"/>
          <w:spacing w:val="-1"/>
          <w:sz w:val="24"/>
        </w:rPr>
        <w:t>要为粉砂、砂、含砾中粗砂和砂砾石。</w:t>
      </w:r>
    </w:p>
    <w:p w14:paraId="5E76DA82" w14:textId="77777777" w:rsidR="00B14D53" w:rsidRDefault="00000000">
      <w:pPr>
        <w:spacing w:line="360" w:lineRule="auto"/>
        <w:ind w:left="117" w:right="149" w:firstLine="483"/>
        <w:rPr>
          <w:sz w:val="24"/>
        </w:rPr>
      </w:pPr>
      <w:r>
        <w:rPr>
          <w:rFonts w:ascii="宋体" w:hAnsi="宋体" w:cs="宋体"/>
          <w:sz w:val="24"/>
        </w:rPr>
        <w:t>项目地处哈尔滨市五常市，种植作物为水稻，五生长季</w:t>
      </w:r>
      <w:r>
        <w:rPr>
          <w:sz w:val="24"/>
        </w:rPr>
        <w:t>节</w:t>
      </w:r>
      <w:r>
        <w:rPr>
          <w:sz w:val="24"/>
        </w:rPr>
        <w:t>4</w:t>
      </w:r>
      <w:r>
        <w:rPr>
          <w:rFonts w:hint="eastAsia"/>
          <w:sz w:val="24"/>
        </w:rPr>
        <w:t>月</w:t>
      </w:r>
      <w:r>
        <w:rPr>
          <w:rFonts w:hint="eastAsia"/>
          <w:sz w:val="24"/>
        </w:rPr>
        <w:t>~</w:t>
      </w:r>
      <w:r>
        <w:rPr>
          <w:sz w:val="24"/>
        </w:rPr>
        <w:t>9</w:t>
      </w:r>
      <w:r>
        <w:rPr>
          <w:sz w:val="24"/>
        </w:rPr>
        <w:t>月</w:t>
      </w:r>
      <w:r>
        <w:rPr>
          <w:rFonts w:ascii="宋体" w:hAnsi="宋体" w:cs="宋体"/>
          <w:sz w:val="24"/>
        </w:rPr>
        <w:t>，九月</w:t>
      </w:r>
      <w:r>
        <w:rPr>
          <w:rFonts w:ascii="宋体" w:hAnsi="宋体" w:cs="宋体"/>
          <w:spacing w:val="-3"/>
          <w:sz w:val="24"/>
        </w:rPr>
        <w:t>下旬为大米丰收的季节。天然条件下，总的地下水补给特点是：垂向上接受大气降水入渗补给和灌溉入渗补给；在水平方向上，潜水含水层由南西向北东形成补给。垂向上潜水含水层下部有一层稳定的淤泥质亚粘土隔水层，不存在来自下伏</w:t>
      </w:r>
      <w:r>
        <w:rPr>
          <w:rFonts w:ascii="宋体" w:hAnsi="宋体" w:cs="宋体"/>
          <w:spacing w:val="-2"/>
          <w:sz w:val="24"/>
        </w:rPr>
        <w:t>含水层的补给条件</w:t>
      </w:r>
      <w:r>
        <w:rPr>
          <w:spacing w:val="-2"/>
          <w:sz w:val="24"/>
        </w:rPr>
        <w:t>。</w:t>
      </w:r>
      <w:r>
        <w:rPr>
          <w:sz w:val="24"/>
        </w:rPr>
        <w:t>水力坡度约为</w:t>
      </w:r>
      <w:r>
        <w:rPr>
          <w:rFonts w:hint="eastAsia"/>
          <w:sz w:val="24"/>
        </w:rPr>
        <w:t>2</w:t>
      </w:r>
      <w:r>
        <w:rPr>
          <w:sz w:val="24"/>
        </w:rPr>
        <w:t>‰</w:t>
      </w:r>
      <w:r>
        <w:rPr>
          <w:sz w:val="24"/>
        </w:rPr>
        <w:t>。</w:t>
      </w:r>
    </w:p>
    <w:p w14:paraId="10A989D7" w14:textId="152A9061" w:rsidR="00B14D53" w:rsidRDefault="00000000">
      <w:pPr>
        <w:pStyle w:val="4"/>
        <w:spacing w:before="100" w:beforeAutospacing="1" w:after="0" w:line="240" w:lineRule="auto"/>
        <w:ind w:firstLineChars="200" w:firstLine="480"/>
        <w:rPr>
          <w:b w:val="0"/>
          <w:bCs w:val="0"/>
        </w:rPr>
      </w:pPr>
      <w:hyperlink r:id="rId44" w:history="1">
        <w:r>
          <w:rPr>
            <w:rFonts w:ascii="Times New Roman" w:eastAsia="黑体" w:hAnsi="Times New Roman" w:cs="Times New Roman"/>
            <w:b w:val="0"/>
            <w:bCs w:val="0"/>
            <w:sz w:val="24"/>
            <w:szCs w:val="24"/>
          </w:rPr>
          <w:t>4.1.3.</w:t>
        </w:r>
        <w:r>
          <w:rPr>
            <w:rFonts w:ascii="Times New Roman" w:eastAsia="黑体" w:hAnsi="Times New Roman" w:cs="Times New Roman" w:hint="eastAsia"/>
            <w:b w:val="0"/>
            <w:bCs w:val="0"/>
            <w:sz w:val="24"/>
            <w:szCs w:val="24"/>
          </w:rPr>
          <w:t>5</w:t>
        </w:r>
      </w:hyperlink>
      <w:r>
        <w:rPr>
          <w:rFonts w:ascii="Times New Roman" w:eastAsia="黑体" w:hAnsi="Times New Roman" w:cs="Times New Roman"/>
          <w:b w:val="0"/>
          <w:bCs w:val="0"/>
          <w:sz w:val="24"/>
          <w:szCs w:val="24"/>
        </w:rPr>
        <w:t>地下水开发利用现状</w:t>
      </w:r>
    </w:p>
    <w:p w14:paraId="5319C410" w14:textId="77777777" w:rsidR="00B14D53" w:rsidRDefault="00000000">
      <w:pPr>
        <w:spacing w:line="360" w:lineRule="auto"/>
        <w:ind w:left="117" w:right="149" w:firstLine="479"/>
        <w:rPr>
          <w:sz w:val="24"/>
        </w:rPr>
      </w:pPr>
      <w:r>
        <w:rPr>
          <w:spacing w:val="-3"/>
          <w:sz w:val="24"/>
        </w:rPr>
        <w:t>评价区地下水现状开采利用目的主要为区内居民生活饮用。区内地表水资源较丰富，主要以地表水引流渠灌为主解决农业灌溉用水，居民生活饮用水采用集中式地下深水井</w:t>
      </w:r>
      <w:r>
        <w:rPr>
          <w:spacing w:val="-1"/>
          <w:sz w:val="24"/>
        </w:rPr>
        <w:t>，兼顾灌溉用水，地下水开采量较小。评价区内主要为山河屯林业局集中供水水源地，共</w:t>
      </w:r>
      <w:r>
        <w:rPr>
          <w:spacing w:val="-1"/>
          <w:sz w:val="24"/>
        </w:rPr>
        <w:t>4</w:t>
      </w:r>
      <w:r>
        <w:rPr>
          <w:spacing w:val="-1"/>
          <w:sz w:val="24"/>
        </w:rPr>
        <w:t>眼供水井。</w:t>
      </w:r>
    </w:p>
    <w:p w14:paraId="1E83742E" w14:textId="77777777" w:rsidR="00B14D53" w:rsidRDefault="00B14D53">
      <w:pPr>
        <w:pStyle w:val="af2"/>
      </w:pPr>
    </w:p>
    <w:p w14:paraId="340CBE70" w14:textId="77777777" w:rsidR="00B14D53" w:rsidRDefault="00B14D53">
      <w:pPr>
        <w:pStyle w:val="afff"/>
        <w:adjustRightInd/>
        <w:snapToGrid/>
        <w:ind w:firstLine="468"/>
        <w:contextualSpacing/>
        <w:rPr>
          <w:rFonts w:ascii="宋体" w:eastAsia="宋体" w:hAnsi="宋体" w:cs="宋体" w:hint="eastAsia"/>
          <w:spacing w:val="-3"/>
        </w:rPr>
      </w:pPr>
    </w:p>
    <w:p w14:paraId="67F28B3A" w14:textId="77777777" w:rsidR="00B14D53" w:rsidRDefault="00B14D53">
      <w:pPr>
        <w:pStyle w:val="afff"/>
        <w:adjustRightInd/>
        <w:snapToGrid/>
        <w:ind w:firstLine="468"/>
        <w:contextualSpacing/>
        <w:rPr>
          <w:rFonts w:ascii="宋体" w:eastAsia="宋体" w:hAnsi="宋体" w:cs="宋体" w:hint="eastAsia"/>
          <w:spacing w:val="-3"/>
        </w:rPr>
        <w:sectPr w:rsidR="00B14D53">
          <w:pgSz w:w="11906" w:h="16838"/>
          <w:pgMar w:top="1440" w:right="1800" w:bottom="1440" w:left="1800" w:header="851" w:footer="992" w:gutter="0"/>
          <w:cols w:space="425"/>
          <w:docGrid w:type="lines" w:linePitch="312"/>
        </w:sectPr>
      </w:pPr>
    </w:p>
    <w:p w14:paraId="5ED42748" w14:textId="77777777" w:rsidR="00B14D53" w:rsidRDefault="00000000">
      <w:pPr>
        <w:pStyle w:val="afff"/>
        <w:adjustRightInd/>
        <w:snapToGrid/>
        <w:ind w:firstLineChars="0" w:firstLine="0"/>
        <w:contextualSpacing/>
        <w:jc w:val="center"/>
        <w:rPr>
          <w:position w:val="-250"/>
        </w:rPr>
      </w:pPr>
      <w:r>
        <w:rPr>
          <w:noProof/>
        </w:rPr>
        <w:drawing>
          <wp:inline distT="0" distB="0" distL="114300" distR="114300" wp14:anchorId="551CA4A8" wp14:editId="46E5921B">
            <wp:extent cx="6260465" cy="4888865"/>
            <wp:effectExtent l="9525" t="9525" r="16510" b="16510"/>
            <wp:docPr id="10" name="图片 10"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PS图片(1)"/>
                    <pic:cNvPicPr>
                      <a:picLocks noChangeAspect="1"/>
                    </pic:cNvPicPr>
                  </pic:nvPicPr>
                  <pic:blipFill>
                    <a:blip r:embed="rId45"/>
                    <a:stretch>
                      <a:fillRect/>
                    </a:stretch>
                  </pic:blipFill>
                  <pic:spPr>
                    <a:xfrm>
                      <a:off x="0" y="0"/>
                      <a:ext cx="6260465" cy="4888865"/>
                    </a:xfrm>
                    <a:prstGeom prst="rect">
                      <a:avLst/>
                    </a:prstGeom>
                    <a:ln w="6350">
                      <a:solidFill>
                        <a:schemeClr val="tx1"/>
                      </a:solidFill>
                    </a:ln>
                  </pic:spPr>
                </pic:pic>
              </a:graphicData>
            </a:graphic>
          </wp:inline>
        </w:drawing>
      </w:r>
      <w:r>
        <w:rPr>
          <w:noProof/>
        </w:rPr>
        <w:drawing>
          <wp:anchor distT="0" distB="0" distL="114300" distR="114300" simplePos="0" relativeHeight="251737088" behindDoc="0" locked="0" layoutInCell="1" allowOverlap="1" wp14:anchorId="7022DDD0" wp14:editId="04A463C3">
            <wp:simplePos x="0" y="0"/>
            <wp:positionH relativeFrom="column">
              <wp:posOffset>3918585</wp:posOffset>
            </wp:positionH>
            <wp:positionV relativeFrom="paragraph">
              <wp:posOffset>3617595</wp:posOffset>
            </wp:positionV>
            <wp:extent cx="151130" cy="254000"/>
            <wp:effectExtent l="38100" t="20955" r="20320" b="29845"/>
            <wp:wrapNone/>
            <wp:docPr id="310" name="图片 310" descr="潜水流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潜水流向"/>
                    <pic:cNvPicPr>
                      <a:picLocks noChangeAspect="1"/>
                    </pic:cNvPicPr>
                  </pic:nvPicPr>
                  <pic:blipFill>
                    <a:blip r:embed="rId46"/>
                    <a:stretch>
                      <a:fillRect/>
                    </a:stretch>
                  </pic:blipFill>
                  <pic:spPr>
                    <a:xfrm rot="1980000">
                      <a:off x="0" y="0"/>
                      <a:ext cx="151130" cy="254000"/>
                    </a:xfrm>
                    <a:prstGeom prst="rect">
                      <a:avLst/>
                    </a:prstGeom>
                  </pic:spPr>
                </pic:pic>
              </a:graphicData>
            </a:graphic>
          </wp:anchor>
        </w:drawing>
      </w:r>
      <w:r>
        <w:rPr>
          <w:noProof/>
        </w:rPr>
        <mc:AlternateContent>
          <mc:Choice Requires="wps">
            <w:drawing>
              <wp:anchor distT="0" distB="0" distL="114300" distR="114300" simplePos="0" relativeHeight="251736064" behindDoc="0" locked="0" layoutInCell="1" allowOverlap="1" wp14:anchorId="3193D23C" wp14:editId="0EF50996">
                <wp:simplePos x="0" y="0"/>
                <wp:positionH relativeFrom="column">
                  <wp:posOffset>3887470</wp:posOffset>
                </wp:positionH>
                <wp:positionV relativeFrom="paragraph">
                  <wp:posOffset>4194810</wp:posOffset>
                </wp:positionV>
                <wp:extent cx="76835" cy="90805"/>
                <wp:effectExtent l="12700" t="12700" r="24765" b="29845"/>
                <wp:wrapNone/>
                <wp:docPr id="308" name="五角星 308"/>
                <wp:cNvGraphicFramePr/>
                <a:graphic xmlns:a="http://schemas.openxmlformats.org/drawingml/2006/main">
                  <a:graphicData uri="http://schemas.microsoft.com/office/word/2010/wordprocessingShape">
                    <wps:wsp>
                      <wps:cNvSpPr/>
                      <wps:spPr>
                        <a:xfrm>
                          <a:off x="0" y="0"/>
                          <a:ext cx="76835" cy="9080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306.1pt;margin-top:330.3pt;height:7.15pt;width:6.05pt;z-index:251736064;v-text-anchor:middle;mso-width-relative:page;mso-height-relative:page;" fillcolor="#FF0000" filled="t" stroked="t" coordsize="76835,90805" o:gfxdata="UEsDBAoAAAAAAIdO4kAAAAAAAAAAAAAAAAAEAAAAZHJzL1BLAwQUAAAACACHTuJA9oVweNkAAAAL&#10;AQAADwAAAGRycy9kb3ducmV2LnhtbE2Pu07EMBBFeyT+wRokOtZOWAKEOCuEREED2gcFndce4oAf&#10;UezNBr6eoYLujubozplmNXvHJhxTH4OEYiGAYdDR9KGTsNs+XtwAS1kFo1wMKOELE6za05NG1SYe&#10;wxqnTe4YlYRUKwk256HmPGmLXqVFHDDQ7j2OXmUax46bUR2p3DteClFxr/pAF6wa8MGi/twcvIT+&#10;Yyf0rO2Te8aXtP1+fbP305WU52eFuAOWcc5/MPzqkzq05LSPh2AScxKqoiwJpVCJChgRVbm8BLan&#10;cL28Bd42/P8P7Q9QSwMEFAAAAAgAh07iQKhYlsdnAgAA4gQAAA4AAABkcnMvZTJvRG9jLnhtbK1U&#10;zW4TMRC+I/EOlu90N2nSn6ibKmoUhFTRSAVxdrx21pL/GDvZlMdAHLhx5B14HoR4DMbebZsWDjmw&#10;B++MZ/zNzOcZX1zujCZbAUE5W9HBUUmJsNzVyq4r+v7d4tUZJSEyWzPtrKjonQj0cvryxUXrJ2Lo&#10;GqdrAQRBbJi0vqJNjH5SFIE3wrBw5LywaJQODIuowrqogbWIbnQxLMuTonVQe3BchIC7885Ie0Q4&#10;BNBJqbiYO74xwsYOFYRmEUsKjfKBTnO2Ugoeb6QMIhJdUaw05hWDoLxKazG9YJM1MN8o3qfADknh&#10;WU2GKYtBH6DmLDKyAfUXlFEcXHAyHnFniq6QzAhWMSifcXPbMC9yLUh18A+kh/8Hy99ul0BUXdHj&#10;Ei/eMoNX/vPHl9/fP//6+o2kTaSo9WGCnrd+Cb0WUEz17iSY9MdKyC7TevdAq9hFwnHz9OTseEwJ&#10;R8t5eVaOE2LxeNRDiK+FMyQJFcXeg3Hmkm2vQ+x8731SqOC0qhdK66zAenWlgWwZXvBiUeLXwz9x&#10;05a0FR2OR2gmnGHbSmwXFI3H0oNdU8L0GueBR8ixn5wOhwVJSc5ZaLpkMkKfi7ZYcSKxoy1JK1ff&#10;IfPgupYMni8Unr9mIS4ZYA9iojil8QYXqR1m73qJksbBp3/tJ39sDbRS0mJPY2UfNwwEJfqNxaY5&#10;H4xGaQiyMhqfDlGBfctq32I35sohqwN8DzzPYvKP+l6U4MwHHOZZioomZjnG7jjslavYzRo+B1zM&#10;ZtkNG9+zeG1vPU/g6Ratm22ikyrf9iM7PWnY+rlh+jFNs7WvZ6/Hp2n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aFcHjZAAAACwEAAA8AAAAAAAAAAQAgAAAAIgAAAGRycy9kb3ducmV2LnhtbFBL&#10;AQIUABQAAAAIAIdO4kCoWJbHZwIAAOIEAAAOAAAAAAAAAAEAIAAAACgBAABkcnMvZTJvRG9jLnht&#10;bFBLBQYAAAAABgAGAFkBAAABBgAAAAA=&#10;" path="m0,34684l29348,34684,38417,0,47486,34684,76834,34684,53091,56120,62160,90804,38417,69368,14674,90804,23743,56120xe">
                <v:path o:connectlocs="38417,0;0,34684;14674,90804;62160,90804;76834,34684" o:connectangles="247,164,82,82,0"/>
                <v:fill on="t" focussize="0,0"/>
                <v:stroke weight="2pt" color="#FF0000 [2404]" joinstyle="round"/>
                <v:imagedata o:title=""/>
                <o:lock v:ext="edit" aspectratio="f"/>
              </v:shape>
            </w:pict>
          </mc:Fallback>
        </mc:AlternateContent>
      </w:r>
      <w:r>
        <w:rPr>
          <w:noProof/>
        </w:rPr>
        <mc:AlternateContent>
          <mc:Choice Requires="wps">
            <w:drawing>
              <wp:anchor distT="0" distB="0" distL="114300" distR="114300" simplePos="0" relativeHeight="251735040" behindDoc="0" locked="0" layoutInCell="1" allowOverlap="1" wp14:anchorId="697D8566" wp14:editId="0F7385F4">
                <wp:simplePos x="0" y="0"/>
                <wp:positionH relativeFrom="column">
                  <wp:posOffset>6412865</wp:posOffset>
                </wp:positionH>
                <wp:positionV relativeFrom="paragraph">
                  <wp:posOffset>4311015</wp:posOffset>
                </wp:positionV>
                <wp:extent cx="76835" cy="90805"/>
                <wp:effectExtent l="12700" t="12700" r="24765" b="29845"/>
                <wp:wrapNone/>
                <wp:docPr id="307" name="五角星 307"/>
                <wp:cNvGraphicFramePr/>
                <a:graphic xmlns:a="http://schemas.openxmlformats.org/drawingml/2006/main">
                  <a:graphicData uri="http://schemas.microsoft.com/office/word/2010/wordprocessingShape">
                    <wps:wsp>
                      <wps:cNvSpPr/>
                      <wps:spPr>
                        <a:xfrm>
                          <a:off x="7294245" y="5308600"/>
                          <a:ext cx="76835" cy="9080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504.95pt;margin-top:339.45pt;height:7.15pt;width:6.05pt;z-index:251735040;v-text-anchor:middle;mso-width-relative:page;mso-height-relative:page;" fillcolor="#FF0000" filled="t" stroked="t" coordsize="76835,90805" o:gfxdata="UEsDBAoAAAAAAIdO4kAAAAAAAAAAAAAAAAAEAAAAZHJzL1BLAwQUAAAACACHTuJAttAO1NoAAAAN&#10;AQAADwAAAGRycy9kb3ducmV2LnhtbE2PzU7DMBCE70i8g7VI3KjdIEoT4lQIiQMXKtpy4ObaSxzw&#10;TxS7aejTsz3BbWd3NPtNvZq8YyMOqYtBwnwmgGHQ0XShlbDbPt8sgaWsglEuBpTwgwlWzeVFrSoT&#10;j+ENx01uGYWEVCkJNue+4jxpi16lWewx0O0zDl5lkkPLzaCOFO4dL4RYcK+6QB+s6vHJov7eHLyE&#10;7msn9KTti3vFddqe3j/s43gn5fXVXDwAyzjlPzOc8QkdGmLax0MwiTnSQpQleSUs7pc0nC2iKKjf&#10;nlblbQG8qfn/Fs0vUEsDBBQAAAAIAIdO4kBjV8IBcwIAAO4EAAAOAAAAZHJzL2Uyb0RvYy54bWyt&#10;VM1uEzEQviPxDpbvdDdp0qZRNlXUKAipopUK4ux47awl/zF2simPgThw48g78DwI8RiMvds2LRx6&#10;IAdnxjP7zcw3M56d740mOwFBOVvRwVFJibDc1cpuKvr+3erVhJIQma2ZdlZU9FYEej5/+WLW+qkY&#10;usbpWgBBEBumra9oE6OfFkXgjTAsHDkvLBqlA8MiqrApamAtohtdDMvypGgd1B4cFyHg7bIz0h4R&#10;ngPopFRcLB3fGmFjhwpCs4glhUb5QOc5WykFj1dSBhGJrihWGvOJQVBep7OYz9h0A8w3ivcpsOek&#10;8KQmw5TFoPdQSxYZ2YL6C8ooDi44GY+4M0VXSGYEqxiUT7i5aZgXuRakOvh70sP/g+Vvd9dAVF3R&#10;4/KUEssMtvznjy+/v3/+9fUbSZdIUevDFD1v/DX0WkAx1buXYNI/VkL2FT0dno2GozEltxUdH5eT&#10;k7KnWOwj4cnhZHKMZo72s3JSjhN68QDjIcTXwhmShIriHMI488p2lyF2vnc+KWxwWtUrpXVWYLO+&#10;0EB2DJu9WpX46+EfuWlL2ooOxyM0E85whCWODorGIw3BbihheoO7wSPk2I++Ds8LkpJcstB0yWSE&#10;PhdtseJEaEdhktauvsUugOvGM3i+Uvj9JQvxmgHOIyaKGxuv8JDaYfaulyhpHHz6133yxzFBKyUt&#10;zjdW9nHLQFCi31gcoLPBaJQWIiuj8ekQFTi0rA8tdmsuHLI6wLfB8ywm/6jvRAnOfMDFXqSoaGKW&#10;Y+yOw165iN3e4dPAxWKR3XAJPIuX9sbzBJ66aN1iG51UudsP7PSk4RrkgelXNu3ZoZ69Hp6p+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20A7U2gAAAA0BAAAPAAAAAAAAAAEAIAAAACIAAABkcnMv&#10;ZG93bnJldi54bWxQSwECFAAUAAAACACHTuJAY1fCAXMCAADuBAAADgAAAAAAAAABACAAAAApAQAA&#10;ZHJzL2Uyb0RvYy54bWxQSwUGAAAAAAYABgBZAQAADgYAAAAA&#10;" path="m0,34684l29348,34684,38417,0,47486,34684,76834,34684,53091,56120,62160,90804,38417,69368,14674,90804,23743,56120xe">
                <v:path o:connectlocs="38417,0;0,34684;14674,90804;62160,90804;76834,34684" o:connectangles="247,164,82,82,0"/>
                <v:fill on="t" focussize="0,0"/>
                <v:stroke weight="2pt" color="#FF0000 [2404]" joinstyle="round"/>
                <v:imagedata o:title=""/>
                <o:lock v:ext="edit" aspectratio="f"/>
              </v:shape>
            </w:pict>
          </mc:Fallback>
        </mc:AlternateContent>
      </w:r>
      <w:r>
        <w:rPr>
          <w:noProof/>
        </w:rPr>
        <mc:AlternateContent>
          <mc:Choice Requires="wps">
            <w:drawing>
              <wp:anchor distT="0" distB="0" distL="114300" distR="114300" simplePos="0" relativeHeight="251734016" behindDoc="0" locked="0" layoutInCell="1" allowOverlap="1" wp14:anchorId="5DE6AAB2" wp14:editId="752F4C52">
                <wp:simplePos x="0" y="0"/>
                <wp:positionH relativeFrom="column">
                  <wp:posOffset>5957570</wp:posOffset>
                </wp:positionH>
                <wp:positionV relativeFrom="paragraph">
                  <wp:posOffset>4199255</wp:posOffset>
                </wp:positionV>
                <wp:extent cx="640715" cy="294640"/>
                <wp:effectExtent l="0" t="0" r="6985" b="10160"/>
                <wp:wrapNone/>
                <wp:docPr id="306" name="矩形 306"/>
                <wp:cNvGraphicFramePr/>
                <a:graphic xmlns:a="http://schemas.openxmlformats.org/drawingml/2006/main">
                  <a:graphicData uri="http://schemas.microsoft.com/office/word/2010/wordprocessingShape">
                    <wps:wsp>
                      <wps:cNvSpPr/>
                      <wps:spPr>
                        <a:xfrm>
                          <a:off x="6871970" y="5182235"/>
                          <a:ext cx="640715" cy="29464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6BDD115" w14:textId="77777777" w:rsidR="00B14D53" w:rsidRDefault="00000000">
                            <w:pPr>
                              <w:rPr>
                                <w:sz w:val="10"/>
                                <w:szCs w:val="10"/>
                              </w:rPr>
                            </w:pPr>
                            <w:r>
                              <w:rPr>
                                <w:rFonts w:hint="eastAsia"/>
                                <w:color w:val="000000" w:themeColor="text1"/>
                                <w:sz w:val="10"/>
                                <w:szCs w:val="10"/>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69.1pt;margin-top:330.65pt;height:23.2pt;width:50.45pt;z-index:251734016;v-text-anchor:middle;mso-width-relative:page;mso-height-relative:page;" fillcolor="#FFFFFF [3212]" filled="t" stroked="f" coordsize="21600,21600" o:gfxdata="UEsDBAoAAAAAAIdO4kAAAAAAAAAAAAAAAAAEAAAAZHJzL1BLAwQUAAAACACHTuJAExiHYtcAAAAM&#10;AQAADwAAAGRycy9kb3ducmV2LnhtbE2PwW6DMBBE75X6D9ZW6q2xgQoSyhKplaqem0Q5G9gACl4j&#10;20no39c5tcfVPM28rbaLmcSVnB8tIyQrBYK4td3IPcJh//myBuGD5k5Plgnhhzxs68eHSpedvfE3&#10;XXehF7GEfakRhhDmUkrfDmS0X9mZOGYn64wO8XS97Jy+xXIzyVSpXBo9clwY9EwfA7Xn3cUgyPBF&#10;5/2SHjlTr7p5d6fDcZaIz0+JegMRaAl/MNz1ozrU0amxF+68mBA22TqNKEKeJxmIO6GyTQKiQShU&#10;UYCsK/n/ifoXUEsDBBQAAAAIAIdO4kBpRPyPcQIAAM4EAAAOAAAAZHJzL2Uyb0RvYy54bWytVEtu&#10;2zAQ3RfoHQjuG0mOHSeG5cCw4aJA0ARIi65pirIE8FeStpxepkB3PUSPU/QafaSUT9MusqgX9Axn&#10;8N7M44zml0clyUE43xpd0uIkp0RobqpW70r68cPmzTklPjBdMWm0KOmd8PRy8frVvLMzMTKNkZVw&#10;BCDazzpb0iYEO8syzxuhmD8xVmgEa+MUC3DdLqsc64CuZDbK87OsM66yznDhPW7XfZAOiO4lgKau&#10;Wy7Whu+V0KFHdUKygJZ801pPF6nauhY8XNe1F4HIkqLTkE6QwN7GM1vM2WznmG1aPpTAXlLCs54U&#10;azVIH6DWLDCyd+1fUKrlznhThxNuVNY3khRBF0X+TJvbhlmReoHU3j6I7v8fLH9/uHGkrUp6mp9R&#10;opnCk//6+v3nj28k3kCfzvoZ0m7tjRs8DzM2e6ydiv9ogxxLenY+LS6mUPaupJPifDQ6nfT6imMg&#10;PCaM82kxoYQjYXQxhhvj2SOQdT68FUaRaJTU4fmSquxw5UOfep8Seb2RbbVppUyO221X0pEDw1Nv&#10;0m9A/yNNatKBfTLOUShnGOAagwNTWYjg9Y4SJnfYDB5c4tYmMoCczSL3mvmm50iwA4XU6CMK1UsT&#10;rXDcHge9tqa6g8rO9OPnLd+0gLpiPtwwh3lDKdjIcI2jlgb1mcGipDHuy7/uYz7GAFFKOswvav+8&#10;Z05QIt9pDMhFMYa8JCRnPJmO4Linke3TiN6rlYFuBXbf8mTG/CDvzdoZ9QmLu4ysCDHNwd2rNDir&#10;0O8VVp+L5TKlYcgtC1f61vIIHkXUZrkPpm7Te0ahenUG/TDmaSKGlYx79NRPWY+fo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xiHYtcAAAAMAQAADwAAAAAAAAABACAAAAAiAAAAZHJzL2Rvd25y&#10;ZXYueG1sUEsBAhQAFAAAAAgAh07iQGlE/I9xAgAAzgQAAA4AAAAAAAAAAQAgAAAAJgEAAGRycy9l&#10;Mm9Eb2MueG1sUEsFBgAAAAAGAAYAWQEAAAkGAAAAAA==&#10;">
                <v:fill on="t" focussize="0,0"/>
                <v:stroke on="f" weight="2pt"/>
                <v:imagedata o:title=""/>
                <o:lock v:ext="edit" aspectratio="f"/>
                <v:textbox>
                  <w:txbxContent>
                    <w:p w14:paraId="1ED7D894">
                      <w:pPr>
                        <w:jc w:val="both"/>
                        <w:rPr>
                          <w:rFonts w:hint="default" w:eastAsia="宋体"/>
                          <w:sz w:val="10"/>
                          <w:szCs w:val="10"/>
                          <w:lang w:val="en-US" w:eastAsia="zh-CN"/>
                        </w:rPr>
                      </w:pPr>
                      <w:r>
                        <w:rPr>
                          <w:rFonts w:hint="eastAsia"/>
                          <w:color w:val="000000" w:themeColor="text1"/>
                          <w:sz w:val="10"/>
                          <w:szCs w:val="10"/>
                          <w:lang w:val="en-US" w:eastAsia="zh-CN"/>
                          <w14:textFill>
                            <w14:solidFill>
                              <w14:schemeClr w14:val="tx1"/>
                            </w14:solidFill>
                          </w14:textFill>
                        </w:rPr>
                        <w:t>项目位置</w:t>
                      </w:r>
                    </w:p>
                  </w:txbxContent>
                </v:textbox>
              </v:rect>
            </w:pict>
          </mc:Fallback>
        </mc:AlternateContent>
      </w:r>
    </w:p>
    <w:p w14:paraId="0BF3CEA0" w14:textId="77777777" w:rsidR="00B14D53" w:rsidRDefault="00000000">
      <w:pPr>
        <w:jc w:val="center"/>
        <w:rPr>
          <w:b/>
          <w:bCs/>
        </w:rPr>
      </w:pPr>
      <w:r>
        <w:rPr>
          <w:rFonts w:hint="eastAsia"/>
          <w:b/>
          <w:bCs/>
        </w:rPr>
        <w:t>图</w:t>
      </w:r>
      <w:r>
        <w:rPr>
          <w:rFonts w:hint="eastAsia"/>
          <w:b/>
          <w:bCs/>
        </w:rPr>
        <w:t xml:space="preserve">4.1-3 </w:t>
      </w:r>
      <w:r>
        <w:rPr>
          <w:rFonts w:hint="eastAsia"/>
          <w:b/>
          <w:bCs/>
        </w:rPr>
        <w:t>区域水文地质图（</w:t>
      </w:r>
      <w:r>
        <w:rPr>
          <w:rFonts w:hint="eastAsia"/>
          <w:b/>
          <w:bCs/>
        </w:rPr>
        <w:t>1:50000</w:t>
      </w:r>
      <w:r>
        <w:rPr>
          <w:rFonts w:hint="eastAsia"/>
          <w:b/>
          <w:bCs/>
        </w:rPr>
        <w:t>）</w:t>
      </w:r>
    </w:p>
    <w:p w14:paraId="234A7EF5" w14:textId="77777777" w:rsidR="00B14D53" w:rsidRDefault="00B14D53">
      <w:pPr>
        <w:pStyle w:val="afff"/>
        <w:adjustRightInd/>
        <w:snapToGrid/>
        <w:ind w:firstLine="476"/>
        <w:contextualSpacing/>
        <w:rPr>
          <w:rFonts w:ascii="宋体" w:eastAsia="宋体" w:hAnsi="宋体" w:cs="宋体" w:hint="eastAsia"/>
          <w:spacing w:val="-1"/>
        </w:rPr>
        <w:sectPr w:rsidR="00B14D53">
          <w:pgSz w:w="16838" w:h="11906" w:orient="landscape"/>
          <w:pgMar w:top="1800" w:right="1440" w:bottom="1800" w:left="1440" w:header="851" w:footer="992" w:gutter="0"/>
          <w:cols w:space="425"/>
          <w:docGrid w:type="lines" w:linePitch="312"/>
        </w:sectPr>
      </w:pPr>
    </w:p>
    <w:p w14:paraId="7BF544A2"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193" w:name="_Toc8389"/>
      <w:bookmarkEnd w:id="192"/>
      <w:r>
        <w:rPr>
          <w:rFonts w:ascii="Times New Roman" w:eastAsia="黑体" w:hAnsi="Times New Roman" w:cs="Times New Roman"/>
          <w:b w:val="0"/>
          <w:bCs w:val="0"/>
          <w:sz w:val="30"/>
          <w:szCs w:val="30"/>
        </w:rPr>
        <w:t>4.2</w:t>
      </w:r>
      <w:r>
        <w:rPr>
          <w:rFonts w:ascii="Times New Roman" w:eastAsia="黑体" w:hAnsi="Times New Roman" w:cs="Times New Roman"/>
          <w:b w:val="0"/>
          <w:bCs w:val="0"/>
          <w:sz w:val="30"/>
          <w:szCs w:val="30"/>
        </w:rPr>
        <w:t>环境质量现状调查</w:t>
      </w:r>
      <w:bookmarkEnd w:id="193"/>
    </w:p>
    <w:p w14:paraId="0B56ED92"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4.2.1</w:t>
      </w:r>
      <w:r>
        <w:rPr>
          <w:rFonts w:ascii="Times New Roman" w:eastAsia="黑体" w:hAnsi="Times New Roman" w:cs="Times New Roman"/>
          <w:sz w:val="28"/>
          <w:szCs w:val="28"/>
        </w:rPr>
        <w:t>环境空气质量现状评价</w:t>
      </w:r>
    </w:p>
    <w:p w14:paraId="20E4B11D"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4.2.1.1</w:t>
      </w:r>
      <w:r>
        <w:rPr>
          <w:rFonts w:ascii="Times New Roman" w:eastAsia="黑体" w:hAnsi="Times New Roman" w:cs="Times New Roman"/>
          <w:b w:val="0"/>
          <w:bCs w:val="0"/>
          <w:sz w:val="24"/>
          <w:szCs w:val="24"/>
        </w:rPr>
        <w:t>区域基本污染物环境质量达标情况</w:t>
      </w:r>
    </w:p>
    <w:p w14:paraId="006B6C6C" w14:textId="77777777" w:rsidR="00B14D53" w:rsidRDefault="00000000">
      <w:pPr>
        <w:spacing w:line="360" w:lineRule="auto"/>
        <w:ind w:firstLineChars="200" w:firstLine="480"/>
        <w:rPr>
          <w:rFonts w:eastAsiaTheme="minorEastAsia"/>
          <w:sz w:val="24"/>
        </w:rPr>
      </w:pPr>
      <w:r>
        <w:rPr>
          <w:rFonts w:eastAsiaTheme="minorEastAsia" w:hint="eastAsia"/>
          <w:sz w:val="24"/>
        </w:rPr>
        <w:t>根据</w:t>
      </w:r>
      <w:r>
        <w:rPr>
          <w:rFonts w:eastAsiaTheme="minorEastAsia" w:hint="eastAsia"/>
          <w:sz w:val="24"/>
          <w:lang w:val="zh-CN"/>
        </w:rPr>
        <w:t>《</w:t>
      </w:r>
      <w:r>
        <w:rPr>
          <w:rFonts w:eastAsiaTheme="minorEastAsia" w:hint="eastAsia"/>
          <w:sz w:val="24"/>
        </w:rPr>
        <w:t>2024</w:t>
      </w:r>
      <w:r>
        <w:rPr>
          <w:rFonts w:eastAsiaTheme="minorEastAsia" w:hint="eastAsia"/>
          <w:sz w:val="24"/>
        </w:rPr>
        <w:t>年哈尔滨生态环境质量状况年报</w:t>
      </w:r>
      <w:r>
        <w:rPr>
          <w:rFonts w:eastAsiaTheme="minorEastAsia" w:hint="eastAsia"/>
          <w:sz w:val="24"/>
          <w:lang w:val="zh-CN"/>
        </w:rPr>
        <w:t>》</w:t>
      </w:r>
      <w:r>
        <w:rPr>
          <w:rFonts w:eastAsiaTheme="minorEastAsia" w:hint="eastAsia"/>
          <w:sz w:val="24"/>
        </w:rPr>
        <w:t>，</w:t>
      </w:r>
      <w:r>
        <w:rPr>
          <w:rFonts w:eastAsiaTheme="minorEastAsia" w:hint="eastAsia"/>
          <w:sz w:val="24"/>
        </w:rPr>
        <w:t>2024</w:t>
      </w:r>
      <w:r>
        <w:rPr>
          <w:rFonts w:eastAsiaTheme="minorEastAsia" w:hint="eastAsia"/>
          <w:sz w:val="24"/>
        </w:rPr>
        <w:t>年哈尔滨市细颗粒物浓度</w:t>
      </w:r>
      <w:r>
        <w:rPr>
          <w:rFonts w:eastAsiaTheme="minorEastAsia" w:hint="eastAsia"/>
          <w:sz w:val="24"/>
        </w:rPr>
        <w:t>40</w:t>
      </w:r>
      <w:r>
        <w:rPr>
          <w:rFonts w:eastAsiaTheme="minorEastAsia" w:hint="eastAsia"/>
          <w:sz w:val="24"/>
        </w:rPr>
        <w:t>微克</w:t>
      </w:r>
      <w:r>
        <w:rPr>
          <w:rFonts w:eastAsiaTheme="minorEastAsia" w:hint="eastAsia"/>
          <w:sz w:val="24"/>
        </w:rPr>
        <w:t>/</w:t>
      </w:r>
      <w:r>
        <w:rPr>
          <w:rFonts w:eastAsiaTheme="minorEastAsia" w:hint="eastAsia"/>
          <w:sz w:val="24"/>
        </w:rPr>
        <w:t>立方米；可吸入颗粒物浓度</w:t>
      </w:r>
      <w:r>
        <w:rPr>
          <w:rFonts w:eastAsiaTheme="minorEastAsia" w:hint="eastAsia"/>
          <w:sz w:val="24"/>
        </w:rPr>
        <w:t>62</w:t>
      </w:r>
      <w:r>
        <w:rPr>
          <w:rFonts w:eastAsiaTheme="minorEastAsia" w:hint="eastAsia"/>
          <w:sz w:val="24"/>
        </w:rPr>
        <w:t>微克</w:t>
      </w:r>
      <w:r>
        <w:rPr>
          <w:rFonts w:eastAsiaTheme="minorEastAsia" w:hint="eastAsia"/>
          <w:sz w:val="24"/>
        </w:rPr>
        <w:t>/</w:t>
      </w:r>
      <w:r>
        <w:rPr>
          <w:rFonts w:eastAsiaTheme="minorEastAsia" w:hint="eastAsia"/>
          <w:sz w:val="24"/>
        </w:rPr>
        <w:t>立方米；二氧化氮浓度</w:t>
      </w:r>
      <w:r>
        <w:rPr>
          <w:rFonts w:eastAsiaTheme="minorEastAsia" w:hint="eastAsia"/>
          <w:sz w:val="24"/>
        </w:rPr>
        <w:t>29</w:t>
      </w:r>
      <w:r>
        <w:rPr>
          <w:rFonts w:eastAsiaTheme="minorEastAsia" w:hint="eastAsia"/>
          <w:sz w:val="24"/>
        </w:rPr>
        <w:t>微克</w:t>
      </w:r>
      <w:r>
        <w:rPr>
          <w:rFonts w:eastAsiaTheme="minorEastAsia" w:hint="eastAsia"/>
          <w:sz w:val="24"/>
        </w:rPr>
        <w:t>/</w:t>
      </w:r>
      <w:r>
        <w:rPr>
          <w:rFonts w:eastAsiaTheme="minorEastAsia" w:hint="eastAsia"/>
          <w:sz w:val="24"/>
        </w:rPr>
        <w:t>立方米，二氧化硫</w:t>
      </w:r>
      <w:r>
        <w:rPr>
          <w:rFonts w:eastAsiaTheme="minorEastAsia" w:hint="eastAsia"/>
          <w:sz w:val="24"/>
        </w:rPr>
        <w:t>10</w:t>
      </w:r>
      <w:r>
        <w:rPr>
          <w:rFonts w:eastAsiaTheme="minorEastAsia" w:hint="eastAsia"/>
          <w:sz w:val="24"/>
        </w:rPr>
        <w:t>微克</w:t>
      </w:r>
      <w:r>
        <w:rPr>
          <w:rFonts w:eastAsiaTheme="minorEastAsia" w:hint="eastAsia"/>
          <w:sz w:val="24"/>
        </w:rPr>
        <w:t>/</w:t>
      </w:r>
      <w:r>
        <w:rPr>
          <w:rFonts w:eastAsiaTheme="minorEastAsia" w:hint="eastAsia"/>
          <w:sz w:val="24"/>
        </w:rPr>
        <w:t>立方米；一氧化碳第</w:t>
      </w:r>
      <w:r>
        <w:rPr>
          <w:rFonts w:eastAsiaTheme="minorEastAsia" w:hint="eastAsia"/>
          <w:sz w:val="24"/>
        </w:rPr>
        <w:t>95</w:t>
      </w:r>
      <w:r>
        <w:rPr>
          <w:rFonts w:eastAsiaTheme="minorEastAsia" w:hint="eastAsia"/>
          <w:sz w:val="24"/>
        </w:rPr>
        <w:t>百分位浓度</w:t>
      </w:r>
      <w:r>
        <w:rPr>
          <w:rFonts w:eastAsiaTheme="minorEastAsia" w:hint="eastAsia"/>
          <w:sz w:val="24"/>
        </w:rPr>
        <w:t>1.1</w:t>
      </w:r>
      <w:r>
        <w:rPr>
          <w:rFonts w:eastAsiaTheme="minorEastAsia" w:hint="eastAsia"/>
          <w:sz w:val="24"/>
        </w:rPr>
        <w:t>毫克</w:t>
      </w:r>
      <w:r>
        <w:rPr>
          <w:rFonts w:eastAsiaTheme="minorEastAsia" w:hint="eastAsia"/>
          <w:sz w:val="24"/>
        </w:rPr>
        <w:t>/</w:t>
      </w:r>
      <w:r>
        <w:rPr>
          <w:rFonts w:eastAsiaTheme="minorEastAsia" w:hint="eastAsia"/>
          <w:sz w:val="24"/>
        </w:rPr>
        <w:t>立方米；臭氧第</w:t>
      </w:r>
      <w:r>
        <w:rPr>
          <w:rFonts w:eastAsiaTheme="minorEastAsia" w:hint="eastAsia"/>
          <w:sz w:val="24"/>
        </w:rPr>
        <w:t>90</w:t>
      </w:r>
      <w:r>
        <w:rPr>
          <w:rFonts w:eastAsiaTheme="minorEastAsia" w:hint="eastAsia"/>
          <w:sz w:val="24"/>
        </w:rPr>
        <w:t>百分位数浓度</w:t>
      </w:r>
      <w:r>
        <w:rPr>
          <w:rFonts w:eastAsiaTheme="minorEastAsia" w:hint="eastAsia"/>
          <w:sz w:val="24"/>
        </w:rPr>
        <w:t>118</w:t>
      </w:r>
      <w:r>
        <w:rPr>
          <w:rFonts w:eastAsiaTheme="minorEastAsia" w:hint="eastAsia"/>
          <w:sz w:val="24"/>
        </w:rPr>
        <w:t>微克</w:t>
      </w:r>
      <w:r>
        <w:rPr>
          <w:rFonts w:eastAsiaTheme="minorEastAsia" w:hint="eastAsia"/>
          <w:sz w:val="24"/>
        </w:rPr>
        <w:t>/</w:t>
      </w:r>
      <w:r>
        <w:rPr>
          <w:rFonts w:eastAsiaTheme="minorEastAsia" w:hint="eastAsia"/>
          <w:sz w:val="24"/>
        </w:rPr>
        <w:t>立方米。</w:t>
      </w:r>
      <w:r>
        <w:rPr>
          <w:rFonts w:eastAsiaTheme="minorEastAsia" w:hint="eastAsia"/>
          <w:sz w:val="24"/>
        </w:rPr>
        <w:t>2024</w:t>
      </w:r>
      <w:r>
        <w:rPr>
          <w:rFonts w:eastAsiaTheme="minorEastAsia" w:hint="eastAsia"/>
          <w:sz w:val="24"/>
        </w:rPr>
        <w:t>年有效监测天数</w:t>
      </w:r>
      <w:r>
        <w:rPr>
          <w:rFonts w:eastAsiaTheme="minorEastAsia" w:hint="eastAsia"/>
          <w:sz w:val="24"/>
        </w:rPr>
        <w:t>366</w:t>
      </w:r>
      <w:r>
        <w:rPr>
          <w:rFonts w:eastAsiaTheme="minorEastAsia" w:hint="eastAsia"/>
          <w:sz w:val="24"/>
        </w:rPr>
        <w:t>天，优良天数</w:t>
      </w:r>
      <w:r>
        <w:rPr>
          <w:rFonts w:eastAsiaTheme="minorEastAsia" w:hint="eastAsia"/>
          <w:sz w:val="24"/>
        </w:rPr>
        <w:t>312</w:t>
      </w:r>
      <w:r>
        <w:rPr>
          <w:rFonts w:eastAsiaTheme="minorEastAsia" w:hint="eastAsia"/>
          <w:sz w:val="24"/>
        </w:rPr>
        <w:t>天，达标率</w:t>
      </w:r>
      <w:r>
        <w:rPr>
          <w:rFonts w:eastAsiaTheme="minorEastAsia" w:hint="eastAsia"/>
          <w:sz w:val="24"/>
        </w:rPr>
        <w:t>85.2%</w:t>
      </w:r>
      <w:r>
        <w:rPr>
          <w:rFonts w:eastAsiaTheme="minorEastAsia" w:hint="eastAsia"/>
          <w:sz w:val="24"/>
        </w:rPr>
        <w:t>，</w:t>
      </w:r>
      <w:r>
        <w:rPr>
          <w:rFonts w:eastAsiaTheme="minorEastAsia" w:hint="eastAsia"/>
          <w:sz w:val="24"/>
          <w:lang w:eastAsia="zh-Hans"/>
        </w:rPr>
        <w:t>其中优</w:t>
      </w:r>
      <w:r>
        <w:rPr>
          <w:rFonts w:eastAsiaTheme="minorEastAsia" w:hint="eastAsia"/>
          <w:sz w:val="24"/>
        </w:rPr>
        <w:t>158</w:t>
      </w:r>
      <w:r>
        <w:rPr>
          <w:rFonts w:eastAsiaTheme="minorEastAsia" w:hint="eastAsia"/>
          <w:sz w:val="24"/>
          <w:lang w:eastAsia="zh-Hans"/>
        </w:rPr>
        <w:t>天，同比</w:t>
      </w:r>
      <w:r>
        <w:rPr>
          <w:rFonts w:eastAsiaTheme="minorEastAsia" w:hint="eastAsia"/>
          <w:sz w:val="24"/>
        </w:rPr>
        <w:t>增加</w:t>
      </w:r>
      <w:r>
        <w:rPr>
          <w:rFonts w:eastAsiaTheme="minorEastAsia" w:hint="eastAsia"/>
          <w:sz w:val="24"/>
        </w:rPr>
        <w:t>12</w:t>
      </w:r>
      <w:r>
        <w:rPr>
          <w:rFonts w:eastAsiaTheme="minorEastAsia" w:hint="eastAsia"/>
          <w:sz w:val="24"/>
          <w:lang w:eastAsia="zh-Hans"/>
        </w:rPr>
        <w:t>天；良</w:t>
      </w:r>
      <w:r>
        <w:rPr>
          <w:rFonts w:eastAsiaTheme="minorEastAsia" w:hint="eastAsia"/>
          <w:sz w:val="24"/>
        </w:rPr>
        <w:t>154</w:t>
      </w:r>
      <w:r>
        <w:rPr>
          <w:rFonts w:eastAsiaTheme="minorEastAsia" w:hint="eastAsia"/>
          <w:sz w:val="24"/>
          <w:lang w:eastAsia="zh-Hans"/>
        </w:rPr>
        <w:t>天，同比</w:t>
      </w:r>
      <w:r>
        <w:rPr>
          <w:rFonts w:eastAsiaTheme="minorEastAsia" w:hint="eastAsia"/>
          <w:sz w:val="24"/>
        </w:rPr>
        <w:t>减少</w:t>
      </w:r>
      <w:r>
        <w:rPr>
          <w:rFonts w:eastAsiaTheme="minorEastAsia" w:hint="eastAsia"/>
          <w:sz w:val="24"/>
        </w:rPr>
        <w:t>4</w:t>
      </w:r>
      <w:r>
        <w:rPr>
          <w:rFonts w:eastAsiaTheme="minorEastAsia" w:hint="eastAsia"/>
          <w:sz w:val="24"/>
          <w:lang w:eastAsia="zh-Hans"/>
        </w:rPr>
        <w:t>天。</w:t>
      </w:r>
      <w:r>
        <w:rPr>
          <w:rFonts w:eastAsiaTheme="minorEastAsia" w:hint="eastAsia"/>
          <w:sz w:val="24"/>
        </w:rPr>
        <w:t>超标</w:t>
      </w:r>
      <w:r>
        <w:rPr>
          <w:rFonts w:eastAsiaTheme="minorEastAsia" w:hint="eastAsia"/>
          <w:sz w:val="24"/>
          <w:lang w:eastAsia="zh-Hans"/>
        </w:rPr>
        <w:t>天数</w:t>
      </w:r>
      <w:r>
        <w:rPr>
          <w:rFonts w:eastAsiaTheme="minorEastAsia" w:hint="eastAsia"/>
          <w:sz w:val="24"/>
        </w:rPr>
        <w:t>54</w:t>
      </w:r>
      <w:r>
        <w:rPr>
          <w:rFonts w:eastAsiaTheme="minorEastAsia" w:hint="eastAsia"/>
          <w:sz w:val="24"/>
        </w:rPr>
        <w:t>天，</w:t>
      </w:r>
      <w:r>
        <w:rPr>
          <w:rFonts w:eastAsiaTheme="minorEastAsia" w:hint="eastAsia"/>
          <w:sz w:val="24"/>
          <w:lang w:eastAsia="zh-Hans"/>
        </w:rPr>
        <w:t>其中轻度污染</w:t>
      </w:r>
      <w:r>
        <w:rPr>
          <w:rFonts w:eastAsiaTheme="minorEastAsia" w:hint="eastAsia"/>
          <w:sz w:val="24"/>
        </w:rPr>
        <w:t>32</w:t>
      </w:r>
      <w:r>
        <w:rPr>
          <w:rFonts w:eastAsiaTheme="minorEastAsia" w:hint="eastAsia"/>
          <w:sz w:val="24"/>
          <w:lang w:eastAsia="zh-Hans"/>
        </w:rPr>
        <w:t>天，同比</w:t>
      </w:r>
      <w:r>
        <w:rPr>
          <w:rFonts w:eastAsiaTheme="minorEastAsia" w:hint="eastAsia"/>
          <w:sz w:val="24"/>
        </w:rPr>
        <w:t>减少</w:t>
      </w:r>
      <w:r>
        <w:rPr>
          <w:rFonts w:eastAsiaTheme="minorEastAsia" w:hint="eastAsia"/>
          <w:sz w:val="24"/>
        </w:rPr>
        <w:t>12</w:t>
      </w:r>
      <w:r>
        <w:rPr>
          <w:rFonts w:eastAsiaTheme="minorEastAsia" w:hint="eastAsia"/>
          <w:sz w:val="24"/>
          <w:lang w:eastAsia="zh-Hans"/>
        </w:rPr>
        <w:t>天；中度污染</w:t>
      </w:r>
      <w:r>
        <w:rPr>
          <w:rFonts w:eastAsiaTheme="minorEastAsia" w:hint="eastAsia"/>
          <w:sz w:val="24"/>
        </w:rPr>
        <w:t>12</w:t>
      </w:r>
      <w:r>
        <w:rPr>
          <w:rFonts w:eastAsiaTheme="minorEastAsia" w:hint="eastAsia"/>
          <w:sz w:val="24"/>
          <w:lang w:eastAsia="zh-Hans"/>
        </w:rPr>
        <w:t>天，同比</w:t>
      </w:r>
      <w:r>
        <w:rPr>
          <w:rFonts w:eastAsiaTheme="minorEastAsia" w:hint="eastAsia"/>
          <w:sz w:val="24"/>
        </w:rPr>
        <w:t>增加</w:t>
      </w:r>
      <w:r>
        <w:rPr>
          <w:rFonts w:eastAsiaTheme="minorEastAsia" w:hint="eastAsia"/>
          <w:sz w:val="24"/>
        </w:rPr>
        <w:t>6</w:t>
      </w:r>
      <w:r>
        <w:rPr>
          <w:rFonts w:eastAsiaTheme="minorEastAsia" w:hint="eastAsia"/>
          <w:sz w:val="24"/>
          <w:lang w:eastAsia="zh-Hans"/>
        </w:rPr>
        <w:t>天；重度污染</w:t>
      </w:r>
      <w:r>
        <w:rPr>
          <w:rFonts w:eastAsiaTheme="minorEastAsia" w:hint="eastAsia"/>
          <w:sz w:val="24"/>
        </w:rPr>
        <w:t>8</w:t>
      </w:r>
      <w:r>
        <w:rPr>
          <w:rFonts w:eastAsiaTheme="minorEastAsia" w:hint="eastAsia"/>
          <w:sz w:val="24"/>
          <w:lang w:eastAsia="zh-Hans"/>
        </w:rPr>
        <w:t>天，同比</w:t>
      </w:r>
      <w:r>
        <w:rPr>
          <w:rFonts w:eastAsiaTheme="minorEastAsia" w:hint="eastAsia"/>
          <w:sz w:val="24"/>
        </w:rPr>
        <w:t>增加</w:t>
      </w:r>
      <w:r>
        <w:rPr>
          <w:rFonts w:eastAsiaTheme="minorEastAsia" w:hint="eastAsia"/>
          <w:sz w:val="24"/>
        </w:rPr>
        <w:t>1</w:t>
      </w:r>
      <w:r>
        <w:rPr>
          <w:rFonts w:eastAsiaTheme="minorEastAsia" w:hint="eastAsia"/>
          <w:sz w:val="24"/>
          <w:lang w:eastAsia="zh-Hans"/>
        </w:rPr>
        <w:t>天；严重污染</w:t>
      </w:r>
      <w:r>
        <w:rPr>
          <w:rFonts w:eastAsiaTheme="minorEastAsia" w:hint="eastAsia"/>
          <w:sz w:val="24"/>
        </w:rPr>
        <w:t>2</w:t>
      </w:r>
      <w:r>
        <w:rPr>
          <w:rFonts w:eastAsiaTheme="minorEastAsia" w:hint="eastAsia"/>
          <w:sz w:val="24"/>
          <w:lang w:eastAsia="zh-Hans"/>
        </w:rPr>
        <w:t>天，</w:t>
      </w:r>
      <w:r>
        <w:rPr>
          <w:rFonts w:eastAsiaTheme="minorEastAsia" w:hint="eastAsia"/>
          <w:sz w:val="24"/>
        </w:rPr>
        <w:t>同比减少</w:t>
      </w:r>
      <w:r>
        <w:rPr>
          <w:rFonts w:eastAsiaTheme="minorEastAsia" w:hint="eastAsia"/>
          <w:sz w:val="24"/>
        </w:rPr>
        <w:t>2</w:t>
      </w:r>
      <w:r>
        <w:rPr>
          <w:rFonts w:eastAsiaTheme="minorEastAsia" w:hint="eastAsia"/>
          <w:sz w:val="24"/>
        </w:rPr>
        <w:t>天。</w:t>
      </w:r>
      <w:r>
        <w:rPr>
          <w:rFonts w:eastAsiaTheme="minorEastAsia" w:hAnsiTheme="minorEastAsia"/>
          <w:sz w:val="24"/>
        </w:rPr>
        <w:t>本项目所在区域为</w:t>
      </w:r>
      <w:r>
        <w:rPr>
          <w:rFonts w:eastAsiaTheme="minorEastAsia" w:hAnsiTheme="minorEastAsia" w:hint="eastAsia"/>
          <w:sz w:val="24"/>
        </w:rPr>
        <w:t>不</w:t>
      </w:r>
      <w:r>
        <w:rPr>
          <w:rFonts w:eastAsiaTheme="minorEastAsia" w:hAnsiTheme="minorEastAsia"/>
          <w:sz w:val="24"/>
        </w:rPr>
        <w:t>达标区。</w:t>
      </w:r>
    </w:p>
    <w:p w14:paraId="342B1844" w14:textId="77777777" w:rsidR="00B14D53" w:rsidRDefault="00000000">
      <w:pPr>
        <w:jc w:val="center"/>
        <w:rPr>
          <w:b/>
          <w:bCs/>
        </w:rPr>
      </w:pPr>
      <w:r>
        <w:rPr>
          <w:rFonts w:hint="eastAsia"/>
          <w:b/>
          <w:bCs/>
        </w:rPr>
        <w:t>表</w:t>
      </w:r>
      <w:r>
        <w:rPr>
          <w:rFonts w:hint="eastAsia"/>
          <w:b/>
          <w:bCs/>
        </w:rPr>
        <w:t xml:space="preserve">4-2-1 </w:t>
      </w:r>
      <w:r>
        <w:rPr>
          <w:rFonts w:hint="eastAsia"/>
          <w:b/>
          <w:bCs/>
        </w:rPr>
        <w:t>区域空气质量现状评价表</w:t>
      </w:r>
    </w:p>
    <w:tbl>
      <w:tblPr>
        <w:tblW w:w="4998" w:type="pct"/>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495"/>
        <w:gridCol w:w="1928"/>
        <w:gridCol w:w="1242"/>
        <w:gridCol w:w="1240"/>
        <w:gridCol w:w="1068"/>
        <w:gridCol w:w="1330"/>
      </w:tblGrid>
      <w:tr w:rsidR="00B14D53" w14:paraId="27950C4F" w14:textId="77777777">
        <w:trPr>
          <w:trHeight w:val="558"/>
          <w:jc w:val="center"/>
        </w:trPr>
        <w:tc>
          <w:tcPr>
            <w:tcW w:w="900" w:type="pct"/>
            <w:vAlign w:val="center"/>
          </w:tcPr>
          <w:p w14:paraId="744EC8E9"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b/>
                <w:bCs/>
                <w:color w:val="auto"/>
                <w:sz w:val="21"/>
                <w:szCs w:val="21"/>
              </w:rPr>
            </w:pPr>
            <w:r>
              <w:rPr>
                <w:rFonts w:ascii="Times New Roman" w:hAnsiTheme="minorEastAsia" w:cs="Times New Roman"/>
                <w:b/>
                <w:bCs/>
                <w:color w:val="auto"/>
                <w:sz w:val="21"/>
                <w:szCs w:val="21"/>
              </w:rPr>
              <w:t>污染物</w:t>
            </w:r>
          </w:p>
        </w:tc>
        <w:tc>
          <w:tcPr>
            <w:tcW w:w="1161" w:type="pct"/>
            <w:vAlign w:val="center"/>
          </w:tcPr>
          <w:p w14:paraId="0D7E80AE"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b/>
                <w:bCs/>
                <w:color w:val="auto"/>
                <w:sz w:val="21"/>
                <w:szCs w:val="21"/>
              </w:rPr>
            </w:pPr>
            <w:r>
              <w:rPr>
                <w:rFonts w:ascii="Times New Roman" w:hAnsiTheme="minorEastAsia" w:cs="Times New Roman"/>
                <w:b/>
                <w:bCs/>
                <w:color w:val="auto"/>
                <w:sz w:val="21"/>
                <w:szCs w:val="21"/>
              </w:rPr>
              <w:t>年评价指标</w:t>
            </w:r>
          </w:p>
        </w:tc>
        <w:tc>
          <w:tcPr>
            <w:tcW w:w="748" w:type="pct"/>
            <w:vAlign w:val="center"/>
          </w:tcPr>
          <w:p w14:paraId="491B4FFA"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b/>
                <w:bCs/>
                <w:color w:val="auto"/>
                <w:sz w:val="21"/>
                <w:szCs w:val="21"/>
              </w:rPr>
            </w:pPr>
            <w:r>
              <w:rPr>
                <w:rFonts w:ascii="Times New Roman" w:hAnsiTheme="minorEastAsia" w:cs="Times New Roman"/>
                <w:b/>
                <w:bCs/>
                <w:color w:val="auto"/>
                <w:sz w:val="21"/>
                <w:szCs w:val="21"/>
              </w:rPr>
              <w:t>现状浓度</w:t>
            </w:r>
            <w:r>
              <w:rPr>
                <w:rFonts w:ascii="Times New Roman" w:hAnsi="Times New Roman" w:cs="Times New Roman"/>
                <w:b/>
                <w:bCs/>
                <w:color w:val="auto"/>
                <w:sz w:val="21"/>
                <w:szCs w:val="21"/>
              </w:rPr>
              <w:t>/</w:t>
            </w:r>
          </w:p>
          <w:p w14:paraId="37D80F93"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b/>
                <w:bCs/>
                <w:color w:val="auto"/>
                <w:sz w:val="21"/>
                <w:szCs w:val="21"/>
              </w:rPr>
            </w:pPr>
            <w:r>
              <w:rPr>
                <w:rFonts w:ascii="Times New Roman" w:hAnsiTheme="minorEastAsia" w:cs="Times New Roman"/>
                <w:b/>
                <w:bCs/>
                <w:color w:val="auto"/>
                <w:sz w:val="21"/>
                <w:szCs w:val="21"/>
              </w:rPr>
              <w:t>（</w:t>
            </w:r>
            <w:r>
              <w:rPr>
                <w:rFonts w:ascii="Times New Roman" w:hAnsi="Times New Roman" w:cs="Times New Roman"/>
                <w:b/>
                <w:bCs/>
                <w:color w:val="auto"/>
                <w:sz w:val="21"/>
                <w:szCs w:val="21"/>
              </w:rPr>
              <w:t>μg/m</w:t>
            </w:r>
            <w:r>
              <w:rPr>
                <w:rFonts w:ascii="Times New Roman" w:hAnsi="Times New Roman" w:cs="Times New Roman"/>
                <w:b/>
                <w:bCs/>
                <w:color w:val="auto"/>
                <w:sz w:val="21"/>
                <w:szCs w:val="21"/>
                <w:vertAlign w:val="superscript"/>
              </w:rPr>
              <w:t>3</w:t>
            </w:r>
            <w:r>
              <w:rPr>
                <w:rFonts w:ascii="Times New Roman" w:hAnsiTheme="minorEastAsia" w:cs="Times New Roman"/>
                <w:b/>
                <w:bCs/>
                <w:color w:val="auto"/>
                <w:sz w:val="21"/>
                <w:szCs w:val="21"/>
              </w:rPr>
              <w:t>）</w:t>
            </w:r>
          </w:p>
        </w:tc>
        <w:tc>
          <w:tcPr>
            <w:tcW w:w="747" w:type="pct"/>
            <w:vAlign w:val="center"/>
          </w:tcPr>
          <w:p w14:paraId="76DA4780"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b/>
                <w:bCs/>
                <w:color w:val="auto"/>
                <w:sz w:val="21"/>
                <w:szCs w:val="21"/>
              </w:rPr>
            </w:pPr>
            <w:r>
              <w:rPr>
                <w:rFonts w:ascii="Times New Roman" w:hAnsiTheme="minorEastAsia" w:cs="Times New Roman"/>
                <w:b/>
                <w:bCs/>
                <w:color w:val="auto"/>
                <w:sz w:val="21"/>
                <w:szCs w:val="21"/>
              </w:rPr>
              <w:t>标准值</w:t>
            </w:r>
            <w:r>
              <w:rPr>
                <w:rFonts w:ascii="Times New Roman" w:hAnsi="Times New Roman" w:cs="Times New Roman"/>
                <w:b/>
                <w:bCs/>
                <w:color w:val="auto"/>
                <w:sz w:val="21"/>
                <w:szCs w:val="21"/>
              </w:rPr>
              <w:t>/</w:t>
            </w:r>
          </w:p>
          <w:p w14:paraId="2EF5F62F"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b/>
                <w:bCs/>
                <w:color w:val="auto"/>
                <w:sz w:val="21"/>
                <w:szCs w:val="21"/>
              </w:rPr>
            </w:pPr>
            <w:r>
              <w:rPr>
                <w:rFonts w:ascii="Times New Roman" w:hAnsiTheme="minorEastAsia" w:cs="Times New Roman"/>
                <w:b/>
                <w:bCs/>
                <w:color w:val="auto"/>
                <w:sz w:val="21"/>
                <w:szCs w:val="21"/>
              </w:rPr>
              <w:t>（</w:t>
            </w:r>
            <w:r>
              <w:rPr>
                <w:rFonts w:ascii="Times New Roman" w:hAnsi="Times New Roman" w:cs="Times New Roman"/>
                <w:b/>
                <w:bCs/>
                <w:color w:val="auto"/>
                <w:sz w:val="21"/>
                <w:szCs w:val="21"/>
              </w:rPr>
              <w:t>μg/m</w:t>
            </w:r>
            <w:r>
              <w:rPr>
                <w:rFonts w:ascii="Times New Roman" w:hAnsi="Times New Roman" w:cs="Times New Roman"/>
                <w:b/>
                <w:bCs/>
                <w:color w:val="auto"/>
                <w:sz w:val="21"/>
                <w:szCs w:val="21"/>
                <w:vertAlign w:val="superscript"/>
              </w:rPr>
              <w:t>3</w:t>
            </w:r>
            <w:r>
              <w:rPr>
                <w:rFonts w:ascii="Times New Roman" w:hAnsiTheme="minorEastAsia" w:cs="Times New Roman"/>
                <w:b/>
                <w:bCs/>
                <w:color w:val="auto"/>
                <w:sz w:val="21"/>
                <w:szCs w:val="21"/>
              </w:rPr>
              <w:t>）</w:t>
            </w:r>
          </w:p>
        </w:tc>
        <w:tc>
          <w:tcPr>
            <w:tcW w:w="643" w:type="pct"/>
            <w:vAlign w:val="center"/>
          </w:tcPr>
          <w:p w14:paraId="2CF22624"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b/>
                <w:bCs/>
                <w:color w:val="auto"/>
                <w:sz w:val="21"/>
                <w:szCs w:val="21"/>
              </w:rPr>
            </w:pPr>
            <w:r>
              <w:rPr>
                <w:rFonts w:ascii="Times New Roman" w:hAnsiTheme="minorEastAsia" w:cs="Times New Roman"/>
                <w:b/>
                <w:bCs/>
                <w:color w:val="auto"/>
                <w:sz w:val="21"/>
                <w:szCs w:val="21"/>
              </w:rPr>
              <w:t>占标率</w:t>
            </w:r>
            <w:r>
              <w:rPr>
                <w:rFonts w:ascii="Times New Roman" w:hAnsi="Times New Roman" w:cs="Times New Roman"/>
                <w:b/>
                <w:bCs/>
                <w:color w:val="auto"/>
                <w:sz w:val="21"/>
                <w:szCs w:val="21"/>
              </w:rPr>
              <w:t>/</w:t>
            </w:r>
          </w:p>
          <w:p w14:paraId="60AE0E57"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b/>
                <w:bCs/>
                <w:color w:val="auto"/>
                <w:sz w:val="21"/>
                <w:szCs w:val="21"/>
              </w:rPr>
            </w:pPr>
            <w:r>
              <w:rPr>
                <w:rFonts w:ascii="Times New Roman" w:hAnsiTheme="minorEastAsia" w:cs="Times New Roman"/>
                <w:b/>
                <w:bCs/>
                <w:color w:val="auto"/>
                <w:sz w:val="21"/>
                <w:szCs w:val="21"/>
              </w:rPr>
              <w:t>（</w:t>
            </w:r>
            <w:r>
              <w:rPr>
                <w:rFonts w:ascii="Times New Roman" w:hAnsi="Times New Roman" w:cs="Times New Roman"/>
                <w:b/>
                <w:bCs/>
                <w:color w:val="auto"/>
                <w:sz w:val="21"/>
                <w:szCs w:val="21"/>
              </w:rPr>
              <w:t>%</w:t>
            </w:r>
            <w:r>
              <w:rPr>
                <w:rFonts w:ascii="Times New Roman" w:hAnsiTheme="minorEastAsia" w:cs="Times New Roman"/>
                <w:b/>
                <w:bCs/>
                <w:color w:val="auto"/>
                <w:sz w:val="21"/>
                <w:szCs w:val="21"/>
              </w:rPr>
              <w:t>）</w:t>
            </w:r>
          </w:p>
        </w:tc>
        <w:tc>
          <w:tcPr>
            <w:tcW w:w="801" w:type="pct"/>
            <w:vAlign w:val="center"/>
          </w:tcPr>
          <w:p w14:paraId="10690297"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b/>
                <w:bCs/>
                <w:color w:val="auto"/>
                <w:sz w:val="21"/>
                <w:szCs w:val="21"/>
              </w:rPr>
            </w:pPr>
            <w:r>
              <w:rPr>
                <w:rFonts w:ascii="Times New Roman" w:hAnsiTheme="minorEastAsia" w:cs="Times New Roman"/>
                <w:b/>
                <w:bCs/>
                <w:color w:val="auto"/>
                <w:sz w:val="21"/>
                <w:szCs w:val="21"/>
              </w:rPr>
              <w:t>达标情况</w:t>
            </w:r>
          </w:p>
        </w:tc>
      </w:tr>
      <w:tr w:rsidR="00B14D53" w14:paraId="78E1D0C0" w14:textId="77777777">
        <w:trPr>
          <w:trHeight w:val="275"/>
          <w:jc w:val="center"/>
        </w:trPr>
        <w:tc>
          <w:tcPr>
            <w:tcW w:w="900" w:type="pct"/>
            <w:vAlign w:val="center"/>
          </w:tcPr>
          <w:p w14:paraId="1C06080C"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细颗粒物（</w:t>
            </w:r>
            <w:r>
              <w:rPr>
                <w:rFonts w:ascii="Times New Roman" w:hAnsi="Times New Roman" w:cs="Times New Roman"/>
                <w:color w:val="auto"/>
                <w:sz w:val="21"/>
                <w:szCs w:val="21"/>
              </w:rPr>
              <w:t>PM</w:t>
            </w:r>
            <w:r>
              <w:rPr>
                <w:rFonts w:ascii="Times New Roman" w:hAnsi="Times New Roman" w:cs="Times New Roman"/>
                <w:color w:val="auto"/>
                <w:sz w:val="21"/>
                <w:szCs w:val="21"/>
                <w:vertAlign w:val="subscript"/>
              </w:rPr>
              <w:t>2.5</w:t>
            </w:r>
            <w:r>
              <w:rPr>
                <w:rFonts w:ascii="Times New Roman" w:hAnsiTheme="minorEastAsia" w:cs="Times New Roman"/>
                <w:color w:val="auto"/>
                <w:sz w:val="21"/>
                <w:szCs w:val="21"/>
              </w:rPr>
              <w:t>）</w:t>
            </w:r>
          </w:p>
        </w:tc>
        <w:tc>
          <w:tcPr>
            <w:tcW w:w="1161" w:type="pct"/>
            <w:vAlign w:val="center"/>
          </w:tcPr>
          <w:p w14:paraId="2E6F6391"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年平均质量浓度</w:t>
            </w:r>
          </w:p>
        </w:tc>
        <w:tc>
          <w:tcPr>
            <w:tcW w:w="748" w:type="pct"/>
            <w:vAlign w:val="center"/>
          </w:tcPr>
          <w:p w14:paraId="024B75CA"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40</w:t>
            </w:r>
          </w:p>
        </w:tc>
        <w:tc>
          <w:tcPr>
            <w:tcW w:w="747" w:type="pct"/>
            <w:vAlign w:val="center"/>
          </w:tcPr>
          <w:p w14:paraId="23F27E22"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color w:val="auto"/>
                <w:sz w:val="21"/>
                <w:szCs w:val="21"/>
              </w:rPr>
              <w:t>35</w:t>
            </w:r>
          </w:p>
        </w:tc>
        <w:tc>
          <w:tcPr>
            <w:tcW w:w="643" w:type="pct"/>
            <w:vAlign w:val="center"/>
          </w:tcPr>
          <w:p w14:paraId="28DD973A"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114</w:t>
            </w:r>
          </w:p>
        </w:tc>
        <w:tc>
          <w:tcPr>
            <w:tcW w:w="801" w:type="pct"/>
            <w:vAlign w:val="center"/>
          </w:tcPr>
          <w:p w14:paraId="57FF5161"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超标</w:t>
            </w:r>
          </w:p>
        </w:tc>
      </w:tr>
      <w:tr w:rsidR="00B14D53" w14:paraId="243862AB" w14:textId="77777777">
        <w:trPr>
          <w:trHeight w:val="288"/>
          <w:jc w:val="center"/>
        </w:trPr>
        <w:tc>
          <w:tcPr>
            <w:tcW w:w="900" w:type="pct"/>
            <w:vAlign w:val="center"/>
          </w:tcPr>
          <w:p w14:paraId="0A123FC7"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可吸入颗粒物（</w:t>
            </w:r>
            <w:r>
              <w:rPr>
                <w:rFonts w:ascii="Times New Roman" w:hAnsi="Times New Roman" w:cs="Times New Roman"/>
                <w:color w:val="auto"/>
                <w:sz w:val="21"/>
                <w:szCs w:val="21"/>
              </w:rPr>
              <w:t>PM</w:t>
            </w:r>
            <w:r>
              <w:rPr>
                <w:rFonts w:ascii="Times New Roman" w:hAnsi="Times New Roman" w:cs="Times New Roman"/>
                <w:color w:val="auto"/>
                <w:sz w:val="21"/>
                <w:szCs w:val="21"/>
                <w:vertAlign w:val="subscript"/>
              </w:rPr>
              <w:t>10</w:t>
            </w:r>
            <w:r>
              <w:rPr>
                <w:rFonts w:ascii="Times New Roman" w:hAnsiTheme="minorEastAsia" w:cs="Times New Roman"/>
                <w:color w:val="auto"/>
                <w:sz w:val="21"/>
                <w:szCs w:val="21"/>
              </w:rPr>
              <w:t>）</w:t>
            </w:r>
          </w:p>
        </w:tc>
        <w:tc>
          <w:tcPr>
            <w:tcW w:w="1161" w:type="pct"/>
            <w:vAlign w:val="center"/>
          </w:tcPr>
          <w:p w14:paraId="792569AA"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年平均质量浓度</w:t>
            </w:r>
          </w:p>
        </w:tc>
        <w:tc>
          <w:tcPr>
            <w:tcW w:w="748" w:type="pct"/>
            <w:vAlign w:val="center"/>
          </w:tcPr>
          <w:p w14:paraId="2B539DB0"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62</w:t>
            </w:r>
          </w:p>
        </w:tc>
        <w:tc>
          <w:tcPr>
            <w:tcW w:w="747" w:type="pct"/>
            <w:vAlign w:val="center"/>
          </w:tcPr>
          <w:p w14:paraId="41D53763"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color w:val="auto"/>
                <w:sz w:val="21"/>
                <w:szCs w:val="21"/>
              </w:rPr>
              <w:t>70</w:t>
            </w:r>
          </w:p>
        </w:tc>
        <w:tc>
          <w:tcPr>
            <w:tcW w:w="643" w:type="pct"/>
            <w:vAlign w:val="center"/>
          </w:tcPr>
          <w:p w14:paraId="2BBAB1A0"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89</w:t>
            </w:r>
          </w:p>
        </w:tc>
        <w:tc>
          <w:tcPr>
            <w:tcW w:w="801" w:type="pct"/>
            <w:vAlign w:val="center"/>
          </w:tcPr>
          <w:p w14:paraId="343D06BD" w14:textId="77777777" w:rsidR="00B14D53" w:rsidRDefault="00000000">
            <w:pPr>
              <w:contextualSpacing/>
              <w:jc w:val="center"/>
              <w:rPr>
                <w:rFonts w:eastAsiaTheme="minorEastAsia"/>
                <w:szCs w:val="21"/>
              </w:rPr>
            </w:pPr>
            <w:r>
              <w:rPr>
                <w:rFonts w:eastAsiaTheme="minorEastAsia" w:hAnsiTheme="minorEastAsia"/>
                <w:szCs w:val="21"/>
              </w:rPr>
              <w:t>达标</w:t>
            </w:r>
          </w:p>
        </w:tc>
      </w:tr>
      <w:tr w:rsidR="00B14D53" w14:paraId="6C29BA86" w14:textId="77777777">
        <w:trPr>
          <w:trHeight w:val="275"/>
          <w:jc w:val="center"/>
        </w:trPr>
        <w:tc>
          <w:tcPr>
            <w:tcW w:w="900" w:type="pct"/>
            <w:vAlign w:val="center"/>
          </w:tcPr>
          <w:p w14:paraId="222E0414"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二氧化氮</w:t>
            </w:r>
          </w:p>
        </w:tc>
        <w:tc>
          <w:tcPr>
            <w:tcW w:w="1161" w:type="pct"/>
            <w:vAlign w:val="center"/>
          </w:tcPr>
          <w:p w14:paraId="5A5F3174"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年平均质量浓度</w:t>
            </w:r>
          </w:p>
        </w:tc>
        <w:tc>
          <w:tcPr>
            <w:tcW w:w="748" w:type="pct"/>
            <w:vAlign w:val="center"/>
          </w:tcPr>
          <w:p w14:paraId="10F92634"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29</w:t>
            </w:r>
          </w:p>
        </w:tc>
        <w:tc>
          <w:tcPr>
            <w:tcW w:w="747" w:type="pct"/>
            <w:vAlign w:val="center"/>
          </w:tcPr>
          <w:p w14:paraId="413B646B"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643" w:type="pct"/>
            <w:vAlign w:val="center"/>
          </w:tcPr>
          <w:p w14:paraId="1E883A4F"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73</w:t>
            </w:r>
          </w:p>
        </w:tc>
        <w:tc>
          <w:tcPr>
            <w:tcW w:w="801" w:type="pct"/>
            <w:vAlign w:val="center"/>
          </w:tcPr>
          <w:p w14:paraId="6B31AF94" w14:textId="77777777" w:rsidR="00B14D53" w:rsidRDefault="00000000">
            <w:pPr>
              <w:contextualSpacing/>
              <w:jc w:val="center"/>
              <w:rPr>
                <w:rFonts w:eastAsiaTheme="minorEastAsia"/>
                <w:szCs w:val="21"/>
              </w:rPr>
            </w:pPr>
            <w:r>
              <w:rPr>
                <w:rFonts w:eastAsiaTheme="minorEastAsia" w:hAnsiTheme="minorEastAsia"/>
                <w:szCs w:val="21"/>
              </w:rPr>
              <w:t>达标</w:t>
            </w:r>
          </w:p>
        </w:tc>
      </w:tr>
      <w:tr w:rsidR="00B14D53" w14:paraId="5C20756D" w14:textId="77777777">
        <w:trPr>
          <w:trHeight w:val="275"/>
          <w:jc w:val="center"/>
        </w:trPr>
        <w:tc>
          <w:tcPr>
            <w:tcW w:w="900" w:type="pct"/>
            <w:vAlign w:val="center"/>
          </w:tcPr>
          <w:p w14:paraId="17E586F7"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二氧化硫</w:t>
            </w:r>
          </w:p>
        </w:tc>
        <w:tc>
          <w:tcPr>
            <w:tcW w:w="1161" w:type="pct"/>
            <w:vAlign w:val="center"/>
          </w:tcPr>
          <w:p w14:paraId="5B7774F1"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年平均质量浓度</w:t>
            </w:r>
          </w:p>
        </w:tc>
        <w:tc>
          <w:tcPr>
            <w:tcW w:w="748" w:type="pct"/>
            <w:vAlign w:val="center"/>
          </w:tcPr>
          <w:p w14:paraId="10CE18C5"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10</w:t>
            </w:r>
          </w:p>
        </w:tc>
        <w:tc>
          <w:tcPr>
            <w:tcW w:w="747" w:type="pct"/>
            <w:vAlign w:val="center"/>
          </w:tcPr>
          <w:p w14:paraId="4D990187"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643" w:type="pct"/>
            <w:vAlign w:val="center"/>
          </w:tcPr>
          <w:p w14:paraId="01DC6838"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17</w:t>
            </w:r>
          </w:p>
        </w:tc>
        <w:tc>
          <w:tcPr>
            <w:tcW w:w="801" w:type="pct"/>
            <w:vAlign w:val="center"/>
          </w:tcPr>
          <w:p w14:paraId="7F96ED74"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达标</w:t>
            </w:r>
          </w:p>
        </w:tc>
      </w:tr>
      <w:tr w:rsidR="00B14D53" w14:paraId="1DCB4646" w14:textId="77777777">
        <w:trPr>
          <w:trHeight w:val="275"/>
          <w:jc w:val="center"/>
        </w:trPr>
        <w:tc>
          <w:tcPr>
            <w:tcW w:w="900" w:type="pct"/>
            <w:vAlign w:val="center"/>
          </w:tcPr>
          <w:p w14:paraId="6445B1EF"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一氧化碳</w:t>
            </w:r>
          </w:p>
        </w:tc>
        <w:tc>
          <w:tcPr>
            <w:tcW w:w="1161" w:type="pct"/>
            <w:vAlign w:val="center"/>
          </w:tcPr>
          <w:p w14:paraId="60C807C5"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百分位数日平均</w:t>
            </w:r>
          </w:p>
        </w:tc>
        <w:tc>
          <w:tcPr>
            <w:tcW w:w="748" w:type="pct"/>
            <w:vAlign w:val="center"/>
          </w:tcPr>
          <w:p w14:paraId="74DF0A9F"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1100</w:t>
            </w:r>
          </w:p>
        </w:tc>
        <w:tc>
          <w:tcPr>
            <w:tcW w:w="747" w:type="pct"/>
            <w:vAlign w:val="center"/>
          </w:tcPr>
          <w:p w14:paraId="2BA771D8"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color w:val="auto"/>
                <w:sz w:val="21"/>
                <w:szCs w:val="21"/>
              </w:rPr>
              <w:t>4000</w:t>
            </w:r>
          </w:p>
        </w:tc>
        <w:tc>
          <w:tcPr>
            <w:tcW w:w="643" w:type="pct"/>
            <w:vAlign w:val="center"/>
          </w:tcPr>
          <w:p w14:paraId="51C73D84"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28</w:t>
            </w:r>
          </w:p>
        </w:tc>
        <w:tc>
          <w:tcPr>
            <w:tcW w:w="801" w:type="pct"/>
            <w:vAlign w:val="center"/>
          </w:tcPr>
          <w:p w14:paraId="638FC6D2"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达标</w:t>
            </w:r>
          </w:p>
        </w:tc>
      </w:tr>
      <w:tr w:rsidR="00B14D53" w14:paraId="68EC02CE" w14:textId="77777777">
        <w:trPr>
          <w:trHeight w:val="275"/>
          <w:jc w:val="center"/>
        </w:trPr>
        <w:tc>
          <w:tcPr>
            <w:tcW w:w="900" w:type="pct"/>
            <w:vAlign w:val="center"/>
          </w:tcPr>
          <w:p w14:paraId="1A53B90F"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臭氧</w:t>
            </w:r>
          </w:p>
        </w:tc>
        <w:tc>
          <w:tcPr>
            <w:tcW w:w="1161" w:type="pct"/>
            <w:vAlign w:val="center"/>
          </w:tcPr>
          <w:p w14:paraId="18EF2ED2"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color w:val="auto"/>
                <w:sz w:val="21"/>
                <w:szCs w:val="21"/>
              </w:rPr>
              <w:t>8h</w:t>
            </w:r>
            <w:r>
              <w:rPr>
                <w:rFonts w:ascii="Times New Roman" w:hAnsiTheme="minorEastAsia" w:cs="Times New Roman"/>
                <w:color w:val="auto"/>
                <w:sz w:val="21"/>
                <w:szCs w:val="21"/>
              </w:rPr>
              <w:t>平均质量浓度</w:t>
            </w:r>
          </w:p>
        </w:tc>
        <w:tc>
          <w:tcPr>
            <w:tcW w:w="748" w:type="pct"/>
            <w:vAlign w:val="center"/>
          </w:tcPr>
          <w:p w14:paraId="2AE3F4E0"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118</w:t>
            </w:r>
          </w:p>
        </w:tc>
        <w:tc>
          <w:tcPr>
            <w:tcW w:w="747" w:type="pct"/>
            <w:vAlign w:val="center"/>
          </w:tcPr>
          <w:p w14:paraId="0635ECE7"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color w:val="auto"/>
                <w:sz w:val="21"/>
                <w:szCs w:val="21"/>
              </w:rPr>
              <w:t>160</w:t>
            </w:r>
          </w:p>
        </w:tc>
        <w:tc>
          <w:tcPr>
            <w:tcW w:w="643" w:type="pct"/>
            <w:vAlign w:val="center"/>
          </w:tcPr>
          <w:p w14:paraId="5DCDFDE2"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74</w:t>
            </w:r>
          </w:p>
        </w:tc>
        <w:tc>
          <w:tcPr>
            <w:tcW w:w="801" w:type="pct"/>
            <w:vAlign w:val="center"/>
          </w:tcPr>
          <w:p w14:paraId="4291A822" w14:textId="77777777" w:rsidR="00B14D53" w:rsidRDefault="00000000">
            <w:pPr>
              <w:pStyle w:val="afff5"/>
              <w:tabs>
                <w:tab w:val="center" w:pos="4153"/>
                <w:tab w:val="right" w:pos="8306"/>
              </w:tabs>
              <w:spacing w:beforeLines="0"/>
              <w:ind w:firstLineChars="0" w:firstLine="0"/>
              <w:contextualSpacing/>
              <w:jc w:val="center"/>
              <w:rPr>
                <w:rFonts w:ascii="Times New Roman" w:hAnsi="Times New Roman" w:cs="Times New Roman"/>
                <w:color w:val="auto"/>
                <w:sz w:val="21"/>
                <w:szCs w:val="21"/>
              </w:rPr>
            </w:pPr>
            <w:r>
              <w:rPr>
                <w:rFonts w:ascii="Times New Roman" w:hAnsiTheme="minorEastAsia" w:cs="Times New Roman"/>
                <w:color w:val="auto"/>
                <w:sz w:val="21"/>
                <w:szCs w:val="21"/>
              </w:rPr>
              <w:t>达标</w:t>
            </w:r>
          </w:p>
        </w:tc>
      </w:tr>
    </w:tbl>
    <w:p w14:paraId="41348C9A"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4.2.1.2</w:t>
      </w:r>
      <w:r>
        <w:rPr>
          <w:rFonts w:ascii="Times New Roman" w:eastAsia="黑体" w:hAnsi="Times New Roman" w:cs="Times New Roman"/>
          <w:b w:val="0"/>
          <w:bCs w:val="0"/>
          <w:sz w:val="24"/>
          <w:szCs w:val="24"/>
        </w:rPr>
        <w:t>其他污染物环境质量达标情况</w:t>
      </w:r>
    </w:p>
    <w:p w14:paraId="1802BBC7" w14:textId="77777777" w:rsidR="00B14D53" w:rsidRDefault="00000000">
      <w:pPr>
        <w:widowControl/>
        <w:spacing w:line="360" w:lineRule="auto"/>
        <w:ind w:firstLineChars="200" w:firstLine="480"/>
        <w:contextualSpacing/>
        <w:rPr>
          <w:rFonts w:eastAsiaTheme="minorEastAsia"/>
          <w:kern w:val="0"/>
          <w:sz w:val="24"/>
        </w:rPr>
      </w:pPr>
      <w:r>
        <w:rPr>
          <w:rFonts w:eastAsiaTheme="minorEastAsia" w:hAnsiTheme="minorEastAsia" w:hint="eastAsia"/>
          <w:kern w:val="0"/>
          <w:sz w:val="24"/>
        </w:rPr>
        <w:t>五常市三元肉类加工有限公司</w:t>
      </w:r>
      <w:r>
        <w:rPr>
          <w:rFonts w:eastAsiaTheme="minorEastAsia" w:hAnsiTheme="minorEastAsia"/>
          <w:sz w:val="24"/>
          <w:szCs w:val="22"/>
        </w:rPr>
        <w:t>委托哈尔滨新巨环保科技有限公司于</w:t>
      </w:r>
      <w:r>
        <w:rPr>
          <w:rFonts w:eastAsiaTheme="minorEastAsia"/>
          <w:sz w:val="24"/>
          <w:szCs w:val="22"/>
        </w:rPr>
        <w:t>202</w:t>
      </w:r>
      <w:r>
        <w:rPr>
          <w:rFonts w:eastAsiaTheme="minorEastAsia" w:hint="eastAsia"/>
          <w:sz w:val="24"/>
          <w:szCs w:val="22"/>
        </w:rPr>
        <w:t>5</w:t>
      </w:r>
      <w:r>
        <w:rPr>
          <w:rFonts w:eastAsiaTheme="minorEastAsia" w:hAnsiTheme="minorEastAsia"/>
          <w:sz w:val="24"/>
          <w:szCs w:val="22"/>
        </w:rPr>
        <w:t>年</w:t>
      </w:r>
      <w:r>
        <w:rPr>
          <w:rFonts w:eastAsiaTheme="minorEastAsia"/>
          <w:sz w:val="24"/>
          <w:szCs w:val="22"/>
        </w:rPr>
        <w:t>06</w:t>
      </w:r>
      <w:r>
        <w:rPr>
          <w:rFonts w:eastAsiaTheme="minorEastAsia" w:hAnsiTheme="minorEastAsia"/>
          <w:sz w:val="24"/>
          <w:szCs w:val="22"/>
        </w:rPr>
        <w:t>月</w:t>
      </w:r>
      <w:r>
        <w:rPr>
          <w:rFonts w:eastAsiaTheme="minorEastAsia" w:hint="eastAsia"/>
          <w:sz w:val="24"/>
          <w:szCs w:val="22"/>
        </w:rPr>
        <w:t>25</w:t>
      </w:r>
      <w:r>
        <w:rPr>
          <w:rFonts w:eastAsiaTheme="minorEastAsia" w:hAnsiTheme="minorEastAsia"/>
          <w:sz w:val="24"/>
          <w:szCs w:val="22"/>
        </w:rPr>
        <w:t>日</w:t>
      </w:r>
      <w:r>
        <w:rPr>
          <w:rFonts w:eastAsiaTheme="minorEastAsia"/>
          <w:sz w:val="24"/>
          <w:szCs w:val="22"/>
        </w:rPr>
        <w:t>~</w:t>
      </w:r>
      <w:r>
        <w:rPr>
          <w:rFonts w:eastAsiaTheme="minorEastAsia" w:hint="eastAsia"/>
          <w:sz w:val="24"/>
          <w:szCs w:val="22"/>
        </w:rPr>
        <w:t>07</w:t>
      </w:r>
      <w:r>
        <w:rPr>
          <w:rFonts w:eastAsiaTheme="minorEastAsia" w:hint="eastAsia"/>
          <w:sz w:val="24"/>
          <w:szCs w:val="22"/>
        </w:rPr>
        <w:t>月</w:t>
      </w:r>
      <w:r>
        <w:rPr>
          <w:rFonts w:eastAsiaTheme="minorEastAsia" w:hint="eastAsia"/>
          <w:sz w:val="24"/>
          <w:szCs w:val="22"/>
        </w:rPr>
        <w:t>01</w:t>
      </w:r>
      <w:r>
        <w:rPr>
          <w:rFonts w:eastAsiaTheme="minorEastAsia" w:hAnsiTheme="minorEastAsia"/>
          <w:sz w:val="24"/>
          <w:szCs w:val="22"/>
        </w:rPr>
        <w:t>日对本项目厂址下风向处的</w:t>
      </w:r>
      <w:r>
        <w:rPr>
          <w:rFonts w:eastAsiaTheme="minorEastAsia"/>
          <w:sz w:val="24"/>
          <w:szCs w:val="22"/>
        </w:rPr>
        <w:t>NH</w:t>
      </w:r>
      <w:r>
        <w:rPr>
          <w:rFonts w:eastAsiaTheme="minorEastAsia"/>
          <w:sz w:val="24"/>
          <w:szCs w:val="22"/>
          <w:vertAlign w:val="subscript"/>
        </w:rPr>
        <w:t>3</w:t>
      </w:r>
      <w:r>
        <w:rPr>
          <w:rFonts w:eastAsiaTheme="minorEastAsia" w:hAnsiTheme="minorEastAsia"/>
          <w:sz w:val="24"/>
          <w:szCs w:val="22"/>
        </w:rPr>
        <w:t>、</w:t>
      </w:r>
      <w:r>
        <w:rPr>
          <w:rFonts w:eastAsiaTheme="minorEastAsia"/>
          <w:sz w:val="24"/>
          <w:szCs w:val="22"/>
        </w:rPr>
        <w:t>H</w:t>
      </w:r>
      <w:r>
        <w:rPr>
          <w:rFonts w:eastAsiaTheme="minorEastAsia"/>
          <w:sz w:val="24"/>
          <w:szCs w:val="22"/>
          <w:vertAlign w:val="subscript"/>
        </w:rPr>
        <w:t>2</w:t>
      </w:r>
      <w:r>
        <w:rPr>
          <w:rFonts w:eastAsiaTheme="minorEastAsia"/>
          <w:sz w:val="24"/>
          <w:szCs w:val="22"/>
        </w:rPr>
        <w:t>S</w:t>
      </w:r>
      <w:r>
        <w:rPr>
          <w:rFonts w:eastAsiaTheme="minorEastAsia"/>
          <w:sz w:val="24"/>
          <w:szCs w:val="22"/>
        </w:rPr>
        <w:t>、</w:t>
      </w:r>
      <w:r>
        <w:rPr>
          <w:rFonts w:eastAsiaTheme="minorEastAsia" w:hint="eastAsia"/>
          <w:sz w:val="24"/>
          <w:szCs w:val="22"/>
        </w:rPr>
        <w:t>T</w:t>
      </w:r>
      <w:r>
        <w:rPr>
          <w:rFonts w:eastAsiaTheme="minorEastAsia"/>
          <w:sz w:val="24"/>
          <w:szCs w:val="22"/>
        </w:rPr>
        <w:t>SP</w:t>
      </w:r>
      <w:r>
        <w:rPr>
          <w:rFonts w:eastAsiaTheme="minorEastAsia" w:hint="eastAsia"/>
          <w:sz w:val="24"/>
          <w:szCs w:val="22"/>
        </w:rPr>
        <w:t>三</w:t>
      </w:r>
      <w:r>
        <w:rPr>
          <w:rFonts w:eastAsiaTheme="minorEastAsia" w:hAnsiTheme="minorEastAsia"/>
          <w:sz w:val="24"/>
          <w:szCs w:val="22"/>
        </w:rPr>
        <w:t>项其他污染物进行现状监测。</w:t>
      </w:r>
      <w:r>
        <w:rPr>
          <w:rFonts w:eastAsiaTheme="minorEastAsia" w:hAnsiTheme="minorEastAsia"/>
          <w:sz w:val="24"/>
        </w:rPr>
        <w:t>监测点位信息见表</w:t>
      </w:r>
      <w:r>
        <w:rPr>
          <w:rFonts w:eastAsiaTheme="minorEastAsia"/>
          <w:sz w:val="24"/>
        </w:rPr>
        <w:t>4-2-2</w:t>
      </w:r>
      <w:r>
        <w:rPr>
          <w:rFonts w:eastAsiaTheme="minorEastAsia" w:hAnsiTheme="minorEastAsia"/>
          <w:sz w:val="24"/>
        </w:rPr>
        <w:t>及图</w:t>
      </w:r>
      <w:r>
        <w:rPr>
          <w:rFonts w:eastAsiaTheme="minorEastAsia"/>
          <w:sz w:val="24"/>
        </w:rPr>
        <w:t>4-2-1</w:t>
      </w:r>
      <w:r>
        <w:rPr>
          <w:rFonts w:eastAsiaTheme="minorEastAsia" w:hAnsiTheme="minorEastAsia"/>
          <w:sz w:val="24"/>
        </w:rPr>
        <w:t>，监测结果见表</w:t>
      </w:r>
      <w:r>
        <w:rPr>
          <w:rFonts w:eastAsiaTheme="minorEastAsia"/>
          <w:sz w:val="24"/>
        </w:rPr>
        <w:t>4-2-3</w:t>
      </w:r>
      <w:r>
        <w:rPr>
          <w:rFonts w:eastAsiaTheme="minorEastAsia" w:hAnsiTheme="minorEastAsia"/>
          <w:sz w:val="24"/>
        </w:rPr>
        <w:t>。</w:t>
      </w:r>
    </w:p>
    <w:p w14:paraId="3BEA6DE0" w14:textId="77777777" w:rsidR="00B14D53" w:rsidRDefault="00000000">
      <w:pPr>
        <w:jc w:val="center"/>
        <w:rPr>
          <w:b/>
          <w:bCs/>
        </w:rPr>
      </w:pPr>
      <w:r>
        <w:rPr>
          <w:rFonts w:hint="eastAsia"/>
          <w:b/>
          <w:bCs/>
        </w:rPr>
        <w:t>表</w:t>
      </w:r>
      <w:r>
        <w:rPr>
          <w:rFonts w:hint="eastAsia"/>
          <w:b/>
          <w:bCs/>
        </w:rPr>
        <w:t xml:space="preserve">4-2-2 </w:t>
      </w:r>
      <w:r>
        <w:rPr>
          <w:rFonts w:hint="eastAsia"/>
          <w:b/>
          <w:bCs/>
        </w:rPr>
        <w:t>其他污染物补充监测点基本信息</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1490"/>
        <w:gridCol w:w="1389"/>
        <w:gridCol w:w="1258"/>
        <w:gridCol w:w="1487"/>
        <w:gridCol w:w="729"/>
        <w:gridCol w:w="1010"/>
      </w:tblGrid>
      <w:tr w:rsidR="00B14D53" w14:paraId="025BB168" w14:textId="77777777">
        <w:trPr>
          <w:trHeight w:val="285"/>
        </w:trPr>
        <w:tc>
          <w:tcPr>
            <w:tcW w:w="568" w:type="pct"/>
            <w:vMerge w:val="restart"/>
            <w:tcBorders>
              <w:top w:val="single" w:sz="12" w:space="0" w:color="000000"/>
              <w:left w:val="nil"/>
              <w:bottom w:val="single" w:sz="4" w:space="0" w:color="000000"/>
              <w:right w:val="single" w:sz="4" w:space="0" w:color="000000"/>
            </w:tcBorders>
            <w:vAlign w:val="center"/>
          </w:tcPr>
          <w:p w14:paraId="2B860723" w14:textId="77777777" w:rsidR="00B14D53" w:rsidRDefault="00000000">
            <w:pPr>
              <w:contextualSpacing/>
              <w:jc w:val="center"/>
              <w:rPr>
                <w:rFonts w:eastAsiaTheme="minorEastAsia"/>
                <w:b/>
                <w:bCs/>
                <w:szCs w:val="21"/>
              </w:rPr>
            </w:pPr>
            <w:r>
              <w:rPr>
                <w:rFonts w:eastAsiaTheme="minorEastAsia" w:hAnsiTheme="minorEastAsia"/>
                <w:b/>
                <w:bCs/>
                <w:szCs w:val="21"/>
              </w:rPr>
              <w:t>监测点名称</w:t>
            </w:r>
          </w:p>
        </w:tc>
        <w:tc>
          <w:tcPr>
            <w:tcW w:w="1733" w:type="pct"/>
            <w:gridSpan w:val="2"/>
            <w:tcBorders>
              <w:top w:val="single" w:sz="12" w:space="0" w:color="000000"/>
              <w:left w:val="single" w:sz="4" w:space="0" w:color="000000"/>
              <w:bottom w:val="single" w:sz="4" w:space="0" w:color="auto"/>
              <w:right w:val="single" w:sz="4" w:space="0" w:color="000000"/>
            </w:tcBorders>
            <w:vAlign w:val="center"/>
          </w:tcPr>
          <w:p w14:paraId="4FCC9E9C" w14:textId="77777777" w:rsidR="00B14D53" w:rsidRDefault="00000000">
            <w:pPr>
              <w:contextualSpacing/>
              <w:jc w:val="center"/>
              <w:rPr>
                <w:rFonts w:eastAsiaTheme="minorEastAsia"/>
                <w:b/>
                <w:bCs/>
                <w:kern w:val="0"/>
                <w:szCs w:val="21"/>
              </w:rPr>
            </w:pPr>
            <w:r>
              <w:rPr>
                <w:rFonts w:eastAsiaTheme="minorEastAsia" w:hAnsiTheme="minorEastAsia"/>
                <w:b/>
                <w:bCs/>
                <w:kern w:val="0"/>
                <w:szCs w:val="21"/>
              </w:rPr>
              <w:t>监测点坐标</w:t>
            </w:r>
            <w:r>
              <w:rPr>
                <w:rFonts w:eastAsiaTheme="minorEastAsia"/>
                <w:b/>
                <w:bCs/>
                <w:kern w:val="0"/>
                <w:szCs w:val="21"/>
              </w:rPr>
              <w:t>/°</w:t>
            </w:r>
          </w:p>
        </w:tc>
        <w:tc>
          <w:tcPr>
            <w:tcW w:w="757" w:type="pct"/>
            <w:vMerge w:val="restart"/>
            <w:tcBorders>
              <w:top w:val="single" w:sz="12" w:space="0" w:color="000000"/>
              <w:left w:val="single" w:sz="4" w:space="0" w:color="000000"/>
              <w:bottom w:val="single" w:sz="4" w:space="0" w:color="000000"/>
              <w:right w:val="single" w:sz="4" w:space="0" w:color="000000"/>
            </w:tcBorders>
            <w:vAlign w:val="center"/>
          </w:tcPr>
          <w:p w14:paraId="77ED98CA" w14:textId="77777777" w:rsidR="00B14D53" w:rsidRDefault="00000000">
            <w:pPr>
              <w:contextualSpacing/>
              <w:jc w:val="center"/>
              <w:rPr>
                <w:rFonts w:eastAsiaTheme="minorEastAsia"/>
                <w:b/>
                <w:bCs/>
                <w:kern w:val="0"/>
                <w:szCs w:val="21"/>
              </w:rPr>
            </w:pPr>
            <w:r>
              <w:rPr>
                <w:rFonts w:eastAsiaTheme="minorEastAsia" w:hAnsiTheme="minorEastAsia"/>
                <w:b/>
                <w:bCs/>
                <w:kern w:val="0"/>
                <w:szCs w:val="21"/>
              </w:rPr>
              <w:t>监测因子</w:t>
            </w:r>
          </w:p>
        </w:tc>
        <w:tc>
          <w:tcPr>
            <w:tcW w:w="895" w:type="pct"/>
            <w:vMerge w:val="restart"/>
            <w:tcBorders>
              <w:top w:val="single" w:sz="12" w:space="0" w:color="000000"/>
              <w:left w:val="single" w:sz="4" w:space="0" w:color="000000"/>
              <w:bottom w:val="single" w:sz="4" w:space="0" w:color="000000"/>
              <w:right w:val="single" w:sz="4" w:space="0" w:color="000000"/>
            </w:tcBorders>
            <w:vAlign w:val="center"/>
          </w:tcPr>
          <w:p w14:paraId="710B8094" w14:textId="77777777" w:rsidR="00B14D53" w:rsidRDefault="00000000">
            <w:pPr>
              <w:contextualSpacing/>
              <w:jc w:val="center"/>
              <w:rPr>
                <w:rFonts w:eastAsiaTheme="minorEastAsia"/>
                <w:b/>
                <w:bCs/>
                <w:szCs w:val="21"/>
              </w:rPr>
            </w:pPr>
            <w:r>
              <w:rPr>
                <w:rFonts w:eastAsiaTheme="minorEastAsia" w:hAnsiTheme="minorEastAsia"/>
                <w:b/>
                <w:bCs/>
                <w:szCs w:val="21"/>
              </w:rPr>
              <w:t>监测时段</w:t>
            </w:r>
          </w:p>
        </w:tc>
        <w:tc>
          <w:tcPr>
            <w:tcW w:w="439" w:type="pct"/>
            <w:vMerge w:val="restart"/>
            <w:tcBorders>
              <w:top w:val="single" w:sz="12" w:space="0" w:color="000000"/>
              <w:left w:val="single" w:sz="4" w:space="0" w:color="000000"/>
              <w:bottom w:val="single" w:sz="4" w:space="0" w:color="000000"/>
              <w:right w:val="single" w:sz="4" w:space="0" w:color="000000"/>
            </w:tcBorders>
            <w:vAlign w:val="center"/>
          </w:tcPr>
          <w:p w14:paraId="6150B010" w14:textId="77777777" w:rsidR="00B14D53" w:rsidRDefault="00000000">
            <w:pPr>
              <w:contextualSpacing/>
              <w:jc w:val="center"/>
              <w:rPr>
                <w:rFonts w:eastAsiaTheme="minorEastAsia"/>
                <w:b/>
                <w:bCs/>
                <w:szCs w:val="21"/>
              </w:rPr>
            </w:pPr>
            <w:r>
              <w:rPr>
                <w:rFonts w:eastAsiaTheme="minorEastAsia" w:hAnsiTheme="minorEastAsia"/>
                <w:b/>
                <w:bCs/>
                <w:szCs w:val="21"/>
              </w:rPr>
              <w:t>相对厂址方位</w:t>
            </w:r>
          </w:p>
        </w:tc>
        <w:tc>
          <w:tcPr>
            <w:tcW w:w="608" w:type="pct"/>
            <w:vMerge w:val="restart"/>
            <w:tcBorders>
              <w:top w:val="single" w:sz="12" w:space="0" w:color="000000"/>
              <w:left w:val="single" w:sz="4" w:space="0" w:color="000000"/>
              <w:bottom w:val="single" w:sz="4" w:space="0" w:color="000000"/>
              <w:right w:val="nil"/>
            </w:tcBorders>
            <w:vAlign w:val="center"/>
          </w:tcPr>
          <w:p w14:paraId="6F7F5138" w14:textId="77777777" w:rsidR="00B14D53" w:rsidRDefault="00000000">
            <w:pPr>
              <w:contextualSpacing/>
              <w:jc w:val="center"/>
              <w:rPr>
                <w:rFonts w:eastAsiaTheme="minorEastAsia"/>
                <w:b/>
                <w:bCs/>
                <w:szCs w:val="21"/>
              </w:rPr>
            </w:pPr>
            <w:r>
              <w:rPr>
                <w:rFonts w:eastAsiaTheme="minorEastAsia" w:hAnsiTheme="minorEastAsia"/>
                <w:b/>
                <w:bCs/>
                <w:szCs w:val="21"/>
              </w:rPr>
              <w:t>相对厂界距离</w:t>
            </w:r>
            <w:r>
              <w:rPr>
                <w:rFonts w:eastAsiaTheme="minorEastAsia"/>
                <w:b/>
                <w:bCs/>
                <w:szCs w:val="21"/>
              </w:rPr>
              <w:t>/m</w:t>
            </w:r>
          </w:p>
        </w:tc>
      </w:tr>
      <w:tr w:rsidR="00B14D53" w14:paraId="455B0C32" w14:textId="77777777">
        <w:trPr>
          <w:trHeight w:val="190"/>
        </w:trPr>
        <w:tc>
          <w:tcPr>
            <w:tcW w:w="568" w:type="pct"/>
            <w:vMerge/>
            <w:tcBorders>
              <w:top w:val="single" w:sz="12" w:space="0" w:color="000000"/>
              <w:left w:val="nil"/>
              <w:bottom w:val="single" w:sz="4" w:space="0" w:color="000000"/>
              <w:right w:val="single" w:sz="4" w:space="0" w:color="000000"/>
            </w:tcBorders>
            <w:vAlign w:val="center"/>
          </w:tcPr>
          <w:p w14:paraId="12B1912A" w14:textId="77777777" w:rsidR="00B14D53" w:rsidRDefault="00B14D53">
            <w:pPr>
              <w:widowControl/>
              <w:contextualSpacing/>
              <w:jc w:val="left"/>
              <w:rPr>
                <w:rFonts w:eastAsiaTheme="minorEastAsia"/>
                <w:szCs w:val="21"/>
              </w:rPr>
            </w:pPr>
          </w:p>
        </w:tc>
        <w:tc>
          <w:tcPr>
            <w:tcW w:w="897" w:type="pct"/>
            <w:tcBorders>
              <w:top w:val="single" w:sz="4" w:space="0" w:color="auto"/>
              <w:left w:val="single" w:sz="4" w:space="0" w:color="000000"/>
              <w:bottom w:val="single" w:sz="4" w:space="0" w:color="000000"/>
              <w:right w:val="single" w:sz="4" w:space="0" w:color="auto"/>
            </w:tcBorders>
            <w:vAlign w:val="center"/>
          </w:tcPr>
          <w:p w14:paraId="411ABC72" w14:textId="77777777" w:rsidR="00B14D53" w:rsidRDefault="00000000">
            <w:pPr>
              <w:contextualSpacing/>
              <w:jc w:val="center"/>
              <w:rPr>
                <w:rFonts w:eastAsiaTheme="minorEastAsia"/>
                <w:b/>
                <w:bCs/>
                <w:kern w:val="0"/>
                <w:szCs w:val="21"/>
              </w:rPr>
            </w:pPr>
            <w:r>
              <w:rPr>
                <w:rFonts w:eastAsiaTheme="minorEastAsia" w:hAnsiTheme="minorEastAsia"/>
                <w:b/>
                <w:bCs/>
                <w:kern w:val="0"/>
                <w:szCs w:val="21"/>
              </w:rPr>
              <w:t>经度</w:t>
            </w:r>
          </w:p>
        </w:tc>
        <w:tc>
          <w:tcPr>
            <w:tcW w:w="835" w:type="pct"/>
            <w:tcBorders>
              <w:top w:val="single" w:sz="4" w:space="0" w:color="auto"/>
              <w:left w:val="single" w:sz="4" w:space="0" w:color="auto"/>
              <w:bottom w:val="single" w:sz="4" w:space="0" w:color="000000"/>
              <w:right w:val="single" w:sz="4" w:space="0" w:color="000000"/>
            </w:tcBorders>
            <w:vAlign w:val="center"/>
          </w:tcPr>
          <w:p w14:paraId="39BC3722" w14:textId="77777777" w:rsidR="00B14D53" w:rsidRDefault="00000000">
            <w:pPr>
              <w:contextualSpacing/>
              <w:jc w:val="center"/>
              <w:rPr>
                <w:rFonts w:eastAsiaTheme="minorEastAsia"/>
                <w:b/>
                <w:bCs/>
                <w:kern w:val="0"/>
                <w:szCs w:val="21"/>
              </w:rPr>
            </w:pPr>
            <w:r>
              <w:rPr>
                <w:rFonts w:eastAsiaTheme="minorEastAsia" w:hAnsiTheme="minorEastAsia"/>
                <w:b/>
                <w:bCs/>
                <w:kern w:val="0"/>
                <w:szCs w:val="21"/>
              </w:rPr>
              <w:t>纬度</w:t>
            </w:r>
          </w:p>
        </w:tc>
        <w:tc>
          <w:tcPr>
            <w:tcW w:w="757" w:type="pct"/>
            <w:vMerge/>
            <w:tcBorders>
              <w:top w:val="single" w:sz="12" w:space="0" w:color="000000"/>
              <w:left w:val="single" w:sz="4" w:space="0" w:color="000000"/>
              <w:bottom w:val="single" w:sz="4" w:space="0" w:color="000000"/>
              <w:right w:val="single" w:sz="4" w:space="0" w:color="000000"/>
            </w:tcBorders>
            <w:vAlign w:val="center"/>
          </w:tcPr>
          <w:p w14:paraId="049BE567" w14:textId="77777777" w:rsidR="00B14D53" w:rsidRDefault="00B14D53">
            <w:pPr>
              <w:widowControl/>
              <w:contextualSpacing/>
              <w:jc w:val="left"/>
              <w:rPr>
                <w:rFonts w:eastAsiaTheme="minorEastAsia"/>
                <w:kern w:val="0"/>
                <w:szCs w:val="21"/>
              </w:rPr>
            </w:pPr>
          </w:p>
        </w:tc>
        <w:tc>
          <w:tcPr>
            <w:tcW w:w="895" w:type="pct"/>
            <w:vMerge/>
            <w:tcBorders>
              <w:top w:val="single" w:sz="12" w:space="0" w:color="000000"/>
              <w:left w:val="single" w:sz="4" w:space="0" w:color="000000"/>
              <w:bottom w:val="single" w:sz="4" w:space="0" w:color="000000"/>
              <w:right w:val="single" w:sz="4" w:space="0" w:color="000000"/>
            </w:tcBorders>
            <w:vAlign w:val="center"/>
          </w:tcPr>
          <w:p w14:paraId="6BBC4FEC" w14:textId="77777777" w:rsidR="00B14D53" w:rsidRDefault="00B14D53">
            <w:pPr>
              <w:widowControl/>
              <w:contextualSpacing/>
              <w:jc w:val="left"/>
              <w:rPr>
                <w:rFonts w:eastAsiaTheme="minorEastAsia"/>
                <w:szCs w:val="21"/>
              </w:rPr>
            </w:pPr>
          </w:p>
        </w:tc>
        <w:tc>
          <w:tcPr>
            <w:tcW w:w="439" w:type="pct"/>
            <w:vMerge/>
            <w:tcBorders>
              <w:top w:val="single" w:sz="12" w:space="0" w:color="000000"/>
              <w:left w:val="single" w:sz="4" w:space="0" w:color="000000"/>
              <w:bottom w:val="single" w:sz="4" w:space="0" w:color="000000"/>
              <w:right w:val="single" w:sz="4" w:space="0" w:color="000000"/>
            </w:tcBorders>
            <w:vAlign w:val="center"/>
          </w:tcPr>
          <w:p w14:paraId="3252F0B8" w14:textId="77777777" w:rsidR="00B14D53" w:rsidRDefault="00B14D53">
            <w:pPr>
              <w:widowControl/>
              <w:contextualSpacing/>
              <w:jc w:val="left"/>
              <w:rPr>
                <w:rFonts w:eastAsiaTheme="minorEastAsia"/>
                <w:szCs w:val="21"/>
              </w:rPr>
            </w:pPr>
          </w:p>
        </w:tc>
        <w:tc>
          <w:tcPr>
            <w:tcW w:w="0" w:type="auto"/>
            <w:vMerge/>
            <w:tcBorders>
              <w:top w:val="single" w:sz="12" w:space="0" w:color="000000"/>
              <w:left w:val="single" w:sz="4" w:space="0" w:color="000000"/>
              <w:bottom w:val="single" w:sz="4" w:space="0" w:color="000000"/>
              <w:right w:val="nil"/>
            </w:tcBorders>
            <w:vAlign w:val="center"/>
          </w:tcPr>
          <w:p w14:paraId="32E9908C" w14:textId="77777777" w:rsidR="00B14D53" w:rsidRDefault="00B14D53">
            <w:pPr>
              <w:widowControl/>
              <w:contextualSpacing/>
              <w:jc w:val="left"/>
              <w:rPr>
                <w:rFonts w:eastAsiaTheme="minorEastAsia"/>
                <w:szCs w:val="21"/>
              </w:rPr>
            </w:pPr>
          </w:p>
        </w:tc>
      </w:tr>
      <w:tr w:rsidR="00B14D53" w14:paraId="43EB18ED" w14:textId="77777777">
        <w:tc>
          <w:tcPr>
            <w:tcW w:w="568" w:type="pct"/>
            <w:tcBorders>
              <w:top w:val="single" w:sz="4" w:space="0" w:color="000000"/>
              <w:left w:val="nil"/>
              <w:bottom w:val="single" w:sz="12" w:space="0" w:color="auto"/>
              <w:right w:val="single" w:sz="4" w:space="0" w:color="000000"/>
            </w:tcBorders>
            <w:vAlign w:val="center"/>
          </w:tcPr>
          <w:p w14:paraId="50EFC2FD" w14:textId="77777777" w:rsidR="00B14D53" w:rsidRDefault="00000000">
            <w:pPr>
              <w:contextualSpacing/>
              <w:jc w:val="center"/>
              <w:rPr>
                <w:rFonts w:eastAsiaTheme="minorEastAsia"/>
                <w:szCs w:val="21"/>
              </w:rPr>
            </w:pPr>
            <w:r>
              <w:rPr>
                <w:rFonts w:eastAsiaTheme="minorEastAsia" w:hAnsiTheme="minorEastAsia"/>
                <w:szCs w:val="21"/>
              </w:rPr>
              <w:t>厂址</w:t>
            </w:r>
            <w:r>
              <w:rPr>
                <w:rFonts w:eastAsiaTheme="minorEastAsia"/>
                <w:szCs w:val="21"/>
              </w:rPr>
              <w:t>○1</w:t>
            </w:r>
          </w:p>
        </w:tc>
        <w:tc>
          <w:tcPr>
            <w:tcW w:w="897" w:type="pct"/>
            <w:tcBorders>
              <w:top w:val="single" w:sz="4" w:space="0" w:color="000000"/>
              <w:left w:val="single" w:sz="4" w:space="0" w:color="000000"/>
              <w:bottom w:val="single" w:sz="12" w:space="0" w:color="auto"/>
              <w:right w:val="single" w:sz="4" w:space="0" w:color="auto"/>
            </w:tcBorders>
            <w:vAlign w:val="center"/>
          </w:tcPr>
          <w:p w14:paraId="1918422C" w14:textId="77777777" w:rsidR="00B14D53" w:rsidRDefault="00000000">
            <w:pPr>
              <w:contextualSpacing/>
              <w:jc w:val="center"/>
              <w:rPr>
                <w:rFonts w:eastAsiaTheme="minorEastAsia"/>
                <w:kern w:val="0"/>
                <w:szCs w:val="21"/>
              </w:rPr>
            </w:pPr>
            <w:r>
              <w:rPr>
                <w:rFonts w:eastAsiaTheme="minorEastAsia" w:hint="eastAsia"/>
                <w:kern w:val="0"/>
                <w:szCs w:val="21"/>
              </w:rPr>
              <w:t>127.222645</w:t>
            </w:r>
          </w:p>
        </w:tc>
        <w:tc>
          <w:tcPr>
            <w:tcW w:w="835" w:type="pct"/>
            <w:tcBorders>
              <w:top w:val="single" w:sz="4" w:space="0" w:color="000000"/>
              <w:left w:val="single" w:sz="4" w:space="0" w:color="auto"/>
              <w:bottom w:val="single" w:sz="12" w:space="0" w:color="auto"/>
              <w:right w:val="single" w:sz="4" w:space="0" w:color="000000"/>
            </w:tcBorders>
            <w:vAlign w:val="center"/>
          </w:tcPr>
          <w:p w14:paraId="52AF58CA" w14:textId="77777777" w:rsidR="00B14D53" w:rsidRDefault="00000000">
            <w:pPr>
              <w:contextualSpacing/>
              <w:jc w:val="center"/>
              <w:rPr>
                <w:rFonts w:eastAsiaTheme="minorEastAsia"/>
                <w:kern w:val="0"/>
                <w:szCs w:val="21"/>
              </w:rPr>
            </w:pPr>
            <w:r>
              <w:rPr>
                <w:rFonts w:eastAsiaTheme="minorEastAsia" w:hint="eastAsia"/>
                <w:kern w:val="0"/>
                <w:szCs w:val="21"/>
              </w:rPr>
              <w:t>44.699890</w:t>
            </w:r>
          </w:p>
        </w:tc>
        <w:tc>
          <w:tcPr>
            <w:tcW w:w="757" w:type="pct"/>
            <w:tcBorders>
              <w:top w:val="single" w:sz="4" w:space="0" w:color="000000"/>
              <w:left w:val="single" w:sz="4" w:space="0" w:color="000000"/>
              <w:bottom w:val="single" w:sz="12" w:space="0" w:color="auto"/>
              <w:right w:val="single" w:sz="4" w:space="0" w:color="000000"/>
            </w:tcBorders>
            <w:vAlign w:val="center"/>
          </w:tcPr>
          <w:p w14:paraId="2BEE302D" w14:textId="77777777" w:rsidR="00B14D53" w:rsidRDefault="00000000">
            <w:pPr>
              <w:contextualSpacing/>
              <w:jc w:val="center"/>
              <w:rPr>
                <w:rFonts w:eastAsiaTheme="minorEastAsia"/>
                <w:szCs w:val="21"/>
              </w:rPr>
            </w:pPr>
            <w:r>
              <w:rPr>
                <w:rFonts w:eastAsiaTheme="minorEastAsia"/>
                <w:kern w:val="0"/>
                <w:szCs w:val="21"/>
              </w:rPr>
              <w:t>NH</w:t>
            </w:r>
            <w:r>
              <w:rPr>
                <w:rFonts w:eastAsiaTheme="minorEastAsia"/>
                <w:kern w:val="0"/>
                <w:szCs w:val="21"/>
                <w:vertAlign w:val="subscript"/>
              </w:rPr>
              <w:t>3</w:t>
            </w:r>
            <w:r>
              <w:rPr>
                <w:rFonts w:eastAsiaTheme="minorEastAsia" w:hAnsiTheme="minorEastAsia"/>
                <w:kern w:val="0"/>
                <w:szCs w:val="21"/>
              </w:rPr>
              <w:t>、</w:t>
            </w:r>
            <w:r>
              <w:rPr>
                <w:rFonts w:eastAsiaTheme="minorEastAsia"/>
                <w:kern w:val="0"/>
                <w:szCs w:val="21"/>
              </w:rPr>
              <w:t>H</w:t>
            </w:r>
            <w:r>
              <w:rPr>
                <w:rFonts w:eastAsiaTheme="minorEastAsia"/>
                <w:kern w:val="0"/>
                <w:szCs w:val="21"/>
                <w:vertAlign w:val="subscript"/>
              </w:rPr>
              <w:t>2</w:t>
            </w:r>
            <w:r>
              <w:rPr>
                <w:rFonts w:eastAsiaTheme="minorEastAsia"/>
                <w:kern w:val="0"/>
                <w:szCs w:val="21"/>
              </w:rPr>
              <w:t>S</w:t>
            </w:r>
            <w:r>
              <w:rPr>
                <w:rFonts w:eastAsiaTheme="minorEastAsia" w:hint="eastAsia"/>
                <w:kern w:val="0"/>
                <w:szCs w:val="21"/>
              </w:rPr>
              <w:t>、</w:t>
            </w:r>
            <w:r>
              <w:rPr>
                <w:rFonts w:eastAsiaTheme="minorEastAsia"/>
                <w:kern w:val="0"/>
                <w:szCs w:val="21"/>
              </w:rPr>
              <w:t>TSP</w:t>
            </w:r>
          </w:p>
        </w:tc>
        <w:tc>
          <w:tcPr>
            <w:tcW w:w="895" w:type="pct"/>
            <w:tcBorders>
              <w:top w:val="single" w:sz="4" w:space="0" w:color="000000"/>
              <w:left w:val="single" w:sz="4" w:space="0" w:color="000000"/>
              <w:bottom w:val="single" w:sz="12" w:space="0" w:color="auto"/>
              <w:right w:val="single" w:sz="4" w:space="0" w:color="000000"/>
            </w:tcBorders>
            <w:vAlign w:val="center"/>
          </w:tcPr>
          <w:p w14:paraId="6BBAEC50" w14:textId="77777777" w:rsidR="00B14D53" w:rsidRDefault="00000000">
            <w:pPr>
              <w:contextualSpacing/>
              <w:jc w:val="center"/>
              <w:rPr>
                <w:rFonts w:eastAsiaTheme="minorEastAsia"/>
                <w:szCs w:val="21"/>
              </w:rPr>
            </w:pPr>
            <w:r>
              <w:rPr>
                <w:rFonts w:eastAsiaTheme="minorEastAsia" w:hint="eastAsia"/>
                <w:szCs w:val="21"/>
              </w:rPr>
              <w:t>2025</w:t>
            </w:r>
            <w:r>
              <w:rPr>
                <w:rFonts w:eastAsiaTheme="minorEastAsia" w:hint="eastAsia"/>
                <w:szCs w:val="21"/>
              </w:rPr>
              <w:t>年</w:t>
            </w:r>
            <w:r>
              <w:rPr>
                <w:rFonts w:eastAsiaTheme="minorEastAsia" w:hint="eastAsia"/>
                <w:szCs w:val="21"/>
              </w:rPr>
              <w:t>06</w:t>
            </w:r>
            <w:r>
              <w:rPr>
                <w:rFonts w:eastAsiaTheme="minorEastAsia" w:hint="eastAsia"/>
                <w:szCs w:val="21"/>
              </w:rPr>
              <w:t>月</w:t>
            </w:r>
            <w:r>
              <w:rPr>
                <w:rFonts w:eastAsiaTheme="minorEastAsia" w:hint="eastAsia"/>
                <w:szCs w:val="21"/>
              </w:rPr>
              <w:t>25</w:t>
            </w:r>
            <w:r>
              <w:rPr>
                <w:rFonts w:eastAsiaTheme="minorEastAsia" w:hint="eastAsia"/>
                <w:szCs w:val="21"/>
              </w:rPr>
              <w:t>日</w:t>
            </w:r>
            <w:r>
              <w:rPr>
                <w:rFonts w:eastAsiaTheme="minorEastAsia" w:hint="eastAsia"/>
                <w:szCs w:val="21"/>
              </w:rPr>
              <w:t>~07</w:t>
            </w:r>
            <w:r>
              <w:rPr>
                <w:rFonts w:eastAsiaTheme="minorEastAsia" w:hint="eastAsia"/>
                <w:szCs w:val="21"/>
              </w:rPr>
              <w:t>月</w:t>
            </w:r>
            <w:r>
              <w:rPr>
                <w:rFonts w:eastAsiaTheme="minorEastAsia" w:hint="eastAsia"/>
                <w:szCs w:val="21"/>
              </w:rPr>
              <w:t>01</w:t>
            </w:r>
            <w:r>
              <w:rPr>
                <w:rFonts w:eastAsiaTheme="minorEastAsia" w:hint="eastAsia"/>
                <w:szCs w:val="21"/>
              </w:rPr>
              <w:t>日</w:t>
            </w:r>
          </w:p>
        </w:tc>
        <w:tc>
          <w:tcPr>
            <w:tcW w:w="439" w:type="pct"/>
            <w:tcBorders>
              <w:top w:val="single" w:sz="4" w:space="0" w:color="000000"/>
              <w:left w:val="single" w:sz="4" w:space="0" w:color="000000"/>
              <w:bottom w:val="single" w:sz="12" w:space="0" w:color="auto"/>
              <w:right w:val="single" w:sz="4" w:space="0" w:color="000000"/>
            </w:tcBorders>
            <w:vAlign w:val="center"/>
          </w:tcPr>
          <w:p w14:paraId="7D089B37" w14:textId="77777777" w:rsidR="00B14D53" w:rsidRDefault="00000000">
            <w:pPr>
              <w:contextualSpacing/>
              <w:jc w:val="center"/>
              <w:rPr>
                <w:rFonts w:eastAsiaTheme="minorEastAsia"/>
                <w:szCs w:val="21"/>
              </w:rPr>
            </w:pPr>
            <w:r>
              <w:rPr>
                <w:rFonts w:eastAsiaTheme="minorEastAsia" w:hint="eastAsia"/>
                <w:szCs w:val="21"/>
              </w:rPr>
              <w:t>NE</w:t>
            </w:r>
          </w:p>
        </w:tc>
        <w:tc>
          <w:tcPr>
            <w:tcW w:w="608" w:type="pct"/>
            <w:tcBorders>
              <w:top w:val="single" w:sz="4" w:space="0" w:color="000000"/>
              <w:left w:val="single" w:sz="4" w:space="0" w:color="000000"/>
              <w:bottom w:val="single" w:sz="12" w:space="0" w:color="auto"/>
              <w:right w:val="nil"/>
            </w:tcBorders>
            <w:vAlign w:val="center"/>
          </w:tcPr>
          <w:p w14:paraId="4E378B62" w14:textId="77777777" w:rsidR="00B14D53" w:rsidRDefault="00000000">
            <w:pPr>
              <w:contextualSpacing/>
              <w:jc w:val="center"/>
              <w:rPr>
                <w:rFonts w:eastAsiaTheme="minorEastAsia"/>
                <w:szCs w:val="21"/>
              </w:rPr>
            </w:pPr>
            <w:r>
              <w:rPr>
                <w:rFonts w:eastAsiaTheme="minorEastAsia" w:hint="eastAsia"/>
                <w:szCs w:val="21"/>
              </w:rPr>
              <w:t>280</w:t>
            </w:r>
          </w:p>
        </w:tc>
      </w:tr>
    </w:tbl>
    <w:p w14:paraId="2D280C46" w14:textId="77777777" w:rsidR="00B14D53" w:rsidRDefault="00000000">
      <w:pPr>
        <w:jc w:val="center"/>
        <w:rPr>
          <w:b/>
          <w:bCs/>
        </w:rPr>
      </w:pPr>
      <w:r>
        <w:rPr>
          <w:noProof/>
        </w:rPr>
        <w:drawing>
          <wp:inline distT="0" distB="0" distL="114300" distR="114300" wp14:anchorId="328FE7F1" wp14:editId="55C1CFA8">
            <wp:extent cx="5267325" cy="3439795"/>
            <wp:effectExtent l="9525" t="9525" r="19050" b="17780"/>
            <wp:docPr id="1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
                    <pic:cNvPicPr>
                      <a:picLocks noChangeAspect="1"/>
                    </pic:cNvPicPr>
                  </pic:nvPicPr>
                  <pic:blipFill>
                    <a:blip r:embed="rId47"/>
                    <a:stretch>
                      <a:fillRect/>
                    </a:stretch>
                  </pic:blipFill>
                  <pic:spPr>
                    <a:xfrm>
                      <a:off x="0" y="0"/>
                      <a:ext cx="5267325" cy="3439795"/>
                    </a:xfrm>
                    <a:prstGeom prst="rect">
                      <a:avLst/>
                    </a:prstGeom>
                    <a:noFill/>
                    <a:ln>
                      <a:solidFill>
                        <a:schemeClr val="tx1"/>
                      </a:solidFill>
                    </a:ln>
                  </pic:spPr>
                </pic:pic>
              </a:graphicData>
            </a:graphic>
          </wp:inline>
        </w:drawing>
      </w:r>
      <w:r>
        <w:rPr>
          <w:rFonts w:hint="eastAsia"/>
          <w:b/>
          <w:bCs/>
        </w:rPr>
        <w:t>图</w:t>
      </w:r>
      <w:r>
        <w:rPr>
          <w:rFonts w:hint="eastAsia"/>
          <w:b/>
          <w:bCs/>
        </w:rPr>
        <w:t xml:space="preserve">4-2-1 </w:t>
      </w:r>
      <w:r>
        <w:rPr>
          <w:rFonts w:hint="eastAsia"/>
          <w:b/>
          <w:bCs/>
        </w:rPr>
        <w:t>环境空气补充监测点位图</w:t>
      </w:r>
    </w:p>
    <w:p w14:paraId="746B9A8A" w14:textId="77777777" w:rsidR="00B14D53" w:rsidRDefault="00000000">
      <w:pPr>
        <w:jc w:val="center"/>
        <w:rPr>
          <w:b/>
          <w:bCs/>
        </w:rPr>
      </w:pPr>
      <w:r>
        <w:rPr>
          <w:rFonts w:hint="eastAsia"/>
          <w:b/>
          <w:bCs/>
        </w:rPr>
        <w:t>表</w:t>
      </w:r>
      <w:r>
        <w:rPr>
          <w:rFonts w:hint="eastAsia"/>
          <w:b/>
          <w:bCs/>
        </w:rPr>
        <w:t xml:space="preserve">4-2-3 </w:t>
      </w:r>
      <w:r>
        <w:rPr>
          <w:rFonts w:hint="eastAsia"/>
          <w:b/>
          <w:bCs/>
        </w:rPr>
        <w:t>其他污染物环境质量现状（监测结果）表</w:t>
      </w:r>
    </w:p>
    <w:tbl>
      <w:tblPr>
        <w:tblW w:w="51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516"/>
        <w:gridCol w:w="1307"/>
        <w:gridCol w:w="605"/>
        <w:gridCol w:w="704"/>
        <w:gridCol w:w="998"/>
        <w:gridCol w:w="1190"/>
        <w:gridCol w:w="546"/>
        <w:gridCol w:w="485"/>
        <w:gridCol w:w="427"/>
      </w:tblGrid>
      <w:tr w:rsidR="00B14D53" w14:paraId="663B27AE" w14:textId="77777777">
        <w:trPr>
          <w:trHeight w:val="634"/>
          <w:jc w:val="center"/>
        </w:trPr>
        <w:tc>
          <w:tcPr>
            <w:tcW w:w="417" w:type="pct"/>
            <w:vMerge w:val="restart"/>
            <w:tcBorders>
              <w:top w:val="single" w:sz="12" w:space="0" w:color="000000"/>
              <w:left w:val="nil"/>
              <w:bottom w:val="single" w:sz="4" w:space="0" w:color="000000"/>
              <w:right w:val="single" w:sz="4" w:space="0" w:color="000000"/>
            </w:tcBorders>
            <w:vAlign w:val="center"/>
          </w:tcPr>
          <w:p w14:paraId="5F149A6A" w14:textId="77777777" w:rsidR="00B14D53" w:rsidRDefault="00000000">
            <w:pPr>
              <w:jc w:val="center"/>
              <w:rPr>
                <w:rFonts w:eastAsiaTheme="minorEastAsia"/>
                <w:b/>
                <w:bCs/>
                <w:kern w:val="0"/>
                <w:szCs w:val="21"/>
              </w:rPr>
            </w:pPr>
            <w:r>
              <w:rPr>
                <w:rFonts w:eastAsiaTheme="minorEastAsia" w:hAnsiTheme="minorEastAsia"/>
                <w:b/>
                <w:bCs/>
                <w:kern w:val="0"/>
                <w:szCs w:val="21"/>
              </w:rPr>
              <w:t>监测点位</w:t>
            </w:r>
          </w:p>
        </w:tc>
        <w:tc>
          <w:tcPr>
            <w:tcW w:w="1675" w:type="pct"/>
            <w:gridSpan w:val="2"/>
            <w:tcBorders>
              <w:top w:val="single" w:sz="12" w:space="0" w:color="000000"/>
              <w:left w:val="single" w:sz="4" w:space="0" w:color="000000"/>
              <w:bottom w:val="single" w:sz="4" w:space="0" w:color="auto"/>
              <w:right w:val="single" w:sz="4" w:space="0" w:color="000000"/>
            </w:tcBorders>
            <w:vAlign w:val="center"/>
          </w:tcPr>
          <w:p w14:paraId="3474BF22" w14:textId="77777777" w:rsidR="00B14D53" w:rsidRDefault="00000000">
            <w:pPr>
              <w:jc w:val="center"/>
              <w:rPr>
                <w:rFonts w:eastAsiaTheme="minorEastAsia"/>
                <w:b/>
                <w:bCs/>
                <w:kern w:val="0"/>
                <w:szCs w:val="21"/>
              </w:rPr>
            </w:pPr>
            <w:r>
              <w:rPr>
                <w:rFonts w:eastAsiaTheme="minorEastAsia" w:hAnsiTheme="minorEastAsia"/>
                <w:b/>
                <w:bCs/>
                <w:kern w:val="0"/>
                <w:szCs w:val="21"/>
              </w:rPr>
              <w:t>监测点坐标</w:t>
            </w:r>
            <w:r>
              <w:rPr>
                <w:rFonts w:eastAsiaTheme="minorEastAsia"/>
                <w:b/>
                <w:bCs/>
                <w:kern w:val="0"/>
                <w:szCs w:val="21"/>
              </w:rPr>
              <w:t>/°</w:t>
            </w:r>
          </w:p>
        </w:tc>
        <w:tc>
          <w:tcPr>
            <w:tcW w:w="363" w:type="pct"/>
            <w:vMerge w:val="restart"/>
            <w:tcBorders>
              <w:top w:val="single" w:sz="12" w:space="0" w:color="000000"/>
              <w:left w:val="single" w:sz="4" w:space="0" w:color="000000"/>
              <w:bottom w:val="single" w:sz="4" w:space="0" w:color="000000"/>
              <w:right w:val="single" w:sz="4" w:space="0" w:color="000000"/>
            </w:tcBorders>
            <w:vAlign w:val="center"/>
          </w:tcPr>
          <w:p w14:paraId="7DD54108" w14:textId="77777777" w:rsidR="00B14D53" w:rsidRDefault="00000000">
            <w:pPr>
              <w:jc w:val="center"/>
              <w:rPr>
                <w:rFonts w:eastAsiaTheme="minorEastAsia"/>
                <w:b/>
                <w:bCs/>
                <w:kern w:val="0"/>
                <w:szCs w:val="21"/>
              </w:rPr>
            </w:pPr>
            <w:r>
              <w:rPr>
                <w:rFonts w:eastAsiaTheme="minorEastAsia" w:hAnsiTheme="minorEastAsia"/>
                <w:b/>
                <w:bCs/>
                <w:kern w:val="0"/>
                <w:szCs w:val="21"/>
              </w:rPr>
              <w:t>污染物</w:t>
            </w:r>
          </w:p>
        </w:tc>
        <w:tc>
          <w:tcPr>
            <w:tcW w:w="420" w:type="pct"/>
            <w:vMerge w:val="restart"/>
            <w:tcBorders>
              <w:top w:val="single" w:sz="12" w:space="0" w:color="000000"/>
              <w:left w:val="single" w:sz="4" w:space="0" w:color="000000"/>
              <w:bottom w:val="single" w:sz="4" w:space="0" w:color="000000"/>
              <w:right w:val="single" w:sz="4" w:space="0" w:color="000000"/>
            </w:tcBorders>
            <w:vAlign w:val="center"/>
          </w:tcPr>
          <w:p w14:paraId="792CCD42" w14:textId="77777777" w:rsidR="00B14D53" w:rsidRDefault="00000000">
            <w:pPr>
              <w:jc w:val="center"/>
              <w:rPr>
                <w:rFonts w:eastAsiaTheme="minorEastAsia"/>
                <w:b/>
                <w:bCs/>
                <w:kern w:val="0"/>
                <w:szCs w:val="21"/>
              </w:rPr>
            </w:pPr>
            <w:r>
              <w:rPr>
                <w:rFonts w:eastAsiaTheme="minorEastAsia" w:hAnsiTheme="minorEastAsia"/>
                <w:b/>
                <w:bCs/>
                <w:kern w:val="0"/>
                <w:szCs w:val="21"/>
              </w:rPr>
              <w:t>平均时间</w:t>
            </w:r>
          </w:p>
        </w:tc>
        <w:tc>
          <w:tcPr>
            <w:tcW w:w="573" w:type="pct"/>
            <w:vMerge w:val="restart"/>
            <w:tcBorders>
              <w:top w:val="single" w:sz="12" w:space="0" w:color="000000"/>
              <w:left w:val="single" w:sz="4" w:space="0" w:color="000000"/>
              <w:bottom w:val="single" w:sz="4" w:space="0" w:color="000000"/>
              <w:right w:val="single" w:sz="4" w:space="0" w:color="000000"/>
            </w:tcBorders>
            <w:vAlign w:val="center"/>
          </w:tcPr>
          <w:p w14:paraId="46CB58D5" w14:textId="77777777" w:rsidR="00B14D53" w:rsidRDefault="00000000">
            <w:pPr>
              <w:jc w:val="center"/>
              <w:rPr>
                <w:rFonts w:eastAsiaTheme="minorEastAsia"/>
                <w:b/>
                <w:bCs/>
                <w:kern w:val="0"/>
                <w:szCs w:val="21"/>
              </w:rPr>
            </w:pPr>
            <w:r>
              <w:rPr>
                <w:rFonts w:eastAsiaTheme="minorEastAsia" w:hAnsiTheme="minorEastAsia"/>
                <w:b/>
                <w:bCs/>
                <w:kern w:val="0"/>
                <w:szCs w:val="21"/>
              </w:rPr>
              <w:t>评价标准</w:t>
            </w:r>
            <w:r>
              <w:rPr>
                <w:rFonts w:eastAsiaTheme="minorEastAsia"/>
                <w:b/>
                <w:bCs/>
                <w:kern w:val="0"/>
                <w:szCs w:val="21"/>
              </w:rPr>
              <w:t>/(</w:t>
            </w:r>
            <w:r>
              <w:rPr>
                <w:rFonts w:eastAsiaTheme="minorEastAsia" w:hint="eastAsia"/>
                <w:b/>
                <w:bCs/>
                <w:kern w:val="0"/>
                <w:szCs w:val="21"/>
              </w:rPr>
              <w:t>m</w:t>
            </w:r>
            <w:r>
              <w:rPr>
                <w:rFonts w:eastAsiaTheme="minorEastAsia"/>
                <w:b/>
                <w:bCs/>
                <w:kern w:val="0"/>
                <w:szCs w:val="21"/>
              </w:rPr>
              <w:t>g/m</w:t>
            </w:r>
            <w:r>
              <w:rPr>
                <w:rFonts w:eastAsiaTheme="minorEastAsia"/>
                <w:b/>
                <w:bCs/>
                <w:kern w:val="0"/>
                <w:szCs w:val="21"/>
                <w:vertAlign w:val="superscript"/>
              </w:rPr>
              <w:t>3</w:t>
            </w:r>
            <w:r>
              <w:rPr>
                <w:rFonts w:eastAsiaTheme="minorEastAsia"/>
                <w:b/>
                <w:bCs/>
                <w:kern w:val="0"/>
                <w:szCs w:val="21"/>
              </w:rPr>
              <w:t>)</w:t>
            </w:r>
          </w:p>
        </w:tc>
        <w:tc>
          <w:tcPr>
            <w:tcW w:w="707" w:type="pct"/>
            <w:vMerge w:val="restart"/>
            <w:tcBorders>
              <w:top w:val="single" w:sz="12" w:space="0" w:color="000000"/>
              <w:left w:val="single" w:sz="4" w:space="0" w:color="000000"/>
              <w:bottom w:val="single" w:sz="4" w:space="0" w:color="000000"/>
              <w:right w:val="single" w:sz="4" w:space="0" w:color="000000"/>
            </w:tcBorders>
            <w:vAlign w:val="center"/>
          </w:tcPr>
          <w:p w14:paraId="021BC6F6" w14:textId="77777777" w:rsidR="00B14D53" w:rsidRDefault="00000000">
            <w:pPr>
              <w:jc w:val="center"/>
              <w:rPr>
                <w:rFonts w:eastAsiaTheme="minorEastAsia"/>
                <w:b/>
                <w:bCs/>
                <w:kern w:val="0"/>
                <w:szCs w:val="21"/>
              </w:rPr>
            </w:pPr>
            <w:r>
              <w:rPr>
                <w:rFonts w:eastAsiaTheme="minorEastAsia" w:hAnsiTheme="minorEastAsia"/>
                <w:b/>
                <w:bCs/>
                <w:kern w:val="0"/>
                <w:szCs w:val="21"/>
              </w:rPr>
              <w:t>监测浓度范围</w:t>
            </w:r>
            <w:r>
              <w:rPr>
                <w:rFonts w:eastAsiaTheme="minorEastAsia"/>
                <w:b/>
                <w:bCs/>
                <w:kern w:val="0"/>
                <w:szCs w:val="21"/>
              </w:rPr>
              <w:t>/(</w:t>
            </w:r>
            <w:r>
              <w:rPr>
                <w:rFonts w:eastAsiaTheme="minorEastAsia" w:hint="eastAsia"/>
                <w:b/>
                <w:bCs/>
                <w:kern w:val="0"/>
                <w:szCs w:val="21"/>
              </w:rPr>
              <w:t>m</w:t>
            </w:r>
            <w:r>
              <w:rPr>
                <w:rFonts w:eastAsiaTheme="minorEastAsia"/>
                <w:b/>
                <w:bCs/>
                <w:kern w:val="0"/>
                <w:szCs w:val="21"/>
              </w:rPr>
              <w:t>g/m</w:t>
            </w:r>
            <w:r>
              <w:rPr>
                <w:rFonts w:eastAsiaTheme="minorEastAsia"/>
                <w:b/>
                <w:bCs/>
                <w:kern w:val="0"/>
                <w:szCs w:val="21"/>
                <w:vertAlign w:val="superscript"/>
              </w:rPr>
              <w:t>3</w:t>
            </w:r>
            <w:r>
              <w:rPr>
                <w:rFonts w:eastAsiaTheme="minorEastAsia"/>
                <w:b/>
                <w:bCs/>
                <w:kern w:val="0"/>
                <w:szCs w:val="21"/>
              </w:rPr>
              <w:t>)</w:t>
            </w:r>
          </w:p>
        </w:tc>
        <w:tc>
          <w:tcPr>
            <w:tcW w:w="328" w:type="pct"/>
            <w:vMerge w:val="restart"/>
            <w:tcBorders>
              <w:top w:val="single" w:sz="12" w:space="0" w:color="000000"/>
              <w:left w:val="single" w:sz="4" w:space="0" w:color="000000"/>
              <w:bottom w:val="single" w:sz="4" w:space="0" w:color="000000"/>
              <w:right w:val="single" w:sz="4" w:space="0" w:color="000000"/>
            </w:tcBorders>
            <w:vAlign w:val="center"/>
          </w:tcPr>
          <w:p w14:paraId="7EAC8E33" w14:textId="77777777" w:rsidR="00B14D53" w:rsidRDefault="00000000">
            <w:pPr>
              <w:jc w:val="center"/>
              <w:rPr>
                <w:rFonts w:eastAsiaTheme="minorEastAsia"/>
                <w:b/>
                <w:bCs/>
                <w:kern w:val="0"/>
                <w:szCs w:val="21"/>
              </w:rPr>
            </w:pPr>
            <w:r>
              <w:rPr>
                <w:rFonts w:eastAsiaTheme="minorEastAsia" w:hAnsiTheme="minorEastAsia"/>
                <w:b/>
                <w:bCs/>
                <w:kern w:val="0"/>
                <w:szCs w:val="21"/>
              </w:rPr>
              <w:t>最大浓度占标率</w:t>
            </w:r>
            <w:r>
              <w:rPr>
                <w:rFonts w:eastAsiaTheme="minorEastAsia"/>
                <w:b/>
                <w:bCs/>
                <w:kern w:val="0"/>
                <w:szCs w:val="21"/>
              </w:rPr>
              <w:t>/%</w:t>
            </w:r>
          </w:p>
        </w:tc>
        <w:tc>
          <w:tcPr>
            <w:tcW w:w="262" w:type="pct"/>
            <w:vMerge w:val="restart"/>
            <w:tcBorders>
              <w:top w:val="single" w:sz="12" w:space="0" w:color="000000"/>
              <w:left w:val="single" w:sz="4" w:space="0" w:color="000000"/>
              <w:bottom w:val="single" w:sz="4" w:space="0" w:color="000000"/>
              <w:right w:val="single" w:sz="4" w:space="0" w:color="000000"/>
            </w:tcBorders>
            <w:vAlign w:val="center"/>
          </w:tcPr>
          <w:p w14:paraId="3CD83BA2" w14:textId="77777777" w:rsidR="00B14D53" w:rsidRDefault="00000000">
            <w:pPr>
              <w:jc w:val="center"/>
              <w:rPr>
                <w:rFonts w:eastAsiaTheme="minorEastAsia"/>
                <w:b/>
                <w:bCs/>
                <w:kern w:val="0"/>
                <w:szCs w:val="21"/>
              </w:rPr>
            </w:pPr>
            <w:r>
              <w:rPr>
                <w:rFonts w:eastAsiaTheme="minorEastAsia" w:hAnsiTheme="minorEastAsia"/>
                <w:b/>
                <w:bCs/>
                <w:kern w:val="0"/>
                <w:szCs w:val="21"/>
              </w:rPr>
              <w:t>超标率</w:t>
            </w:r>
            <w:r>
              <w:rPr>
                <w:rFonts w:eastAsiaTheme="minorEastAsia"/>
                <w:b/>
                <w:bCs/>
                <w:kern w:val="0"/>
                <w:szCs w:val="21"/>
              </w:rPr>
              <w:t>/%</w:t>
            </w:r>
          </w:p>
        </w:tc>
        <w:tc>
          <w:tcPr>
            <w:tcW w:w="249" w:type="pct"/>
            <w:vMerge w:val="restart"/>
            <w:tcBorders>
              <w:top w:val="single" w:sz="12" w:space="0" w:color="000000"/>
              <w:left w:val="single" w:sz="4" w:space="0" w:color="000000"/>
              <w:bottom w:val="single" w:sz="4" w:space="0" w:color="000000"/>
              <w:right w:val="nil"/>
            </w:tcBorders>
            <w:vAlign w:val="center"/>
          </w:tcPr>
          <w:p w14:paraId="4E747F0E" w14:textId="77777777" w:rsidR="00B14D53" w:rsidRDefault="00000000">
            <w:pPr>
              <w:jc w:val="center"/>
              <w:rPr>
                <w:rFonts w:eastAsiaTheme="minorEastAsia"/>
                <w:b/>
                <w:bCs/>
                <w:kern w:val="0"/>
                <w:szCs w:val="21"/>
              </w:rPr>
            </w:pPr>
            <w:r>
              <w:rPr>
                <w:rFonts w:eastAsiaTheme="minorEastAsia" w:hAnsiTheme="minorEastAsia"/>
                <w:b/>
                <w:bCs/>
                <w:kern w:val="0"/>
                <w:szCs w:val="21"/>
              </w:rPr>
              <w:t>达标情况</w:t>
            </w:r>
          </w:p>
        </w:tc>
      </w:tr>
      <w:tr w:rsidR="00B14D53" w14:paraId="5E327FBA" w14:textId="77777777">
        <w:trPr>
          <w:trHeight w:val="56"/>
          <w:jc w:val="center"/>
        </w:trPr>
        <w:tc>
          <w:tcPr>
            <w:tcW w:w="417" w:type="pct"/>
            <w:vMerge/>
            <w:tcBorders>
              <w:top w:val="single" w:sz="12" w:space="0" w:color="000000"/>
              <w:left w:val="nil"/>
              <w:bottom w:val="single" w:sz="4" w:space="0" w:color="auto"/>
              <w:right w:val="single" w:sz="4" w:space="0" w:color="000000"/>
            </w:tcBorders>
            <w:vAlign w:val="center"/>
          </w:tcPr>
          <w:p w14:paraId="066E3820" w14:textId="77777777" w:rsidR="00B14D53" w:rsidRDefault="00B14D53">
            <w:pPr>
              <w:widowControl/>
              <w:jc w:val="left"/>
              <w:rPr>
                <w:rFonts w:eastAsiaTheme="minorEastAsia"/>
                <w:kern w:val="0"/>
                <w:szCs w:val="21"/>
              </w:rPr>
            </w:pPr>
          </w:p>
        </w:tc>
        <w:tc>
          <w:tcPr>
            <w:tcW w:w="899" w:type="pct"/>
            <w:tcBorders>
              <w:top w:val="single" w:sz="4" w:space="0" w:color="auto"/>
              <w:left w:val="single" w:sz="4" w:space="0" w:color="000000"/>
              <w:bottom w:val="single" w:sz="4" w:space="0" w:color="auto"/>
              <w:right w:val="single" w:sz="4" w:space="0" w:color="auto"/>
            </w:tcBorders>
            <w:vAlign w:val="center"/>
          </w:tcPr>
          <w:p w14:paraId="4D6BC50B" w14:textId="77777777" w:rsidR="00B14D53" w:rsidRDefault="00000000">
            <w:pPr>
              <w:jc w:val="center"/>
              <w:rPr>
                <w:rFonts w:eastAsiaTheme="minorEastAsia"/>
                <w:b/>
                <w:bCs/>
                <w:kern w:val="0"/>
                <w:szCs w:val="21"/>
              </w:rPr>
            </w:pPr>
            <w:r>
              <w:rPr>
                <w:rFonts w:eastAsiaTheme="minorEastAsia" w:hAnsiTheme="minorEastAsia"/>
                <w:b/>
                <w:bCs/>
                <w:kern w:val="0"/>
                <w:szCs w:val="21"/>
              </w:rPr>
              <w:t>经度</w:t>
            </w:r>
          </w:p>
        </w:tc>
        <w:tc>
          <w:tcPr>
            <w:tcW w:w="776" w:type="pct"/>
            <w:tcBorders>
              <w:top w:val="single" w:sz="4" w:space="0" w:color="auto"/>
              <w:left w:val="single" w:sz="4" w:space="0" w:color="auto"/>
              <w:bottom w:val="single" w:sz="4" w:space="0" w:color="auto"/>
              <w:right w:val="single" w:sz="4" w:space="0" w:color="000000"/>
            </w:tcBorders>
            <w:vAlign w:val="center"/>
          </w:tcPr>
          <w:p w14:paraId="3A731149" w14:textId="77777777" w:rsidR="00B14D53" w:rsidRDefault="00000000">
            <w:pPr>
              <w:jc w:val="center"/>
              <w:rPr>
                <w:rFonts w:eastAsiaTheme="minorEastAsia"/>
                <w:b/>
                <w:bCs/>
                <w:kern w:val="0"/>
                <w:szCs w:val="21"/>
              </w:rPr>
            </w:pPr>
            <w:r>
              <w:rPr>
                <w:rFonts w:eastAsiaTheme="minorEastAsia" w:hAnsiTheme="minorEastAsia"/>
                <w:b/>
                <w:bCs/>
                <w:kern w:val="0"/>
                <w:szCs w:val="21"/>
              </w:rPr>
              <w:t>纬度</w:t>
            </w:r>
          </w:p>
        </w:tc>
        <w:tc>
          <w:tcPr>
            <w:tcW w:w="363" w:type="pct"/>
            <w:vMerge/>
            <w:tcBorders>
              <w:top w:val="single" w:sz="12" w:space="0" w:color="000000"/>
              <w:left w:val="single" w:sz="4" w:space="0" w:color="000000"/>
              <w:bottom w:val="single" w:sz="4" w:space="0" w:color="000000"/>
              <w:right w:val="single" w:sz="4" w:space="0" w:color="000000"/>
            </w:tcBorders>
            <w:vAlign w:val="center"/>
          </w:tcPr>
          <w:p w14:paraId="6B6AF2A3" w14:textId="77777777" w:rsidR="00B14D53" w:rsidRDefault="00B14D53">
            <w:pPr>
              <w:widowControl/>
              <w:jc w:val="left"/>
              <w:rPr>
                <w:rFonts w:eastAsiaTheme="minorEastAsia"/>
                <w:kern w:val="0"/>
                <w:szCs w:val="21"/>
              </w:rPr>
            </w:pPr>
          </w:p>
        </w:tc>
        <w:tc>
          <w:tcPr>
            <w:tcW w:w="420" w:type="pct"/>
            <w:vMerge/>
            <w:tcBorders>
              <w:top w:val="single" w:sz="12" w:space="0" w:color="000000"/>
              <w:left w:val="single" w:sz="4" w:space="0" w:color="000000"/>
              <w:bottom w:val="single" w:sz="4" w:space="0" w:color="000000"/>
              <w:right w:val="single" w:sz="4" w:space="0" w:color="000000"/>
            </w:tcBorders>
            <w:vAlign w:val="center"/>
          </w:tcPr>
          <w:p w14:paraId="00EB3E3F" w14:textId="77777777" w:rsidR="00B14D53" w:rsidRDefault="00B14D53">
            <w:pPr>
              <w:widowControl/>
              <w:jc w:val="left"/>
              <w:rPr>
                <w:rFonts w:eastAsiaTheme="minorEastAsia"/>
                <w:kern w:val="0"/>
                <w:szCs w:val="21"/>
              </w:rPr>
            </w:pPr>
          </w:p>
        </w:tc>
        <w:tc>
          <w:tcPr>
            <w:tcW w:w="573" w:type="pct"/>
            <w:vMerge/>
            <w:tcBorders>
              <w:top w:val="single" w:sz="12" w:space="0" w:color="000000"/>
              <w:left w:val="single" w:sz="4" w:space="0" w:color="000000"/>
              <w:bottom w:val="single" w:sz="4" w:space="0" w:color="000000"/>
              <w:right w:val="single" w:sz="4" w:space="0" w:color="000000"/>
            </w:tcBorders>
            <w:vAlign w:val="center"/>
          </w:tcPr>
          <w:p w14:paraId="5BBFA112" w14:textId="77777777" w:rsidR="00B14D53" w:rsidRDefault="00B14D53">
            <w:pPr>
              <w:widowControl/>
              <w:jc w:val="left"/>
              <w:rPr>
                <w:rFonts w:eastAsiaTheme="minorEastAsia"/>
                <w:kern w:val="0"/>
                <w:szCs w:val="21"/>
              </w:rPr>
            </w:pPr>
          </w:p>
        </w:tc>
        <w:tc>
          <w:tcPr>
            <w:tcW w:w="707" w:type="pct"/>
            <w:vMerge/>
            <w:tcBorders>
              <w:top w:val="single" w:sz="12" w:space="0" w:color="000000"/>
              <w:left w:val="single" w:sz="4" w:space="0" w:color="000000"/>
              <w:bottom w:val="single" w:sz="4" w:space="0" w:color="000000"/>
              <w:right w:val="single" w:sz="4" w:space="0" w:color="000000"/>
            </w:tcBorders>
            <w:vAlign w:val="center"/>
          </w:tcPr>
          <w:p w14:paraId="6193137E" w14:textId="77777777" w:rsidR="00B14D53" w:rsidRDefault="00B14D53">
            <w:pPr>
              <w:widowControl/>
              <w:jc w:val="left"/>
              <w:rPr>
                <w:rFonts w:eastAsiaTheme="minorEastAsia"/>
                <w:kern w:val="0"/>
                <w:szCs w:val="21"/>
              </w:rPr>
            </w:pPr>
          </w:p>
        </w:tc>
        <w:tc>
          <w:tcPr>
            <w:tcW w:w="328" w:type="pct"/>
            <w:vMerge/>
            <w:tcBorders>
              <w:top w:val="single" w:sz="12" w:space="0" w:color="000000"/>
              <w:left w:val="single" w:sz="4" w:space="0" w:color="000000"/>
              <w:bottom w:val="single" w:sz="4" w:space="0" w:color="000000"/>
              <w:right w:val="single" w:sz="4" w:space="0" w:color="000000"/>
            </w:tcBorders>
            <w:vAlign w:val="center"/>
          </w:tcPr>
          <w:p w14:paraId="625FB9EA" w14:textId="77777777" w:rsidR="00B14D53" w:rsidRDefault="00B14D53">
            <w:pPr>
              <w:widowControl/>
              <w:jc w:val="left"/>
              <w:rPr>
                <w:rFonts w:eastAsiaTheme="minorEastAsia"/>
                <w:kern w:val="0"/>
                <w:szCs w:val="21"/>
              </w:rPr>
            </w:pPr>
          </w:p>
        </w:tc>
        <w:tc>
          <w:tcPr>
            <w:tcW w:w="0" w:type="auto"/>
            <w:vMerge/>
            <w:tcBorders>
              <w:top w:val="single" w:sz="12" w:space="0" w:color="000000"/>
              <w:left w:val="single" w:sz="4" w:space="0" w:color="000000"/>
              <w:bottom w:val="single" w:sz="4" w:space="0" w:color="auto"/>
              <w:right w:val="single" w:sz="4" w:space="0" w:color="000000"/>
            </w:tcBorders>
            <w:vAlign w:val="center"/>
          </w:tcPr>
          <w:p w14:paraId="0D6C2A7D" w14:textId="77777777" w:rsidR="00B14D53" w:rsidRDefault="00B14D53">
            <w:pPr>
              <w:widowControl/>
              <w:jc w:val="left"/>
              <w:rPr>
                <w:rFonts w:eastAsiaTheme="minorEastAsia"/>
                <w:kern w:val="0"/>
                <w:szCs w:val="21"/>
              </w:rPr>
            </w:pPr>
          </w:p>
        </w:tc>
        <w:tc>
          <w:tcPr>
            <w:tcW w:w="0" w:type="auto"/>
            <w:vMerge/>
            <w:tcBorders>
              <w:top w:val="single" w:sz="12" w:space="0" w:color="000000"/>
              <w:left w:val="single" w:sz="4" w:space="0" w:color="000000"/>
              <w:bottom w:val="single" w:sz="4" w:space="0" w:color="auto"/>
              <w:right w:val="nil"/>
            </w:tcBorders>
            <w:vAlign w:val="center"/>
          </w:tcPr>
          <w:p w14:paraId="09A6C725" w14:textId="77777777" w:rsidR="00B14D53" w:rsidRDefault="00B14D53">
            <w:pPr>
              <w:widowControl/>
              <w:jc w:val="left"/>
              <w:rPr>
                <w:rFonts w:eastAsiaTheme="minorEastAsia"/>
                <w:kern w:val="0"/>
                <w:szCs w:val="21"/>
              </w:rPr>
            </w:pPr>
          </w:p>
        </w:tc>
      </w:tr>
      <w:tr w:rsidR="00B14D53" w14:paraId="03460FCB" w14:textId="77777777">
        <w:trPr>
          <w:trHeight w:val="40"/>
          <w:jc w:val="center"/>
        </w:trPr>
        <w:tc>
          <w:tcPr>
            <w:tcW w:w="417" w:type="pct"/>
            <w:vMerge w:val="restart"/>
            <w:tcBorders>
              <w:top w:val="single" w:sz="4" w:space="0" w:color="auto"/>
              <w:left w:val="nil"/>
              <w:right w:val="single" w:sz="4" w:space="0" w:color="000000"/>
            </w:tcBorders>
            <w:vAlign w:val="center"/>
          </w:tcPr>
          <w:p w14:paraId="525ADFA1" w14:textId="77777777" w:rsidR="00B14D53" w:rsidRDefault="00000000">
            <w:pPr>
              <w:jc w:val="center"/>
              <w:rPr>
                <w:rFonts w:eastAsiaTheme="minorEastAsia"/>
                <w:szCs w:val="21"/>
              </w:rPr>
            </w:pPr>
            <w:r>
              <w:rPr>
                <w:rFonts w:eastAsiaTheme="minorEastAsia" w:hAnsiTheme="minorEastAsia"/>
                <w:szCs w:val="21"/>
              </w:rPr>
              <w:t>厂址</w:t>
            </w:r>
            <w:r>
              <w:rPr>
                <w:rFonts w:eastAsiaTheme="minorEastAsia"/>
                <w:szCs w:val="21"/>
              </w:rPr>
              <w:t>○1</w:t>
            </w:r>
          </w:p>
        </w:tc>
        <w:tc>
          <w:tcPr>
            <w:tcW w:w="1565" w:type="dxa"/>
            <w:vMerge w:val="restart"/>
            <w:tcBorders>
              <w:top w:val="single" w:sz="4" w:space="0" w:color="auto"/>
              <w:left w:val="single" w:sz="4" w:space="0" w:color="000000"/>
              <w:right w:val="single" w:sz="4" w:space="0" w:color="auto"/>
            </w:tcBorders>
            <w:vAlign w:val="center"/>
          </w:tcPr>
          <w:p w14:paraId="03421442" w14:textId="77777777" w:rsidR="00B14D53" w:rsidRDefault="00000000">
            <w:pPr>
              <w:contextualSpacing/>
              <w:jc w:val="center"/>
              <w:rPr>
                <w:rFonts w:eastAsiaTheme="minorEastAsia"/>
                <w:kern w:val="0"/>
                <w:szCs w:val="21"/>
              </w:rPr>
            </w:pPr>
            <w:r>
              <w:rPr>
                <w:rFonts w:eastAsiaTheme="minorEastAsia" w:hint="eastAsia"/>
                <w:kern w:val="0"/>
                <w:szCs w:val="21"/>
              </w:rPr>
              <w:t>127.222645</w:t>
            </w:r>
          </w:p>
        </w:tc>
        <w:tc>
          <w:tcPr>
            <w:tcW w:w="1350" w:type="dxa"/>
            <w:vMerge w:val="restart"/>
            <w:tcBorders>
              <w:top w:val="single" w:sz="4" w:space="0" w:color="auto"/>
              <w:left w:val="single" w:sz="4" w:space="0" w:color="auto"/>
              <w:right w:val="single" w:sz="4" w:space="0" w:color="000000"/>
            </w:tcBorders>
            <w:vAlign w:val="center"/>
          </w:tcPr>
          <w:p w14:paraId="190FE99E" w14:textId="77777777" w:rsidR="00B14D53" w:rsidRDefault="00000000">
            <w:pPr>
              <w:contextualSpacing/>
              <w:jc w:val="center"/>
              <w:rPr>
                <w:rFonts w:eastAsiaTheme="minorEastAsia"/>
                <w:kern w:val="0"/>
                <w:szCs w:val="21"/>
              </w:rPr>
            </w:pPr>
            <w:r>
              <w:rPr>
                <w:rFonts w:eastAsiaTheme="minorEastAsia" w:hint="eastAsia"/>
                <w:kern w:val="0"/>
                <w:szCs w:val="21"/>
              </w:rPr>
              <w:t>44.699890</w:t>
            </w:r>
          </w:p>
        </w:tc>
        <w:tc>
          <w:tcPr>
            <w:tcW w:w="363" w:type="pct"/>
            <w:tcBorders>
              <w:top w:val="single" w:sz="4" w:space="0" w:color="000000"/>
              <w:left w:val="single" w:sz="4" w:space="0" w:color="000000"/>
              <w:bottom w:val="single" w:sz="4" w:space="0" w:color="000000"/>
              <w:right w:val="single" w:sz="4" w:space="0" w:color="000000"/>
            </w:tcBorders>
            <w:vAlign w:val="center"/>
          </w:tcPr>
          <w:p w14:paraId="12820A60" w14:textId="77777777" w:rsidR="00B14D53" w:rsidRDefault="00000000">
            <w:pPr>
              <w:widowControl/>
              <w:jc w:val="center"/>
              <w:rPr>
                <w:rFonts w:eastAsiaTheme="minorEastAsia"/>
                <w:kern w:val="0"/>
                <w:szCs w:val="21"/>
              </w:rPr>
            </w:pPr>
            <w:r>
              <w:rPr>
                <w:rFonts w:eastAsiaTheme="minorEastAsia"/>
                <w:kern w:val="0"/>
                <w:szCs w:val="21"/>
              </w:rPr>
              <w:t>NH</w:t>
            </w:r>
            <w:r>
              <w:rPr>
                <w:rFonts w:eastAsiaTheme="minorEastAsia"/>
                <w:kern w:val="0"/>
                <w:szCs w:val="21"/>
                <w:vertAlign w:val="subscript"/>
              </w:rPr>
              <w:t>3</w:t>
            </w:r>
          </w:p>
        </w:tc>
        <w:tc>
          <w:tcPr>
            <w:tcW w:w="420" w:type="pct"/>
            <w:vMerge w:val="restart"/>
            <w:tcBorders>
              <w:left w:val="single" w:sz="4" w:space="0" w:color="000000"/>
              <w:right w:val="single" w:sz="4" w:space="0" w:color="000000"/>
            </w:tcBorders>
            <w:vAlign w:val="center"/>
          </w:tcPr>
          <w:p w14:paraId="21D4C34B" w14:textId="77777777" w:rsidR="00B14D53" w:rsidRDefault="00000000">
            <w:pPr>
              <w:jc w:val="center"/>
              <w:rPr>
                <w:rFonts w:eastAsiaTheme="minorEastAsia"/>
                <w:kern w:val="0"/>
                <w:szCs w:val="21"/>
              </w:rPr>
            </w:pPr>
            <w:r>
              <w:rPr>
                <w:rFonts w:eastAsiaTheme="minorEastAsia"/>
                <w:kern w:val="0"/>
                <w:szCs w:val="21"/>
              </w:rPr>
              <w:t>1</w:t>
            </w:r>
            <w:r>
              <w:rPr>
                <w:rFonts w:eastAsiaTheme="minorEastAsia" w:hAnsiTheme="minorEastAsia"/>
                <w:kern w:val="0"/>
                <w:szCs w:val="21"/>
              </w:rPr>
              <w:t>小时均值</w:t>
            </w:r>
          </w:p>
        </w:tc>
        <w:tc>
          <w:tcPr>
            <w:tcW w:w="573" w:type="pct"/>
            <w:tcBorders>
              <w:left w:val="single" w:sz="4" w:space="0" w:color="000000"/>
              <w:right w:val="single" w:sz="4" w:space="0" w:color="000000"/>
            </w:tcBorders>
            <w:vAlign w:val="center"/>
          </w:tcPr>
          <w:p w14:paraId="7A54D37B" w14:textId="77777777" w:rsidR="00B14D53" w:rsidRDefault="00000000">
            <w:pPr>
              <w:jc w:val="center"/>
              <w:rPr>
                <w:rFonts w:eastAsiaTheme="minorEastAsia"/>
                <w:kern w:val="0"/>
                <w:szCs w:val="21"/>
              </w:rPr>
            </w:pPr>
            <w:r>
              <w:rPr>
                <w:rFonts w:eastAsiaTheme="minorEastAsia" w:hint="eastAsia"/>
                <w:kern w:val="0"/>
                <w:szCs w:val="21"/>
              </w:rPr>
              <w:t>0.2</w:t>
            </w:r>
          </w:p>
        </w:tc>
        <w:tc>
          <w:tcPr>
            <w:tcW w:w="707" w:type="pct"/>
            <w:tcBorders>
              <w:top w:val="single" w:sz="4" w:space="0" w:color="000000"/>
              <w:left w:val="single" w:sz="4" w:space="0" w:color="000000"/>
              <w:bottom w:val="single" w:sz="4" w:space="0" w:color="000000"/>
              <w:right w:val="single" w:sz="4" w:space="0" w:color="000000"/>
            </w:tcBorders>
            <w:vAlign w:val="center"/>
          </w:tcPr>
          <w:p w14:paraId="23422194" w14:textId="77777777" w:rsidR="00B14D53" w:rsidRDefault="00000000">
            <w:pPr>
              <w:jc w:val="center"/>
              <w:rPr>
                <w:rFonts w:eastAsiaTheme="minorEastAsia"/>
                <w:kern w:val="0"/>
                <w:szCs w:val="21"/>
              </w:rPr>
            </w:pPr>
            <w:r>
              <w:rPr>
                <w:rFonts w:eastAsiaTheme="minorEastAsia" w:hint="eastAsia"/>
                <w:kern w:val="0"/>
                <w:szCs w:val="21"/>
              </w:rPr>
              <w:t>0.09-0.14</w:t>
            </w:r>
          </w:p>
        </w:tc>
        <w:tc>
          <w:tcPr>
            <w:tcW w:w="328" w:type="pct"/>
            <w:tcBorders>
              <w:top w:val="single" w:sz="4" w:space="0" w:color="000000"/>
              <w:left w:val="single" w:sz="4" w:space="0" w:color="000000"/>
              <w:bottom w:val="single" w:sz="4" w:space="0" w:color="000000"/>
              <w:right w:val="single" w:sz="4" w:space="0" w:color="000000"/>
            </w:tcBorders>
            <w:vAlign w:val="center"/>
          </w:tcPr>
          <w:p w14:paraId="3B0EE30A" w14:textId="77777777" w:rsidR="00B14D53" w:rsidRDefault="00000000">
            <w:pPr>
              <w:jc w:val="center"/>
              <w:rPr>
                <w:rFonts w:eastAsiaTheme="minorEastAsia"/>
                <w:kern w:val="0"/>
                <w:szCs w:val="21"/>
              </w:rPr>
            </w:pPr>
            <w:r>
              <w:rPr>
                <w:rFonts w:eastAsiaTheme="minorEastAsia" w:hint="eastAsia"/>
                <w:kern w:val="0"/>
                <w:szCs w:val="21"/>
              </w:rPr>
              <w:t>70</w:t>
            </w:r>
          </w:p>
        </w:tc>
        <w:tc>
          <w:tcPr>
            <w:tcW w:w="262" w:type="pct"/>
            <w:tcBorders>
              <w:top w:val="single" w:sz="4" w:space="0" w:color="auto"/>
              <w:left w:val="single" w:sz="4" w:space="0" w:color="000000"/>
              <w:bottom w:val="single" w:sz="4" w:space="0" w:color="000000"/>
              <w:right w:val="single" w:sz="4" w:space="0" w:color="000000"/>
            </w:tcBorders>
            <w:vAlign w:val="center"/>
          </w:tcPr>
          <w:p w14:paraId="4528B9EB" w14:textId="77777777" w:rsidR="00B14D53" w:rsidRDefault="00000000">
            <w:pPr>
              <w:jc w:val="center"/>
              <w:rPr>
                <w:rFonts w:eastAsiaTheme="minorEastAsia"/>
                <w:kern w:val="0"/>
                <w:szCs w:val="21"/>
              </w:rPr>
            </w:pPr>
            <w:r>
              <w:rPr>
                <w:rFonts w:eastAsiaTheme="minorEastAsia"/>
                <w:kern w:val="0"/>
                <w:szCs w:val="21"/>
              </w:rPr>
              <w:t>/</w:t>
            </w:r>
          </w:p>
        </w:tc>
        <w:tc>
          <w:tcPr>
            <w:tcW w:w="249" w:type="pct"/>
            <w:vMerge w:val="restart"/>
            <w:tcBorders>
              <w:top w:val="single" w:sz="4" w:space="0" w:color="auto"/>
              <w:left w:val="single" w:sz="4" w:space="0" w:color="000000"/>
              <w:right w:val="nil"/>
            </w:tcBorders>
            <w:vAlign w:val="center"/>
          </w:tcPr>
          <w:p w14:paraId="46714A8E" w14:textId="77777777" w:rsidR="00B14D53" w:rsidRDefault="00000000">
            <w:pPr>
              <w:jc w:val="center"/>
              <w:rPr>
                <w:rFonts w:eastAsiaTheme="minorEastAsia"/>
                <w:kern w:val="0"/>
                <w:szCs w:val="21"/>
              </w:rPr>
            </w:pPr>
            <w:r>
              <w:rPr>
                <w:rFonts w:eastAsiaTheme="minorEastAsia" w:hint="eastAsia"/>
                <w:kern w:val="0"/>
                <w:szCs w:val="21"/>
              </w:rPr>
              <w:t>达标</w:t>
            </w:r>
          </w:p>
        </w:tc>
      </w:tr>
      <w:tr w:rsidR="00B14D53" w14:paraId="2CA99621" w14:textId="77777777">
        <w:trPr>
          <w:trHeight w:val="40"/>
          <w:jc w:val="center"/>
        </w:trPr>
        <w:tc>
          <w:tcPr>
            <w:tcW w:w="417" w:type="pct"/>
            <w:vMerge/>
            <w:tcBorders>
              <w:left w:val="nil"/>
              <w:right w:val="single" w:sz="4" w:space="0" w:color="000000"/>
            </w:tcBorders>
            <w:vAlign w:val="center"/>
          </w:tcPr>
          <w:p w14:paraId="31D888EF" w14:textId="77777777" w:rsidR="00B14D53" w:rsidRDefault="00B14D53">
            <w:pPr>
              <w:jc w:val="center"/>
              <w:rPr>
                <w:rFonts w:eastAsiaTheme="minorEastAsia"/>
                <w:szCs w:val="21"/>
              </w:rPr>
            </w:pPr>
          </w:p>
        </w:tc>
        <w:tc>
          <w:tcPr>
            <w:tcW w:w="899" w:type="pct"/>
            <w:vMerge/>
            <w:tcBorders>
              <w:left w:val="single" w:sz="4" w:space="0" w:color="000000"/>
              <w:right w:val="single" w:sz="4" w:space="0" w:color="auto"/>
            </w:tcBorders>
            <w:vAlign w:val="center"/>
          </w:tcPr>
          <w:p w14:paraId="5B09F66B" w14:textId="77777777" w:rsidR="00B14D53" w:rsidRDefault="00B14D53">
            <w:pPr>
              <w:jc w:val="center"/>
              <w:rPr>
                <w:rFonts w:eastAsiaTheme="minorEastAsia"/>
                <w:kern w:val="0"/>
                <w:szCs w:val="21"/>
              </w:rPr>
            </w:pPr>
          </w:p>
        </w:tc>
        <w:tc>
          <w:tcPr>
            <w:tcW w:w="776" w:type="pct"/>
            <w:vMerge/>
            <w:tcBorders>
              <w:left w:val="single" w:sz="4" w:space="0" w:color="auto"/>
              <w:right w:val="single" w:sz="4" w:space="0" w:color="000000"/>
            </w:tcBorders>
            <w:vAlign w:val="center"/>
          </w:tcPr>
          <w:p w14:paraId="283F3D31" w14:textId="77777777" w:rsidR="00B14D53" w:rsidRDefault="00B14D53">
            <w:pPr>
              <w:jc w:val="center"/>
              <w:rPr>
                <w:rFonts w:eastAsiaTheme="minorEastAsia"/>
                <w:kern w:val="0"/>
                <w:szCs w:val="21"/>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1D1B3DDF" w14:textId="77777777" w:rsidR="00B14D53" w:rsidRDefault="00000000">
            <w:pPr>
              <w:widowControl/>
              <w:jc w:val="center"/>
              <w:rPr>
                <w:rFonts w:eastAsiaTheme="minorEastAsia"/>
                <w:kern w:val="0"/>
                <w:szCs w:val="21"/>
              </w:rPr>
            </w:pPr>
            <w:r>
              <w:rPr>
                <w:rFonts w:eastAsiaTheme="minorEastAsia"/>
                <w:kern w:val="0"/>
                <w:szCs w:val="21"/>
              </w:rPr>
              <w:t>H</w:t>
            </w:r>
            <w:r>
              <w:rPr>
                <w:rFonts w:eastAsiaTheme="minorEastAsia"/>
                <w:kern w:val="0"/>
                <w:szCs w:val="21"/>
                <w:vertAlign w:val="subscript"/>
              </w:rPr>
              <w:t>2</w:t>
            </w:r>
            <w:r>
              <w:rPr>
                <w:rFonts w:eastAsiaTheme="minorEastAsia"/>
                <w:kern w:val="0"/>
                <w:szCs w:val="21"/>
              </w:rPr>
              <w:t>S</w:t>
            </w:r>
          </w:p>
        </w:tc>
        <w:tc>
          <w:tcPr>
            <w:tcW w:w="420" w:type="pct"/>
            <w:vMerge/>
            <w:tcBorders>
              <w:left w:val="single" w:sz="4" w:space="0" w:color="000000"/>
              <w:right w:val="single" w:sz="4" w:space="0" w:color="000000"/>
            </w:tcBorders>
            <w:vAlign w:val="center"/>
          </w:tcPr>
          <w:p w14:paraId="392148E9" w14:textId="77777777" w:rsidR="00B14D53" w:rsidRDefault="00B14D53">
            <w:pPr>
              <w:jc w:val="center"/>
              <w:rPr>
                <w:rFonts w:eastAsiaTheme="minorEastAsia"/>
                <w:kern w:val="0"/>
                <w:szCs w:val="21"/>
              </w:rPr>
            </w:pPr>
          </w:p>
        </w:tc>
        <w:tc>
          <w:tcPr>
            <w:tcW w:w="573" w:type="pct"/>
            <w:tcBorders>
              <w:left w:val="single" w:sz="4" w:space="0" w:color="000000"/>
              <w:right w:val="single" w:sz="4" w:space="0" w:color="000000"/>
            </w:tcBorders>
            <w:vAlign w:val="center"/>
          </w:tcPr>
          <w:p w14:paraId="4CF6F5A0" w14:textId="77777777" w:rsidR="00B14D53" w:rsidRDefault="00000000">
            <w:pPr>
              <w:jc w:val="center"/>
              <w:rPr>
                <w:rFonts w:eastAsiaTheme="minorEastAsia"/>
                <w:kern w:val="0"/>
                <w:szCs w:val="21"/>
              </w:rPr>
            </w:pPr>
            <w:r>
              <w:rPr>
                <w:rFonts w:eastAsiaTheme="minorEastAsia" w:hint="eastAsia"/>
                <w:kern w:val="0"/>
                <w:szCs w:val="21"/>
              </w:rPr>
              <w:t>0.01</w:t>
            </w:r>
          </w:p>
        </w:tc>
        <w:tc>
          <w:tcPr>
            <w:tcW w:w="707" w:type="pct"/>
            <w:tcBorders>
              <w:top w:val="single" w:sz="4" w:space="0" w:color="000000"/>
              <w:left w:val="single" w:sz="4" w:space="0" w:color="000000"/>
              <w:bottom w:val="single" w:sz="4" w:space="0" w:color="000000"/>
              <w:right w:val="single" w:sz="4" w:space="0" w:color="000000"/>
            </w:tcBorders>
            <w:vAlign w:val="center"/>
          </w:tcPr>
          <w:p w14:paraId="3939D2F1" w14:textId="77777777" w:rsidR="00B14D53" w:rsidRDefault="00000000">
            <w:pPr>
              <w:jc w:val="center"/>
              <w:rPr>
                <w:rFonts w:eastAsiaTheme="minorEastAsia"/>
                <w:kern w:val="0"/>
                <w:szCs w:val="21"/>
              </w:rPr>
            </w:pPr>
            <w:r>
              <w:rPr>
                <w:rFonts w:eastAsiaTheme="minorEastAsia" w:hint="eastAsia"/>
                <w:kern w:val="0"/>
                <w:szCs w:val="21"/>
              </w:rPr>
              <w:t>0.001L</w:t>
            </w:r>
          </w:p>
        </w:tc>
        <w:tc>
          <w:tcPr>
            <w:tcW w:w="328" w:type="pct"/>
            <w:tcBorders>
              <w:top w:val="single" w:sz="4" w:space="0" w:color="000000"/>
              <w:left w:val="single" w:sz="4" w:space="0" w:color="000000"/>
              <w:bottom w:val="single" w:sz="4" w:space="0" w:color="000000"/>
              <w:right w:val="single" w:sz="4" w:space="0" w:color="000000"/>
            </w:tcBorders>
            <w:vAlign w:val="center"/>
          </w:tcPr>
          <w:p w14:paraId="7A5E3CE4" w14:textId="77777777" w:rsidR="00B14D53" w:rsidRDefault="00000000">
            <w:pPr>
              <w:jc w:val="center"/>
              <w:rPr>
                <w:rFonts w:eastAsiaTheme="minorEastAsia"/>
                <w:kern w:val="0"/>
                <w:szCs w:val="21"/>
              </w:rPr>
            </w:pPr>
            <w:r>
              <w:rPr>
                <w:rFonts w:eastAsiaTheme="minorEastAsia" w:hint="eastAsia"/>
                <w:kern w:val="0"/>
                <w:szCs w:val="21"/>
              </w:rPr>
              <w:t>/</w:t>
            </w:r>
          </w:p>
        </w:tc>
        <w:tc>
          <w:tcPr>
            <w:tcW w:w="262" w:type="pct"/>
            <w:tcBorders>
              <w:top w:val="single" w:sz="4" w:space="0" w:color="000000"/>
              <w:left w:val="single" w:sz="4" w:space="0" w:color="000000"/>
              <w:bottom w:val="single" w:sz="4" w:space="0" w:color="000000"/>
              <w:right w:val="single" w:sz="4" w:space="0" w:color="000000"/>
            </w:tcBorders>
            <w:vAlign w:val="center"/>
          </w:tcPr>
          <w:p w14:paraId="0C52F2C3" w14:textId="77777777" w:rsidR="00B14D53" w:rsidRDefault="00000000">
            <w:pPr>
              <w:jc w:val="center"/>
              <w:rPr>
                <w:rFonts w:eastAsiaTheme="minorEastAsia"/>
                <w:kern w:val="0"/>
                <w:szCs w:val="21"/>
              </w:rPr>
            </w:pPr>
            <w:r>
              <w:rPr>
                <w:rFonts w:eastAsiaTheme="minorEastAsia"/>
                <w:kern w:val="0"/>
                <w:szCs w:val="21"/>
              </w:rPr>
              <w:t>/</w:t>
            </w:r>
          </w:p>
        </w:tc>
        <w:tc>
          <w:tcPr>
            <w:tcW w:w="249" w:type="pct"/>
            <w:vMerge/>
            <w:tcBorders>
              <w:left w:val="single" w:sz="4" w:space="0" w:color="000000"/>
              <w:right w:val="nil"/>
            </w:tcBorders>
            <w:vAlign w:val="center"/>
          </w:tcPr>
          <w:p w14:paraId="6537E719" w14:textId="77777777" w:rsidR="00B14D53" w:rsidRDefault="00B14D53">
            <w:pPr>
              <w:jc w:val="center"/>
              <w:rPr>
                <w:rFonts w:eastAsiaTheme="minorEastAsia"/>
                <w:kern w:val="0"/>
                <w:szCs w:val="21"/>
              </w:rPr>
            </w:pPr>
          </w:p>
        </w:tc>
      </w:tr>
      <w:tr w:rsidR="00B14D53" w14:paraId="354DF1CB" w14:textId="77777777">
        <w:trPr>
          <w:trHeight w:val="40"/>
          <w:jc w:val="center"/>
        </w:trPr>
        <w:tc>
          <w:tcPr>
            <w:tcW w:w="417" w:type="pct"/>
            <w:vMerge/>
            <w:tcBorders>
              <w:left w:val="nil"/>
              <w:bottom w:val="single" w:sz="12" w:space="0" w:color="auto"/>
              <w:right w:val="single" w:sz="4" w:space="0" w:color="000000"/>
            </w:tcBorders>
            <w:vAlign w:val="center"/>
          </w:tcPr>
          <w:p w14:paraId="00F146FC" w14:textId="77777777" w:rsidR="00B14D53" w:rsidRDefault="00B14D53">
            <w:pPr>
              <w:jc w:val="center"/>
              <w:rPr>
                <w:rFonts w:eastAsiaTheme="minorEastAsia"/>
                <w:szCs w:val="21"/>
              </w:rPr>
            </w:pPr>
          </w:p>
        </w:tc>
        <w:tc>
          <w:tcPr>
            <w:tcW w:w="899" w:type="pct"/>
            <w:vMerge/>
            <w:tcBorders>
              <w:left w:val="single" w:sz="4" w:space="0" w:color="000000"/>
              <w:bottom w:val="single" w:sz="12" w:space="0" w:color="auto"/>
              <w:right w:val="single" w:sz="4" w:space="0" w:color="auto"/>
            </w:tcBorders>
            <w:vAlign w:val="center"/>
          </w:tcPr>
          <w:p w14:paraId="433CE09A" w14:textId="77777777" w:rsidR="00B14D53" w:rsidRDefault="00B14D53">
            <w:pPr>
              <w:jc w:val="center"/>
              <w:rPr>
                <w:rFonts w:eastAsiaTheme="minorEastAsia"/>
                <w:kern w:val="0"/>
                <w:szCs w:val="21"/>
              </w:rPr>
            </w:pPr>
          </w:p>
        </w:tc>
        <w:tc>
          <w:tcPr>
            <w:tcW w:w="776" w:type="pct"/>
            <w:vMerge/>
            <w:tcBorders>
              <w:left w:val="single" w:sz="4" w:space="0" w:color="auto"/>
              <w:bottom w:val="single" w:sz="12" w:space="0" w:color="auto"/>
              <w:right w:val="single" w:sz="4" w:space="0" w:color="000000"/>
            </w:tcBorders>
            <w:vAlign w:val="center"/>
          </w:tcPr>
          <w:p w14:paraId="1181507C" w14:textId="77777777" w:rsidR="00B14D53" w:rsidRDefault="00B14D53">
            <w:pPr>
              <w:jc w:val="center"/>
              <w:rPr>
                <w:rFonts w:eastAsiaTheme="minorEastAsia"/>
                <w:kern w:val="0"/>
                <w:szCs w:val="21"/>
              </w:rPr>
            </w:pPr>
          </w:p>
        </w:tc>
        <w:tc>
          <w:tcPr>
            <w:tcW w:w="363" w:type="pct"/>
            <w:tcBorders>
              <w:left w:val="single" w:sz="4" w:space="0" w:color="000000"/>
              <w:bottom w:val="single" w:sz="12" w:space="0" w:color="auto"/>
              <w:right w:val="single" w:sz="4" w:space="0" w:color="000000"/>
            </w:tcBorders>
            <w:vAlign w:val="center"/>
          </w:tcPr>
          <w:p w14:paraId="28F97080" w14:textId="77777777" w:rsidR="00B14D53" w:rsidRDefault="00000000">
            <w:pPr>
              <w:widowControl/>
              <w:jc w:val="center"/>
              <w:rPr>
                <w:rFonts w:eastAsiaTheme="minorEastAsia"/>
                <w:kern w:val="0"/>
                <w:szCs w:val="21"/>
              </w:rPr>
            </w:pPr>
            <w:r>
              <w:rPr>
                <w:rFonts w:eastAsiaTheme="minorEastAsia" w:hint="eastAsia"/>
                <w:kern w:val="0"/>
                <w:szCs w:val="21"/>
              </w:rPr>
              <w:t>T</w:t>
            </w:r>
            <w:r>
              <w:rPr>
                <w:rFonts w:eastAsiaTheme="minorEastAsia"/>
                <w:kern w:val="0"/>
                <w:szCs w:val="21"/>
              </w:rPr>
              <w:t>SP</w:t>
            </w:r>
          </w:p>
        </w:tc>
        <w:tc>
          <w:tcPr>
            <w:tcW w:w="420" w:type="pct"/>
            <w:tcBorders>
              <w:left w:val="single" w:sz="4" w:space="0" w:color="000000"/>
              <w:bottom w:val="single" w:sz="12" w:space="0" w:color="auto"/>
              <w:right w:val="single" w:sz="4" w:space="0" w:color="000000"/>
            </w:tcBorders>
            <w:vAlign w:val="center"/>
          </w:tcPr>
          <w:p w14:paraId="045DB4F9" w14:textId="77777777" w:rsidR="00B14D53" w:rsidRDefault="00000000">
            <w:pPr>
              <w:jc w:val="center"/>
              <w:rPr>
                <w:rFonts w:eastAsiaTheme="minorEastAsia"/>
                <w:kern w:val="0"/>
                <w:szCs w:val="21"/>
              </w:rPr>
            </w:pPr>
            <w:r>
              <w:rPr>
                <w:rFonts w:eastAsiaTheme="minorEastAsia" w:hint="eastAsia"/>
                <w:kern w:val="0"/>
                <w:szCs w:val="21"/>
              </w:rPr>
              <w:t>日均值</w:t>
            </w:r>
          </w:p>
        </w:tc>
        <w:tc>
          <w:tcPr>
            <w:tcW w:w="573" w:type="pct"/>
            <w:tcBorders>
              <w:left w:val="single" w:sz="4" w:space="0" w:color="000000"/>
              <w:bottom w:val="single" w:sz="12" w:space="0" w:color="auto"/>
              <w:right w:val="single" w:sz="4" w:space="0" w:color="000000"/>
            </w:tcBorders>
            <w:vAlign w:val="center"/>
          </w:tcPr>
          <w:p w14:paraId="19F4591A" w14:textId="77777777" w:rsidR="00B14D53" w:rsidRDefault="00000000">
            <w:pPr>
              <w:jc w:val="center"/>
              <w:rPr>
                <w:rFonts w:eastAsiaTheme="minorEastAsia"/>
                <w:kern w:val="0"/>
                <w:szCs w:val="21"/>
              </w:rPr>
            </w:pPr>
            <w:r>
              <w:rPr>
                <w:rFonts w:eastAsiaTheme="minorEastAsia" w:hint="eastAsia"/>
                <w:kern w:val="0"/>
                <w:szCs w:val="21"/>
              </w:rPr>
              <w:t>0</w:t>
            </w:r>
            <w:r>
              <w:rPr>
                <w:rFonts w:eastAsiaTheme="minorEastAsia"/>
                <w:kern w:val="0"/>
                <w:szCs w:val="21"/>
              </w:rPr>
              <w:t>.3</w:t>
            </w:r>
          </w:p>
        </w:tc>
        <w:tc>
          <w:tcPr>
            <w:tcW w:w="707" w:type="pct"/>
            <w:tcBorders>
              <w:top w:val="single" w:sz="4" w:space="0" w:color="000000"/>
              <w:left w:val="single" w:sz="4" w:space="0" w:color="000000"/>
              <w:bottom w:val="single" w:sz="12" w:space="0" w:color="auto"/>
              <w:right w:val="single" w:sz="4" w:space="0" w:color="000000"/>
            </w:tcBorders>
            <w:vAlign w:val="center"/>
          </w:tcPr>
          <w:p w14:paraId="4E0AE71A" w14:textId="77777777" w:rsidR="00B14D53" w:rsidRDefault="00000000">
            <w:pPr>
              <w:jc w:val="center"/>
              <w:rPr>
                <w:rFonts w:eastAsiaTheme="minorEastAsia"/>
                <w:kern w:val="0"/>
                <w:szCs w:val="21"/>
              </w:rPr>
            </w:pPr>
            <w:r>
              <w:rPr>
                <w:rFonts w:eastAsiaTheme="minorEastAsia" w:hint="eastAsia"/>
                <w:kern w:val="0"/>
                <w:szCs w:val="21"/>
              </w:rPr>
              <w:t>0.082-0.087</w:t>
            </w:r>
          </w:p>
        </w:tc>
        <w:tc>
          <w:tcPr>
            <w:tcW w:w="328" w:type="pct"/>
            <w:tcBorders>
              <w:top w:val="single" w:sz="4" w:space="0" w:color="000000"/>
              <w:left w:val="single" w:sz="4" w:space="0" w:color="000000"/>
              <w:bottom w:val="single" w:sz="12" w:space="0" w:color="auto"/>
              <w:right w:val="single" w:sz="4" w:space="0" w:color="000000"/>
            </w:tcBorders>
            <w:vAlign w:val="center"/>
          </w:tcPr>
          <w:p w14:paraId="1350B42E" w14:textId="77777777" w:rsidR="00B14D53" w:rsidRDefault="00000000">
            <w:pPr>
              <w:jc w:val="center"/>
              <w:rPr>
                <w:rFonts w:eastAsiaTheme="minorEastAsia"/>
                <w:kern w:val="0"/>
                <w:szCs w:val="21"/>
              </w:rPr>
            </w:pPr>
            <w:r>
              <w:rPr>
                <w:rFonts w:eastAsiaTheme="minorEastAsia" w:hint="eastAsia"/>
                <w:kern w:val="0"/>
                <w:szCs w:val="21"/>
              </w:rPr>
              <w:t>29</w:t>
            </w:r>
          </w:p>
        </w:tc>
        <w:tc>
          <w:tcPr>
            <w:tcW w:w="262" w:type="pct"/>
            <w:tcBorders>
              <w:top w:val="single" w:sz="4" w:space="0" w:color="000000"/>
              <w:left w:val="single" w:sz="4" w:space="0" w:color="000000"/>
              <w:bottom w:val="single" w:sz="12" w:space="0" w:color="auto"/>
              <w:right w:val="single" w:sz="4" w:space="0" w:color="000000"/>
            </w:tcBorders>
            <w:vAlign w:val="center"/>
          </w:tcPr>
          <w:p w14:paraId="1A1CF31F" w14:textId="77777777" w:rsidR="00B14D53" w:rsidRDefault="00000000">
            <w:pPr>
              <w:jc w:val="center"/>
              <w:rPr>
                <w:rFonts w:eastAsiaTheme="minorEastAsia"/>
                <w:kern w:val="0"/>
                <w:szCs w:val="21"/>
              </w:rPr>
            </w:pPr>
            <w:r>
              <w:rPr>
                <w:rFonts w:eastAsiaTheme="minorEastAsia" w:hint="eastAsia"/>
                <w:kern w:val="0"/>
                <w:szCs w:val="21"/>
              </w:rPr>
              <w:t>/</w:t>
            </w:r>
          </w:p>
        </w:tc>
        <w:tc>
          <w:tcPr>
            <w:tcW w:w="249" w:type="pct"/>
            <w:vMerge/>
            <w:tcBorders>
              <w:left w:val="single" w:sz="4" w:space="0" w:color="000000"/>
              <w:bottom w:val="single" w:sz="12" w:space="0" w:color="auto"/>
              <w:right w:val="nil"/>
            </w:tcBorders>
            <w:vAlign w:val="center"/>
          </w:tcPr>
          <w:p w14:paraId="63A7BEC2" w14:textId="77777777" w:rsidR="00B14D53" w:rsidRDefault="00B14D53">
            <w:pPr>
              <w:jc w:val="center"/>
              <w:rPr>
                <w:rFonts w:eastAsiaTheme="minorEastAsia"/>
                <w:kern w:val="0"/>
                <w:szCs w:val="21"/>
              </w:rPr>
            </w:pPr>
          </w:p>
        </w:tc>
      </w:tr>
    </w:tbl>
    <w:p w14:paraId="0A41C002"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通过监测结果表明，监测点</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hint="eastAsia"/>
        </w:rPr>
        <w:t>、</w:t>
      </w:r>
      <w:r>
        <w:rPr>
          <w:rFonts w:ascii="Times New Roman" w:hAnsi="Times New Roman" w:cs="Times New Roman"/>
        </w:rPr>
        <w:t>NH</w:t>
      </w:r>
      <w:r>
        <w:rPr>
          <w:rFonts w:ascii="Times New Roman" w:hAnsi="Times New Roman" w:cs="Times New Roman"/>
          <w:vertAlign w:val="subscript"/>
        </w:rPr>
        <w:t>3</w:t>
      </w:r>
      <w:r>
        <w:rPr>
          <w:rFonts w:ascii="Times New Roman" w:hAnsiTheme="minorEastAsia" w:cs="Times New Roman"/>
        </w:rPr>
        <w:t>满足《环境影响评价技术导则</w:t>
      </w:r>
      <w:r>
        <w:rPr>
          <w:rFonts w:ascii="Times New Roman" w:hAnsi="Times New Roman" w:cs="Times New Roman"/>
        </w:rPr>
        <w:t xml:space="preserve"> </w:t>
      </w:r>
      <w:r>
        <w:rPr>
          <w:rFonts w:ascii="Times New Roman" w:hAnsiTheme="minorEastAsia" w:cs="Times New Roman"/>
        </w:rPr>
        <w:t>大气环境》（</w:t>
      </w:r>
      <w:r>
        <w:rPr>
          <w:rFonts w:ascii="Times New Roman" w:hAnsi="Times New Roman" w:cs="Times New Roman"/>
        </w:rPr>
        <w:t>HJ 2.2-2018</w:t>
      </w:r>
      <w:r>
        <w:rPr>
          <w:rFonts w:ascii="Times New Roman" w:hAnsiTheme="minorEastAsia" w:cs="Times New Roman"/>
        </w:rPr>
        <w:t>）附录</w:t>
      </w:r>
      <w:r>
        <w:rPr>
          <w:rFonts w:ascii="Times New Roman" w:hAnsi="Times New Roman" w:cs="Times New Roman"/>
        </w:rPr>
        <w:t>D</w:t>
      </w:r>
      <w:r>
        <w:rPr>
          <w:rFonts w:ascii="Times New Roman" w:hAnsiTheme="minorEastAsia" w:cs="Times New Roman"/>
        </w:rPr>
        <w:t>标准</w:t>
      </w:r>
      <w:r>
        <w:rPr>
          <w:rFonts w:ascii="Times New Roman" w:hAnsiTheme="minorEastAsia" w:cs="Times New Roman" w:hint="eastAsia"/>
        </w:rPr>
        <w:t>，</w:t>
      </w:r>
      <w:r>
        <w:rPr>
          <w:rFonts w:ascii="Times New Roman" w:hAnsi="Times New Roman" w:cs="Times New Roman" w:hint="eastAsia"/>
          <w:bCs/>
        </w:rPr>
        <w:t>T</w:t>
      </w:r>
      <w:r>
        <w:rPr>
          <w:rFonts w:ascii="Times New Roman" w:hAnsi="Times New Roman" w:cs="Times New Roman"/>
          <w:bCs/>
        </w:rPr>
        <w:t>SP</w:t>
      </w:r>
      <w:r>
        <w:rPr>
          <w:rFonts w:ascii="Times New Roman" w:hAnsi="Times New Roman" w:cs="Times New Roman" w:hint="eastAsia"/>
          <w:bCs/>
        </w:rPr>
        <w:t>日均值</w:t>
      </w:r>
      <w:r>
        <w:rPr>
          <w:rFonts w:ascii="Times New Roman" w:hAnsi="Times New Roman" w:cs="Times New Roman"/>
          <w:bCs/>
        </w:rPr>
        <w:t>均满足《环境空气质量标准》（</w:t>
      </w:r>
      <w:r>
        <w:rPr>
          <w:rFonts w:ascii="Times New Roman" w:hAnsi="Times New Roman" w:cs="Times New Roman"/>
          <w:bCs/>
        </w:rPr>
        <w:t>GB3095</w:t>
      </w:r>
      <w:r>
        <w:rPr>
          <w:rFonts w:ascii="Times New Roman" w:hAnsi="Times New Roman" w:cs="Times New Roman"/>
          <w:bCs/>
        </w:rPr>
        <w:sym w:font="Symbol" w:char="F02D"/>
      </w:r>
      <w:r>
        <w:rPr>
          <w:rFonts w:ascii="Times New Roman" w:hAnsi="Times New Roman" w:cs="Times New Roman"/>
          <w:bCs/>
        </w:rPr>
        <w:t>2012</w:t>
      </w:r>
      <w:r>
        <w:rPr>
          <w:rFonts w:ascii="Times New Roman" w:hAnsi="Times New Roman" w:cs="Times New Roman"/>
          <w:bCs/>
        </w:rPr>
        <w:t>）二级标准的浓度限值要求</w:t>
      </w:r>
      <w:r>
        <w:rPr>
          <w:rFonts w:ascii="Times New Roman" w:hAnsiTheme="minorEastAsia" w:cs="Times New Roman"/>
        </w:rPr>
        <w:t>。</w:t>
      </w:r>
    </w:p>
    <w:p w14:paraId="176FB63D"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4.2.2</w:t>
      </w:r>
      <w:r>
        <w:rPr>
          <w:rFonts w:ascii="Times New Roman" w:eastAsia="黑体" w:hAnsi="Times New Roman" w:cs="Times New Roman"/>
          <w:bCs/>
          <w:sz w:val="28"/>
          <w:szCs w:val="28"/>
        </w:rPr>
        <w:t>地表水现状评价</w:t>
      </w:r>
    </w:p>
    <w:p w14:paraId="33AF0DC4" w14:textId="77777777" w:rsidR="00B14D53" w:rsidRDefault="00000000">
      <w:pPr>
        <w:pStyle w:val="afff"/>
        <w:adjustRightInd/>
        <w:snapToGrid/>
        <w:jc w:val="both"/>
        <w:rPr>
          <w:rFonts w:ascii="Times New Roman" w:hAnsiTheme="minorEastAsia" w:cs="Times New Roman" w:hint="eastAsia"/>
        </w:rPr>
      </w:pPr>
      <w:r>
        <w:rPr>
          <w:rFonts w:ascii="Times New Roman" w:hAnsiTheme="minorEastAsia" w:cs="Times New Roman"/>
        </w:rPr>
        <w:t>本项目</w:t>
      </w:r>
      <w:r>
        <w:rPr>
          <w:rFonts w:ascii="Times New Roman" w:hAnsiTheme="minorEastAsia" w:cs="Times New Roman" w:hint="eastAsia"/>
        </w:rPr>
        <w:t>纳污</w:t>
      </w:r>
      <w:r>
        <w:rPr>
          <w:rFonts w:ascii="Times New Roman" w:hAnsiTheme="minorEastAsia" w:cs="Times New Roman"/>
        </w:rPr>
        <w:t>水体为</w:t>
      </w:r>
      <w:r>
        <w:rPr>
          <w:rFonts w:ascii="Times New Roman" w:hAnsiTheme="minorEastAsia" w:cs="Times New Roman" w:hint="eastAsia"/>
        </w:rPr>
        <w:t>拉林河</w:t>
      </w:r>
      <w:r>
        <w:rPr>
          <w:rFonts w:ascii="Times New Roman" w:hAnsiTheme="minorEastAsia" w:cs="Times New Roman"/>
        </w:rPr>
        <w:t>，根据《</w:t>
      </w:r>
      <w:r>
        <w:rPr>
          <w:rFonts w:ascii="Times New Roman" w:hAnsiTheme="minorEastAsia" w:cs="Times New Roman" w:hint="eastAsia"/>
        </w:rPr>
        <w:t>2024</w:t>
      </w:r>
      <w:r>
        <w:rPr>
          <w:rFonts w:ascii="Times New Roman" w:hAnsiTheme="minorEastAsia" w:cs="Times New Roman" w:hint="eastAsia"/>
        </w:rPr>
        <w:t>年哈尔滨生态环境质量状况年报</w:t>
      </w:r>
      <w:r>
        <w:rPr>
          <w:rFonts w:ascii="Times New Roman" w:hAnsiTheme="minorEastAsia" w:cs="Times New Roman"/>
        </w:rPr>
        <w:t>》，位于长胜橡胶坝至</w:t>
      </w:r>
      <w:r>
        <w:rPr>
          <w:rFonts w:ascii="Times New Roman" w:hAnsiTheme="minorEastAsia" w:cs="Times New Roman" w:hint="eastAsia"/>
        </w:rPr>
        <w:t>兴盛乡河</w:t>
      </w:r>
      <w:r>
        <w:rPr>
          <w:rFonts w:ascii="Times New Roman" w:hAnsiTheme="minorEastAsia" w:cs="Times New Roman"/>
        </w:rPr>
        <w:t>段，</w:t>
      </w:r>
      <w:r>
        <w:rPr>
          <w:rFonts w:ascii="Times New Roman" w:hAnsiTheme="minorEastAsia" w:cs="Times New Roman" w:hint="eastAsia"/>
        </w:rPr>
        <w:t>兴盛乡断面</w:t>
      </w:r>
      <w:r>
        <w:rPr>
          <w:rFonts w:ascii="Times New Roman" w:hAnsiTheme="minorEastAsia" w:cs="Times New Roman"/>
        </w:rPr>
        <w:t>规划水体类别为</w:t>
      </w:r>
      <w:r>
        <w:rPr>
          <w:rFonts w:ascii="Times New Roman" w:hAnsiTheme="minorEastAsia" w:cs="Times New Roman"/>
        </w:rPr>
        <w:t>III</w:t>
      </w:r>
      <w:r>
        <w:rPr>
          <w:rFonts w:ascii="Times New Roman" w:hAnsiTheme="minorEastAsia" w:cs="Times New Roman"/>
        </w:rPr>
        <w:t>类，</w:t>
      </w:r>
      <w:r>
        <w:rPr>
          <w:rFonts w:ascii="Times New Roman" w:hAnsiTheme="minorEastAsia" w:cs="Times New Roman" w:hint="eastAsia"/>
        </w:rPr>
        <w:t>现状断面水质类别为</w:t>
      </w:r>
      <w:r>
        <w:rPr>
          <w:rFonts w:ascii="Times New Roman" w:hAnsiTheme="minorEastAsia" w:cs="Times New Roman"/>
        </w:rPr>
        <w:t>III</w:t>
      </w:r>
      <w:r>
        <w:rPr>
          <w:rFonts w:ascii="Times New Roman" w:hAnsiTheme="minorEastAsia" w:cs="Times New Roman"/>
        </w:rPr>
        <w:t>类，满足《地表水环境质量标准》（</w:t>
      </w:r>
      <w:r>
        <w:rPr>
          <w:rFonts w:ascii="Times New Roman" w:hAnsiTheme="minorEastAsia" w:cs="Times New Roman"/>
        </w:rPr>
        <w:t>GB3838-2002</w:t>
      </w:r>
      <w:r>
        <w:rPr>
          <w:rFonts w:ascii="Times New Roman" w:hAnsiTheme="minorEastAsia" w:cs="Times New Roman"/>
        </w:rPr>
        <w:t>）中</w:t>
      </w:r>
      <w:r>
        <w:rPr>
          <w:rFonts w:ascii="Times New Roman" w:hAnsiTheme="minorEastAsia" w:cs="Times New Roman"/>
        </w:rPr>
        <w:t>III</w:t>
      </w:r>
      <w:r>
        <w:rPr>
          <w:rFonts w:ascii="Times New Roman" w:hAnsiTheme="minorEastAsia" w:cs="Times New Roman"/>
        </w:rPr>
        <w:t>类水体。</w:t>
      </w:r>
    </w:p>
    <w:p w14:paraId="5DAFD63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4.2.3</w:t>
      </w:r>
      <w:r>
        <w:rPr>
          <w:rFonts w:ascii="Times New Roman" w:eastAsia="黑体" w:hAnsi="Times New Roman" w:cs="Times New Roman"/>
          <w:bCs/>
          <w:sz w:val="28"/>
          <w:szCs w:val="28"/>
        </w:rPr>
        <w:t>地下水质量现状评价</w:t>
      </w:r>
    </w:p>
    <w:p w14:paraId="3DBAF1A6"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4.2.3.1</w:t>
      </w:r>
      <w:r>
        <w:rPr>
          <w:rFonts w:ascii="Times New Roman" w:eastAsia="黑体" w:hAnsi="Times New Roman" w:cs="Times New Roman"/>
          <w:b w:val="0"/>
          <w:sz w:val="24"/>
          <w:szCs w:val="24"/>
        </w:rPr>
        <w:t>地下水环境现状监测</w:t>
      </w:r>
    </w:p>
    <w:p w14:paraId="47D54113" w14:textId="77777777" w:rsidR="00B14D53" w:rsidRDefault="00000000">
      <w:pPr>
        <w:autoSpaceDE w:val="0"/>
        <w:autoSpaceDN w:val="0"/>
        <w:spacing w:line="360" w:lineRule="auto"/>
        <w:ind w:firstLineChars="200" w:firstLine="480"/>
        <w:rPr>
          <w:rFonts w:eastAsiaTheme="minorEastAsia"/>
          <w:sz w:val="24"/>
        </w:rPr>
      </w:pPr>
      <w:r>
        <w:rPr>
          <w:rFonts w:eastAsiaTheme="minorEastAsia" w:hAnsiTheme="minorEastAsia"/>
          <w:sz w:val="24"/>
        </w:rPr>
        <w:t>（</w:t>
      </w:r>
      <w:r>
        <w:rPr>
          <w:rFonts w:eastAsiaTheme="minorEastAsia"/>
          <w:sz w:val="24"/>
        </w:rPr>
        <w:t>1</w:t>
      </w:r>
      <w:r>
        <w:rPr>
          <w:rFonts w:eastAsiaTheme="minorEastAsia" w:hAnsiTheme="minorEastAsia"/>
          <w:sz w:val="24"/>
        </w:rPr>
        <w:t>）数据来源</w:t>
      </w:r>
    </w:p>
    <w:p w14:paraId="5B2E5296" w14:textId="77777777" w:rsidR="00B14D53" w:rsidRDefault="00000000">
      <w:pPr>
        <w:autoSpaceDE w:val="0"/>
        <w:autoSpaceDN w:val="0"/>
        <w:spacing w:line="360" w:lineRule="auto"/>
        <w:ind w:firstLineChars="200" w:firstLine="480"/>
        <w:rPr>
          <w:rFonts w:eastAsiaTheme="minorEastAsia"/>
          <w:sz w:val="24"/>
        </w:rPr>
      </w:pPr>
      <w:r>
        <w:rPr>
          <w:rFonts w:eastAsiaTheme="minorEastAsia" w:hAnsiTheme="minorEastAsia"/>
          <w:sz w:val="24"/>
        </w:rPr>
        <w:t>监测数据源于哈尔滨新巨环保科技有限公司，详细情况见附件</w:t>
      </w:r>
      <w:r>
        <w:rPr>
          <w:rFonts w:eastAsiaTheme="minorEastAsia" w:hAnsiTheme="minorEastAsia" w:hint="eastAsia"/>
          <w:sz w:val="24"/>
        </w:rPr>
        <w:t>4</w:t>
      </w:r>
      <w:r>
        <w:rPr>
          <w:rFonts w:eastAsiaTheme="minorEastAsia" w:hAnsiTheme="minorEastAsia"/>
          <w:sz w:val="24"/>
        </w:rPr>
        <w:t>。</w:t>
      </w:r>
    </w:p>
    <w:p w14:paraId="1B2338C9"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w:t>
      </w:r>
      <w:r>
        <w:rPr>
          <w:rFonts w:eastAsiaTheme="minorEastAsia"/>
          <w:sz w:val="24"/>
        </w:rPr>
        <w:t>2</w:t>
      </w:r>
      <w:r>
        <w:rPr>
          <w:rFonts w:eastAsiaTheme="minorEastAsia" w:hAnsiTheme="minorEastAsia"/>
          <w:sz w:val="24"/>
        </w:rPr>
        <w:t>）监测点位</w:t>
      </w:r>
    </w:p>
    <w:p w14:paraId="314626E6"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本项目地下水现状监测点位布置具体见表</w:t>
      </w:r>
      <w:r>
        <w:rPr>
          <w:rFonts w:eastAsiaTheme="minorEastAsia"/>
          <w:sz w:val="24"/>
        </w:rPr>
        <w:t>4-2-4</w:t>
      </w:r>
      <w:r>
        <w:rPr>
          <w:rFonts w:eastAsiaTheme="minorEastAsia" w:hAnsiTheme="minorEastAsia"/>
          <w:sz w:val="24"/>
        </w:rPr>
        <w:t>和图</w:t>
      </w:r>
      <w:r>
        <w:rPr>
          <w:rFonts w:eastAsiaTheme="minorEastAsia"/>
          <w:sz w:val="24"/>
        </w:rPr>
        <w:t>4-2-</w:t>
      </w:r>
      <w:r>
        <w:rPr>
          <w:rFonts w:eastAsiaTheme="minorEastAsia" w:hint="eastAsia"/>
          <w:sz w:val="24"/>
        </w:rPr>
        <w:t>2</w:t>
      </w:r>
      <w:r>
        <w:rPr>
          <w:rFonts w:eastAsiaTheme="minorEastAsia" w:hAnsiTheme="minorEastAsia"/>
          <w:sz w:val="24"/>
        </w:rPr>
        <w:t>。</w:t>
      </w:r>
    </w:p>
    <w:p w14:paraId="6B4F2204" w14:textId="77777777" w:rsidR="00B14D53" w:rsidRDefault="00000000">
      <w:pPr>
        <w:jc w:val="center"/>
        <w:rPr>
          <w:b/>
          <w:bCs/>
        </w:rPr>
      </w:pPr>
      <w:r>
        <w:rPr>
          <w:rFonts w:hint="eastAsia"/>
          <w:b/>
          <w:bCs/>
        </w:rPr>
        <w:t>表</w:t>
      </w:r>
      <w:r>
        <w:rPr>
          <w:rFonts w:hint="eastAsia"/>
          <w:b/>
          <w:bCs/>
        </w:rPr>
        <w:t xml:space="preserve">4-2-4 </w:t>
      </w:r>
      <w:r>
        <w:rPr>
          <w:rFonts w:hint="eastAsia"/>
          <w:b/>
          <w:bCs/>
        </w:rPr>
        <w:t>地下水现状监测点位表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478"/>
        <w:gridCol w:w="1620"/>
        <w:gridCol w:w="2769"/>
        <w:gridCol w:w="2439"/>
      </w:tblGrid>
      <w:tr w:rsidR="00B14D53" w14:paraId="3597A770" w14:textId="77777777">
        <w:trPr>
          <w:trHeight w:val="217"/>
          <w:jc w:val="center"/>
        </w:trPr>
        <w:tc>
          <w:tcPr>
            <w:tcW w:w="890" w:type="pct"/>
            <w:tcBorders>
              <w:top w:val="single" w:sz="12" w:space="0" w:color="auto"/>
              <w:left w:val="nil"/>
              <w:bottom w:val="single" w:sz="6" w:space="0" w:color="auto"/>
              <w:right w:val="single" w:sz="6" w:space="0" w:color="auto"/>
            </w:tcBorders>
            <w:vAlign w:val="center"/>
          </w:tcPr>
          <w:p w14:paraId="55D8D2D6" w14:textId="77777777" w:rsidR="00B14D53" w:rsidRDefault="00000000">
            <w:pPr>
              <w:jc w:val="center"/>
              <w:rPr>
                <w:rFonts w:eastAsiaTheme="minorEastAsia"/>
                <w:b/>
                <w:bCs/>
                <w:szCs w:val="21"/>
              </w:rPr>
            </w:pPr>
            <w:r>
              <w:rPr>
                <w:rFonts w:eastAsiaTheme="minorEastAsia" w:hAnsiTheme="minorEastAsia"/>
                <w:b/>
                <w:bCs/>
                <w:szCs w:val="21"/>
              </w:rPr>
              <w:t>点位</w:t>
            </w:r>
          </w:p>
        </w:tc>
        <w:tc>
          <w:tcPr>
            <w:tcW w:w="975" w:type="pct"/>
            <w:tcBorders>
              <w:top w:val="single" w:sz="12" w:space="0" w:color="auto"/>
              <w:left w:val="single" w:sz="6" w:space="0" w:color="auto"/>
              <w:bottom w:val="single" w:sz="6" w:space="0" w:color="auto"/>
              <w:right w:val="single" w:sz="6" w:space="0" w:color="auto"/>
            </w:tcBorders>
            <w:vAlign w:val="center"/>
          </w:tcPr>
          <w:p w14:paraId="7A1D3E6B" w14:textId="77777777" w:rsidR="00B14D53" w:rsidRDefault="00000000">
            <w:pPr>
              <w:jc w:val="center"/>
              <w:rPr>
                <w:rFonts w:eastAsiaTheme="minorEastAsia"/>
                <w:b/>
                <w:bCs/>
                <w:szCs w:val="21"/>
              </w:rPr>
            </w:pPr>
            <w:r>
              <w:rPr>
                <w:rFonts w:eastAsiaTheme="minorEastAsia" w:hAnsiTheme="minorEastAsia"/>
                <w:b/>
                <w:bCs/>
                <w:szCs w:val="21"/>
              </w:rPr>
              <w:t>监测项目</w:t>
            </w:r>
          </w:p>
        </w:tc>
        <w:tc>
          <w:tcPr>
            <w:tcW w:w="1666" w:type="pct"/>
            <w:tcBorders>
              <w:top w:val="single" w:sz="12" w:space="0" w:color="auto"/>
              <w:left w:val="single" w:sz="6" w:space="0" w:color="auto"/>
              <w:bottom w:val="single" w:sz="6" w:space="0" w:color="auto"/>
              <w:right w:val="single" w:sz="6" w:space="0" w:color="auto"/>
            </w:tcBorders>
            <w:vAlign w:val="center"/>
          </w:tcPr>
          <w:p w14:paraId="4EF0978A" w14:textId="77777777" w:rsidR="00B14D53" w:rsidRDefault="00000000">
            <w:pPr>
              <w:jc w:val="center"/>
              <w:rPr>
                <w:rFonts w:eastAsiaTheme="minorEastAsia"/>
                <w:b/>
                <w:bCs/>
                <w:szCs w:val="21"/>
              </w:rPr>
            </w:pPr>
            <w:r>
              <w:rPr>
                <w:rFonts w:eastAsiaTheme="minorEastAsia" w:hAnsiTheme="minorEastAsia"/>
                <w:b/>
                <w:bCs/>
                <w:szCs w:val="21"/>
              </w:rPr>
              <w:t>位置</w:t>
            </w:r>
          </w:p>
        </w:tc>
        <w:tc>
          <w:tcPr>
            <w:tcW w:w="1467" w:type="pct"/>
            <w:tcBorders>
              <w:top w:val="single" w:sz="12" w:space="0" w:color="auto"/>
              <w:left w:val="single" w:sz="6" w:space="0" w:color="auto"/>
              <w:bottom w:val="single" w:sz="6" w:space="0" w:color="auto"/>
              <w:right w:val="nil"/>
            </w:tcBorders>
            <w:vAlign w:val="center"/>
          </w:tcPr>
          <w:p w14:paraId="7EF26EF5" w14:textId="77777777" w:rsidR="00B14D53" w:rsidRDefault="00000000">
            <w:pPr>
              <w:jc w:val="center"/>
              <w:rPr>
                <w:rFonts w:eastAsiaTheme="minorEastAsia"/>
                <w:b/>
                <w:bCs/>
                <w:szCs w:val="21"/>
              </w:rPr>
            </w:pPr>
            <w:r>
              <w:rPr>
                <w:rFonts w:eastAsiaTheme="minorEastAsia" w:hAnsiTheme="minorEastAsia"/>
                <w:b/>
                <w:bCs/>
                <w:szCs w:val="21"/>
              </w:rPr>
              <w:t>距</w:t>
            </w:r>
            <w:r>
              <w:rPr>
                <w:rFonts w:eastAsiaTheme="minorEastAsia" w:hAnsiTheme="minorEastAsia" w:hint="eastAsia"/>
                <w:b/>
                <w:bCs/>
                <w:szCs w:val="21"/>
              </w:rPr>
              <w:t>厂</w:t>
            </w:r>
            <w:r>
              <w:rPr>
                <w:rFonts w:eastAsiaTheme="minorEastAsia" w:hAnsiTheme="minorEastAsia"/>
                <w:b/>
                <w:bCs/>
                <w:szCs w:val="21"/>
              </w:rPr>
              <w:t>界的直线距离</w:t>
            </w:r>
          </w:p>
        </w:tc>
      </w:tr>
      <w:tr w:rsidR="00B14D53" w14:paraId="56BF061A" w14:textId="77777777">
        <w:trPr>
          <w:trHeight w:val="40"/>
          <w:jc w:val="center"/>
        </w:trPr>
        <w:tc>
          <w:tcPr>
            <w:tcW w:w="890" w:type="pct"/>
            <w:tcBorders>
              <w:top w:val="single" w:sz="6" w:space="0" w:color="auto"/>
              <w:left w:val="nil"/>
              <w:bottom w:val="single" w:sz="6" w:space="0" w:color="auto"/>
              <w:right w:val="single" w:sz="6" w:space="0" w:color="auto"/>
            </w:tcBorders>
            <w:vAlign w:val="center"/>
          </w:tcPr>
          <w:p w14:paraId="15FF4609" w14:textId="77777777" w:rsidR="00B14D53" w:rsidRDefault="00000000">
            <w:pPr>
              <w:jc w:val="center"/>
              <w:rPr>
                <w:rFonts w:eastAsiaTheme="minorEastAsia"/>
                <w:szCs w:val="21"/>
              </w:rPr>
            </w:pPr>
            <w:r>
              <w:rPr>
                <w:rFonts w:eastAsiaTheme="minorEastAsia" w:hAnsiTheme="minorEastAsia"/>
                <w:szCs w:val="21"/>
              </w:rPr>
              <w:t>☆</w:t>
            </w:r>
            <w:r>
              <w:rPr>
                <w:rFonts w:eastAsiaTheme="minorEastAsia"/>
                <w:szCs w:val="21"/>
              </w:rPr>
              <w:t>01</w:t>
            </w:r>
          </w:p>
        </w:tc>
        <w:tc>
          <w:tcPr>
            <w:tcW w:w="975" w:type="pct"/>
            <w:vMerge w:val="restart"/>
            <w:tcBorders>
              <w:top w:val="single" w:sz="6" w:space="0" w:color="auto"/>
              <w:left w:val="single" w:sz="6" w:space="0" w:color="auto"/>
              <w:right w:val="single" w:sz="6" w:space="0" w:color="auto"/>
            </w:tcBorders>
            <w:vAlign w:val="center"/>
          </w:tcPr>
          <w:p w14:paraId="7D2E92A5" w14:textId="77777777" w:rsidR="00B14D53" w:rsidRDefault="00000000">
            <w:pPr>
              <w:jc w:val="center"/>
              <w:rPr>
                <w:rFonts w:eastAsiaTheme="minorEastAsia"/>
                <w:szCs w:val="21"/>
              </w:rPr>
            </w:pPr>
            <w:r>
              <w:rPr>
                <w:rFonts w:eastAsiaTheme="minorEastAsia" w:hAnsiTheme="minorEastAsia"/>
                <w:szCs w:val="21"/>
              </w:rPr>
              <w:t>水质</w:t>
            </w:r>
          </w:p>
          <w:p w14:paraId="7EBCB9CD" w14:textId="77777777" w:rsidR="00B14D53" w:rsidRDefault="00000000">
            <w:pPr>
              <w:jc w:val="center"/>
              <w:rPr>
                <w:rFonts w:eastAsiaTheme="minorEastAsia"/>
                <w:szCs w:val="21"/>
              </w:rPr>
            </w:pPr>
            <w:r>
              <w:rPr>
                <w:rFonts w:eastAsiaTheme="minorEastAsia" w:hAnsiTheme="minorEastAsia"/>
                <w:szCs w:val="21"/>
              </w:rPr>
              <w:t>水位</w:t>
            </w:r>
          </w:p>
        </w:tc>
        <w:tc>
          <w:tcPr>
            <w:tcW w:w="1666" w:type="pct"/>
            <w:tcBorders>
              <w:top w:val="single" w:sz="6" w:space="0" w:color="auto"/>
              <w:left w:val="single" w:sz="6" w:space="0" w:color="auto"/>
              <w:bottom w:val="single" w:sz="6" w:space="0" w:color="auto"/>
              <w:right w:val="single" w:sz="6" w:space="0" w:color="auto"/>
            </w:tcBorders>
            <w:vAlign w:val="center"/>
          </w:tcPr>
          <w:p w14:paraId="2930E309" w14:textId="77777777" w:rsidR="00B14D53" w:rsidRDefault="00000000">
            <w:pPr>
              <w:jc w:val="center"/>
              <w:rPr>
                <w:rFonts w:eastAsiaTheme="minorEastAsia"/>
                <w:szCs w:val="21"/>
              </w:rPr>
            </w:pPr>
            <w:r>
              <w:rPr>
                <w:rFonts w:eastAsiaTheme="minorEastAsia" w:hAnsiTheme="minorEastAsia" w:hint="eastAsia"/>
                <w:szCs w:val="21"/>
              </w:rPr>
              <w:t>厂址上</w:t>
            </w:r>
            <w:r>
              <w:rPr>
                <w:rFonts w:eastAsiaTheme="minorEastAsia" w:hAnsiTheme="minorEastAsia"/>
                <w:szCs w:val="21"/>
              </w:rPr>
              <w:t>游</w:t>
            </w:r>
          </w:p>
        </w:tc>
        <w:tc>
          <w:tcPr>
            <w:tcW w:w="1467" w:type="pct"/>
            <w:tcBorders>
              <w:top w:val="single" w:sz="6" w:space="0" w:color="auto"/>
              <w:left w:val="single" w:sz="6" w:space="0" w:color="auto"/>
              <w:bottom w:val="single" w:sz="6" w:space="0" w:color="auto"/>
              <w:right w:val="nil"/>
            </w:tcBorders>
            <w:vAlign w:val="center"/>
          </w:tcPr>
          <w:p w14:paraId="5382A9F5" w14:textId="77777777" w:rsidR="00B14D53" w:rsidRDefault="00000000">
            <w:pPr>
              <w:jc w:val="center"/>
              <w:rPr>
                <w:rFonts w:eastAsiaTheme="minorEastAsia"/>
                <w:szCs w:val="21"/>
              </w:rPr>
            </w:pPr>
            <w:r>
              <w:rPr>
                <w:rFonts w:eastAsiaTheme="minorEastAsia" w:hint="eastAsia"/>
                <w:szCs w:val="21"/>
              </w:rPr>
              <w:t>250m</w:t>
            </w:r>
          </w:p>
        </w:tc>
      </w:tr>
      <w:tr w:rsidR="00B14D53" w14:paraId="14BBB875" w14:textId="77777777">
        <w:trPr>
          <w:trHeight w:val="40"/>
          <w:jc w:val="center"/>
        </w:trPr>
        <w:tc>
          <w:tcPr>
            <w:tcW w:w="890" w:type="pct"/>
            <w:tcBorders>
              <w:top w:val="single" w:sz="6" w:space="0" w:color="auto"/>
              <w:left w:val="nil"/>
              <w:bottom w:val="single" w:sz="6" w:space="0" w:color="auto"/>
              <w:right w:val="single" w:sz="6" w:space="0" w:color="auto"/>
            </w:tcBorders>
            <w:vAlign w:val="center"/>
          </w:tcPr>
          <w:p w14:paraId="7959F513" w14:textId="77777777" w:rsidR="00B14D53" w:rsidRDefault="00000000">
            <w:pPr>
              <w:jc w:val="center"/>
              <w:rPr>
                <w:rFonts w:eastAsiaTheme="minorEastAsia"/>
                <w:szCs w:val="21"/>
              </w:rPr>
            </w:pPr>
            <w:r>
              <w:rPr>
                <w:rFonts w:eastAsiaTheme="minorEastAsia" w:hAnsiTheme="minorEastAsia"/>
                <w:szCs w:val="21"/>
              </w:rPr>
              <w:t>☆</w:t>
            </w:r>
            <w:r>
              <w:rPr>
                <w:rFonts w:eastAsiaTheme="minorEastAsia"/>
                <w:szCs w:val="21"/>
              </w:rPr>
              <w:t>02</w:t>
            </w:r>
          </w:p>
        </w:tc>
        <w:tc>
          <w:tcPr>
            <w:tcW w:w="975" w:type="pct"/>
            <w:vMerge/>
            <w:tcBorders>
              <w:left w:val="single" w:sz="6" w:space="0" w:color="auto"/>
              <w:right w:val="single" w:sz="6" w:space="0" w:color="auto"/>
            </w:tcBorders>
            <w:vAlign w:val="center"/>
          </w:tcPr>
          <w:p w14:paraId="0B1BCDBF" w14:textId="77777777" w:rsidR="00B14D53" w:rsidRDefault="00B14D53">
            <w:pPr>
              <w:widowControl/>
              <w:jc w:val="left"/>
              <w:rPr>
                <w:rFonts w:eastAsiaTheme="minorEastAsia"/>
                <w:szCs w:val="21"/>
              </w:rPr>
            </w:pPr>
          </w:p>
        </w:tc>
        <w:tc>
          <w:tcPr>
            <w:tcW w:w="1666" w:type="pct"/>
            <w:tcBorders>
              <w:top w:val="single" w:sz="6" w:space="0" w:color="auto"/>
              <w:left w:val="single" w:sz="6" w:space="0" w:color="auto"/>
              <w:bottom w:val="single" w:sz="6" w:space="0" w:color="auto"/>
              <w:right w:val="single" w:sz="6" w:space="0" w:color="auto"/>
            </w:tcBorders>
            <w:vAlign w:val="center"/>
          </w:tcPr>
          <w:p w14:paraId="44B0C4F8" w14:textId="77777777" w:rsidR="00B14D53" w:rsidRDefault="00000000">
            <w:pPr>
              <w:jc w:val="center"/>
              <w:rPr>
                <w:rFonts w:eastAsiaTheme="minorEastAsia"/>
                <w:szCs w:val="21"/>
              </w:rPr>
            </w:pPr>
            <w:r>
              <w:rPr>
                <w:rFonts w:eastAsiaTheme="minorEastAsia" w:hAnsiTheme="minorEastAsia"/>
                <w:szCs w:val="21"/>
              </w:rPr>
              <w:t>项目</w:t>
            </w:r>
            <w:r>
              <w:rPr>
                <w:rFonts w:eastAsiaTheme="minorEastAsia" w:hAnsiTheme="minorEastAsia" w:hint="eastAsia"/>
                <w:szCs w:val="21"/>
              </w:rPr>
              <w:t>厂址</w:t>
            </w:r>
          </w:p>
        </w:tc>
        <w:tc>
          <w:tcPr>
            <w:tcW w:w="1467" w:type="pct"/>
            <w:tcBorders>
              <w:top w:val="single" w:sz="6" w:space="0" w:color="auto"/>
              <w:left w:val="single" w:sz="6" w:space="0" w:color="auto"/>
              <w:bottom w:val="single" w:sz="6" w:space="0" w:color="auto"/>
              <w:right w:val="nil"/>
            </w:tcBorders>
            <w:vAlign w:val="center"/>
          </w:tcPr>
          <w:p w14:paraId="4C813ADB" w14:textId="77777777" w:rsidR="00B14D53" w:rsidRDefault="00000000">
            <w:pPr>
              <w:jc w:val="center"/>
              <w:rPr>
                <w:rFonts w:eastAsiaTheme="minorEastAsia"/>
                <w:szCs w:val="21"/>
              </w:rPr>
            </w:pPr>
            <w:r>
              <w:rPr>
                <w:rFonts w:eastAsiaTheme="minorEastAsia"/>
                <w:szCs w:val="21"/>
              </w:rPr>
              <w:t>/</w:t>
            </w:r>
          </w:p>
        </w:tc>
      </w:tr>
      <w:tr w:rsidR="00B14D53" w14:paraId="66F130DE" w14:textId="77777777">
        <w:trPr>
          <w:trHeight w:val="176"/>
          <w:jc w:val="center"/>
        </w:trPr>
        <w:tc>
          <w:tcPr>
            <w:tcW w:w="890" w:type="pct"/>
            <w:tcBorders>
              <w:top w:val="single" w:sz="6" w:space="0" w:color="auto"/>
              <w:left w:val="nil"/>
              <w:bottom w:val="single" w:sz="6" w:space="0" w:color="auto"/>
              <w:right w:val="single" w:sz="6" w:space="0" w:color="auto"/>
            </w:tcBorders>
            <w:vAlign w:val="center"/>
          </w:tcPr>
          <w:p w14:paraId="00A00C44" w14:textId="77777777" w:rsidR="00B14D53" w:rsidRDefault="00000000">
            <w:pPr>
              <w:jc w:val="center"/>
              <w:rPr>
                <w:rFonts w:eastAsiaTheme="minorEastAsia"/>
                <w:szCs w:val="21"/>
              </w:rPr>
            </w:pPr>
            <w:r>
              <w:rPr>
                <w:rFonts w:eastAsiaTheme="minorEastAsia" w:hAnsiTheme="minorEastAsia"/>
                <w:szCs w:val="21"/>
              </w:rPr>
              <w:t>☆</w:t>
            </w:r>
            <w:r>
              <w:rPr>
                <w:rFonts w:eastAsiaTheme="minorEastAsia"/>
                <w:szCs w:val="21"/>
              </w:rPr>
              <w:t>03</w:t>
            </w:r>
          </w:p>
        </w:tc>
        <w:tc>
          <w:tcPr>
            <w:tcW w:w="975" w:type="pct"/>
            <w:vMerge/>
            <w:tcBorders>
              <w:left w:val="single" w:sz="6" w:space="0" w:color="auto"/>
              <w:bottom w:val="single" w:sz="4" w:space="0" w:color="auto"/>
              <w:right w:val="single" w:sz="6" w:space="0" w:color="auto"/>
            </w:tcBorders>
            <w:vAlign w:val="center"/>
          </w:tcPr>
          <w:p w14:paraId="1703432E" w14:textId="77777777" w:rsidR="00B14D53" w:rsidRDefault="00B14D53">
            <w:pPr>
              <w:widowControl/>
              <w:jc w:val="left"/>
              <w:rPr>
                <w:rFonts w:eastAsiaTheme="minorEastAsia"/>
                <w:szCs w:val="21"/>
              </w:rPr>
            </w:pPr>
          </w:p>
        </w:tc>
        <w:tc>
          <w:tcPr>
            <w:tcW w:w="1666" w:type="pct"/>
            <w:tcBorders>
              <w:top w:val="single" w:sz="6" w:space="0" w:color="auto"/>
              <w:left w:val="single" w:sz="6" w:space="0" w:color="auto"/>
              <w:bottom w:val="single" w:sz="6" w:space="0" w:color="auto"/>
              <w:right w:val="single" w:sz="6" w:space="0" w:color="auto"/>
            </w:tcBorders>
            <w:vAlign w:val="center"/>
          </w:tcPr>
          <w:p w14:paraId="7334F135" w14:textId="77777777" w:rsidR="00B14D53" w:rsidRDefault="00000000">
            <w:pPr>
              <w:jc w:val="center"/>
              <w:rPr>
                <w:rFonts w:eastAsiaTheme="minorEastAsia"/>
                <w:szCs w:val="21"/>
              </w:rPr>
            </w:pPr>
            <w:r>
              <w:rPr>
                <w:rFonts w:eastAsiaTheme="minorEastAsia" w:hAnsiTheme="minorEastAsia" w:hint="eastAsia"/>
                <w:szCs w:val="21"/>
              </w:rPr>
              <w:t>厂址下游</w:t>
            </w:r>
          </w:p>
        </w:tc>
        <w:tc>
          <w:tcPr>
            <w:tcW w:w="1467" w:type="pct"/>
            <w:tcBorders>
              <w:top w:val="single" w:sz="6" w:space="0" w:color="auto"/>
              <w:left w:val="single" w:sz="6" w:space="0" w:color="auto"/>
              <w:bottom w:val="single" w:sz="6" w:space="0" w:color="auto"/>
              <w:right w:val="nil"/>
            </w:tcBorders>
            <w:vAlign w:val="center"/>
          </w:tcPr>
          <w:p w14:paraId="51167E1E" w14:textId="77777777" w:rsidR="00B14D53" w:rsidRDefault="00000000">
            <w:pPr>
              <w:jc w:val="center"/>
              <w:rPr>
                <w:rFonts w:eastAsiaTheme="minorEastAsia"/>
                <w:szCs w:val="21"/>
              </w:rPr>
            </w:pPr>
            <w:r>
              <w:rPr>
                <w:rFonts w:eastAsiaTheme="minorEastAsia" w:hint="eastAsia"/>
                <w:szCs w:val="21"/>
              </w:rPr>
              <w:t>900m</w:t>
            </w:r>
          </w:p>
        </w:tc>
      </w:tr>
      <w:tr w:rsidR="00B14D53" w14:paraId="0F497557" w14:textId="77777777">
        <w:trPr>
          <w:trHeight w:val="176"/>
          <w:jc w:val="center"/>
        </w:trPr>
        <w:tc>
          <w:tcPr>
            <w:tcW w:w="890" w:type="pct"/>
            <w:tcBorders>
              <w:top w:val="single" w:sz="6" w:space="0" w:color="auto"/>
              <w:left w:val="nil"/>
              <w:bottom w:val="single" w:sz="6" w:space="0" w:color="auto"/>
              <w:right w:val="single" w:sz="6" w:space="0" w:color="auto"/>
            </w:tcBorders>
            <w:vAlign w:val="center"/>
          </w:tcPr>
          <w:p w14:paraId="4DECAB09" w14:textId="77777777" w:rsidR="00B14D53" w:rsidRDefault="00000000">
            <w:pPr>
              <w:jc w:val="center"/>
              <w:rPr>
                <w:rFonts w:eastAsiaTheme="minorEastAsia"/>
                <w:szCs w:val="21"/>
              </w:rPr>
            </w:pPr>
            <w:r>
              <w:rPr>
                <w:rFonts w:eastAsiaTheme="minorEastAsia" w:hAnsiTheme="minorEastAsia"/>
                <w:szCs w:val="21"/>
              </w:rPr>
              <w:t>☆</w:t>
            </w:r>
            <w:r>
              <w:rPr>
                <w:rFonts w:eastAsiaTheme="minorEastAsia"/>
                <w:szCs w:val="21"/>
              </w:rPr>
              <w:t>04</w:t>
            </w:r>
          </w:p>
        </w:tc>
        <w:tc>
          <w:tcPr>
            <w:tcW w:w="975" w:type="pct"/>
            <w:vMerge w:val="restart"/>
            <w:tcBorders>
              <w:top w:val="single" w:sz="4" w:space="0" w:color="auto"/>
              <w:left w:val="single" w:sz="6" w:space="0" w:color="auto"/>
              <w:right w:val="single" w:sz="6" w:space="0" w:color="auto"/>
            </w:tcBorders>
            <w:vAlign w:val="center"/>
          </w:tcPr>
          <w:p w14:paraId="0B6A51D0" w14:textId="77777777" w:rsidR="00B14D53" w:rsidRDefault="00000000">
            <w:pPr>
              <w:jc w:val="center"/>
              <w:rPr>
                <w:rFonts w:eastAsiaTheme="minorEastAsia"/>
                <w:szCs w:val="21"/>
              </w:rPr>
            </w:pPr>
            <w:r>
              <w:rPr>
                <w:rFonts w:eastAsiaTheme="minorEastAsia" w:hAnsiTheme="minorEastAsia"/>
                <w:szCs w:val="21"/>
              </w:rPr>
              <w:t>水位</w:t>
            </w:r>
          </w:p>
        </w:tc>
        <w:tc>
          <w:tcPr>
            <w:tcW w:w="2841" w:type="dxa"/>
            <w:tcBorders>
              <w:top w:val="single" w:sz="6" w:space="0" w:color="auto"/>
              <w:left w:val="single" w:sz="6" w:space="0" w:color="auto"/>
              <w:bottom w:val="single" w:sz="6" w:space="0" w:color="auto"/>
              <w:right w:val="single" w:sz="6" w:space="0" w:color="auto"/>
            </w:tcBorders>
            <w:vAlign w:val="center"/>
          </w:tcPr>
          <w:p w14:paraId="08D14E5D" w14:textId="77777777" w:rsidR="00B14D53" w:rsidRDefault="00000000">
            <w:pPr>
              <w:jc w:val="center"/>
              <w:rPr>
                <w:rFonts w:eastAsiaTheme="minorEastAsia" w:hAnsiTheme="minorEastAsia" w:hint="eastAsia"/>
                <w:szCs w:val="21"/>
              </w:rPr>
            </w:pPr>
            <w:r>
              <w:rPr>
                <w:rFonts w:eastAsiaTheme="minorEastAsia" w:hint="eastAsia"/>
                <w:szCs w:val="21"/>
              </w:rPr>
              <w:t>厂址上游</w:t>
            </w:r>
          </w:p>
        </w:tc>
        <w:tc>
          <w:tcPr>
            <w:tcW w:w="2502" w:type="dxa"/>
            <w:tcBorders>
              <w:top w:val="single" w:sz="6" w:space="0" w:color="auto"/>
              <w:left w:val="single" w:sz="6" w:space="0" w:color="auto"/>
              <w:bottom w:val="single" w:sz="6" w:space="0" w:color="auto"/>
              <w:right w:val="nil"/>
            </w:tcBorders>
            <w:vAlign w:val="center"/>
          </w:tcPr>
          <w:p w14:paraId="60B8094B" w14:textId="77777777" w:rsidR="00B14D53" w:rsidRDefault="00000000">
            <w:pPr>
              <w:jc w:val="center"/>
              <w:rPr>
                <w:rFonts w:eastAsiaTheme="minorEastAsia"/>
                <w:szCs w:val="21"/>
              </w:rPr>
            </w:pPr>
            <w:r>
              <w:rPr>
                <w:rFonts w:eastAsiaTheme="minorEastAsia" w:hint="eastAsia"/>
                <w:szCs w:val="21"/>
              </w:rPr>
              <w:t>660m</w:t>
            </w:r>
          </w:p>
        </w:tc>
      </w:tr>
      <w:tr w:rsidR="00B14D53" w14:paraId="5F7870D7" w14:textId="77777777">
        <w:trPr>
          <w:trHeight w:val="176"/>
          <w:jc w:val="center"/>
        </w:trPr>
        <w:tc>
          <w:tcPr>
            <w:tcW w:w="890" w:type="pct"/>
            <w:tcBorders>
              <w:top w:val="single" w:sz="6" w:space="0" w:color="auto"/>
              <w:left w:val="nil"/>
              <w:bottom w:val="single" w:sz="6" w:space="0" w:color="auto"/>
              <w:right w:val="single" w:sz="6" w:space="0" w:color="auto"/>
            </w:tcBorders>
            <w:vAlign w:val="center"/>
          </w:tcPr>
          <w:p w14:paraId="10273E16" w14:textId="77777777" w:rsidR="00B14D53" w:rsidRDefault="00000000">
            <w:pPr>
              <w:jc w:val="center"/>
              <w:rPr>
                <w:rFonts w:eastAsiaTheme="minorEastAsia"/>
                <w:szCs w:val="21"/>
              </w:rPr>
            </w:pPr>
            <w:r>
              <w:rPr>
                <w:rFonts w:eastAsiaTheme="minorEastAsia" w:hAnsiTheme="minorEastAsia"/>
                <w:szCs w:val="21"/>
              </w:rPr>
              <w:t>☆</w:t>
            </w:r>
            <w:r>
              <w:rPr>
                <w:rFonts w:eastAsiaTheme="minorEastAsia"/>
                <w:szCs w:val="21"/>
              </w:rPr>
              <w:t>05</w:t>
            </w:r>
          </w:p>
        </w:tc>
        <w:tc>
          <w:tcPr>
            <w:tcW w:w="975" w:type="pct"/>
            <w:vMerge/>
            <w:tcBorders>
              <w:left w:val="single" w:sz="6" w:space="0" w:color="auto"/>
              <w:right w:val="single" w:sz="6" w:space="0" w:color="auto"/>
            </w:tcBorders>
            <w:vAlign w:val="center"/>
          </w:tcPr>
          <w:p w14:paraId="4C857D4D" w14:textId="77777777" w:rsidR="00B14D53" w:rsidRDefault="00B14D53">
            <w:pPr>
              <w:widowControl/>
              <w:jc w:val="left"/>
              <w:rPr>
                <w:rFonts w:eastAsiaTheme="minorEastAsia"/>
                <w:szCs w:val="21"/>
              </w:rPr>
            </w:pPr>
          </w:p>
        </w:tc>
        <w:tc>
          <w:tcPr>
            <w:tcW w:w="2841" w:type="dxa"/>
            <w:tcBorders>
              <w:top w:val="single" w:sz="6" w:space="0" w:color="auto"/>
              <w:left w:val="single" w:sz="6" w:space="0" w:color="auto"/>
              <w:bottom w:val="single" w:sz="6" w:space="0" w:color="auto"/>
              <w:right w:val="single" w:sz="6" w:space="0" w:color="auto"/>
            </w:tcBorders>
            <w:vAlign w:val="center"/>
          </w:tcPr>
          <w:p w14:paraId="3824CC5D" w14:textId="77777777" w:rsidR="00B14D53" w:rsidRDefault="00000000">
            <w:pPr>
              <w:jc w:val="center"/>
              <w:rPr>
                <w:rFonts w:eastAsiaTheme="minorEastAsia" w:hAnsiTheme="minorEastAsia" w:hint="eastAsia"/>
                <w:szCs w:val="21"/>
              </w:rPr>
            </w:pPr>
            <w:r>
              <w:rPr>
                <w:rFonts w:eastAsiaTheme="minorEastAsia" w:hint="eastAsia"/>
                <w:szCs w:val="21"/>
              </w:rPr>
              <w:t>厂址左侧</w:t>
            </w:r>
          </w:p>
        </w:tc>
        <w:tc>
          <w:tcPr>
            <w:tcW w:w="2502" w:type="dxa"/>
            <w:tcBorders>
              <w:top w:val="single" w:sz="6" w:space="0" w:color="auto"/>
              <w:left w:val="single" w:sz="6" w:space="0" w:color="auto"/>
              <w:bottom w:val="single" w:sz="6" w:space="0" w:color="auto"/>
              <w:right w:val="nil"/>
            </w:tcBorders>
            <w:vAlign w:val="center"/>
          </w:tcPr>
          <w:p w14:paraId="76C0DA02" w14:textId="77777777" w:rsidR="00B14D53" w:rsidRDefault="00000000">
            <w:pPr>
              <w:jc w:val="center"/>
              <w:rPr>
                <w:rFonts w:eastAsiaTheme="minorEastAsia"/>
                <w:szCs w:val="21"/>
              </w:rPr>
            </w:pPr>
            <w:r>
              <w:rPr>
                <w:rFonts w:eastAsiaTheme="minorEastAsia" w:hint="eastAsia"/>
                <w:szCs w:val="21"/>
              </w:rPr>
              <w:t>670m</w:t>
            </w:r>
          </w:p>
        </w:tc>
      </w:tr>
      <w:tr w:rsidR="00B14D53" w14:paraId="4C6BF44C" w14:textId="77777777">
        <w:trPr>
          <w:trHeight w:val="176"/>
          <w:jc w:val="center"/>
        </w:trPr>
        <w:tc>
          <w:tcPr>
            <w:tcW w:w="890" w:type="pct"/>
            <w:tcBorders>
              <w:top w:val="single" w:sz="6" w:space="0" w:color="auto"/>
              <w:left w:val="nil"/>
              <w:bottom w:val="single" w:sz="12" w:space="0" w:color="auto"/>
              <w:right w:val="single" w:sz="6" w:space="0" w:color="auto"/>
            </w:tcBorders>
            <w:vAlign w:val="center"/>
          </w:tcPr>
          <w:p w14:paraId="2A8DDA86" w14:textId="77777777" w:rsidR="00B14D53" w:rsidRDefault="00000000">
            <w:pPr>
              <w:jc w:val="center"/>
              <w:rPr>
                <w:rFonts w:eastAsiaTheme="minorEastAsia"/>
                <w:szCs w:val="21"/>
              </w:rPr>
            </w:pPr>
            <w:r>
              <w:rPr>
                <w:rFonts w:eastAsiaTheme="minorEastAsia" w:hAnsiTheme="minorEastAsia"/>
                <w:szCs w:val="21"/>
              </w:rPr>
              <w:t>☆</w:t>
            </w:r>
            <w:r>
              <w:rPr>
                <w:rFonts w:eastAsiaTheme="minorEastAsia"/>
                <w:szCs w:val="21"/>
              </w:rPr>
              <w:t>06</w:t>
            </w:r>
          </w:p>
        </w:tc>
        <w:tc>
          <w:tcPr>
            <w:tcW w:w="975" w:type="pct"/>
            <w:vMerge/>
            <w:tcBorders>
              <w:left w:val="single" w:sz="6" w:space="0" w:color="auto"/>
              <w:bottom w:val="single" w:sz="12" w:space="0" w:color="auto"/>
              <w:right w:val="single" w:sz="6" w:space="0" w:color="auto"/>
            </w:tcBorders>
            <w:vAlign w:val="center"/>
          </w:tcPr>
          <w:p w14:paraId="1F05082B" w14:textId="77777777" w:rsidR="00B14D53" w:rsidRDefault="00B14D53">
            <w:pPr>
              <w:jc w:val="center"/>
              <w:rPr>
                <w:rFonts w:eastAsiaTheme="minorEastAsia"/>
                <w:szCs w:val="21"/>
              </w:rPr>
            </w:pPr>
          </w:p>
        </w:tc>
        <w:tc>
          <w:tcPr>
            <w:tcW w:w="2841" w:type="dxa"/>
            <w:tcBorders>
              <w:top w:val="single" w:sz="6" w:space="0" w:color="auto"/>
              <w:left w:val="single" w:sz="6" w:space="0" w:color="auto"/>
              <w:bottom w:val="single" w:sz="12" w:space="0" w:color="auto"/>
              <w:right w:val="single" w:sz="6" w:space="0" w:color="auto"/>
            </w:tcBorders>
            <w:vAlign w:val="center"/>
          </w:tcPr>
          <w:p w14:paraId="1F172A06" w14:textId="77777777" w:rsidR="00B14D53" w:rsidRDefault="00000000">
            <w:pPr>
              <w:jc w:val="center"/>
              <w:rPr>
                <w:rFonts w:eastAsiaTheme="minorEastAsia"/>
                <w:szCs w:val="21"/>
              </w:rPr>
            </w:pPr>
            <w:r>
              <w:rPr>
                <w:rFonts w:eastAsiaTheme="minorEastAsia" w:hAnsiTheme="minorEastAsia" w:hint="eastAsia"/>
                <w:szCs w:val="21"/>
              </w:rPr>
              <w:t>厂址右侧</w:t>
            </w:r>
          </w:p>
        </w:tc>
        <w:tc>
          <w:tcPr>
            <w:tcW w:w="2502" w:type="dxa"/>
            <w:tcBorders>
              <w:top w:val="single" w:sz="6" w:space="0" w:color="auto"/>
              <w:left w:val="single" w:sz="6" w:space="0" w:color="auto"/>
              <w:bottom w:val="single" w:sz="12" w:space="0" w:color="auto"/>
              <w:right w:val="nil"/>
            </w:tcBorders>
            <w:vAlign w:val="center"/>
          </w:tcPr>
          <w:p w14:paraId="56B3D7D5" w14:textId="77777777" w:rsidR="00B14D53" w:rsidRDefault="00000000">
            <w:pPr>
              <w:jc w:val="center"/>
              <w:rPr>
                <w:rFonts w:eastAsiaTheme="minorEastAsia"/>
                <w:szCs w:val="21"/>
              </w:rPr>
            </w:pPr>
            <w:r>
              <w:rPr>
                <w:rFonts w:eastAsiaTheme="minorEastAsia" w:hint="eastAsia"/>
                <w:szCs w:val="21"/>
              </w:rPr>
              <w:t>840m</w:t>
            </w:r>
          </w:p>
        </w:tc>
      </w:tr>
    </w:tbl>
    <w:p w14:paraId="6487F35B" w14:textId="77777777" w:rsidR="00B14D53" w:rsidRDefault="00000000">
      <w:pPr>
        <w:spacing w:line="360" w:lineRule="auto"/>
        <w:jc w:val="center"/>
        <w:rPr>
          <w:rFonts w:eastAsiaTheme="minorEastAsia"/>
          <w:highlight w:val="yellow"/>
        </w:rPr>
      </w:pPr>
      <w:r>
        <w:rPr>
          <w:noProof/>
        </w:rPr>
        <w:drawing>
          <wp:inline distT="0" distB="0" distL="114300" distR="114300" wp14:anchorId="07484856" wp14:editId="7B0BB8B8">
            <wp:extent cx="4797425" cy="3331845"/>
            <wp:effectExtent l="9525" t="9525" r="12700" b="1143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48"/>
                    <a:stretch>
                      <a:fillRect/>
                    </a:stretch>
                  </pic:blipFill>
                  <pic:spPr>
                    <a:xfrm>
                      <a:off x="0" y="0"/>
                      <a:ext cx="4797425" cy="3331845"/>
                    </a:xfrm>
                    <a:prstGeom prst="rect">
                      <a:avLst/>
                    </a:prstGeom>
                    <a:noFill/>
                    <a:ln>
                      <a:solidFill>
                        <a:schemeClr val="tx1"/>
                      </a:solidFill>
                    </a:ln>
                  </pic:spPr>
                </pic:pic>
              </a:graphicData>
            </a:graphic>
          </wp:inline>
        </w:drawing>
      </w:r>
    </w:p>
    <w:p w14:paraId="4E8FCB8A" w14:textId="77777777" w:rsidR="00B14D53" w:rsidRDefault="00000000">
      <w:pPr>
        <w:jc w:val="center"/>
        <w:rPr>
          <w:b/>
          <w:bCs/>
        </w:rPr>
      </w:pPr>
      <w:r>
        <w:rPr>
          <w:rFonts w:hint="eastAsia"/>
          <w:b/>
          <w:bCs/>
        </w:rPr>
        <w:t>图</w:t>
      </w:r>
      <w:r>
        <w:rPr>
          <w:rFonts w:hint="eastAsia"/>
          <w:b/>
          <w:bCs/>
        </w:rPr>
        <w:t xml:space="preserve">4-2-2 </w:t>
      </w:r>
      <w:r>
        <w:rPr>
          <w:rFonts w:hint="eastAsia"/>
          <w:b/>
          <w:bCs/>
        </w:rPr>
        <w:t>地下水监测点位图</w:t>
      </w:r>
    </w:p>
    <w:p w14:paraId="7D805308"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w:t>
      </w:r>
      <w:r>
        <w:rPr>
          <w:rFonts w:eastAsiaTheme="minorEastAsia"/>
          <w:sz w:val="24"/>
        </w:rPr>
        <w:t>3</w:t>
      </w:r>
      <w:r>
        <w:rPr>
          <w:rFonts w:eastAsiaTheme="minorEastAsia" w:hAnsiTheme="minorEastAsia"/>
          <w:sz w:val="24"/>
        </w:rPr>
        <w:t>）监测因子</w:t>
      </w:r>
    </w:p>
    <w:p w14:paraId="3EFE5B4F"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基本因子：</w:t>
      </w:r>
      <w:r>
        <w:rPr>
          <w:rFonts w:eastAsiaTheme="minorEastAsia"/>
          <w:sz w:val="24"/>
        </w:rPr>
        <w:t>pH</w:t>
      </w:r>
      <w:r>
        <w:rPr>
          <w:rFonts w:eastAsiaTheme="minorEastAsia" w:hAnsiTheme="minorEastAsia"/>
          <w:sz w:val="24"/>
        </w:rPr>
        <w:t>、色度、总硬度、溶解性总固体、硫酸盐、氯化物、挥发酚、</w:t>
      </w:r>
      <w:r>
        <w:rPr>
          <w:rFonts w:eastAsiaTheme="minorEastAsia" w:hAnsiTheme="minorEastAsia" w:hint="eastAsia"/>
          <w:sz w:val="24"/>
        </w:rPr>
        <w:t>高锰酸盐指数</w:t>
      </w:r>
      <w:r>
        <w:rPr>
          <w:rFonts w:eastAsiaTheme="minorEastAsia" w:hAnsiTheme="minorEastAsia"/>
          <w:sz w:val="24"/>
        </w:rPr>
        <w:t>、硝酸盐氮、亚硝酸盐氮、氨氮、六价铬、氟化物、氰化物、总大肠菌群、细菌总数、铁、锰、砷、汞、铅、镉共</w:t>
      </w:r>
      <w:r>
        <w:rPr>
          <w:rFonts w:eastAsiaTheme="minorEastAsia"/>
          <w:sz w:val="24"/>
        </w:rPr>
        <w:t>22</w:t>
      </w:r>
      <w:r>
        <w:rPr>
          <w:rFonts w:eastAsiaTheme="minorEastAsia" w:hAnsiTheme="minorEastAsia"/>
          <w:sz w:val="24"/>
        </w:rPr>
        <w:t>项基本水质因子和</w:t>
      </w:r>
      <w:r>
        <w:rPr>
          <w:rFonts w:eastAsiaTheme="minorEastAsia"/>
          <w:sz w:val="24"/>
        </w:rPr>
        <w:t>K</w:t>
      </w:r>
      <w:r>
        <w:rPr>
          <w:rFonts w:eastAsiaTheme="minorEastAsia"/>
          <w:sz w:val="24"/>
          <w:vertAlign w:val="superscript"/>
        </w:rPr>
        <w:t>+</w:t>
      </w:r>
      <w:r>
        <w:rPr>
          <w:rFonts w:eastAsiaTheme="minorEastAsia" w:hAnsiTheme="minorEastAsia"/>
          <w:sz w:val="24"/>
        </w:rPr>
        <w:t>、</w:t>
      </w:r>
      <w:r>
        <w:rPr>
          <w:rFonts w:eastAsiaTheme="minorEastAsia"/>
          <w:sz w:val="24"/>
        </w:rPr>
        <w:t>Na</w:t>
      </w:r>
      <w:r>
        <w:rPr>
          <w:rFonts w:eastAsiaTheme="minorEastAsia"/>
          <w:sz w:val="24"/>
          <w:vertAlign w:val="superscript"/>
        </w:rPr>
        <w:t>+</w:t>
      </w:r>
      <w:r>
        <w:rPr>
          <w:rFonts w:eastAsiaTheme="minorEastAsia" w:hAnsiTheme="minorEastAsia"/>
          <w:sz w:val="24"/>
        </w:rPr>
        <w:t>、</w:t>
      </w:r>
      <w:r>
        <w:rPr>
          <w:rFonts w:eastAsiaTheme="minorEastAsia"/>
          <w:sz w:val="24"/>
        </w:rPr>
        <w:t>Ca</w:t>
      </w:r>
      <w:r>
        <w:rPr>
          <w:rFonts w:eastAsiaTheme="minorEastAsia"/>
          <w:sz w:val="24"/>
          <w:vertAlign w:val="superscript"/>
        </w:rPr>
        <w:t>+</w:t>
      </w:r>
      <w:r>
        <w:rPr>
          <w:rFonts w:eastAsiaTheme="minorEastAsia" w:hAnsiTheme="minorEastAsia"/>
          <w:sz w:val="24"/>
        </w:rPr>
        <w:t>、</w:t>
      </w:r>
      <w:r>
        <w:rPr>
          <w:rFonts w:eastAsiaTheme="minorEastAsia"/>
          <w:sz w:val="24"/>
        </w:rPr>
        <w:t>Mg</w:t>
      </w:r>
      <w:r>
        <w:rPr>
          <w:rFonts w:eastAsiaTheme="minorEastAsia"/>
          <w:sz w:val="24"/>
          <w:vertAlign w:val="superscript"/>
        </w:rPr>
        <w:t>2+</w:t>
      </w:r>
      <w:r>
        <w:rPr>
          <w:rFonts w:eastAsiaTheme="minorEastAsia" w:hAnsiTheme="minorEastAsia"/>
          <w:sz w:val="24"/>
        </w:rPr>
        <w:t>、</w:t>
      </w:r>
      <w:r>
        <w:rPr>
          <w:rFonts w:eastAsiaTheme="minorEastAsia"/>
          <w:sz w:val="24"/>
        </w:rPr>
        <w:t>CO</w:t>
      </w:r>
      <w:r>
        <w:rPr>
          <w:rFonts w:eastAsiaTheme="minorEastAsia"/>
          <w:sz w:val="24"/>
          <w:vertAlign w:val="subscript"/>
        </w:rPr>
        <w:t>3</w:t>
      </w:r>
      <w:r>
        <w:rPr>
          <w:rFonts w:eastAsiaTheme="minorEastAsia"/>
          <w:sz w:val="24"/>
          <w:vertAlign w:val="superscript"/>
        </w:rPr>
        <w:t>2-</w:t>
      </w:r>
      <w:r>
        <w:rPr>
          <w:rFonts w:eastAsiaTheme="minorEastAsia" w:hAnsiTheme="minorEastAsia"/>
          <w:sz w:val="24"/>
        </w:rPr>
        <w:t>、</w:t>
      </w:r>
      <w:r>
        <w:rPr>
          <w:rFonts w:eastAsiaTheme="minorEastAsia"/>
          <w:sz w:val="24"/>
        </w:rPr>
        <w:t>HCO</w:t>
      </w:r>
      <w:r>
        <w:rPr>
          <w:rFonts w:eastAsiaTheme="minorEastAsia"/>
          <w:sz w:val="24"/>
          <w:vertAlign w:val="subscript"/>
        </w:rPr>
        <w:t>3</w:t>
      </w:r>
      <w:r>
        <w:rPr>
          <w:rFonts w:eastAsiaTheme="minorEastAsia"/>
          <w:sz w:val="24"/>
          <w:vertAlign w:val="superscript"/>
        </w:rPr>
        <w:t>-</w:t>
      </w:r>
      <w:r>
        <w:rPr>
          <w:rFonts w:eastAsiaTheme="minorEastAsia" w:hAnsiTheme="minorEastAsia"/>
          <w:sz w:val="24"/>
        </w:rPr>
        <w:t>、</w:t>
      </w:r>
      <w:r>
        <w:rPr>
          <w:rFonts w:eastAsiaTheme="minorEastAsia"/>
          <w:sz w:val="24"/>
        </w:rPr>
        <w:t>Cl</w:t>
      </w:r>
      <w:r>
        <w:rPr>
          <w:rFonts w:eastAsiaTheme="minorEastAsia"/>
          <w:sz w:val="24"/>
          <w:vertAlign w:val="superscript"/>
        </w:rPr>
        <w:t>-</w:t>
      </w:r>
      <w:r>
        <w:rPr>
          <w:rFonts w:eastAsiaTheme="minorEastAsia" w:hAnsiTheme="minorEastAsia"/>
          <w:sz w:val="24"/>
        </w:rPr>
        <w:t>、</w:t>
      </w:r>
      <w:r>
        <w:rPr>
          <w:rFonts w:eastAsiaTheme="minorEastAsia"/>
          <w:sz w:val="24"/>
        </w:rPr>
        <w:t>SO</w:t>
      </w:r>
      <w:r>
        <w:rPr>
          <w:rFonts w:eastAsiaTheme="minorEastAsia"/>
          <w:sz w:val="24"/>
          <w:vertAlign w:val="subscript"/>
        </w:rPr>
        <w:t>4</w:t>
      </w:r>
      <w:r>
        <w:rPr>
          <w:rFonts w:eastAsiaTheme="minorEastAsia"/>
          <w:sz w:val="24"/>
          <w:vertAlign w:val="superscript"/>
        </w:rPr>
        <w:t>2-</w:t>
      </w:r>
      <w:r>
        <w:rPr>
          <w:rFonts w:eastAsiaTheme="minorEastAsia" w:hAnsiTheme="minorEastAsia"/>
          <w:sz w:val="24"/>
        </w:rPr>
        <w:t>共</w:t>
      </w:r>
      <w:r>
        <w:rPr>
          <w:rFonts w:eastAsiaTheme="minorEastAsia"/>
          <w:sz w:val="24"/>
        </w:rPr>
        <w:t>8</w:t>
      </w:r>
      <w:r>
        <w:rPr>
          <w:rFonts w:eastAsiaTheme="minorEastAsia" w:hAnsiTheme="minorEastAsia"/>
          <w:sz w:val="24"/>
        </w:rPr>
        <w:t>项离子。</w:t>
      </w:r>
    </w:p>
    <w:p w14:paraId="3F01B3DA" w14:textId="77777777" w:rsidR="00B14D53" w:rsidRDefault="00000000">
      <w:pPr>
        <w:pStyle w:val="af5"/>
        <w:spacing w:line="360" w:lineRule="auto"/>
        <w:ind w:firstLineChars="200" w:firstLine="480"/>
        <w:rPr>
          <w:rFonts w:ascii="Times New Roman" w:eastAsiaTheme="minorEastAsia" w:hAnsi="Times New Roman" w:cs="Times New Roman"/>
          <w:sz w:val="24"/>
          <w:szCs w:val="24"/>
        </w:rPr>
      </w:pPr>
      <w:r>
        <w:rPr>
          <w:rFonts w:ascii="Times New Roman" w:eastAsiaTheme="minorEastAsia" w:hAnsiTheme="minorEastAsia" w:cs="Times New Roman"/>
          <w:sz w:val="24"/>
        </w:rPr>
        <w:t>（</w:t>
      </w:r>
      <w:r>
        <w:rPr>
          <w:rFonts w:ascii="Times New Roman" w:eastAsiaTheme="minorEastAsia" w:hAnsi="Times New Roman" w:cs="Times New Roman"/>
          <w:sz w:val="24"/>
        </w:rPr>
        <w:t>4</w:t>
      </w:r>
      <w:r>
        <w:rPr>
          <w:rFonts w:ascii="Times New Roman" w:eastAsiaTheme="minorEastAsia" w:hAnsiTheme="minorEastAsia" w:cs="Times New Roman"/>
          <w:sz w:val="24"/>
        </w:rPr>
        <w:t>）</w:t>
      </w:r>
      <w:r>
        <w:rPr>
          <w:rFonts w:ascii="Times New Roman" w:eastAsiaTheme="minorEastAsia" w:hAnsiTheme="minorEastAsia" w:cs="Times New Roman"/>
          <w:sz w:val="24"/>
          <w:szCs w:val="24"/>
        </w:rPr>
        <w:t>采样时间及频率</w:t>
      </w:r>
    </w:p>
    <w:p w14:paraId="3F5D76FB" w14:textId="77777777" w:rsidR="00B14D53" w:rsidRDefault="00000000">
      <w:pPr>
        <w:pStyle w:val="af5"/>
        <w:spacing w:line="360" w:lineRule="auto"/>
        <w:ind w:firstLineChars="200" w:firstLine="480"/>
        <w:rPr>
          <w:rFonts w:ascii="Times New Roman" w:eastAsiaTheme="minorEastAsia" w:hAnsi="Times New Roman" w:cs="Times New Roman"/>
          <w:sz w:val="24"/>
          <w:szCs w:val="24"/>
        </w:rPr>
      </w:pPr>
      <w:r>
        <w:rPr>
          <w:rFonts w:ascii="Times New Roman" w:eastAsiaTheme="minorEastAsia" w:hAnsiTheme="minorEastAsia" w:cs="Times New Roman"/>
          <w:sz w:val="24"/>
          <w:szCs w:val="24"/>
        </w:rPr>
        <w:t>监测时间为</w:t>
      </w:r>
      <w:r>
        <w:rPr>
          <w:rFonts w:ascii="Times New Roman" w:eastAsiaTheme="minorEastAsia" w:hAnsi="Times New Roman" w:cs="Times New Roman"/>
          <w:sz w:val="24"/>
          <w:szCs w:val="24"/>
        </w:rPr>
        <w:t>202</w:t>
      </w:r>
      <w:r>
        <w:rPr>
          <w:rFonts w:ascii="Times New Roman" w:eastAsiaTheme="minorEastAsia" w:hAnsi="Times New Roman" w:cs="Times New Roman" w:hint="eastAsia"/>
          <w:sz w:val="24"/>
          <w:szCs w:val="24"/>
        </w:rPr>
        <w:t>5</w:t>
      </w:r>
      <w:r>
        <w:rPr>
          <w:rFonts w:ascii="Times New Roman" w:eastAsiaTheme="minorEastAsia" w:hAnsiTheme="minorEastAsia" w:cs="Times New Roman"/>
          <w:sz w:val="24"/>
          <w:szCs w:val="24"/>
        </w:rPr>
        <w:t>年</w:t>
      </w:r>
      <w:r>
        <w:rPr>
          <w:rFonts w:ascii="Times New Roman" w:eastAsiaTheme="minorEastAsia" w:hAnsi="Times New Roman" w:cs="Times New Roman"/>
          <w:sz w:val="24"/>
          <w:szCs w:val="24"/>
        </w:rPr>
        <w:t>06</w:t>
      </w:r>
      <w:r>
        <w:rPr>
          <w:rFonts w:ascii="Times New Roman" w:eastAsiaTheme="minorEastAsia" w:hAnsiTheme="minorEastAsia" w:cs="Times New Roman"/>
          <w:sz w:val="24"/>
          <w:szCs w:val="24"/>
        </w:rPr>
        <w:t>月</w:t>
      </w:r>
      <w:r>
        <w:rPr>
          <w:rFonts w:ascii="Times New Roman" w:eastAsiaTheme="minorEastAsia" w:hAnsi="Times New Roman" w:cs="Times New Roman" w:hint="eastAsia"/>
          <w:sz w:val="24"/>
          <w:szCs w:val="24"/>
        </w:rPr>
        <w:t>25</w:t>
      </w:r>
      <w:r>
        <w:rPr>
          <w:rFonts w:ascii="Times New Roman" w:eastAsiaTheme="minorEastAsia" w:hAnsiTheme="minorEastAsia" w:cs="Times New Roman"/>
          <w:sz w:val="24"/>
          <w:szCs w:val="24"/>
        </w:rPr>
        <w:t>日，</w:t>
      </w:r>
      <w:r>
        <w:rPr>
          <w:rFonts w:ascii="Times New Roman" w:eastAsiaTheme="minorEastAsia" w:hAnsi="Times New Roman" w:cs="Times New Roman"/>
          <w:sz w:val="24"/>
          <w:szCs w:val="24"/>
        </w:rPr>
        <w:t>1</w:t>
      </w:r>
      <w:r>
        <w:rPr>
          <w:rFonts w:ascii="Times New Roman" w:eastAsiaTheme="minorEastAsia" w:hAnsiTheme="minorEastAsia" w:cs="Times New Roman"/>
          <w:sz w:val="24"/>
          <w:szCs w:val="24"/>
        </w:rPr>
        <w:t>天</w:t>
      </w:r>
      <w:r>
        <w:rPr>
          <w:rFonts w:ascii="Times New Roman" w:eastAsiaTheme="minorEastAsia" w:hAnsi="Times New Roman" w:cs="Times New Roman"/>
          <w:sz w:val="24"/>
          <w:szCs w:val="24"/>
        </w:rPr>
        <w:t>1</w:t>
      </w:r>
      <w:r>
        <w:rPr>
          <w:rFonts w:ascii="Times New Roman" w:eastAsiaTheme="minorEastAsia" w:hAnsiTheme="minorEastAsia" w:cs="Times New Roman"/>
          <w:sz w:val="24"/>
          <w:szCs w:val="24"/>
        </w:rPr>
        <w:t>次。</w:t>
      </w:r>
    </w:p>
    <w:p w14:paraId="7FAA4B47"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w:t>
      </w:r>
      <w:r>
        <w:rPr>
          <w:rFonts w:eastAsiaTheme="minorEastAsia" w:hint="eastAsia"/>
          <w:sz w:val="24"/>
        </w:rPr>
        <w:t>5</w:t>
      </w:r>
      <w:r>
        <w:rPr>
          <w:rFonts w:eastAsiaTheme="minorEastAsia" w:hAnsiTheme="minorEastAsia"/>
          <w:sz w:val="24"/>
        </w:rPr>
        <w:t>）监测结果</w:t>
      </w:r>
    </w:p>
    <w:p w14:paraId="4316E9AA"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监测结果见表</w:t>
      </w:r>
      <w:r>
        <w:rPr>
          <w:rFonts w:eastAsiaTheme="minorEastAsia"/>
          <w:sz w:val="24"/>
        </w:rPr>
        <w:t>4-2-</w:t>
      </w:r>
      <w:r>
        <w:rPr>
          <w:rFonts w:eastAsiaTheme="minorEastAsia" w:hint="eastAsia"/>
          <w:sz w:val="24"/>
        </w:rPr>
        <w:t>5</w:t>
      </w:r>
      <w:r>
        <w:rPr>
          <w:rFonts w:eastAsiaTheme="minorEastAsia" w:hAnsiTheme="minorEastAsia" w:hint="eastAsia"/>
          <w:sz w:val="24"/>
        </w:rPr>
        <w:t>~</w:t>
      </w:r>
      <w:r>
        <w:rPr>
          <w:rFonts w:eastAsiaTheme="minorEastAsia" w:hAnsiTheme="minorEastAsia"/>
          <w:sz w:val="24"/>
        </w:rPr>
        <w:t>表</w:t>
      </w:r>
      <w:r>
        <w:rPr>
          <w:rFonts w:eastAsiaTheme="minorEastAsia" w:hAnsiTheme="minorEastAsia" w:hint="eastAsia"/>
          <w:sz w:val="24"/>
        </w:rPr>
        <w:t>4-2-6</w:t>
      </w:r>
      <w:r>
        <w:rPr>
          <w:rFonts w:eastAsiaTheme="minorEastAsia" w:hAnsiTheme="minorEastAsia"/>
          <w:sz w:val="24"/>
        </w:rPr>
        <w:t>。</w:t>
      </w:r>
    </w:p>
    <w:p w14:paraId="610EF6CC" w14:textId="77777777" w:rsidR="00B14D53" w:rsidRDefault="00000000">
      <w:pPr>
        <w:jc w:val="center"/>
        <w:rPr>
          <w:b/>
          <w:bCs/>
        </w:rPr>
      </w:pPr>
      <w:r>
        <w:rPr>
          <w:rFonts w:hint="eastAsia"/>
          <w:b/>
          <w:bCs/>
        </w:rPr>
        <w:t>表</w:t>
      </w:r>
      <w:r>
        <w:rPr>
          <w:rFonts w:hint="eastAsia"/>
          <w:b/>
          <w:bCs/>
        </w:rPr>
        <w:t xml:space="preserve">4-2-5 </w:t>
      </w:r>
      <w:r>
        <w:rPr>
          <w:rFonts w:hint="eastAsia"/>
          <w:b/>
          <w:bCs/>
        </w:rPr>
        <w:t>地下水质量监测结果</w:t>
      </w:r>
    </w:p>
    <w:tbl>
      <w:tblPr>
        <w:tblW w:w="4998"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446"/>
        <w:gridCol w:w="1725"/>
        <w:gridCol w:w="1359"/>
        <w:gridCol w:w="1358"/>
        <w:gridCol w:w="1360"/>
        <w:gridCol w:w="1045"/>
        <w:gridCol w:w="10"/>
      </w:tblGrid>
      <w:tr w:rsidR="00B14D53" w14:paraId="3E3030E5" w14:textId="77777777">
        <w:trPr>
          <w:trHeight w:val="420"/>
          <w:jc w:val="center"/>
        </w:trPr>
        <w:tc>
          <w:tcPr>
            <w:tcW w:w="870" w:type="pct"/>
            <w:vMerge w:val="restart"/>
            <w:vAlign w:val="center"/>
          </w:tcPr>
          <w:p w14:paraId="161EDA5C" w14:textId="77777777" w:rsidR="00B14D53" w:rsidRDefault="00000000">
            <w:pPr>
              <w:jc w:val="center"/>
              <w:rPr>
                <w:b/>
                <w:bCs/>
                <w:szCs w:val="21"/>
              </w:rPr>
            </w:pPr>
            <w:r>
              <w:rPr>
                <w:b/>
                <w:bCs/>
                <w:szCs w:val="21"/>
              </w:rPr>
              <w:t>检测项目</w:t>
            </w:r>
          </w:p>
        </w:tc>
        <w:tc>
          <w:tcPr>
            <w:tcW w:w="1038" w:type="pct"/>
            <w:tcBorders>
              <w:bottom w:val="single" w:sz="4" w:space="0" w:color="auto"/>
            </w:tcBorders>
            <w:vAlign w:val="center"/>
          </w:tcPr>
          <w:p w14:paraId="38ABC4A1" w14:textId="77777777" w:rsidR="00B14D53" w:rsidRDefault="00000000">
            <w:pPr>
              <w:widowControl/>
              <w:jc w:val="center"/>
              <w:rPr>
                <w:b/>
                <w:bCs/>
                <w:szCs w:val="21"/>
              </w:rPr>
            </w:pPr>
            <w:r>
              <w:rPr>
                <w:b/>
                <w:bCs/>
                <w:szCs w:val="21"/>
              </w:rPr>
              <w:t>采样时间</w:t>
            </w:r>
          </w:p>
        </w:tc>
        <w:tc>
          <w:tcPr>
            <w:tcW w:w="2455" w:type="pct"/>
            <w:gridSpan w:val="3"/>
            <w:tcBorders>
              <w:bottom w:val="single" w:sz="4" w:space="0" w:color="auto"/>
              <w:right w:val="single" w:sz="4" w:space="0" w:color="auto"/>
            </w:tcBorders>
            <w:vAlign w:val="center"/>
          </w:tcPr>
          <w:p w14:paraId="30A319B9" w14:textId="77777777" w:rsidR="00B14D53" w:rsidRDefault="00000000">
            <w:pPr>
              <w:jc w:val="center"/>
              <w:rPr>
                <w:b/>
                <w:bCs/>
                <w:szCs w:val="21"/>
              </w:rPr>
            </w:pPr>
            <w:r>
              <w:rPr>
                <w:b/>
                <w:bCs/>
                <w:szCs w:val="21"/>
              </w:rPr>
              <w:t>2025.06.25</w:t>
            </w:r>
          </w:p>
        </w:tc>
        <w:tc>
          <w:tcPr>
            <w:tcW w:w="635" w:type="pct"/>
            <w:gridSpan w:val="2"/>
            <w:vAlign w:val="center"/>
          </w:tcPr>
          <w:p w14:paraId="7C1EA1C0" w14:textId="77777777" w:rsidR="00B14D53" w:rsidRDefault="00000000">
            <w:pPr>
              <w:jc w:val="center"/>
              <w:rPr>
                <w:szCs w:val="21"/>
              </w:rPr>
            </w:pPr>
            <w:r>
              <w:rPr>
                <w:b/>
                <w:bCs/>
                <w:szCs w:val="21"/>
              </w:rPr>
              <w:t>标准限值</w:t>
            </w:r>
          </w:p>
        </w:tc>
      </w:tr>
      <w:tr w:rsidR="00B14D53" w14:paraId="32F6AD43" w14:textId="77777777">
        <w:trPr>
          <w:gridAfter w:val="1"/>
          <w:wAfter w:w="6" w:type="pct"/>
          <w:trHeight w:val="420"/>
          <w:jc w:val="center"/>
        </w:trPr>
        <w:tc>
          <w:tcPr>
            <w:tcW w:w="870" w:type="pct"/>
            <w:vMerge/>
            <w:vAlign w:val="center"/>
          </w:tcPr>
          <w:p w14:paraId="59D09BA1" w14:textId="77777777" w:rsidR="00B14D53" w:rsidRDefault="00B14D53">
            <w:pPr>
              <w:jc w:val="center"/>
              <w:rPr>
                <w:b/>
                <w:bCs/>
                <w:szCs w:val="21"/>
              </w:rPr>
            </w:pPr>
          </w:p>
        </w:tc>
        <w:tc>
          <w:tcPr>
            <w:tcW w:w="1038" w:type="pct"/>
            <w:tcBorders>
              <w:top w:val="single" w:sz="4" w:space="0" w:color="auto"/>
              <w:bottom w:val="single" w:sz="4" w:space="0" w:color="auto"/>
            </w:tcBorders>
            <w:vAlign w:val="center"/>
          </w:tcPr>
          <w:p w14:paraId="32EF528B" w14:textId="77777777" w:rsidR="00B14D53" w:rsidRDefault="00000000">
            <w:pPr>
              <w:widowControl/>
              <w:jc w:val="center"/>
              <w:rPr>
                <w:b/>
                <w:bCs/>
                <w:szCs w:val="21"/>
              </w:rPr>
            </w:pPr>
            <w:r>
              <w:rPr>
                <w:b/>
                <w:bCs/>
                <w:szCs w:val="21"/>
              </w:rPr>
              <w:t>采样点位</w:t>
            </w:r>
          </w:p>
        </w:tc>
        <w:tc>
          <w:tcPr>
            <w:tcW w:w="818" w:type="pct"/>
            <w:tcBorders>
              <w:top w:val="single" w:sz="4" w:space="0" w:color="auto"/>
              <w:bottom w:val="single" w:sz="4" w:space="0" w:color="auto"/>
            </w:tcBorders>
            <w:vAlign w:val="center"/>
          </w:tcPr>
          <w:p w14:paraId="223E7D48" w14:textId="77777777" w:rsidR="00B14D53" w:rsidRDefault="00000000">
            <w:pPr>
              <w:jc w:val="center"/>
              <w:rPr>
                <w:b/>
                <w:bCs/>
                <w:szCs w:val="21"/>
              </w:rPr>
            </w:pPr>
            <w:r>
              <w:rPr>
                <w:b/>
                <w:bCs/>
                <w:color w:val="000000"/>
                <w:szCs w:val="21"/>
              </w:rPr>
              <w:t>上游监测点</w:t>
            </w:r>
            <w:r>
              <w:rPr>
                <w:b/>
                <w:bCs/>
                <w:szCs w:val="21"/>
              </w:rPr>
              <w:t>☆1</w:t>
            </w:r>
          </w:p>
        </w:tc>
        <w:tc>
          <w:tcPr>
            <w:tcW w:w="818" w:type="pct"/>
            <w:vAlign w:val="center"/>
          </w:tcPr>
          <w:p w14:paraId="52590461" w14:textId="77777777" w:rsidR="00B14D53" w:rsidRDefault="00000000">
            <w:pPr>
              <w:jc w:val="center"/>
              <w:rPr>
                <w:b/>
                <w:bCs/>
                <w:szCs w:val="21"/>
              </w:rPr>
            </w:pPr>
            <w:r>
              <w:rPr>
                <w:b/>
                <w:bCs/>
                <w:color w:val="000000"/>
                <w:szCs w:val="21"/>
              </w:rPr>
              <w:t>厂址监测点处</w:t>
            </w:r>
            <w:r>
              <w:rPr>
                <w:b/>
                <w:bCs/>
                <w:szCs w:val="21"/>
              </w:rPr>
              <w:t>☆2</w:t>
            </w:r>
          </w:p>
        </w:tc>
        <w:tc>
          <w:tcPr>
            <w:tcW w:w="819" w:type="pct"/>
            <w:vAlign w:val="center"/>
          </w:tcPr>
          <w:p w14:paraId="3C09D32E" w14:textId="77777777" w:rsidR="00B14D53" w:rsidRDefault="00000000">
            <w:pPr>
              <w:jc w:val="center"/>
              <w:rPr>
                <w:b/>
                <w:bCs/>
                <w:szCs w:val="21"/>
              </w:rPr>
            </w:pPr>
            <w:r>
              <w:rPr>
                <w:b/>
                <w:bCs/>
                <w:szCs w:val="21"/>
              </w:rPr>
              <w:t>下游监测点</w:t>
            </w:r>
            <w:r>
              <w:rPr>
                <w:b/>
                <w:bCs/>
                <w:szCs w:val="21"/>
              </w:rPr>
              <w:t>☆3</w:t>
            </w:r>
          </w:p>
        </w:tc>
        <w:tc>
          <w:tcPr>
            <w:tcW w:w="629" w:type="pct"/>
            <w:vAlign w:val="center"/>
          </w:tcPr>
          <w:p w14:paraId="5FF772A9" w14:textId="77777777" w:rsidR="00B14D53" w:rsidRDefault="00B14D53">
            <w:pPr>
              <w:jc w:val="center"/>
              <w:rPr>
                <w:szCs w:val="21"/>
              </w:rPr>
            </w:pPr>
          </w:p>
        </w:tc>
      </w:tr>
      <w:tr w:rsidR="00B14D53" w14:paraId="0ED6B0B9" w14:textId="77777777">
        <w:trPr>
          <w:gridAfter w:val="1"/>
          <w:wAfter w:w="6" w:type="pct"/>
          <w:trHeight w:val="420"/>
          <w:jc w:val="center"/>
        </w:trPr>
        <w:tc>
          <w:tcPr>
            <w:tcW w:w="870" w:type="pct"/>
            <w:vAlign w:val="center"/>
          </w:tcPr>
          <w:p w14:paraId="3C61C473" w14:textId="77777777" w:rsidR="00B14D53" w:rsidRDefault="00000000">
            <w:pPr>
              <w:jc w:val="center"/>
              <w:rPr>
                <w:szCs w:val="21"/>
              </w:rPr>
            </w:pPr>
            <w:r>
              <w:rPr>
                <w:szCs w:val="21"/>
              </w:rPr>
              <w:t>钾</w:t>
            </w:r>
          </w:p>
        </w:tc>
        <w:tc>
          <w:tcPr>
            <w:tcW w:w="1038" w:type="pct"/>
            <w:vAlign w:val="center"/>
          </w:tcPr>
          <w:p w14:paraId="0DBA32D7" w14:textId="77777777" w:rsidR="00B14D53" w:rsidRDefault="00000000">
            <w:pPr>
              <w:widowControl/>
              <w:jc w:val="center"/>
              <w:rPr>
                <w:szCs w:val="21"/>
              </w:rPr>
            </w:pPr>
            <w:r>
              <w:rPr>
                <w:color w:val="000000"/>
                <w:szCs w:val="21"/>
              </w:rPr>
              <w:t>mg/L</w:t>
            </w:r>
          </w:p>
        </w:tc>
        <w:tc>
          <w:tcPr>
            <w:tcW w:w="818" w:type="pct"/>
            <w:vAlign w:val="center"/>
          </w:tcPr>
          <w:p w14:paraId="3B3D2B63" w14:textId="77777777" w:rsidR="00B14D53" w:rsidRDefault="00000000">
            <w:pPr>
              <w:jc w:val="center"/>
              <w:rPr>
                <w:szCs w:val="21"/>
              </w:rPr>
            </w:pPr>
            <w:r>
              <w:rPr>
                <w:bCs/>
              </w:rPr>
              <w:t>7.07</w:t>
            </w:r>
          </w:p>
        </w:tc>
        <w:tc>
          <w:tcPr>
            <w:tcW w:w="818" w:type="pct"/>
            <w:vAlign w:val="center"/>
          </w:tcPr>
          <w:p w14:paraId="34B6412B" w14:textId="77777777" w:rsidR="00B14D53" w:rsidRDefault="00000000">
            <w:pPr>
              <w:jc w:val="center"/>
              <w:rPr>
                <w:szCs w:val="21"/>
              </w:rPr>
            </w:pPr>
            <w:r>
              <w:rPr>
                <w:bCs/>
              </w:rPr>
              <w:t>6.69</w:t>
            </w:r>
          </w:p>
        </w:tc>
        <w:tc>
          <w:tcPr>
            <w:tcW w:w="819" w:type="pct"/>
            <w:vAlign w:val="center"/>
          </w:tcPr>
          <w:p w14:paraId="4EEEDE0B" w14:textId="77777777" w:rsidR="00B14D53" w:rsidRDefault="00000000">
            <w:pPr>
              <w:jc w:val="center"/>
              <w:rPr>
                <w:szCs w:val="21"/>
              </w:rPr>
            </w:pPr>
            <w:r>
              <w:rPr>
                <w:bCs/>
              </w:rPr>
              <w:t>8.15</w:t>
            </w:r>
          </w:p>
        </w:tc>
        <w:tc>
          <w:tcPr>
            <w:tcW w:w="629" w:type="pct"/>
            <w:vAlign w:val="center"/>
          </w:tcPr>
          <w:p w14:paraId="3CC93A84" w14:textId="77777777" w:rsidR="00B14D53" w:rsidRDefault="00000000">
            <w:pPr>
              <w:jc w:val="center"/>
              <w:rPr>
                <w:szCs w:val="21"/>
              </w:rPr>
            </w:pPr>
            <w:r>
              <w:rPr>
                <w:bCs/>
              </w:rPr>
              <w:t>/</w:t>
            </w:r>
          </w:p>
        </w:tc>
      </w:tr>
      <w:tr w:rsidR="00B14D53" w14:paraId="3957F03B" w14:textId="77777777">
        <w:trPr>
          <w:gridAfter w:val="1"/>
          <w:wAfter w:w="6" w:type="pct"/>
          <w:trHeight w:val="420"/>
          <w:jc w:val="center"/>
        </w:trPr>
        <w:tc>
          <w:tcPr>
            <w:tcW w:w="870" w:type="pct"/>
            <w:vAlign w:val="center"/>
          </w:tcPr>
          <w:p w14:paraId="5D4669B8" w14:textId="77777777" w:rsidR="00B14D53" w:rsidRDefault="00000000">
            <w:pPr>
              <w:jc w:val="center"/>
              <w:rPr>
                <w:szCs w:val="21"/>
              </w:rPr>
            </w:pPr>
            <w:r>
              <w:rPr>
                <w:szCs w:val="21"/>
              </w:rPr>
              <w:t>钠</w:t>
            </w:r>
          </w:p>
        </w:tc>
        <w:tc>
          <w:tcPr>
            <w:tcW w:w="1038" w:type="pct"/>
            <w:vAlign w:val="center"/>
          </w:tcPr>
          <w:p w14:paraId="7152A0BE" w14:textId="77777777" w:rsidR="00B14D53" w:rsidRDefault="00000000">
            <w:pPr>
              <w:jc w:val="center"/>
              <w:rPr>
                <w:color w:val="000000"/>
                <w:szCs w:val="21"/>
              </w:rPr>
            </w:pPr>
            <w:r>
              <w:rPr>
                <w:color w:val="000000"/>
                <w:szCs w:val="21"/>
              </w:rPr>
              <w:t>mg/L</w:t>
            </w:r>
          </w:p>
        </w:tc>
        <w:tc>
          <w:tcPr>
            <w:tcW w:w="818" w:type="pct"/>
            <w:vAlign w:val="center"/>
          </w:tcPr>
          <w:p w14:paraId="09ED7E41" w14:textId="77777777" w:rsidR="00B14D53" w:rsidRDefault="00000000">
            <w:pPr>
              <w:jc w:val="center"/>
              <w:rPr>
                <w:szCs w:val="21"/>
              </w:rPr>
            </w:pPr>
            <w:r>
              <w:rPr>
                <w:bCs/>
              </w:rPr>
              <w:t>12.7</w:t>
            </w:r>
          </w:p>
        </w:tc>
        <w:tc>
          <w:tcPr>
            <w:tcW w:w="818" w:type="pct"/>
            <w:vAlign w:val="center"/>
          </w:tcPr>
          <w:p w14:paraId="7711465F" w14:textId="77777777" w:rsidR="00B14D53" w:rsidRDefault="00000000">
            <w:pPr>
              <w:jc w:val="center"/>
              <w:rPr>
                <w:szCs w:val="21"/>
              </w:rPr>
            </w:pPr>
            <w:r>
              <w:rPr>
                <w:bCs/>
              </w:rPr>
              <w:t>11.2</w:t>
            </w:r>
          </w:p>
        </w:tc>
        <w:tc>
          <w:tcPr>
            <w:tcW w:w="819" w:type="pct"/>
            <w:vAlign w:val="center"/>
          </w:tcPr>
          <w:p w14:paraId="6CC5A4A4" w14:textId="77777777" w:rsidR="00B14D53" w:rsidRDefault="00000000">
            <w:pPr>
              <w:jc w:val="center"/>
              <w:rPr>
                <w:szCs w:val="21"/>
              </w:rPr>
            </w:pPr>
            <w:r>
              <w:rPr>
                <w:bCs/>
              </w:rPr>
              <w:t>11.2</w:t>
            </w:r>
          </w:p>
        </w:tc>
        <w:tc>
          <w:tcPr>
            <w:tcW w:w="629" w:type="pct"/>
            <w:vAlign w:val="center"/>
          </w:tcPr>
          <w:p w14:paraId="754A2AC6" w14:textId="77777777" w:rsidR="00B14D53" w:rsidRDefault="00000000">
            <w:pPr>
              <w:jc w:val="center"/>
              <w:rPr>
                <w:szCs w:val="21"/>
              </w:rPr>
            </w:pPr>
            <w:r>
              <w:rPr>
                <w:bCs/>
              </w:rPr>
              <w:t>≤200</w:t>
            </w:r>
          </w:p>
        </w:tc>
      </w:tr>
      <w:tr w:rsidR="00B14D53" w14:paraId="71B08CEE" w14:textId="77777777">
        <w:trPr>
          <w:gridAfter w:val="1"/>
          <w:wAfter w:w="6" w:type="pct"/>
          <w:trHeight w:val="420"/>
          <w:jc w:val="center"/>
        </w:trPr>
        <w:tc>
          <w:tcPr>
            <w:tcW w:w="870" w:type="pct"/>
            <w:vAlign w:val="center"/>
          </w:tcPr>
          <w:p w14:paraId="7DA7DC79" w14:textId="77777777" w:rsidR="00B14D53" w:rsidRDefault="00000000">
            <w:pPr>
              <w:jc w:val="center"/>
              <w:rPr>
                <w:szCs w:val="21"/>
              </w:rPr>
            </w:pPr>
            <w:r>
              <w:rPr>
                <w:szCs w:val="21"/>
              </w:rPr>
              <w:t>钙</w:t>
            </w:r>
          </w:p>
        </w:tc>
        <w:tc>
          <w:tcPr>
            <w:tcW w:w="1038" w:type="pct"/>
            <w:vAlign w:val="center"/>
          </w:tcPr>
          <w:p w14:paraId="2BC21461" w14:textId="77777777" w:rsidR="00B14D53" w:rsidRDefault="00000000">
            <w:pPr>
              <w:widowControl/>
              <w:jc w:val="center"/>
              <w:rPr>
                <w:szCs w:val="21"/>
              </w:rPr>
            </w:pPr>
            <w:r>
              <w:rPr>
                <w:color w:val="000000"/>
                <w:szCs w:val="21"/>
              </w:rPr>
              <w:t>mg/L</w:t>
            </w:r>
          </w:p>
        </w:tc>
        <w:tc>
          <w:tcPr>
            <w:tcW w:w="818" w:type="pct"/>
            <w:vAlign w:val="center"/>
          </w:tcPr>
          <w:p w14:paraId="4F94A1FB" w14:textId="77777777" w:rsidR="00B14D53" w:rsidRDefault="00000000">
            <w:pPr>
              <w:jc w:val="center"/>
              <w:rPr>
                <w:szCs w:val="21"/>
              </w:rPr>
            </w:pPr>
            <w:r>
              <w:rPr>
                <w:bCs/>
              </w:rPr>
              <w:t>80.2</w:t>
            </w:r>
          </w:p>
        </w:tc>
        <w:tc>
          <w:tcPr>
            <w:tcW w:w="818" w:type="pct"/>
            <w:vAlign w:val="center"/>
          </w:tcPr>
          <w:p w14:paraId="141704BC" w14:textId="77777777" w:rsidR="00B14D53" w:rsidRDefault="00000000">
            <w:pPr>
              <w:jc w:val="center"/>
              <w:rPr>
                <w:szCs w:val="21"/>
              </w:rPr>
            </w:pPr>
            <w:r>
              <w:rPr>
                <w:bCs/>
              </w:rPr>
              <w:t>98.2</w:t>
            </w:r>
          </w:p>
        </w:tc>
        <w:tc>
          <w:tcPr>
            <w:tcW w:w="819" w:type="pct"/>
            <w:vAlign w:val="center"/>
          </w:tcPr>
          <w:p w14:paraId="521D5F03" w14:textId="77777777" w:rsidR="00B14D53" w:rsidRDefault="00000000">
            <w:pPr>
              <w:jc w:val="center"/>
              <w:rPr>
                <w:szCs w:val="21"/>
              </w:rPr>
            </w:pPr>
            <w:r>
              <w:rPr>
                <w:bCs/>
              </w:rPr>
              <w:t>86.2</w:t>
            </w:r>
          </w:p>
        </w:tc>
        <w:tc>
          <w:tcPr>
            <w:tcW w:w="629" w:type="pct"/>
            <w:vAlign w:val="center"/>
          </w:tcPr>
          <w:p w14:paraId="4BD2D134" w14:textId="77777777" w:rsidR="00B14D53" w:rsidRDefault="00000000">
            <w:pPr>
              <w:jc w:val="center"/>
              <w:rPr>
                <w:szCs w:val="21"/>
              </w:rPr>
            </w:pPr>
            <w:r>
              <w:rPr>
                <w:bCs/>
              </w:rPr>
              <w:t>/</w:t>
            </w:r>
          </w:p>
        </w:tc>
      </w:tr>
      <w:tr w:rsidR="00B14D53" w14:paraId="47C6217B" w14:textId="77777777">
        <w:trPr>
          <w:gridAfter w:val="1"/>
          <w:wAfter w:w="6" w:type="pct"/>
          <w:trHeight w:val="420"/>
          <w:jc w:val="center"/>
        </w:trPr>
        <w:tc>
          <w:tcPr>
            <w:tcW w:w="870" w:type="pct"/>
            <w:vAlign w:val="center"/>
          </w:tcPr>
          <w:p w14:paraId="1D1B8CE2" w14:textId="77777777" w:rsidR="00B14D53" w:rsidRDefault="00000000">
            <w:pPr>
              <w:jc w:val="center"/>
              <w:rPr>
                <w:szCs w:val="21"/>
              </w:rPr>
            </w:pPr>
            <w:r>
              <w:rPr>
                <w:szCs w:val="21"/>
              </w:rPr>
              <w:t>镁</w:t>
            </w:r>
          </w:p>
        </w:tc>
        <w:tc>
          <w:tcPr>
            <w:tcW w:w="1038" w:type="pct"/>
            <w:vAlign w:val="center"/>
          </w:tcPr>
          <w:p w14:paraId="44F88ED8" w14:textId="77777777" w:rsidR="00B14D53" w:rsidRDefault="00000000">
            <w:pPr>
              <w:widowControl/>
              <w:jc w:val="center"/>
              <w:rPr>
                <w:szCs w:val="21"/>
              </w:rPr>
            </w:pPr>
            <w:r>
              <w:rPr>
                <w:color w:val="000000"/>
                <w:szCs w:val="21"/>
              </w:rPr>
              <w:t>mg/L</w:t>
            </w:r>
          </w:p>
        </w:tc>
        <w:tc>
          <w:tcPr>
            <w:tcW w:w="818" w:type="pct"/>
            <w:vAlign w:val="center"/>
          </w:tcPr>
          <w:p w14:paraId="0E8CDF05" w14:textId="77777777" w:rsidR="00B14D53" w:rsidRDefault="00000000">
            <w:pPr>
              <w:jc w:val="center"/>
              <w:rPr>
                <w:szCs w:val="21"/>
              </w:rPr>
            </w:pPr>
            <w:r>
              <w:rPr>
                <w:bCs/>
              </w:rPr>
              <w:t>4.18</w:t>
            </w:r>
          </w:p>
        </w:tc>
        <w:tc>
          <w:tcPr>
            <w:tcW w:w="818" w:type="pct"/>
            <w:vAlign w:val="center"/>
          </w:tcPr>
          <w:p w14:paraId="4D548188" w14:textId="77777777" w:rsidR="00B14D53" w:rsidRDefault="00000000">
            <w:pPr>
              <w:jc w:val="center"/>
              <w:rPr>
                <w:szCs w:val="21"/>
              </w:rPr>
            </w:pPr>
            <w:r>
              <w:rPr>
                <w:bCs/>
              </w:rPr>
              <w:t>4.14</w:t>
            </w:r>
          </w:p>
        </w:tc>
        <w:tc>
          <w:tcPr>
            <w:tcW w:w="819" w:type="pct"/>
            <w:vAlign w:val="center"/>
          </w:tcPr>
          <w:p w14:paraId="3DFA1985" w14:textId="77777777" w:rsidR="00B14D53" w:rsidRDefault="00000000">
            <w:pPr>
              <w:jc w:val="center"/>
              <w:rPr>
                <w:szCs w:val="21"/>
              </w:rPr>
            </w:pPr>
            <w:r>
              <w:rPr>
                <w:bCs/>
              </w:rPr>
              <w:t>4.10</w:t>
            </w:r>
          </w:p>
        </w:tc>
        <w:tc>
          <w:tcPr>
            <w:tcW w:w="629" w:type="pct"/>
            <w:vAlign w:val="center"/>
          </w:tcPr>
          <w:p w14:paraId="3EB1D85C" w14:textId="77777777" w:rsidR="00B14D53" w:rsidRDefault="00000000">
            <w:pPr>
              <w:jc w:val="center"/>
              <w:rPr>
                <w:szCs w:val="21"/>
              </w:rPr>
            </w:pPr>
            <w:r>
              <w:rPr>
                <w:bCs/>
              </w:rPr>
              <w:t>/</w:t>
            </w:r>
          </w:p>
        </w:tc>
      </w:tr>
      <w:tr w:rsidR="00B14D53" w14:paraId="122F2786" w14:textId="77777777">
        <w:trPr>
          <w:gridAfter w:val="1"/>
          <w:wAfter w:w="6" w:type="pct"/>
          <w:trHeight w:val="420"/>
          <w:jc w:val="center"/>
        </w:trPr>
        <w:tc>
          <w:tcPr>
            <w:tcW w:w="870" w:type="pct"/>
            <w:vAlign w:val="center"/>
          </w:tcPr>
          <w:p w14:paraId="16FF4048" w14:textId="77777777" w:rsidR="00B14D53" w:rsidRDefault="00000000">
            <w:pPr>
              <w:jc w:val="center"/>
              <w:rPr>
                <w:szCs w:val="21"/>
              </w:rPr>
            </w:pPr>
            <w:r>
              <w:rPr>
                <w:szCs w:val="21"/>
              </w:rPr>
              <w:t>碳酸根</w:t>
            </w:r>
          </w:p>
        </w:tc>
        <w:tc>
          <w:tcPr>
            <w:tcW w:w="1038" w:type="pct"/>
            <w:vAlign w:val="center"/>
          </w:tcPr>
          <w:p w14:paraId="5951C067" w14:textId="77777777" w:rsidR="00B14D53" w:rsidRDefault="00000000">
            <w:pPr>
              <w:widowControl/>
              <w:jc w:val="center"/>
              <w:rPr>
                <w:szCs w:val="21"/>
              </w:rPr>
            </w:pPr>
            <w:r>
              <w:rPr>
                <w:color w:val="000000"/>
                <w:szCs w:val="21"/>
              </w:rPr>
              <w:t>mg/L</w:t>
            </w:r>
          </w:p>
        </w:tc>
        <w:tc>
          <w:tcPr>
            <w:tcW w:w="818" w:type="pct"/>
            <w:vAlign w:val="center"/>
          </w:tcPr>
          <w:p w14:paraId="304F1CBD" w14:textId="77777777" w:rsidR="00B14D53" w:rsidRDefault="00000000">
            <w:pPr>
              <w:jc w:val="center"/>
              <w:rPr>
                <w:szCs w:val="21"/>
              </w:rPr>
            </w:pPr>
            <w:r>
              <w:rPr>
                <w:bCs/>
              </w:rPr>
              <w:t>5L</w:t>
            </w:r>
          </w:p>
        </w:tc>
        <w:tc>
          <w:tcPr>
            <w:tcW w:w="818" w:type="pct"/>
            <w:vAlign w:val="center"/>
          </w:tcPr>
          <w:p w14:paraId="660E5906" w14:textId="77777777" w:rsidR="00B14D53" w:rsidRDefault="00000000">
            <w:pPr>
              <w:jc w:val="center"/>
              <w:rPr>
                <w:szCs w:val="21"/>
              </w:rPr>
            </w:pPr>
            <w:r>
              <w:rPr>
                <w:bCs/>
              </w:rPr>
              <w:t>5L</w:t>
            </w:r>
          </w:p>
        </w:tc>
        <w:tc>
          <w:tcPr>
            <w:tcW w:w="819" w:type="pct"/>
            <w:vAlign w:val="center"/>
          </w:tcPr>
          <w:p w14:paraId="4F7A1744" w14:textId="77777777" w:rsidR="00B14D53" w:rsidRDefault="00000000">
            <w:pPr>
              <w:jc w:val="center"/>
              <w:rPr>
                <w:szCs w:val="21"/>
              </w:rPr>
            </w:pPr>
            <w:r>
              <w:rPr>
                <w:bCs/>
              </w:rPr>
              <w:t>5L</w:t>
            </w:r>
          </w:p>
        </w:tc>
        <w:tc>
          <w:tcPr>
            <w:tcW w:w="629" w:type="pct"/>
            <w:vAlign w:val="center"/>
          </w:tcPr>
          <w:p w14:paraId="19DB6E9C" w14:textId="77777777" w:rsidR="00B14D53" w:rsidRDefault="00000000">
            <w:pPr>
              <w:jc w:val="center"/>
              <w:rPr>
                <w:szCs w:val="21"/>
              </w:rPr>
            </w:pPr>
            <w:r>
              <w:rPr>
                <w:bCs/>
              </w:rPr>
              <w:t>/</w:t>
            </w:r>
          </w:p>
        </w:tc>
      </w:tr>
      <w:tr w:rsidR="00B14D53" w14:paraId="74F4461E" w14:textId="77777777">
        <w:trPr>
          <w:gridAfter w:val="1"/>
          <w:wAfter w:w="6" w:type="pct"/>
          <w:trHeight w:val="420"/>
          <w:jc w:val="center"/>
        </w:trPr>
        <w:tc>
          <w:tcPr>
            <w:tcW w:w="870" w:type="pct"/>
            <w:vAlign w:val="center"/>
          </w:tcPr>
          <w:p w14:paraId="360BF2C8" w14:textId="77777777" w:rsidR="00B14D53" w:rsidRDefault="00000000">
            <w:pPr>
              <w:jc w:val="center"/>
              <w:rPr>
                <w:szCs w:val="21"/>
              </w:rPr>
            </w:pPr>
            <w:r>
              <w:rPr>
                <w:szCs w:val="21"/>
              </w:rPr>
              <w:t>碳酸氢根</w:t>
            </w:r>
          </w:p>
        </w:tc>
        <w:tc>
          <w:tcPr>
            <w:tcW w:w="1038" w:type="pct"/>
            <w:vAlign w:val="center"/>
          </w:tcPr>
          <w:p w14:paraId="036DB7DB" w14:textId="77777777" w:rsidR="00B14D53" w:rsidRDefault="00000000">
            <w:pPr>
              <w:widowControl/>
              <w:jc w:val="center"/>
              <w:rPr>
                <w:szCs w:val="21"/>
              </w:rPr>
            </w:pPr>
            <w:r>
              <w:rPr>
                <w:color w:val="000000"/>
                <w:szCs w:val="21"/>
              </w:rPr>
              <w:t>mg/L</w:t>
            </w:r>
          </w:p>
        </w:tc>
        <w:tc>
          <w:tcPr>
            <w:tcW w:w="818" w:type="pct"/>
            <w:vAlign w:val="center"/>
          </w:tcPr>
          <w:p w14:paraId="2332EDD4" w14:textId="77777777" w:rsidR="00B14D53" w:rsidRDefault="00000000">
            <w:pPr>
              <w:jc w:val="center"/>
              <w:rPr>
                <w:szCs w:val="21"/>
              </w:rPr>
            </w:pPr>
            <w:r>
              <w:rPr>
                <w:bCs/>
              </w:rPr>
              <w:t>200</w:t>
            </w:r>
          </w:p>
        </w:tc>
        <w:tc>
          <w:tcPr>
            <w:tcW w:w="818" w:type="pct"/>
            <w:vAlign w:val="center"/>
          </w:tcPr>
          <w:p w14:paraId="73DAAA5D" w14:textId="77777777" w:rsidR="00B14D53" w:rsidRDefault="00000000">
            <w:pPr>
              <w:jc w:val="center"/>
              <w:rPr>
                <w:szCs w:val="21"/>
              </w:rPr>
            </w:pPr>
            <w:r>
              <w:rPr>
                <w:bCs/>
              </w:rPr>
              <w:t>226</w:t>
            </w:r>
          </w:p>
        </w:tc>
        <w:tc>
          <w:tcPr>
            <w:tcW w:w="819" w:type="pct"/>
            <w:vAlign w:val="center"/>
          </w:tcPr>
          <w:p w14:paraId="26C6B583" w14:textId="77777777" w:rsidR="00B14D53" w:rsidRDefault="00000000">
            <w:pPr>
              <w:jc w:val="center"/>
              <w:rPr>
                <w:szCs w:val="21"/>
              </w:rPr>
            </w:pPr>
            <w:r>
              <w:rPr>
                <w:bCs/>
              </w:rPr>
              <w:t>156</w:t>
            </w:r>
          </w:p>
        </w:tc>
        <w:tc>
          <w:tcPr>
            <w:tcW w:w="629" w:type="pct"/>
            <w:vAlign w:val="center"/>
          </w:tcPr>
          <w:p w14:paraId="302E22A8" w14:textId="77777777" w:rsidR="00B14D53" w:rsidRDefault="00000000">
            <w:pPr>
              <w:jc w:val="center"/>
              <w:rPr>
                <w:szCs w:val="21"/>
              </w:rPr>
            </w:pPr>
            <w:r>
              <w:rPr>
                <w:bCs/>
              </w:rPr>
              <w:t>/</w:t>
            </w:r>
          </w:p>
        </w:tc>
      </w:tr>
      <w:tr w:rsidR="00B14D53" w14:paraId="1DEB0E0F" w14:textId="77777777">
        <w:trPr>
          <w:gridAfter w:val="1"/>
          <w:wAfter w:w="6" w:type="pct"/>
          <w:trHeight w:val="420"/>
          <w:jc w:val="center"/>
        </w:trPr>
        <w:tc>
          <w:tcPr>
            <w:tcW w:w="870" w:type="pct"/>
            <w:vAlign w:val="center"/>
          </w:tcPr>
          <w:p w14:paraId="5A32EADA" w14:textId="77777777" w:rsidR="00B14D53" w:rsidRDefault="00000000">
            <w:pPr>
              <w:jc w:val="center"/>
              <w:rPr>
                <w:szCs w:val="21"/>
              </w:rPr>
            </w:pPr>
            <w:r>
              <w:rPr>
                <w:szCs w:val="21"/>
              </w:rPr>
              <w:t>氯离子</w:t>
            </w:r>
          </w:p>
        </w:tc>
        <w:tc>
          <w:tcPr>
            <w:tcW w:w="1038" w:type="pct"/>
            <w:vAlign w:val="center"/>
          </w:tcPr>
          <w:p w14:paraId="6E689412" w14:textId="77777777" w:rsidR="00B14D53" w:rsidRDefault="00000000">
            <w:pPr>
              <w:widowControl/>
              <w:jc w:val="center"/>
              <w:rPr>
                <w:szCs w:val="21"/>
              </w:rPr>
            </w:pPr>
            <w:r>
              <w:rPr>
                <w:color w:val="000000"/>
                <w:szCs w:val="21"/>
              </w:rPr>
              <w:t>mg/L</w:t>
            </w:r>
          </w:p>
        </w:tc>
        <w:tc>
          <w:tcPr>
            <w:tcW w:w="818" w:type="pct"/>
            <w:vAlign w:val="center"/>
          </w:tcPr>
          <w:p w14:paraId="3D055F70" w14:textId="77777777" w:rsidR="00B14D53" w:rsidRDefault="00000000">
            <w:pPr>
              <w:jc w:val="center"/>
              <w:rPr>
                <w:szCs w:val="21"/>
              </w:rPr>
            </w:pPr>
            <w:r>
              <w:rPr>
                <w:bCs/>
              </w:rPr>
              <w:t>16.2</w:t>
            </w:r>
          </w:p>
        </w:tc>
        <w:tc>
          <w:tcPr>
            <w:tcW w:w="818" w:type="pct"/>
            <w:vAlign w:val="center"/>
          </w:tcPr>
          <w:p w14:paraId="122B30EB" w14:textId="77777777" w:rsidR="00B14D53" w:rsidRDefault="00000000">
            <w:pPr>
              <w:jc w:val="center"/>
              <w:rPr>
                <w:szCs w:val="21"/>
              </w:rPr>
            </w:pPr>
            <w:r>
              <w:rPr>
                <w:bCs/>
              </w:rPr>
              <w:t>28.6</w:t>
            </w:r>
          </w:p>
        </w:tc>
        <w:tc>
          <w:tcPr>
            <w:tcW w:w="819" w:type="pct"/>
            <w:vAlign w:val="center"/>
          </w:tcPr>
          <w:p w14:paraId="1E006A0F" w14:textId="77777777" w:rsidR="00B14D53" w:rsidRDefault="00000000">
            <w:pPr>
              <w:jc w:val="center"/>
              <w:rPr>
                <w:szCs w:val="21"/>
              </w:rPr>
            </w:pPr>
            <w:r>
              <w:rPr>
                <w:bCs/>
              </w:rPr>
              <w:t>64.7</w:t>
            </w:r>
          </w:p>
        </w:tc>
        <w:tc>
          <w:tcPr>
            <w:tcW w:w="629" w:type="pct"/>
            <w:vAlign w:val="center"/>
          </w:tcPr>
          <w:p w14:paraId="10F18E41" w14:textId="77777777" w:rsidR="00B14D53" w:rsidRDefault="00000000">
            <w:pPr>
              <w:jc w:val="center"/>
              <w:rPr>
                <w:szCs w:val="21"/>
              </w:rPr>
            </w:pPr>
            <w:r>
              <w:rPr>
                <w:bCs/>
              </w:rPr>
              <w:t>/</w:t>
            </w:r>
          </w:p>
        </w:tc>
      </w:tr>
      <w:tr w:rsidR="00B14D53" w14:paraId="5499AD24" w14:textId="77777777">
        <w:trPr>
          <w:gridAfter w:val="1"/>
          <w:wAfter w:w="6" w:type="pct"/>
          <w:trHeight w:val="420"/>
          <w:jc w:val="center"/>
        </w:trPr>
        <w:tc>
          <w:tcPr>
            <w:tcW w:w="870" w:type="pct"/>
            <w:vAlign w:val="center"/>
          </w:tcPr>
          <w:p w14:paraId="5D872300" w14:textId="77777777" w:rsidR="00B14D53" w:rsidRDefault="00000000">
            <w:pPr>
              <w:jc w:val="center"/>
              <w:rPr>
                <w:szCs w:val="21"/>
              </w:rPr>
            </w:pPr>
            <w:r>
              <w:rPr>
                <w:szCs w:val="21"/>
              </w:rPr>
              <w:t>硫酸根离子</w:t>
            </w:r>
          </w:p>
        </w:tc>
        <w:tc>
          <w:tcPr>
            <w:tcW w:w="1038" w:type="pct"/>
            <w:vAlign w:val="center"/>
          </w:tcPr>
          <w:p w14:paraId="245690C4" w14:textId="77777777" w:rsidR="00B14D53" w:rsidRDefault="00000000">
            <w:pPr>
              <w:widowControl/>
              <w:jc w:val="center"/>
              <w:rPr>
                <w:szCs w:val="21"/>
              </w:rPr>
            </w:pPr>
            <w:r>
              <w:rPr>
                <w:color w:val="000000"/>
                <w:szCs w:val="21"/>
              </w:rPr>
              <w:t>mg/L</w:t>
            </w:r>
          </w:p>
        </w:tc>
        <w:tc>
          <w:tcPr>
            <w:tcW w:w="818" w:type="pct"/>
            <w:vAlign w:val="center"/>
          </w:tcPr>
          <w:p w14:paraId="27FC79E9" w14:textId="77777777" w:rsidR="00B14D53" w:rsidRDefault="00000000">
            <w:pPr>
              <w:jc w:val="center"/>
              <w:rPr>
                <w:szCs w:val="21"/>
              </w:rPr>
            </w:pPr>
            <w:r>
              <w:rPr>
                <w:bCs/>
              </w:rPr>
              <w:t>65.8</w:t>
            </w:r>
          </w:p>
        </w:tc>
        <w:tc>
          <w:tcPr>
            <w:tcW w:w="818" w:type="pct"/>
            <w:vAlign w:val="center"/>
          </w:tcPr>
          <w:p w14:paraId="1BDD96CB" w14:textId="77777777" w:rsidR="00B14D53" w:rsidRDefault="00000000">
            <w:pPr>
              <w:jc w:val="center"/>
              <w:rPr>
                <w:szCs w:val="21"/>
              </w:rPr>
            </w:pPr>
            <w:r>
              <w:rPr>
                <w:bCs/>
              </w:rPr>
              <w:t>68.0</w:t>
            </w:r>
          </w:p>
        </w:tc>
        <w:tc>
          <w:tcPr>
            <w:tcW w:w="819" w:type="pct"/>
            <w:vAlign w:val="center"/>
          </w:tcPr>
          <w:p w14:paraId="1EEEB799" w14:textId="77777777" w:rsidR="00B14D53" w:rsidRDefault="00000000">
            <w:pPr>
              <w:jc w:val="center"/>
              <w:rPr>
                <w:szCs w:val="21"/>
              </w:rPr>
            </w:pPr>
            <w:r>
              <w:rPr>
                <w:bCs/>
              </w:rPr>
              <w:t>42.4</w:t>
            </w:r>
          </w:p>
        </w:tc>
        <w:tc>
          <w:tcPr>
            <w:tcW w:w="629" w:type="pct"/>
            <w:vAlign w:val="center"/>
          </w:tcPr>
          <w:p w14:paraId="470637DB" w14:textId="77777777" w:rsidR="00B14D53" w:rsidRDefault="00000000">
            <w:pPr>
              <w:jc w:val="center"/>
              <w:rPr>
                <w:szCs w:val="21"/>
              </w:rPr>
            </w:pPr>
            <w:r>
              <w:rPr>
                <w:bCs/>
              </w:rPr>
              <w:t>/</w:t>
            </w:r>
          </w:p>
        </w:tc>
      </w:tr>
      <w:tr w:rsidR="00B14D53" w14:paraId="216718EE" w14:textId="77777777">
        <w:trPr>
          <w:gridAfter w:val="1"/>
          <w:wAfter w:w="6" w:type="pct"/>
          <w:trHeight w:val="420"/>
          <w:jc w:val="center"/>
        </w:trPr>
        <w:tc>
          <w:tcPr>
            <w:tcW w:w="870" w:type="pct"/>
            <w:vAlign w:val="center"/>
          </w:tcPr>
          <w:p w14:paraId="26941D17" w14:textId="77777777" w:rsidR="00B14D53" w:rsidRDefault="00000000">
            <w:pPr>
              <w:jc w:val="center"/>
              <w:rPr>
                <w:szCs w:val="21"/>
              </w:rPr>
            </w:pPr>
            <w:r>
              <w:rPr>
                <w:szCs w:val="21"/>
              </w:rPr>
              <w:t>pH</w:t>
            </w:r>
          </w:p>
        </w:tc>
        <w:tc>
          <w:tcPr>
            <w:tcW w:w="1038" w:type="pct"/>
            <w:vAlign w:val="center"/>
          </w:tcPr>
          <w:p w14:paraId="1B2CBB1F" w14:textId="77777777" w:rsidR="00B14D53" w:rsidRDefault="00000000">
            <w:pPr>
              <w:jc w:val="center"/>
              <w:rPr>
                <w:color w:val="000000"/>
                <w:szCs w:val="21"/>
              </w:rPr>
            </w:pPr>
            <w:r>
              <w:rPr>
                <w:color w:val="000000"/>
                <w:szCs w:val="21"/>
              </w:rPr>
              <w:t>无量纲</w:t>
            </w:r>
          </w:p>
        </w:tc>
        <w:tc>
          <w:tcPr>
            <w:tcW w:w="818" w:type="pct"/>
            <w:vAlign w:val="center"/>
          </w:tcPr>
          <w:p w14:paraId="1E135DD8" w14:textId="77777777" w:rsidR="00B14D53" w:rsidRDefault="00000000">
            <w:pPr>
              <w:jc w:val="center"/>
              <w:rPr>
                <w:szCs w:val="21"/>
              </w:rPr>
            </w:pPr>
            <w:r>
              <w:rPr>
                <w:bCs/>
              </w:rPr>
              <w:t>6.8</w:t>
            </w:r>
          </w:p>
        </w:tc>
        <w:tc>
          <w:tcPr>
            <w:tcW w:w="818" w:type="pct"/>
            <w:vAlign w:val="center"/>
          </w:tcPr>
          <w:p w14:paraId="6803E92E" w14:textId="77777777" w:rsidR="00B14D53" w:rsidRDefault="00000000">
            <w:pPr>
              <w:jc w:val="center"/>
              <w:rPr>
                <w:szCs w:val="21"/>
              </w:rPr>
            </w:pPr>
            <w:r>
              <w:rPr>
                <w:bCs/>
              </w:rPr>
              <w:t>7.3</w:t>
            </w:r>
          </w:p>
        </w:tc>
        <w:tc>
          <w:tcPr>
            <w:tcW w:w="819" w:type="pct"/>
            <w:vAlign w:val="center"/>
          </w:tcPr>
          <w:p w14:paraId="79156F03" w14:textId="77777777" w:rsidR="00B14D53" w:rsidRDefault="00000000">
            <w:pPr>
              <w:jc w:val="center"/>
              <w:rPr>
                <w:szCs w:val="21"/>
              </w:rPr>
            </w:pPr>
            <w:r>
              <w:rPr>
                <w:bCs/>
              </w:rPr>
              <w:t>7.4</w:t>
            </w:r>
          </w:p>
        </w:tc>
        <w:tc>
          <w:tcPr>
            <w:tcW w:w="629" w:type="pct"/>
            <w:vAlign w:val="center"/>
          </w:tcPr>
          <w:p w14:paraId="4650B61C" w14:textId="77777777" w:rsidR="00B14D53" w:rsidRDefault="00000000">
            <w:pPr>
              <w:jc w:val="center"/>
              <w:rPr>
                <w:szCs w:val="21"/>
              </w:rPr>
            </w:pPr>
            <w:r>
              <w:rPr>
                <w:bCs/>
              </w:rPr>
              <w:t>6.5-8.5</w:t>
            </w:r>
          </w:p>
        </w:tc>
      </w:tr>
      <w:tr w:rsidR="00B14D53" w14:paraId="0FE78A30" w14:textId="77777777">
        <w:trPr>
          <w:gridAfter w:val="1"/>
          <w:wAfter w:w="6" w:type="pct"/>
          <w:trHeight w:val="420"/>
          <w:jc w:val="center"/>
        </w:trPr>
        <w:tc>
          <w:tcPr>
            <w:tcW w:w="870" w:type="pct"/>
            <w:vAlign w:val="center"/>
          </w:tcPr>
          <w:p w14:paraId="0B342440" w14:textId="77777777" w:rsidR="00B14D53" w:rsidRDefault="00000000">
            <w:pPr>
              <w:jc w:val="center"/>
              <w:rPr>
                <w:szCs w:val="21"/>
              </w:rPr>
            </w:pPr>
            <w:r>
              <w:rPr>
                <w:szCs w:val="21"/>
              </w:rPr>
              <w:t>总硬度</w:t>
            </w:r>
          </w:p>
        </w:tc>
        <w:tc>
          <w:tcPr>
            <w:tcW w:w="1038" w:type="pct"/>
            <w:vAlign w:val="center"/>
          </w:tcPr>
          <w:p w14:paraId="6A5F7128" w14:textId="77777777" w:rsidR="00B14D53" w:rsidRDefault="00000000">
            <w:pPr>
              <w:widowControl/>
              <w:jc w:val="center"/>
              <w:rPr>
                <w:szCs w:val="21"/>
              </w:rPr>
            </w:pPr>
            <w:r>
              <w:rPr>
                <w:color w:val="000000"/>
                <w:szCs w:val="21"/>
              </w:rPr>
              <w:t>mg/L</w:t>
            </w:r>
          </w:p>
        </w:tc>
        <w:tc>
          <w:tcPr>
            <w:tcW w:w="818" w:type="pct"/>
            <w:vAlign w:val="center"/>
          </w:tcPr>
          <w:p w14:paraId="6A84F76D" w14:textId="77777777" w:rsidR="00B14D53" w:rsidRDefault="00000000">
            <w:pPr>
              <w:jc w:val="center"/>
              <w:rPr>
                <w:szCs w:val="21"/>
              </w:rPr>
            </w:pPr>
            <w:r>
              <w:rPr>
                <w:bCs/>
              </w:rPr>
              <w:t>154</w:t>
            </w:r>
          </w:p>
        </w:tc>
        <w:tc>
          <w:tcPr>
            <w:tcW w:w="818" w:type="pct"/>
            <w:vAlign w:val="center"/>
          </w:tcPr>
          <w:p w14:paraId="0A150005" w14:textId="77777777" w:rsidR="00B14D53" w:rsidRDefault="00000000">
            <w:pPr>
              <w:jc w:val="center"/>
              <w:rPr>
                <w:szCs w:val="21"/>
              </w:rPr>
            </w:pPr>
            <w:r>
              <w:rPr>
                <w:bCs/>
              </w:rPr>
              <w:t>387</w:t>
            </w:r>
          </w:p>
        </w:tc>
        <w:tc>
          <w:tcPr>
            <w:tcW w:w="819" w:type="pct"/>
            <w:vAlign w:val="center"/>
          </w:tcPr>
          <w:p w14:paraId="62AE771D" w14:textId="77777777" w:rsidR="00B14D53" w:rsidRDefault="00000000">
            <w:pPr>
              <w:jc w:val="center"/>
              <w:rPr>
                <w:szCs w:val="21"/>
              </w:rPr>
            </w:pPr>
            <w:r>
              <w:rPr>
                <w:bCs/>
              </w:rPr>
              <w:t>157</w:t>
            </w:r>
          </w:p>
        </w:tc>
        <w:tc>
          <w:tcPr>
            <w:tcW w:w="629" w:type="pct"/>
            <w:vAlign w:val="center"/>
          </w:tcPr>
          <w:p w14:paraId="5A1C6F52" w14:textId="77777777" w:rsidR="00B14D53" w:rsidRDefault="00000000">
            <w:pPr>
              <w:jc w:val="center"/>
              <w:rPr>
                <w:szCs w:val="21"/>
              </w:rPr>
            </w:pPr>
            <w:r>
              <w:rPr>
                <w:bCs/>
              </w:rPr>
              <w:t>≤450</w:t>
            </w:r>
          </w:p>
        </w:tc>
      </w:tr>
      <w:tr w:rsidR="00B14D53" w14:paraId="3603E48B" w14:textId="77777777">
        <w:trPr>
          <w:gridAfter w:val="1"/>
          <w:wAfter w:w="6" w:type="pct"/>
          <w:trHeight w:val="420"/>
          <w:jc w:val="center"/>
        </w:trPr>
        <w:tc>
          <w:tcPr>
            <w:tcW w:w="870" w:type="pct"/>
            <w:vAlign w:val="center"/>
          </w:tcPr>
          <w:p w14:paraId="40AD0E68" w14:textId="77777777" w:rsidR="00B14D53" w:rsidRDefault="00000000">
            <w:pPr>
              <w:jc w:val="center"/>
              <w:rPr>
                <w:szCs w:val="21"/>
              </w:rPr>
            </w:pPr>
            <w:r>
              <w:rPr>
                <w:szCs w:val="21"/>
              </w:rPr>
              <w:t>溶解性总固体</w:t>
            </w:r>
          </w:p>
        </w:tc>
        <w:tc>
          <w:tcPr>
            <w:tcW w:w="1038" w:type="pct"/>
            <w:vAlign w:val="center"/>
          </w:tcPr>
          <w:p w14:paraId="4A0E83BF" w14:textId="77777777" w:rsidR="00B14D53" w:rsidRDefault="00000000">
            <w:pPr>
              <w:widowControl/>
              <w:jc w:val="center"/>
              <w:rPr>
                <w:szCs w:val="21"/>
              </w:rPr>
            </w:pPr>
            <w:r>
              <w:rPr>
                <w:color w:val="000000"/>
                <w:szCs w:val="21"/>
              </w:rPr>
              <w:t>mg/L</w:t>
            </w:r>
          </w:p>
        </w:tc>
        <w:tc>
          <w:tcPr>
            <w:tcW w:w="818" w:type="pct"/>
            <w:vAlign w:val="center"/>
          </w:tcPr>
          <w:p w14:paraId="29E119AB" w14:textId="77777777" w:rsidR="00B14D53" w:rsidRDefault="00000000">
            <w:pPr>
              <w:jc w:val="center"/>
              <w:rPr>
                <w:szCs w:val="21"/>
              </w:rPr>
            </w:pPr>
            <w:r>
              <w:rPr>
                <w:bCs/>
              </w:rPr>
              <w:t>444</w:t>
            </w:r>
          </w:p>
        </w:tc>
        <w:tc>
          <w:tcPr>
            <w:tcW w:w="818" w:type="pct"/>
            <w:vAlign w:val="center"/>
          </w:tcPr>
          <w:p w14:paraId="3BA28273" w14:textId="77777777" w:rsidR="00B14D53" w:rsidRDefault="00000000">
            <w:pPr>
              <w:jc w:val="center"/>
              <w:rPr>
                <w:szCs w:val="21"/>
              </w:rPr>
            </w:pPr>
            <w:r>
              <w:rPr>
                <w:bCs/>
              </w:rPr>
              <w:t>631</w:t>
            </w:r>
          </w:p>
        </w:tc>
        <w:tc>
          <w:tcPr>
            <w:tcW w:w="819" w:type="pct"/>
            <w:vAlign w:val="center"/>
          </w:tcPr>
          <w:p w14:paraId="64733AA2" w14:textId="77777777" w:rsidR="00B14D53" w:rsidRDefault="00000000">
            <w:pPr>
              <w:jc w:val="center"/>
              <w:rPr>
                <w:szCs w:val="21"/>
              </w:rPr>
            </w:pPr>
            <w:r>
              <w:rPr>
                <w:bCs/>
              </w:rPr>
              <w:t>436</w:t>
            </w:r>
          </w:p>
        </w:tc>
        <w:tc>
          <w:tcPr>
            <w:tcW w:w="629" w:type="pct"/>
            <w:vAlign w:val="center"/>
          </w:tcPr>
          <w:p w14:paraId="339D5648" w14:textId="77777777" w:rsidR="00B14D53" w:rsidRDefault="00000000">
            <w:pPr>
              <w:jc w:val="center"/>
              <w:rPr>
                <w:szCs w:val="21"/>
              </w:rPr>
            </w:pPr>
            <w:r>
              <w:rPr>
                <w:bCs/>
              </w:rPr>
              <w:t>≤1000</w:t>
            </w:r>
          </w:p>
        </w:tc>
      </w:tr>
      <w:tr w:rsidR="00B14D53" w14:paraId="49945FB6" w14:textId="77777777">
        <w:trPr>
          <w:gridAfter w:val="1"/>
          <w:wAfter w:w="6" w:type="pct"/>
          <w:trHeight w:val="420"/>
          <w:jc w:val="center"/>
        </w:trPr>
        <w:tc>
          <w:tcPr>
            <w:tcW w:w="870" w:type="pct"/>
            <w:vAlign w:val="center"/>
          </w:tcPr>
          <w:p w14:paraId="4E6380E9" w14:textId="77777777" w:rsidR="00B14D53" w:rsidRDefault="00000000">
            <w:pPr>
              <w:jc w:val="center"/>
              <w:rPr>
                <w:szCs w:val="21"/>
              </w:rPr>
            </w:pPr>
            <w:r>
              <w:rPr>
                <w:szCs w:val="21"/>
              </w:rPr>
              <w:t>硫酸盐</w:t>
            </w:r>
          </w:p>
        </w:tc>
        <w:tc>
          <w:tcPr>
            <w:tcW w:w="1038" w:type="pct"/>
            <w:vAlign w:val="center"/>
          </w:tcPr>
          <w:p w14:paraId="5A55515F" w14:textId="77777777" w:rsidR="00B14D53" w:rsidRDefault="00000000">
            <w:pPr>
              <w:widowControl/>
              <w:jc w:val="center"/>
              <w:rPr>
                <w:szCs w:val="21"/>
              </w:rPr>
            </w:pPr>
            <w:r>
              <w:rPr>
                <w:color w:val="000000"/>
                <w:szCs w:val="21"/>
              </w:rPr>
              <w:t>mg/L</w:t>
            </w:r>
          </w:p>
        </w:tc>
        <w:tc>
          <w:tcPr>
            <w:tcW w:w="818" w:type="pct"/>
            <w:vAlign w:val="center"/>
          </w:tcPr>
          <w:p w14:paraId="161F847A" w14:textId="77777777" w:rsidR="00B14D53" w:rsidRDefault="00000000">
            <w:pPr>
              <w:jc w:val="center"/>
              <w:rPr>
                <w:szCs w:val="21"/>
              </w:rPr>
            </w:pPr>
            <w:r>
              <w:rPr>
                <w:bCs/>
              </w:rPr>
              <w:t>63</w:t>
            </w:r>
          </w:p>
        </w:tc>
        <w:tc>
          <w:tcPr>
            <w:tcW w:w="818" w:type="pct"/>
            <w:vAlign w:val="center"/>
          </w:tcPr>
          <w:p w14:paraId="522A036D" w14:textId="77777777" w:rsidR="00B14D53" w:rsidRDefault="00000000">
            <w:pPr>
              <w:jc w:val="center"/>
              <w:rPr>
                <w:szCs w:val="21"/>
              </w:rPr>
            </w:pPr>
            <w:r>
              <w:rPr>
                <w:bCs/>
              </w:rPr>
              <w:t>67</w:t>
            </w:r>
          </w:p>
        </w:tc>
        <w:tc>
          <w:tcPr>
            <w:tcW w:w="819" w:type="pct"/>
            <w:vAlign w:val="center"/>
          </w:tcPr>
          <w:p w14:paraId="30D254E6" w14:textId="77777777" w:rsidR="00B14D53" w:rsidRDefault="00000000">
            <w:pPr>
              <w:jc w:val="center"/>
              <w:rPr>
                <w:szCs w:val="21"/>
              </w:rPr>
            </w:pPr>
            <w:r>
              <w:rPr>
                <w:bCs/>
              </w:rPr>
              <w:t>41</w:t>
            </w:r>
          </w:p>
        </w:tc>
        <w:tc>
          <w:tcPr>
            <w:tcW w:w="629" w:type="pct"/>
            <w:vAlign w:val="center"/>
          </w:tcPr>
          <w:p w14:paraId="100FCF67" w14:textId="77777777" w:rsidR="00B14D53" w:rsidRDefault="00000000">
            <w:pPr>
              <w:jc w:val="center"/>
              <w:rPr>
                <w:szCs w:val="21"/>
              </w:rPr>
            </w:pPr>
            <w:r>
              <w:rPr>
                <w:bCs/>
              </w:rPr>
              <w:t>≤250</w:t>
            </w:r>
          </w:p>
        </w:tc>
      </w:tr>
      <w:tr w:rsidR="00B14D53" w14:paraId="32254110" w14:textId="77777777">
        <w:trPr>
          <w:gridAfter w:val="1"/>
          <w:wAfter w:w="6" w:type="pct"/>
          <w:trHeight w:val="420"/>
          <w:jc w:val="center"/>
        </w:trPr>
        <w:tc>
          <w:tcPr>
            <w:tcW w:w="870" w:type="pct"/>
            <w:vAlign w:val="center"/>
          </w:tcPr>
          <w:p w14:paraId="5C2892EC" w14:textId="77777777" w:rsidR="00B14D53" w:rsidRDefault="00000000">
            <w:pPr>
              <w:jc w:val="center"/>
              <w:rPr>
                <w:szCs w:val="21"/>
              </w:rPr>
            </w:pPr>
            <w:r>
              <w:rPr>
                <w:szCs w:val="21"/>
              </w:rPr>
              <w:t>氯化物</w:t>
            </w:r>
          </w:p>
        </w:tc>
        <w:tc>
          <w:tcPr>
            <w:tcW w:w="1038" w:type="pct"/>
            <w:vAlign w:val="center"/>
          </w:tcPr>
          <w:p w14:paraId="1B993E5B" w14:textId="77777777" w:rsidR="00B14D53" w:rsidRDefault="00000000">
            <w:pPr>
              <w:widowControl/>
              <w:jc w:val="center"/>
              <w:rPr>
                <w:szCs w:val="21"/>
              </w:rPr>
            </w:pPr>
            <w:r>
              <w:rPr>
                <w:color w:val="000000"/>
                <w:szCs w:val="21"/>
              </w:rPr>
              <w:t>mg/L</w:t>
            </w:r>
          </w:p>
        </w:tc>
        <w:tc>
          <w:tcPr>
            <w:tcW w:w="818" w:type="pct"/>
            <w:vAlign w:val="center"/>
          </w:tcPr>
          <w:p w14:paraId="60F9DBA2" w14:textId="77777777" w:rsidR="00B14D53" w:rsidRDefault="00000000">
            <w:pPr>
              <w:jc w:val="center"/>
              <w:rPr>
                <w:szCs w:val="21"/>
              </w:rPr>
            </w:pPr>
            <w:r>
              <w:rPr>
                <w:bCs/>
              </w:rPr>
              <w:t>16</w:t>
            </w:r>
          </w:p>
        </w:tc>
        <w:tc>
          <w:tcPr>
            <w:tcW w:w="818" w:type="pct"/>
            <w:vAlign w:val="center"/>
          </w:tcPr>
          <w:p w14:paraId="6C6BC6FE" w14:textId="77777777" w:rsidR="00B14D53" w:rsidRDefault="00000000">
            <w:pPr>
              <w:jc w:val="center"/>
              <w:rPr>
                <w:szCs w:val="21"/>
              </w:rPr>
            </w:pPr>
            <w:r>
              <w:rPr>
                <w:bCs/>
              </w:rPr>
              <w:t>27</w:t>
            </w:r>
          </w:p>
        </w:tc>
        <w:tc>
          <w:tcPr>
            <w:tcW w:w="819" w:type="pct"/>
            <w:vAlign w:val="center"/>
          </w:tcPr>
          <w:p w14:paraId="7DBDE2C0" w14:textId="77777777" w:rsidR="00B14D53" w:rsidRDefault="00000000">
            <w:pPr>
              <w:jc w:val="center"/>
              <w:rPr>
                <w:szCs w:val="21"/>
              </w:rPr>
            </w:pPr>
            <w:r>
              <w:rPr>
                <w:bCs/>
              </w:rPr>
              <w:t>64</w:t>
            </w:r>
          </w:p>
        </w:tc>
        <w:tc>
          <w:tcPr>
            <w:tcW w:w="629" w:type="pct"/>
            <w:vAlign w:val="center"/>
          </w:tcPr>
          <w:p w14:paraId="78B0CFEA" w14:textId="77777777" w:rsidR="00B14D53" w:rsidRDefault="00000000">
            <w:pPr>
              <w:jc w:val="center"/>
              <w:rPr>
                <w:szCs w:val="21"/>
              </w:rPr>
            </w:pPr>
            <w:r>
              <w:rPr>
                <w:bCs/>
              </w:rPr>
              <w:t>≤250</w:t>
            </w:r>
          </w:p>
        </w:tc>
      </w:tr>
      <w:tr w:rsidR="00B14D53" w14:paraId="628DD138" w14:textId="77777777">
        <w:trPr>
          <w:gridAfter w:val="1"/>
          <w:wAfter w:w="6" w:type="pct"/>
          <w:trHeight w:val="418"/>
          <w:jc w:val="center"/>
        </w:trPr>
        <w:tc>
          <w:tcPr>
            <w:tcW w:w="870" w:type="pct"/>
            <w:vAlign w:val="center"/>
          </w:tcPr>
          <w:p w14:paraId="5A3DE2CB" w14:textId="77777777" w:rsidR="00B14D53" w:rsidRDefault="00000000">
            <w:pPr>
              <w:jc w:val="center"/>
              <w:rPr>
                <w:szCs w:val="21"/>
              </w:rPr>
            </w:pPr>
            <w:r>
              <w:rPr>
                <w:szCs w:val="21"/>
              </w:rPr>
              <w:t>铁</w:t>
            </w:r>
          </w:p>
        </w:tc>
        <w:tc>
          <w:tcPr>
            <w:tcW w:w="1038" w:type="pct"/>
            <w:vAlign w:val="center"/>
          </w:tcPr>
          <w:p w14:paraId="133279BD" w14:textId="77777777" w:rsidR="00B14D53" w:rsidRDefault="00000000">
            <w:pPr>
              <w:widowControl/>
              <w:jc w:val="center"/>
              <w:rPr>
                <w:szCs w:val="21"/>
              </w:rPr>
            </w:pPr>
            <w:r>
              <w:rPr>
                <w:color w:val="000000"/>
                <w:szCs w:val="21"/>
              </w:rPr>
              <w:t>mg/L</w:t>
            </w:r>
          </w:p>
        </w:tc>
        <w:tc>
          <w:tcPr>
            <w:tcW w:w="818" w:type="pct"/>
            <w:vAlign w:val="center"/>
          </w:tcPr>
          <w:p w14:paraId="12750208" w14:textId="77777777" w:rsidR="00B14D53" w:rsidRDefault="00000000">
            <w:pPr>
              <w:jc w:val="center"/>
              <w:rPr>
                <w:szCs w:val="21"/>
              </w:rPr>
            </w:pPr>
            <w:r>
              <w:rPr>
                <w:bCs/>
              </w:rPr>
              <w:t>0.20</w:t>
            </w:r>
          </w:p>
        </w:tc>
        <w:tc>
          <w:tcPr>
            <w:tcW w:w="818" w:type="pct"/>
            <w:vAlign w:val="center"/>
          </w:tcPr>
          <w:p w14:paraId="2DDBB37D" w14:textId="77777777" w:rsidR="00B14D53" w:rsidRDefault="00000000">
            <w:pPr>
              <w:jc w:val="center"/>
              <w:rPr>
                <w:szCs w:val="21"/>
              </w:rPr>
            </w:pPr>
            <w:r>
              <w:rPr>
                <w:bCs/>
              </w:rPr>
              <w:t>0.21</w:t>
            </w:r>
          </w:p>
        </w:tc>
        <w:tc>
          <w:tcPr>
            <w:tcW w:w="819" w:type="pct"/>
            <w:vAlign w:val="center"/>
          </w:tcPr>
          <w:p w14:paraId="6081A04B" w14:textId="77777777" w:rsidR="00B14D53" w:rsidRDefault="00000000">
            <w:pPr>
              <w:jc w:val="center"/>
              <w:rPr>
                <w:szCs w:val="21"/>
              </w:rPr>
            </w:pPr>
            <w:r>
              <w:rPr>
                <w:bCs/>
              </w:rPr>
              <w:t>0.43</w:t>
            </w:r>
          </w:p>
        </w:tc>
        <w:tc>
          <w:tcPr>
            <w:tcW w:w="629" w:type="pct"/>
            <w:vAlign w:val="center"/>
          </w:tcPr>
          <w:p w14:paraId="67EF4DF0" w14:textId="77777777" w:rsidR="00B14D53" w:rsidRDefault="00000000">
            <w:pPr>
              <w:jc w:val="center"/>
              <w:rPr>
                <w:szCs w:val="21"/>
              </w:rPr>
            </w:pPr>
            <w:r>
              <w:rPr>
                <w:bCs/>
              </w:rPr>
              <w:t>≤0.3</w:t>
            </w:r>
          </w:p>
        </w:tc>
      </w:tr>
      <w:tr w:rsidR="00B14D53" w14:paraId="7FEB98F7" w14:textId="77777777">
        <w:trPr>
          <w:gridAfter w:val="1"/>
          <w:wAfter w:w="6" w:type="pct"/>
          <w:trHeight w:val="418"/>
          <w:jc w:val="center"/>
        </w:trPr>
        <w:tc>
          <w:tcPr>
            <w:tcW w:w="870" w:type="pct"/>
            <w:vAlign w:val="center"/>
          </w:tcPr>
          <w:p w14:paraId="75A033CC" w14:textId="77777777" w:rsidR="00B14D53" w:rsidRDefault="00000000">
            <w:pPr>
              <w:jc w:val="center"/>
              <w:rPr>
                <w:szCs w:val="21"/>
              </w:rPr>
            </w:pPr>
            <w:r>
              <w:rPr>
                <w:szCs w:val="21"/>
              </w:rPr>
              <w:t>锰</w:t>
            </w:r>
          </w:p>
        </w:tc>
        <w:tc>
          <w:tcPr>
            <w:tcW w:w="1038" w:type="pct"/>
            <w:vAlign w:val="center"/>
          </w:tcPr>
          <w:p w14:paraId="1DF00CE0" w14:textId="77777777" w:rsidR="00B14D53" w:rsidRDefault="00000000">
            <w:pPr>
              <w:jc w:val="center"/>
              <w:rPr>
                <w:color w:val="000000"/>
                <w:szCs w:val="21"/>
              </w:rPr>
            </w:pPr>
            <w:r>
              <w:rPr>
                <w:color w:val="000000"/>
                <w:szCs w:val="21"/>
              </w:rPr>
              <w:t>mg/L</w:t>
            </w:r>
          </w:p>
        </w:tc>
        <w:tc>
          <w:tcPr>
            <w:tcW w:w="818" w:type="pct"/>
            <w:vAlign w:val="center"/>
          </w:tcPr>
          <w:p w14:paraId="1D2AB948" w14:textId="77777777" w:rsidR="00B14D53" w:rsidRDefault="00000000">
            <w:pPr>
              <w:jc w:val="center"/>
              <w:rPr>
                <w:szCs w:val="21"/>
              </w:rPr>
            </w:pPr>
            <w:r>
              <w:rPr>
                <w:bCs/>
              </w:rPr>
              <w:t>0.14</w:t>
            </w:r>
          </w:p>
        </w:tc>
        <w:tc>
          <w:tcPr>
            <w:tcW w:w="818" w:type="pct"/>
            <w:vAlign w:val="center"/>
          </w:tcPr>
          <w:p w14:paraId="0B12B2B6" w14:textId="77777777" w:rsidR="00B14D53" w:rsidRDefault="00000000">
            <w:pPr>
              <w:jc w:val="center"/>
              <w:rPr>
                <w:szCs w:val="21"/>
              </w:rPr>
            </w:pPr>
            <w:r>
              <w:rPr>
                <w:bCs/>
              </w:rPr>
              <w:t>0.01L</w:t>
            </w:r>
          </w:p>
        </w:tc>
        <w:tc>
          <w:tcPr>
            <w:tcW w:w="819" w:type="pct"/>
            <w:vAlign w:val="center"/>
          </w:tcPr>
          <w:p w14:paraId="675EA264" w14:textId="77777777" w:rsidR="00B14D53" w:rsidRDefault="00000000">
            <w:pPr>
              <w:jc w:val="center"/>
              <w:rPr>
                <w:szCs w:val="21"/>
              </w:rPr>
            </w:pPr>
            <w:r>
              <w:rPr>
                <w:bCs/>
              </w:rPr>
              <w:t>0.20</w:t>
            </w:r>
          </w:p>
        </w:tc>
        <w:tc>
          <w:tcPr>
            <w:tcW w:w="629" w:type="pct"/>
            <w:vAlign w:val="center"/>
          </w:tcPr>
          <w:p w14:paraId="3488D1F6" w14:textId="77777777" w:rsidR="00B14D53" w:rsidRDefault="00000000">
            <w:pPr>
              <w:jc w:val="center"/>
              <w:rPr>
                <w:szCs w:val="21"/>
              </w:rPr>
            </w:pPr>
            <w:r>
              <w:rPr>
                <w:bCs/>
              </w:rPr>
              <w:t>≤0.10</w:t>
            </w:r>
          </w:p>
        </w:tc>
      </w:tr>
      <w:tr w:rsidR="00B14D53" w14:paraId="2C41AE5D" w14:textId="77777777">
        <w:trPr>
          <w:gridAfter w:val="1"/>
          <w:wAfter w:w="6" w:type="pct"/>
          <w:trHeight w:val="418"/>
          <w:jc w:val="center"/>
        </w:trPr>
        <w:tc>
          <w:tcPr>
            <w:tcW w:w="870" w:type="pct"/>
            <w:vAlign w:val="center"/>
          </w:tcPr>
          <w:p w14:paraId="0C582A54" w14:textId="77777777" w:rsidR="00B14D53" w:rsidRDefault="00000000">
            <w:pPr>
              <w:jc w:val="center"/>
              <w:rPr>
                <w:szCs w:val="21"/>
              </w:rPr>
            </w:pPr>
            <w:r>
              <w:rPr>
                <w:szCs w:val="21"/>
              </w:rPr>
              <w:t>挥发酚</w:t>
            </w:r>
          </w:p>
        </w:tc>
        <w:tc>
          <w:tcPr>
            <w:tcW w:w="1038" w:type="pct"/>
            <w:vAlign w:val="center"/>
          </w:tcPr>
          <w:p w14:paraId="2D5C8FE4" w14:textId="77777777" w:rsidR="00B14D53" w:rsidRDefault="00000000">
            <w:pPr>
              <w:widowControl/>
              <w:jc w:val="center"/>
              <w:rPr>
                <w:szCs w:val="21"/>
              </w:rPr>
            </w:pPr>
            <w:r>
              <w:rPr>
                <w:color w:val="000000"/>
                <w:szCs w:val="21"/>
              </w:rPr>
              <w:t>mg/L</w:t>
            </w:r>
          </w:p>
        </w:tc>
        <w:tc>
          <w:tcPr>
            <w:tcW w:w="818" w:type="pct"/>
            <w:vAlign w:val="center"/>
          </w:tcPr>
          <w:p w14:paraId="5308DA38" w14:textId="77777777" w:rsidR="00B14D53" w:rsidRDefault="00000000">
            <w:pPr>
              <w:jc w:val="center"/>
              <w:rPr>
                <w:szCs w:val="21"/>
              </w:rPr>
            </w:pPr>
            <w:r>
              <w:rPr>
                <w:bCs/>
              </w:rPr>
              <w:t>0.0003L</w:t>
            </w:r>
          </w:p>
        </w:tc>
        <w:tc>
          <w:tcPr>
            <w:tcW w:w="818" w:type="pct"/>
            <w:vAlign w:val="center"/>
          </w:tcPr>
          <w:p w14:paraId="15A87F9F" w14:textId="77777777" w:rsidR="00B14D53" w:rsidRDefault="00000000">
            <w:pPr>
              <w:jc w:val="center"/>
              <w:rPr>
                <w:szCs w:val="21"/>
              </w:rPr>
            </w:pPr>
            <w:r>
              <w:rPr>
                <w:bCs/>
              </w:rPr>
              <w:t>0.0003L</w:t>
            </w:r>
          </w:p>
        </w:tc>
        <w:tc>
          <w:tcPr>
            <w:tcW w:w="819" w:type="pct"/>
            <w:vAlign w:val="center"/>
          </w:tcPr>
          <w:p w14:paraId="7C34B21A" w14:textId="77777777" w:rsidR="00B14D53" w:rsidRDefault="00000000">
            <w:pPr>
              <w:jc w:val="center"/>
              <w:rPr>
                <w:szCs w:val="21"/>
              </w:rPr>
            </w:pPr>
            <w:r>
              <w:rPr>
                <w:bCs/>
              </w:rPr>
              <w:t>0.0003L</w:t>
            </w:r>
          </w:p>
        </w:tc>
        <w:tc>
          <w:tcPr>
            <w:tcW w:w="629" w:type="pct"/>
            <w:vAlign w:val="center"/>
          </w:tcPr>
          <w:p w14:paraId="0CA18A42" w14:textId="77777777" w:rsidR="00B14D53" w:rsidRDefault="00000000">
            <w:pPr>
              <w:jc w:val="center"/>
              <w:rPr>
                <w:szCs w:val="21"/>
              </w:rPr>
            </w:pPr>
            <w:r>
              <w:rPr>
                <w:bCs/>
              </w:rPr>
              <w:t>≤0.002</w:t>
            </w:r>
          </w:p>
        </w:tc>
      </w:tr>
      <w:tr w:rsidR="00B14D53" w14:paraId="24B2C8C4" w14:textId="77777777">
        <w:trPr>
          <w:gridAfter w:val="1"/>
          <w:wAfter w:w="6" w:type="pct"/>
          <w:trHeight w:val="418"/>
          <w:jc w:val="center"/>
        </w:trPr>
        <w:tc>
          <w:tcPr>
            <w:tcW w:w="870" w:type="pct"/>
            <w:vAlign w:val="center"/>
          </w:tcPr>
          <w:p w14:paraId="6ECAFBF3" w14:textId="77777777" w:rsidR="00B14D53" w:rsidRDefault="00000000">
            <w:pPr>
              <w:jc w:val="center"/>
              <w:rPr>
                <w:szCs w:val="21"/>
              </w:rPr>
            </w:pPr>
            <w:r>
              <w:rPr>
                <w:szCs w:val="21"/>
              </w:rPr>
              <w:t>耗氧量</w:t>
            </w:r>
          </w:p>
        </w:tc>
        <w:tc>
          <w:tcPr>
            <w:tcW w:w="1038" w:type="pct"/>
            <w:vAlign w:val="center"/>
          </w:tcPr>
          <w:p w14:paraId="7C309521" w14:textId="77777777" w:rsidR="00B14D53" w:rsidRDefault="00000000">
            <w:pPr>
              <w:widowControl/>
              <w:jc w:val="center"/>
              <w:rPr>
                <w:szCs w:val="21"/>
              </w:rPr>
            </w:pPr>
            <w:r>
              <w:rPr>
                <w:color w:val="000000"/>
                <w:szCs w:val="21"/>
              </w:rPr>
              <w:t>mg/L</w:t>
            </w:r>
          </w:p>
        </w:tc>
        <w:tc>
          <w:tcPr>
            <w:tcW w:w="818" w:type="pct"/>
            <w:vAlign w:val="center"/>
          </w:tcPr>
          <w:p w14:paraId="6ED61CEE" w14:textId="77777777" w:rsidR="00B14D53" w:rsidRDefault="00000000">
            <w:pPr>
              <w:jc w:val="center"/>
              <w:rPr>
                <w:szCs w:val="21"/>
              </w:rPr>
            </w:pPr>
            <w:r>
              <w:rPr>
                <w:bCs/>
              </w:rPr>
              <w:t>1.9</w:t>
            </w:r>
          </w:p>
        </w:tc>
        <w:tc>
          <w:tcPr>
            <w:tcW w:w="818" w:type="pct"/>
            <w:vAlign w:val="center"/>
          </w:tcPr>
          <w:p w14:paraId="2720BFBD" w14:textId="77777777" w:rsidR="00B14D53" w:rsidRDefault="00000000">
            <w:pPr>
              <w:jc w:val="center"/>
              <w:rPr>
                <w:szCs w:val="21"/>
              </w:rPr>
            </w:pPr>
            <w:r>
              <w:rPr>
                <w:bCs/>
              </w:rPr>
              <w:t>2.7</w:t>
            </w:r>
          </w:p>
        </w:tc>
        <w:tc>
          <w:tcPr>
            <w:tcW w:w="819" w:type="pct"/>
            <w:vAlign w:val="center"/>
          </w:tcPr>
          <w:p w14:paraId="2E687114" w14:textId="77777777" w:rsidR="00B14D53" w:rsidRDefault="00000000">
            <w:pPr>
              <w:jc w:val="center"/>
              <w:rPr>
                <w:szCs w:val="21"/>
              </w:rPr>
            </w:pPr>
            <w:r>
              <w:rPr>
                <w:bCs/>
              </w:rPr>
              <w:t>1.9</w:t>
            </w:r>
          </w:p>
        </w:tc>
        <w:tc>
          <w:tcPr>
            <w:tcW w:w="629" w:type="pct"/>
            <w:vAlign w:val="center"/>
          </w:tcPr>
          <w:p w14:paraId="77C6E7AD" w14:textId="77777777" w:rsidR="00B14D53" w:rsidRDefault="00000000">
            <w:pPr>
              <w:jc w:val="center"/>
              <w:rPr>
                <w:szCs w:val="21"/>
              </w:rPr>
            </w:pPr>
            <w:r>
              <w:rPr>
                <w:bCs/>
              </w:rPr>
              <w:t>≤3.0</w:t>
            </w:r>
          </w:p>
        </w:tc>
      </w:tr>
      <w:tr w:rsidR="00B14D53" w14:paraId="60A08C0D" w14:textId="77777777">
        <w:trPr>
          <w:gridAfter w:val="1"/>
          <w:wAfter w:w="6" w:type="pct"/>
          <w:trHeight w:val="418"/>
          <w:jc w:val="center"/>
        </w:trPr>
        <w:tc>
          <w:tcPr>
            <w:tcW w:w="870" w:type="pct"/>
            <w:vAlign w:val="center"/>
          </w:tcPr>
          <w:p w14:paraId="79CCD6D9" w14:textId="77777777" w:rsidR="00B14D53" w:rsidRDefault="00000000">
            <w:pPr>
              <w:jc w:val="center"/>
              <w:rPr>
                <w:szCs w:val="21"/>
              </w:rPr>
            </w:pPr>
            <w:r>
              <w:rPr>
                <w:szCs w:val="21"/>
              </w:rPr>
              <w:t>氨氮</w:t>
            </w:r>
          </w:p>
        </w:tc>
        <w:tc>
          <w:tcPr>
            <w:tcW w:w="1038" w:type="pct"/>
            <w:vAlign w:val="center"/>
          </w:tcPr>
          <w:p w14:paraId="425B4642" w14:textId="77777777" w:rsidR="00B14D53" w:rsidRDefault="00000000">
            <w:pPr>
              <w:widowControl/>
              <w:jc w:val="center"/>
              <w:rPr>
                <w:szCs w:val="21"/>
              </w:rPr>
            </w:pPr>
            <w:r>
              <w:rPr>
                <w:color w:val="000000"/>
                <w:szCs w:val="21"/>
              </w:rPr>
              <w:t>mg/L</w:t>
            </w:r>
          </w:p>
        </w:tc>
        <w:tc>
          <w:tcPr>
            <w:tcW w:w="818" w:type="pct"/>
            <w:vAlign w:val="center"/>
          </w:tcPr>
          <w:p w14:paraId="42A31C88" w14:textId="77777777" w:rsidR="00B14D53" w:rsidRDefault="00000000">
            <w:pPr>
              <w:jc w:val="center"/>
              <w:rPr>
                <w:szCs w:val="21"/>
              </w:rPr>
            </w:pPr>
            <w:r>
              <w:rPr>
                <w:bCs/>
              </w:rPr>
              <w:t>0.172</w:t>
            </w:r>
          </w:p>
        </w:tc>
        <w:tc>
          <w:tcPr>
            <w:tcW w:w="818" w:type="pct"/>
            <w:vAlign w:val="center"/>
          </w:tcPr>
          <w:p w14:paraId="068A5CFC" w14:textId="77777777" w:rsidR="00B14D53" w:rsidRDefault="00000000">
            <w:pPr>
              <w:jc w:val="center"/>
              <w:rPr>
                <w:szCs w:val="21"/>
              </w:rPr>
            </w:pPr>
            <w:r>
              <w:rPr>
                <w:bCs/>
              </w:rPr>
              <w:t>0.100</w:t>
            </w:r>
          </w:p>
        </w:tc>
        <w:tc>
          <w:tcPr>
            <w:tcW w:w="819" w:type="pct"/>
            <w:vAlign w:val="center"/>
          </w:tcPr>
          <w:p w14:paraId="051DDF48" w14:textId="77777777" w:rsidR="00B14D53" w:rsidRDefault="00000000">
            <w:pPr>
              <w:jc w:val="center"/>
              <w:rPr>
                <w:szCs w:val="21"/>
              </w:rPr>
            </w:pPr>
            <w:r>
              <w:rPr>
                <w:bCs/>
              </w:rPr>
              <w:t>0.247</w:t>
            </w:r>
          </w:p>
        </w:tc>
        <w:tc>
          <w:tcPr>
            <w:tcW w:w="629" w:type="pct"/>
            <w:vAlign w:val="center"/>
          </w:tcPr>
          <w:p w14:paraId="660B7551" w14:textId="77777777" w:rsidR="00B14D53" w:rsidRDefault="00000000">
            <w:pPr>
              <w:jc w:val="center"/>
              <w:rPr>
                <w:szCs w:val="21"/>
              </w:rPr>
            </w:pPr>
            <w:r>
              <w:rPr>
                <w:bCs/>
              </w:rPr>
              <w:t>≤0.50</w:t>
            </w:r>
          </w:p>
        </w:tc>
      </w:tr>
      <w:tr w:rsidR="00B14D53" w14:paraId="4755CED6" w14:textId="77777777">
        <w:trPr>
          <w:gridAfter w:val="1"/>
          <w:wAfter w:w="6" w:type="pct"/>
          <w:trHeight w:val="418"/>
          <w:jc w:val="center"/>
        </w:trPr>
        <w:tc>
          <w:tcPr>
            <w:tcW w:w="870" w:type="pct"/>
            <w:vAlign w:val="center"/>
          </w:tcPr>
          <w:p w14:paraId="0A29B095" w14:textId="77777777" w:rsidR="00B14D53" w:rsidRDefault="00000000">
            <w:pPr>
              <w:jc w:val="center"/>
              <w:rPr>
                <w:szCs w:val="21"/>
              </w:rPr>
            </w:pPr>
            <w:r>
              <w:rPr>
                <w:szCs w:val="21"/>
              </w:rPr>
              <w:t>总大肠菌群</w:t>
            </w:r>
          </w:p>
        </w:tc>
        <w:tc>
          <w:tcPr>
            <w:tcW w:w="1038" w:type="pct"/>
            <w:vAlign w:val="center"/>
          </w:tcPr>
          <w:p w14:paraId="7C680025" w14:textId="77777777" w:rsidR="00B14D53" w:rsidRDefault="00000000">
            <w:pPr>
              <w:widowControl/>
              <w:jc w:val="center"/>
              <w:rPr>
                <w:color w:val="000000"/>
                <w:szCs w:val="21"/>
              </w:rPr>
            </w:pPr>
            <w:r>
              <w:rPr>
                <w:color w:val="000000"/>
                <w:szCs w:val="21"/>
              </w:rPr>
              <w:t>MPN/100mL</w:t>
            </w:r>
          </w:p>
        </w:tc>
        <w:tc>
          <w:tcPr>
            <w:tcW w:w="818" w:type="pct"/>
            <w:vAlign w:val="center"/>
          </w:tcPr>
          <w:p w14:paraId="3CDA783D" w14:textId="77777777" w:rsidR="00B14D53" w:rsidRDefault="00000000">
            <w:pPr>
              <w:jc w:val="center"/>
              <w:rPr>
                <w:szCs w:val="21"/>
              </w:rPr>
            </w:pPr>
            <w:r>
              <w:rPr>
                <w:bCs/>
              </w:rPr>
              <w:t>＜</w:t>
            </w:r>
            <w:r>
              <w:rPr>
                <w:bCs/>
              </w:rPr>
              <w:t>2</w:t>
            </w:r>
          </w:p>
        </w:tc>
        <w:tc>
          <w:tcPr>
            <w:tcW w:w="818" w:type="pct"/>
            <w:vAlign w:val="center"/>
          </w:tcPr>
          <w:p w14:paraId="24438C1C" w14:textId="77777777" w:rsidR="00B14D53" w:rsidRDefault="00000000">
            <w:pPr>
              <w:jc w:val="center"/>
              <w:rPr>
                <w:szCs w:val="21"/>
              </w:rPr>
            </w:pPr>
            <w:r>
              <w:rPr>
                <w:bCs/>
              </w:rPr>
              <w:t>＜</w:t>
            </w:r>
            <w:r>
              <w:rPr>
                <w:bCs/>
              </w:rPr>
              <w:t>2</w:t>
            </w:r>
          </w:p>
        </w:tc>
        <w:tc>
          <w:tcPr>
            <w:tcW w:w="819" w:type="pct"/>
            <w:vAlign w:val="center"/>
          </w:tcPr>
          <w:p w14:paraId="4E62E0BE" w14:textId="77777777" w:rsidR="00B14D53" w:rsidRDefault="00000000">
            <w:pPr>
              <w:jc w:val="center"/>
              <w:rPr>
                <w:szCs w:val="21"/>
              </w:rPr>
            </w:pPr>
            <w:r>
              <w:rPr>
                <w:bCs/>
              </w:rPr>
              <w:t>＜</w:t>
            </w:r>
            <w:r>
              <w:rPr>
                <w:bCs/>
              </w:rPr>
              <w:t>2</w:t>
            </w:r>
          </w:p>
        </w:tc>
        <w:tc>
          <w:tcPr>
            <w:tcW w:w="629" w:type="pct"/>
            <w:vAlign w:val="center"/>
          </w:tcPr>
          <w:p w14:paraId="4254B94E" w14:textId="77777777" w:rsidR="00B14D53" w:rsidRDefault="00000000">
            <w:pPr>
              <w:jc w:val="center"/>
              <w:rPr>
                <w:szCs w:val="21"/>
              </w:rPr>
            </w:pPr>
            <w:r>
              <w:rPr>
                <w:bCs/>
              </w:rPr>
              <w:t>≤3.0</w:t>
            </w:r>
          </w:p>
        </w:tc>
      </w:tr>
    </w:tbl>
    <w:p w14:paraId="41ECB7FE" w14:textId="77777777" w:rsidR="00B14D53" w:rsidRDefault="00000000">
      <w:pPr>
        <w:jc w:val="center"/>
      </w:pPr>
      <w:r>
        <w:rPr>
          <w:rFonts w:hint="eastAsia"/>
          <w:b/>
          <w:bCs/>
        </w:rPr>
        <w:t>续表</w:t>
      </w:r>
      <w:r>
        <w:rPr>
          <w:rFonts w:hint="eastAsia"/>
          <w:b/>
          <w:bCs/>
        </w:rPr>
        <w:t xml:space="preserve">4-2-5 </w:t>
      </w:r>
      <w:r>
        <w:rPr>
          <w:rFonts w:hint="eastAsia"/>
          <w:b/>
          <w:bCs/>
        </w:rPr>
        <w:t>地下水质量监测结果</w:t>
      </w:r>
    </w:p>
    <w:tbl>
      <w:tblPr>
        <w:tblW w:w="4991"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447"/>
        <w:gridCol w:w="1725"/>
        <w:gridCol w:w="1358"/>
        <w:gridCol w:w="1358"/>
        <w:gridCol w:w="1360"/>
        <w:gridCol w:w="1043"/>
      </w:tblGrid>
      <w:tr w:rsidR="00B14D53" w14:paraId="6008FD83" w14:textId="77777777">
        <w:trPr>
          <w:trHeight w:val="418"/>
          <w:jc w:val="center"/>
        </w:trPr>
        <w:tc>
          <w:tcPr>
            <w:tcW w:w="871" w:type="pct"/>
            <w:vAlign w:val="center"/>
          </w:tcPr>
          <w:p w14:paraId="315B535B" w14:textId="77777777" w:rsidR="00B14D53" w:rsidRDefault="00000000">
            <w:pPr>
              <w:jc w:val="center"/>
              <w:rPr>
                <w:szCs w:val="21"/>
              </w:rPr>
            </w:pPr>
            <w:r>
              <w:rPr>
                <w:szCs w:val="21"/>
              </w:rPr>
              <w:t>菌落总数</w:t>
            </w:r>
          </w:p>
        </w:tc>
        <w:tc>
          <w:tcPr>
            <w:tcW w:w="1039" w:type="pct"/>
            <w:vAlign w:val="center"/>
          </w:tcPr>
          <w:p w14:paraId="179999DC" w14:textId="77777777" w:rsidR="00B14D53" w:rsidRDefault="00000000">
            <w:pPr>
              <w:widowControl/>
              <w:jc w:val="center"/>
              <w:rPr>
                <w:color w:val="000000"/>
                <w:szCs w:val="21"/>
              </w:rPr>
            </w:pPr>
            <w:r>
              <w:rPr>
                <w:color w:val="000000"/>
                <w:szCs w:val="21"/>
              </w:rPr>
              <w:t>CFU/mL</w:t>
            </w:r>
          </w:p>
        </w:tc>
        <w:tc>
          <w:tcPr>
            <w:tcW w:w="819" w:type="pct"/>
            <w:vAlign w:val="center"/>
          </w:tcPr>
          <w:p w14:paraId="7AB0518E" w14:textId="77777777" w:rsidR="00B14D53" w:rsidRDefault="00000000">
            <w:pPr>
              <w:jc w:val="center"/>
              <w:rPr>
                <w:szCs w:val="21"/>
              </w:rPr>
            </w:pPr>
            <w:r>
              <w:rPr>
                <w:bCs/>
              </w:rPr>
              <w:t>80</w:t>
            </w:r>
          </w:p>
        </w:tc>
        <w:tc>
          <w:tcPr>
            <w:tcW w:w="819" w:type="pct"/>
            <w:vAlign w:val="center"/>
          </w:tcPr>
          <w:p w14:paraId="59359D1C" w14:textId="77777777" w:rsidR="00B14D53" w:rsidRDefault="00000000">
            <w:pPr>
              <w:jc w:val="center"/>
              <w:rPr>
                <w:szCs w:val="21"/>
              </w:rPr>
            </w:pPr>
            <w:r>
              <w:rPr>
                <w:bCs/>
              </w:rPr>
              <w:t>70</w:t>
            </w:r>
          </w:p>
        </w:tc>
        <w:tc>
          <w:tcPr>
            <w:tcW w:w="820" w:type="pct"/>
            <w:vAlign w:val="center"/>
          </w:tcPr>
          <w:p w14:paraId="78D923FE" w14:textId="77777777" w:rsidR="00B14D53" w:rsidRDefault="00000000">
            <w:pPr>
              <w:jc w:val="center"/>
              <w:rPr>
                <w:szCs w:val="21"/>
              </w:rPr>
            </w:pPr>
            <w:r>
              <w:rPr>
                <w:bCs/>
              </w:rPr>
              <w:t>80</w:t>
            </w:r>
          </w:p>
        </w:tc>
        <w:tc>
          <w:tcPr>
            <w:tcW w:w="629" w:type="pct"/>
            <w:vAlign w:val="center"/>
          </w:tcPr>
          <w:p w14:paraId="3D46CBE6" w14:textId="77777777" w:rsidR="00B14D53" w:rsidRDefault="00000000">
            <w:pPr>
              <w:jc w:val="center"/>
              <w:rPr>
                <w:szCs w:val="21"/>
              </w:rPr>
            </w:pPr>
            <w:r>
              <w:rPr>
                <w:bCs/>
              </w:rPr>
              <w:t>≤100</w:t>
            </w:r>
          </w:p>
        </w:tc>
      </w:tr>
      <w:tr w:rsidR="00B14D53" w14:paraId="02CF7826" w14:textId="77777777">
        <w:trPr>
          <w:trHeight w:val="418"/>
          <w:jc w:val="center"/>
        </w:trPr>
        <w:tc>
          <w:tcPr>
            <w:tcW w:w="871" w:type="pct"/>
            <w:vAlign w:val="center"/>
          </w:tcPr>
          <w:p w14:paraId="53F264F4" w14:textId="77777777" w:rsidR="00B14D53" w:rsidRDefault="00000000">
            <w:pPr>
              <w:jc w:val="center"/>
              <w:rPr>
                <w:szCs w:val="21"/>
              </w:rPr>
            </w:pPr>
            <w:r>
              <w:rPr>
                <w:szCs w:val="21"/>
              </w:rPr>
              <w:t>亚硝酸盐</w:t>
            </w:r>
          </w:p>
        </w:tc>
        <w:tc>
          <w:tcPr>
            <w:tcW w:w="1039" w:type="pct"/>
            <w:vAlign w:val="center"/>
          </w:tcPr>
          <w:p w14:paraId="1517C0BB" w14:textId="77777777" w:rsidR="00B14D53" w:rsidRDefault="00000000">
            <w:pPr>
              <w:widowControl/>
              <w:jc w:val="center"/>
              <w:rPr>
                <w:szCs w:val="21"/>
              </w:rPr>
            </w:pPr>
            <w:r>
              <w:rPr>
                <w:color w:val="000000"/>
                <w:szCs w:val="21"/>
              </w:rPr>
              <w:t>mg/L</w:t>
            </w:r>
          </w:p>
        </w:tc>
        <w:tc>
          <w:tcPr>
            <w:tcW w:w="819" w:type="pct"/>
            <w:vAlign w:val="center"/>
          </w:tcPr>
          <w:p w14:paraId="4B49827A" w14:textId="77777777" w:rsidR="00B14D53" w:rsidRDefault="00000000">
            <w:pPr>
              <w:jc w:val="center"/>
              <w:rPr>
                <w:szCs w:val="21"/>
              </w:rPr>
            </w:pPr>
            <w:r>
              <w:rPr>
                <w:bCs/>
              </w:rPr>
              <w:t>0.003L</w:t>
            </w:r>
          </w:p>
        </w:tc>
        <w:tc>
          <w:tcPr>
            <w:tcW w:w="819" w:type="pct"/>
            <w:vAlign w:val="center"/>
          </w:tcPr>
          <w:p w14:paraId="5E1F532B" w14:textId="77777777" w:rsidR="00B14D53" w:rsidRDefault="00000000">
            <w:pPr>
              <w:jc w:val="center"/>
              <w:rPr>
                <w:szCs w:val="21"/>
              </w:rPr>
            </w:pPr>
            <w:r>
              <w:rPr>
                <w:bCs/>
              </w:rPr>
              <w:t>0.003L</w:t>
            </w:r>
          </w:p>
        </w:tc>
        <w:tc>
          <w:tcPr>
            <w:tcW w:w="820" w:type="pct"/>
            <w:vAlign w:val="center"/>
          </w:tcPr>
          <w:p w14:paraId="72C67215" w14:textId="77777777" w:rsidR="00B14D53" w:rsidRDefault="00000000">
            <w:pPr>
              <w:jc w:val="center"/>
              <w:rPr>
                <w:szCs w:val="21"/>
              </w:rPr>
            </w:pPr>
            <w:r>
              <w:rPr>
                <w:bCs/>
              </w:rPr>
              <w:t>0.003L</w:t>
            </w:r>
          </w:p>
        </w:tc>
        <w:tc>
          <w:tcPr>
            <w:tcW w:w="629" w:type="pct"/>
            <w:vAlign w:val="center"/>
          </w:tcPr>
          <w:p w14:paraId="42138B30" w14:textId="77777777" w:rsidR="00B14D53" w:rsidRDefault="00000000">
            <w:pPr>
              <w:jc w:val="center"/>
              <w:rPr>
                <w:szCs w:val="21"/>
              </w:rPr>
            </w:pPr>
            <w:r>
              <w:rPr>
                <w:bCs/>
              </w:rPr>
              <w:t>≤1.00</w:t>
            </w:r>
          </w:p>
        </w:tc>
      </w:tr>
      <w:tr w:rsidR="00B14D53" w14:paraId="21333D1F" w14:textId="77777777">
        <w:trPr>
          <w:trHeight w:val="418"/>
          <w:jc w:val="center"/>
        </w:trPr>
        <w:tc>
          <w:tcPr>
            <w:tcW w:w="871" w:type="pct"/>
            <w:vAlign w:val="center"/>
          </w:tcPr>
          <w:p w14:paraId="6C40F6C2" w14:textId="77777777" w:rsidR="00B14D53" w:rsidRDefault="00000000">
            <w:pPr>
              <w:jc w:val="center"/>
              <w:rPr>
                <w:szCs w:val="21"/>
              </w:rPr>
            </w:pPr>
            <w:r>
              <w:rPr>
                <w:szCs w:val="21"/>
              </w:rPr>
              <w:t>硝酸盐</w:t>
            </w:r>
          </w:p>
        </w:tc>
        <w:tc>
          <w:tcPr>
            <w:tcW w:w="1039" w:type="pct"/>
            <w:vAlign w:val="center"/>
          </w:tcPr>
          <w:p w14:paraId="13477016" w14:textId="77777777" w:rsidR="00B14D53" w:rsidRDefault="00000000">
            <w:pPr>
              <w:widowControl/>
              <w:jc w:val="center"/>
              <w:rPr>
                <w:szCs w:val="21"/>
              </w:rPr>
            </w:pPr>
            <w:r>
              <w:rPr>
                <w:color w:val="000000"/>
                <w:szCs w:val="21"/>
              </w:rPr>
              <w:t>mg/L</w:t>
            </w:r>
          </w:p>
        </w:tc>
        <w:tc>
          <w:tcPr>
            <w:tcW w:w="819" w:type="pct"/>
            <w:vAlign w:val="center"/>
          </w:tcPr>
          <w:p w14:paraId="36A3ACEC" w14:textId="77777777" w:rsidR="00B14D53" w:rsidRDefault="00000000">
            <w:pPr>
              <w:jc w:val="center"/>
              <w:rPr>
                <w:szCs w:val="21"/>
              </w:rPr>
            </w:pPr>
            <w:r>
              <w:rPr>
                <w:bCs/>
              </w:rPr>
              <w:t>0.35</w:t>
            </w:r>
          </w:p>
        </w:tc>
        <w:tc>
          <w:tcPr>
            <w:tcW w:w="819" w:type="pct"/>
            <w:vAlign w:val="center"/>
          </w:tcPr>
          <w:p w14:paraId="402DA4AA" w14:textId="77777777" w:rsidR="00B14D53" w:rsidRDefault="00000000">
            <w:pPr>
              <w:jc w:val="center"/>
              <w:rPr>
                <w:szCs w:val="21"/>
              </w:rPr>
            </w:pPr>
            <w:r>
              <w:rPr>
                <w:bCs/>
              </w:rPr>
              <w:t>1.75</w:t>
            </w:r>
          </w:p>
        </w:tc>
        <w:tc>
          <w:tcPr>
            <w:tcW w:w="820" w:type="pct"/>
            <w:vAlign w:val="center"/>
          </w:tcPr>
          <w:p w14:paraId="3212D9D0" w14:textId="77777777" w:rsidR="00B14D53" w:rsidRDefault="00000000">
            <w:pPr>
              <w:jc w:val="center"/>
              <w:rPr>
                <w:szCs w:val="21"/>
              </w:rPr>
            </w:pPr>
            <w:r>
              <w:rPr>
                <w:bCs/>
              </w:rPr>
              <w:t>0.36</w:t>
            </w:r>
          </w:p>
        </w:tc>
        <w:tc>
          <w:tcPr>
            <w:tcW w:w="629" w:type="pct"/>
            <w:vAlign w:val="center"/>
          </w:tcPr>
          <w:p w14:paraId="183AC20D" w14:textId="77777777" w:rsidR="00B14D53" w:rsidRDefault="00000000">
            <w:pPr>
              <w:jc w:val="center"/>
              <w:rPr>
                <w:szCs w:val="21"/>
              </w:rPr>
            </w:pPr>
            <w:r>
              <w:rPr>
                <w:bCs/>
              </w:rPr>
              <w:t>≤20.0</w:t>
            </w:r>
          </w:p>
        </w:tc>
      </w:tr>
      <w:tr w:rsidR="00B14D53" w14:paraId="52CCEB50" w14:textId="77777777">
        <w:trPr>
          <w:trHeight w:val="418"/>
          <w:jc w:val="center"/>
        </w:trPr>
        <w:tc>
          <w:tcPr>
            <w:tcW w:w="871" w:type="pct"/>
            <w:vAlign w:val="center"/>
          </w:tcPr>
          <w:p w14:paraId="45BCA448" w14:textId="77777777" w:rsidR="00B14D53" w:rsidRDefault="00000000">
            <w:pPr>
              <w:jc w:val="center"/>
              <w:rPr>
                <w:szCs w:val="21"/>
              </w:rPr>
            </w:pPr>
            <w:r>
              <w:rPr>
                <w:szCs w:val="21"/>
              </w:rPr>
              <w:t>氰化物</w:t>
            </w:r>
          </w:p>
        </w:tc>
        <w:tc>
          <w:tcPr>
            <w:tcW w:w="1039" w:type="pct"/>
            <w:vAlign w:val="center"/>
          </w:tcPr>
          <w:p w14:paraId="70F725B6" w14:textId="77777777" w:rsidR="00B14D53" w:rsidRDefault="00000000">
            <w:pPr>
              <w:widowControl/>
              <w:jc w:val="center"/>
              <w:rPr>
                <w:szCs w:val="21"/>
              </w:rPr>
            </w:pPr>
            <w:r>
              <w:rPr>
                <w:color w:val="000000"/>
                <w:szCs w:val="21"/>
              </w:rPr>
              <w:t>mg/L</w:t>
            </w:r>
          </w:p>
        </w:tc>
        <w:tc>
          <w:tcPr>
            <w:tcW w:w="819" w:type="pct"/>
            <w:vAlign w:val="center"/>
          </w:tcPr>
          <w:p w14:paraId="546EA2DD" w14:textId="77777777" w:rsidR="00B14D53" w:rsidRDefault="00000000">
            <w:pPr>
              <w:jc w:val="center"/>
              <w:rPr>
                <w:szCs w:val="21"/>
              </w:rPr>
            </w:pPr>
            <w:r>
              <w:rPr>
                <w:bCs/>
              </w:rPr>
              <w:t>0.002L</w:t>
            </w:r>
          </w:p>
        </w:tc>
        <w:tc>
          <w:tcPr>
            <w:tcW w:w="819" w:type="pct"/>
            <w:vAlign w:val="center"/>
          </w:tcPr>
          <w:p w14:paraId="336AD9EB" w14:textId="77777777" w:rsidR="00B14D53" w:rsidRDefault="00000000">
            <w:pPr>
              <w:jc w:val="center"/>
              <w:rPr>
                <w:szCs w:val="21"/>
              </w:rPr>
            </w:pPr>
            <w:r>
              <w:rPr>
                <w:bCs/>
              </w:rPr>
              <w:t>0.002L</w:t>
            </w:r>
          </w:p>
        </w:tc>
        <w:tc>
          <w:tcPr>
            <w:tcW w:w="820" w:type="pct"/>
            <w:vAlign w:val="center"/>
          </w:tcPr>
          <w:p w14:paraId="2536D9D9" w14:textId="77777777" w:rsidR="00B14D53" w:rsidRDefault="00000000">
            <w:pPr>
              <w:jc w:val="center"/>
              <w:rPr>
                <w:szCs w:val="21"/>
              </w:rPr>
            </w:pPr>
            <w:r>
              <w:rPr>
                <w:bCs/>
              </w:rPr>
              <w:t>0.002L</w:t>
            </w:r>
          </w:p>
        </w:tc>
        <w:tc>
          <w:tcPr>
            <w:tcW w:w="629" w:type="pct"/>
            <w:vAlign w:val="center"/>
          </w:tcPr>
          <w:p w14:paraId="44502CA1" w14:textId="77777777" w:rsidR="00B14D53" w:rsidRDefault="00000000">
            <w:pPr>
              <w:jc w:val="center"/>
              <w:rPr>
                <w:szCs w:val="21"/>
              </w:rPr>
            </w:pPr>
            <w:r>
              <w:rPr>
                <w:bCs/>
              </w:rPr>
              <w:t>≤0.05</w:t>
            </w:r>
          </w:p>
        </w:tc>
      </w:tr>
      <w:tr w:rsidR="00B14D53" w14:paraId="68C40299" w14:textId="77777777">
        <w:trPr>
          <w:trHeight w:val="418"/>
          <w:jc w:val="center"/>
        </w:trPr>
        <w:tc>
          <w:tcPr>
            <w:tcW w:w="871" w:type="pct"/>
            <w:vAlign w:val="center"/>
          </w:tcPr>
          <w:p w14:paraId="1A6C3933" w14:textId="77777777" w:rsidR="00B14D53" w:rsidRDefault="00000000">
            <w:pPr>
              <w:jc w:val="center"/>
              <w:rPr>
                <w:szCs w:val="21"/>
              </w:rPr>
            </w:pPr>
            <w:r>
              <w:rPr>
                <w:szCs w:val="21"/>
              </w:rPr>
              <w:t>氟化物</w:t>
            </w:r>
          </w:p>
        </w:tc>
        <w:tc>
          <w:tcPr>
            <w:tcW w:w="1039" w:type="pct"/>
            <w:vAlign w:val="center"/>
          </w:tcPr>
          <w:p w14:paraId="44DB2AE6" w14:textId="77777777" w:rsidR="00B14D53" w:rsidRDefault="00000000">
            <w:pPr>
              <w:widowControl/>
              <w:jc w:val="center"/>
              <w:rPr>
                <w:szCs w:val="21"/>
              </w:rPr>
            </w:pPr>
            <w:r>
              <w:rPr>
                <w:color w:val="000000"/>
                <w:szCs w:val="21"/>
              </w:rPr>
              <w:t>mg/L</w:t>
            </w:r>
          </w:p>
        </w:tc>
        <w:tc>
          <w:tcPr>
            <w:tcW w:w="819" w:type="pct"/>
            <w:vAlign w:val="center"/>
          </w:tcPr>
          <w:p w14:paraId="27099D70" w14:textId="77777777" w:rsidR="00B14D53" w:rsidRDefault="00000000">
            <w:pPr>
              <w:jc w:val="center"/>
              <w:rPr>
                <w:szCs w:val="21"/>
              </w:rPr>
            </w:pPr>
            <w:r>
              <w:rPr>
                <w:bCs/>
              </w:rPr>
              <w:t>0.09</w:t>
            </w:r>
          </w:p>
        </w:tc>
        <w:tc>
          <w:tcPr>
            <w:tcW w:w="819" w:type="pct"/>
            <w:vAlign w:val="center"/>
          </w:tcPr>
          <w:p w14:paraId="36E98A09" w14:textId="77777777" w:rsidR="00B14D53" w:rsidRDefault="00000000">
            <w:pPr>
              <w:jc w:val="center"/>
              <w:rPr>
                <w:szCs w:val="21"/>
              </w:rPr>
            </w:pPr>
            <w:r>
              <w:rPr>
                <w:bCs/>
              </w:rPr>
              <w:t>0.05</w:t>
            </w:r>
          </w:p>
        </w:tc>
        <w:tc>
          <w:tcPr>
            <w:tcW w:w="820" w:type="pct"/>
            <w:vAlign w:val="center"/>
          </w:tcPr>
          <w:p w14:paraId="38614586" w14:textId="77777777" w:rsidR="00B14D53" w:rsidRDefault="00000000">
            <w:pPr>
              <w:jc w:val="center"/>
              <w:rPr>
                <w:szCs w:val="21"/>
              </w:rPr>
            </w:pPr>
            <w:r>
              <w:rPr>
                <w:bCs/>
              </w:rPr>
              <w:t>0.08</w:t>
            </w:r>
          </w:p>
        </w:tc>
        <w:tc>
          <w:tcPr>
            <w:tcW w:w="629" w:type="pct"/>
            <w:vAlign w:val="center"/>
          </w:tcPr>
          <w:p w14:paraId="06B4FFBF" w14:textId="77777777" w:rsidR="00B14D53" w:rsidRDefault="00000000">
            <w:pPr>
              <w:jc w:val="center"/>
              <w:rPr>
                <w:szCs w:val="21"/>
              </w:rPr>
            </w:pPr>
            <w:r>
              <w:rPr>
                <w:bCs/>
              </w:rPr>
              <w:t>≤1.0</w:t>
            </w:r>
          </w:p>
        </w:tc>
      </w:tr>
      <w:tr w:rsidR="00B14D53" w14:paraId="16CB6077" w14:textId="77777777">
        <w:trPr>
          <w:trHeight w:val="418"/>
          <w:jc w:val="center"/>
        </w:trPr>
        <w:tc>
          <w:tcPr>
            <w:tcW w:w="871" w:type="pct"/>
            <w:vAlign w:val="center"/>
          </w:tcPr>
          <w:p w14:paraId="42A49AF9" w14:textId="77777777" w:rsidR="00B14D53" w:rsidRDefault="00000000">
            <w:pPr>
              <w:jc w:val="center"/>
              <w:rPr>
                <w:szCs w:val="21"/>
              </w:rPr>
            </w:pPr>
            <w:r>
              <w:rPr>
                <w:szCs w:val="21"/>
              </w:rPr>
              <w:t>汞</w:t>
            </w:r>
          </w:p>
        </w:tc>
        <w:tc>
          <w:tcPr>
            <w:tcW w:w="1039" w:type="pct"/>
            <w:vAlign w:val="center"/>
          </w:tcPr>
          <w:p w14:paraId="3FDA11CE" w14:textId="77777777" w:rsidR="00B14D53" w:rsidRDefault="00000000">
            <w:pPr>
              <w:widowControl/>
              <w:jc w:val="center"/>
              <w:rPr>
                <w:szCs w:val="21"/>
              </w:rPr>
            </w:pPr>
            <w:r>
              <w:rPr>
                <w:color w:val="000000"/>
                <w:szCs w:val="21"/>
              </w:rPr>
              <w:t>mg/L</w:t>
            </w:r>
          </w:p>
        </w:tc>
        <w:tc>
          <w:tcPr>
            <w:tcW w:w="819" w:type="pct"/>
            <w:vAlign w:val="center"/>
          </w:tcPr>
          <w:p w14:paraId="2BE9F363" w14:textId="77777777" w:rsidR="00B14D53" w:rsidRDefault="00000000">
            <w:pPr>
              <w:jc w:val="center"/>
              <w:rPr>
                <w:szCs w:val="21"/>
              </w:rPr>
            </w:pPr>
            <w:r>
              <w:rPr>
                <w:bCs/>
              </w:rPr>
              <w:t>0.00004L</w:t>
            </w:r>
          </w:p>
        </w:tc>
        <w:tc>
          <w:tcPr>
            <w:tcW w:w="819" w:type="pct"/>
            <w:vAlign w:val="center"/>
          </w:tcPr>
          <w:p w14:paraId="492AF7DA" w14:textId="77777777" w:rsidR="00B14D53" w:rsidRDefault="00000000">
            <w:pPr>
              <w:jc w:val="center"/>
              <w:rPr>
                <w:szCs w:val="21"/>
              </w:rPr>
            </w:pPr>
            <w:r>
              <w:rPr>
                <w:bCs/>
              </w:rPr>
              <w:t>0.00004L</w:t>
            </w:r>
          </w:p>
        </w:tc>
        <w:tc>
          <w:tcPr>
            <w:tcW w:w="820" w:type="pct"/>
            <w:vAlign w:val="center"/>
          </w:tcPr>
          <w:p w14:paraId="10734CB3" w14:textId="77777777" w:rsidR="00B14D53" w:rsidRDefault="00000000">
            <w:pPr>
              <w:jc w:val="center"/>
              <w:rPr>
                <w:szCs w:val="21"/>
              </w:rPr>
            </w:pPr>
            <w:r>
              <w:rPr>
                <w:bCs/>
              </w:rPr>
              <w:t>0.00004L</w:t>
            </w:r>
          </w:p>
        </w:tc>
        <w:tc>
          <w:tcPr>
            <w:tcW w:w="629" w:type="pct"/>
            <w:vAlign w:val="center"/>
          </w:tcPr>
          <w:p w14:paraId="32523516" w14:textId="77777777" w:rsidR="00B14D53" w:rsidRDefault="00000000">
            <w:pPr>
              <w:jc w:val="center"/>
              <w:rPr>
                <w:szCs w:val="21"/>
              </w:rPr>
            </w:pPr>
            <w:r>
              <w:rPr>
                <w:bCs/>
              </w:rPr>
              <w:t>≤0.001</w:t>
            </w:r>
          </w:p>
        </w:tc>
      </w:tr>
      <w:tr w:rsidR="00B14D53" w14:paraId="18A6ED6B" w14:textId="77777777">
        <w:trPr>
          <w:trHeight w:val="418"/>
          <w:jc w:val="center"/>
        </w:trPr>
        <w:tc>
          <w:tcPr>
            <w:tcW w:w="871" w:type="pct"/>
            <w:vAlign w:val="center"/>
          </w:tcPr>
          <w:p w14:paraId="1340760C" w14:textId="77777777" w:rsidR="00B14D53" w:rsidRDefault="00000000">
            <w:pPr>
              <w:jc w:val="center"/>
              <w:rPr>
                <w:szCs w:val="21"/>
              </w:rPr>
            </w:pPr>
            <w:r>
              <w:rPr>
                <w:szCs w:val="21"/>
              </w:rPr>
              <w:t>砷</w:t>
            </w:r>
          </w:p>
        </w:tc>
        <w:tc>
          <w:tcPr>
            <w:tcW w:w="1039" w:type="pct"/>
            <w:vAlign w:val="center"/>
          </w:tcPr>
          <w:p w14:paraId="2AFD6268" w14:textId="77777777" w:rsidR="00B14D53" w:rsidRDefault="00000000">
            <w:pPr>
              <w:widowControl/>
              <w:jc w:val="center"/>
              <w:rPr>
                <w:szCs w:val="21"/>
              </w:rPr>
            </w:pPr>
            <w:r>
              <w:rPr>
                <w:color w:val="000000"/>
                <w:szCs w:val="21"/>
              </w:rPr>
              <w:t>mg/L</w:t>
            </w:r>
          </w:p>
        </w:tc>
        <w:tc>
          <w:tcPr>
            <w:tcW w:w="819" w:type="pct"/>
            <w:vAlign w:val="center"/>
          </w:tcPr>
          <w:p w14:paraId="55B50486" w14:textId="77777777" w:rsidR="00B14D53" w:rsidRDefault="00000000">
            <w:pPr>
              <w:jc w:val="center"/>
              <w:rPr>
                <w:szCs w:val="21"/>
              </w:rPr>
            </w:pPr>
            <w:r>
              <w:rPr>
                <w:bCs/>
              </w:rPr>
              <w:t>0.0003L</w:t>
            </w:r>
          </w:p>
        </w:tc>
        <w:tc>
          <w:tcPr>
            <w:tcW w:w="819" w:type="pct"/>
            <w:vAlign w:val="center"/>
          </w:tcPr>
          <w:p w14:paraId="1C7B733B" w14:textId="77777777" w:rsidR="00B14D53" w:rsidRDefault="00000000">
            <w:pPr>
              <w:jc w:val="center"/>
              <w:rPr>
                <w:szCs w:val="21"/>
              </w:rPr>
            </w:pPr>
            <w:r>
              <w:rPr>
                <w:bCs/>
              </w:rPr>
              <w:t>0.0003L</w:t>
            </w:r>
          </w:p>
        </w:tc>
        <w:tc>
          <w:tcPr>
            <w:tcW w:w="820" w:type="pct"/>
            <w:vAlign w:val="center"/>
          </w:tcPr>
          <w:p w14:paraId="47005D26" w14:textId="77777777" w:rsidR="00B14D53" w:rsidRDefault="00000000">
            <w:pPr>
              <w:jc w:val="center"/>
              <w:rPr>
                <w:szCs w:val="21"/>
              </w:rPr>
            </w:pPr>
            <w:r>
              <w:rPr>
                <w:bCs/>
              </w:rPr>
              <w:t>0.0003L</w:t>
            </w:r>
          </w:p>
        </w:tc>
        <w:tc>
          <w:tcPr>
            <w:tcW w:w="629" w:type="pct"/>
            <w:vAlign w:val="center"/>
          </w:tcPr>
          <w:p w14:paraId="740255EA" w14:textId="77777777" w:rsidR="00B14D53" w:rsidRDefault="00000000">
            <w:pPr>
              <w:jc w:val="center"/>
              <w:rPr>
                <w:szCs w:val="21"/>
              </w:rPr>
            </w:pPr>
            <w:r>
              <w:rPr>
                <w:bCs/>
              </w:rPr>
              <w:t>≤0.01</w:t>
            </w:r>
          </w:p>
        </w:tc>
      </w:tr>
      <w:tr w:rsidR="00B14D53" w14:paraId="5C8A3AE9" w14:textId="77777777">
        <w:trPr>
          <w:trHeight w:val="418"/>
          <w:jc w:val="center"/>
        </w:trPr>
        <w:tc>
          <w:tcPr>
            <w:tcW w:w="871" w:type="pct"/>
            <w:vAlign w:val="center"/>
          </w:tcPr>
          <w:p w14:paraId="56EEDBA4" w14:textId="77777777" w:rsidR="00B14D53" w:rsidRDefault="00000000">
            <w:pPr>
              <w:jc w:val="center"/>
              <w:rPr>
                <w:szCs w:val="21"/>
              </w:rPr>
            </w:pPr>
            <w:r>
              <w:rPr>
                <w:szCs w:val="21"/>
              </w:rPr>
              <w:t>镉</w:t>
            </w:r>
          </w:p>
        </w:tc>
        <w:tc>
          <w:tcPr>
            <w:tcW w:w="1039" w:type="pct"/>
            <w:vAlign w:val="center"/>
          </w:tcPr>
          <w:p w14:paraId="246CFE24" w14:textId="77777777" w:rsidR="00B14D53" w:rsidRDefault="00000000">
            <w:pPr>
              <w:widowControl/>
              <w:jc w:val="center"/>
              <w:rPr>
                <w:szCs w:val="21"/>
              </w:rPr>
            </w:pPr>
            <w:r>
              <w:rPr>
                <w:color w:val="000000"/>
                <w:szCs w:val="21"/>
              </w:rPr>
              <w:t>mg/L</w:t>
            </w:r>
          </w:p>
        </w:tc>
        <w:tc>
          <w:tcPr>
            <w:tcW w:w="819" w:type="pct"/>
            <w:vAlign w:val="center"/>
          </w:tcPr>
          <w:p w14:paraId="045E8393" w14:textId="77777777" w:rsidR="00B14D53" w:rsidRDefault="00000000">
            <w:pPr>
              <w:jc w:val="center"/>
              <w:rPr>
                <w:szCs w:val="21"/>
              </w:rPr>
            </w:pPr>
            <w:r>
              <w:rPr>
                <w:bCs/>
              </w:rPr>
              <w:t>0.0005L</w:t>
            </w:r>
          </w:p>
        </w:tc>
        <w:tc>
          <w:tcPr>
            <w:tcW w:w="819" w:type="pct"/>
            <w:vAlign w:val="center"/>
          </w:tcPr>
          <w:p w14:paraId="38EA3F5F" w14:textId="77777777" w:rsidR="00B14D53" w:rsidRDefault="00000000">
            <w:pPr>
              <w:jc w:val="center"/>
              <w:rPr>
                <w:szCs w:val="21"/>
              </w:rPr>
            </w:pPr>
            <w:r>
              <w:rPr>
                <w:bCs/>
              </w:rPr>
              <w:t>0.0005L</w:t>
            </w:r>
          </w:p>
        </w:tc>
        <w:tc>
          <w:tcPr>
            <w:tcW w:w="820" w:type="pct"/>
            <w:vAlign w:val="center"/>
          </w:tcPr>
          <w:p w14:paraId="0D8DF65B" w14:textId="77777777" w:rsidR="00B14D53" w:rsidRDefault="00000000">
            <w:pPr>
              <w:jc w:val="center"/>
              <w:rPr>
                <w:szCs w:val="21"/>
              </w:rPr>
            </w:pPr>
            <w:r>
              <w:rPr>
                <w:bCs/>
              </w:rPr>
              <w:t>0.0005L</w:t>
            </w:r>
          </w:p>
        </w:tc>
        <w:tc>
          <w:tcPr>
            <w:tcW w:w="629" w:type="pct"/>
            <w:vAlign w:val="center"/>
          </w:tcPr>
          <w:p w14:paraId="1A30C88B" w14:textId="77777777" w:rsidR="00B14D53" w:rsidRDefault="00000000">
            <w:pPr>
              <w:jc w:val="center"/>
              <w:rPr>
                <w:szCs w:val="21"/>
              </w:rPr>
            </w:pPr>
            <w:r>
              <w:rPr>
                <w:bCs/>
              </w:rPr>
              <w:t>≤0.005</w:t>
            </w:r>
          </w:p>
        </w:tc>
      </w:tr>
      <w:tr w:rsidR="00B14D53" w14:paraId="4284929B" w14:textId="77777777">
        <w:trPr>
          <w:trHeight w:val="418"/>
          <w:jc w:val="center"/>
        </w:trPr>
        <w:tc>
          <w:tcPr>
            <w:tcW w:w="871" w:type="pct"/>
            <w:vAlign w:val="center"/>
          </w:tcPr>
          <w:p w14:paraId="3E02E23F" w14:textId="77777777" w:rsidR="00B14D53" w:rsidRDefault="00000000">
            <w:pPr>
              <w:jc w:val="center"/>
              <w:rPr>
                <w:szCs w:val="21"/>
              </w:rPr>
            </w:pPr>
            <w:r>
              <w:rPr>
                <w:szCs w:val="21"/>
              </w:rPr>
              <w:t>六价铬</w:t>
            </w:r>
          </w:p>
        </w:tc>
        <w:tc>
          <w:tcPr>
            <w:tcW w:w="1039" w:type="pct"/>
            <w:vAlign w:val="center"/>
          </w:tcPr>
          <w:p w14:paraId="0FAE706B" w14:textId="77777777" w:rsidR="00B14D53" w:rsidRDefault="00000000">
            <w:pPr>
              <w:widowControl/>
              <w:jc w:val="center"/>
              <w:rPr>
                <w:szCs w:val="21"/>
              </w:rPr>
            </w:pPr>
            <w:r>
              <w:rPr>
                <w:color w:val="000000"/>
                <w:szCs w:val="21"/>
              </w:rPr>
              <w:t>mg/L</w:t>
            </w:r>
          </w:p>
        </w:tc>
        <w:tc>
          <w:tcPr>
            <w:tcW w:w="819" w:type="pct"/>
            <w:vAlign w:val="center"/>
          </w:tcPr>
          <w:p w14:paraId="321B7112" w14:textId="77777777" w:rsidR="00B14D53" w:rsidRDefault="00000000">
            <w:pPr>
              <w:jc w:val="center"/>
              <w:rPr>
                <w:szCs w:val="21"/>
              </w:rPr>
            </w:pPr>
            <w:r>
              <w:rPr>
                <w:bCs/>
              </w:rPr>
              <w:t>0.007</w:t>
            </w:r>
          </w:p>
        </w:tc>
        <w:tc>
          <w:tcPr>
            <w:tcW w:w="819" w:type="pct"/>
            <w:vAlign w:val="center"/>
          </w:tcPr>
          <w:p w14:paraId="61CD7BDB" w14:textId="77777777" w:rsidR="00B14D53" w:rsidRDefault="00000000">
            <w:pPr>
              <w:jc w:val="center"/>
              <w:rPr>
                <w:szCs w:val="21"/>
              </w:rPr>
            </w:pPr>
            <w:r>
              <w:rPr>
                <w:bCs/>
              </w:rPr>
              <w:t>0.004L</w:t>
            </w:r>
          </w:p>
        </w:tc>
        <w:tc>
          <w:tcPr>
            <w:tcW w:w="820" w:type="pct"/>
            <w:vAlign w:val="center"/>
          </w:tcPr>
          <w:p w14:paraId="231562DE" w14:textId="77777777" w:rsidR="00B14D53" w:rsidRDefault="00000000">
            <w:pPr>
              <w:jc w:val="center"/>
              <w:rPr>
                <w:szCs w:val="21"/>
              </w:rPr>
            </w:pPr>
            <w:r>
              <w:rPr>
                <w:bCs/>
              </w:rPr>
              <w:t>0.007</w:t>
            </w:r>
          </w:p>
        </w:tc>
        <w:tc>
          <w:tcPr>
            <w:tcW w:w="629" w:type="pct"/>
            <w:vAlign w:val="center"/>
          </w:tcPr>
          <w:p w14:paraId="067E9E1E" w14:textId="77777777" w:rsidR="00B14D53" w:rsidRDefault="00000000">
            <w:pPr>
              <w:jc w:val="center"/>
              <w:rPr>
                <w:szCs w:val="21"/>
              </w:rPr>
            </w:pPr>
            <w:r>
              <w:rPr>
                <w:bCs/>
              </w:rPr>
              <w:t>≤0.05</w:t>
            </w:r>
          </w:p>
        </w:tc>
      </w:tr>
      <w:tr w:rsidR="00B14D53" w14:paraId="361F4A34" w14:textId="77777777">
        <w:trPr>
          <w:trHeight w:val="418"/>
          <w:jc w:val="center"/>
        </w:trPr>
        <w:tc>
          <w:tcPr>
            <w:tcW w:w="871" w:type="pct"/>
            <w:vAlign w:val="center"/>
          </w:tcPr>
          <w:p w14:paraId="72F91681" w14:textId="77777777" w:rsidR="00B14D53" w:rsidRDefault="00000000">
            <w:pPr>
              <w:jc w:val="center"/>
              <w:rPr>
                <w:szCs w:val="21"/>
              </w:rPr>
            </w:pPr>
            <w:r>
              <w:rPr>
                <w:szCs w:val="21"/>
              </w:rPr>
              <w:t>铅</w:t>
            </w:r>
          </w:p>
        </w:tc>
        <w:tc>
          <w:tcPr>
            <w:tcW w:w="1039" w:type="pct"/>
            <w:vAlign w:val="center"/>
          </w:tcPr>
          <w:p w14:paraId="58E136AB" w14:textId="77777777" w:rsidR="00B14D53" w:rsidRDefault="00000000">
            <w:pPr>
              <w:widowControl/>
              <w:jc w:val="center"/>
              <w:rPr>
                <w:szCs w:val="21"/>
              </w:rPr>
            </w:pPr>
            <w:r>
              <w:rPr>
                <w:color w:val="000000"/>
                <w:szCs w:val="21"/>
              </w:rPr>
              <w:t>mg/L</w:t>
            </w:r>
          </w:p>
        </w:tc>
        <w:tc>
          <w:tcPr>
            <w:tcW w:w="819" w:type="pct"/>
            <w:vAlign w:val="center"/>
          </w:tcPr>
          <w:p w14:paraId="52FB15DC" w14:textId="77777777" w:rsidR="00B14D53" w:rsidRDefault="00000000">
            <w:pPr>
              <w:jc w:val="center"/>
              <w:rPr>
                <w:szCs w:val="21"/>
              </w:rPr>
            </w:pPr>
            <w:r>
              <w:rPr>
                <w:bCs/>
              </w:rPr>
              <w:t>0.0025L</w:t>
            </w:r>
          </w:p>
        </w:tc>
        <w:tc>
          <w:tcPr>
            <w:tcW w:w="819" w:type="pct"/>
            <w:vAlign w:val="center"/>
          </w:tcPr>
          <w:p w14:paraId="05828DAA" w14:textId="77777777" w:rsidR="00B14D53" w:rsidRDefault="00000000">
            <w:pPr>
              <w:jc w:val="center"/>
              <w:rPr>
                <w:szCs w:val="21"/>
              </w:rPr>
            </w:pPr>
            <w:r>
              <w:rPr>
                <w:bCs/>
              </w:rPr>
              <w:t>0.0025L</w:t>
            </w:r>
          </w:p>
        </w:tc>
        <w:tc>
          <w:tcPr>
            <w:tcW w:w="820" w:type="pct"/>
            <w:vAlign w:val="center"/>
          </w:tcPr>
          <w:p w14:paraId="7C816615" w14:textId="77777777" w:rsidR="00B14D53" w:rsidRDefault="00000000">
            <w:pPr>
              <w:jc w:val="center"/>
              <w:rPr>
                <w:szCs w:val="21"/>
              </w:rPr>
            </w:pPr>
            <w:r>
              <w:rPr>
                <w:bCs/>
              </w:rPr>
              <w:t>0.0025L</w:t>
            </w:r>
          </w:p>
        </w:tc>
        <w:tc>
          <w:tcPr>
            <w:tcW w:w="629" w:type="pct"/>
            <w:vAlign w:val="center"/>
          </w:tcPr>
          <w:p w14:paraId="0B361DBB" w14:textId="77777777" w:rsidR="00B14D53" w:rsidRDefault="00000000">
            <w:pPr>
              <w:jc w:val="center"/>
              <w:rPr>
                <w:szCs w:val="21"/>
              </w:rPr>
            </w:pPr>
            <w:r>
              <w:rPr>
                <w:bCs/>
              </w:rPr>
              <w:t>≤0.01</w:t>
            </w:r>
          </w:p>
        </w:tc>
      </w:tr>
      <w:tr w:rsidR="00B14D53" w14:paraId="73E306C3" w14:textId="77777777">
        <w:trPr>
          <w:trHeight w:val="418"/>
          <w:jc w:val="center"/>
        </w:trPr>
        <w:tc>
          <w:tcPr>
            <w:tcW w:w="871" w:type="pct"/>
            <w:vAlign w:val="center"/>
          </w:tcPr>
          <w:p w14:paraId="696E7A5D" w14:textId="77777777" w:rsidR="00B14D53" w:rsidRDefault="00000000">
            <w:pPr>
              <w:jc w:val="center"/>
              <w:rPr>
                <w:szCs w:val="21"/>
              </w:rPr>
            </w:pPr>
            <w:r>
              <w:rPr>
                <w:szCs w:val="21"/>
              </w:rPr>
              <w:t>色度</w:t>
            </w:r>
          </w:p>
        </w:tc>
        <w:tc>
          <w:tcPr>
            <w:tcW w:w="1039" w:type="pct"/>
            <w:vAlign w:val="center"/>
          </w:tcPr>
          <w:p w14:paraId="4E593AF2" w14:textId="77777777" w:rsidR="00B14D53" w:rsidRDefault="00000000">
            <w:pPr>
              <w:widowControl/>
              <w:jc w:val="center"/>
              <w:rPr>
                <w:color w:val="000000"/>
                <w:szCs w:val="21"/>
              </w:rPr>
            </w:pPr>
            <w:r>
              <w:rPr>
                <w:color w:val="000000"/>
                <w:szCs w:val="21"/>
              </w:rPr>
              <w:t>倍</w:t>
            </w:r>
          </w:p>
        </w:tc>
        <w:tc>
          <w:tcPr>
            <w:tcW w:w="819" w:type="pct"/>
            <w:vAlign w:val="center"/>
          </w:tcPr>
          <w:p w14:paraId="503724BD" w14:textId="77777777" w:rsidR="00B14D53" w:rsidRDefault="00000000">
            <w:pPr>
              <w:jc w:val="center"/>
              <w:rPr>
                <w:szCs w:val="21"/>
              </w:rPr>
            </w:pPr>
            <w:r>
              <w:rPr>
                <w:bCs/>
              </w:rPr>
              <w:t>10</w:t>
            </w:r>
          </w:p>
        </w:tc>
        <w:tc>
          <w:tcPr>
            <w:tcW w:w="819" w:type="pct"/>
            <w:vAlign w:val="center"/>
          </w:tcPr>
          <w:p w14:paraId="6E8943CB" w14:textId="77777777" w:rsidR="00B14D53" w:rsidRDefault="00000000">
            <w:pPr>
              <w:jc w:val="center"/>
              <w:rPr>
                <w:szCs w:val="21"/>
              </w:rPr>
            </w:pPr>
            <w:r>
              <w:rPr>
                <w:bCs/>
              </w:rPr>
              <w:t>10</w:t>
            </w:r>
          </w:p>
        </w:tc>
        <w:tc>
          <w:tcPr>
            <w:tcW w:w="820" w:type="pct"/>
            <w:vAlign w:val="center"/>
          </w:tcPr>
          <w:p w14:paraId="22FABA7C" w14:textId="77777777" w:rsidR="00B14D53" w:rsidRDefault="00000000">
            <w:pPr>
              <w:jc w:val="center"/>
              <w:rPr>
                <w:szCs w:val="21"/>
              </w:rPr>
            </w:pPr>
            <w:r>
              <w:rPr>
                <w:bCs/>
              </w:rPr>
              <w:t>5</w:t>
            </w:r>
          </w:p>
        </w:tc>
        <w:tc>
          <w:tcPr>
            <w:tcW w:w="629" w:type="pct"/>
            <w:vAlign w:val="center"/>
          </w:tcPr>
          <w:p w14:paraId="07D0E4B7" w14:textId="77777777" w:rsidR="00B14D53" w:rsidRDefault="00000000">
            <w:pPr>
              <w:jc w:val="center"/>
              <w:rPr>
                <w:szCs w:val="21"/>
              </w:rPr>
            </w:pPr>
            <w:r>
              <w:rPr>
                <w:bCs/>
              </w:rPr>
              <w:t>≤15</w:t>
            </w:r>
          </w:p>
        </w:tc>
      </w:tr>
    </w:tbl>
    <w:p w14:paraId="67874F36" w14:textId="77777777" w:rsidR="00B14D53" w:rsidRDefault="00000000">
      <w:pPr>
        <w:jc w:val="center"/>
        <w:rPr>
          <w:b/>
          <w:bCs/>
        </w:rPr>
      </w:pPr>
      <w:r>
        <w:rPr>
          <w:rFonts w:hint="eastAsia"/>
          <w:b/>
          <w:bCs/>
        </w:rPr>
        <w:t>表</w:t>
      </w:r>
      <w:r>
        <w:rPr>
          <w:rFonts w:hint="eastAsia"/>
          <w:b/>
          <w:bCs/>
        </w:rPr>
        <w:t xml:space="preserve">4-2-6 </w:t>
      </w:r>
      <w:r>
        <w:rPr>
          <w:rFonts w:hint="eastAsia"/>
          <w:b/>
          <w:bCs/>
        </w:rPr>
        <w:t>地下水水位监测结果</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987"/>
        <w:gridCol w:w="1552"/>
        <w:gridCol w:w="1820"/>
        <w:gridCol w:w="1520"/>
        <w:gridCol w:w="1427"/>
      </w:tblGrid>
      <w:tr w:rsidR="00B14D53" w14:paraId="7D2159D9" w14:textId="77777777">
        <w:trPr>
          <w:trHeight w:val="326"/>
        </w:trPr>
        <w:tc>
          <w:tcPr>
            <w:tcW w:w="1196" w:type="pct"/>
            <w:vAlign w:val="center"/>
          </w:tcPr>
          <w:p w14:paraId="4CF6CBDE" w14:textId="77777777" w:rsidR="00B14D53" w:rsidRDefault="00000000">
            <w:pPr>
              <w:jc w:val="center"/>
              <w:rPr>
                <w:rFonts w:eastAsiaTheme="minorEastAsia"/>
                <w:b/>
                <w:szCs w:val="21"/>
              </w:rPr>
            </w:pPr>
            <w:r>
              <w:rPr>
                <w:rFonts w:eastAsiaTheme="minorEastAsia" w:hAnsiTheme="minorEastAsia"/>
                <w:b/>
                <w:szCs w:val="21"/>
              </w:rPr>
              <w:t>监测点位</w:t>
            </w:r>
          </w:p>
        </w:tc>
        <w:tc>
          <w:tcPr>
            <w:tcW w:w="934" w:type="pct"/>
            <w:vAlign w:val="center"/>
          </w:tcPr>
          <w:p w14:paraId="32F7EA27" w14:textId="77777777" w:rsidR="00B14D53" w:rsidRDefault="00000000">
            <w:pPr>
              <w:jc w:val="center"/>
              <w:rPr>
                <w:rFonts w:eastAsiaTheme="minorEastAsia"/>
                <w:b/>
                <w:szCs w:val="21"/>
              </w:rPr>
            </w:pPr>
            <w:r>
              <w:rPr>
                <w:rFonts w:eastAsiaTheme="minorEastAsia" w:hAnsiTheme="minorEastAsia"/>
                <w:b/>
                <w:szCs w:val="21"/>
              </w:rPr>
              <w:t>水位</w:t>
            </w:r>
          </w:p>
        </w:tc>
        <w:tc>
          <w:tcPr>
            <w:tcW w:w="1095" w:type="pct"/>
          </w:tcPr>
          <w:p w14:paraId="6BDEA039" w14:textId="77777777" w:rsidR="00B14D53" w:rsidRDefault="00000000">
            <w:pPr>
              <w:jc w:val="center"/>
              <w:rPr>
                <w:rFonts w:eastAsiaTheme="minorEastAsia"/>
                <w:b/>
                <w:szCs w:val="21"/>
              </w:rPr>
            </w:pPr>
            <w:r>
              <w:rPr>
                <w:rFonts w:eastAsiaTheme="minorEastAsia" w:hAnsiTheme="minorEastAsia"/>
                <w:b/>
                <w:szCs w:val="21"/>
              </w:rPr>
              <w:t>监测孔深</w:t>
            </w:r>
          </w:p>
        </w:tc>
        <w:tc>
          <w:tcPr>
            <w:tcW w:w="914" w:type="pct"/>
          </w:tcPr>
          <w:p w14:paraId="56B5A48A" w14:textId="77777777" w:rsidR="00B14D53" w:rsidRDefault="00000000">
            <w:pPr>
              <w:jc w:val="center"/>
              <w:rPr>
                <w:rFonts w:eastAsiaTheme="minorEastAsia"/>
                <w:b/>
                <w:szCs w:val="21"/>
              </w:rPr>
            </w:pPr>
            <w:r>
              <w:rPr>
                <w:rFonts w:eastAsiaTheme="minorEastAsia" w:hAnsiTheme="minorEastAsia"/>
                <w:b/>
                <w:szCs w:val="21"/>
              </w:rPr>
              <w:t>含水层</w:t>
            </w:r>
          </w:p>
        </w:tc>
        <w:tc>
          <w:tcPr>
            <w:tcW w:w="858" w:type="pct"/>
          </w:tcPr>
          <w:p w14:paraId="11762976" w14:textId="77777777" w:rsidR="00B14D53" w:rsidRDefault="00000000">
            <w:pPr>
              <w:jc w:val="center"/>
              <w:rPr>
                <w:rFonts w:eastAsiaTheme="minorEastAsia"/>
                <w:b/>
                <w:szCs w:val="21"/>
              </w:rPr>
            </w:pPr>
            <w:r>
              <w:rPr>
                <w:rFonts w:eastAsiaTheme="minorEastAsia" w:hAnsiTheme="minorEastAsia"/>
                <w:b/>
                <w:szCs w:val="21"/>
              </w:rPr>
              <w:t>功能</w:t>
            </w:r>
          </w:p>
        </w:tc>
      </w:tr>
      <w:tr w:rsidR="00B14D53" w14:paraId="6668BD5B" w14:textId="77777777">
        <w:trPr>
          <w:trHeight w:val="326"/>
        </w:trPr>
        <w:tc>
          <w:tcPr>
            <w:tcW w:w="1196" w:type="pct"/>
            <w:vAlign w:val="center"/>
          </w:tcPr>
          <w:p w14:paraId="0380CCB3" w14:textId="77777777" w:rsidR="00B14D53" w:rsidRDefault="00000000">
            <w:pPr>
              <w:jc w:val="center"/>
              <w:rPr>
                <w:rFonts w:eastAsiaTheme="minorEastAsia"/>
                <w:szCs w:val="21"/>
              </w:rPr>
            </w:pPr>
            <w:r>
              <w:rPr>
                <w:rFonts w:eastAsiaTheme="minorEastAsia" w:hAnsiTheme="minorEastAsia"/>
              </w:rPr>
              <w:t>☆</w:t>
            </w:r>
            <w:r>
              <w:rPr>
                <w:rFonts w:eastAsiaTheme="minorEastAsia"/>
              </w:rPr>
              <w:t>01</w:t>
            </w:r>
          </w:p>
        </w:tc>
        <w:tc>
          <w:tcPr>
            <w:tcW w:w="934" w:type="pct"/>
          </w:tcPr>
          <w:p w14:paraId="7F39B408" w14:textId="77777777" w:rsidR="00B14D53" w:rsidRDefault="00000000">
            <w:pPr>
              <w:jc w:val="center"/>
              <w:rPr>
                <w:rFonts w:eastAsiaTheme="minorEastAsia"/>
              </w:rPr>
            </w:pPr>
            <w:r>
              <w:rPr>
                <w:rFonts w:eastAsiaTheme="minorEastAsia" w:hint="eastAsia"/>
              </w:rPr>
              <w:t>202.5</w:t>
            </w:r>
            <w:r>
              <w:rPr>
                <w:rFonts w:eastAsiaTheme="minorEastAsia"/>
              </w:rPr>
              <w:t>m</w:t>
            </w:r>
          </w:p>
        </w:tc>
        <w:tc>
          <w:tcPr>
            <w:tcW w:w="1095" w:type="pct"/>
          </w:tcPr>
          <w:p w14:paraId="63BCA245" w14:textId="77777777" w:rsidR="00B14D53" w:rsidRDefault="00000000">
            <w:pPr>
              <w:jc w:val="center"/>
              <w:rPr>
                <w:rFonts w:eastAsiaTheme="minorEastAsia"/>
                <w:szCs w:val="22"/>
              </w:rPr>
            </w:pPr>
            <w:r>
              <w:rPr>
                <w:rFonts w:eastAsiaTheme="minorEastAsia" w:hint="eastAsia"/>
              </w:rPr>
              <w:t>40</w:t>
            </w:r>
            <w:r>
              <w:rPr>
                <w:rFonts w:eastAsiaTheme="minorEastAsia"/>
              </w:rPr>
              <w:t>m</w:t>
            </w:r>
          </w:p>
        </w:tc>
        <w:tc>
          <w:tcPr>
            <w:tcW w:w="914" w:type="pct"/>
          </w:tcPr>
          <w:p w14:paraId="56AA2B93" w14:textId="77777777" w:rsidR="00B14D53" w:rsidRDefault="00000000">
            <w:pPr>
              <w:jc w:val="center"/>
              <w:rPr>
                <w:rFonts w:eastAsiaTheme="minorEastAsia"/>
                <w:szCs w:val="22"/>
              </w:rPr>
            </w:pPr>
            <w:r>
              <w:rPr>
                <w:rFonts w:eastAsiaTheme="minorEastAsia" w:hAnsiTheme="minorEastAsia" w:hint="eastAsia"/>
              </w:rPr>
              <w:t>潜</w:t>
            </w:r>
            <w:r>
              <w:rPr>
                <w:rFonts w:eastAsiaTheme="minorEastAsia" w:hAnsiTheme="minorEastAsia"/>
              </w:rPr>
              <w:t>水层</w:t>
            </w:r>
          </w:p>
        </w:tc>
        <w:tc>
          <w:tcPr>
            <w:tcW w:w="858" w:type="pct"/>
          </w:tcPr>
          <w:p w14:paraId="59567F91" w14:textId="77777777" w:rsidR="00B14D53" w:rsidRDefault="00000000">
            <w:pPr>
              <w:jc w:val="center"/>
              <w:rPr>
                <w:rFonts w:eastAsiaTheme="minorEastAsia"/>
                <w:szCs w:val="22"/>
              </w:rPr>
            </w:pPr>
            <w:r>
              <w:rPr>
                <w:rFonts w:eastAsiaTheme="minorEastAsia" w:hint="eastAsia"/>
                <w:szCs w:val="22"/>
              </w:rPr>
              <w:t>灌溉井</w:t>
            </w:r>
          </w:p>
        </w:tc>
      </w:tr>
      <w:tr w:rsidR="00B14D53" w14:paraId="490EC02F" w14:textId="77777777">
        <w:trPr>
          <w:trHeight w:val="326"/>
        </w:trPr>
        <w:tc>
          <w:tcPr>
            <w:tcW w:w="1196" w:type="pct"/>
            <w:vAlign w:val="center"/>
          </w:tcPr>
          <w:p w14:paraId="5B354A89" w14:textId="77777777" w:rsidR="00B14D53" w:rsidRDefault="00000000">
            <w:pPr>
              <w:jc w:val="center"/>
              <w:rPr>
                <w:rFonts w:eastAsiaTheme="minorEastAsia"/>
                <w:szCs w:val="21"/>
              </w:rPr>
            </w:pPr>
            <w:r>
              <w:rPr>
                <w:rFonts w:eastAsiaTheme="minorEastAsia" w:hAnsiTheme="minorEastAsia"/>
              </w:rPr>
              <w:t>☆</w:t>
            </w:r>
            <w:r>
              <w:rPr>
                <w:rFonts w:eastAsiaTheme="minorEastAsia"/>
              </w:rPr>
              <w:t>02</w:t>
            </w:r>
          </w:p>
        </w:tc>
        <w:tc>
          <w:tcPr>
            <w:tcW w:w="934" w:type="pct"/>
          </w:tcPr>
          <w:p w14:paraId="26795AFD" w14:textId="77777777" w:rsidR="00B14D53" w:rsidRDefault="00000000">
            <w:pPr>
              <w:jc w:val="center"/>
              <w:rPr>
                <w:rFonts w:eastAsiaTheme="minorEastAsia"/>
              </w:rPr>
            </w:pPr>
            <w:r>
              <w:rPr>
                <w:rFonts w:eastAsiaTheme="minorEastAsia" w:hint="eastAsia"/>
              </w:rPr>
              <w:t>202.1</w:t>
            </w:r>
            <w:r>
              <w:rPr>
                <w:rFonts w:eastAsiaTheme="minorEastAsia"/>
              </w:rPr>
              <w:t>m</w:t>
            </w:r>
          </w:p>
        </w:tc>
        <w:tc>
          <w:tcPr>
            <w:tcW w:w="1095" w:type="pct"/>
          </w:tcPr>
          <w:p w14:paraId="18A460FF" w14:textId="77777777" w:rsidR="00B14D53" w:rsidRDefault="00000000">
            <w:pPr>
              <w:jc w:val="center"/>
              <w:rPr>
                <w:rFonts w:eastAsiaTheme="minorEastAsia"/>
                <w:szCs w:val="22"/>
              </w:rPr>
            </w:pPr>
            <w:r>
              <w:rPr>
                <w:rFonts w:eastAsiaTheme="minorEastAsia" w:hint="eastAsia"/>
              </w:rPr>
              <w:t>42</w:t>
            </w:r>
            <w:r>
              <w:rPr>
                <w:rFonts w:eastAsiaTheme="minorEastAsia"/>
              </w:rPr>
              <w:t>m</w:t>
            </w:r>
          </w:p>
        </w:tc>
        <w:tc>
          <w:tcPr>
            <w:tcW w:w="914" w:type="pct"/>
          </w:tcPr>
          <w:p w14:paraId="7529DC3E" w14:textId="77777777" w:rsidR="00B14D53" w:rsidRDefault="00000000">
            <w:pPr>
              <w:jc w:val="center"/>
              <w:rPr>
                <w:rFonts w:eastAsiaTheme="minorEastAsia"/>
                <w:szCs w:val="22"/>
              </w:rPr>
            </w:pPr>
            <w:r>
              <w:rPr>
                <w:rFonts w:eastAsiaTheme="minorEastAsia" w:hAnsiTheme="minorEastAsia" w:hint="eastAsia"/>
              </w:rPr>
              <w:t>潜</w:t>
            </w:r>
            <w:r>
              <w:rPr>
                <w:rFonts w:eastAsiaTheme="minorEastAsia" w:hAnsiTheme="minorEastAsia"/>
              </w:rPr>
              <w:t>水层</w:t>
            </w:r>
          </w:p>
        </w:tc>
        <w:tc>
          <w:tcPr>
            <w:tcW w:w="858" w:type="pct"/>
          </w:tcPr>
          <w:p w14:paraId="61F32CE9" w14:textId="77777777" w:rsidR="00B14D53" w:rsidRDefault="00000000">
            <w:pPr>
              <w:jc w:val="center"/>
              <w:rPr>
                <w:rFonts w:eastAsiaTheme="minorEastAsia"/>
                <w:szCs w:val="22"/>
              </w:rPr>
            </w:pPr>
            <w:r>
              <w:rPr>
                <w:rFonts w:eastAsiaTheme="minorEastAsia" w:hint="eastAsia"/>
                <w:szCs w:val="22"/>
              </w:rPr>
              <w:t>监测井</w:t>
            </w:r>
          </w:p>
        </w:tc>
      </w:tr>
      <w:tr w:rsidR="00B14D53" w14:paraId="2EC193BD" w14:textId="77777777">
        <w:trPr>
          <w:trHeight w:val="326"/>
        </w:trPr>
        <w:tc>
          <w:tcPr>
            <w:tcW w:w="1196" w:type="pct"/>
            <w:vAlign w:val="center"/>
          </w:tcPr>
          <w:p w14:paraId="55EFA73C" w14:textId="77777777" w:rsidR="00B14D53" w:rsidRDefault="00000000">
            <w:pPr>
              <w:jc w:val="center"/>
              <w:rPr>
                <w:rFonts w:eastAsiaTheme="minorEastAsia"/>
                <w:szCs w:val="21"/>
              </w:rPr>
            </w:pPr>
            <w:r>
              <w:rPr>
                <w:rFonts w:eastAsiaTheme="minorEastAsia" w:hAnsiTheme="minorEastAsia"/>
              </w:rPr>
              <w:t>☆</w:t>
            </w:r>
            <w:r>
              <w:rPr>
                <w:rFonts w:eastAsiaTheme="minorEastAsia"/>
              </w:rPr>
              <w:t>03</w:t>
            </w:r>
          </w:p>
        </w:tc>
        <w:tc>
          <w:tcPr>
            <w:tcW w:w="934" w:type="pct"/>
          </w:tcPr>
          <w:p w14:paraId="65EF92AB" w14:textId="77777777" w:rsidR="00B14D53" w:rsidRDefault="00000000">
            <w:pPr>
              <w:jc w:val="center"/>
              <w:rPr>
                <w:rFonts w:eastAsiaTheme="minorEastAsia"/>
              </w:rPr>
            </w:pPr>
            <w:r>
              <w:rPr>
                <w:rFonts w:eastAsiaTheme="minorEastAsia" w:hint="eastAsia"/>
              </w:rPr>
              <w:t>200.3</w:t>
            </w:r>
            <w:r>
              <w:rPr>
                <w:rFonts w:eastAsiaTheme="minorEastAsia"/>
              </w:rPr>
              <w:t>m</w:t>
            </w:r>
          </w:p>
        </w:tc>
        <w:tc>
          <w:tcPr>
            <w:tcW w:w="1095" w:type="pct"/>
          </w:tcPr>
          <w:p w14:paraId="32DA9D36" w14:textId="77777777" w:rsidR="00B14D53" w:rsidRDefault="00000000">
            <w:pPr>
              <w:jc w:val="center"/>
              <w:rPr>
                <w:rFonts w:eastAsiaTheme="minorEastAsia"/>
                <w:szCs w:val="22"/>
              </w:rPr>
            </w:pPr>
            <w:r>
              <w:rPr>
                <w:rFonts w:eastAsiaTheme="minorEastAsia" w:hint="eastAsia"/>
              </w:rPr>
              <w:t>20</w:t>
            </w:r>
            <w:r>
              <w:rPr>
                <w:rFonts w:eastAsiaTheme="minorEastAsia"/>
              </w:rPr>
              <w:t>m</w:t>
            </w:r>
          </w:p>
        </w:tc>
        <w:tc>
          <w:tcPr>
            <w:tcW w:w="914" w:type="pct"/>
          </w:tcPr>
          <w:p w14:paraId="07CDFA76" w14:textId="77777777" w:rsidR="00B14D53" w:rsidRDefault="00000000">
            <w:pPr>
              <w:jc w:val="center"/>
              <w:rPr>
                <w:rFonts w:eastAsiaTheme="minorEastAsia"/>
                <w:szCs w:val="22"/>
              </w:rPr>
            </w:pPr>
            <w:r>
              <w:rPr>
                <w:rFonts w:eastAsiaTheme="minorEastAsia" w:hAnsiTheme="minorEastAsia" w:hint="eastAsia"/>
              </w:rPr>
              <w:t>潜</w:t>
            </w:r>
            <w:r>
              <w:rPr>
                <w:rFonts w:eastAsiaTheme="minorEastAsia" w:hAnsiTheme="minorEastAsia"/>
              </w:rPr>
              <w:t>水层</w:t>
            </w:r>
          </w:p>
        </w:tc>
        <w:tc>
          <w:tcPr>
            <w:tcW w:w="858" w:type="pct"/>
          </w:tcPr>
          <w:p w14:paraId="040E2C2E" w14:textId="77777777" w:rsidR="00B14D53" w:rsidRDefault="00000000">
            <w:pPr>
              <w:jc w:val="center"/>
              <w:rPr>
                <w:rFonts w:eastAsiaTheme="minorEastAsia"/>
                <w:szCs w:val="22"/>
              </w:rPr>
            </w:pPr>
            <w:r>
              <w:rPr>
                <w:rFonts w:eastAsiaTheme="minorEastAsia" w:hint="eastAsia"/>
                <w:szCs w:val="22"/>
              </w:rPr>
              <w:t>灌溉井</w:t>
            </w:r>
          </w:p>
        </w:tc>
      </w:tr>
      <w:tr w:rsidR="00B14D53" w14:paraId="5F950001" w14:textId="77777777">
        <w:trPr>
          <w:trHeight w:val="326"/>
        </w:trPr>
        <w:tc>
          <w:tcPr>
            <w:tcW w:w="1196" w:type="pct"/>
            <w:vAlign w:val="center"/>
          </w:tcPr>
          <w:p w14:paraId="534D87E2" w14:textId="77777777" w:rsidR="00B14D53" w:rsidRDefault="00000000">
            <w:pPr>
              <w:jc w:val="center"/>
              <w:rPr>
                <w:rFonts w:eastAsiaTheme="minorEastAsia"/>
                <w:szCs w:val="21"/>
              </w:rPr>
            </w:pPr>
            <w:r>
              <w:rPr>
                <w:rFonts w:eastAsiaTheme="minorEastAsia" w:hAnsiTheme="minorEastAsia"/>
              </w:rPr>
              <w:t>☆</w:t>
            </w:r>
            <w:r>
              <w:rPr>
                <w:rFonts w:eastAsiaTheme="minorEastAsia"/>
              </w:rPr>
              <w:t>0</w:t>
            </w:r>
            <w:r>
              <w:rPr>
                <w:rFonts w:eastAsiaTheme="minorEastAsia" w:hint="eastAsia"/>
              </w:rPr>
              <w:t>4</w:t>
            </w:r>
          </w:p>
        </w:tc>
        <w:tc>
          <w:tcPr>
            <w:tcW w:w="934" w:type="pct"/>
          </w:tcPr>
          <w:p w14:paraId="6062DB37" w14:textId="77777777" w:rsidR="00B14D53" w:rsidRDefault="00000000">
            <w:pPr>
              <w:jc w:val="center"/>
              <w:rPr>
                <w:rFonts w:eastAsiaTheme="minorEastAsia"/>
              </w:rPr>
            </w:pPr>
            <w:r>
              <w:rPr>
                <w:rFonts w:eastAsiaTheme="minorEastAsia" w:hint="eastAsia"/>
              </w:rPr>
              <w:t>203</w:t>
            </w:r>
            <w:r>
              <w:rPr>
                <w:rFonts w:eastAsiaTheme="minorEastAsia"/>
              </w:rPr>
              <w:t>m</w:t>
            </w:r>
          </w:p>
        </w:tc>
        <w:tc>
          <w:tcPr>
            <w:tcW w:w="1095" w:type="pct"/>
          </w:tcPr>
          <w:p w14:paraId="4B80BF52" w14:textId="77777777" w:rsidR="00B14D53" w:rsidRDefault="00000000">
            <w:pPr>
              <w:jc w:val="center"/>
              <w:rPr>
                <w:rFonts w:eastAsiaTheme="minorEastAsia"/>
                <w:szCs w:val="22"/>
              </w:rPr>
            </w:pPr>
            <w:r>
              <w:rPr>
                <w:rFonts w:eastAsiaTheme="minorEastAsia" w:hint="eastAsia"/>
              </w:rPr>
              <w:t>28</w:t>
            </w:r>
            <w:r>
              <w:rPr>
                <w:rFonts w:eastAsiaTheme="minorEastAsia"/>
              </w:rPr>
              <w:t>m</w:t>
            </w:r>
          </w:p>
        </w:tc>
        <w:tc>
          <w:tcPr>
            <w:tcW w:w="914" w:type="pct"/>
          </w:tcPr>
          <w:p w14:paraId="25388DAC" w14:textId="77777777" w:rsidR="00B14D53" w:rsidRDefault="00000000">
            <w:pPr>
              <w:jc w:val="center"/>
              <w:rPr>
                <w:rFonts w:eastAsiaTheme="minorEastAsia"/>
                <w:szCs w:val="22"/>
              </w:rPr>
            </w:pPr>
            <w:r>
              <w:rPr>
                <w:rFonts w:eastAsiaTheme="minorEastAsia" w:hAnsiTheme="minorEastAsia" w:hint="eastAsia"/>
              </w:rPr>
              <w:t>潜</w:t>
            </w:r>
            <w:r>
              <w:rPr>
                <w:rFonts w:eastAsiaTheme="minorEastAsia" w:hAnsiTheme="minorEastAsia"/>
              </w:rPr>
              <w:t>水层</w:t>
            </w:r>
          </w:p>
        </w:tc>
        <w:tc>
          <w:tcPr>
            <w:tcW w:w="858" w:type="pct"/>
          </w:tcPr>
          <w:p w14:paraId="059FD402" w14:textId="77777777" w:rsidR="00B14D53" w:rsidRDefault="00000000">
            <w:pPr>
              <w:jc w:val="center"/>
              <w:rPr>
                <w:rFonts w:eastAsiaTheme="minorEastAsia"/>
                <w:szCs w:val="22"/>
              </w:rPr>
            </w:pPr>
            <w:r>
              <w:rPr>
                <w:rFonts w:eastAsiaTheme="minorEastAsia" w:hint="eastAsia"/>
                <w:szCs w:val="22"/>
              </w:rPr>
              <w:t>灌溉井</w:t>
            </w:r>
          </w:p>
        </w:tc>
      </w:tr>
      <w:tr w:rsidR="00B14D53" w14:paraId="38D762C5" w14:textId="77777777">
        <w:trPr>
          <w:trHeight w:val="326"/>
        </w:trPr>
        <w:tc>
          <w:tcPr>
            <w:tcW w:w="1196" w:type="pct"/>
            <w:vAlign w:val="center"/>
          </w:tcPr>
          <w:p w14:paraId="722E17CD" w14:textId="77777777" w:rsidR="00B14D53" w:rsidRDefault="00000000">
            <w:pPr>
              <w:jc w:val="center"/>
              <w:rPr>
                <w:rFonts w:eastAsiaTheme="minorEastAsia" w:hAnsiTheme="minorEastAsia" w:hint="eastAsia"/>
              </w:rPr>
            </w:pPr>
            <w:r>
              <w:rPr>
                <w:rFonts w:eastAsiaTheme="minorEastAsia" w:hAnsiTheme="minorEastAsia"/>
                <w:szCs w:val="21"/>
              </w:rPr>
              <w:t>☆</w:t>
            </w:r>
            <w:r>
              <w:rPr>
                <w:rFonts w:eastAsiaTheme="minorEastAsia"/>
                <w:szCs w:val="21"/>
              </w:rPr>
              <w:t>0</w:t>
            </w:r>
            <w:r>
              <w:rPr>
                <w:rFonts w:eastAsiaTheme="minorEastAsia" w:hint="eastAsia"/>
                <w:szCs w:val="21"/>
              </w:rPr>
              <w:t>5</w:t>
            </w:r>
          </w:p>
        </w:tc>
        <w:tc>
          <w:tcPr>
            <w:tcW w:w="934" w:type="pct"/>
          </w:tcPr>
          <w:p w14:paraId="6D5413D3" w14:textId="77777777" w:rsidR="00B14D53" w:rsidRDefault="00000000">
            <w:pPr>
              <w:jc w:val="center"/>
              <w:rPr>
                <w:rFonts w:eastAsiaTheme="minorEastAsia"/>
              </w:rPr>
            </w:pPr>
            <w:r>
              <w:rPr>
                <w:rFonts w:eastAsiaTheme="minorEastAsia" w:hint="eastAsia"/>
              </w:rPr>
              <w:t>201.8m</w:t>
            </w:r>
          </w:p>
        </w:tc>
        <w:tc>
          <w:tcPr>
            <w:tcW w:w="1095" w:type="pct"/>
          </w:tcPr>
          <w:p w14:paraId="4D896556" w14:textId="77777777" w:rsidR="00B14D53" w:rsidRDefault="00000000">
            <w:pPr>
              <w:jc w:val="center"/>
              <w:rPr>
                <w:rFonts w:eastAsiaTheme="minorEastAsia"/>
              </w:rPr>
            </w:pPr>
            <w:r>
              <w:rPr>
                <w:rFonts w:eastAsiaTheme="minorEastAsia" w:hint="eastAsia"/>
              </w:rPr>
              <w:t>30m</w:t>
            </w:r>
          </w:p>
        </w:tc>
        <w:tc>
          <w:tcPr>
            <w:tcW w:w="914" w:type="pct"/>
          </w:tcPr>
          <w:p w14:paraId="2B016C6F" w14:textId="77777777" w:rsidR="00B14D53" w:rsidRDefault="00000000">
            <w:pPr>
              <w:jc w:val="center"/>
              <w:rPr>
                <w:rFonts w:eastAsiaTheme="minorEastAsia" w:hAnsiTheme="minorEastAsia" w:hint="eastAsia"/>
              </w:rPr>
            </w:pPr>
            <w:r>
              <w:rPr>
                <w:rFonts w:eastAsiaTheme="minorEastAsia" w:hAnsiTheme="minorEastAsia" w:hint="eastAsia"/>
              </w:rPr>
              <w:t>潜</w:t>
            </w:r>
            <w:r>
              <w:rPr>
                <w:rFonts w:eastAsiaTheme="minorEastAsia" w:hAnsiTheme="minorEastAsia"/>
              </w:rPr>
              <w:t>水层</w:t>
            </w:r>
          </w:p>
        </w:tc>
        <w:tc>
          <w:tcPr>
            <w:tcW w:w="858" w:type="pct"/>
          </w:tcPr>
          <w:p w14:paraId="70A9B025" w14:textId="77777777" w:rsidR="00B14D53" w:rsidRDefault="00000000">
            <w:pPr>
              <w:jc w:val="center"/>
              <w:rPr>
                <w:rFonts w:eastAsiaTheme="minorEastAsia"/>
                <w:szCs w:val="22"/>
              </w:rPr>
            </w:pPr>
            <w:r>
              <w:rPr>
                <w:rFonts w:eastAsiaTheme="minorEastAsia" w:hint="eastAsia"/>
                <w:szCs w:val="22"/>
              </w:rPr>
              <w:t>灌溉井</w:t>
            </w:r>
          </w:p>
        </w:tc>
      </w:tr>
      <w:tr w:rsidR="00B14D53" w14:paraId="32FCB349" w14:textId="77777777">
        <w:trPr>
          <w:trHeight w:val="326"/>
        </w:trPr>
        <w:tc>
          <w:tcPr>
            <w:tcW w:w="1196" w:type="pct"/>
            <w:vAlign w:val="center"/>
          </w:tcPr>
          <w:p w14:paraId="39F4E5A0" w14:textId="77777777" w:rsidR="00B14D53" w:rsidRDefault="00000000">
            <w:pPr>
              <w:jc w:val="center"/>
              <w:rPr>
                <w:rFonts w:eastAsiaTheme="minorEastAsia" w:hAnsiTheme="minorEastAsia" w:hint="eastAsia"/>
              </w:rPr>
            </w:pPr>
            <w:r>
              <w:rPr>
                <w:rFonts w:eastAsiaTheme="minorEastAsia" w:hAnsiTheme="minorEastAsia"/>
                <w:szCs w:val="21"/>
              </w:rPr>
              <w:t>☆</w:t>
            </w:r>
            <w:r>
              <w:rPr>
                <w:rFonts w:eastAsiaTheme="minorEastAsia"/>
                <w:szCs w:val="21"/>
              </w:rPr>
              <w:t>0</w:t>
            </w:r>
            <w:r>
              <w:rPr>
                <w:rFonts w:eastAsiaTheme="minorEastAsia" w:hint="eastAsia"/>
                <w:szCs w:val="21"/>
              </w:rPr>
              <w:t>6</w:t>
            </w:r>
          </w:p>
        </w:tc>
        <w:tc>
          <w:tcPr>
            <w:tcW w:w="934" w:type="pct"/>
          </w:tcPr>
          <w:p w14:paraId="0319FE99" w14:textId="77777777" w:rsidR="00B14D53" w:rsidRDefault="00000000">
            <w:pPr>
              <w:jc w:val="center"/>
              <w:rPr>
                <w:rFonts w:eastAsiaTheme="minorEastAsia"/>
              </w:rPr>
            </w:pPr>
            <w:r>
              <w:rPr>
                <w:rFonts w:eastAsiaTheme="minorEastAsia" w:hint="eastAsia"/>
              </w:rPr>
              <w:t>200.5m</w:t>
            </w:r>
          </w:p>
        </w:tc>
        <w:tc>
          <w:tcPr>
            <w:tcW w:w="1095" w:type="pct"/>
          </w:tcPr>
          <w:p w14:paraId="1748F466" w14:textId="77777777" w:rsidR="00B14D53" w:rsidRDefault="00000000">
            <w:pPr>
              <w:jc w:val="center"/>
              <w:rPr>
                <w:rFonts w:eastAsiaTheme="minorEastAsia"/>
              </w:rPr>
            </w:pPr>
            <w:r>
              <w:rPr>
                <w:rFonts w:eastAsiaTheme="minorEastAsia" w:hint="eastAsia"/>
              </w:rPr>
              <w:t>28m</w:t>
            </w:r>
          </w:p>
        </w:tc>
        <w:tc>
          <w:tcPr>
            <w:tcW w:w="914" w:type="pct"/>
          </w:tcPr>
          <w:p w14:paraId="64D4A51A" w14:textId="77777777" w:rsidR="00B14D53" w:rsidRDefault="00000000">
            <w:pPr>
              <w:jc w:val="center"/>
              <w:rPr>
                <w:rFonts w:eastAsiaTheme="minorEastAsia" w:hAnsiTheme="minorEastAsia" w:hint="eastAsia"/>
              </w:rPr>
            </w:pPr>
            <w:r>
              <w:rPr>
                <w:rFonts w:eastAsiaTheme="minorEastAsia" w:hAnsiTheme="minorEastAsia" w:hint="eastAsia"/>
              </w:rPr>
              <w:t>潜</w:t>
            </w:r>
            <w:r>
              <w:rPr>
                <w:rFonts w:eastAsiaTheme="minorEastAsia" w:hAnsiTheme="minorEastAsia"/>
              </w:rPr>
              <w:t>水层</w:t>
            </w:r>
          </w:p>
        </w:tc>
        <w:tc>
          <w:tcPr>
            <w:tcW w:w="858" w:type="pct"/>
          </w:tcPr>
          <w:p w14:paraId="4CCEC231" w14:textId="77777777" w:rsidR="00B14D53" w:rsidRDefault="00000000">
            <w:pPr>
              <w:jc w:val="center"/>
              <w:rPr>
                <w:rFonts w:eastAsiaTheme="minorEastAsia"/>
                <w:szCs w:val="22"/>
              </w:rPr>
            </w:pPr>
            <w:r>
              <w:rPr>
                <w:rFonts w:eastAsiaTheme="minorEastAsia" w:hint="eastAsia"/>
                <w:szCs w:val="22"/>
              </w:rPr>
              <w:t>灌溉井</w:t>
            </w:r>
          </w:p>
        </w:tc>
      </w:tr>
    </w:tbl>
    <w:p w14:paraId="2376B710"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4.2.3.2</w:t>
      </w:r>
      <w:r>
        <w:rPr>
          <w:rFonts w:ascii="Times New Roman" w:eastAsia="黑体" w:hAnsi="Times New Roman" w:cs="Times New Roman"/>
          <w:b w:val="0"/>
          <w:bCs w:val="0"/>
          <w:sz w:val="24"/>
          <w:szCs w:val="24"/>
        </w:rPr>
        <w:t>地下水环境现状评价</w:t>
      </w:r>
    </w:p>
    <w:p w14:paraId="1C59957D"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w:t>
      </w:r>
      <w:r>
        <w:rPr>
          <w:rFonts w:eastAsiaTheme="minorEastAsia"/>
          <w:sz w:val="24"/>
        </w:rPr>
        <w:t>1</w:t>
      </w:r>
      <w:r>
        <w:rPr>
          <w:rFonts w:eastAsiaTheme="minorEastAsia" w:hAnsiTheme="minorEastAsia"/>
          <w:sz w:val="24"/>
        </w:rPr>
        <w:t>）评价标准</w:t>
      </w:r>
    </w:p>
    <w:p w14:paraId="33C8AA7D"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采用《地下水质量标准》（</w:t>
      </w:r>
      <w:r>
        <w:rPr>
          <w:rFonts w:eastAsiaTheme="minorEastAsia"/>
          <w:sz w:val="24"/>
        </w:rPr>
        <w:t>GB/T14848-2017</w:t>
      </w:r>
      <w:r>
        <w:rPr>
          <w:rFonts w:eastAsiaTheme="minorEastAsia" w:hAnsiTheme="minorEastAsia"/>
          <w:sz w:val="24"/>
        </w:rPr>
        <w:t>）中Ⅲ类标准。</w:t>
      </w:r>
    </w:p>
    <w:p w14:paraId="34413B3A"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w:t>
      </w:r>
      <w:r>
        <w:rPr>
          <w:rFonts w:eastAsiaTheme="minorEastAsia"/>
          <w:sz w:val="24"/>
        </w:rPr>
        <w:t>2</w:t>
      </w:r>
      <w:r>
        <w:rPr>
          <w:rFonts w:eastAsiaTheme="minorEastAsia" w:hAnsiTheme="minorEastAsia"/>
          <w:sz w:val="24"/>
        </w:rPr>
        <w:t>）评价方法</w:t>
      </w:r>
    </w:p>
    <w:p w14:paraId="4589F44A"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①水质现状评价</w:t>
      </w:r>
    </w:p>
    <w:p w14:paraId="586D9B04" w14:textId="77777777" w:rsidR="00B14D53" w:rsidRDefault="00000000">
      <w:pPr>
        <w:spacing w:line="360" w:lineRule="auto"/>
        <w:rPr>
          <w:rFonts w:eastAsiaTheme="minorEastAsia"/>
          <w:kern w:val="0"/>
          <w:sz w:val="24"/>
          <w:lang w:val="zh-CN"/>
        </w:rPr>
      </w:pPr>
      <w:r>
        <w:rPr>
          <w:rFonts w:eastAsiaTheme="minorEastAsia" w:hAnsiTheme="minorEastAsia"/>
          <w:kern w:val="0"/>
          <w:sz w:val="24"/>
          <w:lang w:val="zh-CN"/>
        </w:rPr>
        <w:t>采用单项标准指数法对地下水现状监测结果进行评价，评价模式如下：</w:t>
      </w:r>
    </w:p>
    <w:p w14:paraId="7FE0C403" w14:textId="77777777" w:rsidR="00B14D53" w:rsidRDefault="00000000">
      <w:pPr>
        <w:spacing w:line="360" w:lineRule="auto"/>
        <w:jc w:val="center"/>
        <w:rPr>
          <w:rFonts w:eastAsiaTheme="minorEastAsia"/>
          <w:snapToGrid w:val="0"/>
          <w:kern w:val="0"/>
          <w:sz w:val="24"/>
        </w:rPr>
      </w:pPr>
      <w:r>
        <w:rPr>
          <w:rFonts w:eastAsiaTheme="minorEastAsia"/>
          <w:snapToGrid w:val="0"/>
          <w:kern w:val="0"/>
          <w:sz w:val="24"/>
        </w:rPr>
        <w:t>P</w:t>
      </w:r>
      <w:r>
        <w:rPr>
          <w:rFonts w:eastAsiaTheme="minorEastAsia"/>
          <w:snapToGrid w:val="0"/>
          <w:kern w:val="0"/>
          <w:sz w:val="24"/>
          <w:vertAlign w:val="subscript"/>
        </w:rPr>
        <w:t>i</w:t>
      </w:r>
      <w:r>
        <w:rPr>
          <w:rFonts w:eastAsiaTheme="minorEastAsia"/>
          <w:snapToGrid w:val="0"/>
          <w:kern w:val="0"/>
          <w:sz w:val="24"/>
        </w:rPr>
        <w:t>=C</w:t>
      </w:r>
      <w:r>
        <w:rPr>
          <w:rFonts w:eastAsiaTheme="minorEastAsia"/>
          <w:snapToGrid w:val="0"/>
          <w:kern w:val="0"/>
          <w:sz w:val="24"/>
          <w:vertAlign w:val="subscript"/>
        </w:rPr>
        <w:t>i</w:t>
      </w:r>
      <w:r>
        <w:rPr>
          <w:rFonts w:eastAsiaTheme="minorEastAsia"/>
          <w:snapToGrid w:val="0"/>
          <w:kern w:val="0"/>
          <w:sz w:val="24"/>
        </w:rPr>
        <w:t>/C</w:t>
      </w:r>
      <w:r>
        <w:rPr>
          <w:rFonts w:eastAsiaTheme="minorEastAsia"/>
          <w:snapToGrid w:val="0"/>
          <w:kern w:val="0"/>
          <w:sz w:val="24"/>
          <w:vertAlign w:val="subscript"/>
        </w:rPr>
        <w:t>si</w:t>
      </w:r>
    </w:p>
    <w:p w14:paraId="6CCCA5F1" w14:textId="77777777" w:rsidR="00B14D53" w:rsidRDefault="00000000">
      <w:pPr>
        <w:spacing w:line="360" w:lineRule="auto"/>
        <w:rPr>
          <w:rFonts w:eastAsiaTheme="minorEastAsia"/>
          <w:snapToGrid w:val="0"/>
          <w:kern w:val="0"/>
          <w:sz w:val="24"/>
        </w:rPr>
      </w:pPr>
      <w:r>
        <w:rPr>
          <w:rFonts w:eastAsiaTheme="minorEastAsia"/>
          <w:snapToGrid w:val="0"/>
          <w:kern w:val="0"/>
          <w:sz w:val="24"/>
        </w:rPr>
        <w:t xml:space="preserve">     </w:t>
      </w:r>
      <w:r>
        <w:rPr>
          <w:rFonts w:eastAsiaTheme="minorEastAsia" w:hAnsiTheme="minorEastAsia"/>
          <w:snapToGrid w:val="0"/>
          <w:kern w:val="0"/>
          <w:sz w:val="24"/>
        </w:rPr>
        <w:t>式中：</w:t>
      </w:r>
      <w:r>
        <w:rPr>
          <w:rFonts w:eastAsiaTheme="minorEastAsia"/>
          <w:snapToGrid w:val="0"/>
          <w:kern w:val="0"/>
          <w:sz w:val="24"/>
        </w:rPr>
        <w:t>P</w:t>
      </w:r>
      <w:r>
        <w:rPr>
          <w:rFonts w:eastAsiaTheme="minorEastAsia"/>
          <w:snapToGrid w:val="0"/>
          <w:kern w:val="0"/>
          <w:sz w:val="24"/>
          <w:vertAlign w:val="subscript"/>
        </w:rPr>
        <w:t>i</w:t>
      </w:r>
      <w:r>
        <w:rPr>
          <w:rFonts w:eastAsiaTheme="minorEastAsia"/>
          <w:snapToGrid w:val="0"/>
          <w:kern w:val="0"/>
          <w:sz w:val="24"/>
        </w:rPr>
        <w:t>—</w:t>
      </w:r>
      <w:r>
        <w:rPr>
          <w:rFonts w:eastAsiaTheme="minorEastAsia" w:hAnsiTheme="minorEastAsia"/>
          <w:snapToGrid w:val="0"/>
          <w:kern w:val="0"/>
          <w:sz w:val="24"/>
        </w:rPr>
        <w:t>第</w:t>
      </w:r>
      <w:r>
        <w:rPr>
          <w:rFonts w:eastAsiaTheme="minorEastAsia"/>
          <w:snapToGrid w:val="0"/>
          <w:kern w:val="0"/>
          <w:sz w:val="24"/>
        </w:rPr>
        <w:t>i</w:t>
      </w:r>
      <w:r>
        <w:rPr>
          <w:rFonts w:eastAsiaTheme="minorEastAsia" w:hAnsiTheme="minorEastAsia"/>
          <w:snapToGrid w:val="0"/>
          <w:kern w:val="0"/>
          <w:sz w:val="24"/>
        </w:rPr>
        <w:t>个水质因子的标准指数，无量纲；</w:t>
      </w:r>
    </w:p>
    <w:p w14:paraId="0206FC53" w14:textId="77777777" w:rsidR="00B14D53" w:rsidRDefault="00000000">
      <w:pPr>
        <w:spacing w:line="360" w:lineRule="auto"/>
        <w:ind w:firstLineChars="300" w:firstLine="720"/>
        <w:rPr>
          <w:rFonts w:eastAsiaTheme="minorEastAsia"/>
          <w:snapToGrid w:val="0"/>
          <w:kern w:val="0"/>
          <w:sz w:val="24"/>
        </w:rPr>
      </w:pPr>
      <w:r>
        <w:rPr>
          <w:rFonts w:eastAsiaTheme="minorEastAsia"/>
          <w:snapToGrid w:val="0"/>
          <w:kern w:val="0"/>
          <w:sz w:val="24"/>
        </w:rPr>
        <w:t xml:space="preserve">     C</w:t>
      </w:r>
      <w:r>
        <w:rPr>
          <w:rFonts w:eastAsiaTheme="minorEastAsia"/>
          <w:snapToGrid w:val="0"/>
          <w:kern w:val="0"/>
          <w:sz w:val="24"/>
          <w:vertAlign w:val="subscript"/>
        </w:rPr>
        <w:t>i</w:t>
      </w:r>
      <w:r>
        <w:rPr>
          <w:rFonts w:eastAsiaTheme="minorEastAsia"/>
          <w:snapToGrid w:val="0"/>
          <w:kern w:val="0"/>
          <w:sz w:val="24"/>
        </w:rPr>
        <w:t>—</w:t>
      </w:r>
      <w:r>
        <w:rPr>
          <w:rFonts w:eastAsiaTheme="minorEastAsia" w:hAnsiTheme="minorEastAsia"/>
          <w:snapToGrid w:val="0"/>
          <w:kern w:val="0"/>
          <w:sz w:val="24"/>
        </w:rPr>
        <w:t>第</w:t>
      </w:r>
      <w:r>
        <w:rPr>
          <w:rFonts w:eastAsiaTheme="minorEastAsia"/>
          <w:snapToGrid w:val="0"/>
          <w:kern w:val="0"/>
          <w:sz w:val="24"/>
        </w:rPr>
        <w:t>i</w:t>
      </w:r>
      <w:r>
        <w:rPr>
          <w:rFonts w:eastAsiaTheme="minorEastAsia" w:hAnsiTheme="minorEastAsia"/>
          <w:snapToGrid w:val="0"/>
          <w:kern w:val="0"/>
          <w:sz w:val="24"/>
        </w:rPr>
        <w:t>个水质因子的监测质量浓度值，</w:t>
      </w:r>
      <w:r>
        <w:rPr>
          <w:rFonts w:eastAsiaTheme="minorEastAsia"/>
          <w:snapToGrid w:val="0"/>
          <w:kern w:val="0"/>
          <w:sz w:val="24"/>
        </w:rPr>
        <w:t>mg/L</w:t>
      </w:r>
      <w:r>
        <w:rPr>
          <w:rFonts w:eastAsiaTheme="minorEastAsia" w:hAnsiTheme="minorEastAsia"/>
          <w:snapToGrid w:val="0"/>
          <w:kern w:val="0"/>
          <w:sz w:val="24"/>
        </w:rPr>
        <w:t>；</w:t>
      </w:r>
    </w:p>
    <w:p w14:paraId="610AB3AC" w14:textId="77777777" w:rsidR="00B14D53" w:rsidRDefault="00000000">
      <w:pPr>
        <w:spacing w:line="360" w:lineRule="auto"/>
        <w:ind w:firstLineChars="300" w:firstLine="720"/>
        <w:rPr>
          <w:rFonts w:eastAsiaTheme="minorEastAsia"/>
          <w:snapToGrid w:val="0"/>
          <w:kern w:val="0"/>
          <w:sz w:val="24"/>
        </w:rPr>
      </w:pPr>
      <w:r>
        <w:rPr>
          <w:rFonts w:eastAsiaTheme="minorEastAsia"/>
          <w:snapToGrid w:val="0"/>
          <w:kern w:val="0"/>
          <w:sz w:val="24"/>
        </w:rPr>
        <w:t xml:space="preserve">     C</w:t>
      </w:r>
      <w:r>
        <w:rPr>
          <w:rFonts w:eastAsiaTheme="minorEastAsia"/>
          <w:snapToGrid w:val="0"/>
          <w:kern w:val="0"/>
          <w:sz w:val="24"/>
          <w:vertAlign w:val="subscript"/>
        </w:rPr>
        <w:t>si</w:t>
      </w:r>
      <w:r>
        <w:rPr>
          <w:rFonts w:eastAsiaTheme="minorEastAsia"/>
          <w:snapToGrid w:val="0"/>
          <w:kern w:val="0"/>
          <w:sz w:val="24"/>
        </w:rPr>
        <w:t>—</w:t>
      </w:r>
      <w:r>
        <w:rPr>
          <w:rFonts w:eastAsiaTheme="minorEastAsia" w:hAnsiTheme="minorEastAsia"/>
          <w:snapToGrid w:val="0"/>
          <w:kern w:val="0"/>
          <w:sz w:val="24"/>
        </w:rPr>
        <w:t>第</w:t>
      </w:r>
      <w:r>
        <w:rPr>
          <w:rFonts w:eastAsiaTheme="minorEastAsia"/>
          <w:snapToGrid w:val="0"/>
          <w:kern w:val="0"/>
          <w:sz w:val="24"/>
        </w:rPr>
        <w:t>i</w:t>
      </w:r>
      <w:r>
        <w:rPr>
          <w:rFonts w:eastAsiaTheme="minorEastAsia" w:hAnsiTheme="minorEastAsia"/>
          <w:snapToGrid w:val="0"/>
          <w:kern w:val="0"/>
          <w:sz w:val="24"/>
        </w:rPr>
        <w:t>个水质因子的标准质量浓度值，</w:t>
      </w:r>
      <w:r>
        <w:rPr>
          <w:rFonts w:eastAsiaTheme="minorEastAsia"/>
          <w:snapToGrid w:val="0"/>
          <w:kern w:val="0"/>
          <w:sz w:val="24"/>
        </w:rPr>
        <w:t>mg/L</w:t>
      </w:r>
      <w:r>
        <w:rPr>
          <w:rFonts w:eastAsiaTheme="minorEastAsia" w:hAnsiTheme="minorEastAsia"/>
          <w:snapToGrid w:val="0"/>
          <w:kern w:val="0"/>
          <w:sz w:val="24"/>
        </w:rPr>
        <w:t>。</w:t>
      </w:r>
    </w:p>
    <w:p w14:paraId="729BBE2D" w14:textId="77777777" w:rsidR="00B14D53" w:rsidRDefault="00000000">
      <w:pPr>
        <w:autoSpaceDE w:val="0"/>
        <w:autoSpaceDN w:val="0"/>
        <w:spacing w:line="360" w:lineRule="auto"/>
        <w:jc w:val="center"/>
        <w:rPr>
          <w:rFonts w:eastAsiaTheme="minorEastAsia"/>
          <w:sz w:val="24"/>
          <w:lang w:val="zh-CN"/>
        </w:rPr>
      </w:pPr>
      <w:r>
        <w:rPr>
          <w:rFonts w:eastAsiaTheme="minorEastAsia"/>
          <w:position w:val="-28"/>
          <w:sz w:val="24"/>
        </w:rPr>
        <w:object w:dxaOrig="1508" w:dyaOrig="638" w14:anchorId="0BBA74DD">
          <v:shape id="_x0000_i1026" type="#_x0000_t75" style="width:75.4pt;height:31.9pt" o:ole="">
            <v:imagedata r:id="rId49" o:title=""/>
          </v:shape>
          <o:OLEObject Type="Embed" ProgID="Equation.DSMT4" ShapeID="_x0000_i1026" DrawAspect="Content" ObjectID="_1815827218" r:id="rId50"/>
        </w:object>
      </w:r>
      <w:r>
        <w:rPr>
          <w:rFonts w:eastAsiaTheme="minorEastAsia"/>
          <w:sz w:val="24"/>
          <w:lang w:val="zh-CN"/>
        </w:rPr>
        <w:t xml:space="preserve">          pH≤7.0</w:t>
      </w:r>
      <w:r>
        <w:rPr>
          <w:rFonts w:eastAsiaTheme="minorEastAsia" w:hAnsiTheme="minorEastAsia"/>
          <w:sz w:val="24"/>
          <w:lang w:val="zh-CN"/>
        </w:rPr>
        <w:t>时</w:t>
      </w:r>
    </w:p>
    <w:p w14:paraId="5BDBBC62" w14:textId="77777777" w:rsidR="00B14D53" w:rsidRDefault="00000000">
      <w:pPr>
        <w:autoSpaceDE w:val="0"/>
        <w:autoSpaceDN w:val="0"/>
        <w:spacing w:line="360" w:lineRule="auto"/>
        <w:jc w:val="center"/>
        <w:rPr>
          <w:rFonts w:eastAsiaTheme="minorEastAsia"/>
          <w:sz w:val="24"/>
          <w:lang w:val="zh-CN"/>
        </w:rPr>
      </w:pPr>
      <w:r>
        <w:rPr>
          <w:rFonts w:eastAsiaTheme="minorEastAsia"/>
          <w:position w:val="-28"/>
          <w:sz w:val="24"/>
        </w:rPr>
        <w:object w:dxaOrig="1508" w:dyaOrig="638" w14:anchorId="0B220C3E">
          <v:shape id="_x0000_i1027" type="#_x0000_t75" style="width:75.4pt;height:31.9pt" o:ole="">
            <v:imagedata r:id="rId51" o:title=""/>
          </v:shape>
          <o:OLEObject Type="Embed" ProgID="Equation.DSMT4" ShapeID="_x0000_i1027" DrawAspect="Content" ObjectID="_1815827219" r:id="rId52"/>
        </w:object>
      </w:r>
      <w:r>
        <w:rPr>
          <w:rFonts w:eastAsiaTheme="minorEastAsia"/>
          <w:sz w:val="24"/>
          <w:lang w:val="zh-CN"/>
        </w:rPr>
        <w:t xml:space="preserve">            pH</w:t>
      </w:r>
      <w:r>
        <w:rPr>
          <w:rFonts w:eastAsiaTheme="minorEastAsia" w:hAnsiTheme="minorEastAsia"/>
          <w:sz w:val="24"/>
          <w:lang w:val="zh-CN"/>
        </w:rPr>
        <w:t>＞</w:t>
      </w:r>
      <w:r>
        <w:rPr>
          <w:rFonts w:eastAsiaTheme="minorEastAsia"/>
          <w:sz w:val="24"/>
          <w:lang w:val="zh-CN"/>
        </w:rPr>
        <w:t>7.0</w:t>
      </w:r>
      <w:r>
        <w:rPr>
          <w:rFonts w:eastAsiaTheme="minorEastAsia" w:hAnsiTheme="minorEastAsia"/>
          <w:sz w:val="24"/>
          <w:lang w:val="zh-CN"/>
        </w:rPr>
        <w:t>时</w:t>
      </w:r>
    </w:p>
    <w:p w14:paraId="17D6D525" w14:textId="77777777" w:rsidR="00B14D53" w:rsidRDefault="00000000">
      <w:pPr>
        <w:autoSpaceDE w:val="0"/>
        <w:autoSpaceDN w:val="0"/>
        <w:spacing w:line="360" w:lineRule="auto"/>
        <w:rPr>
          <w:rFonts w:eastAsiaTheme="minorEastAsia"/>
          <w:sz w:val="24"/>
          <w:lang w:val="zh-CN"/>
        </w:rPr>
      </w:pPr>
      <w:r>
        <w:rPr>
          <w:rFonts w:eastAsiaTheme="minorEastAsia" w:hAnsiTheme="minorEastAsia"/>
          <w:sz w:val="24"/>
          <w:lang w:val="zh-CN"/>
        </w:rPr>
        <w:t>式中：</w:t>
      </w:r>
      <w:r>
        <w:rPr>
          <w:rFonts w:eastAsiaTheme="minorEastAsia"/>
          <w:sz w:val="24"/>
          <w:lang w:val="zh-CN"/>
        </w:rPr>
        <w:t>P</w:t>
      </w:r>
      <w:r>
        <w:rPr>
          <w:rFonts w:eastAsiaTheme="minorEastAsia"/>
          <w:sz w:val="24"/>
          <w:vertAlign w:val="subscript"/>
          <w:lang w:val="zh-CN"/>
        </w:rPr>
        <w:t>pH</w:t>
      </w:r>
      <w:r>
        <w:rPr>
          <w:rFonts w:eastAsiaTheme="minorEastAsia"/>
          <w:sz w:val="24"/>
          <w:lang w:val="zh-CN"/>
        </w:rPr>
        <w:t>——pH</w:t>
      </w:r>
      <w:r>
        <w:rPr>
          <w:rFonts w:eastAsiaTheme="minorEastAsia" w:hAnsiTheme="minorEastAsia"/>
          <w:sz w:val="24"/>
          <w:lang w:val="zh-CN"/>
        </w:rPr>
        <w:t>的标准指数，量纲为一；</w:t>
      </w:r>
    </w:p>
    <w:p w14:paraId="27BBA23E" w14:textId="77777777" w:rsidR="00B14D53" w:rsidRDefault="00000000">
      <w:pPr>
        <w:autoSpaceDE w:val="0"/>
        <w:autoSpaceDN w:val="0"/>
        <w:spacing w:line="360" w:lineRule="auto"/>
        <w:rPr>
          <w:rFonts w:eastAsiaTheme="minorEastAsia"/>
          <w:sz w:val="24"/>
          <w:lang w:val="zh-CN"/>
        </w:rPr>
      </w:pPr>
      <w:r>
        <w:rPr>
          <w:rFonts w:eastAsiaTheme="minorEastAsia"/>
          <w:sz w:val="24"/>
          <w:lang w:val="zh-CN"/>
        </w:rPr>
        <w:t xml:space="preserve">      pH——pH</w:t>
      </w:r>
      <w:r>
        <w:rPr>
          <w:rFonts w:eastAsiaTheme="minorEastAsia" w:hAnsiTheme="minorEastAsia"/>
          <w:sz w:val="24"/>
          <w:lang w:val="zh-CN"/>
        </w:rPr>
        <w:t>监测值；</w:t>
      </w:r>
    </w:p>
    <w:p w14:paraId="644BE808" w14:textId="77777777" w:rsidR="00B14D53" w:rsidRDefault="00000000">
      <w:pPr>
        <w:autoSpaceDE w:val="0"/>
        <w:autoSpaceDN w:val="0"/>
        <w:spacing w:line="360" w:lineRule="auto"/>
        <w:rPr>
          <w:rFonts w:eastAsiaTheme="minorEastAsia"/>
          <w:sz w:val="24"/>
          <w:lang w:val="zh-CN"/>
        </w:rPr>
      </w:pPr>
      <w:r>
        <w:rPr>
          <w:rFonts w:eastAsiaTheme="minorEastAsia"/>
          <w:sz w:val="24"/>
          <w:lang w:val="zh-CN"/>
        </w:rPr>
        <w:t xml:space="preserve">      pH</w:t>
      </w:r>
      <w:r>
        <w:rPr>
          <w:rFonts w:eastAsiaTheme="minorEastAsia"/>
          <w:sz w:val="24"/>
          <w:vertAlign w:val="subscript"/>
          <w:lang w:val="zh-CN"/>
        </w:rPr>
        <w:t>su</w:t>
      </w:r>
      <w:r>
        <w:rPr>
          <w:rFonts w:eastAsiaTheme="minorEastAsia"/>
          <w:sz w:val="24"/>
          <w:lang w:val="zh-CN"/>
        </w:rPr>
        <w:t>——</w:t>
      </w:r>
      <w:r>
        <w:rPr>
          <w:rFonts w:eastAsiaTheme="minorEastAsia" w:hAnsiTheme="minorEastAsia"/>
          <w:sz w:val="24"/>
          <w:lang w:val="zh-CN"/>
        </w:rPr>
        <w:t>标准中</w:t>
      </w:r>
      <w:r>
        <w:rPr>
          <w:rFonts w:eastAsiaTheme="minorEastAsia"/>
          <w:sz w:val="24"/>
          <w:lang w:val="zh-CN"/>
        </w:rPr>
        <w:t>pH</w:t>
      </w:r>
      <w:r>
        <w:rPr>
          <w:rFonts w:eastAsiaTheme="minorEastAsia" w:hAnsiTheme="minorEastAsia"/>
          <w:sz w:val="24"/>
          <w:lang w:val="zh-CN"/>
        </w:rPr>
        <w:t>的上限值；</w:t>
      </w:r>
    </w:p>
    <w:p w14:paraId="4F116DFF" w14:textId="77777777" w:rsidR="00B14D53" w:rsidRDefault="00000000">
      <w:pPr>
        <w:autoSpaceDE w:val="0"/>
        <w:autoSpaceDN w:val="0"/>
        <w:spacing w:line="360" w:lineRule="auto"/>
        <w:rPr>
          <w:rFonts w:eastAsiaTheme="minorEastAsia"/>
          <w:sz w:val="24"/>
          <w:lang w:val="zh-CN"/>
        </w:rPr>
      </w:pPr>
      <w:r>
        <w:rPr>
          <w:rFonts w:eastAsiaTheme="minorEastAsia"/>
          <w:sz w:val="24"/>
          <w:lang w:val="zh-CN"/>
        </w:rPr>
        <w:t xml:space="preserve">      pH</w:t>
      </w:r>
      <w:r>
        <w:rPr>
          <w:rFonts w:eastAsiaTheme="minorEastAsia"/>
          <w:sz w:val="24"/>
          <w:vertAlign w:val="subscript"/>
          <w:lang w:val="zh-CN"/>
        </w:rPr>
        <w:t>sd</w:t>
      </w:r>
      <w:r>
        <w:rPr>
          <w:rFonts w:eastAsiaTheme="minorEastAsia"/>
          <w:sz w:val="24"/>
          <w:lang w:val="zh-CN"/>
        </w:rPr>
        <w:t>——</w:t>
      </w:r>
      <w:r>
        <w:rPr>
          <w:rFonts w:eastAsiaTheme="minorEastAsia" w:hAnsiTheme="minorEastAsia"/>
          <w:sz w:val="24"/>
          <w:lang w:val="zh-CN"/>
        </w:rPr>
        <w:t>标准中</w:t>
      </w:r>
      <w:r>
        <w:rPr>
          <w:rFonts w:eastAsiaTheme="minorEastAsia"/>
          <w:sz w:val="24"/>
          <w:lang w:val="zh-CN"/>
        </w:rPr>
        <w:t>pH</w:t>
      </w:r>
      <w:r>
        <w:rPr>
          <w:rFonts w:eastAsiaTheme="minorEastAsia" w:hAnsiTheme="minorEastAsia"/>
          <w:sz w:val="24"/>
          <w:lang w:val="zh-CN"/>
        </w:rPr>
        <w:t>的下限值。</w:t>
      </w:r>
    </w:p>
    <w:p w14:paraId="6AB5A979" w14:textId="77777777" w:rsidR="00B14D53" w:rsidRDefault="00000000">
      <w:pPr>
        <w:autoSpaceDE w:val="0"/>
        <w:autoSpaceDN w:val="0"/>
        <w:spacing w:line="360" w:lineRule="auto"/>
        <w:ind w:firstLine="480"/>
        <w:rPr>
          <w:rFonts w:eastAsiaTheme="minorEastAsia" w:hAnsiTheme="minorEastAsia" w:hint="eastAsia"/>
          <w:sz w:val="24"/>
          <w:lang w:val="zh-CN"/>
        </w:rPr>
      </w:pPr>
      <w:r>
        <w:rPr>
          <w:rFonts w:eastAsiaTheme="minorEastAsia" w:hAnsiTheme="minorEastAsia"/>
          <w:sz w:val="24"/>
          <w:lang w:val="zh-CN"/>
        </w:rPr>
        <w:t>当标准指数＞</w:t>
      </w:r>
      <w:r>
        <w:rPr>
          <w:rFonts w:eastAsiaTheme="minorEastAsia"/>
          <w:sz w:val="24"/>
          <w:lang w:val="zh-CN"/>
        </w:rPr>
        <w:t>1</w:t>
      </w:r>
      <w:r>
        <w:rPr>
          <w:rFonts w:eastAsiaTheme="minorEastAsia" w:hAnsiTheme="minorEastAsia"/>
          <w:sz w:val="24"/>
          <w:lang w:val="zh-CN"/>
        </w:rPr>
        <w:t>时，表示该水质参数所表征的污染物已满足不了标准要求，水体已受到污染；反之，则满足标准要求。</w:t>
      </w:r>
    </w:p>
    <w:p w14:paraId="56337EFE" w14:textId="77777777" w:rsidR="00B14D53" w:rsidRDefault="00000000">
      <w:pPr>
        <w:jc w:val="center"/>
        <w:rPr>
          <w:rFonts w:eastAsiaTheme="minorEastAsia"/>
          <w:b/>
          <w:sz w:val="24"/>
        </w:rPr>
      </w:pPr>
      <w:r>
        <w:rPr>
          <w:rFonts w:hint="eastAsia"/>
          <w:b/>
          <w:bCs/>
        </w:rPr>
        <w:t>表</w:t>
      </w:r>
      <w:r>
        <w:rPr>
          <w:rFonts w:hint="eastAsia"/>
          <w:b/>
          <w:bCs/>
        </w:rPr>
        <w:t xml:space="preserve">4-2-7 </w:t>
      </w:r>
      <w:r>
        <w:rPr>
          <w:rFonts w:hint="eastAsia"/>
          <w:b/>
          <w:bCs/>
        </w:rPr>
        <w:t>地下水水质现状评价因子统计结果</w:t>
      </w:r>
    </w:p>
    <w:tbl>
      <w:tblPr>
        <w:tblW w:w="4991"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09"/>
        <w:gridCol w:w="1213"/>
        <w:gridCol w:w="1109"/>
        <w:gridCol w:w="1017"/>
        <w:gridCol w:w="1057"/>
        <w:gridCol w:w="968"/>
        <w:gridCol w:w="1318"/>
      </w:tblGrid>
      <w:tr w:rsidR="00B14D53" w14:paraId="33308552" w14:textId="77777777">
        <w:trPr>
          <w:trHeight w:val="57"/>
          <w:jc w:val="center"/>
        </w:trPr>
        <w:tc>
          <w:tcPr>
            <w:tcW w:w="969" w:type="pct"/>
            <w:vAlign w:val="center"/>
          </w:tcPr>
          <w:p w14:paraId="109BAFAB" w14:textId="77777777" w:rsidR="00B14D53" w:rsidRDefault="00000000">
            <w:pPr>
              <w:autoSpaceDE w:val="0"/>
              <w:autoSpaceDN w:val="0"/>
              <w:spacing w:line="0" w:lineRule="atLeast"/>
              <w:jc w:val="center"/>
              <w:rPr>
                <w:rFonts w:eastAsiaTheme="minorEastAsia"/>
                <w:b/>
                <w:bCs/>
                <w:snapToGrid w:val="0"/>
                <w:szCs w:val="21"/>
              </w:rPr>
            </w:pPr>
            <w:r>
              <w:rPr>
                <w:rFonts w:eastAsiaTheme="minorEastAsia"/>
                <w:b/>
                <w:bCs/>
                <w:snapToGrid w:val="0"/>
                <w:szCs w:val="21"/>
              </w:rPr>
              <w:t>检测项目</w:t>
            </w:r>
          </w:p>
        </w:tc>
        <w:tc>
          <w:tcPr>
            <w:tcW w:w="731" w:type="pct"/>
            <w:vAlign w:val="center"/>
          </w:tcPr>
          <w:p w14:paraId="3FAEDAFC" w14:textId="77777777" w:rsidR="00B14D53" w:rsidRDefault="00000000">
            <w:pPr>
              <w:autoSpaceDE w:val="0"/>
              <w:autoSpaceDN w:val="0"/>
              <w:spacing w:line="0" w:lineRule="atLeast"/>
              <w:jc w:val="center"/>
              <w:rPr>
                <w:rFonts w:eastAsiaTheme="minorEastAsia"/>
                <w:b/>
                <w:bCs/>
                <w:snapToGrid w:val="0"/>
                <w:szCs w:val="21"/>
              </w:rPr>
            </w:pPr>
            <w:r>
              <w:rPr>
                <w:rFonts w:eastAsiaTheme="minorEastAsia"/>
                <w:b/>
                <w:bCs/>
                <w:snapToGrid w:val="0"/>
                <w:szCs w:val="21"/>
              </w:rPr>
              <w:t>最大值</w:t>
            </w:r>
          </w:p>
        </w:tc>
        <w:tc>
          <w:tcPr>
            <w:tcW w:w="668" w:type="pct"/>
            <w:vAlign w:val="center"/>
          </w:tcPr>
          <w:p w14:paraId="3213C14D" w14:textId="77777777" w:rsidR="00B14D53" w:rsidRDefault="00000000">
            <w:pPr>
              <w:autoSpaceDE w:val="0"/>
              <w:autoSpaceDN w:val="0"/>
              <w:spacing w:line="0" w:lineRule="atLeast"/>
              <w:jc w:val="center"/>
              <w:rPr>
                <w:rFonts w:eastAsiaTheme="minorEastAsia"/>
                <w:b/>
                <w:bCs/>
                <w:snapToGrid w:val="0"/>
                <w:szCs w:val="21"/>
              </w:rPr>
            </w:pPr>
            <w:r>
              <w:rPr>
                <w:rFonts w:eastAsiaTheme="minorEastAsia"/>
                <w:b/>
                <w:bCs/>
                <w:snapToGrid w:val="0"/>
                <w:szCs w:val="21"/>
              </w:rPr>
              <w:t>最小值</w:t>
            </w:r>
          </w:p>
        </w:tc>
        <w:tc>
          <w:tcPr>
            <w:tcW w:w="613" w:type="pct"/>
            <w:vAlign w:val="center"/>
          </w:tcPr>
          <w:p w14:paraId="3AEB72F3" w14:textId="77777777" w:rsidR="00B14D53" w:rsidRDefault="00000000">
            <w:pPr>
              <w:autoSpaceDE w:val="0"/>
              <w:autoSpaceDN w:val="0"/>
              <w:spacing w:line="0" w:lineRule="atLeast"/>
              <w:jc w:val="center"/>
              <w:rPr>
                <w:rFonts w:eastAsiaTheme="minorEastAsia"/>
                <w:b/>
                <w:bCs/>
                <w:snapToGrid w:val="0"/>
                <w:szCs w:val="21"/>
              </w:rPr>
            </w:pPr>
            <w:r>
              <w:rPr>
                <w:rFonts w:eastAsiaTheme="minorEastAsia"/>
                <w:b/>
                <w:bCs/>
                <w:snapToGrid w:val="0"/>
                <w:szCs w:val="21"/>
              </w:rPr>
              <w:t>均值</w:t>
            </w:r>
          </w:p>
        </w:tc>
        <w:tc>
          <w:tcPr>
            <w:tcW w:w="637" w:type="pct"/>
            <w:vAlign w:val="center"/>
          </w:tcPr>
          <w:p w14:paraId="75A5B528" w14:textId="77777777" w:rsidR="00B14D53" w:rsidRDefault="00000000">
            <w:pPr>
              <w:autoSpaceDE w:val="0"/>
              <w:autoSpaceDN w:val="0"/>
              <w:spacing w:line="0" w:lineRule="atLeast"/>
              <w:jc w:val="center"/>
              <w:rPr>
                <w:rFonts w:eastAsiaTheme="minorEastAsia"/>
                <w:b/>
                <w:bCs/>
                <w:snapToGrid w:val="0"/>
                <w:szCs w:val="21"/>
              </w:rPr>
            </w:pPr>
            <w:r>
              <w:rPr>
                <w:rFonts w:eastAsiaTheme="minorEastAsia"/>
                <w:b/>
                <w:bCs/>
                <w:snapToGrid w:val="0"/>
                <w:szCs w:val="21"/>
              </w:rPr>
              <w:t>标准差</w:t>
            </w:r>
          </w:p>
        </w:tc>
        <w:tc>
          <w:tcPr>
            <w:tcW w:w="584" w:type="pct"/>
            <w:vAlign w:val="center"/>
          </w:tcPr>
          <w:p w14:paraId="7123BA69" w14:textId="77777777" w:rsidR="00B14D53" w:rsidRDefault="00000000">
            <w:pPr>
              <w:autoSpaceDE w:val="0"/>
              <w:autoSpaceDN w:val="0"/>
              <w:spacing w:line="0" w:lineRule="atLeast"/>
              <w:jc w:val="center"/>
              <w:rPr>
                <w:rFonts w:eastAsiaTheme="minorEastAsia"/>
                <w:b/>
                <w:bCs/>
                <w:snapToGrid w:val="0"/>
                <w:szCs w:val="21"/>
              </w:rPr>
            </w:pPr>
            <w:r>
              <w:rPr>
                <w:rFonts w:eastAsiaTheme="minorEastAsia"/>
                <w:b/>
                <w:bCs/>
                <w:snapToGrid w:val="0"/>
                <w:szCs w:val="21"/>
              </w:rPr>
              <w:t>检出率</w:t>
            </w:r>
          </w:p>
        </w:tc>
        <w:tc>
          <w:tcPr>
            <w:tcW w:w="795" w:type="pct"/>
            <w:vAlign w:val="center"/>
          </w:tcPr>
          <w:p w14:paraId="02B34A28" w14:textId="77777777" w:rsidR="00B14D53" w:rsidRDefault="00000000">
            <w:pPr>
              <w:autoSpaceDE w:val="0"/>
              <w:autoSpaceDN w:val="0"/>
              <w:spacing w:line="0" w:lineRule="atLeast"/>
              <w:jc w:val="center"/>
              <w:rPr>
                <w:rFonts w:eastAsiaTheme="minorEastAsia"/>
                <w:b/>
                <w:bCs/>
                <w:snapToGrid w:val="0"/>
                <w:szCs w:val="21"/>
              </w:rPr>
            </w:pPr>
            <w:r>
              <w:rPr>
                <w:rFonts w:eastAsiaTheme="minorEastAsia"/>
                <w:b/>
                <w:bCs/>
                <w:snapToGrid w:val="0"/>
                <w:szCs w:val="21"/>
              </w:rPr>
              <w:t>超标率</w:t>
            </w:r>
          </w:p>
        </w:tc>
      </w:tr>
      <w:tr w:rsidR="00B14D53" w14:paraId="488EE018" w14:textId="77777777">
        <w:trPr>
          <w:trHeight w:val="229"/>
          <w:jc w:val="center"/>
        </w:trPr>
        <w:tc>
          <w:tcPr>
            <w:tcW w:w="969" w:type="pct"/>
            <w:vAlign w:val="center"/>
          </w:tcPr>
          <w:p w14:paraId="67777BBF" w14:textId="77777777" w:rsidR="00B14D53" w:rsidRDefault="00000000">
            <w:pPr>
              <w:spacing w:line="0" w:lineRule="atLeast"/>
              <w:jc w:val="center"/>
              <w:rPr>
                <w:szCs w:val="21"/>
              </w:rPr>
            </w:pPr>
            <w:r>
              <w:rPr>
                <w:szCs w:val="21"/>
              </w:rPr>
              <w:t>钾</w:t>
            </w:r>
          </w:p>
        </w:tc>
        <w:tc>
          <w:tcPr>
            <w:tcW w:w="1244" w:type="dxa"/>
            <w:vAlign w:val="bottom"/>
          </w:tcPr>
          <w:p w14:paraId="6DD340E0" w14:textId="77777777" w:rsidR="00B14D53" w:rsidRDefault="00000000">
            <w:pPr>
              <w:spacing w:line="0" w:lineRule="atLeast"/>
              <w:jc w:val="center"/>
              <w:rPr>
                <w:rFonts w:eastAsia="等线"/>
                <w:szCs w:val="21"/>
              </w:rPr>
            </w:pPr>
            <w:r>
              <w:rPr>
                <w:rFonts w:eastAsia="等线" w:hint="eastAsia"/>
                <w:szCs w:val="21"/>
              </w:rPr>
              <w:t>8.15</w:t>
            </w:r>
          </w:p>
        </w:tc>
        <w:tc>
          <w:tcPr>
            <w:tcW w:w="1137" w:type="dxa"/>
            <w:vAlign w:val="bottom"/>
          </w:tcPr>
          <w:p w14:paraId="5C6CC031" w14:textId="77777777" w:rsidR="00B14D53" w:rsidRDefault="00000000">
            <w:pPr>
              <w:spacing w:line="0" w:lineRule="atLeast"/>
              <w:jc w:val="center"/>
              <w:rPr>
                <w:rFonts w:eastAsia="等线"/>
                <w:szCs w:val="21"/>
              </w:rPr>
            </w:pPr>
            <w:r>
              <w:rPr>
                <w:rFonts w:eastAsia="等线" w:hint="eastAsia"/>
                <w:szCs w:val="21"/>
              </w:rPr>
              <w:t>6.69</w:t>
            </w:r>
          </w:p>
        </w:tc>
        <w:tc>
          <w:tcPr>
            <w:tcW w:w="1044" w:type="dxa"/>
            <w:vAlign w:val="bottom"/>
          </w:tcPr>
          <w:p w14:paraId="53160A84" w14:textId="77777777" w:rsidR="00B14D53" w:rsidRDefault="00000000">
            <w:pPr>
              <w:spacing w:line="0" w:lineRule="atLeast"/>
              <w:jc w:val="center"/>
              <w:rPr>
                <w:rFonts w:eastAsia="等线"/>
                <w:szCs w:val="21"/>
              </w:rPr>
            </w:pPr>
            <w:r>
              <w:rPr>
                <w:rFonts w:eastAsia="等线" w:hint="eastAsia"/>
                <w:szCs w:val="21"/>
              </w:rPr>
              <w:t>7.30</w:t>
            </w:r>
          </w:p>
        </w:tc>
        <w:tc>
          <w:tcPr>
            <w:tcW w:w="1084" w:type="dxa"/>
            <w:vAlign w:val="bottom"/>
          </w:tcPr>
          <w:p w14:paraId="0F9E4751" w14:textId="77777777" w:rsidR="00B14D53" w:rsidRDefault="00000000">
            <w:pPr>
              <w:spacing w:line="0" w:lineRule="atLeast"/>
              <w:jc w:val="center"/>
              <w:rPr>
                <w:rFonts w:eastAsia="等线"/>
                <w:szCs w:val="21"/>
              </w:rPr>
            </w:pPr>
            <w:r>
              <w:rPr>
                <w:rFonts w:eastAsia="等线" w:hint="eastAsia"/>
                <w:szCs w:val="21"/>
              </w:rPr>
              <w:t>0.62</w:t>
            </w:r>
          </w:p>
        </w:tc>
        <w:tc>
          <w:tcPr>
            <w:tcW w:w="584" w:type="pct"/>
            <w:vAlign w:val="center"/>
          </w:tcPr>
          <w:p w14:paraId="4622AE57"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3B87171F"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2DF9AE9B" w14:textId="77777777">
        <w:trPr>
          <w:trHeight w:val="212"/>
          <w:jc w:val="center"/>
        </w:trPr>
        <w:tc>
          <w:tcPr>
            <w:tcW w:w="969" w:type="pct"/>
            <w:vAlign w:val="center"/>
          </w:tcPr>
          <w:p w14:paraId="2C37DEC6" w14:textId="77777777" w:rsidR="00B14D53" w:rsidRDefault="00000000">
            <w:pPr>
              <w:spacing w:line="0" w:lineRule="atLeast"/>
              <w:jc w:val="center"/>
              <w:rPr>
                <w:szCs w:val="21"/>
              </w:rPr>
            </w:pPr>
            <w:r>
              <w:rPr>
                <w:szCs w:val="21"/>
              </w:rPr>
              <w:t>钠</w:t>
            </w:r>
          </w:p>
        </w:tc>
        <w:tc>
          <w:tcPr>
            <w:tcW w:w="1244" w:type="dxa"/>
            <w:vAlign w:val="bottom"/>
          </w:tcPr>
          <w:p w14:paraId="766A148A" w14:textId="77777777" w:rsidR="00B14D53" w:rsidRDefault="00000000">
            <w:pPr>
              <w:spacing w:line="0" w:lineRule="atLeast"/>
              <w:jc w:val="center"/>
              <w:rPr>
                <w:rFonts w:eastAsia="等线"/>
                <w:szCs w:val="21"/>
              </w:rPr>
            </w:pPr>
            <w:r>
              <w:rPr>
                <w:rFonts w:eastAsia="等线" w:hint="eastAsia"/>
                <w:szCs w:val="21"/>
              </w:rPr>
              <w:t>12.7</w:t>
            </w:r>
          </w:p>
        </w:tc>
        <w:tc>
          <w:tcPr>
            <w:tcW w:w="1137" w:type="dxa"/>
            <w:vAlign w:val="bottom"/>
          </w:tcPr>
          <w:p w14:paraId="5EA2DE54" w14:textId="77777777" w:rsidR="00B14D53" w:rsidRDefault="00000000">
            <w:pPr>
              <w:spacing w:line="0" w:lineRule="atLeast"/>
              <w:jc w:val="center"/>
              <w:rPr>
                <w:rFonts w:eastAsia="等线"/>
                <w:szCs w:val="21"/>
              </w:rPr>
            </w:pPr>
            <w:r>
              <w:rPr>
                <w:rFonts w:eastAsia="等线" w:hint="eastAsia"/>
                <w:szCs w:val="21"/>
              </w:rPr>
              <w:t>11.2</w:t>
            </w:r>
          </w:p>
        </w:tc>
        <w:tc>
          <w:tcPr>
            <w:tcW w:w="1044" w:type="dxa"/>
            <w:vAlign w:val="bottom"/>
          </w:tcPr>
          <w:p w14:paraId="29382172" w14:textId="77777777" w:rsidR="00B14D53" w:rsidRDefault="00000000">
            <w:pPr>
              <w:spacing w:line="0" w:lineRule="atLeast"/>
              <w:jc w:val="center"/>
              <w:rPr>
                <w:rFonts w:eastAsia="等线"/>
                <w:szCs w:val="21"/>
              </w:rPr>
            </w:pPr>
            <w:r>
              <w:rPr>
                <w:rFonts w:eastAsia="等线" w:hint="eastAsia"/>
                <w:szCs w:val="21"/>
              </w:rPr>
              <w:t>11.70</w:t>
            </w:r>
          </w:p>
        </w:tc>
        <w:tc>
          <w:tcPr>
            <w:tcW w:w="1084" w:type="dxa"/>
            <w:vAlign w:val="bottom"/>
          </w:tcPr>
          <w:p w14:paraId="6967DF97" w14:textId="77777777" w:rsidR="00B14D53" w:rsidRDefault="00000000">
            <w:pPr>
              <w:spacing w:line="0" w:lineRule="atLeast"/>
              <w:jc w:val="center"/>
              <w:rPr>
                <w:rFonts w:eastAsia="等线"/>
                <w:szCs w:val="21"/>
              </w:rPr>
            </w:pPr>
            <w:r>
              <w:rPr>
                <w:rFonts w:eastAsia="等线" w:hint="eastAsia"/>
                <w:szCs w:val="21"/>
              </w:rPr>
              <w:t>0.71</w:t>
            </w:r>
          </w:p>
        </w:tc>
        <w:tc>
          <w:tcPr>
            <w:tcW w:w="584" w:type="pct"/>
            <w:vAlign w:val="center"/>
          </w:tcPr>
          <w:p w14:paraId="50F98124"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0EDC2164"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5031CD20" w14:textId="77777777">
        <w:trPr>
          <w:trHeight w:val="267"/>
          <w:jc w:val="center"/>
        </w:trPr>
        <w:tc>
          <w:tcPr>
            <w:tcW w:w="969" w:type="pct"/>
            <w:vAlign w:val="center"/>
          </w:tcPr>
          <w:p w14:paraId="5EAC2967" w14:textId="77777777" w:rsidR="00B14D53" w:rsidRDefault="00000000">
            <w:pPr>
              <w:spacing w:line="0" w:lineRule="atLeast"/>
              <w:jc w:val="center"/>
              <w:rPr>
                <w:szCs w:val="21"/>
              </w:rPr>
            </w:pPr>
            <w:r>
              <w:rPr>
                <w:szCs w:val="21"/>
              </w:rPr>
              <w:t>钙</w:t>
            </w:r>
          </w:p>
        </w:tc>
        <w:tc>
          <w:tcPr>
            <w:tcW w:w="1244" w:type="dxa"/>
            <w:vAlign w:val="bottom"/>
          </w:tcPr>
          <w:p w14:paraId="0DBD3DFF" w14:textId="77777777" w:rsidR="00B14D53" w:rsidRDefault="00000000">
            <w:pPr>
              <w:spacing w:line="0" w:lineRule="atLeast"/>
              <w:jc w:val="center"/>
              <w:rPr>
                <w:rFonts w:eastAsia="等线"/>
                <w:szCs w:val="21"/>
              </w:rPr>
            </w:pPr>
            <w:r>
              <w:rPr>
                <w:rFonts w:eastAsia="等线" w:hint="eastAsia"/>
                <w:szCs w:val="21"/>
              </w:rPr>
              <w:t>98.2</w:t>
            </w:r>
          </w:p>
        </w:tc>
        <w:tc>
          <w:tcPr>
            <w:tcW w:w="1137" w:type="dxa"/>
            <w:vAlign w:val="bottom"/>
          </w:tcPr>
          <w:p w14:paraId="3000107E" w14:textId="77777777" w:rsidR="00B14D53" w:rsidRDefault="00000000">
            <w:pPr>
              <w:spacing w:line="0" w:lineRule="atLeast"/>
              <w:jc w:val="center"/>
              <w:rPr>
                <w:rFonts w:eastAsia="等线"/>
                <w:szCs w:val="21"/>
              </w:rPr>
            </w:pPr>
            <w:r>
              <w:rPr>
                <w:rFonts w:eastAsia="等线" w:hint="eastAsia"/>
                <w:szCs w:val="21"/>
              </w:rPr>
              <w:t>80.2</w:t>
            </w:r>
          </w:p>
        </w:tc>
        <w:tc>
          <w:tcPr>
            <w:tcW w:w="1044" w:type="dxa"/>
            <w:vAlign w:val="bottom"/>
          </w:tcPr>
          <w:p w14:paraId="0D8575BD" w14:textId="77777777" w:rsidR="00B14D53" w:rsidRDefault="00000000">
            <w:pPr>
              <w:spacing w:line="0" w:lineRule="atLeast"/>
              <w:jc w:val="center"/>
              <w:rPr>
                <w:rFonts w:eastAsia="等线"/>
                <w:szCs w:val="21"/>
              </w:rPr>
            </w:pPr>
            <w:r>
              <w:rPr>
                <w:rFonts w:eastAsia="等线" w:hint="eastAsia"/>
                <w:szCs w:val="21"/>
              </w:rPr>
              <w:t>88.20</w:t>
            </w:r>
          </w:p>
        </w:tc>
        <w:tc>
          <w:tcPr>
            <w:tcW w:w="1084" w:type="dxa"/>
            <w:vAlign w:val="bottom"/>
          </w:tcPr>
          <w:p w14:paraId="54027D78" w14:textId="77777777" w:rsidR="00B14D53" w:rsidRDefault="00000000">
            <w:pPr>
              <w:spacing w:line="0" w:lineRule="atLeast"/>
              <w:jc w:val="center"/>
              <w:rPr>
                <w:rFonts w:eastAsia="等线"/>
                <w:szCs w:val="21"/>
              </w:rPr>
            </w:pPr>
            <w:r>
              <w:rPr>
                <w:rFonts w:eastAsia="等线" w:hint="eastAsia"/>
                <w:szCs w:val="21"/>
              </w:rPr>
              <w:t>7.48</w:t>
            </w:r>
          </w:p>
        </w:tc>
        <w:tc>
          <w:tcPr>
            <w:tcW w:w="584" w:type="pct"/>
            <w:vAlign w:val="center"/>
          </w:tcPr>
          <w:p w14:paraId="7E944C11"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1A372276"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3032D3C1" w14:textId="77777777">
        <w:trPr>
          <w:trHeight w:val="165"/>
          <w:jc w:val="center"/>
        </w:trPr>
        <w:tc>
          <w:tcPr>
            <w:tcW w:w="969" w:type="pct"/>
            <w:vAlign w:val="center"/>
          </w:tcPr>
          <w:p w14:paraId="219730AC" w14:textId="77777777" w:rsidR="00B14D53" w:rsidRDefault="00000000">
            <w:pPr>
              <w:spacing w:line="0" w:lineRule="atLeast"/>
              <w:jc w:val="center"/>
              <w:rPr>
                <w:szCs w:val="21"/>
              </w:rPr>
            </w:pPr>
            <w:r>
              <w:rPr>
                <w:szCs w:val="21"/>
              </w:rPr>
              <w:t>镁</w:t>
            </w:r>
          </w:p>
        </w:tc>
        <w:tc>
          <w:tcPr>
            <w:tcW w:w="1244" w:type="dxa"/>
            <w:vAlign w:val="bottom"/>
          </w:tcPr>
          <w:p w14:paraId="40330D7A" w14:textId="77777777" w:rsidR="00B14D53" w:rsidRDefault="00000000">
            <w:pPr>
              <w:spacing w:line="0" w:lineRule="atLeast"/>
              <w:jc w:val="center"/>
              <w:rPr>
                <w:rFonts w:eastAsia="等线"/>
                <w:szCs w:val="21"/>
              </w:rPr>
            </w:pPr>
            <w:r>
              <w:rPr>
                <w:rFonts w:eastAsia="等线" w:hint="eastAsia"/>
                <w:szCs w:val="21"/>
              </w:rPr>
              <w:t>4.18</w:t>
            </w:r>
          </w:p>
        </w:tc>
        <w:tc>
          <w:tcPr>
            <w:tcW w:w="1137" w:type="dxa"/>
            <w:vAlign w:val="bottom"/>
          </w:tcPr>
          <w:p w14:paraId="0198D6BE" w14:textId="77777777" w:rsidR="00B14D53" w:rsidRDefault="00000000">
            <w:pPr>
              <w:spacing w:line="0" w:lineRule="atLeast"/>
              <w:jc w:val="center"/>
              <w:rPr>
                <w:rFonts w:eastAsia="等线"/>
                <w:szCs w:val="21"/>
              </w:rPr>
            </w:pPr>
            <w:r>
              <w:rPr>
                <w:rFonts w:eastAsia="等线" w:hint="eastAsia"/>
                <w:szCs w:val="21"/>
              </w:rPr>
              <w:t>4.1</w:t>
            </w:r>
          </w:p>
        </w:tc>
        <w:tc>
          <w:tcPr>
            <w:tcW w:w="1044" w:type="dxa"/>
            <w:vAlign w:val="bottom"/>
          </w:tcPr>
          <w:p w14:paraId="5F72ED32" w14:textId="77777777" w:rsidR="00B14D53" w:rsidRDefault="00000000">
            <w:pPr>
              <w:spacing w:line="0" w:lineRule="atLeast"/>
              <w:jc w:val="center"/>
              <w:rPr>
                <w:rFonts w:eastAsia="等线"/>
                <w:szCs w:val="21"/>
              </w:rPr>
            </w:pPr>
            <w:r>
              <w:rPr>
                <w:rFonts w:eastAsia="等线" w:hint="eastAsia"/>
                <w:szCs w:val="21"/>
              </w:rPr>
              <w:t>4.14</w:t>
            </w:r>
          </w:p>
        </w:tc>
        <w:tc>
          <w:tcPr>
            <w:tcW w:w="1084" w:type="dxa"/>
            <w:vAlign w:val="bottom"/>
          </w:tcPr>
          <w:p w14:paraId="57027D84" w14:textId="77777777" w:rsidR="00B14D53" w:rsidRDefault="00000000">
            <w:pPr>
              <w:spacing w:line="0" w:lineRule="atLeast"/>
              <w:jc w:val="center"/>
              <w:rPr>
                <w:rFonts w:eastAsia="等线"/>
                <w:szCs w:val="21"/>
              </w:rPr>
            </w:pPr>
            <w:r>
              <w:rPr>
                <w:rFonts w:eastAsia="等线" w:hint="eastAsia"/>
                <w:szCs w:val="21"/>
              </w:rPr>
              <w:t>0.03</w:t>
            </w:r>
          </w:p>
        </w:tc>
        <w:tc>
          <w:tcPr>
            <w:tcW w:w="584" w:type="pct"/>
            <w:vAlign w:val="center"/>
          </w:tcPr>
          <w:p w14:paraId="15961AE8"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3A92E39D"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1BB500CA" w14:textId="77777777">
        <w:trPr>
          <w:trHeight w:val="72"/>
          <w:jc w:val="center"/>
        </w:trPr>
        <w:tc>
          <w:tcPr>
            <w:tcW w:w="969" w:type="pct"/>
            <w:vAlign w:val="center"/>
          </w:tcPr>
          <w:p w14:paraId="28F26529" w14:textId="77777777" w:rsidR="00B14D53" w:rsidRDefault="00000000">
            <w:pPr>
              <w:spacing w:line="0" w:lineRule="atLeast"/>
              <w:jc w:val="center"/>
              <w:rPr>
                <w:szCs w:val="21"/>
              </w:rPr>
            </w:pPr>
            <w:r>
              <w:rPr>
                <w:szCs w:val="21"/>
              </w:rPr>
              <w:t>碳酸根</w:t>
            </w:r>
          </w:p>
        </w:tc>
        <w:tc>
          <w:tcPr>
            <w:tcW w:w="731" w:type="pct"/>
            <w:vAlign w:val="center"/>
          </w:tcPr>
          <w:p w14:paraId="761FABC2" w14:textId="77777777" w:rsidR="00B14D53" w:rsidRDefault="00000000">
            <w:pPr>
              <w:spacing w:line="0" w:lineRule="atLeast"/>
              <w:jc w:val="center"/>
              <w:rPr>
                <w:rFonts w:eastAsia="等线"/>
                <w:szCs w:val="21"/>
              </w:rPr>
            </w:pPr>
            <w:r>
              <w:rPr>
                <w:rFonts w:eastAsia="等线"/>
                <w:szCs w:val="21"/>
              </w:rPr>
              <w:t>5L</w:t>
            </w:r>
          </w:p>
        </w:tc>
        <w:tc>
          <w:tcPr>
            <w:tcW w:w="668" w:type="pct"/>
            <w:vAlign w:val="center"/>
          </w:tcPr>
          <w:p w14:paraId="380D37D3" w14:textId="77777777" w:rsidR="00B14D53" w:rsidRDefault="00000000">
            <w:pPr>
              <w:spacing w:line="0" w:lineRule="atLeast"/>
              <w:jc w:val="center"/>
              <w:rPr>
                <w:rFonts w:eastAsia="等线"/>
                <w:szCs w:val="21"/>
              </w:rPr>
            </w:pPr>
            <w:r>
              <w:rPr>
                <w:rFonts w:eastAsia="等线"/>
                <w:szCs w:val="21"/>
              </w:rPr>
              <w:t>5L</w:t>
            </w:r>
          </w:p>
        </w:tc>
        <w:tc>
          <w:tcPr>
            <w:tcW w:w="613" w:type="pct"/>
            <w:vAlign w:val="center"/>
          </w:tcPr>
          <w:p w14:paraId="6E23675A" w14:textId="77777777" w:rsidR="00B14D53" w:rsidRDefault="00000000">
            <w:pPr>
              <w:spacing w:line="0" w:lineRule="atLeast"/>
              <w:jc w:val="center"/>
              <w:rPr>
                <w:rFonts w:eastAsia="等线"/>
                <w:szCs w:val="21"/>
              </w:rPr>
            </w:pPr>
            <w:r>
              <w:rPr>
                <w:rFonts w:eastAsia="等线"/>
                <w:szCs w:val="21"/>
              </w:rPr>
              <w:t>-</w:t>
            </w:r>
          </w:p>
        </w:tc>
        <w:tc>
          <w:tcPr>
            <w:tcW w:w="637" w:type="pct"/>
            <w:vAlign w:val="center"/>
          </w:tcPr>
          <w:p w14:paraId="5F40CF65" w14:textId="77777777" w:rsidR="00B14D53" w:rsidRDefault="00000000">
            <w:pPr>
              <w:spacing w:line="0" w:lineRule="atLeast"/>
              <w:jc w:val="center"/>
              <w:rPr>
                <w:rFonts w:eastAsia="等线"/>
                <w:szCs w:val="21"/>
              </w:rPr>
            </w:pPr>
            <w:r>
              <w:rPr>
                <w:rFonts w:eastAsia="等线"/>
                <w:szCs w:val="21"/>
              </w:rPr>
              <w:t>-</w:t>
            </w:r>
          </w:p>
        </w:tc>
        <w:tc>
          <w:tcPr>
            <w:tcW w:w="584" w:type="pct"/>
            <w:vAlign w:val="center"/>
          </w:tcPr>
          <w:p w14:paraId="54613E84"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c>
          <w:tcPr>
            <w:tcW w:w="795" w:type="pct"/>
            <w:vAlign w:val="center"/>
          </w:tcPr>
          <w:p w14:paraId="31A82C37"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497E4AB7" w14:textId="77777777">
        <w:trPr>
          <w:trHeight w:val="72"/>
          <w:jc w:val="center"/>
        </w:trPr>
        <w:tc>
          <w:tcPr>
            <w:tcW w:w="969" w:type="pct"/>
            <w:vAlign w:val="center"/>
          </w:tcPr>
          <w:p w14:paraId="09EC11D0" w14:textId="77777777" w:rsidR="00B14D53" w:rsidRDefault="00000000">
            <w:pPr>
              <w:spacing w:line="0" w:lineRule="atLeast"/>
              <w:jc w:val="center"/>
              <w:rPr>
                <w:szCs w:val="21"/>
              </w:rPr>
            </w:pPr>
            <w:r>
              <w:rPr>
                <w:szCs w:val="21"/>
              </w:rPr>
              <w:t>碳酸氢根</w:t>
            </w:r>
          </w:p>
        </w:tc>
        <w:tc>
          <w:tcPr>
            <w:tcW w:w="1244" w:type="dxa"/>
            <w:vAlign w:val="bottom"/>
          </w:tcPr>
          <w:p w14:paraId="40741687" w14:textId="77777777" w:rsidR="00B14D53" w:rsidRDefault="00000000">
            <w:pPr>
              <w:spacing w:line="0" w:lineRule="atLeast"/>
              <w:jc w:val="center"/>
              <w:rPr>
                <w:rFonts w:eastAsia="等线"/>
                <w:szCs w:val="21"/>
              </w:rPr>
            </w:pPr>
            <w:r>
              <w:rPr>
                <w:rFonts w:eastAsia="等线" w:hint="eastAsia"/>
                <w:szCs w:val="21"/>
              </w:rPr>
              <w:t>226</w:t>
            </w:r>
          </w:p>
        </w:tc>
        <w:tc>
          <w:tcPr>
            <w:tcW w:w="1137" w:type="dxa"/>
            <w:vAlign w:val="bottom"/>
          </w:tcPr>
          <w:p w14:paraId="40911B33" w14:textId="77777777" w:rsidR="00B14D53" w:rsidRDefault="00000000">
            <w:pPr>
              <w:spacing w:line="0" w:lineRule="atLeast"/>
              <w:jc w:val="center"/>
              <w:rPr>
                <w:rFonts w:eastAsia="等线"/>
                <w:szCs w:val="21"/>
              </w:rPr>
            </w:pPr>
            <w:r>
              <w:rPr>
                <w:rFonts w:eastAsia="等线" w:hint="eastAsia"/>
                <w:szCs w:val="21"/>
              </w:rPr>
              <w:t>156</w:t>
            </w:r>
          </w:p>
        </w:tc>
        <w:tc>
          <w:tcPr>
            <w:tcW w:w="1044" w:type="dxa"/>
            <w:vAlign w:val="bottom"/>
          </w:tcPr>
          <w:p w14:paraId="19CD4B6C" w14:textId="77777777" w:rsidR="00B14D53" w:rsidRDefault="00000000">
            <w:pPr>
              <w:spacing w:line="0" w:lineRule="atLeast"/>
              <w:jc w:val="center"/>
              <w:rPr>
                <w:rFonts w:eastAsia="等线"/>
                <w:szCs w:val="21"/>
              </w:rPr>
            </w:pPr>
            <w:r>
              <w:rPr>
                <w:rFonts w:eastAsia="等线" w:hint="eastAsia"/>
                <w:szCs w:val="21"/>
              </w:rPr>
              <w:t>194.00</w:t>
            </w:r>
          </w:p>
        </w:tc>
        <w:tc>
          <w:tcPr>
            <w:tcW w:w="1084" w:type="dxa"/>
            <w:vAlign w:val="bottom"/>
          </w:tcPr>
          <w:p w14:paraId="73D3242E" w14:textId="77777777" w:rsidR="00B14D53" w:rsidRDefault="00000000">
            <w:pPr>
              <w:spacing w:line="0" w:lineRule="atLeast"/>
              <w:jc w:val="center"/>
              <w:rPr>
                <w:rFonts w:eastAsia="等线"/>
                <w:szCs w:val="21"/>
              </w:rPr>
            </w:pPr>
            <w:r>
              <w:rPr>
                <w:rFonts w:eastAsia="等线" w:hint="eastAsia"/>
                <w:szCs w:val="21"/>
              </w:rPr>
              <w:t>28.89</w:t>
            </w:r>
          </w:p>
        </w:tc>
        <w:tc>
          <w:tcPr>
            <w:tcW w:w="584" w:type="pct"/>
            <w:vAlign w:val="center"/>
          </w:tcPr>
          <w:p w14:paraId="061FF086"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125B093E"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3C3A66E6" w14:textId="77777777">
        <w:trPr>
          <w:trHeight w:val="72"/>
          <w:jc w:val="center"/>
        </w:trPr>
        <w:tc>
          <w:tcPr>
            <w:tcW w:w="969" w:type="pct"/>
            <w:vAlign w:val="center"/>
          </w:tcPr>
          <w:p w14:paraId="0D053B5B" w14:textId="77777777" w:rsidR="00B14D53" w:rsidRDefault="00000000">
            <w:pPr>
              <w:spacing w:line="0" w:lineRule="atLeast"/>
              <w:jc w:val="center"/>
              <w:rPr>
                <w:szCs w:val="21"/>
              </w:rPr>
            </w:pPr>
            <w:r>
              <w:rPr>
                <w:szCs w:val="21"/>
              </w:rPr>
              <w:t>氯离子</w:t>
            </w:r>
          </w:p>
        </w:tc>
        <w:tc>
          <w:tcPr>
            <w:tcW w:w="1244" w:type="dxa"/>
            <w:vAlign w:val="bottom"/>
          </w:tcPr>
          <w:p w14:paraId="1CC2C29D" w14:textId="77777777" w:rsidR="00B14D53" w:rsidRDefault="00000000">
            <w:pPr>
              <w:spacing w:line="0" w:lineRule="atLeast"/>
              <w:jc w:val="center"/>
              <w:rPr>
                <w:rFonts w:eastAsia="等线"/>
                <w:szCs w:val="21"/>
              </w:rPr>
            </w:pPr>
            <w:r>
              <w:rPr>
                <w:rFonts w:eastAsia="等线" w:hint="eastAsia"/>
                <w:szCs w:val="21"/>
              </w:rPr>
              <w:t>64.7</w:t>
            </w:r>
          </w:p>
        </w:tc>
        <w:tc>
          <w:tcPr>
            <w:tcW w:w="1137" w:type="dxa"/>
            <w:vAlign w:val="bottom"/>
          </w:tcPr>
          <w:p w14:paraId="76B0CF7B" w14:textId="77777777" w:rsidR="00B14D53" w:rsidRDefault="00000000">
            <w:pPr>
              <w:spacing w:line="0" w:lineRule="atLeast"/>
              <w:jc w:val="center"/>
              <w:rPr>
                <w:rFonts w:eastAsia="等线"/>
                <w:szCs w:val="21"/>
              </w:rPr>
            </w:pPr>
            <w:r>
              <w:rPr>
                <w:rFonts w:eastAsia="等线" w:hint="eastAsia"/>
                <w:szCs w:val="21"/>
              </w:rPr>
              <w:t>16.2</w:t>
            </w:r>
          </w:p>
        </w:tc>
        <w:tc>
          <w:tcPr>
            <w:tcW w:w="1044" w:type="dxa"/>
            <w:vAlign w:val="bottom"/>
          </w:tcPr>
          <w:p w14:paraId="7814A8B4" w14:textId="77777777" w:rsidR="00B14D53" w:rsidRDefault="00000000">
            <w:pPr>
              <w:spacing w:line="0" w:lineRule="atLeast"/>
              <w:jc w:val="center"/>
              <w:rPr>
                <w:rFonts w:eastAsia="等线"/>
                <w:szCs w:val="21"/>
              </w:rPr>
            </w:pPr>
            <w:r>
              <w:rPr>
                <w:rFonts w:eastAsia="等线" w:hint="eastAsia"/>
                <w:szCs w:val="21"/>
              </w:rPr>
              <w:t>36.50</w:t>
            </w:r>
          </w:p>
        </w:tc>
        <w:tc>
          <w:tcPr>
            <w:tcW w:w="1084" w:type="dxa"/>
            <w:vAlign w:val="bottom"/>
          </w:tcPr>
          <w:p w14:paraId="4B98E784" w14:textId="77777777" w:rsidR="00B14D53" w:rsidRDefault="00000000">
            <w:pPr>
              <w:spacing w:line="0" w:lineRule="atLeast"/>
              <w:jc w:val="center"/>
              <w:rPr>
                <w:rFonts w:eastAsia="等线"/>
                <w:szCs w:val="21"/>
              </w:rPr>
            </w:pPr>
            <w:r>
              <w:rPr>
                <w:rFonts w:eastAsia="等线" w:hint="eastAsia"/>
                <w:szCs w:val="21"/>
              </w:rPr>
              <w:t>20.57</w:t>
            </w:r>
          </w:p>
        </w:tc>
        <w:tc>
          <w:tcPr>
            <w:tcW w:w="584" w:type="pct"/>
            <w:vAlign w:val="center"/>
          </w:tcPr>
          <w:p w14:paraId="43F6A2F9"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67D6F323"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468ACBD9" w14:textId="77777777">
        <w:trPr>
          <w:trHeight w:val="72"/>
          <w:jc w:val="center"/>
        </w:trPr>
        <w:tc>
          <w:tcPr>
            <w:tcW w:w="969" w:type="pct"/>
            <w:vAlign w:val="center"/>
          </w:tcPr>
          <w:p w14:paraId="278A4F96" w14:textId="77777777" w:rsidR="00B14D53" w:rsidRDefault="00000000">
            <w:pPr>
              <w:spacing w:line="0" w:lineRule="atLeast"/>
              <w:jc w:val="center"/>
              <w:rPr>
                <w:szCs w:val="21"/>
              </w:rPr>
            </w:pPr>
            <w:r>
              <w:rPr>
                <w:szCs w:val="21"/>
              </w:rPr>
              <w:t>硫酸根离子</w:t>
            </w:r>
          </w:p>
        </w:tc>
        <w:tc>
          <w:tcPr>
            <w:tcW w:w="1244" w:type="dxa"/>
            <w:vAlign w:val="bottom"/>
          </w:tcPr>
          <w:p w14:paraId="001BF2A8" w14:textId="77777777" w:rsidR="00B14D53" w:rsidRDefault="00000000">
            <w:pPr>
              <w:spacing w:line="0" w:lineRule="atLeast"/>
              <w:jc w:val="center"/>
              <w:rPr>
                <w:rFonts w:eastAsia="等线"/>
                <w:szCs w:val="21"/>
              </w:rPr>
            </w:pPr>
            <w:r>
              <w:rPr>
                <w:rFonts w:eastAsia="等线" w:hint="eastAsia"/>
                <w:szCs w:val="21"/>
              </w:rPr>
              <w:t>68</w:t>
            </w:r>
          </w:p>
        </w:tc>
        <w:tc>
          <w:tcPr>
            <w:tcW w:w="1137" w:type="dxa"/>
            <w:vAlign w:val="bottom"/>
          </w:tcPr>
          <w:p w14:paraId="4B38BD3F" w14:textId="77777777" w:rsidR="00B14D53" w:rsidRDefault="00000000">
            <w:pPr>
              <w:spacing w:line="0" w:lineRule="atLeast"/>
              <w:jc w:val="center"/>
              <w:rPr>
                <w:rFonts w:eastAsia="等线"/>
                <w:szCs w:val="21"/>
              </w:rPr>
            </w:pPr>
            <w:r>
              <w:rPr>
                <w:rFonts w:eastAsia="等线" w:hint="eastAsia"/>
                <w:szCs w:val="21"/>
              </w:rPr>
              <w:t>42.4</w:t>
            </w:r>
          </w:p>
        </w:tc>
        <w:tc>
          <w:tcPr>
            <w:tcW w:w="1044" w:type="dxa"/>
            <w:vAlign w:val="bottom"/>
          </w:tcPr>
          <w:p w14:paraId="5AC0E5CA" w14:textId="77777777" w:rsidR="00B14D53" w:rsidRDefault="00000000">
            <w:pPr>
              <w:spacing w:line="0" w:lineRule="atLeast"/>
              <w:jc w:val="center"/>
              <w:rPr>
                <w:rFonts w:eastAsia="等线"/>
                <w:szCs w:val="21"/>
              </w:rPr>
            </w:pPr>
            <w:r>
              <w:rPr>
                <w:rFonts w:eastAsia="等线" w:hint="eastAsia"/>
                <w:szCs w:val="21"/>
              </w:rPr>
              <w:t>58.73</w:t>
            </w:r>
          </w:p>
        </w:tc>
        <w:tc>
          <w:tcPr>
            <w:tcW w:w="1084" w:type="dxa"/>
            <w:vAlign w:val="bottom"/>
          </w:tcPr>
          <w:p w14:paraId="353C5EAF" w14:textId="77777777" w:rsidR="00B14D53" w:rsidRDefault="00000000">
            <w:pPr>
              <w:spacing w:line="0" w:lineRule="atLeast"/>
              <w:jc w:val="center"/>
              <w:rPr>
                <w:rFonts w:eastAsia="等线"/>
                <w:szCs w:val="21"/>
              </w:rPr>
            </w:pPr>
            <w:r>
              <w:rPr>
                <w:rFonts w:eastAsia="等线" w:hint="eastAsia"/>
                <w:szCs w:val="21"/>
              </w:rPr>
              <w:t>11.58</w:t>
            </w:r>
          </w:p>
        </w:tc>
        <w:tc>
          <w:tcPr>
            <w:tcW w:w="584" w:type="pct"/>
            <w:vAlign w:val="center"/>
          </w:tcPr>
          <w:p w14:paraId="6809336B"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44067387"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66D284B1" w14:textId="77777777">
        <w:trPr>
          <w:trHeight w:val="72"/>
          <w:jc w:val="center"/>
        </w:trPr>
        <w:tc>
          <w:tcPr>
            <w:tcW w:w="969" w:type="pct"/>
            <w:vAlign w:val="center"/>
          </w:tcPr>
          <w:p w14:paraId="55BB1A73" w14:textId="77777777" w:rsidR="00B14D53" w:rsidRDefault="00000000">
            <w:pPr>
              <w:spacing w:line="0" w:lineRule="atLeast"/>
              <w:jc w:val="center"/>
              <w:rPr>
                <w:rFonts w:eastAsia="等线"/>
                <w:szCs w:val="21"/>
              </w:rPr>
            </w:pPr>
            <w:r>
              <w:rPr>
                <w:szCs w:val="21"/>
              </w:rPr>
              <w:t>pH</w:t>
            </w:r>
          </w:p>
        </w:tc>
        <w:tc>
          <w:tcPr>
            <w:tcW w:w="1244" w:type="dxa"/>
            <w:vAlign w:val="bottom"/>
          </w:tcPr>
          <w:p w14:paraId="05F286B9" w14:textId="77777777" w:rsidR="00B14D53" w:rsidRDefault="00000000">
            <w:pPr>
              <w:spacing w:line="0" w:lineRule="atLeast"/>
              <w:jc w:val="center"/>
              <w:rPr>
                <w:rFonts w:eastAsia="等线"/>
                <w:szCs w:val="21"/>
              </w:rPr>
            </w:pPr>
            <w:r>
              <w:rPr>
                <w:rFonts w:eastAsia="等线" w:hint="eastAsia"/>
                <w:szCs w:val="21"/>
              </w:rPr>
              <w:t>7.4</w:t>
            </w:r>
          </w:p>
        </w:tc>
        <w:tc>
          <w:tcPr>
            <w:tcW w:w="1137" w:type="dxa"/>
            <w:vAlign w:val="bottom"/>
          </w:tcPr>
          <w:p w14:paraId="44270B9F" w14:textId="77777777" w:rsidR="00B14D53" w:rsidRDefault="00000000">
            <w:pPr>
              <w:spacing w:line="0" w:lineRule="atLeast"/>
              <w:jc w:val="center"/>
              <w:rPr>
                <w:rFonts w:eastAsia="等线"/>
                <w:szCs w:val="21"/>
              </w:rPr>
            </w:pPr>
            <w:r>
              <w:rPr>
                <w:rFonts w:eastAsia="等线" w:hint="eastAsia"/>
                <w:szCs w:val="21"/>
              </w:rPr>
              <w:t>6.8</w:t>
            </w:r>
          </w:p>
        </w:tc>
        <w:tc>
          <w:tcPr>
            <w:tcW w:w="1044" w:type="dxa"/>
            <w:vAlign w:val="bottom"/>
          </w:tcPr>
          <w:p w14:paraId="28F5B73E" w14:textId="77777777" w:rsidR="00B14D53" w:rsidRDefault="00000000">
            <w:pPr>
              <w:spacing w:line="0" w:lineRule="atLeast"/>
              <w:jc w:val="center"/>
              <w:rPr>
                <w:rFonts w:eastAsia="等线"/>
                <w:szCs w:val="21"/>
              </w:rPr>
            </w:pPr>
            <w:r>
              <w:rPr>
                <w:rFonts w:eastAsia="等线" w:hint="eastAsia"/>
                <w:szCs w:val="21"/>
              </w:rPr>
              <w:t>7.17</w:t>
            </w:r>
          </w:p>
        </w:tc>
        <w:tc>
          <w:tcPr>
            <w:tcW w:w="1084" w:type="dxa"/>
            <w:vAlign w:val="bottom"/>
          </w:tcPr>
          <w:p w14:paraId="75838F40" w14:textId="77777777" w:rsidR="00B14D53" w:rsidRDefault="00000000">
            <w:pPr>
              <w:spacing w:line="0" w:lineRule="atLeast"/>
              <w:jc w:val="center"/>
              <w:rPr>
                <w:rFonts w:eastAsia="等线"/>
                <w:szCs w:val="21"/>
              </w:rPr>
            </w:pPr>
            <w:r>
              <w:rPr>
                <w:rFonts w:eastAsia="等线" w:hint="eastAsia"/>
                <w:szCs w:val="21"/>
              </w:rPr>
              <w:t>0.26</w:t>
            </w:r>
          </w:p>
        </w:tc>
        <w:tc>
          <w:tcPr>
            <w:tcW w:w="584" w:type="pct"/>
            <w:vAlign w:val="center"/>
          </w:tcPr>
          <w:p w14:paraId="531B8043"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61146779"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6BFD5F34" w14:textId="77777777">
        <w:trPr>
          <w:trHeight w:val="72"/>
          <w:jc w:val="center"/>
        </w:trPr>
        <w:tc>
          <w:tcPr>
            <w:tcW w:w="969" w:type="pct"/>
            <w:vAlign w:val="center"/>
          </w:tcPr>
          <w:p w14:paraId="35395E2E" w14:textId="77777777" w:rsidR="00B14D53" w:rsidRDefault="00000000">
            <w:pPr>
              <w:spacing w:line="0" w:lineRule="atLeast"/>
              <w:jc w:val="center"/>
              <w:rPr>
                <w:szCs w:val="21"/>
              </w:rPr>
            </w:pPr>
            <w:r>
              <w:rPr>
                <w:szCs w:val="21"/>
              </w:rPr>
              <w:t>总硬度</w:t>
            </w:r>
          </w:p>
        </w:tc>
        <w:tc>
          <w:tcPr>
            <w:tcW w:w="1244" w:type="dxa"/>
            <w:vAlign w:val="bottom"/>
          </w:tcPr>
          <w:p w14:paraId="74DEE96B" w14:textId="77777777" w:rsidR="00B14D53" w:rsidRDefault="00000000">
            <w:pPr>
              <w:spacing w:line="0" w:lineRule="atLeast"/>
              <w:jc w:val="center"/>
              <w:rPr>
                <w:rFonts w:eastAsia="等线"/>
                <w:szCs w:val="21"/>
              </w:rPr>
            </w:pPr>
            <w:r>
              <w:rPr>
                <w:rFonts w:eastAsia="等线" w:hint="eastAsia"/>
                <w:szCs w:val="21"/>
              </w:rPr>
              <w:t>387</w:t>
            </w:r>
          </w:p>
        </w:tc>
        <w:tc>
          <w:tcPr>
            <w:tcW w:w="1137" w:type="dxa"/>
            <w:vAlign w:val="bottom"/>
          </w:tcPr>
          <w:p w14:paraId="26AD9E7D" w14:textId="77777777" w:rsidR="00B14D53" w:rsidRDefault="00000000">
            <w:pPr>
              <w:spacing w:line="0" w:lineRule="atLeast"/>
              <w:jc w:val="center"/>
              <w:rPr>
                <w:rFonts w:eastAsia="等线"/>
                <w:szCs w:val="21"/>
              </w:rPr>
            </w:pPr>
            <w:r>
              <w:rPr>
                <w:rFonts w:eastAsia="等线" w:hint="eastAsia"/>
                <w:szCs w:val="21"/>
              </w:rPr>
              <w:t>154</w:t>
            </w:r>
          </w:p>
        </w:tc>
        <w:tc>
          <w:tcPr>
            <w:tcW w:w="1044" w:type="dxa"/>
            <w:vAlign w:val="bottom"/>
          </w:tcPr>
          <w:p w14:paraId="6DA5FB8C" w14:textId="77777777" w:rsidR="00B14D53" w:rsidRDefault="00000000">
            <w:pPr>
              <w:spacing w:line="0" w:lineRule="atLeast"/>
              <w:jc w:val="center"/>
              <w:rPr>
                <w:rFonts w:eastAsia="等线"/>
                <w:szCs w:val="21"/>
              </w:rPr>
            </w:pPr>
            <w:r>
              <w:rPr>
                <w:rFonts w:eastAsia="等线" w:hint="eastAsia"/>
                <w:szCs w:val="21"/>
              </w:rPr>
              <w:t>232.67</w:t>
            </w:r>
          </w:p>
        </w:tc>
        <w:tc>
          <w:tcPr>
            <w:tcW w:w="1084" w:type="dxa"/>
            <w:vAlign w:val="bottom"/>
          </w:tcPr>
          <w:p w14:paraId="13B01768" w14:textId="77777777" w:rsidR="00B14D53" w:rsidRDefault="00000000">
            <w:pPr>
              <w:spacing w:line="0" w:lineRule="atLeast"/>
              <w:jc w:val="center"/>
              <w:rPr>
                <w:rFonts w:eastAsia="等线"/>
                <w:szCs w:val="21"/>
              </w:rPr>
            </w:pPr>
            <w:r>
              <w:rPr>
                <w:rFonts w:eastAsia="等线" w:hint="eastAsia"/>
                <w:szCs w:val="21"/>
              </w:rPr>
              <w:t>109.14</w:t>
            </w:r>
          </w:p>
        </w:tc>
        <w:tc>
          <w:tcPr>
            <w:tcW w:w="584" w:type="pct"/>
            <w:vAlign w:val="center"/>
          </w:tcPr>
          <w:p w14:paraId="657EB9D6"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49AC2467"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4AD9B495" w14:textId="77777777">
        <w:trPr>
          <w:trHeight w:val="72"/>
          <w:jc w:val="center"/>
        </w:trPr>
        <w:tc>
          <w:tcPr>
            <w:tcW w:w="969" w:type="pct"/>
            <w:vAlign w:val="center"/>
          </w:tcPr>
          <w:p w14:paraId="723A3B48" w14:textId="77777777" w:rsidR="00B14D53" w:rsidRDefault="00000000">
            <w:pPr>
              <w:spacing w:line="0" w:lineRule="atLeast"/>
              <w:jc w:val="center"/>
              <w:rPr>
                <w:szCs w:val="21"/>
              </w:rPr>
            </w:pPr>
            <w:r>
              <w:rPr>
                <w:szCs w:val="21"/>
              </w:rPr>
              <w:t>溶解性总固体</w:t>
            </w:r>
          </w:p>
        </w:tc>
        <w:tc>
          <w:tcPr>
            <w:tcW w:w="1244" w:type="dxa"/>
            <w:vAlign w:val="bottom"/>
          </w:tcPr>
          <w:p w14:paraId="3F0140DA" w14:textId="77777777" w:rsidR="00B14D53" w:rsidRDefault="00000000">
            <w:pPr>
              <w:spacing w:line="0" w:lineRule="atLeast"/>
              <w:jc w:val="center"/>
              <w:rPr>
                <w:rFonts w:eastAsia="等线"/>
                <w:szCs w:val="21"/>
              </w:rPr>
            </w:pPr>
            <w:r>
              <w:rPr>
                <w:rFonts w:eastAsia="等线" w:hint="eastAsia"/>
                <w:szCs w:val="21"/>
              </w:rPr>
              <w:t>631</w:t>
            </w:r>
          </w:p>
        </w:tc>
        <w:tc>
          <w:tcPr>
            <w:tcW w:w="1137" w:type="dxa"/>
            <w:vAlign w:val="bottom"/>
          </w:tcPr>
          <w:p w14:paraId="2E21C33D" w14:textId="77777777" w:rsidR="00B14D53" w:rsidRDefault="00000000">
            <w:pPr>
              <w:spacing w:line="0" w:lineRule="atLeast"/>
              <w:jc w:val="center"/>
              <w:rPr>
                <w:rFonts w:eastAsia="等线"/>
                <w:szCs w:val="21"/>
              </w:rPr>
            </w:pPr>
            <w:r>
              <w:rPr>
                <w:rFonts w:eastAsia="等线" w:hint="eastAsia"/>
                <w:szCs w:val="21"/>
              </w:rPr>
              <w:t>436</w:t>
            </w:r>
          </w:p>
        </w:tc>
        <w:tc>
          <w:tcPr>
            <w:tcW w:w="1044" w:type="dxa"/>
            <w:vAlign w:val="bottom"/>
          </w:tcPr>
          <w:p w14:paraId="604BBF0B" w14:textId="77777777" w:rsidR="00B14D53" w:rsidRDefault="00000000">
            <w:pPr>
              <w:spacing w:line="0" w:lineRule="atLeast"/>
              <w:jc w:val="center"/>
              <w:rPr>
                <w:rFonts w:eastAsia="等线"/>
                <w:szCs w:val="21"/>
              </w:rPr>
            </w:pPr>
            <w:r>
              <w:rPr>
                <w:rFonts w:eastAsia="等线" w:hint="eastAsia"/>
                <w:szCs w:val="21"/>
              </w:rPr>
              <w:t>503.67</w:t>
            </w:r>
          </w:p>
        </w:tc>
        <w:tc>
          <w:tcPr>
            <w:tcW w:w="1084" w:type="dxa"/>
            <w:vAlign w:val="bottom"/>
          </w:tcPr>
          <w:p w14:paraId="54ECF890" w14:textId="77777777" w:rsidR="00B14D53" w:rsidRDefault="00000000">
            <w:pPr>
              <w:spacing w:line="0" w:lineRule="atLeast"/>
              <w:jc w:val="center"/>
              <w:rPr>
                <w:rFonts w:eastAsia="等线"/>
                <w:szCs w:val="21"/>
              </w:rPr>
            </w:pPr>
            <w:r>
              <w:rPr>
                <w:rFonts w:eastAsia="等线" w:hint="eastAsia"/>
                <w:szCs w:val="21"/>
              </w:rPr>
              <w:t>90.10</w:t>
            </w:r>
          </w:p>
        </w:tc>
        <w:tc>
          <w:tcPr>
            <w:tcW w:w="584" w:type="pct"/>
            <w:vAlign w:val="center"/>
          </w:tcPr>
          <w:p w14:paraId="220897E9"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3EB89931"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42CB93A8" w14:textId="77777777">
        <w:trPr>
          <w:trHeight w:val="72"/>
          <w:jc w:val="center"/>
        </w:trPr>
        <w:tc>
          <w:tcPr>
            <w:tcW w:w="969" w:type="pct"/>
            <w:vAlign w:val="center"/>
          </w:tcPr>
          <w:p w14:paraId="1CF1926C" w14:textId="77777777" w:rsidR="00B14D53" w:rsidRDefault="00000000">
            <w:pPr>
              <w:spacing w:line="0" w:lineRule="atLeast"/>
              <w:jc w:val="center"/>
              <w:rPr>
                <w:szCs w:val="21"/>
              </w:rPr>
            </w:pPr>
            <w:r>
              <w:rPr>
                <w:szCs w:val="21"/>
              </w:rPr>
              <w:t>硫酸盐</w:t>
            </w:r>
          </w:p>
        </w:tc>
        <w:tc>
          <w:tcPr>
            <w:tcW w:w="1244" w:type="dxa"/>
            <w:vAlign w:val="bottom"/>
          </w:tcPr>
          <w:p w14:paraId="7A8AE7FD" w14:textId="77777777" w:rsidR="00B14D53" w:rsidRDefault="00000000">
            <w:pPr>
              <w:spacing w:line="0" w:lineRule="atLeast"/>
              <w:jc w:val="center"/>
              <w:rPr>
                <w:rFonts w:eastAsia="等线"/>
                <w:szCs w:val="21"/>
              </w:rPr>
            </w:pPr>
            <w:r>
              <w:rPr>
                <w:rFonts w:eastAsia="等线" w:hint="eastAsia"/>
                <w:szCs w:val="21"/>
              </w:rPr>
              <w:t>67</w:t>
            </w:r>
          </w:p>
        </w:tc>
        <w:tc>
          <w:tcPr>
            <w:tcW w:w="1137" w:type="dxa"/>
            <w:vAlign w:val="bottom"/>
          </w:tcPr>
          <w:p w14:paraId="3DF2BBF0" w14:textId="77777777" w:rsidR="00B14D53" w:rsidRDefault="00000000">
            <w:pPr>
              <w:spacing w:line="0" w:lineRule="atLeast"/>
              <w:jc w:val="center"/>
              <w:rPr>
                <w:rFonts w:eastAsia="等线"/>
                <w:szCs w:val="21"/>
              </w:rPr>
            </w:pPr>
            <w:r>
              <w:rPr>
                <w:rFonts w:eastAsia="等线" w:hint="eastAsia"/>
                <w:szCs w:val="21"/>
              </w:rPr>
              <w:t>41</w:t>
            </w:r>
          </w:p>
        </w:tc>
        <w:tc>
          <w:tcPr>
            <w:tcW w:w="1044" w:type="dxa"/>
            <w:vAlign w:val="bottom"/>
          </w:tcPr>
          <w:p w14:paraId="2420B6BD" w14:textId="77777777" w:rsidR="00B14D53" w:rsidRDefault="00000000">
            <w:pPr>
              <w:spacing w:line="0" w:lineRule="atLeast"/>
              <w:jc w:val="center"/>
              <w:rPr>
                <w:rFonts w:eastAsia="等线"/>
                <w:szCs w:val="21"/>
              </w:rPr>
            </w:pPr>
            <w:r>
              <w:rPr>
                <w:rFonts w:eastAsia="等线" w:hint="eastAsia"/>
                <w:szCs w:val="21"/>
              </w:rPr>
              <w:t>57.00</w:t>
            </w:r>
          </w:p>
        </w:tc>
        <w:tc>
          <w:tcPr>
            <w:tcW w:w="1084" w:type="dxa"/>
            <w:vAlign w:val="bottom"/>
          </w:tcPr>
          <w:p w14:paraId="160F2E41" w14:textId="77777777" w:rsidR="00B14D53" w:rsidRDefault="00000000">
            <w:pPr>
              <w:spacing w:line="0" w:lineRule="atLeast"/>
              <w:jc w:val="center"/>
              <w:rPr>
                <w:rFonts w:eastAsia="等线"/>
                <w:szCs w:val="21"/>
              </w:rPr>
            </w:pPr>
            <w:r>
              <w:rPr>
                <w:rFonts w:eastAsia="等线" w:hint="eastAsia"/>
                <w:szCs w:val="21"/>
              </w:rPr>
              <w:t>11.43</w:t>
            </w:r>
          </w:p>
        </w:tc>
        <w:tc>
          <w:tcPr>
            <w:tcW w:w="584" w:type="pct"/>
            <w:vAlign w:val="center"/>
          </w:tcPr>
          <w:p w14:paraId="5F6E32ED"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21A49A99"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6845173D" w14:textId="77777777">
        <w:trPr>
          <w:trHeight w:val="107"/>
          <w:jc w:val="center"/>
        </w:trPr>
        <w:tc>
          <w:tcPr>
            <w:tcW w:w="969" w:type="pct"/>
            <w:vAlign w:val="center"/>
          </w:tcPr>
          <w:p w14:paraId="16EC7717" w14:textId="77777777" w:rsidR="00B14D53" w:rsidRDefault="00000000">
            <w:pPr>
              <w:spacing w:line="0" w:lineRule="atLeast"/>
              <w:jc w:val="center"/>
              <w:rPr>
                <w:szCs w:val="21"/>
              </w:rPr>
            </w:pPr>
            <w:r>
              <w:rPr>
                <w:szCs w:val="21"/>
              </w:rPr>
              <w:t>氯化物</w:t>
            </w:r>
          </w:p>
        </w:tc>
        <w:tc>
          <w:tcPr>
            <w:tcW w:w="1244" w:type="dxa"/>
            <w:vAlign w:val="bottom"/>
          </w:tcPr>
          <w:p w14:paraId="08A165C8" w14:textId="77777777" w:rsidR="00B14D53" w:rsidRDefault="00000000">
            <w:pPr>
              <w:spacing w:line="0" w:lineRule="atLeast"/>
              <w:jc w:val="center"/>
              <w:rPr>
                <w:rFonts w:eastAsia="等线"/>
                <w:szCs w:val="21"/>
              </w:rPr>
            </w:pPr>
            <w:r>
              <w:rPr>
                <w:rFonts w:eastAsia="等线" w:hint="eastAsia"/>
                <w:szCs w:val="21"/>
              </w:rPr>
              <w:t>64</w:t>
            </w:r>
          </w:p>
        </w:tc>
        <w:tc>
          <w:tcPr>
            <w:tcW w:w="1137" w:type="dxa"/>
            <w:vAlign w:val="bottom"/>
          </w:tcPr>
          <w:p w14:paraId="32CA5484" w14:textId="77777777" w:rsidR="00B14D53" w:rsidRDefault="00000000">
            <w:pPr>
              <w:spacing w:line="0" w:lineRule="atLeast"/>
              <w:jc w:val="center"/>
              <w:rPr>
                <w:rFonts w:eastAsia="等线"/>
                <w:szCs w:val="21"/>
              </w:rPr>
            </w:pPr>
            <w:r>
              <w:rPr>
                <w:rFonts w:eastAsia="等线" w:hint="eastAsia"/>
                <w:szCs w:val="21"/>
              </w:rPr>
              <w:t>16</w:t>
            </w:r>
          </w:p>
        </w:tc>
        <w:tc>
          <w:tcPr>
            <w:tcW w:w="1044" w:type="dxa"/>
            <w:vAlign w:val="bottom"/>
          </w:tcPr>
          <w:p w14:paraId="171921E6" w14:textId="77777777" w:rsidR="00B14D53" w:rsidRDefault="00000000">
            <w:pPr>
              <w:spacing w:line="0" w:lineRule="atLeast"/>
              <w:jc w:val="center"/>
              <w:rPr>
                <w:rFonts w:eastAsia="等线"/>
                <w:szCs w:val="21"/>
              </w:rPr>
            </w:pPr>
            <w:r>
              <w:rPr>
                <w:rFonts w:eastAsia="等线" w:hint="eastAsia"/>
                <w:szCs w:val="21"/>
              </w:rPr>
              <w:t>35.67</w:t>
            </w:r>
          </w:p>
        </w:tc>
        <w:tc>
          <w:tcPr>
            <w:tcW w:w="1084" w:type="dxa"/>
            <w:vAlign w:val="bottom"/>
          </w:tcPr>
          <w:p w14:paraId="3A363525" w14:textId="77777777" w:rsidR="00B14D53" w:rsidRDefault="00000000">
            <w:pPr>
              <w:spacing w:line="0" w:lineRule="atLeast"/>
              <w:jc w:val="center"/>
              <w:rPr>
                <w:rFonts w:eastAsia="等线"/>
                <w:szCs w:val="21"/>
              </w:rPr>
            </w:pPr>
            <w:r>
              <w:rPr>
                <w:rFonts w:eastAsia="等线" w:hint="eastAsia"/>
                <w:szCs w:val="21"/>
              </w:rPr>
              <w:t>20.53</w:t>
            </w:r>
          </w:p>
        </w:tc>
        <w:tc>
          <w:tcPr>
            <w:tcW w:w="584" w:type="pct"/>
            <w:vAlign w:val="center"/>
          </w:tcPr>
          <w:p w14:paraId="4CA195F2"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6E024605"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462321D8" w14:textId="77777777">
        <w:trPr>
          <w:trHeight w:val="290"/>
          <w:jc w:val="center"/>
        </w:trPr>
        <w:tc>
          <w:tcPr>
            <w:tcW w:w="969" w:type="pct"/>
            <w:vAlign w:val="center"/>
          </w:tcPr>
          <w:p w14:paraId="3D996EE1" w14:textId="77777777" w:rsidR="00B14D53" w:rsidRDefault="00000000">
            <w:pPr>
              <w:spacing w:line="0" w:lineRule="atLeast"/>
              <w:jc w:val="center"/>
              <w:rPr>
                <w:szCs w:val="21"/>
              </w:rPr>
            </w:pPr>
            <w:r>
              <w:rPr>
                <w:szCs w:val="21"/>
              </w:rPr>
              <w:t>铁</w:t>
            </w:r>
          </w:p>
        </w:tc>
        <w:tc>
          <w:tcPr>
            <w:tcW w:w="1244" w:type="dxa"/>
            <w:vAlign w:val="bottom"/>
          </w:tcPr>
          <w:p w14:paraId="423F80E9" w14:textId="77777777" w:rsidR="00B14D53" w:rsidRDefault="00000000">
            <w:pPr>
              <w:spacing w:line="0" w:lineRule="atLeast"/>
              <w:jc w:val="center"/>
              <w:rPr>
                <w:rFonts w:eastAsia="等线"/>
                <w:szCs w:val="21"/>
              </w:rPr>
            </w:pPr>
            <w:r>
              <w:rPr>
                <w:rFonts w:eastAsia="等线" w:hint="eastAsia"/>
                <w:szCs w:val="21"/>
              </w:rPr>
              <w:t>0.43</w:t>
            </w:r>
          </w:p>
        </w:tc>
        <w:tc>
          <w:tcPr>
            <w:tcW w:w="1137" w:type="dxa"/>
            <w:vAlign w:val="bottom"/>
          </w:tcPr>
          <w:p w14:paraId="194135F3" w14:textId="77777777" w:rsidR="00B14D53" w:rsidRDefault="00000000">
            <w:pPr>
              <w:spacing w:line="0" w:lineRule="atLeast"/>
              <w:jc w:val="center"/>
              <w:rPr>
                <w:rFonts w:eastAsia="等线"/>
                <w:szCs w:val="21"/>
              </w:rPr>
            </w:pPr>
            <w:r>
              <w:rPr>
                <w:rFonts w:eastAsia="等线" w:hint="eastAsia"/>
                <w:szCs w:val="21"/>
              </w:rPr>
              <w:t>0.2</w:t>
            </w:r>
          </w:p>
        </w:tc>
        <w:tc>
          <w:tcPr>
            <w:tcW w:w="1044" w:type="dxa"/>
            <w:vAlign w:val="bottom"/>
          </w:tcPr>
          <w:p w14:paraId="75BF73CE" w14:textId="77777777" w:rsidR="00B14D53" w:rsidRDefault="00000000">
            <w:pPr>
              <w:spacing w:line="0" w:lineRule="atLeast"/>
              <w:jc w:val="center"/>
              <w:rPr>
                <w:rFonts w:eastAsia="等线"/>
                <w:szCs w:val="21"/>
              </w:rPr>
            </w:pPr>
            <w:r>
              <w:rPr>
                <w:rFonts w:eastAsia="等线" w:hint="eastAsia"/>
                <w:szCs w:val="21"/>
              </w:rPr>
              <w:t>0.28</w:t>
            </w:r>
          </w:p>
        </w:tc>
        <w:tc>
          <w:tcPr>
            <w:tcW w:w="1084" w:type="dxa"/>
            <w:vAlign w:val="bottom"/>
          </w:tcPr>
          <w:p w14:paraId="4CCA9F72" w14:textId="77777777" w:rsidR="00B14D53" w:rsidRDefault="00000000">
            <w:pPr>
              <w:spacing w:line="0" w:lineRule="atLeast"/>
              <w:jc w:val="center"/>
              <w:rPr>
                <w:rFonts w:eastAsia="等线"/>
                <w:szCs w:val="21"/>
              </w:rPr>
            </w:pPr>
            <w:r>
              <w:rPr>
                <w:rFonts w:eastAsia="等线" w:hint="eastAsia"/>
                <w:szCs w:val="21"/>
              </w:rPr>
              <w:t>0.11</w:t>
            </w:r>
          </w:p>
        </w:tc>
        <w:tc>
          <w:tcPr>
            <w:tcW w:w="584" w:type="pct"/>
            <w:vAlign w:val="center"/>
          </w:tcPr>
          <w:p w14:paraId="1453AAC3"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68CAC637" w14:textId="77777777" w:rsidR="00B14D53" w:rsidRDefault="00000000">
            <w:pPr>
              <w:autoSpaceDE w:val="0"/>
              <w:autoSpaceDN w:val="0"/>
              <w:spacing w:line="0" w:lineRule="atLeast"/>
              <w:jc w:val="center"/>
              <w:rPr>
                <w:rFonts w:eastAsiaTheme="minorEastAsia"/>
                <w:snapToGrid w:val="0"/>
                <w:szCs w:val="21"/>
              </w:rPr>
            </w:pPr>
            <w:r>
              <w:rPr>
                <w:rFonts w:eastAsiaTheme="minorEastAsia" w:hint="eastAsia"/>
                <w:snapToGrid w:val="0"/>
                <w:szCs w:val="21"/>
              </w:rPr>
              <w:t>33.33</w:t>
            </w:r>
            <w:r>
              <w:rPr>
                <w:rFonts w:eastAsiaTheme="minorEastAsia"/>
                <w:snapToGrid w:val="0"/>
                <w:szCs w:val="21"/>
              </w:rPr>
              <w:t>%</w:t>
            </w:r>
          </w:p>
        </w:tc>
      </w:tr>
      <w:tr w:rsidR="00B14D53" w14:paraId="22B455E2" w14:textId="77777777">
        <w:trPr>
          <w:trHeight w:val="72"/>
          <w:jc w:val="center"/>
        </w:trPr>
        <w:tc>
          <w:tcPr>
            <w:tcW w:w="969" w:type="pct"/>
            <w:vAlign w:val="center"/>
          </w:tcPr>
          <w:p w14:paraId="4CD62A98" w14:textId="77777777" w:rsidR="00B14D53" w:rsidRDefault="00000000">
            <w:pPr>
              <w:spacing w:line="0" w:lineRule="atLeast"/>
              <w:jc w:val="center"/>
              <w:rPr>
                <w:szCs w:val="21"/>
              </w:rPr>
            </w:pPr>
            <w:r>
              <w:rPr>
                <w:szCs w:val="21"/>
              </w:rPr>
              <w:t>锰</w:t>
            </w:r>
          </w:p>
        </w:tc>
        <w:tc>
          <w:tcPr>
            <w:tcW w:w="1244" w:type="dxa"/>
            <w:vAlign w:val="bottom"/>
          </w:tcPr>
          <w:p w14:paraId="4F2CDBDD" w14:textId="77777777" w:rsidR="00B14D53" w:rsidRDefault="00000000">
            <w:pPr>
              <w:spacing w:line="0" w:lineRule="atLeast"/>
              <w:jc w:val="center"/>
              <w:rPr>
                <w:rFonts w:eastAsia="等线"/>
                <w:szCs w:val="21"/>
              </w:rPr>
            </w:pPr>
            <w:r>
              <w:rPr>
                <w:rFonts w:eastAsia="等线" w:hint="eastAsia"/>
                <w:szCs w:val="21"/>
              </w:rPr>
              <w:t>0.2</w:t>
            </w:r>
          </w:p>
        </w:tc>
        <w:tc>
          <w:tcPr>
            <w:tcW w:w="1137" w:type="dxa"/>
            <w:vAlign w:val="bottom"/>
          </w:tcPr>
          <w:p w14:paraId="06FB948A" w14:textId="77777777" w:rsidR="00B14D53" w:rsidRDefault="00000000">
            <w:pPr>
              <w:spacing w:line="0" w:lineRule="atLeast"/>
              <w:jc w:val="center"/>
              <w:rPr>
                <w:rFonts w:eastAsia="等线"/>
                <w:szCs w:val="21"/>
              </w:rPr>
            </w:pPr>
            <w:r>
              <w:rPr>
                <w:rFonts w:eastAsia="等线" w:hint="eastAsia"/>
                <w:szCs w:val="21"/>
              </w:rPr>
              <w:t>0.01</w:t>
            </w:r>
          </w:p>
        </w:tc>
        <w:tc>
          <w:tcPr>
            <w:tcW w:w="1044" w:type="dxa"/>
            <w:vAlign w:val="bottom"/>
          </w:tcPr>
          <w:p w14:paraId="7C7E3125" w14:textId="77777777" w:rsidR="00B14D53" w:rsidRDefault="00000000">
            <w:pPr>
              <w:spacing w:line="0" w:lineRule="atLeast"/>
              <w:jc w:val="center"/>
              <w:rPr>
                <w:rFonts w:eastAsia="等线"/>
                <w:szCs w:val="21"/>
              </w:rPr>
            </w:pPr>
            <w:r>
              <w:rPr>
                <w:rFonts w:eastAsia="等线" w:hint="eastAsia"/>
                <w:szCs w:val="21"/>
              </w:rPr>
              <w:t>0.12</w:t>
            </w:r>
          </w:p>
        </w:tc>
        <w:tc>
          <w:tcPr>
            <w:tcW w:w="1084" w:type="dxa"/>
            <w:vAlign w:val="bottom"/>
          </w:tcPr>
          <w:p w14:paraId="10304F6E" w14:textId="77777777" w:rsidR="00B14D53" w:rsidRDefault="00000000">
            <w:pPr>
              <w:spacing w:line="0" w:lineRule="atLeast"/>
              <w:jc w:val="center"/>
              <w:rPr>
                <w:rFonts w:eastAsia="等线"/>
                <w:szCs w:val="21"/>
              </w:rPr>
            </w:pPr>
            <w:r>
              <w:rPr>
                <w:rFonts w:eastAsia="等线" w:hint="eastAsia"/>
                <w:szCs w:val="21"/>
              </w:rPr>
              <w:t>0.08</w:t>
            </w:r>
          </w:p>
        </w:tc>
        <w:tc>
          <w:tcPr>
            <w:tcW w:w="584" w:type="pct"/>
            <w:vAlign w:val="center"/>
          </w:tcPr>
          <w:p w14:paraId="2863F386" w14:textId="77777777" w:rsidR="00B14D53" w:rsidRDefault="00000000">
            <w:pPr>
              <w:autoSpaceDE w:val="0"/>
              <w:autoSpaceDN w:val="0"/>
              <w:spacing w:line="0" w:lineRule="atLeast"/>
              <w:jc w:val="center"/>
              <w:rPr>
                <w:rFonts w:eastAsiaTheme="minorEastAsia"/>
                <w:snapToGrid w:val="0"/>
                <w:szCs w:val="21"/>
              </w:rPr>
            </w:pPr>
            <w:r>
              <w:rPr>
                <w:rFonts w:eastAsiaTheme="minorEastAsia" w:hint="eastAsia"/>
                <w:snapToGrid w:val="0"/>
                <w:szCs w:val="21"/>
              </w:rPr>
              <w:t>66.67</w:t>
            </w:r>
            <w:r>
              <w:rPr>
                <w:rFonts w:eastAsiaTheme="minorEastAsia"/>
                <w:snapToGrid w:val="0"/>
                <w:szCs w:val="21"/>
              </w:rPr>
              <w:t>%</w:t>
            </w:r>
          </w:p>
        </w:tc>
        <w:tc>
          <w:tcPr>
            <w:tcW w:w="795" w:type="pct"/>
            <w:vAlign w:val="center"/>
          </w:tcPr>
          <w:p w14:paraId="1D8216E0" w14:textId="77777777" w:rsidR="00B14D53" w:rsidRDefault="00000000">
            <w:pPr>
              <w:autoSpaceDE w:val="0"/>
              <w:autoSpaceDN w:val="0"/>
              <w:spacing w:line="0" w:lineRule="atLeast"/>
              <w:jc w:val="center"/>
              <w:rPr>
                <w:rFonts w:eastAsiaTheme="minorEastAsia"/>
                <w:snapToGrid w:val="0"/>
                <w:szCs w:val="21"/>
              </w:rPr>
            </w:pPr>
            <w:r>
              <w:rPr>
                <w:rFonts w:eastAsiaTheme="minorEastAsia" w:hint="eastAsia"/>
                <w:snapToGrid w:val="0"/>
                <w:szCs w:val="21"/>
              </w:rPr>
              <w:t>66.67</w:t>
            </w:r>
            <w:r>
              <w:rPr>
                <w:rFonts w:eastAsiaTheme="minorEastAsia"/>
                <w:snapToGrid w:val="0"/>
                <w:szCs w:val="21"/>
              </w:rPr>
              <w:t>%</w:t>
            </w:r>
          </w:p>
        </w:tc>
      </w:tr>
      <w:tr w:rsidR="00B14D53" w14:paraId="78CB6339" w14:textId="77777777">
        <w:trPr>
          <w:trHeight w:val="72"/>
          <w:jc w:val="center"/>
        </w:trPr>
        <w:tc>
          <w:tcPr>
            <w:tcW w:w="969" w:type="pct"/>
            <w:vAlign w:val="center"/>
          </w:tcPr>
          <w:p w14:paraId="7B4F9604" w14:textId="77777777" w:rsidR="00B14D53" w:rsidRDefault="00000000">
            <w:pPr>
              <w:spacing w:line="0" w:lineRule="atLeast"/>
              <w:jc w:val="center"/>
              <w:rPr>
                <w:szCs w:val="21"/>
              </w:rPr>
            </w:pPr>
            <w:r>
              <w:rPr>
                <w:szCs w:val="21"/>
              </w:rPr>
              <w:t>挥发酚</w:t>
            </w:r>
          </w:p>
        </w:tc>
        <w:tc>
          <w:tcPr>
            <w:tcW w:w="731" w:type="pct"/>
            <w:vAlign w:val="center"/>
          </w:tcPr>
          <w:p w14:paraId="373B0C44" w14:textId="77777777" w:rsidR="00B14D53" w:rsidRDefault="00000000">
            <w:pPr>
              <w:spacing w:line="0" w:lineRule="atLeast"/>
              <w:jc w:val="center"/>
              <w:rPr>
                <w:rFonts w:eastAsia="等线"/>
                <w:szCs w:val="21"/>
              </w:rPr>
            </w:pPr>
            <w:r>
              <w:rPr>
                <w:rFonts w:eastAsia="等线"/>
                <w:szCs w:val="21"/>
              </w:rPr>
              <w:t>0.0003L</w:t>
            </w:r>
          </w:p>
        </w:tc>
        <w:tc>
          <w:tcPr>
            <w:tcW w:w="668" w:type="pct"/>
            <w:vAlign w:val="center"/>
          </w:tcPr>
          <w:p w14:paraId="6F526D6F" w14:textId="77777777" w:rsidR="00B14D53" w:rsidRDefault="00000000">
            <w:pPr>
              <w:spacing w:line="0" w:lineRule="atLeast"/>
              <w:jc w:val="center"/>
              <w:rPr>
                <w:rFonts w:eastAsia="等线"/>
                <w:szCs w:val="21"/>
              </w:rPr>
            </w:pPr>
            <w:r>
              <w:rPr>
                <w:rFonts w:eastAsia="等线"/>
                <w:szCs w:val="21"/>
              </w:rPr>
              <w:t>0.0003L</w:t>
            </w:r>
          </w:p>
        </w:tc>
        <w:tc>
          <w:tcPr>
            <w:tcW w:w="613" w:type="pct"/>
            <w:vAlign w:val="center"/>
          </w:tcPr>
          <w:p w14:paraId="483D2845" w14:textId="77777777" w:rsidR="00B14D53" w:rsidRDefault="00000000">
            <w:pPr>
              <w:spacing w:line="0" w:lineRule="atLeast"/>
              <w:jc w:val="center"/>
              <w:rPr>
                <w:rFonts w:eastAsia="等线"/>
                <w:szCs w:val="21"/>
              </w:rPr>
            </w:pPr>
            <w:r>
              <w:rPr>
                <w:rFonts w:eastAsia="等线"/>
                <w:szCs w:val="21"/>
              </w:rPr>
              <w:t>-</w:t>
            </w:r>
          </w:p>
        </w:tc>
        <w:tc>
          <w:tcPr>
            <w:tcW w:w="637" w:type="pct"/>
            <w:vAlign w:val="center"/>
          </w:tcPr>
          <w:p w14:paraId="6D3EBD19" w14:textId="77777777" w:rsidR="00B14D53" w:rsidRDefault="00000000">
            <w:pPr>
              <w:spacing w:line="0" w:lineRule="atLeast"/>
              <w:jc w:val="center"/>
              <w:rPr>
                <w:rFonts w:eastAsia="等线"/>
                <w:szCs w:val="21"/>
              </w:rPr>
            </w:pPr>
            <w:r>
              <w:rPr>
                <w:rFonts w:eastAsia="等线"/>
                <w:szCs w:val="21"/>
              </w:rPr>
              <w:t>-</w:t>
            </w:r>
          </w:p>
        </w:tc>
        <w:tc>
          <w:tcPr>
            <w:tcW w:w="584" w:type="pct"/>
            <w:vAlign w:val="center"/>
          </w:tcPr>
          <w:p w14:paraId="1AE966B7"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c>
          <w:tcPr>
            <w:tcW w:w="795" w:type="pct"/>
            <w:vAlign w:val="center"/>
          </w:tcPr>
          <w:p w14:paraId="07162D10"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0ECE9602" w14:textId="77777777">
        <w:trPr>
          <w:trHeight w:val="72"/>
          <w:jc w:val="center"/>
        </w:trPr>
        <w:tc>
          <w:tcPr>
            <w:tcW w:w="969" w:type="pct"/>
            <w:vAlign w:val="center"/>
          </w:tcPr>
          <w:p w14:paraId="2DAA8C8D" w14:textId="77777777" w:rsidR="00B14D53" w:rsidRDefault="00000000">
            <w:pPr>
              <w:spacing w:line="0" w:lineRule="atLeast"/>
              <w:jc w:val="center"/>
              <w:rPr>
                <w:szCs w:val="21"/>
              </w:rPr>
            </w:pPr>
            <w:r>
              <w:rPr>
                <w:szCs w:val="21"/>
              </w:rPr>
              <w:t>耗氧量</w:t>
            </w:r>
          </w:p>
        </w:tc>
        <w:tc>
          <w:tcPr>
            <w:tcW w:w="1244" w:type="dxa"/>
            <w:vAlign w:val="bottom"/>
          </w:tcPr>
          <w:p w14:paraId="02DEC708" w14:textId="77777777" w:rsidR="00B14D53" w:rsidRDefault="00000000">
            <w:pPr>
              <w:spacing w:line="0" w:lineRule="atLeast"/>
              <w:jc w:val="center"/>
              <w:rPr>
                <w:rFonts w:eastAsia="等线"/>
                <w:szCs w:val="21"/>
              </w:rPr>
            </w:pPr>
            <w:r>
              <w:rPr>
                <w:rFonts w:eastAsia="等线" w:hint="eastAsia"/>
                <w:szCs w:val="21"/>
              </w:rPr>
              <w:t>2.7</w:t>
            </w:r>
          </w:p>
        </w:tc>
        <w:tc>
          <w:tcPr>
            <w:tcW w:w="1137" w:type="dxa"/>
            <w:vAlign w:val="bottom"/>
          </w:tcPr>
          <w:p w14:paraId="37862E29" w14:textId="77777777" w:rsidR="00B14D53" w:rsidRDefault="00000000">
            <w:pPr>
              <w:spacing w:line="0" w:lineRule="atLeast"/>
              <w:jc w:val="center"/>
              <w:rPr>
                <w:rFonts w:eastAsia="等线"/>
                <w:szCs w:val="21"/>
              </w:rPr>
            </w:pPr>
            <w:r>
              <w:rPr>
                <w:rFonts w:eastAsia="等线" w:hint="eastAsia"/>
                <w:szCs w:val="21"/>
              </w:rPr>
              <w:t>1.9</w:t>
            </w:r>
          </w:p>
        </w:tc>
        <w:tc>
          <w:tcPr>
            <w:tcW w:w="1044" w:type="dxa"/>
            <w:vAlign w:val="bottom"/>
          </w:tcPr>
          <w:p w14:paraId="31A5B3D7" w14:textId="77777777" w:rsidR="00B14D53" w:rsidRDefault="00000000">
            <w:pPr>
              <w:spacing w:line="0" w:lineRule="atLeast"/>
              <w:jc w:val="center"/>
              <w:rPr>
                <w:rFonts w:eastAsia="等线"/>
                <w:szCs w:val="21"/>
              </w:rPr>
            </w:pPr>
            <w:r>
              <w:rPr>
                <w:rFonts w:eastAsia="等线" w:hint="eastAsia"/>
                <w:szCs w:val="21"/>
              </w:rPr>
              <w:t>2.17</w:t>
            </w:r>
          </w:p>
        </w:tc>
        <w:tc>
          <w:tcPr>
            <w:tcW w:w="1084" w:type="dxa"/>
            <w:vAlign w:val="bottom"/>
          </w:tcPr>
          <w:p w14:paraId="3CF0FA86" w14:textId="77777777" w:rsidR="00B14D53" w:rsidRDefault="00000000">
            <w:pPr>
              <w:spacing w:line="0" w:lineRule="atLeast"/>
              <w:jc w:val="center"/>
              <w:rPr>
                <w:rFonts w:eastAsia="等线"/>
                <w:szCs w:val="21"/>
              </w:rPr>
            </w:pPr>
            <w:r>
              <w:rPr>
                <w:rFonts w:eastAsia="等线" w:hint="eastAsia"/>
                <w:szCs w:val="21"/>
              </w:rPr>
              <w:t>0.38</w:t>
            </w:r>
          </w:p>
        </w:tc>
        <w:tc>
          <w:tcPr>
            <w:tcW w:w="584" w:type="pct"/>
            <w:vAlign w:val="center"/>
          </w:tcPr>
          <w:p w14:paraId="03C7C219"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216DDD46"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01AB78AC" w14:textId="77777777">
        <w:trPr>
          <w:trHeight w:val="72"/>
          <w:jc w:val="center"/>
        </w:trPr>
        <w:tc>
          <w:tcPr>
            <w:tcW w:w="969" w:type="pct"/>
            <w:vAlign w:val="center"/>
          </w:tcPr>
          <w:p w14:paraId="265D7A75" w14:textId="77777777" w:rsidR="00B14D53" w:rsidRDefault="00000000">
            <w:pPr>
              <w:spacing w:line="0" w:lineRule="atLeast"/>
              <w:jc w:val="center"/>
              <w:rPr>
                <w:szCs w:val="21"/>
              </w:rPr>
            </w:pPr>
            <w:r>
              <w:rPr>
                <w:szCs w:val="21"/>
              </w:rPr>
              <w:t>氨氮</w:t>
            </w:r>
          </w:p>
        </w:tc>
        <w:tc>
          <w:tcPr>
            <w:tcW w:w="1244" w:type="dxa"/>
            <w:vAlign w:val="bottom"/>
          </w:tcPr>
          <w:p w14:paraId="6B2FA907" w14:textId="77777777" w:rsidR="00B14D53" w:rsidRDefault="00000000">
            <w:pPr>
              <w:spacing w:line="0" w:lineRule="atLeast"/>
              <w:jc w:val="center"/>
              <w:rPr>
                <w:rFonts w:eastAsia="等线"/>
                <w:szCs w:val="21"/>
              </w:rPr>
            </w:pPr>
            <w:r>
              <w:rPr>
                <w:rFonts w:eastAsia="等线" w:hint="eastAsia"/>
                <w:szCs w:val="21"/>
              </w:rPr>
              <w:t>0.247</w:t>
            </w:r>
          </w:p>
        </w:tc>
        <w:tc>
          <w:tcPr>
            <w:tcW w:w="1137" w:type="dxa"/>
            <w:vAlign w:val="bottom"/>
          </w:tcPr>
          <w:p w14:paraId="1E74592C" w14:textId="77777777" w:rsidR="00B14D53" w:rsidRDefault="00000000">
            <w:pPr>
              <w:spacing w:line="0" w:lineRule="atLeast"/>
              <w:jc w:val="center"/>
              <w:rPr>
                <w:rFonts w:eastAsia="等线"/>
                <w:szCs w:val="21"/>
              </w:rPr>
            </w:pPr>
            <w:r>
              <w:rPr>
                <w:rFonts w:eastAsia="等线" w:hint="eastAsia"/>
                <w:szCs w:val="21"/>
              </w:rPr>
              <w:t>0.1</w:t>
            </w:r>
          </w:p>
        </w:tc>
        <w:tc>
          <w:tcPr>
            <w:tcW w:w="1044" w:type="dxa"/>
            <w:vAlign w:val="bottom"/>
          </w:tcPr>
          <w:p w14:paraId="708DA88D" w14:textId="77777777" w:rsidR="00B14D53" w:rsidRDefault="00000000">
            <w:pPr>
              <w:spacing w:line="0" w:lineRule="atLeast"/>
              <w:jc w:val="center"/>
              <w:rPr>
                <w:rFonts w:eastAsia="等线"/>
                <w:szCs w:val="21"/>
              </w:rPr>
            </w:pPr>
            <w:r>
              <w:rPr>
                <w:rFonts w:eastAsia="等线" w:hint="eastAsia"/>
                <w:szCs w:val="21"/>
              </w:rPr>
              <w:t>0.17</w:t>
            </w:r>
          </w:p>
        </w:tc>
        <w:tc>
          <w:tcPr>
            <w:tcW w:w="1084" w:type="dxa"/>
            <w:vAlign w:val="bottom"/>
          </w:tcPr>
          <w:p w14:paraId="05881293" w14:textId="77777777" w:rsidR="00B14D53" w:rsidRDefault="00000000">
            <w:pPr>
              <w:spacing w:line="0" w:lineRule="atLeast"/>
              <w:jc w:val="center"/>
              <w:rPr>
                <w:rFonts w:eastAsia="等线"/>
                <w:szCs w:val="21"/>
              </w:rPr>
            </w:pPr>
            <w:r>
              <w:rPr>
                <w:rFonts w:eastAsia="等线" w:hint="eastAsia"/>
                <w:szCs w:val="21"/>
              </w:rPr>
              <w:t>0.06</w:t>
            </w:r>
          </w:p>
        </w:tc>
        <w:tc>
          <w:tcPr>
            <w:tcW w:w="584" w:type="pct"/>
            <w:vAlign w:val="center"/>
          </w:tcPr>
          <w:p w14:paraId="503D53DD"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5BC7238B"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1D7DE3A1" w14:textId="77777777">
        <w:trPr>
          <w:trHeight w:val="72"/>
          <w:jc w:val="center"/>
        </w:trPr>
        <w:tc>
          <w:tcPr>
            <w:tcW w:w="969" w:type="pct"/>
            <w:vAlign w:val="center"/>
          </w:tcPr>
          <w:p w14:paraId="2A41048D" w14:textId="77777777" w:rsidR="00B14D53" w:rsidRDefault="00000000">
            <w:pPr>
              <w:spacing w:line="0" w:lineRule="atLeast"/>
              <w:jc w:val="center"/>
              <w:rPr>
                <w:szCs w:val="21"/>
              </w:rPr>
            </w:pPr>
            <w:r>
              <w:rPr>
                <w:szCs w:val="21"/>
              </w:rPr>
              <w:t>总大肠菌群</w:t>
            </w:r>
          </w:p>
        </w:tc>
        <w:tc>
          <w:tcPr>
            <w:tcW w:w="731" w:type="pct"/>
            <w:vAlign w:val="center"/>
          </w:tcPr>
          <w:p w14:paraId="1B585331" w14:textId="77777777" w:rsidR="00B14D53" w:rsidRDefault="00000000">
            <w:pPr>
              <w:spacing w:line="0" w:lineRule="atLeast"/>
              <w:jc w:val="center"/>
              <w:rPr>
                <w:rFonts w:eastAsia="等线"/>
                <w:szCs w:val="21"/>
              </w:rPr>
            </w:pPr>
            <w:r>
              <w:rPr>
                <w:rFonts w:eastAsia="等线"/>
                <w:szCs w:val="21"/>
              </w:rPr>
              <w:t>＜</w:t>
            </w:r>
            <w:r>
              <w:rPr>
                <w:rFonts w:eastAsia="等线"/>
                <w:szCs w:val="21"/>
              </w:rPr>
              <w:t>2</w:t>
            </w:r>
          </w:p>
        </w:tc>
        <w:tc>
          <w:tcPr>
            <w:tcW w:w="668" w:type="pct"/>
            <w:vAlign w:val="center"/>
          </w:tcPr>
          <w:p w14:paraId="267C5199" w14:textId="77777777" w:rsidR="00B14D53" w:rsidRDefault="00000000">
            <w:pPr>
              <w:spacing w:line="0" w:lineRule="atLeast"/>
              <w:jc w:val="center"/>
              <w:rPr>
                <w:rFonts w:eastAsia="等线"/>
                <w:szCs w:val="21"/>
              </w:rPr>
            </w:pPr>
            <w:r>
              <w:rPr>
                <w:rFonts w:eastAsia="等线"/>
                <w:szCs w:val="21"/>
              </w:rPr>
              <w:t>＜</w:t>
            </w:r>
            <w:r>
              <w:rPr>
                <w:rFonts w:eastAsia="等线"/>
                <w:szCs w:val="21"/>
              </w:rPr>
              <w:t>2</w:t>
            </w:r>
          </w:p>
        </w:tc>
        <w:tc>
          <w:tcPr>
            <w:tcW w:w="613" w:type="pct"/>
            <w:vAlign w:val="center"/>
          </w:tcPr>
          <w:p w14:paraId="0A532969" w14:textId="77777777" w:rsidR="00B14D53" w:rsidRDefault="00000000">
            <w:pPr>
              <w:spacing w:line="0" w:lineRule="atLeast"/>
              <w:jc w:val="center"/>
              <w:rPr>
                <w:rFonts w:eastAsia="等线"/>
                <w:szCs w:val="21"/>
              </w:rPr>
            </w:pPr>
            <w:r>
              <w:rPr>
                <w:rFonts w:eastAsia="等线"/>
                <w:szCs w:val="21"/>
              </w:rPr>
              <w:t>-</w:t>
            </w:r>
          </w:p>
        </w:tc>
        <w:tc>
          <w:tcPr>
            <w:tcW w:w="637" w:type="pct"/>
            <w:vAlign w:val="center"/>
          </w:tcPr>
          <w:p w14:paraId="336857EB" w14:textId="77777777" w:rsidR="00B14D53" w:rsidRDefault="00000000">
            <w:pPr>
              <w:spacing w:line="0" w:lineRule="atLeast"/>
              <w:jc w:val="center"/>
              <w:rPr>
                <w:rFonts w:eastAsia="等线"/>
                <w:szCs w:val="21"/>
              </w:rPr>
            </w:pPr>
            <w:r>
              <w:rPr>
                <w:rFonts w:eastAsia="等线"/>
                <w:szCs w:val="21"/>
              </w:rPr>
              <w:t>-</w:t>
            </w:r>
          </w:p>
        </w:tc>
        <w:tc>
          <w:tcPr>
            <w:tcW w:w="584" w:type="pct"/>
            <w:vAlign w:val="center"/>
          </w:tcPr>
          <w:p w14:paraId="4501A3BE"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c>
          <w:tcPr>
            <w:tcW w:w="795" w:type="pct"/>
            <w:vAlign w:val="center"/>
          </w:tcPr>
          <w:p w14:paraId="6AF393E7"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43509CBF" w14:textId="77777777">
        <w:trPr>
          <w:trHeight w:val="72"/>
          <w:jc w:val="center"/>
        </w:trPr>
        <w:tc>
          <w:tcPr>
            <w:tcW w:w="969" w:type="pct"/>
            <w:vAlign w:val="center"/>
          </w:tcPr>
          <w:p w14:paraId="019261BF" w14:textId="77777777" w:rsidR="00B14D53" w:rsidRDefault="00000000">
            <w:pPr>
              <w:spacing w:line="0" w:lineRule="atLeast"/>
              <w:jc w:val="center"/>
              <w:rPr>
                <w:szCs w:val="21"/>
              </w:rPr>
            </w:pPr>
            <w:r>
              <w:rPr>
                <w:szCs w:val="21"/>
              </w:rPr>
              <w:t>菌落总数</w:t>
            </w:r>
          </w:p>
        </w:tc>
        <w:tc>
          <w:tcPr>
            <w:tcW w:w="1244" w:type="dxa"/>
            <w:vAlign w:val="bottom"/>
          </w:tcPr>
          <w:p w14:paraId="67BC9016" w14:textId="77777777" w:rsidR="00B14D53" w:rsidRDefault="00000000">
            <w:pPr>
              <w:spacing w:line="0" w:lineRule="atLeast"/>
              <w:jc w:val="center"/>
              <w:rPr>
                <w:rFonts w:eastAsia="等线"/>
                <w:szCs w:val="21"/>
              </w:rPr>
            </w:pPr>
            <w:r>
              <w:rPr>
                <w:rFonts w:eastAsia="等线" w:hint="eastAsia"/>
                <w:szCs w:val="21"/>
              </w:rPr>
              <w:t>80</w:t>
            </w:r>
          </w:p>
        </w:tc>
        <w:tc>
          <w:tcPr>
            <w:tcW w:w="1137" w:type="dxa"/>
            <w:vAlign w:val="bottom"/>
          </w:tcPr>
          <w:p w14:paraId="47F08292" w14:textId="77777777" w:rsidR="00B14D53" w:rsidRDefault="00000000">
            <w:pPr>
              <w:spacing w:line="0" w:lineRule="atLeast"/>
              <w:jc w:val="center"/>
              <w:rPr>
                <w:rFonts w:eastAsia="等线"/>
                <w:szCs w:val="21"/>
              </w:rPr>
            </w:pPr>
            <w:r>
              <w:rPr>
                <w:rFonts w:eastAsia="等线" w:hint="eastAsia"/>
                <w:szCs w:val="21"/>
              </w:rPr>
              <w:t>70</w:t>
            </w:r>
          </w:p>
        </w:tc>
        <w:tc>
          <w:tcPr>
            <w:tcW w:w="1044" w:type="dxa"/>
            <w:vAlign w:val="bottom"/>
          </w:tcPr>
          <w:p w14:paraId="70CDF387" w14:textId="77777777" w:rsidR="00B14D53" w:rsidRDefault="00000000">
            <w:pPr>
              <w:spacing w:line="0" w:lineRule="atLeast"/>
              <w:jc w:val="center"/>
              <w:rPr>
                <w:rFonts w:eastAsia="等线"/>
                <w:szCs w:val="21"/>
              </w:rPr>
            </w:pPr>
            <w:r>
              <w:rPr>
                <w:rFonts w:eastAsia="等线" w:hint="eastAsia"/>
                <w:szCs w:val="21"/>
              </w:rPr>
              <w:t>76.67</w:t>
            </w:r>
          </w:p>
        </w:tc>
        <w:tc>
          <w:tcPr>
            <w:tcW w:w="1084" w:type="dxa"/>
            <w:vAlign w:val="bottom"/>
          </w:tcPr>
          <w:p w14:paraId="28046FBD" w14:textId="77777777" w:rsidR="00B14D53" w:rsidRDefault="00000000">
            <w:pPr>
              <w:spacing w:line="0" w:lineRule="atLeast"/>
              <w:jc w:val="center"/>
              <w:rPr>
                <w:rFonts w:eastAsia="等线"/>
                <w:szCs w:val="21"/>
              </w:rPr>
            </w:pPr>
            <w:r>
              <w:rPr>
                <w:rFonts w:eastAsia="等线" w:hint="eastAsia"/>
                <w:szCs w:val="21"/>
              </w:rPr>
              <w:t>4.71</w:t>
            </w:r>
          </w:p>
        </w:tc>
        <w:tc>
          <w:tcPr>
            <w:tcW w:w="584" w:type="pct"/>
            <w:vAlign w:val="center"/>
          </w:tcPr>
          <w:p w14:paraId="4D3F7C80"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17982859"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65AF2E17" w14:textId="77777777">
        <w:trPr>
          <w:trHeight w:val="72"/>
          <w:jc w:val="center"/>
        </w:trPr>
        <w:tc>
          <w:tcPr>
            <w:tcW w:w="969" w:type="pct"/>
            <w:vAlign w:val="center"/>
          </w:tcPr>
          <w:p w14:paraId="069A30FE" w14:textId="77777777" w:rsidR="00B14D53" w:rsidRDefault="00000000">
            <w:pPr>
              <w:spacing w:line="0" w:lineRule="atLeast"/>
              <w:jc w:val="center"/>
              <w:rPr>
                <w:szCs w:val="21"/>
              </w:rPr>
            </w:pPr>
            <w:r>
              <w:rPr>
                <w:szCs w:val="21"/>
              </w:rPr>
              <w:t>亚硝酸盐</w:t>
            </w:r>
          </w:p>
        </w:tc>
        <w:tc>
          <w:tcPr>
            <w:tcW w:w="731" w:type="pct"/>
            <w:vAlign w:val="center"/>
          </w:tcPr>
          <w:p w14:paraId="64563F70" w14:textId="77777777" w:rsidR="00B14D53" w:rsidRDefault="00000000">
            <w:pPr>
              <w:spacing w:line="0" w:lineRule="atLeast"/>
              <w:jc w:val="center"/>
              <w:rPr>
                <w:rFonts w:eastAsia="等线"/>
                <w:szCs w:val="21"/>
              </w:rPr>
            </w:pPr>
            <w:r>
              <w:rPr>
                <w:rFonts w:eastAsia="等线"/>
                <w:szCs w:val="21"/>
              </w:rPr>
              <w:t>0.003L</w:t>
            </w:r>
          </w:p>
        </w:tc>
        <w:tc>
          <w:tcPr>
            <w:tcW w:w="668" w:type="pct"/>
            <w:vAlign w:val="center"/>
          </w:tcPr>
          <w:p w14:paraId="5BCC8A3F" w14:textId="77777777" w:rsidR="00B14D53" w:rsidRDefault="00000000">
            <w:pPr>
              <w:spacing w:line="0" w:lineRule="atLeast"/>
              <w:jc w:val="center"/>
              <w:rPr>
                <w:rFonts w:eastAsia="等线"/>
                <w:szCs w:val="21"/>
              </w:rPr>
            </w:pPr>
            <w:r>
              <w:rPr>
                <w:rFonts w:eastAsia="等线"/>
                <w:szCs w:val="21"/>
              </w:rPr>
              <w:t>0.003L</w:t>
            </w:r>
          </w:p>
        </w:tc>
        <w:tc>
          <w:tcPr>
            <w:tcW w:w="613" w:type="pct"/>
            <w:vAlign w:val="center"/>
          </w:tcPr>
          <w:p w14:paraId="50E07591" w14:textId="77777777" w:rsidR="00B14D53" w:rsidRDefault="00000000">
            <w:pPr>
              <w:spacing w:line="0" w:lineRule="atLeast"/>
              <w:jc w:val="center"/>
              <w:rPr>
                <w:rFonts w:eastAsia="等线"/>
                <w:szCs w:val="21"/>
              </w:rPr>
            </w:pPr>
            <w:r>
              <w:rPr>
                <w:rFonts w:eastAsia="等线"/>
                <w:szCs w:val="21"/>
              </w:rPr>
              <w:t>-</w:t>
            </w:r>
          </w:p>
        </w:tc>
        <w:tc>
          <w:tcPr>
            <w:tcW w:w="637" w:type="pct"/>
            <w:vAlign w:val="center"/>
          </w:tcPr>
          <w:p w14:paraId="4E0B1DFB" w14:textId="77777777" w:rsidR="00B14D53" w:rsidRDefault="00000000">
            <w:pPr>
              <w:spacing w:line="0" w:lineRule="atLeast"/>
              <w:jc w:val="center"/>
              <w:rPr>
                <w:rFonts w:eastAsia="等线"/>
                <w:szCs w:val="21"/>
              </w:rPr>
            </w:pPr>
            <w:r>
              <w:rPr>
                <w:rFonts w:eastAsia="等线"/>
                <w:szCs w:val="21"/>
              </w:rPr>
              <w:t>-</w:t>
            </w:r>
          </w:p>
        </w:tc>
        <w:tc>
          <w:tcPr>
            <w:tcW w:w="584" w:type="pct"/>
            <w:vAlign w:val="center"/>
          </w:tcPr>
          <w:p w14:paraId="1B8A0C04"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c>
          <w:tcPr>
            <w:tcW w:w="795" w:type="pct"/>
            <w:vAlign w:val="center"/>
          </w:tcPr>
          <w:p w14:paraId="19FBA329"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7736F07B" w14:textId="77777777">
        <w:trPr>
          <w:trHeight w:val="72"/>
          <w:jc w:val="center"/>
        </w:trPr>
        <w:tc>
          <w:tcPr>
            <w:tcW w:w="969" w:type="pct"/>
            <w:vAlign w:val="center"/>
          </w:tcPr>
          <w:p w14:paraId="0C880C2A" w14:textId="77777777" w:rsidR="00B14D53" w:rsidRDefault="00000000">
            <w:pPr>
              <w:spacing w:line="0" w:lineRule="atLeast"/>
              <w:jc w:val="center"/>
              <w:rPr>
                <w:szCs w:val="21"/>
              </w:rPr>
            </w:pPr>
            <w:r>
              <w:rPr>
                <w:szCs w:val="21"/>
              </w:rPr>
              <w:t>硝酸盐</w:t>
            </w:r>
          </w:p>
        </w:tc>
        <w:tc>
          <w:tcPr>
            <w:tcW w:w="1244" w:type="dxa"/>
            <w:vAlign w:val="bottom"/>
          </w:tcPr>
          <w:p w14:paraId="5A4758A2" w14:textId="77777777" w:rsidR="00B14D53" w:rsidRDefault="00000000">
            <w:pPr>
              <w:spacing w:line="0" w:lineRule="atLeast"/>
              <w:jc w:val="center"/>
              <w:rPr>
                <w:rFonts w:eastAsia="等线"/>
                <w:szCs w:val="21"/>
              </w:rPr>
            </w:pPr>
            <w:r>
              <w:rPr>
                <w:rFonts w:eastAsia="等线" w:hint="eastAsia"/>
                <w:szCs w:val="21"/>
              </w:rPr>
              <w:t>1.75</w:t>
            </w:r>
          </w:p>
        </w:tc>
        <w:tc>
          <w:tcPr>
            <w:tcW w:w="1137" w:type="dxa"/>
            <w:vAlign w:val="bottom"/>
          </w:tcPr>
          <w:p w14:paraId="7E203396" w14:textId="77777777" w:rsidR="00B14D53" w:rsidRDefault="00000000">
            <w:pPr>
              <w:spacing w:line="0" w:lineRule="atLeast"/>
              <w:jc w:val="center"/>
              <w:rPr>
                <w:rFonts w:eastAsia="等线"/>
                <w:szCs w:val="21"/>
              </w:rPr>
            </w:pPr>
            <w:r>
              <w:rPr>
                <w:rFonts w:eastAsia="等线" w:hint="eastAsia"/>
                <w:szCs w:val="21"/>
              </w:rPr>
              <w:t>0.35</w:t>
            </w:r>
          </w:p>
        </w:tc>
        <w:tc>
          <w:tcPr>
            <w:tcW w:w="1044" w:type="dxa"/>
            <w:vAlign w:val="bottom"/>
          </w:tcPr>
          <w:p w14:paraId="3468018C" w14:textId="77777777" w:rsidR="00B14D53" w:rsidRDefault="00000000">
            <w:pPr>
              <w:spacing w:line="0" w:lineRule="atLeast"/>
              <w:jc w:val="center"/>
              <w:rPr>
                <w:rFonts w:eastAsia="等线"/>
                <w:szCs w:val="21"/>
              </w:rPr>
            </w:pPr>
            <w:r>
              <w:rPr>
                <w:rFonts w:eastAsia="等线" w:hint="eastAsia"/>
                <w:szCs w:val="21"/>
              </w:rPr>
              <w:t>0.82</w:t>
            </w:r>
          </w:p>
        </w:tc>
        <w:tc>
          <w:tcPr>
            <w:tcW w:w="1084" w:type="dxa"/>
            <w:vAlign w:val="bottom"/>
          </w:tcPr>
          <w:p w14:paraId="15101BAC" w14:textId="77777777" w:rsidR="00B14D53" w:rsidRDefault="00000000">
            <w:pPr>
              <w:spacing w:line="0" w:lineRule="atLeast"/>
              <w:jc w:val="center"/>
              <w:rPr>
                <w:rFonts w:eastAsia="等线"/>
                <w:szCs w:val="21"/>
              </w:rPr>
            </w:pPr>
            <w:r>
              <w:rPr>
                <w:rFonts w:eastAsia="等线" w:hint="eastAsia"/>
                <w:szCs w:val="21"/>
              </w:rPr>
              <w:t>0.66</w:t>
            </w:r>
          </w:p>
        </w:tc>
        <w:tc>
          <w:tcPr>
            <w:tcW w:w="584" w:type="pct"/>
            <w:vAlign w:val="center"/>
          </w:tcPr>
          <w:p w14:paraId="260257B9"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42EC1D90"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73C9484D" w14:textId="77777777">
        <w:trPr>
          <w:trHeight w:val="72"/>
          <w:jc w:val="center"/>
        </w:trPr>
        <w:tc>
          <w:tcPr>
            <w:tcW w:w="969" w:type="pct"/>
            <w:vAlign w:val="center"/>
          </w:tcPr>
          <w:p w14:paraId="11B4905A" w14:textId="77777777" w:rsidR="00B14D53" w:rsidRDefault="00000000">
            <w:pPr>
              <w:spacing w:line="0" w:lineRule="atLeast"/>
              <w:jc w:val="center"/>
              <w:rPr>
                <w:szCs w:val="21"/>
              </w:rPr>
            </w:pPr>
            <w:r>
              <w:rPr>
                <w:szCs w:val="21"/>
              </w:rPr>
              <w:t>氰化物</w:t>
            </w:r>
          </w:p>
        </w:tc>
        <w:tc>
          <w:tcPr>
            <w:tcW w:w="731" w:type="pct"/>
            <w:vAlign w:val="center"/>
          </w:tcPr>
          <w:p w14:paraId="5712954D" w14:textId="77777777" w:rsidR="00B14D53" w:rsidRDefault="00000000">
            <w:pPr>
              <w:spacing w:line="0" w:lineRule="atLeast"/>
              <w:jc w:val="center"/>
              <w:rPr>
                <w:rFonts w:eastAsia="等线"/>
                <w:szCs w:val="21"/>
              </w:rPr>
            </w:pPr>
            <w:r>
              <w:rPr>
                <w:rFonts w:eastAsia="等线"/>
                <w:szCs w:val="21"/>
              </w:rPr>
              <w:t>0.002L</w:t>
            </w:r>
          </w:p>
        </w:tc>
        <w:tc>
          <w:tcPr>
            <w:tcW w:w="668" w:type="pct"/>
            <w:vAlign w:val="center"/>
          </w:tcPr>
          <w:p w14:paraId="7EF6852F" w14:textId="77777777" w:rsidR="00B14D53" w:rsidRDefault="00000000">
            <w:pPr>
              <w:spacing w:line="0" w:lineRule="atLeast"/>
              <w:jc w:val="center"/>
              <w:rPr>
                <w:rFonts w:eastAsia="等线"/>
                <w:szCs w:val="21"/>
              </w:rPr>
            </w:pPr>
            <w:r>
              <w:rPr>
                <w:rFonts w:eastAsia="等线"/>
                <w:szCs w:val="21"/>
              </w:rPr>
              <w:t>0.002L</w:t>
            </w:r>
          </w:p>
        </w:tc>
        <w:tc>
          <w:tcPr>
            <w:tcW w:w="613" w:type="pct"/>
            <w:vAlign w:val="center"/>
          </w:tcPr>
          <w:p w14:paraId="52605096" w14:textId="77777777" w:rsidR="00B14D53" w:rsidRDefault="00000000">
            <w:pPr>
              <w:spacing w:line="0" w:lineRule="atLeast"/>
              <w:jc w:val="center"/>
              <w:rPr>
                <w:rFonts w:eastAsia="等线"/>
                <w:szCs w:val="21"/>
              </w:rPr>
            </w:pPr>
            <w:r>
              <w:rPr>
                <w:rFonts w:eastAsia="等线"/>
                <w:szCs w:val="21"/>
              </w:rPr>
              <w:t>-</w:t>
            </w:r>
          </w:p>
        </w:tc>
        <w:tc>
          <w:tcPr>
            <w:tcW w:w="637" w:type="pct"/>
            <w:vAlign w:val="center"/>
          </w:tcPr>
          <w:p w14:paraId="540075B7" w14:textId="77777777" w:rsidR="00B14D53" w:rsidRDefault="00000000">
            <w:pPr>
              <w:spacing w:line="0" w:lineRule="atLeast"/>
              <w:jc w:val="center"/>
              <w:rPr>
                <w:rFonts w:eastAsia="等线"/>
                <w:szCs w:val="21"/>
              </w:rPr>
            </w:pPr>
            <w:r>
              <w:rPr>
                <w:rFonts w:eastAsia="等线"/>
                <w:szCs w:val="21"/>
              </w:rPr>
              <w:t>-</w:t>
            </w:r>
          </w:p>
        </w:tc>
        <w:tc>
          <w:tcPr>
            <w:tcW w:w="584" w:type="pct"/>
            <w:vAlign w:val="center"/>
          </w:tcPr>
          <w:p w14:paraId="30B0C48C"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c>
          <w:tcPr>
            <w:tcW w:w="795" w:type="pct"/>
            <w:vAlign w:val="center"/>
          </w:tcPr>
          <w:p w14:paraId="08710B40"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69B0C48B" w14:textId="77777777">
        <w:trPr>
          <w:trHeight w:val="72"/>
          <w:jc w:val="center"/>
        </w:trPr>
        <w:tc>
          <w:tcPr>
            <w:tcW w:w="969" w:type="pct"/>
            <w:vAlign w:val="center"/>
          </w:tcPr>
          <w:p w14:paraId="0BE798B4" w14:textId="77777777" w:rsidR="00B14D53" w:rsidRDefault="00000000">
            <w:pPr>
              <w:spacing w:line="0" w:lineRule="atLeast"/>
              <w:jc w:val="center"/>
              <w:rPr>
                <w:szCs w:val="21"/>
              </w:rPr>
            </w:pPr>
            <w:r>
              <w:rPr>
                <w:szCs w:val="21"/>
              </w:rPr>
              <w:t>氟化物</w:t>
            </w:r>
          </w:p>
        </w:tc>
        <w:tc>
          <w:tcPr>
            <w:tcW w:w="1244" w:type="dxa"/>
            <w:vAlign w:val="bottom"/>
          </w:tcPr>
          <w:p w14:paraId="4ED9E611" w14:textId="77777777" w:rsidR="00B14D53" w:rsidRDefault="00000000">
            <w:pPr>
              <w:spacing w:line="0" w:lineRule="atLeast"/>
              <w:jc w:val="center"/>
              <w:rPr>
                <w:rFonts w:eastAsia="等线"/>
                <w:szCs w:val="21"/>
              </w:rPr>
            </w:pPr>
            <w:r>
              <w:rPr>
                <w:rFonts w:eastAsia="等线" w:hint="eastAsia"/>
                <w:szCs w:val="21"/>
              </w:rPr>
              <w:t>0.09</w:t>
            </w:r>
          </w:p>
        </w:tc>
        <w:tc>
          <w:tcPr>
            <w:tcW w:w="1137" w:type="dxa"/>
            <w:vAlign w:val="bottom"/>
          </w:tcPr>
          <w:p w14:paraId="185BE841" w14:textId="77777777" w:rsidR="00B14D53" w:rsidRDefault="00000000">
            <w:pPr>
              <w:spacing w:line="0" w:lineRule="atLeast"/>
              <w:jc w:val="center"/>
              <w:rPr>
                <w:rFonts w:eastAsia="等线"/>
                <w:szCs w:val="21"/>
              </w:rPr>
            </w:pPr>
            <w:r>
              <w:rPr>
                <w:rFonts w:eastAsia="等线" w:hint="eastAsia"/>
                <w:szCs w:val="21"/>
              </w:rPr>
              <w:t>0.05</w:t>
            </w:r>
          </w:p>
        </w:tc>
        <w:tc>
          <w:tcPr>
            <w:tcW w:w="1044" w:type="dxa"/>
            <w:vAlign w:val="bottom"/>
          </w:tcPr>
          <w:p w14:paraId="18E9C36F" w14:textId="77777777" w:rsidR="00B14D53" w:rsidRDefault="00000000">
            <w:pPr>
              <w:spacing w:line="0" w:lineRule="atLeast"/>
              <w:jc w:val="center"/>
              <w:rPr>
                <w:rFonts w:eastAsia="等线"/>
                <w:szCs w:val="21"/>
              </w:rPr>
            </w:pPr>
            <w:r>
              <w:rPr>
                <w:rFonts w:eastAsia="等线" w:hint="eastAsia"/>
                <w:szCs w:val="21"/>
              </w:rPr>
              <w:t>0.07</w:t>
            </w:r>
          </w:p>
        </w:tc>
        <w:tc>
          <w:tcPr>
            <w:tcW w:w="1084" w:type="dxa"/>
            <w:vAlign w:val="bottom"/>
          </w:tcPr>
          <w:p w14:paraId="5AFB272E" w14:textId="77777777" w:rsidR="00B14D53" w:rsidRDefault="00000000">
            <w:pPr>
              <w:spacing w:line="0" w:lineRule="atLeast"/>
              <w:jc w:val="center"/>
              <w:rPr>
                <w:rFonts w:eastAsia="等线"/>
                <w:szCs w:val="21"/>
              </w:rPr>
            </w:pPr>
            <w:r>
              <w:rPr>
                <w:rFonts w:eastAsia="等线" w:hint="eastAsia"/>
                <w:szCs w:val="21"/>
              </w:rPr>
              <w:t>0.02</w:t>
            </w:r>
          </w:p>
        </w:tc>
        <w:tc>
          <w:tcPr>
            <w:tcW w:w="584" w:type="pct"/>
            <w:vAlign w:val="center"/>
          </w:tcPr>
          <w:p w14:paraId="701AEFD7"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54700D08"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67A8ECC7" w14:textId="77777777">
        <w:trPr>
          <w:trHeight w:val="72"/>
          <w:jc w:val="center"/>
        </w:trPr>
        <w:tc>
          <w:tcPr>
            <w:tcW w:w="969" w:type="pct"/>
            <w:vAlign w:val="center"/>
          </w:tcPr>
          <w:p w14:paraId="3D710421" w14:textId="77777777" w:rsidR="00B14D53" w:rsidRDefault="00000000">
            <w:pPr>
              <w:spacing w:line="0" w:lineRule="atLeast"/>
              <w:jc w:val="center"/>
              <w:rPr>
                <w:szCs w:val="21"/>
              </w:rPr>
            </w:pPr>
            <w:r>
              <w:rPr>
                <w:szCs w:val="21"/>
              </w:rPr>
              <w:t>汞</w:t>
            </w:r>
          </w:p>
        </w:tc>
        <w:tc>
          <w:tcPr>
            <w:tcW w:w="731" w:type="pct"/>
            <w:vAlign w:val="center"/>
          </w:tcPr>
          <w:p w14:paraId="33B83497" w14:textId="77777777" w:rsidR="00B14D53" w:rsidRDefault="00000000">
            <w:pPr>
              <w:spacing w:line="0" w:lineRule="atLeast"/>
              <w:jc w:val="center"/>
              <w:rPr>
                <w:rFonts w:eastAsia="等线"/>
                <w:szCs w:val="21"/>
              </w:rPr>
            </w:pPr>
            <w:r>
              <w:rPr>
                <w:rFonts w:eastAsia="等线"/>
                <w:szCs w:val="21"/>
              </w:rPr>
              <w:t>0.00004L</w:t>
            </w:r>
          </w:p>
        </w:tc>
        <w:tc>
          <w:tcPr>
            <w:tcW w:w="668" w:type="pct"/>
            <w:vAlign w:val="center"/>
          </w:tcPr>
          <w:p w14:paraId="3CC64D16" w14:textId="77777777" w:rsidR="00B14D53" w:rsidRDefault="00000000">
            <w:pPr>
              <w:spacing w:line="0" w:lineRule="atLeast"/>
              <w:jc w:val="center"/>
              <w:rPr>
                <w:rFonts w:eastAsia="等线"/>
                <w:szCs w:val="21"/>
              </w:rPr>
            </w:pPr>
            <w:r>
              <w:rPr>
                <w:rFonts w:eastAsia="等线"/>
                <w:szCs w:val="21"/>
              </w:rPr>
              <w:t>0.00004L</w:t>
            </w:r>
          </w:p>
        </w:tc>
        <w:tc>
          <w:tcPr>
            <w:tcW w:w="613" w:type="pct"/>
            <w:vAlign w:val="center"/>
          </w:tcPr>
          <w:p w14:paraId="1E8822BB" w14:textId="77777777" w:rsidR="00B14D53" w:rsidRDefault="00000000">
            <w:pPr>
              <w:spacing w:line="0" w:lineRule="atLeast"/>
              <w:jc w:val="center"/>
              <w:rPr>
                <w:rFonts w:eastAsia="等线"/>
                <w:szCs w:val="21"/>
              </w:rPr>
            </w:pPr>
            <w:r>
              <w:rPr>
                <w:rFonts w:eastAsia="等线"/>
                <w:szCs w:val="21"/>
              </w:rPr>
              <w:t>-</w:t>
            </w:r>
          </w:p>
        </w:tc>
        <w:tc>
          <w:tcPr>
            <w:tcW w:w="637" w:type="pct"/>
            <w:vAlign w:val="center"/>
          </w:tcPr>
          <w:p w14:paraId="67A91C53" w14:textId="77777777" w:rsidR="00B14D53" w:rsidRDefault="00000000">
            <w:pPr>
              <w:spacing w:line="0" w:lineRule="atLeast"/>
              <w:jc w:val="center"/>
              <w:rPr>
                <w:rFonts w:eastAsia="等线"/>
                <w:szCs w:val="21"/>
              </w:rPr>
            </w:pPr>
            <w:r>
              <w:rPr>
                <w:rFonts w:eastAsia="等线"/>
                <w:szCs w:val="21"/>
              </w:rPr>
              <w:t>-</w:t>
            </w:r>
          </w:p>
        </w:tc>
        <w:tc>
          <w:tcPr>
            <w:tcW w:w="584" w:type="pct"/>
            <w:vAlign w:val="center"/>
          </w:tcPr>
          <w:p w14:paraId="5DB0856D"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c>
          <w:tcPr>
            <w:tcW w:w="795" w:type="pct"/>
            <w:vAlign w:val="center"/>
          </w:tcPr>
          <w:p w14:paraId="57FB884E"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678AB559" w14:textId="77777777">
        <w:trPr>
          <w:trHeight w:val="72"/>
          <w:jc w:val="center"/>
        </w:trPr>
        <w:tc>
          <w:tcPr>
            <w:tcW w:w="969" w:type="pct"/>
            <w:vAlign w:val="center"/>
          </w:tcPr>
          <w:p w14:paraId="56908354" w14:textId="77777777" w:rsidR="00B14D53" w:rsidRDefault="00000000">
            <w:pPr>
              <w:spacing w:line="0" w:lineRule="atLeast"/>
              <w:jc w:val="center"/>
              <w:rPr>
                <w:szCs w:val="21"/>
              </w:rPr>
            </w:pPr>
            <w:r>
              <w:rPr>
                <w:szCs w:val="21"/>
              </w:rPr>
              <w:t>砷</w:t>
            </w:r>
          </w:p>
        </w:tc>
        <w:tc>
          <w:tcPr>
            <w:tcW w:w="731" w:type="pct"/>
            <w:vAlign w:val="center"/>
          </w:tcPr>
          <w:p w14:paraId="010B2315" w14:textId="77777777" w:rsidR="00B14D53" w:rsidRDefault="00000000">
            <w:pPr>
              <w:spacing w:line="0" w:lineRule="atLeast"/>
              <w:jc w:val="center"/>
              <w:rPr>
                <w:rFonts w:eastAsia="等线"/>
                <w:szCs w:val="21"/>
              </w:rPr>
            </w:pPr>
            <w:r>
              <w:rPr>
                <w:rFonts w:eastAsia="等线"/>
                <w:szCs w:val="21"/>
              </w:rPr>
              <w:t>0.0003L</w:t>
            </w:r>
          </w:p>
        </w:tc>
        <w:tc>
          <w:tcPr>
            <w:tcW w:w="668" w:type="pct"/>
            <w:vAlign w:val="center"/>
          </w:tcPr>
          <w:p w14:paraId="234D8FE2" w14:textId="77777777" w:rsidR="00B14D53" w:rsidRDefault="00000000">
            <w:pPr>
              <w:spacing w:line="0" w:lineRule="atLeast"/>
              <w:jc w:val="center"/>
              <w:rPr>
                <w:rFonts w:eastAsia="等线"/>
                <w:szCs w:val="21"/>
              </w:rPr>
            </w:pPr>
            <w:r>
              <w:rPr>
                <w:rFonts w:eastAsia="等线"/>
                <w:szCs w:val="21"/>
              </w:rPr>
              <w:t>0.0003L</w:t>
            </w:r>
          </w:p>
        </w:tc>
        <w:tc>
          <w:tcPr>
            <w:tcW w:w="613" w:type="pct"/>
            <w:vAlign w:val="center"/>
          </w:tcPr>
          <w:p w14:paraId="71958DDE" w14:textId="77777777" w:rsidR="00B14D53" w:rsidRDefault="00000000">
            <w:pPr>
              <w:spacing w:line="0" w:lineRule="atLeast"/>
              <w:jc w:val="center"/>
              <w:rPr>
                <w:rFonts w:eastAsia="等线"/>
                <w:szCs w:val="21"/>
              </w:rPr>
            </w:pPr>
            <w:r>
              <w:rPr>
                <w:rFonts w:eastAsia="等线"/>
                <w:szCs w:val="21"/>
              </w:rPr>
              <w:t>-</w:t>
            </w:r>
          </w:p>
        </w:tc>
        <w:tc>
          <w:tcPr>
            <w:tcW w:w="637" w:type="pct"/>
            <w:vAlign w:val="center"/>
          </w:tcPr>
          <w:p w14:paraId="11706EE8" w14:textId="77777777" w:rsidR="00B14D53" w:rsidRDefault="00000000">
            <w:pPr>
              <w:spacing w:line="0" w:lineRule="atLeast"/>
              <w:jc w:val="center"/>
              <w:rPr>
                <w:rFonts w:eastAsia="等线"/>
                <w:szCs w:val="21"/>
              </w:rPr>
            </w:pPr>
            <w:r>
              <w:rPr>
                <w:rFonts w:eastAsia="等线"/>
                <w:szCs w:val="21"/>
              </w:rPr>
              <w:t>-</w:t>
            </w:r>
          </w:p>
        </w:tc>
        <w:tc>
          <w:tcPr>
            <w:tcW w:w="584" w:type="pct"/>
            <w:vAlign w:val="center"/>
          </w:tcPr>
          <w:p w14:paraId="215B6FB5"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c>
          <w:tcPr>
            <w:tcW w:w="795" w:type="pct"/>
            <w:vAlign w:val="center"/>
          </w:tcPr>
          <w:p w14:paraId="4BD939C9"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28B97F91" w14:textId="77777777">
        <w:trPr>
          <w:trHeight w:val="72"/>
          <w:jc w:val="center"/>
        </w:trPr>
        <w:tc>
          <w:tcPr>
            <w:tcW w:w="969" w:type="pct"/>
            <w:vAlign w:val="center"/>
          </w:tcPr>
          <w:p w14:paraId="4F5C15A9" w14:textId="77777777" w:rsidR="00B14D53" w:rsidRDefault="00000000">
            <w:pPr>
              <w:spacing w:line="0" w:lineRule="atLeast"/>
              <w:jc w:val="center"/>
              <w:rPr>
                <w:szCs w:val="21"/>
              </w:rPr>
            </w:pPr>
            <w:r>
              <w:rPr>
                <w:szCs w:val="21"/>
              </w:rPr>
              <w:t>镉</w:t>
            </w:r>
          </w:p>
        </w:tc>
        <w:tc>
          <w:tcPr>
            <w:tcW w:w="731" w:type="pct"/>
            <w:vAlign w:val="center"/>
          </w:tcPr>
          <w:p w14:paraId="1AB7D7AD" w14:textId="77777777" w:rsidR="00B14D53" w:rsidRDefault="00000000">
            <w:pPr>
              <w:spacing w:line="0" w:lineRule="atLeast"/>
              <w:jc w:val="center"/>
              <w:rPr>
                <w:rFonts w:eastAsia="等线"/>
                <w:szCs w:val="21"/>
              </w:rPr>
            </w:pPr>
            <w:r>
              <w:rPr>
                <w:rFonts w:eastAsia="等线"/>
                <w:szCs w:val="21"/>
              </w:rPr>
              <w:t>0.0005L</w:t>
            </w:r>
          </w:p>
        </w:tc>
        <w:tc>
          <w:tcPr>
            <w:tcW w:w="668" w:type="pct"/>
            <w:vAlign w:val="center"/>
          </w:tcPr>
          <w:p w14:paraId="19D9D52D" w14:textId="77777777" w:rsidR="00B14D53" w:rsidRDefault="00000000">
            <w:pPr>
              <w:spacing w:line="0" w:lineRule="atLeast"/>
              <w:jc w:val="center"/>
              <w:rPr>
                <w:rFonts w:eastAsia="等线"/>
                <w:szCs w:val="21"/>
              </w:rPr>
            </w:pPr>
            <w:r>
              <w:rPr>
                <w:rFonts w:eastAsia="等线"/>
                <w:szCs w:val="21"/>
              </w:rPr>
              <w:t>0.0005L</w:t>
            </w:r>
          </w:p>
        </w:tc>
        <w:tc>
          <w:tcPr>
            <w:tcW w:w="613" w:type="pct"/>
            <w:vAlign w:val="center"/>
          </w:tcPr>
          <w:p w14:paraId="54D3E435" w14:textId="77777777" w:rsidR="00B14D53" w:rsidRDefault="00000000">
            <w:pPr>
              <w:spacing w:line="0" w:lineRule="atLeast"/>
              <w:jc w:val="center"/>
              <w:rPr>
                <w:rFonts w:eastAsia="等线"/>
                <w:szCs w:val="21"/>
              </w:rPr>
            </w:pPr>
            <w:r>
              <w:rPr>
                <w:rFonts w:eastAsia="等线"/>
                <w:szCs w:val="21"/>
              </w:rPr>
              <w:t>-</w:t>
            </w:r>
          </w:p>
        </w:tc>
        <w:tc>
          <w:tcPr>
            <w:tcW w:w="637" w:type="pct"/>
            <w:vAlign w:val="center"/>
          </w:tcPr>
          <w:p w14:paraId="5FE69C52" w14:textId="77777777" w:rsidR="00B14D53" w:rsidRDefault="00000000">
            <w:pPr>
              <w:spacing w:line="0" w:lineRule="atLeast"/>
              <w:jc w:val="center"/>
              <w:rPr>
                <w:rFonts w:eastAsia="等线"/>
                <w:szCs w:val="21"/>
              </w:rPr>
            </w:pPr>
            <w:r>
              <w:rPr>
                <w:rFonts w:eastAsia="等线"/>
                <w:szCs w:val="21"/>
              </w:rPr>
              <w:t>-</w:t>
            </w:r>
          </w:p>
        </w:tc>
        <w:tc>
          <w:tcPr>
            <w:tcW w:w="584" w:type="pct"/>
            <w:vAlign w:val="center"/>
          </w:tcPr>
          <w:p w14:paraId="2D07D22D"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c>
          <w:tcPr>
            <w:tcW w:w="795" w:type="pct"/>
            <w:vAlign w:val="center"/>
          </w:tcPr>
          <w:p w14:paraId="2016E0C4"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0906A5C1" w14:textId="77777777">
        <w:trPr>
          <w:trHeight w:val="72"/>
          <w:jc w:val="center"/>
        </w:trPr>
        <w:tc>
          <w:tcPr>
            <w:tcW w:w="969" w:type="pct"/>
            <w:vAlign w:val="center"/>
          </w:tcPr>
          <w:p w14:paraId="6F5FB8A3" w14:textId="77777777" w:rsidR="00B14D53" w:rsidRDefault="00000000">
            <w:pPr>
              <w:spacing w:line="0" w:lineRule="atLeast"/>
              <w:jc w:val="center"/>
              <w:rPr>
                <w:szCs w:val="21"/>
              </w:rPr>
            </w:pPr>
            <w:r>
              <w:rPr>
                <w:szCs w:val="21"/>
              </w:rPr>
              <w:t>六价铬</w:t>
            </w:r>
          </w:p>
        </w:tc>
        <w:tc>
          <w:tcPr>
            <w:tcW w:w="1244" w:type="dxa"/>
            <w:vAlign w:val="bottom"/>
          </w:tcPr>
          <w:p w14:paraId="463B32AF" w14:textId="77777777" w:rsidR="00B14D53" w:rsidRDefault="00000000">
            <w:pPr>
              <w:spacing w:line="0" w:lineRule="atLeast"/>
              <w:jc w:val="center"/>
              <w:rPr>
                <w:rFonts w:eastAsia="等线"/>
                <w:szCs w:val="21"/>
              </w:rPr>
            </w:pPr>
            <w:r>
              <w:rPr>
                <w:rFonts w:eastAsia="等线"/>
                <w:szCs w:val="21"/>
              </w:rPr>
              <w:t>0.008</w:t>
            </w:r>
          </w:p>
        </w:tc>
        <w:tc>
          <w:tcPr>
            <w:tcW w:w="1137" w:type="dxa"/>
            <w:vAlign w:val="bottom"/>
          </w:tcPr>
          <w:p w14:paraId="68144BF2" w14:textId="77777777" w:rsidR="00B14D53" w:rsidRDefault="00000000">
            <w:pPr>
              <w:spacing w:line="0" w:lineRule="atLeast"/>
              <w:jc w:val="center"/>
              <w:rPr>
                <w:rFonts w:eastAsia="等线"/>
                <w:szCs w:val="21"/>
              </w:rPr>
            </w:pPr>
            <w:r>
              <w:rPr>
                <w:rFonts w:eastAsia="等线"/>
                <w:szCs w:val="21"/>
              </w:rPr>
              <w:t>0.004</w:t>
            </w:r>
          </w:p>
        </w:tc>
        <w:tc>
          <w:tcPr>
            <w:tcW w:w="1044" w:type="dxa"/>
            <w:vAlign w:val="bottom"/>
          </w:tcPr>
          <w:p w14:paraId="6DB28417" w14:textId="77777777" w:rsidR="00B14D53" w:rsidRDefault="00000000">
            <w:pPr>
              <w:spacing w:line="0" w:lineRule="atLeast"/>
              <w:jc w:val="center"/>
              <w:rPr>
                <w:rFonts w:eastAsia="等线"/>
                <w:szCs w:val="21"/>
              </w:rPr>
            </w:pPr>
            <w:r>
              <w:rPr>
                <w:rFonts w:eastAsia="等线"/>
                <w:szCs w:val="21"/>
              </w:rPr>
              <w:t>0.01</w:t>
            </w:r>
          </w:p>
        </w:tc>
        <w:tc>
          <w:tcPr>
            <w:tcW w:w="1084" w:type="dxa"/>
            <w:vAlign w:val="bottom"/>
          </w:tcPr>
          <w:p w14:paraId="748245E3" w14:textId="77777777" w:rsidR="00B14D53" w:rsidRDefault="00000000">
            <w:pPr>
              <w:spacing w:line="0" w:lineRule="atLeast"/>
              <w:jc w:val="center"/>
              <w:rPr>
                <w:rFonts w:eastAsia="等线"/>
                <w:szCs w:val="21"/>
              </w:rPr>
            </w:pPr>
            <w:r>
              <w:rPr>
                <w:rFonts w:eastAsia="等线"/>
                <w:szCs w:val="21"/>
              </w:rPr>
              <w:t>0.001</w:t>
            </w:r>
          </w:p>
        </w:tc>
        <w:tc>
          <w:tcPr>
            <w:tcW w:w="584" w:type="pct"/>
            <w:vAlign w:val="center"/>
          </w:tcPr>
          <w:p w14:paraId="44C00615"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80%</w:t>
            </w:r>
          </w:p>
        </w:tc>
        <w:tc>
          <w:tcPr>
            <w:tcW w:w="795" w:type="pct"/>
            <w:vAlign w:val="center"/>
          </w:tcPr>
          <w:p w14:paraId="15B62DC5"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4F475A64" w14:textId="77777777">
        <w:trPr>
          <w:trHeight w:val="72"/>
          <w:jc w:val="center"/>
        </w:trPr>
        <w:tc>
          <w:tcPr>
            <w:tcW w:w="969" w:type="pct"/>
            <w:vAlign w:val="center"/>
          </w:tcPr>
          <w:p w14:paraId="5F117FA7" w14:textId="77777777" w:rsidR="00B14D53" w:rsidRDefault="00000000">
            <w:pPr>
              <w:spacing w:line="0" w:lineRule="atLeast"/>
              <w:jc w:val="center"/>
              <w:rPr>
                <w:szCs w:val="21"/>
              </w:rPr>
            </w:pPr>
            <w:r>
              <w:rPr>
                <w:szCs w:val="21"/>
              </w:rPr>
              <w:t>铅</w:t>
            </w:r>
          </w:p>
        </w:tc>
        <w:tc>
          <w:tcPr>
            <w:tcW w:w="731" w:type="pct"/>
            <w:vAlign w:val="center"/>
          </w:tcPr>
          <w:p w14:paraId="3D5B1FC1" w14:textId="77777777" w:rsidR="00B14D53" w:rsidRDefault="00000000">
            <w:pPr>
              <w:spacing w:line="0" w:lineRule="atLeast"/>
              <w:jc w:val="center"/>
              <w:rPr>
                <w:rFonts w:eastAsia="等线"/>
                <w:szCs w:val="21"/>
              </w:rPr>
            </w:pPr>
            <w:r>
              <w:rPr>
                <w:rFonts w:eastAsia="等线"/>
                <w:szCs w:val="21"/>
              </w:rPr>
              <w:t>0.0025L</w:t>
            </w:r>
          </w:p>
        </w:tc>
        <w:tc>
          <w:tcPr>
            <w:tcW w:w="668" w:type="pct"/>
            <w:vAlign w:val="center"/>
          </w:tcPr>
          <w:p w14:paraId="6BDE1324" w14:textId="77777777" w:rsidR="00B14D53" w:rsidRDefault="00000000">
            <w:pPr>
              <w:spacing w:line="0" w:lineRule="atLeast"/>
              <w:jc w:val="center"/>
              <w:rPr>
                <w:rFonts w:eastAsia="等线"/>
                <w:szCs w:val="21"/>
              </w:rPr>
            </w:pPr>
            <w:r>
              <w:rPr>
                <w:rFonts w:eastAsia="等线"/>
                <w:szCs w:val="21"/>
              </w:rPr>
              <w:t>0.0025L</w:t>
            </w:r>
          </w:p>
        </w:tc>
        <w:tc>
          <w:tcPr>
            <w:tcW w:w="613" w:type="pct"/>
            <w:vAlign w:val="center"/>
          </w:tcPr>
          <w:p w14:paraId="419138B9" w14:textId="77777777" w:rsidR="00B14D53" w:rsidRDefault="00000000">
            <w:pPr>
              <w:spacing w:line="0" w:lineRule="atLeast"/>
              <w:jc w:val="center"/>
              <w:rPr>
                <w:rFonts w:eastAsia="等线"/>
                <w:szCs w:val="21"/>
              </w:rPr>
            </w:pPr>
            <w:r>
              <w:rPr>
                <w:rFonts w:eastAsia="等线"/>
                <w:szCs w:val="21"/>
              </w:rPr>
              <w:t>-</w:t>
            </w:r>
          </w:p>
        </w:tc>
        <w:tc>
          <w:tcPr>
            <w:tcW w:w="637" w:type="pct"/>
            <w:vAlign w:val="center"/>
          </w:tcPr>
          <w:p w14:paraId="7B39F9BB" w14:textId="77777777" w:rsidR="00B14D53" w:rsidRDefault="00000000">
            <w:pPr>
              <w:spacing w:line="0" w:lineRule="atLeast"/>
              <w:jc w:val="center"/>
              <w:rPr>
                <w:rFonts w:eastAsia="等线"/>
                <w:szCs w:val="21"/>
              </w:rPr>
            </w:pPr>
            <w:r>
              <w:rPr>
                <w:rFonts w:eastAsia="等线"/>
                <w:szCs w:val="21"/>
              </w:rPr>
              <w:t>-</w:t>
            </w:r>
          </w:p>
        </w:tc>
        <w:tc>
          <w:tcPr>
            <w:tcW w:w="584" w:type="pct"/>
            <w:vAlign w:val="center"/>
          </w:tcPr>
          <w:p w14:paraId="7A2E63AE"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c>
          <w:tcPr>
            <w:tcW w:w="795" w:type="pct"/>
            <w:vAlign w:val="center"/>
          </w:tcPr>
          <w:p w14:paraId="60B30804"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r w:rsidR="00B14D53" w14:paraId="7510F3EC" w14:textId="77777777">
        <w:trPr>
          <w:trHeight w:val="72"/>
          <w:jc w:val="center"/>
        </w:trPr>
        <w:tc>
          <w:tcPr>
            <w:tcW w:w="969" w:type="pct"/>
            <w:vAlign w:val="center"/>
          </w:tcPr>
          <w:p w14:paraId="7F639F77" w14:textId="77777777" w:rsidR="00B14D53" w:rsidRDefault="00000000">
            <w:pPr>
              <w:spacing w:line="0" w:lineRule="atLeast"/>
              <w:jc w:val="center"/>
              <w:rPr>
                <w:szCs w:val="21"/>
              </w:rPr>
            </w:pPr>
            <w:r>
              <w:rPr>
                <w:szCs w:val="21"/>
              </w:rPr>
              <w:t>色度</w:t>
            </w:r>
          </w:p>
        </w:tc>
        <w:tc>
          <w:tcPr>
            <w:tcW w:w="1244" w:type="dxa"/>
            <w:vAlign w:val="bottom"/>
          </w:tcPr>
          <w:p w14:paraId="2BE9A313" w14:textId="77777777" w:rsidR="00B14D53" w:rsidRDefault="00000000">
            <w:pPr>
              <w:spacing w:line="0" w:lineRule="atLeast"/>
              <w:jc w:val="center"/>
              <w:rPr>
                <w:rFonts w:eastAsia="等线"/>
                <w:szCs w:val="21"/>
              </w:rPr>
            </w:pPr>
            <w:r>
              <w:rPr>
                <w:rFonts w:eastAsia="等线" w:hint="eastAsia"/>
                <w:szCs w:val="21"/>
              </w:rPr>
              <w:t>10</w:t>
            </w:r>
          </w:p>
        </w:tc>
        <w:tc>
          <w:tcPr>
            <w:tcW w:w="1137" w:type="dxa"/>
            <w:vAlign w:val="bottom"/>
          </w:tcPr>
          <w:p w14:paraId="3D21D9B5" w14:textId="77777777" w:rsidR="00B14D53" w:rsidRDefault="00000000">
            <w:pPr>
              <w:spacing w:line="0" w:lineRule="atLeast"/>
              <w:jc w:val="center"/>
              <w:rPr>
                <w:rFonts w:eastAsia="等线"/>
                <w:szCs w:val="21"/>
              </w:rPr>
            </w:pPr>
            <w:r>
              <w:rPr>
                <w:rFonts w:eastAsia="等线" w:hint="eastAsia"/>
                <w:szCs w:val="21"/>
              </w:rPr>
              <w:t>5</w:t>
            </w:r>
          </w:p>
        </w:tc>
        <w:tc>
          <w:tcPr>
            <w:tcW w:w="1044" w:type="dxa"/>
            <w:vAlign w:val="bottom"/>
          </w:tcPr>
          <w:p w14:paraId="56A9CB5F" w14:textId="77777777" w:rsidR="00B14D53" w:rsidRDefault="00000000">
            <w:pPr>
              <w:spacing w:line="0" w:lineRule="atLeast"/>
              <w:jc w:val="center"/>
              <w:rPr>
                <w:rFonts w:eastAsia="等线"/>
                <w:szCs w:val="21"/>
              </w:rPr>
            </w:pPr>
            <w:r>
              <w:rPr>
                <w:rFonts w:eastAsia="等线" w:hint="eastAsia"/>
                <w:szCs w:val="21"/>
              </w:rPr>
              <w:t>8.33</w:t>
            </w:r>
          </w:p>
        </w:tc>
        <w:tc>
          <w:tcPr>
            <w:tcW w:w="1084" w:type="dxa"/>
            <w:vAlign w:val="bottom"/>
          </w:tcPr>
          <w:p w14:paraId="4AEBD474" w14:textId="77777777" w:rsidR="00B14D53" w:rsidRDefault="00000000">
            <w:pPr>
              <w:spacing w:line="0" w:lineRule="atLeast"/>
              <w:jc w:val="center"/>
              <w:rPr>
                <w:rFonts w:eastAsia="等线"/>
                <w:szCs w:val="21"/>
              </w:rPr>
            </w:pPr>
            <w:r>
              <w:rPr>
                <w:rFonts w:eastAsia="等线" w:hint="eastAsia"/>
                <w:szCs w:val="21"/>
              </w:rPr>
              <w:t>2.357</w:t>
            </w:r>
          </w:p>
        </w:tc>
        <w:tc>
          <w:tcPr>
            <w:tcW w:w="584" w:type="pct"/>
            <w:vAlign w:val="center"/>
          </w:tcPr>
          <w:p w14:paraId="544230EB"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100%</w:t>
            </w:r>
          </w:p>
        </w:tc>
        <w:tc>
          <w:tcPr>
            <w:tcW w:w="795" w:type="pct"/>
            <w:vAlign w:val="center"/>
          </w:tcPr>
          <w:p w14:paraId="0A5B8BDB" w14:textId="77777777" w:rsidR="00B14D53" w:rsidRDefault="00000000">
            <w:pPr>
              <w:autoSpaceDE w:val="0"/>
              <w:autoSpaceDN w:val="0"/>
              <w:spacing w:line="0" w:lineRule="atLeast"/>
              <w:jc w:val="center"/>
              <w:rPr>
                <w:rFonts w:eastAsiaTheme="minorEastAsia"/>
                <w:snapToGrid w:val="0"/>
                <w:szCs w:val="21"/>
              </w:rPr>
            </w:pPr>
            <w:r>
              <w:rPr>
                <w:rFonts w:eastAsiaTheme="minorEastAsia"/>
                <w:snapToGrid w:val="0"/>
                <w:szCs w:val="21"/>
              </w:rPr>
              <w:t>0%</w:t>
            </w:r>
          </w:p>
        </w:tc>
      </w:tr>
    </w:tbl>
    <w:p w14:paraId="266A9AC0" w14:textId="77777777" w:rsidR="00B14D53" w:rsidRDefault="00B14D53">
      <w:pPr>
        <w:jc w:val="center"/>
        <w:rPr>
          <w:b/>
          <w:bCs/>
        </w:rPr>
      </w:pPr>
    </w:p>
    <w:p w14:paraId="62BF6E85" w14:textId="77777777" w:rsidR="00B14D53" w:rsidRDefault="00B14D53">
      <w:pPr>
        <w:jc w:val="center"/>
        <w:rPr>
          <w:b/>
          <w:bCs/>
        </w:rPr>
      </w:pPr>
    </w:p>
    <w:p w14:paraId="64FFDC0D" w14:textId="77777777" w:rsidR="00B14D53" w:rsidRDefault="00B14D53">
      <w:pPr>
        <w:jc w:val="center"/>
        <w:rPr>
          <w:b/>
          <w:bCs/>
        </w:rPr>
      </w:pPr>
    </w:p>
    <w:p w14:paraId="46A9C29A" w14:textId="77777777" w:rsidR="00B14D53" w:rsidRDefault="00000000">
      <w:pPr>
        <w:jc w:val="center"/>
        <w:rPr>
          <w:b/>
          <w:bCs/>
        </w:rPr>
      </w:pPr>
      <w:r>
        <w:rPr>
          <w:rFonts w:hint="eastAsia"/>
          <w:b/>
          <w:bCs/>
        </w:rPr>
        <w:t>表</w:t>
      </w:r>
      <w:r>
        <w:rPr>
          <w:rFonts w:hint="eastAsia"/>
          <w:b/>
          <w:bCs/>
        </w:rPr>
        <w:t xml:space="preserve">4-2-8 </w:t>
      </w:r>
      <w:r>
        <w:rPr>
          <w:rFonts w:hint="eastAsia"/>
          <w:b/>
          <w:bCs/>
        </w:rPr>
        <w:t>地下水水质现状评价结果</w:t>
      </w:r>
    </w:p>
    <w:tbl>
      <w:tblPr>
        <w:tblW w:w="4999"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29"/>
        <w:gridCol w:w="1667"/>
        <w:gridCol w:w="1777"/>
        <w:gridCol w:w="1985"/>
        <w:gridCol w:w="1946"/>
      </w:tblGrid>
      <w:tr w:rsidR="00B14D53" w14:paraId="0B53F349" w14:textId="77777777">
        <w:trPr>
          <w:trHeight w:val="309"/>
          <w:jc w:val="center"/>
        </w:trPr>
        <w:tc>
          <w:tcPr>
            <w:tcW w:w="560" w:type="pct"/>
            <w:vMerge w:val="restart"/>
            <w:vAlign w:val="center"/>
          </w:tcPr>
          <w:p w14:paraId="799B6CA7" w14:textId="77777777" w:rsidR="00B14D53" w:rsidRDefault="00000000">
            <w:pPr>
              <w:widowControl/>
              <w:contextualSpacing/>
              <w:jc w:val="center"/>
              <w:rPr>
                <w:b/>
                <w:bCs/>
                <w:szCs w:val="21"/>
              </w:rPr>
            </w:pPr>
            <w:bookmarkStart w:id="194" w:name="OLE_LINK3"/>
            <w:r>
              <w:rPr>
                <w:b/>
                <w:bCs/>
                <w:szCs w:val="21"/>
              </w:rPr>
              <w:t>序号</w:t>
            </w:r>
          </w:p>
        </w:tc>
        <w:tc>
          <w:tcPr>
            <w:tcW w:w="1003" w:type="pct"/>
            <w:vMerge w:val="restart"/>
            <w:vAlign w:val="center"/>
          </w:tcPr>
          <w:p w14:paraId="5AA43349" w14:textId="77777777" w:rsidR="00B14D53" w:rsidRDefault="00000000">
            <w:pPr>
              <w:widowControl/>
              <w:contextualSpacing/>
              <w:jc w:val="center"/>
              <w:rPr>
                <w:b/>
                <w:bCs/>
                <w:szCs w:val="21"/>
              </w:rPr>
            </w:pPr>
            <w:r>
              <w:rPr>
                <w:b/>
                <w:bCs/>
                <w:szCs w:val="21"/>
              </w:rPr>
              <w:t>监测项目</w:t>
            </w:r>
          </w:p>
        </w:tc>
        <w:tc>
          <w:tcPr>
            <w:tcW w:w="1069" w:type="pct"/>
            <w:vAlign w:val="center"/>
          </w:tcPr>
          <w:p w14:paraId="685051A8" w14:textId="77777777" w:rsidR="00B14D53" w:rsidRDefault="00000000">
            <w:pPr>
              <w:widowControl/>
              <w:contextualSpacing/>
              <w:jc w:val="center"/>
              <w:rPr>
                <w:b/>
                <w:bCs/>
                <w:szCs w:val="21"/>
              </w:rPr>
            </w:pPr>
            <w:r>
              <w:rPr>
                <w:b/>
                <w:bCs/>
                <w:szCs w:val="21"/>
              </w:rPr>
              <w:t>☆01</w:t>
            </w:r>
          </w:p>
        </w:tc>
        <w:tc>
          <w:tcPr>
            <w:tcW w:w="1194" w:type="pct"/>
            <w:vAlign w:val="center"/>
          </w:tcPr>
          <w:p w14:paraId="6C598793" w14:textId="77777777" w:rsidR="00B14D53" w:rsidRDefault="00000000">
            <w:pPr>
              <w:widowControl/>
              <w:contextualSpacing/>
              <w:jc w:val="center"/>
              <w:rPr>
                <w:b/>
                <w:bCs/>
                <w:szCs w:val="21"/>
              </w:rPr>
            </w:pPr>
            <w:r>
              <w:rPr>
                <w:b/>
                <w:bCs/>
                <w:szCs w:val="21"/>
              </w:rPr>
              <w:t>☆02</w:t>
            </w:r>
          </w:p>
        </w:tc>
        <w:tc>
          <w:tcPr>
            <w:tcW w:w="1171" w:type="pct"/>
            <w:vAlign w:val="center"/>
          </w:tcPr>
          <w:p w14:paraId="41B301AC" w14:textId="77777777" w:rsidR="00B14D53" w:rsidRDefault="00000000">
            <w:pPr>
              <w:widowControl/>
              <w:contextualSpacing/>
              <w:jc w:val="center"/>
              <w:rPr>
                <w:b/>
                <w:bCs/>
                <w:szCs w:val="21"/>
              </w:rPr>
            </w:pPr>
            <w:r>
              <w:rPr>
                <w:b/>
                <w:bCs/>
                <w:szCs w:val="21"/>
              </w:rPr>
              <w:t>☆03</w:t>
            </w:r>
          </w:p>
        </w:tc>
      </w:tr>
      <w:tr w:rsidR="00B14D53" w14:paraId="581CA0A7" w14:textId="77777777">
        <w:trPr>
          <w:trHeight w:val="294"/>
          <w:jc w:val="center"/>
        </w:trPr>
        <w:tc>
          <w:tcPr>
            <w:tcW w:w="560" w:type="pct"/>
            <w:vMerge/>
            <w:vAlign w:val="center"/>
          </w:tcPr>
          <w:p w14:paraId="2EA8FC28" w14:textId="77777777" w:rsidR="00B14D53" w:rsidRDefault="00B14D53">
            <w:pPr>
              <w:widowControl/>
              <w:contextualSpacing/>
              <w:jc w:val="center"/>
              <w:rPr>
                <w:b/>
                <w:bCs/>
                <w:szCs w:val="21"/>
              </w:rPr>
            </w:pPr>
          </w:p>
        </w:tc>
        <w:tc>
          <w:tcPr>
            <w:tcW w:w="1003" w:type="pct"/>
            <w:vMerge/>
            <w:vAlign w:val="center"/>
          </w:tcPr>
          <w:p w14:paraId="23DE4CB2" w14:textId="77777777" w:rsidR="00B14D53" w:rsidRDefault="00B14D53">
            <w:pPr>
              <w:widowControl/>
              <w:contextualSpacing/>
              <w:jc w:val="center"/>
              <w:rPr>
                <w:b/>
                <w:bCs/>
                <w:szCs w:val="21"/>
              </w:rPr>
            </w:pPr>
          </w:p>
        </w:tc>
        <w:tc>
          <w:tcPr>
            <w:tcW w:w="1069" w:type="pct"/>
            <w:vAlign w:val="center"/>
          </w:tcPr>
          <w:p w14:paraId="22310B0D" w14:textId="77777777" w:rsidR="00B14D53" w:rsidRDefault="00000000">
            <w:pPr>
              <w:widowControl/>
              <w:contextualSpacing/>
              <w:jc w:val="center"/>
              <w:rPr>
                <w:b/>
                <w:bCs/>
                <w:szCs w:val="21"/>
              </w:rPr>
            </w:pPr>
            <w:r>
              <w:rPr>
                <w:b/>
                <w:bCs/>
                <w:szCs w:val="21"/>
              </w:rPr>
              <w:t>Pi</w:t>
            </w:r>
          </w:p>
        </w:tc>
        <w:tc>
          <w:tcPr>
            <w:tcW w:w="1194" w:type="pct"/>
            <w:vAlign w:val="center"/>
          </w:tcPr>
          <w:p w14:paraId="4E81C903" w14:textId="77777777" w:rsidR="00B14D53" w:rsidRDefault="00000000">
            <w:pPr>
              <w:widowControl/>
              <w:contextualSpacing/>
              <w:jc w:val="center"/>
              <w:rPr>
                <w:b/>
                <w:bCs/>
                <w:szCs w:val="21"/>
              </w:rPr>
            </w:pPr>
            <w:r>
              <w:rPr>
                <w:b/>
                <w:bCs/>
                <w:szCs w:val="21"/>
              </w:rPr>
              <w:t>Pi</w:t>
            </w:r>
          </w:p>
        </w:tc>
        <w:tc>
          <w:tcPr>
            <w:tcW w:w="1171" w:type="pct"/>
            <w:vAlign w:val="center"/>
          </w:tcPr>
          <w:p w14:paraId="64096961" w14:textId="77777777" w:rsidR="00B14D53" w:rsidRDefault="00000000">
            <w:pPr>
              <w:widowControl/>
              <w:contextualSpacing/>
              <w:jc w:val="center"/>
              <w:rPr>
                <w:b/>
                <w:bCs/>
                <w:szCs w:val="21"/>
              </w:rPr>
            </w:pPr>
            <w:r>
              <w:rPr>
                <w:b/>
                <w:bCs/>
                <w:szCs w:val="21"/>
              </w:rPr>
              <w:t>Pi</w:t>
            </w:r>
          </w:p>
        </w:tc>
      </w:tr>
      <w:tr w:rsidR="00B14D53" w14:paraId="4A26C503" w14:textId="77777777">
        <w:trPr>
          <w:trHeight w:val="294"/>
          <w:jc w:val="center"/>
        </w:trPr>
        <w:tc>
          <w:tcPr>
            <w:tcW w:w="560" w:type="pct"/>
            <w:vAlign w:val="center"/>
          </w:tcPr>
          <w:p w14:paraId="5D4C0E84" w14:textId="77777777" w:rsidR="00B14D53" w:rsidRDefault="00000000">
            <w:pPr>
              <w:jc w:val="center"/>
              <w:rPr>
                <w:szCs w:val="21"/>
              </w:rPr>
            </w:pPr>
            <w:r>
              <w:rPr>
                <w:szCs w:val="21"/>
              </w:rPr>
              <w:t>1</w:t>
            </w:r>
          </w:p>
        </w:tc>
        <w:tc>
          <w:tcPr>
            <w:tcW w:w="1003" w:type="pct"/>
            <w:vAlign w:val="center"/>
          </w:tcPr>
          <w:p w14:paraId="49D5D4B7" w14:textId="77777777" w:rsidR="00B14D53" w:rsidRDefault="00000000">
            <w:pPr>
              <w:widowControl/>
              <w:contextualSpacing/>
              <w:jc w:val="center"/>
              <w:rPr>
                <w:szCs w:val="21"/>
              </w:rPr>
            </w:pPr>
            <w:r>
              <w:rPr>
                <w:szCs w:val="21"/>
              </w:rPr>
              <w:t>钠</w:t>
            </w:r>
          </w:p>
        </w:tc>
        <w:tc>
          <w:tcPr>
            <w:tcW w:w="1069" w:type="pct"/>
            <w:vAlign w:val="center"/>
          </w:tcPr>
          <w:p w14:paraId="2B4E4680" w14:textId="77777777" w:rsidR="00B14D53" w:rsidRDefault="00000000">
            <w:pPr>
              <w:widowControl/>
              <w:jc w:val="center"/>
              <w:textAlignment w:val="center"/>
              <w:rPr>
                <w:szCs w:val="21"/>
              </w:rPr>
            </w:pPr>
            <w:r>
              <w:rPr>
                <w:color w:val="000000"/>
                <w:kern w:val="0"/>
                <w:sz w:val="22"/>
                <w:szCs w:val="22"/>
                <w:lang w:bidi="ar"/>
              </w:rPr>
              <w:t>0.0635</w:t>
            </w:r>
          </w:p>
        </w:tc>
        <w:tc>
          <w:tcPr>
            <w:tcW w:w="1194" w:type="pct"/>
            <w:vAlign w:val="center"/>
          </w:tcPr>
          <w:p w14:paraId="74F3640E" w14:textId="77777777" w:rsidR="00B14D53" w:rsidRDefault="00000000">
            <w:pPr>
              <w:widowControl/>
              <w:jc w:val="center"/>
              <w:textAlignment w:val="center"/>
              <w:rPr>
                <w:szCs w:val="21"/>
              </w:rPr>
            </w:pPr>
            <w:r>
              <w:rPr>
                <w:color w:val="000000"/>
                <w:kern w:val="0"/>
                <w:sz w:val="22"/>
                <w:szCs w:val="22"/>
                <w:lang w:bidi="ar"/>
              </w:rPr>
              <w:t>0.056</w:t>
            </w:r>
          </w:p>
        </w:tc>
        <w:tc>
          <w:tcPr>
            <w:tcW w:w="1171" w:type="pct"/>
            <w:vAlign w:val="center"/>
          </w:tcPr>
          <w:p w14:paraId="385258D5" w14:textId="77777777" w:rsidR="00B14D53" w:rsidRDefault="00000000">
            <w:pPr>
              <w:widowControl/>
              <w:jc w:val="center"/>
              <w:textAlignment w:val="center"/>
              <w:rPr>
                <w:szCs w:val="21"/>
              </w:rPr>
            </w:pPr>
            <w:r>
              <w:rPr>
                <w:color w:val="000000"/>
                <w:kern w:val="0"/>
                <w:sz w:val="22"/>
                <w:szCs w:val="22"/>
                <w:lang w:bidi="ar"/>
              </w:rPr>
              <w:t>0.056</w:t>
            </w:r>
          </w:p>
        </w:tc>
      </w:tr>
      <w:tr w:rsidR="00B14D53" w14:paraId="51E1F2B9" w14:textId="77777777">
        <w:trPr>
          <w:trHeight w:val="310"/>
          <w:jc w:val="center"/>
        </w:trPr>
        <w:tc>
          <w:tcPr>
            <w:tcW w:w="560" w:type="pct"/>
            <w:vAlign w:val="center"/>
          </w:tcPr>
          <w:p w14:paraId="4C60D191" w14:textId="77777777" w:rsidR="00B14D53" w:rsidRDefault="00000000">
            <w:pPr>
              <w:jc w:val="center"/>
              <w:rPr>
                <w:szCs w:val="21"/>
              </w:rPr>
            </w:pPr>
            <w:r>
              <w:rPr>
                <w:szCs w:val="21"/>
              </w:rPr>
              <w:t>2</w:t>
            </w:r>
          </w:p>
        </w:tc>
        <w:tc>
          <w:tcPr>
            <w:tcW w:w="1003" w:type="pct"/>
            <w:vAlign w:val="center"/>
          </w:tcPr>
          <w:p w14:paraId="39547A79" w14:textId="77777777" w:rsidR="00B14D53" w:rsidRDefault="00000000">
            <w:pPr>
              <w:widowControl/>
              <w:jc w:val="center"/>
              <w:textAlignment w:val="center"/>
              <w:rPr>
                <w:szCs w:val="21"/>
              </w:rPr>
            </w:pPr>
            <w:r>
              <w:rPr>
                <w:color w:val="000000"/>
                <w:kern w:val="0"/>
                <w:szCs w:val="21"/>
                <w:lang w:bidi="ar"/>
              </w:rPr>
              <w:t>pH</w:t>
            </w:r>
          </w:p>
        </w:tc>
        <w:tc>
          <w:tcPr>
            <w:tcW w:w="1069" w:type="pct"/>
            <w:vAlign w:val="center"/>
          </w:tcPr>
          <w:p w14:paraId="78EB42C7" w14:textId="77777777" w:rsidR="00B14D53" w:rsidRDefault="00000000">
            <w:pPr>
              <w:widowControl/>
              <w:jc w:val="center"/>
              <w:textAlignment w:val="center"/>
              <w:rPr>
                <w:szCs w:val="21"/>
              </w:rPr>
            </w:pPr>
            <w:r>
              <w:rPr>
                <w:rFonts w:hint="eastAsia"/>
                <w:szCs w:val="21"/>
              </w:rPr>
              <w:t>0.4</w:t>
            </w:r>
          </w:p>
        </w:tc>
        <w:tc>
          <w:tcPr>
            <w:tcW w:w="1194" w:type="pct"/>
            <w:vAlign w:val="center"/>
          </w:tcPr>
          <w:p w14:paraId="746DCFCA" w14:textId="77777777" w:rsidR="00B14D53" w:rsidRDefault="00000000">
            <w:pPr>
              <w:widowControl/>
              <w:jc w:val="center"/>
              <w:textAlignment w:val="center"/>
              <w:rPr>
                <w:szCs w:val="21"/>
              </w:rPr>
            </w:pPr>
            <w:r>
              <w:rPr>
                <w:rFonts w:hint="eastAsia"/>
                <w:szCs w:val="21"/>
              </w:rPr>
              <w:t>0.2</w:t>
            </w:r>
          </w:p>
        </w:tc>
        <w:tc>
          <w:tcPr>
            <w:tcW w:w="1171" w:type="pct"/>
            <w:vAlign w:val="center"/>
          </w:tcPr>
          <w:p w14:paraId="33C97032" w14:textId="77777777" w:rsidR="00B14D53" w:rsidRDefault="00000000">
            <w:pPr>
              <w:widowControl/>
              <w:jc w:val="center"/>
              <w:textAlignment w:val="center"/>
              <w:rPr>
                <w:szCs w:val="21"/>
              </w:rPr>
            </w:pPr>
            <w:r>
              <w:rPr>
                <w:rFonts w:hint="eastAsia"/>
                <w:szCs w:val="21"/>
              </w:rPr>
              <w:t>0.267</w:t>
            </w:r>
          </w:p>
        </w:tc>
      </w:tr>
      <w:tr w:rsidR="00B14D53" w14:paraId="3AE68B7B" w14:textId="77777777">
        <w:trPr>
          <w:trHeight w:val="294"/>
          <w:jc w:val="center"/>
        </w:trPr>
        <w:tc>
          <w:tcPr>
            <w:tcW w:w="560" w:type="pct"/>
            <w:vAlign w:val="center"/>
          </w:tcPr>
          <w:p w14:paraId="642984C3" w14:textId="77777777" w:rsidR="00B14D53" w:rsidRDefault="00000000">
            <w:pPr>
              <w:jc w:val="center"/>
              <w:rPr>
                <w:szCs w:val="21"/>
              </w:rPr>
            </w:pPr>
            <w:r>
              <w:rPr>
                <w:szCs w:val="21"/>
              </w:rPr>
              <w:t>3</w:t>
            </w:r>
          </w:p>
        </w:tc>
        <w:tc>
          <w:tcPr>
            <w:tcW w:w="1003" w:type="pct"/>
            <w:vAlign w:val="center"/>
          </w:tcPr>
          <w:p w14:paraId="27D719B6" w14:textId="77777777" w:rsidR="00B14D53" w:rsidRDefault="00000000">
            <w:pPr>
              <w:widowControl/>
              <w:jc w:val="center"/>
              <w:textAlignment w:val="center"/>
              <w:rPr>
                <w:szCs w:val="21"/>
              </w:rPr>
            </w:pPr>
            <w:r>
              <w:rPr>
                <w:color w:val="000000"/>
                <w:kern w:val="0"/>
                <w:szCs w:val="21"/>
                <w:lang w:bidi="ar"/>
              </w:rPr>
              <w:t>总硬度</w:t>
            </w:r>
          </w:p>
        </w:tc>
        <w:tc>
          <w:tcPr>
            <w:tcW w:w="1069" w:type="pct"/>
            <w:vAlign w:val="center"/>
          </w:tcPr>
          <w:p w14:paraId="0202320A" w14:textId="77777777" w:rsidR="00B14D53" w:rsidRDefault="00000000">
            <w:pPr>
              <w:widowControl/>
              <w:jc w:val="center"/>
              <w:textAlignment w:val="center"/>
              <w:rPr>
                <w:szCs w:val="21"/>
              </w:rPr>
            </w:pPr>
            <w:r>
              <w:rPr>
                <w:color w:val="000000"/>
                <w:kern w:val="0"/>
                <w:sz w:val="22"/>
                <w:szCs w:val="22"/>
                <w:lang w:bidi="ar"/>
              </w:rPr>
              <w:t>0.3422</w:t>
            </w:r>
          </w:p>
        </w:tc>
        <w:tc>
          <w:tcPr>
            <w:tcW w:w="1194" w:type="pct"/>
            <w:vAlign w:val="center"/>
          </w:tcPr>
          <w:p w14:paraId="294651B9" w14:textId="77777777" w:rsidR="00B14D53" w:rsidRDefault="00000000">
            <w:pPr>
              <w:widowControl/>
              <w:jc w:val="center"/>
              <w:textAlignment w:val="center"/>
              <w:rPr>
                <w:szCs w:val="21"/>
              </w:rPr>
            </w:pPr>
            <w:r>
              <w:rPr>
                <w:color w:val="000000"/>
                <w:kern w:val="0"/>
                <w:sz w:val="22"/>
                <w:szCs w:val="22"/>
                <w:lang w:bidi="ar"/>
              </w:rPr>
              <w:t>0.86</w:t>
            </w:r>
          </w:p>
        </w:tc>
        <w:tc>
          <w:tcPr>
            <w:tcW w:w="1171" w:type="pct"/>
            <w:vAlign w:val="center"/>
          </w:tcPr>
          <w:p w14:paraId="09B9E082" w14:textId="77777777" w:rsidR="00B14D53" w:rsidRDefault="00000000">
            <w:pPr>
              <w:widowControl/>
              <w:jc w:val="center"/>
              <w:textAlignment w:val="center"/>
              <w:rPr>
                <w:szCs w:val="21"/>
              </w:rPr>
            </w:pPr>
            <w:r>
              <w:rPr>
                <w:color w:val="000000"/>
                <w:kern w:val="0"/>
                <w:sz w:val="22"/>
                <w:szCs w:val="22"/>
                <w:lang w:bidi="ar"/>
              </w:rPr>
              <w:t>0.3489</w:t>
            </w:r>
          </w:p>
        </w:tc>
      </w:tr>
      <w:tr w:rsidR="00B14D53" w14:paraId="2750F142" w14:textId="77777777">
        <w:trPr>
          <w:trHeight w:val="164"/>
          <w:jc w:val="center"/>
        </w:trPr>
        <w:tc>
          <w:tcPr>
            <w:tcW w:w="560" w:type="pct"/>
            <w:vAlign w:val="center"/>
          </w:tcPr>
          <w:p w14:paraId="3981C6A0" w14:textId="77777777" w:rsidR="00B14D53" w:rsidRDefault="00000000">
            <w:pPr>
              <w:jc w:val="center"/>
              <w:rPr>
                <w:szCs w:val="21"/>
              </w:rPr>
            </w:pPr>
            <w:r>
              <w:rPr>
                <w:szCs w:val="21"/>
              </w:rPr>
              <w:t>4</w:t>
            </w:r>
          </w:p>
        </w:tc>
        <w:tc>
          <w:tcPr>
            <w:tcW w:w="1003" w:type="pct"/>
            <w:vAlign w:val="center"/>
          </w:tcPr>
          <w:p w14:paraId="42ADB2E7" w14:textId="77777777" w:rsidR="00B14D53" w:rsidRDefault="00000000">
            <w:pPr>
              <w:widowControl/>
              <w:jc w:val="center"/>
              <w:textAlignment w:val="center"/>
              <w:rPr>
                <w:szCs w:val="21"/>
              </w:rPr>
            </w:pPr>
            <w:r>
              <w:rPr>
                <w:color w:val="000000"/>
                <w:kern w:val="0"/>
                <w:szCs w:val="21"/>
                <w:lang w:bidi="ar"/>
              </w:rPr>
              <w:t>溶解性总固体</w:t>
            </w:r>
          </w:p>
        </w:tc>
        <w:tc>
          <w:tcPr>
            <w:tcW w:w="1069" w:type="pct"/>
            <w:vAlign w:val="center"/>
          </w:tcPr>
          <w:p w14:paraId="1CB52C66" w14:textId="77777777" w:rsidR="00B14D53" w:rsidRDefault="00000000">
            <w:pPr>
              <w:widowControl/>
              <w:jc w:val="center"/>
              <w:textAlignment w:val="center"/>
              <w:rPr>
                <w:szCs w:val="21"/>
              </w:rPr>
            </w:pPr>
            <w:r>
              <w:rPr>
                <w:color w:val="000000"/>
                <w:kern w:val="0"/>
                <w:sz w:val="22"/>
                <w:szCs w:val="22"/>
                <w:lang w:bidi="ar"/>
              </w:rPr>
              <w:t>0.444</w:t>
            </w:r>
          </w:p>
        </w:tc>
        <w:tc>
          <w:tcPr>
            <w:tcW w:w="1194" w:type="pct"/>
            <w:vAlign w:val="center"/>
          </w:tcPr>
          <w:p w14:paraId="6D750EC8" w14:textId="77777777" w:rsidR="00B14D53" w:rsidRDefault="00000000">
            <w:pPr>
              <w:widowControl/>
              <w:jc w:val="center"/>
              <w:textAlignment w:val="center"/>
              <w:rPr>
                <w:szCs w:val="21"/>
              </w:rPr>
            </w:pPr>
            <w:r>
              <w:rPr>
                <w:color w:val="000000"/>
                <w:kern w:val="0"/>
                <w:sz w:val="22"/>
                <w:szCs w:val="22"/>
                <w:lang w:bidi="ar"/>
              </w:rPr>
              <w:t>0.631</w:t>
            </w:r>
          </w:p>
        </w:tc>
        <w:tc>
          <w:tcPr>
            <w:tcW w:w="1171" w:type="pct"/>
            <w:vAlign w:val="center"/>
          </w:tcPr>
          <w:p w14:paraId="3EC504AB" w14:textId="77777777" w:rsidR="00B14D53" w:rsidRDefault="00000000">
            <w:pPr>
              <w:widowControl/>
              <w:jc w:val="center"/>
              <w:textAlignment w:val="center"/>
              <w:rPr>
                <w:szCs w:val="21"/>
              </w:rPr>
            </w:pPr>
            <w:r>
              <w:rPr>
                <w:color w:val="000000"/>
                <w:kern w:val="0"/>
                <w:sz w:val="22"/>
                <w:szCs w:val="22"/>
                <w:lang w:bidi="ar"/>
              </w:rPr>
              <w:t>0.436</w:t>
            </w:r>
          </w:p>
        </w:tc>
      </w:tr>
      <w:tr w:rsidR="00B14D53" w14:paraId="14712C11" w14:textId="77777777">
        <w:trPr>
          <w:trHeight w:val="294"/>
          <w:jc w:val="center"/>
        </w:trPr>
        <w:tc>
          <w:tcPr>
            <w:tcW w:w="560" w:type="pct"/>
            <w:vAlign w:val="center"/>
          </w:tcPr>
          <w:p w14:paraId="67444259" w14:textId="77777777" w:rsidR="00B14D53" w:rsidRDefault="00000000">
            <w:pPr>
              <w:jc w:val="center"/>
              <w:rPr>
                <w:szCs w:val="21"/>
              </w:rPr>
            </w:pPr>
            <w:r>
              <w:rPr>
                <w:szCs w:val="21"/>
              </w:rPr>
              <w:t>5</w:t>
            </w:r>
          </w:p>
        </w:tc>
        <w:tc>
          <w:tcPr>
            <w:tcW w:w="1003" w:type="pct"/>
            <w:vAlign w:val="center"/>
          </w:tcPr>
          <w:p w14:paraId="40B23436" w14:textId="77777777" w:rsidR="00B14D53" w:rsidRDefault="00000000">
            <w:pPr>
              <w:widowControl/>
              <w:jc w:val="center"/>
              <w:textAlignment w:val="center"/>
              <w:rPr>
                <w:szCs w:val="21"/>
              </w:rPr>
            </w:pPr>
            <w:r>
              <w:rPr>
                <w:color w:val="000000"/>
                <w:kern w:val="0"/>
                <w:szCs w:val="21"/>
                <w:lang w:bidi="ar"/>
              </w:rPr>
              <w:t>硫酸盐</w:t>
            </w:r>
          </w:p>
        </w:tc>
        <w:tc>
          <w:tcPr>
            <w:tcW w:w="1069" w:type="pct"/>
            <w:vAlign w:val="center"/>
          </w:tcPr>
          <w:p w14:paraId="0F89DA54" w14:textId="77777777" w:rsidR="00B14D53" w:rsidRDefault="00000000">
            <w:pPr>
              <w:widowControl/>
              <w:jc w:val="center"/>
              <w:textAlignment w:val="center"/>
              <w:rPr>
                <w:szCs w:val="21"/>
              </w:rPr>
            </w:pPr>
            <w:r>
              <w:rPr>
                <w:color w:val="000000"/>
                <w:kern w:val="0"/>
                <w:sz w:val="22"/>
                <w:szCs w:val="22"/>
                <w:lang w:bidi="ar"/>
              </w:rPr>
              <w:t>0.252</w:t>
            </w:r>
          </w:p>
        </w:tc>
        <w:tc>
          <w:tcPr>
            <w:tcW w:w="1194" w:type="pct"/>
            <w:vAlign w:val="center"/>
          </w:tcPr>
          <w:p w14:paraId="368992C5" w14:textId="77777777" w:rsidR="00B14D53" w:rsidRDefault="00000000">
            <w:pPr>
              <w:widowControl/>
              <w:jc w:val="center"/>
              <w:textAlignment w:val="center"/>
              <w:rPr>
                <w:szCs w:val="21"/>
              </w:rPr>
            </w:pPr>
            <w:r>
              <w:rPr>
                <w:color w:val="000000"/>
                <w:kern w:val="0"/>
                <w:sz w:val="22"/>
                <w:szCs w:val="22"/>
                <w:lang w:bidi="ar"/>
              </w:rPr>
              <w:t>0.268</w:t>
            </w:r>
          </w:p>
        </w:tc>
        <w:tc>
          <w:tcPr>
            <w:tcW w:w="1171" w:type="pct"/>
            <w:vAlign w:val="center"/>
          </w:tcPr>
          <w:p w14:paraId="56D069A1" w14:textId="77777777" w:rsidR="00B14D53" w:rsidRDefault="00000000">
            <w:pPr>
              <w:widowControl/>
              <w:jc w:val="center"/>
              <w:textAlignment w:val="center"/>
              <w:rPr>
                <w:szCs w:val="21"/>
              </w:rPr>
            </w:pPr>
            <w:r>
              <w:rPr>
                <w:color w:val="000000"/>
                <w:kern w:val="0"/>
                <w:sz w:val="22"/>
                <w:szCs w:val="22"/>
                <w:lang w:bidi="ar"/>
              </w:rPr>
              <w:t>0.164</w:t>
            </w:r>
          </w:p>
        </w:tc>
      </w:tr>
      <w:tr w:rsidR="00B14D53" w14:paraId="06BEF1B6" w14:textId="77777777">
        <w:trPr>
          <w:trHeight w:val="294"/>
          <w:jc w:val="center"/>
        </w:trPr>
        <w:tc>
          <w:tcPr>
            <w:tcW w:w="560" w:type="pct"/>
            <w:vAlign w:val="center"/>
          </w:tcPr>
          <w:p w14:paraId="54B45533" w14:textId="77777777" w:rsidR="00B14D53" w:rsidRDefault="00000000">
            <w:pPr>
              <w:jc w:val="center"/>
              <w:rPr>
                <w:szCs w:val="21"/>
              </w:rPr>
            </w:pPr>
            <w:r>
              <w:rPr>
                <w:szCs w:val="21"/>
              </w:rPr>
              <w:t>6</w:t>
            </w:r>
          </w:p>
        </w:tc>
        <w:tc>
          <w:tcPr>
            <w:tcW w:w="1003" w:type="pct"/>
            <w:vAlign w:val="center"/>
          </w:tcPr>
          <w:p w14:paraId="25357B3E" w14:textId="77777777" w:rsidR="00B14D53" w:rsidRDefault="00000000">
            <w:pPr>
              <w:widowControl/>
              <w:jc w:val="center"/>
              <w:textAlignment w:val="center"/>
              <w:rPr>
                <w:szCs w:val="21"/>
              </w:rPr>
            </w:pPr>
            <w:r>
              <w:rPr>
                <w:color w:val="000000"/>
                <w:kern w:val="0"/>
                <w:szCs w:val="21"/>
                <w:lang w:bidi="ar"/>
              </w:rPr>
              <w:t>氯化物</w:t>
            </w:r>
          </w:p>
        </w:tc>
        <w:tc>
          <w:tcPr>
            <w:tcW w:w="1069" w:type="pct"/>
            <w:vAlign w:val="center"/>
          </w:tcPr>
          <w:p w14:paraId="0FC5BAB7" w14:textId="77777777" w:rsidR="00B14D53" w:rsidRDefault="00000000">
            <w:pPr>
              <w:widowControl/>
              <w:jc w:val="center"/>
              <w:textAlignment w:val="center"/>
              <w:rPr>
                <w:szCs w:val="21"/>
              </w:rPr>
            </w:pPr>
            <w:r>
              <w:rPr>
                <w:color w:val="000000"/>
                <w:kern w:val="0"/>
                <w:sz w:val="22"/>
                <w:szCs w:val="22"/>
                <w:lang w:bidi="ar"/>
              </w:rPr>
              <w:t>0.064</w:t>
            </w:r>
          </w:p>
        </w:tc>
        <w:tc>
          <w:tcPr>
            <w:tcW w:w="1194" w:type="pct"/>
            <w:vAlign w:val="center"/>
          </w:tcPr>
          <w:p w14:paraId="2F98B302" w14:textId="77777777" w:rsidR="00B14D53" w:rsidRDefault="00000000">
            <w:pPr>
              <w:widowControl/>
              <w:jc w:val="center"/>
              <w:textAlignment w:val="center"/>
              <w:rPr>
                <w:szCs w:val="21"/>
              </w:rPr>
            </w:pPr>
            <w:r>
              <w:rPr>
                <w:color w:val="000000"/>
                <w:kern w:val="0"/>
                <w:sz w:val="22"/>
                <w:szCs w:val="22"/>
                <w:lang w:bidi="ar"/>
              </w:rPr>
              <w:t>0.108</w:t>
            </w:r>
          </w:p>
        </w:tc>
        <w:tc>
          <w:tcPr>
            <w:tcW w:w="1171" w:type="pct"/>
            <w:vAlign w:val="center"/>
          </w:tcPr>
          <w:p w14:paraId="101813DE" w14:textId="77777777" w:rsidR="00B14D53" w:rsidRDefault="00000000">
            <w:pPr>
              <w:widowControl/>
              <w:jc w:val="center"/>
              <w:textAlignment w:val="center"/>
              <w:rPr>
                <w:szCs w:val="21"/>
              </w:rPr>
            </w:pPr>
            <w:r>
              <w:rPr>
                <w:color w:val="000000"/>
                <w:kern w:val="0"/>
                <w:sz w:val="22"/>
                <w:szCs w:val="22"/>
                <w:lang w:bidi="ar"/>
              </w:rPr>
              <w:t>0.256</w:t>
            </w:r>
          </w:p>
        </w:tc>
      </w:tr>
      <w:tr w:rsidR="00B14D53" w14:paraId="117AF8AE" w14:textId="77777777">
        <w:trPr>
          <w:trHeight w:val="294"/>
          <w:jc w:val="center"/>
        </w:trPr>
        <w:tc>
          <w:tcPr>
            <w:tcW w:w="560" w:type="pct"/>
            <w:vAlign w:val="center"/>
          </w:tcPr>
          <w:p w14:paraId="664B8039" w14:textId="77777777" w:rsidR="00B14D53" w:rsidRDefault="00000000">
            <w:pPr>
              <w:jc w:val="center"/>
              <w:rPr>
                <w:szCs w:val="21"/>
              </w:rPr>
            </w:pPr>
            <w:r>
              <w:rPr>
                <w:szCs w:val="21"/>
              </w:rPr>
              <w:t>7</w:t>
            </w:r>
          </w:p>
        </w:tc>
        <w:tc>
          <w:tcPr>
            <w:tcW w:w="1003" w:type="pct"/>
            <w:vAlign w:val="center"/>
          </w:tcPr>
          <w:p w14:paraId="7982F1E1" w14:textId="77777777" w:rsidR="00B14D53" w:rsidRDefault="00000000">
            <w:pPr>
              <w:widowControl/>
              <w:jc w:val="center"/>
              <w:textAlignment w:val="center"/>
              <w:rPr>
                <w:szCs w:val="21"/>
              </w:rPr>
            </w:pPr>
            <w:r>
              <w:rPr>
                <w:color w:val="000000"/>
                <w:kern w:val="0"/>
                <w:szCs w:val="21"/>
                <w:lang w:bidi="ar"/>
              </w:rPr>
              <w:t>铁</w:t>
            </w:r>
          </w:p>
        </w:tc>
        <w:tc>
          <w:tcPr>
            <w:tcW w:w="1069" w:type="pct"/>
            <w:vAlign w:val="center"/>
          </w:tcPr>
          <w:p w14:paraId="2F864983" w14:textId="77777777" w:rsidR="00B14D53" w:rsidRDefault="00000000">
            <w:pPr>
              <w:widowControl/>
              <w:jc w:val="center"/>
              <w:textAlignment w:val="center"/>
              <w:rPr>
                <w:szCs w:val="21"/>
              </w:rPr>
            </w:pPr>
            <w:r>
              <w:rPr>
                <w:color w:val="000000"/>
                <w:kern w:val="0"/>
                <w:sz w:val="22"/>
                <w:szCs w:val="22"/>
                <w:lang w:bidi="ar"/>
              </w:rPr>
              <w:t>0.6667</w:t>
            </w:r>
          </w:p>
        </w:tc>
        <w:tc>
          <w:tcPr>
            <w:tcW w:w="1194" w:type="pct"/>
            <w:vAlign w:val="center"/>
          </w:tcPr>
          <w:p w14:paraId="4DBEFB55" w14:textId="77777777" w:rsidR="00B14D53" w:rsidRDefault="00000000">
            <w:pPr>
              <w:widowControl/>
              <w:jc w:val="center"/>
              <w:textAlignment w:val="center"/>
              <w:rPr>
                <w:szCs w:val="21"/>
              </w:rPr>
            </w:pPr>
            <w:r>
              <w:rPr>
                <w:color w:val="000000"/>
                <w:kern w:val="0"/>
                <w:sz w:val="22"/>
                <w:szCs w:val="22"/>
                <w:lang w:bidi="ar"/>
              </w:rPr>
              <w:t>0.7</w:t>
            </w:r>
          </w:p>
        </w:tc>
        <w:tc>
          <w:tcPr>
            <w:tcW w:w="1171" w:type="pct"/>
            <w:vAlign w:val="center"/>
          </w:tcPr>
          <w:p w14:paraId="32BCD66E" w14:textId="77777777" w:rsidR="00B14D53" w:rsidRDefault="00000000">
            <w:pPr>
              <w:widowControl/>
              <w:jc w:val="center"/>
              <w:textAlignment w:val="center"/>
              <w:rPr>
                <w:szCs w:val="21"/>
              </w:rPr>
            </w:pPr>
            <w:r>
              <w:rPr>
                <w:color w:val="000000"/>
                <w:kern w:val="0"/>
                <w:sz w:val="22"/>
                <w:szCs w:val="22"/>
                <w:lang w:bidi="ar"/>
              </w:rPr>
              <w:t>1.4333</w:t>
            </w:r>
          </w:p>
        </w:tc>
      </w:tr>
      <w:tr w:rsidR="00B14D53" w14:paraId="7B17CF59" w14:textId="77777777">
        <w:trPr>
          <w:trHeight w:val="294"/>
          <w:jc w:val="center"/>
        </w:trPr>
        <w:tc>
          <w:tcPr>
            <w:tcW w:w="560" w:type="pct"/>
            <w:vAlign w:val="center"/>
          </w:tcPr>
          <w:p w14:paraId="35A2DFF6" w14:textId="77777777" w:rsidR="00B14D53" w:rsidRDefault="00000000">
            <w:pPr>
              <w:jc w:val="center"/>
              <w:rPr>
                <w:szCs w:val="21"/>
              </w:rPr>
            </w:pPr>
            <w:r>
              <w:rPr>
                <w:szCs w:val="21"/>
              </w:rPr>
              <w:t>8</w:t>
            </w:r>
          </w:p>
        </w:tc>
        <w:tc>
          <w:tcPr>
            <w:tcW w:w="1003" w:type="pct"/>
            <w:vAlign w:val="center"/>
          </w:tcPr>
          <w:p w14:paraId="4476B569" w14:textId="77777777" w:rsidR="00B14D53" w:rsidRDefault="00000000">
            <w:pPr>
              <w:widowControl/>
              <w:jc w:val="center"/>
              <w:textAlignment w:val="center"/>
              <w:rPr>
                <w:szCs w:val="21"/>
              </w:rPr>
            </w:pPr>
            <w:r>
              <w:rPr>
                <w:color w:val="000000"/>
                <w:kern w:val="0"/>
                <w:szCs w:val="21"/>
                <w:lang w:bidi="ar"/>
              </w:rPr>
              <w:t>锰</w:t>
            </w:r>
          </w:p>
        </w:tc>
        <w:tc>
          <w:tcPr>
            <w:tcW w:w="1069" w:type="pct"/>
            <w:vAlign w:val="center"/>
          </w:tcPr>
          <w:p w14:paraId="191A5D35" w14:textId="77777777" w:rsidR="00B14D53" w:rsidRDefault="00000000">
            <w:pPr>
              <w:widowControl/>
              <w:jc w:val="center"/>
              <w:textAlignment w:val="center"/>
              <w:rPr>
                <w:szCs w:val="21"/>
              </w:rPr>
            </w:pPr>
            <w:r>
              <w:rPr>
                <w:color w:val="000000"/>
                <w:kern w:val="0"/>
                <w:sz w:val="22"/>
                <w:szCs w:val="22"/>
                <w:lang w:bidi="ar"/>
              </w:rPr>
              <w:t>1.4</w:t>
            </w:r>
          </w:p>
        </w:tc>
        <w:tc>
          <w:tcPr>
            <w:tcW w:w="1194" w:type="pct"/>
            <w:vAlign w:val="center"/>
          </w:tcPr>
          <w:p w14:paraId="2376687D"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109339A9" w14:textId="77777777" w:rsidR="00B14D53" w:rsidRDefault="00000000">
            <w:pPr>
              <w:widowControl/>
              <w:jc w:val="center"/>
              <w:textAlignment w:val="center"/>
              <w:rPr>
                <w:szCs w:val="21"/>
              </w:rPr>
            </w:pPr>
            <w:r>
              <w:rPr>
                <w:color w:val="000000"/>
                <w:kern w:val="0"/>
                <w:sz w:val="22"/>
                <w:szCs w:val="22"/>
                <w:lang w:bidi="ar"/>
              </w:rPr>
              <w:t>2</w:t>
            </w:r>
          </w:p>
        </w:tc>
      </w:tr>
      <w:tr w:rsidR="00B14D53" w14:paraId="56FC47CA" w14:textId="77777777">
        <w:trPr>
          <w:trHeight w:val="294"/>
          <w:jc w:val="center"/>
        </w:trPr>
        <w:tc>
          <w:tcPr>
            <w:tcW w:w="560" w:type="pct"/>
            <w:vAlign w:val="center"/>
          </w:tcPr>
          <w:p w14:paraId="5B7A8A0F" w14:textId="77777777" w:rsidR="00B14D53" w:rsidRDefault="00000000">
            <w:pPr>
              <w:jc w:val="center"/>
              <w:rPr>
                <w:szCs w:val="21"/>
              </w:rPr>
            </w:pPr>
            <w:r>
              <w:rPr>
                <w:szCs w:val="21"/>
              </w:rPr>
              <w:t>9</w:t>
            </w:r>
          </w:p>
        </w:tc>
        <w:tc>
          <w:tcPr>
            <w:tcW w:w="1003" w:type="pct"/>
            <w:vAlign w:val="center"/>
          </w:tcPr>
          <w:p w14:paraId="070F3DB1" w14:textId="77777777" w:rsidR="00B14D53" w:rsidRDefault="00000000">
            <w:pPr>
              <w:widowControl/>
              <w:jc w:val="center"/>
              <w:textAlignment w:val="center"/>
              <w:rPr>
                <w:szCs w:val="21"/>
              </w:rPr>
            </w:pPr>
            <w:r>
              <w:rPr>
                <w:color w:val="000000"/>
                <w:kern w:val="0"/>
                <w:szCs w:val="21"/>
                <w:lang w:bidi="ar"/>
              </w:rPr>
              <w:t>挥发酚</w:t>
            </w:r>
          </w:p>
        </w:tc>
        <w:tc>
          <w:tcPr>
            <w:tcW w:w="1069" w:type="pct"/>
            <w:vAlign w:val="center"/>
          </w:tcPr>
          <w:p w14:paraId="6EBE536A" w14:textId="77777777" w:rsidR="00B14D53" w:rsidRDefault="00000000">
            <w:pPr>
              <w:widowControl/>
              <w:jc w:val="center"/>
              <w:textAlignment w:val="center"/>
              <w:rPr>
                <w:szCs w:val="21"/>
              </w:rPr>
            </w:pPr>
            <w:r>
              <w:rPr>
                <w:color w:val="000000"/>
                <w:kern w:val="0"/>
                <w:sz w:val="22"/>
                <w:szCs w:val="22"/>
                <w:lang w:bidi="ar"/>
              </w:rPr>
              <w:t>低于检出限</w:t>
            </w:r>
          </w:p>
        </w:tc>
        <w:tc>
          <w:tcPr>
            <w:tcW w:w="1194" w:type="pct"/>
            <w:vAlign w:val="center"/>
          </w:tcPr>
          <w:p w14:paraId="1692F87B"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1F533A9C" w14:textId="77777777" w:rsidR="00B14D53" w:rsidRDefault="00000000">
            <w:pPr>
              <w:widowControl/>
              <w:jc w:val="center"/>
              <w:textAlignment w:val="center"/>
              <w:rPr>
                <w:szCs w:val="21"/>
              </w:rPr>
            </w:pPr>
            <w:r>
              <w:rPr>
                <w:color w:val="000000"/>
                <w:kern w:val="0"/>
                <w:sz w:val="22"/>
                <w:szCs w:val="22"/>
                <w:lang w:bidi="ar"/>
              </w:rPr>
              <w:t>低于检出限</w:t>
            </w:r>
          </w:p>
        </w:tc>
      </w:tr>
      <w:tr w:rsidR="00B14D53" w14:paraId="0294A750" w14:textId="77777777">
        <w:trPr>
          <w:trHeight w:val="294"/>
          <w:jc w:val="center"/>
        </w:trPr>
        <w:tc>
          <w:tcPr>
            <w:tcW w:w="560" w:type="pct"/>
            <w:vAlign w:val="center"/>
          </w:tcPr>
          <w:p w14:paraId="275AF769" w14:textId="77777777" w:rsidR="00B14D53" w:rsidRDefault="00000000">
            <w:pPr>
              <w:jc w:val="center"/>
              <w:rPr>
                <w:szCs w:val="21"/>
              </w:rPr>
            </w:pPr>
            <w:r>
              <w:rPr>
                <w:szCs w:val="21"/>
              </w:rPr>
              <w:t>10</w:t>
            </w:r>
          </w:p>
        </w:tc>
        <w:tc>
          <w:tcPr>
            <w:tcW w:w="1003" w:type="pct"/>
            <w:vAlign w:val="center"/>
          </w:tcPr>
          <w:p w14:paraId="67D2479E" w14:textId="77777777" w:rsidR="00B14D53" w:rsidRDefault="00000000">
            <w:pPr>
              <w:widowControl/>
              <w:jc w:val="center"/>
              <w:textAlignment w:val="center"/>
              <w:rPr>
                <w:szCs w:val="21"/>
              </w:rPr>
            </w:pPr>
            <w:r>
              <w:rPr>
                <w:color w:val="000000"/>
                <w:kern w:val="0"/>
                <w:szCs w:val="21"/>
                <w:lang w:bidi="ar"/>
              </w:rPr>
              <w:t>耗氧量</w:t>
            </w:r>
          </w:p>
        </w:tc>
        <w:tc>
          <w:tcPr>
            <w:tcW w:w="1069" w:type="pct"/>
            <w:vAlign w:val="center"/>
          </w:tcPr>
          <w:p w14:paraId="09125563" w14:textId="77777777" w:rsidR="00B14D53" w:rsidRDefault="00000000">
            <w:pPr>
              <w:widowControl/>
              <w:jc w:val="center"/>
              <w:textAlignment w:val="center"/>
              <w:rPr>
                <w:szCs w:val="21"/>
              </w:rPr>
            </w:pPr>
            <w:r>
              <w:rPr>
                <w:color w:val="000000"/>
                <w:kern w:val="0"/>
                <w:sz w:val="22"/>
                <w:szCs w:val="22"/>
                <w:lang w:bidi="ar"/>
              </w:rPr>
              <w:t>0.6333</w:t>
            </w:r>
          </w:p>
        </w:tc>
        <w:tc>
          <w:tcPr>
            <w:tcW w:w="1194" w:type="pct"/>
            <w:vAlign w:val="center"/>
          </w:tcPr>
          <w:p w14:paraId="1F627A67" w14:textId="77777777" w:rsidR="00B14D53" w:rsidRDefault="00000000">
            <w:pPr>
              <w:widowControl/>
              <w:jc w:val="center"/>
              <w:textAlignment w:val="center"/>
              <w:rPr>
                <w:szCs w:val="21"/>
              </w:rPr>
            </w:pPr>
            <w:r>
              <w:rPr>
                <w:color w:val="000000"/>
                <w:kern w:val="0"/>
                <w:sz w:val="22"/>
                <w:szCs w:val="22"/>
                <w:lang w:bidi="ar"/>
              </w:rPr>
              <w:t>0.9</w:t>
            </w:r>
          </w:p>
        </w:tc>
        <w:tc>
          <w:tcPr>
            <w:tcW w:w="1171" w:type="pct"/>
            <w:vAlign w:val="center"/>
          </w:tcPr>
          <w:p w14:paraId="1FFE872E" w14:textId="77777777" w:rsidR="00B14D53" w:rsidRDefault="00000000">
            <w:pPr>
              <w:widowControl/>
              <w:jc w:val="center"/>
              <w:textAlignment w:val="center"/>
              <w:rPr>
                <w:szCs w:val="21"/>
              </w:rPr>
            </w:pPr>
            <w:r>
              <w:rPr>
                <w:color w:val="000000"/>
                <w:kern w:val="0"/>
                <w:sz w:val="22"/>
                <w:szCs w:val="22"/>
                <w:lang w:bidi="ar"/>
              </w:rPr>
              <w:t>0.6333</w:t>
            </w:r>
          </w:p>
        </w:tc>
      </w:tr>
      <w:tr w:rsidR="00B14D53" w14:paraId="7B672267" w14:textId="77777777">
        <w:trPr>
          <w:trHeight w:val="65"/>
          <w:jc w:val="center"/>
        </w:trPr>
        <w:tc>
          <w:tcPr>
            <w:tcW w:w="560" w:type="pct"/>
            <w:vAlign w:val="center"/>
          </w:tcPr>
          <w:p w14:paraId="1BE35300" w14:textId="77777777" w:rsidR="00B14D53" w:rsidRDefault="00000000">
            <w:pPr>
              <w:jc w:val="center"/>
              <w:rPr>
                <w:szCs w:val="21"/>
              </w:rPr>
            </w:pPr>
            <w:r>
              <w:rPr>
                <w:szCs w:val="21"/>
              </w:rPr>
              <w:t>11</w:t>
            </w:r>
          </w:p>
        </w:tc>
        <w:tc>
          <w:tcPr>
            <w:tcW w:w="1003" w:type="pct"/>
            <w:vAlign w:val="center"/>
          </w:tcPr>
          <w:p w14:paraId="7AF3DD8C" w14:textId="77777777" w:rsidR="00B14D53" w:rsidRDefault="00000000">
            <w:pPr>
              <w:widowControl/>
              <w:jc w:val="center"/>
              <w:textAlignment w:val="center"/>
              <w:rPr>
                <w:szCs w:val="21"/>
              </w:rPr>
            </w:pPr>
            <w:r>
              <w:rPr>
                <w:color w:val="000000"/>
                <w:kern w:val="0"/>
                <w:szCs w:val="21"/>
                <w:lang w:bidi="ar"/>
              </w:rPr>
              <w:t>氨氮</w:t>
            </w:r>
          </w:p>
        </w:tc>
        <w:tc>
          <w:tcPr>
            <w:tcW w:w="1069" w:type="pct"/>
            <w:vAlign w:val="center"/>
          </w:tcPr>
          <w:p w14:paraId="78873DB1" w14:textId="77777777" w:rsidR="00B14D53" w:rsidRDefault="00000000">
            <w:pPr>
              <w:widowControl/>
              <w:jc w:val="center"/>
              <w:textAlignment w:val="center"/>
              <w:rPr>
                <w:szCs w:val="21"/>
              </w:rPr>
            </w:pPr>
            <w:r>
              <w:rPr>
                <w:color w:val="000000"/>
                <w:kern w:val="0"/>
                <w:sz w:val="22"/>
                <w:szCs w:val="22"/>
                <w:lang w:bidi="ar"/>
              </w:rPr>
              <w:t>0.344</w:t>
            </w:r>
          </w:p>
        </w:tc>
        <w:tc>
          <w:tcPr>
            <w:tcW w:w="1194" w:type="pct"/>
            <w:vAlign w:val="center"/>
          </w:tcPr>
          <w:p w14:paraId="775696A0" w14:textId="77777777" w:rsidR="00B14D53" w:rsidRDefault="00000000">
            <w:pPr>
              <w:widowControl/>
              <w:jc w:val="center"/>
              <w:textAlignment w:val="center"/>
              <w:rPr>
                <w:szCs w:val="21"/>
              </w:rPr>
            </w:pPr>
            <w:r>
              <w:rPr>
                <w:color w:val="000000"/>
                <w:kern w:val="0"/>
                <w:sz w:val="22"/>
                <w:szCs w:val="22"/>
                <w:lang w:bidi="ar"/>
              </w:rPr>
              <w:t>0.2</w:t>
            </w:r>
          </w:p>
        </w:tc>
        <w:tc>
          <w:tcPr>
            <w:tcW w:w="1171" w:type="pct"/>
            <w:vAlign w:val="center"/>
          </w:tcPr>
          <w:p w14:paraId="4FDD648C" w14:textId="77777777" w:rsidR="00B14D53" w:rsidRDefault="00000000">
            <w:pPr>
              <w:widowControl/>
              <w:jc w:val="center"/>
              <w:textAlignment w:val="center"/>
              <w:rPr>
                <w:szCs w:val="21"/>
              </w:rPr>
            </w:pPr>
            <w:r>
              <w:rPr>
                <w:color w:val="000000"/>
                <w:kern w:val="0"/>
                <w:sz w:val="22"/>
                <w:szCs w:val="22"/>
                <w:lang w:bidi="ar"/>
              </w:rPr>
              <w:t>0.494</w:t>
            </w:r>
          </w:p>
        </w:tc>
      </w:tr>
      <w:tr w:rsidR="00B14D53" w14:paraId="7D69137C" w14:textId="77777777">
        <w:trPr>
          <w:trHeight w:val="294"/>
          <w:jc w:val="center"/>
        </w:trPr>
        <w:tc>
          <w:tcPr>
            <w:tcW w:w="560" w:type="pct"/>
            <w:vAlign w:val="center"/>
          </w:tcPr>
          <w:p w14:paraId="3E9FB790" w14:textId="77777777" w:rsidR="00B14D53" w:rsidRDefault="00000000">
            <w:pPr>
              <w:jc w:val="center"/>
              <w:rPr>
                <w:szCs w:val="21"/>
              </w:rPr>
            </w:pPr>
            <w:r>
              <w:rPr>
                <w:szCs w:val="21"/>
              </w:rPr>
              <w:t>12</w:t>
            </w:r>
          </w:p>
        </w:tc>
        <w:tc>
          <w:tcPr>
            <w:tcW w:w="1003" w:type="pct"/>
            <w:vAlign w:val="center"/>
          </w:tcPr>
          <w:p w14:paraId="1051E9C1" w14:textId="77777777" w:rsidR="00B14D53" w:rsidRDefault="00000000">
            <w:pPr>
              <w:widowControl/>
              <w:jc w:val="center"/>
              <w:textAlignment w:val="center"/>
              <w:rPr>
                <w:szCs w:val="21"/>
              </w:rPr>
            </w:pPr>
            <w:r>
              <w:rPr>
                <w:color w:val="000000"/>
                <w:kern w:val="0"/>
                <w:szCs w:val="21"/>
                <w:lang w:bidi="ar"/>
              </w:rPr>
              <w:t>总大肠菌群</w:t>
            </w:r>
          </w:p>
        </w:tc>
        <w:tc>
          <w:tcPr>
            <w:tcW w:w="1069" w:type="pct"/>
            <w:vAlign w:val="center"/>
          </w:tcPr>
          <w:p w14:paraId="31814DCE" w14:textId="77777777" w:rsidR="00B14D53" w:rsidRDefault="00000000">
            <w:pPr>
              <w:widowControl/>
              <w:jc w:val="center"/>
              <w:textAlignment w:val="center"/>
              <w:rPr>
                <w:szCs w:val="21"/>
              </w:rPr>
            </w:pPr>
            <w:r>
              <w:rPr>
                <w:color w:val="000000"/>
                <w:kern w:val="0"/>
                <w:sz w:val="22"/>
                <w:szCs w:val="22"/>
                <w:lang w:bidi="ar"/>
              </w:rPr>
              <w:t>低于检出限</w:t>
            </w:r>
          </w:p>
        </w:tc>
        <w:tc>
          <w:tcPr>
            <w:tcW w:w="1194" w:type="pct"/>
            <w:vAlign w:val="center"/>
          </w:tcPr>
          <w:p w14:paraId="4892B69F"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3F74C2FC" w14:textId="77777777" w:rsidR="00B14D53" w:rsidRDefault="00000000">
            <w:pPr>
              <w:widowControl/>
              <w:jc w:val="center"/>
              <w:textAlignment w:val="center"/>
              <w:rPr>
                <w:szCs w:val="21"/>
              </w:rPr>
            </w:pPr>
            <w:r>
              <w:rPr>
                <w:color w:val="000000"/>
                <w:kern w:val="0"/>
                <w:sz w:val="22"/>
                <w:szCs w:val="22"/>
                <w:lang w:bidi="ar"/>
              </w:rPr>
              <w:t>低于检出限</w:t>
            </w:r>
          </w:p>
        </w:tc>
      </w:tr>
      <w:tr w:rsidR="00B14D53" w14:paraId="6590679E" w14:textId="77777777">
        <w:trPr>
          <w:trHeight w:val="294"/>
          <w:jc w:val="center"/>
        </w:trPr>
        <w:tc>
          <w:tcPr>
            <w:tcW w:w="560" w:type="pct"/>
            <w:vAlign w:val="center"/>
          </w:tcPr>
          <w:p w14:paraId="431D895D" w14:textId="77777777" w:rsidR="00B14D53" w:rsidRDefault="00000000">
            <w:pPr>
              <w:jc w:val="center"/>
              <w:rPr>
                <w:szCs w:val="21"/>
              </w:rPr>
            </w:pPr>
            <w:r>
              <w:rPr>
                <w:szCs w:val="21"/>
              </w:rPr>
              <w:t>13</w:t>
            </w:r>
          </w:p>
        </w:tc>
        <w:tc>
          <w:tcPr>
            <w:tcW w:w="1003" w:type="pct"/>
            <w:vAlign w:val="center"/>
          </w:tcPr>
          <w:p w14:paraId="5F2B7E70" w14:textId="77777777" w:rsidR="00B14D53" w:rsidRDefault="00000000">
            <w:pPr>
              <w:widowControl/>
              <w:jc w:val="center"/>
              <w:textAlignment w:val="center"/>
              <w:rPr>
                <w:szCs w:val="21"/>
              </w:rPr>
            </w:pPr>
            <w:r>
              <w:rPr>
                <w:color w:val="000000"/>
                <w:kern w:val="0"/>
                <w:szCs w:val="21"/>
                <w:lang w:bidi="ar"/>
              </w:rPr>
              <w:t>菌落总数</w:t>
            </w:r>
          </w:p>
        </w:tc>
        <w:tc>
          <w:tcPr>
            <w:tcW w:w="1069" w:type="pct"/>
            <w:vAlign w:val="center"/>
          </w:tcPr>
          <w:p w14:paraId="229E7DBC" w14:textId="77777777" w:rsidR="00B14D53" w:rsidRDefault="00000000">
            <w:pPr>
              <w:widowControl/>
              <w:jc w:val="center"/>
              <w:textAlignment w:val="center"/>
              <w:rPr>
                <w:szCs w:val="21"/>
              </w:rPr>
            </w:pPr>
            <w:r>
              <w:rPr>
                <w:color w:val="000000"/>
                <w:kern w:val="0"/>
                <w:sz w:val="22"/>
                <w:szCs w:val="22"/>
                <w:lang w:bidi="ar"/>
              </w:rPr>
              <w:t>0.8</w:t>
            </w:r>
          </w:p>
        </w:tc>
        <w:tc>
          <w:tcPr>
            <w:tcW w:w="1194" w:type="pct"/>
            <w:vAlign w:val="center"/>
          </w:tcPr>
          <w:p w14:paraId="354A501E" w14:textId="77777777" w:rsidR="00B14D53" w:rsidRDefault="00000000">
            <w:pPr>
              <w:widowControl/>
              <w:jc w:val="center"/>
              <w:textAlignment w:val="center"/>
              <w:rPr>
                <w:szCs w:val="21"/>
              </w:rPr>
            </w:pPr>
            <w:r>
              <w:rPr>
                <w:color w:val="000000"/>
                <w:kern w:val="0"/>
                <w:sz w:val="22"/>
                <w:szCs w:val="22"/>
                <w:lang w:bidi="ar"/>
              </w:rPr>
              <w:t>0.7</w:t>
            </w:r>
          </w:p>
        </w:tc>
        <w:tc>
          <w:tcPr>
            <w:tcW w:w="1171" w:type="pct"/>
            <w:vAlign w:val="center"/>
          </w:tcPr>
          <w:p w14:paraId="7EF058ED" w14:textId="77777777" w:rsidR="00B14D53" w:rsidRDefault="00000000">
            <w:pPr>
              <w:widowControl/>
              <w:jc w:val="center"/>
              <w:textAlignment w:val="center"/>
              <w:rPr>
                <w:szCs w:val="21"/>
              </w:rPr>
            </w:pPr>
            <w:r>
              <w:rPr>
                <w:color w:val="000000"/>
                <w:kern w:val="0"/>
                <w:sz w:val="22"/>
                <w:szCs w:val="22"/>
                <w:lang w:bidi="ar"/>
              </w:rPr>
              <w:t>0.8</w:t>
            </w:r>
          </w:p>
        </w:tc>
      </w:tr>
      <w:tr w:rsidR="00B14D53" w14:paraId="088E7487" w14:textId="77777777">
        <w:trPr>
          <w:trHeight w:val="294"/>
          <w:jc w:val="center"/>
        </w:trPr>
        <w:tc>
          <w:tcPr>
            <w:tcW w:w="560" w:type="pct"/>
            <w:vAlign w:val="center"/>
          </w:tcPr>
          <w:p w14:paraId="6FE40B69" w14:textId="77777777" w:rsidR="00B14D53" w:rsidRDefault="00000000">
            <w:pPr>
              <w:jc w:val="center"/>
              <w:rPr>
                <w:szCs w:val="21"/>
              </w:rPr>
            </w:pPr>
            <w:r>
              <w:rPr>
                <w:szCs w:val="21"/>
              </w:rPr>
              <w:t>14</w:t>
            </w:r>
          </w:p>
        </w:tc>
        <w:tc>
          <w:tcPr>
            <w:tcW w:w="1003" w:type="pct"/>
            <w:vAlign w:val="center"/>
          </w:tcPr>
          <w:p w14:paraId="1A96B462" w14:textId="77777777" w:rsidR="00B14D53" w:rsidRDefault="00000000">
            <w:pPr>
              <w:widowControl/>
              <w:jc w:val="center"/>
              <w:textAlignment w:val="center"/>
              <w:rPr>
                <w:szCs w:val="21"/>
              </w:rPr>
            </w:pPr>
            <w:r>
              <w:rPr>
                <w:color w:val="000000"/>
                <w:kern w:val="0"/>
                <w:szCs w:val="21"/>
                <w:lang w:bidi="ar"/>
              </w:rPr>
              <w:t>亚硝酸盐</w:t>
            </w:r>
          </w:p>
        </w:tc>
        <w:tc>
          <w:tcPr>
            <w:tcW w:w="1069" w:type="pct"/>
            <w:vAlign w:val="center"/>
          </w:tcPr>
          <w:p w14:paraId="2292C32F" w14:textId="77777777" w:rsidR="00B14D53" w:rsidRDefault="00000000">
            <w:pPr>
              <w:widowControl/>
              <w:jc w:val="center"/>
              <w:textAlignment w:val="center"/>
              <w:rPr>
                <w:szCs w:val="21"/>
              </w:rPr>
            </w:pPr>
            <w:r>
              <w:rPr>
                <w:color w:val="000000"/>
                <w:kern w:val="0"/>
                <w:sz w:val="22"/>
                <w:szCs w:val="22"/>
                <w:lang w:bidi="ar"/>
              </w:rPr>
              <w:t>低于检出限</w:t>
            </w:r>
          </w:p>
        </w:tc>
        <w:tc>
          <w:tcPr>
            <w:tcW w:w="1194" w:type="pct"/>
            <w:vAlign w:val="center"/>
          </w:tcPr>
          <w:p w14:paraId="7356A2A9"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5DAB1D43" w14:textId="77777777" w:rsidR="00B14D53" w:rsidRDefault="00000000">
            <w:pPr>
              <w:widowControl/>
              <w:jc w:val="center"/>
              <w:textAlignment w:val="center"/>
              <w:rPr>
                <w:szCs w:val="21"/>
              </w:rPr>
            </w:pPr>
            <w:r>
              <w:rPr>
                <w:color w:val="000000"/>
                <w:kern w:val="0"/>
                <w:sz w:val="22"/>
                <w:szCs w:val="22"/>
                <w:lang w:bidi="ar"/>
              </w:rPr>
              <w:t>低于检出限</w:t>
            </w:r>
          </w:p>
        </w:tc>
      </w:tr>
      <w:tr w:rsidR="00B14D53" w14:paraId="3948A0E0" w14:textId="77777777">
        <w:trPr>
          <w:trHeight w:val="294"/>
          <w:jc w:val="center"/>
        </w:trPr>
        <w:tc>
          <w:tcPr>
            <w:tcW w:w="560" w:type="pct"/>
            <w:vAlign w:val="center"/>
          </w:tcPr>
          <w:p w14:paraId="5C1902B5" w14:textId="77777777" w:rsidR="00B14D53" w:rsidRDefault="00000000">
            <w:pPr>
              <w:jc w:val="center"/>
              <w:rPr>
                <w:szCs w:val="21"/>
              </w:rPr>
            </w:pPr>
            <w:r>
              <w:rPr>
                <w:szCs w:val="21"/>
              </w:rPr>
              <w:t>15</w:t>
            </w:r>
          </w:p>
        </w:tc>
        <w:tc>
          <w:tcPr>
            <w:tcW w:w="1003" w:type="pct"/>
            <w:vAlign w:val="center"/>
          </w:tcPr>
          <w:p w14:paraId="4689C547" w14:textId="77777777" w:rsidR="00B14D53" w:rsidRDefault="00000000">
            <w:pPr>
              <w:widowControl/>
              <w:jc w:val="center"/>
              <w:textAlignment w:val="center"/>
              <w:rPr>
                <w:szCs w:val="21"/>
              </w:rPr>
            </w:pPr>
            <w:r>
              <w:rPr>
                <w:color w:val="000000"/>
                <w:kern w:val="0"/>
                <w:szCs w:val="21"/>
                <w:lang w:bidi="ar"/>
              </w:rPr>
              <w:t>硝酸盐</w:t>
            </w:r>
          </w:p>
        </w:tc>
        <w:tc>
          <w:tcPr>
            <w:tcW w:w="1069" w:type="pct"/>
            <w:vAlign w:val="center"/>
          </w:tcPr>
          <w:p w14:paraId="2E62015F" w14:textId="77777777" w:rsidR="00B14D53" w:rsidRDefault="00000000">
            <w:pPr>
              <w:widowControl/>
              <w:jc w:val="center"/>
              <w:textAlignment w:val="center"/>
              <w:rPr>
                <w:szCs w:val="21"/>
              </w:rPr>
            </w:pPr>
            <w:r>
              <w:rPr>
                <w:color w:val="000000"/>
                <w:kern w:val="0"/>
                <w:sz w:val="22"/>
                <w:szCs w:val="22"/>
                <w:lang w:bidi="ar"/>
              </w:rPr>
              <w:t>0.0175</w:t>
            </w:r>
          </w:p>
        </w:tc>
        <w:tc>
          <w:tcPr>
            <w:tcW w:w="1194" w:type="pct"/>
            <w:vAlign w:val="center"/>
          </w:tcPr>
          <w:p w14:paraId="00DB656B" w14:textId="77777777" w:rsidR="00B14D53" w:rsidRDefault="00000000">
            <w:pPr>
              <w:widowControl/>
              <w:jc w:val="center"/>
              <w:textAlignment w:val="center"/>
              <w:rPr>
                <w:szCs w:val="21"/>
              </w:rPr>
            </w:pPr>
            <w:r>
              <w:rPr>
                <w:color w:val="000000"/>
                <w:kern w:val="0"/>
                <w:sz w:val="22"/>
                <w:szCs w:val="22"/>
                <w:lang w:bidi="ar"/>
              </w:rPr>
              <w:t>0.0875</w:t>
            </w:r>
          </w:p>
        </w:tc>
        <w:tc>
          <w:tcPr>
            <w:tcW w:w="1171" w:type="pct"/>
            <w:vAlign w:val="center"/>
          </w:tcPr>
          <w:p w14:paraId="7BCE6D6B" w14:textId="77777777" w:rsidR="00B14D53" w:rsidRDefault="00000000">
            <w:pPr>
              <w:widowControl/>
              <w:jc w:val="center"/>
              <w:textAlignment w:val="center"/>
              <w:rPr>
                <w:szCs w:val="21"/>
              </w:rPr>
            </w:pPr>
            <w:r>
              <w:rPr>
                <w:color w:val="000000"/>
                <w:kern w:val="0"/>
                <w:sz w:val="22"/>
                <w:szCs w:val="22"/>
                <w:lang w:bidi="ar"/>
              </w:rPr>
              <w:t>0.018</w:t>
            </w:r>
          </w:p>
        </w:tc>
      </w:tr>
      <w:tr w:rsidR="00B14D53" w14:paraId="4417CC21" w14:textId="77777777">
        <w:trPr>
          <w:trHeight w:val="294"/>
          <w:jc w:val="center"/>
        </w:trPr>
        <w:tc>
          <w:tcPr>
            <w:tcW w:w="560" w:type="pct"/>
            <w:vAlign w:val="center"/>
          </w:tcPr>
          <w:p w14:paraId="32509242" w14:textId="77777777" w:rsidR="00B14D53" w:rsidRDefault="00000000">
            <w:pPr>
              <w:jc w:val="center"/>
              <w:rPr>
                <w:szCs w:val="21"/>
              </w:rPr>
            </w:pPr>
            <w:r>
              <w:rPr>
                <w:szCs w:val="21"/>
              </w:rPr>
              <w:t>16</w:t>
            </w:r>
          </w:p>
        </w:tc>
        <w:tc>
          <w:tcPr>
            <w:tcW w:w="1003" w:type="pct"/>
            <w:vAlign w:val="center"/>
          </w:tcPr>
          <w:p w14:paraId="5807C27F" w14:textId="77777777" w:rsidR="00B14D53" w:rsidRDefault="00000000">
            <w:pPr>
              <w:widowControl/>
              <w:jc w:val="center"/>
              <w:textAlignment w:val="center"/>
              <w:rPr>
                <w:szCs w:val="21"/>
              </w:rPr>
            </w:pPr>
            <w:r>
              <w:rPr>
                <w:color w:val="000000"/>
                <w:kern w:val="0"/>
                <w:szCs w:val="21"/>
                <w:lang w:bidi="ar"/>
              </w:rPr>
              <w:t>氰化物</w:t>
            </w:r>
          </w:p>
        </w:tc>
        <w:tc>
          <w:tcPr>
            <w:tcW w:w="1069" w:type="pct"/>
            <w:vAlign w:val="center"/>
          </w:tcPr>
          <w:p w14:paraId="3CBD57C8" w14:textId="77777777" w:rsidR="00B14D53" w:rsidRDefault="00000000">
            <w:pPr>
              <w:widowControl/>
              <w:jc w:val="center"/>
              <w:textAlignment w:val="center"/>
              <w:rPr>
                <w:szCs w:val="21"/>
              </w:rPr>
            </w:pPr>
            <w:r>
              <w:rPr>
                <w:color w:val="000000"/>
                <w:kern w:val="0"/>
                <w:sz w:val="22"/>
                <w:szCs w:val="22"/>
                <w:lang w:bidi="ar"/>
              </w:rPr>
              <w:t>低于检出限</w:t>
            </w:r>
          </w:p>
        </w:tc>
        <w:tc>
          <w:tcPr>
            <w:tcW w:w="1194" w:type="pct"/>
            <w:vAlign w:val="center"/>
          </w:tcPr>
          <w:p w14:paraId="46DD5EBC"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35882C49" w14:textId="77777777" w:rsidR="00B14D53" w:rsidRDefault="00000000">
            <w:pPr>
              <w:widowControl/>
              <w:jc w:val="center"/>
              <w:textAlignment w:val="center"/>
              <w:rPr>
                <w:szCs w:val="21"/>
              </w:rPr>
            </w:pPr>
            <w:r>
              <w:rPr>
                <w:color w:val="000000"/>
                <w:kern w:val="0"/>
                <w:sz w:val="22"/>
                <w:szCs w:val="22"/>
                <w:lang w:bidi="ar"/>
              </w:rPr>
              <w:t>低于检出限</w:t>
            </w:r>
          </w:p>
        </w:tc>
      </w:tr>
      <w:tr w:rsidR="00B14D53" w14:paraId="0659F321" w14:textId="77777777">
        <w:trPr>
          <w:trHeight w:val="294"/>
          <w:jc w:val="center"/>
        </w:trPr>
        <w:tc>
          <w:tcPr>
            <w:tcW w:w="560" w:type="pct"/>
            <w:vAlign w:val="center"/>
          </w:tcPr>
          <w:p w14:paraId="5FFEDF22" w14:textId="77777777" w:rsidR="00B14D53" w:rsidRDefault="00000000">
            <w:pPr>
              <w:jc w:val="center"/>
              <w:rPr>
                <w:szCs w:val="21"/>
              </w:rPr>
            </w:pPr>
            <w:r>
              <w:rPr>
                <w:szCs w:val="21"/>
              </w:rPr>
              <w:t>17</w:t>
            </w:r>
          </w:p>
        </w:tc>
        <w:tc>
          <w:tcPr>
            <w:tcW w:w="1003" w:type="pct"/>
            <w:vAlign w:val="center"/>
          </w:tcPr>
          <w:p w14:paraId="4FC310B0" w14:textId="77777777" w:rsidR="00B14D53" w:rsidRDefault="00000000">
            <w:pPr>
              <w:widowControl/>
              <w:jc w:val="center"/>
              <w:textAlignment w:val="center"/>
              <w:rPr>
                <w:szCs w:val="21"/>
              </w:rPr>
            </w:pPr>
            <w:r>
              <w:rPr>
                <w:color w:val="000000"/>
                <w:kern w:val="0"/>
                <w:szCs w:val="21"/>
                <w:lang w:bidi="ar"/>
              </w:rPr>
              <w:t>氟化物</w:t>
            </w:r>
          </w:p>
        </w:tc>
        <w:tc>
          <w:tcPr>
            <w:tcW w:w="1069" w:type="pct"/>
            <w:vAlign w:val="center"/>
          </w:tcPr>
          <w:p w14:paraId="09641B04" w14:textId="77777777" w:rsidR="00B14D53" w:rsidRDefault="00000000">
            <w:pPr>
              <w:widowControl/>
              <w:jc w:val="center"/>
              <w:textAlignment w:val="center"/>
              <w:rPr>
                <w:szCs w:val="21"/>
              </w:rPr>
            </w:pPr>
            <w:r>
              <w:rPr>
                <w:color w:val="000000"/>
                <w:kern w:val="0"/>
                <w:sz w:val="22"/>
                <w:szCs w:val="22"/>
                <w:lang w:bidi="ar"/>
              </w:rPr>
              <w:t>0.09</w:t>
            </w:r>
          </w:p>
        </w:tc>
        <w:tc>
          <w:tcPr>
            <w:tcW w:w="1194" w:type="pct"/>
            <w:vAlign w:val="center"/>
          </w:tcPr>
          <w:p w14:paraId="606D0B38" w14:textId="77777777" w:rsidR="00B14D53" w:rsidRDefault="00000000">
            <w:pPr>
              <w:widowControl/>
              <w:jc w:val="center"/>
              <w:textAlignment w:val="center"/>
              <w:rPr>
                <w:szCs w:val="21"/>
              </w:rPr>
            </w:pPr>
            <w:r>
              <w:rPr>
                <w:color w:val="000000"/>
                <w:kern w:val="0"/>
                <w:sz w:val="22"/>
                <w:szCs w:val="22"/>
                <w:lang w:bidi="ar"/>
              </w:rPr>
              <w:t>0.05</w:t>
            </w:r>
          </w:p>
        </w:tc>
        <w:tc>
          <w:tcPr>
            <w:tcW w:w="1171" w:type="pct"/>
            <w:vAlign w:val="center"/>
          </w:tcPr>
          <w:p w14:paraId="525447F9" w14:textId="77777777" w:rsidR="00B14D53" w:rsidRDefault="00000000">
            <w:pPr>
              <w:widowControl/>
              <w:jc w:val="center"/>
              <w:textAlignment w:val="center"/>
              <w:rPr>
                <w:szCs w:val="21"/>
              </w:rPr>
            </w:pPr>
            <w:r>
              <w:rPr>
                <w:color w:val="000000"/>
                <w:kern w:val="0"/>
                <w:sz w:val="22"/>
                <w:szCs w:val="22"/>
                <w:lang w:bidi="ar"/>
              </w:rPr>
              <w:t>0.08</w:t>
            </w:r>
          </w:p>
        </w:tc>
      </w:tr>
      <w:tr w:rsidR="00B14D53" w14:paraId="710BF82F" w14:textId="77777777">
        <w:trPr>
          <w:trHeight w:val="294"/>
          <w:jc w:val="center"/>
        </w:trPr>
        <w:tc>
          <w:tcPr>
            <w:tcW w:w="560" w:type="pct"/>
            <w:vAlign w:val="center"/>
          </w:tcPr>
          <w:p w14:paraId="43D0DA08" w14:textId="77777777" w:rsidR="00B14D53" w:rsidRDefault="00000000">
            <w:pPr>
              <w:jc w:val="center"/>
              <w:rPr>
                <w:szCs w:val="21"/>
              </w:rPr>
            </w:pPr>
            <w:r>
              <w:rPr>
                <w:szCs w:val="21"/>
              </w:rPr>
              <w:t>18</w:t>
            </w:r>
          </w:p>
        </w:tc>
        <w:tc>
          <w:tcPr>
            <w:tcW w:w="1003" w:type="pct"/>
            <w:vAlign w:val="center"/>
          </w:tcPr>
          <w:p w14:paraId="3E4942B8" w14:textId="77777777" w:rsidR="00B14D53" w:rsidRDefault="00000000">
            <w:pPr>
              <w:widowControl/>
              <w:jc w:val="center"/>
              <w:textAlignment w:val="center"/>
              <w:rPr>
                <w:szCs w:val="21"/>
              </w:rPr>
            </w:pPr>
            <w:r>
              <w:rPr>
                <w:color w:val="000000"/>
                <w:kern w:val="0"/>
                <w:szCs w:val="21"/>
                <w:lang w:bidi="ar"/>
              </w:rPr>
              <w:t>汞</w:t>
            </w:r>
          </w:p>
        </w:tc>
        <w:tc>
          <w:tcPr>
            <w:tcW w:w="1069" w:type="pct"/>
            <w:vAlign w:val="center"/>
          </w:tcPr>
          <w:p w14:paraId="1B915035" w14:textId="77777777" w:rsidR="00B14D53" w:rsidRDefault="00000000">
            <w:pPr>
              <w:widowControl/>
              <w:jc w:val="center"/>
              <w:textAlignment w:val="center"/>
              <w:rPr>
                <w:szCs w:val="21"/>
              </w:rPr>
            </w:pPr>
            <w:r>
              <w:rPr>
                <w:color w:val="000000"/>
                <w:kern w:val="0"/>
                <w:sz w:val="22"/>
                <w:szCs w:val="22"/>
                <w:lang w:bidi="ar"/>
              </w:rPr>
              <w:t>低于检出限</w:t>
            </w:r>
          </w:p>
        </w:tc>
        <w:tc>
          <w:tcPr>
            <w:tcW w:w="1194" w:type="pct"/>
            <w:vAlign w:val="center"/>
          </w:tcPr>
          <w:p w14:paraId="30BEC00C"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20DA4814" w14:textId="77777777" w:rsidR="00B14D53" w:rsidRDefault="00000000">
            <w:pPr>
              <w:widowControl/>
              <w:jc w:val="center"/>
              <w:textAlignment w:val="center"/>
              <w:rPr>
                <w:szCs w:val="21"/>
              </w:rPr>
            </w:pPr>
            <w:r>
              <w:rPr>
                <w:color w:val="000000"/>
                <w:kern w:val="0"/>
                <w:sz w:val="22"/>
                <w:szCs w:val="22"/>
                <w:lang w:bidi="ar"/>
              </w:rPr>
              <w:t>低于检出限</w:t>
            </w:r>
          </w:p>
        </w:tc>
      </w:tr>
      <w:tr w:rsidR="00B14D53" w14:paraId="6133E912" w14:textId="77777777">
        <w:trPr>
          <w:trHeight w:val="294"/>
          <w:jc w:val="center"/>
        </w:trPr>
        <w:tc>
          <w:tcPr>
            <w:tcW w:w="560" w:type="pct"/>
            <w:vAlign w:val="center"/>
          </w:tcPr>
          <w:p w14:paraId="733D29DE" w14:textId="77777777" w:rsidR="00B14D53" w:rsidRDefault="00000000">
            <w:pPr>
              <w:jc w:val="center"/>
              <w:rPr>
                <w:szCs w:val="21"/>
              </w:rPr>
            </w:pPr>
            <w:r>
              <w:rPr>
                <w:szCs w:val="21"/>
              </w:rPr>
              <w:t>19</w:t>
            </w:r>
          </w:p>
        </w:tc>
        <w:tc>
          <w:tcPr>
            <w:tcW w:w="1003" w:type="pct"/>
            <w:vAlign w:val="center"/>
          </w:tcPr>
          <w:p w14:paraId="0C7C212A" w14:textId="77777777" w:rsidR="00B14D53" w:rsidRDefault="00000000">
            <w:pPr>
              <w:widowControl/>
              <w:jc w:val="center"/>
              <w:textAlignment w:val="center"/>
              <w:rPr>
                <w:szCs w:val="21"/>
              </w:rPr>
            </w:pPr>
            <w:r>
              <w:rPr>
                <w:color w:val="000000"/>
                <w:kern w:val="0"/>
                <w:szCs w:val="21"/>
                <w:lang w:bidi="ar"/>
              </w:rPr>
              <w:t>砷</w:t>
            </w:r>
          </w:p>
        </w:tc>
        <w:tc>
          <w:tcPr>
            <w:tcW w:w="1069" w:type="pct"/>
            <w:vAlign w:val="center"/>
          </w:tcPr>
          <w:p w14:paraId="1110F0F2" w14:textId="77777777" w:rsidR="00B14D53" w:rsidRDefault="00000000">
            <w:pPr>
              <w:widowControl/>
              <w:jc w:val="center"/>
              <w:textAlignment w:val="center"/>
              <w:rPr>
                <w:szCs w:val="21"/>
              </w:rPr>
            </w:pPr>
            <w:r>
              <w:rPr>
                <w:color w:val="000000"/>
                <w:kern w:val="0"/>
                <w:sz w:val="22"/>
                <w:szCs w:val="22"/>
                <w:lang w:bidi="ar"/>
              </w:rPr>
              <w:t>低于检出限</w:t>
            </w:r>
          </w:p>
        </w:tc>
        <w:tc>
          <w:tcPr>
            <w:tcW w:w="1194" w:type="pct"/>
            <w:vAlign w:val="center"/>
          </w:tcPr>
          <w:p w14:paraId="51F83F97"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3BAC6F3A" w14:textId="77777777" w:rsidR="00B14D53" w:rsidRDefault="00000000">
            <w:pPr>
              <w:widowControl/>
              <w:jc w:val="center"/>
              <w:textAlignment w:val="center"/>
              <w:rPr>
                <w:szCs w:val="21"/>
              </w:rPr>
            </w:pPr>
            <w:r>
              <w:rPr>
                <w:color w:val="000000"/>
                <w:kern w:val="0"/>
                <w:sz w:val="22"/>
                <w:szCs w:val="22"/>
                <w:lang w:bidi="ar"/>
              </w:rPr>
              <w:t>低于检出限</w:t>
            </w:r>
          </w:p>
        </w:tc>
      </w:tr>
      <w:tr w:rsidR="00B14D53" w14:paraId="6751E8E0" w14:textId="77777777">
        <w:trPr>
          <w:trHeight w:val="294"/>
          <w:jc w:val="center"/>
        </w:trPr>
        <w:tc>
          <w:tcPr>
            <w:tcW w:w="560" w:type="pct"/>
            <w:vAlign w:val="center"/>
          </w:tcPr>
          <w:p w14:paraId="1F81520D" w14:textId="77777777" w:rsidR="00B14D53" w:rsidRDefault="00000000">
            <w:pPr>
              <w:jc w:val="center"/>
              <w:rPr>
                <w:szCs w:val="21"/>
              </w:rPr>
            </w:pPr>
            <w:r>
              <w:rPr>
                <w:szCs w:val="21"/>
              </w:rPr>
              <w:t>20</w:t>
            </w:r>
          </w:p>
        </w:tc>
        <w:tc>
          <w:tcPr>
            <w:tcW w:w="1003" w:type="pct"/>
            <w:vAlign w:val="center"/>
          </w:tcPr>
          <w:p w14:paraId="3F356F86" w14:textId="77777777" w:rsidR="00B14D53" w:rsidRDefault="00000000">
            <w:pPr>
              <w:widowControl/>
              <w:jc w:val="center"/>
              <w:textAlignment w:val="center"/>
              <w:rPr>
                <w:szCs w:val="21"/>
              </w:rPr>
            </w:pPr>
            <w:r>
              <w:rPr>
                <w:color w:val="000000"/>
                <w:kern w:val="0"/>
                <w:szCs w:val="21"/>
                <w:lang w:bidi="ar"/>
              </w:rPr>
              <w:t>镉</w:t>
            </w:r>
          </w:p>
        </w:tc>
        <w:tc>
          <w:tcPr>
            <w:tcW w:w="1069" w:type="pct"/>
            <w:vAlign w:val="center"/>
          </w:tcPr>
          <w:p w14:paraId="0004475E" w14:textId="77777777" w:rsidR="00B14D53" w:rsidRDefault="00000000">
            <w:pPr>
              <w:widowControl/>
              <w:jc w:val="center"/>
              <w:textAlignment w:val="center"/>
              <w:rPr>
                <w:szCs w:val="21"/>
              </w:rPr>
            </w:pPr>
            <w:r>
              <w:rPr>
                <w:color w:val="000000"/>
                <w:kern w:val="0"/>
                <w:sz w:val="22"/>
                <w:szCs w:val="22"/>
                <w:lang w:bidi="ar"/>
              </w:rPr>
              <w:t>低于检出限</w:t>
            </w:r>
          </w:p>
        </w:tc>
        <w:tc>
          <w:tcPr>
            <w:tcW w:w="1194" w:type="pct"/>
            <w:vAlign w:val="center"/>
          </w:tcPr>
          <w:p w14:paraId="3F3292E7"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123A72C7" w14:textId="77777777" w:rsidR="00B14D53" w:rsidRDefault="00000000">
            <w:pPr>
              <w:widowControl/>
              <w:jc w:val="center"/>
              <w:textAlignment w:val="center"/>
              <w:rPr>
                <w:szCs w:val="21"/>
              </w:rPr>
            </w:pPr>
            <w:r>
              <w:rPr>
                <w:color w:val="000000"/>
                <w:kern w:val="0"/>
                <w:sz w:val="22"/>
                <w:szCs w:val="22"/>
                <w:lang w:bidi="ar"/>
              </w:rPr>
              <w:t>低于检出限</w:t>
            </w:r>
          </w:p>
        </w:tc>
      </w:tr>
      <w:tr w:rsidR="00B14D53" w14:paraId="27877447" w14:textId="77777777">
        <w:trPr>
          <w:trHeight w:val="294"/>
          <w:jc w:val="center"/>
        </w:trPr>
        <w:tc>
          <w:tcPr>
            <w:tcW w:w="560" w:type="pct"/>
            <w:vAlign w:val="center"/>
          </w:tcPr>
          <w:p w14:paraId="4C5FB623" w14:textId="77777777" w:rsidR="00B14D53" w:rsidRDefault="00000000">
            <w:pPr>
              <w:jc w:val="center"/>
              <w:rPr>
                <w:szCs w:val="21"/>
              </w:rPr>
            </w:pPr>
            <w:r>
              <w:rPr>
                <w:szCs w:val="21"/>
              </w:rPr>
              <w:t>21</w:t>
            </w:r>
          </w:p>
        </w:tc>
        <w:tc>
          <w:tcPr>
            <w:tcW w:w="1003" w:type="pct"/>
            <w:vAlign w:val="center"/>
          </w:tcPr>
          <w:p w14:paraId="0EDB319D" w14:textId="77777777" w:rsidR="00B14D53" w:rsidRDefault="00000000">
            <w:pPr>
              <w:widowControl/>
              <w:jc w:val="center"/>
              <w:textAlignment w:val="center"/>
              <w:rPr>
                <w:szCs w:val="21"/>
              </w:rPr>
            </w:pPr>
            <w:r>
              <w:rPr>
                <w:color w:val="000000"/>
                <w:kern w:val="0"/>
                <w:szCs w:val="21"/>
                <w:lang w:bidi="ar"/>
              </w:rPr>
              <w:t>六价铬</w:t>
            </w:r>
          </w:p>
        </w:tc>
        <w:tc>
          <w:tcPr>
            <w:tcW w:w="1069" w:type="pct"/>
            <w:vAlign w:val="center"/>
          </w:tcPr>
          <w:p w14:paraId="0A0AFFCC" w14:textId="77777777" w:rsidR="00B14D53" w:rsidRDefault="00000000">
            <w:pPr>
              <w:widowControl/>
              <w:jc w:val="center"/>
              <w:textAlignment w:val="center"/>
              <w:rPr>
                <w:szCs w:val="21"/>
              </w:rPr>
            </w:pPr>
            <w:r>
              <w:rPr>
                <w:color w:val="000000"/>
                <w:kern w:val="0"/>
                <w:sz w:val="22"/>
                <w:szCs w:val="22"/>
                <w:lang w:bidi="ar"/>
              </w:rPr>
              <w:t>0.14</w:t>
            </w:r>
          </w:p>
        </w:tc>
        <w:tc>
          <w:tcPr>
            <w:tcW w:w="1194" w:type="pct"/>
            <w:vAlign w:val="center"/>
          </w:tcPr>
          <w:p w14:paraId="6303EB95"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28718EFE" w14:textId="77777777" w:rsidR="00B14D53" w:rsidRDefault="00000000">
            <w:pPr>
              <w:widowControl/>
              <w:jc w:val="center"/>
              <w:textAlignment w:val="center"/>
              <w:rPr>
                <w:szCs w:val="21"/>
              </w:rPr>
            </w:pPr>
            <w:r>
              <w:rPr>
                <w:color w:val="000000"/>
                <w:kern w:val="0"/>
                <w:sz w:val="22"/>
                <w:szCs w:val="22"/>
                <w:lang w:bidi="ar"/>
              </w:rPr>
              <w:t>0.14</w:t>
            </w:r>
          </w:p>
        </w:tc>
      </w:tr>
      <w:tr w:rsidR="00B14D53" w14:paraId="30F55675" w14:textId="77777777">
        <w:trPr>
          <w:trHeight w:val="294"/>
          <w:jc w:val="center"/>
        </w:trPr>
        <w:tc>
          <w:tcPr>
            <w:tcW w:w="560" w:type="pct"/>
            <w:vAlign w:val="center"/>
          </w:tcPr>
          <w:p w14:paraId="12847EA5" w14:textId="77777777" w:rsidR="00B14D53" w:rsidRDefault="00000000">
            <w:pPr>
              <w:jc w:val="center"/>
              <w:rPr>
                <w:szCs w:val="21"/>
              </w:rPr>
            </w:pPr>
            <w:r>
              <w:rPr>
                <w:szCs w:val="21"/>
              </w:rPr>
              <w:t>22</w:t>
            </w:r>
          </w:p>
        </w:tc>
        <w:tc>
          <w:tcPr>
            <w:tcW w:w="1003" w:type="pct"/>
            <w:vAlign w:val="center"/>
          </w:tcPr>
          <w:p w14:paraId="7FFB31EA" w14:textId="77777777" w:rsidR="00B14D53" w:rsidRDefault="00000000">
            <w:pPr>
              <w:widowControl/>
              <w:jc w:val="center"/>
              <w:textAlignment w:val="center"/>
              <w:rPr>
                <w:szCs w:val="21"/>
              </w:rPr>
            </w:pPr>
            <w:r>
              <w:rPr>
                <w:color w:val="000000"/>
                <w:kern w:val="0"/>
                <w:szCs w:val="21"/>
                <w:lang w:bidi="ar"/>
              </w:rPr>
              <w:t>铅</w:t>
            </w:r>
          </w:p>
        </w:tc>
        <w:tc>
          <w:tcPr>
            <w:tcW w:w="1069" w:type="pct"/>
            <w:vAlign w:val="center"/>
          </w:tcPr>
          <w:p w14:paraId="62B6E421" w14:textId="77777777" w:rsidR="00B14D53" w:rsidRDefault="00000000">
            <w:pPr>
              <w:widowControl/>
              <w:jc w:val="center"/>
              <w:textAlignment w:val="center"/>
              <w:rPr>
                <w:szCs w:val="21"/>
              </w:rPr>
            </w:pPr>
            <w:r>
              <w:rPr>
                <w:color w:val="000000"/>
                <w:kern w:val="0"/>
                <w:sz w:val="22"/>
                <w:szCs w:val="22"/>
                <w:lang w:bidi="ar"/>
              </w:rPr>
              <w:t>低于检出限</w:t>
            </w:r>
          </w:p>
        </w:tc>
        <w:tc>
          <w:tcPr>
            <w:tcW w:w="1194" w:type="pct"/>
            <w:vAlign w:val="center"/>
          </w:tcPr>
          <w:p w14:paraId="1D5AA539" w14:textId="77777777" w:rsidR="00B14D53" w:rsidRDefault="00000000">
            <w:pPr>
              <w:widowControl/>
              <w:jc w:val="center"/>
              <w:textAlignment w:val="center"/>
              <w:rPr>
                <w:szCs w:val="21"/>
              </w:rPr>
            </w:pPr>
            <w:r>
              <w:rPr>
                <w:color w:val="000000"/>
                <w:kern w:val="0"/>
                <w:sz w:val="22"/>
                <w:szCs w:val="22"/>
                <w:lang w:bidi="ar"/>
              </w:rPr>
              <w:t>低于检出限</w:t>
            </w:r>
          </w:p>
        </w:tc>
        <w:tc>
          <w:tcPr>
            <w:tcW w:w="1171" w:type="pct"/>
            <w:vAlign w:val="center"/>
          </w:tcPr>
          <w:p w14:paraId="39815060" w14:textId="77777777" w:rsidR="00B14D53" w:rsidRDefault="00000000">
            <w:pPr>
              <w:widowControl/>
              <w:jc w:val="center"/>
              <w:textAlignment w:val="center"/>
              <w:rPr>
                <w:szCs w:val="21"/>
              </w:rPr>
            </w:pPr>
            <w:r>
              <w:rPr>
                <w:color w:val="000000"/>
                <w:kern w:val="0"/>
                <w:sz w:val="22"/>
                <w:szCs w:val="22"/>
                <w:lang w:bidi="ar"/>
              </w:rPr>
              <w:t>低于检出限</w:t>
            </w:r>
          </w:p>
        </w:tc>
      </w:tr>
      <w:tr w:rsidR="00B14D53" w14:paraId="71B8CA32" w14:textId="77777777">
        <w:trPr>
          <w:trHeight w:val="294"/>
          <w:jc w:val="center"/>
        </w:trPr>
        <w:tc>
          <w:tcPr>
            <w:tcW w:w="560" w:type="pct"/>
            <w:vAlign w:val="center"/>
          </w:tcPr>
          <w:p w14:paraId="4F028957" w14:textId="77777777" w:rsidR="00B14D53" w:rsidRDefault="00000000">
            <w:pPr>
              <w:jc w:val="center"/>
              <w:rPr>
                <w:szCs w:val="21"/>
              </w:rPr>
            </w:pPr>
            <w:r>
              <w:rPr>
                <w:szCs w:val="21"/>
              </w:rPr>
              <w:t>23</w:t>
            </w:r>
          </w:p>
        </w:tc>
        <w:tc>
          <w:tcPr>
            <w:tcW w:w="1003" w:type="pct"/>
            <w:vAlign w:val="center"/>
          </w:tcPr>
          <w:p w14:paraId="2F5BA958" w14:textId="77777777" w:rsidR="00B14D53" w:rsidRDefault="00000000">
            <w:pPr>
              <w:widowControl/>
              <w:jc w:val="center"/>
              <w:textAlignment w:val="center"/>
              <w:rPr>
                <w:szCs w:val="21"/>
              </w:rPr>
            </w:pPr>
            <w:r>
              <w:rPr>
                <w:color w:val="000000"/>
                <w:kern w:val="0"/>
                <w:szCs w:val="21"/>
                <w:lang w:bidi="ar"/>
              </w:rPr>
              <w:t>色度</w:t>
            </w:r>
          </w:p>
        </w:tc>
        <w:tc>
          <w:tcPr>
            <w:tcW w:w="1069" w:type="pct"/>
            <w:vAlign w:val="center"/>
          </w:tcPr>
          <w:p w14:paraId="6A7C6D88" w14:textId="77777777" w:rsidR="00B14D53" w:rsidRDefault="00000000">
            <w:pPr>
              <w:widowControl/>
              <w:jc w:val="center"/>
              <w:textAlignment w:val="center"/>
              <w:rPr>
                <w:szCs w:val="21"/>
              </w:rPr>
            </w:pPr>
            <w:r>
              <w:rPr>
                <w:color w:val="000000"/>
                <w:kern w:val="0"/>
                <w:sz w:val="22"/>
                <w:szCs w:val="22"/>
                <w:lang w:bidi="ar"/>
              </w:rPr>
              <w:t>0.6667</w:t>
            </w:r>
          </w:p>
        </w:tc>
        <w:tc>
          <w:tcPr>
            <w:tcW w:w="1194" w:type="pct"/>
            <w:vAlign w:val="center"/>
          </w:tcPr>
          <w:p w14:paraId="4282EF12" w14:textId="77777777" w:rsidR="00B14D53" w:rsidRDefault="00000000">
            <w:pPr>
              <w:widowControl/>
              <w:jc w:val="center"/>
              <w:textAlignment w:val="center"/>
              <w:rPr>
                <w:szCs w:val="21"/>
              </w:rPr>
            </w:pPr>
            <w:r>
              <w:rPr>
                <w:color w:val="000000"/>
                <w:kern w:val="0"/>
                <w:sz w:val="22"/>
                <w:szCs w:val="22"/>
                <w:lang w:bidi="ar"/>
              </w:rPr>
              <w:t>0.6667</w:t>
            </w:r>
          </w:p>
        </w:tc>
        <w:tc>
          <w:tcPr>
            <w:tcW w:w="1171" w:type="pct"/>
            <w:vAlign w:val="center"/>
          </w:tcPr>
          <w:p w14:paraId="341A5843" w14:textId="77777777" w:rsidR="00B14D53" w:rsidRDefault="00000000">
            <w:pPr>
              <w:widowControl/>
              <w:jc w:val="center"/>
              <w:textAlignment w:val="center"/>
              <w:rPr>
                <w:szCs w:val="21"/>
              </w:rPr>
            </w:pPr>
            <w:r>
              <w:rPr>
                <w:color w:val="000000"/>
                <w:kern w:val="0"/>
                <w:sz w:val="22"/>
                <w:szCs w:val="22"/>
                <w:lang w:bidi="ar"/>
              </w:rPr>
              <w:t>0.3333</w:t>
            </w:r>
          </w:p>
        </w:tc>
      </w:tr>
    </w:tbl>
    <w:bookmarkEnd w:id="194"/>
    <w:p w14:paraId="5931C16B"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②地下水化学类型</w:t>
      </w:r>
    </w:p>
    <w:p w14:paraId="64D61D61"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用舒卡列夫分类法对地下水化学类型进行评价。地下水化学类型的舒卡列夫分类是根据地下水中</w:t>
      </w:r>
      <w:r>
        <w:rPr>
          <w:rFonts w:eastAsiaTheme="minorEastAsia"/>
          <w:sz w:val="24"/>
        </w:rPr>
        <w:t>6</w:t>
      </w:r>
      <w:r>
        <w:rPr>
          <w:rFonts w:eastAsiaTheme="minorEastAsia" w:hAnsiTheme="minorEastAsia"/>
          <w:sz w:val="24"/>
        </w:rPr>
        <w:t>种主要离子（</w:t>
      </w:r>
      <w:r>
        <w:rPr>
          <w:rFonts w:eastAsiaTheme="minorEastAsia"/>
          <w:sz w:val="24"/>
        </w:rPr>
        <w:t>Na</w:t>
      </w:r>
      <w:r>
        <w:rPr>
          <w:rFonts w:eastAsiaTheme="minorEastAsia"/>
          <w:sz w:val="24"/>
          <w:vertAlign w:val="superscript"/>
        </w:rPr>
        <w:t>+</w:t>
      </w:r>
      <w:r>
        <w:rPr>
          <w:rFonts w:eastAsiaTheme="minorEastAsia" w:hAnsiTheme="minorEastAsia"/>
          <w:sz w:val="24"/>
        </w:rPr>
        <w:t>、</w:t>
      </w:r>
      <w:r>
        <w:rPr>
          <w:rFonts w:eastAsiaTheme="minorEastAsia"/>
          <w:sz w:val="24"/>
        </w:rPr>
        <w:t>Ca</w:t>
      </w:r>
      <w:r>
        <w:rPr>
          <w:rFonts w:eastAsiaTheme="minorEastAsia"/>
          <w:sz w:val="24"/>
          <w:vertAlign w:val="superscript"/>
        </w:rPr>
        <w:t>2+</w:t>
      </w:r>
      <w:r>
        <w:rPr>
          <w:rFonts w:eastAsiaTheme="minorEastAsia" w:hAnsiTheme="minorEastAsia"/>
          <w:sz w:val="24"/>
        </w:rPr>
        <w:t>、</w:t>
      </w:r>
      <w:r>
        <w:rPr>
          <w:rFonts w:eastAsiaTheme="minorEastAsia"/>
          <w:sz w:val="24"/>
        </w:rPr>
        <w:t>Mg</w:t>
      </w:r>
      <w:r>
        <w:rPr>
          <w:rFonts w:eastAsiaTheme="minorEastAsia"/>
          <w:sz w:val="24"/>
          <w:vertAlign w:val="superscript"/>
        </w:rPr>
        <w:t>2+</w:t>
      </w:r>
      <w:r>
        <w:rPr>
          <w:rFonts w:eastAsiaTheme="minorEastAsia" w:hAnsiTheme="minorEastAsia"/>
          <w:sz w:val="24"/>
        </w:rPr>
        <w:t>、</w:t>
      </w:r>
      <w:r>
        <w:rPr>
          <w:rFonts w:eastAsiaTheme="minorEastAsia"/>
          <w:sz w:val="24"/>
        </w:rPr>
        <w:t>HCO</w:t>
      </w:r>
      <w:r>
        <w:rPr>
          <w:rFonts w:eastAsiaTheme="minorEastAsia"/>
          <w:sz w:val="24"/>
          <w:vertAlign w:val="subscript"/>
        </w:rPr>
        <w:t>3</w:t>
      </w:r>
      <w:r>
        <w:rPr>
          <w:rFonts w:eastAsiaTheme="minorEastAsia"/>
          <w:sz w:val="24"/>
          <w:vertAlign w:val="superscript"/>
        </w:rPr>
        <w:t>-</w:t>
      </w:r>
      <w:r>
        <w:rPr>
          <w:rFonts w:eastAsiaTheme="minorEastAsia" w:hAnsiTheme="minorEastAsia"/>
          <w:sz w:val="24"/>
        </w:rPr>
        <w:t>、</w:t>
      </w:r>
      <w:r>
        <w:rPr>
          <w:rFonts w:eastAsiaTheme="minorEastAsia"/>
          <w:sz w:val="24"/>
        </w:rPr>
        <w:t>SO</w:t>
      </w:r>
      <w:r>
        <w:rPr>
          <w:rFonts w:eastAsiaTheme="minorEastAsia"/>
          <w:sz w:val="24"/>
          <w:vertAlign w:val="subscript"/>
        </w:rPr>
        <w:t>4</w:t>
      </w:r>
      <w:r>
        <w:rPr>
          <w:rFonts w:eastAsiaTheme="minorEastAsia"/>
          <w:sz w:val="24"/>
          <w:vertAlign w:val="superscript"/>
        </w:rPr>
        <w:t>2-</w:t>
      </w:r>
      <w:r>
        <w:rPr>
          <w:rFonts w:eastAsiaTheme="minorEastAsia" w:hAnsiTheme="minorEastAsia"/>
          <w:sz w:val="24"/>
        </w:rPr>
        <w:t>、</w:t>
      </w:r>
      <w:r>
        <w:rPr>
          <w:rFonts w:eastAsiaTheme="minorEastAsia"/>
          <w:sz w:val="24"/>
        </w:rPr>
        <w:t>Cl</w:t>
      </w:r>
      <w:r>
        <w:rPr>
          <w:rFonts w:eastAsiaTheme="minorEastAsia"/>
          <w:sz w:val="24"/>
          <w:vertAlign w:val="superscript"/>
        </w:rPr>
        <w:t>-</w:t>
      </w:r>
      <w:r>
        <w:rPr>
          <w:rFonts w:eastAsiaTheme="minorEastAsia" w:hAnsiTheme="minorEastAsia"/>
          <w:sz w:val="24"/>
        </w:rPr>
        <w:t>，</w:t>
      </w:r>
      <w:r>
        <w:rPr>
          <w:rFonts w:eastAsiaTheme="minorEastAsia"/>
          <w:sz w:val="24"/>
        </w:rPr>
        <w:t>K</w:t>
      </w:r>
      <w:r>
        <w:rPr>
          <w:rFonts w:eastAsiaTheme="minorEastAsia"/>
          <w:sz w:val="24"/>
          <w:vertAlign w:val="superscript"/>
        </w:rPr>
        <w:t>+</w:t>
      </w:r>
      <w:r>
        <w:rPr>
          <w:rFonts w:eastAsiaTheme="minorEastAsia" w:hAnsiTheme="minorEastAsia"/>
          <w:sz w:val="24"/>
        </w:rPr>
        <w:t>合并于</w:t>
      </w:r>
      <w:r>
        <w:rPr>
          <w:rFonts w:eastAsiaTheme="minorEastAsia"/>
          <w:sz w:val="24"/>
        </w:rPr>
        <w:t>Na</w:t>
      </w:r>
      <w:r>
        <w:rPr>
          <w:rFonts w:eastAsiaTheme="minorEastAsia"/>
          <w:sz w:val="24"/>
          <w:vertAlign w:val="superscript"/>
        </w:rPr>
        <w:t>+</w:t>
      </w:r>
      <w:r>
        <w:rPr>
          <w:rFonts w:eastAsiaTheme="minorEastAsia" w:hAnsiTheme="minorEastAsia"/>
          <w:sz w:val="24"/>
        </w:rPr>
        <w:t>）。具体步骤如下：</w:t>
      </w:r>
    </w:p>
    <w:p w14:paraId="05320794" w14:textId="77777777" w:rsidR="00B14D53" w:rsidRDefault="00000000">
      <w:pPr>
        <w:spacing w:line="360" w:lineRule="auto"/>
        <w:ind w:firstLineChars="200" w:firstLine="480"/>
        <w:rPr>
          <w:rFonts w:eastAsiaTheme="minorEastAsia"/>
        </w:rPr>
      </w:pPr>
      <w:r>
        <w:rPr>
          <w:rFonts w:eastAsiaTheme="minorEastAsia" w:hAnsiTheme="minorEastAsia"/>
          <w:sz w:val="24"/>
        </w:rPr>
        <w:t>将</w:t>
      </w:r>
      <w:r>
        <w:rPr>
          <w:rFonts w:eastAsiaTheme="minorEastAsia"/>
          <w:sz w:val="24"/>
        </w:rPr>
        <w:t>6</w:t>
      </w:r>
      <w:r>
        <w:rPr>
          <w:rFonts w:eastAsiaTheme="minorEastAsia" w:hAnsiTheme="minorEastAsia"/>
          <w:sz w:val="24"/>
        </w:rPr>
        <w:t>种主要离子中含量大于</w:t>
      </w:r>
      <w:r>
        <w:rPr>
          <w:rFonts w:eastAsiaTheme="minorEastAsia"/>
          <w:sz w:val="24"/>
        </w:rPr>
        <w:t>25</w:t>
      </w:r>
      <w:r>
        <w:rPr>
          <w:rFonts w:eastAsiaTheme="minorEastAsia" w:hAnsiTheme="minorEastAsia"/>
          <w:sz w:val="24"/>
        </w:rPr>
        <w:t>％毫克当量的阴离子和阳离子进行组合，可组合出</w:t>
      </w:r>
      <w:r>
        <w:rPr>
          <w:rFonts w:eastAsiaTheme="minorEastAsia"/>
          <w:sz w:val="24"/>
        </w:rPr>
        <w:t>49</w:t>
      </w:r>
      <w:r>
        <w:rPr>
          <w:rFonts w:eastAsiaTheme="minorEastAsia" w:hAnsiTheme="minorEastAsia"/>
          <w:sz w:val="24"/>
        </w:rPr>
        <w:t>型水，并将每型用一个阿拉伯数字作为代号，见下表</w:t>
      </w:r>
      <w:r>
        <w:rPr>
          <w:rFonts w:eastAsiaTheme="minorEastAsia" w:hAnsiTheme="minorEastAsia"/>
        </w:rPr>
        <w:t>。</w:t>
      </w:r>
    </w:p>
    <w:p w14:paraId="6B597D79" w14:textId="77777777" w:rsidR="00B14D53" w:rsidRDefault="00B14D53">
      <w:pPr>
        <w:jc w:val="center"/>
        <w:rPr>
          <w:b/>
          <w:bCs/>
        </w:rPr>
      </w:pPr>
    </w:p>
    <w:p w14:paraId="632F7A73" w14:textId="77777777" w:rsidR="00B14D53" w:rsidRDefault="00B14D53">
      <w:pPr>
        <w:jc w:val="center"/>
        <w:rPr>
          <w:b/>
          <w:bCs/>
        </w:rPr>
      </w:pPr>
    </w:p>
    <w:p w14:paraId="2F797268" w14:textId="77777777" w:rsidR="00B14D53" w:rsidRDefault="00B14D53">
      <w:pPr>
        <w:jc w:val="center"/>
        <w:rPr>
          <w:b/>
          <w:bCs/>
        </w:rPr>
      </w:pPr>
    </w:p>
    <w:p w14:paraId="6126D772" w14:textId="77777777" w:rsidR="00B14D53" w:rsidRDefault="00B14D53">
      <w:pPr>
        <w:jc w:val="center"/>
        <w:rPr>
          <w:b/>
          <w:bCs/>
        </w:rPr>
      </w:pPr>
    </w:p>
    <w:p w14:paraId="2A241E30" w14:textId="77777777" w:rsidR="00B14D53" w:rsidRDefault="00B14D53">
      <w:pPr>
        <w:jc w:val="center"/>
        <w:rPr>
          <w:b/>
          <w:bCs/>
        </w:rPr>
      </w:pPr>
    </w:p>
    <w:p w14:paraId="46A6CEE2" w14:textId="77777777" w:rsidR="00B14D53" w:rsidRDefault="00B14D53">
      <w:pPr>
        <w:jc w:val="center"/>
        <w:rPr>
          <w:b/>
          <w:bCs/>
        </w:rPr>
      </w:pPr>
    </w:p>
    <w:p w14:paraId="085B9DD4" w14:textId="77777777" w:rsidR="00B14D53" w:rsidRDefault="00B14D53">
      <w:pPr>
        <w:jc w:val="center"/>
        <w:rPr>
          <w:b/>
          <w:bCs/>
        </w:rPr>
      </w:pPr>
    </w:p>
    <w:p w14:paraId="3DC28CCE" w14:textId="77777777" w:rsidR="00B14D53" w:rsidRDefault="00B14D53">
      <w:pPr>
        <w:jc w:val="center"/>
        <w:rPr>
          <w:b/>
          <w:bCs/>
        </w:rPr>
      </w:pPr>
    </w:p>
    <w:p w14:paraId="6BA09CEA" w14:textId="77777777" w:rsidR="00B14D53" w:rsidRDefault="00000000">
      <w:pPr>
        <w:jc w:val="center"/>
        <w:rPr>
          <w:b/>
          <w:bCs/>
        </w:rPr>
      </w:pPr>
      <w:r>
        <w:rPr>
          <w:rFonts w:hint="eastAsia"/>
          <w:b/>
          <w:bCs/>
        </w:rPr>
        <w:t>表</w:t>
      </w:r>
      <w:r>
        <w:rPr>
          <w:rFonts w:hint="eastAsia"/>
          <w:b/>
          <w:bCs/>
        </w:rPr>
        <w:t xml:space="preserve">4-2-9 </w:t>
      </w:r>
      <w:r>
        <w:rPr>
          <w:rFonts w:hint="eastAsia"/>
          <w:b/>
          <w:bCs/>
        </w:rPr>
        <w:t>舒卡列夫分类表</w:t>
      </w:r>
    </w:p>
    <w:tbl>
      <w:tblPr>
        <w:tblW w:w="4942"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458"/>
        <w:gridCol w:w="811"/>
        <w:gridCol w:w="1087"/>
        <w:gridCol w:w="971"/>
        <w:gridCol w:w="971"/>
        <w:gridCol w:w="971"/>
        <w:gridCol w:w="971"/>
        <w:gridCol w:w="970"/>
      </w:tblGrid>
      <w:tr w:rsidR="00B14D53" w14:paraId="6D0F58F6" w14:textId="77777777">
        <w:trPr>
          <w:trHeight w:val="525"/>
        </w:trPr>
        <w:tc>
          <w:tcPr>
            <w:tcW w:w="842" w:type="pct"/>
            <w:tcBorders>
              <w:top w:val="single" w:sz="12" w:space="0" w:color="auto"/>
              <w:left w:val="nil"/>
              <w:bottom w:val="single" w:sz="6" w:space="0" w:color="auto"/>
              <w:right w:val="single" w:sz="6" w:space="0" w:color="auto"/>
            </w:tcBorders>
            <w:vAlign w:val="center"/>
          </w:tcPr>
          <w:p w14:paraId="0BB0B44C" w14:textId="77777777" w:rsidR="00B14D53" w:rsidRDefault="00000000">
            <w:pPr>
              <w:adjustRightInd w:val="0"/>
              <w:snapToGrid w:val="0"/>
              <w:jc w:val="center"/>
              <w:rPr>
                <w:rFonts w:eastAsiaTheme="minorEastAsia"/>
                <w:b/>
                <w:bCs/>
                <w:szCs w:val="21"/>
              </w:rPr>
            </w:pPr>
            <w:r>
              <w:rPr>
                <w:rFonts w:eastAsiaTheme="minorEastAsia" w:hAnsiTheme="minorEastAsia"/>
                <w:b/>
                <w:bCs/>
                <w:szCs w:val="21"/>
              </w:rPr>
              <w:t>超过</w:t>
            </w:r>
            <w:r>
              <w:rPr>
                <w:rFonts w:eastAsiaTheme="minorEastAsia"/>
                <w:b/>
                <w:bCs/>
                <w:szCs w:val="21"/>
              </w:rPr>
              <w:t>25%</w:t>
            </w:r>
            <w:r>
              <w:rPr>
                <w:rFonts w:eastAsiaTheme="minorEastAsia" w:hAnsiTheme="minorEastAsia"/>
                <w:b/>
                <w:bCs/>
                <w:szCs w:val="21"/>
              </w:rPr>
              <w:t>毫克当量的离子</w:t>
            </w:r>
          </w:p>
        </w:tc>
        <w:tc>
          <w:tcPr>
            <w:tcW w:w="435" w:type="pct"/>
            <w:tcBorders>
              <w:top w:val="single" w:sz="12" w:space="0" w:color="auto"/>
              <w:left w:val="single" w:sz="6" w:space="0" w:color="auto"/>
              <w:bottom w:val="single" w:sz="6" w:space="0" w:color="auto"/>
              <w:right w:val="single" w:sz="6" w:space="0" w:color="auto"/>
            </w:tcBorders>
            <w:vAlign w:val="center"/>
          </w:tcPr>
          <w:p w14:paraId="150181AF" w14:textId="77777777" w:rsidR="00B14D53" w:rsidRDefault="00000000">
            <w:pPr>
              <w:adjustRightInd w:val="0"/>
              <w:snapToGrid w:val="0"/>
              <w:jc w:val="center"/>
              <w:rPr>
                <w:rFonts w:eastAsiaTheme="minorEastAsia"/>
                <w:b/>
                <w:bCs/>
                <w:szCs w:val="21"/>
              </w:rPr>
            </w:pPr>
            <w:r>
              <w:rPr>
                <w:rFonts w:eastAsiaTheme="minorEastAsia"/>
                <w:b/>
                <w:bCs/>
                <w:szCs w:val="21"/>
              </w:rPr>
              <w:t>HCO</w:t>
            </w:r>
            <w:r>
              <w:rPr>
                <w:rFonts w:eastAsiaTheme="minorEastAsia"/>
                <w:b/>
                <w:bCs/>
                <w:szCs w:val="21"/>
                <w:vertAlign w:val="subscript"/>
              </w:rPr>
              <w:t>3</w:t>
            </w:r>
            <w:r>
              <w:rPr>
                <w:rFonts w:eastAsiaTheme="minorEastAsia"/>
                <w:b/>
                <w:bCs/>
                <w:szCs w:val="21"/>
                <w:vertAlign w:val="superscript"/>
              </w:rPr>
              <w:t>-</w:t>
            </w:r>
          </w:p>
        </w:tc>
        <w:tc>
          <w:tcPr>
            <w:tcW w:w="629" w:type="pct"/>
            <w:tcBorders>
              <w:top w:val="single" w:sz="12" w:space="0" w:color="auto"/>
              <w:left w:val="single" w:sz="6" w:space="0" w:color="auto"/>
              <w:bottom w:val="single" w:sz="6" w:space="0" w:color="auto"/>
              <w:right w:val="single" w:sz="6" w:space="0" w:color="auto"/>
            </w:tcBorders>
            <w:vAlign w:val="center"/>
          </w:tcPr>
          <w:p w14:paraId="75D8C148" w14:textId="77777777" w:rsidR="00B14D53" w:rsidRDefault="00000000">
            <w:pPr>
              <w:jc w:val="center"/>
              <w:rPr>
                <w:rFonts w:eastAsiaTheme="minorEastAsia"/>
                <w:b/>
                <w:bCs/>
                <w:szCs w:val="21"/>
              </w:rPr>
            </w:pPr>
            <w:r>
              <w:rPr>
                <w:rFonts w:eastAsiaTheme="minorEastAsia"/>
                <w:b/>
                <w:bCs/>
                <w:szCs w:val="21"/>
              </w:rPr>
              <w:t>HCO</w:t>
            </w:r>
            <w:r>
              <w:rPr>
                <w:rFonts w:eastAsiaTheme="minorEastAsia"/>
                <w:b/>
                <w:bCs/>
                <w:szCs w:val="21"/>
                <w:vertAlign w:val="subscript"/>
              </w:rPr>
              <w:t>3</w:t>
            </w:r>
            <w:r>
              <w:rPr>
                <w:rFonts w:eastAsiaTheme="minorEastAsia"/>
                <w:b/>
                <w:bCs/>
                <w:szCs w:val="21"/>
                <w:vertAlign w:val="superscript"/>
              </w:rPr>
              <w:t>-</w:t>
            </w:r>
            <w:r>
              <w:rPr>
                <w:rFonts w:eastAsiaTheme="minorEastAsia"/>
                <w:b/>
                <w:bCs/>
                <w:szCs w:val="21"/>
              </w:rPr>
              <w:t>- SO</w:t>
            </w:r>
            <w:r>
              <w:rPr>
                <w:rFonts w:eastAsiaTheme="minorEastAsia"/>
                <w:b/>
                <w:bCs/>
                <w:szCs w:val="21"/>
                <w:vertAlign w:val="subscript"/>
              </w:rPr>
              <w:t>4</w:t>
            </w:r>
            <w:r>
              <w:rPr>
                <w:rFonts w:eastAsiaTheme="minorEastAsia"/>
                <w:b/>
                <w:bCs/>
                <w:szCs w:val="21"/>
                <w:vertAlign w:val="superscript"/>
              </w:rPr>
              <w:t>2-</w:t>
            </w:r>
          </w:p>
        </w:tc>
        <w:tc>
          <w:tcPr>
            <w:tcW w:w="562" w:type="pct"/>
            <w:tcBorders>
              <w:top w:val="single" w:sz="12" w:space="0" w:color="auto"/>
              <w:left w:val="single" w:sz="6" w:space="0" w:color="auto"/>
              <w:bottom w:val="single" w:sz="6" w:space="0" w:color="auto"/>
              <w:right w:val="single" w:sz="6" w:space="0" w:color="auto"/>
            </w:tcBorders>
            <w:vAlign w:val="center"/>
          </w:tcPr>
          <w:p w14:paraId="177BD587" w14:textId="77777777" w:rsidR="00B14D53" w:rsidRDefault="00000000">
            <w:pPr>
              <w:jc w:val="center"/>
              <w:rPr>
                <w:rFonts w:eastAsiaTheme="minorEastAsia"/>
                <w:b/>
                <w:bCs/>
                <w:szCs w:val="21"/>
              </w:rPr>
            </w:pPr>
            <w:r>
              <w:rPr>
                <w:rFonts w:eastAsiaTheme="minorEastAsia"/>
                <w:b/>
                <w:bCs/>
                <w:szCs w:val="21"/>
              </w:rPr>
              <w:t>HCO</w:t>
            </w:r>
            <w:r>
              <w:rPr>
                <w:rFonts w:eastAsiaTheme="minorEastAsia"/>
                <w:b/>
                <w:bCs/>
                <w:szCs w:val="21"/>
                <w:vertAlign w:val="subscript"/>
              </w:rPr>
              <w:t>3</w:t>
            </w:r>
            <w:r>
              <w:rPr>
                <w:rFonts w:eastAsiaTheme="minorEastAsia"/>
                <w:b/>
                <w:bCs/>
                <w:szCs w:val="21"/>
                <w:vertAlign w:val="superscript"/>
              </w:rPr>
              <w:t>-</w:t>
            </w:r>
            <w:r>
              <w:rPr>
                <w:rFonts w:eastAsiaTheme="minorEastAsia"/>
                <w:b/>
                <w:bCs/>
                <w:szCs w:val="21"/>
              </w:rPr>
              <w:t>- SO</w:t>
            </w:r>
            <w:r>
              <w:rPr>
                <w:rFonts w:eastAsiaTheme="minorEastAsia"/>
                <w:b/>
                <w:bCs/>
                <w:szCs w:val="21"/>
                <w:vertAlign w:val="subscript"/>
              </w:rPr>
              <w:t>4</w:t>
            </w:r>
            <w:r>
              <w:rPr>
                <w:rFonts w:eastAsiaTheme="minorEastAsia"/>
                <w:b/>
                <w:bCs/>
                <w:szCs w:val="21"/>
                <w:vertAlign w:val="superscript"/>
              </w:rPr>
              <w:t>2-</w:t>
            </w:r>
            <w:r>
              <w:rPr>
                <w:rFonts w:eastAsiaTheme="minorEastAsia"/>
                <w:b/>
                <w:bCs/>
                <w:szCs w:val="21"/>
              </w:rPr>
              <w:t>- Cl</w:t>
            </w:r>
            <w:r>
              <w:rPr>
                <w:rFonts w:eastAsiaTheme="minorEastAsia"/>
                <w:b/>
                <w:bCs/>
                <w:szCs w:val="21"/>
                <w:vertAlign w:val="superscript"/>
              </w:rPr>
              <w:t>-</w:t>
            </w:r>
          </w:p>
        </w:tc>
        <w:tc>
          <w:tcPr>
            <w:tcW w:w="562" w:type="pct"/>
            <w:tcBorders>
              <w:top w:val="single" w:sz="12" w:space="0" w:color="auto"/>
              <w:left w:val="single" w:sz="6" w:space="0" w:color="auto"/>
              <w:bottom w:val="single" w:sz="6" w:space="0" w:color="auto"/>
              <w:right w:val="single" w:sz="6" w:space="0" w:color="auto"/>
            </w:tcBorders>
            <w:vAlign w:val="center"/>
          </w:tcPr>
          <w:p w14:paraId="04BB64F4" w14:textId="77777777" w:rsidR="00B14D53" w:rsidRDefault="00000000">
            <w:pPr>
              <w:jc w:val="center"/>
              <w:rPr>
                <w:rFonts w:eastAsiaTheme="minorEastAsia"/>
                <w:b/>
                <w:bCs/>
                <w:szCs w:val="21"/>
              </w:rPr>
            </w:pPr>
            <w:r>
              <w:rPr>
                <w:rFonts w:eastAsiaTheme="minorEastAsia"/>
                <w:b/>
                <w:bCs/>
                <w:szCs w:val="21"/>
              </w:rPr>
              <w:t>HCO</w:t>
            </w:r>
            <w:r>
              <w:rPr>
                <w:rFonts w:eastAsiaTheme="minorEastAsia"/>
                <w:b/>
                <w:bCs/>
                <w:szCs w:val="21"/>
                <w:vertAlign w:val="subscript"/>
              </w:rPr>
              <w:t>3</w:t>
            </w:r>
            <w:r>
              <w:rPr>
                <w:rFonts w:eastAsiaTheme="minorEastAsia"/>
                <w:b/>
                <w:bCs/>
                <w:szCs w:val="21"/>
                <w:vertAlign w:val="superscript"/>
              </w:rPr>
              <w:t>-</w:t>
            </w:r>
            <w:r>
              <w:rPr>
                <w:rFonts w:eastAsiaTheme="minorEastAsia"/>
                <w:b/>
                <w:bCs/>
                <w:szCs w:val="21"/>
              </w:rPr>
              <w:t>- Cl</w:t>
            </w:r>
            <w:r>
              <w:rPr>
                <w:rFonts w:eastAsiaTheme="minorEastAsia"/>
                <w:b/>
                <w:bCs/>
                <w:szCs w:val="21"/>
                <w:vertAlign w:val="superscript"/>
              </w:rPr>
              <w:t>-</w:t>
            </w:r>
          </w:p>
        </w:tc>
        <w:tc>
          <w:tcPr>
            <w:tcW w:w="562" w:type="pct"/>
            <w:tcBorders>
              <w:top w:val="single" w:sz="12" w:space="0" w:color="auto"/>
              <w:left w:val="single" w:sz="6" w:space="0" w:color="auto"/>
              <w:bottom w:val="single" w:sz="6" w:space="0" w:color="auto"/>
              <w:right w:val="single" w:sz="6" w:space="0" w:color="auto"/>
            </w:tcBorders>
            <w:vAlign w:val="center"/>
          </w:tcPr>
          <w:p w14:paraId="241C8E01" w14:textId="77777777" w:rsidR="00B14D53" w:rsidRDefault="00000000">
            <w:pPr>
              <w:jc w:val="center"/>
              <w:rPr>
                <w:rFonts w:eastAsiaTheme="minorEastAsia"/>
                <w:b/>
                <w:bCs/>
                <w:szCs w:val="21"/>
              </w:rPr>
            </w:pPr>
            <w:r>
              <w:rPr>
                <w:rFonts w:eastAsiaTheme="minorEastAsia"/>
                <w:b/>
                <w:bCs/>
                <w:szCs w:val="21"/>
              </w:rPr>
              <w:t>SO</w:t>
            </w:r>
            <w:r>
              <w:rPr>
                <w:rFonts w:eastAsiaTheme="minorEastAsia"/>
                <w:b/>
                <w:bCs/>
                <w:szCs w:val="21"/>
                <w:vertAlign w:val="subscript"/>
              </w:rPr>
              <w:t>4</w:t>
            </w:r>
            <w:r>
              <w:rPr>
                <w:rFonts w:eastAsiaTheme="minorEastAsia"/>
                <w:b/>
                <w:bCs/>
                <w:szCs w:val="21"/>
                <w:vertAlign w:val="superscript"/>
              </w:rPr>
              <w:t>2-</w:t>
            </w:r>
          </w:p>
        </w:tc>
        <w:tc>
          <w:tcPr>
            <w:tcW w:w="562" w:type="pct"/>
            <w:tcBorders>
              <w:top w:val="single" w:sz="12" w:space="0" w:color="auto"/>
              <w:left w:val="single" w:sz="6" w:space="0" w:color="auto"/>
              <w:bottom w:val="single" w:sz="6" w:space="0" w:color="auto"/>
              <w:right w:val="single" w:sz="6" w:space="0" w:color="auto"/>
            </w:tcBorders>
            <w:vAlign w:val="center"/>
          </w:tcPr>
          <w:p w14:paraId="76807A07" w14:textId="77777777" w:rsidR="00B14D53" w:rsidRDefault="00000000">
            <w:pPr>
              <w:jc w:val="center"/>
              <w:rPr>
                <w:rFonts w:eastAsiaTheme="minorEastAsia"/>
                <w:b/>
                <w:bCs/>
                <w:szCs w:val="21"/>
              </w:rPr>
            </w:pPr>
            <w:r>
              <w:rPr>
                <w:rFonts w:eastAsiaTheme="minorEastAsia"/>
                <w:b/>
                <w:bCs/>
                <w:szCs w:val="21"/>
              </w:rPr>
              <w:t>SO</w:t>
            </w:r>
            <w:r>
              <w:rPr>
                <w:rFonts w:eastAsiaTheme="minorEastAsia"/>
                <w:b/>
                <w:bCs/>
                <w:szCs w:val="21"/>
                <w:vertAlign w:val="subscript"/>
              </w:rPr>
              <w:t>4</w:t>
            </w:r>
            <w:r>
              <w:rPr>
                <w:rFonts w:eastAsiaTheme="minorEastAsia"/>
                <w:b/>
                <w:bCs/>
                <w:szCs w:val="21"/>
                <w:vertAlign w:val="superscript"/>
              </w:rPr>
              <w:t>2-</w:t>
            </w:r>
            <w:r>
              <w:rPr>
                <w:rFonts w:eastAsiaTheme="minorEastAsia"/>
                <w:b/>
                <w:bCs/>
                <w:szCs w:val="21"/>
              </w:rPr>
              <w:t>- Cl</w:t>
            </w:r>
            <w:r>
              <w:rPr>
                <w:rFonts w:eastAsiaTheme="minorEastAsia"/>
                <w:b/>
                <w:bCs/>
                <w:szCs w:val="21"/>
                <w:vertAlign w:val="superscript"/>
              </w:rPr>
              <w:t>-</w:t>
            </w:r>
          </w:p>
        </w:tc>
        <w:tc>
          <w:tcPr>
            <w:tcW w:w="561" w:type="pct"/>
            <w:tcBorders>
              <w:top w:val="single" w:sz="12" w:space="0" w:color="auto"/>
              <w:left w:val="single" w:sz="6" w:space="0" w:color="auto"/>
              <w:bottom w:val="single" w:sz="6" w:space="0" w:color="auto"/>
              <w:right w:val="nil"/>
            </w:tcBorders>
            <w:vAlign w:val="center"/>
          </w:tcPr>
          <w:p w14:paraId="39D64B31" w14:textId="77777777" w:rsidR="00B14D53" w:rsidRDefault="00000000">
            <w:pPr>
              <w:jc w:val="center"/>
              <w:rPr>
                <w:rFonts w:eastAsiaTheme="minorEastAsia"/>
                <w:b/>
                <w:bCs/>
                <w:szCs w:val="21"/>
              </w:rPr>
            </w:pPr>
            <w:r>
              <w:rPr>
                <w:rFonts w:eastAsiaTheme="minorEastAsia"/>
                <w:b/>
                <w:bCs/>
                <w:szCs w:val="21"/>
              </w:rPr>
              <w:t>Cl</w:t>
            </w:r>
            <w:r>
              <w:rPr>
                <w:rFonts w:eastAsiaTheme="minorEastAsia"/>
                <w:b/>
                <w:bCs/>
                <w:szCs w:val="21"/>
                <w:vertAlign w:val="superscript"/>
              </w:rPr>
              <w:t>-</w:t>
            </w:r>
          </w:p>
        </w:tc>
      </w:tr>
      <w:tr w:rsidR="00B14D53" w14:paraId="5689BF55" w14:textId="77777777">
        <w:trPr>
          <w:trHeight w:val="291"/>
        </w:trPr>
        <w:tc>
          <w:tcPr>
            <w:tcW w:w="842" w:type="pct"/>
            <w:tcBorders>
              <w:top w:val="single" w:sz="6" w:space="0" w:color="auto"/>
              <w:left w:val="nil"/>
              <w:bottom w:val="single" w:sz="6" w:space="0" w:color="auto"/>
              <w:right w:val="single" w:sz="6" w:space="0" w:color="auto"/>
            </w:tcBorders>
            <w:vAlign w:val="center"/>
          </w:tcPr>
          <w:p w14:paraId="00D4BE1F" w14:textId="77777777" w:rsidR="00B14D53" w:rsidRDefault="00000000">
            <w:pPr>
              <w:adjustRightInd w:val="0"/>
              <w:snapToGrid w:val="0"/>
              <w:jc w:val="center"/>
              <w:rPr>
                <w:rFonts w:eastAsiaTheme="minorEastAsia"/>
                <w:szCs w:val="21"/>
              </w:rPr>
            </w:pPr>
            <w:r>
              <w:rPr>
                <w:rFonts w:eastAsiaTheme="minorEastAsia"/>
                <w:szCs w:val="21"/>
              </w:rPr>
              <w:t>Ca</w:t>
            </w:r>
            <w:r>
              <w:rPr>
                <w:rFonts w:eastAsiaTheme="minorEastAsia"/>
                <w:szCs w:val="21"/>
                <w:vertAlign w:val="superscript"/>
              </w:rPr>
              <w:t>2+</w:t>
            </w:r>
          </w:p>
        </w:tc>
        <w:tc>
          <w:tcPr>
            <w:tcW w:w="435" w:type="pct"/>
            <w:tcBorders>
              <w:top w:val="single" w:sz="6" w:space="0" w:color="auto"/>
              <w:left w:val="single" w:sz="6" w:space="0" w:color="auto"/>
              <w:bottom w:val="single" w:sz="6" w:space="0" w:color="auto"/>
              <w:right w:val="single" w:sz="6" w:space="0" w:color="auto"/>
            </w:tcBorders>
            <w:vAlign w:val="center"/>
          </w:tcPr>
          <w:p w14:paraId="7C8E5C56" w14:textId="77777777" w:rsidR="00B14D53" w:rsidRDefault="00000000">
            <w:pPr>
              <w:adjustRightInd w:val="0"/>
              <w:snapToGrid w:val="0"/>
              <w:jc w:val="center"/>
              <w:rPr>
                <w:rFonts w:eastAsiaTheme="minorEastAsia"/>
                <w:szCs w:val="21"/>
              </w:rPr>
            </w:pPr>
            <w:r>
              <w:rPr>
                <w:rFonts w:eastAsiaTheme="minorEastAsia"/>
                <w:szCs w:val="21"/>
              </w:rPr>
              <w:t>1</w:t>
            </w:r>
          </w:p>
        </w:tc>
        <w:tc>
          <w:tcPr>
            <w:tcW w:w="629" w:type="pct"/>
            <w:tcBorders>
              <w:top w:val="single" w:sz="6" w:space="0" w:color="auto"/>
              <w:left w:val="single" w:sz="6" w:space="0" w:color="auto"/>
              <w:bottom w:val="single" w:sz="6" w:space="0" w:color="auto"/>
              <w:right w:val="single" w:sz="6" w:space="0" w:color="auto"/>
            </w:tcBorders>
            <w:vAlign w:val="center"/>
          </w:tcPr>
          <w:p w14:paraId="7C794E78" w14:textId="77777777" w:rsidR="00B14D53" w:rsidRDefault="00000000">
            <w:pPr>
              <w:adjustRightInd w:val="0"/>
              <w:snapToGrid w:val="0"/>
              <w:jc w:val="center"/>
              <w:rPr>
                <w:rFonts w:eastAsiaTheme="minorEastAsia"/>
                <w:szCs w:val="21"/>
              </w:rPr>
            </w:pPr>
            <w:r>
              <w:rPr>
                <w:rFonts w:eastAsiaTheme="minorEastAsia"/>
                <w:szCs w:val="21"/>
              </w:rPr>
              <w:t>8</w:t>
            </w:r>
          </w:p>
        </w:tc>
        <w:tc>
          <w:tcPr>
            <w:tcW w:w="562" w:type="pct"/>
            <w:tcBorders>
              <w:top w:val="single" w:sz="6" w:space="0" w:color="auto"/>
              <w:left w:val="single" w:sz="6" w:space="0" w:color="auto"/>
              <w:bottom w:val="single" w:sz="6" w:space="0" w:color="auto"/>
              <w:right w:val="single" w:sz="6" w:space="0" w:color="auto"/>
            </w:tcBorders>
            <w:vAlign w:val="center"/>
          </w:tcPr>
          <w:p w14:paraId="54C4474E" w14:textId="77777777" w:rsidR="00B14D53" w:rsidRDefault="00000000">
            <w:pPr>
              <w:adjustRightInd w:val="0"/>
              <w:snapToGrid w:val="0"/>
              <w:jc w:val="center"/>
              <w:rPr>
                <w:rFonts w:eastAsiaTheme="minorEastAsia"/>
                <w:szCs w:val="21"/>
              </w:rPr>
            </w:pPr>
            <w:r>
              <w:rPr>
                <w:rFonts w:eastAsiaTheme="minorEastAsia"/>
                <w:szCs w:val="21"/>
              </w:rPr>
              <w:t>15</w:t>
            </w:r>
          </w:p>
        </w:tc>
        <w:tc>
          <w:tcPr>
            <w:tcW w:w="562" w:type="pct"/>
            <w:tcBorders>
              <w:top w:val="single" w:sz="6" w:space="0" w:color="auto"/>
              <w:left w:val="single" w:sz="6" w:space="0" w:color="auto"/>
              <w:bottom w:val="single" w:sz="6" w:space="0" w:color="auto"/>
              <w:right w:val="single" w:sz="6" w:space="0" w:color="auto"/>
            </w:tcBorders>
            <w:vAlign w:val="center"/>
          </w:tcPr>
          <w:p w14:paraId="08F062F7" w14:textId="77777777" w:rsidR="00B14D53" w:rsidRDefault="00000000">
            <w:pPr>
              <w:adjustRightInd w:val="0"/>
              <w:snapToGrid w:val="0"/>
              <w:jc w:val="center"/>
              <w:rPr>
                <w:rFonts w:eastAsiaTheme="minorEastAsia"/>
                <w:szCs w:val="21"/>
              </w:rPr>
            </w:pPr>
            <w:r>
              <w:rPr>
                <w:rFonts w:eastAsiaTheme="minorEastAsia"/>
                <w:szCs w:val="21"/>
              </w:rPr>
              <w:t>22</w:t>
            </w:r>
          </w:p>
        </w:tc>
        <w:tc>
          <w:tcPr>
            <w:tcW w:w="562" w:type="pct"/>
            <w:tcBorders>
              <w:top w:val="single" w:sz="6" w:space="0" w:color="auto"/>
              <w:left w:val="single" w:sz="6" w:space="0" w:color="auto"/>
              <w:bottom w:val="single" w:sz="6" w:space="0" w:color="auto"/>
              <w:right w:val="single" w:sz="6" w:space="0" w:color="auto"/>
            </w:tcBorders>
            <w:vAlign w:val="center"/>
          </w:tcPr>
          <w:p w14:paraId="0911593A" w14:textId="77777777" w:rsidR="00B14D53" w:rsidRDefault="00000000">
            <w:pPr>
              <w:adjustRightInd w:val="0"/>
              <w:snapToGrid w:val="0"/>
              <w:jc w:val="center"/>
              <w:rPr>
                <w:rFonts w:eastAsiaTheme="minorEastAsia"/>
                <w:szCs w:val="21"/>
              </w:rPr>
            </w:pPr>
            <w:r>
              <w:rPr>
                <w:rFonts w:eastAsiaTheme="minorEastAsia"/>
                <w:szCs w:val="21"/>
              </w:rPr>
              <w:t>29</w:t>
            </w:r>
          </w:p>
        </w:tc>
        <w:tc>
          <w:tcPr>
            <w:tcW w:w="562" w:type="pct"/>
            <w:tcBorders>
              <w:top w:val="single" w:sz="6" w:space="0" w:color="auto"/>
              <w:left w:val="single" w:sz="6" w:space="0" w:color="auto"/>
              <w:bottom w:val="single" w:sz="6" w:space="0" w:color="auto"/>
              <w:right w:val="single" w:sz="6" w:space="0" w:color="auto"/>
            </w:tcBorders>
            <w:vAlign w:val="center"/>
          </w:tcPr>
          <w:p w14:paraId="7998C216" w14:textId="77777777" w:rsidR="00B14D53" w:rsidRDefault="00000000">
            <w:pPr>
              <w:adjustRightInd w:val="0"/>
              <w:snapToGrid w:val="0"/>
              <w:jc w:val="center"/>
              <w:rPr>
                <w:rFonts w:eastAsiaTheme="minorEastAsia"/>
                <w:szCs w:val="21"/>
              </w:rPr>
            </w:pPr>
            <w:r>
              <w:rPr>
                <w:rFonts w:eastAsiaTheme="minorEastAsia"/>
                <w:szCs w:val="21"/>
              </w:rPr>
              <w:t>36</w:t>
            </w:r>
          </w:p>
        </w:tc>
        <w:tc>
          <w:tcPr>
            <w:tcW w:w="561" w:type="pct"/>
            <w:tcBorders>
              <w:top w:val="single" w:sz="6" w:space="0" w:color="auto"/>
              <w:left w:val="single" w:sz="6" w:space="0" w:color="auto"/>
              <w:bottom w:val="single" w:sz="6" w:space="0" w:color="auto"/>
              <w:right w:val="nil"/>
            </w:tcBorders>
            <w:vAlign w:val="center"/>
          </w:tcPr>
          <w:p w14:paraId="745AB2C9" w14:textId="77777777" w:rsidR="00B14D53" w:rsidRDefault="00000000">
            <w:pPr>
              <w:adjustRightInd w:val="0"/>
              <w:snapToGrid w:val="0"/>
              <w:jc w:val="center"/>
              <w:rPr>
                <w:rFonts w:eastAsiaTheme="minorEastAsia"/>
                <w:szCs w:val="21"/>
              </w:rPr>
            </w:pPr>
            <w:r>
              <w:rPr>
                <w:rFonts w:eastAsiaTheme="minorEastAsia"/>
                <w:szCs w:val="21"/>
              </w:rPr>
              <w:t>43</w:t>
            </w:r>
          </w:p>
        </w:tc>
      </w:tr>
      <w:tr w:rsidR="00B14D53" w14:paraId="1017CDB2" w14:textId="77777777">
        <w:trPr>
          <w:trHeight w:val="291"/>
        </w:trPr>
        <w:tc>
          <w:tcPr>
            <w:tcW w:w="842" w:type="pct"/>
            <w:tcBorders>
              <w:top w:val="single" w:sz="6" w:space="0" w:color="auto"/>
              <w:left w:val="nil"/>
              <w:bottom w:val="single" w:sz="6" w:space="0" w:color="auto"/>
              <w:right w:val="single" w:sz="6" w:space="0" w:color="auto"/>
            </w:tcBorders>
            <w:vAlign w:val="center"/>
          </w:tcPr>
          <w:p w14:paraId="7D7DF285" w14:textId="77777777" w:rsidR="00B14D53" w:rsidRDefault="00000000">
            <w:pPr>
              <w:tabs>
                <w:tab w:val="left" w:pos="454"/>
                <w:tab w:val="center" w:pos="508"/>
              </w:tabs>
              <w:adjustRightInd w:val="0"/>
              <w:snapToGrid w:val="0"/>
              <w:jc w:val="center"/>
              <w:rPr>
                <w:rFonts w:eastAsiaTheme="minorEastAsia"/>
                <w:szCs w:val="21"/>
              </w:rPr>
            </w:pPr>
            <w:r>
              <w:rPr>
                <w:rFonts w:eastAsiaTheme="minorEastAsia"/>
                <w:szCs w:val="21"/>
              </w:rPr>
              <w:t>Ca</w:t>
            </w:r>
            <w:r>
              <w:rPr>
                <w:rFonts w:eastAsiaTheme="minorEastAsia"/>
                <w:szCs w:val="21"/>
                <w:vertAlign w:val="superscript"/>
              </w:rPr>
              <w:t>2+</w:t>
            </w:r>
            <w:r>
              <w:rPr>
                <w:rFonts w:eastAsiaTheme="minorEastAsia"/>
                <w:szCs w:val="21"/>
              </w:rPr>
              <w:t>-Mg</w:t>
            </w:r>
            <w:r>
              <w:rPr>
                <w:rFonts w:eastAsiaTheme="minorEastAsia"/>
                <w:szCs w:val="21"/>
                <w:vertAlign w:val="superscript"/>
              </w:rPr>
              <w:t>2+</w:t>
            </w:r>
          </w:p>
        </w:tc>
        <w:tc>
          <w:tcPr>
            <w:tcW w:w="435" w:type="pct"/>
            <w:tcBorders>
              <w:top w:val="single" w:sz="6" w:space="0" w:color="auto"/>
              <w:left w:val="single" w:sz="6" w:space="0" w:color="auto"/>
              <w:bottom w:val="single" w:sz="6" w:space="0" w:color="auto"/>
              <w:right w:val="single" w:sz="6" w:space="0" w:color="auto"/>
            </w:tcBorders>
            <w:vAlign w:val="center"/>
          </w:tcPr>
          <w:p w14:paraId="63CDE5EE" w14:textId="77777777" w:rsidR="00B14D53" w:rsidRDefault="00000000">
            <w:pPr>
              <w:autoSpaceDE w:val="0"/>
              <w:autoSpaceDN w:val="0"/>
              <w:adjustRightInd w:val="0"/>
              <w:jc w:val="center"/>
              <w:rPr>
                <w:rFonts w:eastAsiaTheme="minorEastAsia"/>
                <w:kern w:val="0"/>
                <w:szCs w:val="21"/>
                <w:lang w:val="zh-CN"/>
              </w:rPr>
            </w:pPr>
            <w:r>
              <w:rPr>
                <w:rFonts w:eastAsiaTheme="minorEastAsia"/>
                <w:kern w:val="0"/>
                <w:szCs w:val="21"/>
              </w:rPr>
              <w:t>2</w:t>
            </w:r>
          </w:p>
        </w:tc>
        <w:tc>
          <w:tcPr>
            <w:tcW w:w="629" w:type="pct"/>
            <w:tcBorders>
              <w:top w:val="single" w:sz="6" w:space="0" w:color="auto"/>
              <w:left w:val="single" w:sz="6" w:space="0" w:color="auto"/>
              <w:bottom w:val="single" w:sz="6" w:space="0" w:color="auto"/>
              <w:right w:val="single" w:sz="6" w:space="0" w:color="auto"/>
            </w:tcBorders>
            <w:vAlign w:val="center"/>
          </w:tcPr>
          <w:p w14:paraId="6CFAC0FD" w14:textId="77777777" w:rsidR="00B14D53" w:rsidRDefault="00000000">
            <w:pPr>
              <w:jc w:val="center"/>
              <w:rPr>
                <w:rFonts w:eastAsiaTheme="minorEastAsia"/>
                <w:szCs w:val="21"/>
              </w:rPr>
            </w:pPr>
            <w:r>
              <w:rPr>
                <w:rFonts w:eastAsiaTheme="minorEastAsia"/>
                <w:szCs w:val="21"/>
              </w:rPr>
              <w:t>9</w:t>
            </w:r>
          </w:p>
        </w:tc>
        <w:tc>
          <w:tcPr>
            <w:tcW w:w="562" w:type="pct"/>
            <w:tcBorders>
              <w:top w:val="single" w:sz="6" w:space="0" w:color="auto"/>
              <w:left w:val="single" w:sz="6" w:space="0" w:color="auto"/>
              <w:bottom w:val="single" w:sz="6" w:space="0" w:color="auto"/>
              <w:right w:val="single" w:sz="6" w:space="0" w:color="auto"/>
            </w:tcBorders>
            <w:vAlign w:val="center"/>
          </w:tcPr>
          <w:p w14:paraId="6ACA8878" w14:textId="77777777" w:rsidR="00B14D53" w:rsidRDefault="00000000">
            <w:pPr>
              <w:widowControl/>
              <w:jc w:val="center"/>
              <w:rPr>
                <w:rFonts w:eastAsiaTheme="minorEastAsia"/>
                <w:kern w:val="0"/>
                <w:szCs w:val="21"/>
              </w:rPr>
            </w:pPr>
            <w:r>
              <w:rPr>
                <w:rFonts w:eastAsiaTheme="minorEastAsia"/>
                <w:kern w:val="0"/>
                <w:szCs w:val="21"/>
              </w:rPr>
              <w:t>16</w:t>
            </w:r>
          </w:p>
        </w:tc>
        <w:tc>
          <w:tcPr>
            <w:tcW w:w="562" w:type="pct"/>
            <w:tcBorders>
              <w:top w:val="single" w:sz="6" w:space="0" w:color="auto"/>
              <w:left w:val="single" w:sz="6" w:space="0" w:color="auto"/>
              <w:bottom w:val="single" w:sz="6" w:space="0" w:color="auto"/>
              <w:right w:val="single" w:sz="6" w:space="0" w:color="auto"/>
            </w:tcBorders>
            <w:vAlign w:val="center"/>
          </w:tcPr>
          <w:p w14:paraId="76E2466C" w14:textId="77777777" w:rsidR="00B14D53" w:rsidRDefault="00000000">
            <w:pPr>
              <w:jc w:val="center"/>
              <w:rPr>
                <w:rFonts w:eastAsiaTheme="minorEastAsia"/>
                <w:szCs w:val="21"/>
              </w:rPr>
            </w:pPr>
            <w:r>
              <w:rPr>
                <w:rFonts w:eastAsiaTheme="minorEastAsia"/>
                <w:szCs w:val="21"/>
              </w:rPr>
              <w:t>23</w:t>
            </w:r>
          </w:p>
        </w:tc>
        <w:tc>
          <w:tcPr>
            <w:tcW w:w="562" w:type="pct"/>
            <w:tcBorders>
              <w:top w:val="single" w:sz="6" w:space="0" w:color="auto"/>
              <w:left w:val="single" w:sz="6" w:space="0" w:color="auto"/>
              <w:bottom w:val="single" w:sz="6" w:space="0" w:color="auto"/>
              <w:right w:val="single" w:sz="6" w:space="0" w:color="auto"/>
            </w:tcBorders>
            <w:vAlign w:val="center"/>
          </w:tcPr>
          <w:p w14:paraId="61B48D8D" w14:textId="77777777" w:rsidR="00B14D53" w:rsidRDefault="00000000">
            <w:pPr>
              <w:jc w:val="center"/>
              <w:rPr>
                <w:rFonts w:eastAsiaTheme="minorEastAsia"/>
                <w:szCs w:val="21"/>
              </w:rPr>
            </w:pPr>
            <w:r>
              <w:rPr>
                <w:rFonts w:eastAsiaTheme="minorEastAsia"/>
                <w:szCs w:val="21"/>
              </w:rPr>
              <w:t>30</w:t>
            </w:r>
          </w:p>
        </w:tc>
        <w:tc>
          <w:tcPr>
            <w:tcW w:w="562" w:type="pct"/>
            <w:tcBorders>
              <w:top w:val="single" w:sz="6" w:space="0" w:color="auto"/>
              <w:left w:val="single" w:sz="6" w:space="0" w:color="auto"/>
              <w:bottom w:val="single" w:sz="6" w:space="0" w:color="auto"/>
              <w:right w:val="single" w:sz="6" w:space="0" w:color="auto"/>
            </w:tcBorders>
            <w:vAlign w:val="center"/>
          </w:tcPr>
          <w:p w14:paraId="66A73ED9" w14:textId="77777777" w:rsidR="00B14D53" w:rsidRDefault="00000000">
            <w:pPr>
              <w:jc w:val="center"/>
              <w:rPr>
                <w:rFonts w:eastAsiaTheme="minorEastAsia"/>
                <w:szCs w:val="21"/>
              </w:rPr>
            </w:pPr>
            <w:r>
              <w:rPr>
                <w:rFonts w:eastAsiaTheme="minorEastAsia"/>
                <w:szCs w:val="21"/>
              </w:rPr>
              <w:t>37</w:t>
            </w:r>
          </w:p>
        </w:tc>
        <w:tc>
          <w:tcPr>
            <w:tcW w:w="561" w:type="pct"/>
            <w:tcBorders>
              <w:top w:val="single" w:sz="6" w:space="0" w:color="auto"/>
              <w:left w:val="single" w:sz="6" w:space="0" w:color="auto"/>
              <w:bottom w:val="single" w:sz="6" w:space="0" w:color="auto"/>
              <w:right w:val="nil"/>
            </w:tcBorders>
            <w:vAlign w:val="center"/>
          </w:tcPr>
          <w:p w14:paraId="392308DD" w14:textId="77777777" w:rsidR="00B14D53" w:rsidRDefault="00000000">
            <w:pPr>
              <w:jc w:val="center"/>
              <w:rPr>
                <w:rFonts w:eastAsiaTheme="minorEastAsia"/>
                <w:szCs w:val="21"/>
              </w:rPr>
            </w:pPr>
            <w:r>
              <w:rPr>
                <w:rFonts w:eastAsiaTheme="minorEastAsia"/>
                <w:szCs w:val="21"/>
              </w:rPr>
              <w:t>44</w:t>
            </w:r>
          </w:p>
        </w:tc>
      </w:tr>
      <w:tr w:rsidR="00B14D53" w14:paraId="5E7E4A69" w14:textId="77777777">
        <w:trPr>
          <w:trHeight w:val="291"/>
        </w:trPr>
        <w:tc>
          <w:tcPr>
            <w:tcW w:w="842" w:type="pct"/>
            <w:tcBorders>
              <w:top w:val="single" w:sz="6" w:space="0" w:color="auto"/>
              <w:left w:val="nil"/>
              <w:bottom w:val="single" w:sz="6" w:space="0" w:color="auto"/>
              <w:right w:val="single" w:sz="6" w:space="0" w:color="auto"/>
            </w:tcBorders>
            <w:vAlign w:val="center"/>
          </w:tcPr>
          <w:p w14:paraId="7C3ADD1C" w14:textId="77777777" w:rsidR="00B14D53" w:rsidRDefault="00000000">
            <w:pPr>
              <w:adjustRightInd w:val="0"/>
              <w:snapToGrid w:val="0"/>
              <w:jc w:val="center"/>
              <w:rPr>
                <w:rFonts w:eastAsiaTheme="minorEastAsia"/>
                <w:szCs w:val="21"/>
              </w:rPr>
            </w:pPr>
            <w:r>
              <w:rPr>
                <w:rFonts w:eastAsiaTheme="minorEastAsia"/>
                <w:szCs w:val="21"/>
              </w:rPr>
              <w:t>Mg</w:t>
            </w:r>
            <w:r>
              <w:rPr>
                <w:rFonts w:eastAsiaTheme="minorEastAsia"/>
                <w:szCs w:val="21"/>
                <w:vertAlign w:val="superscript"/>
              </w:rPr>
              <w:t>2+</w:t>
            </w:r>
          </w:p>
        </w:tc>
        <w:tc>
          <w:tcPr>
            <w:tcW w:w="435" w:type="pct"/>
            <w:tcBorders>
              <w:top w:val="single" w:sz="6" w:space="0" w:color="auto"/>
              <w:left w:val="single" w:sz="6" w:space="0" w:color="auto"/>
              <w:bottom w:val="single" w:sz="6" w:space="0" w:color="auto"/>
              <w:right w:val="single" w:sz="6" w:space="0" w:color="auto"/>
            </w:tcBorders>
            <w:vAlign w:val="center"/>
          </w:tcPr>
          <w:p w14:paraId="794164E4" w14:textId="77777777" w:rsidR="00B14D53" w:rsidRDefault="00000000">
            <w:pPr>
              <w:autoSpaceDE w:val="0"/>
              <w:autoSpaceDN w:val="0"/>
              <w:adjustRightInd w:val="0"/>
              <w:jc w:val="center"/>
              <w:rPr>
                <w:rFonts w:eastAsiaTheme="minorEastAsia"/>
                <w:kern w:val="0"/>
                <w:szCs w:val="21"/>
                <w:lang w:val="zh-CN"/>
              </w:rPr>
            </w:pPr>
            <w:r>
              <w:rPr>
                <w:rFonts w:eastAsiaTheme="minorEastAsia"/>
                <w:kern w:val="0"/>
                <w:szCs w:val="21"/>
                <w:lang w:val="zh-CN"/>
              </w:rPr>
              <w:t>3</w:t>
            </w:r>
          </w:p>
        </w:tc>
        <w:tc>
          <w:tcPr>
            <w:tcW w:w="629" w:type="pct"/>
            <w:tcBorders>
              <w:top w:val="single" w:sz="6" w:space="0" w:color="auto"/>
              <w:left w:val="single" w:sz="6" w:space="0" w:color="auto"/>
              <w:bottom w:val="single" w:sz="6" w:space="0" w:color="auto"/>
              <w:right w:val="single" w:sz="6" w:space="0" w:color="auto"/>
            </w:tcBorders>
            <w:vAlign w:val="center"/>
          </w:tcPr>
          <w:p w14:paraId="5CC88A6B" w14:textId="77777777" w:rsidR="00B14D53" w:rsidRDefault="00000000">
            <w:pPr>
              <w:jc w:val="center"/>
              <w:rPr>
                <w:rFonts w:eastAsiaTheme="minorEastAsia"/>
                <w:szCs w:val="21"/>
              </w:rPr>
            </w:pPr>
            <w:r>
              <w:rPr>
                <w:rFonts w:eastAsiaTheme="minorEastAsia"/>
                <w:szCs w:val="21"/>
              </w:rPr>
              <w:t>10</w:t>
            </w:r>
          </w:p>
        </w:tc>
        <w:tc>
          <w:tcPr>
            <w:tcW w:w="562" w:type="pct"/>
            <w:tcBorders>
              <w:top w:val="single" w:sz="6" w:space="0" w:color="auto"/>
              <w:left w:val="single" w:sz="6" w:space="0" w:color="auto"/>
              <w:bottom w:val="single" w:sz="6" w:space="0" w:color="auto"/>
              <w:right w:val="single" w:sz="6" w:space="0" w:color="auto"/>
            </w:tcBorders>
            <w:vAlign w:val="center"/>
          </w:tcPr>
          <w:p w14:paraId="14731400" w14:textId="77777777" w:rsidR="00B14D53" w:rsidRDefault="00000000">
            <w:pPr>
              <w:widowControl/>
              <w:jc w:val="center"/>
              <w:rPr>
                <w:rFonts w:eastAsiaTheme="minorEastAsia"/>
                <w:kern w:val="0"/>
                <w:szCs w:val="21"/>
              </w:rPr>
            </w:pPr>
            <w:r>
              <w:rPr>
                <w:rFonts w:eastAsiaTheme="minorEastAsia"/>
                <w:kern w:val="0"/>
                <w:szCs w:val="21"/>
              </w:rPr>
              <w:t>17</w:t>
            </w:r>
          </w:p>
        </w:tc>
        <w:tc>
          <w:tcPr>
            <w:tcW w:w="562" w:type="pct"/>
            <w:tcBorders>
              <w:top w:val="single" w:sz="6" w:space="0" w:color="auto"/>
              <w:left w:val="single" w:sz="6" w:space="0" w:color="auto"/>
              <w:bottom w:val="single" w:sz="6" w:space="0" w:color="auto"/>
              <w:right w:val="single" w:sz="6" w:space="0" w:color="auto"/>
            </w:tcBorders>
            <w:vAlign w:val="center"/>
          </w:tcPr>
          <w:p w14:paraId="1DD2F169" w14:textId="77777777" w:rsidR="00B14D53" w:rsidRDefault="00000000">
            <w:pPr>
              <w:jc w:val="center"/>
              <w:rPr>
                <w:rFonts w:eastAsiaTheme="minorEastAsia"/>
                <w:szCs w:val="21"/>
              </w:rPr>
            </w:pPr>
            <w:r>
              <w:rPr>
                <w:rFonts w:eastAsiaTheme="minorEastAsia"/>
                <w:szCs w:val="21"/>
              </w:rPr>
              <w:t>24</w:t>
            </w:r>
          </w:p>
        </w:tc>
        <w:tc>
          <w:tcPr>
            <w:tcW w:w="562" w:type="pct"/>
            <w:tcBorders>
              <w:top w:val="single" w:sz="6" w:space="0" w:color="auto"/>
              <w:left w:val="single" w:sz="6" w:space="0" w:color="auto"/>
              <w:bottom w:val="single" w:sz="6" w:space="0" w:color="auto"/>
              <w:right w:val="single" w:sz="6" w:space="0" w:color="auto"/>
            </w:tcBorders>
            <w:vAlign w:val="center"/>
          </w:tcPr>
          <w:p w14:paraId="4083FF78" w14:textId="77777777" w:rsidR="00B14D53" w:rsidRDefault="00000000">
            <w:pPr>
              <w:jc w:val="center"/>
              <w:rPr>
                <w:rFonts w:eastAsiaTheme="minorEastAsia"/>
                <w:szCs w:val="21"/>
              </w:rPr>
            </w:pPr>
            <w:r>
              <w:rPr>
                <w:rFonts w:eastAsiaTheme="minorEastAsia"/>
                <w:szCs w:val="21"/>
              </w:rPr>
              <w:t>31</w:t>
            </w:r>
          </w:p>
        </w:tc>
        <w:tc>
          <w:tcPr>
            <w:tcW w:w="562" w:type="pct"/>
            <w:tcBorders>
              <w:top w:val="single" w:sz="6" w:space="0" w:color="auto"/>
              <w:left w:val="single" w:sz="6" w:space="0" w:color="auto"/>
              <w:bottom w:val="single" w:sz="6" w:space="0" w:color="auto"/>
              <w:right w:val="single" w:sz="6" w:space="0" w:color="auto"/>
            </w:tcBorders>
            <w:vAlign w:val="center"/>
          </w:tcPr>
          <w:p w14:paraId="22EC6C85" w14:textId="77777777" w:rsidR="00B14D53" w:rsidRDefault="00000000">
            <w:pPr>
              <w:jc w:val="center"/>
              <w:rPr>
                <w:rFonts w:eastAsiaTheme="minorEastAsia"/>
                <w:szCs w:val="21"/>
              </w:rPr>
            </w:pPr>
            <w:r>
              <w:rPr>
                <w:rFonts w:eastAsiaTheme="minorEastAsia"/>
                <w:szCs w:val="21"/>
              </w:rPr>
              <w:t>38</w:t>
            </w:r>
          </w:p>
        </w:tc>
        <w:tc>
          <w:tcPr>
            <w:tcW w:w="561" w:type="pct"/>
            <w:tcBorders>
              <w:top w:val="single" w:sz="6" w:space="0" w:color="auto"/>
              <w:left w:val="single" w:sz="6" w:space="0" w:color="auto"/>
              <w:bottom w:val="single" w:sz="6" w:space="0" w:color="auto"/>
              <w:right w:val="nil"/>
            </w:tcBorders>
            <w:vAlign w:val="center"/>
          </w:tcPr>
          <w:p w14:paraId="630C008F" w14:textId="77777777" w:rsidR="00B14D53" w:rsidRDefault="00000000">
            <w:pPr>
              <w:jc w:val="center"/>
              <w:rPr>
                <w:rFonts w:eastAsiaTheme="minorEastAsia"/>
                <w:szCs w:val="21"/>
              </w:rPr>
            </w:pPr>
            <w:r>
              <w:rPr>
                <w:rFonts w:eastAsiaTheme="minorEastAsia"/>
                <w:szCs w:val="21"/>
              </w:rPr>
              <w:t>45</w:t>
            </w:r>
          </w:p>
        </w:tc>
      </w:tr>
      <w:tr w:rsidR="00B14D53" w14:paraId="27E3F5B0" w14:textId="77777777">
        <w:trPr>
          <w:trHeight w:val="291"/>
        </w:trPr>
        <w:tc>
          <w:tcPr>
            <w:tcW w:w="842" w:type="pct"/>
            <w:tcBorders>
              <w:top w:val="single" w:sz="6" w:space="0" w:color="auto"/>
              <w:left w:val="nil"/>
              <w:bottom w:val="single" w:sz="6" w:space="0" w:color="auto"/>
              <w:right w:val="single" w:sz="6" w:space="0" w:color="auto"/>
            </w:tcBorders>
            <w:vAlign w:val="center"/>
          </w:tcPr>
          <w:p w14:paraId="2DF97D88" w14:textId="77777777" w:rsidR="00B14D53" w:rsidRDefault="00000000">
            <w:pPr>
              <w:adjustRightInd w:val="0"/>
              <w:snapToGrid w:val="0"/>
              <w:jc w:val="center"/>
              <w:rPr>
                <w:rFonts w:eastAsiaTheme="minorEastAsia"/>
                <w:szCs w:val="21"/>
              </w:rPr>
            </w:pPr>
            <w:r>
              <w:rPr>
                <w:rFonts w:eastAsiaTheme="minorEastAsia"/>
                <w:szCs w:val="21"/>
              </w:rPr>
              <w:t>Na</w:t>
            </w:r>
            <w:r>
              <w:rPr>
                <w:rFonts w:eastAsiaTheme="minorEastAsia"/>
                <w:szCs w:val="21"/>
                <w:vertAlign w:val="superscript"/>
              </w:rPr>
              <w:t>+</w:t>
            </w:r>
            <w:r>
              <w:rPr>
                <w:rFonts w:eastAsiaTheme="minorEastAsia"/>
                <w:szCs w:val="21"/>
              </w:rPr>
              <w:t>-Ca</w:t>
            </w:r>
            <w:r>
              <w:rPr>
                <w:rFonts w:eastAsiaTheme="minorEastAsia"/>
                <w:szCs w:val="21"/>
                <w:vertAlign w:val="superscript"/>
              </w:rPr>
              <w:t>2+</w:t>
            </w:r>
          </w:p>
        </w:tc>
        <w:tc>
          <w:tcPr>
            <w:tcW w:w="435" w:type="pct"/>
            <w:tcBorders>
              <w:top w:val="single" w:sz="6" w:space="0" w:color="auto"/>
              <w:left w:val="single" w:sz="6" w:space="0" w:color="auto"/>
              <w:bottom w:val="single" w:sz="6" w:space="0" w:color="auto"/>
              <w:right w:val="single" w:sz="6" w:space="0" w:color="auto"/>
            </w:tcBorders>
            <w:vAlign w:val="center"/>
          </w:tcPr>
          <w:p w14:paraId="575186A6" w14:textId="77777777" w:rsidR="00B14D53" w:rsidRDefault="00000000">
            <w:pPr>
              <w:jc w:val="center"/>
              <w:rPr>
                <w:rFonts w:eastAsiaTheme="minorEastAsia"/>
                <w:szCs w:val="21"/>
              </w:rPr>
            </w:pPr>
            <w:r>
              <w:rPr>
                <w:rFonts w:eastAsiaTheme="minorEastAsia"/>
                <w:szCs w:val="21"/>
              </w:rPr>
              <w:t>4</w:t>
            </w:r>
          </w:p>
        </w:tc>
        <w:tc>
          <w:tcPr>
            <w:tcW w:w="629" w:type="pct"/>
            <w:tcBorders>
              <w:top w:val="single" w:sz="6" w:space="0" w:color="auto"/>
              <w:left w:val="single" w:sz="6" w:space="0" w:color="auto"/>
              <w:bottom w:val="single" w:sz="6" w:space="0" w:color="auto"/>
              <w:right w:val="single" w:sz="6" w:space="0" w:color="auto"/>
            </w:tcBorders>
            <w:vAlign w:val="center"/>
          </w:tcPr>
          <w:p w14:paraId="6DA769A4" w14:textId="77777777" w:rsidR="00B14D53" w:rsidRDefault="00000000">
            <w:pPr>
              <w:jc w:val="center"/>
              <w:rPr>
                <w:rFonts w:eastAsiaTheme="minorEastAsia"/>
                <w:szCs w:val="21"/>
              </w:rPr>
            </w:pPr>
            <w:r>
              <w:rPr>
                <w:rFonts w:eastAsiaTheme="minorEastAsia"/>
                <w:szCs w:val="21"/>
              </w:rPr>
              <w:t>11</w:t>
            </w:r>
          </w:p>
        </w:tc>
        <w:tc>
          <w:tcPr>
            <w:tcW w:w="562" w:type="pct"/>
            <w:tcBorders>
              <w:top w:val="single" w:sz="6" w:space="0" w:color="auto"/>
              <w:left w:val="single" w:sz="6" w:space="0" w:color="auto"/>
              <w:bottom w:val="single" w:sz="6" w:space="0" w:color="auto"/>
              <w:right w:val="single" w:sz="6" w:space="0" w:color="auto"/>
            </w:tcBorders>
            <w:vAlign w:val="center"/>
          </w:tcPr>
          <w:p w14:paraId="4A8CA287" w14:textId="77777777" w:rsidR="00B14D53" w:rsidRDefault="00000000">
            <w:pPr>
              <w:widowControl/>
              <w:jc w:val="center"/>
              <w:rPr>
                <w:rFonts w:eastAsiaTheme="minorEastAsia"/>
                <w:kern w:val="0"/>
                <w:szCs w:val="21"/>
              </w:rPr>
            </w:pPr>
            <w:r>
              <w:rPr>
                <w:rFonts w:eastAsiaTheme="minorEastAsia"/>
                <w:kern w:val="0"/>
                <w:szCs w:val="21"/>
              </w:rPr>
              <w:t>18</w:t>
            </w:r>
          </w:p>
        </w:tc>
        <w:tc>
          <w:tcPr>
            <w:tcW w:w="562" w:type="pct"/>
            <w:tcBorders>
              <w:top w:val="single" w:sz="6" w:space="0" w:color="auto"/>
              <w:left w:val="single" w:sz="6" w:space="0" w:color="auto"/>
              <w:bottom w:val="single" w:sz="6" w:space="0" w:color="auto"/>
              <w:right w:val="single" w:sz="6" w:space="0" w:color="auto"/>
            </w:tcBorders>
            <w:vAlign w:val="center"/>
          </w:tcPr>
          <w:p w14:paraId="1043E8E4" w14:textId="77777777" w:rsidR="00B14D53" w:rsidRDefault="00000000">
            <w:pPr>
              <w:jc w:val="center"/>
              <w:rPr>
                <w:rFonts w:eastAsiaTheme="minorEastAsia"/>
                <w:szCs w:val="21"/>
              </w:rPr>
            </w:pPr>
            <w:r>
              <w:rPr>
                <w:rFonts w:eastAsiaTheme="minorEastAsia"/>
                <w:szCs w:val="21"/>
              </w:rPr>
              <w:t>25</w:t>
            </w:r>
          </w:p>
        </w:tc>
        <w:tc>
          <w:tcPr>
            <w:tcW w:w="562" w:type="pct"/>
            <w:tcBorders>
              <w:top w:val="single" w:sz="6" w:space="0" w:color="auto"/>
              <w:left w:val="single" w:sz="6" w:space="0" w:color="auto"/>
              <w:bottom w:val="single" w:sz="6" w:space="0" w:color="auto"/>
              <w:right w:val="single" w:sz="6" w:space="0" w:color="auto"/>
            </w:tcBorders>
            <w:vAlign w:val="center"/>
          </w:tcPr>
          <w:p w14:paraId="184A301F" w14:textId="77777777" w:rsidR="00B14D53" w:rsidRDefault="00000000">
            <w:pPr>
              <w:jc w:val="center"/>
              <w:rPr>
                <w:rFonts w:eastAsiaTheme="minorEastAsia"/>
                <w:szCs w:val="21"/>
              </w:rPr>
            </w:pPr>
            <w:r>
              <w:rPr>
                <w:rFonts w:eastAsiaTheme="minorEastAsia"/>
                <w:szCs w:val="21"/>
              </w:rPr>
              <w:t>32</w:t>
            </w:r>
          </w:p>
        </w:tc>
        <w:tc>
          <w:tcPr>
            <w:tcW w:w="562" w:type="pct"/>
            <w:tcBorders>
              <w:top w:val="single" w:sz="6" w:space="0" w:color="auto"/>
              <w:left w:val="single" w:sz="6" w:space="0" w:color="auto"/>
              <w:bottom w:val="single" w:sz="6" w:space="0" w:color="auto"/>
              <w:right w:val="single" w:sz="6" w:space="0" w:color="auto"/>
            </w:tcBorders>
            <w:vAlign w:val="center"/>
          </w:tcPr>
          <w:p w14:paraId="7124DF10" w14:textId="77777777" w:rsidR="00B14D53" w:rsidRDefault="00000000">
            <w:pPr>
              <w:jc w:val="center"/>
              <w:rPr>
                <w:rFonts w:eastAsiaTheme="minorEastAsia"/>
                <w:szCs w:val="21"/>
              </w:rPr>
            </w:pPr>
            <w:r>
              <w:rPr>
                <w:rFonts w:eastAsiaTheme="minorEastAsia"/>
                <w:szCs w:val="21"/>
              </w:rPr>
              <w:t>39</w:t>
            </w:r>
          </w:p>
        </w:tc>
        <w:tc>
          <w:tcPr>
            <w:tcW w:w="561" w:type="pct"/>
            <w:tcBorders>
              <w:top w:val="single" w:sz="6" w:space="0" w:color="auto"/>
              <w:left w:val="single" w:sz="6" w:space="0" w:color="auto"/>
              <w:bottom w:val="single" w:sz="6" w:space="0" w:color="auto"/>
              <w:right w:val="nil"/>
            </w:tcBorders>
            <w:vAlign w:val="center"/>
          </w:tcPr>
          <w:p w14:paraId="2E8E65CB" w14:textId="77777777" w:rsidR="00B14D53" w:rsidRDefault="00000000">
            <w:pPr>
              <w:jc w:val="center"/>
              <w:rPr>
                <w:rFonts w:eastAsiaTheme="minorEastAsia"/>
                <w:szCs w:val="21"/>
              </w:rPr>
            </w:pPr>
            <w:r>
              <w:rPr>
                <w:rFonts w:eastAsiaTheme="minorEastAsia"/>
                <w:szCs w:val="21"/>
              </w:rPr>
              <w:t>46</w:t>
            </w:r>
          </w:p>
        </w:tc>
      </w:tr>
      <w:tr w:rsidR="00B14D53" w14:paraId="1B1CCA27" w14:textId="77777777">
        <w:trPr>
          <w:trHeight w:val="291"/>
        </w:trPr>
        <w:tc>
          <w:tcPr>
            <w:tcW w:w="842" w:type="pct"/>
            <w:tcBorders>
              <w:top w:val="single" w:sz="6" w:space="0" w:color="auto"/>
              <w:left w:val="nil"/>
              <w:bottom w:val="single" w:sz="6" w:space="0" w:color="auto"/>
              <w:right w:val="single" w:sz="6" w:space="0" w:color="auto"/>
            </w:tcBorders>
            <w:vAlign w:val="center"/>
          </w:tcPr>
          <w:p w14:paraId="6F552BB7" w14:textId="77777777" w:rsidR="00B14D53" w:rsidRDefault="00000000">
            <w:pPr>
              <w:adjustRightInd w:val="0"/>
              <w:snapToGrid w:val="0"/>
              <w:jc w:val="center"/>
              <w:rPr>
                <w:rFonts w:eastAsiaTheme="minorEastAsia"/>
                <w:szCs w:val="21"/>
              </w:rPr>
            </w:pPr>
            <w:r>
              <w:rPr>
                <w:rFonts w:eastAsiaTheme="minorEastAsia"/>
                <w:szCs w:val="21"/>
              </w:rPr>
              <w:t>Na</w:t>
            </w:r>
            <w:r>
              <w:rPr>
                <w:rFonts w:eastAsiaTheme="minorEastAsia"/>
                <w:szCs w:val="21"/>
                <w:vertAlign w:val="superscript"/>
              </w:rPr>
              <w:t>+</w:t>
            </w:r>
            <w:r>
              <w:rPr>
                <w:rFonts w:eastAsiaTheme="minorEastAsia"/>
                <w:szCs w:val="21"/>
              </w:rPr>
              <w:t>-Ca</w:t>
            </w:r>
            <w:r>
              <w:rPr>
                <w:rFonts w:eastAsiaTheme="minorEastAsia"/>
                <w:szCs w:val="21"/>
                <w:vertAlign w:val="superscript"/>
              </w:rPr>
              <w:t>2+</w:t>
            </w:r>
            <w:r>
              <w:rPr>
                <w:rFonts w:eastAsiaTheme="minorEastAsia"/>
                <w:szCs w:val="21"/>
              </w:rPr>
              <w:t>-Mg</w:t>
            </w:r>
            <w:r>
              <w:rPr>
                <w:rFonts w:eastAsiaTheme="minorEastAsia"/>
                <w:szCs w:val="21"/>
                <w:vertAlign w:val="superscript"/>
              </w:rPr>
              <w:t>2+</w:t>
            </w:r>
          </w:p>
        </w:tc>
        <w:tc>
          <w:tcPr>
            <w:tcW w:w="435" w:type="pct"/>
            <w:tcBorders>
              <w:top w:val="single" w:sz="6" w:space="0" w:color="auto"/>
              <w:left w:val="single" w:sz="6" w:space="0" w:color="auto"/>
              <w:bottom w:val="single" w:sz="6" w:space="0" w:color="auto"/>
              <w:right w:val="single" w:sz="6" w:space="0" w:color="auto"/>
            </w:tcBorders>
            <w:vAlign w:val="center"/>
          </w:tcPr>
          <w:p w14:paraId="317AEFF6" w14:textId="77777777" w:rsidR="00B14D53" w:rsidRDefault="00000000">
            <w:pPr>
              <w:autoSpaceDE w:val="0"/>
              <w:autoSpaceDN w:val="0"/>
              <w:adjustRightInd w:val="0"/>
              <w:jc w:val="center"/>
              <w:rPr>
                <w:rFonts w:eastAsiaTheme="minorEastAsia"/>
                <w:kern w:val="0"/>
                <w:szCs w:val="21"/>
                <w:lang w:val="zh-CN"/>
              </w:rPr>
            </w:pPr>
            <w:r>
              <w:rPr>
                <w:rFonts w:eastAsiaTheme="minorEastAsia"/>
                <w:kern w:val="0"/>
                <w:szCs w:val="21"/>
                <w:lang w:val="zh-CN"/>
              </w:rPr>
              <w:t>5</w:t>
            </w:r>
          </w:p>
        </w:tc>
        <w:tc>
          <w:tcPr>
            <w:tcW w:w="629" w:type="pct"/>
            <w:tcBorders>
              <w:top w:val="single" w:sz="6" w:space="0" w:color="auto"/>
              <w:left w:val="single" w:sz="6" w:space="0" w:color="auto"/>
              <w:bottom w:val="single" w:sz="6" w:space="0" w:color="auto"/>
              <w:right w:val="single" w:sz="6" w:space="0" w:color="auto"/>
            </w:tcBorders>
            <w:vAlign w:val="center"/>
          </w:tcPr>
          <w:p w14:paraId="54547A2C" w14:textId="77777777" w:rsidR="00B14D53" w:rsidRDefault="00000000">
            <w:pPr>
              <w:jc w:val="center"/>
              <w:rPr>
                <w:rFonts w:eastAsiaTheme="minorEastAsia"/>
                <w:szCs w:val="21"/>
              </w:rPr>
            </w:pPr>
            <w:r>
              <w:rPr>
                <w:rFonts w:eastAsiaTheme="minorEastAsia"/>
                <w:szCs w:val="21"/>
              </w:rPr>
              <w:t>12</w:t>
            </w:r>
          </w:p>
        </w:tc>
        <w:tc>
          <w:tcPr>
            <w:tcW w:w="562" w:type="pct"/>
            <w:tcBorders>
              <w:top w:val="single" w:sz="6" w:space="0" w:color="auto"/>
              <w:left w:val="single" w:sz="6" w:space="0" w:color="auto"/>
              <w:bottom w:val="single" w:sz="6" w:space="0" w:color="auto"/>
              <w:right w:val="single" w:sz="6" w:space="0" w:color="auto"/>
            </w:tcBorders>
            <w:vAlign w:val="center"/>
          </w:tcPr>
          <w:p w14:paraId="47DFC09A" w14:textId="77777777" w:rsidR="00B14D53" w:rsidRDefault="00000000">
            <w:pPr>
              <w:widowControl/>
              <w:jc w:val="center"/>
              <w:rPr>
                <w:rFonts w:eastAsiaTheme="minorEastAsia"/>
                <w:kern w:val="0"/>
                <w:szCs w:val="21"/>
              </w:rPr>
            </w:pPr>
            <w:r>
              <w:rPr>
                <w:rFonts w:eastAsiaTheme="minorEastAsia"/>
                <w:kern w:val="0"/>
                <w:szCs w:val="21"/>
              </w:rPr>
              <w:t>19</w:t>
            </w:r>
          </w:p>
        </w:tc>
        <w:tc>
          <w:tcPr>
            <w:tcW w:w="562" w:type="pct"/>
            <w:tcBorders>
              <w:top w:val="single" w:sz="6" w:space="0" w:color="auto"/>
              <w:left w:val="single" w:sz="6" w:space="0" w:color="auto"/>
              <w:bottom w:val="single" w:sz="6" w:space="0" w:color="auto"/>
              <w:right w:val="single" w:sz="6" w:space="0" w:color="auto"/>
            </w:tcBorders>
            <w:vAlign w:val="center"/>
          </w:tcPr>
          <w:p w14:paraId="6DECACE2" w14:textId="77777777" w:rsidR="00B14D53" w:rsidRDefault="00000000">
            <w:pPr>
              <w:jc w:val="center"/>
              <w:rPr>
                <w:rFonts w:eastAsiaTheme="minorEastAsia"/>
                <w:szCs w:val="21"/>
              </w:rPr>
            </w:pPr>
            <w:r>
              <w:rPr>
                <w:rFonts w:eastAsiaTheme="minorEastAsia"/>
                <w:szCs w:val="21"/>
              </w:rPr>
              <w:t>26</w:t>
            </w:r>
          </w:p>
        </w:tc>
        <w:tc>
          <w:tcPr>
            <w:tcW w:w="562" w:type="pct"/>
            <w:tcBorders>
              <w:top w:val="single" w:sz="6" w:space="0" w:color="auto"/>
              <w:left w:val="single" w:sz="6" w:space="0" w:color="auto"/>
              <w:bottom w:val="single" w:sz="6" w:space="0" w:color="auto"/>
              <w:right w:val="single" w:sz="6" w:space="0" w:color="auto"/>
            </w:tcBorders>
            <w:vAlign w:val="center"/>
          </w:tcPr>
          <w:p w14:paraId="2BB14B3F" w14:textId="77777777" w:rsidR="00B14D53" w:rsidRDefault="00000000">
            <w:pPr>
              <w:jc w:val="center"/>
              <w:rPr>
                <w:rFonts w:eastAsiaTheme="minorEastAsia"/>
                <w:szCs w:val="21"/>
              </w:rPr>
            </w:pPr>
            <w:r>
              <w:rPr>
                <w:rFonts w:eastAsiaTheme="minorEastAsia"/>
                <w:szCs w:val="21"/>
              </w:rPr>
              <w:t>33</w:t>
            </w:r>
          </w:p>
        </w:tc>
        <w:tc>
          <w:tcPr>
            <w:tcW w:w="562" w:type="pct"/>
            <w:tcBorders>
              <w:top w:val="single" w:sz="6" w:space="0" w:color="auto"/>
              <w:left w:val="single" w:sz="6" w:space="0" w:color="auto"/>
              <w:bottom w:val="single" w:sz="6" w:space="0" w:color="auto"/>
              <w:right w:val="single" w:sz="6" w:space="0" w:color="auto"/>
            </w:tcBorders>
            <w:vAlign w:val="center"/>
          </w:tcPr>
          <w:p w14:paraId="4BA06E27" w14:textId="77777777" w:rsidR="00B14D53" w:rsidRDefault="00000000">
            <w:pPr>
              <w:jc w:val="center"/>
              <w:rPr>
                <w:rFonts w:eastAsiaTheme="minorEastAsia"/>
                <w:szCs w:val="21"/>
              </w:rPr>
            </w:pPr>
            <w:r>
              <w:rPr>
                <w:rFonts w:eastAsiaTheme="minorEastAsia"/>
                <w:szCs w:val="21"/>
              </w:rPr>
              <w:t>40</w:t>
            </w:r>
          </w:p>
        </w:tc>
        <w:tc>
          <w:tcPr>
            <w:tcW w:w="561" w:type="pct"/>
            <w:tcBorders>
              <w:top w:val="single" w:sz="6" w:space="0" w:color="auto"/>
              <w:left w:val="single" w:sz="6" w:space="0" w:color="auto"/>
              <w:bottom w:val="single" w:sz="6" w:space="0" w:color="auto"/>
              <w:right w:val="nil"/>
            </w:tcBorders>
            <w:vAlign w:val="center"/>
          </w:tcPr>
          <w:p w14:paraId="64AEA5D5" w14:textId="77777777" w:rsidR="00B14D53" w:rsidRDefault="00000000">
            <w:pPr>
              <w:jc w:val="center"/>
              <w:rPr>
                <w:rFonts w:eastAsiaTheme="minorEastAsia"/>
                <w:szCs w:val="21"/>
              </w:rPr>
            </w:pPr>
            <w:r>
              <w:rPr>
                <w:rFonts w:eastAsiaTheme="minorEastAsia"/>
                <w:szCs w:val="21"/>
              </w:rPr>
              <w:t>47</w:t>
            </w:r>
          </w:p>
        </w:tc>
      </w:tr>
      <w:tr w:rsidR="00B14D53" w14:paraId="40EB8A4B" w14:textId="77777777">
        <w:trPr>
          <w:trHeight w:val="307"/>
        </w:trPr>
        <w:tc>
          <w:tcPr>
            <w:tcW w:w="842" w:type="pct"/>
            <w:tcBorders>
              <w:top w:val="single" w:sz="6" w:space="0" w:color="auto"/>
              <w:left w:val="nil"/>
              <w:bottom w:val="single" w:sz="6" w:space="0" w:color="auto"/>
              <w:right w:val="single" w:sz="6" w:space="0" w:color="auto"/>
            </w:tcBorders>
            <w:vAlign w:val="center"/>
          </w:tcPr>
          <w:p w14:paraId="3A83F19E" w14:textId="77777777" w:rsidR="00B14D53" w:rsidRDefault="00000000">
            <w:pPr>
              <w:adjustRightInd w:val="0"/>
              <w:snapToGrid w:val="0"/>
              <w:jc w:val="center"/>
              <w:rPr>
                <w:rFonts w:eastAsiaTheme="minorEastAsia"/>
                <w:szCs w:val="21"/>
              </w:rPr>
            </w:pPr>
            <w:r>
              <w:rPr>
                <w:rFonts w:eastAsiaTheme="minorEastAsia"/>
                <w:szCs w:val="21"/>
              </w:rPr>
              <w:t>Na</w:t>
            </w:r>
            <w:r>
              <w:rPr>
                <w:rFonts w:eastAsiaTheme="minorEastAsia"/>
                <w:szCs w:val="21"/>
                <w:vertAlign w:val="superscript"/>
              </w:rPr>
              <w:t>+</w:t>
            </w:r>
            <w:r>
              <w:rPr>
                <w:rFonts w:eastAsiaTheme="minorEastAsia"/>
                <w:szCs w:val="21"/>
              </w:rPr>
              <w:t>-Mg</w:t>
            </w:r>
            <w:r>
              <w:rPr>
                <w:rFonts w:eastAsiaTheme="minorEastAsia"/>
                <w:szCs w:val="21"/>
                <w:vertAlign w:val="superscript"/>
              </w:rPr>
              <w:t>2</w:t>
            </w:r>
          </w:p>
        </w:tc>
        <w:tc>
          <w:tcPr>
            <w:tcW w:w="435" w:type="pct"/>
            <w:tcBorders>
              <w:top w:val="single" w:sz="6" w:space="0" w:color="auto"/>
              <w:left w:val="single" w:sz="6" w:space="0" w:color="auto"/>
              <w:bottom w:val="single" w:sz="6" w:space="0" w:color="auto"/>
              <w:right w:val="single" w:sz="6" w:space="0" w:color="auto"/>
            </w:tcBorders>
            <w:vAlign w:val="center"/>
          </w:tcPr>
          <w:p w14:paraId="72D8FDC2" w14:textId="77777777" w:rsidR="00B14D53" w:rsidRDefault="00000000">
            <w:pPr>
              <w:autoSpaceDE w:val="0"/>
              <w:autoSpaceDN w:val="0"/>
              <w:adjustRightInd w:val="0"/>
              <w:jc w:val="center"/>
              <w:rPr>
                <w:rFonts w:eastAsiaTheme="minorEastAsia"/>
                <w:kern w:val="0"/>
                <w:szCs w:val="21"/>
                <w:lang w:val="zh-CN"/>
              </w:rPr>
            </w:pPr>
            <w:r>
              <w:rPr>
                <w:rFonts w:eastAsiaTheme="minorEastAsia"/>
                <w:kern w:val="0"/>
                <w:szCs w:val="21"/>
                <w:lang w:val="zh-CN"/>
              </w:rPr>
              <w:t>6</w:t>
            </w:r>
          </w:p>
        </w:tc>
        <w:tc>
          <w:tcPr>
            <w:tcW w:w="629" w:type="pct"/>
            <w:tcBorders>
              <w:top w:val="single" w:sz="6" w:space="0" w:color="auto"/>
              <w:left w:val="single" w:sz="6" w:space="0" w:color="auto"/>
              <w:bottom w:val="single" w:sz="6" w:space="0" w:color="auto"/>
              <w:right w:val="single" w:sz="6" w:space="0" w:color="auto"/>
            </w:tcBorders>
            <w:vAlign w:val="center"/>
          </w:tcPr>
          <w:p w14:paraId="098BE0A2" w14:textId="77777777" w:rsidR="00B14D53" w:rsidRDefault="00000000">
            <w:pPr>
              <w:jc w:val="center"/>
              <w:rPr>
                <w:rFonts w:eastAsiaTheme="minorEastAsia"/>
                <w:szCs w:val="21"/>
              </w:rPr>
            </w:pPr>
            <w:r>
              <w:rPr>
                <w:rFonts w:eastAsiaTheme="minorEastAsia"/>
                <w:szCs w:val="21"/>
              </w:rPr>
              <w:t>13</w:t>
            </w:r>
          </w:p>
        </w:tc>
        <w:tc>
          <w:tcPr>
            <w:tcW w:w="562" w:type="pct"/>
            <w:tcBorders>
              <w:top w:val="single" w:sz="6" w:space="0" w:color="auto"/>
              <w:left w:val="single" w:sz="6" w:space="0" w:color="auto"/>
              <w:bottom w:val="single" w:sz="6" w:space="0" w:color="auto"/>
              <w:right w:val="single" w:sz="6" w:space="0" w:color="auto"/>
            </w:tcBorders>
            <w:vAlign w:val="center"/>
          </w:tcPr>
          <w:p w14:paraId="563562B8" w14:textId="77777777" w:rsidR="00B14D53" w:rsidRDefault="00000000">
            <w:pPr>
              <w:widowControl/>
              <w:jc w:val="center"/>
              <w:rPr>
                <w:rFonts w:eastAsiaTheme="minorEastAsia"/>
                <w:kern w:val="0"/>
                <w:szCs w:val="21"/>
              </w:rPr>
            </w:pPr>
            <w:r>
              <w:rPr>
                <w:rFonts w:eastAsiaTheme="minorEastAsia"/>
                <w:kern w:val="0"/>
                <w:szCs w:val="21"/>
              </w:rPr>
              <w:t>20</w:t>
            </w:r>
          </w:p>
        </w:tc>
        <w:tc>
          <w:tcPr>
            <w:tcW w:w="562" w:type="pct"/>
            <w:tcBorders>
              <w:top w:val="single" w:sz="6" w:space="0" w:color="auto"/>
              <w:left w:val="single" w:sz="6" w:space="0" w:color="auto"/>
              <w:bottom w:val="single" w:sz="6" w:space="0" w:color="auto"/>
              <w:right w:val="single" w:sz="6" w:space="0" w:color="auto"/>
            </w:tcBorders>
            <w:vAlign w:val="center"/>
          </w:tcPr>
          <w:p w14:paraId="59190BB4" w14:textId="77777777" w:rsidR="00B14D53" w:rsidRDefault="00000000">
            <w:pPr>
              <w:jc w:val="center"/>
              <w:rPr>
                <w:rFonts w:eastAsiaTheme="minorEastAsia"/>
                <w:szCs w:val="21"/>
              </w:rPr>
            </w:pPr>
            <w:r>
              <w:rPr>
                <w:rFonts w:eastAsiaTheme="minorEastAsia"/>
                <w:szCs w:val="21"/>
              </w:rPr>
              <w:t>27</w:t>
            </w:r>
          </w:p>
        </w:tc>
        <w:tc>
          <w:tcPr>
            <w:tcW w:w="562" w:type="pct"/>
            <w:tcBorders>
              <w:top w:val="single" w:sz="6" w:space="0" w:color="auto"/>
              <w:left w:val="single" w:sz="6" w:space="0" w:color="auto"/>
              <w:bottom w:val="single" w:sz="6" w:space="0" w:color="auto"/>
              <w:right w:val="single" w:sz="6" w:space="0" w:color="auto"/>
            </w:tcBorders>
            <w:vAlign w:val="center"/>
          </w:tcPr>
          <w:p w14:paraId="30E2D095" w14:textId="77777777" w:rsidR="00B14D53" w:rsidRDefault="00000000">
            <w:pPr>
              <w:jc w:val="center"/>
              <w:rPr>
                <w:rFonts w:eastAsiaTheme="minorEastAsia"/>
                <w:szCs w:val="21"/>
              </w:rPr>
            </w:pPr>
            <w:r>
              <w:rPr>
                <w:rFonts w:eastAsiaTheme="minorEastAsia"/>
                <w:szCs w:val="21"/>
              </w:rPr>
              <w:t>34</w:t>
            </w:r>
          </w:p>
        </w:tc>
        <w:tc>
          <w:tcPr>
            <w:tcW w:w="562" w:type="pct"/>
            <w:tcBorders>
              <w:top w:val="single" w:sz="6" w:space="0" w:color="auto"/>
              <w:left w:val="single" w:sz="6" w:space="0" w:color="auto"/>
              <w:bottom w:val="single" w:sz="6" w:space="0" w:color="auto"/>
              <w:right w:val="single" w:sz="6" w:space="0" w:color="auto"/>
            </w:tcBorders>
            <w:vAlign w:val="center"/>
          </w:tcPr>
          <w:p w14:paraId="0868B5F4" w14:textId="77777777" w:rsidR="00B14D53" w:rsidRDefault="00000000">
            <w:pPr>
              <w:jc w:val="center"/>
              <w:rPr>
                <w:rFonts w:eastAsiaTheme="minorEastAsia"/>
                <w:szCs w:val="21"/>
              </w:rPr>
            </w:pPr>
            <w:r>
              <w:rPr>
                <w:rFonts w:eastAsiaTheme="minorEastAsia"/>
                <w:szCs w:val="21"/>
              </w:rPr>
              <w:t>41</w:t>
            </w:r>
          </w:p>
        </w:tc>
        <w:tc>
          <w:tcPr>
            <w:tcW w:w="561" w:type="pct"/>
            <w:tcBorders>
              <w:top w:val="single" w:sz="6" w:space="0" w:color="auto"/>
              <w:left w:val="single" w:sz="6" w:space="0" w:color="auto"/>
              <w:bottom w:val="single" w:sz="6" w:space="0" w:color="auto"/>
              <w:right w:val="nil"/>
            </w:tcBorders>
            <w:vAlign w:val="center"/>
          </w:tcPr>
          <w:p w14:paraId="3419129B" w14:textId="77777777" w:rsidR="00B14D53" w:rsidRDefault="00000000">
            <w:pPr>
              <w:jc w:val="center"/>
              <w:rPr>
                <w:rFonts w:eastAsiaTheme="minorEastAsia"/>
                <w:szCs w:val="21"/>
              </w:rPr>
            </w:pPr>
            <w:r>
              <w:rPr>
                <w:rFonts w:eastAsiaTheme="minorEastAsia"/>
                <w:szCs w:val="21"/>
              </w:rPr>
              <w:t>48</w:t>
            </w:r>
          </w:p>
        </w:tc>
      </w:tr>
      <w:tr w:rsidR="00B14D53" w14:paraId="09F8C374" w14:textId="77777777">
        <w:trPr>
          <w:trHeight w:val="291"/>
        </w:trPr>
        <w:tc>
          <w:tcPr>
            <w:tcW w:w="842" w:type="pct"/>
            <w:tcBorders>
              <w:top w:val="single" w:sz="6" w:space="0" w:color="auto"/>
              <w:left w:val="nil"/>
              <w:bottom w:val="single" w:sz="12" w:space="0" w:color="auto"/>
              <w:right w:val="single" w:sz="6" w:space="0" w:color="auto"/>
            </w:tcBorders>
            <w:vAlign w:val="center"/>
          </w:tcPr>
          <w:p w14:paraId="27252BC0" w14:textId="77777777" w:rsidR="00B14D53" w:rsidRDefault="00000000">
            <w:pPr>
              <w:adjustRightInd w:val="0"/>
              <w:snapToGrid w:val="0"/>
              <w:jc w:val="center"/>
              <w:rPr>
                <w:rFonts w:eastAsiaTheme="minorEastAsia"/>
                <w:szCs w:val="21"/>
              </w:rPr>
            </w:pPr>
            <w:r>
              <w:rPr>
                <w:rFonts w:eastAsiaTheme="minorEastAsia"/>
                <w:szCs w:val="21"/>
              </w:rPr>
              <w:t>Na</w:t>
            </w:r>
            <w:r>
              <w:rPr>
                <w:rFonts w:eastAsiaTheme="minorEastAsia"/>
                <w:szCs w:val="21"/>
                <w:vertAlign w:val="superscript"/>
              </w:rPr>
              <w:t>+</w:t>
            </w:r>
          </w:p>
        </w:tc>
        <w:tc>
          <w:tcPr>
            <w:tcW w:w="435" w:type="pct"/>
            <w:tcBorders>
              <w:top w:val="single" w:sz="6" w:space="0" w:color="auto"/>
              <w:left w:val="single" w:sz="6" w:space="0" w:color="auto"/>
              <w:bottom w:val="single" w:sz="12" w:space="0" w:color="auto"/>
              <w:right w:val="single" w:sz="6" w:space="0" w:color="auto"/>
            </w:tcBorders>
            <w:vAlign w:val="center"/>
          </w:tcPr>
          <w:p w14:paraId="580C29AF" w14:textId="77777777" w:rsidR="00B14D53" w:rsidRDefault="00000000">
            <w:pPr>
              <w:autoSpaceDE w:val="0"/>
              <w:autoSpaceDN w:val="0"/>
              <w:adjustRightInd w:val="0"/>
              <w:jc w:val="center"/>
              <w:rPr>
                <w:rFonts w:eastAsiaTheme="minorEastAsia"/>
                <w:kern w:val="0"/>
                <w:szCs w:val="21"/>
                <w:lang w:val="zh-CN"/>
              </w:rPr>
            </w:pPr>
            <w:r>
              <w:rPr>
                <w:rFonts w:eastAsiaTheme="minorEastAsia"/>
                <w:kern w:val="0"/>
                <w:szCs w:val="21"/>
                <w:lang w:val="zh-CN"/>
              </w:rPr>
              <w:t>7</w:t>
            </w:r>
          </w:p>
        </w:tc>
        <w:tc>
          <w:tcPr>
            <w:tcW w:w="629" w:type="pct"/>
            <w:tcBorders>
              <w:top w:val="single" w:sz="6" w:space="0" w:color="auto"/>
              <w:left w:val="single" w:sz="6" w:space="0" w:color="auto"/>
              <w:bottom w:val="single" w:sz="12" w:space="0" w:color="auto"/>
              <w:right w:val="single" w:sz="6" w:space="0" w:color="auto"/>
            </w:tcBorders>
            <w:vAlign w:val="center"/>
          </w:tcPr>
          <w:p w14:paraId="65A7FC9B" w14:textId="77777777" w:rsidR="00B14D53" w:rsidRDefault="00000000">
            <w:pPr>
              <w:jc w:val="center"/>
              <w:rPr>
                <w:rFonts w:eastAsiaTheme="minorEastAsia"/>
                <w:szCs w:val="21"/>
              </w:rPr>
            </w:pPr>
            <w:r>
              <w:rPr>
                <w:rFonts w:eastAsiaTheme="minorEastAsia"/>
                <w:szCs w:val="21"/>
              </w:rPr>
              <w:t>14</w:t>
            </w:r>
          </w:p>
        </w:tc>
        <w:tc>
          <w:tcPr>
            <w:tcW w:w="562" w:type="pct"/>
            <w:tcBorders>
              <w:top w:val="single" w:sz="6" w:space="0" w:color="auto"/>
              <w:left w:val="single" w:sz="6" w:space="0" w:color="auto"/>
              <w:bottom w:val="single" w:sz="12" w:space="0" w:color="auto"/>
              <w:right w:val="single" w:sz="6" w:space="0" w:color="auto"/>
            </w:tcBorders>
            <w:vAlign w:val="center"/>
          </w:tcPr>
          <w:p w14:paraId="7892C4EF" w14:textId="77777777" w:rsidR="00B14D53" w:rsidRDefault="00000000">
            <w:pPr>
              <w:widowControl/>
              <w:jc w:val="center"/>
              <w:rPr>
                <w:rFonts w:eastAsiaTheme="minorEastAsia"/>
                <w:kern w:val="0"/>
                <w:szCs w:val="21"/>
              </w:rPr>
            </w:pPr>
            <w:r>
              <w:rPr>
                <w:rFonts w:eastAsiaTheme="minorEastAsia"/>
                <w:kern w:val="0"/>
                <w:szCs w:val="21"/>
              </w:rPr>
              <w:t>21</w:t>
            </w:r>
          </w:p>
        </w:tc>
        <w:tc>
          <w:tcPr>
            <w:tcW w:w="562" w:type="pct"/>
            <w:tcBorders>
              <w:top w:val="single" w:sz="6" w:space="0" w:color="auto"/>
              <w:left w:val="single" w:sz="6" w:space="0" w:color="auto"/>
              <w:bottom w:val="single" w:sz="12" w:space="0" w:color="auto"/>
              <w:right w:val="single" w:sz="6" w:space="0" w:color="auto"/>
            </w:tcBorders>
            <w:vAlign w:val="center"/>
          </w:tcPr>
          <w:p w14:paraId="319A03FB" w14:textId="77777777" w:rsidR="00B14D53" w:rsidRDefault="00000000">
            <w:pPr>
              <w:jc w:val="center"/>
              <w:rPr>
                <w:rFonts w:eastAsiaTheme="minorEastAsia"/>
                <w:szCs w:val="21"/>
              </w:rPr>
            </w:pPr>
            <w:r>
              <w:rPr>
                <w:rFonts w:eastAsiaTheme="minorEastAsia"/>
                <w:szCs w:val="21"/>
              </w:rPr>
              <w:t>28</w:t>
            </w:r>
          </w:p>
        </w:tc>
        <w:tc>
          <w:tcPr>
            <w:tcW w:w="562" w:type="pct"/>
            <w:tcBorders>
              <w:top w:val="single" w:sz="6" w:space="0" w:color="auto"/>
              <w:left w:val="single" w:sz="6" w:space="0" w:color="auto"/>
              <w:bottom w:val="single" w:sz="12" w:space="0" w:color="auto"/>
              <w:right w:val="single" w:sz="6" w:space="0" w:color="auto"/>
            </w:tcBorders>
            <w:vAlign w:val="center"/>
          </w:tcPr>
          <w:p w14:paraId="7C977119" w14:textId="77777777" w:rsidR="00B14D53" w:rsidRDefault="00000000">
            <w:pPr>
              <w:jc w:val="center"/>
              <w:rPr>
                <w:rFonts w:eastAsiaTheme="minorEastAsia"/>
                <w:szCs w:val="21"/>
              </w:rPr>
            </w:pPr>
            <w:r>
              <w:rPr>
                <w:rFonts w:eastAsiaTheme="minorEastAsia"/>
                <w:szCs w:val="21"/>
              </w:rPr>
              <w:t>35</w:t>
            </w:r>
          </w:p>
        </w:tc>
        <w:tc>
          <w:tcPr>
            <w:tcW w:w="562" w:type="pct"/>
            <w:tcBorders>
              <w:top w:val="single" w:sz="6" w:space="0" w:color="auto"/>
              <w:left w:val="single" w:sz="6" w:space="0" w:color="auto"/>
              <w:bottom w:val="single" w:sz="12" w:space="0" w:color="auto"/>
              <w:right w:val="single" w:sz="6" w:space="0" w:color="auto"/>
            </w:tcBorders>
            <w:vAlign w:val="center"/>
          </w:tcPr>
          <w:p w14:paraId="58DABFC5" w14:textId="77777777" w:rsidR="00B14D53" w:rsidRDefault="00000000">
            <w:pPr>
              <w:jc w:val="center"/>
              <w:rPr>
                <w:rFonts w:eastAsiaTheme="minorEastAsia"/>
                <w:szCs w:val="21"/>
              </w:rPr>
            </w:pPr>
            <w:r>
              <w:rPr>
                <w:rFonts w:eastAsiaTheme="minorEastAsia"/>
                <w:szCs w:val="21"/>
              </w:rPr>
              <w:t>42</w:t>
            </w:r>
          </w:p>
        </w:tc>
        <w:tc>
          <w:tcPr>
            <w:tcW w:w="561" w:type="pct"/>
            <w:tcBorders>
              <w:top w:val="single" w:sz="6" w:space="0" w:color="auto"/>
              <w:left w:val="single" w:sz="6" w:space="0" w:color="auto"/>
              <w:bottom w:val="single" w:sz="12" w:space="0" w:color="auto"/>
              <w:right w:val="nil"/>
            </w:tcBorders>
            <w:vAlign w:val="center"/>
          </w:tcPr>
          <w:p w14:paraId="5AFBD3CA" w14:textId="77777777" w:rsidR="00B14D53" w:rsidRDefault="00000000">
            <w:pPr>
              <w:jc w:val="center"/>
              <w:rPr>
                <w:rFonts w:eastAsiaTheme="minorEastAsia"/>
                <w:szCs w:val="21"/>
              </w:rPr>
            </w:pPr>
            <w:r>
              <w:rPr>
                <w:rFonts w:eastAsiaTheme="minorEastAsia"/>
                <w:szCs w:val="21"/>
              </w:rPr>
              <w:t>49</w:t>
            </w:r>
          </w:p>
        </w:tc>
      </w:tr>
    </w:tbl>
    <w:p w14:paraId="276EEF2A"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③矿化度</w:t>
      </w:r>
    </w:p>
    <w:p w14:paraId="65D9F6AC" w14:textId="77777777" w:rsidR="00B14D53" w:rsidRDefault="00000000">
      <w:pPr>
        <w:spacing w:line="360" w:lineRule="auto"/>
        <w:rPr>
          <w:rFonts w:eastAsiaTheme="minorEastAsia"/>
          <w:sz w:val="24"/>
        </w:rPr>
      </w:pPr>
      <w:r>
        <w:rPr>
          <w:rFonts w:eastAsiaTheme="minorEastAsia"/>
          <w:sz w:val="24"/>
        </w:rPr>
        <w:t xml:space="preserve">    </w:t>
      </w:r>
      <w:r>
        <w:rPr>
          <w:rFonts w:eastAsiaTheme="minorEastAsia" w:hAnsiTheme="minorEastAsia"/>
          <w:sz w:val="24"/>
        </w:rPr>
        <w:t>按矿化度（</w:t>
      </w:r>
      <w:r>
        <w:rPr>
          <w:rFonts w:eastAsiaTheme="minorEastAsia"/>
          <w:sz w:val="24"/>
        </w:rPr>
        <w:t>M</w:t>
      </w:r>
      <w:r>
        <w:rPr>
          <w:rFonts w:eastAsiaTheme="minorEastAsia" w:hAnsiTheme="minorEastAsia"/>
          <w:sz w:val="24"/>
        </w:rPr>
        <w:t>）的大小划分为</w:t>
      </w:r>
      <w:r>
        <w:rPr>
          <w:rFonts w:eastAsiaTheme="minorEastAsia"/>
          <w:sz w:val="24"/>
        </w:rPr>
        <w:t>4</w:t>
      </w:r>
      <w:r>
        <w:rPr>
          <w:rFonts w:eastAsiaTheme="minorEastAsia" w:hAnsiTheme="minorEastAsia"/>
          <w:sz w:val="24"/>
        </w:rPr>
        <w:t>组。</w:t>
      </w:r>
    </w:p>
    <w:p w14:paraId="75D90B35" w14:textId="77777777" w:rsidR="00B14D53" w:rsidRDefault="00000000">
      <w:pPr>
        <w:spacing w:line="360" w:lineRule="auto"/>
        <w:rPr>
          <w:rFonts w:eastAsiaTheme="minorEastAsia"/>
          <w:sz w:val="24"/>
        </w:rPr>
      </w:pPr>
      <w:r>
        <w:rPr>
          <w:rFonts w:eastAsiaTheme="minorEastAsia"/>
          <w:sz w:val="24"/>
        </w:rPr>
        <w:t xml:space="preserve">    A</w:t>
      </w:r>
      <w:r>
        <w:rPr>
          <w:rFonts w:eastAsiaTheme="minorEastAsia" w:hAnsiTheme="minorEastAsia"/>
          <w:sz w:val="24"/>
        </w:rPr>
        <w:t>组</w:t>
      </w:r>
      <w:r>
        <w:rPr>
          <w:rFonts w:eastAsiaTheme="minorEastAsia"/>
          <w:sz w:val="24"/>
        </w:rPr>
        <w:t>——M≤1.5g/L</w:t>
      </w:r>
      <w:r>
        <w:rPr>
          <w:rFonts w:eastAsiaTheme="minorEastAsia" w:hAnsiTheme="minorEastAsia"/>
          <w:sz w:val="24"/>
        </w:rPr>
        <w:t>；</w:t>
      </w:r>
      <w:r>
        <w:rPr>
          <w:rFonts w:eastAsiaTheme="minorEastAsia"/>
          <w:sz w:val="24"/>
        </w:rPr>
        <w:t>B</w:t>
      </w:r>
      <w:r>
        <w:rPr>
          <w:rFonts w:eastAsiaTheme="minorEastAsia" w:hAnsiTheme="minorEastAsia"/>
          <w:sz w:val="24"/>
        </w:rPr>
        <w:t>组</w:t>
      </w:r>
      <w:r>
        <w:rPr>
          <w:rFonts w:eastAsiaTheme="minorEastAsia"/>
          <w:sz w:val="24"/>
        </w:rPr>
        <w:t>——1.5</w:t>
      </w:r>
      <w:r>
        <w:rPr>
          <w:rFonts w:eastAsiaTheme="minorEastAsia" w:hAnsiTheme="minorEastAsia"/>
          <w:sz w:val="24"/>
        </w:rPr>
        <w:t>＜</w:t>
      </w:r>
      <w:r>
        <w:rPr>
          <w:rFonts w:eastAsiaTheme="minorEastAsia"/>
          <w:sz w:val="24"/>
        </w:rPr>
        <w:t>M≤10g/L</w:t>
      </w:r>
      <w:r>
        <w:rPr>
          <w:rFonts w:eastAsiaTheme="minorEastAsia" w:hAnsiTheme="minorEastAsia"/>
          <w:sz w:val="24"/>
        </w:rPr>
        <w:t>；</w:t>
      </w:r>
    </w:p>
    <w:p w14:paraId="228FF195" w14:textId="77777777" w:rsidR="00B14D53" w:rsidRDefault="00000000">
      <w:pPr>
        <w:spacing w:line="360" w:lineRule="auto"/>
        <w:rPr>
          <w:rFonts w:eastAsiaTheme="minorEastAsia"/>
          <w:sz w:val="24"/>
        </w:rPr>
      </w:pPr>
      <w:r>
        <w:rPr>
          <w:rFonts w:eastAsiaTheme="minorEastAsia"/>
          <w:sz w:val="24"/>
        </w:rPr>
        <w:t xml:space="preserve">    C</w:t>
      </w:r>
      <w:r>
        <w:rPr>
          <w:rFonts w:eastAsiaTheme="minorEastAsia" w:hAnsiTheme="minorEastAsia"/>
          <w:sz w:val="24"/>
        </w:rPr>
        <w:t>组</w:t>
      </w:r>
      <w:r>
        <w:rPr>
          <w:rFonts w:eastAsiaTheme="minorEastAsia"/>
          <w:sz w:val="24"/>
        </w:rPr>
        <w:t>——10</w:t>
      </w:r>
      <w:r>
        <w:rPr>
          <w:rFonts w:eastAsiaTheme="minorEastAsia" w:hAnsiTheme="minorEastAsia"/>
          <w:sz w:val="24"/>
        </w:rPr>
        <w:t>＜</w:t>
      </w:r>
      <w:r>
        <w:rPr>
          <w:rFonts w:eastAsiaTheme="minorEastAsia"/>
          <w:sz w:val="24"/>
        </w:rPr>
        <w:t>M≤40g/L</w:t>
      </w:r>
      <w:r>
        <w:rPr>
          <w:rFonts w:eastAsiaTheme="minorEastAsia" w:hAnsiTheme="minorEastAsia"/>
          <w:sz w:val="24"/>
        </w:rPr>
        <w:t>；</w:t>
      </w:r>
      <w:r>
        <w:rPr>
          <w:rFonts w:eastAsiaTheme="minorEastAsia"/>
          <w:sz w:val="24"/>
        </w:rPr>
        <w:t>D</w:t>
      </w:r>
      <w:r>
        <w:rPr>
          <w:rFonts w:eastAsiaTheme="minorEastAsia" w:hAnsiTheme="minorEastAsia"/>
          <w:sz w:val="24"/>
        </w:rPr>
        <w:t>组</w:t>
      </w:r>
      <w:r>
        <w:rPr>
          <w:rFonts w:eastAsiaTheme="minorEastAsia"/>
          <w:sz w:val="24"/>
        </w:rPr>
        <w:t>——M</w:t>
      </w:r>
      <w:r>
        <w:rPr>
          <w:rFonts w:eastAsiaTheme="minorEastAsia" w:hAnsiTheme="minorEastAsia"/>
          <w:sz w:val="24"/>
        </w:rPr>
        <w:t>＞</w:t>
      </w:r>
      <w:r>
        <w:rPr>
          <w:rFonts w:eastAsiaTheme="minorEastAsia"/>
          <w:sz w:val="24"/>
        </w:rPr>
        <w:t>40g/L</w:t>
      </w:r>
    </w:p>
    <w:p w14:paraId="0733A864" w14:textId="77777777" w:rsidR="00B14D53" w:rsidRDefault="00000000">
      <w:pPr>
        <w:spacing w:line="360" w:lineRule="auto"/>
        <w:rPr>
          <w:rFonts w:eastAsiaTheme="minorEastAsia"/>
          <w:sz w:val="24"/>
        </w:rPr>
      </w:pPr>
      <w:r>
        <w:rPr>
          <w:rFonts w:eastAsiaTheme="minorEastAsia"/>
          <w:sz w:val="24"/>
        </w:rPr>
        <w:t xml:space="preserve">    </w:t>
      </w:r>
      <w:r>
        <w:rPr>
          <w:rFonts w:eastAsiaTheme="minorEastAsia" w:hAnsiTheme="minorEastAsia"/>
          <w:sz w:val="24"/>
        </w:rPr>
        <w:t>矿化度的计算采用《用主要阴离子含量计算水的矿化度》（高仁先</w:t>
      </w:r>
      <w:r>
        <w:rPr>
          <w:rFonts w:eastAsiaTheme="minorEastAsia"/>
          <w:sz w:val="24"/>
        </w:rPr>
        <w:t>.</w:t>
      </w:r>
      <w:r>
        <w:rPr>
          <w:rFonts w:eastAsiaTheme="minorEastAsia" w:hAnsiTheme="minorEastAsia"/>
          <w:sz w:val="24"/>
        </w:rPr>
        <w:t>山东省水利科学研究院），计算方法如下：</w:t>
      </w:r>
    </w:p>
    <w:p w14:paraId="63CFADD6" w14:textId="77777777" w:rsidR="00B14D53" w:rsidRDefault="00000000">
      <w:pPr>
        <w:spacing w:line="360" w:lineRule="auto"/>
        <w:rPr>
          <w:rFonts w:eastAsiaTheme="minorEastAsia"/>
          <w:sz w:val="24"/>
          <w:vertAlign w:val="subscript"/>
        </w:rPr>
      </w:pPr>
      <w:r>
        <w:rPr>
          <w:rFonts w:eastAsiaTheme="minorEastAsia"/>
          <w:sz w:val="24"/>
        </w:rPr>
        <w:t xml:space="preserve">    </w:t>
      </w:r>
      <w:r>
        <w:rPr>
          <w:rFonts w:eastAsiaTheme="minorEastAsia" w:hAnsiTheme="minorEastAsia"/>
          <w:sz w:val="24"/>
        </w:rPr>
        <w:t>矿化度（</w:t>
      </w:r>
      <w:r>
        <w:rPr>
          <w:rFonts w:eastAsiaTheme="minorEastAsia"/>
          <w:sz w:val="24"/>
        </w:rPr>
        <w:t>g/L</w:t>
      </w:r>
      <w:r>
        <w:rPr>
          <w:rFonts w:eastAsiaTheme="minorEastAsia" w:hAnsiTheme="minorEastAsia"/>
          <w:sz w:val="24"/>
        </w:rPr>
        <w:t>）</w:t>
      </w:r>
      <w:r>
        <w:rPr>
          <w:rFonts w:eastAsiaTheme="minorEastAsia"/>
          <w:sz w:val="24"/>
        </w:rPr>
        <w:t>=C</w:t>
      </w:r>
      <w:r>
        <w:rPr>
          <w:rFonts w:eastAsiaTheme="minorEastAsia" w:hAnsiTheme="minorEastAsia"/>
          <w:sz w:val="24"/>
        </w:rPr>
        <w:t>（</w:t>
      </w:r>
      <w:r>
        <w:rPr>
          <w:rFonts w:eastAsiaTheme="minorEastAsia"/>
          <w:sz w:val="24"/>
        </w:rPr>
        <w:t>∑A</w:t>
      </w:r>
      <w:r>
        <w:rPr>
          <w:rFonts w:eastAsiaTheme="minorEastAsia" w:hAnsiTheme="minorEastAsia"/>
          <w:sz w:val="24"/>
        </w:rPr>
        <w:t>）</w:t>
      </w:r>
      <w:r>
        <w:rPr>
          <w:rFonts w:eastAsiaTheme="minorEastAsia"/>
          <w:sz w:val="24"/>
        </w:rPr>
        <w:t>×M</w:t>
      </w:r>
      <w:r>
        <w:rPr>
          <w:rFonts w:eastAsiaTheme="minorEastAsia"/>
          <w:sz w:val="24"/>
          <w:vertAlign w:val="subscript"/>
        </w:rPr>
        <w:t>S</w:t>
      </w:r>
    </w:p>
    <w:p w14:paraId="314CDCB6" w14:textId="77777777" w:rsidR="00B14D53" w:rsidRDefault="00000000">
      <w:pPr>
        <w:spacing w:line="360" w:lineRule="auto"/>
        <w:rPr>
          <w:rFonts w:eastAsiaTheme="minorEastAsia"/>
          <w:sz w:val="24"/>
        </w:rPr>
      </w:pPr>
      <w:r>
        <w:rPr>
          <w:rFonts w:eastAsiaTheme="minorEastAsia"/>
          <w:sz w:val="24"/>
        </w:rPr>
        <w:t xml:space="preserve">    SB=</w:t>
      </w:r>
      <m:oMath>
        <m:f>
          <m:fPr>
            <m:ctrlPr>
              <w:rPr>
                <w:rFonts w:ascii="Cambria Math" w:eastAsiaTheme="minorEastAsia" w:hAnsi="Cambria Math"/>
                <w:sz w:val="24"/>
              </w:rPr>
            </m:ctrlPr>
          </m:fPr>
          <m:num>
            <m:r>
              <m:rPr>
                <m:sty m:val="p"/>
              </m:rPr>
              <w:rPr>
                <w:rFonts w:ascii="Cambria Math" w:eastAsiaTheme="minorEastAsia"/>
                <w:sz w:val="24"/>
              </w:rPr>
              <m:t>C</m:t>
            </m:r>
            <m:r>
              <m:rPr>
                <m:sty m:val="p"/>
              </m:rPr>
              <w:rPr>
                <w:rFonts w:eastAsiaTheme="minorEastAsia" w:hAnsi="Cambria Math"/>
                <w:sz w:val="24"/>
              </w:rPr>
              <m:t>（</m:t>
            </m:r>
            <m:f>
              <m:fPr>
                <m:type m:val="skw"/>
                <m:ctrlPr>
                  <w:rPr>
                    <w:rFonts w:ascii="Cambria Math" w:eastAsiaTheme="minorEastAsia" w:hAnsi="Cambria Math"/>
                    <w:sz w:val="24"/>
                  </w:rPr>
                </m:ctrlPr>
              </m:fPr>
              <m:num>
                <m:r>
                  <m:rPr>
                    <m:sty m:val="p"/>
                  </m:rPr>
                  <w:rPr>
                    <w:rFonts w:ascii="Cambria Math" w:eastAsiaTheme="minorEastAsia"/>
                    <w:sz w:val="24"/>
                  </w:rPr>
                  <m:t>1</m:t>
                </m:r>
              </m:num>
              <m:den>
                <m:r>
                  <m:rPr>
                    <m:sty m:val="p"/>
                  </m:rPr>
                  <w:rPr>
                    <w:rFonts w:ascii="Cambria Math" w:eastAsiaTheme="minorEastAsia"/>
                    <w:sz w:val="24"/>
                  </w:rPr>
                  <m:t>2</m:t>
                </m:r>
              </m:den>
            </m:f>
            <m:sSubSup>
              <m:sSubSupPr>
                <m:ctrlPr>
                  <w:rPr>
                    <w:rFonts w:ascii="Cambria Math" w:eastAsiaTheme="minorEastAsia" w:hAnsi="Cambria Math"/>
                    <w:sz w:val="24"/>
                  </w:rPr>
                </m:ctrlPr>
              </m:sSubSupPr>
              <m:e>
                <m:r>
                  <m:rPr>
                    <m:sty m:val="p"/>
                  </m:rPr>
                  <w:rPr>
                    <w:rFonts w:ascii="Cambria Math" w:eastAsiaTheme="minorEastAsia"/>
                    <w:sz w:val="24"/>
                  </w:rPr>
                  <m:t>SO</m:t>
                </m:r>
              </m:e>
              <m:sub>
                <m:r>
                  <m:rPr>
                    <m:sty m:val="p"/>
                  </m:rPr>
                  <w:rPr>
                    <w:rFonts w:ascii="Cambria Math" w:eastAsiaTheme="minorEastAsia"/>
                    <w:sz w:val="24"/>
                  </w:rPr>
                  <m:t>4</m:t>
                </m:r>
              </m:sub>
              <m:sup>
                <m:r>
                  <m:rPr>
                    <m:sty m:val="p"/>
                  </m:rPr>
                  <w:rPr>
                    <w:rFonts w:ascii="Cambria Math" w:eastAsiaTheme="minorEastAsia"/>
                    <w:sz w:val="24"/>
                  </w:rPr>
                  <m:t>2</m:t>
                </m:r>
                <m:r>
                  <m:rPr>
                    <m:sty m:val="p"/>
                  </m:rPr>
                  <w:rPr>
                    <w:rFonts w:eastAsiaTheme="minorEastAsia"/>
                    <w:sz w:val="24"/>
                  </w:rPr>
                  <m:t>-</m:t>
                </m:r>
              </m:sup>
            </m:sSubSup>
            <m:r>
              <m:rPr>
                <m:sty m:val="p"/>
              </m:rPr>
              <w:rPr>
                <w:rFonts w:eastAsiaTheme="minorEastAsia" w:hAnsi="Cambria Math"/>
                <w:sz w:val="24"/>
              </w:rPr>
              <m:t>）</m:t>
            </m:r>
          </m:num>
          <m:den>
            <m:r>
              <m:rPr>
                <m:sty m:val="p"/>
              </m:rPr>
              <w:rPr>
                <w:rFonts w:ascii="Cambria Math" w:eastAsiaTheme="minorEastAsia"/>
                <w:sz w:val="24"/>
              </w:rPr>
              <m:t>C(</m:t>
            </m:r>
            <m:r>
              <m:rPr>
                <m:sty m:val="p"/>
              </m:rPr>
              <w:rPr>
                <w:rFonts w:eastAsiaTheme="minorEastAsia"/>
                <w:sz w:val="24"/>
              </w:rPr>
              <m:t>∑</m:t>
            </m:r>
            <m:r>
              <m:rPr>
                <m:sty m:val="p"/>
              </m:rPr>
              <w:rPr>
                <w:rFonts w:ascii="Cambria Math" w:eastAsiaTheme="minorEastAsia"/>
                <w:sz w:val="24"/>
              </w:rPr>
              <m:t>A)</m:t>
            </m:r>
          </m:den>
        </m:f>
      </m:oMath>
      <w:r>
        <w:rPr>
          <w:rFonts w:eastAsiaTheme="minorEastAsia" w:hAnsiTheme="minorEastAsia"/>
          <w:sz w:val="24"/>
        </w:rPr>
        <w:t>或</w:t>
      </w:r>
      <m:oMath>
        <m:f>
          <m:fPr>
            <m:ctrlPr>
              <w:rPr>
                <w:rFonts w:ascii="Cambria Math" w:eastAsiaTheme="minorEastAsia" w:hAnsi="Cambria Math"/>
                <w:sz w:val="24"/>
              </w:rPr>
            </m:ctrlPr>
          </m:fPr>
          <m:num>
            <m:r>
              <m:rPr>
                <m:sty m:val="p"/>
              </m:rPr>
              <w:rPr>
                <w:rFonts w:ascii="Cambria Math" w:eastAsiaTheme="minorEastAsia"/>
                <w:sz w:val="24"/>
              </w:rPr>
              <m:t>C</m:t>
            </m:r>
            <m:d>
              <m:dPr>
                <m:ctrlPr>
                  <w:rPr>
                    <w:rFonts w:ascii="Cambria Math" w:eastAsiaTheme="minorEastAsia" w:hAnsi="Cambria Math"/>
                    <w:sz w:val="24"/>
                  </w:rPr>
                </m:ctrlPr>
              </m:dPr>
              <m:e>
                <m:r>
                  <m:rPr>
                    <m:sty m:val="p"/>
                  </m:rPr>
                  <w:rPr>
                    <w:rFonts w:eastAsiaTheme="minorEastAsia"/>
                    <w:sz w:val="24"/>
                  </w:rPr>
                  <m:t>∑</m:t>
                </m:r>
                <m:r>
                  <m:rPr>
                    <m:sty m:val="p"/>
                  </m:rPr>
                  <w:rPr>
                    <w:rFonts w:ascii="Cambria Math" w:eastAsiaTheme="minorEastAsia"/>
                    <w:sz w:val="24"/>
                  </w:rPr>
                  <m:t>H</m:t>
                </m:r>
              </m:e>
            </m:d>
            <m:r>
              <m:rPr>
                <m:sty m:val="p"/>
              </m:rPr>
              <w:rPr>
                <w:rFonts w:eastAsiaTheme="minorEastAsia"/>
                <w:sz w:val="24"/>
              </w:rPr>
              <m:t>-</m:t>
            </m:r>
            <m:r>
              <m:rPr>
                <m:sty m:val="p"/>
              </m:rPr>
              <w:rPr>
                <w:rFonts w:ascii="Cambria Math" w:eastAsiaTheme="minorEastAsia"/>
                <w:sz w:val="24"/>
              </w:rPr>
              <m:t>C(</m:t>
            </m:r>
            <m:sSup>
              <m:sSupPr>
                <m:ctrlPr>
                  <w:rPr>
                    <w:rFonts w:ascii="Cambria Math" w:eastAsiaTheme="minorEastAsia" w:hAnsi="Cambria Math"/>
                    <w:sz w:val="24"/>
                  </w:rPr>
                </m:ctrlPr>
              </m:sSupPr>
              <m:e>
                <m:r>
                  <m:rPr>
                    <m:sty m:val="p"/>
                  </m:rPr>
                  <w:rPr>
                    <w:rFonts w:ascii="Cambria Math" w:eastAsiaTheme="minorEastAsia"/>
                    <w:sz w:val="24"/>
                  </w:rPr>
                  <m:t>Cl</m:t>
                </m:r>
              </m:e>
              <m:sup>
                <m:r>
                  <m:rPr>
                    <m:sty m:val="p"/>
                  </m:rPr>
                  <w:rPr>
                    <w:rFonts w:eastAsiaTheme="minorEastAsia"/>
                    <w:sz w:val="24"/>
                  </w:rPr>
                  <m:t>-</m:t>
                </m:r>
              </m:sup>
            </m:sSup>
            <m:r>
              <m:rPr>
                <m:sty m:val="p"/>
              </m:rPr>
              <w:rPr>
                <w:rFonts w:ascii="Cambria Math" w:eastAsiaTheme="minorEastAsia"/>
                <w:sz w:val="24"/>
              </w:rPr>
              <m:t>)</m:t>
            </m:r>
          </m:num>
          <m:den>
            <m:r>
              <m:rPr>
                <m:sty m:val="p"/>
              </m:rPr>
              <w:rPr>
                <w:rFonts w:ascii="Cambria Math" w:eastAsiaTheme="minorEastAsia"/>
                <w:sz w:val="24"/>
              </w:rPr>
              <m:t>C(</m:t>
            </m:r>
            <m:r>
              <m:rPr>
                <m:sty m:val="p"/>
              </m:rPr>
              <w:rPr>
                <w:rFonts w:eastAsiaTheme="minorEastAsia"/>
                <w:sz w:val="24"/>
              </w:rPr>
              <m:t>∑</m:t>
            </m:r>
            <m:r>
              <m:rPr>
                <m:sty m:val="p"/>
              </m:rPr>
              <w:rPr>
                <w:rFonts w:ascii="Cambria Math" w:eastAsiaTheme="minorEastAsia"/>
                <w:sz w:val="24"/>
              </w:rPr>
              <m:t>A)</m:t>
            </m:r>
          </m:den>
        </m:f>
      </m:oMath>
    </w:p>
    <w:p w14:paraId="6CBBF028" w14:textId="77777777" w:rsidR="00B14D53" w:rsidRDefault="00000000">
      <w:pPr>
        <w:spacing w:line="360" w:lineRule="auto"/>
        <w:rPr>
          <w:rFonts w:eastAsiaTheme="minorEastAsia"/>
          <w:sz w:val="24"/>
        </w:rPr>
      </w:pPr>
      <w:r>
        <w:rPr>
          <w:rFonts w:eastAsiaTheme="minorEastAsia"/>
          <w:sz w:val="24"/>
        </w:rPr>
        <w:t xml:space="preserve">    HCB=</w:t>
      </w:r>
      <m:oMath>
        <m:f>
          <m:fPr>
            <m:ctrlPr>
              <w:rPr>
                <w:rFonts w:ascii="Cambria Math" w:eastAsiaTheme="minorEastAsia" w:hAnsi="Cambria Math"/>
                <w:sz w:val="24"/>
              </w:rPr>
            </m:ctrlPr>
          </m:fPr>
          <m:num>
            <m:r>
              <m:rPr>
                <m:sty m:val="p"/>
              </m:rPr>
              <w:rPr>
                <w:rFonts w:ascii="Cambria Math" w:eastAsiaTheme="minorEastAsia"/>
                <w:sz w:val="24"/>
              </w:rPr>
              <m:t>C(</m:t>
            </m:r>
            <m:sSubSup>
              <m:sSubSupPr>
                <m:ctrlPr>
                  <w:rPr>
                    <w:rFonts w:ascii="Cambria Math" w:eastAsiaTheme="minorEastAsia" w:hAnsi="Cambria Math"/>
                    <w:sz w:val="24"/>
                  </w:rPr>
                </m:ctrlPr>
              </m:sSubSupPr>
              <m:e>
                <m:r>
                  <m:rPr>
                    <m:sty m:val="p"/>
                  </m:rPr>
                  <w:rPr>
                    <w:rFonts w:ascii="Cambria Math" w:eastAsiaTheme="minorEastAsia"/>
                    <w:sz w:val="24"/>
                  </w:rPr>
                  <m:t>HCO</m:t>
                </m:r>
              </m:e>
              <m:sub>
                <m:r>
                  <m:rPr>
                    <m:sty m:val="p"/>
                  </m:rPr>
                  <w:rPr>
                    <w:rFonts w:ascii="Cambria Math" w:eastAsiaTheme="minorEastAsia"/>
                    <w:sz w:val="24"/>
                  </w:rPr>
                  <m:t>3</m:t>
                </m:r>
              </m:sub>
              <m:sup>
                <m:r>
                  <m:rPr>
                    <m:sty m:val="p"/>
                  </m:rPr>
                  <w:rPr>
                    <w:rFonts w:eastAsiaTheme="minorEastAsia"/>
                    <w:sz w:val="24"/>
                  </w:rPr>
                  <m:t>-</m:t>
                </m:r>
              </m:sup>
            </m:sSubSup>
            <m:r>
              <m:rPr>
                <m:sty m:val="p"/>
              </m:rPr>
              <w:rPr>
                <w:rFonts w:ascii="Cambria Math" w:eastAsiaTheme="minorEastAsia"/>
                <w:sz w:val="24"/>
              </w:rPr>
              <m:t>)</m:t>
            </m:r>
          </m:num>
          <m:den>
            <m:r>
              <m:rPr>
                <m:sty m:val="p"/>
              </m:rPr>
              <w:rPr>
                <w:rFonts w:ascii="Cambria Math" w:eastAsiaTheme="minorEastAsia"/>
                <w:sz w:val="24"/>
              </w:rPr>
              <m:t>C</m:t>
            </m:r>
            <m:d>
              <m:dPr>
                <m:ctrlPr>
                  <w:rPr>
                    <w:rFonts w:ascii="Cambria Math" w:eastAsiaTheme="minorEastAsia" w:hAnsi="Cambria Math"/>
                    <w:sz w:val="24"/>
                  </w:rPr>
                </m:ctrlPr>
              </m:dPr>
              <m:e>
                <m:f>
                  <m:fPr>
                    <m:type m:val="skw"/>
                    <m:ctrlPr>
                      <w:rPr>
                        <w:rFonts w:ascii="Cambria Math" w:eastAsiaTheme="minorEastAsia" w:hAnsi="Cambria Math"/>
                        <w:sz w:val="24"/>
                      </w:rPr>
                    </m:ctrlPr>
                  </m:fPr>
                  <m:num>
                    <m:r>
                      <m:rPr>
                        <m:sty m:val="p"/>
                      </m:rPr>
                      <w:rPr>
                        <w:rFonts w:ascii="Cambria Math" w:eastAsiaTheme="minorEastAsia"/>
                        <w:sz w:val="24"/>
                      </w:rPr>
                      <m:t>1</m:t>
                    </m:r>
                  </m:num>
                  <m:den>
                    <m:r>
                      <m:rPr>
                        <m:sty m:val="p"/>
                      </m:rPr>
                      <w:rPr>
                        <w:rFonts w:ascii="Cambria Math" w:eastAsiaTheme="minorEastAsia"/>
                        <w:sz w:val="24"/>
                      </w:rPr>
                      <m:t>2</m:t>
                    </m:r>
                  </m:den>
                </m:f>
                <m:sSubSup>
                  <m:sSubSupPr>
                    <m:ctrlPr>
                      <w:rPr>
                        <w:rFonts w:ascii="Cambria Math" w:eastAsiaTheme="minorEastAsia" w:hAnsi="Cambria Math"/>
                        <w:sz w:val="24"/>
                      </w:rPr>
                    </m:ctrlPr>
                  </m:sSubSupPr>
                  <m:e>
                    <m:r>
                      <m:rPr>
                        <m:sty m:val="p"/>
                      </m:rPr>
                      <w:rPr>
                        <w:rFonts w:ascii="Cambria Math" w:eastAsiaTheme="minorEastAsia"/>
                        <w:sz w:val="24"/>
                      </w:rPr>
                      <m:t>CO</m:t>
                    </m:r>
                  </m:e>
                  <m:sub>
                    <m:r>
                      <m:rPr>
                        <m:sty m:val="p"/>
                      </m:rPr>
                      <w:rPr>
                        <w:rFonts w:ascii="Cambria Math" w:eastAsiaTheme="minorEastAsia"/>
                        <w:sz w:val="24"/>
                      </w:rPr>
                      <m:t>3</m:t>
                    </m:r>
                  </m:sub>
                  <m:sup>
                    <m:r>
                      <m:rPr>
                        <m:sty m:val="p"/>
                      </m:rPr>
                      <w:rPr>
                        <w:rFonts w:ascii="Cambria Math" w:eastAsiaTheme="minorEastAsia"/>
                        <w:sz w:val="24"/>
                      </w:rPr>
                      <m:t>2</m:t>
                    </m:r>
                    <m:r>
                      <m:rPr>
                        <m:sty m:val="p"/>
                      </m:rPr>
                      <w:rPr>
                        <w:rFonts w:eastAsiaTheme="minorEastAsia"/>
                        <w:sz w:val="24"/>
                      </w:rPr>
                      <m:t>-</m:t>
                    </m:r>
                  </m:sup>
                </m:sSubSup>
              </m:e>
            </m:d>
            <m:r>
              <m:rPr>
                <m:sty m:val="p"/>
              </m:rPr>
              <w:rPr>
                <w:rFonts w:ascii="Cambria Math" w:eastAsiaTheme="minorEastAsia"/>
                <w:sz w:val="24"/>
              </w:rPr>
              <m:t>+C(</m:t>
            </m:r>
            <m:sSup>
              <m:sSupPr>
                <m:ctrlPr>
                  <w:rPr>
                    <w:rFonts w:ascii="Cambria Math" w:eastAsiaTheme="minorEastAsia" w:hAnsi="Cambria Math"/>
                    <w:sz w:val="24"/>
                  </w:rPr>
                </m:ctrlPr>
              </m:sSupPr>
              <m:e>
                <m:r>
                  <m:rPr>
                    <m:sty m:val="p"/>
                  </m:rPr>
                  <w:rPr>
                    <w:rFonts w:ascii="Cambria Math" w:eastAsiaTheme="minorEastAsia"/>
                    <w:sz w:val="24"/>
                  </w:rPr>
                  <m:t>Cl</m:t>
                </m:r>
              </m:e>
              <m:sup>
                <m:r>
                  <m:rPr>
                    <m:sty m:val="p"/>
                  </m:rPr>
                  <w:rPr>
                    <w:rFonts w:eastAsiaTheme="minorEastAsia"/>
                    <w:sz w:val="24"/>
                  </w:rPr>
                  <m:t>-</m:t>
                </m:r>
              </m:sup>
            </m:sSup>
            <m:r>
              <m:rPr>
                <m:sty m:val="p"/>
              </m:rPr>
              <w:rPr>
                <w:rFonts w:ascii="Cambria Math" w:eastAsiaTheme="minorEastAsia"/>
                <w:sz w:val="24"/>
              </w:rPr>
              <m:t>)</m:t>
            </m:r>
          </m:den>
        </m:f>
      </m:oMath>
    </w:p>
    <w:p w14:paraId="00F917A9" w14:textId="77777777" w:rsidR="00B14D53" w:rsidRDefault="00000000">
      <w:pPr>
        <w:spacing w:line="360" w:lineRule="auto"/>
        <w:rPr>
          <w:rFonts w:eastAsiaTheme="minorEastAsia"/>
          <w:sz w:val="24"/>
        </w:rPr>
      </w:pPr>
      <w:r>
        <w:rPr>
          <w:rFonts w:eastAsiaTheme="minorEastAsia"/>
          <w:sz w:val="24"/>
        </w:rPr>
        <w:t xml:space="preserve">    </w:t>
      </w:r>
      <w:r>
        <w:rPr>
          <w:rFonts w:eastAsiaTheme="minorEastAsia" w:hAnsiTheme="minorEastAsia"/>
          <w:sz w:val="24"/>
        </w:rPr>
        <w:t>注：</w:t>
      </w:r>
      <w:r>
        <w:rPr>
          <w:rFonts w:eastAsiaTheme="minorEastAsia"/>
          <w:sz w:val="24"/>
        </w:rPr>
        <w:t>Ms</w:t>
      </w:r>
      <w:r>
        <w:rPr>
          <w:rFonts w:eastAsiaTheme="minorEastAsia" w:hAnsiTheme="minorEastAsia"/>
          <w:sz w:val="24"/>
        </w:rPr>
        <w:t>是在计算出</w:t>
      </w:r>
      <w:r>
        <w:rPr>
          <w:rFonts w:eastAsiaTheme="minorEastAsia"/>
          <w:sz w:val="24"/>
        </w:rPr>
        <w:t>SB</w:t>
      </w:r>
      <w:r>
        <w:rPr>
          <w:rFonts w:eastAsiaTheme="minorEastAsia" w:hAnsiTheme="minorEastAsia"/>
          <w:sz w:val="24"/>
        </w:rPr>
        <w:t>值和</w:t>
      </w:r>
      <w:r>
        <w:rPr>
          <w:rFonts w:eastAsiaTheme="minorEastAsia"/>
          <w:sz w:val="24"/>
        </w:rPr>
        <w:t>HCB</w:t>
      </w:r>
      <w:r>
        <w:rPr>
          <w:rFonts w:eastAsiaTheme="minorEastAsia" w:hAnsiTheme="minorEastAsia"/>
          <w:sz w:val="24"/>
        </w:rPr>
        <w:t>值后</w:t>
      </w:r>
      <w:r>
        <w:rPr>
          <w:rFonts w:eastAsiaTheme="minorEastAsia" w:hAnsiTheme="minorEastAsia" w:hint="eastAsia"/>
          <w:sz w:val="24"/>
        </w:rPr>
        <w:t>在</w:t>
      </w:r>
      <w:r>
        <w:rPr>
          <w:rFonts w:eastAsiaTheme="minorEastAsia" w:hAnsiTheme="minorEastAsia"/>
          <w:sz w:val="24"/>
        </w:rPr>
        <w:t>下表中查得。</w:t>
      </w:r>
    </w:p>
    <w:p w14:paraId="6F0D5BE0" w14:textId="77777777" w:rsidR="00B14D53" w:rsidRDefault="00000000">
      <w:pPr>
        <w:jc w:val="center"/>
        <w:rPr>
          <w:b/>
          <w:bCs/>
        </w:rPr>
      </w:pPr>
      <w:r>
        <w:rPr>
          <w:rFonts w:hint="eastAsia"/>
          <w:b/>
          <w:bCs/>
        </w:rPr>
        <w:t>表</w:t>
      </w:r>
      <w:r>
        <w:rPr>
          <w:rFonts w:hint="eastAsia"/>
          <w:b/>
          <w:bCs/>
        </w:rPr>
        <w:t>4-2-10 SB</w:t>
      </w:r>
      <w:r>
        <w:rPr>
          <w:rFonts w:hint="eastAsia"/>
          <w:b/>
          <w:bCs/>
        </w:rPr>
        <w:t>、</w:t>
      </w:r>
      <w:r>
        <w:rPr>
          <w:rFonts w:hint="eastAsia"/>
          <w:b/>
          <w:bCs/>
        </w:rPr>
        <w:t>HCB</w:t>
      </w:r>
      <w:r>
        <w:rPr>
          <w:rFonts w:hint="eastAsia"/>
          <w:b/>
          <w:bCs/>
        </w:rPr>
        <w:t>、</w:t>
      </w:r>
      <w:r>
        <w:rPr>
          <w:rFonts w:hint="eastAsia"/>
          <w:b/>
          <w:bCs/>
        </w:rPr>
        <w:t>Ms</w:t>
      </w:r>
      <w:r>
        <w:rPr>
          <w:rFonts w:hint="eastAsia"/>
          <w:b/>
          <w:bCs/>
        </w:rPr>
        <w:t>关系表</w:t>
      </w:r>
    </w:p>
    <w:p w14:paraId="6E8A8407" w14:textId="77777777" w:rsidR="00B14D53" w:rsidRDefault="00000000">
      <w:pPr>
        <w:jc w:val="center"/>
        <w:rPr>
          <w:rFonts w:eastAsiaTheme="minorEastAsia"/>
          <w:sz w:val="24"/>
        </w:rPr>
      </w:pPr>
      <w:r>
        <w:rPr>
          <w:rFonts w:eastAsiaTheme="minorEastAsia"/>
          <w:noProof/>
        </w:rPr>
        <w:drawing>
          <wp:inline distT="0" distB="0" distL="0" distR="0" wp14:anchorId="343C64B7" wp14:editId="0BF0912F">
            <wp:extent cx="5189220" cy="2927985"/>
            <wp:effectExtent l="1905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53" cstate="print"/>
                    <a:srcRect/>
                    <a:stretch>
                      <a:fillRect/>
                    </a:stretch>
                  </pic:blipFill>
                  <pic:spPr>
                    <a:xfrm>
                      <a:off x="0" y="0"/>
                      <a:ext cx="5194045" cy="2931117"/>
                    </a:xfrm>
                    <a:prstGeom prst="rect">
                      <a:avLst/>
                    </a:prstGeom>
                    <a:noFill/>
                    <a:ln w="9525">
                      <a:noFill/>
                      <a:miter lim="800000"/>
                      <a:headEnd/>
                      <a:tailEnd/>
                    </a:ln>
                  </pic:spPr>
                </pic:pic>
              </a:graphicData>
            </a:graphic>
          </wp:inline>
        </w:drawing>
      </w:r>
    </w:p>
    <w:p w14:paraId="52F7FC40"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第三步，将地下水化学类型用阿拉伯数字（</w:t>
      </w:r>
      <w:r>
        <w:rPr>
          <w:rFonts w:eastAsiaTheme="minorEastAsia"/>
          <w:sz w:val="24"/>
        </w:rPr>
        <w:t>1</w:t>
      </w:r>
      <w:r>
        <w:rPr>
          <w:rFonts w:eastAsiaTheme="minorEastAsia" w:hAnsiTheme="minorEastAsia"/>
          <w:sz w:val="24"/>
        </w:rPr>
        <w:t>～</w:t>
      </w:r>
      <w:r>
        <w:rPr>
          <w:rFonts w:eastAsiaTheme="minorEastAsia"/>
          <w:sz w:val="24"/>
        </w:rPr>
        <w:t>49</w:t>
      </w:r>
      <w:r>
        <w:rPr>
          <w:rFonts w:eastAsiaTheme="minorEastAsia" w:hAnsiTheme="minorEastAsia"/>
          <w:sz w:val="24"/>
        </w:rPr>
        <w:t>）与字母（</w:t>
      </w:r>
      <w:r>
        <w:rPr>
          <w:rFonts w:eastAsiaTheme="minorEastAsia"/>
          <w:sz w:val="24"/>
        </w:rPr>
        <w:t>A</w:t>
      </w:r>
      <w:r>
        <w:rPr>
          <w:rFonts w:eastAsiaTheme="minorEastAsia" w:hAnsiTheme="minorEastAsia"/>
          <w:sz w:val="24"/>
        </w:rPr>
        <w:t>、</w:t>
      </w:r>
      <w:r>
        <w:rPr>
          <w:rFonts w:eastAsiaTheme="minorEastAsia"/>
          <w:sz w:val="24"/>
        </w:rPr>
        <w:t>B</w:t>
      </w:r>
      <w:r>
        <w:rPr>
          <w:rFonts w:eastAsiaTheme="minorEastAsia" w:hAnsiTheme="minorEastAsia"/>
          <w:sz w:val="24"/>
        </w:rPr>
        <w:t>、</w:t>
      </w:r>
      <w:r>
        <w:rPr>
          <w:rFonts w:eastAsiaTheme="minorEastAsia"/>
          <w:sz w:val="24"/>
        </w:rPr>
        <w:t>C</w:t>
      </w:r>
      <w:r>
        <w:rPr>
          <w:rFonts w:eastAsiaTheme="minorEastAsia" w:hAnsiTheme="minorEastAsia"/>
          <w:sz w:val="24"/>
        </w:rPr>
        <w:t>或</w:t>
      </w:r>
      <w:r>
        <w:rPr>
          <w:rFonts w:eastAsiaTheme="minorEastAsia"/>
          <w:sz w:val="24"/>
        </w:rPr>
        <w:t>D</w:t>
      </w:r>
      <w:r>
        <w:rPr>
          <w:rFonts w:eastAsiaTheme="minorEastAsia" w:hAnsiTheme="minorEastAsia"/>
          <w:sz w:val="24"/>
        </w:rPr>
        <w:t>）组合在一起的表达式表示。</w:t>
      </w:r>
    </w:p>
    <w:p w14:paraId="0E94F8E5"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w:t>
      </w:r>
      <w:r>
        <w:rPr>
          <w:rFonts w:eastAsiaTheme="minorEastAsia"/>
          <w:sz w:val="24"/>
        </w:rPr>
        <w:t>2</w:t>
      </w:r>
      <w:r>
        <w:rPr>
          <w:rFonts w:eastAsiaTheme="minorEastAsia" w:hAnsiTheme="minorEastAsia"/>
          <w:sz w:val="24"/>
        </w:rPr>
        <w:t>）地下水化学类型评价结果</w:t>
      </w:r>
    </w:p>
    <w:p w14:paraId="041D3446"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首先对水文资料进行整理，换算毫克</w:t>
      </w:r>
      <w:r>
        <w:rPr>
          <w:rFonts w:eastAsiaTheme="minorEastAsia"/>
          <w:sz w:val="24"/>
        </w:rPr>
        <w:t>/</w:t>
      </w:r>
      <w:r>
        <w:rPr>
          <w:rFonts w:eastAsiaTheme="minorEastAsia" w:hAnsiTheme="minorEastAsia"/>
          <w:sz w:val="24"/>
        </w:rPr>
        <w:t>升为毫克当量</w:t>
      </w:r>
      <w:r>
        <w:rPr>
          <w:rFonts w:eastAsiaTheme="minorEastAsia"/>
          <w:sz w:val="24"/>
        </w:rPr>
        <w:t>/</w:t>
      </w:r>
      <w:r>
        <w:rPr>
          <w:rFonts w:eastAsiaTheme="minorEastAsia" w:hAnsiTheme="minorEastAsia"/>
          <w:sz w:val="24"/>
        </w:rPr>
        <w:t>升及毫克当量百分数；知道了离子在水中的毫克当量数以后，根据计算公式计算其毫克当量百分数。</w:t>
      </w:r>
    </w:p>
    <w:p w14:paraId="6F6B150D"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本次监测换算结果见下表。</w:t>
      </w:r>
    </w:p>
    <w:p w14:paraId="7A1399B1" w14:textId="77777777" w:rsidR="00B14D53" w:rsidRDefault="00000000">
      <w:pPr>
        <w:jc w:val="center"/>
        <w:rPr>
          <w:b/>
          <w:bCs/>
        </w:rPr>
      </w:pPr>
      <w:r>
        <w:rPr>
          <w:rFonts w:hint="eastAsia"/>
          <w:b/>
          <w:bCs/>
        </w:rPr>
        <w:t>表</w:t>
      </w:r>
      <w:r>
        <w:rPr>
          <w:rFonts w:hint="eastAsia"/>
          <w:b/>
          <w:bCs/>
        </w:rPr>
        <w:t xml:space="preserve">4-2-11 </w:t>
      </w:r>
      <w:r>
        <w:rPr>
          <w:rFonts w:hint="eastAsia"/>
          <w:b/>
          <w:bCs/>
        </w:rPr>
        <w:t>监测换算结果表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0"/>
        <w:gridCol w:w="1968"/>
        <w:gridCol w:w="1650"/>
        <w:gridCol w:w="1758"/>
        <w:gridCol w:w="1810"/>
      </w:tblGrid>
      <w:tr w:rsidR="00B14D53" w14:paraId="4442636A" w14:textId="77777777">
        <w:trPr>
          <w:jc w:val="center"/>
        </w:trPr>
        <w:tc>
          <w:tcPr>
            <w:tcW w:w="3167" w:type="dxa"/>
            <w:gridSpan w:val="2"/>
            <w:vAlign w:val="center"/>
          </w:tcPr>
          <w:p w14:paraId="5CFC12CF" w14:textId="77777777" w:rsidR="00B14D53" w:rsidRDefault="00000000">
            <w:pPr>
              <w:contextualSpacing/>
              <w:jc w:val="center"/>
              <w:rPr>
                <w:rFonts w:eastAsiaTheme="minorEastAsia"/>
                <w:b/>
                <w:bCs/>
                <w:snapToGrid w:val="0"/>
                <w:szCs w:val="21"/>
              </w:rPr>
            </w:pPr>
            <w:r>
              <w:rPr>
                <w:rFonts w:eastAsiaTheme="minorEastAsia"/>
                <w:b/>
                <w:bCs/>
                <w:szCs w:val="21"/>
              </w:rPr>
              <w:t>☆01</w:t>
            </w:r>
            <w:r>
              <w:rPr>
                <w:rFonts w:eastAsiaTheme="minorEastAsia"/>
                <w:b/>
                <w:bCs/>
                <w:snapToGrid w:val="0"/>
                <w:szCs w:val="21"/>
              </w:rPr>
              <w:t>监测点</w:t>
            </w:r>
          </w:p>
        </w:tc>
        <w:tc>
          <w:tcPr>
            <w:tcW w:w="1693" w:type="dxa"/>
            <w:vAlign w:val="center"/>
          </w:tcPr>
          <w:p w14:paraId="4D6A849D" w14:textId="77777777" w:rsidR="00B14D53" w:rsidRDefault="00000000">
            <w:pPr>
              <w:contextualSpacing/>
              <w:jc w:val="center"/>
              <w:rPr>
                <w:rFonts w:eastAsiaTheme="minorEastAsia"/>
                <w:b/>
                <w:bCs/>
                <w:snapToGrid w:val="0"/>
                <w:szCs w:val="21"/>
              </w:rPr>
            </w:pPr>
            <w:r>
              <w:rPr>
                <w:rFonts w:eastAsiaTheme="minorEastAsia"/>
                <w:b/>
                <w:bCs/>
                <w:snapToGrid w:val="0"/>
                <w:szCs w:val="21"/>
              </w:rPr>
              <w:t>mg/L</w:t>
            </w:r>
          </w:p>
        </w:tc>
        <w:tc>
          <w:tcPr>
            <w:tcW w:w="1804" w:type="dxa"/>
            <w:vAlign w:val="center"/>
          </w:tcPr>
          <w:p w14:paraId="0A6E46B7" w14:textId="77777777" w:rsidR="00B14D53" w:rsidRDefault="00000000">
            <w:pPr>
              <w:contextualSpacing/>
              <w:jc w:val="center"/>
              <w:rPr>
                <w:rFonts w:eastAsiaTheme="minorEastAsia"/>
                <w:b/>
                <w:bCs/>
                <w:snapToGrid w:val="0"/>
                <w:szCs w:val="21"/>
              </w:rPr>
            </w:pPr>
            <w:r>
              <w:rPr>
                <w:rFonts w:eastAsiaTheme="minorEastAsia"/>
                <w:b/>
                <w:bCs/>
                <w:snapToGrid w:val="0"/>
                <w:szCs w:val="21"/>
              </w:rPr>
              <w:t>meq/L</w:t>
            </w:r>
          </w:p>
        </w:tc>
        <w:tc>
          <w:tcPr>
            <w:tcW w:w="1858" w:type="dxa"/>
            <w:vAlign w:val="center"/>
          </w:tcPr>
          <w:p w14:paraId="439B9F7D" w14:textId="77777777" w:rsidR="00B14D53" w:rsidRDefault="00000000">
            <w:pPr>
              <w:contextualSpacing/>
              <w:jc w:val="center"/>
              <w:rPr>
                <w:rFonts w:eastAsiaTheme="minorEastAsia"/>
                <w:b/>
                <w:bCs/>
                <w:snapToGrid w:val="0"/>
                <w:szCs w:val="21"/>
              </w:rPr>
            </w:pPr>
            <w:r>
              <w:rPr>
                <w:rFonts w:eastAsiaTheme="minorEastAsia"/>
                <w:b/>
                <w:bCs/>
                <w:snapToGrid w:val="0"/>
                <w:szCs w:val="21"/>
              </w:rPr>
              <w:t>meq%</w:t>
            </w:r>
          </w:p>
        </w:tc>
      </w:tr>
      <w:tr w:rsidR="00B14D53" w14:paraId="728C048C" w14:textId="77777777">
        <w:trPr>
          <w:jc w:val="center"/>
        </w:trPr>
        <w:tc>
          <w:tcPr>
            <w:tcW w:w="1146" w:type="dxa"/>
            <w:vMerge w:val="restart"/>
            <w:vAlign w:val="center"/>
          </w:tcPr>
          <w:p w14:paraId="41ECADA7" w14:textId="77777777" w:rsidR="00B14D53" w:rsidRDefault="00000000">
            <w:pPr>
              <w:contextualSpacing/>
              <w:jc w:val="center"/>
              <w:rPr>
                <w:rFonts w:eastAsiaTheme="minorEastAsia"/>
                <w:snapToGrid w:val="0"/>
                <w:szCs w:val="21"/>
              </w:rPr>
            </w:pPr>
            <w:r>
              <w:rPr>
                <w:rFonts w:eastAsiaTheme="minorEastAsia"/>
                <w:snapToGrid w:val="0"/>
                <w:szCs w:val="21"/>
              </w:rPr>
              <w:t>阳</w:t>
            </w:r>
          </w:p>
          <w:p w14:paraId="2FCEB8D5" w14:textId="77777777" w:rsidR="00B14D53" w:rsidRDefault="00000000">
            <w:pPr>
              <w:contextualSpacing/>
              <w:jc w:val="center"/>
              <w:rPr>
                <w:rFonts w:eastAsiaTheme="minorEastAsia"/>
                <w:snapToGrid w:val="0"/>
                <w:szCs w:val="21"/>
              </w:rPr>
            </w:pPr>
            <w:r>
              <w:rPr>
                <w:rFonts w:eastAsiaTheme="minorEastAsia"/>
                <w:snapToGrid w:val="0"/>
                <w:szCs w:val="21"/>
              </w:rPr>
              <w:t>离</w:t>
            </w:r>
          </w:p>
          <w:p w14:paraId="2895A310" w14:textId="77777777" w:rsidR="00B14D53" w:rsidRDefault="00000000">
            <w:pPr>
              <w:contextualSpacing/>
              <w:jc w:val="center"/>
              <w:rPr>
                <w:rFonts w:eastAsiaTheme="minorEastAsia"/>
                <w:snapToGrid w:val="0"/>
                <w:szCs w:val="21"/>
              </w:rPr>
            </w:pPr>
            <w:r>
              <w:rPr>
                <w:rFonts w:eastAsiaTheme="minorEastAsia"/>
                <w:snapToGrid w:val="0"/>
                <w:szCs w:val="21"/>
              </w:rPr>
              <w:t>子</w:t>
            </w:r>
          </w:p>
        </w:tc>
        <w:tc>
          <w:tcPr>
            <w:tcW w:w="2021" w:type="dxa"/>
            <w:vAlign w:val="center"/>
          </w:tcPr>
          <w:p w14:paraId="0F9D74EE" w14:textId="77777777" w:rsidR="00B14D53" w:rsidRDefault="00000000">
            <w:pPr>
              <w:contextualSpacing/>
              <w:jc w:val="center"/>
              <w:rPr>
                <w:rFonts w:eastAsiaTheme="minorEastAsia"/>
                <w:snapToGrid w:val="0"/>
                <w:szCs w:val="21"/>
              </w:rPr>
            </w:pPr>
            <w:r>
              <w:rPr>
                <w:rFonts w:eastAsiaTheme="minorEastAsia"/>
                <w:snapToGrid w:val="0"/>
                <w:szCs w:val="21"/>
              </w:rPr>
              <w:t>K</w:t>
            </w:r>
            <w:r>
              <w:rPr>
                <w:rFonts w:eastAsiaTheme="minorEastAsia"/>
                <w:snapToGrid w:val="0"/>
                <w:szCs w:val="21"/>
                <w:vertAlign w:val="superscript"/>
              </w:rPr>
              <w:t>+</w:t>
            </w:r>
            <w:r>
              <w:rPr>
                <w:rFonts w:eastAsiaTheme="minorEastAsia"/>
                <w:snapToGrid w:val="0"/>
                <w:szCs w:val="21"/>
              </w:rPr>
              <w:t>+Na</w:t>
            </w:r>
            <w:r>
              <w:rPr>
                <w:rFonts w:eastAsiaTheme="minorEastAsia"/>
                <w:snapToGrid w:val="0"/>
                <w:szCs w:val="21"/>
                <w:vertAlign w:val="superscript"/>
              </w:rPr>
              <w:t>+</w:t>
            </w:r>
          </w:p>
        </w:tc>
        <w:tc>
          <w:tcPr>
            <w:tcW w:w="1693" w:type="dxa"/>
            <w:vAlign w:val="center"/>
          </w:tcPr>
          <w:p w14:paraId="269B9951" w14:textId="77777777" w:rsidR="00B14D53" w:rsidRDefault="00000000">
            <w:pPr>
              <w:widowControl/>
              <w:jc w:val="center"/>
              <w:textAlignment w:val="center"/>
              <w:rPr>
                <w:rFonts w:eastAsiaTheme="minorEastAsia"/>
                <w:snapToGrid w:val="0"/>
                <w:szCs w:val="21"/>
              </w:rPr>
            </w:pPr>
            <w:r>
              <w:rPr>
                <w:rFonts w:eastAsia="等线"/>
                <w:color w:val="000000"/>
                <w:kern w:val="0"/>
                <w:szCs w:val="21"/>
                <w:lang w:bidi="ar"/>
              </w:rPr>
              <w:t>19.77</w:t>
            </w:r>
          </w:p>
        </w:tc>
        <w:tc>
          <w:tcPr>
            <w:tcW w:w="1804" w:type="dxa"/>
            <w:vAlign w:val="center"/>
          </w:tcPr>
          <w:p w14:paraId="3A557D83"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0.73</w:t>
            </w:r>
          </w:p>
        </w:tc>
        <w:tc>
          <w:tcPr>
            <w:tcW w:w="1858" w:type="dxa"/>
            <w:vAlign w:val="center"/>
          </w:tcPr>
          <w:p w14:paraId="7CBCD032"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14.40</w:t>
            </w:r>
          </w:p>
        </w:tc>
      </w:tr>
      <w:tr w:rsidR="00B14D53" w14:paraId="791A9BD4" w14:textId="77777777">
        <w:trPr>
          <w:jc w:val="center"/>
        </w:trPr>
        <w:tc>
          <w:tcPr>
            <w:tcW w:w="1146" w:type="dxa"/>
            <w:vMerge/>
            <w:vAlign w:val="center"/>
          </w:tcPr>
          <w:p w14:paraId="00976EC4" w14:textId="77777777" w:rsidR="00B14D53" w:rsidRDefault="00B14D53">
            <w:pPr>
              <w:widowControl/>
              <w:contextualSpacing/>
              <w:jc w:val="center"/>
              <w:rPr>
                <w:rFonts w:eastAsiaTheme="minorEastAsia"/>
                <w:snapToGrid w:val="0"/>
                <w:szCs w:val="21"/>
              </w:rPr>
            </w:pPr>
          </w:p>
        </w:tc>
        <w:tc>
          <w:tcPr>
            <w:tcW w:w="2021" w:type="dxa"/>
            <w:vAlign w:val="center"/>
          </w:tcPr>
          <w:p w14:paraId="4C810B13" w14:textId="77777777" w:rsidR="00B14D53" w:rsidRDefault="00000000">
            <w:pPr>
              <w:contextualSpacing/>
              <w:jc w:val="center"/>
              <w:rPr>
                <w:rFonts w:eastAsiaTheme="minorEastAsia"/>
                <w:snapToGrid w:val="0"/>
                <w:szCs w:val="21"/>
              </w:rPr>
            </w:pPr>
            <w:r>
              <w:rPr>
                <w:rFonts w:eastAsiaTheme="minorEastAsia"/>
                <w:snapToGrid w:val="0"/>
                <w:szCs w:val="21"/>
              </w:rPr>
              <w:t>Ca</w:t>
            </w:r>
            <w:r>
              <w:rPr>
                <w:rFonts w:eastAsiaTheme="minorEastAsia"/>
                <w:snapToGrid w:val="0"/>
                <w:szCs w:val="21"/>
                <w:vertAlign w:val="superscript"/>
              </w:rPr>
              <w:t>2+</w:t>
            </w:r>
          </w:p>
        </w:tc>
        <w:tc>
          <w:tcPr>
            <w:tcW w:w="1693" w:type="dxa"/>
            <w:vAlign w:val="bottom"/>
          </w:tcPr>
          <w:p w14:paraId="0D92C8C0"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80.2</w:t>
            </w:r>
          </w:p>
        </w:tc>
        <w:tc>
          <w:tcPr>
            <w:tcW w:w="1804" w:type="dxa"/>
            <w:vAlign w:val="center"/>
          </w:tcPr>
          <w:p w14:paraId="532C1B75"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4.01</w:t>
            </w:r>
          </w:p>
        </w:tc>
        <w:tc>
          <w:tcPr>
            <w:tcW w:w="1858" w:type="dxa"/>
            <w:vAlign w:val="center"/>
          </w:tcPr>
          <w:p w14:paraId="5E2629B3"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78.75</w:t>
            </w:r>
          </w:p>
        </w:tc>
      </w:tr>
      <w:tr w:rsidR="00B14D53" w14:paraId="1B3B269F" w14:textId="77777777">
        <w:trPr>
          <w:jc w:val="center"/>
        </w:trPr>
        <w:tc>
          <w:tcPr>
            <w:tcW w:w="1146" w:type="dxa"/>
            <w:vMerge/>
            <w:vAlign w:val="center"/>
          </w:tcPr>
          <w:p w14:paraId="0CD91220" w14:textId="77777777" w:rsidR="00B14D53" w:rsidRDefault="00B14D53">
            <w:pPr>
              <w:widowControl/>
              <w:contextualSpacing/>
              <w:jc w:val="center"/>
              <w:rPr>
                <w:rFonts w:eastAsiaTheme="minorEastAsia"/>
                <w:snapToGrid w:val="0"/>
                <w:szCs w:val="21"/>
              </w:rPr>
            </w:pPr>
          </w:p>
        </w:tc>
        <w:tc>
          <w:tcPr>
            <w:tcW w:w="2021" w:type="dxa"/>
            <w:vAlign w:val="center"/>
          </w:tcPr>
          <w:p w14:paraId="7E98FDB5" w14:textId="77777777" w:rsidR="00B14D53" w:rsidRDefault="00000000">
            <w:pPr>
              <w:contextualSpacing/>
              <w:jc w:val="center"/>
              <w:rPr>
                <w:rFonts w:eastAsiaTheme="minorEastAsia"/>
                <w:snapToGrid w:val="0"/>
                <w:szCs w:val="21"/>
              </w:rPr>
            </w:pPr>
            <w:r>
              <w:rPr>
                <w:rFonts w:eastAsiaTheme="minorEastAsia"/>
                <w:snapToGrid w:val="0"/>
                <w:szCs w:val="21"/>
              </w:rPr>
              <w:t>Mg</w:t>
            </w:r>
            <w:r>
              <w:rPr>
                <w:rFonts w:eastAsiaTheme="minorEastAsia"/>
                <w:snapToGrid w:val="0"/>
                <w:szCs w:val="21"/>
                <w:vertAlign w:val="superscript"/>
              </w:rPr>
              <w:t>2+</w:t>
            </w:r>
          </w:p>
        </w:tc>
        <w:tc>
          <w:tcPr>
            <w:tcW w:w="1693" w:type="dxa"/>
            <w:vAlign w:val="bottom"/>
          </w:tcPr>
          <w:p w14:paraId="4E4A0FC6"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4.18</w:t>
            </w:r>
          </w:p>
        </w:tc>
        <w:tc>
          <w:tcPr>
            <w:tcW w:w="1804" w:type="dxa"/>
            <w:vAlign w:val="center"/>
          </w:tcPr>
          <w:p w14:paraId="0A4C0510"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0.35</w:t>
            </w:r>
          </w:p>
        </w:tc>
        <w:tc>
          <w:tcPr>
            <w:tcW w:w="1858" w:type="dxa"/>
            <w:vAlign w:val="center"/>
          </w:tcPr>
          <w:p w14:paraId="216ADA08"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6.84</w:t>
            </w:r>
          </w:p>
        </w:tc>
      </w:tr>
      <w:tr w:rsidR="00B14D53" w14:paraId="74B8A729" w14:textId="77777777">
        <w:trPr>
          <w:jc w:val="center"/>
        </w:trPr>
        <w:tc>
          <w:tcPr>
            <w:tcW w:w="1146" w:type="dxa"/>
            <w:vMerge/>
            <w:vAlign w:val="center"/>
          </w:tcPr>
          <w:p w14:paraId="474560B4" w14:textId="77777777" w:rsidR="00B14D53" w:rsidRDefault="00B14D53">
            <w:pPr>
              <w:widowControl/>
              <w:contextualSpacing/>
              <w:jc w:val="center"/>
              <w:rPr>
                <w:rFonts w:eastAsiaTheme="minorEastAsia"/>
                <w:snapToGrid w:val="0"/>
                <w:szCs w:val="21"/>
              </w:rPr>
            </w:pPr>
          </w:p>
        </w:tc>
        <w:tc>
          <w:tcPr>
            <w:tcW w:w="2021" w:type="dxa"/>
            <w:vAlign w:val="center"/>
          </w:tcPr>
          <w:p w14:paraId="4B9BA30B" w14:textId="77777777" w:rsidR="00B14D53" w:rsidRDefault="00000000">
            <w:pPr>
              <w:contextualSpacing/>
              <w:jc w:val="center"/>
              <w:rPr>
                <w:rFonts w:eastAsiaTheme="minorEastAsia"/>
                <w:snapToGrid w:val="0"/>
                <w:szCs w:val="21"/>
              </w:rPr>
            </w:pPr>
            <w:r>
              <w:rPr>
                <w:rFonts w:eastAsiaTheme="minorEastAsia"/>
                <w:snapToGrid w:val="0"/>
                <w:szCs w:val="21"/>
              </w:rPr>
              <w:t>总计</w:t>
            </w:r>
          </w:p>
        </w:tc>
        <w:tc>
          <w:tcPr>
            <w:tcW w:w="1693" w:type="dxa"/>
            <w:vAlign w:val="center"/>
          </w:tcPr>
          <w:p w14:paraId="2CCACC0B" w14:textId="77777777" w:rsidR="00B14D53" w:rsidRDefault="00000000">
            <w:pPr>
              <w:widowControl/>
              <w:jc w:val="center"/>
              <w:textAlignment w:val="center"/>
              <w:rPr>
                <w:rFonts w:eastAsiaTheme="minorEastAsia"/>
                <w:snapToGrid w:val="0"/>
                <w:szCs w:val="21"/>
              </w:rPr>
            </w:pPr>
            <w:r>
              <w:rPr>
                <w:rFonts w:eastAsia="等线"/>
                <w:color w:val="000000"/>
                <w:kern w:val="0"/>
                <w:szCs w:val="21"/>
                <w:lang w:bidi="ar"/>
              </w:rPr>
              <w:t>104.15</w:t>
            </w:r>
          </w:p>
        </w:tc>
        <w:tc>
          <w:tcPr>
            <w:tcW w:w="1804" w:type="dxa"/>
            <w:vAlign w:val="center"/>
          </w:tcPr>
          <w:p w14:paraId="7B027CD0"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5.09</w:t>
            </w:r>
          </w:p>
        </w:tc>
        <w:tc>
          <w:tcPr>
            <w:tcW w:w="1858" w:type="dxa"/>
            <w:vAlign w:val="center"/>
          </w:tcPr>
          <w:p w14:paraId="297B27F5"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100.0</w:t>
            </w:r>
          </w:p>
        </w:tc>
      </w:tr>
      <w:tr w:rsidR="00B14D53" w14:paraId="2537414A" w14:textId="77777777">
        <w:trPr>
          <w:jc w:val="center"/>
        </w:trPr>
        <w:tc>
          <w:tcPr>
            <w:tcW w:w="1146" w:type="dxa"/>
            <w:vMerge w:val="restart"/>
            <w:vAlign w:val="center"/>
          </w:tcPr>
          <w:p w14:paraId="6AF1C2D5" w14:textId="77777777" w:rsidR="00B14D53" w:rsidRDefault="00000000">
            <w:pPr>
              <w:contextualSpacing/>
              <w:jc w:val="center"/>
              <w:rPr>
                <w:rFonts w:eastAsiaTheme="minorEastAsia"/>
                <w:snapToGrid w:val="0"/>
                <w:szCs w:val="21"/>
              </w:rPr>
            </w:pPr>
            <w:r>
              <w:rPr>
                <w:rFonts w:eastAsiaTheme="minorEastAsia"/>
                <w:snapToGrid w:val="0"/>
                <w:szCs w:val="21"/>
              </w:rPr>
              <w:t>阴</w:t>
            </w:r>
          </w:p>
          <w:p w14:paraId="57CC57CB" w14:textId="77777777" w:rsidR="00B14D53" w:rsidRDefault="00000000">
            <w:pPr>
              <w:contextualSpacing/>
              <w:jc w:val="center"/>
              <w:rPr>
                <w:rFonts w:eastAsiaTheme="minorEastAsia"/>
                <w:snapToGrid w:val="0"/>
                <w:szCs w:val="21"/>
              </w:rPr>
            </w:pPr>
            <w:r>
              <w:rPr>
                <w:rFonts w:eastAsiaTheme="minorEastAsia"/>
                <w:snapToGrid w:val="0"/>
                <w:szCs w:val="21"/>
              </w:rPr>
              <w:t>离</w:t>
            </w:r>
          </w:p>
          <w:p w14:paraId="5550EEAC" w14:textId="77777777" w:rsidR="00B14D53" w:rsidRDefault="00000000">
            <w:pPr>
              <w:contextualSpacing/>
              <w:jc w:val="center"/>
              <w:rPr>
                <w:rFonts w:eastAsiaTheme="minorEastAsia"/>
                <w:snapToGrid w:val="0"/>
                <w:szCs w:val="21"/>
              </w:rPr>
            </w:pPr>
            <w:r>
              <w:rPr>
                <w:rFonts w:eastAsiaTheme="minorEastAsia"/>
                <w:snapToGrid w:val="0"/>
                <w:szCs w:val="21"/>
              </w:rPr>
              <w:t>子</w:t>
            </w:r>
          </w:p>
        </w:tc>
        <w:tc>
          <w:tcPr>
            <w:tcW w:w="2021" w:type="dxa"/>
            <w:vAlign w:val="center"/>
          </w:tcPr>
          <w:p w14:paraId="1CE113DA" w14:textId="77777777" w:rsidR="00B14D53" w:rsidRDefault="00000000">
            <w:pPr>
              <w:contextualSpacing/>
              <w:jc w:val="center"/>
              <w:rPr>
                <w:rFonts w:eastAsiaTheme="minorEastAsia"/>
                <w:snapToGrid w:val="0"/>
                <w:szCs w:val="21"/>
                <w:vertAlign w:val="superscript"/>
              </w:rPr>
            </w:pPr>
            <w:r>
              <w:rPr>
                <w:rFonts w:eastAsiaTheme="minorEastAsia"/>
                <w:snapToGrid w:val="0"/>
                <w:szCs w:val="21"/>
              </w:rPr>
              <w:t>HCO</w:t>
            </w:r>
            <w:r>
              <w:rPr>
                <w:rFonts w:eastAsiaTheme="minorEastAsia"/>
                <w:snapToGrid w:val="0"/>
                <w:szCs w:val="21"/>
                <w:vertAlign w:val="subscript"/>
              </w:rPr>
              <w:t>3</w:t>
            </w:r>
            <w:r>
              <w:rPr>
                <w:rFonts w:eastAsiaTheme="minorEastAsia"/>
                <w:snapToGrid w:val="0"/>
                <w:szCs w:val="21"/>
                <w:vertAlign w:val="superscript"/>
              </w:rPr>
              <w:t>-</w:t>
            </w:r>
          </w:p>
        </w:tc>
        <w:tc>
          <w:tcPr>
            <w:tcW w:w="1693" w:type="dxa"/>
            <w:vAlign w:val="bottom"/>
          </w:tcPr>
          <w:p w14:paraId="01C36419"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200</w:t>
            </w:r>
          </w:p>
        </w:tc>
        <w:tc>
          <w:tcPr>
            <w:tcW w:w="1804" w:type="dxa"/>
            <w:vAlign w:val="center"/>
          </w:tcPr>
          <w:p w14:paraId="3FE3B4A6"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3.28</w:t>
            </w:r>
          </w:p>
        </w:tc>
        <w:tc>
          <w:tcPr>
            <w:tcW w:w="1858" w:type="dxa"/>
            <w:vAlign w:val="center"/>
          </w:tcPr>
          <w:p w14:paraId="1D962C89"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64.21</w:t>
            </w:r>
          </w:p>
        </w:tc>
      </w:tr>
      <w:tr w:rsidR="00B14D53" w14:paraId="5C3F05E0" w14:textId="77777777">
        <w:trPr>
          <w:jc w:val="center"/>
        </w:trPr>
        <w:tc>
          <w:tcPr>
            <w:tcW w:w="1146" w:type="dxa"/>
            <w:vMerge/>
            <w:vAlign w:val="center"/>
          </w:tcPr>
          <w:p w14:paraId="53D06C3A" w14:textId="77777777" w:rsidR="00B14D53" w:rsidRDefault="00B14D53">
            <w:pPr>
              <w:widowControl/>
              <w:contextualSpacing/>
              <w:jc w:val="center"/>
              <w:rPr>
                <w:rFonts w:eastAsiaTheme="minorEastAsia"/>
                <w:snapToGrid w:val="0"/>
                <w:szCs w:val="21"/>
              </w:rPr>
            </w:pPr>
          </w:p>
        </w:tc>
        <w:tc>
          <w:tcPr>
            <w:tcW w:w="2021" w:type="dxa"/>
            <w:vAlign w:val="center"/>
          </w:tcPr>
          <w:p w14:paraId="7DD4DDAF" w14:textId="77777777" w:rsidR="00B14D53" w:rsidRDefault="00000000">
            <w:pPr>
              <w:contextualSpacing/>
              <w:jc w:val="center"/>
              <w:rPr>
                <w:rFonts w:eastAsiaTheme="minorEastAsia"/>
                <w:snapToGrid w:val="0"/>
                <w:szCs w:val="21"/>
              </w:rPr>
            </w:pPr>
            <w:r>
              <w:rPr>
                <w:rFonts w:eastAsiaTheme="minorEastAsia"/>
                <w:snapToGrid w:val="0"/>
                <w:szCs w:val="21"/>
              </w:rPr>
              <w:t>Cl</w:t>
            </w:r>
            <w:r>
              <w:rPr>
                <w:rFonts w:eastAsiaTheme="minorEastAsia"/>
                <w:snapToGrid w:val="0"/>
                <w:szCs w:val="21"/>
                <w:vertAlign w:val="superscript"/>
              </w:rPr>
              <w:t>-</w:t>
            </w:r>
          </w:p>
        </w:tc>
        <w:tc>
          <w:tcPr>
            <w:tcW w:w="1693" w:type="dxa"/>
            <w:vAlign w:val="bottom"/>
          </w:tcPr>
          <w:p w14:paraId="6A498300"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16.2</w:t>
            </w:r>
          </w:p>
        </w:tc>
        <w:tc>
          <w:tcPr>
            <w:tcW w:w="1804" w:type="dxa"/>
            <w:vAlign w:val="center"/>
          </w:tcPr>
          <w:p w14:paraId="21337DBB"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0.46</w:t>
            </w:r>
          </w:p>
        </w:tc>
        <w:tc>
          <w:tcPr>
            <w:tcW w:w="1858" w:type="dxa"/>
            <w:vAlign w:val="center"/>
          </w:tcPr>
          <w:p w14:paraId="4F6B2388"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8.94</w:t>
            </w:r>
          </w:p>
        </w:tc>
      </w:tr>
      <w:tr w:rsidR="00B14D53" w14:paraId="5C0FD911" w14:textId="77777777">
        <w:trPr>
          <w:jc w:val="center"/>
        </w:trPr>
        <w:tc>
          <w:tcPr>
            <w:tcW w:w="1146" w:type="dxa"/>
            <w:vMerge/>
            <w:vAlign w:val="center"/>
          </w:tcPr>
          <w:p w14:paraId="78D14AAC" w14:textId="77777777" w:rsidR="00B14D53" w:rsidRDefault="00B14D53">
            <w:pPr>
              <w:widowControl/>
              <w:contextualSpacing/>
              <w:jc w:val="center"/>
              <w:rPr>
                <w:rFonts w:eastAsiaTheme="minorEastAsia"/>
                <w:snapToGrid w:val="0"/>
                <w:szCs w:val="21"/>
              </w:rPr>
            </w:pPr>
          </w:p>
        </w:tc>
        <w:tc>
          <w:tcPr>
            <w:tcW w:w="2021" w:type="dxa"/>
            <w:vAlign w:val="center"/>
          </w:tcPr>
          <w:p w14:paraId="102AA2B2" w14:textId="77777777" w:rsidR="00B14D53" w:rsidRDefault="00000000">
            <w:pPr>
              <w:contextualSpacing/>
              <w:jc w:val="center"/>
              <w:rPr>
                <w:rFonts w:eastAsiaTheme="minorEastAsia"/>
                <w:snapToGrid w:val="0"/>
                <w:szCs w:val="21"/>
              </w:rPr>
            </w:pPr>
            <w:r>
              <w:rPr>
                <w:rFonts w:eastAsiaTheme="minorEastAsia"/>
                <w:snapToGrid w:val="0"/>
                <w:szCs w:val="21"/>
              </w:rPr>
              <w:t>SO</w:t>
            </w:r>
            <w:r>
              <w:rPr>
                <w:rFonts w:eastAsiaTheme="minorEastAsia"/>
                <w:snapToGrid w:val="0"/>
                <w:szCs w:val="21"/>
                <w:vertAlign w:val="subscript"/>
              </w:rPr>
              <w:t>4</w:t>
            </w:r>
            <w:r>
              <w:rPr>
                <w:rFonts w:eastAsiaTheme="minorEastAsia"/>
                <w:snapToGrid w:val="0"/>
                <w:szCs w:val="21"/>
                <w:vertAlign w:val="superscript"/>
              </w:rPr>
              <w:t>2-</w:t>
            </w:r>
          </w:p>
        </w:tc>
        <w:tc>
          <w:tcPr>
            <w:tcW w:w="1693" w:type="dxa"/>
            <w:vAlign w:val="bottom"/>
          </w:tcPr>
          <w:p w14:paraId="4EB04408"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65.8</w:t>
            </w:r>
          </w:p>
        </w:tc>
        <w:tc>
          <w:tcPr>
            <w:tcW w:w="1804" w:type="dxa"/>
            <w:vAlign w:val="center"/>
          </w:tcPr>
          <w:p w14:paraId="5B2EB7AD"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1.37</w:t>
            </w:r>
          </w:p>
        </w:tc>
        <w:tc>
          <w:tcPr>
            <w:tcW w:w="1858" w:type="dxa"/>
            <w:vAlign w:val="center"/>
          </w:tcPr>
          <w:p w14:paraId="2A4960B5"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26.85</w:t>
            </w:r>
          </w:p>
        </w:tc>
      </w:tr>
      <w:tr w:rsidR="00B14D53" w14:paraId="58918702" w14:textId="77777777">
        <w:trPr>
          <w:jc w:val="center"/>
        </w:trPr>
        <w:tc>
          <w:tcPr>
            <w:tcW w:w="1146" w:type="dxa"/>
            <w:vMerge/>
            <w:vAlign w:val="center"/>
          </w:tcPr>
          <w:p w14:paraId="67074ECB" w14:textId="77777777" w:rsidR="00B14D53" w:rsidRDefault="00B14D53">
            <w:pPr>
              <w:widowControl/>
              <w:contextualSpacing/>
              <w:jc w:val="center"/>
              <w:rPr>
                <w:rFonts w:eastAsiaTheme="minorEastAsia"/>
                <w:snapToGrid w:val="0"/>
                <w:szCs w:val="21"/>
              </w:rPr>
            </w:pPr>
          </w:p>
        </w:tc>
        <w:tc>
          <w:tcPr>
            <w:tcW w:w="2021" w:type="dxa"/>
            <w:vAlign w:val="center"/>
          </w:tcPr>
          <w:p w14:paraId="1E66B7FC" w14:textId="77777777" w:rsidR="00B14D53" w:rsidRDefault="00000000">
            <w:pPr>
              <w:contextualSpacing/>
              <w:jc w:val="center"/>
              <w:rPr>
                <w:rFonts w:eastAsiaTheme="minorEastAsia"/>
                <w:snapToGrid w:val="0"/>
                <w:szCs w:val="21"/>
              </w:rPr>
            </w:pPr>
            <w:r>
              <w:rPr>
                <w:rFonts w:eastAsiaTheme="minorEastAsia"/>
                <w:snapToGrid w:val="0"/>
                <w:szCs w:val="21"/>
              </w:rPr>
              <w:t>总计</w:t>
            </w:r>
          </w:p>
        </w:tc>
        <w:tc>
          <w:tcPr>
            <w:tcW w:w="1693" w:type="dxa"/>
            <w:vAlign w:val="center"/>
          </w:tcPr>
          <w:p w14:paraId="65AD0A26"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282</w:t>
            </w:r>
          </w:p>
        </w:tc>
        <w:tc>
          <w:tcPr>
            <w:tcW w:w="1804" w:type="dxa"/>
            <w:vAlign w:val="center"/>
          </w:tcPr>
          <w:p w14:paraId="3A6B3836"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5.11</w:t>
            </w:r>
          </w:p>
        </w:tc>
        <w:tc>
          <w:tcPr>
            <w:tcW w:w="1858" w:type="dxa"/>
            <w:vAlign w:val="center"/>
          </w:tcPr>
          <w:p w14:paraId="3E583261"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100.0</w:t>
            </w:r>
          </w:p>
        </w:tc>
      </w:tr>
      <w:tr w:rsidR="00B14D53" w14:paraId="4EF3153F" w14:textId="77777777">
        <w:trPr>
          <w:jc w:val="center"/>
        </w:trPr>
        <w:tc>
          <w:tcPr>
            <w:tcW w:w="3167" w:type="dxa"/>
            <w:gridSpan w:val="2"/>
            <w:vAlign w:val="center"/>
          </w:tcPr>
          <w:p w14:paraId="61F53469" w14:textId="77777777" w:rsidR="00B14D53" w:rsidRDefault="00000000">
            <w:pPr>
              <w:contextualSpacing/>
              <w:jc w:val="center"/>
              <w:rPr>
                <w:rFonts w:eastAsiaTheme="minorEastAsia"/>
                <w:snapToGrid w:val="0"/>
                <w:szCs w:val="21"/>
              </w:rPr>
            </w:pPr>
            <w:r>
              <w:rPr>
                <w:rFonts w:eastAsiaTheme="minorEastAsia"/>
                <w:szCs w:val="21"/>
              </w:rPr>
              <w:t>☆02</w:t>
            </w:r>
            <w:r>
              <w:rPr>
                <w:rFonts w:eastAsiaTheme="minorEastAsia"/>
                <w:szCs w:val="21"/>
              </w:rPr>
              <w:t>监测点</w:t>
            </w:r>
          </w:p>
        </w:tc>
        <w:tc>
          <w:tcPr>
            <w:tcW w:w="1693" w:type="dxa"/>
            <w:vAlign w:val="center"/>
          </w:tcPr>
          <w:p w14:paraId="16E89470" w14:textId="77777777" w:rsidR="00B14D53" w:rsidRDefault="00000000">
            <w:pPr>
              <w:contextualSpacing/>
              <w:jc w:val="center"/>
              <w:rPr>
                <w:rFonts w:eastAsiaTheme="minorEastAsia"/>
                <w:snapToGrid w:val="0"/>
                <w:szCs w:val="21"/>
              </w:rPr>
            </w:pPr>
            <w:r>
              <w:rPr>
                <w:rFonts w:eastAsiaTheme="minorEastAsia"/>
                <w:snapToGrid w:val="0"/>
                <w:szCs w:val="21"/>
              </w:rPr>
              <w:t>mg/L</w:t>
            </w:r>
          </w:p>
        </w:tc>
        <w:tc>
          <w:tcPr>
            <w:tcW w:w="1804" w:type="dxa"/>
            <w:vAlign w:val="center"/>
          </w:tcPr>
          <w:p w14:paraId="73933C90" w14:textId="77777777" w:rsidR="00B14D53" w:rsidRDefault="00000000">
            <w:pPr>
              <w:contextualSpacing/>
              <w:jc w:val="center"/>
              <w:rPr>
                <w:rFonts w:eastAsiaTheme="minorEastAsia"/>
                <w:snapToGrid w:val="0"/>
                <w:szCs w:val="21"/>
              </w:rPr>
            </w:pPr>
            <w:r>
              <w:rPr>
                <w:rFonts w:eastAsiaTheme="minorEastAsia"/>
                <w:snapToGrid w:val="0"/>
                <w:szCs w:val="21"/>
              </w:rPr>
              <w:t>mg/L</w:t>
            </w:r>
          </w:p>
        </w:tc>
        <w:tc>
          <w:tcPr>
            <w:tcW w:w="1858" w:type="dxa"/>
            <w:vAlign w:val="center"/>
          </w:tcPr>
          <w:p w14:paraId="72876322" w14:textId="77777777" w:rsidR="00B14D53" w:rsidRDefault="00000000">
            <w:pPr>
              <w:contextualSpacing/>
              <w:jc w:val="center"/>
              <w:rPr>
                <w:rFonts w:eastAsiaTheme="minorEastAsia"/>
                <w:snapToGrid w:val="0"/>
                <w:szCs w:val="21"/>
              </w:rPr>
            </w:pPr>
            <w:r>
              <w:rPr>
                <w:rFonts w:eastAsiaTheme="minorEastAsia"/>
                <w:snapToGrid w:val="0"/>
                <w:szCs w:val="21"/>
              </w:rPr>
              <w:t>meq%</w:t>
            </w:r>
          </w:p>
        </w:tc>
      </w:tr>
      <w:tr w:rsidR="00B14D53" w14:paraId="4B09425D" w14:textId="77777777">
        <w:trPr>
          <w:jc w:val="center"/>
        </w:trPr>
        <w:tc>
          <w:tcPr>
            <w:tcW w:w="1146" w:type="dxa"/>
            <w:vMerge w:val="restart"/>
            <w:vAlign w:val="center"/>
          </w:tcPr>
          <w:p w14:paraId="5E830281" w14:textId="77777777" w:rsidR="00B14D53" w:rsidRDefault="00000000">
            <w:pPr>
              <w:contextualSpacing/>
              <w:jc w:val="center"/>
              <w:rPr>
                <w:rFonts w:eastAsiaTheme="minorEastAsia"/>
                <w:snapToGrid w:val="0"/>
                <w:szCs w:val="21"/>
              </w:rPr>
            </w:pPr>
            <w:r>
              <w:rPr>
                <w:rFonts w:eastAsiaTheme="minorEastAsia"/>
                <w:snapToGrid w:val="0"/>
                <w:szCs w:val="21"/>
              </w:rPr>
              <w:t>阳</w:t>
            </w:r>
          </w:p>
          <w:p w14:paraId="6303E8ED" w14:textId="77777777" w:rsidR="00B14D53" w:rsidRDefault="00000000">
            <w:pPr>
              <w:contextualSpacing/>
              <w:jc w:val="center"/>
              <w:rPr>
                <w:rFonts w:eastAsiaTheme="minorEastAsia"/>
                <w:snapToGrid w:val="0"/>
                <w:szCs w:val="21"/>
              </w:rPr>
            </w:pPr>
            <w:r>
              <w:rPr>
                <w:rFonts w:eastAsiaTheme="minorEastAsia"/>
                <w:snapToGrid w:val="0"/>
                <w:szCs w:val="21"/>
              </w:rPr>
              <w:t>离</w:t>
            </w:r>
          </w:p>
          <w:p w14:paraId="280BB2AD" w14:textId="77777777" w:rsidR="00B14D53" w:rsidRDefault="00000000">
            <w:pPr>
              <w:contextualSpacing/>
              <w:jc w:val="center"/>
              <w:rPr>
                <w:rFonts w:eastAsiaTheme="minorEastAsia"/>
                <w:snapToGrid w:val="0"/>
                <w:szCs w:val="21"/>
              </w:rPr>
            </w:pPr>
            <w:r>
              <w:rPr>
                <w:rFonts w:eastAsiaTheme="minorEastAsia"/>
                <w:snapToGrid w:val="0"/>
                <w:szCs w:val="21"/>
              </w:rPr>
              <w:t>子</w:t>
            </w:r>
          </w:p>
        </w:tc>
        <w:tc>
          <w:tcPr>
            <w:tcW w:w="2021" w:type="dxa"/>
            <w:vAlign w:val="center"/>
          </w:tcPr>
          <w:p w14:paraId="63D263DF" w14:textId="77777777" w:rsidR="00B14D53" w:rsidRDefault="00000000">
            <w:pPr>
              <w:contextualSpacing/>
              <w:jc w:val="center"/>
              <w:rPr>
                <w:rFonts w:eastAsiaTheme="minorEastAsia"/>
                <w:snapToGrid w:val="0"/>
                <w:szCs w:val="21"/>
              </w:rPr>
            </w:pPr>
            <w:r>
              <w:rPr>
                <w:rFonts w:eastAsiaTheme="minorEastAsia"/>
                <w:snapToGrid w:val="0"/>
                <w:szCs w:val="21"/>
              </w:rPr>
              <w:t>K</w:t>
            </w:r>
            <w:r>
              <w:rPr>
                <w:rFonts w:eastAsiaTheme="minorEastAsia"/>
                <w:snapToGrid w:val="0"/>
                <w:szCs w:val="21"/>
                <w:vertAlign w:val="superscript"/>
              </w:rPr>
              <w:t>+</w:t>
            </w:r>
            <w:r>
              <w:rPr>
                <w:rFonts w:eastAsiaTheme="minorEastAsia"/>
                <w:snapToGrid w:val="0"/>
                <w:szCs w:val="21"/>
              </w:rPr>
              <w:t>+Na</w:t>
            </w:r>
            <w:r>
              <w:rPr>
                <w:rFonts w:eastAsiaTheme="minorEastAsia"/>
                <w:snapToGrid w:val="0"/>
                <w:szCs w:val="21"/>
                <w:vertAlign w:val="superscript"/>
              </w:rPr>
              <w:t>+</w:t>
            </w:r>
          </w:p>
        </w:tc>
        <w:tc>
          <w:tcPr>
            <w:tcW w:w="1693" w:type="dxa"/>
            <w:vAlign w:val="center"/>
          </w:tcPr>
          <w:p w14:paraId="194E57BA" w14:textId="77777777" w:rsidR="00B14D53" w:rsidRDefault="00000000">
            <w:pPr>
              <w:widowControl/>
              <w:jc w:val="center"/>
              <w:textAlignment w:val="center"/>
              <w:rPr>
                <w:rFonts w:eastAsia="等线"/>
                <w:color w:val="000000"/>
                <w:kern w:val="0"/>
                <w:sz w:val="22"/>
                <w:szCs w:val="22"/>
                <w:lang w:bidi="ar"/>
              </w:rPr>
            </w:pPr>
            <w:r>
              <w:rPr>
                <w:rFonts w:eastAsia="等线"/>
                <w:color w:val="000000"/>
                <w:kern w:val="0"/>
                <w:sz w:val="22"/>
                <w:szCs w:val="22"/>
                <w:lang w:bidi="ar"/>
              </w:rPr>
              <w:t>17.89</w:t>
            </w:r>
          </w:p>
        </w:tc>
        <w:tc>
          <w:tcPr>
            <w:tcW w:w="1804" w:type="dxa"/>
            <w:vAlign w:val="center"/>
          </w:tcPr>
          <w:p w14:paraId="6D883BC1"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0.66</w:t>
            </w:r>
          </w:p>
        </w:tc>
        <w:tc>
          <w:tcPr>
            <w:tcW w:w="1858" w:type="dxa"/>
            <w:vAlign w:val="center"/>
          </w:tcPr>
          <w:p w14:paraId="1E695C5E"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11.14</w:t>
            </w:r>
          </w:p>
        </w:tc>
      </w:tr>
      <w:tr w:rsidR="00B14D53" w14:paraId="1332DF22" w14:textId="77777777">
        <w:trPr>
          <w:jc w:val="center"/>
        </w:trPr>
        <w:tc>
          <w:tcPr>
            <w:tcW w:w="1146" w:type="dxa"/>
            <w:vMerge/>
            <w:vAlign w:val="center"/>
          </w:tcPr>
          <w:p w14:paraId="3D43B6D0" w14:textId="77777777" w:rsidR="00B14D53" w:rsidRDefault="00B14D53">
            <w:pPr>
              <w:widowControl/>
              <w:contextualSpacing/>
              <w:jc w:val="center"/>
              <w:rPr>
                <w:rFonts w:eastAsiaTheme="minorEastAsia"/>
                <w:snapToGrid w:val="0"/>
                <w:szCs w:val="21"/>
              </w:rPr>
            </w:pPr>
          </w:p>
        </w:tc>
        <w:tc>
          <w:tcPr>
            <w:tcW w:w="2021" w:type="dxa"/>
            <w:vAlign w:val="center"/>
          </w:tcPr>
          <w:p w14:paraId="69C918E9" w14:textId="77777777" w:rsidR="00B14D53" w:rsidRDefault="00000000">
            <w:pPr>
              <w:contextualSpacing/>
              <w:jc w:val="center"/>
              <w:rPr>
                <w:rFonts w:eastAsiaTheme="minorEastAsia"/>
                <w:snapToGrid w:val="0"/>
                <w:szCs w:val="21"/>
              </w:rPr>
            </w:pPr>
            <w:r>
              <w:rPr>
                <w:rFonts w:eastAsiaTheme="minorEastAsia"/>
                <w:snapToGrid w:val="0"/>
                <w:szCs w:val="21"/>
              </w:rPr>
              <w:t>Ca</w:t>
            </w:r>
            <w:r>
              <w:rPr>
                <w:rFonts w:eastAsiaTheme="minorEastAsia"/>
                <w:snapToGrid w:val="0"/>
                <w:szCs w:val="21"/>
                <w:vertAlign w:val="superscript"/>
              </w:rPr>
              <w:t>2+</w:t>
            </w:r>
          </w:p>
        </w:tc>
        <w:tc>
          <w:tcPr>
            <w:tcW w:w="1693" w:type="dxa"/>
            <w:vAlign w:val="bottom"/>
          </w:tcPr>
          <w:p w14:paraId="62CD8A32" w14:textId="77777777" w:rsidR="00B14D53" w:rsidRDefault="00000000">
            <w:pPr>
              <w:widowControl/>
              <w:jc w:val="center"/>
              <w:textAlignment w:val="center"/>
              <w:rPr>
                <w:rFonts w:eastAsia="等线"/>
                <w:color w:val="000000"/>
                <w:kern w:val="0"/>
                <w:sz w:val="22"/>
                <w:szCs w:val="22"/>
                <w:lang w:bidi="ar"/>
              </w:rPr>
            </w:pPr>
            <w:r>
              <w:rPr>
                <w:rFonts w:eastAsia="等线"/>
                <w:color w:val="000000"/>
                <w:kern w:val="0"/>
                <w:sz w:val="22"/>
                <w:szCs w:val="22"/>
                <w:lang w:bidi="ar"/>
              </w:rPr>
              <w:t>98.2</w:t>
            </w:r>
          </w:p>
        </w:tc>
        <w:tc>
          <w:tcPr>
            <w:tcW w:w="1804" w:type="dxa"/>
            <w:vAlign w:val="center"/>
          </w:tcPr>
          <w:p w14:paraId="023B7B0E"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4.91</w:t>
            </w:r>
          </w:p>
        </w:tc>
        <w:tc>
          <w:tcPr>
            <w:tcW w:w="1858" w:type="dxa"/>
            <w:vAlign w:val="center"/>
          </w:tcPr>
          <w:p w14:paraId="3EEC883A"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83.03</w:t>
            </w:r>
          </w:p>
        </w:tc>
      </w:tr>
      <w:tr w:rsidR="00B14D53" w14:paraId="3578E43E" w14:textId="77777777">
        <w:trPr>
          <w:jc w:val="center"/>
        </w:trPr>
        <w:tc>
          <w:tcPr>
            <w:tcW w:w="1146" w:type="dxa"/>
            <w:vMerge/>
            <w:vAlign w:val="center"/>
          </w:tcPr>
          <w:p w14:paraId="21A6DF77" w14:textId="77777777" w:rsidR="00B14D53" w:rsidRDefault="00B14D53">
            <w:pPr>
              <w:widowControl/>
              <w:contextualSpacing/>
              <w:jc w:val="center"/>
              <w:rPr>
                <w:rFonts w:eastAsiaTheme="minorEastAsia"/>
                <w:snapToGrid w:val="0"/>
                <w:szCs w:val="21"/>
              </w:rPr>
            </w:pPr>
          </w:p>
        </w:tc>
        <w:tc>
          <w:tcPr>
            <w:tcW w:w="2021" w:type="dxa"/>
            <w:vAlign w:val="center"/>
          </w:tcPr>
          <w:p w14:paraId="19D78FFB" w14:textId="77777777" w:rsidR="00B14D53" w:rsidRDefault="00000000">
            <w:pPr>
              <w:contextualSpacing/>
              <w:jc w:val="center"/>
              <w:rPr>
                <w:rFonts w:eastAsiaTheme="minorEastAsia"/>
                <w:snapToGrid w:val="0"/>
                <w:szCs w:val="21"/>
              </w:rPr>
            </w:pPr>
            <w:r>
              <w:rPr>
                <w:rFonts w:eastAsiaTheme="minorEastAsia"/>
                <w:snapToGrid w:val="0"/>
                <w:szCs w:val="21"/>
              </w:rPr>
              <w:t>Mg</w:t>
            </w:r>
            <w:r>
              <w:rPr>
                <w:rFonts w:eastAsiaTheme="minorEastAsia"/>
                <w:snapToGrid w:val="0"/>
                <w:szCs w:val="21"/>
                <w:vertAlign w:val="superscript"/>
              </w:rPr>
              <w:t>2+</w:t>
            </w:r>
          </w:p>
        </w:tc>
        <w:tc>
          <w:tcPr>
            <w:tcW w:w="1693" w:type="dxa"/>
            <w:vAlign w:val="bottom"/>
          </w:tcPr>
          <w:p w14:paraId="7DBB490D" w14:textId="77777777" w:rsidR="00B14D53" w:rsidRDefault="00000000">
            <w:pPr>
              <w:widowControl/>
              <w:jc w:val="center"/>
              <w:textAlignment w:val="center"/>
              <w:rPr>
                <w:rFonts w:eastAsia="等线"/>
                <w:color w:val="000000"/>
                <w:kern w:val="0"/>
                <w:sz w:val="22"/>
                <w:szCs w:val="22"/>
                <w:lang w:bidi="ar"/>
              </w:rPr>
            </w:pPr>
            <w:r>
              <w:rPr>
                <w:rFonts w:eastAsia="等线"/>
                <w:color w:val="000000"/>
                <w:kern w:val="0"/>
                <w:sz w:val="22"/>
                <w:szCs w:val="22"/>
                <w:lang w:bidi="ar"/>
              </w:rPr>
              <w:t>4.14</w:t>
            </w:r>
          </w:p>
        </w:tc>
        <w:tc>
          <w:tcPr>
            <w:tcW w:w="1804" w:type="dxa"/>
            <w:vAlign w:val="center"/>
          </w:tcPr>
          <w:p w14:paraId="14EE72C2"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0.35</w:t>
            </w:r>
          </w:p>
        </w:tc>
        <w:tc>
          <w:tcPr>
            <w:tcW w:w="1858" w:type="dxa"/>
            <w:vAlign w:val="center"/>
          </w:tcPr>
          <w:p w14:paraId="1AB539D8"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5.83</w:t>
            </w:r>
          </w:p>
        </w:tc>
      </w:tr>
      <w:tr w:rsidR="00B14D53" w14:paraId="36AE9246" w14:textId="77777777">
        <w:trPr>
          <w:jc w:val="center"/>
        </w:trPr>
        <w:tc>
          <w:tcPr>
            <w:tcW w:w="1146" w:type="dxa"/>
            <w:vMerge/>
            <w:vAlign w:val="center"/>
          </w:tcPr>
          <w:p w14:paraId="79D8F104" w14:textId="77777777" w:rsidR="00B14D53" w:rsidRDefault="00B14D53">
            <w:pPr>
              <w:widowControl/>
              <w:contextualSpacing/>
              <w:jc w:val="center"/>
              <w:rPr>
                <w:rFonts w:eastAsiaTheme="minorEastAsia"/>
                <w:snapToGrid w:val="0"/>
                <w:szCs w:val="21"/>
              </w:rPr>
            </w:pPr>
          </w:p>
        </w:tc>
        <w:tc>
          <w:tcPr>
            <w:tcW w:w="2021" w:type="dxa"/>
            <w:vAlign w:val="center"/>
          </w:tcPr>
          <w:p w14:paraId="12A32622" w14:textId="77777777" w:rsidR="00B14D53" w:rsidRDefault="00000000">
            <w:pPr>
              <w:contextualSpacing/>
              <w:jc w:val="center"/>
              <w:rPr>
                <w:rFonts w:eastAsiaTheme="minorEastAsia"/>
                <w:snapToGrid w:val="0"/>
                <w:szCs w:val="21"/>
              </w:rPr>
            </w:pPr>
            <w:r>
              <w:rPr>
                <w:rFonts w:eastAsiaTheme="minorEastAsia"/>
                <w:snapToGrid w:val="0"/>
                <w:szCs w:val="21"/>
              </w:rPr>
              <w:t>总计</w:t>
            </w:r>
          </w:p>
        </w:tc>
        <w:tc>
          <w:tcPr>
            <w:tcW w:w="1693" w:type="dxa"/>
            <w:vAlign w:val="center"/>
          </w:tcPr>
          <w:p w14:paraId="17FAAD9C" w14:textId="77777777" w:rsidR="00B14D53" w:rsidRDefault="00000000">
            <w:pPr>
              <w:widowControl/>
              <w:jc w:val="center"/>
              <w:textAlignment w:val="center"/>
              <w:rPr>
                <w:rFonts w:eastAsia="等线"/>
                <w:color w:val="000000"/>
                <w:kern w:val="0"/>
                <w:sz w:val="22"/>
                <w:szCs w:val="22"/>
                <w:lang w:bidi="ar"/>
              </w:rPr>
            </w:pPr>
            <w:r>
              <w:rPr>
                <w:rFonts w:eastAsia="等线"/>
                <w:color w:val="000000"/>
                <w:kern w:val="0"/>
                <w:sz w:val="22"/>
                <w:szCs w:val="22"/>
                <w:lang w:bidi="ar"/>
              </w:rPr>
              <w:t>120.23</w:t>
            </w:r>
          </w:p>
        </w:tc>
        <w:tc>
          <w:tcPr>
            <w:tcW w:w="1804" w:type="dxa"/>
            <w:vAlign w:val="center"/>
          </w:tcPr>
          <w:p w14:paraId="06E3098D"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5.91</w:t>
            </w:r>
          </w:p>
        </w:tc>
        <w:tc>
          <w:tcPr>
            <w:tcW w:w="1858" w:type="dxa"/>
            <w:vAlign w:val="center"/>
          </w:tcPr>
          <w:p w14:paraId="4EF20B76"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100.0</w:t>
            </w:r>
          </w:p>
        </w:tc>
      </w:tr>
      <w:tr w:rsidR="00B14D53" w14:paraId="06ACD0A5" w14:textId="77777777">
        <w:trPr>
          <w:jc w:val="center"/>
        </w:trPr>
        <w:tc>
          <w:tcPr>
            <w:tcW w:w="1146" w:type="dxa"/>
            <w:vMerge w:val="restart"/>
            <w:vAlign w:val="center"/>
          </w:tcPr>
          <w:p w14:paraId="622E4A30" w14:textId="77777777" w:rsidR="00B14D53" w:rsidRDefault="00000000">
            <w:pPr>
              <w:contextualSpacing/>
              <w:jc w:val="center"/>
              <w:rPr>
                <w:rFonts w:eastAsiaTheme="minorEastAsia"/>
                <w:snapToGrid w:val="0"/>
                <w:szCs w:val="21"/>
              </w:rPr>
            </w:pPr>
            <w:r>
              <w:rPr>
                <w:rFonts w:eastAsiaTheme="minorEastAsia"/>
                <w:snapToGrid w:val="0"/>
                <w:szCs w:val="21"/>
              </w:rPr>
              <w:t>阴</w:t>
            </w:r>
          </w:p>
          <w:p w14:paraId="24E10D93" w14:textId="77777777" w:rsidR="00B14D53" w:rsidRDefault="00000000">
            <w:pPr>
              <w:contextualSpacing/>
              <w:jc w:val="center"/>
              <w:rPr>
                <w:rFonts w:eastAsiaTheme="minorEastAsia"/>
                <w:snapToGrid w:val="0"/>
                <w:szCs w:val="21"/>
              </w:rPr>
            </w:pPr>
            <w:r>
              <w:rPr>
                <w:rFonts w:eastAsiaTheme="minorEastAsia"/>
                <w:snapToGrid w:val="0"/>
                <w:szCs w:val="21"/>
              </w:rPr>
              <w:t>离</w:t>
            </w:r>
          </w:p>
          <w:p w14:paraId="68D276B9" w14:textId="77777777" w:rsidR="00B14D53" w:rsidRDefault="00000000">
            <w:pPr>
              <w:contextualSpacing/>
              <w:jc w:val="center"/>
              <w:rPr>
                <w:rFonts w:eastAsiaTheme="minorEastAsia"/>
                <w:snapToGrid w:val="0"/>
                <w:szCs w:val="21"/>
              </w:rPr>
            </w:pPr>
            <w:r>
              <w:rPr>
                <w:rFonts w:eastAsiaTheme="minorEastAsia"/>
                <w:snapToGrid w:val="0"/>
                <w:szCs w:val="21"/>
              </w:rPr>
              <w:t>子</w:t>
            </w:r>
          </w:p>
        </w:tc>
        <w:tc>
          <w:tcPr>
            <w:tcW w:w="2021" w:type="dxa"/>
            <w:vAlign w:val="center"/>
          </w:tcPr>
          <w:p w14:paraId="6D218B7E" w14:textId="77777777" w:rsidR="00B14D53" w:rsidRDefault="00000000">
            <w:pPr>
              <w:contextualSpacing/>
              <w:jc w:val="center"/>
              <w:rPr>
                <w:rFonts w:eastAsiaTheme="minorEastAsia"/>
                <w:snapToGrid w:val="0"/>
                <w:szCs w:val="21"/>
                <w:vertAlign w:val="superscript"/>
              </w:rPr>
            </w:pPr>
            <w:r>
              <w:rPr>
                <w:rFonts w:eastAsiaTheme="minorEastAsia"/>
                <w:snapToGrid w:val="0"/>
                <w:szCs w:val="21"/>
              </w:rPr>
              <w:t>HCO</w:t>
            </w:r>
            <w:r>
              <w:rPr>
                <w:rFonts w:eastAsiaTheme="minorEastAsia"/>
                <w:snapToGrid w:val="0"/>
                <w:szCs w:val="21"/>
                <w:vertAlign w:val="subscript"/>
              </w:rPr>
              <w:t>3</w:t>
            </w:r>
            <w:r>
              <w:rPr>
                <w:rFonts w:eastAsiaTheme="minorEastAsia"/>
                <w:snapToGrid w:val="0"/>
                <w:szCs w:val="21"/>
                <w:vertAlign w:val="superscript"/>
              </w:rPr>
              <w:t>-</w:t>
            </w:r>
          </w:p>
        </w:tc>
        <w:tc>
          <w:tcPr>
            <w:tcW w:w="1693" w:type="dxa"/>
            <w:vAlign w:val="bottom"/>
          </w:tcPr>
          <w:p w14:paraId="3AF15D61" w14:textId="77777777" w:rsidR="00B14D53" w:rsidRDefault="00000000">
            <w:pPr>
              <w:widowControl/>
              <w:jc w:val="center"/>
              <w:textAlignment w:val="center"/>
              <w:rPr>
                <w:rFonts w:eastAsia="等线"/>
                <w:color w:val="000000"/>
                <w:kern w:val="0"/>
                <w:sz w:val="22"/>
                <w:szCs w:val="22"/>
                <w:lang w:bidi="ar"/>
              </w:rPr>
            </w:pPr>
            <w:r>
              <w:rPr>
                <w:rFonts w:eastAsia="等线"/>
                <w:color w:val="000000"/>
                <w:kern w:val="0"/>
                <w:sz w:val="22"/>
                <w:szCs w:val="22"/>
                <w:lang w:bidi="ar"/>
              </w:rPr>
              <w:t>226</w:t>
            </w:r>
          </w:p>
        </w:tc>
        <w:tc>
          <w:tcPr>
            <w:tcW w:w="1804" w:type="dxa"/>
            <w:vAlign w:val="center"/>
          </w:tcPr>
          <w:p w14:paraId="58982EC6"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3.70</w:t>
            </w:r>
          </w:p>
        </w:tc>
        <w:tc>
          <w:tcPr>
            <w:tcW w:w="1858" w:type="dxa"/>
            <w:vAlign w:val="center"/>
          </w:tcPr>
          <w:p w14:paraId="61474848"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62.51</w:t>
            </w:r>
          </w:p>
        </w:tc>
      </w:tr>
      <w:tr w:rsidR="00B14D53" w14:paraId="36F3ADBA" w14:textId="77777777">
        <w:trPr>
          <w:jc w:val="center"/>
        </w:trPr>
        <w:tc>
          <w:tcPr>
            <w:tcW w:w="1146" w:type="dxa"/>
            <w:vMerge/>
            <w:vAlign w:val="center"/>
          </w:tcPr>
          <w:p w14:paraId="2ECCFF4B" w14:textId="77777777" w:rsidR="00B14D53" w:rsidRDefault="00B14D53">
            <w:pPr>
              <w:widowControl/>
              <w:contextualSpacing/>
              <w:jc w:val="center"/>
              <w:rPr>
                <w:rFonts w:eastAsiaTheme="minorEastAsia"/>
                <w:snapToGrid w:val="0"/>
                <w:szCs w:val="21"/>
              </w:rPr>
            </w:pPr>
          </w:p>
        </w:tc>
        <w:tc>
          <w:tcPr>
            <w:tcW w:w="2021" w:type="dxa"/>
            <w:vAlign w:val="center"/>
          </w:tcPr>
          <w:p w14:paraId="096AA050" w14:textId="77777777" w:rsidR="00B14D53" w:rsidRDefault="00000000">
            <w:pPr>
              <w:contextualSpacing/>
              <w:jc w:val="center"/>
              <w:rPr>
                <w:rFonts w:eastAsiaTheme="minorEastAsia"/>
                <w:snapToGrid w:val="0"/>
                <w:szCs w:val="21"/>
              </w:rPr>
            </w:pPr>
            <w:r>
              <w:rPr>
                <w:rFonts w:eastAsiaTheme="minorEastAsia"/>
                <w:snapToGrid w:val="0"/>
                <w:szCs w:val="21"/>
              </w:rPr>
              <w:t>Cl</w:t>
            </w:r>
            <w:r>
              <w:rPr>
                <w:rFonts w:eastAsiaTheme="minorEastAsia"/>
                <w:snapToGrid w:val="0"/>
                <w:szCs w:val="21"/>
                <w:vertAlign w:val="superscript"/>
              </w:rPr>
              <w:t>-</w:t>
            </w:r>
          </w:p>
        </w:tc>
        <w:tc>
          <w:tcPr>
            <w:tcW w:w="1693" w:type="dxa"/>
            <w:vAlign w:val="bottom"/>
          </w:tcPr>
          <w:p w14:paraId="5A94DC27" w14:textId="77777777" w:rsidR="00B14D53" w:rsidRDefault="00000000">
            <w:pPr>
              <w:widowControl/>
              <w:jc w:val="center"/>
              <w:textAlignment w:val="center"/>
              <w:rPr>
                <w:rFonts w:eastAsia="等线"/>
                <w:color w:val="000000"/>
                <w:kern w:val="0"/>
                <w:sz w:val="22"/>
                <w:szCs w:val="22"/>
                <w:lang w:bidi="ar"/>
              </w:rPr>
            </w:pPr>
            <w:r>
              <w:rPr>
                <w:rFonts w:eastAsia="等线"/>
                <w:color w:val="000000"/>
                <w:kern w:val="0"/>
                <w:sz w:val="22"/>
                <w:szCs w:val="22"/>
                <w:lang w:bidi="ar"/>
              </w:rPr>
              <w:t>28.6</w:t>
            </w:r>
          </w:p>
        </w:tc>
        <w:tc>
          <w:tcPr>
            <w:tcW w:w="1804" w:type="dxa"/>
            <w:vAlign w:val="center"/>
          </w:tcPr>
          <w:p w14:paraId="1BCE9BC3"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0.81</w:t>
            </w:r>
          </w:p>
        </w:tc>
        <w:tc>
          <w:tcPr>
            <w:tcW w:w="1858" w:type="dxa"/>
            <w:vAlign w:val="center"/>
          </w:tcPr>
          <w:p w14:paraId="603A4847"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13.59</w:t>
            </w:r>
          </w:p>
        </w:tc>
      </w:tr>
      <w:tr w:rsidR="00B14D53" w14:paraId="121CE5C0" w14:textId="77777777">
        <w:trPr>
          <w:jc w:val="center"/>
        </w:trPr>
        <w:tc>
          <w:tcPr>
            <w:tcW w:w="1146" w:type="dxa"/>
            <w:vMerge/>
            <w:vAlign w:val="center"/>
          </w:tcPr>
          <w:p w14:paraId="3D5C7B8F" w14:textId="77777777" w:rsidR="00B14D53" w:rsidRDefault="00B14D53">
            <w:pPr>
              <w:widowControl/>
              <w:contextualSpacing/>
              <w:jc w:val="center"/>
              <w:rPr>
                <w:rFonts w:eastAsiaTheme="minorEastAsia"/>
                <w:snapToGrid w:val="0"/>
                <w:szCs w:val="21"/>
              </w:rPr>
            </w:pPr>
          </w:p>
        </w:tc>
        <w:tc>
          <w:tcPr>
            <w:tcW w:w="2021" w:type="dxa"/>
            <w:vAlign w:val="center"/>
          </w:tcPr>
          <w:p w14:paraId="1FFCDF43" w14:textId="77777777" w:rsidR="00B14D53" w:rsidRDefault="00000000">
            <w:pPr>
              <w:contextualSpacing/>
              <w:jc w:val="center"/>
              <w:rPr>
                <w:rFonts w:eastAsiaTheme="minorEastAsia"/>
                <w:snapToGrid w:val="0"/>
                <w:szCs w:val="21"/>
              </w:rPr>
            </w:pPr>
            <w:r>
              <w:rPr>
                <w:rFonts w:eastAsiaTheme="minorEastAsia"/>
                <w:snapToGrid w:val="0"/>
                <w:szCs w:val="21"/>
              </w:rPr>
              <w:t>SO</w:t>
            </w:r>
            <w:r>
              <w:rPr>
                <w:rFonts w:eastAsiaTheme="minorEastAsia"/>
                <w:snapToGrid w:val="0"/>
                <w:szCs w:val="21"/>
                <w:vertAlign w:val="subscript"/>
              </w:rPr>
              <w:t>4</w:t>
            </w:r>
            <w:r>
              <w:rPr>
                <w:rFonts w:eastAsiaTheme="minorEastAsia"/>
                <w:snapToGrid w:val="0"/>
                <w:szCs w:val="21"/>
                <w:vertAlign w:val="superscript"/>
              </w:rPr>
              <w:t>2-</w:t>
            </w:r>
          </w:p>
        </w:tc>
        <w:tc>
          <w:tcPr>
            <w:tcW w:w="1693" w:type="dxa"/>
            <w:vAlign w:val="bottom"/>
          </w:tcPr>
          <w:p w14:paraId="430DDDAA" w14:textId="77777777" w:rsidR="00B14D53" w:rsidRDefault="00000000">
            <w:pPr>
              <w:widowControl/>
              <w:jc w:val="center"/>
              <w:textAlignment w:val="center"/>
              <w:rPr>
                <w:rFonts w:eastAsia="等线"/>
                <w:color w:val="000000"/>
                <w:kern w:val="0"/>
                <w:sz w:val="22"/>
                <w:szCs w:val="22"/>
                <w:lang w:bidi="ar"/>
              </w:rPr>
            </w:pPr>
            <w:r>
              <w:rPr>
                <w:rFonts w:eastAsia="等线"/>
                <w:color w:val="000000"/>
                <w:kern w:val="0"/>
                <w:sz w:val="22"/>
                <w:szCs w:val="22"/>
                <w:lang w:bidi="ar"/>
              </w:rPr>
              <w:t>68</w:t>
            </w:r>
          </w:p>
        </w:tc>
        <w:tc>
          <w:tcPr>
            <w:tcW w:w="1804" w:type="dxa"/>
            <w:vAlign w:val="center"/>
          </w:tcPr>
          <w:p w14:paraId="05FD91D0"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1.42</w:t>
            </w:r>
          </w:p>
        </w:tc>
        <w:tc>
          <w:tcPr>
            <w:tcW w:w="1858" w:type="dxa"/>
            <w:vAlign w:val="center"/>
          </w:tcPr>
          <w:p w14:paraId="6BCF7DE0"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23.90</w:t>
            </w:r>
          </w:p>
        </w:tc>
      </w:tr>
      <w:tr w:rsidR="00B14D53" w14:paraId="3B0158AB" w14:textId="77777777">
        <w:trPr>
          <w:jc w:val="center"/>
        </w:trPr>
        <w:tc>
          <w:tcPr>
            <w:tcW w:w="1146" w:type="dxa"/>
            <w:vMerge/>
            <w:vAlign w:val="center"/>
          </w:tcPr>
          <w:p w14:paraId="79A6B576" w14:textId="77777777" w:rsidR="00B14D53" w:rsidRDefault="00B14D53">
            <w:pPr>
              <w:widowControl/>
              <w:contextualSpacing/>
              <w:jc w:val="center"/>
              <w:rPr>
                <w:rFonts w:eastAsiaTheme="minorEastAsia"/>
                <w:snapToGrid w:val="0"/>
                <w:szCs w:val="21"/>
              </w:rPr>
            </w:pPr>
          </w:p>
        </w:tc>
        <w:tc>
          <w:tcPr>
            <w:tcW w:w="2021" w:type="dxa"/>
            <w:vAlign w:val="center"/>
          </w:tcPr>
          <w:p w14:paraId="0B8C7159" w14:textId="77777777" w:rsidR="00B14D53" w:rsidRDefault="00000000">
            <w:pPr>
              <w:contextualSpacing/>
              <w:jc w:val="center"/>
              <w:rPr>
                <w:rFonts w:eastAsiaTheme="minorEastAsia"/>
                <w:snapToGrid w:val="0"/>
                <w:szCs w:val="21"/>
              </w:rPr>
            </w:pPr>
            <w:r>
              <w:rPr>
                <w:rFonts w:eastAsiaTheme="minorEastAsia"/>
                <w:snapToGrid w:val="0"/>
                <w:szCs w:val="21"/>
              </w:rPr>
              <w:t>总计</w:t>
            </w:r>
          </w:p>
        </w:tc>
        <w:tc>
          <w:tcPr>
            <w:tcW w:w="1693" w:type="dxa"/>
            <w:vAlign w:val="center"/>
          </w:tcPr>
          <w:p w14:paraId="25E51204"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322.6</w:t>
            </w:r>
          </w:p>
        </w:tc>
        <w:tc>
          <w:tcPr>
            <w:tcW w:w="1804" w:type="dxa"/>
            <w:vAlign w:val="center"/>
          </w:tcPr>
          <w:p w14:paraId="5FF0DD25"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5.93</w:t>
            </w:r>
          </w:p>
        </w:tc>
        <w:tc>
          <w:tcPr>
            <w:tcW w:w="1858" w:type="dxa"/>
            <w:vAlign w:val="center"/>
          </w:tcPr>
          <w:p w14:paraId="3660CF66" w14:textId="77777777" w:rsidR="00B14D53" w:rsidRDefault="0000000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100.0</w:t>
            </w:r>
          </w:p>
        </w:tc>
      </w:tr>
      <w:tr w:rsidR="00B14D53" w14:paraId="761A518B" w14:textId="77777777">
        <w:trPr>
          <w:jc w:val="center"/>
        </w:trPr>
        <w:tc>
          <w:tcPr>
            <w:tcW w:w="3167" w:type="dxa"/>
            <w:gridSpan w:val="2"/>
            <w:vAlign w:val="center"/>
          </w:tcPr>
          <w:p w14:paraId="3DB35F14" w14:textId="77777777" w:rsidR="00B14D53" w:rsidRDefault="00000000">
            <w:pPr>
              <w:contextualSpacing/>
              <w:jc w:val="center"/>
              <w:rPr>
                <w:rFonts w:eastAsiaTheme="minorEastAsia"/>
                <w:snapToGrid w:val="0"/>
                <w:szCs w:val="21"/>
              </w:rPr>
            </w:pPr>
            <w:r>
              <w:rPr>
                <w:rFonts w:eastAsiaTheme="minorEastAsia"/>
                <w:szCs w:val="21"/>
              </w:rPr>
              <w:t>☆03</w:t>
            </w:r>
            <w:r>
              <w:rPr>
                <w:rFonts w:eastAsiaTheme="minorEastAsia"/>
                <w:szCs w:val="21"/>
              </w:rPr>
              <w:t>监测点</w:t>
            </w:r>
          </w:p>
        </w:tc>
        <w:tc>
          <w:tcPr>
            <w:tcW w:w="1693" w:type="dxa"/>
            <w:vAlign w:val="center"/>
          </w:tcPr>
          <w:p w14:paraId="25535CA2" w14:textId="77777777" w:rsidR="00B14D53" w:rsidRDefault="00000000">
            <w:pPr>
              <w:contextualSpacing/>
              <w:jc w:val="center"/>
              <w:rPr>
                <w:rFonts w:eastAsiaTheme="minorEastAsia"/>
                <w:snapToGrid w:val="0"/>
                <w:szCs w:val="21"/>
              </w:rPr>
            </w:pPr>
            <w:r>
              <w:rPr>
                <w:rFonts w:eastAsiaTheme="minorEastAsia"/>
                <w:snapToGrid w:val="0"/>
                <w:szCs w:val="21"/>
              </w:rPr>
              <w:t>mg/L</w:t>
            </w:r>
          </w:p>
        </w:tc>
        <w:tc>
          <w:tcPr>
            <w:tcW w:w="1804" w:type="dxa"/>
            <w:vAlign w:val="center"/>
          </w:tcPr>
          <w:p w14:paraId="0A156894" w14:textId="77777777" w:rsidR="00B14D53" w:rsidRDefault="00000000">
            <w:pPr>
              <w:contextualSpacing/>
              <w:jc w:val="center"/>
              <w:rPr>
                <w:rFonts w:eastAsiaTheme="minorEastAsia"/>
                <w:snapToGrid w:val="0"/>
                <w:szCs w:val="21"/>
              </w:rPr>
            </w:pPr>
            <w:r>
              <w:rPr>
                <w:rFonts w:eastAsiaTheme="minorEastAsia"/>
                <w:snapToGrid w:val="0"/>
                <w:szCs w:val="21"/>
              </w:rPr>
              <w:t>mg/L</w:t>
            </w:r>
          </w:p>
        </w:tc>
        <w:tc>
          <w:tcPr>
            <w:tcW w:w="1858" w:type="dxa"/>
            <w:vAlign w:val="center"/>
          </w:tcPr>
          <w:p w14:paraId="7259B24E" w14:textId="77777777" w:rsidR="00B14D53" w:rsidRDefault="00000000">
            <w:pPr>
              <w:contextualSpacing/>
              <w:jc w:val="center"/>
              <w:rPr>
                <w:rFonts w:eastAsiaTheme="minorEastAsia"/>
                <w:snapToGrid w:val="0"/>
                <w:szCs w:val="21"/>
              </w:rPr>
            </w:pPr>
            <w:r>
              <w:rPr>
                <w:rFonts w:eastAsiaTheme="minorEastAsia"/>
                <w:snapToGrid w:val="0"/>
                <w:szCs w:val="21"/>
              </w:rPr>
              <w:t>meq%</w:t>
            </w:r>
          </w:p>
        </w:tc>
      </w:tr>
      <w:tr w:rsidR="00B14D53" w14:paraId="7F0752D8" w14:textId="77777777">
        <w:trPr>
          <w:trHeight w:val="77"/>
          <w:jc w:val="center"/>
        </w:trPr>
        <w:tc>
          <w:tcPr>
            <w:tcW w:w="1146" w:type="dxa"/>
            <w:vMerge w:val="restart"/>
            <w:vAlign w:val="center"/>
          </w:tcPr>
          <w:p w14:paraId="6AB74165" w14:textId="77777777" w:rsidR="00B14D53" w:rsidRDefault="00000000">
            <w:pPr>
              <w:contextualSpacing/>
              <w:jc w:val="center"/>
              <w:rPr>
                <w:rFonts w:eastAsiaTheme="minorEastAsia"/>
                <w:snapToGrid w:val="0"/>
                <w:szCs w:val="21"/>
              </w:rPr>
            </w:pPr>
            <w:r>
              <w:rPr>
                <w:rFonts w:eastAsiaTheme="minorEastAsia"/>
                <w:snapToGrid w:val="0"/>
                <w:szCs w:val="21"/>
              </w:rPr>
              <w:t>阳</w:t>
            </w:r>
          </w:p>
          <w:p w14:paraId="1354C24B" w14:textId="77777777" w:rsidR="00B14D53" w:rsidRDefault="00000000">
            <w:pPr>
              <w:contextualSpacing/>
              <w:jc w:val="center"/>
              <w:rPr>
                <w:rFonts w:eastAsiaTheme="minorEastAsia"/>
                <w:snapToGrid w:val="0"/>
                <w:szCs w:val="21"/>
              </w:rPr>
            </w:pPr>
            <w:r>
              <w:rPr>
                <w:rFonts w:eastAsiaTheme="minorEastAsia"/>
                <w:snapToGrid w:val="0"/>
                <w:szCs w:val="21"/>
              </w:rPr>
              <w:t>离</w:t>
            </w:r>
          </w:p>
          <w:p w14:paraId="35AE81BA" w14:textId="77777777" w:rsidR="00B14D53" w:rsidRDefault="00000000">
            <w:pPr>
              <w:contextualSpacing/>
              <w:jc w:val="center"/>
              <w:rPr>
                <w:rFonts w:eastAsiaTheme="minorEastAsia"/>
                <w:snapToGrid w:val="0"/>
                <w:szCs w:val="21"/>
              </w:rPr>
            </w:pPr>
            <w:r>
              <w:rPr>
                <w:rFonts w:eastAsiaTheme="minorEastAsia"/>
                <w:snapToGrid w:val="0"/>
                <w:szCs w:val="21"/>
              </w:rPr>
              <w:t>子</w:t>
            </w:r>
          </w:p>
        </w:tc>
        <w:tc>
          <w:tcPr>
            <w:tcW w:w="2021" w:type="dxa"/>
            <w:vAlign w:val="center"/>
          </w:tcPr>
          <w:p w14:paraId="02B3852E" w14:textId="77777777" w:rsidR="00B14D53" w:rsidRDefault="00000000">
            <w:pPr>
              <w:contextualSpacing/>
              <w:jc w:val="center"/>
              <w:rPr>
                <w:rFonts w:eastAsiaTheme="minorEastAsia"/>
                <w:snapToGrid w:val="0"/>
                <w:szCs w:val="21"/>
              </w:rPr>
            </w:pPr>
            <w:r>
              <w:rPr>
                <w:rFonts w:eastAsiaTheme="minorEastAsia"/>
                <w:snapToGrid w:val="0"/>
                <w:szCs w:val="21"/>
              </w:rPr>
              <w:t>K</w:t>
            </w:r>
            <w:r>
              <w:rPr>
                <w:rFonts w:eastAsiaTheme="minorEastAsia"/>
                <w:snapToGrid w:val="0"/>
                <w:szCs w:val="21"/>
                <w:vertAlign w:val="superscript"/>
              </w:rPr>
              <w:t>+</w:t>
            </w:r>
            <w:r>
              <w:rPr>
                <w:rFonts w:eastAsiaTheme="minorEastAsia"/>
                <w:snapToGrid w:val="0"/>
                <w:szCs w:val="21"/>
              </w:rPr>
              <w:t>+Na</w:t>
            </w:r>
            <w:r>
              <w:rPr>
                <w:rFonts w:eastAsiaTheme="minorEastAsia"/>
                <w:snapToGrid w:val="0"/>
                <w:szCs w:val="21"/>
                <w:vertAlign w:val="superscript"/>
              </w:rPr>
              <w:t>+</w:t>
            </w:r>
          </w:p>
        </w:tc>
        <w:tc>
          <w:tcPr>
            <w:tcW w:w="1693" w:type="dxa"/>
            <w:vAlign w:val="center"/>
          </w:tcPr>
          <w:p w14:paraId="3C08E990" w14:textId="77777777" w:rsidR="00B14D53" w:rsidRDefault="00000000">
            <w:pPr>
              <w:widowControl/>
              <w:jc w:val="center"/>
              <w:textAlignment w:val="center"/>
              <w:rPr>
                <w:rFonts w:eastAsiaTheme="minorEastAsia"/>
                <w:snapToGrid w:val="0"/>
                <w:szCs w:val="21"/>
              </w:rPr>
            </w:pPr>
            <w:r>
              <w:rPr>
                <w:rFonts w:eastAsia="等线"/>
                <w:color w:val="000000"/>
                <w:kern w:val="0"/>
                <w:szCs w:val="21"/>
                <w:lang w:bidi="ar"/>
              </w:rPr>
              <w:t>19.35</w:t>
            </w:r>
          </w:p>
        </w:tc>
        <w:tc>
          <w:tcPr>
            <w:tcW w:w="1804" w:type="dxa"/>
            <w:vAlign w:val="center"/>
          </w:tcPr>
          <w:p w14:paraId="3CF50777"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0.70</w:t>
            </w:r>
          </w:p>
        </w:tc>
        <w:tc>
          <w:tcPr>
            <w:tcW w:w="1858" w:type="dxa"/>
            <w:vAlign w:val="center"/>
          </w:tcPr>
          <w:p w14:paraId="1F2C3C05"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13.01</w:t>
            </w:r>
          </w:p>
        </w:tc>
      </w:tr>
      <w:tr w:rsidR="00B14D53" w14:paraId="1FB4E641" w14:textId="77777777">
        <w:trPr>
          <w:jc w:val="center"/>
        </w:trPr>
        <w:tc>
          <w:tcPr>
            <w:tcW w:w="1146" w:type="dxa"/>
            <w:vMerge/>
            <w:vAlign w:val="center"/>
          </w:tcPr>
          <w:p w14:paraId="5702302A" w14:textId="77777777" w:rsidR="00B14D53" w:rsidRDefault="00B14D53">
            <w:pPr>
              <w:widowControl/>
              <w:contextualSpacing/>
              <w:jc w:val="center"/>
              <w:rPr>
                <w:rFonts w:eastAsiaTheme="minorEastAsia"/>
                <w:snapToGrid w:val="0"/>
                <w:szCs w:val="21"/>
              </w:rPr>
            </w:pPr>
          </w:p>
        </w:tc>
        <w:tc>
          <w:tcPr>
            <w:tcW w:w="2021" w:type="dxa"/>
            <w:vAlign w:val="center"/>
          </w:tcPr>
          <w:p w14:paraId="09FE934D" w14:textId="77777777" w:rsidR="00B14D53" w:rsidRDefault="00000000">
            <w:pPr>
              <w:contextualSpacing/>
              <w:jc w:val="center"/>
              <w:rPr>
                <w:rFonts w:eastAsiaTheme="minorEastAsia"/>
                <w:snapToGrid w:val="0"/>
                <w:szCs w:val="21"/>
              </w:rPr>
            </w:pPr>
            <w:r>
              <w:rPr>
                <w:rFonts w:eastAsiaTheme="minorEastAsia"/>
                <w:snapToGrid w:val="0"/>
                <w:szCs w:val="21"/>
              </w:rPr>
              <w:t>Ca</w:t>
            </w:r>
            <w:r>
              <w:rPr>
                <w:rFonts w:eastAsiaTheme="minorEastAsia"/>
                <w:snapToGrid w:val="0"/>
                <w:szCs w:val="21"/>
                <w:vertAlign w:val="superscript"/>
              </w:rPr>
              <w:t>2+</w:t>
            </w:r>
          </w:p>
        </w:tc>
        <w:tc>
          <w:tcPr>
            <w:tcW w:w="1693" w:type="dxa"/>
            <w:vAlign w:val="bottom"/>
          </w:tcPr>
          <w:p w14:paraId="0665B4DD"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86.2</w:t>
            </w:r>
          </w:p>
        </w:tc>
        <w:tc>
          <w:tcPr>
            <w:tcW w:w="1804" w:type="dxa"/>
            <w:vAlign w:val="center"/>
          </w:tcPr>
          <w:p w14:paraId="06D82521"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4.31</w:t>
            </w:r>
          </w:p>
        </w:tc>
        <w:tc>
          <w:tcPr>
            <w:tcW w:w="1858" w:type="dxa"/>
            <w:vAlign w:val="center"/>
          </w:tcPr>
          <w:p w14:paraId="2D152839"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80.60</w:t>
            </w:r>
          </w:p>
        </w:tc>
      </w:tr>
      <w:tr w:rsidR="00B14D53" w14:paraId="59E92525" w14:textId="77777777">
        <w:trPr>
          <w:jc w:val="center"/>
        </w:trPr>
        <w:tc>
          <w:tcPr>
            <w:tcW w:w="1146" w:type="dxa"/>
            <w:vMerge/>
            <w:vAlign w:val="center"/>
          </w:tcPr>
          <w:p w14:paraId="79F21364" w14:textId="77777777" w:rsidR="00B14D53" w:rsidRDefault="00B14D53">
            <w:pPr>
              <w:widowControl/>
              <w:contextualSpacing/>
              <w:jc w:val="center"/>
              <w:rPr>
                <w:rFonts w:eastAsiaTheme="minorEastAsia"/>
                <w:snapToGrid w:val="0"/>
                <w:szCs w:val="21"/>
              </w:rPr>
            </w:pPr>
          </w:p>
        </w:tc>
        <w:tc>
          <w:tcPr>
            <w:tcW w:w="2021" w:type="dxa"/>
            <w:vAlign w:val="center"/>
          </w:tcPr>
          <w:p w14:paraId="56DEE3FB" w14:textId="77777777" w:rsidR="00B14D53" w:rsidRDefault="00000000">
            <w:pPr>
              <w:contextualSpacing/>
              <w:jc w:val="center"/>
              <w:rPr>
                <w:rFonts w:eastAsiaTheme="minorEastAsia"/>
                <w:snapToGrid w:val="0"/>
                <w:szCs w:val="21"/>
              </w:rPr>
            </w:pPr>
            <w:r>
              <w:rPr>
                <w:rFonts w:eastAsiaTheme="minorEastAsia"/>
                <w:snapToGrid w:val="0"/>
                <w:szCs w:val="21"/>
              </w:rPr>
              <w:t>Mg</w:t>
            </w:r>
            <w:r>
              <w:rPr>
                <w:rFonts w:eastAsiaTheme="minorEastAsia"/>
                <w:snapToGrid w:val="0"/>
                <w:szCs w:val="21"/>
                <w:vertAlign w:val="superscript"/>
              </w:rPr>
              <w:t>2+</w:t>
            </w:r>
          </w:p>
        </w:tc>
        <w:tc>
          <w:tcPr>
            <w:tcW w:w="1693" w:type="dxa"/>
            <w:vAlign w:val="bottom"/>
          </w:tcPr>
          <w:p w14:paraId="3FDCE961"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4.1</w:t>
            </w:r>
          </w:p>
        </w:tc>
        <w:tc>
          <w:tcPr>
            <w:tcW w:w="1804" w:type="dxa"/>
            <w:vAlign w:val="center"/>
          </w:tcPr>
          <w:p w14:paraId="18F1F5DF"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0.34</w:t>
            </w:r>
          </w:p>
        </w:tc>
        <w:tc>
          <w:tcPr>
            <w:tcW w:w="1858" w:type="dxa"/>
            <w:vAlign w:val="center"/>
          </w:tcPr>
          <w:p w14:paraId="1572385E"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6.39</w:t>
            </w:r>
          </w:p>
        </w:tc>
      </w:tr>
      <w:tr w:rsidR="00B14D53" w14:paraId="7191D447" w14:textId="77777777">
        <w:trPr>
          <w:jc w:val="center"/>
        </w:trPr>
        <w:tc>
          <w:tcPr>
            <w:tcW w:w="1146" w:type="dxa"/>
            <w:vMerge/>
            <w:vAlign w:val="center"/>
          </w:tcPr>
          <w:p w14:paraId="6042E2B8" w14:textId="77777777" w:rsidR="00B14D53" w:rsidRDefault="00B14D53">
            <w:pPr>
              <w:widowControl/>
              <w:contextualSpacing/>
              <w:jc w:val="center"/>
              <w:rPr>
                <w:rFonts w:eastAsiaTheme="minorEastAsia"/>
                <w:snapToGrid w:val="0"/>
                <w:szCs w:val="21"/>
              </w:rPr>
            </w:pPr>
          </w:p>
        </w:tc>
        <w:tc>
          <w:tcPr>
            <w:tcW w:w="2021" w:type="dxa"/>
            <w:vAlign w:val="center"/>
          </w:tcPr>
          <w:p w14:paraId="0100845D" w14:textId="77777777" w:rsidR="00B14D53" w:rsidRDefault="00000000">
            <w:pPr>
              <w:contextualSpacing/>
              <w:jc w:val="center"/>
              <w:rPr>
                <w:rFonts w:eastAsiaTheme="minorEastAsia"/>
                <w:snapToGrid w:val="0"/>
                <w:szCs w:val="21"/>
              </w:rPr>
            </w:pPr>
            <w:r>
              <w:rPr>
                <w:rFonts w:eastAsiaTheme="minorEastAsia"/>
                <w:snapToGrid w:val="0"/>
                <w:szCs w:val="21"/>
              </w:rPr>
              <w:t>总计</w:t>
            </w:r>
          </w:p>
        </w:tc>
        <w:tc>
          <w:tcPr>
            <w:tcW w:w="1693" w:type="dxa"/>
            <w:vAlign w:val="center"/>
          </w:tcPr>
          <w:p w14:paraId="0BE29D42" w14:textId="77777777" w:rsidR="00B14D53" w:rsidRDefault="00000000">
            <w:pPr>
              <w:widowControl/>
              <w:jc w:val="center"/>
              <w:textAlignment w:val="center"/>
              <w:rPr>
                <w:rFonts w:eastAsiaTheme="minorEastAsia"/>
                <w:snapToGrid w:val="0"/>
                <w:szCs w:val="21"/>
              </w:rPr>
            </w:pPr>
            <w:r>
              <w:rPr>
                <w:rFonts w:eastAsia="等线"/>
                <w:color w:val="000000"/>
                <w:kern w:val="0"/>
                <w:szCs w:val="21"/>
                <w:lang w:bidi="ar"/>
              </w:rPr>
              <w:t>109.65</w:t>
            </w:r>
          </w:p>
        </w:tc>
        <w:tc>
          <w:tcPr>
            <w:tcW w:w="1804" w:type="dxa"/>
            <w:vAlign w:val="center"/>
          </w:tcPr>
          <w:p w14:paraId="0FB7ACAC"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5.35</w:t>
            </w:r>
          </w:p>
        </w:tc>
        <w:tc>
          <w:tcPr>
            <w:tcW w:w="1858" w:type="dxa"/>
            <w:vAlign w:val="center"/>
          </w:tcPr>
          <w:p w14:paraId="1467EA3D"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100.0</w:t>
            </w:r>
          </w:p>
        </w:tc>
      </w:tr>
      <w:tr w:rsidR="00B14D53" w14:paraId="35441B25" w14:textId="77777777">
        <w:trPr>
          <w:jc w:val="center"/>
        </w:trPr>
        <w:tc>
          <w:tcPr>
            <w:tcW w:w="1146" w:type="dxa"/>
            <w:vMerge w:val="restart"/>
            <w:vAlign w:val="center"/>
          </w:tcPr>
          <w:p w14:paraId="02898D23" w14:textId="77777777" w:rsidR="00B14D53" w:rsidRDefault="00000000">
            <w:pPr>
              <w:contextualSpacing/>
              <w:jc w:val="center"/>
              <w:rPr>
                <w:rFonts w:eastAsiaTheme="minorEastAsia"/>
                <w:snapToGrid w:val="0"/>
                <w:szCs w:val="21"/>
              </w:rPr>
            </w:pPr>
            <w:r>
              <w:rPr>
                <w:rFonts w:eastAsiaTheme="minorEastAsia"/>
                <w:snapToGrid w:val="0"/>
                <w:szCs w:val="21"/>
              </w:rPr>
              <w:t>阴</w:t>
            </w:r>
          </w:p>
          <w:p w14:paraId="71F831C8" w14:textId="77777777" w:rsidR="00B14D53" w:rsidRDefault="00000000">
            <w:pPr>
              <w:contextualSpacing/>
              <w:jc w:val="center"/>
              <w:rPr>
                <w:rFonts w:eastAsiaTheme="minorEastAsia"/>
                <w:snapToGrid w:val="0"/>
                <w:szCs w:val="21"/>
              </w:rPr>
            </w:pPr>
            <w:r>
              <w:rPr>
                <w:rFonts w:eastAsiaTheme="minorEastAsia"/>
                <w:snapToGrid w:val="0"/>
                <w:szCs w:val="21"/>
              </w:rPr>
              <w:t>离</w:t>
            </w:r>
          </w:p>
          <w:p w14:paraId="599ABD18" w14:textId="77777777" w:rsidR="00B14D53" w:rsidRDefault="00000000">
            <w:pPr>
              <w:contextualSpacing/>
              <w:jc w:val="center"/>
              <w:rPr>
                <w:rFonts w:eastAsiaTheme="minorEastAsia"/>
                <w:snapToGrid w:val="0"/>
                <w:szCs w:val="21"/>
              </w:rPr>
            </w:pPr>
            <w:r>
              <w:rPr>
                <w:rFonts w:eastAsiaTheme="minorEastAsia"/>
                <w:snapToGrid w:val="0"/>
                <w:szCs w:val="21"/>
              </w:rPr>
              <w:t>子</w:t>
            </w:r>
          </w:p>
        </w:tc>
        <w:tc>
          <w:tcPr>
            <w:tcW w:w="2021" w:type="dxa"/>
            <w:vAlign w:val="center"/>
          </w:tcPr>
          <w:p w14:paraId="205520CE" w14:textId="77777777" w:rsidR="00B14D53" w:rsidRDefault="00000000">
            <w:pPr>
              <w:contextualSpacing/>
              <w:jc w:val="center"/>
              <w:rPr>
                <w:rFonts w:eastAsiaTheme="minorEastAsia"/>
                <w:snapToGrid w:val="0"/>
                <w:szCs w:val="21"/>
              </w:rPr>
            </w:pPr>
            <w:r>
              <w:rPr>
                <w:rFonts w:eastAsiaTheme="minorEastAsia"/>
                <w:snapToGrid w:val="0"/>
                <w:szCs w:val="21"/>
              </w:rPr>
              <w:t>HCO</w:t>
            </w:r>
            <w:r>
              <w:rPr>
                <w:rFonts w:eastAsiaTheme="minorEastAsia"/>
                <w:snapToGrid w:val="0"/>
                <w:szCs w:val="21"/>
                <w:vertAlign w:val="subscript"/>
              </w:rPr>
              <w:t>3</w:t>
            </w:r>
            <w:r>
              <w:rPr>
                <w:rFonts w:eastAsiaTheme="minorEastAsia"/>
                <w:snapToGrid w:val="0"/>
                <w:szCs w:val="21"/>
                <w:vertAlign w:val="superscript"/>
              </w:rPr>
              <w:t>-</w:t>
            </w:r>
          </w:p>
        </w:tc>
        <w:tc>
          <w:tcPr>
            <w:tcW w:w="1693" w:type="dxa"/>
            <w:vAlign w:val="bottom"/>
          </w:tcPr>
          <w:p w14:paraId="7CD84591"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156</w:t>
            </w:r>
          </w:p>
        </w:tc>
        <w:tc>
          <w:tcPr>
            <w:tcW w:w="1804" w:type="dxa"/>
            <w:vAlign w:val="center"/>
          </w:tcPr>
          <w:p w14:paraId="0FF1B780"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2.56</w:t>
            </w:r>
          </w:p>
        </w:tc>
        <w:tc>
          <w:tcPr>
            <w:tcW w:w="1858" w:type="dxa"/>
            <w:vAlign w:val="center"/>
          </w:tcPr>
          <w:p w14:paraId="47196BA9"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48.59</w:t>
            </w:r>
          </w:p>
        </w:tc>
      </w:tr>
      <w:tr w:rsidR="00B14D53" w14:paraId="6FFFA29A" w14:textId="77777777">
        <w:trPr>
          <w:jc w:val="center"/>
        </w:trPr>
        <w:tc>
          <w:tcPr>
            <w:tcW w:w="1146" w:type="dxa"/>
            <w:vMerge/>
            <w:vAlign w:val="center"/>
          </w:tcPr>
          <w:p w14:paraId="10D231BC" w14:textId="77777777" w:rsidR="00B14D53" w:rsidRDefault="00B14D53">
            <w:pPr>
              <w:widowControl/>
              <w:contextualSpacing/>
              <w:jc w:val="center"/>
              <w:rPr>
                <w:rFonts w:eastAsiaTheme="minorEastAsia"/>
                <w:snapToGrid w:val="0"/>
                <w:szCs w:val="21"/>
              </w:rPr>
            </w:pPr>
          </w:p>
        </w:tc>
        <w:tc>
          <w:tcPr>
            <w:tcW w:w="2021" w:type="dxa"/>
            <w:vAlign w:val="center"/>
          </w:tcPr>
          <w:p w14:paraId="6ACAC439" w14:textId="77777777" w:rsidR="00B14D53" w:rsidRDefault="00000000">
            <w:pPr>
              <w:contextualSpacing/>
              <w:jc w:val="center"/>
              <w:rPr>
                <w:rFonts w:eastAsiaTheme="minorEastAsia"/>
                <w:snapToGrid w:val="0"/>
                <w:szCs w:val="21"/>
              </w:rPr>
            </w:pPr>
            <w:r>
              <w:rPr>
                <w:rFonts w:eastAsiaTheme="minorEastAsia"/>
                <w:snapToGrid w:val="0"/>
                <w:szCs w:val="21"/>
              </w:rPr>
              <w:t>Cl</w:t>
            </w:r>
            <w:r>
              <w:rPr>
                <w:rFonts w:eastAsiaTheme="minorEastAsia"/>
                <w:snapToGrid w:val="0"/>
                <w:szCs w:val="21"/>
                <w:vertAlign w:val="superscript"/>
              </w:rPr>
              <w:t>-</w:t>
            </w:r>
          </w:p>
        </w:tc>
        <w:tc>
          <w:tcPr>
            <w:tcW w:w="1693" w:type="dxa"/>
            <w:vAlign w:val="bottom"/>
          </w:tcPr>
          <w:p w14:paraId="7FD6B11E"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64.7</w:t>
            </w:r>
          </w:p>
        </w:tc>
        <w:tc>
          <w:tcPr>
            <w:tcW w:w="1804" w:type="dxa"/>
            <w:vAlign w:val="center"/>
          </w:tcPr>
          <w:p w14:paraId="6A55DA2F"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1.82</w:t>
            </w:r>
          </w:p>
        </w:tc>
        <w:tc>
          <w:tcPr>
            <w:tcW w:w="1858" w:type="dxa"/>
            <w:vAlign w:val="center"/>
          </w:tcPr>
          <w:p w14:paraId="7AA03AE0"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34.63</w:t>
            </w:r>
          </w:p>
        </w:tc>
      </w:tr>
      <w:tr w:rsidR="00B14D53" w14:paraId="13F5DCE0" w14:textId="77777777">
        <w:trPr>
          <w:jc w:val="center"/>
        </w:trPr>
        <w:tc>
          <w:tcPr>
            <w:tcW w:w="1146" w:type="dxa"/>
            <w:vMerge/>
            <w:vAlign w:val="center"/>
          </w:tcPr>
          <w:p w14:paraId="3D0DD845" w14:textId="77777777" w:rsidR="00B14D53" w:rsidRDefault="00B14D53">
            <w:pPr>
              <w:widowControl/>
              <w:contextualSpacing/>
              <w:jc w:val="center"/>
              <w:rPr>
                <w:rFonts w:eastAsiaTheme="minorEastAsia"/>
                <w:snapToGrid w:val="0"/>
                <w:szCs w:val="21"/>
              </w:rPr>
            </w:pPr>
          </w:p>
        </w:tc>
        <w:tc>
          <w:tcPr>
            <w:tcW w:w="2021" w:type="dxa"/>
            <w:vAlign w:val="center"/>
          </w:tcPr>
          <w:p w14:paraId="572E9F50" w14:textId="77777777" w:rsidR="00B14D53" w:rsidRDefault="00000000">
            <w:pPr>
              <w:contextualSpacing/>
              <w:jc w:val="center"/>
              <w:rPr>
                <w:rFonts w:eastAsiaTheme="minorEastAsia"/>
                <w:snapToGrid w:val="0"/>
                <w:szCs w:val="21"/>
              </w:rPr>
            </w:pPr>
            <w:r>
              <w:rPr>
                <w:rFonts w:eastAsiaTheme="minorEastAsia"/>
                <w:snapToGrid w:val="0"/>
                <w:szCs w:val="21"/>
              </w:rPr>
              <w:t>SO</w:t>
            </w:r>
            <w:r>
              <w:rPr>
                <w:rFonts w:eastAsiaTheme="minorEastAsia"/>
                <w:snapToGrid w:val="0"/>
                <w:szCs w:val="21"/>
                <w:vertAlign w:val="subscript"/>
              </w:rPr>
              <w:t>4</w:t>
            </w:r>
            <w:r>
              <w:rPr>
                <w:rFonts w:eastAsiaTheme="minorEastAsia"/>
                <w:snapToGrid w:val="0"/>
                <w:szCs w:val="21"/>
                <w:vertAlign w:val="superscript"/>
              </w:rPr>
              <w:t>2-</w:t>
            </w:r>
          </w:p>
        </w:tc>
        <w:tc>
          <w:tcPr>
            <w:tcW w:w="1693" w:type="dxa"/>
            <w:vAlign w:val="bottom"/>
          </w:tcPr>
          <w:p w14:paraId="32A2AE82" w14:textId="77777777" w:rsidR="00B14D53" w:rsidRDefault="00000000">
            <w:pPr>
              <w:widowControl/>
              <w:jc w:val="center"/>
              <w:textAlignment w:val="bottom"/>
              <w:rPr>
                <w:rFonts w:eastAsiaTheme="minorEastAsia"/>
                <w:snapToGrid w:val="0"/>
                <w:szCs w:val="21"/>
              </w:rPr>
            </w:pPr>
            <w:r>
              <w:rPr>
                <w:rFonts w:eastAsia="等线"/>
                <w:color w:val="000000"/>
                <w:kern w:val="0"/>
                <w:szCs w:val="21"/>
                <w:lang w:bidi="ar"/>
              </w:rPr>
              <w:t>42.4</w:t>
            </w:r>
          </w:p>
        </w:tc>
        <w:tc>
          <w:tcPr>
            <w:tcW w:w="1804" w:type="dxa"/>
            <w:vAlign w:val="center"/>
          </w:tcPr>
          <w:p w14:paraId="260D8107"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0.88</w:t>
            </w:r>
          </w:p>
        </w:tc>
        <w:tc>
          <w:tcPr>
            <w:tcW w:w="1858" w:type="dxa"/>
            <w:vAlign w:val="center"/>
          </w:tcPr>
          <w:p w14:paraId="6F1BAE2D"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16.78</w:t>
            </w:r>
          </w:p>
        </w:tc>
      </w:tr>
      <w:tr w:rsidR="00B14D53" w14:paraId="39948C1D" w14:textId="77777777">
        <w:trPr>
          <w:jc w:val="center"/>
        </w:trPr>
        <w:tc>
          <w:tcPr>
            <w:tcW w:w="1146" w:type="dxa"/>
            <w:vMerge/>
            <w:vAlign w:val="center"/>
          </w:tcPr>
          <w:p w14:paraId="5A273FD6" w14:textId="77777777" w:rsidR="00B14D53" w:rsidRDefault="00B14D53">
            <w:pPr>
              <w:widowControl/>
              <w:contextualSpacing/>
              <w:jc w:val="center"/>
              <w:rPr>
                <w:rFonts w:eastAsiaTheme="minorEastAsia"/>
                <w:snapToGrid w:val="0"/>
                <w:szCs w:val="21"/>
              </w:rPr>
            </w:pPr>
          </w:p>
        </w:tc>
        <w:tc>
          <w:tcPr>
            <w:tcW w:w="2021" w:type="dxa"/>
            <w:vAlign w:val="center"/>
          </w:tcPr>
          <w:p w14:paraId="2EC8D301" w14:textId="77777777" w:rsidR="00B14D53" w:rsidRDefault="00000000">
            <w:pPr>
              <w:contextualSpacing/>
              <w:jc w:val="center"/>
              <w:rPr>
                <w:rFonts w:eastAsiaTheme="minorEastAsia"/>
                <w:snapToGrid w:val="0"/>
                <w:szCs w:val="21"/>
              </w:rPr>
            </w:pPr>
            <w:r>
              <w:rPr>
                <w:rFonts w:eastAsiaTheme="minorEastAsia"/>
                <w:snapToGrid w:val="0"/>
                <w:szCs w:val="21"/>
              </w:rPr>
              <w:t>总计</w:t>
            </w:r>
          </w:p>
        </w:tc>
        <w:tc>
          <w:tcPr>
            <w:tcW w:w="1693" w:type="dxa"/>
            <w:vAlign w:val="center"/>
          </w:tcPr>
          <w:p w14:paraId="6953942B"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263.1</w:t>
            </w:r>
          </w:p>
        </w:tc>
        <w:tc>
          <w:tcPr>
            <w:tcW w:w="1804" w:type="dxa"/>
            <w:vAlign w:val="center"/>
          </w:tcPr>
          <w:p w14:paraId="46682869"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5.26</w:t>
            </w:r>
          </w:p>
        </w:tc>
        <w:tc>
          <w:tcPr>
            <w:tcW w:w="1858" w:type="dxa"/>
            <w:vAlign w:val="center"/>
          </w:tcPr>
          <w:p w14:paraId="24E3287A" w14:textId="77777777" w:rsidR="00B14D53" w:rsidRDefault="00000000">
            <w:pPr>
              <w:widowControl/>
              <w:jc w:val="center"/>
              <w:textAlignment w:val="center"/>
              <w:rPr>
                <w:rFonts w:eastAsiaTheme="minorEastAsia"/>
                <w:snapToGrid w:val="0"/>
                <w:szCs w:val="21"/>
              </w:rPr>
            </w:pPr>
            <w:r>
              <w:rPr>
                <w:rFonts w:eastAsia="等线"/>
                <w:color w:val="000000"/>
                <w:kern w:val="0"/>
                <w:sz w:val="22"/>
                <w:szCs w:val="22"/>
                <w:lang w:bidi="ar"/>
              </w:rPr>
              <w:t>100.0</w:t>
            </w:r>
          </w:p>
        </w:tc>
      </w:tr>
    </w:tbl>
    <w:p w14:paraId="12D00C6E" w14:textId="77777777" w:rsidR="00B14D53" w:rsidRDefault="00000000">
      <w:pPr>
        <w:spacing w:line="360" w:lineRule="auto"/>
        <w:ind w:firstLine="372"/>
        <w:rPr>
          <w:rFonts w:eastAsiaTheme="minorEastAsia"/>
          <w:sz w:val="24"/>
        </w:rPr>
      </w:pPr>
      <w:r>
        <w:rPr>
          <w:rFonts w:eastAsiaTheme="minorEastAsia" w:hAnsiTheme="minorEastAsia"/>
          <w:sz w:val="24"/>
        </w:rPr>
        <w:t>☆</w:t>
      </w:r>
      <w:r>
        <w:rPr>
          <w:rFonts w:eastAsiaTheme="minorEastAsia"/>
          <w:sz w:val="24"/>
        </w:rPr>
        <w:t>01</w:t>
      </w:r>
      <w:r>
        <w:rPr>
          <w:rFonts w:eastAsiaTheme="minorEastAsia" w:hAnsiTheme="minorEastAsia"/>
          <w:sz w:val="24"/>
        </w:rPr>
        <w:t>水质矿化度计算过程：</w:t>
      </w:r>
    </w:p>
    <w:p w14:paraId="52798DE9"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应先将阴离子的</w:t>
      </w:r>
      <w:r>
        <w:rPr>
          <w:rFonts w:eastAsiaTheme="minorEastAsia"/>
          <w:sz w:val="24"/>
        </w:rPr>
        <w:t>mg/L</w:t>
      </w:r>
      <w:r>
        <w:rPr>
          <w:rFonts w:eastAsiaTheme="minorEastAsia" w:hAnsiTheme="minorEastAsia"/>
          <w:sz w:val="24"/>
        </w:rPr>
        <w:t>数换算成</w:t>
      </w:r>
      <w:r>
        <w:rPr>
          <w:rFonts w:eastAsiaTheme="minorEastAsia"/>
          <w:sz w:val="24"/>
        </w:rPr>
        <w:t>mmol/L</w:t>
      </w:r>
      <w:r>
        <w:rPr>
          <w:rFonts w:eastAsiaTheme="minorEastAsia" w:hAnsiTheme="minorEastAsia"/>
          <w:sz w:val="24"/>
        </w:rPr>
        <w:t>数。它们的摩尔质量</w:t>
      </w:r>
      <w:r>
        <w:rPr>
          <w:rFonts w:eastAsiaTheme="minorEastAsia"/>
          <w:sz w:val="24"/>
        </w:rPr>
        <w:t>—mg/mmol</w:t>
      </w:r>
      <w:r>
        <w:rPr>
          <w:rFonts w:eastAsiaTheme="minorEastAsia" w:hAnsiTheme="minorEastAsia"/>
          <w:sz w:val="24"/>
        </w:rPr>
        <w:t>数分别采用：</w:t>
      </w:r>
      <w:r>
        <w:rPr>
          <w:rFonts w:eastAsiaTheme="minorEastAsia"/>
          <w:sz w:val="24"/>
        </w:rPr>
        <w:t>M</w:t>
      </w:r>
      <w:r>
        <w:rPr>
          <w:rFonts w:eastAsiaTheme="minorEastAsia" w:hAnsiTheme="minorEastAsia"/>
          <w:sz w:val="24"/>
        </w:rPr>
        <w:t>（</w:t>
      </w:r>
      <m:oMath>
        <m:f>
          <m:fPr>
            <m:type m:val="skw"/>
            <m:ctrlPr>
              <w:rPr>
                <w:rFonts w:ascii="Cambria Math" w:eastAsiaTheme="minorEastAsia" w:hAnsi="Cambria Math"/>
                <w:sz w:val="24"/>
              </w:rPr>
            </m:ctrlPr>
          </m:fPr>
          <m:num>
            <m:r>
              <m:rPr>
                <m:sty m:val="p"/>
              </m:rPr>
              <w:rPr>
                <w:rFonts w:ascii="Cambria Math" w:eastAsiaTheme="minorEastAsia"/>
              </w:rPr>
              <m:t>1</m:t>
            </m:r>
          </m:num>
          <m:den>
            <m:r>
              <m:rPr>
                <m:sty m:val="p"/>
              </m:rPr>
              <w:rPr>
                <w:rFonts w:ascii="Cambria Math" w:eastAsiaTheme="minorEastAsia"/>
              </w:rPr>
              <m:t>2</m:t>
            </m:r>
          </m:den>
        </m:f>
        <m:sSubSup>
          <m:sSubSupPr>
            <m:ctrlPr>
              <w:rPr>
                <w:rFonts w:ascii="Cambria Math" w:eastAsiaTheme="minorEastAsia" w:hAnsi="Cambria Math"/>
                <w:sz w:val="24"/>
              </w:rPr>
            </m:ctrlPr>
          </m:sSubSupPr>
          <m:e>
            <m:r>
              <m:rPr>
                <m:sty m:val="p"/>
              </m:rPr>
              <w:rPr>
                <w:rFonts w:ascii="Cambria Math" w:eastAsiaTheme="minorEastAsia"/>
              </w:rPr>
              <m:t>CO</m:t>
            </m:r>
          </m:e>
          <m:sub>
            <m:r>
              <m:rPr>
                <m:sty m:val="p"/>
              </m:rPr>
              <w:rPr>
                <w:rFonts w:ascii="Cambria Math" w:eastAsiaTheme="minorEastAsia"/>
              </w:rPr>
              <m:t>3</m:t>
            </m:r>
          </m:sub>
          <m:sup>
            <m:r>
              <m:rPr>
                <m:sty m:val="p"/>
              </m:rPr>
              <w:rPr>
                <w:rFonts w:ascii="Cambria Math" w:eastAsiaTheme="minorEastAsia"/>
              </w:rPr>
              <m:t>2</m:t>
            </m:r>
            <m:r>
              <m:rPr>
                <m:sty m:val="p"/>
              </m:rPr>
              <w:rPr>
                <w:rFonts w:eastAsiaTheme="minorEastAsia"/>
              </w:rPr>
              <m:t>-</m:t>
            </m:r>
          </m:sup>
        </m:sSubSup>
      </m:oMath>
      <w:r>
        <w:rPr>
          <w:rFonts w:eastAsiaTheme="minorEastAsia" w:hAnsiTheme="minorEastAsia"/>
          <w:sz w:val="24"/>
        </w:rPr>
        <w:t>）是</w:t>
      </w:r>
      <w:r>
        <w:rPr>
          <w:rFonts w:eastAsiaTheme="minorEastAsia"/>
          <w:sz w:val="24"/>
        </w:rPr>
        <w:t>30</w:t>
      </w:r>
      <w:r>
        <w:rPr>
          <w:rFonts w:eastAsiaTheme="minorEastAsia" w:hAnsiTheme="minorEastAsia"/>
          <w:sz w:val="24"/>
        </w:rPr>
        <w:t>，</w:t>
      </w:r>
      <w:r>
        <w:rPr>
          <w:rFonts w:eastAsiaTheme="minorEastAsia"/>
          <w:sz w:val="24"/>
        </w:rPr>
        <w:t>M</w:t>
      </w:r>
      <w:r>
        <w:rPr>
          <w:rFonts w:eastAsiaTheme="minorEastAsia" w:hAnsiTheme="minorEastAsia"/>
          <w:sz w:val="24"/>
        </w:rPr>
        <w:t>（</w:t>
      </w:r>
      <m:oMath>
        <m:r>
          <m:rPr>
            <m:sty m:val="p"/>
          </m:rPr>
          <w:rPr>
            <w:rFonts w:ascii="Cambria Math" w:eastAsiaTheme="minorEastAsia"/>
          </w:rPr>
          <m:t>H</m:t>
        </m:r>
        <m:sSubSup>
          <m:sSubSupPr>
            <m:ctrlPr>
              <w:rPr>
                <w:rFonts w:ascii="Cambria Math" w:eastAsiaTheme="minorEastAsia" w:hAnsi="Cambria Math"/>
                <w:sz w:val="24"/>
              </w:rPr>
            </m:ctrlPr>
          </m:sSubSupPr>
          <m:e>
            <m:r>
              <m:rPr>
                <m:sty m:val="p"/>
              </m:rPr>
              <w:rPr>
                <w:rFonts w:ascii="Cambria Math" w:eastAsiaTheme="minorEastAsia"/>
              </w:rPr>
              <m:t>CO</m:t>
            </m:r>
          </m:e>
          <m:sub>
            <m:r>
              <m:rPr>
                <m:sty m:val="p"/>
              </m:rPr>
              <w:rPr>
                <w:rFonts w:ascii="Cambria Math" w:eastAsiaTheme="minorEastAsia"/>
              </w:rPr>
              <m:t>3</m:t>
            </m:r>
          </m:sub>
          <m:sup>
            <m:r>
              <m:rPr>
                <m:sty m:val="p"/>
              </m:rPr>
              <w:rPr>
                <w:rFonts w:eastAsiaTheme="minorEastAsia"/>
              </w:rPr>
              <m:t>-</m:t>
            </m:r>
          </m:sup>
        </m:sSubSup>
      </m:oMath>
      <w:r>
        <w:rPr>
          <w:rFonts w:eastAsiaTheme="minorEastAsia" w:hAnsiTheme="minorEastAsia"/>
          <w:sz w:val="24"/>
        </w:rPr>
        <w:t>）是</w:t>
      </w:r>
      <w:r>
        <w:rPr>
          <w:rFonts w:eastAsiaTheme="minorEastAsia"/>
          <w:sz w:val="24"/>
        </w:rPr>
        <w:t>61</w:t>
      </w:r>
      <w:r>
        <w:rPr>
          <w:rFonts w:eastAsiaTheme="minorEastAsia" w:hAnsiTheme="minorEastAsia"/>
          <w:sz w:val="24"/>
        </w:rPr>
        <w:t>，</w:t>
      </w:r>
      <w:r>
        <w:rPr>
          <w:rFonts w:eastAsiaTheme="minorEastAsia"/>
          <w:sz w:val="24"/>
        </w:rPr>
        <w:t>M</w:t>
      </w:r>
      <w:r>
        <w:rPr>
          <w:rFonts w:eastAsiaTheme="minorEastAsia" w:hAnsiTheme="minorEastAsia"/>
          <w:sz w:val="24"/>
        </w:rPr>
        <w:t>（</w:t>
      </w:r>
      <w:r>
        <w:rPr>
          <w:rFonts w:eastAsiaTheme="minorEastAsia"/>
          <w:sz w:val="24"/>
        </w:rPr>
        <w:t>Cl</w:t>
      </w:r>
      <w:r>
        <w:rPr>
          <w:rFonts w:eastAsiaTheme="minorEastAsia"/>
          <w:sz w:val="24"/>
          <w:vertAlign w:val="superscript"/>
        </w:rPr>
        <w:t>-</w:t>
      </w:r>
      <w:r>
        <w:rPr>
          <w:rFonts w:eastAsiaTheme="minorEastAsia" w:hAnsiTheme="minorEastAsia"/>
          <w:sz w:val="24"/>
        </w:rPr>
        <w:t>）是</w:t>
      </w:r>
      <w:r>
        <w:rPr>
          <w:rFonts w:eastAsiaTheme="minorEastAsia"/>
          <w:sz w:val="24"/>
        </w:rPr>
        <w:t>35.5</w:t>
      </w:r>
      <w:r>
        <w:rPr>
          <w:rFonts w:eastAsiaTheme="minorEastAsia" w:hAnsiTheme="minorEastAsia"/>
          <w:sz w:val="24"/>
        </w:rPr>
        <w:t>，</w:t>
      </w:r>
      <w:r>
        <w:rPr>
          <w:rFonts w:eastAsiaTheme="minorEastAsia"/>
          <w:sz w:val="24"/>
        </w:rPr>
        <w:t>M</w:t>
      </w:r>
      <w:r>
        <w:rPr>
          <w:rFonts w:eastAsiaTheme="minorEastAsia" w:hAnsiTheme="minorEastAsia"/>
          <w:sz w:val="24"/>
        </w:rPr>
        <w:t>（</w:t>
      </w:r>
      <m:oMath>
        <m:f>
          <m:fPr>
            <m:type m:val="skw"/>
            <m:ctrlPr>
              <w:rPr>
                <w:rFonts w:ascii="Cambria Math" w:eastAsiaTheme="minorEastAsia" w:hAnsi="Cambria Math"/>
                <w:sz w:val="24"/>
              </w:rPr>
            </m:ctrlPr>
          </m:fPr>
          <m:num>
            <m:r>
              <m:rPr>
                <m:sty m:val="p"/>
              </m:rPr>
              <w:rPr>
                <w:rFonts w:ascii="Cambria Math" w:eastAsiaTheme="minorEastAsia"/>
              </w:rPr>
              <m:t>1</m:t>
            </m:r>
          </m:num>
          <m:den>
            <m:r>
              <m:rPr>
                <m:sty m:val="p"/>
              </m:rPr>
              <w:rPr>
                <w:rFonts w:ascii="Cambria Math" w:eastAsiaTheme="minorEastAsia"/>
              </w:rPr>
              <m:t>2</m:t>
            </m:r>
          </m:den>
        </m:f>
        <m:r>
          <m:rPr>
            <m:sty m:val="p"/>
          </m:rPr>
          <w:rPr>
            <w:rFonts w:ascii="Cambria Math" w:eastAsiaTheme="minorEastAsia"/>
          </w:rPr>
          <m:t>H</m:t>
        </m:r>
        <m:sSubSup>
          <m:sSubSupPr>
            <m:ctrlPr>
              <w:rPr>
                <w:rFonts w:ascii="Cambria Math" w:eastAsiaTheme="minorEastAsia" w:hAnsi="Cambria Math"/>
                <w:sz w:val="24"/>
              </w:rPr>
            </m:ctrlPr>
          </m:sSubSupPr>
          <m:e>
            <m:r>
              <m:rPr>
                <m:sty m:val="p"/>
              </m:rPr>
              <w:rPr>
                <w:rFonts w:ascii="Cambria Math" w:eastAsiaTheme="minorEastAsia"/>
              </w:rPr>
              <m:t>SO</m:t>
            </m:r>
          </m:e>
          <m:sub>
            <m:r>
              <m:rPr>
                <m:sty m:val="p"/>
              </m:rPr>
              <w:rPr>
                <w:rFonts w:ascii="Cambria Math" w:eastAsiaTheme="minorEastAsia"/>
              </w:rPr>
              <m:t>4</m:t>
            </m:r>
          </m:sub>
          <m:sup>
            <m:r>
              <m:rPr>
                <m:sty m:val="p"/>
              </m:rPr>
              <w:rPr>
                <w:rFonts w:ascii="Cambria Math" w:eastAsiaTheme="minorEastAsia"/>
              </w:rPr>
              <m:t>2</m:t>
            </m:r>
            <m:r>
              <m:rPr>
                <m:sty m:val="p"/>
              </m:rPr>
              <w:rPr>
                <w:rFonts w:eastAsiaTheme="minorEastAsia"/>
              </w:rPr>
              <m:t>-</m:t>
            </m:r>
          </m:sup>
        </m:sSubSup>
      </m:oMath>
      <w:r>
        <w:rPr>
          <w:rFonts w:eastAsiaTheme="minorEastAsia" w:hAnsiTheme="minorEastAsia"/>
          <w:sz w:val="24"/>
        </w:rPr>
        <w:t>）是</w:t>
      </w:r>
      <w:r>
        <w:rPr>
          <w:rFonts w:eastAsiaTheme="minorEastAsia"/>
          <w:sz w:val="24"/>
        </w:rPr>
        <w:t>48</w:t>
      </w:r>
      <w:r>
        <w:rPr>
          <w:rFonts w:eastAsiaTheme="minorEastAsia" w:hAnsiTheme="minorEastAsia"/>
          <w:sz w:val="24"/>
        </w:rPr>
        <w:t>。</w:t>
      </w:r>
    </w:p>
    <w:p w14:paraId="1C45F518" w14:textId="77777777" w:rsidR="00B14D53" w:rsidRDefault="00000000">
      <w:pPr>
        <w:spacing w:line="360" w:lineRule="auto"/>
        <w:rPr>
          <w:rFonts w:eastAsiaTheme="minorEastAsia"/>
          <w:sz w:val="24"/>
        </w:rPr>
      </w:pPr>
      <w:r>
        <w:rPr>
          <w:rFonts w:eastAsiaTheme="minorEastAsia" w:hAnsiTheme="minorEastAsia"/>
          <w:sz w:val="24"/>
        </w:rPr>
        <w:t>所以，</w:t>
      </w:r>
      <w:r>
        <w:rPr>
          <w:rFonts w:eastAsiaTheme="minorEastAsia"/>
          <w:sz w:val="24"/>
        </w:rPr>
        <w:t>C</w:t>
      </w:r>
      <w:r>
        <w:rPr>
          <w:rFonts w:eastAsiaTheme="minorEastAsia" w:hAnsiTheme="minorEastAsia"/>
          <w:sz w:val="24"/>
        </w:rPr>
        <w:t>（</w:t>
      </w:r>
      <m:oMath>
        <m:r>
          <m:rPr>
            <m:sty m:val="p"/>
          </m:rPr>
          <w:rPr>
            <w:rFonts w:ascii="Cambria Math" w:eastAsiaTheme="minorEastAsia"/>
          </w:rPr>
          <m:t>H</m:t>
        </m:r>
        <m:sSubSup>
          <m:sSubSupPr>
            <m:ctrlPr>
              <w:rPr>
                <w:rFonts w:ascii="Cambria Math" w:eastAsiaTheme="minorEastAsia" w:hAnsi="Cambria Math"/>
                <w:sz w:val="24"/>
              </w:rPr>
            </m:ctrlPr>
          </m:sSubSupPr>
          <m:e>
            <m:r>
              <m:rPr>
                <m:sty m:val="p"/>
              </m:rPr>
              <w:rPr>
                <w:rFonts w:ascii="Cambria Math" w:eastAsiaTheme="minorEastAsia"/>
              </w:rPr>
              <m:t>CO</m:t>
            </m:r>
          </m:e>
          <m:sub>
            <m:r>
              <m:rPr>
                <m:sty m:val="p"/>
              </m:rPr>
              <w:rPr>
                <w:rFonts w:ascii="Cambria Math" w:eastAsiaTheme="minorEastAsia"/>
              </w:rPr>
              <m:t>3</m:t>
            </m:r>
          </m:sub>
          <m:sup>
            <m:r>
              <m:rPr>
                <m:sty m:val="p"/>
              </m:rPr>
              <w:rPr>
                <w:rFonts w:eastAsiaTheme="minorEastAsia"/>
              </w:rPr>
              <m:t>-</m:t>
            </m:r>
          </m:sup>
        </m:sSubSup>
      </m:oMath>
      <w:r>
        <w:rPr>
          <w:rFonts w:eastAsiaTheme="minorEastAsia" w:hAnsiTheme="minorEastAsia"/>
          <w:sz w:val="24"/>
        </w:rPr>
        <w:t>）</w:t>
      </w:r>
      <w:r>
        <w:rPr>
          <w:rFonts w:eastAsiaTheme="minorEastAsia"/>
          <w:sz w:val="24"/>
        </w:rPr>
        <w:t>=</w:t>
      </w:r>
      <w:r>
        <w:rPr>
          <w:rFonts w:eastAsiaTheme="minorEastAsia"/>
          <w:sz w:val="24"/>
        </w:rPr>
        <w:softHyphen/>
      </w:r>
      <m:oMath>
        <m:f>
          <m:fPr>
            <m:ctrlPr>
              <w:rPr>
                <w:rFonts w:ascii="Cambria Math" w:eastAsiaTheme="minorEastAsia" w:hAnsi="Cambria Math"/>
                <w:sz w:val="24"/>
              </w:rPr>
            </m:ctrlPr>
          </m:fPr>
          <m:num>
            <m:r>
              <m:rPr>
                <m:sty m:val="p"/>
              </m:rPr>
              <w:rPr>
                <w:rFonts w:ascii="Cambria Math" w:eastAsiaTheme="minorEastAsia" w:hAnsi="Cambria Math"/>
                <w:sz w:val="24"/>
              </w:rPr>
              <m:t>200</m:t>
            </m:r>
          </m:num>
          <m:den>
            <m:r>
              <m:rPr>
                <m:sty m:val="p"/>
              </m:rPr>
              <w:rPr>
                <w:rFonts w:ascii="Cambria Math" w:eastAsiaTheme="minorEastAsia"/>
                <w:sz w:val="24"/>
              </w:rPr>
              <m:t>61</m:t>
            </m:r>
          </m:den>
        </m:f>
      </m:oMath>
      <w:r>
        <w:rPr>
          <w:rFonts w:eastAsiaTheme="minorEastAsia"/>
          <w:sz w:val="24"/>
        </w:rPr>
        <w:fldChar w:fldCharType="begin"/>
      </w:r>
      <w:r>
        <w:rPr>
          <w:rFonts w:eastAsiaTheme="minorEastAsia"/>
          <w:sz w:val="24"/>
        </w:rPr>
        <w:instrText xml:space="preserve"> QUOTE </w:instrText>
      </w:r>
      <m:oMath>
        <m:f>
          <m:fPr>
            <m:ctrlPr>
              <w:rPr>
                <w:rFonts w:ascii="Cambria Math" w:eastAsiaTheme="minorEastAsia" w:hAnsi="Cambria Math"/>
                <w:sz w:val="24"/>
              </w:rPr>
            </m:ctrlPr>
          </m:fPr>
          <m:num>
            <m:r>
              <m:rPr>
                <m:sty m:val="p"/>
              </m:rPr>
              <w:rPr>
                <w:rFonts w:ascii="Cambria Math" w:eastAsiaTheme="minorEastAsia"/>
              </w:rPr>
              <m:t>231</m:t>
            </m:r>
          </m:num>
          <m:den>
            <m:r>
              <m:rPr>
                <m:sty m:val="p"/>
              </m:rPr>
              <w:rPr>
                <w:rFonts w:ascii="Cambria Math" w:eastAsiaTheme="minorEastAsia"/>
              </w:rPr>
              <m:t>61</m:t>
            </m:r>
          </m:den>
        </m:f>
      </m:oMath>
      <w:r>
        <w:rPr>
          <w:rFonts w:eastAsiaTheme="minorEastAsia"/>
          <w:sz w:val="24"/>
        </w:rPr>
        <w:instrText xml:space="preserve"> </w:instrText>
      </w:r>
      <w:r>
        <w:rPr>
          <w:rFonts w:eastAsiaTheme="minorEastAsia"/>
          <w:sz w:val="24"/>
        </w:rPr>
        <w:fldChar w:fldCharType="end"/>
      </w:r>
      <w:r>
        <w:rPr>
          <w:rFonts w:eastAsiaTheme="minorEastAsia"/>
          <w:sz w:val="24"/>
        </w:rPr>
        <w:t>=</w:t>
      </w:r>
      <w:r>
        <w:rPr>
          <w:rFonts w:eastAsiaTheme="minorEastAsia" w:hint="eastAsia"/>
          <w:sz w:val="24"/>
        </w:rPr>
        <w:t>3.28</w:t>
      </w:r>
    </w:p>
    <w:p w14:paraId="42D85E34" w14:textId="77777777" w:rsidR="00B14D53" w:rsidRDefault="00000000">
      <w:pPr>
        <w:spacing w:line="360" w:lineRule="auto"/>
        <w:rPr>
          <w:rFonts w:eastAsiaTheme="minorEastAsia"/>
          <w:sz w:val="24"/>
        </w:rPr>
      </w:pPr>
      <w:r>
        <w:rPr>
          <w:rFonts w:eastAsiaTheme="minorEastAsia"/>
          <w:sz w:val="24"/>
        </w:rPr>
        <w:t xml:space="preserve">      C</w:t>
      </w:r>
      <w:r>
        <w:rPr>
          <w:rFonts w:eastAsiaTheme="minorEastAsia" w:hAnsiTheme="minorEastAsia"/>
          <w:sz w:val="24"/>
        </w:rPr>
        <w:t>（</w:t>
      </w:r>
      <w:r>
        <w:rPr>
          <w:rFonts w:eastAsiaTheme="minorEastAsia"/>
          <w:sz w:val="24"/>
        </w:rPr>
        <w:t>Cl</w:t>
      </w:r>
      <w:r>
        <w:rPr>
          <w:rFonts w:eastAsiaTheme="minorEastAsia"/>
          <w:sz w:val="24"/>
          <w:vertAlign w:val="superscript"/>
        </w:rPr>
        <w:t>-</w:t>
      </w:r>
      <w:r>
        <w:rPr>
          <w:rFonts w:eastAsiaTheme="minorEastAsia" w:hAnsiTheme="minorEastAsia"/>
          <w:sz w:val="24"/>
        </w:rPr>
        <w:t>）</w:t>
      </w:r>
      <w:r>
        <w:rPr>
          <w:rFonts w:eastAsiaTheme="minorEastAsia"/>
          <w:sz w:val="24"/>
        </w:rPr>
        <w:t>=</w:t>
      </w:r>
      <m:oMath>
        <m:f>
          <m:fPr>
            <m:ctrlPr>
              <w:rPr>
                <w:rFonts w:ascii="Cambria Math" w:eastAsiaTheme="minorEastAsia" w:hAnsi="Cambria Math"/>
                <w:sz w:val="24"/>
              </w:rPr>
            </m:ctrlPr>
          </m:fPr>
          <m:num>
            <m:r>
              <m:rPr>
                <m:sty m:val="p"/>
              </m:rPr>
              <w:rPr>
                <w:rFonts w:ascii="Cambria Math" w:eastAsiaTheme="minorEastAsia"/>
                <w:sz w:val="24"/>
              </w:rPr>
              <m:t>16.2</m:t>
            </m:r>
          </m:num>
          <m:den>
            <m:r>
              <m:rPr>
                <m:sty m:val="p"/>
              </m:rPr>
              <w:rPr>
                <w:rFonts w:ascii="Cambria Math" w:eastAsiaTheme="minorEastAsia"/>
              </w:rPr>
              <m:t>35.5</m:t>
            </m:r>
          </m:den>
        </m:f>
      </m:oMath>
      <w:r>
        <w:rPr>
          <w:rFonts w:eastAsiaTheme="minorEastAsia"/>
          <w:sz w:val="24"/>
        </w:rPr>
        <w:t>=</w:t>
      </w:r>
      <w:r>
        <w:rPr>
          <w:rFonts w:eastAsiaTheme="minorEastAsia" w:hint="eastAsia"/>
          <w:sz w:val="24"/>
        </w:rPr>
        <w:t>0.46</w:t>
      </w:r>
    </w:p>
    <w:p w14:paraId="01A2CB7C" w14:textId="77777777" w:rsidR="00B14D53" w:rsidRDefault="00000000">
      <w:pPr>
        <w:spacing w:line="360" w:lineRule="auto"/>
        <w:rPr>
          <w:rFonts w:eastAsiaTheme="minorEastAsia"/>
          <w:sz w:val="24"/>
        </w:rPr>
      </w:pPr>
      <w:r>
        <w:rPr>
          <w:rFonts w:eastAsiaTheme="minorEastAsia"/>
          <w:sz w:val="24"/>
        </w:rPr>
        <w:t xml:space="preserve">      C</w:t>
      </w:r>
      <w:r>
        <w:rPr>
          <w:rFonts w:eastAsiaTheme="minorEastAsia" w:hAnsiTheme="minorEastAsia"/>
          <w:sz w:val="24"/>
        </w:rPr>
        <w:t>（</w:t>
      </w:r>
      <m:oMath>
        <m:f>
          <m:fPr>
            <m:type m:val="skw"/>
            <m:ctrlPr>
              <w:rPr>
                <w:rFonts w:ascii="Cambria Math" w:eastAsiaTheme="minorEastAsia" w:hAnsi="Cambria Math"/>
                <w:sz w:val="24"/>
              </w:rPr>
            </m:ctrlPr>
          </m:fPr>
          <m:num>
            <m:r>
              <m:rPr>
                <m:sty m:val="p"/>
              </m:rPr>
              <w:rPr>
                <w:rFonts w:ascii="Cambria Math" w:eastAsiaTheme="minorEastAsia"/>
              </w:rPr>
              <m:t>1</m:t>
            </m:r>
          </m:num>
          <m:den>
            <m:r>
              <m:rPr>
                <m:sty m:val="p"/>
              </m:rPr>
              <w:rPr>
                <w:rFonts w:ascii="Cambria Math" w:eastAsiaTheme="minorEastAsia"/>
              </w:rPr>
              <m:t>2</m:t>
            </m:r>
          </m:den>
        </m:f>
        <m:sSubSup>
          <m:sSubSupPr>
            <m:ctrlPr>
              <w:rPr>
                <w:rFonts w:ascii="Cambria Math" w:eastAsiaTheme="minorEastAsia" w:hAnsi="Cambria Math"/>
                <w:sz w:val="24"/>
              </w:rPr>
            </m:ctrlPr>
          </m:sSubSupPr>
          <m:e>
            <m:r>
              <m:rPr>
                <m:sty m:val="p"/>
              </m:rPr>
              <w:rPr>
                <w:rFonts w:ascii="Cambria Math" w:eastAsiaTheme="minorEastAsia"/>
              </w:rPr>
              <m:t>SO</m:t>
            </m:r>
          </m:e>
          <m:sub>
            <m:r>
              <m:rPr>
                <m:sty m:val="p"/>
              </m:rPr>
              <w:rPr>
                <w:rFonts w:ascii="Cambria Math" w:eastAsiaTheme="minorEastAsia"/>
              </w:rPr>
              <m:t>4</m:t>
            </m:r>
          </m:sub>
          <m:sup>
            <m:r>
              <m:rPr>
                <m:sty m:val="p"/>
              </m:rPr>
              <w:rPr>
                <w:rFonts w:ascii="Cambria Math" w:eastAsiaTheme="minorEastAsia"/>
              </w:rPr>
              <m:t>2</m:t>
            </m:r>
            <m:r>
              <m:rPr>
                <m:sty m:val="p"/>
              </m:rPr>
              <w:rPr>
                <w:rFonts w:eastAsiaTheme="minorEastAsia"/>
              </w:rPr>
              <m:t>-</m:t>
            </m:r>
          </m:sup>
        </m:sSubSup>
      </m:oMath>
      <w:r>
        <w:rPr>
          <w:rFonts w:eastAsiaTheme="minorEastAsia" w:hAnsiTheme="minorEastAsia"/>
          <w:sz w:val="24"/>
        </w:rPr>
        <w:t>）</w:t>
      </w:r>
      <w:r>
        <w:rPr>
          <w:rFonts w:eastAsiaTheme="minorEastAsia"/>
          <w:sz w:val="24"/>
        </w:rPr>
        <w:t>=</w:t>
      </w:r>
      <m:oMath>
        <m:f>
          <m:fPr>
            <m:ctrlPr>
              <w:rPr>
                <w:rFonts w:ascii="Cambria Math" w:eastAsiaTheme="minorEastAsia" w:hAnsi="Cambria Math"/>
                <w:sz w:val="24"/>
              </w:rPr>
            </m:ctrlPr>
          </m:fPr>
          <m:num>
            <m:r>
              <m:rPr>
                <m:sty m:val="p"/>
              </m:rPr>
              <w:rPr>
                <w:rFonts w:ascii="Cambria Math" w:eastAsiaTheme="minorEastAsia" w:hAnsi="Cambria Math"/>
                <w:sz w:val="24"/>
              </w:rPr>
              <m:t>65.8</m:t>
            </m:r>
          </m:num>
          <m:den>
            <m:r>
              <m:rPr>
                <m:sty m:val="p"/>
              </m:rPr>
              <w:rPr>
                <w:rFonts w:ascii="Cambria Math" w:eastAsiaTheme="minorEastAsia"/>
              </w:rPr>
              <m:t>48</m:t>
            </m:r>
          </m:den>
        </m:f>
      </m:oMath>
      <w:r>
        <w:rPr>
          <w:rFonts w:eastAsiaTheme="minorEastAsia"/>
          <w:sz w:val="24"/>
        </w:rPr>
        <w:t>=</w:t>
      </w:r>
      <w:r>
        <w:rPr>
          <w:rFonts w:eastAsiaTheme="minorEastAsia" w:hint="eastAsia"/>
          <w:sz w:val="24"/>
        </w:rPr>
        <w:t>1.37</w:t>
      </w:r>
    </w:p>
    <w:p w14:paraId="5D64F850" w14:textId="77777777" w:rsidR="00B14D53" w:rsidRDefault="00000000">
      <w:pPr>
        <w:spacing w:line="360" w:lineRule="auto"/>
        <w:rPr>
          <w:rFonts w:eastAsiaTheme="minorEastAsia"/>
          <w:sz w:val="24"/>
        </w:rPr>
      </w:pPr>
      <w:r>
        <w:rPr>
          <w:rFonts w:eastAsiaTheme="minorEastAsia" w:hAnsiTheme="minorEastAsia"/>
          <w:sz w:val="24"/>
        </w:rPr>
        <w:t>则：</w:t>
      </w:r>
      <w:r>
        <w:rPr>
          <w:rFonts w:eastAsiaTheme="minorEastAsia"/>
          <w:sz w:val="24"/>
        </w:rPr>
        <w:t>C</w:t>
      </w:r>
      <w:r>
        <w:rPr>
          <w:rFonts w:eastAsiaTheme="minorEastAsia" w:hAnsiTheme="minorEastAsia"/>
          <w:sz w:val="24"/>
        </w:rPr>
        <w:t>（</w:t>
      </w:r>
      <w:r>
        <w:rPr>
          <w:rFonts w:eastAsiaTheme="minorEastAsia"/>
          <w:sz w:val="24"/>
        </w:rPr>
        <w:t>∑A</w:t>
      </w:r>
      <w:r>
        <w:rPr>
          <w:rFonts w:eastAsiaTheme="minorEastAsia" w:hAnsiTheme="minorEastAsia"/>
          <w:sz w:val="24"/>
        </w:rPr>
        <w:t>）</w:t>
      </w:r>
      <w:r>
        <w:rPr>
          <w:rFonts w:eastAsiaTheme="minorEastAsia"/>
          <w:sz w:val="24"/>
        </w:rPr>
        <w:t>=</w:t>
      </w:r>
      <w:r>
        <w:rPr>
          <w:rFonts w:eastAsiaTheme="minorEastAsia" w:hint="eastAsia"/>
          <w:sz w:val="24"/>
        </w:rPr>
        <w:t>3.28</w:t>
      </w:r>
      <w:r>
        <w:rPr>
          <w:rFonts w:eastAsiaTheme="minorEastAsia"/>
          <w:sz w:val="24"/>
        </w:rPr>
        <w:t>+</w:t>
      </w:r>
      <w:r>
        <w:rPr>
          <w:rFonts w:eastAsiaTheme="minorEastAsia" w:hint="eastAsia"/>
          <w:sz w:val="24"/>
        </w:rPr>
        <w:t>0.46</w:t>
      </w:r>
      <w:r>
        <w:rPr>
          <w:rFonts w:eastAsiaTheme="minorEastAsia"/>
          <w:sz w:val="24"/>
        </w:rPr>
        <w:t>+</w:t>
      </w:r>
      <w:r>
        <w:rPr>
          <w:rFonts w:eastAsiaTheme="minorEastAsia" w:hint="eastAsia"/>
          <w:sz w:val="24"/>
        </w:rPr>
        <w:t>1.37</w:t>
      </w:r>
      <w:r>
        <w:rPr>
          <w:rFonts w:eastAsiaTheme="minorEastAsia"/>
          <w:sz w:val="24"/>
        </w:rPr>
        <w:t>=</w:t>
      </w:r>
      <w:r>
        <w:rPr>
          <w:rFonts w:eastAsiaTheme="minorEastAsia" w:hint="eastAsia"/>
          <w:sz w:val="24"/>
        </w:rPr>
        <w:t>5.11</w:t>
      </w:r>
    </w:p>
    <w:p w14:paraId="0596EB9C" w14:textId="77777777" w:rsidR="00B14D53" w:rsidRDefault="00000000">
      <w:pPr>
        <w:spacing w:line="360" w:lineRule="auto"/>
        <w:jc w:val="left"/>
        <w:rPr>
          <w:rFonts w:eastAsiaTheme="minorEastAsia"/>
          <w:sz w:val="24"/>
        </w:rPr>
      </w:pPr>
      <w:r>
        <w:rPr>
          <w:rFonts w:eastAsiaTheme="minorEastAsia"/>
          <w:sz w:val="24"/>
        </w:rPr>
        <w:t xml:space="preserve">        SB=</w:t>
      </w:r>
      <m:oMath>
        <m:f>
          <m:fPr>
            <m:ctrlPr>
              <w:rPr>
                <w:rFonts w:ascii="Cambria Math" w:eastAsiaTheme="minorEastAsia" w:hAnsi="Cambria Math"/>
                <w:sz w:val="24"/>
              </w:rPr>
            </m:ctrlPr>
          </m:fPr>
          <m:num>
            <m:r>
              <m:rPr>
                <m:sty m:val="p"/>
              </m:rPr>
              <w:rPr>
                <w:rFonts w:ascii="Cambria Math" w:eastAsiaTheme="minorEastAsia"/>
                <w:sz w:val="24"/>
              </w:rPr>
              <m:t>1.37</m:t>
            </m:r>
          </m:num>
          <m:den>
            <m:r>
              <m:rPr>
                <m:sty m:val="p"/>
              </m:rPr>
              <w:rPr>
                <w:rFonts w:ascii="Cambria Math" w:eastAsiaTheme="minorEastAsia" w:hAnsi="Cambria Math"/>
                <w:sz w:val="24"/>
              </w:rPr>
              <m:t>5.11</m:t>
            </m:r>
          </m:den>
        </m:f>
      </m:oMath>
      <w:r>
        <w:rPr>
          <w:rFonts w:eastAsiaTheme="minorEastAsia"/>
          <w:sz w:val="24"/>
        </w:rPr>
        <w:t>=</w:t>
      </w:r>
      <w:r>
        <w:rPr>
          <w:rFonts w:eastAsiaTheme="minorEastAsia" w:hint="eastAsia"/>
          <w:sz w:val="24"/>
        </w:rPr>
        <w:t>0.27</w:t>
      </w:r>
    </w:p>
    <w:p w14:paraId="09D976BF" w14:textId="77777777" w:rsidR="00B14D53" w:rsidRDefault="00000000">
      <w:pPr>
        <w:spacing w:line="360" w:lineRule="auto"/>
        <w:ind w:firstLineChars="396" w:firstLine="950"/>
        <w:rPr>
          <w:rFonts w:eastAsiaTheme="minorEastAsia"/>
          <w:sz w:val="24"/>
        </w:rPr>
      </w:pPr>
      <w:r>
        <w:rPr>
          <w:rFonts w:eastAsiaTheme="minorEastAsia"/>
          <w:sz w:val="24"/>
        </w:rPr>
        <w:t>HCB=</w:t>
      </w:r>
      <m:oMath>
        <m:f>
          <m:fPr>
            <m:ctrlPr>
              <w:rPr>
                <w:rFonts w:ascii="Cambria Math" w:eastAsiaTheme="minorEastAsia" w:hAnsi="Cambria Math"/>
                <w:sz w:val="24"/>
              </w:rPr>
            </m:ctrlPr>
          </m:fPr>
          <m:num>
            <m:r>
              <m:rPr>
                <m:sty m:val="p"/>
              </m:rPr>
              <w:rPr>
                <w:rFonts w:ascii="Cambria Math" w:eastAsiaTheme="minorEastAsia"/>
                <w:sz w:val="24"/>
              </w:rPr>
              <m:t>3.28</m:t>
            </m:r>
          </m:num>
          <m:den>
            <m:r>
              <m:rPr>
                <m:sty m:val="p"/>
              </m:rPr>
              <w:rPr>
                <w:rFonts w:ascii="Cambria Math" w:eastAsiaTheme="minorEastAsia"/>
                <w:sz w:val="24"/>
              </w:rPr>
              <m:t>0.46</m:t>
            </m:r>
          </m:den>
        </m:f>
      </m:oMath>
      <w:r>
        <w:rPr>
          <w:rFonts w:eastAsiaTheme="minorEastAsia"/>
          <w:sz w:val="24"/>
        </w:rPr>
        <w:t>=</w:t>
      </w:r>
      <w:r>
        <w:rPr>
          <w:rFonts w:eastAsiaTheme="minorEastAsia" w:hint="eastAsia"/>
          <w:sz w:val="24"/>
        </w:rPr>
        <w:t>7.13</w:t>
      </w:r>
    </w:p>
    <w:p w14:paraId="76AD4444" w14:textId="77777777" w:rsidR="00B14D53" w:rsidRDefault="00000000">
      <w:pPr>
        <w:spacing w:line="360" w:lineRule="auto"/>
        <w:rPr>
          <w:rFonts w:eastAsiaTheme="minorEastAsia"/>
          <w:sz w:val="24"/>
        </w:rPr>
      </w:pPr>
      <w:r>
        <w:rPr>
          <w:rFonts w:eastAsiaTheme="minorEastAsia" w:hAnsiTheme="minorEastAsia"/>
          <w:sz w:val="24"/>
        </w:rPr>
        <w:t>经查表</w:t>
      </w:r>
      <w:r>
        <w:rPr>
          <w:rFonts w:eastAsiaTheme="minorEastAsia"/>
          <w:sz w:val="24"/>
        </w:rPr>
        <w:t>4-2-1</w:t>
      </w:r>
      <w:r>
        <w:rPr>
          <w:rFonts w:eastAsiaTheme="minorEastAsia" w:hint="eastAsia"/>
          <w:sz w:val="24"/>
        </w:rPr>
        <w:t>0</w:t>
      </w:r>
      <w:r>
        <w:rPr>
          <w:rFonts w:eastAsiaTheme="minorEastAsia" w:hAnsiTheme="minorEastAsia"/>
          <w:sz w:val="24"/>
        </w:rPr>
        <w:t>得</w:t>
      </w:r>
      <w:r>
        <w:rPr>
          <w:rFonts w:eastAsiaTheme="minorEastAsia"/>
          <w:sz w:val="24"/>
        </w:rPr>
        <w:t>Ms</w:t>
      </w:r>
      <w:r>
        <w:rPr>
          <w:rFonts w:eastAsiaTheme="minorEastAsia" w:hAnsiTheme="minorEastAsia"/>
          <w:sz w:val="24"/>
        </w:rPr>
        <w:t>为</w:t>
      </w:r>
      <w:r>
        <w:rPr>
          <w:rFonts w:eastAsiaTheme="minorEastAsia"/>
          <w:sz w:val="24"/>
        </w:rPr>
        <w:t>0.0</w:t>
      </w:r>
      <w:r>
        <w:rPr>
          <w:rFonts w:eastAsiaTheme="minorEastAsia" w:hint="eastAsia"/>
          <w:sz w:val="24"/>
        </w:rPr>
        <w:t>76</w:t>
      </w:r>
    </w:p>
    <w:p w14:paraId="7020DE76"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矿化度（</w:t>
      </w:r>
      <w:r>
        <w:rPr>
          <w:rFonts w:eastAsiaTheme="minorEastAsia"/>
          <w:sz w:val="24"/>
        </w:rPr>
        <w:t>g/L</w:t>
      </w:r>
      <w:r>
        <w:rPr>
          <w:rFonts w:eastAsiaTheme="minorEastAsia" w:hAnsiTheme="minorEastAsia"/>
          <w:sz w:val="24"/>
        </w:rPr>
        <w:t>）</w:t>
      </w:r>
      <w:r>
        <w:rPr>
          <w:rFonts w:eastAsiaTheme="minorEastAsia"/>
          <w:sz w:val="24"/>
        </w:rPr>
        <w:t>=</w:t>
      </w:r>
      <w:r>
        <w:rPr>
          <w:rFonts w:eastAsiaTheme="minorEastAsia" w:hint="eastAsia"/>
          <w:sz w:val="24"/>
        </w:rPr>
        <w:t>5.11</w:t>
      </w:r>
      <w:r>
        <w:rPr>
          <w:rFonts w:eastAsiaTheme="minorEastAsia"/>
          <w:sz w:val="24"/>
        </w:rPr>
        <w:t>×0.0</w:t>
      </w:r>
      <w:r>
        <w:rPr>
          <w:rFonts w:eastAsiaTheme="minorEastAsia" w:hint="eastAsia"/>
          <w:sz w:val="24"/>
        </w:rPr>
        <w:t>76</w:t>
      </w:r>
      <w:r>
        <w:rPr>
          <w:rFonts w:eastAsiaTheme="minorEastAsia"/>
          <w:sz w:val="24"/>
        </w:rPr>
        <w:t>=0.</w:t>
      </w:r>
      <w:r>
        <w:rPr>
          <w:rFonts w:eastAsiaTheme="minorEastAsia" w:hint="eastAsia"/>
          <w:sz w:val="24"/>
        </w:rPr>
        <w:t>388</w:t>
      </w:r>
      <w:r>
        <w:rPr>
          <w:rFonts w:eastAsiaTheme="minorEastAsia" w:hAnsiTheme="minorEastAsia"/>
          <w:sz w:val="24"/>
        </w:rPr>
        <w:t>，所以☆</w:t>
      </w:r>
      <w:r>
        <w:rPr>
          <w:rFonts w:eastAsiaTheme="minorEastAsia"/>
          <w:sz w:val="24"/>
        </w:rPr>
        <w:t>1</w:t>
      </w:r>
      <w:r>
        <w:rPr>
          <w:rFonts w:eastAsiaTheme="minorEastAsia" w:hAnsiTheme="minorEastAsia"/>
          <w:sz w:val="24"/>
        </w:rPr>
        <w:t>矿化度处于</w:t>
      </w:r>
      <w:r>
        <w:rPr>
          <w:rFonts w:eastAsiaTheme="minorEastAsia"/>
          <w:sz w:val="24"/>
        </w:rPr>
        <w:t>A</w:t>
      </w:r>
      <w:r>
        <w:rPr>
          <w:rFonts w:eastAsiaTheme="minorEastAsia" w:hAnsiTheme="minorEastAsia"/>
          <w:sz w:val="24"/>
        </w:rPr>
        <w:t>组，其它监测点位参考以上方法计算，水质矿化度计算结果见</w:t>
      </w:r>
      <w:r>
        <w:rPr>
          <w:rFonts w:eastAsiaTheme="minorEastAsia" w:hAnsiTheme="minorEastAsia" w:hint="eastAsia"/>
          <w:sz w:val="24"/>
        </w:rPr>
        <w:t>下</w:t>
      </w:r>
      <w:r>
        <w:rPr>
          <w:rFonts w:eastAsiaTheme="minorEastAsia" w:hAnsiTheme="minorEastAsia"/>
          <w:sz w:val="24"/>
        </w:rPr>
        <w:t>表。</w:t>
      </w:r>
    </w:p>
    <w:p w14:paraId="38033527" w14:textId="77777777" w:rsidR="00B14D53" w:rsidRDefault="00000000">
      <w:pPr>
        <w:jc w:val="center"/>
        <w:rPr>
          <w:b/>
          <w:bCs/>
        </w:rPr>
      </w:pPr>
      <w:r>
        <w:rPr>
          <w:rFonts w:hint="eastAsia"/>
          <w:b/>
          <w:bCs/>
        </w:rPr>
        <w:t>表</w:t>
      </w:r>
      <w:r>
        <w:rPr>
          <w:rFonts w:hint="eastAsia"/>
          <w:b/>
          <w:bCs/>
        </w:rPr>
        <w:t xml:space="preserve">4-2-12 </w:t>
      </w:r>
      <w:r>
        <w:rPr>
          <w:rFonts w:hint="eastAsia"/>
          <w:b/>
          <w:bCs/>
        </w:rPr>
        <w:t>水质矿化度</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64"/>
        <w:gridCol w:w="2355"/>
        <w:gridCol w:w="1739"/>
        <w:gridCol w:w="1945"/>
      </w:tblGrid>
      <w:tr w:rsidR="00B14D53" w14:paraId="5B8337DA" w14:textId="77777777">
        <w:trPr>
          <w:trHeight w:val="641"/>
          <w:jc w:val="center"/>
        </w:trPr>
        <w:tc>
          <w:tcPr>
            <w:tcW w:w="1363" w:type="pct"/>
            <w:tcBorders>
              <w:top w:val="single" w:sz="12" w:space="0" w:color="auto"/>
              <w:left w:val="nil"/>
              <w:bottom w:val="single" w:sz="4" w:space="0" w:color="auto"/>
              <w:right w:val="single" w:sz="4" w:space="0" w:color="auto"/>
              <w:tl2br w:val="single" w:sz="12" w:space="0" w:color="000000"/>
            </w:tcBorders>
            <w:vAlign w:val="center"/>
          </w:tcPr>
          <w:p w14:paraId="6E1ADC60" w14:textId="77777777" w:rsidR="00B14D53" w:rsidRDefault="00000000">
            <w:pPr>
              <w:jc w:val="center"/>
              <w:rPr>
                <w:rFonts w:eastAsiaTheme="minorEastAsia"/>
                <w:b/>
                <w:bCs/>
                <w:kern w:val="0"/>
              </w:rPr>
            </w:pPr>
            <w:r>
              <w:rPr>
                <w:rFonts w:eastAsiaTheme="minorEastAsia"/>
                <w:b/>
                <w:bCs/>
                <w:kern w:val="0"/>
              </w:rPr>
              <w:t xml:space="preserve">       </w:t>
            </w:r>
            <w:r>
              <w:rPr>
                <w:rFonts w:eastAsiaTheme="minorEastAsia" w:hAnsiTheme="minorEastAsia"/>
                <w:b/>
                <w:bCs/>
                <w:kern w:val="0"/>
              </w:rPr>
              <w:t>编号</w:t>
            </w:r>
          </w:p>
          <w:p w14:paraId="17854C75" w14:textId="77777777" w:rsidR="00B14D53" w:rsidRDefault="00000000">
            <w:pPr>
              <w:rPr>
                <w:rFonts w:eastAsiaTheme="minorEastAsia"/>
                <w:b/>
                <w:bCs/>
                <w:kern w:val="0"/>
              </w:rPr>
            </w:pPr>
            <w:r>
              <w:rPr>
                <w:rFonts w:eastAsiaTheme="minorEastAsia" w:hAnsiTheme="minorEastAsia"/>
                <w:b/>
                <w:bCs/>
                <w:kern w:val="0"/>
              </w:rPr>
              <w:t>项目</w:t>
            </w:r>
          </w:p>
        </w:tc>
        <w:tc>
          <w:tcPr>
            <w:tcW w:w="1417" w:type="pct"/>
            <w:tcBorders>
              <w:top w:val="single" w:sz="12" w:space="0" w:color="auto"/>
              <w:left w:val="single" w:sz="4" w:space="0" w:color="auto"/>
              <w:bottom w:val="single" w:sz="4" w:space="0" w:color="auto"/>
              <w:right w:val="single" w:sz="4" w:space="0" w:color="auto"/>
            </w:tcBorders>
            <w:vAlign w:val="center"/>
          </w:tcPr>
          <w:p w14:paraId="6FD2E876" w14:textId="77777777" w:rsidR="00B14D53" w:rsidRDefault="00000000">
            <w:pPr>
              <w:widowControl/>
              <w:jc w:val="center"/>
              <w:rPr>
                <w:rFonts w:eastAsiaTheme="minorEastAsia"/>
                <w:b/>
                <w:bCs/>
                <w:kern w:val="0"/>
                <w:szCs w:val="21"/>
              </w:rPr>
            </w:pPr>
            <w:r>
              <w:rPr>
                <w:rFonts w:eastAsiaTheme="minorEastAsia" w:hAnsiTheme="minorEastAsia"/>
                <w:b/>
                <w:bCs/>
                <w:szCs w:val="21"/>
              </w:rPr>
              <w:t>☆</w:t>
            </w:r>
            <w:r>
              <w:rPr>
                <w:rFonts w:eastAsiaTheme="minorEastAsia"/>
                <w:b/>
                <w:bCs/>
                <w:szCs w:val="21"/>
              </w:rPr>
              <w:t>01</w:t>
            </w:r>
          </w:p>
        </w:tc>
        <w:tc>
          <w:tcPr>
            <w:tcW w:w="1047" w:type="pct"/>
            <w:tcBorders>
              <w:top w:val="single" w:sz="12" w:space="0" w:color="auto"/>
              <w:left w:val="single" w:sz="4" w:space="0" w:color="auto"/>
              <w:bottom w:val="single" w:sz="4" w:space="0" w:color="auto"/>
              <w:right w:val="single" w:sz="4" w:space="0" w:color="auto"/>
            </w:tcBorders>
            <w:vAlign w:val="center"/>
          </w:tcPr>
          <w:p w14:paraId="092CED68" w14:textId="77777777" w:rsidR="00B14D53" w:rsidRDefault="00000000">
            <w:pPr>
              <w:widowControl/>
              <w:jc w:val="center"/>
              <w:rPr>
                <w:rFonts w:eastAsiaTheme="minorEastAsia"/>
                <w:b/>
                <w:bCs/>
                <w:kern w:val="0"/>
                <w:szCs w:val="21"/>
              </w:rPr>
            </w:pPr>
            <w:r>
              <w:rPr>
                <w:rFonts w:eastAsiaTheme="minorEastAsia" w:hAnsiTheme="minorEastAsia"/>
                <w:b/>
                <w:bCs/>
                <w:szCs w:val="21"/>
              </w:rPr>
              <w:t>☆</w:t>
            </w:r>
            <w:r>
              <w:rPr>
                <w:rFonts w:eastAsiaTheme="minorEastAsia"/>
                <w:b/>
                <w:bCs/>
                <w:szCs w:val="21"/>
              </w:rPr>
              <w:t>02</w:t>
            </w:r>
          </w:p>
        </w:tc>
        <w:tc>
          <w:tcPr>
            <w:tcW w:w="1171" w:type="pct"/>
            <w:tcBorders>
              <w:top w:val="single" w:sz="12" w:space="0" w:color="auto"/>
              <w:left w:val="single" w:sz="4" w:space="0" w:color="auto"/>
              <w:bottom w:val="single" w:sz="4" w:space="0" w:color="auto"/>
            </w:tcBorders>
            <w:vAlign w:val="center"/>
          </w:tcPr>
          <w:p w14:paraId="1B9C700C" w14:textId="77777777" w:rsidR="00B14D53" w:rsidRDefault="00000000">
            <w:pPr>
              <w:widowControl/>
              <w:jc w:val="center"/>
              <w:rPr>
                <w:rFonts w:eastAsiaTheme="minorEastAsia"/>
                <w:b/>
                <w:bCs/>
                <w:kern w:val="0"/>
                <w:szCs w:val="21"/>
              </w:rPr>
            </w:pPr>
            <w:r>
              <w:rPr>
                <w:rFonts w:eastAsiaTheme="minorEastAsia" w:hAnsiTheme="minorEastAsia"/>
                <w:b/>
                <w:bCs/>
                <w:szCs w:val="21"/>
              </w:rPr>
              <w:t>☆</w:t>
            </w:r>
            <w:r>
              <w:rPr>
                <w:rFonts w:eastAsiaTheme="minorEastAsia"/>
                <w:b/>
                <w:bCs/>
                <w:szCs w:val="21"/>
              </w:rPr>
              <w:t>03</w:t>
            </w:r>
          </w:p>
        </w:tc>
      </w:tr>
      <w:tr w:rsidR="00B14D53" w14:paraId="09226B80" w14:textId="77777777">
        <w:trPr>
          <w:jc w:val="center"/>
        </w:trPr>
        <w:tc>
          <w:tcPr>
            <w:tcW w:w="1363" w:type="pct"/>
            <w:tcBorders>
              <w:top w:val="single" w:sz="4" w:space="0" w:color="auto"/>
              <w:left w:val="nil"/>
              <w:bottom w:val="single" w:sz="4" w:space="0" w:color="auto"/>
              <w:right w:val="single" w:sz="4" w:space="0" w:color="auto"/>
            </w:tcBorders>
            <w:vAlign w:val="center"/>
          </w:tcPr>
          <w:p w14:paraId="54028893" w14:textId="77777777" w:rsidR="00B14D53" w:rsidRDefault="00000000">
            <w:pPr>
              <w:jc w:val="center"/>
              <w:rPr>
                <w:rFonts w:eastAsiaTheme="minorEastAsia"/>
                <w:kern w:val="0"/>
              </w:rPr>
            </w:pPr>
            <w:r>
              <w:rPr>
                <w:rFonts w:eastAsiaTheme="minorEastAsia" w:hAnsiTheme="minorEastAsia"/>
                <w:kern w:val="0"/>
              </w:rPr>
              <w:t>矿化度（</w:t>
            </w:r>
            <w:r>
              <w:rPr>
                <w:rFonts w:eastAsiaTheme="minorEastAsia"/>
                <w:kern w:val="0"/>
              </w:rPr>
              <w:t>M</w:t>
            </w:r>
            <w:r>
              <w:rPr>
                <w:rFonts w:eastAsiaTheme="minorEastAsia" w:hAnsiTheme="minorEastAsia"/>
                <w:kern w:val="0"/>
              </w:rPr>
              <w:t>）</w:t>
            </w:r>
          </w:p>
        </w:tc>
        <w:tc>
          <w:tcPr>
            <w:tcW w:w="1417" w:type="pct"/>
            <w:tcBorders>
              <w:top w:val="single" w:sz="4" w:space="0" w:color="auto"/>
              <w:left w:val="single" w:sz="4" w:space="0" w:color="auto"/>
              <w:bottom w:val="single" w:sz="4" w:space="0" w:color="auto"/>
              <w:right w:val="single" w:sz="4" w:space="0" w:color="auto"/>
            </w:tcBorders>
            <w:vAlign w:val="center"/>
          </w:tcPr>
          <w:p w14:paraId="003E5C34" w14:textId="77777777" w:rsidR="00B14D53" w:rsidRDefault="00000000">
            <w:pPr>
              <w:jc w:val="center"/>
              <w:rPr>
                <w:rFonts w:eastAsiaTheme="minorEastAsia"/>
                <w:kern w:val="0"/>
              </w:rPr>
            </w:pPr>
            <w:r>
              <w:rPr>
                <w:rFonts w:eastAsiaTheme="minorEastAsia" w:hint="eastAsia"/>
                <w:kern w:val="0"/>
              </w:rPr>
              <w:t>0.388</w:t>
            </w:r>
          </w:p>
        </w:tc>
        <w:tc>
          <w:tcPr>
            <w:tcW w:w="1047" w:type="pct"/>
            <w:tcBorders>
              <w:top w:val="single" w:sz="4" w:space="0" w:color="auto"/>
              <w:left w:val="single" w:sz="4" w:space="0" w:color="auto"/>
              <w:bottom w:val="single" w:sz="4" w:space="0" w:color="auto"/>
              <w:right w:val="single" w:sz="4" w:space="0" w:color="auto"/>
            </w:tcBorders>
            <w:vAlign w:val="center"/>
          </w:tcPr>
          <w:p w14:paraId="7363E079" w14:textId="77777777" w:rsidR="00B14D53" w:rsidRDefault="00000000">
            <w:pPr>
              <w:jc w:val="center"/>
              <w:rPr>
                <w:rFonts w:eastAsiaTheme="minorEastAsia"/>
                <w:kern w:val="0"/>
              </w:rPr>
            </w:pPr>
            <w:r>
              <w:rPr>
                <w:rFonts w:eastAsiaTheme="minorEastAsia" w:hint="eastAsia"/>
                <w:kern w:val="0"/>
              </w:rPr>
              <w:t>0.439</w:t>
            </w:r>
          </w:p>
        </w:tc>
        <w:tc>
          <w:tcPr>
            <w:tcW w:w="1171" w:type="pct"/>
            <w:tcBorders>
              <w:top w:val="single" w:sz="4" w:space="0" w:color="auto"/>
              <w:left w:val="single" w:sz="4" w:space="0" w:color="auto"/>
              <w:bottom w:val="single" w:sz="4" w:space="0" w:color="auto"/>
            </w:tcBorders>
            <w:vAlign w:val="center"/>
          </w:tcPr>
          <w:p w14:paraId="59A77AE4" w14:textId="77777777" w:rsidR="00B14D53" w:rsidRDefault="00000000">
            <w:pPr>
              <w:jc w:val="center"/>
              <w:rPr>
                <w:rFonts w:eastAsiaTheme="minorEastAsia"/>
                <w:kern w:val="0"/>
              </w:rPr>
            </w:pPr>
            <w:r>
              <w:rPr>
                <w:rFonts w:eastAsiaTheme="minorEastAsia" w:hint="eastAsia"/>
                <w:kern w:val="0"/>
              </w:rPr>
              <w:t>0.363</w:t>
            </w:r>
          </w:p>
        </w:tc>
      </w:tr>
      <w:tr w:rsidR="00B14D53" w14:paraId="7C126D4D" w14:textId="77777777">
        <w:trPr>
          <w:jc w:val="center"/>
        </w:trPr>
        <w:tc>
          <w:tcPr>
            <w:tcW w:w="1363" w:type="pct"/>
            <w:tcBorders>
              <w:top w:val="single" w:sz="4" w:space="0" w:color="auto"/>
              <w:left w:val="nil"/>
              <w:bottom w:val="single" w:sz="4" w:space="0" w:color="auto"/>
              <w:right w:val="single" w:sz="4" w:space="0" w:color="auto"/>
            </w:tcBorders>
            <w:vAlign w:val="center"/>
          </w:tcPr>
          <w:p w14:paraId="0882CBD8" w14:textId="77777777" w:rsidR="00B14D53" w:rsidRDefault="00000000">
            <w:pPr>
              <w:jc w:val="center"/>
              <w:rPr>
                <w:rFonts w:eastAsiaTheme="minorEastAsia"/>
                <w:kern w:val="0"/>
              </w:rPr>
            </w:pPr>
            <w:r>
              <w:rPr>
                <w:rFonts w:eastAsiaTheme="minorEastAsia" w:hAnsiTheme="minorEastAsia"/>
                <w:kern w:val="0"/>
              </w:rPr>
              <w:t>矿化度分组</w:t>
            </w:r>
          </w:p>
        </w:tc>
        <w:tc>
          <w:tcPr>
            <w:tcW w:w="1417" w:type="pct"/>
            <w:tcBorders>
              <w:top w:val="single" w:sz="4" w:space="0" w:color="auto"/>
              <w:left w:val="single" w:sz="4" w:space="0" w:color="auto"/>
              <w:bottom w:val="single" w:sz="4" w:space="0" w:color="auto"/>
              <w:right w:val="single" w:sz="4" w:space="0" w:color="auto"/>
            </w:tcBorders>
            <w:vAlign w:val="center"/>
          </w:tcPr>
          <w:p w14:paraId="1CD2D5BE" w14:textId="77777777" w:rsidR="00B14D53" w:rsidRDefault="00000000">
            <w:pPr>
              <w:jc w:val="center"/>
              <w:rPr>
                <w:rFonts w:eastAsiaTheme="minorEastAsia"/>
                <w:kern w:val="0"/>
              </w:rPr>
            </w:pPr>
            <w:r>
              <w:rPr>
                <w:rFonts w:eastAsiaTheme="minorEastAsia"/>
                <w:kern w:val="0"/>
              </w:rPr>
              <w:t>A</w:t>
            </w:r>
          </w:p>
        </w:tc>
        <w:tc>
          <w:tcPr>
            <w:tcW w:w="1047" w:type="pct"/>
            <w:tcBorders>
              <w:top w:val="single" w:sz="4" w:space="0" w:color="auto"/>
              <w:left w:val="single" w:sz="4" w:space="0" w:color="auto"/>
              <w:bottom w:val="single" w:sz="4" w:space="0" w:color="auto"/>
              <w:right w:val="single" w:sz="4" w:space="0" w:color="auto"/>
            </w:tcBorders>
            <w:vAlign w:val="center"/>
          </w:tcPr>
          <w:p w14:paraId="5F5E9D4F" w14:textId="77777777" w:rsidR="00B14D53" w:rsidRDefault="00000000">
            <w:pPr>
              <w:jc w:val="center"/>
              <w:rPr>
                <w:rFonts w:eastAsiaTheme="minorEastAsia"/>
                <w:kern w:val="0"/>
              </w:rPr>
            </w:pPr>
            <w:r>
              <w:rPr>
                <w:rFonts w:eastAsiaTheme="minorEastAsia"/>
                <w:kern w:val="0"/>
              </w:rPr>
              <w:t>A</w:t>
            </w:r>
          </w:p>
        </w:tc>
        <w:tc>
          <w:tcPr>
            <w:tcW w:w="1171" w:type="pct"/>
            <w:tcBorders>
              <w:top w:val="single" w:sz="4" w:space="0" w:color="auto"/>
              <w:left w:val="single" w:sz="4" w:space="0" w:color="auto"/>
              <w:bottom w:val="single" w:sz="4" w:space="0" w:color="auto"/>
            </w:tcBorders>
            <w:vAlign w:val="center"/>
          </w:tcPr>
          <w:p w14:paraId="4BC5BDE2" w14:textId="77777777" w:rsidR="00B14D53" w:rsidRDefault="00000000">
            <w:pPr>
              <w:jc w:val="center"/>
              <w:rPr>
                <w:rFonts w:eastAsiaTheme="minorEastAsia"/>
                <w:kern w:val="0"/>
              </w:rPr>
            </w:pPr>
            <w:r>
              <w:rPr>
                <w:rFonts w:eastAsiaTheme="minorEastAsia"/>
                <w:kern w:val="0"/>
              </w:rPr>
              <w:t>A</w:t>
            </w:r>
          </w:p>
        </w:tc>
      </w:tr>
      <w:tr w:rsidR="00B14D53" w14:paraId="7B99DFB2" w14:textId="77777777">
        <w:trPr>
          <w:jc w:val="center"/>
        </w:trPr>
        <w:tc>
          <w:tcPr>
            <w:tcW w:w="1363" w:type="pct"/>
            <w:tcBorders>
              <w:top w:val="single" w:sz="4" w:space="0" w:color="auto"/>
              <w:left w:val="nil"/>
              <w:bottom w:val="single" w:sz="12" w:space="0" w:color="auto"/>
              <w:right w:val="single" w:sz="4" w:space="0" w:color="auto"/>
            </w:tcBorders>
            <w:vAlign w:val="center"/>
          </w:tcPr>
          <w:p w14:paraId="69F819E2" w14:textId="77777777" w:rsidR="00B14D53" w:rsidRDefault="00000000">
            <w:pPr>
              <w:jc w:val="center"/>
              <w:rPr>
                <w:rFonts w:eastAsiaTheme="minorEastAsia" w:hAnsiTheme="minorEastAsia" w:hint="eastAsia"/>
                <w:kern w:val="0"/>
              </w:rPr>
            </w:pPr>
            <w:r>
              <w:rPr>
                <w:rFonts w:eastAsiaTheme="minorEastAsia" w:hAnsiTheme="minorEastAsia"/>
                <w:kern w:val="0"/>
              </w:rPr>
              <w:t>水化学类型</w:t>
            </w:r>
          </w:p>
        </w:tc>
        <w:tc>
          <w:tcPr>
            <w:tcW w:w="1417" w:type="pct"/>
            <w:tcBorders>
              <w:top w:val="single" w:sz="4" w:space="0" w:color="auto"/>
              <w:left w:val="single" w:sz="4" w:space="0" w:color="auto"/>
              <w:bottom w:val="single" w:sz="12" w:space="0" w:color="auto"/>
              <w:right w:val="single" w:sz="4" w:space="0" w:color="auto"/>
            </w:tcBorders>
            <w:vAlign w:val="center"/>
          </w:tcPr>
          <w:p w14:paraId="6E05D721" w14:textId="77777777" w:rsidR="00B14D53" w:rsidRDefault="00000000">
            <w:pPr>
              <w:autoSpaceDE w:val="0"/>
              <w:autoSpaceDN w:val="0"/>
              <w:jc w:val="center"/>
              <w:rPr>
                <w:rFonts w:eastAsiaTheme="minorEastAsia"/>
                <w:szCs w:val="21"/>
              </w:rPr>
            </w:pPr>
            <w:r>
              <w:rPr>
                <w:rFonts w:eastAsiaTheme="minorEastAsia"/>
                <w:szCs w:val="21"/>
                <w:lang w:val="zh-CN"/>
              </w:rPr>
              <w:t>HCO</w:t>
            </w:r>
            <w:r>
              <w:rPr>
                <w:rFonts w:eastAsiaTheme="minorEastAsia"/>
                <w:szCs w:val="21"/>
                <w:vertAlign w:val="subscript"/>
                <w:lang w:val="zh-CN"/>
              </w:rPr>
              <w:t>3</w:t>
            </w:r>
            <w:r>
              <w:rPr>
                <w:rFonts w:eastAsiaTheme="minorEastAsia"/>
                <w:szCs w:val="21"/>
                <w:vertAlign w:val="superscript"/>
                <w:lang w:val="zh-CN"/>
              </w:rPr>
              <w:t>-</w:t>
            </w:r>
            <w:r>
              <w:rPr>
                <w:rFonts w:eastAsiaTheme="minorEastAsia"/>
                <w:szCs w:val="21"/>
                <w:lang w:val="zh-CN"/>
              </w:rPr>
              <w:t>- SO</w:t>
            </w:r>
            <w:r>
              <w:rPr>
                <w:rFonts w:eastAsiaTheme="minorEastAsia"/>
                <w:szCs w:val="21"/>
                <w:vertAlign w:val="subscript"/>
                <w:lang w:val="zh-CN"/>
              </w:rPr>
              <w:t>4</w:t>
            </w:r>
            <w:r>
              <w:rPr>
                <w:rFonts w:eastAsiaTheme="minorEastAsia"/>
                <w:szCs w:val="21"/>
                <w:vertAlign w:val="superscript"/>
                <w:lang w:val="zh-CN"/>
              </w:rPr>
              <w:t>2—</w:t>
            </w:r>
            <w:r>
              <w:rPr>
                <w:rFonts w:eastAsiaTheme="minorEastAsia"/>
                <w:bCs/>
                <w:sz w:val="24"/>
              </w:rPr>
              <w:t>Ca</w:t>
            </w:r>
            <w:r>
              <w:rPr>
                <w:rFonts w:eastAsiaTheme="minorEastAsia" w:hint="eastAsia"/>
                <w:bCs/>
                <w:sz w:val="24"/>
                <w:vertAlign w:val="superscript"/>
              </w:rPr>
              <w:t>2+</w:t>
            </w:r>
          </w:p>
        </w:tc>
        <w:tc>
          <w:tcPr>
            <w:tcW w:w="1047" w:type="pct"/>
            <w:tcBorders>
              <w:top w:val="single" w:sz="4" w:space="0" w:color="auto"/>
              <w:left w:val="single" w:sz="4" w:space="0" w:color="auto"/>
              <w:bottom w:val="single" w:sz="12" w:space="0" w:color="auto"/>
              <w:right w:val="single" w:sz="4" w:space="0" w:color="auto"/>
            </w:tcBorders>
            <w:vAlign w:val="center"/>
          </w:tcPr>
          <w:p w14:paraId="711AF9A2" w14:textId="77777777" w:rsidR="00B14D53" w:rsidRDefault="00000000">
            <w:pPr>
              <w:autoSpaceDE w:val="0"/>
              <w:autoSpaceDN w:val="0"/>
              <w:jc w:val="center"/>
              <w:rPr>
                <w:rFonts w:eastAsiaTheme="minorEastAsia"/>
                <w:szCs w:val="21"/>
              </w:rPr>
            </w:pPr>
            <w:r>
              <w:rPr>
                <w:rFonts w:eastAsiaTheme="minorEastAsia"/>
                <w:szCs w:val="21"/>
                <w:lang w:val="zh-CN"/>
              </w:rPr>
              <w:t>HCO</w:t>
            </w:r>
            <w:r>
              <w:rPr>
                <w:rFonts w:eastAsiaTheme="minorEastAsia"/>
                <w:szCs w:val="21"/>
                <w:vertAlign w:val="subscript"/>
                <w:lang w:val="zh-CN"/>
              </w:rPr>
              <w:t>3</w:t>
            </w:r>
            <w:r>
              <w:rPr>
                <w:rFonts w:eastAsiaTheme="minorEastAsia"/>
                <w:szCs w:val="21"/>
                <w:vertAlign w:val="superscript"/>
                <w:lang w:val="zh-CN"/>
              </w:rPr>
              <w:t>-</w:t>
            </w:r>
            <w:r>
              <w:rPr>
                <w:rFonts w:eastAsiaTheme="minorEastAsia"/>
                <w:bCs/>
                <w:sz w:val="24"/>
              </w:rPr>
              <w:t>—Ca</w:t>
            </w:r>
            <w:r>
              <w:rPr>
                <w:rFonts w:eastAsiaTheme="minorEastAsia" w:hint="eastAsia"/>
                <w:bCs/>
                <w:sz w:val="24"/>
                <w:vertAlign w:val="superscript"/>
              </w:rPr>
              <w:t>2+</w:t>
            </w:r>
          </w:p>
        </w:tc>
        <w:tc>
          <w:tcPr>
            <w:tcW w:w="1171" w:type="pct"/>
            <w:tcBorders>
              <w:top w:val="single" w:sz="4" w:space="0" w:color="auto"/>
              <w:left w:val="single" w:sz="4" w:space="0" w:color="auto"/>
              <w:bottom w:val="single" w:sz="12" w:space="0" w:color="auto"/>
            </w:tcBorders>
            <w:vAlign w:val="center"/>
          </w:tcPr>
          <w:p w14:paraId="32E7A461" w14:textId="77777777" w:rsidR="00B14D53" w:rsidRDefault="00000000">
            <w:pPr>
              <w:autoSpaceDE w:val="0"/>
              <w:autoSpaceDN w:val="0"/>
              <w:jc w:val="center"/>
              <w:rPr>
                <w:rFonts w:eastAsiaTheme="minorEastAsia"/>
                <w:szCs w:val="21"/>
              </w:rPr>
            </w:pPr>
            <w:r>
              <w:rPr>
                <w:rFonts w:eastAsiaTheme="minorEastAsia"/>
                <w:szCs w:val="21"/>
              </w:rPr>
              <w:t>HCO</w:t>
            </w:r>
            <w:r>
              <w:rPr>
                <w:rFonts w:eastAsiaTheme="minorEastAsia"/>
                <w:szCs w:val="21"/>
                <w:vertAlign w:val="subscript"/>
              </w:rPr>
              <w:t>3</w:t>
            </w:r>
            <w:r>
              <w:rPr>
                <w:rFonts w:eastAsiaTheme="minorEastAsia"/>
                <w:szCs w:val="21"/>
                <w:vertAlign w:val="superscript"/>
              </w:rPr>
              <w:t>-</w:t>
            </w:r>
            <w:r>
              <w:rPr>
                <w:rFonts w:eastAsiaTheme="minorEastAsia"/>
                <w:szCs w:val="21"/>
              </w:rPr>
              <w:t>-Cl</w:t>
            </w:r>
            <w:r>
              <w:rPr>
                <w:rFonts w:eastAsiaTheme="minorEastAsia"/>
                <w:szCs w:val="21"/>
                <w:vertAlign w:val="superscript"/>
              </w:rPr>
              <w:t>-</w:t>
            </w:r>
            <w:r>
              <w:rPr>
                <w:rFonts w:eastAsiaTheme="minorEastAsia"/>
                <w:bCs/>
                <w:sz w:val="24"/>
              </w:rPr>
              <w:t>—Ca</w:t>
            </w:r>
            <w:r>
              <w:rPr>
                <w:rFonts w:eastAsiaTheme="minorEastAsia" w:hint="eastAsia"/>
                <w:bCs/>
                <w:sz w:val="24"/>
                <w:vertAlign w:val="superscript"/>
              </w:rPr>
              <w:t>2+</w:t>
            </w:r>
          </w:p>
        </w:tc>
      </w:tr>
    </w:tbl>
    <w:p w14:paraId="5927B449" w14:textId="77777777" w:rsidR="00B14D53" w:rsidRDefault="00000000">
      <w:pPr>
        <w:spacing w:line="360" w:lineRule="auto"/>
        <w:rPr>
          <w:rFonts w:eastAsiaTheme="minorEastAsia"/>
          <w:sz w:val="24"/>
        </w:rPr>
      </w:pPr>
      <w:r>
        <w:rPr>
          <w:rFonts w:eastAsiaTheme="minorEastAsia" w:hAnsiTheme="minorEastAsia"/>
          <w:sz w:val="24"/>
        </w:rPr>
        <w:t>综上所述，项目区矿化度小于</w:t>
      </w:r>
      <w:r>
        <w:rPr>
          <w:rFonts w:eastAsiaTheme="minorEastAsia"/>
          <w:sz w:val="24"/>
        </w:rPr>
        <w:t>1.5g/L</w:t>
      </w:r>
      <w:r>
        <w:rPr>
          <w:rFonts w:eastAsiaTheme="minorEastAsia" w:hAnsiTheme="minorEastAsia"/>
          <w:sz w:val="24"/>
        </w:rPr>
        <w:t>。</w:t>
      </w:r>
    </w:p>
    <w:p w14:paraId="633C41D7"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w:t>
      </w:r>
      <w:r>
        <w:rPr>
          <w:rFonts w:eastAsiaTheme="minorEastAsia"/>
          <w:sz w:val="24"/>
          <w:lang w:val="zh-CN"/>
        </w:rPr>
        <w:t>3</w:t>
      </w:r>
      <w:r>
        <w:rPr>
          <w:rFonts w:eastAsiaTheme="minorEastAsia" w:hAnsiTheme="minorEastAsia"/>
          <w:sz w:val="24"/>
          <w:lang w:val="zh-CN"/>
        </w:rPr>
        <w:t>）现状评价结论</w:t>
      </w:r>
    </w:p>
    <w:p w14:paraId="19B6AF79"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监测点</w:t>
      </w:r>
      <w:r>
        <w:rPr>
          <w:rFonts w:eastAsiaTheme="minorEastAsia" w:hAnsiTheme="minorEastAsia" w:hint="eastAsia"/>
          <w:sz w:val="24"/>
        </w:rPr>
        <w:t>铁、锰超标，其余监测因子均</w:t>
      </w:r>
      <w:r>
        <w:rPr>
          <w:rFonts w:eastAsiaTheme="minorEastAsia" w:hAnsiTheme="minorEastAsia"/>
          <w:sz w:val="24"/>
        </w:rPr>
        <w:t>符合《地下水质量标准》（</w:t>
      </w:r>
      <w:r>
        <w:rPr>
          <w:rFonts w:eastAsiaTheme="minorEastAsia"/>
          <w:sz w:val="24"/>
        </w:rPr>
        <w:t>GB/T14848-2017</w:t>
      </w:r>
      <w:r>
        <w:rPr>
          <w:rFonts w:eastAsiaTheme="minorEastAsia" w:hAnsiTheme="minorEastAsia"/>
          <w:sz w:val="24"/>
        </w:rPr>
        <w:t>）中Ⅲ类标准。</w:t>
      </w:r>
      <w:bookmarkStart w:id="195" w:name="_Toc477954567"/>
      <w:r>
        <w:rPr>
          <w:rFonts w:eastAsiaTheme="minorEastAsia" w:hAnsiTheme="minorEastAsia" w:hint="eastAsia"/>
          <w:sz w:val="24"/>
        </w:rPr>
        <w:t>超标原因为原生地质导致。</w:t>
      </w:r>
      <w:r>
        <w:rPr>
          <w:rFonts w:eastAsiaTheme="minorEastAsia" w:hAnsiTheme="minorEastAsia"/>
          <w:sz w:val="24"/>
        </w:rPr>
        <w:t>☆</w:t>
      </w:r>
      <w:r>
        <w:rPr>
          <w:rFonts w:eastAsiaTheme="minorEastAsia"/>
          <w:sz w:val="24"/>
        </w:rPr>
        <w:t>0</w:t>
      </w:r>
      <w:r>
        <w:rPr>
          <w:rFonts w:eastAsiaTheme="minorEastAsia" w:hint="eastAsia"/>
          <w:sz w:val="24"/>
        </w:rPr>
        <w:t>1</w:t>
      </w:r>
      <w:r>
        <w:rPr>
          <w:rFonts w:eastAsiaTheme="minorEastAsia" w:hAnsiTheme="minorEastAsia"/>
          <w:sz w:val="24"/>
        </w:rPr>
        <w:t>监测点的地下水均为</w:t>
      </w:r>
      <w:r>
        <w:rPr>
          <w:rFonts w:eastAsiaTheme="minorEastAsia" w:hint="eastAsia"/>
          <w:sz w:val="24"/>
        </w:rPr>
        <w:t>8</w:t>
      </w:r>
      <w:r>
        <w:rPr>
          <w:rFonts w:eastAsiaTheme="minorEastAsia"/>
          <w:sz w:val="24"/>
        </w:rPr>
        <w:t>-A</w:t>
      </w:r>
      <w:r>
        <w:rPr>
          <w:rFonts w:eastAsiaTheme="minorEastAsia" w:hAnsiTheme="minorEastAsia"/>
          <w:sz w:val="24"/>
        </w:rPr>
        <w:t>型，表示矿化度小于</w:t>
      </w:r>
      <w:r>
        <w:rPr>
          <w:rFonts w:eastAsiaTheme="minorEastAsia"/>
          <w:sz w:val="24"/>
        </w:rPr>
        <w:t>1.5g/L</w:t>
      </w:r>
      <w:r>
        <w:rPr>
          <w:rFonts w:eastAsiaTheme="minorEastAsia" w:hAnsiTheme="minorEastAsia"/>
          <w:sz w:val="24"/>
        </w:rPr>
        <w:t>的</w:t>
      </w:r>
      <w:r>
        <w:rPr>
          <w:rFonts w:eastAsiaTheme="minorEastAsia"/>
          <w:sz w:val="24"/>
        </w:rPr>
        <w:t>HCO</w:t>
      </w:r>
      <w:r>
        <w:rPr>
          <w:rFonts w:eastAsiaTheme="minorEastAsia"/>
          <w:sz w:val="24"/>
          <w:vertAlign w:val="subscript"/>
        </w:rPr>
        <w:t>3</w:t>
      </w:r>
      <w:r>
        <w:rPr>
          <w:rFonts w:eastAsiaTheme="minorEastAsia"/>
          <w:sz w:val="24"/>
          <w:vertAlign w:val="superscript"/>
        </w:rPr>
        <w:t>-</w:t>
      </w:r>
      <w:r>
        <w:rPr>
          <w:rFonts w:eastAsiaTheme="minorEastAsia"/>
          <w:sz w:val="24"/>
        </w:rPr>
        <w:t>-SO</w:t>
      </w:r>
      <w:r>
        <w:rPr>
          <w:rFonts w:eastAsiaTheme="minorEastAsia"/>
          <w:sz w:val="24"/>
          <w:vertAlign w:val="subscript"/>
        </w:rPr>
        <w:t>4</w:t>
      </w:r>
      <w:r>
        <w:rPr>
          <w:rFonts w:eastAsiaTheme="minorEastAsia"/>
          <w:sz w:val="24"/>
          <w:vertAlign w:val="superscript"/>
        </w:rPr>
        <w:t>2-</w:t>
      </w:r>
      <w:r>
        <w:rPr>
          <w:rFonts w:eastAsiaTheme="minorEastAsia"/>
          <w:bCs/>
          <w:sz w:val="24"/>
        </w:rPr>
        <w:t>—Ca</w:t>
      </w:r>
      <w:r>
        <w:rPr>
          <w:rFonts w:eastAsiaTheme="minorEastAsia" w:hint="eastAsia"/>
          <w:bCs/>
          <w:sz w:val="24"/>
          <w:vertAlign w:val="superscript"/>
        </w:rPr>
        <w:t>2+</w:t>
      </w:r>
      <w:r>
        <w:rPr>
          <w:rFonts w:eastAsiaTheme="minorEastAsia" w:hAnsiTheme="minorEastAsia"/>
          <w:sz w:val="24"/>
        </w:rPr>
        <w:t>型</w:t>
      </w:r>
      <w:r>
        <w:rPr>
          <w:rFonts w:eastAsiaTheme="minorEastAsia" w:hAnsiTheme="minorEastAsia" w:hint="eastAsia"/>
          <w:sz w:val="24"/>
        </w:rPr>
        <w:t>；</w:t>
      </w:r>
      <w:r>
        <w:rPr>
          <w:rFonts w:eastAsiaTheme="minorEastAsia" w:hAnsiTheme="minorEastAsia"/>
          <w:sz w:val="24"/>
        </w:rPr>
        <w:t>☆</w:t>
      </w:r>
      <w:r>
        <w:rPr>
          <w:rFonts w:eastAsiaTheme="minorEastAsia"/>
          <w:sz w:val="24"/>
        </w:rPr>
        <w:t>0</w:t>
      </w:r>
      <w:r>
        <w:rPr>
          <w:rFonts w:eastAsiaTheme="minorEastAsia" w:hint="eastAsia"/>
          <w:sz w:val="24"/>
        </w:rPr>
        <w:t>2</w:t>
      </w:r>
      <w:r>
        <w:rPr>
          <w:rFonts w:eastAsiaTheme="minorEastAsia" w:hAnsiTheme="minorEastAsia"/>
          <w:sz w:val="24"/>
        </w:rPr>
        <w:t>监测点的地下水均为</w:t>
      </w:r>
      <w:r>
        <w:rPr>
          <w:rFonts w:eastAsiaTheme="minorEastAsia" w:hint="eastAsia"/>
          <w:sz w:val="24"/>
        </w:rPr>
        <w:t>1</w:t>
      </w:r>
      <w:r>
        <w:rPr>
          <w:rFonts w:eastAsiaTheme="minorEastAsia"/>
          <w:sz w:val="24"/>
        </w:rPr>
        <w:t>-A</w:t>
      </w:r>
      <w:r>
        <w:rPr>
          <w:rFonts w:eastAsiaTheme="minorEastAsia" w:hAnsiTheme="minorEastAsia"/>
          <w:sz w:val="24"/>
        </w:rPr>
        <w:t>型，表示矿化度小于</w:t>
      </w:r>
      <w:r>
        <w:rPr>
          <w:rFonts w:eastAsiaTheme="minorEastAsia"/>
          <w:sz w:val="24"/>
        </w:rPr>
        <w:t>1.5g/L</w:t>
      </w:r>
      <w:r>
        <w:rPr>
          <w:rFonts w:eastAsiaTheme="minorEastAsia" w:hAnsiTheme="minorEastAsia"/>
          <w:sz w:val="24"/>
        </w:rPr>
        <w:t>的</w:t>
      </w:r>
      <w:r>
        <w:rPr>
          <w:rFonts w:eastAsiaTheme="minorEastAsia"/>
          <w:sz w:val="24"/>
          <w:lang w:val="zh-CN"/>
        </w:rPr>
        <w:t>HCO</w:t>
      </w:r>
      <w:r>
        <w:rPr>
          <w:rFonts w:eastAsiaTheme="minorEastAsia"/>
          <w:sz w:val="24"/>
          <w:vertAlign w:val="subscript"/>
          <w:lang w:val="zh-CN"/>
        </w:rPr>
        <w:t>3</w:t>
      </w:r>
      <w:r>
        <w:rPr>
          <w:rFonts w:eastAsiaTheme="minorEastAsia"/>
          <w:sz w:val="24"/>
          <w:vertAlign w:val="superscript"/>
        </w:rPr>
        <w:t>-</w:t>
      </w:r>
      <w:r>
        <w:rPr>
          <w:rFonts w:eastAsiaTheme="minorEastAsia" w:hint="eastAsia"/>
          <w:sz w:val="24"/>
          <w:vertAlign w:val="superscript"/>
        </w:rPr>
        <w:t xml:space="preserve"> </w:t>
      </w:r>
      <w:r>
        <w:rPr>
          <w:rFonts w:eastAsiaTheme="minorEastAsia"/>
          <w:sz w:val="24"/>
          <w:vertAlign w:val="superscript"/>
          <w:lang w:val="zh-CN"/>
        </w:rPr>
        <w:t>—</w:t>
      </w:r>
      <w:r>
        <w:rPr>
          <w:rFonts w:eastAsiaTheme="minorEastAsia"/>
          <w:bCs/>
          <w:sz w:val="24"/>
        </w:rPr>
        <w:t>Ca</w:t>
      </w:r>
      <w:r>
        <w:rPr>
          <w:rFonts w:eastAsiaTheme="minorEastAsia" w:hint="eastAsia"/>
          <w:bCs/>
          <w:sz w:val="24"/>
          <w:vertAlign w:val="superscript"/>
        </w:rPr>
        <w:t>2+</w:t>
      </w:r>
      <w:r>
        <w:rPr>
          <w:rFonts w:eastAsiaTheme="minorEastAsia" w:hAnsiTheme="minorEastAsia"/>
          <w:sz w:val="24"/>
        </w:rPr>
        <w:t>型水；☆</w:t>
      </w:r>
      <w:r>
        <w:rPr>
          <w:rFonts w:eastAsiaTheme="minorEastAsia"/>
          <w:sz w:val="24"/>
        </w:rPr>
        <w:t>0</w:t>
      </w:r>
      <w:r>
        <w:rPr>
          <w:rFonts w:eastAsiaTheme="minorEastAsia" w:hint="eastAsia"/>
          <w:sz w:val="24"/>
        </w:rPr>
        <w:t>3</w:t>
      </w:r>
      <w:r>
        <w:rPr>
          <w:rFonts w:eastAsiaTheme="minorEastAsia" w:hAnsiTheme="minorEastAsia"/>
          <w:sz w:val="24"/>
        </w:rPr>
        <w:t>监测点的地下水均为</w:t>
      </w:r>
      <w:r>
        <w:rPr>
          <w:rFonts w:eastAsiaTheme="minorEastAsia" w:hint="eastAsia"/>
          <w:sz w:val="24"/>
        </w:rPr>
        <w:t>22</w:t>
      </w:r>
      <w:r>
        <w:rPr>
          <w:rFonts w:eastAsiaTheme="minorEastAsia"/>
          <w:sz w:val="24"/>
        </w:rPr>
        <w:t>-A</w:t>
      </w:r>
      <w:r>
        <w:rPr>
          <w:rFonts w:eastAsiaTheme="minorEastAsia" w:hAnsiTheme="minorEastAsia"/>
          <w:sz w:val="24"/>
        </w:rPr>
        <w:t>型，表示矿化度小于</w:t>
      </w:r>
      <w:r>
        <w:rPr>
          <w:rFonts w:eastAsiaTheme="minorEastAsia"/>
          <w:sz w:val="24"/>
        </w:rPr>
        <w:t>1.5g/L</w:t>
      </w:r>
      <w:r>
        <w:rPr>
          <w:rFonts w:eastAsiaTheme="minorEastAsia" w:hAnsiTheme="minorEastAsia"/>
          <w:sz w:val="24"/>
        </w:rPr>
        <w:t>的</w:t>
      </w:r>
      <w:r>
        <w:rPr>
          <w:rFonts w:eastAsiaTheme="minorEastAsia"/>
          <w:sz w:val="24"/>
        </w:rPr>
        <w:t>HCO</w:t>
      </w:r>
      <w:r>
        <w:rPr>
          <w:rFonts w:eastAsiaTheme="minorEastAsia"/>
          <w:sz w:val="24"/>
          <w:vertAlign w:val="subscript"/>
        </w:rPr>
        <w:t>3</w:t>
      </w:r>
      <w:r>
        <w:rPr>
          <w:rFonts w:eastAsiaTheme="minorEastAsia"/>
          <w:sz w:val="24"/>
          <w:vertAlign w:val="superscript"/>
        </w:rPr>
        <w:t>-</w:t>
      </w:r>
      <w:r>
        <w:rPr>
          <w:rFonts w:eastAsiaTheme="minorEastAsia"/>
          <w:sz w:val="24"/>
        </w:rPr>
        <w:t>-Cl</w:t>
      </w:r>
      <w:r>
        <w:rPr>
          <w:rFonts w:eastAsiaTheme="minorEastAsia"/>
          <w:sz w:val="24"/>
          <w:vertAlign w:val="superscript"/>
        </w:rPr>
        <w:t>-</w:t>
      </w:r>
      <w:r>
        <w:rPr>
          <w:rFonts w:eastAsiaTheme="minorEastAsia"/>
          <w:bCs/>
          <w:sz w:val="24"/>
        </w:rPr>
        <w:t>—Ca</w:t>
      </w:r>
      <w:r>
        <w:rPr>
          <w:rFonts w:eastAsiaTheme="minorEastAsia" w:hint="eastAsia"/>
          <w:bCs/>
          <w:sz w:val="24"/>
          <w:vertAlign w:val="superscript"/>
        </w:rPr>
        <w:t>2+</w:t>
      </w:r>
      <w:r>
        <w:rPr>
          <w:rFonts w:eastAsiaTheme="minorEastAsia" w:hAnsiTheme="minorEastAsia"/>
          <w:sz w:val="24"/>
        </w:rPr>
        <w:t>型。</w:t>
      </w:r>
    </w:p>
    <w:p w14:paraId="10766AAF"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4.2.4</w:t>
      </w:r>
      <w:r>
        <w:rPr>
          <w:rFonts w:ascii="Times New Roman" w:eastAsia="黑体" w:hAnsi="Times New Roman" w:cs="Times New Roman"/>
          <w:bCs/>
          <w:sz w:val="28"/>
          <w:szCs w:val="28"/>
        </w:rPr>
        <w:t>声环境质量现状评价</w:t>
      </w:r>
      <w:bookmarkEnd w:id="195"/>
    </w:p>
    <w:p w14:paraId="29E7781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4.2.4.1</w:t>
      </w:r>
      <w:r>
        <w:rPr>
          <w:rFonts w:ascii="Times New Roman" w:eastAsia="黑体" w:hAnsi="Times New Roman" w:cs="Times New Roman"/>
          <w:b w:val="0"/>
          <w:sz w:val="24"/>
          <w:szCs w:val="24"/>
        </w:rPr>
        <w:t>声环境现状监测</w:t>
      </w:r>
    </w:p>
    <w:p w14:paraId="2FF7E7BF"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w:t>
      </w:r>
      <w:r>
        <w:rPr>
          <w:rFonts w:eastAsiaTheme="minorEastAsia"/>
          <w:sz w:val="24"/>
          <w:lang w:val="zh-CN"/>
        </w:rPr>
        <w:t>1</w:t>
      </w:r>
      <w:r>
        <w:rPr>
          <w:rFonts w:eastAsiaTheme="minorEastAsia" w:hAnsiTheme="minorEastAsia"/>
          <w:sz w:val="24"/>
          <w:lang w:val="zh-CN"/>
        </w:rPr>
        <w:t>）数据来源</w:t>
      </w:r>
    </w:p>
    <w:p w14:paraId="548263DA" w14:textId="77777777" w:rsidR="00B14D53" w:rsidRDefault="00000000">
      <w:pPr>
        <w:autoSpaceDE w:val="0"/>
        <w:autoSpaceDN w:val="0"/>
        <w:spacing w:line="360" w:lineRule="auto"/>
        <w:ind w:firstLineChars="200" w:firstLine="480"/>
        <w:rPr>
          <w:rFonts w:eastAsiaTheme="minorEastAsia"/>
          <w:sz w:val="24"/>
        </w:rPr>
      </w:pPr>
      <w:r>
        <w:rPr>
          <w:rFonts w:eastAsiaTheme="minorEastAsia" w:hAnsiTheme="minorEastAsia"/>
          <w:sz w:val="24"/>
          <w:lang w:val="zh-CN"/>
        </w:rPr>
        <w:t>本项目声环境质量现状监测数据来自</w:t>
      </w:r>
      <w:r>
        <w:rPr>
          <w:rFonts w:eastAsiaTheme="minorEastAsia" w:hAnsiTheme="minorEastAsia"/>
          <w:sz w:val="24"/>
        </w:rPr>
        <w:t>哈尔滨新巨环保科技有限公司，详细情况见附件</w:t>
      </w:r>
      <w:r>
        <w:rPr>
          <w:rFonts w:eastAsiaTheme="minorEastAsia" w:hAnsiTheme="minorEastAsia" w:hint="eastAsia"/>
          <w:sz w:val="24"/>
        </w:rPr>
        <w:t>4</w:t>
      </w:r>
      <w:r>
        <w:rPr>
          <w:rFonts w:eastAsiaTheme="minorEastAsia" w:hAnsiTheme="minorEastAsia"/>
          <w:sz w:val="24"/>
        </w:rPr>
        <w:t>。</w:t>
      </w:r>
    </w:p>
    <w:p w14:paraId="293D7764"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w:t>
      </w:r>
      <w:r>
        <w:rPr>
          <w:rFonts w:eastAsiaTheme="minorEastAsia"/>
          <w:sz w:val="24"/>
          <w:lang w:val="zh-CN"/>
        </w:rPr>
        <w:t>2</w:t>
      </w:r>
      <w:r>
        <w:rPr>
          <w:rFonts w:eastAsiaTheme="minorEastAsia" w:hAnsiTheme="minorEastAsia"/>
          <w:sz w:val="24"/>
          <w:lang w:val="zh-CN"/>
        </w:rPr>
        <w:t>）监测点位</w:t>
      </w:r>
    </w:p>
    <w:p w14:paraId="3619FEF6"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本项目声环境现状监测点位布置具体见表</w:t>
      </w:r>
      <w:r>
        <w:rPr>
          <w:rFonts w:eastAsiaTheme="minorEastAsia"/>
          <w:sz w:val="24"/>
        </w:rPr>
        <w:t>4-2-1</w:t>
      </w:r>
      <w:r>
        <w:rPr>
          <w:rFonts w:eastAsiaTheme="minorEastAsia" w:hint="eastAsia"/>
          <w:sz w:val="24"/>
        </w:rPr>
        <w:t>3</w:t>
      </w:r>
      <w:r>
        <w:rPr>
          <w:rFonts w:eastAsiaTheme="minorEastAsia" w:hAnsiTheme="minorEastAsia"/>
          <w:sz w:val="24"/>
        </w:rPr>
        <w:t>和图</w:t>
      </w:r>
      <w:r>
        <w:rPr>
          <w:rFonts w:eastAsiaTheme="minorEastAsia"/>
          <w:sz w:val="24"/>
        </w:rPr>
        <w:t>4-2-</w:t>
      </w:r>
      <w:r>
        <w:rPr>
          <w:rFonts w:eastAsiaTheme="minorEastAsia" w:hint="eastAsia"/>
          <w:sz w:val="24"/>
        </w:rPr>
        <w:t>3</w:t>
      </w:r>
      <w:r>
        <w:rPr>
          <w:rFonts w:eastAsiaTheme="minorEastAsia" w:hAnsiTheme="minorEastAsia"/>
          <w:sz w:val="24"/>
        </w:rPr>
        <w:t>。</w:t>
      </w:r>
    </w:p>
    <w:p w14:paraId="1E56EFB9" w14:textId="77777777" w:rsidR="00B14D53" w:rsidRDefault="00B14D53">
      <w:pPr>
        <w:jc w:val="center"/>
        <w:rPr>
          <w:b/>
          <w:bCs/>
        </w:rPr>
      </w:pPr>
    </w:p>
    <w:p w14:paraId="08374335" w14:textId="77777777" w:rsidR="00B14D53" w:rsidRDefault="00000000">
      <w:pPr>
        <w:jc w:val="center"/>
        <w:rPr>
          <w:b/>
          <w:bCs/>
        </w:rPr>
      </w:pPr>
      <w:r>
        <w:rPr>
          <w:rFonts w:hint="eastAsia"/>
          <w:b/>
          <w:bCs/>
        </w:rPr>
        <w:t>表</w:t>
      </w:r>
      <w:r>
        <w:rPr>
          <w:rFonts w:hint="eastAsia"/>
          <w:b/>
          <w:bCs/>
        </w:rPr>
        <w:t xml:space="preserve">4-2-13 </w:t>
      </w:r>
      <w:r>
        <w:rPr>
          <w:rFonts w:hint="eastAsia"/>
          <w:b/>
          <w:bCs/>
        </w:rPr>
        <w:t>声环境现状监测点位表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829"/>
        <w:gridCol w:w="5477"/>
      </w:tblGrid>
      <w:tr w:rsidR="00B14D53" w14:paraId="7541EB8C" w14:textId="77777777">
        <w:trPr>
          <w:trHeight w:val="93"/>
          <w:jc w:val="center"/>
        </w:trPr>
        <w:tc>
          <w:tcPr>
            <w:tcW w:w="1703" w:type="pct"/>
            <w:vAlign w:val="center"/>
          </w:tcPr>
          <w:p w14:paraId="4B1A082B" w14:textId="77777777" w:rsidR="00B14D53" w:rsidRDefault="00000000">
            <w:pPr>
              <w:jc w:val="center"/>
              <w:rPr>
                <w:rFonts w:eastAsiaTheme="minorEastAsia"/>
                <w:b/>
                <w:bCs/>
                <w:szCs w:val="21"/>
              </w:rPr>
            </w:pPr>
            <w:r>
              <w:rPr>
                <w:rFonts w:eastAsiaTheme="minorEastAsia" w:hAnsiTheme="minorEastAsia"/>
                <w:b/>
                <w:bCs/>
                <w:szCs w:val="21"/>
              </w:rPr>
              <w:t>序号</w:t>
            </w:r>
          </w:p>
        </w:tc>
        <w:tc>
          <w:tcPr>
            <w:tcW w:w="3297" w:type="pct"/>
            <w:vAlign w:val="center"/>
          </w:tcPr>
          <w:p w14:paraId="40B83123" w14:textId="77777777" w:rsidR="00B14D53" w:rsidRDefault="00000000">
            <w:pPr>
              <w:jc w:val="center"/>
              <w:rPr>
                <w:rFonts w:eastAsiaTheme="minorEastAsia"/>
                <w:b/>
                <w:bCs/>
                <w:szCs w:val="21"/>
              </w:rPr>
            </w:pPr>
            <w:r>
              <w:rPr>
                <w:rFonts w:eastAsiaTheme="minorEastAsia" w:hAnsiTheme="minorEastAsia"/>
                <w:b/>
                <w:bCs/>
                <w:szCs w:val="21"/>
              </w:rPr>
              <w:t>监测点名称</w:t>
            </w:r>
          </w:p>
        </w:tc>
      </w:tr>
      <w:tr w:rsidR="00B14D53" w14:paraId="7FB67768" w14:textId="77777777">
        <w:trPr>
          <w:trHeight w:val="93"/>
          <w:jc w:val="center"/>
        </w:trPr>
        <w:tc>
          <w:tcPr>
            <w:tcW w:w="1703" w:type="pct"/>
            <w:vAlign w:val="center"/>
          </w:tcPr>
          <w:p w14:paraId="7CF63FE9" w14:textId="77777777" w:rsidR="00B14D53" w:rsidRDefault="00000000">
            <w:pPr>
              <w:jc w:val="center"/>
              <w:rPr>
                <w:rFonts w:eastAsiaTheme="minorEastAsia"/>
                <w:szCs w:val="21"/>
              </w:rPr>
            </w:pPr>
            <w:r>
              <w:rPr>
                <w:rFonts w:asciiTheme="minorEastAsia" w:eastAsiaTheme="minorEastAsia" w:hAnsiTheme="minorEastAsia"/>
                <w:szCs w:val="21"/>
              </w:rPr>
              <w:t>△</w:t>
            </w:r>
            <w:r>
              <w:rPr>
                <w:rFonts w:eastAsiaTheme="minorEastAsia"/>
                <w:szCs w:val="21"/>
              </w:rPr>
              <w:t>1</w:t>
            </w:r>
          </w:p>
        </w:tc>
        <w:tc>
          <w:tcPr>
            <w:tcW w:w="3297" w:type="pct"/>
            <w:vAlign w:val="center"/>
          </w:tcPr>
          <w:p w14:paraId="0DFEB6C6" w14:textId="77777777" w:rsidR="00B14D53" w:rsidRDefault="00000000">
            <w:pPr>
              <w:jc w:val="center"/>
              <w:rPr>
                <w:rFonts w:eastAsiaTheme="minorEastAsia"/>
                <w:szCs w:val="21"/>
              </w:rPr>
            </w:pPr>
            <w:r>
              <w:rPr>
                <w:rFonts w:eastAsiaTheme="minorEastAsia" w:hAnsiTheme="minorEastAsia" w:hint="eastAsia"/>
                <w:szCs w:val="21"/>
              </w:rPr>
              <w:t>厂</w:t>
            </w:r>
            <w:r>
              <w:rPr>
                <w:rFonts w:eastAsiaTheme="minorEastAsia" w:hAnsiTheme="minorEastAsia"/>
                <w:szCs w:val="21"/>
              </w:rPr>
              <w:t>区东侧</w:t>
            </w:r>
            <w:r>
              <w:rPr>
                <w:rFonts w:eastAsiaTheme="minorEastAsia" w:hAnsiTheme="minorEastAsia" w:hint="eastAsia"/>
                <w:szCs w:val="21"/>
              </w:rPr>
              <w:t>厂</w:t>
            </w:r>
            <w:r>
              <w:rPr>
                <w:rFonts w:eastAsiaTheme="minorEastAsia" w:hAnsiTheme="minorEastAsia"/>
                <w:szCs w:val="21"/>
              </w:rPr>
              <w:t>界外</w:t>
            </w:r>
            <w:r>
              <w:rPr>
                <w:rFonts w:eastAsiaTheme="minorEastAsia"/>
                <w:szCs w:val="21"/>
              </w:rPr>
              <w:t>1m</w:t>
            </w:r>
            <w:r>
              <w:rPr>
                <w:rFonts w:eastAsiaTheme="minorEastAsia" w:hAnsiTheme="minorEastAsia"/>
                <w:szCs w:val="21"/>
              </w:rPr>
              <w:t>处</w:t>
            </w:r>
          </w:p>
        </w:tc>
      </w:tr>
      <w:tr w:rsidR="00B14D53" w14:paraId="1B9B9E27" w14:textId="77777777">
        <w:trPr>
          <w:trHeight w:val="303"/>
          <w:jc w:val="center"/>
        </w:trPr>
        <w:tc>
          <w:tcPr>
            <w:tcW w:w="1703" w:type="pct"/>
            <w:vAlign w:val="center"/>
          </w:tcPr>
          <w:p w14:paraId="160FDACD" w14:textId="77777777" w:rsidR="00B14D53" w:rsidRDefault="00000000">
            <w:pPr>
              <w:jc w:val="center"/>
              <w:rPr>
                <w:rFonts w:eastAsiaTheme="minorEastAsia"/>
                <w:szCs w:val="21"/>
              </w:rPr>
            </w:pPr>
            <w:r>
              <w:rPr>
                <w:rFonts w:asciiTheme="minorEastAsia" w:eastAsiaTheme="minorEastAsia" w:hAnsiTheme="minorEastAsia"/>
                <w:szCs w:val="21"/>
              </w:rPr>
              <w:t>△</w:t>
            </w:r>
            <w:r>
              <w:rPr>
                <w:rFonts w:eastAsiaTheme="minorEastAsia"/>
                <w:szCs w:val="21"/>
              </w:rPr>
              <w:t>2</w:t>
            </w:r>
          </w:p>
        </w:tc>
        <w:tc>
          <w:tcPr>
            <w:tcW w:w="3297" w:type="pct"/>
          </w:tcPr>
          <w:p w14:paraId="7949B46C" w14:textId="77777777" w:rsidR="00B14D53" w:rsidRDefault="00000000">
            <w:pPr>
              <w:jc w:val="center"/>
              <w:rPr>
                <w:rFonts w:eastAsiaTheme="minorEastAsia"/>
                <w:szCs w:val="21"/>
              </w:rPr>
            </w:pPr>
            <w:r>
              <w:rPr>
                <w:rFonts w:eastAsiaTheme="minorEastAsia" w:hAnsiTheme="minorEastAsia" w:hint="eastAsia"/>
                <w:szCs w:val="21"/>
              </w:rPr>
              <w:t>厂</w:t>
            </w:r>
            <w:r>
              <w:rPr>
                <w:rFonts w:eastAsiaTheme="minorEastAsia" w:hAnsiTheme="minorEastAsia"/>
                <w:szCs w:val="21"/>
              </w:rPr>
              <w:t>区南侧</w:t>
            </w:r>
            <w:r>
              <w:rPr>
                <w:rFonts w:eastAsiaTheme="minorEastAsia" w:hAnsiTheme="minorEastAsia" w:hint="eastAsia"/>
                <w:szCs w:val="21"/>
              </w:rPr>
              <w:t>厂</w:t>
            </w:r>
            <w:r>
              <w:rPr>
                <w:rFonts w:eastAsiaTheme="minorEastAsia" w:hAnsiTheme="minorEastAsia"/>
                <w:szCs w:val="21"/>
              </w:rPr>
              <w:t>界外</w:t>
            </w:r>
            <w:r>
              <w:rPr>
                <w:rFonts w:eastAsiaTheme="minorEastAsia"/>
                <w:szCs w:val="21"/>
              </w:rPr>
              <w:t>1m</w:t>
            </w:r>
            <w:r>
              <w:rPr>
                <w:rFonts w:eastAsiaTheme="minorEastAsia" w:hAnsiTheme="minorEastAsia"/>
                <w:szCs w:val="21"/>
              </w:rPr>
              <w:t>处</w:t>
            </w:r>
          </w:p>
        </w:tc>
      </w:tr>
      <w:tr w:rsidR="00B14D53" w14:paraId="64E43D90" w14:textId="77777777">
        <w:trPr>
          <w:trHeight w:val="93"/>
          <w:jc w:val="center"/>
        </w:trPr>
        <w:tc>
          <w:tcPr>
            <w:tcW w:w="1703" w:type="pct"/>
            <w:vAlign w:val="center"/>
          </w:tcPr>
          <w:p w14:paraId="3C0F0F04" w14:textId="77777777" w:rsidR="00B14D53" w:rsidRDefault="00000000">
            <w:pPr>
              <w:jc w:val="center"/>
              <w:rPr>
                <w:rFonts w:eastAsiaTheme="minorEastAsia"/>
                <w:szCs w:val="21"/>
              </w:rPr>
            </w:pPr>
            <w:r>
              <w:rPr>
                <w:rFonts w:asciiTheme="minorEastAsia" w:eastAsiaTheme="minorEastAsia" w:hAnsiTheme="minorEastAsia"/>
                <w:szCs w:val="21"/>
              </w:rPr>
              <w:t>△</w:t>
            </w:r>
            <w:r>
              <w:rPr>
                <w:rFonts w:eastAsiaTheme="minorEastAsia"/>
                <w:szCs w:val="21"/>
              </w:rPr>
              <w:t>3</w:t>
            </w:r>
          </w:p>
        </w:tc>
        <w:tc>
          <w:tcPr>
            <w:tcW w:w="3297" w:type="pct"/>
          </w:tcPr>
          <w:p w14:paraId="28BFE5EB" w14:textId="77777777" w:rsidR="00B14D53" w:rsidRDefault="00000000">
            <w:pPr>
              <w:jc w:val="center"/>
              <w:rPr>
                <w:rFonts w:eastAsiaTheme="minorEastAsia"/>
                <w:szCs w:val="21"/>
              </w:rPr>
            </w:pPr>
            <w:r>
              <w:rPr>
                <w:rFonts w:eastAsiaTheme="minorEastAsia" w:hAnsiTheme="minorEastAsia" w:hint="eastAsia"/>
                <w:szCs w:val="21"/>
              </w:rPr>
              <w:t>厂</w:t>
            </w:r>
            <w:r>
              <w:rPr>
                <w:rFonts w:eastAsiaTheme="minorEastAsia" w:hAnsiTheme="minorEastAsia"/>
                <w:szCs w:val="21"/>
              </w:rPr>
              <w:t>区西侧</w:t>
            </w:r>
            <w:r>
              <w:rPr>
                <w:rFonts w:eastAsiaTheme="minorEastAsia" w:hAnsiTheme="minorEastAsia" w:hint="eastAsia"/>
                <w:szCs w:val="21"/>
              </w:rPr>
              <w:t>厂</w:t>
            </w:r>
            <w:r>
              <w:rPr>
                <w:rFonts w:eastAsiaTheme="minorEastAsia" w:hAnsiTheme="minorEastAsia"/>
                <w:szCs w:val="21"/>
              </w:rPr>
              <w:t>界外</w:t>
            </w:r>
            <w:r>
              <w:rPr>
                <w:rFonts w:eastAsiaTheme="minorEastAsia"/>
                <w:szCs w:val="21"/>
              </w:rPr>
              <w:t>1m</w:t>
            </w:r>
            <w:r>
              <w:rPr>
                <w:rFonts w:eastAsiaTheme="minorEastAsia" w:hAnsiTheme="minorEastAsia"/>
                <w:szCs w:val="21"/>
              </w:rPr>
              <w:t>处</w:t>
            </w:r>
          </w:p>
        </w:tc>
      </w:tr>
      <w:tr w:rsidR="00B14D53" w14:paraId="70634A15" w14:textId="77777777">
        <w:trPr>
          <w:trHeight w:val="192"/>
          <w:jc w:val="center"/>
        </w:trPr>
        <w:tc>
          <w:tcPr>
            <w:tcW w:w="1703" w:type="pct"/>
            <w:vAlign w:val="center"/>
          </w:tcPr>
          <w:p w14:paraId="231AAB4F" w14:textId="77777777" w:rsidR="00B14D53" w:rsidRDefault="00000000">
            <w:pPr>
              <w:jc w:val="center"/>
              <w:rPr>
                <w:rFonts w:eastAsiaTheme="minorEastAsia"/>
                <w:szCs w:val="21"/>
              </w:rPr>
            </w:pPr>
            <w:r>
              <w:rPr>
                <w:rFonts w:asciiTheme="minorEastAsia" w:eastAsiaTheme="minorEastAsia" w:hAnsiTheme="minorEastAsia"/>
                <w:szCs w:val="21"/>
              </w:rPr>
              <w:t>△</w:t>
            </w:r>
            <w:r>
              <w:rPr>
                <w:rFonts w:eastAsiaTheme="minorEastAsia"/>
                <w:szCs w:val="21"/>
              </w:rPr>
              <w:t>4</w:t>
            </w:r>
          </w:p>
        </w:tc>
        <w:tc>
          <w:tcPr>
            <w:tcW w:w="3297" w:type="pct"/>
          </w:tcPr>
          <w:p w14:paraId="512AC20D" w14:textId="77777777" w:rsidR="00B14D53" w:rsidRDefault="00000000">
            <w:pPr>
              <w:jc w:val="center"/>
              <w:rPr>
                <w:rFonts w:eastAsiaTheme="minorEastAsia"/>
                <w:szCs w:val="21"/>
              </w:rPr>
            </w:pPr>
            <w:r>
              <w:rPr>
                <w:rFonts w:eastAsiaTheme="minorEastAsia" w:hAnsiTheme="minorEastAsia" w:hint="eastAsia"/>
                <w:szCs w:val="21"/>
              </w:rPr>
              <w:t>厂</w:t>
            </w:r>
            <w:r>
              <w:rPr>
                <w:rFonts w:eastAsiaTheme="minorEastAsia" w:hAnsiTheme="minorEastAsia"/>
                <w:szCs w:val="21"/>
              </w:rPr>
              <w:t>区北侧</w:t>
            </w:r>
            <w:r>
              <w:rPr>
                <w:rFonts w:eastAsiaTheme="minorEastAsia" w:hAnsiTheme="minorEastAsia" w:hint="eastAsia"/>
                <w:szCs w:val="21"/>
              </w:rPr>
              <w:t>厂</w:t>
            </w:r>
            <w:r>
              <w:rPr>
                <w:rFonts w:eastAsiaTheme="minorEastAsia" w:hAnsiTheme="minorEastAsia"/>
                <w:szCs w:val="21"/>
              </w:rPr>
              <w:t>界外</w:t>
            </w:r>
            <w:r>
              <w:rPr>
                <w:rFonts w:eastAsiaTheme="minorEastAsia"/>
                <w:szCs w:val="21"/>
              </w:rPr>
              <w:t>1m</w:t>
            </w:r>
            <w:r>
              <w:rPr>
                <w:rFonts w:eastAsiaTheme="minorEastAsia" w:hAnsiTheme="minorEastAsia"/>
                <w:szCs w:val="21"/>
              </w:rPr>
              <w:t>处</w:t>
            </w:r>
          </w:p>
        </w:tc>
      </w:tr>
    </w:tbl>
    <w:p w14:paraId="2C1DEDE8" w14:textId="77777777" w:rsidR="00B14D53" w:rsidRDefault="00000000">
      <w:pPr>
        <w:jc w:val="center"/>
        <w:rPr>
          <w:rFonts w:eastAsiaTheme="minorEastAsia"/>
          <w:sz w:val="24"/>
          <w:lang w:val="zh-CN"/>
        </w:rPr>
      </w:pPr>
      <w:r>
        <w:rPr>
          <w:noProof/>
          <w:sz w:val="24"/>
          <w:szCs w:val="18"/>
        </w:rPr>
        <w:drawing>
          <wp:inline distT="0" distB="0" distL="114300" distR="114300" wp14:anchorId="26FE5D3E" wp14:editId="074BCA99">
            <wp:extent cx="5014595" cy="3482340"/>
            <wp:effectExtent l="9525" t="9525" r="24130" b="13335"/>
            <wp:docPr id="303" name="图片 7" descr="F{D@NTKEH68K8_HM0M%%}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7" descr="F{D@NTKEH68K8_HM0M%%}RA"/>
                    <pic:cNvPicPr>
                      <a:picLocks noChangeAspect="1"/>
                    </pic:cNvPicPr>
                  </pic:nvPicPr>
                  <pic:blipFill>
                    <a:blip r:embed="rId54"/>
                    <a:stretch>
                      <a:fillRect/>
                    </a:stretch>
                  </pic:blipFill>
                  <pic:spPr>
                    <a:xfrm>
                      <a:off x="0" y="0"/>
                      <a:ext cx="5014595" cy="3482340"/>
                    </a:xfrm>
                    <a:prstGeom prst="rect">
                      <a:avLst/>
                    </a:prstGeom>
                    <a:noFill/>
                    <a:ln>
                      <a:solidFill>
                        <a:schemeClr val="tx1"/>
                      </a:solidFill>
                    </a:ln>
                  </pic:spPr>
                </pic:pic>
              </a:graphicData>
            </a:graphic>
          </wp:inline>
        </w:drawing>
      </w:r>
    </w:p>
    <w:p w14:paraId="133CB4E0" w14:textId="77777777" w:rsidR="00B14D53" w:rsidRDefault="00000000">
      <w:pPr>
        <w:jc w:val="center"/>
        <w:rPr>
          <w:b/>
          <w:bCs/>
        </w:rPr>
      </w:pPr>
      <w:r>
        <w:rPr>
          <w:rFonts w:hint="eastAsia"/>
          <w:b/>
          <w:bCs/>
        </w:rPr>
        <w:t>图</w:t>
      </w:r>
      <w:r>
        <w:rPr>
          <w:rFonts w:hint="eastAsia"/>
          <w:b/>
          <w:bCs/>
        </w:rPr>
        <w:t xml:space="preserve">4-2-3 </w:t>
      </w:r>
      <w:r>
        <w:rPr>
          <w:rFonts w:hint="eastAsia"/>
          <w:b/>
          <w:bCs/>
        </w:rPr>
        <w:t>声环境监测点位图</w:t>
      </w:r>
    </w:p>
    <w:p w14:paraId="1AF3B5D1" w14:textId="77777777" w:rsidR="00B14D53" w:rsidRDefault="00000000">
      <w:pPr>
        <w:spacing w:line="500" w:lineRule="exact"/>
        <w:ind w:firstLineChars="210" w:firstLine="504"/>
        <w:rPr>
          <w:rFonts w:eastAsiaTheme="minorEastAsia"/>
          <w:sz w:val="24"/>
          <w:lang w:val="zh-CN"/>
        </w:rPr>
      </w:pPr>
      <w:r>
        <w:rPr>
          <w:rFonts w:eastAsiaTheme="minorEastAsia" w:hAnsiTheme="minorEastAsia"/>
          <w:sz w:val="24"/>
          <w:lang w:val="zh-CN"/>
        </w:rPr>
        <w:t>（</w:t>
      </w:r>
      <w:r>
        <w:rPr>
          <w:rFonts w:eastAsiaTheme="minorEastAsia"/>
          <w:sz w:val="24"/>
          <w:lang w:val="zh-CN"/>
        </w:rPr>
        <w:t>3</w:t>
      </w:r>
      <w:r>
        <w:rPr>
          <w:rFonts w:eastAsiaTheme="minorEastAsia" w:hAnsiTheme="minorEastAsia"/>
          <w:sz w:val="24"/>
          <w:lang w:val="zh-CN"/>
        </w:rPr>
        <w:t>）监测时间</w:t>
      </w:r>
    </w:p>
    <w:p w14:paraId="1292CE7F" w14:textId="77777777" w:rsidR="00B14D53" w:rsidRDefault="00000000">
      <w:pPr>
        <w:spacing w:line="500" w:lineRule="exact"/>
        <w:ind w:firstLineChars="210" w:firstLine="504"/>
        <w:rPr>
          <w:rFonts w:eastAsiaTheme="minorEastAsia"/>
          <w:sz w:val="24"/>
          <w:lang w:val="zh-CN"/>
        </w:rPr>
      </w:pPr>
      <w:r>
        <w:rPr>
          <w:rFonts w:eastAsiaTheme="minorEastAsia"/>
          <w:sz w:val="24"/>
          <w:lang w:val="zh-CN"/>
        </w:rPr>
        <w:t>202</w:t>
      </w:r>
      <w:r>
        <w:rPr>
          <w:rFonts w:eastAsiaTheme="minorEastAsia" w:hint="eastAsia"/>
          <w:sz w:val="24"/>
        </w:rPr>
        <w:t>5</w:t>
      </w:r>
      <w:r>
        <w:rPr>
          <w:rFonts w:eastAsiaTheme="minorEastAsia" w:hAnsiTheme="minorEastAsia"/>
          <w:sz w:val="24"/>
          <w:lang w:val="zh-CN"/>
        </w:rPr>
        <w:t>年</w:t>
      </w:r>
      <w:r>
        <w:rPr>
          <w:rFonts w:eastAsiaTheme="minorEastAsia"/>
          <w:sz w:val="24"/>
          <w:lang w:val="zh-CN"/>
        </w:rPr>
        <w:t>06</w:t>
      </w:r>
      <w:r>
        <w:rPr>
          <w:rFonts w:eastAsiaTheme="minorEastAsia" w:hAnsiTheme="minorEastAsia"/>
          <w:sz w:val="24"/>
          <w:lang w:val="zh-CN"/>
        </w:rPr>
        <w:t>月</w:t>
      </w:r>
      <w:r>
        <w:rPr>
          <w:rFonts w:eastAsiaTheme="minorEastAsia" w:hint="eastAsia"/>
          <w:sz w:val="24"/>
          <w:lang w:val="zh-CN"/>
        </w:rPr>
        <w:t>2</w:t>
      </w:r>
      <w:r>
        <w:rPr>
          <w:rFonts w:eastAsiaTheme="minorEastAsia" w:hint="eastAsia"/>
          <w:sz w:val="24"/>
        </w:rPr>
        <w:t>5</w:t>
      </w:r>
      <w:r>
        <w:rPr>
          <w:rFonts w:eastAsiaTheme="minorEastAsia" w:hAnsiTheme="minorEastAsia"/>
          <w:sz w:val="24"/>
          <w:lang w:val="zh-CN"/>
        </w:rPr>
        <w:t>日</w:t>
      </w:r>
      <w:r>
        <w:rPr>
          <w:rFonts w:eastAsiaTheme="minorEastAsia"/>
          <w:sz w:val="24"/>
          <w:lang w:val="zh-CN"/>
        </w:rPr>
        <w:t>~</w:t>
      </w:r>
      <w:r>
        <w:rPr>
          <w:rFonts w:eastAsiaTheme="minorEastAsia" w:hint="eastAsia"/>
          <w:sz w:val="24"/>
          <w:lang w:val="zh-CN"/>
        </w:rPr>
        <w:t>2</w:t>
      </w:r>
      <w:r>
        <w:rPr>
          <w:rFonts w:eastAsiaTheme="minorEastAsia" w:hint="eastAsia"/>
          <w:sz w:val="24"/>
        </w:rPr>
        <w:t>6</w:t>
      </w:r>
      <w:r>
        <w:rPr>
          <w:rFonts w:eastAsiaTheme="minorEastAsia" w:hAnsiTheme="minorEastAsia"/>
          <w:sz w:val="24"/>
          <w:lang w:val="zh-CN"/>
        </w:rPr>
        <w:t>日，连续两天。</w:t>
      </w:r>
    </w:p>
    <w:p w14:paraId="2508A120" w14:textId="77777777" w:rsidR="00B14D53" w:rsidRDefault="00000000">
      <w:pPr>
        <w:spacing w:line="500" w:lineRule="exact"/>
        <w:ind w:firstLineChars="210" w:firstLine="504"/>
        <w:rPr>
          <w:rFonts w:eastAsiaTheme="minorEastAsia"/>
          <w:sz w:val="24"/>
          <w:lang w:val="zh-CN"/>
        </w:rPr>
      </w:pPr>
      <w:r>
        <w:rPr>
          <w:rFonts w:eastAsiaTheme="minorEastAsia" w:hAnsiTheme="minorEastAsia"/>
          <w:sz w:val="24"/>
          <w:lang w:val="zh-CN"/>
        </w:rPr>
        <w:t>（</w:t>
      </w:r>
      <w:r>
        <w:rPr>
          <w:rFonts w:eastAsiaTheme="minorEastAsia"/>
          <w:sz w:val="24"/>
          <w:lang w:val="zh-CN"/>
        </w:rPr>
        <w:t>4</w:t>
      </w:r>
      <w:r>
        <w:rPr>
          <w:rFonts w:eastAsiaTheme="minorEastAsia" w:hAnsiTheme="minorEastAsia"/>
          <w:sz w:val="24"/>
          <w:lang w:val="zh-CN"/>
        </w:rPr>
        <w:t>）监测结果</w:t>
      </w:r>
    </w:p>
    <w:p w14:paraId="571A0AEF" w14:textId="77777777" w:rsidR="00B14D53" w:rsidRDefault="00000000">
      <w:pPr>
        <w:spacing w:line="500" w:lineRule="exact"/>
        <w:ind w:firstLineChars="210" w:firstLine="504"/>
        <w:rPr>
          <w:rFonts w:eastAsiaTheme="minorEastAsia"/>
          <w:sz w:val="24"/>
          <w:lang w:val="zh-CN"/>
        </w:rPr>
      </w:pPr>
      <w:r>
        <w:rPr>
          <w:rFonts w:eastAsiaTheme="minorEastAsia" w:hAnsiTheme="minorEastAsia"/>
          <w:sz w:val="24"/>
          <w:lang w:val="zh-CN"/>
        </w:rPr>
        <w:t>监测结果见下表。</w:t>
      </w:r>
    </w:p>
    <w:p w14:paraId="1D226983" w14:textId="77777777" w:rsidR="00B14D53" w:rsidRDefault="00000000">
      <w:pPr>
        <w:jc w:val="center"/>
        <w:rPr>
          <w:b/>
          <w:bCs/>
        </w:rPr>
      </w:pPr>
      <w:r>
        <w:rPr>
          <w:rFonts w:hint="eastAsia"/>
          <w:b/>
          <w:bCs/>
        </w:rPr>
        <w:t>表</w:t>
      </w:r>
      <w:r>
        <w:rPr>
          <w:rFonts w:hint="eastAsia"/>
          <w:b/>
          <w:bCs/>
        </w:rPr>
        <w:t xml:space="preserve">4-2-14 </w:t>
      </w:r>
      <w:r>
        <w:rPr>
          <w:rFonts w:hint="eastAsia"/>
          <w:b/>
          <w:bCs/>
        </w:rPr>
        <w:t>声环境现状监测结果</w:t>
      </w:r>
    </w:p>
    <w:tbl>
      <w:tblPr>
        <w:tblW w:w="494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9"/>
        <w:gridCol w:w="1587"/>
        <w:gridCol w:w="1187"/>
        <w:gridCol w:w="1369"/>
        <w:gridCol w:w="1336"/>
        <w:gridCol w:w="1338"/>
      </w:tblGrid>
      <w:tr w:rsidR="00B14D53" w14:paraId="2DC0655E" w14:textId="77777777">
        <w:trPr>
          <w:trHeight w:val="344"/>
          <w:jc w:val="center"/>
        </w:trPr>
        <w:tc>
          <w:tcPr>
            <w:tcW w:w="847" w:type="pct"/>
            <w:vMerge w:val="restart"/>
            <w:vAlign w:val="center"/>
          </w:tcPr>
          <w:p w14:paraId="4C3695A4" w14:textId="77777777" w:rsidR="00B14D53" w:rsidRDefault="00000000">
            <w:pPr>
              <w:contextualSpacing/>
              <w:jc w:val="center"/>
              <w:rPr>
                <w:b/>
                <w:bCs/>
                <w:szCs w:val="21"/>
              </w:rPr>
            </w:pPr>
            <w:r>
              <w:rPr>
                <w:rFonts w:hAnsi="宋体"/>
                <w:b/>
                <w:bCs/>
                <w:szCs w:val="21"/>
              </w:rPr>
              <w:t>检测日期</w:t>
            </w:r>
          </w:p>
        </w:tc>
        <w:tc>
          <w:tcPr>
            <w:tcW w:w="967" w:type="pct"/>
            <w:vMerge w:val="restart"/>
            <w:vAlign w:val="center"/>
          </w:tcPr>
          <w:p w14:paraId="65178041" w14:textId="77777777" w:rsidR="00B14D53" w:rsidRDefault="00000000">
            <w:pPr>
              <w:contextualSpacing/>
              <w:jc w:val="center"/>
              <w:rPr>
                <w:b/>
                <w:bCs/>
                <w:szCs w:val="21"/>
              </w:rPr>
            </w:pPr>
            <w:r>
              <w:rPr>
                <w:rFonts w:hAnsi="宋体"/>
                <w:b/>
                <w:bCs/>
                <w:szCs w:val="21"/>
              </w:rPr>
              <w:t>检测地点</w:t>
            </w:r>
          </w:p>
        </w:tc>
        <w:tc>
          <w:tcPr>
            <w:tcW w:w="1557" w:type="pct"/>
            <w:gridSpan w:val="2"/>
            <w:vAlign w:val="center"/>
          </w:tcPr>
          <w:p w14:paraId="51A028FC" w14:textId="77777777" w:rsidR="00B14D53" w:rsidRDefault="00000000">
            <w:pPr>
              <w:contextualSpacing/>
              <w:jc w:val="center"/>
              <w:rPr>
                <w:rFonts w:hAnsi="宋体" w:hint="eastAsia"/>
                <w:b/>
                <w:bCs/>
                <w:szCs w:val="21"/>
              </w:rPr>
            </w:pPr>
            <w:r>
              <w:rPr>
                <w:rFonts w:hAnsi="宋体"/>
                <w:b/>
                <w:bCs/>
                <w:szCs w:val="21"/>
              </w:rPr>
              <w:t>昼</w:t>
            </w:r>
            <w:r>
              <w:rPr>
                <w:b/>
                <w:bCs/>
                <w:szCs w:val="21"/>
              </w:rPr>
              <w:t>L</w:t>
            </w:r>
            <w:r>
              <w:rPr>
                <w:b/>
                <w:bCs/>
                <w:szCs w:val="21"/>
                <w:vertAlign w:val="subscript"/>
              </w:rPr>
              <w:t>eq</w:t>
            </w:r>
          </w:p>
        </w:tc>
        <w:tc>
          <w:tcPr>
            <w:tcW w:w="1629" w:type="pct"/>
            <w:gridSpan w:val="2"/>
            <w:vAlign w:val="center"/>
          </w:tcPr>
          <w:p w14:paraId="0851308E" w14:textId="77777777" w:rsidR="00B14D53" w:rsidRDefault="00000000">
            <w:pPr>
              <w:widowControl/>
              <w:contextualSpacing/>
              <w:jc w:val="center"/>
              <w:rPr>
                <w:b/>
                <w:bCs/>
                <w:szCs w:val="21"/>
              </w:rPr>
            </w:pPr>
            <w:r>
              <w:rPr>
                <w:rFonts w:hAnsi="宋体"/>
                <w:b/>
                <w:bCs/>
                <w:szCs w:val="21"/>
              </w:rPr>
              <w:t>夜</w:t>
            </w:r>
            <w:r>
              <w:rPr>
                <w:b/>
                <w:bCs/>
                <w:szCs w:val="21"/>
              </w:rPr>
              <w:t>L</w:t>
            </w:r>
            <w:r>
              <w:rPr>
                <w:b/>
                <w:bCs/>
                <w:szCs w:val="21"/>
                <w:vertAlign w:val="subscript"/>
              </w:rPr>
              <w:t>eq</w:t>
            </w:r>
          </w:p>
        </w:tc>
      </w:tr>
      <w:tr w:rsidR="00B14D53" w14:paraId="4B1B8F90" w14:textId="77777777">
        <w:trPr>
          <w:trHeight w:val="344"/>
          <w:jc w:val="center"/>
        </w:trPr>
        <w:tc>
          <w:tcPr>
            <w:tcW w:w="847" w:type="pct"/>
            <w:vMerge/>
            <w:vAlign w:val="center"/>
          </w:tcPr>
          <w:p w14:paraId="48FDA050" w14:textId="77777777" w:rsidR="00B14D53" w:rsidRDefault="00B14D53">
            <w:pPr>
              <w:contextualSpacing/>
              <w:jc w:val="center"/>
              <w:rPr>
                <w:b/>
                <w:bCs/>
                <w:szCs w:val="21"/>
              </w:rPr>
            </w:pPr>
          </w:p>
        </w:tc>
        <w:tc>
          <w:tcPr>
            <w:tcW w:w="967" w:type="pct"/>
            <w:vMerge/>
            <w:vAlign w:val="center"/>
          </w:tcPr>
          <w:p w14:paraId="44FBFCBF" w14:textId="77777777" w:rsidR="00B14D53" w:rsidRDefault="00B14D53">
            <w:pPr>
              <w:ind w:firstLineChars="298" w:firstLine="628"/>
              <w:contextualSpacing/>
              <w:jc w:val="center"/>
              <w:rPr>
                <w:b/>
                <w:bCs/>
                <w:szCs w:val="21"/>
              </w:rPr>
            </w:pPr>
          </w:p>
        </w:tc>
        <w:tc>
          <w:tcPr>
            <w:tcW w:w="723" w:type="pct"/>
            <w:vAlign w:val="center"/>
          </w:tcPr>
          <w:p w14:paraId="121C0381" w14:textId="77777777" w:rsidR="00B14D53" w:rsidRDefault="00000000">
            <w:pPr>
              <w:widowControl/>
              <w:contextualSpacing/>
              <w:jc w:val="center"/>
              <w:rPr>
                <w:b/>
                <w:bCs/>
                <w:szCs w:val="21"/>
              </w:rPr>
            </w:pPr>
            <w:r>
              <w:rPr>
                <w:rFonts w:hAnsi="宋体"/>
                <w:b/>
                <w:bCs/>
                <w:szCs w:val="21"/>
              </w:rPr>
              <w:t>时间</w:t>
            </w:r>
          </w:p>
        </w:tc>
        <w:tc>
          <w:tcPr>
            <w:tcW w:w="834" w:type="pct"/>
            <w:vAlign w:val="center"/>
          </w:tcPr>
          <w:p w14:paraId="57BF36B7" w14:textId="77777777" w:rsidR="00B14D53" w:rsidRDefault="00000000">
            <w:pPr>
              <w:widowControl/>
              <w:contextualSpacing/>
              <w:jc w:val="center"/>
              <w:rPr>
                <w:rFonts w:hAnsi="宋体" w:hint="eastAsia"/>
                <w:b/>
                <w:bCs/>
                <w:szCs w:val="21"/>
              </w:rPr>
            </w:pPr>
            <w:r>
              <w:rPr>
                <w:rFonts w:hAnsi="宋体"/>
                <w:b/>
                <w:bCs/>
                <w:szCs w:val="21"/>
              </w:rPr>
              <w:t>结果</w:t>
            </w:r>
          </w:p>
        </w:tc>
        <w:tc>
          <w:tcPr>
            <w:tcW w:w="814" w:type="pct"/>
            <w:vAlign w:val="center"/>
          </w:tcPr>
          <w:p w14:paraId="5DA2F5ED" w14:textId="77777777" w:rsidR="00B14D53" w:rsidRDefault="00000000">
            <w:pPr>
              <w:widowControl/>
              <w:contextualSpacing/>
              <w:jc w:val="center"/>
              <w:rPr>
                <w:b/>
                <w:bCs/>
                <w:szCs w:val="21"/>
              </w:rPr>
            </w:pPr>
            <w:r>
              <w:rPr>
                <w:rFonts w:hAnsi="宋体"/>
                <w:b/>
                <w:bCs/>
                <w:szCs w:val="21"/>
              </w:rPr>
              <w:t>时间</w:t>
            </w:r>
          </w:p>
        </w:tc>
        <w:tc>
          <w:tcPr>
            <w:tcW w:w="815" w:type="pct"/>
            <w:vAlign w:val="center"/>
          </w:tcPr>
          <w:p w14:paraId="4FC17112" w14:textId="77777777" w:rsidR="00B14D53" w:rsidRDefault="00000000">
            <w:pPr>
              <w:widowControl/>
              <w:contextualSpacing/>
              <w:jc w:val="center"/>
              <w:rPr>
                <w:b/>
                <w:bCs/>
                <w:szCs w:val="21"/>
              </w:rPr>
            </w:pPr>
            <w:r>
              <w:rPr>
                <w:rFonts w:hAnsi="宋体"/>
                <w:b/>
                <w:bCs/>
                <w:szCs w:val="21"/>
              </w:rPr>
              <w:t>结果</w:t>
            </w:r>
          </w:p>
        </w:tc>
      </w:tr>
      <w:tr w:rsidR="00B14D53" w14:paraId="6544E32C" w14:textId="77777777">
        <w:trPr>
          <w:trHeight w:val="371"/>
          <w:jc w:val="center"/>
        </w:trPr>
        <w:tc>
          <w:tcPr>
            <w:tcW w:w="1425" w:type="dxa"/>
            <w:vMerge w:val="restart"/>
            <w:vAlign w:val="center"/>
          </w:tcPr>
          <w:p w14:paraId="7B5F60D9" w14:textId="77777777" w:rsidR="00B14D53" w:rsidRDefault="00000000">
            <w:pPr>
              <w:jc w:val="center"/>
              <w:rPr>
                <w:szCs w:val="21"/>
              </w:rPr>
            </w:pPr>
            <w:r>
              <w:rPr>
                <w:rFonts w:hint="eastAsia"/>
                <w:color w:val="000000"/>
              </w:rPr>
              <w:t>2025.06.25</w:t>
            </w:r>
          </w:p>
        </w:tc>
        <w:tc>
          <w:tcPr>
            <w:tcW w:w="1628" w:type="dxa"/>
            <w:vAlign w:val="center"/>
          </w:tcPr>
          <w:p w14:paraId="1513675C" w14:textId="77777777" w:rsidR="00B14D53" w:rsidRDefault="00000000">
            <w:pPr>
              <w:jc w:val="center"/>
              <w:rPr>
                <w:szCs w:val="21"/>
              </w:rPr>
            </w:pPr>
            <w:r>
              <w:rPr>
                <w:rFonts w:hint="eastAsia"/>
                <w:color w:val="000000"/>
              </w:rPr>
              <w:t>△</w:t>
            </w:r>
            <w:r>
              <w:rPr>
                <w:color w:val="000000"/>
              </w:rPr>
              <w:t>1</w:t>
            </w:r>
            <w:r>
              <w:rPr>
                <w:rFonts w:hAnsi="宋体"/>
                <w:color w:val="000000"/>
              </w:rPr>
              <w:t>厂界</w:t>
            </w:r>
            <w:r>
              <w:rPr>
                <w:rFonts w:hAnsi="宋体" w:hint="eastAsia"/>
                <w:color w:val="000000"/>
              </w:rPr>
              <w:t>东</w:t>
            </w:r>
            <w:r>
              <w:rPr>
                <w:rFonts w:hAnsi="宋体"/>
                <w:color w:val="000000"/>
              </w:rPr>
              <w:t>侧</w:t>
            </w:r>
          </w:p>
        </w:tc>
        <w:tc>
          <w:tcPr>
            <w:tcW w:w="1218" w:type="dxa"/>
            <w:vAlign w:val="center"/>
          </w:tcPr>
          <w:p w14:paraId="2470F816"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08</w:t>
            </w:r>
            <w:r>
              <w:rPr>
                <w:rFonts w:ascii="Times New Roman" w:hAnsi="Times New Roman"/>
                <w:color w:val="000000"/>
                <w:sz w:val="21"/>
              </w:rPr>
              <w:t>:</w:t>
            </w:r>
            <w:r>
              <w:rPr>
                <w:rFonts w:ascii="Times New Roman" w:hAnsi="Times New Roman" w:hint="eastAsia"/>
                <w:color w:val="000000"/>
                <w:sz w:val="21"/>
              </w:rPr>
              <w:t>00</w:t>
            </w:r>
          </w:p>
        </w:tc>
        <w:tc>
          <w:tcPr>
            <w:tcW w:w="1405" w:type="dxa"/>
            <w:vAlign w:val="center"/>
          </w:tcPr>
          <w:p w14:paraId="1CEA184B" w14:textId="77777777" w:rsidR="00B14D53" w:rsidRDefault="00000000">
            <w:pPr>
              <w:jc w:val="center"/>
              <w:rPr>
                <w:kern w:val="0"/>
                <w:szCs w:val="21"/>
              </w:rPr>
            </w:pPr>
            <w:r>
              <w:rPr>
                <w:rFonts w:hint="eastAsia"/>
                <w:kern w:val="0"/>
              </w:rPr>
              <w:t>51</w:t>
            </w:r>
          </w:p>
        </w:tc>
        <w:tc>
          <w:tcPr>
            <w:tcW w:w="1371" w:type="dxa"/>
            <w:vAlign w:val="center"/>
          </w:tcPr>
          <w:p w14:paraId="5BB2C6D7"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22</w:t>
            </w:r>
            <w:r>
              <w:rPr>
                <w:rFonts w:ascii="Times New Roman" w:hAnsi="Times New Roman"/>
                <w:color w:val="000000"/>
                <w:sz w:val="21"/>
              </w:rPr>
              <w:t>:</w:t>
            </w:r>
            <w:r>
              <w:rPr>
                <w:rFonts w:ascii="Times New Roman" w:hAnsi="Times New Roman" w:hint="eastAsia"/>
                <w:color w:val="000000"/>
                <w:sz w:val="21"/>
              </w:rPr>
              <w:t>00</w:t>
            </w:r>
          </w:p>
        </w:tc>
        <w:tc>
          <w:tcPr>
            <w:tcW w:w="1373" w:type="dxa"/>
            <w:vAlign w:val="center"/>
          </w:tcPr>
          <w:p w14:paraId="74831EE3" w14:textId="77777777" w:rsidR="00B14D53" w:rsidRDefault="00000000">
            <w:pPr>
              <w:jc w:val="center"/>
              <w:rPr>
                <w:kern w:val="0"/>
                <w:szCs w:val="21"/>
              </w:rPr>
            </w:pPr>
            <w:r>
              <w:rPr>
                <w:rFonts w:hint="eastAsia"/>
                <w:kern w:val="0"/>
              </w:rPr>
              <w:t>40</w:t>
            </w:r>
          </w:p>
        </w:tc>
      </w:tr>
      <w:tr w:rsidR="00B14D53" w14:paraId="4E776647" w14:textId="77777777">
        <w:trPr>
          <w:trHeight w:val="329"/>
          <w:jc w:val="center"/>
        </w:trPr>
        <w:tc>
          <w:tcPr>
            <w:tcW w:w="1425" w:type="dxa"/>
            <w:vMerge/>
            <w:vAlign w:val="center"/>
          </w:tcPr>
          <w:p w14:paraId="1ECC00CE" w14:textId="77777777" w:rsidR="00B14D53" w:rsidRDefault="00B14D53">
            <w:pPr>
              <w:jc w:val="center"/>
              <w:rPr>
                <w:szCs w:val="21"/>
              </w:rPr>
            </w:pPr>
          </w:p>
        </w:tc>
        <w:tc>
          <w:tcPr>
            <w:tcW w:w="1628" w:type="dxa"/>
            <w:vAlign w:val="center"/>
          </w:tcPr>
          <w:p w14:paraId="13478EF1" w14:textId="77777777" w:rsidR="00B14D53" w:rsidRDefault="00000000">
            <w:pPr>
              <w:jc w:val="center"/>
              <w:rPr>
                <w:szCs w:val="21"/>
              </w:rPr>
            </w:pPr>
            <w:r>
              <w:rPr>
                <w:rFonts w:hint="eastAsia"/>
                <w:color w:val="000000"/>
              </w:rPr>
              <w:t>△</w:t>
            </w:r>
            <w:r>
              <w:rPr>
                <w:rFonts w:hint="eastAsia"/>
                <w:color w:val="000000"/>
              </w:rPr>
              <w:t>2</w:t>
            </w:r>
            <w:r>
              <w:rPr>
                <w:rFonts w:hAnsi="宋体"/>
                <w:color w:val="000000"/>
              </w:rPr>
              <w:t>厂界</w:t>
            </w:r>
            <w:r>
              <w:rPr>
                <w:rFonts w:hAnsi="宋体" w:hint="eastAsia"/>
                <w:color w:val="000000"/>
              </w:rPr>
              <w:t>南</w:t>
            </w:r>
            <w:r>
              <w:rPr>
                <w:rFonts w:hAnsi="宋体"/>
                <w:color w:val="000000"/>
              </w:rPr>
              <w:t>侧</w:t>
            </w:r>
          </w:p>
        </w:tc>
        <w:tc>
          <w:tcPr>
            <w:tcW w:w="1218" w:type="dxa"/>
            <w:shd w:val="clear" w:color="auto" w:fill="FFFFFF"/>
            <w:vAlign w:val="center"/>
          </w:tcPr>
          <w:p w14:paraId="3B437E8E"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08</w:t>
            </w:r>
            <w:r>
              <w:rPr>
                <w:rFonts w:ascii="Times New Roman" w:hAnsi="Times New Roman"/>
                <w:color w:val="000000"/>
                <w:sz w:val="21"/>
              </w:rPr>
              <w:t>:</w:t>
            </w:r>
            <w:r>
              <w:rPr>
                <w:rFonts w:ascii="Times New Roman" w:hAnsi="Times New Roman" w:hint="eastAsia"/>
                <w:color w:val="000000"/>
                <w:sz w:val="21"/>
              </w:rPr>
              <w:t>10</w:t>
            </w:r>
          </w:p>
        </w:tc>
        <w:tc>
          <w:tcPr>
            <w:tcW w:w="1405" w:type="dxa"/>
            <w:shd w:val="clear" w:color="auto" w:fill="FFFFFF"/>
            <w:vAlign w:val="center"/>
          </w:tcPr>
          <w:p w14:paraId="275AE09C" w14:textId="77777777" w:rsidR="00B14D53" w:rsidRDefault="00000000">
            <w:pPr>
              <w:jc w:val="center"/>
              <w:rPr>
                <w:kern w:val="0"/>
                <w:szCs w:val="21"/>
              </w:rPr>
            </w:pPr>
            <w:r>
              <w:rPr>
                <w:rFonts w:hint="eastAsia"/>
                <w:kern w:val="0"/>
              </w:rPr>
              <w:t>58</w:t>
            </w:r>
          </w:p>
        </w:tc>
        <w:tc>
          <w:tcPr>
            <w:tcW w:w="1371" w:type="dxa"/>
            <w:vAlign w:val="center"/>
          </w:tcPr>
          <w:p w14:paraId="64677E09"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22</w:t>
            </w:r>
            <w:r>
              <w:rPr>
                <w:rFonts w:ascii="Times New Roman" w:hAnsi="Times New Roman"/>
                <w:color w:val="000000"/>
                <w:sz w:val="21"/>
              </w:rPr>
              <w:t>:</w:t>
            </w:r>
            <w:r>
              <w:rPr>
                <w:rFonts w:ascii="Times New Roman" w:hAnsi="Times New Roman" w:hint="eastAsia"/>
                <w:color w:val="000000"/>
                <w:sz w:val="21"/>
              </w:rPr>
              <w:t>10</w:t>
            </w:r>
          </w:p>
        </w:tc>
        <w:tc>
          <w:tcPr>
            <w:tcW w:w="1373" w:type="dxa"/>
            <w:vAlign w:val="center"/>
          </w:tcPr>
          <w:p w14:paraId="715B1667" w14:textId="77777777" w:rsidR="00B14D53" w:rsidRDefault="00000000">
            <w:pPr>
              <w:jc w:val="center"/>
              <w:rPr>
                <w:kern w:val="0"/>
                <w:szCs w:val="21"/>
              </w:rPr>
            </w:pPr>
            <w:r>
              <w:rPr>
                <w:rFonts w:hint="eastAsia"/>
                <w:kern w:val="0"/>
              </w:rPr>
              <w:t>45</w:t>
            </w:r>
          </w:p>
        </w:tc>
      </w:tr>
      <w:tr w:rsidR="00B14D53" w14:paraId="2A24CA24" w14:textId="77777777">
        <w:trPr>
          <w:trHeight w:val="324"/>
          <w:jc w:val="center"/>
        </w:trPr>
        <w:tc>
          <w:tcPr>
            <w:tcW w:w="1425" w:type="dxa"/>
            <w:vMerge/>
            <w:vAlign w:val="center"/>
          </w:tcPr>
          <w:p w14:paraId="559B8B2E" w14:textId="77777777" w:rsidR="00B14D53" w:rsidRDefault="00B14D53">
            <w:pPr>
              <w:jc w:val="center"/>
              <w:rPr>
                <w:szCs w:val="21"/>
              </w:rPr>
            </w:pPr>
          </w:p>
        </w:tc>
        <w:tc>
          <w:tcPr>
            <w:tcW w:w="1628" w:type="dxa"/>
            <w:vAlign w:val="center"/>
          </w:tcPr>
          <w:p w14:paraId="4B37584D" w14:textId="77777777" w:rsidR="00B14D53" w:rsidRDefault="00000000">
            <w:pPr>
              <w:jc w:val="center"/>
              <w:rPr>
                <w:szCs w:val="21"/>
              </w:rPr>
            </w:pPr>
            <w:r>
              <w:rPr>
                <w:rFonts w:hint="eastAsia"/>
                <w:color w:val="000000"/>
              </w:rPr>
              <w:t>△</w:t>
            </w:r>
            <w:r>
              <w:rPr>
                <w:color w:val="000000"/>
              </w:rPr>
              <w:t>3</w:t>
            </w:r>
            <w:r>
              <w:rPr>
                <w:rFonts w:hAnsi="宋体"/>
                <w:color w:val="000000"/>
              </w:rPr>
              <w:t>厂界</w:t>
            </w:r>
            <w:r>
              <w:rPr>
                <w:rFonts w:hAnsi="宋体" w:hint="eastAsia"/>
                <w:color w:val="000000"/>
              </w:rPr>
              <w:t>西</w:t>
            </w:r>
            <w:r>
              <w:rPr>
                <w:rFonts w:hAnsi="宋体"/>
                <w:color w:val="000000"/>
              </w:rPr>
              <w:t>侧</w:t>
            </w:r>
          </w:p>
        </w:tc>
        <w:tc>
          <w:tcPr>
            <w:tcW w:w="1218" w:type="dxa"/>
            <w:shd w:val="clear" w:color="auto" w:fill="FFFFFF"/>
            <w:vAlign w:val="center"/>
          </w:tcPr>
          <w:p w14:paraId="25434DBA"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08</w:t>
            </w:r>
            <w:r>
              <w:rPr>
                <w:rFonts w:ascii="Times New Roman" w:hAnsi="Times New Roman"/>
                <w:color w:val="000000"/>
                <w:sz w:val="21"/>
              </w:rPr>
              <w:t>:</w:t>
            </w:r>
            <w:r>
              <w:rPr>
                <w:rFonts w:ascii="Times New Roman" w:hAnsi="Times New Roman" w:hint="eastAsia"/>
                <w:color w:val="000000"/>
                <w:sz w:val="21"/>
              </w:rPr>
              <w:t>20</w:t>
            </w:r>
          </w:p>
        </w:tc>
        <w:tc>
          <w:tcPr>
            <w:tcW w:w="1405" w:type="dxa"/>
            <w:shd w:val="clear" w:color="auto" w:fill="FFFFFF"/>
            <w:vAlign w:val="center"/>
          </w:tcPr>
          <w:p w14:paraId="2209A48D" w14:textId="77777777" w:rsidR="00B14D53" w:rsidRDefault="00000000">
            <w:pPr>
              <w:jc w:val="center"/>
              <w:rPr>
                <w:kern w:val="0"/>
                <w:szCs w:val="21"/>
              </w:rPr>
            </w:pPr>
            <w:r>
              <w:rPr>
                <w:rFonts w:hint="eastAsia"/>
                <w:kern w:val="0"/>
              </w:rPr>
              <w:t>51</w:t>
            </w:r>
          </w:p>
        </w:tc>
        <w:tc>
          <w:tcPr>
            <w:tcW w:w="1371" w:type="dxa"/>
            <w:vAlign w:val="center"/>
          </w:tcPr>
          <w:p w14:paraId="66FA6FBD"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22</w:t>
            </w:r>
            <w:r>
              <w:rPr>
                <w:rFonts w:ascii="Times New Roman" w:hAnsi="Times New Roman"/>
                <w:color w:val="000000"/>
                <w:sz w:val="21"/>
              </w:rPr>
              <w:t>:</w:t>
            </w:r>
            <w:r>
              <w:rPr>
                <w:rFonts w:ascii="Times New Roman" w:hAnsi="Times New Roman" w:hint="eastAsia"/>
                <w:color w:val="000000"/>
                <w:sz w:val="21"/>
              </w:rPr>
              <w:t>20</w:t>
            </w:r>
          </w:p>
        </w:tc>
        <w:tc>
          <w:tcPr>
            <w:tcW w:w="1373" w:type="dxa"/>
            <w:vAlign w:val="center"/>
          </w:tcPr>
          <w:p w14:paraId="309DA08B" w14:textId="77777777" w:rsidR="00B14D53" w:rsidRDefault="00000000">
            <w:pPr>
              <w:jc w:val="center"/>
              <w:rPr>
                <w:kern w:val="0"/>
                <w:szCs w:val="21"/>
              </w:rPr>
            </w:pPr>
            <w:r>
              <w:rPr>
                <w:rFonts w:hint="eastAsia"/>
                <w:kern w:val="0"/>
              </w:rPr>
              <w:t>40</w:t>
            </w:r>
          </w:p>
        </w:tc>
      </w:tr>
      <w:tr w:rsidR="00B14D53" w14:paraId="3033D0C5" w14:textId="77777777">
        <w:trPr>
          <w:trHeight w:val="318"/>
          <w:jc w:val="center"/>
        </w:trPr>
        <w:tc>
          <w:tcPr>
            <w:tcW w:w="1425" w:type="dxa"/>
            <w:vMerge/>
            <w:vAlign w:val="center"/>
          </w:tcPr>
          <w:p w14:paraId="606B9228" w14:textId="77777777" w:rsidR="00B14D53" w:rsidRDefault="00B14D53">
            <w:pPr>
              <w:jc w:val="center"/>
              <w:rPr>
                <w:szCs w:val="21"/>
              </w:rPr>
            </w:pPr>
          </w:p>
        </w:tc>
        <w:tc>
          <w:tcPr>
            <w:tcW w:w="1628" w:type="dxa"/>
            <w:vAlign w:val="center"/>
          </w:tcPr>
          <w:p w14:paraId="19D2E286" w14:textId="77777777" w:rsidR="00B14D53" w:rsidRDefault="00000000">
            <w:pPr>
              <w:jc w:val="center"/>
              <w:rPr>
                <w:szCs w:val="21"/>
              </w:rPr>
            </w:pPr>
            <w:r>
              <w:rPr>
                <w:rFonts w:hint="eastAsia"/>
                <w:color w:val="000000"/>
              </w:rPr>
              <w:t>△</w:t>
            </w:r>
            <w:r>
              <w:rPr>
                <w:color w:val="000000"/>
              </w:rPr>
              <w:t>4</w:t>
            </w:r>
            <w:r>
              <w:rPr>
                <w:rFonts w:hAnsi="宋体"/>
                <w:color w:val="000000"/>
              </w:rPr>
              <w:t>厂界</w:t>
            </w:r>
            <w:r>
              <w:rPr>
                <w:rFonts w:hAnsi="宋体" w:hint="eastAsia"/>
                <w:color w:val="000000"/>
              </w:rPr>
              <w:t>北</w:t>
            </w:r>
            <w:r>
              <w:rPr>
                <w:rFonts w:hAnsi="宋体"/>
                <w:color w:val="000000"/>
              </w:rPr>
              <w:t>侧</w:t>
            </w:r>
          </w:p>
        </w:tc>
        <w:tc>
          <w:tcPr>
            <w:tcW w:w="1218" w:type="dxa"/>
            <w:shd w:val="clear" w:color="auto" w:fill="FFFFFF"/>
            <w:vAlign w:val="center"/>
          </w:tcPr>
          <w:p w14:paraId="4A48E7ED"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08</w:t>
            </w:r>
            <w:r>
              <w:rPr>
                <w:rFonts w:ascii="Times New Roman" w:hAnsi="Times New Roman"/>
                <w:color w:val="000000"/>
                <w:sz w:val="21"/>
              </w:rPr>
              <w:t>:</w:t>
            </w:r>
            <w:r>
              <w:rPr>
                <w:rFonts w:ascii="Times New Roman" w:hAnsi="Times New Roman" w:hint="eastAsia"/>
                <w:color w:val="000000"/>
                <w:sz w:val="21"/>
              </w:rPr>
              <w:t>30</w:t>
            </w:r>
          </w:p>
        </w:tc>
        <w:tc>
          <w:tcPr>
            <w:tcW w:w="1405" w:type="dxa"/>
            <w:shd w:val="clear" w:color="auto" w:fill="FFFFFF"/>
            <w:vAlign w:val="center"/>
          </w:tcPr>
          <w:p w14:paraId="69F6403E" w14:textId="77777777" w:rsidR="00B14D53" w:rsidRDefault="00000000">
            <w:pPr>
              <w:jc w:val="center"/>
              <w:rPr>
                <w:kern w:val="0"/>
                <w:szCs w:val="21"/>
              </w:rPr>
            </w:pPr>
            <w:r>
              <w:rPr>
                <w:rFonts w:hint="eastAsia"/>
                <w:kern w:val="0"/>
              </w:rPr>
              <w:t>55</w:t>
            </w:r>
          </w:p>
        </w:tc>
        <w:tc>
          <w:tcPr>
            <w:tcW w:w="1371" w:type="dxa"/>
            <w:vAlign w:val="center"/>
          </w:tcPr>
          <w:p w14:paraId="270B7FDD"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22</w:t>
            </w:r>
            <w:r>
              <w:rPr>
                <w:rFonts w:ascii="Times New Roman" w:hAnsi="Times New Roman"/>
                <w:color w:val="000000"/>
                <w:sz w:val="21"/>
              </w:rPr>
              <w:t>:</w:t>
            </w:r>
            <w:r>
              <w:rPr>
                <w:rFonts w:ascii="Times New Roman" w:hAnsi="Times New Roman" w:hint="eastAsia"/>
                <w:color w:val="000000"/>
                <w:sz w:val="21"/>
              </w:rPr>
              <w:t>30</w:t>
            </w:r>
          </w:p>
        </w:tc>
        <w:tc>
          <w:tcPr>
            <w:tcW w:w="1373" w:type="dxa"/>
            <w:vAlign w:val="center"/>
          </w:tcPr>
          <w:p w14:paraId="7F3505FE" w14:textId="77777777" w:rsidR="00B14D53" w:rsidRDefault="00000000">
            <w:pPr>
              <w:jc w:val="center"/>
              <w:rPr>
                <w:kern w:val="0"/>
                <w:szCs w:val="21"/>
              </w:rPr>
            </w:pPr>
            <w:r>
              <w:rPr>
                <w:rFonts w:hint="eastAsia"/>
                <w:kern w:val="0"/>
              </w:rPr>
              <w:t>43</w:t>
            </w:r>
          </w:p>
        </w:tc>
      </w:tr>
      <w:tr w:rsidR="00B14D53" w14:paraId="3521906F" w14:textId="77777777">
        <w:trPr>
          <w:trHeight w:val="371"/>
          <w:jc w:val="center"/>
        </w:trPr>
        <w:tc>
          <w:tcPr>
            <w:tcW w:w="1425" w:type="dxa"/>
            <w:vMerge w:val="restart"/>
            <w:vAlign w:val="center"/>
          </w:tcPr>
          <w:p w14:paraId="4EDCD3D5" w14:textId="77777777" w:rsidR="00B14D53" w:rsidRDefault="00000000">
            <w:pPr>
              <w:jc w:val="center"/>
              <w:rPr>
                <w:szCs w:val="21"/>
              </w:rPr>
            </w:pPr>
            <w:r>
              <w:rPr>
                <w:rFonts w:hint="eastAsia"/>
                <w:color w:val="000000"/>
              </w:rPr>
              <w:t>2025.06.26</w:t>
            </w:r>
          </w:p>
        </w:tc>
        <w:tc>
          <w:tcPr>
            <w:tcW w:w="1628" w:type="dxa"/>
            <w:vAlign w:val="center"/>
          </w:tcPr>
          <w:p w14:paraId="08B76A0C" w14:textId="77777777" w:rsidR="00B14D53" w:rsidRDefault="00000000">
            <w:pPr>
              <w:jc w:val="center"/>
              <w:rPr>
                <w:szCs w:val="21"/>
              </w:rPr>
            </w:pPr>
            <w:r>
              <w:rPr>
                <w:rFonts w:hint="eastAsia"/>
                <w:color w:val="000000"/>
              </w:rPr>
              <w:t>△</w:t>
            </w:r>
            <w:r>
              <w:rPr>
                <w:color w:val="000000"/>
              </w:rPr>
              <w:t>1</w:t>
            </w:r>
            <w:r>
              <w:rPr>
                <w:rFonts w:hAnsi="宋体"/>
                <w:color w:val="000000"/>
              </w:rPr>
              <w:t>厂界</w:t>
            </w:r>
            <w:r>
              <w:rPr>
                <w:rFonts w:hAnsi="宋体" w:hint="eastAsia"/>
                <w:color w:val="000000"/>
              </w:rPr>
              <w:t>东</w:t>
            </w:r>
            <w:r>
              <w:rPr>
                <w:rFonts w:hAnsi="宋体"/>
                <w:color w:val="000000"/>
              </w:rPr>
              <w:t>侧</w:t>
            </w:r>
          </w:p>
        </w:tc>
        <w:tc>
          <w:tcPr>
            <w:tcW w:w="1218" w:type="dxa"/>
            <w:vAlign w:val="center"/>
          </w:tcPr>
          <w:p w14:paraId="7F6C15C3"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08</w:t>
            </w:r>
            <w:r>
              <w:rPr>
                <w:rFonts w:ascii="Times New Roman" w:hAnsi="Times New Roman"/>
                <w:color w:val="000000"/>
                <w:sz w:val="21"/>
              </w:rPr>
              <w:t>:</w:t>
            </w:r>
            <w:r>
              <w:rPr>
                <w:rFonts w:ascii="Times New Roman" w:hAnsi="Times New Roman" w:hint="eastAsia"/>
                <w:color w:val="000000"/>
                <w:sz w:val="21"/>
              </w:rPr>
              <w:t>00</w:t>
            </w:r>
          </w:p>
        </w:tc>
        <w:tc>
          <w:tcPr>
            <w:tcW w:w="1405" w:type="dxa"/>
            <w:vAlign w:val="center"/>
          </w:tcPr>
          <w:p w14:paraId="708BDE03" w14:textId="77777777" w:rsidR="00B14D53" w:rsidRDefault="00000000">
            <w:pPr>
              <w:jc w:val="center"/>
              <w:rPr>
                <w:kern w:val="0"/>
                <w:szCs w:val="21"/>
              </w:rPr>
            </w:pPr>
            <w:r>
              <w:rPr>
                <w:rFonts w:hint="eastAsia"/>
                <w:kern w:val="0"/>
              </w:rPr>
              <w:t>52</w:t>
            </w:r>
          </w:p>
        </w:tc>
        <w:tc>
          <w:tcPr>
            <w:tcW w:w="1371" w:type="dxa"/>
            <w:vAlign w:val="center"/>
          </w:tcPr>
          <w:p w14:paraId="40D102D0"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22</w:t>
            </w:r>
            <w:r>
              <w:rPr>
                <w:rFonts w:ascii="Times New Roman" w:hAnsi="Times New Roman"/>
                <w:color w:val="000000"/>
                <w:sz w:val="21"/>
              </w:rPr>
              <w:t>:</w:t>
            </w:r>
            <w:r>
              <w:rPr>
                <w:rFonts w:ascii="Times New Roman" w:hAnsi="Times New Roman" w:hint="eastAsia"/>
                <w:color w:val="000000"/>
                <w:sz w:val="21"/>
              </w:rPr>
              <w:t>00</w:t>
            </w:r>
          </w:p>
        </w:tc>
        <w:tc>
          <w:tcPr>
            <w:tcW w:w="1373" w:type="dxa"/>
            <w:vAlign w:val="center"/>
          </w:tcPr>
          <w:p w14:paraId="2D65CACB" w14:textId="77777777" w:rsidR="00B14D53" w:rsidRDefault="00000000">
            <w:pPr>
              <w:jc w:val="center"/>
              <w:rPr>
                <w:kern w:val="0"/>
                <w:szCs w:val="21"/>
              </w:rPr>
            </w:pPr>
            <w:r>
              <w:rPr>
                <w:rFonts w:hint="eastAsia"/>
                <w:kern w:val="0"/>
              </w:rPr>
              <w:t>41</w:t>
            </w:r>
          </w:p>
        </w:tc>
      </w:tr>
      <w:tr w:rsidR="00B14D53" w14:paraId="4F7E7D79" w14:textId="77777777">
        <w:trPr>
          <w:trHeight w:val="329"/>
          <w:jc w:val="center"/>
        </w:trPr>
        <w:tc>
          <w:tcPr>
            <w:tcW w:w="1425" w:type="dxa"/>
            <w:vMerge/>
            <w:vAlign w:val="center"/>
          </w:tcPr>
          <w:p w14:paraId="63AEBF20" w14:textId="77777777" w:rsidR="00B14D53" w:rsidRDefault="00B14D53">
            <w:pPr>
              <w:jc w:val="center"/>
              <w:rPr>
                <w:szCs w:val="21"/>
              </w:rPr>
            </w:pPr>
          </w:p>
        </w:tc>
        <w:tc>
          <w:tcPr>
            <w:tcW w:w="1628" w:type="dxa"/>
            <w:vAlign w:val="center"/>
          </w:tcPr>
          <w:p w14:paraId="41E70F6F" w14:textId="77777777" w:rsidR="00B14D53" w:rsidRDefault="00000000">
            <w:pPr>
              <w:jc w:val="center"/>
              <w:rPr>
                <w:szCs w:val="21"/>
              </w:rPr>
            </w:pPr>
            <w:r>
              <w:rPr>
                <w:rFonts w:hint="eastAsia"/>
                <w:color w:val="000000"/>
              </w:rPr>
              <w:t>△</w:t>
            </w:r>
            <w:r>
              <w:rPr>
                <w:rFonts w:hint="eastAsia"/>
                <w:color w:val="000000"/>
              </w:rPr>
              <w:t>2</w:t>
            </w:r>
            <w:r>
              <w:rPr>
                <w:rFonts w:hAnsi="宋体"/>
                <w:color w:val="000000"/>
              </w:rPr>
              <w:t>厂界</w:t>
            </w:r>
            <w:r>
              <w:rPr>
                <w:rFonts w:hAnsi="宋体" w:hint="eastAsia"/>
                <w:color w:val="000000"/>
              </w:rPr>
              <w:t>南</w:t>
            </w:r>
            <w:r>
              <w:rPr>
                <w:rFonts w:hAnsi="宋体"/>
                <w:color w:val="000000"/>
              </w:rPr>
              <w:t>侧</w:t>
            </w:r>
          </w:p>
        </w:tc>
        <w:tc>
          <w:tcPr>
            <w:tcW w:w="1218" w:type="dxa"/>
            <w:shd w:val="clear" w:color="auto" w:fill="FFFFFF"/>
            <w:vAlign w:val="center"/>
          </w:tcPr>
          <w:p w14:paraId="5847E2E0"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08</w:t>
            </w:r>
            <w:r>
              <w:rPr>
                <w:rFonts w:ascii="Times New Roman" w:hAnsi="Times New Roman"/>
                <w:color w:val="000000"/>
                <w:sz w:val="21"/>
              </w:rPr>
              <w:t>:</w:t>
            </w:r>
            <w:r>
              <w:rPr>
                <w:rFonts w:ascii="Times New Roman" w:hAnsi="Times New Roman" w:hint="eastAsia"/>
                <w:color w:val="000000"/>
                <w:sz w:val="21"/>
              </w:rPr>
              <w:t>10</w:t>
            </w:r>
          </w:p>
        </w:tc>
        <w:tc>
          <w:tcPr>
            <w:tcW w:w="1405" w:type="dxa"/>
            <w:shd w:val="clear" w:color="auto" w:fill="FFFFFF"/>
            <w:vAlign w:val="center"/>
          </w:tcPr>
          <w:p w14:paraId="58D78523" w14:textId="77777777" w:rsidR="00B14D53" w:rsidRDefault="00000000">
            <w:pPr>
              <w:jc w:val="center"/>
              <w:rPr>
                <w:kern w:val="0"/>
                <w:szCs w:val="21"/>
              </w:rPr>
            </w:pPr>
            <w:r>
              <w:rPr>
                <w:rFonts w:hint="eastAsia"/>
                <w:kern w:val="0"/>
              </w:rPr>
              <w:t>57</w:t>
            </w:r>
          </w:p>
        </w:tc>
        <w:tc>
          <w:tcPr>
            <w:tcW w:w="1371" w:type="dxa"/>
            <w:vAlign w:val="center"/>
          </w:tcPr>
          <w:p w14:paraId="5F1B80C8"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22</w:t>
            </w:r>
            <w:r>
              <w:rPr>
                <w:rFonts w:ascii="Times New Roman" w:hAnsi="Times New Roman"/>
                <w:color w:val="000000"/>
                <w:sz w:val="21"/>
              </w:rPr>
              <w:t>:</w:t>
            </w:r>
            <w:r>
              <w:rPr>
                <w:rFonts w:ascii="Times New Roman" w:hAnsi="Times New Roman" w:hint="eastAsia"/>
                <w:color w:val="000000"/>
                <w:sz w:val="21"/>
              </w:rPr>
              <w:t>10</w:t>
            </w:r>
          </w:p>
        </w:tc>
        <w:tc>
          <w:tcPr>
            <w:tcW w:w="1373" w:type="dxa"/>
            <w:vAlign w:val="center"/>
          </w:tcPr>
          <w:p w14:paraId="3D28562B" w14:textId="77777777" w:rsidR="00B14D53" w:rsidRDefault="00000000">
            <w:pPr>
              <w:jc w:val="center"/>
              <w:rPr>
                <w:kern w:val="0"/>
                <w:szCs w:val="21"/>
              </w:rPr>
            </w:pPr>
            <w:r>
              <w:rPr>
                <w:rFonts w:hint="eastAsia"/>
                <w:kern w:val="0"/>
              </w:rPr>
              <w:t>44</w:t>
            </w:r>
          </w:p>
        </w:tc>
      </w:tr>
      <w:tr w:rsidR="00B14D53" w14:paraId="22F0CA64" w14:textId="77777777">
        <w:trPr>
          <w:trHeight w:val="324"/>
          <w:jc w:val="center"/>
        </w:trPr>
        <w:tc>
          <w:tcPr>
            <w:tcW w:w="1425" w:type="dxa"/>
            <w:vMerge/>
            <w:vAlign w:val="center"/>
          </w:tcPr>
          <w:p w14:paraId="42A05A3B" w14:textId="77777777" w:rsidR="00B14D53" w:rsidRDefault="00B14D53">
            <w:pPr>
              <w:jc w:val="center"/>
              <w:rPr>
                <w:szCs w:val="21"/>
              </w:rPr>
            </w:pPr>
          </w:p>
        </w:tc>
        <w:tc>
          <w:tcPr>
            <w:tcW w:w="1628" w:type="dxa"/>
            <w:vAlign w:val="center"/>
          </w:tcPr>
          <w:p w14:paraId="1CB26A05" w14:textId="77777777" w:rsidR="00B14D53" w:rsidRDefault="00000000">
            <w:pPr>
              <w:jc w:val="center"/>
              <w:rPr>
                <w:szCs w:val="21"/>
              </w:rPr>
            </w:pPr>
            <w:r>
              <w:rPr>
                <w:rFonts w:hint="eastAsia"/>
                <w:color w:val="000000"/>
              </w:rPr>
              <w:t>△</w:t>
            </w:r>
            <w:r>
              <w:rPr>
                <w:color w:val="000000"/>
              </w:rPr>
              <w:t>3</w:t>
            </w:r>
            <w:r>
              <w:rPr>
                <w:rFonts w:hAnsi="宋体"/>
                <w:color w:val="000000"/>
              </w:rPr>
              <w:t>厂界</w:t>
            </w:r>
            <w:r>
              <w:rPr>
                <w:rFonts w:hAnsi="宋体" w:hint="eastAsia"/>
                <w:color w:val="000000"/>
              </w:rPr>
              <w:t>西</w:t>
            </w:r>
            <w:r>
              <w:rPr>
                <w:rFonts w:hAnsi="宋体"/>
                <w:color w:val="000000"/>
              </w:rPr>
              <w:t>侧</w:t>
            </w:r>
          </w:p>
        </w:tc>
        <w:tc>
          <w:tcPr>
            <w:tcW w:w="1218" w:type="dxa"/>
            <w:shd w:val="clear" w:color="auto" w:fill="FFFFFF"/>
            <w:vAlign w:val="center"/>
          </w:tcPr>
          <w:p w14:paraId="0399FA77"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08</w:t>
            </w:r>
            <w:r>
              <w:rPr>
                <w:rFonts w:ascii="Times New Roman" w:hAnsi="Times New Roman"/>
                <w:color w:val="000000"/>
                <w:sz w:val="21"/>
              </w:rPr>
              <w:t>:</w:t>
            </w:r>
            <w:r>
              <w:rPr>
                <w:rFonts w:ascii="Times New Roman" w:hAnsi="Times New Roman" w:hint="eastAsia"/>
                <w:color w:val="000000"/>
                <w:sz w:val="21"/>
              </w:rPr>
              <w:t>20</w:t>
            </w:r>
          </w:p>
        </w:tc>
        <w:tc>
          <w:tcPr>
            <w:tcW w:w="1405" w:type="dxa"/>
            <w:shd w:val="clear" w:color="auto" w:fill="FFFFFF"/>
            <w:vAlign w:val="center"/>
          </w:tcPr>
          <w:p w14:paraId="452A66FF" w14:textId="77777777" w:rsidR="00B14D53" w:rsidRDefault="00000000">
            <w:pPr>
              <w:jc w:val="center"/>
              <w:rPr>
                <w:kern w:val="0"/>
                <w:szCs w:val="21"/>
              </w:rPr>
            </w:pPr>
            <w:r>
              <w:rPr>
                <w:rFonts w:hint="eastAsia"/>
                <w:kern w:val="0"/>
              </w:rPr>
              <w:t>50</w:t>
            </w:r>
          </w:p>
        </w:tc>
        <w:tc>
          <w:tcPr>
            <w:tcW w:w="1371" w:type="dxa"/>
            <w:vAlign w:val="center"/>
          </w:tcPr>
          <w:p w14:paraId="06BE0E38"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22</w:t>
            </w:r>
            <w:r>
              <w:rPr>
                <w:rFonts w:ascii="Times New Roman" w:hAnsi="Times New Roman"/>
                <w:color w:val="000000"/>
                <w:sz w:val="21"/>
              </w:rPr>
              <w:t>:</w:t>
            </w:r>
            <w:r>
              <w:rPr>
                <w:rFonts w:ascii="Times New Roman" w:hAnsi="Times New Roman" w:hint="eastAsia"/>
                <w:color w:val="000000"/>
                <w:sz w:val="21"/>
              </w:rPr>
              <w:t>20</w:t>
            </w:r>
          </w:p>
        </w:tc>
        <w:tc>
          <w:tcPr>
            <w:tcW w:w="1373" w:type="dxa"/>
            <w:vAlign w:val="center"/>
          </w:tcPr>
          <w:p w14:paraId="44343C0E" w14:textId="77777777" w:rsidR="00B14D53" w:rsidRDefault="00000000">
            <w:pPr>
              <w:jc w:val="center"/>
              <w:rPr>
                <w:kern w:val="0"/>
                <w:szCs w:val="21"/>
              </w:rPr>
            </w:pPr>
            <w:r>
              <w:rPr>
                <w:rFonts w:hint="eastAsia"/>
                <w:kern w:val="0"/>
              </w:rPr>
              <w:t>40</w:t>
            </w:r>
          </w:p>
        </w:tc>
      </w:tr>
      <w:tr w:rsidR="00B14D53" w14:paraId="4DC5A349" w14:textId="77777777">
        <w:trPr>
          <w:trHeight w:val="318"/>
          <w:jc w:val="center"/>
        </w:trPr>
        <w:tc>
          <w:tcPr>
            <w:tcW w:w="1425" w:type="dxa"/>
            <w:vMerge/>
            <w:vAlign w:val="center"/>
          </w:tcPr>
          <w:p w14:paraId="0A9127FC" w14:textId="77777777" w:rsidR="00B14D53" w:rsidRDefault="00B14D53">
            <w:pPr>
              <w:jc w:val="center"/>
              <w:rPr>
                <w:szCs w:val="21"/>
              </w:rPr>
            </w:pPr>
          </w:p>
        </w:tc>
        <w:tc>
          <w:tcPr>
            <w:tcW w:w="1628" w:type="dxa"/>
            <w:vAlign w:val="center"/>
          </w:tcPr>
          <w:p w14:paraId="7DB7B739" w14:textId="77777777" w:rsidR="00B14D53" w:rsidRDefault="00000000">
            <w:pPr>
              <w:jc w:val="center"/>
              <w:rPr>
                <w:szCs w:val="21"/>
              </w:rPr>
            </w:pPr>
            <w:r>
              <w:rPr>
                <w:rFonts w:hint="eastAsia"/>
                <w:color w:val="000000"/>
              </w:rPr>
              <w:t>△</w:t>
            </w:r>
            <w:r>
              <w:rPr>
                <w:color w:val="000000"/>
              </w:rPr>
              <w:t>4</w:t>
            </w:r>
            <w:r>
              <w:rPr>
                <w:rFonts w:hAnsi="宋体"/>
                <w:color w:val="000000"/>
              </w:rPr>
              <w:t>厂界</w:t>
            </w:r>
            <w:r>
              <w:rPr>
                <w:rFonts w:hAnsi="宋体" w:hint="eastAsia"/>
                <w:color w:val="000000"/>
              </w:rPr>
              <w:t>北</w:t>
            </w:r>
            <w:r>
              <w:rPr>
                <w:rFonts w:hAnsi="宋体"/>
                <w:color w:val="000000"/>
              </w:rPr>
              <w:t>侧</w:t>
            </w:r>
          </w:p>
        </w:tc>
        <w:tc>
          <w:tcPr>
            <w:tcW w:w="1218" w:type="dxa"/>
            <w:shd w:val="clear" w:color="auto" w:fill="FFFFFF"/>
            <w:vAlign w:val="center"/>
          </w:tcPr>
          <w:p w14:paraId="0BFD0D41"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08</w:t>
            </w:r>
            <w:r>
              <w:rPr>
                <w:rFonts w:ascii="Times New Roman" w:hAnsi="Times New Roman"/>
                <w:color w:val="000000"/>
                <w:sz w:val="21"/>
              </w:rPr>
              <w:t>:</w:t>
            </w:r>
            <w:r>
              <w:rPr>
                <w:rFonts w:ascii="Times New Roman" w:hAnsi="Times New Roman" w:hint="eastAsia"/>
                <w:color w:val="000000"/>
                <w:sz w:val="21"/>
              </w:rPr>
              <w:t>30</w:t>
            </w:r>
          </w:p>
        </w:tc>
        <w:tc>
          <w:tcPr>
            <w:tcW w:w="1405" w:type="dxa"/>
            <w:shd w:val="clear" w:color="auto" w:fill="FFFFFF"/>
            <w:vAlign w:val="center"/>
          </w:tcPr>
          <w:p w14:paraId="05F240B9" w14:textId="77777777" w:rsidR="00B14D53" w:rsidRDefault="00000000">
            <w:pPr>
              <w:jc w:val="center"/>
              <w:rPr>
                <w:kern w:val="0"/>
                <w:szCs w:val="21"/>
              </w:rPr>
            </w:pPr>
            <w:r>
              <w:rPr>
                <w:rFonts w:hint="eastAsia"/>
                <w:kern w:val="0"/>
              </w:rPr>
              <w:t>56</w:t>
            </w:r>
          </w:p>
        </w:tc>
        <w:tc>
          <w:tcPr>
            <w:tcW w:w="1371" w:type="dxa"/>
            <w:vAlign w:val="center"/>
          </w:tcPr>
          <w:p w14:paraId="39A99EF9" w14:textId="77777777" w:rsidR="00B14D53" w:rsidRDefault="00000000">
            <w:pPr>
              <w:pStyle w:val="27"/>
              <w:spacing w:after="0" w:line="240" w:lineRule="auto"/>
              <w:jc w:val="center"/>
              <w:rPr>
                <w:kern w:val="0"/>
                <w:szCs w:val="21"/>
              </w:rPr>
            </w:pPr>
            <w:r>
              <w:rPr>
                <w:rFonts w:ascii="Times New Roman" w:hAnsi="Times New Roman" w:hint="eastAsia"/>
                <w:color w:val="000000"/>
                <w:sz w:val="21"/>
              </w:rPr>
              <w:t>22</w:t>
            </w:r>
            <w:r>
              <w:rPr>
                <w:rFonts w:ascii="Times New Roman" w:hAnsi="Times New Roman"/>
                <w:color w:val="000000"/>
                <w:sz w:val="21"/>
              </w:rPr>
              <w:t>:</w:t>
            </w:r>
            <w:r>
              <w:rPr>
                <w:rFonts w:ascii="Times New Roman" w:hAnsi="Times New Roman" w:hint="eastAsia"/>
                <w:color w:val="000000"/>
                <w:sz w:val="21"/>
              </w:rPr>
              <w:t>30</w:t>
            </w:r>
          </w:p>
        </w:tc>
        <w:tc>
          <w:tcPr>
            <w:tcW w:w="1373" w:type="dxa"/>
            <w:vAlign w:val="center"/>
          </w:tcPr>
          <w:p w14:paraId="3B447EEA" w14:textId="77777777" w:rsidR="00B14D53" w:rsidRDefault="00000000">
            <w:pPr>
              <w:jc w:val="center"/>
              <w:rPr>
                <w:kern w:val="0"/>
                <w:szCs w:val="21"/>
              </w:rPr>
            </w:pPr>
            <w:r>
              <w:rPr>
                <w:rFonts w:hint="eastAsia"/>
                <w:kern w:val="0"/>
              </w:rPr>
              <w:t>44</w:t>
            </w:r>
          </w:p>
        </w:tc>
      </w:tr>
    </w:tbl>
    <w:p w14:paraId="3215FDEA"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4.2.4.2</w:t>
      </w:r>
      <w:r>
        <w:rPr>
          <w:rFonts w:ascii="Times New Roman" w:eastAsia="黑体" w:hAnsi="Times New Roman" w:cs="Times New Roman"/>
          <w:b w:val="0"/>
          <w:bCs w:val="0"/>
          <w:sz w:val="24"/>
          <w:szCs w:val="24"/>
        </w:rPr>
        <w:t>声环境质量现状评价</w:t>
      </w:r>
    </w:p>
    <w:p w14:paraId="10BABE0C"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w:t>
      </w:r>
      <w:r>
        <w:rPr>
          <w:rFonts w:eastAsiaTheme="minorEastAsia"/>
          <w:sz w:val="24"/>
          <w:lang w:val="zh-CN"/>
        </w:rPr>
        <w:t>1</w:t>
      </w:r>
      <w:r>
        <w:rPr>
          <w:rFonts w:eastAsiaTheme="minorEastAsia" w:hAnsiTheme="minorEastAsia"/>
          <w:sz w:val="24"/>
          <w:lang w:val="zh-CN"/>
        </w:rPr>
        <w:t>）评价因子</w:t>
      </w:r>
    </w:p>
    <w:p w14:paraId="67198323"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选择等效连续</w:t>
      </w:r>
      <w:r>
        <w:rPr>
          <w:rFonts w:eastAsiaTheme="minorEastAsia"/>
          <w:sz w:val="24"/>
          <w:lang w:val="zh-CN"/>
        </w:rPr>
        <w:t>A</w:t>
      </w:r>
      <w:r>
        <w:rPr>
          <w:rFonts w:eastAsiaTheme="minorEastAsia" w:hAnsiTheme="minorEastAsia"/>
          <w:sz w:val="24"/>
          <w:lang w:val="zh-CN"/>
        </w:rPr>
        <w:t>声级</w:t>
      </w:r>
      <w:r>
        <w:rPr>
          <w:rFonts w:eastAsiaTheme="minorEastAsia"/>
          <w:sz w:val="24"/>
          <w:lang w:val="zh-CN"/>
        </w:rPr>
        <w:t>Leq</w:t>
      </w:r>
      <w:r>
        <w:rPr>
          <w:rFonts w:eastAsiaTheme="minorEastAsia" w:hAnsiTheme="minorEastAsia"/>
          <w:sz w:val="24"/>
          <w:lang w:val="zh-CN"/>
        </w:rPr>
        <w:t>（</w:t>
      </w:r>
      <w:r>
        <w:rPr>
          <w:rFonts w:eastAsiaTheme="minorEastAsia"/>
          <w:sz w:val="24"/>
          <w:lang w:val="zh-CN"/>
        </w:rPr>
        <w:t>A</w:t>
      </w:r>
      <w:r>
        <w:rPr>
          <w:rFonts w:eastAsiaTheme="minorEastAsia" w:hAnsiTheme="minorEastAsia"/>
          <w:sz w:val="24"/>
          <w:lang w:val="zh-CN"/>
        </w:rPr>
        <w:t>）为本项目环境噪声的评价因子。</w:t>
      </w:r>
    </w:p>
    <w:p w14:paraId="58C8B912"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w:t>
      </w:r>
      <w:r>
        <w:rPr>
          <w:rFonts w:eastAsiaTheme="minorEastAsia"/>
          <w:sz w:val="24"/>
          <w:lang w:val="zh-CN"/>
        </w:rPr>
        <w:t>2</w:t>
      </w:r>
      <w:r>
        <w:rPr>
          <w:rFonts w:eastAsiaTheme="minorEastAsia" w:hAnsiTheme="minorEastAsia"/>
          <w:sz w:val="24"/>
          <w:lang w:val="zh-CN"/>
        </w:rPr>
        <w:t>）评价方法</w:t>
      </w:r>
    </w:p>
    <w:p w14:paraId="2770BBD6"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直接比较法。</w:t>
      </w:r>
    </w:p>
    <w:p w14:paraId="2AE2C17B"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w:t>
      </w:r>
      <w:r>
        <w:rPr>
          <w:rFonts w:eastAsiaTheme="minorEastAsia"/>
          <w:sz w:val="24"/>
          <w:lang w:val="zh-CN"/>
        </w:rPr>
        <w:t>3</w:t>
      </w:r>
      <w:r>
        <w:rPr>
          <w:rFonts w:eastAsiaTheme="minorEastAsia" w:hAnsiTheme="minorEastAsia"/>
          <w:sz w:val="24"/>
          <w:lang w:val="zh-CN"/>
        </w:rPr>
        <w:t>）评价标准</w:t>
      </w:r>
    </w:p>
    <w:p w14:paraId="58256320"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评价标准采用</w:t>
      </w:r>
      <w:r>
        <w:rPr>
          <w:rFonts w:eastAsiaTheme="minorEastAsia" w:hAnsiTheme="minorEastAsia" w:hint="eastAsia"/>
          <w:sz w:val="24"/>
        </w:rPr>
        <w:t>厂</w:t>
      </w:r>
      <w:r>
        <w:rPr>
          <w:rFonts w:eastAsiaTheme="minorEastAsia" w:hAnsiTheme="minorEastAsia"/>
          <w:sz w:val="24"/>
          <w:lang w:val="zh-CN"/>
        </w:rPr>
        <w:t>界《声环境质量标准》（</w:t>
      </w:r>
      <w:r>
        <w:rPr>
          <w:rFonts w:eastAsiaTheme="minorEastAsia"/>
          <w:sz w:val="24"/>
          <w:lang w:val="zh-CN"/>
        </w:rPr>
        <w:t>GB3096-2008</w:t>
      </w:r>
      <w:r>
        <w:rPr>
          <w:rFonts w:eastAsiaTheme="minorEastAsia" w:hAnsiTheme="minorEastAsia"/>
          <w:sz w:val="24"/>
          <w:lang w:val="zh-CN"/>
        </w:rPr>
        <w:t>）中的</w:t>
      </w:r>
      <w:r>
        <w:rPr>
          <w:rFonts w:eastAsiaTheme="minorEastAsia" w:hint="eastAsia"/>
          <w:sz w:val="24"/>
        </w:rPr>
        <w:t>2</w:t>
      </w:r>
      <w:r>
        <w:rPr>
          <w:rFonts w:eastAsiaTheme="minorEastAsia" w:hAnsiTheme="minorEastAsia"/>
          <w:sz w:val="24"/>
          <w:lang w:val="zh-CN"/>
        </w:rPr>
        <w:t>类标准，即：昼间</w:t>
      </w:r>
      <w:r>
        <w:rPr>
          <w:rFonts w:eastAsiaTheme="minorEastAsia" w:hint="eastAsia"/>
          <w:sz w:val="24"/>
        </w:rPr>
        <w:t>60</w:t>
      </w:r>
      <w:r>
        <w:rPr>
          <w:rFonts w:eastAsiaTheme="minorEastAsia"/>
          <w:sz w:val="24"/>
          <w:lang w:val="zh-CN"/>
        </w:rPr>
        <w:t>dB(A)</w:t>
      </w:r>
      <w:r>
        <w:rPr>
          <w:rFonts w:eastAsiaTheme="minorEastAsia" w:hAnsiTheme="minorEastAsia"/>
          <w:sz w:val="24"/>
          <w:lang w:val="zh-CN"/>
        </w:rPr>
        <w:t>，夜间</w:t>
      </w:r>
      <w:r>
        <w:rPr>
          <w:rFonts w:eastAsiaTheme="minorEastAsia" w:hint="eastAsia"/>
          <w:sz w:val="24"/>
        </w:rPr>
        <w:t>50</w:t>
      </w:r>
      <w:r>
        <w:rPr>
          <w:rFonts w:eastAsiaTheme="minorEastAsia"/>
          <w:sz w:val="24"/>
          <w:lang w:val="zh-CN"/>
        </w:rPr>
        <w:t>dB(A)</w:t>
      </w:r>
      <w:r>
        <w:rPr>
          <w:rFonts w:eastAsiaTheme="minorEastAsia" w:hAnsiTheme="minorEastAsia"/>
          <w:sz w:val="24"/>
          <w:lang w:val="zh-CN"/>
        </w:rPr>
        <w:t>。</w:t>
      </w:r>
    </w:p>
    <w:p w14:paraId="2D589B7E" w14:textId="77777777" w:rsidR="00B14D53" w:rsidRDefault="00000000">
      <w:pPr>
        <w:spacing w:line="360" w:lineRule="auto"/>
        <w:ind w:firstLineChars="210" w:firstLine="504"/>
        <w:rPr>
          <w:rFonts w:eastAsiaTheme="minorEastAsia"/>
          <w:sz w:val="24"/>
          <w:lang w:val="zh-CN"/>
        </w:rPr>
      </w:pPr>
      <w:r>
        <w:rPr>
          <w:rFonts w:eastAsiaTheme="minorEastAsia" w:hAnsiTheme="minorEastAsia"/>
          <w:sz w:val="24"/>
          <w:lang w:val="zh-CN"/>
        </w:rPr>
        <w:t>（</w:t>
      </w:r>
      <w:r>
        <w:rPr>
          <w:rFonts w:eastAsiaTheme="minorEastAsia"/>
          <w:sz w:val="24"/>
          <w:lang w:val="zh-CN"/>
        </w:rPr>
        <w:t>4</w:t>
      </w:r>
      <w:r>
        <w:rPr>
          <w:rFonts w:eastAsiaTheme="minorEastAsia" w:hAnsiTheme="minorEastAsia"/>
          <w:sz w:val="24"/>
          <w:lang w:val="zh-CN"/>
        </w:rPr>
        <w:t>）评价结论</w:t>
      </w:r>
    </w:p>
    <w:p w14:paraId="3B51F496" w14:textId="77777777" w:rsidR="00B14D53" w:rsidRDefault="00000000">
      <w:pPr>
        <w:spacing w:line="360" w:lineRule="auto"/>
        <w:ind w:firstLineChars="210" w:firstLine="504"/>
        <w:rPr>
          <w:rFonts w:eastAsiaTheme="minorEastAsia" w:hAnsiTheme="minorEastAsia" w:hint="eastAsia"/>
          <w:sz w:val="24"/>
          <w:lang w:val="zh-CN"/>
        </w:rPr>
      </w:pPr>
      <w:r>
        <w:rPr>
          <w:rFonts w:eastAsiaTheme="minorEastAsia" w:hAnsiTheme="minorEastAsia"/>
          <w:sz w:val="24"/>
          <w:lang w:val="zh-CN"/>
        </w:rPr>
        <w:t>通过将环境噪声现状监测结果与标准比较，监测点环境噪声昼夜值均满足《声环境质量标准》（</w:t>
      </w:r>
      <w:r>
        <w:rPr>
          <w:rFonts w:eastAsiaTheme="minorEastAsia"/>
          <w:sz w:val="24"/>
          <w:lang w:val="zh-CN"/>
        </w:rPr>
        <w:t>GB3096-2008</w:t>
      </w:r>
      <w:r>
        <w:rPr>
          <w:rFonts w:eastAsiaTheme="minorEastAsia" w:hAnsiTheme="minorEastAsia"/>
          <w:sz w:val="24"/>
          <w:lang w:val="zh-CN"/>
        </w:rPr>
        <w:t>）中的</w:t>
      </w:r>
      <w:r>
        <w:rPr>
          <w:rFonts w:eastAsiaTheme="minorEastAsia" w:hint="eastAsia"/>
          <w:sz w:val="24"/>
        </w:rPr>
        <w:t>2</w:t>
      </w:r>
      <w:r>
        <w:rPr>
          <w:rFonts w:eastAsiaTheme="minorEastAsia" w:hAnsiTheme="minorEastAsia"/>
          <w:sz w:val="24"/>
          <w:lang w:val="zh-CN"/>
        </w:rPr>
        <w:t>类标准。</w:t>
      </w:r>
    </w:p>
    <w:p w14:paraId="5220E0BA"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196" w:name="_Toc11758519"/>
      <w:bookmarkStart w:id="197" w:name="_Toc514938163"/>
      <w:bookmarkStart w:id="198" w:name="_Toc490807013"/>
      <w:r>
        <w:rPr>
          <w:rFonts w:ascii="Times New Roman" w:eastAsia="黑体" w:hAnsi="Times New Roman" w:cs="Times New Roman"/>
          <w:bCs/>
          <w:sz w:val="28"/>
          <w:szCs w:val="28"/>
        </w:rPr>
        <w:t>4.2.</w:t>
      </w:r>
      <w:r>
        <w:rPr>
          <w:rFonts w:ascii="Times New Roman" w:eastAsia="黑体" w:hAnsi="Times New Roman" w:cs="Times New Roman" w:hint="eastAsia"/>
          <w:bCs/>
          <w:sz w:val="28"/>
          <w:szCs w:val="28"/>
        </w:rPr>
        <w:t>5</w:t>
      </w:r>
      <w:r>
        <w:rPr>
          <w:rFonts w:ascii="Times New Roman" w:eastAsia="黑体" w:hAnsi="Times New Roman" w:cs="Times New Roman"/>
          <w:bCs/>
          <w:sz w:val="28"/>
          <w:szCs w:val="28"/>
        </w:rPr>
        <w:t>生态环境现状</w:t>
      </w:r>
      <w:bookmarkEnd w:id="196"/>
    </w:p>
    <w:p w14:paraId="525A2F4A" w14:textId="77777777" w:rsidR="00B14D53" w:rsidRDefault="00000000">
      <w:pPr>
        <w:pStyle w:val="2fd"/>
        <w:ind w:firstLine="480"/>
        <w:contextualSpacing/>
        <w:rPr>
          <w:rFonts w:ascii="Times New Roman" w:hAnsiTheme="minorEastAsia" w:cs="Times New Roman" w:hint="eastAsia"/>
          <w:bCs/>
          <w:szCs w:val="24"/>
          <w:lang w:bidi="en-US"/>
        </w:rPr>
      </w:pPr>
      <w:r>
        <w:rPr>
          <w:rFonts w:ascii="Times New Roman" w:hAnsiTheme="minorEastAsia" w:cs="Times New Roman"/>
          <w:szCs w:val="24"/>
          <w:lang w:bidi="en-US"/>
        </w:rPr>
        <w:t>根据本项目建设内容、环境污染物排放特征及建设地点等具体情况，对项目周围的生态环境现状进行了调查，调查主要以收集区域相关生态条件资料和现场踏勘相结合的方法。实地调查，</w:t>
      </w:r>
      <w:r>
        <w:rPr>
          <w:rFonts w:ascii="Times New Roman" w:hAnsiTheme="minorEastAsia" w:cs="Times New Roman" w:hint="eastAsia"/>
          <w:szCs w:val="24"/>
          <w:lang w:bidi="en-US"/>
        </w:rPr>
        <w:t>评价范围内</w:t>
      </w:r>
      <w:r>
        <w:rPr>
          <w:rFonts w:ascii="Times New Roman" w:hAnsiTheme="minorEastAsia" w:cs="Times New Roman"/>
          <w:szCs w:val="24"/>
          <w:lang w:bidi="en-US"/>
        </w:rPr>
        <w:t>植被为农田植被，为人工植被；极少量草甸植被主要分布在农田周边，有狗尾巴草、猪尾巴草、星星草等。野生动物主要有麻雀、家燕、喜鹊、乌鸦等。自然生态系统极少，生态系统抗逆性和稳定性较差，植物种类较少，且无珍</w:t>
      </w:r>
      <w:r>
        <w:rPr>
          <w:rFonts w:ascii="Times New Roman" w:hAnsiTheme="minorEastAsia" w:cs="Times New Roman" w:hint="eastAsia"/>
          <w:szCs w:val="24"/>
          <w:lang w:bidi="en-US"/>
        </w:rPr>
        <w:t>稀</w:t>
      </w:r>
      <w:r>
        <w:rPr>
          <w:rFonts w:ascii="Times New Roman" w:hAnsiTheme="minorEastAsia" w:cs="Times New Roman"/>
          <w:szCs w:val="24"/>
          <w:lang w:bidi="en-US"/>
        </w:rPr>
        <w:t>保护物种。由于人类的长期干扰和生态环境的改变。</w:t>
      </w:r>
      <w:r>
        <w:rPr>
          <w:rFonts w:ascii="Times New Roman" w:hAnsiTheme="minorEastAsia" w:cs="Times New Roman"/>
          <w:bCs/>
          <w:szCs w:val="24"/>
          <w:lang w:bidi="en-US"/>
        </w:rPr>
        <w:t>本项目区域内无重点保护野生动植物。</w:t>
      </w:r>
    </w:p>
    <w:p w14:paraId="68D4FD0D"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199" w:name="_Toc1380"/>
      <w:r>
        <w:rPr>
          <w:rFonts w:ascii="Times New Roman" w:eastAsia="黑体" w:hAnsi="Times New Roman" w:cs="Times New Roman"/>
          <w:b w:val="0"/>
          <w:bCs w:val="0"/>
          <w:sz w:val="30"/>
          <w:szCs w:val="30"/>
        </w:rPr>
        <w:t>4.3</w:t>
      </w:r>
      <w:r>
        <w:rPr>
          <w:rFonts w:ascii="Times New Roman" w:eastAsia="黑体" w:hAnsi="Times New Roman" w:cs="Times New Roman"/>
          <w:b w:val="0"/>
          <w:bCs w:val="0"/>
          <w:sz w:val="30"/>
          <w:szCs w:val="30"/>
        </w:rPr>
        <w:t>区域污染源调查</w:t>
      </w:r>
      <w:bookmarkEnd w:id="197"/>
      <w:bookmarkEnd w:id="198"/>
      <w:bookmarkEnd w:id="199"/>
    </w:p>
    <w:p w14:paraId="4DFCCD63" w14:textId="77777777" w:rsidR="00B14D53" w:rsidRDefault="00000000">
      <w:pPr>
        <w:spacing w:line="360" w:lineRule="auto"/>
        <w:ind w:firstLineChars="200" w:firstLine="480"/>
        <w:rPr>
          <w:rFonts w:eastAsiaTheme="minorEastAsia" w:hAnsiTheme="minorEastAsia" w:hint="eastAsia"/>
          <w:snapToGrid w:val="0"/>
          <w:kern w:val="0"/>
          <w:sz w:val="24"/>
        </w:rPr>
      </w:pPr>
      <w:bookmarkStart w:id="200" w:name="_Toc514938164"/>
      <w:r>
        <w:rPr>
          <w:rFonts w:eastAsiaTheme="minorEastAsia" w:hAnsiTheme="minorEastAsia" w:hint="eastAsia"/>
          <w:snapToGrid w:val="0"/>
          <w:kern w:val="0"/>
          <w:sz w:val="24"/>
        </w:rPr>
        <w:t>根据</w:t>
      </w:r>
      <w:r>
        <w:rPr>
          <w:rFonts w:eastAsiaTheme="minorEastAsia" w:hAnsiTheme="minorEastAsia"/>
          <w:snapToGrid w:val="0"/>
          <w:kern w:val="0"/>
          <w:sz w:val="24"/>
        </w:rPr>
        <w:t>《环境影响评价技术导则</w:t>
      </w:r>
      <w:r>
        <w:rPr>
          <w:rFonts w:eastAsiaTheme="minorEastAsia" w:hAnsiTheme="minorEastAsia" w:hint="eastAsia"/>
          <w:snapToGrid w:val="0"/>
          <w:kern w:val="0"/>
          <w:sz w:val="24"/>
        </w:rPr>
        <w:t xml:space="preserve"> </w:t>
      </w:r>
      <w:r>
        <w:rPr>
          <w:rFonts w:eastAsiaTheme="minorEastAsia" w:hAnsiTheme="minorEastAsia" w:hint="eastAsia"/>
          <w:snapToGrid w:val="0"/>
          <w:kern w:val="0"/>
          <w:sz w:val="24"/>
        </w:rPr>
        <w:t>大气环境</w:t>
      </w:r>
      <w:r>
        <w:rPr>
          <w:rFonts w:eastAsiaTheme="minorEastAsia" w:hAnsiTheme="minorEastAsia"/>
          <w:snapToGrid w:val="0"/>
          <w:kern w:val="0"/>
          <w:sz w:val="24"/>
        </w:rPr>
        <w:t>》（</w:t>
      </w:r>
      <w:r>
        <w:rPr>
          <w:rFonts w:eastAsiaTheme="minorEastAsia" w:hAnsiTheme="minorEastAsia" w:hint="eastAsia"/>
          <w:snapToGrid w:val="0"/>
          <w:kern w:val="0"/>
          <w:sz w:val="24"/>
        </w:rPr>
        <w:t>HJ2.2-2018</w:t>
      </w:r>
      <w:r>
        <w:rPr>
          <w:rFonts w:eastAsiaTheme="minorEastAsia" w:hAnsiTheme="minorEastAsia"/>
          <w:snapToGrid w:val="0"/>
          <w:kern w:val="0"/>
          <w:sz w:val="24"/>
        </w:rPr>
        <w:t>），二级评价无需调查评价范围内与评价项目排放</w:t>
      </w:r>
      <w:r>
        <w:rPr>
          <w:rFonts w:eastAsiaTheme="minorEastAsia" w:hAnsiTheme="minorEastAsia" w:hint="eastAsia"/>
          <w:snapToGrid w:val="0"/>
          <w:kern w:val="0"/>
          <w:sz w:val="24"/>
        </w:rPr>
        <w:t>有关</w:t>
      </w:r>
      <w:r>
        <w:rPr>
          <w:rFonts w:eastAsiaTheme="minorEastAsia" w:hAnsiTheme="minorEastAsia"/>
          <w:snapToGrid w:val="0"/>
          <w:kern w:val="0"/>
          <w:sz w:val="24"/>
        </w:rPr>
        <w:t>的其他在建项目、已批复环境影响评价文件的拟建项目等污染源；</w:t>
      </w:r>
      <w:r>
        <w:rPr>
          <w:rFonts w:eastAsiaTheme="minorEastAsia" w:hAnsiTheme="minorEastAsia" w:hint="eastAsia"/>
          <w:snapToGrid w:val="0"/>
          <w:kern w:val="0"/>
          <w:sz w:val="24"/>
        </w:rPr>
        <w:t>根据</w:t>
      </w:r>
      <w:r>
        <w:rPr>
          <w:rFonts w:eastAsiaTheme="minorEastAsia" w:hAnsiTheme="minorEastAsia"/>
          <w:snapToGrid w:val="0"/>
          <w:kern w:val="0"/>
          <w:sz w:val="24"/>
        </w:rPr>
        <w:t>《环境影响评价技术导则</w:t>
      </w:r>
      <w:r>
        <w:rPr>
          <w:rFonts w:eastAsiaTheme="minorEastAsia" w:hAnsiTheme="minorEastAsia" w:hint="eastAsia"/>
          <w:snapToGrid w:val="0"/>
          <w:kern w:val="0"/>
          <w:sz w:val="24"/>
        </w:rPr>
        <w:t xml:space="preserve"> </w:t>
      </w:r>
      <w:r>
        <w:rPr>
          <w:rFonts w:eastAsiaTheme="minorEastAsia" w:hAnsiTheme="minorEastAsia" w:hint="eastAsia"/>
          <w:snapToGrid w:val="0"/>
          <w:kern w:val="0"/>
          <w:sz w:val="24"/>
        </w:rPr>
        <w:t>地表水环境</w:t>
      </w:r>
      <w:r>
        <w:rPr>
          <w:rFonts w:eastAsiaTheme="minorEastAsia" w:hAnsiTheme="minorEastAsia"/>
          <w:snapToGrid w:val="0"/>
          <w:kern w:val="0"/>
          <w:sz w:val="24"/>
        </w:rPr>
        <w:t>》（</w:t>
      </w:r>
      <w:r>
        <w:rPr>
          <w:rFonts w:eastAsiaTheme="minorEastAsia" w:hAnsiTheme="minorEastAsia" w:hint="eastAsia"/>
          <w:snapToGrid w:val="0"/>
          <w:kern w:val="0"/>
          <w:sz w:val="24"/>
        </w:rPr>
        <w:t>HJ2.3-2018</w:t>
      </w:r>
      <w:r>
        <w:rPr>
          <w:rFonts w:eastAsiaTheme="minorEastAsia" w:hAnsiTheme="minorEastAsia"/>
          <w:snapToGrid w:val="0"/>
          <w:kern w:val="0"/>
          <w:sz w:val="24"/>
        </w:rPr>
        <w:t>），</w:t>
      </w:r>
      <w:r>
        <w:rPr>
          <w:rFonts w:eastAsiaTheme="minorEastAsia" w:hAnsiTheme="minorEastAsia" w:hint="eastAsia"/>
          <w:snapToGrid w:val="0"/>
          <w:kern w:val="0"/>
          <w:sz w:val="24"/>
        </w:rPr>
        <w:t>水污染</w:t>
      </w:r>
      <w:r>
        <w:rPr>
          <w:rFonts w:eastAsiaTheme="minorEastAsia" w:hAnsiTheme="minorEastAsia"/>
          <w:snapToGrid w:val="0"/>
          <w:kern w:val="0"/>
          <w:sz w:val="24"/>
        </w:rPr>
        <w:t>影响三级</w:t>
      </w:r>
      <w:r>
        <w:rPr>
          <w:rFonts w:eastAsiaTheme="minorEastAsia" w:hAnsiTheme="minorEastAsia" w:hint="eastAsia"/>
          <w:snapToGrid w:val="0"/>
          <w:kern w:val="0"/>
          <w:sz w:val="24"/>
        </w:rPr>
        <w:t>B</w:t>
      </w:r>
      <w:r>
        <w:rPr>
          <w:rFonts w:eastAsiaTheme="minorEastAsia" w:hAnsiTheme="minorEastAsia" w:hint="eastAsia"/>
          <w:snapToGrid w:val="0"/>
          <w:kern w:val="0"/>
          <w:sz w:val="24"/>
        </w:rPr>
        <w:t>评价，可不开展区域污染源调查</w:t>
      </w:r>
      <w:r>
        <w:rPr>
          <w:rFonts w:eastAsiaTheme="minorEastAsia" w:hAnsiTheme="minorEastAsia"/>
          <w:snapToGrid w:val="0"/>
          <w:kern w:val="0"/>
          <w:sz w:val="24"/>
        </w:rPr>
        <w:t>；</w:t>
      </w:r>
      <w:r>
        <w:rPr>
          <w:rFonts w:eastAsiaTheme="minorEastAsia" w:hAnsiTheme="minorEastAsia" w:hint="eastAsia"/>
          <w:snapToGrid w:val="0"/>
          <w:kern w:val="0"/>
          <w:sz w:val="24"/>
        </w:rPr>
        <w:t>根据</w:t>
      </w:r>
      <w:r>
        <w:rPr>
          <w:rFonts w:eastAsiaTheme="minorEastAsia" w:hAnsiTheme="minorEastAsia"/>
          <w:snapToGrid w:val="0"/>
          <w:kern w:val="0"/>
          <w:sz w:val="24"/>
        </w:rPr>
        <w:t>《环境影响评价技术导则</w:t>
      </w:r>
      <w:r>
        <w:rPr>
          <w:rFonts w:eastAsiaTheme="minorEastAsia" w:hAnsiTheme="minorEastAsia" w:hint="eastAsia"/>
          <w:snapToGrid w:val="0"/>
          <w:kern w:val="0"/>
          <w:sz w:val="24"/>
        </w:rPr>
        <w:t xml:space="preserve"> </w:t>
      </w:r>
      <w:r>
        <w:rPr>
          <w:rFonts w:eastAsiaTheme="minorEastAsia" w:hAnsiTheme="minorEastAsia" w:hint="eastAsia"/>
          <w:snapToGrid w:val="0"/>
          <w:kern w:val="0"/>
          <w:sz w:val="24"/>
        </w:rPr>
        <w:t>声环境</w:t>
      </w:r>
      <w:r>
        <w:rPr>
          <w:rFonts w:eastAsiaTheme="minorEastAsia" w:hAnsiTheme="minorEastAsia"/>
          <w:snapToGrid w:val="0"/>
          <w:kern w:val="0"/>
          <w:sz w:val="24"/>
        </w:rPr>
        <w:t>》（</w:t>
      </w:r>
      <w:r>
        <w:rPr>
          <w:rFonts w:eastAsiaTheme="minorEastAsia" w:hAnsiTheme="minorEastAsia" w:hint="eastAsia"/>
          <w:snapToGrid w:val="0"/>
          <w:kern w:val="0"/>
          <w:sz w:val="24"/>
        </w:rPr>
        <w:t>HJ2.4-2021</w:t>
      </w:r>
      <w:r>
        <w:rPr>
          <w:rFonts w:eastAsiaTheme="minorEastAsia" w:hAnsiTheme="minorEastAsia"/>
          <w:snapToGrid w:val="0"/>
          <w:kern w:val="0"/>
          <w:sz w:val="24"/>
        </w:rPr>
        <w:t>），</w:t>
      </w:r>
      <w:r>
        <w:rPr>
          <w:rFonts w:eastAsiaTheme="minorEastAsia" w:hAnsiTheme="minorEastAsia" w:hint="eastAsia"/>
          <w:snapToGrid w:val="0"/>
          <w:kern w:val="0"/>
          <w:sz w:val="24"/>
        </w:rPr>
        <w:t>一、二、三级评价均应调查分析拟建项目的主要噪声源，因此无需进行区域污染源调查。</w:t>
      </w:r>
    </w:p>
    <w:p w14:paraId="76603DDB"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01" w:name="_Toc34"/>
      <w:r>
        <w:rPr>
          <w:rFonts w:ascii="Times New Roman" w:eastAsia="黑体" w:hAnsi="Times New Roman" w:cs="Times New Roman"/>
          <w:b w:val="0"/>
          <w:bCs w:val="0"/>
          <w:sz w:val="30"/>
          <w:szCs w:val="30"/>
        </w:rPr>
        <w:t>4.4</w:t>
      </w:r>
      <w:r>
        <w:rPr>
          <w:rFonts w:ascii="Times New Roman" w:eastAsia="黑体" w:hAnsi="Times New Roman" w:cs="Times New Roman"/>
          <w:b w:val="0"/>
          <w:bCs w:val="0"/>
          <w:sz w:val="30"/>
          <w:szCs w:val="30"/>
        </w:rPr>
        <w:t>环境保护目标调查</w:t>
      </w:r>
      <w:bookmarkEnd w:id="200"/>
      <w:bookmarkEnd w:id="201"/>
    </w:p>
    <w:p w14:paraId="6531F42A" w14:textId="77777777" w:rsidR="00B14D53" w:rsidRDefault="00000000">
      <w:pPr>
        <w:spacing w:line="360" w:lineRule="auto"/>
        <w:ind w:firstLineChars="200" w:firstLine="480"/>
        <w:contextualSpacing/>
        <w:rPr>
          <w:rFonts w:eastAsiaTheme="minorEastAsia"/>
          <w:bCs/>
          <w:kern w:val="44"/>
          <w:sz w:val="24"/>
        </w:rPr>
      </w:pPr>
      <w:r>
        <w:rPr>
          <w:rFonts w:eastAsiaTheme="minorEastAsia"/>
          <w:bCs/>
          <w:kern w:val="44"/>
          <w:sz w:val="24"/>
        </w:rPr>
        <w:t>根据《建设项目环境影响评价技术导则总纲》（</w:t>
      </w:r>
      <w:r>
        <w:rPr>
          <w:rFonts w:eastAsiaTheme="minorEastAsia"/>
          <w:bCs/>
          <w:kern w:val="44"/>
          <w:sz w:val="24"/>
        </w:rPr>
        <w:t>HJ2.1-2016</w:t>
      </w:r>
      <w:r>
        <w:rPr>
          <w:rFonts w:eastAsiaTheme="minorEastAsia"/>
          <w:bCs/>
          <w:kern w:val="44"/>
          <w:sz w:val="24"/>
        </w:rPr>
        <w:t>），环境保护目标调查应调查评价范围内的环境功能区划和主要的环境敏感区，详细了解环境保护目标的地理位置、服务功能、四至范围、保护对象和保护要求等。本次评价经过现场踏查、查找相关资料，得出调查结果如下：</w:t>
      </w:r>
    </w:p>
    <w:p w14:paraId="4870E7F8" w14:textId="77777777" w:rsidR="00B14D53" w:rsidRDefault="00000000">
      <w:pPr>
        <w:pStyle w:val="aff1"/>
        <w:tabs>
          <w:tab w:val="left" w:pos="794"/>
        </w:tabs>
        <w:spacing w:line="360" w:lineRule="auto"/>
        <w:ind w:firstLineChars="200" w:firstLine="480"/>
        <w:jc w:val="both"/>
        <w:rPr>
          <w:bCs/>
          <w:sz w:val="24"/>
          <w:szCs w:val="24"/>
        </w:rPr>
      </w:pPr>
      <w:r>
        <w:rPr>
          <w:rFonts w:ascii="Times New Roman" w:eastAsiaTheme="minorEastAsia" w:hAnsi="Times New Roman" w:hint="eastAsia"/>
          <w:bCs/>
          <w:kern w:val="44"/>
          <w:sz w:val="24"/>
          <w:szCs w:val="24"/>
        </w:rPr>
        <w:t>（</w:t>
      </w:r>
      <w:r>
        <w:rPr>
          <w:rFonts w:ascii="Times New Roman" w:eastAsiaTheme="minorEastAsia" w:hAnsi="Times New Roman" w:hint="eastAsia"/>
          <w:bCs/>
          <w:kern w:val="44"/>
          <w:sz w:val="24"/>
          <w:szCs w:val="24"/>
        </w:rPr>
        <w:t>1</w:t>
      </w:r>
      <w:r>
        <w:rPr>
          <w:rFonts w:ascii="Times New Roman" w:eastAsiaTheme="minorEastAsia" w:hAnsi="Times New Roman" w:hint="eastAsia"/>
          <w:bCs/>
          <w:kern w:val="44"/>
          <w:sz w:val="24"/>
          <w:szCs w:val="24"/>
        </w:rPr>
        <w:t>）</w:t>
      </w:r>
      <w:r>
        <w:rPr>
          <w:rFonts w:ascii="Times New Roman" w:hAnsi="Times New Roman"/>
          <w:bCs/>
          <w:kern w:val="0"/>
          <w:sz w:val="24"/>
          <w:szCs w:val="24"/>
          <w:lang w:bidi="ar"/>
        </w:rPr>
        <w:t>环境功能区划</w:t>
      </w:r>
    </w:p>
    <w:p w14:paraId="2E7FE079" w14:textId="77777777" w:rsidR="00B14D53" w:rsidRDefault="00000000">
      <w:pPr>
        <w:spacing w:line="360" w:lineRule="auto"/>
        <w:ind w:firstLineChars="200" w:firstLine="480"/>
        <w:contextualSpacing/>
        <w:rPr>
          <w:rFonts w:eastAsiaTheme="minorEastAsia"/>
          <w:bCs/>
          <w:kern w:val="44"/>
          <w:sz w:val="24"/>
        </w:rPr>
      </w:pPr>
      <w:r>
        <w:rPr>
          <w:rFonts w:eastAsiaTheme="minorEastAsia"/>
          <w:bCs/>
          <w:kern w:val="44"/>
          <w:sz w:val="24"/>
        </w:rPr>
        <w:t>本项目大气环境功能区划为《环境空气质量标准》（</w:t>
      </w:r>
      <w:r>
        <w:rPr>
          <w:rFonts w:eastAsiaTheme="minorEastAsia"/>
          <w:bCs/>
          <w:kern w:val="44"/>
          <w:sz w:val="24"/>
        </w:rPr>
        <w:t>GB3095-2012</w:t>
      </w:r>
      <w:r>
        <w:rPr>
          <w:rFonts w:eastAsiaTheme="minorEastAsia"/>
          <w:bCs/>
          <w:kern w:val="44"/>
          <w:sz w:val="24"/>
        </w:rPr>
        <w:t>）二类功能区。</w:t>
      </w:r>
    </w:p>
    <w:p w14:paraId="7AD35174" w14:textId="77777777" w:rsidR="00B14D53" w:rsidRDefault="00000000">
      <w:pPr>
        <w:spacing w:line="360" w:lineRule="auto"/>
        <w:ind w:firstLineChars="200" w:firstLine="480"/>
        <w:contextualSpacing/>
        <w:rPr>
          <w:rFonts w:eastAsiaTheme="minorEastAsia"/>
          <w:bCs/>
          <w:kern w:val="44"/>
          <w:sz w:val="24"/>
        </w:rPr>
      </w:pPr>
      <w:r>
        <w:rPr>
          <w:rFonts w:eastAsiaTheme="minorEastAsia"/>
          <w:bCs/>
          <w:kern w:val="44"/>
          <w:sz w:val="24"/>
        </w:rPr>
        <w:t>本项目声环境功能区属于《声环境质量标准》（</w:t>
      </w:r>
      <w:r>
        <w:rPr>
          <w:rFonts w:eastAsiaTheme="minorEastAsia"/>
          <w:bCs/>
          <w:kern w:val="44"/>
          <w:sz w:val="24"/>
        </w:rPr>
        <w:t>GB3096-2008</w:t>
      </w:r>
      <w:r>
        <w:rPr>
          <w:rFonts w:eastAsiaTheme="minorEastAsia"/>
          <w:bCs/>
          <w:kern w:val="44"/>
          <w:sz w:val="24"/>
        </w:rPr>
        <w:t>）</w:t>
      </w:r>
      <w:r>
        <w:rPr>
          <w:rFonts w:eastAsiaTheme="minorEastAsia" w:hint="eastAsia"/>
          <w:bCs/>
          <w:kern w:val="44"/>
          <w:sz w:val="24"/>
        </w:rPr>
        <w:t>2</w:t>
      </w:r>
      <w:r>
        <w:rPr>
          <w:rFonts w:eastAsiaTheme="minorEastAsia"/>
          <w:bCs/>
          <w:kern w:val="44"/>
          <w:sz w:val="24"/>
        </w:rPr>
        <w:t>类声环境功能区。</w:t>
      </w:r>
    </w:p>
    <w:p w14:paraId="17E8C4A2" w14:textId="77777777" w:rsidR="00B14D53" w:rsidRDefault="00000000">
      <w:pPr>
        <w:spacing w:line="360" w:lineRule="auto"/>
        <w:ind w:firstLineChars="200" w:firstLine="480"/>
        <w:contextualSpacing/>
        <w:rPr>
          <w:rFonts w:eastAsiaTheme="minorEastAsia"/>
          <w:bCs/>
          <w:kern w:val="44"/>
          <w:sz w:val="24"/>
        </w:rPr>
      </w:pPr>
      <w:r>
        <w:rPr>
          <w:rFonts w:eastAsiaTheme="minorEastAsia"/>
          <w:bCs/>
          <w:kern w:val="44"/>
          <w:sz w:val="24"/>
        </w:rPr>
        <w:t>根据《</w:t>
      </w:r>
      <w:r>
        <w:rPr>
          <w:rFonts w:eastAsiaTheme="minorEastAsia" w:hint="eastAsia"/>
          <w:bCs/>
          <w:kern w:val="44"/>
          <w:sz w:val="24"/>
        </w:rPr>
        <w:t>2024</w:t>
      </w:r>
      <w:r>
        <w:rPr>
          <w:rFonts w:eastAsiaTheme="minorEastAsia" w:hint="eastAsia"/>
          <w:bCs/>
          <w:kern w:val="44"/>
          <w:sz w:val="24"/>
        </w:rPr>
        <w:t>年哈尔滨生态环境质量状况年报</w:t>
      </w:r>
      <w:r>
        <w:rPr>
          <w:rFonts w:eastAsiaTheme="minorEastAsia"/>
          <w:bCs/>
          <w:kern w:val="44"/>
          <w:sz w:val="24"/>
        </w:rPr>
        <w:t>》，位于长胜橡胶坝至</w:t>
      </w:r>
      <w:r>
        <w:rPr>
          <w:rFonts w:eastAsiaTheme="minorEastAsia" w:hint="eastAsia"/>
          <w:bCs/>
          <w:kern w:val="44"/>
          <w:sz w:val="24"/>
        </w:rPr>
        <w:t>兴盛乡河</w:t>
      </w:r>
      <w:r>
        <w:rPr>
          <w:rFonts w:eastAsiaTheme="minorEastAsia"/>
          <w:bCs/>
          <w:kern w:val="44"/>
          <w:sz w:val="24"/>
        </w:rPr>
        <w:t>段，为</w:t>
      </w:r>
      <w:r>
        <w:rPr>
          <w:rFonts w:eastAsiaTheme="minorEastAsia"/>
          <w:bCs/>
          <w:kern w:val="44"/>
          <w:sz w:val="24"/>
        </w:rPr>
        <w:t>Ⅲ</w:t>
      </w:r>
      <w:r>
        <w:rPr>
          <w:rFonts w:eastAsiaTheme="minorEastAsia"/>
          <w:bCs/>
          <w:kern w:val="44"/>
          <w:sz w:val="24"/>
        </w:rPr>
        <w:t>类水功能区。</w:t>
      </w:r>
    </w:p>
    <w:p w14:paraId="57CC2722" w14:textId="77777777" w:rsidR="00B14D53" w:rsidRDefault="00000000">
      <w:pPr>
        <w:spacing w:line="360" w:lineRule="auto"/>
        <w:ind w:firstLineChars="200" w:firstLine="480"/>
        <w:contextualSpacing/>
        <w:rPr>
          <w:rFonts w:eastAsiaTheme="minorEastAsia"/>
          <w:bCs/>
          <w:kern w:val="44"/>
          <w:sz w:val="24"/>
        </w:rPr>
      </w:pPr>
      <w:r>
        <w:rPr>
          <w:rFonts w:eastAsiaTheme="minorEastAsia"/>
          <w:bCs/>
          <w:kern w:val="44"/>
          <w:sz w:val="24"/>
        </w:rPr>
        <w:t>本项目地下水环境功能区划为</w:t>
      </w:r>
      <w:r>
        <w:rPr>
          <w:rFonts w:eastAsiaTheme="minorEastAsia"/>
          <w:bCs/>
          <w:kern w:val="44"/>
          <w:sz w:val="24"/>
        </w:rPr>
        <w:t>Ⅲ</w:t>
      </w:r>
      <w:r>
        <w:rPr>
          <w:rFonts w:eastAsiaTheme="minorEastAsia"/>
          <w:bCs/>
          <w:kern w:val="44"/>
          <w:sz w:val="24"/>
        </w:rPr>
        <w:t>类区，地下水环境执行《地下水质量标准》</w:t>
      </w:r>
    </w:p>
    <w:p w14:paraId="4E062A9A" w14:textId="77777777" w:rsidR="00B14D53" w:rsidRDefault="00000000">
      <w:pPr>
        <w:spacing w:line="360" w:lineRule="auto"/>
        <w:contextualSpacing/>
        <w:rPr>
          <w:rFonts w:eastAsiaTheme="minorEastAsia"/>
          <w:bCs/>
          <w:kern w:val="44"/>
          <w:sz w:val="24"/>
        </w:rPr>
      </w:pPr>
      <w:r>
        <w:rPr>
          <w:rFonts w:eastAsiaTheme="minorEastAsia"/>
          <w:bCs/>
          <w:kern w:val="44"/>
          <w:sz w:val="24"/>
        </w:rPr>
        <w:t>（</w:t>
      </w:r>
      <w:r>
        <w:rPr>
          <w:rFonts w:eastAsiaTheme="minorEastAsia"/>
          <w:bCs/>
          <w:kern w:val="44"/>
          <w:sz w:val="24"/>
        </w:rPr>
        <w:t>GB/T14848-2017</w:t>
      </w:r>
      <w:r>
        <w:rPr>
          <w:rFonts w:eastAsiaTheme="minorEastAsia"/>
          <w:bCs/>
          <w:kern w:val="44"/>
          <w:sz w:val="24"/>
        </w:rPr>
        <w:t>）</w:t>
      </w:r>
      <w:r>
        <w:rPr>
          <w:rFonts w:eastAsiaTheme="minorEastAsia"/>
          <w:bCs/>
          <w:kern w:val="44"/>
          <w:sz w:val="24"/>
        </w:rPr>
        <w:t>Ⅲ</w:t>
      </w:r>
      <w:r>
        <w:rPr>
          <w:rFonts w:eastAsiaTheme="minorEastAsia"/>
          <w:bCs/>
          <w:kern w:val="44"/>
          <w:sz w:val="24"/>
        </w:rPr>
        <w:t>类标准。</w:t>
      </w:r>
    </w:p>
    <w:p w14:paraId="5D9D3B52" w14:textId="77777777" w:rsidR="00B14D53" w:rsidRDefault="00000000">
      <w:pPr>
        <w:pStyle w:val="aff1"/>
        <w:tabs>
          <w:tab w:val="left" w:pos="794"/>
        </w:tabs>
        <w:spacing w:line="360" w:lineRule="auto"/>
        <w:ind w:firstLineChars="200" w:firstLine="480"/>
        <w:jc w:val="both"/>
        <w:rPr>
          <w:rFonts w:eastAsiaTheme="minorEastAsia"/>
          <w:bCs/>
          <w:kern w:val="44"/>
          <w:sz w:val="24"/>
          <w:szCs w:val="24"/>
        </w:rPr>
      </w:pPr>
      <w:r>
        <w:rPr>
          <w:rFonts w:ascii="Times New Roman" w:eastAsiaTheme="minorEastAsia" w:hAnsi="Times New Roman" w:hint="eastAsia"/>
          <w:bCs/>
          <w:kern w:val="44"/>
          <w:sz w:val="24"/>
          <w:szCs w:val="24"/>
        </w:rPr>
        <w:t>（</w:t>
      </w:r>
      <w:r>
        <w:rPr>
          <w:rFonts w:ascii="Times New Roman" w:eastAsiaTheme="minorEastAsia" w:hAnsi="Times New Roman" w:hint="eastAsia"/>
          <w:bCs/>
          <w:kern w:val="44"/>
          <w:sz w:val="24"/>
          <w:szCs w:val="24"/>
        </w:rPr>
        <w:t>2</w:t>
      </w:r>
      <w:r>
        <w:rPr>
          <w:rFonts w:ascii="Times New Roman" w:eastAsiaTheme="minorEastAsia" w:hAnsi="Times New Roman" w:hint="eastAsia"/>
          <w:bCs/>
          <w:kern w:val="44"/>
          <w:sz w:val="24"/>
          <w:szCs w:val="24"/>
        </w:rPr>
        <w:t>）主要的环境敏感区和环境保护目标调查</w:t>
      </w:r>
    </w:p>
    <w:p w14:paraId="73F9AFC6" w14:textId="77777777" w:rsidR="00B14D53" w:rsidRDefault="00000000">
      <w:pPr>
        <w:spacing w:line="360" w:lineRule="auto"/>
        <w:ind w:firstLineChars="200" w:firstLine="480"/>
        <w:contextualSpacing/>
        <w:rPr>
          <w:rFonts w:eastAsiaTheme="minorEastAsia"/>
          <w:bCs/>
          <w:kern w:val="44"/>
          <w:sz w:val="24"/>
        </w:rPr>
      </w:pPr>
      <w:r>
        <w:rPr>
          <w:rFonts w:eastAsiaTheme="minorEastAsia"/>
          <w:snapToGrid w:val="0"/>
          <w:sz w:val="24"/>
        </w:rPr>
        <w:t>本评价区内无国家、省级</w:t>
      </w:r>
      <w:r>
        <w:rPr>
          <w:rFonts w:eastAsiaTheme="minorEastAsia" w:hint="eastAsia"/>
          <w:snapToGrid w:val="0"/>
          <w:sz w:val="24"/>
        </w:rPr>
        <w:t>、</w:t>
      </w:r>
      <w:r>
        <w:rPr>
          <w:rFonts w:eastAsiaTheme="minorEastAsia" w:hint="eastAsia"/>
          <w:snapToGrid w:val="0"/>
          <w:sz w:val="24"/>
          <w:lang w:val="zh-CN"/>
        </w:rPr>
        <w:t>市级</w:t>
      </w:r>
      <w:r>
        <w:rPr>
          <w:rFonts w:eastAsiaTheme="minorEastAsia"/>
          <w:snapToGrid w:val="0"/>
          <w:sz w:val="24"/>
        </w:rPr>
        <w:t>自然保护区，</w:t>
      </w:r>
      <w:r>
        <w:rPr>
          <w:rFonts w:eastAsiaTheme="minorEastAsia"/>
          <w:snapToGrid w:val="0"/>
          <w:sz w:val="24"/>
          <w:lang w:val="zh-CN"/>
        </w:rPr>
        <w:t>风景名胜区、</w:t>
      </w:r>
      <w:r>
        <w:rPr>
          <w:rFonts w:eastAsiaTheme="minorEastAsia"/>
          <w:snapToGrid w:val="0"/>
          <w:sz w:val="24"/>
        </w:rPr>
        <w:t>名胜古迹，以及重要人文设施</w:t>
      </w:r>
      <w:r>
        <w:rPr>
          <w:rFonts w:eastAsiaTheme="minorEastAsia"/>
          <w:snapToGrid w:val="0"/>
          <w:sz w:val="24"/>
          <w:lang w:val="zh-CN"/>
        </w:rPr>
        <w:t>等保护目标</w:t>
      </w:r>
      <w:r>
        <w:rPr>
          <w:rFonts w:eastAsiaTheme="minorEastAsia" w:hint="eastAsia"/>
          <w:snapToGrid w:val="0"/>
          <w:sz w:val="24"/>
        </w:rPr>
        <w:t>，</w:t>
      </w:r>
      <w:r>
        <w:rPr>
          <w:rFonts w:eastAsiaTheme="minorEastAsia"/>
          <w:bCs/>
          <w:kern w:val="44"/>
          <w:sz w:val="24"/>
        </w:rPr>
        <w:t>调查过程见下表：</w:t>
      </w:r>
    </w:p>
    <w:p w14:paraId="4CD929DA" w14:textId="77777777" w:rsidR="00B14D53" w:rsidRDefault="00000000">
      <w:pPr>
        <w:jc w:val="center"/>
        <w:rPr>
          <w:b/>
          <w:bCs/>
        </w:rPr>
      </w:pPr>
      <w:r>
        <w:rPr>
          <w:rFonts w:hint="eastAsia"/>
          <w:b/>
          <w:bCs/>
        </w:rPr>
        <w:t>表</w:t>
      </w:r>
      <w:r>
        <w:rPr>
          <w:rFonts w:hint="eastAsia"/>
          <w:b/>
          <w:bCs/>
        </w:rPr>
        <w:t xml:space="preserve">4-4-1 </w:t>
      </w:r>
      <w:r>
        <w:rPr>
          <w:rFonts w:hint="eastAsia"/>
          <w:b/>
          <w:bCs/>
        </w:rPr>
        <w:t>环境保护目标调查表</w:t>
      </w:r>
    </w:p>
    <w:tbl>
      <w:tblPr>
        <w:tblStyle w:val="aff8"/>
        <w:tblW w:w="8522" w:type="dxa"/>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1134"/>
        <w:gridCol w:w="1134"/>
        <w:gridCol w:w="1276"/>
        <w:gridCol w:w="2552"/>
        <w:gridCol w:w="850"/>
        <w:gridCol w:w="1576"/>
      </w:tblGrid>
      <w:tr w:rsidR="00B14D53" w14:paraId="5C817D48" w14:textId="77777777">
        <w:trPr>
          <w:trHeight w:val="343"/>
        </w:trPr>
        <w:tc>
          <w:tcPr>
            <w:tcW w:w="1134" w:type="dxa"/>
            <w:vAlign w:val="center"/>
          </w:tcPr>
          <w:p w14:paraId="422771D4" w14:textId="77777777" w:rsidR="00B14D53" w:rsidRDefault="00000000">
            <w:pPr>
              <w:contextualSpacing/>
              <w:jc w:val="center"/>
              <w:rPr>
                <w:rFonts w:eastAsiaTheme="minorEastAsia"/>
                <w:b/>
                <w:bCs/>
                <w:snapToGrid w:val="0"/>
                <w:kern w:val="0"/>
                <w:szCs w:val="21"/>
              </w:rPr>
            </w:pPr>
            <w:r>
              <w:rPr>
                <w:rFonts w:eastAsiaTheme="minorEastAsia" w:hAnsiTheme="minorEastAsia"/>
                <w:b/>
                <w:bCs/>
                <w:snapToGrid w:val="0"/>
                <w:kern w:val="0"/>
                <w:szCs w:val="21"/>
              </w:rPr>
              <w:t>名称</w:t>
            </w:r>
          </w:p>
        </w:tc>
        <w:tc>
          <w:tcPr>
            <w:tcW w:w="1134" w:type="dxa"/>
            <w:vAlign w:val="center"/>
          </w:tcPr>
          <w:p w14:paraId="7E469F7D" w14:textId="77777777" w:rsidR="00B14D53" w:rsidRDefault="00000000">
            <w:pPr>
              <w:contextualSpacing/>
              <w:jc w:val="center"/>
              <w:rPr>
                <w:rFonts w:eastAsiaTheme="minorEastAsia"/>
                <w:b/>
                <w:bCs/>
                <w:snapToGrid w:val="0"/>
                <w:kern w:val="0"/>
                <w:szCs w:val="21"/>
              </w:rPr>
            </w:pPr>
            <w:r>
              <w:rPr>
                <w:rFonts w:eastAsiaTheme="minorEastAsia" w:hAnsiTheme="minorEastAsia"/>
                <w:b/>
                <w:bCs/>
                <w:snapToGrid w:val="0"/>
                <w:kern w:val="0"/>
                <w:szCs w:val="21"/>
              </w:rPr>
              <w:t>地理位置</w:t>
            </w:r>
          </w:p>
        </w:tc>
        <w:tc>
          <w:tcPr>
            <w:tcW w:w="1276" w:type="dxa"/>
            <w:tcBorders>
              <w:right w:val="single" w:sz="2" w:space="0" w:color="auto"/>
            </w:tcBorders>
            <w:vAlign w:val="center"/>
          </w:tcPr>
          <w:p w14:paraId="76617791" w14:textId="77777777" w:rsidR="00B14D53" w:rsidRDefault="00000000">
            <w:pPr>
              <w:contextualSpacing/>
              <w:jc w:val="center"/>
              <w:rPr>
                <w:rFonts w:eastAsiaTheme="minorEastAsia"/>
                <w:b/>
                <w:bCs/>
                <w:snapToGrid w:val="0"/>
                <w:kern w:val="0"/>
                <w:szCs w:val="21"/>
              </w:rPr>
            </w:pPr>
            <w:r>
              <w:rPr>
                <w:rFonts w:eastAsiaTheme="minorEastAsia" w:hAnsiTheme="minorEastAsia"/>
                <w:b/>
                <w:bCs/>
                <w:kern w:val="0"/>
                <w:szCs w:val="21"/>
              </w:rPr>
              <w:t>服务功能</w:t>
            </w:r>
          </w:p>
        </w:tc>
        <w:tc>
          <w:tcPr>
            <w:tcW w:w="2552" w:type="dxa"/>
            <w:tcBorders>
              <w:left w:val="single" w:sz="2" w:space="0" w:color="auto"/>
            </w:tcBorders>
            <w:vAlign w:val="center"/>
          </w:tcPr>
          <w:p w14:paraId="1434EAF1" w14:textId="77777777" w:rsidR="00B14D53" w:rsidRDefault="00000000">
            <w:pPr>
              <w:contextualSpacing/>
              <w:jc w:val="center"/>
              <w:rPr>
                <w:rFonts w:eastAsiaTheme="minorEastAsia"/>
                <w:b/>
                <w:bCs/>
                <w:snapToGrid w:val="0"/>
                <w:kern w:val="0"/>
                <w:szCs w:val="21"/>
              </w:rPr>
            </w:pPr>
            <w:r>
              <w:rPr>
                <w:rFonts w:eastAsiaTheme="minorEastAsia" w:hAnsiTheme="minorEastAsia"/>
                <w:b/>
                <w:bCs/>
                <w:kern w:val="0"/>
                <w:szCs w:val="21"/>
              </w:rPr>
              <w:t>四至范围</w:t>
            </w:r>
          </w:p>
        </w:tc>
        <w:tc>
          <w:tcPr>
            <w:tcW w:w="850" w:type="dxa"/>
            <w:tcBorders>
              <w:left w:val="single" w:sz="2" w:space="0" w:color="auto"/>
            </w:tcBorders>
            <w:vAlign w:val="center"/>
          </w:tcPr>
          <w:p w14:paraId="4D25DD5E" w14:textId="77777777" w:rsidR="00B14D53" w:rsidRDefault="00000000">
            <w:pPr>
              <w:contextualSpacing/>
              <w:jc w:val="center"/>
              <w:rPr>
                <w:rFonts w:eastAsiaTheme="minorEastAsia"/>
                <w:b/>
                <w:bCs/>
                <w:snapToGrid w:val="0"/>
                <w:kern w:val="0"/>
                <w:szCs w:val="21"/>
              </w:rPr>
            </w:pPr>
            <w:r>
              <w:rPr>
                <w:rFonts w:eastAsiaTheme="minorEastAsia" w:hAnsiTheme="minorEastAsia"/>
                <w:b/>
                <w:bCs/>
                <w:snapToGrid w:val="0"/>
                <w:kern w:val="0"/>
                <w:szCs w:val="21"/>
              </w:rPr>
              <w:t>保护对象</w:t>
            </w:r>
          </w:p>
        </w:tc>
        <w:tc>
          <w:tcPr>
            <w:tcW w:w="1576" w:type="dxa"/>
            <w:tcBorders>
              <w:left w:val="single" w:sz="2" w:space="0" w:color="auto"/>
            </w:tcBorders>
            <w:vAlign w:val="center"/>
          </w:tcPr>
          <w:p w14:paraId="40AA335E" w14:textId="77777777" w:rsidR="00B14D53" w:rsidRDefault="00000000">
            <w:pPr>
              <w:contextualSpacing/>
              <w:jc w:val="center"/>
              <w:rPr>
                <w:rFonts w:eastAsiaTheme="minorEastAsia"/>
                <w:b/>
                <w:bCs/>
                <w:snapToGrid w:val="0"/>
                <w:kern w:val="0"/>
                <w:szCs w:val="21"/>
              </w:rPr>
            </w:pPr>
            <w:r>
              <w:rPr>
                <w:rFonts w:eastAsiaTheme="minorEastAsia" w:hAnsiTheme="minorEastAsia"/>
                <w:b/>
                <w:bCs/>
                <w:snapToGrid w:val="0"/>
                <w:kern w:val="0"/>
                <w:szCs w:val="21"/>
              </w:rPr>
              <w:t>保护要求</w:t>
            </w:r>
          </w:p>
        </w:tc>
      </w:tr>
      <w:tr w:rsidR="00B14D53" w14:paraId="12D8E846" w14:textId="77777777">
        <w:tc>
          <w:tcPr>
            <w:tcW w:w="1134" w:type="dxa"/>
            <w:vAlign w:val="center"/>
          </w:tcPr>
          <w:p w14:paraId="6EB00EB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山河镇居民</w:t>
            </w:r>
          </w:p>
        </w:tc>
        <w:tc>
          <w:tcPr>
            <w:tcW w:w="1134" w:type="dxa"/>
            <w:tcBorders>
              <w:bottom w:val="single" w:sz="4" w:space="0" w:color="auto"/>
            </w:tcBorders>
            <w:vAlign w:val="center"/>
          </w:tcPr>
          <w:p w14:paraId="73318155"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 510m</w:t>
            </w:r>
          </w:p>
        </w:tc>
        <w:tc>
          <w:tcPr>
            <w:tcW w:w="1276" w:type="dxa"/>
            <w:tcBorders>
              <w:bottom w:val="single" w:sz="4" w:space="0" w:color="auto"/>
              <w:right w:val="single" w:sz="2" w:space="0" w:color="auto"/>
            </w:tcBorders>
            <w:vAlign w:val="center"/>
          </w:tcPr>
          <w:p w14:paraId="4D3B87A6"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hint="eastAsia"/>
                <w:snapToGrid w:val="0"/>
              </w:rPr>
              <w:t>居住区</w:t>
            </w:r>
          </w:p>
        </w:tc>
        <w:tc>
          <w:tcPr>
            <w:tcW w:w="2552" w:type="dxa"/>
            <w:tcBorders>
              <w:left w:val="single" w:sz="2" w:space="0" w:color="auto"/>
            </w:tcBorders>
            <w:vAlign w:val="center"/>
          </w:tcPr>
          <w:p w14:paraId="7FCFC930" w14:textId="77777777" w:rsidR="00B14D53" w:rsidRDefault="00000000">
            <w:pPr>
              <w:contextualSpacing/>
              <w:jc w:val="center"/>
              <w:rPr>
                <w:rFonts w:eastAsiaTheme="minorEastAsia"/>
                <w:snapToGrid w:val="0"/>
                <w:kern w:val="0"/>
                <w:szCs w:val="21"/>
              </w:rPr>
            </w:pPr>
            <w:r>
              <w:rPr>
                <w:rFonts w:eastAsiaTheme="minorEastAsia" w:hAnsiTheme="minorEastAsia" w:hint="eastAsia"/>
                <w:snapToGrid w:val="0"/>
                <w:kern w:val="0"/>
                <w:szCs w:val="21"/>
              </w:rPr>
              <w:t>西</w:t>
            </w:r>
            <w:r>
              <w:rPr>
                <w:rFonts w:eastAsiaTheme="minorEastAsia" w:hAnsiTheme="minorEastAsia"/>
                <w:snapToGrid w:val="0"/>
                <w:kern w:val="0"/>
                <w:szCs w:val="21"/>
              </w:rPr>
              <w:t>至农田</w:t>
            </w:r>
            <w:r>
              <w:rPr>
                <w:rFonts w:eastAsiaTheme="minorEastAsia" w:hAnsiTheme="minorEastAsia" w:hint="eastAsia"/>
                <w:snapToGrid w:val="0"/>
                <w:kern w:val="0"/>
                <w:szCs w:val="21"/>
              </w:rPr>
              <w:t>；北至农田及道路；南、东均至铁路线</w:t>
            </w:r>
          </w:p>
        </w:tc>
        <w:tc>
          <w:tcPr>
            <w:tcW w:w="850" w:type="dxa"/>
            <w:tcBorders>
              <w:left w:val="single" w:sz="2" w:space="0" w:color="auto"/>
              <w:bottom w:val="single" w:sz="4" w:space="0" w:color="auto"/>
            </w:tcBorders>
            <w:vAlign w:val="center"/>
          </w:tcPr>
          <w:p w14:paraId="61662721" w14:textId="77777777" w:rsidR="00B14D53" w:rsidRDefault="00000000">
            <w:pPr>
              <w:contextualSpacing/>
              <w:jc w:val="center"/>
              <w:rPr>
                <w:rFonts w:eastAsiaTheme="minorEastAsia"/>
                <w:snapToGrid w:val="0"/>
                <w:kern w:val="0"/>
                <w:szCs w:val="21"/>
              </w:rPr>
            </w:pPr>
            <w:r>
              <w:rPr>
                <w:rFonts w:eastAsiaTheme="minorEastAsia" w:hAnsiTheme="minorEastAsia"/>
                <w:snapToGrid w:val="0"/>
                <w:kern w:val="0"/>
                <w:szCs w:val="21"/>
              </w:rPr>
              <w:t>居民</w:t>
            </w:r>
          </w:p>
        </w:tc>
        <w:tc>
          <w:tcPr>
            <w:tcW w:w="1576" w:type="dxa"/>
            <w:vMerge w:val="restart"/>
            <w:tcBorders>
              <w:left w:val="single" w:sz="2" w:space="0" w:color="auto"/>
            </w:tcBorders>
            <w:vAlign w:val="center"/>
          </w:tcPr>
          <w:p w14:paraId="26F7FE06" w14:textId="77777777" w:rsidR="00B14D53" w:rsidRDefault="00000000">
            <w:pPr>
              <w:contextualSpacing/>
              <w:jc w:val="center"/>
              <w:rPr>
                <w:rFonts w:eastAsiaTheme="minorEastAsia"/>
                <w:snapToGrid w:val="0"/>
                <w:kern w:val="0"/>
                <w:szCs w:val="21"/>
              </w:rPr>
            </w:pPr>
            <w:r>
              <w:rPr>
                <w:rFonts w:eastAsiaTheme="minorEastAsia" w:hAnsiTheme="minorEastAsia"/>
                <w:snapToGrid w:val="0"/>
                <w:kern w:val="0"/>
                <w:szCs w:val="21"/>
              </w:rPr>
              <w:t>《环境空气质量标准》（</w:t>
            </w:r>
            <w:r>
              <w:rPr>
                <w:rFonts w:eastAsiaTheme="minorEastAsia"/>
                <w:snapToGrid w:val="0"/>
                <w:kern w:val="0"/>
                <w:szCs w:val="21"/>
              </w:rPr>
              <w:t>GB3095-2012</w:t>
            </w:r>
            <w:r>
              <w:rPr>
                <w:rFonts w:eastAsiaTheme="minorEastAsia" w:hAnsiTheme="minorEastAsia"/>
                <w:snapToGrid w:val="0"/>
                <w:kern w:val="0"/>
                <w:szCs w:val="21"/>
              </w:rPr>
              <w:t>）二级标准</w:t>
            </w:r>
          </w:p>
        </w:tc>
      </w:tr>
      <w:tr w:rsidR="00B14D53" w14:paraId="4A165C8C" w14:textId="77777777">
        <w:tc>
          <w:tcPr>
            <w:tcW w:w="1134" w:type="dxa"/>
            <w:vAlign w:val="center"/>
          </w:tcPr>
          <w:p w14:paraId="265392D5"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山河第一中学</w:t>
            </w:r>
          </w:p>
        </w:tc>
        <w:tc>
          <w:tcPr>
            <w:tcW w:w="1134" w:type="dxa"/>
            <w:tcBorders>
              <w:top w:val="single" w:sz="4" w:space="0" w:color="auto"/>
            </w:tcBorders>
            <w:vAlign w:val="center"/>
          </w:tcPr>
          <w:p w14:paraId="6F34C134"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NW 2200m</w:t>
            </w:r>
          </w:p>
        </w:tc>
        <w:tc>
          <w:tcPr>
            <w:tcW w:w="1276" w:type="dxa"/>
            <w:vMerge w:val="restart"/>
            <w:tcBorders>
              <w:top w:val="single" w:sz="4" w:space="0" w:color="auto"/>
              <w:bottom w:val="single" w:sz="12" w:space="0" w:color="auto"/>
              <w:right w:val="single" w:sz="2" w:space="0" w:color="auto"/>
            </w:tcBorders>
            <w:vAlign w:val="center"/>
          </w:tcPr>
          <w:p w14:paraId="55E4E133"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hint="eastAsia"/>
                <w:snapToGrid w:val="0"/>
              </w:rPr>
              <w:t>文化区</w:t>
            </w:r>
          </w:p>
        </w:tc>
        <w:tc>
          <w:tcPr>
            <w:tcW w:w="2552" w:type="dxa"/>
            <w:tcBorders>
              <w:left w:val="single" w:sz="2" w:space="0" w:color="auto"/>
            </w:tcBorders>
            <w:vAlign w:val="center"/>
          </w:tcPr>
          <w:p w14:paraId="48A03E5D" w14:textId="77777777" w:rsidR="00B14D53" w:rsidRDefault="00000000">
            <w:pPr>
              <w:contextualSpacing/>
              <w:jc w:val="center"/>
              <w:rPr>
                <w:rFonts w:eastAsiaTheme="minorEastAsia"/>
                <w:snapToGrid w:val="0"/>
                <w:kern w:val="0"/>
                <w:szCs w:val="21"/>
              </w:rPr>
            </w:pPr>
            <w:r>
              <w:rPr>
                <w:rFonts w:eastAsiaTheme="minorEastAsia" w:hAnsiTheme="minorEastAsia" w:hint="eastAsia"/>
                <w:snapToGrid w:val="0"/>
                <w:kern w:val="0"/>
                <w:szCs w:val="21"/>
              </w:rPr>
              <w:t>西至道路；东至五常市世纪学校；</w:t>
            </w:r>
            <w:r>
              <w:rPr>
                <w:rFonts w:eastAsiaTheme="minorEastAsia" w:hAnsiTheme="minorEastAsia"/>
                <w:snapToGrid w:val="0"/>
                <w:kern w:val="0"/>
                <w:szCs w:val="21"/>
              </w:rPr>
              <w:t>北</w:t>
            </w:r>
            <w:r>
              <w:rPr>
                <w:rFonts w:eastAsiaTheme="minorEastAsia" w:hAnsiTheme="minorEastAsia" w:hint="eastAsia"/>
                <w:snapToGrid w:val="0"/>
                <w:kern w:val="0"/>
                <w:szCs w:val="21"/>
              </w:rPr>
              <w:t>、南均至山河镇居民</w:t>
            </w:r>
          </w:p>
        </w:tc>
        <w:tc>
          <w:tcPr>
            <w:tcW w:w="850" w:type="dxa"/>
            <w:vMerge w:val="restart"/>
            <w:tcBorders>
              <w:top w:val="single" w:sz="4" w:space="0" w:color="auto"/>
              <w:left w:val="single" w:sz="2" w:space="0" w:color="auto"/>
            </w:tcBorders>
            <w:vAlign w:val="center"/>
          </w:tcPr>
          <w:p w14:paraId="468551A6"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师生</w:t>
            </w:r>
          </w:p>
        </w:tc>
        <w:tc>
          <w:tcPr>
            <w:tcW w:w="1576" w:type="dxa"/>
            <w:vMerge/>
            <w:tcBorders>
              <w:left w:val="single" w:sz="2" w:space="0" w:color="auto"/>
            </w:tcBorders>
            <w:vAlign w:val="center"/>
          </w:tcPr>
          <w:p w14:paraId="039A1B4F" w14:textId="77777777" w:rsidR="00B14D53" w:rsidRDefault="00B14D53">
            <w:pPr>
              <w:contextualSpacing/>
              <w:jc w:val="center"/>
              <w:rPr>
                <w:rFonts w:eastAsiaTheme="minorEastAsia"/>
                <w:snapToGrid w:val="0"/>
                <w:kern w:val="0"/>
                <w:szCs w:val="21"/>
              </w:rPr>
            </w:pPr>
          </w:p>
        </w:tc>
      </w:tr>
      <w:tr w:rsidR="00B14D53" w14:paraId="508BC6A3" w14:textId="77777777">
        <w:trPr>
          <w:trHeight w:val="588"/>
        </w:trPr>
        <w:tc>
          <w:tcPr>
            <w:tcW w:w="1134" w:type="dxa"/>
            <w:vAlign w:val="center"/>
          </w:tcPr>
          <w:p w14:paraId="56E93F33"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五常市世纪学校</w:t>
            </w:r>
          </w:p>
        </w:tc>
        <w:tc>
          <w:tcPr>
            <w:tcW w:w="1134" w:type="dxa"/>
            <w:tcBorders>
              <w:top w:val="single" w:sz="4" w:space="0" w:color="auto"/>
            </w:tcBorders>
            <w:vAlign w:val="center"/>
          </w:tcPr>
          <w:p w14:paraId="4D2A6749"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NW 2300m</w:t>
            </w:r>
          </w:p>
        </w:tc>
        <w:tc>
          <w:tcPr>
            <w:tcW w:w="1276" w:type="dxa"/>
            <w:vMerge/>
            <w:tcBorders>
              <w:top w:val="single" w:sz="12" w:space="0" w:color="auto"/>
              <w:bottom w:val="single" w:sz="12" w:space="0" w:color="auto"/>
              <w:right w:val="single" w:sz="2" w:space="0" w:color="auto"/>
            </w:tcBorders>
            <w:vAlign w:val="center"/>
          </w:tcPr>
          <w:p w14:paraId="6EC93A9A"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38DA130B" w14:textId="77777777" w:rsidR="00B14D53" w:rsidRDefault="00000000">
            <w:pPr>
              <w:contextualSpacing/>
              <w:jc w:val="center"/>
              <w:rPr>
                <w:rFonts w:eastAsiaTheme="minorEastAsia" w:hAnsiTheme="minorEastAsia" w:hint="eastAsia"/>
                <w:snapToGrid w:val="0"/>
                <w:kern w:val="0"/>
                <w:szCs w:val="21"/>
              </w:rPr>
            </w:pPr>
            <w:r>
              <w:rPr>
                <w:rFonts w:eastAsiaTheme="minorEastAsia" w:hAnsiTheme="minorEastAsia" w:hint="eastAsia"/>
                <w:snapToGrid w:val="0"/>
                <w:kern w:val="0"/>
                <w:szCs w:val="21"/>
              </w:rPr>
              <w:t>西至山河第一中学；</w:t>
            </w:r>
            <w:r>
              <w:rPr>
                <w:rFonts w:eastAsiaTheme="minorEastAsia" w:hAnsiTheme="minorEastAsia"/>
                <w:snapToGrid w:val="0"/>
                <w:kern w:val="0"/>
                <w:szCs w:val="21"/>
              </w:rPr>
              <w:t>北</w:t>
            </w:r>
            <w:r>
              <w:rPr>
                <w:rFonts w:eastAsiaTheme="minorEastAsia" w:hAnsiTheme="minorEastAsia" w:hint="eastAsia"/>
                <w:snapToGrid w:val="0"/>
                <w:kern w:val="0"/>
                <w:szCs w:val="21"/>
              </w:rPr>
              <w:t>、东、南至道路</w:t>
            </w:r>
          </w:p>
        </w:tc>
        <w:tc>
          <w:tcPr>
            <w:tcW w:w="850" w:type="dxa"/>
            <w:vMerge/>
            <w:tcBorders>
              <w:left w:val="single" w:sz="2" w:space="0" w:color="auto"/>
            </w:tcBorders>
            <w:vAlign w:val="center"/>
          </w:tcPr>
          <w:p w14:paraId="21195275"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637D1497" w14:textId="77777777" w:rsidR="00B14D53" w:rsidRDefault="00B14D53">
            <w:pPr>
              <w:contextualSpacing/>
              <w:jc w:val="center"/>
              <w:rPr>
                <w:rFonts w:eastAsiaTheme="minorEastAsia"/>
                <w:snapToGrid w:val="0"/>
                <w:kern w:val="0"/>
                <w:szCs w:val="21"/>
              </w:rPr>
            </w:pPr>
          </w:p>
        </w:tc>
      </w:tr>
      <w:tr w:rsidR="00B14D53" w14:paraId="7303C3BF" w14:textId="77777777">
        <w:tc>
          <w:tcPr>
            <w:tcW w:w="1134" w:type="dxa"/>
            <w:vAlign w:val="center"/>
          </w:tcPr>
          <w:p w14:paraId="1D5036A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山河镇中心学校</w:t>
            </w:r>
          </w:p>
        </w:tc>
        <w:tc>
          <w:tcPr>
            <w:tcW w:w="1134" w:type="dxa"/>
            <w:vAlign w:val="center"/>
          </w:tcPr>
          <w:p w14:paraId="294C890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NW 1990m</w:t>
            </w:r>
          </w:p>
        </w:tc>
        <w:tc>
          <w:tcPr>
            <w:tcW w:w="1276" w:type="dxa"/>
            <w:vMerge/>
            <w:tcBorders>
              <w:top w:val="single" w:sz="12" w:space="0" w:color="auto"/>
              <w:bottom w:val="single" w:sz="12" w:space="0" w:color="auto"/>
              <w:right w:val="single" w:sz="2" w:space="0" w:color="auto"/>
            </w:tcBorders>
            <w:vAlign w:val="center"/>
          </w:tcPr>
          <w:p w14:paraId="78323A91"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39FDC922"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周边四至均为山河镇居民</w:t>
            </w:r>
          </w:p>
        </w:tc>
        <w:tc>
          <w:tcPr>
            <w:tcW w:w="850" w:type="dxa"/>
            <w:vMerge/>
            <w:tcBorders>
              <w:left w:val="single" w:sz="2" w:space="0" w:color="auto"/>
            </w:tcBorders>
            <w:vAlign w:val="center"/>
          </w:tcPr>
          <w:p w14:paraId="5819EBF3"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757DB7DE" w14:textId="77777777" w:rsidR="00B14D53" w:rsidRDefault="00B14D53">
            <w:pPr>
              <w:contextualSpacing/>
              <w:jc w:val="center"/>
              <w:rPr>
                <w:rFonts w:eastAsiaTheme="minorEastAsia"/>
                <w:snapToGrid w:val="0"/>
                <w:kern w:val="0"/>
                <w:szCs w:val="21"/>
              </w:rPr>
            </w:pPr>
          </w:p>
        </w:tc>
      </w:tr>
      <w:tr w:rsidR="00B14D53" w14:paraId="2E4AFE81" w14:textId="77777777">
        <w:tc>
          <w:tcPr>
            <w:tcW w:w="1134" w:type="dxa"/>
            <w:vAlign w:val="center"/>
          </w:tcPr>
          <w:p w14:paraId="7279593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山河镇第三小学</w:t>
            </w:r>
          </w:p>
        </w:tc>
        <w:tc>
          <w:tcPr>
            <w:tcW w:w="1134" w:type="dxa"/>
            <w:vAlign w:val="center"/>
          </w:tcPr>
          <w:p w14:paraId="3460834D"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 1400m</w:t>
            </w:r>
          </w:p>
        </w:tc>
        <w:tc>
          <w:tcPr>
            <w:tcW w:w="1276" w:type="dxa"/>
            <w:vMerge/>
            <w:tcBorders>
              <w:top w:val="single" w:sz="12" w:space="0" w:color="auto"/>
              <w:bottom w:val="single" w:sz="12" w:space="0" w:color="auto"/>
              <w:right w:val="single" w:sz="2" w:space="0" w:color="auto"/>
            </w:tcBorders>
            <w:vAlign w:val="center"/>
          </w:tcPr>
          <w:p w14:paraId="7599DF3C"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2B15FED4"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周边四至均为山河镇居民</w:t>
            </w:r>
          </w:p>
        </w:tc>
        <w:tc>
          <w:tcPr>
            <w:tcW w:w="850" w:type="dxa"/>
            <w:vMerge/>
            <w:tcBorders>
              <w:left w:val="single" w:sz="2" w:space="0" w:color="auto"/>
            </w:tcBorders>
            <w:vAlign w:val="center"/>
          </w:tcPr>
          <w:p w14:paraId="05DDD293"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29E416CA" w14:textId="77777777" w:rsidR="00B14D53" w:rsidRDefault="00B14D53">
            <w:pPr>
              <w:contextualSpacing/>
              <w:jc w:val="center"/>
              <w:rPr>
                <w:rFonts w:eastAsiaTheme="minorEastAsia"/>
                <w:snapToGrid w:val="0"/>
                <w:kern w:val="0"/>
                <w:szCs w:val="21"/>
              </w:rPr>
            </w:pPr>
          </w:p>
        </w:tc>
      </w:tr>
      <w:tr w:rsidR="00B14D53" w14:paraId="611BD803" w14:textId="77777777">
        <w:tc>
          <w:tcPr>
            <w:tcW w:w="1134" w:type="dxa"/>
            <w:vAlign w:val="center"/>
          </w:tcPr>
          <w:p w14:paraId="0E125A68"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洪德朝鲜族小学</w:t>
            </w:r>
          </w:p>
        </w:tc>
        <w:tc>
          <w:tcPr>
            <w:tcW w:w="1134" w:type="dxa"/>
            <w:vAlign w:val="center"/>
          </w:tcPr>
          <w:p w14:paraId="7122FC74"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 2140m</w:t>
            </w:r>
          </w:p>
        </w:tc>
        <w:tc>
          <w:tcPr>
            <w:tcW w:w="1276" w:type="dxa"/>
            <w:vMerge/>
            <w:tcBorders>
              <w:top w:val="single" w:sz="12" w:space="0" w:color="auto"/>
              <w:bottom w:val="single" w:sz="12" w:space="0" w:color="auto"/>
              <w:right w:val="single" w:sz="2" w:space="0" w:color="auto"/>
            </w:tcBorders>
            <w:vAlign w:val="center"/>
          </w:tcPr>
          <w:p w14:paraId="663BE294"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22702C19"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东侧至道路；南、西、北均至山河镇居民</w:t>
            </w:r>
          </w:p>
        </w:tc>
        <w:tc>
          <w:tcPr>
            <w:tcW w:w="850" w:type="dxa"/>
            <w:vMerge/>
            <w:tcBorders>
              <w:left w:val="single" w:sz="2" w:space="0" w:color="auto"/>
            </w:tcBorders>
            <w:vAlign w:val="center"/>
          </w:tcPr>
          <w:p w14:paraId="445876E0"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10D54745" w14:textId="77777777" w:rsidR="00B14D53" w:rsidRDefault="00B14D53">
            <w:pPr>
              <w:contextualSpacing/>
              <w:jc w:val="center"/>
              <w:rPr>
                <w:rFonts w:eastAsiaTheme="minorEastAsia"/>
                <w:snapToGrid w:val="0"/>
                <w:kern w:val="0"/>
                <w:szCs w:val="21"/>
              </w:rPr>
            </w:pPr>
          </w:p>
        </w:tc>
      </w:tr>
    </w:tbl>
    <w:p w14:paraId="043AE2E7" w14:textId="77777777" w:rsidR="00B14D53" w:rsidRDefault="00B14D53">
      <w:pPr>
        <w:jc w:val="center"/>
        <w:rPr>
          <w:b/>
          <w:bCs/>
        </w:rPr>
      </w:pPr>
    </w:p>
    <w:p w14:paraId="621F7C67" w14:textId="77777777" w:rsidR="00B14D53" w:rsidRDefault="00B14D53">
      <w:pPr>
        <w:jc w:val="center"/>
        <w:rPr>
          <w:b/>
          <w:bCs/>
        </w:rPr>
      </w:pPr>
    </w:p>
    <w:p w14:paraId="6CF45601" w14:textId="77777777" w:rsidR="00B14D53" w:rsidRDefault="00000000">
      <w:pPr>
        <w:jc w:val="center"/>
      </w:pPr>
      <w:r>
        <w:rPr>
          <w:rFonts w:hint="eastAsia"/>
          <w:b/>
          <w:bCs/>
        </w:rPr>
        <w:t>续表</w:t>
      </w:r>
      <w:r>
        <w:rPr>
          <w:rFonts w:hint="eastAsia"/>
          <w:b/>
          <w:bCs/>
        </w:rPr>
        <w:t xml:space="preserve">4-4-1 </w:t>
      </w:r>
      <w:r>
        <w:rPr>
          <w:rFonts w:hint="eastAsia"/>
          <w:b/>
          <w:bCs/>
        </w:rPr>
        <w:t>环境保护目标调查表</w:t>
      </w:r>
    </w:p>
    <w:tbl>
      <w:tblPr>
        <w:tblStyle w:val="aff8"/>
        <w:tblW w:w="8522" w:type="dxa"/>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1134"/>
        <w:gridCol w:w="1134"/>
        <w:gridCol w:w="1276"/>
        <w:gridCol w:w="2552"/>
        <w:gridCol w:w="850"/>
        <w:gridCol w:w="1576"/>
      </w:tblGrid>
      <w:tr w:rsidR="00B14D53" w14:paraId="5BD4729F" w14:textId="77777777">
        <w:tc>
          <w:tcPr>
            <w:tcW w:w="1134" w:type="dxa"/>
            <w:vAlign w:val="center"/>
          </w:tcPr>
          <w:p w14:paraId="7494555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山河镇第二小学</w:t>
            </w:r>
          </w:p>
        </w:tc>
        <w:tc>
          <w:tcPr>
            <w:tcW w:w="1134" w:type="dxa"/>
            <w:vAlign w:val="center"/>
          </w:tcPr>
          <w:p w14:paraId="799B5A99"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 1300m</w:t>
            </w:r>
          </w:p>
        </w:tc>
        <w:tc>
          <w:tcPr>
            <w:tcW w:w="1276" w:type="dxa"/>
            <w:tcBorders>
              <w:top w:val="single" w:sz="12" w:space="0" w:color="auto"/>
              <w:bottom w:val="single" w:sz="4" w:space="0" w:color="auto"/>
              <w:right w:val="single" w:sz="2" w:space="0" w:color="auto"/>
            </w:tcBorders>
            <w:vAlign w:val="center"/>
          </w:tcPr>
          <w:p w14:paraId="57EF97FE"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hint="eastAsia"/>
                <w:snapToGrid w:val="0"/>
              </w:rPr>
              <w:t>文化区</w:t>
            </w:r>
          </w:p>
        </w:tc>
        <w:tc>
          <w:tcPr>
            <w:tcW w:w="2552" w:type="dxa"/>
            <w:tcBorders>
              <w:left w:val="single" w:sz="2" w:space="0" w:color="auto"/>
            </w:tcBorders>
            <w:vAlign w:val="center"/>
          </w:tcPr>
          <w:p w14:paraId="1DA6C138" w14:textId="77777777" w:rsidR="00B14D53" w:rsidRDefault="00000000">
            <w:pPr>
              <w:contextualSpacing/>
              <w:jc w:val="center"/>
              <w:rPr>
                <w:rFonts w:eastAsiaTheme="minorEastAsia"/>
                <w:snapToGrid w:val="0"/>
                <w:kern w:val="0"/>
                <w:szCs w:val="21"/>
              </w:rPr>
            </w:pPr>
            <w:r>
              <w:rPr>
                <w:rFonts w:eastAsiaTheme="minorEastAsia" w:hAnsiTheme="minorEastAsia" w:hint="eastAsia"/>
                <w:snapToGrid w:val="0"/>
                <w:kern w:val="0"/>
                <w:szCs w:val="21"/>
              </w:rPr>
              <w:t>西至</w:t>
            </w:r>
            <w:r>
              <w:rPr>
                <w:rFonts w:eastAsiaTheme="minorEastAsia" w:hAnsiTheme="minorEastAsia"/>
                <w:snapToGrid w:val="0"/>
                <w:kern w:val="0"/>
                <w:szCs w:val="21"/>
              </w:rPr>
              <w:t>农田</w:t>
            </w:r>
            <w:r>
              <w:rPr>
                <w:rFonts w:eastAsiaTheme="minorEastAsia" w:hAnsiTheme="minorEastAsia" w:hint="eastAsia"/>
                <w:snapToGrid w:val="0"/>
                <w:kern w:val="0"/>
                <w:szCs w:val="21"/>
              </w:rPr>
              <w:t>；北、南均至工厂；东至道路</w:t>
            </w:r>
          </w:p>
        </w:tc>
        <w:tc>
          <w:tcPr>
            <w:tcW w:w="850" w:type="dxa"/>
            <w:tcBorders>
              <w:left w:val="single" w:sz="2" w:space="0" w:color="auto"/>
            </w:tcBorders>
            <w:vAlign w:val="center"/>
          </w:tcPr>
          <w:p w14:paraId="214F41EF"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师生</w:t>
            </w:r>
          </w:p>
        </w:tc>
        <w:tc>
          <w:tcPr>
            <w:tcW w:w="1576" w:type="dxa"/>
            <w:vMerge w:val="restart"/>
            <w:tcBorders>
              <w:left w:val="single" w:sz="2" w:space="0" w:color="auto"/>
            </w:tcBorders>
            <w:vAlign w:val="center"/>
          </w:tcPr>
          <w:p w14:paraId="78A13753" w14:textId="77777777" w:rsidR="00B14D53" w:rsidRDefault="00000000">
            <w:pPr>
              <w:contextualSpacing/>
              <w:jc w:val="center"/>
              <w:rPr>
                <w:rFonts w:eastAsiaTheme="minorEastAsia"/>
                <w:snapToGrid w:val="0"/>
                <w:kern w:val="0"/>
                <w:szCs w:val="21"/>
              </w:rPr>
            </w:pPr>
            <w:r>
              <w:rPr>
                <w:rFonts w:eastAsiaTheme="minorEastAsia" w:hAnsiTheme="minorEastAsia"/>
                <w:snapToGrid w:val="0"/>
                <w:kern w:val="0"/>
                <w:szCs w:val="21"/>
              </w:rPr>
              <w:t>《环境空气质量标准》（</w:t>
            </w:r>
            <w:r>
              <w:rPr>
                <w:rFonts w:eastAsiaTheme="minorEastAsia"/>
                <w:snapToGrid w:val="0"/>
                <w:kern w:val="0"/>
                <w:szCs w:val="21"/>
              </w:rPr>
              <w:t>GB3095-2012</w:t>
            </w:r>
            <w:r>
              <w:rPr>
                <w:rFonts w:eastAsiaTheme="minorEastAsia" w:hAnsiTheme="minorEastAsia"/>
                <w:snapToGrid w:val="0"/>
                <w:kern w:val="0"/>
                <w:szCs w:val="21"/>
              </w:rPr>
              <w:t>）二级标准</w:t>
            </w:r>
          </w:p>
        </w:tc>
      </w:tr>
      <w:tr w:rsidR="00B14D53" w14:paraId="1D770D8C" w14:textId="77777777">
        <w:tc>
          <w:tcPr>
            <w:tcW w:w="1134" w:type="dxa"/>
            <w:vAlign w:val="center"/>
          </w:tcPr>
          <w:p w14:paraId="003E273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五门王家</w:t>
            </w:r>
          </w:p>
        </w:tc>
        <w:tc>
          <w:tcPr>
            <w:tcW w:w="1134" w:type="dxa"/>
            <w:vAlign w:val="center"/>
          </w:tcPr>
          <w:p w14:paraId="6B7225B7"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 2800m</w:t>
            </w:r>
          </w:p>
        </w:tc>
        <w:tc>
          <w:tcPr>
            <w:tcW w:w="1276" w:type="dxa"/>
            <w:vMerge w:val="restart"/>
            <w:tcBorders>
              <w:top w:val="single" w:sz="4" w:space="0" w:color="auto"/>
              <w:right w:val="single" w:sz="2" w:space="0" w:color="auto"/>
            </w:tcBorders>
            <w:vAlign w:val="center"/>
          </w:tcPr>
          <w:p w14:paraId="151DD00D" w14:textId="77777777" w:rsidR="00B14D53" w:rsidRDefault="00000000">
            <w:pPr>
              <w:pStyle w:val="afff2"/>
              <w:spacing w:line="240" w:lineRule="auto"/>
              <w:contextualSpacing/>
              <w:rPr>
                <w:rFonts w:eastAsiaTheme="minorEastAsia" w:hAnsi="Times New Roman"/>
                <w:snapToGrid w:val="0"/>
              </w:rPr>
            </w:pPr>
            <w:r>
              <w:rPr>
                <w:rFonts w:eastAsiaTheme="minorEastAsia"/>
                <w:snapToGrid w:val="0"/>
              </w:rPr>
              <w:t>农村</w:t>
            </w:r>
          </w:p>
        </w:tc>
        <w:tc>
          <w:tcPr>
            <w:tcW w:w="2552" w:type="dxa"/>
            <w:tcBorders>
              <w:left w:val="single" w:sz="2" w:space="0" w:color="auto"/>
            </w:tcBorders>
            <w:vAlign w:val="center"/>
          </w:tcPr>
          <w:p w14:paraId="33C33A3F"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val="restart"/>
            <w:tcBorders>
              <w:left w:val="single" w:sz="2" w:space="0" w:color="auto"/>
            </w:tcBorders>
            <w:vAlign w:val="center"/>
          </w:tcPr>
          <w:p w14:paraId="639E4D37"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居民</w:t>
            </w:r>
          </w:p>
        </w:tc>
        <w:tc>
          <w:tcPr>
            <w:tcW w:w="1576" w:type="dxa"/>
            <w:vMerge/>
            <w:tcBorders>
              <w:left w:val="single" w:sz="2" w:space="0" w:color="auto"/>
            </w:tcBorders>
            <w:vAlign w:val="center"/>
          </w:tcPr>
          <w:p w14:paraId="4B051803" w14:textId="77777777" w:rsidR="00B14D53" w:rsidRDefault="00B14D53">
            <w:pPr>
              <w:contextualSpacing/>
              <w:jc w:val="center"/>
              <w:rPr>
                <w:rFonts w:eastAsiaTheme="minorEastAsia"/>
                <w:snapToGrid w:val="0"/>
                <w:kern w:val="0"/>
                <w:szCs w:val="21"/>
              </w:rPr>
            </w:pPr>
          </w:p>
        </w:tc>
      </w:tr>
      <w:tr w:rsidR="00B14D53" w14:paraId="4C4694F5" w14:textId="77777777">
        <w:tc>
          <w:tcPr>
            <w:tcW w:w="1134" w:type="dxa"/>
            <w:vAlign w:val="center"/>
          </w:tcPr>
          <w:p w14:paraId="7B4F8142"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郑家屯</w:t>
            </w:r>
            <w:r>
              <w:rPr>
                <w:rFonts w:eastAsiaTheme="minorEastAsia" w:hAnsi="Times New Roman" w:hint="eastAsia"/>
                <w:snapToGrid w:val="0"/>
              </w:rPr>
              <w:t>1</w:t>
            </w:r>
          </w:p>
        </w:tc>
        <w:tc>
          <w:tcPr>
            <w:tcW w:w="1134" w:type="dxa"/>
            <w:vAlign w:val="center"/>
          </w:tcPr>
          <w:p w14:paraId="341EB32B"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 2450m</w:t>
            </w:r>
          </w:p>
        </w:tc>
        <w:tc>
          <w:tcPr>
            <w:tcW w:w="1276" w:type="dxa"/>
            <w:vMerge/>
            <w:tcBorders>
              <w:right w:val="single" w:sz="2" w:space="0" w:color="auto"/>
            </w:tcBorders>
            <w:vAlign w:val="center"/>
          </w:tcPr>
          <w:p w14:paraId="18CC4B92"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707BD66F"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59DE5B94"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426C3553" w14:textId="77777777" w:rsidR="00B14D53" w:rsidRDefault="00B14D53">
            <w:pPr>
              <w:contextualSpacing/>
              <w:jc w:val="center"/>
              <w:rPr>
                <w:rFonts w:eastAsiaTheme="minorEastAsia"/>
                <w:snapToGrid w:val="0"/>
                <w:kern w:val="0"/>
                <w:szCs w:val="21"/>
              </w:rPr>
            </w:pPr>
          </w:p>
        </w:tc>
      </w:tr>
      <w:tr w:rsidR="00B14D53" w14:paraId="0CC2CD05" w14:textId="77777777">
        <w:tc>
          <w:tcPr>
            <w:tcW w:w="1134" w:type="dxa"/>
            <w:vAlign w:val="center"/>
          </w:tcPr>
          <w:p w14:paraId="4ACD52B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董菜园</w:t>
            </w:r>
          </w:p>
        </w:tc>
        <w:tc>
          <w:tcPr>
            <w:tcW w:w="1134" w:type="dxa"/>
            <w:vAlign w:val="center"/>
          </w:tcPr>
          <w:p w14:paraId="41EC37C3"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 2210m</w:t>
            </w:r>
          </w:p>
        </w:tc>
        <w:tc>
          <w:tcPr>
            <w:tcW w:w="1276" w:type="dxa"/>
            <w:vMerge/>
            <w:tcBorders>
              <w:right w:val="single" w:sz="2" w:space="0" w:color="auto"/>
            </w:tcBorders>
            <w:vAlign w:val="center"/>
          </w:tcPr>
          <w:p w14:paraId="1E240D88"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6827DE24"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5C81ECB5"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7F62CF97" w14:textId="77777777" w:rsidR="00B14D53" w:rsidRDefault="00B14D53">
            <w:pPr>
              <w:contextualSpacing/>
              <w:jc w:val="center"/>
              <w:rPr>
                <w:rFonts w:eastAsiaTheme="minorEastAsia"/>
                <w:snapToGrid w:val="0"/>
                <w:kern w:val="0"/>
                <w:szCs w:val="21"/>
              </w:rPr>
            </w:pPr>
          </w:p>
        </w:tc>
      </w:tr>
      <w:tr w:rsidR="00B14D53" w14:paraId="615A3C0F" w14:textId="77777777">
        <w:tc>
          <w:tcPr>
            <w:tcW w:w="1134" w:type="dxa"/>
            <w:vAlign w:val="center"/>
          </w:tcPr>
          <w:p w14:paraId="283FE15B"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徐菜园子</w:t>
            </w:r>
          </w:p>
        </w:tc>
        <w:tc>
          <w:tcPr>
            <w:tcW w:w="1134" w:type="dxa"/>
            <w:vAlign w:val="center"/>
          </w:tcPr>
          <w:p w14:paraId="35B51DCD"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NW 1870m</w:t>
            </w:r>
          </w:p>
        </w:tc>
        <w:tc>
          <w:tcPr>
            <w:tcW w:w="1276" w:type="dxa"/>
            <w:vMerge/>
            <w:tcBorders>
              <w:right w:val="single" w:sz="2" w:space="0" w:color="auto"/>
            </w:tcBorders>
            <w:vAlign w:val="center"/>
          </w:tcPr>
          <w:p w14:paraId="00450EBA"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7452B375"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23BB910F"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6DB8B08E" w14:textId="77777777" w:rsidR="00B14D53" w:rsidRDefault="00B14D53">
            <w:pPr>
              <w:contextualSpacing/>
              <w:jc w:val="center"/>
              <w:rPr>
                <w:rFonts w:eastAsiaTheme="minorEastAsia"/>
                <w:snapToGrid w:val="0"/>
                <w:kern w:val="0"/>
                <w:szCs w:val="21"/>
              </w:rPr>
            </w:pPr>
          </w:p>
        </w:tc>
      </w:tr>
      <w:tr w:rsidR="00B14D53" w14:paraId="57DB0299" w14:textId="77777777">
        <w:tc>
          <w:tcPr>
            <w:tcW w:w="1134" w:type="dxa"/>
            <w:vAlign w:val="center"/>
          </w:tcPr>
          <w:p w14:paraId="5DBEEAA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丁白长屯</w:t>
            </w:r>
          </w:p>
        </w:tc>
        <w:tc>
          <w:tcPr>
            <w:tcW w:w="1134" w:type="dxa"/>
            <w:vAlign w:val="center"/>
          </w:tcPr>
          <w:p w14:paraId="003E103F"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W 2050m</w:t>
            </w:r>
          </w:p>
        </w:tc>
        <w:tc>
          <w:tcPr>
            <w:tcW w:w="1276" w:type="dxa"/>
            <w:vMerge/>
            <w:tcBorders>
              <w:right w:val="single" w:sz="2" w:space="0" w:color="auto"/>
            </w:tcBorders>
            <w:vAlign w:val="center"/>
          </w:tcPr>
          <w:p w14:paraId="6801FE1A"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2F7E14A6"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12EAE712"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58AF4AF2" w14:textId="77777777" w:rsidR="00B14D53" w:rsidRDefault="00B14D53">
            <w:pPr>
              <w:contextualSpacing/>
              <w:jc w:val="center"/>
              <w:rPr>
                <w:rFonts w:eastAsiaTheme="minorEastAsia"/>
                <w:snapToGrid w:val="0"/>
                <w:kern w:val="0"/>
                <w:szCs w:val="21"/>
              </w:rPr>
            </w:pPr>
          </w:p>
        </w:tc>
      </w:tr>
      <w:tr w:rsidR="00B14D53" w14:paraId="06866C9E" w14:textId="77777777">
        <w:tc>
          <w:tcPr>
            <w:tcW w:w="1134" w:type="dxa"/>
            <w:vAlign w:val="center"/>
          </w:tcPr>
          <w:p w14:paraId="07FF9BE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陈粉房</w:t>
            </w:r>
          </w:p>
        </w:tc>
        <w:tc>
          <w:tcPr>
            <w:tcW w:w="1134" w:type="dxa"/>
            <w:vAlign w:val="center"/>
          </w:tcPr>
          <w:p w14:paraId="740B9040"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SW 2230m</w:t>
            </w:r>
          </w:p>
        </w:tc>
        <w:tc>
          <w:tcPr>
            <w:tcW w:w="1276" w:type="dxa"/>
            <w:vMerge/>
            <w:tcBorders>
              <w:right w:val="single" w:sz="2" w:space="0" w:color="auto"/>
            </w:tcBorders>
            <w:vAlign w:val="center"/>
          </w:tcPr>
          <w:p w14:paraId="7AA9EA12"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6385BA6F"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1C4E24F2"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7CEC0B9C" w14:textId="77777777" w:rsidR="00B14D53" w:rsidRDefault="00B14D53">
            <w:pPr>
              <w:contextualSpacing/>
              <w:jc w:val="center"/>
              <w:rPr>
                <w:rFonts w:eastAsiaTheme="minorEastAsia"/>
                <w:snapToGrid w:val="0"/>
                <w:kern w:val="0"/>
                <w:szCs w:val="21"/>
              </w:rPr>
            </w:pPr>
          </w:p>
        </w:tc>
      </w:tr>
      <w:tr w:rsidR="00B14D53" w14:paraId="7E09BFDC" w14:textId="77777777">
        <w:tc>
          <w:tcPr>
            <w:tcW w:w="1134" w:type="dxa"/>
            <w:vAlign w:val="center"/>
          </w:tcPr>
          <w:p w14:paraId="6E019022"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郑家屯</w:t>
            </w:r>
            <w:r>
              <w:rPr>
                <w:rFonts w:eastAsiaTheme="minorEastAsia" w:hAnsi="Times New Roman" w:hint="eastAsia"/>
                <w:snapToGrid w:val="0"/>
              </w:rPr>
              <w:t>2</w:t>
            </w:r>
          </w:p>
        </w:tc>
        <w:tc>
          <w:tcPr>
            <w:tcW w:w="1134" w:type="dxa"/>
            <w:vAlign w:val="center"/>
          </w:tcPr>
          <w:p w14:paraId="4D036508"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SW 2710m</w:t>
            </w:r>
          </w:p>
        </w:tc>
        <w:tc>
          <w:tcPr>
            <w:tcW w:w="1276" w:type="dxa"/>
            <w:vMerge/>
            <w:tcBorders>
              <w:right w:val="single" w:sz="2" w:space="0" w:color="auto"/>
            </w:tcBorders>
            <w:vAlign w:val="center"/>
          </w:tcPr>
          <w:p w14:paraId="1647C757"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5AB70981"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3AF47CD8"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50664249" w14:textId="77777777" w:rsidR="00B14D53" w:rsidRDefault="00B14D53">
            <w:pPr>
              <w:contextualSpacing/>
              <w:jc w:val="center"/>
              <w:rPr>
                <w:rFonts w:eastAsiaTheme="minorEastAsia"/>
                <w:snapToGrid w:val="0"/>
                <w:kern w:val="0"/>
                <w:szCs w:val="21"/>
              </w:rPr>
            </w:pPr>
          </w:p>
        </w:tc>
      </w:tr>
      <w:tr w:rsidR="00B14D53" w14:paraId="1E0E4BCA" w14:textId="77777777">
        <w:tc>
          <w:tcPr>
            <w:tcW w:w="1134" w:type="dxa"/>
            <w:vAlign w:val="center"/>
          </w:tcPr>
          <w:p w14:paraId="571256D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前福安</w:t>
            </w:r>
          </w:p>
        </w:tc>
        <w:tc>
          <w:tcPr>
            <w:tcW w:w="1134" w:type="dxa"/>
            <w:vAlign w:val="center"/>
          </w:tcPr>
          <w:p w14:paraId="759AD3D1"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SW 1650m</w:t>
            </w:r>
          </w:p>
        </w:tc>
        <w:tc>
          <w:tcPr>
            <w:tcW w:w="1276" w:type="dxa"/>
            <w:vMerge/>
            <w:tcBorders>
              <w:right w:val="single" w:sz="2" w:space="0" w:color="auto"/>
            </w:tcBorders>
            <w:vAlign w:val="center"/>
          </w:tcPr>
          <w:p w14:paraId="4FBCE4F9"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1CA8FB9A"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19C8FFF1"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4F0F6E7B" w14:textId="77777777" w:rsidR="00B14D53" w:rsidRDefault="00B14D53">
            <w:pPr>
              <w:contextualSpacing/>
              <w:jc w:val="center"/>
              <w:rPr>
                <w:rFonts w:eastAsiaTheme="minorEastAsia"/>
                <w:snapToGrid w:val="0"/>
                <w:kern w:val="0"/>
                <w:szCs w:val="21"/>
              </w:rPr>
            </w:pPr>
          </w:p>
        </w:tc>
      </w:tr>
      <w:tr w:rsidR="00B14D53" w14:paraId="588987FD" w14:textId="77777777">
        <w:tc>
          <w:tcPr>
            <w:tcW w:w="1134" w:type="dxa"/>
            <w:vAlign w:val="center"/>
          </w:tcPr>
          <w:p w14:paraId="257E3576"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腰福安</w:t>
            </w:r>
          </w:p>
        </w:tc>
        <w:tc>
          <w:tcPr>
            <w:tcW w:w="1134" w:type="dxa"/>
            <w:vAlign w:val="center"/>
          </w:tcPr>
          <w:p w14:paraId="75D5C8BB"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SW 1030m</w:t>
            </w:r>
          </w:p>
        </w:tc>
        <w:tc>
          <w:tcPr>
            <w:tcW w:w="1276" w:type="dxa"/>
            <w:vMerge/>
            <w:tcBorders>
              <w:right w:val="single" w:sz="2" w:space="0" w:color="auto"/>
            </w:tcBorders>
            <w:vAlign w:val="center"/>
          </w:tcPr>
          <w:p w14:paraId="2582981C"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1E122C7C"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3A41615F"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7941488F" w14:textId="77777777" w:rsidR="00B14D53" w:rsidRDefault="00B14D53">
            <w:pPr>
              <w:contextualSpacing/>
              <w:jc w:val="center"/>
              <w:rPr>
                <w:rFonts w:eastAsiaTheme="minorEastAsia"/>
                <w:snapToGrid w:val="0"/>
                <w:kern w:val="0"/>
                <w:szCs w:val="21"/>
              </w:rPr>
            </w:pPr>
          </w:p>
        </w:tc>
      </w:tr>
      <w:tr w:rsidR="00B14D53" w14:paraId="70A65D98" w14:textId="77777777">
        <w:tc>
          <w:tcPr>
            <w:tcW w:w="1134" w:type="dxa"/>
            <w:vAlign w:val="center"/>
          </w:tcPr>
          <w:p w14:paraId="2F32E06F"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马家屯</w:t>
            </w:r>
          </w:p>
        </w:tc>
        <w:tc>
          <w:tcPr>
            <w:tcW w:w="1134" w:type="dxa"/>
            <w:vAlign w:val="center"/>
          </w:tcPr>
          <w:p w14:paraId="4DD8CEE7"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 1530m</w:t>
            </w:r>
          </w:p>
        </w:tc>
        <w:tc>
          <w:tcPr>
            <w:tcW w:w="1276" w:type="dxa"/>
            <w:vMerge/>
            <w:tcBorders>
              <w:right w:val="single" w:sz="2" w:space="0" w:color="auto"/>
            </w:tcBorders>
            <w:vAlign w:val="center"/>
          </w:tcPr>
          <w:p w14:paraId="11863FD3"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664B3533"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6E44E487"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64000AAC" w14:textId="77777777" w:rsidR="00B14D53" w:rsidRDefault="00B14D53">
            <w:pPr>
              <w:contextualSpacing/>
              <w:jc w:val="center"/>
              <w:rPr>
                <w:rFonts w:eastAsiaTheme="minorEastAsia"/>
                <w:snapToGrid w:val="0"/>
                <w:kern w:val="0"/>
                <w:szCs w:val="21"/>
              </w:rPr>
            </w:pPr>
          </w:p>
        </w:tc>
      </w:tr>
      <w:tr w:rsidR="00B14D53" w14:paraId="2C3A5872" w14:textId="77777777">
        <w:tc>
          <w:tcPr>
            <w:tcW w:w="1134" w:type="dxa"/>
            <w:vAlign w:val="center"/>
          </w:tcPr>
          <w:p w14:paraId="39618CC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靠山屯</w:t>
            </w:r>
          </w:p>
        </w:tc>
        <w:tc>
          <w:tcPr>
            <w:tcW w:w="1134" w:type="dxa"/>
            <w:vAlign w:val="center"/>
          </w:tcPr>
          <w:p w14:paraId="6E617764"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SE 2690m</w:t>
            </w:r>
          </w:p>
        </w:tc>
        <w:tc>
          <w:tcPr>
            <w:tcW w:w="1276" w:type="dxa"/>
            <w:vMerge/>
            <w:tcBorders>
              <w:right w:val="single" w:sz="2" w:space="0" w:color="auto"/>
            </w:tcBorders>
            <w:vAlign w:val="center"/>
          </w:tcPr>
          <w:p w14:paraId="2C2E28C5"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01DEE7B6"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5F6BD1EF"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4661AD18" w14:textId="77777777" w:rsidR="00B14D53" w:rsidRDefault="00B14D53">
            <w:pPr>
              <w:contextualSpacing/>
              <w:jc w:val="center"/>
              <w:rPr>
                <w:rFonts w:eastAsiaTheme="minorEastAsia"/>
                <w:snapToGrid w:val="0"/>
                <w:kern w:val="0"/>
                <w:szCs w:val="21"/>
              </w:rPr>
            </w:pPr>
          </w:p>
        </w:tc>
      </w:tr>
      <w:tr w:rsidR="00B14D53" w14:paraId="035819F4" w14:textId="77777777">
        <w:tc>
          <w:tcPr>
            <w:tcW w:w="1134" w:type="dxa"/>
            <w:vAlign w:val="center"/>
          </w:tcPr>
          <w:p w14:paraId="555FE860"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五间房</w:t>
            </w:r>
          </w:p>
        </w:tc>
        <w:tc>
          <w:tcPr>
            <w:tcW w:w="1134" w:type="dxa"/>
            <w:vAlign w:val="center"/>
          </w:tcPr>
          <w:p w14:paraId="5B629858"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SE 2800m</w:t>
            </w:r>
          </w:p>
        </w:tc>
        <w:tc>
          <w:tcPr>
            <w:tcW w:w="1276" w:type="dxa"/>
            <w:vMerge/>
            <w:tcBorders>
              <w:right w:val="single" w:sz="2" w:space="0" w:color="auto"/>
            </w:tcBorders>
            <w:vAlign w:val="center"/>
          </w:tcPr>
          <w:p w14:paraId="707B5044"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45C33AE9"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6DB7E05F"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422793A6" w14:textId="77777777" w:rsidR="00B14D53" w:rsidRDefault="00B14D53">
            <w:pPr>
              <w:contextualSpacing/>
              <w:jc w:val="center"/>
              <w:rPr>
                <w:rFonts w:eastAsiaTheme="minorEastAsia"/>
                <w:snapToGrid w:val="0"/>
                <w:kern w:val="0"/>
                <w:szCs w:val="21"/>
              </w:rPr>
            </w:pPr>
          </w:p>
        </w:tc>
      </w:tr>
      <w:tr w:rsidR="00B14D53" w14:paraId="2C0477E6" w14:textId="77777777">
        <w:tc>
          <w:tcPr>
            <w:tcW w:w="1134" w:type="dxa"/>
            <w:vAlign w:val="center"/>
          </w:tcPr>
          <w:p w14:paraId="65E86687"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太平山村</w:t>
            </w:r>
          </w:p>
        </w:tc>
        <w:tc>
          <w:tcPr>
            <w:tcW w:w="1134" w:type="dxa"/>
            <w:vAlign w:val="center"/>
          </w:tcPr>
          <w:p w14:paraId="1FB22E6C"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SE 2010m</w:t>
            </w:r>
          </w:p>
        </w:tc>
        <w:tc>
          <w:tcPr>
            <w:tcW w:w="1276" w:type="dxa"/>
            <w:vMerge/>
            <w:tcBorders>
              <w:right w:val="single" w:sz="2" w:space="0" w:color="auto"/>
            </w:tcBorders>
            <w:vAlign w:val="center"/>
          </w:tcPr>
          <w:p w14:paraId="11ABB5DC"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036C7D7C"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7416B93D"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26CD4608" w14:textId="77777777" w:rsidR="00B14D53" w:rsidRDefault="00B14D53">
            <w:pPr>
              <w:contextualSpacing/>
              <w:jc w:val="center"/>
              <w:rPr>
                <w:rFonts w:eastAsiaTheme="minorEastAsia"/>
                <w:snapToGrid w:val="0"/>
                <w:kern w:val="0"/>
                <w:szCs w:val="21"/>
              </w:rPr>
            </w:pPr>
          </w:p>
        </w:tc>
      </w:tr>
      <w:tr w:rsidR="00B14D53" w14:paraId="2A5B9080" w14:textId="77777777">
        <w:tc>
          <w:tcPr>
            <w:tcW w:w="1134" w:type="dxa"/>
            <w:vAlign w:val="center"/>
          </w:tcPr>
          <w:p w14:paraId="427887F9"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香房孙家</w:t>
            </w:r>
          </w:p>
        </w:tc>
        <w:tc>
          <w:tcPr>
            <w:tcW w:w="1134" w:type="dxa"/>
            <w:vAlign w:val="center"/>
          </w:tcPr>
          <w:p w14:paraId="250537FF"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SE 1180m</w:t>
            </w:r>
          </w:p>
        </w:tc>
        <w:tc>
          <w:tcPr>
            <w:tcW w:w="1276" w:type="dxa"/>
            <w:vMerge/>
            <w:tcBorders>
              <w:right w:val="single" w:sz="2" w:space="0" w:color="auto"/>
            </w:tcBorders>
            <w:vAlign w:val="center"/>
          </w:tcPr>
          <w:p w14:paraId="5441F1A0"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00DF659D"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1549ED63"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5024AF07" w14:textId="77777777" w:rsidR="00B14D53" w:rsidRDefault="00B14D53">
            <w:pPr>
              <w:contextualSpacing/>
              <w:jc w:val="center"/>
              <w:rPr>
                <w:rFonts w:eastAsiaTheme="minorEastAsia"/>
                <w:snapToGrid w:val="0"/>
                <w:kern w:val="0"/>
                <w:szCs w:val="21"/>
              </w:rPr>
            </w:pPr>
          </w:p>
        </w:tc>
      </w:tr>
      <w:tr w:rsidR="00B14D53" w14:paraId="6E58838C" w14:textId="77777777">
        <w:trPr>
          <w:trHeight w:val="226"/>
        </w:trPr>
        <w:tc>
          <w:tcPr>
            <w:tcW w:w="1134" w:type="dxa"/>
            <w:vMerge w:val="restart"/>
            <w:vAlign w:val="center"/>
          </w:tcPr>
          <w:p w14:paraId="15C33E58"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山河屯林业局居民</w:t>
            </w:r>
          </w:p>
        </w:tc>
        <w:tc>
          <w:tcPr>
            <w:tcW w:w="1134" w:type="dxa"/>
            <w:tcBorders>
              <w:bottom w:val="single" w:sz="4" w:space="0" w:color="auto"/>
            </w:tcBorders>
            <w:vAlign w:val="center"/>
          </w:tcPr>
          <w:p w14:paraId="7E3B6026"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NE 230m</w:t>
            </w:r>
          </w:p>
        </w:tc>
        <w:tc>
          <w:tcPr>
            <w:tcW w:w="1276" w:type="dxa"/>
            <w:vMerge w:val="restart"/>
            <w:tcBorders>
              <w:right w:val="single" w:sz="2" w:space="0" w:color="auto"/>
            </w:tcBorders>
            <w:vAlign w:val="center"/>
          </w:tcPr>
          <w:p w14:paraId="46E49C1F"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hint="eastAsia"/>
                <w:snapToGrid w:val="0"/>
              </w:rPr>
              <w:t>居住区</w:t>
            </w:r>
          </w:p>
        </w:tc>
        <w:tc>
          <w:tcPr>
            <w:tcW w:w="2552" w:type="dxa"/>
            <w:vMerge w:val="restart"/>
            <w:tcBorders>
              <w:left w:val="single" w:sz="2" w:space="0" w:color="auto"/>
            </w:tcBorders>
            <w:vAlign w:val="center"/>
          </w:tcPr>
          <w:p w14:paraId="4B463717"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西至铁路线；东、南、北至均农田</w:t>
            </w:r>
          </w:p>
        </w:tc>
        <w:tc>
          <w:tcPr>
            <w:tcW w:w="850" w:type="dxa"/>
            <w:vMerge/>
            <w:tcBorders>
              <w:left w:val="single" w:sz="2" w:space="0" w:color="auto"/>
            </w:tcBorders>
            <w:vAlign w:val="center"/>
          </w:tcPr>
          <w:p w14:paraId="5FBC416C"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5426C4CB" w14:textId="77777777" w:rsidR="00B14D53" w:rsidRDefault="00B14D53">
            <w:pPr>
              <w:contextualSpacing/>
              <w:jc w:val="center"/>
              <w:rPr>
                <w:rFonts w:eastAsiaTheme="minorEastAsia"/>
                <w:snapToGrid w:val="0"/>
                <w:kern w:val="0"/>
                <w:szCs w:val="21"/>
              </w:rPr>
            </w:pPr>
          </w:p>
        </w:tc>
      </w:tr>
      <w:tr w:rsidR="00B14D53" w14:paraId="4D428A64" w14:textId="77777777">
        <w:trPr>
          <w:trHeight w:val="170"/>
        </w:trPr>
        <w:tc>
          <w:tcPr>
            <w:tcW w:w="1134" w:type="dxa"/>
            <w:vMerge/>
            <w:vAlign w:val="center"/>
          </w:tcPr>
          <w:p w14:paraId="54BB8FF6" w14:textId="77777777" w:rsidR="00B14D53" w:rsidRDefault="00B14D53">
            <w:pPr>
              <w:pStyle w:val="afff2"/>
              <w:spacing w:line="240" w:lineRule="auto"/>
              <w:rPr>
                <w:rFonts w:eastAsiaTheme="minorEastAsia" w:hAnsi="Times New Roman"/>
                <w:snapToGrid w:val="0"/>
              </w:rPr>
            </w:pPr>
          </w:p>
        </w:tc>
        <w:tc>
          <w:tcPr>
            <w:tcW w:w="1134" w:type="dxa"/>
            <w:tcBorders>
              <w:top w:val="single" w:sz="4" w:space="0" w:color="auto"/>
              <w:bottom w:val="single" w:sz="4" w:space="0" w:color="auto"/>
            </w:tcBorders>
            <w:vAlign w:val="center"/>
          </w:tcPr>
          <w:p w14:paraId="3A8EC52E"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 650m</w:t>
            </w:r>
          </w:p>
        </w:tc>
        <w:tc>
          <w:tcPr>
            <w:tcW w:w="1276" w:type="dxa"/>
            <w:vMerge/>
            <w:tcBorders>
              <w:right w:val="single" w:sz="2" w:space="0" w:color="auto"/>
            </w:tcBorders>
            <w:vAlign w:val="center"/>
          </w:tcPr>
          <w:p w14:paraId="122F565F" w14:textId="77777777" w:rsidR="00B14D53" w:rsidRDefault="00B14D53">
            <w:pPr>
              <w:pStyle w:val="afff2"/>
              <w:spacing w:line="240" w:lineRule="auto"/>
              <w:contextualSpacing/>
              <w:rPr>
                <w:rFonts w:eastAsiaTheme="minorEastAsia" w:hAnsi="Times New Roman"/>
                <w:snapToGrid w:val="0"/>
              </w:rPr>
            </w:pPr>
          </w:p>
        </w:tc>
        <w:tc>
          <w:tcPr>
            <w:tcW w:w="2552" w:type="dxa"/>
            <w:vMerge/>
            <w:tcBorders>
              <w:left w:val="single" w:sz="2" w:space="0" w:color="auto"/>
            </w:tcBorders>
            <w:vAlign w:val="center"/>
          </w:tcPr>
          <w:p w14:paraId="3D113A20" w14:textId="77777777" w:rsidR="00B14D53" w:rsidRDefault="00B14D53">
            <w:pPr>
              <w:contextualSpacing/>
              <w:jc w:val="center"/>
              <w:rPr>
                <w:rFonts w:eastAsiaTheme="minorEastAsia" w:hAnsiTheme="minorEastAsia" w:hint="eastAsia"/>
                <w:snapToGrid w:val="0"/>
                <w:kern w:val="0"/>
                <w:szCs w:val="21"/>
              </w:rPr>
            </w:pPr>
          </w:p>
        </w:tc>
        <w:tc>
          <w:tcPr>
            <w:tcW w:w="850" w:type="dxa"/>
            <w:vMerge/>
            <w:tcBorders>
              <w:left w:val="single" w:sz="2" w:space="0" w:color="auto"/>
            </w:tcBorders>
            <w:vAlign w:val="center"/>
          </w:tcPr>
          <w:p w14:paraId="58EFBFA1"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009773CF" w14:textId="77777777" w:rsidR="00B14D53" w:rsidRDefault="00B14D53">
            <w:pPr>
              <w:contextualSpacing/>
              <w:jc w:val="center"/>
              <w:rPr>
                <w:rFonts w:eastAsiaTheme="minorEastAsia"/>
                <w:snapToGrid w:val="0"/>
                <w:kern w:val="0"/>
                <w:szCs w:val="21"/>
              </w:rPr>
            </w:pPr>
          </w:p>
        </w:tc>
      </w:tr>
      <w:tr w:rsidR="00B14D53" w14:paraId="6271082D" w14:textId="77777777">
        <w:trPr>
          <w:trHeight w:val="137"/>
        </w:trPr>
        <w:tc>
          <w:tcPr>
            <w:tcW w:w="1134" w:type="dxa"/>
            <w:vMerge/>
            <w:vAlign w:val="center"/>
          </w:tcPr>
          <w:p w14:paraId="0CC3EF08" w14:textId="77777777" w:rsidR="00B14D53" w:rsidRDefault="00B14D53">
            <w:pPr>
              <w:pStyle w:val="afff2"/>
              <w:spacing w:line="240" w:lineRule="auto"/>
              <w:rPr>
                <w:rFonts w:eastAsiaTheme="minorEastAsia" w:hAnsi="Times New Roman"/>
                <w:snapToGrid w:val="0"/>
              </w:rPr>
            </w:pPr>
          </w:p>
        </w:tc>
        <w:tc>
          <w:tcPr>
            <w:tcW w:w="1134" w:type="dxa"/>
            <w:tcBorders>
              <w:top w:val="single" w:sz="4" w:space="0" w:color="auto"/>
              <w:bottom w:val="single" w:sz="4" w:space="0" w:color="auto"/>
            </w:tcBorders>
            <w:vAlign w:val="center"/>
          </w:tcPr>
          <w:p w14:paraId="53B5B689"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NE 240m</w:t>
            </w:r>
          </w:p>
        </w:tc>
        <w:tc>
          <w:tcPr>
            <w:tcW w:w="1276" w:type="dxa"/>
            <w:vMerge/>
            <w:tcBorders>
              <w:right w:val="single" w:sz="2" w:space="0" w:color="auto"/>
            </w:tcBorders>
            <w:vAlign w:val="center"/>
          </w:tcPr>
          <w:p w14:paraId="7D287B2F" w14:textId="77777777" w:rsidR="00B14D53" w:rsidRDefault="00B14D53">
            <w:pPr>
              <w:pStyle w:val="afff2"/>
              <w:spacing w:line="240" w:lineRule="auto"/>
              <w:contextualSpacing/>
              <w:rPr>
                <w:rFonts w:eastAsiaTheme="minorEastAsia" w:hAnsi="Times New Roman"/>
                <w:snapToGrid w:val="0"/>
              </w:rPr>
            </w:pPr>
          </w:p>
        </w:tc>
        <w:tc>
          <w:tcPr>
            <w:tcW w:w="2552" w:type="dxa"/>
            <w:vMerge/>
            <w:tcBorders>
              <w:left w:val="single" w:sz="2" w:space="0" w:color="auto"/>
            </w:tcBorders>
            <w:vAlign w:val="center"/>
          </w:tcPr>
          <w:p w14:paraId="150ABCFA" w14:textId="77777777" w:rsidR="00B14D53" w:rsidRDefault="00B14D53">
            <w:pPr>
              <w:contextualSpacing/>
              <w:jc w:val="center"/>
              <w:rPr>
                <w:rFonts w:eastAsiaTheme="minorEastAsia" w:hAnsiTheme="minorEastAsia" w:hint="eastAsia"/>
                <w:snapToGrid w:val="0"/>
                <w:kern w:val="0"/>
                <w:szCs w:val="21"/>
              </w:rPr>
            </w:pPr>
          </w:p>
        </w:tc>
        <w:tc>
          <w:tcPr>
            <w:tcW w:w="850" w:type="dxa"/>
            <w:vMerge/>
            <w:tcBorders>
              <w:left w:val="single" w:sz="2" w:space="0" w:color="auto"/>
            </w:tcBorders>
            <w:vAlign w:val="center"/>
          </w:tcPr>
          <w:p w14:paraId="580082E2"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26A9FD8E" w14:textId="77777777" w:rsidR="00B14D53" w:rsidRDefault="00B14D53">
            <w:pPr>
              <w:contextualSpacing/>
              <w:jc w:val="center"/>
              <w:rPr>
                <w:rFonts w:eastAsiaTheme="minorEastAsia"/>
                <w:snapToGrid w:val="0"/>
                <w:kern w:val="0"/>
                <w:szCs w:val="21"/>
              </w:rPr>
            </w:pPr>
          </w:p>
        </w:tc>
      </w:tr>
      <w:tr w:rsidR="00B14D53" w14:paraId="2F1767A8" w14:textId="77777777">
        <w:trPr>
          <w:trHeight w:val="114"/>
        </w:trPr>
        <w:tc>
          <w:tcPr>
            <w:tcW w:w="1134" w:type="dxa"/>
            <w:vMerge/>
            <w:vAlign w:val="center"/>
          </w:tcPr>
          <w:p w14:paraId="25538D27" w14:textId="77777777" w:rsidR="00B14D53" w:rsidRDefault="00B14D53">
            <w:pPr>
              <w:pStyle w:val="afff2"/>
              <w:spacing w:line="240" w:lineRule="auto"/>
              <w:rPr>
                <w:rFonts w:eastAsiaTheme="minorEastAsia" w:hAnsi="Times New Roman"/>
                <w:snapToGrid w:val="0"/>
              </w:rPr>
            </w:pPr>
          </w:p>
        </w:tc>
        <w:tc>
          <w:tcPr>
            <w:tcW w:w="1134" w:type="dxa"/>
            <w:tcBorders>
              <w:top w:val="single" w:sz="4" w:space="0" w:color="auto"/>
            </w:tcBorders>
            <w:vAlign w:val="center"/>
          </w:tcPr>
          <w:p w14:paraId="115ACCBD"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SE 450m</w:t>
            </w:r>
          </w:p>
        </w:tc>
        <w:tc>
          <w:tcPr>
            <w:tcW w:w="1276" w:type="dxa"/>
            <w:vMerge/>
            <w:tcBorders>
              <w:right w:val="single" w:sz="2" w:space="0" w:color="auto"/>
            </w:tcBorders>
            <w:vAlign w:val="center"/>
          </w:tcPr>
          <w:p w14:paraId="636D31A5" w14:textId="77777777" w:rsidR="00B14D53" w:rsidRDefault="00B14D53">
            <w:pPr>
              <w:pStyle w:val="afff2"/>
              <w:spacing w:line="240" w:lineRule="auto"/>
              <w:contextualSpacing/>
              <w:rPr>
                <w:rFonts w:eastAsiaTheme="minorEastAsia" w:hAnsi="Times New Roman"/>
                <w:snapToGrid w:val="0"/>
              </w:rPr>
            </w:pPr>
          </w:p>
        </w:tc>
        <w:tc>
          <w:tcPr>
            <w:tcW w:w="2552" w:type="dxa"/>
            <w:vMerge/>
            <w:tcBorders>
              <w:left w:val="single" w:sz="2" w:space="0" w:color="auto"/>
            </w:tcBorders>
            <w:vAlign w:val="center"/>
          </w:tcPr>
          <w:p w14:paraId="6F166F9D" w14:textId="77777777" w:rsidR="00B14D53" w:rsidRDefault="00B14D53">
            <w:pPr>
              <w:contextualSpacing/>
              <w:jc w:val="center"/>
              <w:rPr>
                <w:rFonts w:eastAsiaTheme="minorEastAsia" w:hAnsiTheme="minorEastAsia" w:hint="eastAsia"/>
                <w:snapToGrid w:val="0"/>
                <w:kern w:val="0"/>
                <w:szCs w:val="21"/>
              </w:rPr>
            </w:pPr>
          </w:p>
        </w:tc>
        <w:tc>
          <w:tcPr>
            <w:tcW w:w="850" w:type="dxa"/>
            <w:vMerge/>
            <w:tcBorders>
              <w:left w:val="single" w:sz="2" w:space="0" w:color="auto"/>
            </w:tcBorders>
            <w:vAlign w:val="center"/>
          </w:tcPr>
          <w:p w14:paraId="4AC4D0B9"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7B881841" w14:textId="77777777" w:rsidR="00B14D53" w:rsidRDefault="00B14D53">
            <w:pPr>
              <w:contextualSpacing/>
              <w:jc w:val="center"/>
              <w:rPr>
                <w:rFonts w:eastAsiaTheme="minorEastAsia"/>
                <w:snapToGrid w:val="0"/>
                <w:kern w:val="0"/>
                <w:szCs w:val="21"/>
              </w:rPr>
            </w:pPr>
          </w:p>
        </w:tc>
      </w:tr>
      <w:tr w:rsidR="00B14D53" w14:paraId="614F2C8A" w14:textId="77777777">
        <w:tc>
          <w:tcPr>
            <w:tcW w:w="1134" w:type="dxa"/>
            <w:vAlign w:val="center"/>
          </w:tcPr>
          <w:p w14:paraId="2FF05D3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五常市山河林业第一中学</w:t>
            </w:r>
          </w:p>
        </w:tc>
        <w:tc>
          <w:tcPr>
            <w:tcW w:w="1134" w:type="dxa"/>
            <w:vAlign w:val="center"/>
          </w:tcPr>
          <w:p w14:paraId="3333ED61"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NE 710m</w:t>
            </w:r>
          </w:p>
        </w:tc>
        <w:tc>
          <w:tcPr>
            <w:tcW w:w="1276" w:type="dxa"/>
            <w:vMerge w:val="restart"/>
            <w:tcBorders>
              <w:right w:val="single" w:sz="2" w:space="0" w:color="auto"/>
            </w:tcBorders>
            <w:vAlign w:val="center"/>
          </w:tcPr>
          <w:p w14:paraId="6A266E23"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hint="eastAsia"/>
                <w:snapToGrid w:val="0"/>
              </w:rPr>
              <w:t>文化区</w:t>
            </w:r>
          </w:p>
        </w:tc>
        <w:tc>
          <w:tcPr>
            <w:tcW w:w="2552" w:type="dxa"/>
            <w:tcBorders>
              <w:left w:val="single" w:sz="2" w:space="0" w:color="auto"/>
            </w:tcBorders>
            <w:vAlign w:val="center"/>
          </w:tcPr>
          <w:p w14:paraId="5F5C34FE"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西至</w:t>
            </w:r>
            <w:r>
              <w:rPr>
                <w:rFonts w:eastAsiaTheme="minorEastAsia" w:hint="eastAsia"/>
                <w:snapToGrid w:val="0"/>
                <w:kern w:val="0"/>
              </w:rPr>
              <w:t>五常市山河林业中心小学</w:t>
            </w:r>
            <w:r>
              <w:rPr>
                <w:rFonts w:eastAsiaTheme="minorEastAsia" w:hint="eastAsia"/>
                <w:snapToGrid w:val="0"/>
                <w:kern w:val="0"/>
                <w:szCs w:val="21"/>
              </w:rPr>
              <w:t>；南、东均至山河镇居民；北至道路</w:t>
            </w:r>
          </w:p>
        </w:tc>
        <w:tc>
          <w:tcPr>
            <w:tcW w:w="850" w:type="dxa"/>
            <w:vMerge w:val="restart"/>
            <w:tcBorders>
              <w:left w:val="single" w:sz="2" w:space="0" w:color="auto"/>
            </w:tcBorders>
            <w:vAlign w:val="center"/>
          </w:tcPr>
          <w:p w14:paraId="6F69CCE9"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师生</w:t>
            </w:r>
          </w:p>
        </w:tc>
        <w:tc>
          <w:tcPr>
            <w:tcW w:w="1576" w:type="dxa"/>
            <w:vMerge/>
            <w:tcBorders>
              <w:left w:val="single" w:sz="2" w:space="0" w:color="auto"/>
            </w:tcBorders>
            <w:vAlign w:val="center"/>
          </w:tcPr>
          <w:p w14:paraId="48E70247" w14:textId="77777777" w:rsidR="00B14D53" w:rsidRDefault="00B14D53">
            <w:pPr>
              <w:contextualSpacing/>
              <w:jc w:val="center"/>
              <w:rPr>
                <w:rFonts w:eastAsiaTheme="minorEastAsia"/>
                <w:snapToGrid w:val="0"/>
                <w:kern w:val="0"/>
                <w:szCs w:val="21"/>
              </w:rPr>
            </w:pPr>
          </w:p>
        </w:tc>
      </w:tr>
      <w:tr w:rsidR="00B14D53" w14:paraId="258AC314" w14:textId="77777777">
        <w:tc>
          <w:tcPr>
            <w:tcW w:w="1134" w:type="dxa"/>
            <w:vAlign w:val="center"/>
          </w:tcPr>
          <w:p w14:paraId="356CA6A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五常市山河林业中心小学</w:t>
            </w:r>
          </w:p>
        </w:tc>
        <w:tc>
          <w:tcPr>
            <w:tcW w:w="1134" w:type="dxa"/>
            <w:vAlign w:val="center"/>
          </w:tcPr>
          <w:p w14:paraId="24429D41"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NE 610m</w:t>
            </w:r>
          </w:p>
        </w:tc>
        <w:tc>
          <w:tcPr>
            <w:tcW w:w="1276" w:type="dxa"/>
            <w:vMerge/>
            <w:tcBorders>
              <w:right w:val="single" w:sz="2" w:space="0" w:color="auto"/>
            </w:tcBorders>
            <w:vAlign w:val="center"/>
          </w:tcPr>
          <w:p w14:paraId="2A9783C2"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11A66559"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东至</w:t>
            </w:r>
            <w:r>
              <w:rPr>
                <w:rFonts w:eastAsiaTheme="minorEastAsia" w:hint="eastAsia"/>
                <w:snapToGrid w:val="0"/>
                <w:kern w:val="0"/>
              </w:rPr>
              <w:t>五常市山河林业中心小学</w:t>
            </w:r>
            <w:r>
              <w:rPr>
                <w:rFonts w:eastAsiaTheme="minorEastAsia" w:hint="eastAsia"/>
                <w:snapToGrid w:val="0"/>
                <w:kern w:val="0"/>
                <w:szCs w:val="21"/>
              </w:rPr>
              <w:t>；南、东均至山河镇居民；北至道路</w:t>
            </w:r>
          </w:p>
        </w:tc>
        <w:tc>
          <w:tcPr>
            <w:tcW w:w="850" w:type="dxa"/>
            <w:vMerge/>
            <w:tcBorders>
              <w:left w:val="single" w:sz="2" w:space="0" w:color="auto"/>
            </w:tcBorders>
            <w:vAlign w:val="center"/>
          </w:tcPr>
          <w:p w14:paraId="378ABFD4"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60EE0034" w14:textId="77777777" w:rsidR="00B14D53" w:rsidRDefault="00B14D53">
            <w:pPr>
              <w:contextualSpacing/>
              <w:jc w:val="center"/>
              <w:rPr>
                <w:rFonts w:eastAsiaTheme="minorEastAsia"/>
                <w:snapToGrid w:val="0"/>
                <w:kern w:val="0"/>
                <w:szCs w:val="21"/>
              </w:rPr>
            </w:pPr>
          </w:p>
        </w:tc>
      </w:tr>
      <w:tr w:rsidR="00B14D53" w14:paraId="4771F7C1" w14:textId="77777777">
        <w:tc>
          <w:tcPr>
            <w:tcW w:w="1134" w:type="dxa"/>
            <w:vAlign w:val="center"/>
          </w:tcPr>
          <w:p w14:paraId="576A973A"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刘家窑屯</w:t>
            </w:r>
          </w:p>
        </w:tc>
        <w:tc>
          <w:tcPr>
            <w:tcW w:w="1134" w:type="dxa"/>
            <w:vAlign w:val="center"/>
          </w:tcPr>
          <w:p w14:paraId="2F38786B"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NE 2470m</w:t>
            </w:r>
          </w:p>
        </w:tc>
        <w:tc>
          <w:tcPr>
            <w:tcW w:w="1276" w:type="dxa"/>
            <w:vMerge w:val="restart"/>
            <w:tcBorders>
              <w:right w:val="single" w:sz="2" w:space="0" w:color="auto"/>
            </w:tcBorders>
            <w:vAlign w:val="center"/>
          </w:tcPr>
          <w:p w14:paraId="24706D60" w14:textId="77777777" w:rsidR="00B14D53" w:rsidRDefault="00000000">
            <w:pPr>
              <w:pStyle w:val="afff2"/>
              <w:spacing w:line="240" w:lineRule="auto"/>
              <w:contextualSpacing/>
              <w:rPr>
                <w:rFonts w:eastAsiaTheme="minorEastAsia" w:hAnsi="Times New Roman"/>
                <w:snapToGrid w:val="0"/>
              </w:rPr>
            </w:pPr>
            <w:r>
              <w:rPr>
                <w:rFonts w:eastAsiaTheme="minorEastAsia" w:hAnsi="Times New Roman" w:hint="eastAsia"/>
                <w:snapToGrid w:val="0"/>
              </w:rPr>
              <w:t>农村</w:t>
            </w:r>
          </w:p>
        </w:tc>
        <w:tc>
          <w:tcPr>
            <w:tcW w:w="2552" w:type="dxa"/>
            <w:tcBorders>
              <w:left w:val="single" w:sz="2" w:space="0" w:color="auto"/>
            </w:tcBorders>
            <w:vAlign w:val="center"/>
          </w:tcPr>
          <w:p w14:paraId="0820C0D0"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val="restart"/>
            <w:tcBorders>
              <w:left w:val="single" w:sz="2" w:space="0" w:color="auto"/>
            </w:tcBorders>
            <w:vAlign w:val="center"/>
          </w:tcPr>
          <w:p w14:paraId="6B91A33B"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居民</w:t>
            </w:r>
          </w:p>
        </w:tc>
        <w:tc>
          <w:tcPr>
            <w:tcW w:w="1576" w:type="dxa"/>
            <w:vMerge/>
            <w:tcBorders>
              <w:left w:val="single" w:sz="2" w:space="0" w:color="auto"/>
            </w:tcBorders>
            <w:vAlign w:val="center"/>
          </w:tcPr>
          <w:p w14:paraId="4D300D10" w14:textId="77777777" w:rsidR="00B14D53" w:rsidRDefault="00B14D53">
            <w:pPr>
              <w:contextualSpacing/>
              <w:jc w:val="center"/>
              <w:rPr>
                <w:rFonts w:eastAsiaTheme="minorEastAsia"/>
                <w:snapToGrid w:val="0"/>
                <w:kern w:val="0"/>
                <w:szCs w:val="21"/>
              </w:rPr>
            </w:pPr>
          </w:p>
        </w:tc>
      </w:tr>
      <w:tr w:rsidR="00B14D53" w14:paraId="7669D865" w14:textId="77777777">
        <w:tc>
          <w:tcPr>
            <w:tcW w:w="1134" w:type="dxa"/>
            <w:vAlign w:val="center"/>
          </w:tcPr>
          <w:p w14:paraId="7A3A71E3"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东铁村</w:t>
            </w:r>
          </w:p>
        </w:tc>
        <w:tc>
          <w:tcPr>
            <w:tcW w:w="1134" w:type="dxa"/>
            <w:vAlign w:val="center"/>
          </w:tcPr>
          <w:p w14:paraId="2F301C4F"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NE 2400m</w:t>
            </w:r>
          </w:p>
        </w:tc>
        <w:tc>
          <w:tcPr>
            <w:tcW w:w="1276" w:type="dxa"/>
            <w:vMerge/>
            <w:tcBorders>
              <w:right w:val="single" w:sz="2" w:space="0" w:color="auto"/>
            </w:tcBorders>
            <w:vAlign w:val="center"/>
          </w:tcPr>
          <w:p w14:paraId="63BACC80"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1044477C"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267712A0"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41124EE7" w14:textId="77777777" w:rsidR="00B14D53" w:rsidRDefault="00B14D53">
            <w:pPr>
              <w:contextualSpacing/>
              <w:jc w:val="center"/>
              <w:rPr>
                <w:rFonts w:eastAsiaTheme="minorEastAsia"/>
                <w:snapToGrid w:val="0"/>
                <w:kern w:val="0"/>
                <w:szCs w:val="21"/>
              </w:rPr>
            </w:pPr>
          </w:p>
        </w:tc>
      </w:tr>
      <w:tr w:rsidR="00B14D53" w14:paraId="4CCED77A" w14:textId="77777777">
        <w:tc>
          <w:tcPr>
            <w:tcW w:w="1134" w:type="dxa"/>
            <w:vAlign w:val="center"/>
          </w:tcPr>
          <w:p w14:paraId="559F8AC8"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三门李家</w:t>
            </w:r>
          </w:p>
        </w:tc>
        <w:tc>
          <w:tcPr>
            <w:tcW w:w="1134" w:type="dxa"/>
            <w:vAlign w:val="center"/>
          </w:tcPr>
          <w:p w14:paraId="649C10AB" w14:textId="77777777" w:rsidR="00B14D53" w:rsidRDefault="00000000">
            <w:pPr>
              <w:pStyle w:val="afff2"/>
              <w:spacing w:line="240" w:lineRule="auto"/>
              <w:rPr>
                <w:rFonts w:eastAsiaTheme="minorEastAsia" w:hAnsi="Times New Roman"/>
              </w:rPr>
            </w:pPr>
            <w:r>
              <w:rPr>
                <w:rFonts w:eastAsiaTheme="minorEastAsia" w:hAnsi="Times New Roman" w:hint="eastAsia"/>
                <w:snapToGrid w:val="0"/>
              </w:rPr>
              <w:t>N 2110m</w:t>
            </w:r>
          </w:p>
        </w:tc>
        <w:tc>
          <w:tcPr>
            <w:tcW w:w="1276" w:type="dxa"/>
            <w:vMerge/>
            <w:tcBorders>
              <w:right w:val="single" w:sz="2" w:space="0" w:color="auto"/>
            </w:tcBorders>
            <w:vAlign w:val="center"/>
          </w:tcPr>
          <w:p w14:paraId="52384D2E" w14:textId="77777777" w:rsidR="00B14D53" w:rsidRDefault="00B14D53">
            <w:pPr>
              <w:pStyle w:val="afff2"/>
              <w:spacing w:line="240" w:lineRule="auto"/>
              <w:contextualSpacing/>
              <w:rPr>
                <w:rFonts w:eastAsiaTheme="minorEastAsia" w:hAnsi="Times New Roman"/>
                <w:snapToGrid w:val="0"/>
              </w:rPr>
            </w:pPr>
          </w:p>
        </w:tc>
        <w:tc>
          <w:tcPr>
            <w:tcW w:w="2552" w:type="dxa"/>
            <w:tcBorders>
              <w:left w:val="single" w:sz="2" w:space="0" w:color="auto"/>
            </w:tcBorders>
            <w:vAlign w:val="center"/>
          </w:tcPr>
          <w:p w14:paraId="54F5CE7A" w14:textId="77777777" w:rsidR="00B14D53" w:rsidRDefault="00000000">
            <w:pPr>
              <w:contextualSpacing/>
              <w:jc w:val="center"/>
              <w:rPr>
                <w:rFonts w:eastAsiaTheme="minorEastAsia" w:hAnsiTheme="minorEastAsia" w:hint="eastAsia"/>
                <w:snapToGrid w:val="0"/>
                <w:kern w:val="0"/>
                <w:szCs w:val="21"/>
              </w:rPr>
            </w:pPr>
            <w:r>
              <w:rPr>
                <w:rFonts w:eastAsiaTheme="minorEastAsia" w:hint="eastAsia"/>
                <w:snapToGrid w:val="0"/>
                <w:kern w:val="0"/>
                <w:szCs w:val="21"/>
              </w:rPr>
              <w:t>周边四至均农田</w:t>
            </w:r>
          </w:p>
        </w:tc>
        <w:tc>
          <w:tcPr>
            <w:tcW w:w="850" w:type="dxa"/>
            <w:vMerge/>
            <w:tcBorders>
              <w:left w:val="single" w:sz="2" w:space="0" w:color="auto"/>
            </w:tcBorders>
            <w:vAlign w:val="center"/>
          </w:tcPr>
          <w:p w14:paraId="74FF0651"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76A2561F" w14:textId="77777777" w:rsidR="00B14D53" w:rsidRDefault="00B14D53">
            <w:pPr>
              <w:contextualSpacing/>
              <w:jc w:val="center"/>
              <w:rPr>
                <w:rFonts w:eastAsiaTheme="minorEastAsia"/>
                <w:snapToGrid w:val="0"/>
                <w:kern w:val="0"/>
                <w:szCs w:val="21"/>
              </w:rPr>
            </w:pPr>
          </w:p>
        </w:tc>
      </w:tr>
      <w:tr w:rsidR="00B14D53" w14:paraId="0F5F82F4" w14:textId="77777777">
        <w:tc>
          <w:tcPr>
            <w:tcW w:w="1134" w:type="dxa"/>
            <w:vMerge w:val="restart"/>
            <w:vAlign w:val="center"/>
          </w:tcPr>
          <w:p w14:paraId="362D32AC"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农田、林地、草地</w:t>
            </w:r>
          </w:p>
        </w:tc>
        <w:tc>
          <w:tcPr>
            <w:tcW w:w="1134" w:type="dxa"/>
            <w:vAlign w:val="center"/>
          </w:tcPr>
          <w:p w14:paraId="7EFDB1AB"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 xml:space="preserve">S </w:t>
            </w:r>
            <w:r>
              <w:rPr>
                <w:rFonts w:eastAsiaTheme="minorEastAsia" w:hAnsi="Times New Roman" w:hint="eastAsia"/>
              </w:rPr>
              <w:t>紧邻</w:t>
            </w:r>
          </w:p>
        </w:tc>
        <w:tc>
          <w:tcPr>
            <w:tcW w:w="3828" w:type="dxa"/>
            <w:gridSpan w:val="2"/>
            <w:vMerge w:val="restart"/>
            <w:vAlign w:val="center"/>
          </w:tcPr>
          <w:p w14:paraId="6595EE5F" w14:textId="77777777" w:rsidR="00B14D53" w:rsidRDefault="00000000">
            <w:pPr>
              <w:contextualSpacing/>
              <w:jc w:val="center"/>
              <w:rPr>
                <w:rFonts w:eastAsiaTheme="minorEastAsia" w:hAnsiTheme="minorEastAsia" w:hint="eastAsia"/>
                <w:snapToGrid w:val="0"/>
                <w:kern w:val="0"/>
                <w:szCs w:val="21"/>
              </w:rPr>
            </w:pPr>
            <w:r>
              <w:rPr>
                <w:rFonts w:eastAsiaTheme="minorEastAsia" w:hAnsiTheme="minorEastAsia" w:hint="eastAsia"/>
                <w:snapToGrid w:val="0"/>
                <w:kern w:val="0"/>
                <w:szCs w:val="21"/>
              </w:rPr>
              <w:t>厂外</w:t>
            </w:r>
            <w:r>
              <w:rPr>
                <w:rFonts w:eastAsiaTheme="minorEastAsia" w:hAnsiTheme="minorEastAsia" w:hint="eastAsia"/>
                <w:snapToGrid w:val="0"/>
                <w:kern w:val="0"/>
                <w:szCs w:val="21"/>
              </w:rPr>
              <w:t>200m</w:t>
            </w:r>
            <w:r>
              <w:rPr>
                <w:rFonts w:eastAsiaTheme="minorEastAsia" w:hAnsiTheme="minorEastAsia" w:hint="eastAsia"/>
                <w:snapToGrid w:val="0"/>
                <w:kern w:val="0"/>
                <w:szCs w:val="21"/>
              </w:rPr>
              <w:t>范围内</w:t>
            </w:r>
          </w:p>
        </w:tc>
        <w:tc>
          <w:tcPr>
            <w:tcW w:w="850" w:type="dxa"/>
            <w:vMerge w:val="restart"/>
            <w:vAlign w:val="center"/>
          </w:tcPr>
          <w:p w14:paraId="43E69917"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生态系统</w:t>
            </w:r>
          </w:p>
        </w:tc>
        <w:tc>
          <w:tcPr>
            <w:tcW w:w="1576" w:type="dxa"/>
            <w:vMerge w:val="restart"/>
            <w:tcBorders>
              <w:left w:val="single" w:sz="2" w:space="0" w:color="auto"/>
            </w:tcBorders>
            <w:vAlign w:val="center"/>
          </w:tcPr>
          <w:p w14:paraId="008BD463"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w:t>
            </w:r>
          </w:p>
        </w:tc>
      </w:tr>
      <w:tr w:rsidR="00B14D53" w14:paraId="4286DDE6" w14:textId="77777777">
        <w:tc>
          <w:tcPr>
            <w:tcW w:w="1134" w:type="dxa"/>
            <w:vMerge/>
            <w:vAlign w:val="center"/>
          </w:tcPr>
          <w:p w14:paraId="5E2F8BD4" w14:textId="77777777" w:rsidR="00B14D53" w:rsidRDefault="00B14D53">
            <w:pPr>
              <w:pStyle w:val="afff2"/>
              <w:spacing w:line="240" w:lineRule="auto"/>
              <w:rPr>
                <w:rFonts w:eastAsiaTheme="minorEastAsia" w:hAnsi="Times New Roman"/>
                <w:snapToGrid w:val="0"/>
              </w:rPr>
            </w:pPr>
          </w:p>
        </w:tc>
        <w:tc>
          <w:tcPr>
            <w:tcW w:w="1134" w:type="dxa"/>
            <w:vAlign w:val="center"/>
          </w:tcPr>
          <w:p w14:paraId="61142A67"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 xml:space="preserve">E </w:t>
            </w:r>
            <w:r>
              <w:rPr>
                <w:rFonts w:eastAsiaTheme="minorEastAsia" w:hAnsi="Times New Roman" w:hint="eastAsia"/>
              </w:rPr>
              <w:t>紧邻</w:t>
            </w:r>
          </w:p>
        </w:tc>
        <w:tc>
          <w:tcPr>
            <w:tcW w:w="3828" w:type="dxa"/>
            <w:gridSpan w:val="2"/>
            <w:vMerge/>
            <w:vAlign w:val="center"/>
          </w:tcPr>
          <w:p w14:paraId="5DABA69B" w14:textId="77777777" w:rsidR="00B14D53" w:rsidRDefault="00B14D53">
            <w:pPr>
              <w:contextualSpacing/>
              <w:jc w:val="center"/>
              <w:rPr>
                <w:rFonts w:eastAsiaTheme="minorEastAsia" w:hAnsiTheme="minorEastAsia" w:hint="eastAsia"/>
                <w:snapToGrid w:val="0"/>
                <w:kern w:val="0"/>
                <w:szCs w:val="21"/>
              </w:rPr>
            </w:pPr>
          </w:p>
        </w:tc>
        <w:tc>
          <w:tcPr>
            <w:tcW w:w="850" w:type="dxa"/>
            <w:vMerge/>
            <w:vAlign w:val="center"/>
          </w:tcPr>
          <w:p w14:paraId="1D236572"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71F797C9" w14:textId="77777777" w:rsidR="00B14D53" w:rsidRDefault="00B14D53">
            <w:pPr>
              <w:contextualSpacing/>
              <w:jc w:val="center"/>
              <w:rPr>
                <w:rFonts w:eastAsiaTheme="minorEastAsia"/>
                <w:snapToGrid w:val="0"/>
                <w:kern w:val="0"/>
                <w:szCs w:val="21"/>
              </w:rPr>
            </w:pPr>
          </w:p>
        </w:tc>
      </w:tr>
      <w:tr w:rsidR="00B14D53" w14:paraId="4DAF5055" w14:textId="77777777">
        <w:tc>
          <w:tcPr>
            <w:tcW w:w="1134" w:type="dxa"/>
            <w:vMerge/>
            <w:vAlign w:val="center"/>
          </w:tcPr>
          <w:p w14:paraId="4AFB9F57" w14:textId="77777777" w:rsidR="00B14D53" w:rsidRDefault="00B14D53">
            <w:pPr>
              <w:pStyle w:val="afff2"/>
              <w:spacing w:line="240" w:lineRule="auto"/>
              <w:rPr>
                <w:rFonts w:eastAsiaTheme="minorEastAsia" w:hAnsi="Times New Roman"/>
                <w:snapToGrid w:val="0"/>
              </w:rPr>
            </w:pPr>
          </w:p>
        </w:tc>
        <w:tc>
          <w:tcPr>
            <w:tcW w:w="1134" w:type="dxa"/>
            <w:vAlign w:val="center"/>
          </w:tcPr>
          <w:p w14:paraId="321C9DD4"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SW 10m</w:t>
            </w:r>
          </w:p>
        </w:tc>
        <w:tc>
          <w:tcPr>
            <w:tcW w:w="3828" w:type="dxa"/>
            <w:gridSpan w:val="2"/>
            <w:vMerge/>
            <w:vAlign w:val="center"/>
          </w:tcPr>
          <w:p w14:paraId="0EDFA3F6" w14:textId="77777777" w:rsidR="00B14D53" w:rsidRDefault="00B14D53">
            <w:pPr>
              <w:contextualSpacing/>
              <w:jc w:val="center"/>
              <w:rPr>
                <w:rFonts w:eastAsiaTheme="minorEastAsia" w:hAnsiTheme="minorEastAsia" w:hint="eastAsia"/>
                <w:snapToGrid w:val="0"/>
                <w:kern w:val="0"/>
                <w:szCs w:val="21"/>
              </w:rPr>
            </w:pPr>
          </w:p>
        </w:tc>
        <w:tc>
          <w:tcPr>
            <w:tcW w:w="850" w:type="dxa"/>
            <w:vMerge/>
            <w:vAlign w:val="center"/>
          </w:tcPr>
          <w:p w14:paraId="34A1D4F5" w14:textId="77777777" w:rsidR="00B14D53" w:rsidRDefault="00B14D53">
            <w:pPr>
              <w:jc w:val="center"/>
              <w:rPr>
                <w:rFonts w:eastAsiaTheme="minorEastAsia"/>
                <w:snapToGrid w:val="0"/>
                <w:kern w:val="0"/>
                <w:szCs w:val="21"/>
              </w:rPr>
            </w:pPr>
          </w:p>
        </w:tc>
        <w:tc>
          <w:tcPr>
            <w:tcW w:w="1576" w:type="dxa"/>
            <w:vMerge/>
            <w:tcBorders>
              <w:left w:val="single" w:sz="2" w:space="0" w:color="auto"/>
            </w:tcBorders>
            <w:vAlign w:val="center"/>
          </w:tcPr>
          <w:p w14:paraId="3F738482" w14:textId="77777777" w:rsidR="00B14D53" w:rsidRDefault="00B14D53">
            <w:pPr>
              <w:jc w:val="center"/>
              <w:rPr>
                <w:rFonts w:eastAsiaTheme="minorEastAsia"/>
                <w:snapToGrid w:val="0"/>
                <w:kern w:val="0"/>
                <w:szCs w:val="21"/>
              </w:rPr>
            </w:pPr>
          </w:p>
        </w:tc>
      </w:tr>
      <w:tr w:rsidR="00B14D53" w14:paraId="5200C9E3" w14:textId="77777777">
        <w:tc>
          <w:tcPr>
            <w:tcW w:w="1134" w:type="dxa"/>
            <w:vMerge/>
            <w:vAlign w:val="center"/>
          </w:tcPr>
          <w:p w14:paraId="59A9B64D" w14:textId="77777777" w:rsidR="00B14D53" w:rsidRDefault="00B14D53">
            <w:pPr>
              <w:pStyle w:val="afff2"/>
              <w:spacing w:line="240" w:lineRule="auto"/>
              <w:rPr>
                <w:rFonts w:eastAsiaTheme="minorEastAsia" w:hAnsi="Times New Roman"/>
                <w:snapToGrid w:val="0"/>
              </w:rPr>
            </w:pPr>
          </w:p>
        </w:tc>
        <w:tc>
          <w:tcPr>
            <w:tcW w:w="1134" w:type="dxa"/>
            <w:vAlign w:val="center"/>
          </w:tcPr>
          <w:p w14:paraId="5EC3979D"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NW 5m</w:t>
            </w:r>
          </w:p>
        </w:tc>
        <w:tc>
          <w:tcPr>
            <w:tcW w:w="3828" w:type="dxa"/>
            <w:gridSpan w:val="2"/>
            <w:vMerge/>
            <w:vAlign w:val="center"/>
          </w:tcPr>
          <w:p w14:paraId="109C549B" w14:textId="77777777" w:rsidR="00B14D53" w:rsidRDefault="00B14D53">
            <w:pPr>
              <w:contextualSpacing/>
              <w:jc w:val="center"/>
              <w:rPr>
                <w:rFonts w:eastAsiaTheme="minorEastAsia" w:hAnsiTheme="minorEastAsia" w:hint="eastAsia"/>
                <w:snapToGrid w:val="0"/>
                <w:kern w:val="0"/>
                <w:szCs w:val="21"/>
              </w:rPr>
            </w:pPr>
          </w:p>
        </w:tc>
        <w:tc>
          <w:tcPr>
            <w:tcW w:w="850" w:type="dxa"/>
            <w:vMerge/>
            <w:vAlign w:val="center"/>
          </w:tcPr>
          <w:p w14:paraId="5866675E" w14:textId="77777777" w:rsidR="00B14D53" w:rsidRDefault="00B14D53">
            <w:pPr>
              <w:jc w:val="center"/>
              <w:rPr>
                <w:rFonts w:eastAsiaTheme="minorEastAsia"/>
                <w:snapToGrid w:val="0"/>
                <w:kern w:val="0"/>
                <w:szCs w:val="21"/>
              </w:rPr>
            </w:pPr>
          </w:p>
        </w:tc>
        <w:tc>
          <w:tcPr>
            <w:tcW w:w="1576" w:type="dxa"/>
            <w:vMerge/>
            <w:tcBorders>
              <w:left w:val="single" w:sz="2" w:space="0" w:color="auto"/>
            </w:tcBorders>
            <w:vAlign w:val="center"/>
          </w:tcPr>
          <w:p w14:paraId="6B986FAA" w14:textId="77777777" w:rsidR="00B14D53" w:rsidRDefault="00B14D53">
            <w:pPr>
              <w:jc w:val="center"/>
              <w:rPr>
                <w:rFonts w:eastAsiaTheme="minorEastAsia"/>
                <w:snapToGrid w:val="0"/>
                <w:kern w:val="0"/>
                <w:szCs w:val="21"/>
              </w:rPr>
            </w:pPr>
          </w:p>
        </w:tc>
      </w:tr>
      <w:tr w:rsidR="00B14D53" w14:paraId="7127A82E" w14:textId="77777777">
        <w:tc>
          <w:tcPr>
            <w:tcW w:w="1134" w:type="dxa"/>
            <w:vMerge/>
            <w:vAlign w:val="center"/>
          </w:tcPr>
          <w:p w14:paraId="034DF07F" w14:textId="77777777" w:rsidR="00B14D53" w:rsidRDefault="00B14D53">
            <w:pPr>
              <w:pStyle w:val="afff2"/>
              <w:spacing w:line="240" w:lineRule="auto"/>
              <w:rPr>
                <w:rFonts w:eastAsiaTheme="minorEastAsia" w:hAnsi="Times New Roman"/>
                <w:snapToGrid w:val="0"/>
              </w:rPr>
            </w:pPr>
          </w:p>
        </w:tc>
        <w:tc>
          <w:tcPr>
            <w:tcW w:w="1134" w:type="dxa"/>
            <w:vAlign w:val="center"/>
          </w:tcPr>
          <w:p w14:paraId="600FE23F"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N 5m</w:t>
            </w:r>
          </w:p>
        </w:tc>
        <w:tc>
          <w:tcPr>
            <w:tcW w:w="3828" w:type="dxa"/>
            <w:gridSpan w:val="2"/>
            <w:vMerge/>
            <w:vAlign w:val="center"/>
          </w:tcPr>
          <w:p w14:paraId="5C6767E0" w14:textId="77777777" w:rsidR="00B14D53" w:rsidRDefault="00B14D53">
            <w:pPr>
              <w:contextualSpacing/>
              <w:jc w:val="center"/>
              <w:rPr>
                <w:rFonts w:eastAsiaTheme="minorEastAsia" w:hAnsiTheme="minorEastAsia" w:hint="eastAsia"/>
                <w:snapToGrid w:val="0"/>
                <w:kern w:val="0"/>
                <w:szCs w:val="21"/>
              </w:rPr>
            </w:pPr>
          </w:p>
        </w:tc>
        <w:tc>
          <w:tcPr>
            <w:tcW w:w="850" w:type="dxa"/>
            <w:vMerge/>
            <w:vAlign w:val="center"/>
          </w:tcPr>
          <w:p w14:paraId="0608D6D1" w14:textId="77777777" w:rsidR="00B14D53" w:rsidRDefault="00B14D53">
            <w:pPr>
              <w:jc w:val="center"/>
              <w:rPr>
                <w:rFonts w:eastAsiaTheme="minorEastAsia"/>
                <w:snapToGrid w:val="0"/>
                <w:kern w:val="0"/>
                <w:szCs w:val="21"/>
              </w:rPr>
            </w:pPr>
          </w:p>
        </w:tc>
        <w:tc>
          <w:tcPr>
            <w:tcW w:w="1576" w:type="dxa"/>
            <w:vMerge/>
            <w:tcBorders>
              <w:left w:val="single" w:sz="2" w:space="0" w:color="auto"/>
            </w:tcBorders>
            <w:vAlign w:val="center"/>
          </w:tcPr>
          <w:p w14:paraId="1C25CC9F" w14:textId="77777777" w:rsidR="00B14D53" w:rsidRDefault="00B14D53">
            <w:pPr>
              <w:jc w:val="center"/>
              <w:rPr>
                <w:rFonts w:eastAsiaTheme="minorEastAsia"/>
                <w:snapToGrid w:val="0"/>
                <w:kern w:val="0"/>
                <w:szCs w:val="21"/>
              </w:rPr>
            </w:pPr>
          </w:p>
        </w:tc>
      </w:tr>
    </w:tbl>
    <w:p w14:paraId="196BE44D" w14:textId="77777777" w:rsidR="00B14D53" w:rsidRDefault="00B14D53">
      <w:pPr>
        <w:jc w:val="center"/>
        <w:rPr>
          <w:b/>
          <w:bCs/>
        </w:rPr>
      </w:pPr>
    </w:p>
    <w:p w14:paraId="5B220D8D" w14:textId="77777777" w:rsidR="00B14D53" w:rsidRDefault="00000000">
      <w:pPr>
        <w:jc w:val="center"/>
        <w:rPr>
          <w:b/>
          <w:bCs/>
        </w:rPr>
      </w:pPr>
      <w:r>
        <w:rPr>
          <w:rFonts w:hint="eastAsia"/>
          <w:b/>
          <w:bCs/>
        </w:rPr>
        <w:t>续表</w:t>
      </w:r>
      <w:r>
        <w:rPr>
          <w:rFonts w:hint="eastAsia"/>
          <w:b/>
          <w:bCs/>
        </w:rPr>
        <w:t xml:space="preserve">4-4-1 </w:t>
      </w:r>
      <w:r>
        <w:rPr>
          <w:rFonts w:hint="eastAsia"/>
          <w:b/>
          <w:bCs/>
        </w:rPr>
        <w:t>环境保护目标调查表</w:t>
      </w:r>
    </w:p>
    <w:tbl>
      <w:tblPr>
        <w:tblStyle w:val="aff8"/>
        <w:tblW w:w="8522" w:type="dxa"/>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1134"/>
        <w:gridCol w:w="1134"/>
        <w:gridCol w:w="1323"/>
        <w:gridCol w:w="2505"/>
        <w:gridCol w:w="850"/>
        <w:gridCol w:w="1576"/>
      </w:tblGrid>
      <w:tr w:rsidR="00B14D53" w14:paraId="084D1844" w14:textId="77777777">
        <w:trPr>
          <w:trHeight w:val="168"/>
        </w:trPr>
        <w:tc>
          <w:tcPr>
            <w:tcW w:w="1134" w:type="dxa"/>
            <w:tcBorders>
              <w:bottom w:val="single" w:sz="4" w:space="0" w:color="auto"/>
            </w:tcBorders>
            <w:vAlign w:val="center"/>
          </w:tcPr>
          <w:p w14:paraId="446EC12D"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区域地下水</w:t>
            </w:r>
          </w:p>
        </w:tc>
        <w:tc>
          <w:tcPr>
            <w:tcW w:w="1134" w:type="dxa"/>
            <w:tcBorders>
              <w:bottom w:val="single" w:sz="4" w:space="0" w:color="auto"/>
            </w:tcBorders>
            <w:vAlign w:val="center"/>
          </w:tcPr>
          <w:p w14:paraId="67F5A4DA" w14:textId="77777777" w:rsidR="00B14D53" w:rsidRDefault="00000000">
            <w:pPr>
              <w:pStyle w:val="afff2"/>
              <w:spacing w:line="240" w:lineRule="auto"/>
              <w:contextualSpacing/>
              <w:rPr>
                <w:rFonts w:eastAsiaTheme="minorEastAsia" w:hAnsi="Times New Roman"/>
              </w:rPr>
            </w:pPr>
            <w:r>
              <w:rPr>
                <w:rFonts w:eastAsiaTheme="minorEastAsia" w:hAnsi="Times New Roman" w:hint="eastAsia"/>
              </w:rPr>
              <w:t>/</w:t>
            </w:r>
          </w:p>
        </w:tc>
        <w:tc>
          <w:tcPr>
            <w:tcW w:w="1323" w:type="dxa"/>
            <w:tcBorders>
              <w:bottom w:val="single" w:sz="4" w:space="0" w:color="auto"/>
              <w:right w:val="single" w:sz="4" w:space="0" w:color="auto"/>
            </w:tcBorders>
            <w:vAlign w:val="center"/>
          </w:tcPr>
          <w:p w14:paraId="55C2204D" w14:textId="77777777" w:rsidR="00B14D53" w:rsidRDefault="00000000">
            <w:pPr>
              <w:contextualSpacing/>
              <w:jc w:val="center"/>
              <w:rPr>
                <w:rFonts w:eastAsiaTheme="minorEastAsia" w:hAnsiTheme="minorEastAsia" w:hint="eastAsia"/>
                <w:snapToGrid w:val="0"/>
                <w:kern w:val="0"/>
                <w:szCs w:val="21"/>
              </w:rPr>
            </w:pPr>
            <w:r>
              <w:rPr>
                <w:rFonts w:eastAsiaTheme="minorEastAsia" w:hAnsiTheme="minorEastAsia" w:hint="eastAsia"/>
                <w:snapToGrid w:val="0"/>
                <w:kern w:val="0"/>
                <w:szCs w:val="21"/>
              </w:rPr>
              <w:t>饮用水</w:t>
            </w:r>
          </w:p>
        </w:tc>
        <w:tc>
          <w:tcPr>
            <w:tcW w:w="2505" w:type="dxa"/>
            <w:tcBorders>
              <w:left w:val="single" w:sz="4" w:space="0" w:color="auto"/>
              <w:bottom w:val="single" w:sz="4" w:space="0" w:color="auto"/>
            </w:tcBorders>
            <w:vAlign w:val="center"/>
          </w:tcPr>
          <w:p w14:paraId="135E1366" w14:textId="77777777" w:rsidR="00B14D53" w:rsidRDefault="00000000">
            <w:pPr>
              <w:contextualSpacing/>
              <w:jc w:val="center"/>
              <w:rPr>
                <w:rFonts w:eastAsiaTheme="minorEastAsia" w:hAnsiTheme="minorEastAsia" w:hint="eastAsia"/>
                <w:snapToGrid w:val="0"/>
                <w:kern w:val="0"/>
                <w:szCs w:val="21"/>
              </w:rPr>
            </w:pPr>
            <w:r>
              <w:rPr>
                <w:rFonts w:eastAsiaTheme="minorEastAsia" w:hAnsiTheme="minorEastAsia" w:hint="eastAsia"/>
                <w:snapToGrid w:val="0"/>
                <w:kern w:val="0"/>
                <w:szCs w:val="21"/>
              </w:rPr>
              <w:t>/</w:t>
            </w:r>
          </w:p>
        </w:tc>
        <w:tc>
          <w:tcPr>
            <w:tcW w:w="850" w:type="dxa"/>
            <w:vMerge w:val="restart"/>
            <w:vAlign w:val="center"/>
          </w:tcPr>
          <w:p w14:paraId="1B1AF956" w14:textId="77777777" w:rsidR="00B14D53" w:rsidRDefault="00000000">
            <w:pPr>
              <w:contextualSpacing/>
              <w:jc w:val="center"/>
              <w:rPr>
                <w:rFonts w:eastAsiaTheme="minorEastAsia"/>
                <w:snapToGrid w:val="0"/>
                <w:kern w:val="0"/>
                <w:szCs w:val="21"/>
              </w:rPr>
            </w:pPr>
            <w:r>
              <w:rPr>
                <w:rFonts w:eastAsiaTheme="minorEastAsia" w:hint="eastAsia"/>
                <w:snapToGrid w:val="0"/>
                <w:kern w:val="0"/>
                <w:szCs w:val="21"/>
              </w:rPr>
              <w:t>地下水</w:t>
            </w:r>
          </w:p>
        </w:tc>
        <w:tc>
          <w:tcPr>
            <w:tcW w:w="1576" w:type="dxa"/>
            <w:vMerge w:val="restart"/>
            <w:tcBorders>
              <w:left w:val="single" w:sz="2" w:space="0" w:color="auto"/>
            </w:tcBorders>
            <w:vAlign w:val="center"/>
          </w:tcPr>
          <w:p w14:paraId="74DC2471" w14:textId="77777777" w:rsidR="00B14D53" w:rsidRDefault="00000000">
            <w:pPr>
              <w:contextualSpacing/>
              <w:jc w:val="center"/>
              <w:rPr>
                <w:rFonts w:eastAsiaTheme="minorEastAsia"/>
                <w:bCs/>
                <w:snapToGrid w:val="0"/>
                <w:kern w:val="0"/>
                <w:szCs w:val="21"/>
              </w:rPr>
            </w:pPr>
            <w:r>
              <w:rPr>
                <w:rFonts w:eastAsiaTheme="minorEastAsia"/>
                <w:bCs/>
                <w:snapToGrid w:val="0"/>
                <w:kern w:val="0"/>
                <w:szCs w:val="21"/>
              </w:rPr>
              <w:t>《地下水质量标准》</w:t>
            </w:r>
          </w:p>
          <w:p w14:paraId="3C6EF8D7" w14:textId="77777777" w:rsidR="00B14D53" w:rsidRDefault="00000000">
            <w:pPr>
              <w:contextualSpacing/>
              <w:jc w:val="center"/>
              <w:rPr>
                <w:rFonts w:eastAsiaTheme="minorEastAsia"/>
                <w:snapToGrid w:val="0"/>
                <w:kern w:val="0"/>
                <w:szCs w:val="21"/>
              </w:rPr>
            </w:pPr>
            <w:r>
              <w:rPr>
                <w:rFonts w:eastAsiaTheme="minorEastAsia"/>
                <w:bCs/>
                <w:snapToGrid w:val="0"/>
                <w:kern w:val="0"/>
                <w:szCs w:val="21"/>
              </w:rPr>
              <w:t>（</w:t>
            </w:r>
            <w:r>
              <w:rPr>
                <w:rFonts w:eastAsiaTheme="minorEastAsia"/>
                <w:bCs/>
                <w:snapToGrid w:val="0"/>
                <w:kern w:val="0"/>
                <w:szCs w:val="21"/>
              </w:rPr>
              <w:t>GB/T14848-2017</w:t>
            </w:r>
            <w:r>
              <w:rPr>
                <w:rFonts w:eastAsiaTheme="minorEastAsia"/>
                <w:bCs/>
                <w:snapToGrid w:val="0"/>
                <w:kern w:val="0"/>
                <w:szCs w:val="21"/>
              </w:rPr>
              <w:t>）</w:t>
            </w:r>
            <w:r>
              <w:rPr>
                <w:rFonts w:eastAsiaTheme="minorEastAsia"/>
                <w:bCs/>
                <w:snapToGrid w:val="0"/>
                <w:kern w:val="0"/>
                <w:szCs w:val="21"/>
              </w:rPr>
              <w:t>Ⅲ</w:t>
            </w:r>
            <w:r>
              <w:rPr>
                <w:rFonts w:eastAsiaTheme="minorEastAsia"/>
                <w:bCs/>
                <w:snapToGrid w:val="0"/>
                <w:kern w:val="0"/>
                <w:szCs w:val="21"/>
              </w:rPr>
              <w:t>类标准</w:t>
            </w:r>
          </w:p>
        </w:tc>
      </w:tr>
      <w:tr w:rsidR="00B14D53" w14:paraId="60C2E27A" w14:textId="77777777">
        <w:trPr>
          <w:trHeight w:val="662"/>
        </w:trPr>
        <w:tc>
          <w:tcPr>
            <w:tcW w:w="1134" w:type="dxa"/>
            <w:tcBorders>
              <w:top w:val="single" w:sz="4" w:space="0" w:color="auto"/>
            </w:tcBorders>
            <w:vAlign w:val="center"/>
          </w:tcPr>
          <w:p w14:paraId="10A8991C" w14:textId="77777777" w:rsidR="00B14D53" w:rsidRDefault="00000000">
            <w:pPr>
              <w:pStyle w:val="afff2"/>
              <w:spacing w:line="240" w:lineRule="auto"/>
              <w:rPr>
                <w:rFonts w:eastAsiaTheme="minorEastAsia" w:hAnsi="Times New Roman"/>
                <w:snapToGrid w:val="0"/>
              </w:rPr>
            </w:pPr>
            <w:r>
              <w:rPr>
                <w:rFonts w:eastAsiaTheme="minorEastAsia" w:hint="eastAsia"/>
              </w:rPr>
              <w:t>山河屯林业局饮用水水源地</w:t>
            </w:r>
          </w:p>
        </w:tc>
        <w:tc>
          <w:tcPr>
            <w:tcW w:w="1134" w:type="dxa"/>
            <w:tcBorders>
              <w:top w:val="single" w:sz="4" w:space="0" w:color="auto"/>
            </w:tcBorders>
            <w:vAlign w:val="center"/>
          </w:tcPr>
          <w:p w14:paraId="2F0687B0" w14:textId="77777777" w:rsidR="00B14D53" w:rsidRDefault="00000000">
            <w:pPr>
              <w:pStyle w:val="afff2"/>
              <w:spacing w:line="240" w:lineRule="auto"/>
              <w:contextualSpacing/>
              <w:rPr>
                <w:rFonts w:hAnsi="Times New Roman"/>
              </w:rPr>
            </w:pPr>
            <w:r>
              <w:rPr>
                <w:rFonts w:hint="eastAsia"/>
              </w:rPr>
              <w:t>下游</w:t>
            </w:r>
            <w:r>
              <w:rPr>
                <w:rFonts w:hint="eastAsia"/>
              </w:rPr>
              <w:t xml:space="preserve"> 460m</w:t>
            </w:r>
            <w:r>
              <w:rPr>
                <w:rFonts w:hint="eastAsia"/>
              </w:rPr>
              <w:t>、</w:t>
            </w:r>
            <w:r>
              <w:rPr>
                <w:rFonts w:hint="eastAsia"/>
              </w:rPr>
              <w:t>620m</w:t>
            </w:r>
            <w:r>
              <w:rPr>
                <w:rFonts w:hint="eastAsia"/>
              </w:rPr>
              <w:t>、</w:t>
            </w:r>
            <w:r>
              <w:rPr>
                <w:rFonts w:hint="eastAsia"/>
              </w:rPr>
              <w:t>690m</w:t>
            </w:r>
            <w:r>
              <w:rPr>
                <w:rFonts w:hint="eastAsia"/>
              </w:rPr>
              <w:t>、</w:t>
            </w:r>
            <w:r>
              <w:rPr>
                <w:rFonts w:hint="eastAsia"/>
              </w:rPr>
              <w:t>900m</w:t>
            </w:r>
          </w:p>
        </w:tc>
        <w:tc>
          <w:tcPr>
            <w:tcW w:w="1323" w:type="dxa"/>
            <w:tcBorders>
              <w:top w:val="single" w:sz="4" w:space="0" w:color="auto"/>
              <w:right w:val="single" w:sz="4" w:space="0" w:color="auto"/>
            </w:tcBorders>
            <w:vAlign w:val="center"/>
          </w:tcPr>
          <w:p w14:paraId="28902D7A" w14:textId="77777777" w:rsidR="00B14D53" w:rsidRDefault="00000000">
            <w:pPr>
              <w:contextualSpacing/>
              <w:jc w:val="center"/>
              <w:rPr>
                <w:rFonts w:eastAsiaTheme="minorEastAsia" w:hAnsiTheme="minorEastAsia" w:hint="eastAsia"/>
                <w:snapToGrid w:val="0"/>
                <w:kern w:val="0"/>
                <w:szCs w:val="21"/>
              </w:rPr>
            </w:pPr>
            <w:r>
              <w:rPr>
                <w:rFonts w:eastAsiaTheme="minorEastAsia" w:hAnsiTheme="minorEastAsia" w:hint="eastAsia"/>
                <w:snapToGrid w:val="0"/>
                <w:kern w:val="0"/>
                <w:szCs w:val="21"/>
              </w:rPr>
              <w:t>饮用水</w:t>
            </w:r>
          </w:p>
        </w:tc>
        <w:tc>
          <w:tcPr>
            <w:tcW w:w="2505" w:type="dxa"/>
            <w:tcBorders>
              <w:top w:val="single" w:sz="4" w:space="0" w:color="auto"/>
              <w:left w:val="single" w:sz="4" w:space="0" w:color="auto"/>
            </w:tcBorders>
            <w:vAlign w:val="center"/>
          </w:tcPr>
          <w:p w14:paraId="3E2D6030" w14:textId="77777777" w:rsidR="00B14D53" w:rsidRDefault="00000000">
            <w:pPr>
              <w:contextualSpacing/>
              <w:jc w:val="center"/>
              <w:rPr>
                <w:rFonts w:eastAsiaTheme="minorEastAsia" w:hAnsiTheme="minorEastAsia" w:hint="eastAsia"/>
                <w:snapToGrid w:val="0"/>
                <w:kern w:val="0"/>
                <w:szCs w:val="21"/>
              </w:rPr>
            </w:pPr>
            <w:r>
              <w:rPr>
                <w:rFonts w:eastAsiaTheme="minorEastAsia" w:hAnsiTheme="minorEastAsia" w:hint="eastAsia"/>
                <w:snapToGrid w:val="0"/>
                <w:kern w:val="0"/>
                <w:szCs w:val="21"/>
              </w:rPr>
              <w:t>/</w:t>
            </w:r>
          </w:p>
        </w:tc>
        <w:tc>
          <w:tcPr>
            <w:tcW w:w="850" w:type="dxa"/>
            <w:vMerge/>
            <w:vAlign w:val="center"/>
          </w:tcPr>
          <w:p w14:paraId="6DCFD41F" w14:textId="77777777" w:rsidR="00B14D53" w:rsidRDefault="00B14D53">
            <w:pPr>
              <w:contextualSpacing/>
              <w:jc w:val="center"/>
              <w:rPr>
                <w:rFonts w:eastAsiaTheme="minorEastAsia"/>
                <w:snapToGrid w:val="0"/>
                <w:kern w:val="0"/>
                <w:szCs w:val="21"/>
              </w:rPr>
            </w:pPr>
          </w:p>
        </w:tc>
        <w:tc>
          <w:tcPr>
            <w:tcW w:w="1576" w:type="dxa"/>
            <w:vMerge/>
            <w:tcBorders>
              <w:left w:val="single" w:sz="2" w:space="0" w:color="auto"/>
            </w:tcBorders>
            <w:vAlign w:val="center"/>
          </w:tcPr>
          <w:p w14:paraId="59099C6D" w14:textId="77777777" w:rsidR="00B14D53" w:rsidRDefault="00B14D53">
            <w:pPr>
              <w:contextualSpacing/>
              <w:jc w:val="center"/>
              <w:rPr>
                <w:rFonts w:eastAsiaTheme="minorEastAsia"/>
                <w:bCs/>
                <w:snapToGrid w:val="0"/>
                <w:kern w:val="0"/>
                <w:szCs w:val="21"/>
              </w:rPr>
            </w:pPr>
          </w:p>
        </w:tc>
      </w:tr>
    </w:tbl>
    <w:p w14:paraId="2F775D34" w14:textId="77777777" w:rsidR="00B14D53" w:rsidRDefault="00B14D53">
      <w:pPr>
        <w:spacing w:before="160" w:after="160" w:line="360" w:lineRule="auto"/>
        <w:ind w:firstLineChars="177" w:firstLine="425"/>
        <w:outlineLvl w:val="2"/>
        <w:rPr>
          <w:rFonts w:eastAsiaTheme="minorEastAsia"/>
          <w:kern w:val="0"/>
          <w:sz w:val="24"/>
        </w:rPr>
        <w:sectPr w:rsidR="00B14D53">
          <w:pgSz w:w="11906" w:h="16838"/>
          <w:pgMar w:top="1440" w:right="1800" w:bottom="1440" w:left="1800" w:header="851" w:footer="992" w:gutter="0"/>
          <w:cols w:space="425"/>
          <w:docGrid w:type="lines" w:linePitch="312"/>
        </w:sectPr>
      </w:pPr>
    </w:p>
    <w:p w14:paraId="113F6989" w14:textId="77777777" w:rsidR="00B14D53" w:rsidRDefault="00000000">
      <w:pPr>
        <w:pStyle w:val="1"/>
        <w:spacing w:before="100" w:beforeAutospacing="1" w:after="0" w:line="240" w:lineRule="auto"/>
        <w:ind w:firstLineChars="200" w:firstLine="640"/>
        <w:rPr>
          <w:rFonts w:eastAsia="黑体"/>
          <w:b w:val="0"/>
          <w:bCs w:val="0"/>
          <w:sz w:val="32"/>
          <w:szCs w:val="32"/>
        </w:rPr>
      </w:pPr>
      <w:bookmarkStart w:id="202" w:name="_Toc477954569"/>
      <w:bookmarkStart w:id="203" w:name="_Toc494017090"/>
      <w:bookmarkStart w:id="204" w:name="_Toc488925382"/>
      <w:bookmarkStart w:id="205" w:name="_Toc24264"/>
      <w:r>
        <w:rPr>
          <w:rFonts w:eastAsia="黑体" w:hint="eastAsia"/>
          <w:b w:val="0"/>
          <w:bCs w:val="0"/>
          <w:sz w:val="32"/>
          <w:szCs w:val="32"/>
        </w:rPr>
        <w:t>5</w:t>
      </w:r>
      <w:r>
        <w:rPr>
          <w:rFonts w:eastAsia="黑体" w:hint="eastAsia"/>
          <w:b w:val="0"/>
          <w:bCs w:val="0"/>
          <w:sz w:val="32"/>
          <w:szCs w:val="32"/>
        </w:rPr>
        <w:t>环境影响预测与评价</w:t>
      </w:r>
      <w:bookmarkEnd w:id="202"/>
      <w:bookmarkEnd w:id="203"/>
      <w:bookmarkEnd w:id="204"/>
      <w:bookmarkEnd w:id="205"/>
    </w:p>
    <w:p w14:paraId="48C077D9"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06" w:name="_Toc15397"/>
      <w:bookmarkStart w:id="207" w:name="_Toc494017091"/>
      <w:r>
        <w:rPr>
          <w:rFonts w:ascii="Times New Roman" w:eastAsia="黑体" w:hAnsi="Times New Roman" w:cs="Times New Roman"/>
          <w:b w:val="0"/>
          <w:bCs w:val="0"/>
          <w:sz w:val="30"/>
          <w:szCs w:val="30"/>
        </w:rPr>
        <w:t>5.1</w:t>
      </w:r>
      <w:r>
        <w:rPr>
          <w:rFonts w:ascii="Times New Roman" w:eastAsia="黑体" w:hAnsi="Times New Roman" w:cs="Times New Roman"/>
          <w:b w:val="0"/>
          <w:bCs w:val="0"/>
          <w:sz w:val="30"/>
          <w:szCs w:val="30"/>
        </w:rPr>
        <w:t>施工期环境影响分析</w:t>
      </w:r>
      <w:bookmarkEnd w:id="206"/>
      <w:bookmarkEnd w:id="207"/>
    </w:p>
    <w:p w14:paraId="1AC299D3"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5.1.1</w:t>
      </w:r>
      <w:r>
        <w:rPr>
          <w:rFonts w:ascii="Times New Roman" w:eastAsia="黑体" w:hAnsi="Times New Roman" w:cs="Times New Roman"/>
          <w:sz w:val="28"/>
          <w:szCs w:val="28"/>
        </w:rPr>
        <w:t>施工期大气环境影响评价</w:t>
      </w:r>
    </w:p>
    <w:p w14:paraId="3693ECE6"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建设施工过程中，燃油动力机械和运输车辆排放的废气，挖土、运土、填土、夯实和汽车运输过程的扬尘，都会给周围环境空气带来污染。污染大气的主要因子是</w:t>
      </w:r>
      <w:r>
        <w:rPr>
          <w:rFonts w:eastAsiaTheme="minorEastAsia"/>
          <w:sz w:val="24"/>
        </w:rPr>
        <w:t>NO</w:t>
      </w:r>
      <w:r>
        <w:rPr>
          <w:rFonts w:eastAsiaTheme="minorEastAsia"/>
          <w:sz w:val="24"/>
          <w:vertAlign w:val="subscript"/>
        </w:rPr>
        <w:t>2</w:t>
      </w:r>
      <w:r>
        <w:rPr>
          <w:rFonts w:eastAsiaTheme="minorEastAsia" w:hAnsiTheme="minorEastAsia"/>
          <w:sz w:val="24"/>
        </w:rPr>
        <w:t>、</w:t>
      </w:r>
      <w:r>
        <w:rPr>
          <w:rFonts w:eastAsiaTheme="minorEastAsia"/>
          <w:sz w:val="24"/>
        </w:rPr>
        <w:t>CO</w:t>
      </w:r>
      <w:r>
        <w:rPr>
          <w:rFonts w:eastAsiaTheme="minorEastAsia" w:hAnsiTheme="minorEastAsia"/>
          <w:sz w:val="24"/>
        </w:rPr>
        <w:t>、</w:t>
      </w:r>
      <w:r>
        <w:rPr>
          <w:rFonts w:eastAsiaTheme="minorEastAsia"/>
          <w:sz w:val="24"/>
        </w:rPr>
        <w:t>SO</w:t>
      </w:r>
      <w:r>
        <w:rPr>
          <w:rFonts w:eastAsiaTheme="minorEastAsia"/>
          <w:sz w:val="24"/>
          <w:vertAlign w:val="subscript"/>
        </w:rPr>
        <w:t>2</w:t>
      </w:r>
      <w:r>
        <w:rPr>
          <w:rFonts w:eastAsiaTheme="minorEastAsia" w:hAnsiTheme="minorEastAsia"/>
          <w:sz w:val="24"/>
        </w:rPr>
        <w:t>和扬尘，尤其扬尘污染最为严重。</w:t>
      </w:r>
    </w:p>
    <w:p w14:paraId="63F404B3"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施工过程扬尘污染的危害不容忽视。在施工现场的作业人员，如长时间吸入大量微细尘埃，不但会引起各种呼吸道疾病，而且，扬尘会夹带大量的病</w:t>
      </w:r>
      <w:r>
        <w:rPr>
          <w:rFonts w:eastAsiaTheme="minorEastAsia" w:hAnsiTheme="minorEastAsia" w:hint="eastAsia"/>
          <w:sz w:val="24"/>
        </w:rPr>
        <w:t>原</w:t>
      </w:r>
      <w:r>
        <w:rPr>
          <w:rFonts w:eastAsiaTheme="minorEastAsia" w:hAnsiTheme="minorEastAsia"/>
          <w:sz w:val="24"/>
        </w:rPr>
        <w:t>菌，还会传染其它各种疾病，严重威胁施工人员的身体健康。此外，扬尘飘落在各种建筑物和绿叶植被上，将会影响景观。</w:t>
      </w:r>
    </w:p>
    <w:p w14:paraId="23653C5E"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对整个施工期而言，施工产生的扬尘主要集中在土建施工阶段。按起尘的原因可分为风力起尘和动力起尘，其中风力起尘主要是由于露天堆放的建材（如沙土、水泥等）及裸露的施工区表层浮尘因天气干燥及大风，产生风尘扬尘；而动力起尘，主要是在建材的装卸、搅拌过程中，由于外力而产生的尘粒再悬浮而造成，其中施工及装卸车辆造成的扬尘最为严重。据有关文献资料介绍，车辆行驶产生的扬尘占总扬尘的</w:t>
      </w:r>
      <w:r>
        <w:rPr>
          <w:rFonts w:eastAsiaTheme="minorEastAsia"/>
          <w:sz w:val="24"/>
        </w:rPr>
        <w:t>60</w:t>
      </w:r>
      <w:r>
        <w:rPr>
          <w:rFonts w:eastAsiaTheme="minorEastAsia" w:hint="eastAsia"/>
          <w:sz w:val="24"/>
        </w:rPr>
        <w:t>%</w:t>
      </w:r>
      <w:r>
        <w:rPr>
          <w:rFonts w:eastAsiaTheme="minorEastAsia" w:hint="eastAsia"/>
          <w:sz w:val="24"/>
        </w:rPr>
        <w:t>以</w:t>
      </w:r>
      <w:r>
        <w:rPr>
          <w:rFonts w:eastAsiaTheme="minorEastAsia" w:hAnsiTheme="minorEastAsia"/>
          <w:sz w:val="24"/>
        </w:rPr>
        <w:t>上。不同车速和地面清洁程度的汽车扬尘产生情况见表</w:t>
      </w:r>
      <w:r>
        <w:rPr>
          <w:rFonts w:eastAsiaTheme="minorEastAsia"/>
          <w:sz w:val="24"/>
        </w:rPr>
        <w:t>5-1-1</w:t>
      </w:r>
      <w:r>
        <w:rPr>
          <w:rFonts w:eastAsiaTheme="minorEastAsia" w:hAnsiTheme="minorEastAsia"/>
          <w:sz w:val="24"/>
        </w:rPr>
        <w:t>。</w:t>
      </w:r>
    </w:p>
    <w:p w14:paraId="7DC9A6DB" w14:textId="77777777" w:rsidR="00B14D53" w:rsidRDefault="00000000">
      <w:pPr>
        <w:jc w:val="center"/>
        <w:rPr>
          <w:b/>
          <w:bCs/>
        </w:rPr>
      </w:pPr>
      <w:r>
        <w:rPr>
          <w:rFonts w:hint="eastAsia"/>
          <w:b/>
          <w:bCs/>
        </w:rPr>
        <w:t>表</w:t>
      </w:r>
      <w:r>
        <w:rPr>
          <w:rFonts w:hint="eastAsia"/>
          <w:b/>
          <w:bCs/>
        </w:rPr>
        <w:t xml:space="preserve">5-1-1 </w:t>
      </w:r>
      <w:r>
        <w:rPr>
          <w:rFonts w:hint="eastAsia"/>
          <w:b/>
          <w:bCs/>
        </w:rPr>
        <w:t>不同车速和地面清洁程度的汽车扬尘</w:t>
      </w:r>
      <w:r>
        <w:rPr>
          <w:rFonts w:hint="eastAsia"/>
          <w:b/>
          <w:bCs/>
        </w:rPr>
        <w:t xml:space="preserve">      </w:t>
      </w:r>
      <w:r>
        <w:rPr>
          <w:rFonts w:hint="eastAsia"/>
          <w:b/>
          <w:bCs/>
        </w:rPr>
        <w:t>单位：</w:t>
      </w:r>
      <w:r>
        <w:rPr>
          <w:rFonts w:hint="eastAsia"/>
          <w:b/>
          <w:bCs/>
        </w:rPr>
        <w:t>kg/</w:t>
      </w:r>
      <w:r>
        <w:rPr>
          <w:rFonts w:hint="eastAsia"/>
          <w:b/>
          <w:bCs/>
        </w:rPr>
        <w:t>辆·</w:t>
      </w:r>
      <w:r>
        <w:rPr>
          <w:rFonts w:hint="eastAsia"/>
          <w:b/>
          <w:bCs/>
        </w:rPr>
        <w:t>km</w:t>
      </w:r>
    </w:p>
    <w:tbl>
      <w:tblPr>
        <w:tblW w:w="5001"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69"/>
        <w:gridCol w:w="1023"/>
        <w:gridCol w:w="993"/>
        <w:gridCol w:w="1181"/>
        <w:gridCol w:w="1181"/>
        <w:gridCol w:w="1181"/>
        <w:gridCol w:w="1180"/>
      </w:tblGrid>
      <w:tr w:rsidR="00B14D53" w14:paraId="6827538C" w14:textId="77777777">
        <w:tc>
          <w:tcPr>
            <w:tcW w:w="944" w:type="pct"/>
            <w:vAlign w:val="center"/>
          </w:tcPr>
          <w:p w14:paraId="3C130F0D"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 xml:space="preserve"> P(kg/m</w:t>
            </w:r>
            <w:r>
              <w:rPr>
                <w:rFonts w:eastAsiaTheme="minorEastAsia" w:hAnsi="Times New Roman"/>
                <w:b/>
                <w:bCs/>
                <w:snapToGrid w:val="0"/>
                <w:szCs w:val="22"/>
                <w:vertAlign w:val="superscript"/>
              </w:rPr>
              <w:t>2</w:t>
            </w:r>
            <w:r>
              <w:rPr>
                <w:rFonts w:eastAsiaTheme="minorEastAsia" w:hAnsi="Times New Roman"/>
                <w:b/>
                <w:bCs/>
                <w:snapToGrid w:val="0"/>
                <w:szCs w:val="22"/>
              </w:rPr>
              <w:t>)</w:t>
            </w:r>
            <w:r>
              <w:rPr>
                <w:rFonts w:eastAsiaTheme="minorEastAsia"/>
                <w:b/>
                <w:bCs/>
                <w:snapToGrid w:val="0"/>
                <w:szCs w:val="22"/>
              </w:rPr>
              <w:t>车速</w:t>
            </w:r>
          </w:p>
        </w:tc>
        <w:tc>
          <w:tcPr>
            <w:tcW w:w="615" w:type="pct"/>
            <w:vAlign w:val="center"/>
          </w:tcPr>
          <w:p w14:paraId="42354A5A"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0.1</w:t>
            </w:r>
          </w:p>
        </w:tc>
        <w:tc>
          <w:tcPr>
            <w:tcW w:w="597" w:type="pct"/>
            <w:vAlign w:val="center"/>
          </w:tcPr>
          <w:p w14:paraId="1172365D"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0.2</w:t>
            </w:r>
          </w:p>
        </w:tc>
        <w:tc>
          <w:tcPr>
            <w:tcW w:w="710" w:type="pct"/>
            <w:vAlign w:val="center"/>
          </w:tcPr>
          <w:p w14:paraId="659C5531"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0.3</w:t>
            </w:r>
          </w:p>
        </w:tc>
        <w:tc>
          <w:tcPr>
            <w:tcW w:w="710" w:type="pct"/>
            <w:vAlign w:val="center"/>
          </w:tcPr>
          <w:p w14:paraId="397D169D"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0.4</w:t>
            </w:r>
          </w:p>
        </w:tc>
        <w:tc>
          <w:tcPr>
            <w:tcW w:w="710" w:type="pct"/>
            <w:vAlign w:val="center"/>
          </w:tcPr>
          <w:p w14:paraId="0ED94866"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0.5</w:t>
            </w:r>
          </w:p>
        </w:tc>
        <w:tc>
          <w:tcPr>
            <w:tcW w:w="709" w:type="pct"/>
            <w:vAlign w:val="center"/>
          </w:tcPr>
          <w:p w14:paraId="40BB2FD8"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1.0</w:t>
            </w:r>
          </w:p>
        </w:tc>
      </w:tr>
      <w:tr w:rsidR="00B14D53" w14:paraId="4DB066BD" w14:textId="77777777">
        <w:tc>
          <w:tcPr>
            <w:tcW w:w="944" w:type="pct"/>
            <w:vAlign w:val="center"/>
          </w:tcPr>
          <w:p w14:paraId="47BD1925"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5(km/hr)</w:t>
            </w:r>
          </w:p>
        </w:tc>
        <w:tc>
          <w:tcPr>
            <w:tcW w:w="615" w:type="pct"/>
            <w:vAlign w:val="center"/>
          </w:tcPr>
          <w:p w14:paraId="3C7A80E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0.051056</w:t>
            </w:r>
          </w:p>
        </w:tc>
        <w:tc>
          <w:tcPr>
            <w:tcW w:w="597" w:type="pct"/>
            <w:vAlign w:val="center"/>
          </w:tcPr>
          <w:p w14:paraId="42AEE273"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0.085865</w:t>
            </w:r>
          </w:p>
        </w:tc>
        <w:tc>
          <w:tcPr>
            <w:tcW w:w="710" w:type="pct"/>
            <w:vAlign w:val="center"/>
          </w:tcPr>
          <w:p w14:paraId="4A321DC8"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0.116382</w:t>
            </w:r>
          </w:p>
        </w:tc>
        <w:tc>
          <w:tcPr>
            <w:tcW w:w="710" w:type="pct"/>
            <w:vAlign w:val="center"/>
          </w:tcPr>
          <w:p w14:paraId="7FAD70D9"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0.144408</w:t>
            </w:r>
          </w:p>
        </w:tc>
        <w:tc>
          <w:tcPr>
            <w:tcW w:w="710" w:type="pct"/>
            <w:vAlign w:val="center"/>
          </w:tcPr>
          <w:p w14:paraId="3BCF23F4"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0.170715</w:t>
            </w:r>
          </w:p>
        </w:tc>
        <w:tc>
          <w:tcPr>
            <w:tcW w:w="709" w:type="pct"/>
            <w:vAlign w:val="center"/>
          </w:tcPr>
          <w:p w14:paraId="14A30981"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0.287108</w:t>
            </w:r>
          </w:p>
        </w:tc>
      </w:tr>
      <w:tr w:rsidR="00B14D53" w14:paraId="4110F4F9" w14:textId="77777777">
        <w:tc>
          <w:tcPr>
            <w:tcW w:w="944" w:type="pct"/>
            <w:vAlign w:val="center"/>
          </w:tcPr>
          <w:p w14:paraId="03624871"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10(km/hr)</w:t>
            </w:r>
          </w:p>
        </w:tc>
        <w:tc>
          <w:tcPr>
            <w:tcW w:w="615" w:type="pct"/>
            <w:vAlign w:val="center"/>
          </w:tcPr>
          <w:p w14:paraId="6C81BA1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0.102112</w:t>
            </w:r>
          </w:p>
        </w:tc>
        <w:tc>
          <w:tcPr>
            <w:tcW w:w="597" w:type="pct"/>
            <w:vAlign w:val="center"/>
          </w:tcPr>
          <w:p w14:paraId="47CDEB09"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0.171731</w:t>
            </w:r>
          </w:p>
        </w:tc>
        <w:tc>
          <w:tcPr>
            <w:tcW w:w="710" w:type="pct"/>
            <w:vAlign w:val="center"/>
          </w:tcPr>
          <w:p w14:paraId="41BEA5E4"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0.232764</w:t>
            </w:r>
          </w:p>
        </w:tc>
        <w:tc>
          <w:tcPr>
            <w:tcW w:w="710" w:type="pct"/>
            <w:vAlign w:val="center"/>
          </w:tcPr>
          <w:p w14:paraId="49EEEBB4"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0.288815</w:t>
            </w:r>
          </w:p>
        </w:tc>
        <w:tc>
          <w:tcPr>
            <w:tcW w:w="710" w:type="pct"/>
            <w:vAlign w:val="center"/>
          </w:tcPr>
          <w:p w14:paraId="6DD523F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0.341431</w:t>
            </w:r>
          </w:p>
        </w:tc>
        <w:tc>
          <w:tcPr>
            <w:tcW w:w="709" w:type="pct"/>
            <w:vAlign w:val="center"/>
          </w:tcPr>
          <w:p w14:paraId="24D2ABA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0.574216</w:t>
            </w:r>
          </w:p>
        </w:tc>
      </w:tr>
      <w:tr w:rsidR="00B14D53" w14:paraId="32FB3E13" w14:textId="77777777">
        <w:tc>
          <w:tcPr>
            <w:tcW w:w="944" w:type="pct"/>
            <w:vAlign w:val="center"/>
          </w:tcPr>
          <w:p w14:paraId="4292C83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15(km/hr)</w:t>
            </w:r>
          </w:p>
        </w:tc>
        <w:tc>
          <w:tcPr>
            <w:tcW w:w="615" w:type="pct"/>
            <w:vAlign w:val="center"/>
          </w:tcPr>
          <w:p w14:paraId="141835C2"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0.153167</w:t>
            </w:r>
          </w:p>
        </w:tc>
        <w:tc>
          <w:tcPr>
            <w:tcW w:w="597" w:type="pct"/>
            <w:vAlign w:val="center"/>
          </w:tcPr>
          <w:p w14:paraId="7FD32166"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0.257596</w:t>
            </w:r>
          </w:p>
        </w:tc>
        <w:tc>
          <w:tcPr>
            <w:tcW w:w="710" w:type="pct"/>
            <w:vAlign w:val="center"/>
          </w:tcPr>
          <w:p w14:paraId="61B542A9"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0.349146</w:t>
            </w:r>
          </w:p>
        </w:tc>
        <w:tc>
          <w:tcPr>
            <w:tcW w:w="710" w:type="pct"/>
            <w:vAlign w:val="center"/>
          </w:tcPr>
          <w:p w14:paraId="01CB29E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0.433223</w:t>
            </w:r>
          </w:p>
        </w:tc>
        <w:tc>
          <w:tcPr>
            <w:tcW w:w="710" w:type="pct"/>
            <w:vAlign w:val="center"/>
          </w:tcPr>
          <w:p w14:paraId="6A1475D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0.512146</w:t>
            </w:r>
          </w:p>
        </w:tc>
        <w:tc>
          <w:tcPr>
            <w:tcW w:w="709" w:type="pct"/>
            <w:vAlign w:val="center"/>
          </w:tcPr>
          <w:p w14:paraId="2DF88B0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0.861323</w:t>
            </w:r>
          </w:p>
        </w:tc>
      </w:tr>
      <w:tr w:rsidR="00B14D53" w14:paraId="5041E32D" w14:textId="77777777">
        <w:tc>
          <w:tcPr>
            <w:tcW w:w="944" w:type="pct"/>
            <w:vAlign w:val="center"/>
          </w:tcPr>
          <w:p w14:paraId="6B893C43"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25(km/hr)</w:t>
            </w:r>
          </w:p>
        </w:tc>
        <w:tc>
          <w:tcPr>
            <w:tcW w:w="615" w:type="pct"/>
            <w:vAlign w:val="center"/>
          </w:tcPr>
          <w:p w14:paraId="0AD9BC9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0.255279</w:t>
            </w:r>
          </w:p>
        </w:tc>
        <w:tc>
          <w:tcPr>
            <w:tcW w:w="597" w:type="pct"/>
            <w:vAlign w:val="center"/>
          </w:tcPr>
          <w:p w14:paraId="5E25D0F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0.429326</w:t>
            </w:r>
          </w:p>
        </w:tc>
        <w:tc>
          <w:tcPr>
            <w:tcW w:w="710" w:type="pct"/>
            <w:vAlign w:val="center"/>
          </w:tcPr>
          <w:p w14:paraId="6BCF60B6"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0.58191</w:t>
            </w:r>
          </w:p>
        </w:tc>
        <w:tc>
          <w:tcPr>
            <w:tcW w:w="710" w:type="pct"/>
            <w:vAlign w:val="center"/>
          </w:tcPr>
          <w:p w14:paraId="0DBE080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0.722038</w:t>
            </w:r>
          </w:p>
        </w:tc>
        <w:tc>
          <w:tcPr>
            <w:tcW w:w="710" w:type="pct"/>
            <w:vAlign w:val="center"/>
          </w:tcPr>
          <w:p w14:paraId="4E479DC8"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0.853577</w:t>
            </w:r>
          </w:p>
        </w:tc>
        <w:tc>
          <w:tcPr>
            <w:tcW w:w="709" w:type="pct"/>
            <w:vAlign w:val="center"/>
          </w:tcPr>
          <w:p w14:paraId="2C7CF14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1.435539</w:t>
            </w:r>
          </w:p>
        </w:tc>
      </w:tr>
    </w:tbl>
    <w:p w14:paraId="0AB504C6" w14:textId="77777777" w:rsidR="00B14D53" w:rsidRDefault="00000000">
      <w:pPr>
        <w:pStyle w:val="afff"/>
        <w:jc w:val="both"/>
        <w:rPr>
          <w:rFonts w:ascii="Times New Roman" w:hAnsi="Times New Roman" w:cs="Times New Roman"/>
          <w:snapToGrid w:val="0"/>
        </w:rPr>
      </w:pPr>
      <w:r>
        <w:rPr>
          <w:rFonts w:ascii="Times New Roman" w:hAnsiTheme="minorEastAsia" w:cs="Times New Roman"/>
          <w:snapToGrid w:val="0"/>
        </w:rPr>
        <w:t>施工期扬尘的另一个主要原因是露天堆场和裸露场地的风力扬尘。由于施工的需要，一些建材需露天堆放；一些施工点表层土壤需人工开挖、堆放，在气候干燥又有风的情况下，会产生扬尘。不同粒径尘粒的沉降速度见表</w:t>
      </w:r>
      <w:r>
        <w:rPr>
          <w:rFonts w:ascii="Times New Roman" w:hAnsi="Times New Roman" w:cs="Times New Roman"/>
          <w:snapToGrid w:val="0"/>
        </w:rPr>
        <w:t>5-1-2</w:t>
      </w:r>
      <w:r>
        <w:rPr>
          <w:rFonts w:ascii="Times New Roman" w:hAnsiTheme="minorEastAsia" w:cs="Times New Roman"/>
          <w:snapToGrid w:val="0"/>
        </w:rPr>
        <w:t>。</w:t>
      </w:r>
    </w:p>
    <w:p w14:paraId="5D84E816" w14:textId="77777777" w:rsidR="00B14D53" w:rsidRDefault="00B14D53">
      <w:pPr>
        <w:jc w:val="center"/>
        <w:rPr>
          <w:b/>
          <w:bCs/>
        </w:rPr>
      </w:pPr>
    </w:p>
    <w:p w14:paraId="4EC86AC2" w14:textId="77777777" w:rsidR="00B14D53" w:rsidRDefault="00B14D53">
      <w:pPr>
        <w:jc w:val="center"/>
        <w:rPr>
          <w:b/>
          <w:bCs/>
        </w:rPr>
      </w:pPr>
    </w:p>
    <w:p w14:paraId="79B47B5A" w14:textId="77777777" w:rsidR="00B14D53" w:rsidRDefault="00B14D53">
      <w:pPr>
        <w:jc w:val="center"/>
        <w:rPr>
          <w:b/>
          <w:bCs/>
        </w:rPr>
      </w:pPr>
    </w:p>
    <w:p w14:paraId="1BED1499" w14:textId="77777777" w:rsidR="00B14D53" w:rsidRDefault="00B14D53">
      <w:pPr>
        <w:jc w:val="center"/>
        <w:rPr>
          <w:b/>
          <w:bCs/>
        </w:rPr>
      </w:pPr>
    </w:p>
    <w:p w14:paraId="713BF072" w14:textId="77777777" w:rsidR="00B14D53" w:rsidRDefault="00000000">
      <w:pPr>
        <w:jc w:val="center"/>
        <w:rPr>
          <w:b/>
          <w:bCs/>
        </w:rPr>
      </w:pPr>
      <w:r>
        <w:rPr>
          <w:rFonts w:hint="eastAsia"/>
          <w:b/>
          <w:bCs/>
        </w:rPr>
        <w:t>表</w:t>
      </w:r>
      <w:r>
        <w:rPr>
          <w:rFonts w:hint="eastAsia"/>
          <w:b/>
          <w:bCs/>
        </w:rPr>
        <w:t xml:space="preserve">5-1-2 </w:t>
      </w:r>
      <w:r>
        <w:rPr>
          <w:rFonts w:hint="eastAsia"/>
          <w:b/>
          <w:bCs/>
        </w:rPr>
        <w:t>不同粒径尘粒的沉降速度</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28"/>
        <w:gridCol w:w="926"/>
        <w:gridCol w:w="925"/>
        <w:gridCol w:w="925"/>
        <w:gridCol w:w="925"/>
        <w:gridCol w:w="925"/>
        <w:gridCol w:w="925"/>
        <w:gridCol w:w="927"/>
      </w:tblGrid>
      <w:tr w:rsidR="00B14D53" w14:paraId="62E996D9" w14:textId="77777777">
        <w:tc>
          <w:tcPr>
            <w:tcW w:w="1100" w:type="pct"/>
            <w:vAlign w:val="center"/>
          </w:tcPr>
          <w:p w14:paraId="23842E77"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粒径（</w:t>
            </w:r>
            <w:r>
              <w:rPr>
                <w:rFonts w:eastAsiaTheme="minorEastAsia" w:hAnsi="Times New Roman"/>
                <w:b/>
                <w:bCs/>
                <w:snapToGrid w:val="0"/>
                <w:szCs w:val="22"/>
              </w:rPr>
              <w:t>μm</w:t>
            </w:r>
            <w:r>
              <w:rPr>
                <w:rFonts w:eastAsiaTheme="minorEastAsia" w:hAnsi="Times New Roman"/>
                <w:b/>
                <w:bCs/>
                <w:snapToGrid w:val="0"/>
                <w:szCs w:val="22"/>
              </w:rPr>
              <w:t>）</w:t>
            </w:r>
          </w:p>
        </w:tc>
        <w:tc>
          <w:tcPr>
            <w:tcW w:w="557" w:type="pct"/>
            <w:vAlign w:val="center"/>
          </w:tcPr>
          <w:p w14:paraId="20F7582F"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10</w:t>
            </w:r>
          </w:p>
        </w:tc>
        <w:tc>
          <w:tcPr>
            <w:tcW w:w="557" w:type="pct"/>
            <w:vAlign w:val="center"/>
          </w:tcPr>
          <w:p w14:paraId="4BFECB74"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20</w:t>
            </w:r>
          </w:p>
        </w:tc>
        <w:tc>
          <w:tcPr>
            <w:tcW w:w="557" w:type="pct"/>
            <w:vAlign w:val="center"/>
          </w:tcPr>
          <w:p w14:paraId="08D00CD1"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30</w:t>
            </w:r>
          </w:p>
        </w:tc>
        <w:tc>
          <w:tcPr>
            <w:tcW w:w="557" w:type="pct"/>
            <w:vAlign w:val="center"/>
          </w:tcPr>
          <w:p w14:paraId="30886214"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40</w:t>
            </w:r>
          </w:p>
        </w:tc>
        <w:tc>
          <w:tcPr>
            <w:tcW w:w="557" w:type="pct"/>
            <w:vAlign w:val="center"/>
          </w:tcPr>
          <w:p w14:paraId="7B275CEC"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50</w:t>
            </w:r>
          </w:p>
        </w:tc>
        <w:tc>
          <w:tcPr>
            <w:tcW w:w="557" w:type="pct"/>
            <w:vAlign w:val="center"/>
          </w:tcPr>
          <w:p w14:paraId="3024CAC3"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60</w:t>
            </w:r>
          </w:p>
        </w:tc>
        <w:tc>
          <w:tcPr>
            <w:tcW w:w="558" w:type="pct"/>
            <w:vAlign w:val="center"/>
          </w:tcPr>
          <w:p w14:paraId="0E836C97"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70</w:t>
            </w:r>
          </w:p>
        </w:tc>
      </w:tr>
      <w:tr w:rsidR="00B14D53" w14:paraId="37F5C38B" w14:textId="77777777">
        <w:tc>
          <w:tcPr>
            <w:tcW w:w="1100" w:type="pct"/>
            <w:vAlign w:val="center"/>
          </w:tcPr>
          <w:p w14:paraId="364CF34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沉降速度（</w:t>
            </w:r>
            <w:r>
              <w:rPr>
                <w:rFonts w:eastAsiaTheme="minorEastAsia" w:hAnsi="Times New Roman"/>
                <w:snapToGrid w:val="0"/>
                <w:szCs w:val="22"/>
              </w:rPr>
              <w:t>m/s</w:t>
            </w:r>
            <w:r>
              <w:rPr>
                <w:rFonts w:eastAsiaTheme="minorEastAsia" w:hAnsi="Times New Roman"/>
                <w:snapToGrid w:val="0"/>
                <w:szCs w:val="22"/>
              </w:rPr>
              <w:t>）</w:t>
            </w:r>
          </w:p>
        </w:tc>
        <w:tc>
          <w:tcPr>
            <w:tcW w:w="557" w:type="pct"/>
            <w:vAlign w:val="center"/>
          </w:tcPr>
          <w:p w14:paraId="411E9D1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0.003</w:t>
            </w:r>
          </w:p>
        </w:tc>
        <w:tc>
          <w:tcPr>
            <w:tcW w:w="557" w:type="pct"/>
            <w:vAlign w:val="center"/>
          </w:tcPr>
          <w:p w14:paraId="4E7DB6E7"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0.012</w:t>
            </w:r>
          </w:p>
        </w:tc>
        <w:tc>
          <w:tcPr>
            <w:tcW w:w="557" w:type="pct"/>
            <w:vAlign w:val="center"/>
          </w:tcPr>
          <w:p w14:paraId="47DE8832"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0.027</w:t>
            </w:r>
          </w:p>
        </w:tc>
        <w:tc>
          <w:tcPr>
            <w:tcW w:w="557" w:type="pct"/>
            <w:vAlign w:val="center"/>
          </w:tcPr>
          <w:p w14:paraId="3F1BBC8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0.048</w:t>
            </w:r>
          </w:p>
        </w:tc>
        <w:tc>
          <w:tcPr>
            <w:tcW w:w="557" w:type="pct"/>
            <w:vAlign w:val="center"/>
          </w:tcPr>
          <w:p w14:paraId="261D7DFC"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0.075</w:t>
            </w:r>
          </w:p>
        </w:tc>
        <w:tc>
          <w:tcPr>
            <w:tcW w:w="557" w:type="pct"/>
            <w:vAlign w:val="center"/>
          </w:tcPr>
          <w:p w14:paraId="547703B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0.108</w:t>
            </w:r>
          </w:p>
        </w:tc>
        <w:tc>
          <w:tcPr>
            <w:tcW w:w="558" w:type="pct"/>
            <w:vAlign w:val="center"/>
          </w:tcPr>
          <w:p w14:paraId="74D55A4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0.147</w:t>
            </w:r>
          </w:p>
        </w:tc>
      </w:tr>
      <w:tr w:rsidR="00B14D53" w14:paraId="05CC5F0A" w14:textId="77777777">
        <w:tc>
          <w:tcPr>
            <w:tcW w:w="1100" w:type="pct"/>
            <w:vAlign w:val="center"/>
          </w:tcPr>
          <w:p w14:paraId="6A5B6C4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粒径（</w:t>
            </w:r>
            <w:r>
              <w:rPr>
                <w:rFonts w:eastAsiaTheme="minorEastAsia" w:hAnsi="Times New Roman"/>
                <w:snapToGrid w:val="0"/>
                <w:szCs w:val="22"/>
              </w:rPr>
              <w:t>μm</w:t>
            </w:r>
            <w:r>
              <w:rPr>
                <w:rFonts w:eastAsiaTheme="minorEastAsia" w:hAnsi="Times New Roman"/>
                <w:snapToGrid w:val="0"/>
                <w:szCs w:val="22"/>
              </w:rPr>
              <w:t>）</w:t>
            </w:r>
          </w:p>
        </w:tc>
        <w:tc>
          <w:tcPr>
            <w:tcW w:w="557" w:type="pct"/>
            <w:vAlign w:val="center"/>
          </w:tcPr>
          <w:p w14:paraId="5056F11C"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80</w:t>
            </w:r>
          </w:p>
        </w:tc>
        <w:tc>
          <w:tcPr>
            <w:tcW w:w="557" w:type="pct"/>
            <w:vAlign w:val="center"/>
          </w:tcPr>
          <w:p w14:paraId="326C93E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90</w:t>
            </w:r>
          </w:p>
        </w:tc>
        <w:tc>
          <w:tcPr>
            <w:tcW w:w="557" w:type="pct"/>
            <w:vAlign w:val="center"/>
          </w:tcPr>
          <w:p w14:paraId="0A73628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100</w:t>
            </w:r>
          </w:p>
        </w:tc>
        <w:tc>
          <w:tcPr>
            <w:tcW w:w="557" w:type="pct"/>
            <w:vAlign w:val="center"/>
          </w:tcPr>
          <w:p w14:paraId="0798C6A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150</w:t>
            </w:r>
          </w:p>
        </w:tc>
        <w:tc>
          <w:tcPr>
            <w:tcW w:w="557" w:type="pct"/>
            <w:vAlign w:val="center"/>
          </w:tcPr>
          <w:p w14:paraId="0B0A42E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200</w:t>
            </w:r>
          </w:p>
        </w:tc>
        <w:tc>
          <w:tcPr>
            <w:tcW w:w="557" w:type="pct"/>
            <w:vAlign w:val="center"/>
          </w:tcPr>
          <w:p w14:paraId="23B43A0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250</w:t>
            </w:r>
          </w:p>
        </w:tc>
        <w:tc>
          <w:tcPr>
            <w:tcW w:w="558" w:type="pct"/>
            <w:vAlign w:val="center"/>
          </w:tcPr>
          <w:p w14:paraId="54240B25"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350</w:t>
            </w:r>
          </w:p>
        </w:tc>
      </w:tr>
      <w:tr w:rsidR="00B14D53" w14:paraId="0BBA8C73" w14:textId="77777777">
        <w:tc>
          <w:tcPr>
            <w:tcW w:w="1100" w:type="pct"/>
            <w:vAlign w:val="center"/>
          </w:tcPr>
          <w:p w14:paraId="0C66B8E2"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沉降速度（</w:t>
            </w:r>
            <w:r>
              <w:rPr>
                <w:rFonts w:eastAsiaTheme="minorEastAsia" w:hAnsi="Times New Roman"/>
                <w:snapToGrid w:val="0"/>
                <w:szCs w:val="22"/>
              </w:rPr>
              <w:t>m/s</w:t>
            </w:r>
            <w:r>
              <w:rPr>
                <w:rFonts w:eastAsiaTheme="minorEastAsia" w:hAnsi="Times New Roman"/>
                <w:snapToGrid w:val="0"/>
                <w:szCs w:val="22"/>
              </w:rPr>
              <w:t>）</w:t>
            </w:r>
          </w:p>
        </w:tc>
        <w:tc>
          <w:tcPr>
            <w:tcW w:w="557" w:type="pct"/>
            <w:vAlign w:val="center"/>
          </w:tcPr>
          <w:p w14:paraId="5BCF7D0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0.158</w:t>
            </w:r>
          </w:p>
        </w:tc>
        <w:tc>
          <w:tcPr>
            <w:tcW w:w="557" w:type="pct"/>
            <w:vAlign w:val="center"/>
          </w:tcPr>
          <w:p w14:paraId="41FD82D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0.170</w:t>
            </w:r>
          </w:p>
        </w:tc>
        <w:tc>
          <w:tcPr>
            <w:tcW w:w="557" w:type="pct"/>
            <w:vAlign w:val="center"/>
          </w:tcPr>
          <w:p w14:paraId="359041A6"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0.182</w:t>
            </w:r>
          </w:p>
        </w:tc>
        <w:tc>
          <w:tcPr>
            <w:tcW w:w="557" w:type="pct"/>
            <w:vAlign w:val="center"/>
          </w:tcPr>
          <w:p w14:paraId="7A336035"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0.239</w:t>
            </w:r>
          </w:p>
        </w:tc>
        <w:tc>
          <w:tcPr>
            <w:tcW w:w="557" w:type="pct"/>
            <w:vAlign w:val="center"/>
          </w:tcPr>
          <w:p w14:paraId="1FFEC878"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0.804</w:t>
            </w:r>
          </w:p>
        </w:tc>
        <w:tc>
          <w:tcPr>
            <w:tcW w:w="557" w:type="pct"/>
            <w:vAlign w:val="center"/>
          </w:tcPr>
          <w:p w14:paraId="0C5D56C6"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1.005</w:t>
            </w:r>
          </w:p>
        </w:tc>
        <w:tc>
          <w:tcPr>
            <w:tcW w:w="558" w:type="pct"/>
            <w:vAlign w:val="center"/>
          </w:tcPr>
          <w:p w14:paraId="73D69FB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1.829</w:t>
            </w:r>
          </w:p>
        </w:tc>
      </w:tr>
      <w:tr w:rsidR="00B14D53" w14:paraId="3C683F7B" w14:textId="77777777">
        <w:tc>
          <w:tcPr>
            <w:tcW w:w="1100" w:type="pct"/>
            <w:vAlign w:val="center"/>
          </w:tcPr>
          <w:p w14:paraId="0EAABE38"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粒径（</w:t>
            </w:r>
            <w:r>
              <w:rPr>
                <w:rFonts w:eastAsiaTheme="minorEastAsia" w:hAnsi="Times New Roman"/>
                <w:snapToGrid w:val="0"/>
                <w:szCs w:val="22"/>
              </w:rPr>
              <w:t>μm</w:t>
            </w:r>
            <w:r>
              <w:rPr>
                <w:rFonts w:eastAsiaTheme="minorEastAsia" w:hAnsi="Times New Roman"/>
                <w:snapToGrid w:val="0"/>
                <w:szCs w:val="22"/>
              </w:rPr>
              <w:t>）</w:t>
            </w:r>
          </w:p>
        </w:tc>
        <w:tc>
          <w:tcPr>
            <w:tcW w:w="557" w:type="pct"/>
            <w:vAlign w:val="center"/>
          </w:tcPr>
          <w:p w14:paraId="475024C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450</w:t>
            </w:r>
          </w:p>
        </w:tc>
        <w:tc>
          <w:tcPr>
            <w:tcW w:w="557" w:type="pct"/>
            <w:vAlign w:val="center"/>
          </w:tcPr>
          <w:p w14:paraId="68A026E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550</w:t>
            </w:r>
          </w:p>
        </w:tc>
        <w:tc>
          <w:tcPr>
            <w:tcW w:w="557" w:type="pct"/>
            <w:vAlign w:val="center"/>
          </w:tcPr>
          <w:p w14:paraId="63027896"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650</w:t>
            </w:r>
          </w:p>
        </w:tc>
        <w:tc>
          <w:tcPr>
            <w:tcW w:w="557" w:type="pct"/>
            <w:vAlign w:val="center"/>
          </w:tcPr>
          <w:p w14:paraId="70D9038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750</w:t>
            </w:r>
          </w:p>
        </w:tc>
        <w:tc>
          <w:tcPr>
            <w:tcW w:w="557" w:type="pct"/>
            <w:vAlign w:val="center"/>
          </w:tcPr>
          <w:p w14:paraId="506A6276"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850</w:t>
            </w:r>
          </w:p>
        </w:tc>
        <w:tc>
          <w:tcPr>
            <w:tcW w:w="557" w:type="pct"/>
            <w:vAlign w:val="center"/>
          </w:tcPr>
          <w:p w14:paraId="1C5016B8"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950</w:t>
            </w:r>
          </w:p>
        </w:tc>
        <w:tc>
          <w:tcPr>
            <w:tcW w:w="558" w:type="pct"/>
            <w:vAlign w:val="center"/>
          </w:tcPr>
          <w:p w14:paraId="4784601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1050</w:t>
            </w:r>
          </w:p>
        </w:tc>
      </w:tr>
      <w:tr w:rsidR="00B14D53" w14:paraId="3578AA99" w14:textId="77777777">
        <w:tc>
          <w:tcPr>
            <w:tcW w:w="1100" w:type="pct"/>
            <w:vAlign w:val="center"/>
          </w:tcPr>
          <w:p w14:paraId="065830B2"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沉降速度（</w:t>
            </w:r>
            <w:r>
              <w:rPr>
                <w:rFonts w:eastAsiaTheme="minorEastAsia" w:hAnsi="Times New Roman"/>
                <w:snapToGrid w:val="0"/>
                <w:szCs w:val="22"/>
              </w:rPr>
              <w:t>m/s</w:t>
            </w:r>
            <w:r>
              <w:rPr>
                <w:rFonts w:eastAsiaTheme="minorEastAsia" w:hAnsi="Times New Roman"/>
                <w:snapToGrid w:val="0"/>
                <w:szCs w:val="22"/>
              </w:rPr>
              <w:t>）</w:t>
            </w:r>
          </w:p>
        </w:tc>
        <w:tc>
          <w:tcPr>
            <w:tcW w:w="557" w:type="pct"/>
            <w:vAlign w:val="center"/>
          </w:tcPr>
          <w:p w14:paraId="0050DC6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2.211</w:t>
            </w:r>
          </w:p>
        </w:tc>
        <w:tc>
          <w:tcPr>
            <w:tcW w:w="557" w:type="pct"/>
            <w:vAlign w:val="center"/>
          </w:tcPr>
          <w:p w14:paraId="3925318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2.614</w:t>
            </w:r>
          </w:p>
        </w:tc>
        <w:tc>
          <w:tcPr>
            <w:tcW w:w="557" w:type="pct"/>
            <w:vAlign w:val="center"/>
          </w:tcPr>
          <w:p w14:paraId="62EA6335"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3.016</w:t>
            </w:r>
          </w:p>
        </w:tc>
        <w:tc>
          <w:tcPr>
            <w:tcW w:w="557" w:type="pct"/>
            <w:vAlign w:val="center"/>
          </w:tcPr>
          <w:p w14:paraId="54ECDBF1"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3.418</w:t>
            </w:r>
          </w:p>
        </w:tc>
        <w:tc>
          <w:tcPr>
            <w:tcW w:w="557" w:type="pct"/>
            <w:vAlign w:val="center"/>
          </w:tcPr>
          <w:p w14:paraId="1DBE97C7"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3.820</w:t>
            </w:r>
          </w:p>
        </w:tc>
        <w:tc>
          <w:tcPr>
            <w:tcW w:w="557" w:type="pct"/>
            <w:vAlign w:val="center"/>
          </w:tcPr>
          <w:p w14:paraId="33D15DF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4.222</w:t>
            </w:r>
          </w:p>
        </w:tc>
        <w:tc>
          <w:tcPr>
            <w:tcW w:w="558" w:type="pct"/>
            <w:vAlign w:val="center"/>
          </w:tcPr>
          <w:p w14:paraId="020FDC07"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4.624</w:t>
            </w:r>
          </w:p>
        </w:tc>
      </w:tr>
    </w:tbl>
    <w:p w14:paraId="71356FF2" w14:textId="77777777" w:rsidR="00B14D53" w:rsidRDefault="00000000">
      <w:pPr>
        <w:pStyle w:val="afff"/>
        <w:adjustRightInd/>
        <w:snapToGrid/>
        <w:contextualSpacing/>
        <w:jc w:val="both"/>
        <w:rPr>
          <w:rFonts w:ascii="Times New Roman" w:hAnsi="Times New Roman" w:cs="Times New Roman"/>
          <w:snapToGrid w:val="0"/>
        </w:rPr>
      </w:pPr>
      <w:r>
        <w:rPr>
          <w:rFonts w:ascii="Times New Roman" w:hAnsiTheme="minorEastAsia" w:cs="Times New Roman"/>
          <w:snapToGrid w:val="0"/>
        </w:rPr>
        <w:t>从表</w:t>
      </w:r>
      <w:r>
        <w:rPr>
          <w:rFonts w:ascii="Times New Roman" w:hAnsi="Times New Roman" w:cs="Times New Roman"/>
          <w:snapToGrid w:val="0"/>
        </w:rPr>
        <w:t>5-1-2</w:t>
      </w:r>
      <w:r>
        <w:rPr>
          <w:rFonts w:ascii="Times New Roman" w:hAnsiTheme="minorEastAsia" w:cs="Times New Roman"/>
          <w:snapToGrid w:val="0"/>
        </w:rPr>
        <w:t>可以看出，尘粒的沉降速度随粒径的增大而迅速增大。当粒径为</w:t>
      </w:r>
      <w:r>
        <w:rPr>
          <w:rFonts w:ascii="Times New Roman" w:hAnsi="Times New Roman" w:cs="Times New Roman"/>
          <w:snapToGrid w:val="0"/>
        </w:rPr>
        <w:t>250μm</w:t>
      </w:r>
      <w:r>
        <w:rPr>
          <w:rFonts w:ascii="Times New Roman" w:hAnsiTheme="minorEastAsia" w:cs="Times New Roman"/>
          <w:snapToGrid w:val="0"/>
        </w:rPr>
        <w:t>时，沉降速度为</w:t>
      </w:r>
      <w:r>
        <w:rPr>
          <w:rFonts w:ascii="Times New Roman" w:hAnsi="Times New Roman" w:cs="Times New Roman"/>
          <w:snapToGrid w:val="0"/>
        </w:rPr>
        <w:t>1.005m/s</w:t>
      </w:r>
      <w:r>
        <w:rPr>
          <w:rFonts w:ascii="Times New Roman" w:hAnsiTheme="minorEastAsia" w:cs="Times New Roman"/>
          <w:snapToGrid w:val="0"/>
        </w:rPr>
        <w:t>，因此可以认为当尘粒大于</w:t>
      </w:r>
      <w:r>
        <w:rPr>
          <w:rFonts w:ascii="Times New Roman" w:hAnsi="Times New Roman" w:cs="Times New Roman"/>
          <w:snapToGrid w:val="0"/>
        </w:rPr>
        <w:t>250μm</w:t>
      </w:r>
      <w:r>
        <w:rPr>
          <w:rFonts w:ascii="Times New Roman" w:hAnsiTheme="minorEastAsia" w:cs="Times New Roman"/>
          <w:snapToGrid w:val="0"/>
        </w:rPr>
        <w:t>时，主要影响范围在扬尘点下风向近距离范围内，而真正对外环境产生影响的是一些微小尘粒。在有风的情况下，施工扬尘会对该区域造成一定的影响。由起尘计算公式可知，</w:t>
      </w:r>
      <w:r>
        <w:rPr>
          <w:rFonts w:ascii="Times New Roman" w:hAnsi="Times New Roman" w:cs="Times New Roman"/>
          <w:snapToGrid w:val="0"/>
        </w:rPr>
        <w:t>V</w:t>
      </w:r>
      <w:r>
        <w:rPr>
          <w:rFonts w:ascii="Times New Roman" w:hAnsi="Times New Roman" w:cs="Times New Roman"/>
          <w:snapToGrid w:val="0"/>
          <w:vertAlign w:val="subscript"/>
        </w:rPr>
        <w:t>0</w:t>
      </w:r>
      <w:r>
        <w:rPr>
          <w:rFonts w:ascii="Times New Roman" w:hAnsiTheme="minorEastAsia" w:cs="Times New Roman"/>
          <w:snapToGrid w:val="0"/>
        </w:rPr>
        <w:t>与粒径和含水率有关，因此，通过采取减少露天堆放和保证一定的含水率及减少裸露地面等措施后，风力起尘对环境的影响较小。场界颗粒物浓度满足《大气污染物综合排放标准》（</w:t>
      </w:r>
      <w:r>
        <w:rPr>
          <w:rFonts w:ascii="Times New Roman" w:hAnsi="Times New Roman" w:cs="Times New Roman"/>
          <w:snapToGrid w:val="0"/>
        </w:rPr>
        <w:t>GB16297-1996</w:t>
      </w:r>
      <w:r>
        <w:rPr>
          <w:rFonts w:ascii="Times New Roman" w:hAnsiTheme="minorEastAsia" w:cs="Times New Roman"/>
          <w:snapToGrid w:val="0"/>
        </w:rPr>
        <w:t>）表</w:t>
      </w:r>
      <w:r>
        <w:rPr>
          <w:rFonts w:ascii="Times New Roman" w:hAnsi="Times New Roman" w:cs="Times New Roman"/>
          <w:snapToGrid w:val="0"/>
        </w:rPr>
        <w:t>2</w:t>
      </w:r>
      <w:r>
        <w:rPr>
          <w:rFonts w:ascii="Times New Roman" w:hAnsiTheme="minorEastAsia" w:cs="Times New Roman"/>
          <w:snapToGrid w:val="0"/>
        </w:rPr>
        <w:t>无组织排放监控浓度限值要求。</w:t>
      </w:r>
    </w:p>
    <w:p w14:paraId="2A1488E2" w14:textId="77777777" w:rsidR="00B14D53" w:rsidRDefault="00000000">
      <w:pPr>
        <w:pStyle w:val="afff"/>
        <w:adjustRightInd/>
        <w:snapToGrid/>
        <w:contextualSpacing/>
        <w:jc w:val="both"/>
        <w:rPr>
          <w:rFonts w:ascii="Times New Roman" w:hAnsi="Times New Roman" w:cs="Times New Roman"/>
          <w:snapToGrid w:val="0"/>
        </w:rPr>
      </w:pPr>
      <w:r>
        <w:rPr>
          <w:rFonts w:ascii="Times New Roman" w:hAnsiTheme="minorEastAsia" w:cs="Times New Roman"/>
          <w:snapToGrid w:val="0"/>
        </w:rPr>
        <w:t>总之，只要加强管理、切实落实好这些措施，施工场地扬尘对环境的影响将会大大降低，同时其对环境的影响也将随施工的结束而消失。</w:t>
      </w:r>
    </w:p>
    <w:p w14:paraId="70D40437"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5.1.2</w:t>
      </w:r>
      <w:r>
        <w:rPr>
          <w:rFonts w:ascii="Times New Roman" w:eastAsia="黑体" w:hAnsi="Times New Roman" w:cs="Times New Roman"/>
          <w:bCs/>
          <w:sz w:val="28"/>
          <w:szCs w:val="28"/>
        </w:rPr>
        <w:t>施工期水环境影响评价</w:t>
      </w:r>
    </w:p>
    <w:p w14:paraId="10B2A214" w14:textId="77777777" w:rsidR="00B14D53" w:rsidRDefault="00000000">
      <w:pPr>
        <w:spacing w:line="360" w:lineRule="auto"/>
        <w:ind w:firstLineChars="200" w:firstLine="480"/>
        <w:rPr>
          <w:rFonts w:eastAsiaTheme="minorEastAsia"/>
          <w:sz w:val="24"/>
          <w:szCs w:val="21"/>
        </w:rPr>
      </w:pPr>
      <w:r>
        <w:rPr>
          <w:rFonts w:eastAsiaTheme="minorEastAsia" w:hAnsiTheme="minorEastAsia"/>
          <w:sz w:val="24"/>
          <w:szCs w:val="21"/>
        </w:rPr>
        <w:t>施工期废水主要是施工人员生活污水，如果不进行收集无组织排放将对地表径流及土壤环境产生不利影响。生活污水</w:t>
      </w:r>
      <w:r>
        <w:rPr>
          <w:rFonts w:eastAsiaTheme="minorEastAsia" w:hAnsiTheme="minorEastAsia" w:hint="eastAsia"/>
          <w:sz w:val="24"/>
          <w:szCs w:val="21"/>
        </w:rPr>
        <w:t>排入市政管网</w:t>
      </w:r>
      <w:r>
        <w:rPr>
          <w:rFonts w:eastAsiaTheme="minorEastAsia" w:hAnsiTheme="minorEastAsia"/>
          <w:sz w:val="24"/>
          <w:szCs w:val="21"/>
        </w:rPr>
        <w:t>。</w:t>
      </w:r>
    </w:p>
    <w:p w14:paraId="3000828D" w14:textId="77777777" w:rsidR="00B14D53" w:rsidRDefault="00000000">
      <w:pPr>
        <w:spacing w:line="360" w:lineRule="auto"/>
        <w:ind w:firstLineChars="200" w:firstLine="480"/>
        <w:rPr>
          <w:rFonts w:eastAsiaTheme="minorEastAsia"/>
          <w:sz w:val="24"/>
          <w:szCs w:val="21"/>
        </w:rPr>
      </w:pPr>
      <w:r>
        <w:rPr>
          <w:rFonts w:eastAsiaTheme="minorEastAsia" w:hAnsiTheme="minorEastAsia"/>
          <w:sz w:val="24"/>
          <w:szCs w:val="21"/>
        </w:rPr>
        <w:t>施工现场建筑原料按比例</w:t>
      </w:r>
      <w:r>
        <w:rPr>
          <w:rFonts w:eastAsiaTheme="minorEastAsia" w:hAnsiTheme="minorEastAsia" w:hint="eastAsia"/>
          <w:sz w:val="24"/>
          <w:szCs w:val="21"/>
        </w:rPr>
        <w:t>添加</w:t>
      </w:r>
      <w:r>
        <w:rPr>
          <w:rFonts w:eastAsiaTheme="minorEastAsia" w:hAnsiTheme="minorEastAsia"/>
          <w:sz w:val="24"/>
          <w:szCs w:val="21"/>
        </w:rPr>
        <w:t>用水，基本不产生弃水；本项目不在场地冲洗及维修机械。施工期施工人员的生活污水</w:t>
      </w:r>
      <w:r>
        <w:rPr>
          <w:rFonts w:eastAsiaTheme="minorEastAsia" w:hAnsiTheme="minorEastAsia" w:hint="eastAsia"/>
          <w:sz w:val="24"/>
          <w:szCs w:val="21"/>
        </w:rPr>
        <w:t>排入市政管网</w:t>
      </w:r>
      <w:r>
        <w:rPr>
          <w:rFonts w:eastAsiaTheme="minorEastAsia" w:hAnsiTheme="minorEastAsia"/>
          <w:sz w:val="24"/>
          <w:szCs w:val="21"/>
        </w:rPr>
        <w:t>。本工程建设地点远离地表水体，因此施工期对地表水径流环境基本无影响。</w:t>
      </w:r>
    </w:p>
    <w:p w14:paraId="1E9D3849"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5.1.3</w:t>
      </w:r>
      <w:r>
        <w:rPr>
          <w:rFonts w:ascii="Times New Roman" w:eastAsia="黑体" w:hAnsi="Times New Roman" w:cs="Times New Roman"/>
          <w:bCs/>
          <w:sz w:val="28"/>
          <w:szCs w:val="28"/>
        </w:rPr>
        <w:t>施工期噪声环境影响评价</w:t>
      </w:r>
    </w:p>
    <w:p w14:paraId="108512ED" w14:textId="77777777" w:rsidR="00B14D53" w:rsidRDefault="00000000">
      <w:pPr>
        <w:pStyle w:val="afff"/>
        <w:adjustRightInd/>
        <w:snapToGrid/>
        <w:jc w:val="both"/>
        <w:rPr>
          <w:rFonts w:ascii="Times New Roman" w:hAnsi="Times New Roman" w:cs="Times New Roman"/>
          <w:snapToGrid w:val="0"/>
        </w:rPr>
      </w:pPr>
      <w:r>
        <w:rPr>
          <w:rFonts w:ascii="Times New Roman" w:hAnsiTheme="minorEastAsia" w:cs="Times New Roman"/>
          <w:snapToGrid w:val="0"/>
        </w:rPr>
        <w:t>项目施工期噪声主要来源于施工机械噪声和运输车辆噪声。在施工过程中，由于各种施工机械设备的运转和各类车辆的运行，不可避免地将产生噪声污染。根据调查本项目的主要噪声源如下表</w:t>
      </w:r>
      <w:r>
        <w:rPr>
          <w:rFonts w:ascii="Times New Roman" w:hAnsi="Times New Roman" w:cs="Times New Roman"/>
          <w:snapToGrid w:val="0"/>
        </w:rPr>
        <w:t>5-1-3</w:t>
      </w:r>
      <w:r>
        <w:rPr>
          <w:rFonts w:ascii="Times New Roman" w:hAnsiTheme="minorEastAsia" w:cs="Times New Roman"/>
          <w:snapToGrid w:val="0"/>
        </w:rPr>
        <w:t>。</w:t>
      </w:r>
    </w:p>
    <w:p w14:paraId="5C33CFBC" w14:textId="77777777" w:rsidR="00B14D53" w:rsidRDefault="00B14D53">
      <w:pPr>
        <w:spacing w:line="360" w:lineRule="auto"/>
        <w:ind w:firstLineChars="177" w:firstLine="426"/>
        <w:jc w:val="center"/>
        <w:rPr>
          <w:rFonts w:eastAsiaTheme="minorEastAsia" w:hAnsiTheme="minorEastAsia" w:hint="eastAsia"/>
          <w:b/>
          <w:sz w:val="24"/>
        </w:rPr>
      </w:pPr>
    </w:p>
    <w:p w14:paraId="4AB53DA2" w14:textId="77777777" w:rsidR="00B14D53" w:rsidRDefault="00B14D53">
      <w:pPr>
        <w:spacing w:line="360" w:lineRule="auto"/>
        <w:ind w:firstLineChars="177" w:firstLine="426"/>
        <w:jc w:val="center"/>
        <w:rPr>
          <w:rFonts w:eastAsiaTheme="minorEastAsia" w:hAnsiTheme="minorEastAsia" w:hint="eastAsia"/>
          <w:b/>
          <w:sz w:val="24"/>
        </w:rPr>
      </w:pPr>
    </w:p>
    <w:p w14:paraId="260A3DA1" w14:textId="77777777" w:rsidR="00B14D53" w:rsidRDefault="00B14D53">
      <w:pPr>
        <w:spacing w:line="360" w:lineRule="auto"/>
        <w:ind w:firstLineChars="177" w:firstLine="426"/>
        <w:jc w:val="center"/>
        <w:rPr>
          <w:rFonts w:eastAsiaTheme="minorEastAsia" w:hAnsiTheme="minorEastAsia" w:hint="eastAsia"/>
          <w:b/>
          <w:sz w:val="24"/>
        </w:rPr>
      </w:pPr>
    </w:p>
    <w:p w14:paraId="71EB11CB" w14:textId="77777777" w:rsidR="00B14D53" w:rsidRDefault="00000000">
      <w:pPr>
        <w:jc w:val="center"/>
        <w:rPr>
          <w:b/>
          <w:bCs/>
        </w:rPr>
      </w:pPr>
      <w:r>
        <w:rPr>
          <w:rFonts w:hint="eastAsia"/>
          <w:b/>
          <w:bCs/>
        </w:rPr>
        <w:t>表</w:t>
      </w:r>
      <w:r>
        <w:rPr>
          <w:rFonts w:hint="eastAsia"/>
          <w:b/>
          <w:bCs/>
        </w:rPr>
        <w:t xml:space="preserve">5-1-3 </w:t>
      </w:r>
      <w:r>
        <w:rPr>
          <w:rFonts w:hint="eastAsia"/>
          <w:b/>
          <w:bCs/>
        </w:rPr>
        <w:t>施工机械噪声源一览表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60"/>
        <w:gridCol w:w="3058"/>
        <w:gridCol w:w="2688"/>
      </w:tblGrid>
      <w:tr w:rsidR="00B14D53" w14:paraId="21FE15EF" w14:textId="77777777">
        <w:trPr>
          <w:trHeight w:val="85"/>
          <w:tblHeader/>
          <w:jc w:val="center"/>
        </w:trPr>
        <w:tc>
          <w:tcPr>
            <w:tcW w:w="1541" w:type="pct"/>
            <w:vAlign w:val="center"/>
          </w:tcPr>
          <w:p w14:paraId="62167D73"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声源</w:t>
            </w:r>
          </w:p>
        </w:tc>
        <w:tc>
          <w:tcPr>
            <w:tcW w:w="1841" w:type="pct"/>
            <w:vAlign w:val="center"/>
          </w:tcPr>
          <w:p w14:paraId="13D7836A"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型号规格</w:t>
            </w:r>
          </w:p>
        </w:tc>
        <w:tc>
          <w:tcPr>
            <w:tcW w:w="1618" w:type="pct"/>
            <w:vAlign w:val="center"/>
          </w:tcPr>
          <w:p w14:paraId="4DD93CCB"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噪声源强</w:t>
            </w:r>
            <w:r>
              <w:rPr>
                <w:rFonts w:eastAsiaTheme="minorEastAsia" w:hAnsi="Times New Roman"/>
                <w:b/>
                <w:bCs/>
                <w:snapToGrid w:val="0"/>
                <w:szCs w:val="22"/>
              </w:rPr>
              <w:t>dB(A)</w:t>
            </w:r>
          </w:p>
        </w:tc>
      </w:tr>
      <w:tr w:rsidR="00B14D53" w14:paraId="2804CF90" w14:textId="77777777">
        <w:trPr>
          <w:trHeight w:val="267"/>
          <w:tblHeader/>
          <w:jc w:val="center"/>
        </w:trPr>
        <w:tc>
          <w:tcPr>
            <w:tcW w:w="1541" w:type="pct"/>
            <w:vAlign w:val="center"/>
          </w:tcPr>
          <w:p w14:paraId="2B9C31A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装载机</w:t>
            </w:r>
          </w:p>
        </w:tc>
        <w:tc>
          <w:tcPr>
            <w:tcW w:w="1841" w:type="pct"/>
            <w:vAlign w:val="center"/>
          </w:tcPr>
          <w:p w14:paraId="222A174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w:t>
            </w:r>
          </w:p>
        </w:tc>
        <w:tc>
          <w:tcPr>
            <w:tcW w:w="1618" w:type="pct"/>
            <w:vAlign w:val="center"/>
          </w:tcPr>
          <w:p w14:paraId="43CCEF4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95</w:t>
            </w:r>
          </w:p>
        </w:tc>
      </w:tr>
      <w:tr w:rsidR="00B14D53" w14:paraId="79DC742E" w14:textId="77777777">
        <w:trPr>
          <w:trHeight w:val="267"/>
          <w:tblHeader/>
          <w:jc w:val="center"/>
        </w:trPr>
        <w:tc>
          <w:tcPr>
            <w:tcW w:w="1541" w:type="pct"/>
            <w:vAlign w:val="center"/>
          </w:tcPr>
          <w:p w14:paraId="5B9B8D72"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挖掘机</w:t>
            </w:r>
          </w:p>
        </w:tc>
        <w:tc>
          <w:tcPr>
            <w:tcW w:w="1841" w:type="pct"/>
            <w:vAlign w:val="center"/>
          </w:tcPr>
          <w:p w14:paraId="798E28D9"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A12-201</w:t>
            </w:r>
          </w:p>
        </w:tc>
        <w:tc>
          <w:tcPr>
            <w:tcW w:w="1618" w:type="pct"/>
            <w:vAlign w:val="center"/>
          </w:tcPr>
          <w:p w14:paraId="5DC2164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95</w:t>
            </w:r>
          </w:p>
        </w:tc>
      </w:tr>
      <w:tr w:rsidR="00B14D53" w14:paraId="03A34A5A" w14:textId="77777777">
        <w:trPr>
          <w:trHeight w:val="267"/>
          <w:tblHeader/>
          <w:jc w:val="center"/>
        </w:trPr>
        <w:tc>
          <w:tcPr>
            <w:tcW w:w="1541" w:type="pct"/>
            <w:vAlign w:val="center"/>
          </w:tcPr>
          <w:p w14:paraId="19620E3C"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推土机</w:t>
            </w:r>
          </w:p>
        </w:tc>
        <w:tc>
          <w:tcPr>
            <w:tcW w:w="1841" w:type="pct"/>
            <w:vAlign w:val="center"/>
          </w:tcPr>
          <w:p w14:paraId="61C8E1A5"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w:t>
            </w:r>
          </w:p>
        </w:tc>
        <w:tc>
          <w:tcPr>
            <w:tcW w:w="1618" w:type="pct"/>
            <w:vAlign w:val="center"/>
          </w:tcPr>
          <w:p w14:paraId="72856C93"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90</w:t>
            </w:r>
          </w:p>
        </w:tc>
      </w:tr>
      <w:tr w:rsidR="00B14D53" w14:paraId="6989E4BA" w14:textId="77777777">
        <w:trPr>
          <w:trHeight w:val="267"/>
          <w:tblHeader/>
          <w:jc w:val="center"/>
        </w:trPr>
        <w:tc>
          <w:tcPr>
            <w:tcW w:w="1541" w:type="pct"/>
            <w:vAlign w:val="center"/>
          </w:tcPr>
          <w:p w14:paraId="2A68176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钢筋调直机</w:t>
            </w:r>
          </w:p>
        </w:tc>
        <w:tc>
          <w:tcPr>
            <w:tcW w:w="1841" w:type="pct"/>
            <w:vAlign w:val="center"/>
          </w:tcPr>
          <w:p w14:paraId="76572A9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SP150</w:t>
            </w:r>
          </w:p>
        </w:tc>
        <w:tc>
          <w:tcPr>
            <w:tcW w:w="1618" w:type="pct"/>
            <w:vAlign w:val="center"/>
          </w:tcPr>
          <w:p w14:paraId="090A41C5"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90</w:t>
            </w:r>
          </w:p>
        </w:tc>
      </w:tr>
      <w:tr w:rsidR="00B14D53" w14:paraId="20FF5F01" w14:textId="77777777">
        <w:trPr>
          <w:trHeight w:val="267"/>
          <w:tblHeader/>
          <w:jc w:val="center"/>
        </w:trPr>
        <w:tc>
          <w:tcPr>
            <w:tcW w:w="1541" w:type="pct"/>
            <w:vAlign w:val="center"/>
          </w:tcPr>
          <w:p w14:paraId="6A189C51"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电渣焊机</w:t>
            </w:r>
          </w:p>
        </w:tc>
        <w:tc>
          <w:tcPr>
            <w:tcW w:w="1841" w:type="pct"/>
            <w:vAlign w:val="center"/>
          </w:tcPr>
          <w:p w14:paraId="4D31CD14"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YT300</w:t>
            </w:r>
          </w:p>
        </w:tc>
        <w:tc>
          <w:tcPr>
            <w:tcW w:w="1618" w:type="pct"/>
            <w:vAlign w:val="center"/>
          </w:tcPr>
          <w:p w14:paraId="0A95699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60</w:t>
            </w:r>
          </w:p>
        </w:tc>
      </w:tr>
      <w:tr w:rsidR="00B14D53" w14:paraId="00497997" w14:textId="77777777">
        <w:trPr>
          <w:trHeight w:val="267"/>
          <w:tblHeader/>
          <w:jc w:val="center"/>
        </w:trPr>
        <w:tc>
          <w:tcPr>
            <w:tcW w:w="1541" w:type="pct"/>
            <w:vAlign w:val="center"/>
          </w:tcPr>
          <w:p w14:paraId="7FEC6AD9"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交流电焊机</w:t>
            </w:r>
          </w:p>
        </w:tc>
        <w:tc>
          <w:tcPr>
            <w:tcW w:w="1841" w:type="pct"/>
            <w:vAlign w:val="center"/>
          </w:tcPr>
          <w:p w14:paraId="2BCBFD98"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QL150</w:t>
            </w:r>
          </w:p>
        </w:tc>
        <w:tc>
          <w:tcPr>
            <w:tcW w:w="1618" w:type="pct"/>
            <w:vAlign w:val="center"/>
          </w:tcPr>
          <w:p w14:paraId="4BCC865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60</w:t>
            </w:r>
          </w:p>
        </w:tc>
      </w:tr>
      <w:tr w:rsidR="00B14D53" w14:paraId="427B9ED0" w14:textId="77777777">
        <w:trPr>
          <w:trHeight w:val="267"/>
          <w:tblHeader/>
          <w:jc w:val="center"/>
        </w:trPr>
        <w:tc>
          <w:tcPr>
            <w:tcW w:w="1541" w:type="pct"/>
            <w:vAlign w:val="center"/>
          </w:tcPr>
          <w:p w14:paraId="1DCA571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直流电焊机</w:t>
            </w:r>
          </w:p>
        </w:tc>
        <w:tc>
          <w:tcPr>
            <w:tcW w:w="1841" w:type="pct"/>
            <w:vAlign w:val="center"/>
          </w:tcPr>
          <w:p w14:paraId="767CFBC1"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S-150</w:t>
            </w:r>
          </w:p>
        </w:tc>
        <w:tc>
          <w:tcPr>
            <w:tcW w:w="1618" w:type="pct"/>
            <w:vAlign w:val="center"/>
          </w:tcPr>
          <w:p w14:paraId="33D30BE2"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60</w:t>
            </w:r>
          </w:p>
        </w:tc>
      </w:tr>
      <w:tr w:rsidR="00B14D53" w14:paraId="4640BBA3" w14:textId="77777777">
        <w:trPr>
          <w:trHeight w:val="267"/>
          <w:tblHeader/>
          <w:jc w:val="center"/>
        </w:trPr>
        <w:tc>
          <w:tcPr>
            <w:tcW w:w="1541" w:type="pct"/>
            <w:vAlign w:val="center"/>
          </w:tcPr>
          <w:p w14:paraId="1B8876D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石料切割机</w:t>
            </w:r>
          </w:p>
        </w:tc>
        <w:tc>
          <w:tcPr>
            <w:tcW w:w="1841" w:type="pct"/>
            <w:vAlign w:val="center"/>
          </w:tcPr>
          <w:p w14:paraId="5D44EC4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LK50</w:t>
            </w:r>
          </w:p>
        </w:tc>
        <w:tc>
          <w:tcPr>
            <w:tcW w:w="1618" w:type="pct"/>
            <w:vAlign w:val="center"/>
          </w:tcPr>
          <w:p w14:paraId="382A3504"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95</w:t>
            </w:r>
          </w:p>
        </w:tc>
      </w:tr>
      <w:tr w:rsidR="00B14D53" w14:paraId="44241F3D" w14:textId="77777777">
        <w:trPr>
          <w:trHeight w:val="267"/>
          <w:tblHeader/>
          <w:jc w:val="center"/>
        </w:trPr>
        <w:tc>
          <w:tcPr>
            <w:tcW w:w="1541" w:type="pct"/>
            <w:vAlign w:val="center"/>
          </w:tcPr>
          <w:p w14:paraId="3C6B263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机械振捣器</w:t>
            </w:r>
          </w:p>
        </w:tc>
        <w:tc>
          <w:tcPr>
            <w:tcW w:w="1841" w:type="pct"/>
            <w:vAlign w:val="center"/>
          </w:tcPr>
          <w:p w14:paraId="75A7040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HZB50</w:t>
            </w:r>
          </w:p>
        </w:tc>
        <w:tc>
          <w:tcPr>
            <w:tcW w:w="1618" w:type="pct"/>
            <w:vAlign w:val="center"/>
          </w:tcPr>
          <w:p w14:paraId="23530CF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75</w:t>
            </w:r>
          </w:p>
        </w:tc>
      </w:tr>
      <w:tr w:rsidR="00B14D53" w14:paraId="58C01684" w14:textId="77777777">
        <w:trPr>
          <w:trHeight w:val="267"/>
          <w:tblHeader/>
          <w:jc w:val="center"/>
        </w:trPr>
        <w:tc>
          <w:tcPr>
            <w:tcW w:w="1541" w:type="pct"/>
            <w:vAlign w:val="center"/>
          </w:tcPr>
          <w:p w14:paraId="38CF4F03"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电锯</w:t>
            </w:r>
          </w:p>
        </w:tc>
        <w:tc>
          <w:tcPr>
            <w:tcW w:w="1841" w:type="pct"/>
            <w:vAlign w:val="center"/>
          </w:tcPr>
          <w:p w14:paraId="0416F67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w:t>
            </w:r>
          </w:p>
        </w:tc>
        <w:tc>
          <w:tcPr>
            <w:tcW w:w="1618" w:type="pct"/>
            <w:vAlign w:val="center"/>
          </w:tcPr>
          <w:p w14:paraId="7FFAEF6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85</w:t>
            </w:r>
          </w:p>
        </w:tc>
      </w:tr>
      <w:tr w:rsidR="00B14D53" w14:paraId="4FBF233A" w14:textId="77777777">
        <w:trPr>
          <w:trHeight w:val="267"/>
          <w:tblHeader/>
          <w:jc w:val="center"/>
        </w:trPr>
        <w:tc>
          <w:tcPr>
            <w:tcW w:w="1541" w:type="pct"/>
            <w:vAlign w:val="center"/>
          </w:tcPr>
          <w:p w14:paraId="5C2CB1C6"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电锤</w:t>
            </w:r>
          </w:p>
        </w:tc>
        <w:tc>
          <w:tcPr>
            <w:tcW w:w="1841" w:type="pct"/>
            <w:vAlign w:val="center"/>
          </w:tcPr>
          <w:p w14:paraId="39ACE161"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w:t>
            </w:r>
          </w:p>
        </w:tc>
        <w:tc>
          <w:tcPr>
            <w:tcW w:w="1618" w:type="pct"/>
            <w:vAlign w:val="center"/>
          </w:tcPr>
          <w:p w14:paraId="384F2805"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85</w:t>
            </w:r>
          </w:p>
        </w:tc>
      </w:tr>
      <w:tr w:rsidR="00B14D53" w14:paraId="7620CB6B" w14:textId="77777777">
        <w:trPr>
          <w:trHeight w:val="267"/>
          <w:tblHeader/>
          <w:jc w:val="center"/>
        </w:trPr>
        <w:tc>
          <w:tcPr>
            <w:tcW w:w="1541" w:type="pct"/>
            <w:vAlign w:val="center"/>
          </w:tcPr>
          <w:p w14:paraId="72B758FC"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电刨</w:t>
            </w:r>
          </w:p>
        </w:tc>
        <w:tc>
          <w:tcPr>
            <w:tcW w:w="1841" w:type="pct"/>
            <w:vAlign w:val="center"/>
          </w:tcPr>
          <w:p w14:paraId="7EDDB17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w:t>
            </w:r>
          </w:p>
        </w:tc>
        <w:tc>
          <w:tcPr>
            <w:tcW w:w="1618" w:type="pct"/>
            <w:vAlign w:val="center"/>
          </w:tcPr>
          <w:p w14:paraId="19EEB84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85</w:t>
            </w:r>
          </w:p>
        </w:tc>
      </w:tr>
      <w:tr w:rsidR="00B14D53" w14:paraId="58A5B9CC" w14:textId="77777777">
        <w:trPr>
          <w:trHeight w:val="267"/>
          <w:tblHeader/>
          <w:jc w:val="center"/>
        </w:trPr>
        <w:tc>
          <w:tcPr>
            <w:tcW w:w="1541" w:type="pct"/>
            <w:vAlign w:val="center"/>
          </w:tcPr>
          <w:p w14:paraId="6328AE39"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多功能木工刨</w:t>
            </w:r>
          </w:p>
        </w:tc>
        <w:tc>
          <w:tcPr>
            <w:tcW w:w="1841" w:type="pct"/>
            <w:vAlign w:val="center"/>
          </w:tcPr>
          <w:p w14:paraId="2AB09F58"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w:t>
            </w:r>
          </w:p>
        </w:tc>
        <w:tc>
          <w:tcPr>
            <w:tcW w:w="1618" w:type="pct"/>
            <w:vAlign w:val="center"/>
          </w:tcPr>
          <w:p w14:paraId="54DDB641"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100</w:t>
            </w:r>
          </w:p>
        </w:tc>
      </w:tr>
    </w:tbl>
    <w:p w14:paraId="68D5AD4F" w14:textId="77777777" w:rsidR="00B14D53" w:rsidRDefault="00000000">
      <w:pPr>
        <w:spacing w:line="360" w:lineRule="auto"/>
        <w:ind w:firstLineChars="200" w:firstLine="480"/>
        <w:jc w:val="left"/>
        <w:rPr>
          <w:rFonts w:eastAsiaTheme="minorEastAsia"/>
          <w:sz w:val="24"/>
          <w:szCs w:val="21"/>
        </w:rPr>
      </w:pPr>
      <w:r>
        <w:rPr>
          <w:rFonts w:eastAsiaTheme="minorEastAsia" w:hAnsiTheme="minorEastAsia"/>
          <w:sz w:val="24"/>
          <w:szCs w:val="21"/>
        </w:rPr>
        <w:t>施工中使用的各种施工机械、运输车辆等都是噪声的产生源。假设所有设备均为稳态连续发声状态，在不考虑任何声屏障情况下，各设备采用最大噪声值进行预测，根据声环境导则无指向性点源几何发散衰减模式：</w:t>
      </w:r>
    </w:p>
    <w:p w14:paraId="6866A69C" w14:textId="77777777" w:rsidR="00B14D53" w:rsidRDefault="00000000">
      <w:pPr>
        <w:spacing w:line="360" w:lineRule="auto"/>
        <w:jc w:val="center"/>
        <w:rPr>
          <w:rFonts w:eastAsiaTheme="minorEastAsia"/>
          <w:szCs w:val="21"/>
          <w:lang w:val="fr-FR"/>
        </w:rPr>
      </w:pPr>
      <w:r>
        <w:rPr>
          <w:rFonts w:eastAsiaTheme="minorEastAsia"/>
          <w:noProof/>
          <w:szCs w:val="21"/>
        </w:rPr>
        <w:drawing>
          <wp:inline distT="0" distB="0" distL="0" distR="0" wp14:anchorId="01A81678" wp14:editId="2872A6A1">
            <wp:extent cx="1989455" cy="351155"/>
            <wp:effectExtent l="19050" t="0" r="0" b="0"/>
            <wp:docPr id="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0"/>
                    <pic:cNvPicPr>
                      <a:picLocks noChangeAspect="1" noChangeArrowheads="1"/>
                    </pic:cNvPicPr>
                  </pic:nvPicPr>
                  <pic:blipFill>
                    <a:blip r:embed="rId55" cstate="print"/>
                    <a:srcRect/>
                    <a:stretch>
                      <a:fillRect/>
                    </a:stretch>
                  </pic:blipFill>
                  <pic:spPr>
                    <a:xfrm>
                      <a:off x="0" y="0"/>
                      <a:ext cx="1989455" cy="351155"/>
                    </a:xfrm>
                    <a:prstGeom prst="rect">
                      <a:avLst/>
                    </a:prstGeom>
                    <a:noFill/>
                    <a:ln w="9525">
                      <a:noFill/>
                      <a:miter lim="800000"/>
                      <a:headEnd/>
                      <a:tailEnd/>
                    </a:ln>
                  </pic:spPr>
                </pic:pic>
              </a:graphicData>
            </a:graphic>
          </wp:inline>
        </w:drawing>
      </w:r>
    </w:p>
    <w:p w14:paraId="451292A0" w14:textId="77777777" w:rsidR="00B14D53" w:rsidRDefault="00000000">
      <w:pPr>
        <w:spacing w:line="360" w:lineRule="auto"/>
        <w:ind w:firstLineChars="200" w:firstLine="480"/>
        <w:jc w:val="left"/>
        <w:rPr>
          <w:rFonts w:eastAsiaTheme="minorEastAsia"/>
          <w:sz w:val="24"/>
        </w:rPr>
      </w:pPr>
      <w:r>
        <w:rPr>
          <w:rFonts w:eastAsiaTheme="minorEastAsia" w:hAnsiTheme="minorEastAsia"/>
          <w:sz w:val="24"/>
        </w:rPr>
        <w:t>式中：</w:t>
      </w:r>
      <w:r>
        <w:rPr>
          <w:rFonts w:eastAsiaTheme="minorEastAsia"/>
          <w:sz w:val="24"/>
        </w:rPr>
        <w:t>L</w:t>
      </w:r>
      <w:r>
        <w:rPr>
          <w:rFonts w:eastAsiaTheme="minorEastAsia"/>
          <w:sz w:val="24"/>
          <w:vertAlign w:val="subscript"/>
        </w:rPr>
        <w:t>p</w:t>
      </w:r>
      <w:r>
        <w:rPr>
          <w:rFonts w:eastAsiaTheme="minorEastAsia"/>
          <w:sz w:val="24"/>
        </w:rPr>
        <w:t>(r)——</w:t>
      </w:r>
      <w:r>
        <w:rPr>
          <w:rFonts w:eastAsiaTheme="minorEastAsia" w:hAnsiTheme="minorEastAsia"/>
          <w:sz w:val="24"/>
        </w:rPr>
        <w:t>预测点处声压级，</w:t>
      </w:r>
      <w:r>
        <w:rPr>
          <w:rFonts w:eastAsiaTheme="minorEastAsia"/>
          <w:sz w:val="24"/>
        </w:rPr>
        <w:t>dB</w:t>
      </w:r>
    </w:p>
    <w:p w14:paraId="748FE9CD" w14:textId="77777777" w:rsidR="00B14D53" w:rsidRDefault="00000000">
      <w:pPr>
        <w:spacing w:line="360" w:lineRule="auto"/>
        <w:ind w:firstLineChars="500" w:firstLine="1200"/>
        <w:jc w:val="left"/>
        <w:rPr>
          <w:rFonts w:eastAsiaTheme="minorEastAsia"/>
          <w:sz w:val="24"/>
        </w:rPr>
      </w:pPr>
      <w:r>
        <w:rPr>
          <w:rFonts w:eastAsiaTheme="minorEastAsia"/>
          <w:sz w:val="24"/>
        </w:rPr>
        <w:t>L</w:t>
      </w:r>
      <w:r>
        <w:rPr>
          <w:rFonts w:eastAsiaTheme="minorEastAsia"/>
          <w:sz w:val="24"/>
          <w:vertAlign w:val="subscript"/>
        </w:rPr>
        <w:t>p</w:t>
      </w:r>
      <w:r>
        <w:rPr>
          <w:rFonts w:eastAsiaTheme="minorEastAsia" w:hAnsiTheme="minorEastAsia"/>
          <w:sz w:val="24"/>
        </w:rPr>
        <w:t>（</w:t>
      </w:r>
      <w:r>
        <w:rPr>
          <w:rFonts w:eastAsiaTheme="minorEastAsia"/>
          <w:sz w:val="24"/>
        </w:rPr>
        <w:t>r</w:t>
      </w:r>
      <w:r>
        <w:rPr>
          <w:rFonts w:eastAsiaTheme="minorEastAsia"/>
          <w:sz w:val="24"/>
          <w:vertAlign w:val="subscript"/>
        </w:rPr>
        <w:t>0</w:t>
      </w:r>
      <w:r>
        <w:rPr>
          <w:rFonts w:eastAsiaTheme="minorEastAsia" w:hAnsiTheme="minorEastAsia"/>
          <w:sz w:val="24"/>
        </w:rPr>
        <w:t>）</w:t>
      </w:r>
      <w:r>
        <w:rPr>
          <w:rFonts w:eastAsiaTheme="minorEastAsia"/>
          <w:sz w:val="24"/>
        </w:rPr>
        <w:t>——</w:t>
      </w:r>
      <w:r>
        <w:rPr>
          <w:rFonts w:eastAsiaTheme="minorEastAsia" w:hAnsiTheme="minorEastAsia"/>
          <w:sz w:val="24"/>
        </w:rPr>
        <w:t>参考位置</w:t>
      </w:r>
      <w:r>
        <w:rPr>
          <w:rFonts w:eastAsiaTheme="minorEastAsia"/>
          <w:sz w:val="24"/>
        </w:rPr>
        <w:t>r</w:t>
      </w:r>
      <w:r>
        <w:rPr>
          <w:rFonts w:eastAsiaTheme="minorEastAsia"/>
          <w:sz w:val="24"/>
          <w:vertAlign w:val="subscript"/>
        </w:rPr>
        <w:t>0</w:t>
      </w:r>
      <w:r>
        <w:rPr>
          <w:rFonts w:eastAsiaTheme="minorEastAsia" w:hAnsiTheme="minorEastAsia"/>
          <w:sz w:val="24"/>
        </w:rPr>
        <w:t>处的声压级，</w:t>
      </w:r>
      <w:r>
        <w:rPr>
          <w:rFonts w:eastAsiaTheme="minorEastAsia"/>
          <w:sz w:val="24"/>
        </w:rPr>
        <w:t>dB</w:t>
      </w:r>
    </w:p>
    <w:p w14:paraId="500949F8" w14:textId="77777777" w:rsidR="00B14D53" w:rsidRDefault="00000000">
      <w:pPr>
        <w:spacing w:line="360" w:lineRule="auto"/>
        <w:ind w:firstLineChars="500" w:firstLine="1200"/>
        <w:jc w:val="left"/>
        <w:rPr>
          <w:rFonts w:eastAsiaTheme="minorEastAsia"/>
          <w:sz w:val="24"/>
        </w:rPr>
      </w:pPr>
      <w:r>
        <w:rPr>
          <w:rFonts w:eastAsiaTheme="minorEastAsia"/>
          <w:sz w:val="24"/>
        </w:rPr>
        <w:t>r——</w:t>
      </w:r>
      <w:r>
        <w:rPr>
          <w:rFonts w:eastAsiaTheme="minorEastAsia" w:hAnsiTheme="minorEastAsia"/>
          <w:sz w:val="24"/>
        </w:rPr>
        <w:t>预测点距声源的距离，</w:t>
      </w:r>
      <w:r>
        <w:rPr>
          <w:rFonts w:eastAsiaTheme="minorEastAsia"/>
          <w:sz w:val="24"/>
        </w:rPr>
        <w:t>m</w:t>
      </w:r>
    </w:p>
    <w:p w14:paraId="0F678989" w14:textId="77777777" w:rsidR="00B14D53" w:rsidRDefault="00000000">
      <w:pPr>
        <w:spacing w:line="360" w:lineRule="auto"/>
        <w:ind w:firstLineChars="500" w:firstLine="1200"/>
        <w:jc w:val="left"/>
        <w:rPr>
          <w:rFonts w:eastAsiaTheme="minorEastAsia"/>
          <w:sz w:val="24"/>
        </w:rPr>
      </w:pPr>
      <w:r>
        <w:rPr>
          <w:rFonts w:eastAsiaTheme="minorEastAsia"/>
          <w:sz w:val="24"/>
        </w:rPr>
        <w:t>r</w:t>
      </w:r>
      <w:r>
        <w:rPr>
          <w:rFonts w:eastAsiaTheme="minorEastAsia"/>
          <w:sz w:val="24"/>
          <w:vertAlign w:val="subscript"/>
        </w:rPr>
        <w:t>0</w:t>
      </w:r>
      <w:r>
        <w:rPr>
          <w:rFonts w:eastAsiaTheme="minorEastAsia"/>
          <w:sz w:val="24"/>
        </w:rPr>
        <w:t>——</w:t>
      </w:r>
      <w:r>
        <w:rPr>
          <w:rFonts w:eastAsiaTheme="minorEastAsia" w:hAnsiTheme="minorEastAsia"/>
          <w:sz w:val="24"/>
        </w:rPr>
        <w:t>参考位置距声源的距离，</w:t>
      </w:r>
      <w:r>
        <w:rPr>
          <w:rFonts w:eastAsiaTheme="minorEastAsia"/>
          <w:sz w:val="24"/>
        </w:rPr>
        <w:t>m</w:t>
      </w:r>
    </w:p>
    <w:p w14:paraId="12140977" w14:textId="77777777" w:rsidR="00B14D53" w:rsidRDefault="00000000">
      <w:pPr>
        <w:spacing w:line="360" w:lineRule="auto"/>
        <w:ind w:firstLineChars="200" w:firstLine="480"/>
        <w:jc w:val="left"/>
        <w:rPr>
          <w:rFonts w:eastAsiaTheme="minorEastAsia"/>
          <w:sz w:val="24"/>
        </w:rPr>
      </w:pPr>
      <w:r>
        <w:rPr>
          <w:rFonts w:eastAsiaTheme="minorEastAsia" w:hAnsiTheme="minorEastAsia"/>
          <w:sz w:val="24"/>
        </w:rPr>
        <w:t>点声源距离衰减情况如下表所示：</w:t>
      </w:r>
    </w:p>
    <w:p w14:paraId="25BBD2A7" w14:textId="77777777" w:rsidR="00B14D53" w:rsidRDefault="00000000">
      <w:pPr>
        <w:jc w:val="center"/>
        <w:rPr>
          <w:b/>
          <w:bCs/>
        </w:rPr>
      </w:pPr>
      <w:r>
        <w:rPr>
          <w:rFonts w:hint="eastAsia"/>
          <w:b/>
          <w:bCs/>
        </w:rPr>
        <w:t>表</w:t>
      </w:r>
      <w:r>
        <w:rPr>
          <w:rFonts w:hint="eastAsia"/>
          <w:b/>
          <w:bCs/>
        </w:rPr>
        <w:t xml:space="preserve">5-1-4 </w:t>
      </w:r>
      <w:r>
        <w:rPr>
          <w:rFonts w:hint="eastAsia"/>
          <w:b/>
          <w:bCs/>
        </w:rPr>
        <w:t>点声源距离衰减情况</w:t>
      </w:r>
    </w:p>
    <w:tbl>
      <w:tblPr>
        <w:tblW w:w="5059"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35"/>
        <w:gridCol w:w="689"/>
        <w:gridCol w:w="689"/>
        <w:gridCol w:w="689"/>
        <w:gridCol w:w="679"/>
        <w:gridCol w:w="689"/>
        <w:gridCol w:w="689"/>
        <w:gridCol w:w="689"/>
        <w:gridCol w:w="689"/>
        <w:gridCol w:w="689"/>
        <w:gridCol w:w="689"/>
        <w:gridCol w:w="596"/>
        <w:gridCol w:w="93"/>
      </w:tblGrid>
      <w:tr w:rsidR="00B14D53" w14:paraId="2D695585" w14:textId="77777777">
        <w:trPr>
          <w:gridAfter w:val="1"/>
          <w:wAfter w:w="55" w:type="pct"/>
          <w:trHeight w:val="81"/>
        </w:trPr>
        <w:tc>
          <w:tcPr>
            <w:tcW w:w="502" w:type="pct"/>
            <w:tcBorders>
              <w:top w:val="single" w:sz="12" w:space="0" w:color="auto"/>
              <w:left w:val="nil"/>
              <w:bottom w:val="single" w:sz="4" w:space="0" w:color="auto"/>
              <w:right w:val="single" w:sz="4" w:space="0" w:color="auto"/>
            </w:tcBorders>
            <w:vAlign w:val="center"/>
          </w:tcPr>
          <w:p w14:paraId="318D21E4"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源强</w:t>
            </w:r>
          </w:p>
        </w:tc>
        <w:tc>
          <w:tcPr>
            <w:tcW w:w="4443" w:type="pct"/>
            <w:gridSpan w:val="11"/>
            <w:tcBorders>
              <w:top w:val="single" w:sz="12" w:space="0" w:color="auto"/>
              <w:left w:val="single" w:sz="4" w:space="0" w:color="auto"/>
              <w:bottom w:val="single" w:sz="4" w:space="0" w:color="auto"/>
              <w:right w:val="nil"/>
            </w:tcBorders>
            <w:vAlign w:val="center"/>
          </w:tcPr>
          <w:p w14:paraId="0E59FDC6" w14:textId="77777777" w:rsidR="00B14D53" w:rsidRDefault="00000000">
            <w:pPr>
              <w:pStyle w:val="afff2"/>
              <w:spacing w:line="240" w:lineRule="auto"/>
              <w:rPr>
                <w:rFonts w:eastAsiaTheme="minorEastAsia" w:hAnsi="Times New Roman"/>
                <w:b/>
                <w:bCs/>
                <w:snapToGrid w:val="0"/>
                <w:szCs w:val="22"/>
              </w:rPr>
            </w:pPr>
            <w:r>
              <w:rPr>
                <w:rFonts w:eastAsiaTheme="minorEastAsia" w:hAnsi="Times New Roman"/>
                <w:b/>
                <w:bCs/>
                <w:snapToGrid w:val="0"/>
                <w:szCs w:val="22"/>
              </w:rPr>
              <w:t>100dB</w:t>
            </w:r>
            <w:r>
              <w:rPr>
                <w:rFonts w:eastAsiaTheme="minorEastAsia" w:hAnsi="Times New Roman"/>
                <w:b/>
                <w:bCs/>
                <w:snapToGrid w:val="0"/>
                <w:szCs w:val="22"/>
              </w:rPr>
              <w:t>（</w:t>
            </w:r>
            <w:r>
              <w:rPr>
                <w:rFonts w:eastAsiaTheme="minorEastAsia" w:hAnsi="Times New Roman"/>
                <w:b/>
                <w:bCs/>
                <w:snapToGrid w:val="0"/>
                <w:szCs w:val="22"/>
              </w:rPr>
              <w:t>A</w:t>
            </w:r>
            <w:r>
              <w:rPr>
                <w:rFonts w:eastAsiaTheme="minorEastAsia" w:hAnsi="Times New Roman"/>
                <w:b/>
                <w:bCs/>
                <w:snapToGrid w:val="0"/>
                <w:szCs w:val="22"/>
              </w:rPr>
              <w:t>）</w:t>
            </w:r>
          </w:p>
        </w:tc>
      </w:tr>
      <w:tr w:rsidR="00B14D53" w14:paraId="25143CE6" w14:textId="77777777">
        <w:trPr>
          <w:trHeight w:val="60"/>
        </w:trPr>
        <w:tc>
          <w:tcPr>
            <w:tcW w:w="502" w:type="pct"/>
            <w:tcBorders>
              <w:top w:val="single" w:sz="4" w:space="0" w:color="auto"/>
              <w:left w:val="nil"/>
              <w:bottom w:val="single" w:sz="4" w:space="0" w:color="auto"/>
              <w:right w:val="single" w:sz="4" w:space="0" w:color="auto"/>
            </w:tcBorders>
            <w:vAlign w:val="center"/>
          </w:tcPr>
          <w:p w14:paraId="3D0298D2"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距离</w:t>
            </w:r>
          </w:p>
        </w:tc>
        <w:tc>
          <w:tcPr>
            <w:tcW w:w="411" w:type="pct"/>
            <w:tcBorders>
              <w:top w:val="single" w:sz="4" w:space="0" w:color="auto"/>
              <w:left w:val="single" w:sz="4" w:space="0" w:color="auto"/>
              <w:bottom w:val="single" w:sz="4" w:space="0" w:color="auto"/>
              <w:right w:val="single" w:sz="4" w:space="0" w:color="auto"/>
            </w:tcBorders>
            <w:vAlign w:val="center"/>
          </w:tcPr>
          <w:p w14:paraId="27AD9166"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31</w:t>
            </w:r>
          </w:p>
        </w:tc>
        <w:tc>
          <w:tcPr>
            <w:tcW w:w="400" w:type="pct"/>
            <w:tcBorders>
              <w:top w:val="single" w:sz="4" w:space="0" w:color="auto"/>
              <w:left w:val="single" w:sz="4" w:space="0" w:color="auto"/>
              <w:bottom w:val="single" w:sz="4" w:space="0" w:color="auto"/>
              <w:right w:val="single" w:sz="4" w:space="0" w:color="auto"/>
            </w:tcBorders>
            <w:vAlign w:val="center"/>
          </w:tcPr>
          <w:p w14:paraId="48AFB91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32</w:t>
            </w:r>
          </w:p>
        </w:tc>
        <w:tc>
          <w:tcPr>
            <w:tcW w:w="400" w:type="pct"/>
            <w:tcBorders>
              <w:top w:val="single" w:sz="4" w:space="0" w:color="auto"/>
              <w:left w:val="single" w:sz="4" w:space="0" w:color="auto"/>
              <w:bottom w:val="single" w:sz="4" w:space="0" w:color="auto"/>
              <w:right w:val="single" w:sz="4" w:space="0" w:color="auto"/>
            </w:tcBorders>
            <w:vAlign w:val="center"/>
          </w:tcPr>
          <w:p w14:paraId="185D7D2E"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50</w:t>
            </w:r>
          </w:p>
        </w:tc>
        <w:tc>
          <w:tcPr>
            <w:tcW w:w="411" w:type="pct"/>
            <w:tcBorders>
              <w:top w:val="single" w:sz="4" w:space="0" w:color="auto"/>
              <w:left w:val="single" w:sz="4" w:space="0" w:color="auto"/>
              <w:bottom w:val="single" w:sz="4" w:space="0" w:color="auto"/>
              <w:right w:val="single" w:sz="4" w:space="0" w:color="auto"/>
            </w:tcBorders>
            <w:vAlign w:val="center"/>
          </w:tcPr>
          <w:p w14:paraId="559819E9"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100</w:t>
            </w:r>
          </w:p>
        </w:tc>
        <w:tc>
          <w:tcPr>
            <w:tcW w:w="411" w:type="pct"/>
            <w:tcBorders>
              <w:top w:val="single" w:sz="4" w:space="0" w:color="auto"/>
              <w:left w:val="single" w:sz="4" w:space="0" w:color="auto"/>
              <w:bottom w:val="single" w:sz="4" w:space="0" w:color="auto"/>
              <w:right w:val="single" w:sz="4" w:space="0" w:color="auto"/>
            </w:tcBorders>
            <w:vAlign w:val="center"/>
          </w:tcPr>
          <w:p w14:paraId="4726F56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177</w:t>
            </w:r>
          </w:p>
        </w:tc>
        <w:tc>
          <w:tcPr>
            <w:tcW w:w="412" w:type="pct"/>
            <w:tcBorders>
              <w:top w:val="single" w:sz="4" w:space="0" w:color="auto"/>
              <w:left w:val="single" w:sz="4" w:space="0" w:color="auto"/>
              <w:bottom w:val="single" w:sz="4" w:space="0" w:color="auto"/>
              <w:right w:val="single" w:sz="4" w:space="0" w:color="auto"/>
            </w:tcBorders>
            <w:vAlign w:val="center"/>
          </w:tcPr>
          <w:p w14:paraId="3CA26B7B"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178</w:t>
            </w:r>
          </w:p>
        </w:tc>
        <w:tc>
          <w:tcPr>
            <w:tcW w:w="412" w:type="pct"/>
            <w:tcBorders>
              <w:top w:val="single" w:sz="4" w:space="0" w:color="auto"/>
              <w:left w:val="single" w:sz="4" w:space="0" w:color="auto"/>
              <w:bottom w:val="single" w:sz="4" w:space="0" w:color="auto"/>
              <w:right w:val="single" w:sz="4" w:space="0" w:color="auto"/>
            </w:tcBorders>
            <w:vAlign w:val="center"/>
          </w:tcPr>
          <w:p w14:paraId="3E022473"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200</w:t>
            </w:r>
          </w:p>
        </w:tc>
        <w:tc>
          <w:tcPr>
            <w:tcW w:w="412" w:type="pct"/>
            <w:tcBorders>
              <w:top w:val="single" w:sz="4" w:space="0" w:color="auto"/>
              <w:left w:val="single" w:sz="4" w:space="0" w:color="auto"/>
              <w:bottom w:val="single" w:sz="4" w:space="0" w:color="auto"/>
              <w:right w:val="single" w:sz="4" w:space="0" w:color="auto"/>
            </w:tcBorders>
            <w:vAlign w:val="center"/>
          </w:tcPr>
          <w:p w14:paraId="733D36A7"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300</w:t>
            </w:r>
          </w:p>
        </w:tc>
        <w:tc>
          <w:tcPr>
            <w:tcW w:w="412" w:type="pct"/>
            <w:tcBorders>
              <w:top w:val="single" w:sz="4" w:space="0" w:color="auto"/>
              <w:left w:val="single" w:sz="4" w:space="0" w:color="auto"/>
              <w:bottom w:val="single" w:sz="4" w:space="0" w:color="auto"/>
              <w:right w:val="single" w:sz="4" w:space="0" w:color="auto"/>
            </w:tcBorders>
            <w:vAlign w:val="center"/>
          </w:tcPr>
          <w:p w14:paraId="0E668D92"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400</w:t>
            </w:r>
          </w:p>
        </w:tc>
        <w:tc>
          <w:tcPr>
            <w:tcW w:w="412" w:type="pct"/>
            <w:tcBorders>
              <w:top w:val="single" w:sz="4" w:space="0" w:color="auto"/>
              <w:left w:val="single" w:sz="4" w:space="0" w:color="auto"/>
              <w:bottom w:val="single" w:sz="4" w:space="0" w:color="auto"/>
              <w:right w:val="single" w:sz="4" w:space="0" w:color="auto"/>
            </w:tcBorders>
            <w:vAlign w:val="center"/>
          </w:tcPr>
          <w:p w14:paraId="0F51D8E8"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500</w:t>
            </w:r>
          </w:p>
        </w:tc>
        <w:tc>
          <w:tcPr>
            <w:tcW w:w="405" w:type="pct"/>
            <w:gridSpan w:val="2"/>
            <w:tcBorders>
              <w:top w:val="single" w:sz="4" w:space="0" w:color="auto"/>
              <w:left w:val="single" w:sz="4" w:space="0" w:color="auto"/>
              <w:bottom w:val="single" w:sz="4" w:space="0" w:color="auto"/>
              <w:right w:val="nil"/>
            </w:tcBorders>
            <w:vAlign w:val="center"/>
          </w:tcPr>
          <w:p w14:paraId="51FAFEF7"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600</w:t>
            </w:r>
          </w:p>
        </w:tc>
      </w:tr>
      <w:tr w:rsidR="00B14D53" w14:paraId="0C72009D" w14:textId="77777777">
        <w:trPr>
          <w:trHeight w:val="60"/>
        </w:trPr>
        <w:tc>
          <w:tcPr>
            <w:tcW w:w="502" w:type="pct"/>
            <w:tcBorders>
              <w:top w:val="single" w:sz="4" w:space="0" w:color="auto"/>
              <w:left w:val="nil"/>
              <w:bottom w:val="single" w:sz="12" w:space="0" w:color="auto"/>
              <w:right w:val="single" w:sz="4" w:space="0" w:color="auto"/>
            </w:tcBorders>
            <w:vAlign w:val="center"/>
          </w:tcPr>
          <w:p w14:paraId="1470FE00"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贡献值</w:t>
            </w:r>
          </w:p>
        </w:tc>
        <w:tc>
          <w:tcPr>
            <w:tcW w:w="411" w:type="pct"/>
            <w:tcBorders>
              <w:top w:val="single" w:sz="4" w:space="0" w:color="auto"/>
              <w:left w:val="single" w:sz="4" w:space="0" w:color="auto"/>
              <w:bottom w:val="single" w:sz="12" w:space="0" w:color="auto"/>
              <w:right w:val="single" w:sz="4" w:space="0" w:color="auto"/>
            </w:tcBorders>
            <w:vAlign w:val="center"/>
          </w:tcPr>
          <w:p w14:paraId="4DCD138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70.17</w:t>
            </w:r>
          </w:p>
        </w:tc>
        <w:tc>
          <w:tcPr>
            <w:tcW w:w="400" w:type="pct"/>
            <w:tcBorders>
              <w:top w:val="single" w:sz="4" w:space="0" w:color="auto"/>
              <w:left w:val="single" w:sz="4" w:space="0" w:color="auto"/>
              <w:bottom w:val="single" w:sz="12" w:space="0" w:color="auto"/>
              <w:right w:val="single" w:sz="4" w:space="0" w:color="auto"/>
            </w:tcBorders>
            <w:vAlign w:val="center"/>
          </w:tcPr>
          <w:p w14:paraId="4F73E1FC"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69.90</w:t>
            </w:r>
          </w:p>
        </w:tc>
        <w:tc>
          <w:tcPr>
            <w:tcW w:w="400" w:type="pct"/>
            <w:tcBorders>
              <w:top w:val="single" w:sz="4" w:space="0" w:color="auto"/>
              <w:left w:val="single" w:sz="4" w:space="0" w:color="auto"/>
              <w:bottom w:val="single" w:sz="12" w:space="0" w:color="auto"/>
              <w:right w:val="single" w:sz="4" w:space="0" w:color="auto"/>
            </w:tcBorders>
            <w:vAlign w:val="center"/>
          </w:tcPr>
          <w:p w14:paraId="2BB1719D"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66.02</w:t>
            </w:r>
          </w:p>
        </w:tc>
        <w:tc>
          <w:tcPr>
            <w:tcW w:w="411" w:type="pct"/>
            <w:tcBorders>
              <w:top w:val="single" w:sz="4" w:space="0" w:color="auto"/>
              <w:left w:val="single" w:sz="4" w:space="0" w:color="auto"/>
              <w:bottom w:val="single" w:sz="12" w:space="0" w:color="auto"/>
              <w:right w:val="single" w:sz="4" w:space="0" w:color="auto"/>
            </w:tcBorders>
            <w:vAlign w:val="center"/>
          </w:tcPr>
          <w:p w14:paraId="5160718C"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60</w:t>
            </w:r>
          </w:p>
        </w:tc>
        <w:tc>
          <w:tcPr>
            <w:tcW w:w="411" w:type="pct"/>
            <w:tcBorders>
              <w:top w:val="single" w:sz="4" w:space="0" w:color="auto"/>
              <w:left w:val="single" w:sz="4" w:space="0" w:color="auto"/>
              <w:bottom w:val="single" w:sz="12" w:space="0" w:color="auto"/>
              <w:right w:val="single" w:sz="4" w:space="0" w:color="auto"/>
            </w:tcBorders>
            <w:vAlign w:val="center"/>
          </w:tcPr>
          <w:p w14:paraId="7BF0D5B5"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55.04</w:t>
            </w:r>
          </w:p>
        </w:tc>
        <w:tc>
          <w:tcPr>
            <w:tcW w:w="412" w:type="pct"/>
            <w:tcBorders>
              <w:top w:val="single" w:sz="4" w:space="0" w:color="auto"/>
              <w:left w:val="single" w:sz="4" w:space="0" w:color="auto"/>
              <w:bottom w:val="single" w:sz="12" w:space="0" w:color="auto"/>
              <w:right w:val="single" w:sz="4" w:space="0" w:color="auto"/>
            </w:tcBorders>
            <w:vAlign w:val="center"/>
          </w:tcPr>
          <w:p w14:paraId="61437664"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54.99</w:t>
            </w:r>
          </w:p>
        </w:tc>
        <w:tc>
          <w:tcPr>
            <w:tcW w:w="412" w:type="pct"/>
            <w:tcBorders>
              <w:top w:val="single" w:sz="4" w:space="0" w:color="auto"/>
              <w:left w:val="single" w:sz="4" w:space="0" w:color="auto"/>
              <w:bottom w:val="single" w:sz="12" w:space="0" w:color="auto"/>
              <w:right w:val="single" w:sz="4" w:space="0" w:color="auto"/>
            </w:tcBorders>
            <w:vAlign w:val="center"/>
          </w:tcPr>
          <w:p w14:paraId="7421BB0F"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53.98</w:t>
            </w:r>
          </w:p>
        </w:tc>
        <w:tc>
          <w:tcPr>
            <w:tcW w:w="412" w:type="pct"/>
            <w:tcBorders>
              <w:top w:val="single" w:sz="4" w:space="0" w:color="auto"/>
              <w:left w:val="single" w:sz="4" w:space="0" w:color="auto"/>
              <w:bottom w:val="single" w:sz="12" w:space="0" w:color="auto"/>
              <w:right w:val="single" w:sz="4" w:space="0" w:color="auto"/>
            </w:tcBorders>
            <w:vAlign w:val="center"/>
          </w:tcPr>
          <w:p w14:paraId="4D121B65"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50.45</w:t>
            </w:r>
          </w:p>
        </w:tc>
        <w:tc>
          <w:tcPr>
            <w:tcW w:w="412" w:type="pct"/>
            <w:tcBorders>
              <w:top w:val="single" w:sz="4" w:space="0" w:color="auto"/>
              <w:left w:val="single" w:sz="4" w:space="0" w:color="auto"/>
              <w:bottom w:val="single" w:sz="12" w:space="0" w:color="auto"/>
              <w:right w:val="single" w:sz="4" w:space="0" w:color="auto"/>
            </w:tcBorders>
            <w:vAlign w:val="center"/>
          </w:tcPr>
          <w:p w14:paraId="4AB1CFBA"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47.96</w:t>
            </w:r>
          </w:p>
        </w:tc>
        <w:tc>
          <w:tcPr>
            <w:tcW w:w="412" w:type="pct"/>
            <w:tcBorders>
              <w:top w:val="single" w:sz="4" w:space="0" w:color="auto"/>
              <w:left w:val="single" w:sz="4" w:space="0" w:color="auto"/>
              <w:bottom w:val="single" w:sz="12" w:space="0" w:color="auto"/>
              <w:right w:val="single" w:sz="4" w:space="0" w:color="auto"/>
            </w:tcBorders>
            <w:vAlign w:val="center"/>
          </w:tcPr>
          <w:p w14:paraId="227AEAD7"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46.02</w:t>
            </w:r>
          </w:p>
        </w:tc>
        <w:tc>
          <w:tcPr>
            <w:tcW w:w="405" w:type="pct"/>
            <w:gridSpan w:val="2"/>
            <w:tcBorders>
              <w:top w:val="single" w:sz="4" w:space="0" w:color="auto"/>
              <w:left w:val="single" w:sz="4" w:space="0" w:color="auto"/>
              <w:bottom w:val="single" w:sz="12" w:space="0" w:color="auto"/>
              <w:right w:val="nil"/>
            </w:tcBorders>
            <w:vAlign w:val="center"/>
          </w:tcPr>
          <w:p w14:paraId="608FEC88" w14:textId="77777777" w:rsidR="00B14D53" w:rsidRDefault="00000000">
            <w:pPr>
              <w:pStyle w:val="afff2"/>
              <w:spacing w:line="240" w:lineRule="auto"/>
              <w:rPr>
                <w:rFonts w:eastAsiaTheme="minorEastAsia" w:hAnsi="Times New Roman"/>
                <w:snapToGrid w:val="0"/>
                <w:szCs w:val="22"/>
              </w:rPr>
            </w:pPr>
            <w:r>
              <w:rPr>
                <w:rFonts w:eastAsiaTheme="minorEastAsia" w:hAnsi="Times New Roman"/>
                <w:snapToGrid w:val="0"/>
                <w:szCs w:val="22"/>
              </w:rPr>
              <w:t>44.43</w:t>
            </w:r>
          </w:p>
        </w:tc>
      </w:tr>
    </w:tbl>
    <w:p w14:paraId="0C8E4D65" w14:textId="77777777" w:rsidR="00B14D53" w:rsidRDefault="00000000">
      <w:pPr>
        <w:spacing w:line="360" w:lineRule="auto"/>
        <w:ind w:firstLineChars="200" w:firstLine="480"/>
        <w:rPr>
          <w:rFonts w:eastAsiaTheme="minorEastAsia"/>
          <w:sz w:val="24"/>
          <w:szCs w:val="21"/>
        </w:rPr>
      </w:pPr>
      <w:r>
        <w:rPr>
          <w:rFonts w:eastAsiaTheme="minorEastAsia" w:hAnsiTheme="minorEastAsia"/>
          <w:sz w:val="24"/>
          <w:szCs w:val="21"/>
        </w:rPr>
        <w:t>根据《建筑施工场界环境噪声排放标准》（</w:t>
      </w:r>
      <w:r>
        <w:rPr>
          <w:rFonts w:eastAsiaTheme="minorEastAsia"/>
          <w:sz w:val="24"/>
          <w:szCs w:val="21"/>
        </w:rPr>
        <w:t>GB12523-2011</w:t>
      </w:r>
      <w:r>
        <w:rPr>
          <w:rFonts w:eastAsiaTheme="minorEastAsia" w:hAnsiTheme="minorEastAsia"/>
          <w:sz w:val="24"/>
          <w:szCs w:val="21"/>
        </w:rPr>
        <w:t>）的规定，施工噪声控制在昼间</w:t>
      </w:r>
      <w:r>
        <w:rPr>
          <w:rFonts w:eastAsiaTheme="minorEastAsia"/>
          <w:sz w:val="24"/>
          <w:szCs w:val="21"/>
        </w:rPr>
        <w:t>70dB</w:t>
      </w:r>
      <w:r>
        <w:rPr>
          <w:rFonts w:eastAsiaTheme="minorEastAsia" w:hAnsiTheme="minorEastAsia"/>
          <w:sz w:val="24"/>
          <w:szCs w:val="21"/>
        </w:rPr>
        <w:t>（</w:t>
      </w:r>
      <w:r>
        <w:rPr>
          <w:rFonts w:eastAsiaTheme="minorEastAsia"/>
          <w:sz w:val="24"/>
          <w:szCs w:val="21"/>
        </w:rPr>
        <w:t>A</w:t>
      </w:r>
      <w:r>
        <w:rPr>
          <w:rFonts w:eastAsiaTheme="minorEastAsia" w:hAnsiTheme="minorEastAsia"/>
          <w:sz w:val="24"/>
          <w:szCs w:val="21"/>
        </w:rPr>
        <w:t>），夜间控制在</w:t>
      </w:r>
      <w:r>
        <w:rPr>
          <w:rFonts w:eastAsiaTheme="minorEastAsia"/>
          <w:sz w:val="24"/>
          <w:szCs w:val="21"/>
        </w:rPr>
        <w:t>55dB</w:t>
      </w:r>
      <w:r>
        <w:rPr>
          <w:rFonts w:eastAsiaTheme="minorEastAsia" w:hAnsiTheme="minorEastAsia"/>
          <w:sz w:val="24"/>
          <w:szCs w:val="21"/>
        </w:rPr>
        <w:t>（</w:t>
      </w:r>
      <w:r>
        <w:rPr>
          <w:rFonts w:eastAsiaTheme="minorEastAsia"/>
          <w:sz w:val="24"/>
          <w:szCs w:val="21"/>
        </w:rPr>
        <w:t>A</w:t>
      </w:r>
      <w:r>
        <w:rPr>
          <w:rFonts w:eastAsiaTheme="minorEastAsia" w:hAnsiTheme="minorEastAsia"/>
          <w:sz w:val="24"/>
          <w:szCs w:val="21"/>
        </w:rPr>
        <w:t>）。</w:t>
      </w:r>
    </w:p>
    <w:p w14:paraId="4A3BE4AC" w14:textId="77777777" w:rsidR="00B14D53" w:rsidRDefault="00000000">
      <w:pPr>
        <w:spacing w:line="360" w:lineRule="auto"/>
        <w:ind w:firstLineChars="200" w:firstLine="480"/>
        <w:rPr>
          <w:rFonts w:eastAsiaTheme="minorEastAsia"/>
          <w:sz w:val="24"/>
          <w:szCs w:val="21"/>
        </w:rPr>
      </w:pPr>
      <w:r>
        <w:rPr>
          <w:rFonts w:eastAsiaTheme="minorEastAsia" w:hAnsiTheme="minorEastAsia"/>
          <w:sz w:val="24"/>
          <w:szCs w:val="21"/>
        </w:rPr>
        <w:t>项目施工机械最大声功率级按</w:t>
      </w:r>
      <w:r>
        <w:rPr>
          <w:rFonts w:eastAsiaTheme="minorEastAsia"/>
          <w:sz w:val="24"/>
          <w:szCs w:val="21"/>
        </w:rPr>
        <w:t>100dB</w:t>
      </w:r>
      <w:r>
        <w:rPr>
          <w:rFonts w:eastAsiaTheme="minorEastAsia" w:hAnsiTheme="minorEastAsia"/>
          <w:sz w:val="24"/>
          <w:szCs w:val="21"/>
        </w:rPr>
        <w:t>（</w:t>
      </w:r>
      <w:r>
        <w:rPr>
          <w:rFonts w:eastAsiaTheme="minorEastAsia"/>
          <w:sz w:val="24"/>
          <w:szCs w:val="21"/>
        </w:rPr>
        <w:t>A</w:t>
      </w:r>
      <w:r>
        <w:rPr>
          <w:rFonts w:eastAsiaTheme="minorEastAsia" w:hAnsiTheme="minorEastAsia"/>
          <w:sz w:val="24"/>
          <w:szCs w:val="21"/>
        </w:rPr>
        <w:t>）计算，白天衰减至</w:t>
      </w:r>
      <w:r>
        <w:rPr>
          <w:rFonts w:eastAsiaTheme="minorEastAsia"/>
          <w:sz w:val="24"/>
          <w:szCs w:val="21"/>
        </w:rPr>
        <w:t>70dB</w:t>
      </w:r>
      <w:r>
        <w:rPr>
          <w:rFonts w:eastAsiaTheme="minorEastAsia" w:hAnsiTheme="minorEastAsia"/>
          <w:sz w:val="24"/>
          <w:szCs w:val="21"/>
        </w:rPr>
        <w:t>（</w:t>
      </w:r>
      <w:r>
        <w:rPr>
          <w:rFonts w:eastAsiaTheme="minorEastAsia"/>
          <w:sz w:val="24"/>
          <w:szCs w:val="21"/>
        </w:rPr>
        <w:t>A</w:t>
      </w:r>
      <w:r>
        <w:rPr>
          <w:rFonts w:eastAsiaTheme="minorEastAsia" w:hAnsiTheme="minorEastAsia"/>
          <w:sz w:val="24"/>
          <w:szCs w:val="21"/>
        </w:rPr>
        <w:t>）时需要满足的衰减距离为</w:t>
      </w:r>
      <w:r>
        <w:rPr>
          <w:rFonts w:eastAsiaTheme="minorEastAsia"/>
          <w:sz w:val="24"/>
          <w:szCs w:val="21"/>
        </w:rPr>
        <w:t>32m</w:t>
      </w:r>
      <w:r>
        <w:rPr>
          <w:rFonts w:eastAsiaTheme="minorEastAsia" w:hAnsiTheme="minorEastAsia"/>
          <w:sz w:val="24"/>
          <w:szCs w:val="21"/>
        </w:rPr>
        <w:t>，夜间衰减至</w:t>
      </w:r>
      <w:r>
        <w:rPr>
          <w:rFonts w:eastAsiaTheme="minorEastAsia"/>
          <w:sz w:val="24"/>
          <w:szCs w:val="21"/>
        </w:rPr>
        <w:t>55dB</w:t>
      </w:r>
      <w:r>
        <w:rPr>
          <w:rFonts w:eastAsiaTheme="minorEastAsia" w:hAnsiTheme="minorEastAsia"/>
          <w:sz w:val="24"/>
          <w:szCs w:val="21"/>
        </w:rPr>
        <w:t>（</w:t>
      </w:r>
      <w:r>
        <w:rPr>
          <w:rFonts w:eastAsiaTheme="minorEastAsia"/>
          <w:sz w:val="24"/>
          <w:szCs w:val="21"/>
        </w:rPr>
        <w:t>A</w:t>
      </w:r>
      <w:r>
        <w:rPr>
          <w:rFonts w:eastAsiaTheme="minorEastAsia" w:hAnsiTheme="minorEastAsia"/>
          <w:sz w:val="24"/>
          <w:szCs w:val="21"/>
        </w:rPr>
        <w:t>）时需要满足的衰减距离为</w:t>
      </w:r>
      <w:r>
        <w:rPr>
          <w:rFonts w:eastAsiaTheme="minorEastAsia"/>
          <w:sz w:val="24"/>
          <w:szCs w:val="21"/>
        </w:rPr>
        <w:t>178m</w:t>
      </w:r>
      <w:r>
        <w:rPr>
          <w:rFonts w:eastAsiaTheme="minorEastAsia" w:hAnsiTheme="minorEastAsia"/>
          <w:sz w:val="24"/>
          <w:szCs w:val="21"/>
        </w:rPr>
        <w:t>。本项目</w:t>
      </w:r>
      <w:r>
        <w:rPr>
          <w:rFonts w:eastAsiaTheme="minorEastAsia"/>
          <w:sz w:val="24"/>
          <w:szCs w:val="21"/>
        </w:rPr>
        <w:t>500m</w:t>
      </w:r>
      <w:r>
        <w:rPr>
          <w:rFonts w:eastAsiaTheme="minorEastAsia" w:hAnsiTheme="minorEastAsia"/>
          <w:sz w:val="24"/>
          <w:szCs w:val="21"/>
        </w:rPr>
        <w:t>范围内无居民点等敏感目标，且夜间不施工，所以能达到距离衰减的要求，对居民区影响较小。</w:t>
      </w:r>
    </w:p>
    <w:p w14:paraId="76C0712C" w14:textId="77777777" w:rsidR="00B14D53" w:rsidRDefault="00000000">
      <w:pPr>
        <w:spacing w:line="360" w:lineRule="auto"/>
        <w:ind w:firstLineChars="200" w:firstLine="480"/>
        <w:rPr>
          <w:rFonts w:eastAsiaTheme="minorEastAsia"/>
          <w:sz w:val="24"/>
          <w:szCs w:val="21"/>
        </w:rPr>
      </w:pPr>
      <w:r>
        <w:rPr>
          <w:rFonts w:eastAsiaTheme="minorEastAsia" w:hAnsiTheme="minorEastAsia"/>
          <w:sz w:val="24"/>
          <w:szCs w:val="21"/>
        </w:rPr>
        <w:t>本项目施工期间产生的噪声不会对周围环境造成明显影响，其施工场界声环境可满足《建筑施工场界环境噪声排放标准》（</w:t>
      </w:r>
      <w:r>
        <w:rPr>
          <w:rFonts w:eastAsiaTheme="minorEastAsia"/>
          <w:sz w:val="24"/>
          <w:szCs w:val="21"/>
        </w:rPr>
        <w:t>GB12523-2011</w:t>
      </w:r>
      <w:r>
        <w:rPr>
          <w:rFonts w:eastAsiaTheme="minorEastAsia" w:hAnsiTheme="minorEastAsia"/>
          <w:sz w:val="24"/>
          <w:szCs w:val="21"/>
        </w:rPr>
        <w:t>）要求，对区域声环境不会产生显著性不良影响。</w:t>
      </w:r>
    </w:p>
    <w:p w14:paraId="4FC2AB41"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5.1.4</w:t>
      </w:r>
      <w:r>
        <w:rPr>
          <w:rFonts w:ascii="Times New Roman" w:eastAsia="黑体" w:hAnsi="Times New Roman" w:cs="Times New Roman"/>
          <w:bCs/>
          <w:sz w:val="28"/>
          <w:szCs w:val="28"/>
        </w:rPr>
        <w:t>施工期固体废物环境影响评价</w:t>
      </w:r>
    </w:p>
    <w:p w14:paraId="7A30C9A1" w14:textId="77777777" w:rsidR="00B14D53" w:rsidRDefault="00000000">
      <w:pPr>
        <w:spacing w:line="360" w:lineRule="auto"/>
        <w:ind w:firstLineChars="200" w:firstLine="480"/>
        <w:rPr>
          <w:rFonts w:eastAsiaTheme="minorEastAsia"/>
          <w:bCs/>
          <w:sz w:val="24"/>
          <w:szCs w:val="21"/>
        </w:rPr>
      </w:pPr>
      <w:r>
        <w:rPr>
          <w:rFonts w:eastAsiaTheme="minorEastAsia" w:hAnsiTheme="minorEastAsia"/>
          <w:bCs/>
          <w:sz w:val="24"/>
          <w:szCs w:val="21"/>
        </w:rPr>
        <w:t>项目施工期间产生的废弃物主要是废弃的建筑材料和生活垃圾。对剩余建筑材料应进行回收或分类收集，建筑垃圾要及时清运、加以利用，施工人员产生的生活垃圾不要和建筑垃圾混放，定时清运到当地的垃圾处理站集中处理，对周围环境影响较小。</w:t>
      </w:r>
    </w:p>
    <w:p w14:paraId="3CB430B5" w14:textId="77777777" w:rsidR="00B14D53" w:rsidRDefault="00000000">
      <w:pPr>
        <w:spacing w:line="360" w:lineRule="auto"/>
        <w:ind w:firstLineChars="200" w:firstLine="464"/>
        <w:rPr>
          <w:rFonts w:eastAsiaTheme="minorEastAsia"/>
          <w:bCs/>
          <w:spacing w:val="-4"/>
          <w:sz w:val="24"/>
          <w:szCs w:val="21"/>
        </w:rPr>
      </w:pPr>
      <w:r>
        <w:rPr>
          <w:rFonts w:eastAsiaTheme="minorEastAsia" w:hAnsiTheme="minorEastAsia"/>
          <w:bCs/>
          <w:spacing w:val="-4"/>
          <w:sz w:val="24"/>
          <w:szCs w:val="21"/>
        </w:rPr>
        <w:t>通过以上措施，项目建设产生的固体废物得到了妥善处置，施工期间对周围环境造成的短暂影响可以接受。</w:t>
      </w:r>
    </w:p>
    <w:p w14:paraId="67BD561C"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208" w:name="_Toc486255087"/>
      <w:bookmarkStart w:id="209" w:name="_Toc15991680"/>
      <w:r>
        <w:rPr>
          <w:rFonts w:ascii="Times New Roman" w:eastAsia="黑体" w:hAnsi="Times New Roman" w:cs="Times New Roman"/>
          <w:bCs/>
          <w:sz w:val="28"/>
          <w:szCs w:val="28"/>
        </w:rPr>
        <w:t>5.1.5</w:t>
      </w:r>
      <w:r>
        <w:rPr>
          <w:rFonts w:ascii="Times New Roman" w:eastAsia="黑体" w:hAnsi="Times New Roman" w:cs="Times New Roman"/>
          <w:bCs/>
          <w:sz w:val="28"/>
          <w:szCs w:val="28"/>
        </w:rPr>
        <w:t>生态环境影响</w:t>
      </w:r>
      <w:bookmarkEnd w:id="208"/>
      <w:r>
        <w:rPr>
          <w:rFonts w:ascii="Times New Roman" w:eastAsia="黑体" w:hAnsi="Times New Roman" w:cs="Times New Roman"/>
          <w:bCs/>
          <w:sz w:val="28"/>
          <w:szCs w:val="28"/>
        </w:rPr>
        <w:t>预测与评价</w:t>
      </w:r>
      <w:bookmarkEnd w:id="209"/>
    </w:p>
    <w:p w14:paraId="659D5F83" w14:textId="77777777" w:rsidR="00B14D53" w:rsidRDefault="00000000">
      <w:pPr>
        <w:pStyle w:val="afff"/>
        <w:rPr>
          <w:rFonts w:hAnsiTheme="minorEastAsia" w:hint="eastAsia"/>
          <w:snapToGrid w:val="0"/>
          <w:szCs w:val="22"/>
        </w:rPr>
      </w:pPr>
      <w:r>
        <w:rPr>
          <w:rFonts w:hAnsiTheme="minorEastAsia" w:hint="eastAsia"/>
          <w:snapToGrid w:val="0"/>
          <w:szCs w:val="22"/>
        </w:rPr>
        <w:t>本项目生态</w:t>
      </w:r>
      <w:r>
        <w:rPr>
          <w:rFonts w:hAnsiTheme="minorEastAsia"/>
          <w:snapToGrid w:val="0"/>
          <w:szCs w:val="22"/>
        </w:rPr>
        <w:t>评价工作等级为三级</w:t>
      </w:r>
      <w:r>
        <w:rPr>
          <w:rFonts w:hAnsiTheme="minorEastAsia" w:hint="eastAsia"/>
          <w:snapToGrid w:val="0"/>
          <w:szCs w:val="22"/>
        </w:rPr>
        <w:t>，主要采取定性分析。</w:t>
      </w:r>
    </w:p>
    <w:p w14:paraId="616621A5" w14:textId="77777777" w:rsidR="00B14D53" w:rsidRDefault="00000000">
      <w:pPr>
        <w:pStyle w:val="afff"/>
        <w:rPr>
          <w:rFonts w:ascii="Times New Roman" w:hAnsi="Times New Roman" w:cs="Times New Roman"/>
          <w:bCs/>
          <w:kern w:val="24"/>
          <w:lang w:bidi="en-US"/>
        </w:rPr>
      </w:pPr>
      <w:r>
        <w:rPr>
          <w:rFonts w:ascii="Times New Roman" w:hAnsi="Times New Roman" w:cs="Times New Roman" w:hint="eastAsia"/>
          <w:bCs/>
          <w:kern w:val="24"/>
          <w:lang w:bidi="en-US"/>
        </w:rPr>
        <w:t>本项目生态评价范围内为农田生态系统。</w:t>
      </w:r>
      <w:r>
        <w:rPr>
          <w:rFonts w:ascii="Times New Roman" w:hAnsi="Times New Roman" w:cs="Times New Roman"/>
        </w:rPr>
        <w:t>项目在永久占地范围内施工，不新增临时占地。</w:t>
      </w:r>
    </w:p>
    <w:p w14:paraId="262596DA" w14:textId="77777777" w:rsidR="00B14D53" w:rsidRDefault="00000000">
      <w:pPr>
        <w:pStyle w:val="afff"/>
        <w:adjustRightInd/>
        <w:snapToGrid/>
        <w:jc w:val="both"/>
        <w:rPr>
          <w:rFonts w:ascii="Times New Roman" w:hAnsi="Times New Roman" w:cs="Times New Roman"/>
          <w:kern w:val="24"/>
        </w:rPr>
      </w:pPr>
      <w:r>
        <w:rPr>
          <w:rFonts w:ascii="Times New Roman" w:hAnsiTheme="minorEastAsia" w:cs="Times New Roman"/>
          <w:kern w:val="24"/>
        </w:rPr>
        <w:t>项目施工期对生态环境的影响主要体现为扰动土层、水土流失</w:t>
      </w:r>
      <w:r>
        <w:rPr>
          <w:rFonts w:ascii="Times New Roman" w:hAnsiTheme="minorEastAsia" w:cs="Times New Roman" w:hint="eastAsia"/>
          <w:kern w:val="24"/>
        </w:rPr>
        <w:t>、影响生物多样性</w:t>
      </w:r>
      <w:r>
        <w:rPr>
          <w:rFonts w:ascii="Times New Roman" w:hAnsiTheme="minorEastAsia" w:cs="Times New Roman"/>
          <w:kern w:val="24"/>
        </w:rPr>
        <w:t>。</w:t>
      </w:r>
    </w:p>
    <w:p w14:paraId="0B18EFDB" w14:textId="77777777" w:rsidR="00B14D53" w:rsidRDefault="00000000">
      <w:pPr>
        <w:pStyle w:val="afff"/>
        <w:adjustRightInd/>
        <w:snapToGrid/>
        <w:contextualSpacing/>
        <w:jc w:val="both"/>
        <w:rPr>
          <w:rFonts w:ascii="Times New Roman" w:hAnsi="Times New Roman" w:cs="Times New Roman"/>
        </w:rPr>
      </w:pPr>
      <w:r>
        <w:rPr>
          <w:rFonts w:ascii="Times New Roman" w:hAnsiTheme="minorEastAsia" w:cs="Times New Roman"/>
          <w:kern w:val="24"/>
        </w:rPr>
        <w:t>（</w:t>
      </w:r>
      <w:r>
        <w:rPr>
          <w:rFonts w:ascii="Times New Roman" w:hAnsi="Times New Roman" w:cs="Times New Roman"/>
          <w:kern w:val="24"/>
        </w:rPr>
        <w:t>1</w:t>
      </w:r>
      <w:r>
        <w:rPr>
          <w:rFonts w:ascii="Times New Roman" w:hAnsiTheme="minorEastAsia" w:cs="Times New Roman"/>
          <w:kern w:val="24"/>
        </w:rPr>
        <w:t>）对</w:t>
      </w:r>
      <w:r>
        <w:rPr>
          <w:rFonts w:ascii="Times New Roman" w:hAnsiTheme="minorEastAsia" w:cs="Times New Roman" w:hint="eastAsia"/>
          <w:kern w:val="24"/>
        </w:rPr>
        <w:t>陆生生态</w:t>
      </w:r>
      <w:r>
        <w:rPr>
          <w:rFonts w:ascii="Times New Roman" w:hAnsiTheme="minorEastAsia" w:cs="Times New Roman"/>
          <w:kern w:val="24"/>
        </w:rPr>
        <w:t>环境影响评价</w:t>
      </w:r>
    </w:p>
    <w:p w14:paraId="56B6630C" w14:textId="77777777" w:rsidR="00B14D53" w:rsidRDefault="00000000">
      <w:pPr>
        <w:pStyle w:val="afff"/>
        <w:adjustRightInd/>
        <w:snapToGrid/>
        <w:contextualSpacing/>
        <w:rPr>
          <w:rFonts w:ascii="Times New Roman" w:hAnsi="Times New Roman" w:cs="Times New Roman"/>
          <w:snapToGrid w:val="0"/>
        </w:rPr>
      </w:pPr>
      <w:r>
        <w:rPr>
          <w:rFonts w:ascii="Times New Roman" w:hAnsiTheme="minorEastAsia" w:cs="Times New Roman"/>
          <w:snapToGrid w:val="0"/>
        </w:rPr>
        <w:t>本项目施工期</w:t>
      </w:r>
      <w:r>
        <w:rPr>
          <w:rFonts w:ascii="Times New Roman" w:hAnsiTheme="minorEastAsia" w:cs="Times New Roman" w:hint="eastAsia"/>
          <w:snapToGrid w:val="0"/>
        </w:rPr>
        <w:t>利用现有道路，在永久占地内施工，不新增临时占地，因此不会对植被造成影响，但施工过程中的噪声会对周边小动物造成影响</w:t>
      </w:r>
      <w:r>
        <w:rPr>
          <w:rFonts w:ascii="Times New Roman" w:hAnsiTheme="minorEastAsia" w:cs="Times New Roman"/>
          <w:snapToGrid w:val="0"/>
        </w:rPr>
        <w:t>。</w:t>
      </w:r>
    </w:p>
    <w:p w14:paraId="2E02AFEF" w14:textId="77777777" w:rsidR="00B14D53" w:rsidRDefault="00000000">
      <w:pPr>
        <w:pStyle w:val="afff"/>
        <w:adjustRightInd/>
        <w:snapToGrid/>
        <w:contextualSpacing/>
        <w:rPr>
          <w:rFonts w:ascii="Times New Roman" w:hAnsiTheme="minorEastAsia" w:cs="Times New Roman" w:hint="eastAsia"/>
          <w:snapToGrid w:val="0"/>
        </w:rPr>
      </w:pPr>
      <w:r>
        <w:rPr>
          <w:rFonts w:ascii="Times New Roman" w:hAnsiTheme="minorEastAsia" w:cs="Times New Roman"/>
          <w:snapToGrid w:val="0"/>
        </w:rPr>
        <w:t>施工结束后，</w:t>
      </w:r>
      <w:r>
        <w:rPr>
          <w:rFonts w:ascii="Times New Roman" w:hAnsiTheme="minorEastAsia" w:cs="Times New Roman" w:hint="eastAsia"/>
          <w:snapToGrid w:val="0"/>
        </w:rPr>
        <w:t>场内进行绿化，对陆生生态环境有利。施工期较短，夜间不施工，噪声对周边小动物的影响是暂时的；加强对施工人员的约束及培训，施工期场地设置禁止捕杀野生动物的标识。</w:t>
      </w:r>
    </w:p>
    <w:p w14:paraId="38241EDE" w14:textId="77777777" w:rsidR="00B14D53" w:rsidRDefault="00000000">
      <w:pPr>
        <w:pStyle w:val="afff"/>
        <w:adjustRightInd/>
        <w:snapToGrid/>
        <w:contextualSpacing/>
        <w:rPr>
          <w:rFonts w:ascii="Times New Roman" w:hAnsiTheme="minorEastAsia" w:cs="Times New Roman" w:hint="eastAsia"/>
          <w:snapToGrid w:val="0"/>
        </w:rPr>
      </w:pPr>
      <w:r>
        <w:rPr>
          <w:rFonts w:ascii="Times New Roman" w:hAnsiTheme="minorEastAsia" w:cs="Times New Roman" w:hint="eastAsia"/>
          <w:snapToGrid w:val="0"/>
        </w:rPr>
        <w:t>采取以上措施可减小本项目对陆生生态环境的影响。</w:t>
      </w:r>
    </w:p>
    <w:p w14:paraId="5CC10995" w14:textId="77777777" w:rsidR="00B14D53" w:rsidRDefault="00000000">
      <w:pPr>
        <w:pStyle w:val="afff"/>
        <w:adjustRightInd/>
        <w:snapToGrid/>
        <w:contextualSpacing/>
        <w:jc w:val="both"/>
        <w:rPr>
          <w:rFonts w:ascii="Times New Roman" w:hAnsi="Times New Roman" w:cs="Times New Roman"/>
        </w:rPr>
      </w:pPr>
      <w:r>
        <w:rPr>
          <w:rFonts w:ascii="Times New Roman" w:hAnsiTheme="minorEastAsia" w:cs="Times New Roman"/>
          <w:kern w:val="24"/>
        </w:rPr>
        <w:t>（</w:t>
      </w:r>
      <w:r>
        <w:rPr>
          <w:rFonts w:ascii="Times New Roman" w:hAnsi="Times New Roman" w:cs="Times New Roman"/>
          <w:kern w:val="24"/>
        </w:rPr>
        <w:t>2</w:t>
      </w:r>
      <w:r>
        <w:rPr>
          <w:rFonts w:ascii="Times New Roman" w:hAnsiTheme="minorEastAsia" w:cs="Times New Roman"/>
          <w:kern w:val="24"/>
        </w:rPr>
        <w:t>）水土流失影响分析</w:t>
      </w:r>
    </w:p>
    <w:p w14:paraId="74997849" w14:textId="77777777" w:rsidR="00B14D53" w:rsidRDefault="00000000">
      <w:pPr>
        <w:autoSpaceDE w:val="0"/>
        <w:autoSpaceDN w:val="0"/>
        <w:spacing w:line="360" w:lineRule="auto"/>
        <w:ind w:firstLineChars="200" w:firstLine="480"/>
        <w:contextualSpacing/>
        <w:rPr>
          <w:rFonts w:eastAsiaTheme="minorEastAsia"/>
          <w:sz w:val="24"/>
        </w:rPr>
      </w:pPr>
      <w:r>
        <w:rPr>
          <w:rFonts w:eastAsiaTheme="minorEastAsia" w:hAnsiTheme="minorEastAsia"/>
          <w:sz w:val="24"/>
        </w:rPr>
        <w:t>项目开发建设过程扰动原地貌、占压土地等活动，减弱了地表的抗蚀抗冲能力，导致区域生态环境恶化，抗逆能力和环境容量下降，加剧水土流失。</w:t>
      </w:r>
    </w:p>
    <w:p w14:paraId="3EA87C95" w14:textId="77777777" w:rsidR="00B14D53" w:rsidRDefault="00000000">
      <w:pPr>
        <w:autoSpaceDE w:val="0"/>
        <w:autoSpaceDN w:val="0"/>
        <w:spacing w:line="360" w:lineRule="auto"/>
        <w:ind w:firstLineChars="200" w:firstLine="480"/>
        <w:contextualSpacing/>
        <w:rPr>
          <w:rFonts w:eastAsiaTheme="minorEastAsia"/>
          <w:sz w:val="24"/>
        </w:rPr>
      </w:pPr>
      <w:r>
        <w:rPr>
          <w:rFonts w:eastAsiaTheme="minorEastAsia" w:hAnsiTheme="minorEastAsia"/>
          <w:sz w:val="24"/>
        </w:rPr>
        <w:t>为了避免本项目在施工及运营过程中造成区域水土流失，破坏当地生态环境，提出建议如下：</w:t>
      </w:r>
    </w:p>
    <w:p w14:paraId="60C047E7" w14:textId="77777777" w:rsidR="00B14D53" w:rsidRDefault="00000000">
      <w:pPr>
        <w:autoSpaceDE w:val="0"/>
        <w:autoSpaceDN w:val="0"/>
        <w:spacing w:line="360" w:lineRule="auto"/>
        <w:ind w:firstLineChars="200" w:firstLine="480"/>
        <w:contextualSpacing/>
        <w:rPr>
          <w:rFonts w:eastAsiaTheme="minorEastAsia"/>
          <w:sz w:val="24"/>
        </w:rPr>
      </w:pPr>
      <w:r>
        <w:rPr>
          <w:rFonts w:eastAsiaTheme="minorEastAsia" w:hAnsiTheme="minorEastAsia"/>
          <w:sz w:val="24"/>
        </w:rPr>
        <w:t>①项目施工过程中产生的表土及挖方</w:t>
      </w:r>
      <w:r>
        <w:rPr>
          <w:rFonts w:eastAsiaTheme="minorEastAsia" w:hAnsiTheme="minorEastAsia" w:hint="eastAsia"/>
          <w:sz w:val="24"/>
        </w:rPr>
        <w:t>暂存于场内，</w:t>
      </w:r>
      <w:r>
        <w:rPr>
          <w:rFonts w:eastAsiaTheme="minorEastAsia" w:hAnsiTheme="minorEastAsia"/>
          <w:sz w:val="24"/>
        </w:rPr>
        <w:t>采取</w:t>
      </w:r>
      <w:r>
        <w:rPr>
          <w:rFonts w:eastAsiaTheme="minorEastAsia" w:hAnsiTheme="minorEastAsia" w:hint="eastAsia"/>
          <w:sz w:val="24"/>
        </w:rPr>
        <w:t>密目网及</w:t>
      </w:r>
      <w:r>
        <w:rPr>
          <w:rFonts w:eastAsiaTheme="minorEastAsia" w:hAnsiTheme="minorEastAsia"/>
          <w:sz w:val="24"/>
        </w:rPr>
        <w:t>苫布遮盖，避免在暴雨中被冲刷流失</w:t>
      </w:r>
      <w:r>
        <w:rPr>
          <w:rFonts w:eastAsiaTheme="minorEastAsia" w:hAnsiTheme="minorEastAsia" w:hint="eastAsia"/>
          <w:sz w:val="24"/>
        </w:rPr>
        <w:t>，且表土全部用于场内绿化用土</w:t>
      </w:r>
      <w:r>
        <w:rPr>
          <w:rFonts w:eastAsiaTheme="minorEastAsia" w:hAnsiTheme="minorEastAsia"/>
          <w:sz w:val="24"/>
        </w:rPr>
        <w:t>。</w:t>
      </w:r>
    </w:p>
    <w:p w14:paraId="4B9358B6" w14:textId="77777777" w:rsidR="00B14D53" w:rsidRDefault="00000000">
      <w:pPr>
        <w:pStyle w:val="afff"/>
        <w:adjustRightInd/>
        <w:snapToGrid/>
        <w:rPr>
          <w:rFonts w:ascii="Times New Roman" w:hAnsi="Times New Roman" w:cs="Times New Roman"/>
          <w:snapToGrid w:val="0"/>
        </w:rPr>
      </w:pPr>
      <w:r>
        <w:rPr>
          <w:rFonts w:ascii="Times New Roman" w:hAnsiTheme="minorEastAsia" w:cs="Times New Roman"/>
          <w:snapToGrid w:val="0"/>
        </w:rPr>
        <w:t>②</w:t>
      </w:r>
      <w:r>
        <w:rPr>
          <w:rFonts w:ascii="Times New Roman" w:hAnsiTheme="minorEastAsia" w:cs="Times New Roman" w:hint="eastAsia"/>
          <w:snapToGrid w:val="0"/>
        </w:rPr>
        <w:t>项目</w:t>
      </w:r>
      <w:r>
        <w:rPr>
          <w:rFonts w:ascii="Times New Roman" w:hAnsiTheme="minorEastAsia" w:cs="Times New Roman"/>
          <w:snapToGrid w:val="0"/>
        </w:rPr>
        <w:t>建成后，</w:t>
      </w:r>
      <w:r>
        <w:rPr>
          <w:rFonts w:ascii="Times New Roman" w:hAnsiTheme="minorEastAsia" w:cs="Times New Roman" w:hint="eastAsia"/>
          <w:snapToGrid w:val="0"/>
        </w:rPr>
        <w:t>在厂区</w:t>
      </w:r>
      <w:r>
        <w:rPr>
          <w:rFonts w:ascii="Times New Roman" w:hAnsiTheme="minorEastAsia" w:cs="Times New Roman"/>
          <w:snapToGrid w:val="0"/>
        </w:rPr>
        <w:t>内种植绿化带，减少土地裸露面积。</w:t>
      </w:r>
    </w:p>
    <w:p w14:paraId="6EBF1841" w14:textId="77777777" w:rsidR="00B14D53" w:rsidRDefault="00000000">
      <w:pPr>
        <w:pStyle w:val="afff"/>
        <w:adjustRightInd/>
        <w:snapToGrid/>
        <w:rPr>
          <w:rFonts w:ascii="Times New Roman" w:hAnsi="Times New Roman" w:cs="Times New Roman"/>
          <w:snapToGrid w:val="0"/>
        </w:rPr>
      </w:pPr>
      <w:r>
        <w:rPr>
          <w:rFonts w:ascii="Times New Roman" w:hAnsiTheme="minorEastAsia" w:cs="Times New Roman"/>
          <w:snapToGrid w:val="0"/>
        </w:rPr>
        <w:t>③本项目施工过程中应严格将活动范围控制在本项目用地范围内，不占用其它土地。</w:t>
      </w:r>
    </w:p>
    <w:p w14:paraId="34126329" w14:textId="77777777" w:rsidR="00B14D53" w:rsidRDefault="00000000">
      <w:pPr>
        <w:pStyle w:val="afff"/>
        <w:adjustRightInd/>
        <w:snapToGrid/>
        <w:jc w:val="both"/>
        <w:rPr>
          <w:rFonts w:ascii="Times New Roman" w:hAnsiTheme="minorEastAsia" w:cs="Times New Roman" w:hint="eastAsia"/>
          <w:snapToGrid w:val="0"/>
        </w:rPr>
      </w:pPr>
      <w:r>
        <w:rPr>
          <w:rFonts w:ascii="Times New Roman" w:hAnsiTheme="minorEastAsia" w:cs="Times New Roman"/>
          <w:snapToGrid w:val="0"/>
        </w:rPr>
        <w:t>④合理安排施工期，避免雨天施工，通过采取上述措施可将本项目施工期对土地的扰动降到最低。</w:t>
      </w:r>
    </w:p>
    <w:p w14:paraId="4072E4F3"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10" w:name="_Toc415146703"/>
      <w:bookmarkStart w:id="211" w:name="_Toc18004"/>
      <w:bookmarkStart w:id="212" w:name="_Toc494017092"/>
      <w:r>
        <w:rPr>
          <w:rFonts w:ascii="Times New Roman" w:eastAsia="黑体" w:hAnsi="Times New Roman" w:cs="Times New Roman"/>
          <w:b w:val="0"/>
          <w:bCs w:val="0"/>
          <w:sz w:val="30"/>
          <w:szCs w:val="30"/>
        </w:rPr>
        <w:t>5.2</w:t>
      </w:r>
      <w:r>
        <w:rPr>
          <w:rFonts w:ascii="Times New Roman" w:eastAsia="黑体" w:hAnsi="Times New Roman" w:cs="Times New Roman"/>
          <w:b w:val="0"/>
          <w:bCs w:val="0"/>
          <w:sz w:val="30"/>
          <w:szCs w:val="30"/>
        </w:rPr>
        <w:t>运行期环境影响预测与评价</w:t>
      </w:r>
      <w:bookmarkEnd w:id="210"/>
      <w:bookmarkEnd w:id="211"/>
      <w:bookmarkEnd w:id="212"/>
    </w:p>
    <w:p w14:paraId="12C61BF1"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5.2.1</w:t>
      </w:r>
      <w:r>
        <w:rPr>
          <w:rFonts w:ascii="Times New Roman" w:eastAsia="黑体" w:hAnsi="Times New Roman" w:cs="Times New Roman"/>
          <w:sz w:val="28"/>
          <w:szCs w:val="28"/>
        </w:rPr>
        <w:t>大气环境影响预测与评价</w:t>
      </w:r>
    </w:p>
    <w:p w14:paraId="552AA1F9" w14:textId="77777777" w:rsidR="00B14D53" w:rsidRDefault="00000000">
      <w:pPr>
        <w:pStyle w:val="afff"/>
        <w:adjustRightInd/>
        <w:snapToGrid/>
        <w:jc w:val="both"/>
        <w:rPr>
          <w:rFonts w:ascii="Times New Roman" w:hAnsi="Times New Roman" w:cs="Times New Roman"/>
          <w:snapToGrid w:val="0"/>
        </w:rPr>
      </w:pPr>
      <w:bookmarkStart w:id="213" w:name="_Hlk6926034"/>
      <w:r>
        <w:rPr>
          <w:rFonts w:ascii="Times New Roman" w:hAnsiTheme="minorEastAsia" w:cs="Times New Roman"/>
          <w:snapToGrid w:val="0"/>
        </w:rPr>
        <w:t>根据《环境影响评价技术导则</w:t>
      </w:r>
      <w:r>
        <w:rPr>
          <w:rFonts w:ascii="Times New Roman" w:hAnsi="Times New Roman" w:cs="Times New Roman"/>
          <w:snapToGrid w:val="0"/>
        </w:rPr>
        <w:t xml:space="preserve"> </w:t>
      </w:r>
      <w:r>
        <w:rPr>
          <w:rFonts w:ascii="Times New Roman" w:hAnsiTheme="minorEastAsia" w:cs="Times New Roman"/>
          <w:snapToGrid w:val="0"/>
        </w:rPr>
        <w:t>大气环境》（</w:t>
      </w:r>
      <w:r>
        <w:rPr>
          <w:rFonts w:ascii="Times New Roman" w:hAnsi="Times New Roman" w:cs="Times New Roman"/>
          <w:snapToGrid w:val="0"/>
        </w:rPr>
        <w:t>HJ2.2-2018</w:t>
      </w:r>
      <w:r>
        <w:rPr>
          <w:rFonts w:ascii="Times New Roman" w:hAnsiTheme="minorEastAsia" w:cs="Times New Roman"/>
          <w:snapToGrid w:val="0"/>
        </w:rPr>
        <w:t>）</w:t>
      </w:r>
      <w:r>
        <w:rPr>
          <w:rFonts w:ascii="Times New Roman" w:hAnsiTheme="minorEastAsia" w:cs="Times New Roman"/>
          <w:snapToGrid w:val="0"/>
          <w:kern w:val="0"/>
        </w:rPr>
        <w:t>中附录</w:t>
      </w:r>
      <w:r>
        <w:rPr>
          <w:rFonts w:ascii="Times New Roman" w:hAnsi="Times New Roman" w:cs="Times New Roman"/>
          <w:snapToGrid w:val="0"/>
          <w:kern w:val="0"/>
        </w:rPr>
        <w:t>A</w:t>
      </w:r>
      <w:r>
        <w:rPr>
          <w:rFonts w:ascii="Times New Roman" w:hAnsiTheme="minorEastAsia" w:cs="Times New Roman"/>
          <w:snapToGrid w:val="0"/>
          <w:kern w:val="0"/>
        </w:rPr>
        <w:t>推荐的估算模式进行计算，由估算模式计算结果可知，本项目排放污染物</w:t>
      </w:r>
      <w:r>
        <w:rPr>
          <w:rFonts w:ascii="Times New Roman" w:hAnsiTheme="minorEastAsia" w:cs="Times New Roman"/>
          <w:lang w:val="zh-CN"/>
        </w:rPr>
        <w:t>的</w:t>
      </w:r>
      <w:r>
        <w:rPr>
          <w:rFonts w:ascii="Times New Roman" w:hAnsiTheme="minorEastAsia" w:cs="Times New Roman"/>
          <w:snapToGrid w:val="0"/>
          <w:kern w:val="0"/>
        </w:rPr>
        <w:t>最大地面空气质量浓度占标率</w:t>
      </w:r>
      <w:r>
        <w:rPr>
          <w:rFonts w:ascii="Times New Roman" w:hAnsi="Times New Roman" w:cs="Times New Roman"/>
          <w:snapToGrid w:val="0"/>
          <w:kern w:val="0"/>
          <w:lang w:val="zh-CN"/>
        </w:rPr>
        <w:t>P</w:t>
      </w:r>
      <w:r>
        <w:rPr>
          <w:rFonts w:ascii="Times New Roman" w:hAnsi="Times New Roman" w:cs="Times New Roman"/>
          <w:snapToGrid w:val="0"/>
          <w:kern w:val="0"/>
          <w:vertAlign w:val="subscript"/>
          <w:lang w:val="zh-CN"/>
        </w:rPr>
        <w:t>max</w:t>
      </w:r>
      <w:r>
        <w:rPr>
          <w:rFonts w:ascii="Times New Roman" w:hAnsi="Times New Roman" w:cs="Times New Roman"/>
          <w:snapToGrid w:val="0"/>
          <w:kern w:val="0"/>
          <w:lang w:val="zh-CN"/>
        </w:rPr>
        <w:t>≤10%</w:t>
      </w:r>
      <w:r>
        <w:rPr>
          <w:rFonts w:ascii="Times New Roman" w:hAnsiTheme="minorEastAsia" w:cs="Times New Roman"/>
          <w:snapToGrid w:val="0"/>
          <w:kern w:val="0"/>
          <w:lang w:val="zh-CN"/>
        </w:rPr>
        <w:t>且</w:t>
      </w:r>
      <w:r>
        <w:rPr>
          <w:rFonts w:ascii="Times New Roman" w:hAnsi="Times New Roman" w:cs="Times New Roman"/>
          <w:snapToGrid w:val="0"/>
          <w:kern w:val="0"/>
          <w:lang w:val="zh-CN"/>
        </w:rPr>
        <w:t>P</w:t>
      </w:r>
      <w:r>
        <w:rPr>
          <w:rFonts w:ascii="Times New Roman" w:hAnsi="Times New Roman" w:cs="Times New Roman"/>
          <w:snapToGrid w:val="0"/>
          <w:kern w:val="0"/>
          <w:vertAlign w:val="subscript"/>
          <w:lang w:val="zh-CN"/>
        </w:rPr>
        <w:t>max</w:t>
      </w:r>
      <w:r>
        <w:rPr>
          <w:rFonts w:ascii="Times New Roman" w:hAnsiTheme="minorEastAsia" w:cs="Times New Roman"/>
          <w:snapToGrid w:val="0"/>
          <w:kern w:val="0"/>
          <w:lang w:val="zh-CN"/>
        </w:rPr>
        <w:t>＞</w:t>
      </w:r>
      <w:r>
        <w:rPr>
          <w:rFonts w:ascii="Times New Roman" w:hAnsi="Times New Roman" w:cs="Times New Roman"/>
          <w:snapToGrid w:val="0"/>
          <w:kern w:val="0"/>
          <w:lang w:val="zh-CN"/>
        </w:rPr>
        <w:t>1%</w:t>
      </w:r>
      <w:r>
        <w:rPr>
          <w:rFonts w:ascii="Times New Roman" w:hAnsiTheme="minorEastAsia" w:cs="Times New Roman"/>
          <w:snapToGrid w:val="0"/>
          <w:kern w:val="0"/>
        </w:rPr>
        <w:t>。因此，本项目大气环境影响评价等级为</w:t>
      </w:r>
      <w:r>
        <w:rPr>
          <w:rFonts w:ascii="Times New Roman" w:hAnsiTheme="minorEastAsia" w:cs="Times New Roman"/>
          <w:snapToGrid w:val="0"/>
        </w:rPr>
        <w:t>二级。根据《环境影响评价技术导则</w:t>
      </w:r>
      <w:r>
        <w:rPr>
          <w:rFonts w:ascii="Times New Roman" w:hAnsi="Times New Roman" w:cs="Times New Roman"/>
          <w:snapToGrid w:val="0"/>
        </w:rPr>
        <w:t xml:space="preserve"> </w:t>
      </w:r>
      <w:r>
        <w:rPr>
          <w:rFonts w:ascii="Times New Roman" w:hAnsiTheme="minorEastAsia" w:cs="Times New Roman"/>
          <w:snapToGrid w:val="0"/>
        </w:rPr>
        <w:t>大气环境》（</w:t>
      </w:r>
      <w:r>
        <w:rPr>
          <w:rFonts w:ascii="Times New Roman" w:hAnsi="Times New Roman" w:cs="Times New Roman"/>
          <w:snapToGrid w:val="0"/>
        </w:rPr>
        <w:t>HJ2.2-2018</w:t>
      </w:r>
      <w:r>
        <w:rPr>
          <w:rFonts w:ascii="Times New Roman" w:hAnsiTheme="minorEastAsia" w:cs="Times New Roman"/>
          <w:snapToGrid w:val="0"/>
        </w:rPr>
        <w:t>）中要求，二级评价项目不进行进一步预测与评价，只对污染物排放量进行核算。</w:t>
      </w:r>
      <w:bookmarkEnd w:id="213"/>
    </w:p>
    <w:p w14:paraId="5F94BADA"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5.2.1.1</w:t>
      </w:r>
      <w:r>
        <w:rPr>
          <w:rFonts w:ascii="Times New Roman" w:eastAsia="黑体" w:hAnsi="Times New Roman" w:cs="Times New Roman"/>
          <w:b w:val="0"/>
          <w:bCs w:val="0"/>
          <w:sz w:val="24"/>
          <w:szCs w:val="24"/>
        </w:rPr>
        <w:t>废气影响分析</w:t>
      </w:r>
    </w:p>
    <w:p w14:paraId="67D11E86"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）预测因子及采用的标准</w:t>
      </w:r>
    </w:p>
    <w:p w14:paraId="5C8CF902"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预测因子选择</w:t>
      </w:r>
      <w:r>
        <w:rPr>
          <w:rFonts w:ascii="Times New Roman" w:hAnsiTheme="minorEastAsia" w:cs="Times New Roman" w:hint="eastAsia"/>
        </w:rPr>
        <w:t>2</w:t>
      </w:r>
      <w:r>
        <w:rPr>
          <w:rFonts w:ascii="Times New Roman" w:hAnsiTheme="minorEastAsia" w:cs="Times New Roman" w:hint="eastAsia"/>
        </w:rPr>
        <w:t>间待宰圈、屠宰车间、污水处理站的</w:t>
      </w:r>
      <w:r>
        <w:rPr>
          <w:rFonts w:ascii="Times New Roman" w:hAnsiTheme="minorEastAsia" w:cs="Times New Roman"/>
        </w:rPr>
        <w:t>恶臭气体（</w:t>
      </w:r>
      <w:r>
        <w:rPr>
          <w:rFonts w:ascii="Times New Roman" w:hAnsi="Times New Roman" w:cs="Times New Roman"/>
        </w:rPr>
        <w:t>NH</w:t>
      </w:r>
      <w:r>
        <w:rPr>
          <w:rFonts w:ascii="Times New Roman" w:hAnsi="Times New Roman" w:cs="Times New Roman"/>
          <w:vertAlign w:val="subscript"/>
        </w:rPr>
        <w:t>3</w:t>
      </w:r>
      <w:r>
        <w:rPr>
          <w:rFonts w:ascii="Times New Roman" w:hAnsiTheme="minorEastAsia" w:cs="Times New Roman"/>
        </w:rPr>
        <w:t>及</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r>
        <w:rPr>
          <w:rFonts w:ascii="Times New Roman" w:hAnsiTheme="minorEastAsia" w:cs="Times New Roman"/>
        </w:rPr>
        <w:t>）。采用的标准见表</w:t>
      </w:r>
      <w:r>
        <w:rPr>
          <w:rFonts w:ascii="Times New Roman" w:hAnsi="Times New Roman" w:cs="Times New Roman"/>
        </w:rPr>
        <w:t>5-2-1</w:t>
      </w:r>
      <w:r>
        <w:rPr>
          <w:rFonts w:ascii="Times New Roman" w:hAnsiTheme="minorEastAsia" w:cs="Times New Roman"/>
        </w:rPr>
        <w:t>。</w:t>
      </w:r>
    </w:p>
    <w:p w14:paraId="2739A502"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）预测模式和参数选取</w:t>
      </w:r>
    </w:p>
    <w:p w14:paraId="697C0B0D"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①预测模式</w:t>
      </w:r>
    </w:p>
    <w:p w14:paraId="56C0DCF2"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根据《环境影响评价技术导则</w:t>
      </w:r>
      <w:r>
        <w:rPr>
          <w:rFonts w:ascii="Times New Roman" w:hAnsi="Times New Roman" w:cs="Times New Roman"/>
        </w:rPr>
        <w:t xml:space="preserve"> </w:t>
      </w:r>
      <w:r>
        <w:rPr>
          <w:rFonts w:ascii="Times New Roman" w:hAnsiTheme="minorEastAsia" w:cs="Times New Roman"/>
        </w:rPr>
        <w:t>大气环境》（</w:t>
      </w:r>
      <w:r>
        <w:rPr>
          <w:rFonts w:ascii="Times New Roman" w:hAnsi="Times New Roman" w:cs="Times New Roman"/>
        </w:rPr>
        <w:t>HJ2.2-2018</w:t>
      </w:r>
      <w:r>
        <w:rPr>
          <w:rFonts w:ascii="Times New Roman" w:hAnsiTheme="minorEastAsia" w:cs="Times New Roman"/>
        </w:rPr>
        <w:t>）推荐的</w:t>
      </w:r>
      <w:r>
        <w:rPr>
          <w:rFonts w:ascii="Times New Roman" w:hAnsi="Times New Roman" w:cs="Times New Roman"/>
        </w:rPr>
        <w:t>ARESCREEN</w:t>
      </w:r>
      <w:r>
        <w:rPr>
          <w:rFonts w:ascii="Times New Roman" w:hAnsiTheme="minorEastAsia" w:cs="Times New Roman"/>
        </w:rPr>
        <w:t>估算模式对有组织及无组织排放的污染物进行估算。</w:t>
      </w:r>
    </w:p>
    <w:p w14:paraId="3FE906FB"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本项目产生的所有污染物进行预测，评价因子和评价标准见表</w:t>
      </w:r>
      <w:r>
        <w:rPr>
          <w:rFonts w:ascii="Times New Roman" w:hAnsi="Times New Roman" w:cs="Times New Roman"/>
        </w:rPr>
        <w:t>5-2-1</w:t>
      </w:r>
      <w:r>
        <w:rPr>
          <w:rFonts w:ascii="Times New Roman" w:hAnsiTheme="minorEastAsia" w:cs="Times New Roman"/>
        </w:rPr>
        <w:t>，污染源参数见表</w:t>
      </w:r>
      <w:r>
        <w:rPr>
          <w:rFonts w:ascii="Times New Roman" w:hAnsi="Times New Roman" w:cs="Times New Roman"/>
        </w:rPr>
        <w:t>5-2-2</w:t>
      </w:r>
      <w:r>
        <w:rPr>
          <w:rFonts w:ascii="Times New Roman" w:hAnsiTheme="minorEastAsia" w:cs="Times New Roman"/>
        </w:rPr>
        <w:t>至表</w:t>
      </w:r>
      <w:r>
        <w:rPr>
          <w:rFonts w:ascii="Times New Roman" w:hAnsi="Times New Roman" w:cs="Times New Roman"/>
        </w:rPr>
        <w:t>5-2</w:t>
      </w:r>
      <w:r>
        <w:rPr>
          <w:rFonts w:ascii="Times New Roman" w:hAnsi="Times New Roman" w:cs="Times New Roman" w:hint="eastAsia"/>
        </w:rPr>
        <w:t>-3</w:t>
      </w:r>
      <w:r>
        <w:rPr>
          <w:rFonts w:ascii="Times New Roman" w:hAnsiTheme="minorEastAsia" w:cs="Times New Roman"/>
        </w:rPr>
        <w:t>。</w:t>
      </w:r>
    </w:p>
    <w:p w14:paraId="69BDA791" w14:textId="77777777" w:rsidR="00B14D53" w:rsidRDefault="00000000">
      <w:pPr>
        <w:jc w:val="center"/>
        <w:rPr>
          <w:b/>
          <w:bCs/>
        </w:rPr>
      </w:pPr>
      <w:r>
        <w:rPr>
          <w:rFonts w:hint="eastAsia"/>
          <w:b/>
          <w:bCs/>
        </w:rPr>
        <w:t>表</w:t>
      </w:r>
      <w:r>
        <w:rPr>
          <w:rFonts w:hint="eastAsia"/>
          <w:b/>
          <w:bCs/>
        </w:rPr>
        <w:t xml:space="preserve">5-2-1 </w:t>
      </w:r>
      <w:r>
        <w:rPr>
          <w:rFonts w:hint="eastAsia"/>
          <w:b/>
          <w:bCs/>
        </w:rPr>
        <w:t>评价因子和评价标准表</w:t>
      </w:r>
    </w:p>
    <w:tbl>
      <w:tblPr>
        <w:tblStyle w:val="a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88"/>
        <w:gridCol w:w="1786"/>
        <w:gridCol w:w="1815"/>
        <w:gridCol w:w="3217"/>
      </w:tblGrid>
      <w:tr w:rsidR="00B14D53" w14:paraId="54C70661" w14:textId="77777777">
        <w:trPr>
          <w:jc w:val="center"/>
        </w:trPr>
        <w:tc>
          <w:tcPr>
            <w:tcW w:w="1526" w:type="dxa"/>
            <w:vAlign w:val="center"/>
          </w:tcPr>
          <w:p w14:paraId="2BD26475" w14:textId="77777777" w:rsidR="00B14D53" w:rsidRDefault="00000000">
            <w:pPr>
              <w:pStyle w:val="afffb"/>
              <w:spacing w:line="240" w:lineRule="auto"/>
              <w:ind w:firstLineChars="0" w:firstLine="0"/>
              <w:jc w:val="center"/>
              <w:rPr>
                <w:b/>
                <w:bCs/>
                <w:sz w:val="21"/>
                <w:szCs w:val="21"/>
              </w:rPr>
            </w:pPr>
            <w:r>
              <w:rPr>
                <w:b/>
                <w:bCs/>
                <w:sz w:val="21"/>
                <w:szCs w:val="21"/>
              </w:rPr>
              <w:t>评价因子</w:t>
            </w:r>
          </w:p>
        </w:tc>
        <w:tc>
          <w:tcPr>
            <w:tcW w:w="1843" w:type="dxa"/>
            <w:vAlign w:val="center"/>
          </w:tcPr>
          <w:p w14:paraId="41649CDE" w14:textId="77777777" w:rsidR="00B14D53" w:rsidRDefault="00000000">
            <w:pPr>
              <w:pStyle w:val="afffb"/>
              <w:spacing w:line="240" w:lineRule="auto"/>
              <w:ind w:firstLineChars="0" w:firstLine="0"/>
              <w:jc w:val="center"/>
              <w:rPr>
                <w:b/>
                <w:bCs/>
                <w:sz w:val="21"/>
                <w:szCs w:val="21"/>
              </w:rPr>
            </w:pPr>
            <w:r>
              <w:rPr>
                <w:b/>
                <w:bCs/>
                <w:sz w:val="21"/>
                <w:szCs w:val="21"/>
              </w:rPr>
              <w:t>平均时段</w:t>
            </w:r>
          </w:p>
        </w:tc>
        <w:tc>
          <w:tcPr>
            <w:tcW w:w="1842" w:type="dxa"/>
            <w:vAlign w:val="center"/>
          </w:tcPr>
          <w:p w14:paraId="4BE2CB9C" w14:textId="77777777" w:rsidR="00B14D53" w:rsidRDefault="00000000">
            <w:pPr>
              <w:pStyle w:val="afffb"/>
              <w:spacing w:line="240" w:lineRule="auto"/>
              <w:ind w:firstLineChars="0" w:firstLine="0"/>
              <w:jc w:val="center"/>
              <w:rPr>
                <w:b/>
                <w:bCs/>
                <w:sz w:val="21"/>
                <w:szCs w:val="21"/>
              </w:rPr>
            </w:pPr>
            <w:r>
              <w:rPr>
                <w:b/>
                <w:bCs/>
                <w:sz w:val="21"/>
                <w:szCs w:val="21"/>
              </w:rPr>
              <w:t>标准值</w:t>
            </w:r>
            <w:r>
              <w:rPr>
                <w:b/>
                <w:bCs/>
                <w:sz w:val="21"/>
                <w:szCs w:val="21"/>
              </w:rPr>
              <w:t>/</w:t>
            </w:r>
            <w:r>
              <w:rPr>
                <w:b/>
                <w:bCs/>
                <w:sz w:val="21"/>
                <w:szCs w:val="21"/>
              </w:rPr>
              <w:t>（</w:t>
            </w:r>
            <w:r>
              <w:rPr>
                <w:b/>
                <w:bCs/>
                <w:sz w:val="21"/>
                <w:szCs w:val="21"/>
              </w:rPr>
              <w:t>μg/m</w:t>
            </w:r>
            <w:r>
              <w:rPr>
                <w:b/>
                <w:bCs/>
                <w:sz w:val="21"/>
                <w:szCs w:val="21"/>
                <w:vertAlign w:val="superscript"/>
              </w:rPr>
              <w:t>3</w:t>
            </w:r>
            <w:r>
              <w:rPr>
                <w:b/>
                <w:bCs/>
                <w:sz w:val="21"/>
                <w:szCs w:val="21"/>
              </w:rPr>
              <w:t>）</w:t>
            </w:r>
          </w:p>
        </w:tc>
        <w:tc>
          <w:tcPr>
            <w:tcW w:w="3311" w:type="dxa"/>
            <w:vAlign w:val="center"/>
          </w:tcPr>
          <w:p w14:paraId="56AA0D24" w14:textId="77777777" w:rsidR="00B14D53" w:rsidRDefault="00000000">
            <w:pPr>
              <w:pStyle w:val="afffb"/>
              <w:spacing w:line="240" w:lineRule="auto"/>
              <w:ind w:firstLineChars="0" w:firstLine="0"/>
              <w:jc w:val="center"/>
              <w:rPr>
                <w:b/>
                <w:bCs/>
                <w:sz w:val="21"/>
                <w:szCs w:val="21"/>
              </w:rPr>
            </w:pPr>
            <w:r>
              <w:rPr>
                <w:b/>
                <w:bCs/>
                <w:sz w:val="21"/>
                <w:szCs w:val="21"/>
              </w:rPr>
              <w:t>标准来源</w:t>
            </w:r>
          </w:p>
        </w:tc>
      </w:tr>
      <w:tr w:rsidR="00B14D53" w14:paraId="16023229" w14:textId="77777777">
        <w:trPr>
          <w:jc w:val="center"/>
        </w:trPr>
        <w:tc>
          <w:tcPr>
            <w:tcW w:w="1526" w:type="dxa"/>
            <w:vAlign w:val="center"/>
          </w:tcPr>
          <w:p w14:paraId="724C8B15" w14:textId="77777777" w:rsidR="00B14D53" w:rsidRDefault="00000000">
            <w:pPr>
              <w:pStyle w:val="afffb"/>
              <w:spacing w:line="240" w:lineRule="auto"/>
              <w:ind w:firstLineChars="0" w:firstLine="0"/>
              <w:jc w:val="center"/>
              <w:rPr>
                <w:sz w:val="21"/>
                <w:szCs w:val="21"/>
              </w:rPr>
            </w:pPr>
            <w:r>
              <w:rPr>
                <w:sz w:val="21"/>
                <w:szCs w:val="21"/>
              </w:rPr>
              <w:t>NH</w:t>
            </w:r>
            <w:r>
              <w:rPr>
                <w:sz w:val="21"/>
                <w:szCs w:val="21"/>
                <w:vertAlign w:val="subscript"/>
              </w:rPr>
              <w:t>3</w:t>
            </w:r>
          </w:p>
        </w:tc>
        <w:tc>
          <w:tcPr>
            <w:tcW w:w="1843" w:type="dxa"/>
            <w:vAlign w:val="center"/>
          </w:tcPr>
          <w:p w14:paraId="7D808848" w14:textId="77777777" w:rsidR="00B14D53" w:rsidRDefault="00000000">
            <w:pPr>
              <w:pStyle w:val="afffb"/>
              <w:spacing w:line="240" w:lineRule="auto"/>
              <w:ind w:firstLineChars="0" w:firstLine="0"/>
              <w:jc w:val="center"/>
              <w:rPr>
                <w:sz w:val="21"/>
                <w:szCs w:val="21"/>
              </w:rPr>
            </w:pPr>
            <w:r>
              <w:rPr>
                <w:sz w:val="21"/>
                <w:szCs w:val="21"/>
              </w:rPr>
              <w:t>1</w:t>
            </w:r>
            <w:r>
              <w:rPr>
                <w:sz w:val="21"/>
                <w:szCs w:val="21"/>
              </w:rPr>
              <w:t>小时平均</w:t>
            </w:r>
          </w:p>
        </w:tc>
        <w:tc>
          <w:tcPr>
            <w:tcW w:w="1842" w:type="dxa"/>
            <w:vAlign w:val="center"/>
          </w:tcPr>
          <w:p w14:paraId="46F92279" w14:textId="77777777" w:rsidR="00B14D53" w:rsidRDefault="00000000">
            <w:pPr>
              <w:pStyle w:val="afffb"/>
              <w:spacing w:line="240" w:lineRule="auto"/>
              <w:ind w:firstLineChars="0" w:firstLine="0"/>
              <w:jc w:val="center"/>
              <w:rPr>
                <w:sz w:val="21"/>
                <w:szCs w:val="21"/>
              </w:rPr>
            </w:pPr>
            <w:r>
              <w:rPr>
                <w:sz w:val="21"/>
                <w:szCs w:val="21"/>
              </w:rPr>
              <w:t>200</w:t>
            </w:r>
          </w:p>
        </w:tc>
        <w:tc>
          <w:tcPr>
            <w:tcW w:w="3311" w:type="dxa"/>
            <w:vMerge w:val="restart"/>
            <w:vAlign w:val="center"/>
          </w:tcPr>
          <w:p w14:paraId="5EAC6096" w14:textId="77777777" w:rsidR="00B14D53" w:rsidRDefault="00000000">
            <w:pPr>
              <w:pStyle w:val="afffb"/>
              <w:spacing w:line="240" w:lineRule="auto"/>
              <w:ind w:firstLineChars="0" w:firstLine="0"/>
              <w:jc w:val="center"/>
              <w:rPr>
                <w:sz w:val="21"/>
                <w:szCs w:val="21"/>
              </w:rPr>
            </w:pPr>
            <w:r>
              <w:rPr>
                <w:sz w:val="21"/>
                <w:szCs w:val="21"/>
              </w:rPr>
              <w:t>《环境影响评价技术导则</w:t>
            </w:r>
            <w:r>
              <w:rPr>
                <w:sz w:val="21"/>
                <w:szCs w:val="21"/>
              </w:rPr>
              <w:t xml:space="preserve"> </w:t>
            </w:r>
            <w:r>
              <w:rPr>
                <w:sz w:val="21"/>
                <w:szCs w:val="21"/>
              </w:rPr>
              <w:t>大气环境》（</w:t>
            </w:r>
            <w:r>
              <w:rPr>
                <w:sz w:val="21"/>
                <w:szCs w:val="21"/>
              </w:rPr>
              <w:t>HJ2.2-2018</w:t>
            </w:r>
            <w:r>
              <w:rPr>
                <w:sz w:val="21"/>
                <w:szCs w:val="21"/>
              </w:rPr>
              <w:t>）附录</w:t>
            </w:r>
            <w:r>
              <w:rPr>
                <w:sz w:val="21"/>
                <w:szCs w:val="21"/>
              </w:rPr>
              <w:t>D</w:t>
            </w:r>
          </w:p>
        </w:tc>
      </w:tr>
      <w:tr w:rsidR="00B14D53" w14:paraId="4F081F48" w14:textId="77777777">
        <w:trPr>
          <w:jc w:val="center"/>
        </w:trPr>
        <w:tc>
          <w:tcPr>
            <w:tcW w:w="1526" w:type="dxa"/>
            <w:vAlign w:val="center"/>
          </w:tcPr>
          <w:p w14:paraId="6D4B164C" w14:textId="77777777" w:rsidR="00B14D53" w:rsidRDefault="00000000">
            <w:pPr>
              <w:pStyle w:val="afffb"/>
              <w:spacing w:line="240" w:lineRule="auto"/>
              <w:ind w:firstLineChars="0" w:firstLine="0"/>
              <w:jc w:val="center"/>
              <w:rPr>
                <w:sz w:val="21"/>
                <w:szCs w:val="21"/>
              </w:rPr>
            </w:pPr>
            <w:r>
              <w:rPr>
                <w:sz w:val="21"/>
                <w:szCs w:val="21"/>
              </w:rPr>
              <w:t>H</w:t>
            </w:r>
            <w:r>
              <w:rPr>
                <w:sz w:val="21"/>
                <w:szCs w:val="21"/>
                <w:vertAlign w:val="subscript"/>
              </w:rPr>
              <w:t>2</w:t>
            </w:r>
            <w:r>
              <w:rPr>
                <w:sz w:val="21"/>
                <w:szCs w:val="21"/>
              </w:rPr>
              <w:t>S</w:t>
            </w:r>
          </w:p>
        </w:tc>
        <w:tc>
          <w:tcPr>
            <w:tcW w:w="1843" w:type="dxa"/>
            <w:vAlign w:val="center"/>
          </w:tcPr>
          <w:p w14:paraId="74A365C8" w14:textId="77777777" w:rsidR="00B14D53" w:rsidRDefault="00000000">
            <w:pPr>
              <w:pStyle w:val="afffb"/>
              <w:spacing w:line="240" w:lineRule="auto"/>
              <w:ind w:firstLineChars="0" w:firstLine="0"/>
              <w:jc w:val="center"/>
              <w:rPr>
                <w:sz w:val="21"/>
                <w:szCs w:val="21"/>
              </w:rPr>
            </w:pPr>
            <w:r>
              <w:rPr>
                <w:sz w:val="21"/>
                <w:szCs w:val="21"/>
              </w:rPr>
              <w:t>1</w:t>
            </w:r>
            <w:r>
              <w:rPr>
                <w:sz w:val="21"/>
                <w:szCs w:val="21"/>
              </w:rPr>
              <w:t>小时平均</w:t>
            </w:r>
          </w:p>
        </w:tc>
        <w:tc>
          <w:tcPr>
            <w:tcW w:w="1842" w:type="dxa"/>
            <w:vAlign w:val="center"/>
          </w:tcPr>
          <w:p w14:paraId="3B849361" w14:textId="77777777" w:rsidR="00B14D53" w:rsidRDefault="00000000">
            <w:pPr>
              <w:pStyle w:val="afffb"/>
              <w:spacing w:line="240" w:lineRule="auto"/>
              <w:ind w:firstLineChars="0" w:firstLine="0"/>
              <w:jc w:val="center"/>
              <w:rPr>
                <w:sz w:val="21"/>
                <w:szCs w:val="21"/>
              </w:rPr>
            </w:pPr>
            <w:r>
              <w:rPr>
                <w:sz w:val="21"/>
                <w:szCs w:val="21"/>
              </w:rPr>
              <w:t>10</w:t>
            </w:r>
          </w:p>
        </w:tc>
        <w:tc>
          <w:tcPr>
            <w:tcW w:w="3311" w:type="dxa"/>
            <w:vMerge/>
            <w:vAlign w:val="center"/>
          </w:tcPr>
          <w:p w14:paraId="6816D577" w14:textId="77777777" w:rsidR="00B14D53" w:rsidRDefault="00B14D53">
            <w:pPr>
              <w:pStyle w:val="afff"/>
              <w:adjustRightInd/>
              <w:snapToGrid/>
              <w:spacing w:line="240" w:lineRule="auto"/>
              <w:ind w:firstLineChars="0" w:firstLine="0"/>
              <w:contextualSpacing/>
              <w:jc w:val="center"/>
              <w:rPr>
                <w:rFonts w:ascii="Times New Roman" w:hAnsi="Times New Roman" w:cs="Times New Roman"/>
                <w:kern w:val="0"/>
                <w:sz w:val="21"/>
                <w:szCs w:val="21"/>
              </w:rPr>
            </w:pPr>
          </w:p>
        </w:tc>
      </w:tr>
    </w:tbl>
    <w:p w14:paraId="05A4D9F6" w14:textId="77777777" w:rsidR="00B14D53" w:rsidRDefault="00B14D53">
      <w:pPr>
        <w:pStyle w:val="afff"/>
        <w:adjustRightInd/>
        <w:snapToGrid/>
        <w:ind w:firstLineChars="0" w:firstLine="0"/>
        <w:contextualSpacing/>
        <w:jc w:val="center"/>
        <w:rPr>
          <w:rFonts w:ascii="Times New Roman" w:hAnsiTheme="minorEastAsia" w:cs="Times New Roman" w:hint="eastAsia"/>
          <w:b/>
        </w:rPr>
      </w:pPr>
    </w:p>
    <w:p w14:paraId="204A6CD0" w14:textId="77777777" w:rsidR="00B14D53" w:rsidRDefault="00B14D53">
      <w:pPr>
        <w:pStyle w:val="afff"/>
        <w:adjustRightInd/>
        <w:snapToGrid/>
        <w:ind w:firstLineChars="0" w:firstLine="0"/>
        <w:contextualSpacing/>
        <w:jc w:val="center"/>
        <w:rPr>
          <w:rFonts w:ascii="Times New Roman" w:hAnsiTheme="minorEastAsia" w:cs="Times New Roman" w:hint="eastAsia"/>
          <w:b/>
        </w:rPr>
        <w:sectPr w:rsidR="00B14D53">
          <w:pgSz w:w="11906" w:h="16838"/>
          <w:pgMar w:top="1440" w:right="1800" w:bottom="1440" w:left="1800" w:header="851" w:footer="992" w:gutter="0"/>
          <w:cols w:space="425"/>
          <w:docGrid w:type="lines" w:linePitch="312"/>
        </w:sectPr>
      </w:pPr>
    </w:p>
    <w:p w14:paraId="623D351D" w14:textId="77777777" w:rsidR="00B14D53" w:rsidRDefault="00000000">
      <w:pPr>
        <w:jc w:val="center"/>
        <w:rPr>
          <w:b/>
          <w:bCs/>
        </w:rPr>
      </w:pPr>
      <w:r>
        <w:rPr>
          <w:b/>
          <w:bCs/>
        </w:rPr>
        <w:t>表</w:t>
      </w:r>
      <w:r>
        <w:rPr>
          <w:b/>
          <w:bCs/>
        </w:rPr>
        <w:t xml:space="preserve">5-2-2 </w:t>
      </w:r>
      <w:r>
        <w:rPr>
          <w:b/>
          <w:bCs/>
        </w:rPr>
        <w:t>主要废气污染源参数一览表</w:t>
      </w:r>
      <w:r>
        <w:rPr>
          <w:b/>
          <w:bCs/>
        </w:rPr>
        <w:t>(</w:t>
      </w:r>
      <w:r>
        <w:rPr>
          <w:b/>
          <w:bCs/>
        </w:rPr>
        <w:t>矩形面源</w:t>
      </w:r>
      <w:r>
        <w:rPr>
          <w:b/>
          <w:bCs/>
        </w:rPr>
        <w:t>)</w:t>
      </w:r>
    </w:p>
    <w:tbl>
      <w:tblPr>
        <w:tblW w:w="4996"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38"/>
        <w:gridCol w:w="1312"/>
        <w:gridCol w:w="1304"/>
        <w:gridCol w:w="1159"/>
        <w:gridCol w:w="1027"/>
        <w:gridCol w:w="1136"/>
        <w:gridCol w:w="1136"/>
        <w:gridCol w:w="1136"/>
        <w:gridCol w:w="1136"/>
        <w:gridCol w:w="1131"/>
        <w:gridCol w:w="721"/>
        <w:gridCol w:w="1108"/>
        <w:gridCol w:w="1103"/>
      </w:tblGrid>
      <w:tr w:rsidR="00B14D53" w14:paraId="2E568793" w14:textId="77777777">
        <w:trPr>
          <w:trHeight w:val="16"/>
          <w:jc w:val="center"/>
        </w:trPr>
        <w:tc>
          <w:tcPr>
            <w:tcW w:w="192" w:type="pct"/>
            <w:vMerge w:val="restart"/>
            <w:vAlign w:val="center"/>
          </w:tcPr>
          <w:p w14:paraId="612B734C" w14:textId="77777777" w:rsidR="00B14D53" w:rsidRDefault="00000000">
            <w:pPr>
              <w:jc w:val="center"/>
              <w:rPr>
                <w:rFonts w:eastAsiaTheme="minorEastAsia"/>
                <w:b/>
                <w:bCs/>
                <w:szCs w:val="21"/>
              </w:rPr>
            </w:pPr>
            <w:r>
              <w:rPr>
                <w:rFonts w:eastAsiaTheme="minorEastAsia"/>
                <w:b/>
                <w:bCs/>
                <w:szCs w:val="21"/>
              </w:rPr>
              <w:t>编号</w:t>
            </w:r>
          </w:p>
        </w:tc>
        <w:tc>
          <w:tcPr>
            <w:tcW w:w="470" w:type="pct"/>
            <w:vMerge w:val="restart"/>
            <w:vAlign w:val="center"/>
          </w:tcPr>
          <w:p w14:paraId="5AF31BAD" w14:textId="77777777" w:rsidR="00B14D53" w:rsidRDefault="00000000">
            <w:pPr>
              <w:jc w:val="center"/>
              <w:rPr>
                <w:rFonts w:eastAsiaTheme="minorEastAsia"/>
                <w:b/>
                <w:bCs/>
                <w:szCs w:val="21"/>
              </w:rPr>
            </w:pPr>
            <w:r>
              <w:rPr>
                <w:rFonts w:eastAsiaTheme="minorEastAsia"/>
                <w:b/>
                <w:bCs/>
                <w:szCs w:val="21"/>
              </w:rPr>
              <w:t>名称</w:t>
            </w:r>
          </w:p>
        </w:tc>
        <w:tc>
          <w:tcPr>
            <w:tcW w:w="882" w:type="pct"/>
            <w:gridSpan w:val="2"/>
            <w:vAlign w:val="center"/>
          </w:tcPr>
          <w:p w14:paraId="3B79995C" w14:textId="77777777" w:rsidR="00B14D53" w:rsidRDefault="00000000">
            <w:pPr>
              <w:jc w:val="center"/>
              <w:rPr>
                <w:rFonts w:eastAsiaTheme="minorEastAsia"/>
                <w:b/>
                <w:bCs/>
                <w:szCs w:val="21"/>
              </w:rPr>
            </w:pPr>
            <w:r>
              <w:rPr>
                <w:rFonts w:eastAsiaTheme="minorEastAsia"/>
                <w:b/>
                <w:bCs/>
                <w:szCs w:val="21"/>
              </w:rPr>
              <w:t>面源各顶点坐标（</w:t>
            </w:r>
            <w:r>
              <w:rPr>
                <w:rFonts w:eastAsiaTheme="minorEastAsia"/>
                <w:b/>
                <w:bCs/>
                <w:szCs w:val="21"/>
              </w:rPr>
              <w:t>°</w:t>
            </w:r>
            <w:r>
              <w:rPr>
                <w:rFonts w:eastAsiaTheme="minorEastAsia"/>
                <w:b/>
                <w:bCs/>
                <w:szCs w:val="21"/>
              </w:rPr>
              <w:t>）</w:t>
            </w:r>
          </w:p>
        </w:tc>
        <w:tc>
          <w:tcPr>
            <w:tcW w:w="368" w:type="pct"/>
            <w:vMerge w:val="restart"/>
            <w:vAlign w:val="center"/>
          </w:tcPr>
          <w:p w14:paraId="42FD2C46" w14:textId="77777777" w:rsidR="00B14D53" w:rsidRDefault="00000000">
            <w:pPr>
              <w:jc w:val="center"/>
              <w:rPr>
                <w:rFonts w:eastAsiaTheme="minorEastAsia"/>
                <w:b/>
                <w:bCs/>
                <w:szCs w:val="21"/>
              </w:rPr>
            </w:pPr>
            <w:r>
              <w:rPr>
                <w:rFonts w:eastAsiaTheme="minorEastAsia"/>
                <w:b/>
                <w:bCs/>
                <w:szCs w:val="21"/>
              </w:rPr>
              <w:t>面源海拔高度（</w:t>
            </w:r>
            <w:r>
              <w:rPr>
                <w:rFonts w:eastAsiaTheme="minorEastAsia"/>
                <w:b/>
                <w:bCs/>
                <w:szCs w:val="21"/>
              </w:rPr>
              <w:t>m</w:t>
            </w:r>
            <w:r>
              <w:rPr>
                <w:rFonts w:eastAsiaTheme="minorEastAsia"/>
                <w:b/>
                <w:bCs/>
                <w:szCs w:val="21"/>
              </w:rPr>
              <w:t>）</w:t>
            </w:r>
          </w:p>
        </w:tc>
        <w:tc>
          <w:tcPr>
            <w:tcW w:w="407" w:type="pct"/>
            <w:vMerge w:val="restart"/>
            <w:vAlign w:val="center"/>
          </w:tcPr>
          <w:p w14:paraId="059848B5" w14:textId="77777777" w:rsidR="00B14D53" w:rsidRDefault="00000000">
            <w:pPr>
              <w:jc w:val="center"/>
              <w:rPr>
                <w:rFonts w:eastAsiaTheme="minorEastAsia"/>
                <w:b/>
                <w:bCs/>
                <w:szCs w:val="21"/>
              </w:rPr>
            </w:pPr>
            <w:r>
              <w:rPr>
                <w:rFonts w:eastAsiaTheme="minorEastAsia"/>
                <w:b/>
                <w:bCs/>
                <w:szCs w:val="21"/>
              </w:rPr>
              <w:t>面源长度（</w:t>
            </w:r>
            <w:r>
              <w:rPr>
                <w:rFonts w:eastAsiaTheme="minorEastAsia"/>
                <w:b/>
                <w:bCs/>
                <w:szCs w:val="21"/>
              </w:rPr>
              <w:t>m</w:t>
            </w:r>
            <w:r>
              <w:rPr>
                <w:rFonts w:eastAsiaTheme="minorEastAsia"/>
                <w:b/>
                <w:bCs/>
                <w:szCs w:val="21"/>
              </w:rPr>
              <w:t>）</w:t>
            </w:r>
          </w:p>
        </w:tc>
        <w:tc>
          <w:tcPr>
            <w:tcW w:w="407" w:type="pct"/>
            <w:vMerge w:val="restart"/>
            <w:vAlign w:val="center"/>
          </w:tcPr>
          <w:p w14:paraId="3E2A01F9" w14:textId="77777777" w:rsidR="00B14D53" w:rsidRDefault="00000000">
            <w:pPr>
              <w:jc w:val="center"/>
              <w:rPr>
                <w:rFonts w:eastAsiaTheme="minorEastAsia"/>
                <w:b/>
                <w:bCs/>
                <w:szCs w:val="21"/>
              </w:rPr>
            </w:pPr>
            <w:r>
              <w:rPr>
                <w:rFonts w:eastAsiaTheme="minorEastAsia"/>
                <w:b/>
                <w:bCs/>
                <w:szCs w:val="21"/>
              </w:rPr>
              <w:t>面源宽度（</w:t>
            </w:r>
            <w:r>
              <w:rPr>
                <w:rFonts w:eastAsiaTheme="minorEastAsia"/>
                <w:b/>
                <w:bCs/>
                <w:szCs w:val="21"/>
              </w:rPr>
              <w:t>m</w:t>
            </w:r>
            <w:r>
              <w:rPr>
                <w:rFonts w:eastAsiaTheme="minorEastAsia"/>
                <w:b/>
                <w:bCs/>
                <w:szCs w:val="21"/>
              </w:rPr>
              <w:t>）</w:t>
            </w:r>
          </w:p>
        </w:tc>
        <w:tc>
          <w:tcPr>
            <w:tcW w:w="407" w:type="pct"/>
            <w:vMerge w:val="restart"/>
            <w:vAlign w:val="center"/>
          </w:tcPr>
          <w:p w14:paraId="6C9A8C77" w14:textId="77777777" w:rsidR="00B14D53" w:rsidRDefault="00000000">
            <w:pPr>
              <w:jc w:val="center"/>
              <w:rPr>
                <w:rFonts w:eastAsiaTheme="minorEastAsia"/>
                <w:b/>
                <w:bCs/>
                <w:szCs w:val="21"/>
              </w:rPr>
            </w:pPr>
            <w:r>
              <w:rPr>
                <w:rFonts w:eastAsiaTheme="minorEastAsia"/>
                <w:b/>
                <w:bCs/>
                <w:szCs w:val="21"/>
              </w:rPr>
              <w:t>与正北向夹角（</w:t>
            </w:r>
            <w:r>
              <w:rPr>
                <w:rFonts w:eastAsiaTheme="minorEastAsia"/>
                <w:b/>
                <w:bCs/>
                <w:szCs w:val="21"/>
              </w:rPr>
              <w:t>°</w:t>
            </w:r>
            <w:r>
              <w:rPr>
                <w:rFonts w:eastAsiaTheme="minorEastAsia"/>
                <w:b/>
                <w:bCs/>
                <w:szCs w:val="21"/>
              </w:rPr>
              <w:t>）</w:t>
            </w:r>
          </w:p>
        </w:tc>
        <w:tc>
          <w:tcPr>
            <w:tcW w:w="407" w:type="pct"/>
            <w:vMerge w:val="restart"/>
            <w:vAlign w:val="center"/>
          </w:tcPr>
          <w:p w14:paraId="000B975D" w14:textId="77777777" w:rsidR="00B14D53" w:rsidRDefault="00000000">
            <w:pPr>
              <w:jc w:val="center"/>
              <w:rPr>
                <w:rFonts w:eastAsiaTheme="minorEastAsia"/>
                <w:b/>
                <w:bCs/>
                <w:szCs w:val="21"/>
              </w:rPr>
            </w:pPr>
            <w:r>
              <w:rPr>
                <w:rFonts w:eastAsiaTheme="minorEastAsia"/>
                <w:b/>
                <w:bCs/>
                <w:szCs w:val="21"/>
              </w:rPr>
              <w:t>面源有效排放高度（</w:t>
            </w:r>
            <w:r>
              <w:rPr>
                <w:rFonts w:eastAsiaTheme="minorEastAsia"/>
                <w:b/>
                <w:bCs/>
                <w:szCs w:val="21"/>
              </w:rPr>
              <w:t>m</w:t>
            </w:r>
            <w:r>
              <w:rPr>
                <w:rFonts w:eastAsiaTheme="minorEastAsia"/>
                <w:b/>
                <w:bCs/>
                <w:szCs w:val="21"/>
              </w:rPr>
              <w:t>）</w:t>
            </w:r>
          </w:p>
        </w:tc>
        <w:tc>
          <w:tcPr>
            <w:tcW w:w="405" w:type="pct"/>
            <w:vMerge w:val="restart"/>
            <w:vAlign w:val="center"/>
          </w:tcPr>
          <w:p w14:paraId="57BA6E13" w14:textId="77777777" w:rsidR="00B14D53" w:rsidRDefault="00000000">
            <w:pPr>
              <w:jc w:val="center"/>
              <w:rPr>
                <w:rFonts w:eastAsiaTheme="minorEastAsia"/>
                <w:b/>
                <w:bCs/>
                <w:szCs w:val="21"/>
              </w:rPr>
            </w:pPr>
            <w:r>
              <w:rPr>
                <w:rFonts w:eastAsiaTheme="minorEastAsia"/>
                <w:b/>
                <w:bCs/>
                <w:szCs w:val="21"/>
              </w:rPr>
              <w:t>年排放小时数（</w:t>
            </w:r>
            <w:r>
              <w:rPr>
                <w:rFonts w:eastAsiaTheme="minorEastAsia"/>
                <w:b/>
                <w:bCs/>
                <w:szCs w:val="21"/>
              </w:rPr>
              <w:t>h</w:t>
            </w:r>
            <w:r>
              <w:rPr>
                <w:rFonts w:eastAsiaTheme="minorEastAsia"/>
                <w:b/>
                <w:bCs/>
                <w:szCs w:val="21"/>
              </w:rPr>
              <w:t>）</w:t>
            </w:r>
          </w:p>
        </w:tc>
        <w:tc>
          <w:tcPr>
            <w:tcW w:w="258" w:type="pct"/>
            <w:vMerge w:val="restart"/>
            <w:vAlign w:val="center"/>
          </w:tcPr>
          <w:p w14:paraId="261DBDF3" w14:textId="77777777" w:rsidR="00B14D53" w:rsidRDefault="00000000">
            <w:pPr>
              <w:jc w:val="center"/>
              <w:rPr>
                <w:rFonts w:eastAsiaTheme="minorEastAsia"/>
                <w:b/>
                <w:bCs/>
                <w:szCs w:val="21"/>
              </w:rPr>
            </w:pPr>
            <w:r>
              <w:rPr>
                <w:rFonts w:eastAsiaTheme="minorEastAsia"/>
                <w:b/>
                <w:bCs/>
                <w:szCs w:val="21"/>
              </w:rPr>
              <w:t>排放工况</w:t>
            </w:r>
          </w:p>
        </w:tc>
        <w:tc>
          <w:tcPr>
            <w:tcW w:w="792" w:type="pct"/>
            <w:gridSpan w:val="2"/>
            <w:vAlign w:val="center"/>
          </w:tcPr>
          <w:p w14:paraId="5E0CDBBB" w14:textId="77777777" w:rsidR="00B14D53" w:rsidRDefault="00000000">
            <w:pPr>
              <w:jc w:val="center"/>
              <w:rPr>
                <w:rFonts w:eastAsiaTheme="minorEastAsia"/>
                <w:b/>
                <w:bCs/>
                <w:szCs w:val="21"/>
              </w:rPr>
            </w:pPr>
            <w:r>
              <w:rPr>
                <w:rFonts w:eastAsiaTheme="minorEastAsia"/>
                <w:b/>
                <w:bCs/>
                <w:szCs w:val="21"/>
              </w:rPr>
              <w:t>污染物排放速率（</w:t>
            </w:r>
            <w:r>
              <w:rPr>
                <w:rFonts w:eastAsiaTheme="minorEastAsia"/>
                <w:b/>
                <w:bCs/>
                <w:szCs w:val="21"/>
              </w:rPr>
              <w:t>kg/h</w:t>
            </w:r>
            <w:r>
              <w:rPr>
                <w:rFonts w:eastAsiaTheme="minorEastAsia"/>
                <w:b/>
                <w:bCs/>
                <w:szCs w:val="21"/>
              </w:rPr>
              <w:t>）</w:t>
            </w:r>
          </w:p>
        </w:tc>
      </w:tr>
      <w:tr w:rsidR="00B14D53" w14:paraId="1C47FA85" w14:textId="77777777">
        <w:trPr>
          <w:trHeight w:val="27"/>
          <w:jc w:val="center"/>
        </w:trPr>
        <w:tc>
          <w:tcPr>
            <w:tcW w:w="192" w:type="pct"/>
            <w:vMerge/>
            <w:vAlign w:val="center"/>
          </w:tcPr>
          <w:p w14:paraId="489BE8CB" w14:textId="77777777" w:rsidR="00B14D53" w:rsidRDefault="00B14D53">
            <w:pPr>
              <w:jc w:val="center"/>
              <w:rPr>
                <w:rFonts w:eastAsiaTheme="minorEastAsia"/>
                <w:b/>
                <w:bCs/>
                <w:szCs w:val="21"/>
              </w:rPr>
            </w:pPr>
          </w:p>
        </w:tc>
        <w:tc>
          <w:tcPr>
            <w:tcW w:w="470" w:type="pct"/>
            <w:vMerge/>
            <w:vAlign w:val="center"/>
          </w:tcPr>
          <w:p w14:paraId="203E9E26" w14:textId="77777777" w:rsidR="00B14D53" w:rsidRDefault="00B14D53">
            <w:pPr>
              <w:jc w:val="center"/>
              <w:rPr>
                <w:rFonts w:eastAsiaTheme="minorEastAsia"/>
                <w:b/>
                <w:bCs/>
                <w:szCs w:val="21"/>
              </w:rPr>
            </w:pPr>
          </w:p>
        </w:tc>
        <w:tc>
          <w:tcPr>
            <w:tcW w:w="467" w:type="pct"/>
            <w:vAlign w:val="center"/>
          </w:tcPr>
          <w:p w14:paraId="1D45C896" w14:textId="77777777" w:rsidR="00B14D53" w:rsidRDefault="00000000">
            <w:pPr>
              <w:jc w:val="center"/>
              <w:rPr>
                <w:rFonts w:eastAsiaTheme="minorEastAsia"/>
                <w:b/>
                <w:bCs/>
                <w:szCs w:val="21"/>
              </w:rPr>
            </w:pPr>
            <w:r>
              <w:rPr>
                <w:rFonts w:eastAsiaTheme="minorEastAsia"/>
                <w:b/>
                <w:bCs/>
                <w:szCs w:val="21"/>
              </w:rPr>
              <w:t>经度</w:t>
            </w:r>
          </w:p>
        </w:tc>
        <w:tc>
          <w:tcPr>
            <w:tcW w:w="414" w:type="pct"/>
            <w:vAlign w:val="center"/>
          </w:tcPr>
          <w:p w14:paraId="192CDF7D" w14:textId="77777777" w:rsidR="00B14D53" w:rsidRDefault="00000000">
            <w:pPr>
              <w:jc w:val="center"/>
              <w:rPr>
                <w:rFonts w:eastAsiaTheme="minorEastAsia"/>
                <w:b/>
                <w:bCs/>
                <w:szCs w:val="21"/>
              </w:rPr>
            </w:pPr>
            <w:r>
              <w:rPr>
                <w:rFonts w:eastAsiaTheme="minorEastAsia"/>
                <w:b/>
                <w:bCs/>
                <w:szCs w:val="21"/>
              </w:rPr>
              <w:t>纬度</w:t>
            </w:r>
          </w:p>
        </w:tc>
        <w:tc>
          <w:tcPr>
            <w:tcW w:w="368" w:type="pct"/>
            <w:vMerge/>
            <w:vAlign w:val="center"/>
          </w:tcPr>
          <w:p w14:paraId="69866C57" w14:textId="77777777" w:rsidR="00B14D53" w:rsidRDefault="00B14D53">
            <w:pPr>
              <w:jc w:val="center"/>
              <w:rPr>
                <w:rFonts w:eastAsiaTheme="minorEastAsia"/>
                <w:b/>
                <w:bCs/>
                <w:szCs w:val="21"/>
              </w:rPr>
            </w:pPr>
          </w:p>
        </w:tc>
        <w:tc>
          <w:tcPr>
            <w:tcW w:w="407" w:type="pct"/>
            <w:vMerge/>
            <w:vAlign w:val="center"/>
          </w:tcPr>
          <w:p w14:paraId="64F72CB4" w14:textId="77777777" w:rsidR="00B14D53" w:rsidRDefault="00B14D53">
            <w:pPr>
              <w:jc w:val="center"/>
              <w:rPr>
                <w:rFonts w:eastAsiaTheme="minorEastAsia"/>
                <w:b/>
                <w:bCs/>
                <w:szCs w:val="21"/>
              </w:rPr>
            </w:pPr>
          </w:p>
        </w:tc>
        <w:tc>
          <w:tcPr>
            <w:tcW w:w="407" w:type="pct"/>
            <w:vMerge/>
            <w:vAlign w:val="center"/>
          </w:tcPr>
          <w:p w14:paraId="797AF331" w14:textId="77777777" w:rsidR="00B14D53" w:rsidRDefault="00B14D53">
            <w:pPr>
              <w:jc w:val="center"/>
              <w:rPr>
                <w:rFonts w:eastAsiaTheme="minorEastAsia"/>
                <w:b/>
                <w:bCs/>
                <w:szCs w:val="21"/>
              </w:rPr>
            </w:pPr>
          </w:p>
        </w:tc>
        <w:tc>
          <w:tcPr>
            <w:tcW w:w="407" w:type="pct"/>
            <w:vMerge/>
            <w:vAlign w:val="center"/>
          </w:tcPr>
          <w:p w14:paraId="7CD09E07" w14:textId="77777777" w:rsidR="00B14D53" w:rsidRDefault="00B14D53">
            <w:pPr>
              <w:jc w:val="center"/>
              <w:rPr>
                <w:rFonts w:eastAsiaTheme="minorEastAsia"/>
                <w:b/>
                <w:bCs/>
                <w:szCs w:val="21"/>
              </w:rPr>
            </w:pPr>
          </w:p>
        </w:tc>
        <w:tc>
          <w:tcPr>
            <w:tcW w:w="407" w:type="pct"/>
            <w:vMerge/>
            <w:vAlign w:val="center"/>
          </w:tcPr>
          <w:p w14:paraId="6A4B5CDD" w14:textId="77777777" w:rsidR="00B14D53" w:rsidRDefault="00B14D53">
            <w:pPr>
              <w:jc w:val="center"/>
              <w:rPr>
                <w:rFonts w:eastAsiaTheme="minorEastAsia"/>
                <w:b/>
                <w:bCs/>
                <w:szCs w:val="21"/>
              </w:rPr>
            </w:pPr>
          </w:p>
        </w:tc>
        <w:tc>
          <w:tcPr>
            <w:tcW w:w="405" w:type="pct"/>
            <w:vMerge/>
            <w:vAlign w:val="center"/>
          </w:tcPr>
          <w:p w14:paraId="683680E5" w14:textId="77777777" w:rsidR="00B14D53" w:rsidRDefault="00B14D53">
            <w:pPr>
              <w:jc w:val="center"/>
              <w:rPr>
                <w:rFonts w:eastAsiaTheme="minorEastAsia"/>
                <w:b/>
                <w:bCs/>
                <w:szCs w:val="21"/>
              </w:rPr>
            </w:pPr>
          </w:p>
        </w:tc>
        <w:tc>
          <w:tcPr>
            <w:tcW w:w="258" w:type="pct"/>
            <w:vMerge/>
            <w:vAlign w:val="center"/>
          </w:tcPr>
          <w:p w14:paraId="0DFBBFA4" w14:textId="77777777" w:rsidR="00B14D53" w:rsidRDefault="00B14D53">
            <w:pPr>
              <w:jc w:val="center"/>
              <w:rPr>
                <w:rFonts w:eastAsiaTheme="minorEastAsia"/>
                <w:b/>
                <w:bCs/>
                <w:szCs w:val="21"/>
              </w:rPr>
            </w:pPr>
          </w:p>
        </w:tc>
        <w:tc>
          <w:tcPr>
            <w:tcW w:w="397" w:type="pct"/>
            <w:vAlign w:val="center"/>
          </w:tcPr>
          <w:p w14:paraId="0DF3A004" w14:textId="77777777" w:rsidR="00B14D53" w:rsidRDefault="00000000">
            <w:pPr>
              <w:jc w:val="center"/>
              <w:rPr>
                <w:rFonts w:eastAsiaTheme="minorEastAsia"/>
                <w:b/>
                <w:bCs/>
                <w:szCs w:val="21"/>
              </w:rPr>
            </w:pPr>
            <w:r>
              <w:rPr>
                <w:rFonts w:eastAsiaTheme="minorEastAsia"/>
                <w:b/>
                <w:bCs/>
                <w:szCs w:val="21"/>
              </w:rPr>
              <w:t>NH</w:t>
            </w:r>
            <w:r>
              <w:rPr>
                <w:rFonts w:eastAsiaTheme="minorEastAsia"/>
                <w:b/>
                <w:bCs/>
                <w:szCs w:val="21"/>
                <w:vertAlign w:val="subscript"/>
              </w:rPr>
              <w:t>3</w:t>
            </w:r>
          </w:p>
        </w:tc>
        <w:tc>
          <w:tcPr>
            <w:tcW w:w="394" w:type="pct"/>
            <w:vAlign w:val="center"/>
          </w:tcPr>
          <w:p w14:paraId="564E7E16" w14:textId="77777777" w:rsidR="00B14D53" w:rsidRDefault="00000000">
            <w:pPr>
              <w:jc w:val="center"/>
              <w:rPr>
                <w:rFonts w:eastAsiaTheme="minorEastAsia"/>
                <w:b/>
                <w:bCs/>
                <w:szCs w:val="21"/>
              </w:rPr>
            </w:pPr>
            <w:r>
              <w:rPr>
                <w:rFonts w:eastAsiaTheme="minorEastAsia"/>
                <w:b/>
                <w:bCs/>
                <w:szCs w:val="21"/>
              </w:rPr>
              <w:t>H</w:t>
            </w:r>
            <w:r>
              <w:rPr>
                <w:rFonts w:eastAsiaTheme="minorEastAsia"/>
                <w:b/>
                <w:bCs/>
                <w:szCs w:val="21"/>
                <w:vertAlign w:val="subscript"/>
              </w:rPr>
              <w:t>2</w:t>
            </w:r>
            <w:r>
              <w:rPr>
                <w:rFonts w:eastAsiaTheme="minorEastAsia"/>
                <w:b/>
                <w:bCs/>
                <w:szCs w:val="21"/>
              </w:rPr>
              <w:t>S</w:t>
            </w:r>
          </w:p>
        </w:tc>
      </w:tr>
      <w:tr w:rsidR="00B14D53" w14:paraId="6DF42002" w14:textId="77777777">
        <w:trPr>
          <w:trHeight w:val="27"/>
          <w:jc w:val="center"/>
        </w:trPr>
        <w:tc>
          <w:tcPr>
            <w:tcW w:w="192" w:type="pct"/>
            <w:vAlign w:val="center"/>
          </w:tcPr>
          <w:p w14:paraId="106282B5" w14:textId="77777777" w:rsidR="00B14D53" w:rsidRDefault="00000000">
            <w:pPr>
              <w:jc w:val="center"/>
              <w:rPr>
                <w:rFonts w:eastAsiaTheme="minorEastAsia"/>
                <w:szCs w:val="21"/>
              </w:rPr>
            </w:pPr>
            <w:r>
              <w:rPr>
                <w:rFonts w:eastAsiaTheme="minorEastAsia"/>
                <w:szCs w:val="21"/>
              </w:rPr>
              <w:t>1</w:t>
            </w:r>
          </w:p>
        </w:tc>
        <w:tc>
          <w:tcPr>
            <w:tcW w:w="470" w:type="pct"/>
            <w:vAlign w:val="center"/>
          </w:tcPr>
          <w:p w14:paraId="2E3D0AAF" w14:textId="77777777" w:rsidR="00B14D53" w:rsidRDefault="00000000">
            <w:pPr>
              <w:jc w:val="center"/>
              <w:rPr>
                <w:szCs w:val="21"/>
              </w:rPr>
            </w:pPr>
            <w:r>
              <w:rPr>
                <w:szCs w:val="21"/>
              </w:rPr>
              <w:t>1#</w:t>
            </w:r>
            <w:r>
              <w:rPr>
                <w:szCs w:val="21"/>
              </w:rPr>
              <w:t>待宰圈</w:t>
            </w:r>
          </w:p>
        </w:tc>
        <w:tc>
          <w:tcPr>
            <w:tcW w:w="467" w:type="pct"/>
            <w:vAlign w:val="center"/>
          </w:tcPr>
          <w:p w14:paraId="76CFA680" w14:textId="77777777" w:rsidR="00B14D53" w:rsidRDefault="00000000">
            <w:pPr>
              <w:jc w:val="center"/>
              <w:rPr>
                <w:rFonts w:eastAsiaTheme="minorEastAsia"/>
                <w:szCs w:val="21"/>
              </w:rPr>
            </w:pPr>
            <w:r>
              <w:rPr>
                <w:rFonts w:eastAsiaTheme="minorEastAsia"/>
                <w:szCs w:val="21"/>
              </w:rPr>
              <w:t>127.218683</w:t>
            </w:r>
          </w:p>
        </w:tc>
        <w:tc>
          <w:tcPr>
            <w:tcW w:w="414" w:type="pct"/>
            <w:vAlign w:val="center"/>
          </w:tcPr>
          <w:p w14:paraId="17336EEB" w14:textId="77777777" w:rsidR="00B14D53" w:rsidRDefault="00000000">
            <w:pPr>
              <w:jc w:val="center"/>
              <w:rPr>
                <w:rFonts w:eastAsiaTheme="minorEastAsia"/>
                <w:szCs w:val="21"/>
              </w:rPr>
            </w:pPr>
            <w:r>
              <w:rPr>
                <w:rFonts w:eastAsiaTheme="minorEastAsia"/>
                <w:szCs w:val="21"/>
              </w:rPr>
              <w:t>44.698536</w:t>
            </w:r>
          </w:p>
        </w:tc>
        <w:tc>
          <w:tcPr>
            <w:tcW w:w="368" w:type="pct"/>
            <w:vAlign w:val="center"/>
          </w:tcPr>
          <w:p w14:paraId="2B32EEEF" w14:textId="77777777" w:rsidR="00B14D53" w:rsidRDefault="00000000">
            <w:pPr>
              <w:jc w:val="center"/>
              <w:rPr>
                <w:rFonts w:eastAsiaTheme="minorEastAsia"/>
                <w:szCs w:val="21"/>
              </w:rPr>
            </w:pPr>
            <w:r>
              <w:rPr>
                <w:rFonts w:eastAsiaTheme="minorEastAsia"/>
                <w:szCs w:val="21"/>
              </w:rPr>
              <w:t>200</w:t>
            </w:r>
          </w:p>
        </w:tc>
        <w:tc>
          <w:tcPr>
            <w:tcW w:w="407" w:type="pct"/>
            <w:vAlign w:val="center"/>
          </w:tcPr>
          <w:p w14:paraId="5C051E30" w14:textId="77777777" w:rsidR="00B14D53" w:rsidRDefault="00000000">
            <w:pPr>
              <w:jc w:val="center"/>
              <w:rPr>
                <w:rFonts w:eastAsiaTheme="minorEastAsia"/>
                <w:szCs w:val="21"/>
              </w:rPr>
            </w:pPr>
            <w:r>
              <w:rPr>
                <w:rFonts w:eastAsiaTheme="minorEastAsia"/>
                <w:szCs w:val="21"/>
              </w:rPr>
              <w:t>21.83</w:t>
            </w:r>
          </w:p>
        </w:tc>
        <w:tc>
          <w:tcPr>
            <w:tcW w:w="407" w:type="pct"/>
            <w:vAlign w:val="center"/>
          </w:tcPr>
          <w:p w14:paraId="4B640FB2" w14:textId="77777777" w:rsidR="00B14D53" w:rsidRDefault="00000000">
            <w:pPr>
              <w:jc w:val="center"/>
              <w:rPr>
                <w:rFonts w:eastAsiaTheme="minorEastAsia"/>
                <w:szCs w:val="21"/>
              </w:rPr>
            </w:pPr>
            <w:r>
              <w:rPr>
                <w:rFonts w:eastAsiaTheme="minorEastAsia"/>
                <w:szCs w:val="21"/>
              </w:rPr>
              <w:t>13.12</w:t>
            </w:r>
          </w:p>
        </w:tc>
        <w:tc>
          <w:tcPr>
            <w:tcW w:w="407" w:type="pct"/>
            <w:vAlign w:val="center"/>
          </w:tcPr>
          <w:p w14:paraId="58BB0DF5" w14:textId="77777777" w:rsidR="00B14D53" w:rsidRDefault="00000000">
            <w:pPr>
              <w:jc w:val="center"/>
              <w:rPr>
                <w:rFonts w:eastAsiaTheme="minorEastAsia"/>
                <w:szCs w:val="21"/>
              </w:rPr>
            </w:pPr>
            <w:r>
              <w:rPr>
                <w:rFonts w:eastAsiaTheme="minorEastAsia"/>
                <w:szCs w:val="21"/>
              </w:rPr>
              <w:t>29.05</w:t>
            </w:r>
          </w:p>
        </w:tc>
        <w:tc>
          <w:tcPr>
            <w:tcW w:w="407" w:type="pct"/>
            <w:vAlign w:val="center"/>
          </w:tcPr>
          <w:p w14:paraId="1B13583B" w14:textId="77777777" w:rsidR="00B14D53" w:rsidRDefault="00000000">
            <w:pPr>
              <w:jc w:val="center"/>
              <w:rPr>
                <w:rFonts w:eastAsiaTheme="minorEastAsia"/>
                <w:szCs w:val="21"/>
              </w:rPr>
            </w:pPr>
            <w:r>
              <w:rPr>
                <w:rFonts w:eastAsiaTheme="minorEastAsia"/>
                <w:szCs w:val="21"/>
              </w:rPr>
              <w:t>0.5</w:t>
            </w:r>
          </w:p>
        </w:tc>
        <w:tc>
          <w:tcPr>
            <w:tcW w:w="405" w:type="pct"/>
            <w:vAlign w:val="center"/>
          </w:tcPr>
          <w:p w14:paraId="502C9C4F" w14:textId="77777777" w:rsidR="00B14D53" w:rsidRDefault="00000000">
            <w:pPr>
              <w:jc w:val="center"/>
              <w:rPr>
                <w:rFonts w:eastAsiaTheme="minorEastAsia"/>
                <w:szCs w:val="21"/>
              </w:rPr>
            </w:pPr>
            <w:r>
              <w:rPr>
                <w:rFonts w:eastAsiaTheme="minorEastAsia"/>
                <w:szCs w:val="21"/>
              </w:rPr>
              <w:t>8160</w:t>
            </w:r>
          </w:p>
        </w:tc>
        <w:tc>
          <w:tcPr>
            <w:tcW w:w="258" w:type="pct"/>
            <w:vMerge w:val="restart"/>
            <w:vAlign w:val="center"/>
          </w:tcPr>
          <w:p w14:paraId="5A756A79" w14:textId="77777777" w:rsidR="00B14D53" w:rsidRDefault="00000000">
            <w:pPr>
              <w:jc w:val="center"/>
              <w:rPr>
                <w:rFonts w:eastAsiaTheme="minorEastAsia"/>
                <w:szCs w:val="21"/>
              </w:rPr>
            </w:pPr>
            <w:r>
              <w:rPr>
                <w:rFonts w:eastAsiaTheme="minorEastAsia"/>
                <w:szCs w:val="21"/>
              </w:rPr>
              <w:t>正常排放</w:t>
            </w:r>
          </w:p>
        </w:tc>
        <w:tc>
          <w:tcPr>
            <w:tcW w:w="397" w:type="pct"/>
            <w:vAlign w:val="center"/>
          </w:tcPr>
          <w:p w14:paraId="658293C0" w14:textId="77777777" w:rsidR="00B14D53" w:rsidRDefault="00000000">
            <w:pPr>
              <w:jc w:val="center"/>
              <w:rPr>
                <w:rFonts w:eastAsiaTheme="minorEastAsia"/>
                <w:szCs w:val="21"/>
              </w:rPr>
            </w:pPr>
            <w:r>
              <w:rPr>
                <w:szCs w:val="21"/>
              </w:rPr>
              <w:t>0.002</w:t>
            </w:r>
          </w:p>
        </w:tc>
        <w:tc>
          <w:tcPr>
            <w:tcW w:w="394" w:type="pct"/>
            <w:vAlign w:val="center"/>
          </w:tcPr>
          <w:p w14:paraId="5D6B06E3" w14:textId="77777777" w:rsidR="00B14D53" w:rsidRDefault="00000000">
            <w:pPr>
              <w:jc w:val="center"/>
              <w:rPr>
                <w:rFonts w:eastAsiaTheme="minorEastAsia"/>
                <w:szCs w:val="21"/>
              </w:rPr>
            </w:pPr>
            <w:r>
              <w:rPr>
                <w:szCs w:val="21"/>
              </w:rPr>
              <w:t>0.0001</w:t>
            </w:r>
          </w:p>
        </w:tc>
      </w:tr>
      <w:tr w:rsidR="00B14D53" w14:paraId="7DE31324" w14:textId="77777777">
        <w:trPr>
          <w:trHeight w:val="27"/>
          <w:jc w:val="center"/>
        </w:trPr>
        <w:tc>
          <w:tcPr>
            <w:tcW w:w="192" w:type="pct"/>
            <w:vAlign w:val="center"/>
          </w:tcPr>
          <w:p w14:paraId="497CDBFF" w14:textId="77777777" w:rsidR="00B14D53" w:rsidRDefault="00000000">
            <w:pPr>
              <w:jc w:val="center"/>
              <w:rPr>
                <w:rFonts w:eastAsiaTheme="minorEastAsia"/>
                <w:szCs w:val="21"/>
              </w:rPr>
            </w:pPr>
            <w:r>
              <w:rPr>
                <w:rFonts w:eastAsiaTheme="minorEastAsia"/>
                <w:szCs w:val="21"/>
              </w:rPr>
              <w:t>2</w:t>
            </w:r>
          </w:p>
        </w:tc>
        <w:tc>
          <w:tcPr>
            <w:tcW w:w="470" w:type="pct"/>
            <w:vAlign w:val="center"/>
          </w:tcPr>
          <w:p w14:paraId="5610956F" w14:textId="77777777" w:rsidR="00B14D53" w:rsidRDefault="00000000">
            <w:pPr>
              <w:jc w:val="center"/>
              <w:rPr>
                <w:szCs w:val="21"/>
              </w:rPr>
            </w:pPr>
            <w:r>
              <w:rPr>
                <w:szCs w:val="21"/>
              </w:rPr>
              <w:t>2#</w:t>
            </w:r>
            <w:r>
              <w:rPr>
                <w:szCs w:val="21"/>
              </w:rPr>
              <w:t>待宰圈</w:t>
            </w:r>
          </w:p>
        </w:tc>
        <w:tc>
          <w:tcPr>
            <w:tcW w:w="467" w:type="pct"/>
            <w:vAlign w:val="center"/>
          </w:tcPr>
          <w:p w14:paraId="5541AE52" w14:textId="77777777" w:rsidR="00B14D53" w:rsidRDefault="00000000">
            <w:pPr>
              <w:jc w:val="center"/>
              <w:rPr>
                <w:rFonts w:eastAsiaTheme="minorEastAsia"/>
                <w:szCs w:val="21"/>
              </w:rPr>
            </w:pPr>
            <w:r>
              <w:rPr>
                <w:rFonts w:eastAsiaTheme="minorEastAsia"/>
                <w:szCs w:val="21"/>
              </w:rPr>
              <w:t>127.219233</w:t>
            </w:r>
          </w:p>
        </w:tc>
        <w:tc>
          <w:tcPr>
            <w:tcW w:w="414" w:type="pct"/>
            <w:vAlign w:val="center"/>
          </w:tcPr>
          <w:p w14:paraId="53C96850" w14:textId="77777777" w:rsidR="00B14D53" w:rsidRDefault="00000000">
            <w:pPr>
              <w:jc w:val="center"/>
              <w:rPr>
                <w:rFonts w:eastAsiaTheme="minorEastAsia"/>
                <w:szCs w:val="21"/>
              </w:rPr>
            </w:pPr>
            <w:r>
              <w:rPr>
                <w:rFonts w:eastAsiaTheme="minorEastAsia"/>
                <w:szCs w:val="21"/>
              </w:rPr>
              <w:t>44.698592</w:t>
            </w:r>
          </w:p>
        </w:tc>
        <w:tc>
          <w:tcPr>
            <w:tcW w:w="368" w:type="pct"/>
            <w:vAlign w:val="center"/>
          </w:tcPr>
          <w:p w14:paraId="70B3ADCF" w14:textId="77777777" w:rsidR="00B14D53" w:rsidRDefault="00000000">
            <w:pPr>
              <w:jc w:val="center"/>
              <w:rPr>
                <w:rFonts w:eastAsiaTheme="minorEastAsia"/>
                <w:szCs w:val="21"/>
              </w:rPr>
            </w:pPr>
            <w:r>
              <w:rPr>
                <w:rFonts w:eastAsiaTheme="minorEastAsia"/>
                <w:szCs w:val="21"/>
              </w:rPr>
              <w:t>201</w:t>
            </w:r>
          </w:p>
        </w:tc>
        <w:tc>
          <w:tcPr>
            <w:tcW w:w="407" w:type="pct"/>
            <w:vAlign w:val="center"/>
          </w:tcPr>
          <w:p w14:paraId="381FDBDB" w14:textId="77777777" w:rsidR="00B14D53" w:rsidRDefault="00000000">
            <w:pPr>
              <w:jc w:val="center"/>
              <w:rPr>
                <w:rFonts w:eastAsiaTheme="minorEastAsia"/>
                <w:szCs w:val="21"/>
              </w:rPr>
            </w:pPr>
            <w:r>
              <w:rPr>
                <w:rFonts w:eastAsiaTheme="minorEastAsia"/>
                <w:szCs w:val="21"/>
              </w:rPr>
              <w:t>10.00</w:t>
            </w:r>
          </w:p>
        </w:tc>
        <w:tc>
          <w:tcPr>
            <w:tcW w:w="407" w:type="pct"/>
            <w:vAlign w:val="center"/>
          </w:tcPr>
          <w:p w14:paraId="39422B90" w14:textId="77777777" w:rsidR="00B14D53" w:rsidRDefault="00000000">
            <w:pPr>
              <w:jc w:val="center"/>
              <w:rPr>
                <w:rFonts w:eastAsiaTheme="minorEastAsia"/>
                <w:szCs w:val="21"/>
              </w:rPr>
            </w:pPr>
            <w:r>
              <w:rPr>
                <w:rFonts w:eastAsiaTheme="minorEastAsia"/>
                <w:szCs w:val="21"/>
              </w:rPr>
              <w:t>60</w:t>
            </w:r>
          </w:p>
        </w:tc>
        <w:tc>
          <w:tcPr>
            <w:tcW w:w="407" w:type="pct"/>
            <w:vAlign w:val="center"/>
          </w:tcPr>
          <w:p w14:paraId="3A8E0655" w14:textId="77777777" w:rsidR="00B14D53" w:rsidRDefault="00000000">
            <w:pPr>
              <w:jc w:val="center"/>
              <w:rPr>
                <w:rFonts w:eastAsiaTheme="minorEastAsia"/>
                <w:szCs w:val="21"/>
              </w:rPr>
            </w:pPr>
            <w:r>
              <w:rPr>
                <w:rFonts w:eastAsiaTheme="minorEastAsia"/>
                <w:szCs w:val="21"/>
              </w:rPr>
              <w:t>88.2</w:t>
            </w:r>
          </w:p>
        </w:tc>
        <w:tc>
          <w:tcPr>
            <w:tcW w:w="407" w:type="pct"/>
            <w:vAlign w:val="center"/>
          </w:tcPr>
          <w:p w14:paraId="7595CE9B" w14:textId="77777777" w:rsidR="00B14D53" w:rsidRDefault="00000000">
            <w:pPr>
              <w:jc w:val="center"/>
              <w:rPr>
                <w:rFonts w:eastAsiaTheme="minorEastAsia"/>
                <w:szCs w:val="21"/>
              </w:rPr>
            </w:pPr>
            <w:r>
              <w:rPr>
                <w:rFonts w:eastAsiaTheme="minorEastAsia"/>
                <w:szCs w:val="21"/>
              </w:rPr>
              <w:t>0.5</w:t>
            </w:r>
          </w:p>
        </w:tc>
        <w:tc>
          <w:tcPr>
            <w:tcW w:w="405" w:type="pct"/>
            <w:vAlign w:val="center"/>
          </w:tcPr>
          <w:p w14:paraId="0F240773" w14:textId="77777777" w:rsidR="00B14D53" w:rsidRDefault="00000000">
            <w:pPr>
              <w:jc w:val="center"/>
              <w:rPr>
                <w:rFonts w:eastAsiaTheme="minorEastAsia"/>
                <w:szCs w:val="21"/>
              </w:rPr>
            </w:pPr>
            <w:r>
              <w:rPr>
                <w:rFonts w:eastAsiaTheme="minorEastAsia"/>
                <w:szCs w:val="21"/>
              </w:rPr>
              <w:t>8160</w:t>
            </w:r>
          </w:p>
        </w:tc>
        <w:tc>
          <w:tcPr>
            <w:tcW w:w="258" w:type="pct"/>
            <w:vMerge/>
            <w:vAlign w:val="center"/>
          </w:tcPr>
          <w:p w14:paraId="743E730F" w14:textId="77777777" w:rsidR="00B14D53" w:rsidRDefault="00B14D53">
            <w:pPr>
              <w:jc w:val="center"/>
              <w:rPr>
                <w:rFonts w:eastAsiaTheme="minorEastAsia"/>
                <w:szCs w:val="21"/>
              </w:rPr>
            </w:pPr>
          </w:p>
        </w:tc>
        <w:tc>
          <w:tcPr>
            <w:tcW w:w="397" w:type="pct"/>
            <w:vAlign w:val="center"/>
          </w:tcPr>
          <w:p w14:paraId="1AD0EDB4" w14:textId="77777777" w:rsidR="00B14D53" w:rsidRDefault="00000000">
            <w:pPr>
              <w:jc w:val="center"/>
              <w:rPr>
                <w:rFonts w:eastAsiaTheme="minorEastAsia"/>
                <w:szCs w:val="21"/>
              </w:rPr>
            </w:pPr>
            <w:r>
              <w:rPr>
                <w:szCs w:val="21"/>
              </w:rPr>
              <w:t>0.004</w:t>
            </w:r>
          </w:p>
        </w:tc>
        <w:tc>
          <w:tcPr>
            <w:tcW w:w="394" w:type="pct"/>
            <w:vAlign w:val="center"/>
          </w:tcPr>
          <w:p w14:paraId="5C3BD18E" w14:textId="77777777" w:rsidR="00B14D53" w:rsidRDefault="00000000">
            <w:pPr>
              <w:jc w:val="center"/>
              <w:rPr>
                <w:rFonts w:eastAsiaTheme="minorEastAsia"/>
                <w:szCs w:val="21"/>
              </w:rPr>
            </w:pPr>
            <w:r>
              <w:rPr>
                <w:szCs w:val="21"/>
              </w:rPr>
              <w:t>0.0002</w:t>
            </w:r>
          </w:p>
        </w:tc>
      </w:tr>
      <w:tr w:rsidR="00B14D53" w14:paraId="196B9069" w14:textId="77777777">
        <w:trPr>
          <w:trHeight w:val="27"/>
          <w:jc w:val="center"/>
        </w:trPr>
        <w:tc>
          <w:tcPr>
            <w:tcW w:w="192" w:type="pct"/>
            <w:vAlign w:val="center"/>
          </w:tcPr>
          <w:p w14:paraId="0B625520" w14:textId="77777777" w:rsidR="00B14D53" w:rsidRDefault="00000000">
            <w:pPr>
              <w:jc w:val="center"/>
              <w:rPr>
                <w:rFonts w:eastAsiaTheme="minorEastAsia"/>
                <w:szCs w:val="21"/>
              </w:rPr>
            </w:pPr>
            <w:r>
              <w:rPr>
                <w:rFonts w:eastAsiaTheme="minorEastAsia"/>
                <w:szCs w:val="21"/>
              </w:rPr>
              <w:t>3</w:t>
            </w:r>
          </w:p>
        </w:tc>
        <w:tc>
          <w:tcPr>
            <w:tcW w:w="470" w:type="pct"/>
            <w:vAlign w:val="center"/>
          </w:tcPr>
          <w:p w14:paraId="566868A4" w14:textId="77777777" w:rsidR="00B14D53" w:rsidRDefault="00000000">
            <w:pPr>
              <w:jc w:val="center"/>
              <w:rPr>
                <w:szCs w:val="21"/>
              </w:rPr>
            </w:pPr>
            <w:r>
              <w:rPr>
                <w:szCs w:val="21"/>
              </w:rPr>
              <w:t>屠宰车间</w:t>
            </w:r>
          </w:p>
        </w:tc>
        <w:tc>
          <w:tcPr>
            <w:tcW w:w="467" w:type="pct"/>
            <w:vAlign w:val="center"/>
          </w:tcPr>
          <w:p w14:paraId="7E83485F" w14:textId="77777777" w:rsidR="00B14D53" w:rsidRDefault="00000000">
            <w:pPr>
              <w:jc w:val="center"/>
              <w:rPr>
                <w:rFonts w:eastAsiaTheme="minorEastAsia"/>
                <w:szCs w:val="21"/>
              </w:rPr>
            </w:pPr>
            <w:r>
              <w:rPr>
                <w:rFonts w:eastAsiaTheme="minorEastAsia"/>
                <w:szCs w:val="21"/>
              </w:rPr>
              <w:t>127.218643</w:t>
            </w:r>
          </w:p>
        </w:tc>
        <w:tc>
          <w:tcPr>
            <w:tcW w:w="414" w:type="pct"/>
            <w:vAlign w:val="center"/>
          </w:tcPr>
          <w:p w14:paraId="0D7C5AD4" w14:textId="77777777" w:rsidR="00B14D53" w:rsidRDefault="00000000">
            <w:pPr>
              <w:jc w:val="center"/>
              <w:rPr>
                <w:rFonts w:eastAsiaTheme="minorEastAsia"/>
                <w:szCs w:val="21"/>
              </w:rPr>
            </w:pPr>
            <w:r>
              <w:rPr>
                <w:rFonts w:eastAsiaTheme="minorEastAsia"/>
                <w:szCs w:val="21"/>
              </w:rPr>
              <w:t>44.698302</w:t>
            </w:r>
          </w:p>
        </w:tc>
        <w:tc>
          <w:tcPr>
            <w:tcW w:w="368" w:type="pct"/>
            <w:vAlign w:val="center"/>
          </w:tcPr>
          <w:p w14:paraId="76B5234C" w14:textId="77777777" w:rsidR="00B14D53" w:rsidRDefault="00000000">
            <w:pPr>
              <w:jc w:val="center"/>
              <w:rPr>
                <w:rFonts w:eastAsiaTheme="minorEastAsia"/>
                <w:szCs w:val="21"/>
              </w:rPr>
            </w:pPr>
            <w:r>
              <w:rPr>
                <w:rFonts w:eastAsiaTheme="minorEastAsia"/>
                <w:szCs w:val="21"/>
              </w:rPr>
              <w:t>200</w:t>
            </w:r>
          </w:p>
        </w:tc>
        <w:tc>
          <w:tcPr>
            <w:tcW w:w="407" w:type="pct"/>
            <w:vAlign w:val="center"/>
          </w:tcPr>
          <w:p w14:paraId="1E1801DD" w14:textId="77777777" w:rsidR="00B14D53" w:rsidRDefault="00000000">
            <w:pPr>
              <w:jc w:val="center"/>
              <w:rPr>
                <w:rFonts w:eastAsiaTheme="minorEastAsia"/>
                <w:szCs w:val="21"/>
              </w:rPr>
            </w:pPr>
            <w:r>
              <w:rPr>
                <w:rFonts w:eastAsiaTheme="minorEastAsia"/>
                <w:szCs w:val="21"/>
              </w:rPr>
              <w:t>15.73</w:t>
            </w:r>
          </w:p>
        </w:tc>
        <w:tc>
          <w:tcPr>
            <w:tcW w:w="407" w:type="pct"/>
            <w:vAlign w:val="center"/>
          </w:tcPr>
          <w:p w14:paraId="1A0C3A74" w14:textId="77777777" w:rsidR="00B14D53" w:rsidRDefault="00000000">
            <w:pPr>
              <w:jc w:val="center"/>
              <w:rPr>
                <w:rFonts w:eastAsiaTheme="minorEastAsia"/>
                <w:szCs w:val="21"/>
              </w:rPr>
            </w:pPr>
            <w:r>
              <w:rPr>
                <w:rFonts w:eastAsiaTheme="minorEastAsia"/>
                <w:szCs w:val="21"/>
              </w:rPr>
              <w:t>34.76</w:t>
            </w:r>
          </w:p>
        </w:tc>
        <w:tc>
          <w:tcPr>
            <w:tcW w:w="407" w:type="pct"/>
            <w:vAlign w:val="center"/>
          </w:tcPr>
          <w:p w14:paraId="622B2C56" w14:textId="77777777" w:rsidR="00B14D53" w:rsidRDefault="00000000">
            <w:pPr>
              <w:jc w:val="center"/>
              <w:rPr>
                <w:rFonts w:eastAsiaTheme="minorEastAsia"/>
                <w:szCs w:val="21"/>
              </w:rPr>
            </w:pPr>
            <w:r>
              <w:rPr>
                <w:rFonts w:eastAsiaTheme="minorEastAsia"/>
                <w:szCs w:val="21"/>
              </w:rPr>
              <w:t>87.9</w:t>
            </w:r>
          </w:p>
        </w:tc>
        <w:tc>
          <w:tcPr>
            <w:tcW w:w="407" w:type="pct"/>
            <w:vAlign w:val="center"/>
          </w:tcPr>
          <w:p w14:paraId="2D50C1ED" w14:textId="77777777" w:rsidR="00B14D53" w:rsidRDefault="00000000">
            <w:pPr>
              <w:jc w:val="center"/>
              <w:rPr>
                <w:rFonts w:eastAsiaTheme="minorEastAsia"/>
                <w:szCs w:val="21"/>
              </w:rPr>
            </w:pPr>
            <w:r>
              <w:rPr>
                <w:rFonts w:eastAsiaTheme="minorEastAsia"/>
                <w:szCs w:val="21"/>
              </w:rPr>
              <w:t>0.5</w:t>
            </w:r>
          </w:p>
        </w:tc>
        <w:tc>
          <w:tcPr>
            <w:tcW w:w="405" w:type="pct"/>
            <w:vAlign w:val="center"/>
          </w:tcPr>
          <w:p w14:paraId="0E2C5D0B" w14:textId="77777777" w:rsidR="00B14D53" w:rsidRDefault="00000000">
            <w:pPr>
              <w:jc w:val="center"/>
              <w:rPr>
                <w:rFonts w:eastAsiaTheme="minorEastAsia"/>
                <w:szCs w:val="21"/>
              </w:rPr>
            </w:pPr>
            <w:r>
              <w:rPr>
                <w:rFonts w:eastAsiaTheme="minorEastAsia"/>
                <w:szCs w:val="21"/>
              </w:rPr>
              <w:t>5440</w:t>
            </w:r>
          </w:p>
        </w:tc>
        <w:tc>
          <w:tcPr>
            <w:tcW w:w="258" w:type="pct"/>
            <w:vMerge/>
            <w:vAlign w:val="center"/>
          </w:tcPr>
          <w:p w14:paraId="56FA2E76" w14:textId="77777777" w:rsidR="00B14D53" w:rsidRDefault="00B14D53">
            <w:pPr>
              <w:jc w:val="center"/>
              <w:rPr>
                <w:rFonts w:eastAsiaTheme="minorEastAsia"/>
                <w:szCs w:val="21"/>
              </w:rPr>
            </w:pPr>
          </w:p>
        </w:tc>
        <w:tc>
          <w:tcPr>
            <w:tcW w:w="397" w:type="pct"/>
            <w:vAlign w:val="center"/>
          </w:tcPr>
          <w:p w14:paraId="56D538F0" w14:textId="77777777" w:rsidR="00B14D53" w:rsidRDefault="00000000">
            <w:pPr>
              <w:jc w:val="center"/>
              <w:rPr>
                <w:rFonts w:eastAsiaTheme="minorEastAsia"/>
                <w:szCs w:val="21"/>
              </w:rPr>
            </w:pPr>
            <w:r>
              <w:rPr>
                <w:szCs w:val="21"/>
              </w:rPr>
              <w:t>0.003</w:t>
            </w:r>
          </w:p>
        </w:tc>
        <w:tc>
          <w:tcPr>
            <w:tcW w:w="394" w:type="pct"/>
            <w:vAlign w:val="center"/>
          </w:tcPr>
          <w:p w14:paraId="4CF62162" w14:textId="77777777" w:rsidR="00B14D53" w:rsidRDefault="00000000">
            <w:pPr>
              <w:jc w:val="center"/>
              <w:rPr>
                <w:rFonts w:eastAsiaTheme="minorEastAsia"/>
                <w:szCs w:val="21"/>
              </w:rPr>
            </w:pPr>
            <w:r>
              <w:rPr>
                <w:szCs w:val="21"/>
              </w:rPr>
              <w:t>0.0001</w:t>
            </w:r>
          </w:p>
        </w:tc>
      </w:tr>
      <w:tr w:rsidR="00B14D53" w14:paraId="1700FBE3" w14:textId="77777777">
        <w:trPr>
          <w:trHeight w:val="27"/>
          <w:jc w:val="center"/>
        </w:trPr>
        <w:tc>
          <w:tcPr>
            <w:tcW w:w="192" w:type="pct"/>
            <w:vAlign w:val="center"/>
          </w:tcPr>
          <w:p w14:paraId="4E8FBD86" w14:textId="77777777" w:rsidR="00B14D53" w:rsidRDefault="00000000">
            <w:pPr>
              <w:jc w:val="center"/>
              <w:rPr>
                <w:rFonts w:eastAsiaTheme="minorEastAsia"/>
                <w:szCs w:val="21"/>
              </w:rPr>
            </w:pPr>
            <w:r>
              <w:rPr>
                <w:rFonts w:eastAsiaTheme="minorEastAsia"/>
                <w:szCs w:val="21"/>
              </w:rPr>
              <w:t>4</w:t>
            </w:r>
          </w:p>
        </w:tc>
        <w:tc>
          <w:tcPr>
            <w:tcW w:w="470" w:type="pct"/>
            <w:vAlign w:val="center"/>
          </w:tcPr>
          <w:p w14:paraId="7B668C0D" w14:textId="77777777" w:rsidR="00B14D53" w:rsidRDefault="00000000">
            <w:pPr>
              <w:jc w:val="center"/>
              <w:rPr>
                <w:szCs w:val="21"/>
              </w:rPr>
            </w:pPr>
            <w:r>
              <w:rPr>
                <w:szCs w:val="21"/>
              </w:rPr>
              <w:t>污水处理站</w:t>
            </w:r>
          </w:p>
        </w:tc>
        <w:tc>
          <w:tcPr>
            <w:tcW w:w="467" w:type="pct"/>
            <w:vAlign w:val="center"/>
          </w:tcPr>
          <w:p w14:paraId="2817CEC7" w14:textId="77777777" w:rsidR="00B14D53" w:rsidRDefault="00000000">
            <w:pPr>
              <w:jc w:val="center"/>
              <w:rPr>
                <w:rFonts w:eastAsiaTheme="minorEastAsia"/>
                <w:szCs w:val="21"/>
              </w:rPr>
            </w:pPr>
            <w:r>
              <w:rPr>
                <w:rFonts w:eastAsiaTheme="minorEastAsia"/>
                <w:szCs w:val="21"/>
              </w:rPr>
              <w:t>127.218551</w:t>
            </w:r>
          </w:p>
        </w:tc>
        <w:tc>
          <w:tcPr>
            <w:tcW w:w="414" w:type="pct"/>
            <w:vAlign w:val="center"/>
          </w:tcPr>
          <w:p w14:paraId="34646C1B" w14:textId="77777777" w:rsidR="00B14D53" w:rsidRDefault="00000000">
            <w:pPr>
              <w:jc w:val="center"/>
              <w:rPr>
                <w:rFonts w:eastAsiaTheme="minorEastAsia"/>
                <w:szCs w:val="21"/>
              </w:rPr>
            </w:pPr>
            <w:r>
              <w:rPr>
                <w:rFonts w:eastAsiaTheme="minorEastAsia"/>
                <w:szCs w:val="21"/>
              </w:rPr>
              <w:t>44.698352</w:t>
            </w:r>
          </w:p>
        </w:tc>
        <w:tc>
          <w:tcPr>
            <w:tcW w:w="368" w:type="pct"/>
            <w:vAlign w:val="center"/>
          </w:tcPr>
          <w:p w14:paraId="0B940A0C" w14:textId="77777777" w:rsidR="00B14D53" w:rsidRDefault="00000000">
            <w:pPr>
              <w:jc w:val="center"/>
              <w:rPr>
                <w:rFonts w:eastAsiaTheme="minorEastAsia"/>
                <w:szCs w:val="21"/>
              </w:rPr>
            </w:pPr>
            <w:r>
              <w:rPr>
                <w:rFonts w:eastAsiaTheme="minorEastAsia"/>
                <w:szCs w:val="21"/>
              </w:rPr>
              <w:t>200</w:t>
            </w:r>
          </w:p>
        </w:tc>
        <w:tc>
          <w:tcPr>
            <w:tcW w:w="407" w:type="pct"/>
            <w:vAlign w:val="center"/>
          </w:tcPr>
          <w:p w14:paraId="495237B7" w14:textId="77777777" w:rsidR="00B14D53" w:rsidRDefault="00000000">
            <w:pPr>
              <w:jc w:val="center"/>
              <w:rPr>
                <w:rFonts w:eastAsiaTheme="minorEastAsia"/>
                <w:szCs w:val="21"/>
              </w:rPr>
            </w:pPr>
            <w:r>
              <w:rPr>
                <w:rFonts w:eastAsiaTheme="minorEastAsia"/>
                <w:szCs w:val="21"/>
              </w:rPr>
              <w:t>8.00</w:t>
            </w:r>
          </w:p>
        </w:tc>
        <w:tc>
          <w:tcPr>
            <w:tcW w:w="407" w:type="pct"/>
            <w:vAlign w:val="center"/>
          </w:tcPr>
          <w:p w14:paraId="72303AA6" w14:textId="77777777" w:rsidR="00B14D53" w:rsidRDefault="00000000">
            <w:pPr>
              <w:jc w:val="center"/>
              <w:rPr>
                <w:rFonts w:eastAsiaTheme="minorEastAsia"/>
                <w:szCs w:val="21"/>
              </w:rPr>
            </w:pPr>
            <w:r>
              <w:rPr>
                <w:rFonts w:eastAsiaTheme="minorEastAsia"/>
                <w:szCs w:val="21"/>
              </w:rPr>
              <w:t>17.6</w:t>
            </w:r>
          </w:p>
        </w:tc>
        <w:tc>
          <w:tcPr>
            <w:tcW w:w="407" w:type="pct"/>
            <w:vAlign w:val="center"/>
          </w:tcPr>
          <w:p w14:paraId="3F46E3F9" w14:textId="77777777" w:rsidR="00B14D53" w:rsidRDefault="00000000">
            <w:pPr>
              <w:jc w:val="center"/>
              <w:rPr>
                <w:rFonts w:eastAsiaTheme="minorEastAsia"/>
                <w:szCs w:val="21"/>
              </w:rPr>
            </w:pPr>
            <w:r>
              <w:rPr>
                <w:rFonts w:eastAsiaTheme="minorEastAsia"/>
                <w:szCs w:val="21"/>
              </w:rPr>
              <w:t>86.42</w:t>
            </w:r>
          </w:p>
        </w:tc>
        <w:tc>
          <w:tcPr>
            <w:tcW w:w="407" w:type="pct"/>
            <w:vAlign w:val="center"/>
          </w:tcPr>
          <w:p w14:paraId="1DA49011" w14:textId="77777777" w:rsidR="00B14D53" w:rsidRDefault="00000000">
            <w:pPr>
              <w:jc w:val="center"/>
              <w:rPr>
                <w:rFonts w:eastAsiaTheme="minorEastAsia"/>
                <w:szCs w:val="21"/>
              </w:rPr>
            </w:pPr>
            <w:r>
              <w:rPr>
                <w:rFonts w:eastAsiaTheme="minorEastAsia"/>
                <w:szCs w:val="21"/>
              </w:rPr>
              <w:t>0.4</w:t>
            </w:r>
          </w:p>
        </w:tc>
        <w:tc>
          <w:tcPr>
            <w:tcW w:w="405" w:type="pct"/>
            <w:vAlign w:val="center"/>
          </w:tcPr>
          <w:p w14:paraId="4D379007" w14:textId="77777777" w:rsidR="00B14D53" w:rsidRDefault="00000000">
            <w:pPr>
              <w:jc w:val="center"/>
              <w:rPr>
                <w:rFonts w:eastAsiaTheme="minorEastAsia"/>
                <w:szCs w:val="21"/>
              </w:rPr>
            </w:pPr>
            <w:r>
              <w:rPr>
                <w:rFonts w:eastAsiaTheme="minorEastAsia"/>
                <w:szCs w:val="21"/>
              </w:rPr>
              <w:t>8160</w:t>
            </w:r>
          </w:p>
        </w:tc>
        <w:tc>
          <w:tcPr>
            <w:tcW w:w="258" w:type="pct"/>
            <w:vMerge/>
            <w:vAlign w:val="center"/>
          </w:tcPr>
          <w:p w14:paraId="679D2AB1" w14:textId="77777777" w:rsidR="00B14D53" w:rsidRDefault="00B14D53">
            <w:pPr>
              <w:jc w:val="center"/>
              <w:rPr>
                <w:rFonts w:eastAsiaTheme="minorEastAsia"/>
                <w:szCs w:val="21"/>
              </w:rPr>
            </w:pPr>
          </w:p>
        </w:tc>
        <w:tc>
          <w:tcPr>
            <w:tcW w:w="397" w:type="pct"/>
            <w:vAlign w:val="center"/>
          </w:tcPr>
          <w:p w14:paraId="137BB374" w14:textId="77777777" w:rsidR="00B14D53" w:rsidRDefault="00000000">
            <w:pPr>
              <w:jc w:val="center"/>
              <w:rPr>
                <w:rFonts w:eastAsiaTheme="minorEastAsia"/>
                <w:szCs w:val="21"/>
              </w:rPr>
            </w:pPr>
            <w:r>
              <w:rPr>
                <w:szCs w:val="21"/>
              </w:rPr>
              <w:t>0.005</w:t>
            </w:r>
          </w:p>
        </w:tc>
        <w:tc>
          <w:tcPr>
            <w:tcW w:w="394" w:type="pct"/>
            <w:vAlign w:val="center"/>
          </w:tcPr>
          <w:p w14:paraId="0BA012E1" w14:textId="77777777" w:rsidR="00B14D53" w:rsidRDefault="00000000">
            <w:pPr>
              <w:jc w:val="center"/>
              <w:rPr>
                <w:rFonts w:eastAsiaTheme="minorEastAsia"/>
                <w:szCs w:val="21"/>
              </w:rPr>
            </w:pPr>
            <w:r>
              <w:rPr>
                <w:szCs w:val="21"/>
              </w:rPr>
              <w:t>0.0002</w:t>
            </w:r>
          </w:p>
        </w:tc>
      </w:tr>
    </w:tbl>
    <w:p w14:paraId="1BCBE525" w14:textId="77777777" w:rsidR="00B14D53" w:rsidRDefault="00000000">
      <w:pPr>
        <w:jc w:val="center"/>
        <w:rPr>
          <w:b/>
          <w:bCs/>
        </w:rPr>
      </w:pPr>
      <w:r>
        <w:rPr>
          <w:b/>
          <w:bCs/>
        </w:rPr>
        <w:t>表</w:t>
      </w:r>
      <w:r>
        <w:rPr>
          <w:b/>
          <w:bCs/>
        </w:rPr>
        <w:t xml:space="preserve">5-2-3 </w:t>
      </w:r>
      <w:r>
        <w:rPr>
          <w:b/>
          <w:bCs/>
        </w:rPr>
        <w:t>主要废气污染源参数一览表</w:t>
      </w:r>
      <w:r>
        <w:rPr>
          <w:b/>
          <w:bCs/>
        </w:rPr>
        <w:t>(</w:t>
      </w:r>
      <w:r>
        <w:rPr>
          <w:b/>
          <w:bCs/>
        </w:rPr>
        <w:t>点源</w:t>
      </w:r>
      <w:r>
        <w:rPr>
          <w:b/>
          <w:bCs/>
        </w:rPr>
        <w:t>)</w:t>
      </w:r>
    </w:p>
    <w:tbl>
      <w:tblPr>
        <w:tblpPr w:leftFromText="180" w:rightFromText="180" w:vertAnchor="text" w:tblpXSpec="center" w:tblpY="1"/>
        <w:tblOverlap w:val="never"/>
        <w:tblW w:w="4997"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5"/>
        <w:gridCol w:w="978"/>
        <w:gridCol w:w="1496"/>
        <w:gridCol w:w="1407"/>
        <w:gridCol w:w="1131"/>
        <w:gridCol w:w="1131"/>
        <w:gridCol w:w="1170"/>
        <w:gridCol w:w="1083"/>
        <w:gridCol w:w="977"/>
        <w:gridCol w:w="1010"/>
        <w:gridCol w:w="558"/>
        <w:gridCol w:w="1253"/>
        <w:gridCol w:w="1191"/>
      </w:tblGrid>
      <w:tr w:rsidR="00B14D53" w14:paraId="16D55579" w14:textId="77777777">
        <w:trPr>
          <w:trHeight w:val="171"/>
        </w:trPr>
        <w:tc>
          <w:tcPr>
            <w:tcW w:w="202" w:type="pct"/>
            <w:vMerge w:val="restart"/>
            <w:vAlign w:val="center"/>
          </w:tcPr>
          <w:p w14:paraId="78228053" w14:textId="77777777" w:rsidR="00B14D53" w:rsidRDefault="00000000">
            <w:pPr>
              <w:jc w:val="center"/>
              <w:rPr>
                <w:b/>
                <w:bCs/>
                <w:szCs w:val="21"/>
              </w:rPr>
            </w:pPr>
            <w:r>
              <w:rPr>
                <w:b/>
                <w:bCs/>
                <w:szCs w:val="21"/>
              </w:rPr>
              <w:t>编号</w:t>
            </w:r>
          </w:p>
        </w:tc>
        <w:tc>
          <w:tcPr>
            <w:tcW w:w="350" w:type="pct"/>
            <w:vMerge w:val="restart"/>
            <w:vAlign w:val="center"/>
          </w:tcPr>
          <w:p w14:paraId="5EA1DFB8" w14:textId="77777777" w:rsidR="00B14D53" w:rsidRDefault="00000000">
            <w:pPr>
              <w:jc w:val="center"/>
              <w:rPr>
                <w:b/>
                <w:bCs/>
                <w:szCs w:val="21"/>
              </w:rPr>
            </w:pPr>
            <w:r>
              <w:rPr>
                <w:b/>
                <w:bCs/>
                <w:szCs w:val="21"/>
              </w:rPr>
              <w:t>名称</w:t>
            </w:r>
          </w:p>
        </w:tc>
        <w:tc>
          <w:tcPr>
            <w:tcW w:w="1038" w:type="pct"/>
            <w:gridSpan w:val="2"/>
            <w:vAlign w:val="center"/>
          </w:tcPr>
          <w:p w14:paraId="03108185" w14:textId="77777777" w:rsidR="00B14D53" w:rsidRDefault="00000000">
            <w:pPr>
              <w:jc w:val="center"/>
              <w:rPr>
                <w:b/>
                <w:bCs/>
                <w:szCs w:val="21"/>
              </w:rPr>
            </w:pPr>
            <w:r>
              <w:rPr>
                <w:b/>
                <w:bCs/>
                <w:szCs w:val="21"/>
              </w:rPr>
              <w:t>排气筒底部中心坐标（</w:t>
            </w:r>
            <w:r>
              <w:rPr>
                <w:rFonts w:eastAsia="Times New Roman"/>
                <w:b/>
                <w:bCs/>
                <w:spacing w:val="9"/>
                <w:szCs w:val="21"/>
              </w:rPr>
              <w:t>m</w:t>
            </w:r>
            <w:r>
              <w:rPr>
                <w:b/>
                <w:bCs/>
                <w:szCs w:val="21"/>
              </w:rPr>
              <w:t>）</w:t>
            </w:r>
          </w:p>
        </w:tc>
        <w:tc>
          <w:tcPr>
            <w:tcW w:w="405" w:type="pct"/>
            <w:vMerge w:val="restart"/>
            <w:vAlign w:val="center"/>
          </w:tcPr>
          <w:p w14:paraId="2B457F78" w14:textId="77777777" w:rsidR="00B14D53" w:rsidRDefault="00000000">
            <w:pPr>
              <w:jc w:val="center"/>
              <w:rPr>
                <w:b/>
                <w:bCs/>
                <w:szCs w:val="21"/>
              </w:rPr>
            </w:pPr>
            <w:r>
              <w:rPr>
                <w:b/>
                <w:bCs/>
                <w:szCs w:val="21"/>
              </w:rPr>
              <w:t>排气筒底部海拔高度（</w:t>
            </w:r>
            <w:r>
              <w:rPr>
                <w:b/>
                <w:bCs/>
                <w:szCs w:val="21"/>
              </w:rPr>
              <w:t>m</w:t>
            </w:r>
            <w:r>
              <w:rPr>
                <w:b/>
                <w:bCs/>
                <w:szCs w:val="21"/>
              </w:rPr>
              <w:t>）</w:t>
            </w:r>
          </w:p>
        </w:tc>
        <w:tc>
          <w:tcPr>
            <w:tcW w:w="405" w:type="pct"/>
            <w:vMerge w:val="restart"/>
            <w:vAlign w:val="center"/>
          </w:tcPr>
          <w:p w14:paraId="2437E242" w14:textId="77777777" w:rsidR="00B14D53" w:rsidRDefault="00000000">
            <w:pPr>
              <w:jc w:val="center"/>
              <w:rPr>
                <w:b/>
                <w:bCs/>
                <w:szCs w:val="21"/>
              </w:rPr>
            </w:pPr>
            <w:r>
              <w:rPr>
                <w:b/>
                <w:bCs/>
                <w:szCs w:val="21"/>
              </w:rPr>
              <w:t>排气筒高度（</w:t>
            </w:r>
            <w:r>
              <w:rPr>
                <w:b/>
                <w:bCs/>
                <w:szCs w:val="21"/>
              </w:rPr>
              <w:t>m</w:t>
            </w:r>
            <w:r>
              <w:rPr>
                <w:b/>
                <w:bCs/>
                <w:szCs w:val="21"/>
              </w:rPr>
              <w:t>）</w:t>
            </w:r>
          </w:p>
        </w:tc>
        <w:tc>
          <w:tcPr>
            <w:tcW w:w="419" w:type="pct"/>
            <w:vMerge w:val="restart"/>
            <w:vAlign w:val="center"/>
          </w:tcPr>
          <w:p w14:paraId="0EEFC948" w14:textId="77777777" w:rsidR="00B14D53" w:rsidRDefault="00000000">
            <w:pPr>
              <w:jc w:val="center"/>
              <w:rPr>
                <w:b/>
                <w:bCs/>
                <w:szCs w:val="21"/>
              </w:rPr>
            </w:pPr>
            <w:r>
              <w:rPr>
                <w:b/>
                <w:bCs/>
                <w:szCs w:val="21"/>
              </w:rPr>
              <w:t>排气筒出口内径（</w:t>
            </w:r>
            <w:r>
              <w:rPr>
                <w:b/>
                <w:bCs/>
                <w:szCs w:val="21"/>
              </w:rPr>
              <w:t>m</w:t>
            </w:r>
            <w:r>
              <w:rPr>
                <w:b/>
                <w:bCs/>
                <w:szCs w:val="21"/>
              </w:rPr>
              <w:t>）</w:t>
            </w:r>
          </w:p>
        </w:tc>
        <w:tc>
          <w:tcPr>
            <w:tcW w:w="388" w:type="pct"/>
            <w:vMerge w:val="restart"/>
            <w:vAlign w:val="center"/>
          </w:tcPr>
          <w:p w14:paraId="200997B0" w14:textId="77777777" w:rsidR="00B14D53" w:rsidRDefault="00000000">
            <w:pPr>
              <w:jc w:val="center"/>
              <w:rPr>
                <w:b/>
                <w:bCs/>
                <w:szCs w:val="21"/>
              </w:rPr>
            </w:pPr>
            <w:r>
              <w:rPr>
                <w:b/>
                <w:bCs/>
                <w:szCs w:val="21"/>
              </w:rPr>
              <w:t>烟气流速（</w:t>
            </w:r>
            <w:r>
              <w:rPr>
                <w:b/>
                <w:bCs/>
                <w:szCs w:val="21"/>
              </w:rPr>
              <w:t>m/s</w:t>
            </w:r>
            <w:r>
              <w:rPr>
                <w:b/>
                <w:bCs/>
                <w:szCs w:val="21"/>
              </w:rPr>
              <w:t>）</w:t>
            </w:r>
          </w:p>
        </w:tc>
        <w:tc>
          <w:tcPr>
            <w:tcW w:w="350" w:type="pct"/>
            <w:vMerge w:val="restart"/>
            <w:vAlign w:val="center"/>
          </w:tcPr>
          <w:p w14:paraId="2B0D0E2F" w14:textId="77777777" w:rsidR="00B14D53" w:rsidRDefault="00000000">
            <w:pPr>
              <w:jc w:val="center"/>
              <w:rPr>
                <w:b/>
                <w:bCs/>
                <w:szCs w:val="21"/>
              </w:rPr>
            </w:pPr>
            <w:r>
              <w:rPr>
                <w:b/>
                <w:bCs/>
                <w:szCs w:val="21"/>
              </w:rPr>
              <w:t>烟气温度</w:t>
            </w:r>
          </w:p>
          <w:p w14:paraId="2EE5F359" w14:textId="77777777" w:rsidR="00B14D53" w:rsidRDefault="00000000">
            <w:pPr>
              <w:jc w:val="center"/>
              <w:rPr>
                <w:b/>
                <w:bCs/>
                <w:szCs w:val="21"/>
              </w:rPr>
            </w:pPr>
            <w:r>
              <w:rPr>
                <w:b/>
                <w:bCs/>
                <w:szCs w:val="21"/>
              </w:rPr>
              <w:t>(℃)</w:t>
            </w:r>
          </w:p>
        </w:tc>
        <w:tc>
          <w:tcPr>
            <w:tcW w:w="362" w:type="pct"/>
            <w:vMerge w:val="restart"/>
            <w:vAlign w:val="center"/>
          </w:tcPr>
          <w:p w14:paraId="46B561BE" w14:textId="77777777" w:rsidR="00B14D53" w:rsidRDefault="00000000">
            <w:pPr>
              <w:jc w:val="center"/>
              <w:rPr>
                <w:b/>
                <w:bCs/>
                <w:szCs w:val="21"/>
              </w:rPr>
            </w:pPr>
            <w:r>
              <w:rPr>
                <w:b/>
                <w:bCs/>
                <w:szCs w:val="21"/>
              </w:rPr>
              <w:t>年排放小时数（</w:t>
            </w:r>
            <w:r>
              <w:rPr>
                <w:b/>
                <w:bCs/>
                <w:szCs w:val="21"/>
              </w:rPr>
              <w:t>h</w:t>
            </w:r>
            <w:r>
              <w:rPr>
                <w:b/>
                <w:bCs/>
                <w:szCs w:val="21"/>
              </w:rPr>
              <w:t>）</w:t>
            </w:r>
          </w:p>
        </w:tc>
        <w:tc>
          <w:tcPr>
            <w:tcW w:w="200" w:type="pct"/>
            <w:vMerge w:val="restart"/>
            <w:vAlign w:val="center"/>
          </w:tcPr>
          <w:p w14:paraId="377389A5" w14:textId="77777777" w:rsidR="00B14D53" w:rsidRDefault="00000000">
            <w:pPr>
              <w:contextualSpacing/>
              <w:jc w:val="center"/>
              <w:rPr>
                <w:b/>
                <w:bCs/>
                <w:szCs w:val="21"/>
              </w:rPr>
            </w:pPr>
            <w:r>
              <w:rPr>
                <w:b/>
                <w:bCs/>
                <w:szCs w:val="21"/>
              </w:rPr>
              <w:t>排放工况</w:t>
            </w:r>
          </w:p>
        </w:tc>
        <w:tc>
          <w:tcPr>
            <w:tcW w:w="876" w:type="pct"/>
            <w:gridSpan w:val="2"/>
            <w:vMerge w:val="restart"/>
            <w:vAlign w:val="center"/>
          </w:tcPr>
          <w:p w14:paraId="66744DB0" w14:textId="77777777" w:rsidR="00B14D53" w:rsidRDefault="00000000">
            <w:pPr>
              <w:contextualSpacing/>
              <w:jc w:val="center"/>
              <w:rPr>
                <w:b/>
                <w:bCs/>
                <w:szCs w:val="21"/>
              </w:rPr>
            </w:pPr>
            <w:r>
              <w:rPr>
                <w:b/>
                <w:bCs/>
                <w:szCs w:val="21"/>
              </w:rPr>
              <w:t>污染物排放速率（</w:t>
            </w:r>
            <w:r>
              <w:rPr>
                <w:b/>
                <w:bCs/>
                <w:szCs w:val="21"/>
              </w:rPr>
              <w:t>kg/h</w:t>
            </w:r>
            <w:r>
              <w:rPr>
                <w:b/>
                <w:bCs/>
                <w:szCs w:val="21"/>
              </w:rPr>
              <w:t>）</w:t>
            </w:r>
          </w:p>
        </w:tc>
      </w:tr>
      <w:tr w:rsidR="00B14D53" w14:paraId="353FCE53" w14:textId="77777777">
        <w:trPr>
          <w:trHeight w:val="312"/>
        </w:trPr>
        <w:tc>
          <w:tcPr>
            <w:tcW w:w="202" w:type="pct"/>
            <w:vMerge/>
            <w:vAlign w:val="center"/>
          </w:tcPr>
          <w:p w14:paraId="113CB217" w14:textId="77777777" w:rsidR="00B14D53" w:rsidRDefault="00B14D53">
            <w:pPr>
              <w:jc w:val="center"/>
              <w:rPr>
                <w:b/>
                <w:bCs/>
                <w:szCs w:val="21"/>
              </w:rPr>
            </w:pPr>
          </w:p>
        </w:tc>
        <w:tc>
          <w:tcPr>
            <w:tcW w:w="350" w:type="pct"/>
            <w:vMerge/>
            <w:vAlign w:val="center"/>
          </w:tcPr>
          <w:p w14:paraId="6088D97F" w14:textId="77777777" w:rsidR="00B14D53" w:rsidRDefault="00B14D53">
            <w:pPr>
              <w:jc w:val="center"/>
              <w:rPr>
                <w:b/>
                <w:bCs/>
                <w:szCs w:val="21"/>
              </w:rPr>
            </w:pPr>
          </w:p>
        </w:tc>
        <w:tc>
          <w:tcPr>
            <w:tcW w:w="535" w:type="pct"/>
            <w:vMerge w:val="restart"/>
            <w:vAlign w:val="center"/>
          </w:tcPr>
          <w:p w14:paraId="7D0CBF5D" w14:textId="77777777" w:rsidR="00B14D53" w:rsidRDefault="00000000">
            <w:pPr>
              <w:jc w:val="center"/>
              <w:rPr>
                <w:b/>
                <w:bCs/>
                <w:szCs w:val="21"/>
              </w:rPr>
            </w:pPr>
            <w:r>
              <w:rPr>
                <w:rFonts w:eastAsiaTheme="minorEastAsia"/>
                <w:b/>
                <w:bCs/>
                <w:szCs w:val="21"/>
              </w:rPr>
              <w:t>经度</w:t>
            </w:r>
          </w:p>
        </w:tc>
        <w:tc>
          <w:tcPr>
            <w:tcW w:w="503" w:type="pct"/>
            <w:vMerge w:val="restart"/>
            <w:vAlign w:val="center"/>
          </w:tcPr>
          <w:p w14:paraId="6D165801" w14:textId="77777777" w:rsidR="00B14D53" w:rsidRDefault="00000000">
            <w:pPr>
              <w:jc w:val="center"/>
              <w:rPr>
                <w:b/>
                <w:bCs/>
                <w:szCs w:val="21"/>
              </w:rPr>
            </w:pPr>
            <w:r>
              <w:rPr>
                <w:rFonts w:eastAsiaTheme="minorEastAsia"/>
                <w:b/>
                <w:bCs/>
                <w:szCs w:val="21"/>
              </w:rPr>
              <w:t>纬度</w:t>
            </w:r>
          </w:p>
        </w:tc>
        <w:tc>
          <w:tcPr>
            <w:tcW w:w="405" w:type="pct"/>
            <w:vMerge/>
            <w:vAlign w:val="center"/>
          </w:tcPr>
          <w:p w14:paraId="0D3B1D12" w14:textId="77777777" w:rsidR="00B14D53" w:rsidRDefault="00B14D53">
            <w:pPr>
              <w:jc w:val="center"/>
              <w:rPr>
                <w:b/>
                <w:bCs/>
                <w:szCs w:val="21"/>
              </w:rPr>
            </w:pPr>
          </w:p>
        </w:tc>
        <w:tc>
          <w:tcPr>
            <w:tcW w:w="405" w:type="pct"/>
            <w:vMerge/>
            <w:vAlign w:val="center"/>
          </w:tcPr>
          <w:p w14:paraId="2FD6F503" w14:textId="77777777" w:rsidR="00B14D53" w:rsidRDefault="00B14D53">
            <w:pPr>
              <w:jc w:val="center"/>
              <w:rPr>
                <w:b/>
                <w:bCs/>
                <w:szCs w:val="21"/>
              </w:rPr>
            </w:pPr>
          </w:p>
        </w:tc>
        <w:tc>
          <w:tcPr>
            <w:tcW w:w="419" w:type="pct"/>
            <w:vMerge/>
            <w:vAlign w:val="center"/>
          </w:tcPr>
          <w:p w14:paraId="648233C7" w14:textId="77777777" w:rsidR="00B14D53" w:rsidRDefault="00B14D53">
            <w:pPr>
              <w:jc w:val="center"/>
              <w:rPr>
                <w:b/>
                <w:bCs/>
                <w:szCs w:val="21"/>
              </w:rPr>
            </w:pPr>
          </w:p>
        </w:tc>
        <w:tc>
          <w:tcPr>
            <w:tcW w:w="388" w:type="pct"/>
            <w:vMerge/>
            <w:vAlign w:val="center"/>
          </w:tcPr>
          <w:p w14:paraId="72094244" w14:textId="77777777" w:rsidR="00B14D53" w:rsidRDefault="00B14D53">
            <w:pPr>
              <w:jc w:val="center"/>
              <w:rPr>
                <w:b/>
                <w:bCs/>
                <w:szCs w:val="21"/>
              </w:rPr>
            </w:pPr>
          </w:p>
        </w:tc>
        <w:tc>
          <w:tcPr>
            <w:tcW w:w="350" w:type="pct"/>
            <w:vMerge/>
            <w:vAlign w:val="center"/>
          </w:tcPr>
          <w:p w14:paraId="684016E6" w14:textId="77777777" w:rsidR="00B14D53" w:rsidRDefault="00B14D53">
            <w:pPr>
              <w:widowControl/>
              <w:jc w:val="center"/>
              <w:rPr>
                <w:b/>
                <w:bCs/>
                <w:szCs w:val="21"/>
              </w:rPr>
            </w:pPr>
          </w:p>
        </w:tc>
        <w:tc>
          <w:tcPr>
            <w:tcW w:w="362" w:type="pct"/>
            <w:vMerge/>
            <w:vAlign w:val="center"/>
          </w:tcPr>
          <w:p w14:paraId="7DBB5A7B" w14:textId="77777777" w:rsidR="00B14D53" w:rsidRDefault="00B14D53">
            <w:pPr>
              <w:jc w:val="center"/>
              <w:rPr>
                <w:b/>
                <w:bCs/>
                <w:szCs w:val="21"/>
              </w:rPr>
            </w:pPr>
          </w:p>
        </w:tc>
        <w:tc>
          <w:tcPr>
            <w:tcW w:w="200" w:type="pct"/>
            <w:vMerge/>
            <w:vAlign w:val="center"/>
          </w:tcPr>
          <w:p w14:paraId="178B143A" w14:textId="77777777" w:rsidR="00B14D53" w:rsidRDefault="00B14D53">
            <w:pPr>
              <w:jc w:val="center"/>
              <w:rPr>
                <w:b/>
                <w:bCs/>
                <w:szCs w:val="21"/>
              </w:rPr>
            </w:pPr>
          </w:p>
        </w:tc>
        <w:tc>
          <w:tcPr>
            <w:tcW w:w="876" w:type="pct"/>
            <w:gridSpan w:val="2"/>
            <w:vMerge/>
            <w:vAlign w:val="center"/>
          </w:tcPr>
          <w:p w14:paraId="4D93AC24" w14:textId="77777777" w:rsidR="00B14D53" w:rsidRDefault="00B14D53">
            <w:pPr>
              <w:jc w:val="center"/>
              <w:rPr>
                <w:b/>
                <w:bCs/>
                <w:szCs w:val="21"/>
              </w:rPr>
            </w:pPr>
          </w:p>
        </w:tc>
      </w:tr>
      <w:tr w:rsidR="00B14D53" w14:paraId="0929ECA0" w14:textId="77777777">
        <w:trPr>
          <w:trHeight w:val="90"/>
        </w:trPr>
        <w:tc>
          <w:tcPr>
            <w:tcW w:w="202" w:type="pct"/>
            <w:vMerge/>
            <w:vAlign w:val="center"/>
          </w:tcPr>
          <w:p w14:paraId="6BDB198C" w14:textId="77777777" w:rsidR="00B14D53" w:rsidRDefault="00B14D53">
            <w:pPr>
              <w:jc w:val="center"/>
              <w:rPr>
                <w:b/>
                <w:bCs/>
                <w:szCs w:val="21"/>
              </w:rPr>
            </w:pPr>
          </w:p>
        </w:tc>
        <w:tc>
          <w:tcPr>
            <w:tcW w:w="350" w:type="pct"/>
            <w:vMerge/>
            <w:vAlign w:val="center"/>
          </w:tcPr>
          <w:p w14:paraId="4F6FF011" w14:textId="77777777" w:rsidR="00B14D53" w:rsidRDefault="00B14D53">
            <w:pPr>
              <w:jc w:val="center"/>
              <w:rPr>
                <w:b/>
                <w:bCs/>
                <w:szCs w:val="21"/>
              </w:rPr>
            </w:pPr>
          </w:p>
        </w:tc>
        <w:tc>
          <w:tcPr>
            <w:tcW w:w="535" w:type="pct"/>
            <w:vMerge/>
            <w:vAlign w:val="center"/>
          </w:tcPr>
          <w:p w14:paraId="14599EB6" w14:textId="77777777" w:rsidR="00B14D53" w:rsidRDefault="00B14D53">
            <w:pPr>
              <w:jc w:val="center"/>
              <w:rPr>
                <w:b/>
                <w:bCs/>
                <w:szCs w:val="21"/>
              </w:rPr>
            </w:pPr>
          </w:p>
        </w:tc>
        <w:tc>
          <w:tcPr>
            <w:tcW w:w="503" w:type="pct"/>
            <w:vMerge/>
            <w:vAlign w:val="center"/>
          </w:tcPr>
          <w:p w14:paraId="4D2A5A1F" w14:textId="77777777" w:rsidR="00B14D53" w:rsidRDefault="00B14D53">
            <w:pPr>
              <w:jc w:val="center"/>
              <w:rPr>
                <w:b/>
                <w:bCs/>
                <w:szCs w:val="21"/>
              </w:rPr>
            </w:pPr>
          </w:p>
        </w:tc>
        <w:tc>
          <w:tcPr>
            <w:tcW w:w="405" w:type="pct"/>
            <w:vMerge/>
            <w:vAlign w:val="center"/>
          </w:tcPr>
          <w:p w14:paraId="6CD04554" w14:textId="77777777" w:rsidR="00B14D53" w:rsidRDefault="00B14D53">
            <w:pPr>
              <w:jc w:val="center"/>
              <w:rPr>
                <w:b/>
                <w:bCs/>
                <w:szCs w:val="21"/>
              </w:rPr>
            </w:pPr>
          </w:p>
        </w:tc>
        <w:tc>
          <w:tcPr>
            <w:tcW w:w="405" w:type="pct"/>
            <w:vMerge/>
            <w:vAlign w:val="center"/>
          </w:tcPr>
          <w:p w14:paraId="0D00A134" w14:textId="77777777" w:rsidR="00B14D53" w:rsidRDefault="00B14D53">
            <w:pPr>
              <w:jc w:val="center"/>
              <w:rPr>
                <w:b/>
                <w:bCs/>
                <w:szCs w:val="21"/>
              </w:rPr>
            </w:pPr>
          </w:p>
        </w:tc>
        <w:tc>
          <w:tcPr>
            <w:tcW w:w="419" w:type="pct"/>
            <w:vMerge/>
            <w:vAlign w:val="center"/>
          </w:tcPr>
          <w:p w14:paraId="6C34FAC4" w14:textId="77777777" w:rsidR="00B14D53" w:rsidRDefault="00B14D53">
            <w:pPr>
              <w:jc w:val="center"/>
              <w:rPr>
                <w:b/>
                <w:bCs/>
                <w:szCs w:val="21"/>
              </w:rPr>
            </w:pPr>
          </w:p>
        </w:tc>
        <w:tc>
          <w:tcPr>
            <w:tcW w:w="388" w:type="pct"/>
            <w:vMerge/>
            <w:vAlign w:val="center"/>
          </w:tcPr>
          <w:p w14:paraId="478517DB" w14:textId="77777777" w:rsidR="00B14D53" w:rsidRDefault="00B14D53">
            <w:pPr>
              <w:jc w:val="center"/>
              <w:rPr>
                <w:b/>
                <w:bCs/>
                <w:szCs w:val="21"/>
              </w:rPr>
            </w:pPr>
          </w:p>
        </w:tc>
        <w:tc>
          <w:tcPr>
            <w:tcW w:w="350" w:type="pct"/>
            <w:vMerge/>
            <w:vAlign w:val="center"/>
          </w:tcPr>
          <w:p w14:paraId="57F100B4" w14:textId="77777777" w:rsidR="00B14D53" w:rsidRDefault="00B14D53">
            <w:pPr>
              <w:widowControl/>
              <w:jc w:val="center"/>
              <w:rPr>
                <w:b/>
                <w:bCs/>
                <w:szCs w:val="21"/>
              </w:rPr>
            </w:pPr>
          </w:p>
        </w:tc>
        <w:tc>
          <w:tcPr>
            <w:tcW w:w="362" w:type="pct"/>
            <w:vMerge/>
            <w:vAlign w:val="center"/>
          </w:tcPr>
          <w:p w14:paraId="53B4D28E" w14:textId="77777777" w:rsidR="00B14D53" w:rsidRDefault="00B14D53">
            <w:pPr>
              <w:jc w:val="center"/>
              <w:rPr>
                <w:b/>
                <w:bCs/>
                <w:szCs w:val="21"/>
              </w:rPr>
            </w:pPr>
          </w:p>
        </w:tc>
        <w:tc>
          <w:tcPr>
            <w:tcW w:w="200" w:type="pct"/>
            <w:vMerge/>
            <w:vAlign w:val="center"/>
          </w:tcPr>
          <w:p w14:paraId="5AFE7145" w14:textId="77777777" w:rsidR="00B14D53" w:rsidRDefault="00B14D53">
            <w:pPr>
              <w:jc w:val="center"/>
              <w:rPr>
                <w:b/>
                <w:bCs/>
                <w:szCs w:val="21"/>
              </w:rPr>
            </w:pPr>
          </w:p>
        </w:tc>
        <w:tc>
          <w:tcPr>
            <w:tcW w:w="449" w:type="pct"/>
            <w:vAlign w:val="center"/>
          </w:tcPr>
          <w:p w14:paraId="6E4C3C2E" w14:textId="77777777" w:rsidR="00B14D53" w:rsidRDefault="00000000">
            <w:pPr>
              <w:jc w:val="center"/>
              <w:rPr>
                <w:b/>
                <w:bCs/>
                <w:szCs w:val="21"/>
              </w:rPr>
            </w:pPr>
            <w:r>
              <w:rPr>
                <w:b/>
                <w:bCs/>
                <w:szCs w:val="21"/>
              </w:rPr>
              <w:t>NH</w:t>
            </w:r>
            <w:r>
              <w:rPr>
                <w:b/>
                <w:bCs/>
                <w:szCs w:val="21"/>
                <w:vertAlign w:val="subscript"/>
              </w:rPr>
              <w:t>3</w:t>
            </w:r>
          </w:p>
        </w:tc>
        <w:tc>
          <w:tcPr>
            <w:tcW w:w="427" w:type="pct"/>
            <w:vAlign w:val="center"/>
          </w:tcPr>
          <w:p w14:paraId="7DADA1ED" w14:textId="77777777" w:rsidR="00B14D53" w:rsidRDefault="00000000">
            <w:pPr>
              <w:jc w:val="center"/>
              <w:rPr>
                <w:b/>
                <w:bCs/>
                <w:szCs w:val="21"/>
              </w:rPr>
            </w:pPr>
            <w:r>
              <w:rPr>
                <w:b/>
                <w:bCs/>
                <w:szCs w:val="21"/>
              </w:rPr>
              <w:t>H</w:t>
            </w:r>
            <w:r>
              <w:rPr>
                <w:b/>
                <w:bCs/>
                <w:szCs w:val="21"/>
                <w:vertAlign w:val="subscript"/>
              </w:rPr>
              <w:t>2</w:t>
            </w:r>
            <w:r>
              <w:rPr>
                <w:b/>
                <w:bCs/>
                <w:szCs w:val="21"/>
              </w:rPr>
              <w:t>S</w:t>
            </w:r>
          </w:p>
        </w:tc>
      </w:tr>
      <w:tr w:rsidR="00B14D53" w14:paraId="051A026D" w14:textId="77777777">
        <w:trPr>
          <w:trHeight w:val="90"/>
        </w:trPr>
        <w:tc>
          <w:tcPr>
            <w:tcW w:w="202" w:type="pct"/>
            <w:vAlign w:val="center"/>
          </w:tcPr>
          <w:p w14:paraId="28675C6A" w14:textId="77777777" w:rsidR="00B14D53" w:rsidRDefault="00000000">
            <w:pPr>
              <w:jc w:val="center"/>
              <w:rPr>
                <w:bCs/>
                <w:szCs w:val="21"/>
              </w:rPr>
            </w:pPr>
            <w:r>
              <w:rPr>
                <w:bCs/>
                <w:szCs w:val="21"/>
              </w:rPr>
              <w:t>1</w:t>
            </w:r>
          </w:p>
        </w:tc>
        <w:tc>
          <w:tcPr>
            <w:tcW w:w="350" w:type="pct"/>
            <w:vAlign w:val="center"/>
          </w:tcPr>
          <w:p w14:paraId="20512161" w14:textId="77777777" w:rsidR="00B14D53" w:rsidRDefault="00000000">
            <w:pPr>
              <w:jc w:val="center"/>
              <w:rPr>
                <w:bCs/>
                <w:szCs w:val="21"/>
              </w:rPr>
            </w:pPr>
            <w:r>
              <w:rPr>
                <w:bCs/>
                <w:szCs w:val="21"/>
              </w:rPr>
              <w:t>DA001</w:t>
            </w:r>
          </w:p>
        </w:tc>
        <w:tc>
          <w:tcPr>
            <w:tcW w:w="535" w:type="pct"/>
            <w:vAlign w:val="center"/>
          </w:tcPr>
          <w:p w14:paraId="637A5C08" w14:textId="77777777" w:rsidR="00B14D53" w:rsidRDefault="00000000">
            <w:pPr>
              <w:jc w:val="center"/>
              <w:rPr>
                <w:szCs w:val="21"/>
              </w:rPr>
            </w:pPr>
            <w:r>
              <w:rPr>
                <w:szCs w:val="21"/>
              </w:rPr>
              <w:t>127.218862</w:t>
            </w:r>
          </w:p>
        </w:tc>
        <w:tc>
          <w:tcPr>
            <w:tcW w:w="503" w:type="pct"/>
            <w:vAlign w:val="center"/>
          </w:tcPr>
          <w:p w14:paraId="682977EB" w14:textId="77777777" w:rsidR="00B14D53" w:rsidRDefault="00000000">
            <w:pPr>
              <w:jc w:val="center"/>
              <w:rPr>
                <w:szCs w:val="21"/>
              </w:rPr>
            </w:pPr>
            <w:r>
              <w:rPr>
                <w:szCs w:val="21"/>
              </w:rPr>
              <w:t>44.698522</w:t>
            </w:r>
          </w:p>
        </w:tc>
        <w:tc>
          <w:tcPr>
            <w:tcW w:w="405" w:type="pct"/>
            <w:vAlign w:val="center"/>
          </w:tcPr>
          <w:p w14:paraId="19EA6A7C" w14:textId="77777777" w:rsidR="00B14D53" w:rsidRDefault="00000000">
            <w:pPr>
              <w:jc w:val="center"/>
              <w:rPr>
                <w:szCs w:val="21"/>
              </w:rPr>
            </w:pPr>
            <w:r>
              <w:rPr>
                <w:szCs w:val="21"/>
              </w:rPr>
              <w:t>200</w:t>
            </w:r>
          </w:p>
        </w:tc>
        <w:tc>
          <w:tcPr>
            <w:tcW w:w="405" w:type="pct"/>
            <w:vAlign w:val="center"/>
          </w:tcPr>
          <w:p w14:paraId="5103D10A" w14:textId="77777777" w:rsidR="00B14D53" w:rsidRDefault="00000000">
            <w:pPr>
              <w:jc w:val="center"/>
              <w:rPr>
                <w:szCs w:val="21"/>
              </w:rPr>
            </w:pPr>
            <w:r>
              <w:rPr>
                <w:szCs w:val="21"/>
              </w:rPr>
              <w:t>15</w:t>
            </w:r>
          </w:p>
        </w:tc>
        <w:tc>
          <w:tcPr>
            <w:tcW w:w="419" w:type="pct"/>
            <w:vAlign w:val="center"/>
          </w:tcPr>
          <w:p w14:paraId="1A775D1A" w14:textId="77777777" w:rsidR="00B14D53" w:rsidRDefault="00000000">
            <w:pPr>
              <w:jc w:val="center"/>
              <w:rPr>
                <w:szCs w:val="21"/>
              </w:rPr>
            </w:pPr>
            <w:r>
              <w:rPr>
                <w:szCs w:val="21"/>
              </w:rPr>
              <w:t>0.15</w:t>
            </w:r>
          </w:p>
        </w:tc>
        <w:tc>
          <w:tcPr>
            <w:tcW w:w="388" w:type="pct"/>
            <w:vAlign w:val="center"/>
          </w:tcPr>
          <w:p w14:paraId="703B7A92" w14:textId="77777777" w:rsidR="00B14D53" w:rsidRDefault="00000000">
            <w:pPr>
              <w:jc w:val="center"/>
              <w:rPr>
                <w:szCs w:val="21"/>
              </w:rPr>
            </w:pPr>
            <w:r>
              <w:rPr>
                <w:szCs w:val="21"/>
              </w:rPr>
              <w:t>16.87</w:t>
            </w:r>
          </w:p>
        </w:tc>
        <w:tc>
          <w:tcPr>
            <w:tcW w:w="350" w:type="pct"/>
            <w:vAlign w:val="center"/>
          </w:tcPr>
          <w:p w14:paraId="34DA21DC" w14:textId="77777777" w:rsidR="00B14D53" w:rsidRDefault="00000000">
            <w:pPr>
              <w:jc w:val="center"/>
              <w:rPr>
                <w:szCs w:val="21"/>
              </w:rPr>
            </w:pPr>
            <w:r>
              <w:rPr>
                <w:szCs w:val="21"/>
              </w:rPr>
              <w:t>20</w:t>
            </w:r>
          </w:p>
        </w:tc>
        <w:tc>
          <w:tcPr>
            <w:tcW w:w="362" w:type="pct"/>
            <w:vAlign w:val="center"/>
          </w:tcPr>
          <w:p w14:paraId="2F51C146" w14:textId="77777777" w:rsidR="00B14D53" w:rsidRDefault="00000000">
            <w:pPr>
              <w:jc w:val="center"/>
              <w:rPr>
                <w:szCs w:val="21"/>
              </w:rPr>
            </w:pPr>
            <w:r>
              <w:rPr>
                <w:szCs w:val="21"/>
              </w:rPr>
              <w:t>8160</w:t>
            </w:r>
          </w:p>
        </w:tc>
        <w:tc>
          <w:tcPr>
            <w:tcW w:w="200" w:type="pct"/>
            <w:vMerge w:val="restart"/>
            <w:vAlign w:val="center"/>
          </w:tcPr>
          <w:p w14:paraId="6E7077CA" w14:textId="77777777" w:rsidR="00B14D53" w:rsidRDefault="00000000">
            <w:pPr>
              <w:jc w:val="center"/>
              <w:rPr>
                <w:szCs w:val="21"/>
              </w:rPr>
            </w:pPr>
            <w:r>
              <w:rPr>
                <w:szCs w:val="21"/>
              </w:rPr>
              <w:t>正常排放</w:t>
            </w:r>
          </w:p>
        </w:tc>
        <w:tc>
          <w:tcPr>
            <w:tcW w:w="449" w:type="pct"/>
            <w:vAlign w:val="center"/>
          </w:tcPr>
          <w:p w14:paraId="6BB066A8" w14:textId="77777777" w:rsidR="00B14D53" w:rsidRDefault="00000000">
            <w:pPr>
              <w:jc w:val="center"/>
              <w:rPr>
                <w:szCs w:val="21"/>
              </w:rPr>
            </w:pPr>
            <w:r>
              <w:rPr>
                <w:szCs w:val="21"/>
              </w:rPr>
              <w:t>0.0006</w:t>
            </w:r>
          </w:p>
        </w:tc>
        <w:tc>
          <w:tcPr>
            <w:tcW w:w="427" w:type="pct"/>
            <w:vAlign w:val="center"/>
          </w:tcPr>
          <w:p w14:paraId="695F38FC" w14:textId="77777777" w:rsidR="00B14D53" w:rsidRDefault="00000000">
            <w:pPr>
              <w:jc w:val="center"/>
              <w:rPr>
                <w:szCs w:val="21"/>
              </w:rPr>
            </w:pPr>
            <w:r>
              <w:rPr>
                <w:szCs w:val="21"/>
              </w:rPr>
              <w:t>0.00004</w:t>
            </w:r>
          </w:p>
        </w:tc>
      </w:tr>
      <w:tr w:rsidR="00B14D53" w14:paraId="40D8B0E9" w14:textId="77777777">
        <w:trPr>
          <w:trHeight w:val="197"/>
        </w:trPr>
        <w:tc>
          <w:tcPr>
            <w:tcW w:w="202" w:type="pct"/>
            <w:vAlign w:val="center"/>
          </w:tcPr>
          <w:p w14:paraId="51DBD222" w14:textId="77777777" w:rsidR="00B14D53" w:rsidRDefault="00000000">
            <w:pPr>
              <w:jc w:val="center"/>
              <w:rPr>
                <w:bCs/>
                <w:szCs w:val="21"/>
              </w:rPr>
            </w:pPr>
            <w:r>
              <w:rPr>
                <w:bCs/>
                <w:szCs w:val="21"/>
              </w:rPr>
              <w:t>2</w:t>
            </w:r>
          </w:p>
        </w:tc>
        <w:tc>
          <w:tcPr>
            <w:tcW w:w="350" w:type="pct"/>
            <w:vAlign w:val="center"/>
          </w:tcPr>
          <w:p w14:paraId="79194794" w14:textId="77777777" w:rsidR="00B14D53" w:rsidRDefault="00000000">
            <w:pPr>
              <w:jc w:val="center"/>
              <w:rPr>
                <w:bCs/>
                <w:szCs w:val="21"/>
              </w:rPr>
            </w:pPr>
            <w:r>
              <w:rPr>
                <w:bCs/>
                <w:szCs w:val="21"/>
              </w:rPr>
              <w:t>DA002</w:t>
            </w:r>
          </w:p>
        </w:tc>
        <w:tc>
          <w:tcPr>
            <w:tcW w:w="535" w:type="pct"/>
            <w:vAlign w:val="center"/>
          </w:tcPr>
          <w:p w14:paraId="59DBE1D0" w14:textId="77777777" w:rsidR="00B14D53" w:rsidRDefault="00000000">
            <w:pPr>
              <w:jc w:val="center"/>
              <w:rPr>
                <w:szCs w:val="21"/>
              </w:rPr>
            </w:pPr>
            <w:r>
              <w:rPr>
                <w:szCs w:val="21"/>
              </w:rPr>
              <w:t>127.219249</w:t>
            </w:r>
          </w:p>
        </w:tc>
        <w:tc>
          <w:tcPr>
            <w:tcW w:w="503" w:type="pct"/>
            <w:vAlign w:val="center"/>
          </w:tcPr>
          <w:p w14:paraId="6372DBE0" w14:textId="77777777" w:rsidR="00B14D53" w:rsidRDefault="00000000">
            <w:pPr>
              <w:jc w:val="center"/>
              <w:rPr>
                <w:szCs w:val="21"/>
              </w:rPr>
            </w:pPr>
            <w:r>
              <w:rPr>
                <w:szCs w:val="21"/>
              </w:rPr>
              <w:t>44.698213</w:t>
            </w:r>
          </w:p>
        </w:tc>
        <w:tc>
          <w:tcPr>
            <w:tcW w:w="405" w:type="pct"/>
            <w:vAlign w:val="center"/>
          </w:tcPr>
          <w:p w14:paraId="486A0F1E" w14:textId="77777777" w:rsidR="00B14D53" w:rsidRDefault="00000000">
            <w:pPr>
              <w:jc w:val="center"/>
              <w:rPr>
                <w:szCs w:val="21"/>
              </w:rPr>
            </w:pPr>
            <w:r>
              <w:rPr>
                <w:szCs w:val="21"/>
              </w:rPr>
              <w:t>200</w:t>
            </w:r>
          </w:p>
        </w:tc>
        <w:tc>
          <w:tcPr>
            <w:tcW w:w="405" w:type="pct"/>
            <w:vAlign w:val="center"/>
          </w:tcPr>
          <w:p w14:paraId="27D2DD92" w14:textId="77777777" w:rsidR="00B14D53" w:rsidRDefault="00000000">
            <w:pPr>
              <w:jc w:val="center"/>
              <w:rPr>
                <w:szCs w:val="21"/>
              </w:rPr>
            </w:pPr>
            <w:r>
              <w:rPr>
                <w:szCs w:val="21"/>
              </w:rPr>
              <w:t>15</w:t>
            </w:r>
          </w:p>
        </w:tc>
        <w:tc>
          <w:tcPr>
            <w:tcW w:w="419" w:type="pct"/>
            <w:vAlign w:val="center"/>
          </w:tcPr>
          <w:p w14:paraId="5F8B048D" w14:textId="77777777" w:rsidR="00B14D53" w:rsidRDefault="00000000">
            <w:pPr>
              <w:jc w:val="center"/>
              <w:rPr>
                <w:szCs w:val="21"/>
              </w:rPr>
            </w:pPr>
            <w:r>
              <w:rPr>
                <w:szCs w:val="21"/>
              </w:rPr>
              <w:t>0.15</w:t>
            </w:r>
          </w:p>
        </w:tc>
        <w:tc>
          <w:tcPr>
            <w:tcW w:w="388" w:type="pct"/>
            <w:vAlign w:val="center"/>
          </w:tcPr>
          <w:p w14:paraId="733A7F3E" w14:textId="77777777" w:rsidR="00B14D53" w:rsidRDefault="00000000">
            <w:pPr>
              <w:jc w:val="center"/>
              <w:rPr>
                <w:szCs w:val="21"/>
              </w:rPr>
            </w:pPr>
            <w:r>
              <w:rPr>
                <w:szCs w:val="21"/>
              </w:rPr>
              <w:t>16.87</w:t>
            </w:r>
          </w:p>
        </w:tc>
        <w:tc>
          <w:tcPr>
            <w:tcW w:w="350" w:type="pct"/>
            <w:vAlign w:val="center"/>
          </w:tcPr>
          <w:p w14:paraId="26306E8D" w14:textId="77777777" w:rsidR="00B14D53" w:rsidRDefault="00000000">
            <w:pPr>
              <w:jc w:val="center"/>
              <w:rPr>
                <w:szCs w:val="21"/>
              </w:rPr>
            </w:pPr>
            <w:r>
              <w:rPr>
                <w:szCs w:val="21"/>
              </w:rPr>
              <w:t>20</w:t>
            </w:r>
          </w:p>
        </w:tc>
        <w:tc>
          <w:tcPr>
            <w:tcW w:w="362" w:type="pct"/>
            <w:vAlign w:val="center"/>
          </w:tcPr>
          <w:p w14:paraId="2B0DE8F9" w14:textId="77777777" w:rsidR="00B14D53" w:rsidRDefault="00000000">
            <w:pPr>
              <w:jc w:val="center"/>
              <w:rPr>
                <w:szCs w:val="21"/>
              </w:rPr>
            </w:pPr>
            <w:r>
              <w:rPr>
                <w:szCs w:val="21"/>
              </w:rPr>
              <w:t>8160</w:t>
            </w:r>
          </w:p>
        </w:tc>
        <w:tc>
          <w:tcPr>
            <w:tcW w:w="200" w:type="pct"/>
            <w:vMerge/>
            <w:vAlign w:val="center"/>
          </w:tcPr>
          <w:p w14:paraId="4FAF5273" w14:textId="77777777" w:rsidR="00B14D53" w:rsidRDefault="00B14D53">
            <w:pPr>
              <w:jc w:val="center"/>
              <w:rPr>
                <w:szCs w:val="21"/>
              </w:rPr>
            </w:pPr>
          </w:p>
        </w:tc>
        <w:tc>
          <w:tcPr>
            <w:tcW w:w="449" w:type="pct"/>
            <w:vAlign w:val="center"/>
          </w:tcPr>
          <w:p w14:paraId="13FAF63F" w14:textId="77777777" w:rsidR="00B14D53" w:rsidRDefault="00000000">
            <w:pPr>
              <w:jc w:val="center"/>
              <w:rPr>
                <w:szCs w:val="21"/>
              </w:rPr>
            </w:pPr>
            <w:r>
              <w:rPr>
                <w:szCs w:val="21"/>
              </w:rPr>
              <w:t>0.002</w:t>
            </w:r>
          </w:p>
        </w:tc>
        <w:tc>
          <w:tcPr>
            <w:tcW w:w="427" w:type="pct"/>
            <w:vAlign w:val="center"/>
          </w:tcPr>
          <w:p w14:paraId="1DC59B04" w14:textId="77777777" w:rsidR="00B14D53" w:rsidRDefault="00000000">
            <w:pPr>
              <w:jc w:val="center"/>
              <w:rPr>
                <w:szCs w:val="21"/>
              </w:rPr>
            </w:pPr>
            <w:r>
              <w:rPr>
                <w:szCs w:val="21"/>
              </w:rPr>
              <w:t>0.0001</w:t>
            </w:r>
          </w:p>
        </w:tc>
      </w:tr>
      <w:tr w:rsidR="00B14D53" w14:paraId="34E4F7D1" w14:textId="77777777">
        <w:trPr>
          <w:trHeight w:val="133"/>
        </w:trPr>
        <w:tc>
          <w:tcPr>
            <w:tcW w:w="202" w:type="pct"/>
            <w:vAlign w:val="center"/>
          </w:tcPr>
          <w:p w14:paraId="5407A6EC" w14:textId="77777777" w:rsidR="00B14D53" w:rsidRDefault="00000000">
            <w:pPr>
              <w:jc w:val="center"/>
              <w:rPr>
                <w:bCs/>
                <w:szCs w:val="21"/>
              </w:rPr>
            </w:pPr>
            <w:r>
              <w:rPr>
                <w:bCs/>
                <w:szCs w:val="21"/>
              </w:rPr>
              <w:t>3</w:t>
            </w:r>
          </w:p>
        </w:tc>
        <w:tc>
          <w:tcPr>
            <w:tcW w:w="350" w:type="pct"/>
            <w:vAlign w:val="center"/>
          </w:tcPr>
          <w:p w14:paraId="449B8220" w14:textId="77777777" w:rsidR="00B14D53" w:rsidRDefault="00000000">
            <w:pPr>
              <w:jc w:val="center"/>
              <w:rPr>
                <w:bCs/>
                <w:szCs w:val="21"/>
              </w:rPr>
            </w:pPr>
            <w:r>
              <w:rPr>
                <w:bCs/>
                <w:szCs w:val="21"/>
              </w:rPr>
              <w:t>DA003</w:t>
            </w:r>
          </w:p>
        </w:tc>
        <w:tc>
          <w:tcPr>
            <w:tcW w:w="535" w:type="pct"/>
            <w:vAlign w:val="center"/>
          </w:tcPr>
          <w:p w14:paraId="1CDBF007" w14:textId="77777777" w:rsidR="00B14D53" w:rsidRDefault="00000000">
            <w:pPr>
              <w:jc w:val="center"/>
              <w:rPr>
                <w:szCs w:val="21"/>
              </w:rPr>
            </w:pPr>
            <w:r>
              <w:rPr>
                <w:szCs w:val="21"/>
              </w:rPr>
              <w:t>127.218776</w:t>
            </w:r>
          </w:p>
        </w:tc>
        <w:tc>
          <w:tcPr>
            <w:tcW w:w="503" w:type="pct"/>
            <w:vAlign w:val="center"/>
          </w:tcPr>
          <w:p w14:paraId="3C93ED52" w14:textId="77777777" w:rsidR="00B14D53" w:rsidRDefault="00000000">
            <w:pPr>
              <w:jc w:val="center"/>
              <w:rPr>
                <w:szCs w:val="21"/>
              </w:rPr>
            </w:pPr>
            <w:r>
              <w:rPr>
                <w:szCs w:val="21"/>
              </w:rPr>
              <w:t>44.698194</w:t>
            </w:r>
          </w:p>
        </w:tc>
        <w:tc>
          <w:tcPr>
            <w:tcW w:w="405" w:type="pct"/>
            <w:vAlign w:val="center"/>
          </w:tcPr>
          <w:p w14:paraId="12044626" w14:textId="77777777" w:rsidR="00B14D53" w:rsidRDefault="00000000">
            <w:pPr>
              <w:jc w:val="center"/>
              <w:rPr>
                <w:szCs w:val="21"/>
              </w:rPr>
            </w:pPr>
            <w:r>
              <w:rPr>
                <w:szCs w:val="21"/>
              </w:rPr>
              <w:t>200</w:t>
            </w:r>
          </w:p>
        </w:tc>
        <w:tc>
          <w:tcPr>
            <w:tcW w:w="405" w:type="pct"/>
            <w:vAlign w:val="center"/>
          </w:tcPr>
          <w:p w14:paraId="4903CDBC" w14:textId="77777777" w:rsidR="00B14D53" w:rsidRDefault="00000000">
            <w:pPr>
              <w:jc w:val="center"/>
              <w:rPr>
                <w:szCs w:val="21"/>
              </w:rPr>
            </w:pPr>
            <w:r>
              <w:rPr>
                <w:szCs w:val="21"/>
              </w:rPr>
              <w:t>15</w:t>
            </w:r>
          </w:p>
        </w:tc>
        <w:tc>
          <w:tcPr>
            <w:tcW w:w="419" w:type="pct"/>
            <w:vAlign w:val="center"/>
          </w:tcPr>
          <w:p w14:paraId="31F88C66" w14:textId="77777777" w:rsidR="00B14D53" w:rsidRDefault="00000000">
            <w:pPr>
              <w:jc w:val="center"/>
              <w:rPr>
                <w:szCs w:val="21"/>
              </w:rPr>
            </w:pPr>
            <w:r>
              <w:rPr>
                <w:szCs w:val="21"/>
              </w:rPr>
              <w:t>0.20</w:t>
            </w:r>
          </w:p>
        </w:tc>
        <w:tc>
          <w:tcPr>
            <w:tcW w:w="388" w:type="pct"/>
            <w:vAlign w:val="center"/>
          </w:tcPr>
          <w:p w14:paraId="272EFC7F" w14:textId="77777777" w:rsidR="00B14D53" w:rsidRDefault="00000000">
            <w:pPr>
              <w:jc w:val="center"/>
              <w:rPr>
                <w:szCs w:val="21"/>
              </w:rPr>
            </w:pPr>
            <w:r>
              <w:rPr>
                <w:szCs w:val="21"/>
              </w:rPr>
              <w:t>18.98</w:t>
            </w:r>
          </w:p>
        </w:tc>
        <w:tc>
          <w:tcPr>
            <w:tcW w:w="350" w:type="pct"/>
            <w:vAlign w:val="center"/>
          </w:tcPr>
          <w:p w14:paraId="50996D00" w14:textId="77777777" w:rsidR="00B14D53" w:rsidRDefault="00000000">
            <w:pPr>
              <w:jc w:val="center"/>
              <w:rPr>
                <w:szCs w:val="21"/>
              </w:rPr>
            </w:pPr>
            <w:r>
              <w:rPr>
                <w:szCs w:val="21"/>
              </w:rPr>
              <w:t>20</w:t>
            </w:r>
          </w:p>
        </w:tc>
        <w:tc>
          <w:tcPr>
            <w:tcW w:w="362" w:type="pct"/>
            <w:vAlign w:val="center"/>
          </w:tcPr>
          <w:p w14:paraId="28F7832D" w14:textId="77777777" w:rsidR="00B14D53" w:rsidRDefault="00000000">
            <w:pPr>
              <w:jc w:val="center"/>
              <w:rPr>
                <w:szCs w:val="21"/>
              </w:rPr>
            </w:pPr>
            <w:r>
              <w:rPr>
                <w:szCs w:val="21"/>
              </w:rPr>
              <w:t>5440</w:t>
            </w:r>
          </w:p>
        </w:tc>
        <w:tc>
          <w:tcPr>
            <w:tcW w:w="200" w:type="pct"/>
            <w:vMerge/>
            <w:vAlign w:val="center"/>
          </w:tcPr>
          <w:p w14:paraId="3A701796" w14:textId="77777777" w:rsidR="00B14D53" w:rsidRDefault="00B14D53">
            <w:pPr>
              <w:jc w:val="center"/>
              <w:rPr>
                <w:szCs w:val="21"/>
              </w:rPr>
            </w:pPr>
          </w:p>
        </w:tc>
        <w:tc>
          <w:tcPr>
            <w:tcW w:w="449" w:type="pct"/>
            <w:vAlign w:val="center"/>
          </w:tcPr>
          <w:p w14:paraId="79459ED8" w14:textId="77777777" w:rsidR="00B14D53" w:rsidRDefault="00000000">
            <w:pPr>
              <w:jc w:val="center"/>
              <w:rPr>
                <w:bCs/>
                <w:szCs w:val="21"/>
              </w:rPr>
            </w:pPr>
            <w:r>
              <w:rPr>
                <w:bCs/>
                <w:szCs w:val="21"/>
              </w:rPr>
              <w:t>0.001</w:t>
            </w:r>
          </w:p>
        </w:tc>
        <w:tc>
          <w:tcPr>
            <w:tcW w:w="427" w:type="pct"/>
            <w:vAlign w:val="center"/>
          </w:tcPr>
          <w:p w14:paraId="7EEBBE00" w14:textId="77777777" w:rsidR="00B14D53" w:rsidRDefault="00000000">
            <w:pPr>
              <w:jc w:val="center"/>
              <w:rPr>
                <w:bCs/>
                <w:szCs w:val="21"/>
              </w:rPr>
            </w:pPr>
            <w:r>
              <w:rPr>
                <w:bCs/>
                <w:szCs w:val="21"/>
              </w:rPr>
              <w:t>0.00004</w:t>
            </w:r>
          </w:p>
        </w:tc>
      </w:tr>
      <w:tr w:rsidR="00B14D53" w14:paraId="6C62FA1B" w14:textId="77777777">
        <w:trPr>
          <w:trHeight w:val="344"/>
        </w:trPr>
        <w:tc>
          <w:tcPr>
            <w:tcW w:w="202" w:type="pct"/>
            <w:vAlign w:val="center"/>
          </w:tcPr>
          <w:p w14:paraId="4F03E378" w14:textId="77777777" w:rsidR="00B14D53" w:rsidRDefault="00000000">
            <w:pPr>
              <w:jc w:val="center"/>
              <w:rPr>
                <w:bCs/>
                <w:szCs w:val="21"/>
              </w:rPr>
            </w:pPr>
            <w:r>
              <w:rPr>
                <w:bCs/>
                <w:szCs w:val="21"/>
              </w:rPr>
              <w:t>4</w:t>
            </w:r>
          </w:p>
        </w:tc>
        <w:tc>
          <w:tcPr>
            <w:tcW w:w="350" w:type="pct"/>
            <w:vAlign w:val="center"/>
          </w:tcPr>
          <w:p w14:paraId="633A4490" w14:textId="77777777" w:rsidR="00B14D53" w:rsidRDefault="00000000">
            <w:pPr>
              <w:jc w:val="center"/>
              <w:rPr>
                <w:bCs/>
                <w:szCs w:val="21"/>
              </w:rPr>
            </w:pPr>
            <w:r>
              <w:rPr>
                <w:bCs/>
                <w:szCs w:val="21"/>
              </w:rPr>
              <w:t>DA004</w:t>
            </w:r>
          </w:p>
        </w:tc>
        <w:tc>
          <w:tcPr>
            <w:tcW w:w="535" w:type="pct"/>
            <w:vAlign w:val="center"/>
          </w:tcPr>
          <w:p w14:paraId="4D653D93" w14:textId="77777777" w:rsidR="00B14D53" w:rsidRDefault="00000000">
            <w:pPr>
              <w:jc w:val="center"/>
              <w:rPr>
                <w:szCs w:val="21"/>
              </w:rPr>
            </w:pPr>
            <w:r>
              <w:rPr>
                <w:szCs w:val="21"/>
              </w:rPr>
              <w:t>127.218624</w:t>
            </w:r>
          </w:p>
        </w:tc>
        <w:tc>
          <w:tcPr>
            <w:tcW w:w="503" w:type="pct"/>
            <w:vAlign w:val="center"/>
          </w:tcPr>
          <w:p w14:paraId="3FF81482" w14:textId="77777777" w:rsidR="00B14D53" w:rsidRDefault="00000000">
            <w:pPr>
              <w:jc w:val="center"/>
              <w:rPr>
                <w:szCs w:val="21"/>
              </w:rPr>
            </w:pPr>
            <w:r>
              <w:rPr>
                <w:szCs w:val="21"/>
              </w:rPr>
              <w:t>44.698333</w:t>
            </w:r>
          </w:p>
        </w:tc>
        <w:tc>
          <w:tcPr>
            <w:tcW w:w="405" w:type="pct"/>
            <w:vAlign w:val="center"/>
          </w:tcPr>
          <w:p w14:paraId="2B378C7B" w14:textId="77777777" w:rsidR="00B14D53" w:rsidRDefault="00000000">
            <w:pPr>
              <w:jc w:val="center"/>
              <w:rPr>
                <w:szCs w:val="21"/>
              </w:rPr>
            </w:pPr>
            <w:r>
              <w:rPr>
                <w:szCs w:val="21"/>
              </w:rPr>
              <w:t>200</w:t>
            </w:r>
          </w:p>
        </w:tc>
        <w:tc>
          <w:tcPr>
            <w:tcW w:w="405" w:type="pct"/>
            <w:vAlign w:val="center"/>
          </w:tcPr>
          <w:p w14:paraId="0D150894" w14:textId="77777777" w:rsidR="00B14D53" w:rsidRDefault="00000000">
            <w:pPr>
              <w:jc w:val="center"/>
              <w:rPr>
                <w:szCs w:val="21"/>
              </w:rPr>
            </w:pPr>
            <w:r>
              <w:rPr>
                <w:szCs w:val="21"/>
              </w:rPr>
              <w:t>15</w:t>
            </w:r>
          </w:p>
        </w:tc>
        <w:tc>
          <w:tcPr>
            <w:tcW w:w="419" w:type="pct"/>
            <w:vAlign w:val="center"/>
          </w:tcPr>
          <w:p w14:paraId="7AF6CA96" w14:textId="77777777" w:rsidR="00B14D53" w:rsidRDefault="00000000">
            <w:pPr>
              <w:jc w:val="center"/>
              <w:rPr>
                <w:szCs w:val="21"/>
              </w:rPr>
            </w:pPr>
            <w:r>
              <w:rPr>
                <w:szCs w:val="21"/>
              </w:rPr>
              <w:t>0.20</w:t>
            </w:r>
          </w:p>
        </w:tc>
        <w:tc>
          <w:tcPr>
            <w:tcW w:w="388" w:type="pct"/>
            <w:vAlign w:val="center"/>
          </w:tcPr>
          <w:p w14:paraId="68C6DEDE" w14:textId="77777777" w:rsidR="00B14D53" w:rsidRDefault="00000000">
            <w:pPr>
              <w:jc w:val="center"/>
              <w:rPr>
                <w:szCs w:val="21"/>
              </w:rPr>
            </w:pPr>
            <w:r>
              <w:rPr>
                <w:szCs w:val="21"/>
              </w:rPr>
              <w:t>18.98</w:t>
            </w:r>
          </w:p>
        </w:tc>
        <w:tc>
          <w:tcPr>
            <w:tcW w:w="350" w:type="pct"/>
            <w:vAlign w:val="center"/>
          </w:tcPr>
          <w:p w14:paraId="3060C696" w14:textId="77777777" w:rsidR="00B14D53" w:rsidRDefault="00000000">
            <w:pPr>
              <w:jc w:val="center"/>
              <w:rPr>
                <w:szCs w:val="21"/>
              </w:rPr>
            </w:pPr>
            <w:r>
              <w:rPr>
                <w:szCs w:val="21"/>
              </w:rPr>
              <w:t>20</w:t>
            </w:r>
          </w:p>
        </w:tc>
        <w:tc>
          <w:tcPr>
            <w:tcW w:w="362" w:type="pct"/>
            <w:vAlign w:val="center"/>
          </w:tcPr>
          <w:p w14:paraId="0BAF3D77" w14:textId="77777777" w:rsidR="00B14D53" w:rsidRDefault="00000000">
            <w:pPr>
              <w:jc w:val="center"/>
              <w:rPr>
                <w:szCs w:val="21"/>
              </w:rPr>
            </w:pPr>
            <w:r>
              <w:rPr>
                <w:szCs w:val="21"/>
              </w:rPr>
              <w:t>8160</w:t>
            </w:r>
          </w:p>
        </w:tc>
        <w:tc>
          <w:tcPr>
            <w:tcW w:w="200" w:type="pct"/>
            <w:vMerge/>
            <w:vAlign w:val="center"/>
          </w:tcPr>
          <w:p w14:paraId="5CD5B0F5" w14:textId="77777777" w:rsidR="00B14D53" w:rsidRDefault="00B14D53">
            <w:pPr>
              <w:jc w:val="center"/>
              <w:rPr>
                <w:szCs w:val="21"/>
              </w:rPr>
            </w:pPr>
          </w:p>
        </w:tc>
        <w:tc>
          <w:tcPr>
            <w:tcW w:w="449" w:type="pct"/>
            <w:vAlign w:val="center"/>
          </w:tcPr>
          <w:p w14:paraId="0CF27FB9" w14:textId="77777777" w:rsidR="00B14D53" w:rsidRDefault="00000000">
            <w:pPr>
              <w:pStyle w:val="afff2"/>
              <w:spacing w:line="240" w:lineRule="auto"/>
              <w:rPr>
                <w:rFonts w:hAnsi="Times New Roman"/>
                <w:bCs/>
              </w:rPr>
            </w:pPr>
            <w:r>
              <w:rPr>
                <w:rFonts w:hAnsi="Times New Roman"/>
                <w:bCs/>
              </w:rPr>
              <w:t>0.002</w:t>
            </w:r>
          </w:p>
        </w:tc>
        <w:tc>
          <w:tcPr>
            <w:tcW w:w="427" w:type="pct"/>
            <w:vAlign w:val="center"/>
          </w:tcPr>
          <w:p w14:paraId="4E1A9214" w14:textId="77777777" w:rsidR="00B14D53" w:rsidRDefault="00000000">
            <w:pPr>
              <w:pStyle w:val="afff2"/>
              <w:spacing w:line="240" w:lineRule="auto"/>
              <w:rPr>
                <w:rFonts w:hAnsi="Times New Roman"/>
                <w:bCs/>
              </w:rPr>
            </w:pPr>
            <w:r>
              <w:rPr>
                <w:rFonts w:hAnsi="Times New Roman"/>
                <w:bCs/>
              </w:rPr>
              <w:t>0.0001</w:t>
            </w:r>
          </w:p>
        </w:tc>
      </w:tr>
    </w:tbl>
    <w:p w14:paraId="2C21CCC7" w14:textId="77777777" w:rsidR="00B14D53" w:rsidRDefault="00B14D53">
      <w:pPr>
        <w:spacing w:line="360" w:lineRule="auto"/>
        <w:ind w:firstLine="482"/>
        <w:jc w:val="center"/>
        <w:rPr>
          <w:rFonts w:eastAsiaTheme="minorEastAsia" w:hAnsiTheme="minorEastAsia" w:hint="eastAsia"/>
          <w:b/>
          <w:sz w:val="24"/>
        </w:rPr>
      </w:pPr>
    </w:p>
    <w:p w14:paraId="27B9C895" w14:textId="77777777" w:rsidR="00B14D53" w:rsidRDefault="00B14D53">
      <w:pPr>
        <w:spacing w:line="360" w:lineRule="auto"/>
        <w:ind w:firstLine="482"/>
        <w:jc w:val="center"/>
        <w:rPr>
          <w:rFonts w:eastAsiaTheme="minorEastAsia" w:hAnsiTheme="minorEastAsia" w:hint="eastAsia"/>
          <w:b/>
          <w:sz w:val="24"/>
        </w:rPr>
        <w:sectPr w:rsidR="00B14D53">
          <w:pgSz w:w="16838" w:h="11906" w:orient="landscape"/>
          <w:pgMar w:top="1800" w:right="1440" w:bottom="1800" w:left="1440" w:header="851" w:footer="992" w:gutter="0"/>
          <w:cols w:space="425"/>
          <w:docGrid w:type="lines" w:linePitch="312"/>
        </w:sectPr>
      </w:pPr>
    </w:p>
    <w:p w14:paraId="1D50D140" w14:textId="77777777" w:rsidR="00B14D53" w:rsidRDefault="00000000">
      <w:pPr>
        <w:jc w:val="center"/>
        <w:rPr>
          <w:b/>
          <w:bCs/>
        </w:rPr>
      </w:pPr>
      <w:r>
        <w:rPr>
          <w:rFonts w:hint="eastAsia"/>
          <w:b/>
          <w:bCs/>
        </w:rPr>
        <w:t>表</w:t>
      </w:r>
      <w:r>
        <w:rPr>
          <w:rFonts w:hint="eastAsia"/>
          <w:b/>
          <w:bCs/>
        </w:rPr>
        <w:t xml:space="preserve">5-2-4 </w:t>
      </w:r>
      <w:r>
        <w:rPr>
          <w:rFonts w:hint="eastAsia"/>
          <w:b/>
          <w:bCs/>
        </w:rPr>
        <w:t>估算模式参数表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88"/>
        <w:gridCol w:w="2520"/>
        <w:gridCol w:w="3598"/>
      </w:tblGrid>
      <w:tr w:rsidR="00B14D53" w14:paraId="3B8B6CAC" w14:textId="77777777">
        <w:trPr>
          <w:trHeight w:val="70"/>
          <w:jc w:val="center"/>
        </w:trPr>
        <w:tc>
          <w:tcPr>
            <w:tcW w:w="2834" w:type="pct"/>
            <w:gridSpan w:val="2"/>
            <w:vAlign w:val="center"/>
          </w:tcPr>
          <w:p w14:paraId="407844EA" w14:textId="77777777" w:rsidR="00B14D53" w:rsidRDefault="00000000">
            <w:pPr>
              <w:jc w:val="center"/>
              <w:rPr>
                <w:rFonts w:eastAsiaTheme="minorEastAsia"/>
                <w:b/>
                <w:bCs/>
                <w:szCs w:val="21"/>
              </w:rPr>
            </w:pPr>
            <w:r>
              <w:rPr>
                <w:rFonts w:eastAsiaTheme="minorEastAsia" w:hAnsiTheme="minorEastAsia"/>
                <w:b/>
                <w:bCs/>
                <w:szCs w:val="21"/>
              </w:rPr>
              <w:t>参数</w:t>
            </w:r>
          </w:p>
        </w:tc>
        <w:tc>
          <w:tcPr>
            <w:tcW w:w="2166" w:type="pct"/>
            <w:vAlign w:val="center"/>
          </w:tcPr>
          <w:p w14:paraId="60F8957B" w14:textId="77777777" w:rsidR="00B14D53" w:rsidRDefault="00000000">
            <w:pPr>
              <w:jc w:val="center"/>
              <w:rPr>
                <w:rFonts w:eastAsiaTheme="minorEastAsia"/>
                <w:b/>
                <w:bCs/>
                <w:szCs w:val="21"/>
              </w:rPr>
            </w:pPr>
            <w:r>
              <w:rPr>
                <w:rFonts w:eastAsiaTheme="minorEastAsia" w:hAnsiTheme="minorEastAsia"/>
                <w:b/>
                <w:bCs/>
                <w:szCs w:val="21"/>
              </w:rPr>
              <w:t>取值</w:t>
            </w:r>
          </w:p>
        </w:tc>
      </w:tr>
      <w:tr w:rsidR="00B14D53" w14:paraId="6EC0948A" w14:textId="77777777">
        <w:trPr>
          <w:trHeight w:val="70"/>
          <w:jc w:val="center"/>
        </w:trPr>
        <w:tc>
          <w:tcPr>
            <w:tcW w:w="1317" w:type="pct"/>
            <w:vMerge w:val="restart"/>
            <w:vAlign w:val="center"/>
          </w:tcPr>
          <w:p w14:paraId="6ED4C5EB" w14:textId="77777777" w:rsidR="00B14D53" w:rsidRDefault="00000000">
            <w:pPr>
              <w:jc w:val="center"/>
              <w:rPr>
                <w:rFonts w:eastAsiaTheme="minorEastAsia"/>
                <w:szCs w:val="21"/>
              </w:rPr>
            </w:pPr>
            <w:r>
              <w:rPr>
                <w:rFonts w:eastAsiaTheme="minorEastAsia" w:hAnsiTheme="minorEastAsia"/>
                <w:szCs w:val="21"/>
              </w:rPr>
              <w:t>城市农村</w:t>
            </w:r>
            <w:r>
              <w:rPr>
                <w:rFonts w:eastAsiaTheme="minorEastAsia"/>
                <w:szCs w:val="21"/>
              </w:rPr>
              <w:t>/</w:t>
            </w:r>
            <w:r>
              <w:rPr>
                <w:rFonts w:eastAsiaTheme="minorEastAsia" w:hAnsiTheme="minorEastAsia"/>
                <w:szCs w:val="21"/>
              </w:rPr>
              <w:t>选项</w:t>
            </w:r>
          </w:p>
        </w:tc>
        <w:tc>
          <w:tcPr>
            <w:tcW w:w="1517" w:type="pct"/>
            <w:vAlign w:val="center"/>
          </w:tcPr>
          <w:p w14:paraId="73B9B47D" w14:textId="77777777" w:rsidR="00B14D53" w:rsidRDefault="00000000">
            <w:pPr>
              <w:jc w:val="center"/>
              <w:rPr>
                <w:rFonts w:eastAsiaTheme="minorEastAsia"/>
                <w:szCs w:val="21"/>
              </w:rPr>
            </w:pPr>
            <w:r>
              <w:rPr>
                <w:rFonts w:eastAsiaTheme="minorEastAsia" w:hAnsiTheme="minorEastAsia"/>
                <w:szCs w:val="21"/>
              </w:rPr>
              <w:t>城市</w:t>
            </w:r>
            <w:r>
              <w:rPr>
                <w:rFonts w:eastAsiaTheme="minorEastAsia"/>
                <w:szCs w:val="21"/>
              </w:rPr>
              <w:t>/</w:t>
            </w:r>
            <w:r>
              <w:rPr>
                <w:rFonts w:eastAsiaTheme="minorEastAsia" w:hAnsiTheme="minorEastAsia"/>
                <w:szCs w:val="21"/>
              </w:rPr>
              <w:t>农村</w:t>
            </w:r>
          </w:p>
        </w:tc>
        <w:tc>
          <w:tcPr>
            <w:tcW w:w="3692" w:type="dxa"/>
            <w:vAlign w:val="center"/>
          </w:tcPr>
          <w:p w14:paraId="364E23CF" w14:textId="77777777" w:rsidR="00B14D53" w:rsidRDefault="00000000">
            <w:pPr>
              <w:jc w:val="center"/>
              <w:rPr>
                <w:rFonts w:eastAsiaTheme="minorEastAsia" w:hAnsiTheme="minorEastAsia" w:hint="eastAsia"/>
                <w:szCs w:val="21"/>
              </w:rPr>
            </w:pPr>
            <w:r>
              <w:rPr>
                <w:rFonts w:eastAsiaTheme="minorEastAsia" w:hAnsiTheme="minorEastAsia"/>
                <w:szCs w:val="21"/>
              </w:rPr>
              <w:t>农村</w:t>
            </w:r>
          </w:p>
        </w:tc>
      </w:tr>
      <w:tr w:rsidR="00B14D53" w14:paraId="162BB336" w14:textId="77777777">
        <w:trPr>
          <w:trHeight w:val="70"/>
          <w:jc w:val="center"/>
        </w:trPr>
        <w:tc>
          <w:tcPr>
            <w:tcW w:w="1317" w:type="pct"/>
            <w:vMerge/>
            <w:vAlign w:val="center"/>
          </w:tcPr>
          <w:p w14:paraId="6D0F51E4" w14:textId="77777777" w:rsidR="00B14D53" w:rsidRDefault="00B14D53">
            <w:pPr>
              <w:jc w:val="center"/>
              <w:rPr>
                <w:rFonts w:eastAsiaTheme="minorEastAsia"/>
                <w:szCs w:val="21"/>
              </w:rPr>
            </w:pPr>
          </w:p>
        </w:tc>
        <w:tc>
          <w:tcPr>
            <w:tcW w:w="1517" w:type="pct"/>
            <w:vAlign w:val="center"/>
          </w:tcPr>
          <w:p w14:paraId="7FC5770F" w14:textId="77777777" w:rsidR="00B14D53" w:rsidRDefault="00000000">
            <w:pPr>
              <w:jc w:val="center"/>
              <w:rPr>
                <w:rFonts w:eastAsiaTheme="minorEastAsia"/>
                <w:szCs w:val="21"/>
              </w:rPr>
            </w:pPr>
            <w:r>
              <w:rPr>
                <w:rFonts w:eastAsiaTheme="minorEastAsia" w:hAnsiTheme="minorEastAsia"/>
                <w:szCs w:val="21"/>
              </w:rPr>
              <w:t>人口数</w:t>
            </w:r>
            <w:r>
              <w:rPr>
                <w:rFonts w:eastAsiaTheme="minorEastAsia"/>
                <w:szCs w:val="21"/>
              </w:rPr>
              <w:t>(</w:t>
            </w:r>
            <w:r>
              <w:rPr>
                <w:rFonts w:eastAsiaTheme="minorEastAsia" w:hAnsiTheme="minorEastAsia"/>
                <w:szCs w:val="21"/>
              </w:rPr>
              <w:t>城市人口数</w:t>
            </w:r>
            <w:r>
              <w:rPr>
                <w:rFonts w:eastAsiaTheme="minorEastAsia"/>
                <w:szCs w:val="21"/>
              </w:rPr>
              <w:t>)</w:t>
            </w:r>
          </w:p>
        </w:tc>
        <w:tc>
          <w:tcPr>
            <w:tcW w:w="3692" w:type="dxa"/>
            <w:vAlign w:val="center"/>
          </w:tcPr>
          <w:p w14:paraId="5575758E" w14:textId="77777777" w:rsidR="00B14D53" w:rsidRDefault="00000000">
            <w:pPr>
              <w:jc w:val="center"/>
              <w:rPr>
                <w:rFonts w:eastAsiaTheme="minorEastAsia" w:hAnsiTheme="minorEastAsia" w:hint="eastAsia"/>
                <w:szCs w:val="21"/>
              </w:rPr>
            </w:pPr>
            <w:r>
              <w:rPr>
                <w:rFonts w:eastAsiaTheme="minorEastAsia" w:hAnsiTheme="minorEastAsia"/>
                <w:szCs w:val="21"/>
              </w:rPr>
              <w:t>/</w:t>
            </w:r>
          </w:p>
        </w:tc>
      </w:tr>
      <w:tr w:rsidR="00B14D53" w14:paraId="3A89BD26" w14:textId="77777777">
        <w:trPr>
          <w:trHeight w:val="70"/>
          <w:jc w:val="center"/>
        </w:trPr>
        <w:tc>
          <w:tcPr>
            <w:tcW w:w="2834" w:type="pct"/>
            <w:gridSpan w:val="2"/>
            <w:vAlign w:val="center"/>
          </w:tcPr>
          <w:p w14:paraId="2586E44D" w14:textId="77777777" w:rsidR="00B14D53" w:rsidRDefault="00000000">
            <w:pPr>
              <w:jc w:val="center"/>
              <w:rPr>
                <w:rFonts w:eastAsiaTheme="minorEastAsia"/>
                <w:szCs w:val="21"/>
              </w:rPr>
            </w:pPr>
            <w:r>
              <w:rPr>
                <w:rFonts w:eastAsiaTheme="minorEastAsia" w:hAnsiTheme="minorEastAsia"/>
                <w:szCs w:val="21"/>
              </w:rPr>
              <w:t>最高环境温度</w:t>
            </w:r>
          </w:p>
        </w:tc>
        <w:tc>
          <w:tcPr>
            <w:tcW w:w="3692" w:type="dxa"/>
            <w:vAlign w:val="center"/>
          </w:tcPr>
          <w:p w14:paraId="42F134F7" w14:textId="77777777" w:rsidR="00B14D53" w:rsidRDefault="00000000">
            <w:pPr>
              <w:jc w:val="center"/>
              <w:rPr>
                <w:rFonts w:eastAsiaTheme="minorEastAsia" w:hAnsiTheme="minorEastAsia" w:hint="eastAsia"/>
                <w:szCs w:val="21"/>
              </w:rPr>
            </w:pPr>
            <w:r>
              <w:rPr>
                <w:rFonts w:eastAsiaTheme="minorEastAsia" w:hAnsiTheme="minorEastAsia"/>
                <w:szCs w:val="21"/>
              </w:rPr>
              <w:t>38.3</w:t>
            </w:r>
          </w:p>
        </w:tc>
      </w:tr>
      <w:tr w:rsidR="00B14D53" w14:paraId="3AD7977D" w14:textId="77777777">
        <w:trPr>
          <w:trHeight w:val="70"/>
          <w:jc w:val="center"/>
        </w:trPr>
        <w:tc>
          <w:tcPr>
            <w:tcW w:w="2834" w:type="pct"/>
            <w:gridSpan w:val="2"/>
            <w:vAlign w:val="center"/>
          </w:tcPr>
          <w:p w14:paraId="512A3757" w14:textId="77777777" w:rsidR="00B14D53" w:rsidRDefault="00000000">
            <w:pPr>
              <w:jc w:val="center"/>
              <w:rPr>
                <w:rFonts w:eastAsiaTheme="minorEastAsia"/>
                <w:szCs w:val="21"/>
              </w:rPr>
            </w:pPr>
            <w:r>
              <w:rPr>
                <w:rFonts w:eastAsiaTheme="minorEastAsia" w:hAnsiTheme="minorEastAsia"/>
                <w:szCs w:val="21"/>
              </w:rPr>
              <w:t>最低环境温度</w:t>
            </w:r>
          </w:p>
        </w:tc>
        <w:tc>
          <w:tcPr>
            <w:tcW w:w="3692" w:type="dxa"/>
            <w:vAlign w:val="center"/>
          </w:tcPr>
          <w:p w14:paraId="5B99EAF5" w14:textId="77777777" w:rsidR="00B14D53" w:rsidRDefault="00000000">
            <w:pPr>
              <w:jc w:val="center"/>
              <w:rPr>
                <w:rFonts w:eastAsiaTheme="minorEastAsia" w:hAnsiTheme="minorEastAsia" w:hint="eastAsia"/>
                <w:szCs w:val="21"/>
              </w:rPr>
            </w:pPr>
            <w:r>
              <w:rPr>
                <w:rFonts w:eastAsiaTheme="minorEastAsia" w:hAnsiTheme="minorEastAsia"/>
                <w:szCs w:val="21"/>
              </w:rPr>
              <w:t>-44.1</w:t>
            </w:r>
          </w:p>
        </w:tc>
      </w:tr>
      <w:tr w:rsidR="00B14D53" w14:paraId="5B9F4677" w14:textId="77777777">
        <w:trPr>
          <w:trHeight w:val="70"/>
          <w:jc w:val="center"/>
        </w:trPr>
        <w:tc>
          <w:tcPr>
            <w:tcW w:w="2834" w:type="pct"/>
            <w:gridSpan w:val="2"/>
            <w:vAlign w:val="center"/>
          </w:tcPr>
          <w:p w14:paraId="7BDB721E" w14:textId="77777777" w:rsidR="00B14D53" w:rsidRDefault="00000000">
            <w:pPr>
              <w:jc w:val="center"/>
              <w:rPr>
                <w:rFonts w:eastAsiaTheme="minorEastAsia"/>
                <w:szCs w:val="21"/>
              </w:rPr>
            </w:pPr>
            <w:r>
              <w:rPr>
                <w:rFonts w:eastAsiaTheme="minorEastAsia" w:hAnsiTheme="minorEastAsia"/>
                <w:szCs w:val="21"/>
              </w:rPr>
              <w:t>土地利用类型</w:t>
            </w:r>
          </w:p>
        </w:tc>
        <w:tc>
          <w:tcPr>
            <w:tcW w:w="3692" w:type="dxa"/>
            <w:vAlign w:val="center"/>
          </w:tcPr>
          <w:p w14:paraId="2CB5F5B1" w14:textId="77777777" w:rsidR="00B14D53" w:rsidRDefault="00000000">
            <w:pPr>
              <w:jc w:val="center"/>
              <w:rPr>
                <w:rFonts w:eastAsiaTheme="minorEastAsia" w:hAnsiTheme="minorEastAsia" w:hint="eastAsia"/>
                <w:szCs w:val="21"/>
              </w:rPr>
            </w:pPr>
            <w:r>
              <w:rPr>
                <w:rFonts w:eastAsiaTheme="minorEastAsia" w:hAnsiTheme="minorEastAsia"/>
                <w:szCs w:val="21"/>
              </w:rPr>
              <w:t>农田</w:t>
            </w:r>
          </w:p>
        </w:tc>
      </w:tr>
      <w:tr w:rsidR="00B14D53" w14:paraId="4EBAB91E" w14:textId="77777777">
        <w:trPr>
          <w:trHeight w:val="70"/>
          <w:jc w:val="center"/>
        </w:trPr>
        <w:tc>
          <w:tcPr>
            <w:tcW w:w="2834" w:type="pct"/>
            <w:gridSpan w:val="2"/>
            <w:vAlign w:val="center"/>
          </w:tcPr>
          <w:p w14:paraId="085F21CB" w14:textId="77777777" w:rsidR="00B14D53" w:rsidRDefault="00000000">
            <w:pPr>
              <w:jc w:val="center"/>
              <w:rPr>
                <w:rFonts w:eastAsiaTheme="minorEastAsia"/>
                <w:szCs w:val="21"/>
              </w:rPr>
            </w:pPr>
            <w:r>
              <w:rPr>
                <w:rFonts w:eastAsiaTheme="minorEastAsia" w:hAnsiTheme="minorEastAsia"/>
                <w:szCs w:val="21"/>
              </w:rPr>
              <w:t>区域湿度条件</w:t>
            </w:r>
          </w:p>
        </w:tc>
        <w:tc>
          <w:tcPr>
            <w:tcW w:w="3692" w:type="dxa"/>
            <w:vAlign w:val="center"/>
          </w:tcPr>
          <w:p w14:paraId="44A02510" w14:textId="77777777" w:rsidR="00B14D53" w:rsidRDefault="00000000">
            <w:pPr>
              <w:jc w:val="center"/>
              <w:rPr>
                <w:rFonts w:eastAsiaTheme="minorEastAsia" w:hAnsiTheme="minorEastAsia" w:hint="eastAsia"/>
                <w:szCs w:val="21"/>
              </w:rPr>
            </w:pPr>
            <w:r>
              <w:rPr>
                <w:rFonts w:eastAsiaTheme="minorEastAsia" w:hAnsiTheme="minorEastAsia"/>
                <w:szCs w:val="21"/>
              </w:rPr>
              <w:t>潮湿</w:t>
            </w:r>
          </w:p>
        </w:tc>
      </w:tr>
      <w:tr w:rsidR="00B14D53" w14:paraId="0136887B" w14:textId="77777777">
        <w:trPr>
          <w:trHeight w:val="70"/>
          <w:jc w:val="center"/>
        </w:trPr>
        <w:tc>
          <w:tcPr>
            <w:tcW w:w="1317" w:type="pct"/>
            <w:vMerge w:val="restart"/>
            <w:vAlign w:val="center"/>
          </w:tcPr>
          <w:p w14:paraId="6C5C99B9" w14:textId="77777777" w:rsidR="00B14D53" w:rsidRDefault="00000000">
            <w:pPr>
              <w:jc w:val="center"/>
              <w:rPr>
                <w:rFonts w:eastAsiaTheme="minorEastAsia"/>
                <w:szCs w:val="21"/>
              </w:rPr>
            </w:pPr>
            <w:r>
              <w:rPr>
                <w:rFonts w:eastAsiaTheme="minorEastAsia" w:hAnsiTheme="minorEastAsia"/>
                <w:szCs w:val="21"/>
              </w:rPr>
              <w:t>是否考虑地形</w:t>
            </w:r>
          </w:p>
        </w:tc>
        <w:tc>
          <w:tcPr>
            <w:tcW w:w="1517" w:type="pct"/>
            <w:vAlign w:val="center"/>
          </w:tcPr>
          <w:p w14:paraId="378248A4" w14:textId="77777777" w:rsidR="00B14D53" w:rsidRDefault="00000000">
            <w:pPr>
              <w:jc w:val="center"/>
              <w:rPr>
                <w:rFonts w:eastAsiaTheme="minorEastAsia"/>
                <w:szCs w:val="21"/>
              </w:rPr>
            </w:pPr>
            <w:r>
              <w:rPr>
                <w:rFonts w:eastAsiaTheme="minorEastAsia" w:hAnsiTheme="minorEastAsia"/>
                <w:szCs w:val="21"/>
              </w:rPr>
              <w:t>考虑地形</w:t>
            </w:r>
          </w:p>
        </w:tc>
        <w:tc>
          <w:tcPr>
            <w:tcW w:w="3692" w:type="dxa"/>
            <w:vAlign w:val="center"/>
          </w:tcPr>
          <w:p w14:paraId="1C298DED" w14:textId="77777777" w:rsidR="00B14D53" w:rsidRDefault="00000000">
            <w:pPr>
              <w:jc w:val="center"/>
              <w:rPr>
                <w:rFonts w:eastAsiaTheme="minorEastAsia" w:hAnsiTheme="minorEastAsia" w:hint="eastAsia"/>
                <w:szCs w:val="21"/>
              </w:rPr>
            </w:pPr>
            <w:r>
              <w:rPr>
                <w:rFonts w:eastAsiaTheme="minorEastAsia" w:hAnsiTheme="minorEastAsia"/>
                <w:szCs w:val="21"/>
              </w:rPr>
              <w:t>是</w:t>
            </w:r>
          </w:p>
        </w:tc>
      </w:tr>
      <w:tr w:rsidR="00B14D53" w14:paraId="6D16F69A" w14:textId="77777777">
        <w:trPr>
          <w:trHeight w:val="70"/>
          <w:jc w:val="center"/>
        </w:trPr>
        <w:tc>
          <w:tcPr>
            <w:tcW w:w="1317" w:type="pct"/>
            <w:vMerge/>
            <w:vAlign w:val="center"/>
          </w:tcPr>
          <w:p w14:paraId="241E7FD2" w14:textId="77777777" w:rsidR="00B14D53" w:rsidRDefault="00B14D53">
            <w:pPr>
              <w:jc w:val="center"/>
              <w:rPr>
                <w:rFonts w:eastAsiaTheme="minorEastAsia"/>
                <w:szCs w:val="21"/>
              </w:rPr>
            </w:pPr>
          </w:p>
        </w:tc>
        <w:tc>
          <w:tcPr>
            <w:tcW w:w="1517" w:type="pct"/>
            <w:vAlign w:val="center"/>
          </w:tcPr>
          <w:p w14:paraId="411A6A6A" w14:textId="77777777" w:rsidR="00B14D53" w:rsidRDefault="00000000">
            <w:pPr>
              <w:jc w:val="center"/>
              <w:rPr>
                <w:rFonts w:eastAsiaTheme="minorEastAsia"/>
                <w:szCs w:val="21"/>
              </w:rPr>
            </w:pPr>
            <w:r>
              <w:rPr>
                <w:rFonts w:eastAsiaTheme="minorEastAsia" w:hAnsiTheme="minorEastAsia"/>
                <w:szCs w:val="21"/>
              </w:rPr>
              <w:t>地形数据分辨率</w:t>
            </w:r>
            <w:r>
              <w:rPr>
                <w:rFonts w:eastAsiaTheme="minorEastAsia"/>
                <w:szCs w:val="21"/>
              </w:rPr>
              <w:t>(m)</w:t>
            </w:r>
          </w:p>
        </w:tc>
        <w:tc>
          <w:tcPr>
            <w:tcW w:w="3692" w:type="dxa"/>
            <w:vAlign w:val="center"/>
          </w:tcPr>
          <w:p w14:paraId="2D7142A8" w14:textId="77777777" w:rsidR="00B14D53" w:rsidRDefault="00000000">
            <w:pPr>
              <w:jc w:val="center"/>
              <w:rPr>
                <w:rFonts w:eastAsiaTheme="minorEastAsia" w:hAnsiTheme="minorEastAsia" w:hint="eastAsia"/>
                <w:szCs w:val="21"/>
              </w:rPr>
            </w:pPr>
            <w:r>
              <w:rPr>
                <w:rFonts w:eastAsiaTheme="minorEastAsia" w:hAnsiTheme="minorEastAsia"/>
                <w:szCs w:val="21"/>
              </w:rPr>
              <w:t>90</w:t>
            </w:r>
          </w:p>
        </w:tc>
      </w:tr>
      <w:tr w:rsidR="00B14D53" w14:paraId="4708E618" w14:textId="77777777">
        <w:trPr>
          <w:trHeight w:val="70"/>
          <w:jc w:val="center"/>
        </w:trPr>
        <w:tc>
          <w:tcPr>
            <w:tcW w:w="1317" w:type="pct"/>
            <w:vMerge w:val="restart"/>
            <w:vAlign w:val="center"/>
          </w:tcPr>
          <w:p w14:paraId="24FF6E67" w14:textId="77777777" w:rsidR="00B14D53" w:rsidRDefault="00000000">
            <w:pPr>
              <w:jc w:val="center"/>
              <w:rPr>
                <w:rFonts w:eastAsiaTheme="minorEastAsia"/>
                <w:szCs w:val="21"/>
              </w:rPr>
            </w:pPr>
            <w:r>
              <w:rPr>
                <w:rFonts w:eastAsiaTheme="minorEastAsia" w:hAnsiTheme="minorEastAsia"/>
                <w:szCs w:val="21"/>
              </w:rPr>
              <w:t>是否考虑海岸线熏烟</w:t>
            </w:r>
          </w:p>
        </w:tc>
        <w:tc>
          <w:tcPr>
            <w:tcW w:w="1517" w:type="pct"/>
            <w:vAlign w:val="center"/>
          </w:tcPr>
          <w:p w14:paraId="763B3404" w14:textId="77777777" w:rsidR="00B14D53" w:rsidRDefault="00000000">
            <w:pPr>
              <w:jc w:val="center"/>
              <w:rPr>
                <w:rFonts w:eastAsiaTheme="minorEastAsia"/>
                <w:szCs w:val="21"/>
              </w:rPr>
            </w:pPr>
            <w:r>
              <w:rPr>
                <w:rFonts w:eastAsiaTheme="minorEastAsia" w:hAnsiTheme="minorEastAsia"/>
                <w:szCs w:val="21"/>
              </w:rPr>
              <w:t>考虑海岸线熏烟</w:t>
            </w:r>
          </w:p>
        </w:tc>
        <w:tc>
          <w:tcPr>
            <w:tcW w:w="3692" w:type="dxa"/>
            <w:vAlign w:val="center"/>
          </w:tcPr>
          <w:p w14:paraId="58476C0C" w14:textId="77777777" w:rsidR="00B14D53" w:rsidRDefault="00000000">
            <w:pPr>
              <w:jc w:val="center"/>
              <w:rPr>
                <w:rFonts w:eastAsiaTheme="minorEastAsia" w:hAnsiTheme="minorEastAsia" w:hint="eastAsia"/>
                <w:szCs w:val="21"/>
              </w:rPr>
            </w:pPr>
            <w:r>
              <w:rPr>
                <w:rFonts w:eastAsiaTheme="minorEastAsia" w:hAnsiTheme="minorEastAsia"/>
                <w:szCs w:val="21"/>
              </w:rPr>
              <w:t>否</w:t>
            </w:r>
          </w:p>
        </w:tc>
      </w:tr>
      <w:tr w:rsidR="00B14D53" w14:paraId="32233E86" w14:textId="77777777">
        <w:trPr>
          <w:trHeight w:val="70"/>
          <w:jc w:val="center"/>
        </w:trPr>
        <w:tc>
          <w:tcPr>
            <w:tcW w:w="1317" w:type="pct"/>
            <w:vMerge/>
            <w:vAlign w:val="center"/>
          </w:tcPr>
          <w:p w14:paraId="3B70097A" w14:textId="77777777" w:rsidR="00B14D53" w:rsidRDefault="00B14D53">
            <w:pPr>
              <w:jc w:val="center"/>
              <w:rPr>
                <w:rFonts w:eastAsiaTheme="minorEastAsia"/>
                <w:szCs w:val="21"/>
              </w:rPr>
            </w:pPr>
          </w:p>
        </w:tc>
        <w:tc>
          <w:tcPr>
            <w:tcW w:w="1517" w:type="pct"/>
            <w:vAlign w:val="center"/>
          </w:tcPr>
          <w:p w14:paraId="5428503B" w14:textId="77777777" w:rsidR="00B14D53" w:rsidRDefault="00000000">
            <w:pPr>
              <w:jc w:val="center"/>
              <w:rPr>
                <w:rFonts w:eastAsiaTheme="minorEastAsia"/>
                <w:szCs w:val="21"/>
              </w:rPr>
            </w:pPr>
            <w:r>
              <w:rPr>
                <w:rFonts w:eastAsiaTheme="minorEastAsia" w:hAnsiTheme="minorEastAsia"/>
                <w:szCs w:val="21"/>
              </w:rPr>
              <w:t>海岸线距离</w:t>
            </w:r>
            <w:r>
              <w:rPr>
                <w:rFonts w:eastAsiaTheme="minorEastAsia"/>
                <w:szCs w:val="21"/>
              </w:rPr>
              <w:t>/km</w:t>
            </w:r>
          </w:p>
        </w:tc>
        <w:tc>
          <w:tcPr>
            <w:tcW w:w="3692" w:type="dxa"/>
            <w:vAlign w:val="center"/>
          </w:tcPr>
          <w:p w14:paraId="299AC924" w14:textId="77777777" w:rsidR="00B14D53" w:rsidRDefault="00000000">
            <w:pPr>
              <w:jc w:val="center"/>
              <w:rPr>
                <w:rFonts w:eastAsiaTheme="minorEastAsia" w:hAnsiTheme="minorEastAsia" w:hint="eastAsia"/>
                <w:szCs w:val="21"/>
              </w:rPr>
            </w:pPr>
            <w:r>
              <w:rPr>
                <w:rFonts w:eastAsiaTheme="minorEastAsia" w:hAnsiTheme="minorEastAsia"/>
                <w:szCs w:val="21"/>
              </w:rPr>
              <w:t>/</w:t>
            </w:r>
          </w:p>
        </w:tc>
      </w:tr>
      <w:tr w:rsidR="00B14D53" w14:paraId="5D15BBFC" w14:textId="77777777">
        <w:trPr>
          <w:trHeight w:val="70"/>
          <w:jc w:val="center"/>
        </w:trPr>
        <w:tc>
          <w:tcPr>
            <w:tcW w:w="1317" w:type="pct"/>
            <w:vMerge/>
            <w:vAlign w:val="center"/>
          </w:tcPr>
          <w:p w14:paraId="0D22695C" w14:textId="77777777" w:rsidR="00B14D53" w:rsidRDefault="00B14D53">
            <w:pPr>
              <w:jc w:val="center"/>
              <w:rPr>
                <w:rFonts w:eastAsiaTheme="minorEastAsia"/>
                <w:szCs w:val="21"/>
              </w:rPr>
            </w:pPr>
          </w:p>
        </w:tc>
        <w:tc>
          <w:tcPr>
            <w:tcW w:w="1517" w:type="pct"/>
            <w:vAlign w:val="center"/>
          </w:tcPr>
          <w:p w14:paraId="7C309741" w14:textId="77777777" w:rsidR="00B14D53" w:rsidRDefault="00000000">
            <w:pPr>
              <w:jc w:val="center"/>
              <w:rPr>
                <w:rFonts w:eastAsiaTheme="minorEastAsia"/>
                <w:szCs w:val="21"/>
              </w:rPr>
            </w:pPr>
            <w:r>
              <w:rPr>
                <w:rFonts w:eastAsiaTheme="minorEastAsia" w:hAnsiTheme="minorEastAsia"/>
                <w:szCs w:val="21"/>
              </w:rPr>
              <w:t>海岸线方向</w:t>
            </w:r>
            <w:r>
              <w:rPr>
                <w:rFonts w:eastAsiaTheme="minorEastAsia"/>
                <w:szCs w:val="21"/>
              </w:rPr>
              <w:t>/</w:t>
            </w:r>
            <w:r>
              <w:rPr>
                <w:rFonts w:eastAsiaTheme="minorEastAsia"/>
                <w:szCs w:val="21"/>
                <w:vertAlign w:val="superscript"/>
              </w:rPr>
              <w:t>o</w:t>
            </w:r>
          </w:p>
        </w:tc>
        <w:tc>
          <w:tcPr>
            <w:tcW w:w="3692" w:type="dxa"/>
            <w:vAlign w:val="center"/>
          </w:tcPr>
          <w:p w14:paraId="6F279897" w14:textId="77777777" w:rsidR="00B14D53" w:rsidRDefault="00000000">
            <w:pPr>
              <w:jc w:val="center"/>
              <w:rPr>
                <w:rFonts w:eastAsiaTheme="minorEastAsia" w:hAnsiTheme="minorEastAsia" w:hint="eastAsia"/>
                <w:szCs w:val="21"/>
              </w:rPr>
            </w:pPr>
            <w:r>
              <w:rPr>
                <w:rFonts w:eastAsiaTheme="minorEastAsia" w:hAnsiTheme="minorEastAsia"/>
                <w:szCs w:val="21"/>
              </w:rPr>
              <w:t>/</w:t>
            </w:r>
          </w:p>
        </w:tc>
      </w:tr>
    </w:tbl>
    <w:p w14:paraId="25D99860" w14:textId="77777777" w:rsidR="00B14D53" w:rsidRDefault="00000000">
      <w:pPr>
        <w:pStyle w:val="00"/>
        <w:rPr>
          <w:rFonts w:hAnsi="Times New Roman"/>
        </w:rPr>
      </w:pPr>
      <w:r>
        <w:t>（</w:t>
      </w:r>
      <w:r>
        <w:rPr>
          <w:rFonts w:hAnsi="Times New Roman"/>
        </w:rPr>
        <w:t>3</w:t>
      </w:r>
      <w:r>
        <w:t>）估算结果</w:t>
      </w:r>
    </w:p>
    <w:p w14:paraId="27B76EF2" w14:textId="77777777" w:rsidR="00B14D53" w:rsidRDefault="00000000">
      <w:pPr>
        <w:jc w:val="center"/>
        <w:rPr>
          <w:b/>
          <w:bCs/>
        </w:rPr>
      </w:pPr>
      <w:r>
        <w:rPr>
          <w:b/>
          <w:bCs/>
        </w:rPr>
        <w:t>表</w:t>
      </w:r>
      <w:r>
        <w:rPr>
          <w:b/>
          <w:bCs/>
        </w:rPr>
        <w:t>5-2-5</w:t>
      </w:r>
      <w:r>
        <w:rPr>
          <w:rFonts w:hint="eastAsia"/>
          <w:b/>
          <w:bCs/>
        </w:rPr>
        <w:t xml:space="preserve"> </w:t>
      </w:r>
      <w:r>
        <w:rPr>
          <w:b/>
          <w:bCs/>
        </w:rPr>
        <w:t>有组织排放估算模式的计算结果</w:t>
      </w:r>
      <w:r>
        <w:rPr>
          <w:rFonts w:hint="eastAsia"/>
          <w:b/>
          <w:bCs/>
        </w:rPr>
        <w:t>（</w:t>
      </w:r>
      <w:r>
        <w:rPr>
          <w:rFonts w:hint="eastAsia"/>
          <w:b/>
          <w:bCs/>
        </w:rPr>
        <w:t>DA001</w:t>
      </w:r>
      <w:r>
        <w:rPr>
          <w:rFonts w:hint="eastAsia"/>
          <w:b/>
          <w:bCs/>
        </w:rPr>
        <w:t>）</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50"/>
        <w:gridCol w:w="1944"/>
        <w:gridCol w:w="1526"/>
        <w:gridCol w:w="1526"/>
        <w:gridCol w:w="1558"/>
      </w:tblGrid>
      <w:tr w:rsidR="00B14D53" w14:paraId="38D25B90" w14:textId="77777777">
        <w:trPr>
          <w:trHeight w:val="274"/>
          <w:jc w:val="center"/>
        </w:trPr>
        <w:tc>
          <w:tcPr>
            <w:tcW w:w="1053" w:type="pct"/>
            <w:vMerge w:val="restart"/>
            <w:vAlign w:val="center"/>
          </w:tcPr>
          <w:p w14:paraId="43280C1C" w14:textId="77777777" w:rsidR="00B14D53" w:rsidRDefault="00000000">
            <w:pPr>
              <w:contextualSpacing/>
              <w:jc w:val="center"/>
              <w:rPr>
                <w:b/>
                <w:bCs/>
                <w:szCs w:val="21"/>
              </w:rPr>
            </w:pPr>
            <w:r>
              <w:rPr>
                <w:b/>
                <w:bCs/>
                <w:szCs w:val="21"/>
              </w:rPr>
              <w:t>距离（</w:t>
            </w:r>
            <w:r>
              <w:rPr>
                <w:b/>
                <w:bCs/>
                <w:szCs w:val="21"/>
              </w:rPr>
              <w:t>m</w:t>
            </w:r>
            <w:r>
              <w:rPr>
                <w:b/>
                <w:bCs/>
                <w:szCs w:val="21"/>
              </w:rPr>
              <w:t>）</w:t>
            </w:r>
          </w:p>
        </w:tc>
        <w:tc>
          <w:tcPr>
            <w:tcW w:w="3946" w:type="pct"/>
            <w:gridSpan w:val="4"/>
            <w:vAlign w:val="center"/>
          </w:tcPr>
          <w:p w14:paraId="726571F9" w14:textId="77777777" w:rsidR="00B14D53" w:rsidRDefault="00000000">
            <w:pPr>
              <w:contextualSpacing/>
              <w:jc w:val="center"/>
              <w:rPr>
                <w:b/>
                <w:bCs/>
                <w:szCs w:val="21"/>
              </w:rPr>
            </w:pPr>
            <w:r>
              <w:rPr>
                <w:rFonts w:hint="eastAsia"/>
                <w:b/>
                <w:bCs/>
                <w:szCs w:val="21"/>
              </w:rPr>
              <w:t>1#</w:t>
            </w:r>
            <w:r>
              <w:rPr>
                <w:rFonts w:hint="eastAsia"/>
                <w:b/>
                <w:bCs/>
                <w:szCs w:val="21"/>
              </w:rPr>
              <w:t>待宰圈</w:t>
            </w:r>
            <w:r>
              <w:rPr>
                <w:b/>
                <w:bCs/>
                <w:szCs w:val="21"/>
              </w:rPr>
              <w:t>排气筒</w:t>
            </w:r>
            <w:r>
              <w:rPr>
                <w:rFonts w:hint="eastAsia"/>
                <w:b/>
                <w:bCs/>
                <w:szCs w:val="21"/>
              </w:rPr>
              <w:t>DA001</w:t>
            </w:r>
          </w:p>
        </w:tc>
      </w:tr>
      <w:tr w:rsidR="00B14D53" w14:paraId="531C4648" w14:textId="77777777">
        <w:trPr>
          <w:trHeight w:val="70"/>
          <w:jc w:val="center"/>
        </w:trPr>
        <w:tc>
          <w:tcPr>
            <w:tcW w:w="1053" w:type="pct"/>
            <w:vMerge/>
            <w:vAlign w:val="center"/>
          </w:tcPr>
          <w:p w14:paraId="790F71C2" w14:textId="77777777" w:rsidR="00B14D53" w:rsidRDefault="00B14D53">
            <w:pPr>
              <w:contextualSpacing/>
              <w:jc w:val="center"/>
              <w:rPr>
                <w:b/>
                <w:bCs/>
                <w:szCs w:val="21"/>
              </w:rPr>
            </w:pPr>
          </w:p>
        </w:tc>
        <w:tc>
          <w:tcPr>
            <w:tcW w:w="2089" w:type="pct"/>
            <w:gridSpan w:val="2"/>
            <w:vAlign w:val="center"/>
          </w:tcPr>
          <w:p w14:paraId="608C267F" w14:textId="77777777" w:rsidR="00B14D53" w:rsidRDefault="00000000">
            <w:pPr>
              <w:contextualSpacing/>
              <w:jc w:val="center"/>
              <w:rPr>
                <w:b/>
                <w:bCs/>
                <w:szCs w:val="21"/>
              </w:rPr>
            </w:pPr>
            <w:r>
              <w:rPr>
                <w:b/>
                <w:bCs/>
                <w:szCs w:val="21"/>
              </w:rPr>
              <w:t>NH</w:t>
            </w:r>
            <w:r>
              <w:rPr>
                <w:b/>
                <w:bCs/>
                <w:szCs w:val="21"/>
                <w:vertAlign w:val="subscript"/>
              </w:rPr>
              <w:t>3</w:t>
            </w:r>
          </w:p>
        </w:tc>
        <w:tc>
          <w:tcPr>
            <w:tcW w:w="1856" w:type="pct"/>
            <w:gridSpan w:val="2"/>
            <w:vAlign w:val="center"/>
          </w:tcPr>
          <w:p w14:paraId="7BADBC43" w14:textId="77777777" w:rsidR="00B14D53" w:rsidRDefault="00000000">
            <w:pPr>
              <w:contextualSpacing/>
              <w:jc w:val="center"/>
              <w:rPr>
                <w:b/>
                <w:bCs/>
                <w:szCs w:val="21"/>
              </w:rPr>
            </w:pPr>
            <w:r>
              <w:rPr>
                <w:b/>
                <w:bCs/>
                <w:szCs w:val="21"/>
              </w:rPr>
              <w:t>H</w:t>
            </w:r>
            <w:r>
              <w:rPr>
                <w:b/>
                <w:bCs/>
                <w:szCs w:val="21"/>
                <w:vertAlign w:val="subscript"/>
              </w:rPr>
              <w:t>2</w:t>
            </w:r>
            <w:r>
              <w:rPr>
                <w:b/>
                <w:bCs/>
                <w:szCs w:val="21"/>
              </w:rPr>
              <w:t>S</w:t>
            </w:r>
          </w:p>
        </w:tc>
      </w:tr>
      <w:tr w:rsidR="00B14D53" w14:paraId="4CEDC786" w14:textId="77777777">
        <w:trPr>
          <w:trHeight w:val="487"/>
          <w:jc w:val="center"/>
        </w:trPr>
        <w:tc>
          <w:tcPr>
            <w:tcW w:w="1053" w:type="pct"/>
            <w:vMerge/>
            <w:vAlign w:val="center"/>
          </w:tcPr>
          <w:p w14:paraId="7EC12061" w14:textId="77777777" w:rsidR="00B14D53" w:rsidRDefault="00B14D53">
            <w:pPr>
              <w:contextualSpacing/>
              <w:jc w:val="center"/>
              <w:rPr>
                <w:b/>
                <w:bCs/>
                <w:szCs w:val="21"/>
              </w:rPr>
            </w:pPr>
          </w:p>
        </w:tc>
        <w:tc>
          <w:tcPr>
            <w:tcW w:w="1170" w:type="pct"/>
            <w:vAlign w:val="center"/>
          </w:tcPr>
          <w:p w14:paraId="52041C7A" w14:textId="77777777" w:rsidR="00B14D53" w:rsidRDefault="00000000">
            <w:pPr>
              <w:contextualSpacing/>
              <w:jc w:val="center"/>
              <w:rPr>
                <w:b/>
                <w:bCs/>
                <w:szCs w:val="21"/>
              </w:rPr>
            </w:pPr>
            <w:r>
              <w:rPr>
                <w:b/>
                <w:bCs/>
                <w:kern w:val="0"/>
                <w:szCs w:val="21"/>
              </w:rPr>
              <w:t>预测质量浓度</w:t>
            </w:r>
            <w:r>
              <w:rPr>
                <w:b/>
                <w:bCs/>
                <w:kern w:val="0"/>
                <w:szCs w:val="21"/>
              </w:rPr>
              <w:t>/(μg/m</w:t>
            </w:r>
            <w:r>
              <w:rPr>
                <w:b/>
                <w:bCs/>
                <w:kern w:val="0"/>
                <w:szCs w:val="21"/>
                <w:vertAlign w:val="superscript"/>
              </w:rPr>
              <w:t>3</w:t>
            </w:r>
            <w:r>
              <w:rPr>
                <w:b/>
                <w:bCs/>
                <w:kern w:val="0"/>
                <w:szCs w:val="21"/>
              </w:rPr>
              <w:t>)</w:t>
            </w:r>
          </w:p>
        </w:tc>
        <w:tc>
          <w:tcPr>
            <w:tcW w:w="919" w:type="pct"/>
            <w:vAlign w:val="center"/>
          </w:tcPr>
          <w:p w14:paraId="02C55C40" w14:textId="77777777" w:rsidR="00B14D53" w:rsidRDefault="00000000">
            <w:pPr>
              <w:contextualSpacing/>
              <w:jc w:val="center"/>
              <w:rPr>
                <w:b/>
                <w:bCs/>
                <w:szCs w:val="21"/>
              </w:rPr>
            </w:pPr>
            <w:r>
              <w:rPr>
                <w:b/>
                <w:bCs/>
                <w:szCs w:val="21"/>
              </w:rPr>
              <w:t>占标率</w:t>
            </w:r>
            <w:r>
              <w:rPr>
                <w:b/>
                <w:bCs/>
                <w:szCs w:val="21"/>
              </w:rPr>
              <w:t>%</w:t>
            </w:r>
          </w:p>
        </w:tc>
        <w:tc>
          <w:tcPr>
            <w:tcW w:w="919" w:type="pct"/>
            <w:vAlign w:val="center"/>
          </w:tcPr>
          <w:p w14:paraId="6870B440" w14:textId="77777777" w:rsidR="00B14D53" w:rsidRDefault="00000000">
            <w:pPr>
              <w:contextualSpacing/>
              <w:jc w:val="center"/>
              <w:rPr>
                <w:b/>
                <w:bCs/>
                <w:szCs w:val="21"/>
              </w:rPr>
            </w:pPr>
            <w:r>
              <w:rPr>
                <w:b/>
                <w:bCs/>
                <w:kern w:val="0"/>
                <w:szCs w:val="21"/>
              </w:rPr>
              <w:t>预测质量浓度</w:t>
            </w:r>
            <w:r>
              <w:rPr>
                <w:b/>
                <w:bCs/>
                <w:kern w:val="0"/>
                <w:szCs w:val="21"/>
              </w:rPr>
              <w:t>/(μg/m</w:t>
            </w:r>
            <w:r>
              <w:rPr>
                <w:b/>
                <w:bCs/>
                <w:kern w:val="0"/>
                <w:szCs w:val="21"/>
                <w:vertAlign w:val="superscript"/>
              </w:rPr>
              <w:t>3</w:t>
            </w:r>
            <w:r>
              <w:rPr>
                <w:b/>
                <w:bCs/>
                <w:kern w:val="0"/>
                <w:szCs w:val="21"/>
              </w:rPr>
              <w:t>)</w:t>
            </w:r>
          </w:p>
        </w:tc>
        <w:tc>
          <w:tcPr>
            <w:tcW w:w="936" w:type="pct"/>
            <w:vAlign w:val="center"/>
          </w:tcPr>
          <w:p w14:paraId="46BFF383" w14:textId="77777777" w:rsidR="00B14D53" w:rsidRDefault="00000000">
            <w:pPr>
              <w:tabs>
                <w:tab w:val="left" w:pos="420"/>
              </w:tabs>
              <w:autoSpaceDE w:val="0"/>
              <w:autoSpaceDN w:val="0"/>
              <w:contextualSpacing/>
              <w:jc w:val="center"/>
              <w:rPr>
                <w:b/>
                <w:bCs/>
                <w:kern w:val="0"/>
                <w:szCs w:val="21"/>
              </w:rPr>
            </w:pPr>
            <w:r>
              <w:rPr>
                <w:b/>
                <w:bCs/>
                <w:kern w:val="0"/>
                <w:szCs w:val="21"/>
              </w:rPr>
              <w:t>占标率</w:t>
            </w:r>
            <w:r>
              <w:rPr>
                <w:b/>
                <w:bCs/>
                <w:kern w:val="0"/>
                <w:szCs w:val="21"/>
              </w:rPr>
              <w:t>/(%)</w:t>
            </w:r>
          </w:p>
        </w:tc>
      </w:tr>
      <w:tr w:rsidR="00B14D53" w14:paraId="39AD6F7E" w14:textId="77777777">
        <w:trPr>
          <w:trHeight w:val="90"/>
          <w:jc w:val="center"/>
        </w:trPr>
        <w:tc>
          <w:tcPr>
            <w:tcW w:w="1053" w:type="pct"/>
            <w:vAlign w:val="center"/>
          </w:tcPr>
          <w:p w14:paraId="590C3ED6" w14:textId="77777777" w:rsidR="00B14D53" w:rsidRDefault="00000000">
            <w:pPr>
              <w:contextualSpacing/>
              <w:jc w:val="center"/>
              <w:rPr>
                <w:szCs w:val="21"/>
              </w:rPr>
            </w:pPr>
            <w:r>
              <w:rPr>
                <w:szCs w:val="21"/>
              </w:rPr>
              <w:t>50</w:t>
            </w:r>
          </w:p>
        </w:tc>
        <w:tc>
          <w:tcPr>
            <w:tcW w:w="1994" w:type="dxa"/>
            <w:vAlign w:val="center"/>
          </w:tcPr>
          <w:p w14:paraId="45D38BCE" w14:textId="77777777" w:rsidR="00B14D53" w:rsidRDefault="00000000">
            <w:pPr>
              <w:contextualSpacing/>
              <w:jc w:val="center"/>
              <w:rPr>
                <w:szCs w:val="21"/>
              </w:rPr>
            </w:pPr>
            <w:r>
              <w:rPr>
                <w:rFonts w:hint="eastAsia"/>
                <w:szCs w:val="21"/>
              </w:rPr>
              <w:t>0.0441</w:t>
            </w:r>
          </w:p>
        </w:tc>
        <w:tc>
          <w:tcPr>
            <w:tcW w:w="1566" w:type="dxa"/>
            <w:vAlign w:val="center"/>
          </w:tcPr>
          <w:p w14:paraId="5FA74589" w14:textId="77777777" w:rsidR="00B14D53" w:rsidRDefault="00000000">
            <w:pPr>
              <w:contextualSpacing/>
              <w:jc w:val="center"/>
              <w:rPr>
                <w:szCs w:val="21"/>
              </w:rPr>
            </w:pPr>
            <w:r>
              <w:rPr>
                <w:rFonts w:hint="eastAsia"/>
                <w:szCs w:val="21"/>
              </w:rPr>
              <w:t>0.0220</w:t>
            </w:r>
          </w:p>
        </w:tc>
        <w:tc>
          <w:tcPr>
            <w:tcW w:w="1748" w:type="dxa"/>
            <w:vAlign w:val="center"/>
          </w:tcPr>
          <w:p w14:paraId="2F238198" w14:textId="77777777" w:rsidR="00B14D53" w:rsidRDefault="00000000">
            <w:pPr>
              <w:contextualSpacing/>
              <w:jc w:val="center"/>
              <w:rPr>
                <w:szCs w:val="21"/>
              </w:rPr>
            </w:pPr>
            <w:r>
              <w:rPr>
                <w:rFonts w:hint="eastAsia"/>
                <w:szCs w:val="21"/>
              </w:rPr>
              <w:t>0.0029</w:t>
            </w:r>
          </w:p>
        </w:tc>
        <w:tc>
          <w:tcPr>
            <w:tcW w:w="1784" w:type="dxa"/>
            <w:vAlign w:val="center"/>
          </w:tcPr>
          <w:p w14:paraId="002F827C" w14:textId="77777777" w:rsidR="00B14D53" w:rsidRDefault="00000000">
            <w:pPr>
              <w:contextualSpacing/>
              <w:jc w:val="center"/>
              <w:rPr>
                <w:szCs w:val="21"/>
              </w:rPr>
            </w:pPr>
            <w:r>
              <w:rPr>
                <w:rFonts w:hint="eastAsia"/>
                <w:szCs w:val="21"/>
              </w:rPr>
              <w:t>0.0294</w:t>
            </w:r>
          </w:p>
        </w:tc>
      </w:tr>
      <w:tr w:rsidR="00B14D53" w14:paraId="397A86F3" w14:textId="77777777">
        <w:trPr>
          <w:trHeight w:val="285"/>
          <w:jc w:val="center"/>
        </w:trPr>
        <w:tc>
          <w:tcPr>
            <w:tcW w:w="1053" w:type="pct"/>
            <w:vAlign w:val="center"/>
          </w:tcPr>
          <w:p w14:paraId="4D9B0134" w14:textId="77777777" w:rsidR="00B14D53" w:rsidRDefault="00000000">
            <w:pPr>
              <w:contextualSpacing/>
              <w:jc w:val="center"/>
              <w:rPr>
                <w:szCs w:val="21"/>
              </w:rPr>
            </w:pPr>
            <w:r>
              <w:rPr>
                <w:szCs w:val="21"/>
              </w:rPr>
              <w:t>100</w:t>
            </w:r>
          </w:p>
        </w:tc>
        <w:tc>
          <w:tcPr>
            <w:tcW w:w="1994" w:type="dxa"/>
            <w:vAlign w:val="center"/>
          </w:tcPr>
          <w:p w14:paraId="4E89F43E" w14:textId="77777777" w:rsidR="00B14D53" w:rsidRDefault="00000000">
            <w:pPr>
              <w:contextualSpacing/>
              <w:jc w:val="center"/>
              <w:rPr>
                <w:szCs w:val="21"/>
              </w:rPr>
            </w:pPr>
            <w:r>
              <w:rPr>
                <w:rFonts w:hint="eastAsia"/>
                <w:szCs w:val="21"/>
              </w:rPr>
              <w:t>0.0545</w:t>
            </w:r>
          </w:p>
        </w:tc>
        <w:tc>
          <w:tcPr>
            <w:tcW w:w="1566" w:type="dxa"/>
            <w:vAlign w:val="center"/>
          </w:tcPr>
          <w:p w14:paraId="1D6BCBE3" w14:textId="77777777" w:rsidR="00B14D53" w:rsidRDefault="00000000">
            <w:pPr>
              <w:contextualSpacing/>
              <w:jc w:val="center"/>
              <w:rPr>
                <w:szCs w:val="21"/>
              </w:rPr>
            </w:pPr>
            <w:r>
              <w:rPr>
                <w:rFonts w:hint="eastAsia"/>
                <w:szCs w:val="21"/>
              </w:rPr>
              <w:t>0.0272</w:t>
            </w:r>
          </w:p>
        </w:tc>
        <w:tc>
          <w:tcPr>
            <w:tcW w:w="1748" w:type="dxa"/>
            <w:vAlign w:val="center"/>
          </w:tcPr>
          <w:p w14:paraId="4B798361" w14:textId="77777777" w:rsidR="00B14D53" w:rsidRDefault="00000000">
            <w:pPr>
              <w:contextualSpacing/>
              <w:jc w:val="center"/>
              <w:rPr>
                <w:szCs w:val="21"/>
              </w:rPr>
            </w:pPr>
            <w:r>
              <w:rPr>
                <w:rFonts w:hint="eastAsia"/>
                <w:szCs w:val="21"/>
              </w:rPr>
              <w:t>0.0036</w:t>
            </w:r>
          </w:p>
        </w:tc>
        <w:tc>
          <w:tcPr>
            <w:tcW w:w="1784" w:type="dxa"/>
            <w:vAlign w:val="center"/>
          </w:tcPr>
          <w:p w14:paraId="0FB1F7C2" w14:textId="77777777" w:rsidR="00B14D53" w:rsidRDefault="00000000">
            <w:pPr>
              <w:contextualSpacing/>
              <w:jc w:val="center"/>
              <w:rPr>
                <w:szCs w:val="21"/>
              </w:rPr>
            </w:pPr>
            <w:r>
              <w:rPr>
                <w:rFonts w:hint="eastAsia"/>
                <w:szCs w:val="21"/>
              </w:rPr>
              <w:t>0.0363</w:t>
            </w:r>
          </w:p>
        </w:tc>
      </w:tr>
      <w:tr w:rsidR="00B14D53" w14:paraId="36D2CC4D" w14:textId="77777777">
        <w:trPr>
          <w:trHeight w:val="285"/>
          <w:jc w:val="center"/>
        </w:trPr>
        <w:tc>
          <w:tcPr>
            <w:tcW w:w="1053" w:type="pct"/>
            <w:vAlign w:val="center"/>
          </w:tcPr>
          <w:p w14:paraId="2C97D7F8" w14:textId="77777777" w:rsidR="00B14D53" w:rsidRDefault="00000000">
            <w:pPr>
              <w:contextualSpacing/>
              <w:jc w:val="center"/>
              <w:rPr>
                <w:szCs w:val="21"/>
              </w:rPr>
            </w:pPr>
            <w:r>
              <w:rPr>
                <w:szCs w:val="21"/>
              </w:rPr>
              <w:t>200</w:t>
            </w:r>
          </w:p>
        </w:tc>
        <w:tc>
          <w:tcPr>
            <w:tcW w:w="1994" w:type="dxa"/>
            <w:vAlign w:val="center"/>
          </w:tcPr>
          <w:p w14:paraId="584507B4" w14:textId="77777777" w:rsidR="00B14D53" w:rsidRDefault="00000000">
            <w:pPr>
              <w:contextualSpacing/>
              <w:jc w:val="center"/>
              <w:rPr>
                <w:szCs w:val="21"/>
              </w:rPr>
            </w:pPr>
            <w:r>
              <w:rPr>
                <w:rFonts w:hint="eastAsia"/>
                <w:szCs w:val="21"/>
              </w:rPr>
              <w:t>0.0551</w:t>
            </w:r>
          </w:p>
        </w:tc>
        <w:tc>
          <w:tcPr>
            <w:tcW w:w="1566" w:type="dxa"/>
            <w:vAlign w:val="center"/>
          </w:tcPr>
          <w:p w14:paraId="6B457096" w14:textId="77777777" w:rsidR="00B14D53" w:rsidRDefault="00000000">
            <w:pPr>
              <w:contextualSpacing/>
              <w:jc w:val="center"/>
              <w:rPr>
                <w:szCs w:val="21"/>
              </w:rPr>
            </w:pPr>
            <w:r>
              <w:rPr>
                <w:rFonts w:hint="eastAsia"/>
                <w:szCs w:val="21"/>
              </w:rPr>
              <w:t>0.0275</w:t>
            </w:r>
          </w:p>
        </w:tc>
        <w:tc>
          <w:tcPr>
            <w:tcW w:w="1748" w:type="dxa"/>
            <w:vAlign w:val="center"/>
          </w:tcPr>
          <w:p w14:paraId="61FD0F6B" w14:textId="77777777" w:rsidR="00B14D53" w:rsidRDefault="00000000">
            <w:pPr>
              <w:contextualSpacing/>
              <w:jc w:val="center"/>
              <w:rPr>
                <w:szCs w:val="21"/>
              </w:rPr>
            </w:pPr>
            <w:r>
              <w:rPr>
                <w:rFonts w:hint="eastAsia"/>
                <w:szCs w:val="21"/>
              </w:rPr>
              <w:t>0.0037</w:t>
            </w:r>
          </w:p>
        </w:tc>
        <w:tc>
          <w:tcPr>
            <w:tcW w:w="1784" w:type="dxa"/>
            <w:vAlign w:val="center"/>
          </w:tcPr>
          <w:p w14:paraId="44456F7C" w14:textId="77777777" w:rsidR="00B14D53" w:rsidRDefault="00000000">
            <w:pPr>
              <w:contextualSpacing/>
              <w:jc w:val="center"/>
              <w:rPr>
                <w:szCs w:val="21"/>
              </w:rPr>
            </w:pPr>
            <w:r>
              <w:rPr>
                <w:rFonts w:hint="eastAsia"/>
                <w:szCs w:val="21"/>
              </w:rPr>
              <w:t>0.0367</w:t>
            </w:r>
          </w:p>
        </w:tc>
      </w:tr>
      <w:tr w:rsidR="00B14D53" w14:paraId="256A26C7" w14:textId="77777777">
        <w:trPr>
          <w:trHeight w:val="285"/>
          <w:jc w:val="center"/>
        </w:trPr>
        <w:tc>
          <w:tcPr>
            <w:tcW w:w="1053" w:type="pct"/>
            <w:vAlign w:val="center"/>
          </w:tcPr>
          <w:p w14:paraId="4FF48129" w14:textId="77777777" w:rsidR="00B14D53" w:rsidRDefault="00000000">
            <w:pPr>
              <w:contextualSpacing/>
              <w:jc w:val="center"/>
              <w:rPr>
                <w:szCs w:val="21"/>
              </w:rPr>
            </w:pPr>
            <w:r>
              <w:rPr>
                <w:szCs w:val="21"/>
              </w:rPr>
              <w:t>300</w:t>
            </w:r>
          </w:p>
        </w:tc>
        <w:tc>
          <w:tcPr>
            <w:tcW w:w="1994" w:type="dxa"/>
            <w:vAlign w:val="center"/>
          </w:tcPr>
          <w:p w14:paraId="720BDDE7" w14:textId="77777777" w:rsidR="00B14D53" w:rsidRDefault="00000000">
            <w:pPr>
              <w:contextualSpacing/>
              <w:jc w:val="center"/>
              <w:rPr>
                <w:szCs w:val="21"/>
              </w:rPr>
            </w:pPr>
            <w:r>
              <w:rPr>
                <w:rFonts w:hint="eastAsia"/>
                <w:szCs w:val="21"/>
              </w:rPr>
              <w:t>0.0477</w:t>
            </w:r>
          </w:p>
        </w:tc>
        <w:tc>
          <w:tcPr>
            <w:tcW w:w="1566" w:type="dxa"/>
            <w:vAlign w:val="center"/>
          </w:tcPr>
          <w:p w14:paraId="4C4CE938" w14:textId="77777777" w:rsidR="00B14D53" w:rsidRDefault="00000000">
            <w:pPr>
              <w:contextualSpacing/>
              <w:jc w:val="center"/>
              <w:rPr>
                <w:szCs w:val="21"/>
              </w:rPr>
            </w:pPr>
            <w:r>
              <w:rPr>
                <w:rFonts w:hint="eastAsia"/>
                <w:szCs w:val="21"/>
              </w:rPr>
              <w:t>0.0238</w:t>
            </w:r>
          </w:p>
        </w:tc>
        <w:tc>
          <w:tcPr>
            <w:tcW w:w="1748" w:type="dxa"/>
            <w:vAlign w:val="center"/>
          </w:tcPr>
          <w:p w14:paraId="3D9BDE63" w14:textId="77777777" w:rsidR="00B14D53" w:rsidRDefault="00000000">
            <w:pPr>
              <w:contextualSpacing/>
              <w:jc w:val="center"/>
              <w:rPr>
                <w:szCs w:val="21"/>
              </w:rPr>
            </w:pPr>
            <w:r>
              <w:rPr>
                <w:rFonts w:hint="eastAsia"/>
                <w:szCs w:val="21"/>
              </w:rPr>
              <w:t>0.0032</w:t>
            </w:r>
          </w:p>
        </w:tc>
        <w:tc>
          <w:tcPr>
            <w:tcW w:w="1784" w:type="dxa"/>
            <w:vAlign w:val="center"/>
          </w:tcPr>
          <w:p w14:paraId="1FAF5C06" w14:textId="77777777" w:rsidR="00B14D53" w:rsidRDefault="00000000">
            <w:pPr>
              <w:contextualSpacing/>
              <w:jc w:val="center"/>
              <w:rPr>
                <w:szCs w:val="21"/>
              </w:rPr>
            </w:pPr>
            <w:r>
              <w:rPr>
                <w:rFonts w:hint="eastAsia"/>
                <w:szCs w:val="21"/>
              </w:rPr>
              <w:t>0.0318</w:t>
            </w:r>
          </w:p>
        </w:tc>
      </w:tr>
      <w:tr w:rsidR="00B14D53" w14:paraId="4D2E2A20" w14:textId="77777777">
        <w:trPr>
          <w:trHeight w:val="285"/>
          <w:jc w:val="center"/>
        </w:trPr>
        <w:tc>
          <w:tcPr>
            <w:tcW w:w="1053" w:type="pct"/>
            <w:vAlign w:val="center"/>
          </w:tcPr>
          <w:p w14:paraId="745E568A" w14:textId="77777777" w:rsidR="00B14D53" w:rsidRDefault="00000000">
            <w:pPr>
              <w:contextualSpacing/>
              <w:jc w:val="center"/>
              <w:rPr>
                <w:szCs w:val="21"/>
              </w:rPr>
            </w:pPr>
            <w:r>
              <w:rPr>
                <w:szCs w:val="21"/>
              </w:rPr>
              <w:t>400</w:t>
            </w:r>
          </w:p>
        </w:tc>
        <w:tc>
          <w:tcPr>
            <w:tcW w:w="1994" w:type="dxa"/>
            <w:vAlign w:val="center"/>
          </w:tcPr>
          <w:p w14:paraId="622AD974" w14:textId="77777777" w:rsidR="00B14D53" w:rsidRDefault="00000000">
            <w:pPr>
              <w:contextualSpacing/>
              <w:jc w:val="center"/>
              <w:rPr>
                <w:szCs w:val="21"/>
              </w:rPr>
            </w:pPr>
            <w:r>
              <w:rPr>
                <w:rFonts w:hint="eastAsia"/>
                <w:szCs w:val="21"/>
              </w:rPr>
              <w:t>0.0382</w:t>
            </w:r>
          </w:p>
        </w:tc>
        <w:tc>
          <w:tcPr>
            <w:tcW w:w="1566" w:type="dxa"/>
            <w:vAlign w:val="center"/>
          </w:tcPr>
          <w:p w14:paraId="20E51195" w14:textId="77777777" w:rsidR="00B14D53" w:rsidRDefault="00000000">
            <w:pPr>
              <w:contextualSpacing/>
              <w:jc w:val="center"/>
              <w:rPr>
                <w:szCs w:val="21"/>
              </w:rPr>
            </w:pPr>
            <w:r>
              <w:rPr>
                <w:rFonts w:hint="eastAsia"/>
                <w:szCs w:val="21"/>
              </w:rPr>
              <w:t>0.0191</w:t>
            </w:r>
          </w:p>
        </w:tc>
        <w:tc>
          <w:tcPr>
            <w:tcW w:w="1748" w:type="dxa"/>
            <w:vAlign w:val="center"/>
          </w:tcPr>
          <w:p w14:paraId="0EE03DD3" w14:textId="77777777" w:rsidR="00B14D53" w:rsidRDefault="00000000">
            <w:pPr>
              <w:contextualSpacing/>
              <w:jc w:val="center"/>
              <w:rPr>
                <w:szCs w:val="21"/>
              </w:rPr>
            </w:pPr>
            <w:r>
              <w:rPr>
                <w:rFonts w:hint="eastAsia"/>
                <w:szCs w:val="21"/>
              </w:rPr>
              <w:t>0.0026</w:t>
            </w:r>
          </w:p>
        </w:tc>
        <w:tc>
          <w:tcPr>
            <w:tcW w:w="1784" w:type="dxa"/>
            <w:vAlign w:val="center"/>
          </w:tcPr>
          <w:p w14:paraId="4BB08013" w14:textId="77777777" w:rsidR="00B14D53" w:rsidRDefault="00000000">
            <w:pPr>
              <w:contextualSpacing/>
              <w:jc w:val="center"/>
              <w:rPr>
                <w:szCs w:val="21"/>
              </w:rPr>
            </w:pPr>
            <w:r>
              <w:rPr>
                <w:rFonts w:hint="eastAsia"/>
                <w:szCs w:val="21"/>
              </w:rPr>
              <w:t>0.0255</w:t>
            </w:r>
          </w:p>
        </w:tc>
      </w:tr>
      <w:tr w:rsidR="00B14D53" w14:paraId="3F8CAB72" w14:textId="77777777">
        <w:trPr>
          <w:trHeight w:val="70"/>
          <w:jc w:val="center"/>
        </w:trPr>
        <w:tc>
          <w:tcPr>
            <w:tcW w:w="1053" w:type="pct"/>
            <w:vAlign w:val="center"/>
          </w:tcPr>
          <w:p w14:paraId="7F12E390" w14:textId="77777777" w:rsidR="00B14D53" w:rsidRDefault="00000000">
            <w:pPr>
              <w:contextualSpacing/>
              <w:jc w:val="center"/>
              <w:rPr>
                <w:szCs w:val="21"/>
              </w:rPr>
            </w:pPr>
            <w:r>
              <w:rPr>
                <w:szCs w:val="21"/>
              </w:rPr>
              <w:t>500</w:t>
            </w:r>
          </w:p>
        </w:tc>
        <w:tc>
          <w:tcPr>
            <w:tcW w:w="1994" w:type="dxa"/>
            <w:vAlign w:val="center"/>
          </w:tcPr>
          <w:p w14:paraId="12B118A1" w14:textId="77777777" w:rsidR="00B14D53" w:rsidRDefault="00000000">
            <w:pPr>
              <w:contextualSpacing/>
              <w:jc w:val="center"/>
              <w:rPr>
                <w:szCs w:val="21"/>
              </w:rPr>
            </w:pPr>
            <w:r>
              <w:rPr>
                <w:rFonts w:hint="eastAsia"/>
                <w:szCs w:val="21"/>
              </w:rPr>
              <w:t>0.0314</w:t>
            </w:r>
          </w:p>
        </w:tc>
        <w:tc>
          <w:tcPr>
            <w:tcW w:w="1709" w:type="dxa"/>
            <w:vAlign w:val="center"/>
          </w:tcPr>
          <w:p w14:paraId="2F0AA225" w14:textId="77777777" w:rsidR="00B14D53" w:rsidRDefault="00000000">
            <w:pPr>
              <w:contextualSpacing/>
              <w:jc w:val="center"/>
              <w:rPr>
                <w:szCs w:val="21"/>
              </w:rPr>
            </w:pPr>
            <w:r>
              <w:rPr>
                <w:rFonts w:hint="eastAsia"/>
                <w:szCs w:val="21"/>
              </w:rPr>
              <w:t>0.0157</w:t>
            </w:r>
          </w:p>
        </w:tc>
        <w:tc>
          <w:tcPr>
            <w:tcW w:w="1748" w:type="dxa"/>
            <w:vAlign w:val="center"/>
          </w:tcPr>
          <w:p w14:paraId="45FB2E1F" w14:textId="77777777" w:rsidR="00B14D53" w:rsidRDefault="00000000">
            <w:pPr>
              <w:contextualSpacing/>
              <w:jc w:val="center"/>
              <w:rPr>
                <w:szCs w:val="21"/>
              </w:rPr>
            </w:pPr>
            <w:r>
              <w:rPr>
                <w:rFonts w:hint="eastAsia"/>
                <w:szCs w:val="21"/>
              </w:rPr>
              <w:t>0.0021</w:t>
            </w:r>
          </w:p>
        </w:tc>
        <w:tc>
          <w:tcPr>
            <w:tcW w:w="1784" w:type="dxa"/>
            <w:vAlign w:val="center"/>
          </w:tcPr>
          <w:p w14:paraId="50253C71" w14:textId="77777777" w:rsidR="00B14D53" w:rsidRDefault="00000000">
            <w:pPr>
              <w:contextualSpacing/>
              <w:jc w:val="center"/>
              <w:rPr>
                <w:szCs w:val="21"/>
              </w:rPr>
            </w:pPr>
            <w:r>
              <w:rPr>
                <w:rFonts w:hint="eastAsia"/>
                <w:szCs w:val="21"/>
              </w:rPr>
              <w:t>0.0209</w:t>
            </w:r>
          </w:p>
        </w:tc>
      </w:tr>
      <w:tr w:rsidR="00B14D53" w14:paraId="5B60C100" w14:textId="77777777">
        <w:trPr>
          <w:trHeight w:val="285"/>
          <w:jc w:val="center"/>
        </w:trPr>
        <w:tc>
          <w:tcPr>
            <w:tcW w:w="1053" w:type="pct"/>
            <w:vAlign w:val="center"/>
          </w:tcPr>
          <w:p w14:paraId="1299F993" w14:textId="77777777" w:rsidR="00B14D53" w:rsidRDefault="00000000">
            <w:pPr>
              <w:contextualSpacing/>
              <w:jc w:val="center"/>
              <w:rPr>
                <w:szCs w:val="21"/>
              </w:rPr>
            </w:pPr>
            <w:r>
              <w:rPr>
                <w:szCs w:val="21"/>
              </w:rPr>
              <w:t>600</w:t>
            </w:r>
          </w:p>
        </w:tc>
        <w:tc>
          <w:tcPr>
            <w:tcW w:w="1994" w:type="dxa"/>
            <w:vAlign w:val="center"/>
          </w:tcPr>
          <w:p w14:paraId="380848FB" w14:textId="77777777" w:rsidR="00B14D53" w:rsidRDefault="00000000">
            <w:pPr>
              <w:contextualSpacing/>
              <w:jc w:val="center"/>
              <w:rPr>
                <w:szCs w:val="21"/>
              </w:rPr>
            </w:pPr>
            <w:r>
              <w:rPr>
                <w:rFonts w:hint="eastAsia"/>
                <w:szCs w:val="21"/>
              </w:rPr>
              <w:t>0.0293</w:t>
            </w:r>
          </w:p>
        </w:tc>
        <w:tc>
          <w:tcPr>
            <w:tcW w:w="1709" w:type="dxa"/>
            <w:vAlign w:val="center"/>
          </w:tcPr>
          <w:p w14:paraId="30E49116" w14:textId="77777777" w:rsidR="00B14D53" w:rsidRDefault="00000000">
            <w:pPr>
              <w:contextualSpacing/>
              <w:jc w:val="center"/>
              <w:rPr>
                <w:szCs w:val="21"/>
              </w:rPr>
            </w:pPr>
            <w:r>
              <w:rPr>
                <w:rFonts w:hint="eastAsia"/>
                <w:szCs w:val="21"/>
              </w:rPr>
              <w:t>0.0147</w:t>
            </w:r>
          </w:p>
        </w:tc>
        <w:tc>
          <w:tcPr>
            <w:tcW w:w="1748" w:type="dxa"/>
            <w:vAlign w:val="center"/>
          </w:tcPr>
          <w:p w14:paraId="4B9ED2E8" w14:textId="77777777" w:rsidR="00B14D53" w:rsidRDefault="00000000">
            <w:pPr>
              <w:contextualSpacing/>
              <w:jc w:val="center"/>
              <w:rPr>
                <w:szCs w:val="21"/>
              </w:rPr>
            </w:pPr>
            <w:r>
              <w:rPr>
                <w:rFonts w:hint="eastAsia"/>
                <w:szCs w:val="21"/>
              </w:rPr>
              <w:t>0.0020</w:t>
            </w:r>
          </w:p>
        </w:tc>
        <w:tc>
          <w:tcPr>
            <w:tcW w:w="1784" w:type="dxa"/>
            <w:vAlign w:val="center"/>
          </w:tcPr>
          <w:p w14:paraId="270DE6EC" w14:textId="77777777" w:rsidR="00B14D53" w:rsidRDefault="00000000">
            <w:pPr>
              <w:contextualSpacing/>
              <w:jc w:val="center"/>
              <w:rPr>
                <w:szCs w:val="21"/>
              </w:rPr>
            </w:pPr>
            <w:r>
              <w:rPr>
                <w:rFonts w:hint="eastAsia"/>
                <w:szCs w:val="21"/>
              </w:rPr>
              <w:t>0.0196</w:t>
            </w:r>
          </w:p>
        </w:tc>
      </w:tr>
      <w:tr w:rsidR="00B14D53" w14:paraId="2E3AFA2E" w14:textId="77777777">
        <w:trPr>
          <w:trHeight w:val="285"/>
          <w:jc w:val="center"/>
        </w:trPr>
        <w:tc>
          <w:tcPr>
            <w:tcW w:w="1053" w:type="pct"/>
            <w:vAlign w:val="center"/>
          </w:tcPr>
          <w:p w14:paraId="29D911F7" w14:textId="77777777" w:rsidR="00B14D53" w:rsidRDefault="00000000">
            <w:pPr>
              <w:contextualSpacing/>
              <w:jc w:val="center"/>
              <w:rPr>
                <w:szCs w:val="21"/>
              </w:rPr>
            </w:pPr>
            <w:r>
              <w:rPr>
                <w:szCs w:val="21"/>
              </w:rPr>
              <w:t>700</w:t>
            </w:r>
          </w:p>
        </w:tc>
        <w:tc>
          <w:tcPr>
            <w:tcW w:w="1994" w:type="dxa"/>
            <w:vAlign w:val="center"/>
          </w:tcPr>
          <w:p w14:paraId="0792F8F7" w14:textId="77777777" w:rsidR="00B14D53" w:rsidRDefault="00000000">
            <w:pPr>
              <w:contextualSpacing/>
              <w:jc w:val="center"/>
              <w:rPr>
                <w:szCs w:val="21"/>
              </w:rPr>
            </w:pPr>
            <w:r>
              <w:rPr>
                <w:rFonts w:hint="eastAsia"/>
                <w:szCs w:val="21"/>
              </w:rPr>
              <w:t>0.0278</w:t>
            </w:r>
          </w:p>
        </w:tc>
        <w:tc>
          <w:tcPr>
            <w:tcW w:w="1709" w:type="dxa"/>
            <w:vAlign w:val="center"/>
          </w:tcPr>
          <w:p w14:paraId="2C65D31B" w14:textId="77777777" w:rsidR="00B14D53" w:rsidRDefault="00000000">
            <w:pPr>
              <w:contextualSpacing/>
              <w:jc w:val="center"/>
              <w:rPr>
                <w:szCs w:val="21"/>
              </w:rPr>
            </w:pPr>
            <w:r>
              <w:rPr>
                <w:rFonts w:hint="eastAsia"/>
                <w:szCs w:val="21"/>
              </w:rPr>
              <w:t>0.0139</w:t>
            </w:r>
          </w:p>
        </w:tc>
        <w:tc>
          <w:tcPr>
            <w:tcW w:w="1748" w:type="dxa"/>
            <w:vAlign w:val="center"/>
          </w:tcPr>
          <w:p w14:paraId="59606F33" w14:textId="77777777" w:rsidR="00B14D53" w:rsidRDefault="00000000">
            <w:pPr>
              <w:contextualSpacing/>
              <w:jc w:val="center"/>
              <w:rPr>
                <w:szCs w:val="21"/>
              </w:rPr>
            </w:pPr>
            <w:r>
              <w:rPr>
                <w:rFonts w:hint="eastAsia"/>
                <w:szCs w:val="21"/>
              </w:rPr>
              <w:t>0.0019</w:t>
            </w:r>
          </w:p>
        </w:tc>
        <w:tc>
          <w:tcPr>
            <w:tcW w:w="1784" w:type="dxa"/>
            <w:vAlign w:val="center"/>
          </w:tcPr>
          <w:p w14:paraId="6396E0CD" w14:textId="77777777" w:rsidR="00B14D53" w:rsidRDefault="00000000">
            <w:pPr>
              <w:contextualSpacing/>
              <w:jc w:val="center"/>
              <w:rPr>
                <w:szCs w:val="21"/>
              </w:rPr>
            </w:pPr>
            <w:r>
              <w:rPr>
                <w:rFonts w:hint="eastAsia"/>
                <w:szCs w:val="21"/>
              </w:rPr>
              <w:t>0.0185</w:t>
            </w:r>
          </w:p>
        </w:tc>
      </w:tr>
      <w:tr w:rsidR="00B14D53" w14:paraId="33888247" w14:textId="77777777">
        <w:trPr>
          <w:trHeight w:val="285"/>
          <w:jc w:val="center"/>
        </w:trPr>
        <w:tc>
          <w:tcPr>
            <w:tcW w:w="1053" w:type="pct"/>
            <w:vAlign w:val="center"/>
          </w:tcPr>
          <w:p w14:paraId="279C8B28" w14:textId="77777777" w:rsidR="00B14D53" w:rsidRDefault="00000000">
            <w:pPr>
              <w:contextualSpacing/>
              <w:jc w:val="center"/>
              <w:rPr>
                <w:szCs w:val="21"/>
              </w:rPr>
            </w:pPr>
            <w:r>
              <w:rPr>
                <w:szCs w:val="21"/>
              </w:rPr>
              <w:t>800</w:t>
            </w:r>
          </w:p>
        </w:tc>
        <w:tc>
          <w:tcPr>
            <w:tcW w:w="1994" w:type="dxa"/>
            <w:vAlign w:val="center"/>
          </w:tcPr>
          <w:p w14:paraId="3B934C35" w14:textId="77777777" w:rsidR="00B14D53" w:rsidRDefault="00000000">
            <w:pPr>
              <w:contextualSpacing/>
              <w:jc w:val="center"/>
              <w:rPr>
                <w:szCs w:val="21"/>
              </w:rPr>
            </w:pPr>
            <w:r>
              <w:rPr>
                <w:rFonts w:hint="eastAsia"/>
                <w:szCs w:val="21"/>
              </w:rPr>
              <w:t>0.0260</w:t>
            </w:r>
          </w:p>
        </w:tc>
        <w:tc>
          <w:tcPr>
            <w:tcW w:w="1709" w:type="dxa"/>
            <w:vAlign w:val="center"/>
          </w:tcPr>
          <w:p w14:paraId="1CDF5C75" w14:textId="77777777" w:rsidR="00B14D53" w:rsidRDefault="00000000">
            <w:pPr>
              <w:contextualSpacing/>
              <w:jc w:val="center"/>
              <w:rPr>
                <w:szCs w:val="21"/>
              </w:rPr>
            </w:pPr>
            <w:r>
              <w:rPr>
                <w:rFonts w:hint="eastAsia"/>
                <w:szCs w:val="21"/>
              </w:rPr>
              <w:t>0.0130</w:t>
            </w:r>
          </w:p>
        </w:tc>
        <w:tc>
          <w:tcPr>
            <w:tcW w:w="1748" w:type="dxa"/>
            <w:vAlign w:val="center"/>
          </w:tcPr>
          <w:p w14:paraId="3FEAA7C1" w14:textId="77777777" w:rsidR="00B14D53" w:rsidRDefault="00000000">
            <w:pPr>
              <w:contextualSpacing/>
              <w:jc w:val="center"/>
              <w:rPr>
                <w:szCs w:val="21"/>
              </w:rPr>
            </w:pPr>
            <w:r>
              <w:rPr>
                <w:rFonts w:hint="eastAsia"/>
                <w:szCs w:val="21"/>
              </w:rPr>
              <w:t>0.0017</w:t>
            </w:r>
          </w:p>
        </w:tc>
        <w:tc>
          <w:tcPr>
            <w:tcW w:w="1784" w:type="dxa"/>
            <w:vAlign w:val="center"/>
          </w:tcPr>
          <w:p w14:paraId="28327A3F" w14:textId="77777777" w:rsidR="00B14D53" w:rsidRDefault="00000000">
            <w:pPr>
              <w:contextualSpacing/>
              <w:jc w:val="center"/>
              <w:rPr>
                <w:szCs w:val="21"/>
              </w:rPr>
            </w:pPr>
            <w:r>
              <w:rPr>
                <w:rFonts w:hint="eastAsia"/>
                <w:szCs w:val="21"/>
              </w:rPr>
              <w:t>0.0173</w:t>
            </w:r>
          </w:p>
        </w:tc>
      </w:tr>
      <w:tr w:rsidR="00B14D53" w14:paraId="208C3FA1" w14:textId="77777777">
        <w:trPr>
          <w:trHeight w:val="285"/>
          <w:jc w:val="center"/>
        </w:trPr>
        <w:tc>
          <w:tcPr>
            <w:tcW w:w="1053" w:type="pct"/>
            <w:vAlign w:val="center"/>
          </w:tcPr>
          <w:p w14:paraId="16FAAAE6" w14:textId="77777777" w:rsidR="00B14D53" w:rsidRDefault="00000000">
            <w:pPr>
              <w:contextualSpacing/>
              <w:jc w:val="center"/>
              <w:rPr>
                <w:szCs w:val="21"/>
              </w:rPr>
            </w:pPr>
            <w:r>
              <w:rPr>
                <w:szCs w:val="21"/>
              </w:rPr>
              <w:t>900</w:t>
            </w:r>
          </w:p>
        </w:tc>
        <w:tc>
          <w:tcPr>
            <w:tcW w:w="1994" w:type="dxa"/>
            <w:vAlign w:val="center"/>
          </w:tcPr>
          <w:p w14:paraId="297AE983" w14:textId="77777777" w:rsidR="00B14D53" w:rsidRDefault="00000000">
            <w:pPr>
              <w:contextualSpacing/>
              <w:jc w:val="center"/>
              <w:rPr>
                <w:szCs w:val="21"/>
              </w:rPr>
            </w:pPr>
            <w:r>
              <w:rPr>
                <w:rFonts w:hint="eastAsia"/>
                <w:szCs w:val="21"/>
              </w:rPr>
              <w:t>0.0244</w:t>
            </w:r>
          </w:p>
        </w:tc>
        <w:tc>
          <w:tcPr>
            <w:tcW w:w="1709" w:type="dxa"/>
            <w:vAlign w:val="center"/>
          </w:tcPr>
          <w:p w14:paraId="6B5D03A7" w14:textId="77777777" w:rsidR="00B14D53" w:rsidRDefault="00000000">
            <w:pPr>
              <w:contextualSpacing/>
              <w:jc w:val="center"/>
              <w:rPr>
                <w:szCs w:val="21"/>
              </w:rPr>
            </w:pPr>
            <w:r>
              <w:rPr>
                <w:rFonts w:hint="eastAsia"/>
                <w:szCs w:val="21"/>
              </w:rPr>
              <w:t>0.0122</w:t>
            </w:r>
          </w:p>
        </w:tc>
        <w:tc>
          <w:tcPr>
            <w:tcW w:w="1748" w:type="dxa"/>
            <w:vAlign w:val="center"/>
          </w:tcPr>
          <w:p w14:paraId="6A621F4B" w14:textId="77777777" w:rsidR="00B14D53" w:rsidRDefault="00000000">
            <w:pPr>
              <w:contextualSpacing/>
              <w:jc w:val="center"/>
              <w:rPr>
                <w:szCs w:val="21"/>
              </w:rPr>
            </w:pPr>
            <w:r>
              <w:rPr>
                <w:rFonts w:hint="eastAsia"/>
                <w:szCs w:val="21"/>
              </w:rPr>
              <w:t>0.0016</w:t>
            </w:r>
          </w:p>
        </w:tc>
        <w:tc>
          <w:tcPr>
            <w:tcW w:w="1784" w:type="dxa"/>
            <w:vAlign w:val="center"/>
          </w:tcPr>
          <w:p w14:paraId="51576360" w14:textId="77777777" w:rsidR="00B14D53" w:rsidRDefault="00000000">
            <w:pPr>
              <w:contextualSpacing/>
              <w:jc w:val="center"/>
              <w:rPr>
                <w:szCs w:val="21"/>
              </w:rPr>
            </w:pPr>
            <w:r>
              <w:rPr>
                <w:rFonts w:hint="eastAsia"/>
                <w:szCs w:val="21"/>
              </w:rPr>
              <w:t>0.0163</w:t>
            </w:r>
          </w:p>
        </w:tc>
      </w:tr>
      <w:tr w:rsidR="00B14D53" w14:paraId="677F1DAC" w14:textId="77777777">
        <w:trPr>
          <w:trHeight w:val="164"/>
          <w:jc w:val="center"/>
        </w:trPr>
        <w:tc>
          <w:tcPr>
            <w:tcW w:w="1053" w:type="pct"/>
            <w:vAlign w:val="center"/>
          </w:tcPr>
          <w:p w14:paraId="3F71D097" w14:textId="77777777" w:rsidR="00B14D53" w:rsidRDefault="00000000">
            <w:pPr>
              <w:contextualSpacing/>
              <w:jc w:val="center"/>
              <w:rPr>
                <w:szCs w:val="21"/>
              </w:rPr>
            </w:pPr>
            <w:r>
              <w:rPr>
                <w:szCs w:val="21"/>
              </w:rPr>
              <w:t>1000</w:t>
            </w:r>
          </w:p>
        </w:tc>
        <w:tc>
          <w:tcPr>
            <w:tcW w:w="1994" w:type="dxa"/>
            <w:vAlign w:val="center"/>
          </w:tcPr>
          <w:p w14:paraId="0C5C072D" w14:textId="77777777" w:rsidR="00B14D53" w:rsidRDefault="00000000">
            <w:pPr>
              <w:contextualSpacing/>
              <w:jc w:val="center"/>
              <w:rPr>
                <w:szCs w:val="21"/>
              </w:rPr>
            </w:pPr>
            <w:r>
              <w:rPr>
                <w:rFonts w:hint="eastAsia"/>
                <w:szCs w:val="21"/>
              </w:rPr>
              <w:t>0.0228</w:t>
            </w:r>
          </w:p>
        </w:tc>
        <w:tc>
          <w:tcPr>
            <w:tcW w:w="1709" w:type="dxa"/>
            <w:vAlign w:val="center"/>
          </w:tcPr>
          <w:p w14:paraId="418C066A" w14:textId="77777777" w:rsidR="00B14D53" w:rsidRDefault="00000000">
            <w:pPr>
              <w:contextualSpacing/>
              <w:jc w:val="center"/>
              <w:rPr>
                <w:szCs w:val="21"/>
              </w:rPr>
            </w:pPr>
            <w:r>
              <w:rPr>
                <w:rFonts w:hint="eastAsia"/>
                <w:szCs w:val="21"/>
              </w:rPr>
              <w:t>0.0114</w:t>
            </w:r>
          </w:p>
        </w:tc>
        <w:tc>
          <w:tcPr>
            <w:tcW w:w="1748" w:type="dxa"/>
            <w:vAlign w:val="center"/>
          </w:tcPr>
          <w:p w14:paraId="33DEEBC6" w14:textId="77777777" w:rsidR="00B14D53" w:rsidRDefault="00000000">
            <w:pPr>
              <w:contextualSpacing/>
              <w:jc w:val="center"/>
              <w:rPr>
                <w:szCs w:val="21"/>
              </w:rPr>
            </w:pPr>
            <w:r>
              <w:rPr>
                <w:rFonts w:hint="eastAsia"/>
                <w:szCs w:val="21"/>
              </w:rPr>
              <w:t>0.0015</w:t>
            </w:r>
          </w:p>
        </w:tc>
        <w:tc>
          <w:tcPr>
            <w:tcW w:w="1784" w:type="dxa"/>
            <w:vAlign w:val="center"/>
          </w:tcPr>
          <w:p w14:paraId="0A07C78D" w14:textId="77777777" w:rsidR="00B14D53" w:rsidRDefault="00000000">
            <w:pPr>
              <w:contextualSpacing/>
              <w:jc w:val="center"/>
              <w:rPr>
                <w:szCs w:val="21"/>
              </w:rPr>
            </w:pPr>
            <w:r>
              <w:rPr>
                <w:rFonts w:hint="eastAsia"/>
                <w:szCs w:val="21"/>
              </w:rPr>
              <w:t>0.0152</w:t>
            </w:r>
          </w:p>
        </w:tc>
      </w:tr>
      <w:tr w:rsidR="00B14D53" w14:paraId="2013B673" w14:textId="77777777">
        <w:trPr>
          <w:trHeight w:val="285"/>
          <w:jc w:val="center"/>
        </w:trPr>
        <w:tc>
          <w:tcPr>
            <w:tcW w:w="1053" w:type="pct"/>
            <w:vAlign w:val="center"/>
          </w:tcPr>
          <w:p w14:paraId="12A24B32" w14:textId="77777777" w:rsidR="00B14D53" w:rsidRDefault="00000000">
            <w:pPr>
              <w:contextualSpacing/>
              <w:jc w:val="center"/>
              <w:rPr>
                <w:szCs w:val="21"/>
              </w:rPr>
            </w:pPr>
            <w:r>
              <w:rPr>
                <w:szCs w:val="21"/>
              </w:rPr>
              <w:t>1600</w:t>
            </w:r>
          </w:p>
        </w:tc>
        <w:tc>
          <w:tcPr>
            <w:tcW w:w="1994" w:type="dxa"/>
            <w:vAlign w:val="center"/>
          </w:tcPr>
          <w:p w14:paraId="772B6C5E" w14:textId="77777777" w:rsidR="00B14D53" w:rsidRDefault="00000000">
            <w:pPr>
              <w:contextualSpacing/>
              <w:jc w:val="center"/>
              <w:rPr>
                <w:szCs w:val="21"/>
              </w:rPr>
            </w:pPr>
            <w:r>
              <w:rPr>
                <w:rFonts w:hint="eastAsia"/>
                <w:szCs w:val="21"/>
              </w:rPr>
              <w:t>0.0290</w:t>
            </w:r>
          </w:p>
        </w:tc>
        <w:tc>
          <w:tcPr>
            <w:tcW w:w="1566" w:type="dxa"/>
            <w:vAlign w:val="center"/>
          </w:tcPr>
          <w:p w14:paraId="57E93C9F" w14:textId="77777777" w:rsidR="00B14D53" w:rsidRDefault="00000000">
            <w:pPr>
              <w:contextualSpacing/>
              <w:jc w:val="center"/>
              <w:rPr>
                <w:szCs w:val="21"/>
              </w:rPr>
            </w:pPr>
            <w:r>
              <w:rPr>
                <w:rFonts w:hint="eastAsia"/>
                <w:szCs w:val="21"/>
              </w:rPr>
              <w:t>0.0145</w:t>
            </w:r>
          </w:p>
        </w:tc>
        <w:tc>
          <w:tcPr>
            <w:tcW w:w="1748" w:type="dxa"/>
            <w:vAlign w:val="center"/>
          </w:tcPr>
          <w:p w14:paraId="29C77DF3" w14:textId="77777777" w:rsidR="00B14D53" w:rsidRDefault="00000000">
            <w:pPr>
              <w:contextualSpacing/>
              <w:jc w:val="center"/>
              <w:rPr>
                <w:szCs w:val="21"/>
              </w:rPr>
            </w:pPr>
            <w:r>
              <w:rPr>
                <w:rFonts w:hint="eastAsia"/>
                <w:szCs w:val="21"/>
              </w:rPr>
              <w:t>0.0019</w:t>
            </w:r>
          </w:p>
        </w:tc>
        <w:tc>
          <w:tcPr>
            <w:tcW w:w="1784" w:type="dxa"/>
            <w:vAlign w:val="center"/>
          </w:tcPr>
          <w:p w14:paraId="6537931D" w14:textId="77777777" w:rsidR="00B14D53" w:rsidRDefault="00000000">
            <w:pPr>
              <w:contextualSpacing/>
              <w:jc w:val="center"/>
              <w:rPr>
                <w:szCs w:val="21"/>
              </w:rPr>
            </w:pPr>
            <w:r>
              <w:rPr>
                <w:rFonts w:hint="eastAsia"/>
                <w:szCs w:val="21"/>
              </w:rPr>
              <w:t>0.0194</w:t>
            </w:r>
          </w:p>
        </w:tc>
      </w:tr>
      <w:tr w:rsidR="00B14D53" w14:paraId="74AE3E8C" w14:textId="77777777">
        <w:trPr>
          <w:trHeight w:val="285"/>
          <w:jc w:val="center"/>
        </w:trPr>
        <w:tc>
          <w:tcPr>
            <w:tcW w:w="1053" w:type="pct"/>
            <w:vAlign w:val="center"/>
          </w:tcPr>
          <w:p w14:paraId="2F4B175F" w14:textId="77777777" w:rsidR="00B14D53" w:rsidRDefault="00000000">
            <w:pPr>
              <w:contextualSpacing/>
              <w:jc w:val="center"/>
              <w:rPr>
                <w:szCs w:val="21"/>
              </w:rPr>
            </w:pPr>
            <w:r>
              <w:rPr>
                <w:szCs w:val="21"/>
              </w:rPr>
              <w:t>2000</w:t>
            </w:r>
          </w:p>
        </w:tc>
        <w:tc>
          <w:tcPr>
            <w:tcW w:w="1994" w:type="dxa"/>
            <w:vAlign w:val="center"/>
          </w:tcPr>
          <w:p w14:paraId="6ECC56D3" w14:textId="77777777" w:rsidR="00B14D53" w:rsidRDefault="00000000">
            <w:pPr>
              <w:contextualSpacing/>
              <w:jc w:val="center"/>
              <w:rPr>
                <w:szCs w:val="21"/>
              </w:rPr>
            </w:pPr>
            <w:r>
              <w:rPr>
                <w:rFonts w:hint="eastAsia"/>
                <w:szCs w:val="21"/>
              </w:rPr>
              <w:t>0.0447</w:t>
            </w:r>
          </w:p>
        </w:tc>
        <w:tc>
          <w:tcPr>
            <w:tcW w:w="1709" w:type="dxa"/>
            <w:vAlign w:val="center"/>
          </w:tcPr>
          <w:p w14:paraId="302BC926" w14:textId="77777777" w:rsidR="00B14D53" w:rsidRDefault="00000000">
            <w:pPr>
              <w:contextualSpacing/>
              <w:jc w:val="center"/>
              <w:rPr>
                <w:szCs w:val="21"/>
              </w:rPr>
            </w:pPr>
            <w:r>
              <w:rPr>
                <w:rFonts w:hint="eastAsia"/>
                <w:szCs w:val="21"/>
              </w:rPr>
              <w:t>0.0223</w:t>
            </w:r>
          </w:p>
        </w:tc>
        <w:tc>
          <w:tcPr>
            <w:tcW w:w="1748" w:type="dxa"/>
            <w:vAlign w:val="center"/>
          </w:tcPr>
          <w:p w14:paraId="1AD0913F" w14:textId="77777777" w:rsidR="00B14D53" w:rsidRDefault="00000000">
            <w:pPr>
              <w:contextualSpacing/>
              <w:jc w:val="center"/>
              <w:rPr>
                <w:szCs w:val="21"/>
              </w:rPr>
            </w:pPr>
            <w:r>
              <w:rPr>
                <w:rFonts w:hint="eastAsia"/>
                <w:szCs w:val="21"/>
              </w:rPr>
              <w:t>0.0030</w:t>
            </w:r>
          </w:p>
        </w:tc>
        <w:tc>
          <w:tcPr>
            <w:tcW w:w="1784" w:type="dxa"/>
            <w:vAlign w:val="center"/>
          </w:tcPr>
          <w:p w14:paraId="4E60DA94" w14:textId="77777777" w:rsidR="00B14D53" w:rsidRDefault="00000000">
            <w:pPr>
              <w:contextualSpacing/>
              <w:jc w:val="center"/>
              <w:rPr>
                <w:szCs w:val="21"/>
              </w:rPr>
            </w:pPr>
            <w:r>
              <w:rPr>
                <w:rFonts w:hint="eastAsia"/>
                <w:szCs w:val="21"/>
              </w:rPr>
              <w:t>0.0298</w:t>
            </w:r>
          </w:p>
        </w:tc>
      </w:tr>
      <w:tr w:rsidR="00B14D53" w14:paraId="4FF79ADF" w14:textId="77777777">
        <w:trPr>
          <w:trHeight w:val="285"/>
          <w:jc w:val="center"/>
        </w:trPr>
        <w:tc>
          <w:tcPr>
            <w:tcW w:w="1053" w:type="pct"/>
            <w:vAlign w:val="center"/>
          </w:tcPr>
          <w:p w14:paraId="5BA27872" w14:textId="77777777" w:rsidR="00B14D53" w:rsidRDefault="00000000">
            <w:pPr>
              <w:contextualSpacing/>
              <w:jc w:val="center"/>
              <w:rPr>
                <w:szCs w:val="21"/>
              </w:rPr>
            </w:pPr>
            <w:r>
              <w:rPr>
                <w:szCs w:val="21"/>
              </w:rPr>
              <w:t>2500</w:t>
            </w:r>
          </w:p>
        </w:tc>
        <w:tc>
          <w:tcPr>
            <w:tcW w:w="1994" w:type="dxa"/>
            <w:vAlign w:val="center"/>
          </w:tcPr>
          <w:p w14:paraId="02F3835C" w14:textId="77777777" w:rsidR="00B14D53" w:rsidRDefault="00000000">
            <w:pPr>
              <w:contextualSpacing/>
              <w:jc w:val="center"/>
              <w:rPr>
                <w:szCs w:val="21"/>
              </w:rPr>
            </w:pPr>
            <w:r>
              <w:rPr>
                <w:rFonts w:hint="eastAsia"/>
                <w:szCs w:val="21"/>
              </w:rPr>
              <w:t>0.0333</w:t>
            </w:r>
          </w:p>
        </w:tc>
        <w:tc>
          <w:tcPr>
            <w:tcW w:w="1709" w:type="dxa"/>
            <w:vAlign w:val="center"/>
          </w:tcPr>
          <w:p w14:paraId="53032102" w14:textId="77777777" w:rsidR="00B14D53" w:rsidRDefault="00000000">
            <w:pPr>
              <w:contextualSpacing/>
              <w:jc w:val="center"/>
              <w:rPr>
                <w:szCs w:val="21"/>
              </w:rPr>
            </w:pPr>
            <w:r>
              <w:rPr>
                <w:rFonts w:hint="eastAsia"/>
                <w:szCs w:val="21"/>
              </w:rPr>
              <w:t>0.0167</w:t>
            </w:r>
          </w:p>
        </w:tc>
        <w:tc>
          <w:tcPr>
            <w:tcW w:w="1748" w:type="dxa"/>
            <w:vAlign w:val="center"/>
          </w:tcPr>
          <w:p w14:paraId="3A163999" w14:textId="77777777" w:rsidR="00B14D53" w:rsidRDefault="00000000">
            <w:pPr>
              <w:contextualSpacing/>
              <w:jc w:val="center"/>
              <w:rPr>
                <w:szCs w:val="21"/>
              </w:rPr>
            </w:pPr>
            <w:r>
              <w:rPr>
                <w:rFonts w:hint="eastAsia"/>
                <w:szCs w:val="21"/>
              </w:rPr>
              <w:t>0.0022</w:t>
            </w:r>
          </w:p>
        </w:tc>
        <w:tc>
          <w:tcPr>
            <w:tcW w:w="1784" w:type="dxa"/>
            <w:vAlign w:val="center"/>
          </w:tcPr>
          <w:p w14:paraId="01AC7455" w14:textId="77777777" w:rsidR="00B14D53" w:rsidRDefault="00000000">
            <w:pPr>
              <w:contextualSpacing/>
              <w:jc w:val="center"/>
              <w:rPr>
                <w:szCs w:val="21"/>
              </w:rPr>
            </w:pPr>
            <w:r>
              <w:rPr>
                <w:rFonts w:hint="eastAsia"/>
                <w:szCs w:val="21"/>
              </w:rPr>
              <w:t>0.0222</w:t>
            </w:r>
          </w:p>
        </w:tc>
      </w:tr>
      <w:tr w:rsidR="00B14D53" w14:paraId="01C3E8BA" w14:textId="77777777">
        <w:trPr>
          <w:trHeight w:val="285"/>
          <w:jc w:val="center"/>
        </w:trPr>
        <w:tc>
          <w:tcPr>
            <w:tcW w:w="1053" w:type="pct"/>
            <w:vAlign w:val="center"/>
          </w:tcPr>
          <w:p w14:paraId="68FD4D7B" w14:textId="77777777" w:rsidR="00B14D53" w:rsidRDefault="00000000">
            <w:pPr>
              <w:contextualSpacing/>
              <w:jc w:val="center"/>
              <w:rPr>
                <w:szCs w:val="21"/>
              </w:rPr>
            </w:pPr>
            <w:r>
              <w:rPr>
                <w:szCs w:val="21"/>
              </w:rPr>
              <w:t>10000</w:t>
            </w:r>
          </w:p>
        </w:tc>
        <w:tc>
          <w:tcPr>
            <w:tcW w:w="1994" w:type="dxa"/>
            <w:vAlign w:val="center"/>
          </w:tcPr>
          <w:p w14:paraId="58924AD0" w14:textId="77777777" w:rsidR="00B14D53" w:rsidRDefault="00000000">
            <w:pPr>
              <w:contextualSpacing/>
              <w:jc w:val="center"/>
              <w:rPr>
                <w:szCs w:val="21"/>
              </w:rPr>
            </w:pPr>
            <w:r>
              <w:rPr>
                <w:rFonts w:hint="eastAsia"/>
                <w:szCs w:val="21"/>
              </w:rPr>
              <w:t>0.0088</w:t>
            </w:r>
          </w:p>
        </w:tc>
        <w:tc>
          <w:tcPr>
            <w:tcW w:w="1709" w:type="dxa"/>
            <w:vAlign w:val="center"/>
          </w:tcPr>
          <w:p w14:paraId="7F4CF350" w14:textId="77777777" w:rsidR="00B14D53" w:rsidRDefault="00000000">
            <w:pPr>
              <w:contextualSpacing/>
              <w:jc w:val="center"/>
              <w:rPr>
                <w:szCs w:val="21"/>
              </w:rPr>
            </w:pPr>
            <w:r>
              <w:rPr>
                <w:rFonts w:hint="eastAsia"/>
                <w:szCs w:val="21"/>
              </w:rPr>
              <w:t>0.0044</w:t>
            </w:r>
          </w:p>
        </w:tc>
        <w:tc>
          <w:tcPr>
            <w:tcW w:w="1748" w:type="dxa"/>
            <w:vAlign w:val="center"/>
          </w:tcPr>
          <w:p w14:paraId="461F3787" w14:textId="77777777" w:rsidR="00B14D53" w:rsidRDefault="00000000">
            <w:pPr>
              <w:contextualSpacing/>
              <w:jc w:val="center"/>
              <w:rPr>
                <w:szCs w:val="21"/>
              </w:rPr>
            </w:pPr>
            <w:r>
              <w:rPr>
                <w:rFonts w:hint="eastAsia"/>
                <w:szCs w:val="21"/>
              </w:rPr>
              <w:t>0.0006</w:t>
            </w:r>
          </w:p>
        </w:tc>
        <w:tc>
          <w:tcPr>
            <w:tcW w:w="1784" w:type="dxa"/>
            <w:vAlign w:val="center"/>
          </w:tcPr>
          <w:p w14:paraId="36A20C70" w14:textId="77777777" w:rsidR="00B14D53" w:rsidRDefault="00000000">
            <w:pPr>
              <w:contextualSpacing/>
              <w:jc w:val="center"/>
              <w:rPr>
                <w:szCs w:val="21"/>
              </w:rPr>
            </w:pPr>
            <w:r>
              <w:rPr>
                <w:rFonts w:hint="eastAsia"/>
                <w:szCs w:val="21"/>
              </w:rPr>
              <w:t>0.0059</w:t>
            </w:r>
          </w:p>
        </w:tc>
      </w:tr>
      <w:tr w:rsidR="00B14D53" w14:paraId="72D554BB" w14:textId="77777777">
        <w:trPr>
          <w:trHeight w:val="285"/>
          <w:jc w:val="center"/>
        </w:trPr>
        <w:tc>
          <w:tcPr>
            <w:tcW w:w="1053" w:type="pct"/>
            <w:vAlign w:val="center"/>
          </w:tcPr>
          <w:p w14:paraId="53C3D859" w14:textId="77777777" w:rsidR="00B14D53" w:rsidRDefault="00000000">
            <w:pPr>
              <w:contextualSpacing/>
              <w:jc w:val="center"/>
              <w:rPr>
                <w:szCs w:val="21"/>
              </w:rPr>
            </w:pPr>
            <w:r>
              <w:rPr>
                <w:szCs w:val="21"/>
              </w:rPr>
              <w:t>20000</w:t>
            </w:r>
          </w:p>
        </w:tc>
        <w:tc>
          <w:tcPr>
            <w:tcW w:w="1994" w:type="dxa"/>
            <w:vAlign w:val="center"/>
          </w:tcPr>
          <w:p w14:paraId="1B4FB1B1" w14:textId="77777777" w:rsidR="00B14D53" w:rsidRDefault="00000000">
            <w:pPr>
              <w:contextualSpacing/>
              <w:jc w:val="center"/>
              <w:rPr>
                <w:szCs w:val="21"/>
              </w:rPr>
            </w:pPr>
            <w:r>
              <w:rPr>
                <w:rFonts w:hint="eastAsia"/>
                <w:szCs w:val="21"/>
              </w:rPr>
              <w:t>0.0038</w:t>
            </w:r>
          </w:p>
        </w:tc>
        <w:tc>
          <w:tcPr>
            <w:tcW w:w="1709" w:type="dxa"/>
            <w:vAlign w:val="center"/>
          </w:tcPr>
          <w:p w14:paraId="5B60983C" w14:textId="77777777" w:rsidR="00B14D53" w:rsidRDefault="00000000">
            <w:pPr>
              <w:contextualSpacing/>
              <w:jc w:val="center"/>
              <w:rPr>
                <w:szCs w:val="21"/>
              </w:rPr>
            </w:pPr>
            <w:r>
              <w:rPr>
                <w:rFonts w:hint="eastAsia"/>
                <w:szCs w:val="21"/>
              </w:rPr>
              <w:t>0.0019</w:t>
            </w:r>
          </w:p>
        </w:tc>
        <w:tc>
          <w:tcPr>
            <w:tcW w:w="1748" w:type="dxa"/>
            <w:vAlign w:val="center"/>
          </w:tcPr>
          <w:p w14:paraId="23BD13D5" w14:textId="77777777" w:rsidR="00B14D53" w:rsidRDefault="00000000">
            <w:pPr>
              <w:contextualSpacing/>
              <w:jc w:val="center"/>
              <w:rPr>
                <w:szCs w:val="21"/>
              </w:rPr>
            </w:pPr>
            <w:r>
              <w:rPr>
                <w:rFonts w:hint="eastAsia"/>
                <w:szCs w:val="21"/>
              </w:rPr>
              <w:t>0.0003</w:t>
            </w:r>
          </w:p>
        </w:tc>
        <w:tc>
          <w:tcPr>
            <w:tcW w:w="1784" w:type="dxa"/>
            <w:vAlign w:val="center"/>
          </w:tcPr>
          <w:p w14:paraId="27AEAAA5" w14:textId="77777777" w:rsidR="00B14D53" w:rsidRDefault="00000000">
            <w:pPr>
              <w:contextualSpacing/>
              <w:jc w:val="center"/>
              <w:rPr>
                <w:szCs w:val="21"/>
              </w:rPr>
            </w:pPr>
            <w:r>
              <w:rPr>
                <w:rFonts w:hint="eastAsia"/>
                <w:szCs w:val="21"/>
              </w:rPr>
              <w:t>0.0025</w:t>
            </w:r>
          </w:p>
        </w:tc>
      </w:tr>
      <w:tr w:rsidR="00B14D53" w14:paraId="716CB6D1" w14:textId="77777777">
        <w:trPr>
          <w:trHeight w:val="285"/>
          <w:jc w:val="center"/>
        </w:trPr>
        <w:tc>
          <w:tcPr>
            <w:tcW w:w="1053" w:type="pct"/>
            <w:vAlign w:val="center"/>
          </w:tcPr>
          <w:p w14:paraId="7D206D23" w14:textId="77777777" w:rsidR="00B14D53" w:rsidRDefault="00000000">
            <w:pPr>
              <w:contextualSpacing/>
              <w:jc w:val="center"/>
              <w:rPr>
                <w:szCs w:val="21"/>
              </w:rPr>
            </w:pPr>
            <w:r>
              <w:rPr>
                <w:szCs w:val="21"/>
              </w:rPr>
              <w:t>25000</w:t>
            </w:r>
          </w:p>
        </w:tc>
        <w:tc>
          <w:tcPr>
            <w:tcW w:w="1994" w:type="dxa"/>
            <w:vAlign w:val="center"/>
          </w:tcPr>
          <w:p w14:paraId="6007C46F" w14:textId="77777777" w:rsidR="00B14D53" w:rsidRDefault="00000000">
            <w:pPr>
              <w:contextualSpacing/>
              <w:jc w:val="center"/>
              <w:rPr>
                <w:szCs w:val="21"/>
              </w:rPr>
            </w:pPr>
            <w:r>
              <w:rPr>
                <w:rFonts w:hint="eastAsia"/>
                <w:szCs w:val="21"/>
              </w:rPr>
              <w:t>0.0030</w:t>
            </w:r>
          </w:p>
        </w:tc>
        <w:tc>
          <w:tcPr>
            <w:tcW w:w="1709" w:type="dxa"/>
            <w:vAlign w:val="center"/>
          </w:tcPr>
          <w:p w14:paraId="2507C5BF" w14:textId="77777777" w:rsidR="00B14D53" w:rsidRDefault="00000000">
            <w:pPr>
              <w:contextualSpacing/>
              <w:jc w:val="center"/>
              <w:rPr>
                <w:szCs w:val="21"/>
              </w:rPr>
            </w:pPr>
            <w:r>
              <w:rPr>
                <w:rFonts w:hint="eastAsia"/>
                <w:szCs w:val="21"/>
              </w:rPr>
              <w:t>0.0015</w:t>
            </w:r>
          </w:p>
        </w:tc>
        <w:tc>
          <w:tcPr>
            <w:tcW w:w="1748" w:type="dxa"/>
            <w:vAlign w:val="center"/>
          </w:tcPr>
          <w:p w14:paraId="3639E7AF" w14:textId="77777777" w:rsidR="00B14D53" w:rsidRDefault="00000000">
            <w:pPr>
              <w:contextualSpacing/>
              <w:jc w:val="center"/>
              <w:rPr>
                <w:szCs w:val="21"/>
              </w:rPr>
            </w:pPr>
            <w:r>
              <w:rPr>
                <w:rFonts w:hint="eastAsia"/>
                <w:szCs w:val="21"/>
              </w:rPr>
              <w:t>0.0002</w:t>
            </w:r>
          </w:p>
        </w:tc>
        <w:tc>
          <w:tcPr>
            <w:tcW w:w="1784" w:type="dxa"/>
            <w:vAlign w:val="center"/>
          </w:tcPr>
          <w:p w14:paraId="667A005C" w14:textId="77777777" w:rsidR="00B14D53" w:rsidRDefault="00000000">
            <w:pPr>
              <w:contextualSpacing/>
              <w:jc w:val="center"/>
              <w:rPr>
                <w:szCs w:val="21"/>
              </w:rPr>
            </w:pPr>
            <w:r>
              <w:rPr>
                <w:rFonts w:hint="eastAsia"/>
                <w:szCs w:val="21"/>
              </w:rPr>
              <w:t>0.0020</w:t>
            </w:r>
          </w:p>
        </w:tc>
      </w:tr>
      <w:tr w:rsidR="00B14D53" w14:paraId="3FFF397D" w14:textId="77777777">
        <w:trPr>
          <w:trHeight w:val="325"/>
          <w:jc w:val="center"/>
        </w:trPr>
        <w:tc>
          <w:tcPr>
            <w:tcW w:w="1053" w:type="pct"/>
            <w:vAlign w:val="center"/>
          </w:tcPr>
          <w:p w14:paraId="72AE5141" w14:textId="77777777" w:rsidR="00B14D53" w:rsidRDefault="00000000">
            <w:pPr>
              <w:contextualSpacing/>
              <w:jc w:val="center"/>
              <w:rPr>
                <w:szCs w:val="21"/>
              </w:rPr>
            </w:pPr>
            <w:r>
              <w:rPr>
                <w:szCs w:val="21"/>
              </w:rPr>
              <w:t>下风向最大浓度</w:t>
            </w:r>
          </w:p>
        </w:tc>
        <w:tc>
          <w:tcPr>
            <w:tcW w:w="1994" w:type="dxa"/>
            <w:vAlign w:val="center"/>
          </w:tcPr>
          <w:p w14:paraId="24702905" w14:textId="77777777" w:rsidR="00B14D53" w:rsidRDefault="00000000">
            <w:pPr>
              <w:contextualSpacing/>
              <w:jc w:val="center"/>
              <w:rPr>
                <w:szCs w:val="21"/>
              </w:rPr>
            </w:pPr>
            <w:r>
              <w:rPr>
                <w:rFonts w:hint="eastAsia"/>
                <w:szCs w:val="21"/>
              </w:rPr>
              <w:t>0.0551</w:t>
            </w:r>
          </w:p>
        </w:tc>
        <w:tc>
          <w:tcPr>
            <w:tcW w:w="1566" w:type="dxa"/>
            <w:vAlign w:val="center"/>
          </w:tcPr>
          <w:p w14:paraId="7DE268C6" w14:textId="77777777" w:rsidR="00B14D53" w:rsidRDefault="00000000">
            <w:pPr>
              <w:contextualSpacing/>
              <w:jc w:val="center"/>
              <w:rPr>
                <w:szCs w:val="21"/>
              </w:rPr>
            </w:pPr>
            <w:r>
              <w:rPr>
                <w:rFonts w:hint="eastAsia"/>
                <w:szCs w:val="21"/>
              </w:rPr>
              <w:t>0.0275</w:t>
            </w:r>
          </w:p>
        </w:tc>
        <w:tc>
          <w:tcPr>
            <w:tcW w:w="1709" w:type="dxa"/>
            <w:vAlign w:val="center"/>
          </w:tcPr>
          <w:p w14:paraId="71DA6A77" w14:textId="77777777" w:rsidR="00B14D53" w:rsidRDefault="00000000">
            <w:pPr>
              <w:contextualSpacing/>
              <w:jc w:val="center"/>
              <w:rPr>
                <w:szCs w:val="21"/>
              </w:rPr>
            </w:pPr>
            <w:r>
              <w:rPr>
                <w:rFonts w:hint="eastAsia"/>
                <w:szCs w:val="21"/>
              </w:rPr>
              <w:t>0.0037</w:t>
            </w:r>
          </w:p>
        </w:tc>
        <w:tc>
          <w:tcPr>
            <w:tcW w:w="1744" w:type="dxa"/>
            <w:vAlign w:val="center"/>
          </w:tcPr>
          <w:p w14:paraId="63333EDB" w14:textId="77777777" w:rsidR="00B14D53" w:rsidRDefault="00000000">
            <w:pPr>
              <w:contextualSpacing/>
              <w:jc w:val="center"/>
              <w:rPr>
                <w:szCs w:val="21"/>
              </w:rPr>
            </w:pPr>
            <w:r>
              <w:rPr>
                <w:rFonts w:hint="eastAsia"/>
                <w:szCs w:val="21"/>
              </w:rPr>
              <w:t>0.0367</w:t>
            </w:r>
          </w:p>
        </w:tc>
      </w:tr>
      <w:tr w:rsidR="00B14D53" w14:paraId="5804B87D" w14:textId="77777777">
        <w:trPr>
          <w:trHeight w:val="48"/>
          <w:jc w:val="center"/>
        </w:trPr>
        <w:tc>
          <w:tcPr>
            <w:tcW w:w="1053" w:type="pct"/>
            <w:vAlign w:val="center"/>
          </w:tcPr>
          <w:p w14:paraId="3D4D59C3" w14:textId="77777777" w:rsidR="00B14D53" w:rsidRDefault="00000000">
            <w:pPr>
              <w:contextualSpacing/>
              <w:jc w:val="center"/>
              <w:rPr>
                <w:szCs w:val="21"/>
              </w:rPr>
            </w:pPr>
            <w:r>
              <w:rPr>
                <w:szCs w:val="21"/>
              </w:rPr>
              <w:t>下风向最大浓度出现距离</w:t>
            </w:r>
          </w:p>
        </w:tc>
        <w:tc>
          <w:tcPr>
            <w:tcW w:w="3946" w:type="pct"/>
            <w:gridSpan w:val="4"/>
            <w:vAlign w:val="center"/>
          </w:tcPr>
          <w:p w14:paraId="5B795026" w14:textId="77777777" w:rsidR="00B14D53" w:rsidRDefault="00000000">
            <w:pPr>
              <w:contextualSpacing/>
              <w:jc w:val="center"/>
              <w:rPr>
                <w:szCs w:val="21"/>
              </w:rPr>
            </w:pPr>
            <w:r>
              <w:rPr>
                <w:rFonts w:hint="eastAsia"/>
                <w:szCs w:val="21"/>
              </w:rPr>
              <w:t>202m</w:t>
            </w:r>
          </w:p>
        </w:tc>
      </w:tr>
    </w:tbl>
    <w:p w14:paraId="482688D3" w14:textId="77777777" w:rsidR="00B14D53" w:rsidRDefault="00B14D53">
      <w:pPr>
        <w:spacing w:line="360" w:lineRule="auto"/>
        <w:ind w:firstLine="482"/>
        <w:jc w:val="center"/>
        <w:rPr>
          <w:rFonts w:eastAsiaTheme="minorEastAsia" w:hAnsiTheme="minorEastAsia" w:hint="eastAsia"/>
          <w:b/>
          <w:sz w:val="24"/>
        </w:rPr>
      </w:pPr>
    </w:p>
    <w:p w14:paraId="095BD255" w14:textId="77777777" w:rsidR="00B14D53" w:rsidRDefault="00B14D53">
      <w:pPr>
        <w:spacing w:line="360" w:lineRule="auto"/>
        <w:ind w:firstLine="482"/>
        <w:jc w:val="center"/>
        <w:rPr>
          <w:rFonts w:eastAsiaTheme="minorEastAsia" w:hAnsiTheme="minorEastAsia" w:hint="eastAsia"/>
          <w:b/>
          <w:sz w:val="24"/>
        </w:rPr>
      </w:pPr>
    </w:p>
    <w:p w14:paraId="22A0CBE4" w14:textId="77777777" w:rsidR="00B14D53" w:rsidRDefault="00000000">
      <w:pPr>
        <w:jc w:val="center"/>
        <w:rPr>
          <w:b/>
          <w:bCs/>
        </w:rPr>
      </w:pPr>
      <w:r>
        <w:rPr>
          <w:b/>
          <w:bCs/>
        </w:rPr>
        <w:t>表</w:t>
      </w:r>
      <w:r>
        <w:rPr>
          <w:b/>
          <w:bCs/>
        </w:rPr>
        <w:t>5-2-6</w:t>
      </w:r>
      <w:r>
        <w:rPr>
          <w:rFonts w:hint="eastAsia"/>
          <w:b/>
          <w:bCs/>
        </w:rPr>
        <w:t xml:space="preserve"> </w:t>
      </w:r>
      <w:r>
        <w:rPr>
          <w:b/>
          <w:bCs/>
        </w:rPr>
        <w:t>有组织排放估算模式的计算结果</w:t>
      </w:r>
      <w:r>
        <w:rPr>
          <w:rFonts w:hint="eastAsia"/>
          <w:b/>
          <w:bCs/>
        </w:rPr>
        <w:t>（</w:t>
      </w:r>
      <w:r>
        <w:rPr>
          <w:rFonts w:hint="eastAsia"/>
          <w:b/>
          <w:bCs/>
        </w:rPr>
        <w:t>DA002</w:t>
      </w:r>
      <w:r>
        <w:rPr>
          <w:rFonts w:hint="eastAsia"/>
          <w:b/>
          <w:bCs/>
        </w:rPr>
        <w:t>）</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48"/>
        <w:gridCol w:w="1944"/>
        <w:gridCol w:w="1526"/>
        <w:gridCol w:w="1526"/>
        <w:gridCol w:w="1559"/>
      </w:tblGrid>
      <w:tr w:rsidR="00B14D53" w14:paraId="75AA46D2" w14:textId="77777777">
        <w:trPr>
          <w:trHeight w:val="274"/>
          <w:jc w:val="center"/>
        </w:trPr>
        <w:tc>
          <w:tcPr>
            <w:tcW w:w="1052" w:type="pct"/>
            <w:vMerge w:val="restart"/>
            <w:vAlign w:val="center"/>
          </w:tcPr>
          <w:p w14:paraId="0DBAA879" w14:textId="77777777" w:rsidR="00B14D53" w:rsidRDefault="00000000">
            <w:pPr>
              <w:contextualSpacing/>
              <w:jc w:val="center"/>
              <w:rPr>
                <w:b/>
                <w:bCs/>
                <w:szCs w:val="21"/>
              </w:rPr>
            </w:pPr>
            <w:r>
              <w:rPr>
                <w:b/>
                <w:bCs/>
                <w:szCs w:val="21"/>
              </w:rPr>
              <w:t>距离（</w:t>
            </w:r>
            <w:r>
              <w:rPr>
                <w:b/>
                <w:bCs/>
                <w:szCs w:val="21"/>
              </w:rPr>
              <w:t>m</w:t>
            </w:r>
            <w:r>
              <w:rPr>
                <w:b/>
                <w:bCs/>
                <w:szCs w:val="21"/>
              </w:rPr>
              <w:t>）</w:t>
            </w:r>
          </w:p>
        </w:tc>
        <w:tc>
          <w:tcPr>
            <w:tcW w:w="3947" w:type="pct"/>
            <w:gridSpan w:val="4"/>
            <w:vAlign w:val="center"/>
          </w:tcPr>
          <w:p w14:paraId="4CDDD7BD" w14:textId="77777777" w:rsidR="00B14D53" w:rsidRDefault="00000000">
            <w:pPr>
              <w:contextualSpacing/>
              <w:jc w:val="center"/>
              <w:rPr>
                <w:b/>
                <w:bCs/>
                <w:szCs w:val="21"/>
              </w:rPr>
            </w:pPr>
            <w:r>
              <w:rPr>
                <w:rFonts w:hint="eastAsia"/>
                <w:b/>
                <w:bCs/>
                <w:szCs w:val="21"/>
              </w:rPr>
              <w:t>2#</w:t>
            </w:r>
            <w:r>
              <w:rPr>
                <w:rFonts w:hint="eastAsia"/>
                <w:b/>
                <w:bCs/>
                <w:szCs w:val="21"/>
              </w:rPr>
              <w:t>待宰圈</w:t>
            </w:r>
            <w:r>
              <w:rPr>
                <w:b/>
                <w:bCs/>
                <w:szCs w:val="21"/>
              </w:rPr>
              <w:t>排气筒</w:t>
            </w:r>
            <w:r>
              <w:rPr>
                <w:rFonts w:hint="eastAsia"/>
                <w:b/>
                <w:bCs/>
                <w:szCs w:val="21"/>
              </w:rPr>
              <w:t>DA002</w:t>
            </w:r>
          </w:p>
        </w:tc>
      </w:tr>
      <w:tr w:rsidR="00B14D53" w14:paraId="15BC05C5" w14:textId="77777777">
        <w:trPr>
          <w:trHeight w:val="70"/>
          <w:jc w:val="center"/>
        </w:trPr>
        <w:tc>
          <w:tcPr>
            <w:tcW w:w="1052" w:type="pct"/>
            <w:vMerge/>
            <w:vAlign w:val="center"/>
          </w:tcPr>
          <w:p w14:paraId="206BEC57" w14:textId="77777777" w:rsidR="00B14D53" w:rsidRDefault="00B14D53">
            <w:pPr>
              <w:contextualSpacing/>
              <w:jc w:val="center"/>
              <w:rPr>
                <w:b/>
                <w:bCs/>
                <w:szCs w:val="21"/>
              </w:rPr>
            </w:pPr>
          </w:p>
        </w:tc>
        <w:tc>
          <w:tcPr>
            <w:tcW w:w="2089" w:type="pct"/>
            <w:gridSpan w:val="2"/>
            <w:vAlign w:val="center"/>
          </w:tcPr>
          <w:p w14:paraId="6756776E" w14:textId="77777777" w:rsidR="00B14D53" w:rsidRDefault="00000000">
            <w:pPr>
              <w:contextualSpacing/>
              <w:jc w:val="center"/>
              <w:rPr>
                <w:b/>
                <w:bCs/>
                <w:szCs w:val="21"/>
              </w:rPr>
            </w:pPr>
            <w:r>
              <w:rPr>
                <w:b/>
                <w:bCs/>
                <w:szCs w:val="21"/>
              </w:rPr>
              <w:t>NH</w:t>
            </w:r>
            <w:r>
              <w:rPr>
                <w:b/>
                <w:bCs/>
                <w:szCs w:val="21"/>
                <w:vertAlign w:val="subscript"/>
              </w:rPr>
              <w:t>3</w:t>
            </w:r>
          </w:p>
        </w:tc>
        <w:tc>
          <w:tcPr>
            <w:tcW w:w="1857" w:type="pct"/>
            <w:gridSpan w:val="2"/>
            <w:vAlign w:val="center"/>
          </w:tcPr>
          <w:p w14:paraId="7B30AF25" w14:textId="77777777" w:rsidR="00B14D53" w:rsidRDefault="00000000">
            <w:pPr>
              <w:contextualSpacing/>
              <w:jc w:val="center"/>
              <w:rPr>
                <w:b/>
                <w:bCs/>
                <w:szCs w:val="21"/>
              </w:rPr>
            </w:pPr>
            <w:r>
              <w:rPr>
                <w:b/>
                <w:bCs/>
                <w:szCs w:val="21"/>
              </w:rPr>
              <w:t>H</w:t>
            </w:r>
            <w:r>
              <w:rPr>
                <w:b/>
                <w:bCs/>
                <w:szCs w:val="21"/>
                <w:vertAlign w:val="subscript"/>
              </w:rPr>
              <w:t>2</w:t>
            </w:r>
            <w:r>
              <w:rPr>
                <w:b/>
                <w:bCs/>
                <w:szCs w:val="21"/>
              </w:rPr>
              <w:t>S</w:t>
            </w:r>
          </w:p>
        </w:tc>
      </w:tr>
      <w:tr w:rsidR="00B14D53" w14:paraId="354E25FD" w14:textId="77777777">
        <w:trPr>
          <w:trHeight w:val="132"/>
          <w:jc w:val="center"/>
        </w:trPr>
        <w:tc>
          <w:tcPr>
            <w:tcW w:w="1052" w:type="pct"/>
            <w:vMerge/>
            <w:vAlign w:val="center"/>
          </w:tcPr>
          <w:p w14:paraId="69361C9F" w14:textId="77777777" w:rsidR="00B14D53" w:rsidRDefault="00B14D53">
            <w:pPr>
              <w:contextualSpacing/>
              <w:jc w:val="center"/>
              <w:rPr>
                <w:b/>
                <w:bCs/>
                <w:szCs w:val="21"/>
              </w:rPr>
            </w:pPr>
          </w:p>
        </w:tc>
        <w:tc>
          <w:tcPr>
            <w:tcW w:w="1170" w:type="pct"/>
            <w:vAlign w:val="center"/>
          </w:tcPr>
          <w:p w14:paraId="5BF4F998" w14:textId="77777777" w:rsidR="00B14D53" w:rsidRDefault="00000000">
            <w:pPr>
              <w:contextualSpacing/>
              <w:jc w:val="center"/>
              <w:rPr>
                <w:b/>
                <w:bCs/>
                <w:szCs w:val="21"/>
              </w:rPr>
            </w:pPr>
            <w:r>
              <w:rPr>
                <w:b/>
                <w:bCs/>
                <w:kern w:val="0"/>
                <w:szCs w:val="21"/>
              </w:rPr>
              <w:t>预测质量浓度</w:t>
            </w:r>
            <w:r>
              <w:rPr>
                <w:b/>
                <w:bCs/>
                <w:kern w:val="0"/>
                <w:szCs w:val="21"/>
              </w:rPr>
              <w:t>/(μg/m</w:t>
            </w:r>
            <w:r>
              <w:rPr>
                <w:b/>
                <w:bCs/>
                <w:kern w:val="0"/>
                <w:szCs w:val="21"/>
                <w:vertAlign w:val="superscript"/>
              </w:rPr>
              <w:t>3</w:t>
            </w:r>
            <w:r>
              <w:rPr>
                <w:b/>
                <w:bCs/>
                <w:kern w:val="0"/>
                <w:szCs w:val="21"/>
              </w:rPr>
              <w:t>)</w:t>
            </w:r>
          </w:p>
        </w:tc>
        <w:tc>
          <w:tcPr>
            <w:tcW w:w="919" w:type="pct"/>
            <w:vAlign w:val="center"/>
          </w:tcPr>
          <w:p w14:paraId="60182365" w14:textId="77777777" w:rsidR="00B14D53" w:rsidRDefault="00000000">
            <w:pPr>
              <w:contextualSpacing/>
              <w:jc w:val="center"/>
              <w:rPr>
                <w:b/>
                <w:bCs/>
                <w:szCs w:val="21"/>
              </w:rPr>
            </w:pPr>
            <w:r>
              <w:rPr>
                <w:b/>
                <w:bCs/>
                <w:szCs w:val="21"/>
              </w:rPr>
              <w:t>占标率</w:t>
            </w:r>
            <w:r>
              <w:rPr>
                <w:b/>
                <w:bCs/>
                <w:szCs w:val="21"/>
              </w:rPr>
              <w:t>%</w:t>
            </w:r>
          </w:p>
        </w:tc>
        <w:tc>
          <w:tcPr>
            <w:tcW w:w="919" w:type="pct"/>
            <w:vAlign w:val="center"/>
          </w:tcPr>
          <w:p w14:paraId="1912B81B" w14:textId="77777777" w:rsidR="00B14D53" w:rsidRDefault="00000000">
            <w:pPr>
              <w:contextualSpacing/>
              <w:jc w:val="center"/>
              <w:rPr>
                <w:b/>
                <w:bCs/>
                <w:szCs w:val="21"/>
              </w:rPr>
            </w:pPr>
            <w:r>
              <w:rPr>
                <w:b/>
                <w:bCs/>
                <w:kern w:val="0"/>
                <w:szCs w:val="21"/>
              </w:rPr>
              <w:t>预测质量浓度</w:t>
            </w:r>
            <w:r>
              <w:rPr>
                <w:b/>
                <w:bCs/>
                <w:kern w:val="0"/>
                <w:szCs w:val="21"/>
              </w:rPr>
              <w:t>/(μg/m</w:t>
            </w:r>
            <w:r>
              <w:rPr>
                <w:b/>
                <w:bCs/>
                <w:kern w:val="0"/>
                <w:szCs w:val="21"/>
                <w:vertAlign w:val="superscript"/>
              </w:rPr>
              <w:t>3</w:t>
            </w:r>
            <w:r>
              <w:rPr>
                <w:b/>
                <w:bCs/>
                <w:kern w:val="0"/>
                <w:szCs w:val="21"/>
              </w:rPr>
              <w:t>)</w:t>
            </w:r>
          </w:p>
        </w:tc>
        <w:tc>
          <w:tcPr>
            <w:tcW w:w="938" w:type="pct"/>
            <w:vAlign w:val="center"/>
          </w:tcPr>
          <w:p w14:paraId="7E2D9230" w14:textId="77777777" w:rsidR="00B14D53" w:rsidRDefault="00000000">
            <w:pPr>
              <w:tabs>
                <w:tab w:val="left" w:pos="420"/>
              </w:tabs>
              <w:autoSpaceDE w:val="0"/>
              <w:autoSpaceDN w:val="0"/>
              <w:contextualSpacing/>
              <w:jc w:val="center"/>
              <w:rPr>
                <w:b/>
                <w:bCs/>
                <w:kern w:val="0"/>
                <w:szCs w:val="21"/>
              </w:rPr>
            </w:pPr>
            <w:r>
              <w:rPr>
                <w:b/>
                <w:bCs/>
                <w:kern w:val="0"/>
                <w:szCs w:val="21"/>
              </w:rPr>
              <w:t>占标率</w:t>
            </w:r>
            <w:r>
              <w:rPr>
                <w:b/>
                <w:bCs/>
                <w:kern w:val="0"/>
                <w:szCs w:val="21"/>
              </w:rPr>
              <w:t>/(%)</w:t>
            </w:r>
          </w:p>
        </w:tc>
      </w:tr>
      <w:tr w:rsidR="00B14D53" w14:paraId="3B7FB470" w14:textId="77777777">
        <w:trPr>
          <w:trHeight w:val="57"/>
          <w:jc w:val="center"/>
        </w:trPr>
        <w:tc>
          <w:tcPr>
            <w:tcW w:w="1052" w:type="pct"/>
            <w:vAlign w:val="center"/>
          </w:tcPr>
          <w:p w14:paraId="121419C7" w14:textId="77777777" w:rsidR="00B14D53" w:rsidRDefault="00000000">
            <w:pPr>
              <w:contextualSpacing/>
              <w:jc w:val="center"/>
              <w:rPr>
                <w:szCs w:val="21"/>
              </w:rPr>
            </w:pPr>
            <w:r>
              <w:rPr>
                <w:szCs w:val="21"/>
              </w:rPr>
              <w:t>50</w:t>
            </w:r>
          </w:p>
        </w:tc>
        <w:tc>
          <w:tcPr>
            <w:tcW w:w="1170" w:type="pct"/>
            <w:vAlign w:val="center"/>
          </w:tcPr>
          <w:p w14:paraId="282DA9FB" w14:textId="77777777" w:rsidR="00B14D53" w:rsidRDefault="00000000">
            <w:pPr>
              <w:contextualSpacing/>
              <w:jc w:val="center"/>
              <w:rPr>
                <w:szCs w:val="21"/>
              </w:rPr>
            </w:pPr>
            <w:r>
              <w:rPr>
                <w:rFonts w:hint="eastAsia"/>
                <w:szCs w:val="21"/>
              </w:rPr>
              <w:t>0.1454</w:t>
            </w:r>
          </w:p>
        </w:tc>
        <w:tc>
          <w:tcPr>
            <w:tcW w:w="919" w:type="pct"/>
            <w:vAlign w:val="center"/>
          </w:tcPr>
          <w:p w14:paraId="7ADECEFB" w14:textId="77777777" w:rsidR="00B14D53" w:rsidRDefault="00000000">
            <w:pPr>
              <w:contextualSpacing/>
              <w:jc w:val="center"/>
              <w:rPr>
                <w:szCs w:val="21"/>
              </w:rPr>
            </w:pPr>
            <w:r>
              <w:rPr>
                <w:rFonts w:hint="eastAsia"/>
                <w:szCs w:val="21"/>
              </w:rPr>
              <w:t>0.0727</w:t>
            </w:r>
          </w:p>
        </w:tc>
        <w:tc>
          <w:tcPr>
            <w:tcW w:w="919" w:type="pct"/>
            <w:vAlign w:val="center"/>
          </w:tcPr>
          <w:p w14:paraId="50B77A5B" w14:textId="77777777" w:rsidR="00B14D53" w:rsidRDefault="00000000">
            <w:pPr>
              <w:contextualSpacing/>
              <w:jc w:val="center"/>
              <w:rPr>
                <w:szCs w:val="21"/>
              </w:rPr>
            </w:pPr>
            <w:r>
              <w:rPr>
                <w:rFonts w:hint="eastAsia"/>
                <w:szCs w:val="21"/>
              </w:rPr>
              <w:t>0.0073</w:t>
            </w:r>
          </w:p>
        </w:tc>
        <w:tc>
          <w:tcPr>
            <w:tcW w:w="938" w:type="pct"/>
            <w:vAlign w:val="center"/>
          </w:tcPr>
          <w:p w14:paraId="29DDC29C" w14:textId="77777777" w:rsidR="00B14D53" w:rsidRDefault="00000000">
            <w:pPr>
              <w:contextualSpacing/>
              <w:jc w:val="center"/>
              <w:rPr>
                <w:szCs w:val="21"/>
              </w:rPr>
            </w:pPr>
            <w:r>
              <w:rPr>
                <w:rFonts w:hint="eastAsia"/>
                <w:szCs w:val="21"/>
              </w:rPr>
              <w:t>0.0727</w:t>
            </w:r>
          </w:p>
        </w:tc>
      </w:tr>
      <w:tr w:rsidR="00B14D53" w14:paraId="6EF058E2" w14:textId="77777777">
        <w:trPr>
          <w:trHeight w:val="259"/>
          <w:jc w:val="center"/>
        </w:trPr>
        <w:tc>
          <w:tcPr>
            <w:tcW w:w="1052" w:type="pct"/>
            <w:vAlign w:val="center"/>
          </w:tcPr>
          <w:p w14:paraId="2D39F764" w14:textId="77777777" w:rsidR="00B14D53" w:rsidRDefault="00000000">
            <w:pPr>
              <w:contextualSpacing/>
              <w:jc w:val="center"/>
              <w:rPr>
                <w:szCs w:val="21"/>
              </w:rPr>
            </w:pPr>
            <w:r>
              <w:rPr>
                <w:szCs w:val="21"/>
              </w:rPr>
              <w:t>100</w:t>
            </w:r>
          </w:p>
        </w:tc>
        <w:tc>
          <w:tcPr>
            <w:tcW w:w="1170" w:type="pct"/>
            <w:vAlign w:val="center"/>
          </w:tcPr>
          <w:p w14:paraId="23D494D7" w14:textId="77777777" w:rsidR="00B14D53" w:rsidRDefault="00000000">
            <w:pPr>
              <w:contextualSpacing/>
              <w:jc w:val="center"/>
              <w:rPr>
                <w:szCs w:val="21"/>
              </w:rPr>
            </w:pPr>
            <w:r>
              <w:rPr>
                <w:rFonts w:hint="eastAsia"/>
                <w:szCs w:val="21"/>
              </w:rPr>
              <w:t>0.1849</w:t>
            </w:r>
          </w:p>
        </w:tc>
        <w:tc>
          <w:tcPr>
            <w:tcW w:w="919" w:type="pct"/>
            <w:vAlign w:val="center"/>
          </w:tcPr>
          <w:p w14:paraId="2D5EC9F5" w14:textId="77777777" w:rsidR="00B14D53" w:rsidRDefault="00000000">
            <w:pPr>
              <w:contextualSpacing/>
              <w:jc w:val="center"/>
              <w:rPr>
                <w:szCs w:val="21"/>
              </w:rPr>
            </w:pPr>
            <w:r>
              <w:rPr>
                <w:rFonts w:hint="eastAsia"/>
                <w:szCs w:val="21"/>
              </w:rPr>
              <w:t>0.0925</w:t>
            </w:r>
          </w:p>
        </w:tc>
        <w:tc>
          <w:tcPr>
            <w:tcW w:w="919" w:type="pct"/>
            <w:vAlign w:val="center"/>
          </w:tcPr>
          <w:p w14:paraId="28768B48" w14:textId="77777777" w:rsidR="00B14D53" w:rsidRDefault="00000000">
            <w:pPr>
              <w:contextualSpacing/>
              <w:jc w:val="center"/>
              <w:rPr>
                <w:szCs w:val="21"/>
              </w:rPr>
            </w:pPr>
            <w:r>
              <w:rPr>
                <w:rFonts w:hint="eastAsia"/>
                <w:szCs w:val="21"/>
              </w:rPr>
              <w:t>0.0092</w:t>
            </w:r>
          </w:p>
        </w:tc>
        <w:tc>
          <w:tcPr>
            <w:tcW w:w="938" w:type="pct"/>
            <w:vAlign w:val="center"/>
          </w:tcPr>
          <w:p w14:paraId="66CA0360" w14:textId="77777777" w:rsidR="00B14D53" w:rsidRDefault="00000000">
            <w:pPr>
              <w:contextualSpacing/>
              <w:jc w:val="center"/>
              <w:rPr>
                <w:szCs w:val="21"/>
              </w:rPr>
            </w:pPr>
            <w:r>
              <w:rPr>
                <w:rFonts w:hint="eastAsia"/>
                <w:szCs w:val="21"/>
              </w:rPr>
              <w:t>0.0925</w:t>
            </w:r>
          </w:p>
        </w:tc>
      </w:tr>
      <w:tr w:rsidR="00B14D53" w14:paraId="4A9B8725" w14:textId="77777777">
        <w:trPr>
          <w:trHeight w:val="285"/>
          <w:jc w:val="center"/>
        </w:trPr>
        <w:tc>
          <w:tcPr>
            <w:tcW w:w="1052" w:type="pct"/>
            <w:vAlign w:val="center"/>
          </w:tcPr>
          <w:p w14:paraId="158EBC3B" w14:textId="77777777" w:rsidR="00B14D53" w:rsidRDefault="00000000">
            <w:pPr>
              <w:contextualSpacing/>
              <w:jc w:val="center"/>
              <w:rPr>
                <w:szCs w:val="21"/>
              </w:rPr>
            </w:pPr>
            <w:r>
              <w:rPr>
                <w:szCs w:val="21"/>
              </w:rPr>
              <w:t>200</w:t>
            </w:r>
          </w:p>
        </w:tc>
        <w:tc>
          <w:tcPr>
            <w:tcW w:w="1170" w:type="pct"/>
            <w:vAlign w:val="center"/>
          </w:tcPr>
          <w:p w14:paraId="1FD7ED17" w14:textId="77777777" w:rsidR="00B14D53" w:rsidRDefault="00000000">
            <w:pPr>
              <w:contextualSpacing/>
              <w:jc w:val="center"/>
              <w:rPr>
                <w:szCs w:val="21"/>
              </w:rPr>
            </w:pPr>
            <w:r>
              <w:rPr>
                <w:rFonts w:hint="eastAsia"/>
                <w:szCs w:val="21"/>
              </w:rPr>
              <w:t>0.1837</w:t>
            </w:r>
          </w:p>
        </w:tc>
        <w:tc>
          <w:tcPr>
            <w:tcW w:w="919" w:type="pct"/>
            <w:vAlign w:val="center"/>
          </w:tcPr>
          <w:p w14:paraId="39AF5409" w14:textId="77777777" w:rsidR="00B14D53" w:rsidRDefault="00000000">
            <w:pPr>
              <w:contextualSpacing/>
              <w:jc w:val="center"/>
              <w:rPr>
                <w:szCs w:val="21"/>
              </w:rPr>
            </w:pPr>
            <w:r>
              <w:rPr>
                <w:rFonts w:hint="eastAsia"/>
                <w:szCs w:val="21"/>
              </w:rPr>
              <w:t>0.0919</w:t>
            </w:r>
          </w:p>
        </w:tc>
        <w:tc>
          <w:tcPr>
            <w:tcW w:w="919" w:type="pct"/>
            <w:vAlign w:val="center"/>
          </w:tcPr>
          <w:p w14:paraId="1637BE74" w14:textId="77777777" w:rsidR="00B14D53" w:rsidRDefault="00000000">
            <w:pPr>
              <w:contextualSpacing/>
              <w:jc w:val="center"/>
              <w:rPr>
                <w:szCs w:val="21"/>
              </w:rPr>
            </w:pPr>
            <w:r>
              <w:rPr>
                <w:rFonts w:hint="eastAsia"/>
                <w:szCs w:val="21"/>
              </w:rPr>
              <w:t>0.0092</w:t>
            </w:r>
          </w:p>
        </w:tc>
        <w:tc>
          <w:tcPr>
            <w:tcW w:w="938" w:type="pct"/>
            <w:vAlign w:val="center"/>
          </w:tcPr>
          <w:p w14:paraId="7392322B" w14:textId="77777777" w:rsidR="00B14D53" w:rsidRDefault="00000000">
            <w:pPr>
              <w:contextualSpacing/>
              <w:jc w:val="center"/>
              <w:rPr>
                <w:szCs w:val="21"/>
              </w:rPr>
            </w:pPr>
            <w:r>
              <w:rPr>
                <w:rFonts w:hint="eastAsia"/>
                <w:szCs w:val="21"/>
              </w:rPr>
              <w:t>0.0919</w:t>
            </w:r>
          </w:p>
        </w:tc>
      </w:tr>
      <w:tr w:rsidR="00B14D53" w14:paraId="1246C821" w14:textId="77777777">
        <w:trPr>
          <w:trHeight w:val="285"/>
          <w:jc w:val="center"/>
        </w:trPr>
        <w:tc>
          <w:tcPr>
            <w:tcW w:w="1052" w:type="pct"/>
            <w:vAlign w:val="center"/>
          </w:tcPr>
          <w:p w14:paraId="4B9C6318" w14:textId="77777777" w:rsidR="00B14D53" w:rsidRDefault="00000000">
            <w:pPr>
              <w:contextualSpacing/>
              <w:jc w:val="center"/>
              <w:rPr>
                <w:szCs w:val="21"/>
              </w:rPr>
            </w:pPr>
            <w:r>
              <w:rPr>
                <w:szCs w:val="21"/>
              </w:rPr>
              <w:t>300</w:t>
            </w:r>
          </w:p>
        </w:tc>
        <w:tc>
          <w:tcPr>
            <w:tcW w:w="1170" w:type="pct"/>
            <w:vAlign w:val="center"/>
          </w:tcPr>
          <w:p w14:paraId="49926297" w14:textId="77777777" w:rsidR="00B14D53" w:rsidRDefault="00000000">
            <w:pPr>
              <w:contextualSpacing/>
              <w:jc w:val="center"/>
              <w:rPr>
                <w:szCs w:val="21"/>
              </w:rPr>
            </w:pPr>
            <w:r>
              <w:rPr>
                <w:rFonts w:hint="eastAsia"/>
                <w:szCs w:val="21"/>
              </w:rPr>
              <w:t>0.1590</w:t>
            </w:r>
          </w:p>
        </w:tc>
        <w:tc>
          <w:tcPr>
            <w:tcW w:w="919" w:type="pct"/>
            <w:vAlign w:val="center"/>
          </w:tcPr>
          <w:p w14:paraId="0FDD10A7" w14:textId="77777777" w:rsidR="00B14D53" w:rsidRDefault="00000000">
            <w:pPr>
              <w:contextualSpacing/>
              <w:jc w:val="center"/>
              <w:rPr>
                <w:szCs w:val="21"/>
              </w:rPr>
            </w:pPr>
            <w:r>
              <w:rPr>
                <w:rFonts w:hint="eastAsia"/>
                <w:szCs w:val="21"/>
              </w:rPr>
              <w:t>0.0795</w:t>
            </w:r>
          </w:p>
        </w:tc>
        <w:tc>
          <w:tcPr>
            <w:tcW w:w="919" w:type="pct"/>
            <w:vAlign w:val="center"/>
          </w:tcPr>
          <w:p w14:paraId="2ED48952" w14:textId="77777777" w:rsidR="00B14D53" w:rsidRDefault="00000000">
            <w:pPr>
              <w:contextualSpacing/>
              <w:jc w:val="center"/>
              <w:rPr>
                <w:szCs w:val="21"/>
              </w:rPr>
            </w:pPr>
            <w:r>
              <w:rPr>
                <w:rFonts w:hint="eastAsia"/>
                <w:szCs w:val="21"/>
              </w:rPr>
              <w:t>0.0079</w:t>
            </w:r>
          </w:p>
        </w:tc>
        <w:tc>
          <w:tcPr>
            <w:tcW w:w="938" w:type="pct"/>
            <w:vAlign w:val="center"/>
          </w:tcPr>
          <w:p w14:paraId="2AA4E08A" w14:textId="77777777" w:rsidR="00B14D53" w:rsidRDefault="00000000">
            <w:pPr>
              <w:contextualSpacing/>
              <w:jc w:val="center"/>
              <w:rPr>
                <w:szCs w:val="21"/>
              </w:rPr>
            </w:pPr>
            <w:r>
              <w:rPr>
                <w:rFonts w:hint="eastAsia"/>
                <w:szCs w:val="21"/>
              </w:rPr>
              <w:t>0.0795</w:t>
            </w:r>
          </w:p>
        </w:tc>
      </w:tr>
      <w:tr w:rsidR="00B14D53" w14:paraId="2C29BDA9" w14:textId="77777777">
        <w:trPr>
          <w:trHeight w:val="285"/>
          <w:jc w:val="center"/>
        </w:trPr>
        <w:tc>
          <w:tcPr>
            <w:tcW w:w="1052" w:type="pct"/>
            <w:vAlign w:val="center"/>
          </w:tcPr>
          <w:p w14:paraId="40786418" w14:textId="77777777" w:rsidR="00B14D53" w:rsidRDefault="00000000">
            <w:pPr>
              <w:contextualSpacing/>
              <w:jc w:val="center"/>
              <w:rPr>
                <w:szCs w:val="21"/>
              </w:rPr>
            </w:pPr>
            <w:r>
              <w:rPr>
                <w:szCs w:val="21"/>
              </w:rPr>
              <w:t>400</w:t>
            </w:r>
          </w:p>
        </w:tc>
        <w:tc>
          <w:tcPr>
            <w:tcW w:w="1170" w:type="pct"/>
            <w:vAlign w:val="center"/>
          </w:tcPr>
          <w:p w14:paraId="65A4B8D8" w14:textId="77777777" w:rsidR="00B14D53" w:rsidRDefault="00000000">
            <w:pPr>
              <w:contextualSpacing/>
              <w:jc w:val="center"/>
              <w:rPr>
                <w:szCs w:val="21"/>
              </w:rPr>
            </w:pPr>
            <w:r>
              <w:rPr>
                <w:rFonts w:hint="eastAsia"/>
                <w:szCs w:val="21"/>
              </w:rPr>
              <w:t>0.1276</w:t>
            </w:r>
          </w:p>
        </w:tc>
        <w:tc>
          <w:tcPr>
            <w:tcW w:w="919" w:type="pct"/>
            <w:vAlign w:val="center"/>
          </w:tcPr>
          <w:p w14:paraId="7B542549" w14:textId="77777777" w:rsidR="00B14D53" w:rsidRDefault="00000000">
            <w:pPr>
              <w:contextualSpacing/>
              <w:jc w:val="center"/>
              <w:rPr>
                <w:szCs w:val="21"/>
              </w:rPr>
            </w:pPr>
            <w:r>
              <w:rPr>
                <w:rFonts w:hint="eastAsia"/>
                <w:szCs w:val="21"/>
              </w:rPr>
              <w:t>0.0638</w:t>
            </w:r>
          </w:p>
        </w:tc>
        <w:tc>
          <w:tcPr>
            <w:tcW w:w="919" w:type="pct"/>
            <w:vAlign w:val="center"/>
          </w:tcPr>
          <w:p w14:paraId="66275428" w14:textId="77777777" w:rsidR="00B14D53" w:rsidRDefault="00000000">
            <w:pPr>
              <w:contextualSpacing/>
              <w:jc w:val="center"/>
              <w:rPr>
                <w:szCs w:val="21"/>
              </w:rPr>
            </w:pPr>
            <w:r>
              <w:rPr>
                <w:rFonts w:hint="eastAsia"/>
                <w:szCs w:val="21"/>
              </w:rPr>
              <w:t>0.0064</w:t>
            </w:r>
          </w:p>
        </w:tc>
        <w:tc>
          <w:tcPr>
            <w:tcW w:w="938" w:type="pct"/>
            <w:vAlign w:val="center"/>
          </w:tcPr>
          <w:p w14:paraId="0DD47F71" w14:textId="77777777" w:rsidR="00B14D53" w:rsidRDefault="00000000">
            <w:pPr>
              <w:contextualSpacing/>
              <w:jc w:val="center"/>
              <w:rPr>
                <w:szCs w:val="21"/>
              </w:rPr>
            </w:pPr>
            <w:r>
              <w:rPr>
                <w:rFonts w:hint="eastAsia"/>
                <w:szCs w:val="21"/>
              </w:rPr>
              <w:t>0.0638</w:t>
            </w:r>
          </w:p>
        </w:tc>
      </w:tr>
      <w:tr w:rsidR="00B14D53" w14:paraId="24053237" w14:textId="77777777">
        <w:trPr>
          <w:trHeight w:val="70"/>
          <w:jc w:val="center"/>
        </w:trPr>
        <w:tc>
          <w:tcPr>
            <w:tcW w:w="1052" w:type="pct"/>
            <w:vAlign w:val="center"/>
          </w:tcPr>
          <w:p w14:paraId="585DCB4B" w14:textId="77777777" w:rsidR="00B14D53" w:rsidRDefault="00000000">
            <w:pPr>
              <w:contextualSpacing/>
              <w:jc w:val="center"/>
              <w:rPr>
                <w:szCs w:val="21"/>
              </w:rPr>
            </w:pPr>
            <w:r>
              <w:rPr>
                <w:szCs w:val="21"/>
              </w:rPr>
              <w:t>500</w:t>
            </w:r>
          </w:p>
        </w:tc>
        <w:tc>
          <w:tcPr>
            <w:tcW w:w="1170" w:type="pct"/>
            <w:vAlign w:val="center"/>
          </w:tcPr>
          <w:p w14:paraId="214CE05A" w14:textId="77777777" w:rsidR="00B14D53" w:rsidRDefault="00000000">
            <w:pPr>
              <w:contextualSpacing/>
              <w:jc w:val="center"/>
              <w:rPr>
                <w:szCs w:val="21"/>
              </w:rPr>
            </w:pPr>
            <w:r>
              <w:rPr>
                <w:rFonts w:hint="eastAsia"/>
                <w:szCs w:val="21"/>
              </w:rPr>
              <w:t>0.1049</w:t>
            </w:r>
          </w:p>
        </w:tc>
        <w:tc>
          <w:tcPr>
            <w:tcW w:w="919" w:type="pct"/>
            <w:vAlign w:val="center"/>
          </w:tcPr>
          <w:p w14:paraId="1D47A9F3" w14:textId="77777777" w:rsidR="00B14D53" w:rsidRDefault="00000000">
            <w:pPr>
              <w:contextualSpacing/>
              <w:jc w:val="center"/>
              <w:rPr>
                <w:szCs w:val="21"/>
              </w:rPr>
            </w:pPr>
            <w:r>
              <w:rPr>
                <w:rFonts w:hint="eastAsia"/>
                <w:szCs w:val="21"/>
              </w:rPr>
              <w:t>0.0524</w:t>
            </w:r>
          </w:p>
        </w:tc>
        <w:tc>
          <w:tcPr>
            <w:tcW w:w="919" w:type="pct"/>
            <w:vAlign w:val="center"/>
          </w:tcPr>
          <w:p w14:paraId="614F8D2B" w14:textId="77777777" w:rsidR="00B14D53" w:rsidRDefault="00000000">
            <w:pPr>
              <w:contextualSpacing/>
              <w:jc w:val="center"/>
              <w:rPr>
                <w:szCs w:val="21"/>
              </w:rPr>
            </w:pPr>
            <w:r>
              <w:rPr>
                <w:rFonts w:hint="eastAsia"/>
                <w:szCs w:val="21"/>
              </w:rPr>
              <w:t>0.0052</w:t>
            </w:r>
          </w:p>
        </w:tc>
        <w:tc>
          <w:tcPr>
            <w:tcW w:w="938" w:type="pct"/>
            <w:vAlign w:val="center"/>
          </w:tcPr>
          <w:p w14:paraId="43E785CF" w14:textId="77777777" w:rsidR="00B14D53" w:rsidRDefault="00000000">
            <w:pPr>
              <w:contextualSpacing/>
              <w:jc w:val="center"/>
              <w:rPr>
                <w:szCs w:val="21"/>
              </w:rPr>
            </w:pPr>
            <w:r>
              <w:rPr>
                <w:rFonts w:hint="eastAsia"/>
                <w:szCs w:val="21"/>
              </w:rPr>
              <w:t>0.0524</w:t>
            </w:r>
          </w:p>
        </w:tc>
      </w:tr>
      <w:tr w:rsidR="00B14D53" w14:paraId="3AC7A800" w14:textId="77777777">
        <w:trPr>
          <w:trHeight w:val="291"/>
          <w:jc w:val="center"/>
        </w:trPr>
        <w:tc>
          <w:tcPr>
            <w:tcW w:w="1052" w:type="pct"/>
            <w:vAlign w:val="center"/>
          </w:tcPr>
          <w:p w14:paraId="76641D8D" w14:textId="77777777" w:rsidR="00B14D53" w:rsidRDefault="00000000">
            <w:pPr>
              <w:contextualSpacing/>
              <w:jc w:val="center"/>
              <w:rPr>
                <w:szCs w:val="21"/>
              </w:rPr>
            </w:pPr>
            <w:r>
              <w:rPr>
                <w:szCs w:val="21"/>
              </w:rPr>
              <w:t>600</w:t>
            </w:r>
          </w:p>
        </w:tc>
        <w:tc>
          <w:tcPr>
            <w:tcW w:w="1170" w:type="pct"/>
            <w:vAlign w:val="center"/>
          </w:tcPr>
          <w:p w14:paraId="79CEA58D" w14:textId="77777777" w:rsidR="00B14D53" w:rsidRDefault="00000000">
            <w:pPr>
              <w:contextualSpacing/>
              <w:jc w:val="center"/>
              <w:rPr>
                <w:szCs w:val="21"/>
              </w:rPr>
            </w:pPr>
            <w:r>
              <w:rPr>
                <w:rFonts w:hint="eastAsia"/>
                <w:szCs w:val="21"/>
              </w:rPr>
              <w:t>0.0975</w:t>
            </w:r>
          </w:p>
        </w:tc>
        <w:tc>
          <w:tcPr>
            <w:tcW w:w="919" w:type="pct"/>
            <w:vAlign w:val="center"/>
          </w:tcPr>
          <w:p w14:paraId="07B211D4" w14:textId="77777777" w:rsidR="00B14D53" w:rsidRDefault="00000000">
            <w:pPr>
              <w:contextualSpacing/>
              <w:jc w:val="center"/>
              <w:rPr>
                <w:szCs w:val="21"/>
              </w:rPr>
            </w:pPr>
            <w:r>
              <w:rPr>
                <w:rFonts w:hint="eastAsia"/>
                <w:szCs w:val="21"/>
              </w:rPr>
              <w:t>0.0488</w:t>
            </w:r>
          </w:p>
        </w:tc>
        <w:tc>
          <w:tcPr>
            <w:tcW w:w="919" w:type="pct"/>
            <w:vAlign w:val="center"/>
          </w:tcPr>
          <w:p w14:paraId="5562B261" w14:textId="77777777" w:rsidR="00B14D53" w:rsidRDefault="00000000">
            <w:pPr>
              <w:contextualSpacing/>
              <w:jc w:val="center"/>
              <w:rPr>
                <w:szCs w:val="21"/>
              </w:rPr>
            </w:pPr>
            <w:r>
              <w:rPr>
                <w:rFonts w:hint="eastAsia"/>
                <w:szCs w:val="21"/>
              </w:rPr>
              <w:t>0.0049</w:t>
            </w:r>
          </w:p>
        </w:tc>
        <w:tc>
          <w:tcPr>
            <w:tcW w:w="938" w:type="pct"/>
            <w:vAlign w:val="center"/>
          </w:tcPr>
          <w:p w14:paraId="46620E33" w14:textId="77777777" w:rsidR="00B14D53" w:rsidRDefault="00000000">
            <w:pPr>
              <w:contextualSpacing/>
              <w:jc w:val="center"/>
              <w:rPr>
                <w:szCs w:val="21"/>
              </w:rPr>
            </w:pPr>
            <w:r>
              <w:rPr>
                <w:rFonts w:hint="eastAsia"/>
                <w:szCs w:val="21"/>
              </w:rPr>
              <w:t>0.0488</w:t>
            </w:r>
          </w:p>
        </w:tc>
      </w:tr>
      <w:tr w:rsidR="00B14D53" w14:paraId="05F26DC4" w14:textId="77777777">
        <w:trPr>
          <w:trHeight w:val="285"/>
          <w:jc w:val="center"/>
        </w:trPr>
        <w:tc>
          <w:tcPr>
            <w:tcW w:w="1052" w:type="pct"/>
            <w:vAlign w:val="center"/>
          </w:tcPr>
          <w:p w14:paraId="1884C9F1" w14:textId="77777777" w:rsidR="00B14D53" w:rsidRDefault="00000000">
            <w:pPr>
              <w:contextualSpacing/>
              <w:jc w:val="center"/>
              <w:rPr>
                <w:szCs w:val="21"/>
              </w:rPr>
            </w:pPr>
            <w:r>
              <w:rPr>
                <w:szCs w:val="21"/>
              </w:rPr>
              <w:t>700</w:t>
            </w:r>
          </w:p>
        </w:tc>
        <w:tc>
          <w:tcPr>
            <w:tcW w:w="1170" w:type="pct"/>
            <w:vAlign w:val="center"/>
          </w:tcPr>
          <w:p w14:paraId="3943D008" w14:textId="77777777" w:rsidR="00B14D53" w:rsidRDefault="00000000">
            <w:pPr>
              <w:contextualSpacing/>
              <w:jc w:val="center"/>
              <w:rPr>
                <w:szCs w:val="21"/>
              </w:rPr>
            </w:pPr>
            <w:r>
              <w:rPr>
                <w:rFonts w:hint="eastAsia"/>
                <w:szCs w:val="21"/>
              </w:rPr>
              <w:t>0.0937</w:t>
            </w:r>
          </w:p>
        </w:tc>
        <w:tc>
          <w:tcPr>
            <w:tcW w:w="919" w:type="pct"/>
            <w:vAlign w:val="center"/>
          </w:tcPr>
          <w:p w14:paraId="7990A68F" w14:textId="77777777" w:rsidR="00B14D53" w:rsidRDefault="00000000">
            <w:pPr>
              <w:contextualSpacing/>
              <w:jc w:val="center"/>
              <w:rPr>
                <w:szCs w:val="21"/>
              </w:rPr>
            </w:pPr>
            <w:r>
              <w:rPr>
                <w:rFonts w:hint="eastAsia"/>
                <w:szCs w:val="21"/>
              </w:rPr>
              <w:t>0.0468</w:t>
            </w:r>
          </w:p>
        </w:tc>
        <w:tc>
          <w:tcPr>
            <w:tcW w:w="919" w:type="pct"/>
            <w:vAlign w:val="center"/>
          </w:tcPr>
          <w:p w14:paraId="3D52AC1E" w14:textId="77777777" w:rsidR="00B14D53" w:rsidRDefault="00000000">
            <w:pPr>
              <w:contextualSpacing/>
              <w:jc w:val="center"/>
              <w:rPr>
                <w:szCs w:val="21"/>
              </w:rPr>
            </w:pPr>
            <w:r>
              <w:rPr>
                <w:rFonts w:hint="eastAsia"/>
                <w:szCs w:val="21"/>
              </w:rPr>
              <w:t>0.0047</w:t>
            </w:r>
          </w:p>
        </w:tc>
        <w:tc>
          <w:tcPr>
            <w:tcW w:w="938" w:type="pct"/>
            <w:vAlign w:val="center"/>
          </w:tcPr>
          <w:p w14:paraId="27A1D198" w14:textId="77777777" w:rsidR="00B14D53" w:rsidRDefault="00000000">
            <w:pPr>
              <w:contextualSpacing/>
              <w:jc w:val="center"/>
              <w:rPr>
                <w:szCs w:val="21"/>
              </w:rPr>
            </w:pPr>
            <w:r>
              <w:rPr>
                <w:rFonts w:hint="eastAsia"/>
                <w:szCs w:val="21"/>
              </w:rPr>
              <w:t>0.0468</w:t>
            </w:r>
          </w:p>
        </w:tc>
      </w:tr>
      <w:tr w:rsidR="00B14D53" w14:paraId="5DCA9523" w14:textId="77777777">
        <w:trPr>
          <w:trHeight w:val="285"/>
          <w:jc w:val="center"/>
        </w:trPr>
        <w:tc>
          <w:tcPr>
            <w:tcW w:w="1052" w:type="pct"/>
            <w:vAlign w:val="center"/>
          </w:tcPr>
          <w:p w14:paraId="4069BEDC" w14:textId="77777777" w:rsidR="00B14D53" w:rsidRDefault="00000000">
            <w:pPr>
              <w:contextualSpacing/>
              <w:jc w:val="center"/>
              <w:rPr>
                <w:szCs w:val="21"/>
              </w:rPr>
            </w:pPr>
            <w:r>
              <w:rPr>
                <w:szCs w:val="21"/>
              </w:rPr>
              <w:t>800</w:t>
            </w:r>
          </w:p>
        </w:tc>
        <w:tc>
          <w:tcPr>
            <w:tcW w:w="1170" w:type="pct"/>
            <w:vAlign w:val="center"/>
          </w:tcPr>
          <w:p w14:paraId="33CBE2C7" w14:textId="77777777" w:rsidR="00B14D53" w:rsidRDefault="00000000">
            <w:pPr>
              <w:contextualSpacing/>
              <w:jc w:val="center"/>
              <w:rPr>
                <w:szCs w:val="21"/>
              </w:rPr>
            </w:pPr>
            <w:r>
              <w:rPr>
                <w:rFonts w:hint="eastAsia"/>
                <w:szCs w:val="21"/>
              </w:rPr>
              <w:t>0.0895</w:t>
            </w:r>
          </w:p>
        </w:tc>
        <w:tc>
          <w:tcPr>
            <w:tcW w:w="919" w:type="pct"/>
            <w:vAlign w:val="center"/>
          </w:tcPr>
          <w:p w14:paraId="2FC7B281" w14:textId="77777777" w:rsidR="00B14D53" w:rsidRDefault="00000000">
            <w:pPr>
              <w:contextualSpacing/>
              <w:jc w:val="center"/>
              <w:rPr>
                <w:szCs w:val="21"/>
              </w:rPr>
            </w:pPr>
            <w:r>
              <w:rPr>
                <w:rFonts w:hint="eastAsia"/>
                <w:szCs w:val="21"/>
              </w:rPr>
              <w:t>0.0448</w:t>
            </w:r>
          </w:p>
        </w:tc>
        <w:tc>
          <w:tcPr>
            <w:tcW w:w="919" w:type="pct"/>
            <w:vAlign w:val="center"/>
          </w:tcPr>
          <w:p w14:paraId="1B17B9E9" w14:textId="77777777" w:rsidR="00B14D53" w:rsidRDefault="00000000">
            <w:pPr>
              <w:contextualSpacing/>
              <w:jc w:val="center"/>
              <w:rPr>
                <w:szCs w:val="21"/>
              </w:rPr>
            </w:pPr>
            <w:r>
              <w:rPr>
                <w:rFonts w:hint="eastAsia"/>
                <w:szCs w:val="21"/>
              </w:rPr>
              <w:t>0.0045</w:t>
            </w:r>
          </w:p>
        </w:tc>
        <w:tc>
          <w:tcPr>
            <w:tcW w:w="938" w:type="pct"/>
            <w:vAlign w:val="center"/>
          </w:tcPr>
          <w:p w14:paraId="7843D836" w14:textId="77777777" w:rsidR="00B14D53" w:rsidRDefault="00000000">
            <w:pPr>
              <w:contextualSpacing/>
              <w:jc w:val="center"/>
              <w:rPr>
                <w:szCs w:val="21"/>
              </w:rPr>
            </w:pPr>
            <w:r>
              <w:rPr>
                <w:rFonts w:hint="eastAsia"/>
                <w:szCs w:val="21"/>
              </w:rPr>
              <w:t>0.0448</w:t>
            </w:r>
          </w:p>
        </w:tc>
      </w:tr>
      <w:tr w:rsidR="00B14D53" w14:paraId="308FFCD5" w14:textId="77777777">
        <w:trPr>
          <w:trHeight w:val="285"/>
          <w:jc w:val="center"/>
        </w:trPr>
        <w:tc>
          <w:tcPr>
            <w:tcW w:w="1052" w:type="pct"/>
            <w:vAlign w:val="center"/>
          </w:tcPr>
          <w:p w14:paraId="3FC853EE" w14:textId="77777777" w:rsidR="00B14D53" w:rsidRDefault="00000000">
            <w:pPr>
              <w:contextualSpacing/>
              <w:jc w:val="center"/>
              <w:rPr>
                <w:szCs w:val="21"/>
              </w:rPr>
            </w:pPr>
            <w:r>
              <w:rPr>
                <w:szCs w:val="21"/>
              </w:rPr>
              <w:t>900</w:t>
            </w:r>
          </w:p>
        </w:tc>
        <w:tc>
          <w:tcPr>
            <w:tcW w:w="1170" w:type="pct"/>
            <w:vAlign w:val="center"/>
          </w:tcPr>
          <w:p w14:paraId="0348A0BD" w14:textId="77777777" w:rsidR="00B14D53" w:rsidRDefault="00000000">
            <w:pPr>
              <w:contextualSpacing/>
              <w:jc w:val="center"/>
              <w:rPr>
                <w:szCs w:val="21"/>
              </w:rPr>
            </w:pPr>
            <w:r>
              <w:rPr>
                <w:rFonts w:hint="eastAsia"/>
                <w:szCs w:val="21"/>
              </w:rPr>
              <w:t>0.0848</w:t>
            </w:r>
          </w:p>
        </w:tc>
        <w:tc>
          <w:tcPr>
            <w:tcW w:w="919" w:type="pct"/>
            <w:vAlign w:val="center"/>
          </w:tcPr>
          <w:p w14:paraId="144B2CE2" w14:textId="77777777" w:rsidR="00B14D53" w:rsidRDefault="00000000">
            <w:pPr>
              <w:contextualSpacing/>
              <w:jc w:val="center"/>
              <w:rPr>
                <w:szCs w:val="21"/>
              </w:rPr>
            </w:pPr>
            <w:r>
              <w:rPr>
                <w:rFonts w:hint="eastAsia"/>
                <w:szCs w:val="21"/>
              </w:rPr>
              <w:t>0.0424</w:t>
            </w:r>
          </w:p>
        </w:tc>
        <w:tc>
          <w:tcPr>
            <w:tcW w:w="919" w:type="pct"/>
            <w:vAlign w:val="center"/>
          </w:tcPr>
          <w:p w14:paraId="230592C0" w14:textId="77777777" w:rsidR="00B14D53" w:rsidRDefault="00000000">
            <w:pPr>
              <w:contextualSpacing/>
              <w:jc w:val="center"/>
              <w:rPr>
                <w:szCs w:val="21"/>
              </w:rPr>
            </w:pPr>
            <w:r>
              <w:rPr>
                <w:rFonts w:hint="eastAsia"/>
                <w:szCs w:val="21"/>
              </w:rPr>
              <w:t>0.0042</w:t>
            </w:r>
          </w:p>
        </w:tc>
        <w:tc>
          <w:tcPr>
            <w:tcW w:w="938" w:type="pct"/>
            <w:vAlign w:val="center"/>
          </w:tcPr>
          <w:p w14:paraId="27DBA685" w14:textId="77777777" w:rsidR="00B14D53" w:rsidRDefault="00000000">
            <w:pPr>
              <w:contextualSpacing/>
              <w:jc w:val="center"/>
              <w:rPr>
                <w:szCs w:val="21"/>
              </w:rPr>
            </w:pPr>
            <w:r>
              <w:rPr>
                <w:rFonts w:hint="eastAsia"/>
                <w:szCs w:val="21"/>
              </w:rPr>
              <w:t>0.0424</w:t>
            </w:r>
          </w:p>
        </w:tc>
      </w:tr>
      <w:tr w:rsidR="00B14D53" w14:paraId="5D47FDF2" w14:textId="77777777">
        <w:trPr>
          <w:trHeight w:val="70"/>
          <w:jc w:val="center"/>
        </w:trPr>
        <w:tc>
          <w:tcPr>
            <w:tcW w:w="1052" w:type="pct"/>
            <w:vAlign w:val="center"/>
          </w:tcPr>
          <w:p w14:paraId="1EE339EB" w14:textId="77777777" w:rsidR="00B14D53" w:rsidRDefault="00000000">
            <w:pPr>
              <w:contextualSpacing/>
              <w:jc w:val="center"/>
              <w:rPr>
                <w:szCs w:val="21"/>
              </w:rPr>
            </w:pPr>
            <w:r>
              <w:rPr>
                <w:szCs w:val="21"/>
              </w:rPr>
              <w:t>1000</w:t>
            </w:r>
          </w:p>
        </w:tc>
        <w:tc>
          <w:tcPr>
            <w:tcW w:w="1170" w:type="pct"/>
            <w:vAlign w:val="center"/>
          </w:tcPr>
          <w:p w14:paraId="0E31AB3D" w14:textId="77777777" w:rsidR="00B14D53" w:rsidRDefault="00000000">
            <w:pPr>
              <w:contextualSpacing/>
              <w:jc w:val="center"/>
              <w:rPr>
                <w:szCs w:val="21"/>
              </w:rPr>
            </w:pPr>
            <w:r>
              <w:rPr>
                <w:rFonts w:hint="eastAsia"/>
                <w:szCs w:val="21"/>
              </w:rPr>
              <w:t>0.0788</w:t>
            </w:r>
          </w:p>
        </w:tc>
        <w:tc>
          <w:tcPr>
            <w:tcW w:w="919" w:type="pct"/>
            <w:vAlign w:val="center"/>
          </w:tcPr>
          <w:p w14:paraId="228305D9" w14:textId="77777777" w:rsidR="00B14D53" w:rsidRDefault="00000000">
            <w:pPr>
              <w:contextualSpacing/>
              <w:jc w:val="center"/>
              <w:rPr>
                <w:szCs w:val="21"/>
              </w:rPr>
            </w:pPr>
            <w:r>
              <w:rPr>
                <w:rFonts w:hint="eastAsia"/>
                <w:szCs w:val="21"/>
              </w:rPr>
              <w:t>0.0394</w:t>
            </w:r>
          </w:p>
        </w:tc>
        <w:tc>
          <w:tcPr>
            <w:tcW w:w="919" w:type="pct"/>
            <w:vAlign w:val="center"/>
          </w:tcPr>
          <w:p w14:paraId="178422A3" w14:textId="77777777" w:rsidR="00B14D53" w:rsidRDefault="00000000">
            <w:pPr>
              <w:contextualSpacing/>
              <w:jc w:val="center"/>
              <w:rPr>
                <w:szCs w:val="21"/>
              </w:rPr>
            </w:pPr>
            <w:r>
              <w:rPr>
                <w:rFonts w:hint="eastAsia"/>
                <w:szCs w:val="21"/>
              </w:rPr>
              <w:t>0.0039</w:t>
            </w:r>
          </w:p>
        </w:tc>
        <w:tc>
          <w:tcPr>
            <w:tcW w:w="938" w:type="pct"/>
            <w:vAlign w:val="center"/>
          </w:tcPr>
          <w:p w14:paraId="433181A9" w14:textId="77777777" w:rsidR="00B14D53" w:rsidRDefault="00000000">
            <w:pPr>
              <w:contextualSpacing/>
              <w:jc w:val="center"/>
              <w:rPr>
                <w:szCs w:val="21"/>
              </w:rPr>
            </w:pPr>
            <w:r>
              <w:rPr>
                <w:rFonts w:hint="eastAsia"/>
                <w:szCs w:val="21"/>
              </w:rPr>
              <w:t>0.0394</w:t>
            </w:r>
          </w:p>
        </w:tc>
      </w:tr>
      <w:tr w:rsidR="00B14D53" w14:paraId="180DAEC7" w14:textId="77777777">
        <w:trPr>
          <w:trHeight w:val="285"/>
          <w:jc w:val="center"/>
        </w:trPr>
        <w:tc>
          <w:tcPr>
            <w:tcW w:w="1052" w:type="pct"/>
            <w:vAlign w:val="center"/>
          </w:tcPr>
          <w:p w14:paraId="2DE606AE" w14:textId="77777777" w:rsidR="00B14D53" w:rsidRDefault="00000000">
            <w:pPr>
              <w:contextualSpacing/>
              <w:jc w:val="center"/>
              <w:rPr>
                <w:szCs w:val="21"/>
              </w:rPr>
            </w:pPr>
            <w:r>
              <w:rPr>
                <w:szCs w:val="21"/>
              </w:rPr>
              <w:t>1600</w:t>
            </w:r>
          </w:p>
        </w:tc>
        <w:tc>
          <w:tcPr>
            <w:tcW w:w="1170" w:type="pct"/>
            <w:vAlign w:val="center"/>
          </w:tcPr>
          <w:p w14:paraId="6C9B0BE9" w14:textId="77777777" w:rsidR="00B14D53" w:rsidRDefault="00000000">
            <w:pPr>
              <w:contextualSpacing/>
              <w:jc w:val="center"/>
              <w:rPr>
                <w:szCs w:val="21"/>
              </w:rPr>
            </w:pPr>
            <w:r>
              <w:rPr>
                <w:rFonts w:hint="eastAsia"/>
                <w:szCs w:val="21"/>
              </w:rPr>
              <w:t>0.1630</w:t>
            </w:r>
          </w:p>
        </w:tc>
        <w:tc>
          <w:tcPr>
            <w:tcW w:w="919" w:type="pct"/>
            <w:vAlign w:val="center"/>
          </w:tcPr>
          <w:p w14:paraId="1324ED85" w14:textId="77777777" w:rsidR="00B14D53" w:rsidRDefault="00000000">
            <w:pPr>
              <w:contextualSpacing/>
              <w:jc w:val="center"/>
              <w:rPr>
                <w:szCs w:val="21"/>
              </w:rPr>
            </w:pPr>
            <w:r>
              <w:rPr>
                <w:rFonts w:hint="eastAsia"/>
                <w:szCs w:val="21"/>
              </w:rPr>
              <w:t>0.0815</w:t>
            </w:r>
          </w:p>
        </w:tc>
        <w:tc>
          <w:tcPr>
            <w:tcW w:w="919" w:type="pct"/>
            <w:vAlign w:val="center"/>
          </w:tcPr>
          <w:p w14:paraId="0AB8D52C" w14:textId="77777777" w:rsidR="00B14D53" w:rsidRDefault="00000000">
            <w:pPr>
              <w:contextualSpacing/>
              <w:jc w:val="center"/>
              <w:rPr>
                <w:szCs w:val="21"/>
              </w:rPr>
            </w:pPr>
            <w:r>
              <w:rPr>
                <w:rFonts w:hint="eastAsia"/>
                <w:szCs w:val="21"/>
              </w:rPr>
              <w:t>0.0082</w:t>
            </w:r>
          </w:p>
        </w:tc>
        <w:tc>
          <w:tcPr>
            <w:tcW w:w="938" w:type="pct"/>
            <w:vAlign w:val="center"/>
          </w:tcPr>
          <w:p w14:paraId="6FD6A1E5" w14:textId="77777777" w:rsidR="00B14D53" w:rsidRDefault="00000000">
            <w:pPr>
              <w:contextualSpacing/>
              <w:jc w:val="center"/>
              <w:rPr>
                <w:szCs w:val="21"/>
              </w:rPr>
            </w:pPr>
            <w:r>
              <w:rPr>
                <w:rFonts w:hint="eastAsia"/>
                <w:szCs w:val="21"/>
              </w:rPr>
              <w:t>0.0815</w:t>
            </w:r>
          </w:p>
        </w:tc>
      </w:tr>
      <w:tr w:rsidR="00B14D53" w14:paraId="578E8193" w14:textId="77777777">
        <w:trPr>
          <w:trHeight w:val="285"/>
          <w:jc w:val="center"/>
        </w:trPr>
        <w:tc>
          <w:tcPr>
            <w:tcW w:w="1052" w:type="pct"/>
            <w:vAlign w:val="center"/>
          </w:tcPr>
          <w:p w14:paraId="5FF6C103" w14:textId="77777777" w:rsidR="00B14D53" w:rsidRDefault="00000000">
            <w:pPr>
              <w:contextualSpacing/>
              <w:jc w:val="center"/>
              <w:rPr>
                <w:szCs w:val="21"/>
              </w:rPr>
            </w:pPr>
            <w:r>
              <w:rPr>
                <w:szCs w:val="21"/>
              </w:rPr>
              <w:t>2000</w:t>
            </w:r>
          </w:p>
        </w:tc>
        <w:tc>
          <w:tcPr>
            <w:tcW w:w="1170" w:type="pct"/>
            <w:vAlign w:val="center"/>
          </w:tcPr>
          <w:p w14:paraId="18577D30" w14:textId="77777777" w:rsidR="00B14D53" w:rsidRDefault="00000000">
            <w:pPr>
              <w:contextualSpacing/>
              <w:jc w:val="center"/>
              <w:rPr>
                <w:szCs w:val="21"/>
              </w:rPr>
            </w:pPr>
            <w:r>
              <w:rPr>
                <w:rFonts w:hint="eastAsia"/>
                <w:szCs w:val="21"/>
              </w:rPr>
              <w:t>0.1526</w:t>
            </w:r>
          </w:p>
        </w:tc>
        <w:tc>
          <w:tcPr>
            <w:tcW w:w="919" w:type="pct"/>
            <w:vAlign w:val="center"/>
          </w:tcPr>
          <w:p w14:paraId="6F6A5FE5" w14:textId="77777777" w:rsidR="00B14D53" w:rsidRDefault="00000000">
            <w:pPr>
              <w:contextualSpacing/>
              <w:jc w:val="center"/>
              <w:rPr>
                <w:szCs w:val="21"/>
              </w:rPr>
            </w:pPr>
            <w:r>
              <w:rPr>
                <w:rFonts w:hint="eastAsia"/>
                <w:szCs w:val="21"/>
              </w:rPr>
              <w:t>0.0763</w:t>
            </w:r>
          </w:p>
        </w:tc>
        <w:tc>
          <w:tcPr>
            <w:tcW w:w="919" w:type="pct"/>
            <w:vAlign w:val="center"/>
          </w:tcPr>
          <w:p w14:paraId="5EEDBCA4" w14:textId="77777777" w:rsidR="00B14D53" w:rsidRDefault="00000000">
            <w:pPr>
              <w:contextualSpacing/>
              <w:jc w:val="center"/>
              <w:rPr>
                <w:szCs w:val="21"/>
              </w:rPr>
            </w:pPr>
            <w:r>
              <w:rPr>
                <w:rFonts w:hint="eastAsia"/>
                <w:szCs w:val="21"/>
              </w:rPr>
              <w:t>0.0076</w:t>
            </w:r>
          </w:p>
        </w:tc>
        <w:tc>
          <w:tcPr>
            <w:tcW w:w="938" w:type="pct"/>
            <w:vAlign w:val="center"/>
          </w:tcPr>
          <w:p w14:paraId="616AC182" w14:textId="77777777" w:rsidR="00B14D53" w:rsidRDefault="00000000">
            <w:pPr>
              <w:contextualSpacing/>
              <w:jc w:val="center"/>
              <w:rPr>
                <w:szCs w:val="21"/>
              </w:rPr>
            </w:pPr>
            <w:r>
              <w:rPr>
                <w:rFonts w:hint="eastAsia"/>
                <w:szCs w:val="21"/>
              </w:rPr>
              <w:t>0.0763</w:t>
            </w:r>
          </w:p>
        </w:tc>
      </w:tr>
      <w:tr w:rsidR="00B14D53" w14:paraId="4A065BE1" w14:textId="77777777">
        <w:trPr>
          <w:trHeight w:val="285"/>
          <w:jc w:val="center"/>
        </w:trPr>
        <w:tc>
          <w:tcPr>
            <w:tcW w:w="1052" w:type="pct"/>
            <w:vAlign w:val="center"/>
          </w:tcPr>
          <w:p w14:paraId="110DCD15" w14:textId="77777777" w:rsidR="00B14D53" w:rsidRDefault="00000000">
            <w:pPr>
              <w:contextualSpacing/>
              <w:jc w:val="center"/>
              <w:rPr>
                <w:szCs w:val="21"/>
              </w:rPr>
            </w:pPr>
            <w:r>
              <w:rPr>
                <w:szCs w:val="21"/>
              </w:rPr>
              <w:t>2500</w:t>
            </w:r>
          </w:p>
        </w:tc>
        <w:tc>
          <w:tcPr>
            <w:tcW w:w="1170" w:type="pct"/>
            <w:vAlign w:val="center"/>
          </w:tcPr>
          <w:p w14:paraId="59814896" w14:textId="77777777" w:rsidR="00B14D53" w:rsidRDefault="00000000">
            <w:pPr>
              <w:contextualSpacing/>
              <w:jc w:val="center"/>
              <w:rPr>
                <w:szCs w:val="21"/>
              </w:rPr>
            </w:pPr>
            <w:r>
              <w:rPr>
                <w:rFonts w:hint="eastAsia"/>
                <w:szCs w:val="21"/>
              </w:rPr>
              <w:t>0.1188</w:t>
            </w:r>
          </w:p>
        </w:tc>
        <w:tc>
          <w:tcPr>
            <w:tcW w:w="919" w:type="pct"/>
            <w:vAlign w:val="center"/>
          </w:tcPr>
          <w:p w14:paraId="4FCA97E7" w14:textId="77777777" w:rsidR="00B14D53" w:rsidRDefault="00000000">
            <w:pPr>
              <w:contextualSpacing/>
              <w:jc w:val="center"/>
              <w:rPr>
                <w:szCs w:val="21"/>
              </w:rPr>
            </w:pPr>
            <w:r>
              <w:rPr>
                <w:rFonts w:hint="eastAsia"/>
                <w:szCs w:val="21"/>
              </w:rPr>
              <w:t>0.0594</w:t>
            </w:r>
          </w:p>
        </w:tc>
        <w:tc>
          <w:tcPr>
            <w:tcW w:w="919" w:type="pct"/>
            <w:vAlign w:val="center"/>
          </w:tcPr>
          <w:p w14:paraId="2A326AF6" w14:textId="77777777" w:rsidR="00B14D53" w:rsidRDefault="00000000">
            <w:pPr>
              <w:contextualSpacing/>
              <w:jc w:val="center"/>
              <w:rPr>
                <w:szCs w:val="21"/>
              </w:rPr>
            </w:pPr>
            <w:r>
              <w:rPr>
                <w:rFonts w:hint="eastAsia"/>
                <w:szCs w:val="21"/>
              </w:rPr>
              <w:t>0.0059</w:t>
            </w:r>
          </w:p>
        </w:tc>
        <w:tc>
          <w:tcPr>
            <w:tcW w:w="938" w:type="pct"/>
            <w:vAlign w:val="center"/>
          </w:tcPr>
          <w:p w14:paraId="6B3E2460" w14:textId="77777777" w:rsidR="00B14D53" w:rsidRDefault="00000000">
            <w:pPr>
              <w:contextualSpacing/>
              <w:jc w:val="center"/>
              <w:rPr>
                <w:szCs w:val="21"/>
              </w:rPr>
            </w:pPr>
            <w:r>
              <w:rPr>
                <w:rFonts w:hint="eastAsia"/>
                <w:szCs w:val="21"/>
              </w:rPr>
              <w:t>0.0594</w:t>
            </w:r>
          </w:p>
        </w:tc>
      </w:tr>
      <w:tr w:rsidR="00B14D53" w14:paraId="74C51189" w14:textId="77777777">
        <w:trPr>
          <w:trHeight w:val="325"/>
          <w:jc w:val="center"/>
        </w:trPr>
        <w:tc>
          <w:tcPr>
            <w:tcW w:w="1052" w:type="pct"/>
            <w:vAlign w:val="center"/>
          </w:tcPr>
          <w:p w14:paraId="70FF9AE1" w14:textId="77777777" w:rsidR="00B14D53" w:rsidRDefault="00000000">
            <w:pPr>
              <w:contextualSpacing/>
              <w:jc w:val="center"/>
              <w:rPr>
                <w:szCs w:val="21"/>
              </w:rPr>
            </w:pPr>
            <w:r>
              <w:rPr>
                <w:szCs w:val="21"/>
              </w:rPr>
              <w:t>下风向最大浓度</w:t>
            </w:r>
          </w:p>
        </w:tc>
        <w:tc>
          <w:tcPr>
            <w:tcW w:w="1170" w:type="pct"/>
            <w:vAlign w:val="center"/>
          </w:tcPr>
          <w:p w14:paraId="18E5A945" w14:textId="77777777" w:rsidR="00B14D53" w:rsidRDefault="00000000">
            <w:pPr>
              <w:contextualSpacing/>
              <w:jc w:val="center"/>
              <w:rPr>
                <w:szCs w:val="21"/>
              </w:rPr>
            </w:pPr>
            <w:r>
              <w:rPr>
                <w:rFonts w:hint="eastAsia"/>
                <w:szCs w:val="21"/>
              </w:rPr>
              <w:t>0.1954</w:t>
            </w:r>
          </w:p>
        </w:tc>
        <w:tc>
          <w:tcPr>
            <w:tcW w:w="919" w:type="pct"/>
            <w:vAlign w:val="center"/>
          </w:tcPr>
          <w:p w14:paraId="3D9B7589" w14:textId="77777777" w:rsidR="00B14D53" w:rsidRDefault="00000000">
            <w:pPr>
              <w:contextualSpacing/>
              <w:jc w:val="center"/>
              <w:rPr>
                <w:szCs w:val="21"/>
              </w:rPr>
            </w:pPr>
            <w:r>
              <w:rPr>
                <w:rFonts w:hint="eastAsia"/>
                <w:szCs w:val="21"/>
              </w:rPr>
              <w:t>0.0977</w:t>
            </w:r>
          </w:p>
        </w:tc>
        <w:tc>
          <w:tcPr>
            <w:tcW w:w="919" w:type="pct"/>
            <w:vAlign w:val="center"/>
          </w:tcPr>
          <w:p w14:paraId="0FF8EED3" w14:textId="77777777" w:rsidR="00B14D53" w:rsidRDefault="00000000">
            <w:pPr>
              <w:contextualSpacing/>
              <w:jc w:val="center"/>
              <w:rPr>
                <w:szCs w:val="21"/>
              </w:rPr>
            </w:pPr>
            <w:r>
              <w:rPr>
                <w:rFonts w:hint="eastAsia"/>
                <w:szCs w:val="21"/>
              </w:rPr>
              <w:t>0.0098</w:t>
            </w:r>
          </w:p>
        </w:tc>
        <w:tc>
          <w:tcPr>
            <w:tcW w:w="938" w:type="pct"/>
            <w:vAlign w:val="center"/>
          </w:tcPr>
          <w:p w14:paraId="5BEED743" w14:textId="77777777" w:rsidR="00B14D53" w:rsidRDefault="00000000">
            <w:pPr>
              <w:contextualSpacing/>
              <w:jc w:val="center"/>
              <w:rPr>
                <w:szCs w:val="21"/>
              </w:rPr>
            </w:pPr>
            <w:r>
              <w:rPr>
                <w:rFonts w:hint="eastAsia"/>
                <w:szCs w:val="21"/>
              </w:rPr>
              <w:t>0.0977</w:t>
            </w:r>
          </w:p>
        </w:tc>
      </w:tr>
      <w:tr w:rsidR="00B14D53" w14:paraId="2857C90C" w14:textId="77777777">
        <w:trPr>
          <w:trHeight w:val="48"/>
          <w:jc w:val="center"/>
        </w:trPr>
        <w:tc>
          <w:tcPr>
            <w:tcW w:w="1052" w:type="pct"/>
            <w:vAlign w:val="center"/>
          </w:tcPr>
          <w:p w14:paraId="473E99B3" w14:textId="77777777" w:rsidR="00B14D53" w:rsidRDefault="00000000">
            <w:pPr>
              <w:contextualSpacing/>
              <w:jc w:val="center"/>
              <w:rPr>
                <w:szCs w:val="21"/>
              </w:rPr>
            </w:pPr>
            <w:r>
              <w:rPr>
                <w:szCs w:val="21"/>
              </w:rPr>
              <w:t>下风向最大浓度出现距离</w:t>
            </w:r>
          </w:p>
        </w:tc>
        <w:tc>
          <w:tcPr>
            <w:tcW w:w="3947" w:type="pct"/>
            <w:gridSpan w:val="4"/>
            <w:vAlign w:val="center"/>
          </w:tcPr>
          <w:p w14:paraId="479B3547" w14:textId="77777777" w:rsidR="00B14D53" w:rsidRDefault="00000000">
            <w:pPr>
              <w:contextualSpacing/>
              <w:jc w:val="center"/>
              <w:rPr>
                <w:szCs w:val="21"/>
              </w:rPr>
            </w:pPr>
            <w:r>
              <w:rPr>
                <w:rFonts w:hint="eastAsia"/>
                <w:szCs w:val="21"/>
              </w:rPr>
              <w:t>1675m</w:t>
            </w:r>
          </w:p>
        </w:tc>
      </w:tr>
    </w:tbl>
    <w:p w14:paraId="4AC8AC8C" w14:textId="77777777" w:rsidR="00B14D53" w:rsidRDefault="00000000">
      <w:pPr>
        <w:jc w:val="center"/>
        <w:rPr>
          <w:b/>
          <w:bCs/>
        </w:rPr>
      </w:pPr>
      <w:r>
        <w:rPr>
          <w:b/>
          <w:bCs/>
        </w:rPr>
        <w:t>表</w:t>
      </w:r>
      <w:r>
        <w:rPr>
          <w:b/>
          <w:bCs/>
        </w:rPr>
        <w:t>5-2-7</w:t>
      </w:r>
      <w:r>
        <w:rPr>
          <w:rFonts w:hint="eastAsia"/>
          <w:b/>
          <w:bCs/>
        </w:rPr>
        <w:t xml:space="preserve"> </w:t>
      </w:r>
      <w:r>
        <w:rPr>
          <w:b/>
          <w:bCs/>
        </w:rPr>
        <w:t>有组织排放估算模式的计算结果</w:t>
      </w:r>
      <w:r>
        <w:rPr>
          <w:rFonts w:hint="eastAsia"/>
          <w:b/>
          <w:bCs/>
        </w:rPr>
        <w:t>（</w:t>
      </w:r>
      <w:r>
        <w:rPr>
          <w:rFonts w:hint="eastAsia"/>
          <w:b/>
          <w:bCs/>
        </w:rPr>
        <w:t>DA003</w:t>
      </w:r>
      <w:r>
        <w:rPr>
          <w:rFonts w:hint="eastAsia"/>
          <w:b/>
          <w:bCs/>
        </w:rPr>
        <w:t>）</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48"/>
        <w:gridCol w:w="1941"/>
        <w:gridCol w:w="1528"/>
        <w:gridCol w:w="1523"/>
        <w:gridCol w:w="1563"/>
      </w:tblGrid>
      <w:tr w:rsidR="00B14D53" w14:paraId="4C3F0F3F" w14:textId="77777777">
        <w:trPr>
          <w:trHeight w:val="274"/>
          <w:jc w:val="center"/>
        </w:trPr>
        <w:tc>
          <w:tcPr>
            <w:tcW w:w="1052" w:type="pct"/>
            <w:vMerge w:val="restart"/>
            <w:vAlign w:val="center"/>
          </w:tcPr>
          <w:p w14:paraId="0F9052E0" w14:textId="77777777" w:rsidR="00B14D53" w:rsidRDefault="00000000">
            <w:pPr>
              <w:contextualSpacing/>
              <w:jc w:val="center"/>
              <w:rPr>
                <w:b/>
                <w:bCs/>
                <w:szCs w:val="21"/>
              </w:rPr>
            </w:pPr>
            <w:r>
              <w:rPr>
                <w:b/>
                <w:bCs/>
                <w:szCs w:val="21"/>
              </w:rPr>
              <w:t>距离（</w:t>
            </w:r>
            <w:r>
              <w:rPr>
                <w:b/>
                <w:bCs/>
                <w:szCs w:val="21"/>
              </w:rPr>
              <w:t>m</w:t>
            </w:r>
            <w:r>
              <w:rPr>
                <w:b/>
                <w:bCs/>
                <w:szCs w:val="21"/>
              </w:rPr>
              <w:t>）</w:t>
            </w:r>
          </w:p>
        </w:tc>
        <w:tc>
          <w:tcPr>
            <w:tcW w:w="3947" w:type="pct"/>
            <w:gridSpan w:val="4"/>
            <w:vAlign w:val="center"/>
          </w:tcPr>
          <w:p w14:paraId="2EC810F3" w14:textId="77777777" w:rsidR="00B14D53" w:rsidRDefault="00000000">
            <w:pPr>
              <w:contextualSpacing/>
              <w:jc w:val="center"/>
              <w:rPr>
                <w:b/>
                <w:bCs/>
                <w:szCs w:val="21"/>
              </w:rPr>
            </w:pPr>
            <w:r>
              <w:rPr>
                <w:rFonts w:hint="eastAsia"/>
                <w:b/>
                <w:bCs/>
                <w:szCs w:val="21"/>
              </w:rPr>
              <w:t>屠宰车间</w:t>
            </w:r>
            <w:r>
              <w:rPr>
                <w:b/>
                <w:bCs/>
                <w:szCs w:val="21"/>
              </w:rPr>
              <w:t>排气筒</w:t>
            </w:r>
            <w:r>
              <w:rPr>
                <w:rFonts w:hint="eastAsia"/>
                <w:b/>
                <w:bCs/>
                <w:szCs w:val="21"/>
              </w:rPr>
              <w:t>（</w:t>
            </w:r>
            <w:r>
              <w:rPr>
                <w:rFonts w:hint="eastAsia"/>
                <w:b/>
                <w:bCs/>
                <w:szCs w:val="21"/>
              </w:rPr>
              <w:t>DA003</w:t>
            </w:r>
            <w:r>
              <w:rPr>
                <w:rFonts w:hint="eastAsia"/>
                <w:b/>
                <w:bCs/>
                <w:szCs w:val="21"/>
              </w:rPr>
              <w:t>）</w:t>
            </w:r>
          </w:p>
        </w:tc>
      </w:tr>
      <w:tr w:rsidR="00B14D53" w14:paraId="74D51E34" w14:textId="77777777">
        <w:trPr>
          <w:trHeight w:val="70"/>
          <w:jc w:val="center"/>
        </w:trPr>
        <w:tc>
          <w:tcPr>
            <w:tcW w:w="1052" w:type="pct"/>
            <w:vMerge/>
            <w:vAlign w:val="center"/>
          </w:tcPr>
          <w:p w14:paraId="2A38BCFA" w14:textId="77777777" w:rsidR="00B14D53" w:rsidRDefault="00B14D53">
            <w:pPr>
              <w:contextualSpacing/>
              <w:jc w:val="center"/>
              <w:rPr>
                <w:b/>
                <w:bCs/>
                <w:szCs w:val="21"/>
              </w:rPr>
            </w:pPr>
          </w:p>
        </w:tc>
        <w:tc>
          <w:tcPr>
            <w:tcW w:w="2089" w:type="pct"/>
            <w:gridSpan w:val="2"/>
            <w:vAlign w:val="center"/>
          </w:tcPr>
          <w:p w14:paraId="5DB69B89" w14:textId="77777777" w:rsidR="00B14D53" w:rsidRDefault="00000000">
            <w:pPr>
              <w:contextualSpacing/>
              <w:jc w:val="center"/>
              <w:rPr>
                <w:b/>
                <w:bCs/>
                <w:szCs w:val="21"/>
              </w:rPr>
            </w:pPr>
            <w:r>
              <w:rPr>
                <w:b/>
                <w:bCs/>
                <w:szCs w:val="21"/>
              </w:rPr>
              <w:t>NH</w:t>
            </w:r>
            <w:r>
              <w:rPr>
                <w:b/>
                <w:bCs/>
                <w:szCs w:val="21"/>
                <w:vertAlign w:val="subscript"/>
              </w:rPr>
              <w:t>3</w:t>
            </w:r>
          </w:p>
        </w:tc>
        <w:tc>
          <w:tcPr>
            <w:tcW w:w="1858" w:type="pct"/>
            <w:gridSpan w:val="2"/>
            <w:vAlign w:val="center"/>
          </w:tcPr>
          <w:p w14:paraId="4179B302" w14:textId="77777777" w:rsidR="00B14D53" w:rsidRDefault="00000000">
            <w:pPr>
              <w:contextualSpacing/>
              <w:jc w:val="center"/>
              <w:rPr>
                <w:b/>
                <w:bCs/>
                <w:szCs w:val="21"/>
              </w:rPr>
            </w:pPr>
            <w:r>
              <w:rPr>
                <w:b/>
                <w:bCs/>
                <w:szCs w:val="21"/>
              </w:rPr>
              <w:t>H</w:t>
            </w:r>
            <w:r>
              <w:rPr>
                <w:b/>
                <w:bCs/>
                <w:szCs w:val="21"/>
                <w:vertAlign w:val="subscript"/>
              </w:rPr>
              <w:t>2</w:t>
            </w:r>
            <w:r>
              <w:rPr>
                <w:b/>
                <w:bCs/>
                <w:szCs w:val="21"/>
              </w:rPr>
              <w:t>S</w:t>
            </w:r>
          </w:p>
        </w:tc>
      </w:tr>
      <w:tr w:rsidR="00B14D53" w14:paraId="79024342" w14:textId="77777777">
        <w:trPr>
          <w:trHeight w:val="132"/>
          <w:jc w:val="center"/>
        </w:trPr>
        <w:tc>
          <w:tcPr>
            <w:tcW w:w="1052" w:type="pct"/>
            <w:vMerge/>
            <w:vAlign w:val="center"/>
          </w:tcPr>
          <w:p w14:paraId="2EF49FDC" w14:textId="77777777" w:rsidR="00B14D53" w:rsidRDefault="00B14D53">
            <w:pPr>
              <w:contextualSpacing/>
              <w:jc w:val="center"/>
              <w:rPr>
                <w:b/>
                <w:bCs/>
                <w:szCs w:val="21"/>
              </w:rPr>
            </w:pPr>
          </w:p>
        </w:tc>
        <w:tc>
          <w:tcPr>
            <w:tcW w:w="1169" w:type="pct"/>
            <w:vAlign w:val="center"/>
          </w:tcPr>
          <w:p w14:paraId="79A59535" w14:textId="77777777" w:rsidR="00B14D53" w:rsidRDefault="00000000">
            <w:pPr>
              <w:contextualSpacing/>
              <w:jc w:val="center"/>
              <w:rPr>
                <w:b/>
                <w:bCs/>
                <w:szCs w:val="21"/>
              </w:rPr>
            </w:pPr>
            <w:r>
              <w:rPr>
                <w:b/>
                <w:bCs/>
                <w:kern w:val="0"/>
                <w:szCs w:val="21"/>
              </w:rPr>
              <w:t>预测质量浓度</w:t>
            </w:r>
            <w:r>
              <w:rPr>
                <w:b/>
                <w:bCs/>
                <w:kern w:val="0"/>
                <w:szCs w:val="21"/>
              </w:rPr>
              <w:t>/(μg/m</w:t>
            </w:r>
            <w:r>
              <w:rPr>
                <w:b/>
                <w:bCs/>
                <w:kern w:val="0"/>
                <w:szCs w:val="21"/>
                <w:vertAlign w:val="superscript"/>
              </w:rPr>
              <w:t>3</w:t>
            </w:r>
            <w:r>
              <w:rPr>
                <w:b/>
                <w:bCs/>
                <w:kern w:val="0"/>
                <w:szCs w:val="21"/>
              </w:rPr>
              <w:t>)</w:t>
            </w:r>
          </w:p>
        </w:tc>
        <w:tc>
          <w:tcPr>
            <w:tcW w:w="920" w:type="pct"/>
            <w:vAlign w:val="center"/>
          </w:tcPr>
          <w:p w14:paraId="605A0DBC" w14:textId="77777777" w:rsidR="00B14D53" w:rsidRDefault="00000000">
            <w:pPr>
              <w:contextualSpacing/>
              <w:jc w:val="center"/>
              <w:rPr>
                <w:b/>
                <w:bCs/>
                <w:szCs w:val="21"/>
              </w:rPr>
            </w:pPr>
            <w:r>
              <w:rPr>
                <w:b/>
                <w:bCs/>
                <w:szCs w:val="21"/>
              </w:rPr>
              <w:t>占标率</w:t>
            </w:r>
            <w:r>
              <w:rPr>
                <w:b/>
                <w:bCs/>
                <w:szCs w:val="21"/>
              </w:rPr>
              <w:t>%</w:t>
            </w:r>
          </w:p>
        </w:tc>
        <w:tc>
          <w:tcPr>
            <w:tcW w:w="917" w:type="pct"/>
            <w:vAlign w:val="center"/>
          </w:tcPr>
          <w:p w14:paraId="79CDCC52" w14:textId="77777777" w:rsidR="00B14D53" w:rsidRDefault="00000000">
            <w:pPr>
              <w:contextualSpacing/>
              <w:jc w:val="center"/>
              <w:rPr>
                <w:b/>
                <w:bCs/>
                <w:szCs w:val="21"/>
              </w:rPr>
            </w:pPr>
            <w:r>
              <w:rPr>
                <w:b/>
                <w:bCs/>
                <w:kern w:val="0"/>
                <w:szCs w:val="21"/>
              </w:rPr>
              <w:t>预测质量浓度</w:t>
            </w:r>
            <w:r>
              <w:rPr>
                <w:b/>
                <w:bCs/>
                <w:kern w:val="0"/>
                <w:szCs w:val="21"/>
              </w:rPr>
              <w:t>/(μg/m</w:t>
            </w:r>
            <w:r>
              <w:rPr>
                <w:b/>
                <w:bCs/>
                <w:kern w:val="0"/>
                <w:szCs w:val="21"/>
                <w:vertAlign w:val="superscript"/>
              </w:rPr>
              <w:t>3</w:t>
            </w:r>
            <w:r>
              <w:rPr>
                <w:b/>
                <w:bCs/>
                <w:kern w:val="0"/>
                <w:szCs w:val="21"/>
              </w:rPr>
              <w:t>)</w:t>
            </w:r>
          </w:p>
        </w:tc>
        <w:tc>
          <w:tcPr>
            <w:tcW w:w="940" w:type="pct"/>
            <w:vAlign w:val="center"/>
          </w:tcPr>
          <w:p w14:paraId="67245CA0" w14:textId="77777777" w:rsidR="00B14D53" w:rsidRDefault="00000000">
            <w:pPr>
              <w:tabs>
                <w:tab w:val="left" w:pos="420"/>
              </w:tabs>
              <w:autoSpaceDE w:val="0"/>
              <w:autoSpaceDN w:val="0"/>
              <w:contextualSpacing/>
              <w:jc w:val="center"/>
              <w:rPr>
                <w:b/>
                <w:bCs/>
                <w:kern w:val="0"/>
                <w:szCs w:val="21"/>
              </w:rPr>
            </w:pPr>
            <w:r>
              <w:rPr>
                <w:b/>
                <w:bCs/>
                <w:kern w:val="0"/>
                <w:szCs w:val="21"/>
              </w:rPr>
              <w:t>占标率</w:t>
            </w:r>
            <w:r>
              <w:rPr>
                <w:b/>
                <w:bCs/>
                <w:kern w:val="0"/>
                <w:szCs w:val="21"/>
              </w:rPr>
              <w:t>/(%)</w:t>
            </w:r>
          </w:p>
        </w:tc>
      </w:tr>
      <w:tr w:rsidR="00B14D53" w14:paraId="189C2546" w14:textId="77777777">
        <w:trPr>
          <w:trHeight w:val="216"/>
          <w:jc w:val="center"/>
        </w:trPr>
        <w:tc>
          <w:tcPr>
            <w:tcW w:w="1052" w:type="pct"/>
            <w:vAlign w:val="center"/>
          </w:tcPr>
          <w:p w14:paraId="66DB32B6" w14:textId="77777777" w:rsidR="00B14D53" w:rsidRDefault="00000000">
            <w:pPr>
              <w:spacing w:line="0" w:lineRule="atLeast"/>
              <w:contextualSpacing/>
              <w:jc w:val="center"/>
              <w:rPr>
                <w:szCs w:val="21"/>
              </w:rPr>
            </w:pPr>
            <w:r>
              <w:rPr>
                <w:szCs w:val="21"/>
              </w:rPr>
              <w:t>50</w:t>
            </w:r>
          </w:p>
        </w:tc>
        <w:tc>
          <w:tcPr>
            <w:tcW w:w="1169" w:type="pct"/>
            <w:vAlign w:val="center"/>
          </w:tcPr>
          <w:p w14:paraId="02355427" w14:textId="77777777" w:rsidR="00B14D53" w:rsidRDefault="00000000">
            <w:pPr>
              <w:spacing w:line="0" w:lineRule="atLeast"/>
              <w:contextualSpacing/>
              <w:jc w:val="center"/>
              <w:rPr>
                <w:szCs w:val="21"/>
              </w:rPr>
            </w:pPr>
            <w:r>
              <w:rPr>
                <w:rFonts w:hint="eastAsia"/>
                <w:szCs w:val="21"/>
              </w:rPr>
              <w:t>0.0533</w:t>
            </w:r>
          </w:p>
        </w:tc>
        <w:tc>
          <w:tcPr>
            <w:tcW w:w="920" w:type="pct"/>
            <w:vAlign w:val="center"/>
          </w:tcPr>
          <w:p w14:paraId="52E9FC16" w14:textId="77777777" w:rsidR="00B14D53" w:rsidRDefault="00000000">
            <w:pPr>
              <w:spacing w:line="0" w:lineRule="atLeast"/>
              <w:contextualSpacing/>
              <w:jc w:val="center"/>
              <w:rPr>
                <w:szCs w:val="21"/>
              </w:rPr>
            </w:pPr>
            <w:r>
              <w:rPr>
                <w:rFonts w:hint="eastAsia"/>
                <w:szCs w:val="21"/>
              </w:rPr>
              <w:t>0.0266</w:t>
            </w:r>
          </w:p>
        </w:tc>
        <w:tc>
          <w:tcPr>
            <w:tcW w:w="917" w:type="pct"/>
            <w:vAlign w:val="center"/>
          </w:tcPr>
          <w:p w14:paraId="7578C05E" w14:textId="77777777" w:rsidR="00B14D53" w:rsidRDefault="00000000">
            <w:pPr>
              <w:spacing w:line="0" w:lineRule="atLeast"/>
              <w:contextualSpacing/>
              <w:jc w:val="center"/>
              <w:rPr>
                <w:szCs w:val="21"/>
              </w:rPr>
            </w:pPr>
            <w:r>
              <w:rPr>
                <w:rFonts w:hint="eastAsia"/>
                <w:szCs w:val="21"/>
              </w:rPr>
              <w:t>0.0021</w:t>
            </w:r>
          </w:p>
        </w:tc>
        <w:tc>
          <w:tcPr>
            <w:tcW w:w="940" w:type="pct"/>
            <w:vAlign w:val="center"/>
          </w:tcPr>
          <w:p w14:paraId="3478C7F7" w14:textId="77777777" w:rsidR="00B14D53" w:rsidRDefault="00000000">
            <w:pPr>
              <w:spacing w:line="0" w:lineRule="atLeast"/>
              <w:contextualSpacing/>
              <w:jc w:val="center"/>
              <w:rPr>
                <w:szCs w:val="21"/>
              </w:rPr>
            </w:pPr>
            <w:r>
              <w:rPr>
                <w:rFonts w:hint="eastAsia"/>
                <w:szCs w:val="21"/>
              </w:rPr>
              <w:t>0.0213</w:t>
            </w:r>
          </w:p>
        </w:tc>
      </w:tr>
      <w:tr w:rsidR="00B14D53" w14:paraId="385297DC" w14:textId="77777777">
        <w:trPr>
          <w:trHeight w:val="285"/>
          <w:jc w:val="center"/>
        </w:trPr>
        <w:tc>
          <w:tcPr>
            <w:tcW w:w="1052" w:type="pct"/>
            <w:vAlign w:val="center"/>
          </w:tcPr>
          <w:p w14:paraId="394EC067" w14:textId="77777777" w:rsidR="00B14D53" w:rsidRDefault="00000000">
            <w:pPr>
              <w:spacing w:line="0" w:lineRule="atLeast"/>
              <w:contextualSpacing/>
              <w:jc w:val="center"/>
              <w:rPr>
                <w:szCs w:val="21"/>
              </w:rPr>
            </w:pPr>
            <w:r>
              <w:rPr>
                <w:szCs w:val="21"/>
              </w:rPr>
              <w:t>100</w:t>
            </w:r>
          </w:p>
        </w:tc>
        <w:tc>
          <w:tcPr>
            <w:tcW w:w="1169" w:type="pct"/>
            <w:vAlign w:val="center"/>
          </w:tcPr>
          <w:p w14:paraId="1D37FE52" w14:textId="77777777" w:rsidR="00B14D53" w:rsidRDefault="00000000">
            <w:pPr>
              <w:spacing w:line="0" w:lineRule="atLeast"/>
              <w:contextualSpacing/>
              <w:jc w:val="center"/>
              <w:rPr>
                <w:szCs w:val="21"/>
              </w:rPr>
            </w:pPr>
            <w:r>
              <w:rPr>
                <w:rFonts w:hint="eastAsia"/>
                <w:szCs w:val="21"/>
              </w:rPr>
              <w:t>0.0698</w:t>
            </w:r>
          </w:p>
        </w:tc>
        <w:tc>
          <w:tcPr>
            <w:tcW w:w="920" w:type="pct"/>
            <w:vAlign w:val="center"/>
          </w:tcPr>
          <w:p w14:paraId="08244D89" w14:textId="77777777" w:rsidR="00B14D53" w:rsidRDefault="00000000">
            <w:pPr>
              <w:spacing w:line="0" w:lineRule="atLeast"/>
              <w:contextualSpacing/>
              <w:jc w:val="center"/>
              <w:rPr>
                <w:szCs w:val="21"/>
              </w:rPr>
            </w:pPr>
            <w:r>
              <w:rPr>
                <w:rFonts w:hint="eastAsia"/>
                <w:szCs w:val="21"/>
              </w:rPr>
              <w:t>0.0349</w:t>
            </w:r>
          </w:p>
        </w:tc>
        <w:tc>
          <w:tcPr>
            <w:tcW w:w="917" w:type="pct"/>
            <w:vAlign w:val="center"/>
          </w:tcPr>
          <w:p w14:paraId="73BF27A8" w14:textId="77777777" w:rsidR="00B14D53" w:rsidRDefault="00000000">
            <w:pPr>
              <w:spacing w:line="0" w:lineRule="atLeast"/>
              <w:contextualSpacing/>
              <w:jc w:val="center"/>
              <w:rPr>
                <w:szCs w:val="21"/>
              </w:rPr>
            </w:pPr>
            <w:r>
              <w:rPr>
                <w:rFonts w:hint="eastAsia"/>
                <w:szCs w:val="21"/>
              </w:rPr>
              <w:t>0.0028</w:t>
            </w:r>
          </w:p>
        </w:tc>
        <w:tc>
          <w:tcPr>
            <w:tcW w:w="940" w:type="pct"/>
            <w:vAlign w:val="center"/>
          </w:tcPr>
          <w:p w14:paraId="07613C4A" w14:textId="77777777" w:rsidR="00B14D53" w:rsidRDefault="00000000">
            <w:pPr>
              <w:spacing w:line="0" w:lineRule="atLeast"/>
              <w:contextualSpacing/>
              <w:jc w:val="center"/>
              <w:rPr>
                <w:szCs w:val="21"/>
              </w:rPr>
            </w:pPr>
            <w:r>
              <w:rPr>
                <w:rFonts w:hint="eastAsia"/>
                <w:szCs w:val="21"/>
              </w:rPr>
              <w:t>0.0279</w:t>
            </w:r>
          </w:p>
        </w:tc>
      </w:tr>
      <w:tr w:rsidR="00B14D53" w14:paraId="517C5A44" w14:textId="77777777">
        <w:trPr>
          <w:trHeight w:val="285"/>
          <w:jc w:val="center"/>
        </w:trPr>
        <w:tc>
          <w:tcPr>
            <w:tcW w:w="1052" w:type="pct"/>
            <w:vAlign w:val="center"/>
          </w:tcPr>
          <w:p w14:paraId="53989682" w14:textId="77777777" w:rsidR="00B14D53" w:rsidRDefault="00000000">
            <w:pPr>
              <w:spacing w:line="0" w:lineRule="atLeast"/>
              <w:contextualSpacing/>
              <w:jc w:val="center"/>
              <w:rPr>
                <w:szCs w:val="21"/>
              </w:rPr>
            </w:pPr>
            <w:r>
              <w:rPr>
                <w:szCs w:val="21"/>
              </w:rPr>
              <w:t>200</w:t>
            </w:r>
          </w:p>
        </w:tc>
        <w:tc>
          <w:tcPr>
            <w:tcW w:w="1169" w:type="pct"/>
            <w:vAlign w:val="center"/>
          </w:tcPr>
          <w:p w14:paraId="1FD2CCEC" w14:textId="77777777" w:rsidR="00B14D53" w:rsidRDefault="00000000">
            <w:pPr>
              <w:spacing w:line="0" w:lineRule="atLeast"/>
              <w:contextualSpacing/>
              <w:jc w:val="center"/>
              <w:rPr>
                <w:szCs w:val="21"/>
              </w:rPr>
            </w:pPr>
            <w:r>
              <w:rPr>
                <w:rFonts w:hint="eastAsia"/>
                <w:szCs w:val="21"/>
              </w:rPr>
              <w:t>0.0918</w:t>
            </w:r>
          </w:p>
        </w:tc>
        <w:tc>
          <w:tcPr>
            <w:tcW w:w="920" w:type="pct"/>
            <w:vAlign w:val="center"/>
          </w:tcPr>
          <w:p w14:paraId="750C4F73" w14:textId="77777777" w:rsidR="00B14D53" w:rsidRDefault="00000000">
            <w:pPr>
              <w:spacing w:line="0" w:lineRule="atLeast"/>
              <w:contextualSpacing/>
              <w:jc w:val="center"/>
              <w:rPr>
                <w:szCs w:val="21"/>
              </w:rPr>
            </w:pPr>
            <w:r>
              <w:rPr>
                <w:rFonts w:hint="eastAsia"/>
                <w:szCs w:val="21"/>
              </w:rPr>
              <w:t>0.0459</w:t>
            </w:r>
          </w:p>
        </w:tc>
        <w:tc>
          <w:tcPr>
            <w:tcW w:w="917" w:type="pct"/>
            <w:vAlign w:val="center"/>
          </w:tcPr>
          <w:p w14:paraId="7450E72F" w14:textId="77777777" w:rsidR="00B14D53" w:rsidRDefault="00000000">
            <w:pPr>
              <w:spacing w:line="0" w:lineRule="atLeast"/>
              <w:contextualSpacing/>
              <w:jc w:val="center"/>
              <w:rPr>
                <w:szCs w:val="21"/>
              </w:rPr>
            </w:pPr>
            <w:r>
              <w:rPr>
                <w:rFonts w:hint="eastAsia"/>
                <w:szCs w:val="21"/>
              </w:rPr>
              <w:t>0.0037</w:t>
            </w:r>
          </w:p>
        </w:tc>
        <w:tc>
          <w:tcPr>
            <w:tcW w:w="940" w:type="pct"/>
            <w:vAlign w:val="center"/>
          </w:tcPr>
          <w:p w14:paraId="5EC1F261" w14:textId="77777777" w:rsidR="00B14D53" w:rsidRDefault="00000000">
            <w:pPr>
              <w:spacing w:line="0" w:lineRule="atLeast"/>
              <w:contextualSpacing/>
              <w:jc w:val="center"/>
              <w:rPr>
                <w:szCs w:val="21"/>
              </w:rPr>
            </w:pPr>
            <w:r>
              <w:rPr>
                <w:rFonts w:hint="eastAsia"/>
                <w:szCs w:val="21"/>
              </w:rPr>
              <w:t>0.0367</w:t>
            </w:r>
          </w:p>
        </w:tc>
      </w:tr>
      <w:tr w:rsidR="00B14D53" w14:paraId="393EEA62" w14:textId="77777777">
        <w:trPr>
          <w:trHeight w:val="285"/>
          <w:jc w:val="center"/>
        </w:trPr>
        <w:tc>
          <w:tcPr>
            <w:tcW w:w="1052" w:type="pct"/>
            <w:vAlign w:val="center"/>
          </w:tcPr>
          <w:p w14:paraId="2A9FB32E" w14:textId="77777777" w:rsidR="00B14D53" w:rsidRDefault="00000000">
            <w:pPr>
              <w:spacing w:line="0" w:lineRule="atLeast"/>
              <w:contextualSpacing/>
              <w:jc w:val="center"/>
              <w:rPr>
                <w:szCs w:val="21"/>
              </w:rPr>
            </w:pPr>
            <w:r>
              <w:rPr>
                <w:szCs w:val="21"/>
              </w:rPr>
              <w:t>300</w:t>
            </w:r>
          </w:p>
        </w:tc>
        <w:tc>
          <w:tcPr>
            <w:tcW w:w="1169" w:type="pct"/>
            <w:vAlign w:val="center"/>
          </w:tcPr>
          <w:p w14:paraId="4BA9A255" w14:textId="77777777" w:rsidR="00B14D53" w:rsidRDefault="00000000">
            <w:pPr>
              <w:spacing w:line="0" w:lineRule="atLeast"/>
              <w:contextualSpacing/>
              <w:jc w:val="center"/>
              <w:rPr>
                <w:szCs w:val="21"/>
              </w:rPr>
            </w:pPr>
            <w:r>
              <w:rPr>
                <w:rFonts w:hint="eastAsia"/>
                <w:szCs w:val="21"/>
              </w:rPr>
              <w:t>0.0792</w:t>
            </w:r>
          </w:p>
        </w:tc>
        <w:tc>
          <w:tcPr>
            <w:tcW w:w="920" w:type="pct"/>
            <w:vAlign w:val="center"/>
          </w:tcPr>
          <w:p w14:paraId="45C580AD" w14:textId="77777777" w:rsidR="00B14D53" w:rsidRDefault="00000000">
            <w:pPr>
              <w:spacing w:line="0" w:lineRule="atLeast"/>
              <w:contextualSpacing/>
              <w:jc w:val="center"/>
              <w:rPr>
                <w:szCs w:val="21"/>
              </w:rPr>
            </w:pPr>
            <w:r>
              <w:rPr>
                <w:rFonts w:hint="eastAsia"/>
                <w:szCs w:val="21"/>
              </w:rPr>
              <w:t>0.0396</w:t>
            </w:r>
          </w:p>
        </w:tc>
        <w:tc>
          <w:tcPr>
            <w:tcW w:w="917" w:type="pct"/>
            <w:vAlign w:val="center"/>
          </w:tcPr>
          <w:p w14:paraId="44E658F8" w14:textId="77777777" w:rsidR="00B14D53" w:rsidRDefault="00000000">
            <w:pPr>
              <w:spacing w:line="0" w:lineRule="atLeast"/>
              <w:contextualSpacing/>
              <w:jc w:val="center"/>
              <w:rPr>
                <w:szCs w:val="21"/>
              </w:rPr>
            </w:pPr>
            <w:r>
              <w:rPr>
                <w:rFonts w:hint="eastAsia"/>
                <w:szCs w:val="21"/>
              </w:rPr>
              <w:t>0.0032</w:t>
            </w:r>
          </w:p>
        </w:tc>
        <w:tc>
          <w:tcPr>
            <w:tcW w:w="940" w:type="pct"/>
            <w:vAlign w:val="center"/>
          </w:tcPr>
          <w:p w14:paraId="53F0000E" w14:textId="77777777" w:rsidR="00B14D53" w:rsidRDefault="00000000">
            <w:pPr>
              <w:spacing w:line="0" w:lineRule="atLeast"/>
              <w:contextualSpacing/>
              <w:jc w:val="center"/>
              <w:rPr>
                <w:szCs w:val="21"/>
              </w:rPr>
            </w:pPr>
            <w:r>
              <w:rPr>
                <w:rFonts w:hint="eastAsia"/>
                <w:szCs w:val="21"/>
              </w:rPr>
              <w:t>0.0317</w:t>
            </w:r>
          </w:p>
        </w:tc>
      </w:tr>
      <w:tr w:rsidR="00B14D53" w14:paraId="2A3F9FA8" w14:textId="77777777">
        <w:trPr>
          <w:trHeight w:val="258"/>
          <w:jc w:val="center"/>
        </w:trPr>
        <w:tc>
          <w:tcPr>
            <w:tcW w:w="1052" w:type="pct"/>
            <w:vAlign w:val="center"/>
          </w:tcPr>
          <w:p w14:paraId="3DB28E83" w14:textId="77777777" w:rsidR="00B14D53" w:rsidRDefault="00000000">
            <w:pPr>
              <w:spacing w:line="0" w:lineRule="atLeast"/>
              <w:contextualSpacing/>
              <w:jc w:val="center"/>
              <w:rPr>
                <w:szCs w:val="21"/>
              </w:rPr>
            </w:pPr>
            <w:r>
              <w:rPr>
                <w:szCs w:val="21"/>
              </w:rPr>
              <w:t>400</w:t>
            </w:r>
          </w:p>
        </w:tc>
        <w:tc>
          <w:tcPr>
            <w:tcW w:w="1169" w:type="pct"/>
            <w:vAlign w:val="center"/>
          </w:tcPr>
          <w:p w14:paraId="06121A6D" w14:textId="77777777" w:rsidR="00B14D53" w:rsidRDefault="00000000">
            <w:pPr>
              <w:spacing w:line="0" w:lineRule="atLeast"/>
              <w:contextualSpacing/>
              <w:jc w:val="center"/>
              <w:rPr>
                <w:szCs w:val="21"/>
              </w:rPr>
            </w:pPr>
            <w:r>
              <w:rPr>
                <w:rFonts w:hint="eastAsia"/>
                <w:szCs w:val="21"/>
              </w:rPr>
              <w:t>0.0638</w:t>
            </w:r>
          </w:p>
        </w:tc>
        <w:tc>
          <w:tcPr>
            <w:tcW w:w="920" w:type="pct"/>
            <w:vAlign w:val="center"/>
          </w:tcPr>
          <w:p w14:paraId="7F8C6B1C" w14:textId="77777777" w:rsidR="00B14D53" w:rsidRDefault="00000000">
            <w:pPr>
              <w:spacing w:line="0" w:lineRule="atLeast"/>
              <w:contextualSpacing/>
              <w:jc w:val="center"/>
              <w:rPr>
                <w:szCs w:val="21"/>
              </w:rPr>
            </w:pPr>
            <w:r>
              <w:rPr>
                <w:rFonts w:hint="eastAsia"/>
                <w:szCs w:val="21"/>
              </w:rPr>
              <w:t>0.0319</w:t>
            </w:r>
          </w:p>
        </w:tc>
        <w:tc>
          <w:tcPr>
            <w:tcW w:w="917" w:type="pct"/>
            <w:vAlign w:val="center"/>
          </w:tcPr>
          <w:p w14:paraId="48F6151F" w14:textId="77777777" w:rsidR="00B14D53" w:rsidRDefault="00000000">
            <w:pPr>
              <w:spacing w:line="0" w:lineRule="atLeast"/>
              <w:contextualSpacing/>
              <w:jc w:val="center"/>
              <w:rPr>
                <w:szCs w:val="21"/>
              </w:rPr>
            </w:pPr>
            <w:r>
              <w:rPr>
                <w:rFonts w:hint="eastAsia"/>
                <w:szCs w:val="21"/>
              </w:rPr>
              <w:t>0.0026</w:t>
            </w:r>
          </w:p>
        </w:tc>
        <w:tc>
          <w:tcPr>
            <w:tcW w:w="940" w:type="pct"/>
            <w:vAlign w:val="center"/>
          </w:tcPr>
          <w:p w14:paraId="23951B28" w14:textId="77777777" w:rsidR="00B14D53" w:rsidRDefault="00000000">
            <w:pPr>
              <w:spacing w:line="0" w:lineRule="atLeast"/>
              <w:contextualSpacing/>
              <w:jc w:val="center"/>
              <w:rPr>
                <w:szCs w:val="21"/>
              </w:rPr>
            </w:pPr>
            <w:r>
              <w:rPr>
                <w:rFonts w:hint="eastAsia"/>
                <w:szCs w:val="21"/>
              </w:rPr>
              <w:t>0.0255</w:t>
            </w:r>
          </w:p>
        </w:tc>
      </w:tr>
      <w:tr w:rsidR="00B14D53" w14:paraId="2709409E" w14:textId="77777777">
        <w:trPr>
          <w:trHeight w:val="70"/>
          <w:jc w:val="center"/>
        </w:trPr>
        <w:tc>
          <w:tcPr>
            <w:tcW w:w="1052" w:type="pct"/>
            <w:vAlign w:val="center"/>
          </w:tcPr>
          <w:p w14:paraId="65DCA681" w14:textId="77777777" w:rsidR="00B14D53" w:rsidRDefault="00000000">
            <w:pPr>
              <w:spacing w:line="0" w:lineRule="atLeast"/>
              <w:contextualSpacing/>
              <w:jc w:val="center"/>
              <w:rPr>
                <w:szCs w:val="21"/>
              </w:rPr>
            </w:pPr>
            <w:r>
              <w:rPr>
                <w:szCs w:val="21"/>
              </w:rPr>
              <w:t>500</w:t>
            </w:r>
          </w:p>
        </w:tc>
        <w:tc>
          <w:tcPr>
            <w:tcW w:w="1169" w:type="pct"/>
            <w:vAlign w:val="center"/>
          </w:tcPr>
          <w:p w14:paraId="5CEC7EB9" w14:textId="77777777" w:rsidR="00B14D53" w:rsidRDefault="00000000">
            <w:pPr>
              <w:spacing w:line="0" w:lineRule="atLeast"/>
              <w:contextualSpacing/>
              <w:jc w:val="center"/>
              <w:rPr>
                <w:szCs w:val="21"/>
              </w:rPr>
            </w:pPr>
            <w:r>
              <w:rPr>
                <w:rFonts w:hint="eastAsia"/>
                <w:szCs w:val="21"/>
              </w:rPr>
              <w:t>0.0524</w:t>
            </w:r>
          </w:p>
        </w:tc>
        <w:tc>
          <w:tcPr>
            <w:tcW w:w="920" w:type="pct"/>
            <w:vAlign w:val="center"/>
          </w:tcPr>
          <w:p w14:paraId="77C67391" w14:textId="77777777" w:rsidR="00B14D53" w:rsidRDefault="00000000">
            <w:pPr>
              <w:spacing w:line="0" w:lineRule="atLeast"/>
              <w:contextualSpacing/>
              <w:jc w:val="center"/>
              <w:rPr>
                <w:szCs w:val="21"/>
              </w:rPr>
            </w:pPr>
            <w:r>
              <w:rPr>
                <w:rFonts w:hint="eastAsia"/>
                <w:szCs w:val="21"/>
              </w:rPr>
              <w:t>0.0262</w:t>
            </w:r>
          </w:p>
        </w:tc>
        <w:tc>
          <w:tcPr>
            <w:tcW w:w="917" w:type="pct"/>
            <w:vAlign w:val="center"/>
          </w:tcPr>
          <w:p w14:paraId="134C8541" w14:textId="77777777" w:rsidR="00B14D53" w:rsidRDefault="00000000">
            <w:pPr>
              <w:spacing w:line="0" w:lineRule="atLeast"/>
              <w:contextualSpacing/>
              <w:jc w:val="center"/>
              <w:rPr>
                <w:szCs w:val="21"/>
              </w:rPr>
            </w:pPr>
            <w:r>
              <w:rPr>
                <w:rFonts w:hint="eastAsia"/>
                <w:szCs w:val="21"/>
              </w:rPr>
              <w:t>0.0021</w:t>
            </w:r>
          </w:p>
        </w:tc>
        <w:tc>
          <w:tcPr>
            <w:tcW w:w="940" w:type="pct"/>
            <w:vAlign w:val="center"/>
          </w:tcPr>
          <w:p w14:paraId="79A0C096" w14:textId="77777777" w:rsidR="00B14D53" w:rsidRDefault="00000000">
            <w:pPr>
              <w:spacing w:line="0" w:lineRule="atLeast"/>
              <w:contextualSpacing/>
              <w:jc w:val="center"/>
              <w:rPr>
                <w:szCs w:val="21"/>
              </w:rPr>
            </w:pPr>
            <w:r>
              <w:rPr>
                <w:rFonts w:hint="eastAsia"/>
                <w:szCs w:val="21"/>
              </w:rPr>
              <w:t>0.0210</w:t>
            </w:r>
          </w:p>
        </w:tc>
      </w:tr>
      <w:tr w:rsidR="00B14D53" w14:paraId="5E1835A4" w14:textId="77777777">
        <w:trPr>
          <w:trHeight w:val="285"/>
          <w:jc w:val="center"/>
        </w:trPr>
        <w:tc>
          <w:tcPr>
            <w:tcW w:w="1052" w:type="pct"/>
            <w:vAlign w:val="center"/>
          </w:tcPr>
          <w:p w14:paraId="2900A645" w14:textId="77777777" w:rsidR="00B14D53" w:rsidRDefault="00000000">
            <w:pPr>
              <w:spacing w:line="0" w:lineRule="atLeast"/>
              <w:contextualSpacing/>
              <w:jc w:val="center"/>
              <w:rPr>
                <w:szCs w:val="21"/>
              </w:rPr>
            </w:pPr>
            <w:r>
              <w:rPr>
                <w:szCs w:val="21"/>
              </w:rPr>
              <w:t>600</w:t>
            </w:r>
          </w:p>
        </w:tc>
        <w:tc>
          <w:tcPr>
            <w:tcW w:w="1169" w:type="pct"/>
            <w:vAlign w:val="center"/>
          </w:tcPr>
          <w:p w14:paraId="18F779BD" w14:textId="77777777" w:rsidR="00B14D53" w:rsidRDefault="00000000">
            <w:pPr>
              <w:spacing w:line="0" w:lineRule="atLeast"/>
              <w:contextualSpacing/>
              <w:jc w:val="center"/>
              <w:rPr>
                <w:szCs w:val="21"/>
              </w:rPr>
            </w:pPr>
            <w:r>
              <w:rPr>
                <w:rFonts w:hint="eastAsia"/>
                <w:szCs w:val="21"/>
              </w:rPr>
              <w:t>0.0490</w:t>
            </w:r>
          </w:p>
        </w:tc>
        <w:tc>
          <w:tcPr>
            <w:tcW w:w="920" w:type="pct"/>
            <w:vAlign w:val="center"/>
          </w:tcPr>
          <w:p w14:paraId="690604E0" w14:textId="77777777" w:rsidR="00B14D53" w:rsidRDefault="00000000">
            <w:pPr>
              <w:spacing w:line="0" w:lineRule="atLeast"/>
              <w:contextualSpacing/>
              <w:jc w:val="center"/>
              <w:rPr>
                <w:szCs w:val="21"/>
              </w:rPr>
            </w:pPr>
            <w:r>
              <w:rPr>
                <w:rFonts w:hint="eastAsia"/>
                <w:szCs w:val="21"/>
              </w:rPr>
              <w:t>0.0245</w:t>
            </w:r>
          </w:p>
        </w:tc>
        <w:tc>
          <w:tcPr>
            <w:tcW w:w="917" w:type="pct"/>
            <w:vAlign w:val="center"/>
          </w:tcPr>
          <w:p w14:paraId="26F5EE94" w14:textId="77777777" w:rsidR="00B14D53" w:rsidRDefault="00000000">
            <w:pPr>
              <w:spacing w:line="0" w:lineRule="atLeast"/>
              <w:contextualSpacing/>
              <w:jc w:val="center"/>
              <w:rPr>
                <w:szCs w:val="21"/>
              </w:rPr>
            </w:pPr>
            <w:r>
              <w:rPr>
                <w:rFonts w:hint="eastAsia"/>
                <w:szCs w:val="21"/>
              </w:rPr>
              <w:t>0.0020</w:t>
            </w:r>
          </w:p>
        </w:tc>
        <w:tc>
          <w:tcPr>
            <w:tcW w:w="940" w:type="pct"/>
            <w:vAlign w:val="center"/>
          </w:tcPr>
          <w:p w14:paraId="43CE5824" w14:textId="77777777" w:rsidR="00B14D53" w:rsidRDefault="00000000">
            <w:pPr>
              <w:spacing w:line="0" w:lineRule="atLeast"/>
              <w:contextualSpacing/>
              <w:jc w:val="center"/>
              <w:rPr>
                <w:szCs w:val="21"/>
              </w:rPr>
            </w:pPr>
            <w:r>
              <w:rPr>
                <w:rFonts w:hint="eastAsia"/>
                <w:szCs w:val="21"/>
              </w:rPr>
              <w:t>0.0196</w:t>
            </w:r>
          </w:p>
        </w:tc>
      </w:tr>
      <w:tr w:rsidR="00B14D53" w14:paraId="28859292" w14:textId="77777777">
        <w:trPr>
          <w:trHeight w:val="285"/>
          <w:jc w:val="center"/>
        </w:trPr>
        <w:tc>
          <w:tcPr>
            <w:tcW w:w="1052" w:type="pct"/>
            <w:vAlign w:val="center"/>
          </w:tcPr>
          <w:p w14:paraId="61CEC93D" w14:textId="77777777" w:rsidR="00B14D53" w:rsidRDefault="00000000">
            <w:pPr>
              <w:spacing w:line="0" w:lineRule="atLeast"/>
              <w:contextualSpacing/>
              <w:jc w:val="center"/>
              <w:rPr>
                <w:szCs w:val="21"/>
              </w:rPr>
            </w:pPr>
            <w:r>
              <w:rPr>
                <w:szCs w:val="21"/>
              </w:rPr>
              <w:t>700</w:t>
            </w:r>
          </w:p>
        </w:tc>
        <w:tc>
          <w:tcPr>
            <w:tcW w:w="1169" w:type="pct"/>
            <w:vAlign w:val="center"/>
          </w:tcPr>
          <w:p w14:paraId="550B223E" w14:textId="77777777" w:rsidR="00B14D53" w:rsidRDefault="00000000">
            <w:pPr>
              <w:spacing w:line="0" w:lineRule="atLeast"/>
              <w:contextualSpacing/>
              <w:jc w:val="center"/>
              <w:rPr>
                <w:szCs w:val="21"/>
              </w:rPr>
            </w:pPr>
            <w:r>
              <w:rPr>
                <w:rFonts w:hint="eastAsia"/>
                <w:szCs w:val="21"/>
              </w:rPr>
              <w:t>0.0463</w:t>
            </w:r>
          </w:p>
        </w:tc>
        <w:tc>
          <w:tcPr>
            <w:tcW w:w="920" w:type="pct"/>
            <w:vAlign w:val="center"/>
          </w:tcPr>
          <w:p w14:paraId="272D92BF" w14:textId="77777777" w:rsidR="00B14D53" w:rsidRDefault="00000000">
            <w:pPr>
              <w:spacing w:line="0" w:lineRule="atLeast"/>
              <w:contextualSpacing/>
              <w:jc w:val="center"/>
              <w:rPr>
                <w:szCs w:val="21"/>
              </w:rPr>
            </w:pPr>
            <w:r>
              <w:rPr>
                <w:rFonts w:hint="eastAsia"/>
                <w:szCs w:val="21"/>
              </w:rPr>
              <w:t>0.0232</w:t>
            </w:r>
          </w:p>
        </w:tc>
        <w:tc>
          <w:tcPr>
            <w:tcW w:w="917" w:type="pct"/>
            <w:vAlign w:val="center"/>
          </w:tcPr>
          <w:p w14:paraId="1A636448" w14:textId="77777777" w:rsidR="00B14D53" w:rsidRDefault="00000000">
            <w:pPr>
              <w:spacing w:line="0" w:lineRule="atLeast"/>
              <w:contextualSpacing/>
              <w:jc w:val="center"/>
              <w:rPr>
                <w:szCs w:val="21"/>
              </w:rPr>
            </w:pPr>
            <w:r>
              <w:rPr>
                <w:rFonts w:hint="eastAsia"/>
                <w:szCs w:val="21"/>
              </w:rPr>
              <w:t>0.0019</w:t>
            </w:r>
          </w:p>
        </w:tc>
        <w:tc>
          <w:tcPr>
            <w:tcW w:w="940" w:type="pct"/>
            <w:vAlign w:val="center"/>
          </w:tcPr>
          <w:p w14:paraId="720AEF27" w14:textId="77777777" w:rsidR="00B14D53" w:rsidRDefault="00000000">
            <w:pPr>
              <w:spacing w:line="0" w:lineRule="atLeast"/>
              <w:contextualSpacing/>
              <w:jc w:val="center"/>
              <w:rPr>
                <w:szCs w:val="21"/>
              </w:rPr>
            </w:pPr>
            <w:r>
              <w:rPr>
                <w:rFonts w:hint="eastAsia"/>
                <w:szCs w:val="21"/>
              </w:rPr>
              <w:t>0.0185</w:t>
            </w:r>
          </w:p>
        </w:tc>
      </w:tr>
      <w:tr w:rsidR="00B14D53" w14:paraId="42EDCB3C" w14:textId="77777777">
        <w:trPr>
          <w:trHeight w:val="285"/>
          <w:jc w:val="center"/>
        </w:trPr>
        <w:tc>
          <w:tcPr>
            <w:tcW w:w="1052" w:type="pct"/>
            <w:vAlign w:val="center"/>
          </w:tcPr>
          <w:p w14:paraId="2754B7FE" w14:textId="77777777" w:rsidR="00B14D53" w:rsidRDefault="00000000">
            <w:pPr>
              <w:spacing w:line="0" w:lineRule="atLeast"/>
              <w:contextualSpacing/>
              <w:jc w:val="center"/>
              <w:rPr>
                <w:szCs w:val="21"/>
              </w:rPr>
            </w:pPr>
            <w:r>
              <w:rPr>
                <w:szCs w:val="21"/>
              </w:rPr>
              <w:t>800</w:t>
            </w:r>
          </w:p>
        </w:tc>
        <w:tc>
          <w:tcPr>
            <w:tcW w:w="1169" w:type="pct"/>
            <w:vAlign w:val="center"/>
          </w:tcPr>
          <w:p w14:paraId="782353A7" w14:textId="77777777" w:rsidR="00B14D53" w:rsidRDefault="00000000">
            <w:pPr>
              <w:spacing w:line="0" w:lineRule="atLeast"/>
              <w:contextualSpacing/>
              <w:jc w:val="center"/>
              <w:rPr>
                <w:szCs w:val="21"/>
              </w:rPr>
            </w:pPr>
            <w:r>
              <w:rPr>
                <w:rFonts w:hint="eastAsia"/>
                <w:szCs w:val="21"/>
              </w:rPr>
              <w:t>0.0436</w:t>
            </w:r>
          </w:p>
        </w:tc>
        <w:tc>
          <w:tcPr>
            <w:tcW w:w="920" w:type="pct"/>
            <w:vAlign w:val="center"/>
          </w:tcPr>
          <w:p w14:paraId="7E4D1956" w14:textId="77777777" w:rsidR="00B14D53" w:rsidRDefault="00000000">
            <w:pPr>
              <w:spacing w:line="0" w:lineRule="atLeast"/>
              <w:contextualSpacing/>
              <w:jc w:val="center"/>
              <w:rPr>
                <w:szCs w:val="21"/>
              </w:rPr>
            </w:pPr>
            <w:r>
              <w:rPr>
                <w:rFonts w:hint="eastAsia"/>
                <w:szCs w:val="21"/>
              </w:rPr>
              <w:t>0.0218</w:t>
            </w:r>
          </w:p>
        </w:tc>
        <w:tc>
          <w:tcPr>
            <w:tcW w:w="917" w:type="pct"/>
            <w:vAlign w:val="center"/>
          </w:tcPr>
          <w:p w14:paraId="6ED1F931" w14:textId="77777777" w:rsidR="00B14D53" w:rsidRDefault="00000000">
            <w:pPr>
              <w:spacing w:line="0" w:lineRule="atLeast"/>
              <w:contextualSpacing/>
              <w:jc w:val="center"/>
              <w:rPr>
                <w:szCs w:val="21"/>
              </w:rPr>
            </w:pPr>
            <w:r>
              <w:rPr>
                <w:rFonts w:hint="eastAsia"/>
                <w:szCs w:val="21"/>
              </w:rPr>
              <w:t>0.0017</w:t>
            </w:r>
          </w:p>
        </w:tc>
        <w:tc>
          <w:tcPr>
            <w:tcW w:w="940" w:type="pct"/>
            <w:vAlign w:val="center"/>
          </w:tcPr>
          <w:p w14:paraId="0851BDDF" w14:textId="77777777" w:rsidR="00B14D53" w:rsidRDefault="00000000">
            <w:pPr>
              <w:spacing w:line="0" w:lineRule="atLeast"/>
              <w:contextualSpacing/>
              <w:jc w:val="center"/>
              <w:rPr>
                <w:szCs w:val="21"/>
              </w:rPr>
            </w:pPr>
            <w:r>
              <w:rPr>
                <w:rFonts w:hint="eastAsia"/>
                <w:szCs w:val="21"/>
              </w:rPr>
              <w:t>0.0174</w:t>
            </w:r>
          </w:p>
        </w:tc>
      </w:tr>
      <w:tr w:rsidR="00B14D53" w14:paraId="311F9B2D" w14:textId="77777777">
        <w:trPr>
          <w:trHeight w:val="285"/>
          <w:jc w:val="center"/>
        </w:trPr>
        <w:tc>
          <w:tcPr>
            <w:tcW w:w="1052" w:type="pct"/>
            <w:vAlign w:val="center"/>
          </w:tcPr>
          <w:p w14:paraId="379A919E" w14:textId="77777777" w:rsidR="00B14D53" w:rsidRDefault="00000000">
            <w:pPr>
              <w:spacing w:line="0" w:lineRule="atLeast"/>
              <w:contextualSpacing/>
              <w:jc w:val="center"/>
              <w:rPr>
                <w:szCs w:val="21"/>
              </w:rPr>
            </w:pPr>
            <w:r>
              <w:rPr>
                <w:szCs w:val="21"/>
              </w:rPr>
              <w:t>900</w:t>
            </w:r>
          </w:p>
        </w:tc>
        <w:tc>
          <w:tcPr>
            <w:tcW w:w="1169" w:type="pct"/>
            <w:vAlign w:val="center"/>
          </w:tcPr>
          <w:p w14:paraId="3FD1258D" w14:textId="77777777" w:rsidR="00B14D53" w:rsidRDefault="00000000">
            <w:pPr>
              <w:spacing w:line="0" w:lineRule="atLeast"/>
              <w:contextualSpacing/>
              <w:jc w:val="center"/>
              <w:rPr>
                <w:szCs w:val="21"/>
              </w:rPr>
            </w:pPr>
            <w:r>
              <w:rPr>
                <w:rFonts w:hint="eastAsia"/>
                <w:szCs w:val="21"/>
              </w:rPr>
              <w:t>0.0457</w:t>
            </w:r>
          </w:p>
        </w:tc>
        <w:tc>
          <w:tcPr>
            <w:tcW w:w="920" w:type="pct"/>
            <w:vAlign w:val="center"/>
          </w:tcPr>
          <w:p w14:paraId="559A732E" w14:textId="77777777" w:rsidR="00B14D53" w:rsidRDefault="00000000">
            <w:pPr>
              <w:spacing w:line="0" w:lineRule="atLeast"/>
              <w:contextualSpacing/>
              <w:jc w:val="center"/>
              <w:rPr>
                <w:szCs w:val="21"/>
              </w:rPr>
            </w:pPr>
            <w:r>
              <w:rPr>
                <w:rFonts w:hint="eastAsia"/>
                <w:szCs w:val="21"/>
              </w:rPr>
              <w:t>0.0228</w:t>
            </w:r>
          </w:p>
        </w:tc>
        <w:tc>
          <w:tcPr>
            <w:tcW w:w="917" w:type="pct"/>
            <w:vAlign w:val="center"/>
          </w:tcPr>
          <w:p w14:paraId="21418733" w14:textId="77777777" w:rsidR="00B14D53" w:rsidRDefault="00000000">
            <w:pPr>
              <w:spacing w:line="0" w:lineRule="atLeast"/>
              <w:contextualSpacing/>
              <w:jc w:val="center"/>
              <w:rPr>
                <w:szCs w:val="21"/>
              </w:rPr>
            </w:pPr>
            <w:r>
              <w:rPr>
                <w:rFonts w:hint="eastAsia"/>
                <w:szCs w:val="21"/>
              </w:rPr>
              <w:t>0.0018</w:t>
            </w:r>
          </w:p>
        </w:tc>
        <w:tc>
          <w:tcPr>
            <w:tcW w:w="940" w:type="pct"/>
            <w:vAlign w:val="center"/>
          </w:tcPr>
          <w:p w14:paraId="69EC810C" w14:textId="77777777" w:rsidR="00B14D53" w:rsidRDefault="00000000">
            <w:pPr>
              <w:spacing w:line="0" w:lineRule="atLeast"/>
              <w:contextualSpacing/>
              <w:jc w:val="center"/>
              <w:rPr>
                <w:szCs w:val="21"/>
              </w:rPr>
            </w:pPr>
            <w:r>
              <w:rPr>
                <w:rFonts w:hint="eastAsia"/>
                <w:szCs w:val="21"/>
              </w:rPr>
              <w:t>0.0183</w:t>
            </w:r>
          </w:p>
        </w:tc>
      </w:tr>
      <w:tr w:rsidR="00B14D53" w14:paraId="39EF79CE" w14:textId="77777777">
        <w:trPr>
          <w:trHeight w:val="70"/>
          <w:jc w:val="center"/>
        </w:trPr>
        <w:tc>
          <w:tcPr>
            <w:tcW w:w="1052" w:type="pct"/>
            <w:vAlign w:val="center"/>
          </w:tcPr>
          <w:p w14:paraId="2490E3D1" w14:textId="77777777" w:rsidR="00B14D53" w:rsidRDefault="00000000">
            <w:pPr>
              <w:spacing w:line="0" w:lineRule="atLeast"/>
              <w:contextualSpacing/>
              <w:jc w:val="center"/>
              <w:rPr>
                <w:szCs w:val="21"/>
              </w:rPr>
            </w:pPr>
            <w:r>
              <w:rPr>
                <w:szCs w:val="21"/>
              </w:rPr>
              <w:t>1000</w:t>
            </w:r>
          </w:p>
        </w:tc>
        <w:tc>
          <w:tcPr>
            <w:tcW w:w="1169" w:type="pct"/>
            <w:vAlign w:val="center"/>
          </w:tcPr>
          <w:p w14:paraId="658093ED" w14:textId="77777777" w:rsidR="00B14D53" w:rsidRDefault="00000000">
            <w:pPr>
              <w:spacing w:line="0" w:lineRule="atLeast"/>
              <w:contextualSpacing/>
              <w:jc w:val="center"/>
              <w:rPr>
                <w:szCs w:val="21"/>
              </w:rPr>
            </w:pPr>
            <w:r>
              <w:rPr>
                <w:rFonts w:hint="eastAsia"/>
                <w:szCs w:val="21"/>
              </w:rPr>
              <w:t>0.0419</w:t>
            </w:r>
          </w:p>
        </w:tc>
        <w:tc>
          <w:tcPr>
            <w:tcW w:w="920" w:type="pct"/>
            <w:vAlign w:val="center"/>
          </w:tcPr>
          <w:p w14:paraId="10B7E47C" w14:textId="77777777" w:rsidR="00B14D53" w:rsidRDefault="00000000">
            <w:pPr>
              <w:spacing w:line="0" w:lineRule="atLeast"/>
              <w:contextualSpacing/>
              <w:jc w:val="center"/>
              <w:rPr>
                <w:szCs w:val="21"/>
              </w:rPr>
            </w:pPr>
            <w:r>
              <w:rPr>
                <w:rFonts w:hint="eastAsia"/>
                <w:szCs w:val="21"/>
              </w:rPr>
              <w:t>0.0210</w:t>
            </w:r>
          </w:p>
        </w:tc>
        <w:tc>
          <w:tcPr>
            <w:tcW w:w="917" w:type="pct"/>
            <w:vAlign w:val="center"/>
          </w:tcPr>
          <w:p w14:paraId="79C52669" w14:textId="77777777" w:rsidR="00B14D53" w:rsidRDefault="00000000">
            <w:pPr>
              <w:spacing w:line="0" w:lineRule="atLeast"/>
              <w:contextualSpacing/>
              <w:jc w:val="center"/>
              <w:rPr>
                <w:szCs w:val="21"/>
              </w:rPr>
            </w:pPr>
            <w:r>
              <w:rPr>
                <w:rFonts w:hint="eastAsia"/>
                <w:szCs w:val="21"/>
              </w:rPr>
              <w:t>0.0017</w:t>
            </w:r>
          </w:p>
        </w:tc>
        <w:tc>
          <w:tcPr>
            <w:tcW w:w="940" w:type="pct"/>
            <w:vAlign w:val="center"/>
          </w:tcPr>
          <w:p w14:paraId="1B5F8148" w14:textId="77777777" w:rsidR="00B14D53" w:rsidRDefault="00000000">
            <w:pPr>
              <w:spacing w:line="0" w:lineRule="atLeast"/>
              <w:contextualSpacing/>
              <w:jc w:val="center"/>
              <w:rPr>
                <w:szCs w:val="21"/>
              </w:rPr>
            </w:pPr>
            <w:r>
              <w:rPr>
                <w:rFonts w:hint="eastAsia"/>
                <w:szCs w:val="21"/>
              </w:rPr>
              <w:t>0.0168</w:t>
            </w:r>
          </w:p>
        </w:tc>
      </w:tr>
      <w:tr w:rsidR="00B14D53" w14:paraId="7DB8C251" w14:textId="77777777">
        <w:trPr>
          <w:trHeight w:val="285"/>
          <w:jc w:val="center"/>
        </w:trPr>
        <w:tc>
          <w:tcPr>
            <w:tcW w:w="1052" w:type="pct"/>
            <w:vAlign w:val="center"/>
          </w:tcPr>
          <w:p w14:paraId="332094BA" w14:textId="77777777" w:rsidR="00B14D53" w:rsidRDefault="00000000">
            <w:pPr>
              <w:spacing w:line="0" w:lineRule="atLeast"/>
              <w:contextualSpacing/>
              <w:jc w:val="center"/>
              <w:rPr>
                <w:szCs w:val="21"/>
              </w:rPr>
            </w:pPr>
            <w:r>
              <w:rPr>
                <w:szCs w:val="21"/>
              </w:rPr>
              <w:t>1600</w:t>
            </w:r>
          </w:p>
        </w:tc>
        <w:tc>
          <w:tcPr>
            <w:tcW w:w="1169" w:type="pct"/>
            <w:vAlign w:val="center"/>
          </w:tcPr>
          <w:p w14:paraId="03F66297" w14:textId="77777777" w:rsidR="00B14D53" w:rsidRDefault="00000000">
            <w:pPr>
              <w:spacing w:line="0" w:lineRule="atLeast"/>
              <w:contextualSpacing/>
              <w:jc w:val="center"/>
              <w:rPr>
                <w:szCs w:val="21"/>
              </w:rPr>
            </w:pPr>
            <w:r>
              <w:rPr>
                <w:rFonts w:hint="eastAsia"/>
                <w:szCs w:val="21"/>
              </w:rPr>
              <w:t>0.0671</w:t>
            </w:r>
          </w:p>
        </w:tc>
        <w:tc>
          <w:tcPr>
            <w:tcW w:w="920" w:type="pct"/>
            <w:vAlign w:val="center"/>
          </w:tcPr>
          <w:p w14:paraId="1E30E51E" w14:textId="77777777" w:rsidR="00B14D53" w:rsidRDefault="00000000">
            <w:pPr>
              <w:spacing w:line="0" w:lineRule="atLeast"/>
              <w:contextualSpacing/>
              <w:jc w:val="center"/>
              <w:rPr>
                <w:szCs w:val="21"/>
              </w:rPr>
            </w:pPr>
            <w:r>
              <w:rPr>
                <w:rFonts w:hint="eastAsia"/>
                <w:szCs w:val="21"/>
              </w:rPr>
              <w:t>0.0336</w:t>
            </w:r>
          </w:p>
        </w:tc>
        <w:tc>
          <w:tcPr>
            <w:tcW w:w="917" w:type="pct"/>
            <w:vAlign w:val="center"/>
          </w:tcPr>
          <w:p w14:paraId="54D27475" w14:textId="77777777" w:rsidR="00B14D53" w:rsidRDefault="00000000">
            <w:pPr>
              <w:spacing w:line="0" w:lineRule="atLeast"/>
              <w:contextualSpacing/>
              <w:jc w:val="center"/>
              <w:rPr>
                <w:szCs w:val="21"/>
              </w:rPr>
            </w:pPr>
            <w:r>
              <w:rPr>
                <w:rFonts w:hint="eastAsia"/>
                <w:szCs w:val="21"/>
              </w:rPr>
              <w:t>0.0027</w:t>
            </w:r>
          </w:p>
        </w:tc>
        <w:tc>
          <w:tcPr>
            <w:tcW w:w="940" w:type="pct"/>
            <w:vAlign w:val="center"/>
          </w:tcPr>
          <w:p w14:paraId="28CA8E10" w14:textId="77777777" w:rsidR="00B14D53" w:rsidRDefault="00000000">
            <w:pPr>
              <w:spacing w:line="0" w:lineRule="atLeast"/>
              <w:contextualSpacing/>
              <w:jc w:val="center"/>
              <w:rPr>
                <w:szCs w:val="21"/>
              </w:rPr>
            </w:pPr>
            <w:r>
              <w:rPr>
                <w:rFonts w:hint="eastAsia"/>
                <w:szCs w:val="21"/>
              </w:rPr>
              <w:t>0.0269</w:t>
            </w:r>
          </w:p>
        </w:tc>
      </w:tr>
      <w:tr w:rsidR="00B14D53" w14:paraId="2950EDB5" w14:textId="77777777">
        <w:trPr>
          <w:trHeight w:val="285"/>
          <w:jc w:val="center"/>
        </w:trPr>
        <w:tc>
          <w:tcPr>
            <w:tcW w:w="1052" w:type="pct"/>
            <w:vAlign w:val="center"/>
          </w:tcPr>
          <w:p w14:paraId="34039AB5" w14:textId="77777777" w:rsidR="00B14D53" w:rsidRDefault="00000000">
            <w:pPr>
              <w:spacing w:line="0" w:lineRule="atLeast"/>
              <w:contextualSpacing/>
              <w:jc w:val="center"/>
              <w:rPr>
                <w:szCs w:val="21"/>
              </w:rPr>
            </w:pPr>
            <w:r>
              <w:rPr>
                <w:szCs w:val="21"/>
              </w:rPr>
              <w:t>2000</w:t>
            </w:r>
          </w:p>
        </w:tc>
        <w:tc>
          <w:tcPr>
            <w:tcW w:w="1169" w:type="pct"/>
            <w:vAlign w:val="center"/>
          </w:tcPr>
          <w:p w14:paraId="0952E035" w14:textId="77777777" w:rsidR="00B14D53" w:rsidRDefault="00000000">
            <w:pPr>
              <w:spacing w:line="0" w:lineRule="atLeast"/>
              <w:contextualSpacing/>
              <w:jc w:val="center"/>
              <w:rPr>
                <w:szCs w:val="21"/>
              </w:rPr>
            </w:pPr>
            <w:r>
              <w:rPr>
                <w:rFonts w:hint="eastAsia"/>
                <w:szCs w:val="21"/>
              </w:rPr>
              <w:t>0.0701</w:t>
            </w:r>
          </w:p>
        </w:tc>
        <w:tc>
          <w:tcPr>
            <w:tcW w:w="920" w:type="pct"/>
            <w:vAlign w:val="center"/>
          </w:tcPr>
          <w:p w14:paraId="4B700B8C" w14:textId="77777777" w:rsidR="00B14D53" w:rsidRDefault="00000000">
            <w:pPr>
              <w:spacing w:line="0" w:lineRule="atLeast"/>
              <w:contextualSpacing/>
              <w:jc w:val="center"/>
              <w:rPr>
                <w:szCs w:val="21"/>
              </w:rPr>
            </w:pPr>
            <w:r>
              <w:rPr>
                <w:rFonts w:hint="eastAsia"/>
                <w:szCs w:val="21"/>
              </w:rPr>
              <w:t>0.0351</w:t>
            </w:r>
          </w:p>
        </w:tc>
        <w:tc>
          <w:tcPr>
            <w:tcW w:w="917" w:type="pct"/>
            <w:vAlign w:val="center"/>
          </w:tcPr>
          <w:p w14:paraId="2477DFD7" w14:textId="77777777" w:rsidR="00B14D53" w:rsidRDefault="00000000">
            <w:pPr>
              <w:spacing w:line="0" w:lineRule="atLeast"/>
              <w:contextualSpacing/>
              <w:jc w:val="center"/>
              <w:rPr>
                <w:szCs w:val="21"/>
              </w:rPr>
            </w:pPr>
            <w:r>
              <w:rPr>
                <w:rFonts w:hint="eastAsia"/>
                <w:szCs w:val="21"/>
              </w:rPr>
              <w:t>0.0028</w:t>
            </w:r>
          </w:p>
        </w:tc>
        <w:tc>
          <w:tcPr>
            <w:tcW w:w="940" w:type="pct"/>
            <w:vAlign w:val="center"/>
          </w:tcPr>
          <w:p w14:paraId="25D2F6C0" w14:textId="77777777" w:rsidR="00B14D53" w:rsidRDefault="00000000">
            <w:pPr>
              <w:spacing w:line="0" w:lineRule="atLeast"/>
              <w:contextualSpacing/>
              <w:jc w:val="center"/>
              <w:rPr>
                <w:szCs w:val="21"/>
              </w:rPr>
            </w:pPr>
            <w:r>
              <w:rPr>
                <w:rFonts w:hint="eastAsia"/>
                <w:szCs w:val="21"/>
              </w:rPr>
              <w:t>0.0281</w:t>
            </w:r>
          </w:p>
        </w:tc>
      </w:tr>
      <w:tr w:rsidR="00B14D53" w14:paraId="290A5B40" w14:textId="77777777">
        <w:trPr>
          <w:trHeight w:val="285"/>
          <w:jc w:val="center"/>
        </w:trPr>
        <w:tc>
          <w:tcPr>
            <w:tcW w:w="1052" w:type="pct"/>
            <w:vAlign w:val="center"/>
          </w:tcPr>
          <w:p w14:paraId="20BBF6F2" w14:textId="77777777" w:rsidR="00B14D53" w:rsidRDefault="00000000">
            <w:pPr>
              <w:spacing w:line="0" w:lineRule="atLeast"/>
              <w:contextualSpacing/>
              <w:jc w:val="center"/>
              <w:rPr>
                <w:szCs w:val="21"/>
              </w:rPr>
            </w:pPr>
            <w:r>
              <w:rPr>
                <w:szCs w:val="21"/>
              </w:rPr>
              <w:t>2500</w:t>
            </w:r>
          </w:p>
        </w:tc>
        <w:tc>
          <w:tcPr>
            <w:tcW w:w="1169" w:type="pct"/>
            <w:vAlign w:val="center"/>
          </w:tcPr>
          <w:p w14:paraId="65FD729C" w14:textId="77777777" w:rsidR="00B14D53" w:rsidRDefault="00000000">
            <w:pPr>
              <w:spacing w:line="0" w:lineRule="atLeast"/>
              <w:contextualSpacing/>
              <w:jc w:val="center"/>
              <w:rPr>
                <w:szCs w:val="21"/>
              </w:rPr>
            </w:pPr>
            <w:r>
              <w:rPr>
                <w:rFonts w:hint="eastAsia"/>
                <w:szCs w:val="21"/>
              </w:rPr>
              <w:t>0.0601</w:t>
            </w:r>
          </w:p>
        </w:tc>
        <w:tc>
          <w:tcPr>
            <w:tcW w:w="920" w:type="pct"/>
            <w:vAlign w:val="center"/>
          </w:tcPr>
          <w:p w14:paraId="4722BC90" w14:textId="77777777" w:rsidR="00B14D53" w:rsidRDefault="00000000">
            <w:pPr>
              <w:spacing w:line="0" w:lineRule="atLeast"/>
              <w:contextualSpacing/>
              <w:jc w:val="center"/>
              <w:rPr>
                <w:szCs w:val="21"/>
              </w:rPr>
            </w:pPr>
            <w:r>
              <w:rPr>
                <w:rFonts w:hint="eastAsia"/>
                <w:szCs w:val="21"/>
              </w:rPr>
              <w:t>0.0301</w:t>
            </w:r>
          </w:p>
        </w:tc>
        <w:tc>
          <w:tcPr>
            <w:tcW w:w="917" w:type="pct"/>
            <w:vAlign w:val="center"/>
          </w:tcPr>
          <w:p w14:paraId="1AA8BDC0" w14:textId="77777777" w:rsidR="00B14D53" w:rsidRDefault="00000000">
            <w:pPr>
              <w:spacing w:line="0" w:lineRule="atLeast"/>
              <w:contextualSpacing/>
              <w:jc w:val="center"/>
              <w:rPr>
                <w:szCs w:val="21"/>
              </w:rPr>
            </w:pPr>
            <w:r>
              <w:rPr>
                <w:rFonts w:hint="eastAsia"/>
                <w:szCs w:val="21"/>
              </w:rPr>
              <w:t>0.0024</w:t>
            </w:r>
          </w:p>
        </w:tc>
        <w:tc>
          <w:tcPr>
            <w:tcW w:w="940" w:type="pct"/>
            <w:vAlign w:val="center"/>
          </w:tcPr>
          <w:p w14:paraId="568435A2" w14:textId="77777777" w:rsidR="00B14D53" w:rsidRDefault="00000000">
            <w:pPr>
              <w:spacing w:line="0" w:lineRule="atLeast"/>
              <w:contextualSpacing/>
              <w:jc w:val="center"/>
              <w:rPr>
                <w:szCs w:val="21"/>
              </w:rPr>
            </w:pPr>
            <w:r>
              <w:rPr>
                <w:rFonts w:hint="eastAsia"/>
                <w:szCs w:val="21"/>
              </w:rPr>
              <w:t>0.0241</w:t>
            </w:r>
          </w:p>
        </w:tc>
      </w:tr>
      <w:tr w:rsidR="00B14D53" w14:paraId="1135B51F" w14:textId="77777777">
        <w:trPr>
          <w:trHeight w:val="325"/>
          <w:jc w:val="center"/>
        </w:trPr>
        <w:tc>
          <w:tcPr>
            <w:tcW w:w="1052" w:type="pct"/>
            <w:vAlign w:val="center"/>
          </w:tcPr>
          <w:p w14:paraId="0D5B6019" w14:textId="77777777" w:rsidR="00B14D53" w:rsidRDefault="00000000">
            <w:pPr>
              <w:spacing w:line="0" w:lineRule="atLeast"/>
              <w:contextualSpacing/>
              <w:jc w:val="center"/>
              <w:rPr>
                <w:szCs w:val="21"/>
              </w:rPr>
            </w:pPr>
            <w:r>
              <w:rPr>
                <w:szCs w:val="21"/>
              </w:rPr>
              <w:t>下风向最大浓度</w:t>
            </w:r>
          </w:p>
        </w:tc>
        <w:tc>
          <w:tcPr>
            <w:tcW w:w="1169" w:type="pct"/>
            <w:vAlign w:val="center"/>
          </w:tcPr>
          <w:p w14:paraId="05825B41" w14:textId="77777777" w:rsidR="00B14D53" w:rsidRDefault="00000000">
            <w:pPr>
              <w:spacing w:line="0" w:lineRule="atLeast"/>
              <w:contextualSpacing/>
              <w:jc w:val="center"/>
              <w:rPr>
                <w:szCs w:val="21"/>
              </w:rPr>
            </w:pPr>
            <w:r>
              <w:rPr>
                <w:rFonts w:hint="eastAsia"/>
                <w:szCs w:val="21"/>
              </w:rPr>
              <w:t>0.1166</w:t>
            </w:r>
          </w:p>
        </w:tc>
        <w:tc>
          <w:tcPr>
            <w:tcW w:w="920" w:type="pct"/>
            <w:vAlign w:val="center"/>
          </w:tcPr>
          <w:p w14:paraId="74F37A9E" w14:textId="77777777" w:rsidR="00B14D53" w:rsidRDefault="00000000">
            <w:pPr>
              <w:spacing w:line="0" w:lineRule="atLeast"/>
              <w:contextualSpacing/>
              <w:jc w:val="center"/>
              <w:rPr>
                <w:szCs w:val="21"/>
              </w:rPr>
            </w:pPr>
            <w:r>
              <w:rPr>
                <w:rFonts w:hint="eastAsia"/>
                <w:szCs w:val="21"/>
              </w:rPr>
              <w:t>0.0583</w:t>
            </w:r>
          </w:p>
        </w:tc>
        <w:tc>
          <w:tcPr>
            <w:tcW w:w="917" w:type="pct"/>
            <w:vAlign w:val="center"/>
          </w:tcPr>
          <w:p w14:paraId="3BB3ED78" w14:textId="77777777" w:rsidR="00B14D53" w:rsidRDefault="00000000">
            <w:pPr>
              <w:spacing w:line="0" w:lineRule="atLeast"/>
              <w:contextualSpacing/>
              <w:jc w:val="center"/>
              <w:rPr>
                <w:szCs w:val="21"/>
              </w:rPr>
            </w:pPr>
            <w:r>
              <w:rPr>
                <w:rFonts w:hint="eastAsia"/>
                <w:szCs w:val="21"/>
              </w:rPr>
              <w:t>0.0047</w:t>
            </w:r>
          </w:p>
        </w:tc>
        <w:tc>
          <w:tcPr>
            <w:tcW w:w="940" w:type="pct"/>
            <w:vAlign w:val="center"/>
          </w:tcPr>
          <w:p w14:paraId="00A9E7FE" w14:textId="77777777" w:rsidR="00B14D53" w:rsidRDefault="00000000">
            <w:pPr>
              <w:spacing w:line="0" w:lineRule="atLeast"/>
              <w:contextualSpacing/>
              <w:jc w:val="center"/>
              <w:rPr>
                <w:szCs w:val="21"/>
              </w:rPr>
            </w:pPr>
            <w:r>
              <w:rPr>
                <w:rFonts w:hint="eastAsia"/>
                <w:szCs w:val="21"/>
              </w:rPr>
              <w:t>0.0466</w:t>
            </w:r>
          </w:p>
        </w:tc>
      </w:tr>
      <w:tr w:rsidR="00B14D53" w14:paraId="3F0F82B2" w14:textId="77777777">
        <w:trPr>
          <w:trHeight w:val="48"/>
          <w:jc w:val="center"/>
        </w:trPr>
        <w:tc>
          <w:tcPr>
            <w:tcW w:w="1052" w:type="pct"/>
            <w:vAlign w:val="center"/>
          </w:tcPr>
          <w:p w14:paraId="5472226E" w14:textId="77777777" w:rsidR="00B14D53" w:rsidRDefault="00000000">
            <w:pPr>
              <w:spacing w:line="0" w:lineRule="atLeast"/>
              <w:contextualSpacing/>
              <w:jc w:val="center"/>
              <w:rPr>
                <w:szCs w:val="21"/>
              </w:rPr>
            </w:pPr>
            <w:r>
              <w:rPr>
                <w:szCs w:val="21"/>
              </w:rPr>
              <w:t>下风向最大浓度出现距离</w:t>
            </w:r>
          </w:p>
        </w:tc>
        <w:tc>
          <w:tcPr>
            <w:tcW w:w="3947" w:type="pct"/>
            <w:gridSpan w:val="4"/>
            <w:vAlign w:val="center"/>
          </w:tcPr>
          <w:p w14:paraId="399FB5D5" w14:textId="77777777" w:rsidR="00B14D53" w:rsidRDefault="00000000">
            <w:pPr>
              <w:spacing w:line="0" w:lineRule="atLeast"/>
              <w:contextualSpacing/>
              <w:jc w:val="center"/>
              <w:rPr>
                <w:szCs w:val="21"/>
              </w:rPr>
            </w:pPr>
            <w:r>
              <w:rPr>
                <w:rFonts w:hint="eastAsia"/>
                <w:szCs w:val="21"/>
              </w:rPr>
              <w:t>1295m</w:t>
            </w:r>
          </w:p>
        </w:tc>
      </w:tr>
    </w:tbl>
    <w:p w14:paraId="5115CA18" w14:textId="77777777" w:rsidR="00B14D53" w:rsidRDefault="00B14D53">
      <w:pPr>
        <w:jc w:val="center"/>
        <w:rPr>
          <w:b/>
          <w:bCs/>
        </w:rPr>
      </w:pPr>
    </w:p>
    <w:p w14:paraId="4BF6D5FB" w14:textId="77777777" w:rsidR="00B14D53" w:rsidRDefault="00000000">
      <w:pPr>
        <w:jc w:val="center"/>
        <w:rPr>
          <w:b/>
          <w:bCs/>
        </w:rPr>
      </w:pPr>
      <w:r>
        <w:rPr>
          <w:b/>
          <w:bCs/>
        </w:rPr>
        <w:t>表</w:t>
      </w:r>
      <w:r>
        <w:rPr>
          <w:b/>
          <w:bCs/>
        </w:rPr>
        <w:t>5-2-</w:t>
      </w:r>
      <w:r>
        <w:rPr>
          <w:rFonts w:hint="eastAsia"/>
          <w:b/>
          <w:bCs/>
        </w:rPr>
        <w:t xml:space="preserve">8 </w:t>
      </w:r>
      <w:r>
        <w:rPr>
          <w:b/>
          <w:bCs/>
        </w:rPr>
        <w:t>有组织排放估算模式的计算结果</w:t>
      </w:r>
      <w:r>
        <w:rPr>
          <w:rFonts w:hint="eastAsia"/>
          <w:b/>
          <w:bCs/>
        </w:rPr>
        <w:t>（</w:t>
      </w:r>
      <w:r>
        <w:rPr>
          <w:rFonts w:hint="eastAsia"/>
          <w:b/>
          <w:bCs/>
        </w:rPr>
        <w:t>DA004</w:t>
      </w:r>
      <w:r>
        <w:rPr>
          <w:rFonts w:hint="eastAsia"/>
          <w:b/>
          <w:bCs/>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41"/>
        <w:gridCol w:w="1552"/>
        <w:gridCol w:w="1485"/>
        <w:gridCol w:w="1660"/>
        <w:gridCol w:w="1668"/>
      </w:tblGrid>
      <w:tr w:rsidR="00B14D53" w14:paraId="4C960E3F" w14:textId="77777777">
        <w:trPr>
          <w:trHeight w:val="274"/>
          <w:jc w:val="center"/>
        </w:trPr>
        <w:tc>
          <w:tcPr>
            <w:tcW w:w="1168" w:type="pct"/>
            <w:vMerge w:val="restart"/>
            <w:vAlign w:val="center"/>
          </w:tcPr>
          <w:p w14:paraId="577BE12A" w14:textId="77777777" w:rsidR="00B14D53" w:rsidRDefault="00000000">
            <w:pPr>
              <w:pStyle w:val="affffffffff1"/>
              <w:rPr>
                <w:b/>
                <w:bCs/>
                <w:szCs w:val="21"/>
              </w:rPr>
            </w:pPr>
            <w:r>
              <w:rPr>
                <w:b/>
                <w:bCs/>
                <w:szCs w:val="21"/>
              </w:rPr>
              <w:t>距离（</w:t>
            </w:r>
            <w:r>
              <w:rPr>
                <w:b/>
                <w:bCs/>
                <w:szCs w:val="21"/>
              </w:rPr>
              <w:t>m</w:t>
            </w:r>
            <w:r>
              <w:rPr>
                <w:b/>
                <w:bCs/>
                <w:szCs w:val="21"/>
              </w:rPr>
              <w:t>）</w:t>
            </w:r>
          </w:p>
        </w:tc>
        <w:tc>
          <w:tcPr>
            <w:tcW w:w="3831" w:type="pct"/>
            <w:gridSpan w:val="4"/>
            <w:vAlign w:val="center"/>
          </w:tcPr>
          <w:p w14:paraId="4679E013" w14:textId="77777777" w:rsidR="00B14D53" w:rsidRDefault="00000000">
            <w:pPr>
              <w:pStyle w:val="affffffffff1"/>
              <w:rPr>
                <w:b/>
                <w:bCs/>
                <w:szCs w:val="21"/>
              </w:rPr>
            </w:pPr>
            <w:r>
              <w:rPr>
                <w:rFonts w:hint="eastAsia"/>
                <w:b/>
                <w:bCs/>
                <w:szCs w:val="21"/>
              </w:rPr>
              <w:t>污水处理站排气筒（</w:t>
            </w:r>
            <w:r>
              <w:rPr>
                <w:rFonts w:hint="eastAsia"/>
                <w:b/>
                <w:bCs/>
                <w:szCs w:val="21"/>
              </w:rPr>
              <w:t>DA004</w:t>
            </w:r>
            <w:r>
              <w:rPr>
                <w:rFonts w:hint="eastAsia"/>
                <w:b/>
                <w:bCs/>
                <w:szCs w:val="21"/>
              </w:rPr>
              <w:t>）</w:t>
            </w:r>
          </w:p>
        </w:tc>
      </w:tr>
      <w:tr w:rsidR="00B14D53" w14:paraId="017193AE" w14:textId="77777777">
        <w:trPr>
          <w:trHeight w:val="70"/>
          <w:jc w:val="center"/>
        </w:trPr>
        <w:tc>
          <w:tcPr>
            <w:tcW w:w="1168" w:type="pct"/>
            <w:vMerge/>
            <w:vAlign w:val="center"/>
          </w:tcPr>
          <w:p w14:paraId="33AD5C75" w14:textId="77777777" w:rsidR="00B14D53" w:rsidRDefault="00B14D53">
            <w:pPr>
              <w:pStyle w:val="affffffffff1"/>
              <w:rPr>
                <w:b/>
                <w:bCs/>
                <w:szCs w:val="21"/>
              </w:rPr>
            </w:pPr>
          </w:p>
        </w:tc>
        <w:tc>
          <w:tcPr>
            <w:tcW w:w="1828" w:type="pct"/>
            <w:gridSpan w:val="2"/>
            <w:vAlign w:val="center"/>
          </w:tcPr>
          <w:p w14:paraId="1CC0B89E" w14:textId="77777777" w:rsidR="00B14D53" w:rsidRDefault="00000000">
            <w:pPr>
              <w:pStyle w:val="affffffffff1"/>
              <w:rPr>
                <w:b/>
                <w:bCs/>
                <w:szCs w:val="21"/>
              </w:rPr>
            </w:pPr>
            <w:r>
              <w:rPr>
                <w:b/>
                <w:bCs/>
                <w:szCs w:val="21"/>
              </w:rPr>
              <w:t>NH</w:t>
            </w:r>
            <w:r>
              <w:rPr>
                <w:b/>
                <w:bCs/>
                <w:szCs w:val="21"/>
                <w:vertAlign w:val="subscript"/>
              </w:rPr>
              <w:t>3</w:t>
            </w:r>
          </w:p>
        </w:tc>
        <w:tc>
          <w:tcPr>
            <w:tcW w:w="2003" w:type="pct"/>
            <w:gridSpan w:val="2"/>
            <w:vAlign w:val="center"/>
          </w:tcPr>
          <w:p w14:paraId="28773D26" w14:textId="77777777" w:rsidR="00B14D53" w:rsidRDefault="00000000">
            <w:pPr>
              <w:pStyle w:val="affffffffff1"/>
              <w:rPr>
                <w:b/>
                <w:bCs/>
                <w:szCs w:val="21"/>
              </w:rPr>
            </w:pPr>
            <w:r>
              <w:rPr>
                <w:b/>
                <w:bCs/>
                <w:szCs w:val="21"/>
              </w:rPr>
              <w:t>H</w:t>
            </w:r>
            <w:r>
              <w:rPr>
                <w:b/>
                <w:bCs/>
                <w:szCs w:val="21"/>
                <w:vertAlign w:val="subscript"/>
              </w:rPr>
              <w:t>2</w:t>
            </w:r>
            <w:r>
              <w:rPr>
                <w:b/>
                <w:bCs/>
                <w:szCs w:val="21"/>
              </w:rPr>
              <w:t>S</w:t>
            </w:r>
          </w:p>
        </w:tc>
      </w:tr>
      <w:tr w:rsidR="00B14D53" w14:paraId="7BF707D3" w14:textId="77777777">
        <w:trPr>
          <w:trHeight w:val="487"/>
          <w:jc w:val="center"/>
        </w:trPr>
        <w:tc>
          <w:tcPr>
            <w:tcW w:w="1168" w:type="pct"/>
            <w:vMerge/>
            <w:vAlign w:val="center"/>
          </w:tcPr>
          <w:p w14:paraId="7D3B2883" w14:textId="77777777" w:rsidR="00B14D53" w:rsidRDefault="00B14D53">
            <w:pPr>
              <w:pStyle w:val="affffffffff1"/>
              <w:rPr>
                <w:b/>
                <w:bCs/>
                <w:szCs w:val="21"/>
              </w:rPr>
            </w:pPr>
          </w:p>
        </w:tc>
        <w:tc>
          <w:tcPr>
            <w:tcW w:w="934" w:type="pct"/>
            <w:vAlign w:val="center"/>
          </w:tcPr>
          <w:p w14:paraId="618E3388" w14:textId="77777777" w:rsidR="00B14D53" w:rsidRDefault="00000000">
            <w:pPr>
              <w:contextualSpacing/>
              <w:jc w:val="center"/>
              <w:rPr>
                <w:b/>
                <w:bCs/>
                <w:szCs w:val="21"/>
              </w:rPr>
            </w:pPr>
            <w:r>
              <w:rPr>
                <w:b/>
                <w:bCs/>
                <w:kern w:val="0"/>
                <w:szCs w:val="21"/>
              </w:rPr>
              <w:t>预测质量浓度</w:t>
            </w:r>
            <w:r>
              <w:rPr>
                <w:b/>
                <w:bCs/>
                <w:kern w:val="0"/>
                <w:szCs w:val="21"/>
              </w:rPr>
              <w:t>/(μg/m</w:t>
            </w:r>
            <w:r>
              <w:rPr>
                <w:b/>
                <w:bCs/>
                <w:kern w:val="0"/>
                <w:szCs w:val="21"/>
                <w:vertAlign w:val="superscript"/>
              </w:rPr>
              <w:t>3</w:t>
            </w:r>
            <w:r>
              <w:rPr>
                <w:b/>
                <w:bCs/>
                <w:kern w:val="0"/>
                <w:szCs w:val="21"/>
              </w:rPr>
              <w:t>)</w:t>
            </w:r>
          </w:p>
        </w:tc>
        <w:tc>
          <w:tcPr>
            <w:tcW w:w="893" w:type="pct"/>
            <w:vAlign w:val="center"/>
          </w:tcPr>
          <w:p w14:paraId="275BDD39" w14:textId="77777777" w:rsidR="00B14D53" w:rsidRDefault="00000000">
            <w:pPr>
              <w:contextualSpacing/>
              <w:jc w:val="center"/>
              <w:rPr>
                <w:b/>
                <w:bCs/>
                <w:szCs w:val="21"/>
              </w:rPr>
            </w:pPr>
            <w:r>
              <w:rPr>
                <w:b/>
                <w:bCs/>
                <w:szCs w:val="21"/>
              </w:rPr>
              <w:t>占标率</w:t>
            </w:r>
            <w:r>
              <w:rPr>
                <w:b/>
                <w:bCs/>
                <w:szCs w:val="21"/>
              </w:rPr>
              <w:t>%</w:t>
            </w:r>
          </w:p>
        </w:tc>
        <w:tc>
          <w:tcPr>
            <w:tcW w:w="999" w:type="pct"/>
            <w:vAlign w:val="center"/>
          </w:tcPr>
          <w:p w14:paraId="0A428E01" w14:textId="77777777" w:rsidR="00B14D53" w:rsidRDefault="00000000">
            <w:pPr>
              <w:contextualSpacing/>
              <w:jc w:val="center"/>
              <w:rPr>
                <w:b/>
                <w:bCs/>
                <w:szCs w:val="21"/>
              </w:rPr>
            </w:pPr>
            <w:r>
              <w:rPr>
                <w:b/>
                <w:bCs/>
                <w:kern w:val="0"/>
                <w:szCs w:val="21"/>
              </w:rPr>
              <w:t>预测质量浓度</w:t>
            </w:r>
            <w:r>
              <w:rPr>
                <w:b/>
                <w:bCs/>
                <w:kern w:val="0"/>
                <w:szCs w:val="21"/>
              </w:rPr>
              <w:t>/(μg/m</w:t>
            </w:r>
            <w:r>
              <w:rPr>
                <w:b/>
                <w:bCs/>
                <w:kern w:val="0"/>
                <w:szCs w:val="21"/>
                <w:vertAlign w:val="superscript"/>
              </w:rPr>
              <w:t>3</w:t>
            </w:r>
            <w:r>
              <w:rPr>
                <w:b/>
                <w:bCs/>
                <w:kern w:val="0"/>
                <w:szCs w:val="21"/>
              </w:rPr>
              <w:t>)</w:t>
            </w:r>
          </w:p>
        </w:tc>
        <w:tc>
          <w:tcPr>
            <w:tcW w:w="1004" w:type="pct"/>
            <w:vAlign w:val="center"/>
          </w:tcPr>
          <w:p w14:paraId="364E7BFA" w14:textId="77777777" w:rsidR="00B14D53" w:rsidRDefault="00000000">
            <w:pPr>
              <w:tabs>
                <w:tab w:val="left" w:pos="420"/>
              </w:tabs>
              <w:autoSpaceDE w:val="0"/>
              <w:autoSpaceDN w:val="0"/>
              <w:contextualSpacing/>
              <w:jc w:val="center"/>
              <w:rPr>
                <w:b/>
                <w:bCs/>
                <w:szCs w:val="21"/>
              </w:rPr>
            </w:pPr>
            <w:r>
              <w:rPr>
                <w:b/>
                <w:bCs/>
                <w:kern w:val="0"/>
                <w:szCs w:val="21"/>
              </w:rPr>
              <w:t>占标率</w:t>
            </w:r>
            <w:r>
              <w:rPr>
                <w:b/>
                <w:bCs/>
                <w:kern w:val="0"/>
                <w:szCs w:val="21"/>
              </w:rPr>
              <w:t>/(%)</w:t>
            </w:r>
          </w:p>
        </w:tc>
      </w:tr>
      <w:tr w:rsidR="00B14D53" w14:paraId="63EEF7F4" w14:textId="77777777">
        <w:trPr>
          <w:trHeight w:val="306"/>
          <w:jc w:val="center"/>
        </w:trPr>
        <w:tc>
          <w:tcPr>
            <w:tcW w:w="1168" w:type="pct"/>
            <w:vAlign w:val="center"/>
          </w:tcPr>
          <w:p w14:paraId="4EF419F8" w14:textId="77777777" w:rsidR="00B14D53" w:rsidRDefault="00000000">
            <w:pPr>
              <w:pStyle w:val="affffffffff1"/>
              <w:rPr>
                <w:szCs w:val="21"/>
              </w:rPr>
            </w:pPr>
            <w:r>
              <w:rPr>
                <w:szCs w:val="21"/>
              </w:rPr>
              <w:t>50</w:t>
            </w:r>
          </w:p>
        </w:tc>
        <w:tc>
          <w:tcPr>
            <w:tcW w:w="934" w:type="pct"/>
            <w:vAlign w:val="center"/>
          </w:tcPr>
          <w:p w14:paraId="059523BA" w14:textId="77777777" w:rsidR="00B14D53" w:rsidRDefault="00000000">
            <w:pPr>
              <w:pStyle w:val="affffffffff1"/>
              <w:rPr>
                <w:szCs w:val="21"/>
              </w:rPr>
            </w:pPr>
            <w:r>
              <w:rPr>
                <w:rFonts w:hint="eastAsia"/>
                <w:szCs w:val="21"/>
              </w:rPr>
              <w:t>0.1088</w:t>
            </w:r>
          </w:p>
        </w:tc>
        <w:tc>
          <w:tcPr>
            <w:tcW w:w="893" w:type="pct"/>
            <w:vAlign w:val="center"/>
          </w:tcPr>
          <w:p w14:paraId="458847E0" w14:textId="77777777" w:rsidR="00B14D53" w:rsidRDefault="00000000">
            <w:pPr>
              <w:pStyle w:val="affffffffff1"/>
              <w:rPr>
                <w:szCs w:val="21"/>
              </w:rPr>
            </w:pPr>
            <w:r>
              <w:rPr>
                <w:rFonts w:hint="eastAsia"/>
                <w:szCs w:val="21"/>
              </w:rPr>
              <w:t>0.0544</w:t>
            </w:r>
          </w:p>
        </w:tc>
        <w:tc>
          <w:tcPr>
            <w:tcW w:w="999" w:type="pct"/>
            <w:vAlign w:val="center"/>
          </w:tcPr>
          <w:p w14:paraId="183A23C9" w14:textId="77777777" w:rsidR="00B14D53" w:rsidRDefault="00000000">
            <w:pPr>
              <w:pStyle w:val="affffffffff1"/>
              <w:rPr>
                <w:szCs w:val="21"/>
              </w:rPr>
            </w:pPr>
            <w:r>
              <w:rPr>
                <w:rFonts w:hint="eastAsia"/>
                <w:szCs w:val="21"/>
              </w:rPr>
              <w:t>0.0054</w:t>
            </w:r>
          </w:p>
        </w:tc>
        <w:tc>
          <w:tcPr>
            <w:tcW w:w="1004" w:type="pct"/>
            <w:vAlign w:val="center"/>
          </w:tcPr>
          <w:p w14:paraId="097B8D78" w14:textId="77777777" w:rsidR="00B14D53" w:rsidRDefault="00000000">
            <w:pPr>
              <w:pStyle w:val="affffffffff1"/>
              <w:rPr>
                <w:szCs w:val="21"/>
              </w:rPr>
            </w:pPr>
            <w:r>
              <w:rPr>
                <w:rFonts w:hint="eastAsia"/>
                <w:szCs w:val="21"/>
              </w:rPr>
              <w:t>0.0544</w:t>
            </w:r>
          </w:p>
        </w:tc>
      </w:tr>
      <w:tr w:rsidR="00B14D53" w14:paraId="613F72BF" w14:textId="77777777">
        <w:trPr>
          <w:trHeight w:val="285"/>
          <w:jc w:val="center"/>
        </w:trPr>
        <w:tc>
          <w:tcPr>
            <w:tcW w:w="1168" w:type="pct"/>
            <w:vAlign w:val="center"/>
          </w:tcPr>
          <w:p w14:paraId="61AB30CB" w14:textId="77777777" w:rsidR="00B14D53" w:rsidRDefault="00000000">
            <w:pPr>
              <w:pStyle w:val="affffffffff1"/>
              <w:rPr>
                <w:szCs w:val="21"/>
              </w:rPr>
            </w:pPr>
            <w:r>
              <w:rPr>
                <w:szCs w:val="21"/>
              </w:rPr>
              <w:t>100</w:t>
            </w:r>
          </w:p>
        </w:tc>
        <w:tc>
          <w:tcPr>
            <w:tcW w:w="934" w:type="pct"/>
            <w:vAlign w:val="center"/>
          </w:tcPr>
          <w:p w14:paraId="7F7BBDD3" w14:textId="77777777" w:rsidR="00B14D53" w:rsidRDefault="00000000">
            <w:pPr>
              <w:pStyle w:val="affffffffff1"/>
              <w:rPr>
                <w:szCs w:val="21"/>
              </w:rPr>
            </w:pPr>
            <w:r>
              <w:rPr>
                <w:rFonts w:hint="eastAsia"/>
                <w:szCs w:val="21"/>
              </w:rPr>
              <w:t>0.1391</w:t>
            </w:r>
          </w:p>
        </w:tc>
        <w:tc>
          <w:tcPr>
            <w:tcW w:w="893" w:type="pct"/>
            <w:vAlign w:val="center"/>
          </w:tcPr>
          <w:p w14:paraId="492E3EF0" w14:textId="77777777" w:rsidR="00B14D53" w:rsidRDefault="00000000">
            <w:pPr>
              <w:pStyle w:val="affffffffff1"/>
              <w:rPr>
                <w:szCs w:val="21"/>
              </w:rPr>
            </w:pPr>
            <w:r>
              <w:rPr>
                <w:rFonts w:hint="eastAsia"/>
                <w:szCs w:val="21"/>
              </w:rPr>
              <w:t>0.0695</w:t>
            </w:r>
          </w:p>
        </w:tc>
        <w:tc>
          <w:tcPr>
            <w:tcW w:w="999" w:type="pct"/>
            <w:vAlign w:val="center"/>
          </w:tcPr>
          <w:p w14:paraId="0E315DA0" w14:textId="77777777" w:rsidR="00B14D53" w:rsidRDefault="00000000">
            <w:pPr>
              <w:pStyle w:val="affffffffff1"/>
              <w:rPr>
                <w:szCs w:val="21"/>
              </w:rPr>
            </w:pPr>
            <w:r>
              <w:rPr>
                <w:rFonts w:hint="eastAsia"/>
                <w:szCs w:val="21"/>
              </w:rPr>
              <w:t>0.0070</w:t>
            </w:r>
          </w:p>
        </w:tc>
        <w:tc>
          <w:tcPr>
            <w:tcW w:w="1004" w:type="pct"/>
            <w:vAlign w:val="center"/>
          </w:tcPr>
          <w:p w14:paraId="16E16DD6" w14:textId="77777777" w:rsidR="00B14D53" w:rsidRDefault="00000000">
            <w:pPr>
              <w:pStyle w:val="affffffffff1"/>
              <w:rPr>
                <w:szCs w:val="21"/>
              </w:rPr>
            </w:pPr>
            <w:r>
              <w:rPr>
                <w:rFonts w:hint="eastAsia"/>
                <w:szCs w:val="21"/>
              </w:rPr>
              <w:t>0.0695</w:t>
            </w:r>
          </w:p>
        </w:tc>
      </w:tr>
      <w:tr w:rsidR="00B14D53" w14:paraId="76DE6608" w14:textId="77777777">
        <w:trPr>
          <w:trHeight w:val="285"/>
          <w:jc w:val="center"/>
        </w:trPr>
        <w:tc>
          <w:tcPr>
            <w:tcW w:w="1168" w:type="pct"/>
            <w:vAlign w:val="center"/>
          </w:tcPr>
          <w:p w14:paraId="5A21F894" w14:textId="77777777" w:rsidR="00B14D53" w:rsidRDefault="00000000">
            <w:pPr>
              <w:pStyle w:val="affffffffff1"/>
              <w:rPr>
                <w:szCs w:val="21"/>
              </w:rPr>
            </w:pPr>
            <w:r>
              <w:rPr>
                <w:szCs w:val="21"/>
              </w:rPr>
              <w:t>200</w:t>
            </w:r>
          </w:p>
        </w:tc>
        <w:tc>
          <w:tcPr>
            <w:tcW w:w="934" w:type="pct"/>
            <w:vAlign w:val="center"/>
          </w:tcPr>
          <w:p w14:paraId="644A34E2" w14:textId="77777777" w:rsidR="00B14D53" w:rsidRDefault="00000000">
            <w:pPr>
              <w:pStyle w:val="affffffffff1"/>
              <w:rPr>
                <w:szCs w:val="21"/>
              </w:rPr>
            </w:pPr>
            <w:r>
              <w:rPr>
                <w:rFonts w:hint="eastAsia"/>
                <w:szCs w:val="21"/>
              </w:rPr>
              <w:t>0.1836</w:t>
            </w:r>
          </w:p>
        </w:tc>
        <w:tc>
          <w:tcPr>
            <w:tcW w:w="893" w:type="pct"/>
            <w:vAlign w:val="center"/>
          </w:tcPr>
          <w:p w14:paraId="0DDBAA41" w14:textId="77777777" w:rsidR="00B14D53" w:rsidRDefault="00000000">
            <w:pPr>
              <w:pStyle w:val="affffffffff1"/>
              <w:rPr>
                <w:szCs w:val="21"/>
              </w:rPr>
            </w:pPr>
            <w:r>
              <w:rPr>
                <w:rFonts w:hint="eastAsia"/>
                <w:szCs w:val="21"/>
              </w:rPr>
              <w:t>0.0918</w:t>
            </w:r>
          </w:p>
        </w:tc>
        <w:tc>
          <w:tcPr>
            <w:tcW w:w="999" w:type="pct"/>
            <w:vAlign w:val="center"/>
          </w:tcPr>
          <w:p w14:paraId="3F1F4586" w14:textId="77777777" w:rsidR="00B14D53" w:rsidRDefault="00000000">
            <w:pPr>
              <w:pStyle w:val="affffffffff1"/>
              <w:rPr>
                <w:szCs w:val="21"/>
              </w:rPr>
            </w:pPr>
            <w:r>
              <w:rPr>
                <w:rFonts w:hint="eastAsia"/>
                <w:szCs w:val="21"/>
              </w:rPr>
              <w:t>0.0092</w:t>
            </w:r>
          </w:p>
        </w:tc>
        <w:tc>
          <w:tcPr>
            <w:tcW w:w="1004" w:type="pct"/>
            <w:vAlign w:val="center"/>
          </w:tcPr>
          <w:p w14:paraId="2DBAEB37" w14:textId="77777777" w:rsidR="00B14D53" w:rsidRDefault="00000000">
            <w:pPr>
              <w:pStyle w:val="affffffffff1"/>
              <w:rPr>
                <w:szCs w:val="21"/>
              </w:rPr>
            </w:pPr>
            <w:r>
              <w:rPr>
                <w:rFonts w:hint="eastAsia"/>
                <w:szCs w:val="21"/>
              </w:rPr>
              <w:t>0.0918</w:t>
            </w:r>
          </w:p>
        </w:tc>
      </w:tr>
      <w:tr w:rsidR="00B14D53" w14:paraId="764ACEE4" w14:textId="77777777">
        <w:trPr>
          <w:trHeight w:val="285"/>
          <w:jc w:val="center"/>
        </w:trPr>
        <w:tc>
          <w:tcPr>
            <w:tcW w:w="1168" w:type="pct"/>
            <w:vAlign w:val="center"/>
          </w:tcPr>
          <w:p w14:paraId="4CFD44EE" w14:textId="77777777" w:rsidR="00B14D53" w:rsidRDefault="00000000">
            <w:pPr>
              <w:pStyle w:val="affffffffff1"/>
              <w:rPr>
                <w:szCs w:val="21"/>
              </w:rPr>
            </w:pPr>
            <w:r>
              <w:rPr>
                <w:szCs w:val="21"/>
              </w:rPr>
              <w:t>300</w:t>
            </w:r>
          </w:p>
        </w:tc>
        <w:tc>
          <w:tcPr>
            <w:tcW w:w="934" w:type="pct"/>
            <w:vAlign w:val="center"/>
          </w:tcPr>
          <w:p w14:paraId="2B4A3A66" w14:textId="77777777" w:rsidR="00B14D53" w:rsidRDefault="00000000">
            <w:pPr>
              <w:pStyle w:val="affffffffff1"/>
              <w:rPr>
                <w:szCs w:val="21"/>
              </w:rPr>
            </w:pPr>
            <w:r>
              <w:rPr>
                <w:rFonts w:hint="eastAsia"/>
                <w:szCs w:val="21"/>
              </w:rPr>
              <w:t>0.1590</w:t>
            </w:r>
          </w:p>
        </w:tc>
        <w:tc>
          <w:tcPr>
            <w:tcW w:w="893" w:type="pct"/>
            <w:vAlign w:val="center"/>
          </w:tcPr>
          <w:p w14:paraId="59AF3006" w14:textId="77777777" w:rsidR="00B14D53" w:rsidRDefault="00000000">
            <w:pPr>
              <w:pStyle w:val="affffffffff1"/>
              <w:rPr>
                <w:szCs w:val="21"/>
              </w:rPr>
            </w:pPr>
            <w:r>
              <w:rPr>
                <w:rFonts w:hint="eastAsia"/>
                <w:szCs w:val="21"/>
              </w:rPr>
              <w:t>0.0795</w:t>
            </w:r>
          </w:p>
        </w:tc>
        <w:tc>
          <w:tcPr>
            <w:tcW w:w="999" w:type="pct"/>
            <w:vAlign w:val="center"/>
          </w:tcPr>
          <w:p w14:paraId="30D22F45" w14:textId="77777777" w:rsidR="00B14D53" w:rsidRDefault="00000000">
            <w:pPr>
              <w:pStyle w:val="affffffffff1"/>
              <w:rPr>
                <w:szCs w:val="21"/>
              </w:rPr>
            </w:pPr>
            <w:r>
              <w:rPr>
                <w:rFonts w:hint="eastAsia"/>
                <w:szCs w:val="21"/>
              </w:rPr>
              <w:t>0.0079</w:t>
            </w:r>
          </w:p>
        </w:tc>
        <w:tc>
          <w:tcPr>
            <w:tcW w:w="1004" w:type="pct"/>
            <w:vAlign w:val="center"/>
          </w:tcPr>
          <w:p w14:paraId="0A6C42C9" w14:textId="77777777" w:rsidR="00B14D53" w:rsidRDefault="00000000">
            <w:pPr>
              <w:pStyle w:val="affffffffff1"/>
              <w:rPr>
                <w:szCs w:val="21"/>
              </w:rPr>
            </w:pPr>
            <w:r>
              <w:rPr>
                <w:rFonts w:hint="eastAsia"/>
                <w:szCs w:val="21"/>
              </w:rPr>
              <w:t>0.0795</w:t>
            </w:r>
          </w:p>
        </w:tc>
      </w:tr>
      <w:tr w:rsidR="00B14D53" w14:paraId="611FC433" w14:textId="77777777">
        <w:trPr>
          <w:trHeight w:val="285"/>
          <w:jc w:val="center"/>
        </w:trPr>
        <w:tc>
          <w:tcPr>
            <w:tcW w:w="1168" w:type="pct"/>
            <w:vAlign w:val="center"/>
          </w:tcPr>
          <w:p w14:paraId="2EEFF1AC" w14:textId="77777777" w:rsidR="00B14D53" w:rsidRDefault="00000000">
            <w:pPr>
              <w:pStyle w:val="affffffffff1"/>
              <w:rPr>
                <w:szCs w:val="21"/>
              </w:rPr>
            </w:pPr>
            <w:r>
              <w:rPr>
                <w:szCs w:val="21"/>
              </w:rPr>
              <w:t>400</w:t>
            </w:r>
          </w:p>
        </w:tc>
        <w:tc>
          <w:tcPr>
            <w:tcW w:w="934" w:type="pct"/>
            <w:vAlign w:val="center"/>
          </w:tcPr>
          <w:p w14:paraId="46171C3D" w14:textId="77777777" w:rsidR="00B14D53" w:rsidRDefault="00000000">
            <w:pPr>
              <w:pStyle w:val="affffffffff1"/>
              <w:rPr>
                <w:szCs w:val="21"/>
              </w:rPr>
            </w:pPr>
            <w:r>
              <w:rPr>
                <w:rFonts w:hint="eastAsia"/>
                <w:szCs w:val="21"/>
              </w:rPr>
              <w:t>0.1275</w:t>
            </w:r>
          </w:p>
        </w:tc>
        <w:tc>
          <w:tcPr>
            <w:tcW w:w="893" w:type="pct"/>
            <w:vAlign w:val="center"/>
          </w:tcPr>
          <w:p w14:paraId="7FA3384F" w14:textId="77777777" w:rsidR="00B14D53" w:rsidRDefault="00000000">
            <w:pPr>
              <w:pStyle w:val="affffffffff1"/>
              <w:rPr>
                <w:szCs w:val="21"/>
              </w:rPr>
            </w:pPr>
            <w:r>
              <w:rPr>
                <w:rFonts w:hint="eastAsia"/>
                <w:szCs w:val="21"/>
              </w:rPr>
              <w:t>0.0637</w:t>
            </w:r>
          </w:p>
        </w:tc>
        <w:tc>
          <w:tcPr>
            <w:tcW w:w="999" w:type="pct"/>
            <w:vAlign w:val="center"/>
          </w:tcPr>
          <w:p w14:paraId="33B41AF9" w14:textId="77777777" w:rsidR="00B14D53" w:rsidRDefault="00000000">
            <w:pPr>
              <w:pStyle w:val="affffffffff1"/>
              <w:rPr>
                <w:szCs w:val="21"/>
              </w:rPr>
            </w:pPr>
            <w:r>
              <w:rPr>
                <w:rFonts w:hint="eastAsia"/>
                <w:szCs w:val="21"/>
              </w:rPr>
              <w:t>0.0064</w:t>
            </w:r>
          </w:p>
        </w:tc>
        <w:tc>
          <w:tcPr>
            <w:tcW w:w="1004" w:type="pct"/>
            <w:vAlign w:val="center"/>
          </w:tcPr>
          <w:p w14:paraId="1F7B8811" w14:textId="77777777" w:rsidR="00B14D53" w:rsidRDefault="00000000">
            <w:pPr>
              <w:pStyle w:val="affffffffff1"/>
              <w:rPr>
                <w:szCs w:val="21"/>
              </w:rPr>
            </w:pPr>
            <w:r>
              <w:rPr>
                <w:rFonts w:hint="eastAsia"/>
                <w:szCs w:val="21"/>
              </w:rPr>
              <w:t>0.0637</w:t>
            </w:r>
          </w:p>
        </w:tc>
      </w:tr>
      <w:tr w:rsidR="00B14D53" w14:paraId="2A0D7C4B" w14:textId="77777777">
        <w:trPr>
          <w:trHeight w:val="306"/>
          <w:jc w:val="center"/>
        </w:trPr>
        <w:tc>
          <w:tcPr>
            <w:tcW w:w="1168" w:type="pct"/>
            <w:vAlign w:val="center"/>
          </w:tcPr>
          <w:p w14:paraId="1AB6B212" w14:textId="77777777" w:rsidR="00B14D53" w:rsidRDefault="00000000">
            <w:pPr>
              <w:pStyle w:val="affffffffff1"/>
              <w:rPr>
                <w:szCs w:val="21"/>
              </w:rPr>
            </w:pPr>
            <w:r>
              <w:rPr>
                <w:szCs w:val="21"/>
              </w:rPr>
              <w:t>500</w:t>
            </w:r>
          </w:p>
        </w:tc>
        <w:tc>
          <w:tcPr>
            <w:tcW w:w="934" w:type="pct"/>
            <w:vAlign w:val="center"/>
          </w:tcPr>
          <w:p w14:paraId="6DDA1256" w14:textId="77777777" w:rsidR="00B14D53" w:rsidRDefault="00000000">
            <w:pPr>
              <w:pStyle w:val="affffffffff1"/>
              <w:rPr>
                <w:szCs w:val="21"/>
              </w:rPr>
            </w:pPr>
            <w:r>
              <w:rPr>
                <w:rFonts w:hint="eastAsia"/>
                <w:szCs w:val="21"/>
              </w:rPr>
              <w:t>0.1046</w:t>
            </w:r>
          </w:p>
        </w:tc>
        <w:tc>
          <w:tcPr>
            <w:tcW w:w="893" w:type="pct"/>
            <w:vAlign w:val="center"/>
          </w:tcPr>
          <w:p w14:paraId="61FE571D" w14:textId="77777777" w:rsidR="00B14D53" w:rsidRDefault="00000000">
            <w:pPr>
              <w:pStyle w:val="affffffffff1"/>
              <w:rPr>
                <w:szCs w:val="21"/>
              </w:rPr>
            </w:pPr>
            <w:r>
              <w:rPr>
                <w:rFonts w:hint="eastAsia"/>
                <w:szCs w:val="21"/>
              </w:rPr>
              <w:t>0.0523</w:t>
            </w:r>
          </w:p>
        </w:tc>
        <w:tc>
          <w:tcPr>
            <w:tcW w:w="999" w:type="pct"/>
            <w:vAlign w:val="center"/>
          </w:tcPr>
          <w:p w14:paraId="7560E6B2" w14:textId="77777777" w:rsidR="00B14D53" w:rsidRDefault="00000000">
            <w:pPr>
              <w:pStyle w:val="affffffffff1"/>
              <w:rPr>
                <w:szCs w:val="21"/>
              </w:rPr>
            </w:pPr>
            <w:r>
              <w:rPr>
                <w:rFonts w:hint="eastAsia"/>
                <w:szCs w:val="21"/>
              </w:rPr>
              <w:t>0.0052</w:t>
            </w:r>
          </w:p>
        </w:tc>
        <w:tc>
          <w:tcPr>
            <w:tcW w:w="1004" w:type="pct"/>
            <w:vAlign w:val="center"/>
          </w:tcPr>
          <w:p w14:paraId="217F41D6" w14:textId="77777777" w:rsidR="00B14D53" w:rsidRDefault="00000000">
            <w:pPr>
              <w:pStyle w:val="affffffffff1"/>
              <w:rPr>
                <w:szCs w:val="21"/>
              </w:rPr>
            </w:pPr>
            <w:r>
              <w:rPr>
                <w:rFonts w:hint="eastAsia"/>
                <w:szCs w:val="21"/>
              </w:rPr>
              <w:t>0.0523</w:t>
            </w:r>
          </w:p>
        </w:tc>
      </w:tr>
      <w:tr w:rsidR="00B14D53" w14:paraId="1E3C559E" w14:textId="77777777">
        <w:trPr>
          <w:trHeight w:val="285"/>
          <w:jc w:val="center"/>
        </w:trPr>
        <w:tc>
          <w:tcPr>
            <w:tcW w:w="1168" w:type="pct"/>
            <w:vAlign w:val="center"/>
          </w:tcPr>
          <w:p w14:paraId="62662302" w14:textId="77777777" w:rsidR="00B14D53" w:rsidRDefault="00000000">
            <w:pPr>
              <w:pStyle w:val="affffffffff1"/>
              <w:rPr>
                <w:szCs w:val="21"/>
              </w:rPr>
            </w:pPr>
            <w:r>
              <w:rPr>
                <w:szCs w:val="21"/>
              </w:rPr>
              <w:t>600</w:t>
            </w:r>
          </w:p>
        </w:tc>
        <w:tc>
          <w:tcPr>
            <w:tcW w:w="934" w:type="pct"/>
            <w:vAlign w:val="center"/>
          </w:tcPr>
          <w:p w14:paraId="0359F4CC" w14:textId="77777777" w:rsidR="00B14D53" w:rsidRDefault="00000000">
            <w:pPr>
              <w:pStyle w:val="affffffffff1"/>
              <w:rPr>
                <w:szCs w:val="21"/>
              </w:rPr>
            </w:pPr>
            <w:r>
              <w:rPr>
                <w:rFonts w:hint="eastAsia"/>
                <w:szCs w:val="21"/>
              </w:rPr>
              <w:t>0.0978</w:t>
            </w:r>
          </w:p>
        </w:tc>
        <w:tc>
          <w:tcPr>
            <w:tcW w:w="893" w:type="pct"/>
            <w:vAlign w:val="center"/>
          </w:tcPr>
          <w:p w14:paraId="2D10ED42" w14:textId="77777777" w:rsidR="00B14D53" w:rsidRDefault="00000000">
            <w:pPr>
              <w:pStyle w:val="affffffffff1"/>
              <w:rPr>
                <w:szCs w:val="21"/>
              </w:rPr>
            </w:pPr>
            <w:r>
              <w:rPr>
                <w:rFonts w:hint="eastAsia"/>
                <w:szCs w:val="21"/>
              </w:rPr>
              <w:t>0.0489</w:t>
            </w:r>
          </w:p>
        </w:tc>
        <w:tc>
          <w:tcPr>
            <w:tcW w:w="999" w:type="pct"/>
            <w:vAlign w:val="center"/>
          </w:tcPr>
          <w:p w14:paraId="7D6ACAD3" w14:textId="77777777" w:rsidR="00B14D53" w:rsidRDefault="00000000">
            <w:pPr>
              <w:pStyle w:val="affffffffff1"/>
              <w:rPr>
                <w:szCs w:val="21"/>
              </w:rPr>
            </w:pPr>
            <w:r>
              <w:rPr>
                <w:rFonts w:hint="eastAsia"/>
                <w:szCs w:val="21"/>
              </w:rPr>
              <w:t>0.0049</w:t>
            </w:r>
          </w:p>
        </w:tc>
        <w:tc>
          <w:tcPr>
            <w:tcW w:w="1004" w:type="pct"/>
            <w:vAlign w:val="center"/>
          </w:tcPr>
          <w:p w14:paraId="04F3F64B" w14:textId="77777777" w:rsidR="00B14D53" w:rsidRDefault="00000000">
            <w:pPr>
              <w:pStyle w:val="affffffffff1"/>
              <w:rPr>
                <w:szCs w:val="21"/>
              </w:rPr>
            </w:pPr>
            <w:r>
              <w:rPr>
                <w:rFonts w:hint="eastAsia"/>
                <w:szCs w:val="21"/>
              </w:rPr>
              <w:t>0.0489</w:t>
            </w:r>
          </w:p>
        </w:tc>
      </w:tr>
      <w:tr w:rsidR="00B14D53" w14:paraId="2D3F1686" w14:textId="77777777">
        <w:trPr>
          <w:trHeight w:val="285"/>
          <w:jc w:val="center"/>
        </w:trPr>
        <w:tc>
          <w:tcPr>
            <w:tcW w:w="1168" w:type="pct"/>
            <w:vAlign w:val="center"/>
          </w:tcPr>
          <w:p w14:paraId="0BAD54FC" w14:textId="77777777" w:rsidR="00B14D53" w:rsidRDefault="00000000">
            <w:pPr>
              <w:pStyle w:val="affffffffff1"/>
              <w:rPr>
                <w:szCs w:val="21"/>
              </w:rPr>
            </w:pPr>
            <w:r>
              <w:rPr>
                <w:szCs w:val="21"/>
              </w:rPr>
              <w:t>700</w:t>
            </w:r>
          </w:p>
        </w:tc>
        <w:tc>
          <w:tcPr>
            <w:tcW w:w="934" w:type="pct"/>
            <w:vAlign w:val="center"/>
          </w:tcPr>
          <w:p w14:paraId="13A1FF12" w14:textId="77777777" w:rsidR="00B14D53" w:rsidRDefault="00000000">
            <w:pPr>
              <w:pStyle w:val="affffffffff1"/>
              <w:rPr>
                <w:szCs w:val="21"/>
              </w:rPr>
            </w:pPr>
            <w:r>
              <w:rPr>
                <w:rFonts w:hint="eastAsia"/>
                <w:szCs w:val="21"/>
              </w:rPr>
              <w:t>0.0927</w:t>
            </w:r>
          </w:p>
        </w:tc>
        <w:tc>
          <w:tcPr>
            <w:tcW w:w="893" w:type="pct"/>
            <w:vAlign w:val="center"/>
          </w:tcPr>
          <w:p w14:paraId="48C31FDE" w14:textId="77777777" w:rsidR="00B14D53" w:rsidRDefault="00000000">
            <w:pPr>
              <w:pStyle w:val="affffffffff1"/>
              <w:rPr>
                <w:szCs w:val="21"/>
              </w:rPr>
            </w:pPr>
            <w:r>
              <w:rPr>
                <w:rFonts w:hint="eastAsia"/>
                <w:szCs w:val="21"/>
              </w:rPr>
              <w:t>0.0463</w:t>
            </w:r>
          </w:p>
        </w:tc>
        <w:tc>
          <w:tcPr>
            <w:tcW w:w="999" w:type="pct"/>
            <w:vAlign w:val="center"/>
          </w:tcPr>
          <w:p w14:paraId="00AA68AF" w14:textId="77777777" w:rsidR="00B14D53" w:rsidRDefault="00000000">
            <w:pPr>
              <w:pStyle w:val="affffffffff1"/>
              <w:rPr>
                <w:szCs w:val="21"/>
              </w:rPr>
            </w:pPr>
            <w:r>
              <w:rPr>
                <w:rFonts w:hint="eastAsia"/>
                <w:szCs w:val="21"/>
              </w:rPr>
              <w:t>0.0046</w:t>
            </w:r>
          </w:p>
        </w:tc>
        <w:tc>
          <w:tcPr>
            <w:tcW w:w="1004" w:type="pct"/>
            <w:vAlign w:val="center"/>
          </w:tcPr>
          <w:p w14:paraId="247EBDAB" w14:textId="77777777" w:rsidR="00B14D53" w:rsidRDefault="00000000">
            <w:pPr>
              <w:pStyle w:val="affffffffff1"/>
              <w:rPr>
                <w:szCs w:val="21"/>
              </w:rPr>
            </w:pPr>
            <w:r>
              <w:rPr>
                <w:rFonts w:hint="eastAsia"/>
                <w:szCs w:val="21"/>
              </w:rPr>
              <w:t>0.0463</w:t>
            </w:r>
          </w:p>
        </w:tc>
      </w:tr>
      <w:tr w:rsidR="00B14D53" w14:paraId="70B5FEDE" w14:textId="77777777">
        <w:trPr>
          <w:trHeight w:val="285"/>
          <w:jc w:val="center"/>
        </w:trPr>
        <w:tc>
          <w:tcPr>
            <w:tcW w:w="1168" w:type="pct"/>
            <w:vAlign w:val="center"/>
          </w:tcPr>
          <w:p w14:paraId="684FEA02" w14:textId="77777777" w:rsidR="00B14D53" w:rsidRDefault="00000000">
            <w:pPr>
              <w:pStyle w:val="affffffffff1"/>
              <w:rPr>
                <w:szCs w:val="21"/>
              </w:rPr>
            </w:pPr>
            <w:r>
              <w:rPr>
                <w:szCs w:val="21"/>
              </w:rPr>
              <w:t>800</w:t>
            </w:r>
          </w:p>
        </w:tc>
        <w:tc>
          <w:tcPr>
            <w:tcW w:w="934" w:type="pct"/>
            <w:vAlign w:val="center"/>
          </w:tcPr>
          <w:p w14:paraId="5CD13052" w14:textId="77777777" w:rsidR="00B14D53" w:rsidRDefault="00000000">
            <w:pPr>
              <w:pStyle w:val="affffffffff1"/>
              <w:rPr>
                <w:szCs w:val="21"/>
              </w:rPr>
            </w:pPr>
            <w:r>
              <w:rPr>
                <w:rFonts w:hint="eastAsia"/>
                <w:szCs w:val="21"/>
              </w:rPr>
              <w:t>0.0867</w:t>
            </w:r>
          </w:p>
        </w:tc>
        <w:tc>
          <w:tcPr>
            <w:tcW w:w="893" w:type="pct"/>
            <w:vAlign w:val="center"/>
          </w:tcPr>
          <w:p w14:paraId="60379700" w14:textId="77777777" w:rsidR="00B14D53" w:rsidRDefault="00000000">
            <w:pPr>
              <w:pStyle w:val="affffffffff1"/>
              <w:rPr>
                <w:szCs w:val="21"/>
              </w:rPr>
            </w:pPr>
            <w:r>
              <w:rPr>
                <w:rFonts w:hint="eastAsia"/>
                <w:szCs w:val="21"/>
              </w:rPr>
              <w:t>0.0434</w:t>
            </w:r>
          </w:p>
        </w:tc>
        <w:tc>
          <w:tcPr>
            <w:tcW w:w="999" w:type="pct"/>
            <w:vAlign w:val="center"/>
          </w:tcPr>
          <w:p w14:paraId="4FA8B357" w14:textId="77777777" w:rsidR="00B14D53" w:rsidRDefault="00000000">
            <w:pPr>
              <w:pStyle w:val="affffffffff1"/>
              <w:rPr>
                <w:szCs w:val="21"/>
              </w:rPr>
            </w:pPr>
            <w:r>
              <w:rPr>
                <w:rFonts w:hint="eastAsia"/>
                <w:szCs w:val="21"/>
              </w:rPr>
              <w:t>0.0043</w:t>
            </w:r>
          </w:p>
        </w:tc>
        <w:tc>
          <w:tcPr>
            <w:tcW w:w="1004" w:type="pct"/>
            <w:vAlign w:val="center"/>
          </w:tcPr>
          <w:p w14:paraId="15F4F05E" w14:textId="77777777" w:rsidR="00B14D53" w:rsidRDefault="00000000">
            <w:pPr>
              <w:pStyle w:val="affffffffff1"/>
              <w:rPr>
                <w:szCs w:val="21"/>
              </w:rPr>
            </w:pPr>
            <w:r>
              <w:rPr>
                <w:rFonts w:hint="eastAsia"/>
                <w:szCs w:val="21"/>
              </w:rPr>
              <w:t>0.0434</w:t>
            </w:r>
          </w:p>
        </w:tc>
      </w:tr>
      <w:tr w:rsidR="00B14D53" w14:paraId="6036F3AE" w14:textId="77777777">
        <w:trPr>
          <w:trHeight w:val="285"/>
          <w:jc w:val="center"/>
        </w:trPr>
        <w:tc>
          <w:tcPr>
            <w:tcW w:w="1168" w:type="pct"/>
            <w:vAlign w:val="center"/>
          </w:tcPr>
          <w:p w14:paraId="10FF77BF" w14:textId="77777777" w:rsidR="00B14D53" w:rsidRDefault="00000000">
            <w:pPr>
              <w:pStyle w:val="affffffffff1"/>
              <w:rPr>
                <w:szCs w:val="21"/>
              </w:rPr>
            </w:pPr>
            <w:r>
              <w:rPr>
                <w:szCs w:val="21"/>
              </w:rPr>
              <w:t>900</w:t>
            </w:r>
          </w:p>
        </w:tc>
        <w:tc>
          <w:tcPr>
            <w:tcW w:w="934" w:type="pct"/>
            <w:vAlign w:val="center"/>
          </w:tcPr>
          <w:p w14:paraId="33A19FD9" w14:textId="77777777" w:rsidR="00B14D53" w:rsidRDefault="00000000">
            <w:pPr>
              <w:pStyle w:val="affffffffff1"/>
              <w:rPr>
                <w:szCs w:val="21"/>
              </w:rPr>
            </w:pPr>
            <w:r>
              <w:rPr>
                <w:rFonts w:hint="eastAsia"/>
                <w:szCs w:val="21"/>
              </w:rPr>
              <w:t>0.0813</w:t>
            </w:r>
          </w:p>
        </w:tc>
        <w:tc>
          <w:tcPr>
            <w:tcW w:w="893" w:type="pct"/>
            <w:vAlign w:val="center"/>
          </w:tcPr>
          <w:p w14:paraId="5A7E09EB" w14:textId="77777777" w:rsidR="00B14D53" w:rsidRDefault="00000000">
            <w:pPr>
              <w:pStyle w:val="affffffffff1"/>
              <w:rPr>
                <w:szCs w:val="21"/>
              </w:rPr>
            </w:pPr>
            <w:r>
              <w:rPr>
                <w:rFonts w:hint="eastAsia"/>
                <w:szCs w:val="21"/>
              </w:rPr>
              <w:t>0.0406</w:t>
            </w:r>
          </w:p>
        </w:tc>
        <w:tc>
          <w:tcPr>
            <w:tcW w:w="999" w:type="pct"/>
            <w:vAlign w:val="center"/>
          </w:tcPr>
          <w:p w14:paraId="304F5E27" w14:textId="77777777" w:rsidR="00B14D53" w:rsidRDefault="00000000">
            <w:pPr>
              <w:pStyle w:val="affffffffff1"/>
              <w:rPr>
                <w:szCs w:val="21"/>
              </w:rPr>
            </w:pPr>
            <w:r>
              <w:rPr>
                <w:rFonts w:hint="eastAsia"/>
                <w:szCs w:val="21"/>
              </w:rPr>
              <w:t>0.0041</w:t>
            </w:r>
          </w:p>
        </w:tc>
        <w:tc>
          <w:tcPr>
            <w:tcW w:w="1004" w:type="pct"/>
            <w:vAlign w:val="center"/>
          </w:tcPr>
          <w:p w14:paraId="6FDBD994" w14:textId="77777777" w:rsidR="00B14D53" w:rsidRDefault="00000000">
            <w:pPr>
              <w:pStyle w:val="affffffffff1"/>
              <w:rPr>
                <w:szCs w:val="21"/>
              </w:rPr>
            </w:pPr>
            <w:r>
              <w:rPr>
                <w:rFonts w:hint="eastAsia"/>
                <w:szCs w:val="21"/>
              </w:rPr>
              <w:t>0.0406</w:t>
            </w:r>
          </w:p>
        </w:tc>
      </w:tr>
      <w:tr w:rsidR="00B14D53" w14:paraId="2250F5DD" w14:textId="77777777">
        <w:trPr>
          <w:trHeight w:val="164"/>
          <w:jc w:val="center"/>
        </w:trPr>
        <w:tc>
          <w:tcPr>
            <w:tcW w:w="1168" w:type="pct"/>
            <w:vAlign w:val="center"/>
          </w:tcPr>
          <w:p w14:paraId="372F5039" w14:textId="77777777" w:rsidR="00B14D53" w:rsidRDefault="00000000">
            <w:pPr>
              <w:pStyle w:val="affffffffff1"/>
              <w:rPr>
                <w:szCs w:val="21"/>
              </w:rPr>
            </w:pPr>
            <w:r>
              <w:rPr>
                <w:szCs w:val="21"/>
              </w:rPr>
              <w:t>1000</w:t>
            </w:r>
          </w:p>
        </w:tc>
        <w:tc>
          <w:tcPr>
            <w:tcW w:w="934" w:type="pct"/>
            <w:vAlign w:val="center"/>
          </w:tcPr>
          <w:p w14:paraId="2D2577C5" w14:textId="77777777" w:rsidR="00B14D53" w:rsidRDefault="00000000">
            <w:pPr>
              <w:pStyle w:val="affffffffff1"/>
              <w:rPr>
                <w:szCs w:val="21"/>
              </w:rPr>
            </w:pPr>
            <w:r>
              <w:rPr>
                <w:rFonts w:hint="eastAsia"/>
                <w:szCs w:val="21"/>
              </w:rPr>
              <w:t>0.0761</w:t>
            </w:r>
          </w:p>
        </w:tc>
        <w:tc>
          <w:tcPr>
            <w:tcW w:w="893" w:type="pct"/>
            <w:vAlign w:val="center"/>
          </w:tcPr>
          <w:p w14:paraId="11708AF9" w14:textId="77777777" w:rsidR="00B14D53" w:rsidRDefault="00000000">
            <w:pPr>
              <w:pStyle w:val="affffffffff1"/>
              <w:rPr>
                <w:szCs w:val="21"/>
              </w:rPr>
            </w:pPr>
            <w:r>
              <w:rPr>
                <w:rFonts w:hint="eastAsia"/>
                <w:szCs w:val="21"/>
              </w:rPr>
              <w:t>0.0380</w:t>
            </w:r>
          </w:p>
        </w:tc>
        <w:tc>
          <w:tcPr>
            <w:tcW w:w="999" w:type="pct"/>
            <w:vAlign w:val="center"/>
          </w:tcPr>
          <w:p w14:paraId="25903419" w14:textId="77777777" w:rsidR="00B14D53" w:rsidRDefault="00000000">
            <w:pPr>
              <w:pStyle w:val="affffffffff1"/>
              <w:rPr>
                <w:szCs w:val="21"/>
              </w:rPr>
            </w:pPr>
            <w:r>
              <w:rPr>
                <w:rFonts w:hint="eastAsia"/>
                <w:szCs w:val="21"/>
              </w:rPr>
              <w:t>0.0038</w:t>
            </w:r>
          </w:p>
        </w:tc>
        <w:tc>
          <w:tcPr>
            <w:tcW w:w="1004" w:type="pct"/>
            <w:vAlign w:val="center"/>
          </w:tcPr>
          <w:p w14:paraId="282B5B0E" w14:textId="77777777" w:rsidR="00B14D53" w:rsidRDefault="00000000">
            <w:pPr>
              <w:pStyle w:val="affffffffff1"/>
              <w:rPr>
                <w:szCs w:val="21"/>
              </w:rPr>
            </w:pPr>
            <w:r>
              <w:rPr>
                <w:rFonts w:hint="eastAsia"/>
                <w:szCs w:val="21"/>
              </w:rPr>
              <w:t>0.0380</w:t>
            </w:r>
          </w:p>
        </w:tc>
      </w:tr>
      <w:tr w:rsidR="00B14D53" w14:paraId="4B60EF99" w14:textId="77777777">
        <w:trPr>
          <w:trHeight w:val="285"/>
          <w:jc w:val="center"/>
        </w:trPr>
        <w:tc>
          <w:tcPr>
            <w:tcW w:w="1168" w:type="pct"/>
            <w:vAlign w:val="center"/>
          </w:tcPr>
          <w:p w14:paraId="16F4E798" w14:textId="77777777" w:rsidR="00B14D53" w:rsidRDefault="00000000">
            <w:pPr>
              <w:pStyle w:val="affffffffff1"/>
              <w:rPr>
                <w:szCs w:val="21"/>
              </w:rPr>
            </w:pPr>
            <w:r>
              <w:rPr>
                <w:szCs w:val="21"/>
              </w:rPr>
              <w:t>1600</w:t>
            </w:r>
          </w:p>
        </w:tc>
        <w:tc>
          <w:tcPr>
            <w:tcW w:w="934" w:type="pct"/>
            <w:vAlign w:val="center"/>
          </w:tcPr>
          <w:p w14:paraId="4C65708F" w14:textId="77777777" w:rsidR="00B14D53" w:rsidRDefault="00000000">
            <w:pPr>
              <w:pStyle w:val="affffffffff1"/>
              <w:rPr>
                <w:szCs w:val="21"/>
              </w:rPr>
            </w:pPr>
            <w:r>
              <w:rPr>
                <w:rFonts w:hint="eastAsia"/>
                <w:szCs w:val="21"/>
              </w:rPr>
              <w:t>0.0968</w:t>
            </w:r>
          </w:p>
        </w:tc>
        <w:tc>
          <w:tcPr>
            <w:tcW w:w="893" w:type="pct"/>
            <w:vAlign w:val="center"/>
          </w:tcPr>
          <w:p w14:paraId="6A9BFC95" w14:textId="77777777" w:rsidR="00B14D53" w:rsidRDefault="00000000">
            <w:pPr>
              <w:pStyle w:val="affffffffff1"/>
              <w:rPr>
                <w:szCs w:val="21"/>
              </w:rPr>
            </w:pPr>
            <w:r>
              <w:rPr>
                <w:rFonts w:hint="eastAsia"/>
                <w:szCs w:val="21"/>
              </w:rPr>
              <w:t>0.0484</w:t>
            </w:r>
          </w:p>
        </w:tc>
        <w:tc>
          <w:tcPr>
            <w:tcW w:w="999" w:type="pct"/>
            <w:vAlign w:val="center"/>
          </w:tcPr>
          <w:p w14:paraId="7D35C9C6" w14:textId="77777777" w:rsidR="00B14D53" w:rsidRDefault="00000000">
            <w:pPr>
              <w:pStyle w:val="affffffffff1"/>
              <w:rPr>
                <w:szCs w:val="21"/>
              </w:rPr>
            </w:pPr>
            <w:r>
              <w:rPr>
                <w:rFonts w:hint="eastAsia"/>
                <w:szCs w:val="21"/>
              </w:rPr>
              <w:t>0.0048</w:t>
            </w:r>
          </w:p>
        </w:tc>
        <w:tc>
          <w:tcPr>
            <w:tcW w:w="1004" w:type="pct"/>
            <w:vAlign w:val="center"/>
          </w:tcPr>
          <w:p w14:paraId="138AB57B" w14:textId="77777777" w:rsidR="00B14D53" w:rsidRDefault="00000000">
            <w:pPr>
              <w:pStyle w:val="affffffffff1"/>
              <w:rPr>
                <w:szCs w:val="21"/>
              </w:rPr>
            </w:pPr>
            <w:r>
              <w:rPr>
                <w:rFonts w:hint="eastAsia"/>
                <w:szCs w:val="21"/>
              </w:rPr>
              <w:t>0.0484</w:t>
            </w:r>
          </w:p>
        </w:tc>
      </w:tr>
      <w:tr w:rsidR="00B14D53" w14:paraId="409C20E4" w14:textId="77777777">
        <w:trPr>
          <w:trHeight w:val="285"/>
          <w:jc w:val="center"/>
        </w:trPr>
        <w:tc>
          <w:tcPr>
            <w:tcW w:w="1168" w:type="pct"/>
            <w:vAlign w:val="center"/>
          </w:tcPr>
          <w:p w14:paraId="60D49819" w14:textId="77777777" w:rsidR="00B14D53" w:rsidRDefault="00000000">
            <w:pPr>
              <w:pStyle w:val="affffffffff1"/>
              <w:rPr>
                <w:szCs w:val="21"/>
              </w:rPr>
            </w:pPr>
            <w:r>
              <w:rPr>
                <w:szCs w:val="21"/>
              </w:rPr>
              <w:t>2000</w:t>
            </w:r>
          </w:p>
        </w:tc>
        <w:tc>
          <w:tcPr>
            <w:tcW w:w="934" w:type="pct"/>
            <w:vAlign w:val="center"/>
          </w:tcPr>
          <w:p w14:paraId="56DBD6EA" w14:textId="77777777" w:rsidR="00B14D53" w:rsidRDefault="00000000">
            <w:pPr>
              <w:pStyle w:val="affffffffff1"/>
              <w:rPr>
                <w:szCs w:val="21"/>
              </w:rPr>
            </w:pPr>
            <w:r>
              <w:rPr>
                <w:rFonts w:hint="eastAsia"/>
                <w:szCs w:val="21"/>
              </w:rPr>
              <w:t>0.1489</w:t>
            </w:r>
          </w:p>
        </w:tc>
        <w:tc>
          <w:tcPr>
            <w:tcW w:w="893" w:type="pct"/>
            <w:vAlign w:val="center"/>
          </w:tcPr>
          <w:p w14:paraId="4AD0B50F" w14:textId="77777777" w:rsidR="00B14D53" w:rsidRDefault="00000000">
            <w:pPr>
              <w:pStyle w:val="affffffffff1"/>
              <w:rPr>
                <w:szCs w:val="21"/>
              </w:rPr>
            </w:pPr>
            <w:r>
              <w:rPr>
                <w:rFonts w:hint="eastAsia"/>
                <w:szCs w:val="21"/>
              </w:rPr>
              <w:t>0.0745</w:t>
            </w:r>
          </w:p>
        </w:tc>
        <w:tc>
          <w:tcPr>
            <w:tcW w:w="999" w:type="pct"/>
            <w:vAlign w:val="center"/>
          </w:tcPr>
          <w:p w14:paraId="43BEE96D" w14:textId="77777777" w:rsidR="00B14D53" w:rsidRDefault="00000000">
            <w:pPr>
              <w:pStyle w:val="affffffffff1"/>
              <w:rPr>
                <w:szCs w:val="21"/>
              </w:rPr>
            </w:pPr>
            <w:r>
              <w:rPr>
                <w:rFonts w:hint="eastAsia"/>
                <w:szCs w:val="21"/>
              </w:rPr>
              <w:t>0.0074</w:t>
            </w:r>
          </w:p>
        </w:tc>
        <w:tc>
          <w:tcPr>
            <w:tcW w:w="1004" w:type="pct"/>
            <w:vAlign w:val="center"/>
          </w:tcPr>
          <w:p w14:paraId="0E0DC06F" w14:textId="77777777" w:rsidR="00B14D53" w:rsidRDefault="00000000">
            <w:pPr>
              <w:pStyle w:val="affffffffff1"/>
              <w:rPr>
                <w:szCs w:val="21"/>
              </w:rPr>
            </w:pPr>
            <w:r>
              <w:rPr>
                <w:rFonts w:hint="eastAsia"/>
                <w:szCs w:val="21"/>
              </w:rPr>
              <w:t>0.0745</w:t>
            </w:r>
          </w:p>
        </w:tc>
      </w:tr>
      <w:tr w:rsidR="00B14D53" w14:paraId="2447D020" w14:textId="77777777">
        <w:trPr>
          <w:trHeight w:val="285"/>
          <w:jc w:val="center"/>
        </w:trPr>
        <w:tc>
          <w:tcPr>
            <w:tcW w:w="1168" w:type="pct"/>
            <w:vAlign w:val="center"/>
          </w:tcPr>
          <w:p w14:paraId="40A69801" w14:textId="77777777" w:rsidR="00B14D53" w:rsidRDefault="00000000">
            <w:pPr>
              <w:pStyle w:val="affffffffff1"/>
              <w:rPr>
                <w:szCs w:val="21"/>
              </w:rPr>
            </w:pPr>
            <w:r>
              <w:rPr>
                <w:szCs w:val="21"/>
              </w:rPr>
              <w:t>2500</w:t>
            </w:r>
          </w:p>
        </w:tc>
        <w:tc>
          <w:tcPr>
            <w:tcW w:w="934" w:type="pct"/>
            <w:vAlign w:val="center"/>
          </w:tcPr>
          <w:p w14:paraId="52223BA6" w14:textId="77777777" w:rsidR="00B14D53" w:rsidRDefault="00000000">
            <w:pPr>
              <w:pStyle w:val="affffffffff1"/>
              <w:rPr>
                <w:szCs w:val="21"/>
              </w:rPr>
            </w:pPr>
            <w:r>
              <w:rPr>
                <w:rFonts w:hint="eastAsia"/>
                <w:szCs w:val="21"/>
              </w:rPr>
              <w:t>0.1110</w:t>
            </w:r>
          </w:p>
        </w:tc>
        <w:tc>
          <w:tcPr>
            <w:tcW w:w="893" w:type="pct"/>
            <w:vAlign w:val="center"/>
          </w:tcPr>
          <w:p w14:paraId="06572E9E" w14:textId="77777777" w:rsidR="00B14D53" w:rsidRDefault="00000000">
            <w:pPr>
              <w:pStyle w:val="affffffffff1"/>
              <w:rPr>
                <w:szCs w:val="21"/>
              </w:rPr>
            </w:pPr>
            <w:r>
              <w:rPr>
                <w:rFonts w:hint="eastAsia"/>
                <w:szCs w:val="21"/>
              </w:rPr>
              <w:t>0.0555</w:t>
            </w:r>
          </w:p>
        </w:tc>
        <w:tc>
          <w:tcPr>
            <w:tcW w:w="999" w:type="pct"/>
            <w:vAlign w:val="center"/>
          </w:tcPr>
          <w:p w14:paraId="59A418AC" w14:textId="77777777" w:rsidR="00B14D53" w:rsidRDefault="00000000">
            <w:pPr>
              <w:pStyle w:val="affffffffff1"/>
              <w:rPr>
                <w:szCs w:val="21"/>
              </w:rPr>
            </w:pPr>
            <w:r>
              <w:rPr>
                <w:rFonts w:hint="eastAsia"/>
                <w:szCs w:val="21"/>
              </w:rPr>
              <w:t>0.0055</w:t>
            </w:r>
          </w:p>
        </w:tc>
        <w:tc>
          <w:tcPr>
            <w:tcW w:w="1004" w:type="pct"/>
            <w:vAlign w:val="center"/>
          </w:tcPr>
          <w:p w14:paraId="07535DF2" w14:textId="77777777" w:rsidR="00B14D53" w:rsidRDefault="00000000">
            <w:pPr>
              <w:pStyle w:val="affffffffff1"/>
              <w:rPr>
                <w:szCs w:val="21"/>
              </w:rPr>
            </w:pPr>
            <w:r>
              <w:rPr>
                <w:rFonts w:hint="eastAsia"/>
                <w:szCs w:val="21"/>
              </w:rPr>
              <w:t>0.0555</w:t>
            </w:r>
          </w:p>
        </w:tc>
      </w:tr>
      <w:tr w:rsidR="00B14D53" w14:paraId="216C02A7" w14:textId="77777777">
        <w:trPr>
          <w:trHeight w:val="325"/>
          <w:jc w:val="center"/>
        </w:trPr>
        <w:tc>
          <w:tcPr>
            <w:tcW w:w="1168" w:type="pct"/>
            <w:vAlign w:val="center"/>
          </w:tcPr>
          <w:p w14:paraId="720832D7" w14:textId="77777777" w:rsidR="00B14D53" w:rsidRDefault="00000000">
            <w:pPr>
              <w:pStyle w:val="affffffffff1"/>
              <w:rPr>
                <w:szCs w:val="21"/>
              </w:rPr>
            </w:pPr>
            <w:r>
              <w:rPr>
                <w:szCs w:val="21"/>
              </w:rPr>
              <w:t>下风向最大浓度</w:t>
            </w:r>
          </w:p>
        </w:tc>
        <w:tc>
          <w:tcPr>
            <w:tcW w:w="934" w:type="pct"/>
            <w:vAlign w:val="center"/>
          </w:tcPr>
          <w:p w14:paraId="3F934C6E" w14:textId="77777777" w:rsidR="00B14D53" w:rsidRDefault="00000000">
            <w:pPr>
              <w:pStyle w:val="affffffffff1"/>
              <w:rPr>
                <w:szCs w:val="21"/>
              </w:rPr>
            </w:pPr>
            <w:r>
              <w:rPr>
                <w:rFonts w:hint="eastAsia"/>
                <w:szCs w:val="21"/>
              </w:rPr>
              <w:t>0.1836</w:t>
            </w:r>
          </w:p>
        </w:tc>
        <w:tc>
          <w:tcPr>
            <w:tcW w:w="893" w:type="pct"/>
            <w:vAlign w:val="center"/>
          </w:tcPr>
          <w:p w14:paraId="10E7E836" w14:textId="77777777" w:rsidR="00B14D53" w:rsidRDefault="00000000">
            <w:pPr>
              <w:pStyle w:val="affffffffff1"/>
              <w:rPr>
                <w:szCs w:val="21"/>
              </w:rPr>
            </w:pPr>
            <w:r>
              <w:rPr>
                <w:rFonts w:hint="eastAsia"/>
                <w:szCs w:val="21"/>
              </w:rPr>
              <w:t>0.0918</w:t>
            </w:r>
          </w:p>
        </w:tc>
        <w:tc>
          <w:tcPr>
            <w:tcW w:w="999" w:type="pct"/>
            <w:vAlign w:val="center"/>
          </w:tcPr>
          <w:p w14:paraId="2BC427B3" w14:textId="77777777" w:rsidR="00B14D53" w:rsidRDefault="00000000">
            <w:pPr>
              <w:pStyle w:val="affffffffff1"/>
              <w:rPr>
                <w:szCs w:val="21"/>
              </w:rPr>
            </w:pPr>
            <w:r>
              <w:rPr>
                <w:rFonts w:hint="eastAsia"/>
                <w:szCs w:val="21"/>
              </w:rPr>
              <w:t>0.0092</w:t>
            </w:r>
          </w:p>
        </w:tc>
        <w:tc>
          <w:tcPr>
            <w:tcW w:w="1004" w:type="pct"/>
            <w:vAlign w:val="center"/>
          </w:tcPr>
          <w:p w14:paraId="1F33CDD4" w14:textId="77777777" w:rsidR="00B14D53" w:rsidRDefault="00000000">
            <w:pPr>
              <w:pStyle w:val="affffffffff1"/>
              <w:rPr>
                <w:szCs w:val="21"/>
              </w:rPr>
            </w:pPr>
            <w:r>
              <w:rPr>
                <w:rFonts w:hint="eastAsia"/>
                <w:szCs w:val="21"/>
              </w:rPr>
              <w:t>0.0918</w:t>
            </w:r>
          </w:p>
        </w:tc>
      </w:tr>
      <w:tr w:rsidR="00B14D53" w14:paraId="3811217F" w14:textId="77777777">
        <w:trPr>
          <w:trHeight w:val="48"/>
          <w:jc w:val="center"/>
        </w:trPr>
        <w:tc>
          <w:tcPr>
            <w:tcW w:w="1168" w:type="pct"/>
            <w:vAlign w:val="center"/>
          </w:tcPr>
          <w:p w14:paraId="47AE82D4" w14:textId="77777777" w:rsidR="00B14D53" w:rsidRDefault="00000000">
            <w:pPr>
              <w:pStyle w:val="affffffffff1"/>
              <w:rPr>
                <w:szCs w:val="21"/>
              </w:rPr>
            </w:pPr>
            <w:r>
              <w:rPr>
                <w:szCs w:val="21"/>
              </w:rPr>
              <w:t>下风向最大浓度出现距离</w:t>
            </w:r>
          </w:p>
        </w:tc>
        <w:tc>
          <w:tcPr>
            <w:tcW w:w="3831" w:type="pct"/>
            <w:gridSpan w:val="4"/>
            <w:vAlign w:val="center"/>
          </w:tcPr>
          <w:p w14:paraId="0CDDE7C5" w14:textId="77777777" w:rsidR="00B14D53" w:rsidRDefault="00000000">
            <w:pPr>
              <w:pStyle w:val="affffffffff1"/>
              <w:rPr>
                <w:szCs w:val="21"/>
              </w:rPr>
            </w:pPr>
            <w:r>
              <w:rPr>
                <w:rFonts w:hint="eastAsia"/>
                <w:szCs w:val="21"/>
              </w:rPr>
              <w:t>202m</w:t>
            </w:r>
          </w:p>
        </w:tc>
      </w:tr>
    </w:tbl>
    <w:p w14:paraId="043ED012" w14:textId="77777777" w:rsidR="00B14D53" w:rsidRDefault="00000000">
      <w:pPr>
        <w:jc w:val="center"/>
        <w:rPr>
          <w:b/>
          <w:bCs/>
        </w:rPr>
      </w:pPr>
      <w:r>
        <w:rPr>
          <w:rFonts w:hint="eastAsia"/>
          <w:b/>
          <w:bCs/>
        </w:rPr>
        <w:t>表</w:t>
      </w:r>
      <w:r>
        <w:rPr>
          <w:rFonts w:hint="eastAsia"/>
          <w:b/>
          <w:bCs/>
        </w:rPr>
        <w:t xml:space="preserve">5-2-9 </w:t>
      </w:r>
      <w:r>
        <w:rPr>
          <w:rFonts w:hint="eastAsia"/>
          <w:b/>
          <w:bCs/>
        </w:rPr>
        <w:t>无组织排放估算模式的计算结果（</w:t>
      </w:r>
      <w:r>
        <w:rPr>
          <w:rFonts w:hint="eastAsia"/>
          <w:b/>
          <w:bCs/>
        </w:rPr>
        <w:t>1#</w:t>
      </w:r>
      <w:r>
        <w:rPr>
          <w:rFonts w:hint="eastAsia"/>
          <w:b/>
          <w:bCs/>
        </w:rPr>
        <w:t>待宰圈）</w:t>
      </w:r>
    </w:p>
    <w:tbl>
      <w:tblPr>
        <w:tblW w:w="8471"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84"/>
        <w:gridCol w:w="1843"/>
        <w:gridCol w:w="1559"/>
        <w:gridCol w:w="1843"/>
        <w:gridCol w:w="1442"/>
      </w:tblGrid>
      <w:tr w:rsidR="00B14D53" w14:paraId="79568E47" w14:textId="77777777">
        <w:trPr>
          <w:trHeight w:val="276"/>
          <w:jc w:val="center"/>
        </w:trPr>
        <w:tc>
          <w:tcPr>
            <w:tcW w:w="1784" w:type="dxa"/>
            <w:vMerge w:val="restart"/>
            <w:vAlign w:val="center"/>
          </w:tcPr>
          <w:p w14:paraId="78C0E83A"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距离（</w:t>
            </w:r>
            <w:r>
              <w:rPr>
                <w:rFonts w:ascii="Times New Roman" w:hAnsi="Times New Roman" w:cs="Times New Roman"/>
                <w:b/>
                <w:bCs/>
                <w:sz w:val="21"/>
                <w:szCs w:val="21"/>
              </w:rPr>
              <w:t>m</w:t>
            </w:r>
            <w:r>
              <w:rPr>
                <w:rFonts w:ascii="Times New Roman" w:hAnsi="Times New Roman" w:cs="Times New Roman"/>
                <w:b/>
                <w:bCs/>
                <w:sz w:val="21"/>
                <w:szCs w:val="21"/>
              </w:rPr>
              <w:t>）</w:t>
            </w:r>
          </w:p>
        </w:tc>
        <w:tc>
          <w:tcPr>
            <w:tcW w:w="6687" w:type="dxa"/>
            <w:gridSpan w:val="4"/>
            <w:vAlign w:val="center"/>
          </w:tcPr>
          <w:p w14:paraId="1B99E0EC"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b/>
                <w:bCs/>
                <w:sz w:val="21"/>
                <w:szCs w:val="21"/>
              </w:rPr>
            </w:pPr>
            <w:r>
              <w:rPr>
                <w:rFonts w:ascii="Times New Roman" w:hAnsi="Times New Roman" w:cs="Times New Roman" w:hint="eastAsia"/>
                <w:b/>
                <w:bCs/>
                <w:sz w:val="21"/>
                <w:szCs w:val="21"/>
              </w:rPr>
              <w:t>1#</w:t>
            </w:r>
            <w:r>
              <w:rPr>
                <w:rFonts w:ascii="Times New Roman" w:hAnsi="Times New Roman" w:cs="Times New Roman" w:hint="eastAsia"/>
                <w:b/>
                <w:bCs/>
                <w:sz w:val="21"/>
                <w:szCs w:val="21"/>
              </w:rPr>
              <w:t>待宰圈</w:t>
            </w:r>
            <w:r>
              <w:rPr>
                <w:rFonts w:ascii="Times New Roman" w:hAnsi="Times New Roman" w:cs="Times New Roman"/>
                <w:b/>
                <w:bCs/>
                <w:sz w:val="21"/>
                <w:szCs w:val="21"/>
              </w:rPr>
              <w:t>无组织面源</w:t>
            </w:r>
          </w:p>
        </w:tc>
      </w:tr>
      <w:tr w:rsidR="00B14D53" w14:paraId="3186B4BD" w14:textId="77777777">
        <w:trPr>
          <w:trHeight w:val="146"/>
          <w:jc w:val="center"/>
        </w:trPr>
        <w:tc>
          <w:tcPr>
            <w:tcW w:w="1784" w:type="dxa"/>
            <w:vMerge/>
            <w:vAlign w:val="center"/>
          </w:tcPr>
          <w:p w14:paraId="089D441D" w14:textId="77777777" w:rsidR="00B14D53" w:rsidRDefault="00B14D53">
            <w:pPr>
              <w:pStyle w:val="afff"/>
              <w:adjustRightInd/>
              <w:snapToGrid/>
              <w:spacing w:line="0" w:lineRule="atLeast"/>
              <w:ind w:firstLineChars="0" w:firstLine="0"/>
              <w:contextualSpacing/>
              <w:jc w:val="center"/>
              <w:rPr>
                <w:rFonts w:ascii="Times New Roman" w:hAnsi="Times New Roman" w:cs="Times New Roman"/>
                <w:b/>
                <w:bCs/>
                <w:sz w:val="21"/>
                <w:szCs w:val="21"/>
              </w:rPr>
            </w:pPr>
          </w:p>
        </w:tc>
        <w:tc>
          <w:tcPr>
            <w:tcW w:w="3402" w:type="dxa"/>
            <w:gridSpan w:val="2"/>
            <w:vAlign w:val="center"/>
          </w:tcPr>
          <w:p w14:paraId="144ACC01"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NH</w:t>
            </w:r>
            <w:r>
              <w:rPr>
                <w:rFonts w:ascii="Times New Roman" w:hAnsi="Times New Roman" w:cs="Times New Roman"/>
                <w:b/>
                <w:bCs/>
                <w:sz w:val="21"/>
                <w:szCs w:val="21"/>
                <w:vertAlign w:val="subscript"/>
              </w:rPr>
              <w:t>3</w:t>
            </w:r>
          </w:p>
        </w:tc>
        <w:tc>
          <w:tcPr>
            <w:tcW w:w="3285" w:type="dxa"/>
            <w:gridSpan w:val="2"/>
            <w:vAlign w:val="center"/>
          </w:tcPr>
          <w:p w14:paraId="1480F013"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H</w:t>
            </w:r>
            <w:r>
              <w:rPr>
                <w:rFonts w:ascii="Times New Roman" w:hAnsi="Times New Roman" w:cs="Times New Roman"/>
                <w:b/>
                <w:bCs/>
                <w:sz w:val="21"/>
                <w:szCs w:val="21"/>
                <w:vertAlign w:val="subscript"/>
              </w:rPr>
              <w:t>2</w:t>
            </w:r>
            <w:r>
              <w:rPr>
                <w:rFonts w:ascii="Times New Roman" w:hAnsi="Times New Roman" w:cs="Times New Roman"/>
                <w:b/>
                <w:bCs/>
                <w:sz w:val="21"/>
                <w:szCs w:val="21"/>
              </w:rPr>
              <w:t>S</w:t>
            </w:r>
          </w:p>
        </w:tc>
      </w:tr>
      <w:tr w:rsidR="00B14D53" w14:paraId="1B2AADF7" w14:textId="77777777">
        <w:trPr>
          <w:trHeight w:val="146"/>
          <w:jc w:val="center"/>
        </w:trPr>
        <w:tc>
          <w:tcPr>
            <w:tcW w:w="1784" w:type="dxa"/>
            <w:vMerge/>
            <w:vAlign w:val="center"/>
          </w:tcPr>
          <w:p w14:paraId="17D0741B" w14:textId="77777777" w:rsidR="00B14D53" w:rsidRDefault="00B14D53">
            <w:pPr>
              <w:pStyle w:val="afff"/>
              <w:adjustRightInd/>
              <w:snapToGrid/>
              <w:spacing w:line="0" w:lineRule="atLeast"/>
              <w:ind w:firstLineChars="0" w:firstLine="0"/>
              <w:contextualSpacing/>
              <w:jc w:val="center"/>
              <w:rPr>
                <w:rFonts w:ascii="Times New Roman" w:hAnsi="Times New Roman" w:cs="Times New Roman"/>
                <w:b/>
                <w:bCs/>
                <w:sz w:val="21"/>
                <w:szCs w:val="21"/>
              </w:rPr>
            </w:pPr>
          </w:p>
        </w:tc>
        <w:tc>
          <w:tcPr>
            <w:tcW w:w="1843" w:type="dxa"/>
            <w:vAlign w:val="center"/>
          </w:tcPr>
          <w:p w14:paraId="3302E130" w14:textId="77777777" w:rsidR="00B14D53" w:rsidRDefault="00000000">
            <w:pPr>
              <w:spacing w:line="0" w:lineRule="atLeast"/>
              <w:contextualSpacing/>
              <w:jc w:val="center"/>
              <w:rPr>
                <w:rFonts w:eastAsiaTheme="minorEastAsia"/>
                <w:b/>
                <w:bCs/>
                <w:szCs w:val="21"/>
              </w:rPr>
            </w:pPr>
            <w:r>
              <w:rPr>
                <w:rFonts w:eastAsiaTheme="minorEastAsia"/>
                <w:b/>
                <w:bCs/>
                <w:kern w:val="0"/>
                <w:szCs w:val="21"/>
              </w:rPr>
              <w:t>预测质量浓度</w:t>
            </w:r>
            <w:r>
              <w:rPr>
                <w:rFonts w:eastAsiaTheme="minorEastAsia"/>
                <w:b/>
                <w:bCs/>
                <w:kern w:val="0"/>
                <w:szCs w:val="21"/>
              </w:rPr>
              <w:t>/(μg/m</w:t>
            </w:r>
            <w:r>
              <w:rPr>
                <w:rFonts w:eastAsiaTheme="minorEastAsia"/>
                <w:b/>
                <w:bCs/>
                <w:kern w:val="0"/>
                <w:szCs w:val="21"/>
                <w:vertAlign w:val="superscript"/>
              </w:rPr>
              <w:t>3</w:t>
            </w:r>
            <w:r>
              <w:rPr>
                <w:rFonts w:eastAsiaTheme="minorEastAsia"/>
                <w:b/>
                <w:bCs/>
                <w:kern w:val="0"/>
                <w:szCs w:val="21"/>
              </w:rPr>
              <w:t>)</w:t>
            </w:r>
          </w:p>
        </w:tc>
        <w:tc>
          <w:tcPr>
            <w:tcW w:w="1559" w:type="dxa"/>
            <w:vAlign w:val="center"/>
          </w:tcPr>
          <w:p w14:paraId="1085BCD1" w14:textId="77777777" w:rsidR="00B14D53" w:rsidRDefault="00000000">
            <w:pPr>
              <w:spacing w:line="0" w:lineRule="atLeast"/>
              <w:contextualSpacing/>
              <w:jc w:val="center"/>
              <w:rPr>
                <w:rFonts w:eastAsiaTheme="minorEastAsia"/>
                <w:b/>
                <w:bCs/>
                <w:szCs w:val="21"/>
              </w:rPr>
            </w:pPr>
            <w:r>
              <w:rPr>
                <w:rFonts w:eastAsiaTheme="minorEastAsia"/>
                <w:b/>
                <w:bCs/>
                <w:szCs w:val="21"/>
              </w:rPr>
              <w:t>占标率</w:t>
            </w:r>
            <w:r>
              <w:rPr>
                <w:rFonts w:eastAsiaTheme="minorEastAsia"/>
                <w:b/>
                <w:bCs/>
                <w:szCs w:val="21"/>
              </w:rPr>
              <w:t>%</w:t>
            </w:r>
          </w:p>
        </w:tc>
        <w:tc>
          <w:tcPr>
            <w:tcW w:w="1843" w:type="dxa"/>
            <w:vAlign w:val="center"/>
          </w:tcPr>
          <w:p w14:paraId="75A95140" w14:textId="77777777" w:rsidR="00B14D53" w:rsidRDefault="00000000">
            <w:pPr>
              <w:spacing w:line="0" w:lineRule="atLeast"/>
              <w:contextualSpacing/>
              <w:jc w:val="center"/>
              <w:rPr>
                <w:rFonts w:eastAsiaTheme="minorEastAsia"/>
                <w:b/>
                <w:bCs/>
                <w:szCs w:val="21"/>
              </w:rPr>
            </w:pPr>
            <w:r>
              <w:rPr>
                <w:rFonts w:eastAsiaTheme="minorEastAsia"/>
                <w:b/>
                <w:bCs/>
                <w:kern w:val="0"/>
                <w:szCs w:val="21"/>
              </w:rPr>
              <w:t>预测质量浓度</w:t>
            </w:r>
            <w:r>
              <w:rPr>
                <w:rFonts w:eastAsiaTheme="minorEastAsia"/>
                <w:b/>
                <w:bCs/>
                <w:kern w:val="0"/>
                <w:szCs w:val="21"/>
              </w:rPr>
              <w:t>/(μg/m</w:t>
            </w:r>
            <w:r>
              <w:rPr>
                <w:rFonts w:eastAsiaTheme="minorEastAsia"/>
                <w:b/>
                <w:bCs/>
                <w:kern w:val="0"/>
                <w:szCs w:val="21"/>
                <w:vertAlign w:val="superscript"/>
              </w:rPr>
              <w:t>3</w:t>
            </w:r>
            <w:r>
              <w:rPr>
                <w:rFonts w:eastAsiaTheme="minorEastAsia"/>
                <w:b/>
                <w:bCs/>
                <w:kern w:val="0"/>
                <w:szCs w:val="21"/>
              </w:rPr>
              <w:t>)</w:t>
            </w:r>
          </w:p>
        </w:tc>
        <w:tc>
          <w:tcPr>
            <w:tcW w:w="1442" w:type="dxa"/>
            <w:vAlign w:val="center"/>
          </w:tcPr>
          <w:p w14:paraId="7B9EEE58" w14:textId="77777777" w:rsidR="00B14D53" w:rsidRDefault="00000000">
            <w:pPr>
              <w:tabs>
                <w:tab w:val="left" w:pos="420"/>
              </w:tabs>
              <w:autoSpaceDE w:val="0"/>
              <w:autoSpaceDN w:val="0"/>
              <w:spacing w:line="0" w:lineRule="atLeast"/>
              <w:contextualSpacing/>
              <w:jc w:val="center"/>
              <w:rPr>
                <w:rFonts w:eastAsiaTheme="minorEastAsia"/>
                <w:b/>
                <w:bCs/>
                <w:kern w:val="0"/>
                <w:szCs w:val="21"/>
              </w:rPr>
            </w:pPr>
            <w:r>
              <w:rPr>
                <w:rFonts w:eastAsiaTheme="minorEastAsia"/>
                <w:b/>
                <w:bCs/>
                <w:kern w:val="0"/>
                <w:szCs w:val="21"/>
              </w:rPr>
              <w:t>占标率</w:t>
            </w:r>
            <w:r>
              <w:rPr>
                <w:rFonts w:eastAsiaTheme="minorEastAsia"/>
                <w:b/>
                <w:bCs/>
                <w:kern w:val="0"/>
                <w:szCs w:val="21"/>
              </w:rPr>
              <w:t>/(%)</w:t>
            </w:r>
          </w:p>
        </w:tc>
      </w:tr>
      <w:tr w:rsidR="00B14D53" w14:paraId="27B15584" w14:textId="77777777">
        <w:trPr>
          <w:trHeight w:val="64"/>
          <w:jc w:val="center"/>
        </w:trPr>
        <w:tc>
          <w:tcPr>
            <w:tcW w:w="1784" w:type="dxa"/>
            <w:vAlign w:val="center"/>
          </w:tcPr>
          <w:p w14:paraId="4F60AA48" w14:textId="77777777" w:rsidR="00B14D53" w:rsidRDefault="00000000">
            <w:pPr>
              <w:jc w:val="center"/>
              <w:rPr>
                <w:szCs w:val="21"/>
              </w:rPr>
            </w:pPr>
            <w:r>
              <w:rPr>
                <w:szCs w:val="21"/>
              </w:rPr>
              <w:t>50</w:t>
            </w:r>
          </w:p>
        </w:tc>
        <w:tc>
          <w:tcPr>
            <w:tcW w:w="1843" w:type="dxa"/>
            <w:vAlign w:val="center"/>
          </w:tcPr>
          <w:p w14:paraId="4A7165EC" w14:textId="77777777" w:rsidR="00B14D53" w:rsidRDefault="00000000">
            <w:pPr>
              <w:jc w:val="center"/>
              <w:rPr>
                <w:szCs w:val="21"/>
              </w:rPr>
            </w:pPr>
            <w:r>
              <w:rPr>
                <w:rFonts w:hint="eastAsia"/>
                <w:szCs w:val="21"/>
              </w:rPr>
              <w:t>2.7374</w:t>
            </w:r>
          </w:p>
        </w:tc>
        <w:tc>
          <w:tcPr>
            <w:tcW w:w="1559" w:type="dxa"/>
            <w:vAlign w:val="center"/>
          </w:tcPr>
          <w:p w14:paraId="7B5FD96F" w14:textId="77777777" w:rsidR="00B14D53" w:rsidRDefault="00000000">
            <w:pPr>
              <w:jc w:val="center"/>
              <w:rPr>
                <w:szCs w:val="21"/>
              </w:rPr>
            </w:pPr>
            <w:r>
              <w:rPr>
                <w:rFonts w:hint="eastAsia"/>
                <w:szCs w:val="21"/>
              </w:rPr>
              <w:t>1.3687</w:t>
            </w:r>
          </w:p>
        </w:tc>
        <w:tc>
          <w:tcPr>
            <w:tcW w:w="1843" w:type="dxa"/>
            <w:vAlign w:val="center"/>
          </w:tcPr>
          <w:p w14:paraId="27257B33" w14:textId="77777777" w:rsidR="00B14D53" w:rsidRDefault="00000000">
            <w:pPr>
              <w:jc w:val="center"/>
              <w:rPr>
                <w:szCs w:val="21"/>
              </w:rPr>
            </w:pPr>
            <w:r>
              <w:rPr>
                <w:rFonts w:hint="eastAsia"/>
                <w:szCs w:val="21"/>
              </w:rPr>
              <w:t>0.1369</w:t>
            </w:r>
          </w:p>
        </w:tc>
        <w:tc>
          <w:tcPr>
            <w:tcW w:w="1442" w:type="dxa"/>
            <w:vAlign w:val="center"/>
          </w:tcPr>
          <w:p w14:paraId="63F42160" w14:textId="77777777" w:rsidR="00B14D53" w:rsidRDefault="00000000">
            <w:pPr>
              <w:jc w:val="center"/>
              <w:rPr>
                <w:szCs w:val="21"/>
              </w:rPr>
            </w:pPr>
            <w:r>
              <w:rPr>
                <w:rFonts w:hint="eastAsia"/>
                <w:szCs w:val="21"/>
              </w:rPr>
              <w:t>1.3687</w:t>
            </w:r>
          </w:p>
        </w:tc>
      </w:tr>
      <w:tr w:rsidR="00B14D53" w14:paraId="3A31942A" w14:textId="77777777">
        <w:trPr>
          <w:trHeight w:val="78"/>
          <w:jc w:val="center"/>
        </w:trPr>
        <w:tc>
          <w:tcPr>
            <w:tcW w:w="1784" w:type="dxa"/>
            <w:vAlign w:val="center"/>
          </w:tcPr>
          <w:p w14:paraId="592A632C" w14:textId="77777777" w:rsidR="00B14D53" w:rsidRDefault="00000000">
            <w:pPr>
              <w:jc w:val="center"/>
              <w:rPr>
                <w:szCs w:val="21"/>
              </w:rPr>
            </w:pPr>
            <w:r>
              <w:rPr>
                <w:szCs w:val="21"/>
              </w:rPr>
              <w:t>100</w:t>
            </w:r>
          </w:p>
        </w:tc>
        <w:tc>
          <w:tcPr>
            <w:tcW w:w="1843" w:type="dxa"/>
            <w:vAlign w:val="center"/>
          </w:tcPr>
          <w:p w14:paraId="4A2B6DFE" w14:textId="77777777" w:rsidR="00B14D53" w:rsidRDefault="00000000">
            <w:pPr>
              <w:jc w:val="center"/>
              <w:rPr>
                <w:szCs w:val="21"/>
              </w:rPr>
            </w:pPr>
            <w:r>
              <w:rPr>
                <w:rFonts w:hint="eastAsia"/>
                <w:szCs w:val="21"/>
              </w:rPr>
              <w:t>2.0218</w:t>
            </w:r>
          </w:p>
        </w:tc>
        <w:tc>
          <w:tcPr>
            <w:tcW w:w="1559" w:type="dxa"/>
            <w:vAlign w:val="center"/>
          </w:tcPr>
          <w:p w14:paraId="7F278F66" w14:textId="77777777" w:rsidR="00B14D53" w:rsidRDefault="00000000">
            <w:pPr>
              <w:jc w:val="center"/>
              <w:rPr>
                <w:szCs w:val="21"/>
              </w:rPr>
            </w:pPr>
            <w:r>
              <w:rPr>
                <w:rFonts w:hint="eastAsia"/>
                <w:szCs w:val="21"/>
              </w:rPr>
              <w:t>1.0109</w:t>
            </w:r>
          </w:p>
        </w:tc>
        <w:tc>
          <w:tcPr>
            <w:tcW w:w="1843" w:type="dxa"/>
            <w:vAlign w:val="center"/>
          </w:tcPr>
          <w:p w14:paraId="2BB52C00" w14:textId="77777777" w:rsidR="00B14D53" w:rsidRDefault="00000000">
            <w:pPr>
              <w:jc w:val="center"/>
              <w:rPr>
                <w:szCs w:val="21"/>
              </w:rPr>
            </w:pPr>
            <w:r>
              <w:rPr>
                <w:rFonts w:hint="eastAsia"/>
                <w:szCs w:val="21"/>
              </w:rPr>
              <w:t>0.1011</w:t>
            </w:r>
          </w:p>
        </w:tc>
        <w:tc>
          <w:tcPr>
            <w:tcW w:w="1442" w:type="dxa"/>
            <w:vAlign w:val="center"/>
          </w:tcPr>
          <w:p w14:paraId="6065BDDC" w14:textId="77777777" w:rsidR="00B14D53" w:rsidRDefault="00000000">
            <w:pPr>
              <w:jc w:val="center"/>
              <w:rPr>
                <w:szCs w:val="21"/>
              </w:rPr>
            </w:pPr>
            <w:r>
              <w:rPr>
                <w:rFonts w:hint="eastAsia"/>
                <w:szCs w:val="21"/>
              </w:rPr>
              <w:t>1.0109</w:t>
            </w:r>
          </w:p>
        </w:tc>
      </w:tr>
      <w:tr w:rsidR="00B14D53" w14:paraId="2476538B" w14:textId="77777777">
        <w:trPr>
          <w:trHeight w:val="234"/>
          <w:jc w:val="center"/>
        </w:trPr>
        <w:tc>
          <w:tcPr>
            <w:tcW w:w="1784" w:type="dxa"/>
            <w:vAlign w:val="center"/>
          </w:tcPr>
          <w:p w14:paraId="1B0DD0AC" w14:textId="77777777" w:rsidR="00B14D53" w:rsidRDefault="00000000">
            <w:pPr>
              <w:jc w:val="center"/>
              <w:rPr>
                <w:szCs w:val="21"/>
              </w:rPr>
            </w:pPr>
            <w:r>
              <w:rPr>
                <w:szCs w:val="21"/>
              </w:rPr>
              <w:t>200</w:t>
            </w:r>
          </w:p>
        </w:tc>
        <w:tc>
          <w:tcPr>
            <w:tcW w:w="1843" w:type="dxa"/>
            <w:vAlign w:val="center"/>
          </w:tcPr>
          <w:p w14:paraId="7C0B1FE9" w14:textId="77777777" w:rsidR="00B14D53" w:rsidRDefault="00000000">
            <w:pPr>
              <w:jc w:val="center"/>
              <w:rPr>
                <w:szCs w:val="21"/>
              </w:rPr>
            </w:pPr>
            <w:r>
              <w:rPr>
                <w:rFonts w:hint="eastAsia"/>
                <w:szCs w:val="21"/>
              </w:rPr>
              <w:t>1.3402</w:t>
            </w:r>
          </w:p>
        </w:tc>
        <w:tc>
          <w:tcPr>
            <w:tcW w:w="1559" w:type="dxa"/>
            <w:vAlign w:val="center"/>
          </w:tcPr>
          <w:p w14:paraId="51D42E25" w14:textId="77777777" w:rsidR="00B14D53" w:rsidRDefault="00000000">
            <w:pPr>
              <w:jc w:val="center"/>
              <w:rPr>
                <w:szCs w:val="21"/>
              </w:rPr>
            </w:pPr>
            <w:r>
              <w:rPr>
                <w:rFonts w:hint="eastAsia"/>
                <w:szCs w:val="21"/>
              </w:rPr>
              <w:t>0.6701</w:t>
            </w:r>
          </w:p>
        </w:tc>
        <w:tc>
          <w:tcPr>
            <w:tcW w:w="1843" w:type="dxa"/>
            <w:vAlign w:val="center"/>
          </w:tcPr>
          <w:p w14:paraId="53FB2F10" w14:textId="77777777" w:rsidR="00B14D53" w:rsidRDefault="00000000">
            <w:pPr>
              <w:jc w:val="center"/>
              <w:rPr>
                <w:szCs w:val="21"/>
              </w:rPr>
            </w:pPr>
            <w:r>
              <w:rPr>
                <w:rFonts w:hint="eastAsia"/>
                <w:szCs w:val="21"/>
              </w:rPr>
              <w:t>0.0670</w:t>
            </w:r>
          </w:p>
        </w:tc>
        <w:tc>
          <w:tcPr>
            <w:tcW w:w="1442" w:type="dxa"/>
            <w:vAlign w:val="center"/>
          </w:tcPr>
          <w:p w14:paraId="664948AF" w14:textId="77777777" w:rsidR="00B14D53" w:rsidRDefault="00000000">
            <w:pPr>
              <w:jc w:val="center"/>
              <w:rPr>
                <w:szCs w:val="21"/>
              </w:rPr>
            </w:pPr>
            <w:r>
              <w:rPr>
                <w:rFonts w:hint="eastAsia"/>
                <w:szCs w:val="21"/>
              </w:rPr>
              <w:t>0.6701</w:t>
            </w:r>
          </w:p>
        </w:tc>
      </w:tr>
      <w:tr w:rsidR="00B14D53" w14:paraId="71D0B2CB" w14:textId="77777777">
        <w:trPr>
          <w:trHeight w:val="248"/>
          <w:jc w:val="center"/>
        </w:trPr>
        <w:tc>
          <w:tcPr>
            <w:tcW w:w="1784" w:type="dxa"/>
            <w:vAlign w:val="center"/>
          </w:tcPr>
          <w:p w14:paraId="6A6FB989" w14:textId="77777777" w:rsidR="00B14D53" w:rsidRDefault="00000000">
            <w:pPr>
              <w:jc w:val="center"/>
              <w:rPr>
                <w:szCs w:val="21"/>
              </w:rPr>
            </w:pPr>
            <w:r>
              <w:rPr>
                <w:szCs w:val="21"/>
              </w:rPr>
              <w:t>300</w:t>
            </w:r>
          </w:p>
        </w:tc>
        <w:tc>
          <w:tcPr>
            <w:tcW w:w="1843" w:type="dxa"/>
            <w:vAlign w:val="center"/>
          </w:tcPr>
          <w:p w14:paraId="5B2DA5E5" w14:textId="77777777" w:rsidR="00B14D53" w:rsidRDefault="00000000">
            <w:pPr>
              <w:jc w:val="center"/>
              <w:rPr>
                <w:szCs w:val="21"/>
              </w:rPr>
            </w:pPr>
            <w:r>
              <w:rPr>
                <w:rFonts w:hint="eastAsia"/>
                <w:szCs w:val="21"/>
              </w:rPr>
              <w:t>1.0265</w:t>
            </w:r>
          </w:p>
        </w:tc>
        <w:tc>
          <w:tcPr>
            <w:tcW w:w="1559" w:type="dxa"/>
            <w:vAlign w:val="center"/>
          </w:tcPr>
          <w:p w14:paraId="014215F7" w14:textId="77777777" w:rsidR="00B14D53" w:rsidRDefault="00000000">
            <w:pPr>
              <w:jc w:val="center"/>
              <w:rPr>
                <w:szCs w:val="21"/>
              </w:rPr>
            </w:pPr>
            <w:r>
              <w:rPr>
                <w:rFonts w:hint="eastAsia"/>
                <w:szCs w:val="21"/>
              </w:rPr>
              <w:t>0.5132</w:t>
            </w:r>
          </w:p>
        </w:tc>
        <w:tc>
          <w:tcPr>
            <w:tcW w:w="1843" w:type="dxa"/>
            <w:vAlign w:val="center"/>
          </w:tcPr>
          <w:p w14:paraId="5F515B0D" w14:textId="77777777" w:rsidR="00B14D53" w:rsidRDefault="00000000">
            <w:pPr>
              <w:jc w:val="center"/>
              <w:rPr>
                <w:szCs w:val="21"/>
              </w:rPr>
            </w:pPr>
            <w:r>
              <w:rPr>
                <w:rFonts w:hint="eastAsia"/>
                <w:szCs w:val="21"/>
              </w:rPr>
              <w:t>0.0513</w:t>
            </w:r>
          </w:p>
        </w:tc>
        <w:tc>
          <w:tcPr>
            <w:tcW w:w="1442" w:type="dxa"/>
            <w:vAlign w:val="center"/>
          </w:tcPr>
          <w:p w14:paraId="4F1EF603" w14:textId="77777777" w:rsidR="00B14D53" w:rsidRDefault="00000000">
            <w:pPr>
              <w:jc w:val="center"/>
              <w:rPr>
                <w:szCs w:val="21"/>
              </w:rPr>
            </w:pPr>
            <w:r>
              <w:rPr>
                <w:rFonts w:hint="eastAsia"/>
                <w:szCs w:val="21"/>
              </w:rPr>
              <w:t>0.5132</w:t>
            </w:r>
          </w:p>
        </w:tc>
      </w:tr>
      <w:tr w:rsidR="00B14D53" w14:paraId="4F30D105" w14:textId="77777777">
        <w:trPr>
          <w:trHeight w:val="234"/>
          <w:jc w:val="center"/>
        </w:trPr>
        <w:tc>
          <w:tcPr>
            <w:tcW w:w="1784" w:type="dxa"/>
            <w:vAlign w:val="center"/>
          </w:tcPr>
          <w:p w14:paraId="6E68108D" w14:textId="77777777" w:rsidR="00B14D53" w:rsidRDefault="00000000">
            <w:pPr>
              <w:jc w:val="center"/>
              <w:rPr>
                <w:szCs w:val="21"/>
              </w:rPr>
            </w:pPr>
            <w:r>
              <w:rPr>
                <w:szCs w:val="21"/>
              </w:rPr>
              <w:t>400</w:t>
            </w:r>
          </w:p>
        </w:tc>
        <w:tc>
          <w:tcPr>
            <w:tcW w:w="1843" w:type="dxa"/>
            <w:vAlign w:val="center"/>
          </w:tcPr>
          <w:p w14:paraId="294FE656" w14:textId="77777777" w:rsidR="00B14D53" w:rsidRDefault="00000000">
            <w:pPr>
              <w:jc w:val="center"/>
              <w:rPr>
                <w:szCs w:val="21"/>
              </w:rPr>
            </w:pPr>
            <w:r>
              <w:rPr>
                <w:rFonts w:hint="eastAsia"/>
                <w:szCs w:val="21"/>
              </w:rPr>
              <w:t>0.8600</w:t>
            </w:r>
          </w:p>
        </w:tc>
        <w:tc>
          <w:tcPr>
            <w:tcW w:w="1559" w:type="dxa"/>
            <w:vAlign w:val="center"/>
          </w:tcPr>
          <w:p w14:paraId="7944477B" w14:textId="77777777" w:rsidR="00B14D53" w:rsidRDefault="00000000">
            <w:pPr>
              <w:jc w:val="center"/>
              <w:rPr>
                <w:szCs w:val="21"/>
              </w:rPr>
            </w:pPr>
            <w:r>
              <w:rPr>
                <w:rFonts w:hint="eastAsia"/>
                <w:szCs w:val="21"/>
              </w:rPr>
              <w:t>0.4300</w:t>
            </w:r>
          </w:p>
        </w:tc>
        <w:tc>
          <w:tcPr>
            <w:tcW w:w="1843" w:type="dxa"/>
            <w:vAlign w:val="center"/>
          </w:tcPr>
          <w:p w14:paraId="4B773C82" w14:textId="77777777" w:rsidR="00B14D53" w:rsidRDefault="00000000">
            <w:pPr>
              <w:jc w:val="center"/>
              <w:rPr>
                <w:szCs w:val="21"/>
              </w:rPr>
            </w:pPr>
            <w:r>
              <w:rPr>
                <w:rFonts w:hint="eastAsia"/>
                <w:szCs w:val="21"/>
              </w:rPr>
              <w:t>0.0430</w:t>
            </w:r>
          </w:p>
        </w:tc>
        <w:tc>
          <w:tcPr>
            <w:tcW w:w="1442" w:type="dxa"/>
            <w:vAlign w:val="center"/>
          </w:tcPr>
          <w:p w14:paraId="385926C3" w14:textId="77777777" w:rsidR="00B14D53" w:rsidRDefault="00000000">
            <w:pPr>
              <w:jc w:val="center"/>
              <w:rPr>
                <w:szCs w:val="21"/>
              </w:rPr>
            </w:pPr>
            <w:r>
              <w:rPr>
                <w:rFonts w:hint="eastAsia"/>
                <w:szCs w:val="21"/>
              </w:rPr>
              <w:t>0.4300</w:t>
            </w:r>
          </w:p>
        </w:tc>
      </w:tr>
      <w:tr w:rsidR="00B14D53" w14:paraId="049B78F6" w14:textId="77777777">
        <w:trPr>
          <w:trHeight w:val="248"/>
          <w:jc w:val="center"/>
        </w:trPr>
        <w:tc>
          <w:tcPr>
            <w:tcW w:w="1784" w:type="dxa"/>
            <w:vAlign w:val="center"/>
          </w:tcPr>
          <w:p w14:paraId="1ECF7FEA" w14:textId="77777777" w:rsidR="00B14D53" w:rsidRDefault="00000000">
            <w:pPr>
              <w:jc w:val="center"/>
              <w:rPr>
                <w:szCs w:val="21"/>
              </w:rPr>
            </w:pPr>
            <w:r>
              <w:rPr>
                <w:szCs w:val="21"/>
              </w:rPr>
              <w:t>500</w:t>
            </w:r>
          </w:p>
        </w:tc>
        <w:tc>
          <w:tcPr>
            <w:tcW w:w="1843" w:type="dxa"/>
            <w:vAlign w:val="center"/>
          </w:tcPr>
          <w:p w14:paraId="196AF858" w14:textId="77777777" w:rsidR="00B14D53" w:rsidRDefault="00000000">
            <w:pPr>
              <w:jc w:val="center"/>
              <w:rPr>
                <w:szCs w:val="21"/>
              </w:rPr>
            </w:pPr>
            <w:r>
              <w:rPr>
                <w:rFonts w:hint="eastAsia"/>
                <w:szCs w:val="21"/>
              </w:rPr>
              <w:t>0.7319</w:t>
            </w:r>
          </w:p>
        </w:tc>
        <w:tc>
          <w:tcPr>
            <w:tcW w:w="1559" w:type="dxa"/>
            <w:vAlign w:val="center"/>
          </w:tcPr>
          <w:p w14:paraId="37C6149F" w14:textId="77777777" w:rsidR="00B14D53" w:rsidRDefault="00000000">
            <w:pPr>
              <w:jc w:val="center"/>
              <w:rPr>
                <w:szCs w:val="21"/>
              </w:rPr>
            </w:pPr>
            <w:r>
              <w:rPr>
                <w:rFonts w:hint="eastAsia"/>
                <w:szCs w:val="21"/>
              </w:rPr>
              <w:t>0.3659</w:t>
            </w:r>
          </w:p>
        </w:tc>
        <w:tc>
          <w:tcPr>
            <w:tcW w:w="1843" w:type="dxa"/>
            <w:vAlign w:val="center"/>
          </w:tcPr>
          <w:p w14:paraId="4511EAA2" w14:textId="77777777" w:rsidR="00B14D53" w:rsidRDefault="00000000">
            <w:pPr>
              <w:jc w:val="center"/>
              <w:rPr>
                <w:szCs w:val="21"/>
              </w:rPr>
            </w:pPr>
            <w:r>
              <w:rPr>
                <w:rFonts w:hint="eastAsia"/>
                <w:szCs w:val="21"/>
              </w:rPr>
              <w:t>0.0366</w:t>
            </w:r>
          </w:p>
        </w:tc>
        <w:tc>
          <w:tcPr>
            <w:tcW w:w="1442" w:type="dxa"/>
            <w:vAlign w:val="center"/>
          </w:tcPr>
          <w:p w14:paraId="5B631EA5" w14:textId="77777777" w:rsidR="00B14D53" w:rsidRDefault="00000000">
            <w:pPr>
              <w:jc w:val="center"/>
              <w:rPr>
                <w:szCs w:val="21"/>
              </w:rPr>
            </w:pPr>
            <w:r>
              <w:rPr>
                <w:rFonts w:hint="eastAsia"/>
                <w:szCs w:val="21"/>
              </w:rPr>
              <w:t>0.3660</w:t>
            </w:r>
          </w:p>
        </w:tc>
      </w:tr>
      <w:tr w:rsidR="00B14D53" w14:paraId="4CF82B14" w14:textId="77777777">
        <w:trPr>
          <w:trHeight w:val="78"/>
          <w:jc w:val="center"/>
        </w:trPr>
        <w:tc>
          <w:tcPr>
            <w:tcW w:w="1784" w:type="dxa"/>
            <w:vAlign w:val="center"/>
          </w:tcPr>
          <w:p w14:paraId="5B7C20C0" w14:textId="77777777" w:rsidR="00B14D53" w:rsidRDefault="00000000">
            <w:pPr>
              <w:jc w:val="center"/>
              <w:rPr>
                <w:szCs w:val="21"/>
              </w:rPr>
            </w:pPr>
            <w:r>
              <w:rPr>
                <w:szCs w:val="21"/>
              </w:rPr>
              <w:t>600</w:t>
            </w:r>
          </w:p>
        </w:tc>
        <w:tc>
          <w:tcPr>
            <w:tcW w:w="1843" w:type="dxa"/>
            <w:vAlign w:val="center"/>
          </w:tcPr>
          <w:p w14:paraId="4401461C" w14:textId="77777777" w:rsidR="00B14D53" w:rsidRDefault="00000000">
            <w:pPr>
              <w:jc w:val="center"/>
              <w:rPr>
                <w:szCs w:val="21"/>
              </w:rPr>
            </w:pPr>
            <w:r>
              <w:rPr>
                <w:rFonts w:hint="eastAsia"/>
                <w:szCs w:val="21"/>
              </w:rPr>
              <w:t>0.6409</w:t>
            </w:r>
          </w:p>
        </w:tc>
        <w:tc>
          <w:tcPr>
            <w:tcW w:w="1559" w:type="dxa"/>
            <w:vAlign w:val="center"/>
          </w:tcPr>
          <w:p w14:paraId="7FEB6A46" w14:textId="77777777" w:rsidR="00B14D53" w:rsidRDefault="00000000">
            <w:pPr>
              <w:jc w:val="center"/>
              <w:rPr>
                <w:szCs w:val="21"/>
              </w:rPr>
            </w:pPr>
            <w:r>
              <w:rPr>
                <w:rFonts w:hint="eastAsia"/>
                <w:szCs w:val="21"/>
              </w:rPr>
              <w:t>0.3204</w:t>
            </w:r>
          </w:p>
        </w:tc>
        <w:tc>
          <w:tcPr>
            <w:tcW w:w="1843" w:type="dxa"/>
            <w:vAlign w:val="center"/>
          </w:tcPr>
          <w:p w14:paraId="0558F1ED" w14:textId="77777777" w:rsidR="00B14D53" w:rsidRDefault="00000000">
            <w:pPr>
              <w:jc w:val="center"/>
              <w:rPr>
                <w:szCs w:val="21"/>
              </w:rPr>
            </w:pPr>
            <w:r>
              <w:rPr>
                <w:rFonts w:hint="eastAsia"/>
                <w:szCs w:val="21"/>
              </w:rPr>
              <w:t>0.0320</w:t>
            </w:r>
          </w:p>
        </w:tc>
        <w:tc>
          <w:tcPr>
            <w:tcW w:w="1442" w:type="dxa"/>
            <w:vAlign w:val="center"/>
          </w:tcPr>
          <w:p w14:paraId="4045B331" w14:textId="77777777" w:rsidR="00B14D53" w:rsidRDefault="00000000">
            <w:pPr>
              <w:jc w:val="center"/>
              <w:rPr>
                <w:szCs w:val="21"/>
              </w:rPr>
            </w:pPr>
            <w:r>
              <w:rPr>
                <w:rFonts w:hint="eastAsia"/>
                <w:szCs w:val="21"/>
              </w:rPr>
              <w:t>0.3204</w:t>
            </w:r>
          </w:p>
        </w:tc>
      </w:tr>
      <w:tr w:rsidR="00B14D53" w14:paraId="759DF460" w14:textId="77777777">
        <w:trPr>
          <w:trHeight w:val="234"/>
          <w:jc w:val="center"/>
        </w:trPr>
        <w:tc>
          <w:tcPr>
            <w:tcW w:w="1784" w:type="dxa"/>
            <w:vAlign w:val="center"/>
          </w:tcPr>
          <w:p w14:paraId="679974A8" w14:textId="77777777" w:rsidR="00B14D53" w:rsidRDefault="00000000">
            <w:pPr>
              <w:jc w:val="center"/>
              <w:rPr>
                <w:szCs w:val="21"/>
              </w:rPr>
            </w:pPr>
            <w:r>
              <w:rPr>
                <w:szCs w:val="21"/>
              </w:rPr>
              <w:t>700</w:t>
            </w:r>
          </w:p>
        </w:tc>
        <w:tc>
          <w:tcPr>
            <w:tcW w:w="1843" w:type="dxa"/>
            <w:vAlign w:val="center"/>
          </w:tcPr>
          <w:p w14:paraId="051D3B6F" w14:textId="77777777" w:rsidR="00B14D53" w:rsidRDefault="00000000">
            <w:pPr>
              <w:jc w:val="center"/>
              <w:rPr>
                <w:szCs w:val="21"/>
              </w:rPr>
            </w:pPr>
            <w:r>
              <w:rPr>
                <w:rFonts w:hint="eastAsia"/>
                <w:szCs w:val="21"/>
              </w:rPr>
              <w:t>0.5723</w:t>
            </w:r>
          </w:p>
        </w:tc>
        <w:tc>
          <w:tcPr>
            <w:tcW w:w="1559" w:type="dxa"/>
            <w:vAlign w:val="center"/>
          </w:tcPr>
          <w:p w14:paraId="4D7DC21A" w14:textId="77777777" w:rsidR="00B14D53" w:rsidRDefault="00000000">
            <w:pPr>
              <w:jc w:val="center"/>
              <w:rPr>
                <w:szCs w:val="21"/>
              </w:rPr>
            </w:pPr>
            <w:r>
              <w:rPr>
                <w:rFonts w:hint="eastAsia"/>
                <w:szCs w:val="21"/>
              </w:rPr>
              <w:t>0.2861</w:t>
            </w:r>
          </w:p>
        </w:tc>
        <w:tc>
          <w:tcPr>
            <w:tcW w:w="1843" w:type="dxa"/>
            <w:vAlign w:val="center"/>
          </w:tcPr>
          <w:p w14:paraId="6C8C42CC" w14:textId="77777777" w:rsidR="00B14D53" w:rsidRDefault="00000000">
            <w:pPr>
              <w:jc w:val="center"/>
              <w:rPr>
                <w:szCs w:val="21"/>
              </w:rPr>
            </w:pPr>
            <w:r>
              <w:rPr>
                <w:rFonts w:hint="eastAsia"/>
                <w:szCs w:val="21"/>
              </w:rPr>
              <w:t>0.0286</w:t>
            </w:r>
          </w:p>
        </w:tc>
        <w:tc>
          <w:tcPr>
            <w:tcW w:w="1442" w:type="dxa"/>
            <w:vAlign w:val="center"/>
          </w:tcPr>
          <w:p w14:paraId="5BEB86C4" w14:textId="77777777" w:rsidR="00B14D53" w:rsidRDefault="00000000">
            <w:pPr>
              <w:jc w:val="center"/>
              <w:rPr>
                <w:szCs w:val="21"/>
              </w:rPr>
            </w:pPr>
            <w:r>
              <w:rPr>
                <w:rFonts w:hint="eastAsia"/>
                <w:szCs w:val="21"/>
              </w:rPr>
              <w:t>0.2861</w:t>
            </w:r>
          </w:p>
        </w:tc>
      </w:tr>
      <w:tr w:rsidR="00B14D53" w14:paraId="551C23D0" w14:textId="77777777">
        <w:trPr>
          <w:trHeight w:val="248"/>
          <w:jc w:val="center"/>
        </w:trPr>
        <w:tc>
          <w:tcPr>
            <w:tcW w:w="1784" w:type="dxa"/>
            <w:vAlign w:val="center"/>
          </w:tcPr>
          <w:p w14:paraId="47B50BA6" w14:textId="77777777" w:rsidR="00B14D53" w:rsidRDefault="00000000">
            <w:pPr>
              <w:jc w:val="center"/>
              <w:rPr>
                <w:szCs w:val="21"/>
              </w:rPr>
            </w:pPr>
            <w:r>
              <w:rPr>
                <w:szCs w:val="21"/>
              </w:rPr>
              <w:t>800</w:t>
            </w:r>
          </w:p>
        </w:tc>
        <w:tc>
          <w:tcPr>
            <w:tcW w:w="1843" w:type="dxa"/>
            <w:vAlign w:val="center"/>
          </w:tcPr>
          <w:p w14:paraId="078CB40D" w14:textId="77777777" w:rsidR="00B14D53" w:rsidRDefault="00000000">
            <w:pPr>
              <w:jc w:val="center"/>
              <w:rPr>
                <w:szCs w:val="21"/>
              </w:rPr>
            </w:pPr>
            <w:r>
              <w:rPr>
                <w:rFonts w:hint="eastAsia"/>
                <w:szCs w:val="21"/>
              </w:rPr>
              <w:t>0.5185</w:t>
            </w:r>
          </w:p>
        </w:tc>
        <w:tc>
          <w:tcPr>
            <w:tcW w:w="1559" w:type="dxa"/>
            <w:vAlign w:val="center"/>
          </w:tcPr>
          <w:p w14:paraId="3BE41AE8" w14:textId="77777777" w:rsidR="00B14D53" w:rsidRDefault="00000000">
            <w:pPr>
              <w:jc w:val="center"/>
              <w:rPr>
                <w:szCs w:val="21"/>
              </w:rPr>
            </w:pPr>
            <w:r>
              <w:rPr>
                <w:rFonts w:hint="eastAsia"/>
                <w:szCs w:val="21"/>
              </w:rPr>
              <w:t>0.2593</w:t>
            </w:r>
          </w:p>
        </w:tc>
        <w:tc>
          <w:tcPr>
            <w:tcW w:w="1843" w:type="dxa"/>
            <w:vAlign w:val="center"/>
          </w:tcPr>
          <w:p w14:paraId="38E91B5C" w14:textId="77777777" w:rsidR="00B14D53" w:rsidRDefault="00000000">
            <w:pPr>
              <w:jc w:val="center"/>
              <w:rPr>
                <w:szCs w:val="21"/>
              </w:rPr>
            </w:pPr>
            <w:r>
              <w:rPr>
                <w:rFonts w:hint="eastAsia"/>
                <w:szCs w:val="21"/>
              </w:rPr>
              <w:t>0.0259</w:t>
            </w:r>
          </w:p>
        </w:tc>
        <w:tc>
          <w:tcPr>
            <w:tcW w:w="1442" w:type="dxa"/>
            <w:vAlign w:val="center"/>
          </w:tcPr>
          <w:p w14:paraId="61CB7388" w14:textId="77777777" w:rsidR="00B14D53" w:rsidRDefault="00000000">
            <w:pPr>
              <w:jc w:val="center"/>
              <w:rPr>
                <w:szCs w:val="21"/>
              </w:rPr>
            </w:pPr>
            <w:r>
              <w:rPr>
                <w:rFonts w:hint="eastAsia"/>
                <w:szCs w:val="21"/>
              </w:rPr>
              <w:t>0.2593</w:t>
            </w:r>
          </w:p>
        </w:tc>
      </w:tr>
      <w:tr w:rsidR="00B14D53" w14:paraId="00709578" w14:textId="77777777">
        <w:trPr>
          <w:trHeight w:val="248"/>
          <w:jc w:val="center"/>
        </w:trPr>
        <w:tc>
          <w:tcPr>
            <w:tcW w:w="1784" w:type="dxa"/>
            <w:vAlign w:val="center"/>
          </w:tcPr>
          <w:p w14:paraId="3396C29F" w14:textId="77777777" w:rsidR="00B14D53" w:rsidRDefault="00000000">
            <w:pPr>
              <w:jc w:val="center"/>
              <w:rPr>
                <w:szCs w:val="21"/>
              </w:rPr>
            </w:pPr>
            <w:r>
              <w:rPr>
                <w:szCs w:val="21"/>
              </w:rPr>
              <w:t>900</w:t>
            </w:r>
          </w:p>
        </w:tc>
        <w:tc>
          <w:tcPr>
            <w:tcW w:w="1843" w:type="dxa"/>
            <w:vAlign w:val="center"/>
          </w:tcPr>
          <w:p w14:paraId="39B5225B" w14:textId="77777777" w:rsidR="00B14D53" w:rsidRDefault="00000000">
            <w:pPr>
              <w:jc w:val="center"/>
              <w:rPr>
                <w:szCs w:val="21"/>
              </w:rPr>
            </w:pPr>
            <w:r>
              <w:rPr>
                <w:rFonts w:hint="eastAsia"/>
                <w:szCs w:val="21"/>
              </w:rPr>
              <w:t>0.4750</w:t>
            </w:r>
          </w:p>
        </w:tc>
        <w:tc>
          <w:tcPr>
            <w:tcW w:w="1559" w:type="dxa"/>
            <w:vAlign w:val="center"/>
          </w:tcPr>
          <w:p w14:paraId="74F3D9AB" w14:textId="77777777" w:rsidR="00B14D53" w:rsidRDefault="00000000">
            <w:pPr>
              <w:jc w:val="center"/>
              <w:rPr>
                <w:szCs w:val="21"/>
              </w:rPr>
            </w:pPr>
            <w:r>
              <w:rPr>
                <w:rFonts w:hint="eastAsia"/>
                <w:szCs w:val="21"/>
              </w:rPr>
              <w:t>0.2375</w:t>
            </w:r>
          </w:p>
        </w:tc>
        <w:tc>
          <w:tcPr>
            <w:tcW w:w="1843" w:type="dxa"/>
            <w:vAlign w:val="center"/>
          </w:tcPr>
          <w:p w14:paraId="49F26271" w14:textId="77777777" w:rsidR="00B14D53" w:rsidRDefault="00000000">
            <w:pPr>
              <w:jc w:val="center"/>
              <w:rPr>
                <w:szCs w:val="21"/>
              </w:rPr>
            </w:pPr>
            <w:r>
              <w:rPr>
                <w:rFonts w:hint="eastAsia"/>
                <w:szCs w:val="21"/>
              </w:rPr>
              <w:t>0.0238</w:t>
            </w:r>
          </w:p>
        </w:tc>
        <w:tc>
          <w:tcPr>
            <w:tcW w:w="1442" w:type="dxa"/>
            <w:vAlign w:val="center"/>
          </w:tcPr>
          <w:p w14:paraId="72B7637D" w14:textId="77777777" w:rsidR="00B14D53" w:rsidRDefault="00000000">
            <w:pPr>
              <w:jc w:val="center"/>
              <w:rPr>
                <w:szCs w:val="21"/>
              </w:rPr>
            </w:pPr>
            <w:r>
              <w:rPr>
                <w:rFonts w:hint="eastAsia"/>
                <w:szCs w:val="21"/>
              </w:rPr>
              <w:t>0.2375</w:t>
            </w:r>
          </w:p>
        </w:tc>
      </w:tr>
      <w:tr w:rsidR="00B14D53" w14:paraId="35B1D289" w14:textId="77777777">
        <w:trPr>
          <w:trHeight w:val="234"/>
          <w:jc w:val="center"/>
        </w:trPr>
        <w:tc>
          <w:tcPr>
            <w:tcW w:w="1784" w:type="dxa"/>
            <w:vAlign w:val="center"/>
          </w:tcPr>
          <w:p w14:paraId="7A22D529" w14:textId="77777777" w:rsidR="00B14D53" w:rsidRDefault="00000000">
            <w:pPr>
              <w:jc w:val="center"/>
              <w:rPr>
                <w:szCs w:val="21"/>
              </w:rPr>
            </w:pPr>
            <w:r>
              <w:rPr>
                <w:szCs w:val="21"/>
              </w:rPr>
              <w:t>1000</w:t>
            </w:r>
          </w:p>
        </w:tc>
        <w:tc>
          <w:tcPr>
            <w:tcW w:w="1843" w:type="dxa"/>
            <w:vAlign w:val="center"/>
          </w:tcPr>
          <w:p w14:paraId="25588B6B" w14:textId="77777777" w:rsidR="00B14D53" w:rsidRDefault="00000000">
            <w:pPr>
              <w:jc w:val="center"/>
              <w:rPr>
                <w:szCs w:val="21"/>
              </w:rPr>
            </w:pPr>
            <w:r>
              <w:rPr>
                <w:rFonts w:hint="eastAsia"/>
                <w:szCs w:val="21"/>
              </w:rPr>
              <w:t>0.4389</w:t>
            </w:r>
          </w:p>
        </w:tc>
        <w:tc>
          <w:tcPr>
            <w:tcW w:w="1559" w:type="dxa"/>
            <w:vAlign w:val="center"/>
          </w:tcPr>
          <w:p w14:paraId="50E9611C" w14:textId="77777777" w:rsidR="00B14D53" w:rsidRDefault="00000000">
            <w:pPr>
              <w:jc w:val="center"/>
              <w:rPr>
                <w:szCs w:val="21"/>
              </w:rPr>
            </w:pPr>
            <w:r>
              <w:rPr>
                <w:rFonts w:hint="eastAsia"/>
                <w:szCs w:val="21"/>
              </w:rPr>
              <w:t>0.2194</w:t>
            </w:r>
          </w:p>
        </w:tc>
        <w:tc>
          <w:tcPr>
            <w:tcW w:w="1843" w:type="dxa"/>
            <w:vAlign w:val="center"/>
          </w:tcPr>
          <w:p w14:paraId="243F55D3" w14:textId="77777777" w:rsidR="00B14D53" w:rsidRDefault="00000000">
            <w:pPr>
              <w:jc w:val="center"/>
              <w:rPr>
                <w:szCs w:val="21"/>
              </w:rPr>
            </w:pPr>
            <w:r>
              <w:rPr>
                <w:rFonts w:hint="eastAsia"/>
                <w:szCs w:val="21"/>
              </w:rPr>
              <w:t>0.0219</w:t>
            </w:r>
          </w:p>
        </w:tc>
        <w:tc>
          <w:tcPr>
            <w:tcW w:w="1442" w:type="dxa"/>
            <w:vAlign w:val="center"/>
          </w:tcPr>
          <w:p w14:paraId="2CCC53A6" w14:textId="77777777" w:rsidR="00B14D53" w:rsidRDefault="00000000">
            <w:pPr>
              <w:jc w:val="center"/>
              <w:rPr>
                <w:szCs w:val="21"/>
              </w:rPr>
            </w:pPr>
            <w:r>
              <w:rPr>
                <w:rFonts w:hint="eastAsia"/>
                <w:szCs w:val="21"/>
              </w:rPr>
              <w:t>0.2194</w:t>
            </w:r>
          </w:p>
        </w:tc>
      </w:tr>
      <w:tr w:rsidR="00B14D53" w14:paraId="553341EB" w14:textId="77777777">
        <w:trPr>
          <w:trHeight w:val="248"/>
          <w:jc w:val="center"/>
        </w:trPr>
        <w:tc>
          <w:tcPr>
            <w:tcW w:w="1784" w:type="dxa"/>
            <w:vAlign w:val="center"/>
          </w:tcPr>
          <w:p w14:paraId="01E69356" w14:textId="77777777" w:rsidR="00B14D53" w:rsidRDefault="00000000">
            <w:pPr>
              <w:jc w:val="center"/>
              <w:rPr>
                <w:szCs w:val="21"/>
              </w:rPr>
            </w:pPr>
            <w:r>
              <w:rPr>
                <w:szCs w:val="21"/>
              </w:rPr>
              <w:t>1600</w:t>
            </w:r>
          </w:p>
        </w:tc>
        <w:tc>
          <w:tcPr>
            <w:tcW w:w="1843" w:type="dxa"/>
            <w:vAlign w:val="center"/>
          </w:tcPr>
          <w:p w14:paraId="05AEFB40" w14:textId="77777777" w:rsidR="00B14D53" w:rsidRDefault="00000000">
            <w:pPr>
              <w:jc w:val="center"/>
              <w:rPr>
                <w:szCs w:val="21"/>
              </w:rPr>
            </w:pPr>
            <w:r>
              <w:rPr>
                <w:rFonts w:hint="eastAsia"/>
                <w:szCs w:val="21"/>
              </w:rPr>
              <w:t>2.7374</w:t>
            </w:r>
          </w:p>
        </w:tc>
        <w:tc>
          <w:tcPr>
            <w:tcW w:w="1559" w:type="dxa"/>
            <w:vAlign w:val="center"/>
          </w:tcPr>
          <w:p w14:paraId="24E971CA" w14:textId="77777777" w:rsidR="00B14D53" w:rsidRDefault="00000000">
            <w:pPr>
              <w:jc w:val="center"/>
              <w:rPr>
                <w:szCs w:val="21"/>
              </w:rPr>
            </w:pPr>
            <w:r>
              <w:rPr>
                <w:rFonts w:hint="eastAsia"/>
                <w:szCs w:val="21"/>
              </w:rPr>
              <w:t>1.3687</w:t>
            </w:r>
          </w:p>
        </w:tc>
        <w:tc>
          <w:tcPr>
            <w:tcW w:w="1843" w:type="dxa"/>
            <w:vAlign w:val="center"/>
          </w:tcPr>
          <w:p w14:paraId="2ABF0AF2" w14:textId="77777777" w:rsidR="00B14D53" w:rsidRDefault="00000000">
            <w:pPr>
              <w:jc w:val="center"/>
              <w:rPr>
                <w:szCs w:val="21"/>
              </w:rPr>
            </w:pPr>
            <w:r>
              <w:rPr>
                <w:rFonts w:hint="eastAsia"/>
                <w:szCs w:val="21"/>
              </w:rPr>
              <w:t>0.1369</w:t>
            </w:r>
          </w:p>
        </w:tc>
        <w:tc>
          <w:tcPr>
            <w:tcW w:w="1442" w:type="dxa"/>
            <w:vAlign w:val="center"/>
          </w:tcPr>
          <w:p w14:paraId="7E13B5D2" w14:textId="77777777" w:rsidR="00B14D53" w:rsidRDefault="00000000">
            <w:pPr>
              <w:jc w:val="center"/>
              <w:rPr>
                <w:szCs w:val="21"/>
              </w:rPr>
            </w:pPr>
            <w:r>
              <w:rPr>
                <w:rFonts w:hint="eastAsia"/>
                <w:szCs w:val="21"/>
              </w:rPr>
              <w:t>1.3687</w:t>
            </w:r>
          </w:p>
        </w:tc>
      </w:tr>
      <w:tr w:rsidR="00B14D53" w14:paraId="1DD19862" w14:textId="77777777">
        <w:trPr>
          <w:trHeight w:val="248"/>
          <w:jc w:val="center"/>
        </w:trPr>
        <w:tc>
          <w:tcPr>
            <w:tcW w:w="1784" w:type="dxa"/>
            <w:vAlign w:val="center"/>
          </w:tcPr>
          <w:p w14:paraId="2A74C9EF" w14:textId="77777777" w:rsidR="00B14D53" w:rsidRDefault="00000000">
            <w:pPr>
              <w:jc w:val="center"/>
              <w:rPr>
                <w:szCs w:val="21"/>
              </w:rPr>
            </w:pPr>
            <w:r>
              <w:rPr>
                <w:szCs w:val="21"/>
              </w:rPr>
              <w:t>2000</w:t>
            </w:r>
          </w:p>
        </w:tc>
        <w:tc>
          <w:tcPr>
            <w:tcW w:w="1843" w:type="dxa"/>
            <w:vAlign w:val="center"/>
          </w:tcPr>
          <w:p w14:paraId="5D73AF70" w14:textId="77777777" w:rsidR="00B14D53" w:rsidRDefault="00000000">
            <w:pPr>
              <w:jc w:val="center"/>
              <w:rPr>
                <w:szCs w:val="21"/>
              </w:rPr>
            </w:pPr>
            <w:r>
              <w:rPr>
                <w:rFonts w:hint="eastAsia"/>
                <w:szCs w:val="21"/>
              </w:rPr>
              <w:t>0.2550</w:t>
            </w:r>
          </w:p>
        </w:tc>
        <w:tc>
          <w:tcPr>
            <w:tcW w:w="1559" w:type="dxa"/>
            <w:vAlign w:val="center"/>
          </w:tcPr>
          <w:p w14:paraId="3A1E3ED1" w14:textId="77777777" w:rsidR="00B14D53" w:rsidRDefault="00000000">
            <w:pPr>
              <w:jc w:val="center"/>
              <w:rPr>
                <w:szCs w:val="21"/>
              </w:rPr>
            </w:pPr>
            <w:r>
              <w:rPr>
                <w:rFonts w:hint="eastAsia"/>
                <w:szCs w:val="21"/>
              </w:rPr>
              <w:t>0.1275</w:t>
            </w:r>
          </w:p>
        </w:tc>
        <w:tc>
          <w:tcPr>
            <w:tcW w:w="1843" w:type="dxa"/>
            <w:vAlign w:val="center"/>
          </w:tcPr>
          <w:p w14:paraId="355CBDAE" w14:textId="77777777" w:rsidR="00B14D53" w:rsidRDefault="00000000">
            <w:pPr>
              <w:jc w:val="center"/>
              <w:rPr>
                <w:szCs w:val="21"/>
              </w:rPr>
            </w:pPr>
            <w:r>
              <w:rPr>
                <w:rFonts w:hint="eastAsia"/>
                <w:szCs w:val="21"/>
              </w:rPr>
              <w:t>0.0128</w:t>
            </w:r>
          </w:p>
        </w:tc>
        <w:tc>
          <w:tcPr>
            <w:tcW w:w="1442" w:type="dxa"/>
            <w:vAlign w:val="center"/>
          </w:tcPr>
          <w:p w14:paraId="41E58950" w14:textId="77777777" w:rsidR="00B14D53" w:rsidRDefault="00000000">
            <w:pPr>
              <w:jc w:val="center"/>
              <w:rPr>
                <w:szCs w:val="21"/>
              </w:rPr>
            </w:pPr>
            <w:r>
              <w:rPr>
                <w:rFonts w:hint="eastAsia"/>
                <w:szCs w:val="21"/>
              </w:rPr>
              <w:t>0.1275</w:t>
            </w:r>
          </w:p>
        </w:tc>
      </w:tr>
      <w:tr w:rsidR="00B14D53" w14:paraId="5E2AAA8B" w14:textId="77777777">
        <w:trPr>
          <w:trHeight w:val="138"/>
          <w:jc w:val="center"/>
        </w:trPr>
        <w:tc>
          <w:tcPr>
            <w:tcW w:w="1784" w:type="dxa"/>
            <w:vAlign w:val="center"/>
          </w:tcPr>
          <w:p w14:paraId="0CCFA4AC" w14:textId="77777777" w:rsidR="00B14D53" w:rsidRDefault="00000000">
            <w:pPr>
              <w:jc w:val="center"/>
              <w:rPr>
                <w:szCs w:val="21"/>
              </w:rPr>
            </w:pPr>
            <w:r>
              <w:rPr>
                <w:szCs w:val="21"/>
              </w:rPr>
              <w:t>2500</w:t>
            </w:r>
          </w:p>
        </w:tc>
        <w:tc>
          <w:tcPr>
            <w:tcW w:w="1843" w:type="dxa"/>
            <w:vAlign w:val="center"/>
          </w:tcPr>
          <w:p w14:paraId="14ED0F63" w14:textId="77777777" w:rsidR="00B14D53" w:rsidRDefault="00000000">
            <w:pPr>
              <w:jc w:val="center"/>
              <w:rPr>
                <w:szCs w:val="21"/>
              </w:rPr>
            </w:pPr>
            <w:r>
              <w:rPr>
                <w:rFonts w:hint="eastAsia"/>
                <w:szCs w:val="21"/>
              </w:rPr>
              <w:t>0.2116</w:t>
            </w:r>
          </w:p>
        </w:tc>
        <w:tc>
          <w:tcPr>
            <w:tcW w:w="1559" w:type="dxa"/>
            <w:vAlign w:val="center"/>
          </w:tcPr>
          <w:p w14:paraId="65740594" w14:textId="77777777" w:rsidR="00B14D53" w:rsidRDefault="00000000">
            <w:pPr>
              <w:jc w:val="center"/>
              <w:rPr>
                <w:szCs w:val="21"/>
              </w:rPr>
            </w:pPr>
            <w:r>
              <w:rPr>
                <w:rFonts w:hint="eastAsia"/>
                <w:szCs w:val="21"/>
              </w:rPr>
              <w:t>0.1058</w:t>
            </w:r>
          </w:p>
        </w:tc>
        <w:tc>
          <w:tcPr>
            <w:tcW w:w="1843" w:type="dxa"/>
            <w:vAlign w:val="center"/>
          </w:tcPr>
          <w:p w14:paraId="2F06FCF2" w14:textId="77777777" w:rsidR="00B14D53" w:rsidRDefault="00000000">
            <w:pPr>
              <w:jc w:val="center"/>
              <w:rPr>
                <w:szCs w:val="21"/>
              </w:rPr>
            </w:pPr>
            <w:r>
              <w:rPr>
                <w:rFonts w:hint="eastAsia"/>
                <w:szCs w:val="21"/>
              </w:rPr>
              <w:t>0.0106</w:t>
            </w:r>
          </w:p>
        </w:tc>
        <w:tc>
          <w:tcPr>
            <w:tcW w:w="1442" w:type="dxa"/>
            <w:vAlign w:val="center"/>
          </w:tcPr>
          <w:p w14:paraId="3A22A542" w14:textId="77777777" w:rsidR="00B14D53" w:rsidRDefault="00000000">
            <w:pPr>
              <w:jc w:val="center"/>
              <w:rPr>
                <w:szCs w:val="21"/>
              </w:rPr>
            </w:pPr>
            <w:r>
              <w:rPr>
                <w:rFonts w:hint="eastAsia"/>
                <w:szCs w:val="21"/>
              </w:rPr>
              <w:t>0.1058</w:t>
            </w:r>
          </w:p>
        </w:tc>
      </w:tr>
      <w:tr w:rsidR="00B14D53" w14:paraId="02FE21DB" w14:textId="77777777">
        <w:trPr>
          <w:trHeight w:val="71"/>
          <w:jc w:val="center"/>
        </w:trPr>
        <w:tc>
          <w:tcPr>
            <w:tcW w:w="1784" w:type="dxa"/>
            <w:vAlign w:val="center"/>
          </w:tcPr>
          <w:p w14:paraId="25DD80F9"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下风向最大浓度</w:t>
            </w:r>
          </w:p>
        </w:tc>
        <w:tc>
          <w:tcPr>
            <w:tcW w:w="1843" w:type="dxa"/>
            <w:vAlign w:val="center"/>
          </w:tcPr>
          <w:p w14:paraId="3DA98834" w14:textId="77777777" w:rsidR="00B14D53" w:rsidRDefault="00000000">
            <w:pPr>
              <w:jc w:val="center"/>
              <w:rPr>
                <w:szCs w:val="21"/>
              </w:rPr>
            </w:pPr>
            <w:r>
              <w:rPr>
                <w:rFonts w:hint="eastAsia"/>
                <w:szCs w:val="21"/>
              </w:rPr>
              <w:t>3.9672</w:t>
            </w:r>
          </w:p>
        </w:tc>
        <w:tc>
          <w:tcPr>
            <w:tcW w:w="1559" w:type="dxa"/>
            <w:vAlign w:val="center"/>
          </w:tcPr>
          <w:p w14:paraId="2BDB1220" w14:textId="77777777" w:rsidR="00B14D53" w:rsidRDefault="00000000">
            <w:pPr>
              <w:jc w:val="center"/>
              <w:rPr>
                <w:szCs w:val="21"/>
              </w:rPr>
            </w:pPr>
            <w:r>
              <w:rPr>
                <w:rFonts w:hint="eastAsia"/>
                <w:szCs w:val="21"/>
              </w:rPr>
              <w:t>1.9836</w:t>
            </w:r>
          </w:p>
        </w:tc>
        <w:tc>
          <w:tcPr>
            <w:tcW w:w="1843" w:type="dxa"/>
            <w:vAlign w:val="center"/>
          </w:tcPr>
          <w:p w14:paraId="0E532A4C" w14:textId="77777777" w:rsidR="00B14D53" w:rsidRDefault="00000000">
            <w:pPr>
              <w:jc w:val="center"/>
              <w:rPr>
                <w:szCs w:val="21"/>
              </w:rPr>
            </w:pPr>
            <w:r>
              <w:rPr>
                <w:rFonts w:hint="eastAsia"/>
                <w:szCs w:val="21"/>
              </w:rPr>
              <w:t>0.1984</w:t>
            </w:r>
          </w:p>
        </w:tc>
        <w:tc>
          <w:tcPr>
            <w:tcW w:w="1442" w:type="dxa"/>
            <w:vAlign w:val="center"/>
          </w:tcPr>
          <w:p w14:paraId="278A62D4" w14:textId="77777777" w:rsidR="00B14D53" w:rsidRDefault="00000000">
            <w:pPr>
              <w:jc w:val="center"/>
              <w:rPr>
                <w:szCs w:val="21"/>
              </w:rPr>
            </w:pPr>
            <w:r>
              <w:rPr>
                <w:rFonts w:hint="eastAsia"/>
                <w:szCs w:val="21"/>
              </w:rPr>
              <w:t>1.9836</w:t>
            </w:r>
          </w:p>
        </w:tc>
      </w:tr>
      <w:tr w:rsidR="00B14D53" w14:paraId="2D8C58A2" w14:textId="77777777">
        <w:trPr>
          <w:trHeight w:val="56"/>
          <w:jc w:val="center"/>
        </w:trPr>
        <w:tc>
          <w:tcPr>
            <w:tcW w:w="1784" w:type="dxa"/>
            <w:vAlign w:val="center"/>
          </w:tcPr>
          <w:p w14:paraId="6A6582EE"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下风向最大浓度出现距离</w:t>
            </w:r>
          </w:p>
        </w:tc>
        <w:tc>
          <w:tcPr>
            <w:tcW w:w="6687" w:type="dxa"/>
            <w:gridSpan w:val="4"/>
            <w:vAlign w:val="center"/>
          </w:tcPr>
          <w:p w14:paraId="535CE364" w14:textId="77777777" w:rsidR="00B14D53" w:rsidRDefault="00000000">
            <w:pPr>
              <w:jc w:val="center"/>
              <w:rPr>
                <w:szCs w:val="21"/>
              </w:rPr>
            </w:pPr>
            <w:r>
              <w:rPr>
                <w:rFonts w:hint="eastAsia"/>
                <w:szCs w:val="21"/>
              </w:rPr>
              <w:t>12m</w:t>
            </w:r>
          </w:p>
        </w:tc>
      </w:tr>
    </w:tbl>
    <w:p w14:paraId="7C310881" w14:textId="77777777" w:rsidR="00B14D53" w:rsidRDefault="00000000">
      <w:pPr>
        <w:jc w:val="center"/>
        <w:rPr>
          <w:b/>
          <w:bCs/>
        </w:rPr>
      </w:pPr>
      <w:r>
        <w:rPr>
          <w:rFonts w:hint="eastAsia"/>
          <w:b/>
          <w:bCs/>
        </w:rPr>
        <w:t>表</w:t>
      </w:r>
      <w:r>
        <w:rPr>
          <w:rFonts w:hint="eastAsia"/>
          <w:b/>
          <w:bCs/>
        </w:rPr>
        <w:t xml:space="preserve">5-2-10 </w:t>
      </w:r>
      <w:r>
        <w:rPr>
          <w:rFonts w:hint="eastAsia"/>
          <w:b/>
          <w:bCs/>
        </w:rPr>
        <w:t>无组织排放估算模式的计算结果（</w:t>
      </w:r>
      <w:r>
        <w:rPr>
          <w:rFonts w:hint="eastAsia"/>
          <w:b/>
          <w:bCs/>
        </w:rPr>
        <w:t>2#</w:t>
      </w:r>
      <w:r>
        <w:rPr>
          <w:rFonts w:hint="eastAsia"/>
          <w:b/>
          <w:bCs/>
        </w:rPr>
        <w:t>待宰圈）</w:t>
      </w:r>
    </w:p>
    <w:tbl>
      <w:tblPr>
        <w:tblW w:w="8471"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84"/>
        <w:gridCol w:w="1843"/>
        <w:gridCol w:w="1559"/>
        <w:gridCol w:w="1843"/>
        <w:gridCol w:w="1442"/>
      </w:tblGrid>
      <w:tr w:rsidR="00B14D53" w14:paraId="7BF21300" w14:textId="77777777">
        <w:trPr>
          <w:trHeight w:val="276"/>
          <w:jc w:val="center"/>
        </w:trPr>
        <w:tc>
          <w:tcPr>
            <w:tcW w:w="1784" w:type="dxa"/>
            <w:vMerge w:val="restart"/>
            <w:vAlign w:val="center"/>
          </w:tcPr>
          <w:p w14:paraId="00202BE9"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距离（</w:t>
            </w:r>
            <w:r>
              <w:rPr>
                <w:rFonts w:ascii="Times New Roman" w:hAnsi="Times New Roman" w:cs="Times New Roman"/>
                <w:b/>
                <w:bCs/>
                <w:sz w:val="21"/>
                <w:szCs w:val="21"/>
              </w:rPr>
              <w:t>m</w:t>
            </w:r>
            <w:r>
              <w:rPr>
                <w:rFonts w:ascii="Times New Roman" w:hAnsi="Times New Roman" w:cs="Times New Roman"/>
                <w:b/>
                <w:bCs/>
                <w:sz w:val="21"/>
                <w:szCs w:val="21"/>
              </w:rPr>
              <w:t>）</w:t>
            </w:r>
          </w:p>
        </w:tc>
        <w:tc>
          <w:tcPr>
            <w:tcW w:w="6687" w:type="dxa"/>
            <w:gridSpan w:val="4"/>
            <w:vAlign w:val="center"/>
          </w:tcPr>
          <w:p w14:paraId="6D41449C"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hint="eastAsia"/>
                <w:b/>
                <w:bCs/>
                <w:sz w:val="21"/>
                <w:szCs w:val="21"/>
              </w:rPr>
              <w:t>待宰圈</w:t>
            </w:r>
            <w:r>
              <w:rPr>
                <w:rFonts w:ascii="Times New Roman" w:hAnsi="Times New Roman" w:cs="Times New Roman"/>
                <w:b/>
                <w:bCs/>
                <w:sz w:val="21"/>
                <w:szCs w:val="21"/>
              </w:rPr>
              <w:t>无组织面源</w:t>
            </w:r>
          </w:p>
        </w:tc>
      </w:tr>
      <w:tr w:rsidR="00B14D53" w14:paraId="052B022C" w14:textId="77777777">
        <w:trPr>
          <w:trHeight w:val="146"/>
          <w:jc w:val="center"/>
        </w:trPr>
        <w:tc>
          <w:tcPr>
            <w:tcW w:w="1784" w:type="dxa"/>
            <w:vMerge/>
            <w:vAlign w:val="center"/>
          </w:tcPr>
          <w:p w14:paraId="10CFD8AB" w14:textId="77777777" w:rsidR="00B14D53" w:rsidRDefault="00B14D53">
            <w:pPr>
              <w:pStyle w:val="afff"/>
              <w:adjustRightInd/>
              <w:snapToGrid/>
              <w:spacing w:line="240" w:lineRule="auto"/>
              <w:ind w:firstLineChars="0" w:firstLine="0"/>
              <w:contextualSpacing/>
              <w:jc w:val="center"/>
              <w:rPr>
                <w:rFonts w:ascii="Times New Roman" w:hAnsi="Times New Roman" w:cs="Times New Roman"/>
                <w:b/>
                <w:bCs/>
                <w:sz w:val="21"/>
                <w:szCs w:val="21"/>
              </w:rPr>
            </w:pPr>
          </w:p>
        </w:tc>
        <w:tc>
          <w:tcPr>
            <w:tcW w:w="3402" w:type="dxa"/>
            <w:gridSpan w:val="2"/>
            <w:vAlign w:val="center"/>
          </w:tcPr>
          <w:p w14:paraId="10B7E0BB"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NH</w:t>
            </w:r>
            <w:r>
              <w:rPr>
                <w:rFonts w:ascii="Times New Roman" w:hAnsi="Times New Roman" w:cs="Times New Roman"/>
                <w:b/>
                <w:bCs/>
                <w:sz w:val="21"/>
                <w:szCs w:val="21"/>
                <w:vertAlign w:val="subscript"/>
              </w:rPr>
              <w:t>3</w:t>
            </w:r>
          </w:p>
        </w:tc>
        <w:tc>
          <w:tcPr>
            <w:tcW w:w="3285" w:type="dxa"/>
            <w:gridSpan w:val="2"/>
            <w:vAlign w:val="center"/>
          </w:tcPr>
          <w:p w14:paraId="793519C8"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H</w:t>
            </w:r>
            <w:r>
              <w:rPr>
                <w:rFonts w:ascii="Times New Roman" w:hAnsi="Times New Roman" w:cs="Times New Roman"/>
                <w:b/>
                <w:bCs/>
                <w:sz w:val="21"/>
                <w:szCs w:val="21"/>
                <w:vertAlign w:val="subscript"/>
              </w:rPr>
              <w:t>2</w:t>
            </w:r>
            <w:r>
              <w:rPr>
                <w:rFonts w:ascii="Times New Roman" w:hAnsi="Times New Roman" w:cs="Times New Roman"/>
                <w:b/>
                <w:bCs/>
                <w:sz w:val="21"/>
                <w:szCs w:val="21"/>
              </w:rPr>
              <w:t>S</w:t>
            </w:r>
          </w:p>
        </w:tc>
      </w:tr>
      <w:tr w:rsidR="00B14D53" w14:paraId="73574D9D" w14:textId="77777777">
        <w:trPr>
          <w:trHeight w:val="146"/>
          <w:jc w:val="center"/>
        </w:trPr>
        <w:tc>
          <w:tcPr>
            <w:tcW w:w="1784" w:type="dxa"/>
            <w:vMerge/>
            <w:vAlign w:val="center"/>
          </w:tcPr>
          <w:p w14:paraId="5DFF16D8" w14:textId="77777777" w:rsidR="00B14D53" w:rsidRDefault="00B14D53">
            <w:pPr>
              <w:pStyle w:val="afff"/>
              <w:adjustRightInd/>
              <w:snapToGrid/>
              <w:spacing w:line="240" w:lineRule="auto"/>
              <w:ind w:firstLineChars="0" w:firstLine="0"/>
              <w:contextualSpacing/>
              <w:jc w:val="center"/>
              <w:rPr>
                <w:rFonts w:ascii="Times New Roman" w:hAnsi="Times New Roman" w:cs="Times New Roman"/>
                <w:b/>
                <w:bCs/>
                <w:sz w:val="21"/>
                <w:szCs w:val="21"/>
              </w:rPr>
            </w:pPr>
          </w:p>
        </w:tc>
        <w:tc>
          <w:tcPr>
            <w:tcW w:w="1843" w:type="dxa"/>
            <w:vAlign w:val="center"/>
          </w:tcPr>
          <w:p w14:paraId="1E1C338A" w14:textId="77777777" w:rsidR="00B14D53" w:rsidRDefault="00000000">
            <w:pPr>
              <w:contextualSpacing/>
              <w:jc w:val="center"/>
              <w:rPr>
                <w:rFonts w:eastAsiaTheme="minorEastAsia"/>
                <w:b/>
                <w:bCs/>
                <w:szCs w:val="21"/>
              </w:rPr>
            </w:pPr>
            <w:r>
              <w:rPr>
                <w:rFonts w:eastAsiaTheme="minorEastAsia"/>
                <w:b/>
                <w:bCs/>
                <w:kern w:val="0"/>
                <w:szCs w:val="21"/>
              </w:rPr>
              <w:t>预测质量浓度</w:t>
            </w:r>
            <w:r>
              <w:rPr>
                <w:rFonts w:eastAsiaTheme="minorEastAsia"/>
                <w:b/>
                <w:bCs/>
                <w:kern w:val="0"/>
                <w:szCs w:val="21"/>
              </w:rPr>
              <w:t>/(μg/m</w:t>
            </w:r>
            <w:r>
              <w:rPr>
                <w:rFonts w:eastAsiaTheme="minorEastAsia"/>
                <w:b/>
                <w:bCs/>
                <w:kern w:val="0"/>
                <w:szCs w:val="21"/>
                <w:vertAlign w:val="superscript"/>
              </w:rPr>
              <w:t>3</w:t>
            </w:r>
            <w:r>
              <w:rPr>
                <w:rFonts w:eastAsiaTheme="minorEastAsia"/>
                <w:b/>
                <w:bCs/>
                <w:kern w:val="0"/>
                <w:szCs w:val="21"/>
              </w:rPr>
              <w:t>)</w:t>
            </w:r>
          </w:p>
        </w:tc>
        <w:tc>
          <w:tcPr>
            <w:tcW w:w="1559" w:type="dxa"/>
            <w:vAlign w:val="center"/>
          </w:tcPr>
          <w:p w14:paraId="3AF1EB28" w14:textId="77777777" w:rsidR="00B14D53" w:rsidRDefault="00000000">
            <w:pPr>
              <w:contextualSpacing/>
              <w:jc w:val="center"/>
              <w:rPr>
                <w:rFonts w:eastAsiaTheme="minorEastAsia"/>
                <w:b/>
                <w:bCs/>
                <w:szCs w:val="21"/>
              </w:rPr>
            </w:pPr>
            <w:r>
              <w:rPr>
                <w:rFonts w:eastAsiaTheme="minorEastAsia"/>
                <w:b/>
                <w:bCs/>
                <w:szCs w:val="21"/>
              </w:rPr>
              <w:t>占标率</w:t>
            </w:r>
            <w:r>
              <w:rPr>
                <w:rFonts w:eastAsiaTheme="minorEastAsia"/>
                <w:b/>
                <w:bCs/>
                <w:szCs w:val="21"/>
              </w:rPr>
              <w:t>%</w:t>
            </w:r>
          </w:p>
        </w:tc>
        <w:tc>
          <w:tcPr>
            <w:tcW w:w="1843" w:type="dxa"/>
            <w:vAlign w:val="center"/>
          </w:tcPr>
          <w:p w14:paraId="6DD735F2" w14:textId="77777777" w:rsidR="00B14D53" w:rsidRDefault="00000000">
            <w:pPr>
              <w:contextualSpacing/>
              <w:jc w:val="center"/>
              <w:rPr>
                <w:rFonts w:eastAsiaTheme="minorEastAsia"/>
                <w:b/>
                <w:bCs/>
                <w:szCs w:val="21"/>
              </w:rPr>
            </w:pPr>
            <w:r>
              <w:rPr>
                <w:rFonts w:eastAsiaTheme="minorEastAsia"/>
                <w:b/>
                <w:bCs/>
                <w:kern w:val="0"/>
                <w:szCs w:val="21"/>
              </w:rPr>
              <w:t>预测质量浓度</w:t>
            </w:r>
            <w:r>
              <w:rPr>
                <w:rFonts w:eastAsiaTheme="minorEastAsia"/>
                <w:b/>
                <w:bCs/>
                <w:kern w:val="0"/>
                <w:szCs w:val="21"/>
              </w:rPr>
              <w:t>/(μg/m</w:t>
            </w:r>
            <w:r>
              <w:rPr>
                <w:rFonts w:eastAsiaTheme="minorEastAsia"/>
                <w:b/>
                <w:bCs/>
                <w:kern w:val="0"/>
                <w:szCs w:val="21"/>
                <w:vertAlign w:val="superscript"/>
              </w:rPr>
              <w:t>3</w:t>
            </w:r>
            <w:r>
              <w:rPr>
                <w:rFonts w:eastAsiaTheme="minorEastAsia"/>
                <w:b/>
                <w:bCs/>
                <w:kern w:val="0"/>
                <w:szCs w:val="21"/>
              </w:rPr>
              <w:t>)</w:t>
            </w:r>
          </w:p>
        </w:tc>
        <w:tc>
          <w:tcPr>
            <w:tcW w:w="1442" w:type="dxa"/>
            <w:vAlign w:val="center"/>
          </w:tcPr>
          <w:p w14:paraId="743D6BA3" w14:textId="77777777" w:rsidR="00B14D53" w:rsidRDefault="00000000">
            <w:pPr>
              <w:tabs>
                <w:tab w:val="left" w:pos="420"/>
              </w:tabs>
              <w:autoSpaceDE w:val="0"/>
              <w:autoSpaceDN w:val="0"/>
              <w:contextualSpacing/>
              <w:jc w:val="center"/>
              <w:rPr>
                <w:rFonts w:eastAsiaTheme="minorEastAsia"/>
                <w:b/>
                <w:bCs/>
                <w:kern w:val="0"/>
                <w:szCs w:val="21"/>
              </w:rPr>
            </w:pPr>
            <w:r>
              <w:rPr>
                <w:rFonts w:eastAsiaTheme="minorEastAsia"/>
                <w:b/>
                <w:bCs/>
                <w:kern w:val="0"/>
                <w:szCs w:val="21"/>
              </w:rPr>
              <w:t>占标率</w:t>
            </w:r>
            <w:r>
              <w:rPr>
                <w:rFonts w:eastAsiaTheme="minorEastAsia"/>
                <w:b/>
                <w:bCs/>
                <w:kern w:val="0"/>
                <w:szCs w:val="21"/>
              </w:rPr>
              <w:t>/(%)</w:t>
            </w:r>
          </w:p>
        </w:tc>
      </w:tr>
      <w:tr w:rsidR="00B14D53" w14:paraId="58AC9B62" w14:textId="77777777">
        <w:trPr>
          <w:trHeight w:val="64"/>
          <w:jc w:val="center"/>
        </w:trPr>
        <w:tc>
          <w:tcPr>
            <w:tcW w:w="1784" w:type="dxa"/>
            <w:vAlign w:val="center"/>
          </w:tcPr>
          <w:p w14:paraId="7749748C"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50</w:t>
            </w:r>
          </w:p>
        </w:tc>
        <w:tc>
          <w:tcPr>
            <w:tcW w:w="1843" w:type="dxa"/>
            <w:vAlign w:val="center"/>
          </w:tcPr>
          <w:p w14:paraId="58090A15" w14:textId="77777777" w:rsidR="00B14D53" w:rsidRDefault="00000000">
            <w:pPr>
              <w:contextualSpacing/>
              <w:jc w:val="center"/>
              <w:rPr>
                <w:rFonts w:eastAsiaTheme="minorEastAsia"/>
                <w:szCs w:val="21"/>
              </w:rPr>
            </w:pPr>
            <w:r>
              <w:rPr>
                <w:rFonts w:eastAsiaTheme="minorEastAsia" w:hint="eastAsia"/>
                <w:szCs w:val="21"/>
              </w:rPr>
              <w:t>6.3018</w:t>
            </w:r>
          </w:p>
        </w:tc>
        <w:tc>
          <w:tcPr>
            <w:tcW w:w="1559" w:type="dxa"/>
            <w:vAlign w:val="center"/>
          </w:tcPr>
          <w:p w14:paraId="6DD49EC5" w14:textId="77777777" w:rsidR="00B14D53" w:rsidRDefault="00000000">
            <w:pPr>
              <w:contextualSpacing/>
              <w:jc w:val="center"/>
              <w:rPr>
                <w:rFonts w:eastAsiaTheme="minorEastAsia"/>
                <w:szCs w:val="21"/>
              </w:rPr>
            </w:pPr>
            <w:r>
              <w:rPr>
                <w:rFonts w:eastAsiaTheme="minorEastAsia" w:hint="eastAsia"/>
                <w:szCs w:val="21"/>
              </w:rPr>
              <w:t>3.1509</w:t>
            </w:r>
          </w:p>
        </w:tc>
        <w:tc>
          <w:tcPr>
            <w:tcW w:w="1843" w:type="dxa"/>
            <w:vAlign w:val="center"/>
          </w:tcPr>
          <w:p w14:paraId="10DBCEED" w14:textId="77777777" w:rsidR="00B14D53" w:rsidRDefault="00000000">
            <w:pPr>
              <w:contextualSpacing/>
              <w:jc w:val="center"/>
              <w:rPr>
                <w:rFonts w:eastAsiaTheme="minorEastAsia"/>
                <w:szCs w:val="21"/>
              </w:rPr>
            </w:pPr>
            <w:r>
              <w:rPr>
                <w:rFonts w:eastAsiaTheme="minorEastAsia" w:hint="eastAsia"/>
                <w:szCs w:val="21"/>
              </w:rPr>
              <w:t>0.3151</w:t>
            </w:r>
          </w:p>
        </w:tc>
        <w:tc>
          <w:tcPr>
            <w:tcW w:w="1442" w:type="dxa"/>
            <w:vAlign w:val="center"/>
          </w:tcPr>
          <w:p w14:paraId="5B9E082D" w14:textId="77777777" w:rsidR="00B14D53" w:rsidRDefault="00000000">
            <w:pPr>
              <w:contextualSpacing/>
              <w:jc w:val="center"/>
              <w:rPr>
                <w:rFonts w:eastAsiaTheme="minorEastAsia"/>
                <w:szCs w:val="21"/>
              </w:rPr>
            </w:pPr>
            <w:r>
              <w:rPr>
                <w:rFonts w:eastAsiaTheme="minorEastAsia" w:hint="eastAsia"/>
                <w:szCs w:val="21"/>
              </w:rPr>
              <w:t>3.1509</w:t>
            </w:r>
          </w:p>
        </w:tc>
      </w:tr>
      <w:tr w:rsidR="00B14D53" w14:paraId="5C2F0513" w14:textId="77777777">
        <w:trPr>
          <w:trHeight w:val="78"/>
          <w:jc w:val="center"/>
        </w:trPr>
        <w:tc>
          <w:tcPr>
            <w:tcW w:w="1784" w:type="dxa"/>
            <w:vAlign w:val="center"/>
          </w:tcPr>
          <w:p w14:paraId="70D1F429"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100</w:t>
            </w:r>
          </w:p>
        </w:tc>
        <w:tc>
          <w:tcPr>
            <w:tcW w:w="1843" w:type="dxa"/>
            <w:vAlign w:val="center"/>
          </w:tcPr>
          <w:p w14:paraId="4190C8DF" w14:textId="77777777" w:rsidR="00B14D53" w:rsidRDefault="00000000">
            <w:pPr>
              <w:contextualSpacing/>
              <w:jc w:val="center"/>
              <w:rPr>
                <w:rFonts w:eastAsiaTheme="minorEastAsia"/>
                <w:szCs w:val="21"/>
              </w:rPr>
            </w:pPr>
            <w:r>
              <w:rPr>
                <w:rFonts w:eastAsiaTheme="minorEastAsia" w:hint="eastAsia"/>
                <w:szCs w:val="21"/>
              </w:rPr>
              <w:t>4.3123</w:t>
            </w:r>
          </w:p>
        </w:tc>
        <w:tc>
          <w:tcPr>
            <w:tcW w:w="1559" w:type="dxa"/>
            <w:vAlign w:val="center"/>
          </w:tcPr>
          <w:p w14:paraId="6A76F624" w14:textId="77777777" w:rsidR="00B14D53" w:rsidRDefault="00000000">
            <w:pPr>
              <w:contextualSpacing/>
              <w:jc w:val="center"/>
              <w:rPr>
                <w:rFonts w:eastAsiaTheme="minorEastAsia"/>
                <w:szCs w:val="21"/>
              </w:rPr>
            </w:pPr>
            <w:r>
              <w:rPr>
                <w:rFonts w:eastAsiaTheme="minorEastAsia" w:hint="eastAsia"/>
                <w:szCs w:val="21"/>
              </w:rPr>
              <w:t>2.1561</w:t>
            </w:r>
          </w:p>
        </w:tc>
        <w:tc>
          <w:tcPr>
            <w:tcW w:w="1843" w:type="dxa"/>
            <w:vAlign w:val="center"/>
          </w:tcPr>
          <w:p w14:paraId="70CDA8D4" w14:textId="77777777" w:rsidR="00B14D53" w:rsidRDefault="00000000">
            <w:pPr>
              <w:contextualSpacing/>
              <w:jc w:val="center"/>
              <w:rPr>
                <w:rFonts w:eastAsiaTheme="minorEastAsia"/>
                <w:szCs w:val="21"/>
              </w:rPr>
            </w:pPr>
            <w:r>
              <w:rPr>
                <w:rFonts w:eastAsiaTheme="minorEastAsia" w:hint="eastAsia"/>
                <w:szCs w:val="21"/>
              </w:rPr>
              <w:t>0.2156</w:t>
            </w:r>
          </w:p>
        </w:tc>
        <w:tc>
          <w:tcPr>
            <w:tcW w:w="1442" w:type="dxa"/>
            <w:vAlign w:val="center"/>
          </w:tcPr>
          <w:p w14:paraId="1CD2C07C" w14:textId="77777777" w:rsidR="00B14D53" w:rsidRDefault="00000000">
            <w:pPr>
              <w:contextualSpacing/>
              <w:jc w:val="center"/>
              <w:rPr>
                <w:rFonts w:eastAsiaTheme="minorEastAsia"/>
                <w:szCs w:val="21"/>
              </w:rPr>
            </w:pPr>
            <w:r>
              <w:rPr>
                <w:rFonts w:eastAsiaTheme="minorEastAsia" w:hint="eastAsia"/>
                <w:szCs w:val="21"/>
              </w:rPr>
              <w:t>2.1561</w:t>
            </w:r>
          </w:p>
        </w:tc>
      </w:tr>
      <w:tr w:rsidR="00B14D53" w14:paraId="7B3B363A" w14:textId="77777777">
        <w:trPr>
          <w:trHeight w:val="234"/>
          <w:jc w:val="center"/>
        </w:trPr>
        <w:tc>
          <w:tcPr>
            <w:tcW w:w="1784" w:type="dxa"/>
            <w:vAlign w:val="center"/>
          </w:tcPr>
          <w:p w14:paraId="12E2944E"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200</w:t>
            </w:r>
          </w:p>
        </w:tc>
        <w:tc>
          <w:tcPr>
            <w:tcW w:w="1843" w:type="dxa"/>
            <w:vAlign w:val="center"/>
          </w:tcPr>
          <w:p w14:paraId="1960251E" w14:textId="77777777" w:rsidR="00B14D53" w:rsidRDefault="00000000">
            <w:pPr>
              <w:contextualSpacing/>
              <w:jc w:val="center"/>
              <w:rPr>
                <w:rFonts w:eastAsiaTheme="minorEastAsia"/>
                <w:szCs w:val="21"/>
              </w:rPr>
            </w:pPr>
            <w:r>
              <w:rPr>
                <w:rFonts w:eastAsiaTheme="minorEastAsia" w:hint="eastAsia"/>
                <w:szCs w:val="21"/>
              </w:rPr>
              <w:t>2.7483</w:t>
            </w:r>
          </w:p>
        </w:tc>
        <w:tc>
          <w:tcPr>
            <w:tcW w:w="1559" w:type="dxa"/>
            <w:vAlign w:val="center"/>
          </w:tcPr>
          <w:p w14:paraId="187CACE5" w14:textId="77777777" w:rsidR="00B14D53" w:rsidRDefault="00000000">
            <w:pPr>
              <w:contextualSpacing/>
              <w:jc w:val="center"/>
              <w:rPr>
                <w:rFonts w:eastAsiaTheme="minorEastAsia"/>
                <w:szCs w:val="21"/>
              </w:rPr>
            </w:pPr>
            <w:r>
              <w:rPr>
                <w:rFonts w:eastAsiaTheme="minorEastAsia" w:hint="eastAsia"/>
                <w:szCs w:val="21"/>
              </w:rPr>
              <w:t>1.3741</w:t>
            </w:r>
          </w:p>
        </w:tc>
        <w:tc>
          <w:tcPr>
            <w:tcW w:w="1843" w:type="dxa"/>
            <w:vAlign w:val="center"/>
          </w:tcPr>
          <w:p w14:paraId="02017B20" w14:textId="77777777" w:rsidR="00B14D53" w:rsidRDefault="00000000">
            <w:pPr>
              <w:contextualSpacing/>
              <w:jc w:val="center"/>
              <w:rPr>
                <w:rFonts w:eastAsiaTheme="minorEastAsia"/>
                <w:szCs w:val="21"/>
              </w:rPr>
            </w:pPr>
            <w:r>
              <w:rPr>
                <w:rFonts w:eastAsiaTheme="minorEastAsia" w:hint="eastAsia"/>
                <w:szCs w:val="21"/>
              </w:rPr>
              <w:t>0.1374</w:t>
            </w:r>
          </w:p>
        </w:tc>
        <w:tc>
          <w:tcPr>
            <w:tcW w:w="1442" w:type="dxa"/>
            <w:vAlign w:val="center"/>
          </w:tcPr>
          <w:p w14:paraId="0DDD3B5E" w14:textId="77777777" w:rsidR="00B14D53" w:rsidRDefault="00000000">
            <w:pPr>
              <w:contextualSpacing/>
              <w:jc w:val="center"/>
              <w:rPr>
                <w:rFonts w:eastAsiaTheme="minorEastAsia"/>
                <w:szCs w:val="21"/>
              </w:rPr>
            </w:pPr>
            <w:r>
              <w:rPr>
                <w:rFonts w:eastAsiaTheme="minorEastAsia" w:hint="eastAsia"/>
                <w:szCs w:val="21"/>
              </w:rPr>
              <w:t>1.3741</w:t>
            </w:r>
          </w:p>
        </w:tc>
      </w:tr>
      <w:tr w:rsidR="00B14D53" w14:paraId="34689E94" w14:textId="77777777">
        <w:trPr>
          <w:trHeight w:val="248"/>
          <w:jc w:val="center"/>
        </w:trPr>
        <w:tc>
          <w:tcPr>
            <w:tcW w:w="1784" w:type="dxa"/>
            <w:vAlign w:val="center"/>
          </w:tcPr>
          <w:p w14:paraId="299C3EF1"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300</w:t>
            </w:r>
          </w:p>
        </w:tc>
        <w:tc>
          <w:tcPr>
            <w:tcW w:w="1843" w:type="dxa"/>
            <w:vAlign w:val="center"/>
          </w:tcPr>
          <w:p w14:paraId="6A275E5E" w14:textId="77777777" w:rsidR="00B14D53" w:rsidRDefault="00000000">
            <w:pPr>
              <w:contextualSpacing/>
              <w:jc w:val="center"/>
              <w:rPr>
                <w:rFonts w:eastAsiaTheme="minorEastAsia"/>
                <w:szCs w:val="21"/>
              </w:rPr>
            </w:pPr>
            <w:r>
              <w:rPr>
                <w:rFonts w:eastAsiaTheme="minorEastAsia" w:hint="eastAsia"/>
                <w:szCs w:val="21"/>
              </w:rPr>
              <w:t>2.0807</w:t>
            </w:r>
          </w:p>
        </w:tc>
        <w:tc>
          <w:tcPr>
            <w:tcW w:w="1559" w:type="dxa"/>
            <w:vAlign w:val="center"/>
          </w:tcPr>
          <w:p w14:paraId="035C2C8B" w14:textId="77777777" w:rsidR="00B14D53" w:rsidRDefault="00000000">
            <w:pPr>
              <w:contextualSpacing/>
              <w:jc w:val="center"/>
              <w:rPr>
                <w:rFonts w:eastAsiaTheme="minorEastAsia"/>
                <w:szCs w:val="21"/>
              </w:rPr>
            </w:pPr>
            <w:r>
              <w:rPr>
                <w:rFonts w:eastAsiaTheme="minorEastAsia" w:hint="eastAsia"/>
                <w:szCs w:val="21"/>
              </w:rPr>
              <w:t>1.0404</w:t>
            </w:r>
          </w:p>
        </w:tc>
        <w:tc>
          <w:tcPr>
            <w:tcW w:w="1843" w:type="dxa"/>
            <w:vAlign w:val="center"/>
          </w:tcPr>
          <w:p w14:paraId="022595A9" w14:textId="77777777" w:rsidR="00B14D53" w:rsidRDefault="00000000">
            <w:pPr>
              <w:contextualSpacing/>
              <w:jc w:val="center"/>
              <w:rPr>
                <w:rFonts w:eastAsiaTheme="minorEastAsia"/>
                <w:szCs w:val="21"/>
              </w:rPr>
            </w:pPr>
            <w:r>
              <w:rPr>
                <w:rFonts w:eastAsiaTheme="minorEastAsia" w:hint="eastAsia"/>
                <w:szCs w:val="21"/>
              </w:rPr>
              <w:t>0.1040</w:t>
            </w:r>
          </w:p>
        </w:tc>
        <w:tc>
          <w:tcPr>
            <w:tcW w:w="1442" w:type="dxa"/>
            <w:vAlign w:val="center"/>
          </w:tcPr>
          <w:p w14:paraId="76EB1A9B" w14:textId="77777777" w:rsidR="00B14D53" w:rsidRDefault="00000000">
            <w:pPr>
              <w:contextualSpacing/>
              <w:jc w:val="center"/>
              <w:rPr>
                <w:rFonts w:eastAsiaTheme="minorEastAsia"/>
                <w:szCs w:val="21"/>
              </w:rPr>
            </w:pPr>
            <w:r>
              <w:rPr>
                <w:rFonts w:eastAsiaTheme="minorEastAsia" w:hint="eastAsia"/>
                <w:szCs w:val="21"/>
              </w:rPr>
              <w:t>1.0404</w:t>
            </w:r>
          </w:p>
        </w:tc>
      </w:tr>
      <w:tr w:rsidR="00B14D53" w14:paraId="2E1A5A7B" w14:textId="77777777">
        <w:trPr>
          <w:trHeight w:val="234"/>
          <w:jc w:val="center"/>
        </w:trPr>
        <w:tc>
          <w:tcPr>
            <w:tcW w:w="1784" w:type="dxa"/>
            <w:vAlign w:val="center"/>
          </w:tcPr>
          <w:p w14:paraId="2C985E52"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400</w:t>
            </w:r>
          </w:p>
        </w:tc>
        <w:tc>
          <w:tcPr>
            <w:tcW w:w="1843" w:type="dxa"/>
            <w:vAlign w:val="center"/>
          </w:tcPr>
          <w:p w14:paraId="6C673F5C" w14:textId="77777777" w:rsidR="00B14D53" w:rsidRDefault="00000000">
            <w:pPr>
              <w:contextualSpacing/>
              <w:jc w:val="center"/>
              <w:rPr>
                <w:rFonts w:eastAsiaTheme="minorEastAsia"/>
                <w:szCs w:val="21"/>
              </w:rPr>
            </w:pPr>
            <w:r>
              <w:rPr>
                <w:rFonts w:eastAsiaTheme="minorEastAsia" w:hint="eastAsia"/>
                <w:szCs w:val="21"/>
              </w:rPr>
              <w:t>1.7200</w:t>
            </w:r>
          </w:p>
        </w:tc>
        <w:tc>
          <w:tcPr>
            <w:tcW w:w="1559" w:type="dxa"/>
            <w:vAlign w:val="center"/>
          </w:tcPr>
          <w:p w14:paraId="4FF6A8E1" w14:textId="77777777" w:rsidR="00B14D53" w:rsidRDefault="00000000">
            <w:pPr>
              <w:contextualSpacing/>
              <w:jc w:val="center"/>
              <w:rPr>
                <w:rFonts w:eastAsiaTheme="minorEastAsia"/>
                <w:szCs w:val="21"/>
              </w:rPr>
            </w:pPr>
            <w:r>
              <w:rPr>
                <w:rFonts w:eastAsiaTheme="minorEastAsia" w:hint="eastAsia"/>
                <w:szCs w:val="21"/>
              </w:rPr>
              <w:t>0.8600</w:t>
            </w:r>
          </w:p>
        </w:tc>
        <w:tc>
          <w:tcPr>
            <w:tcW w:w="1843" w:type="dxa"/>
            <w:vAlign w:val="center"/>
          </w:tcPr>
          <w:p w14:paraId="44B98E57" w14:textId="77777777" w:rsidR="00B14D53" w:rsidRDefault="00000000">
            <w:pPr>
              <w:contextualSpacing/>
              <w:jc w:val="center"/>
              <w:rPr>
                <w:rFonts w:eastAsiaTheme="minorEastAsia"/>
                <w:szCs w:val="21"/>
              </w:rPr>
            </w:pPr>
            <w:r>
              <w:rPr>
                <w:rFonts w:eastAsiaTheme="minorEastAsia" w:hint="eastAsia"/>
                <w:szCs w:val="21"/>
              </w:rPr>
              <w:t>0.0860</w:t>
            </w:r>
          </w:p>
        </w:tc>
        <w:tc>
          <w:tcPr>
            <w:tcW w:w="1442" w:type="dxa"/>
            <w:vAlign w:val="center"/>
          </w:tcPr>
          <w:p w14:paraId="1D9667D7" w14:textId="77777777" w:rsidR="00B14D53" w:rsidRDefault="00000000">
            <w:pPr>
              <w:contextualSpacing/>
              <w:jc w:val="center"/>
              <w:rPr>
                <w:rFonts w:eastAsiaTheme="minorEastAsia"/>
                <w:szCs w:val="21"/>
              </w:rPr>
            </w:pPr>
            <w:r>
              <w:rPr>
                <w:rFonts w:eastAsiaTheme="minorEastAsia" w:hint="eastAsia"/>
                <w:szCs w:val="21"/>
              </w:rPr>
              <w:t>0.8600</w:t>
            </w:r>
          </w:p>
        </w:tc>
      </w:tr>
      <w:tr w:rsidR="00B14D53" w14:paraId="4A5E94D4" w14:textId="77777777">
        <w:trPr>
          <w:trHeight w:val="248"/>
          <w:jc w:val="center"/>
        </w:trPr>
        <w:tc>
          <w:tcPr>
            <w:tcW w:w="1784" w:type="dxa"/>
            <w:vAlign w:val="center"/>
          </w:tcPr>
          <w:p w14:paraId="440DDD13"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500</w:t>
            </w:r>
          </w:p>
        </w:tc>
        <w:tc>
          <w:tcPr>
            <w:tcW w:w="1843" w:type="dxa"/>
            <w:vAlign w:val="center"/>
          </w:tcPr>
          <w:p w14:paraId="62E70B2D" w14:textId="77777777" w:rsidR="00B14D53" w:rsidRDefault="00000000">
            <w:pPr>
              <w:contextualSpacing/>
              <w:jc w:val="center"/>
              <w:rPr>
                <w:rFonts w:eastAsiaTheme="minorEastAsia"/>
                <w:szCs w:val="21"/>
              </w:rPr>
            </w:pPr>
            <w:r>
              <w:rPr>
                <w:rFonts w:eastAsiaTheme="minorEastAsia" w:hint="eastAsia"/>
                <w:szCs w:val="21"/>
              </w:rPr>
              <w:t>1.4637</w:t>
            </w:r>
          </w:p>
        </w:tc>
        <w:tc>
          <w:tcPr>
            <w:tcW w:w="1559" w:type="dxa"/>
            <w:vAlign w:val="center"/>
          </w:tcPr>
          <w:p w14:paraId="54A49F0E" w14:textId="77777777" w:rsidR="00B14D53" w:rsidRDefault="00000000">
            <w:pPr>
              <w:contextualSpacing/>
              <w:jc w:val="center"/>
              <w:rPr>
                <w:rFonts w:eastAsiaTheme="minorEastAsia"/>
                <w:szCs w:val="21"/>
              </w:rPr>
            </w:pPr>
            <w:r>
              <w:rPr>
                <w:rFonts w:eastAsiaTheme="minorEastAsia" w:hint="eastAsia"/>
                <w:szCs w:val="21"/>
              </w:rPr>
              <w:t>0.7319</w:t>
            </w:r>
          </w:p>
        </w:tc>
        <w:tc>
          <w:tcPr>
            <w:tcW w:w="1843" w:type="dxa"/>
            <w:vAlign w:val="center"/>
          </w:tcPr>
          <w:p w14:paraId="4A76B088" w14:textId="77777777" w:rsidR="00B14D53" w:rsidRDefault="00000000">
            <w:pPr>
              <w:contextualSpacing/>
              <w:jc w:val="center"/>
              <w:rPr>
                <w:rFonts w:eastAsiaTheme="minorEastAsia"/>
                <w:szCs w:val="21"/>
              </w:rPr>
            </w:pPr>
            <w:r>
              <w:rPr>
                <w:rFonts w:eastAsiaTheme="minorEastAsia" w:hint="eastAsia"/>
                <w:szCs w:val="21"/>
              </w:rPr>
              <w:t>0.0732</w:t>
            </w:r>
          </w:p>
        </w:tc>
        <w:tc>
          <w:tcPr>
            <w:tcW w:w="1442" w:type="dxa"/>
            <w:vAlign w:val="center"/>
          </w:tcPr>
          <w:p w14:paraId="465F2015" w14:textId="77777777" w:rsidR="00B14D53" w:rsidRDefault="00000000">
            <w:pPr>
              <w:contextualSpacing/>
              <w:jc w:val="center"/>
              <w:rPr>
                <w:rFonts w:eastAsiaTheme="minorEastAsia"/>
                <w:szCs w:val="21"/>
              </w:rPr>
            </w:pPr>
            <w:r>
              <w:rPr>
                <w:rFonts w:eastAsiaTheme="minorEastAsia" w:hint="eastAsia"/>
                <w:szCs w:val="21"/>
              </w:rPr>
              <w:t>0.7319</w:t>
            </w:r>
          </w:p>
        </w:tc>
      </w:tr>
      <w:tr w:rsidR="00B14D53" w14:paraId="047A64E8" w14:textId="77777777">
        <w:trPr>
          <w:trHeight w:val="78"/>
          <w:jc w:val="center"/>
        </w:trPr>
        <w:tc>
          <w:tcPr>
            <w:tcW w:w="1784" w:type="dxa"/>
            <w:vAlign w:val="center"/>
          </w:tcPr>
          <w:p w14:paraId="298062A2"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600</w:t>
            </w:r>
          </w:p>
        </w:tc>
        <w:tc>
          <w:tcPr>
            <w:tcW w:w="1843" w:type="dxa"/>
            <w:vAlign w:val="center"/>
          </w:tcPr>
          <w:p w14:paraId="3D549D9E" w14:textId="77777777" w:rsidR="00B14D53" w:rsidRDefault="00000000">
            <w:pPr>
              <w:contextualSpacing/>
              <w:jc w:val="center"/>
              <w:rPr>
                <w:rFonts w:eastAsiaTheme="minorEastAsia"/>
                <w:szCs w:val="21"/>
              </w:rPr>
            </w:pPr>
            <w:r>
              <w:rPr>
                <w:rFonts w:eastAsiaTheme="minorEastAsia" w:hint="eastAsia"/>
                <w:szCs w:val="21"/>
              </w:rPr>
              <w:t>1.2816</w:t>
            </w:r>
          </w:p>
        </w:tc>
        <w:tc>
          <w:tcPr>
            <w:tcW w:w="1559" w:type="dxa"/>
            <w:vAlign w:val="center"/>
          </w:tcPr>
          <w:p w14:paraId="722F9C26" w14:textId="77777777" w:rsidR="00B14D53" w:rsidRDefault="00000000">
            <w:pPr>
              <w:contextualSpacing/>
              <w:jc w:val="center"/>
              <w:rPr>
                <w:rFonts w:eastAsiaTheme="minorEastAsia"/>
                <w:szCs w:val="21"/>
              </w:rPr>
            </w:pPr>
            <w:r>
              <w:rPr>
                <w:rFonts w:eastAsiaTheme="minorEastAsia" w:hint="eastAsia"/>
                <w:szCs w:val="21"/>
              </w:rPr>
              <w:t>0.6408</w:t>
            </w:r>
          </w:p>
        </w:tc>
        <w:tc>
          <w:tcPr>
            <w:tcW w:w="1843" w:type="dxa"/>
            <w:vAlign w:val="center"/>
          </w:tcPr>
          <w:p w14:paraId="27865145" w14:textId="77777777" w:rsidR="00B14D53" w:rsidRDefault="00000000">
            <w:pPr>
              <w:contextualSpacing/>
              <w:jc w:val="center"/>
              <w:rPr>
                <w:rFonts w:eastAsiaTheme="minorEastAsia"/>
                <w:szCs w:val="21"/>
              </w:rPr>
            </w:pPr>
            <w:r>
              <w:rPr>
                <w:rFonts w:eastAsiaTheme="minorEastAsia" w:hint="eastAsia"/>
                <w:szCs w:val="21"/>
              </w:rPr>
              <w:t>0.0641</w:t>
            </w:r>
          </w:p>
        </w:tc>
        <w:tc>
          <w:tcPr>
            <w:tcW w:w="1442" w:type="dxa"/>
            <w:vAlign w:val="center"/>
          </w:tcPr>
          <w:p w14:paraId="66E89A75" w14:textId="77777777" w:rsidR="00B14D53" w:rsidRDefault="00000000">
            <w:pPr>
              <w:contextualSpacing/>
              <w:jc w:val="center"/>
              <w:rPr>
                <w:rFonts w:eastAsiaTheme="minorEastAsia"/>
                <w:szCs w:val="21"/>
              </w:rPr>
            </w:pPr>
            <w:r>
              <w:rPr>
                <w:rFonts w:eastAsiaTheme="minorEastAsia" w:hint="eastAsia"/>
                <w:szCs w:val="21"/>
              </w:rPr>
              <w:t>0.6408</w:t>
            </w:r>
          </w:p>
        </w:tc>
      </w:tr>
      <w:tr w:rsidR="00B14D53" w14:paraId="3663FF25" w14:textId="77777777">
        <w:trPr>
          <w:trHeight w:val="234"/>
          <w:jc w:val="center"/>
        </w:trPr>
        <w:tc>
          <w:tcPr>
            <w:tcW w:w="1784" w:type="dxa"/>
            <w:vAlign w:val="center"/>
          </w:tcPr>
          <w:p w14:paraId="667DC90F"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700</w:t>
            </w:r>
          </w:p>
        </w:tc>
        <w:tc>
          <w:tcPr>
            <w:tcW w:w="1843" w:type="dxa"/>
            <w:vAlign w:val="center"/>
          </w:tcPr>
          <w:p w14:paraId="029727CF" w14:textId="77777777" w:rsidR="00B14D53" w:rsidRDefault="00000000">
            <w:pPr>
              <w:contextualSpacing/>
              <w:jc w:val="center"/>
              <w:rPr>
                <w:rFonts w:eastAsiaTheme="minorEastAsia"/>
                <w:szCs w:val="21"/>
              </w:rPr>
            </w:pPr>
            <w:r>
              <w:rPr>
                <w:rFonts w:eastAsiaTheme="minorEastAsia" w:hint="eastAsia"/>
                <w:szCs w:val="21"/>
              </w:rPr>
              <w:t>1.1445</w:t>
            </w:r>
          </w:p>
        </w:tc>
        <w:tc>
          <w:tcPr>
            <w:tcW w:w="1559" w:type="dxa"/>
            <w:vAlign w:val="center"/>
          </w:tcPr>
          <w:p w14:paraId="7BDEDE20" w14:textId="77777777" w:rsidR="00B14D53" w:rsidRDefault="00000000">
            <w:pPr>
              <w:contextualSpacing/>
              <w:jc w:val="center"/>
              <w:rPr>
                <w:rFonts w:eastAsiaTheme="minorEastAsia"/>
                <w:szCs w:val="21"/>
              </w:rPr>
            </w:pPr>
            <w:r>
              <w:rPr>
                <w:rFonts w:eastAsiaTheme="minorEastAsia" w:hint="eastAsia"/>
                <w:szCs w:val="21"/>
              </w:rPr>
              <w:t>0.5723</w:t>
            </w:r>
          </w:p>
        </w:tc>
        <w:tc>
          <w:tcPr>
            <w:tcW w:w="1843" w:type="dxa"/>
            <w:vAlign w:val="center"/>
          </w:tcPr>
          <w:p w14:paraId="2FFC7F18" w14:textId="77777777" w:rsidR="00B14D53" w:rsidRDefault="00000000">
            <w:pPr>
              <w:contextualSpacing/>
              <w:jc w:val="center"/>
              <w:rPr>
                <w:rFonts w:eastAsiaTheme="minorEastAsia"/>
                <w:szCs w:val="21"/>
              </w:rPr>
            </w:pPr>
            <w:r>
              <w:rPr>
                <w:rFonts w:eastAsiaTheme="minorEastAsia" w:hint="eastAsia"/>
                <w:szCs w:val="21"/>
              </w:rPr>
              <w:t>0.0572</w:t>
            </w:r>
          </w:p>
        </w:tc>
        <w:tc>
          <w:tcPr>
            <w:tcW w:w="1442" w:type="dxa"/>
            <w:vAlign w:val="center"/>
          </w:tcPr>
          <w:p w14:paraId="04A483E1" w14:textId="77777777" w:rsidR="00B14D53" w:rsidRDefault="00000000">
            <w:pPr>
              <w:contextualSpacing/>
              <w:jc w:val="center"/>
              <w:rPr>
                <w:rFonts w:eastAsiaTheme="minorEastAsia"/>
                <w:szCs w:val="21"/>
              </w:rPr>
            </w:pPr>
            <w:r>
              <w:rPr>
                <w:rFonts w:eastAsiaTheme="minorEastAsia" w:hint="eastAsia"/>
                <w:szCs w:val="21"/>
              </w:rPr>
              <w:t>0.5723</w:t>
            </w:r>
          </w:p>
        </w:tc>
      </w:tr>
      <w:tr w:rsidR="00B14D53" w14:paraId="6FEA932C" w14:textId="77777777">
        <w:trPr>
          <w:trHeight w:val="248"/>
          <w:jc w:val="center"/>
        </w:trPr>
        <w:tc>
          <w:tcPr>
            <w:tcW w:w="1784" w:type="dxa"/>
            <w:vAlign w:val="center"/>
          </w:tcPr>
          <w:p w14:paraId="353FEEF5"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800</w:t>
            </w:r>
          </w:p>
        </w:tc>
        <w:tc>
          <w:tcPr>
            <w:tcW w:w="1843" w:type="dxa"/>
            <w:vAlign w:val="center"/>
          </w:tcPr>
          <w:p w14:paraId="70BEEF8A" w14:textId="77777777" w:rsidR="00B14D53" w:rsidRDefault="00000000">
            <w:pPr>
              <w:contextualSpacing/>
              <w:jc w:val="center"/>
              <w:rPr>
                <w:rFonts w:eastAsiaTheme="minorEastAsia"/>
                <w:szCs w:val="21"/>
              </w:rPr>
            </w:pPr>
            <w:r>
              <w:rPr>
                <w:rFonts w:eastAsiaTheme="minorEastAsia" w:hint="eastAsia"/>
                <w:szCs w:val="21"/>
              </w:rPr>
              <w:t>1.0369</w:t>
            </w:r>
          </w:p>
        </w:tc>
        <w:tc>
          <w:tcPr>
            <w:tcW w:w="1559" w:type="dxa"/>
            <w:vAlign w:val="center"/>
          </w:tcPr>
          <w:p w14:paraId="67F8665C" w14:textId="77777777" w:rsidR="00B14D53" w:rsidRDefault="00000000">
            <w:pPr>
              <w:contextualSpacing/>
              <w:jc w:val="center"/>
              <w:rPr>
                <w:rFonts w:eastAsiaTheme="minorEastAsia"/>
                <w:szCs w:val="21"/>
              </w:rPr>
            </w:pPr>
            <w:r>
              <w:rPr>
                <w:rFonts w:eastAsiaTheme="minorEastAsia" w:hint="eastAsia"/>
                <w:szCs w:val="21"/>
              </w:rPr>
              <w:t>0.5184</w:t>
            </w:r>
          </w:p>
        </w:tc>
        <w:tc>
          <w:tcPr>
            <w:tcW w:w="1843" w:type="dxa"/>
            <w:vAlign w:val="center"/>
          </w:tcPr>
          <w:p w14:paraId="3F7BC08C" w14:textId="77777777" w:rsidR="00B14D53" w:rsidRDefault="00000000">
            <w:pPr>
              <w:contextualSpacing/>
              <w:jc w:val="center"/>
              <w:rPr>
                <w:rFonts w:eastAsiaTheme="minorEastAsia"/>
                <w:szCs w:val="21"/>
              </w:rPr>
            </w:pPr>
            <w:r>
              <w:rPr>
                <w:rFonts w:eastAsiaTheme="minorEastAsia" w:hint="eastAsia"/>
                <w:szCs w:val="21"/>
              </w:rPr>
              <w:t>0.0518</w:t>
            </w:r>
          </w:p>
        </w:tc>
        <w:tc>
          <w:tcPr>
            <w:tcW w:w="1442" w:type="dxa"/>
            <w:vAlign w:val="center"/>
          </w:tcPr>
          <w:p w14:paraId="09968EA2" w14:textId="77777777" w:rsidR="00B14D53" w:rsidRDefault="00000000">
            <w:pPr>
              <w:contextualSpacing/>
              <w:jc w:val="center"/>
              <w:rPr>
                <w:rFonts w:eastAsiaTheme="minorEastAsia"/>
                <w:szCs w:val="21"/>
              </w:rPr>
            </w:pPr>
            <w:r>
              <w:rPr>
                <w:rFonts w:eastAsiaTheme="minorEastAsia" w:hint="eastAsia"/>
                <w:szCs w:val="21"/>
              </w:rPr>
              <w:t>0.5184</w:t>
            </w:r>
          </w:p>
        </w:tc>
      </w:tr>
      <w:tr w:rsidR="00B14D53" w14:paraId="5FB7E651" w14:textId="77777777">
        <w:trPr>
          <w:trHeight w:val="248"/>
          <w:jc w:val="center"/>
        </w:trPr>
        <w:tc>
          <w:tcPr>
            <w:tcW w:w="1784" w:type="dxa"/>
            <w:vAlign w:val="center"/>
          </w:tcPr>
          <w:p w14:paraId="151CF347"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900</w:t>
            </w:r>
          </w:p>
        </w:tc>
        <w:tc>
          <w:tcPr>
            <w:tcW w:w="1843" w:type="dxa"/>
            <w:vAlign w:val="center"/>
          </w:tcPr>
          <w:p w14:paraId="12AD9AAD" w14:textId="77777777" w:rsidR="00B14D53" w:rsidRDefault="00000000">
            <w:pPr>
              <w:contextualSpacing/>
              <w:jc w:val="center"/>
              <w:rPr>
                <w:rFonts w:eastAsiaTheme="minorEastAsia"/>
                <w:szCs w:val="21"/>
              </w:rPr>
            </w:pPr>
            <w:r>
              <w:rPr>
                <w:rFonts w:eastAsiaTheme="minorEastAsia" w:hint="eastAsia"/>
                <w:szCs w:val="21"/>
              </w:rPr>
              <w:t>0.9499</w:t>
            </w:r>
          </w:p>
        </w:tc>
        <w:tc>
          <w:tcPr>
            <w:tcW w:w="1559" w:type="dxa"/>
            <w:vAlign w:val="center"/>
          </w:tcPr>
          <w:p w14:paraId="291394F3" w14:textId="77777777" w:rsidR="00B14D53" w:rsidRDefault="00000000">
            <w:pPr>
              <w:contextualSpacing/>
              <w:jc w:val="center"/>
              <w:rPr>
                <w:rFonts w:eastAsiaTheme="minorEastAsia"/>
                <w:szCs w:val="21"/>
              </w:rPr>
            </w:pPr>
            <w:r>
              <w:rPr>
                <w:rFonts w:eastAsiaTheme="minorEastAsia" w:hint="eastAsia"/>
                <w:szCs w:val="21"/>
              </w:rPr>
              <w:t>0.4750</w:t>
            </w:r>
          </w:p>
        </w:tc>
        <w:tc>
          <w:tcPr>
            <w:tcW w:w="1843" w:type="dxa"/>
            <w:vAlign w:val="center"/>
          </w:tcPr>
          <w:p w14:paraId="6F45E74C" w14:textId="77777777" w:rsidR="00B14D53" w:rsidRDefault="00000000">
            <w:pPr>
              <w:contextualSpacing/>
              <w:jc w:val="center"/>
              <w:rPr>
                <w:rFonts w:eastAsiaTheme="minorEastAsia"/>
                <w:szCs w:val="21"/>
              </w:rPr>
            </w:pPr>
            <w:r>
              <w:rPr>
                <w:rFonts w:eastAsiaTheme="minorEastAsia" w:hint="eastAsia"/>
                <w:szCs w:val="21"/>
              </w:rPr>
              <w:t>0.0475</w:t>
            </w:r>
          </w:p>
        </w:tc>
        <w:tc>
          <w:tcPr>
            <w:tcW w:w="1442" w:type="dxa"/>
            <w:vAlign w:val="center"/>
          </w:tcPr>
          <w:p w14:paraId="67C73137" w14:textId="77777777" w:rsidR="00B14D53" w:rsidRDefault="00000000">
            <w:pPr>
              <w:contextualSpacing/>
              <w:jc w:val="center"/>
              <w:rPr>
                <w:rFonts w:eastAsiaTheme="minorEastAsia"/>
                <w:szCs w:val="21"/>
              </w:rPr>
            </w:pPr>
            <w:r>
              <w:rPr>
                <w:rFonts w:eastAsiaTheme="minorEastAsia" w:hint="eastAsia"/>
                <w:szCs w:val="21"/>
              </w:rPr>
              <w:t>0.4750</w:t>
            </w:r>
          </w:p>
        </w:tc>
      </w:tr>
      <w:tr w:rsidR="00B14D53" w14:paraId="456C03FE" w14:textId="77777777">
        <w:trPr>
          <w:trHeight w:val="234"/>
          <w:jc w:val="center"/>
        </w:trPr>
        <w:tc>
          <w:tcPr>
            <w:tcW w:w="1784" w:type="dxa"/>
            <w:vAlign w:val="center"/>
          </w:tcPr>
          <w:p w14:paraId="2D0B9B60"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1000</w:t>
            </w:r>
          </w:p>
        </w:tc>
        <w:tc>
          <w:tcPr>
            <w:tcW w:w="1843" w:type="dxa"/>
            <w:vAlign w:val="center"/>
          </w:tcPr>
          <w:p w14:paraId="31548592" w14:textId="77777777" w:rsidR="00B14D53" w:rsidRDefault="00000000">
            <w:pPr>
              <w:contextualSpacing/>
              <w:jc w:val="center"/>
              <w:rPr>
                <w:rFonts w:eastAsiaTheme="minorEastAsia"/>
                <w:szCs w:val="21"/>
              </w:rPr>
            </w:pPr>
            <w:r>
              <w:rPr>
                <w:rFonts w:eastAsiaTheme="minorEastAsia" w:hint="eastAsia"/>
                <w:szCs w:val="21"/>
              </w:rPr>
              <w:t>0.8777</w:t>
            </w:r>
          </w:p>
        </w:tc>
        <w:tc>
          <w:tcPr>
            <w:tcW w:w="1559" w:type="dxa"/>
            <w:vAlign w:val="center"/>
          </w:tcPr>
          <w:p w14:paraId="129507C3" w14:textId="77777777" w:rsidR="00B14D53" w:rsidRDefault="00000000">
            <w:pPr>
              <w:contextualSpacing/>
              <w:jc w:val="center"/>
              <w:rPr>
                <w:rFonts w:eastAsiaTheme="minorEastAsia"/>
                <w:szCs w:val="21"/>
              </w:rPr>
            </w:pPr>
            <w:r>
              <w:rPr>
                <w:rFonts w:eastAsiaTheme="minorEastAsia" w:hint="eastAsia"/>
                <w:szCs w:val="21"/>
              </w:rPr>
              <w:t>0.4389</w:t>
            </w:r>
          </w:p>
        </w:tc>
        <w:tc>
          <w:tcPr>
            <w:tcW w:w="1843" w:type="dxa"/>
            <w:vAlign w:val="center"/>
          </w:tcPr>
          <w:p w14:paraId="7A576F85" w14:textId="77777777" w:rsidR="00B14D53" w:rsidRDefault="00000000">
            <w:pPr>
              <w:contextualSpacing/>
              <w:jc w:val="center"/>
              <w:rPr>
                <w:rFonts w:eastAsiaTheme="minorEastAsia"/>
                <w:szCs w:val="21"/>
              </w:rPr>
            </w:pPr>
            <w:r>
              <w:rPr>
                <w:rFonts w:eastAsiaTheme="minorEastAsia" w:hint="eastAsia"/>
                <w:szCs w:val="21"/>
              </w:rPr>
              <w:t>0.0439</w:t>
            </w:r>
          </w:p>
        </w:tc>
        <w:tc>
          <w:tcPr>
            <w:tcW w:w="1442" w:type="dxa"/>
            <w:vAlign w:val="center"/>
          </w:tcPr>
          <w:p w14:paraId="075E3D8D" w14:textId="77777777" w:rsidR="00B14D53" w:rsidRDefault="00000000">
            <w:pPr>
              <w:contextualSpacing/>
              <w:jc w:val="center"/>
              <w:rPr>
                <w:rFonts w:eastAsiaTheme="minorEastAsia"/>
                <w:szCs w:val="21"/>
              </w:rPr>
            </w:pPr>
            <w:r>
              <w:rPr>
                <w:rFonts w:eastAsiaTheme="minorEastAsia" w:hint="eastAsia"/>
                <w:szCs w:val="21"/>
              </w:rPr>
              <w:t>0.4389</w:t>
            </w:r>
          </w:p>
        </w:tc>
      </w:tr>
      <w:tr w:rsidR="00B14D53" w14:paraId="064E4BB4" w14:textId="77777777">
        <w:trPr>
          <w:trHeight w:val="248"/>
          <w:jc w:val="center"/>
        </w:trPr>
        <w:tc>
          <w:tcPr>
            <w:tcW w:w="1784" w:type="dxa"/>
            <w:vAlign w:val="center"/>
          </w:tcPr>
          <w:p w14:paraId="5BE202D6"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1600</w:t>
            </w:r>
          </w:p>
        </w:tc>
        <w:tc>
          <w:tcPr>
            <w:tcW w:w="1843" w:type="dxa"/>
            <w:vAlign w:val="center"/>
          </w:tcPr>
          <w:p w14:paraId="0893A43C" w14:textId="77777777" w:rsidR="00B14D53" w:rsidRDefault="00000000">
            <w:pPr>
              <w:contextualSpacing/>
              <w:jc w:val="center"/>
              <w:rPr>
                <w:rFonts w:eastAsiaTheme="minorEastAsia"/>
                <w:szCs w:val="21"/>
              </w:rPr>
            </w:pPr>
            <w:r>
              <w:rPr>
                <w:rFonts w:eastAsiaTheme="minorEastAsia" w:hint="eastAsia"/>
                <w:szCs w:val="21"/>
              </w:rPr>
              <w:t>0.6105</w:t>
            </w:r>
          </w:p>
        </w:tc>
        <w:tc>
          <w:tcPr>
            <w:tcW w:w="1559" w:type="dxa"/>
            <w:vAlign w:val="center"/>
          </w:tcPr>
          <w:p w14:paraId="23105921" w14:textId="77777777" w:rsidR="00B14D53" w:rsidRDefault="00000000">
            <w:pPr>
              <w:contextualSpacing/>
              <w:jc w:val="center"/>
              <w:rPr>
                <w:rFonts w:eastAsiaTheme="minorEastAsia"/>
                <w:szCs w:val="21"/>
              </w:rPr>
            </w:pPr>
            <w:r>
              <w:rPr>
                <w:rFonts w:eastAsiaTheme="minorEastAsia" w:hint="eastAsia"/>
                <w:szCs w:val="21"/>
              </w:rPr>
              <w:t>0.3053</w:t>
            </w:r>
          </w:p>
        </w:tc>
        <w:tc>
          <w:tcPr>
            <w:tcW w:w="1843" w:type="dxa"/>
            <w:vAlign w:val="center"/>
          </w:tcPr>
          <w:p w14:paraId="45381DD5" w14:textId="77777777" w:rsidR="00B14D53" w:rsidRDefault="00000000">
            <w:pPr>
              <w:contextualSpacing/>
              <w:jc w:val="center"/>
              <w:rPr>
                <w:rFonts w:eastAsiaTheme="minorEastAsia"/>
                <w:szCs w:val="21"/>
              </w:rPr>
            </w:pPr>
            <w:r>
              <w:rPr>
                <w:rFonts w:eastAsiaTheme="minorEastAsia" w:hint="eastAsia"/>
                <w:szCs w:val="21"/>
              </w:rPr>
              <w:t>0.0305</w:t>
            </w:r>
          </w:p>
        </w:tc>
        <w:tc>
          <w:tcPr>
            <w:tcW w:w="1442" w:type="dxa"/>
            <w:vAlign w:val="center"/>
          </w:tcPr>
          <w:p w14:paraId="14DD3BDD" w14:textId="77777777" w:rsidR="00B14D53" w:rsidRDefault="00000000">
            <w:pPr>
              <w:contextualSpacing/>
              <w:jc w:val="center"/>
              <w:rPr>
                <w:rFonts w:eastAsiaTheme="minorEastAsia"/>
                <w:szCs w:val="21"/>
              </w:rPr>
            </w:pPr>
            <w:r>
              <w:rPr>
                <w:rFonts w:eastAsiaTheme="minorEastAsia" w:hint="eastAsia"/>
                <w:szCs w:val="21"/>
              </w:rPr>
              <w:t>0.3053</w:t>
            </w:r>
          </w:p>
        </w:tc>
      </w:tr>
      <w:tr w:rsidR="00B14D53" w14:paraId="193D41B6" w14:textId="77777777">
        <w:trPr>
          <w:trHeight w:val="248"/>
          <w:jc w:val="center"/>
        </w:trPr>
        <w:tc>
          <w:tcPr>
            <w:tcW w:w="1784" w:type="dxa"/>
            <w:vAlign w:val="center"/>
          </w:tcPr>
          <w:p w14:paraId="04BAF7A2"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2000</w:t>
            </w:r>
          </w:p>
        </w:tc>
        <w:tc>
          <w:tcPr>
            <w:tcW w:w="1843" w:type="dxa"/>
            <w:vAlign w:val="center"/>
          </w:tcPr>
          <w:p w14:paraId="13BAC105" w14:textId="77777777" w:rsidR="00B14D53" w:rsidRDefault="00000000">
            <w:pPr>
              <w:contextualSpacing/>
              <w:jc w:val="center"/>
              <w:rPr>
                <w:rFonts w:eastAsiaTheme="minorEastAsia"/>
                <w:szCs w:val="21"/>
              </w:rPr>
            </w:pPr>
            <w:r>
              <w:rPr>
                <w:rFonts w:eastAsiaTheme="minorEastAsia" w:hint="eastAsia"/>
                <w:szCs w:val="21"/>
              </w:rPr>
              <w:t>0.5100</w:t>
            </w:r>
          </w:p>
        </w:tc>
        <w:tc>
          <w:tcPr>
            <w:tcW w:w="1559" w:type="dxa"/>
            <w:vAlign w:val="center"/>
          </w:tcPr>
          <w:p w14:paraId="7E8B9502" w14:textId="77777777" w:rsidR="00B14D53" w:rsidRDefault="00000000">
            <w:pPr>
              <w:contextualSpacing/>
              <w:jc w:val="center"/>
              <w:rPr>
                <w:rFonts w:eastAsiaTheme="minorEastAsia"/>
                <w:szCs w:val="21"/>
              </w:rPr>
            </w:pPr>
            <w:r>
              <w:rPr>
                <w:rFonts w:eastAsiaTheme="minorEastAsia" w:hint="eastAsia"/>
                <w:szCs w:val="21"/>
              </w:rPr>
              <w:t>0.2550</w:t>
            </w:r>
          </w:p>
        </w:tc>
        <w:tc>
          <w:tcPr>
            <w:tcW w:w="1843" w:type="dxa"/>
            <w:vAlign w:val="center"/>
          </w:tcPr>
          <w:p w14:paraId="4BE076C5" w14:textId="77777777" w:rsidR="00B14D53" w:rsidRDefault="00000000">
            <w:pPr>
              <w:contextualSpacing/>
              <w:jc w:val="center"/>
              <w:rPr>
                <w:rFonts w:eastAsiaTheme="minorEastAsia"/>
                <w:szCs w:val="21"/>
              </w:rPr>
            </w:pPr>
            <w:r>
              <w:rPr>
                <w:rFonts w:eastAsiaTheme="minorEastAsia" w:hint="eastAsia"/>
                <w:szCs w:val="21"/>
              </w:rPr>
              <w:t>0.0255</w:t>
            </w:r>
          </w:p>
        </w:tc>
        <w:tc>
          <w:tcPr>
            <w:tcW w:w="1442" w:type="dxa"/>
            <w:vAlign w:val="center"/>
          </w:tcPr>
          <w:p w14:paraId="7D3945F2" w14:textId="77777777" w:rsidR="00B14D53" w:rsidRDefault="00000000">
            <w:pPr>
              <w:contextualSpacing/>
              <w:jc w:val="center"/>
              <w:rPr>
                <w:rFonts w:eastAsiaTheme="minorEastAsia"/>
                <w:szCs w:val="21"/>
              </w:rPr>
            </w:pPr>
            <w:r>
              <w:rPr>
                <w:rFonts w:eastAsiaTheme="minorEastAsia" w:hint="eastAsia"/>
                <w:szCs w:val="21"/>
              </w:rPr>
              <w:t>0.2550</w:t>
            </w:r>
          </w:p>
        </w:tc>
      </w:tr>
      <w:tr w:rsidR="00B14D53" w14:paraId="00D999F0" w14:textId="77777777">
        <w:trPr>
          <w:trHeight w:val="138"/>
          <w:jc w:val="center"/>
        </w:trPr>
        <w:tc>
          <w:tcPr>
            <w:tcW w:w="1784" w:type="dxa"/>
            <w:vAlign w:val="center"/>
          </w:tcPr>
          <w:p w14:paraId="5E0EB310"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2500</w:t>
            </w:r>
          </w:p>
        </w:tc>
        <w:tc>
          <w:tcPr>
            <w:tcW w:w="1843" w:type="dxa"/>
            <w:vAlign w:val="center"/>
          </w:tcPr>
          <w:p w14:paraId="74F865BE" w14:textId="77777777" w:rsidR="00B14D53" w:rsidRDefault="00000000">
            <w:pPr>
              <w:contextualSpacing/>
              <w:jc w:val="center"/>
              <w:rPr>
                <w:rFonts w:eastAsiaTheme="minorEastAsia"/>
                <w:szCs w:val="21"/>
              </w:rPr>
            </w:pPr>
            <w:r>
              <w:rPr>
                <w:rFonts w:eastAsiaTheme="minorEastAsia" w:hint="eastAsia"/>
                <w:szCs w:val="21"/>
              </w:rPr>
              <w:t>0.4232</w:t>
            </w:r>
          </w:p>
        </w:tc>
        <w:tc>
          <w:tcPr>
            <w:tcW w:w="1559" w:type="dxa"/>
            <w:vAlign w:val="center"/>
          </w:tcPr>
          <w:p w14:paraId="786430AB" w14:textId="77777777" w:rsidR="00B14D53" w:rsidRDefault="00000000">
            <w:pPr>
              <w:contextualSpacing/>
              <w:jc w:val="center"/>
              <w:rPr>
                <w:rFonts w:eastAsiaTheme="minorEastAsia"/>
                <w:szCs w:val="21"/>
              </w:rPr>
            </w:pPr>
            <w:r>
              <w:rPr>
                <w:rFonts w:eastAsiaTheme="minorEastAsia" w:hint="eastAsia"/>
                <w:szCs w:val="21"/>
              </w:rPr>
              <w:t>0.2116</w:t>
            </w:r>
          </w:p>
        </w:tc>
        <w:tc>
          <w:tcPr>
            <w:tcW w:w="1843" w:type="dxa"/>
            <w:vAlign w:val="center"/>
          </w:tcPr>
          <w:p w14:paraId="36ABF9B2" w14:textId="77777777" w:rsidR="00B14D53" w:rsidRDefault="00000000">
            <w:pPr>
              <w:contextualSpacing/>
              <w:jc w:val="center"/>
              <w:rPr>
                <w:rFonts w:eastAsiaTheme="minorEastAsia"/>
                <w:szCs w:val="21"/>
              </w:rPr>
            </w:pPr>
            <w:r>
              <w:rPr>
                <w:rFonts w:eastAsiaTheme="minorEastAsia" w:hint="eastAsia"/>
                <w:szCs w:val="21"/>
              </w:rPr>
              <w:t>0.0212</w:t>
            </w:r>
          </w:p>
        </w:tc>
        <w:tc>
          <w:tcPr>
            <w:tcW w:w="1442" w:type="dxa"/>
            <w:vAlign w:val="center"/>
          </w:tcPr>
          <w:p w14:paraId="7E96F8F4" w14:textId="77777777" w:rsidR="00B14D53" w:rsidRDefault="00000000">
            <w:pPr>
              <w:contextualSpacing/>
              <w:jc w:val="center"/>
              <w:rPr>
                <w:rFonts w:eastAsiaTheme="minorEastAsia"/>
                <w:szCs w:val="21"/>
              </w:rPr>
            </w:pPr>
            <w:r>
              <w:rPr>
                <w:rFonts w:eastAsiaTheme="minorEastAsia" w:hint="eastAsia"/>
                <w:szCs w:val="21"/>
              </w:rPr>
              <w:t>0.2116</w:t>
            </w:r>
          </w:p>
        </w:tc>
      </w:tr>
      <w:tr w:rsidR="00B14D53" w14:paraId="3DF695A0" w14:textId="77777777">
        <w:trPr>
          <w:trHeight w:val="71"/>
          <w:jc w:val="center"/>
        </w:trPr>
        <w:tc>
          <w:tcPr>
            <w:tcW w:w="1784" w:type="dxa"/>
            <w:vAlign w:val="center"/>
          </w:tcPr>
          <w:p w14:paraId="36F331E1"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下风向最大浓度</w:t>
            </w:r>
          </w:p>
        </w:tc>
        <w:tc>
          <w:tcPr>
            <w:tcW w:w="1843" w:type="dxa"/>
            <w:vAlign w:val="center"/>
          </w:tcPr>
          <w:p w14:paraId="2ACD463A" w14:textId="77777777" w:rsidR="00B14D53" w:rsidRDefault="00000000">
            <w:pPr>
              <w:contextualSpacing/>
              <w:jc w:val="center"/>
              <w:rPr>
                <w:rFonts w:eastAsiaTheme="minorEastAsia"/>
                <w:szCs w:val="21"/>
              </w:rPr>
            </w:pPr>
            <w:r>
              <w:rPr>
                <w:rFonts w:eastAsiaTheme="minorEastAsia" w:hint="eastAsia"/>
                <w:szCs w:val="21"/>
              </w:rPr>
              <w:t>7.6991</w:t>
            </w:r>
          </w:p>
        </w:tc>
        <w:tc>
          <w:tcPr>
            <w:tcW w:w="1559" w:type="dxa"/>
            <w:vAlign w:val="center"/>
          </w:tcPr>
          <w:p w14:paraId="200BFAEF" w14:textId="77777777" w:rsidR="00B14D53" w:rsidRDefault="00000000">
            <w:pPr>
              <w:contextualSpacing/>
              <w:jc w:val="center"/>
              <w:rPr>
                <w:rFonts w:eastAsiaTheme="minorEastAsia"/>
                <w:szCs w:val="21"/>
              </w:rPr>
            </w:pPr>
            <w:r>
              <w:rPr>
                <w:rFonts w:eastAsiaTheme="minorEastAsia" w:hint="eastAsia"/>
                <w:szCs w:val="21"/>
              </w:rPr>
              <w:t>3.8495</w:t>
            </w:r>
          </w:p>
        </w:tc>
        <w:tc>
          <w:tcPr>
            <w:tcW w:w="1843" w:type="dxa"/>
            <w:vAlign w:val="center"/>
          </w:tcPr>
          <w:p w14:paraId="06A670D4" w14:textId="77777777" w:rsidR="00B14D53" w:rsidRDefault="00000000">
            <w:pPr>
              <w:contextualSpacing/>
              <w:jc w:val="center"/>
              <w:rPr>
                <w:rFonts w:eastAsiaTheme="minorEastAsia"/>
                <w:szCs w:val="21"/>
              </w:rPr>
            </w:pPr>
            <w:r>
              <w:rPr>
                <w:rFonts w:eastAsiaTheme="minorEastAsia" w:hint="eastAsia"/>
                <w:szCs w:val="21"/>
              </w:rPr>
              <w:t>0.3850</w:t>
            </w:r>
          </w:p>
        </w:tc>
        <w:tc>
          <w:tcPr>
            <w:tcW w:w="1442" w:type="dxa"/>
            <w:vAlign w:val="center"/>
          </w:tcPr>
          <w:p w14:paraId="3A432BDD" w14:textId="77777777" w:rsidR="00B14D53" w:rsidRDefault="00000000">
            <w:pPr>
              <w:contextualSpacing/>
              <w:jc w:val="center"/>
              <w:rPr>
                <w:rFonts w:eastAsiaTheme="minorEastAsia"/>
                <w:szCs w:val="21"/>
              </w:rPr>
            </w:pPr>
            <w:r>
              <w:rPr>
                <w:rFonts w:eastAsiaTheme="minorEastAsia" w:hint="eastAsia"/>
                <w:szCs w:val="21"/>
              </w:rPr>
              <w:t>3.8496</w:t>
            </w:r>
          </w:p>
        </w:tc>
      </w:tr>
      <w:tr w:rsidR="00B14D53" w14:paraId="7F78EB2B" w14:textId="77777777">
        <w:trPr>
          <w:trHeight w:val="56"/>
          <w:jc w:val="center"/>
        </w:trPr>
        <w:tc>
          <w:tcPr>
            <w:tcW w:w="1784" w:type="dxa"/>
            <w:vAlign w:val="center"/>
          </w:tcPr>
          <w:p w14:paraId="37D6FAE2"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下风向最大浓度出现距离</w:t>
            </w:r>
          </w:p>
        </w:tc>
        <w:tc>
          <w:tcPr>
            <w:tcW w:w="6687" w:type="dxa"/>
            <w:gridSpan w:val="4"/>
            <w:vAlign w:val="center"/>
          </w:tcPr>
          <w:p w14:paraId="4D638F2F" w14:textId="77777777" w:rsidR="00B14D53" w:rsidRDefault="00000000">
            <w:pPr>
              <w:contextualSpacing/>
              <w:jc w:val="center"/>
              <w:rPr>
                <w:rFonts w:eastAsiaTheme="minorEastAsia"/>
                <w:szCs w:val="21"/>
              </w:rPr>
            </w:pPr>
            <w:r>
              <w:rPr>
                <w:rFonts w:eastAsiaTheme="minorEastAsia" w:hint="eastAsia"/>
                <w:szCs w:val="21"/>
              </w:rPr>
              <w:t>31m</w:t>
            </w:r>
          </w:p>
        </w:tc>
      </w:tr>
    </w:tbl>
    <w:p w14:paraId="5CE2BC71" w14:textId="77777777" w:rsidR="00B14D53" w:rsidRDefault="00000000">
      <w:pPr>
        <w:jc w:val="center"/>
        <w:rPr>
          <w:b/>
          <w:bCs/>
        </w:rPr>
      </w:pPr>
      <w:r>
        <w:rPr>
          <w:rFonts w:hint="eastAsia"/>
          <w:b/>
          <w:bCs/>
        </w:rPr>
        <w:t>表</w:t>
      </w:r>
      <w:r>
        <w:rPr>
          <w:rFonts w:hint="eastAsia"/>
          <w:b/>
          <w:bCs/>
        </w:rPr>
        <w:t xml:space="preserve">5-2-11 </w:t>
      </w:r>
      <w:r>
        <w:rPr>
          <w:rFonts w:hint="eastAsia"/>
          <w:b/>
          <w:bCs/>
        </w:rPr>
        <w:t>无组织排放估算模式的计算结果（屠宰车间）</w:t>
      </w:r>
    </w:p>
    <w:tbl>
      <w:tblPr>
        <w:tblW w:w="8471"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84"/>
        <w:gridCol w:w="1843"/>
        <w:gridCol w:w="1559"/>
        <w:gridCol w:w="1843"/>
        <w:gridCol w:w="1442"/>
      </w:tblGrid>
      <w:tr w:rsidR="00B14D53" w14:paraId="48DA5A76" w14:textId="77777777">
        <w:trPr>
          <w:trHeight w:val="276"/>
          <w:jc w:val="center"/>
        </w:trPr>
        <w:tc>
          <w:tcPr>
            <w:tcW w:w="1784" w:type="dxa"/>
            <w:vMerge w:val="restart"/>
            <w:vAlign w:val="center"/>
          </w:tcPr>
          <w:p w14:paraId="01642394"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距离（</w:t>
            </w:r>
            <w:r>
              <w:rPr>
                <w:rFonts w:ascii="Times New Roman" w:hAnsi="Times New Roman" w:cs="Times New Roman"/>
                <w:b/>
                <w:bCs/>
                <w:sz w:val="21"/>
                <w:szCs w:val="21"/>
              </w:rPr>
              <w:t>m</w:t>
            </w:r>
            <w:r>
              <w:rPr>
                <w:rFonts w:ascii="Times New Roman" w:hAnsi="Times New Roman" w:cs="Times New Roman"/>
                <w:b/>
                <w:bCs/>
                <w:sz w:val="21"/>
                <w:szCs w:val="21"/>
              </w:rPr>
              <w:t>）</w:t>
            </w:r>
          </w:p>
        </w:tc>
        <w:tc>
          <w:tcPr>
            <w:tcW w:w="6687" w:type="dxa"/>
            <w:gridSpan w:val="4"/>
            <w:vAlign w:val="center"/>
          </w:tcPr>
          <w:p w14:paraId="79B5A726"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b/>
                <w:bCs/>
                <w:sz w:val="21"/>
                <w:szCs w:val="21"/>
              </w:rPr>
            </w:pPr>
            <w:r>
              <w:rPr>
                <w:rFonts w:ascii="Times New Roman" w:hAnsi="Times New Roman" w:cs="Times New Roman" w:hint="eastAsia"/>
                <w:b/>
                <w:bCs/>
                <w:sz w:val="21"/>
                <w:szCs w:val="21"/>
              </w:rPr>
              <w:t>屠宰车间</w:t>
            </w:r>
            <w:r>
              <w:rPr>
                <w:rFonts w:ascii="Times New Roman" w:hAnsi="Times New Roman" w:cs="Times New Roman"/>
                <w:b/>
                <w:bCs/>
                <w:sz w:val="21"/>
                <w:szCs w:val="21"/>
              </w:rPr>
              <w:t>无组织面源</w:t>
            </w:r>
          </w:p>
        </w:tc>
      </w:tr>
      <w:tr w:rsidR="00B14D53" w14:paraId="6523BFF4" w14:textId="77777777">
        <w:trPr>
          <w:trHeight w:val="146"/>
          <w:jc w:val="center"/>
        </w:trPr>
        <w:tc>
          <w:tcPr>
            <w:tcW w:w="1784" w:type="dxa"/>
            <w:vMerge/>
            <w:vAlign w:val="center"/>
          </w:tcPr>
          <w:p w14:paraId="7BCD3768" w14:textId="77777777" w:rsidR="00B14D53" w:rsidRDefault="00B14D53">
            <w:pPr>
              <w:pStyle w:val="afff"/>
              <w:adjustRightInd/>
              <w:snapToGrid/>
              <w:spacing w:line="0" w:lineRule="atLeast"/>
              <w:ind w:firstLineChars="0" w:firstLine="0"/>
              <w:contextualSpacing/>
              <w:jc w:val="center"/>
              <w:rPr>
                <w:rFonts w:ascii="Times New Roman" w:hAnsi="Times New Roman" w:cs="Times New Roman"/>
                <w:b/>
                <w:bCs/>
                <w:sz w:val="21"/>
                <w:szCs w:val="21"/>
              </w:rPr>
            </w:pPr>
          </w:p>
        </w:tc>
        <w:tc>
          <w:tcPr>
            <w:tcW w:w="3402" w:type="dxa"/>
            <w:gridSpan w:val="2"/>
            <w:vAlign w:val="center"/>
          </w:tcPr>
          <w:p w14:paraId="0AD3891F"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NH</w:t>
            </w:r>
            <w:r>
              <w:rPr>
                <w:rFonts w:ascii="Times New Roman" w:hAnsi="Times New Roman" w:cs="Times New Roman"/>
                <w:b/>
                <w:bCs/>
                <w:sz w:val="21"/>
                <w:szCs w:val="21"/>
                <w:vertAlign w:val="subscript"/>
              </w:rPr>
              <w:t>3</w:t>
            </w:r>
          </w:p>
        </w:tc>
        <w:tc>
          <w:tcPr>
            <w:tcW w:w="3285" w:type="dxa"/>
            <w:gridSpan w:val="2"/>
            <w:vAlign w:val="center"/>
          </w:tcPr>
          <w:p w14:paraId="704012F2"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H</w:t>
            </w:r>
            <w:r>
              <w:rPr>
                <w:rFonts w:ascii="Times New Roman" w:hAnsi="Times New Roman" w:cs="Times New Roman"/>
                <w:b/>
                <w:bCs/>
                <w:sz w:val="21"/>
                <w:szCs w:val="21"/>
                <w:vertAlign w:val="subscript"/>
              </w:rPr>
              <w:t>2</w:t>
            </w:r>
            <w:r>
              <w:rPr>
                <w:rFonts w:ascii="Times New Roman" w:hAnsi="Times New Roman" w:cs="Times New Roman"/>
                <w:b/>
                <w:bCs/>
                <w:sz w:val="21"/>
                <w:szCs w:val="21"/>
              </w:rPr>
              <w:t>S</w:t>
            </w:r>
          </w:p>
        </w:tc>
      </w:tr>
      <w:tr w:rsidR="00B14D53" w14:paraId="53DB3D42" w14:textId="77777777">
        <w:trPr>
          <w:trHeight w:val="146"/>
          <w:jc w:val="center"/>
        </w:trPr>
        <w:tc>
          <w:tcPr>
            <w:tcW w:w="1784" w:type="dxa"/>
            <w:vMerge/>
            <w:vAlign w:val="center"/>
          </w:tcPr>
          <w:p w14:paraId="2787DF2A" w14:textId="77777777" w:rsidR="00B14D53" w:rsidRDefault="00B14D53">
            <w:pPr>
              <w:pStyle w:val="afff"/>
              <w:adjustRightInd/>
              <w:snapToGrid/>
              <w:spacing w:line="0" w:lineRule="atLeast"/>
              <w:ind w:firstLineChars="0" w:firstLine="0"/>
              <w:contextualSpacing/>
              <w:jc w:val="center"/>
              <w:rPr>
                <w:rFonts w:ascii="Times New Roman" w:hAnsi="Times New Roman" w:cs="Times New Roman"/>
                <w:b/>
                <w:bCs/>
                <w:sz w:val="21"/>
                <w:szCs w:val="21"/>
              </w:rPr>
            </w:pPr>
          </w:p>
        </w:tc>
        <w:tc>
          <w:tcPr>
            <w:tcW w:w="1843" w:type="dxa"/>
            <w:vAlign w:val="center"/>
          </w:tcPr>
          <w:p w14:paraId="22891AD6" w14:textId="77777777" w:rsidR="00B14D53" w:rsidRDefault="00000000">
            <w:pPr>
              <w:spacing w:line="0" w:lineRule="atLeast"/>
              <w:contextualSpacing/>
              <w:jc w:val="center"/>
              <w:rPr>
                <w:rFonts w:eastAsiaTheme="minorEastAsia"/>
                <w:b/>
                <w:bCs/>
                <w:szCs w:val="21"/>
              </w:rPr>
            </w:pPr>
            <w:r>
              <w:rPr>
                <w:rFonts w:eastAsiaTheme="minorEastAsia"/>
                <w:b/>
                <w:bCs/>
                <w:kern w:val="0"/>
                <w:szCs w:val="21"/>
              </w:rPr>
              <w:t>预测质量浓度</w:t>
            </w:r>
            <w:r>
              <w:rPr>
                <w:rFonts w:eastAsiaTheme="minorEastAsia"/>
                <w:b/>
                <w:bCs/>
                <w:kern w:val="0"/>
                <w:szCs w:val="21"/>
              </w:rPr>
              <w:t>/(μg/m</w:t>
            </w:r>
            <w:r>
              <w:rPr>
                <w:rFonts w:eastAsiaTheme="minorEastAsia"/>
                <w:b/>
                <w:bCs/>
                <w:kern w:val="0"/>
                <w:szCs w:val="21"/>
                <w:vertAlign w:val="superscript"/>
              </w:rPr>
              <w:t>3</w:t>
            </w:r>
            <w:r>
              <w:rPr>
                <w:rFonts w:eastAsiaTheme="minorEastAsia"/>
                <w:b/>
                <w:bCs/>
                <w:kern w:val="0"/>
                <w:szCs w:val="21"/>
              </w:rPr>
              <w:t>)</w:t>
            </w:r>
          </w:p>
        </w:tc>
        <w:tc>
          <w:tcPr>
            <w:tcW w:w="1559" w:type="dxa"/>
            <w:vAlign w:val="center"/>
          </w:tcPr>
          <w:p w14:paraId="00D74FA6" w14:textId="77777777" w:rsidR="00B14D53" w:rsidRDefault="00000000">
            <w:pPr>
              <w:spacing w:line="0" w:lineRule="atLeast"/>
              <w:contextualSpacing/>
              <w:jc w:val="center"/>
              <w:rPr>
                <w:rFonts w:eastAsiaTheme="minorEastAsia"/>
                <w:b/>
                <w:bCs/>
                <w:szCs w:val="21"/>
              </w:rPr>
            </w:pPr>
            <w:r>
              <w:rPr>
                <w:rFonts w:eastAsiaTheme="minorEastAsia"/>
                <w:b/>
                <w:bCs/>
                <w:szCs w:val="21"/>
              </w:rPr>
              <w:t>占标率</w:t>
            </w:r>
            <w:r>
              <w:rPr>
                <w:rFonts w:eastAsiaTheme="minorEastAsia"/>
                <w:b/>
                <w:bCs/>
                <w:szCs w:val="21"/>
              </w:rPr>
              <w:t>%</w:t>
            </w:r>
          </w:p>
        </w:tc>
        <w:tc>
          <w:tcPr>
            <w:tcW w:w="1843" w:type="dxa"/>
            <w:vAlign w:val="center"/>
          </w:tcPr>
          <w:p w14:paraId="5F1746DB" w14:textId="77777777" w:rsidR="00B14D53" w:rsidRDefault="00000000">
            <w:pPr>
              <w:spacing w:line="0" w:lineRule="atLeast"/>
              <w:contextualSpacing/>
              <w:jc w:val="center"/>
              <w:rPr>
                <w:rFonts w:eastAsiaTheme="minorEastAsia"/>
                <w:b/>
                <w:bCs/>
                <w:szCs w:val="21"/>
              </w:rPr>
            </w:pPr>
            <w:r>
              <w:rPr>
                <w:rFonts w:eastAsiaTheme="minorEastAsia"/>
                <w:b/>
                <w:bCs/>
                <w:kern w:val="0"/>
                <w:szCs w:val="21"/>
              </w:rPr>
              <w:t>预测质量浓度</w:t>
            </w:r>
            <w:r>
              <w:rPr>
                <w:rFonts w:eastAsiaTheme="minorEastAsia"/>
                <w:b/>
                <w:bCs/>
                <w:kern w:val="0"/>
                <w:szCs w:val="21"/>
              </w:rPr>
              <w:t>/(μg/m</w:t>
            </w:r>
            <w:r>
              <w:rPr>
                <w:rFonts w:eastAsiaTheme="minorEastAsia"/>
                <w:b/>
                <w:bCs/>
                <w:kern w:val="0"/>
                <w:szCs w:val="21"/>
                <w:vertAlign w:val="superscript"/>
              </w:rPr>
              <w:t>3</w:t>
            </w:r>
            <w:r>
              <w:rPr>
                <w:rFonts w:eastAsiaTheme="minorEastAsia"/>
                <w:b/>
                <w:bCs/>
                <w:kern w:val="0"/>
                <w:szCs w:val="21"/>
              </w:rPr>
              <w:t>)</w:t>
            </w:r>
          </w:p>
        </w:tc>
        <w:tc>
          <w:tcPr>
            <w:tcW w:w="1442" w:type="dxa"/>
            <w:vAlign w:val="center"/>
          </w:tcPr>
          <w:p w14:paraId="1B061834" w14:textId="77777777" w:rsidR="00B14D53" w:rsidRDefault="00000000">
            <w:pPr>
              <w:tabs>
                <w:tab w:val="left" w:pos="420"/>
              </w:tabs>
              <w:autoSpaceDE w:val="0"/>
              <w:autoSpaceDN w:val="0"/>
              <w:spacing w:line="0" w:lineRule="atLeast"/>
              <w:contextualSpacing/>
              <w:jc w:val="center"/>
              <w:rPr>
                <w:rFonts w:eastAsiaTheme="minorEastAsia"/>
                <w:b/>
                <w:bCs/>
                <w:kern w:val="0"/>
                <w:szCs w:val="21"/>
              </w:rPr>
            </w:pPr>
            <w:r>
              <w:rPr>
                <w:rFonts w:eastAsiaTheme="minorEastAsia"/>
                <w:b/>
                <w:bCs/>
                <w:kern w:val="0"/>
                <w:szCs w:val="21"/>
              </w:rPr>
              <w:t>占标率</w:t>
            </w:r>
            <w:r>
              <w:rPr>
                <w:rFonts w:eastAsiaTheme="minorEastAsia"/>
                <w:b/>
                <w:bCs/>
                <w:kern w:val="0"/>
                <w:szCs w:val="21"/>
              </w:rPr>
              <w:t>/(%)</w:t>
            </w:r>
          </w:p>
        </w:tc>
      </w:tr>
      <w:tr w:rsidR="00B14D53" w14:paraId="5AB2C5C9" w14:textId="77777777">
        <w:trPr>
          <w:trHeight w:val="295"/>
          <w:jc w:val="center"/>
        </w:trPr>
        <w:tc>
          <w:tcPr>
            <w:tcW w:w="1784" w:type="dxa"/>
            <w:vAlign w:val="center"/>
          </w:tcPr>
          <w:p w14:paraId="1CC9F9ED"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50</w:t>
            </w:r>
          </w:p>
        </w:tc>
        <w:tc>
          <w:tcPr>
            <w:tcW w:w="1843" w:type="dxa"/>
            <w:vAlign w:val="center"/>
          </w:tcPr>
          <w:p w14:paraId="0B85B0A0" w14:textId="77777777" w:rsidR="00B14D53" w:rsidRDefault="00000000">
            <w:pPr>
              <w:spacing w:line="0" w:lineRule="atLeast"/>
              <w:contextualSpacing/>
              <w:jc w:val="center"/>
              <w:rPr>
                <w:szCs w:val="21"/>
              </w:rPr>
            </w:pPr>
            <w:r>
              <w:rPr>
                <w:rFonts w:eastAsiaTheme="minorEastAsia" w:hint="eastAsia"/>
                <w:szCs w:val="21"/>
              </w:rPr>
              <w:t>3.8003</w:t>
            </w:r>
          </w:p>
        </w:tc>
        <w:tc>
          <w:tcPr>
            <w:tcW w:w="1559" w:type="dxa"/>
            <w:vAlign w:val="center"/>
          </w:tcPr>
          <w:p w14:paraId="22D58E18" w14:textId="77777777" w:rsidR="00B14D53" w:rsidRDefault="00000000">
            <w:pPr>
              <w:spacing w:line="0" w:lineRule="atLeast"/>
              <w:contextualSpacing/>
              <w:jc w:val="center"/>
              <w:rPr>
                <w:szCs w:val="21"/>
              </w:rPr>
            </w:pPr>
            <w:r>
              <w:rPr>
                <w:rFonts w:eastAsiaTheme="minorEastAsia" w:hint="eastAsia"/>
                <w:szCs w:val="21"/>
              </w:rPr>
              <w:t>1.9002</w:t>
            </w:r>
          </w:p>
        </w:tc>
        <w:tc>
          <w:tcPr>
            <w:tcW w:w="1843" w:type="dxa"/>
            <w:vAlign w:val="center"/>
          </w:tcPr>
          <w:p w14:paraId="75B8E962" w14:textId="77777777" w:rsidR="00B14D53" w:rsidRDefault="00000000">
            <w:pPr>
              <w:spacing w:line="0" w:lineRule="atLeast"/>
              <w:contextualSpacing/>
              <w:jc w:val="center"/>
              <w:rPr>
                <w:szCs w:val="21"/>
              </w:rPr>
            </w:pPr>
            <w:r>
              <w:rPr>
                <w:rFonts w:eastAsiaTheme="minorEastAsia" w:hint="eastAsia"/>
                <w:szCs w:val="21"/>
              </w:rPr>
              <w:t>0.1267</w:t>
            </w:r>
          </w:p>
        </w:tc>
        <w:tc>
          <w:tcPr>
            <w:tcW w:w="1442" w:type="dxa"/>
            <w:vAlign w:val="center"/>
          </w:tcPr>
          <w:p w14:paraId="51DE5D6B" w14:textId="77777777" w:rsidR="00B14D53" w:rsidRDefault="00000000">
            <w:pPr>
              <w:spacing w:line="0" w:lineRule="atLeast"/>
              <w:contextualSpacing/>
              <w:jc w:val="center"/>
              <w:rPr>
                <w:szCs w:val="21"/>
              </w:rPr>
            </w:pPr>
            <w:r>
              <w:rPr>
                <w:rFonts w:eastAsiaTheme="minorEastAsia" w:hint="eastAsia"/>
                <w:szCs w:val="21"/>
              </w:rPr>
              <w:t>1.2668</w:t>
            </w:r>
          </w:p>
        </w:tc>
      </w:tr>
      <w:tr w:rsidR="00B14D53" w14:paraId="408CE2EC" w14:textId="77777777">
        <w:trPr>
          <w:trHeight w:val="263"/>
          <w:jc w:val="center"/>
        </w:trPr>
        <w:tc>
          <w:tcPr>
            <w:tcW w:w="1784" w:type="dxa"/>
            <w:vAlign w:val="center"/>
          </w:tcPr>
          <w:p w14:paraId="175A89C9"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100</w:t>
            </w:r>
          </w:p>
        </w:tc>
        <w:tc>
          <w:tcPr>
            <w:tcW w:w="1843" w:type="dxa"/>
            <w:vAlign w:val="center"/>
          </w:tcPr>
          <w:p w14:paraId="0764AEBA" w14:textId="77777777" w:rsidR="00B14D53" w:rsidRDefault="00000000">
            <w:pPr>
              <w:spacing w:line="0" w:lineRule="atLeast"/>
              <w:contextualSpacing/>
              <w:jc w:val="center"/>
              <w:rPr>
                <w:szCs w:val="21"/>
              </w:rPr>
            </w:pPr>
            <w:r>
              <w:rPr>
                <w:rFonts w:eastAsiaTheme="minorEastAsia" w:hint="eastAsia"/>
                <w:szCs w:val="21"/>
              </w:rPr>
              <w:t>2.8802</w:t>
            </w:r>
          </w:p>
        </w:tc>
        <w:tc>
          <w:tcPr>
            <w:tcW w:w="1559" w:type="dxa"/>
            <w:vAlign w:val="center"/>
          </w:tcPr>
          <w:p w14:paraId="3C8FCCB8" w14:textId="77777777" w:rsidR="00B14D53" w:rsidRDefault="00000000">
            <w:pPr>
              <w:spacing w:line="0" w:lineRule="atLeast"/>
              <w:contextualSpacing/>
              <w:jc w:val="center"/>
              <w:rPr>
                <w:szCs w:val="21"/>
              </w:rPr>
            </w:pPr>
            <w:r>
              <w:rPr>
                <w:rFonts w:eastAsiaTheme="minorEastAsia" w:hint="eastAsia"/>
                <w:szCs w:val="21"/>
              </w:rPr>
              <w:t>1.4401</w:t>
            </w:r>
          </w:p>
        </w:tc>
        <w:tc>
          <w:tcPr>
            <w:tcW w:w="1843" w:type="dxa"/>
            <w:vAlign w:val="center"/>
          </w:tcPr>
          <w:p w14:paraId="73AD7CB1" w14:textId="77777777" w:rsidR="00B14D53" w:rsidRDefault="00000000">
            <w:pPr>
              <w:spacing w:line="0" w:lineRule="atLeast"/>
              <w:contextualSpacing/>
              <w:jc w:val="center"/>
              <w:rPr>
                <w:szCs w:val="21"/>
              </w:rPr>
            </w:pPr>
            <w:r>
              <w:rPr>
                <w:rFonts w:eastAsiaTheme="minorEastAsia" w:hint="eastAsia"/>
                <w:szCs w:val="21"/>
              </w:rPr>
              <w:t>0.0960</w:t>
            </w:r>
          </w:p>
        </w:tc>
        <w:tc>
          <w:tcPr>
            <w:tcW w:w="1442" w:type="dxa"/>
            <w:vAlign w:val="center"/>
          </w:tcPr>
          <w:p w14:paraId="619587F0" w14:textId="77777777" w:rsidR="00B14D53" w:rsidRDefault="00000000">
            <w:pPr>
              <w:spacing w:line="0" w:lineRule="atLeast"/>
              <w:contextualSpacing/>
              <w:jc w:val="center"/>
              <w:rPr>
                <w:szCs w:val="21"/>
              </w:rPr>
            </w:pPr>
            <w:r>
              <w:rPr>
                <w:rFonts w:eastAsiaTheme="minorEastAsia" w:hint="eastAsia"/>
                <w:szCs w:val="21"/>
              </w:rPr>
              <w:t>0.9601</w:t>
            </w:r>
          </w:p>
        </w:tc>
      </w:tr>
      <w:tr w:rsidR="00B14D53" w14:paraId="7D05143B" w14:textId="77777777">
        <w:trPr>
          <w:trHeight w:val="285"/>
          <w:jc w:val="center"/>
        </w:trPr>
        <w:tc>
          <w:tcPr>
            <w:tcW w:w="1784" w:type="dxa"/>
            <w:vAlign w:val="center"/>
          </w:tcPr>
          <w:p w14:paraId="77EA3E50"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200</w:t>
            </w:r>
          </w:p>
        </w:tc>
        <w:tc>
          <w:tcPr>
            <w:tcW w:w="1843" w:type="dxa"/>
            <w:vAlign w:val="center"/>
          </w:tcPr>
          <w:p w14:paraId="7065874F" w14:textId="77777777" w:rsidR="00B14D53" w:rsidRDefault="00000000">
            <w:pPr>
              <w:spacing w:line="0" w:lineRule="atLeast"/>
              <w:contextualSpacing/>
              <w:jc w:val="center"/>
              <w:rPr>
                <w:szCs w:val="21"/>
              </w:rPr>
            </w:pPr>
            <w:r>
              <w:rPr>
                <w:rFonts w:eastAsiaTheme="minorEastAsia" w:hint="eastAsia"/>
                <w:szCs w:val="21"/>
              </w:rPr>
              <w:t>1.9682</w:t>
            </w:r>
          </w:p>
        </w:tc>
        <w:tc>
          <w:tcPr>
            <w:tcW w:w="1559" w:type="dxa"/>
            <w:vAlign w:val="center"/>
          </w:tcPr>
          <w:p w14:paraId="0204D278" w14:textId="77777777" w:rsidR="00B14D53" w:rsidRDefault="00000000">
            <w:pPr>
              <w:spacing w:line="0" w:lineRule="atLeast"/>
              <w:contextualSpacing/>
              <w:jc w:val="center"/>
              <w:rPr>
                <w:szCs w:val="21"/>
              </w:rPr>
            </w:pPr>
            <w:r>
              <w:rPr>
                <w:rFonts w:eastAsiaTheme="minorEastAsia" w:hint="eastAsia"/>
                <w:szCs w:val="21"/>
              </w:rPr>
              <w:t>0.9841</w:t>
            </w:r>
          </w:p>
        </w:tc>
        <w:tc>
          <w:tcPr>
            <w:tcW w:w="1843" w:type="dxa"/>
            <w:vAlign w:val="center"/>
          </w:tcPr>
          <w:p w14:paraId="0E0B074F" w14:textId="77777777" w:rsidR="00B14D53" w:rsidRDefault="00000000">
            <w:pPr>
              <w:spacing w:line="0" w:lineRule="atLeast"/>
              <w:contextualSpacing/>
              <w:jc w:val="center"/>
              <w:rPr>
                <w:szCs w:val="21"/>
              </w:rPr>
            </w:pPr>
            <w:r>
              <w:rPr>
                <w:rFonts w:eastAsiaTheme="minorEastAsia" w:hint="eastAsia"/>
                <w:szCs w:val="21"/>
              </w:rPr>
              <w:t>0.0656</w:t>
            </w:r>
          </w:p>
        </w:tc>
        <w:tc>
          <w:tcPr>
            <w:tcW w:w="1442" w:type="dxa"/>
            <w:vAlign w:val="center"/>
          </w:tcPr>
          <w:p w14:paraId="582420A4" w14:textId="77777777" w:rsidR="00B14D53" w:rsidRDefault="00000000">
            <w:pPr>
              <w:spacing w:line="0" w:lineRule="atLeast"/>
              <w:contextualSpacing/>
              <w:jc w:val="center"/>
              <w:rPr>
                <w:szCs w:val="21"/>
              </w:rPr>
            </w:pPr>
            <w:r>
              <w:rPr>
                <w:rFonts w:eastAsiaTheme="minorEastAsia" w:hint="eastAsia"/>
                <w:szCs w:val="21"/>
              </w:rPr>
              <w:t>0.6561</w:t>
            </w:r>
          </w:p>
        </w:tc>
      </w:tr>
      <w:tr w:rsidR="00B14D53" w14:paraId="7FD34D10" w14:textId="77777777">
        <w:trPr>
          <w:trHeight w:val="292"/>
          <w:jc w:val="center"/>
        </w:trPr>
        <w:tc>
          <w:tcPr>
            <w:tcW w:w="1784" w:type="dxa"/>
            <w:vAlign w:val="center"/>
          </w:tcPr>
          <w:p w14:paraId="46E627C6"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300</w:t>
            </w:r>
          </w:p>
        </w:tc>
        <w:tc>
          <w:tcPr>
            <w:tcW w:w="1843" w:type="dxa"/>
            <w:vAlign w:val="center"/>
          </w:tcPr>
          <w:p w14:paraId="0690B904" w14:textId="77777777" w:rsidR="00B14D53" w:rsidRDefault="00000000">
            <w:pPr>
              <w:spacing w:line="0" w:lineRule="atLeast"/>
              <w:contextualSpacing/>
              <w:jc w:val="center"/>
              <w:rPr>
                <w:szCs w:val="21"/>
              </w:rPr>
            </w:pPr>
            <w:r>
              <w:rPr>
                <w:rFonts w:eastAsiaTheme="minorEastAsia" w:hint="eastAsia"/>
                <w:szCs w:val="21"/>
              </w:rPr>
              <w:t>1.5209</w:t>
            </w:r>
          </w:p>
        </w:tc>
        <w:tc>
          <w:tcPr>
            <w:tcW w:w="1559" w:type="dxa"/>
            <w:vAlign w:val="center"/>
          </w:tcPr>
          <w:p w14:paraId="79167902" w14:textId="77777777" w:rsidR="00B14D53" w:rsidRDefault="00000000">
            <w:pPr>
              <w:spacing w:line="0" w:lineRule="atLeast"/>
              <w:contextualSpacing/>
              <w:jc w:val="center"/>
              <w:rPr>
                <w:szCs w:val="21"/>
              </w:rPr>
            </w:pPr>
            <w:r>
              <w:rPr>
                <w:rFonts w:eastAsiaTheme="minorEastAsia" w:hint="eastAsia"/>
                <w:szCs w:val="21"/>
              </w:rPr>
              <w:t>0.7604</w:t>
            </w:r>
          </w:p>
        </w:tc>
        <w:tc>
          <w:tcPr>
            <w:tcW w:w="1843" w:type="dxa"/>
            <w:vAlign w:val="center"/>
          </w:tcPr>
          <w:p w14:paraId="6E2D4885" w14:textId="77777777" w:rsidR="00B14D53" w:rsidRDefault="00000000">
            <w:pPr>
              <w:spacing w:line="0" w:lineRule="atLeast"/>
              <w:contextualSpacing/>
              <w:jc w:val="center"/>
              <w:rPr>
                <w:szCs w:val="21"/>
              </w:rPr>
            </w:pPr>
            <w:r>
              <w:rPr>
                <w:rFonts w:eastAsiaTheme="minorEastAsia" w:hint="eastAsia"/>
                <w:szCs w:val="21"/>
              </w:rPr>
              <w:t>0.0507</w:t>
            </w:r>
          </w:p>
        </w:tc>
        <w:tc>
          <w:tcPr>
            <w:tcW w:w="1442" w:type="dxa"/>
            <w:vAlign w:val="center"/>
          </w:tcPr>
          <w:p w14:paraId="5A440DD3" w14:textId="77777777" w:rsidR="00B14D53" w:rsidRDefault="00000000">
            <w:pPr>
              <w:spacing w:line="0" w:lineRule="atLeast"/>
              <w:contextualSpacing/>
              <w:jc w:val="center"/>
              <w:rPr>
                <w:szCs w:val="21"/>
              </w:rPr>
            </w:pPr>
            <w:r>
              <w:rPr>
                <w:rFonts w:eastAsiaTheme="minorEastAsia" w:hint="eastAsia"/>
                <w:szCs w:val="21"/>
              </w:rPr>
              <w:t>0.5070</w:t>
            </w:r>
          </w:p>
        </w:tc>
      </w:tr>
      <w:tr w:rsidR="00B14D53" w14:paraId="59352521" w14:textId="77777777">
        <w:trPr>
          <w:trHeight w:val="295"/>
          <w:jc w:val="center"/>
        </w:trPr>
        <w:tc>
          <w:tcPr>
            <w:tcW w:w="1784" w:type="dxa"/>
            <w:vAlign w:val="center"/>
          </w:tcPr>
          <w:p w14:paraId="684050DA"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400</w:t>
            </w:r>
          </w:p>
        </w:tc>
        <w:tc>
          <w:tcPr>
            <w:tcW w:w="1843" w:type="dxa"/>
            <w:vAlign w:val="center"/>
          </w:tcPr>
          <w:p w14:paraId="066AA6B9" w14:textId="77777777" w:rsidR="00B14D53" w:rsidRDefault="00000000">
            <w:pPr>
              <w:spacing w:line="0" w:lineRule="atLeast"/>
              <w:contextualSpacing/>
              <w:jc w:val="center"/>
              <w:rPr>
                <w:szCs w:val="21"/>
              </w:rPr>
            </w:pPr>
            <w:r>
              <w:rPr>
                <w:rFonts w:eastAsiaTheme="minorEastAsia" w:hint="eastAsia"/>
                <w:szCs w:val="21"/>
              </w:rPr>
              <w:t>1.2544</w:t>
            </w:r>
          </w:p>
        </w:tc>
        <w:tc>
          <w:tcPr>
            <w:tcW w:w="1559" w:type="dxa"/>
            <w:vAlign w:val="center"/>
          </w:tcPr>
          <w:p w14:paraId="448AAD6C" w14:textId="77777777" w:rsidR="00B14D53" w:rsidRDefault="00000000">
            <w:pPr>
              <w:spacing w:line="0" w:lineRule="atLeast"/>
              <w:contextualSpacing/>
              <w:jc w:val="center"/>
              <w:rPr>
                <w:szCs w:val="21"/>
              </w:rPr>
            </w:pPr>
            <w:r>
              <w:rPr>
                <w:rFonts w:eastAsiaTheme="minorEastAsia" w:hint="eastAsia"/>
                <w:szCs w:val="21"/>
              </w:rPr>
              <w:t>0.6272</w:t>
            </w:r>
          </w:p>
        </w:tc>
        <w:tc>
          <w:tcPr>
            <w:tcW w:w="1843" w:type="dxa"/>
            <w:vAlign w:val="center"/>
          </w:tcPr>
          <w:p w14:paraId="172BD424" w14:textId="77777777" w:rsidR="00B14D53" w:rsidRDefault="00000000">
            <w:pPr>
              <w:spacing w:line="0" w:lineRule="atLeast"/>
              <w:contextualSpacing/>
              <w:jc w:val="center"/>
              <w:rPr>
                <w:szCs w:val="21"/>
              </w:rPr>
            </w:pPr>
            <w:r>
              <w:rPr>
                <w:rFonts w:eastAsiaTheme="minorEastAsia" w:hint="eastAsia"/>
                <w:szCs w:val="21"/>
              </w:rPr>
              <w:t>0.0418</w:t>
            </w:r>
          </w:p>
        </w:tc>
        <w:tc>
          <w:tcPr>
            <w:tcW w:w="1442" w:type="dxa"/>
            <w:vAlign w:val="center"/>
          </w:tcPr>
          <w:p w14:paraId="07761CA2" w14:textId="77777777" w:rsidR="00B14D53" w:rsidRDefault="00000000">
            <w:pPr>
              <w:spacing w:line="0" w:lineRule="atLeast"/>
              <w:contextualSpacing/>
              <w:jc w:val="center"/>
              <w:rPr>
                <w:szCs w:val="21"/>
              </w:rPr>
            </w:pPr>
            <w:r>
              <w:rPr>
                <w:rFonts w:eastAsiaTheme="minorEastAsia" w:hint="eastAsia"/>
                <w:szCs w:val="21"/>
              </w:rPr>
              <w:t>0.4181</w:t>
            </w:r>
          </w:p>
        </w:tc>
      </w:tr>
      <w:tr w:rsidR="00B14D53" w14:paraId="3982E3D9" w14:textId="77777777">
        <w:trPr>
          <w:trHeight w:val="281"/>
          <w:jc w:val="center"/>
        </w:trPr>
        <w:tc>
          <w:tcPr>
            <w:tcW w:w="1784" w:type="dxa"/>
            <w:vAlign w:val="center"/>
          </w:tcPr>
          <w:p w14:paraId="66DE3841"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500</w:t>
            </w:r>
          </w:p>
        </w:tc>
        <w:tc>
          <w:tcPr>
            <w:tcW w:w="1843" w:type="dxa"/>
            <w:vAlign w:val="center"/>
          </w:tcPr>
          <w:p w14:paraId="76210A93" w14:textId="77777777" w:rsidR="00B14D53" w:rsidRDefault="00000000">
            <w:pPr>
              <w:spacing w:line="0" w:lineRule="atLeast"/>
              <w:contextualSpacing/>
              <w:jc w:val="center"/>
              <w:rPr>
                <w:szCs w:val="21"/>
              </w:rPr>
            </w:pPr>
            <w:r>
              <w:rPr>
                <w:rFonts w:eastAsiaTheme="minorEastAsia" w:hint="eastAsia"/>
                <w:szCs w:val="21"/>
              </w:rPr>
              <w:t>1.0976</w:t>
            </w:r>
          </w:p>
        </w:tc>
        <w:tc>
          <w:tcPr>
            <w:tcW w:w="1559" w:type="dxa"/>
            <w:vAlign w:val="center"/>
          </w:tcPr>
          <w:p w14:paraId="6C9F97FE" w14:textId="77777777" w:rsidR="00B14D53" w:rsidRDefault="00000000">
            <w:pPr>
              <w:spacing w:line="0" w:lineRule="atLeast"/>
              <w:contextualSpacing/>
              <w:jc w:val="center"/>
              <w:rPr>
                <w:szCs w:val="21"/>
              </w:rPr>
            </w:pPr>
            <w:r>
              <w:rPr>
                <w:rFonts w:eastAsiaTheme="minorEastAsia" w:hint="eastAsia"/>
                <w:szCs w:val="21"/>
              </w:rPr>
              <w:t>0.5488</w:t>
            </w:r>
          </w:p>
        </w:tc>
        <w:tc>
          <w:tcPr>
            <w:tcW w:w="1843" w:type="dxa"/>
            <w:vAlign w:val="center"/>
          </w:tcPr>
          <w:p w14:paraId="4196EF5F" w14:textId="77777777" w:rsidR="00B14D53" w:rsidRDefault="00000000">
            <w:pPr>
              <w:spacing w:line="0" w:lineRule="atLeast"/>
              <w:contextualSpacing/>
              <w:jc w:val="center"/>
              <w:rPr>
                <w:szCs w:val="21"/>
              </w:rPr>
            </w:pPr>
            <w:r>
              <w:rPr>
                <w:rFonts w:eastAsiaTheme="minorEastAsia" w:hint="eastAsia"/>
                <w:szCs w:val="21"/>
              </w:rPr>
              <w:t>0.0366</w:t>
            </w:r>
          </w:p>
        </w:tc>
        <w:tc>
          <w:tcPr>
            <w:tcW w:w="1442" w:type="dxa"/>
            <w:vAlign w:val="center"/>
          </w:tcPr>
          <w:p w14:paraId="5669F257" w14:textId="77777777" w:rsidR="00B14D53" w:rsidRDefault="00000000">
            <w:pPr>
              <w:spacing w:line="0" w:lineRule="atLeast"/>
              <w:contextualSpacing/>
              <w:jc w:val="center"/>
              <w:rPr>
                <w:szCs w:val="21"/>
              </w:rPr>
            </w:pPr>
            <w:r>
              <w:rPr>
                <w:rFonts w:eastAsiaTheme="minorEastAsia" w:hint="eastAsia"/>
                <w:szCs w:val="21"/>
              </w:rPr>
              <w:t>0.3659</w:t>
            </w:r>
          </w:p>
        </w:tc>
      </w:tr>
      <w:tr w:rsidR="00B14D53" w14:paraId="65FC268F" w14:textId="77777777">
        <w:trPr>
          <w:trHeight w:val="295"/>
          <w:jc w:val="center"/>
        </w:trPr>
        <w:tc>
          <w:tcPr>
            <w:tcW w:w="1784" w:type="dxa"/>
            <w:vAlign w:val="center"/>
          </w:tcPr>
          <w:p w14:paraId="6D6BD96A"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600</w:t>
            </w:r>
          </w:p>
        </w:tc>
        <w:tc>
          <w:tcPr>
            <w:tcW w:w="1843" w:type="dxa"/>
            <w:vAlign w:val="center"/>
          </w:tcPr>
          <w:p w14:paraId="5D80B2B0" w14:textId="77777777" w:rsidR="00B14D53" w:rsidRDefault="00000000">
            <w:pPr>
              <w:spacing w:line="0" w:lineRule="atLeast"/>
              <w:contextualSpacing/>
              <w:jc w:val="center"/>
              <w:rPr>
                <w:szCs w:val="21"/>
              </w:rPr>
            </w:pPr>
            <w:r>
              <w:rPr>
                <w:rFonts w:eastAsiaTheme="minorEastAsia" w:hint="eastAsia"/>
                <w:szCs w:val="21"/>
              </w:rPr>
              <w:t>0.9611</w:t>
            </w:r>
          </w:p>
        </w:tc>
        <w:tc>
          <w:tcPr>
            <w:tcW w:w="1559" w:type="dxa"/>
            <w:vAlign w:val="center"/>
          </w:tcPr>
          <w:p w14:paraId="2D53FB75" w14:textId="77777777" w:rsidR="00B14D53" w:rsidRDefault="00000000">
            <w:pPr>
              <w:spacing w:line="0" w:lineRule="atLeast"/>
              <w:contextualSpacing/>
              <w:jc w:val="center"/>
              <w:rPr>
                <w:szCs w:val="21"/>
              </w:rPr>
            </w:pPr>
            <w:r>
              <w:rPr>
                <w:rFonts w:eastAsiaTheme="minorEastAsia" w:hint="eastAsia"/>
                <w:szCs w:val="21"/>
              </w:rPr>
              <w:t>0.4805</w:t>
            </w:r>
          </w:p>
        </w:tc>
        <w:tc>
          <w:tcPr>
            <w:tcW w:w="1843" w:type="dxa"/>
            <w:vAlign w:val="center"/>
          </w:tcPr>
          <w:p w14:paraId="09E2721A" w14:textId="77777777" w:rsidR="00B14D53" w:rsidRDefault="00000000">
            <w:pPr>
              <w:spacing w:line="0" w:lineRule="atLeast"/>
              <w:contextualSpacing/>
              <w:jc w:val="center"/>
              <w:rPr>
                <w:szCs w:val="21"/>
              </w:rPr>
            </w:pPr>
            <w:r>
              <w:rPr>
                <w:rFonts w:eastAsiaTheme="minorEastAsia" w:hint="eastAsia"/>
                <w:szCs w:val="21"/>
              </w:rPr>
              <w:t>0.0320</w:t>
            </w:r>
          </w:p>
        </w:tc>
        <w:tc>
          <w:tcPr>
            <w:tcW w:w="1442" w:type="dxa"/>
            <w:vAlign w:val="center"/>
          </w:tcPr>
          <w:p w14:paraId="4F400492" w14:textId="77777777" w:rsidR="00B14D53" w:rsidRDefault="00000000">
            <w:pPr>
              <w:spacing w:line="0" w:lineRule="atLeast"/>
              <w:contextualSpacing/>
              <w:jc w:val="center"/>
              <w:rPr>
                <w:szCs w:val="21"/>
              </w:rPr>
            </w:pPr>
            <w:r>
              <w:rPr>
                <w:rFonts w:eastAsiaTheme="minorEastAsia" w:hint="eastAsia"/>
                <w:szCs w:val="21"/>
              </w:rPr>
              <w:t>0.3204</w:t>
            </w:r>
          </w:p>
        </w:tc>
      </w:tr>
      <w:tr w:rsidR="00B14D53" w14:paraId="50701B13" w14:textId="77777777">
        <w:trPr>
          <w:trHeight w:val="273"/>
          <w:jc w:val="center"/>
        </w:trPr>
        <w:tc>
          <w:tcPr>
            <w:tcW w:w="1784" w:type="dxa"/>
            <w:vAlign w:val="center"/>
          </w:tcPr>
          <w:p w14:paraId="15602DC5"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700</w:t>
            </w:r>
          </w:p>
        </w:tc>
        <w:tc>
          <w:tcPr>
            <w:tcW w:w="1843" w:type="dxa"/>
            <w:vAlign w:val="center"/>
          </w:tcPr>
          <w:p w14:paraId="25C88EAC" w14:textId="77777777" w:rsidR="00B14D53" w:rsidRDefault="00000000">
            <w:pPr>
              <w:spacing w:line="0" w:lineRule="atLeast"/>
              <w:contextualSpacing/>
              <w:jc w:val="center"/>
              <w:rPr>
                <w:szCs w:val="21"/>
              </w:rPr>
            </w:pPr>
            <w:r>
              <w:rPr>
                <w:rFonts w:eastAsiaTheme="minorEastAsia" w:hint="eastAsia"/>
                <w:szCs w:val="21"/>
              </w:rPr>
              <w:t>0.8583</w:t>
            </w:r>
          </w:p>
        </w:tc>
        <w:tc>
          <w:tcPr>
            <w:tcW w:w="1559" w:type="dxa"/>
            <w:vAlign w:val="center"/>
          </w:tcPr>
          <w:p w14:paraId="1A16277E" w14:textId="77777777" w:rsidR="00B14D53" w:rsidRDefault="00000000">
            <w:pPr>
              <w:spacing w:line="0" w:lineRule="atLeast"/>
              <w:contextualSpacing/>
              <w:jc w:val="center"/>
              <w:rPr>
                <w:szCs w:val="21"/>
              </w:rPr>
            </w:pPr>
            <w:r>
              <w:rPr>
                <w:rFonts w:eastAsiaTheme="minorEastAsia" w:hint="eastAsia"/>
                <w:szCs w:val="21"/>
              </w:rPr>
              <w:t>0.4291</w:t>
            </w:r>
          </w:p>
        </w:tc>
        <w:tc>
          <w:tcPr>
            <w:tcW w:w="1843" w:type="dxa"/>
            <w:vAlign w:val="center"/>
          </w:tcPr>
          <w:p w14:paraId="5EF5B96E" w14:textId="77777777" w:rsidR="00B14D53" w:rsidRDefault="00000000">
            <w:pPr>
              <w:spacing w:line="0" w:lineRule="atLeast"/>
              <w:contextualSpacing/>
              <w:jc w:val="center"/>
              <w:rPr>
                <w:szCs w:val="21"/>
              </w:rPr>
            </w:pPr>
            <w:r>
              <w:rPr>
                <w:rFonts w:eastAsiaTheme="minorEastAsia" w:hint="eastAsia"/>
                <w:szCs w:val="21"/>
              </w:rPr>
              <w:t>0.0286</w:t>
            </w:r>
          </w:p>
        </w:tc>
        <w:tc>
          <w:tcPr>
            <w:tcW w:w="1442" w:type="dxa"/>
            <w:vAlign w:val="center"/>
          </w:tcPr>
          <w:p w14:paraId="13D794B2" w14:textId="77777777" w:rsidR="00B14D53" w:rsidRDefault="00000000">
            <w:pPr>
              <w:spacing w:line="0" w:lineRule="atLeast"/>
              <w:contextualSpacing/>
              <w:jc w:val="center"/>
              <w:rPr>
                <w:szCs w:val="21"/>
              </w:rPr>
            </w:pPr>
            <w:r>
              <w:rPr>
                <w:rFonts w:eastAsiaTheme="minorEastAsia" w:hint="eastAsia"/>
                <w:szCs w:val="21"/>
              </w:rPr>
              <w:t>0.2861</w:t>
            </w:r>
          </w:p>
        </w:tc>
      </w:tr>
      <w:tr w:rsidR="00B14D53" w14:paraId="6E0EBCD0" w14:textId="77777777">
        <w:trPr>
          <w:trHeight w:val="270"/>
          <w:jc w:val="center"/>
        </w:trPr>
        <w:tc>
          <w:tcPr>
            <w:tcW w:w="1784" w:type="dxa"/>
            <w:vAlign w:val="center"/>
          </w:tcPr>
          <w:p w14:paraId="77CB7A65"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800</w:t>
            </w:r>
          </w:p>
        </w:tc>
        <w:tc>
          <w:tcPr>
            <w:tcW w:w="1843" w:type="dxa"/>
            <w:vAlign w:val="center"/>
          </w:tcPr>
          <w:p w14:paraId="5423745E" w14:textId="77777777" w:rsidR="00B14D53" w:rsidRDefault="00000000">
            <w:pPr>
              <w:spacing w:line="0" w:lineRule="atLeast"/>
              <w:contextualSpacing/>
              <w:jc w:val="center"/>
              <w:rPr>
                <w:szCs w:val="21"/>
              </w:rPr>
            </w:pPr>
            <w:r>
              <w:rPr>
                <w:rFonts w:eastAsiaTheme="minorEastAsia" w:hint="eastAsia"/>
                <w:szCs w:val="21"/>
              </w:rPr>
              <w:t>0.7776</w:t>
            </w:r>
          </w:p>
        </w:tc>
        <w:tc>
          <w:tcPr>
            <w:tcW w:w="1559" w:type="dxa"/>
            <w:vAlign w:val="center"/>
          </w:tcPr>
          <w:p w14:paraId="6F3427C4" w14:textId="77777777" w:rsidR="00B14D53" w:rsidRDefault="00000000">
            <w:pPr>
              <w:spacing w:line="0" w:lineRule="atLeast"/>
              <w:contextualSpacing/>
              <w:jc w:val="center"/>
              <w:rPr>
                <w:szCs w:val="21"/>
              </w:rPr>
            </w:pPr>
            <w:r>
              <w:rPr>
                <w:rFonts w:eastAsiaTheme="minorEastAsia" w:hint="eastAsia"/>
                <w:szCs w:val="21"/>
              </w:rPr>
              <w:t>0.3888</w:t>
            </w:r>
          </w:p>
        </w:tc>
        <w:tc>
          <w:tcPr>
            <w:tcW w:w="1843" w:type="dxa"/>
            <w:vAlign w:val="center"/>
          </w:tcPr>
          <w:p w14:paraId="3EE68071" w14:textId="77777777" w:rsidR="00B14D53" w:rsidRDefault="00000000">
            <w:pPr>
              <w:spacing w:line="0" w:lineRule="atLeast"/>
              <w:contextualSpacing/>
              <w:jc w:val="center"/>
              <w:rPr>
                <w:szCs w:val="21"/>
              </w:rPr>
            </w:pPr>
            <w:r>
              <w:rPr>
                <w:rFonts w:eastAsiaTheme="minorEastAsia" w:hint="eastAsia"/>
                <w:szCs w:val="21"/>
              </w:rPr>
              <w:t>0.0259</w:t>
            </w:r>
          </w:p>
        </w:tc>
        <w:tc>
          <w:tcPr>
            <w:tcW w:w="1442" w:type="dxa"/>
            <w:vAlign w:val="center"/>
          </w:tcPr>
          <w:p w14:paraId="2BDA3ACE" w14:textId="77777777" w:rsidR="00B14D53" w:rsidRDefault="00000000">
            <w:pPr>
              <w:spacing w:line="0" w:lineRule="atLeast"/>
              <w:contextualSpacing/>
              <w:jc w:val="center"/>
              <w:rPr>
                <w:szCs w:val="21"/>
              </w:rPr>
            </w:pPr>
            <w:r>
              <w:rPr>
                <w:rFonts w:eastAsiaTheme="minorEastAsia" w:hint="eastAsia"/>
                <w:szCs w:val="21"/>
              </w:rPr>
              <w:t>0.2592</w:t>
            </w:r>
          </w:p>
        </w:tc>
      </w:tr>
      <w:tr w:rsidR="00B14D53" w14:paraId="2C745E16" w14:textId="77777777">
        <w:trPr>
          <w:trHeight w:val="286"/>
          <w:jc w:val="center"/>
        </w:trPr>
        <w:tc>
          <w:tcPr>
            <w:tcW w:w="1784" w:type="dxa"/>
            <w:vAlign w:val="center"/>
          </w:tcPr>
          <w:p w14:paraId="466E5872"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900</w:t>
            </w:r>
          </w:p>
        </w:tc>
        <w:tc>
          <w:tcPr>
            <w:tcW w:w="1843" w:type="dxa"/>
            <w:vAlign w:val="center"/>
          </w:tcPr>
          <w:p w14:paraId="1243E203" w14:textId="77777777" w:rsidR="00B14D53" w:rsidRDefault="00000000">
            <w:pPr>
              <w:spacing w:line="0" w:lineRule="atLeast"/>
              <w:contextualSpacing/>
              <w:jc w:val="center"/>
              <w:rPr>
                <w:szCs w:val="21"/>
              </w:rPr>
            </w:pPr>
            <w:r>
              <w:rPr>
                <w:rFonts w:eastAsiaTheme="minorEastAsia" w:hint="eastAsia"/>
                <w:szCs w:val="21"/>
              </w:rPr>
              <w:t>0.7124</w:t>
            </w:r>
          </w:p>
        </w:tc>
        <w:tc>
          <w:tcPr>
            <w:tcW w:w="1559" w:type="dxa"/>
            <w:vAlign w:val="center"/>
          </w:tcPr>
          <w:p w14:paraId="51424356" w14:textId="77777777" w:rsidR="00B14D53" w:rsidRDefault="00000000">
            <w:pPr>
              <w:spacing w:line="0" w:lineRule="atLeast"/>
              <w:contextualSpacing/>
              <w:jc w:val="center"/>
              <w:rPr>
                <w:szCs w:val="21"/>
              </w:rPr>
            </w:pPr>
            <w:r>
              <w:rPr>
                <w:rFonts w:eastAsiaTheme="minorEastAsia" w:hint="eastAsia"/>
                <w:szCs w:val="21"/>
              </w:rPr>
              <w:t>0.3562</w:t>
            </w:r>
          </w:p>
        </w:tc>
        <w:tc>
          <w:tcPr>
            <w:tcW w:w="1843" w:type="dxa"/>
            <w:vAlign w:val="center"/>
          </w:tcPr>
          <w:p w14:paraId="761E278F" w14:textId="77777777" w:rsidR="00B14D53" w:rsidRDefault="00000000">
            <w:pPr>
              <w:spacing w:line="0" w:lineRule="atLeast"/>
              <w:contextualSpacing/>
              <w:jc w:val="center"/>
              <w:rPr>
                <w:szCs w:val="21"/>
              </w:rPr>
            </w:pPr>
            <w:r>
              <w:rPr>
                <w:rFonts w:eastAsiaTheme="minorEastAsia" w:hint="eastAsia"/>
                <w:szCs w:val="21"/>
              </w:rPr>
              <w:t>0.0237</w:t>
            </w:r>
          </w:p>
        </w:tc>
        <w:tc>
          <w:tcPr>
            <w:tcW w:w="1442" w:type="dxa"/>
            <w:vAlign w:val="center"/>
          </w:tcPr>
          <w:p w14:paraId="7DE099AC" w14:textId="77777777" w:rsidR="00B14D53" w:rsidRDefault="00000000">
            <w:pPr>
              <w:spacing w:line="0" w:lineRule="atLeast"/>
              <w:contextualSpacing/>
              <w:jc w:val="center"/>
              <w:rPr>
                <w:szCs w:val="21"/>
              </w:rPr>
            </w:pPr>
            <w:r>
              <w:rPr>
                <w:rFonts w:eastAsiaTheme="minorEastAsia" w:hint="eastAsia"/>
                <w:szCs w:val="21"/>
              </w:rPr>
              <w:t>0.2375</w:t>
            </w:r>
          </w:p>
        </w:tc>
      </w:tr>
      <w:tr w:rsidR="00B14D53" w14:paraId="1B1D4449" w14:textId="77777777">
        <w:trPr>
          <w:trHeight w:val="284"/>
          <w:jc w:val="center"/>
        </w:trPr>
        <w:tc>
          <w:tcPr>
            <w:tcW w:w="1784" w:type="dxa"/>
            <w:vAlign w:val="center"/>
          </w:tcPr>
          <w:p w14:paraId="074A3C8D"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1000</w:t>
            </w:r>
          </w:p>
        </w:tc>
        <w:tc>
          <w:tcPr>
            <w:tcW w:w="1843" w:type="dxa"/>
            <w:vAlign w:val="center"/>
          </w:tcPr>
          <w:p w14:paraId="4601966F" w14:textId="77777777" w:rsidR="00B14D53" w:rsidRDefault="00000000">
            <w:pPr>
              <w:spacing w:line="0" w:lineRule="atLeast"/>
              <w:contextualSpacing/>
              <w:jc w:val="center"/>
              <w:rPr>
                <w:szCs w:val="21"/>
              </w:rPr>
            </w:pPr>
            <w:r>
              <w:rPr>
                <w:rFonts w:eastAsiaTheme="minorEastAsia" w:hint="eastAsia"/>
                <w:szCs w:val="21"/>
              </w:rPr>
              <w:t>0.6582</w:t>
            </w:r>
          </w:p>
        </w:tc>
        <w:tc>
          <w:tcPr>
            <w:tcW w:w="1559" w:type="dxa"/>
            <w:vAlign w:val="center"/>
          </w:tcPr>
          <w:p w14:paraId="45F4F66B" w14:textId="77777777" w:rsidR="00B14D53" w:rsidRDefault="00000000">
            <w:pPr>
              <w:spacing w:line="0" w:lineRule="atLeast"/>
              <w:contextualSpacing/>
              <w:jc w:val="center"/>
              <w:rPr>
                <w:szCs w:val="21"/>
              </w:rPr>
            </w:pPr>
            <w:r>
              <w:rPr>
                <w:rFonts w:eastAsiaTheme="minorEastAsia" w:hint="eastAsia"/>
                <w:szCs w:val="21"/>
              </w:rPr>
              <w:t>0.3291</w:t>
            </w:r>
          </w:p>
        </w:tc>
        <w:tc>
          <w:tcPr>
            <w:tcW w:w="1843" w:type="dxa"/>
            <w:vAlign w:val="center"/>
          </w:tcPr>
          <w:p w14:paraId="619E3565" w14:textId="77777777" w:rsidR="00B14D53" w:rsidRDefault="00000000">
            <w:pPr>
              <w:spacing w:line="0" w:lineRule="atLeast"/>
              <w:contextualSpacing/>
              <w:jc w:val="center"/>
              <w:rPr>
                <w:szCs w:val="21"/>
              </w:rPr>
            </w:pPr>
            <w:r>
              <w:rPr>
                <w:rFonts w:eastAsiaTheme="minorEastAsia" w:hint="eastAsia"/>
                <w:szCs w:val="21"/>
              </w:rPr>
              <w:t>0.0219</w:t>
            </w:r>
          </w:p>
        </w:tc>
        <w:tc>
          <w:tcPr>
            <w:tcW w:w="1442" w:type="dxa"/>
            <w:vAlign w:val="center"/>
          </w:tcPr>
          <w:p w14:paraId="0D734B52" w14:textId="77777777" w:rsidR="00B14D53" w:rsidRDefault="00000000">
            <w:pPr>
              <w:spacing w:line="0" w:lineRule="atLeast"/>
              <w:contextualSpacing/>
              <w:jc w:val="center"/>
              <w:rPr>
                <w:szCs w:val="21"/>
              </w:rPr>
            </w:pPr>
            <w:r>
              <w:rPr>
                <w:rFonts w:eastAsiaTheme="minorEastAsia" w:hint="eastAsia"/>
                <w:szCs w:val="21"/>
              </w:rPr>
              <w:t>0.2194</w:t>
            </w:r>
          </w:p>
        </w:tc>
      </w:tr>
      <w:tr w:rsidR="00B14D53" w14:paraId="03AB3B29" w14:textId="77777777">
        <w:trPr>
          <w:trHeight w:val="264"/>
          <w:jc w:val="center"/>
        </w:trPr>
        <w:tc>
          <w:tcPr>
            <w:tcW w:w="1784" w:type="dxa"/>
            <w:vAlign w:val="center"/>
          </w:tcPr>
          <w:p w14:paraId="4CD16089"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1600</w:t>
            </w:r>
          </w:p>
        </w:tc>
        <w:tc>
          <w:tcPr>
            <w:tcW w:w="1843" w:type="dxa"/>
            <w:vAlign w:val="center"/>
          </w:tcPr>
          <w:p w14:paraId="17715491" w14:textId="77777777" w:rsidR="00B14D53" w:rsidRDefault="00000000">
            <w:pPr>
              <w:spacing w:line="0" w:lineRule="atLeast"/>
              <w:contextualSpacing/>
              <w:jc w:val="center"/>
              <w:rPr>
                <w:szCs w:val="21"/>
              </w:rPr>
            </w:pPr>
            <w:r>
              <w:rPr>
                <w:rFonts w:eastAsiaTheme="minorEastAsia" w:hint="eastAsia"/>
                <w:szCs w:val="21"/>
              </w:rPr>
              <w:t>0.4578</w:t>
            </w:r>
          </w:p>
        </w:tc>
        <w:tc>
          <w:tcPr>
            <w:tcW w:w="1559" w:type="dxa"/>
            <w:vAlign w:val="center"/>
          </w:tcPr>
          <w:p w14:paraId="71C60E9F" w14:textId="77777777" w:rsidR="00B14D53" w:rsidRDefault="00000000">
            <w:pPr>
              <w:spacing w:line="0" w:lineRule="atLeast"/>
              <w:contextualSpacing/>
              <w:jc w:val="center"/>
              <w:rPr>
                <w:szCs w:val="21"/>
              </w:rPr>
            </w:pPr>
            <w:r>
              <w:rPr>
                <w:rFonts w:eastAsiaTheme="minorEastAsia" w:hint="eastAsia"/>
                <w:szCs w:val="21"/>
              </w:rPr>
              <w:t>0.2289</w:t>
            </w:r>
          </w:p>
        </w:tc>
        <w:tc>
          <w:tcPr>
            <w:tcW w:w="1843" w:type="dxa"/>
            <w:vAlign w:val="center"/>
          </w:tcPr>
          <w:p w14:paraId="562BE2B2" w14:textId="77777777" w:rsidR="00B14D53" w:rsidRDefault="00000000">
            <w:pPr>
              <w:spacing w:line="0" w:lineRule="atLeast"/>
              <w:contextualSpacing/>
              <w:jc w:val="center"/>
              <w:rPr>
                <w:szCs w:val="21"/>
              </w:rPr>
            </w:pPr>
            <w:r>
              <w:rPr>
                <w:rFonts w:eastAsiaTheme="minorEastAsia" w:hint="eastAsia"/>
                <w:szCs w:val="21"/>
              </w:rPr>
              <w:t>0.0153</w:t>
            </w:r>
          </w:p>
        </w:tc>
        <w:tc>
          <w:tcPr>
            <w:tcW w:w="1442" w:type="dxa"/>
            <w:vAlign w:val="center"/>
          </w:tcPr>
          <w:p w14:paraId="6CA4A718" w14:textId="77777777" w:rsidR="00B14D53" w:rsidRDefault="00000000">
            <w:pPr>
              <w:spacing w:line="0" w:lineRule="atLeast"/>
              <w:contextualSpacing/>
              <w:jc w:val="center"/>
              <w:rPr>
                <w:szCs w:val="21"/>
              </w:rPr>
            </w:pPr>
            <w:r>
              <w:rPr>
                <w:rFonts w:eastAsiaTheme="minorEastAsia" w:hint="eastAsia"/>
                <w:szCs w:val="21"/>
              </w:rPr>
              <w:t>0.1526</w:t>
            </w:r>
          </w:p>
        </w:tc>
      </w:tr>
      <w:tr w:rsidR="00B14D53" w14:paraId="58A91E08" w14:textId="77777777">
        <w:trPr>
          <w:trHeight w:val="283"/>
          <w:jc w:val="center"/>
        </w:trPr>
        <w:tc>
          <w:tcPr>
            <w:tcW w:w="1784" w:type="dxa"/>
            <w:vAlign w:val="center"/>
          </w:tcPr>
          <w:p w14:paraId="5B0935B0"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2000</w:t>
            </w:r>
          </w:p>
        </w:tc>
        <w:tc>
          <w:tcPr>
            <w:tcW w:w="1843" w:type="dxa"/>
            <w:vAlign w:val="center"/>
          </w:tcPr>
          <w:p w14:paraId="0B5D77B5" w14:textId="77777777" w:rsidR="00B14D53" w:rsidRDefault="00000000">
            <w:pPr>
              <w:spacing w:line="0" w:lineRule="atLeast"/>
              <w:contextualSpacing/>
              <w:jc w:val="center"/>
              <w:rPr>
                <w:szCs w:val="21"/>
              </w:rPr>
            </w:pPr>
            <w:r>
              <w:rPr>
                <w:rFonts w:eastAsiaTheme="minorEastAsia" w:hint="eastAsia"/>
                <w:szCs w:val="21"/>
              </w:rPr>
              <w:t>0.3824</w:t>
            </w:r>
          </w:p>
        </w:tc>
        <w:tc>
          <w:tcPr>
            <w:tcW w:w="1559" w:type="dxa"/>
            <w:vAlign w:val="center"/>
          </w:tcPr>
          <w:p w14:paraId="1BC61B45" w14:textId="77777777" w:rsidR="00B14D53" w:rsidRDefault="00000000">
            <w:pPr>
              <w:spacing w:line="0" w:lineRule="atLeast"/>
              <w:contextualSpacing/>
              <w:jc w:val="center"/>
              <w:rPr>
                <w:szCs w:val="21"/>
              </w:rPr>
            </w:pPr>
            <w:r>
              <w:rPr>
                <w:rFonts w:eastAsiaTheme="minorEastAsia" w:hint="eastAsia"/>
                <w:szCs w:val="21"/>
              </w:rPr>
              <w:t>0.1912</w:t>
            </w:r>
          </w:p>
        </w:tc>
        <w:tc>
          <w:tcPr>
            <w:tcW w:w="1843" w:type="dxa"/>
            <w:vAlign w:val="center"/>
          </w:tcPr>
          <w:p w14:paraId="1A10E89B" w14:textId="77777777" w:rsidR="00B14D53" w:rsidRDefault="00000000">
            <w:pPr>
              <w:spacing w:line="0" w:lineRule="atLeast"/>
              <w:contextualSpacing/>
              <w:jc w:val="center"/>
              <w:rPr>
                <w:szCs w:val="21"/>
              </w:rPr>
            </w:pPr>
            <w:r>
              <w:rPr>
                <w:rFonts w:eastAsiaTheme="minorEastAsia" w:hint="eastAsia"/>
                <w:szCs w:val="21"/>
              </w:rPr>
              <w:t>0.0127</w:t>
            </w:r>
          </w:p>
        </w:tc>
        <w:tc>
          <w:tcPr>
            <w:tcW w:w="1442" w:type="dxa"/>
            <w:vAlign w:val="center"/>
          </w:tcPr>
          <w:p w14:paraId="15B8412D" w14:textId="77777777" w:rsidR="00B14D53" w:rsidRDefault="00000000">
            <w:pPr>
              <w:spacing w:line="0" w:lineRule="atLeast"/>
              <w:contextualSpacing/>
              <w:jc w:val="center"/>
              <w:rPr>
                <w:szCs w:val="21"/>
              </w:rPr>
            </w:pPr>
            <w:r>
              <w:rPr>
                <w:rFonts w:eastAsiaTheme="minorEastAsia" w:hint="eastAsia"/>
                <w:szCs w:val="21"/>
              </w:rPr>
              <w:t>0.1275</w:t>
            </w:r>
          </w:p>
        </w:tc>
      </w:tr>
      <w:tr w:rsidR="00B14D53" w14:paraId="21744A35" w14:textId="77777777">
        <w:trPr>
          <w:trHeight w:val="266"/>
          <w:jc w:val="center"/>
        </w:trPr>
        <w:tc>
          <w:tcPr>
            <w:tcW w:w="1784" w:type="dxa"/>
            <w:vAlign w:val="center"/>
          </w:tcPr>
          <w:p w14:paraId="6AF20C12"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2500</w:t>
            </w:r>
          </w:p>
        </w:tc>
        <w:tc>
          <w:tcPr>
            <w:tcW w:w="1843" w:type="dxa"/>
            <w:vAlign w:val="center"/>
          </w:tcPr>
          <w:p w14:paraId="62C5EF58" w14:textId="77777777" w:rsidR="00B14D53" w:rsidRDefault="00000000">
            <w:pPr>
              <w:spacing w:line="0" w:lineRule="atLeast"/>
              <w:contextualSpacing/>
              <w:jc w:val="center"/>
              <w:rPr>
                <w:szCs w:val="21"/>
              </w:rPr>
            </w:pPr>
            <w:r>
              <w:rPr>
                <w:rFonts w:eastAsiaTheme="minorEastAsia" w:hint="eastAsia"/>
                <w:szCs w:val="21"/>
              </w:rPr>
              <w:t>0.3174</w:t>
            </w:r>
          </w:p>
        </w:tc>
        <w:tc>
          <w:tcPr>
            <w:tcW w:w="1559" w:type="dxa"/>
            <w:vAlign w:val="center"/>
          </w:tcPr>
          <w:p w14:paraId="5E7BF6E2" w14:textId="77777777" w:rsidR="00B14D53" w:rsidRDefault="00000000">
            <w:pPr>
              <w:spacing w:line="0" w:lineRule="atLeast"/>
              <w:contextualSpacing/>
              <w:jc w:val="center"/>
              <w:rPr>
                <w:szCs w:val="21"/>
              </w:rPr>
            </w:pPr>
            <w:r>
              <w:rPr>
                <w:rFonts w:eastAsiaTheme="minorEastAsia" w:hint="eastAsia"/>
                <w:szCs w:val="21"/>
              </w:rPr>
              <w:t>0.1587</w:t>
            </w:r>
          </w:p>
        </w:tc>
        <w:tc>
          <w:tcPr>
            <w:tcW w:w="1843" w:type="dxa"/>
            <w:vAlign w:val="center"/>
          </w:tcPr>
          <w:p w14:paraId="54BB15DD" w14:textId="77777777" w:rsidR="00B14D53" w:rsidRDefault="00000000">
            <w:pPr>
              <w:spacing w:line="0" w:lineRule="atLeast"/>
              <w:contextualSpacing/>
              <w:jc w:val="center"/>
              <w:rPr>
                <w:szCs w:val="21"/>
              </w:rPr>
            </w:pPr>
            <w:r>
              <w:rPr>
                <w:rFonts w:eastAsiaTheme="minorEastAsia" w:hint="eastAsia"/>
                <w:szCs w:val="21"/>
              </w:rPr>
              <w:t>0.0106</w:t>
            </w:r>
          </w:p>
        </w:tc>
        <w:tc>
          <w:tcPr>
            <w:tcW w:w="1442" w:type="dxa"/>
            <w:vAlign w:val="center"/>
          </w:tcPr>
          <w:p w14:paraId="2842B05B" w14:textId="77777777" w:rsidR="00B14D53" w:rsidRDefault="00000000">
            <w:pPr>
              <w:spacing w:line="0" w:lineRule="atLeast"/>
              <w:contextualSpacing/>
              <w:jc w:val="center"/>
              <w:rPr>
                <w:szCs w:val="21"/>
              </w:rPr>
            </w:pPr>
            <w:r>
              <w:rPr>
                <w:rFonts w:eastAsiaTheme="minorEastAsia" w:hint="eastAsia"/>
                <w:szCs w:val="21"/>
              </w:rPr>
              <w:t>0.1058</w:t>
            </w:r>
          </w:p>
        </w:tc>
      </w:tr>
      <w:tr w:rsidR="00B14D53" w14:paraId="49A30344" w14:textId="77777777">
        <w:trPr>
          <w:trHeight w:val="289"/>
          <w:jc w:val="center"/>
        </w:trPr>
        <w:tc>
          <w:tcPr>
            <w:tcW w:w="1784" w:type="dxa"/>
            <w:vAlign w:val="center"/>
          </w:tcPr>
          <w:p w14:paraId="054FA11C"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下风向最大浓度</w:t>
            </w:r>
          </w:p>
        </w:tc>
        <w:tc>
          <w:tcPr>
            <w:tcW w:w="1843" w:type="dxa"/>
            <w:vAlign w:val="center"/>
          </w:tcPr>
          <w:p w14:paraId="5AE45815" w14:textId="77777777" w:rsidR="00B14D53" w:rsidRDefault="00000000">
            <w:pPr>
              <w:spacing w:line="0" w:lineRule="atLeast"/>
              <w:contextualSpacing/>
              <w:jc w:val="center"/>
              <w:rPr>
                <w:szCs w:val="21"/>
              </w:rPr>
            </w:pPr>
            <w:r>
              <w:rPr>
                <w:rFonts w:eastAsiaTheme="minorEastAsia" w:hint="eastAsia"/>
                <w:szCs w:val="21"/>
              </w:rPr>
              <w:t>4.8569</w:t>
            </w:r>
          </w:p>
        </w:tc>
        <w:tc>
          <w:tcPr>
            <w:tcW w:w="1559" w:type="dxa"/>
            <w:vAlign w:val="center"/>
          </w:tcPr>
          <w:p w14:paraId="0513FE37" w14:textId="77777777" w:rsidR="00B14D53" w:rsidRDefault="00000000">
            <w:pPr>
              <w:spacing w:line="0" w:lineRule="atLeast"/>
              <w:contextualSpacing/>
              <w:jc w:val="center"/>
              <w:rPr>
                <w:szCs w:val="21"/>
              </w:rPr>
            </w:pPr>
            <w:r>
              <w:rPr>
                <w:rFonts w:eastAsiaTheme="minorEastAsia" w:hint="eastAsia"/>
                <w:szCs w:val="21"/>
              </w:rPr>
              <w:t>2.4285</w:t>
            </w:r>
          </w:p>
        </w:tc>
        <w:tc>
          <w:tcPr>
            <w:tcW w:w="1843" w:type="dxa"/>
            <w:vAlign w:val="center"/>
          </w:tcPr>
          <w:p w14:paraId="6B0C3CA0" w14:textId="77777777" w:rsidR="00B14D53" w:rsidRDefault="00000000">
            <w:pPr>
              <w:spacing w:line="0" w:lineRule="atLeast"/>
              <w:contextualSpacing/>
              <w:jc w:val="center"/>
              <w:rPr>
                <w:szCs w:val="21"/>
              </w:rPr>
            </w:pPr>
            <w:r>
              <w:rPr>
                <w:rFonts w:eastAsiaTheme="minorEastAsia" w:hint="eastAsia"/>
                <w:szCs w:val="21"/>
              </w:rPr>
              <w:t>0.1619</w:t>
            </w:r>
          </w:p>
        </w:tc>
        <w:tc>
          <w:tcPr>
            <w:tcW w:w="1442" w:type="dxa"/>
            <w:vAlign w:val="center"/>
          </w:tcPr>
          <w:p w14:paraId="4F7EAC40" w14:textId="77777777" w:rsidR="00B14D53" w:rsidRDefault="00000000">
            <w:pPr>
              <w:spacing w:line="0" w:lineRule="atLeast"/>
              <w:contextualSpacing/>
              <w:jc w:val="center"/>
              <w:rPr>
                <w:szCs w:val="21"/>
              </w:rPr>
            </w:pPr>
            <w:r>
              <w:rPr>
                <w:rFonts w:eastAsiaTheme="minorEastAsia" w:hint="eastAsia"/>
                <w:szCs w:val="21"/>
              </w:rPr>
              <w:t>1.6190</w:t>
            </w:r>
          </w:p>
        </w:tc>
      </w:tr>
      <w:tr w:rsidR="00B14D53" w14:paraId="5DC79111" w14:textId="77777777">
        <w:trPr>
          <w:trHeight w:val="56"/>
          <w:jc w:val="center"/>
        </w:trPr>
        <w:tc>
          <w:tcPr>
            <w:tcW w:w="1784" w:type="dxa"/>
            <w:vAlign w:val="center"/>
          </w:tcPr>
          <w:p w14:paraId="0DC136C0" w14:textId="77777777" w:rsidR="00B14D53" w:rsidRDefault="00000000">
            <w:pPr>
              <w:pStyle w:val="afff"/>
              <w:adjustRightInd/>
              <w:snapToGrid/>
              <w:spacing w:line="0" w:lineRule="atLeast"/>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下风向最大浓度出现距离</w:t>
            </w:r>
          </w:p>
        </w:tc>
        <w:tc>
          <w:tcPr>
            <w:tcW w:w="6687" w:type="dxa"/>
            <w:gridSpan w:val="4"/>
            <w:vAlign w:val="center"/>
          </w:tcPr>
          <w:p w14:paraId="485E1E92" w14:textId="77777777" w:rsidR="00B14D53" w:rsidRDefault="00000000">
            <w:pPr>
              <w:spacing w:line="0" w:lineRule="atLeast"/>
              <w:contextualSpacing/>
              <w:jc w:val="center"/>
              <w:rPr>
                <w:rFonts w:eastAsiaTheme="minorEastAsia"/>
                <w:szCs w:val="21"/>
              </w:rPr>
            </w:pPr>
            <w:r>
              <w:rPr>
                <w:rFonts w:eastAsiaTheme="minorEastAsia" w:hint="eastAsia"/>
                <w:szCs w:val="21"/>
              </w:rPr>
              <w:t>19m</w:t>
            </w:r>
          </w:p>
        </w:tc>
      </w:tr>
    </w:tbl>
    <w:p w14:paraId="4C1524B3" w14:textId="77777777" w:rsidR="00B14D53" w:rsidRDefault="00B14D53">
      <w:pPr>
        <w:jc w:val="center"/>
        <w:rPr>
          <w:b/>
          <w:bCs/>
        </w:rPr>
      </w:pPr>
    </w:p>
    <w:p w14:paraId="622DB39A" w14:textId="77777777" w:rsidR="00B14D53" w:rsidRDefault="00000000">
      <w:pPr>
        <w:jc w:val="center"/>
        <w:rPr>
          <w:b/>
          <w:bCs/>
        </w:rPr>
      </w:pPr>
      <w:r>
        <w:rPr>
          <w:rFonts w:hint="eastAsia"/>
          <w:b/>
          <w:bCs/>
        </w:rPr>
        <w:t>表</w:t>
      </w:r>
      <w:r>
        <w:rPr>
          <w:rFonts w:hint="eastAsia"/>
          <w:b/>
          <w:bCs/>
        </w:rPr>
        <w:t xml:space="preserve">5-2-12 </w:t>
      </w:r>
      <w:r>
        <w:rPr>
          <w:rFonts w:hint="eastAsia"/>
          <w:b/>
          <w:bCs/>
        </w:rPr>
        <w:t>无组织排放估算模式的计算结果（污水处理站）</w:t>
      </w:r>
    </w:p>
    <w:tbl>
      <w:tblPr>
        <w:tblW w:w="8471"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84"/>
        <w:gridCol w:w="1843"/>
        <w:gridCol w:w="1559"/>
        <w:gridCol w:w="1843"/>
        <w:gridCol w:w="1442"/>
      </w:tblGrid>
      <w:tr w:rsidR="00B14D53" w14:paraId="16F5FC0D" w14:textId="77777777">
        <w:trPr>
          <w:trHeight w:val="276"/>
          <w:jc w:val="center"/>
        </w:trPr>
        <w:tc>
          <w:tcPr>
            <w:tcW w:w="1784" w:type="dxa"/>
            <w:vMerge w:val="restart"/>
            <w:vAlign w:val="center"/>
          </w:tcPr>
          <w:p w14:paraId="0E500D37"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距离（</w:t>
            </w:r>
            <w:r>
              <w:rPr>
                <w:rFonts w:ascii="Times New Roman" w:hAnsi="Times New Roman" w:cs="Times New Roman"/>
                <w:b/>
                <w:bCs/>
                <w:sz w:val="21"/>
                <w:szCs w:val="21"/>
              </w:rPr>
              <w:t>m</w:t>
            </w:r>
            <w:r>
              <w:rPr>
                <w:rFonts w:ascii="Times New Roman" w:hAnsi="Times New Roman" w:cs="Times New Roman"/>
                <w:b/>
                <w:bCs/>
                <w:sz w:val="21"/>
                <w:szCs w:val="21"/>
              </w:rPr>
              <w:t>）</w:t>
            </w:r>
          </w:p>
        </w:tc>
        <w:tc>
          <w:tcPr>
            <w:tcW w:w="6687" w:type="dxa"/>
            <w:gridSpan w:val="4"/>
            <w:vAlign w:val="center"/>
          </w:tcPr>
          <w:p w14:paraId="3017AA88"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b/>
                <w:bCs/>
                <w:sz w:val="21"/>
                <w:szCs w:val="21"/>
              </w:rPr>
            </w:pPr>
            <w:r>
              <w:rPr>
                <w:rFonts w:ascii="Times New Roman" w:hAnsi="Times New Roman" w:cs="Times New Roman" w:hint="eastAsia"/>
                <w:b/>
                <w:bCs/>
                <w:sz w:val="21"/>
                <w:szCs w:val="21"/>
              </w:rPr>
              <w:t>污水处理站</w:t>
            </w:r>
            <w:r>
              <w:rPr>
                <w:rFonts w:ascii="Times New Roman" w:hAnsi="Times New Roman" w:cs="Times New Roman"/>
                <w:b/>
                <w:bCs/>
                <w:sz w:val="21"/>
                <w:szCs w:val="21"/>
              </w:rPr>
              <w:t>无组织面源</w:t>
            </w:r>
          </w:p>
        </w:tc>
      </w:tr>
      <w:tr w:rsidR="00B14D53" w14:paraId="1D61D21A" w14:textId="77777777">
        <w:trPr>
          <w:trHeight w:val="146"/>
          <w:jc w:val="center"/>
        </w:trPr>
        <w:tc>
          <w:tcPr>
            <w:tcW w:w="1784" w:type="dxa"/>
            <w:vMerge/>
            <w:vAlign w:val="center"/>
          </w:tcPr>
          <w:p w14:paraId="75D32DA0" w14:textId="77777777" w:rsidR="00B14D53" w:rsidRDefault="00B14D53">
            <w:pPr>
              <w:pStyle w:val="afff"/>
              <w:adjustRightInd/>
              <w:snapToGrid/>
              <w:spacing w:line="240" w:lineRule="auto"/>
              <w:ind w:firstLineChars="0" w:firstLine="0"/>
              <w:contextualSpacing/>
              <w:jc w:val="center"/>
              <w:rPr>
                <w:rFonts w:ascii="Times New Roman" w:hAnsi="Times New Roman" w:cs="Times New Roman"/>
                <w:b/>
                <w:bCs/>
                <w:sz w:val="21"/>
                <w:szCs w:val="21"/>
              </w:rPr>
            </w:pPr>
          </w:p>
        </w:tc>
        <w:tc>
          <w:tcPr>
            <w:tcW w:w="3402" w:type="dxa"/>
            <w:gridSpan w:val="2"/>
            <w:vAlign w:val="center"/>
          </w:tcPr>
          <w:p w14:paraId="418A4817"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NH</w:t>
            </w:r>
            <w:r>
              <w:rPr>
                <w:rFonts w:ascii="Times New Roman" w:hAnsi="Times New Roman" w:cs="Times New Roman"/>
                <w:b/>
                <w:bCs/>
                <w:sz w:val="21"/>
                <w:szCs w:val="21"/>
                <w:vertAlign w:val="subscript"/>
              </w:rPr>
              <w:t>3</w:t>
            </w:r>
          </w:p>
        </w:tc>
        <w:tc>
          <w:tcPr>
            <w:tcW w:w="3285" w:type="dxa"/>
            <w:gridSpan w:val="2"/>
            <w:vAlign w:val="center"/>
          </w:tcPr>
          <w:p w14:paraId="70FC62A9"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b/>
                <w:bCs/>
                <w:sz w:val="21"/>
                <w:szCs w:val="21"/>
              </w:rPr>
            </w:pPr>
            <w:r>
              <w:rPr>
                <w:rFonts w:ascii="Times New Roman" w:hAnsi="Times New Roman" w:cs="Times New Roman"/>
                <w:b/>
                <w:bCs/>
                <w:sz w:val="21"/>
                <w:szCs w:val="21"/>
              </w:rPr>
              <w:t>H</w:t>
            </w:r>
            <w:r>
              <w:rPr>
                <w:rFonts w:ascii="Times New Roman" w:hAnsi="Times New Roman" w:cs="Times New Roman"/>
                <w:b/>
                <w:bCs/>
                <w:sz w:val="21"/>
                <w:szCs w:val="21"/>
                <w:vertAlign w:val="subscript"/>
              </w:rPr>
              <w:t>2</w:t>
            </w:r>
            <w:r>
              <w:rPr>
                <w:rFonts w:ascii="Times New Roman" w:hAnsi="Times New Roman" w:cs="Times New Roman"/>
                <w:b/>
                <w:bCs/>
                <w:sz w:val="21"/>
                <w:szCs w:val="21"/>
              </w:rPr>
              <w:t>S</w:t>
            </w:r>
          </w:p>
        </w:tc>
      </w:tr>
      <w:tr w:rsidR="00B14D53" w14:paraId="052D1381" w14:textId="77777777">
        <w:trPr>
          <w:trHeight w:val="146"/>
          <w:jc w:val="center"/>
        </w:trPr>
        <w:tc>
          <w:tcPr>
            <w:tcW w:w="1784" w:type="dxa"/>
            <w:vMerge/>
            <w:vAlign w:val="center"/>
          </w:tcPr>
          <w:p w14:paraId="4CC5E7B7" w14:textId="77777777" w:rsidR="00B14D53" w:rsidRDefault="00B14D53">
            <w:pPr>
              <w:pStyle w:val="afff"/>
              <w:adjustRightInd/>
              <w:snapToGrid/>
              <w:spacing w:line="240" w:lineRule="auto"/>
              <w:ind w:firstLineChars="0" w:firstLine="0"/>
              <w:contextualSpacing/>
              <w:jc w:val="center"/>
              <w:rPr>
                <w:rFonts w:ascii="Times New Roman" w:hAnsi="Times New Roman" w:cs="Times New Roman"/>
                <w:b/>
                <w:bCs/>
                <w:sz w:val="21"/>
                <w:szCs w:val="21"/>
              </w:rPr>
            </w:pPr>
          </w:p>
        </w:tc>
        <w:tc>
          <w:tcPr>
            <w:tcW w:w="1843" w:type="dxa"/>
            <w:vAlign w:val="center"/>
          </w:tcPr>
          <w:p w14:paraId="5F574121" w14:textId="77777777" w:rsidR="00B14D53" w:rsidRDefault="00000000">
            <w:pPr>
              <w:contextualSpacing/>
              <w:jc w:val="center"/>
              <w:rPr>
                <w:rFonts w:eastAsiaTheme="minorEastAsia"/>
                <w:b/>
                <w:bCs/>
                <w:szCs w:val="21"/>
              </w:rPr>
            </w:pPr>
            <w:r>
              <w:rPr>
                <w:rFonts w:eastAsiaTheme="minorEastAsia"/>
                <w:b/>
                <w:bCs/>
                <w:kern w:val="0"/>
                <w:szCs w:val="21"/>
              </w:rPr>
              <w:t>预测质量浓度</w:t>
            </w:r>
            <w:r>
              <w:rPr>
                <w:rFonts w:eastAsiaTheme="minorEastAsia"/>
                <w:b/>
                <w:bCs/>
                <w:kern w:val="0"/>
                <w:szCs w:val="21"/>
              </w:rPr>
              <w:t>/(μg/m</w:t>
            </w:r>
            <w:r>
              <w:rPr>
                <w:rFonts w:eastAsiaTheme="minorEastAsia"/>
                <w:b/>
                <w:bCs/>
                <w:kern w:val="0"/>
                <w:szCs w:val="21"/>
                <w:vertAlign w:val="superscript"/>
              </w:rPr>
              <w:t>3</w:t>
            </w:r>
            <w:r>
              <w:rPr>
                <w:rFonts w:eastAsiaTheme="minorEastAsia"/>
                <w:b/>
                <w:bCs/>
                <w:kern w:val="0"/>
                <w:szCs w:val="21"/>
              </w:rPr>
              <w:t>)</w:t>
            </w:r>
          </w:p>
        </w:tc>
        <w:tc>
          <w:tcPr>
            <w:tcW w:w="1559" w:type="dxa"/>
            <w:vAlign w:val="center"/>
          </w:tcPr>
          <w:p w14:paraId="316A6D2D" w14:textId="77777777" w:rsidR="00B14D53" w:rsidRDefault="00000000">
            <w:pPr>
              <w:contextualSpacing/>
              <w:jc w:val="center"/>
              <w:rPr>
                <w:rFonts w:eastAsiaTheme="minorEastAsia"/>
                <w:b/>
                <w:bCs/>
                <w:szCs w:val="21"/>
              </w:rPr>
            </w:pPr>
            <w:r>
              <w:rPr>
                <w:rFonts w:eastAsiaTheme="minorEastAsia"/>
                <w:b/>
                <w:bCs/>
                <w:szCs w:val="21"/>
              </w:rPr>
              <w:t>占标率</w:t>
            </w:r>
            <w:r>
              <w:rPr>
                <w:rFonts w:eastAsiaTheme="minorEastAsia"/>
                <w:b/>
                <w:bCs/>
                <w:szCs w:val="21"/>
              </w:rPr>
              <w:t>%</w:t>
            </w:r>
          </w:p>
        </w:tc>
        <w:tc>
          <w:tcPr>
            <w:tcW w:w="1843" w:type="dxa"/>
            <w:vAlign w:val="center"/>
          </w:tcPr>
          <w:p w14:paraId="5AEB172F" w14:textId="77777777" w:rsidR="00B14D53" w:rsidRDefault="00000000">
            <w:pPr>
              <w:contextualSpacing/>
              <w:jc w:val="center"/>
              <w:rPr>
                <w:rFonts w:eastAsiaTheme="minorEastAsia"/>
                <w:b/>
                <w:bCs/>
                <w:szCs w:val="21"/>
              </w:rPr>
            </w:pPr>
            <w:r>
              <w:rPr>
                <w:rFonts w:eastAsiaTheme="minorEastAsia"/>
                <w:b/>
                <w:bCs/>
                <w:kern w:val="0"/>
                <w:szCs w:val="21"/>
              </w:rPr>
              <w:t>预测质量浓度</w:t>
            </w:r>
            <w:r>
              <w:rPr>
                <w:rFonts w:eastAsiaTheme="minorEastAsia"/>
                <w:b/>
                <w:bCs/>
                <w:kern w:val="0"/>
                <w:szCs w:val="21"/>
              </w:rPr>
              <w:t>/(μg/m</w:t>
            </w:r>
            <w:r>
              <w:rPr>
                <w:rFonts w:eastAsiaTheme="minorEastAsia"/>
                <w:b/>
                <w:bCs/>
                <w:kern w:val="0"/>
                <w:szCs w:val="21"/>
                <w:vertAlign w:val="superscript"/>
              </w:rPr>
              <w:t>3</w:t>
            </w:r>
            <w:r>
              <w:rPr>
                <w:rFonts w:eastAsiaTheme="minorEastAsia"/>
                <w:b/>
                <w:bCs/>
                <w:kern w:val="0"/>
                <w:szCs w:val="21"/>
              </w:rPr>
              <w:t>)</w:t>
            </w:r>
          </w:p>
        </w:tc>
        <w:tc>
          <w:tcPr>
            <w:tcW w:w="1442" w:type="dxa"/>
            <w:vAlign w:val="center"/>
          </w:tcPr>
          <w:p w14:paraId="07E55CFD" w14:textId="77777777" w:rsidR="00B14D53" w:rsidRDefault="00000000">
            <w:pPr>
              <w:tabs>
                <w:tab w:val="left" w:pos="420"/>
              </w:tabs>
              <w:autoSpaceDE w:val="0"/>
              <w:autoSpaceDN w:val="0"/>
              <w:contextualSpacing/>
              <w:jc w:val="center"/>
              <w:rPr>
                <w:rFonts w:eastAsiaTheme="minorEastAsia"/>
                <w:b/>
                <w:bCs/>
                <w:kern w:val="0"/>
                <w:szCs w:val="21"/>
              </w:rPr>
            </w:pPr>
            <w:r>
              <w:rPr>
                <w:rFonts w:eastAsiaTheme="minorEastAsia"/>
                <w:b/>
                <w:bCs/>
                <w:kern w:val="0"/>
                <w:szCs w:val="21"/>
              </w:rPr>
              <w:t>占标率</w:t>
            </w:r>
            <w:r>
              <w:rPr>
                <w:rFonts w:eastAsiaTheme="minorEastAsia"/>
                <w:b/>
                <w:bCs/>
                <w:kern w:val="0"/>
                <w:szCs w:val="21"/>
              </w:rPr>
              <w:t>/(%)</w:t>
            </w:r>
          </w:p>
        </w:tc>
      </w:tr>
      <w:tr w:rsidR="00B14D53" w14:paraId="7139B7C3" w14:textId="77777777">
        <w:trPr>
          <w:trHeight w:val="64"/>
          <w:jc w:val="center"/>
        </w:trPr>
        <w:tc>
          <w:tcPr>
            <w:tcW w:w="1784" w:type="dxa"/>
            <w:vAlign w:val="center"/>
          </w:tcPr>
          <w:p w14:paraId="2D51FB2E"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50</w:t>
            </w:r>
          </w:p>
        </w:tc>
        <w:tc>
          <w:tcPr>
            <w:tcW w:w="1843" w:type="dxa"/>
            <w:vAlign w:val="center"/>
          </w:tcPr>
          <w:p w14:paraId="3D1DD9D8" w14:textId="77777777" w:rsidR="00B14D53" w:rsidRDefault="00000000">
            <w:pPr>
              <w:contextualSpacing/>
              <w:jc w:val="center"/>
              <w:rPr>
                <w:rFonts w:eastAsiaTheme="minorEastAsia"/>
                <w:szCs w:val="21"/>
              </w:rPr>
            </w:pPr>
            <w:r>
              <w:rPr>
                <w:rFonts w:eastAsiaTheme="minorEastAsia" w:hint="eastAsia"/>
                <w:szCs w:val="21"/>
              </w:rPr>
              <w:t>8.4238</w:t>
            </w:r>
          </w:p>
        </w:tc>
        <w:tc>
          <w:tcPr>
            <w:tcW w:w="1559" w:type="dxa"/>
            <w:vAlign w:val="center"/>
          </w:tcPr>
          <w:p w14:paraId="3D3B0DE8" w14:textId="77777777" w:rsidR="00B14D53" w:rsidRDefault="00000000">
            <w:pPr>
              <w:contextualSpacing/>
              <w:jc w:val="center"/>
              <w:rPr>
                <w:rFonts w:eastAsiaTheme="minorEastAsia"/>
                <w:szCs w:val="21"/>
              </w:rPr>
            </w:pPr>
            <w:r>
              <w:rPr>
                <w:rFonts w:eastAsiaTheme="minorEastAsia" w:hint="eastAsia"/>
                <w:szCs w:val="21"/>
              </w:rPr>
              <w:t>4.2119</w:t>
            </w:r>
          </w:p>
        </w:tc>
        <w:tc>
          <w:tcPr>
            <w:tcW w:w="1843" w:type="dxa"/>
            <w:vAlign w:val="center"/>
          </w:tcPr>
          <w:p w14:paraId="1D916057" w14:textId="77777777" w:rsidR="00B14D53" w:rsidRDefault="00000000">
            <w:pPr>
              <w:contextualSpacing/>
              <w:jc w:val="center"/>
              <w:rPr>
                <w:rFonts w:eastAsiaTheme="minorEastAsia"/>
                <w:szCs w:val="21"/>
              </w:rPr>
            </w:pPr>
            <w:r>
              <w:rPr>
                <w:rFonts w:eastAsiaTheme="minorEastAsia" w:hint="eastAsia"/>
                <w:szCs w:val="21"/>
              </w:rPr>
              <w:t>0.3370</w:t>
            </w:r>
          </w:p>
        </w:tc>
        <w:tc>
          <w:tcPr>
            <w:tcW w:w="1442" w:type="dxa"/>
            <w:vAlign w:val="center"/>
          </w:tcPr>
          <w:p w14:paraId="6D29A206" w14:textId="77777777" w:rsidR="00B14D53" w:rsidRDefault="00000000">
            <w:pPr>
              <w:contextualSpacing/>
              <w:jc w:val="center"/>
              <w:rPr>
                <w:rFonts w:eastAsiaTheme="minorEastAsia"/>
                <w:szCs w:val="21"/>
              </w:rPr>
            </w:pPr>
            <w:r>
              <w:rPr>
                <w:rFonts w:eastAsiaTheme="minorEastAsia" w:hint="eastAsia"/>
                <w:szCs w:val="21"/>
              </w:rPr>
              <w:t>3.3695</w:t>
            </w:r>
          </w:p>
        </w:tc>
      </w:tr>
      <w:tr w:rsidR="00B14D53" w14:paraId="6DFEF76B" w14:textId="77777777">
        <w:trPr>
          <w:trHeight w:val="78"/>
          <w:jc w:val="center"/>
        </w:trPr>
        <w:tc>
          <w:tcPr>
            <w:tcW w:w="1784" w:type="dxa"/>
            <w:vAlign w:val="center"/>
          </w:tcPr>
          <w:p w14:paraId="4E4BB025"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100</w:t>
            </w:r>
          </w:p>
        </w:tc>
        <w:tc>
          <w:tcPr>
            <w:tcW w:w="1843" w:type="dxa"/>
            <w:vAlign w:val="center"/>
          </w:tcPr>
          <w:p w14:paraId="48B16278" w14:textId="77777777" w:rsidR="00B14D53" w:rsidRDefault="00000000">
            <w:pPr>
              <w:contextualSpacing/>
              <w:jc w:val="center"/>
              <w:rPr>
                <w:rFonts w:eastAsiaTheme="minorEastAsia"/>
                <w:szCs w:val="21"/>
              </w:rPr>
            </w:pPr>
            <w:r>
              <w:rPr>
                <w:rFonts w:eastAsiaTheme="minorEastAsia" w:hint="eastAsia"/>
                <w:szCs w:val="21"/>
              </w:rPr>
              <w:t>5.6020</w:t>
            </w:r>
          </w:p>
        </w:tc>
        <w:tc>
          <w:tcPr>
            <w:tcW w:w="1559" w:type="dxa"/>
            <w:vAlign w:val="center"/>
          </w:tcPr>
          <w:p w14:paraId="581B6611" w14:textId="77777777" w:rsidR="00B14D53" w:rsidRDefault="00000000">
            <w:pPr>
              <w:contextualSpacing/>
              <w:jc w:val="center"/>
              <w:rPr>
                <w:rFonts w:eastAsiaTheme="minorEastAsia"/>
                <w:szCs w:val="21"/>
              </w:rPr>
            </w:pPr>
            <w:r>
              <w:rPr>
                <w:rFonts w:eastAsiaTheme="minorEastAsia" w:hint="eastAsia"/>
                <w:szCs w:val="21"/>
              </w:rPr>
              <w:t>2.8010</w:t>
            </w:r>
          </w:p>
        </w:tc>
        <w:tc>
          <w:tcPr>
            <w:tcW w:w="1843" w:type="dxa"/>
            <w:vAlign w:val="center"/>
          </w:tcPr>
          <w:p w14:paraId="2E27772A" w14:textId="77777777" w:rsidR="00B14D53" w:rsidRDefault="00000000">
            <w:pPr>
              <w:contextualSpacing/>
              <w:jc w:val="center"/>
              <w:rPr>
                <w:rFonts w:eastAsiaTheme="minorEastAsia"/>
                <w:szCs w:val="21"/>
              </w:rPr>
            </w:pPr>
            <w:r>
              <w:rPr>
                <w:rFonts w:eastAsiaTheme="minorEastAsia" w:hint="eastAsia"/>
                <w:szCs w:val="21"/>
              </w:rPr>
              <w:t>0.2241</w:t>
            </w:r>
          </w:p>
        </w:tc>
        <w:tc>
          <w:tcPr>
            <w:tcW w:w="1442" w:type="dxa"/>
            <w:vAlign w:val="center"/>
          </w:tcPr>
          <w:p w14:paraId="3B1349B2" w14:textId="77777777" w:rsidR="00B14D53" w:rsidRDefault="00000000">
            <w:pPr>
              <w:contextualSpacing/>
              <w:jc w:val="center"/>
              <w:rPr>
                <w:rFonts w:eastAsiaTheme="minorEastAsia"/>
                <w:szCs w:val="21"/>
              </w:rPr>
            </w:pPr>
            <w:r>
              <w:rPr>
                <w:rFonts w:eastAsiaTheme="minorEastAsia" w:hint="eastAsia"/>
                <w:szCs w:val="21"/>
              </w:rPr>
              <w:t>2.2408</w:t>
            </w:r>
          </w:p>
        </w:tc>
      </w:tr>
      <w:tr w:rsidR="00B14D53" w14:paraId="1CA17D30" w14:textId="77777777">
        <w:trPr>
          <w:trHeight w:val="234"/>
          <w:jc w:val="center"/>
        </w:trPr>
        <w:tc>
          <w:tcPr>
            <w:tcW w:w="1784" w:type="dxa"/>
            <w:vAlign w:val="center"/>
          </w:tcPr>
          <w:p w14:paraId="6966C831"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200</w:t>
            </w:r>
          </w:p>
        </w:tc>
        <w:tc>
          <w:tcPr>
            <w:tcW w:w="1843" w:type="dxa"/>
            <w:vAlign w:val="center"/>
          </w:tcPr>
          <w:p w14:paraId="271AF79D" w14:textId="77777777" w:rsidR="00B14D53" w:rsidRDefault="00000000">
            <w:pPr>
              <w:contextualSpacing/>
              <w:jc w:val="center"/>
              <w:rPr>
                <w:rFonts w:eastAsiaTheme="minorEastAsia"/>
                <w:szCs w:val="21"/>
              </w:rPr>
            </w:pPr>
            <w:r>
              <w:rPr>
                <w:rFonts w:eastAsiaTheme="minorEastAsia" w:hint="eastAsia"/>
                <w:szCs w:val="21"/>
              </w:rPr>
              <w:t>3.5418</w:t>
            </w:r>
          </w:p>
        </w:tc>
        <w:tc>
          <w:tcPr>
            <w:tcW w:w="1559" w:type="dxa"/>
            <w:vAlign w:val="center"/>
          </w:tcPr>
          <w:p w14:paraId="509A0685" w14:textId="77777777" w:rsidR="00B14D53" w:rsidRDefault="00000000">
            <w:pPr>
              <w:contextualSpacing/>
              <w:jc w:val="center"/>
              <w:rPr>
                <w:rFonts w:eastAsiaTheme="minorEastAsia"/>
                <w:szCs w:val="21"/>
              </w:rPr>
            </w:pPr>
            <w:r>
              <w:rPr>
                <w:rFonts w:eastAsiaTheme="minorEastAsia" w:hint="eastAsia"/>
                <w:szCs w:val="21"/>
              </w:rPr>
              <w:t>1.7709</w:t>
            </w:r>
          </w:p>
        </w:tc>
        <w:tc>
          <w:tcPr>
            <w:tcW w:w="1843" w:type="dxa"/>
            <w:vAlign w:val="center"/>
          </w:tcPr>
          <w:p w14:paraId="3FF8F6E8" w14:textId="77777777" w:rsidR="00B14D53" w:rsidRDefault="00000000">
            <w:pPr>
              <w:contextualSpacing/>
              <w:jc w:val="center"/>
              <w:rPr>
                <w:rFonts w:eastAsiaTheme="minorEastAsia"/>
                <w:szCs w:val="21"/>
              </w:rPr>
            </w:pPr>
            <w:r>
              <w:rPr>
                <w:rFonts w:eastAsiaTheme="minorEastAsia" w:hint="eastAsia"/>
                <w:szCs w:val="21"/>
              </w:rPr>
              <w:t>0.1417</w:t>
            </w:r>
          </w:p>
        </w:tc>
        <w:tc>
          <w:tcPr>
            <w:tcW w:w="1442" w:type="dxa"/>
            <w:vAlign w:val="center"/>
          </w:tcPr>
          <w:p w14:paraId="4D24ECE9" w14:textId="77777777" w:rsidR="00B14D53" w:rsidRDefault="00000000">
            <w:pPr>
              <w:contextualSpacing/>
              <w:jc w:val="center"/>
              <w:rPr>
                <w:rFonts w:eastAsiaTheme="minorEastAsia"/>
                <w:szCs w:val="21"/>
              </w:rPr>
            </w:pPr>
            <w:r>
              <w:rPr>
                <w:rFonts w:eastAsiaTheme="minorEastAsia" w:hint="eastAsia"/>
                <w:szCs w:val="21"/>
              </w:rPr>
              <w:t>1.4167</w:t>
            </w:r>
          </w:p>
        </w:tc>
      </w:tr>
      <w:tr w:rsidR="00B14D53" w14:paraId="1C249DC4" w14:textId="77777777">
        <w:trPr>
          <w:trHeight w:val="248"/>
          <w:jc w:val="center"/>
        </w:trPr>
        <w:tc>
          <w:tcPr>
            <w:tcW w:w="1784" w:type="dxa"/>
            <w:vAlign w:val="center"/>
          </w:tcPr>
          <w:p w14:paraId="7A4C6C68"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300</w:t>
            </w:r>
          </w:p>
        </w:tc>
        <w:tc>
          <w:tcPr>
            <w:tcW w:w="1843" w:type="dxa"/>
            <w:vAlign w:val="center"/>
          </w:tcPr>
          <w:p w14:paraId="60E7C70B" w14:textId="77777777" w:rsidR="00B14D53" w:rsidRDefault="00000000">
            <w:pPr>
              <w:contextualSpacing/>
              <w:jc w:val="center"/>
              <w:rPr>
                <w:rFonts w:eastAsiaTheme="minorEastAsia"/>
                <w:szCs w:val="21"/>
              </w:rPr>
            </w:pPr>
            <w:r>
              <w:rPr>
                <w:rFonts w:eastAsiaTheme="minorEastAsia" w:hint="eastAsia"/>
                <w:szCs w:val="21"/>
              </w:rPr>
              <w:t>2.7093</w:t>
            </w:r>
          </w:p>
        </w:tc>
        <w:tc>
          <w:tcPr>
            <w:tcW w:w="1559" w:type="dxa"/>
            <w:vAlign w:val="center"/>
          </w:tcPr>
          <w:p w14:paraId="36CBD52D" w14:textId="77777777" w:rsidR="00B14D53" w:rsidRDefault="00000000">
            <w:pPr>
              <w:contextualSpacing/>
              <w:jc w:val="center"/>
              <w:rPr>
                <w:rFonts w:eastAsiaTheme="minorEastAsia"/>
                <w:szCs w:val="21"/>
              </w:rPr>
            </w:pPr>
            <w:r>
              <w:rPr>
                <w:rFonts w:eastAsiaTheme="minorEastAsia" w:hint="eastAsia"/>
                <w:szCs w:val="21"/>
              </w:rPr>
              <w:t>1.3546</w:t>
            </w:r>
          </w:p>
        </w:tc>
        <w:tc>
          <w:tcPr>
            <w:tcW w:w="1843" w:type="dxa"/>
            <w:vAlign w:val="center"/>
          </w:tcPr>
          <w:p w14:paraId="44BDF391" w14:textId="77777777" w:rsidR="00B14D53" w:rsidRDefault="00000000">
            <w:pPr>
              <w:contextualSpacing/>
              <w:jc w:val="center"/>
              <w:rPr>
                <w:rFonts w:eastAsiaTheme="minorEastAsia"/>
                <w:szCs w:val="21"/>
              </w:rPr>
            </w:pPr>
            <w:r>
              <w:rPr>
                <w:rFonts w:eastAsiaTheme="minorEastAsia" w:hint="eastAsia"/>
                <w:szCs w:val="21"/>
              </w:rPr>
              <w:t>0.1084</w:t>
            </w:r>
          </w:p>
        </w:tc>
        <w:tc>
          <w:tcPr>
            <w:tcW w:w="1442" w:type="dxa"/>
            <w:vAlign w:val="center"/>
          </w:tcPr>
          <w:p w14:paraId="4635E1CF" w14:textId="77777777" w:rsidR="00B14D53" w:rsidRDefault="00000000">
            <w:pPr>
              <w:contextualSpacing/>
              <w:jc w:val="center"/>
              <w:rPr>
                <w:rFonts w:eastAsiaTheme="minorEastAsia"/>
                <w:szCs w:val="21"/>
              </w:rPr>
            </w:pPr>
            <w:r>
              <w:rPr>
                <w:rFonts w:eastAsiaTheme="minorEastAsia" w:hint="eastAsia"/>
                <w:szCs w:val="21"/>
              </w:rPr>
              <w:t>1.0837</w:t>
            </w:r>
          </w:p>
        </w:tc>
      </w:tr>
      <w:tr w:rsidR="00B14D53" w14:paraId="308412AB" w14:textId="77777777">
        <w:trPr>
          <w:trHeight w:val="234"/>
          <w:jc w:val="center"/>
        </w:trPr>
        <w:tc>
          <w:tcPr>
            <w:tcW w:w="1784" w:type="dxa"/>
            <w:vAlign w:val="center"/>
          </w:tcPr>
          <w:p w14:paraId="43C51A55"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400</w:t>
            </w:r>
          </w:p>
        </w:tc>
        <w:tc>
          <w:tcPr>
            <w:tcW w:w="1843" w:type="dxa"/>
            <w:vAlign w:val="center"/>
          </w:tcPr>
          <w:p w14:paraId="7B8FF635" w14:textId="77777777" w:rsidR="00B14D53" w:rsidRDefault="00000000">
            <w:pPr>
              <w:contextualSpacing/>
              <w:jc w:val="center"/>
              <w:rPr>
                <w:rFonts w:eastAsiaTheme="minorEastAsia"/>
                <w:szCs w:val="21"/>
              </w:rPr>
            </w:pPr>
            <w:r>
              <w:rPr>
                <w:rFonts w:eastAsiaTheme="minorEastAsia" w:hint="eastAsia"/>
                <w:szCs w:val="21"/>
              </w:rPr>
              <w:t>2.2042</w:t>
            </w:r>
          </w:p>
        </w:tc>
        <w:tc>
          <w:tcPr>
            <w:tcW w:w="1559" w:type="dxa"/>
            <w:vAlign w:val="center"/>
          </w:tcPr>
          <w:p w14:paraId="5CE54C75" w14:textId="77777777" w:rsidR="00B14D53" w:rsidRDefault="00000000">
            <w:pPr>
              <w:contextualSpacing/>
              <w:jc w:val="center"/>
              <w:rPr>
                <w:rFonts w:eastAsiaTheme="minorEastAsia"/>
                <w:szCs w:val="21"/>
              </w:rPr>
            </w:pPr>
            <w:r>
              <w:rPr>
                <w:rFonts w:eastAsiaTheme="minorEastAsia" w:hint="eastAsia"/>
                <w:szCs w:val="21"/>
              </w:rPr>
              <w:t>1.1021</w:t>
            </w:r>
          </w:p>
        </w:tc>
        <w:tc>
          <w:tcPr>
            <w:tcW w:w="1843" w:type="dxa"/>
            <w:vAlign w:val="center"/>
          </w:tcPr>
          <w:p w14:paraId="63B3126C" w14:textId="77777777" w:rsidR="00B14D53" w:rsidRDefault="00000000">
            <w:pPr>
              <w:contextualSpacing/>
              <w:jc w:val="center"/>
              <w:rPr>
                <w:rFonts w:eastAsiaTheme="minorEastAsia"/>
                <w:szCs w:val="21"/>
              </w:rPr>
            </w:pPr>
            <w:r>
              <w:rPr>
                <w:rFonts w:eastAsiaTheme="minorEastAsia" w:hint="eastAsia"/>
                <w:szCs w:val="21"/>
              </w:rPr>
              <w:t>0.0882</w:t>
            </w:r>
          </w:p>
        </w:tc>
        <w:tc>
          <w:tcPr>
            <w:tcW w:w="1442" w:type="dxa"/>
            <w:vAlign w:val="center"/>
          </w:tcPr>
          <w:p w14:paraId="67D6A4FB" w14:textId="77777777" w:rsidR="00B14D53" w:rsidRDefault="00000000">
            <w:pPr>
              <w:contextualSpacing/>
              <w:jc w:val="center"/>
              <w:rPr>
                <w:rFonts w:eastAsiaTheme="minorEastAsia"/>
                <w:szCs w:val="21"/>
              </w:rPr>
            </w:pPr>
            <w:r>
              <w:rPr>
                <w:rFonts w:eastAsiaTheme="minorEastAsia" w:hint="eastAsia"/>
                <w:szCs w:val="21"/>
              </w:rPr>
              <w:t>0.8817</w:t>
            </w:r>
          </w:p>
        </w:tc>
      </w:tr>
      <w:tr w:rsidR="00B14D53" w14:paraId="3E0F8B96" w14:textId="77777777">
        <w:trPr>
          <w:trHeight w:val="248"/>
          <w:jc w:val="center"/>
        </w:trPr>
        <w:tc>
          <w:tcPr>
            <w:tcW w:w="1784" w:type="dxa"/>
            <w:vAlign w:val="center"/>
          </w:tcPr>
          <w:p w14:paraId="55CCE9A9"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500</w:t>
            </w:r>
          </w:p>
        </w:tc>
        <w:tc>
          <w:tcPr>
            <w:tcW w:w="1843" w:type="dxa"/>
            <w:vAlign w:val="center"/>
          </w:tcPr>
          <w:p w14:paraId="312CD36F" w14:textId="77777777" w:rsidR="00B14D53" w:rsidRDefault="00000000">
            <w:pPr>
              <w:contextualSpacing/>
              <w:jc w:val="center"/>
              <w:rPr>
                <w:rFonts w:eastAsiaTheme="minorEastAsia"/>
                <w:szCs w:val="21"/>
              </w:rPr>
            </w:pPr>
            <w:r>
              <w:rPr>
                <w:rFonts w:eastAsiaTheme="minorEastAsia" w:hint="eastAsia"/>
                <w:szCs w:val="21"/>
              </w:rPr>
              <w:t>1.8757</w:t>
            </w:r>
          </w:p>
        </w:tc>
        <w:tc>
          <w:tcPr>
            <w:tcW w:w="1559" w:type="dxa"/>
            <w:vAlign w:val="center"/>
          </w:tcPr>
          <w:p w14:paraId="1FB81767" w14:textId="77777777" w:rsidR="00B14D53" w:rsidRDefault="00000000">
            <w:pPr>
              <w:contextualSpacing/>
              <w:jc w:val="center"/>
              <w:rPr>
                <w:rFonts w:eastAsiaTheme="minorEastAsia"/>
                <w:szCs w:val="21"/>
              </w:rPr>
            </w:pPr>
            <w:r>
              <w:rPr>
                <w:rFonts w:eastAsiaTheme="minorEastAsia" w:hint="eastAsia"/>
                <w:szCs w:val="21"/>
              </w:rPr>
              <w:t>0.9378</w:t>
            </w:r>
          </w:p>
        </w:tc>
        <w:tc>
          <w:tcPr>
            <w:tcW w:w="1843" w:type="dxa"/>
            <w:vAlign w:val="center"/>
          </w:tcPr>
          <w:p w14:paraId="7466883B" w14:textId="77777777" w:rsidR="00B14D53" w:rsidRDefault="00000000">
            <w:pPr>
              <w:contextualSpacing/>
              <w:jc w:val="center"/>
              <w:rPr>
                <w:rFonts w:eastAsiaTheme="minorEastAsia"/>
                <w:szCs w:val="21"/>
              </w:rPr>
            </w:pPr>
            <w:r>
              <w:rPr>
                <w:rFonts w:eastAsiaTheme="minorEastAsia" w:hint="eastAsia"/>
                <w:szCs w:val="21"/>
              </w:rPr>
              <w:t>0.0750</w:t>
            </w:r>
          </w:p>
        </w:tc>
        <w:tc>
          <w:tcPr>
            <w:tcW w:w="1442" w:type="dxa"/>
            <w:vAlign w:val="center"/>
          </w:tcPr>
          <w:p w14:paraId="1C853A05" w14:textId="77777777" w:rsidR="00B14D53" w:rsidRDefault="00000000">
            <w:pPr>
              <w:contextualSpacing/>
              <w:jc w:val="center"/>
              <w:rPr>
                <w:rFonts w:eastAsiaTheme="minorEastAsia"/>
                <w:szCs w:val="21"/>
              </w:rPr>
            </w:pPr>
            <w:r>
              <w:rPr>
                <w:rFonts w:eastAsiaTheme="minorEastAsia" w:hint="eastAsia"/>
                <w:szCs w:val="21"/>
              </w:rPr>
              <w:t>0.7503</w:t>
            </w:r>
          </w:p>
        </w:tc>
      </w:tr>
      <w:tr w:rsidR="00B14D53" w14:paraId="41B659BF" w14:textId="77777777">
        <w:trPr>
          <w:trHeight w:val="78"/>
          <w:jc w:val="center"/>
        </w:trPr>
        <w:tc>
          <w:tcPr>
            <w:tcW w:w="1784" w:type="dxa"/>
            <w:vAlign w:val="center"/>
          </w:tcPr>
          <w:p w14:paraId="756AD50D"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600</w:t>
            </w:r>
          </w:p>
        </w:tc>
        <w:tc>
          <w:tcPr>
            <w:tcW w:w="1843" w:type="dxa"/>
            <w:vAlign w:val="center"/>
          </w:tcPr>
          <w:p w14:paraId="1E7C5294" w14:textId="77777777" w:rsidR="00B14D53" w:rsidRDefault="00000000">
            <w:pPr>
              <w:contextualSpacing/>
              <w:jc w:val="center"/>
              <w:rPr>
                <w:rFonts w:eastAsiaTheme="minorEastAsia"/>
                <w:szCs w:val="21"/>
              </w:rPr>
            </w:pPr>
            <w:r>
              <w:rPr>
                <w:rFonts w:eastAsiaTheme="minorEastAsia" w:hint="eastAsia"/>
                <w:szCs w:val="21"/>
              </w:rPr>
              <w:t>1.6423</w:t>
            </w:r>
          </w:p>
        </w:tc>
        <w:tc>
          <w:tcPr>
            <w:tcW w:w="1559" w:type="dxa"/>
            <w:vAlign w:val="center"/>
          </w:tcPr>
          <w:p w14:paraId="2278BF2D" w14:textId="77777777" w:rsidR="00B14D53" w:rsidRDefault="00000000">
            <w:pPr>
              <w:contextualSpacing/>
              <w:jc w:val="center"/>
              <w:rPr>
                <w:rFonts w:eastAsiaTheme="minorEastAsia"/>
                <w:szCs w:val="21"/>
              </w:rPr>
            </w:pPr>
            <w:r>
              <w:rPr>
                <w:rFonts w:eastAsiaTheme="minorEastAsia" w:hint="eastAsia"/>
                <w:szCs w:val="21"/>
              </w:rPr>
              <w:t>0.8212</w:t>
            </w:r>
          </w:p>
        </w:tc>
        <w:tc>
          <w:tcPr>
            <w:tcW w:w="1843" w:type="dxa"/>
            <w:vAlign w:val="center"/>
          </w:tcPr>
          <w:p w14:paraId="0D4AD8CC" w14:textId="77777777" w:rsidR="00B14D53" w:rsidRDefault="00000000">
            <w:pPr>
              <w:contextualSpacing/>
              <w:jc w:val="center"/>
              <w:rPr>
                <w:rFonts w:eastAsiaTheme="minorEastAsia"/>
                <w:szCs w:val="21"/>
              </w:rPr>
            </w:pPr>
            <w:r>
              <w:rPr>
                <w:rFonts w:eastAsiaTheme="minorEastAsia" w:hint="eastAsia"/>
                <w:szCs w:val="21"/>
              </w:rPr>
              <w:t>0.0657</w:t>
            </w:r>
          </w:p>
        </w:tc>
        <w:tc>
          <w:tcPr>
            <w:tcW w:w="1442" w:type="dxa"/>
            <w:vAlign w:val="center"/>
          </w:tcPr>
          <w:p w14:paraId="0B6BCD79" w14:textId="77777777" w:rsidR="00B14D53" w:rsidRDefault="00000000">
            <w:pPr>
              <w:contextualSpacing/>
              <w:jc w:val="center"/>
              <w:rPr>
                <w:rFonts w:eastAsiaTheme="minorEastAsia"/>
                <w:szCs w:val="21"/>
              </w:rPr>
            </w:pPr>
            <w:r>
              <w:rPr>
                <w:rFonts w:eastAsiaTheme="minorEastAsia" w:hint="eastAsia"/>
                <w:szCs w:val="21"/>
              </w:rPr>
              <w:t>0.6569</w:t>
            </w:r>
          </w:p>
        </w:tc>
      </w:tr>
      <w:tr w:rsidR="00B14D53" w14:paraId="0343387D" w14:textId="77777777">
        <w:trPr>
          <w:trHeight w:val="234"/>
          <w:jc w:val="center"/>
        </w:trPr>
        <w:tc>
          <w:tcPr>
            <w:tcW w:w="1784" w:type="dxa"/>
            <w:vAlign w:val="center"/>
          </w:tcPr>
          <w:p w14:paraId="0B9DD679"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700</w:t>
            </w:r>
          </w:p>
        </w:tc>
        <w:tc>
          <w:tcPr>
            <w:tcW w:w="1843" w:type="dxa"/>
            <w:vAlign w:val="center"/>
          </w:tcPr>
          <w:p w14:paraId="41398A84" w14:textId="77777777" w:rsidR="00B14D53" w:rsidRDefault="00000000">
            <w:pPr>
              <w:contextualSpacing/>
              <w:jc w:val="center"/>
              <w:rPr>
                <w:rFonts w:eastAsiaTheme="minorEastAsia"/>
                <w:szCs w:val="21"/>
              </w:rPr>
            </w:pPr>
            <w:r>
              <w:rPr>
                <w:rFonts w:eastAsiaTheme="minorEastAsia" w:hint="eastAsia"/>
                <w:szCs w:val="21"/>
              </w:rPr>
              <w:t>1.4665</w:t>
            </w:r>
          </w:p>
        </w:tc>
        <w:tc>
          <w:tcPr>
            <w:tcW w:w="1559" w:type="dxa"/>
            <w:vAlign w:val="center"/>
          </w:tcPr>
          <w:p w14:paraId="5783CA62" w14:textId="77777777" w:rsidR="00B14D53" w:rsidRDefault="00000000">
            <w:pPr>
              <w:contextualSpacing/>
              <w:jc w:val="center"/>
              <w:rPr>
                <w:rFonts w:eastAsiaTheme="minorEastAsia"/>
                <w:szCs w:val="21"/>
              </w:rPr>
            </w:pPr>
            <w:r>
              <w:rPr>
                <w:rFonts w:eastAsiaTheme="minorEastAsia" w:hint="eastAsia"/>
                <w:szCs w:val="21"/>
              </w:rPr>
              <w:t>0.7332</w:t>
            </w:r>
          </w:p>
        </w:tc>
        <w:tc>
          <w:tcPr>
            <w:tcW w:w="1843" w:type="dxa"/>
            <w:vAlign w:val="center"/>
          </w:tcPr>
          <w:p w14:paraId="75F80909" w14:textId="77777777" w:rsidR="00B14D53" w:rsidRDefault="00000000">
            <w:pPr>
              <w:contextualSpacing/>
              <w:jc w:val="center"/>
              <w:rPr>
                <w:rFonts w:eastAsiaTheme="minorEastAsia"/>
                <w:szCs w:val="21"/>
              </w:rPr>
            </w:pPr>
            <w:r>
              <w:rPr>
                <w:rFonts w:eastAsiaTheme="minorEastAsia" w:hint="eastAsia"/>
                <w:szCs w:val="21"/>
              </w:rPr>
              <w:t>0.0587</w:t>
            </w:r>
          </w:p>
        </w:tc>
        <w:tc>
          <w:tcPr>
            <w:tcW w:w="1442" w:type="dxa"/>
            <w:vAlign w:val="center"/>
          </w:tcPr>
          <w:p w14:paraId="477F8CA4" w14:textId="77777777" w:rsidR="00B14D53" w:rsidRDefault="00000000">
            <w:pPr>
              <w:contextualSpacing/>
              <w:jc w:val="center"/>
              <w:rPr>
                <w:rFonts w:eastAsiaTheme="minorEastAsia"/>
                <w:szCs w:val="21"/>
              </w:rPr>
            </w:pPr>
            <w:r>
              <w:rPr>
                <w:rFonts w:eastAsiaTheme="minorEastAsia" w:hint="eastAsia"/>
                <w:szCs w:val="21"/>
              </w:rPr>
              <w:t>0.5866</w:t>
            </w:r>
          </w:p>
        </w:tc>
      </w:tr>
      <w:tr w:rsidR="00B14D53" w14:paraId="5DD5AF1C" w14:textId="77777777">
        <w:trPr>
          <w:trHeight w:val="248"/>
          <w:jc w:val="center"/>
        </w:trPr>
        <w:tc>
          <w:tcPr>
            <w:tcW w:w="1784" w:type="dxa"/>
            <w:vAlign w:val="center"/>
          </w:tcPr>
          <w:p w14:paraId="44DABCC5"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800</w:t>
            </w:r>
          </w:p>
        </w:tc>
        <w:tc>
          <w:tcPr>
            <w:tcW w:w="1843" w:type="dxa"/>
            <w:vAlign w:val="center"/>
          </w:tcPr>
          <w:p w14:paraId="1688B59A" w14:textId="77777777" w:rsidR="00B14D53" w:rsidRDefault="00000000">
            <w:pPr>
              <w:contextualSpacing/>
              <w:jc w:val="center"/>
              <w:rPr>
                <w:rFonts w:eastAsiaTheme="minorEastAsia"/>
                <w:szCs w:val="21"/>
              </w:rPr>
            </w:pPr>
            <w:r>
              <w:rPr>
                <w:rFonts w:eastAsiaTheme="minorEastAsia" w:hint="eastAsia"/>
                <w:szCs w:val="21"/>
              </w:rPr>
              <w:t>1.3287</w:t>
            </w:r>
          </w:p>
        </w:tc>
        <w:tc>
          <w:tcPr>
            <w:tcW w:w="1559" w:type="dxa"/>
            <w:vAlign w:val="center"/>
          </w:tcPr>
          <w:p w14:paraId="15AB8BDF" w14:textId="77777777" w:rsidR="00B14D53" w:rsidRDefault="00000000">
            <w:pPr>
              <w:contextualSpacing/>
              <w:jc w:val="center"/>
              <w:rPr>
                <w:rFonts w:eastAsiaTheme="minorEastAsia"/>
                <w:szCs w:val="21"/>
              </w:rPr>
            </w:pPr>
            <w:r>
              <w:rPr>
                <w:rFonts w:eastAsiaTheme="minorEastAsia" w:hint="eastAsia"/>
                <w:szCs w:val="21"/>
              </w:rPr>
              <w:t>0.6643</w:t>
            </w:r>
          </w:p>
        </w:tc>
        <w:tc>
          <w:tcPr>
            <w:tcW w:w="1843" w:type="dxa"/>
            <w:vAlign w:val="center"/>
          </w:tcPr>
          <w:p w14:paraId="7121A2F4" w14:textId="77777777" w:rsidR="00B14D53" w:rsidRDefault="00000000">
            <w:pPr>
              <w:contextualSpacing/>
              <w:jc w:val="center"/>
              <w:rPr>
                <w:rFonts w:eastAsiaTheme="minorEastAsia"/>
                <w:szCs w:val="21"/>
              </w:rPr>
            </w:pPr>
            <w:r>
              <w:rPr>
                <w:rFonts w:eastAsiaTheme="minorEastAsia" w:hint="eastAsia"/>
                <w:szCs w:val="21"/>
              </w:rPr>
              <w:t>0.0531</w:t>
            </w:r>
          </w:p>
        </w:tc>
        <w:tc>
          <w:tcPr>
            <w:tcW w:w="1442" w:type="dxa"/>
            <w:vAlign w:val="center"/>
          </w:tcPr>
          <w:p w14:paraId="32756CA4" w14:textId="77777777" w:rsidR="00B14D53" w:rsidRDefault="00000000">
            <w:pPr>
              <w:contextualSpacing/>
              <w:jc w:val="center"/>
              <w:rPr>
                <w:rFonts w:eastAsiaTheme="minorEastAsia"/>
                <w:szCs w:val="21"/>
              </w:rPr>
            </w:pPr>
            <w:r>
              <w:rPr>
                <w:rFonts w:eastAsiaTheme="minorEastAsia" w:hint="eastAsia"/>
                <w:szCs w:val="21"/>
              </w:rPr>
              <w:t>0.5315</w:t>
            </w:r>
          </w:p>
        </w:tc>
      </w:tr>
      <w:tr w:rsidR="00B14D53" w14:paraId="42178F6F" w14:textId="77777777">
        <w:trPr>
          <w:trHeight w:val="248"/>
          <w:jc w:val="center"/>
        </w:trPr>
        <w:tc>
          <w:tcPr>
            <w:tcW w:w="1784" w:type="dxa"/>
            <w:vAlign w:val="center"/>
          </w:tcPr>
          <w:p w14:paraId="69ABB5B6"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900</w:t>
            </w:r>
          </w:p>
        </w:tc>
        <w:tc>
          <w:tcPr>
            <w:tcW w:w="1843" w:type="dxa"/>
            <w:vAlign w:val="center"/>
          </w:tcPr>
          <w:p w14:paraId="7B670093" w14:textId="77777777" w:rsidR="00B14D53" w:rsidRDefault="00000000">
            <w:pPr>
              <w:contextualSpacing/>
              <w:jc w:val="center"/>
              <w:rPr>
                <w:rFonts w:eastAsiaTheme="minorEastAsia"/>
                <w:szCs w:val="21"/>
              </w:rPr>
            </w:pPr>
            <w:r>
              <w:rPr>
                <w:rFonts w:eastAsiaTheme="minorEastAsia" w:hint="eastAsia"/>
                <w:szCs w:val="21"/>
              </w:rPr>
              <w:t>1.2171</w:t>
            </w:r>
          </w:p>
        </w:tc>
        <w:tc>
          <w:tcPr>
            <w:tcW w:w="1559" w:type="dxa"/>
            <w:vAlign w:val="center"/>
          </w:tcPr>
          <w:p w14:paraId="398DF21A" w14:textId="77777777" w:rsidR="00B14D53" w:rsidRDefault="00000000">
            <w:pPr>
              <w:contextualSpacing/>
              <w:jc w:val="center"/>
              <w:rPr>
                <w:rFonts w:eastAsiaTheme="minorEastAsia"/>
                <w:szCs w:val="21"/>
              </w:rPr>
            </w:pPr>
            <w:r>
              <w:rPr>
                <w:rFonts w:eastAsiaTheme="minorEastAsia" w:hint="eastAsia"/>
                <w:szCs w:val="21"/>
              </w:rPr>
              <w:t>0.6086</w:t>
            </w:r>
          </w:p>
        </w:tc>
        <w:tc>
          <w:tcPr>
            <w:tcW w:w="1843" w:type="dxa"/>
            <w:vAlign w:val="center"/>
          </w:tcPr>
          <w:p w14:paraId="158D9C1A" w14:textId="77777777" w:rsidR="00B14D53" w:rsidRDefault="00000000">
            <w:pPr>
              <w:contextualSpacing/>
              <w:jc w:val="center"/>
              <w:rPr>
                <w:rFonts w:eastAsiaTheme="minorEastAsia"/>
                <w:szCs w:val="21"/>
              </w:rPr>
            </w:pPr>
            <w:r>
              <w:rPr>
                <w:rFonts w:eastAsiaTheme="minorEastAsia" w:hint="eastAsia"/>
                <w:szCs w:val="21"/>
              </w:rPr>
              <w:t>0.0487</w:t>
            </w:r>
          </w:p>
        </w:tc>
        <w:tc>
          <w:tcPr>
            <w:tcW w:w="1442" w:type="dxa"/>
            <w:vAlign w:val="center"/>
          </w:tcPr>
          <w:p w14:paraId="74AA3DF3" w14:textId="77777777" w:rsidR="00B14D53" w:rsidRDefault="00000000">
            <w:pPr>
              <w:contextualSpacing/>
              <w:jc w:val="center"/>
              <w:rPr>
                <w:rFonts w:eastAsiaTheme="minorEastAsia"/>
                <w:szCs w:val="21"/>
              </w:rPr>
            </w:pPr>
            <w:r>
              <w:rPr>
                <w:rFonts w:eastAsiaTheme="minorEastAsia" w:hint="eastAsia"/>
                <w:szCs w:val="21"/>
              </w:rPr>
              <w:t>0.4868</w:t>
            </w:r>
          </w:p>
        </w:tc>
      </w:tr>
      <w:tr w:rsidR="00B14D53" w14:paraId="3CE119D3" w14:textId="77777777">
        <w:trPr>
          <w:trHeight w:val="234"/>
          <w:jc w:val="center"/>
        </w:trPr>
        <w:tc>
          <w:tcPr>
            <w:tcW w:w="1784" w:type="dxa"/>
            <w:vAlign w:val="center"/>
          </w:tcPr>
          <w:p w14:paraId="1CE66E6B"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1000</w:t>
            </w:r>
          </w:p>
        </w:tc>
        <w:tc>
          <w:tcPr>
            <w:tcW w:w="1843" w:type="dxa"/>
            <w:vAlign w:val="center"/>
          </w:tcPr>
          <w:p w14:paraId="4F26B139" w14:textId="77777777" w:rsidR="00B14D53" w:rsidRDefault="00000000">
            <w:pPr>
              <w:contextualSpacing/>
              <w:jc w:val="center"/>
              <w:rPr>
                <w:rFonts w:eastAsiaTheme="minorEastAsia"/>
                <w:szCs w:val="21"/>
              </w:rPr>
            </w:pPr>
            <w:r>
              <w:rPr>
                <w:rFonts w:eastAsiaTheme="minorEastAsia" w:hint="eastAsia"/>
                <w:szCs w:val="21"/>
              </w:rPr>
              <w:t>1.1245</w:t>
            </w:r>
          </w:p>
        </w:tc>
        <w:tc>
          <w:tcPr>
            <w:tcW w:w="1559" w:type="dxa"/>
            <w:vAlign w:val="center"/>
          </w:tcPr>
          <w:p w14:paraId="1A69B3F2" w14:textId="77777777" w:rsidR="00B14D53" w:rsidRDefault="00000000">
            <w:pPr>
              <w:contextualSpacing/>
              <w:jc w:val="center"/>
              <w:rPr>
                <w:rFonts w:eastAsiaTheme="minorEastAsia"/>
                <w:szCs w:val="21"/>
              </w:rPr>
            </w:pPr>
            <w:r>
              <w:rPr>
                <w:rFonts w:eastAsiaTheme="minorEastAsia" w:hint="eastAsia"/>
                <w:szCs w:val="21"/>
              </w:rPr>
              <w:t>0.5623</w:t>
            </w:r>
          </w:p>
        </w:tc>
        <w:tc>
          <w:tcPr>
            <w:tcW w:w="1843" w:type="dxa"/>
            <w:vAlign w:val="center"/>
          </w:tcPr>
          <w:p w14:paraId="64291564" w14:textId="77777777" w:rsidR="00B14D53" w:rsidRDefault="00000000">
            <w:pPr>
              <w:contextualSpacing/>
              <w:jc w:val="center"/>
              <w:rPr>
                <w:rFonts w:eastAsiaTheme="minorEastAsia"/>
                <w:szCs w:val="21"/>
              </w:rPr>
            </w:pPr>
            <w:r>
              <w:rPr>
                <w:rFonts w:eastAsiaTheme="minorEastAsia" w:hint="eastAsia"/>
                <w:szCs w:val="21"/>
              </w:rPr>
              <w:t>0.0450</w:t>
            </w:r>
          </w:p>
        </w:tc>
        <w:tc>
          <w:tcPr>
            <w:tcW w:w="1442" w:type="dxa"/>
            <w:vAlign w:val="center"/>
          </w:tcPr>
          <w:p w14:paraId="17268C4D" w14:textId="77777777" w:rsidR="00B14D53" w:rsidRDefault="00000000">
            <w:pPr>
              <w:contextualSpacing/>
              <w:jc w:val="center"/>
              <w:rPr>
                <w:rFonts w:eastAsiaTheme="minorEastAsia"/>
                <w:szCs w:val="21"/>
              </w:rPr>
            </w:pPr>
            <w:r>
              <w:rPr>
                <w:rFonts w:eastAsiaTheme="minorEastAsia" w:hint="eastAsia"/>
                <w:szCs w:val="21"/>
              </w:rPr>
              <w:t>0.4498</w:t>
            </w:r>
          </w:p>
        </w:tc>
      </w:tr>
      <w:tr w:rsidR="00B14D53" w14:paraId="46A2B540" w14:textId="77777777">
        <w:trPr>
          <w:trHeight w:val="248"/>
          <w:jc w:val="center"/>
        </w:trPr>
        <w:tc>
          <w:tcPr>
            <w:tcW w:w="1784" w:type="dxa"/>
            <w:vAlign w:val="center"/>
          </w:tcPr>
          <w:p w14:paraId="22A881CE"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1600</w:t>
            </w:r>
          </w:p>
        </w:tc>
        <w:tc>
          <w:tcPr>
            <w:tcW w:w="1843" w:type="dxa"/>
            <w:vAlign w:val="center"/>
          </w:tcPr>
          <w:p w14:paraId="3588809F" w14:textId="77777777" w:rsidR="00B14D53" w:rsidRDefault="00000000">
            <w:pPr>
              <w:contextualSpacing/>
              <w:jc w:val="center"/>
              <w:rPr>
                <w:rFonts w:eastAsiaTheme="minorEastAsia"/>
                <w:szCs w:val="21"/>
              </w:rPr>
            </w:pPr>
            <w:r>
              <w:rPr>
                <w:rFonts w:eastAsiaTheme="minorEastAsia" w:hint="eastAsia"/>
                <w:szCs w:val="21"/>
              </w:rPr>
              <w:t>0.7820</w:t>
            </w:r>
          </w:p>
        </w:tc>
        <w:tc>
          <w:tcPr>
            <w:tcW w:w="1559" w:type="dxa"/>
            <w:vAlign w:val="center"/>
          </w:tcPr>
          <w:p w14:paraId="50BB23DC" w14:textId="77777777" w:rsidR="00B14D53" w:rsidRDefault="00000000">
            <w:pPr>
              <w:contextualSpacing/>
              <w:jc w:val="center"/>
              <w:rPr>
                <w:rFonts w:eastAsiaTheme="minorEastAsia"/>
                <w:szCs w:val="21"/>
              </w:rPr>
            </w:pPr>
            <w:r>
              <w:rPr>
                <w:rFonts w:eastAsiaTheme="minorEastAsia" w:hint="eastAsia"/>
                <w:szCs w:val="21"/>
              </w:rPr>
              <w:t>0.3910</w:t>
            </w:r>
          </w:p>
        </w:tc>
        <w:tc>
          <w:tcPr>
            <w:tcW w:w="1843" w:type="dxa"/>
            <w:vAlign w:val="center"/>
          </w:tcPr>
          <w:p w14:paraId="365B8F6E" w14:textId="77777777" w:rsidR="00B14D53" w:rsidRDefault="00000000">
            <w:pPr>
              <w:contextualSpacing/>
              <w:jc w:val="center"/>
              <w:rPr>
                <w:rFonts w:eastAsiaTheme="minorEastAsia"/>
                <w:szCs w:val="21"/>
              </w:rPr>
            </w:pPr>
            <w:r>
              <w:rPr>
                <w:rFonts w:eastAsiaTheme="minorEastAsia" w:hint="eastAsia"/>
                <w:szCs w:val="21"/>
              </w:rPr>
              <w:t>0.0313</w:t>
            </w:r>
          </w:p>
        </w:tc>
        <w:tc>
          <w:tcPr>
            <w:tcW w:w="1442" w:type="dxa"/>
            <w:vAlign w:val="center"/>
          </w:tcPr>
          <w:p w14:paraId="719A4700" w14:textId="77777777" w:rsidR="00B14D53" w:rsidRDefault="00000000">
            <w:pPr>
              <w:contextualSpacing/>
              <w:jc w:val="center"/>
              <w:rPr>
                <w:rFonts w:eastAsiaTheme="minorEastAsia"/>
                <w:szCs w:val="21"/>
              </w:rPr>
            </w:pPr>
            <w:r>
              <w:rPr>
                <w:rFonts w:eastAsiaTheme="minorEastAsia" w:hint="eastAsia"/>
                <w:szCs w:val="21"/>
              </w:rPr>
              <w:t>0.3128</w:t>
            </w:r>
          </w:p>
        </w:tc>
      </w:tr>
      <w:tr w:rsidR="00B14D53" w14:paraId="117C594A" w14:textId="77777777">
        <w:trPr>
          <w:trHeight w:val="248"/>
          <w:jc w:val="center"/>
        </w:trPr>
        <w:tc>
          <w:tcPr>
            <w:tcW w:w="1784" w:type="dxa"/>
            <w:vAlign w:val="center"/>
          </w:tcPr>
          <w:p w14:paraId="6B10219A"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2000</w:t>
            </w:r>
          </w:p>
        </w:tc>
        <w:tc>
          <w:tcPr>
            <w:tcW w:w="1843" w:type="dxa"/>
            <w:vAlign w:val="center"/>
          </w:tcPr>
          <w:p w14:paraId="64E60A7A" w14:textId="77777777" w:rsidR="00B14D53" w:rsidRDefault="00000000">
            <w:pPr>
              <w:contextualSpacing/>
              <w:jc w:val="center"/>
              <w:rPr>
                <w:rFonts w:eastAsiaTheme="minorEastAsia"/>
                <w:szCs w:val="21"/>
              </w:rPr>
            </w:pPr>
            <w:r>
              <w:rPr>
                <w:rFonts w:eastAsiaTheme="minorEastAsia" w:hint="eastAsia"/>
                <w:szCs w:val="21"/>
              </w:rPr>
              <w:t>0.6530</w:t>
            </w:r>
          </w:p>
        </w:tc>
        <w:tc>
          <w:tcPr>
            <w:tcW w:w="1559" w:type="dxa"/>
            <w:vAlign w:val="center"/>
          </w:tcPr>
          <w:p w14:paraId="682CDC22" w14:textId="77777777" w:rsidR="00B14D53" w:rsidRDefault="00000000">
            <w:pPr>
              <w:contextualSpacing/>
              <w:jc w:val="center"/>
              <w:rPr>
                <w:rFonts w:eastAsiaTheme="minorEastAsia"/>
                <w:szCs w:val="21"/>
              </w:rPr>
            </w:pPr>
            <w:r>
              <w:rPr>
                <w:rFonts w:eastAsiaTheme="minorEastAsia" w:hint="eastAsia"/>
                <w:szCs w:val="21"/>
              </w:rPr>
              <w:t>0.3265</w:t>
            </w:r>
          </w:p>
        </w:tc>
        <w:tc>
          <w:tcPr>
            <w:tcW w:w="1843" w:type="dxa"/>
            <w:vAlign w:val="center"/>
          </w:tcPr>
          <w:p w14:paraId="1C06012F" w14:textId="77777777" w:rsidR="00B14D53" w:rsidRDefault="00000000">
            <w:pPr>
              <w:contextualSpacing/>
              <w:jc w:val="center"/>
              <w:rPr>
                <w:rFonts w:eastAsiaTheme="minorEastAsia"/>
                <w:szCs w:val="21"/>
              </w:rPr>
            </w:pPr>
            <w:r>
              <w:rPr>
                <w:rFonts w:eastAsiaTheme="minorEastAsia" w:hint="eastAsia"/>
                <w:szCs w:val="21"/>
              </w:rPr>
              <w:t>0.0261</w:t>
            </w:r>
          </w:p>
        </w:tc>
        <w:tc>
          <w:tcPr>
            <w:tcW w:w="1442" w:type="dxa"/>
            <w:vAlign w:val="center"/>
          </w:tcPr>
          <w:p w14:paraId="2D683314" w14:textId="77777777" w:rsidR="00B14D53" w:rsidRDefault="00000000">
            <w:pPr>
              <w:contextualSpacing/>
              <w:jc w:val="center"/>
              <w:rPr>
                <w:rFonts w:eastAsiaTheme="minorEastAsia"/>
                <w:szCs w:val="21"/>
              </w:rPr>
            </w:pPr>
            <w:r>
              <w:rPr>
                <w:rFonts w:eastAsiaTheme="minorEastAsia" w:hint="eastAsia"/>
                <w:szCs w:val="21"/>
              </w:rPr>
              <w:t>0.2612</w:t>
            </w:r>
          </w:p>
        </w:tc>
      </w:tr>
      <w:tr w:rsidR="00B14D53" w14:paraId="0EFB76B8" w14:textId="77777777">
        <w:trPr>
          <w:trHeight w:val="138"/>
          <w:jc w:val="center"/>
        </w:trPr>
        <w:tc>
          <w:tcPr>
            <w:tcW w:w="1784" w:type="dxa"/>
            <w:vAlign w:val="center"/>
          </w:tcPr>
          <w:p w14:paraId="6A7A293F"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2500</w:t>
            </w:r>
          </w:p>
        </w:tc>
        <w:tc>
          <w:tcPr>
            <w:tcW w:w="1843" w:type="dxa"/>
            <w:vAlign w:val="center"/>
          </w:tcPr>
          <w:p w14:paraId="6B8D4D05" w14:textId="77777777" w:rsidR="00B14D53" w:rsidRDefault="00000000">
            <w:pPr>
              <w:contextualSpacing/>
              <w:jc w:val="center"/>
              <w:rPr>
                <w:rFonts w:eastAsiaTheme="minorEastAsia"/>
                <w:szCs w:val="21"/>
              </w:rPr>
            </w:pPr>
            <w:r>
              <w:rPr>
                <w:rFonts w:eastAsiaTheme="minorEastAsia" w:hint="eastAsia"/>
                <w:szCs w:val="21"/>
              </w:rPr>
              <w:t>0.5418</w:t>
            </w:r>
          </w:p>
        </w:tc>
        <w:tc>
          <w:tcPr>
            <w:tcW w:w="1559" w:type="dxa"/>
            <w:vAlign w:val="center"/>
          </w:tcPr>
          <w:p w14:paraId="26D0B1AD" w14:textId="77777777" w:rsidR="00B14D53" w:rsidRDefault="00000000">
            <w:pPr>
              <w:contextualSpacing/>
              <w:jc w:val="center"/>
              <w:rPr>
                <w:rFonts w:eastAsiaTheme="minorEastAsia"/>
                <w:szCs w:val="21"/>
              </w:rPr>
            </w:pPr>
            <w:r>
              <w:rPr>
                <w:rFonts w:eastAsiaTheme="minorEastAsia" w:hint="eastAsia"/>
                <w:szCs w:val="21"/>
              </w:rPr>
              <w:t>0.2709</w:t>
            </w:r>
          </w:p>
        </w:tc>
        <w:tc>
          <w:tcPr>
            <w:tcW w:w="1843" w:type="dxa"/>
            <w:vAlign w:val="center"/>
          </w:tcPr>
          <w:p w14:paraId="2F3D133D" w14:textId="77777777" w:rsidR="00B14D53" w:rsidRDefault="00000000">
            <w:pPr>
              <w:contextualSpacing/>
              <w:jc w:val="center"/>
              <w:rPr>
                <w:rFonts w:eastAsiaTheme="minorEastAsia"/>
                <w:szCs w:val="21"/>
              </w:rPr>
            </w:pPr>
            <w:r>
              <w:rPr>
                <w:rFonts w:eastAsiaTheme="minorEastAsia" w:hint="eastAsia"/>
                <w:szCs w:val="21"/>
              </w:rPr>
              <w:t>0.0217</w:t>
            </w:r>
          </w:p>
        </w:tc>
        <w:tc>
          <w:tcPr>
            <w:tcW w:w="1442" w:type="dxa"/>
            <w:vAlign w:val="center"/>
          </w:tcPr>
          <w:p w14:paraId="5517D962" w14:textId="77777777" w:rsidR="00B14D53" w:rsidRDefault="00000000">
            <w:pPr>
              <w:contextualSpacing/>
              <w:jc w:val="center"/>
              <w:rPr>
                <w:rFonts w:eastAsiaTheme="minorEastAsia"/>
                <w:szCs w:val="21"/>
              </w:rPr>
            </w:pPr>
            <w:r>
              <w:rPr>
                <w:rFonts w:eastAsiaTheme="minorEastAsia" w:hint="eastAsia"/>
                <w:szCs w:val="21"/>
              </w:rPr>
              <w:t>0.2167</w:t>
            </w:r>
          </w:p>
        </w:tc>
      </w:tr>
      <w:tr w:rsidR="00B14D53" w14:paraId="42134354" w14:textId="77777777">
        <w:trPr>
          <w:trHeight w:val="71"/>
          <w:jc w:val="center"/>
        </w:trPr>
        <w:tc>
          <w:tcPr>
            <w:tcW w:w="1784" w:type="dxa"/>
            <w:vAlign w:val="center"/>
          </w:tcPr>
          <w:p w14:paraId="60063CD2"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下风向最大浓度</w:t>
            </w:r>
          </w:p>
        </w:tc>
        <w:tc>
          <w:tcPr>
            <w:tcW w:w="1843" w:type="dxa"/>
            <w:vAlign w:val="center"/>
          </w:tcPr>
          <w:p w14:paraId="6A58252B" w14:textId="77777777" w:rsidR="00B14D53" w:rsidRDefault="00000000">
            <w:pPr>
              <w:contextualSpacing/>
              <w:jc w:val="center"/>
              <w:rPr>
                <w:rFonts w:eastAsiaTheme="minorEastAsia"/>
                <w:szCs w:val="21"/>
              </w:rPr>
            </w:pPr>
            <w:r>
              <w:rPr>
                <w:rFonts w:eastAsiaTheme="minorEastAsia" w:hint="eastAsia"/>
                <w:szCs w:val="21"/>
              </w:rPr>
              <w:t>13.8870</w:t>
            </w:r>
          </w:p>
        </w:tc>
        <w:tc>
          <w:tcPr>
            <w:tcW w:w="1559" w:type="dxa"/>
            <w:vAlign w:val="center"/>
          </w:tcPr>
          <w:p w14:paraId="5296DD81" w14:textId="77777777" w:rsidR="00B14D53" w:rsidRDefault="00000000">
            <w:pPr>
              <w:contextualSpacing/>
              <w:jc w:val="center"/>
              <w:rPr>
                <w:rFonts w:eastAsiaTheme="minorEastAsia"/>
                <w:szCs w:val="21"/>
              </w:rPr>
            </w:pPr>
            <w:r>
              <w:rPr>
                <w:rFonts w:eastAsiaTheme="minorEastAsia" w:hint="eastAsia"/>
                <w:szCs w:val="21"/>
              </w:rPr>
              <w:t>6.9435</w:t>
            </w:r>
          </w:p>
        </w:tc>
        <w:tc>
          <w:tcPr>
            <w:tcW w:w="1843" w:type="dxa"/>
            <w:vAlign w:val="center"/>
          </w:tcPr>
          <w:p w14:paraId="00BC7383" w14:textId="77777777" w:rsidR="00B14D53" w:rsidRDefault="00000000">
            <w:pPr>
              <w:contextualSpacing/>
              <w:jc w:val="center"/>
              <w:rPr>
                <w:rFonts w:eastAsiaTheme="minorEastAsia"/>
                <w:szCs w:val="21"/>
              </w:rPr>
            </w:pPr>
            <w:r>
              <w:rPr>
                <w:rFonts w:eastAsiaTheme="minorEastAsia" w:hint="eastAsia"/>
                <w:szCs w:val="21"/>
              </w:rPr>
              <w:t>0.5555</w:t>
            </w:r>
          </w:p>
        </w:tc>
        <w:tc>
          <w:tcPr>
            <w:tcW w:w="1442" w:type="dxa"/>
            <w:vAlign w:val="center"/>
          </w:tcPr>
          <w:p w14:paraId="58A80D4E" w14:textId="77777777" w:rsidR="00B14D53" w:rsidRDefault="00000000">
            <w:pPr>
              <w:contextualSpacing/>
              <w:jc w:val="center"/>
              <w:rPr>
                <w:rFonts w:eastAsiaTheme="minorEastAsia"/>
                <w:szCs w:val="21"/>
              </w:rPr>
            </w:pPr>
            <w:r>
              <w:rPr>
                <w:rFonts w:eastAsiaTheme="minorEastAsia" w:hint="eastAsia"/>
                <w:szCs w:val="21"/>
              </w:rPr>
              <w:t>5.5548</w:t>
            </w:r>
          </w:p>
        </w:tc>
      </w:tr>
      <w:tr w:rsidR="00B14D53" w14:paraId="15CD9D29" w14:textId="77777777">
        <w:trPr>
          <w:trHeight w:val="56"/>
          <w:jc w:val="center"/>
        </w:trPr>
        <w:tc>
          <w:tcPr>
            <w:tcW w:w="1784" w:type="dxa"/>
            <w:vAlign w:val="center"/>
          </w:tcPr>
          <w:p w14:paraId="780AB239" w14:textId="77777777" w:rsidR="00B14D53" w:rsidRDefault="00000000">
            <w:pPr>
              <w:pStyle w:val="afff"/>
              <w:adjustRightInd/>
              <w:snapToGrid/>
              <w:spacing w:line="240" w:lineRule="auto"/>
              <w:ind w:firstLineChars="0" w:firstLine="0"/>
              <w:contextualSpacing/>
              <w:jc w:val="center"/>
              <w:rPr>
                <w:rFonts w:ascii="Times New Roman" w:hAnsi="Times New Roman" w:cs="Times New Roman"/>
                <w:sz w:val="21"/>
                <w:szCs w:val="21"/>
              </w:rPr>
            </w:pPr>
            <w:r>
              <w:rPr>
                <w:rFonts w:ascii="Times New Roman" w:hAnsi="Times New Roman" w:cs="Times New Roman"/>
                <w:sz w:val="21"/>
                <w:szCs w:val="21"/>
              </w:rPr>
              <w:t>下风向最大浓度出现距离</w:t>
            </w:r>
          </w:p>
        </w:tc>
        <w:tc>
          <w:tcPr>
            <w:tcW w:w="6687" w:type="dxa"/>
            <w:gridSpan w:val="4"/>
            <w:vAlign w:val="center"/>
          </w:tcPr>
          <w:p w14:paraId="4D642433" w14:textId="77777777" w:rsidR="00B14D53" w:rsidRDefault="00000000">
            <w:pPr>
              <w:contextualSpacing/>
              <w:jc w:val="center"/>
              <w:rPr>
                <w:rFonts w:eastAsiaTheme="minorEastAsia"/>
                <w:szCs w:val="21"/>
              </w:rPr>
            </w:pPr>
            <w:r>
              <w:rPr>
                <w:rFonts w:eastAsiaTheme="minorEastAsia" w:hint="eastAsia"/>
                <w:szCs w:val="21"/>
              </w:rPr>
              <w:t>10m</w:t>
            </w:r>
          </w:p>
        </w:tc>
      </w:tr>
    </w:tbl>
    <w:p w14:paraId="0C12DF33" w14:textId="77777777" w:rsidR="00B14D53" w:rsidRDefault="00000000">
      <w:pPr>
        <w:pStyle w:val="00"/>
        <w:rPr>
          <w:rFonts w:hint="eastAsia"/>
        </w:rPr>
      </w:pPr>
      <w:r>
        <w:t>根据</w:t>
      </w:r>
      <w:r>
        <w:rPr>
          <w:rFonts w:hAnsi="Times New Roman"/>
        </w:rPr>
        <w:t>5-2-5</w:t>
      </w:r>
      <w:r>
        <w:rPr>
          <w:rFonts w:hint="eastAsia"/>
        </w:rPr>
        <w:t>至</w:t>
      </w:r>
      <w:r>
        <w:rPr>
          <w:rFonts w:hAnsi="Times New Roman"/>
        </w:rPr>
        <w:t>5-2-</w:t>
      </w:r>
      <w:r>
        <w:rPr>
          <w:rFonts w:hAnsi="Times New Roman" w:hint="eastAsia"/>
        </w:rPr>
        <w:t>12</w:t>
      </w:r>
      <w:r>
        <w:t>中最大占标率为</w:t>
      </w:r>
      <w:r>
        <w:rPr>
          <w:rFonts w:hint="eastAsia"/>
        </w:rPr>
        <w:t>污水处理站</w:t>
      </w:r>
      <w:r>
        <w:t>无组织排放的</w:t>
      </w:r>
      <w:r>
        <w:rPr>
          <w:rFonts w:hAnsi="Times New Roman"/>
        </w:rPr>
        <w:t>NH</w:t>
      </w:r>
      <w:r>
        <w:rPr>
          <w:rFonts w:hAnsi="Times New Roman"/>
          <w:vertAlign w:val="subscript"/>
        </w:rPr>
        <w:t>3</w:t>
      </w:r>
      <w:r>
        <w:t>，排放的</w:t>
      </w:r>
      <w:r>
        <w:rPr>
          <w:rFonts w:hAnsi="Times New Roman"/>
        </w:rPr>
        <w:t>NH</w:t>
      </w:r>
      <w:r>
        <w:rPr>
          <w:rFonts w:hAnsi="Times New Roman"/>
          <w:vertAlign w:val="subscript"/>
        </w:rPr>
        <w:t>3</w:t>
      </w:r>
      <w:r>
        <w:t>最大占标率为</w:t>
      </w:r>
      <w:r>
        <w:t>6.9435</w:t>
      </w:r>
      <w:r>
        <w:rPr>
          <w:rFonts w:hAnsi="Times New Roman"/>
        </w:rPr>
        <w:t>%</w:t>
      </w:r>
      <w:r>
        <w:t>，其对环境的最大地面贡献浓度</w:t>
      </w:r>
      <w:r>
        <w:rPr>
          <w:rFonts w:hAnsi="Times New Roman"/>
        </w:rPr>
        <w:t>为</w:t>
      </w:r>
      <w:r>
        <w:rPr>
          <w:rFonts w:hAnsi="Times New Roman"/>
        </w:rPr>
        <w:t>13.8870μg/m</w:t>
      </w:r>
      <w:r>
        <w:rPr>
          <w:rFonts w:hAnsi="Times New Roman"/>
          <w:vertAlign w:val="superscript"/>
        </w:rPr>
        <w:t>3</w:t>
      </w:r>
      <w:r>
        <w:t>，最大落地距离为</w:t>
      </w:r>
      <w:r>
        <w:rPr>
          <w:rFonts w:hAnsi="Times New Roman" w:hint="eastAsia"/>
        </w:rPr>
        <w:t>10</w:t>
      </w:r>
      <w:r>
        <w:rPr>
          <w:rFonts w:hAnsi="Times New Roman"/>
        </w:rPr>
        <w:t>m</w:t>
      </w:r>
      <w:r>
        <w:t>。说明项目在采取环保治理措施后排放的污染物对环境的影响不大，当地环境空气质量可维持现状水平。说明项目在采取环保治理措施后排放的污染物对环境的影响不大，当地环境空气质量可维持现状水平。本项目</w:t>
      </w:r>
      <w:r>
        <w:rPr>
          <w:rFonts w:hAnsi="Times New Roman"/>
        </w:rPr>
        <w:t>1%≤P</w:t>
      </w:r>
      <w:r>
        <w:rPr>
          <w:rFonts w:hAnsi="Times New Roman"/>
          <w:vertAlign w:val="subscript"/>
        </w:rPr>
        <w:t>max</w:t>
      </w:r>
      <w:r>
        <w:t>＜</w:t>
      </w:r>
      <w:r>
        <w:rPr>
          <w:rFonts w:hAnsi="Times New Roman"/>
        </w:rPr>
        <w:t>10%</w:t>
      </w:r>
      <w:r>
        <w:t>，因此本项目大气评价等级为二级，因此不需进行进一步预测与评价，只对污染物排放量进行核算</w:t>
      </w:r>
      <w:r>
        <w:rPr>
          <w:rFonts w:hint="eastAsia"/>
        </w:rPr>
        <w:t>。</w:t>
      </w:r>
    </w:p>
    <w:p w14:paraId="4B096EEF" w14:textId="77777777" w:rsidR="00B14D53" w:rsidRDefault="00000000">
      <w:pPr>
        <w:pStyle w:val="00"/>
        <w:rPr>
          <w:rFonts w:hAnsi="Times New Roman"/>
        </w:rPr>
      </w:pPr>
      <w:r>
        <w:t>（</w:t>
      </w:r>
      <w:r>
        <w:t>4</w:t>
      </w:r>
      <w:r>
        <w:t>）排放量核算</w:t>
      </w:r>
    </w:p>
    <w:p w14:paraId="43F1A4A2" w14:textId="77777777" w:rsidR="00B14D53" w:rsidRDefault="00B14D53">
      <w:pPr>
        <w:spacing w:line="360" w:lineRule="auto"/>
        <w:ind w:firstLine="482"/>
        <w:jc w:val="center"/>
        <w:rPr>
          <w:rFonts w:eastAsiaTheme="minorEastAsia" w:hAnsiTheme="minorEastAsia" w:hint="eastAsia"/>
          <w:b/>
          <w:sz w:val="24"/>
        </w:rPr>
      </w:pPr>
    </w:p>
    <w:p w14:paraId="2845C494" w14:textId="77777777" w:rsidR="00B14D53" w:rsidRDefault="00B14D53">
      <w:pPr>
        <w:spacing w:line="360" w:lineRule="auto"/>
        <w:ind w:firstLine="482"/>
        <w:jc w:val="center"/>
        <w:rPr>
          <w:rFonts w:eastAsiaTheme="minorEastAsia" w:hAnsiTheme="minorEastAsia" w:hint="eastAsia"/>
          <w:b/>
          <w:sz w:val="24"/>
        </w:rPr>
      </w:pPr>
    </w:p>
    <w:p w14:paraId="1793208F" w14:textId="77777777" w:rsidR="00B14D53" w:rsidRDefault="00B14D53">
      <w:pPr>
        <w:spacing w:line="360" w:lineRule="auto"/>
        <w:ind w:firstLine="482"/>
        <w:jc w:val="center"/>
        <w:rPr>
          <w:rFonts w:eastAsiaTheme="minorEastAsia" w:hAnsiTheme="minorEastAsia" w:hint="eastAsia"/>
          <w:b/>
          <w:sz w:val="24"/>
        </w:rPr>
      </w:pPr>
    </w:p>
    <w:p w14:paraId="0254C9AC" w14:textId="77777777" w:rsidR="00B14D53" w:rsidRDefault="00B14D53">
      <w:pPr>
        <w:spacing w:line="360" w:lineRule="auto"/>
        <w:ind w:firstLine="482"/>
        <w:jc w:val="center"/>
        <w:rPr>
          <w:rFonts w:eastAsiaTheme="minorEastAsia" w:hAnsiTheme="minorEastAsia" w:hint="eastAsia"/>
          <w:b/>
          <w:sz w:val="24"/>
        </w:rPr>
      </w:pPr>
    </w:p>
    <w:p w14:paraId="09C9760C" w14:textId="77777777" w:rsidR="00B14D53" w:rsidRDefault="00B14D53">
      <w:pPr>
        <w:spacing w:line="360" w:lineRule="auto"/>
        <w:ind w:firstLine="482"/>
        <w:jc w:val="center"/>
        <w:rPr>
          <w:rFonts w:eastAsiaTheme="minorEastAsia" w:hAnsiTheme="minorEastAsia" w:hint="eastAsia"/>
          <w:b/>
          <w:sz w:val="24"/>
        </w:rPr>
      </w:pPr>
    </w:p>
    <w:p w14:paraId="10C2646F" w14:textId="77777777" w:rsidR="00B14D53" w:rsidRDefault="00B14D53">
      <w:pPr>
        <w:spacing w:line="360" w:lineRule="auto"/>
        <w:ind w:firstLine="482"/>
        <w:jc w:val="center"/>
        <w:rPr>
          <w:rFonts w:eastAsiaTheme="minorEastAsia" w:hAnsiTheme="minorEastAsia" w:hint="eastAsia"/>
          <w:b/>
          <w:sz w:val="24"/>
        </w:rPr>
      </w:pPr>
    </w:p>
    <w:p w14:paraId="0C93B808" w14:textId="77777777" w:rsidR="00B14D53" w:rsidRDefault="00B14D53">
      <w:pPr>
        <w:jc w:val="center"/>
        <w:rPr>
          <w:b/>
          <w:bCs/>
        </w:rPr>
      </w:pPr>
    </w:p>
    <w:p w14:paraId="1A07BA9A" w14:textId="77777777" w:rsidR="00B14D53" w:rsidRDefault="00000000">
      <w:pPr>
        <w:jc w:val="center"/>
        <w:rPr>
          <w:b/>
          <w:bCs/>
        </w:rPr>
      </w:pPr>
      <w:r>
        <w:rPr>
          <w:rFonts w:hint="eastAsia"/>
          <w:b/>
          <w:bCs/>
        </w:rPr>
        <w:t>表</w:t>
      </w:r>
      <w:r>
        <w:rPr>
          <w:rFonts w:hint="eastAsia"/>
          <w:b/>
          <w:bCs/>
        </w:rPr>
        <w:t xml:space="preserve">5-2-13 </w:t>
      </w:r>
      <w:r>
        <w:rPr>
          <w:rFonts w:hint="eastAsia"/>
          <w:b/>
          <w:bCs/>
        </w:rPr>
        <w:t>大气污染物有组织排放量核算表</w:t>
      </w:r>
    </w:p>
    <w:tbl>
      <w:tblPr>
        <w:tblW w:w="511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95"/>
        <w:gridCol w:w="1531"/>
        <w:gridCol w:w="1444"/>
        <w:gridCol w:w="1584"/>
        <w:gridCol w:w="1520"/>
        <w:gridCol w:w="1525"/>
      </w:tblGrid>
      <w:tr w:rsidR="00B14D53" w14:paraId="39C3A4BA" w14:textId="77777777">
        <w:trPr>
          <w:trHeight w:val="444"/>
          <w:jc w:val="center"/>
        </w:trPr>
        <w:tc>
          <w:tcPr>
            <w:tcW w:w="526" w:type="pct"/>
            <w:tcBorders>
              <w:top w:val="single" w:sz="12" w:space="0" w:color="000000"/>
              <w:left w:val="nil"/>
              <w:bottom w:val="single" w:sz="4" w:space="0" w:color="000000"/>
              <w:right w:val="single" w:sz="4" w:space="0" w:color="000000"/>
            </w:tcBorders>
            <w:vAlign w:val="center"/>
          </w:tcPr>
          <w:p w14:paraId="358E5DCE" w14:textId="77777777" w:rsidR="00B14D53" w:rsidRDefault="00000000">
            <w:pPr>
              <w:jc w:val="center"/>
              <w:rPr>
                <w:b/>
                <w:bCs/>
                <w:szCs w:val="21"/>
              </w:rPr>
            </w:pPr>
            <w:r>
              <w:rPr>
                <w:b/>
                <w:bCs/>
                <w:szCs w:val="21"/>
              </w:rPr>
              <w:t>序号</w:t>
            </w:r>
          </w:p>
        </w:tc>
        <w:tc>
          <w:tcPr>
            <w:tcW w:w="900" w:type="pct"/>
            <w:tcBorders>
              <w:top w:val="single" w:sz="12" w:space="0" w:color="000000"/>
              <w:left w:val="single" w:sz="4" w:space="0" w:color="000000"/>
              <w:bottom w:val="single" w:sz="4" w:space="0" w:color="000000"/>
              <w:right w:val="single" w:sz="4" w:space="0" w:color="000000"/>
            </w:tcBorders>
            <w:vAlign w:val="center"/>
          </w:tcPr>
          <w:p w14:paraId="31B17E58" w14:textId="77777777" w:rsidR="00B14D53" w:rsidRDefault="00000000">
            <w:pPr>
              <w:jc w:val="center"/>
              <w:rPr>
                <w:b/>
                <w:bCs/>
                <w:szCs w:val="21"/>
              </w:rPr>
            </w:pPr>
            <w:r>
              <w:rPr>
                <w:b/>
                <w:bCs/>
                <w:szCs w:val="21"/>
              </w:rPr>
              <w:t>排放口编号</w:t>
            </w:r>
          </w:p>
        </w:tc>
        <w:tc>
          <w:tcPr>
            <w:tcW w:w="849" w:type="pct"/>
            <w:tcBorders>
              <w:top w:val="single" w:sz="12" w:space="0" w:color="000000"/>
              <w:left w:val="single" w:sz="4" w:space="0" w:color="000000"/>
              <w:bottom w:val="single" w:sz="4" w:space="0" w:color="000000"/>
              <w:right w:val="single" w:sz="4" w:space="0" w:color="000000"/>
            </w:tcBorders>
            <w:vAlign w:val="center"/>
          </w:tcPr>
          <w:p w14:paraId="0148B151" w14:textId="77777777" w:rsidR="00B14D53" w:rsidRDefault="00000000">
            <w:pPr>
              <w:jc w:val="center"/>
              <w:rPr>
                <w:b/>
                <w:bCs/>
                <w:szCs w:val="21"/>
              </w:rPr>
            </w:pPr>
            <w:r>
              <w:rPr>
                <w:b/>
                <w:bCs/>
                <w:szCs w:val="21"/>
              </w:rPr>
              <w:t>污染物</w:t>
            </w:r>
          </w:p>
        </w:tc>
        <w:tc>
          <w:tcPr>
            <w:tcW w:w="932" w:type="pct"/>
            <w:tcBorders>
              <w:top w:val="single" w:sz="12" w:space="0" w:color="000000"/>
              <w:left w:val="single" w:sz="4" w:space="0" w:color="000000"/>
              <w:bottom w:val="single" w:sz="4" w:space="0" w:color="000000"/>
              <w:right w:val="single" w:sz="4" w:space="0" w:color="000000"/>
            </w:tcBorders>
            <w:vAlign w:val="center"/>
          </w:tcPr>
          <w:p w14:paraId="5CC71E81" w14:textId="77777777" w:rsidR="00B14D53" w:rsidRDefault="00000000">
            <w:pPr>
              <w:jc w:val="center"/>
              <w:rPr>
                <w:b/>
                <w:bCs/>
                <w:szCs w:val="21"/>
              </w:rPr>
            </w:pPr>
            <w:r>
              <w:rPr>
                <w:b/>
                <w:bCs/>
                <w:szCs w:val="21"/>
              </w:rPr>
              <w:t>核算排放浓度</w:t>
            </w:r>
            <w:r>
              <w:rPr>
                <w:b/>
                <w:bCs/>
                <w:szCs w:val="21"/>
              </w:rPr>
              <w:t>/(mg/m</w:t>
            </w:r>
            <w:r>
              <w:rPr>
                <w:b/>
                <w:bCs/>
                <w:szCs w:val="21"/>
                <w:vertAlign w:val="superscript"/>
              </w:rPr>
              <w:t>3</w:t>
            </w:r>
            <w:r>
              <w:rPr>
                <w:b/>
                <w:bCs/>
                <w:szCs w:val="21"/>
              </w:rPr>
              <w:t>)</w:t>
            </w:r>
          </w:p>
        </w:tc>
        <w:tc>
          <w:tcPr>
            <w:tcW w:w="893" w:type="pct"/>
            <w:tcBorders>
              <w:top w:val="single" w:sz="12" w:space="0" w:color="000000"/>
              <w:left w:val="single" w:sz="4" w:space="0" w:color="000000"/>
              <w:bottom w:val="single" w:sz="4" w:space="0" w:color="000000"/>
              <w:right w:val="single" w:sz="4" w:space="0" w:color="000000"/>
            </w:tcBorders>
            <w:vAlign w:val="center"/>
          </w:tcPr>
          <w:p w14:paraId="5DEA2FE7" w14:textId="77777777" w:rsidR="00B14D53" w:rsidRDefault="00000000">
            <w:pPr>
              <w:jc w:val="center"/>
              <w:rPr>
                <w:b/>
                <w:bCs/>
                <w:szCs w:val="21"/>
              </w:rPr>
            </w:pPr>
            <w:r>
              <w:rPr>
                <w:b/>
                <w:bCs/>
                <w:szCs w:val="21"/>
              </w:rPr>
              <w:t>核算排放速率</w:t>
            </w:r>
            <w:r>
              <w:rPr>
                <w:b/>
                <w:bCs/>
                <w:szCs w:val="21"/>
              </w:rPr>
              <w:t>/</w:t>
            </w:r>
            <w:r>
              <w:rPr>
                <w:b/>
                <w:bCs/>
                <w:szCs w:val="21"/>
              </w:rPr>
              <w:t>（</w:t>
            </w:r>
            <w:r>
              <w:rPr>
                <w:b/>
                <w:bCs/>
                <w:szCs w:val="21"/>
              </w:rPr>
              <w:t>kg/h</w:t>
            </w:r>
            <w:r>
              <w:rPr>
                <w:b/>
                <w:bCs/>
                <w:szCs w:val="21"/>
              </w:rPr>
              <w:t>）</w:t>
            </w:r>
          </w:p>
        </w:tc>
        <w:tc>
          <w:tcPr>
            <w:tcW w:w="897" w:type="pct"/>
            <w:tcBorders>
              <w:top w:val="single" w:sz="12" w:space="0" w:color="000000"/>
              <w:left w:val="single" w:sz="4" w:space="0" w:color="000000"/>
              <w:bottom w:val="single" w:sz="4" w:space="0" w:color="000000"/>
              <w:right w:val="nil"/>
            </w:tcBorders>
            <w:vAlign w:val="center"/>
          </w:tcPr>
          <w:p w14:paraId="7C3C8B94" w14:textId="77777777" w:rsidR="00B14D53" w:rsidRDefault="00000000">
            <w:pPr>
              <w:jc w:val="center"/>
              <w:rPr>
                <w:b/>
                <w:bCs/>
                <w:szCs w:val="21"/>
              </w:rPr>
            </w:pPr>
            <w:r>
              <w:rPr>
                <w:b/>
                <w:bCs/>
                <w:szCs w:val="21"/>
              </w:rPr>
              <w:t>核算年排放量</w:t>
            </w:r>
            <w:r>
              <w:rPr>
                <w:b/>
                <w:bCs/>
                <w:szCs w:val="21"/>
              </w:rPr>
              <w:t>/</w:t>
            </w:r>
            <w:r>
              <w:rPr>
                <w:b/>
                <w:bCs/>
                <w:szCs w:val="21"/>
              </w:rPr>
              <w:t>（</w:t>
            </w:r>
            <w:r>
              <w:rPr>
                <w:b/>
                <w:bCs/>
                <w:szCs w:val="21"/>
              </w:rPr>
              <w:t>t/a</w:t>
            </w:r>
            <w:r>
              <w:rPr>
                <w:b/>
                <w:bCs/>
                <w:szCs w:val="21"/>
              </w:rPr>
              <w:t>）</w:t>
            </w:r>
          </w:p>
        </w:tc>
      </w:tr>
      <w:tr w:rsidR="00B14D53" w14:paraId="67B6585C" w14:textId="77777777">
        <w:trPr>
          <w:trHeight w:val="295"/>
          <w:jc w:val="center"/>
        </w:trPr>
        <w:tc>
          <w:tcPr>
            <w:tcW w:w="0" w:type="auto"/>
            <w:vMerge w:val="restart"/>
            <w:tcBorders>
              <w:left w:val="nil"/>
              <w:right w:val="single" w:sz="4" w:space="0" w:color="000000"/>
            </w:tcBorders>
            <w:vAlign w:val="center"/>
          </w:tcPr>
          <w:p w14:paraId="21934612" w14:textId="77777777" w:rsidR="00B14D53" w:rsidRDefault="00000000">
            <w:pPr>
              <w:widowControl/>
              <w:jc w:val="center"/>
              <w:rPr>
                <w:szCs w:val="21"/>
              </w:rPr>
            </w:pPr>
            <w:r>
              <w:rPr>
                <w:rFonts w:hint="eastAsia"/>
                <w:szCs w:val="21"/>
              </w:rPr>
              <w:t>1</w:t>
            </w:r>
          </w:p>
        </w:tc>
        <w:tc>
          <w:tcPr>
            <w:tcW w:w="0" w:type="auto"/>
            <w:vMerge w:val="restart"/>
            <w:tcBorders>
              <w:left w:val="single" w:sz="4" w:space="0" w:color="000000"/>
              <w:right w:val="single" w:sz="4" w:space="0" w:color="000000"/>
            </w:tcBorders>
            <w:vAlign w:val="center"/>
          </w:tcPr>
          <w:p w14:paraId="29F3D37E" w14:textId="77777777" w:rsidR="00B14D53" w:rsidRDefault="00000000">
            <w:pPr>
              <w:widowControl/>
              <w:jc w:val="center"/>
              <w:rPr>
                <w:szCs w:val="21"/>
              </w:rPr>
            </w:pPr>
            <w:r>
              <w:rPr>
                <w:rFonts w:hint="eastAsia"/>
                <w:szCs w:val="21"/>
              </w:rPr>
              <w:t>1#</w:t>
            </w:r>
            <w:r>
              <w:rPr>
                <w:rFonts w:hint="eastAsia"/>
                <w:szCs w:val="21"/>
              </w:rPr>
              <w:t>待宰圈排气筒</w:t>
            </w:r>
            <w:r>
              <w:rPr>
                <w:szCs w:val="21"/>
              </w:rPr>
              <w:t>（</w:t>
            </w:r>
            <w:r>
              <w:rPr>
                <w:szCs w:val="21"/>
              </w:rPr>
              <w:t>DA00</w:t>
            </w:r>
            <w:r>
              <w:rPr>
                <w:rFonts w:hint="eastAsia"/>
                <w:szCs w:val="21"/>
              </w:rPr>
              <w:t>1</w:t>
            </w:r>
            <w:r>
              <w:rPr>
                <w:szCs w:val="21"/>
              </w:rPr>
              <w:t>）</w:t>
            </w:r>
          </w:p>
        </w:tc>
        <w:tc>
          <w:tcPr>
            <w:tcW w:w="849" w:type="pct"/>
            <w:tcBorders>
              <w:top w:val="single" w:sz="4" w:space="0" w:color="000000"/>
              <w:left w:val="single" w:sz="4" w:space="0" w:color="000000"/>
              <w:bottom w:val="single" w:sz="4" w:space="0" w:color="auto"/>
              <w:right w:val="single" w:sz="4" w:space="0" w:color="000000"/>
            </w:tcBorders>
            <w:vAlign w:val="center"/>
          </w:tcPr>
          <w:p w14:paraId="0A055009" w14:textId="77777777" w:rsidR="00B14D53" w:rsidRDefault="00000000">
            <w:pPr>
              <w:jc w:val="center"/>
              <w:rPr>
                <w:szCs w:val="21"/>
              </w:rPr>
            </w:pPr>
            <w:r>
              <w:rPr>
                <w:szCs w:val="21"/>
              </w:rPr>
              <w:t>NH</w:t>
            </w:r>
            <w:r>
              <w:rPr>
                <w:szCs w:val="21"/>
                <w:vertAlign w:val="subscript"/>
              </w:rPr>
              <w:t>3</w:t>
            </w:r>
          </w:p>
        </w:tc>
        <w:tc>
          <w:tcPr>
            <w:tcW w:w="932" w:type="pct"/>
            <w:tcBorders>
              <w:top w:val="single" w:sz="4" w:space="0" w:color="000000"/>
              <w:left w:val="single" w:sz="4" w:space="0" w:color="000000"/>
              <w:bottom w:val="single" w:sz="4" w:space="0" w:color="auto"/>
              <w:right w:val="single" w:sz="4" w:space="0" w:color="000000"/>
            </w:tcBorders>
            <w:vAlign w:val="center"/>
          </w:tcPr>
          <w:p w14:paraId="08DC12C9" w14:textId="77777777" w:rsidR="00B14D53" w:rsidRDefault="00000000">
            <w:pPr>
              <w:widowControl/>
              <w:jc w:val="center"/>
              <w:textAlignment w:val="center"/>
              <w:rPr>
                <w:snapToGrid w:val="0"/>
                <w:szCs w:val="22"/>
              </w:rPr>
            </w:pPr>
            <w:r>
              <w:rPr>
                <w:rFonts w:hint="eastAsia"/>
                <w:snapToGrid w:val="0"/>
                <w:szCs w:val="22"/>
              </w:rPr>
              <w:t>0.64</w:t>
            </w:r>
          </w:p>
        </w:tc>
        <w:tc>
          <w:tcPr>
            <w:tcW w:w="893" w:type="pct"/>
            <w:tcBorders>
              <w:top w:val="single" w:sz="4" w:space="0" w:color="000000"/>
              <w:left w:val="single" w:sz="4" w:space="0" w:color="000000"/>
              <w:bottom w:val="single" w:sz="4" w:space="0" w:color="auto"/>
              <w:right w:val="single" w:sz="4" w:space="0" w:color="000000"/>
            </w:tcBorders>
            <w:vAlign w:val="center"/>
          </w:tcPr>
          <w:p w14:paraId="7DC94E41" w14:textId="77777777" w:rsidR="00B14D53" w:rsidRDefault="00000000">
            <w:pPr>
              <w:widowControl/>
              <w:jc w:val="center"/>
              <w:textAlignment w:val="center"/>
              <w:rPr>
                <w:snapToGrid w:val="0"/>
                <w:szCs w:val="22"/>
              </w:rPr>
            </w:pPr>
            <w:r>
              <w:rPr>
                <w:rFonts w:hint="eastAsia"/>
                <w:snapToGrid w:val="0"/>
                <w:szCs w:val="22"/>
              </w:rPr>
              <w:t>0.0006</w:t>
            </w:r>
          </w:p>
        </w:tc>
        <w:tc>
          <w:tcPr>
            <w:tcW w:w="897" w:type="pct"/>
            <w:tcBorders>
              <w:top w:val="single" w:sz="4" w:space="0" w:color="000000"/>
              <w:left w:val="single" w:sz="4" w:space="0" w:color="000000"/>
              <w:bottom w:val="single" w:sz="4" w:space="0" w:color="auto"/>
              <w:right w:val="nil"/>
            </w:tcBorders>
            <w:vAlign w:val="center"/>
          </w:tcPr>
          <w:p w14:paraId="2ECC1E62" w14:textId="77777777" w:rsidR="00B14D53" w:rsidRDefault="00000000">
            <w:pPr>
              <w:pStyle w:val="afff2"/>
              <w:spacing w:line="240" w:lineRule="auto"/>
              <w:rPr>
                <w:rFonts w:hAnsi="Times New Roman"/>
                <w:snapToGrid w:val="0"/>
              </w:rPr>
            </w:pPr>
            <w:r>
              <w:rPr>
                <w:rFonts w:hAnsi="Times New Roman" w:hint="eastAsia"/>
                <w:snapToGrid w:val="0"/>
              </w:rPr>
              <w:t>0.005</w:t>
            </w:r>
          </w:p>
        </w:tc>
      </w:tr>
      <w:tr w:rsidR="00B14D53" w14:paraId="2AF4E41A" w14:textId="77777777">
        <w:trPr>
          <w:trHeight w:val="198"/>
          <w:jc w:val="center"/>
        </w:trPr>
        <w:tc>
          <w:tcPr>
            <w:tcW w:w="0" w:type="auto"/>
            <w:vMerge/>
            <w:tcBorders>
              <w:left w:val="nil"/>
              <w:bottom w:val="single" w:sz="4" w:space="0" w:color="000000"/>
              <w:right w:val="single" w:sz="4" w:space="0" w:color="000000"/>
            </w:tcBorders>
            <w:vAlign w:val="center"/>
          </w:tcPr>
          <w:p w14:paraId="5968BB8E" w14:textId="77777777" w:rsidR="00B14D53" w:rsidRDefault="00B14D53">
            <w:pPr>
              <w:widowControl/>
              <w:jc w:val="center"/>
              <w:rPr>
                <w:szCs w:val="21"/>
              </w:rPr>
            </w:pPr>
          </w:p>
        </w:tc>
        <w:tc>
          <w:tcPr>
            <w:tcW w:w="0" w:type="auto"/>
            <w:vMerge/>
            <w:tcBorders>
              <w:left w:val="single" w:sz="4" w:space="0" w:color="000000"/>
              <w:bottom w:val="single" w:sz="4" w:space="0" w:color="000000"/>
              <w:right w:val="single" w:sz="4" w:space="0" w:color="000000"/>
            </w:tcBorders>
            <w:vAlign w:val="center"/>
          </w:tcPr>
          <w:p w14:paraId="21F01346" w14:textId="77777777" w:rsidR="00B14D53" w:rsidRDefault="00B14D53">
            <w:pPr>
              <w:widowControl/>
              <w:jc w:val="center"/>
              <w:rPr>
                <w:szCs w:val="21"/>
              </w:rPr>
            </w:pPr>
          </w:p>
        </w:tc>
        <w:tc>
          <w:tcPr>
            <w:tcW w:w="849" w:type="pct"/>
            <w:tcBorders>
              <w:top w:val="single" w:sz="4" w:space="0" w:color="auto"/>
              <w:left w:val="single" w:sz="4" w:space="0" w:color="000000"/>
              <w:bottom w:val="single" w:sz="4" w:space="0" w:color="auto"/>
              <w:right w:val="single" w:sz="4" w:space="0" w:color="000000"/>
            </w:tcBorders>
            <w:vAlign w:val="center"/>
          </w:tcPr>
          <w:p w14:paraId="1220325C" w14:textId="77777777" w:rsidR="00B14D53" w:rsidRDefault="00000000">
            <w:pPr>
              <w:jc w:val="center"/>
              <w:rPr>
                <w:szCs w:val="21"/>
              </w:rPr>
            </w:pPr>
            <w:r>
              <w:rPr>
                <w:szCs w:val="21"/>
              </w:rPr>
              <w:t>H</w:t>
            </w:r>
            <w:r>
              <w:rPr>
                <w:szCs w:val="21"/>
                <w:vertAlign w:val="subscript"/>
              </w:rPr>
              <w:t>2</w:t>
            </w:r>
            <w:r>
              <w:rPr>
                <w:szCs w:val="21"/>
              </w:rPr>
              <w:t>S</w:t>
            </w:r>
          </w:p>
        </w:tc>
        <w:tc>
          <w:tcPr>
            <w:tcW w:w="932" w:type="pct"/>
            <w:tcBorders>
              <w:top w:val="single" w:sz="4" w:space="0" w:color="auto"/>
              <w:left w:val="single" w:sz="4" w:space="0" w:color="000000"/>
              <w:bottom w:val="single" w:sz="4" w:space="0" w:color="auto"/>
              <w:right w:val="single" w:sz="4" w:space="0" w:color="000000"/>
            </w:tcBorders>
            <w:vAlign w:val="center"/>
          </w:tcPr>
          <w:p w14:paraId="7838A34C" w14:textId="77777777" w:rsidR="00B14D53" w:rsidRDefault="00000000">
            <w:pPr>
              <w:widowControl/>
              <w:jc w:val="center"/>
              <w:textAlignment w:val="center"/>
              <w:rPr>
                <w:snapToGrid w:val="0"/>
                <w:szCs w:val="22"/>
              </w:rPr>
            </w:pPr>
            <w:r>
              <w:rPr>
                <w:rFonts w:hint="eastAsia"/>
                <w:snapToGrid w:val="0"/>
                <w:szCs w:val="22"/>
              </w:rPr>
              <w:t>0.04</w:t>
            </w:r>
          </w:p>
        </w:tc>
        <w:tc>
          <w:tcPr>
            <w:tcW w:w="893" w:type="pct"/>
            <w:tcBorders>
              <w:top w:val="single" w:sz="4" w:space="0" w:color="auto"/>
              <w:left w:val="single" w:sz="4" w:space="0" w:color="000000"/>
              <w:bottom w:val="single" w:sz="4" w:space="0" w:color="auto"/>
              <w:right w:val="single" w:sz="4" w:space="0" w:color="000000"/>
            </w:tcBorders>
            <w:vAlign w:val="center"/>
          </w:tcPr>
          <w:p w14:paraId="2FDD9D6F" w14:textId="77777777" w:rsidR="00B14D53" w:rsidRDefault="00000000">
            <w:pPr>
              <w:widowControl/>
              <w:jc w:val="center"/>
              <w:textAlignment w:val="center"/>
              <w:rPr>
                <w:snapToGrid w:val="0"/>
                <w:szCs w:val="22"/>
              </w:rPr>
            </w:pPr>
            <w:r>
              <w:rPr>
                <w:rFonts w:hint="eastAsia"/>
                <w:snapToGrid w:val="0"/>
                <w:szCs w:val="22"/>
              </w:rPr>
              <w:t>0.00004</w:t>
            </w:r>
          </w:p>
        </w:tc>
        <w:tc>
          <w:tcPr>
            <w:tcW w:w="897" w:type="pct"/>
            <w:tcBorders>
              <w:top w:val="single" w:sz="4" w:space="0" w:color="auto"/>
              <w:left w:val="single" w:sz="4" w:space="0" w:color="000000"/>
              <w:bottom w:val="single" w:sz="4" w:space="0" w:color="auto"/>
              <w:right w:val="nil"/>
            </w:tcBorders>
            <w:vAlign w:val="center"/>
          </w:tcPr>
          <w:p w14:paraId="63ED8ADB" w14:textId="77777777" w:rsidR="00B14D53" w:rsidRDefault="00000000">
            <w:pPr>
              <w:pStyle w:val="afff2"/>
              <w:spacing w:line="240" w:lineRule="auto"/>
              <w:rPr>
                <w:rFonts w:hAnsi="Times New Roman"/>
                <w:snapToGrid w:val="0"/>
              </w:rPr>
            </w:pPr>
            <w:r>
              <w:rPr>
                <w:rFonts w:hAnsi="Times New Roman" w:hint="eastAsia"/>
                <w:snapToGrid w:val="0"/>
              </w:rPr>
              <w:t>0.0003</w:t>
            </w:r>
          </w:p>
        </w:tc>
      </w:tr>
      <w:tr w:rsidR="00B14D53" w14:paraId="4BF80C58" w14:textId="77777777">
        <w:trPr>
          <w:trHeight w:val="151"/>
          <w:jc w:val="center"/>
        </w:trPr>
        <w:tc>
          <w:tcPr>
            <w:tcW w:w="526" w:type="pct"/>
            <w:vMerge w:val="restart"/>
            <w:tcBorders>
              <w:left w:val="nil"/>
              <w:right w:val="single" w:sz="4" w:space="0" w:color="000000"/>
            </w:tcBorders>
            <w:vAlign w:val="center"/>
          </w:tcPr>
          <w:p w14:paraId="0FDF8C8B" w14:textId="77777777" w:rsidR="00B14D53" w:rsidRDefault="00000000">
            <w:pPr>
              <w:widowControl/>
              <w:jc w:val="center"/>
              <w:rPr>
                <w:szCs w:val="21"/>
              </w:rPr>
            </w:pPr>
            <w:r>
              <w:rPr>
                <w:rFonts w:hint="eastAsia"/>
                <w:szCs w:val="21"/>
              </w:rPr>
              <w:t>2</w:t>
            </w:r>
          </w:p>
        </w:tc>
        <w:tc>
          <w:tcPr>
            <w:tcW w:w="900" w:type="pct"/>
            <w:vMerge w:val="restart"/>
            <w:tcBorders>
              <w:left w:val="single" w:sz="4" w:space="0" w:color="000000"/>
              <w:right w:val="single" w:sz="4" w:space="0" w:color="000000"/>
            </w:tcBorders>
            <w:vAlign w:val="center"/>
          </w:tcPr>
          <w:p w14:paraId="0E1F74D6" w14:textId="77777777" w:rsidR="00B14D53" w:rsidRDefault="00000000">
            <w:pPr>
              <w:widowControl/>
              <w:jc w:val="center"/>
              <w:rPr>
                <w:szCs w:val="21"/>
              </w:rPr>
            </w:pPr>
            <w:r>
              <w:rPr>
                <w:rFonts w:hint="eastAsia"/>
                <w:szCs w:val="21"/>
              </w:rPr>
              <w:t>2#</w:t>
            </w:r>
            <w:r>
              <w:rPr>
                <w:rFonts w:hint="eastAsia"/>
                <w:szCs w:val="21"/>
              </w:rPr>
              <w:t>待宰圈排气筒</w:t>
            </w:r>
            <w:r>
              <w:rPr>
                <w:szCs w:val="21"/>
              </w:rPr>
              <w:t>DA00</w:t>
            </w:r>
            <w:r>
              <w:rPr>
                <w:rFonts w:hint="eastAsia"/>
                <w:szCs w:val="21"/>
              </w:rPr>
              <w:t>2</w:t>
            </w:r>
          </w:p>
        </w:tc>
        <w:tc>
          <w:tcPr>
            <w:tcW w:w="849" w:type="pct"/>
            <w:tcBorders>
              <w:top w:val="single" w:sz="4" w:space="0" w:color="auto"/>
              <w:left w:val="single" w:sz="4" w:space="0" w:color="000000"/>
              <w:bottom w:val="single" w:sz="4" w:space="0" w:color="000000"/>
              <w:right w:val="single" w:sz="4" w:space="0" w:color="000000"/>
            </w:tcBorders>
            <w:vAlign w:val="center"/>
          </w:tcPr>
          <w:p w14:paraId="67D1DC07" w14:textId="77777777" w:rsidR="00B14D53" w:rsidRDefault="00000000">
            <w:pPr>
              <w:jc w:val="center"/>
              <w:rPr>
                <w:kern w:val="21"/>
                <w:szCs w:val="21"/>
              </w:rPr>
            </w:pPr>
            <w:r>
              <w:rPr>
                <w:szCs w:val="21"/>
              </w:rPr>
              <w:t>NH</w:t>
            </w:r>
            <w:r>
              <w:rPr>
                <w:szCs w:val="21"/>
                <w:vertAlign w:val="subscript"/>
              </w:rPr>
              <w:t>3</w:t>
            </w:r>
          </w:p>
        </w:tc>
        <w:tc>
          <w:tcPr>
            <w:tcW w:w="932" w:type="pct"/>
            <w:tcBorders>
              <w:top w:val="single" w:sz="4" w:space="0" w:color="auto"/>
              <w:left w:val="single" w:sz="4" w:space="0" w:color="000000"/>
              <w:bottom w:val="single" w:sz="4" w:space="0" w:color="000000"/>
              <w:right w:val="single" w:sz="4" w:space="0" w:color="000000"/>
            </w:tcBorders>
            <w:vAlign w:val="center"/>
          </w:tcPr>
          <w:p w14:paraId="78F2F1C6" w14:textId="77777777" w:rsidR="00B14D53" w:rsidRDefault="00000000">
            <w:pPr>
              <w:widowControl/>
              <w:jc w:val="center"/>
              <w:textAlignment w:val="center"/>
              <w:rPr>
                <w:snapToGrid w:val="0"/>
                <w:szCs w:val="22"/>
              </w:rPr>
            </w:pPr>
            <w:r>
              <w:rPr>
                <w:rFonts w:hint="eastAsia"/>
                <w:snapToGrid w:val="0"/>
                <w:kern w:val="0"/>
                <w:szCs w:val="21"/>
                <w:lang w:bidi="ar"/>
              </w:rPr>
              <w:t>1.57</w:t>
            </w:r>
          </w:p>
        </w:tc>
        <w:tc>
          <w:tcPr>
            <w:tcW w:w="893" w:type="pct"/>
            <w:tcBorders>
              <w:top w:val="single" w:sz="4" w:space="0" w:color="auto"/>
              <w:left w:val="single" w:sz="4" w:space="0" w:color="000000"/>
              <w:bottom w:val="single" w:sz="4" w:space="0" w:color="000000"/>
              <w:right w:val="single" w:sz="4" w:space="0" w:color="000000"/>
            </w:tcBorders>
            <w:vAlign w:val="center"/>
          </w:tcPr>
          <w:p w14:paraId="1B323517" w14:textId="77777777" w:rsidR="00B14D53" w:rsidRDefault="00000000">
            <w:pPr>
              <w:widowControl/>
              <w:jc w:val="center"/>
              <w:textAlignment w:val="center"/>
              <w:rPr>
                <w:snapToGrid w:val="0"/>
                <w:szCs w:val="22"/>
              </w:rPr>
            </w:pPr>
            <w:r>
              <w:rPr>
                <w:rFonts w:hint="eastAsia"/>
                <w:snapToGrid w:val="0"/>
                <w:kern w:val="0"/>
                <w:szCs w:val="21"/>
                <w:lang w:bidi="ar"/>
              </w:rPr>
              <w:t>0.002</w:t>
            </w:r>
          </w:p>
        </w:tc>
        <w:tc>
          <w:tcPr>
            <w:tcW w:w="897" w:type="pct"/>
            <w:tcBorders>
              <w:top w:val="single" w:sz="4" w:space="0" w:color="auto"/>
              <w:left w:val="single" w:sz="4" w:space="0" w:color="000000"/>
              <w:bottom w:val="single" w:sz="4" w:space="0" w:color="000000"/>
              <w:right w:val="nil"/>
            </w:tcBorders>
            <w:vAlign w:val="center"/>
          </w:tcPr>
          <w:p w14:paraId="702B6614" w14:textId="77777777" w:rsidR="00B14D53" w:rsidRDefault="00000000">
            <w:pPr>
              <w:pStyle w:val="afff2"/>
              <w:spacing w:line="240" w:lineRule="auto"/>
              <w:rPr>
                <w:rFonts w:hAnsi="Times New Roman"/>
                <w:snapToGrid w:val="0"/>
              </w:rPr>
            </w:pPr>
            <w:r>
              <w:rPr>
                <w:rFonts w:hAnsi="Times New Roman" w:hint="eastAsia"/>
                <w:snapToGrid w:val="0"/>
              </w:rPr>
              <w:t>0.01</w:t>
            </w:r>
          </w:p>
        </w:tc>
      </w:tr>
      <w:tr w:rsidR="00B14D53" w14:paraId="2F862E68" w14:textId="77777777">
        <w:trPr>
          <w:trHeight w:val="235"/>
          <w:jc w:val="center"/>
        </w:trPr>
        <w:tc>
          <w:tcPr>
            <w:tcW w:w="526" w:type="pct"/>
            <w:vMerge/>
            <w:tcBorders>
              <w:left w:val="nil"/>
              <w:bottom w:val="single" w:sz="4" w:space="0" w:color="000000"/>
              <w:right w:val="single" w:sz="4" w:space="0" w:color="000000"/>
            </w:tcBorders>
            <w:vAlign w:val="center"/>
          </w:tcPr>
          <w:p w14:paraId="05FE6836" w14:textId="77777777" w:rsidR="00B14D53" w:rsidRDefault="00B14D53">
            <w:pPr>
              <w:widowControl/>
              <w:jc w:val="center"/>
              <w:rPr>
                <w:szCs w:val="21"/>
              </w:rPr>
            </w:pPr>
          </w:p>
        </w:tc>
        <w:tc>
          <w:tcPr>
            <w:tcW w:w="900" w:type="pct"/>
            <w:vMerge/>
            <w:tcBorders>
              <w:left w:val="single" w:sz="4" w:space="0" w:color="000000"/>
              <w:bottom w:val="single" w:sz="4" w:space="0" w:color="000000"/>
              <w:right w:val="single" w:sz="4" w:space="0" w:color="000000"/>
            </w:tcBorders>
            <w:vAlign w:val="center"/>
          </w:tcPr>
          <w:p w14:paraId="0BF083BC" w14:textId="77777777" w:rsidR="00B14D53" w:rsidRDefault="00B14D53">
            <w:pPr>
              <w:widowControl/>
              <w:jc w:val="center"/>
              <w:rPr>
                <w:szCs w:val="21"/>
              </w:rPr>
            </w:pPr>
          </w:p>
        </w:tc>
        <w:tc>
          <w:tcPr>
            <w:tcW w:w="849" w:type="pct"/>
            <w:tcBorders>
              <w:top w:val="single" w:sz="4" w:space="0" w:color="auto"/>
              <w:left w:val="single" w:sz="4" w:space="0" w:color="000000"/>
              <w:bottom w:val="single" w:sz="4" w:space="0" w:color="000000"/>
              <w:right w:val="single" w:sz="4" w:space="0" w:color="000000"/>
            </w:tcBorders>
            <w:vAlign w:val="center"/>
          </w:tcPr>
          <w:p w14:paraId="24FA8BE8" w14:textId="77777777" w:rsidR="00B14D53" w:rsidRDefault="00000000">
            <w:pPr>
              <w:jc w:val="center"/>
              <w:rPr>
                <w:kern w:val="21"/>
                <w:szCs w:val="21"/>
              </w:rPr>
            </w:pPr>
            <w:r>
              <w:rPr>
                <w:szCs w:val="21"/>
              </w:rPr>
              <w:t>H</w:t>
            </w:r>
            <w:r>
              <w:rPr>
                <w:szCs w:val="21"/>
                <w:vertAlign w:val="subscript"/>
              </w:rPr>
              <w:t>2</w:t>
            </w:r>
            <w:r>
              <w:rPr>
                <w:szCs w:val="21"/>
              </w:rPr>
              <w:t>S</w:t>
            </w:r>
          </w:p>
        </w:tc>
        <w:tc>
          <w:tcPr>
            <w:tcW w:w="932" w:type="pct"/>
            <w:tcBorders>
              <w:top w:val="single" w:sz="4" w:space="0" w:color="auto"/>
              <w:left w:val="single" w:sz="4" w:space="0" w:color="000000"/>
              <w:bottom w:val="single" w:sz="4" w:space="0" w:color="000000"/>
              <w:right w:val="single" w:sz="4" w:space="0" w:color="000000"/>
            </w:tcBorders>
            <w:vAlign w:val="center"/>
          </w:tcPr>
          <w:p w14:paraId="3AD5F722" w14:textId="77777777" w:rsidR="00B14D53" w:rsidRDefault="00000000">
            <w:pPr>
              <w:widowControl/>
              <w:jc w:val="center"/>
              <w:textAlignment w:val="center"/>
              <w:rPr>
                <w:snapToGrid w:val="0"/>
                <w:szCs w:val="22"/>
              </w:rPr>
            </w:pPr>
            <w:r>
              <w:rPr>
                <w:rFonts w:hint="eastAsia"/>
                <w:snapToGrid w:val="0"/>
                <w:kern w:val="0"/>
                <w:szCs w:val="21"/>
                <w:lang w:bidi="ar"/>
              </w:rPr>
              <w:t>0.09</w:t>
            </w:r>
          </w:p>
        </w:tc>
        <w:tc>
          <w:tcPr>
            <w:tcW w:w="893" w:type="pct"/>
            <w:tcBorders>
              <w:top w:val="single" w:sz="4" w:space="0" w:color="auto"/>
              <w:left w:val="single" w:sz="4" w:space="0" w:color="000000"/>
              <w:bottom w:val="single" w:sz="4" w:space="0" w:color="000000"/>
              <w:right w:val="single" w:sz="4" w:space="0" w:color="000000"/>
            </w:tcBorders>
            <w:vAlign w:val="center"/>
          </w:tcPr>
          <w:p w14:paraId="3D76A181" w14:textId="77777777" w:rsidR="00B14D53" w:rsidRDefault="00000000">
            <w:pPr>
              <w:widowControl/>
              <w:jc w:val="center"/>
              <w:textAlignment w:val="center"/>
              <w:rPr>
                <w:snapToGrid w:val="0"/>
                <w:szCs w:val="22"/>
              </w:rPr>
            </w:pPr>
            <w:r>
              <w:rPr>
                <w:snapToGrid w:val="0"/>
                <w:kern w:val="0"/>
                <w:szCs w:val="21"/>
                <w:lang w:bidi="ar"/>
              </w:rPr>
              <w:t>0.0001</w:t>
            </w:r>
          </w:p>
        </w:tc>
        <w:tc>
          <w:tcPr>
            <w:tcW w:w="897" w:type="pct"/>
            <w:tcBorders>
              <w:top w:val="single" w:sz="4" w:space="0" w:color="auto"/>
              <w:left w:val="single" w:sz="4" w:space="0" w:color="000000"/>
              <w:bottom w:val="single" w:sz="4" w:space="0" w:color="000000"/>
              <w:right w:val="nil"/>
            </w:tcBorders>
            <w:vAlign w:val="center"/>
          </w:tcPr>
          <w:p w14:paraId="0B1E96A7" w14:textId="77777777" w:rsidR="00B14D53" w:rsidRDefault="00000000">
            <w:pPr>
              <w:pStyle w:val="afff2"/>
              <w:spacing w:line="240" w:lineRule="auto"/>
              <w:rPr>
                <w:rFonts w:hAnsi="Times New Roman"/>
                <w:snapToGrid w:val="0"/>
              </w:rPr>
            </w:pPr>
            <w:r>
              <w:rPr>
                <w:rFonts w:hAnsi="Times New Roman" w:hint="eastAsia"/>
                <w:snapToGrid w:val="0"/>
              </w:rPr>
              <w:t>0.0008</w:t>
            </w:r>
          </w:p>
        </w:tc>
      </w:tr>
      <w:tr w:rsidR="00B14D53" w14:paraId="34CFEA2E" w14:textId="77777777">
        <w:trPr>
          <w:trHeight w:val="151"/>
          <w:jc w:val="center"/>
        </w:trPr>
        <w:tc>
          <w:tcPr>
            <w:tcW w:w="526" w:type="pct"/>
            <w:vMerge w:val="restart"/>
            <w:tcBorders>
              <w:left w:val="nil"/>
              <w:right w:val="single" w:sz="4" w:space="0" w:color="000000"/>
            </w:tcBorders>
            <w:vAlign w:val="center"/>
          </w:tcPr>
          <w:p w14:paraId="49AF05ED" w14:textId="77777777" w:rsidR="00B14D53" w:rsidRDefault="00000000">
            <w:pPr>
              <w:widowControl/>
              <w:jc w:val="center"/>
              <w:rPr>
                <w:szCs w:val="21"/>
              </w:rPr>
            </w:pPr>
            <w:r>
              <w:rPr>
                <w:rFonts w:hint="eastAsia"/>
                <w:szCs w:val="21"/>
              </w:rPr>
              <w:t>3</w:t>
            </w:r>
          </w:p>
        </w:tc>
        <w:tc>
          <w:tcPr>
            <w:tcW w:w="900" w:type="pct"/>
            <w:vMerge w:val="restart"/>
            <w:tcBorders>
              <w:left w:val="single" w:sz="4" w:space="0" w:color="000000"/>
              <w:right w:val="single" w:sz="4" w:space="0" w:color="000000"/>
            </w:tcBorders>
            <w:vAlign w:val="center"/>
          </w:tcPr>
          <w:p w14:paraId="5A832D23" w14:textId="77777777" w:rsidR="00B14D53" w:rsidRDefault="00000000">
            <w:pPr>
              <w:widowControl/>
              <w:jc w:val="center"/>
              <w:rPr>
                <w:szCs w:val="21"/>
              </w:rPr>
            </w:pPr>
            <w:r>
              <w:rPr>
                <w:rFonts w:hint="eastAsia"/>
                <w:szCs w:val="21"/>
              </w:rPr>
              <w:t>屠宰车间</w:t>
            </w:r>
            <w:r>
              <w:rPr>
                <w:szCs w:val="21"/>
              </w:rPr>
              <w:t>排气筒</w:t>
            </w:r>
            <w:r>
              <w:rPr>
                <w:szCs w:val="21"/>
              </w:rPr>
              <w:t>DA00</w:t>
            </w:r>
            <w:r>
              <w:rPr>
                <w:rFonts w:hint="eastAsia"/>
                <w:szCs w:val="21"/>
              </w:rPr>
              <w:t>3</w:t>
            </w:r>
          </w:p>
        </w:tc>
        <w:tc>
          <w:tcPr>
            <w:tcW w:w="849" w:type="pct"/>
            <w:tcBorders>
              <w:top w:val="single" w:sz="4" w:space="0" w:color="auto"/>
              <w:left w:val="single" w:sz="4" w:space="0" w:color="000000"/>
              <w:bottom w:val="single" w:sz="4" w:space="0" w:color="000000"/>
              <w:right w:val="single" w:sz="4" w:space="0" w:color="000000"/>
            </w:tcBorders>
            <w:vAlign w:val="center"/>
          </w:tcPr>
          <w:p w14:paraId="756781F6" w14:textId="77777777" w:rsidR="00B14D53" w:rsidRDefault="00000000">
            <w:pPr>
              <w:jc w:val="center"/>
              <w:rPr>
                <w:kern w:val="21"/>
                <w:szCs w:val="21"/>
              </w:rPr>
            </w:pPr>
            <w:r>
              <w:rPr>
                <w:szCs w:val="21"/>
              </w:rPr>
              <w:t>NH</w:t>
            </w:r>
            <w:r>
              <w:rPr>
                <w:szCs w:val="21"/>
                <w:vertAlign w:val="subscript"/>
              </w:rPr>
              <w:t>3</w:t>
            </w:r>
          </w:p>
        </w:tc>
        <w:tc>
          <w:tcPr>
            <w:tcW w:w="932" w:type="pct"/>
            <w:tcBorders>
              <w:top w:val="single" w:sz="4" w:space="0" w:color="auto"/>
              <w:left w:val="single" w:sz="4" w:space="0" w:color="000000"/>
              <w:bottom w:val="single" w:sz="4" w:space="0" w:color="000000"/>
              <w:right w:val="single" w:sz="4" w:space="0" w:color="000000"/>
            </w:tcBorders>
            <w:vAlign w:val="center"/>
          </w:tcPr>
          <w:p w14:paraId="1EF1A9F0" w14:textId="77777777" w:rsidR="00B14D53" w:rsidRDefault="00000000">
            <w:pPr>
              <w:widowControl/>
              <w:jc w:val="center"/>
              <w:textAlignment w:val="center"/>
              <w:rPr>
                <w:snapToGrid w:val="0"/>
                <w:szCs w:val="22"/>
              </w:rPr>
            </w:pPr>
            <w:r>
              <w:rPr>
                <w:rFonts w:hint="eastAsia"/>
                <w:snapToGrid w:val="0"/>
              </w:rPr>
              <w:t>0.68</w:t>
            </w:r>
          </w:p>
        </w:tc>
        <w:tc>
          <w:tcPr>
            <w:tcW w:w="893" w:type="pct"/>
            <w:tcBorders>
              <w:top w:val="single" w:sz="4" w:space="0" w:color="auto"/>
              <w:left w:val="single" w:sz="4" w:space="0" w:color="000000"/>
              <w:bottom w:val="single" w:sz="4" w:space="0" w:color="000000"/>
              <w:right w:val="single" w:sz="4" w:space="0" w:color="000000"/>
            </w:tcBorders>
            <w:vAlign w:val="center"/>
          </w:tcPr>
          <w:p w14:paraId="043EDFA7" w14:textId="77777777" w:rsidR="00B14D53" w:rsidRDefault="00000000">
            <w:pPr>
              <w:widowControl/>
              <w:jc w:val="center"/>
              <w:textAlignment w:val="center"/>
              <w:rPr>
                <w:snapToGrid w:val="0"/>
                <w:szCs w:val="22"/>
              </w:rPr>
            </w:pPr>
            <w:r>
              <w:rPr>
                <w:rFonts w:hint="eastAsia"/>
                <w:snapToGrid w:val="0"/>
              </w:rPr>
              <w:t>0.001</w:t>
            </w:r>
          </w:p>
        </w:tc>
        <w:tc>
          <w:tcPr>
            <w:tcW w:w="897" w:type="pct"/>
            <w:tcBorders>
              <w:top w:val="single" w:sz="4" w:space="0" w:color="auto"/>
              <w:left w:val="single" w:sz="4" w:space="0" w:color="000000"/>
              <w:bottom w:val="single" w:sz="4" w:space="0" w:color="000000"/>
              <w:right w:val="nil"/>
            </w:tcBorders>
            <w:vAlign w:val="center"/>
          </w:tcPr>
          <w:p w14:paraId="7B16CD53" w14:textId="77777777" w:rsidR="00B14D53" w:rsidRDefault="00000000">
            <w:pPr>
              <w:pStyle w:val="afff2"/>
              <w:spacing w:line="240" w:lineRule="auto"/>
              <w:rPr>
                <w:rFonts w:hAnsi="Times New Roman"/>
                <w:snapToGrid w:val="0"/>
              </w:rPr>
            </w:pPr>
            <w:r>
              <w:rPr>
                <w:rFonts w:hAnsi="Times New Roman" w:hint="eastAsia"/>
                <w:snapToGrid w:val="0"/>
              </w:rPr>
              <w:t>0.007</w:t>
            </w:r>
          </w:p>
        </w:tc>
      </w:tr>
      <w:tr w:rsidR="00B14D53" w14:paraId="4BA3A589" w14:textId="77777777">
        <w:trPr>
          <w:trHeight w:val="151"/>
          <w:jc w:val="center"/>
        </w:trPr>
        <w:tc>
          <w:tcPr>
            <w:tcW w:w="526" w:type="pct"/>
            <w:vMerge/>
            <w:tcBorders>
              <w:left w:val="nil"/>
              <w:bottom w:val="single" w:sz="4" w:space="0" w:color="000000"/>
              <w:right w:val="single" w:sz="4" w:space="0" w:color="000000"/>
            </w:tcBorders>
            <w:vAlign w:val="center"/>
          </w:tcPr>
          <w:p w14:paraId="2757B876" w14:textId="77777777" w:rsidR="00B14D53" w:rsidRDefault="00B14D53">
            <w:pPr>
              <w:widowControl/>
              <w:jc w:val="center"/>
              <w:rPr>
                <w:szCs w:val="21"/>
              </w:rPr>
            </w:pPr>
          </w:p>
        </w:tc>
        <w:tc>
          <w:tcPr>
            <w:tcW w:w="900" w:type="pct"/>
            <w:vMerge/>
            <w:tcBorders>
              <w:left w:val="single" w:sz="4" w:space="0" w:color="000000"/>
              <w:bottom w:val="single" w:sz="4" w:space="0" w:color="000000"/>
              <w:right w:val="single" w:sz="4" w:space="0" w:color="000000"/>
            </w:tcBorders>
            <w:vAlign w:val="center"/>
          </w:tcPr>
          <w:p w14:paraId="6B4C40DC" w14:textId="77777777" w:rsidR="00B14D53" w:rsidRDefault="00B14D53">
            <w:pPr>
              <w:widowControl/>
              <w:jc w:val="center"/>
              <w:rPr>
                <w:szCs w:val="21"/>
              </w:rPr>
            </w:pPr>
          </w:p>
        </w:tc>
        <w:tc>
          <w:tcPr>
            <w:tcW w:w="849" w:type="pct"/>
            <w:tcBorders>
              <w:top w:val="single" w:sz="4" w:space="0" w:color="auto"/>
              <w:left w:val="single" w:sz="4" w:space="0" w:color="000000"/>
              <w:bottom w:val="single" w:sz="4" w:space="0" w:color="000000"/>
              <w:right w:val="single" w:sz="4" w:space="0" w:color="000000"/>
            </w:tcBorders>
            <w:vAlign w:val="center"/>
          </w:tcPr>
          <w:p w14:paraId="67612863" w14:textId="77777777" w:rsidR="00B14D53" w:rsidRDefault="00000000">
            <w:pPr>
              <w:jc w:val="center"/>
              <w:rPr>
                <w:kern w:val="21"/>
                <w:szCs w:val="21"/>
              </w:rPr>
            </w:pPr>
            <w:r>
              <w:rPr>
                <w:szCs w:val="21"/>
              </w:rPr>
              <w:t>H</w:t>
            </w:r>
            <w:r>
              <w:rPr>
                <w:szCs w:val="21"/>
                <w:vertAlign w:val="subscript"/>
              </w:rPr>
              <w:t>2</w:t>
            </w:r>
            <w:r>
              <w:rPr>
                <w:szCs w:val="21"/>
              </w:rPr>
              <w:t>S</w:t>
            </w:r>
          </w:p>
        </w:tc>
        <w:tc>
          <w:tcPr>
            <w:tcW w:w="932" w:type="pct"/>
            <w:tcBorders>
              <w:top w:val="single" w:sz="4" w:space="0" w:color="auto"/>
              <w:left w:val="single" w:sz="4" w:space="0" w:color="000000"/>
              <w:bottom w:val="single" w:sz="4" w:space="0" w:color="000000"/>
              <w:right w:val="single" w:sz="4" w:space="0" w:color="000000"/>
            </w:tcBorders>
            <w:vAlign w:val="center"/>
          </w:tcPr>
          <w:p w14:paraId="15575088" w14:textId="77777777" w:rsidR="00B14D53" w:rsidRDefault="00000000">
            <w:pPr>
              <w:widowControl/>
              <w:jc w:val="center"/>
              <w:textAlignment w:val="center"/>
              <w:rPr>
                <w:snapToGrid w:val="0"/>
                <w:szCs w:val="22"/>
              </w:rPr>
            </w:pPr>
            <w:r>
              <w:rPr>
                <w:rFonts w:hint="eastAsia"/>
                <w:snapToGrid w:val="0"/>
              </w:rPr>
              <w:t>0.02</w:t>
            </w:r>
          </w:p>
        </w:tc>
        <w:tc>
          <w:tcPr>
            <w:tcW w:w="893" w:type="pct"/>
            <w:tcBorders>
              <w:top w:val="single" w:sz="4" w:space="0" w:color="auto"/>
              <w:left w:val="single" w:sz="4" w:space="0" w:color="000000"/>
              <w:bottom w:val="single" w:sz="4" w:space="0" w:color="000000"/>
              <w:right w:val="single" w:sz="4" w:space="0" w:color="000000"/>
            </w:tcBorders>
            <w:vAlign w:val="center"/>
          </w:tcPr>
          <w:p w14:paraId="51B940D4" w14:textId="77777777" w:rsidR="00B14D53" w:rsidRDefault="00000000">
            <w:pPr>
              <w:widowControl/>
              <w:jc w:val="center"/>
              <w:textAlignment w:val="center"/>
              <w:rPr>
                <w:snapToGrid w:val="0"/>
                <w:szCs w:val="22"/>
              </w:rPr>
            </w:pPr>
            <w:r>
              <w:rPr>
                <w:rFonts w:hint="eastAsia"/>
                <w:snapToGrid w:val="0"/>
              </w:rPr>
              <w:t>0.00004</w:t>
            </w:r>
          </w:p>
        </w:tc>
        <w:tc>
          <w:tcPr>
            <w:tcW w:w="897" w:type="pct"/>
            <w:tcBorders>
              <w:top w:val="single" w:sz="4" w:space="0" w:color="auto"/>
              <w:left w:val="single" w:sz="4" w:space="0" w:color="000000"/>
              <w:bottom w:val="single" w:sz="4" w:space="0" w:color="000000"/>
              <w:right w:val="nil"/>
            </w:tcBorders>
            <w:vAlign w:val="center"/>
          </w:tcPr>
          <w:p w14:paraId="4AF8F389" w14:textId="77777777" w:rsidR="00B14D53" w:rsidRDefault="00000000">
            <w:pPr>
              <w:pStyle w:val="afff2"/>
              <w:spacing w:line="240" w:lineRule="auto"/>
              <w:rPr>
                <w:rFonts w:hAnsi="Times New Roman"/>
                <w:snapToGrid w:val="0"/>
              </w:rPr>
            </w:pPr>
            <w:r>
              <w:rPr>
                <w:rFonts w:hAnsi="Times New Roman" w:hint="eastAsia"/>
                <w:snapToGrid w:val="0"/>
              </w:rPr>
              <w:t>0.0002</w:t>
            </w:r>
          </w:p>
        </w:tc>
      </w:tr>
      <w:tr w:rsidR="00B14D53" w14:paraId="306F4823" w14:textId="77777777">
        <w:trPr>
          <w:trHeight w:val="151"/>
          <w:jc w:val="center"/>
        </w:trPr>
        <w:tc>
          <w:tcPr>
            <w:tcW w:w="526" w:type="pct"/>
            <w:vMerge w:val="restart"/>
            <w:tcBorders>
              <w:left w:val="nil"/>
              <w:right w:val="single" w:sz="4" w:space="0" w:color="000000"/>
            </w:tcBorders>
            <w:vAlign w:val="center"/>
          </w:tcPr>
          <w:p w14:paraId="60125FA5" w14:textId="77777777" w:rsidR="00B14D53" w:rsidRDefault="00000000">
            <w:pPr>
              <w:widowControl/>
              <w:jc w:val="center"/>
              <w:rPr>
                <w:szCs w:val="21"/>
              </w:rPr>
            </w:pPr>
            <w:r>
              <w:rPr>
                <w:rFonts w:hint="eastAsia"/>
                <w:szCs w:val="21"/>
              </w:rPr>
              <w:t>4</w:t>
            </w:r>
          </w:p>
        </w:tc>
        <w:tc>
          <w:tcPr>
            <w:tcW w:w="900" w:type="pct"/>
            <w:vMerge w:val="restart"/>
            <w:tcBorders>
              <w:left w:val="single" w:sz="4" w:space="0" w:color="000000"/>
              <w:bottom w:val="single" w:sz="4" w:space="0" w:color="000000"/>
              <w:right w:val="single" w:sz="4" w:space="0" w:color="000000"/>
            </w:tcBorders>
            <w:vAlign w:val="center"/>
          </w:tcPr>
          <w:p w14:paraId="3BEC25D7" w14:textId="77777777" w:rsidR="00B14D53" w:rsidRDefault="00000000">
            <w:pPr>
              <w:widowControl/>
              <w:jc w:val="center"/>
              <w:rPr>
                <w:szCs w:val="21"/>
              </w:rPr>
            </w:pPr>
            <w:r>
              <w:rPr>
                <w:szCs w:val="21"/>
              </w:rPr>
              <w:t>污水处理站排气筒</w:t>
            </w:r>
            <w:r>
              <w:rPr>
                <w:szCs w:val="21"/>
              </w:rPr>
              <w:t>DA00</w:t>
            </w:r>
            <w:r>
              <w:rPr>
                <w:rFonts w:hint="eastAsia"/>
                <w:szCs w:val="21"/>
              </w:rPr>
              <w:t>4</w:t>
            </w:r>
          </w:p>
        </w:tc>
        <w:tc>
          <w:tcPr>
            <w:tcW w:w="849" w:type="pct"/>
            <w:tcBorders>
              <w:top w:val="single" w:sz="4" w:space="0" w:color="auto"/>
              <w:left w:val="single" w:sz="4" w:space="0" w:color="000000"/>
              <w:bottom w:val="single" w:sz="4" w:space="0" w:color="000000"/>
              <w:right w:val="single" w:sz="4" w:space="0" w:color="000000"/>
            </w:tcBorders>
            <w:vAlign w:val="center"/>
          </w:tcPr>
          <w:p w14:paraId="6D748E55" w14:textId="77777777" w:rsidR="00B14D53" w:rsidRDefault="00000000">
            <w:pPr>
              <w:jc w:val="center"/>
              <w:rPr>
                <w:szCs w:val="21"/>
              </w:rPr>
            </w:pPr>
            <w:r>
              <w:rPr>
                <w:szCs w:val="21"/>
              </w:rPr>
              <w:t>NH</w:t>
            </w:r>
            <w:r>
              <w:rPr>
                <w:szCs w:val="21"/>
                <w:vertAlign w:val="subscript"/>
              </w:rPr>
              <w:t>3</w:t>
            </w:r>
          </w:p>
        </w:tc>
        <w:tc>
          <w:tcPr>
            <w:tcW w:w="932" w:type="pct"/>
            <w:tcBorders>
              <w:top w:val="single" w:sz="4" w:space="0" w:color="auto"/>
              <w:left w:val="single" w:sz="4" w:space="0" w:color="000000"/>
              <w:bottom w:val="single" w:sz="4" w:space="0" w:color="000000"/>
              <w:right w:val="single" w:sz="4" w:space="0" w:color="000000"/>
            </w:tcBorders>
            <w:vAlign w:val="center"/>
          </w:tcPr>
          <w:p w14:paraId="2B853BEE" w14:textId="77777777" w:rsidR="00B14D53" w:rsidRDefault="00000000">
            <w:pPr>
              <w:widowControl/>
              <w:jc w:val="center"/>
              <w:textAlignment w:val="center"/>
              <w:rPr>
                <w:snapToGrid w:val="0"/>
              </w:rPr>
            </w:pPr>
            <w:r>
              <w:rPr>
                <w:rFonts w:hint="eastAsia"/>
                <w:snapToGrid w:val="0"/>
              </w:rPr>
              <w:t>1.44</w:t>
            </w:r>
          </w:p>
        </w:tc>
        <w:tc>
          <w:tcPr>
            <w:tcW w:w="893" w:type="pct"/>
            <w:tcBorders>
              <w:top w:val="single" w:sz="4" w:space="0" w:color="auto"/>
              <w:left w:val="single" w:sz="4" w:space="0" w:color="000000"/>
              <w:bottom w:val="single" w:sz="4" w:space="0" w:color="000000"/>
              <w:right w:val="single" w:sz="4" w:space="0" w:color="000000"/>
            </w:tcBorders>
            <w:vAlign w:val="center"/>
          </w:tcPr>
          <w:p w14:paraId="3158E66A" w14:textId="77777777" w:rsidR="00B14D53" w:rsidRDefault="00000000">
            <w:pPr>
              <w:widowControl/>
              <w:jc w:val="center"/>
              <w:textAlignment w:val="center"/>
              <w:rPr>
                <w:snapToGrid w:val="0"/>
              </w:rPr>
            </w:pPr>
            <w:r>
              <w:rPr>
                <w:rFonts w:hint="eastAsia"/>
                <w:bCs/>
              </w:rPr>
              <w:t>0.003</w:t>
            </w:r>
          </w:p>
        </w:tc>
        <w:tc>
          <w:tcPr>
            <w:tcW w:w="897" w:type="pct"/>
            <w:tcBorders>
              <w:top w:val="single" w:sz="4" w:space="0" w:color="auto"/>
              <w:left w:val="single" w:sz="4" w:space="0" w:color="000000"/>
              <w:bottom w:val="single" w:sz="4" w:space="0" w:color="000000"/>
              <w:right w:val="nil"/>
            </w:tcBorders>
            <w:vAlign w:val="center"/>
          </w:tcPr>
          <w:p w14:paraId="3A8C38E4" w14:textId="77777777" w:rsidR="00B14D53" w:rsidRDefault="00000000">
            <w:pPr>
              <w:pStyle w:val="afff2"/>
              <w:spacing w:line="240" w:lineRule="auto"/>
              <w:rPr>
                <w:rFonts w:hAnsi="Times New Roman"/>
                <w:snapToGrid w:val="0"/>
              </w:rPr>
            </w:pPr>
            <w:r>
              <w:rPr>
                <w:rFonts w:hAnsi="Times New Roman" w:hint="eastAsia"/>
                <w:snapToGrid w:val="0"/>
              </w:rPr>
              <w:t>0.02</w:t>
            </w:r>
          </w:p>
        </w:tc>
      </w:tr>
      <w:tr w:rsidR="00B14D53" w14:paraId="12647782" w14:textId="77777777">
        <w:trPr>
          <w:trHeight w:val="266"/>
          <w:jc w:val="center"/>
        </w:trPr>
        <w:tc>
          <w:tcPr>
            <w:tcW w:w="526" w:type="pct"/>
            <w:vMerge/>
            <w:tcBorders>
              <w:left w:val="nil"/>
              <w:bottom w:val="single" w:sz="4" w:space="0" w:color="000000"/>
              <w:right w:val="single" w:sz="4" w:space="0" w:color="000000"/>
            </w:tcBorders>
            <w:vAlign w:val="center"/>
          </w:tcPr>
          <w:p w14:paraId="382F413B" w14:textId="77777777" w:rsidR="00B14D53" w:rsidRDefault="00B14D53">
            <w:pPr>
              <w:widowControl/>
              <w:jc w:val="center"/>
              <w:rPr>
                <w:szCs w:val="21"/>
              </w:rPr>
            </w:pPr>
          </w:p>
        </w:tc>
        <w:tc>
          <w:tcPr>
            <w:tcW w:w="900" w:type="pct"/>
            <w:vMerge/>
            <w:tcBorders>
              <w:left w:val="single" w:sz="4" w:space="0" w:color="000000"/>
              <w:bottom w:val="single" w:sz="4" w:space="0" w:color="000000"/>
              <w:right w:val="single" w:sz="4" w:space="0" w:color="000000"/>
            </w:tcBorders>
            <w:vAlign w:val="center"/>
          </w:tcPr>
          <w:p w14:paraId="07E63819" w14:textId="77777777" w:rsidR="00B14D53" w:rsidRDefault="00B14D53">
            <w:pPr>
              <w:widowControl/>
              <w:jc w:val="center"/>
              <w:rPr>
                <w:szCs w:val="21"/>
              </w:rPr>
            </w:pPr>
          </w:p>
        </w:tc>
        <w:tc>
          <w:tcPr>
            <w:tcW w:w="849" w:type="pct"/>
            <w:tcBorders>
              <w:top w:val="single" w:sz="4" w:space="0" w:color="auto"/>
              <w:left w:val="single" w:sz="4" w:space="0" w:color="000000"/>
              <w:bottom w:val="single" w:sz="4" w:space="0" w:color="000000"/>
              <w:right w:val="single" w:sz="4" w:space="0" w:color="000000"/>
            </w:tcBorders>
            <w:vAlign w:val="center"/>
          </w:tcPr>
          <w:p w14:paraId="2602CB62" w14:textId="77777777" w:rsidR="00B14D53" w:rsidRDefault="00000000">
            <w:pPr>
              <w:jc w:val="center"/>
              <w:rPr>
                <w:szCs w:val="21"/>
              </w:rPr>
            </w:pPr>
            <w:r>
              <w:rPr>
                <w:szCs w:val="21"/>
              </w:rPr>
              <w:t>H</w:t>
            </w:r>
            <w:r>
              <w:rPr>
                <w:szCs w:val="21"/>
                <w:vertAlign w:val="subscript"/>
              </w:rPr>
              <w:t>2</w:t>
            </w:r>
            <w:r>
              <w:rPr>
                <w:szCs w:val="21"/>
              </w:rPr>
              <w:t>S</w:t>
            </w:r>
          </w:p>
        </w:tc>
        <w:tc>
          <w:tcPr>
            <w:tcW w:w="932" w:type="pct"/>
            <w:tcBorders>
              <w:top w:val="single" w:sz="4" w:space="0" w:color="auto"/>
              <w:left w:val="single" w:sz="4" w:space="0" w:color="000000"/>
              <w:bottom w:val="single" w:sz="4" w:space="0" w:color="000000"/>
              <w:right w:val="single" w:sz="4" w:space="0" w:color="000000"/>
            </w:tcBorders>
            <w:vAlign w:val="center"/>
          </w:tcPr>
          <w:p w14:paraId="54414033" w14:textId="77777777" w:rsidR="00B14D53" w:rsidRDefault="00000000">
            <w:pPr>
              <w:widowControl/>
              <w:jc w:val="center"/>
              <w:textAlignment w:val="center"/>
              <w:rPr>
                <w:snapToGrid w:val="0"/>
              </w:rPr>
            </w:pPr>
            <w:r>
              <w:rPr>
                <w:rFonts w:hint="eastAsia"/>
                <w:snapToGrid w:val="0"/>
              </w:rPr>
              <w:t>0.06</w:t>
            </w:r>
          </w:p>
        </w:tc>
        <w:tc>
          <w:tcPr>
            <w:tcW w:w="893" w:type="pct"/>
            <w:tcBorders>
              <w:top w:val="single" w:sz="4" w:space="0" w:color="auto"/>
              <w:left w:val="single" w:sz="4" w:space="0" w:color="000000"/>
              <w:bottom w:val="single" w:sz="4" w:space="0" w:color="000000"/>
              <w:right w:val="single" w:sz="4" w:space="0" w:color="000000"/>
            </w:tcBorders>
            <w:vAlign w:val="center"/>
          </w:tcPr>
          <w:p w14:paraId="6648B6F2" w14:textId="77777777" w:rsidR="00B14D53" w:rsidRDefault="00000000">
            <w:pPr>
              <w:widowControl/>
              <w:jc w:val="center"/>
              <w:textAlignment w:val="center"/>
              <w:rPr>
                <w:snapToGrid w:val="0"/>
              </w:rPr>
            </w:pPr>
            <w:r>
              <w:rPr>
                <w:rFonts w:hint="eastAsia"/>
                <w:bCs/>
              </w:rPr>
              <w:t>0.0001</w:t>
            </w:r>
          </w:p>
        </w:tc>
        <w:tc>
          <w:tcPr>
            <w:tcW w:w="897" w:type="pct"/>
            <w:tcBorders>
              <w:top w:val="single" w:sz="4" w:space="0" w:color="auto"/>
              <w:left w:val="single" w:sz="4" w:space="0" w:color="000000"/>
              <w:bottom w:val="single" w:sz="4" w:space="0" w:color="000000"/>
              <w:right w:val="nil"/>
            </w:tcBorders>
            <w:vAlign w:val="center"/>
          </w:tcPr>
          <w:p w14:paraId="0E9F5AA0" w14:textId="77777777" w:rsidR="00B14D53" w:rsidRDefault="00000000">
            <w:pPr>
              <w:pStyle w:val="afff2"/>
              <w:spacing w:line="240" w:lineRule="auto"/>
              <w:rPr>
                <w:rFonts w:hAnsi="Times New Roman"/>
                <w:snapToGrid w:val="0"/>
              </w:rPr>
            </w:pPr>
            <w:r>
              <w:rPr>
                <w:rFonts w:hAnsi="Times New Roman" w:hint="eastAsia"/>
                <w:snapToGrid w:val="0"/>
              </w:rPr>
              <w:t>0.0006</w:t>
            </w:r>
          </w:p>
        </w:tc>
      </w:tr>
      <w:tr w:rsidR="00B14D53" w14:paraId="7969B021" w14:textId="77777777">
        <w:trPr>
          <w:trHeight w:val="245"/>
          <w:jc w:val="center"/>
        </w:trPr>
        <w:tc>
          <w:tcPr>
            <w:tcW w:w="0" w:type="auto"/>
            <w:gridSpan w:val="2"/>
            <w:vMerge w:val="restart"/>
            <w:tcBorders>
              <w:left w:val="nil"/>
              <w:right w:val="single" w:sz="4" w:space="0" w:color="000000"/>
            </w:tcBorders>
            <w:vAlign w:val="center"/>
          </w:tcPr>
          <w:p w14:paraId="33495F5D" w14:textId="77777777" w:rsidR="00B14D53" w:rsidRDefault="00000000">
            <w:pPr>
              <w:widowControl/>
              <w:jc w:val="center"/>
              <w:rPr>
                <w:szCs w:val="21"/>
              </w:rPr>
            </w:pPr>
            <w:r>
              <w:rPr>
                <w:szCs w:val="21"/>
              </w:rPr>
              <w:t>有组织排放总计</w:t>
            </w:r>
          </w:p>
        </w:tc>
        <w:tc>
          <w:tcPr>
            <w:tcW w:w="2675" w:type="pct"/>
            <w:gridSpan w:val="3"/>
            <w:tcBorders>
              <w:top w:val="single" w:sz="4" w:space="0" w:color="auto"/>
              <w:left w:val="single" w:sz="4" w:space="0" w:color="000000"/>
              <w:bottom w:val="single" w:sz="4" w:space="0" w:color="auto"/>
              <w:right w:val="single" w:sz="4" w:space="0" w:color="000000"/>
            </w:tcBorders>
            <w:vAlign w:val="center"/>
          </w:tcPr>
          <w:p w14:paraId="20DC41E9" w14:textId="77777777" w:rsidR="00B14D53" w:rsidRDefault="00000000">
            <w:pPr>
              <w:jc w:val="center"/>
              <w:rPr>
                <w:szCs w:val="21"/>
              </w:rPr>
            </w:pPr>
            <w:r>
              <w:rPr>
                <w:szCs w:val="21"/>
              </w:rPr>
              <w:t>NH</w:t>
            </w:r>
            <w:r>
              <w:rPr>
                <w:szCs w:val="21"/>
                <w:vertAlign w:val="subscript"/>
              </w:rPr>
              <w:t>3</w:t>
            </w:r>
          </w:p>
        </w:tc>
        <w:tc>
          <w:tcPr>
            <w:tcW w:w="897" w:type="pct"/>
            <w:tcBorders>
              <w:top w:val="single" w:sz="4" w:space="0" w:color="auto"/>
              <w:left w:val="single" w:sz="4" w:space="0" w:color="000000"/>
              <w:bottom w:val="single" w:sz="4" w:space="0" w:color="auto"/>
              <w:right w:val="nil"/>
            </w:tcBorders>
            <w:vAlign w:val="center"/>
          </w:tcPr>
          <w:p w14:paraId="3CD95A4A" w14:textId="77777777" w:rsidR="00B14D53" w:rsidRDefault="00000000">
            <w:pPr>
              <w:pStyle w:val="afff2"/>
              <w:spacing w:line="240" w:lineRule="auto"/>
              <w:rPr>
                <w:rFonts w:hAnsi="Times New Roman"/>
                <w:snapToGrid w:val="0"/>
              </w:rPr>
            </w:pPr>
            <w:r>
              <w:rPr>
                <w:rFonts w:hAnsi="Times New Roman" w:hint="eastAsia"/>
                <w:snapToGrid w:val="0"/>
              </w:rPr>
              <w:t>0.042</w:t>
            </w:r>
          </w:p>
        </w:tc>
      </w:tr>
      <w:tr w:rsidR="00B14D53" w14:paraId="5C6797AC" w14:textId="77777777">
        <w:trPr>
          <w:trHeight w:val="245"/>
          <w:jc w:val="center"/>
        </w:trPr>
        <w:tc>
          <w:tcPr>
            <w:tcW w:w="0" w:type="auto"/>
            <w:gridSpan w:val="2"/>
            <w:vMerge/>
            <w:tcBorders>
              <w:left w:val="nil"/>
              <w:bottom w:val="single" w:sz="12" w:space="0" w:color="auto"/>
              <w:right w:val="single" w:sz="4" w:space="0" w:color="000000"/>
            </w:tcBorders>
            <w:vAlign w:val="center"/>
          </w:tcPr>
          <w:p w14:paraId="6696EDBA" w14:textId="77777777" w:rsidR="00B14D53" w:rsidRDefault="00B14D53">
            <w:pPr>
              <w:widowControl/>
              <w:jc w:val="left"/>
              <w:rPr>
                <w:szCs w:val="21"/>
              </w:rPr>
            </w:pPr>
          </w:p>
        </w:tc>
        <w:tc>
          <w:tcPr>
            <w:tcW w:w="2675" w:type="pct"/>
            <w:gridSpan w:val="3"/>
            <w:tcBorders>
              <w:top w:val="single" w:sz="4" w:space="0" w:color="auto"/>
              <w:left w:val="single" w:sz="4" w:space="0" w:color="000000"/>
              <w:bottom w:val="single" w:sz="12" w:space="0" w:color="auto"/>
              <w:right w:val="single" w:sz="4" w:space="0" w:color="000000"/>
            </w:tcBorders>
            <w:vAlign w:val="center"/>
          </w:tcPr>
          <w:p w14:paraId="472AEFA2" w14:textId="77777777" w:rsidR="00B14D53" w:rsidRDefault="00000000">
            <w:pPr>
              <w:jc w:val="center"/>
              <w:rPr>
                <w:szCs w:val="21"/>
              </w:rPr>
            </w:pPr>
            <w:r>
              <w:rPr>
                <w:szCs w:val="21"/>
              </w:rPr>
              <w:t>H</w:t>
            </w:r>
            <w:r>
              <w:rPr>
                <w:szCs w:val="21"/>
                <w:vertAlign w:val="subscript"/>
              </w:rPr>
              <w:t>2</w:t>
            </w:r>
            <w:r>
              <w:rPr>
                <w:szCs w:val="21"/>
              </w:rPr>
              <w:t>S</w:t>
            </w:r>
          </w:p>
        </w:tc>
        <w:tc>
          <w:tcPr>
            <w:tcW w:w="897" w:type="pct"/>
            <w:tcBorders>
              <w:top w:val="single" w:sz="4" w:space="0" w:color="auto"/>
              <w:left w:val="single" w:sz="4" w:space="0" w:color="000000"/>
              <w:bottom w:val="single" w:sz="12" w:space="0" w:color="auto"/>
              <w:right w:val="nil"/>
            </w:tcBorders>
            <w:vAlign w:val="center"/>
          </w:tcPr>
          <w:p w14:paraId="5537E561" w14:textId="77777777" w:rsidR="00B14D53" w:rsidRDefault="00000000">
            <w:pPr>
              <w:pStyle w:val="afff2"/>
              <w:spacing w:line="240" w:lineRule="auto"/>
              <w:rPr>
                <w:rFonts w:hAnsi="Times New Roman"/>
                <w:snapToGrid w:val="0"/>
              </w:rPr>
            </w:pPr>
            <w:r>
              <w:rPr>
                <w:rFonts w:hAnsi="Times New Roman" w:hint="eastAsia"/>
                <w:snapToGrid w:val="0"/>
              </w:rPr>
              <w:t>0.0019</w:t>
            </w:r>
          </w:p>
        </w:tc>
      </w:tr>
    </w:tbl>
    <w:p w14:paraId="0D328EBC" w14:textId="77777777" w:rsidR="00B14D53" w:rsidRDefault="00000000">
      <w:pPr>
        <w:jc w:val="center"/>
        <w:rPr>
          <w:b/>
          <w:bCs/>
          <w:lang w:eastAsia="en-US"/>
        </w:rPr>
      </w:pPr>
      <w:r>
        <w:rPr>
          <w:b/>
          <w:bCs/>
          <w:lang w:eastAsia="en-US"/>
        </w:rPr>
        <w:t>表</w:t>
      </w:r>
      <w:r>
        <w:rPr>
          <w:b/>
          <w:bCs/>
          <w:lang w:eastAsia="en-US"/>
        </w:rPr>
        <w:t>5-2-1</w:t>
      </w:r>
      <w:r>
        <w:rPr>
          <w:rFonts w:hint="eastAsia"/>
          <w:b/>
          <w:bCs/>
        </w:rPr>
        <w:t xml:space="preserve">4 </w:t>
      </w:r>
      <w:r>
        <w:rPr>
          <w:b/>
          <w:bCs/>
          <w:lang w:eastAsia="en-US"/>
        </w:rPr>
        <w:t>大气污染物无组织排放量核算表</w:t>
      </w:r>
    </w:p>
    <w:tbl>
      <w:tblPr>
        <w:tblW w:w="5091"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98"/>
        <w:gridCol w:w="922"/>
        <w:gridCol w:w="590"/>
        <w:gridCol w:w="2399"/>
        <w:gridCol w:w="1883"/>
        <w:gridCol w:w="1221"/>
        <w:gridCol w:w="944"/>
      </w:tblGrid>
      <w:tr w:rsidR="00B14D53" w14:paraId="65AFD942" w14:textId="77777777">
        <w:trPr>
          <w:trHeight w:val="224"/>
          <w:jc w:val="center"/>
        </w:trPr>
        <w:tc>
          <w:tcPr>
            <w:tcW w:w="301" w:type="pct"/>
            <w:vMerge w:val="restart"/>
            <w:vAlign w:val="center"/>
          </w:tcPr>
          <w:p w14:paraId="679A6F54" w14:textId="77777777" w:rsidR="00B14D53" w:rsidRDefault="00000000">
            <w:pPr>
              <w:jc w:val="center"/>
              <w:rPr>
                <w:rFonts w:eastAsiaTheme="minorEastAsia"/>
                <w:b/>
                <w:bCs/>
                <w:szCs w:val="21"/>
              </w:rPr>
            </w:pPr>
            <w:r>
              <w:rPr>
                <w:rFonts w:eastAsiaTheme="minorEastAsia"/>
                <w:b/>
                <w:bCs/>
                <w:szCs w:val="21"/>
              </w:rPr>
              <w:t>序号</w:t>
            </w:r>
          </w:p>
        </w:tc>
        <w:tc>
          <w:tcPr>
            <w:tcW w:w="551" w:type="pct"/>
            <w:vMerge w:val="restart"/>
            <w:vAlign w:val="center"/>
          </w:tcPr>
          <w:p w14:paraId="2AADC9BA" w14:textId="77777777" w:rsidR="00B14D53" w:rsidRDefault="00000000">
            <w:pPr>
              <w:jc w:val="center"/>
              <w:rPr>
                <w:rFonts w:eastAsiaTheme="minorEastAsia"/>
                <w:b/>
                <w:bCs/>
                <w:szCs w:val="21"/>
              </w:rPr>
            </w:pPr>
            <w:r>
              <w:rPr>
                <w:rFonts w:eastAsiaTheme="minorEastAsia"/>
                <w:b/>
                <w:bCs/>
                <w:szCs w:val="21"/>
              </w:rPr>
              <w:t>产污环节</w:t>
            </w:r>
          </w:p>
        </w:tc>
        <w:tc>
          <w:tcPr>
            <w:tcW w:w="338" w:type="pct"/>
            <w:vMerge w:val="restart"/>
            <w:vAlign w:val="center"/>
          </w:tcPr>
          <w:p w14:paraId="6820A0BC" w14:textId="77777777" w:rsidR="00B14D53" w:rsidRDefault="00000000">
            <w:pPr>
              <w:jc w:val="center"/>
              <w:rPr>
                <w:rFonts w:eastAsiaTheme="minorEastAsia"/>
                <w:b/>
                <w:bCs/>
                <w:szCs w:val="21"/>
              </w:rPr>
            </w:pPr>
            <w:r>
              <w:rPr>
                <w:rFonts w:eastAsiaTheme="minorEastAsia"/>
                <w:b/>
                <w:bCs/>
                <w:szCs w:val="21"/>
              </w:rPr>
              <w:t>污染物</w:t>
            </w:r>
          </w:p>
        </w:tc>
        <w:tc>
          <w:tcPr>
            <w:tcW w:w="1424" w:type="pct"/>
            <w:vMerge w:val="restart"/>
            <w:vAlign w:val="center"/>
          </w:tcPr>
          <w:p w14:paraId="46C34708" w14:textId="77777777" w:rsidR="00B14D53" w:rsidRDefault="00000000">
            <w:pPr>
              <w:jc w:val="center"/>
              <w:rPr>
                <w:rFonts w:eastAsiaTheme="minorEastAsia"/>
                <w:b/>
                <w:bCs/>
                <w:szCs w:val="21"/>
              </w:rPr>
            </w:pPr>
            <w:r>
              <w:rPr>
                <w:rFonts w:eastAsiaTheme="minorEastAsia"/>
                <w:b/>
                <w:bCs/>
                <w:szCs w:val="21"/>
              </w:rPr>
              <w:t>主要污染防治措施</w:t>
            </w:r>
          </w:p>
        </w:tc>
        <w:tc>
          <w:tcPr>
            <w:tcW w:w="1822" w:type="pct"/>
            <w:gridSpan w:val="2"/>
            <w:vAlign w:val="center"/>
          </w:tcPr>
          <w:p w14:paraId="4C88C59D" w14:textId="77777777" w:rsidR="00B14D53" w:rsidRDefault="00000000">
            <w:pPr>
              <w:jc w:val="center"/>
              <w:rPr>
                <w:rFonts w:eastAsiaTheme="minorEastAsia"/>
                <w:b/>
                <w:bCs/>
                <w:szCs w:val="21"/>
              </w:rPr>
            </w:pPr>
            <w:r>
              <w:rPr>
                <w:rFonts w:eastAsiaTheme="minorEastAsia"/>
                <w:b/>
                <w:bCs/>
                <w:szCs w:val="21"/>
              </w:rPr>
              <w:t>污染物排放标准</w:t>
            </w:r>
          </w:p>
        </w:tc>
        <w:tc>
          <w:tcPr>
            <w:tcW w:w="560" w:type="pct"/>
            <w:vMerge w:val="restart"/>
            <w:vAlign w:val="center"/>
          </w:tcPr>
          <w:p w14:paraId="3611EB5B" w14:textId="77777777" w:rsidR="00B14D53" w:rsidRDefault="00000000">
            <w:pPr>
              <w:jc w:val="center"/>
              <w:rPr>
                <w:rFonts w:eastAsiaTheme="minorEastAsia"/>
                <w:b/>
                <w:bCs/>
                <w:szCs w:val="21"/>
              </w:rPr>
            </w:pPr>
            <w:r>
              <w:rPr>
                <w:rFonts w:eastAsiaTheme="minorEastAsia"/>
                <w:b/>
                <w:bCs/>
                <w:szCs w:val="21"/>
              </w:rPr>
              <w:t>年排放量</w:t>
            </w:r>
          </w:p>
          <w:p w14:paraId="687EDB4C" w14:textId="77777777" w:rsidR="00B14D53" w:rsidRDefault="00000000">
            <w:pPr>
              <w:jc w:val="center"/>
              <w:rPr>
                <w:rFonts w:eastAsiaTheme="minorEastAsia"/>
                <w:b/>
                <w:bCs/>
                <w:szCs w:val="21"/>
              </w:rPr>
            </w:pPr>
            <w:r>
              <w:rPr>
                <w:rFonts w:eastAsiaTheme="minorEastAsia"/>
                <w:b/>
                <w:bCs/>
                <w:szCs w:val="21"/>
              </w:rPr>
              <w:t>（</w:t>
            </w:r>
            <w:r>
              <w:rPr>
                <w:rFonts w:eastAsiaTheme="minorEastAsia"/>
                <w:b/>
                <w:bCs/>
                <w:szCs w:val="21"/>
              </w:rPr>
              <w:t>t/a</w:t>
            </w:r>
            <w:r>
              <w:rPr>
                <w:rFonts w:eastAsiaTheme="minorEastAsia"/>
                <w:b/>
                <w:bCs/>
                <w:szCs w:val="21"/>
              </w:rPr>
              <w:t>）</w:t>
            </w:r>
          </w:p>
        </w:tc>
      </w:tr>
      <w:tr w:rsidR="00B14D53" w14:paraId="7D23E02D" w14:textId="77777777">
        <w:trPr>
          <w:trHeight w:val="277"/>
          <w:jc w:val="center"/>
        </w:trPr>
        <w:tc>
          <w:tcPr>
            <w:tcW w:w="301" w:type="pct"/>
            <w:vMerge/>
            <w:vAlign w:val="center"/>
          </w:tcPr>
          <w:p w14:paraId="262EB356" w14:textId="77777777" w:rsidR="00B14D53" w:rsidRDefault="00B14D53">
            <w:pPr>
              <w:widowControl/>
              <w:jc w:val="center"/>
              <w:rPr>
                <w:rFonts w:eastAsiaTheme="minorEastAsia"/>
                <w:szCs w:val="21"/>
              </w:rPr>
            </w:pPr>
          </w:p>
        </w:tc>
        <w:tc>
          <w:tcPr>
            <w:tcW w:w="551" w:type="pct"/>
            <w:vMerge/>
            <w:vAlign w:val="center"/>
          </w:tcPr>
          <w:p w14:paraId="68A2B578" w14:textId="77777777" w:rsidR="00B14D53" w:rsidRDefault="00B14D53">
            <w:pPr>
              <w:widowControl/>
              <w:jc w:val="center"/>
              <w:rPr>
                <w:rFonts w:eastAsiaTheme="minorEastAsia"/>
                <w:szCs w:val="21"/>
              </w:rPr>
            </w:pPr>
          </w:p>
        </w:tc>
        <w:tc>
          <w:tcPr>
            <w:tcW w:w="338" w:type="pct"/>
            <w:vMerge/>
            <w:vAlign w:val="center"/>
          </w:tcPr>
          <w:p w14:paraId="4518A485" w14:textId="77777777" w:rsidR="00B14D53" w:rsidRDefault="00B14D53">
            <w:pPr>
              <w:widowControl/>
              <w:jc w:val="center"/>
              <w:rPr>
                <w:rFonts w:eastAsiaTheme="minorEastAsia"/>
                <w:szCs w:val="21"/>
              </w:rPr>
            </w:pPr>
          </w:p>
        </w:tc>
        <w:tc>
          <w:tcPr>
            <w:tcW w:w="1424" w:type="pct"/>
            <w:vMerge/>
            <w:vAlign w:val="center"/>
          </w:tcPr>
          <w:p w14:paraId="5D6C59AE" w14:textId="77777777" w:rsidR="00B14D53" w:rsidRDefault="00B14D53">
            <w:pPr>
              <w:widowControl/>
              <w:jc w:val="center"/>
              <w:rPr>
                <w:rFonts w:eastAsiaTheme="minorEastAsia"/>
                <w:szCs w:val="21"/>
              </w:rPr>
            </w:pPr>
          </w:p>
        </w:tc>
        <w:tc>
          <w:tcPr>
            <w:tcW w:w="1119" w:type="pct"/>
            <w:vAlign w:val="center"/>
          </w:tcPr>
          <w:p w14:paraId="20B96079" w14:textId="77777777" w:rsidR="00B14D53" w:rsidRDefault="00000000">
            <w:pPr>
              <w:jc w:val="center"/>
              <w:rPr>
                <w:rFonts w:eastAsiaTheme="minorEastAsia"/>
                <w:b/>
                <w:bCs/>
                <w:szCs w:val="21"/>
              </w:rPr>
            </w:pPr>
            <w:r>
              <w:rPr>
                <w:rFonts w:eastAsiaTheme="minorEastAsia"/>
                <w:b/>
                <w:bCs/>
                <w:szCs w:val="21"/>
              </w:rPr>
              <w:t>标准名称</w:t>
            </w:r>
          </w:p>
        </w:tc>
        <w:tc>
          <w:tcPr>
            <w:tcW w:w="702" w:type="pct"/>
            <w:vAlign w:val="center"/>
          </w:tcPr>
          <w:p w14:paraId="02B6C9E4" w14:textId="77777777" w:rsidR="00B14D53" w:rsidRDefault="00000000">
            <w:pPr>
              <w:jc w:val="center"/>
              <w:rPr>
                <w:rFonts w:eastAsiaTheme="minorEastAsia"/>
                <w:b/>
                <w:bCs/>
                <w:szCs w:val="21"/>
              </w:rPr>
            </w:pPr>
            <w:r>
              <w:rPr>
                <w:rFonts w:eastAsiaTheme="minorEastAsia"/>
                <w:b/>
                <w:bCs/>
                <w:szCs w:val="21"/>
              </w:rPr>
              <w:t>浓度限值</w:t>
            </w:r>
            <w:r>
              <w:rPr>
                <w:rFonts w:eastAsiaTheme="minorEastAsia"/>
                <w:b/>
                <w:bCs/>
                <w:szCs w:val="21"/>
              </w:rPr>
              <w:t>/</w:t>
            </w:r>
            <w:r>
              <w:rPr>
                <w:rFonts w:eastAsiaTheme="minorEastAsia"/>
                <w:b/>
                <w:bCs/>
                <w:szCs w:val="21"/>
              </w:rPr>
              <w:t>（</w:t>
            </w:r>
            <w:r>
              <w:rPr>
                <w:rFonts w:eastAsiaTheme="minorEastAsia"/>
                <w:b/>
                <w:bCs/>
                <w:szCs w:val="21"/>
              </w:rPr>
              <w:t>mg/m</w:t>
            </w:r>
            <w:r>
              <w:rPr>
                <w:rFonts w:eastAsiaTheme="minorEastAsia"/>
                <w:b/>
                <w:bCs/>
                <w:szCs w:val="21"/>
                <w:vertAlign w:val="superscript"/>
              </w:rPr>
              <w:t>3</w:t>
            </w:r>
            <w:r>
              <w:rPr>
                <w:rFonts w:eastAsiaTheme="minorEastAsia"/>
                <w:b/>
                <w:bCs/>
                <w:szCs w:val="21"/>
              </w:rPr>
              <w:t>）</w:t>
            </w:r>
          </w:p>
        </w:tc>
        <w:tc>
          <w:tcPr>
            <w:tcW w:w="560" w:type="pct"/>
            <w:vMerge/>
            <w:vAlign w:val="center"/>
          </w:tcPr>
          <w:p w14:paraId="396BF1B1" w14:textId="77777777" w:rsidR="00B14D53" w:rsidRDefault="00B14D53">
            <w:pPr>
              <w:widowControl/>
              <w:jc w:val="center"/>
              <w:rPr>
                <w:rFonts w:eastAsiaTheme="minorEastAsia"/>
                <w:szCs w:val="21"/>
              </w:rPr>
            </w:pPr>
          </w:p>
        </w:tc>
      </w:tr>
      <w:tr w:rsidR="00B14D53" w14:paraId="0AB9189D" w14:textId="77777777">
        <w:trPr>
          <w:trHeight w:val="90"/>
          <w:jc w:val="center"/>
        </w:trPr>
        <w:tc>
          <w:tcPr>
            <w:tcW w:w="301" w:type="pct"/>
            <w:vMerge w:val="restart"/>
            <w:vAlign w:val="center"/>
          </w:tcPr>
          <w:p w14:paraId="645C1D20" w14:textId="77777777" w:rsidR="00B14D53" w:rsidRDefault="00000000">
            <w:pPr>
              <w:widowControl/>
              <w:jc w:val="center"/>
              <w:rPr>
                <w:rFonts w:eastAsiaTheme="minorEastAsia"/>
                <w:szCs w:val="21"/>
              </w:rPr>
            </w:pPr>
            <w:r>
              <w:rPr>
                <w:rFonts w:eastAsiaTheme="minorEastAsia"/>
                <w:szCs w:val="21"/>
              </w:rPr>
              <w:t>1</w:t>
            </w:r>
          </w:p>
        </w:tc>
        <w:tc>
          <w:tcPr>
            <w:tcW w:w="551" w:type="pct"/>
            <w:vMerge w:val="restart"/>
            <w:vAlign w:val="center"/>
          </w:tcPr>
          <w:p w14:paraId="3CD63B5A" w14:textId="77777777" w:rsidR="00B14D53" w:rsidRDefault="00000000">
            <w:pPr>
              <w:widowControl/>
              <w:jc w:val="center"/>
              <w:rPr>
                <w:rFonts w:eastAsiaTheme="minorEastAsia"/>
                <w:szCs w:val="21"/>
              </w:rPr>
            </w:pPr>
            <w:r>
              <w:rPr>
                <w:rFonts w:eastAsiaTheme="minorEastAsia" w:hint="eastAsia"/>
                <w:szCs w:val="21"/>
              </w:rPr>
              <w:t>1#</w:t>
            </w:r>
            <w:r>
              <w:rPr>
                <w:rFonts w:eastAsiaTheme="minorEastAsia"/>
                <w:szCs w:val="21"/>
              </w:rPr>
              <w:t>待宰</w:t>
            </w:r>
            <w:r>
              <w:rPr>
                <w:rFonts w:eastAsiaTheme="minorEastAsia" w:hint="eastAsia"/>
                <w:szCs w:val="21"/>
              </w:rPr>
              <w:t>圈</w:t>
            </w:r>
          </w:p>
        </w:tc>
        <w:tc>
          <w:tcPr>
            <w:tcW w:w="338" w:type="pct"/>
            <w:vAlign w:val="center"/>
          </w:tcPr>
          <w:p w14:paraId="01AFC6AA" w14:textId="77777777" w:rsidR="00B14D53" w:rsidRDefault="00000000">
            <w:pPr>
              <w:widowControl/>
              <w:jc w:val="center"/>
              <w:rPr>
                <w:rFonts w:eastAsiaTheme="minorEastAsia"/>
                <w:szCs w:val="21"/>
              </w:rPr>
            </w:pPr>
            <w:r>
              <w:rPr>
                <w:rFonts w:eastAsiaTheme="minorEastAsia"/>
                <w:szCs w:val="21"/>
              </w:rPr>
              <w:t>NH</w:t>
            </w:r>
            <w:r>
              <w:rPr>
                <w:rFonts w:eastAsiaTheme="minorEastAsia"/>
                <w:szCs w:val="21"/>
                <w:vertAlign w:val="subscript"/>
              </w:rPr>
              <w:t>3</w:t>
            </w:r>
          </w:p>
        </w:tc>
        <w:tc>
          <w:tcPr>
            <w:tcW w:w="1424" w:type="pct"/>
            <w:vMerge w:val="restart"/>
            <w:vAlign w:val="center"/>
          </w:tcPr>
          <w:p w14:paraId="4F650880" w14:textId="77777777" w:rsidR="00B14D53" w:rsidRDefault="00000000">
            <w:pPr>
              <w:widowControl/>
              <w:jc w:val="center"/>
              <w:rPr>
                <w:rFonts w:eastAsiaTheme="minorEastAsia"/>
                <w:szCs w:val="21"/>
              </w:rPr>
            </w:pPr>
            <w:r>
              <w:rPr>
                <w:rFonts w:eastAsiaTheme="minorEastAsia" w:hint="eastAsia"/>
                <w:snapToGrid w:val="0"/>
                <w:szCs w:val="21"/>
              </w:rPr>
              <w:t>待宰圈</w:t>
            </w:r>
            <w:r>
              <w:rPr>
                <w:rFonts w:eastAsiaTheme="minorEastAsia"/>
                <w:snapToGrid w:val="0"/>
                <w:szCs w:val="21"/>
              </w:rPr>
              <w:t>及时清扫，并投加或喷洒除臭剂，加强通风</w:t>
            </w:r>
          </w:p>
        </w:tc>
        <w:tc>
          <w:tcPr>
            <w:tcW w:w="1119" w:type="pct"/>
            <w:vMerge w:val="restart"/>
            <w:vAlign w:val="center"/>
          </w:tcPr>
          <w:p w14:paraId="7203FECD" w14:textId="77777777" w:rsidR="00B14D53" w:rsidRDefault="00000000">
            <w:pPr>
              <w:jc w:val="center"/>
              <w:rPr>
                <w:rFonts w:eastAsiaTheme="minorEastAsia"/>
                <w:szCs w:val="21"/>
              </w:rPr>
            </w:pPr>
            <w:r>
              <w:rPr>
                <w:rFonts w:eastAsiaTheme="minorEastAsia"/>
                <w:kern w:val="0"/>
                <w:szCs w:val="21"/>
              </w:rPr>
              <w:t>《恶臭污染物排放标准》（</w:t>
            </w:r>
            <w:r>
              <w:rPr>
                <w:rFonts w:eastAsiaTheme="minorEastAsia"/>
                <w:kern w:val="0"/>
                <w:szCs w:val="21"/>
              </w:rPr>
              <w:t>GB14554-1993</w:t>
            </w:r>
            <w:r>
              <w:rPr>
                <w:rFonts w:eastAsiaTheme="minorEastAsia"/>
                <w:kern w:val="0"/>
                <w:szCs w:val="21"/>
              </w:rPr>
              <w:t>）表</w:t>
            </w:r>
            <w:r>
              <w:rPr>
                <w:rFonts w:eastAsiaTheme="minorEastAsia"/>
                <w:kern w:val="0"/>
                <w:szCs w:val="21"/>
              </w:rPr>
              <w:t>1</w:t>
            </w:r>
            <w:r>
              <w:rPr>
                <w:rFonts w:eastAsiaTheme="minorEastAsia"/>
                <w:kern w:val="0"/>
                <w:szCs w:val="21"/>
              </w:rPr>
              <w:t>中二级新改扩建标准</w:t>
            </w:r>
          </w:p>
        </w:tc>
        <w:tc>
          <w:tcPr>
            <w:tcW w:w="702" w:type="pct"/>
            <w:vAlign w:val="center"/>
          </w:tcPr>
          <w:p w14:paraId="1E52E953" w14:textId="77777777" w:rsidR="00B14D53" w:rsidRDefault="00000000">
            <w:pPr>
              <w:jc w:val="center"/>
              <w:rPr>
                <w:rFonts w:eastAsiaTheme="minorEastAsia"/>
                <w:szCs w:val="21"/>
              </w:rPr>
            </w:pPr>
            <w:r>
              <w:rPr>
                <w:rFonts w:eastAsiaTheme="minorEastAsia"/>
                <w:szCs w:val="21"/>
              </w:rPr>
              <w:t>1.5</w:t>
            </w:r>
          </w:p>
        </w:tc>
        <w:tc>
          <w:tcPr>
            <w:tcW w:w="560" w:type="pct"/>
            <w:vAlign w:val="center"/>
          </w:tcPr>
          <w:p w14:paraId="6DCDC986" w14:textId="77777777" w:rsidR="00B14D53" w:rsidRDefault="00000000">
            <w:pPr>
              <w:pStyle w:val="aff1"/>
              <w:jc w:val="center"/>
              <w:rPr>
                <w:rFonts w:ascii="Times New Roman" w:eastAsiaTheme="minorEastAsia" w:hAnsi="Times New Roman"/>
                <w:szCs w:val="21"/>
              </w:rPr>
            </w:pPr>
            <w:r>
              <w:rPr>
                <w:rFonts w:ascii="Times New Roman" w:eastAsiaTheme="minorEastAsia" w:hAnsi="Times New Roman" w:hint="eastAsia"/>
                <w:szCs w:val="21"/>
              </w:rPr>
              <w:t>0.01</w:t>
            </w:r>
          </w:p>
        </w:tc>
      </w:tr>
      <w:tr w:rsidR="00B14D53" w14:paraId="409D58A7" w14:textId="77777777">
        <w:trPr>
          <w:trHeight w:val="44"/>
          <w:jc w:val="center"/>
        </w:trPr>
        <w:tc>
          <w:tcPr>
            <w:tcW w:w="301" w:type="pct"/>
            <w:vMerge/>
            <w:vAlign w:val="center"/>
          </w:tcPr>
          <w:p w14:paraId="79F1E71E" w14:textId="77777777" w:rsidR="00B14D53" w:rsidRDefault="00B14D53">
            <w:pPr>
              <w:widowControl/>
              <w:jc w:val="center"/>
              <w:rPr>
                <w:rFonts w:eastAsiaTheme="minorEastAsia"/>
                <w:szCs w:val="21"/>
              </w:rPr>
            </w:pPr>
          </w:p>
        </w:tc>
        <w:tc>
          <w:tcPr>
            <w:tcW w:w="551" w:type="pct"/>
            <w:vMerge/>
            <w:vAlign w:val="center"/>
          </w:tcPr>
          <w:p w14:paraId="503C70EB" w14:textId="77777777" w:rsidR="00B14D53" w:rsidRDefault="00B14D53">
            <w:pPr>
              <w:widowControl/>
              <w:jc w:val="center"/>
              <w:rPr>
                <w:rFonts w:eastAsiaTheme="minorEastAsia"/>
                <w:szCs w:val="21"/>
              </w:rPr>
            </w:pPr>
          </w:p>
        </w:tc>
        <w:tc>
          <w:tcPr>
            <w:tcW w:w="338" w:type="pct"/>
            <w:vAlign w:val="center"/>
          </w:tcPr>
          <w:p w14:paraId="39C4CD80" w14:textId="77777777" w:rsidR="00B14D53" w:rsidRDefault="00000000">
            <w:pPr>
              <w:widowControl/>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1424" w:type="pct"/>
            <w:vMerge/>
            <w:vAlign w:val="center"/>
          </w:tcPr>
          <w:p w14:paraId="4E0C7114" w14:textId="77777777" w:rsidR="00B14D53" w:rsidRDefault="00B14D53">
            <w:pPr>
              <w:widowControl/>
              <w:jc w:val="center"/>
              <w:rPr>
                <w:rFonts w:eastAsiaTheme="minorEastAsia"/>
                <w:szCs w:val="21"/>
              </w:rPr>
            </w:pPr>
          </w:p>
        </w:tc>
        <w:tc>
          <w:tcPr>
            <w:tcW w:w="1119" w:type="pct"/>
            <w:vMerge/>
            <w:vAlign w:val="center"/>
          </w:tcPr>
          <w:p w14:paraId="4E5AF457" w14:textId="77777777" w:rsidR="00B14D53" w:rsidRDefault="00B14D53">
            <w:pPr>
              <w:widowControl/>
              <w:jc w:val="center"/>
              <w:rPr>
                <w:rFonts w:eastAsiaTheme="minorEastAsia"/>
                <w:szCs w:val="21"/>
              </w:rPr>
            </w:pPr>
          </w:p>
        </w:tc>
        <w:tc>
          <w:tcPr>
            <w:tcW w:w="702" w:type="pct"/>
            <w:vAlign w:val="center"/>
          </w:tcPr>
          <w:p w14:paraId="125C92E9" w14:textId="77777777" w:rsidR="00B14D53" w:rsidRDefault="00000000">
            <w:pPr>
              <w:jc w:val="center"/>
              <w:rPr>
                <w:rFonts w:eastAsiaTheme="minorEastAsia"/>
                <w:szCs w:val="21"/>
              </w:rPr>
            </w:pPr>
            <w:r>
              <w:rPr>
                <w:rFonts w:eastAsiaTheme="minorEastAsia"/>
                <w:szCs w:val="21"/>
              </w:rPr>
              <w:t>0.06</w:t>
            </w:r>
          </w:p>
        </w:tc>
        <w:tc>
          <w:tcPr>
            <w:tcW w:w="560" w:type="pct"/>
            <w:vAlign w:val="center"/>
          </w:tcPr>
          <w:p w14:paraId="047CBE4E" w14:textId="77777777" w:rsidR="00B14D53" w:rsidRDefault="00000000">
            <w:pPr>
              <w:pStyle w:val="aff1"/>
              <w:jc w:val="center"/>
              <w:rPr>
                <w:rFonts w:ascii="Times New Roman" w:eastAsiaTheme="minorEastAsia" w:hAnsi="Times New Roman"/>
                <w:szCs w:val="21"/>
              </w:rPr>
            </w:pPr>
            <w:r>
              <w:rPr>
                <w:rFonts w:ascii="Times New Roman" w:eastAsiaTheme="minorEastAsia" w:hAnsi="Times New Roman" w:hint="eastAsia"/>
                <w:szCs w:val="21"/>
              </w:rPr>
              <w:t>0.0008</w:t>
            </w:r>
          </w:p>
        </w:tc>
      </w:tr>
      <w:tr w:rsidR="00B14D53" w14:paraId="1088408A" w14:textId="77777777">
        <w:trPr>
          <w:trHeight w:val="44"/>
          <w:jc w:val="center"/>
        </w:trPr>
        <w:tc>
          <w:tcPr>
            <w:tcW w:w="301" w:type="pct"/>
            <w:vMerge w:val="restart"/>
            <w:vAlign w:val="center"/>
          </w:tcPr>
          <w:p w14:paraId="6F5EDFD9" w14:textId="77777777" w:rsidR="00B14D53" w:rsidRDefault="00000000">
            <w:pPr>
              <w:widowControl/>
              <w:jc w:val="center"/>
              <w:rPr>
                <w:rFonts w:eastAsiaTheme="minorEastAsia"/>
                <w:szCs w:val="21"/>
              </w:rPr>
            </w:pPr>
            <w:r>
              <w:rPr>
                <w:rFonts w:eastAsiaTheme="minorEastAsia" w:hint="eastAsia"/>
                <w:szCs w:val="21"/>
              </w:rPr>
              <w:t>2</w:t>
            </w:r>
          </w:p>
        </w:tc>
        <w:tc>
          <w:tcPr>
            <w:tcW w:w="551" w:type="pct"/>
            <w:vMerge w:val="restart"/>
            <w:vAlign w:val="center"/>
          </w:tcPr>
          <w:p w14:paraId="25BE783A" w14:textId="77777777" w:rsidR="00B14D53" w:rsidRDefault="00000000">
            <w:pPr>
              <w:widowControl/>
              <w:jc w:val="center"/>
              <w:rPr>
                <w:rFonts w:eastAsiaTheme="minorEastAsia"/>
                <w:szCs w:val="21"/>
              </w:rPr>
            </w:pPr>
            <w:r>
              <w:rPr>
                <w:rFonts w:eastAsiaTheme="minorEastAsia" w:hint="eastAsia"/>
                <w:szCs w:val="21"/>
              </w:rPr>
              <w:t>2#</w:t>
            </w:r>
            <w:r>
              <w:rPr>
                <w:rFonts w:eastAsiaTheme="minorEastAsia"/>
                <w:szCs w:val="21"/>
              </w:rPr>
              <w:t>待宰</w:t>
            </w:r>
            <w:r>
              <w:rPr>
                <w:rFonts w:eastAsiaTheme="minorEastAsia" w:hint="eastAsia"/>
                <w:szCs w:val="21"/>
              </w:rPr>
              <w:t>圈</w:t>
            </w:r>
          </w:p>
        </w:tc>
        <w:tc>
          <w:tcPr>
            <w:tcW w:w="338" w:type="pct"/>
            <w:vAlign w:val="center"/>
          </w:tcPr>
          <w:p w14:paraId="17170E3B" w14:textId="77777777" w:rsidR="00B14D53" w:rsidRDefault="00000000">
            <w:pPr>
              <w:widowControl/>
              <w:jc w:val="center"/>
              <w:rPr>
                <w:rFonts w:eastAsiaTheme="minorEastAsia"/>
                <w:szCs w:val="21"/>
              </w:rPr>
            </w:pPr>
            <w:r>
              <w:rPr>
                <w:rFonts w:eastAsiaTheme="minorEastAsia"/>
                <w:szCs w:val="21"/>
              </w:rPr>
              <w:t>NH</w:t>
            </w:r>
            <w:r>
              <w:rPr>
                <w:rFonts w:eastAsiaTheme="minorEastAsia"/>
                <w:szCs w:val="21"/>
                <w:vertAlign w:val="subscript"/>
              </w:rPr>
              <w:t>3</w:t>
            </w:r>
          </w:p>
        </w:tc>
        <w:tc>
          <w:tcPr>
            <w:tcW w:w="1424" w:type="pct"/>
            <w:vMerge/>
            <w:vAlign w:val="center"/>
          </w:tcPr>
          <w:p w14:paraId="6A89BA02" w14:textId="77777777" w:rsidR="00B14D53" w:rsidRDefault="00B14D53">
            <w:pPr>
              <w:widowControl/>
              <w:jc w:val="center"/>
              <w:rPr>
                <w:rFonts w:eastAsiaTheme="minorEastAsia"/>
                <w:szCs w:val="21"/>
              </w:rPr>
            </w:pPr>
          </w:p>
        </w:tc>
        <w:tc>
          <w:tcPr>
            <w:tcW w:w="1119" w:type="pct"/>
            <w:vMerge/>
            <w:vAlign w:val="center"/>
          </w:tcPr>
          <w:p w14:paraId="40B1D0FE" w14:textId="77777777" w:rsidR="00B14D53" w:rsidRDefault="00B14D53">
            <w:pPr>
              <w:widowControl/>
              <w:jc w:val="center"/>
              <w:rPr>
                <w:rFonts w:eastAsiaTheme="minorEastAsia"/>
                <w:szCs w:val="21"/>
              </w:rPr>
            </w:pPr>
          </w:p>
        </w:tc>
        <w:tc>
          <w:tcPr>
            <w:tcW w:w="702" w:type="pct"/>
            <w:vAlign w:val="center"/>
          </w:tcPr>
          <w:p w14:paraId="00AB7A31" w14:textId="77777777" w:rsidR="00B14D53" w:rsidRDefault="00000000">
            <w:pPr>
              <w:jc w:val="center"/>
              <w:rPr>
                <w:rFonts w:eastAsiaTheme="minorEastAsia"/>
                <w:szCs w:val="21"/>
              </w:rPr>
            </w:pPr>
            <w:r>
              <w:rPr>
                <w:rFonts w:eastAsiaTheme="minorEastAsia"/>
                <w:szCs w:val="21"/>
              </w:rPr>
              <w:t>1.5</w:t>
            </w:r>
          </w:p>
        </w:tc>
        <w:tc>
          <w:tcPr>
            <w:tcW w:w="560" w:type="pct"/>
            <w:vAlign w:val="center"/>
          </w:tcPr>
          <w:p w14:paraId="4D7B5C14" w14:textId="77777777" w:rsidR="00B14D53" w:rsidRDefault="00000000">
            <w:pPr>
              <w:pStyle w:val="aff1"/>
              <w:jc w:val="center"/>
              <w:rPr>
                <w:rFonts w:ascii="Times New Roman" w:hAnsi="Times New Roman"/>
                <w:bCs/>
                <w:szCs w:val="21"/>
              </w:rPr>
            </w:pPr>
            <w:r>
              <w:rPr>
                <w:rFonts w:ascii="Times New Roman" w:hAnsi="Times New Roman" w:hint="eastAsia"/>
                <w:bCs/>
                <w:szCs w:val="21"/>
              </w:rPr>
              <w:t>0.03</w:t>
            </w:r>
          </w:p>
        </w:tc>
      </w:tr>
      <w:tr w:rsidR="00B14D53" w14:paraId="2AF7EA2D" w14:textId="77777777">
        <w:trPr>
          <w:trHeight w:val="44"/>
          <w:jc w:val="center"/>
        </w:trPr>
        <w:tc>
          <w:tcPr>
            <w:tcW w:w="301" w:type="pct"/>
            <w:vMerge/>
            <w:vAlign w:val="center"/>
          </w:tcPr>
          <w:p w14:paraId="5620A1D5" w14:textId="77777777" w:rsidR="00B14D53" w:rsidRDefault="00B14D53">
            <w:pPr>
              <w:widowControl/>
              <w:jc w:val="center"/>
              <w:rPr>
                <w:rFonts w:eastAsiaTheme="minorEastAsia"/>
                <w:szCs w:val="21"/>
              </w:rPr>
            </w:pPr>
          </w:p>
        </w:tc>
        <w:tc>
          <w:tcPr>
            <w:tcW w:w="551" w:type="pct"/>
            <w:vMerge/>
            <w:vAlign w:val="center"/>
          </w:tcPr>
          <w:p w14:paraId="3CED4EF5" w14:textId="77777777" w:rsidR="00B14D53" w:rsidRDefault="00B14D53">
            <w:pPr>
              <w:widowControl/>
              <w:jc w:val="center"/>
              <w:rPr>
                <w:rFonts w:eastAsiaTheme="minorEastAsia"/>
                <w:szCs w:val="21"/>
              </w:rPr>
            </w:pPr>
          </w:p>
        </w:tc>
        <w:tc>
          <w:tcPr>
            <w:tcW w:w="338" w:type="pct"/>
            <w:vAlign w:val="center"/>
          </w:tcPr>
          <w:p w14:paraId="76FADA07" w14:textId="77777777" w:rsidR="00B14D53" w:rsidRDefault="00000000">
            <w:pPr>
              <w:widowControl/>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1424" w:type="pct"/>
            <w:vMerge/>
            <w:vAlign w:val="center"/>
          </w:tcPr>
          <w:p w14:paraId="108B3442" w14:textId="77777777" w:rsidR="00B14D53" w:rsidRDefault="00B14D53">
            <w:pPr>
              <w:widowControl/>
              <w:jc w:val="center"/>
              <w:rPr>
                <w:rFonts w:eastAsiaTheme="minorEastAsia"/>
                <w:szCs w:val="21"/>
              </w:rPr>
            </w:pPr>
          </w:p>
        </w:tc>
        <w:tc>
          <w:tcPr>
            <w:tcW w:w="1119" w:type="pct"/>
            <w:vMerge/>
            <w:vAlign w:val="center"/>
          </w:tcPr>
          <w:p w14:paraId="4760893D" w14:textId="77777777" w:rsidR="00B14D53" w:rsidRDefault="00B14D53">
            <w:pPr>
              <w:widowControl/>
              <w:jc w:val="center"/>
              <w:rPr>
                <w:rFonts w:eastAsiaTheme="minorEastAsia"/>
                <w:szCs w:val="21"/>
              </w:rPr>
            </w:pPr>
          </w:p>
        </w:tc>
        <w:tc>
          <w:tcPr>
            <w:tcW w:w="702" w:type="pct"/>
            <w:vAlign w:val="center"/>
          </w:tcPr>
          <w:p w14:paraId="5D7DCB04" w14:textId="77777777" w:rsidR="00B14D53" w:rsidRDefault="00000000">
            <w:pPr>
              <w:jc w:val="center"/>
              <w:rPr>
                <w:rFonts w:eastAsiaTheme="minorEastAsia"/>
                <w:szCs w:val="21"/>
              </w:rPr>
            </w:pPr>
            <w:r>
              <w:rPr>
                <w:rFonts w:eastAsiaTheme="minorEastAsia"/>
                <w:szCs w:val="21"/>
              </w:rPr>
              <w:t>0.06</w:t>
            </w:r>
          </w:p>
        </w:tc>
        <w:tc>
          <w:tcPr>
            <w:tcW w:w="560" w:type="pct"/>
            <w:vAlign w:val="center"/>
          </w:tcPr>
          <w:p w14:paraId="3DE23AD6" w14:textId="77777777" w:rsidR="00B14D53" w:rsidRDefault="00000000">
            <w:pPr>
              <w:pStyle w:val="aff1"/>
              <w:jc w:val="center"/>
              <w:rPr>
                <w:rFonts w:ascii="Times New Roman" w:hAnsi="Times New Roman"/>
                <w:bCs/>
                <w:szCs w:val="21"/>
              </w:rPr>
            </w:pPr>
            <w:r>
              <w:rPr>
                <w:rFonts w:ascii="Times New Roman" w:hAnsi="Times New Roman" w:hint="eastAsia"/>
                <w:bCs/>
                <w:szCs w:val="21"/>
              </w:rPr>
              <w:t>0.002</w:t>
            </w:r>
          </w:p>
        </w:tc>
      </w:tr>
      <w:tr w:rsidR="00B14D53" w14:paraId="3FC7797E" w14:textId="77777777">
        <w:trPr>
          <w:trHeight w:val="145"/>
          <w:jc w:val="center"/>
        </w:trPr>
        <w:tc>
          <w:tcPr>
            <w:tcW w:w="301" w:type="pct"/>
            <w:vMerge w:val="restart"/>
            <w:vAlign w:val="center"/>
          </w:tcPr>
          <w:p w14:paraId="03DF904D" w14:textId="77777777" w:rsidR="00B14D53" w:rsidRDefault="00000000">
            <w:pPr>
              <w:widowControl/>
              <w:jc w:val="center"/>
              <w:rPr>
                <w:rFonts w:eastAsiaTheme="minorEastAsia"/>
                <w:szCs w:val="21"/>
              </w:rPr>
            </w:pPr>
            <w:r>
              <w:rPr>
                <w:rFonts w:eastAsiaTheme="minorEastAsia"/>
                <w:szCs w:val="21"/>
              </w:rPr>
              <w:t>2</w:t>
            </w:r>
          </w:p>
        </w:tc>
        <w:tc>
          <w:tcPr>
            <w:tcW w:w="551" w:type="pct"/>
            <w:vMerge w:val="restart"/>
            <w:vAlign w:val="center"/>
          </w:tcPr>
          <w:p w14:paraId="32AF862E" w14:textId="77777777" w:rsidR="00B14D53" w:rsidRDefault="00000000">
            <w:pPr>
              <w:widowControl/>
              <w:jc w:val="center"/>
              <w:rPr>
                <w:rFonts w:eastAsiaTheme="minorEastAsia"/>
                <w:szCs w:val="21"/>
              </w:rPr>
            </w:pPr>
            <w:r>
              <w:rPr>
                <w:rFonts w:eastAsiaTheme="minorEastAsia" w:hint="eastAsia"/>
                <w:szCs w:val="21"/>
              </w:rPr>
              <w:t>屠宰车间</w:t>
            </w:r>
          </w:p>
        </w:tc>
        <w:tc>
          <w:tcPr>
            <w:tcW w:w="338" w:type="pct"/>
            <w:vAlign w:val="center"/>
          </w:tcPr>
          <w:p w14:paraId="12BB72FF" w14:textId="77777777" w:rsidR="00B14D53" w:rsidRDefault="00000000">
            <w:pPr>
              <w:widowControl/>
              <w:jc w:val="center"/>
              <w:rPr>
                <w:rFonts w:eastAsiaTheme="minorEastAsia"/>
                <w:szCs w:val="21"/>
              </w:rPr>
            </w:pPr>
            <w:r>
              <w:rPr>
                <w:rFonts w:eastAsiaTheme="minorEastAsia"/>
                <w:szCs w:val="21"/>
              </w:rPr>
              <w:t>NH</w:t>
            </w:r>
            <w:r>
              <w:rPr>
                <w:rFonts w:eastAsiaTheme="minorEastAsia"/>
                <w:szCs w:val="21"/>
                <w:vertAlign w:val="subscript"/>
              </w:rPr>
              <w:t>3</w:t>
            </w:r>
          </w:p>
        </w:tc>
        <w:tc>
          <w:tcPr>
            <w:tcW w:w="1424" w:type="pct"/>
            <w:vMerge w:val="restart"/>
            <w:vAlign w:val="center"/>
          </w:tcPr>
          <w:p w14:paraId="3C3763C6" w14:textId="77777777" w:rsidR="00B14D53" w:rsidRDefault="00000000">
            <w:pPr>
              <w:widowControl/>
              <w:jc w:val="center"/>
              <w:rPr>
                <w:rFonts w:eastAsiaTheme="minorEastAsia"/>
                <w:szCs w:val="21"/>
              </w:rPr>
            </w:pPr>
            <w:r>
              <w:rPr>
                <w:rFonts w:eastAsiaTheme="minorEastAsia"/>
                <w:bCs/>
                <w:szCs w:val="21"/>
              </w:rPr>
              <w:t>屠宰车间</w:t>
            </w:r>
            <w:r>
              <w:rPr>
                <w:rFonts w:eastAsiaTheme="minorEastAsia"/>
                <w:szCs w:val="21"/>
              </w:rPr>
              <w:t>封闭</w:t>
            </w:r>
            <w:r>
              <w:rPr>
                <w:rFonts w:eastAsiaTheme="minorEastAsia"/>
                <w:snapToGrid w:val="0"/>
                <w:szCs w:val="21"/>
              </w:rPr>
              <w:t>，加强通风</w:t>
            </w:r>
          </w:p>
        </w:tc>
        <w:tc>
          <w:tcPr>
            <w:tcW w:w="1119" w:type="pct"/>
            <w:vMerge/>
            <w:vAlign w:val="center"/>
          </w:tcPr>
          <w:p w14:paraId="33FB732E" w14:textId="77777777" w:rsidR="00B14D53" w:rsidRDefault="00B14D53">
            <w:pPr>
              <w:widowControl/>
              <w:jc w:val="center"/>
              <w:rPr>
                <w:rFonts w:eastAsiaTheme="minorEastAsia"/>
                <w:szCs w:val="21"/>
              </w:rPr>
            </w:pPr>
          </w:p>
        </w:tc>
        <w:tc>
          <w:tcPr>
            <w:tcW w:w="702" w:type="pct"/>
            <w:vAlign w:val="center"/>
          </w:tcPr>
          <w:p w14:paraId="507E73CB" w14:textId="77777777" w:rsidR="00B14D53" w:rsidRDefault="00000000">
            <w:pPr>
              <w:jc w:val="center"/>
              <w:rPr>
                <w:rFonts w:eastAsiaTheme="minorEastAsia"/>
                <w:szCs w:val="21"/>
              </w:rPr>
            </w:pPr>
            <w:r>
              <w:rPr>
                <w:rFonts w:eastAsiaTheme="minorEastAsia"/>
                <w:szCs w:val="21"/>
              </w:rPr>
              <w:t>1.5</w:t>
            </w:r>
          </w:p>
        </w:tc>
        <w:tc>
          <w:tcPr>
            <w:tcW w:w="560" w:type="pct"/>
            <w:vAlign w:val="center"/>
          </w:tcPr>
          <w:p w14:paraId="1E2D028C" w14:textId="77777777" w:rsidR="00B14D53" w:rsidRDefault="00000000">
            <w:pPr>
              <w:pStyle w:val="aff1"/>
              <w:jc w:val="center"/>
              <w:rPr>
                <w:rFonts w:ascii="Times New Roman" w:eastAsiaTheme="minorEastAsia" w:hAnsi="Times New Roman"/>
                <w:szCs w:val="21"/>
              </w:rPr>
            </w:pPr>
            <w:r>
              <w:rPr>
                <w:rFonts w:ascii="Times New Roman" w:eastAsiaTheme="minorEastAsia" w:hAnsi="Times New Roman" w:hint="eastAsia"/>
                <w:szCs w:val="21"/>
              </w:rPr>
              <w:t>0.02</w:t>
            </w:r>
          </w:p>
        </w:tc>
      </w:tr>
      <w:tr w:rsidR="00B14D53" w14:paraId="457B8237" w14:textId="77777777">
        <w:trPr>
          <w:trHeight w:val="59"/>
          <w:jc w:val="center"/>
        </w:trPr>
        <w:tc>
          <w:tcPr>
            <w:tcW w:w="301" w:type="pct"/>
            <w:vMerge/>
            <w:vAlign w:val="center"/>
          </w:tcPr>
          <w:p w14:paraId="628CBF4C" w14:textId="77777777" w:rsidR="00B14D53" w:rsidRDefault="00B14D53">
            <w:pPr>
              <w:widowControl/>
              <w:jc w:val="center"/>
              <w:rPr>
                <w:rFonts w:eastAsiaTheme="minorEastAsia"/>
                <w:szCs w:val="21"/>
              </w:rPr>
            </w:pPr>
          </w:p>
        </w:tc>
        <w:tc>
          <w:tcPr>
            <w:tcW w:w="551" w:type="pct"/>
            <w:vMerge/>
            <w:vAlign w:val="center"/>
          </w:tcPr>
          <w:p w14:paraId="4C93AF5C" w14:textId="77777777" w:rsidR="00B14D53" w:rsidRDefault="00B14D53">
            <w:pPr>
              <w:widowControl/>
              <w:jc w:val="center"/>
              <w:rPr>
                <w:rFonts w:eastAsiaTheme="minorEastAsia"/>
                <w:szCs w:val="21"/>
              </w:rPr>
            </w:pPr>
          </w:p>
        </w:tc>
        <w:tc>
          <w:tcPr>
            <w:tcW w:w="338" w:type="pct"/>
            <w:vAlign w:val="center"/>
          </w:tcPr>
          <w:p w14:paraId="58BB33B6" w14:textId="77777777" w:rsidR="00B14D53" w:rsidRDefault="00000000">
            <w:pPr>
              <w:widowControl/>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1424" w:type="pct"/>
            <w:vMerge/>
            <w:vAlign w:val="center"/>
          </w:tcPr>
          <w:p w14:paraId="20BBBE69" w14:textId="77777777" w:rsidR="00B14D53" w:rsidRDefault="00B14D53">
            <w:pPr>
              <w:widowControl/>
              <w:jc w:val="center"/>
              <w:rPr>
                <w:rFonts w:eastAsiaTheme="minorEastAsia"/>
                <w:szCs w:val="21"/>
              </w:rPr>
            </w:pPr>
          </w:p>
        </w:tc>
        <w:tc>
          <w:tcPr>
            <w:tcW w:w="1119" w:type="pct"/>
            <w:vMerge/>
            <w:vAlign w:val="center"/>
          </w:tcPr>
          <w:p w14:paraId="5D848E32" w14:textId="77777777" w:rsidR="00B14D53" w:rsidRDefault="00B14D53">
            <w:pPr>
              <w:widowControl/>
              <w:jc w:val="center"/>
              <w:rPr>
                <w:rFonts w:eastAsiaTheme="minorEastAsia"/>
                <w:szCs w:val="21"/>
              </w:rPr>
            </w:pPr>
          </w:p>
        </w:tc>
        <w:tc>
          <w:tcPr>
            <w:tcW w:w="702" w:type="pct"/>
            <w:vAlign w:val="center"/>
          </w:tcPr>
          <w:p w14:paraId="414FFC04" w14:textId="77777777" w:rsidR="00B14D53" w:rsidRDefault="00000000">
            <w:pPr>
              <w:jc w:val="center"/>
              <w:rPr>
                <w:rFonts w:eastAsiaTheme="minorEastAsia"/>
                <w:szCs w:val="21"/>
              </w:rPr>
            </w:pPr>
            <w:r>
              <w:rPr>
                <w:rFonts w:eastAsiaTheme="minorEastAsia"/>
                <w:szCs w:val="21"/>
              </w:rPr>
              <w:t>0.06</w:t>
            </w:r>
          </w:p>
        </w:tc>
        <w:tc>
          <w:tcPr>
            <w:tcW w:w="560" w:type="pct"/>
            <w:vAlign w:val="center"/>
          </w:tcPr>
          <w:p w14:paraId="3483F5DA" w14:textId="77777777" w:rsidR="00B14D53" w:rsidRDefault="00000000">
            <w:pPr>
              <w:pStyle w:val="aff1"/>
              <w:jc w:val="center"/>
              <w:rPr>
                <w:rFonts w:ascii="Times New Roman" w:eastAsiaTheme="minorEastAsia" w:hAnsi="Times New Roman"/>
                <w:szCs w:val="21"/>
              </w:rPr>
            </w:pPr>
            <w:r>
              <w:rPr>
                <w:rFonts w:ascii="Times New Roman" w:eastAsiaTheme="minorEastAsia" w:hAnsi="Times New Roman" w:hint="eastAsia"/>
                <w:szCs w:val="21"/>
              </w:rPr>
              <w:t>0.0005</w:t>
            </w:r>
          </w:p>
        </w:tc>
      </w:tr>
      <w:tr w:rsidR="00B14D53" w14:paraId="2F70E066" w14:textId="77777777">
        <w:trPr>
          <w:trHeight w:val="44"/>
          <w:jc w:val="center"/>
        </w:trPr>
        <w:tc>
          <w:tcPr>
            <w:tcW w:w="301" w:type="pct"/>
            <w:vMerge w:val="restart"/>
            <w:vAlign w:val="center"/>
          </w:tcPr>
          <w:p w14:paraId="2E3F3F8A" w14:textId="77777777" w:rsidR="00B14D53" w:rsidRDefault="00000000">
            <w:pPr>
              <w:widowControl/>
              <w:jc w:val="center"/>
              <w:rPr>
                <w:rFonts w:eastAsiaTheme="minorEastAsia"/>
                <w:szCs w:val="21"/>
              </w:rPr>
            </w:pPr>
            <w:r>
              <w:rPr>
                <w:rFonts w:eastAsiaTheme="minorEastAsia"/>
                <w:szCs w:val="21"/>
              </w:rPr>
              <w:t>3</w:t>
            </w:r>
          </w:p>
        </w:tc>
        <w:tc>
          <w:tcPr>
            <w:tcW w:w="551" w:type="pct"/>
            <w:vMerge w:val="restart"/>
            <w:vAlign w:val="center"/>
          </w:tcPr>
          <w:p w14:paraId="4B755684" w14:textId="77777777" w:rsidR="00B14D53" w:rsidRDefault="00000000">
            <w:pPr>
              <w:widowControl/>
              <w:jc w:val="center"/>
              <w:rPr>
                <w:rFonts w:eastAsiaTheme="minorEastAsia"/>
                <w:szCs w:val="21"/>
              </w:rPr>
            </w:pPr>
            <w:r>
              <w:rPr>
                <w:rFonts w:eastAsiaTheme="minorEastAsia"/>
                <w:szCs w:val="21"/>
              </w:rPr>
              <w:t>污水处理站</w:t>
            </w:r>
          </w:p>
        </w:tc>
        <w:tc>
          <w:tcPr>
            <w:tcW w:w="338" w:type="pct"/>
            <w:vAlign w:val="center"/>
          </w:tcPr>
          <w:p w14:paraId="6F84E76F" w14:textId="77777777" w:rsidR="00B14D53" w:rsidRDefault="00000000">
            <w:pPr>
              <w:widowControl/>
              <w:jc w:val="center"/>
              <w:rPr>
                <w:rFonts w:eastAsiaTheme="minorEastAsia"/>
                <w:szCs w:val="21"/>
              </w:rPr>
            </w:pPr>
            <w:r>
              <w:rPr>
                <w:rFonts w:eastAsiaTheme="minorEastAsia"/>
                <w:szCs w:val="21"/>
              </w:rPr>
              <w:t>NH</w:t>
            </w:r>
            <w:r>
              <w:rPr>
                <w:rFonts w:eastAsiaTheme="minorEastAsia"/>
                <w:szCs w:val="21"/>
                <w:vertAlign w:val="subscript"/>
              </w:rPr>
              <w:t>3</w:t>
            </w:r>
          </w:p>
        </w:tc>
        <w:tc>
          <w:tcPr>
            <w:tcW w:w="1424" w:type="pct"/>
            <w:vMerge w:val="restart"/>
            <w:vAlign w:val="center"/>
          </w:tcPr>
          <w:p w14:paraId="58AF733A" w14:textId="77777777" w:rsidR="00B14D53" w:rsidRDefault="00000000">
            <w:pPr>
              <w:widowControl/>
              <w:jc w:val="center"/>
              <w:rPr>
                <w:rFonts w:eastAsiaTheme="minorEastAsia"/>
                <w:szCs w:val="21"/>
              </w:rPr>
            </w:pPr>
            <w:r>
              <w:rPr>
                <w:rFonts w:eastAsiaTheme="minorEastAsia"/>
                <w:bCs/>
                <w:szCs w:val="21"/>
              </w:rPr>
              <w:t>污水处理站封闭</w:t>
            </w:r>
            <w:r>
              <w:rPr>
                <w:rFonts w:eastAsiaTheme="minorEastAsia"/>
                <w:snapToGrid w:val="0"/>
                <w:szCs w:val="21"/>
              </w:rPr>
              <w:t>，加强通风</w:t>
            </w:r>
          </w:p>
        </w:tc>
        <w:tc>
          <w:tcPr>
            <w:tcW w:w="1119" w:type="pct"/>
            <w:vMerge/>
            <w:vAlign w:val="center"/>
          </w:tcPr>
          <w:p w14:paraId="5DE4531B" w14:textId="77777777" w:rsidR="00B14D53" w:rsidRDefault="00B14D53">
            <w:pPr>
              <w:widowControl/>
              <w:jc w:val="center"/>
              <w:rPr>
                <w:rFonts w:eastAsiaTheme="minorEastAsia"/>
                <w:szCs w:val="21"/>
              </w:rPr>
            </w:pPr>
          </w:p>
        </w:tc>
        <w:tc>
          <w:tcPr>
            <w:tcW w:w="702" w:type="pct"/>
            <w:vAlign w:val="center"/>
          </w:tcPr>
          <w:p w14:paraId="1B552740" w14:textId="77777777" w:rsidR="00B14D53" w:rsidRDefault="00000000">
            <w:pPr>
              <w:jc w:val="center"/>
              <w:rPr>
                <w:rFonts w:eastAsiaTheme="minorEastAsia"/>
                <w:szCs w:val="21"/>
              </w:rPr>
            </w:pPr>
            <w:r>
              <w:rPr>
                <w:rFonts w:eastAsiaTheme="minorEastAsia"/>
                <w:szCs w:val="21"/>
              </w:rPr>
              <w:t>1.5</w:t>
            </w:r>
          </w:p>
        </w:tc>
        <w:tc>
          <w:tcPr>
            <w:tcW w:w="560" w:type="pct"/>
            <w:vAlign w:val="center"/>
          </w:tcPr>
          <w:p w14:paraId="2CCF8011" w14:textId="77777777" w:rsidR="00B14D53" w:rsidRDefault="00000000">
            <w:pPr>
              <w:pStyle w:val="aff1"/>
              <w:jc w:val="center"/>
              <w:rPr>
                <w:rFonts w:ascii="Times New Roman" w:eastAsiaTheme="minorEastAsia" w:hAnsi="Times New Roman"/>
                <w:szCs w:val="21"/>
              </w:rPr>
            </w:pPr>
            <w:r>
              <w:rPr>
                <w:rFonts w:ascii="Times New Roman" w:eastAsiaTheme="minorEastAsia" w:hAnsi="Times New Roman" w:hint="eastAsia"/>
                <w:szCs w:val="21"/>
              </w:rPr>
              <w:t>0.04</w:t>
            </w:r>
          </w:p>
        </w:tc>
      </w:tr>
      <w:tr w:rsidR="00B14D53" w14:paraId="4491E3FE" w14:textId="77777777">
        <w:trPr>
          <w:trHeight w:val="44"/>
          <w:jc w:val="center"/>
        </w:trPr>
        <w:tc>
          <w:tcPr>
            <w:tcW w:w="301" w:type="pct"/>
            <w:vMerge/>
            <w:vAlign w:val="center"/>
          </w:tcPr>
          <w:p w14:paraId="185D62D4" w14:textId="77777777" w:rsidR="00B14D53" w:rsidRDefault="00B14D53">
            <w:pPr>
              <w:widowControl/>
              <w:jc w:val="center"/>
              <w:rPr>
                <w:rFonts w:eastAsiaTheme="minorEastAsia"/>
                <w:szCs w:val="21"/>
              </w:rPr>
            </w:pPr>
          </w:p>
        </w:tc>
        <w:tc>
          <w:tcPr>
            <w:tcW w:w="551" w:type="pct"/>
            <w:vMerge/>
            <w:vAlign w:val="center"/>
          </w:tcPr>
          <w:p w14:paraId="51A51437" w14:textId="77777777" w:rsidR="00B14D53" w:rsidRDefault="00B14D53">
            <w:pPr>
              <w:widowControl/>
              <w:jc w:val="center"/>
              <w:rPr>
                <w:rFonts w:eastAsiaTheme="minorEastAsia"/>
                <w:szCs w:val="21"/>
              </w:rPr>
            </w:pPr>
          </w:p>
        </w:tc>
        <w:tc>
          <w:tcPr>
            <w:tcW w:w="338" w:type="pct"/>
            <w:vAlign w:val="center"/>
          </w:tcPr>
          <w:p w14:paraId="45055A79" w14:textId="77777777" w:rsidR="00B14D53" w:rsidRDefault="00000000">
            <w:pPr>
              <w:widowControl/>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1424" w:type="pct"/>
            <w:vMerge/>
            <w:vAlign w:val="center"/>
          </w:tcPr>
          <w:p w14:paraId="796C9B49" w14:textId="77777777" w:rsidR="00B14D53" w:rsidRDefault="00B14D53">
            <w:pPr>
              <w:widowControl/>
              <w:jc w:val="center"/>
              <w:rPr>
                <w:rFonts w:eastAsiaTheme="minorEastAsia"/>
                <w:szCs w:val="21"/>
              </w:rPr>
            </w:pPr>
          </w:p>
        </w:tc>
        <w:tc>
          <w:tcPr>
            <w:tcW w:w="1119" w:type="pct"/>
            <w:vMerge/>
            <w:vAlign w:val="center"/>
          </w:tcPr>
          <w:p w14:paraId="568E3CB9" w14:textId="77777777" w:rsidR="00B14D53" w:rsidRDefault="00B14D53">
            <w:pPr>
              <w:widowControl/>
              <w:jc w:val="center"/>
              <w:rPr>
                <w:rFonts w:eastAsiaTheme="minorEastAsia"/>
                <w:szCs w:val="21"/>
              </w:rPr>
            </w:pPr>
          </w:p>
        </w:tc>
        <w:tc>
          <w:tcPr>
            <w:tcW w:w="702" w:type="pct"/>
            <w:vAlign w:val="center"/>
          </w:tcPr>
          <w:p w14:paraId="29BC7321" w14:textId="77777777" w:rsidR="00B14D53" w:rsidRDefault="00000000">
            <w:pPr>
              <w:jc w:val="center"/>
              <w:rPr>
                <w:rFonts w:eastAsiaTheme="minorEastAsia"/>
                <w:szCs w:val="21"/>
              </w:rPr>
            </w:pPr>
            <w:r>
              <w:rPr>
                <w:rFonts w:eastAsiaTheme="minorEastAsia"/>
                <w:szCs w:val="21"/>
              </w:rPr>
              <w:t>0.06</w:t>
            </w:r>
          </w:p>
        </w:tc>
        <w:tc>
          <w:tcPr>
            <w:tcW w:w="560" w:type="pct"/>
            <w:vAlign w:val="center"/>
          </w:tcPr>
          <w:p w14:paraId="3D997E5F" w14:textId="77777777" w:rsidR="00B14D53" w:rsidRDefault="00000000">
            <w:pPr>
              <w:pStyle w:val="aff1"/>
              <w:jc w:val="center"/>
              <w:rPr>
                <w:rFonts w:ascii="Times New Roman" w:eastAsiaTheme="minorEastAsia" w:hAnsi="Times New Roman"/>
                <w:szCs w:val="21"/>
              </w:rPr>
            </w:pPr>
            <w:r>
              <w:rPr>
                <w:rFonts w:ascii="Times New Roman" w:eastAsiaTheme="minorEastAsia" w:hAnsi="Times New Roman" w:hint="eastAsia"/>
                <w:szCs w:val="21"/>
              </w:rPr>
              <w:t>0.002</w:t>
            </w:r>
          </w:p>
        </w:tc>
      </w:tr>
      <w:tr w:rsidR="00B14D53" w14:paraId="753D3262" w14:textId="77777777">
        <w:trPr>
          <w:trHeight w:val="215"/>
          <w:jc w:val="center"/>
        </w:trPr>
        <w:tc>
          <w:tcPr>
            <w:tcW w:w="5000" w:type="pct"/>
            <w:gridSpan w:val="7"/>
            <w:vAlign w:val="center"/>
          </w:tcPr>
          <w:p w14:paraId="2BE46D2D" w14:textId="77777777" w:rsidR="00B14D53" w:rsidRDefault="00000000">
            <w:pPr>
              <w:jc w:val="center"/>
              <w:rPr>
                <w:rFonts w:eastAsiaTheme="minorEastAsia"/>
                <w:szCs w:val="21"/>
              </w:rPr>
            </w:pPr>
            <w:r>
              <w:rPr>
                <w:rFonts w:eastAsiaTheme="minorEastAsia"/>
                <w:szCs w:val="21"/>
              </w:rPr>
              <w:t>无组织排放总计</w:t>
            </w:r>
          </w:p>
        </w:tc>
      </w:tr>
    </w:tbl>
    <w:p w14:paraId="47C2CE0A" w14:textId="77777777" w:rsidR="00B14D53" w:rsidRDefault="00000000">
      <w:pPr>
        <w:jc w:val="center"/>
        <w:rPr>
          <w:b/>
          <w:bCs/>
        </w:rPr>
      </w:pPr>
      <w:r>
        <w:rPr>
          <w:rFonts w:hint="eastAsia"/>
          <w:b/>
          <w:bCs/>
        </w:rPr>
        <w:t>表</w:t>
      </w:r>
      <w:r>
        <w:rPr>
          <w:rFonts w:hint="eastAsia"/>
          <w:b/>
          <w:bCs/>
        </w:rPr>
        <w:t xml:space="preserve">5-2-15 </w:t>
      </w:r>
      <w:r>
        <w:rPr>
          <w:rFonts w:hint="eastAsia"/>
          <w:b/>
          <w:bCs/>
        </w:rPr>
        <w:t>大气污染物年排放量核算表</w:t>
      </w:r>
    </w:p>
    <w:tbl>
      <w:tblPr>
        <w:tblW w:w="8756"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37"/>
        <w:gridCol w:w="3767"/>
        <w:gridCol w:w="3552"/>
      </w:tblGrid>
      <w:tr w:rsidR="00B14D53" w14:paraId="02BE8D6E" w14:textId="77777777">
        <w:trPr>
          <w:trHeight w:val="294"/>
          <w:jc w:val="center"/>
        </w:trPr>
        <w:tc>
          <w:tcPr>
            <w:tcW w:w="1437" w:type="dxa"/>
            <w:tcBorders>
              <w:right w:val="single" w:sz="4" w:space="0" w:color="auto"/>
            </w:tcBorders>
            <w:vAlign w:val="center"/>
          </w:tcPr>
          <w:p w14:paraId="176739F7" w14:textId="77777777" w:rsidR="00B14D53" w:rsidRDefault="00000000">
            <w:pPr>
              <w:jc w:val="center"/>
              <w:rPr>
                <w:rFonts w:eastAsiaTheme="minorEastAsia"/>
                <w:b/>
                <w:kern w:val="0"/>
                <w:szCs w:val="21"/>
              </w:rPr>
            </w:pPr>
            <w:r>
              <w:rPr>
                <w:rFonts w:eastAsiaTheme="minorEastAsia" w:hAnsiTheme="minorEastAsia"/>
                <w:b/>
                <w:kern w:val="0"/>
                <w:szCs w:val="21"/>
              </w:rPr>
              <w:t>序号</w:t>
            </w:r>
          </w:p>
        </w:tc>
        <w:tc>
          <w:tcPr>
            <w:tcW w:w="3767" w:type="dxa"/>
            <w:vAlign w:val="center"/>
          </w:tcPr>
          <w:p w14:paraId="6E277485" w14:textId="77777777" w:rsidR="00B14D53" w:rsidRDefault="00000000">
            <w:pPr>
              <w:jc w:val="center"/>
              <w:rPr>
                <w:rFonts w:eastAsiaTheme="minorEastAsia"/>
                <w:b/>
                <w:kern w:val="0"/>
                <w:szCs w:val="21"/>
              </w:rPr>
            </w:pPr>
            <w:r>
              <w:rPr>
                <w:rFonts w:eastAsiaTheme="minorEastAsia" w:hAnsiTheme="minorEastAsia"/>
                <w:b/>
                <w:kern w:val="0"/>
                <w:szCs w:val="21"/>
              </w:rPr>
              <w:t>污染物</w:t>
            </w:r>
          </w:p>
        </w:tc>
        <w:tc>
          <w:tcPr>
            <w:tcW w:w="3552" w:type="dxa"/>
            <w:vAlign w:val="center"/>
          </w:tcPr>
          <w:p w14:paraId="7AAE1091" w14:textId="77777777" w:rsidR="00B14D53" w:rsidRDefault="00000000">
            <w:pPr>
              <w:jc w:val="center"/>
              <w:rPr>
                <w:rFonts w:eastAsiaTheme="minorEastAsia"/>
                <w:b/>
                <w:kern w:val="0"/>
                <w:szCs w:val="21"/>
              </w:rPr>
            </w:pPr>
            <w:r>
              <w:rPr>
                <w:rFonts w:eastAsiaTheme="minorEastAsia" w:hAnsiTheme="minorEastAsia"/>
                <w:b/>
                <w:kern w:val="0"/>
                <w:szCs w:val="21"/>
              </w:rPr>
              <w:t>年排放量（</w:t>
            </w:r>
            <w:r>
              <w:rPr>
                <w:rFonts w:eastAsiaTheme="minorEastAsia"/>
                <w:b/>
                <w:kern w:val="0"/>
                <w:szCs w:val="21"/>
              </w:rPr>
              <w:t>t/a</w:t>
            </w:r>
            <w:r>
              <w:rPr>
                <w:rFonts w:eastAsiaTheme="minorEastAsia" w:hAnsiTheme="minorEastAsia"/>
                <w:b/>
                <w:kern w:val="0"/>
                <w:szCs w:val="21"/>
              </w:rPr>
              <w:t>）</w:t>
            </w:r>
          </w:p>
        </w:tc>
      </w:tr>
      <w:tr w:rsidR="00B14D53" w14:paraId="547F9A6F" w14:textId="77777777">
        <w:trPr>
          <w:trHeight w:val="274"/>
          <w:jc w:val="center"/>
        </w:trPr>
        <w:tc>
          <w:tcPr>
            <w:tcW w:w="1437" w:type="dxa"/>
            <w:tcBorders>
              <w:bottom w:val="single" w:sz="4" w:space="0" w:color="auto"/>
              <w:right w:val="single" w:sz="4" w:space="0" w:color="auto"/>
            </w:tcBorders>
            <w:vAlign w:val="center"/>
          </w:tcPr>
          <w:p w14:paraId="63446716" w14:textId="77777777" w:rsidR="00B14D53" w:rsidRDefault="00000000">
            <w:pPr>
              <w:jc w:val="center"/>
              <w:rPr>
                <w:rFonts w:eastAsiaTheme="minorEastAsia"/>
                <w:bCs/>
                <w:kern w:val="0"/>
                <w:szCs w:val="21"/>
              </w:rPr>
            </w:pPr>
            <w:r>
              <w:rPr>
                <w:rFonts w:eastAsiaTheme="minorEastAsia"/>
                <w:bCs/>
                <w:kern w:val="0"/>
                <w:szCs w:val="21"/>
              </w:rPr>
              <w:t>1</w:t>
            </w:r>
          </w:p>
        </w:tc>
        <w:tc>
          <w:tcPr>
            <w:tcW w:w="3767" w:type="dxa"/>
            <w:tcBorders>
              <w:bottom w:val="single" w:sz="4" w:space="0" w:color="auto"/>
            </w:tcBorders>
            <w:vAlign w:val="center"/>
          </w:tcPr>
          <w:p w14:paraId="5233A4B0" w14:textId="77777777" w:rsidR="00B14D53" w:rsidRDefault="00000000">
            <w:pPr>
              <w:jc w:val="center"/>
              <w:rPr>
                <w:rFonts w:eastAsiaTheme="minorEastAsia"/>
                <w:szCs w:val="21"/>
              </w:rPr>
            </w:pPr>
            <w:r>
              <w:rPr>
                <w:rFonts w:eastAsiaTheme="minorEastAsia"/>
                <w:szCs w:val="21"/>
              </w:rPr>
              <w:t>NH</w:t>
            </w:r>
            <w:r>
              <w:rPr>
                <w:rFonts w:eastAsiaTheme="minorEastAsia"/>
                <w:szCs w:val="21"/>
                <w:vertAlign w:val="subscript"/>
              </w:rPr>
              <w:t>3</w:t>
            </w:r>
          </w:p>
        </w:tc>
        <w:tc>
          <w:tcPr>
            <w:tcW w:w="3552" w:type="dxa"/>
            <w:vAlign w:val="center"/>
          </w:tcPr>
          <w:p w14:paraId="2241E1C9" w14:textId="77777777" w:rsidR="00B14D53" w:rsidRDefault="00000000">
            <w:pPr>
              <w:widowControl/>
              <w:jc w:val="center"/>
              <w:rPr>
                <w:rFonts w:eastAsiaTheme="minorEastAsia"/>
                <w:szCs w:val="21"/>
              </w:rPr>
            </w:pPr>
            <w:r>
              <w:rPr>
                <w:rFonts w:eastAsiaTheme="minorEastAsia" w:hint="eastAsia"/>
                <w:szCs w:val="21"/>
              </w:rPr>
              <w:t>0.</w:t>
            </w:r>
            <w:r>
              <w:rPr>
                <w:rFonts w:eastAsiaTheme="minorEastAsia"/>
                <w:szCs w:val="21"/>
              </w:rPr>
              <w:t>455</w:t>
            </w:r>
          </w:p>
        </w:tc>
      </w:tr>
      <w:tr w:rsidR="00B14D53" w14:paraId="4E4F6241" w14:textId="77777777">
        <w:trPr>
          <w:trHeight w:val="272"/>
          <w:jc w:val="center"/>
        </w:trPr>
        <w:tc>
          <w:tcPr>
            <w:tcW w:w="1437" w:type="dxa"/>
            <w:tcBorders>
              <w:top w:val="single" w:sz="4" w:space="0" w:color="auto"/>
              <w:right w:val="single" w:sz="4" w:space="0" w:color="auto"/>
            </w:tcBorders>
            <w:vAlign w:val="center"/>
          </w:tcPr>
          <w:p w14:paraId="3E5479ED" w14:textId="77777777" w:rsidR="00B14D53" w:rsidRDefault="00000000">
            <w:pPr>
              <w:jc w:val="center"/>
              <w:rPr>
                <w:rFonts w:eastAsiaTheme="minorEastAsia"/>
                <w:bCs/>
                <w:kern w:val="0"/>
                <w:szCs w:val="21"/>
              </w:rPr>
            </w:pPr>
            <w:r>
              <w:rPr>
                <w:rFonts w:eastAsiaTheme="minorEastAsia"/>
                <w:bCs/>
                <w:kern w:val="0"/>
                <w:szCs w:val="21"/>
              </w:rPr>
              <w:t>2</w:t>
            </w:r>
          </w:p>
        </w:tc>
        <w:tc>
          <w:tcPr>
            <w:tcW w:w="3767" w:type="dxa"/>
            <w:tcBorders>
              <w:top w:val="single" w:sz="4" w:space="0" w:color="auto"/>
            </w:tcBorders>
            <w:vAlign w:val="center"/>
          </w:tcPr>
          <w:p w14:paraId="49D65EA0" w14:textId="77777777" w:rsidR="00B14D53" w:rsidRDefault="00000000">
            <w:pPr>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552" w:type="dxa"/>
            <w:vAlign w:val="center"/>
          </w:tcPr>
          <w:p w14:paraId="3FF8FEAF" w14:textId="77777777" w:rsidR="00B14D53" w:rsidRDefault="00000000">
            <w:pPr>
              <w:widowControl/>
              <w:jc w:val="center"/>
              <w:rPr>
                <w:rFonts w:eastAsiaTheme="minorEastAsia"/>
                <w:szCs w:val="21"/>
              </w:rPr>
            </w:pPr>
            <w:r>
              <w:rPr>
                <w:rFonts w:eastAsiaTheme="minorEastAsia" w:hint="eastAsia"/>
                <w:szCs w:val="21"/>
              </w:rPr>
              <w:t>0</w:t>
            </w:r>
            <w:r>
              <w:rPr>
                <w:rFonts w:eastAsiaTheme="minorEastAsia"/>
                <w:szCs w:val="21"/>
              </w:rPr>
              <w:t>.031</w:t>
            </w:r>
          </w:p>
        </w:tc>
      </w:tr>
    </w:tbl>
    <w:p w14:paraId="567939EB"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5.2.1.2</w:t>
      </w:r>
      <w:r>
        <w:rPr>
          <w:rFonts w:ascii="Times New Roman" w:eastAsia="黑体" w:hAnsi="Times New Roman" w:cs="Times New Roman"/>
          <w:b w:val="0"/>
          <w:bCs w:val="0"/>
          <w:sz w:val="24"/>
          <w:szCs w:val="24"/>
        </w:rPr>
        <w:t>非正常工况废气影响分析</w:t>
      </w:r>
    </w:p>
    <w:p w14:paraId="03AFD234" w14:textId="77777777" w:rsidR="00B14D53" w:rsidRDefault="00000000">
      <w:pPr>
        <w:pStyle w:val="afff"/>
        <w:adjustRightInd/>
        <w:snapToGrid/>
        <w:jc w:val="both"/>
        <w:rPr>
          <w:rFonts w:ascii="Times New Roman" w:eastAsia="宋体" w:hAnsi="Times New Roman" w:cs="Times New Roman"/>
        </w:rPr>
      </w:pPr>
      <w:r>
        <w:rPr>
          <w:rFonts w:ascii="Times New Roman" w:hAnsiTheme="minorEastAsia" w:cs="Times New Roman" w:hint="eastAsia"/>
        </w:rPr>
        <w:t>本项目非正常情况下除臭装置故障、管理不当，除臭效率为</w:t>
      </w:r>
      <w:r>
        <w:rPr>
          <w:rFonts w:ascii="Times New Roman" w:hAnsiTheme="minorEastAsia" w:cs="Times New Roman" w:hint="eastAsia"/>
        </w:rPr>
        <w:t>30%</w:t>
      </w:r>
      <w:r>
        <w:rPr>
          <w:rFonts w:ascii="Times New Roman" w:hAnsiTheme="minorEastAsia" w:cs="Times New Roman" w:hint="eastAsia"/>
        </w:rPr>
        <w:t>，低氮燃烧器损坏，处理效率下降到</w:t>
      </w:r>
      <w:r>
        <w:rPr>
          <w:rFonts w:ascii="Times New Roman" w:hAnsiTheme="minorEastAsia" w:cs="Times New Roman" w:hint="eastAsia"/>
        </w:rPr>
        <w:t>0%</w:t>
      </w:r>
      <w:r>
        <w:rPr>
          <w:rFonts w:ascii="Times New Roman" w:hAnsiTheme="minorEastAsia" w:cs="Times New Roman" w:hint="eastAsia"/>
        </w:rPr>
        <w:t>考虑。</w:t>
      </w:r>
      <w:r>
        <w:rPr>
          <w:rFonts w:ascii="Times New Roman" w:eastAsia="宋体" w:hAnsi="Times New Roman" w:cs="Times New Roman"/>
        </w:rPr>
        <w:t>非正常排放分析见</w:t>
      </w:r>
      <w:r>
        <w:rPr>
          <w:rFonts w:ascii="Times New Roman" w:eastAsia="宋体" w:hAnsi="Times New Roman" w:cs="Times New Roman" w:hint="eastAsia"/>
        </w:rPr>
        <w:t>下表。</w:t>
      </w:r>
    </w:p>
    <w:p w14:paraId="0B1FC29A" w14:textId="77777777" w:rsidR="00B14D53" w:rsidRDefault="00B14D53">
      <w:pPr>
        <w:spacing w:line="360" w:lineRule="auto"/>
        <w:jc w:val="center"/>
        <w:rPr>
          <w:rFonts w:eastAsiaTheme="minorEastAsia" w:hAnsiTheme="minorEastAsia" w:hint="eastAsia"/>
          <w:b/>
          <w:bCs/>
          <w:kern w:val="0"/>
          <w:sz w:val="24"/>
          <w:lang w:eastAsia="en-US"/>
        </w:rPr>
      </w:pPr>
    </w:p>
    <w:p w14:paraId="5C7939C7" w14:textId="77777777" w:rsidR="00B14D53" w:rsidRDefault="00B14D53">
      <w:pPr>
        <w:spacing w:line="360" w:lineRule="auto"/>
        <w:jc w:val="center"/>
        <w:rPr>
          <w:rFonts w:eastAsiaTheme="minorEastAsia" w:hAnsiTheme="minorEastAsia" w:hint="eastAsia"/>
          <w:b/>
          <w:bCs/>
          <w:kern w:val="0"/>
          <w:sz w:val="24"/>
          <w:lang w:eastAsia="en-US"/>
        </w:rPr>
      </w:pPr>
    </w:p>
    <w:p w14:paraId="31AA6B19" w14:textId="77777777" w:rsidR="00B14D53" w:rsidRDefault="00B14D53">
      <w:pPr>
        <w:spacing w:line="360" w:lineRule="auto"/>
        <w:jc w:val="center"/>
        <w:rPr>
          <w:rFonts w:eastAsiaTheme="minorEastAsia" w:hAnsiTheme="minorEastAsia" w:hint="eastAsia"/>
          <w:b/>
          <w:bCs/>
          <w:kern w:val="0"/>
          <w:sz w:val="24"/>
          <w:lang w:eastAsia="en-US"/>
        </w:rPr>
      </w:pPr>
    </w:p>
    <w:p w14:paraId="71DB75D2" w14:textId="77777777" w:rsidR="00B14D53" w:rsidRDefault="00B14D53">
      <w:pPr>
        <w:spacing w:line="360" w:lineRule="auto"/>
        <w:jc w:val="center"/>
        <w:rPr>
          <w:rFonts w:eastAsiaTheme="minorEastAsia" w:hAnsiTheme="minorEastAsia" w:hint="eastAsia"/>
          <w:b/>
          <w:bCs/>
          <w:kern w:val="0"/>
          <w:sz w:val="24"/>
          <w:lang w:eastAsia="en-US"/>
        </w:rPr>
      </w:pPr>
    </w:p>
    <w:p w14:paraId="0B43EE08" w14:textId="77777777" w:rsidR="00B14D53" w:rsidRDefault="00B14D53">
      <w:pPr>
        <w:spacing w:line="360" w:lineRule="auto"/>
        <w:jc w:val="center"/>
        <w:rPr>
          <w:rFonts w:eastAsiaTheme="minorEastAsia" w:hAnsiTheme="minorEastAsia" w:hint="eastAsia"/>
          <w:b/>
          <w:bCs/>
          <w:kern w:val="0"/>
          <w:sz w:val="24"/>
          <w:lang w:eastAsia="en-US"/>
        </w:rPr>
      </w:pPr>
    </w:p>
    <w:p w14:paraId="480F5C62" w14:textId="77777777" w:rsidR="00B14D53" w:rsidRDefault="00000000">
      <w:pPr>
        <w:jc w:val="center"/>
        <w:rPr>
          <w:b/>
          <w:bCs/>
          <w:lang w:eastAsia="en-US"/>
        </w:rPr>
      </w:pPr>
      <w:r>
        <w:rPr>
          <w:b/>
          <w:bCs/>
          <w:lang w:eastAsia="en-US"/>
        </w:rPr>
        <w:t>表</w:t>
      </w:r>
      <w:r>
        <w:rPr>
          <w:b/>
          <w:bCs/>
          <w:lang w:eastAsia="en-US"/>
        </w:rPr>
        <w:t>5-2-1</w:t>
      </w:r>
      <w:r>
        <w:rPr>
          <w:rFonts w:hint="eastAsia"/>
          <w:b/>
          <w:bCs/>
        </w:rPr>
        <w:t xml:space="preserve">6 </w:t>
      </w:r>
      <w:r>
        <w:rPr>
          <w:b/>
          <w:bCs/>
          <w:lang w:eastAsia="en-US"/>
        </w:rPr>
        <w:t>非正常工况下废气污染物参数</w:t>
      </w:r>
    </w:p>
    <w:tbl>
      <w:tblPr>
        <w:tblW w:w="4994"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531"/>
        <w:gridCol w:w="1447"/>
        <w:gridCol w:w="1206"/>
        <w:gridCol w:w="720"/>
        <w:gridCol w:w="1012"/>
        <w:gridCol w:w="1035"/>
        <w:gridCol w:w="746"/>
        <w:gridCol w:w="748"/>
        <w:gridCol w:w="851"/>
      </w:tblGrid>
      <w:tr w:rsidR="00B14D53" w14:paraId="303777F1" w14:textId="77777777">
        <w:trPr>
          <w:trHeight w:val="306"/>
          <w:jc w:val="center"/>
        </w:trPr>
        <w:tc>
          <w:tcPr>
            <w:tcW w:w="322" w:type="pct"/>
            <w:tcBorders>
              <w:top w:val="single" w:sz="12" w:space="0" w:color="000000"/>
              <w:left w:val="nil"/>
              <w:bottom w:val="single" w:sz="4" w:space="0" w:color="auto"/>
              <w:right w:val="single" w:sz="6" w:space="0" w:color="auto"/>
            </w:tcBorders>
            <w:vAlign w:val="center"/>
          </w:tcPr>
          <w:p w14:paraId="1057ED47"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序号</w:t>
            </w:r>
          </w:p>
        </w:tc>
        <w:tc>
          <w:tcPr>
            <w:tcW w:w="873" w:type="pct"/>
            <w:tcBorders>
              <w:top w:val="single" w:sz="12" w:space="0" w:color="000000"/>
              <w:left w:val="single" w:sz="6" w:space="0" w:color="auto"/>
              <w:bottom w:val="single" w:sz="4" w:space="0" w:color="auto"/>
              <w:right w:val="single" w:sz="6" w:space="0" w:color="000000"/>
            </w:tcBorders>
            <w:vAlign w:val="center"/>
          </w:tcPr>
          <w:p w14:paraId="18366FD2"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正常排放源</w:t>
            </w:r>
          </w:p>
        </w:tc>
        <w:tc>
          <w:tcPr>
            <w:tcW w:w="727" w:type="pct"/>
            <w:tcBorders>
              <w:top w:val="single" w:sz="12" w:space="0" w:color="000000"/>
              <w:left w:val="single" w:sz="6" w:space="0" w:color="000000"/>
              <w:bottom w:val="single" w:sz="4" w:space="0" w:color="auto"/>
              <w:right w:val="single" w:sz="6" w:space="0" w:color="000000"/>
            </w:tcBorders>
            <w:vAlign w:val="center"/>
          </w:tcPr>
          <w:p w14:paraId="7B6C998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非正常排放原因</w:t>
            </w:r>
          </w:p>
        </w:tc>
        <w:tc>
          <w:tcPr>
            <w:tcW w:w="435" w:type="pct"/>
            <w:tcBorders>
              <w:top w:val="single" w:sz="12" w:space="0" w:color="000000"/>
              <w:left w:val="single" w:sz="6" w:space="0" w:color="000000"/>
              <w:bottom w:val="single" w:sz="4" w:space="0" w:color="auto"/>
              <w:right w:val="single" w:sz="6" w:space="0" w:color="000000"/>
            </w:tcBorders>
            <w:vAlign w:val="center"/>
          </w:tcPr>
          <w:p w14:paraId="104A28B5"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污染物</w:t>
            </w:r>
          </w:p>
        </w:tc>
        <w:tc>
          <w:tcPr>
            <w:tcW w:w="610" w:type="pct"/>
            <w:tcBorders>
              <w:top w:val="single" w:sz="12" w:space="0" w:color="000000"/>
              <w:left w:val="single" w:sz="6" w:space="0" w:color="auto"/>
              <w:bottom w:val="single" w:sz="4" w:space="0" w:color="auto"/>
              <w:right w:val="single" w:sz="6" w:space="0" w:color="000000"/>
            </w:tcBorders>
            <w:vAlign w:val="center"/>
          </w:tcPr>
          <w:p w14:paraId="080873CF" w14:textId="77777777" w:rsidR="00B14D53" w:rsidRDefault="00000000">
            <w:pPr>
              <w:jc w:val="center"/>
              <w:rPr>
                <w:b/>
                <w:bCs/>
                <w:kern w:val="0"/>
                <w:szCs w:val="21"/>
              </w:rPr>
            </w:pPr>
            <w:r>
              <w:rPr>
                <w:b/>
                <w:bCs/>
                <w:kern w:val="0"/>
                <w:szCs w:val="21"/>
              </w:rPr>
              <w:t>非正常排放浓度</w:t>
            </w:r>
            <w:r>
              <w:rPr>
                <w:b/>
                <w:bCs/>
                <w:kern w:val="0"/>
                <w:szCs w:val="21"/>
              </w:rPr>
              <w:t>/mg/m</w:t>
            </w:r>
            <w:r>
              <w:rPr>
                <w:b/>
                <w:bCs/>
                <w:kern w:val="0"/>
                <w:szCs w:val="21"/>
                <w:vertAlign w:val="superscript"/>
              </w:rPr>
              <w:t>3</w:t>
            </w:r>
          </w:p>
        </w:tc>
        <w:tc>
          <w:tcPr>
            <w:tcW w:w="612" w:type="pct"/>
            <w:tcBorders>
              <w:top w:val="single" w:sz="12" w:space="0" w:color="000000"/>
              <w:left w:val="single" w:sz="6" w:space="0" w:color="000000"/>
              <w:bottom w:val="single" w:sz="4" w:space="0" w:color="auto"/>
              <w:right w:val="single" w:sz="6" w:space="0" w:color="000000"/>
            </w:tcBorders>
            <w:vAlign w:val="center"/>
          </w:tcPr>
          <w:p w14:paraId="474F8DB0"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非正常排放速率（</w:t>
            </w:r>
            <w:r>
              <w:rPr>
                <w:rFonts w:ascii="Times New Roman" w:eastAsia="宋体" w:hAnsi="Times New Roman" w:cs="Times New Roman"/>
                <w:b/>
                <w:bCs/>
                <w:sz w:val="21"/>
                <w:szCs w:val="21"/>
              </w:rPr>
              <w:t>kg/h</w:t>
            </w:r>
            <w:r>
              <w:rPr>
                <w:rFonts w:ascii="Times New Roman" w:eastAsia="宋体" w:hAnsi="Times New Roman" w:cs="Times New Roman"/>
                <w:b/>
                <w:bCs/>
                <w:sz w:val="21"/>
                <w:szCs w:val="21"/>
              </w:rPr>
              <w:t>）</w:t>
            </w:r>
          </w:p>
        </w:tc>
        <w:tc>
          <w:tcPr>
            <w:tcW w:w="451" w:type="pct"/>
            <w:tcBorders>
              <w:top w:val="single" w:sz="12" w:space="0" w:color="000000"/>
              <w:left w:val="single" w:sz="6" w:space="0" w:color="000000"/>
              <w:bottom w:val="single" w:sz="4" w:space="0" w:color="auto"/>
              <w:right w:val="single" w:sz="6" w:space="0" w:color="000000"/>
            </w:tcBorders>
            <w:vAlign w:val="center"/>
          </w:tcPr>
          <w:p w14:paraId="51FB6956"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单次持续时间</w:t>
            </w:r>
            <w:r>
              <w:rPr>
                <w:rFonts w:ascii="Times New Roman" w:eastAsia="宋体" w:hAnsi="Times New Roman" w:cs="Times New Roman"/>
                <w:b/>
                <w:bCs/>
                <w:sz w:val="21"/>
                <w:szCs w:val="21"/>
              </w:rPr>
              <w:t>/h</w:t>
            </w:r>
          </w:p>
        </w:tc>
        <w:tc>
          <w:tcPr>
            <w:tcW w:w="452" w:type="pct"/>
            <w:tcBorders>
              <w:top w:val="single" w:sz="12" w:space="0" w:color="000000"/>
              <w:left w:val="single" w:sz="6" w:space="0" w:color="000000"/>
              <w:bottom w:val="single" w:sz="4" w:space="0" w:color="auto"/>
              <w:right w:val="single" w:sz="6" w:space="0" w:color="auto"/>
            </w:tcBorders>
            <w:vAlign w:val="center"/>
          </w:tcPr>
          <w:p w14:paraId="3504DE4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年发生频次</w:t>
            </w:r>
            <w:r>
              <w:rPr>
                <w:rFonts w:ascii="Times New Roman" w:eastAsia="宋体" w:hAnsi="Times New Roman" w:cs="Times New Roman"/>
                <w:b/>
                <w:bCs/>
                <w:sz w:val="21"/>
                <w:szCs w:val="21"/>
              </w:rPr>
              <w:t>/</w:t>
            </w:r>
            <w:r>
              <w:rPr>
                <w:rFonts w:ascii="Times New Roman" w:eastAsia="宋体" w:hAnsi="Times New Roman" w:cs="Times New Roman"/>
                <w:b/>
                <w:bCs/>
                <w:sz w:val="21"/>
                <w:szCs w:val="21"/>
              </w:rPr>
              <w:t>次</w:t>
            </w:r>
          </w:p>
        </w:tc>
        <w:tc>
          <w:tcPr>
            <w:tcW w:w="513" w:type="pct"/>
            <w:tcBorders>
              <w:top w:val="single" w:sz="12" w:space="0" w:color="000000"/>
              <w:left w:val="single" w:sz="6" w:space="0" w:color="auto"/>
              <w:bottom w:val="single" w:sz="4" w:space="0" w:color="auto"/>
              <w:right w:val="nil"/>
            </w:tcBorders>
            <w:vAlign w:val="center"/>
          </w:tcPr>
          <w:p w14:paraId="16CF77E6"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应该对措施</w:t>
            </w:r>
          </w:p>
        </w:tc>
      </w:tr>
      <w:tr w:rsidR="00B14D53" w14:paraId="2586ABF5" w14:textId="77777777">
        <w:trPr>
          <w:trHeight w:val="306"/>
          <w:jc w:val="center"/>
        </w:trPr>
        <w:tc>
          <w:tcPr>
            <w:tcW w:w="322" w:type="pct"/>
            <w:vMerge w:val="restart"/>
            <w:tcBorders>
              <w:top w:val="single" w:sz="4" w:space="0" w:color="auto"/>
              <w:left w:val="nil"/>
              <w:right w:val="single" w:sz="4" w:space="0" w:color="auto"/>
            </w:tcBorders>
            <w:vAlign w:val="center"/>
          </w:tcPr>
          <w:p w14:paraId="5B0113AB"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873" w:type="pct"/>
            <w:vMerge w:val="restart"/>
            <w:tcBorders>
              <w:top w:val="single" w:sz="4" w:space="0" w:color="auto"/>
              <w:left w:val="single" w:sz="4" w:space="0" w:color="auto"/>
              <w:right w:val="single" w:sz="4" w:space="0" w:color="auto"/>
            </w:tcBorders>
            <w:vAlign w:val="center"/>
          </w:tcPr>
          <w:p w14:paraId="535C6D06"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待宰圈</w:t>
            </w:r>
            <w:r>
              <w:rPr>
                <w:rFonts w:ascii="Times New Roman" w:eastAsia="宋体" w:hAnsi="Times New Roman" w:cs="Times New Roman"/>
                <w:sz w:val="21"/>
                <w:szCs w:val="21"/>
              </w:rPr>
              <w:t>排气筒（</w:t>
            </w:r>
            <w:r>
              <w:rPr>
                <w:rFonts w:ascii="Times New Roman" w:eastAsia="宋体" w:hAnsi="Times New Roman" w:cs="Times New Roman"/>
                <w:sz w:val="21"/>
                <w:szCs w:val="21"/>
              </w:rPr>
              <w:t>DA00</w:t>
            </w:r>
            <w:r>
              <w:rPr>
                <w:rFonts w:ascii="Times New Roman" w:hAnsi="Times New Roman" w:cs="Times New Roman"/>
                <w:sz w:val="21"/>
                <w:szCs w:val="21"/>
              </w:rPr>
              <w:t>1</w:t>
            </w:r>
            <w:r>
              <w:rPr>
                <w:rFonts w:ascii="Times New Roman" w:eastAsia="宋体" w:hAnsi="Times New Roman" w:cs="Times New Roman"/>
                <w:sz w:val="21"/>
                <w:szCs w:val="21"/>
              </w:rPr>
              <w:t>）</w:t>
            </w:r>
          </w:p>
        </w:tc>
        <w:tc>
          <w:tcPr>
            <w:tcW w:w="727" w:type="pct"/>
            <w:vMerge w:val="restart"/>
            <w:tcBorders>
              <w:top w:val="single" w:sz="4" w:space="0" w:color="auto"/>
              <w:left w:val="single" w:sz="4" w:space="0" w:color="auto"/>
              <w:right w:val="single" w:sz="4" w:space="0" w:color="auto"/>
            </w:tcBorders>
            <w:vAlign w:val="center"/>
          </w:tcPr>
          <w:p w14:paraId="1BCF5A38"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除臭装置故障、管理不当，除臭效率为</w:t>
            </w:r>
            <w:r>
              <w:rPr>
                <w:rFonts w:ascii="Times New Roman" w:eastAsia="宋体" w:hAnsi="Times New Roman" w:cs="Times New Roman"/>
                <w:sz w:val="21"/>
                <w:szCs w:val="21"/>
              </w:rPr>
              <w:t>30%</w:t>
            </w:r>
          </w:p>
        </w:tc>
        <w:tc>
          <w:tcPr>
            <w:tcW w:w="435" w:type="pct"/>
            <w:tcBorders>
              <w:top w:val="single" w:sz="4" w:space="0" w:color="auto"/>
              <w:left w:val="single" w:sz="4" w:space="0" w:color="auto"/>
              <w:bottom w:val="single" w:sz="4" w:space="0" w:color="auto"/>
              <w:right w:val="single" w:sz="4" w:space="0" w:color="auto"/>
            </w:tcBorders>
            <w:vAlign w:val="center"/>
          </w:tcPr>
          <w:p w14:paraId="7CC4E46A"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610" w:type="pct"/>
            <w:tcBorders>
              <w:top w:val="single" w:sz="4" w:space="0" w:color="auto"/>
              <w:left w:val="single" w:sz="4" w:space="0" w:color="auto"/>
              <w:bottom w:val="single" w:sz="4" w:space="0" w:color="auto"/>
              <w:right w:val="single" w:sz="4" w:space="0" w:color="auto"/>
            </w:tcBorders>
            <w:vAlign w:val="center"/>
          </w:tcPr>
          <w:p w14:paraId="287BC10D" w14:textId="77777777" w:rsidR="00B14D53" w:rsidRDefault="00000000">
            <w:pPr>
              <w:jc w:val="center"/>
              <w:rPr>
                <w:kern w:val="0"/>
                <w:szCs w:val="21"/>
              </w:rPr>
            </w:pPr>
            <w:r>
              <w:rPr>
                <w:kern w:val="0"/>
                <w:szCs w:val="21"/>
              </w:rPr>
              <w:t>4.5</w:t>
            </w:r>
          </w:p>
        </w:tc>
        <w:tc>
          <w:tcPr>
            <w:tcW w:w="612" w:type="pct"/>
            <w:tcBorders>
              <w:top w:val="single" w:sz="4" w:space="0" w:color="auto"/>
              <w:left w:val="single" w:sz="4" w:space="0" w:color="auto"/>
              <w:bottom w:val="single" w:sz="4" w:space="0" w:color="auto"/>
              <w:right w:val="single" w:sz="4" w:space="0" w:color="auto"/>
            </w:tcBorders>
            <w:vAlign w:val="center"/>
          </w:tcPr>
          <w:p w14:paraId="2EA9E405"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0.005</w:t>
            </w:r>
          </w:p>
        </w:tc>
        <w:tc>
          <w:tcPr>
            <w:tcW w:w="451" w:type="pct"/>
            <w:vMerge w:val="restart"/>
            <w:tcBorders>
              <w:top w:val="single" w:sz="4" w:space="0" w:color="auto"/>
              <w:left w:val="single" w:sz="4" w:space="0" w:color="auto"/>
              <w:right w:val="single" w:sz="4" w:space="0" w:color="auto"/>
            </w:tcBorders>
            <w:vAlign w:val="center"/>
          </w:tcPr>
          <w:p w14:paraId="469D548E"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1</w:t>
            </w:r>
          </w:p>
        </w:tc>
        <w:tc>
          <w:tcPr>
            <w:tcW w:w="452" w:type="pct"/>
            <w:vMerge w:val="restart"/>
            <w:tcBorders>
              <w:top w:val="single" w:sz="4" w:space="0" w:color="auto"/>
              <w:left w:val="single" w:sz="4" w:space="0" w:color="auto"/>
              <w:right w:val="single" w:sz="4" w:space="0" w:color="auto"/>
            </w:tcBorders>
            <w:vAlign w:val="center"/>
          </w:tcPr>
          <w:p w14:paraId="1CC1A308"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513" w:type="pct"/>
            <w:vMerge w:val="restart"/>
            <w:tcBorders>
              <w:top w:val="single" w:sz="4" w:space="0" w:color="auto"/>
              <w:left w:val="single" w:sz="4" w:space="0" w:color="auto"/>
              <w:right w:val="nil"/>
            </w:tcBorders>
            <w:vAlign w:val="center"/>
          </w:tcPr>
          <w:p w14:paraId="4B981C68"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及时检修，加强维护</w:t>
            </w:r>
          </w:p>
        </w:tc>
      </w:tr>
      <w:tr w:rsidR="00B14D53" w14:paraId="77B2D763" w14:textId="77777777">
        <w:trPr>
          <w:trHeight w:val="306"/>
          <w:jc w:val="center"/>
        </w:trPr>
        <w:tc>
          <w:tcPr>
            <w:tcW w:w="322" w:type="pct"/>
            <w:vMerge/>
            <w:tcBorders>
              <w:left w:val="nil"/>
              <w:bottom w:val="single" w:sz="4" w:space="0" w:color="auto"/>
              <w:right w:val="single" w:sz="4" w:space="0" w:color="auto"/>
            </w:tcBorders>
            <w:vAlign w:val="center"/>
          </w:tcPr>
          <w:p w14:paraId="3A7F983E"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873" w:type="pct"/>
            <w:vMerge/>
            <w:tcBorders>
              <w:left w:val="single" w:sz="4" w:space="0" w:color="auto"/>
              <w:bottom w:val="single" w:sz="4" w:space="0" w:color="auto"/>
              <w:right w:val="single" w:sz="4" w:space="0" w:color="auto"/>
            </w:tcBorders>
            <w:vAlign w:val="center"/>
          </w:tcPr>
          <w:p w14:paraId="4C004BE1"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727" w:type="pct"/>
            <w:vMerge/>
            <w:tcBorders>
              <w:left w:val="single" w:sz="4" w:space="0" w:color="auto"/>
              <w:right w:val="single" w:sz="4" w:space="0" w:color="auto"/>
            </w:tcBorders>
            <w:vAlign w:val="center"/>
          </w:tcPr>
          <w:p w14:paraId="426BC9E9"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35" w:type="pct"/>
            <w:tcBorders>
              <w:top w:val="single" w:sz="4" w:space="0" w:color="auto"/>
              <w:left w:val="single" w:sz="4" w:space="0" w:color="auto"/>
              <w:bottom w:val="single" w:sz="4" w:space="0" w:color="auto"/>
              <w:right w:val="single" w:sz="4" w:space="0" w:color="auto"/>
            </w:tcBorders>
            <w:vAlign w:val="center"/>
          </w:tcPr>
          <w:p w14:paraId="3C2DBAF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610" w:type="pct"/>
            <w:tcBorders>
              <w:top w:val="single" w:sz="4" w:space="0" w:color="auto"/>
              <w:left w:val="single" w:sz="4" w:space="0" w:color="auto"/>
              <w:bottom w:val="single" w:sz="4" w:space="0" w:color="auto"/>
              <w:right w:val="single" w:sz="4" w:space="0" w:color="auto"/>
            </w:tcBorders>
            <w:vAlign w:val="center"/>
          </w:tcPr>
          <w:p w14:paraId="4169C4CF" w14:textId="77777777" w:rsidR="00B14D53" w:rsidRDefault="00000000">
            <w:pPr>
              <w:jc w:val="center"/>
              <w:rPr>
                <w:kern w:val="0"/>
                <w:szCs w:val="21"/>
              </w:rPr>
            </w:pPr>
            <w:r>
              <w:rPr>
                <w:kern w:val="0"/>
                <w:szCs w:val="21"/>
              </w:rPr>
              <w:t>0.27</w:t>
            </w:r>
          </w:p>
        </w:tc>
        <w:tc>
          <w:tcPr>
            <w:tcW w:w="612" w:type="pct"/>
            <w:tcBorders>
              <w:top w:val="single" w:sz="4" w:space="0" w:color="auto"/>
              <w:left w:val="single" w:sz="4" w:space="0" w:color="auto"/>
              <w:bottom w:val="single" w:sz="4" w:space="0" w:color="auto"/>
              <w:right w:val="single" w:sz="4" w:space="0" w:color="auto"/>
            </w:tcBorders>
            <w:vAlign w:val="center"/>
          </w:tcPr>
          <w:p w14:paraId="11B00C7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hAnsi="Times New Roman" w:cs="Times New Roman"/>
                <w:kern w:val="0"/>
                <w:sz w:val="21"/>
                <w:szCs w:val="21"/>
              </w:rPr>
              <w:t>0.0003</w:t>
            </w:r>
          </w:p>
        </w:tc>
        <w:tc>
          <w:tcPr>
            <w:tcW w:w="451" w:type="pct"/>
            <w:vMerge/>
            <w:tcBorders>
              <w:left w:val="single" w:sz="4" w:space="0" w:color="auto"/>
              <w:right w:val="single" w:sz="4" w:space="0" w:color="auto"/>
            </w:tcBorders>
            <w:vAlign w:val="center"/>
          </w:tcPr>
          <w:p w14:paraId="29DA43B0"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52" w:type="pct"/>
            <w:vMerge/>
            <w:tcBorders>
              <w:left w:val="single" w:sz="4" w:space="0" w:color="auto"/>
              <w:right w:val="single" w:sz="4" w:space="0" w:color="auto"/>
            </w:tcBorders>
            <w:vAlign w:val="center"/>
          </w:tcPr>
          <w:p w14:paraId="35637B59"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13" w:type="pct"/>
            <w:vMerge/>
            <w:tcBorders>
              <w:left w:val="single" w:sz="4" w:space="0" w:color="auto"/>
              <w:right w:val="nil"/>
            </w:tcBorders>
            <w:vAlign w:val="center"/>
          </w:tcPr>
          <w:p w14:paraId="447FD8F4"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r>
      <w:tr w:rsidR="00B14D53" w14:paraId="08525A9F" w14:textId="77777777">
        <w:trPr>
          <w:trHeight w:val="306"/>
          <w:jc w:val="center"/>
        </w:trPr>
        <w:tc>
          <w:tcPr>
            <w:tcW w:w="322" w:type="pct"/>
            <w:vMerge w:val="restart"/>
            <w:tcBorders>
              <w:left w:val="nil"/>
              <w:right w:val="single" w:sz="4" w:space="0" w:color="auto"/>
            </w:tcBorders>
            <w:vAlign w:val="center"/>
          </w:tcPr>
          <w:p w14:paraId="22FDED7F"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873" w:type="pct"/>
            <w:vMerge w:val="restart"/>
            <w:tcBorders>
              <w:left w:val="single" w:sz="4" w:space="0" w:color="auto"/>
              <w:right w:val="single" w:sz="4" w:space="0" w:color="auto"/>
            </w:tcBorders>
            <w:vAlign w:val="center"/>
          </w:tcPr>
          <w:p w14:paraId="028CF6C9"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待宰圈</w:t>
            </w:r>
            <w:r>
              <w:rPr>
                <w:rFonts w:ascii="Times New Roman" w:eastAsia="宋体" w:hAnsi="Times New Roman" w:cs="Times New Roman"/>
                <w:sz w:val="21"/>
                <w:szCs w:val="21"/>
              </w:rPr>
              <w:t>排气筒（</w:t>
            </w:r>
            <w:r>
              <w:rPr>
                <w:rFonts w:ascii="Times New Roman" w:eastAsia="宋体" w:hAnsi="Times New Roman" w:cs="Times New Roman"/>
                <w:sz w:val="21"/>
                <w:szCs w:val="21"/>
              </w:rPr>
              <w:t>DA00</w:t>
            </w:r>
            <w:r>
              <w:rPr>
                <w:rFonts w:ascii="Times New Roman" w:hAnsi="Times New Roman" w:cs="Times New Roman"/>
                <w:sz w:val="21"/>
                <w:szCs w:val="21"/>
              </w:rPr>
              <w:t>2</w:t>
            </w:r>
            <w:r>
              <w:rPr>
                <w:rFonts w:ascii="Times New Roman" w:eastAsia="宋体" w:hAnsi="Times New Roman" w:cs="Times New Roman"/>
                <w:sz w:val="21"/>
                <w:szCs w:val="21"/>
              </w:rPr>
              <w:t>）</w:t>
            </w:r>
          </w:p>
        </w:tc>
        <w:tc>
          <w:tcPr>
            <w:tcW w:w="727" w:type="pct"/>
            <w:vMerge/>
            <w:tcBorders>
              <w:left w:val="single" w:sz="4" w:space="0" w:color="auto"/>
              <w:right w:val="single" w:sz="4" w:space="0" w:color="auto"/>
            </w:tcBorders>
            <w:vAlign w:val="center"/>
          </w:tcPr>
          <w:p w14:paraId="74E421BB"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35" w:type="pct"/>
            <w:tcBorders>
              <w:top w:val="single" w:sz="4" w:space="0" w:color="auto"/>
              <w:left w:val="single" w:sz="4" w:space="0" w:color="auto"/>
              <w:bottom w:val="single" w:sz="4" w:space="0" w:color="auto"/>
              <w:right w:val="single" w:sz="4" w:space="0" w:color="auto"/>
            </w:tcBorders>
            <w:vAlign w:val="center"/>
          </w:tcPr>
          <w:p w14:paraId="6EEF0349"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610" w:type="pct"/>
            <w:tcBorders>
              <w:top w:val="single" w:sz="4" w:space="0" w:color="auto"/>
              <w:left w:val="single" w:sz="4" w:space="0" w:color="auto"/>
              <w:bottom w:val="single" w:sz="4" w:space="0" w:color="auto"/>
              <w:right w:val="single" w:sz="4" w:space="0" w:color="auto"/>
            </w:tcBorders>
            <w:vAlign w:val="center"/>
          </w:tcPr>
          <w:p w14:paraId="625DFE21" w14:textId="77777777" w:rsidR="00B14D53" w:rsidRDefault="00000000">
            <w:pPr>
              <w:jc w:val="center"/>
              <w:rPr>
                <w:kern w:val="0"/>
                <w:szCs w:val="21"/>
              </w:rPr>
            </w:pPr>
            <w:r>
              <w:rPr>
                <w:kern w:val="0"/>
                <w:szCs w:val="21"/>
              </w:rPr>
              <w:t>11.01</w:t>
            </w:r>
          </w:p>
        </w:tc>
        <w:tc>
          <w:tcPr>
            <w:tcW w:w="612" w:type="pct"/>
            <w:tcBorders>
              <w:top w:val="single" w:sz="4" w:space="0" w:color="auto"/>
              <w:left w:val="single" w:sz="4" w:space="0" w:color="auto"/>
              <w:bottom w:val="single" w:sz="4" w:space="0" w:color="auto"/>
              <w:right w:val="single" w:sz="4" w:space="0" w:color="auto"/>
            </w:tcBorders>
            <w:vAlign w:val="center"/>
          </w:tcPr>
          <w:p w14:paraId="4AEB2682"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0.01</w:t>
            </w:r>
          </w:p>
        </w:tc>
        <w:tc>
          <w:tcPr>
            <w:tcW w:w="451" w:type="pct"/>
            <w:vMerge/>
            <w:tcBorders>
              <w:left w:val="single" w:sz="4" w:space="0" w:color="auto"/>
              <w:right w:val="single" w:sz="4" w:space="0" w:color="auto"/>
            </w:tcBorders>
            <w:vAlign w:val="center"/>
          </w:tcPr>
          <w:p w14:paraId="3A311FFF"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52" w:type="pct"/>
            <w:vMerge/>
            <w:tcBorders>
              <w:left w:val="single" w:sz="4" w:space="0" w:color="auto"/>
              <w:right w:val="single" w:sz="4" w:space="0" w:color="auto"/>
            </w:tcBorders>
            <w:vAlign w:val="center"/>
          </w:tcPr>
          <w:p w14:paraId="09A53A27"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13" w:type="pct"/>
            <w:vMerge/>
            <w:tcBorders>
              <w:left w:val="single" w:sz="4" w:space="0" w:color="auto"/>
              <w:right w:val="nil"/>
            </w:tcBorders>
            <w:vAlign w:val="center"/>
          </w:tcPr>
          <w:p w14:paraId="22B4ACB5"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r>
      <w:tr w:rsidR="00B14D53" w14:paraId="661FA3F8" w14:textId="77777777">
        <w:trPr>
          <w:trHeight w:val="306"/>
          <w:jc w:val="center"/>
        </w:trPr>
        <w:tc>
          <w:tcPr>
            <w:tcW w:w="322" w:type="pct"/>
            <w:vMerge/>
            <w:tcBorders>
              <w:left w:val="nil"/>
              <w:bottom w:val="single" w:sz="4" w:space="0" w:color="auto"/>
              <w:right w:val="single" w:sz="4" w:space="0" w:color="auto"/>
            </w:tcBorders>
            <w:vAlign w:val="center"/>
          </w:tcPr>
          <w:p w14:paraId="5A6B4872"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873" w:type="pct"/>
            <w:vMerge/>
            <w:tcBorders>
              <w:left w:val="single" w:sz="4" w:space="0" w:color="auto"/>
              <w:bottom w:val="single" w:sz="4" w:space="0" w:color="auto"/>
              <w:right w:val="single" w:sz="4" w:space="0" w:color="auto"/>
            </w:tcBorders>
            <w:vAlign w:val="center"/>
          </w:tcPr>
          <w:p w14:paraId="60C73094"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727" w:type="pct"/>
            <w:vMerge/>
            <w:tcBorders>
              <w:left w:val="single" w:sz="4" w:space="0" w:color="auto"/>
              <w:right w:val="single" w:sz="4" w:space="0" w:color="auto"/>
            </w:tcBorders>
            <w:vAlign w:val="center"/>
          </w:tcPr>
          <w:p w14:paraId="549F7E92"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35" w:type="pct"/>
            <w:tcBorders>
              <w:top w:val="single" w:sz="4" w:space="0" w:color="auto"/>
              <w:left w:val="single" w:sz="4" w:space="0" w:color="auto"/>
              <w:bottom w:val="single" w:sz="4" w:space="0" w:color="auto"/>
              <w:right w:val="single" w:sz="4" w:space="0" w:color="auto"/>
            </w:tcBorders>
            <w:vAlign w:val="center"/>
          </w:tcPr>
          <w:p w14:paraId="05C79AF5"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610" w:type="pct"/>
            <w:tcBorders>
              <w:top w:val="single" w:sz="4" w:space="0" w:color="auto"/>
              <w:left w:val="single" w:sz="4" w:space="0" w:color="auto"/>
              <w:bottom w:val="single" w:sz="4" w:space="0" w:color="auto"/>
              <w:right w:val="single" w:sz="4" w:space="0" w:color="auto"/>
            </w:tcBorders>
            <w:vAlign w:val="center"/>
          </w:tcPr>
          <w:p w14:paraId="55905C67" w14:textId="77777777" w:rsidR="00B14D53" w:rsidRDefault="00000000">
            <w:pPr>
              <w:jc w:val="center"/>
              <w:rPr>
                <w:kern w:val="0"/>
                <w:szCs w:val="21"/>
              </w:rPr>
            </w:pPr>
            <w:r>
              <w:rPr>
                <w:kern w:val="0"/>
                <w:szCs w:val="21"/>
              </w:rPr>
              <w:t>0.66</w:t>
            </w:r>
          </w:p>
        </w:tc>
        <w:tc>
          <w:tcPr>
            <w:tcW w:w="612" w:type="pct"/>
            <w:tcBorders>
              <w:top w:val="single" w:sz="4" w:space="0" w:color="auto"/>
              <w:left w:val="single" w:sz="4" w:space="0" w:color="auto"/>
              <w:bottom w:val="single" w:sz="4" w:space="0" w:color="auto"/>
              <w:right w:val="single" w:sz="4" w:space="0" w:color="auto"/>
            </w:tcBorders>
            <w:vAlign w:val="center"/>
          </w:tcPr>
          <w:p w14:paraId="1E35CC7D"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0.0007</w:t>
            </w:r>
          </w:p>
        </w:tc>
        <w:tc>
          <w:tcPr>
            <w:tcW w:w="451" w:type="pct"/>
            <w:vMerge/>
            <w:tcBorders>
              <w:left w:val="single" w:sz="4" w:space="0" w:color="auto"/>
              <w:right w:val="single" w:sz="4" w:space="0" w:color="auto"/>
            </w:tcBorders>
            <w:vAlign w:val="center"/>
          </w:tcPr>
          <w:p w14:paraId="10F28E90"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52" w:type="pct"/>
            <w:vMerge/>
            <w:tcBorders>
              <w:left w:val="single" w:sz="4" w:space="0" w:color="auto"/>
              <w:right w:val="single" w:sz="4" w:space="0" w:color="auto"/>
            </w:tcBorders>
            <w:vAlign w:val="center"/>
          </w:tcPr>
          <w:p w14:paraId="4453D1CD"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13" w:type="pct"/>
            <w:vMerge/>
            <w:tcBorders>
              <w:left w:val="single" w:sz="4" w:space="0" w:color="auto"/>
              <w:right w:val="nil"/>
            </w:tcBorders>
            <w:vAlign w:val="center"/>
          </w:tcPr>
          <w:p w14:paraId="5EA474BF"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r>
      <w:tr w:rsidR="00B14D53" w14:paraId="24759F3C" w14:textId="77777777">
        <w:trPr>
          <w:trHeight w:val="227"/>
          <w:jc w:val="center"/>
        </w:trPr>
        <w:tc>
          <w:tcPr>
            <w:tcW w:w="322" w:type="pct"/>
            <w:vMerge w:val="restart"/>
            <w:tcBorders>
              <w:top w:val="single" w:sz="4" w:space="0" w:color="auto"/>
              <w:left w:val="nil"/>
              <w:right w:val="single" w:sz="6" w:space="0" w:color="auto"/>
            </w:tcBorders>
            <w:vAlign w:val="center"/>
          </w:tcPr>
          <w:p w14:paraId="66E2401A"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873" w:type="pct"/>
            <w:vMerge w:val="restart"/>
            <w:tcBorders>
              <w:top w:val="single" w:sz="4" w:space="0" w:color="auto"/>
              <w:left w:val="single" w:sz="6" w:space="0" w:color="auto"/>
              <w:right w:val="single" w:sz="6" w:space="0" w:color="000000"/>
            </w:tcBorders>
            <w:vAlign w:val="center"/>
          </w:tcPr>
          <w:p w14:paraId="10C20B93"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屠宰车间排气筒（</w:t>
            </w:r>
            <w:r>
              <w:rPr>
                <w:rFonts w:ascii="Times New Roman" w:eastAsia="宋体" w:hAnsi="Times New Roman" w:cs="Times New Roman"/>
                <w:sz w:val="21"/>
                <w:szCs w:val="21"/>
              </w:rPr>
              <w:t>DA00</w:t>
            </w:r>
            <w:r>
              <w:rPr>
                <w:rFonts w:ascii="Times New Roman" w:hAnsi="Times New Roman" w:cs="Times New Roman"/>
                <w:sz w:val="21"/>
                <w:szCs w:val="21"/>
              </w:rPr>
              <w:t>3</w:t>
            </w:r>
            <w:r>
              <w:rPr>
                <w:rFonts w:ascii="Times New Roman" w:eastAsia="宋体" w:hAnsi="Times New Roman" w:cs="Times New Roman"/>
                <w:sz w:val="21"/>
                <w:szCs w:val="21"/>
              </w:rPr>
              <w:t>）</w:t>
            </w:r>
          </w:p>
        </w:tc>
        <w:tc>
          <w:tcPr>
            <w:tcW w:w="727" w:type="pct"/>
            <w:vMerge/>
            <w:tcBorders>
              <w:left w:val="single" w:sz="4" w:space="0" w:color="auto"/>
              <w:right w:val="single" w:sz="4" w:space="0" w:color="auto"/>
            </w:tcBorders>
            <w:vAlign w:val="center"/>
          </w:tcPr>
          <w:p w14:paraId="7F42CFFA"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35" w:type="pct"/>
            <w:tcBorders>
              <w:top w:val="single" w:sz="4" w:space="0" w:color="auto"/>
              <w:left w:val="single" w:sz="6" w:space="0" w:color="000000"/>
              <w:right w:val="single" w:sz="6" w:space="0" w:color="000000"/>
            </w:tcBorders>
            <w:vAlign w:val="center"/>
          </w:tcPr>
          <w:p w14:paraId="4131B842"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610" w:type="pct"/>
            <w:tcBorders>
              <w:top w:val="single" w:sz="4" w:space="0" w:color="auto"/>
              <w:left w:val="single" w:sz="6" w:space="0" w:color="auto"/>
              <w:bottom w:val="single" w:sz="6" w:space="0" w:color="000000"/>
              <w:right w:val="single" w:sz="6" w:space="0" w:color="000000"/>
            </w:tcBorders>
            <w:vAlign w:val="center"/>
          </w:tcPr>
          <w:p w14:paraId="2B76A15B" w14:textId="77777777" w:rsidR="00B14D53" w:rsidRDefault="00000000">
            <w:pPr>
              <w:widowControl/>
              <w:jc w:val="center"/>
              <w:textAlignment w:val="center"/>
              <w:rPr>
                <w:snapToGrid w:val="0"/>
                <w:szCs w:val="21"/>
              </w:rPr>
            </w:pPr>
            <w:r>
              <w:rPr>
                <w:snapToGrid w:val="0"/>
                <w:szCs w:val="21"/>
              </w:rPr>
              <w:t>0.68</w:t>
            </w:r>
          </w:p>
        </w:tc>
        <w:tc>
          <w:tcPr>
            <w:tcW w:w="612" w:type="pct"/>
            <w:tcBorders>
              <w:top w:val="single" w:sz="4" w:space="0" w:color="auto"/>
              <w:left w:val="single" w:sz="6" w:space="0" w:color="000000"/>
              <w:right w:val="single" w:sz="6" w:space="0" w:color="000000"/>
            </w:tcBorders>
            <w:vAlign w:val="center"/>
          </w:tcPr>
          <w:p w14:paraId="0118F0B0" w14:textId="77777777" w:rsidR="00B14D53" w:rsidRDefault="00000000">
            <w:pPr>
              <w:widowControl/>
              <w:jc w:val="center"/>
              <w:textAlignment w:val="center"/>
              <w:rPr>
                <w:snapToGrid w:val="0"/>
                <w:szCs w:val="21"/>
              </w:rPr>
            </w:pPr>
            <w:r>
              <w:rPr>
                <w:snapToGrid w:val="0"/>
                <w:szCs w:val="21"/>
              </w:rPr>
              <w:t>0.001</w:t>
            </w:r>
          </w:p>
        </w:tc>
        <w:tc>
          <w:tcPr>
            <w:tcW w:w="451" w:type="pct"/>
            <w:vMerge/>
            <w:tcBorders>
              <w:left w:val="single" w:sz="4" w:space="0" w:color="auto"/>
              <w:right w:val="single" w:sz="4" w:space="0" w:color="auto"/>
            </w:tcBorders>
            <w:vAlign w:val="center"/>
          </w:tcPr>
          <w:p w14:paraId="34D62E22"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52" w:type="pct"/>
            <w:vMerge/>
            <w:tcBorders>
              <w:left w:val="single" w:sz="4" w:space="0" w:color="auto"/>
              <w:right w:val="single" w:sz="4" w:space="0" w:color="auto"/>
            </w:tcBorders>
            <w:vAlign w:val="center"/>
          </w:tcPr>
          <w:p w14:paraId="17B4AFEA"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513" w:type="pct"/>
            <w:vMerge/>
            <w:tcBorders>
              <w:left w:val="single" w:sz="4" w:space="0" w:color="auto"/>
              <w:right w:val="nil"/>
            </w:tcBorders>
            <w:vAlign w:val="center"/>
          </w:tcPr>
          <w:p w14:paraId="09CD4FA8"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r>
      <w:tr w:rsidR="00B14D53" w14:paraId="5CFA17F0" w14:textId="77777777">
        <w:trPr>
          <w:trHeight w:val="147"/>
          <w:jc w:val="center"/>
        </w:trPr>
        <w:tc>
          <w:tcPr>
            <w:tcW w:w="322" w:type="pct"/>
            <w:vMerge/>
            <w:tcBorders>
              <w:left w:val="nil"/>
              <w:right w:val="single" w:sz="6" w:space="0" w:color="auto"/>
            </w:tcBorders>
            <w:vAlign w:val="center"/>
          </w:tcPr>
          <w:p w14:paraId="4F6A8FA9"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873" w:type="pct"/>
            <w:vMerge/>
            <w:tcBorders>
              <w:left w:val="single" w:sz="6" w:space="0" w:color="auto"/>
              <w:right w:val="single" w:sz="6" w:space="0" w:color="000000"/>
            </w:tcBorders>
            <w:vAlign w:val="center"/>
          </w:tcPr>
          <w:p w14:paraId="461613D5"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727" w:type="pct"/>
            <w:vMerge/>
            <w:tcBorders>
              <w:left w:val="single" w:sz="4" w:space="0" w:color="auto"/>
              <w:right w:val="single" w:sz="4" w:space="0" w:color="auto"/>
            </w:tcBorders>
            <w:vAlign w:val="center"/>
          </w:tcPr>
          <w:p w14:paraId="5803B4D5"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35" w:type="pct"/>
            <w:tcBorders>
              <w:left w:val="single" w:sz="6" w:space="0" w:color="000000"/>
              <w:right w:val="single" w:sz="6" w:space="0" w:color="000000"/>
            </w:tcBorders>
            <w:vAlign w:val="center"/>
          </w:tcPr>
          <w:p w14:paraId="213D4325"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610" w:type="pct"/>
            <w:tcBorders>
              <w:top w:val="single" w:sz="6" w:space="0" w:color="000000"/>
              <w:left w:val="single" w:sz="6" w:space="0" w:color="auto"/>
              <w:bottom w:val="single" w:sz="6" w:space="0" w:color="000000"/>
              <w:right w:val="single" w:sz="6" w:space="0" w:color="000000"/>
            </w:tcBorders>
            <w:vAlign w:val="center"/>
          </w:tcPr>
          <w:p w14:paraId="4645AE45" w14:textId="77777777" w:rsidR="00B14D53" w:rsidRDefault="00000000">
            <w:pPr>
              <w:widowControl/>
              <w:jc w:val="center"/>
              <w:textAlignment w:val="center"/>
              <w:rPr>
                <w:snapToGrid w:val="0"/>
                <w:szCs w:val="21"/>
              </w:rPr>
            </w:pPr>
            <w:r>
              <w:rPr>
                <w:snapToGrid w:val="0"/>
                <w:szCs w:val="21"/>
              </w:rPr>
              <w:t>0.02</w:t>
            </w:r>
          </w:p>
        </w:tc>
        <w:tc>
          <w:tcPr>
            <w:tcW w:w="612" w:type="pct"/>
            <w:tcBorders>
              <w:left w:val="single" w:sz="6" w:space="0" w:color="000000"/>
              <w:right w:val="single" w:sz="6" w:space="0" w:color="000000"/>
            </w:tcBorders>
            <w:vAlign w:val="center"/>
          </w:tcPr>
          <w:p w14:paraId="7A3B6002" w14:textId="77777777" w:rsidR="00B14D53" w:rsidRDefault="00000000">
            <w:pPr>
              <w:widowControl/>
              <w:jc w:val="center"/>
              <w:textAlignment w:val="center"/>
              <w:rPr>
                <w:snapToGrid w:val="0"/>
                <w:szCs w:val="21"/>
              </w:rPr>
            </w:pPr>
            <w:r>
              <w:rPr>
                <w:snapToGrid w:val="0"/>
                <w:szCs w:val="21"/>
              </w:rPr>
              <w:t>0.00004</w:t>
            </w:r>
          </w:p>
        </w:tc>
        <w:tc>
          <w:tcPr>
            <w:tcW w:w="451" w:type="pct"/>
            <w:vMerge/>
            <w:tcBorders>
              <w:left w:val="single" w:sz="4" w:space="0" w:color="auto"/>
              <w:right w:val="single" w:sz="4" w:space="0" w:color="auto"/>
            </w:tcBorders>
            <w:vAlign w:val="center"/>
          </w:tcPr>
          <w:p w14:paraId="52DF2FDA" w14:textId="77777777" w:rsidR="00B14D53" w:rsidRDefault="00B14D53">
            <w:pPr>
              <w:pStyle w:val="afff2"/>
              <w:spacing w:line="240" w:lineRule="auto"/>
              <w:rPr>
                <w:rFonts w:hAnsi="Times New Roman"/>
                <w:color w:val="FF0000"/>
              </w:rPr>
            </w:pPr>
          </w:p>
        </w:tc>
        <w:tc>
          <w:tcPr>
            <w:tcW w:w="452" w:type="pct"/>
            <w:vMerge/>
            <w:tcBorders>
              <w:left w:val="single" w:sz="4" w:space="0" w:color="auto"/>
              <w:right w:val="single" w:sz="4" w:space="0" w:color="auto"/>
            </w:tcBorders>
            <w:vAlign w:val="center"/>
          </w:tcPr>
          <w:p w14:paraId="573B933D"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c>
          <w:tcPr>
            <w:tcW w:w="513" w:type="pct"/>
            <w:vMerge/>
            <w:tcBorders>
              <w:left w:val="single" w:sz="4" w:space="0" w:color="auto"/>
              <w:right w:val="nil"/>
            </w:tcBorders>
            <w:vAlign w:val="center"/>
          </w:tcPr>
          <w:p w14:paraId="238C6B38"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r>
      <w:tr w:rsidR="00B14D53" w14:paraId="0EEEE2DA" w14:textId="77777777">
        <w:trPr>
          <w:trHeight w:val="147"/>
          <w:jc w:val="center"/>
        </w:trPr>
        <w:tc>
          <w:tcPr>
            <w:tcW w:w="322" w:type="pct"/>
            <w:vMerge w:val="restart"/>
            <w:tcBorders>
              <w:left w:val="nil"/>
              <w:right w:val="single" w:sz="6" w:space="0" w:color="auto"/>
            </w:tcBorders>
            <w:vAlign w:val="center"/>
          </w:tcPr>
          <w:p w14:paraId="01752ECE"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873" w:type="pct"/>
            <w:vMerge w:val="restart"/>
            <w:tcBorders>
              <w:left w:val="single" w:sz="6" w:space="0" w:color="auto"/>
              <w:right w:val="single" w:sz="6" w:space="0" w:color="000000"/>
            </w:tcBorders>
            <w:vAlign w:val="center"/>
          </w:tcPr>
          <w:p w14:paraId="0791356F"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污水处理站排气筒（</w:t>
            </w:r>
            <w:r>
              <w:rPr>
                <w:rFonts w:ascii="Times New Roman" w:eastAsia="宋体" w:hAnsi="Times New Roman" w:cs="Times New Roman"/>
                <w:sz w:val="21"/>
                <w:szCs w:val="21"/>
              </w:rPr>
              <w:t>DA00</w:t>
            </w:r>
            <w:r>
              <w:rPr>
                <w:rFonts w:ascii="Times New Roman" w:hAnsi="Times New Roman" w:cs="Times New Roman"/>
                <w:sz w:val="21"/>
                <w:szCs w:val="21"/>
              </w:rPr>
              <w:t>4</w:t>
            </w:r>
            <w:r>
              <w:rPr>
                <w:rFonts w:ascii="Times New Roman" w:eastAsia="宋体" w:hAnsi="Times New Roman" w:cs="Times New Roman"/>
                <w:sz w:val="21"/>
                <w:szCs w:val="21"/>
              </w:rPr>
              <w:t>）</w:t>
            </w:r>
          </w:p>
        </w:tc>
        <w:tc>
          <w:tcPr>
            <w:tcW w:w="727" w:type="pct"/>
            <w:vMerge/>
            <w:tcBorders>
              <w:left w:val="single" w:sz="4" w:space="0" w:color="auto"/>
              <w:right w:val="single" w:sz="4" w:space="0" w:color="auto"/>
            </w:tcBorders>
            <w:vAlign w:val="center"/>
          </w:tcPr>
          <w:p w14:paraId="68BB9753"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35" w:type="pct"/>
            <w:tcBorders>
              <w:left w:val="single" w:sz="6" w:space="0" w:color="000000"/>
              <w:right w:val="single" w:sz="6" w:space="0" w:color="000000"/>
            </w:tcBorders>
            <w:vAlign w:val="center"/>
          </w:tcPr>
          <w:p w14:paraId="7FA932BD"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610" w:type="pct"/>
            <w:tcBorders>
              <w:top w:val="single" w:sz="6" w:space="0" w:color="000000"/>
              <w:left w:val="single" w:sz="6" w:space="0" w:color="auto"/>
              <w:bottom w:val="single" w:sz="6" w:space="0" w:color="000000"/>
              <w:right w:val="single" w:sz="6" w:space="0" w:color="000000"/>
            </w:tcBorders>
            <w:vAlign w:val="center"/>
          </w:tcPr>
          <w:p w14:paraId="190C6E41" w14:textId="77777777" w:rsidR="00B14D53" w:rsidRDefault="00000000">
            <w:pPr>
              <w:widowControl/>
              <w:jc w:val="center"/>
              <w:textAlignment w:val="center"/>
              <w:rPr>
                <w:snapToGrid w:val="0"/>
                <w:szCs w:val="21"/>
              </w:rPr>
            </w:pPr>
            <w:r>
              <w:rPr>
                <w:snapToGrid w:val="0"/>
                <w:szCs w:val="21"/>
              </w:rPr>
              <w:t>6.7</w:t>
            </w:r>
          </w:p>
        </w:tc>
        <w:tc>
          <w:tcPr>
            <w:tcW w:w="612" w:type="pct"/>
            <w:tcBorders>
              <w:left w:val="single" w:sz="6" w:space="0" w:color="000000"/>
              <w:right w:val="single" w:sz="6" w:space="0" w:color="000000"/>
            </w:tcBorders>
            <w:vAlign w:val="center"/>
          </w:tcPr>
          <w:p w14:paraId="0CEE752E" w14:textId="77777777" w:rsidR="00B14D53" w:rsidRDefault="00000000">
            <w:pPr>
              <w:widowControl/>
              <w:jc w:val="center"/>
              <w:textAlignment w:val="center"/>
              <w:rPr>
                <w:bCs/>
                <w:szCs w:val="21"/>
              </w:rPr>
            </w:pPr>
            <w:r>
              <w:rPr>
                <w:bCs/>
                <w:szCs w:val="21"/>
              </w:rPr>
              <w:t>0.01</w:t>
            </w:r>
          </w:p>
        </w:tc>
        <w:tc>
          <w:tcPr>
            <w:tcW w:w="451" w:type="pct"/>
            <w:vMerge/>
            <w:tcBorders>
              <w:left w:val="single" w:sz="4" w:space="0" w:color="auto"/>
              <w:right w:val="single" w:sz="4" w:space="0" w:color="auto"/>
            </w:tcBorders>
            <w:vAlign w:val="center"/>
          </w:tcPr>
          <w:p w14:paraId="331216B7" w14:textId="77777777" w:rsidR="00B14D53" w:rsidRDefault="00B14D53">
            <w:pPr>
              <w:pStyle w:val="afff2"/>
              <w:spacing w:line="240" w:lineRule="auto"/>
              <w:rPr>
                <w:rFonts w:hAnsi="Times New Roman"/>
                <w:color w:val="FF0000"/>
              </w:rPr>
            </w:pPr>
          </w:p>
        </w:tc>
        <w:tc>
          <w:tcPr>
            <w:tcW w:w="452" w:type="pct"/>
            <w:vMerge/>
            <w:tcBorders>
              <w:left w:val="single" w:sz="4" w:space="0" w:color="auto"/>
              <w:right w:val="single" w:sz="4" w:space="0" w:color="auto"/>
            </w:tcBorders>
            <w:vAlign w:val="center"/>
          </w:tcPr>
          <w:p w14:paraId="57FE3C60"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c>
          <w:tcPr>
            <w:tcW w:w="513" w:type="pct"/>
            <w:vMerge/>
            <w:tcBorders>
              <w:left w:val="single" w:sz="4" w:space="0" w:color="auto"/>
              <w:right w:val="nil"/>
            </w:tcBorders>
            <w:vAlign w:val="center"/>
          </w:tcPr>
          <w:p w14:paraId="4F5F1D2B"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r>
      <w:tr w:rsidR="00B14D53" w14:paraId="61E6DF56" w14:textId="77777777">
        <w:trPr>
          <w:trHeight w:val="147"/>
          <w:jc w:val="center"/>
        </w:trPr>
        <w:tc>
          <w:tcPr>
            <w:tcW w:w="322" w:type="pct"/>
            <w:vMerge/>
            <w:tcBorders>
              <w:left w:val="nil"/>
              <w:right w:val="single" w:sz="6" w:space="0" w:color="auto"/>
            </w:tcBorders>
            <w:vAlign w:val="center"/>
          </w:tcPr>
          <w:p w14:paraId="7D816BB4"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873" w:type="pct"/>
            <w:vMerge/>
            <w:tcBorders>
              <w:left w:val="single" w:sz="6" w:space="0" w:color="auto"/>
              <w:right w:val="single" w:sz="6" w:space="0" w:color="000000"/>
            </w:tcBorders>
            <w:vAlign w:val="center"/>
          </w:tcPr>
          <w:p w14:paraId="690DE687"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727" w:type="pct"/>
            <w:vMerge/>
            <w:tcBorders>
              <w:left w:val="single" w:sz="4" w:space="0" w:color="auto"/>
              <w:right w:val="single" w:sz="4" w:space="0" w:color="auto"/>
            </w:tcBorders>
            <w:vAlign w:val="center"/>
          </w:tcPr>
          <w:p w14:paraId="5551B8E9"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sz w:val="21"/>
                <w:szCs w:val="21"/>
              </w:rPr>
            </w:pPr>
          </w:p>
        </w:tc>
        <w:tc>
          <w:tcPr>
            <w:tcW w:w="435" w:type="pct"/>
            <w:tcBorders>
              <w:left w:val="single" w:sz="6" w:space="0" w:color="000000"/>
              <w:right w:val="single" w:sz="6" w:space="0" w:color="000000"/>
            </w:tcBorders>
            <w:vAlign w:val="center"/>
          </w:tcPr>
          <w:p w14:paraId="3B2FA3C1" w14:textId="77777777" w:rsidR="00B14D53" w:rsidRDefault="00000000">
            <w:pPr>
              <w:pStyle w:val="afff"/>
              <w:adjustRightInd/>
              <w:snapToGrid/>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610" w:type="pct"/>
            <w:tcBorders>
              <w:top w:val="single" w:sz="6" w:space="0" w:color="000000"/>
              <w:left w:val="single" w:sz="6" w:space="0" w:color="auto"/>
              <w:bottom w:val="single" w:sz="12" w:space="0" w:color="auto"/>
              <w:right w:val="single" w:sz="6" w:space="0" w:color="000000"/>
            </w:tcBorders>
            <w:vAlign w:val="center"/>
          </w:tcPr>
          <w:p w14:paraId="2DA9E62D" w14:textId="77777777" w:rsidR="00B14D53" w:rsidRDefault="00000000">
            <w:pPr>
              <w:widowControl/>
              <w:jc w:val="center"/>
              <w:textAlignment w:val="center"/>
              <w:rPr>
                <w:snapToGrid w:val="0"/>
                <w:szCs w:val="21"/>
              </w:rPr>
            </w:pPr>
            <w:r>
              <w:rPr>
                <w:snapToGrid w:val="0"/>
                <w:szCs w:val="21"/>
              </w:rPr>
              <w:t>0.3</w:t>
            </w:r>
          </w:p>
        </w:tc>
        <w:tc>
          <w:tcPr>
            <w:tcW w:w="612" w:type="pct"/>
            <w:tcBorders>
              <w:left w:val="single" w:sz="6" w:space="0" w:color="000000"/>
              <w:right w:val="single" w:sz="6" w:space="0" w:color="000000"/>
            </w:tcBorders>
            <w:vAlign w:val="center"/>
          </w:tcPr>
          <w:p w14:paraId="69F015A0" w14:textId="77777777" w:rsidR="00B14D53" w:rsidRDefault="00000000">
            <w:pPr>
              <w:widowControl/>
              <w:jc w:val="center"/>
              <w:textAlignment w:val="center"/>
              <w:rPr>
                <w:bCs/>
                <w:szCs w:val="21"/>
              </w:rPr>
            </w:pPr>
            <w:r>
              <w:rPr>
                <w:bCs/>
                <w:szCs w:val="21"/>
              </w:rPr>
              <w:t>0.0005</w:t>
            </w:r>
          </w:p>
        </w:tc>
        <w:tc>
          <w:tcPr>
            <w:tcW w:w="451" w:type="pct"/>
            <w:vMerge/>
            <w:tcBorders>
              <w:left w:val="single" w:sz="4" w:space="0" w:color="auto"/>
              <w:right w:val="single" w:sz="4" w:space="0" w:color="auto"/>
            </w:tcBorders>
            <w:vAlign w:val="center"/>
          </w:tcPr>
          <w:p w14:paraId="3A7A8DB1" w14:textId="77777777" w:rsidR="00B14D53" w:rsidRDefault="00B14D53">
            <w:pPr>
              <w:pStyle w:val="afff2"/>
              <w:spacing w:line="240" w:lineRule="auto"/>
              <w:rPr>
                <w:rFonts w:hAnsi="Times New Roman"/>
                <w:color w:val="FF0000"/>
              </w:rPr>
            </w:pPr>
          </w:p>
        </w:tc>
        <w:tc>
          <w:tcPr>
            <w:tcW w:w="452" w:type="pct"/>
            <w:vMerge/>
            <w:tcBorders>
              <w:left w:val="single" w:sz="4" w:space="0" w:color="auto"/>
              <w:right w:val="single" w:sz="4" w:space="0" w:color="auto"/>
            </w:tcBorders>
            <w:vAlign w:val="center"/>
          </w:tcPr>
          <w:p w14:paraId="0A9A8EBA"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c>
          <w:tcPr>
            <w:tcW w:w="513" w:type="pct"/>
            <w:vMerge/>
            <w:tcBorders>
              <w:left w:val="single" w:sz="4" w:space="0" w:color="auto"/>
              <w:right w:val="nil"/>
            </w:tcBorders>
            <w:vAlign w:val="center"/>
          </w:tcPr>
          <w:p w14:paraId="66623DB9" w14:textId="77777777" w:rsidR="00B14D53" w:rsidRDefault="00B14D53">
            <w:pPr>
              <w:pStyle w:val="afff"/>
              <w:adjustRightInd/>
              <w:snapToGrid/>
              <w:spacing w:line="240" w:lineRule="auto"/>
              <w:ind w:firstLineChars="0" w:firstLine="0"/>
              <w:jc w:val="center"/>
              <w:rPr>
                <w:rFonts w:ascii="Times New Roman" w:eastAsia="宋体" w:hAnsi="Times New Roman" w:cs="Times New Roman"/>
                <w:color w:val="FF0000"/>
                <w:sz w:val="21"/>
                <w:szCs w:val="21"/>
              </w:rPr>
            </w:pPr>
          </w:p>
        </w:tc>
      </w:tr>
    </w:tbl>
    <w:p w14:paraId="7112CD1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5.2.1.3</w:t>
      </w:r>
      <w:r>
        <w:rPr>
          <w:rFonts w:ascii="Times New Roman" w:eastAsia="黑体" w:hAnsi="Times New Roman" w:cs="Times New Roman"/>
          <w:b w:val="0"/>
          <w:bCs w:val="0"/>
          <w:sz w:val="24"/>
          <w:szCs w:val="24"/>
        </w:rPr>
        <w:t>臭气浓度的分析与评价</w:t>
      </w:r>
    </w:p>
    <w:p w14:paraId="7953E0CB" w14:textId="77777777" w:rsidR="00B14D53" w:rsidRDefault="00000000">
      <w:pPr>
        <w:widowControl/>
        <w:autoSpaceDE w:val="0"/>
        <w:autoSpaceDN w:val="0"/>
        <w:spacing w:line="360" w:lineRule="auto"/>
        <w:ind w:firstLineChars="200" w:firstLine="480"/>
        <w:textAlignment w:val="baseline"/>
        <w:rPr>
          <w:kern w:val="24"/>
          <w:sz w:val="24"/>
        </w:rPr>
      </w:pPr>
      <w:r>
        <w:rPr>
          <w:kern w:val="24"/>
          <w:sz w:val="24"/>
        </w:rPr>
        <w:t>本项目恶臭主要来自</w:t>
      </w:r>
      <w:r>
        <w:rPr>
          <w:rFonts w:hint="eastAsia"/>
          <w:kern w:val="24"/>
          <w:sz w:val="24"/>
        </w:rPr>
        <w:t>待宰圈</w:t>
      </w:r>
      <w:r>
        <w:rPr>
          <w:kern w:val="24"/>
          <w:sz w:val="24"/>
        </w:rPr>
        <w:t>、屠宰车间、污水处理站，主要恶臭气体是氨、硫化氢、臭气浓度等，如未采取任何措施，这些恶臭气体会扩散至整个厂区及周围地区。在</w:t>
      </w:r>
      <w:r>
        <w:rPr>
          <w:rFonts w:hint="eastAsia"/>
          <w:kern w:val="24"/>
          <w:sz w:val="24"/>
        </w:rPr>
        <w:t>待宰圈</w:t>
      </w:r>
      <w:r>
        <w:rPr>
          <w:kern w:val="24"/>
          <w:sz w:val="24"/>
        </w:rPr>
        <w:t>、污水处理站、屠宰车间增加通风次数，去除恶臭气体；定期喷洒除臭剂；及时清理待宰圈及屠宰车间内的粪便、肠胃内容物、不可食用内脏等废弃物；</w:t>
      </w:r>
      <w:r>
        <w:rPr>
          <w:rFonts w:hint="eastAsia"/>
          <w:kern w:val="24"/>
          <w:sz w:val="24"/>
        </w:rPr>
        <w:t>待宰圈</w:t>
      </w:r>
      <w:r>
        <w:rPr>
          <w:kern w:val="24"/>
          <w:sz w:val="24"/>
        </w:rPr>
        <w:t>和屠宰车间及时清洗底面等措施后，臭气强度等级可降至</w:t>
      </w:r>
      <w:r>
        <w:rPr>
          <w:kern w:val="24"/>
          <w:sz w:val="24"/>
        </w:rPr>
        <w:t>1</w:t>
      </w:r>
      <w:r>
        <w:rPr>
          <w:kern w:val="24"/>
          <w:sz w:val="24"/>
        </w:rPr>
        <w:t>级以下，对应臭气浓度</w:t>
      </w:r>
      <w:r>
        <w:rPr>
          <w:kern w:val="24"/>
          <w:sz w:val="24"/>
        </w:rPr>
        <w:t>&lt;20</w:t>
      </w:r>
      <w:r>
        <w:rPr>
          <w:kern w:val="24"/>
          <w:sz w:val="24"/>
        </w:rPr>
        <w:t>（无量纲），对周围环境的影响大大降低，满足</w:t>
      </w:r>
      <w:r>
        <w:rPr>
          <w:kern w:val="21"/>
          <w:sz w:val="24"/>
        </w:rPr>
        <w:t>《恶臭污染物排放标准》（</w:t>
      </w:r>
      <w:r>
        <w:rPr>
          <w:kern w:val="21"/>
          <w:sz w:val="24"/>
        </w:rPr>
        <w:t>GB14554-93</w:t>
      </w:r>
      <w:r>
        <w:rPr>
          <w:kern w:val="21"/>
          <w:sz w:val="24"/>
        </w:rPr>
        <w:t>）中二级新扩改建无组织标准</w:t>
      </w:r>
      <w:r>
        <w:rPr>
          <w:kern w:val="24"/>
          <w:sz w:val="24"/>
        </w:rPr>
        <w:t>：</w:t>
      </w:r>
      <w:r>
        <w:rPr>
          <w:kern w:val="24"/>
          <w:sz w:val="24"/>
        </w:rPr>
        <w:t>&lt;20</w:t>
      </w:r>
      <w:r>
        <w:rPr>
          <w:kern w:val="24"/>
          <w:sz w:val="24"/>
        </w:rPr>
        <w:t>（无量纲）。</w:t>
      </w:r>
    </w:p>
    <w:p w14:paraId="21E3D757" w14:textId="77777777" w:rsidR="00B14D53" w:rsidRDefault="00000000">
      <w:pPr>
        <w:widowControl/>
        <w:autoSpaceDE w:val="0"/>
        <w:autoSpaceDN w:val="0"/>
        <w:spacing w:line="360" w:lineRule="auto"/>
        <w:ind w:firstLineChars="200" w:firstLine="480"/>
        <w:textAlignment w:val="baseline"/>
        <w:rPr>
          <w:color w:val="FF0000"/>
          <w:sz w:val="24"/>
        </w:rPr>
      </w:pPr>
      <w:r>
        <w:rPr>
          <w:kern w:val="24"/>
          <w:sz w:val="24"/>
        </w:rPr>
        <w:t>本项目厂址边界</w:t>
      </w:r>
      <w:r>
        <w:rPr>
          <w:rFonts w:hint="eastAsia"/>
          <w:kern w:val="24"/>
          <w:sz w:val="24"/>
        </w:rPr>
        <w:t>200m</w:t>
      </w:r>
      <w:r>
        <w:rPr>
          <w:rFonts w:hint="eastAsia"/>
          <w:kern w:val="24"/>
          <w:sz w:val="24"/>
        </w:rPr>
        <w:t>内无环境空气敏感目标</w:t>
      </w:r>
      <w:r>
        <w:rPr>
          <w:kern w:val="24"/>
          <w:sz w:val="24"/>
        </w:rPr>
        <w:t>，且项目在采取防治措施后，能够满足</w:t>
      </w:r>
      <w:r>
        <w:rPr>
          <w:rFonts w:hint="eastAsia"/>
          <w:kern w:val="24"/>
          <w:sz w:val="24"/>
        </w:rPr>
        <w:t>标准要求</w:t>
      </w:r>
      <w:r>
        <w:rPr>
          <w:kern w:val="24"/>
          <w:sz w:val="24"/>
        </w:rPr>
        <w:t>，项目产生的</w:t>
      </w:r>
      <w:r>
        <w:rPr>
          <w:rFonts w:hint="eastAsia"/>
          <w:kern w:val="24"/>
          <w:sz w:val="24"/>
        </w:rPr>
        <w:t>恶臭气体</w:t>
      </w:r>
      <w:r>
        <w:rPr>
          <w:kern w:val="24"/>
          <w:sz w:val="24"/>
        </w:rPr>
        <w:t>对周边环境影响较小。</w:t>
      </w:r>
    </w:p>
    <w:p w14:paraId="3CC8E75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5.2.1.</w:t>
      </w:r>
      <w:r>
        <w:rPr>
          <w:rFonts w:ascii="Times New Roman" w:eastAsia="黑体" w:hAnsi="Times New Roman" w:cs="Times New Roman" w:hint="eastAsia"/>
          <w:b w:val="0"/>
          <w:bCs w:val="0"/>
          <w:sz w:val="24"/>
          <w:szCs w:val="24"/>
        </w:rPr>
        <w:t>4</w:t>
      </w:r>
      <w:r>
        <w:rPr>
          <w:rFonts w:ascii="Times New Roman" w:eastAsia="黑体" w:hAnsi="Times New Roman" w:cs="Times New Roman"/>
          <w:b w:val="0"/>
          <w:bCs w:val="0"/>
          <w:sz w:val="24"/>
          <w:szCs w:val="24"/>
        </w:rPr>
        <w:t>大气环境防护距离的确定</w:t>
      </w:r>
    </w:p>
    <w:p w14:paraId="0260D4EC" w14:textId="77777777" w:rsidR="00B14D53" w:rsidRDefault="00000000">
      <w:pPr>
        <w:spacing w:line="360" w:lineRule="auto"/>
        <w:ind w:firstLineChars="200" w:firstLine="480"/>
        <w:rPr>
          <w:rFonts w:eastAsiaTheme="minorEastAsia" w:hAnsiTheme="minorEastAsia" w:hint="eastAsia"/>
          <w:sz w:val="24"/>
        </w:rPr>
      </w:pPr>
      <w:bookmarkStart w:id="214" w:name="_Hlk5036530"/>
      <w:bookmarkStart w:id="215" w:name="_Hlk6561858"/>
      <w:r>
        <w:rPr>
          <w:rFonts w:eastAsiaTheme="minorEastAsia" w:hAnsiTheme="minorEastAsia" w:hint="eastAsia"/>
          <w:sz w:val="24"/>
        </w:rPr>
        <w:t>根据《环境影响评价技术导则—大气环境》（</w:t>
      </w:r>
      <w:r>
        <w:rPr>
          <w:rFonts w:eastAsiaTheme="minorEastAsia" w:hAnsiTheme="minorEastAsia" w:hint="eastAsia"/>
          <w:sz w:val="24"/>
        </w:rPr>
        <w:t>HJ2.2-2018</w:t>
      </w:r>
      <w:r>
        <w:rPr>
          <w:rFonts w:eastAsiaTheme="minorEastAsia" w:hAnsiTheme="minorEastAsia" w:hint="eastAsia"/>
          <w:sz w:val="24"/>
        </w:rPr>
        <w:t>）中关于大气环境防护距离要求，根据估算模型计算结果，本项目大气环境评价工作等级为二级，不进行进一步预测与评价，厂界外污染物短期贡献浓度值未超过环境质量短期浓度标准值，因此不设置大气环境防护距</w:t>
      </w:r>
      <w:r>
        <w:rPr>
          <w:rFonts w:eastAsiaTheme="minorEastAsia" w:hAnsiTheme="minorEastAsia"/>
          <w:sz w:val="24"/>
        </w:rPr>
        <w:t>离。</w:t>
      </w:r>
    </w:p>
    <w:p w14:paraId="57D5180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5.2.1.5</w:t>
      </w:r>
      <w:r>
        <w:rPr>
          <w:rFonts w:ascii="Times New Roman" w:eastAsia="黑体" w:hAnsi="Times New Roman" w:cs="Times New Roman"/>
          <w:b w:val="0"/>
          <w:bCs w:val="0"/>
          <w:sz w:val="24"/>
          <w:szCs w:val="24"/>
        </w:rPr>
        <w:t>卫生防护距离</w:t>
      </w:r>
    </w:p>
    <w:p w14:paraId="2508C561" w14:textId="77777777" w:rsidR="00B14D53" w:rsidRDefault="00000000">
      <w:pPr>
        <w:spacing w:line="360" w:lineRule="auto"/>
        <w:ind w:firstLineChars="200" w:firstLine="480"/>
        <w:rPr>
          <w:rFonts w:eastAsiaTheme="minorEastAsia" w:hAnsiTheme="minorEastAsia" w:hint="eastAsia"/>
          <w:bCs/>
          <w:sz w:val="24"/>
        </w:rPr>
      </w:pPr>
      <w:r>
        <w:rPr>
          <w:rFonts w:eastAsiaTheme="minorEastAsia" w:hAnsiTheme="minorEastAsia"/>
          <w:bCs/>
          <w:sz w:val="24"/>
        </w:rPr>
        <w:t>根据《大气有害物质无组织排放卫生防护距离推导技术导则》（</w:t>
      </w:r>
      <w:r>
        <w:rPr>
          <w:rFonts w:eastAsiaTheme="minorEastAsia" w:hAnsiTheme="minorEastAsia"/>
          <w:bCs/>
          <w:sz w:val="24"/>
        </w:rPr>
        <w:t>GB/T39499-2020</w:t>
      </w:r>
      <w:r>
        <w:rPr>
          <w:rFonts w:eastAsiaTheme="minorEastAsia" w:hAnsiTheme="minorEastAsia"/>
          <w:bCs/>
          <w:sz w:val="24"/>
        </w:rPr>
        <w:t>）</w:t>
      </w:r>
      <w:r>
        <w:rPr>
          <w:rFonts w:eastAsiaTheme="minorEastAsia" w:hAnsiTheme="minorEastAsia" w:hint="eastAsia"/>
          <w:bCs/>
          <w:sz w:val="24"/>
        </w:rPr>
        <w:t>计算出各生产单元防护距离为</w:t>
      </w:r>
      <w:r>
        <w:rPr>
          <w:rFonts w:eastAsiaTheme="minorEastAsia" w:hAnsiTheme="minorEastAsia" w:hint="eastAsia"/>
          <w:bCs/>
          <w:sz w:val="24"/>
        </w:rPr>
        <w:t>50m</w:t>
      </w:r>
      <w:r>
        <w:rPr>
          <w:rFonts w:eastAsiaTheme="minorEastAsia" w:hAnsiTheme="minorEastAsia" w:hint="eastAsia"/>
          <w:bCs/>
          <w:sz w:val="24"/>
        </w:rPr>
        <w:t>（具体计算过程见</w:t>
      </w:r>
      <w:r>
        <w:rPr>
          <w:rFonts w:eastAsiaTheme="minorEastAsia" w:hAnsiTheme="minorEastAsia" w:hint="eastAsia"/>
          <w:bCs/>
          <w:sz w:val="24"/>
        </w:rPr>
        <w:t>1.4.11</w:t>
      </w:r>
      <w:r>
        <w:rPr>
          <w:rFonts w:eastAsiaTheme="minorEastAsia" w:hAnsiTheme="minorEastAsia" w:hint="eastAsia"/>
          <w:bCs/>
          <w:sz w:val="24"/>
        </w:rPr>
        <w:t>）。各生产单元均位于厂界内，本项目保守考虑，以厂界外延</w:t>
      </w:r>
      <w:r>
        <w:rPr>
          <w:rFonts w:eastAsiaTheme="minorEastAsia" w:hAnsiTheme="minorEastAsia" w:hint="eastAsia"/>
          <w:bCs/>
          <w:sz w:val="24"/>
        </w:rPr>
        <w:t>50m</w:t>
      </w:r>
      <w:r>
        <w:rPr>
          <w:rFonts w:eastAsiaTheme="minorEastAsia" w:hAnsiTheme="minorEastAsia" w:hint="eastAsia"/>
          <w:bCs/>
          <w:sz w:val="24"/>
        </w:rPr>
        <w:t>设置防护距离。该卫生防护距离范围内无居民点等环境敏感目标。建议防护距离内不再建设学校、医院、居民区等环境敏感目标。</w:t>
      </w:r>
    </w:p>
    <w:p w14:paraId="5C88E11E" w14:textId="77777777" w:rsidR="00B14D53" w:rsidRDefault="00000000">
      <w:pPr>
        <w:pStyle w:val="af2"/>
        <w:spacing w:after="0" w:line="360" w:lineRule="auto"/>
      </w:pPr>
      <w:r>
        <w:rPr>
          <w:noProof/>
        </w:rPr>
        <mc:AlternateContent>
          <mc:Choice Requires="wps">
            <w:drawing>
              <wp:anchor distT="0" distB="0" distL="114300" distR="114300" simplePos="0" relativeHeight="251744256" behindDoc="0" locked="0" layoutInCell="1" allowOverlap="1" wp14:anchorId="516F2855" wp14:editId="306B32EA">
                <wp:simplePos x="0" y="0"/>
                <wp:positionH relativeFrom="column">
                  <wp:posOffset>4064000</wp:posOffset>
                </wp:positionH>
                <wp:positionV relativeFrom="paragraph">
                  <wp:posOffset>2964180</wp:posOffset>
                </wp:positionV>
                <wp:extent cx="263525" cy="139065"/>
                <wp:effectExtent l="9525" t="9525" r="12700" b="22860"/>
                <wp:wrapNone/>
                <wp:docPr id="72" name="圆角矩形 72"/>
                <wp:cNvGraphicFramePr/>
                <a:graphic xmlns:a="http://schemas.openxmlformats.org/drawingml/2006/main">
                  <a:graphicData uri="http://schemas.microsoft.com/office/word/2010/wordprocessingShape">
                    <wps:wsp>
                      <wps:cNvSpPr/>
                      <wps:spPr>
                        <a:xfrm>
                          <a:off x="5207000" y="6871335"/>
                          <a:ext cx="263525" cy="139065"/>
                        </a:xfrm>
                        <a:prstGeom prst="roundRect">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320pt;margin-top:233.4pt;height:10.95pt;width:20.75pt;z-index:251744256;v-text-anchor:middle;mso-width-relative:page;mso-height-relative:page;" filled="f" stroked="t" coordsize="21600,21600" arcsize="0.166666666666667" o:gfxdata="UEsDBAoAAAAAAIdO4kAAAAAAAAAAAAAAAAAEAAAAZHJzL1BLAwQUAAAACACHTuJAA7MovdsAAAAL&#10;AQAADwAAAGRycy9kb3ducmV2LnhtbE2Py0rEQBBF94L/0JTgRpxOhtg2MZ2BEdwIIhMfuOxJVx7Y&#10;j5juef295WpcVtXl1jnV6ugs2+Mcx+AV5IsMGPo2mNH3Ct7fnm4lsJi0N9oGjwpOGGFVX15UujTh&#10;4De4b1LPqMTHUisYUppKzmM7oNNxESb0dOvC7HSice65mfWByp3lyywT3OnR04dBT/g4YPvd7JyC&#10;9cfz18tnc7LTxt68/vCiW65lp9T1VZ49AEt4TOcw/OETOtTEtA07byKzCkSRkUtSUAhBDpQQMr8D&#10;tqWNlPfA64r/d6h/AVBLAwQUAAAACACHTuJAy2Vj/X0CAADMBAAADgAAAGRycy9lMm9Eb2MueG1s&#10;rVRLbhNBEN0jcYdW78mMx7GdWBlHViwjpAgiAmLd7unxjNQ/utufcAAOwBoJiQ3iEBwngmPwumfy&#10;IbDIAi/aVVNvXlW9rpqT072SZCucb40u6eAgp0RobqpWr0v69s3y2RElPjBdMWm0KOmV8PR09vTJ&#10;yc5ORWEaIyvhCEi0n+5sSZsQ7DTLPG+EYv7AWKERrI1TLMB166xybAd2JbMiz8fZzrjKOsOF93i6&#10;6IK0Z3SPITR13XKxMHyjhA4dqxOSBbTkm9Z6OkvV1rXg4VVdexGILCk6DelEEtireGazEzZdO2ab&#10;lvclsMeU8KAnxVqNpLdUCxYY2bj2LyrVcme8qcMBNyrrGkmKoItB/kCby4ZZkXqB1N7eiu7/Hy1/&#10;ub1wpK1KOiko0Uzhxq8/f/z17dPPL9+vf3wleAyNdtZPAb20F673PMzY8L52Kv6jFbIv6ajIJ3kO&#10;da9KOj6aDIbDUaex2AfCASjGw1ExooQDMBge5+MUz+6IrPPhuTCKRKOkzmx09Rr3mORl23MfUAHw&#10;N7iYXJtlK2W6S6nJDszH+QhFcIYBrTEYMJVFk16vKWFyjcnnwSVKb2RbxdcjkXfr1Zl0ZMswL0v8&#10;0EqX7g9YzL1gvulwKdTDpEZxUa1On2itTHUFjZ3phs9bvmzx/jnz4YI5TBsKxT6GVzhqaVC96S1K&#10;GuM+/Ot5xGMIEKVkh+lFZ+83zAlK5AuN8TgeHB6CNiTncDQp4Lj7kdX9iN6oM4OGB9h8y5MZ8UHe&#10;mLUz6h3Wdh6zIsQ0R+5Ow945C91WYfG5mM8TDCNuWTjXl5ZH8u6m5ptg6jZd4p06vWgY8nS3/ULG&#10;LbrvJ9TdR2j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OzKL3bAAAACwEAAA8AAAAAAAAAAQAg&#10;AAAAIgAAAGRycy9kb3ducmV2LnhtbFBLAQIUABQAAAAIAIdO4kDLZWP9fQIAAMwEAAAOAAAAAAAA&#10;AAEAIAAAACoBAABkcnMvZTJvRG9jLnhtbFBLBQYAAAAABgAGAFkBAAAZBgAAAAA=&#10;">
                <v:fill on="f" focussize="0,0"/>
                <v:stroke weight="1.5pt" color="#FFFF00 [2404]" joinstyle="round"/>
                <v:imagedata o:title=""/>
                <o:lock v:ext="edit" aspectratio="f"/>
              </v:roundrect>
            </w:pict>
          </mc:Fallback>
        </mc:AlternateContent>
      </w:r>
      <w:r>
        <w:rPr>
          <w:noProof/>
        </w:rPr>
        <mc:AlternateContent>
          <mc:Choice Requires="wps">
            <w:drawing>
              <wp:anchor distT="0" distB="0" distL="114300" distR="114300" simplePos="0" relativeHeight="251743232" behindDoc="0" locked="0" layoutInCell="1" allowOverlap="1" wp14:anchorId="1B8CF7B4" wp14:editId="0A076CD1">
                <wp:simplePos x="0" y="0"/>
                <wp:positionH relativeFrom="column">
                  <wp:posOffset>4050665</wp:posOffset>
                </wp:positionH>
                <wp:positionV relativeFrom="paragraph">
                  <wp:posOffset>2766695</wp:posOffset>
                </wp:positionV>
                <wp:extent cx="234315" cy="146685"/>
                <wp:effectExtent l="9525" t="9525" r="22860" b="15240"/>
                <wp:wrapNone/>
                <wp:docPr id="66" name="矩形 66"/>
                <wp:cNvGraphicFramePr/>
                <a:graphic xmlns:a="http://schemas.openxmlformats.org/drawingml/2006/main">
                  <a:graphicData uri="http://schemas.microsoft.com/office/word/2010/wordprocessingShape">
                    <wps:wsp>
                      <wps:cNvSpPr/>
                      <wps:spPr>
                        <a:xfrm>
                          <a:off x="5221605" y="6652895"/>
                          <a:ext cx="234315" cy="146685"/>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18.95pt;margin-top:217.85pt;height:11.55pt;width:18.45pt;z-index:251743232;v-text-anchor:middle;mso-width-relative:page;mso-height-relative:page;" filled="f" stroked="t" coordsize="21600,21600" o:gfxdata="UEsDBAoAAAAAAIdO4kAAAAAAAAAAAAAAAAAEAAAAZHJzL1BLAwQUAAAACACHTuJAsl5ATtoAAAAL&#10;AQAADwAAAGRycy9kb3ducmV2LnhtbE2PwU7DMAyG70i8Q2QkbixdtzWlNJ0EEkIgDjDgnrVeWy1x&#10;qiZrx9tjTnC0/en395fbs7NiwjH0njQsFwkIpNo3PbUaPj8eb3IQIRpqjPWEGr4xwLa6vChN0fiZ&#10;3nHaxVZwCIXCaOhiHAopQ92hM2HhByS+HfzoTORxbGUzmpnDnZVpkmTSmZ74Q2cGfOiwPu5OTsOb&#10;Px6k/UrTF3X/lKpnl8/t9Kr19dUyuQMR8Rz/YPjVZ3Wo2GnvT9QEYTVkK3XLqIb1aqNAMJGpNZfZ&#10;82aT5yCrUv7vUP0AUEsDBBQAAAAIAIdO4kB1pQv8awIAAMEEAAAOAAAAZHJzL2Uyb0RvYy54bWyt&#10;VEtu2zAQ3RfoHQjuG31iu4kROTBiuCgQNAHSomuaoiwB/JWkLaeXKdBdD5HjFL1GHynl07SLLOoF&#10;PaN5esN5M6Oz84OSZC+c74yuaHGUUyI0N3WntxX99HH95oQSH5iumTRaVPRWeHq+eP3qrLdzUZrW&#10;yFo4AhLt572taBuCnWeZ561QzB8ZKzSCjXGKBbhum9WO9WBXMivzfJb1xtXWGS68x9PVEKQjo3sJ&#10;oWmajouV4TsldBhYnZAsoCTfdtbTRbpt0wgerprGi0BkRVFpSCeSwN7EM1ucsfnWMdt2fLwCe8kV&#10;ntWkWKeR9IFqxQIjO9f9RaU67ow3TTjiRmVDIUkRVFHkz7S5aZkVqRZI7e2D6P7/0fIP+2tHurqi&#10;sxklmil0/Ne3Hz/vvhM8gDq99XOAbuy1Gz0PM5Z6aJyK/yiCHCo6Lctilk8puY1c0/LkdDqoKw6B&#10;cADK48lxgTgHoJjMZicpnj0SWefDO2EUiUZFHZqXNGX7Sx+QHNB7SMyrzbqTMjVQatKD9DSfoq+c&#10;YSobTANMZVGZ11tKmNxi3HlwidIb2dXx9Ujk3XZzIR3ZMwzJep3jF2+OdH/AYu4V8+2AS6ERJjXQ&#10;UahBmmhtTH0LYZ0ZJs5bvu7w/iXz4Zo5jBguiiUMVzgaaXB7M1qUtMZ9/dfziEfnEaWkx8iisi87&#10;5gQl8r3GTJwWk0mc8eRMpm9LOO5pZPM0onfqwqDgAutueTIjPsh7s3FGfcauLmNWhJjmyD1oODoX&#10;YVglbDsXy2WCYa4tC5f6xvJIPnRquQum6VITH9UZRcNkJ7HHLYyr89RPqMcvz+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l5ATtoAAAALAQAADwAAAAAAAAABACAAAAAiAAAAZHJzL2Rvd25yZXYu&#10;eG1sUEsBAhQAFAAAAAgAh07iQHWlC/xrAgAAwQQAAA4AAAAAAAAAAQAgAAAAKQEAAGRycy9lMm9E&#10;b2MueG1sUEsFBgAAAAAGAAYAWQEAAAYGAAAAAA==&#10;">
                <v:fill on="f" focussize="0,0"/>
                <v:stroke weight="1.5pt" color="#FF0000 [2404]" joinstyle="round"/>
                <v:imagedata o:title=""/>
                <o:lock v:ext="edit" aspectratio="f"/>
              </v:rect>
            </w:pict>
          </mc:Fallback>
        </mc:AlternateContent>
      </w:r>
      <w:r>
        <w:rPr>
          <w:noProof/>
        </w:rPr>
        <mc:AlternateContent>
          <mc:Choice Requires="wps">
            <w:drawing>
              <wp:anchor distT="0" distB="0" distL="114300" distR="114300" simplePos="0" relativeHeight="251742208" behindDoc="0" locked="0" layoutInCell="1" allowOverlap="1" wp14:anchorId="59E638C9" wp14:editId="701D4CF6">
                <wp:simplePos x="0" y="0"/>
                <wp:positionH relativeFrom="column">
                  <wp:posOffset>3968750</wp:posOffset>
                </wp:positionH>
                <wp:positionV relativeFrom="paragraph">
                  <wp:posOffset>2459990</wp:posOffset>
                </wp:positionV>
                <wp:extent cx="1295400" cy="748030"/>
                <wp:effectExtent l="4445" t="4445" r="14605" b="9525"/>
                <wp:wrapNone/>
                <wp:docPr id="45" name="矩形 45"/>
                <wp:cNvGraphicFramePr/>
                <a:graphic xmlns:a="http://schemas.openxmlformats.org/drawingml/2006/main">
                  <a:graphicData uri="http://schemas.microsoft.com/office/word/2010/wordprocessingShape">
                    <wps:wsp>
                      <wps:cNvSpPr/>
                      <wps:spPr>
                        <a:xfrm>
                          <a:off x="5594350" y="6544310"/>
                          <a:ext cx="1295400" cy="748030"/>
                        </a:xfrm>
                        <a:prstGeom prst="rect">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78FA948" w14:textId="77777777" w:rsidR="00B14D53" w:rsidRDefault="00000000">
                            <w:pPr>
                              <w:jc w:val="center"/>
                              <w:rPr>
                                <w:color w:val="000000" w:themeColor="text1"/>
                                <w:szCs w:val="21"/>
                              </w:rPr>
                            </w:pPr>
                            <w:r>
                              <w:rPr>
                                <w:rFonts w:hint="eastAsia"/>
                                <w:color w:val="000000" w:themeColor="text1"/>
                                <w:szCs w:val="21"/>
                              </w:rPr>
                              <w:t>图例</w:t>
                            </w:r>
                          </w:p>
                          <w:p w14:paraId="6D5E0F36" w14:textId="77777777" w:rsidR="00B14D53" w:rsidRDefault="00000000">
                            <w:pPr>
                              <w:pStyle w:val="af2"/>
                              <w:spacing w:after="0"/>
                              <w:ind w:firstLineChars="200" w:firstLine="420"/>
                              <w:rPr>
                                <w:color w:val="000000" w:themeColor="text1"/>
                                <w:szCs w:val="21"/>
                              </w:rPr>
                            </w:pPr>
                            <w:r>
                              <w:rPr>
                                <w:rFonts w:hint="eastAsia"/>
                                <w:color w:val="000000" w:themeColor="text1"/>
                                <w:szCs w:val="21"/>
                              </w:rPr>
                              <w:t>厂界</w:t>
                            </w:r>
                          </w:p>
                          <w:p w14:paraId="4C7A8593" w14:textId="77777777" w:rsidR="00B14D53" w:rsidRDefault="00000000">
                            <w:pPr>
                              <w:pStyle w:val="NormalWeb1"/>
                              <w:ind w:firstLineChars="200" w:firstLine="420"/>
                              <w:rPr>
                                <w:sz w:val="21"/>
                              </w:rPr>
                            </w:pPr>
                            <w:r>
                              <w:rPr>
                                <w:rFonts w:hint="eastAsia"/>
                                <w:color w:val="000000" w:themeColor="text1"/>
                                <w:sz w:val="21"/>
                              </w:rPr>
                              <w:t>卫生防护范围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12.5pt;margin-top:193.7pt;height:58.9pt;width:102pt;z-index:251742208;v-text-anchor:middle;mso-width-relative:page;mso-height-relative:page;" fillcolor="#FFFFFF [3212]" filled="t" stroked="t" coordsize="21600,21600" o:gfxdata="UEsDBAoAAAAAAIdO4kAAAAAAAAAAAAAAAAAEAAAAZHJzL1BLAwQUAAAACACHTuJAlfnYJtsAAAAL&#10;AQAADwAAAGRycy9kb3ducmV2LnhtbE2PzU7DMBCE70i8g7VI3KidQJoQ4lSiEhKcKAGpVyde4oh4&#10;ncbuH0+POcFxdkaz31Srkx3ZAWc/OJKQLAQwpM7pgXoJH+9PNwUwHxRpNTpCCWf0sKovLypVanek&#10;Nzw0oWexhHypJJgQppJz3xm0yi/chBS9TzdbFaKce65ndYzlduSpEEtu1UDxg1ETrg12X83eSsDW&#10;5LvzJtl1z+uX17HJt9+Pfivl9VUiHoAFPIW/MPziR3SoI1Pr9qQ9GyUs0yxuCRJui/wOWEwU6X28&#10;tBIykaXA64r/31D/AFBLAwQUAAAACACHTuJAMkLCn3cCAAD1BAAADgAAAGRycy9lMm9Eb2MueG1s&#10;rVRLbtswEN0X6B0I7hvJjpSPETkwYrgoEDQB3KJrmqIsAfyVpD/pZQp010P0OEWv0UdKSZw0iyyq&#10;hTQjPr2ZeTOji8u9kmQrnO+MrujoKKdEaG7qTq8r+vnT4t0ZJT4wXTNptKjonfD0cvr2zcXOTsTY&#10;tEbWwhGQaD/Z2Yq2IdhJlnneCsX8kbFC47AxTrEA162z2rEd2JXMxnl+ku2Mq60zXHiPt/P+kA6M&#10;7jWEpmk6LuaGb5TQoWd1QrKAknzbWU+nKdumETzcNI0XgciKotKQ7ggCexXv2fSCTdaO2bbjQwrs&#10;NSk8q0mxTiPoA9WcBUY2rvuHSnXcGW+acMSNyvpCkiKoYpQ/02bZMitSLZDa2wfR/f+j5R+3t450&#10;dUWLkhLNFDr+5/vP379+ELyAOjvrJwAt7a0bPA8zlrpvnIpPFEH2FS3L8+K4hK53FT0pi+J4NKgr&#10;9oFwAEbj87LIAeBAnBZn+XECZI9M1vnwXhhFolFRh+4lUdn22gdEB/QeEgN7I7t60UmZHLdeXUlH&#10;tgydXqQrpo9PnsCkJjvklxLlDOPbYGyQkrKQwOs1JUyusRc8uBT6ycf+MEaerpdixBznzLd9Lolh&#10;gEmNjKKivYbRCvvVfhB2Zeo7NMOZfkq95YsOVNfMh1vmMJbQDosbbnBrpEEdZrAoaY379tL7iMe0&#10;4JSSHcYcRX7dMCcokR805uh8VBSgDckpytMxHHd4sjo80Rt1ZaDvCL8Iy5MZ8UHem40z6gv2exaj&#10;4ohpjti9nINzFfr1wx+Ci9kswbALloVrvbQ8ksd+ajPbBNN0qe9RqF6dQT9sQ+rtsLlx3Q79hHr8&#10;W0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X52CbbAAAACwEAAA8AAAAAAAAAAQAgAAAAIgAA&#10;AGRycy9kb3ducmV2LnhtbFBLAQIUABQAAAAIAIdO4kAyQsKfdwIAAPUEAAAOAAAAAAAAAAEAIAAA&#10;ACoBAABkcnMvZTJvRG9jLnhtbFBLBQYAAAAABgAGAFkBAAATBgAAAAA=&#10;">
                <v:fill on="t" focussize="0,0"/>
                <v:stroke weight="0.5pt" color="#000000 [3213]" joinstyle="round"/>
                <v:imagedata o:title=""/>
                <o:lock v:ext="edit" aspectratio="f"/>
                <v:textbox>
                  <w:txbxContent>
                    <w:p w14:paraId="2E4B2997">
                      <w:pPr>
                        <w:keepNext w:val="0"/>
                        <w:keepLines w:val="0"/>
                        <w:pageBreakBefore w:val="0"/>
                        <w:widowControl w:val="0"/>
                        <w:kinsoku/>
                        <w:wordWrap/>
                        <w:overflowPunct/>
                        <w:topLinePunct w:val="0"/>
                        <w:bidi w:val="0"/>
                        <w:adjustRightInd/>
                        <w:snapToGrid/>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图例</w:t>
                      </w:r>
                    </w:p>
                    <w:p w14:paraId="0ABAC40D">
                      <w:pPr>
                        <w:pStyle w:val="21"/>
                        <w:keepNext w:val="0"/>
                        <w:keepLines w:val="0"/>
                        <w:pageBreakBefore w:val="0"/>
                        <w:widowControl w:val="0"/>
                        <w:kinsoku/>
                        <w:wordWrap/>
                        <w:overflowPunct/>
                        <w:topLinePunct w:val="0"/>
                        <w:bidi w:val="0"/>
                        <w:adjustRightInd/>
                        <w:snapToGrid/>
                        <w:spacing w:after="0"/>
                        <w:ind w:firstLine="420" w:firstLineChars="20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w:t>
                      </w:r>
                    </w:p>
                    <w:p w14:paraId="784A91FC">
                      <w:pPr>
                        <w:pStyle w:val="22"/>
                        <w:ind w:firstLine="420" w:firstLineChars="200"/>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卫生防护范围</w:t>
                      </w:r>
                    </w:p>
                  </w:txbxContent>
                </v:textbox>
              </v:rect>
            </w:pict>
          </mc:Fallback>
        </mc:AlternateContent>
      </w:r>
      <w:r>
        <w:rPr>
          <w:noProof/>
        </w:rPr>
        <w:drawing>
          <wp:anchor distT="0" distB="0" distL="114300" distR="114300" simplePos="0" relativeHeight="251741184" behindDoc="0" locked="0" layoutInCell="1" allowOverlap="1" wp14:anchorId="2F1E6052" wp14:editId="3B61F372">
            <wp:simplePos x="0" y="0"/>
            <wp:positionH relativeFrom="column">
              <wp:posOffset>4680585</wp:posOffset>
            </wp:positionH>
            <wp:positionV relativeFrom="paragraph">
              <wp:posOffset>101600</wp:posOffset>
            </wp:positionV>
            <wp:extent cx="586740" cy="586740"/>
            <wp:effectExtent l="0" t="0" r="3810" b="3810"/>
            <wp:wrapNone/>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56"/>
                    <a:stretch>
                      <a:fillRect/>
                    </a:stretch>
                  </pic:blipFill>
                  <pic:spPr>
                    <a:xfrm>
                      <a:off x="0" y="0"/>
                      <a:ext cx="586740" cy="586740"/>
                    </a:xfrm>
                    <a:prstGeom prst="rect">
                      <a:avLst/>
                    </a:prstGeom>
                    <a:noFill/>
                    <a:ln>
                      <a:noFill/>
                    </a:ln>
                  </pic:spPr>
                </pic:pic>
              </a:graphicData>
            </a:graphic>
          </wp:anchor>
        </w:drawing>
      </w:r>
      <w:r>
        <w:rPr>
          <w:noProof/>
        </w:rPr>
        <w:drawing>
          <wp:inline distT="0" distB="0" distL="114300" distR="114300" wp14:anchorId="37C52518" wp14:editId="212CEAE7">
            <wp:extent cx="5267960" cy="3381375"/>
            <wp:effectExtent l="9525" t="9525" r="18415" b="190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7"/>
                    <a:stretch>
                      <a:fillRect/>
                    </a:stretch>
                  </pic:blipFill>
                  <pic:spPr>
                    <a:xfrm>
                      <a:off x="0" y="0"/>
                      <a:ext cx="5267960" cy="3381375"/>
                    </a:xfrm>
                    <a:prstGeom prst="rect">
                      <a:avLst/>
                    </a:prstGeom>
                    <a:noFill/>
                    <a:ln>
                      <a:solidFill>
                        <a:schemeClr val="tx1"/>
                      </a:solidFill>
                    </a:ln>
                  </pic:spPr>
                </pic:pic>
              </a:graphicData>
            </a:graphic>
          </wp:inline>
        </w:drawing>
      </w:r>
    </w:p>
    <w:p w14:paraId="0A3135A9" w14:textId="77777777" w:rsidR="00B14D53" w:rsidRDefault="00000000">
      <w:pPr>
        <w:jc w:val="center"/>
        <w:rPr>
          <w:b/>
          <w:bCs/>
        </w:rPr>
      </w:pPr>
      <w:r>
        <w:rPr>
          <w:rFonts w:hint="eastAsia"/>
          <w:b/>
          <w:bCs/>
        </w:rPr>
        <w:t>图</w:t>
      </w:r>
      <w:r>
        <w:rPr>
          <w:rFonts w:hint="eastAsia"/>
          <w:b/>
          <w:bCs/>
        </w:rPr>
        <w:t xml:space="preserve">5-2-1 </w:t>
      </w:r>
      <w:r>
        <w:rPr>
          <w:rFonts w:hint="eastAsia"/>
          <w:b/>
          <w:bCs/>
        </w:rPr>
        <w:t>卫生防护距离图</w:t>
      </w:r>
    </w:p>
    <w:p w14:paraId="1CE44E3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5.2.1.</w:t>
      </w:r>
      <w:r>
        <w:rPr>
          <w:rFonts w:ascii="Times New Roman" w:eastAsia="黑体" w:hAnsi="Times New Roman" w:cs="Times New Roman" w:hint="eastAsia"/>
          <w:b w:val="0"/>
          <w:bCs w:val="0"/>
          <w:sz w:val="24"/>
          <w:szCs w:val="24"/>
        </w:rPr>
        <w:t>6</w:t>
      </w:r>
      <w:r>
        <w:rPr>
          <w:rFonts w:ascii="Times New Roman" w:eastAsia="黑体" w:hAnsi="Times New Roman" w:cs="Times New Roman"/>
          <w:b w:val="0"/>
          <w:bCs w:val="0"/>
          <w:sz w:val="24"/>
          <w:szCs w:val="24"/>
        </w:rPr>
        <w:t>大气环境影响分析结论</w:t>
      </w:r>
    </w:p>
    <w:p w14:paraId="7D9A5CB0" w14:textId="77777777" w:rsidR="00B14D53" w:rsidRDefault="00000000">
      <w:pPr>
        <w:spacing w:line="360" w:lineRule="auto"/>
        <w:ind w:firstLineChars="200" w:firstLine="480"/>
        <w:rPr>
          <w:sz w:val="24"/>
          <w:lang w:bidi="ar"/>
        </w:rPr>
      </w:pPr>
      <w:r>
        <w:rPr>
          <w:rFonts w:eastAsiaTheme="minorEastAsia" w:hAnsiTheme="minorEastAsia"/>
          <w:sz w:val="24"/>
        </w:rPr>
        <w:t>本项目</w:t>
      </w:r>
      <w:r>
        <w:rPr>
          <w:rFonts w:eastAsiaTheme="minorEastAsia" w:hAnsiTheme="minorEastAsia" w:hint="eastAsia"/>
          <w:sz w:val="24"/>
        </w:rPr>
        <w:t>待</w:t>
      </w:r>
      <w:r>
        <w:rPr>
          <w:rFonts w:eastAsiaTheme="minorEastAsia" w:hAnsiTheme="minorEastAsia" w:hint="eastAsia"/>
          <w:bCs/>
          <w:sz w:val="24"/>
        </w:rPr>
        <w:t>宰圈</w:t>
      </w:r>
      <w:r>
        <w:rPr>
          <w:rFonts w:eastAsiaTheme="minorEastAsia" w:hAnsiTheme="minorEastAsia"/>
          <w:bCs/>
          <w:sz w:val="24"/>
        </w:rPr>
        <w:t>封闭，</w:t>
      </w:r>
      <w:r>
        <w:rPr>
          <w:rFonts w:eastAsiaTheme="minorEastAsia" w:hAnsiTheme="minorEastAsia" w:hint="eastAsia"/>
          <w:bCs/>
          <w:sz w:val="24"/>
        </w:rPr>
        <w:t>两个待宰圈分别</w:t>
      </w:r>
      <w:r>
        <w:rPr>
          <w:rFonts w:eastAsiaTheme="minorEastAsia" w:hAnsiTheme="minorEastAsia"/>
          <w:bCs/>
          <w:sz w:val="24"/>
        </w:rPr>
        <w:t>采用</w:t>
      </w:r>
      <w:r>
        <w:rPr>
          <w:rFonts w:eastAsiaTheme="minorEastAsia" w:hAnsiTheme="minorEastAsia" w:hint="eastAsia"/>
          <w:bCs/>
          <w:sz w:val="24"/>
        </w:rPr>
        <w:t>引风机集中收集</w:t>
      </w:r>
      <w:r>
        <w:rPr>
          <w:rFonts w:eastAsiaTheme="minorEastAsia" w:hAnsiTheme="minorEastAsia"/>
          <w:bCs/>
          <w:sz w:val="24"/>
        </w:rPr>
        <w:t>恶臭污染物，同时待宰圈经过及时清扫并定期喷洒生物除臭剂可降低臭气浓度，</w:t>
      </w:r>
      <w:r>
        <w:rPr>
          <w:rFonts w:eastAsiaTheme="minorEastAsia" w:hAnsiTheme="minorEastAsia" w:hint="eastAsia"/>
          <w:bCs/>
          <w:sz w:val="24"/>
        </w:rPr>
        <w:t>收集</w:t>
      </w:r>
      <w:r>
        <w:rPr>
          <w:rFonts w:eastAsiaTheme="minorEastAsia" w:hAnsiTheme="minorEastAsia"/>
          <w:bCs/>
          <w:sz w:val="24"/>
        </w:rPr>
        <w:t>的废气</w:t>
      </w:r>
      <w:r>
        <w:rPr>
          <w:rFonts w:eastAsiaTheme="minorEastAsia" w:hAnsiTheme="minorEastAsia" w:hint="eastAsia"/>
          <w:bCs/>
          <w:sz w:val="24"/>
        </w:rPr>
        <w:t>分别经活性炭</w:t>
      </w:r>
      <w:r>
        <w:rPr>
          <w:rFonts w:eastAsiaTheme="minorEastAsia" w:hAnsiTheme="minorEastAsia"/>
          <w:bCs/>
          <w:sz w:val="24"/>
        </w:rPr>
        <w:t>吸附净化后</w:t>
      </w:r>
      <w:r>
        <w:rPr>
          <w:rFonts w:eastAsiaTheme="minorEastAsia" w:hAnsiTheme="minorEastAsia" w:hint="eastAsia"/>
          <w:bCs/>
          <w:sz w:val="24"/>
        </w:rPr>
        <w:t>由</w:t>
      </w:r>
      <w:r>
        <w:rPr>
          <w:rFonts w:eastAsiaTheme="minorEastAsia" w:hAnsiTheme="minorEastAsia" w:hint="eastAsia"/>
          <w:bCs/>
          <w:sz w:val="24"/>
        </w:rPr>
        <w:t>2</w:t>
      </w:r>
      <w:r>
        <w:rPr>
          <w:rFonts w:eastAsiaTheme="minorEastAsia" w:hAnsiTheme="minorEastAsia" w:hint="eastAsia"/>
          <w:bCs/>
          <w:sz w:val="24"/>
        </w:rPr>
        <w:t>根</w:t>
      </w:r>
      <w:r>
        <w:rPr>
          <w:rFonts w:eastAsiaTheme="minorEastAsia" w:hAnsiTheme="minorEastAsia"/>
          <w:bCs/>
          <w:sz w:val="24"/>
        </w:rPr>
        <w:t>15m</w:t>
      </w:r>
      <w:r>
        <w:rPr>
          <w:rFonts w:eastAsiaTheme="minorEastAsia" w:hAnsiTheme="minorEastAsia"/>
          <w:bCs/>
          <w:sz w:val="24"/>
        </w:rPr>
        <w:t>高排气筒（</w:t>
      </w:r>
      <w:r>
        <w:rPr>
          <w:rFonts w:eastAsiaTheme="minorEastAsia" w:hAnsiTheme="minorEastAsia"/>
          <w:bCs/>
          <w:sz w:val="24"/>
        </w:rPr>
        <w:t>DA00</w:t>
      </w:r>
      <w:r>
        <w:rPr>
          <w:rFonts w:eastAsiaTheme="minorEastAsia" w:hAnsiTheme="minorEastAsia" w:hint="eastAsia"/>
          <w:bCs/>
          <w:sz w:val="24"/>
        </w:rPr>
        <w:t>1</w:t>
      </w:r>
      <w:r>
        <w:rPr>
          <w:rFonts w:eastAsiaTheme="minorEastAsia" w:hAnsiTheme="minorEastAsia" w:hint="eastAsia"/>
          <w:bCs/>
          <w:sz w:val="24"/>
        </w:rPr>
        <w:t>、</w:t>
      </w:r>
      <w:r>
        <w:rPr>
          <w:rFonts w:eastAsiaTheme="minorEastAsia" w:hAnsiTheme="minorEastAsia" w:hint="eastAsia"/>
          <w:bCs/>
          <w:sz w:val="24"/>
        </w:rPr>
        <w:t>DA002</w:t>
      </w:r>
      <w:r>
        <w:rPr>
          <w:rFonts w:eastAsiaTheme="minorEastAsia" w:hAnsiTheme="minorEastAsia"/>
          <w:bCs/>
          <w:sz w:val="24"/>
        </w:rPr>
        <w:t>）排放</w:t>
      </w:r>
      <w:r>
        <w:rPr>
          <w:rFonts w:eastAsiaTheme="minorEastAsia" w:hAnsiTheme="minorEastAsia" w:hint="eastAsia"/>
          <w:bCs/>
          <w:sz w:val="24"/>
        </w:rPr>
        <w:t>；屠宰车间封闭，用引风机集中收集恶臭污染物，收集的废气分别经活性炭吸附净化后由</w:t>
      </w:r>
      <w:r>
        <w:rPr>
          <w:rFonts w:eastAsiaTheme="minorEastAsia" w:hAnsiTheme="minorEastAsia" w:hint="eastAsia"/>
          <w:bCs/>
          <w:sz w:val="24"/>
        </w:rPr>
        <w:t>1</w:t>
      </w:r>
      <w:r>
        <w:rPr>
          <w:rFonts w:eastAsiaTheme="minorEastAsia" w:hAnsiTheme="minorEastAsia" w:hint="eastAsia"/>
          <w:bCs/>
          <w:sz w:val="24"/>
        </w:rPr>
        <w:t>根</w:t>
      </w:r>
      <w:r>
        <w:rPr>
          <w:rFonts w:eastAsiaTheme="minorEastAsia" w:hAnsiTheme="minorEastAsia" w:hint="eastAsia"/>
          <w:bCs/>
          <w:sz w:val="24"/>
        </w:rPr>
        <w:t>15m</w:t>
      </w:r>
      <w:r>
        <w:rPr>
          <w:rFonts w:eastAsiaTheme="minorEastAsia" w:hAnsiTheme="minorEastAsia" w:hint="eastAsia"/>
          <w:bCs/>
          <w:sz w:val="24"/>
        </w:rPr>
        <w:t>高排气筒（</w:t>
      </w:r>
      <w:r>
        <w:rPr>
          <w:rFonts w:eastAsiaTheme="minorEastAsia" w:hAnsiTheme="minorEastAsia" w:hint="eastAsia"/>
          <w:bCs/>
          <w:sz w:val="24"/>
        </w:rPr>
        <w:t>DA003</w:t>
      </w:r>
      <w:r>
        <w:rPr>
          <w:rFonts w:eastAsiaTheme="minorEastAsia" w:hAnsiTheme="minorEastAsia" w:hint="eastAsia"/>
          <w:bCs/>
          <w:sz w:val="24"/>
        </w:rPr>
        <w:t>）排放；本项目污水处理站采用一体化污水处理设备，采用引风机集中收集废气，废气经活性炭吸附净化后由</w:t>
      </w:r>
      <w:r>
        <w:rPr>
          <w:rFonts w:eastAsiaTheme="minorEastAsia" w:hAnsiTheme="minorEastAsia" w:hint="eastAsia"/>
          <w:bCs/>
          <w:sz w:val="24"/>
        </w:rPr>
        <w:t>1</w:t>
      </w:r>
      <w:r>
        <w:rPr>
          <w:rFonts w:eastAsiaTheme="minorEastAsia" w:hAnsiTheme="minorEastAsia" w:hint="eastAsia"/>
          <w:bCs/>
          <w:sz w:val="24"/>
        </w:rPr>
        <w:t>根</w:t>
      </w:r>
      <w:r>
        <w:rPr>
          <w:rFonts w:eastAsiaTheme="minorEastAsia" w:hAnsiTheme="minorEastAsia" w:hint="eastAsia"/>
          <w:bCs/>
          <w:sz w:val="24"/>
        </w:rPr>
        <w:t>15m</w:t>
      </w:r>
      <w:r>
        <w:rPr>
          <w:rFonts w:eastAsiaTheme="minorEastAsia" w:hAnsiTheme="minorEastAsia" w:hint="eastAsia"/>
          <w:bCs/>
          <w:sz w:val="24"/>
        </w:rPr>
        <w:t>高排气筒（</w:t>
      </w:r>
      <w:r>
        <w:rPr>
          <w:rFonts w:eastAsiaTheme="minorEastAsia" w:hAnsiTheme="minorEastAsia" w:hint="eastAsia"/>
          <w:bCs/>
          <w:sz w:val="24"/>
        </w:rPr>
        <w:t>DA004</w:t>
      </w:r>
      <w:r>
        <w:rPr>
          <w:rFonts w:eastAsiaTheme="minorEastAsia" w:hAnsiTheme="minorEastAsia" w:hint="eastAsia"/>
          <w:bCs/>
          <w:sz w:val="24"/>
        </w:rPr>
        <w:t>）排放。各污染物浓度排放可满足</w:t>
      </w:r>
      <w:r>
        <w:rPr>
          <w:rFonts w:eastAsiaTheme="minorEastAsia"/>
          <w:kern w:val="0"/>
          <w:sz w:val="24"/>
        </w:rPr>
        <w:t>《恶臭污染物排放标准》（</w:t>
      </w:r>
      <w:r>
        <w:rPr>
          <w:rFonts w:eastAsiaTheme="minorEastAsia"/>
          <w:kern w:val="0"/>
          <w:sz w:val="24"/>
        </w:rPr>
        <w:t>GB14554-1993</w:t>
      </w:r>
      <w:r>
        <w:rPr>
          <w:rFonts w:eastAsiaTheme="minorEastAsia"/>
          <w:kern w:val="0"/>
          <w:sz w:val="24"/>
        </w:rPr>
        <w:t>）表</w:t>
      </w:r>
      <w:r>
        <w:rPr>
          <w:rFonts w:eastAsiaTheme="minorEastAsia" w:hint="eastAsia"/>
          <w:kern w:val="0"/>
          <w:sz w:val="24"/>
        </w:rPr>
        <w:t>2</w:t>
      </w:r>
      <w:r>
        <w:rPr>
          <w:rFonts w:eastAsiaTheme="minorEastAsia"/>
          <w:kern w:val="0"/>
          <w:sz w:val="24"/>
        </w:rPr>
        <w:t>中标准要求</w:t>
      </w:r>
      <w:r>
        <w:rPr>
          <w:rFonts w:eastAsiaTheme="minorEastAsia" w:hint="eastAsia"/>
          <w:kern w:val="0"/>
          <w:sz w:val="24"/>
        </w:rPr>
        <w:t>，厂</w:t>
      </w:r>
      <w:r>
        <w:rPr>
          <w:sz w:val="24"/>
          <w:lang w:bidi="ar"/>
        </w:rPr>
        <w:t>界硫化氢、氨满足</w:t>
      </w:r>
      <w:r>
        <w:rPr>
          <w:rFonts w:eastAsiaTheme="minorEastAsia"/>
          <w:kern w:val="0"/>
          <w:sz w:val="24"/>
        </w:rPr>
        <w:t>《恶臭污染物排放标准》（</w:t>
      </w:r>
      <w:r>
        <w:rPr>
          <w:rFonts w:eastAsiaTheme="minorEastAsia"/>
          <w:kern w:val="0"/>
          <w:sz w:val="24"/>
        </w:rPr>
        <w:t>GB14554-1993</w:t>
      </w:r>
      <w:r>
        <w:rPr>
          <w:rFonts w:eastAsiaTheme="minorEastAsia"/>
          <w:kern w:val="0"/>
          <w:sz w:val="24"/>
        </w:rPr>
        <w:t>）表</w:t>
      </w:r>
      <w:r>
        <w:rPr>
          <w:rFonts w:eastAsiaTheme="minorEastAsia"/>
          <w:kern w:val="0"/>
          <w:sz w:val="24"/>
        </w:rPr>
        <w:t>1</w:t>
      </w:r>
      <w:r>
        <w:rPr>
          <w:sz w:val="24"/>
        </w:rPr>
        <w:t>中二级新改扩建标准</w:t>
      </w:r>
      <w:r>
        <w:rPr>
          <w:rFonts w:hint="eastAsia"/>
          <w:sz w:val="24"/>
        </w:rPr>
        <w:t>要求</w:t>
      </w:r>
      <w:r>
        <w:rPr>
          <w:sz w:val="24"/>
          <w:lang w:bidi="ar"/>
        </w:rPr>
        <w:t>。</w:t>
      </w:r>
    </w:p>
    <w:p w14:paraId="25E2C6AC" w14:textId="77777777" w:rsidR="00B14D53" w:rsidRDefault="00000000">
      <w:pPr>
        <w:pStyle w:val="afff"/>
        <w:adjustRightInd/>
        <w:snapToGrid/>
        <w:contextualSpacing/>
        <w:rPr>
          <w:rFonts w:ascii="Times New Roman" w:hAnsi="Times New Roman" w:cs="Times New Roman"/>
        </w:rPr>
      </w:pPr>
      <w:r>
        <w:rPr>
          <w:rFonts w:ascii="Times New Roman" w:hAnsiTheme="minorEastAsia" w:cs="Times New Roman" w:hint="eastAsia"/>
        </w:rPr>
        <w:t>在待宰圈、污水处理站、屠宰车间增加通风次数，去除恶臭气体；定期喷洒除臭剂；及时清理待宰圈及屠宰车间内的粪便、肠胃内容物、不可食用内脏等废弃物；待宰圈和屠宰车间及时清洗底面等措施后，臭气强度等级可降至</w:t>
      </w:r>
      <w:r>
        <w:rPr>
          <w:rFonts w:ascii="Times New Roman" w:hAnsiTheme="minorEastAsia" w:cs="Times New Roman" w:hint="eastAsia"/>
        </w:rPr>
        <w:t>1</w:t>
      </w:r>
      <w:r>
        <w:rPr>
          <w:rFonts w:ascii="Times New Roman" w:hAnsiTheme="minorEastAsia" w:cs="Times New Roman" w:hint="eastAsia"/>
        </w:rPr>
        <w:t>级以下，对应臭气浓度</w:t>
      </w:r>
      <w:r>
        <w:rPr>
          <w:rFonts w:ascii="Times New Roman" w:hAnsiTheme="minorEastAsia" w:cs="Times New Roman" w:hint="eastAsia"/>
        </w:rPr>
        <w:t>&lt;20</w:t>
      </w:r>
      <w:r>
        <w:rPr>
          <w:rFonts w:ascii="Times New Roman" w:hAnsiTheme="minorEastAsia" w:cs="Times New Roman" w:hint="eastAsia"/>
        </w:rPr>
        <w:t>（无量纲），对周围环境的影响大大降低，满足《恶臭污染物排放标准》（</w:t>
      </w:r>
      <w:r>
        <w:rPr>
          <w:rFonts w:ascii="Times New Roman" w:hAnsiTheme="minorEastAsia" w:cs="Times New Roman" w:hint="eastAsia"/>
        </w:rPr>
        <w:t>GB14554-93</w:t>
      </w:r>
      <w:r>
        <w:rPr>
          <w:rFonts w:ascii="Times New Roman" w:hAnsiTheme="minorEastAsia" w:cs="Times New Roman" w:hint="eastAsia"/>
        </w:rPr>
        <w:t>）中二级新扩改建无组织标准。</w:t>
      </w:r>
    </w:p>
    <w:p w14:paraId="07EC7C58" w14:textId="77777777" w:rsidR="00B14D53" w:rsidRDefault="00000000">
      <w:pPr>
        <w:spacing w:line="360" w:lineRule="auto"/>
        <w:ind w:firstLineChars="200" w:firstLine="480"/>
        <w:contextualSpacing/>
        <w:rPr>
          <w:rFonts w:eastAsiaTheme="minorEastAsia"/>
          <w:bCs/>
          <w:sz w:val="24"/>
        </w:rPr>
      </w:pPr>
      <w:r>
        <w:rPr>
          <w:rFonts w:eastAsiaTheme="minorEastAsia"/>
          <w:kern w:val="0"/>
          <w:sz w:val="24"/>
        </w:rPr>
        <w:t>综上所述，项目采取的污染控制措施可以保证污染物达标排放，项目废气对外界环境影响很小，大气环境影响可接受。</w:t>
      </w:r>
    </w:p>
    <w:bookmarkEnd w:id="214"/>
    <w:bookmarkEnd w:id="215"/>
    <w:p w14:paraId="166AF6D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5.2.2</w:t>
      </w:r>
      <w:r>
        <w:rPr>
          <w:rFonts w:ascii="Times New Roman" w:eastAsia="黑体" w:hAnsi="Times New Roman" w:cs="Times New Roman"/>
          <w:bCs/>
          <w:sz w:val="28"/>
          <w:szCs w:val="28"/>
        </w:rPr>
        <w:t>水环境影响预测分析</w:t>
      </w:r>
    </w:p>
    <w:p w14:paraId="208D4D49"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5.2.2.1</w:t>
      </w:r>
      <w:r>
        <w:rPr>
          <w:rFonts w:ascii="Times New Roman" w:eastAsia="黑体" w:hAnsi="Times New Roman" w:cs="Times New Roman"/>
          <w:b w:val="0"/>
          <w:sz w:val="24"/>
          <w:szCs w:val="24"/>
        </w:rPr>
        <w:t>地表水环境影响分析</w:t>
      </w:r>
    </w:p>
    <w:p w14:paraId="67DAAA8E" w14:textId="77777777" w:rsidR="00B14D53" w:rsidRDefault="00000000">
      <w:pPr>
        <w:widowControl/>
        <w:autoSpaceDE w:val="0"/>
        <w:autoSpaceDN w:val="0"/>
        <w:spacing w:line="360" w:lineRule="auto"/>
        <w:ind w:firstLineChars="200" w:firstLine="480"/>
        <w:textAlignment w:val="baseline"/>
        <w:rPr>
          <w:kern w:val="24"/>
          <w:sz w:val="24"/>
        </w:rPr>
      </w:pPr>
      <w:bookmarkStart w:id="216" w:name="_Hlk10651079"/>
      <w:r>
        <w:rPr>
          <w:bCs/>
          <w:kern w:val="24"/>
          <w:sz w:val="24"/>
        </w:rPr>
        <w:t>根据前文章节分析，本项目地</w:t>
      </w:r>
      <w:r>
        <w:rPr>
          <w:kern w:val="24"/>
          <w:sz w:val="24"/>
        </w:rPr>
        <w:t>表水环境影响评价等级为水污染影响型三级</w:t>
      </w:r>
      <w:r>
        <w:rPr>
          <w:kern w:val="24"/>
          <w:sz w:val="24"/>
        </w:rPr>
        <w:t>B</w:t>
      </w:r>
      <w:r>
        <w:rPr>
          <w:kern w:val="24"/>
          <w:sz w:val="24"/>
        </w:rPr>
        <w:t>，可不进行水环境影响预测，水污染影响型三级</w:t>
      </w:r>
      <w:r>
        <w:rPr>
          <w:kern w:val="24"/>
          <w:sz w:val="24"/>
        </w:rPr>
        <w:t>B</w:t>
      </w:r>
      <w:r>
        <w:rPr>
          <w:kern w:val="24"/>
          <w:sz w:val="24"/>
        </w:rPr>
        <w:t>评价的主要评价内容包括：</w:t>
      </w:r>
      <w:r>
        <w:rPr>
          <w:kern w:val="24"/>
          <w:sz w:val="24"/>
        </w:rPr>
        <w:t>a</w:t>
      </w:r>
      <w:r>
        <w:rPr>
          <w:kern w:val="24"/>
          <w:sz w:val="24"/>
        </w:rPr>
        <w:t>、水污染控制和水环境影响减缓措施有效性评价；</w:t>
      </w:r>
      <w:r>
        <w:rPr>
          <w:kern w:val="24"/>
          <w:sz w:val="24"/>
        </w:rPr>
        <w:t>b</w:t>
      </w:r>
      <w:r>
        <w:rPr>
          <w:kern w:val="24"/>
          <w:sz w:val="24"/>
        </w:rPr>
        <w:t>、依托污水处理设施的环境可行性评价。</w:t>
      </w:r>
    </w:p>
    <w:p w14:paraId="4ACDFCE6" w14:textId="77777777" w:rsidR="00B14D53" w:rsidRDefault="00000000">
      <w:pPr>
        <w:widowControl/>
        <w:autoSpaceDE w:val="0"/>
        <w:autoSpaceDN w:val="0"/>
        <w:spacing w:line="360" w:lineRule="auto"/>
        <w:ind w:firstLineChars="200" w:firstLine="480"/>
        <w:textAlignment w:val="baseline"/>
        <w:rPr>
          <w:kern w:val="24"/>
          <w:sz w:val="24"/>
        </w:rPr>
      </w:pPr>
      <w:bookmarkStart w:id="217" w:name="_Toc27428"/>
      <w:bookmarkStart w:id="218" w:name="_Toc3109"/>
      <w:bookmarkStart w:id="219" w:name="_Toc27803"/>
      <w:r>
        <w:rPr>
          <w:kern w:val="24"/>
          <w:sz w:val="24"/>
        </w:rPr>
        <w:t>1</w:t>
      </w:r>
      <w:r>
        <w:rPr>
          <w:kern w:val="24"/>
          <w:sz w:val="24"/>
        </w:rPr>
        <w:t>、水污染控制和水环境影响减缓措施有效性评价</w:t>
      </w:r>
      <w:bookmarkEnd w:id="217"/>
      <w:bookmarkEnd w:id="218"/>
      <w:bookmarkEnd w:id="219"/>
    </w:p>
    <w:p w14:paraId="5B6BF24C" w14:textId="77777777" w:rsidR="00B14D53" w:rsidRDefault="00000000">
      <w:pPr>
        <w:widowControl/>
        <w:autoSpaceDE w:val="0"/>
        <w:autoSpaceDN w:val="0"/>
        <w:spacing w:line="360" w:lineRule="auto"/>
        <w:ind w:firstLineChars="200" w:firstLine="480"/>
        <w:textAlignment w:val="baseline"/>
        <w:rPr>
          <w:kern w:val="24"/>
          <w:sz w:val="24"/>
        </w:rPr>
      </w:pPr>
      <w:r>
        <w:rPr>
          <w:kern w:val="24"/>
          <w:sz w:val="24"/>
        </w:rPr>
        <w:t>本项目生活污水</w:t>
      </w:r>
      <w:r>
        <w:rPr>
          <w:rFonts w:hint="eastAsia"/>
          <w:kern w:val="24"/>
          <w:sz w:val="24"/>
        </w:rPr>
        <w:t>主要污染物包括</w:t>
      </w:r>
      <w:r>
        <w:rPr>
          <w:kern w:val="24"/>
          <w:sz w:val="24"/>
        </w:rPr>
        <w:t>pH</w:t>
      </w:r>
      <w:r>
        <w:rPr>
          <w:kern w:val="24"/>
          <w:sz w:val="24"/>
        </w:rPr>
        <w:t>、</w:t>
      </w:r>
      <w:r>
        <w:rPr>
          <w:rFonts w:hint="eastAsia"/>
          <w:kern w:val="24"/>
          <w:sz w:val="24"/>
        </w:rPr>
        <w:t>COD</w:t>
      </w:r>
      <w:r>
        <w:rPr>
          <w:rFonts w:hint="eastAsia"/>
          <w:kern w:val="24"/>
          <w:sz w:val="24"/>
        </w:rPr>
        <w:t>、</w:t>
      </w:r>
      <w:r>
        <w:rPr>
          <w:rFonts w:hint="eastAsia"/>
          <w:kern w:val="24"/>
          <w:sz w:val="24"/>
        </w:rPr>
        <w:t>BOD</w:t>
      </w:r>
      <w:r>
        <w:rPr>
          <w:rFonts w:hint="eastAsia"/>
          <w:kern w:val="24"/>
          <w:sz w:val="24"/>
          <w:vertAlign w:val="subscript"/>
        </w:rPr>
        <w:t>5</w:t>
      </w:r>
      <w:r>
        <w:rPr>
          <w:rFonts w:hint="eastAsia"/>
          <w:kern w:val="24"/>
          <w:sz w:val="24"/>
        </w:rPr>
        <w:t>、氨氮、动植物油、</w:t>
      </w:r>
      <w:r>
        <w:rPr>
          <w:rFonts w:hint="eastAsia"/>
          <w:kern w:val="24"/>
          <w:sz w:val="24"/>
        </w:rPr>
        <w:t>SS</w:t>
      </w:r>
      <w:r>
        <w:rPr>
          <w:kern w:val="24"/>
          <w:sz w:val="24"/>
        </w:rPr>
        <w:t>。</w:t>
      </w:r>
      <w:r>
        <w:rPr>
          <w:rFonts w:hint="eastAsia"/>
          <w:kern w:val="24"/>
          <w:sz w:val="24"/>
        </w:rPr>
        <w:t>生产</w:t>
      </w:r>
      <w:r>
        <w:rPr>
          <w:kern w:val="24"/>
          <w:sz w:val="24"/>
        </w:rPr>
        <w:t>废水主要来自于待宰圈冲洗排水、屠宰车间排水、电蒸汽发生器排污水</w:t>
      </w:r>
      <w:r>
        <w:rPr>
          <w:kern w:val="24"/>
          <w:sz w:val="24"/>
        </w:rPr>
        <w:t>+</w:t>
      </w:r>
      <w:r>
        <w:rPr>
          <w:kern w:val="24"/>
          <w:sz w:val="24"/>
        </w:rPr>
        <w:t>软化处理废水、车辆冲洗排水等，主要污染物包括</w:t>
      </w:r>
      <w:r>
        <w:rPr>
          <w:kern w:val="24"/>
          <w:sz w:val="24"/>
        </w:rPr>
        <w:t>pH</w:t>
      </w:r>
      <w:r>
        <w:rPr>
          <w:kern w:val="24"/>
          <w:sz w:val="24"/>
        </w:rPr>
        <w:t>、</w:t>
      </w:r>
      <w:r>
        <w:rPr>
          <w:kern w:val="24"/>
          <w:sz w:val="24"/>
        </w:rPr>
        <w:t>COD</w:t>
      </w:r>
      <w:r>
        <w:rPr>
          <w:kern w:val="24"/>
          <w:sz w:val="24"/>
        </w:rPr>
        <w:t>、</w:t>
      </w:r>
      <w:r>
        <w:rPr>
          <w:kern w:val="24"/>
          <w:sz w:val="24"/>
        </w:rPr>
        <w:t>BOD</w:t>
      </w:r>
      <w:r>
        <w:rPr>
          <w:kern w:val="24"/>
          <w:sz w:val="24"/>
          <w:vertAlign w:val="subscript"/>
        </w:rPr>
        <w:t>5</w:t>
      </w:r>
      <w:r>
        <w:rPr>
          <w:kern w:val="24"/>
          <w:sz w:val="24"/>
        </w:rPr>
        <w:t>、</w:t>
      </w:r>
      <w:r>
        <w:rPr>
          <w:kern w:val="24"/>
          <w:sz w:val="24"/>
        </w:rPr>
        <w:t>SS</w:t>
      </w:r>
      <w:r>
        <w:rPr>
          <w:kern w:val="24"/>
          <w:sz w:val="24"/>
        </w:rPr>
        <w:t>、</w:t>
      </w:r>
      <w:r>
        <w:rPr>
          <w:rFonts w:hint="eastAsia"/>
          <w:kern w:val="24"/>
          <w:sz w:val="24"/>
        </w:rPr>
        <w:t>氨氮</w:t>
      </w:r>
      <w:r>
        <w:rPr>
          <w:kern w:val="24"/>
          <w:sz w:val="24"/>
        </w:rPr>
        <w:t>、动植物油、大肠菌群数。</w:t>
      </w:r>
    </w:p>
    <w:p w14:paraId="573B3948" w14:textId="77777777" w:rsidR="00B14D53" w:rsidRDefault="00000000">
      <w:pPr>
        <w:widowControl/>
        <w:kinsoku w:val="0"/>
        <w:autoSpaceDE w:val="0"/>
        <w:autoSpaceDN w:val="0"/>
        <w:spacing w:line="360" w:lineRule="auto"/>
        <w:ind w:firstLineChars="200" w:firstLine="480"/>
        <w:textAlignment w:val="baseline"/>
        <w:rPr>
          <w:sz w:val="24"/>
        </w:rPr>
      </w:pPr>
      <w:bookmarkStart w:id="220" w:name="_Toc24832"/>
      <w:r>
        <w:rPr>
          <w:rFonts w:hint="eastAsia"/>
          <w:sz w:val="24"/>
        </w:rPr>
        <w:t>本项目生活污水满足《污水综合排放标准》（</w:t>
      </w:r>
      <w:r>
        <w:rPr>
          <w:rFonts w:hint="eastAsia"/>
          <w:sz w:val="24"/>
        </w:rPr>
        <w:t>GB8978-1996</w:t>
      </w:r>
      <w:r>
        <w:rPr>
          <w:rFonts w:hint="eastAsia"/>
          <w:sz w:val="24"/>
        </w:rPr>
        <w:t>）表</w:t>
      </w:r>
      <w:r>
        <w:rPr>
          <w:rFonts w:hint="eastAsia"/>
          <w:sz w:val="24"/>
        </w:rPr>
        <w:t>4</w:t>
      </w:r>
      <w:r>
        <w:rPr>
          <w:rFonts w:hint="eastAsia"/>
          <w:sz w:val="24"/>
        </w:rPr>
        <w:t>三级标准限值及五常市民泉污水处理有限公司（五常市山河屯林业局污水处理厂）设计进水水质指标排入市政管网，经五常市民泉污水处理有限公司（五常市山河屯林业局污水处理厂）处理后，排入拉林河。</w:t>
      </w:r>
    </w:p>
    <w:p w14:paraId="161159AC" w14:textId="77777777" w:rsidR="00B14D53" w:rsidRDefault="00000000">
      <w:pPr>
        <w:widowControl/>
        <w:kinsoku w:val="0"/>
        <w:autoSpaceDE w:val="0"/>
        <w:autoSpaceDN w:val="0"/>
        <w:spacing w:line="360" w:lineRule="auto"/>
        <w:ind w:firstLineChars="200" w:firstLine="480"/>
        <w:textAlignment w:val="baseline"/>
        <w:rPr>
          <w:sz w:val="24"/>
        </w:rPr>
      </w:pPr>
      <w:r>
        <w:rPr>
          <w:sz w:val="24"/>
        </w:rPr>
        <w:t>本项目</w:t>
      </w:r>
      <w:r>
        <w:rPr>
          <w:rFonts w:hint="eastAsia"/>
          <w:sz w:val="24"/>
        </w:rPr>
        <w:t>生产</w:t>
      </w:r>
      <w:r>
        <w:rPr>
          <w:sz w:val="24"/>
        </w:rPr>
        <w:t>废水经厂区污水处理站处理达到《肉类加工工业水污染物排放标准》（</w:t>
      </w:r>
      <w:r>
        <w:rPr>
          <w:sz w:val="24"/>
        </w:rPr>
        <w:t>GB13457-92</w:t>
      </w:r>
      <w:r>
        <w:rPr>
          <w:sz w:val="24"/>
        </w:rPr>
        <w:t>）畜类屠宰加工三级标准</w:t>
      </w:r>
      <w:r>
        <w:rPr>
          <w:kern w:val="21"/>
          <w:sz w:val="24"/>
        </w:rPr>
        <w:t>及五常市民泉污水处理有限公司（五常市山河屯林业局污水处理厂）设计进水水质指标排入市政管网，经五常市民泉污水处理有限公司（五常市山河屯林业局污水处理厂）处理后，排入拉林河</w:t>
      </w:r>
      <w:r>
        <w:rPr>
          <w:sz w:val="24"/>
        </w:rPr>
        <w:t>。</w:t>
      </w:r>
    </w:p>
    <w:p w14:paraId="32A9DF25" w14:textId="77777777" w:rsidR="00B14D53" w:rsidRDefault="00000000">
      <w:pPr>
        <w:widowControl/>
        <w:autoSpaceDE w:val="0"/>
        <w:autoSpaceDN w:val="0"/>
        <w:spacing w:line="360" w:lineRule="auto"/>
        <w:ind w:firstLineChars="200" w:firstLine="480"/>
        <w:textAlignment w:val="baseline"/>
        <w:rPr>
          <w:kern w:val="24"/>
          <w:sz w:val="24"/>
        </w:rPr>
      </w:pPr>
      <w:bookmarkStart w:id="221" w:name="_Toc22262"/>
      <w:bookmarkStart w:id="222" w:name="_Toc26164"/>
      <w:r>
        <w:rPr>
          <w:kern w:val="24"/>
          <w:sz w:val="24"/>
        </w:rPr>
        <w:t>2</w:t>
      </w:r>
      <w:r>
        <w:rPr>
          <w:kern w:val="24"/>
          <w:sz w:val="24"/>
        </w:rPr>
        <w:t>、依托</w:t>
      </w:r>
      <w:r>
        <w:rPr>
          <w:kern w:val="21"/>
          <w:sz w:val="24"/>
        </w:rPr>
        <w:t>五常市民泉污水处理有限公司（五常市山河屯林业局污水处理厂）</w:t>
      </w:r>
      <w:r>
        <w:rPr>
          <w:kern w:val="24"/>
          <w:sz w:val="24"/>
        </w:rPr>
        <w:t>接纳项目废水可行性分析</w:t>
      </w:r>
      <w:bookmarkEnd w:id="220"/>
      <w:bookmarkEnd w:id="221"/>
      <w:bookmarkEnd w:id="222"/>
    </w:p>
    <w:p w14:paraId="39E2691B" w14:textId="77777777" w:rsidR="00B14D53" w:rsidRDefault="00000000">
      <w:pPr>
        <w:widowControl/>
        <w:autoSpaceDE w:val="0"/>
        <w:autoSpaceDN w:val="0"/>
        <w:spacing w:line="360" w:lineRule="auto"/>
        <w:ind w:firstLineChars="200" w:firstLine="480"/>
        <w:textAlignment w:val="baseline"/>
        <w:rPr>
          <w:color w:val="000000" w:themeColor="text1"/>
          <w:kern w:val="21"/>
          <w:sz w:val="24"/>
        </w:rPr>
        <w:sectPr w:rsidR="00B14D53">
          <w:pgSz w:w="11906" w:h="16838"/>
          <w:pgMar w:top="1440" w:right="1800" w:bottom="1440" w:left="1800" w:header="851" w:footer="992" w:gutter="0"/>
          <w:cols w:space="425"/>
          <w:docGrid w:type="lines" w:linePitch="312"/>
        </w:sectPr>
      </w:pPr>
      <w:r>
        <w:rPr>
          <w:kern w:val="21"/>
          <w:sz w:val="24"/>
        </w:rPr>
        <w:t>五常市民泉污水处理有限公司（五常市山河屯林业局污水处理厂）</w:t>
      </w:r>
      <w:r>
        <w:rPr>
          <w:color w:val="000000" w:themeColor="text1"/>
          <w:kern w:val="21"/>
          <w:sz w:val="24"/>
        </w:rPr>
        <w:t>设计处理规模</w:t>
      </w:r>
      <w:r>
        <w:rPr>
          <w:color w:val="000000" w:themeColor="text1"/>
          <w:kern w:val="21"/>
          <w:sz w:val="24"/>
        </w:rPr>
        <w:t>1</w:t>
      </w:r>
      <w:r>
        <w:rPr>
          <w:color w:val="000000" w:themeColor="text1"/>
          <w:kern w:val="21"/>
          <w:sz w:val="24"/>
        </w:rPr>
        <w:t>万</w:t>
      </w:r>
      <w:r>
        <w:rPr>
          <w:color w:val="000000" w:themeColor="text1"/>
          <w:kern w:val="21"/>
          <w:sz w:val="24"/>
        </w:rPr>
        <w:t>m</w:t>
      </w:r>
      <w:r>
        <w:rPr>
          <w:color w:val="000000" w:themeColor="text1"/>
          <w:kern w:val="21"/>
          <w:sz w:val="24"/>
          <w:vertAlign w:val="superscript"/>
        </w:rPr>
        <w:t>3</w:t>
      </w:r>
      <w:r>
        <w:rPr>
          <w:color w:val="000000" w:themeColor="text1"/>
          <w:kern w:val="21"/>
          <w:sz w:val="24"/>
        </w:rPr>
        <w:t>/d</w:t>
      </w:r>
      <w:r>
        <w:rPr>
          <w:color w:val="000000" w:themeColor="text1"/>
          <w:kern w:val="21"/>
          <w:sz w:val="24"/>
        </w:rPr>
        <w:t>，污水处理工艺采用</w:t>
      </w:r>
      <w:r>
        <w:rPr>
          <w:rFonts w:hint="eastAsia"/>
          <w:kern w:val="24"/>
          <w:sz w:val="24"/>
        </w:rPr>
        <w:t>采用“</w:t>
      </w:r>
      <w:r>
        <w:rPr>
          <w:kern w:val="24"/>
          <w:sz w:val="24"/>
        </w:rPr>
        <w:t>格栅</w:t>
      </w:r>
      <w:r>
        <w:rPr>
          <w:kern w:val="24"/>
          <w:sz w:val="24"/>
        </w:rPr>
        <w:t>+EBIS</w:t>
      </w:r>
      <w:r>
        <w:rPr>
          <w:kern w:val="24"/>
          <w:sz w:val="24"/>
        </w:rPr>
        <w:t>生化池</w:t>
      </w:r>
      <w:r>
        <w:rPr>
          <w:kern w:val="24"/>
          <w:sz w:val="24"/>
        </w:rPr>
        <w:t>+</w:t>
      </w:r>
      <w:r>
        <w:rPr>
          <w:kern w:val="24"/>
          <w:sz w:val="24"/>
        </w:rPr>
        <w:t>沉淀过滤</w:t>
      </w:r>
      <w:r>
        <w:rPr>
          <w:kern w:val="24"/>
          <w:sz w:val="24"/>
        </w:rPr>
        <w:t>+</w:t>
      </w:r>
      <w:r>
        <w:rPr>
          <w:kern w:val="24"/>
          <w:sz w:val="24"/>
        </w:rPr>
        <w:t>消毒</w:t>
      </w:r>
      <w:r>
        <w:rPr>
          <w:rFonts w:hint="eastAsia"/>
          <w:kern w:val="24"/>
          <w:sz w:val="24"/>
        </w:rPr>
        <w:t>”</w:t>
      </w:r>
      <w:r>
        <w:rPr>
          <w:kern w:val="24"/>
          <w:sz w:val="24"/>
        </w:rPr>
        <w:t>工艺</w:t>
      </w:r>
      <w:r>
        <w:rPr>
          <w:color w:val="000000" w:themeColor="text1"/>
          <w:kern w:val="21"/>
          <w:sz w:val="24"/>
        </w:rPr>
        <w:t>，</w:t>
      </w:r>
      <w:r>
        <w:rPr>
          <w:sz w:val="24"/>
        </w:rPr>
        <w:t>设计进水指标</w:t>
      </w:r>
      <w:r>
        <w:rPr>
          <w:sz w:val="24"/>
        </w:rPr>
        <w:t>COD</w:t>
      </w:r>
      <w:r>
        <w:rPr>
          <w:sz w:val="24"/>
        </w:rPr>
        <w:t>浓度为</w:t>
      </w:r>
      <w:r>
        <w:rPr>
          <w:sz w:val="24"/>
        </w:rPr>
        <w:t>350mg/L</w:t>
      </w:r>
      <w:r>
        <w:rPr>
          <w:sz w:val="24"/>
        </w:rPr>
        <w:t>，</w:t>
      </w:r>
      <w:r>
        <w:rPr>
          <w:sz w:val="24"/>
        </w:rPr>
        <w:t>BOD</w:t>
      </w:r>
      <w:r>
        <w:rPr>
          <w:sz w:val="24"/>
          <w:vertAlign w:val="subscript"/>
        </w:rPr>
        <w:t>5</w:t>
      </w:r>
      <w:r>
        <w:rPr>
          <w:sz w:val="24"/>
        </w:rPr>
        <w:t>浓度为</w:t>
      </w:r>
      <w:r>
        <w:rPr>
          <w:sz w:val="24"/>
        </w:rPr>
        <w:t>200mg/L</w:t>
      </w:r>
      <w:r>
        <w:rPr>
          <w:sz w:val="24"/>
        </w:rPr>
        <w:t>，</w:t>
      </w:r>
      <w:r>
        <w:rPr>
          <w:rFonts w:hint="eastAsia"/>
          <w:sz w:val="24"/>
        </w:rPr>
        <w:t>氨氮</w:t>
      </w:r>
      <w:r>
        <w:rPr>
          <w:sz w:val="24"/>
        </w:rPr>
        <w:t>浓度为</w:t>
      </w:r>
      <w:r>
        <w:rPr>
          <w:sz w:val="24"/>
        </w:rPr>
        <w:t>25mg/L</w:t>
      </w:r>
      <w:r>
        <w:rPr>
          <w:sz w:val="24"/>
        </w:rPr>
        <w:t>，总氮浓度为</w:t>
      </w:r>
      <w:r>
        <w:rPr>
          <w:sz w:val="24"/>
        </w:rPr>
        <w:t>40mg/L</w:t>
      </w:r>
      <w:r>
        <w:rPr>
          <w:sz w:val="24"/>
        </w:rPr>
        <w:t>，总磷浓度为</w:t>
      </w:r>
      <w:r>
        <w:rPr>
          <w:sz w:val="24"/>
        </w:rPr>
        <w:t>4mg/L</w:t>
      </w:r>
      <w:r>
        <w:rPr>
          <w:sz w:val="24"/>
        </w:rPr>
        <w:t>，</w:t>
      </w:r>
      <w:r>
        <w:rPr>
          <w:sz w:val="24"/>
        </w:rPr>
        <w:t>SS</w:t>
      </w:r>
      <w:r>
        <w:rPr>
          <w:sz w:val="24"/>
        </w:rPr>
        <w:t>浓度为</w:t>
      </w:r>
      <w:r>
        <w:rPr>
          <w:sz w:val="24"/>
        </w:rPr>
        <w:t>300mg/L</w:t>
      </w:r>
      <w:r>
        <w:rPr>
          <w:sz w:val="24"/>
        </w:rPr>
        <w:t>。</w:t>
      </w:r>
      <w:r>
        <w:rPr>
          <w:color w:val="000000" w:themeColor="text1"/>
          <w:kern w:val="21"/>
          <w:sz w:val="24"/>
        </w:rPr>
        <w:t>污水排放标准执行《城镇污水处理厂污染物排放标准》（</w:t>
      </w:r>
      <w:r>
        <w:rPr>
          <w:color w:val="000000" w:themeColor="text1"/>
          <w:kern w:val="21"/>
          <w:sz w:val="24"/>
        </w:rPr>
        <w:t>GB18918-2002</w:t>
      </w:r>
      <w:r>
        <w:rPr>
          <w:color w:val="000000" w:themeColor="text1"/>
          <w:kern w:val="21"/>
          <w:sz w:val="24"/>
        </w:rPr>
        <w:t>）中一级</w:t>
      </w:r>
      <w:r>
        <w:rPr>
          <w:color w:val="000000" w:themeColor="text1"/>
          <w:kern w:val="21"/>
          <w:sz w:val="24"/>
        </w:rPr>
        <w:t>A</w:t>
      </w:r>
      <w:r>
        <w:rPr>
          <w:color w:val="000000" w:themeColor="text1"/>
          <w:kern w:val="21"/>
          <w:sz w:val="24"/>
        </w:rPr>
        <w:t>排放标准后</w:t>
      </w:r>
      <w:r>
        <w:rPr>
          <w:rFonts w:hint="eastAsia"/>
          <w:color w:val="000000" w:themeColor="text1"/>
          <w:kern w:val="21"/>
          <w:sz w:val="24"/>
        </w:rPr>
        <w:t>排入拉林</w:t>
      </w:r>
      <w:r>
        <w:rPr>
          <w:color w:val="000000" w:themeColor="text1"/>
          <w:kern w:val="21"/>
          <w:sz w:val="24"/>
        </w:rPr>
        <w:t>河。本项目扩建后</w:t>
      </w:r>
      <w:r>
        <w:rPr>
          <w:rFonts w:hint="eastAsia"/>
          <w:color w:val="000000" w:themeColor="text1"/>
          <w:kern w:val="21"/>
          <w:sz w:val="24"/>
        </w:rPr>
        <w:t>全厂</w:t>
      </w:r>
      <w:r>
        <w:rPr>
          <w:color w:val="000000" w:themeColor="text1"/>
          <w:kern w:val="21"/>
          <w:sz w:val="24"/>
        </w:rPr>
        <w:t>水量为</w:t>
      </w:r>
      <w:r>
        <w:rPr>
          <w:rFonts w:hint="eastAsia"/>
          <w:color w:val="000000" w:themeColor="text1"/>
          <w:kern w:val="21"/>
          <w:sz w:val="24"/>
        </w:rPr>
        <w:t>234.08</w:t>
      </w:r>
      <w:r>
        <w:rPr>
          <w:color w:val="000000" w:themeColor="text1"/>
          <w:kern w:val="21"/>
          <w:sz w:val="24"/>
        </w:rPr>
        <w:t>m</w:t>
      </w:r>
      <w:r>
        <w:rPr>
          <w:color w:val="000000" w:themeColor="text1"/>
          <w:kern w:val="21"/>
          <w:sz w:val="24"/>
          <w:vertAlign w:val="superscript"/>
        </w:rPr>
        <w:t>3</w:t>
      </w:r>
      <w:r>
        <w:rPr>
          <w:color w:val="000000" w:themeColor="text1"/>
          <w:kern w:val="21"/>
          <w:sz w:val="24"/>
        </w:rPr>
        <w:t>/d</w:t>
      </w:r>
      <w:r>
        <w:rPr>
          <w:color w:val="000000" w:themeColor="text1"/>
          <w:kern w:val="21"/>
          <w:sz w:val="24"/>
        </w:rPr>
        <w:t>，污水厂现有余量</w:t>
      </w:r>
      <w:r>
        <w:rPr>
          <w:rFonts w:hint="eastAsia"/>
          <w:color w:val="000000" w:themeColor="text1"/>
          <w:kern w:val="21"/>
          <w:sz w:val="24"/>
        </w:rPr>
        <w:t>约</w:t>
      </w:r>
      <w:r>
        <w:rPr>
          <w:color w:val="000000" w:themeColor="text1"/>
          <w:kern w:val="21"/>
          <w:sz w:val="24"/>
        </w:rPr>
        <w:t>500m</w:t>
      </w:r>
      <w:r>
        <w:rPr>
          <w:color w:val="000000" w:themeColor="text1"/>
          <w:kern w:val="21"/>
          <w:sz w:val="24"/>
          <w:vertAlign w:val="superscript"/>
        </w:rPr>
        <w:t>3</w:t>
      </w:r>
      <w:r>
        <w:rPr>
          <w:color w:val="000000" w:themeColor="text1"/>
          <w:kern w:val="21"/>
          <w:sz w:val="24"/>
        </w:rPr>
        <w:t>/d</w:t>
      </w:r>
      <w:r>
        <w:rPr>
          <w:color w:val="000000" w:themeColor="text1"/>
          <w:kern w:val="21"/>
          <w:sz w:val="24"/>
        </w:rPr>
        <w:t>，有能力接纳本项目废水，能够满足本项目废水排放要求。</w:t>
      </w:r>
    </w:p>
    <w:p w14:paraId="3DE70268" w14:textId="77777777" w:rsidR="00B14D53" w:rsidRDefault="00000000">
      <w:pPr>
        <w:jc w:val="center"/>
        <w:rPr>
          <w:b/>
          <w:bCs/>
          <w:lang w:eastAsia="en-US"/>
        </w:rPr>
      </w:pPr>
      <w:r>
        <w:rPr>
          <w:b/>
          <w:bCs/>
          <w:lang w:eastAsia="en-US"/>
        </w:rPr>
        <w:t>表</w:t>
      </w:r>
      <w:r>
        <w:rPr>
          <w:b/>
          <w:bCs/>
          <w:lang w:eastAsia="en-US"/>
        </w:rPr>
        <w:t>5-2-1</w:t>
      </w:r>
      <w:r>
        <w:rPr>
          <w:rFonts w:hint="eastAsia"/>
          <w:b/>
          <w:bCs/>
        </w:rPr>
        <w:t>7</w:t>
      </w:r>
      <w:r>
        <w:rPr>
          <w:b/>
          <w:bCs/>
          <w:lang w:eastAsia="en-US"/>
        </w:rPr>
        <w:t xml:space="preserve"> </w:t>
      </w:r>
      <w:r>
        <w:rPr>
          <w:b/>
          <w:bCs/>
          <w:lang w:eastAsia="en-US"/>
        </w:rPr>
        <w:t>废水类别、污染物及污染治理设施信息表</w:t>
      </w:r>
    </w:p>
    <w:tbl>
      <w:tblPr>
        <w:tblW w:w="4996"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601"/>
        <w:gridCol w:w="866"/>
        <w:gridCol w:w="2110"/>
        <w:gridCol w:w="1103"/>
        <w:gridCol w:w="1200"/>
        <w:gridCol w:w="1139"/>
        <w:gridCol w:w="1188"/>
        <w:gridCol w:w="1919"/>
        <w:gridCol w:w="954"/>
        <w:gridCol w:w="1191"/>
        <w:gridCol w:w="1676"/>
      </w:tblGrid>
      <w:tr w:rsidR="00B14D53" w14:paraId="3401FC3F" w14:textId="77777777">
        <w:trPr>
          <w:trHeight w:val="332"/>
          <w:jc w:val="center"/>
        </w:trPr>
        <w:tc>
          <w:tcPr>
            <w:tcW w:w="215" w:type="pct"/>
            <w:vMerge w:val="restart"/>
            <w:vAlign w:val="center"/>
          </w:tcPr>
          <w:p w14:paraId="62542233" w14:textId="77777777" w:rsidR="00B14D53" w:rsidRDefault="00000000">
            <w:pPr>
              <w:contextualSpacing/>
              <w:jc w:val="center"/>
              <w:rPr>
                <w:b/>
                <w:bCs/>
                <w:szCs w:val="21"/>
              </w:rPr>
            </w:pPr>
            <w:r>
              <w:rPr>
                <w:b/>
                <w:bCs/>
                <w:szCs w:val="21"/>
              </w:rPr>
              <w:t>序号</w:t>
            </w:r>
          </w:p>
        </w:tc>
        <w:tc>
          <w:tcPr>
            <w:tcW w:w="310" w:type="pct"/>
            <w:vMerge w:val="restart"/>
            <w:vAlign w:val="center"/>
          </w:tcPr>
          <w:p w14:paraId="50B0F73C" w14:textId="77777777" w:rsidR="00B14D53" w:rsidRDefault="00000000">
            <w:pPr>
              <w:contextualSpacing/>
              <w:jc w:val="center"/>
              <w:rPr>
                <w:b/>
                <w:bCs/>
                <w:szCs w:val="21"/>
              </w:rPr>
            </w:pPr>
            <w:r>
              <w:rPr>
                <w:b/>
                <w:bCs/>
                <w:szCs w:val="21"/>
              </w:rPr>
              <w:t>废水类别</w:t>
            </w:r>
          </w:p>
        </w:tc>
        <w:tc>
          <w:tcPr>
            <w:tcW w:w="755" w:type="pct"/>
            <w:vMerge w:val="restart"/>
            <w:vAlign w:val="center"/>
          </w:tcPr>
          <w:p w14:paraId="3009AA8A" w14:textId="77777777" w:rsidR="00B14D53" w:rsidRDefault="00000000">
            <w:pPr>
              <w:contextualSpacing/>
              <w:jc w:val="center"/>
              <w:rPr>
                <w:b/>
                <w:bCs/>
                <w:szCs w:val="21"/>
              </w:rPr>
            </w:pPr>
            <w:r>
              <w:rPr>
                <w:b/>
                <w:bCs/>
                <w:szCs w:val="21"/>
              </w:rPr>
              <w:t>污染物种类</w:t>
            </w:r>
          </w:p>
        </w:tc>
        <w:tc>
          <w:tcPr>
            <w:tcW w:w="395" w:type="pct"/>
            <w:vMerge w:val="restart"/>
            <w:vAlign w:val="center"/>
          </w:tcPr>
          <w:p w14:paraId="7DE03FA1" w14:textId="77777777" w:rsidR="00B14D53" w:rsidRDefault="00000000">
            <w:pPr>
              <w:contextualSpacing/>
              <w:jc w:val="center"/>
              <w:rPr>
                <w:b/>
                <w:bCs/>
                <w:szCs w:val="21"/>
              </w:rPr>
            </w:pPr>
            <w:r>
              <w:rPr>
                <w:b/>
                <w:bCs/>
                <w:szCs w:val="21"/>
              </w:rPr>
              <w:t>排放去向</w:t>
            </w:r>
          </w:p>
        </w:tc>
        <w:tc>
          <w:tcPr>
            <w:tcW w:w="430" w:type="pct"/>
            <w:vMerge w:val="restart"/>
            <w:vAlign w:val="center"/>
          </w:tcPr>
          <w:p w14:paraId="1EF5F8FA" w14:textId="77777777" w:rsidR="00B14D53" w:rsidRDefault="00000000">
            <w:pPr>
              <w:contextualSpacing/>
              <w:jc w:val="center"/>
              <w:rPr>
                <w:b/>
                <w:bCs/>
                <w:szCs w:val="21"/>
              </w:rPr>
            </w:pPr>
            <w:r>
              <w:rPr>
                <w:b/>
                <w:bCs/>
                <w:szCs w:val="21"/>
              </w:rPr>
              <w:t>排放规律</w:t>
            </w:r>
          </w:p>
        </w:tc>
        <w:tc>
          <w:tcPr>
            <w:tcW w:w="1521" w:type="pct"/>
            <w:gridSpan w:val="3"/>
            <w:vAlign w:val="center"/>
          </w:tcPr>
          <w:p w14:paraId="5D5D6177" w14:textId="77777777" w:rsidR="00B14D53" w:rsidRDefault="00000000">
            <w:pPr>
              <w:contextualSpacing/>
              <w:jc w:val="center"/>
              <w:rPr>
                <w:b/>
                <w:bCs/>
                <w:szCs w:val="21"/>
              </w:rPr>
            </w:pPr>
            <w:r>
              <w:rPr>
                <w:b/>
                <w:bCs/>
                <w:szCs w:val="21"/>
              </w:rPr>
              <w:t>污染治理设施</w:t>
            </w:r>
          </w:p>
        </w:tc>
        <w:tc>
          <w:tcPr>
            <w:tcW w:w="342" w:type="pct"/>
            <w:vMerge w:val="restart"/>
            <w:vAlign w:val="center"/>
          </w:tcPr>
          <w:p w14:paraId="6270F97B" w14:textId="77777777" w:rsidR="00B14D53" w:rsidRDefault="00000000">
            <w:pPr>
              <w:contextualSpacing/>
              <w:jc w:val="center"/>
              <w:rPr>
                <w:b/>
                <w:bCs/>
                <w:szCs w:val="21"/>
              </w:rPr>
            </w:pPr>
            <w:r>
              <w:rPr>
                <w:b/>
                <w:bCs/>
                <w:szCs w:val="21"/>
              </w:rPr>
              <w:t>排放口编号</w:t>
            </w:r>
          </w:p>
        </w:tc>
        <w:tc>
          <w:tcPr>
            <w:tcW w:w="427" w:type="pct"/>
            <w:vMerge w:val="restart"/>
            <w:vAlign w:val="center"/>
          </w:tcPr>
          <w:p w14:paraId="231FC910" w14:textId="77777777" w:rsidR="00B14D53" w:rsidRDefault="00000000">
            <w:pPr>
              <w:contextualSpacing/>
              <w:jc w:val="center"/>
              <w:rPr>
                <w:b/>
                <w:bCs/>
                <w:szCs w:val="21"/>
              </w:rPr>
            </w:pPr>
            <w:r>
              <w:rPr>
                <w:b/>
                <w:bCs/>
                <w:szCs w:val="21"/>
              </w:rPr>
              <w:t>排放口设置是否符合要求</w:t>
            </w:r>
          </w:p>
        </w:tc>
        <w:tc>
          <w:tcPr>
            <w:tcW w:w="601" w:type="pct"/>
            <w:vMerge w:val="restart"/>
            <w:vAlign w:val="center"/>
          </w:tcPr>
          <w:p w14:paraId="15713B70" w14:textId="77777777" w:rsidR="00B14D53" w:rsidRDefault="00000000">
            <w:pPr>
              <w:contextualSpacing/>
              <w:jc w:val="center"/>
              <w:rPr>
                <w:b/>
                <w:bCs/>
                <w:szCs w:val="21"/>
              </w:rPr>
            </w:pPr>
            <w:r>
              <w:rPr>
                <w:b/>
                <w:bCs/>
                <w:szCs w:val="21"/>
              </w:rPr>
              <w:t>排放口类型</w:t>
            </w:r>
          </w:p>
        </w:tc>
      </w:tr>
      <w:tr w:rsidR="00B14D53" w14:paraId="496861C8" w14:textId="77777777">
        <w:trPr>
          <w:trHeight w:val="570"/>
          <w:jc w:val="center"/>
        </w:trPr>
        <w:tc>
          <w:tcPr>
            <w:tcW w:w="215" w:type="pct"/>
            <w:vMerge/>
            <w:vAlign w:val="center"/>
          </w:tcPr>
          <w:p w14:paraId="4B36DE71" w14:textId="77777777" w:rsidR="00B14D53" w:rsidRDefault="00B14D53">
            <w:pPr>
              <w:contextualSpacing/>
              <w:jc w:val="center"/>
              <w:rPr>
                <w:szCs w:val="21"/>
              </w:rPr>
            </w:pPr>
          </w:p>
        </w:tc>
        <w:tc>
          <w:tcPr>
            <w:tcW w:w="310" w:type="pct"/>
            <w:vMerge/>
            <w:vAlign w:val="center"/>
          </w:tcPr>
          <w:p w14:paraId="130081ED" w14:textId="77777777" w:rsidR="00B14D53" w:rsidRDefault="00B14D53">
            <w:pPr>
              <w:contextualSpacing/>
              <w:jc w:val="center"/>
              <w:rPr>
                <w:szCs w:val="21"/>
              </w:rPr>
            </w:pPr>
          </w:p>
        </w:tc>
        <w:tc>
          <w:tcPr>
            <w:tcW w:w="755" w:type="pct"/>
            <w:vMerge/>
            <w:vAlign w:val="center"/>
          </w:tcPr>
          <w:p w14:paraId="158511A7" w14:textId="77777777" w:rsidR="00B14D53" w:rsidRDefault="00B14D53">
            <w:pPr>
              <w:contextualSpacing/>
              <w:jc w:val="center"/>
              <w:rPr>
                <w:szCs w:val="21"/>
              </w:rPr>
            </w:pPr>
          </w:p>
        </w:tc>
        <w:tc>
          <w:tcPr>
            <w:tcW w:w="395" w:type="pct"/>
            <w:vMerge/>
            <w:vAlign w:val="center"/>
          </w:tcPr>
          <w:p w14:paraId="2D03021F" w14:textId="77777777" w:rsidR="00B14D53" w:rsidRDefault="00B14D53">
            <w:pPr>
              <w:contextualSpacing/>
              <w:jc w:val="center"/>
              <w:rPr>
                <w:szCs w:val="21"/>
              </w:rPr>
            </w:pPr>
          </w:p>
        </w:tc>
        <w:tc>
          <w:tcPr>
            <w:tcW w:w="430" w:type="pct"/>
            <w:vMerge/>
            <w:vAlign w:val="center"/>
          </w:tcPr>
          <w:p w14:paraId="6775198E" w14:textId="77777777" w:rsidR="00B14D53" w:rsidRDefault="00B14D53">
            <w:pPr>
              <w:contextualSpacing/>
              <w:jc w:val="center"/>
              <w:rPr>
                <w:szCs w:val="21"/>
              </w:rPr>
            </w:pPr>
          </w:p>
        </w:tc>
        <w:tc>
          <w:tcPr>
            <w:tcW w:w="408" w:type="pct"/>
            <w:vAlign w:val="center"/>
          </w:tcPr>
          <w:p w14:paraId="12624291" w14:textId="77777777" w:rsidR="00B14D53" w:rsidRDefault="00000000">
            <w:pPr>
              <w:contextualSpacing/>
              <w:jc w:val="center"/>
              <w:rPr>
                <w:b/>
                <w:bCs/>
                <w:szCs w:val="21"/>
              </w:rPr>
            </w:pPr>
            <w:r>
              <w:rPr>
                <w:b/>
                <w:bCs/>
                <w:szCs w:val="21"/>
              </w:rPr>
              <w:t>污染治理设施编号</w:t>
            </w:r>
          </w:p>
        </w:tc>
        <w:tc>
          <w:tcPr>
            <w:tcW w:w="426" w:type="pct"/>
            <w:vAlign w:val="center"/>
          </w:tcPr>
          <w:p w14:paraId="5EA07051" w14:textId="77777777" w:rsidR="00B14D53" w:rsidRDefault="00000000">
            <w:pPr>
              <w:contextualSpacing/>
              <w:jc w:val="center"/>
              <w:rPr>
                <w:b/>
                <w:bCs/>
                <w:szCs w:val="21"/>
              </w:rPr>
            </w:pPr>
            <w:r>
              <w:rPr>
                <w:b/>
                <w:bCs/>
                <w:szCs w:val="21"/>
              </w:rPr>
              <w:t>污染治理设施名称</w:t>
            </w:r>
          </w:p>
        </w:tc>
        <w:tc>
          <w:tcPr>
            <w:tcW w:w="686" w:type="pct"/>
            <w:vAlign w:val="center"/>
          </w:tcPr>
          <w:p w14:paraId="4C01C3BE" w14:textId="77777777" w:rsidR="00B14D53" w:rsidRDefault="00000000">
            <w:pPr>
              <w:contextualSpacing/>
              <w:jc w:val="center"/>
              <w:rPr>
                <w:b/>
                <w:bCs/>
                <w:szCs w:val="21"/>
              </w:rPr>
            </w:pPr>
            <w:r>
              <w:rPr>
                <w:b/>
                <w:bCs/>
                <w:szCs w:val="21"/>
              </w:rPr>
              <w:t>污染治理设施工艺</w:t>
            </w:r>
          </w:p>
        </w:tc>
        <w:tc>
          <w:tcPr>
            <w:tcW w:w="342" w:type="pct"/>
            <w:vMerge/>
            <w:vAlign w:val="center"/>
          </w:tcPr>
          <w:p w14:paraId="7ABF3493" w14:textId="77777777" w:rsidR="00B14D53" w:rsidRDefault="00B14D53">
            <w:pPr>
              <w:contextualSpacing/>
              <w:jc w:val="center"/>
              <w:rPr>
                <w:szCs w:val="21"/>
              </w:rPr>
            </w:pPr>
          </w:p>
        </w:tc>
        <w:tc>
          <w:tcPr>
            <w:tcW w:w="427" w:type="pct"/>
            <w:vMerge/>
            <w:vAlign w:val="center"/>
          </w:tcPr>
          <w:p w14:paraId="1450E277" w14:textId="77777777" w:rsidR="00B14D53" w:rsidRDefault="00B14D53">
            <w:pPr>
              <w:contextualSpacing/>
              <w:jc w:val="center"/>
              <w:rPr>
                <w:szCs w:val="21"/>
              </w:rPr>
            </w:pPr>
          </w:p>
        </w:tc>
        <w:tc>
          <w:tcPr>
            <w:tcW w:w="601" w:type="pct"/>
            <w:vMerge/>
            <w:vAlign w:val="center"/>
          </w:tcPr>
          <w:p w14:paraId="7E0CBAD4" w14:textId="77777777" w:rsidR="00B14D53" w:rsidRDefault="00B14D53">
            <w:pPr>
              <w:contextualSpacing/>
              <w:jc w:val="center"/>
              <w:rPr>
                <w:szCs w:val="21"/>
              </w:rPr>
            </w:pPr>
          </w:p>
        </w:tc>
      </w:tr>
      <w:tr w:rsidR="00B14D53" w14:paraId="6DF263B4" w14:textId="77777777">
        <w:trPr>
          <w:trHeight w:val="141"/>
          <w:jc w:val="center"/>
        </w:trPr>
        <w:tc>
          <w:tcPr>
            <w:tcW w:w="215" w:type="pct"/>
            <w:vAlign w:val="center"/>
          </w:tcPr>
          <w:p w14:paraId="447C1EC8" w14:textId="77777777" w:rsidR="00B14D53" w:rsidRDefault="00000000">
            <w:pPr>
              <w:contextualSpacing/>
              <w:jc w:val="center"/>
              <w:rPr>
                <w:szCs w:val="21"/>
              </w:rPr>
            </w:pPr>
            <w:r>
              <w:rPr>
                <w:szCs w:val="21"/>
              </w:rPr>
              <w:t>1</w:t>
            </w:r>
          </w:p>
        </w:tc>
        <w:tc>
          <w:tcPr>
            <w:tcW w:w="310" w:type="pct"/>
            <w:vAlign w:val="center"/>
          </w:tcPr>
          <w:p w14:paraId="68B5B26D" w14:textId="77777777" w:rsidR="00B14D53" w:rsidRDefault="00000000">
            <w:pPr>
              <w:contextualSpacing/>
              <w:jc w:val="center"/>
              <w:rPr>
                <w:szCs w:val="21"/>
              </w:rPr>
            </w:pPr>
            <w:r>
              <w:rPr>
                <w:szCs w:val="21"/>
              </w:rPr>
              <w:t>生产废水</w:t>
            </w:r>
          </w:p>
        </w:tc>
        <w:tc>
          <w:tcPr>
            <w:tcW w:w="755" w:type="pct"/>
            <w:vAlign w:val="center"/>
          </w:tcPr>
          <w:p w14:paraId="1D8ADC49" w14:textId="77777777" w:rsidR="00B14D53" w:rsidRDefault="00000000">
            <w:pPr>
              <w:contextualSpacing/>
              <w:jc w:val="center"/>
              <w:rPr>
                <w:szCs w:val="21"/>
              </w:rPr>
            </w:pPr>
            <w:r>
              <w:rPr>
                <w:szCs w:val="21"/>
              </w:rPr>
              <w:t>pH</w:t>
            </w:r>
            <w:r>
              <w:rPr>
                <w:szCs w:val="21"/>
              </w:rPr>
              <w:t>、</w:t>
            </w:r>
            <w:r>
              <w:rPr>
                <w:szCs w:val="21"/>
              </w:rPr>
              <w:t>COD</w:t>
            </w:r>
            <w:r>
              <w:rPr>
                <w:szCs w:val="21"/>
              </w:rPr>
              <w:t>、氨氮、</w:t>
            </w:r>
            <w:r>
              <w:rPr>
                <w:szCs w:val="21"/>
              </w:rPr>
              <w:t>BOD</w:t>
            </w:r>
            <w:r>
              <w:rPr>
                <w:szCs w:val="21"/>
                <w:vertAlign w:val="subscript"/>
              </w:rPr>
              <w:t>5</w:t>
            </w:r>
            <w:r>
              <w:rPr>
                <w:szCs w:val="21"/>
              </w:rPr>
              <w:t>、</w:t>
            </w:r>
            <w:r>
              <w:rPr>
                <w:szCs w:val="21"/>
              </w:rPr>
              <w:t>SS</w:t>
            </w:r>
            <w:r>
              <w:rPr>
                <w:szCs w:val="21"/>
              </w:rPr>
              <w:t>、动植物油、大肠菌群数</w:t>
            </w:r>
          </w:p>
        </w:tc>
        <w:tc>
          <w:tcPr>
            <w:tcW w:w="395" w:type="pct"/>
            <w:vMerge w:val="restart"/>
            <w:vAlign w:val="center"/>
          </w:tcPr>
          <w:p w14:paraId="7331AA71" w14:textId="77777777" w:rsidR="00B14D53" w:rsidRDefault="00000000">
            <w:pPr>
              <w:contextualSpacing/>
              <w:jc w:val="center"/>
              <w:rPr>
                <w:szCs w:val="21"/>
              </w:rPr>
            </w:pPr>
            <w:r>
              <w:rPr>
                <w:szCs w:val="21"/>
              </w:rPr>
              <w:t>五常市民泉污水处理有限公司（五常市山河屯林业局污水处理厂）</w:t>
            </w:r>
          </w:p>
        </w:tc>
        <w:tc>
          <w:tcPr>
            <w:tcW w:w="430" w:type="pct"/>
            <w:vMerge w:val="restart"/>
            <w:vAlign w:val="center"/>
          </w:tcPr>
          <w:p w14:paraId="5364ADA8" w14:textId="77777777" w:rsidR="00B14D53" w:rsidRDefault="00000000">
            <w:pPr>
              <w:contextualSpacing/>
              <w:jc w:val="center"/>
              <w:rPr>
                <w:szCs w:val="21"/>
              </w:rPr>
            </w:pPr>
            <w:r>
              <w:rPr>
                <w:szCs w:val="21"/>
              </w:rPr>
              <w:t>间断排放，排放期间流量不稳定且无规律，但不属于冲击型排放</w:t>
            </w:r>
          </w:p>
        </w:tc>
        <w:tc>
          <w:tcPr>
            <w:tcW w:w="408" w:type="pct"/>
            <w:vAlign w:val="center"/>
          </w:tcPr>
          <w:p w14:paraId="5866E291" w14:textId="77777777" w:rsidR="00B14D53" w:rsidRDefault="00000000">
            <w:pPr>
              <w:contextualSpacing/>
              <w:jc w:val="center"/>
              <w:rPr>
                <w:szCs w:val="21"/>
              </w:rPr>
            </w:pPr>
            <w:r>
              <w:rPr>
                <w:szCs w:val="21"/>
              </w:rPr>
              <w:t>TW001</w:t>
            </w:r>
          </w:p>
        </w:tc>
        <w:tc>
          <w:tcPr>
            <w:tcW w:w="426" w:type="pct"/>
            <w:vAlign w:val="center"/>
          </w:tcPr>
          <w:p w14:paraId="7E0EBB06" w14:textId="77777777" w:rsidR="00B14D53" w:rsidRDefault="00000000">
            <w:pPr>
              <w:contextualSpacing/>
              <w:jc w:val="center"/>
              <w:rPr>
                <w:szCs w:val="21"/>
              </w:rPr>
            </w:pPr>
            <w:r>
              <w:rPr>
                <w:szCs w:val="21"/>
              </w:rPr>
              <w:t>污水处理站</w:t>
            </w:r>
          </w:p>
        </w:tc>
        <w:tc>
          <w:tcPr>
            <w:tcW w:w="686" w:type="pct"/>
            <w:vAlign w:val="center"/>
          </w:tcPr>
          <w:p w14:paraId="1629DA08" w14:textId="77777777" w:rsidR="00B14D53" w:rsidRDefault="00000000">
            <w:pPr>
              <w:contextualSpacing/>
              <w:jc w:val="center"/>
              <w:rPr>
                <w:szCs w:val="21"/>
              </w:rPr>
            </w:pPr>
            <w:r>
              <w:rPr>
                <w:rFonts w:eastAsiaTheme="minorEastAsia" w:hint="eastAsia"/>
                <w:snapToGrid w:val="0"/>
                <w:szCs w:val="21"/>
              </w:rPr>
              <w:t>格栅</w:t>
            </w:r>
            <w:r>
              <w:rPr>
                <w:rFonts w:eastAsiaTheme="minorEastAsia" w:hint="eastAsia"/>
                <w:snapToGrid w:val="0"/>
                <w:szCs w:val="21"/>
              </w:rPr>
              <w:t>+</w:t>
            </w:r>
            <w:r>
              <w:rPr>
                <w:rFonts w:eastAsiaTheme="minorEastAsia" w:hint="eastAsia"/>
                <w:snapToGrid w:val="0"/>
                <w:szCs w:val="21"/>
              </w:rPr>
              <w:t>调节沉淀池</w:t>
            </w:r>
            <w:r>
              <w:rPr>
                <w:rFonts w:eastAsiaTheme="minorEastAsia" w:hint="eastAsia"/>
                <w:snapToGrid w:val="0"/>
                <w:szCs w:val="21"/>
              </w:rPr>
              <w:t>+</w:t>
            </w:r>
            <w:r>
              <w:rPr>
                <w:rFonts w:eastAsiaTheme="minorEastAsia" w:hint="eastAsia"/>
                <w:snapToGrid w:val="0"/>
                <w:szCs w:val="21"/>
              </w:rPr>
              <w:t>气浮机</w:t>
            </w:r>
            <w:r>
              <w:rPr>
                <w:rFonts w:eastAsiaTheme="minorEastAsia" w:hint="eastAsia"/>
                <w:snapToGrid w:val="0"/>
                <w:szCs w:val="21"/>
              </w:rPr>
              <w:t>+</w:t>
            </w:r>
            <w:r>
              <w:rPr>
                <w:rFonts w:eastAsiaTheme="minorEastAsia" w:hint="eastAsia"/>
                <w:snapToGrid w:val="0"/>
                <w:szCs w:val="21"/>
              </w:rPr>
              <w:t>水解酸化池</w:t>
            </w:r>
            <w:r>
              <w:rPr>
                <w:rFonts w:eastAsiaTheme="minorEastAsia" w:hint="eastAsia"/>
                <w:snapToGrid w:val="0"/>
                <w:szCs w:val="21"/>
              </w:rPr>
              <w:t>+</w:t>
            </w:r>
            <w:r>
              <w:rPr>
                <w:rFonts w:eastAsiaTheme="minorEastAsia" w:hint="eastAsia"/>
                <w:snapToGrid w:val="0"/>
                <w:szCs w:val="21"/>
              </w:rPr>
              <w:t>接触氧化池</w:t>
            </w:r>
            <w:r>
              <w:rPr>
                <w:rFonts w:eastAsiaTheme="minorEastAsia" w:hint="eastAsia"/>
                <w:snapToGrid w:val="0"/>
                <w:szCs w:val="21"/>
              </w:rPr>
              <w:t>+</w:t>
            </w:r>
            <w:r>
              <w:rPr>
                <w:rFonts w:eastAsiaTheme="minorEastAsia" w:hint="eastAsia"/>
                <w:snapToGrid w:val="0"/>
                <w:szCs w:val="21"/>
              </w:rPr>
              <w:t>二沉池</w:t>
            </w:r>
            <w:r>
              <w:rPr>
                <w:rFonts w:eastAsiaTheme="minorEastAsia" w:hint="eastAsia"/>
                <w:snapToGrid w:val="0"/>
                <w:szCs w:val="21"/>
              </w:rPr>
              <w:t>+</w:t>
            </w:r>
            <w:r>
              <w:rPr>
                <w:rFonts w:eastAsiaTheme="minorEastAsia" w:hint="eastAsia"/>
                <w:snapToGrid w:val="0"/>
                <w:szCs w:val="21"/>
              </w:rPr>
              <w:t>污泥浓缩池</w:t>
            </w:r>
            <w:r>
              <w:rPr>
                <w:rFonts w:eastAsiaTheme="minorEastAsia" w:hint="eastAsia"/>
                <w:snapToGrid w:val="0"/>
                <w:szCs w:val="21"/>
              </w:rPr>
              <w:t>+</w:t>
            </w:r>
            <w:r>
              <w:rPr>
                <w:rFonts w:eastAsiaTheme="minorEastAsia" w:hint="eastAsia"/>
                <w:snapToGrid w:val="0"/>
                <w:szCs w:val="21"/>
              </w:rPr>
              <w:t>次氯酸钠消毒工艺</w:t>
            </w:r>
          </w:p>
        </w:tc>
        <w:tc>
          <w:tcPr>
            <w:tcW w:w="342" w:type="pct"/>
            <w:vAlign w:val="center"/>
          </w:tcPr>
          <w:p w14:paraId="5E9E1A54" w14:textId="77777777" w:rsidR="00B14D53" w:rsidRDefault="00000000">
            <w:pPr>
              <w:contextualSpacing/>
              <w:jc w:val="center"/>
              <w:rPr>
                <w:szCs w:val="21"/>
              </w:rPr>
            </w:pPr>
            <w:r>
              <w:rPr>
                <w:szCs w:val="21"/>
              </w:rPr>
              <w:t>DW001</w:t>
            </w:r>
          </w:p>
        </w:tc>
        <w:tc>
          <w:tcPr>
            <w:tcW w:w="427" w:type="pct"/>
            <w:vAlign w:val="center"/>
          </w:tcPr>
          <w:p w14:paraId="7264F5E8" w14:textId="77777777" w:rsidR="00B14D53" w:rsidRDefault="00000000">
            <w:pPr>
              <w:contextualSpacing/>
              <w:jc w:val="center"/>
              <w:rPr>
                <w:szCs w:val="21"/>
              </w:rPr>
            </w:pPr>
            <w:r>
              <w:rPr>
                <w:szCs w:val="21"/>
              </w:rPr>
              <w:t>是</w:t>
            </w:r>
            <w:r>
              <w:rPr>
                <w:bCs/>
                <w:kern w:val="0"/>
                <w:szCs w:val="21"/>
              </w:rPr>
              <w:t>√</w:t>
            </w:r>
          </w:p>
          <w:p w14:paraId="263ACCFA" w14:textId="77777777" w:rsidR="00B14D53" w:rsidRDefault="00000000">
            <w:pPr>
              <w:contextualSpacing/>
              <w:jc w:val="center"/>
              <w:rPr>
                <w:szCs w:val="21"/>
              </w:rPr>
            </w:pPr>
            <w:r>
              <w:rPr>
                <w:szCs w:val="21"/>
              </w:rPr>
              <w:t>否</w:t>
            </w:r>
            <w:r>
              <w:rPr>
                <w:bCs/>
                <w:kern w:val="0"/>
                <w:szCs w:val="21"/>
              </w:rPr>
              <w:t>□</w:t>
            </w:r>
          </w:p>
        </w:tc>
        <w:tc>
          <w:tcPr>
            <w:tcW w:w="601" w:type="pct"/>
            <w:vAlign w:val="center"/>
          </w:tcPr>
          <w:p w14:paraId="38D66ADD" w14:textId="77777777" w:rsidR="00B14D53" w:rsidRDefault="00000000">
            <w:pPr>
              <w:contextualSpacing/>
              <w:jc w:val="center"/>
              <w:rPr>
                <w:bCs/>
                <w:kern w:val="0"/>
                <w:szCs w:val="21"/>
              </w:rPr>
            </w:pPr>
            <w:r>
              <w:rPr>
                <w:bCs/>
                <w:kern w:val="0"/>
                <w:szCs w:val="21"/>
              </w:rPr>
              <w:t>√</w:t>
            </w:r>
            <w:r>
              <w:rPr>
                <w:bCs/>
                <w:kern w:val="0"/>
                <w:szCs w:val="21"/>
              </w:rPr>
              <w:t>企业总排</w:t>
            </w:r>
          </w:p>
          <w:p w14:paraId="14CE642C" w14:textId="77777777" w:rsidR="00B14D53" w:rsidRDefault="00000000">
            <w:pPr>
              <w:contextualSpacing/>
              <w:jc w:val="center"/>
              <w:rPr>
                <w:bCs/>
                <w:kern w:val="0"/>
                <w:szCs w:val="21"/>
              </w:rPr>
            </w:pPr>
            <w:r>
              <w:rPr>
                <w:bCs/>
                <w:kern w:val="0"/>
                <w:szCs w:val="21"/>
              </w:rPr>
              <w:t>□</w:t>
            </w:r>
            <w:r>
              <w:rPr>
                <w:bCs/>
                <w:kern w:val="0"/>
                <w:szCs w:val="21"/>
              </w:rPr>
              <w:t>雨水总排</w:t>
            </w:r>
          </w:p>
          <w:p w14:paraId="4CE5B530" w14:textId="77777777" w:rsidR="00B14D53" w:rsidRDefault="00000000">
            <w:pPr>
              <w:contextualSpacing/>
              <w:jc w:val="center"/>
              <w:rPr>
                <w:bCs/>
                <w:kern w:val="0"/>
                <w:szCs w:val="21"/>
              </w:rPr>
            </w:pPr>
            <w:r>
              <w:rPr>
                <w:bCs/>
                <w:kern w:val="0"/>
                <w:szCs w:val="21"/>
              </w:rPr>
              <w:t>□</w:t>
            </w:r>
            <w:r>
              <w:rPr>
                <w:bCs/>
                <w:kern w:val="0"/>
                <w:szCs w:val="21"/>
              </w:rPr>
              <w:t>清净下水排放</w:t>
            </w:r>
          </w:p>
          <w:p w14:paraId="2364DE09" w14:textId="77777777" w:rsidR="00B14D53" w:rsidRDefault="00000000">
            <w:pPr>
              <w:contextualSpacing/>
              <w:jc w:val="center"/>
              <w:rPr>
                <w:bCs/>
                <w:kern w:val="0"/>
                <w:szCs w:val="21"/>
              </w:rPr>
            </w:pPr>
            <w:r>
              <w:rPr>
                <w:bCs/>
                <w:kern w:val="0"/>
                <w:szCs w:val="21"/>
              </w:rPr>
              <w:t>□</w:t>
            </w:r>
            <w:r>
              <w:rPr>
                <w:bCs/>
                <w:kern w:val="0"/>
                <w:szCs w:val="21"/>
              </w:rPr>
              <w:t>温排水排放</w:t>
            </w:r>
          </w:p>
          <w:p w14:paraId="6FA6D2D0" w14:textId="77777777" w:rsidR="00B14D53" w:rsidRDefault="00000000">
            <w:pPr>
              <w:contextualSpacing/>
              <w:jc w:val="center"/>
              <w:rPr>
                <w:szCs w:val="21"/>
              </w:rPr>
            </w:pPr>
            <w:r>
              <w:rPr>
                <w:bCs/>
                <w:kern w:val="0"/>
                <w:szCs w:val="21"/>
              </w:rPr>
              <w:t>□</w:t>
            </w:r>
            <w:r>
              <w:rPr>
                <w:bCs/>
                <w:kern w:val="0"/>
                <w:szCs w:val="21"/>
              </w:rPr>
              <w:t>车间或车间处理设施排放口</w:t>
            </w:r>
          </w:p>
        </w:tc>
      </w:tr>
      <w:tr w:rsidR="00B14D53" w14:paraId="1FBECC29" w14:textId="77777777">
        <w:trPr>
          <w:trHeight w:val="141"/>
          <w:jc w:val="center"/>
        </w:trPr>
        <w:tc>
          <w:tcPr>
            <w:tcW w:w="215" w:type="pct"/>
            <w:vAlign w:val="center"/>
          </w:tcPr>
          <w:p w14:paraId="06E7F132" w14:textId="77777777" w:rsidR="00B14D53" w:rsidRDefault="00000000">
            <w:pPr>
              <w:contextualSpacing/>
              <w:jc w:val="center"/>
              <w:rPr>
                <w:szCs w:val="21"/>
              </w:rPr>
            </w:pPr>
            <w:r>
              <w:rPr>
                <w:rFonts w:hint="eastAsia"/>
                <w:szCs w:val="21"/>
              </w:rPr>
              <w:t>2</w:t>
            </w:r>
          </w:p>
        </w:tc>
        <w:tc>
          <w:tcPr>
            <w:tcW w:w="310" w:type="pct"/>
            <w:vAlign w:val="center"/>
          </w:tcPr>
          <w:p w14:paraId="0B1CC7EF" w14:textId="77777777" w:rsidR="00B14D53" w:rsidRDefault="00000000">
            <w:pPr>
              <w:contextualSpacing/>
              <w:jc w:val="center"/>
              <w:rPr>
                <w:szCs w:val="21"/>
              </w:rPr>
            </w:pPr>
            <w:r>
              <w:rPr>
                <w:rFonts w:hint="eastAsia"/>
                <w:szCs w:val="21"/>
              </w:rPr>
              <w:t>生活污水</w:t>
            </w:r>
          </w:p>
        </w:tc>
        <w:tc>
          <w:tcPr>
            <w:tcW w:w="755" w:type="pct"/>
            <w:vAlign w:val="center"/>
          </w:tcPr>
          <w:p w14:paraId="6A2EDB36" w14:textId="77777777" w:rsidR="00B14D53" w:rsidRDefault="00000000">
            <w:pPr>
              <w:contextualSpacing/>
              <w:jc w:val="center"/>
              <w:rPr>
                <w:szCs w:val="21"/>
              </w:rPr>
            </w:pPr>
            <w:r>
              <w:rPr>
                <w:szCs w:val="21"/>
              </w:rPr>
              <w:t>pH</w:t>
            </w:r>
            <w:r>
              <w:rPr>
                <w:szCs w:val="21"/>
              </w:rPr>
              <w:t>、</w:t>
            </w:r>
            <w:r>
              <w:rPr>
                <w:szCs w:val="21"/>
              </w:rPr>
              <w:t>COD</w:t>
            </w:r>
            <w:r>
              <w:rPr>
                <w:szCs w:val="21"/>
              </w:rPr>
              <w:t>、氨氮、</w:t>
            </w:r>
            <w:r>
              <w:rPr>
                <w:szCs w:val="21"/>
              </w:rPr>
              <w:t>BOD</w:t>
            </w:r>
            <w:r>
              <w:rPr>
                <w:szCs w:val="21"/>
                <w:vertAlign w:val="subscript"/>
              </w:rPr>
              <w:t>5</w:t>
            </w:r>
            <w:r>
              <w:rPr>
                <w:szCs w:val="21"/>
              </w:rPr>
              <w:t>、</w:t>
            </w:r>
            <w:r>
              <w:rPr>
                <w:szCs w:val="21"/>
              </w:rPr>
              <w:t>SS</w:t>
            </w:r>
            <w:r>
              <w:rPr>
                <w:szCs w:val="21"/>
              </w:rPr>
              <w:t>、动植物油</w:t>
            </w:r>
          </w:p>
        </w:tc>
        <w:tc>
          <w:tcPr>
            <w:tcW w:w="395" w:type="pct"/>
            <w:vMerge/>
            <w:vAlign w:val="center"/>
          </w:tcPr>
          <w:p w14:paraId="229C9A15" w14:textId="77777777" w:rsidR="00B14D53" w:rsidRDefault="00B14D53">
            <w:pPr>
              <w:contextualSpacing/>
              <w:jc w:val="center"/>
              <w:rPr>
                <w:szCs w:val="21"/>
              </w:rPr>
            </w:pPr>
          </w:p>
        </w:tc>
        <w:tc>
          <w:tcPr>
            <w:tcW w:w="430" w:type="pct"/>
            <w:vMerge/>
            <w:vAlign w:val="center"/>
          </w:tcPr>
          <w:p w14:paraId="6CCFEDF2" w14:textId="77777777" w:rsidR="00B14D53" w:rsidRDefault="00B14D53">
            <w:pPr>
              <w:contextualSpacing/>
              <w:jc w:val="center"/>
              <w:rPr>
                <w:szCs w:val="21"/>
              </w:rPr>
            </w:pPr>
          </w:p>
        </w:tc>
        <w:tc>
          <w:tcPr>
            <w:tcW w:w="408" w:type="pct"/>
            <w:vAlign w:val="center"/>
          </w:tcPr>
          <w:p w14:paraId="7FE84057" w14:textId="77777777" w:rsidR="00B14D53" w:rsidRDefault="00000000">
            <w:pPr>
              <w:contextualSpacing/>
              <w:jc w:val="center"/>
              <w:rPr>
                <w:szCs w:val="21"/>
              </w:rPr>
            </w:pPr>
            <w:r>
              <w:rPr>
                <w:rFonts w:hint="eastAsia"/>
                <w:szCs w:val="21"/>
              </w:rPr>
              <w:t>/</w:t>
            </w:r>
          </w:p>
        </w:tc>
        <w:tc>
          <w:tcPr>
            <w:tcW w:w="426" w:type="pct"/>
            <w:vAlign w:val="center"/>
          </w:tcPr>
          <w:p w14:paraId="0BF94B4F" w14:textId="77777777" w:rsidR="00B14D53" w:rsidRDefault="00000000">
            <w:pPr>
              <w:contextualSpacing/>
              <w:jc w:val="center"/>
              <w:rPr>
                <w:szCs w:val="21"/>
              </w:rPr>
            </w:pPr>
            <w:r>
              <w:rPr>
                <w:rFonts w:hint="eastAsia"/>
                <w:szCs w:val="21"/>
              </w:rPr>
              <w:t>/</w:t>
            </w:r>
          </w:p>
        </w:tc>
        <w:tc>
          <w:tcPr>
            <w:tcW w:w="686" w:type="pct"/>
            <w:vAlign w:val="center"/>
          </w:tcPr>
          <w:p w14:paraId="75CAD95B" w14:textId="77777777" w:rsidR="00B14D53" w:rsidRDefault="00000000">
            <w:pPr>
              <w:contextualSpacing/>
              <w:jc w:val="center"/>
              <w:rPr>
                <w:rFonts w:eastAsiaTheme="minorEastAsia"/>
                <w:snapToGrid w:val="0"/>
                <w:szCs w:val="21"/>
              </w:rPr>
            </w:pPr>
            <w:r>
              <w:rPr>
                <w:rFonts w:eastAsiaTheme="minorEastAsia" w:hint="eastAsia"/>
                <w:snapToGrid w:val="0"/>
                <w:szCs w:val="21"/>
              </w:rPr>
              <w:t>/</w:t>
            </w:r>
          </w:p>
        </w:tc>
        <w:tc>
          <w:tcPr>
            <w:tcW w:w="342" w:type="pct"/>
            <w:vAlign w:val="center"/>
          </w:tcPr>
          <w:p w14:paraId="02017917" w14:textId="77777777" w:rsidR="00B14D53" w:rsidRDefault="00000000">
            <w:pPr>
              <w:contextualSpacing/>
              <w:jc w:val="center"/>
              <w:rPr>
                <w:szCs w:val="21"/>
              </w:rPr>
            </w:pPr>
            <w:r>
              <w:rPr>
                <w:szCs w:val="21"/>
              </w:rPr>
              <w:t>DW00</w:t>
            </w:r>
            <w:r>
              <w:rPr>
                <w:rFonts w:hint="eastAsia"/>
                <w:szCs w:val="21"/>
              </w:rPr>
              <w:t>2</w:t>
            </w:r>
          </w:p>
        </w:tc>
        <w:tc>
          <w:tcPr>
            <w:tcW w:w="427" w:type="pct"/>
            <w:vAlign w:val="center"/>
          </w:tcPr>
          <w:p w14:paraId="0D8F12BE" w14:textId="77777777" w:rsidR="00B14D53" w:rsidRDefault="00000000">
            <w:pPr>
              <w:contextualSpacing/>
              <w:jc w:val="center"/>
              <w:rPr>
                <w:szCs w:val="21"/>
              </w:rPr>
            </w:pPr>
            <w:r>
              <w:rPr>
                <w:szCs w:val="21"/>
              </w:rPr>
              <w:t>是</w:t>
            </w:r>
            <w:r>
              <w:rPr>
                <w:bCs/>
                <w:kern w:val="0"/>
                <w:szCs w:val="21"/>
              </w:rPr>
              <w:t>√</w:t>
            </w:r>
          </w:p>
          <w:p w14:paraId="44CEBD05" w14:textId="77777777" w:rsidR="00B14D53" w:rsidRDefault="00000000">
            <w:pPr>
              <w:contextualSpacing/>
              <w:jc w:val="center"/>
              <w:rPr>
                <w:szCs w:val="21"/>
              </w:rPr>
            </w:pPr>
            <w:r>
              <w:rPr>
                <w:szCs w:val="21"/>
              </w:rPr>
              <w:t>否</w:t>
            </w:r>
            <w:r>
              <w:rPr>
                <w:bCs/>
                <w:kern w:val="0"/>
                <w:szCs w:val="21"/>
              </w:rPr>
              <w:t>□</w:t>
            </w:r>
          </w:p>
        </w:tc>
        <w:tc>
          <w:tcPr>
            <w:tcW w:w="601" w:type="pct"/>
            <w:vAlign w:val="center"/>
          </w:tcPr>
          <w:p w14:paraId="4A3649EC" w14:textId="77777777" w:rsidR="00B14D53" w:rsidRDefault="00000000">
            <w:pPr>
              <w:contextualSpacing/>
              <w:jc w:val="center"/>
              <w:rPr>
                <w:bCs/>
                <w:kern w:val="0"/>
                <w:szCs w:val="21"/>
              </w:rPr>
            </w:pPr>
            <w:r>
              <w:rPr>
                <w:rFonts w:hint="eastAsia"/>
                <w:bCs/>
                <w:kern w:val="0"/>
                <w:szCs w:val="21"/>
              </w:rPr>
              <w:t>生活污水排放口</w:t>
            </w:r>
          </w:p>
        </w:tc>
      </w:tr>
    </w:tbl>
    <w:p w14:paraId="75AB0A2C" w14:textId="77777777" w:rsidR="00B14D53" w:rsidRDefault="00000000">
      <w:pPr>
        <w:jc w:val="center"/>
        <w:rPr>
          <w:b/>
          <w:bCs/>
          <w:lang w:eastAsia="en-US"/>
        </w:rPr>
      </w:pPr>
      <w:r>
        <w:rPr>
          <w:b/>
          <w:bCs/>
          <w:lang w:eastAsia="en-US"/>
        </w:rPr>
        <w:t>表</w:t>
      </w:r>
      <w:r>
        <w:rPr>
          <w:b/>
          <w:bCs/>
          <w:lang w:eastAsia="en-US"/>
        </w:rPr>
        <w:t>5-2-1</w:t>
      </w:r>
      <w:r>
        <w:rPr>
          <w:rFonts w:hint="eastAsia"/>
          <w:b/>
          <w:bCs/>
        </w:rPr>
        <w:t>8</w:t>
      </w:r>
      <w:r>
        <w:rPr>
          <w:b/>
          <w:bCs/>
          <w:lang w:eastAsia="en-US"/>
        </w:rPr>
        <w:t xml:space="preserve"> </w:t>
      </w:r>
      <w:r>
        <w:rPr>
          <w:b/>
          <w:bCs/>
          <w:lang w:eastAsia="en-US"/>
        </w:rPr>
        <w:t>废水间接排放口基本情况表</w:t>
      </w:r>
    </w:p>
    <w:tbl>
      <w:tblPr>
        <w:tblStyle w:val="56"/>
        <w:tblW w:w="4996" w:type="pct"/>
        <w:jc w:val="center"/>
        <w:tblBorders>
          <w:top w:val="single" w:sz="12" w:space="0" w:color="auto"/>
          <w:left w:val="none" w:sz="0" w:space="0" w:color="auto"/>
          <w:bottom w:val="single" w:sz="12" w:space="0" w:color="auto"/>
          <w:right w:val="none" w:sz="0" w:space="0" w:color="auto"/>
          <w:insideH w:val="single" w:sz="8" w:space="0" w:color="auto"/>
        </w:tblBorders>
        <w:tblLayout w:type="fixed"/>
        <w:tblLook w:val="04A0" w:firstRow="1" w:lastRow="0" w:firstColumn="1" w:lastColumn="0" w:noHBand="0" w:noVBand="1"/>
      </w:tblPr>
      <w:tblGrid>
        <w:gridCol w:w="696"/>
        <w:gridCol w:w="888"/>
        <w:gridCol w:w="1231"/>
        <w:gridCol w:w="1440"/>
        <w:gridCol w:w="1209"/>
        <w:gridCol w:w="988"/>
        <w:gridCol w:w="1256"/>
        <w:gridCol w:w="757"/>
        <w:gridCol w:w="1220"/>
        <w:gridCol w:w="1291"/>
        <w:gridCol w:w="2971"/>
      </w:tblGrid>
      <w:tr w:rsidR="00B14D53" w14:paraId="1FEE2A55" w14:textId="77777777">
        <w:trPr>
          <w:trHeight w:val="90"/>
          <w:jc w:val="center"/>
        </w:trPr>
        <w:tc>
          <w:tcPr>
            <w:tcW w:w="249" w:type="pct"/>
            <w:vMerge w:val="restart"/>
            <w:vAlign w:val="center"/>
          </w:tcPr>
          <w:p w14:paraId="3DB22C8D" w14:textId="77777777" w:rsidR="00B14D53" w:rsidRDefault="00000000">
            <w:pPr>
              <w:contextualSpacing/>
              <w:jc w:val="center"/>
              <w:rPr>
                <w:b/>
                <w:bCs/>
                <w:kern w:val="0"/>
                <w:szCs w:val="21"/>
              </w:rPr>
            </w:pPr>
            <w:r>
              <w:rPr>
                <w:b/>
                <w:bCs/>
                <w:kern w:val="0"/>
                <w:szCs w:val="21"/>
              </w:rPr>
              <w:t>序号</w:t>
            </w:r>
          </w:p>
        </w:tc>
        <w:tc>
          <w:tcPr>
            <w:tcW w:w="318" w:type="pct"/>
            <w:vMerge w:val="restart"/>
            <w:vAlign w:val="center"/>
          </w:tcPr>
          <w:p w14:paraId="7763ECB8" w14:textId="77777777" w:rsidR="00B14D53" w:rsidRDefault="00000000">
            <w:pPr>
              <w:contextualSpacing/>
              <w:jc w:val="center"/>
              <w:rPr>
                <w:b/>
                <w:bCs/>
                <w:kern w:val="0"/>
                <w:szCs w:val="21"/>
              </w:rPr>
            </w:pPr>
            <w:r>
              <w:rPr>
                <w:b/>
                <w:bCs/>
                <w:kern w:val="0"/>
                <w:szCs w:val="21"/>
              </w:rPr>
              <w:t>排放口编号</w:t>
            </w:r>
          </w:p>
        </w:tc>
        <w:tc>
          <w:tcPr>
            <w:tcW w:w="957" w:type="pct"/>
            <w:gridSpan w:val="2"/>
            <w:tcBorders>
              <w:bottom w:val="single" w:sz="4" w:space="0" w:color="000000"/>
            </w:tcBorders>
            <w:vAlign w:val="center"/>
          </w:tcPr>
          <w:p w14:paraId="4F7D4455" w14:textId="77777777" w:rsidR="00B14D53" w:rsidRDefault="00000000">
            <w:pPr>
              <w:contextualSpacing/>
              <w:jc w:val="center"/>
              <w:rPr>
                <w:b/>
                <w:bCs/>
                <w:kern w:val="0"/>
                <w:szCs w:val="21"/>
              </w:rPr>
            </w:pPr>
            <w:r>
              <w:rPr>
                <w:b/>
                <w:bCs/>
                <w:kern w:val="0"/>
                <w:szCs w:val="21"/>
                <w:lang w:eastAsia="en-US"/>
              </w:rPr>
              <w:t>排放口地理坐标</w:t>
            </w:r>
          </w:p>
        </w:tc>
        <w:tc>
          <w:tcPr>
            <w:tcW w:w="433" w:type="pct"/>
            <w:vMerge w:val="restart"/>
            <w:vAlign w:val="center"/>
          </w:tcPr>
          <w:p w14:paraId="13B34387" w14:textId="77777777" w:rsidR="00B14D53" w:rsidRDefault="00000000">
            <w:pPr>
              <w:contextualSpacing/>
              <w:jc w:val="center"/>
              <w:rPr>
                <w:b/>
                <w:bCs/>
                <w:kern w:val="0"/>
                <w:szCs w:val="21"/>
              </w:rPr>
            </w:pPr>
            <w:r>
              <w:rPr>
                <w:b/>
                <w:bCs/>
                <w:kern w:val="0"/>
                <w:szCs w:val="21"/>
              </w:rPr>
              <w:t>废水排放量</w:t>
            </w:r>
            <w:r>
              <w:rPr>
                <w:b/>
                <w:bCs/>
                <w:kern w:val="0"/>
                <w:szCs w:val="21"/>
              </w:rPr>
              <w:t>/</w:t>
            </w:r>
            <w:r>
              <w:rPr>
                <w:b/>
                <w:bCs/>
                <w:kern w:val="0"/>
                <w:szCs w:val="21"/>
              </w:rPr>
              <w:t>（</w:t>
            </w:r>
            <w:r>
              <w:rPr>
                <w:rFonts w:hint="eastAsia"/>
                <w:b/>
                <w:bCs/>
                <w:kern w:val="0"/>
                <w:szCs w:val="21"/>
              </w:rPr>
              <w:t>万</w:t>
            </w:r>
            <w:r>
              <w:rPr>
                <w:b/>
                <w:bCs/>
                <w:kern w:val="0"/>
                <w:szCs w:val="21"/>
              </w:rPr>
              <w:t>t/</w:t>
            </w:r>
            <w:r>
              <w:rPr>
                <w:rFonts w:hint="eastAsia"/>
                <w:b/>
                <w:bCs/>
                <w:kern w:val="0"/>
                <w:szCs w:val="21"/>
              </w:rPr>
              <w:t>年</w:t>
            </w:r>
            <w:r>
              <w:rPr>
                <w:b/>
                <w:bCs/>
                <w:kern w:val="0"/>
                <w:szCs w:val="21"/>
              </w:rPr>
              <w:t>）</w:t>
            </w:r>
          </w:p>
        </w:tc>
        <w:tc>
          <w:tcPr>
            <w:tcW w:w="354" w:type="pct"/>
            <w:vMerge w:val="restart"/>
            <w:vAlign w:val="center"/>
          </w:tcPr>
          <w:p w14:paraId="5F3252EE" w14:textId="77777777" w:rsidR="00B14D53" w:rsidRDefault="00000000">
            <w:pPr>
              <w:contextualSpacing/>
              <w:jc w:val="center"/>
              <w:rPr>
                <w:b/>
                <w:bCs/>
                <w:kern w:val="0"/>
                <w:szCs w:val="21"/>
              </w:rPr>
            </w:pPr>
            <w:r>
              <w:rPr>
                <w:b/>
                <w:bCs/>
                <w:kern w:val="0"/>
                <w:szCs w:val="21"/>
              </w:rPr>
              <w:t>排放去向</w:t>
            </w:r>
          </w:p>
        </w:tc>
        <w:tc>
          <w:tcPr>
            <w:tcW w:w="450" w:type="pct"/>
            <w:vMerge w:val="restart"/>
            <w:vAlign w:val="center"/>
          </w:tcPr>
          <w:p w14:paraId="28A459D7" w14:textId="77777777" w:rsidR="00B14D53" w:rsidRDefault="00000000">
            <w:pPr>
              <w:contextualSpacing/>
              <w:jc w:val="center"/>
              <w:rPr>
                <w:b/>
                <w:bCs/>
                <w:kern w:val="0"/>
                <w:szCs w:val="21"/>
              </w:rPr>
            </w:pPr>
            <w:r>
              <w:rPr>
                <w:b/>
                <w:bCs/>
                <w:kern w:val="0"/>
                <w:szCs w:val="21"/>
              </w:rPr>
              <w:t>排放规律</w:t>
            </w:r>
          </w:p>
        </w:tc>
        <w:tc>
          <w:tcPr>
            <w:tcW w:w="271" w:type="pct"/>
            <w:vMerge w:val="restart"/>
            <w:vAlign w:val="center"/>
          </w:tcPr>
          <w:p w14:paraId="44175DBA" w14:textId="77777777" w:rsidR="00B14D53" w:rsidRDefault="00000000">
            <w:pPr>
              <w:contextualSpacing/>
              <w:jc w:val="center"/>
              <w:rPr>
                <w:b/>
                <w:bCs/>
                <w:kern w:val="0"/>
                <w:szCs w:val="21"/>
              </w:rPr>
            </w:pPr>
            <w:r>
              <w:rPr>
                <w:b/>
                <w:bCs/>
                <w:kern w:val="0"/>
                <w:szCs w:val="21"/>
              </w:rPr>
              <w:t>间歇排放时段</w:t>
            </w:r>
          </w:p>
        </w:tc>
        <w:tc>
          <w:tcPr>
            <w:tcW w:w="1964" w:type="pct"/>
            <w:gridSpan w:val="3"/>
            <w:tcBorders>
              <w:bottom w:val="single" w:sz="4" w:space="0" w:color="000000"/>
            </w:tcBorders>
            <w:vAlign w:val="center"/>
          </w:tcPr>
          <w:p w14:paraId="4F73937E" w14:textId="77777777" w:rsidR="00B14D53" w:rsidRDefault="00000000">
            <w:pPr>
              <w:contextualSpacing/>
              <w:jc w:val="center"/>
              <w:rPr>
                <w:b/>
                <w:bCs/>
                <w:kern w:val="0"/>
                <w:szCs w:val="21"/>
              </w:rPr>
            </w:pPr>
            <w:r>
              <w:rPr>
                <w:b/>
                <w:bCs/>
                <w:kern w:val="0"/>
                <w:szCs w:val="21"/>
              </w:rPr>
              <w:t>受纳污水处理厂信息</w:t>
            </w:r>
          </w:p>
        </w:tc>
      </w:tr>
      <w:tr w:rsidR="00B14D53" w14:paraId="36A6BFE3" w14:textId="77777777">
        <w:trPr>
          <w:trHeight w:val="607"/>
          <w:jc w:val="center"/>
        </w:trPr>
        <w:tc>
          <w:tcPr>
            <w:tcW w:w="249" w:type="pct"/>
            <w:vMerge/>
            <w:tcBorders>
              <w:bottom w:val="single" w:sz="4" w:space="0" w:color="000000"/>
            </w:tcBorders>
            <w:vAlign w:val="center"/>
          </w:tcPr>
          <w:p w14:paraId="0EDAC564" w14:textId="77777777" w:rsidR="00B14D53" w:rsidRDefault="00B14D53">
            <w:pPr>
              <w:contextualSpacing/>
              <w:jc w:val="center"/>
              <w:rPr>
                <w:b/>
                <w:bCs/>
                <w:kern w:val="0"/>
                <w:szCs w:val="21"/>
              </w:rPr>
            </w:pPr>
          </w:p>
        </w:tc>
        <w:tc>
          <w:tcPr>
            <w:tcW w:w="318" w:type="pct"/>
            <w:vMerge/>
            <w:tcBorders>
              <w:bottom w:val="single" w:sz="4" w:space="0" w:color="000000"/>
            </w:tcBorders>
            <w:vAlign w:val="center"/>
          </w:tcPr>
          <w:p w14:paraId="79D33DE1" w14:textId="77777777" w:rsidR="00B14D53" w:rsidRDefault="00B14D53">
            <w:pPr>
              <w:contextualSpacing/>
              <w:jc w:val="center"/>
              <w:rPr>
                <w:b/>
                <w:bCs/>
                <w:kern w:val="0"/>
                <w:szCs w:val="21"/>
              </w:rPr>
            </w:pPr>
          </w:p>
        </w:tc>
        <w:tc>
          <w:tcPr>
            <w:tcW w:w="441" w:type="pct"/>
            <w:tcBorders>
              <w:top w:val="single" w:sz="4" w:space="0" w:color="000000"/>
              <w:bottom w:val="single" w:sz="4" w:space="0" w:color="000000"/>
            </w:tcBorders>
            <w:vAlign w:val="center"/>
          </w:tcPr>
          <w:p w14:paraId="37F9D58D" w14:textId="77777777" w:rsidR="00B14D53" w:rsidRDefault="00000000">
            <w:pPr>
              <w:contextualSpacing/>
              <w:jc w:val="center"/>
              <w:rPr>
                <w:b/>
                <w:bCs/>
                <w:kern w:val="0"/>
                <w:szCs w:val="21"/>
              </w:rPr>
            </w:pPr>
            <w:r>
              <w:rPr>
                <w:b/>
                <w:bCs/>
                <w:kern w:val="0"/>
                <w:szCs w:val="21"/>
              </w:rPr>
              <w:t>经度</w:t>
            </w:r>
          </w:p>
        </w:tc>
        <w:tc>
          <w:tcPr>
            <w:tcW w:w="516" w:type="pct"/>
            <w:tcBorders>
              <w:top w:val="single" w:sz="4" w:space="0" w:color="000000"/>
              <w:bottom w:val="single" w:sz="4" w:space="0" w:color="000000"/>
            </w:tcBorders>
            <w:vAlign w:val="center"/>
          </w:tcPr>
          <w:p w14:paraId="068262F5" w14:textId="77777777" w:rsidR="00B14D53" w:rsidRDefault="00000000">
            <w:pPr>
              <w:contextualSpacing/>
              <w:jc w:val="center"/>
              <w:rPr>
                <w:b/>
                <w:bCs/>
                <w:kern w:val="0"/>
                <w:szCs w:val="21"/>
              </w:rPr>
            </w:pPr>
            <w:r>
              <w:rPr>
                <w:b/>
                <w:bCs/>
                <w:kern w:val="0"/>
                <w:szCs w:val="21"/>
              </w:rPr>
              <w:t>纬度</w:t>
            </w:r>
          </w:p>
        </w:tc>
        <w:tc>
          <w:tcPr>
            <w:tcW w:w="433" w:type="pct"/>
            <w:vMerge/>
            <w:tcBorders>
              <w:bottom w:val="single" w:sz="4" w:space="0" w:color="000000"/>
            </w:tcBorders>
            <w:vAlign w:val="center"/>
          </w:tcPr>
          <w:p w14:paraId="531B1796" w14:textId="77777777" w:rsidR="00B14D53" w:rsidRDefault="00B14D53">
            <w:pPr>
              <w:contextualSpacing/>
              <w:jc w:val="center"/>
              <w:rPr>
                <w:b/>
                <w:bCs/>
                <w:kern w:val="0"/>
                <w:szCs w:val="21"/>
              </w:rPr>
            </w:pPr>
          </w:p>
        </w:tc>
        <w:tc>
          <w:tcPr>
            <w:tcW w:w="354" w:type="pct"/>
            <w:vMerge/>
            <w:tcBorders>
              <w:bottom w:val="single" w:sz="4" w:space="0" w:color="000000"/>
            </w:tcBorders>
            <w:vAlign w:val="center"/>
          </w:tcPr>
          <w:p w14:paraId="5164B360" w14:textId="77777777" w:rsidR="00B14D53" w:rsidRDefault="00B14D53">
            <w:pPr>
              <w:contextualSpacing/>
              <w:jc w:val="center"/>
              <w:rPr>
                <w:b/>
                <w:bCs/>
                <w:kern w:val="0"/>
                <w:szCs w:val="21"/>
              </w:rPr>
            </w:pPr>
          </w:p>
        </w:tc>
        <w:tc>
          <w:tcPr>
            <w:tcW w:w="450" w:type="pct"/>
            <w:vMerge/>
            <w:tcBorders>
              <w:bottom w:val="single" w:sz="4" w:space="0" w:color="000000"/>
            </w:tcBorders>
            <w:vAlign w:val="center"/>
          </w:tcPr>
          <w:p w14:paraId="1F425A92" w14:textId="77777777" w:rsidR="00B14D53" w:rsidRDefault="00B14D53">
            <w:pPr>
              <w:contextualSpacing/>
              <w:jc w:val="center"/>
              <w:rPr>
                <w:b/>
                <w:bCs/>
                <w:kern w:val="0"/>
                <w:szCs w:val="21"/>
              </w:rPr>
            </w:pPr>
          </w:p>
        </w:tc>
        <w:tc>
          <w:tcPr>
            <w:tcW w:w="271" w:type="pct"/>
            <w:vMerge/>
            <w:tcBorders>
              <w:bottom w:val="single" w:sz="4" w:space="0" w:color="000000"/>
            </w:tcBorders>
            <w:vAlign w:val="center"/>
          </w:tcPr>
          <w:p w14:paraId="4F994DB5" w14:textId="77777777" w:rsidR="00B14D53" w:rsidRDefault="00B14D53">
            <w:pPr>
              <w:contextualSpacing/>
              <w:jc w:val="center"/>
              <w:rPr>
                <w:b/>
                <w:bCs/>
                <w:kern w:val="0"/>
                <w:szCs w:val="21"/>
              </w:rPr>
            </w:pPr>
          </w:p>
        </w:tc>
        <w:tc>
          <w:tcPr>
            <w:tcW w:w="437" w:type="pct"/>
            <w:tcBorders>
              <w:top w:val="single" w:sz="4" w:space="0" w:color="000000"/>
              <w:bottom w:val="single" w:sz="4" w:space="0" w:color="000000"/>
            </w:tcBorders>
            <w:vAlign w:val="center"/>
          </w:tcPr>
          <w:p w14:paraId="4746FB36" w14:textId="77777777" w:rsidR="00B14D53" w:rsidRDefault="00000000">
            <w:pPr>
              <w:contextualSpacing/>
              <w:jc w:val="center"/>
              <w:rPr>
                <w:b/>
                <w:bCs/>
                <w:kern w:val="0"/>
                <w:szCs w:val="21"/>
              </w:rPr>
            </w:pPr>
            <w:r>
              <w:rPr>
                <w:b/>
                <w:bCs/>
                <w:kern w:val="0"/>
                <w:szCs w:val="21"/>
              </w:rPr>
              <w:t>名称</w:t>
            </w:r>
          </w:p>
        </w:tc>
        <w:tc>
          <w:tcPr>
            <w:tcW w:w="463" w:type="pct"/>
            <w:tcBorders>
              <w:top w:val="single" w:sz="4" w:space="0" w:color="000000"/>
              <w:bottom w:val="single" w:sz="4" w:space="0" w:color="000000"/>
            </w:tcBorders>
            <w:vAlign w:val="center"/>
          </w:tcPr>
          <w:p w14:paraId="09201406" w14:textId="77777777" w:rsidR="00B14D53" w:rsidRDefault="00000000">
            <w:pPr>
              <w:contextualSpacing/>
              <w:jc w:val="center"/>
              <w:rPr>
                <w:b/>
                <w:bCs/>
                <w:kern w:val="0"/>
                <w:szCs w:val="21"/>
              </w:rPr>
            </w:pPr>
            <w:r>
              <w:rPr>
                <w:b/>
                <w:bCs/>
                <w:kern w:val="0"/>
                <w:szCs w:val="21"/>
              </w:rPr>
              <w:t>污染物种类</w:t>
            </w:r>
          </w:p>
        </w:tc>
        <w:tc>
          <w:tcPr>
            <w:tcW w:w="1064" w:type="pct"/>
            <w:tcBorders>
              <w:top w:val="single" w:sz="4" w:space="0" w:color="000000"/>
              <w:bottom w:val="single" w:sz="4" w:space="0" w:color="000000"/>
            </w:tcBorders>
            <w:vAlign w:val="center"/>
          </w:tcPr>
          <w:p w14:paraId="2EACCFA5" w14:textId="77777777" w:rsidR="00B14D53" w:rsidRDefault="00000000">
            <w:pPr>
              <w:contextualSpacing/>
              <w:jc w:val="center"/>
              <w:rPr>
                <w:b/>
                <w:bCs/>
                <w:kern w:val="0"/>
                <w:szCs w:val="21"/>
              </w:rPr>
            </w:pPr>
            <w:r>
              <w:rPr>
                <w:b/>
                <w:bCs/>
                <w:kern w:val="21"/>
                <w:szCs w:val="21"/>
              </w:rPr>
              <w:t>五常市山河屯林业局污水处理厂</w:t>
            </w:r>
            <w:r>
              <w:rPr>
                <w:b/>
                <w:bCs/>
                <w:kern w:val="0"/>
                <w:szCs w:val="21"/>
              </w:rPr>
              <w:t>排放标准浓度限值</w:t>
            </w:r>
            <w:r>
              <w:rPr>
                <w:b/>
                <w:bCs/>
                <w:kern w:val="0"/>
                <w:szCs w:val="21"/>
              </w:rPr>
              <w:t>/</w:t>
            </w:r>
            <w:r>
              <w:rPr>
                <w:b/>
                <w:bCs/>
                <w:kern w:val="0"/>
                <w:szCs w:val="21"/>
              </w:rPr>
              <w:t>（</w:t>
            </w:r>
            <w:r>
              <w:rPr>
                <w:b/>
                <w:bCs/>
                <w:kern w:val="0"/>
                <w:szCs w:val="21"/>
              </w:rPr>
              <w:t>mg/L</w:t>
            </w:r>
            <w:r>
              <w:rPr>
                <w:b/>
                <w:bCs/>
                <w:kern w:val="0"/>
                <w:szCs w:val="21"/>
              </w:rPr>
              <w:t>）</w:t>
            </w:r>
          </w:p>
        </w:tc>
      </w:tr>
      <w:tr w:rsidR="00B14D53" w14:paraId="284953D4" w14:textId="77777777">
        <w:trPr>
          <w:trHeight w:val="289"/>
          <w:jc w:val="center"/>
        </w:trPr>
        <w:tc>
          <w:tcPr>
            <w:tcW w:w="249" w:type="pct"/>
            <w:vMerge w:val="restart"/>
            <w:tcBorders>
              <w:top w:val="single" w:sz="4" w:space="0" w:color="000000"/>
              <w:bottom w:val="single" w:sz="8" w:space="0" w:color="auto"/>
            </w:tcBorders>
            <w:vAlign w:val="center"/>
          </w:tcPr>
          <w:p w14:paraId="361C443A" w14:textId="77777777" w:rsidR="00B14D53" w:rsidRDefault="00000000">
            <w:pPr>
              <w:contextualSpacing/>
              <w:jc w:val="center"/>
              <w:rPr>
                <w:kern w:val="0"/>
                <w:szCs w:val="21"/>
              </w:rPr>
            </w:pPr>
            <w:r>
              <w:rPr>
                <w:kern w:val="0"/>
                <w:szCs w:val="21"/>
              </w:rPr>
              <w:t>1</w:t>
            </w:r>
          </w:p>
        </w:tc>
        <w:tc>
          <w:tcPr>
            <w:tcW w:w="318" w:type="pct"/>
            <w:vMerge w:val="restart"/>
            <w:tcBorders>
              <w:top w:val="single" w:sz="4" w:space="0" w:color="000000"/>
              <w:bottom w:val="single" w:sz="8" w:space="0" w:color="auto"/>
            </w:tcBorders>
            <w:vAlign w:val="center"/>
          </w:tcPr>
          <w:p w14:paraId="757239F6" w14:textId="77777777" w:rsidR="00B14D53" w:rsidRDefault="00000000">
            <w:pPr>
              <w:contextualSpacing/>
              <w:jc w:val="center"/>
              <w:rPr>
                <w:kern w:val="0"/>
                <w:szCs w:val="21"/>
              </w:rPr>
            </w:pPr>
            <w:r>
              <w:rPr>
                <w:kern w:val="0"/>
                <w:szCs w:val="21"/>
              </w:rPr>
              <w:t>DW001</w:t>
            </w:r>
          </w:p>
        </w:tc>
        <w:tc>
          <w:tcPr>
            <w:tcW w:w="441" w:type="pct"/>
            <w:vMerge w:val="restart"/>
            <w:tcBorders>
              <w:top w:val="single" w:sz="4" w:space="0" w:color="000000"/>
              <w:bottom w:val="single" w:sz="8" w:space="0" w:color="auto"/>
            </w:tcBorders>
            <w:vAlign w:val="center"/>
          </w:tcPr>
          <w:p w14:paraId="3A268ADA" w14:textId="77777777" w:rsidR="00B14D53" w:rsidRDefault="00000000">
            <w:pPr>
              <w:contextualSpacing/>
              <w:jc w:val="center"/>
              <w:rPr>
                <w:kern w:val="0"/>
                <w:szCs w:val="21"/>
              </w:rPr>
            </w:pPr>
            <w:r>
              <w:rPr>
                <w:kern w:val="0"/>
                <w:szCs w:val="21"/>
              </w:rPr>
              <w:t>127.</w:t>
            </w:r>
            <w:r>
              <w:rPr>
                <w:rFonts w:hint="eastAsia"/>
                <w:kern w:val="0"/>
                <w:szCs w:val="21"/>
              </w:rPr>
              <w:t>218563</w:t>
            </w:r>
          </w:p>
        </w:tc>
        <w:tc>
          <w:tcPr>
            <w:tcW w:w="516" w:type="pct"/>
            <w:vMerge w:val="restart"/>
            <w:tcBorders>
              <w:top w:val="single" w:sz="4" w:space="0" w:color="000000"/>
              <w:bottom w:val="single" w:sz="8" w:space="0" w:color="auto"/>
            </w:tcBorders>
            <w:vAlign w:val="center"/>
          </w:tcPr>
          <w:p w14:paraId="73A9AA07" w14:textId="77777777" w:rsidR="00B14D53" w:rsidRDefault="00000000">
            <w:pPr>
              <w:contextualSpacing/>
              <w:jc w:val="center"/>
              <w:rPr>
                <w:kern w:val="0"/>
                <w:szCs w:val="21"/>
              </w:rPr>
            </w:pPr>
            <w:r>
              <w:rPr>
                <w:kern w:val="0"/>
                <w:szCs w:val="21"/>
              </w:rPr>
              <w:t>44.</w:t>
            </w:r>
            <w:r>
              <w:rPr>
                <w:rFonts w:hint="eastAsia"/>
                <w:kern w:val="0"/>
                <w:szCs w:val="21"/>
              </w:rPr>
              <w:t>698277</w:t>
            </w:r>
          </w:p>
        </w:tc>
        <w:tc>
          <w:tcPr>
            <w:tcW w:w="433" w:type="pct"/>
            <w:vMerge w:val="restart"/>
            <w:tcBorders>
              <w:top w:val="single" w:sz="4" w:space="0" w:color="000000"/>
            </w:tcBorders>
            <w:vAlign w:val="center"/>
          </w:tcPr>
          <w:p w14:paraId="4EECD0C5" w14:textId="77777777" w:rsidR="00B14D53" w:rsidRDefault="00000000">
            <w:pPr>
              <w:contextualSpacing/>
              <w:jc w:val="center"/>
              <w:rPr>
                <w:kern w:val="0"/>
                <w:szCs w:val="21"/>
              </w:rPr>
            </w:pPr>
            <w:r>
              <w:rPr>
                <w:szCs w:val="21"/>
              </w:rPr>
              <w:t>7</w:t>
            </w:r>
            <w:r>
              <w:rPr>
                <w:rFonts w:hint="eastAsia"/>
                <w:szCs w:val="21"/>
              </w:rPr>
              <w:t>.</w:t>
            </w:r>
            <w:r>
              <w:rPr>
                <w:szCs w:val="21"/>
              </w:rPr>
              <w:t>897524</w:t>
            </w:r>
          </w:p>
        </w:tc>
        <w:tc>
          <w:tcPr>
            <w:tcW w:w="354" w:type="pct"/>
            <w:vMerge w:val="restart"/>
            <w:tcBorders>
              <w:top w:val="single" w:sz="4" w:space="0" w:color="000000"/>
              <w:bottom w:val="single" w:sz="8" w:space="0" w:color="auto"/>
            </w:tcBorders>
            <w:vAlign w:val="center"/>
          </w:tcPr>
          <w:p w14:paraId="6E11E3B7" w14:textId="77777777" w:rsidR="00B14D53" w:rsidRDefault="00000000">
            <w:pPr>
              <w:contextualSpacing/>
              <w:jc w:val="center"/>
              <w:rPr>
                <w:kern w:val="0"/>
                <w:szCs w:val="21"/>
              </w:rPr>
            </w:pPr>
            <w:r>
              <w:rPr>
                <w:rFonts w:hint="eastAsia"/>
                <w:kern w:val="0"/>
                <w:szCs w:val="21"/>
              </w:rPr>
              <w:t>进入城镇污水处理厂</w:t>
            </w:r>
          </w:p>
        </w:tc>
        <w:tc>
          <w:tcPr>
            <w:tcW w:w="450" w:type="pct"/>
            <w:vMerge w:val="restart"/>
            <w:tcBorders>
              <w:top w:val="single" w:sz="4" w:space="0" w:color="000000"/>
              <w:bottom w:val="single" w:sz="8" w:space="0" w:color="auto"/>
            </w:tcBorders>
            <w:vAlign w:val="center"/>
          </w:tcPr>
          <w:p w14:paraId="3F59CEA1" w14:textId="77777777" w:rsidR="00B14D53" w:rsidRDefault="00000000">
            <w:pPr>
              <w:contextualSpacing/>
              <w:jc w:val="center"/>
              <w:rPr>
                <w:kern w:val="0"/>
                <w:szCs w:val="21"/>
              </w:rPr>
            </w:pPr>
            <w:r>
              <w:rPr>
                <w:kern w:val="0"/>
                <w:szCs w:val="21"/>
              </w:rPr>
              <w:t>间断排放，排放期间流量不稳定且无规律，但不属于冲击型排放</w:t>
            </w:r>
          </w:p>
        </w:tc>
        <w:tc>
          <w:tcPr>
            <w:tcW w:w="271" w:type="pct"/>
            <w:vMerge w:val="restart"/>
            <w:tcBorders>
              <w:top w:val="single" w:sz="4" w:space="0" w:color="000000"/>
              <w:bottom w:val="single" w:sz="8" w:space="0" w:color="auto"/>
            </w:tcBorders>
            <w:vAlign w:val="center"/>
          </w:tcPr>
          <w:p w14:paraId="7358C6BC" w14:textId="77777777" w:rsidR="00B14D53" w:rsidRDefault="00000000">
            <w:pPr>
              <w:contextualSpacing/>
              <w:jc w:val="center"/>
              <w:rPr>
                <w:kern w:val="0"/>
                <w:szCs w:val="21"/>
              </w:rPr>
            </w:pPr>
            <w:r>
              <w:rPr>
                <w:kern w:val="0"/>
                <w:szCs w:val="21"/>
              </w:rPr>
              <w:t>/</w:t>
            </w:r>
          </w:p>
        </w:tc>
        <w:tc>
          <w:tcPr>
            <w:tcW w:w="437" w:type="pct"/>
            <w:vMerge w:val="restart"/>
            <w:tcBorders>
              <w:top w:val="single" w:sz="4" w:space="0" w:color="000000"/>
              <w:bottom w:val="single" w:sz="8" w:space="0" w:color="auto"/>
            </w:tcBorders>
            <w:vAlign w:val="center"/>
          </w:tcPr>
          <w:p w14:paraId="2FCD08BE" w14:textId="77777777" w:rsidR="00B14D53" w:rsidRDefault="00000000">
            <w:pPr>
              <w:contextualSpacing/>
              <w:jc w:val="center"/>
              <w:rPr>
                <w:kern w:val="0"/>
                <w:szCs w:val="21"/>
              </w:rPr>
            </w:pPr>
            <w:r>
              <w:rPr>
                <w:kern w:val="0"/>
                <w:szCs w:val="21"/>
              </w:rPr>
              <w:t>五常市民泉污水处理有限公司（五常市山河屯林业局污水处理厂）</w:t>
            </w:r>
          </w:p>
        </w:tc>
        <w:tc>
          <w:tcPr>
            <w:tcW w:w="463" w:type="pct"/>
            <w:tcBorders>
              <w:top w:val="single" w:sz="4" w:space="0" w:color="000000"/>
              <w:bottom w:val="single" w:sz="4" w:space="0" w:color="000000"/>
            </w:tcBorders>
            <w:vAlign w:val="center"/>
          </w:tcPr>
          <w:p w14:paraId="67D530F8" w14:textId="77777777" w:rsidR="00B14D53" w:rsidRDefault="00000000">
            <w:pPr>
              <w:contextualSpacing/>
              <w:jc w:val="center"/>
              <w:rPr>
                <w:kern w:val="0"/>
                <w:szCs w:val="21"/>
              </w:rPr>
            </w:pPr>
            <w:r>
              <w:rPr>
                <w:kern w:val="0"/>
                <w:szCs w:val="21"/>
              </w:rPr>
              <w:t>COD</w:t>
            </w:r>
          </w:p>
        </w:tc>
        <w:tc>
          <w:tcPr>
            <w:tcW w:w="1064" w:type="pct"/>
            <w:tcBorders>
              <w:top w:val="single" w:sz="4" w:space="0" w:color="000000"/>
              <w:bottom w:val="single" w:sz="4" w:space="0" w:color="000000"/>
            </w:tcBorders>
            <w:vAlign w:val="center"/>
          </w:tcPr>
          <w:p w14:paraId="78C49306" w14:textId="77777777" w:rsidR="00B14D53" w:rsidRDefault="00000000">
            <w:pPr>
              <w:contextualSpacing/>
              <w:jc w:val="center"/>
              <w:rPr>
                <w:kern w:val="0"/>
                <w:szCs w:val="21"/>
              </w:rPr>
            </w:pPr>
            <w:r>
              <w:rPr>
                <w:rFonts w:hint="eastAsia"/>
                <w:kern w:val="0"/>
                <w:szCs w:val="21"/>
              </w:rPr>
              <w:t>50</w:t>
            </w:r>
          </w:p>
        </w:tc>
      </w:tr>
      <w:tr w:rsidR="00B14D53" w14:paraId="50928F30" w14:textId="77777777">
        <w:trPr>
          <w:trHeight w:val="199"/>
          <w:jc w:val="center"/>
        </w:trPr>
        <w:tc>
          <w:tcPr>
            <w:tcW w:w="249" w:type="pct"/>
            <w:vMerge/>
            <w:tcBorders>
              <w:top w:val="single" w:sz="4" w:space="0" w:color="000000"/>
              <w:bottom w:val="single" w:sz="8" w:space="0" w:color="auto"/>
            </w:tcBorders>
            <w:vAlign w:val="center"/>
          </w:tcPr>
          <w:p w14:paraId="2021AF3B" w14:textId="77777777" w:rsidR="00B14D53" w:rsidRDefault="00B14D53">
            <w:pPr>
              <w:contextualSpacing/>
              <w:jc w:val="center"/>
              <w:rPr>
                <w:kern w:val="0"/>
                <w:szCs w:val="21"/>
              </w:rPr>
            </w:pPr>
          </w:p>
        </w:tc>
        <w:tc>
          <w:tcPr>
            <w:tcW w:w="318" w:type="pct"/>
            <w:vMerge/>
            <w:tcBorders>
              <w:top w:val="single" w:sz="4" w:space="0" w:color="000000"/>
              <w:bottom w:val="single" w:sz="8" w:space="0" w:color="auto"/>
            </w:tcBorders>
            <w:vAlign w:val="center"/>
          </w:tcPr>
          <w:p w14:paraId="474C1B49" w14:textId="77777777" w:rsidR="00B14D53" w:rsidRDefault="00B14D53">
            <w:pPr>
              <w:contextualSpacing/>
              <w:jc w:val="center"/>
              <w:rPr>
                <w:kern w:val="0"/>
                <w:szCs w:val="21"/>
              </w:rPr>
            </w:pPr>
          </w:p>
        </w:tc>
        <w:tc>
          <w:tcPr>
            <w:tcW w:w="441" w:type="pct"/>
            <w:vMerge/>
            <w:tcBorders>
              <w:top w:val="single" w:sz="4" w:space="0" w:color="000000"/>
              <w:bottom w:val="single" w:sz="8" w:space="0" w:color="auto"/>
            </w:tcBorders>
            <w:vAlign w:val="center"/>
          </w:tcPr>
          <w:p w14:paraId="4DBFA9D8" w14:textId="77777777" w:rsidR="00B14D53" w:rsidRDefault="00B14D53">
            <w:pPr>
              <w:contextualSpacing/>
              <w:jc w:val="center"/>
              <w:rPr>
                <w:kern w:val="0"/>
                <w:szCs w:val="21"/>
              </w:rPr>
            </w:pPr>
          </w:p>
        </w:tc>
        <w:tc>
          <w:tcPr>
            <w:tcW w:w="516" w:type="pct"/>
            <w:vMerge/>
            <w:tcBorders>
              <w:top w:val="single" w:sz="4" w:space="0" w:color="000000"/>
              <w:bottom w:val="single" w:sz="8" w:space="0" w:color="auto"/>
            </w:tcBorders>
            <w:vAlign w:val="center"/>
          </w:tcPr>
          <w:p w14:paraId="4CE393A4" w14:textId="77777777" w:rsidR="00B14D53" w:rsidRDefault="00B14D53">
            <w:pPr>
              <w:contextualSpacing/>
              <w:jc w:val="center"/>
              <w:rPr>
                <w:kern w:val="0"/>
                <w:szCs w:val="21"/>
              </w:rPr>
            </w:pPr>
          </w:p>
        </w:tc>
        <w:tc>
          <w:tcPr>
            <w:tcW w:w="433" w:type="pct"/>
            <w:vMerge/>
            <w:vAlign w:val="center"/>
          </w:tcPr>
          <w:p w14:paraId="51A3E20E" w14:textId="77777777" w:rsidR="00B14D53" w:rsidRDefault="00B14D53">
            <w:pPr>
              <w:contextualSpacing/>
              <w:jc w:val="center"/>
              <w:rPr>
                <w:kern w:val="0"/>
                <w:szCs w:val="21"/>
              </w:rPr>
            </w:pPr>
          </w:p>
        </w:tc>
        <w:tc>
          <w:tcPr>
            <w:tcW w:w="354" w:type="pct"/>
            <w:vMerge/>
            <w:tcBorders>
              <w:top w:val="single" w:sz="4" w:space="0" w:color="000000"/>
              <w:bottom w:val="single" w:sz="8" w:space="0" w:color="auto"/>
            </w:tcBorders>
            <w:vAlign w:val="center"/>
          </w:tcPr>
          <w:p w14:paraId="17240702" w14:textId="77777777" w:rsidR="00B14D53" w:rsidRDefault="00B14D53">
            <w:pPr>
              <w:contextualSpacing/>
              <w:jc w:val="center"/>
              <w:rPr>
                <w:kern w:val="0"/>
                <w:szCs w:val="21"/>
              </w:rPr>
            </w:pPr>
          </w:p>
        </w:tc>
        <w:tc>
          <w:tcPr>
            <w:tcW w:w="450" w:type="pct"/>
            <w:vMerge/>
            <w:tcBorders>
              <w:top w:val="single" w:sz="4" w:space="0" w:color="000000"/>
              <w:bottom w:val="single" w:sz="8" w:space="0" w:color="auto"/>
            </w:tcBorders>
            <w:vAlign w:val="center"/>
          </w:tcPr>
          <w:p w14:paraId="5C2D9BFC" w14:textId="77777777" w:rsidR="00B14D53" w:rsidRDefault="00B14D53">
            <w:pPr>
              <w:contextualSpacing/>
              <w:jc w:val="center"/>
              <w:rPr>
                <w:kern w:val="0"/>
                <w:szCs w:val="21"/>
              </w:rPr>
            </w:pPr>
          </w:p>
        </w:tc>
        <w:tc>
          <w:tcPr>
            <w:tcW w:w="271" w:type="pct"/>
            <w:vMerge/>
            <w:tcBorders>
              <w:top w:val="single" w:sz="4" w:space="0" w:color="000000"/>
              <w:bottom w:val="single" w:sz="8" w:space="0" w:color="auto"/>
            </w:tcBorders>
            <w:vAlign w:val="center"/>
          </w:tcPr>
          <w:p w14:paraId="5CC5FE98" w14:textId="77777777" w:rsidR="00B14D53" w:rsidRDefault="00B14D53">
            <w:pPr>
              <w:contextualSpacing/>
              <w:jc w:val="center"/>
              <w:rPr>
                <w:kern w:val="0"/>
                <w:szCs w:val="21"/>
              </w:rPr>
            </w:pPr>
          </w:p>
        </w:tc>
        <w:tc>
          <w:tcPr>
            <w:tcW w:w="437" w:type="pct"/>
            <w:vMerge/>
            <w:tcBorders>
              <w:top w:val="single" w:sz="4" w:space="0" w:color="000000"/>
              <w:bottom w:val="single" w:sz="8" w:space="0" w:color="auto"/>
            </w:tcBorders>
            <w:vAlign w:val="center"/>
          </w:tcPr>
          <w:p w14:paraId="32C4E436" w14:textId="77777777" w:rsidR="00B14D53" w:rsidRDefault="00B14D53">
            <w:pPr>
              <w:contextualSpacing/>
              <w:jc w:val="center"/>
              <w:rPr>
                <w:kern w:val="0"/>
                <w:szCs w:val="21"/>
              </w:rPr>
            </w:pPr>
          </w:p>
        </w:tc>
        <w:tc>
          <w:tcPr>
            <w:tcW w:w="463" w:type="pct"/>
            <w:tcBorders>
              <w:top w:val="single" w:sz="4" w:space="0" w:color="000000"/>
              <w:bottom w:val="single" w:sz="4" w:space="0" w:color="000000"/>
            </w:tcBorders>
            <w:vAlign w:val="center"/>
          </w:tcPr>
          <w:p w14:paraId="4673C109" w14:textId="77777777" w:rsidR="00B14D53" w:rsidRDefault="00000000">
            <w:pPr>
              <w:contextualSpacing/>
              <w:jc w:val="center"/>
              <w:rPr>
                <w:kern w:val="0"/>
                <w:szCs w:val="21"/>
              </w:rPr>
            </w:pPr>
            <w:r>
              <w:rPr>
                <w:kern w:val="0"/>
                <w:szCs w:val="21"/>
              </w:rPr>
              <w:t>pH</w:t>
            </w:r>
          </w:p>
        </w:tc>
        <w:tc>
          <w:tcPr>
            <w:tcW w:w="1064" w:type="pct"/>
            <w:tcBorders>
              <w:top w:val="single" w:sz="4" w:space="0" w:color="000000"/>
              <w:bottom w:val="single" w:sz="4" w:space="0" w:color="000000"/>
            </w:tcBorders>
            <w:vAlign w:val="center"/>
          </w:tcPr>
          <w:p w14:paraId="61C152CE" w14:textId="77777777" w:rsidR="00B14D53" w:rsidRDefault="00000000">
            <w:pPr>
              <w:contextualSpacing/>
              <w:jc w:val="center"/>
              <w:rPr>
                <w:kern w:val="0"/>
                <w:szCs w:val="21"/>
              </w:rPr>
            </w:pPr>
            <w:r>
              <w:rPr>
                <w:rFonts w:hint="eastAsia"/>
                <w:kern w:val="0"/>
                <w:szCs w:val="21"/>
              </w:rPr>
              <w:t>6-9</w:t>
            </w:r>
            <w:r>
              <w:rPr>
                <w:rFonts w:hint="eastAsia"/>
                <w:kern w:val="0"/>
                <w:szCs w:val="21"/>
              </w:rPr>
              <w:t>无量纲</w:t>
            </w:r>
          </w:p>
        </w:tc>
      </w:tr>
      <w:tr w:rsidR="00B14D53" w14:paraId="7FFF042C" w14:textId="77777777">
        <w:trPr>
          <w:trHeight w:val="314"/>
          <w:jc w:val="center"/>
        </w:trPr>
        <w:tc>
          <w:tcPr>
            <w:tcW w:w="249" w:type="pct"/>
            <w:vMerge/>
            <w:tcBorders>
              <w:top w:val="single" w:sz="8" w:space="0" w:color="auto"/>
              <w:bottom w:val="single" w:sz="8" w:space="0" w:color="auto"/>
            </w:tcBorders>
            <w:vAlign w:val="center"/>
          </w:tcPr>
          <w:p w14:paraId="218C02ED" w14:textId="77777777" w:rsidR="00B14D53" w:rsidRDefault="00B14D53">
            <w:pPr>
              <w:contextualSpacing/>
              <w:jc w:val="center"/>
              <w:rPr>
                <w:kern w:val="0"/>
                <w:szCs w:val="21"/>
              </w:rPr>
            </w:pPr>
          </w:p>
        </w:tc>
        <w:tc>
          <w:tcPr>
            <w:tcW w:w="318" w:type="pct"/>
            <w:vMerge/>
            <w:tcBorders>
              <w:top w:val="single" w:sz="8" w:space="0" w:color="auto"/>
              <w:bottom w:val="single" w:sz="8" w:space="0" w:color="auto"/>
            </w:tcBorders>
            <w:vAlign w:val="center"/>
          </w:tcPr>
          <w:p w14:paraId="1358F373" w14:textId="77777777" w:rsidR="00B14D53" w:rsidRDefault="00B14D53">
            <w:pPr>
              <w:contextualSpacing/>
              <w:jc w:val="center"/>
              <w:rPr>
                <w:kern w:val="0"/>
                <w:szCs w:val="21"/>
              </w:rPr>
            </w:pPr>
          </w:p>
        </w:tc>
        <w:tc>
          <w:tcPr>
            <w:tcW w:w="441" w:type="pct"/>
            <w:vMerge/>
            <w:tcBorders>
              <w:top w:val="single" w:sz="8" w:space="0" w:color="auto"/>
              <w:bottom w:val="single" w:sz="8" w:space="0" w:color="auto"/>
            </w:tcBorders>
            <w:vAlign w:val="center"/>
          </w:tcPr>
          <w:p w14:paraId="568042D7" w14:textId="77777777" w:rsidR="00B14D53" w:rsidRDefault="00B14D53">
            <w:pPr>
              <w:contextualSpacing/>
              <w:jc w:val="center"/>
              <w:rPr>
                <w:kern w:val="0"/>
                <w:szCs w:val="21"/>
              </w:rPr>
            </w:pPr>
          </w:p>
        </w:tc>
        <w:tc>
          <w:tcPr>
            <w:tcW w:w="516" w:type="pct"/>
            <w:vMerge/>
            <w:tcBorders>
              <w:top w:val="single" w:sz="8" w:space="0" w:color="auto"/>
              <w:bottom w:val="single" w:sz="8" w:space="0" w:color="auto"/>
            </w:tcBorders>
            <w:vAlign w:val="center"/>
          </w:tcPr>
          <w:p w14:paraId="11911790" w14:textId="77777777" w:rsidR="00B14D53" w:rsidRDefault="00B14D53">
            <w:pPr>
              <w:contextualSpacing/>
              <w:jc w:val="center"/>
              <w:rPr>
                <w:kern w:val="0"/>
                <w:szCs w:val="21"/>
              </w:rPr>
            </w:pPr>
          </w:p>
        </w:tc>
        <w:tc>
          <w:tcPr>
            <w:tcW w:w="433" w:type="pct"/>
            <w:vMerge/>
            <w:vAlign w:val="center"/>
          </w:tcPr>
          <w:p w14:paraId="0641A08B" w14:textId="77777777" w:rsidR="00B14D53" w:rsidRDefault="00B14D53">
            <w:pPr>
              <w:contextualSpacing/>
              <w:jc w:val="center"/>
              <w:rPr>
                <w:kern w:val="0"/>
                <w:szCs w:val="21"/>
              </w:rPr>
            </w:pPr>
          </w:p>
        </w:tc>
        <w:tc>
          <w:tcPr>
            <w:tcW w:w="354" w:type="pct"/>
            <w:vMerge/>
            <w:tcBorders>
              <w:top w:val="single" w:sz="8" w:space="0" w:color="auto"/>
              <w:bottom w:val="single" w:sz="8" w:space="0" w:color="auto"/>
            </w:tcBorders>
            <w:vAlign w:val="center"/>
          </w:tcPr>
          <w:p w14:paraId="1EB8B4F0" w14:textId="77777777" w:rsidR="00B14D53" w:rsidRDefault="00B14D53">
            <w:pPr>
              <w:contextualSpacing/>
              <w:jc w:val="center"/>
              <w:rPr>
                <w:kern w:val="0"/>
                <w:szCs w:val="21"/>
              </w:rPr>
            </w:pPr>
          </w:p>
        </w:tc>
        <w:tc>
          <w:tcPr>
            <w:tcW w:w="450" w:type="pct"/>
            <w:vMerge/>
            <w:tcBorders>
              <w:top w:val="single" w:sz="8" w:space="0" w:color="auto"/>
              <w:bottom w:val="single" w:sz="8" w:space="0" w:color="auto"/>
            </w:tcBorders>
            <w:vAlign w:val="center"/>
          </w:tcPr>
          <w:p w14:paraId="2F0216C2" w14:textId="77777777" w:rsidR="00B14D53" w:rsidRDefault="00B14D53">
            <w:pPr>
              <w:contextualSpacing/>
              <w:jc w:val="center"/>
              <w:rPr>
                <w:kern w:val="0"/>
                <w:szCs w:val="21"/>
              </w:rPr>
            </w:pPr>
          </w:p>
        </w:tc>
        <w:tc>
          <w:tcPr>
            <w:tcW w:w="271" w:type="pct"/>
            <w:vMerge/>
            <w:tcBorders>
              <w:top w:val="single" w:sz="8" w:space="0" w:color="auto"/>
              <w:bottom w:val="single" w:sz="8" w:space="0" w:color="auto"/>
            </w:tcBorders>
            <w:vAlign w:val="center"/>
          </w:tcPr>
          <w:p w14:paraId="7E2FD376" w14:textId="77777777" w:rsidR="00B14D53" w:rsidRDefault="00B14D53">
            <w:pPr>
              <w:contextualSpacing/>
              <w:jc w:val="center"/>
              <w:rPr>
                <w:kern w:val="0"/>
                <w:szCs w:val="21"/>
              </w:rPr>
            </w:pPr>
          </w:p>
        </w:tc>
        <w:tc>
          <w:tcPr>
            <w:tcW w:w="437" w:type="pct"/>
            <w:vMerge/>
            <w:tcBorders>
              <w:top w:val="single" w:sz="8" w:space="0" w:color="auto"/>
              <w:bottom w:val="single" w:sz="8" w:space="0" w:color="auto"/>
            </w:tcBorders>
            <w:vAlign w:val="center"/>
          </w:tcPr>
          <w:p w14:paraId="0BD03E8C" w14:textId="77777777" w:rsidR="00B14D53" w:rsidRDefault="00B14D53">
            <w:pPr>
              <w:contextualSpacing/>
              <w:jc w:val="center"/>
              <w:rPr>
                <w:kern w:val="0"/>
                <w:szCs w:val="21"/>
              </w:rPr>
            </w:pPr>
          </w:p>
        </w:tc>
        <w:tc>
          <w:tcPr>
            <w:tcW w:w="463" w:type="pct"/>
            <w:tcBorders>
              <w:top w:val="single" w:sz="4" w:space="0" w:color="000000"/>
              <w:bottom w:val="single" w:sz="4" w:space="0" w:color="000000"/>
            </w:tcBorders>
            <w:vAlign w:val="center"/>
          </w:tcPr>
          <w:p w14:paraId="4EFC2AE5" w14:textId="77777777" w:rsidR="00B14D53" w:rsidRDefault="00000000">
            <w:pPr>
              <w:contextualSpacing/>
              <w:jc w:val="center"/>
              <w:rPr>
                <w:kern w:val="0"/>
                <w:szCs w:val="21"/>
              </w:rPr>
            </w:pPr>
            <w:r>
              <w:rPr>
                <w:kern w:val="0"/>
                <w:szCs w:val="21"/>
              </w:rPr>
              <w:t>氨氮</w:t>
            </w:r>
          </w:p>
        </w:tc>
        <w:tc>
          <w:tcPr>
            <w:tcW w:w="1064" w:type="pct"/>
            <w:tcBorders>
              <w:top w:val="single" w:sz="4" w:space="0" w:color="000000"/>
              <w:bottom w:val="single" w:sz="4" w:space="0" w:color="000000"/>
            </w:tcBorders>
            <w:vAlign w:val="center"/>
          </w:tcPr>
          <w:p w14:paraId="3B066936" w14:textId="77777777" w:rsidR="00B14D53" w:rsidRDefault="00000000">
            <w:pPr>
              <w:contextualSpacing/>
              <w:jc w:val="center"/>
              <w:rPr>
                <w:kern w:val="0"/>
                <w:szCs w:val="21"/>
              </w:rPr>
            </w:pPr>
            <w:r>
              <w:rPr>
                <w:rFonts w:hint="eastAsia"/>
                <w:kern w:val="0"/>
                <w:szCs w:val="21"/>
              </w:rPr>
              <w:t>5</w:t>
            </w:r>
            <w:r>
              <w:rPr>
                <w:rFonts w:hint="eastAsia"/>
                <w:kern w:val="0"/>
                <w:szCs w:val="21"/>
              </w:rPr>
              <w:t>（</w:t>
            </w:r>
            <w:r>
              <w:rPr>
                <w:rFonts w:hint="eastAsia"/>
                <w:kern w:val="0"/>
                <w:szCs w:val="21"/>
              </w:rPr>
              <w:t>8</w:t>
            </w:r>
            <w:r>
              <w:rPr>
                <w:rFonts w:hint="eastAsia"/>
                <w:kern w:val="0"/>
                <w:szCs w:val="21"/>
              </w:rPr>
              <w:t>）</w:t>
            </w:r>
          </w:p>
        </w:tc>
      </w:tr>
      <w:tr w:rsidR="00B14D53" w14:paraId="7DB0C6BF" w14:textId="77777777">
        <w:trPr>
          <w:trHeight w:val="314"/>
          <w:jc w:val="center"/>
        </w:trPr>
        <w:tc>
          <w:tcPr>
            <w:tcW w:w="249" w:type="pct"/>
            <w:vMerge/>
            <w:tcBorders>
              <w:top w:val="single" w:sz="8" w:space="0" w:color="auto"/>
              <w:bottom w:val="single" w:sz="4" w:space="0" w:color="auto"/>
            </w:tcBorders>
            <w:vAlign w:val="center"/>
          </w:tcPr>
          <w:p w14:paraId="754FF7BA" w14:textId="77777777" w:rsidR="00B14D53" w:rsidRDefault="00B14D53">
            <w:pPr>
              <w:contextualSpacing/>
              <w:jc w:val="center"/>
              <w:rPr>
                <w:kern w:val="0"/>
                <w:szCs w:val="21"/>
              </w:rPr>
            </w:pPr>
          </w:p>
        </w:tc>
        <w:tc>
          <w:tcPr>
            <w:tcW w:w="318" w:type="pct"/>
            <w:vMerge/>
            <w:tcBorders>
              <w:top w:val="single" w:sz="8" w:space="0" w:color="auto"/>
              <w:bottom w:val="single" w:sz="4" w:space="0" w:color="auto"/>
            </w:tcBorders>
            <w:vAlign w:val="center"/>
          </w:tcPr>
          <w:p w14:paraId="17DFA291" w14:textId="77777777" w:rsidR="00B14D53" w:rsidRDefault="00B14D53">
            <w:pPr>
              <w:contextualSpacing/>
              <w:jc w:val="center"/>
              <w:rPr>
                <w:kern w:val="0"/>
                <w:szCs w:val="21"/>
              </w:rPr>
            </w:pPr>
          </w:p>
        </w:tc>
        <w:tc>
          <w:tcPr>
            <w:tcW w:w="441" w:type="pct"/>
            <w:vMerge/>
            <w:tcBorders>
              <w:top w:val="single" w:sz="8" w:space="0" w:color="auto"/>
              <w:bottom w:val="single" w:sz="4" w:space="0" w:color="auto"/>
            </w:tcBorders>
            <w:vAlign w:val="center"/>
          </w:tcPr>
          <w:p w14:paraId="796C6239" w14:textId="77777777" w:rsidR="00B14D53" w:rsidRDefault="00B14D53">
            <w:pPr>
              <w:contextualSpacing/>
              <w:jc w:val="center"/>
              <w:rPr>
                <w:kern w:val="0"/>
                <w:szCs w:val="21"/>
              </w:rPr>
            </w:pPr>
          </w:p>
        </w:tc>
        <w:tc>
          <w:tcPr>
            <w:tcW w:w="516" w:type="pct"/>
            <w:vMerge/>
            <w:tcBorders>
              <w:top w:val="single" w:sz="8" w:space="0" w:color="auto"/>
              <w:bottom w:val="single" w:sz="4" w:space="0" w:color="auto"/>
            </w:tcBorders>
            <w:vAlign w:val="center"/>
          </w:tcPr>
          <w:p w14:paraId="4E0124D5" w14:textId="77777777" w:rsidR="00B14D53" w:rsidRDefault="00B14D53">
            <w:pPr>
              <w:contextualSpacing/>
              <w:jc w:val="center"/>
              <w:rPr>
                <w:kern w:val="0"/>
                <w:szCs w:val="21"/>
              </w:rPr>
            </w:pPr>
          </w:p>
        </w:tc>
        <w:tc>
          <w:tcPr>
            <w:tcW w:w="433" w:type="pct"/>
            <w:vMerge/>
            <w:tcBorders>
              <w:bottom w:val="single" w:sz="4" w:space="0" w:color="auto"/>
            </w:tcBorders>
            <w:vAlign w:val="center"/>
          </w:tcPr>
          <w:p w14:paraId="1CEEF099" w14:textId="77777777" w:rsidR="00B14D53" w:rsidRDefault="00B14D53">
            <w:pPr>
              <w:contextualSpacing/>
              <w:jc w:val="center"/>
              <w:rPr>
                <w:kern w:val="0"/>
                <w:szCs w:val="21"/>
              </w:rPr>
            </w:pPr>
          </w:p>
        </w:tc>
        <w:tc>
          <w:tcPr>
            <w:tcW w:w="354" w:type="pct"/>
            <w:vMerge/>
            <w:tcBorders>
              <w:top w:val="single" w:sz="8" w:space="0" w:color="auto"/>
              <w:bottom w:val="single" w:sz="8" w:space="0" w:color="auto"/>
            </w:tcBorders>
            <w:vAlign w:val="center"/>
          </w:tcPr>
          <w:p w14:paraId="1590E2AB" w14:textId="77777777" w:rsidR="00B14D53" w:rsidRDefault="00B14D53">
            <w:pPr>
              <w:contextualSpacing/>
              <w:jc w:val="center"/>
              <w:rPr>
                <w:kern w:val="0"/>
                <w:szCs w:val="21"/>
              </w:rPr>
            </w:pPr>
          </w:p>
        </w:tc>
        <w:tc>
          <w:tcPr>
            <w:tcW w:w="450" w:type="pct"/>
            <w:vMerge/>
            <w:tcBorders>
              <w:top w:val="single" w:sz="8" w:space="0" w:color="auto"/>
              <w:bottom w:val="single" w:sz="8" w:space="0" w:color="auto"/>
            </w:tcBorders>
            <w:vAlign w:val="center"/>
          </w:tcPr>
          <w:p w14:paraId="72547FBA" w14:textId="77777777" w:rsidR="00B14D53" w:rsidRDefault="00B14D53">
            <w:pPr>
              <w:contextualSpacing/>
              <w:jc w:val="center"/>
              <w:rPr>
                <w:kern w:val="0"/>
                <w:szCs w:val="21"/>
              </w:rPr>
            </w:pPr>
          </w:p>
        </w:tc>
        <w:tc>
          <w:tcPr>
            <w:tcW w:w="271" w:type="pct"/>
            <w:vMerge/>
            <w:tcBorders>
              <w:top w:val="single" w:sz="8" w:space="0" w:color="auto"/>
              <w:bottom w:val="single" w:sz="8" w:space="0" w:color="auto"/>
            </w:tcBorders>
            <w:vAlign w:val="center"/>
          </w:tcPr>
          <w:p w14:paraId="2EB4F8F5" w14:textId="77777777" w:rsidR="00B14D53" w:rsidRDefault="00B14D53">
            <w:pPr>
              <w:contextualSpacing/>
              <w:jc w:val="center"/>
              <w:rPr>
                <w:kern w:val="0"/>
                <w:szCs w:val="21"/>
              </w:rPr>
            </w:pPr>
          </w:p>
        </w:tc>
        <w:tc>
          <w:tcPr>
            <w:tcW w:w="437" w:type="pct"/>
            <w:vMerge/>
            <w:tcBorders>
              <w:top w:val="single" w:sz="8" w:space="0" w:color="auto"/>
              <w:bottom w:val="single" w:sz="8" w:space="0" w:color="auto"/>
            </w:tcBorders>
            <w:vAlign w:val="center"/>
          </w:tcPr>
          <w:p w14:paraId="6FBFA88A" w14:textId="77777777" w:rsidR="00B14D53" w:rsidRDefault="00B14D53">
            <w:pPr>
              <w:contextualSpacing/>
              <w:jc w:val="center"/>
              <w:rPr>
                <w:kern w:val="0"/>
                <w:szCs w:val="21"/>
              </w:rPr>
            </w:pPr>
          </w:p>
        </w:tc>
        <w:tc>
          <w:tcPr>
            <w:tcW w:w="463" w:type="pct"/>
            <w:tcBorders>
              <w:top w:val="single" w:sz="4" w:space="0" w:color="000000"/>
              <w:bottom w:val="single" w:sz="4" w:space="0" w:color="000000"/>
            </w:tcBorders>
            <w:vAlign w:val="center"/>
          </w:tcPr>
          <w:p w14:paraId="26B1B8A9" w14:textId="77777777" w:rsidR="00B14D53" w:rsidRDefault="00000000">
            <w:pPr>
              <w:contextualSpacing/>
              <w:jc w:val="center"/>
              <w:rPr>
                <w:kern w:val="0"/>
                <w:szCs w:val="21"/>
              </w:rPr>
            </w:pPr>
            <w:r>
              <w:rPr>
                <w:kern w:val="0"/>
                <w:szCs w:val="21"/>
              </w:rPr>
              <w:t>BOD</w:t>
            </w:r>
            <w:r>
              <w:rPr>
                <w:kern w:val="0"/>
                <w:szCs w:val="21"/>
                <w:vertAlign w:val="subscript"/>
              </w:rPr>
              <w:t>5</w:t>
            </w:r>
          </w:p>
        </w:tc>
        <w:tc>
          <w:tcPr>
            <w:tcW w:w="1064" w:type="pct"/>
            <w:tcBorders>
              <w:top w:val="single" w:sz="4" w:space="0" w:color="000000"/>
              <w:bottom w:val="single" w:sz="4" w:space="0" w:color="000000"/>
            </w:tcBorders>
            <w:vAlign w:val="center"/>
          </w:tcPr>
          <w:p w14:paraId="0B05EF0F" w14:textId="77777777" w:rsidR="00B14D53" w:rsidRDefault="00000000">
            <w:pPr>
              <w:contextualSpacing/>
              <w:jc w:val="center"/>
              <w:rPr>
                <w:kern w:val="0"/>
                <w:szCs w:val="21"/>
              </w:rPr>
            </w:pPr>
            <w:r>
              <w:rPr>
                <w:rFonts w:hint="eastAsia"/>
                <w:kern w:val="0"/>
                <w:szCs w:val="21"/>
              </w:rPr>
              <w:t>10</w:t>
            </w:r>
          </w:p>
        </w:tc>
      </w:tr>
      <w:tr w:rsidR="00B14D53" w14:paraId="6B3387E6" w14:textId="77777777">
        <w:trPr>
          <w:trHeight w:val="217"/>
          <w:jc w:val="center"/>
        </w:trPr>
        <w:tc>
          <w:tcPr>
            <w:tcW w:w="249" w:type="pct"/>
            <w:vMerge w:val="restart"/>
            <w:tcBorders>
              <w:top w:val="single" w:sz="4" w:space="0" w:color="auto"/>
              <w:bottom w:val="single" w:sz="12" w:space="0" w:color="auto"/>
            </w:tcBorders>
            <w:vAlign w:val="center"/>
          </w:tcPr>
          <w:p w14:paraId="01C5855A" w14:textId="77777777" w:rsidR="00B14D53" w:rsidRDefault="00000000">
            <w:pPr>
              <w:contextualSpacing/>
              <w:jc w:val="center"/>
              <w:rPr>
                <w:kern w:val="0"/>
                <w:szCs w:val="21"/>
              </w:rPr>
            </w:pPr>
            <w:r>
              <w:rPr>
                <w:rFonts w:hint="eastAsia"/>
                <w:kern w:val="0"/>
                <w:szCs w:val="21"/>
              </w:rPr>
              <w:t>2</w:t>
            </w:r>
          </w:p>
        </w:tc>
        <w:tc>
          <w:tcPr>
            <w:tcW w:w="318" w:type="pct"/>
            <w:vMerge w:val="restart"/>
            <w:tcBorders>
              <w:top w:val="single" w:sz="4" w:space="0" w:color="auto"/>
              <w:bottom w:val="single" w:sz="12" w:space="0" w:color="auto"/>
            </w:tcBorders>
            <w:vAlign w:val="center"/>
          </w:tcPr>
          <w:p w14:paraId="119979D5" w14:textId="77777777" w:rsidR="00B14D53" w:rsidRDefault="00000000">
            <w:pPr>
              <w:contextualSpacing/>
              <w:jc w:val="center"/>
              <w:rPr>
                <w:kern w:val="0"/>
                <w:szCs w:val="21"/>
              </w:rPr>
            </w:pPr>
            <w:r>
              <w:rPr>
                <w:rFonts w:hint="eastAsia"/>
                <w:kern w:val="0"/>
                <w:szCs w:val="21"/>
              </w:rPr>
              <w:t>DW002</w:t>
            </w:r>
          </w:p>
        </w:tc>
        <w:tc>
          <w:tcPr>
            <w:tcW w:w="441" w:type="pct"/>
            <w:vMerge w:val="restart"/>
            <w:tcBorders>
              <w:top w:val="single" w:sz="4" w:space="0" w:color="auto"/>
              <w:bottom w:val="single" w:sz="12" w:space="0" w:color="auto"/>
            </w:tcBorders>
            <w:vAlign w:val="center"/>
          </w:tcPr>
          <w:p w14:paraId="47E39355" w14:textId="77777777" w:rsidR="00B14D53" w:rsidRDefault="00000000">
            <w:pPr>
              <w:contextualSpacing/>
              <w:jc w:val="center"/>
              <w:rPr>
                <w:kern w:val="0"/>
                <w:szCs w:val="21"/>
              </w:rPr>
            </w:pPr>
            <w:r>
              <w:rPr>
                <w:kern w:val="0"/>
                <w:szCs w:val="21"/>
              </w:rPr>
              <w:t>127.</w:t>
            </w:r>
            <w:r>
              <w:rPr>
                <w:rFonts w:hint="eastAsia"/>
                <w:kern w:val="0"/>
                <w:szCs w:val="21"/>
              </w:rPr>
              <w:t>218589</w:t>
            </w:r>
          </w:p>
        </w:tc>
        <w:tc>
          <w:tcPr>
            <w:tcW w:w="516" w:type="pct"/>
            <w:vMerge w:val="restart"/>
            <w:tcBorders>
              <w:top w:val="single" w:sz="4" w:space="0" w:color="auto"/>
              <w:bottom w:val="single" w:sz="12" w:space="0" w:color="auto"/>
            </w:tcBorders>
            <w:vAlign w:val="center"/>
          </w:tcPr>
          <w:p w14:paraId="00980225" w14:textId="77777777" w:rsidR="00B14D53" w:rsidRDefault="00000000">
            <w:pPr>
              <w:contextualSpacing/>
              <w:jc w:val="center"/>
              <w:rPr>
                <w:kern w:val="0"/>
                <w:szCs w:val="21"/>
              </w:rPr>
            </w:pPr>
            <w:r>
              <w:rPr>
                <w:kern w:val="0"/>
                <w:szCs w:val="21"/>
              </w:rPr>
              <w:t>44.</w:t>
            </w:r>
            <w:r>
              <w:rPr>
                <w:rFonts w:hint="eastAsia"/>
                <w:kern w:val="0"/>
                <w:szCs w:val="21"/>
              </w:rPr>
              <w:t>698376</w:t>
            </w:r>
          </w:p>
        </w:tc>
        <w:tc>
          <w:tcPr>
            <w:tcW w:w="433" w:type="pct"/>
            <w:vMerge w:val="restart"/>
            <w:tcBorders>
              <w:top w:val="single" w:sz="4" w:space="0" w:color="auto"/>
              <w:bottom w:val="single" w:sz="12" w:space="0" w:color="auto"/>
            </w:tcBorders>
            <w:vAlign w:val="center"/>
          </w:tcPr>
          <w:p w14:paraId="6296E5E2" w14:textId="77777777" w:rsidR="00B14D53" w:rsidRDefault="00000000">
            <w:pPr>
              <w:contextualSpacing/>
              <w:jc w:val="center"/>
              <w:rPr>
                <w:kern w:val="0"/>
                <w:szCs w:val="21"/>
              </w:rPr>
            </w:pPr>
            <w:r>
              <w:rPr>
                <w:rFonts w:hint="eastAsia"/>
                <w:kern w:val="0"/>
                <w:szCs w:val="21"/>
              </w:rPr>
              <w:t>0.03264</w:t>
            </w:r>
          </w:p>
        </w:tc>
        <w:tc>
          <w:tcPr>
            <w:tcW w:w="354" w:type="pct"/>
            <w:vMerge/>
            <w:tcBorders>
              <w:top w:val="single" w:sz="8" w:space="0" w:color="auto"/>
            </w:tcBorders>
            <w:vAlign w:val="center"/>
          </w:tcPr>
          <w:p w14:paraId="51FE01E4" w14:textId="77777777" w:rsidR="00B14D53" w:rsidRDefault="00B14D53">
            <w:pPr>
              <w:contextualSpacing/>
              <w:jc w:val="center"/>
              <w:rPr>
                <w:kern w:val="0"/>
                <w:szCs w:val="21"/>
              </w:rPr>
            </w:pPr>
          </w:p>
        </w:tc>
        <w:tc>
          <w:tcPr>
            <w:tcW w:w="450" w:type="pct"/>
            <w:vMerge/>
            <w:tcBorders>
              <w:top w:val="single" w:sz="8" w:space="0" w:color="auto"/>
            </w:tcBorders>
            <w:vAlign w:val="center"/>
          </w:tcPr>
          <w:p w14:paraId="189B77A0" w14:textId="77777777" w:rsidR="00B14D53" w:rsidRDefault="00B14D53">
            <w:pPr>
              <w:contextualSpacing/>
              <w:jc w:val="center"/>
              <w:rPr>
                <w:kern w:val="0"/>
                <w:szCs w:val="21"/>
              </w:rPr>
            </w:pPr>
          </w:p>
        </w:tc>
        <w:tc>
          <w:tcPr>
            <w:tcW w:w="271" w:type="pct"/>
            <w:vMerge/>
            <w:tcBorders>
              <w:top w:val="single" w:sz="8" w:space="0" w:color="auto"/>
            </w:tcBorders>
            <w:vAlign w:val="center"/>
          </w:tcPr>
          <w:p w14:paraId="1F48E8E7" w14:textId="77777777" w:rsidR="00B14D53" w:rsidRDefault="00B14D53">
            <w:pPr>
              <w:contextualSpacing/>
              <w:jc w:val="center"/>
              <w:rPr>
                <w:kern w:val="0"/>
                <w:szCs w:val="21"/>
              </w:rPr>
            </w:pPr>
          </w:p>
        </w:tc>
        <w:tc>
          <w:tcPr>
            <w:tcW w:w="437" w:type="pct"/>
            <w:vMerge/>
            <w:tcBorders>
              <w:top w:val="single" w:sz="8" w:space="0" w:color="auto"/>
            </w:tcBorders>
            <w:vAlign w:val="center"/>
          </w:tcPr>
          <w:p w14:paraId="4B1BAD19" w14:textId="77777777" w:rsidR="00B14D53" w:rsidRDefault="00B14D53">
            <w:pPr>
              <w:contextualSpacing/>
              <w:jc w:val="center"/>
              <w:rPr>
                <w:kern w:val="0"/>
                <w:szCs w:val="21"/>
              </w:rPr>
            </w:pPr>
          </w:p>
        </w:tc>
        <w:tc>
          <w:tcPr>
            <w:tcW w:w="463" w:type="pct"/>
            <w:tcBorders>
              <w:top w:val="single" w:sz="4" w:space="0" w:color="000000"/>
              <w:bottom w:val="single" w:sz="4" w:space="0" w:color="000000"/>
            </w:tcBorders>
            <w:vAlign w:val="center"/>
          </w:tcPr>
          <w:p w14:paraId="7FCC8759" w14:textId="77777777" w:rsidR="00B14D53" w:rsidRDefault="00000000">
            <w:pPr>
              <w:contextualSpacing/>
              <w:jc w:val="center"/>
              <w:rPr>
                <w:kern w:val="0"/>
                <w:szCs w:val="21"/>
              </w:rPr>
            </w:pPr>
            <w:r>
              <w:rPr>
                <w:kern w:val="0"/>
                <w:szCs w:val="21"/>
              </w:rPr>
              <w:t>SS</w:t>
            </w:r>
          </w:p>
        </w:tc>
        <w:tc>
          <w:tcPr>
            <w:tcW w:w="1064" w:type="pct"/>
            <w:tcBorders>
              <w:top w:val="single" w:sz="4" w:space="0" w:color="000000"/>
              <w:bottom w:val="single" w:sz="4" w:space="0" w:color="000000"/>
            </w:tcBorders>
            <w:vAlign w:val="center"/>
          </w:tcPr>
          <w:p w14:paraId="6471576B" w14:textId="77777777" w:rsidR="00B14D53" w:rsidRDefault="00000000">
            <w:pPr>
              <w:contextualSpacing/>
              <w:jc w:val="center"/>
              <w:rPr>
                <w:kern w:val="0"/>
                <w:szCs w:val="21"/>
              </w:rPr>
            </w:pPr>
            <w:r>
              <w:rPr>
                <w:rFonts w:hint="eastAsia"/>
                <w:kern w:val="0"/>
                <w:szCs w:val="21"/>
              </w:rPr>
              <w:t>10</w:t>
            </w:r>
          </w:p>
        </w:tc>
      </w:tr>
      <w:tr w:rsidR="00B14D53" w14:paraId="65C1D297" w14:textId="77777777">
        <w:trPr>
          <w:trHeight w:val="217"/>
          <w:jc w:val="center"/>
        </w:trPr>
        <w:tc>
          <w:tcPr>
            <w:tcW w:w="249" w:type="pct"/>
            <w:vMerge/>
            <w:tcBorders>
              <w:top w:val="single" w:sz="12" w:space="0" w:color="auto"/>
              <w:bottom w:val="single" w:sz="12" w:space="0" w:color="auto"/>
            </w:tcBorders>
            <w:vAlign w:val="center"/>
          </w:tcPr>
          <w:p w14:paraId="32F16F34" w14:textId="77777777" w:rsidR="00B14D53" w:rsidRDefault="00B14D53">
            <w:pPr>
              <w:contextualSpacing/>
              <w:jc w:val="center"/>
              <w:rPr>
                <w:kern w:val="0"/>
                <w:szCs w:val="21"/>
              </w:rPr>
            </w:pPr>
          </w:p>
        </w:tc>
        <w:tc>
          <w:tcPr>
            <w:tcW w:w="318" w:type="pct"/>
            <w:vMerge/>
            <w:tcBorders>
              <w:top w:val="single" w:sz="12" w:space="0" w:color="auto"/>
              <w:bottom w:val="single" w:sz="12" w:space="0" w:color="auto"/>
            </w:tcBorders>
            <w:vAlign w:val="center"/>
          </w:tcPr>
          <w:p w14:paraId="7343E00D" w14:textId="77777777" w:rsidR="00B14D53" w:rsidRDefault="00B14D53">
            <w:pPr>
              <w:contextualSpacing/>
              <w:jc w:val="center"/>
              <w:rPr>
                <w:kern w:val="0"/>
                <w:szCs w:val="21"/>
              </w:rPr>
            </w:pPr>
          </w:p>
        </w:tc>
        <w:tc>
          <w:tcPr>
            <w:tcW w:w="441" w:type="pct"/>
            <w:vMerge/>
            <w:tcBorders>
              <w:top w:val="single" w:sz="12" w:space="0" w:color="auto"/>
              <w:bottom w:val="single" w:sz="12" w:space="0" w:color="auto"/>
            </w:tcBorders>
            <w:vAlign w:val="center"/>
          </w:tcPr>
          <w:p w14:paraId="0DF73B7A" w14:textId="77777777" w:rsidR="00B14D53" w:rsidRDefault="00B14D53">
            <w:pPr>
              <w:contextualSpacing/>
              <w:jc w:val="center"/>
              <w:rPr>
                <w:kern w:val="0"/>
                <w:szCs w:val="21"/>
              </w:rPr>
            </w:pPr>
          </w:p>
        </w:tc>
        <w:tc>
          <w:tcPr>
            <w:tcW w:w="516" w:type="pct"/>
            <w:vMerge/>
            <w:tcBorders>
              <w:top w:val="single" w:sz="12" w:space="0" w:color="auto"/>
              <w:bottom w:val="single" w:sz="12" w:space="0" w:color="auto"/>
            </w:tcBorders>
            <w:vAlign w:val="center"/>
          </w:tcPr>
          <w:p w14:paraId="60B16866" w14:textId="77777777" w:rsidR="00B14D53" w:rsidRDefault="00B14D53">
            <w:pPr>
              <w:contextualSpacing/>
              <w:jc w:val="center"/>
              <w:rPr>
                <w:kern w:val="0"/>
                <w:szCs w:val="21"/>
              </w:rPr>
            </w:pPr>
          </w:p>
        </w:tc>
        <w:tc>
          <w:tcPr>
            <w:tcW w:w="433" w:type="pct"/>
            <w:vMerge/>
            <w:tcBorders>
              <w:top w:val="single" w:sz="12" w:space="0" w:color="auto"/>
              <w:bottom w:val="single" w:sz="12" w:space="0" w:color="auto"/>
            </w:tcBorders>
            <w:vAlign w:val="center"/>
          </w:tcPr>
          <w:p w14:paraId="10FEE9EC" w14:textId="77777777" w:rsidR="00B14D53" w:rsidRDefault="00B14D53">
            <w:pPr>
              <w:contextualSpacing/>
              <w:jc w:val="center"/>
              <w:rPr>
                <w:kern w:val="0"/>
                <w:szCs w:val="21"/>
              </w:rPr>
            </w:pPr>
          </w:p>
        </w:tc>
        <w:tc>
          <w:tcPr>
            <w:tcW w:w="354" w:type="pct"/>
            <w:vMerge/>
            <w:tcBorders>
              <w:top w:val="single" w:sz="8" w:space="0" w:color="auto"/>
            </w:tcBorders>
            <w:vAlign w:val="center"/>
          </w:tcPr>
          <w:p w14:paraId="1E60C68C" w14:textId="77777777" w:rsidR="00B14D53" w:rsidRDefault="00B14D53">
            <w:pPr>
              <w:contextualSpacing/>
              <w:jc w:val="center"/>
              <w:rPr>
                <w:kern w:val="0"/>
                <w:szCs w:val="21"/>
              </w:rPr>
            </w:pPr>
          </w:p>
        </w:tc>
        <w:tc>
          <w:tcPr>
            <w:tcW w:w="450" w:type="pct"/>
            <w:vMerge/>
            <w:tcBorders>
              <w:top w:val="single" w:sz="8" w:space="0" w:color="auto"/>
            </w:tcBorders>
            <w:vAlign w:val="center"/>
          </w:tcPr>
          <w:p w14:paraId="01ADAB1A" w14:textId="77777777" w:rsidR="00B14D53" w:rsidRDefault="00B14D53">
            <w:pPr>
              <w:contextualSpacing/>
              <w:jc w:val="center"/>
              <w:rPr>
                <w:kern w:val="0"/>
                <w:szCs w:val="21"/>
              </w:rPr>
            </w:pPr>
          </w:p>
        </w:tc>
        <w:tc>
          <w:tcPr>
            <w:tcW w:w="271" w:type="pct"/>
            <w:vMerge/>
            <w:tcBorders>
              <w:top w:val="single" w:sz="8" w:space="0" w:color="auto"/>
            </w:tcBorders>
            <w:vAlign w:val="center"/>
          </w:tcPr>
          <w:p w14:paraId="7E89A76F" w14:textId="77777777" w:rsidR="00B14D53" w:rsidRDefault="00B14D53">
            <w:pPr>
              <w:contextualSpacing/>
              <w:jc w:val="center"/>
              <w:rPr>
                <w:kern w:val="0"/>
                <w:szCs w:val="21"/>
              </w:rPr>
            </w:pPr>
          </w:p>
        </w:tc>
        <w:tc>
          <w:tcPr>
            <w:tcW w:w="437" w:type="pct"/>
            <w:vMerge/>
            <w:tcBorders>
              <w:top w:val="single" w:sz="8" w:space="0" w:color="auto"/>
            </w:tcBorders>
            <w:vAlign w:val="center"/>
          </w:tcPr>
          <w:p w14:paraId="01E946DD" w14:textId="77777777" w:rsidR="00B14D53" w:rsidRDefault="00B14D53">
            <w:pPr>
              <w:contextualSpacing/>
              <w:jc w:val="center"/>
              <w:rPr>
                <w:kern w:val="0"/>
                <w:szCs w:val="21"/>
              </w:rPr>
            </w:pPr>
          </w:p>
        </w:tc>
        <w:tc>
          <w:tcPr>
            <w:tcW w:w="463" w:type="pct"/>
            <w:tcBorders>
              <w:top w:val="single" w:sz="4" w:space="0" w:color="000000"/>
              <w:bottom w:val="single" w:sz="4" w:space="0" w:color="000000"/>
            </w:tcBorders>
            <w:vAlign w:val="center"/>
          </w:tcPr>
          <w:p w14:paraId="6D50484D" w14:textId="77777777" w:rsidR="00B14D53" w:rsidRDefault="00000000">
            <w:pPr>
              <w:contextualSpacing/>
              <w:jc w:val="center"/>
              <w:rPr>
                <w:kern w:val="0"/>
                <w:szCs w:val="21"/>
              </w:rPr>
            </w:pPr>
            <w:r>
              <w:rPr>
                <w:kern w:val="0"/>
                <w:szCs w:val="21"/>
              </w:rPr>
              <w:t>动植物油</w:t>
            </w:r>
          </w:p>
        </w:tc>
        <w:tc>
          <w:tcPr>
            <w:tcW w:w="1064" w:type="pct"/>
            <w:tcBorders>
              <w:top w:val="single" w:sz="4" w:space="0" w:color="000000"/>
              <w:bottom w:val="single" w:sz="4" w:space="0" w:color="000000"/>
            </w:tcBorders>
            <w:vAlign w:val="center"/>
          </w:tcPr>
          <w:p w14:paraId="3BF29EC5" w14:textId="77777777" w:rsidR="00B14D53" w:rsidRDefault="00000000">
            <w:pPr>
              <w:contextualSpacing/>
              <w:jc w:val="center"/>
              <w:rPr>
                <w:kern w:val="0"/>
                <w:szCs w:val="21"/>
              </w:rPr>
            </w:pPr>
            <w:r>
              <w:rPr>
                <w:rFonts w:hint="eastAsia"/>
                <w:kern w:val="0"/>
                <w:szCs w:val="21"/>
              </w:rPr>
              <w:t>1</w:t>
            </w:r>
          </w:p>
        </w:tc>
      </w:tr>
      <w:tr w:rsidR="00B14D53" w14:paraId="6D80550F" w14:textId="77777777">
        <w:trPr>
          <w:trHeight w:val="312"/>
          <w:jc w:val="center"/>
        </w:trPr>
        <w:tc>
          <w:tcPr>
            <w:tcW w:w="249" w:type="pct"/>
            <w:vMerge/>
            <w:tcBorders>
              <w:top w:val="single" w:sz="12" w:space="0" w:color="auto"/>
              <w:bottom w:val="single" w:sz="12" w:space="0" w:color="auto"/>
            </w:tcBorders>
            <w:vAlign w:val="center"/>
          </w:tcPr>
          <w:p w14:paraId="57B8E1B1" w14:textId="77777777" w:rsidR="00B14D53" w:rsidRDefault="00B14D53">
            <w:pPr>
              <w:contextualSpacing/>
              <w:jc w:val="center"/>
              <w:rPr>
                <w:kern w:val="0"/>
                <w:szCs w:val="21"/>
              </w:rPr>
            </w:pPr>
          </w:p>
        </w:tc>
        <w:tc>
          <w:tcPr>
            <w:tcW w:w="318" w:type="pct"/>
            <w:vMerge/>
            <w:tcBorders>
              <w:top w:val="single" w:sz="12" w:space="0" w:color="auto"/>
              <w:bottom w:val="single" w:sz="12" w:space="0" w:color="auto"/>
            </w:tcBorders>
            <w:vAlign w:val="center"/>
          </w:tcPr>
          <w:p w14:paraId="6AB72049" w14:textId="77777777" w:rsidR="00B14D53" w:rsidRDefault="00B14D53">
            <w:pPr>
              <w:contextualSpacing/>
              <w:jc w:val="center"/>
              <w:rPr>
                <w:kern w:val="0"/>
                <w:szCs w:val="21"/>
              </w:rPr>
            </w:pPr>
          </w:p>
        </w:tc>
        <w:tc>
          <w:tcPr>
            <w:tcW w:w="441" w:type="pct"/>
            <w:vMerge/>
            <w:tcBorders>
              <w:top w:val="single" w:sz="12" w:space="0" w:color="auto"/>
              <w:bottom w:val="single" w:sz="12" w:space="0" w:color="auto"/>
            </w:tcBorders>
            <w:vAlign w:val="center"/>
          </w:tcPr>
          <w:p w14:paraId="0E5E7A52" w14:textId="77777777" w:rsidR="00B14D53" w:rsidRDefault="00B14D53">
            <w:pPr>
              <w:contextualSpacing/>
              <w:jc w:val="center"/>
              <w:rPr>
                <w:kern w:val="0"/>
                <w:szCs w:val="21"/>
              </w:rPr>
            </w:pPr>
          </w:p>
        </w:tc>
        <w:tc>
          <w:tcPr>
            <w:tcW w:w="516" w:type="pct"/>
            <w:vMerge/>
            <w:tcBorders>
              <w:top w:val="single" w:sz="12" w:space="0" w:color="auto"/>
              <w:bottom w:val="single" w:sz="12" w:space="0" w:color="auto"/>
            </w:tcBorders>
            <w:vAlign w:val="center"/>
          </w:tcPr>
          <w:p w14:paraId="5987618C" w14:textId="77777777" w:rsidR="00B14D53" w:rsidRDefault="00B14D53">
            <w:pPr>
              <w:contextualSpacing/>
              <w:jc w:val="center"/>
              <w:rPr>
                <w:kern w:val="0"/>
                <w:szCs w:val="21"/>
              </w:rPr>
            </w:pPr>
          </w:p>
        </w:tc>
        <w:tc>
          <w:tcPr>
            <w:tcW w:w="433" w:type="pct"/>
            <w:vMerge/>
            <w:tcBorders>
              <w:top w:val="single" w:sz="12" w:space="0" w:color="auto"/>
              <w:bottom w:val="single" w:sz="12" w:space="0" w:color="auto"/>
            </w:tcBorders>
            <w:vAlign w:val="center"/>
          </w:tcPr>
          <w:p w14:paraId="39B615D2" w14:textId="77777777" w:rsidR="00B14D53" w:rsidRDefault="00B14D53">
            <w:pPr>
              <w:contextualSpacing/>
              <w:jc w:val="center"/>
              <w:rPr>
                <w:kern w:val="0"/>
                <w:szCs w:val="21"/>
              </w:rPr>
            </w:pPr>
          </w:p>
        </w:tc>
        <w:tc>
          <w:tcPr>
            <w:tcW w:w="354" w:type="pct"/>
            <w:vMerge/>
            <w:vAlign w:val="center"/>
          </w:tcPr>
          <w:p w14:paraId="196FEA97" w14:textId="77777777" w:rsidR="00B14D53" w:rsidRDefault="00B14D53">
            <w:pPr>
              <w:contextualSpacing/>
              <w:jc w:val="center"/>
              <w:rPr>
                <w:kern w:val="0"/>
                <w:szCs w:val="21"/>
              </w:rPr>
            </w:pPr>
          </w:p>
        </w:tc>
        <w:tc>
          <w:tcPr>
            <w:tcW w:w="450" w:type="pct"/>
            <w:vMerge/>
            <w:vAlign w:val="center"/>
          </w:tcPr>
          <w:p w14:paraId="75875966" w14:textId="77777777" w:rsidR="00B14D53" w:rsidRDefault="00B14D53">
            <w:pPr>
              <w:contextualSpacing/>
              <w:jc w:val="center"/>
              <w:rPr>
                <w:kern w:val="0"/>
                <w:szCs w:val="21"/>
              </w:rPr>
            </w:pPr>
          </w:p>
        </w:tc>
        <w:tc>
          <w:tcPr>
            <w:tcW w:w="271" w:type="pct"/>
            <w:vMerge/>
            <w:vAlign w:val="center"/>
          </w:tcPr>
          <w:p w14:paraId="647DA73F" w14:textId="77777777" w:rsidR="00B14D53" w:rsidRDefault="00B14D53">
            <w:pPr>
              <w:contextualSpacing/>
              <w:jc w:val="center"/>
              <w:rPr>
                <w:kern w:val="0"/>
                <w:szCs w:val="21"/>
              </w:rPr>
            </w:pPr>
          </w:p>
        </w:tc>
        <w:tc>
          <w:tcPr>
            <w:tcW w:w="437" w:type="pct"/>
            <w:vMerge/>
            <w:vAlign w:val="center"/>
          </w:tcPr>
          <w:p w14:paraId="43860C34" w14:textId="77777777" w:rsidR="00B14D53" w:rsidRDefault="00B14D53">
            <w:pPr>
              <w:contextualSpacing/>
              <w:jc w:val="center"/>
              <w:rPr>
                <w:kern w:val="0"/>
                <w:szCs w:val="21"/>
              </w:rPr>
            </w:pPr>
          </w:p>
        </w:tc>
        <w:tc>
          <w:tcPr>
            <w:tcW w:w="463" w:type="pct"/>
            <w:tcBorders>
              <w:top w:val="single" w:sz="4" w:space="0" w:color="000000"/>
            </w:tcBorders>
            <w:vAlign w:val="center"/>
          </w:tcPr>
          <w:p w14:paraId="088F0B73" w14:textId="77777777" w:rsidR="00B14D53" w:rsidRDefault="00000000">
            <w:pPr>
              <w:contextualSpacing/>
              <w:jc w:val="center"/>
              <w:rPr>
                <w:kern w:val="0"/>
                <w:szCs w:val="21"/>
              </w:rPr>
            </w:pPr>
            <w:r>
              <w:rPr>
                <w:kern w:val="0"/>
                <w:szCs w:val="21"/>
              </w:rPr>
              <w:t>大肠菌群数</w:t>
            </w:r>
          </w:p>
        </w:tc>
        <w:tc>
          <w:tcPr>
            <w:tcW w:w="1064" w:type="pct"/>
            <w:tcBorders>
              <w:top w:val="single" w:sz="4" w:space="0" w:color="000000"/>
            </w:tcBorders>
            <w:vAlign w:val="center"/>
          </w:tcPr>
          <w:p w14:paraId="72B6E51C" w14:textId="77777777" w:rsidR="00B14D53" w:rsidRDefault="00000000">
            <w:pPr>
              <w:contextualSpacing/>
              <w:jc w:val="center"/>
              <w:rPr>
                <w:kern w:val="0"/>
                <w:szCs w:val="21"/>
              </w:rPr>
            </w:pPr>
            <w:r>
              <w:rPr>
                <w:rFonts w:hint="eastAsia"/>
                <w:kern w:val="0"/>
                <w:szCs w:val="21"/>
              </w:rPr>
              <w:t>1000</w:t>
            </w:r>
            <w:r>
              <w:rPr>
                <w:kern w:val="0"/>
                <w:szCs w:val="21"/>
              </w:rPr>
              <w:t>（个</w:t>
            </w:r>
            <w:r>
              <w:rPr>
                <w:kern w:val="0"/>
                <w:szCs w:val="21"/>
              </w:rPr>
              <w:t>/L</w:t>
            </w:r>
            <w:r>
              <w:rPr>
                <w:kern w:val="0"/>
                <w:szCs w:val="21"/>
              </w:rPr>
              <w:t>）</w:t>
            </w:r>
          </w:p>
        </w:tc>
      </w:tr>
    </w:tbl>
    <w:p w14:paraId="6F4C243F" w14:textId="77777777" w:rsidR="00B14D53" w:rsidRDefault="00B14D53">
      <w:pPr>
        <w:jc w:val="center"/>
        <w:rPr>
          <w:b/>
          <w:bCs/>
          <w:lang w:eastAsia="en-US"/>
        </w:rPr>
      </w:pPr>
    </w:p>
    <w:p w14:paraId="57177235" w14:textId="77777777" w:rsidR="00B14D53" w:rsidRDefault="00B14D53">
      <w:pPr>
        <w:jc w:val="center"/>
        <w:rPr>
          <w:b/>
          <w:bCs/>
          <w:lang w:eastAsia="en-US"/>
        </w:rPr>
      </w:pPr>
    </w:p>
    <w:p w14:paraId="398535B1" w14:textId="77777777" w:rsidR="00B14D53" w:rsidRDefault="00000000">
      <w:pPr>
        <w:jc w:val="center"/>
        <w:rPr>
          <w:b/>
          <w:bCs/>
        </w:rPr>
      </w:pPr>
      <w:r>
        <w:rPr>
          <w:b/>
          <w:bCs/>
          <w:lang w:eastAsia="en-US"/>
        </w:rPr>
        <w:t>表</w:t>
      </w:r>
      <w:r>
        <w:rPr>
          <w:b/>
          <w:bCs/>
          <w:lang w:eastAsia="en-US"/>
        </w:rPr>
        <w:t>5-2-1</w:t>
      </w:r>
      <w:r>
        <w:rPr>
          <w:rFonts w:hint="eastAsia"/>
          <w:b/>
          <w:bCs/>
        </w:rPr>
        <w:t>9</w:t>
      </w:r>
      <w:r>
        <w:rPr>
          <w:b/>
          <w:bCs/>
          <w:lang w:eastAsia="en-US"/>
        </w:rPr>
        <w:t xml:space="preserve"> </w:t>
      </w:r>
      <w:r>
        <w:rPr>
          <w:b/>
          <w:bCs/>
          <w:lang w:eastAsia="en-US"/>
        </w:rPr>
        <w:t>废水污染物排放执行标准表</w:t>
      </w:r>
    </w:p>
    <w:tbl>
      <w:tblPr>
        <w:tblW w:w="4997"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35"/>
        <w:gridCol w:w="1442"/>
        <w:gridCol w:w="3973"/>
        <w:gridCol w:w="4763"/>
        <w:gridCol w:w="2737"/>
      </w:tblGrid>
      <w:tr w:rsidR="00B14D53" w14:paraId="622DD379" w14:textId="77777777">
        <w:trPr>
          <w:trHeight w:val="90"/>
        </w:trPr>
        <w:tc>
          <w:tcPr>
            <w:tcW w:w="371" w:type="pct"/>
            <w:vMerge w:val="restart"/>
            <w:vAlign w:val="center"/>
          </w:tcPr>
          <w:p w14:paraId="4669AA5B" w14:textId="77777777" w:rsidR="00B14D53" w:rsidRDefault="00000000">
            <w:pPr>
              <w:contextualSpacing/>
              <w:jc w:val="center"/>
              <w:rPr>
                <w:b/>
                <w:bCs/>
                <w:szCs w:val="21"/>
              </w:rPr>
            </w:pPr>
            <w:r>
              <w:rPr>
                <w:b/>
                <w:bCs/>
                <w:szCs w:val="21"/>
              </w:rPr>
              <w:t>序号</w:t>
            </w:r>
          </w:p>
        </w:tc>
        <w:tc>
          <w:tcPr>
            <w:tcW w:w="517" w:type="pct"/>
            <w:vMerge w:val="restart"/>
            <w:vAlign w:val="center"/>
          </w:tcPr>
          <w:p w14:paraId="5EB943D7" w14:textId="77777777" w:rsidR="00B14D53" w:rsidRDefault="00000000">
            <w:pPr>
              <w:contextualSpacing/>
              <w:jc w:val="center"/>
              <w:rPr>
                <w:b/>
                <w:bCs/>
                <w:szCs w:val="21"/>
              </w:rPr>
            </w:pPr>
            <w:r>
              <w:rPr>
                <w:b/>
                <w:bCs/>
                <w:szCs w:val="21"/>
              </w:rPr>
              <w:t>排放口编号</w:t>
            </w:r>
          </w:p>
        </w:tc>
        <w:tc>
          <w:tcPr>
            <w:tcW w:w="1423" w:type="pct"/>
            <w:vMerge w:val="restart"/>
            <w:vAlign w:val="center"/>
          </w:tcPr>
          <w:p w14:paraId="046C86B2" w14:textId="77777777" w:rsidR="00B14D53" w:rsidRDefault="00000000">
            <w:pPr>
              <w:contextualSpacing/>
              <w:jc w:val="center"/>
              <w:rPr>
                <w:b/>
                <w:bCs/>
                <w:szCs w:val="21"/>
              </w:rPr>
            </w:pPr>
            <w:r>
              <w:rPr>
                <w:b/>
                <w:bCs/>
                <w:szCs w:val="21"/>
              </w:rPr>
              <w:t>污染物种类</w:t>
            </w:r>
          </w:p>
        </w:tc>
        <w:tc>
          <w:tcPr>
            <w:tcW w:w="2687" w:type="pct"/>
            <w:gridSpan w:val="2"/>
            <w:vAlign w:val="center"/>
          </w:tcPr>
          <w:p w14:paraId="52780A3E" w14:textId="77777777" w:rsidR="00B14D53" w:rsidRDefault="00000000">
            <w:pPr>
              <w:contextualSpacing/>
              <w:jc w:val="center"/>
              <w:rPr>
                <w:b/>
                <w:bCs/>
                <w:szCs w:val="21"/>
              </w:rPr>
            </w:pPr>
            <w:r>
              <w:rPr>
                <w:b/>
                <w:bCs/>
                <w:szCs w:val="21"/>
              </w:rPr>
              <w:t>国家或地方污染物排放标准及其他按规定商定的排放协议</w:t>
            </w:r>
          </w:p>
        </w:tc>
      </w:tr>
      <w:tr w:rsidR="00B14D53" w14:paraId="40F7526F" w14:textId="77777777">
        <w:trPr>
          <w:trHeight w:val="86"/>
        </w:trPr>
        <w:tc>
          <w:tcPr>
            <w:tcW w:w="371" w:type="pct"/>
            <w:vMerge/>
            <w:vAlign w:val="center"/>
          </w:tcPr>
          <w:p w14:paraId="1316B8D4" w14:textId="77777777" w:rsidR="00B14D53" w:rsidRDefault="00B14D53">
            <w:pPr>
              <w:contextualSpacing/>
              <w:jc w:val="center"/>
              <w:rPr>
                <w:b/>
                <w:bCs/>
                <w:szCs w:val="21"/>
              </w:rPr>
            </w:pPr>
          </w:p>
        </w:tc>
        <w:tc>
          <w:tcPr>
            <w:tcW w:w="517" w:type="pct"/>
            <w:vMerge/>
            <w:vAlign w:val="center"/>
          </w:tcPr>
          <w:p w14:paraId="69BD57C2" w14:textId="77777777" w:rsidR="00B14D53" w:rsidRDefault="00B14D53">
            <w:pPr>
              <w:contextualSpacing/>
              <w:jc w:val="center"/>
              <w:rPr>
                <w:b/>
                <w:bCs/>
                <w:szCs w:val="21"/>
              </w:rPr>
            </w:pPr>
          </w:p>
        </w:tc>
        <w:tc>
          <w:tcPr>
            <w:tcW w:w="1423" w:type="pct"/>
            <w:vMerge/>
            <w:vAlign w:val="center"/>
          </w:tcPr>
          <w:p w14:paraId="1FDC96E7" w14:textId="77777777" w:rsidR="00B14D53" w:rsidRDefault="00B14D53">
            <w:pPr>
              <w:contextualSpacing/>
              <w:jc w:val="center"/>
              <w:rPr>
                <w:b/>
                <w:bCs/>
                <w:szCs w:val="21"/>
              </w:rPr>
            </w:pPr>
          </w:p>
        </w:tc>
        <w:tc>
          <w:tcPr>
            <w:tcW w:w="1706" w:type="pct"/>
            <w:vAlign w:val="center"/>
          </w:tcPr>
          <w:p w14:paraId="6C95E532" w14:textId="77777777" w:rsidR="00B14D53" w:rsidRDefault="00000000">
            <w:pPr>
              <w:contextualSpacing/>
              <w:jc w:val="center"/>
              <w:rPr>
                <w:b/>
                <w:bCs/>
                <w:szCs w:val="21"/>
              </w:rPr>
            </w:pPr>
            <w:r>
              <w:rPr>
                <w:b/>
                <w:bCs/>
                <w:szCs w:val="21"/>
              </w:rPr>
              <w:t>名称</w:t>
            </w:r>
          </w:p>
        </w:tc>
        <w:tc>
          <w:tcPr>
            <w:tcW w:w="981" w:type="pct"/>
            <w:vAlign w:val="center"/>
          </w:tcPr>
          <w:p w14:paraId="4D86A1BB" w14:textId="77777777" w:rsidR="00B14D53" w:rsidRDefault="00000000">
            <w:pPr>
              <w:contextualSpacing/>
              <w:jc w:val="center"/>
              <w:rPr>
                <w:b/>
                <w:bCs/>
                <w:szCs w:val="21"/>
              </w:rPr>
            </w:pPr>
            <w:r>
              <w:rPr>
                <w:b/>
                <w:bCs/>
                <w:szCs w:val="21"/>
              </w:rPr>
              <w:t>浓度限值</w:t>
            </w:r>
            <w:r>
              <w:rPr>
                <w:b/>
                <w:bCs/>
                <w:szCs w:val="21"/>
              </w:rPr>
              <w:t>/(mg/L)</w:t>
            </w:r>
          </w:p>
        </w:tc>
      </w:tr>
      <w:tr w:rsidR="00B14D53" w14:paraId="2456B279" w14:textId="77777777">
        <w:trPr>
          <w:trHeight w:val="86"/>
        </w:trPr>
        <w:tc>
          <w:tcPr>
            <w:tcW w:w="371" w:type="pct"/>
            <w:vMerge w:val="restart"/>
            <w:vAlign w:val="center"/>
          </w:tcPr>
          <w:p w14:paraId="6B223B72" w14:textId="77777777" w:rsidR="00B14D53" w:rsidRDefault="00000000">
            <w:pPr>
              <w:contextualSpacing/>
              <w:jc w:val="center"/>
              <w:rPr>
                <w:szCs w:val="21"/>
              </w:rPr>
            </w:pPr>
            <w:r>
              <w:rPr>
                <w:szCs w:val="21"/>
              </w:rPr>
              <w:t>1</w:t>
            </w:r>
          </w:p>
        </w:tc>
        <w:tc>
          <w:tcPr>
            <w:tcW w:w="517" w:type="pct"/>
            <w:vMerge w:val="restart"/>
            <w:vAlign w:val="center"/>
          </w:tcPr>
          <w:p w14:paraId="1B4F7D6D" w14:textId="77777777" w:rsidR="00B14D53" w:rsidRDefault="00000000">
            <w:pPr>
              <w:contextualSpacing/>
              <w:jc w:val="center"/>
              <w:rPr>
                <w:szCs w:val="21"/>
              </w:rPr>
            </w:pPr>
            <w:r>
              <w:rPr>
                <w:szCs w:val="21"/>
              </w:rPr>
              <w:t>DW001</w:t>
            </w:r>
          </w:p>
        </w:tc>
        <w:tc>
          <w:tcPr>
            <w:tcW w:w="1423" w:type="pct"/>
            <w:vAlign w:val="center"/>
          </w:tcPr>
          <w:p w14:paraId="538B7F8F" w14:textId="77777777" w:rsidR="00B14D53" w:rsidRDefault="00000000">
            <w:pPr>
              <w:contextualSpacing/>
              <w:jc w:val="center"/>
              <w:rPr>
                <w:szCs w:val="21"/>
              </w:rPr>
            </w:pPr>
            <w:r>
              <w:rPr>
                <w:szCs w:val="21"/>
              </w:rPr>
              <w:t>pH</w:t>
            </w:r>
          </w:p>
        </w:tc>
        <w:tc>
          <w:tcPr>
            <w:tcW w:w="1706" w:type="pct"/>
            <w:vMerge w:val="restart"/>
            <w:vAlign w:val="center"/>
          </w:tcPr>
          <w:p w14:paraId="29A97D4C" w14:textId="77777777" w:rsidR="00B14D53" w:rsidRDefault="00000000">
            <w:pPr>
              <w:contextualSpacing/>
              <w:jc w:val="center"/>
              <w:rPr>
                <w:szCs w:val="21"/>
              </w:rPr>
            </w:pPr>
            <w:r>
              <w:rPr>
                <w:kern w:val="0"/>
                <w:szCs w:val="21"/>
              </w:rPr>
              <w:t>《肉类加工工业水污染物排放标准》（</w:t>
            </w:r>
            <w:r>
              <w:rPr>
                <w:kern w:val="0"/>
                <w:szCs w:val="21"/>
              </w:rPr>
              <w:t>GB13457-92</w:t>
            </w:r>
            <w:r>
              <w:rPr>
                <w:kern w:val="0"/>
                <w:szCs w:val="21"/>
              </w:rPr>
              <w:t>）畜类屠宰加工三级标准及</w:t>
            </w:r>
            <w:r>
              <w:rPr>
                <w:kern w:val="21"/>
                <w:szCs w:val="21"/>
              </w:rPr>
              <w:t>五常市民泉污水处理有限公司（五常市山河屯林业局污水处理厂）</w:t>
            </w:r>
            <w:r>
              <w:rPr>
                <w:kern w:val="0"/>
                <w:szCs w:val="21"/>
              </w:rPr>
              <w:t>设计进水水质指标</w:t>
            </w:r>
          </w:p>
        </w:tc>
        <w:tc>
          <w:tcPr>
            <w:tcW w:w="981" w:type="pct"/>
            <w:vAlign w:val="center"/>
          </w:tcPr>
          <w:p w14:paraId="6638991C" w14:textId="77777777" w:rsidR="00B14D53" w:rsidRDefault="00000000">
            <w:pPr>
              <w:contextualSpacing/>
              <w:jc w:val="center"/>
              <w:rPr>
                <w:szCs w:val="21"/>
              </w:rPr>
            </w:pPr>
            <w:r>
              <w:rPr>
                <w:szCs w:val="21"/>
              </w:rPr>
              <w:t>6.5</w:t>
            </w:r>
            <w:r>
              <w:rPr>
                <w:szCs w:val="21"/>
              </w:rPr>
              <w:t>～</w:t>
            </w:r>
            <w:r>
              <w:rPr>
                <w:szCs w:val="21"/>
              </w:rPr>
              <w:t>8.5</w:t>
            </w:r>
            <w:r>
              <w:rPr>
                <w:rFonts w:hint="eastAsia"/>
                <w:szCs w:val="21"/>
              </w:rPr>
              <w:t>无量纲</w:t>
            </w:r>
          </w:p>
        </w:tc>
      </w:tr>
      <w:tr w:rsidR="00B14D53" w14:paraId="2B8D1587" w14:textId="77777777">
        <w:trPr>
          <w:trHeight w:val="246"/>
        </w:trPr>
        <w:tc>
          <w:tcPr>
            <w:tcW w:w="371" w:type="pct"/>
            <w:vMerge/>
            <w:vAlign w:val="center"/>
          </w:tcPr>
          <w:p w14:paraId="2D0983A1" w14:textId="77777777" w:rsidR="00B14D53" w:rsidRDefault="00B14D53">
            <w:pPr>
              <w:contextualSpacing/>
              <w:jc w:val="center"/>
              <w:rPr>
                <w:szCs w:val="21"/>
              </w:rPr>
            </w:pPr>
          </w:p>
        </w:tc>
        <w:tc>
          <w:tcPr>
            <w:tcW w:w="517" w:type="pct"/>
            <w:vMerge/>
            <w:vAlign w:val="center"/>
          </w:tcPr>
          <w:p w14:paraId="610B8FC1" w14:textId="77777777" w:rsidR="00B14D53" w:rsidRDefault="00B14D53">
            <w:pPr>
              <w:contextualSpacing/>
              <w:jc w:val="center"/>
              <w:rPr>
                <w:szCs w:val="21"/>
              </w:rPr>
            </w:pPr>
          </w:p>
        </w:tc>
        <w:tc>
          <w:tcPr>
            <w:tcW w:w="1423" w:type="pct"/>
            <w:vAlign w:val="center"/>
          </w:tcPr>
          <w:p w14:paraId="1396B7E8" w14:textId="77777777" w:rsidR="00B14D53" w:rsidRDefault="00000000">
            <w:pPr>
              <w:contextualSpacing/>
              <w:jc w:val="center"/>
              <w:rPr>
                <w:szCs w:val="21"/>
              </w:rPr>
            </w:pPr>
            <w:r>
              <w:rPr>
                <w:szCs w:val="21"/>
              </w:rPr>
              <w:t>COD</w:t>
            </w:r>
          </w:p>
        </w:tc>
        <w:tc>
          <w:tcPr>
            <w:tcW w:w="1706" w:type="pct"/>
            <w:vMerge/>
            <w:vAlign w:val="center"/>
          </w:tcPr>
          <w:p w14:paraId="1819FC20" w14:textId="77777777" w:rsidR="00B14D53" w:rsidRDefault="00B14D53">
            <w:pPr>
              <w:widowControl/>
              <w:contextualSpacing/>
              <w:jc w:val="center"/>
              <w:rPr>
                <w:kern w:val="0"/>
                <w:szCs w:val="21"/>
              </w:rPr>
            </w:pPr>
          </w:p>
        </w:tc>
        <w:tc>
          <w:tcPr>
            <w:tcW w:w="981" w:type="pct"/>
            <w:vAlign w:val="center"/>
          </w:tcPr>
          <w:p w14:paraId="37EA1DFC" w14:textId="77777777" w:rsidR="00B14D53" w:rsidRDefault="00000000">
            <w:pPr>
              <w:widowControl/>
              <w:contextualSpacing/>
              <w:jc w:val="center"/>
              <w:rPr>
                <w:kern w:val="0"/>
                <w:szCs w:val="21"/>
              </w:rPr>
            </w:pPr>
            <w:r>
              <w:rPr>
                <w:rFonts w:hint="eastAsia"/>
                <w:spacing w:val="-6"/>
                <w:szCs w:val="21"/>
              </w:rPr>
              <w:t>350</w:t>
            </w:r>
          </w:p>
        </w:tc>
      </w:tr>
      <w:tr w:rsidR="00B14D53" w14:paraId="43FE553C" w14:textId="77777777">
        <w:trPr>
          <w:trHeight w:val="86"/>
        </w:trPr>
        <w:tc>
          <w:tcPr>
            <w:tcW w:w="371" w:type="pct"/>
            <w:vMerge/>
            <w:vAlign w:val="center"/>
          </w:tcPr>
          <w:p w14:paraId="5E7FB2BC" w14:textId="77777777" w:rsidR="00B14D53" w:rsidRDefault="00B14D53">
            <w:pPr>
              <w:contextualSpacing/>
              <w:jc w:val="center"/>
              <w:rPr>
                <w:szCs w:val="21"/>
              </w:rPr>
            </w:pPr>
          </w:p>
        </w:tc>
        <w:tc>
          <w:tcPr>
            <w:tcW w:w="517" w:type="pct"/>
            <w:vMerge/>
            <w:vAlign w:val="center"/>
          </w:tcPr>
          <w:p w14:paraId="63F8B634" w14:textId="77777777" w:rsidR="00B14D53" w:rsidRDefault="00B14D53">
            <w:pPr>
              <w:contextualSpacing/>
              <w:jc w:val="center"/>
              <w:rPr>
                <w:szCs w:val="21"/>
              </w:rPr>
            </w:pPr>
          </w:p>
        </w:tc>
        <w:tc>
          <w:tcPr>
            <w:tcW w:w="1423" w:type="pct"/>
            <w:vAlign w:val="center"/>
          </w:tcPr>
          <w:p w14:paraId="5772D5E9" w14:textId="77777777" w:rsidR="00B14D53" w:rsidRDefault="00000000">
            <w:pPr>
              <w:contextualSpacing/>
              <w:jc w:val="center"/>
              <w:rPr>
                <w:szCs w:val="21"/>
              </w:rPr>
            </w:pPr>
            <w:r>
              <w:rPr>
                <w:szCs w:val="21"/>
              </w:rPr>
              <w:t>BOD</w:t>
            </w:r>
            <w:r>
              <w:rPr>
                <w:szCs w:val="21"/>
                <w:vertAlign w:val="subscript"/>
              </w:rPr>
              <w:t>5</w:t>
            </w:r>
          </w:p>
        </w:tc>
        <w:tc>
          <w:tcPr>
            <w:tcW w:w="1706" w:type="pct"/>
            <w:vMerge/>
            <w:vAlign w:val="center"/>
          </w:tcPr>
          <w:p w14:paraId="6B85307F" w14:textId="77777777" w:rsidR="00B14D53" w:rsidRDefault="00B14D53">
            <w:pPr>
              <w:widowControl/>
              <w:contextualSpacing/>
              <w:jc w:val="center"/>
              <w:rPr>
                <w:kern w:val="0"/>
                <w:szCs w:val="21"/>
              </w:rPr>
            </w:pPr>
          </w:p>
        </w:tc>
        <w:tc>
          <w:tcPr>
            <w:tcW w:w="981" w:type="pct"/>
            <w:vAlign w:val="center"/>
          </w:tcPr>
          <w:p w14:paraId="6FA264B5" w14:textId="77777777" w:rsidR="00B14D53" w:rsidRDefault="00000000">
            <w:pPr>
              <w:widowControl/>
              <w:contextualSpacing/>
              <w:jc w:val="center"/>
              <w:rPr>
                <w:kern w:val="0"/>
                <w:szCs w:val="21"/>
              </w:rPr>
            </w:pPr>
            <w:r>
              <w:rPr>
                <w:rFonts w:hint="eastAsia"/>
                <w:kern w:val="0"/>
                <w:szCs w:val="21"/>
              </w:rPr>
              <w:t>200</w:t>
            </w:r>
          </w:p>
        </w:tc>
      </w:tr>
      <w:tr w:rsidR="00B14D53" w14:paraId="3156EEC0" w14:textId="77777777">
        <w:trPr>
          <w:trHeight w:val="86"/>
        </w:trPr>
        <w:tc>
          <w:tcPr>
            <w:tcW w:w="371" w:type="pct"/>
            <w:vMerge/>
            <w:vAlign w:val="center"/>
          </w:tcPr>
          <w:p w14:paraId="0F18C4C7" w14:textId="77777777" w:rsidR="00B14D53" w:rsidRDefault="00B14D53">
            <w:pPr>
              <w:contextualSpacing/>
              <w:jc w:val="center"/>
              <w:rPr>
                <w:szCs w:val="21"/>
              </w:rPr>
            </w:pPr>
          </w:p>
        </w:tc>
        <w:tc>
          <w:tcPr>
            <w:tcW w:w="517" w:type="pct"/>
            <w:vMerge/>
            <w:vAlign w:val="center"/>
          </w:tcPr>
          <w:p w14:paraId="4441C1F0" w14:textId="77777777" w:rsidR="00B14D53" w:rsidRDefault="00B14D53">
            <w:pPr>
              <w:contextualSpacing/>
              <w:jc w:val="center"/>
              <w:rPr>
                <w:szCs w:val="21"/>
              </w:rPr>
            </w:pPr>
          </w:p>
        </w:tc>
        <w:tc>
          <w:tcPr>
            <w:tcW w:w="1423" w:type="pct"/>
            <w:vAlign w:val="center"/>
          </w:tcPr>
          <w:p w14:paraId="29B9DE25" w14:textId="77777777" w:rsidR="00B14D53" w:rsidRDefault="00000000">
            <w:pPr>
              <w:contextualSpacing/>
              <w:jc w:val="center"/>
              <w:rPr>
                <w:szCs w:val="21"/>
              </w:rPr>
            </w:pPr>
            <w:r>
              <w:rPr>
                <w:szCs w:val="21"/>
              </w:rPr>
              <w:t>NH</w:t>
            </w:r>
            <w:r>
              <w:rPr>
                <w:szCs w:val="21"/>
                <w:vertAlign w:val="subscript"/>
              </w:rPr>
              <w:t>3</w:t>
            </w:r>
            <w:r>
              <w:rPr>
                <w:szCs w:val="21"/>
              </w:rPr>
              <w:t>-N</w:t>
            </w:r>
          </w:p>
        </w:tc>
        <w:tc>
          <w:tcPr>
            <w:tcW w:w="1706" w:type="pct"/>
            <w:vMerge/>
            <w:vAlign w:val="center"/>
          </w:tcPr>
          <w:p w14:paraId="5A8BEFA1" w14:textId="77777777" w:rsidR="00B14D53" w:rsidRDefault="00B14D53">
            <w:pPr>
              <w:widowControl/>
              <w:contextualSpacing/>
              <w:jc w:val="center"/>
              <w:rPr>
                <w:kern w:val="0"/>
                <w:szCs w:val="21"/>
              </w:rPr>
            </w:pPr>
          </w:p>
        </w:tc>
        <w:tc>
          <w:tcPr>
            <w:tcW w:w="981" w:type="pct"/>
            <w:vAlign w:val="center"/>
          </w:tcPr>
          <w:p w14:paraId="4574EA8D" w14:textId="77777777" w:rsidR="00B14D53" w:rsidRDefault="00000000">
            <w:pPr>
              <w:widowControl/>
              <w:contextualSpacing/>
              <w:jc w:val="center"/>
              <w:rPr>
                <w:kern w:val="0"/>
                <w:szCs w:val="21"/>
              </w:rPr>
            </w:pPr>
            <w:r>
              <w:rPr>
                <w:rFonts w:hint="eastAsia"/>
                <w:kern w:val="0"/>
                <w:szCs w:val="21"/>
              </w:rPr>
              <w:t>25</w:t>
            </w:r>
          </w:p>
        </w:tc>
      </w:tr>
      <w:tr w:rsidR="00B14D53" w14:paraId="165C01B7" w14:textId="77777777">
        <w:trPr>
          <w:trHeight w:val="86"/>
        </w:trPr>
        <w:tc>
          <w:tcPr>
            <w:tcW w:w="371" w:type="pct"/>
            <w:vMerge/>
            <w:vAlign w:val="center"/>
          </w:tcPr>
          <w:p w14:paraId="6F12192F" w14:textId="77777777" w:rsidR="00B14D53" w:rsidRDefault="00B14D53">
            <w:pPr>
              <w:contextualSpacing/>
              <w:jc w:val="center"/>
              <w:rPr>
                <w:szCs w:val="21"/>
              </w:rPr>
            </w:pPr>
          </w:p>
        </w:tc>
        <w:tc>
          <w:tcPr>
            <w:tcW w:w="517" w:type="pct"/>
            <w:vMerge/>
            <w:vAlign w:val="center"/>
          </w:tcPr>
          <w:p w14:paraId="245D0D52" w14:textId="77777777" w:rsidR="00B14D53" w:rsidRDefault="00B14D53">
            <w:pPr>
              <w:contextualSpacing/>
              <w:jc w:val="center"/>
              <w:rPr>
                <w:szCs w:val="21"/>
              </w:rPr>
            </w:pPr>
          </w:p>
        </w:tc>
        <w:tc>
          <w:tcPr>
            <w:tcW w:w="1423" w:type="pct"/>
            <w:vAlign w:val="center"/>
          </w:tcPr>
          <w:p w14:paraId="20D4D656" w14:textId="77777777" w:rsidR="00B14D53" w:rsidRDefault="00000000">
            <w:pPr>
              <w:contextualSpacing/>
              <w:jc w:val="center"/>
              <w:rPr>
                <w:szCs w:val="21"/>
              </w:rPr>
            </w:pPr>
            <w:r>
              <w:rPr>
                <w:szCs w:val="21"/>
              </w:rPr>
              <w:t>SS</w:t>
            </w:r>
          </w:p>
        </w:tc>
        <w:tc>
          <w:tcPr>
            <w:tcW w:w="1706" w:type="pct"/>
            <w:vMerge/>
            <w:vAlign w:val="center"/>
          </w:tcPr>
          <w:p w14:paraId="202F6907" w14:textId="77777777" w:rsidR="00B14D53" w:rsidRDefault="00B14D53">
            <w:pPr>
              <w:widowControl/>
              <w:contextualSpacing/>
              <w:jc w:val="center"/>
              <w:rPr>
                <w:kern w:val="0"/>
                <w:szCs w:val="21"/>
              </w:rPr>
            </w:pPr>
          </w:p>
        </w:tc>
        <w:tc>
          <w:tcPr>
            <w:tcW w:w="981" w:type="pct"/>
            <w:vAlign w:val="center"/>
          </w:tcPr>
          <w:p w14:paraId="55DCE578" w14:textId="77777777" w:rsidR="00B14D53" w:rsidRDefault="00000000">
            <w:pPr>
              <w:widowControl/>
              <w:contextualSpacing/>
              <w:jc w:val="center"/>
              <w:rPr>
                <w:kern w:val="0"/>
                <w:szCs w:val="21"/>
              </w:rPr>
            </w:pPr>
            <w:r>
              <w:rPr>
                <w:rFonts w:hint="eastAsia"/>
                <w:kern w:val="0"/>
                <w:szCs w:val="21"/>
              </w:rPr>
              <w:t>3</w:t>
            </w:r>
            <w:r>
              <w:rPr>
                <w:kern w:val="0"/>
                <w:szCs w:val="21"/>
              </w:rPr>
              <w:t>00</w:t>
            </w:r>
          </w:p>
        </w:tc>
      </w:tr>
      <w:tr w:rsidR="00B14D53" w14:paraId="21998F5B" w14:textId="77777777">
        <w:trPr>
          <w:trHeight w:val="86"/>
        </w:trPr>
        <w:tc>
          <w:tcPr>
            <w:tcW w:w="371" w:type="pct"/>
            <w:vMerge/>
            <w:vAlign w:val="center"/>
          </w:tcPr>
          <w:p w14:paraId="62BA8A24" w14:textId="77777777" w:rsidR="00B14D53" w:rsidRDefault="00B14D53">
            <w:pPr>
              <w:contextualSpacing/>
              <w:jc w:val="center"/>
              <w:rPr>
                <w:szCs w:val="21"/>
              </w:rPr>
            </w:pPr>
          </w:p>
        </w:tc>
        <w:tc>
          <w:tcPr>
            <w:tcW w:w="517" w:type="pct"/>
            <w:vMerge/>
            <w:vAlign w:val="center"/>
          </w:tcPr>
          <w:p w14:paraId="29527DEB" w14:textId="77777777" w:rsidR="00B14D53" w:rsidRDefault="00B14D53">
            <w:pPr>
              <w:contextualSpacing/>
              <w:jc w:val="center"/>
              <w:rPr>
                <w:szCs w:val="21"/>
              </w:rPr>
            </w:pPr>
          </w:p>
        </w:tc>
        <w:tc>
          <w:tcPr>
            <w:tcW w:w="1423" w:type="pct"/>
            <w:vAlign w:val="center"/>
          </w:tcPr>
          <w:p w14:paraId="5CB556FE" w14:textId="77777777" w:rsidR="00B14D53" w:rsidRDefault="00000000">
            <w:pPr>
              <w:contextualSpacing/>
              <w:jc w:val="center"/>
              <w:rPr>
                <w:szCs w:val="21"/>
              </w:rPr>
            </w:pPr>
            <w:r>
              <w:rPr>
                <w:szCs w:val="21"/>
              </w:rPr>
              <w:t>动植物油</w:t>
            </w:r>
          </w:p>
        </w:tc>
        <w:tc>
          <w:tcPr>
            <w:tcW w:w="1706" w:type="pct"/>
            <w:vMerge/>
            <w:vAlign w:val="center"/>
          </w:tcPr>
          <w:p w14:paraId="33D73813" w14:textId="77777777" w:rsidR="00B14D53" w:rsidRDefault="00B14D53">
            <w:pPr>
              <w:widowControl/>
              <w:contextualSpacing/>
              <w:jc w:val="center"/>
              <w:rPr>
                <w:kern w:val="0"/>
                <w:szCs w:val="21"/>
              </w:rPr>
            </w:pPr>
          </w:p>
        </w:tc>
        <w:tc>
          <w:tcPr>
            <w:tcW w:w="981" w:type="pct"/>
            <w:vAlign w:val="center"/>
          </w:tcPr>
          <w:p w14:paraId="628EF6A9" w14:textId="77777777" w:rsidR="00B14D53" w:rsidRDefault="00000000">
            <w:pPr>
              <w:widowControl/>
              <w:contextualSpacing/>
              <w:jc w:val="center"/>
              <w:rPr>
                <w:kern w:val="0"/>
                <w:szCs w:val="21"/>
              </w:rPr>
            </w:pPr>
            <w:r>
              <w:rPr>
                <w:szCs w:val="21"/>
              </w:rPr>
              <w:t>60</w:t>
            </w:r>
          </w:p>
        </w:tc>
      </w:tr>
      <w:tr w:rsidR="00B14D53" w14:paraId="4C93A99A" w14:textId="77777777">
        <w:trPr>
          <w:trHeight w:val="86"/>
        </w:trPr>
        <w:tc>
          <w:tcPr>
            <w:tcW w:w="371" w:type="pct"/>
            <w:vMerge/>
            <w:vAlign w:val="center"/>
          </w:tcPr>
          <w:p w14:paraId="1B1D675C" w14:textId="77777777" w:rsidR="00B14D53" w:rsidRDefault="00B14D53">
            <w:pPr>
              <w:contextualSpacing/>
              <w:jc w:val="center"/>
              <w:rPr>
                <w:szCs w:val="21"/>
              </w:rPr>
            </w:pPr>
          </w:p>
        </w:tc>
        <w:tc>
          <w:tcPr>
            <w:tcW w:w="517" w:type="pct"/>
            <w:vMerge/>
            <w:vAlign w:val="center"/>
          </w:tcPr>
          <w:p w14:paraId="5212EAF8" w14:textId="77777777" w:rsidR="00B14D53" w:rsidRDefault="00B14D53">
            <w:pPr>
              <w:contextualSpacing/>
              <w:jc w:val="center"/>
              <w:rPr>
                <w:szCs w:val="21"/>
              </w:rPr>
            </w:pPr>
          </w:p>
        </w:tc>
        <w:tc>
          <w:tcPr>
            <w:tcW w:w="1423" w:type="pct"/>
            <w:vAlign w:val="center"/>
          </w:tcPr>
          <w:p w14:paraId="3ACD0EED" w14:textId="77777777" w:rsidR="00B14D53" w:rsidRDefault="00000000">
            <w:pPr>
              <w:contextualSpacing/>
              <w:jc w:val="center"/>
              <w:rPr>
                <w:szCs w:val="21"/>
              </w:rPr>
            </w:pPr>
            <w:r>
              <w:rPr>
                <w:szCs w:val="21"/>
              </w:rPr>
              <w:t>大肠菌群数（个</w:t>
            </w:r>
            <w:r>
              <w:rPr>
                <w:szCs w:val="21"/>
              </w:rPr>
              <w:t>/L</w:t>
            </w:r>
            <w:r>
              <w:rPr>
                <w:szCs w:val="21"/>
              </w:rPr>
              <w:t>）</w:t>
            </w:r>
          </w:p>
        </w:tc>
        <w:tc>
          <w:tcPr>
            <w:tcW w:w="1706" w:type="pct"/>
            <w:vMerge/>
            <w:vAlign w:val="center"/>
          </w:tcPr>
          <w:p w14:paraId="67C263FA" w14:textId="77777777" w:rsidR="00B14D53" w:rsidRDefault="00B14D53">
            <w:pPr>
              <w:widowControl/>
              <w:contextualSpacing/>
              <w:jc w:val="center"/>
              <w:rPr>
                <w:kern w:val="0"/>
                <w:szCs w:val="21"/>
              </w:rPr>
            </w:pPr>
          </w:p>
        </w:tc>
        <w:tc>
          <w:tcPr>
            <w:tcW w:w="981" w:type="pct"/>
            <w:vAlign w:val="center"/>
          </w:tcPr>
          <w:p w14:paraId="27824B68" w14:textId="77777777" w:rsidR="00B14D53" w:rsidRDefault="00000000">
            <w:pPr>
              <w:widowControl/>
              <w:contextualSpacing/>
              <w:jc w:val="center"/>
              <w:rPr>
                <w:kern w:val="0"/>
                <w:szCs w:val="21"/>
              </w:rPr>
            </w:pPr>
            <w:r>
              <w:rPr>
                <w:kern w:val="0"/>
                <w:szCs w:val="21"/>
              </w:rPr>
              <w:t>/</w:t>
            </w:r>
          </w:p>
        </w:tc>
      </w:tr>
      <w:tr w:rsidR="00B14D53" w14:paraId="5A4CFB6C" w14:textId="77777777">
        <w:trPr>
          <w:trHeight w:val="246"/>
        </w:trPr>
        <w:tc>
          <w:tcPr>
            <w:tcW w:w="371" w:type="pct"/>
            <w:vMerge w:val="restart"/>
            <w:vAlign w:val="center"/>
          </w:tcPr>
          <w:p w14:paraId="57DE4419" w14:textId="77777777" w:rsidR="00B14D53" w:rsidRDefault="00000000">
            <w:pPr>
              <w:contextualSpacing/>
              <w:jc w:val="center"/>
              <w:rPr>
                <w:szCs w:val="21"/>
              </w:rPr>
            </w:pPr>
            <w:r>
              <w:rPr>
                <w:rFonts w:hint="eastAsia"/>
                <w:szCs w:val="21"/>
              </w:rPr>
              <w:t>2</w:t>
            </w:r>
          </w:p>
        </w:tc>
        <w:tc>
          <w:tcPr>
            <w:tcW w:w="517" w:type="pct"/>
            <w:vMerge w:val="restart"/>
            <w:vAlign w:val="center"/>
          </w:tcPr>
          <w:p w14:paraId="04E7540B" w14:textId="77777777" w:rsidR="00B14D53" w:rsidRDefault="00000000">
            <w:pPr>
              <w:contextualSpacing/>
              <w:jc w:val="center"/>
              <w:rPr>
                <w:szCs w:val="21"/>
              </w:rPr>
            </w:pPr>
            <w:r>
              <w:rPr>
                <w:rFonts w:hint="eastAsia"/>
                <w:szCs w:val="21"/>
              </w:rPr>
              <w:t>DW002</w:t>
            </w:r>
          </w:p>
        </w:tc>
        <w:tc>
          <w:tcPr>
            <w:tcW w:w="1423" w:type="pct"/>
            <w:vAlign w:val="center"/>
          </w:tcPr>
          <w:p w14:paraId="398FDF1F" w14:textId="77777777" w:rsidR="00B14D53" w:rsidRDefault="00000000">
            <w:pPr>
              <w:contextualSpacing/>
              <w:jc w:val="center"/>
              <w:rPr>
                <w:szCs w:val="21"/>
              </w:rPr>
            </w:pPr>
            <w:r>
              <w:rPr>
                <w:szCs w:val="21"/>
              </w:rPr>
              <w:t>pH</w:t>
            </w:r>
          </w:p>
        </w:tc>
        <w:tc>
          <w:tcPr>
            <w:tcW w:w="1706" w:type="pct"/>
            <w:vMerge w:val="restart"/>
            <w:vAlign w:val="center"/>
          </w:tcPr>
          <w:p w14:paraId="5F6F79C8" w14:textId="77777777" w:rsidR="00B14D53" w:rsidRDefault="00000000">
            <w:pPr>
              <w:widowControl/>
              <w:contextualSpacing/>
              <w:jc w:val="center"/>
              <w:rPr>
                <w:kern w:val="0"/>
                <w:szCs w:val="21"/>
              </w:rPr>
            </w:pPr>
            <w:r>
              <w:rPr>
                <w:spacing w:val="4"/>
                <w:szCs w:val="21"/>
              </w:rPr>
              <w:t>《污水综合排放标准》（</w:t>
            </w:r>
            <w:r>
              <w:rPr>
                <w:spacing w:val="4"/>
                <w:szCs w:val="21"/>
              </w:rPr>
              <w:t>GB8978-1996</w:t>
            </w:r>
            <w:r>
              <w:rPr>
                <w:spacing w:val="4"/>
                <w:szCs w:val="21"/>
              </w:rPr>
              <w:t>）表</w:t>
            </w:r>
            <w:r>
              <w:rPr>
                <w:spacing w:val="4"/>
                <w:szCs w:val="21"/>
              </w:rPr>
              <w:t>4</w:t>
            </w:r>
            <w:r>
              <w:rPr>
                <w:spacing w:val="4"/>
                <w:szCs w:val="21"/>
              </w:rPr>
              <w:t>三级标准限值</w:t>
            </w:r>
            <w:r>
              <w:rPr>
                <w:kern w:val="0"/>
                <w:szCs w:val="21"/>
              </w:rPr>
              <w:t>及</w:t>
            </w:r>
            <w:r>
              <w:rPr>
                <w:kern w:val="21"/>
                <w:szCs w:val="21"/>
              </w:rPr>
              <w:t>五常市民泉污水处理有限公司（五常市山河屯林业局污水处理厂）</w:t>
            </w:r>
            <w:r>
              <w:rPr>
                <w:kern w:val="0"/>
                <w:szCs w:val="21"/>
              </w:rPr>
              <w:t>设计进水水质指标</w:t>
            </w:r>
          </w:p>
        </w:tc>
        <w:tc>
          <w:tcPr>
            <w:tcW w:w="981" w:type="pct"/>
            <w:vAlign w:val="center"/>
          </w:tcPr>
          <w:p w14:paraId="529FDF79" w14:textId="77777777" w:rsidR="00B14D53" w:rsidRDefault="00000000">
            <w:pPr>
              <w:widowControl/>
              <w:contextualSpacing/>
              <w:jc w:val="center"/>
              <w:rPr>
                <w:kern w:val="0"/>
                <w:szCs w:val="21"/>
              </w:rPr>
            </w:pPr>
            <w:r>
              <w:rPr>
                <w:rFonts w:hint="eastAsia"/>
                <w:kern w:val="0"/>
                <w:szCs w:val="21"/>
              </w:rPr>
              <w:t>6-9</w:t>
            </w:r>
            <w:r>
              <w:rPr>
                <w:rFonts w:hint="eastAsia"/>
                <w:kern w:val="0"/>
                <w:szCs w:val="21"/>
              </w:rPr>
              <w:t>无量纲</w:t>
            </w:r>
          </w:p>
        </w:tc>
      </w:tr>
      <w:tr w:rsidR="00B14D53" w14:paraId="59B3E337" w14:textId="77777777">
        <w:trPr>
          <w:trHeight w:val="86"/>
        </w:trPr>
        <w:tc>
          <w:tcPr>
            <w:tcW w:w="371" w:type="pct"/>
            <w:vMerge/>
            <w:vAlign w:val="center"/>
          </w:tcPr>
          <w:p w14:paraId="56564F9A" w14:textId="77777777" w:rsidR="00B14D53" w:rsidRDefault="00B14D53">
            <w:pPr>
              <w:contextualSpacing/>
              <w:jc w:val="center"/>
              <w:rPr>
                <w:szCs w:val="21"/>
              </w:rPr>
            </w:pPr>
          </w:p>
        </w:tc>
        <w:tc>
          <w:tcPr>
            <w:tcW w:w="517" w:type="pct"/>
            <w:vMerge/>
            <w:vAlign w:val="center"/>
          </w:tcPr>
          <w:p w14:paraId="483899F7" w14:textId="77777777" w:rsidR="00B14D53" w:rsidRDefault="00B14D53">
            <w:pPr>
              <w:contextualSpacing/>
              <w:jc w:val="center"/>
              <w:rPr>
                <w:szCs w:val="21"/>
              </w:rPr>
            </w:pPr>
          </w:p>
        </w:tc>
        <w:tc>
          <w:tcPr>
            <w:tcW w:w="1423" w:type="pct"/>
            <w:vAlign w:val="center"/>
          </w:tcPr>
          <w:p w14:paraId="3E777C76" w14:textId="77777777" w:rsidR="00B14D53" w:rsidRDefault="00000000">
            <w:pPr>
              <w:contextualSpacing/>
              <w:jc w:val="center"/>
              <w:rPr>
                <w:szCs w:val="21"/>
              </w:rPr>
            </w:pPr>
            <w:r>
              <w:rPr>
                <w:szCs w:val="21"/>
              </w:rPr>
              <w:t>COD</w:t>
            </w:r>
          </w:p>
        </w:tc>
        <w:tc>
          <w:tcPr>
            <w:tcW w:w="1706" w:type="pct"/>
            <w:vMerge/>
            <w:vAlign w:val="center"/>
          </w:tcPr>
          <w:p w14:paraId="08EE8BA5" w14:textId="77777777" w:rsidR="00B14D53" w:rsidRDefault="00B14D53">
            <w:pPr>
              <w:widowControl/>
              <w:contextualSpacing/>
              <w:jc w:val="center"/>
              <w:rPr>
                <w:kern w:val="0"/>
                <w:szCs w:val="21"/>
              </w:rPr>
            </w:pPr>
          </w:p>
        </w:tc>
        <w:tc>
          <w:tcPr>
            <w:tcW w:w="981" w:type="pct"/>
            <w:vAlign w:val="center"/>
          </w:tcPr>
          <w:p w14:paraId="426FE513" w14:textId="77777777" w:rsidR="00B14D53" w:rsidRDefault="00000000">
            <w:pPr>
              <w:widowControl/>
              <w:contextualSpacing/>
              <w:jc w:val="center"/>
              <w:rPr>
                <w:kern w:val="0"/>
                <w:szCs w:val="21"/>
              </w:rPr>
            </w:pPr>
            <w:r>
              <w:rPr>
                <w:rFonts w:hint="eastAsia"/>
                <w:kern w:val="0"/>
                <w:szCs w:val="21"/>
              </w:rPr>
              <w:t>350</w:t>
            </w:r>
          </w:p>
        </w:tc>
      </w:tr>
      <w:tr w:rsidR="00B14D53" w14:paraId="739364B7" w14:textId="77777777">
        <w:trPr>
          <w:trHeight w:val="86"/>
        </w:trPr>
        <w:tc>
          <w:tcPr>
            <w:tcW w:w="371" w:type="pct"/>
            <w:vMerge/>
            <w:vAlign w:val="center"/>
          </w:tcPr>
          <w:p w14:paraId="6520A299" w14:textId="77777777" w:rsidR="00B14D53" w:rsidRDefault="00B14D53">
            <w:pPr>
              <w:contextualSpacing/>
              <w:jc w:val="center"/>
              <w:rPr>
                <w:szCs w:val="21"/>
              </w:rPr>
            </w:pPr>
          </w:p>
        </w:tc>
        <w:tc>
          <w:tcPr>
            <w:tcW w:w="517" w:type="pct"/>
            <w:vMerge/>
            <w:vAlign w:val="center"/>
          </w:tcPr>
          <w:p w14:paraId="300ABDD2" w14:textId="77777777" w:rsidR="00B14D53" w:rsidRDefault="00B14D53">
            <w:pPr>
              <w:contextualSpacing/>
              <w:jc w:val="center"/>
              <w:rPr>
                <w:szCs w:val="21"/>
              </w:rPr>
            </w:pPr>
          </w:p>
        </w:tc>
        <w:tc>
          <w:tcPr>
            <w:tcW w:w="1423" w:type="pct"/>
            <w:vAlign w:val="center"/>
          </w:tcPr>
          <w:p w14:paraId="2720ECE5" w14:textId="77777777" w:rsidR="00B14D53" w:rsidRDefault="00000000">
            <w:pPr>
              <w:contextualSpacing/>
              <w:jc w:val="center"/>
              <w:rPr>
                <w:szCs w:val="21"/>
              </w:rPr>
            </w:pPr>
            <w:r>
              <w:rPr>
                <w:szCs w:val="21"/>
              </w:rPr>
              <w:t>BOD</w:t>
            </w:r>
            <w:r>
              <w:rPr>
                <w:szCs w:val="21"/>
                <w:vertAlign w:val="subscript"/>
              </w:rPr>
              <w:t>5</w:t>
            </w:r>
          </w:p>
        </w:tc>
        <w:tc>
          <w:tcPr>
            <w:tcW w:w="1706" w:type="pct"/>
            <w:vMerge/>
            <w:vAlign w:val="center"/>
          </w:tcPr>
          <w:p w14:paraId="352CCB3C" w14:textId="77777777" w:rsidR="00B14D53" w:rsidRDefault="00B14D53">
            <w:pPr>
              <w:widowControl/>
              <w:contextualSpacing/>
              <w:jc w:val="center"/>
              <w:rPr>
                <w:kern w:val="0"/>
                <w:szCs w:val="21"/>
              </w:rPr>
            </w:pPr>
          </w:p>
        </w:tc>
        <w:tc>
          <w:tcPr>
            <w:tcW w:w="981" w:type="pct"/>
            <w:vAlign w:val="center"/>
          </w:tcPr>
          <w:p w14:paraId="127D7F90" w14:textId="77777777" w:rsidR="00B14D53" w:rsidRDefault="00000000">
            <w:pPr>
              <w:widowControl/>
              <w:contextualSpacing/>
              <w:jc w:val="center"/>
              <w:rPr>
                <w:kern w:val="0"/>
                <w:szCs w:val="21"/>
              </w:rPr>
            </w:pPr>
            <w:r>
              <w:rPr>
                <w:rFonts w:hint="eastAsia"/>
                <w:kern w:val="0"/>
                <w:szCs w:val="21"/>
              </w:rPr>
              <w:t>200</w:t>
            </w:r>
          </w:p>
        </w:tc>
      </w:tr>
      <w:tr w:rsidR="00B14D53" w14:paraId="474AF108" w14:textId="77777777">
        <w:trPr>
          <w:trHeight w:val="86"/>
        </w:trPr>
        <w:tc>
          <w:tcPr>
            <w:tcW w:w="371" w:type="pct"/>
            <w:vMerge/>
            <w:vAlign w:val="center"/>
          </w:tcPr>
          <w:p w14:paraId="788BC387" w14:textId="77777777" w:rsidR="00B14D53" w:rsidRDefault="00B14D53">
            <w:pPr>
              <w:contextualSpacing/>
              <w:jc w:val="center"/>
              <w:rPr>
                <w:szCs w:val="21"/>
              </w:rPr>
            </w:pPr>
          </w:p>
        </w:tc>
        <w:tc>
          <w:tcPr>
            <w:tcW w:w="517" w:type="pct"/>
            <w:vMerge/>
            <w:vAlign w:val="center"/>
          </w:tcPr>
          <w:p w14:paraId="24D90669" w14:textId="77777777" w:rsidR="00B14D53" w:rsidRDefault="00B14D53">
            <w:pPr>
              <w:contextualSpacing/>
              <w:jc w:val="center"/>
              <w:rPr>
                <w:szCs w:val="21"/>
              </w:rPr>
            </w:pPr>
          </w:p>
        </w:tc>
        <w:tc>
          <w:tcPr>
            <w:tcW w:w="1423" w:type="pct"/>
            <w:vAlign w:val="center"/>
          </w:tcPr>
          <w:p w14:paraId="34D7A111" w14:textId="77777777" w:rsidR="00B14D53" w:rsidRDefault="00000000">
            <w:pPr>
              <w:contextualSpacing/>
              <w:jc w:val="center"/>
              <w:rPr>
                <w:szCs w:val="21"/>
              </w:rPr>
            </w:pPr>
            <w:r>
              <w:rPr>
                <w:szCs w:val="21"/>
              </w:rPr>
              <w:t>NH</w:t>
            </w:r>
            <w:r>
              <w:rPr>
                <w:szCs w:val="21"/>
                <w:vertAlign w:val="subscript"/>
              </w:rPr>
              <w:t>3</w:t>
            </w:r>
            <w:r>
              <w:rPr>
                <w:szCs w:val="21"/>
              </w:rPr>
              <w:t>-N</w:t>
            </w:r>
          </w:p>
        </w:tc>
        <w:tc>
          <w:tcPr>
            <w:tcW w:w="1706" w:type="pct"/>
            <w:vMerge/>
            <w:vAlign w:val="center"/>
          </w:tcPr>
          <w:p w14:paraId="4F4AE87C" w14:textId="77777777" w:rsidR="00B14D53" w:rsidRDefault="00B14D53">
            <w:pPr>
              <w:widowControl/>
              <w:contextualSpacing/>
              <w:jc w:val="center"/>
              <w:rPr>
                <w:kern w:val="0"/>
                <w:szCs w:val="21"/>
              </w:rPr>
            </w:pPr>
          </w:p>
        </w:tc>
        <w:tc>
          <w:tcPr>
            <w:tcW w:w="981" w:type="pct"/>
            <w:vAlign w:val="center"/>
          </w:tcPr>
          <w:p w14:paraId="07C5B8B0" w14:textId="77777777" w:rsidR="00B14D53" w:rsidRDefault="00000000">
            <w:pPr>
              <w:widowControl/>
              <w:contextualSpacing/>
              <w:jc w:val="center"/>
              <w:rPr>
                <w:kern w:val="0"/>
                <w:szCs w:val="21"/>
              </w:rPr>
            </w:pPr>
            <w:r>
              <w:rPr>
                <w:rFonts w:hint="eastAsia"/>
                <w:kern w:val="0"/>
                <w:szCs w:val="21"/>
              </w:rPr>
              <w:t>25</w:t>
            </w:r>
          </w:p>
        </w:tc>
      </w:tr>
      <w:tr w:rsidR="00B14D53" w14:paraId="56907141" w14:textId="77777777">
        <w:trPr>
          <w:trHeight w:val="86"/>
        </w:trPr>
        <w:tc>
          <w:tcPr>
            <w:tcW w:w="371" w:type="pct"/>
            <w:vMerge/>
            <w:vAlign w:val="center"/>
          </w:tcPr>
          <w:p w14:paraId="210DA97C" w14:textId="77777777" w:rsidR="00B14D53" w:rsidRDefault="00B14D53">
            <w:pPr>
              <w:contextualSpacing/>
              <w:jc w:val="center"/>
              <w:rPr>
                <w:szCs w:val="21"/>
              </w:rPr>
            </w:pPr>
          </w:p>
        </w:tc>
        <w:tc>
          <w:tcPr>
            <w:tcW w:w="517" w:type="pct"/>
            <w:vMerge/>
            <w:vAlign w:val="center"/>
          </w:tcPr>
          <w:p w14:paraId="242BAAE7" w14:textId="77777777" w:rsidR="00B14D53" w:rsidRDefault="00B14D53">
            <w:pPr>
              <w:contextualSpacing/>
              <w:jc w:val="center"/>
              <w:rPr>
                <w:szCs w:val="21"/>
              </w:rPr>
            </w:pPr>
          </w:p>
        </w:tc>
        <w:tc>
          <w:tcPr>
            <w:tcW w:w="1423" w:type="pct"/>
            <w:vAlign w:val="center"/>
          </w:tcPr>
          <w:p w14:paraId="3A4823E1" w14:textId="77777777" w:rsidR="00B14D53" w:rsidRDefault="00000000">
            <w:pPr>
              <w:contextualSpacing/>
              <w:jc w:val="center"/>
              <w:rPr>
                <w:szCs w:val="21"/>
              </w:rPr>
            </w:pPr>
            <w:r>
              <w:rPr>
                <w:szCs w:val="21"/>
              </w:rPr>
              <w:t>SS</w:t>
            </w:r>
          </w:p>
        </w:tc>
        <w:tc>
          <w:tcPr>
            <w:tcW w:w="1706" w:type="pct"/>
            <w:vMerge/>
            <w:vAlign w:val="center"/>
          </w:tcPr>
          <w:p w14:paraId="7C953EE8" w14:textId="77777777" w:rsidR="00B14D53" w:rsidRDefault="00B14D53">
            <w:pPr>
              <w:widowControl/>
              <w:contextualSpacing/>
              <w:jc w:val="center"/>
              <w:rPr>
                <w:kern w:val="0"/>
                <w:szCs w:val="21"/>
              </w:rPr>
            </w:pPr>
          </w:p>
        </w:tc>
        <w:tc>
          <w:tcPr>
            <w:tcW w:w="981" w:type="pct"/>
            <w:vAlign w:val="center"/>
          </w:tcPr>
          <w:p w14:paraId="049B5820" w14:textId="77777777" w:rsidR="00B14D53" w:rsidRDefault="00000000">
            <w:pPr>
              <w:widowControl/>
              <w:contextualSpacing/>
              <w:jc w:val="center"/>
              <w:rPr>
                <w:kern w:val="0"/>
                <w:szCs w:val="21"/>
              </w:rPr>
            </w:pPr>
            <w:r>
              <w:rPr>
                <w:rFonts w:hint="eastAsia"/>
                <w:kern w:val="0"/>
                <w:szCs w:val="21"/>
              </w:rPr>
              <w:t>300</w:t>
            </w:r>
          </w:p>
        </w:tc>
      </w:tr>
      <w:tr w:rsidR="00B14D53" w14:paraId="1C2F8DF1" w14:textId="77777777">
        <w:trPr>
          <w:trHeight w:val="86"/>
        </w:trPr>
        <w:tc>
          <w:tcPr>
            <w:tcW w:w="371" w:type="pct"/>
            <w:vMerge/>
            <w:vAlign w:val="center"/>
          </w:tcPr>
          <w:p w14:paraId="7E55BC33" w14:textId="77777777" w:rsidR="00B14D53" w:rsidRDefault="00B14D53">
            <w:pPr>
              <w:contextualSpacing/>
              <w:jc w:val="center"/>
              <w:rPr>
                <w:szCs w:val="21"/>
              </w:rPr>
            </w:pPr>
          </w:p>
        </w:tc>
        <w:tc>
          <w:tcPr>
            <w:tcW w:w="517" w:type="pct"/>
            <w:vMerge/>
            <w:vAlign w:val="center"/>
          </w:tcPr>
          <w:p w14:paraId="3A21FED1" w14:textId="77777777" w:rsidR="00B14D53" w:rsidRDefault="00B14D53">
            <w:pPr>
              <w:contextualSpacing/>
              <w:jc w:val="center"/>
              <w:rPr>
                <w:szCs w:val="21"/>
              </w:rPr>
            </w:pPr>
          </w:p>
        </w:tc>
        <w:tc>
          <w:tcPr>
            <w:tcW w:w="1423" w:type="pct"/>
            <w:vAlign w:val="center"/>
          </w:tcPr>
          <w:p w14:paraId="45396F5E" w14:textId="77777777" w:rsidR="00B14D53" w:rsidRDefault="00000000">
            <w:pPr>
              <w:contextualSpacing/>
              <w:jc w:val="center"/>
              <w:rPr>
                <w:szCs w:val="21"/>
              </w:rPr>
            </w:pPr>
            <w:r>
              <w:rPr>
                <w:szCs w:val="21"/>
              </w:rPr>
              <w:t>动植物油</w:t>
            </w:r>
          </w:p>
        </w:tc>
        <w:tc>
          <w:tcPr>
            <w:tcW w:w="1706" w:type="pct"/>
            <w:vMerge/>
            <w:vAlign w:val="center"/>
          </w:tcPr>
          <w:p w14:paraId="47724203" w14:textId="77777777" w:rsidR="00B14D53" w:rsidRDefault="00B14D53">
            <w:pPr>
              <w:widowControl/>
              <w:contextualSpacing/>
              <w:jc w:val="center"/>
              <w:rPr>
                <w:kern w:val="0"/>
                <w:szCs w:val="21"/>
              </w:rPr>
            </w:pPr>
          </w:p>
        </w:tc>
        <w:tc>
          <w:tcPr>
            <w:tcW w:w="981" w:type="pct"/>
            <w:vAlign w:val="center"/>
          </w:tcPr>
          <w:p w14:paraId="055B5744" w14:textId="77777777" w:rsidR="00B14D53" w:rsidRDefault="00000000">
            <w:pPr>
              <w:widowControl/>
              <w:contextualSpacing/>
              <w:jc w:val="center"/>
              <w:rPr>
                <w:kern w:val="0"/>
                <w:szCs w:val="21"/>
              </w:rPr>
            </w:pPr>
            <w:r>
              <w:rPr>
                <w:rFonts w:hint="eastAsia"/>
                <w:kern w:val="0"/>
                <w:szCs w:val="21"/>
              </w:rPr>
              <w:t>100</w:t>
            </w:r>
          </w:p>
        </w:tc>
      </w:tr>
    </w:tbl>
    <w:p w14:paraId="67651FE7" w14:textId="77777777" w:rsidR="00B14D53" w:rsidRDefault="00B14D53">
      <w:pPr>
        <w:pStyle w:val="afff"/>
        <w:adjustRightInd/>
        <w:snapToGrid/>
        <w:ind w:firstLineChars="0" w:firstLine="0"/>
        <w:jc w:val="center"/>
        <w:rPr>
          <w:rFonts w:ascii="Times New Roman" w:hAnsiTheme="minorEastAsia" w:cs="Times New Roman" w:hint="eastAsia"/>
          <w:b/>
          <w:lang w:eastAsia="en-US"/>
        </w:rPr>
      </w:pPr>
    </w:p>
    <w:p w14:paraId="2D85DA74" w14:textId="77777777" w:rsidR="00B14D53" w:rsidRDefault="00B14D53">
      <w:pPr>
        <w:pStyle w:val="afff"/>
        <w:adjustRightInd/>
        <w:snapToGrid/>
        <w:ind w:firstLineChars="0" w:firstLine="0"/>
        <w:jc w:val="center"/>
        <w:rPr>
          <w:rFonts w:ascii="Times New Roman" w:hAnsiTheme="minorEastAsia" w:cs="Times New Roman" w:hint="eastAsia"/>
          <w:b/>
          <w:lang w:eastAsia="en-US"/>
        </w:rPr>
      </w:pPr>
    </w:p>
    <w:bookmarkEnd w:id="216"/>
    <w:p w14:paraId="031A5F73" w14:textId="77777777" w:rsidR="00B14D53" w:rsidRDefault="00B14D53">
      <w:pPr>
        <w:spacing w:line="360" w:lineRule="auto"/>
        <w:outlineLvl w:val="3"/>
        <w:rPr>
          <w:rFonts w:eastAsiaTheme="minorEastAsia"/>
          <w:b/>
          <w:snapToGrid w:val="0"/>
          <w:kern w:val="0"/>
          <w:sz w:val="24"/>
        </w:rPr>
        <w:sectPr w:rsidR="00B14D53">
          <w:pgSz w:w="16838" w:h="11906" w:orient="landscape"/>
          <w:pgMar w:top="1800" w:right="1440" w:bottom="1800" w:left="1440" w:header="851" w:footer="992" w:gutter="0"/>
          <w:cols w:space="425"/>
          <w:docGrid w:type="lines" w:linePitch="312"/>
        </w:sectPr>
      </w:pPr>
    </w:p>
    <w:p w14:paraId="25CC60F2" w14:textId="77777777" w:rsidR="00B14D53" w:rsidRDefault="00000000">
      <w:pPr>
        <w:jc w:val="center"/>
        <w:rPr>
          <w:b/>
          <w:bCs/>
        </w:rPr>
      </w:pPr>
      <w:r>
        <w:rPr>
          <w:b/>
          <w:bCs/>
          <w:lang w:eastAsia="en-US"/>
        </w:rPr>
        <w:t>表</w:t>
      </w:r>
      <w:r>
        <w:rPr>
          <w:b/>
          <w:bCs/>
          <w:lang w:eastAsia="en-US"/>
        </w:rPr>
        <w:t>5-2-</w:t>
      </w:r>
      <w:r>
        <w:rPr>
          <w:rFonts w:hint="eastAsia"/>
          <w:b/>
          <w:bCs/>
        </w:rPr>
        <w:t>20</w:t>
      </w:r>
      <w:r>
        <w:rPr>
          <w:b/>
          <w:bCs/>
          <w:lang w:eastAsia="en-US"/>
        </w:rPr>
        <w:t xml:space="preserve"> </w:t>
      </w:r>
      <w:r>
        <w:rPr>
          <w:b/>
          <w:bCs/>
          <w:lang w:eastAsia="en-US"/>
        </w:rPr>
        <w:t>废水污染物排放信息表</w:t>
      </w:r>
      <w:r>
        <w:rPr>
          <w:rFonts w:hint="eastAsia"/>
          <w:b/>
          <w:bCs/>
        </w:rPr>
        <w:t>（新建项目）</w:t>
      </w:r>
    </w:p>
    <w:tbl>
      <w:tblPr>
        <w:tblW w:w="4997"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692"/>
        <w:gridCol w:w="1254"/>
        <w:gridCol w:w="1435"/>
        <w:gridCol w:w="1746"/>
        <w:gridCol w:w="1486"/>
        <w:gridCol w:w="1688"/>
      </w:tblGrid>
      <w:tr w:rsidR="00B14D53" w14:paraId="2BF4E5C8" w14:textId="77777777">
        <w:trPr>
          <w:trHeight w:val="57"/>
          <w:jc w:val="center"/>
        </w:trPr>
        <w:tc>
          <w:tcPr>
            <w:tcW w:w="416" w:type="pct"/>
            <w:vAlign w:val="center"/>
          </w:tcPr>
          <w:p w14:paraId="2CAFF72A" w14:textId="77777777" w:rsidR="00B14D53" w:rsidRDefault="00000000">
            <w:pPr>
              <w:contextualSpacing/>
              <w:jc w:val="center"/>
              <w:rPr>
                <w:b/>
                <w:bCs/>
                <w:szCs w:val="21"/>
              </w:rPr>
            </w:pPr>
            <w:r>
              <w:rPr>
                <w:b/>
                <w:bCs/>
                <w:szCs w:val="21"/>
              </w:rPr>
              <w:t>序号</w:t>
            </w:r>
          </w:p>
        </w:tc>
        <w:tc>
          <w:tcPr>
            <w:tcW w:w="755" w:type="pct"/>
            <w:vAlign w:val="center"/>
          </w:tcPr>
          <w:p w14:paraId="75A9C92A" w14:textId="77777777" w:rsidR="00B14D53" w:rsidRDefault="00000000">
            <w:pPr>
              <w:contextualSpacing/>
              <w:jc w:val="center"/>
              <w:rPr>
                <w:b/>
                <w:bCs/>
                <w:szCs w:val="21"/>
              </w:rPr>
            </w:pPr>
            <w:r>
              <w:rPr>
                <w:b/>
                <w:bCs/>
                <w:szCs w:val="21"/>
              </w:rPr>
              <w:t>排放口编号</w:t>
            </w:r>
          </w:p>
        </w:tc>
        <w:tc>
          <w:tcPr>
            <w:tcW w:w="864" w:type="pct"/>
            <w:vAlign w:val="center"/>
          </w:tcPr>
          <w:p w14:paraId="0D975855" w14:textId="77777777" w:rsidR="00B14D53" w:rsidRDefault="00000000">
            <w:pPr>
              <w:contextualSpacing/>
              <w:jc w:val="center"/>
              <w:rPr>
                <w:b/>
                <w:bCs/>
                <w:szCs w:val="21"/>
              </w:rPr>
            </w:pPr>
            <w:r>
              <w:rPr>
                <w:b/>
                <w:bCs/>
                <w:szCs w:val="21"/>
              </w:rPr>
              <w:t>污染物种类</w:t>
            </w:r>
          </w:p>
        </w:tc>
        <w:tc>
          <w:tcPr>
            <w:tcW w:w="1051" w:type="pct"/>
            <w:vAlign w:val="center"/>
          </w:tcPr>
          <w:p w14:paraId="022462F7" w14:textId="77777777" w:rsidR="00B14D53" w:rsidRDefault="00000000">
            <w:pPr>
              <w:contextualSpacing/>
              <w:jc w:val="center"/>
              <w:rPr>
                <w:b/>
                <w:bCs/>
                <w:szCs w:val="21"/>
              </w:rPr>
            </w:pPr>
            <w:r>
              <w:rPr>
                <w:b/>
                <w:bCs/>
                <w:szCs w:val="21"/>
              </w:rPr>
              <w:t>排放浓度</w:t>
            </w:r>
            <w:r>
              <w:rPr>
                <w:b/>
                <w:bCs/>
                <w:szCs w:val="21"/>
              </w:rPr>
              <w:t>/</w:t>
            </w:r>
            <w:r>
              <w:rPr>
                <w:b/>
                <w:bCs/>
                <w:szCs w:val="21"/>
              </w:rPr>
              <w:t>（</w:t>
            </w:r>
            <w:r>
              <w:rPr>
                <w:b/>
                <w:bCs/>
                <w:szCs w:val="21"/>
              </w:rPr>
              <w:t>mg/L</w:t>
            </w:r>
            <w:r>
              <w:rPr>
                <w:b/>
                <w:bCs/>
                <w:szCs w:val="21"/>
              </w:rPr>
              <w:t>）</w:t>
            </w:r>
          </w:p>
        </w:tc>
        <w:tc>
          <w:tcPr>
            <w:tcW w:w="895" w:type="pct"/>
            <w:vAlign w:val="center"/>
          </w:tcPr>
          <w:p w14:paraId="48F5460B" w14:textId="77777777" w:rsidR="00B14D53" w:rsidRDefault="00000000">
            <w:pPr>
              <w:contextualSpacing/>
              <w:jc w:val="center"/>
              <w:rPr>
                <w:b/>
                <w:bCs/>
                <w:szCs w:val="21"/>
              </w:rPr>
            </w:pPr>
            <w:r>
              <w:rPr>
                <w:b/>
                <w:bCs/>
                <w:szCs w:val="21"/>
              </w:rPr>
              <w:t>日排放量</w:t>
            </w:r>
            <w:r>
              <w:rPr>
                <w:b/>
                <w:bCs/>
                <w:szCs w:val="21"/>
              </w:rPr>
              <w:t>/</w:t>
            </w:r>
            <w:r>
              <w:rPr>
                <w:b/>
                <w:bCs/>
                <w:szCs w:val="21"/>
              </w:rPr>
              <w:t>（</w:t>
            </w:r>
            <w:r>
              <w:rPr>
                <w:b/>
                <w:bCs/>
                <w:szCs w:val="21"/>
              </w:rPr>
              <w:t>t/d</w:t>
            </w:r>
            <w:r>
              <w:rPr>
                <w:b/>
                <w:bCs/>
                <w:szCs w:val="21"/>
              </w:rPr>
              <w:t>）</w:t>
            </w:r>
          </w:p>
        </w:tc>
        <w:tc>
          <w:tcPr>
            <w:tcW w:w="1017" w:type="pct"/>
            <w:vAlign w:val="center"/>
          </w:tcPr>
          <w:p w14:paraId="048CE334" w14:textId="77777777" w:rsidR="00B14D53" w:rsidRDefault="00000000">
            <w:pPr>
              <w:contextualSpacing/>
              <w:jc w:val="center"/>
              <w:rPr>
                <w:b/>
                <w:bCs/>
                <w:szCs w:val="21"/>
              </w:rPr>
            </w:pPr>
            <w:r>
              <w:rPr>
                <w:b/>
                <w:bCs/>
                <w:szCs w:val="21"/>
              </w:rPr>
              <w:t>年排放量</w:t>
            </w:r>
            <w:r>
              <w:rPr>
                <w:b/>
                <w:bCs/>
                <w:szCs w:val="21"/>
              </w:rPr>
              <w:t>/</w:t>
            </w:r>
            <w:r>
              <w:rPr>
                <w:b/>
                <w:bCs/>
                <w:szCs w:val="21"/>
              </w:rPr>
              <w:t>（</w:t>
            </w:r>
            <w:r>
              <w:rPr>
                <w:b/>
                <w:bCs/>
                <w:szCs w:val="21"/>
              </w:rPr>
              <w:t>t/a</w:t>
            </w:r>
            <w:r>
              <w:rPr>
                <w:b/>
                <w:bCs/>
                <w:szCs w:val="21"/>
              </w:rPr>
              <w:t>）</w:t>
            </w:r>
          </w:p>
        </w:tc>
      </w:tr>
      <w:tr w:rsidR="00B14D53" w14:paraId="7AAA314C" w14:textId="77777777">
        <w:trPr>
          <w:trHeight w:val="57"/>
          <w:jc w:val="center"/>
        </w:trPr>
        <w:tc>
          <w:tcPr>
            <w:tcW w:w="416" w:type="pct"/>
            <w:vMerge w:val="restart"/>
            <w:vAlign w:val="center"/>
          </w:tcPr>
          <w:p w14:paraId="6D2003B8" w14:textId="77777777" w:rsidR="00B14D53" w:rsidRDefault="00000000">
            <w:pPr>
              <w:contextualSpacing/>
              <w:jc w:val="center"/>
              <w:rPr>
                <w:szCs w:val="21"/>
              </w:rPr>
            </w:pPr>
            <w:r>
              <w:rPr>
                <w:szCs w:val="21"/>
              </w:rPr>
              <w:t>1</w:t>
            </w:r>
          </w:p>
        </w:tc>
        <w:tc>
          <w:tcPr>
            <w:tcW w:w="755" w:type="pct"/>
            <w:vMerge w:val="restart"/>
            <w:vAlign w:val="center"/>
          </w:tcPr>
          <w:p w14:paraId="003B906D" w14:textId="77777777" w:rsidR="00B14D53" w:rsidRDefault="00000000">
            <w:pPr>
              <w:contextualSpacing/>
              <w:jc w:val="center"/>
              <w:rPr>
                <w:szCs w:val="21"/>
              </w:rPr>
            </w:pPr>
            <w:r>
              <w:rPr>
                <w:szCs w:val="21"/>
              </w:rPr>
              <w:t>DW001</w:t>
            </w:r>
          </w:p>
        </w:tc>
        <w:tc>
          <w:tcPr>
            <w:tcW w:w="864" w:type="pct"/>
            <w:vAlign w:val="center"/>
          </w:tcPr>
          <w:p w14:paraId="08204C57" w14:textId="77777777" w:rsidR="00B14D53" w:rsidRDefault="00000000">
            <w:pPr>
              <w:contextualSpacing/>
              <w:jc w:val="center"/>
              <w:rPr>
                <w:szCs w:val="21"/>
              </w:rPr>
            </w:pPr>
            <w:r>
              <w:rPr>
                <w:szCs w:val="21"/>
              </w:rPr>
              <w:t>pH</w:t>
            </w:r>
            <w:r>
              <w:rPr>
                <w:szCs w:val="21"/>
              </w:rPr>
              <w:t>（无量纲）</w:t>
            </w:r>
          </w:p>
        </w:tc>
        <w:tc>
          <w:tcPr>
            <w:tcW w:w="1051" w:type="pct"/>
            <w:vAlign w:val="center"/>
          </w:tcPr>
          <w:p w14:paraId="5A1D558F" w14:textId="77777777" w:rsidR="00B14D53" w:rsidRDefault="00000000">
            <w:pPr>
              <w:widowControl/>
              <w:jc w:val="center"/>
              <w:textAlignment w:val="center"/>
              <w:rPr>
                <w:szCs w:val="21"/>
              </w:rPr>
            </w:pPr>
            <w:r>
              <w:rPr>
                <w:snapToGrid w:val="0"/>
                <w:szCs w:val="21"/>
              </w:rPr>
              <w:t>7.2~7.3</w:t>
            </w:r>
            <w:r>
              <w:rPr>
                <w:snapToGrid w:val="0"/>
                <w:szCs w:val="21"/>
              </w:rPr>
              <w:t>无量纲</w:t>
            </w:r>
          </w:p>
        </w:tc>
        <w:tc>
          <w:tcPr>
            <w:tcW w:w="895" w:type="pct"/>
            <w:vAlign w:val="center"/>
          </w:tcPr>
          <w:p w14:paraId="326840C2" w14:textId="77777777" w:rsidR="00B14D53" w:rsidRDefault="00000000">
            <w:pPr>
              <w:contextualSpacing/>
              <w:jc w:val="center"/>
              <w:rPr>
                <w:szCs w:val="21"/>
              </w:rPr>
            </w:pPr>
            <w:r>
              <w:rPr>
                <w:szCs w:val="21"/>
              </w:rPr>
              <w:t>—</w:t>
            </w:r>
          </w:p>
        </w:tc>
        <w:tc>
          <w:tcPr>
            <w:tcW w:w="1017" w:type="pct"/>
            <w:vAlign w:val="center"/>
          </w:tcPr>
          <w:p w14:paraId="648919A8" w14:textId="77777777" w:rsidR="00B14D53" w:rsidRDefault="00000000">
            <w:pPr>
              <w:contextualSpacing/>
              <w:jc w:val="center"/>
              <w:rPr>
                <w:szCs w:val="21"/>
              </w:rPr>
            </w:pPr>
            <w:r>
              <w:rPr>
                <w:szCs w:val="21"/>
              </w:rPr>
              <w:t>—</w:t>
            </w:r>
          </w:p>
        </w:tc>
      </w:tr>
      <w:tr w:rsidR="00B14D53" w14:paraId="71252EF1" w14:textId="77777777">
        <w:trPr>
          <w:trHeight w:val="227"/>
          <w:jc w:val="center"/>
        </w:trPr>
        <w:tc>
          <w:tcPr>
            <w:tcW w:w="416" w:type="pct"/>
            <w:vMerge/>
            <w:vAlign w:val="center"/>
          </w:tcPr>
          <w:p w14:paraId="6E3226B2" w14:textId="77777777" w:rsidR="00B14D53" w:rsidRDefault="00B14D53">
            <w:pPr>
              <w:contextualSpacing/>
              <w:jc w:val="center"/>
              <w:rPr>
                <w:szCs w:val="21"/>
              </w:rPr>
            </w:pPr>
          </w:p>
        </w:tc>
        <w:tc>
          <w:tcPr>
            <w:tcW w:w="755" w:type="pct"/>
            <w:vMerge/>
            <w:vAlign w:val="center"/>
          </w:tcPr>
          <w:p w14:paraId="15035EB2" w14:textId="77777777" w:rsidR="00B14D53" w:rsidRDefault="00B14D53">
            <w:pPr>
              <w:contextualSpacing/>
              <w:jc w:val="center"/>
              <w:rPr>
                <w:szCs w:val="21"/>
              </w:rPr>
            </w:pPr>
          </w:p>
        </w:tc>
        <w:tc>
          <w:tcPr>
            <w:tcW w:w="864" w:type="pct"/>
            <w:vAlign w:val="center"/>
          </w:tcPr>
          <w:p w14:paraId="3D549906" w14:textId="77777777" w:rsidR="00B14D53" w:rsidRDefault="00000000">
            <w:pPr>
              <w:contextualSpacing/>
              <w:jc w:val="center"/>
              <w:rPr>
                <w:szCs w:val="21"/>
              </w:rPr>
            </w:pPr>
            <w:r>
              <w:rPr>
                <w:szCs w:val="21"/>
              </w:rPr>
              <w:t>COD</w:t>
            </w:r>
          </w:p>
        </w:tc>
        <w:tc>
          <w:tcPr>
            <w:tcW w:w="1791" w:type="dxa"/>
            <w:vAlign w:val="center"/>
          </w:tcPr>
          <w:p w14:paraId="717F4428" w14:textId="77777777" w:rsidR="00B14D53" w:rsidRDefault="00000000">
            <w:pPr>
              <w:widowControl/>
              <w:jc w:val="center"/>
              <w:textAlignment w:val="center"/>
              <w:rPr>
                <w:szCs w:val="21"/>
              </w:rPr>
            </w:pPr>
            <w:r>
              <w:rPr>
                <w:kern w:val="0"/>
                <w:szCs w:val="21"/>
                <w:lang w:bidi="ar"/>
              </w:rPr>
              <w:t>327.6</w:t>
            </w:r>
          </w:p>
        </w:tc>
        <w:tc>
          <w:tcPr>
            <w:tcW w:w="1525" w:type="dxa"/>
            <w:vAlign w:val="center"/>
          </w:tcPr>
          <w:p w14:paraId="3A66AF96" w14:textId="77777777" w:rsidR="00B14D53" w:rsidRDefault="00000000">
            <w:pPr>
              <w:widowControl/>
              <w:jc w:val="center"/>
              <w:textAlignment w:val="center"/>
              <w:rPr>
                <w:kern w:val="0"/>
                <w:szCs w:val="21"/>
                <w:lang w:bidi="ar"/>
              </w:rPr>
            </w:pPr>
            <w:r>
              <w:rPr>
                <w:rFonts w:hint="eastAsia"/>
                <w:kern w:val="0"/>
                <w:szCs w:val="21"/>
                <w:lang w:bidi="ar"/>
              </w:rPr>
              <w:t>0.0761</w:t>
            </w:r>
          </w:p>
        </w:tc>
        <w:tc>
          <w:tcPr>
            <w:tcW w:w="1733" w:type="dxa"/>
            <w:vAlign w:val="center"/>
          </w:tcPr>
          <w:p w14:paraId="106AED7B" w14:textId="77777777" w:rsidR="00B14D53" w:rsidRDefault="00000000">
            <w:pPr>
              <w:widowControl/>
              <w:jc w:val="center"/>
              <w:textAlignment w:val="center"/>
              <w:rPr>
                <w:szCs w:val="21"/>
              </w:rPr>
            </w:pPr>
            <w:r>
              <w:rPr>
                <w:kern w:val="0"/>
                <w:szCs w:val="21"/>
                <w:lang w:bidi="ar"/>
              </w:rPr>
              <w:t>25.87</w:t>
            </w:r>
          </w:p>
        </w:tc>
      </w:tr>
      <w:tr w:rsidR="00B14D53" w14:paraId="422AEE36" w14:textId="77777777">
        <w:trPr>
          <w:trHeight w:val="145"/>
          <w:jc w:val="center"/>
        </w:trPr>
        <w:tc>
          <w:tcPr>
            <w:tcW w:w="416" w:type="pct"/>
            <w:vMerge/>
            <w:vAlign w:val="center"/>
          </w:tcPr>
          <w:p w14:paraId="3A86DAA6" w14:textId="77777777" w:rsidR="00B14D53" w:rsidRDefault="00B14D53">
            <w:pPr>
              <w:contextualSpacing/>
              <w:jc w:val="center"/>
              <w:rPr>
                <w:szCs w:val="21"/>
              </w:rPr>
            </w:pPr>
          </w:p>
        </w:tc>
        <w:tc>
          <w:tcPr>
            <w:tcW w:w="755" w:type="pct"/>
            <w:vMerge/>
            <w:vAlign w:val="center"/>
          </w:tcPr>
          <w:p w14:paraId="627ED8F6" w14:textId="77777777" w:rsidR="00B14D53" w:rsidRDefault="00B14D53">
            <w:pPr>
              <w:contextualSpacing/>
              <w:jc w:val="center"/>
              <w:rPr>
                <w:szCs w:val="21"/>
              </w:rPr>
            </w:pPr>
          </w:p>
        </w:tc>
        <w:tc>
          <w:tcPr>
            <w:tcW w:w="864" w:type="pct"/>
            <w:vAlign w:val="center"/>
          </w:tcPr>
          <w:p w14:paraId="37563A39" w14:textId="77777777" w:rsidR="00B14D53" w:rsidRDefault="00000000">
            <w:pPr>
              <w:contextualSpacing/>
              <w:jc w:val="center"/>
              <w:rPr>
                <w:szCs w:val="21"/>
              </w:rPr>
            </w:pPr>
            <w:r>
              <w:rPr>
                <w:szCs w:val="21"/>
              </w:rPr>
              <w:t>氨氮</w:t>
            </w:r>
          </w:p>
        </w:tc>
        <w:tc>
          <w:tcPr>
            <w:tcW w:w="1791" w:type="dxa"/>
            <w:vAlign w:val="center"/>
          </w:tcPr>
          <w:p w14:paraId="020462EB" w14:textId="77777777" w:rsidR="00B14D53" w:rsidRDefault="00000000">
            <w:pPr>
              <w:widowControl/>
              <w:jc w:val="center"/>
              <w:textAlignment w:val="center"/>
              <w:rPr>
                <w:szCs w:val="21"/>
              </w:rPr>
            </w:pPr>
            <w:r>
              <w:rPr>
                <w:kern w:val="0"/>
                <w:szCs w:val="21"/>
                <w:lang w:bidi="ar"/>
              </w:rPr>
              <w:t>24.2</w:t>
            </w:r>
          </w:p>
        </w:tc>
        <w:tc>
          <w:tcPr>
            <w:tcW w:w="1525" w:type="dxa"/>
            <w:vAlign w:val="center"/>
          </w:tcPr>
          <w:p w14:paraId="7D538C69" w14:textId="77777777" w:rsidR="00B14D53" w:rsidRDefault="00000000">
            <w:pPr>
              <w:widowControl/>
              <w:jc w:val="center"/>
              <w:textAlignment w:val="center"/>
              <w:rPr>
                <w:kern w:val="0"/>
                <w:szCs w:val="21"/>
                <w:lang w:bidi="ar"/>
              </w:rPr>
            </w:pPr>
            <w:r>
              <w:rPr>
                <w:rFonts w:hint="eastAsia"/>
                <w:kern w:val="0"/>
                <w:szCs w:val="21"/>
                <w:lang w:bidi="ar"/>
              </w:rPr>
              <w:t>0.0056</w:t>
            </w:r>
          </w:p>
        </w:tc>
        <w:tc>
          <w:tcPr>
            <w:tcW w:w="1733" w:type="dxa"/>
            <w:vAlign w:val="center"/>
          </w:tcPr>
          <w:p w14:paraId="093E9D73" w14:textId="77777777" w:rsidR="00B14D53" w:rsidRDefault="00000000">
            <w:pPr>
              <w:widowControl/>
              <w:jc w:val="center"/>
              <w:textAlignment w:val="center"/>
              <w:rPr>
                <w:szCs w:val="21"/>
              </w:rPr>
            </w:pPr>
            <w:r>
              <w:rPr>
                <w:kern w:val="0"/>
                <w:szCs w:val="21"/>
                <w:lang w:bidi="ar"/>
              </w:rPr>
              <w:t>1.91</w:t>
            </w:r>
          </w:p>
        </w:tc>
      </w:tr>
      <w:tr w:rsidR="00B14D53" w14:paraId="495E160B" w14:textId="77777777">
        <w:trPr>
          <w:trHeight w:val="145"/>
          <w:jc w:val="center"/>
        </w:trPr>
        <w:tc>
          <w:tcPr>
            <w:tcW w:w="416" w:type="pct"/>
            <w:vMerge/>
            <w:vAlign w:val="center"/>
          </w:tcPr>
          <w:p w14:paraId="0401789E" w14:textId="77777777" w:rsidR="00B14D53" w:rsidRDefault="00B14D53">
            <w:pPr>
              <w:contextualSpacing/>
              <w:jc w:val="center"/>
              <w:rPr>
                <w:szCs w:val="21"/>
              </w:rPr>
            </w:pPr>
          </w:p>
        </w:tc>
        <w:tc>
          <w:tcPr>
            <w:tcW w:w="755" w:type="pct"/>
            <w:vMerge/>
            <w:vAlign w:val="center"/>
          </w:tcPr>
          <w:p w14:paraId="477D078F" w14:textId="77777777" w:rsidR="00B14D53" w:rsidRDefault="00B14D53">
            <w:pPr>
              <w:contextualSpacing/>
              <w:jc w:val="center"/>
              <w:rPr>
                <w:szCs w:val="21"/>
              </w:rPr>
            </w:pPr>
          </w:p>
        </w:tc>
        <w:tc>
          <w:tcPr>
            <w:tcW w:w="864" w:type="pct"/>
            <w:vAlign w:val="center"/>
          </w:tcPr>
          <w:p w14:paraId="2297E1B3" w14:textId="77777777" w:rsidR="00B14D53" w:rsidRDefault="00000000">
            <w:pPr>
              <w:contextualSpacing/>
              <w:jc w:val="center"/>
              <w:rPr>
                <w:szCs w:val="21"/>
              </w:rPr>
            </w:pPr>
            <w:r>
              <w:rPr>
                <w:szCs w:val="21"/>
              </w:rPr>
              <w:t>BOD</w:t>
            </w:r>
            <w:r>
              <w:rPr>
                <w:szCs w:val="21"/>
                <w:vertAlign w:val="subscript"/>
              </w:rPr>
              <w:t>5</w:t>
            </w:r>
          </w:p>
        </w:tc>
        <w:tc>
          <w:tcPr>
            <w:tcW w:w="1791" w:type="dxa"/>
            <w:vAlign w:val="center"/>
          </w:tcPr>
          <w:p w14:paraId="37BA6752" w14:textId="77777777" w:rsidR="00B14D53" w:rsidRDefault="00000000">
            <w:pPr>
              <w:widowControl/>
              <w:jc w:val="center"/>
              <w:textAlignment w:val="center"/>
              <w:rPr>
                <w:szCs w:val="21"/>
              </w:rPr>
            </w:pPr>
            <w:r>
              <w:rPr>
                <w:kern w:val="0"/>
                <w:szCs w:val="21"/>
                <w:lang w:bidi="ar"/>
              </w:rPr>
              <w:t>199.4</w:t>
            </w:r>
          </w:p>
        </w:tc>
        <w:tc>
          <w:tcPr>
            <w:tcW w:w="1525" w:type="dxa"/>
            <w:vAlign w:val="center"/>
          </w:tcPr>
          <w:p w14:paraId="051A7FB9" w14:textId="77777777" w:rsidR="00B14D53" w:rsidRDefault="00000000">
            <w:pPr>
              <w:widowControl/>
              <w:jc w:val="center"/>
              <w:textAlignment w:val="center"/>
              <w:rPr>
                <w:kern w:val="0"/>
                <w:szCs w:val="21"/>
                <w:lang w:bidi="ar"/>
              </w:rPr>
            </w:pPr>
            <w:r>
              <w:rPr>
                <w:rFonts w:hint="eastAsia"/>
                <w:kern w:val="0"/>
                <w:szCs w:val="21"/>
                <w:lang w:bidi="ar"/>
              </w:rPr>
              <w:t>0.0463</w:t>
            </w:r>
          </w:p>
        </w:tc>
        <w:tc>
          <w:tcPr>
            <w:tcW w:w="1733" w:type="dxa"/>
            <w:vAlign w:val="center"/>
          </w:tcPr>
          <w:p w14:paraId="64A281E5" w14:textId="77777777" w:rsidR="00B14D53" w:rsidRDefault="00000000">
            <w:pPr>
              <w:widowControl/>
              <w:jc w:val="center"/>
              <w:textAlignment w:val="center"/>
              <w:rPr>
                <w:szCs w:val="21"/>
              </w:rPr>
            </w:pPr>
            <w:r>
              <w:rPr>
                <w:kern w:val="0"/>
                <w:szCs w:val="21"/>
                <w:lang w:bidi="ar"/>
              </w:rPr>
              <w:t>15.75</w:t>
            </w:r>
          </w:p>
        </w:tc>
      </w:tr>
      <w:tr w:rsidR="00B14D53" w14:paraId="03977E8F" w14:textId="77777777">
        <w:trPr>
          <w:trHeight w:val="145"/>
          <w:jc w:val="center"/>
        </w:trPr>
        <w:tc>
          <w:tcPr>
            <w:tcW w:w="416" w:type="pct"/>
            <w:vMerge/>
            <w:vAlign w:val="center"/>
          </w:tcPr>
          <w:p w14:paraId="39807465" w14:textId="77777777" w:rsidR="00B14D53" w:rsidRDefault="00B14D53">
            <w:pPr>
              <w:contextualSpacing/>
              <w:jc w:val="center"/>
              <w:rPr>
                <w:szCs w:val="21"/>
              </w:rPr>
            </w:pPr>
          </w:p>
        </w:tc>
        <w:tc>
          <w:tcPr>
            <w:tcW w:w="755" w:type="pct"/>
            <w:vMerge/>
            <w:vAlign w:val="center"/>
          </w:tcPr>
          <w:p w14:paraId="0FFE1CB6" w14:textId="77777777" w:rsidR="00B14D53" w:rsidRDefault="00B14D53">
            <w:pPr>
              <w:contextualSpacing/>
              <w:jc w:val="center"/>
              <w:rPr>
                <w:szCs w:val="21"/>
              </w:rPr>
            </w:pPr>
          </w:p>
        </w:tc>
        <w:tc>
          <w:tcPr>
            <w:tcW w:w="864" w:type="pct"/>
            <w:vAlign w:val="center"/>
          </w:tcPr>
          <w:p w14:paraId="22A039AD" w14:textId="77777777" w:rsidR="00B14D53" w:rsidRDefault="00000000">
            <w:pPr>
              <w:contextualSpacing/>
              <w:jc w:val="center"/>
              <w:rPr>
                <w:szCs w:val="21"/>
              </w:rPr>
            </w:pPr>
            <w:r>
              <w:rPr>
                <w:szCs w:val="21"/>
              </w:rPr>
              <w:t>SS</w:t>
            </w:r>
          </w:p>
        </w:tc>
        <w:tc>
          <w:tcPr>
            <w:tcW w:w="1791" w:type="dxa"/>
            <w:vAlign w:val="center"/>
          </w:tcPr>
          <w:p w14:paraId="77D1673A" w14:textId="77777777" w:rsidR="00B14D53" w:rsidRDefault="00000000">
            <w:pPr>
              <w:widowControl/>
              <w:jc w:val="center"/>
              <w:textAlignment w:val="center"/>
              <w:rPr>
                <w:szCs w:val="21"/>
              </w:rPr>
            </w:pPr>
            <w:r>
              <w:rPr>
                <w:kern w:val="0"/>
                <w:szCs w:val="21"/>
                <w:lang w:bidi="ar"/>
              </w:rPr>
              <w:t>298.5</w:t>
            </w:r>
          </w:p>
        </w:tc>
        <w:tc>
          <w:tcPr>
            <w:tcW w:w="1525" w:type="dxa"/>
            <w:vAlign w:val="center"/>
          </w:tcPr>
          <w:p w14:paraId="377223EB" w14:textId="77777777" w:rsidR="00B14D53" w:rsidRDefault="00000000">
            <w:pPr>
              <w:widowControl/>
              <w:jc w:val="center"/>
              <w:textAlignment w:val="center"/>
              <w:rPr>
                <w:kern w:val="0"/>
                <w:szCs w:val="21"/>
                <w:lang w:bidi="ar"/>
              </w:rPr>
            </w:pPr>
            <w:r>
              <w:rPr>
                <w:rFonts w:hint="eastAsia"/>
                <w:kern w:val="0"/>
                <w:szCs w:val="21"/>
                <w:lang w:bidi="ar"/>
              </w:rPr>
              <w:t>0.0693</w:t>
            </w:r>
          </w:p>
        </w:tc>
        <w:tc>
          <w:tcPr>
            <w:tcW w:w="1733" w:type="dxa"/>
            <w:vAlign w:val="center"/>
          </w:tcPr>
          <w:p w14:paraId="30D8ADFD" w14:textId="77777777" w:rsidR="00B14D53" w:rsidRDefault="00000000">
            <w:pPr>
              <w:widowControl/>
              <w:jc w:val="center"/>
              <w:textAlignment w:val="center"/>
              <w:rPr>
                <w:szCs w:val="21"/>
              </w:rPr>
            </w:pPr>
            <w:r>
              <w:rPr>
                <w:kern w:val="0"/>
                <w:szCs w:val="21"/>
                <w:lang w:bidi="ar"/>
              </w:rPr>
              <w:t>23.57</w:t>
            </w:r>
          </w:p>
        </w:tc>
      </w:tr>
      <w:tr w:rsidR="00B14D53" w14:paraId="65121125" w14:textId="77777777">
        <w:trPr>
          <w:trHeight w:val="145"/>
          <w:jc w:val="center"/>
        </w:trPr>
        <w:tc>
          <w:tcPr>
            <w:tcW w:w="416" w:type="pct"/>
            <w:vMerge/>
            <w:vAlign w:val="center"/>
          </w:tcPr>
          <w:p w14:paraId="65DED78A" w14:textId="77777777" w:rsidR="00B14D53" w:rsidRDefault="00B14D53">
            <w:pPr>
              <w:contextualSpacing/>
              <w:jc w:val="center"/>
              <w:rPr>
                <w:szCs w:val="21"/>
              </w:rPr>
            </w:pPr>
          </w:p>
        </w:tc>
        <w:tc>
          <w:tcPr>
            <w:tcW w:w="755" w:type="pct"/>
            <w:vMerge/>
            <w:vAlign w:val="center"/>
          </w:tcPr>
          <w:p w14:paraId="30FFADB0" w14:textId="77777777" w:rsidR="00B14D53" w:rsidRDefault="00B14D53">
            <w:pPr>
              <w:contextualSpacing/>
              <w:jc w:val="center"/>
              <w:rPr>
                <w:szCs w:val="21"/>
              </w:rPr>
            </w:pPr>
          </w:p>
        </w:tc>
        <w:tc>
          <w:tcPr>
            <w:tcW w:w="864" w:type="pct"/>
            <w:vAlign w:val="center"/>
          </w:tcPr>
          <w:p w14:paraId="5BB709A2" w14:textId="77777777" w:rsidR="00B14D53" w:rsidRDefault="00000000">
            <w:pPr>
              <w:contextualSpacing/>
              <w:jc w:val="center"/>
              <w:rPr>
                <w:szCs w:val="21"/>
              </w:rPr>
            </w:pPr>
            <w:r>
              <w:rPr>
                <w:szCs w:val="21"/>
              </w:rPr>
              <w:t>动植物油</w:t>
            </w:r>
          </w:p>
        </w:tc>
        <w:tc>
          <w:tcPr>
            <w:tcW w:w="1791" w:type="dxa"/>
            <w:vAlign w:val="center"/>
          </w:tcPr>
          <w:p w14:paraId="17F97DBF" w14:textId="77777777" w:rsidR="00B14D53" w:rsidRDefault="00000000">
            <w:pPr>
              <w:widowControl/>
              <w:jc w:val="center"/>
              <w:textAlignment w:val="center"/>
              <w:rPr>
                <w:szCs w:val="21"/>
              </w:rPr>
            </w:pPr>
            <w:r>
              <w:rPr>
                <w:kern w:val="0"/>
                <w:szCs w:val="21"/>
                <w:lang w:bidi="ar"/>
              </w:rPr>
              <w:t>60</w:t>
            </w:r>
          </w:p>
        </w:tc>
        <w:tc>
          <w:tcPr>
            <w:tcW w:w="1525" w:type="dxa"/>
            <w:vAlign w:val="center"/>
          </w:tcPr>
          <w:p w14:paraId="5959BF75" w14:textId="77777777" w:rsidR="00B14D53" w:rsidRDefault="00000000">
            <w:pPr>
              <w:widowControl/>
              <w:jc w:val="center"/>
              <w:textAlignment w:val="center"/>
              <w:rPr>
                <w:kern w:val="0"/>
                <w:szCs w:val="21"/>
                <w:lang w:bidi="ar"/>
              </w:rPr>
            </w:pPr>
            <w:r>
              <w:rPr>
                <w:rFonts w:hint="eastAsia"/>
                <w:kern w:val="0"/>
                <w:szCs w:val="21"/>
                <w:lang w:bidi="ar"/>
              </w:rPr>
              <w:t>0.0139</w:t>
            </w:r>
          </w:p>
        </w:tc>
        <w:tc>
          <w:tcPr>
            <w:tcW w:w="1733" w:type="dxa"/>
            <w:vAlign w:val="center"/>
          </w:tcPr>
          <w:p w14:paraId="6312D8BF" w14:textId="77777777" w:rsidR="00B14D53" w:rsidRDefault="00000000">
            <w:pPr>
              <w:widowControl/>
              <w:jc w:val="center"/>
              <w:textAlignment w:val="center"/>
              <w:rPr>
                <w:szCs w:val="21"/>
              </w:rPr>
            </w:pPr>
            <w:r>
              <w:rPr>
                <w:kern w:val="0"/>
                <w:szCs w:val="21"/>
                <w:lang w:bidi="ar"/>
              </w:rPr>
              <w:t>4.74</w:t>
            </w:r>
          </w:p>
        </w:tc>
      </w:tr>
      <w:tr w:rsidR="00B14D53" w14:paraId="6E54EA79" w14:textId="77777777">
        <w:trPr>
          <w:trHeight w:val="145"/>
          <w:jc w:val="center"/>
        </w:trPr>
        <w:tc>
          <w:tcPr>
            <w:tcW w:w="416" w:type="pct"/>
            <w:vMerge/>
            <w:vAlign w:val="center"/>
          </w:tcPr>
          <w:p w14:paraId="012898A7" w14:textId="77777777" w:rsidR="00B14D53" w:rsidRDefault="00B14D53">
            <w:pPr>
              <w:contextualSpacing/>
              <w:jc w:val="center"/>
              <w:rPr>
                <w:szCs w:val="21"/>
              </w:rPr>
            </w:pPr>
          </w:p>
        </w:tc>
        <w:tc>
          <w:tcPr>
            <w:tcW w:w="755" w:type="pct"/>
            <w:vMerge/>
            <w:vAlign w:val="center"/>
          </w:tcPr>
          <w:p w14:paraId="0D74FAD7" w14:textId="77777777" w:rsidR="00B14D53" w:rsidRDefault="00B14D53">
            <w:pPr>
              <w:contextualSpacing/>
              <w:jc w:val="center"/>
              <w:rPr>
                <w:szCs w:val="21"/>
              </w:rPr>
            </w:pPr>
          </w:p>
        </w:tc>
        <w:tc>
          <w:tcPr>
            <w:tcW w:w="864" w:type="pct"/>
            <w:vAlign w:val="center"/>
          </w:tcPr>
          <w:p w14:paraId="5BC7B81C" w14:textId="77777777" w:rsidR="00B14D53" w:rsidRDefault="00000000">
            <w:pPr>
              <w:contextualSpacing/>
              <w:jc w:val="center"/>
              <w:rPr>
                <w:szCs w:val="21"/>
              </w:rPr>
            </w:pPr>
            <w:r>
              <w:rPr>
                <w:szCs w:val="21"/>
              </w:rPr>
              <w:t>大肠菌群数（个</w:t>
            </w:r>
            <w:r>
              <w:rPr>
                <w:szCs w:val="21"/>
              </w:rPr>
              <w:t>/L</w:t>
            </w:r>
            <w:r>
              <w:rPr>
                <w:szCs w:val="21"/>
              </w:rPr>
              <w:t>）</w:t>
            </w:r>
          </w:p>
        </w:tc>
        <w:tc>
          <w:tcPr>
            <w:tcW w:w="1791" w:type="dxa"/>
            <w:vAlign w:val="center"/>
          </w:tcPr>
          <w:p w14:paraId="17EF03BF" w14:textId="77777777" w:rsidR="00B14D53" w:rsidRDefault="00000000">
            <w:pPr>
              <w:widowControl/>
              <w:jc w:val="center"/>
              <w:textAlignment w:val="center"/>
              <w:rPr>
                <w:szCs w:val="21"/>
              </w:rPr>
            </w:pPr>
            <w:r>
              <w:rPr>
                <w:kern w:val="0"/>
                <w:szCs w:val="21"/>
                <w:lang w:bidi="ar"/>
              </w:rPr>
              <w:t>240</w:t>
            </w:r>
          </w:p>
        </w:tc>
        <w:tc>
          <w:tcPr>
            <w:tcW w:w="895" w:type="pct"/>
            <w:vAlign w:val="center"/>
          </w:tcPr>
          <w:p w14:paraId="476F7208" w14:textId="77777777" w:rsidR="00B14D53" w:rsidRDefault="00000000">
            <w:pPr>
              <w:widowControl/>
              <w:jc w:val="center"/>
              <w:textAlignment w:val="center"/>
              <w:rPr>
                <w:kern w:val="0"/>
                <w:szCs w:val="21"/>
                <w:lang w:bidi="ar"/>
              </w:rPr>
            </w:pPr>
            <w:r>
              <w:rPr>
                <w:kern w:val="0"/>
                <w:szCs w:val="21"/>
                <w:lang w:bidi="ar"/>
              </w:rPr>
              <w:t>—</w:t>
            </w:r>
          </w:p>
        </w:tc>
        <w:tc>
          <w:tcPr>
            <w:tcW w:w="1017" w:type="pct"/>
            <w:vAlign w:val="center"/>
          </w:tcPr>
          <w:p w14:paraId="197666DD" w14:textId="77777777" w:rsidR="00B14D53" w:rsidRDefault="00000000">
            <w:pPr>
              <w:contextualSpacing/>
              <w:jc w:val="center"/>
              <w:rPr>
                <w:szCs w:val="21"/>
              </w:rPr>
            </w:pPr>
            <w:r>
              <w:rPr>
                <w:szCs w:val="21"/>
              </w:rPr>
              <w:t>—</w:t>
            </w:r>
          </w:p>
        </w:tc>
      </w:tr>
      <w:tr w:rsidR="00B14D53" w14:paraId="6A9B904F" w14:textId="77777777">
        <w:trPr>
          <w:trHeight w:val="145"/>
          <w:jc w:val="center"/>
        </w:trPr>
        <w:tc>
          <w:tcPr>
            <w:tcW w:w="416" w:type="pct"/>
            <w:vMerge w:val="restart"/>
            <w:vAlign w:val="center"/>
          </w:tcPr>
          <w:p w14:paraId="4AB41B05" w14:textId="77777777" w:rsidR="00B14D53" w:rsidRDefault="00000000">
            <w:pPr>
              <w:contextualSpacing/>
              <w:jc w:val="center"/>
              <w:rPr>
                <w:szCs w:val="21"/>
              </w:rPr>
            </w:pPr>
            <w:r>
              <w:rPr>
                <w:rFonts w:hint="eastAsia"/>
                <w:szCs w:val="21"/>
              </w:rPr>
              <w:t>2</w:t>
            </w:r>
          </w:p>
        </w:tc>
        <w:tc>
          <w:tcPr>
            <w:tcW w:w="755" w:type="pct"/>
            <w:vMerge w:val="restart"/>
            <w:vAlign w:val="center"/>
          </w:tcPr>
          <w:p w14:paraId="7A7D5A6A" w14:textId="77777777" w:rsidR="00B14D53" w:rsidRDefault="00000000">
            <w:pPr>
              <w:contextualSpacing/>
              <w:jc w:val="center"/>
              <w:rPr>
                <w:szCs w:val="21"/>
              </w:rPr>
            </w:pPr>
            <w:r>
              <w:rPr>
                <w:rFonts w:hint="eastAsia"/>
                <w:szCs w:val="21"/>
              </w:rPr>
              <w:t>DW002</w:t>
            </w:r>
          </w:p>
        </w:tc>
        <w:tc>
          <w:tcPr>
            <w:tcW w:w="864" w:type="pct"/>
            <w:vAlign w:val="center"/>
          </w:tcPr>
          <w:p w14:paraId="36029F47" w14:textId="77777777" w:rsidR="00B14D53" w:rsidRDefault="00000000">
            <w:pPr>
              <w:pStyle w:val="afff"/>
              <w:adjustRightInd/>
              <w:snapToGrid/>
              <w:spacing w:line="240" w:lineRule="auto"/>
              <w:ind w:firstLineChars="0" w:firstLine="0"/>
              <w:contextualSpacing/>
              <w:jc w:val="center"/>
              <w:rPr>
                <w:rFonts w:ascii="Times New Roman" w:eastAsia="宋体" w:hAnsi="Times New Roman" w:cs="Times New Roman"/>
                <w:szCs w:val="21"/>
              </w:rPr>
            </w:pPr>
            <w:r>
              <w:rPr>
                <w:rFonts w:ascii="Times New Roman" w:hAnsi="Times New Roman" w:cs="Times New Roman"/>
                <w:sz w:val="21"/>
                <w:szCs w:val="21"/>
              </w:rPr>
              <w:t>COD</w:t>
            </w:r>
          </w:p>
        </w:tc>
        <w:tc>
          <w:tcPr>
            <w:tcW w:w="1051" w:type="pct"/>
            <w:vAlign w:val="center"/>
          </w:tcPr>
          <w:p w14:paraId="1DA5298E" w14:textId="77777777" w:rsidR="00B14D53" w:rsidRDefault="00000000">
            <w:pPr>
              <w:widowControl/>
              <w:jc w:val="center"/>
              <w:textAlignment w:val="center"/>
              <w:rPr>
                <w:kern w:val="0"/>
                <w:szCs w:val="21"/>
                <w:lang w:bidi="ar"/>
              </w:rPr>
            </w:pPr>
            <w:r>
              <w:rPr>
                <w:kern w:val="0"/>
                <w:szCs w:val="21"/>
                <w:lang w:bidi="ar"/>
              </w:rPr>
              <w:t>226</w:t>
            </w:r>
          </w:p>
        </w:tc>
        <w:tc>
          <w:tcPr>
            <w:tcW w:w="1525" w:type="dxa"/>
            <w:vAlign w:val="center"/>
          </w:tcPr>
          <w:p w14:paraId="6438005B" w14:textId="77777777" w:rsidR="00B14D53" w:rsidRDefault="00000000">
            <w:pPr>
              <w:widowControl/>
              <w:jc w:val="center"/>
              <w:textAlignment w:val="center"/>
              <w:rPr>
                <w:kern w:val="0"/>
                <w:szCs w:val="21"/>
                <w:lang w:bidi="ar"/>
              </w:rPr>
            </w:pPr>
            <w:r>
              <w:rPr>
                <w:rFonts w:hint="eastAsia"/>
                <w:kern w:val="0"/>
                <w:szCs w:val="21"/>
                <w:lang w:bidi="ar"/>
              </w:rPr>
              <w:t>0.0002</w:t>
            </w:r>
          </w:p>
        </w:tc>
        <w:tc>
          <w:tcPr>
            <w:tcW w:w="1733" w:type="dxa"/>
            <w:vAlign w:val="center"/>
          </w:tcPr>
          <w:p w14:paraId="53727FBE" w14:textId="77777777" w:rsidR="00B14D53" w:rsidRDefault="00000000">
            <w:pPr>
              <w:widowControl/>
              <w:jc w:val="center"/>
              <w:textAlignment w:val="center"/>
              <w:rPr>
                <w:szCs w:val="21"/>
              </w:rPr>
            </w:pPr>
            <w:r>
              <w:rPr>
                <w:kern w:val="0"/>
                <w:szCs w:val="21"/>
                <w:lang w:bidi="ar"/>
              </w:rPr>
              <w:t>0.07</w:t>
            </w:r>
          </w:p>
        </w:tc>
      </w:tr>
      <w:tr w:rsidR="00B14D53" w14:paraId="4FFBFFE9" w14:textId="77777777">
        <w:trPr>
          <w:trHeight w:val="145"/>
          <w:jc w:val="center"/>
        </w:trPr>
        <w:tc>
          <w:tcPr>
            <w:tcW w:w="416" w:type="pct"/>
            <w:vMerge/>
            <w:vAlign w:val="center"/>
          </w:tcPr>
          <w:p w14:paraId="6CFC234D" w14:textId="77777777" w:rsidR="00B14D53" w:rsidRDefault="00B14D53">
            <w:pPr>
              <w:contextualSpacing/>
              <w:jc w:val="center"/>
              <w:rPr>
                <w:szCs w:val="21"/>
              </w:rPr>
            </w:pPr>
          </w:p>
        </w:tc>
        <w:tc>
          <w:tcPr>
            <w:tcW w:w="755" w:type="pct"/>
            <w:vMerge/>
            <w:vAlign w:val="center"/>
          </w:tcPr>
          <w:p w14:paraId="1FE343CD" w14:textId="77777777" w:rsidR="00B14D53" w:rsidRDefault="00B14D53">
            <w:pPr>
              <w:contextualSpacing/>
              <w:jc w:val="center"/>
              <w:rPr>
                <w:szCs w:val="21"/>
              </w:rPr>
            </w:pPr>
          </w:p>
        </w:tc>
        <w:tc>
          <w:tcPr>
            <w:tcW w:w="864" w:type="pct"/>
            <w:vAlign w:val="center"/>
          </w:tcPr>
          <w:p w14:paraId="6CACC8A4" w14:textId="77777777" w:rsidR="00B14D53" w:rsidRDefault="00000000">
            <w:pPr>
              <w:pStyle w:val="afff"/>
              <w:adjustRightInd/>
              <w:snapToGrid/>
              <w:spacing w:line="240" w:lineRule="auto"/>
              <w:ind w:firstLineChars="0" w:firstLine="0"/>
              <w:contextualSpacing/>
              <w:jc w:val="center"/>
              <w:rPr>
                <w:rFonts w:ascii="Times New Roman" w:eastAsia="宋体" w:hAnsi="Times New Roman" w:cs="Times New Roman"/>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051" w:type="pct"/>
            <w:vAlign w:val="center"/>
          </w:tcPr>
          <w:p w14:paraId="3B9A2C1F" w14:textId="77777777" w:rsidR="00B14D53" w:rsidRDefault="00000000">
            <w:pPr>
              <w:widowControl/>
              <w:jc w:val="center"/>
              <w:textAlignment w:val="center"/>
              <w:rPr>
                <w:kern w:val="0"/>
                <w:szCs w:val="21"/>
                <w:lang w:bidi="ar"/>
              </w:rPr>
            </w:pPr>
            <w:r>
              <w:rPr>
                <w:kern w:val="0"/>
                <w:szCs w:val="21"/>
                <w:lang w:bidi="ar"/>
              </w:rPr>
              <w:t>78.6</w:t>
            </w:r>
          </w:p>
        </w:tc>
        <w:tc>
          <w:tcPr>
            <w:tcW w:w="1525" w:type="dxa"/>
            <w:vAlign w:val="center"/>
          </w:tcPr>
          <w:p w14:paraId="249B7482" w14:textId="77777777" w:rsidR="00B14D53" w:rsidRDefault="00000000">
            <w:pPr>
              <w:widowControl/>
              <w:jc w:val="center"/>
              <w:textAlignment w:val="center"/>
              <w:rPr>
                <w:kern w:val="0"/>
                <w:szCs w:val="21"/>
                <w:lang w:bidi="ar"/>
              </w:rPr>
            </w:pPr>
            <w:r>
              <w:rPr>
                <w:rFonts w:hint="eastAsia"/>
                <w:kern w:val="0"/>
                <w:szCs w:val="21"/>
                <w:lang w:bidi="ar"/>
              </w:rPr>
              <w:t>0.0001</w:t>
            </w:r>
          </w:p>
        </w:tc>
        <w:tc>
          <w:tcPr>
            <w:tcW w:w="1733" w:type="dxa"/>
            <w:vAlign w:val="center"/>
          </w:tcPr>
          <w:p w14:paraId="7AD1717F" w14:textId="77777777" w:rsidR="00B14D53" w:rsidRDefault="00000000">
            <w:pPr>
              <w:widowControl/>
              <w:jc w:val="center"/>
              <w:textAlignment w:val="center"/>
              <w:rPr>
                <w:szCs w:val="21"/>
              </w:rPr>
            </w:pPr>
            <w:r>
              <w:rPr>
                <w:kern w:val="0"/>
                <w:szCs w:val="21"/>
                <w:lang w:bidi="ar"/>
              </w:rPr>
              <w:t>0.03</w:t>
            </w:r>
          </w:p>
        </w:tc>
      </w:tr>
      <w:tr w:rsidR="00B14D53" w14:paraId="6E48368F" w14:textId="77777777">
        <w:trPr>
          <w:trHeight w:val="145"/>
          <w:jc w:val="center"/>
        </w:trPr>
        <w:tc>
          <w:tcPr>
            <w:tcW w:w="416" w:type="pct"/>
            <w:vMerge/>
            <w:vAlign w:val="center"/>
          </w:tcPr>
          <w:p w14:paraId="11956158" w14:textId="77777777" w:rsidR="00B14D53" w:rsidRDefault="00B14D53">
            <w:pPr>
              <w:contextualSpacing/>
              <w:jc w:val="center"/>
              <w:rPr>
                <w:szCs w:val="21"/>
              </w:rPr>
            </w:pPr>
          </w:p>
        </w:tc>
        <w:tc>
          <w:tcPr>
            <w:tcW w:w="755" w:type="pct"/>
            <w:vMerge/>
            <w:vAlign w:val="center"/>
          </w:tcPr>
          <w:p w14:paraId="2AC41C53" w14:textId="77777777" w:rsidR="00B14D53" w:rsidRDefault="00B14D53">
            <w:pPr>
              <w:contextualSpacing/>
              <w:jc w:val="center"/>
              <w:rPr>
                <w:szCs w:val="21"/>
              </w:rPr>
            </w:pPr>
          </w:p>
        </w:tc>
        <w:tc>
          <w:tcPr>
            <w:tcW w:w="864" w:type="pct"/>
            <w:vAlign w:val="center"/>
          </w:tcPr>
          <w:p w14:paraId="407F6E33" w14:textId="77777777" w:rsidR="00B14D53" w:rsidRDefault="00000000">
            <w:pPr>
              <w:pStyle w:val="afff"/>
              <w:adjustRightInd/>
              <w:snapToGrid/>
              <w:spacing w:line="240" w:lineRule="auto"/>
              <w:ind w:firstLineChars="0" w:firstLine="0"/>
              <w:contextualSpacing/>
              <w:jc w:val="center"/>
              <w:rPr>
                <w:rFonts w:ascii="Times New Roman" w:eastAsia="宋体" w:hAnsi="Times New Roman" w:cs="Times New Roman"/>
                <w:szCs w:val="21"/>
              </w:rPr>
            </w:pPr>
            <w:r>
              <w:rPr>
                <w:rFonts w:ascii="Times New Roman" w:hAnsi="Times New Roman" w:cs="Times New Roman"/>
                <w:sz w:val="21"/>
                <w:szCs w:val="21"/>
              </w:rPr>
              <w:t>氨氮</w:t>
            </w:r>
          </w:p>
        </w:tc>
        <w:tc>
          <w:tcPr>
            <w:tcW w:w="1051" w:type="pct"/>
            <w:vAlign w:val="center"/>
          </w:tcPr>
          <w:p w14:paraId="73B37064" w14:textId="77777777" w:rsidR="00B14D53" w:rsidRDefault="00000000">
            <w:pPr>
              <w:widowControl/>
              <w:jc w:val="center"/>
              <w:textAlignment w:val="center"/>
              <w:rPr>
                <w:kern w:val="0"/>
                <w:szCs w:val="21"/>
                <w:lang w:bidi="ar"/>
              </w:rPr>
            </w:pPr>
            <w:r>
              <w:rPr>
                <w:kern w:val="0"/>
                <w:szCs w:val="21"/>
                <w:lang w:bidi="ar"/>
              </w:rPr>
              <w:t>2.25</w:t>
            </w:r>
          </w:p>
        </w:tc>
        <w:tc>
          <w:tcPr>
            <w:tcW w:w="1525" w:type="dxa"/>
            <w:vAlign w:val="center"/>
          </w:tcPr>
          <w:p w14:paraId="45EBB2AD" w14:textId="77777777" w:rsidR="00B14D53" w:rsidRDefault="00000000">
            <w:pPr>
              <w:widowControl/>
              <w:jc w:val="center"/>
              <w:textAlignment w:val="center"/>
              <w:rPr>
                <w:kern w:val="0"/>
                <w:szCs w:val="21"/>
                <w:lang w:bidi="ar"/>
              </w:rPr>
            </w:pPr>
            <w:r>
              <w:rPr>
                <w:rFonts w:hint="eastAsia"/>
                <w:kern w:val="0"/>
                <w:szCs w:val="21"/>
                <w:lang w:bidi="ar"/>
              </w:rPr>
              <w:t>0.000002</w:t>
            </w:r>
          </w:p>
        </w:tc>
        <w:tc>
          <w:tcPr>
            <w:tcW w:w="1733" w:type="dxa"/>
            <w:vAlign w:val="center"/>
          </w:tcPr>
          <w:p w14:paraId="7E32648B" w14:textId="77777777" w:rsidR="00B14D53" w:rsidRDefault="00000000">
            <w:pPr>
              <w:widowControl/>
              <w:jc w:val="center"/>
              <w:textAlignment w:val="center"/>
              <w:rPr>
                <w:szCs w:val="21"/>
              </w:rPr>
            </w:pPr>
            <w:r>
              <w:rPr>
                <w:kern w:val="0"/>
                <w:szCs w:val="21"/>
                <w:lang w:bidi="ar"/>
              </w:rPr>
              <w:t>0.0007</w:t>
            </w:r>
          </w:p>
        </w:tc>
      </w:tr>
      <w:tr w:rsidR="00B14D53" w14:paraId="35A4FAC5" w14:textId="77777777">
        <w:trPr>
          <w:trHeight w:val="145"/>
          <w:jc w:val="center"/>
        </w:trPr>
        <w:tc>
          <w:tcPr>
            <w:tcW w:w="416" w:type="pct"/>
            <w:vMerge/>
            <w:vAlign w:val="center"/>
          </w:tcPr>
          <w:p w14:paraId="6361F4C6" w14:textId="77777777" w:rsidR="00B14D53" w:rsidRDefault="00B14D53">
            <w:pPr>
              <w:contextualSpacing/>
              <w:jc w:val="center"/>
              <w:rPr>
                <w:szCs w:val="21"/>
              </w:rPr>
            </w:pPr>
          </w:p>
        </w:tc>
        <w:tc>
          <w:tcPr>
            <w:tcW w:w="755" w:type="pct"/>
            <w:vMerge/>
            <w:vAlign w:val="center"/>
          </w:tcPr>
          <w:p w14:paraId="3FF82E44" w14:textId="77777777" w:rsidR="00B14D53" w:rsidRDefault="00B14D53">
            <w:pPr>
              <w:contextualSpacing/>
              <w:jc w:val="center"/>
              <w:rPr>
                <w:szCs w:val="21"/>
              </w:rPr>
            </w:pPr>
          </w:p>
        </w:tc>
        <w:tc>
          <w:tcPr>
            <w:tcW w:w="864" w:type="pct"/>
            <w:vAlign w:val="center"/>
          </w:tcPr>
          <w:p w14:paraId="2F13B47B" w14:textId="77777777" w:rsidR="00B14D53" w:rsidRDefault="00000000">
            <w:pPr>
              <w:pStyle w:val="afff"/>
              <w:adjustRightInd/>
              <w:snapToGrid/>
              <w:spacing w:line="240" w:lineRule="auto"/>
              <w:ind w:firstLineChars="0" w:firstLine="0"/>
              <w:contextualSpacing/>
              <w:jc w:val="center"/>
              <w:rPr>
                <w:rFonts w:ascii="Times New Roman" w:eastAsia="宋体" w:hAnsi="Times New Roman" w:cs="Times New Roman"/>
                <w:szCs w:val="21"/>
              </w:rPr>
            </w:pPr>
            <w:r>
              <w:rPr>
                <w:rFonts w:ascii="Times New Roman" w:hAnsi="Times New Roman" w:cs="Times New Roman"/>
                <w:sz w:val="21"/>
                <w:szCs w:val="21"/>
              </w:rPr>
              <w:t>动植物油</w:t>
            </w:r>
          </w:p>
        </w:tc>
        <w:tc>
          <w:tcPr>
            <w:tcW w:w="1051" w:type="pct"/>
            <w:vAlign w:val="center"/>
          </w:tcPr>
          <w:p w14:paraId="21FF9AFE" w14:textId="77777777" w:rsidR="00B14D53" w:rsidRDefault="00000000">
            <w:pPr>
              <w:widowControl/>
              <w:jc w:val="center"/>
              <w:textAlignment w:val="center"/>
              <w:rPr>
                <w:kern w:val="0"/>
                <w:szCs w:val="21"/>
                <w:lang w:bidi="ar"/>
              </w:rPr>
            </w:pPr>
            <w:r>
              <w:rPr>
                <w:kern w:val="0"/>
                <w:szCs w:val="21"/>
                <w:lang w:bidi="ar"/>
              </w:rPr>
              <w:t>0.8</w:t>
            </w:r>
          </w:p>
        </w:tc>
        <w:tc>
          <w:tcPr>
            <w:tcW w:w="1525" w:type="dxa"/>
            <w:vAlign w:val="center"/>
          </w:tcPr>
          <w:p w14:paraId="65E9C09D" w14:textId="77777777" w:rsidR="00B14D53" w:rsidRDefault="00000000">
            <w:pPr>
              <w:widowControl/>
              <w:jc w:val="center"/>
              <w:textAlignment w:val="center"/>
              <w:rPr>
                <w:kern w:val="0"/>
                <w:szCs w:val="21"/>
                <w:lang w:bidi="ar"/>
              </w:rPr>
            </w:pPr>
            <w:r>
              <w:rPr>
                <w:rFonts w:hint="eastAsia"/>
                <w:kern w:val="0"/>
                <w:szCs w:val="21"/>
                <w:lang w:bidi="ar"/>
              </w:rPr>
              <w:t>0.000001</w:t>
            </w:r>
          </w:p>
        </w:tc>
        <w:tc>
          <w:tcPr>
            <w:tcW w:w="1733" w:type="dxa"/>
            <w:vAlign w:val="center"/>
          </w:tcPr>
          <w:p w14:paraId="538F25AB" w14:textId="77777777" w:rsidR="00B14D53" w:rsidRDefault="00000000">
            <w:pPr>
              <w:widowControl/>
              <w:jc w:val="center"/>
              <w:textAlignment w:val="center"/>
              <w:rPr>
                <w:szCs w:val="21"/>
              </w:rPr>
            </w:pPr>
            <w:r>
              <w:rPr>
                <w:kern w:val="0"/>
                <w:szCs w:val="21"/>
                <w:lang w:bidi="ar"/>
              </w:rPr>
              <w:t>0.0003</w:t>
            </w:r>
          </w:p>
        </w:tc>
      </w:tr>
      <w:tr w:rsidR="00B14D53" w14:paraId="63E4E45C" w14:textId="77777777">
        <w:trPr>
          <w:trHeight w:val="145"/>
          <w:jc w:val="center"/>
        </w:trPr>
        <w:tc>
          <w:tcPr>
            <w:tcW w:w="416" w:type="pct"/>
            <w:vMerge/>
            <w:vAlign w:val="center"/>
          </w:tcPr>
          <w:p w14:paraId="153535C1" w14:textId="77777777" w:rsidR="00B14D53" w:rsidRDefault="00B14D53">
            <w:pPr>
              <w:contextualSpacing/>
              <w:jc w:val="center"/>
              <w:rPr>
                <w:szCs w:val="21"/>
              </w:rPr>
            </w:pPr>
          </w:p>
        </w:tc>
        <w:tc>
          <w:tcPr>
            <w:tcW w:w="755" w:type="pct"/>
            <w:vMerge/>
            <w:vAlign w:val="center"/>
          </w:tcPr>
          <w:p w14:paraId="355BECF4" w14:textId="77777777" w:rsidR="00B14D53" w:rsidRDefault="00B14D53">
            <w:pPr>
              <w:contextualSpacing/>
              <w:jc w:val="center"/>
              <w:rPr>
                <w:szCs w:val="21"/>
              </w:rPr>
            </w:pPr>
          </w:p>
        </w:tc>
        <w:tc>
          <w:tcPr>
            <w:tcW w:w="864" w:type="pct"/>
            <w:vAlign w:val="center"/>
          </w:tcPr>
          <w:p w14:paraId="229E1D31" w14:textId="77777777" w:rsidR="00B14D53" w:rsidRDefault="00000000">
            <w:pPr>
              <w:pStyle w:val="afff"/>
              <w:adjustRightInd/>
              <w:snapToGrid/>
              <w:spacing w:line="240" w:lineRule="auto"/>
              <w:ind w:firstLineChars="0" w:firstLine="0"/>
              <w:contextualSpacing/>
              <w:jc w:val="center"/>
              <w:rPr>
                <w:rFonts w:ascii="Times New Roman" w:eastAsia="宋体" w:hAnsi="Times New Roman" w:cs="Times New Roman"/>
                <w:szCs w:val="21"/>
              </w:rPr>
            </w:pPr>
            <w:r>
              <w:rPr>
                <w:rFonts w:ascii="Times New Roman" w:hAnsi="Times New Roman" w:cs="Times New Roman"/>
                <w:sz w:val="21"/>
                <w:szCs w:val="21"/>
              </w:rPr>
              <w:t>SS</w:t>
            </w:r>
          </w:p>
        </w:tc>
        <w:tc>
          <w:tcPr>
            <w:tcW w:w="1051" w:type="pct"/>
            <w:vAlign w:val="center"/>
          </w:tcPr>
          <w:p w14:paraId="26D29E65" w14:textId="77777777" w:rsidR="00B14D53" w:rsidRDefault="00000000">
            <w:pPr>
              <w:widowControl/>
              <w:jc w:val="center"/>
              <w:textAlignment w:val="center"/>
              <w:rPr>
                <w:kern w:val="0"/>
                <w:szCs w:val="21"/>
                <w:lang w:bidi="ar"/>
              </w:rPr>
            </w:pPr>
            <w:r>
              <w:rPr>
                <w:kern w:val="0"/>
                <w:szCs w:val="21"/>
                <w:lang w:bidi="ar"/>
              </w:rPr>
              <w:t>128</w:t>
            </w:r>
          </w:p>
        </w:tc>
        <w:tc>
          <w:tcPr>
            <w:tcW w:w="1525" w:type="dxa"/>
            <w:vAlign w:val="center"/>
          </w:tcPr>
          <w:p w14:paraId="79134801" w14:textId="77777777" w:rsidR="00B14D53" w:rsidRDefault="00000000">
            <w:pPr>
              <w:widowControl/>
              <w:jc w:val="center"/>
              <w:textAlignment w:val="center"/>
              <w:rPr>
                <w:kern w:val="0"/>
                <w:szCs w:val="21"/>
                <w:lang w:bidi="ar"/>
              </w:rPr>
            </w:pPr>
            <w:r>
              <w:rPr>
                <w:rFonts w:hint="eastAsia"/>
                <w:kern w:val="0"/>
                <w:szCs w:val="21"/>
                <w:lang w:bidi="ar"/>
              </w:rPr>
              <w:t>0.0001</w:t>
            </w:r>
          </w:p>
        </w:tc>
        <w:tc>
          <w:tcPr>
            <w:tcW w:w="1733" w:type="dxa"/>
            <w:vAlign w:val="center"/>
          </w:tcPr>
          <w:p w14:paraId="73BE3ADB" w14:textId="77777777" w:rsidR="00B14D53" w:rsidRDefault="00000000">
            <w:pPr>
              <w:widowControl/>
              <w:jc w:val="center"/>
              <w:textAlignment w:val="center"/>
              <w:rPr>
                <w:szCs w:val="21"/>
              </w:rPr>
            </w:pPr>
            <w:r>
              <w:rPr>
                <w:kern w:val="0"/>
                <w:szCs w:val="21"/>
                <w:lang w:bidi="ar"/>
              </w:rPr>
              <w:t>0.04</w:t>
            </w:r>
          </w:p>
        </w:tc>
      </w:tr>
      <w:tr w:rsidR="00B14D53" w14:paraId="24D0F971" w14:textId="77777777">
        <w:trPr>
          <w:trHeight w:val="145"/>
          <w:jc w:val="center"/>
        </w:trPr>
        <w:tc>
          <w:tcPr>
            <w:tcW w:w="416" w:type="pct"/>
            <w:vMerge/>
            <w:vAlign w:val="center"/>
          </w:tcPr>
          <w:p w14:paraId="5F19808D" w14:textId="77777777" w:rsidR="00B14D53" w:rsidRDefault="00B14D53">
            <w:pPr>
              <w:contextualSpacing/>
              <w:jc w:val="center"/>
              <w:rPr>
                <w:szCs w:val="21"/>
              </w:rPr>
            </w:pPr>
          </w:p>
        </w:tc>
        <w:tc>
          <w:tcPr>
            <w:tcW w:w="755" w:type="pct"/>
            <w:vMerge/>
            <w:vAlign w:val="center"/>
          </w:tcPr>
          <w:p w14:paraId="706586F9" w14:textId="77777777" w:rsidR="00B14D53" w:rsidRDefault="00B14D53">
            <w:pPr>
              <w:contextualSpacing/>
              <w:jc w:val="center"/>
              <w:rPr>
                <w:szCs w:val="21"/>
              </w:rPr>
            </w:pPr>
          </w:p>
        </w:tc>
        <w:tc>
          <w:tcPr>
            <w:tcW w:w="864" w:type="pct"/>
            <w:vAlign w:val="center"/>
          </w:tcPr>
          <w:p w14:paraId="01F7F1ED" w14:textId="77777777" w:rsidR="00B14D53" w:rsidRDefault="00000000">
            <w:pPr>
              <w:pStyle w:val="afff"/>
              <w:adjustRightInd/>
              <w:snapToGrid/>
              <w:spacing w:line="240" w:lineRule="auto"/>
              <w:ind w:firstLineChars="0" w:firstLine="0"/>
              <w:contextualSpacing/>
              <w:jc w:val="center"/>
              <w:rPr>
                <w:rFonts w:ascii="Times New Roman" w:eastAsia="宋体" w:hAnsi="Times New Roman" w:cs="Times New Roman"/>
                <w:szCs w:val="21"/>
              </w:rPr>
            </w:pPr>
            <w:r>
              <w:rPr>
                <w:rFonts w:ascii="Times New Roman" w:hAnsi="Times New Roman" w:cs="Times New Roman"/>
                <w:sz w:val="21"/>
                <w:szCs w:val="21"/>
              </w:rPr>
              <w:t>pH</w:t>
            </w:r>
          </w:p>
        </w:tc>
        <w:tc>
          <w:tcPr>
            <w:tcW w:w="1051" w:type="pct"/>
            <w:vAlign w:val="center"/>
          </w:tcPr>
          <w:p w14:paraId="2008C121" w14:textId="77777777" w:rsidR="00B14D53" w:rsidRDefault="00000000">
            <w:pPr>
              <w:widowControl/>
              <w:jc w:val="center"/>
              <w:textAlignment w:val="center"/>
              <w:rPr>
                <w:kern w:val="0"/>
                <w:szCs w:val="21"/>
                <w:lang w:bidi="ar"/>
              </w:rPr>
            </w:pPr>
            <w:r>
              <w:rPr>
                <w:szCs w:val="21"/>
              </w:rPr>
              <w:t>6.9~7.8</w:t>
            </w:r>
            <w:r>
              <w:rPr>
                <w:szCs w:val="21"/>
              </w:rPr>
              <w:t>无量纲</w:t>
            </w:r>
          </w:p>
        </w:tc>
        <w:tc>
          <w:tcPr>
            <w:tcW w:w="895" w:type="pct"/>
            <w:vAlign w:val="center"/>
          </w:tcPr>
          <w:p w14:paraId="0AE5D307" w14:textId="77777777" w:rsidR="00B14D53" w:rsidRDefault="00000000">
            <w:pPr>
              <w:widowControl/>
              <w:jc w:val="center"/>
              <w:textAlignment w:val="center"/>
              <w:rPr>
                <w:kern w:val="0"/>
                <w:szCs w:val="21"/>
                <w:lang w:bidi="ar"/>
              </w:rPr>
            </w:pPr>
            <w:r>
              <w:rPr>
                <w:rFonts w:hint="eastAsia"/>
                <w:kern w:val="0"/>
                <w:szCs w:val="21"/>
                <w:lang w:bidi="ar"/>
              </w:rPr>
              <w:t>--</w:t>
            </w:r>
          </w:p>
        </w:tc>
        <w:tc>
          <w:tcPr>
            <w:tcW w:w="1017" w:type="pct"/>
            <w:vAlign w:val="center"/>
          </w:tcPr>
          <w:p w14:paraId="2DDD7B53" w14:textId="77777777" w:rsidR="00B14D53" w:rsidRDefault="00000000">
            <w:pPr>
              <w:contextualSpacing/>
              <w:jc w:val="center"/>
              <w:rPr>
                <w:szCs w:val="21"/>
              </w:rPr>
            </w:pPr>
            <w:r>
              <w:rPr>
                <w:rFonts w:hint="eastAsia"/>
                <w:szCs w:val="21"/>
              </w:rPr>
              <w:t>--</w:t>
            </w:r>
          </w:p>
        </w:tc>
      </w:tr>
      <w:tr w:rsidR="00B14D53" w14:paraId="59A5B426" w14:textId="77777777">
        <w:trPr>
          <w:trHeight w:val="242"/>
          <w:jc w:val="center"/>
        </w:trPr>
        <w:tc>
          <w:tcPr>
            <w:tcW w:w="1171" w:type="pct"/>
            <w:gridSpan w:val="2"/>
            <w:vMerge w:val="restart"/>
            <w:vAlign w:val="center"/>
          </w:tcPr>
          <w:p w14:paraId="7FFE392A" w14:textId="77777777" w:rsidR="00B14D53" w:rsidRDefault="00000000">
            <w:pPr>
              <w:contextualSpacing/>
              <w:jc w:val="center"/>
              <w:rPr>
                <w:szCs w:val="21"/>
              </w:rPr>
            </w:pPr>
            <w:r>
              <w:rPr>
                <w:rFonts w:hint="eastAsia"/>
                <w:szCs w:val="21"/>
              </w:rPr>
              <w:t>全厂排放</w:t>
            </w:r>
            <w:r>
              <w:rPr>
                <w:szCs w:val="21"/>
              </w:rPr>
              <w:t>口合计</w:t>
            </w:r>
          </w:p>
        </w:tc>
        <w:tc>
          <w:tcPr>
            <w:tcW w:w="2810" w:type="pct"/>
            <w:gridSpan w:val="3"/>
            <w:vAlign w:val="center"/>
          </w:tcPr>
          <w:p w14:paraId="56E40DA5" w14:textId="77777777" w:rsidR="00B14D53" w:rsidRDefault="00000000">
            <w:pPr>
              <w:contextualSpacing/>
              <w:jc w:val="center"/>
              <w:rPr>
                <w:szCs w:val="21"/>
              </w:rPr>
            </w:pPr>
            <w:r>
              <w:rPr>
                <w:szCs w:val="21"/>
              </w:rPr>
              <w:t>COD</w:t>
            </w:r>
          </w:p>
        </w:tc>
        <w:tc>
          <w:tcPr>
            <w:tcW w:w="1733" w:type="dxa"/>
            <w:vAlign w:val="center"/>
          </w:tcPr>
          <w:p w14:paraId="05EC69DB" w14:textId="77777777" w:rsidR="00B14D53" w:rsidRDefault="00000000">
            <w:pPr>
              <w:widowControl/>
              <w:jc w:val="center"/>
              <w:textAlignment w:val="center"/>
              <w:rPr>
                <w:kern w:val="0"/>
                <w:szCs w:val="21"/>
                <w:lang w:bidi="ar"/>
              </w:rPr>
            </w:pPr>
            <w:r>
              <w:rPr>
                <w:rFonts w:hint="eastAsia"/>
                <w:kern w:val="0"/>
                <w:szCs w:val="21"/>
                <w:lang w:bidi="ar"/>
              </w:rPr>
              <w:t>25.94</w:t>
            </w:r>
          </w:p>
        </w:tc>
      </w:tr>
      <w:tr w:rsidR="00B14D53" w14:paraId="146F51DD" w14:textId="77777777">
        <w:trPr>
          <w:trHeight w:val="145"/>
          <w:jc w:val="center"/>
        </w:trPr>
        <w:tc>
          <w:tcPr>
            <w:tcW w:w="1171" w:type="pct"/>
            <w:gridSpan w:val="2"/>
            <w:vMerge/>
            <w:vAlign w:val="center"/>
          </w:tcPr>
          <w:p w14:paraId="44FCFB7B" w14:textId="77777777" w:rsidR="00B14D53" w:rsidRDefault="00B14D53">
            <w:pPr>
              <w:contextualSpacing/>
              <w:jc w:val="center"/>
              <w:rPr>
                <w:szCs w:val="21"/>
              </w:rPr>
            </w:pPr>
          </w:p>
        </w:tc>
        <w:tc>
          <w:tcPr>
            <w:tcW w:w="2810" w:type="pct"/>
            <w:gridSpan w:val="3"/>
            <w:vAlign w:val="center"/>
          </w:tcPr>
          <w:p w14:paraId="38488A2E" w14:textId="77777777" w:rsidR="00B14D53" w:rsidRDefault="00000000">
            <w:pPr>
              <w:contextualSpacing/>
              <w:jc w:val="center"/>
              <w:rPr>
                <w:szCs w:val="21"/>
              </w:rPr>
            </w:pPr>
            <w:r>
              <w:rPr>
                <w:szCs w:val="21"/>
              </w:rPr>
              <w:t>氨氮</w:t>
            </w:r>
          </w:p>
        </w:tc>
        <w:tc>
          <w:tcPr>
            <w:tcW w:w="1733" w:type="dxa"/>
            <w:vAlign w:val="center"/>
          </w:tcPr>
          <w:p w14:paraId="51E9E126" w14:textId="77777777" w:rsidR="00B14D53" w:rsidRDefault="00000000">
            <w:pPr>
              <w:widowControl/>
              <w:jc w:val="center"/>
              <w:textAlignment w:val="center"/>
              <w:rPr>
                <w:kern w:val="0"/>
                <w:szCs w:val="21"/>
                <w:lang w:bidi="ar"/>
              </w:rPr>
            </w:pPr>
            <w:r>
              <w:rPr>
                <w:rFonts w:hint="eastAsia"/>
                <w:kern w:val="0"/>
                <w:szCs w:val="21"/>
                <w:lang w:bidi="ar"/>
              </w:rPr>
              <w:t>1.9107</w:t>
            </w:r>
          </w:p>
        </w:tc>
      </w:tr>
      <w:tr w:rsidR="00B14D53" w14:paraId="23D07ADE" w14:textId="77777777">
        <w:trPr>
          <w:trHeight w:val="145"/>
          <w:jc w:val="center"/>
        </w:trPr>
        <w:tc>
          <w:tcPr>
            <w:tcW w:w="1171" w:type="pct"/>
            <w:gridSpan w:val="2"/>
            <w:vMerge/>
            <w:vAlign w:val="center"/>
          </w:tcPr>
          <w:p w14:paraId="0DA443B6" w14:textId="77777777" w:rsidR="00B14D53" w:rsidRDefault="00B14D53">
            <w:pPr>
              <w:contextualSpacing/>
              <w:jc w:val="center"/>
              <w:rPr>
                <w:szCs w:val="21"/>
              </w:rPr>
            </w:pPr>
          </w:p>
        </w:tc>
        <w:tc>
          <w:tcPr>
            <w:tcW w:w="2810" w:type="pct"/>
            <w:gridSpan w:val="3"/>
            <w:vAlign w:val="center"/>
          </w:tcPr>
          <w:p w14:paraId="71C647F9" w14:textId="77777777" w:rsidR="00B14D53" w:rsidRDefault="00000000">
            <w:pPr>
              <w:contextualSpacing/>
              <w:jc w:val="center"/>
              <w:rPr>
                <w:szCs w:val="21"/>
              </w:rPr>
            </w:pPr>
            <w:r>
              <w:rPr>
                <w:szCs w:val="21"/>
              </w:rPr>
              <w:t>BOD</w:t>
            </w:r>
            <w:r>
              <w:rPr>
                <w:szCs w:val="21"/>
                <w:vertAlign w:val="subscript"/>
              </w:rPr>
              <w:t>5</w:t>
            </w:r>
          </w:p>
        </w:tc>
        <w:tc>
          <w:tcPr>
            <w:tcW w:w="1733" w:type="dxa"/>
            <w:vAlign w:val="center"/>
          </w:tcPr>
          <w:p w14:paraId="5EC417C3" w14:textId="77777777" w:rsidR="00B14D53" w:rsidRDefault="00000000">
            <w:pPr>
              <w:widowControl/>
              <w:jc w:val="center"/>
              <w:textAlignment w:val="center"/>
              <w:rPr>
                <w:kern w:val="0"/>
                <w:szCs w:val="21"/>
                <w:lang w:bidi="ar"/>
              </w:rPr>
            </w:pPr>
            <w:r>
              <w:rPr>
                <w:rFonts w:hint="eastAsia"/>
                <w:kern w:val="0"/>
                <w:szCs w:val="21"/>
                <w:lang w:bidi="ar"/>
              </w:rPr>
              <w:t>15.78</w:t>
            </w:r>
          </w:p>
        </w:tc>
      </w:tr>
      <w:tr w:rsidR="00B14D53" w14:paraId="24F2ECB3" w14:textId="77777777">
        <w:trPr>
          <w:trHeight w:val="145"/>
          <w:jc w:val="center"/>
        </w:trPr>
        <w:tc>
          <w:tcPr>
            <w:tcW w:w="1171" w:type="pct"/>
            <w:gridSpan w:val="2"/>
            <w:vMerge/>
            <w:vAlign w:val="center"/>
          </w:tcPr>
          <w:p w14:paraId="10066720" w14:textId="77777777" w:rsidR="00B14D53" w:rsidRDefault="00B14D53">
            <w:pPr>
              <w:contextualSpacing/>
              <w:jc w:val="center"/>
              <w:rPr>
                <w:szCs w:val="21"/>
              </w:rPr>
            </w:pPr>
          </w:p>
        </w:tc>
        <w:tc>
          <w:tcPr>
            <w:tcW w:w="2810" w:type="pct"/>
            <w:gridSpan w:val="3"/>
            <w:vAlign w:val="center"/>
          </w:tcPr>
          <w:p w14:paraId="60AEED3F" w14:textId="77777777" w:rsidR="00B14D53" w:rsidRDefault="00000000">
            <w:pPr>
              <w:contextualSpacing/>
              <w:jc w:val="center"/>
              <w:rPr>
                <w:szCs w:val="21"/>
              </w:rPr>
            </w:pPr>
            <w:r>
              <w:rPr>
                <w:szCs w:val="21"/>
              </w:rPr>
              <w:t>SS</w:t>
            </w:r>
          </w:p>
        </w:tc>
        <w:tc>
          <w:tcPr>
            <w:tcW w:w="1733" w:type="dxa"/>
            <w:vAlign w:val="center"/>
          </w:tcPr>
          <w:p w14:paraId="31D073B0" w14:textId="77777777" w:rsidR="00B14D53" w:rsidRDefault="00000000">
            <w:pPr>
              <w:widowControl/>
              <w:jc w:val="center"/>
              <w:textAlignment w:val="center"/>
              <w:rPr>
                <w:kern w:val="0"/>
                <w:szCs w:val="21"/>
                <w:lang w:bidi="ar"/>
              </w:rPr>
            </w:pPr>
            <w:r>
              <w:rPr>
                <w:rFonts w:hint="eastAsia"/>
                <w:kern w:val="0"/>
                <w:szCs w:val="21"/>
                <w:lang w:bidi="ar"/>
              </w:rPr>
              <w:t>23.61</w:t>
            </w:r>
          </w:p>
        </w:tc>
      </w:tr>
      <w:tr w:rsidR="00B14D53" w14:paraId="44068B46" w14:textId="77777777">
        <w:trPr>
          <w:trHeight w:val="145"/>
          <w:jc w:val="center"/>
        </w:trPr>
        <w:tc>
          <w:tcPr>
            <w:tcW w:w="1171" w:type="pct"/>
            <w:gridSpan w:val="2"/>
            <w:vMerge/>
            <w:vAlign w:val="center"/>
          </w:tcPr>
          <w:p w14:paraId="166F46A1" w14:textId="77777777" w:rsidR="00B14D53" w:rsidRDefault="00B14D53">
            <w:pPr>
              <w:contextualSpacing/>
              <w:jc w:val="center"/>
              <w:rPr>
                <w:szCs w:val="21"/>
              </w:rPr>
            </w:pPr>
          </w:p>
        </w:tc>
        <w:tc>
          <w:tcPr>
            <w:tcW w:w="2810" w:type="pct"/>
            <w:gridSpan w:val="3"/>
            <w:vAlign w:val="center"/>
          </w:tcPr>
          <w:p w14:paraId="45F5396C" w14:textId="77777777" w:rsidR="00B14D53" w:rsidRDefault="00000000">
            <w:pPr>
              <w:contextualSpacing/>
              <w:jc w:val="center"/>
              <w:rPr>
                <w:szCs w:val="21"/>
              </w:rPr>
            </w:pPr>
            <w:r>
              <w:rPr>
                <w:szCs w:val="21"/>
              </w:rPr>
              <w:t>动植物油</w:t>
            </w:r>
          </w:p>
        </w:tc>
        <w:tc>
          <w:tcPr>
            <w:tcW w:w="1733" w:type="dxa"/>
            <w:vAlign w:val="center"/>
          </w:tcPr>
          <w:p w14:paraId="6BA8C125" w14:textId="77777777" w:rsidR="00B14D53" w:rsidRDefault="00000000">
            <w:pPr>
              <w:widowControl/>
              <w:jc w:val="center"/>
              <w:textAlignment w:val="center"/>
              <w:rPr>
                <w:kern w:val="0"/>
                <w:szCs w:val="21"/>
                <w:lang w:bidi="ar"/>
              </w:rPr>
            </w:pPr>
            <w:r>
              <w:rPr>
                <w:rFonts w:hint="eastAsia"/>
                <w:kern w:val="0"/>
                <w:szCs w:val="21"/>
                <w:lang w:bidi="ar"/>
              </w:rPr>
              <w:t>4.7403</w:t>
            </w:r>
          </w:p>
        </w:tc>
      </w:tr>
      <w:tr w:rsidR="00B14D53" w14:paraId="13C0E7F7" w14:textId="77777777">
        <w:trPr>
          <w:trHeight w:val="145"/>
          <w:jc w:val="center"/>
        </w:trPr>
        <w:tc>
          <w:tcPr>
            <w:tcW w:w="1171" w:type="pct"/>
            <w:gridSpan w:val="2"/>
            <w:vMerge/>
            <w:vAlign w:val="center"/>
          </w:tcPr>
          <w:p w14:paraId="4A19C662" w14:textId="77777777" w:rsidR="00B14D53" w:rsidRDefault="00B14D53">
            <w:pPr>
              <w:contextualSpacing/>
              <w:jc w:val="center"/>
              <w:rPr>
                <w:szCs w:val="21"/>
              </w:rPr>
            </w:pPr>
          </w:p>
        </w:tc>
        <w:tc>
          <w:tcPr>
            <w:tcW w:w="2810" w:type="pct"/>
            <w:gridSpan w:val="3"/>
            <w:vAlign w:val="center"/>
          </w:tcPr>
          <w:p w14:paraId="59DC8227" w14:textId="77777777" w:rsidR="00B14D53" w:rsidRDefault="00000000">
            <w:pPr>
              <w:contextualSpacing/>
              <w:jc w:val="center"/>
              <w:rPr>
                <w:szCs w:val="21"/>
              </w:rPr>
            </w:pPr>
            <w:r>
              <w:rPr>
                <w:szCs w:val="21"/>
              </w:rPr>
              <w:t>大肠菌群数（个</w:t>
            </w:r>
            <w:r>
              <w:rPr>
                <w:szCs w:val="21"/>
              </w:rPr>
              <w:t>/L</w:t>
            </w:r>
            <w:r>
              <w:rPr>
                <w:szCs w:val="21"/>
              </w:rPr>
              <w:t>）</w:t>
            </w:r>
          </w:p>
        </w:tc>
        <w:tc>
          <w:tcPr>
            <w:tcW w:w="1017" w:type="pct"/>
            <w:vAlign w:val="center"/>
          </w:tcPr>
          <w:p w14:paraId="7B7A093A" w14:textId="77777777" w:rsidR="00B14D53" w:rsidRDefault="00000000">
            <w:pPr>
              <w:widowControl/>
              <w:jc w:val="center"/>
              <w:textAlignment w:val="center"/>
              <w:rPr>
                <w:kern w:val="0"/>
                <w:szCs w:val="21"/>
                <w:lang w:bidi="ar"/>
              </w:rPr>
            </w:pPr>
            <w:r>
              <w:rPr>
                <w:kern w:val="0"/>
                <w:szCs w:val="21"/>
                <w:lang w:bidi="ar"/>
              </w:rPr>
              <w:t>—</w:t>
            </w:r>
          </w:p>
        </w:tc>
      </w:tr>
    </w:tbl>
    <w:p w14:paraId="6A8FA5CD"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5.2.2.2</w:t>
      </w:r>
      <w:r>
        <w:rPr>
          <w:rFonts w:ascii="Times New Roman" w:eastAsia="黑体" w:hAnsi="Times New Roman" w:cs="Times New Roman"/>
          <w:b w:val="0"/>
          <w:bCs w:val="0"/>
          <w:sz w:val="24"/>
          <w:szCs w:val="24"/>
        </w:rPr>
        <w:t>地下水环境影响预测与分析</w:t>
      </w:r>
    </w:p>
    <w:p w14:paraId="23D896B8"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hint="eastAsia"/>
          <w:sz w:val="24"/>
        </w:rPr>
        <w:t>1</w:t>
      </w:r>
      <w:r>
        <w:rPr>
          <w:rFonts w:eastAsiaTheme="minorEastAsia" w:hAnsiTheme="minorEastAsia" w:hint="eastAsia"/>
          <w:sz w:val="24"/>
        </w:rPr>
        <w:t>、</w:t>
      </w:r>
      <w:r>
        <w:rPr>
          <w:rFonts w:eastAsiaTheme="minorEastAsia" w:hAnsiTheme="minorEastAsia"/>
          <w:sz w:val="24"/>
        </w:rPr>
        <w:t>预测范围</w:t>
      </w:r>
    </w:p>
    <w:p w14:paraId="471AE43D"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根据《环境影响评价技术导则</w:t>
      </w:r>
      <w:r>
        <w:rPr>
          <w:rFonts w:eastAsiaTheme="minorEastAsia"/>
          <w:sz w:val="24"/>
        </w:rPr>
        <w:t xml:space="preserve"> </w:t>
      </w:r>
      <w:r>
        <w:rPr>
          <w:rFonts w:eastAsiaTheme="minorEastAsia" w:hAnsiTheme="minorEastAsia"/>
          <w:sz w:val="24"/>
        </w:rPr>
        <w:t>地下水环境》（</w:t>
      </w:r>
      <w:r>
        <w:rPr>
          <w:rFonts w:eastAsiaTheme="minorEastAsia"/>
          <w:sz w:val="24"/>
        </w:rPr>
        <w:t>HJ610-2016</w:t>
      </w:r>
      <w:r>
        <w:rPr>
          <w:rFonts w:eastAsiaTheme="minorEastAsia" w:hAnsiTheme="minorEastAsia"/>
          <w:sz w:val="24"/>
        </w:rPr>
        <w:t>）的要求，本次地下水环境影响评价预测范围与地下水现状调查范围一致，即：项目所在区域</w:t>
      </w:r>
      <w:r>
        <w:rPr>
          <w:rFonts w:eastAsiaTheme="minorEastAsia" w:hAnsiTheme="minorEastAsia" w:hint="eastAsia"/>
          <w:sz w:val="24"/>
        </w:rPr>
        <w:t>厂界上游</w:t>
      </w:r>
      <w:r>
        <w:rPr>
          <w:rFonts w:eastAsiaTheme="minorEastAsia" w:hAnsiTheme="minorEastAsia" w:hint="eastAsia"/>
          <w:sz w:val="24"/>
        </w:rPr>
        <w:t>500m</w:t>
      </w:r>
      <w:r>
        <w:rPr>
          <w:rFonts w:eastAsiaTheme="minorEastAsia" w:hAnsiTheme="minorEastAsia" w:hint="eastAsia"/>
          <w:sz w:val="24"/>
        </w:rPr>
        <w:t>，两侧</w:t>
      </w:r>
      <w:r>
        <w:rPr>
          <w:rFonts w:eastAsiaTheme="minorEastAsia" w:hAnsiTheme="minorEastAsia" w:hint="eastAsia"/>
          <w:sz w:val="24"/>
        </w:rPr>
        <w:t>834m</w:t>
      </w:r>
      <w:r>
        <w:rPr>
          <w:rFonts w:eastAsiaTheme="minorEastAsia" w:hAnsiTheme="minorEastAsia" w:hint="eastAsia"/>
          <w:sz w:val="24"/>
        </w:rPr>
        <w:t>，下游</w:t>
      </w:r>
      <w:r>
        <w:rPr>
          <w:rFonts w:eastAsiaTheme="minorEastAsia" w:hAnsiTheme="minorEastAsia" w:hint="eastAsia"/>
          <w:sz w:val="24"/>
        </w:rPr>
        <w:t>1667m</w:t>
      </w:r>
      <w:r>
        <w:rPr>
          <w:rFonts w:eastAsiaTheme="minorEastAsia" w:hAnsiTheme="minorEastAsia"/>
          <w:sz w:val="24"/>
        </w:rPr>
        <w:t>范围内。预测层位为地下水的</w:t>
      </w:r>
      <w:r>
        <w:rPr>
          <w:rFonts w:eastAsiaTheme="minorEastAsia" w:hAnsiTheme="minorEastAsia" w:hint="eastAsia"/>
          <w:sz w:val="24"/>
        </w:rPr>
        <w:t>潜</w:t>
      </w:r>
      <w:r>
        <w:rPr>
          <w:rFonts w:eastAsiaTheme="minorEastAsia" w:hAnsiTheme="minorEastAsia"/>
          <w:sz w:val="24"/>
        </w:rPr>
        <w:t>水含水层。</w:t>
      </w:r>
    </w:p>
    <w:p w14:paraId="6DB2D85E"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hint="eastAsia"/>
          <w:sz w:val="24"/>
        </w:rPr>
        <w:t>2</w:t>
      </w:r>
      <w:r>
        <w:rPr>
          <w:rFonts w:eastAsiaTheme="minorEastAsia" w:hAnsiTheme="minorEastAsia" w:hint="eastAsia"/>
          <w:sz w:val="24"/>
        </w:rPr>
        <w:t>、</w:t>
      </w:r>
      <w:r>
        <w:rPr>
          <w:rFonts w:eastAsiaTheme="minorEastAsia" w:hAnsiTheme="minorEastAsia"/>
          <w:sz w:val="24"/>
        </w:rPr>
        <w:t>预测时段</w:t>
      </w:r>
    </w:p>
    <w:p w14:paraId="012370AF"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预测时段设定为发生泄漏后的</w:t>
      </w:r>
      <w:r>
        <w:rPr>
          <w:rFonts w:eastAsiaTheme="minorEastAsia"/>
          <w:sz w:val="24"/>
        </w:rPr>
        <w:t>100</w:t>
      </w:r>
      <w:r>
        <w:rPr>
          <w:rFonts w:eastAsiaTheme="minorEastAsia" w:hAnsiTheme="minorEastAsia"/>
          <w:sz w:val="24"/>
        </w:rPr>
        <w:t>天、</w:t>
      </w:r>
      <w:r>
        <w:rPr>
          <w:rFonts w:eastAsiaTheme="minorEastAsia"/>
          <w:sz w:val="24"/>
        </w:rPr>
        <w:t>1000</w:t>
      </w:r>
      <w:r>
        <w:rPr>
          <w:rFonts w:eastAsiaTheme="minorEastAsia" w:hAnsiTheme="minorEastAsia"/>
          <w:sz w:val="24"/>
        </w:rPr>
        <w:t>天</w:t>
      </w:r>
      <w:r>
        <w:rPr>
          <w:rFonts w:eastAsiaTheme="minorEastAsia" w:hAnsiTheme="minorEastAsia" w:hint="eastAsia"/>
          <w:sz w:val="24"/>
        </w:rPr>
        <w:t>、服务年限或能反映特征因子迁移规律的其他重要的时间节点</w:t>
      </w:r>
      <w:r>
        <w:rPr>
          <w:rFonts w:eastAsiaTheme="minorEastAsia" w:hAnsiTheme="minorEastAsia"/>
          <w:sz w:val="24"/>
        </w:rPr>
        <w:t>。</w:t>
      </w:r>
    </w:p>
    <w:p w14:paraId="47A697A8" w14:textId="77777777" w:rsidR="00B14D53" w:rsidRDefault="00000000">
      <w:pPr>
        <w:spacing w:line="360" w:lineRule="auto"/>
        <w:ind w:firstLineChars="200" w:firstLine="480"/>
        <w:rPr>
          <w:rFonts w:eastAsiaTheme="minorEastAsia"/>
          <w:sz w:val="24"/>
        </w:rPr>
      </w:pPr>
      <w:r>
        <w:rPr>
          <w:rFonts w:eastAsiaTheme="minorEastAsia" w:hAnsiTheme="minorEastAsia" w:hint="eastAsia"/>
          <w:sz w:val="24"/>
        </w:rPr>
        <w:t>3</w:t>
      </w:r>
      <w:r>
        <w:rPr>
          <w:rFonts w:eastAsiaTheme="minorEastAsia" w:hAnsiTheme="minorEastAsia" w:hint="eastAsia"/>
          <w:sz w:val="24"/>
        </w:rPr>
        <w:t>、</w:t>
      </w:r>
      <w:r>
        <w:rPr>
          <w:rFonts w:eastAsiaTheme="minorEastAsia" w:hAnsiTheme="minorEastAsia"/>
          <w:sz w:val="24"/>
        </w:rPr>
        <w:t>情景设置</w:t>
      </w:r>
    </w:p>
    <w:p w14:paraId="5D14D6B5" w14:textId="77777777" w:rsidR="00B14D53" w:rsidRDefault="00000000">
      <w:pPr>
        <w:spacing w:line="360" w:lineRule="auto"/>
        <w:ind w:firstLineChars="200" w:firstLine="480"/>
        <w:rPr>
          <w:rFonts w:eastAsiaTheme="minorEastAsia"/>
          <w:sz w:val="24"/>
        </w:rPr>
      </w:pPr>
      <w:r>
        <w:rPr>
          <w:rFonts w:eastAsiaTheme="minorEastAsia" w:hAnsiTheme="minorEastAsia" w:hint="eastAsia"/>
          <w:sz w:val="24"/>
        </w:rPr>
        <w:t>（</w:t>
      </w:r>
      <w:r>
        <w:rPr>
          <w:rFonts w:eastAsiaTheme="minorEastAsia" w:hAnsiTheme="minorEastAsia" w:hint="eastAsia"/>
          <w:sz w:val="24"/>
        </w:rPr>
        <w:t>1</w:t>
      </w:r>
      <w:r>
        <w:rPr>
          <w:rFonts w:eastAsiaTheme="minorEastAsia" w:hAnsiTheme="minorEastAsia" w:hint="eastAsia"/>
          <w:sz w:val="24"/>
        </w:rPr>
        <w:t>）</w:t>
      </w:r>
      <w:r>
        <w:rPr>
          <w:rFonts w:eastAsiaTheme="minorEastAsia" w:hAnsiTheme="minorEastAsia"/>
          <w:sz w:val="24"/>
        </w:rPr>
        <w:t>运营期正常工况下地下水环境影响分析</w:t>
      </w:r>
    </w:p>
    <w:p w14:paraId="037DB86C"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本项目</w:t>
      </w:r>
      <w:r>
        <w:rPr>
          <w:rFonts w:eastAsiaTheme="minorEastAsia" w:hAnsiTheme="minorEastAsia" w:hint="eastAsia"/>
          <w:sz w:val="24"/>
        </w:rPr>
        <w:t>污水处理站调节沉淀池</w:t>
      </w:r>
      <w:r>
        <w:rPr>
          <w:rFonts w:eastAsiaTheme="minorEastAsia" w:hAnsiTheme="minorEastAsia"/>
          <w:sz w:val="24"/>
        </w:rPr>
        <w:t>都有可能存在污染因子入渗而影响地下水的可能，在认真落实报告书中提出的地下水污染防治措施的基础上，项目运行期间产生的废水不会渗入地下，不会对地下水产生影响。</w:t>
      </w:r>
    </w:p>
    <w:p w14:paraId="0918B279" w14:textId="77777777" w:rsidR="00B14D53" w:rsidRDefault="00000000">
      <w:pPr>
        <w:spacing w:line="360" w:lineRule="auto"/>
        <w:ind w:firstLineChars="200" w:firstLine="480"/>
        <w:rPr>
          <w:rFonts w:eastAsiaTheme="minorEastAsia"/>
          <w:sz w:val="24"/>
        </w:rPr>
      </w:pPr>
      <w:r>
        <w:rPr>
          <w:rFonts w:eastAsiaTheme="minorEastAsia" w:hAnsiTheme="minorEastAsia" w:hint="eastAsia"/>
          <w:sz w:val="24"/>
        </w:rPr>
        <w:t>（</w:t>
      </w:r>
      <w:r>
        <w:rPr>
          <w:rFonts w:eastAsiaTheme="minorEastAsia" w:hAnsiTheme="minorEastAsia" w:hint="eastAsia"/>
          <w:sz w:val="24"/>
        </w:rPr>
        <w:t>2</w:t>
      </w:r>
      <w:r>
        <w:rPr>
          <w:rFonts w:eastAsiaTheme="minorEastAsia" w:hAnsiTheme="minorEastAsia" w:hint="eastAsia"/>
          <w:sz w:val="24"/>
        </w:rPr>
        <w:t>）</w:t>
      </w:r>
      <w:r>
        <w:rPr>
          <w:rFonts w:eastAsiaTheme="minorEastAsia" w:hAnsiTheme="minorEastAsia"/>
          <w:sz w:val="24"/>
        </w:rPr>
        <w:t>运营期非正常工况下地下水环境影响预测</w:t>
      </w:r>
    </w:p>
    <w:p w14:paraId="13837805" w14:textId="77777777" w:rsidR="00B14D53" w:rsidRDefault="00000000">
      <w:pPr>
        <w:spacing w:line="360" w:lineRule="auto"/>
        <w:ind w:firstLineChars="200" w:firstLine="480"/>
        <w:rPr>
          <w:rFonts w:eastAsiaTheme="minorEastAsia"/>
          <w:sz w:val="24"/>
        </w:rPr>
      </w:pPr>
      <w:r>
        <w:rPr>
          <w:rFonts w:eastAsiaTheme="minorEastAsia" w:hAnsiTheme="minorEastAsia" w:hint="eastAsia"/>
          <w:sz w:val="24"/>
        </w:rPr>
        <w:t>事故</w:t>
      </w:r>
      <w:r>
        <w:rPr>
          <w:rFonts w:eastAsiaTheme="minorEastAsia" w:hAnsiTheme="minorEastAsia"/>
          <w:sz w:val="24"/>
        </w:rPr>
        <w:t>状况下为池体破裂和防渗层同时破裂时污水渗漏对地下水水质造成影响，本项目针对非正常状况下进行地下水环境影响预测。</w:t>
      </w:r>
    </w:p>
    <w:p w14:paraId="35A003CD" w14:textId="77777777" w:rsidR="00B14D53" w:rsidRDefault="00000000">
      <w:pPr>
        <w:pStyle w:val="afff"/>
        <w:adjustRightInd/>
        <w:snapToGrid/>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1 \* GB3</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hint="eastAsia"/>
        </w:rPr>
        <w:t>①</w:t>
      </w:r>
      <w:r>
        <w:rPr>
          <w:rFonts w:ascii="Times New Roman" w:hAnsi="Times New Roman" w:cs="Times New Roman"/>
        </w:rPr>
        <w:fldChar w:fldCharType="end"/>
      </w:r>
      <w:r>
        <w:rPr>
          <w:rFonts w:ascii="Times New Roman" w:hAnsiTheme="minorEastAsia" w:cs="Times New Roman"/>
        </w:rPr>
        <w:t>泄漏点的设定</w:t>
      </w:r>
    </w:p>
    <w:p w14:paraId="56BE9AD9" w14:textId="77777777" w:rsidR="00B14D53" w:rsidRDefault="00000000">
      <w:pPr>
        <w:pStyle w:val="afff"/>
        <w:adjustRightInd/>
        <w:snapToGrid/>
        <w:jc w:val="both"/>
        <w:rPr>
          <w:rFonts w:ascii="Times New Roman" w:hAnsi="Times New Roman" w:cs="Times New Roman"/>
        </w:rPr>
      </w:pPr>
      <w:r>
        <w:rPr>
          <w:rFonts w:ascii="Times New Roman" w:hAnsiTheme="minorEastAsia" w:cs="Times New Roman"/>
        </w:rPr>
        <w:t>结合项目的特点，</w:t>
      </w:r>
      <w:r>
        <w:rPr>
          <w:rFonts w:ascii="Times New Roman" w:hAnsiTheme="minorEastAsia" w:cs="Times New Roman" w:hint="eastAsia"/>
        </w:rPr>
        <w:t>考虑泄漏源强更大，对环境影响更不利的情况：</w:t>
      </w:r>
      <w:r>
        <w:rPr>
          <w:rFonts w:ascii="Times New Roman" w:hAnsiTheme="minorEastAsia" w:cs="Times New Roman"/>
        </w:rPr>
        <w:t>非正常状况下</w:t>
      </w:r>
      <w:r>
        <w:rPr>
          <w:rFonts w:ascii="Times New Roman" w:hAnsiTheme="minorEastAsia" w:cs="Times New Roman" w:hint="eastAsia"/>
        </w:rPr>
        <w:t>污水处理站调节沉淀池内</w:t>
      </w:r>
      <w:r>
        <w:rPr>
          <w:rFonts w:ascii="Times New Roman" w:hAnsiTheme="minorEastAsia" w:cs="Times New Roman"/>
        </w:rPr>
        <w:t>污水渗漏对地下水水质造成影响</w:t>
      </w:r>
      <w:r>
        <w:rPr>
          <w:rFonts w:ascii="Times New Roman" w:hAnsiTheme="minorEastAsia" w:cs="Times New Roman" w:hint="eastAsia"/>
        </w:rPr>
        <w:t>。</w:t>
      </w:r>
    </w:p>
    <w:p w14:paraId="69476CB1" w14:textId="77777777" w:rsidR="00B14D53" w:rsidRDefault="00000000">
      <w:pPr>
        <w:spacing w:line="360" w:lineRule="auto"/>
        <w:ind w:firstLineChars="200" w:firstLine="480"/>
        <w:rPr>
          <w:rFonts w:eastAsiaTheme="minorEastAsia"/>
          <w:sz w:val="24"/>
        </w:rPr>
      </w:pPr>
      <w:r>
        <w:rPr>
          <w:rFonts w:eastAsiaTheme="minorEastAsia"/>
          <w:sz w:val="24"/>
        </w:rPr>
        <w:fldChar w:fldCharType="begin"/>
      </w:r>
      <w:r>
        <w:rPr>
          <w:rFonts w:eastAsiaTheme="minorEastAsia"/>
          <w:sz w:val="24"/>
        </w:rPr>
        <w:instrText xml:space="preserve"> </w:instrText>
      </w:r>
      <w:r>
        <w:rPr>
          <w:rFonts w:eastAsiaTheme="minorEastAsia" w:hint="eastAsia"/>
          <w:sz w:val="24"/>
        </w:rPr>
        <w:instrText>= 2 \* GB3</w:instrText>
      </w:r>
      <w:r>
        <w:rPr>
          <w:rFonts w:eastAsiaTheme="minorEastAsia"/>
          <w:sz w:val="24"/>
        </w:rPr>
        <w:instrText xml:space="preserve"> </w:instrText>
      </w:r>
      <w:r>
        <w:rPr>
          <w:rFonts w:eastAsiaTheme="minorEastAsia"/>
          <w:sz w:val="24"/>
        </w:rPr>
        <w:fldChar w:fldCharType="separate"/>
      </w:r>
      <w:r>
        <w:rPr>
          <w:rFonts w:eastAsiaTheme="minorEastAsia" w:hint="eastAsia"/>
          <w:sz w:val="24"/>
        </w:rPr>
        <w:t>②</w:t>
      </w:r>
      <w:r>
        <w:rPr>
          <w:rFonts w:eastAsiaTheme="minorEastAsia"/>
          <w:sz w:val="24"/>
        </w:rPr>
        <w:fldChar w:fldCharType="end"/>
      </w:r>
      <w:r>
        <w:rPr>
          <w:rFonts w:eastAsiaTheme="minorEastAsia" w:hAnsiTheme="minorEastAsia"/>
          <w:sz w:val="24"/>
        </w:rPr>
        <w:t>预测因子</w:t>
      </w:r>
    </w:p>
    <w:p w14:paraId="7421B7C9" w14:textId="77777777" w:rsidR="00B14D53" w:rsidRDefault="00000000">
      <w:pPr>
        <w:spacing w:line="360" w:lineRule="auto"/>
        <w:ind w:firstLineChars="200" w:firstLine="480"/>
        <w:rPr>
          <w:rFonts w:eastAsiaTheme="minorEastAsia" w:hAnsiTheme="minorEastAsia" w:hint="eastAsia"/>
          <w:sz w:val="24"/>
        </w:rPr>
      </w:pPr>
      <w:r>
        <w:rPr>
          <w:sz w:val="24"/>
        </w:rPr>
        <w:t>本项目不涉及重金属，污水中主要污染物因子为氨氮</w:t>
      </w:r>
      <w:r>
        <w:rPr>
          <w:rFonts w:hint="eastAsia"/>
          <w:sz w:val="24"/>
        </w:rPr>
        <w:t>，</w:t>
      </w:r>
      <w:r>
        <w:rPr>
          <w:sz w:val="24"/>
        </w:rPr>
        <w:t>选取氨氮</w:t>
      </w:r>
      <w:r>
        <w:rPr>
          <w:rFonts w:hint="eastAsia"/>
          <w:sz w:val="24"/>
        </w:rPr>
        <w:t>为预测因子</w:t>
      </w:r>
      <w:r>
        <w:rPr>
          <w:rFonts w:eastAsiaTheme="minorEastAsia" w:hAnsiTheme="minorEastAsia"/>
          <w:sz w:val="24"/>
        </w:rPr>
        <w:t>。</w:t>
      </w:r>
    </w:p>
    <w:p w14:paraId="4C949307" w14:textId="77777777" w:rsidR="00B14D53" w:rsidRDefault="00000000">
      <w:pPr>
        <w:jc w:val="center"/>
      </w:pPr>
      <w:r>
        <w:rPr>
          <w:rFonts w:hint="eastAsia"/>
          <w:b/>
          <w:bCs/>
        </w:rPr>
        <w:t>表</w:t>
      </w:r>
      <w:r>
        <w:rPr>
          <w:rFonts w:hint="eastAsia"/>
          <w:b/>
          <w:bCs/>
        </w:rPr>
        <w:t xml:space="preserve">5-2-21 </w:t>
      </w:r>
      <w:r>
        <w:rPr>
          <w:rFonts w:hint="eastAsia"/>
          <w:b/>
          <w:bCs/>
        </w:rPr>
        <w:t>预测因子源强一览表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62"/>
        <w:gridCol w:w="1061"/>
        <w:gridCol w:w="1165"/>
        <w:gridCol w:w="1371"/>
        <w:gridCol w:w="1061"/>
        <w:gridCol w:w="1232"/>
        <w:gridCol w:w="1154"/>
      </w:tblGrid>
      <w:tr w:rsidR="00B14D53" w14:paraId="3E1A97A8" w14:textId="77777777">
        <w:tc>
          <w:tcPr>
            <w:tcW w:w="759" w:type="pct"/>
            <w:vAlign w:val="center"/>
          </w:tcPr>
          <w:p w14:paraId="7AD95ADE" w14:textId="77777777" w:rsidR="00B14D53" w:rsidRDefault="00000000">
            <w:pPr>
              <w:jc w:val="center"/>
              <w:rPr>
                <w:b/>
                <w:bCs/>
                <w:snapToGrid w:val="0"/>
                <w:szCs w:val="21"/>
              </w:rPr>
            </w:pPr>
            <w:r>
              <w:rPr>
                <w:rFonts w:hAnsi="宋体"/>
                <w:b/>
                <w:bCs/>
                <w:snapToGrid w:val="0"/>
                <w:szCs w:val="21"/>
              </w:rPr>
              <w:t>工况</w:t>
            </w:r>
          </w:p>
        </w:tc>
        <w:tc>
          <w:tcPr>
            <w:tcW w:w="638" w:type="pct"/>
            <w:vAlign w:val="center"/>
          </w:tcPr>
          <w:p w14:paraId="7F7FE2FE" w14:textId="77777777" w:rsidR="00B14D53" w:rsidRDefault="00000000">
            <w:pPr>
              <w:jc w:val="center"/>
              <w:rPr>
                <w:b/>
                <w:bCs/>
                <w:snapToGrid w:val="0"/>
                <w:szCs w:val="21"/>
              </w:rPr>
            </w:pPr>
            <w:r>
              <w:rPr>
                <w:rFonts w:hAnsi="宋体"/>
                <w:b/>
                <w:bCs/>
                <w:snapToGrid w:val="0"/>
                <w:szCs w:val="21"/>
              </w:rPr>
              <w:t>预测因子</w:t>
            </w:r>
          </w:p>
        </w:tc>
        <w:tc>
          <w:tcPr>
            <w:tcW w:w="701" w:type="pct"/>
            <w:vAlign w:val="center"/>
          </w:tcPr>
          <w:p w14:paraId="68341D49" w14:textId="77777777" w:rsidR="00B14D53" w:rsidRDefault="00000000">
            <w:pPr>
              <w:jc w:val="center"/>
              <w:rPr>
                <w:b/>
                <w:bCs/>
                <w:snapToGrid w:val="0"/>
                <w:szCs w:val="21"/>
              </w:rPr>
            </w:pPr>
            <w:r>
              <w:rPr>
                <w:rFonts w:hAnsi="宋体"/>
                <w:b/>
                <w:bCs/>
                <w:snapToGrid w:val="0"/>
                <w:szCs w:val="21"/>
              </w:rPr>
              <w:t>渗漏面积（</w:t>
            </w:r>
            <w:r>
              <w:rPr>
                <w:b/>
                <w:bCs/>
                <w:snapToGrid w:val="0"/>
                <w:szCs w:val="21"/>
              </w:rPr>
              <w:t>m</w:t>
            </w:r>
            <w:r>
              <w:rPr>
                <w:b/>
                <w:bCs/>
                <w:snapToGrid w:val="0"/>
                <w:szCs w:val="21"/>
                <w:vertAlign w:val="superscript"/>
              </w:rPr>
              <w:t>2</w:t>
            </w:r>
            <w:r>
              <w:rPr>
                <w:rFonts w:hAnsi="宋体"/>
                <w:b/>
                <w:bCs/>
                <w:snapToGrid w:val="0"/>
                <w:szCs w:val="21"/>
              </w:rPr>
              <w:t>）</w:t>
            </w:r>
          </w:p>
        </w:tc>
        <w:tc>
          <w:tcPr>
            <w:tcW w:w="825" w:type="pct"/>
            <w:vAlign w:val="center"/>
          </w:tcPr>
          <w:p w14:paraId="325472D4" w14:textId="77777777" w:rsidR="00B14D53" w:rsidRDefault="00000000">
            <w:pPr>
              <w:jc w:val="center"/>
              <w:rPr>
                <w:b/>
                <w:bCs/>
                <w:snapToGrid w:val="0"/>
                <w:szCs w:val="21"/>
              </w:rPr>
            </w:pPr>
            <w:r>
              <w:rPr>
                <w:rFonts w:hAnsi="宋体"/>
                <w:b/>
                <w:bCs/>
                <w:snapToGrid w:val="0"/>
                <w:szCs w:val="21"/>
              </w:rPr>
              <w:t>渗漏强度（</w:t>
            </w:r>
            <w:r>
              <w:rPr>
                <w:b/>
                <w:bCs/>
                <w:snapToGrid w:val="0"/>
                <w:szCs w:val="21"/>
              </w:rPr>
              <w:t>L/m</w:t>
            </w:r>
            <w:r>
              <w:rPr>
                <w:b/>
                <w:bCs/>
                <w:snapToGrid w:val="0"/>
                <w:szCs w:val="21"/>
                <w:vertAlign w:val="superscript"/>
              </w:rPr>
              <w:t>2</w:t>
            </w:r>
            <w:r>
              <w:rPr>
                <w:rFonts w:hAnsi="宋体"/>
                <w:b/>
                <w:bCs/>
                <w:snapToGrid w:val="0"/>
                <w:szCs w:val="21"/>
              </w:rPr>
              <w:t>﹒</w:t>
            </w:r>
            <w:r>
              <w:rPr>
                <w:b/>
                <w:bCs/>
                <w:snapToGrid w:val="0"/>
                <w:szCs w:val="21"/>
              </w:rPr>
              <w:t>d</w:t>
            </w:r>
            <w:r>
              <w:rPr>
                <w:rFonts w:hAnsi="宋体"/>
                <w:b/>
                <w:bCs/>
                <w:snapToGrid w:val="0"/>
                <w:szCs w:val="21"/>
              </w:rPr>
              <w:t>）</w:t>
            </w:r>
          </w:p>
        </w:tc>
        <w:tc>
          <w:tcPr>
            <w:tcW w:w="638" w:type="pct"/>
            <w:vAlign w:val="center"/>
          </w:tcPr>
          <w:p w14:paraId="6CC60BC6" w14:textId="77777777" w:rsidR="00B14D53" w:rsidRDefault="00000000">
            <w:pPr>
              <w:jc w:val="center"/>
              <w:rPr>
                <w:b/>
                <w:bCs/>
                <w:snapToGrid w:val="0"/>
                <w:szCs w:val="21"/>
              </w:rPr>
            </w:pPr>
            <w:r>
              <w:rPr>
                <w:rFonts w:hAnsi="宋体"/>
                <w:b/>
                <w:bCs/>
                <w:snapToGrid w:val="0"/>
                <w:szCs w:val="21"/>
              </w:rPr>
              <w:t>渗漏量（</w:t>
            </w:r>
            <w:r>
              <w:rPr>
                <w:b/>
                <w:bCs/>
                <w:snapToGrid w:val="0"/>
                <w:szCs w:val="21"/>
              </w:rPr>
              <w:t>L/d</w:t>
            </w:r>
            <w:r>
              <w:rPr>
                <w:rFonts w:hAnsi="宋体"/>
                <w:b/>
                <w:bCs/>
                <w:snapToGrid w:val="0"/>
                <w:szCs w:val="21"/>
              </w:rPr>
              <w:t>）</w:t>
            </w:r>
          </w:p>
        </w:tc>
        <w:tc>
          <w:tcPr>
            <w:tcW w:w="741" w:type="pct"/>
            <w:vAlign w:val="center"/>
          </w:tcPr>
          <w:p w14:paraId="04BEA631" w14:textId="77777777" w:rsidR="00B14D53" w:rsidRDefault="00000000">
            <w:pPr>
              <w:jc w:val="center"/>
              <w:rPr>
                <w:b/>
                <w:bCs/>
                <w:snapToGrid w:val="0"/>
                <w:szCs w:val="21"/>
              </w:rPr>
            </w:pPr>
            <w:r>
              <w:rPr>
                <w:rFonts w:hAnsi="宋体"/>
                <w:b/>
                <w:bCs/>
                <w:snapToGrid w:val="0"/>
                <w:szCs w:val="21"/>
              </w:rPr>
              <w:t>浓度（</w:t>
            </w:r>
            <w:r>
              <w:rPr>
                <w:b/>
                <w:bCs/>
                <w:snapToGrid w:val="0"/>
                <w:szCs w:val="21"/>
              </w:rPr>
              <w:t>mg/L</w:t>
            </w:r>
            <w:r>
              <w:rPr>
                <w:rFonts w:hAnsi="宋体"/>
                <w:b/>
                <w:bCs/>
                <w:snapToGrid w:val="0"/>
                <w:szCs w:val="21"/>
              </w:rPr>
              <w:t>）</w:t>
            </w:r>
          </w:p>
        </w:tc>
        <w:tc>
          <w:tcPr>
            <w:tcW w:w="694" w:type="pct"/>
            <w:vAlign w:val="center"/>
          </w:tcPr>
          <w:p w14:paraId="20FA51A3" w14:textId="77777777" w:rsidR="00B14D53" w:rsidRDefault="00000000">
            <w:pPr>
              <w:jc w:val="center"/>
              <w:rPr>
                <w:b/>
                <w:bCs/>
                <w:snapToGrid w:val="0"/>
                <w:szCs w:val="21"/>
              </w:rPr>
            </w:pPr>
            <w:r>
              <w:rPr>
                <w:rFonts w:hAnsi="宋体"/>
                <w:b/>
                <w:bCs/>
                <w:snapToGrid w:val="0"/>
                <w:szCs w:val="21"/>
              </w:rPr>
              <w:t>污染物质量（</w:t>
            </w:r>
            <w:r>
              <w:rPr>
                <w:b/>
                <w:bCs/>
                <w:snapToGrid w:val="0"/>
                <w:szCs w:val="21"/>
              </w:rPr>
              <w:t>kg/d</w:t>
            </w:r>
            <w:r>
              <w:rPr>
                <w:rFonts w:hAnsi="宋体"/>
                <w:b/>
                <w:bCs/>
                <w:snapToGrid w:val="0"/>
                <w:szCs w:val="21"/>
              </w:rPr>
              <w:t>）</w:t>
            </w:r>
          </w:p>
        </w:tc>
      </w:tr>
      <w:tr w:rsidR="00B14D53" w14:paraId="3E179BDA" w14:textId="77777777">
        <w:trPr>
          <w:trHeight w:val="70"/>
        </w:trPr>
        <w:tc>
          <w:tcPr>
            <w:tcW w:w="759" w:type="pct"/>
            <w:vAlign w:val="center"/>
          </w:tcPr>
          <w:p w14:paraId="1D38DFC6" w14:textId="77777777" w:rsidR="00B14D53" w:rsidRDefault="00000000">
            <w:pPr>
              <w:jc w:val="center"/>
              <w:rPr>
                <w:snapToGrid w:val="0"/>
                <w:szCs w:val="21"/>
              </w:rPr>
            </w:pPr>
            <w:r>
              <w:rPr>
                <w:rFonts w:hAnsi="宋体" w:hint="eastAsia"/>
                <w:snapToGrid w:val="0"/>
                <w:szCs w:val="21"/>
              </w:rPr>
              <w:t>非正常工况</w:t>
            </w:r>
          </w:p>
        </w:tc>
        <w:tc>
          <w:tcPr>
            <w:tcW w:w="638" w:type="pct"/>
            <w:vAlign w:val="center"/>
          </w:tcPr>
          <w:p w14:paraId="29ED7D4E" w14:textId="77777777" w:rsidR="00B14D53" w:rsidRDefault="00000000">
            <w:pPr>
              <w:jc w:val="center"/>
              <w:rPr>
                <w:rFonts w:eastAsiaTheme="minorEastAsia"/>
                <w:snapToGrid w:val="0"/>
                <w:szCs w:val="21"/>
              </w:rPr>
            </w:pPr>
            <w:r>
              <w:rPr>
                <w:rFonts w:eastAsiaTheme="minorEastAsia" w:hint="eastAsia"/>
                <w:snapToGrid w:val="0"/>
                <w:szCs w:val="21"/>
              </w:rPr>
              <w:t>氨氮</w:t>
            </w:r>
          </w:p>
        </w:tc>
        <w:tc>
          <w:tcPr>
            <w:tcW w:w="701" w:type="pct"/>
            <w:vAlign w:val="center"/>
          </w:tcPr>
          <w:p w14:paraId="16ECF307" w14:textId="77777777" w:rsidR="00B14D53" w:rsidRDefault="00000000">
            <w:pPr>
              <w:jc w:val="center"/>
              <w:rPr>
                <w:szCs w:val="21"/>
              </w:rPr>
            </w:pPr>
            <w:r>
              <w:rPr>
                <w:rFonts w:hint="eastAsia"/>
                <w:szCs w:val="21"/>
              </w:rPr>
              <w:t>131</w:t>
            </w:r>
          </w:p>
        </w:tc>
        <w:tc>
          <w:tcPr>
            <w:tcW w:w="825" w:type="pct"/>
            <w:vAlign w:val="center"/>
          </w:tcPr>
          <w:p w14:paraId="1B341748" w14:textId="77777777" w:rsidR="00B14D53" w:rsidRDefault="00000000">
            <w:pPr>
              <w:jc w:val="center"/>
              <w:rPr>
                <w:snapToGrid w:val="0"/>
                <w:szCs w:val="21"/>
              </w:rPr>
            </w:pPr>
            <w:r>
              <w:rPr>
                <w:rFonts w:hint="eastAsia"/>
                <w:snapToGrid w:val="0"/>
                <w:szCs w:val="21"/>
              </w:rPr>
              <w:t>20</w:t>
            </w:r>
          </w:p>
        </w:tc>
        <w:tc>
          <w:tcPr>
            <w:tcW w:w="638" w:type="pct"/>
            <w:vAlign w:val="center"/>
          </w:tcPr>
          <w:p w14:paraId="386DE06D" w14:textId="77777777" w:rsidR="00B14D53" w:rsidRDefault="00000000">
            <w:pPr>
              <w:jc w:val="center"/>
              <w:rPr>
                <w:snapToGrid w:val="0"/>
                <w:szCs w:val="21"/>
              </w:rPr>
            </w:pPr>
            <w:r>
              <w:rPr>
                <w:rFonts w:hint="eastAsia"/>
                <w:snapToGrid w:val="0"/>
                <w:szCs w:val="21"/>
              </w:rPr>
              <w:t>2620</w:t>
            </w:r>
          </w:p>
        </w:tc>
        <w:tc>
          <w:tcPr>
            <w:tcW w:w="741" w:type="pct"/>
            <w:vAlign w:val="center"/>
          </w:tcPr>
          <w:p w14:paraId="6A478312" w14:textId="77777777" w:rsidR="00B14D53" w:rsidRDefault="00000000">
            <w:pPr>
              <w:pStyle w:val="afff2"/>
              <w:spacing w:line="240" w:lineRule="auto"/>
              <w:rPr>
                <w:rFonts w:eastAsiaTheme="minorEastAsia" w:hAnsi="Times New Roman"/>
              </w:rPr>
            </w:pPr>
            <w:r>
              <w:rPr>
                <w:rFonts w:eastAsiaTheme="minorEastAsia" w:hAnsi="Times New Roman" w:hint="eastAsia"/>
              </w:rPr>
              <w:t>121</w:t>
            </w:r>
          </w:p>
        </w:tc>
        <w:tc>
          <w:tcPr>
            <w:tcW w:w="694" w:type="pct"/>
          </w:tcPr>
          <w:p w14:paraId="547C42B2" w14:textId="77777777" w:rsidR="00B14D53" w:rsidRDefault="00000000">
            <w:pPr>
              <w:jc w:val="center"/>
              <w:rPr>
                <w:rFonts w:eastAsiaTheme="minorEastAsia"/>
              </w:rPr>
            </w:pPr>
            <w:r>
              <w:rPr>
                <w:rFonts w:eastAsiaTheme="minorEastAsia" w:hint="eastAsia"/>
              </w:rPr>
              <w:t>0.32</w:t>
            </w:r>
          </w:p>
        </w:tc>
      </w:tr>
    </w:tbl>
    <w:p w14:paraId="2AC2D755" w14:textId="77777777" w:rsidR="00B14D53" w:rsidRDefault="00000000">
      <w:pPr>
        <w:spacing w:line="360" w:lineRule="auto"/>
        <w:ind w:firstLineChars="200" w:firstLine="480"/>
        <w:rPr>
          <w:rFonts w:eastAsiaTheme="minorEastAsia"/>
          <w:sz w:val="24"/>
        </w:rPr>
      </w:pPr>
      <w:r>
        <w:rPr>
          <w:rFonts w:eastAsiaTheme="minorEastAsia"/>
          <w:sz w:val="24"/>
        </w:rPr>
        <w:fldChar w:fldCharType="begin"/>
      </w:r>
      <w:r>
        <w:rPr>
          <w:rFonts w:eastAsiaTheme="minorEastAsia"/>
          <w:sz w:val="24"/>
        </w:rPr>
        <w:instrText xml:space="preserve"> </w:instrText>
      </w:r>
      <w:r>
        <w:rPr>
          <w:rFonts w:eastAsiaTheme="minorEastAsia" w:hint="eastAsia"/>
          <w:sz w:val="24"/>
        </w:rPr>
        <w:instrText>= 3 \* GB3</w:instrText>
      </w:r>
      <w:r>
        <w:rPr>
          <w:rFonts w:eastAsiaTheme="minorEastAsia"/>
          <w:sz w:val="24"/>
        </w:rPr>
        <w:instrText xml:space="preserve"> </w:instrText>
      </w:r>
      <w:r>
        <w:rPr>
          <w:rFonts w:eastAsiaTheme="minorEastAsia"/>
          <w:sz w:val="24"/>
        </w:rPr>
        <w:fldChar w:fldCharType="separate"/>
      </w:r>
      <w:r>
        <w:rPr>
          <w:rFonts w:eastAsiaTheme="minorEastAsia" w:hint="eastAsia"/>
          <w:sz w:val="24"/>
        </w:rPr>
        <w:t>③</w:t>
      </w:r>
      <w:r>
        <w:rPr>
          <w:rFonts w:eastAsiaTheme="minorEastAsia"/>
          <w:sz w:val="24"/>
        </w:rPr>
        <w:fldChar w:fldCharType="end"/>
      </w:r>
      <w:r>
        <w:rPr>
          <w:rFonts w:eastAsiaTheme="minorEastAsia" w:hAnsiTheme="minorEastAsia"/>
          <w:sz w:val="24"/>
        </w:rPr>
        <w:t>评价标准</w:t>
      </w:r>
    </w:p>
    <w:p w14:paraId="0FCBA941"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氨氮评价标准</w:t>
      </w:r>
      <w:r>
        <w:rPr>
          <w:rFonts w:eastAsiaTheme="minorEastAsia" w:hAnsiTheme="minorEastAsia" w:hint="eastAsia"/>
          <w:sz w:val="24"/>
        </w:rPr>
        <w:t>为</w:t>
      </w:r>
      <w:r>
        <w:rPr>
          <w:rFonts w:eastAsiaTheme="minorEastAsia" w:hAnsiTheme="minorEastAsia"/>
          <w:sz w:val="24"/>
        </w:rPr>
        <w:t>《地下水质量标准》（</w:t>
      </w:r>
      <w:r>
        <w:rPr>
          <w:rFonts w:eastAsiaTheme="minorEastAsia"/>
          <w:sz w:val="24"/>
        </w:rPr>
        <w:t>GB/T14848-2017</w:t>
      </w:r>
      <w:r>
        <w:rPr>
          <w:rFonts w:eastAsiaTheme="minorEastAsia" w:hAnsiTheme="minorEastAsia"/>
          <w:sz w:val="24"/>
        </w:rPr>
        <w:t>）</w:t>
      </w:r>
      <w:r>
        <w:rPr>
          <w:rFonts w:eastAsiaTheme="minorEastAsia"/>
          <w:sz w:val="24"/>
        </w:rPr>
        <w:t>Ш</w:t>
      </w:r>
      <w:r>
        <w:rPr>
          <w:rFonts w:eastAsiaTheme="minorEastAsia" w:hAnsiTheme="minorEastAsia"/>
          <w:sz w:val="24"/>
        </w:rPr>
        <w:t>类标准（氨氮</w:t>
      </w:r>
      <w:r>
        <w:rPr>
          <w:rFonts w:eastAsiaTheme="minorEastAsia"/>
          <w:sz w:val="24"/>
        </w:rPr>
        <w:t>≤0.5mg/L</w:t>
      </w:r>
      <w:r>
        <w:rPr>
          <w:rFonts w:eastAsiaTheme="minorEastAsia" w:hAnsiTheme="minorEastAsia"/>
          <w:sz w:val="24"/>
        </w:rPr>
        <w:t>）</w:t>
      </w:r>
      <w:r>
        <w:rPr>
          <w:rFonts w:eastAsiaTheme="minorEastAsia"/>
          <w:sz w:val="24"/>
        </w:rPr>
        <w:fldChar w:fldCharType="begin"/>
      </w:r>
      <w:r>
        <w:rPr>
          <w:rFonts w:eastAsiaTheme="minorEastAsia"/>
          <w:sz w:val="24"/>
        </w:rPr>
        <w:instrText xml:space="preserve"> </w:instrText>
      </w:r>
      <w:r>
        <w:rPr>
          <w:rFonts w:eastAsiaTheme="minorEastAsia" w:hint="eastAsia"/>
          <w:sz w:val="24"/>
        </w:rPr>
        <w:instrText>= 4 \* GB3</w:instrText>
      </w:r>
      <w:r>
        <w:rPr>
          <w:rFonts w:eastAsiaTheme="minorEastAsia"/>
          <w:sz w:val="24"/>
        </w:rPr>
        <w:instrText xml:space="preserve"> </w:instrText>
      </w:r>
      <w:r>
        <w:rPr>
          <w:rFonts w:eastAsiaTheme="minorEastAsia"/>
          <w:sz w:val="24"/>
        </w:rPr>
        <w:fldChar w:fldCharType="separate"/>
      </w:r>
      <w:r>
        <w:rPr>
          <w:rFonts w:eastAsiaTheme="minorEastAsia" w:hint="eastAsia"/>
          <w:sz w:val="24"/>
        </w:rPr>
        <w:t>④</w:t>
      </w:r>
      <w:r>
        <w:rPr>
          <w:rFonts w:eastAsiaTheme="minorEastAsia"/>
          <w:sz w:val="24"/>
        </w:rPr>
        <w:fldChar w:fldCharType="end"/>
      </w:r>
      <w:r>
        <w:rPr>
          <w:rFonts w:eastAsiaTheme="minorEastAsia" w:hAnsiTheme="minorEastAsia"/>
          <w:sz w:val="24"/>
        </w:rPr>
        <w:t>预测模式</w:t>
      </w:r>
    </w:p>
    <w:p w14:paraId="1328E022"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预测模型：</w:t>
      </w:r>
    </w:p>
    <w:p w14:paraId="222B30B3"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根据《环境影响评价技术导则</w:t>
      </w:r>
      <w:r>
        <w:rPr>
          <w:rFonts w:eastAsiaTheme="minorEastAsia"/>
          <w:sz w:val="24"/>
        </w:rPr>
        <w:t xml:space="preserve"> </w:t>
      </w:r>
      <w:r>
        <w:rPr>
          <w:rFonts w:eastAsiaTheme="minorEastAsia" w:hAnsiTheme="minorEastAsia"/>
          <w:sz w:val="24"/>
        </w:rPr>
        <w:t>地下水环境》（</w:t>
      </w:r>
      <w:r>
        <w:rPr>
          <w:rFonts w:eastAsiaTheme="minorEastAsia"/>
          <w:sz w:val="24"/>
        </w:rPr>
        <w:t>HJ610-2016</w:t>
      </w:r>
      <w:r>
        <w:rPr>
          <w:rFonts w:eastAsiaTheme="minorEastAsia" w:hAnsiTheme="minorEastAsia"/>
          <w:sz w:val="24"/>
        </w:rPr>
        <w:t>）要求，地下水环境影响评价</w:t>
      </w:r>
      <w:r>
        <w:rPr>
          <w:rFonts w:eastAsiaTheme="minorEastAsia" w:hAnsiTheme="minorEastAsia" w:hint="eastAsia"/>
          <w:sz w:val="24"/>
        </w:rPr>
        <w:t>二</w:t>
      </w:r>
      <w:r>
        <w:rPr>
          <w:rFonts w:eastAsiaTheme="minorEastAsia" w:hAnsiTheme="minorEastAsia"/>
          <w:sz w:val="24"/>
        </w:rPr>
        <w:t>级评价预测方法可以选用解析法。根据本项目地下水的污染特性选用</w:t>
      </w:r>
      <w:r>
        <w:rPr>
          <w:rFonts w:eastAsiaTheme="minorEastAsia"/>
          <w:sz w:val="24"/>
        </w:rPr>
        <w:t>“</w:t>
      </w:r>
      <w:r>
        <w:rPr>
          <w:rFonts w:eastAsiaTheme="minorEastAsia" w:hAnsiTheme="minorEastAsia"/>
          <w:sz w:val="24"/>
        </w:rPr>
        <w:t>一维半无限长多孔介质柱体，一端为定浓度边界</w:t>
      </w:r>
      <w:r>
        <w:rPr>
          <w:rFonts w:eastAsiaTheme="minorEastAsia"/>
          <w:sz w:val="24"/>
        </w:rPr>
        <w:t>”</w:t>
      </w:r>
      <w:r>
        <w:rPr>
          <w:rFonts w:eastAsiaTheme="minorEastAsia" w:hAnsiTheme="minorEastAsia"/>
          <w:sz w:val="24"/>
        </w:rPr>
        <w:t>预测模型，公式如下。</w:t>
      </w:r>
    </w:p>
    <w:p w14:paraId="6DF80D47" w14:textId="77777777" w:rsidR="00B14D53" w:rsidRDefault="00000000">
      <w:pPr>
        <w:spacing w:line="360" w:lineRule="auto"/>
        <w:ind w:firstLineChars="200" w:firstLine="480"/>
        <w:jc w:val="center"/>
        <w:rPr>
          <w:rFonts w:eastAsiaTheme="minorEastAsia"/>
          <w:sz w:val="24"/>
        </w:rPr>
      </w:pPr>
      <w:r>
        <w:rPr>
          <w:rFonts w:eastAsiaTheme="minorEastAsia"/>
          <w:noProof/>
          <w:sz w:val="24"/>
        </w:rPr>
        <w:drawing>
          <wp:inline distT="0" distB="0" distL="0" distR="0" wp14:anchorId="533C69F2" wp14:editId="4FB9546F">
            <wp:extent cx="2311400" cy="541020"/>
            <wp:effectExtent l="19050" t="0" r="0" b="0"/>
            <wp:docPr id="69" name="图片 39" descr="wps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 descr="wps371"/>
                    <pic:cNvPicPr>
                      <a:picLocks noChangeAspect="1" noChangeArrowheads="1"/>
                    </pic:cNvPicPr>
                  </pic:nvPicPr>
                  <pic:blipFill>
                    <a:blip r:embed="rId58" cstate="print"/>
                    <a:srcRect/>
                    <a:stretch>
                      <a:fillRect/>
                    </a:stretch>
                  </pic:blipFill>
                  <pic:spPr>
                    <a:xfrm>
                      <a:off x="0" y="0"/>
                      <a:ext cx="2311400" cy="541020"/>
                    </a:xfrm>
                    <a:prstGeom prst="rect">
                      <a:avLst/>
                    </a:prstGeom>
                    <a:noFill/>
                    <a:ln w="9525">
                      <a:noFill/>
                      <a:miter lim="800000"/>
                      <a:headEnd/>
                      <a:tailEnd/>
                    </a:ln>
                  </pic:spPr>
                </pic:pic>
              </a:graphicData>
            </a:graphic>
          </wp:inline>
        </w:drawing>
      </w:r>
    </w:p>
    <w:p w14:paraId="60225D38"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式中：</w:t>
      </w:r>
      <w:r>
        <w:rPr>
          <w:rFonts w:eastAsiaTheme="minorEastAsia"/>
          <w:i/>
          <w:sz w:val="24"/>
        </w:rPr>
        <w:t>x</w:t>
      </w:r>
      <w:r>
        <w:rPr>
          <w:rFonts w:eastAsiaTheme="minorEastAsia"/>
          <w:sz w:val="24"/>
        </w:rPr>
        <w:t>—</w:t>
      </w:r>
      <w:r>
        <w:rPr>
          <w:rFonts w:eastAsiaTheme="minorEastAsia" w:hAnsiTheme="minorEastAsia"/>
          <w:sz w:val="24"/>
        </w:rPr>
        <w:t>距注入点的距离，</w:t>
      </w:r>
      <w:r>
        <w:rPr>
          <w:rFonts w:eastAsiaTheme="minorEastAsia"/>
          <w:sz w:val="24"/>
        </w:rPr>
        <w:t>m</w:t>
      </w:r>
      <w:r>
        <w:rPr>
          <w:rFonts w:eastAsiaTheme="minorEastAsia" w:hAnsiTheme="minorEastAsia"/>
          <w:sz w:val="24"/>
        </w:rPr>
        <w:t>；</w:t>
      </w:r>
    </w:p>
    <w:p w14:paraId="215F1413" w14:textId="77777777" w:rsidR="00B14D53" w:rsidRDefault="00000000">
      <w:pPr>
        <w:spacing w:line="360" w:lineRule="auto"/>
        <w:ind w:firstLineChars="200" w:firstLine="480"/>
        <w:rPr>
          <w:rFonts w:eastAsiaTheme="minorEastAsia"/>
          <w:sz w:val="24"/>
        </w:rPr>
      </w:pPr>
      <w:r>
        <w:rPr>
          <w:rFonts w:eastAsiaTheme="minorEastAsia"/>
          <w:i/>
          <w:sz w:val="24"/>
        </w:rPr>
        <w:t>t</w:t>
      </w:r>
      <w:r>
        <w:rPr>
          <w:rFonts w:eastAsiaTheme="minorEastAsia"/>
          <w:sz w:val="24"/>
        </w:rPr>
        <w:t>—</w:t>
      </w:r>
      <w:r>
        <w:rPr>
          <w:rFonts w:eastAsiaTheme="minorEastAsia" w:hAnsiTheme="minorEastAsia"/>
          <w:sz w:val="24"/>
        </w:rPr>
        <w:t>时间，</w:t>
      </w:r>
      <w:r>
        <w:rPr>
          <w:rFonts w:eastAsiaTheme="minorEastAsia"/>
          <w:sz w:val="24"/>
        </w:rPr>
        <w:t>d</w:t>
      </w:r>
      <w:r>
        <w:rPr>
          <w:rFonts w:eastAsiaTheme="minorEastAsia" w:hAnsiTheme="minorEastAsia"/>
          <w:sz w:val="24"/>
        </w:rPr>
        <w:t>；</w:t>
      </w:r>
    </w:p>
    <w:p w14:paraId="5791D180" w14:textId="77777777" w:rsidR="00B14D53" w:rsidRDefault="00000000">
      <w:pPr>
        <w:spacing w:line="360" w:lineRule="auto"/>
        <w:ind w:firstLineChars="200" w:firstLine="480"/>
        <w:rPr>
          <w:rFonts w:eastAsiaTheme="minorEastAsia"/>
          <w:sz w:val="24"/>
        </w:rPr>
      </w:pPr>
      <w:r>
        <w:rPr>
          <w:rFonts w:eastAsiaTheme="minorEastAsia"/>
          <w:i/>
          <w:sz w:val="24"/>
        </w:rPr>
        <w:t>C</w:t>
      </w:r>
      <w:r>
        <w:rPr>
          <w:rFonts w:eastAsiaTheme="minorEastAsia"/>
          <w:sz w:val="24"/>
        </w:rPr>
        <w:t>(</w:t>
      </w:r>
      <w:r>
        <w:rPr>
          <w:rFonts w:eastAsiaTheme="minorEastAsia"/>
          <w:i/>
          <w:sz w:val="24"/>
        </w:rPr>
        <w:t>x</w:t>
      </w:r>
      <w:r>
        <w:rPr>
          <w:rFonts w:eastAsiaTheme="minorEastAsia"/>
          <w:sz w:val="24"/>
        </w:rPr>
        <w:t>,</w:t>
      </w:r>
      <w:r>
        <w:rPr>
          <w:rFonts w:eastAsiaTheme="minorEastAsia"/>
          <w:i/>
          <w:sz w:val="24"/>
        </w:rPr>
        <w:t>t</w:t>
      </w:r>
      <w:r>
        <w:rPr>
          <w:rFonts w:eastAsiaTheme="minorEastAsia"/>
          <w:sz w:val="24"/>
        </w:rPr>
        <w:t>)—t</w:t>
      </w:r>
      <w:r>
        <w:rPr>
          <w:rFonts w:eastAsiaTheme="minorEastAsia" w:hAnsiTheme="minorEastAsia"/>
          <w:sz w:val="24"/>
        </w:rPr>
        <w:t>时刻点</w:t>
      </w:r>
      <w:r>
        <w:rPr>
          <w:rFonts w:eastAsiaTheme="minorEastAsia"/>
          <w:sz w:val="24"/>
        </w:rPr>
        <w:t>x</w:t>
      </w:r>
      <w:r>
        <w:rPr>
          <w:rFonts w:eastAsiaTheme="minorEastAsia" w:hAnsiTheme="minorEastAsia"/>
          <w:sz w:val="24"/>
        </w:rPr>
        <w:t>处的示踪剂浓度，</w:t>
      </w:r>
      <w:r>
        <w:rPr>
          <w:rFonts w:eastAsiaTheme="minorEastAsia"/>
          <w:sz w:val="24"/>
        </w:rPr>
        <w:t>g/L</w:t>
      </w:r>
      <w:r>
        <w:rPr>
          <w:rFonts w:eastAsiaTheme="minorEastAsia" w:hAnsiTheme="minorEastAsia"/>
          <w:sz w:val="24"/>
        </w:rPr>
        <w:t>；</w:t>
      </w:r>
    </w:p>
    <w:p w14:paraId="101F08F9" w14:textId="77777777" w:rsidR="00B14D53" w:rsidRDefault="00000000">
      <w:pPr>
        <w:spacing w:line="360" w:lineRule="auto"/>
        <w:ind w:firstLineChars="200" w:firstLine="480"/>
        <w:rPr>
          <w:rFonts w:eastAsiaTheme="minorEastAsia"/>
          <w:sz w:val="24"/>
        </w:rPr>
      </w:pPr>
      <w:r>
        <w:rPr>
          <w:rFonts w:eastAsiaTheme="minorEastAsia"/>
          <w:i/>
          <w:sz w:val="24"/>
        </w:rPr>
        <w:t>C</w:t>
      </w:r>
      <w:r>
        <w:rPr>
          <w:rFonts w:eastAsiaTheme="minorEastAsia"/>
          <w:sz w:val="24"/>
          <w:vertAlign w:val="subscript"/>
        </w:rPr>
        <w:t>0</w:t>
      </w:r>
      <w:r>
        <w:rPr>
          <w:rFonts w:eastAsiaTheme="minorEastAsia"/>
          <w:sz w:val="24"/>
        </w:rPr>
        <w:t>—</w:t>
      </w:r>
      <w:r>
        <w:rPr>
          <w:rFonts w:eastAsiaTheme="minorEastAsia" w:hAnsiTheme="minorEastAsia"/>
          <w:sz w:val="24"/>
        </w:rPr>
        <w:t>注入示踪剂浓度，</w:t>
      </w:r>
      <w:r>
        <w:rPr>
          <w:rFonts w:eastAsiaTheme="minorEastAsia"/>
          <w:sz w:val="24"/>
        </w:rPr>
        <w:t>g/L</w:t>
      </w:r>
      <w:r>
        <w:rPr>
          <w:rFonts w:eastAsiaTheme="minorEastAsia" w:hAnsiTheme="minorEastAsia"/>
          <w:sz w:val="24"/>
        </w:rPr>
        <w:t>；</w:t>
      </w:r>
    </w:p>
    <w:p w14:paraId="11A7FA66" w14:textId="77777777" w:rsidR="00B14D53" w:rsidRDefault="00000000">
      <w:pPr>
        <w:spacing w:line="360" w:lineRule="auto"/>
        <w:ind w:firstLineChars="200" w:firstLine="480"/>
        <w:rPr>
          <w:rFonts w:eastAsiaTheme="minorEastAsia" w:hAnsiTheme="minorEastAsia" w:hint="eastAsia"/>
          <w:sz w:val="24"/>
        </w:rPr>
      </w:pPr>
      <w:r>
        <w:rPr>
          <w:rFonts w:eastAsiaTheme="minorEastAsia"/>
          <w:i/>
          <w:sz w:val="24"/>
        </w:rPr>
        <w:t>u</w:t>
      </w:r>
      <w:r>
        <w:rPr>
          <w:rFonts w:eastAsiaTheme="minorEastAsia"/>
          <w:sz w:val="24"/>
        </w:rPr>
        <w:t>—</w:t>
      </w:r>
      <w:r>
        <w:rPr>
          <w:rFonts w:eastAsiaTheme="minorEastAsia" w:hAnsiTheme="minorEastAsia"/>
          <w:sz w:val="24"/>
        </w:rPr>
        <w:t>水流速度，</w:t>
      </w:r>
      <w:r>
        <w:rPr>
          <w:rFonts w:eastAsiaTheme="minorEastAsia"/>
          <w:sz w:val="24"/>
        </w:rPr>
        <w:t>m/d</w:t>
      </w:r>
      <w:r>
        <w:rPr>
          <w:rFonts w:eastAsiaTheme="minorEastAsia" w:hAnsiTheme="minorEastAsia"/>
          <w:sz w:val="24"/>
        </w:rPr>
        <w:t>；</w:t>
      </w:r>
    </w:p>
    <w:p w14:paraId="743DC889" w14:textId="77777777" w:rsidR="00B14D53" w:rsidRDefault="00000000">
      <w:pPr>
        <w:spacing w:line="360" w:lineRule="auto"/>
        <w:ind w:firstLineChars="200" w:firstLine="480"/>
        <w:rPr>
          <w:rFonts w:eastAsiaTheme="minorEastAsia"/>
          <w:sz w:val="24"/>
        </w:rPr>
      </w:pPr>
      <w:r>
        <w:rPr>
          <w:rFonts w:eastAsiaTheme="minorEastAsia"/>
          <w:i/>
          <w:sz w:val="24"/>
        </w:rPr>
        <w:t>D</w:t>
      </w:r>
      <w:r>
        <w:rPr>
          <w:rFonts w:eastAsiaTheme="minorEastAsia"/>
          <w:sz w:val="24"/>
          <w:vertAlign w:val="subscript"/>
        </w:rPr>
        <w:t>L</w:t>
      </w:r>
      <w:r>
        <w:rPr>
          <w:rFonts w:eastAsiaTheme="minorEastAsia"/>
          <w:sz w:val="24"/>
        </w:rPr>
        <w:t>—</w:t>
      </w:r>
      <w:r>
        <w:rPr>
          <w:rFonts w:eastAsiaTheme="minorEastAsia" w:hAnsiTheme="minorEastAsia"/>
          <w:sz w:val="24"/>
        </w:rPr>
        <w:t>纵向弥散系数，</w:t>
      </w:r>
      <w:r>
        <w:rPr>
          <w:rFonts w:eastAsiaTheme="minorEastAsia"/>
          <w:sz w:val="24"/>
        </w:rPr>
        <w:t>m</w:t>
      </w:r>
      <w:r>
        <w:rPr>
          <w:rFonts w:eastAsiaTheme="minorEastAsia"/>
          <w:sz w:val="24"/>
          <w:vertAlign w:val="superscript"/>
        </w:rPr>
        <w:t>2</w:t>
      </w:r>
      <w:r>
        <w:rPr>
          <w:rFonts w:eastAsiaTheme="minorEastAsia"/>
          <w:sz w:val="24"/>
        </w:rPr>
        <w:t>/d</w:t>
      </w:r>
      <w:r>
        <w:rPr>
          <w:rFonts w:eastAsiaTheme="minorEastAsia" w:hAnsiTheme="minorEastAsia"/>
          <w:sz w:val="24"/>
        </w:rPr>
        <w:t>；</w:t>
      </w:r>
    </w:p>
    <w:p w14:paraId="0143136E" w14:textId="77777777" w:rsidR="00B14D53" w:rsidRDefault="00000000">
      <w:pPr>
        <w:spacing w:line="360" w:lineRule="auto"/>
        <w:ind w:firstLineChars="200" w:firstLine="480"/>
        <w:rPr>
          <w:rFonts w:eastAsiaTheme="minorEastAsia"/>
          <w:sz w:val="24"/>
        </w:rPr>
      </w:pPr>
      <w:r>
        <w:rPr>
          <w:rFonts w:eastAsiaTheme="minorEastAsia"/>
          <w:sz w:val="24"/>
        </w:rPr>
        <w:t>erfc()—</w:t>
      </w:r>
      <w:r>
        <w:rPr>
          <w:rFonts w:eastAsiaTheme="minorEastAsia" w:hAnsiTheme="minorEastAsia"/>
          <w:sz w:val="24"/>
        </w:rPr>
        <w:t>余差数函数；</w:t>
      </w:r>
    </w:p>
    <w:p w14:paraId="054D068E" w14:textId="77777777" w:rsidR="00B14D53" w:rsidRDefault="00000000">
      <w:pPr>
        <w:spacing w:line="360" w:lineRule="auto"/>
        <w:ind w:left="568"/>
        <w:rPr>
          <w:rFonts w:eastAsiaTheme="minorEastAsia"/>
          <w:sz w:val="24"/>
        </w:rPr>
      </w:pPr>
      <w:r>
        <w:rPr>
          <w:rFonts w:eastAsiaTheme="minorEastAsia" w:hAnsiTheme="minorEastAsia"/>
          <w:sz w:val="24"/>
        </w:rPr>
        <w:t>模式中参数的确定：</w:t>
      </w:r>
    </w:p>
    <w:p w14:paraId="770133C6" w14:textId="77777777" w:rsidR="00B14D53" w:rsidRDefault="00000000">
      <w:pPr>
        <w:adjustRightInd w:val="0"/>
        <w:snapToGrid w:val="0"/>
        <w:spacing w:line="360" w:lineRule="auto"/>
        <w:ind w:firstLineChars="200" w:firstLine="472"/>
        <w:rPr>
          <w:rFonts w:eastAsiaTheme="minorEastAsia"/>
          <w:sz w:val="24"/>
        </w:rPr>
      </w:pPr>
      <w:r>
        <w:rPr>
          <w:rFonts w:ascii="宋体" w:hAnsi="宋体" w:cs="宋体"/>
          <w:spacing w:val="-2"/>
          <w:sz w:val="24"/>
        </w:rPr>
        <w:t>项目区水文地质参数主要来自本项目区域水文地质资料</w:t>
      </w:r>
      <w:r>
        <w:rPr>
          <w:rFonts w:ascii="宋体" w:hAnsi="宋体" w:cs="宋体"/>
          <w:sz w:val="24"/>
        </w:rPr>
        <w:t>。</w:t>
      </w:r>
      <w:r>
        <w:rPr>
          <w:rFonts w:ascii="宋体" w:hAnsi="宋体" w:cs="宋体"/>
          <w:spacing w:val="-7"/>
          <w:sz w:val="24"/>
        </w:rPr>
        <w:t>根据达西定律：</w:t>
      </w:r>
      <w:r>
        <w:rPr>
          <w:rFonts w:eastAsia="Times New Roman"/>
          <w:spacing w:val="-7"/>
          <w:sz w:val="24"/>
        </w:rPr>
        <w:t>u=kJ=</w:t>
      </w:r>
      <w:r>
        <w:rPr>
          <w:rFonts w:hint="eastAsia"/>
          <w:spacing w:val="-7"/>
          <w:sz w:val="24"/>
        </w:rPr>
        <w:t>25</w:t>
      </w:r>
      <w:r>
        <w:rPr>
          <w:rFonts w:eastAsia="Times New Roman"/>
          <w:spacing w:val="-7"/>
          <w:sz w:val="24"/>
        </w:rPr>
        <w:t>×0.</w:t>
      </w:r>
      <w:r>
        <w:rPr>
          <w:rFonts w:eastAsia="Times New Roman"/>
          <w:spacing w:val="-8"/>
          <w:sz w:val="24"/>
        </w:rPr>
        <w:t>00</w:t>
      </w:r>
      <w:r>
        <w:rPr>
          <w:rFonts w:hint="eastAsia"/>
          <w:spacing w:val="-8"/>
          <w:sz w:val="24"/>
        </w:rPr>
        <w:t>2</w:t>
      </w:r>
      <w:r>
        <w:rPr>
          <w:rFonts w:eastAsia="Times New Roman"/>
          <w:spacing w:val="-8"/>
          <w:sz w:val="24"/>
        </w:rPr>
        <w:t>=0.0</w:t>
      </w:r>
      <w:r>
        <w:rPr>
          <w:rFonts w:hint="eastAsia"/>
          <w:spacing w:val="-8"/>
          <w:sz w:val="24"/>
        </w:rPr>
        <w:t>5</w:t>
      </w:r>
      <w:r>
        <w:rPr>
          <w:rFonts w:eastAsia="Times New Roman"/>
          <w:spacing w:val="-8"/>
          <w:sz w:val="24"/>
        </w:rPr>
        <w:t>m/</w:t>
      </w:r>
      <w:r>
        <w:rPr>
          <w:rFonts w:eastAsiaTheme="minorEastAsia"/>
          <w:spacing w:val="-8"/>
          <w:sz w:val="24"/>
        </w:rPr>
        <w:t>d</w:t>
      </w:r>
      <w:r>
        <w:rPr>
          <w:rFonts w:ascii="宋体" w:hAnsi="宋体" w:cs="宋体"/>
          <w:spacing w:val="-8"/>
          <w:sz w:val="24"/>
        </w:rPr>
        <w:t>，渗透系数</w:t>
      </w:r>
      <w:r>
        <w:rPr>
          <w:rFonts w:eastAsia="Times New Roman"/>
          <w:spacing w:val="-8"/>
          <w:sz w:val="24"/>
        </w:rPr>
        <w:t>k</w:t>
      </w:r>
      <w:r>
        <w:rPr>
          <w:rFonts w:ascii="宋体" w:hAnsi="宋体" w:cs="宋体"/>
          <w:spacing w:val="-8"/>
          <w:sz w:val="24"/>
        </w:rPr>
        <w:t>取</w:t>
      </w:r>
      <w:r>
        <w:rPr>
          <w:rFonts w:hint="eastAsia"/>
          <w:spacing w:val="-8"/>
          <w:sz w:val="24"/>
        </w:rPr>
        <w:t>25</w:t>
      </w:r>
      <w:r>
        <w:rPr>
          <w:rFonts w:eastAsia="Times New Roman"/>
          <w:spacing w:val="-8"/>
          <w:sz w:val="24"/>
        </w:rPr>
        <w:t>m/d</w:t>
      </w:r>
      <w:r>
        <w:rPr>
          <w:rFonts w:ascii="宋体" w:hAnsi="宋体" w:cs="宋体"/>
          <w:spacing w:val="-8"/>
          <w:sz w:val="24"/>
        </w:rPr>
        <w:t>，</w:t>
      </w:r>
      <w:r>
        <w:rPr>
          <w:rFonts w:ascii="宋体" w:hAnsi="宋体" w:cs="宋体"/>
          <w:spacing w:val="1"/>
          <w:sz w:val="24"/>
        </w:rPr>
        <w:t>水力坡度</w:t>
      </w:r>
      <w:r>
        <w:rPr>
          <w:rFonts w:eastAsia="Times New Roman"/>
          <w:spacing w:val="1"/>
          <w:sz w:val="24"/>
        </w:rPr>
        <w:t>0.00</w:t>
      </w:r>
      <w:r>
        <w:rPr>
          <w:rFonts w:hint="eastAsia"/>
          <w:spacing w:val="1"/>
          <w:sz w:val="24"/>
        </w:rPr>
        <w:t>2</w:t>
      </w:r>
      <w:r>
        <w:rPr>
          <w:rFonts w:ascii="宋体" w:hAnsi="宋体" w:cs="宋体"/>
          <w:spacing w:val="1"/>
          <w:sz w:val="24"/>
        </w:rPr>
        <w:t>；有效孔隙度</w:t>
      </w:r>
      <w:r>
        <w:rPr>
          <w:rFonts w:eastAsia="Times New Roman"/>
          <w:spacing w:val="1"/>
          <w:sz w:val="24"/>
        </w:rPr>
        <w:t>n</w:t>
      </w:r>
      <w:r>
        <w:rPr>
          <w:rFonts w:ascii="宋体" w:hAnsi="宋体" w:cs="宋体"/>
          <w:spacing w:val="1"/>
          <w:sz w:val="24"/>
        </w:rPr>
        <w:t>取经验值</w:t>
      </w:r>
      <w:r>
        <w:rPr>
          <w:rFonts w:eastAsia="Times New Roman"/>
          <w:spacing w:val="1"/>
          <w:sz w:val="24"/>
        </w:rPr>
        <w:t>0.3</w:t>
      </w:r>
      <w:r>
        <w:rPr>
          <w:rFonts w:ascii="宋体" w:hAnsi="宋体" w:cs="宋体"/>
          <w:spacing w:val="1"/>
          <w:sz w:val="24"/>
        </w:rPr>
        <w:t>；由于水动力弥散尺度效应</w:t>
      </w:r>
      <w:r>
        <w:rPr>
          <w:rFonts w:ascii="宋体" w:hAnsi="宋体" w:cs="宋体"/>
          <w:sz w:val="24"/>
        </w:rPr>
        <w:t>的存在，难以</w:t>
      </w:r>
      <w:r>
        <w:rPr>
          <w:rFonts w:ascii="宋体" w:hAnsi="宋体" w:cs="宋体"/>
          <w:spacing w:val="-2"/>
          <w:sz w:val="24"/>
        </w:rPr>
        <w:t>通过野外或室内弥散试验获得真实的弥散度。因此，参考前人的研究成果，潜水含水层</w:t>
      </w:r>
      <w:r>
        <w:rPr>
          <w:rFonts w:ascii="宋体" w:hAnsi="宋体" w:cs="宋体"/>
          <w:spacing w:val="-1"/>
          <w:sz w:val="24"/>
        </w:rPr>
        <w:t>弥散度较大，纵向弥散度设定为</w:t>
      </w:r>
      <w:r>
        <w:rPr>
          <w:rFonts w:eastAsia="Times New Roman"/>
          <w:spacing w:val="-1"/>
          <w:sz w:val="24"/>
        </w:rPr>
        <w:t>0.</w:t>
      </w:r>
      <w:r>
        <w:rPr>
          <w:rFonts w:hint="eastAsia"/>
          <w:spacing w:val="-1"/>
          <w:sz w:val="24"/>
        </w:rPr>
        <w:t>2</w:t>
      </w:r>
      <w:r>
        <w:rPr>
          <w:rFonts w:eastAsiaTheme="minorEastAsia"/>
          <w:sz w:val="24"/>
        </w:rPr>
        <w:t>m</w:t>
      </w:r>
      <w:r>
        <w:rPr>
          <w:rFonts w:eastAsiaTheme="minorEastAsia"/>
          <w:sz w:val="24"/>
          <w:vertAlign w:val="superscript"/>
        </w:rPr>
        <w:t>2</w:t>
      </w:r>
      <w:r>
        <w:rPr>
          <w:rFonts w:eastAsiaTheme="minorEastAsia"/>
          <w:sz w:val="24"/>
        </w:rPr>
        <w:t>/d</w:t>
      </w:r>
      <w:r>
        <w:rPr>
          <w:rFonts w:eastAsia="Times New Roman"/>
          <w:spacing w:val="-1"/>
          <w:sz w:val="24"/>
        </w:rPr>
        <w:t>。</w:t>
      </w:r>
    </w:p>
    <w:p w14:paraId="042C357E" w14:textId="77777777" w:rsidR="00B14D53" w:rsidRDefault="00000000">
      <w:pPr>
        <w:jc w:val="center"/>
        <w:rPr>
          <w:b/>
          <w:bCs/>
        </w:rPr>
      </w:pPr>
      <w:r>
        <w:rPr>
          <w:rFonts w:hint="eastAsia"/>
          <w:b/>
          <w:bCs/>
        </w:rPr>
        <w:t>表</w:t>
      </w:r>
      <w:r>
        <w:rPr>
          <w:rFonts w:hint="eastAsia"/>
          <w:b/>
          <w:bCs/>
        </w:rPr>
        <w:t xml:space="preserve">5-2-22 </w:t>
      </w:r>
      <w:r>
        <w:rPr>
          <w:rFonts w:hint="eastAsia"/>
          <w:b/>
          <w:bCs/>
        </w:rPr>
        <w:t>预测参数一览表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B14D53" w14:paraId="1FB23587" w14:textId="77777777">
        <w:trPr>
          <w:trHeight w:val="40"/>
          <w:jc w:val="center"/>
        </w:trPr>
        <w:tc>
          <w:tcPr>
            <w:tcW w:w="2130" w:type="dxa"/>
            <w:vAlign w:val="center"/>
          </w:tcPr>
          <w:p w14:paraId="2F0CCF0F" w14:textId="77777777" w:rsidR="00B14D53" w:rsidRDefault="00000000">
            <w:pPr>
              <w:contextualSpacing/>
              <w:jc w:val="center"/>
              <w:rPr>
                <w:rFonts w:eastAsiaTheme="minorEastAsia"/>
                <w:b/>
                <w:bCs/>
                <w:szCs w:val="21"/>
              </w:rPr>
            </w:pPr>
            <w:bookmarkStart w:id="223" w:name="_Hlk522485953"/>
            <w:r>
              <w:rPr>
                <w:rFonts w:eastAsiaTheme="minorEastAsia" w:hAnsiTheme="minorEastAsia"/>
                <w:b/>
                <w:bCs/>
                <w:szCs w:val="21"/>
              </w:rPr>
              <w:t>含水层参数</w:t>
            </w:r>
          </w:p>
        </w:tc>
        <w:tc>
          <w:tcPr>
            <w:tcW w:w="2130" w:type="dxa"/>
            <w:vAlign w:val="center"/>
          </w:tcPr>
          <w:p w14:paraId="19703357" w14:textId="77777777" w:rsidR="00B14D53" w:rsidRDefault="00000000">
            <w:pPr>
              <w:contextualSpacing/>
              <w:jc w:val="center"/>
              <w:rPr>
                <w:rFonts w:eastAsiaTheme="minorEastAsia"/>
                <w:b/>
                <w:bCs/>
                <w:szCs w:val="21"/>
              </w:rPr>
            </w:pPr>
            <w:r>
              <w:rPr>
                <w:rFonts w:eastAsiaTheme="minorEastAsia" w:hAnsiTheme="minorEastAsia"/>
                <w:b/>
                <w:bCs/>
                <w:szCs w:val="21"/>
              </w:rPr>
              <w:t>取值</w:t>
            </w:r>
          </w:p>
        </w:tc>
        <w:tc>
          <w:tcPr>
            <w:tcW w:w="2131" w:type="dxa"/>
            <w:vAlign w:val="center"/>
          </w:tcPr>
          <w:p w14:paraId="006E4FA0" w14:textId="77777777" w:rsidR="00B14D53" w:rsidRDefault="00000000">
            <w:pPr>
              <w:contextualSpacing/>
              <w:jc w:val="center"/>
              <w:rPr>
                <w:rFonts w:eastAsiaTheme="minorEastAsia"/>
                <w:b/>
                <w:bCs/>
                <w:szCs w:val="21"/>
              </w:rPr>
            </w:pPr>
            <w:r>
              <w:rPr>
                <w:rFonts w:eastAsiaTheme="minorEastAsia" w:hAnsiTheme="minorEastAsia"/>
                <w:b/>
                <w:bCs/>
                <w:szCs w:val="21"/>
              </w:rPr>
              <w:t>含水层参数</w:t>
            </w:r>
          </w:p>
        </w:tc>
        <w:tc>
          <w:tcPr>
            <w:tcW w:w="2131" w:type="dxa"/>
            <w:vAlign w:val="center"/>
          </w:tcPr>
          <w:p w14:paraId="22F15763" w14:textId="77777777" w:rsidR="00B14D53" w:rsidRDefault="00000000">
            <w:pPr>
              <w:contextualSpacing/>
              <w:jc w:val="center"/>
              <w:rPr>
                <w:rFonts w:eastAsiaTheme="minorEastAsia"/>
                <w:b/>
                <w:bCs/>
                <w:szCs w:val="21"/>
              </w:rPr>
            </w:pPr>
            <w:r>
              <w:rPr>
                <w:rFonts w:eastAsiaTheme="minorEastAsia" w:hAnsiTheme="minorEastAsia"/>
                <w:b/>
                <w:bCs/>
                <w:szCs w:val="21"/>
              </w:rPr>
              <w:t>取值</w:t>
            </w:r>
          </w:p>
        </w:tc>
      </w:tr>
      <w:tr w:rsidR="00B14D53" w14:paraId="725BF77D" w14:textId="77777777">
        <w:trPr>
          <w:jc w:val="center"/>
        </w:trPr>
        <w:tc>
          <w:tcPr>
            <w:tcW w:w="2130" w:type="dxa"/>
            <w:vAlign w:val="center"/>
          </w:tcPr>
          <w:p w14:paraId="12BC42BE" w14:textId="77777777" w:rsidR="00B14D53" w:rsidRDefault="00000000">
            <w:pPr>
              <w:contextualSpacing/>
              <w:jc w:val="center"/>
              <w:rPr>
                <w:rFonts w:eastAsiaTheme="minorEastAsia"/>
                <w:szCs w:val="21"/>
              </w:rPr>
            </w:pPr>
            <w:r>
              <w:rPr>
                <w:rFonts w:eastAsiaTheme="minorEastAsia" w:hAnsiTheme="minorEastAsia"/>
                <w:szCs w:val="21"/>
              </w:rPr>
              <w:t>渗透系数</w:t>
            </w:r>
          </w:p>
        </w:tc>
        <w:tc>
          <w:tcPr>
            <w:tcW w:w="2130" w:type="dxa"/>
            <w:vAlign w:val="center"/>
          </w:tcPr>
          <w:p w14:paraId="5B5921D1" w14:textId="77777777" w:rsidR="00B14D53" w:rsidRDefault="00000000">
            <w:pPr>
              <w:contextualSpacing/>
              <w:jc w:val="center"/>
              <w:rPr>
                <w:rFonts w:eastAsiaTheme="minorEastAsia"/>
                <w:szCs w:val="21"/>
              </w:rPr>
            </w:pPr>
            <w:r>
              <w:rPr>
                <w:rFonts w:eastAsiaTheme="minorEastAsia" w:hint="eastAsia"/>
                <w:szCs w:val="21"/>
              </w:rPr>
              <w:t>25</w:t>
            </w:r>
            <w:r>
              <w:rPr>
                <w:rFonts w:eastAsiaTheme="minorEastAsia"/>
                <w:szCs w:val="21"/>
              </w:rPr>
              <w:t>m/d</w:t>
            </w:r>
          </w:p>
        </w:tc>
        <w:tc>
          <w:tcPr>
            <w:tcW w:w="2131" w:type="dxa"/>
            <w:vAlign w:val="center"/>
          </w:tcPr>
          <w:p w14:paraId="05732642" w14:textId="77777777" w:rsidR="00B14D53" w:rsidRDefault="00000000">
            <w:pPr>
              <w:contextualSpacing/>
              <w:jc w:val="center"/>
              <w:rPr>
                <w:rFonts w:eastAsiaTheme="minorEastAsia"/>
                <w:szCs w:val="21"/>
              </w:rPr>
            </w:pPr>
            <w:r>
              <w:rPr>
                <w:rFonts w:eastAsiaTheme="minorEastAsia" w:hAnsiTheme="minorEastAsia"/>
                <w:szCs w:val="21"/>
              </w:rPr>
              <w:t>水利坡度</w:t>
            </w:r>
          </w:p>
        </w:tc>
        <w:tc>
          <w:tcPr>
            <w:tcW w:w="2131" w:type="dxa"/>
            <w:vAlign w:val="center"/>
          </w:tcPr>
          <w:p w14:paraId="2D8F6D2C" w14:textId="77777777" w:rsidR="00B14D53" w:rsidRDefault="00000000">
            <w:pPr>
              <w:contextualSpacing/>
              <w:jc w:val="center"/>
              <w:rPr>
                <w:rFonts w:eastAsiaTheme="minorEastAsia"/>
                <w:szCs w:val="21"/>
              </w:rPr>
            </w:pPr>
            <w:r>
              <w:rPr>
                <w:rFonts w:eastAsiaTheme="minorEastAsia"/>
                <w:szCs w:val="21"/>
              </w:rPr>
              <w:t>0.</w:t>
            </w:r>
            <w:r>
              <w:rPr>
                <w:rFonts w:eastAsiaTheme="minorEastAsia" w:hint="eastAsia"/>
                <w:szCs w:val="21"/>
              </w:rPr>
              <w:t>13</w:t>
            </w:r>
            <w:r>
              <w:rPr>
                <w:rFonts w:eastAsiaTheme="minorEastAsia"/>
                <w:szCs w:val="21"/>
              </w:rPr>
              <w:t>%</w:t>
            </w:r>
          </w:p>
        </w:tc>
      </w:tr>
      <w:tr w:rsidR="00B14D53" w14:paraId="4BDF808F" w14:textId="77777777">
        <w:trPr>
          <w:jc w:val="center"/>
        </w:trPr>
        <w:tc>
          <w:tcPr>
            <w:tcW w:w="2130" w:type="dxa"/>
            <w:vAlign w:val="center"/>
          </w:tcPr>
          <w:p w14:paraId="4D3273B1" w14:textId="77777777" w:rsidR="00B14D53" w:rsidRDefault="00000000">
            <w:pPr>
              <w:contextualSpacing/>
              <w:jc w:val="center"/>
              <w:rPr>
                <w:rFonts w:eastAsiaTheme="minorEastAsia"/>
                <w:szCs w:val="21"/>
              </w:rPr>
            </w:pPr>
            <w:r>
              <w:rPr>
                <w:rFonts w:eastAsiaTheme="minorEastAsia" w:hAnsiTheme="minorEastAsia"/>
                <w:szCs w:val="21"/>
              </w:rPr>
              <w:t>有效孔隙率</w:t>
            </w:r>
          </w:p>
        </w:tc>
        <w:tc>
          <w:tcPr>
            <w:tcW w:w="2130" w:type="dxa"/>
            <w:vAlign w:val="center"/>
          </w:tcPr>
          <w:p w14:paraId="238D1BC1" w14:textId="77777777" w:rsidR="00B14D53" w:rsidRDefault="00000000">
            <w:pPr>
              <w:contextualSpacing/>
              <w:jc w:val="center"/>
              <w:rPr>
                <w:rFonts w:eastAsiaTheme="minorEastAsia"/>
                <w:szCs w:val="21"/>
              </w:rPr>
            </w:pPr>
            <w:r>
              <w:rPr>
                <w:rFonts w:eastAsiaTheme="minorEastAsia"/>
                <w:szCs w:val="21"/>
              </w:rPr>
              <w:t>0.</w:t>
            </w:r>
            <w:r>
              <w:rPr>
                <w:rFonts w:eastAsiaTheme="minorEastAsia" w:hint="eastAsia"/>
                <w:szCs w:val="21"/>
              </w:rPr>
              <w:t>3</w:t>
            </w:r>
          </w:p>
        </w:tc>
        <w:tc>
          <w:tcPr>
            <w:tcW w:w="2131" w:type="dxa"/>
            <w:vAlign w:val="center"/>
          </w:tcPr>
          <w:p w14:paraId="776E7568" w14:textId="77777777" w:rsidR="00B14D53" w:rsidRDefault="00000000">
            <w:pPr>
              <w:contextualSpacing/>
              <w:jc w:val="center"/>
              <w:rPr>
                <w:rFonts w:eastAsiaTheme="minorEastAsia"/>
                <w:szCs w:val="21"/>
              </w:rPr>
            </w:pPr>
            <w:r>
              <w:rPr>
                <w:rFonts w:eastAsiaTheme="minorEastAsia" w:hAnsiTheme="minorEastAsia"/>
                <w:szCs w:val="21"/>
              </w:rPr>
              <w:t>弥散系数</w:t>
            </w:r>
          </w:p>
        </w:tc>
        <w:tc>
          <w:tcPr>
            <w:tcW w:w="2131" w:type="dxa"/>
            <w:vAlign w:val="center"/>
          </w:tcPr>
          <w:p w14:paraId="639AFCC2" w14:textId="77777777" w:rsidR="00B14D53" w:rsidRDefault="00000000">
            <w:pPr>
              <w:contextualSpacing/>
              <w:jc w:val="center"/>
              <w:rPr>
                <w:rFonts w:eastAsiaTheme="minorEastAsia"/>
                <w:szCs w:val="21"/>
              </w:rPr>
            </w:pPr>
            <w:r>
              <w:rPr>
                <w:rFonts w:eastAsiaTheme="minorEastAsia"/>
                <w:szCs w:val="21"/>
              </w:rPr>
              <w:t>0.</w:t>
            </w:r>
            <w:r>
              <w:rPr>
                <w:rFonts w:eastAsiaTheme="minorEastAsia" w:hint="eastAsia"/>
                <w:szCs w:val="21"/>
              </w:rPr>
              <w:t>2</w:t>
            </w:r>
            <w:r>
              <w:rPr>
                <w:rFonts w:eastAsiaTheme="minorEastAsia"/>
                <w:szCs w:val="21"/>
              </w:rPr>
              <w:t>m</w:t>
            </w:r>
            <w:r>
              <w:rPr>
                <w:rFonts w:eastAsiaTheme="minorEastAsia"/>
                <w:szCs w:val="21"/>
                <w:vertAlign w:val="superscript"/>
              </w:rPr>
              <w:t>2</w:t>
            </w:r>
            <w:r>
              <w:rPr>
                <w:rFonts w:eastAsiaTheme="minorEastAsia"/>
                <w:szCs w:val="21"/>
              </w:rPr>
              <w:t>/d</w:t>
            </w:r>
          </w:p>
        </w:tc>
      </w:tr>
      <w:tr w:rsidR="00B14D53" w14:paraId="4917537C" w14:textId="77777777">
        <w:trPr>
          <w:trHeight w:val="69"/>
          <w:jc w:val="center"/>
        </w:trPr>
        <w:tc>
          <w:tcPr>
            <w:tcW w:w="2130" w:type="dxa"/>
            <w:vAlign w:val="center"/>
          </w:tcPr>
          <w:p w14:paraId="5853BEDF" w14:textId="77777777" w:rsidR="00B14D53" w:rsidRDefault="00000000">
            <w:pPr>
              <w:contextualSpacing/>
              <w:jc w:val="center"/>
              <w:rPr>
                <w:rFonts w:eastAsiaTheme="minorEastAsia"/>
                <w:szCs w:val="21"/>
              </w:rPr>
            </w:pPr>
            <w:r>
              <w:rPr>
                <w:rFonts w:eastAsiaTheme="minorEastAsia" w:hAnsiTheme="minorEastAsia"/>
                <w:szCs w:val="21"/>
              </w:rPr>
              <w:t>流速</w:t>
            </w:r>
          </w:p>
        </w:tc>
        <w:tc>
          <w:tcPr>
            <w:tcW w:w="6392" w:type="dxa"/>
            <w:gridSpan w:val="3"/>
            <w:vAlign w:val="center"/>
          </w:tcPr>
          <w:p w14:paraId="1FCE5172" w14:textId="77777777" w:rsidR="00B14D53" w:rsidRDefault="00000000">
            <w:pPr>
              <w:contextualSpacing/>
              <w:jc w:val="center"/>
              <w:rPr>
                <w:rFonts w:eastAsiaTheme="minorEastAsia"/>
                <w:szCs w:val="21"/>
              </w:rPr>
            </w:pPr>
            <w:r>
              <w:rPr>
                <w:rFonts w:eastAsiaTheme="minorEastAsia"/>
                <w:szCs w:val="21"/>
              </w:rPr>
              <w:t>0.</w:t>
            </w:r>
            <w:r>
              <w:rPr>
                <w:rFonts w:eastAsiaTheme="minorEastAsia" w:hint="eastAsia"/>
                <w:szCs w:val="21"/>
              </w:rPr>
              <w:t>05</w:t>
            </w:r>
            <w:r>
              <w:rPr>
                <w:rFonts w:eastAsiaTheme="minorEastAsia"/>
                <w:szCs w:val="21"/>
              </w:rPr>
              <w:t>m/d</w:t>
            </w:r>
          </w:p>
        </w:tc>
      </w:tr>
      <w:tr w:rsidR="00B14D53" w14:paraId="6BA25897" w14:textId="77777777">
        <w:trPr>
          <w:jc w:val="center"/>
        </w:trPr>
        <w:tc>
          <w:tcPr>
            <w:tcW w:w="2130" w:type="dxa"/>
            <w:vAlign w:val="center"/>
          </w:tcPr>
          <w:p w14:paraId="1EEAAA6B" w14:textId="77777777" w:rsidR="00B14D53" w:rsidRDefault="00000000">
            <w:pPr>
              <w:contextualSpacing/>
              <w:jc w:val="center"/>
              <w:rPr>
                <w:rFonts w:eastAsiaTheme="minorEastAsia"/>
                <w:szCs w:val="21"/>
              </w:rPr>
            </w:pPr>
            <w:r>
              <w:rPr>
                <w:rFonts w:eastAsiaTheme="minorEastAsia" w:hAnsiTheme="minorEastAsia"/>
                <w:szCs w:val="21"/>
              </w:rPr>
              <w:t>污染源</w:t>
            </w:r>
            <w:r>
              <w:rPr>
                <w:rFonts w:eastAsiaTheme="minorEastAsia" w:hAnsiTheme="minorEastAsia" w:hint="eastAsia"/>
                <w:szCs w:val="21"/>
              </w:rPr>
              <w:t>源强</w:t>
            </w:r>
          </w:p>
        </w:tc>
        <w:tc>
          <w:tcPr>
            <w:tcW w:w="2130" w:type="dxa"/>
            <w:vAlign w:val="center"/>
          </w:tcPr>
          <w:p w14:paraId="2B9893B4" w14:textId="77777777" w:rsidR="00B14D53" w:rsidRDefault="00000000">
            <w:pPr>
              <w:contextualSpacing/>
              <w:jc w:val="center"/>
              <w:rPr>
                <w:rFonts w:eastAsiaTheme="minorEastAsia"/>
                <w:szCs w:val="21"/>
              </w:rPr>
            </w:pPr>
            <w:r>
              <w:rPr>
                <w:rFonts w:eastAsiaTheme="minorEastAsia" w:hint="eastAsia"/>
                <w:szCs w:val="21"/>
              </w:rPr>
              <w:t>氨氮</w:t>
            </w:r>
          </w:p>
        </w:tc>
        <w:tc>
          <w:tcPr>
            <w:tcW w:w="4262" w:type="dxa"/>
            <w:gridSpan w:val="2"/>
            <w:vAlign w:val="center"/>
          </w:tcPr>
          <w:p w14:paraId="17672926" w14:textId="77777777" w:rsidR="00B14D53" w:rsidRDefault="00000000">
            <w:pPr>
              <w:contextualSpacing/>
              <w:jc w:val="center"/>
              <w:rPr>
                <w:rFonts w:eastAsiaTheme="minorEastAsia"/>
                <w:szCs w:val="21"/>
              </w:rPr>
            </w:pPr>
            <w:r>
              <w:rPr>
                <w:rFonts w:eastAsiaTheme="minorEastAsia" w:hint="eastAsia"/>
                <w:snapToGrid w:val="0"/>
              </w:rPr>
              <w:t>121</w:t>
            </w:r>
            <w:r>
              <w:rPr>
                <w:rFonts w:eastAsiaTheme="minorEastAsia"/>
                <w:snapToGrid w:val="0"/>
                <w:kern w:val="0"/>
                <w:szCs w:val="21"/>
              </w:rPr>
              <w:t>mg/L</w:t>
            </w:r>
          </w:p>
        </w:tc>
      </w:tr>
    </w:tbl>
    <w:bookmarkEnd w:id="223"/>
    <w:p w14:paraId="4E2D8520" w14:textId="77777777" w:rsidR="00B14D53" w:rsidRDefault="00000000">
      <w:pPr>
        <w:spacing w:line="360" w:lineRule="auto"/>
        <w:ind w:firstLineChars="200" w:firstLine="480"/>
        <w:contextualSpacing/>
        <w:rPr>
          <w:rFonts w:eastAsiaTheme="minorEastAsia"/>
          <w:sz w:val="24"/>
        </w:rPr>
      </w:pPr>
      <w:r>
        <w:rPr>
          <w:rFonts w:eastAsiaTheme="minorEastAsia"/>
          <w:sz w:val="24"/>
        </w:rPr>
        <w:fldChar w:fldCharType="begin"/>
      </w:r>
      <w:r>
        <w:rPr>
          <w:rFonts w:eastAsiaTheme="minorEastAsia"/>
          <w:sz w:val="24"/>
        </w:rPr>
        <w:instrText xml:space="preserve"> </w:instrText>
      </w:r>
      <w:r>
        <w:rPr>
          <w:rFonts w:eastAsiaTheme="minorEastAsia" w:hint="eastAsia"/>
          <w:sz w:val="24"/>
        </w:rPr>
        <w:instrText>= 5 \* GB3</w:instrText>
      </w:r>
      <w:r>
        <w:rPr>
          <w:rFonts w:eastAsiaTheme="minorEastAsia"/>
          <w:sz w:val="24"/>
        </w:rPr>
        <w:instrText xml:space="preserve"> </w:instrText>
      </w:r>
      <w:r>
        <w:rPr>
          <w:rFonts w:eastAsiaTheme="minorEastAsia"/>
          <w:sz w:val="24"/>
        </w:rPr>
        <w:fldChar w:fldCharType="separate"/>
      </w:r>
      <w:r>
        <w:rPr>
          <w:rFonts w:eastAsiaTheme="minorEastAsia" w:hint="eastAsia"/>
          <w:sz w:val="24"/>
        </w:rPr>
        <w:t>⑤</w:t>
      </w:r>
      <w:r>
        <w:rPr>
          <w:rFonts w:eastAsiaTheme="minorEastAsia"/>
          <w:sz w:val="24"/>
        </w:rPr>
        <w:fldChar w:fldCharType="end"/>
      </w:r>
      <w:r>
        <w:rPr>
          <w:rFonts w:eastAsiaTheme="minorEastAsia" w:hAnsiTheme="minorEastAsia"/>
          <w:sz w:val="24"/>
        </w:rPr>
        <w:t>预测结果</w:t>
      </w:r>
    </w:p>
    <w:p w14:paraId="43590899" w14:textId="77777777" w:rsidR="00B14D53" w:rsidRDefault="00000000">
      <w:pPr>
        <w:spacing w:line="360" w:lineRule="auto"/>
        <w:ind w:firstLine="495"/>
        <w:rPr>
          <w:rFonts w:eastAsiaTheme="minorEastAsia" w:hAnsiTheme="minorEastAsia" w:hint="eastAsia"/>
          <w:sz w:val="24"/>
        </w:rPr>
      </w:pPr>
      <w:r>
        <w:rPr>
          <w:rFonts w:eastAsiaTheme="minorEastAsia" w:hAnsiTheme="minorEastAsia"/>
          <w:sz w:val="24"/>
        </w:rPr>
        <w:t>预测</w:t>
      </w:r>
      <w:r>
        <w:rPr>
          <w:rFonts w:eastAsiaTheme="minorEastAsia" w:hAnsiTheme="minorEastAsia"/>
          <w:sz w:val="24"/>
        </w:rPr>
        <w:t>100</w:t>
      </w:r>
      <w:r>
        <w:rPr>
          <w:rFonts w:eastAsiaTheme="minorEastAsia" w:hAnsiTheme="minorEastAsia" w:hint="eastAsia"/>
          <w:sz w:val="24"/>
        </w:rPr>
        <w:t>d</w:t>
      </w:r>
      <w:r>
        <w:rPr>
          <w:rFonts w:eastAsiaTheme="minorEastAsia" w:hAnsiTheme="minorEastAsia" w:hint="eastAsia"/>
          <w:sz w:val="24"/>
        </w:rPr>
        <w:t>、</w:t>
      </w:r>
      <w:r>
        <w:rPr>
          <w:rFonts w:eastAsiaTheme="minorEastAsia" w:hAnsiTheme="minorEastAsia" w:hint="eastAsia"/>
          <w:sz w:val="24"/>
        </w:rPr>
        <w:t>1</w:t>
      </w:r>
      <w:r>
        <w:rPr>
          <w:rFonts w:eastAsiaTheme="minorEastAsia" w:hAnsiTheme="minorEastAsia"/>
          <w:sz w:val="24"/>
        </w:rPr>
        <w:t>000</w:t>
      </w:r>
      <w:r>
        <w:rPr>
          <w:rFonts w:eastAsiaTheme="minorEastAsia" w:hAnsiTheme="minorEastAsia" w:hint="eastAsia"/>
          <w:sz w:val="24"/>
        </w:rPr>
        <w:t>d</w:t>
      </w:r>
      <w:r>
        <w:rPr>
          <w:rFonts w:eastAsiaTheme="minorEastAsia" w:hAnsiTheme="minorEastAsia"/>
          <w:sz w:val="24"/>
        </w:rPr>
        <w:t>计算结果见下表。</w:t>
      </w:r>
    </w:p>
    <w:p w14:paraId="49ABA59B" w14:textId="77777777" w:rsidR="00B14D53" w:rsidRDefault="00000000">
      <w:pPr>
        <w:jc w:val="center"/>
        <w:rPr>
          <w:b/>
          <w:bCs/>
        </w:rPr>
      </w:pPr>
      <w:r>
        <w:rPr>
          <w:rFonts w:hint="eastAsia"/>
          <w:b/>
          <w:bCs/>
        </w:rPr>
        <w:t>表</w:t>
      </w:r>
      <w:r>
        <w:rPr>
          <w:rFonts w:hint="eastAsia"/>
          <w:b/>
          <w:bCs/>
        </w:rPr>
        <w:t xml:space="preserve">5-2-23 </w:t>
      </w:r>
      <w:r>
        <w:rPr>
          <w:rFonts w:hint="eastAsia"/>
          <w:b/>
          <w:bCs/>
        </w:rPr>
        <w:t>地下水预测结果表</w:t>
      </w:r>
    </w:p>
    <w:tbl>
      <w:tblPr>
        <w:tblW w:w="5000" w:type="pct"/>
        <w:tblBorders>
          <w:top w:val="single" w:sz="12" w:space="0" w:color="000000"/>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56"/>
        <w:gridCol w:w="2498"/>
        <w:gridCol w:w="1660"/>
        <w:gridCol w:w="2492"/>
      </w:tblGrid>
      <w:tr w:rsidR="00B14D53" w14:paraId="7DAFD4FE" w14:textId="77777777">
        <w:trPr>
          <w:cantSplit/>
          <w:trHeight w:val="364"/>
        </w:trPr>
        <w:tc>
          <w:tcPr>
            <w:tcW w:w="5000" w:type="pct"/>
            <w:gridSpan w:val="4"/>
            <w:vAlign w:val="center"/>
          </w:tcPr>
          <w:p w14:paraId="58FD04D9" w14:textId="77777777" w:rsidR="00B14D53" w:rsidRDefault="00000000">
            <w:pPr>
              <w:pStyle w:val="afff2"/>
              <w:spacing w:line="240" w:lineRule="auto"/>
              <w:contextualSpacing/>
              <w:rPr>
                <w:rFonts w:eastAsiaTheme="minorEastAsia" w:hAnsi="Times New Roman"/>
                <w:b/>
                <w:bCs/>
              </w:rPr>
            </w:pPr>
            <w:r>
              <w:rPr>
                <w:rFonts w:eastAsiaTheme="minorEastAsia" w:hAnsi="Times New Roman" w:hint="eastAsia"/>
                <w:b/>
                <w:bCs/>
              </w:rPr>
              <w:t>氨氮</w:t>
            </w:r>
          </w:p>
        </w:tc>
      </w:tr>
      <w:tr w:rsidR="00B14D53" w14:paraId="41374F1E" w14:textId="77777777">
        <w:trPr>
          <w:cantSplit/>
          <w:trHeight w:val="364"/>
        </w:trPr>
        <w:tc>
          <w:tcPr>
            <w:tcW w:w="2501" w:type="pct"/>
            <w:gridSpan w:val="2"/>
            <w:vAlign w:val="center"/>
          </w:tcPr>
          <w:p w14:paraId="5D8AFE25" w14:textId="77777777" w:rsidR="00B14D53" w:rsidRDefault="00000000">
            <w:pPr>
              <w:contextualSpacing/>
              <w:jc w:val="center"/>
              <w:rPr>
                <w:rFonts w:eastAsiaTheme="minorEastAsia"/>
                <w:b/>
                <w:bCs/>
                <w:szCs w:val="21"/>
              </w:rPr>
            </w:pPr>
            <w:r>
              <w:rPr>
                <w:rFonts w:eastAsiaTheme="minorEastAsia"/>
                <w:b/>
                <w:bCs/>
                <w:szCs w:val="21"/>
              </w:rPr>
              <w:t>100</w:t>
            </w:r>
            <w:r>
              <w:rPr>
                <w:rFonts w:eastAsiaTheme="minorEastAsia" w:hAnsiTheme="minorEastAsia"/>
                <w:b/>
                <w:bCs/>
                <w:szCs w:val="21"/>
              </w:rPr>
              <w:t>天</w:t>
            </w:r>
          </w:p>
        </w:tc>
        <w:tc>
          <w:tcPr>
            <w:tcW w:w="2498" w:type="pct"/>
            <w:gridSpan w:val="2"/>
            <w:vAlign w:val="center"/>
          </w:tcPr>
          <w:p w14:paraId="3844C49B" w14:textId="77777777" w:rsidR="00B14D53" w:rsidRDefault="00000000">
            <w:pPr>
              <w:contextualSpacing/>
              <w:jc w:val="center"/>
              <w:rPr>
                <w:rFonts w:eastAsiaTheme="minorEastAsia"/>
                <w:b/>
                <w:bCs/>
                <w:szCs w:val="21"/>
              </w:rPr>
            </w:pPr>
            <w:r>
              <w:rPr>
                <w:rFonts w:eastAsiaTheme="minorEastAsia"/>
                <w:b/>
                <w:bCs/>
                <w:szCs w:val="21"/>
              </w:rPr>
              <w:t>1000</w:t>
            </w:r>
            <w:r>
              <w:rPr>
                <w:rFonts w:eastAsiaTheme="minorEastAsia" w:hAnsiTheme="minorEastAsia"/>
                <w:b/>
                <w:bCs/>
                <w:szCs w:val="21"/>
              </w:rPr>
              <w:t>天</w:t>
            </w:r>
          </w:p>
        </w:tc>
      </w:tr>
      <w:tr w:rsidR="00B14D53" w14:paraId="56F26EC7" w14:textId="77777777">
        <w:trPr>
          <w:cantSplit/>
          <w:trHeight w:val="348"/>
        </w:trPr>
        <w:tc>
          <w:tcPr>
            <w:tcW w:w="997" w:type="pct"/>
            <w:vAlign w:val="center"/>
          </w:tcPr>
          <w:p w14:paraId="01E2FF74" w14:textId="77777777" w:rsidR="00B14D53" w:rsidRDefault="00000000">
            <w:pPr>
              <w:contextualSpacing/>
              <w:jc w:val="center"/>
              <w:rPr>
                <w:rFonts w:eastAsiaTheme="minorEastAsia"/>
                <w:b/>
                <w:bCs/>
                <w:szCs w:val="21"/>
              </w:rPr>
            </w:pPr>
            <w:r>
              <w:rPr>
                <w:rFonts w:eastAsiaTheme="minorEastAsia" w:hAnsiTheme="minorEastAsia"/>
                <w:b/>
                <w:bCs/>
                <w:szCs w:val="21"/>
              </w:rPr>
              <w:t>距离（</w:t>
            </w:r>
            <w:r>
              <w:rPr>
                <w:rFonts w:eastAsiaTheme="minorEastAsia"/>
                <w:b/>
                <w:bCs/>
                <w:szCs w:val="21"/>
              </w:rPr>
              <w:t>m</w:t>
            </w:r>
            <w:r>
              <w:rPr>
                <w:rFonts w:eastAsiaTheme="minorEastAsia" w:hAnsiTheme="minorEastAsia"/>
                <w:b/>
                <w:bCs/>
                <w:szCs w:val="21"/>
              </w:rPr>
              <w:t>）</w:t>
            </w:r>
          </w:p>
        </w:tc>
        <w:tc>
          <w:tcPr>
            <w:tcW w:w="1503" w:type="pct"/>
            <w:vAlign w:val="center"/>
          </w:tcPr>
          <w:p w14:paraId="7C6EB88A" w14:textId="77777777" w:rsidR="00B14D53" w:rsidRDefault="00000000">
            <w:pPr>
              <w:contextualSpacing/>
              <w:jc w:val="center"/>
              <w:rPr>
                <w:rFonts w:eastAsiaTheme="minorEastAsia"/>
                <w:b/>
                <w:bCs/>
                <w:szCs w:val="21"/>
              </w:rPr>
            </w:pPr>
            <w:r>
              <w:rPr>
                <w:rFonts w:eastAsiaTheme="minorEastAsia" w:hAnsiTheme="minorEastAsia"/>
                <w:b/>
                <w:bCs/>
                <w:szCs w:val="21"/>
              </w:rPr>
              <w:t>浓度</w:t>
            </w:r>
            <w:r>
              <w:rPr>
                <w:rFonts w:eastAsiaTheme="minorEastAsia" w:hAnsiTheme="minorEastAsia" w:hint="eastAsia"/>
                <w:b/>
                <w:bCs/>
                <w:szCs w:val="21"/>
              </w:rPr>
              <w:t>(</w:t>
            </w:r>
            <w:r>
              <w:rPr>
                <w:rFonts w:eastAsiaTheme="minorEastAsia"/>
                <w:b/>
                <w:bCs/>
                <w:szCs w:val="21"/>
              </w:rPr>
              <w:t>mg/L</w:t>
            </w:r>
            <w:r>
              <w:rPr>
                <w:rFonts w:eastAsiaTheme="minorEastAsia" w:hint="eastAsia"/>
                <w:b/>
                <w:bCs/>
                <w:szCs w:val="21"/>
              </w:rPr>
              <w:t>)</w:t>
            </w:r>
          </w:p>
        </w:tc>
        <w:tc>
          <w:tcPr>
            <w:tcW w:w="999" w:type="pct"/>
            <w:vAlign w:val="center"/>
          </w:tcPr>
          <w:p w14:paraId="3EAA7734" w14:textId="77777777" w:rsidR="00B14D53" w:rsidRDefault="00000000">
            <w:pPr>
              <w:contextualSpacing/>
              <w:jc w:val="center"/>
              <w:rPr>
                <w:rFonts w:eastAsiaTheme="minorEastAsia"/>
                <w:b/>
                <w:bCs/>
                <w:szCs w:val="21"/>
              </w:rPr>
            </w:pPr>
            <w:r>
              <w:rPr>
                <w:rFonts w:eastAsiaTheme="minorEastAsia" w:hAnsiTheme="minorEastAsia"/>
                <w:b/>
                <w:bCs/>
                <w:szCs w:val="21"/>
              </w:rPr>
              <w:t>距离（</w:t>
            </w:r>
            <w:r>
              <w:rPr>
                <w:rFonts w:eastAsiaTheme="minorEastAsia"/>
                <w:b/>
                <w:bCs/>
                <w:szCs w:val="21"/>
              </w:rPr>
              <w:t>m</w:t>
            </w:r>
            <w:r>
              <w:rPr>
                <w:rFonts w:eastAsiaTheme="minorEastAsia" w:hAnsiTheme="minorEastAsia"/>
                <w:b/>
                <w:bCs/>
                <w:szCs w:val="21"/>
              </w:rPr>
              <w:t>）</w:t>
            </w:r>
          </w:p>
        </w:tc>
        <w:tc>
          <w:tcPr>
            <w:tcW w:w="1499" w:type="pct"/>
            <w:vAlign w:val="center"/>
          </w:tcPr>
          <w:p w14:paraId="2CABD40B" w14:textId="77777777" w:rsidR="00B14D53" w:rsidRDefault="00000000">
            <w:pPr>
              <w:contextualSpacing/>
              <w:jc w:val="center"/>
              <w:rPr>
                <w:rFonts w:eastAsiaTheme="minorEastAsia"/>
                <w:b/>
                <w:bCs/>
                <w:szCs w:val="21"/>
              </w:rPr>
            </w:pPr>
            <w:r>
              <w:rPr>
                <w:rFonts w:eastAsiaTheme="minorEastAsia" w:hAnsiTheme="minorEastAsia"/>
                <w:b/>
                <w:bCs/>
                <w:szCs w:val="21"/>
              </w:rPr>
              <w:t>浓度</w:t>
            </w:r>
            <w:r>
              <w:rPr>
                <w:rFonts w:eastAsiaTheme="minorEastAsia" w:hAnsiTheme="minorEastAsia" w:hint="eastAsia"/>
                <w:b/>
                <w:bCs/>
                <w:szCs w:val="21"/>
              </w:rPr>
              <w:t>(</w:t>
            </w:r>
            <w:r>
              <w:rPr>
                <w:rFonts w:eastAsiaTheme="minorEastAsia"/>
                <w:b/>
                <w:bCs/>
                <w:szCs w:val="21"/>
              </w:rPr>
              <w:t>mg/L</w:t>
            </w:r>
            <w:r>
              <w:rPr>
                <w:rFonts w:eastAsiaTheme="minorEastAsia" w:hint="eastAsia"/>
                <w:b/>
                <w:bCs/>
                <w:szCs w:val="21"/>
              </w:rPr>
              <w:t>)</w:t>
            </w:r>
          </w:p>
        </w:tc>
      </w:tr>
      <w:tr w:rsidR="00B14D53" w14:paraId="6DE5B969" w14:textId="77777777">
        <w:trPr>
          <w:cantSplit/>
          <w:trHeight w:val="348"/>
        </w:trPr>
        <w:tc>
          <w:tcPr>
            <w:tcW w:w="997" w:type="pct"/>
            <w:vAlign w:val="center"/>
          </w:tcPr>
          <w:p w14:paraId="2D90BEC2" w14:textId="77777777" w:rsidR="00B14D53" w:rsidRDefault="00000000">
            <w:pPr>
              <w:contextualSpacing/>
              <w:jc w:val="center"/>
              <w:rPr>
                <w:rFonts w:eastAsiaTheme="minorEastAsia"/>
                <w:szCs w:val="21"/>
              </w:rPr>
            </w:pPr>
            <w:r>
              <w:rPr>
                <w:rFonts w:eastAsiaTheme="minorEastAsia"/>
                <w:szCs w:val="21"/>
              </w:rPr>
              <w:t>0</w:t>
            </w:r>
          </w:p>
        </w:tc>
        <w:tc>
          <w:tcPr>
            <w:tcW w:w="1503" w:type="pct"/>
            <w:vAlign w:val="center"/>
          </w:tcPr>
          <w:p w14:paraId="24F2D29F" w14:textId="77777777" w:rsidR="00B14D53" w:rsidRDefault="00000000">
            <w:pPr>
              <w:contextualSpacing/>
              <w:jc w:val="center"/>
              <w:rPr>
                <w:rFonts w:eastAsiaTheme="minorEastAsia"/>
                <w:szCs w:val="21"/>
              </w:rPr>
            </w:pPr>
            <w:r>
              <w:rPr>
                <w:rFonts w:eastAsiaTheme="minorEastAsia" w:hint="eastAsia"/>
                <w:szCs w:val="21"/>
              </w:rPr>
              <w:t>121</w:t>
            </w:r>
          </w:p>
        </w:tc>
        <w:tc>
          <w:tcPr>
            <w:tcW w:w="999" w:type="pct"/>
            <w:vAlign w:val="center"/>
          </w:tcPr>
          <w:p w14:paraId="1286F5CE" w14:textId="77777777" w:rsidR="00B14D53" w:rsidRDefault="00000000">
            <w:pPr>
              <w:contextualSpacing/>
              <w:jc w:val="center"/>
              <w:rPr>
                <w:rFonts w:eastAsiaTheme="minorEastAsia"/>
                <w:szCs w:val="21"/>
              </w:rPr>
            </w:pPr>
            <w:r>
              <w:rPr>
                <w:rFonts w:eastAsiaTheme="minorEastAsia"/>
                <w:kern w:val="0"/>
                <w:szCs w:val="21"/>
              </w:rPr>
              <w:t>0</w:t>
            </w:r>
          </w:p>
        </w:tc>
        <w:tc>
          <w:tcPr>
            <w:tcW w:w="1499" w:type="pct"/>
            <w:vAlign w:val="center"/>
          </w:tcPr>
          <w:p w14:paraId="5E90A3B8" w14:textId="77777777" w:rsidR="00B14D53" w:rsidRDefault="00000000">
            <w:pPr>
              <w:contextualSpacing/>
              <w:jc w:val="center"/>
              <w:rPr>
                <w:rFonts w:eastAsiaTheme="minorEastAsia"/>
                <w:szCs w:val="21"/>
              </w:rPr>
            </w:pPr>
            <w:r>
              <w:rPr>
                <w:rFonts w:eastAsiaTheme="minorEastAsia" w:hint="eastAsia"/>
                <w:szCs w:val="21"/>
              </w:rPr>
              <w:t>121</w:t>
            </w:r>
          </w:p>
        </w:tc>
      </w:tr>
      <w:tr w:rsidR="00B14D53" w14:paraId="72F2CCE2" w14:textId="77777777">
        <w:trPr>
          <w:cantSplit/>
          <w:trHeight w:val="348"/>
        </w:trPr>
        <w:tc>
          <w:tcPr>
            <w:tcW w:w="997" w:type="pct"/>
            <w:vAlign w:val="center"/>
          </w:tcPr>
          <w:p w14:paraId="2106DCBE" w14:textId="77777777" w:rsidR="00B14D53" w:rsidRDefault="00000000">
            <w:pPr>
              <w:contextualSpacing/>
              <w:jc w:val="center"/>
              <w:rPr>
                <w:rFonts w:eastAsiaTheme="minorEastAsia"/>
                <w:szCs w:val="21"/>
              </w:rPr>
            </w:pPr>
            <w:r>
              <w:rPr>
                <w:rFonts w:eastAsiaTheme="minorEastAsia" w:hint="eastAsia"/>
                <w:szCs w:val="21"/>
              </w:rPr>
              <w:t>10</w:t>
            </w:r>
          </w:p>
        </w:tc>
        <w:tc>
          <w:tcPr>
            <w:tcW w:w="1503" w:type="pct"/>
            <w:vAlign w:val="center"/>
          </w:tcPr>
          <w:p w14:paraId="1F4F3892" w14:textId="77777777" w:rsidR="00B14D53" w:rsidRDefault="00000000">
            <w:pPr>
              <w:contextualSpacing/>
              <w:jc w:val="center"/>
              <w:rPr>
                <w:rFonts w:eastAsiaTheme="minorEastAsia"/>
                <w:szCs w:val="21"/>
              </w:rPr>
            </w:pPr>
            <w:r>
              <w:rPr>
                <w:rFonts w:eastAsiaTheme="minorEastAsia" w:hint="eastAsia"/>
                <w:szCs w:val="21"/>
              </w:rPr>
              <w:t>39.01638</w:t>
            </w:r>
          </w:p>
        </w:tc>
        <w:tc>
          <w:tcPr>
            <w:tcW w:w="999" w:type="pct"/>
            <w:vAlign w:val="center"/>
          </w:tcPr>
          <w:p w14:paraId="3D3A00D2" w14:textId="77777777" w:rsidR="00B14D53" w:rsidRDefault="00000000">
            <w:pPr>
              <w:contextualSpacing/>
              <w:jc w:val="center"/>
              <w:rPr>
                <w:rFonts w:eastAsiaTheme="minorEastAsia"/>
                <w:szCs w:val="21"/>
              </w:rPr>
            </w:pPr>
            <w:r>
              <w:rPr>
                <w:rFonts w:eastAsiaTheme="minorEastAsia" w:hint="eastAsia"/>
                <w:szCs w:val="21"/>
              </w:rPr>
              <w:t>10</w:t>
            </w:r>
          </w:p>
        </w:tc>
        <w:tc>
          <w:tcPr>
            <w:tcW w:w="1499" w:type="pct"/>
            <w:vAlign w:val="center"/>
          </w:tcPr>
          <w:p w14:paraId="753E5293" w14:textId="77777777" w:rsidR="00B14D53" w:rsidRDefault="00000000">
            <w:pPr>
              <w:contextualSpacing/>
              <w:jc w:val="center"/>
              <w:rPr>
                <w:rFonts w:eastAsiaTheme="minorEastAsia"/>
                <w:szCs w:val="21"/>
              </w:rPr>
            </w:pPr>
            <w:r>
              <w:rPr>
                <w:rFonts w:eastAsiaTheme="minorEastAsia" w:hint="eastAsia"/>
                <w:szCs w:val="21"/>
              </w:rPr>
              <w:t>120.2372</w:t>
            </w:r>
          </w:p>
        </w:tc>
      </w:tr>
      <w:tr w:rsidR="00B14D53" w14:paraId="1E91AEAD" w14:textId="77777777">
        <w:trPr>
          <w:cantSplit/>
          <w:trHeight w:val="348"/>
        </w:trPr>
        <w:tc>
          <w:tcPr>
            <w:tcW w:w="997" w:type="pct"/>
            <w:vAlign w:val="center"/>
          </w:tcPr>
          <w:p w14:paraId="67AAE120" w14:textId="77777777" w:rsidR="00B14D53" w:rsidRDefault="00000000">
            <w:pPr>
              <w:contextualSpacing/>
              <w:jc w:val="center"/>
              <w:rPr>
                <w:rFonts w:eastAsiaTheme="minorEastAsia"/>
                <w:szCs w:val="21"/>
              </w:rPr>
            </w:pPr>
            <w:r>
              <w:rPr>
                <w:rFonts w:eastAsiaTheme="minorEastAsia" w:hint="eastAsia"/>
                <w:szCs w:val="21"/>
              </w:rPr>
              <w:t>2</w:t>
            </w:r>
            <w:r>
              <w:rPr>
                <w:rFonts w:eastAsiaTheme="minorEastAsia"/>
                <w:szCs w:val="21"/>
              </w:rPr>
              <w:t>0</w:t>
            </w:r>
          </w:p>
        </w:tc>
        <w:tc>
          <w:tcPr>
            <w:tcW w:w="1503" w:type="pct"/>
            <w:vAlign w:val="center"/>
          </w:tcPr>
          <w:p w14:paraId="218B7F8A" w14:textId="77777777" w:rsidR="00B14D53" w:rsidRDefault="00000000">
            <w:pPr>
              <w:contextualSpacing/>
              <w:jc w:val="center"/>
              <w:rPr>
                <w:rFonts w:eastAsiaTheme="minorEastAsia"/>
                <w:szCs w:val="21"/>
              </w:rPr>
            </w:pPr>
            <w:r>
              <w:rPr>
                <w:rFonts w:eastAsiaTheme="minorEastAsia" w:hint="eastAsia"/>
                <w:szCs w:val="21"/>
              </w:rPr>
              <w:t>1.764936</w:t>
            </w:r>
          </w:p>
        </w:tc>
        <w:tc>
          <w:tcPr>
            <w:tcW w:w="999" w:type="pct"/>
            <w:vAlign w:val="center"/>
          </w:tcPr>
          <w:p w14:paraId="7FA88EB8" w14:textId="77777777" w:rsidR="00B14D53" w:rsidRDefault="00000000">
            <w:pPr>
              <w:contextualSpacing/>
              <w:jc w:val="center"/>
              <w:rPr>
                <w:rFonts w:eastAsiaTheme="minorEastAsia"/>
                <w:szCs w:val="21"/>
              </w:rPr>
            </w:pPr>
            <w:r>
              <w:rPr>
                <w:rFonts w:eastAsiaTheme="minorEastAsia" w:hint="eastAsia"/>
                <w:szCs w:val="21"/>
              </w:rPr>
              <w:t>2</w:t>
            </w:r>
            <w:r>
              <w:rPr>
                <w:rFonts w:eastAsiaTheme="minorEastAsia"/>
                <w:szCs w:val="21"/>
              </w:rPr>
              <w:t>0</w:t>
            </w:r>
          </w:p>
        </w:tc>
        <w:tc>
          <w:tcPr>
            <w:tcW w:w="1499" w:type="pct"/>
            <w:vAlign w:val="center"/>
          </w:tcPr>
          <w:p w14:paraId="007834E4" w14:textId="77777777" w:rsidR="00B14D53" w:rsidRDefault="00000000">
            <w:pPr>
              <w:contextualSpacing/>
              <w:jc w:val="center"/>
              <w:rPr>
                <w:rFonts w:eastAsiaTheme="minorEastAsia"/>
                <w:szCs w:val="21"/>
              </w:rPr>
            </w:pPr>
            <w:r>
              <w:rPr>
                <w:rFonts w:eastAsiaTheme="minorEastAsia" w:hint="eastAsia"/>
                <w:szCs w:val="21"/>
              </w:rPr>
              <w:t>117.0947</w:t>
            </w:r>
          </w:p>
        </w:tc>
      </w:tr>
      <w:tr w:rsidR="00B14D53" w14:paraId="6CBEF1CC" w14:textId="77777777">
        <w:trPr>
          <w:cantSplit/>
          <w:trHeight w:val="348"/>
        </w:trPr>
        <w:tc>
          <w:tcPr>
            <w:tcW w:w="997" w:type="pct"/>
            <w:vAlign w:val="center"/>
          </w:tcPr>
          <w:p w14:paraId="55E6DDE4" w14:textId="77777777" w:rsidR="00B14D53" w:rsidRDefault="00000000">
            <w:pPr>
              <w:contextualSpacing/>
              <w:jc w:val="center"/>
              <w:rPr>
                <w:rFonts w:eastAsiaTheme="minorEastAsia"/>
                <w:szCs w:val="21"/>
              </w:rPr>
            </w:pPr>
            <w:r>
              <w:rPr>
                <w:rFonts w:eastAsiaTheme="minorEastAsia" w:hint="eastAsia"/>
                <w:szCs w:val="21"/>
              </w:rPr>
              <w:t>22</w:t>
            </w:r>
          </w:p>
        </w:tc>
        <w:tc>
          <w:tcPr>
            <w:tcW w:w="1503" w:type="pct"/>
            <w:vAlign w:val="center"/>
          </w:tcPr>
          <w:p w14:paraId="14DB5E44" w14:textId="77777777" w:rsidR="00B14D53" w:rsidRDefault="00000000">
            <w:pPr>
              <w:contextualSpacing/>
              <w:jc w:val="center"/>
              <w:rPr>
                <w:rFonts w:eastAsiaTheme="minorEastAsia"/>
                <w:szCs w:val="21"/>
              </w:rPr>
            </w:pPr>
            <w:r>
              <w:rPr>
                <w:rFonts w:eastAsiaTheme="minorEastAsia" w:hint="eastAsia"/>
                <w:szCs w:val="21"/>
              </w:rPr>
              <w:t>0.7257496</w:t>
            </w:r>
          </w:p>
        </w:tc>
        <w:tc>
          <w:tcPr>
            <w:tcW w:w="999" w:type="pct"/>
            <w:vAlign w:val="center"/>
          </w:tcPr>
          <w:p w14:paraId="3EBC1E2F" w14:textId="77777777" w:rsidR="00B14D53" w:rsidRDefault="00000000">
            <w:pPr>
              <w:contextualSpacing/>
              <w:jc w:val="center"/>
              <w:rPr>
                <w:rFonts w:eastAsiaTheme="minorEastAsia"/>
                <w:szCs w:val="21"/>
              </w:rPr>
            </w:pPr>
            <w:r>
              <w:rPr>
                <w:rFonts w:eastAsiaTheme="minorEastAsia" w:hint="eastAsia"/>
                <w:szCs w:val="21"/>
              </w:rPr>
              <w:t>3</w:t>
            </w:r>
            <w:r>
              <w:rPr>
                <w:rFonts w:eastAsiaTheme="minorEastAsia"/>
                <w:szCs w:val="21"/>
              </w:rPr>
              <w:t>0</w:t>
            </w:r>
          </w:p>
        </w:tc>
        <w:tc>
          <w:tcPr>
            <w:tcW w:w="1499" w:type="pct"/>
            <w:vAlign w:val="center"/>
          </w:tcPr>
          <w:p w14:paraId="51DED5DA" w14:textId="77777777" w:rsidR="00B14D53" w:rsidRDefault="00000000">
            <w:pPr>
              <w:contextualSpacing/>
              <w:jc w:val="center"/>
              <w:rPr>
                <w:rFonts w:eastAsiaTheme="minorEastAsia"/>
                <w:szCs w:val="21"/>
              </w:rPr>
            </w:pPr>
            <w:r>
              <w:rPr>
                <w:rFonts w:eastAsiaTheme="minorEastAsia" w:hint="eastAsia"/>
                <w:szCs w:val="21"/>
              </w:rPr>
              <w:t>108.7348</w:t>
            </w:r>
          </w:p>
        </w:tc>
      </w:tr>
      <w:tr w:rsidR="00B14D53" w14:paraId="366D49BE" w14:textId="77777777">
        <w:trPr>
          <w:cantSplit/>
          <w:trHeight w:val="348"/>
        </w:trPr>
        <w:tc>
          <w:tcPr>
            <w:tcW w:w="997" w:type="pct"/>
            <w:vAlign w:val="center"/>
          </w:tcPr>
          <w:p w14:paraId="744F04A2" w14:textId="77777777" w:rsidR="00B14D53" w:rsidRDefault="00000000">
            <w:pPr>
              <w:contextualSpacing/>
              <w:jc w:val="center"/>
              <w:rPr>
                <w:rFonts w:eastAsiaTheme="minorEastAsia"/>
                <w:szCs w:val="21"/>
              </w:rPr>
            </w:pPr>
            <w:r>
              <w:rPr>
                <w:rFonts w:eastAsiaTheme="minorEastAsia" w:hint="eastAsia"/>
                <w:szCs w:val="21"/>
              </w:rPr>
              <w:t>23</w:t>
            </w:r>
          </w:p>
        </w:tc>
        <w:tc>
          <w:tcPr>
            <w:tcW w:w="1503" w:type="pct"/>
            <w:vAlign w:val="center"/>
          </w:tcPr>
          <w:p w14:paraId="1671BFDA" w14:textId="77777777" w:rsidR="00B14D53" w:rsidRDefault="00000000">
            <w:pPr>
              <w:contextualSpacing/>
              <w:jc w:val="center"/>
              <w:rPr>
                <w:rFonts w:eastAsiaTheme="minorEastAsia"/>
                <w:szCs w:val="21"/>
              </w:rPr>
            </w:pPr>
            <w:r>
              <w:rPr>
                <w:rFonts w:eastAsiaTheme="minorEastAsia" w:hint="eastAsia"/>
                <w:szCs w:val="21"/>
              </w:rPr>
              <w:t>0.4494385</w:t>
            </w:r>
          </w:p>
        </w:tc>
        <w:tc>
          <w:tcPr>
            <w:tcW w:w="999" w:type="pct"/>
            <w:vAlign w:val="center"/>
          </w:tcPr>
          <w:p w14:paraId="24D9D18F" w14:textId="77777777" w:rsidR="00B14D53" w:rsidRDefault="00000000">
            <w:pPr>
              <w:contextualSpacing/>
              <w:jc w:val="center"/>
              <w:rPr>
                <w:rFonts w:eastAsiaTheme="minorEastAsia"/>
                <w:szCs w:val="21"/>
              </w:rPr>
            </w:pPr>
            <w:r>
              <w:rPr>
                <w:rFonts w:eastAsiaTheme="minorEastAsia" w:hint="eastAsia"/>
                <w:bCs/>
                <w:szCs w:val="21"/>
              </w:rPr>
              <w:t>4</w:t>
            </w:r>
            <w:r>
              <w:rPr>
                <w:rFonts w:eastAsiaTheme="minorEastAsia"/>
                <w:bCs/>
                <w:szCs w:val="21"/>
              </w:rPr>
              <w:t>0</w:t>
            </w:r>
          </w:p>
        </w:tc>
        <w:tc>
          <w:tcPr>
            <w:tcW w:w="1499" w:type="pct"/>
            <w:vAlign w:val="center"/>
          </w:tcPr>
          <w:p w14:paraId="534919BD" w14:textId="77777777" w:rsidR="00B14D53" w:rsidRDefault="00000000">
            <w:pPr>
              <w:contextualSpacing/>
              <w:jc w:val="center"/>
              <w:rPr>
                <w:rFonts w:eastAsiaTheme="minorEastAsia"/>
                <w:szCs w:val="21"/>
              </w:rPr>
            </w:pPr>
            <w:r>
              <w:rPr>
                <w:rFonts w:eastAsiaTheme="minorEastAsia" w:hint="eastAsia"/>
                <w:szCs w:val="21"/>
              </w:rPr>
              <w:t>92.73079</w:t>
            </w:r>
          </w:p>
        </w:tc>
      </w:tr>
      <w:tr w:rsidR="00B14D53" w14:paraId="1D9217F5" w14:textId="77777777">
        <w:trPr>
          <w:cantSplit/>
          <w:trHeight w:val="348"/>
        </w:trPr>
        <w:tc>
          <w:tcPr>
            <w:tcW w:w="997" w:type="pct"/>
            <w:vAlign w:val="center"/>
          </w:tcPr>
          <w:p w14:paraId="19B2CEF3" w14:textId="77777777" w:rsidR="00B14D53" w:rsidRDefault="00000000">
            <w:pPr>
              <w:contextualSpacing/>
              <w:jc w:val="center"/>
              <w:rPr>
                <w:rFonts w:eastAsiaTheme="minorEastAsia"/>
                <w:szCs w:val="21"/>
              </w:rPr>
            </w:pPr>
            <w:r>
              <w:rPr>
                <w:rFonts w:eastAsiaTheme="minorEastAsia" w:hAnsiTheme="minorEastAsia" w:hint="eastAsia"/>
                <w:szCs w:val="21"/>
              </w:rPr>
              <w:t>30</w:t>
            </w:r>
          </w:p>
        </w:tc>
        <w:tc>
          <w:tcPr>
            <w:tcW w:w="1503" w:type="pct"/>
            <w:vAlign w:val="center"/>
          </w:tcPr>
          <w:p w14:paraId="7BB9FA58" w14:textId="77777777" w:rsidR="00B14D53" w:rsidRDefault="00000000">
            <w:pPr>
              <w:contextualSpacing/>
              <w:jc w:val="center"/>
              <w:rPr>
                <w:rFonts w:eastAsiaTheme="minorEastAsia"/>
                <w:szCs w:val="21"/>
              </w:rPr>
            </w:pPr>
            <w:r>
              <w:rPr>
                <w:rFonts w:eastAsiaTheme="minorEastAsia" w:hint="eastAsia"/>
                <w:szCs w:val="21"/>
              </w:rPr>
              <w:t>0.008107103</w:t>
            </w:r>
          </w:p>
        </w:tc>
        <w:tc>
          <w:tcPr>
            <w:tcW w:w="999" w:type="pct"/>
            <w:vAlign w:val="center"/>
          </w:tcPr>
          <w:p w14:paraId="28C5F968" w14:textId="77777777" w:rsidR="00B14D53" w:rsidRDefault="00000000">
            <w:pPr>
              <w:contextualSpacing/>
              <w:jc w:val="center"/>
              <w:rPr>
                <w:rFonts w:eastAsiaTheme="minorEastAsia"/>
                <w:szCs w:val="21"/>
              </w:rPr>
            </w:pPr>
            <w:r>
              <w:rPr>
                <w:rFonts w:eastAsiaTheme="minorEastAsia" w:hint="eastAsia"/>
                <w:szCs w:val="21"/>
              </w:rPr>
              <w:t>5</w:t>
            </w:r>
            <w:r>
              <w:rPr>
                <w:rFonts w:eastAsiaTheme="minorEastAsia"/>
                <w:szCs w:val="21"/>
              </w:rPr>
              <w:t>0</w:t>
            </w:r>
          </w:p>
        </w:tc>
        <w:tc>
          <w:tcPr>
            <w:tcW w:w="1499" w:type="pct"/>
            <w:vAlign w:val="center"/>
          </w:tcPr>
          <w:p w14:paraId="4DFDD2F0" w14:textId="77777777" w:rsidR="00B14D53" w:rsidRDefault="00000000">
            <w:pPr>
              <w:contextualSpacing/>
              <w:jc w:val="center"/>
              <w:rPr>
                <w:rFonts w:eastAsiaTheme="minorEastAsia"/>
                <w:szCs w:val="21"/>
              </w:rPr>
            </w:pPr>
            <w:r>
              <w:rPr>
                <w:rFonts w:eastAsiaTheme="minorEastAsia" w:hint="eastAsia"/>
                <w:szCs w:val="21"/>
              </w:rPr>
              <w:t>69.82196</w:t>
            </w:r>
          </w:p>
        </w:tc>
      </w:tr>
      <w:tr w:rsidR="00B14D53" w14:paraId="16D96753" w14:textId="77777777">
        <w:trPr>
          <w:cantSplit/>
          <w:trHeight w:val="348"/>
        </w:trPr>
        <w:tc>
          <w:tcPr>
            <w:tcW w:w="997" w:type="pct"/>
            <w:vAlign w:val="center"/>
          </w:tcPr>
          <w:p w14:paraId="08ADD285" w14:textId="77777777" w:rsidR="00B14D53" w:rsidRDefault="00000000">
            <w:pPr>
              <w:contextualSpacing/>
              <w:jc w:val="center"/>
              <w:rPr>
                <w:rFonts w:eastAsiaTheme="minorEastAsia"/>
                <w:szCs w:val="21"/>
              </w:rPr>
            </w:pPr>
            <w:r>
              <w:rPr>
                <w:rFonts w:eastAsiaTheme="minorEastAsia" w:hAnsiTheme="minorEastAsia" w:hint="eastAsia"/>
                <w:szCs w:val="21"/>
              </w:rPr>
              <w:t>40</w:t>
            </w:r>
          </w:p>
        </w:tc>
        <w:tc>
          <w:tcPr>
            <w:tcW w:w="1503" w:type="pct"/>
            <w:vAlign w:val="center"/>
          </w:tcPr>
          <w:p w14:paraId="0F71FADB" w14:textId="77777777" w:rsidR="00B14D53" w:rsidRDefault="00000000">
            <w:pPr>
              <w:contextualSpacing/>
              <w:jc w:val="center"/>
              <w:rPr>
                <w:rFonts w:eastAsiaTheme="minorEastAsia"/>
                <w:szCs w:val="21"/>
              </w:rPr>
            </w:pPr>
            <w:r>
              <w:rPr>
                <w:rFonts w:eastAsiaTheme="minorEastAsia" w:hint="eastAsia"/>
                <w:szCs w:val="21"/>
              </w:rPr>
              <w:t>3.517362E-06</w:t>
            </w:r>
          </w:p>
        </w:tc>
        <w:tc>
          <w:tcPr>
            <w:tcW w:w="999" w:type="pct"/>
            <w:vAlign w:val="center"/>
          </w:tcPr>
          <w:p w14:paraId="22B1626D" w14:textId="77777777" w:rsidR="00B14D53" w:rsidRDefault="00000000">
            <w:pPr>
              <w:contextualSpacing/>
              <w:jc w:val="center"/>
              <w:rPr>
                <w:rFonts w:eastAsiaTheme="minorEastAsia"/>
                <w:szCs w:val="21"/>
              </w:rPr>
            </w:pPr>
            <w:r>
              <w:rPr>
                <w:rFonts w:eastAsiaTheme="minorEastAsia" w:hint="eastAsia"/>
                <w:szCs w:val="21"/>
              </w:rPr>
              <w:t>6</w:t>
            </w:r>
            <w:r>
              <w:rPr>
                <w:rFonts w:eastAsiaTheme="minorEastAsia"/>
                <w:szCs w:val="21"/>
              </w:rPr>
              <w:t>0</w:t>
            </w:r>
          </w:p>
        </w:tc>
        <w:tc>
          <w:tcPr>
            <w:tcW w:w="1499" w:type="pct"/>
            <w:vAlign w:val="center"/>
          </w:tcPr>
          <w:p w14:paraId="0A19B24A" w14:textId="77777777" w:rsidR="00B14D53" w:rsidRDefault="00000000">
            <w:pPr>
              <w:contextualSpacing/>
              <w:jc w:val="center"/>
              <w:rPr>
                <w:rFonts w:eastAsiaTheme="minorEastAsia"/>
                <w:szCs w:val="21"/>
              </w:rPr>
            </w:pPr>
            <w:r>
              <w:rPr>
                <w:rFonts w:eastAsiaTheme="minorEastAsia" w:hint="eastAsia"/>
                <w:szCs w:val="21"/>
              </w:rPr>
              <w:t>44.86291</w:t>
            </w:r>
          </w:p>
        </w:tc>
      </w:tr>
      <w:tr w:rsidR="00B14D53" w14:paraId="732C8432" w14:textId="77777777">
        <w:trPr>
          <w:cantSplit/>
          <w:trHeight w:val="348"/>
        </w:trPr>
        <w:tc>
          <w:tcPr>
            <w:tcW w:w="997" w:type="pct"/>
            <w:vAlign w:val="center"/>
          </w:tcPr>
          <w:p w14:paraId="2D5D9599" w14:textId="77777777" w:rsidR="00B14D53" w:rsidRDefault="00000000">
            <w:pPr>
              <w:contextualSpacing/>
              <w:jc w:val="center"/>
              <w:rPr>
                <w:rFonts w:eastAsiaTheme="minorEastAsia"/>
                <w:szCs w:val="21"/>
              </w:rPr>
            </w:pPr>
            <w:r>
              <w:rPr>
                <w:rFonts w:eastAsiaTheme="minorEastAsia" w:hAnsiTheme="minorEastAsia" w:hint="eastAsia"/>
                <w:szCs w:val="21"/>
              </w:rPr>
              <w:t>50</w:t>
            </w:r>
          </w:p>
        </w:tc>
        <w:tc>
          <w:tcPr>
            <w:tcW w:w="1503" w:type="pct"/>
            <w:vAlign w:val="center"/>
          </w:tcPr>
          <w:p w14:paraId="7A40DC21" w14:textId="77777777" w:rsidR="00B14D53" w:rsidRDefault="00000000">
            <w:pPr>
              <w:contextualSpacing/>
              <w:jc w:val="center"/>
              <w:rPr>
                <w:rFonts w:eastAsiaTheme="minorEastAsia"/>
                <w:szCs w:val="21"/>
              </w:rPr>
            </w:pPr>
            <w:r>
              <w:rPr>
                <w:rFonts w:eastAsiaTheme="minorEastAsia" w:hint="eastAsia"/>
                <w:szCs w:val="21"/>
              </w:rPr>
              <w:t>7.348905E-11</w:t>
            </w:r>
          </w:p>
        </w:tc>
        <w:tc>
          <w:tcPr>
            <w:tcW w:w="999" w:type="pct"/>
            <w:vAlign w:val="center"/>
          </w:tcPr>
          <w:p w14:paraId="2549DE1E" w14:textId="77777777" w:rsidR="00B14D53" w:rsidRDefault="00000000">
            <w:pPr>
              <w:contextualSpacing/>
              <w:jc w:val="center"/>
              <w:rPr>
                <w:rFonts w:eastAsiaTheme="minorEastAsia"/>
                <w:szCs w:val="21"/>
              </w:rPr>
            </w:pPr>
            <w:r>
              <w:rPr>
                <w:rFonts w:eastAsiaTheme="minorEastAsia" w:hint="eastAsia"/>
                <w:szCs w:val="21"/>
              </w:rPr>
              <w:t>7</w:t>
            </w:r>
            <w:r>
              <w:rPr>
                <w:rFonts w:eastAsiaTheme="minorEastAsia"/>
                <w:szCs w:val="21"/>
              </w:rPr>
              <w:t>0</w:t>
            </w:r>
          </w:p>
        </w:tc>
        <w:tc>
          <w:tcPr>
            <w:tcW w:w="1499" w:type="pct"/>
            <w:vAlign w:val="center"/>
          </w:tcPr>
          <w:p w14:paraId="1DDAEFC1" w14:textId="77777777" w:rsidR="00B14D53" w:rsidRDefault="00000000">
            <w:pPr>
              <w:contextualSpacing/>
              <w:jc w:val="center"/>
              <w:rPr>
                <w:rFonts w:eastAsiaTheme="minorEastAsia"/>
                <w:szCs w:val="21"/>
              </w:rPr>
            </w:pPr>
            <w:r>
              <w:rPr>
                <w:rFonts w:eastAsiaTheme="minorEastAsia" w:hint="eastAsia"/>
                <w:szCs w:val="21"/>
              </w:rPr>
              <w:t>23.96849</w:t>
            </w:r>
          </w:p>
        </w:tc>
      </w:tr>
      <w:tr w:rsidR="00B14D53" w14:paraId="5476AA03" w14:textId="77777777">
        <w:trPr>
          <w:cantSplit/>
          <w:trHeight w:val="348"/>
        </w:trPr>
        <w:tc>
          <w:tcPr>
            <w:tcW w:w="997" w:type="pct"/>
            <w:vAlign w:val="center"/>
          </w:tcPr>
          <w:p w14:paraId="0DD85E24" w14:textId="77777777" w:rsidR="00B14D53" w:rsidRDefault="00000000">
            <w:pPr>
              <w:contextualSpacing/>
              <w:jc w:val="center"/>
              <w:rPr>
                <w:rFonts w:eastAsiaTheme="minorEastAsia"/>
                <w:szCs w:val="21"/>
              </w:rPr>
            </w:pPr>
            <w:r>
              <w:rPr>
                <w:rFonts w:eastAsiaTheme="minorEastAsia" w:hAnsiTheme="minorEastAsia" w:hint="eastAsia"/>
                <w:szCs w:val="21"/>
              </w:rPr>
              <w:t>58</w:t>
            </w:r>
          </w:p>
        </w:tc>
        <w:tc>
          <w:tcPr>
            <w:tcW w:w="1503" w:type="pct"/>
            <w:vAlign w:val="center"/>
          </w:tcPr>
          <w:p w14:paraId="40A034D0" w14:textId="77777777" w:rsidR="00B14D53" w:rsidRDefault="00000000">
            <w:pPr>
              <w:contextualSpacing/>
              <w:jc w:val="center"/>
              <w:rPr>
                <w:rFonts w:eastAsiaTheme="minorEastAsia"/>
                <w:szCs w:val="21"/>
              </w:rPr>
            </w:pPr>
            <w:r>
              <w:rPr>
                <w:rFonts w:eastAsiaTheme="minorEastAsia" w:hint="eastAsia"/>
                <w:szCs w:val="21"/>
              </w:rPr>
              <w:t>6.716849E-15</w:t>
            </w:r>
          </w:p>
        </w:tc>
        <w:tc>
          <w:tcPr>
            <w:tcW w:w="999" w:type="pct"/>
            <w:vAlign w:val="center"/>
          </w:tcPr>
          <w:p w14:paraId="5D16F012" w14:textId="77777777" w:rsidR="00B14D53" w:rsidRDefault="00000000">
            <w:pPr>
              <w:contextualSpacing/>
              <w:jc w:val="center"/>
              <w:rPr>
                <w:rFonts w:eastAsiaTheme="minorEastAsia"/>
                <w:szCs w:val="21"/>
              </w:rPr>
            </w:pPr>
            <w:r>
              <w:rPr>
                <w:rFonts w:eastAsiaTheme="minorEastAsia" w:hint="eastAsia"/>
                <w:szCs w:val="21"/>
              </w:rPr>
              <w:t>8</w:t>
            </w:r>
            <w:r>
              <w:rPr>
                <w:rFonts w:eastAsiaTheme="minorEastAsia"/>
                <w:szCs w:val="21"/>
              </w:rPr>
              <w:t>0</w:t>
            </w:r>
          </w:p>
        </w:tc>
        <w:tc>
          <w:tcPr>
            <w:tcW w:w="1499" w:type="pct"/>
            <w:vAlign w:val="center"/>
          </w:tcPr>
          <w:p w14:paraId="5404BA94" w14:textId="77777777" w:rsidR="00B14D53" w:rsidRDefault="00000000">
            <w:pPr>
              <w:contextualSpacing/>
              <w:jc w:val="center"/>
              <w:rPr>
                <w:rFonts w:eastAsiaTheme="minorEastAsia"/>
                <w:szCs w:val="21"/>
              </w:rPr>
            </w:pPr>
            <w:r>
              <w:rPr>
                <w:rFonts w:eastAsiaTheme="minorEastAsia" w:hint="eastAsia"/>
                <w:szCs w:val="21"/>
              </w:rPr>
              <w:t>10.45289</w:t>
            </w:r>
          </w:p>
        </w:tc>
      </w:tr>
      <w:tr w:rsidR="00B14D53" w14:paraId="59CB3A03" w14:textId="77777777">
        <w:trPr>
          <w:cantSplit/>
          <w:trHeight w:val="348"/>
        </w:trPr>
        <w:tc>
          <w:tcPr>
            <w:tcW w:w="997" w:type="pct"/>
            <w:vAlign w:val="center"/>
          </w:tcPr>
          <w:p w14:paraId="676524A8" w14:textId="77777777" w:rsidR="00B14D53" w:rsidRDefault="00000000">
            <w:pPr>
              <w:contextualSpacing/>
              <w:jc w:val="center"/>
              <w:rPr>
                <w:rFonts w:eastAsiaTheme="minorEastAsia"/>
                <w:szCs w:val="21"/>
              </w:rPr>
            </w:pPr>
            <w:r>
              <w:rPr>
                <w:rFonts w:eastAsiaTheme="minorEastAsia" w:hAnsiTheme="minorEastAsia" w:hint="eastAsia"/>
                <w:szCs w:val="21"/>
              </w:rPr>
              <w:t>59</w:t>
            </w:r>
          </w:p>
        </w:tc>
        <w:tc>
          <w:tcPr>
            <w:tcW w:w="1503" w:type="pct"/>
            <w:vAlign w:val="center"/>
          </w:tcPr>
          <w:p w14:paraId="2E3C2CA1" w14:textId="77777777" w:rsidR="00B14D53" w:rsidRDefault="00000000">
            <w:pPr>
              <w:contextualSpacing/>
              <w:jc w:val="center"/>
              <w:rPr>
                <w:rFonts w:eastAsiaTheme="minorEastAsia"/>
                <w:szCs w:val="21"/>
              </w:rPr>
            </w:pPr>
            <w:r>
              <w:rPr>
                <w:rFonts w:eastAsiaTheme="minorEastAsia" w:hAnsiTheme="minorEastAsia" w:hint="eastAsia"/>
                <w:szCs w:val="21"/>
              </w:rPr>
              <w:t>0</w:t>
            </w:r>
          </w:p>
        </w:tc>
        <w:tc>
          <w:tcPr>
            <w:tcW w:w="999" w:type="pct"/>
            <w:vAlign w:val="center"/>
          </w:tcPr>
          <w:p w14:paraId="5588F008" w14:textId="77777777" w:rsidR="00B14D53" w:rsidRDefault="00000000">
            <w:pPr>
              <w:contextualSpacing/>
              <w:jc w:val="center"/>
              <w:rPr>
                <w:rFonts w:eastAsiaTheme="minorEastAsia"/>
                <w:szCs w:val="21"/>
              </w:rPr>
            </w:pPr>
            <w:r>
              <w:rPr>
                <w:rFonts w:eastAsiaTheme="minorEastAsia" w:hint="eastAsia"/>
                <w:szCs w:val="21"/>
              </w:rPr>
              <w:t>1</w:t>
            </w:r>
            <w:r>
              <w:rPr>
                <w:rFonts w:eastAsiaTheme="minorEastAsia"/>
                <w:szCs w:val="21"/>
              </w:rPr>
              <w:t>00</w:t>
            </w:r>
          </w:p>
        </w:tc>
        <w:tc>
          <w:tcPr>
            <w:tcW w:w="1499" w:type="pct"/>
            <w:vAlign w:val="center"/>
          </w:tcPr>
          <w:p w14:paraId="016D510E" w14:textId="77777777" w:rsidR="00B14D53" w:rsidRDefault="00000000">
            <w:pPr>
              <w:contextualSpacing/>
              <w:jc w:val="center"/>
              <w:rPr>
                <w:rFonts w:eastAsiaTheme="minorEastAsia"/>
                <w:szCs w:val="21"/>
              </w:rPr>
            </w:pPr>
            <w:r>
              <w:rPr>
                <w:rFonts w:eastAsiaTheme="minorEastAsia" w:hint="eastAsia"/>
                <w:szCs w:val="21"/>
              </w:rPr>
              <w:t>1.050748</w:t>
            </w:r>
          </w:p>
        </w:tc>
      </w:tr>
      <w:tr w:rsidR="00B14D53" w14:paraId="17A77FC8" w14:textId="77777777">
        <w:trPr>
          <w:cantSplit/>
          <w:trHeight w:val="348"/>
        </w:trPr>
        <w:tc>
          <w:tcPr>
            <w:tcW w:w="997" w:type="pct"/>
            <w:vAlign w:val="center"/>
          </w:tcPr>
          <w:p w14:paraId="647D5A35" w14:textId="77777777" w:rsidR="00B14D53" w:rsidRDefault="00000000">
            <w:pPr>
              <w:contextualSpacing/>
              <w:jc w:val="center"/>
              <w:rPr>
                <w:rFonts w:eastAsiaTheme="minorEastAsia"/>
                <w:szCs w:val="21"/>
              </w:rPr>
            </w:pPr>
            <w:r>
              <w:rPr>
                <w:rFonts w:eastAsiaTheme="minorEastAsia" w:hAnsiTheme="minorEastAsia" w:hint="eastAsia"/>
                <w:szCs w:val="21"/>
              </w:rPr>
              <w:t>60</w:t>
            </w:r>
          </w:p>
        </w:tc>
        <w:tc>
          <w:tcPr>
            <w:tcW w:w="1503" w:type="pct"/>
            <w:vAlign w:val="center"/>
          </w:tcPr>
          <w:p w14:paraId="37FA95BF" w14:textId="77777777" w:rsidR="00B14D53" w:rsidRDefault="00000000">
            <w:pPr>
              <w:contextualSpacing/>
              <w:jc w:val="center"/>
              <w:rPr>
                <w:rFonts w:eastAsiaTheme="minorEastAsia"/>
                <w:szCs w:val="21"/>
              </w:rPr>
            </w:pPr>
            <w:r>
              <w:rPr>
                <w:rFonts w:eastAsiaTheme="minorEastAsia" w:hAnsiTheme="minorEastAsia" w:hint="eastAsia"/>
                <w:szCs w:val="21"/>
              </w:rPr>
              <w:t>0</w:t>
            </w:r>
          </w:p>
        </w:tc>
        <w:tc>
          <w:tcPr>
            <w:tcW w:w="999" w:type="pct"/>
            <w:vAlign w:val="center"/>
          </w:tcPr>
          <w:p w14:paraId="234F88D8" w14:textId="77777777" w:rsidR="00B14D53" w:rsidRDefault="00000000">
            <w:pPr>
              <w:contextualSpacing/>
              <w:jc w:val="center"/>
              <w:rPr>
                <w:rFonts w:eastAsiaTheme="minorEastAsia"/>
                <w:szCs w:val="21"/>
              </w:rPr>
            </w:pPr>
            <w:r>
              <w:rPr>
                <w:rFonts w:eastAsiaTheme="minorEastAsia" w:hint="eastAsia"/>
                <w:szCs w:val="21"/>
              </w:rPr>
              <w:t>105</w:t>
            </w:r>
          </w:p>
        </w:tc>
        <w:tc>
          <w:tcPr>
            <w:tcW w:w="1499" w:type="pct"/>
            <w:vAlign w:val="center"/>
          </w:tcPr>
          <w:p w14:paraId="3D4192BF" w14:textId="77777777" w:rsidR="00B14D53" w:rsidRDefault="00000000">
            <w:pPr>
              <w:contextualSpacing/>
              <w:jc w:val="center"/>
              <w:rPr>
                <w:rFonts w:eastAsiaTheme="minorEastAsia"/>
                <w:szCs w:val="21"/>
              </w:rPr>
            </w:pPr>
            <w:r>
              <w:rPr>
                <w:rFonts w:eastAsiaTheme="minorEastAsia" w:hint="eastAsia"/>
                <w:szCs w:val="21"/>
              </w:rPr>
              <w:t>0.5107982</w:t>
            </w:r>
          </w:p>
        </w:tc>
      </w:tr>
      <w:tr w:rsidR="00B14D53" w14:paraId="30DB0414" w14:textId="77777777">
        <w:trPr>
          <w:cantSplit/>
          <w:trHeight w:val="348"/>
        </w:trPr>
        <w:tc>
          <w:tcPr>
            <w:tcW w:w="997" w:type="pct"/>
            <w:vAlign w:val="center"/>
          </w:tcPr>
          <w:p w14:paraId="0FDDDFB2" w14:textId="77777777" w:rsidR="00B14D53" w:rsidRDefault="00000000">
            <w:pPr>
              <w:contextualSpacing/>
              <w:jc w:val="center"/>
              <w:rPr>
                <w:rFonts w:eastAsiaTheme="minorEastAsia"/>
                <w:szCs w:val="21"/>
              </w:rPr>
            </w:pPr>
            <w:r>
              <w:rPr>
                <w:rFonts w:eastAsiaTheme="minorEastAsia" w:hint="eastAsia"/>
                <w:szCs w:val="21"/>
              </w:rPr>
              <w:t>100</w:t>
            </w:r>
          </w:p>
        </w:tc>
        <w:tc>
          <w:tcPr>
            <w:tcW w:w="1503" w:type="pct"/>
            <w:vAlign w:val="center"/>
          </w:tcPr>
          <w:p w14:paraId="4DDB6071" w14:textId="77777777" w:rsidR="00B14D53" w:rsidRDefault="00000000">
            <w:pPr>
              <w:contextualSpacing/>
              <w:jc w:val="center"/>
              <w:rPr>
                <w:rFonts w:eastAsiaTheme="minorEastAsia"/>
                <w:szCs w:val="21"/>
              </w:rPr>
            </w:pPr>
            <w:r>
              <w:rPr>
                <w:rFonts w:eastAsiaTheme="minorEastAsia" w:hAnsiTheme="minorEastAsia" w:hint="eastAsia"/>
                <w:szCs w:val="21"/>
              </w:rPr>
              <w:t>0</w:t>
            </w:r>
          </w:p>
        </w:tc>
        <w:tc>
          <w:tcPr>
            <w:tcW w:w="999" w:type="pct"/>
            <w:vAlign w:val="center"/>
          </w:tcPr>
          <w:p w14:paraId="740FB267" w14:textId="77777777" w:rsidR="00B14D53" w:rsidRDefault="00000000">
            <w:pPr>
              <w:contextualSpacing/>
              <w:jc w:val="center"/>
              <w:rPr>
                <w:rFonts w:eastAsiaTheme="minorEastAsia"/>
                <w:szCs w:val="21"/>
              </w:rPr>
            </w:pPr>
            <w:r>
              <w:rPr>
                <w:rFonts w:eastAsiaTheme="minorEastAsia" w:hint="eastAsia"/>
                <w:szCs w:val="21"/>
              </w:rPr>
              <w:t>106</w:t>
            </w:r>
          </w:p>
        </w:tc>
        <w:tc>
          <w:tcPr>
            <w:tcW w:w="1499" w:type="pct"/>
            <w:vAlign w:val="center"/>
          </w:tcPr>
          <w:p w14:paraId="193C1414" w14:textId="77777777" w:rsidR="00B14D53" w:rsidRDefault="00000000">
            <w:pPr>
              <w:contextualSpacing/>
              <w:jc w:val="center"/>
              <w:rPr>
                <w:rFonts w:eastAsiaTheme="minorEastAsia"/>
                <w:szCs w:val="21"/>
              </w:rPr>
            </w:pPr>
            <w:r>
              <w:rPr>
                <w:rFonts w:eastAsiaTheme="minorEastAsia" w:hint="eastAsia"/>
                <w:szCs w:val="21"/>
              </w:rPr>
              <w:t>0.4392312</w:t>
            </w:r>
          </w:p>
        </w:tc>
      </w:tr>
      <w:tr w:rsidR="00B14D53" w14:paraId="2F847053" w14:textId="77777777">
        <w:trPr>
          <w:cantSplit/>
          <w:trHeight w:val="348"/>
        </w:trPr>
        <w:tc>
          <w:tcPr>
            <w:tcW w:w="997" w:type="pct"/>
            <w:vAlign w:val="center"/>
          </w:tcPr>
          <w:p w14:paraId="5D3851AC" w14:textId="77777777" w:rsidR="00B14D53" w:rsidRDefault="00000000">
            <w:pPr>
              <w:contextualSpacing/>
              <w:jc w:val="center"/>
              <w:rPr>
                <w:rFonts w:eastAsiaTheme="minorEastAsia"/>
                <w:szCs w:val="21"/>
              </w:rPr>
            </w:pPr>
            <w:r>
              <w:rPr>
                <w:rFonts w:eastAsiaTheme="minorEastAsia" w:hint="eastAsia"/>
                <w:szCs w:val="21"/>
              </w:rPr>
              <w:t>150</w:t>
            </w:r>
          </w:p>
        </w:tc>
        <w:tc>
          <w:tcPr>
            <w:tcW w:w="1503" w:type="pct"/>
            <w:vAlign w:val="center"/>
          </w:tcPr>
          <w:p w14:paraId="54A22E97" w14:textId="77777777" w:rsidR="00B14D53" w:rsidRDefault="00000000">
            <w:pPr>
              <w:contextualSpacing/>
              <w:jc w:val="center"/>
              <w:rPr>
                <w:rFonts w:eastAsiaTheme="minorEastAsia"/>
                <w:szCs w:val="21"/>
              </w:rPr>
            </w:pPr>
            <w:r>
              <w:rPr>
                <w:rFonts w:eastAsiaTheme="minorEastAsia" w:hAnsiTheme="minorEastAsia" w:hint="eastAsia"/>
                <w:szCs w:val="21"/>
              </w:rPr>
              <w:t>0</w:t>
            </w:r>
          </w:p>
        </w:tc>
        <w:tc>
          <w:tcPr>
            <w:tcW w:w="999" w:type="pct"/>
            <w:vAlign w:val="center"/>
          </w:tcPr>
          <w:p w14:paraId="6CE24167" w14:textId="77777777" w:rsidR="00B14D53" w:rsidRDefault="00000000">
            <w:pPr>
              <w:contextualSpacing/>
              <w:jc w:val="center"/>
              <w:rPr>
                <w:rFonts w:eastAsiaTheme="minorEastAsia"/>
                <w:szCs w:val="21"/>
              </w:rPr>
            </w:pPr>
            <w:r>
              <w:rPr>
                <w:rFonts w:eastAsiaTheme="minorEastAsia" w:hint="eastAsia"/>
                <w:szCs w:val="21"/>
              </w:rPr>
              <w:t>110</w:t>
            </w:r>
          </w:p>
        </w:tc>
        <w:tc>
          <w:tcPr>
            <w:tcW w:w="1499" w:type="pct"/>
            <w:vAlign w:val="center"/>
          </w:tcPr>
          <w:p w14:paraId="3EF3F17F" w14:textId="77777777" w:rsidR="00B14D53" w:rsidRDefault="00000000">
            <w:pPr>
              <w:contextualSpacing/>
              <w:jc w:val="center"/>
              <w:rPr>
                <w:rFonts w:eastAsiaTheme="minorEastAsia"/>
                <w:szCs w:val="21"/>
              </w:rPr>
            </w:pPr>
            <w:r>
              <w:rPr>
                <w:rFonts w:eastAsiaTheme="minorEastAsia" w:hint="eastAsia"/>
                <w:szCs w:val="21"/>
              </w:rPr>
              <w:t>0.2340503</w:t>
            </w:r>
          </w:p>
        </w:tc>
      </w:tr>
      <w:tr w:rsidR="00B14D53" w14:paraId="1B92FEC5" w14:textId="77777777">
        <w:trPr>
          <w:cantSplit/>
          <w:trHeight w:val="348"/>
        </w:trPr>
        <w:tc>
          <w:tcPr>
            <w:tcW w:w="997" w:type="pct"/>
            <w:vAlign w:val="center"/>
          </w:tcPr>
          <w:p w14:paraId="06D5FC2B" w14:textId="77777777" w:rsidR="00B14D53" w:rsidRDefault="00000000">
            <w:pPr>
              <w:contextualSpacing/>
              <w:jc w:val="center"/>
              <w:rPr>
                <w:rFonts w:eastAsiaTheme="minorEastAsia"/>
                <w:szCs w:val="21"/>
              </w:rPr>
            </w:pPr>
            <w:r>
              <w:rPr>
                <w:rFonts w:eastAsiaTheme="minorEastAsia" w:hint="eastAsia"/>
                <w:szCs w:val="21"/>
              </w:rPr>
              <w:t>200</w:t>
            </w:r>
          </w:p>
        </w:tc>
        <w:tc>
          <w:tcPr>
            <w:tcW w:w="1503" w:type="pct"/>
            <w:vAlign w:val="center"/>
          </w:tcPr>
          <w:p w14:paraId="5A37B332" w14:textId="77777777" w:rsidR="00B14D53" w:rsidRDefault="00000000">
            <w:pPr>
              <w:contextualSpacing/>
              <w:jc w:val="center"/>
              <w:rPr>
                <w:rFonts w:eastAsiaTheme="minorEastAsia"/>
                <w:szCs w:val="21"/>
              </w:rPr>
            </w:pPr>
            <w:r>
              <w:rPr>
                <w:rFonts w:eastAsiaTheme="minorEastAsia" w:hAnsiTheme="minorEastAsia" w:hint="eastAsia"/>
                <w:szCs w:val="21"/>
              </w:rPr>
              <w:t>0</w:t>
            </w:r>
          </w:p>
        </w:tc>
        <w:tc>
          <w:tcPr>
            <w:tcW w:w="999" w:type="pct"/>
            <w:vAlign w:val="center"/>
          </w:tcPr>
          <w:p w14:paraId="25E25A22" w14:textId="77777777" w:rsidR="00B14D53" w:rsidRDefault="00000000">
            <w:pPr>
              <w:contextualSpacing/>
              <w:jc w:val="center"/>
              <w:rPr>
                <w:rFonts w:eastAsiaTheme="minorEastAsia"/>
                <w:szCs w:val="21"/>
              </w:rPr>
            </w:pPr>
            <w:r>
              <w:rPr>
                <w:rFonts w:eastAsiaTheme="minorEastAsia" w:hint="eastAsia"/>
                <w:szCs w:val="21"/>
              </w:rPr>
              <w:t>200</w:t>
            </w:r>
          </w:p>
        </w:tc>
        <w:tc>
          <w:tcPr>
            <w:tcW w:w="1499" w:type="pct"/>
            <w:vAlign w:val="center"/>
          </w:tcPr>
          <w:p w14:paraId="77A8A370" w14:textId="77777777" w:rsidR="00B14D53" w:rsidRDefault="00000000">
            <w:pPr>
              <w:contextualSpacing/>
              <w:jc w:val="center"/>
              <w:rPr>
                <w:rFonts w:eastAsiaTheme="minorEastAsia"/>
                <w:szCs w:val="21"/>
              </w:rPr>
            </w:pPr>
            <w:r>
              <w:rPr>
                <w:rFonts w:eastAsiaTheme="minorEastAsia" w:hint="eastAsia"/>
                <w:szCs w:val="21"/>
              </w:rPr>
              <w:t>4.15773E-12</w:t>
            </w:r>
          </w:p>
        </w:tc>
      </w:tr>
      <w:tr w:rsidR="00B14D53" w14:paraId="47E81323" w14:textId="77777777">
        <w:trPr>
          <w:cantSplit/>
          <w:trHeight w:val="348"/>
        </w:trPr>
        <w:tc>
          <w:tcPr>
            <w:tcW w:w="997" w:type="pct"/>
            <w:vAlign w:val="center"/>
          </w:tcPr>
          <w:p w14:paraId="71448170" w14:textId="77777777" w:rsidR="00B14D53" w:rsidRDefault="00000000">
            <w:pPr>
              <w:contextualSpacing/>
              <w:jc w:val="center"/>
              <w:rPr>
                <w:rFonts w:eastAsiaTheme="minorEastAsia"/>
                <w:szCs w:val="21"/>
              </w:rPr>
            </w:pPr>
            <w:r>
              <w:rPr>
                <w:rFonts w:eastAsiaTheme="minorEastAsia" w:hint="eastAsia"/>
                <w:szCs w:val="21"/>
              </w:rPr>
              <w:t>250</w:t>
            </w:r>
          </w:p>
        </w:tc>
        <w:tc>
          <w:tcPr>
            <w:tcW w:w="1503" w:type="pct"/>
            <w:vAlign w:val="center"/>
          </w:tcPr>
          <w:p w14:paraId="6C269687" w14:textId="77777777" w:rsidR="00B14D53" w:rsidRDefault="00000000">
            <w:pPr>
              <w:contextualSpacing/>
              <w:jc w:val="center"/>
              <w:rPr>
                <w:rFonts w:eastAsiaTheme="minorEastAsia"/>
                <w:szCs w:val="21"/>
              </w:rPr>
            </w:pPr>
            <w:r>
              <w:rPr>
                <w:rFonts w:eastAsiaTheme="minorEastAsia" w:hAnsiTheme="minorEastAsia" w:hint="eastAsia"/>
                <w:szCs w:val="21"/>
              </w:rPr>
              <w:t>0</w:t>
            </w:r>
          </w:p>
        </w:tc>
        <w:tc>
          <w:tcPr>
            <w:tcW w:w="999" w:type="pct"/>
            <w:vAlign w:val="center"/>
          </w:tcPr>
          <w:p w14:paraId="1F69A82A" w14:textId="77777777" w:rsidR="00B14D53" w:rsidRDefault="00000000">
            <w:pPr>
              <w:contextualSpacing/>
              <w:jc w:val="center"/>
              <w:rPr>
                <w:rFonts w:eastAsiaTheme="minorEastAsia"/>
                <w:szCs w:val="21"/>
              </w:rPr>
            </w:pPr>
            <w:r>
              <w:rPr>
                <w:rFonts w:eastAsiaTheme="minorEastAsia" w:hAnsiTheme="minorEastAsia" w:hint="eastAsia"/>
                <w:szCs w:val="21"/>
              </w:rPr>
              <w:t>217</w:t>
            </w:r>
          </w:p>
        </w:tc>
        <w:tc>
          <w:tcPr>
            <w:tcW w:w="1499" w:type="pct"/>
            <w:vAlign w:val="center"/>
          </w:tcPr>
          <w:p w14:paraId="3365151F" w14:textId="77777777" w:rsidR="00B14D53" w:rsidRDefault="00000000">
            <w:pPr>
              <w:contextualSpacing/>
              <w:jc w:val="center"/>
              <w:rPr>
                <w:rFonts w:eastAsiaTheme="minorEastAsia"/>
                <w:szCs w:val="21"/>
              </w:rPr>
            </w:pPr>
            <w:r>
              <w:rPr>
                <w:rFonts w:eastAsiaTheme="minorEastAsia" w:hint="eastAsia"/>
                <w:szCs w:val="21"/>
              </w:rPr>
              <w:t>6.716849E-15</w:t>
            </w:r>
          </w:p>
        </w:tc>
      </w:tr>
      <w:tr w:rsidR="00B14D53" w14:paraId="65658E42" w14:textId="77777777">
        <w:trPr>
          <w:cantSplit/>
          <w:trHeight w:val="348"/>
        </w:trPr>
        <w:tc>
          <w:tcPr>
            <w:tcW w:w="997" w:type="pct"/>
            <w:vAlign w:val="center"/>
          </w:tcPr>
          <w:p w14:paraId="2D330D7E" w14:textId="77777777" w:rsidR="00B14D53" w:rsidRDefault="00000000">
            <w:pPr>
              <w:contextualSpacing/>
              <w:jc w:val="center"/>
              <w:rPr>
                <w:rFonts w:eastAsiaTheme="minorEastAsia"/>
                <w:szCs w:val="21"/>
              </w:rPr>
            </w:pPr>
            <w:r>
              <w:rPr>
                <w:rFonts w:eastAsiaTheme="minorEastAsia" w:hint="eastAsia"/>
                <w:szCs w:val="21"/>
              </w:rPr>
              <w:t>300</w:t>
            </w:r>
          </w:p>
        </w:tc>
        <w:tc>
          <w:tcPr>
            <w:tcW w:w="1503" w:type="pct"/>
            <w:vAlign w:val="center"/>
          </w:tcPr>
          <w:p w14:paraId="1A996435" w14:textId="77777777" w:rsidR="00B14D53" w:rsidRDefault="00000000">
            <w:pPr>
              <w:contextualSpacing/>
              <w:jc w:val="center"/>
              <w:rPr>
                <w:rFonts w:eastAsiaTheme="minorEastAsia"/>
                <w:szCs w:val="21"/>
              </w:rPr>
            </w:pPr>
            <w:r>
              <w:rPr>
                <w:rFonts w:eastAsiaTheme="minorEastAsia" w:hAnsiTheme="minorEastAsia" w:hint="eastAsia"/>
                <w:szCs w:val="21"/>
              </w:rPr>
              <w:t>0</w:t>
            </w:r>
          </w:p>
        </w:tc>
        <w:tc>
          <w:tcPr>
            <w:tcW w:w="999" w:type="pct"/>
            <w:vAlign w:val="center"/>
          </w:tcPr>
          <w:p w14:paraId="09A5F908" w14:textId="77777777" w:rsidR="00B14D53" w:rsidRDefault="00000000">
            <w:pPr>
              <w:contextualSpacing/>
              <w:jc w:val="center"/>
              <w:rPr>
                <w:rFonts w:eastAsiaTheme="minorEastAsia"/>
                <w:szCs w:val="21"/>
              </w:rPr>
            </w:pPr>
            <w:r>
              <w:rPr>
                <w:rFonts w:eastAsiaTheme="minorEastAsia" w:hAnsiTheme="minorEastAsia" w:hint="eastAsia"/>
                <w:szCs w:val="21"/>
              </w:rPr>
              <w:t>218</w:t>
            </w:r>
          </w:p>
        </w:tc>
        <w:tc>
          <w:tcPr>
            <w:tcW w:w="1499" w:type="pct"/>
            <w:vAlign w:val="center"/>
          </w:tcPr>
          <w:p w14:paraId="3F4F6F17" w14:textId="77777777" w:rsidR="00B14D53" w:rsidRDefault="00000000">
            <w:pPr>
              <w:contextualSpacing/>
              <w:jc w:val="center"/>
              <w:rPr>
                <w:rFonts w:eastAsiaTheme="minorEastAsia"/>
                <w:szCs w:val="21"/>
              </w:rPr>
            </w:pPr>
            <w:r>
              <w:rPr>
                <w:rFonts w:eastAsiaTheme="minorEastAsia" w:hint="eastAsia"/>
                <w:szCs w:val="21"/>
              </w:rPr>
              <w:t>0</w:t>
            </w:r>
          </w:p>
        </w:tc>
      </w:tr>
      <w:tr w:rsidR="00B14D53" w14:paraId="590DFD70" w14:textId="77777777">
        <w:trPr>
          <w:cantSplit/>
          <w:trHeight w:val="348"/>
        </w:trPr>
        <w:tc>
          <w:tcPr>
            <w:tcW w:w="997" w:type="pct"/>
            <w:vAlign w:val="center"/>
          </w:tcPr>
          <w:p w14:paraId="040F7011" w14:textId="77777777" w:rsidR="00B14D53" w:rsidRDefault="00000000">
            <w:pPr>
              <w:contextualSpacing/>
              <w:jc w:val="center"/>
              <w:rPr>
                <w:rFonts w:eastAsiaTheme="minorEastAsia"/>
                <w:szCs w:val="21"/>
              </w:rPr>
            </w:pPr>
            <w:r>
              <w:rPr>
                <w:rFonts w:eastAsiaTheme="minorEastAsia" w:hint="eastAsia"/>
                <w:szCs w:val="21"/>
              </w:rPr>
              <w:t>400</w:t>
            </w:r>
          </w:p>
        </w:tc>
        <w:tc>
          <w:tcPr>
            <w:tcW w:w="1503" w:type="pct"/>
            <w:vAlign w:val="center"/>
          </w:tcPr>
          <w:p w14:paraId="5F4AF9D7" w14:textId="77777777" w:rsidR="00B14D53" w:rsidRDefault="00000000">
            <w:pPr>
              <w:contextualSpacing/>
              <w:jc w:val="center"/>
              <w:rPr>
                <w:rFonts w:eastAsiaTheme="minorEastAsia"/>
                <w:szCs w:val="21"/>
              </w:rPr>
            </w:pPr>
            <w:r>
              <w:rPr>
                <w:rFonts w:eastAsiaTheme="minorEastAsia" w:hAnsiTheme="minorEastAsia" w:hint="eastAsia"/>
                <w:szCs w:val="21"/>
              </w:rPr>
              <w:t>0</w:t>
            </w:r>
          </w:p>
        </w:tc>
        <w:tc>
          <w:tcPr>
            <w:tcW w:w="999" w:type="pct"/>
            <w:vAlign w:val="center"/>
          </w:tcPr>
          <w:p w14:paraId="5A5F99C0" w14:textId="77777777" w:rsidR="00B14D53" w:rsidRDefault="00000000">
            <w:pPr>
              <w:contextualSpacing/>
              <w:jc w:val="center"/>
              <w:rPr>
                <w:rFonts w:eastAsiaTheme="minorEastAsia"/>
                <w:szCs w:val="21"/>
              </w:rPr>
            </w:pPr>
            <w:r>
              <w:rPr>
                <w:rFonts w:eastAsiaTheme="minorEastAsia" w:hint="eastAsia"/>
                <w:szCs w:val="21"/>
              </w:rPr>
              <w:t>300</w:t>
            </w:r>
          </w:p>
        </w:tc>
        <w:tc>
          <w:tcPr>
            <w:tcW w:w="1499" w:type="pct"/>
            <w:vAlign w:val="center"/>
          </w:tcPr>
          <w:p w14:paraId="209A4321" w14:textId="77777777" w:rsidR="00B14D53" w:rsidRDefault="00000000">
            <w:pPr>
              <w:contextualSpacing/>
              <w:jc w:val="center"/>
              <w:rPr>
                <w:rFonts w:eastAsiaTheme="minorEastAsia"/>
                <w:szCs w:val="21"/>
              </w:rPr>
            </w:pPr>
            <w:r>
              <w:rPr>
                <w:rFonts w:eastAsiaTheme="minorEastAsia" w:hint="eastAsia"/>
                <w:szCs w:val="21"/>
              </w:rPr>
              <w:t>0</w:t>
            </w:r>
          </w:p>
        </w:tc>
      </w:tr>
      <w:tr w:rsidR="00B14D53" w14:paraId="11C978F6" w14:textId="77777777">
        <w:trPr>
          <w:cantSplit/>
          <w:trHeight w:val="348"/>
        </w:trPr>
        <w:tc>
          <w:tcPr>
            <w:tcW w:w="997" w:type="pct"/>
            <w:vAlign w:val="center"/>
          </w:tcPr>
          <w:p w14:paraId="08C0913A" w14:textId="77777777" w:rsidR="00B14D53" w:rsidRDefault="00000000">
            <w:pPr>
              <w:contextualSpacing/>
              <w:jc w:val="center"/>
              <w:rPr>
                <w:rFonts w:eastAsiaTheme="minorEastAsia"/>
                <w:szCs w:val="21"/>
              </w:rPr>
            </w:pPr>
            <w:r>
              <w:rPr>
                <w:rFonts w:eastAsiaTheme="minorEastAsia" w:hint="eastAsia"/>
                <w:szCs w:val="21"/>
              </w:rPr>
              <w:t>5</w:t>
            </w:r>
            <w:r>
              <w:rPr>
                <w:rFonts w:eastAsiaTheme="minorEastAsia"/>
                <w:szCs w:val="21"/>
              </w:rPr>
              <w:t>00</w:t>
            </w:r>
          </w:p>
        </w:tc>
        <w:tc>
          <w:tcPr>
            <w:tcW w:w="1503" w:type="pct"/>
            <w:vAlign w:val="center"/>
          </w:tcPr>
          <w:p w14:paraId="5E9001E2" w14:textId="77777777" w:rsidR="00B14D53" w:rsidRDefault="00000000">
            <w:pPr>
              <w:contextualSpacing/>
              <w:jc w:val="center"/>
              <w:rPr>
                <w:rFonts w:eastAsiaTheme="minorEastAsia"/>
                <w:szCs w:val="21"/>
              </w:rPr>
            </w:pPr>
            <w:r>
              <w:rPr>
                <w:rFonts w:eastAsiaTheme="minorEastAsia" w:hAnsiTheme="minorEastAsia" w:hint="eastAsia"/>
                <w:szCs w:val="21"/>
              </w:rPr>
              <w:t>0</w:t>
            </w:r>
          </w:p>
        </w:tc>
        <w:tc>
          <w:tcPr>
            <w:tcW w:w="999" w:type="pct"/>
            <w:vAlign w:val="center"/>
          </w:tcPr>
          <w:p w14:paraId="55A5348F" w14:textId="77777777" w:rsidR="00B14D53" w:rsidRDefault="00000000">
            <w:pPr>
              <w:contextualSpacing/>
              <w:jc w:val="center"/>
              <w:rPr>
                <w:rFonts w:eastAsiaTheme="minorEastAsia"/>
                <w:szCs w:val="21"/>
              </w:rPr>
            </w:pPr>
            <w:r>
              <w:rPr>
                <w:rFonts w:eastAsiaTheme="minorEastAsia" w:hint="eastAsia"/>
                <w:szCs w:val="21"/>
              </w:rPr>
              <w:t>5</w:t>
            </w:r>
            <w:r>
              <w:rPr>
                <w:rFonts w:eastAsiaTheme="minorEastAsia"/>
                <w:szCs w:val="21"/>
              </w:rPr>
              <w:t>00</w:t>
            </w:r>
          </w:p>
        </w:tc>
        <w:tc>
          <w:tcPr>
            <w:tcW w:w="1499" w:type="pct"/>
            <w:vAlign w:val="center"/>
          </w:tcPr>
          <w:p w14:paraId="3DDE3CA6" w14:textId="77777777" w:rsidR="00B14D53" w:rsidRDefault="00000000">
            <w:pPr>
              <w:contextualSpacing/>
              <w:jc w:val="center"/>
              <w:rPr>
                <w:rFonts w:eastAsiaTheme="minorEastAsia"/>
                <w:szCs w:val="21"/>
              </w:rPr>
            </w:pPr>
            <w:r>
              <w:rPr>
                <w:rFonts w:eastAsiaTheme="minorEastAsia" w:hint="eastAsia"/>
                <w:szCs w:val="21"/>
              </w:rPr>
              <w:t>0</w:t>
            </w:r>
          </w:p>
        </w:tc>
      </w:tr>
    </w:tbl>
    <w:p w14:paraId="793221DF" w14:textId="77777777" w:rsidR="00B14D53" w:rsidRDefault="00000000">
      <w:pPr>
        <w:spacing w:line="360" w:lineRule="auto"/>
        <w:jc w:val="center"/>
        <w:rPr>
          <w:rFonts w:eastAsiaTheme="minorEastAsia"/>
          <w:snapToGrid w:val="0"/>
          <w:kern w:val="0"/>
          <w:sz w:val="24"/>
        </w:rPr>
      </w:pPr>
      <w:r>
        <w:rPr>
          <w:noProof/>
        </w:rPr>
        <w:drawing>
          <wp:inline distT="0" distB="0" distL="114300" distR="114300" wp14:anchorId="13E91944" wp14:editId="707B119A">
            <wp:extent cx="3749040" cy="2286635"/>
            <wp:effectExtent l="9525" t="9525" r="13335" b="2794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59"/>
                    <a:srcRect l="3579" t="9038" r="2386" b="4917"/>
                    <a:stretch>
                      <a:fillRect/>
                    </a:stretch>
                  </pic:blipFill>
                  <pic:spPr>
                    <a:xfrm>
                      <a:off x="0" y="0"/>
                      <a:ext cx="3749040" cy="2286635"/>
                    </a:xfrm>
                    <a:prstGeom prst="rect">
                      <a:avLst/>
                    </a:prstGeom>
                    <a:noFill/>
                    <a:ln w="6350">
                      <a:solidFill>
                        <a:schemeClr val="tx1"/>
                      </a:solidFill>
                    </a:ln>
                  </pic:spPr>
                </pic:pic>
              </a:graphicData>
            </a:graphic>
          </wp:inline>
        </w:drawing>
      </w:r>
    </w:p>
    <w:p w14:paraId="134A642C" w14:textId="77777777" w:rsidR="00B14D53" w:rsidRDefault="00000000">
      <w:pPr>
        <w:jc w:val="center"/>
        <w:rPr>
          <w:b/>
          <w:bCs/>
        </w:rPr>
      </w:pPr>
      <w:r>
        <w:rPr>
          <w:rFonts w:hint="eastAsia"/>
          <w:b/>
          <w:bCs/>
        </w:rPr>
        <w:t>图</w:t>
      </w:r>
      <w:r>
        <w:rPr>
          <w:rFonts w:hint="eastAsia"/>
          <w:b/>
          <w:bCs/>
        </w:rPr>
        <w:t>5-2-2 100</w:t>
      </w:r>
      <w:r>
        <w:rPr>
          <w:rFonts w:hint="eastAsia"/>
          <w:b/>
          <w:bCs/>
        </w:rPr>
        <w:t>天氨氮预测结果图</w:t>
      </w:r>
    </w:p>
    <w:p w14:paraId="27F19EB6" w14:textId="77777777" w:rsidR="00B14D53" w:rsidRDefault="00000000">
      <w:pPr>
        <w:spacing w:line="360" w:lineRule="auto"/>
        <w:jc w:val="center"/>
        <w:rPr>
          <w:rFonts w:eastAsiaTheme="minorEastAsia"/>
          <w:snapToGrid w:val="0"/>
          <w:kern w:val="0"/>
          <w:sz w:val="24"/>
        </w:rPr>
      </w:pPr>
      <w:r>
        <w:rPr>
          <w:noProof/>
        </w:rPr>
        <w:drawing>
          <wp:inline distT="0" distB="0" distL="114300" distR="114300" wp14:anchorId="3C5F4139" wp14:editId="2D560059">
            <wp:extent cx="3702050" cy="2268855"/>
            <wp:effectExtent l="9525" t="9525" r="22225" b="26670"/>
            <wp:docPr id="1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
                    <pic:cNvPicPr>
                      <a:picLocks noChangeAspect="1"/>
                    </pic:cNvPicPr>
                  </pic:nvPicPr>
                  <pic:blipFill>
                    <a:blip r:embed="rId60"/>
                    <a:srcRect l="3435" t="9581" r="2687" b="4103"/>
                    <a:stretch>
                      <a:fillRect/>
                    </a:stretch>
                  </pic:blipFill>
                  <pic:spPr>
                    <a:xfrm>
                      <a:off x="0" y="0"/>
                      <a:ext cx="3702050" cy="2268855"/>
                    </a:xfrm>
                    <a:prstGeom prst="rect">
                      <a:avLst/>
                    </a:prstGeom>
                    <a:noFill/>
                    <a:ln w="6350">
                      <a:solidFill>
                        <a:schemeClr val="tx1"/>
                      </a:solidFill>
                    </a:ln>
                  </pic:spPr>
                </pic:pic>
              </a:graphicData>
            </a:graphic>
          </wp:inline>
        </w:drawing>
      </w:r>
    </w:p>
    <w:p w14:paraId="7B6284D4" w14:textId="77777777" w:rsidR="00B14D53" w:rsidRDefault="00000000">
      <w:pPr>
        <w:jc w:val="center"/>
        <w:rPr>
          <w:b/>
          <w:bCs/>
        </w:rPr>
      </w:pPr>
      <w:r>
        <w:rPr>
          <w:rFonts w:hint="eastAsia"/>
          <w:b/>
          <w:bCs/>
        </w:rPr>
        <w:t>图</w:t>
      </w:r>
      <w:r>
        <w:rPr>
          <w:rFonts w:hint="eastAsia"/>
          <w:b/>
          <w:bCs/>
        </w:rPr>
        <w:t>5-2-3 1000</w:t>
      </w:r>
      <w:r>
        <w:rPr>
          <w:rFonts w:hint="eastAsia"/>
          <w:b/>
          <w:bCs/>
        </w:rPr>
        <w:t>天氨氮预测结果图</w:t>
      </w:r>
    </w:p>
    <w:p w14:paraId="0D8EBB9E" w14:textId="77777777" w:rsidR="00B14D53" w:rsidRDefault="00000000">
      <w:pPr>
        <w:widowControl/>
        <w:spacing w:line="360" w:lineRule="auto"/>
        <w:ind w:firstLineChars="200" w:firstLine="480"/>
        <w:rPr>
          <w:rFonts w:eastAsiaTheme="minorEastAsia"/>
          <w:bCs/>
          <w:sz w:val="24"/>
        </w:rPr>
      </w:pPr>
      <w:r>
        <w:rPr>
          <w:rFonts w:eastAsiaTheme="minorEastAsia" w:hint="eastAsia"/>
          <w:bCs/>
          <w:sz w:val="24"/>
        </w:rPr>
        <w:t>反映特征因子迁移规律的其他重要的时间节点：考虑污染物泄漏出厂界外，对厂界外的影响时间作为节点，本项目污水处理站调节沉淀池距离厂界</w:t>
      </w:r>
      <w:r>
        <w:rPr>
          <w:rFonts w:eastAsiaTheme="minorEastAsia" w:hint="eastAsia"/>
          <w:bCs/>
          <w:sz w:val="24"/>
        </w:rPr>
        <w:t>5m</w:t>
      </w:r>
      <w:r>
        <w:rPr>
          <w:rFonts w:eastAsiaTheme="minorEastAsia" w:hint="eastAsia"/>
          <w:bCs/>
          <w:sz w:val="24"/>
        </w:rPr>
        <w:t>，污染物达到厂区边界计算结果见下表。</w:t>
      </w:r>
    </w:p>
    <w:p w14:paraId="37C066F4" w14:textId="77777777" w:rsidR="00B14D53" w:rsidRDefault="00000000">
      <w:pPr>
        <w:jc w:val="center"/>
        <w:rPr>
          <w:rFonts w:eastAsiaTheme="minorEastAsia"/>
          <w:b/>
          <w:sz w:val="24"/>
        </w:rPr>
      </w:pPr>
      <w:r>
        <w:rPr>
          <w:rFonts w:hint="eastAsia"/>
          <w:b/>
          <w:bCs/>
        </w:rPr>
        <w:t>表</w:t>
      </w:r>
      <w:r>
        <w:rPr>
          <w:rFonts w:hint="eastAsia"/>
          <w:b/>
          <w:bCs/>
        </w:rPr>
        <w:t xml:space="preserve">5-2-24 </w:t>
      </w:r>
      <w:r>
        <w:rPr>
          <w:rFonts w:hint="eastAsia"/>
          <w:b/>
          <w:bCs/>
        </w:rPr>
        <w:t>地下水预测计算结果</w:t>
      </w:r>
    </w:p>
    <w:tbl>
      <w:tblPr>
        <w:tblW w:w="5000" w:type="pct"/>
        <w:jc w:val="center"/>
        <w:tblBorders>
          <w:top w:val="single" w:sz="12" w:space="0" w:color="000000"/>
          <w:bottom w:val="single" w:sz="12"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47"/>
        <w:gridCol w:w="3959"/>
      </w:tblGrid>
      <w:tr w:rsidR="00B14D53" w14:paraId="3BA30A13" w14:textId="77777777">
        <w:trPr>
          <w:cantSplit/>
          <w:trHeight w:val="230"/>
          <w:jc w:val="center"/>
        </w:trPr>
        <w:tc>
          <w:tcPr>
            <w:tcW w:w="5000" w:type="pct"/>
            <w:gridSpan w:val="2"/>
            <w:vAlign w:val="center"/>
          </w:tcPr>
          <w:p w14:paraId="6B3A6E36" w14:textId="77777777" w:rsidR="00B14D53" w:rsidRDefault="00000000">
            <w:pPr>
              <w:pStyle w:val="afff2"/>
              <w:autoSpaceDE w:val="0"/>
              <w:autoSpaceDN w:val="0"/>
              <w:spacing w:line="240" w:lineRule="auto"/>
              <w:contextualSpacing/>
              <w:rPr>
                <w:rFonts w:eastAsiaTheme="minorEastAsia" w:hAnsi="Times New Roman"/>
                <w:b/>
                <w:bCs/>
              </w:rPr>
            </w:pPr>
            <w:r>
              <w:rPr>
                <w:rFonts w:eastAsiaTheme="minorEastAsia" w:hAnsi="Times New Roman" w:hint="eastAsia"/>
                <w:b/>
                <w:bCs/>
              </w:rPr>
              <w:t>氨氮</w:t>
            </w:r>
          </w:p>
        </w:tc>
      </w:tr>
      <w:tr w:rsidR="00B14D53" w14:paraId="689D5074" w14:textId="77777777">
        <w:trPr>
          <w:cantSplit/>
          <w:trHeight w:val="128"/>
          <w:jc w:val="center"/>
        </w:trPr>
        <w:tc>
          <w:tcPr>
            <w:tcW w:w="2617" w:type="pct"/>
            <w:vAlign w:val="center"/>
          </w:tcPr>
          <w:p w14:paraId="78C64980" w14:textId="77777777" w:rsidR="00B14D53" w:rsidRDefault="00000000">
            <w:pPr>
              <w:autoSpaceDE w:val="0"/>
              <w:autoSpaceDN w:val="0"/>
              <w:contextualSpacing/>
              <w:jc w:val="center"/>
              <w:rPr>
                <w:rFonts w:eastAsiaTheme="minorEastAsia"/>
                <w:b/>
                <w:bCs/>
                <w:szCs w:val="21"/>
              </w:rPr>
            </w:pPr>
            <w:r>
              <w:rPr>
                <w:rFonts w:eastAsiaTheme="minorEastAsia" w:hint="eastAsia"/>
                <w:b/>
                <w:bCs/>
                <w:szCs w:val="21"/>
              </w:rPr>
              <w:t>距离</w:t>
            </w:r>
          </w:p>
        </w:tc>
        <w:tc>
          <w:tcPr>
            <w:tcW w:w="2382" w:type="pct"/>
            <w:vAlign w:val="center"/>
          </w:tcPr>
          <w:p w14:paraId="69FEA218" w14:textId="77777777" w:rsidR="00B14D53" w:rsidRDefault="00000000">
            <w:pPr>
              <w:autoSpaceDE w:val="0"/>
              <w:autoSpaceDN w:val="0"/>
              <w:contextualSpacing/>
              <w:jc w:val="center"/>
              <w:rPr>
                <w:rFonts w:eastAsiaTheme="minorEastAsia"/>
                <w:b/>
                <w:bCs/>
                <w:szCs w:val="21"/>
              </w:rPr>
            </w:pPr>
            <w:r>
              <w:rPr>
                <w:rFonts w:eastAsiaTheme="minorEastAsia"/>
                <w:b/>
                <w:bCs/>
                <w:szCs w:val="21"/>
              </w:rPr>
              <w:t>3</w:t>
            </w:r>
            <w:r>
              <w:rPr>
                <w:rFonts w:eastAsiaTheme="minorEastAsia" w:hint="eastAsia"/>
                <w:b/>
                <w:bCs/>
                <w:szCs w:val="21"/>
              </w:rPr>
              <w:t>m</w:t>
            </w:r>
          </w:p>
        </w:tc>
      </w:tr>
      <w:tr w:rsidR="00B14D53" w14:paraId="3E6CBD03" w14:textId="77777777">
        <w:trPr>
          <w:cantSplit/>
          <w:trHeight w:val="181"/>
          <w:jc w:val="center"/>
        </w:trPr>
        <w:tc>
          <w:tcPr>
            <w:tcW w:w="2617" w:type="pct"/>
            <w:vAlign w:val="center"/>
          </w:tcPr>
          <w:p w14:paraId="762454E5" w14:textId="77777777" w:rsidR="00B14D53" w:rsidRDefault="00000000">
            <w:pPr>
              <w:autoSpaceDE w:val="0"/>
              <w:autoSpaceDN w:val="0"/>
              <w:contextualSpacing/>
              <w:jc w:val="center"/>
              <w:rPr>
                <w:rFonts w:eastAsiaTheme="minorEastAsia"/>
                <w:b/>
                <w:bCs/>
                <w:szCs w:val="21"/>
              </w:rPr>
            </w:pPr>
            <w:r>
              <w:rPr>
                <w:rFonts w:eastAsiaTheme="minorEastAsia" w:hint="eastAsia"/>
                <w:b/>
                <w:bCs/>
                <w:szCs w:val="21"/>
              </w:rPr>
              <w:t>X</w:t>
            </w:r>
            <w:r>
              <w:rPr>
                <w:rFonts w:eastAsiaTheme="minorEastAsia" w:hint="eastAsia"/>
                <w:b/>
                <w:bCs/>
                <w:szCs w:val="21"/>
              </w:rPr>
              <w:t>（</w:t>
            </w:r>
            <w:r>
              <w:rPr>
                <w:rFonts w:eastAsiaTheme="minorEastAsia" w:hint="eastAsia"/>
                <w:b/>
                <w:bCs/>
                <w:szCs w:val="21"/>
              </w:rPr>
              <w:t>d</w:t>
            </w:r>
            <w:r>
              <w:rPr>
                <w:rFonts w:eastAsiaTheme="minorEastAsia" w:hint="eastAsia"/>
                <w:b/>
                <w:bCs/>
                <w:szCs w:val="21"/>
              </w:rPr>
              <w:t>）</w:t>
            </w:r>
          </w:p>
        </w:tc>
        <w:tc>
          <w:tcPr>
            <w:tcW w:w="2382" w:type="pct"/>
            <w:vAlign w:val="center"/>
          </w:tcPr>
          <w:p w14:paraId="6AD9BE77" w14:textId="77777777" w:rsidR="00B14D53" w:rsidRDefault="00000000">
            <w:pPr>
              <w:autoSpaceDE w:val="0"/>
              <w:autoSpaceDN w:val="0"/>
              <w:contextualSpacing/>
              <w:jc w:val="center"/>
              <w:rPr>
                <w:rFonts w:eastAsiaTheme="minorEastAsia"/>
                <w:b/>
                <w:bCs/>
                <w:szCs w:val="21"/>
              </w:rPr>
            </w:pPr>
            <w:r>
              <w:rPr>
                <w:rFonts w:eastAsiaTheme="minorEastAsia" w:hint="eastAsia"/>
                <w:b/>
                <w:bCs/>
                <w:szCs w:val="21"/>
              </w:rPr>
              <w:t>C</w:t>
            </w:r>
            <w:r>
              <w:rPr>
                <w:rFonts w:eastAsiaTheme="minorEastAsia" w:hint="eastAsia"/>
                <w:b/>
                <w:bCs/>
                <w:szCs w:val="21"/>
              </w:rPr>
              <w:t>（</w:t>
            </w:r>
            <w:r>
              <w:rPr>
                <w:rFonts w:eastAsiaTheme="minorEastAsia" w:hint="eastAsia"/>
                <w:b/>
                <w:bCs/>
                <w:szCs w:val="21"/>
              </w:rPr>
              <w:t>mg/L</w:t>
            </w:r>
            <w:r>
              <w:rPr>
                <w:rFonts w:eastAsiaTheme="minorEastAsia" w:hint="eastAsia"/>
                <w:b/>
                <w:bCs/>
                <w:szCs w:val="21"/>
              </w:rPr>
              <w:t>）</w:t>
            </w:r>
          </w:p>
        </w:tc>
      </w:tr>
      <w:tr w:rsidR="00B14D53" w14:paraId="5D787456" w14:textId="77777777">
        <w:trPr>
          <w:cantSplit/>
          <w:trHeight w:val="181"/>
          <w:jc w:val="center"/>
        </w:trPr>
        <w:tc>
          <w:tcPr>
            <w:tcW w:w="2617" w:type="pct"/>
            <w:vAlign w:val="center"/>
          </w:tcPr>
          <w:p w14:paraId="6C9BF793" w14:textId="77777777" w:rsidR="00B14D53" w:rsidRDefault="00000000">
            <w:pPr>
              <w:autoSpaceDE w:val="0"/>
              <w:autoSpaceDN w:val="0"/>
              <w:contextualSpacing/>
              <w:jc w:val="center"/>
              <w:rPr>
                <w:rFonts w:eastAsiaTheme="minorEastAsia"/>
                <w:szCs w:val="21"/>
              </w:rPr>
            </w:pPr>
            <w:r>
              <w:rPr>
                <w:rFonts w:eastAsiaTheme="minorEastAsia" w:hAnsiTheme="minorEastAsia" w:hint="eastAsia"/>
                <w:szCs w:val="21"/>
              </w:rPr>
              <w:t>0</w:t>
            </w:r>
          </w:p>
        </w:tc>
        <w:tc>
          <w:tcPr>
            <w:tcW w:w="2382" w:type="pct"/>
            <w:vAlign w:val="center"/>
          </w:tcPr>
          <w:p w14:paraId="3675BA4A" w14:textId="77777777" w:rsidR="00B14D53" w:rsidRDefault="00000000">
            <w:pPr>
              <w:autoSpaceDE w:val="0"/>
              <w:autoSpaceDN w:val="0"/>
              <w:contextualSpacing/>
              <w:jc w:val="center"/>
              <w:rPr>
                <w:rFonts w:eastAsiaTheme="minorEastAsia"/>
                <w:szCs w:val="21"/>
              </w:rPr>
            </w:pPr>
            <w:r>
              <w:rPr>
                <w:rFonts w:eastAsiaTheme="minorEastAsia" w:hAnsiTheme="minorEastAsia"/>
                <w:szCs w:val="21"/>
              </w:rPr>
              <w:t>0</w:t>
            </w:r>
          </w:p>
        </w:tc>
      </w:tr>
      <w:tr w:rsidR="00B14D53" w14:paraId="40E72A5C" w14:textId="77777777">
        <w:trPr>
          <w:cantSplit/>
          <w:trHeight w:val="255"/>
          <w:jc w:val="center"/>
        </w:trPr>
        <w:tc>
          <w:tcPr>
            <w:tcW w:w="2617" w:type="pct"/>
            <w:vAlign w:val="center"/>
          </w:tcPr>
          <w:p w14:paraId="7113DDB5"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kern w:val="0"/>
                <w:szCs w:val="21"/>
              </w:rPr>
              <w:t>1</w:t>
            </w:r>
          </w:p>
        </w:tc>
        <w:tc>
          <w:tcPr>
            <w:tcW w:w="2382" w:type="pct"/>
            <w:vAlign w:val="center"/>
          </w:tcPr>
          <w:p w14:paraId="222D5A1F"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szCs w:val="21"/>
              </w:rPr>
              <w:t>6.506263E-13</w:t>
            </w:r>
          </w:p>
        </w:tc>
      </w:tr>
      <w:tr w:rsidR="00B14D53" w14:paraId="40A74EEF" w14:textId="77777777">
        <w:trPr>
          <w:cantSplit/>
          <w:trHeight w:val="255"/>
          <w:jc w:val="center"/>
        </w:trPr>
        <w:tc>
          <w:tcPr>
            <w:tcW w:w="2617" w:type="pct"/>
            <w:vAlign w:val="center"/>
          </w:tcPr>
          <w:p w14:paraId="7F50CFC1"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kern w:val="0"/>
                <w:szCs w:val="21"/>
              </w:rPr>
              <w:t>2</w:t>
            </w:r>
          </w:p>
        </w:tc>
        <w:tc>
          <w:tcPr>
            <w:tcW w:w="2382" w:type="pct"/>
            <w:vAlign w:val="center"/>
          </w:tcPr>
          <w:p w14:paraId="5A3F1220"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szCs w:val="21"/>
              </w:rPr>
              <w:t>5.111406E-06</w:t>
            </w:r>
          </w:p>
        </w:tc>
      </w:tr>
      <w:tr w:rsidR="00B14D53" w14:paraId="52CEB629" w14:textId="77777777">
        <w:trPr>
          <w:cantSplit/>
          <w:trHeight w:val="255"/>
          <w:jc w:val="center"/>
        </w:trPr>
        <w:tc>
          <w:tcPr>
            <w:tcW w:w="2617" w:type="pct"/>
            <w:vAlign w:val="center"/>
          </w:tcPr>
          <w:p w14:paraId="6D8C0395"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kern w:val="0"/>
                <w:szCs w:val="21"/>
              </w:rPr>
              <w:t>3</w:t>
            </w:r>
          </w:p>
        </w:tc>
        <w:tc>
          <w:tcPr>
            <w:tcW w:w="2382" w:type="pct"/>
            <w:vAlign w:val="center"/>
          </w:tcPr>
          <w:p w14:paraId="2F726663"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szCs w:val="21"/>
              </w:rPr>
              <w:t>0.001124004</w:t>
            </w:r>
          </w:p>
        </w:tc>
      </w:tr>
      <w:tr w:rsidR="00B14D53" w14:paraId="40E1EBF1" w14:textId="77777777">
        <w:trPr>
          <w:cantSplit/>
          <w:trHeight w:val="255"/>
          <w:jc w:val="center"/>
        </w:trPr>
        <w:tc>
          <w:tcPr>
            <w:tcW w:w="2617" w:type="pct"/>
            <w:vAlign w:val="center"/>
          </w:tcPr>
          <w:p w14:paraId="5F2F26B3" w14:textId="77777777" w:rsidR="00B14D53" w:rsidRDefault="00000000">
            <w:pPr>
              <w:widowControl/>
              <w:autoSpaceDE w:val="0"/>
              <w:autoSpaceDN w:val="0"/>
              <w:contextualSpacing/>
              <w:jc w:val="center"/>
              <w:textAlignment w:val="center"/>
              <w:rPr>
                <w:rFonts w:eastAsiaTheme="minorEastAsia"/>
                <w:kern w:val="0"/>
                <w:szCs w:val="21"/>
              </w:rPr>
            </w:pPr>
            <w:r>
              <w:rPr>
                <w:rFonts w:eastAsiaTheme="minorEastAsia" w:hint="eastAsia"/>
                <w:kern w:val="0"/>
                <w:szCs w:val="21"/>
              </w:rPr>
              <w:t>4</w:t>
            </w:r>
          </w:p>
        </w:tc>
        <w:tc>
          <w:tcPr>
            <w:tcW w:w="2382" w:type="pct"/>
            <w:vAlign w:val="center"/>
          </w:tcPr>
          <w:p w14:paraId="2EEC78C5"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szCs w:val="21"/>
              </w:rPr>
              <w:t>0.01726988</w:t>
            </w:r>
          </w:p>
        </w:tc>
      </w:tr>
      <w:tr w:rsidR="00B14D53" w14:paraId="75FC619B" w14:textId="77777777">
        <w:trPr>
          <w:cantSplit/>
          <w:trHeight w:val="255"/>
          <w:jc w:val="center"/>
        </w:trPr>
        <w:tc>
          <w:tcPr>
            <w:tcW w:w="2617" w:type="pct"/>
            <w:vAlign w:val="center"/>
          </w:tcPr>
          <w:p w14:paraId="3625563E" w14:textId="77777777" w:rsidR="00B14D53" w:rsidRDefault="00000000">
            <w:pPr>
              <w:widowControl/>
              <w:autoSpaceDE w:val="0"/>
              <w:autoSpaceDN w:val="0"/>
              <w:contextualSpacing/>
              <w:jc w:val="center"/>
              <w:textAlignment w:val="center"/>
              <w:rPr>
                <w:rFonts w:eastAsiaTheme="minorEastAsia"/>
                <w:kern w:val="0"/>
                <w:szCs w:val="21"/>
              </w:rPr>
            </w:pPr>
            <w:r>
              <w:rPr>
                <w:rFonts w:eastAsiaTheme="minorEastAsia" w:hint="eastAsia"/>
                <w:kern w:val="0"/>
                <w:szCs w:val="21"/>
              </w:rPr>
              <w:t>5</w:t>
            </w:r>
          </w:p>
        </w:tc>
        <w:tc>
          <w:tcPr>
            <w:tcW w:w="2382" w:type="pct"/>
            <w:vAlign w:val="center"/>
          </w:tcPr>
          <w:p w14:paraId="516A4C42"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szCs w:val="21"/>
              </w:rPr>
              <w:t>0.0907552</w:t>
            </w:r>
          </w:p>
        </w:tc>
      </w:tr>
      <w:tr w:rsidR="00B14D53" w14:paraId="748F9995" w14:textId="77777777">
        <w:trPr>
          <w:cantSplit/>
          <w:trHeight w:val="255"/>
          <w:jc w:val="center"/>
        </w:trPr>
        <w:tc>
          <w:tcPr>
            <w:tcW w:w="2617" w:type="pct"/>
            <w:vAlign w:val="center"/>
          </w:tcPr>
          <w:p w14:paraId="6E396B25" w14:textId="77777777" w:rsidR="00B14D53" w:rsidRDefault="00000000">
            <w:pPr>
              <w:widowControl/>
              <w:autoSpaceDE w:val="0"/>
              <w:autoSpaceDN w:val="0"/>
              <w:contextualSpacing/>
              <w:jc w:val="center"/>
              <w:textAlignment w:val="center"/>
              <w:rPr>
                <w:rFonts w:eastAsiaTheme="minorEastAsia"/>
                <w:kern w:val="0"/>
                <w:szCs w:val="21"/>
              </w:rPr>
            </w:pPr>
            <w:r>
              <w:rPr>
                <w:rFonts w:eastAsiaTheme="minorEastAsia" w:hint="eastAsia"/>
                <w:kern w:val="0"/>
                <w:szCs w:val="21"/>
              </w:rPr>
              <w:t>6</w:t>
            </w:r>
          </w:p>
        </w:tc>
        <w:tc>
          <w:tcPr>
            <w:tcW w:w="2382" w:type="pct"/>
            <w:vAlign w:val="center"/>
          </w:tcPr>
          <w:p w14:paraId="2BD063C0"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szCs w:val="21"/>
              </w:rPr>
              <w:t>0.2777994</w:t>
            </w:r>
          </w:p>
        </w:tc>
      </w:tr>
      <w:tr w:rsidR="00B14D53" w14:paraId="01086C68" w14:textId="77777777">
        <w:trPr>
          <w:cantSplit/>
          <w:trHeight w:val="255"/>
          <w:jc w:val="center"/>
        </w:trPr>
        <w:tc>
          <w:tcPr>
            <w:tcW w:w="2617" w:type="pct"/>
            <w:vAlign w:val="center"/>
          </w:tcPr>
          <w:p w14:paraId="4403EB5B" w14:textId="77777777" w:rsidR="00B14D53" w:rsidRDefault="00000000">
            <w:pPr>
              <w:widowControl/>
              <w:autoSpaceDE w:val="0"/>
              <w:autoSpaceDN w:val="0"/>
              <w:contextualSpacing/>
              <w:jc w:val="center"/>
              <w:textAlignment w:val="center"/>
              <w:rPr>
                <w:rFonts w:eastAsiaTheme="minorEastAsia"/>
                <w:kern w:val="0"/>
                <w:szCs w:val="21"/>
              </w:rPr>
            </w:pPr>
            <w:r>
              <w:rPr>
                <w:rFonts w:eastAsiaTheme="minorEastAsia" w:hint="eastAsia"/>
                <w:kern w:val="0"/>
                <w:szCs w:val="21"/>
              </w:rPr>
              <w:t>7</w:t>
            </w:r>
          </w:p>
        </w:tc>
        <w:tc>
          <w:tcPr>
            <w:tcW w:w="2382" w:type="pct"/>
            <w:vAlign w:val="center"/>
          </w:tcPr>
          <w:p w14:paraId="6568D035"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szCs w:val="21"/>
              </w:rPr>
              <w:t>0.6230095</w:t>
            </w:r>
          </w:p>
        </w:tc>
      </w:tr>
      <w:tr w:rsidR="00B14D53" w14:paraId="11262D60" w14:textId="77777777">
        <w:trPr>
          <w:cantSplit/>
          <w:trHeight w:val="255"/>
          <w:jc w:val="center"/>
        </w:trPr>
        <w:tc>
          <w:tcPr>
            <w:tcW w:w="2617" w:type="pct"/>
            <w:vAlign w:val="center"/>
          </w:tcPr>
          <w:p w14:paraId="3B337B84" w14:textId="77777777" w:rsidR="00B14D53" w:rsidRDefault="00000000">
            <w:pPr>
              <w:widowControl/>
              <w:autoSpaceDE w:val="0"/>
              <w:autoSpaceDN w:val="0"/>
              <w:contextualSpacing/>
              <w:jc w:val="center"/>
              <w:textAlignment w:val="center"/>
              <w:rPr>
                <w:rFonts w:eastAsiaTheme="minorEastAsia"/>
                <w:kern w:val="0"/>
                <w:szCs w:val="21"/>
              </w:rPr>
            </w:pPr>
            <w:r>
              <w:rPr>
                <w:rFonts w:eastAsiaTheme="minorEastAsia" w:hint="eastAsia"/>
                <w:kern w:val="0"/>
                <w:szCs w:val="21"/>
              </w:rPr>
              <w:t>8</w:t>
            </w:r>
          </w:p>
        </w:tc>
        <w:tc>
          <w:tcPr>
            <w:tcW w:w="2382" w:type="pct"/>
            <w:vAlign w:val="center"/>
          </w:tcPr>
          <w:p w14:paraId="41165776" w14:textId="77777777" w:rsidR="00B14D53" w:rsidRDefault="00000000">
            <w:pPr>
              <w:widowControl/>
              <w:autoSpaceDE w:val="0"/>
              <w:autoSpaceDN w:val="0"/>
              <w:contextualSpacing/>
              <w:jc w:val="center"/>
              <w:textAlignment w:val="center"/>
              <w:rPr>
                <w:rFonts w:eastAsiaTheme="minorEastAsia"/>
                <w:szCs w:val="21"/>
              </w:rPr>
            </w:pPr>
            <w:r>
              <w:rPr>
                <w:rFonts w:eastAsiaTheme="minorEastAsia" w:hint="eastAsia"/>
                <w:szCs w:val="21"/>
              </w:rPr>
              <w:t>1.148772</w:t>
            </w:r>
          </w:p>
        </w:tc>
      </w:tr>
    </w:tbl>
    <w:p w14:paraId="00A777BF"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hint="eastAsia"/>
          <w:kern w:val="0"/>
          <w:sz w:val="24"/>
        </w:rPr>
        <w:t>综上，</w:t>
      </w:r>
      <w:r>
        <w:rPr>
          <w:rFonts w:eastAsiaTheme="minorEastAsia" w:hAnsiTheme="minorEastAsia"/>
          <w:kern w:val="0"/>
          <w:sz w:val="24"/>
        </w:rPr>
        <w:t>本项目发生泄漏情况下，</w:t>
      </w:r>
      <w:r>
        <w:rPr>
          <w:rFonts w:eastAsiaTheme="minorEastAsia" w:hAnsiTheme="minorEastAsia" w:hint="eastAsia"/>
          <w:kern w:val="0"/>
          <w:sz w:val="24"/>
        </w:rPr>
        <w:t>氨氮</w:t>
      </w:r>
      <w:r>
        <w:rPr>
          <w:rFonts w:eastAsiaTheme="minorEastAsia" w:hAnsiTheme="minorEastAsia"/>
          <w:kern w:val="0"/>
          <w:sz w:val="24"/>
        </w:rPr>
        <w:t>：</w:t>
      </w:r>
      <w:r>
        <w:rPr>
          <w:rFonts w:eastAsiaTheme="minorEastAsia"/>
          <w:kern w:val="0"/>
          <w:sz w:val="24"/>
        </w:rPr>
        <w:t>100d</w:t>
      </w:r>
      <w:r>
        <w:rPr>
          <w:rFonts w:eastAsiaTheme="minorEastAsia" w:hAnsiTheme="minorEastAsia"/>
          <w:kern w:val="0"/>
          <w:sz w:val="24"/>
        </w:rPr>
        <w:t>，在下游</w:t>
      </w:r>
      <w:r>
        <w:rPr>
          <w:rFonts w:eastAsiaTheme="minorEastAsia" w:hint="eastAsia"/>
          <w:kern w:val="0"/>
          <w:sz w:val="24"/>
        </w:rPr>
        <w:t>23</w:t>
      </w:r>
      <w:r>
        <w:rPr>
          <w:rFonts w:eastAsiaTheme="minorEastAsia"/>
          <w:kern w:val="0"/>
          <w:sz w:val="24"/>
        </w:rPr>
        <w:t>m</w:t>
      </w:r>
      <w:r>
        <w:rPr>
          <w:rFonts w:eastAsiaTheme="minorEastAsia" w:hAnsiTheme="minorEastAsia"/>
          <w:kern w:val="0"/>
          <w:sz w:val="24"/>
        </w:rPr>
        <w:t>处达到标准值；</w:t>
      </w:r>
      <w:r>
        <w:rPr>
          <w:rFonts w:eastAsiaTheme="minorEastAsia"/>
          <w:kern w:val="0"/>
          <w:sz w:val="24"/>
        </w:rPr>
        <w:t>1000d</w:t>
      </w:r>
      <w:r>
        <w:rPr>
          <w:rFonts w:eastAsiaTheme="minorEastAsia" w:hAnsiTheme="minorEastAsia"/>
          <w:kern w:val="0"/>
          <w:sz w:val="24"/>
        </w:rPr>
        <w:t>，在下游</w:t>
      </w:r>
      <w:r>
        <w:rPr>
          <w:rFonts w:eastAsiaTheme="minorEastAsia" w:hint="eastAsia"/>
          <w:kern w:val="0"/>
          <w:sz w:val="24"/>
        </w:rPr>
        <w:t>106</w:t>
      </w:r>
      <w:r>
        <w:rPr>
          <w:rFonts w:eastAsiaTheme="minorEastAsia"/>
          <w:kern w:val="0"/>
          <w:sz w:val="24"/>
        </w:rPr>
        <w:t>m</w:t>
      </w:r>
      <w:r>
        <w:rPr>
          <w:rFonts w:eastAsiaTheme="minorEastAsia" w:hAnsiTheme="minorEastAsia"/>
          <w:kern w:val="0"/>
          <w:sz w:val="24"/>
        </w:rPr>
        <w:t>处达到标准值</w:t>
      </w:r>
      <w:r>
        <w:rPr>
          <w:rFonts w:eastAsiaTheme="minorEastAsia" w:hAnsiTheme="minorEastAsia" w:hint="eastAsia"/>
          <w:kern w:val="0"/>
          <w:sz w:val="24"/>
        </w:rPr>
        <w:t>。</w:t>
      </w:r>
      <w:r>
        <w:rPr>
          <w:rFonts w:eastAsiaTheme="minorEastAsia" w:hint="eastAsia"/>
          <w:bCs/>
          <w:sz w:val="24"/>
        </w:rPr>
        <w:t>氨氮到达厂界时出现超标时间点为</w:t>
      </w:r>
      <w:r>
        <w:rPr>
          <w:rFonts w:eastAsiaTheme="minorEastAsia" w:hint="eastAsia"/>
          <w:bCs/>
          <w:sz w:val="24"/>
        </w:rPr>
        <w:t>7d</w:t>
      </w:r>
      <w:r>
        <w:rPr>
          <w:rFonts w:eastAsiaTheme="minorEastAsia" w:hint="eastAsia"/>
          <w:bCs/>
          <w:sz w:val="24"/>
        </w:rPr>
        <w:t>。</w:t>
      </w:r>
      <w:r>
        <w:rPr>
          <w:rFonts w:eastAsiaTheme="minorEastAsia" w:hAnsiTheme="minorEastAsia"/>
          <w:snapToGrid w:val="0"/>
          <w:kern w:val="0"/>
          <w:sz w:val="24"/>
        </w:rPr>
        <w:t>项目评价区域地下水流向下游</w:t>
      </w:r>
      <w:r>
        <w:rPr>
          <w:rFonts w:eastAsiaTheme="minorEastAsia" w:hint="eastAsia"/>
          <w:snapToGrid w:val="0"/>
          <w:kern w:val="0"/>
          <w:sz w:val="24"/>
        </w:rPr>
        <w:t>40</w:t>
      </w:r>
      <w:r>
        <w:rPr>
          <w:rFonts w:eastAsiaTheme="minorEastAsia"/>
          <w:snapToGrid w:val="0"/>
          <w:kern w:val="0"/>
          <w:sz w:val="24"/>
        </w:rPr>
        <w:t>0m</w:t>
      </w:r>
      <w:r>
        <w:rPr>
          <w:rFonts w:eastAsiaTheme="minorEastAsia" w:hint="eastAsia"/>
          <w:snapToGrid w:val="0"/>
          <w:kern w:val="0"/>
          <w:sz w:val="24"/>
        </w:rPr>
        <w:t>内无</w:t>
      </w:r>
      <w:r>
        <w:rPr>
          <w:rFonts w:eastAsiaTheme="minorEastAsia" w:hAnsiTheme="minorEastAsia"/>
          <w:snapToGrid w:val="0"/>
          <w:kern w:val="0"/>
          <w:sz w:val="24"/>
        </w:rPr>
        <w:t>地下水饮用水井，所以非正常工况下，污水渗漏不会对地下水流向下游居民点地下饮用水造成影响。项目建设对区域地下水环境影响较小。</w:t>
      </w:r>
    </w:p>
    <w:p w14:paraId="33A992E2" w14:textId="77777777" w:rsidR="00B14D53" w:rsidRDefault="00000000">
      <w:pPr>
        <w:spacing w:line="360" w:lineRule="auto"/>
        <w:jc w:val="center"/>
        <w:rPr>
          <w:rFonts w:eastAsiaTheme="minorEastAsia"/>
          <w:snapToGrid w:val="0"/>
          <w:kern w:val="0"/>
          <w:sz w:val="24"/>
        </w:rPr>
      </w:pPr>
      <w:r>
        <w:rPr>
          <w:noProof/>
        </w:rPr>
        <w:drawing>
          <wp:inline distT="0" distB="0" distL="114300" distR="114300" wp14:anchorId="57582B99" wp14:editId="6C8D818B">
            <wp:extent cx="3966845" cy="2424430"/>
            <wp:effectExtent l="9525" t="9525" r="24130" b="23495"/>
            <wp:docPr id="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9"/>
                    <pic:cNvPicPr>
                      <a:picLocks noChangeAspect="1"/>
                    </pic:cNvPicPr>
                  </pic:nvPicPr>
                  <pic:blipFill>
                    <a:blip r:embed="rId61"/>
                    <a:srcRect l="3808" t="9816" r="2543" b="4320"/>
                    <a:stretch>
                      <a:fillRect/>
                    </a:stretch>
                  </pic:blipFill>
                  <pic:spPr>
                    <a:xfrm>
                      <a:off x="0" y="0"/>
                      <a:ext cx="3966845" cy="2424430"/>
                    </a:xfrm>
                    <a:prstGeom prst="rect">
                      <a:avLst/>
                    </a:prstGeom>
                    <a:noFill/>
                    <a:ln w="6350">
                      <a:solidFill>
                        <a:schemeClr val="tx1"/>
                      </a:solidFill>
                    </a:ln>
                  </pic:spPr>
                </pic:pic>
              </a:graphicData>
            </a:graphic>
          </wp:inline>
        </w:drawing>
      </w:r>
    </w:p>
    <w:p w14:paraId="0B74C04C" w14:textId="77777777" w:rsidR="00B14D53" w:rsidRDefault="00000000">
      <w:pPr>
        <w:jc w:val="center"/>
        <w:rPr>
          <w:b/>
          <w:bCs/>
        </w:rPr>
      </w:pPr>
      <w:r>
        <w:rPr>
          <w:rFonts w:hint="eastAsia"/>
          <w:b/>
          <w:bCs/>
        </w:rPr>
        <w:t>图</w:t>
      </w:r>
      <w:r>
        <w:rPr>
          <w:rFonts w:hint="eastAsia"/>
          <w:b/>
          <w:bCs/>
        </w:rPr>
        <w:t xml:space="preserve">5-2-4 </w:t>
      </w:r>
      <w:r>
        <w:rPr>
          <w:rFonts w:hint="eastAsia"/>
          <w:b/>
          <w:bCs/>
        </w:rPr>
        <w:t>氨氮到达厂界预测结果图</w:t>
      </w:r>
    </w:p>
    <w:p w14:paraId="1901DA92" w14:textId="77777777" w:rsidR="00B14D53" w:rsidRDefault="00B14D53">
      <w:pPr>
        <w:jc w:val="center"/>
        <w:rPr>
          <w:b/>
          <w:bCs/>
        </w:rPr>
      </w:pPr>
    </w:p>
    <w:p w14:paraId="772AE2A6" w14:textId="77777777" w:rsidR="00B14D53" w:rsidRDefault="00B14D53">
      <w:pPr>
        <w:jc w:val="center"/>
        <w:rPr>
          <w:b/>
          <w:bCs/>
        </w:rPr>
        <w:sectPr w:rsidR="00B14D53">
          <w:pgSz w:w="11906" w:h="16838"/>
          <w:pgMar w:top="1440" w:right="1800" w:bottom="1440" w:left="1800" w:header="851" w:footer="992" w:gutter="0"/>
          <w:cols w:space="425"/>
          <w:docGrid w:type="lines" w:linePitch="312"/>
        </w:sectPr>
      </w:pPr>
    </w:p>
    <w:p w14:paraId="4345E710"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5.2.3</w:t>
      </w:r>
      <w:r>
        <w:rPr>
          <w:rFonts w:ascii="Times New Roman" w:eastAsia="黑体" w:hAnsi="Times New Roman" w:cs="Times New Roman"/>
          <w:bCs/>
          <w:sz w:val="28"/>
          <w:szCs w:val="28"/>
        </w:rPr>
        <w:t>声环境影响预测与分析</w:t>
      </w:r>
    </w:p>
    <w:p w14:paraId="6BBE307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5.2.3.1</w:t>
      </w:r>
      <w:r>
        <w:rPr>
          <w:rFonts w:ascii="Times New Roman" w:eastAsia="黑体" w:hAnsi="Times New Roman" w:cs="Times New Roman"/>
          <w:b w:val="0"/>
          <w:sz w:val="24"/>
          <w:szCs w:val="24"/>
        </w:rPr>
        <w:t>主要噪声源</w:t>
      </w:r>
    </w:p>
    <w:p w14:paraId="7A575040" w14:textId="77777777" w:rsidR="00B14D53" w:rsidRDefault="00000000">
      <w:pPr>
        <w:pStyle w:val="affffffffff"/>
        <w:spacing w:line="360" w:lineRule="auto"/>
        <w:ind w:firstLineChars="200" w:firstLine="480"/>
        <w:textAlignment w:val="center"/>
        <w:rPr>
          <w:rFonts w:eastAsiaTheme="minorEastAsia"/>
          <w:bCs/>
          <w:sz w:val="24"/>
          <w:szCs w:val="24"/>
        </w:rPr>
      </w:pPr>
      <w:r>
        <w:rPr>
          <w:rFonts w:asciiTheme="minorEastAsia" w:eastAsiaTheme="minorEastAsia" w:hAnsiTheme="minorEastAsia"/>
          <w:bCs/>
          <w:sz w:val="24"/>
          <w:szCs w:val="24"/>
        </w:rPr>
        <w:t>①</w:t>
      </w:r>
      <w:r>
        <w:rPr>
          <w:rFonts w:eastAsiaTheme="minorEastAsia" w:hAnsiTheme="minorEastAsia"/>
          <w:bCs/>
          <w:sz w:val="24"/>
          <w:szCs w:val="24"/>
        </w:rPr>
        <w:t>源强调查</w:t>
      </w:r>
    </w:p>
    <w:p w14:paraId="02AE9879" w14:textId="77777777" w:rsidR="00B14D53" w:rsidRDefault="00000000">
      <w:pPr>
        <w:pStyle w:val="00"/>
        <w:rPr>
          <w:rFonts w:hAnsi="Times New Roman"/>
          <w:szCs w:val="28"/>
        </w:rPr>
      </w:pPr>
      <w:r>
        <w:rPr>
          <w:szCs w:val="28"/>
        </w:rPr>
        <w:t>项目室内噪声源的源强调查清单见表</w:t>
      </w:r>
      <w:r>
        <w:rPr>
          <w:rFonts w:hAnsi="Times New Roman"/>
          <w:szCs w:val="28"/>
        </w:rPr>
        <w:t>5-2-</w:t>
      </w:r>
      <w:r>
        <w:rPr>
          <w:rFonts w:hAnsi="Times New Roman" w:hint="eastAsia"/>
          <w:szCs w:val="28"/>
        </w:rPr>
        <w:t>2</w:t>
      </w:r>
      <w:r>
        <w:rPr>
          <w:rFonts w:hAnsi="Times New Roman"/>
          <w:szCs w:val="28"/>
        </w:rPr>
        <w:t>5</w:t>
      </w:r>
      <w:r>
        <w:rPr>
          <w:szCs w:val="28"/>
        </w:rPr>
        <w:t>。</w:t>
      </w:r>
    </w:p>
    <w:p w14:paraId="7F1BF8C0" w14:textId="77777777" w:rsidR="00B14D53" w:rsidRDefault="00000000">
      <w:pPr>
        <w:jc w:val="center"/>
        <w:rPr>
          <w:b/>
          <w:bCs/>
        </w:rPr>
      </w:pPr>
      <w:r>
        <w:rPr>
          <w:rFonts w:hint="eastAsia"/>
          <w:b/>
          <w:bCs/>
        </w:rPr>
        <w:t>表</w:t>
      </w:r>
      <w:r>
        <w:rPr>
          <w:rFonts w:hint="eastAsia"/>
          <w:b/>
          <w:bCs/>
        </w:rPr>
        <w:t xml:space="preserve">5-2-25 </w:t>
      </w:r>
      <w:r>
        <w:rPr>
          <w:rFonts w:hint="eastAsia"/>
          <w:b/>
          <w:bCs/>
        </w:rPr>
        <w:t>工业企业噪声强调查清单（室内声源）</w:t>
      </w:r>
    </w:p>
    <w:tbl>
      <w:tblPr>
        <w:tblW w:w="1343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4"/>
        <w:gridCol w:w="828"/>
        <w:gridCol w:w="966"/>
        <w:gridCol w:w="1286"/>
        <w:gridCol w:w="1119"/>
        <w:gridCol w:w="845"/>
        <w:gridCol w:w="832"/>
        <w:gridCol w:w="804"/>
        <w:gridCol w:w="832"/>
        <w:gridCol w:w="900"/>
        <w:gridCol w:w="1009"/>
        <w:gridCol w:w="723"/>
        <w:gridCol w:w="850"/>
        <w:gridCol w:w="993"/>
        <w:gridCol w:w="992"/>
      </w:tblGrid>
      <w:tr w:rsidR="00B14D53" w14:paraId="321C8E45" w14:textId="77777777">
        <w:trPr>
          <w:jc w:val="center"/>
        </w:trPr>
        <w:tc>
          <w:tcPr>
            <w:tcW w:w="454" w:type="dxa"/>
            <w:vMerge w:val="restart"/>
            <w:vAlign w:val="center"/>
          </w:tcPr>
          <w:p w14:paraId="6F22D0B1"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序号</w:t>
            </w:r>
          </w:p>
        </w:tc>
        <w:tc>
          <w:tcPr>
            <w:tcW w:w="828" w:type="dxa"/>
            <w:vMerge w:val="restart"/>
            <w:vAlign w:val="center"/>
          </w:tcPr>
          <w:p w14:paraId="25ACF948"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建筑物名称</w:t>
            </w:r>
          </w:p>
        </w:tc>
        <w:tc>
          <w:tcPr>
            <w:tcW w:w="966" w:type="dxa"/>
            <w:vMerge w:val="restart"/>
            <w:vAlign w:val="center"/>
          </w:tcPr>
          <w:p w14:paraId="77E4170B"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声源名称</w:t>
            </w:r>
          </w:p>
        </w:tc>
        <w:tc>
          <w:tcPr>
            <w:tcW w:w="1286" w:type="dxa"/>
            <w:vMerge w:val="restart"/>
            <w:vAlign w:val="center"/>
          </w:tcPr>
          <w:p w14:paraId="045503AD"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型号</w:t>
            </w:r>
          </w:p>
        </w:tc>
        <w:tc>
          <w:tcPr>
            <w:tcW w:w="1119" w:type="dxa"/>
            <w:vAlign w:val="center"/>
          </w:tcPr>
          <w:p w14:paraId="4C7AAEEE"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声源源强</w:t>
            </w:r>
          </w:p>
        </w:tc>
        <w:tc>
          <w:tcPr>
            <w:tcW w:w="845" w:type="dxa"/>
            <w:vMerge w:val="restart"/>
            <w:vAlign w:val="center"/>
          </w:tcPr>
          <w:p w14:paraId="1995CB50"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声源控制措施</w:t>
            </w:r>
          </w:p>
        </w:tc>
        <w:tc>
          <w:tcPr>
            <w:tcW w:w="2468" w:type="dxa"/>
            <w:gridSpan w:val="3"/>
            <w:vAlign w:val="center"/>
          </w:tcPr>
          <w:p w14:paraId="22A5704A"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空间相对位置</w:t>
            </w:r>
            <w:r>
              <w:rPr>
                <w:rFonts w:hAnsi="Times New Roman"/>
                <w:b/>
                <w:bCs/>
                <w:sz w:val="21"/>
                <w:szCs w:val="21"/>
              </w:rPr>
              <w:t>/m</w:t>
            </w:r>
          </w:p>
        </w:tc>
        <w:tc>
          <w:tcPr>
            <w:tcW w:w="900" w:type="dxa"/>
            <w:vMerge w:val="restart"/>
            <w:vAlign w:val="center"/>
          </w:tcPr>
          <w:p w14:paraId="3FD19183"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距室内边界距离</w:t>
            </w:r>
          </w:p>
        </w:tc>
        <w:tc>
          <w:tcPr>
            <w:tcW w:w="1009" w:type="dxa"/>
            <w:vMerge w:val="restart"/>
            <w:vAlign w:val="center"/>
          </w:tcPr>
          <w:p w14:paraId="65C82521"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室内边界声级</w:t>
            </w:r>
            <w:r>
              <w:rPr>
                <w:rFonts w:hAnsi="Times New Roman"/>
                <w:b/>
                <w:bCs/>
                <w:sz w:val="21"/>
                <w:szCs w:val="21"/>
              </w:rPr>
              <w:t>/dB</w:t>
            </w:r>
            <w:r>
              <w:rPr>
                <w:b/>
                <w:bCs/>
                <w:sz w:val="21"/>
                <w:szCs w:val="21"/>
              </w:rPr>
              <w:t>（</w:t>
            </w:r>
            <w:r>
              <w:rPr>
                <w:rFonts w:hAnsi="Times New Roman"/>
                <w:b/>
                <w:bCs/>
                <w:sz w:val="21"/>
                <w:szCs w:val="21"/>
              </w:rPr>
              <w:t>A</w:t>
            </w:r>
            <w:r>
              <w:rPr>
                <w:b/>
                <w:bCs/>
                <w:sz w:val="21"/>
                <w:szCs w:val="21"/>
              </w:rPr>
              <w:t>）</w:t>
            </w:r>
          </w:p>
        </w:tc>
        <w:tc>
          <w:tcPr>
            <w:tcW w:w="723" w:type="dxa"/>
            <w:vMerge w:val="restart"/>
            <w:vAlign w:val="center"/>
          </w:tcPr>
          <w:p w14:paraId="4A455B53"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运行时段</w:t>
            </w:r>
          </w:p>
        </w:tc>
        <w:tc>
          <w:tcPr>
            <w:tcW w:w="850" w:type="dxa"/>
            <w:vMerge w:val="restart"/>
            <w:vAlign w:val="center"/>
          </w:tcPr>
          <w:p w14:paraId="61CD4E0D"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建筑物插入损失</w:t>
            </w:r>
          </w:p>
        </w:tc>
        <w:tc>
          <w:tcPr>
            <w:tcW w:w="1985" w:type="dxa"/>
            <w:gridSpan w:val="2"/>
            <w:vAlign w:val="center"/>
          </w:tcPr>
          <w:p w14:paraId="1C382CD4"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建筑物外噪声</w:t>
            </w:r>
          </w:p>
        </w:tc>
      </w:tr>
      <w:tr w:rsidR="00B14D53" w14:paraId="32E90F2F" w14:textId="77777777">
        <w:trPr>
          <w:trHeight w:val="99"/>
          <w:jc w:val="center"/>
        </w:trPr>
        <w:tc>
          <w:tcPr>
            <w:tcW w:w="454" w:type="dxa"/>
            <w:vMerge/>
            <w:vAlign w:val="center"/>
          </w:tcPr>
          <w:p w14:paraId="0C8AAAF6" w14:textId="77777777" w:rsidR="00B14D53" w:rsidRDefault="00B14D53">
            <w:pPr>
              <w:pStyle w:val="00"/>
              <w:spacing w:line="240" w:lineRule="auto"/>
              <w:ind w:firstLineChars="0" w:firstLine="0"/>
              <w:jc w:val="center"/>
              <w:rPr>
                <w:rFonts w:hAnsi="Times New Roman"/>
                <w:b/>
                <w:bCs/>
                <w:sz w:val="21"/>
                <w:szCs w:val="21"/>
              </w:rPr>
            </w:pPr>
          </w:p>
        </w:tc>
        <w:tc>
          <w:tcPr>
            <w:tcW w:w="828" w:type="dxa"/>
            <w:vMerge/>
            <w:vAlign w:val="center"/>
          </w:tcPr>
          <w:p w14:paraId="3ECD5431" w14:textId="77777777" w:rsidR="00B14D53" w:rsidRDefault="00B14D53">
            <w:pPr>
              <w:pStyle w:val="00"/>
              <w:spacing w:line="240" w:lineRule="auto"/>
              <w:ind w:firstLineChars="0" w:firstLine="0"/>
              <w:jc w:val="center"/>
              <w:rPr>
                <w:rFonts w:hAnsi="Times New Roman"/>
                <w:b/>
                <w:bCs/>
                <w:sz w:val="21"/>
                <w:szCs w:val="21"/>
              </w:rPr>
            </w:pPr>
          </w:p>
        </w:tc>
        <w:tc>
          <w:tcPr>
            <w:tcW w:w="966" w:type="dxa"/>
            <w:vMerge/>
            <w:vAlign w:val="center"/>
          </w:tcPr>
          <w:p w14:paraId="6623B7D0" w14:textId="77777777" w:rsidR="00B14D53" w:rsidRDefault="00B14D53">
            <w:pPr>
              <w:pStyle w:val="00"/>
              <w:spacing w:line="240" w:lineRule="auto"/>
              <w:ind w:firstLineChars="0" w:firstLine="0"/>
              <w:jc w:val="center"/>
              <w:rPr>
                <w:rFonts w:hAnsi="Times New Roman"/>
                <w:b/>
                <w:bCs/>
                <w:sz w:val="21"/>
                <w:szCs w:val="21"/>
              </w:rPr>
            </w:pPr>
          </w:p>
        </w:tc>
        <w:tc>
          <w:tcPr>
            <w:tcW w:w="1286" w:type="dxa"/>
            <w:vMerge/>
            <w:vAlign w:val="center"/>
          </w:tcPr>
          <w:p w14:paraId="034F8281" w14:textId="77777777" w:rsidR="00B14D53" w:rsidRDefault="00B14D53">
            <w:pPr>
              <w:pStyle w:val="00"/>
              <w:spacing w:line="240" w:lineRule="auto"/>
              <w:ind w:firstLineChars="0" w:firstLine="0"/>
              <w:jc w:val="center"/>
              <w:rPr>
                <w:rFonts w:hAnsi="Times New Roman"/>
                <w:b/>
                <w:bCs/>
                <w:sz w:val="21"/>
                <w:szCs w:val="21"/>
              </w:rPr>
            </w:pPr>
          </w:p>
        </w:tc>
        <w:tc>
          <w:tcPr>
            <w:tcW w:w="1119" w:type="dxa"/>
            <w:vAlign w:val="center"/>
          </w:tcPr>
          <w:p w14:paraId="1C4E3D79"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声功率级</w:t>
            </w:r>
            <w:r>
              <w:rPr>
                <w:rFonts w:hAnsi="Times New Roman"/>
                <w:b/>
                <w:bCs/>
                <w:sz w:val="21"/>
                <w:szCs w:val="21"/>
              </w:rPr>
              <w:t>/dB</w:t>
            </w:r>
            <w:r>
              <w:rPr>
                <w:b/>
                <w:bCs/>
                <w:sz w:val="21"/>
                <w:szCs w:val="21"/>
              </w:rPr>
              <w:t>（</w:t>
            </w:r>
            <w:r>
              <w:rPr>
                <w:rFonts w:hAnsi="Times New Roman"/>
                <w:b/>
                <w:bCs/>
                <w:sz w:val="21"/>
                <w:szCs w:val="21"/>
              </w:rPr>
              <w:t>A</w:t>
            </w:r>
            <w:r>
              <w:rPr>
                <w:b/>
                <w:bCs/>
                <w:sz w:val="21"/>
                <w:szCs w:val="21"/>
              </w:rPr>
              <w:t>）</w:t>
            </w:r>
          </w:p>
        </w:tc>
        <w:tc>
          <w:tcPr>
            <w:tcW w:w="845" w:type="dxa"/>
            <w:vMerge/>
            <w:vAlign w:val="center"/>
          </w:tcPr>
          <w:p w14:paraId="0098FDB1" w14:textId="77777777" w:rsidR="00B14D53" w:rsidRDefault="00B14D53">
            <w:pPr>
              <w:pStyle w:val="00"/>
              <w:spacing w:line="240" w:lineRule="auto"/>
              <w:ind w:firstLineChars="0" w:firstLine="0"/>
              <w:jc w:val="center"/>
              <w:rPr>
                <w:rFonts w:hAnsi="Times New Roman"/>
                <w:b/>
                <w:bCs/>
                <w:sz w:val="21"/>
                <w:szCs w:val="21"/>
              </w:rPr>
            </w:pPr>
          </w:p>
        </w:tc>
        <w:tc>
          <w:tcPr>
            <w:tcW w:w="832" w:type="dxa"/>
            <w:vAlign w:val="center"/>
          </w:tcPr>
          <w:p w14:paraId="0849124C" w14:textId="77777777" w:rsidR="00B14D53" w:rsidRDefault="00000000">
            <w:pPr>
              <w:pStyle w:val="00"/>
              <w:spacing w:line="240" w:lineRule="auto"/>
              <w:ind w:firstLineChars="0" w:firstLine="0"/>
              <w:jc w:val="center"/>
              <w:rPr>
                <w:rFonts w:hAnsi="Times New Roman"/>
                <w:b/>
                <w:bCs/>
                <w:sz w:val="21"/>
                <w:szCs w:val="21"/>
              </w:rPr>
            </w:pPr>
            <w:r>
              <w:rPr>
                <w:rFonts w:hAnsi="Times New Roman"/>
                <w:b/>
                <w:bCs/>
                <w:sz w:val="21"/>
                <w:szCs w:val="21"/>
              </w:rPr>
              <w:t>X</w:t>
            </w:r>
          </w:p>
        </w:tc>
        <w:tc>
          <w:tcPr>
            <w:tcW w:w="804" w:type="dxa"/>
            <w:vAlign w:val="center"/>
          </w:tcPr>
          <w:p w14:paraId="764F9A6A" w14:textId="77777777" w:rsidR="00B14D53" w:rsidRDefault="00000000">
            <w:pPr>
              <w:pStyle w:val="00"/>
              <w:spacing w:line="240" w:lineRule="auto"/>
              <w:ind w:firstLineChars="0" w:firstLine="0"/>
              <w:jc w:val="center"/>
              <w:rPr>
                <w:rFonts w:hAnsi="Times New Roman"/>
                <w:b/>
                <w:bCs/>
                <w:sz w:val="21"/>
                <w:szCs w:val="21"/>
              </w:rPr>
            </w:pPr>
            <w:r>
              <w:rPr>
                <w:rFonts w:hAnsi="Times New Roman"/>
                <w:b/>
                <w:bCs/>
                <w:sz w:val="21"/>
                <w:szCs w:val="21"/>
              </w:rPr>
              <w:t>Y</w:t>
            </w:r>
          </w:p>
        </w:tc>
        <w:tc>
          <w:tcPr>
            <w:tcW w:w="832" w:type="dxa"/>
            <w:vAlign w:val="center"/>
          </w:tcPr>
          <w:p w14:paraId="66E3D1AC" w14:textId="77777777" w:rsidR="00B14D53" w:rsidRDefault="00000000">
            <w:pPr>
              <w:pStyle w:val="00"/>
              <w:spacing w:line="240" w:lineRule="auto"/>
              <w:ind w:firstLineChars="0" w:firstLine="0"/>
              <w:jc w:val="center"/>
              <w:rPr>
                <w:rFonts w:hAnsi="Times New Roman"/>
                <w:b/>
                <w:bCs/>
                <w:sz w:val="21"/>
                <w:szCs w:val="21"/>
              </w:rPr>
            </w:pPr>
            <w:r>
              <w:rPr>
                <w:rFonts w:hAnsi="Times New Roman"/>
                <w:b/>
                <w:bCs/>
                <w:sz w:val="21"/>
                <w:szCs w:val="21"/>
              </w:rPr>
              <w:t>Z</w:t>
            </w:r>
          </w:p>
        </w:tc>
        <w:tc>
          <w:tcPr>
            <w:tcW w:w="900" w:type="dxa"/>
            <w:vMerge/>
            <w:vAlign w:val="center"/>
          </w:tcPr>
          <w:p w14:paraId="4CEFB123" w14:textId="77777777" w:rsidR="00B14D53" w:rsidRDefault="00B14D53">
            <w:pPr>
              <w:pStyle w:val="00"/>
              <w:spacing w:line="240" w:lineRule="auto"/>
              <w:ind w:firstLineChars="0" w:firstLine="0"/>
              <w:jc w:val="center"/>
              <w:rPr>
                <w:rFonts w:hAnsi="Times New Roman"/>
                <w:b/>
                <w:bCs/>
                <w:sz w:val="21"/>
                <w:szCs w:val="21"/>
              </w:rPr>
            </w:pPr>
          </w:p>
        </w:tc>
        <w:tc>
          <w:tcPr>
            <w:tcW w:w="1009" w:type="dxa"/>
            <w:vMerge/>
            <w:vAlign w:val="center"/>
          </w:tcPr>
          <w:p w14:paraId="226B7D02" w14:textId="77777777" w:rsidR="00B14D53" w:rsidRDefault="00B14D53">
            <w:pPr>
              <w:pStyle w:val="00"/>
              <w:spacing w:line="240" w:lineRule="auto"/>
              <w:ind w:firstLineChars="0" w:firstLine="0"/>
              <w:jc w:val="center"/>
              <w:rPr>
                <w:rFonts w:hAnsi="Times New Roman"/>
                <w:b/>
                <w:bCs/>
                <w:sz w:val="21"/>
                <w:szCs w:val="21"/>
              </w:rPr>
            </w:pPr>
          </w:p>
        </w:tc>
        <w:tc>
          <w:tcPr>
            <w:tcW w:w="723" w:type="dxa"/>
            <w:vMerge/>
            <w:vAlign w:val="center"/>
          </w:tcPr>
          <w:p w14:paraId="10A781C8" w14:textId="77777777" w:rsidR="00B14D53" w:rsidRDefault="00B14D53">
            <w:pPr>
              <w:pStyle w:val="00"/>
              <w:spacing w:line="240" w:lineRule="auto"/>
              <w:ind w:firstLineChars="0" w:firstLine="0"/>
              <w:jc w:val="center"/>
              <w:rPr>
                <w:rFonts w:hAnsi="Times New Roman"/>
                <w:b/>
                <w:bCs/>
                <w:sz w:val="21"/>
                <w:szCs w:val="21"/>
              </w:rPr>
            </w:pPr>
          </w:p>
        </w:tc>
        <w:tc>
          <w:tcPr>
            <w:tcW w:w="850" w:type="dxa"/>
            <w:vMerge/>
            <w:vAlign w:val="center"/>
          </w:tcPr>
          <w:p w14:paraId="052A9726" w14:textId="77777777" w:rsidR="00B14D53" w:rsidRDefault="00B14D53">
            <w:pPr>
              <w:pStyle w:val="00"/>
              <w:spacing w:line="240" w:lineRule="auto"/>
              <w:ind w:firstLineChars="0" w:firstLine="0"/>
              <w:jc w:val="center"/>
              <w:rPr>
                <w:rFonts w:hAnsi="Times New Roman"/>
                <w:b/>
                <w:bCs/>
                <w:sz w:val="21"/>
                <w:szCs w:val="21"/>
              </w:rPr>
            </w:pPr>
          </w:p>
        </w:tc>
        <w:tc>
          <w:tcPr>
            <w:tcW w:w="993" w:type="dxa"/>
            <w:vAlign w:val="center"/>
          </w:tcPr>
          <w:p w14:paraId="4DF536D7"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声压级</w:t>
            </w:r>
            <w:r>
              <w:rPr>
                <w:rFonts w:hAnsi="Times New Roman"/>
                <w:b/>
                <w:bCs/>
                <w:sz w:val="21"/>
                <w:szCs w:val="21"/>
              </w:rPr>
              <w:t>/dB</w:t>
            </w:r>
            <w:r>
              <w:rPr>
                <w:b/>
                <w:bCs/>
                <w:sz w:val="21"/>
                <w:szCs w:val="21"/>
              </w:rPr>
              <w:t>（</w:t>
            </w:r>
            <w:r>
              <w:rPr>
                <w:rFonts w:hAnsi="Times New Roman"/>
                <w:b/>
                <w:bCs/>
                <w:sz w:val="21"/>
                <w:szCs w:val="21"/>
              </w:rPr>
              <w:t>A</w:t>
            </w:r>
            <w:r>
              <w:rPr>
                <w:b/>
                <w:bCs/>
                <w:sz w:val="21"/>
                <w:szCs w:val="21"/>
              </w:rPr>
              <w:t>）</w:t>
            </w:r>
          </w:p>
        </w:tc>
        <w:tc>
          <w:tcPr>
            <w:tcW w:w="992" w:type="dxa"/>
            <w:vAlign w:val="center"/>
          </w:tcPr>
          <w:p w14:paraId="5345AC1F" w14:textId="77777777" w:rsidR="00B14D53" w:rsidRDefault="00000000">
            <w:pPr>
              <w:pStyle w:val="00"/>
              <w:spacing w:line="240" w:lineRule="auto"/>
              <w:ind w:firstLineChars="0" w:firstLine="0"/>
              <w:jc w:val="center"/>
              <w:rPr>
                <w:rFonts w:hAnsi="Times New Roman"/>
                <w:b/>
                <w:bCs/>
                <w:sz w:val="21"/>
                <w:szCs w:val="21"/>
              </w:rPr>
            </w:pPr>
            <w:r>
              <w:rPr>
                <w:b/>
                <w:bCs/>
                <w:sz w:val="21"/>
                <w:szCs w:val="21"/>
              </w:rPr>
              <w:t>建筑物外距离</w:t>
            </w:r>
          </w:p>
        </w:tc>
      </w:tr>
      <w:tr w:rsidR="00B14D53" w14:paraId="0C82D5FC" w14:textId="77777777">
        <w:trPr>
          <w:jc w:val="center"/>
        </w:trPr>
        <w:tc>
          <w:tcPr>
            <w:tcW w:w="454" w:type="dxa"/>
            <w:vAlign w:val="center"/>
          </w:tcPr>
          <w:p w14:paraId="31F84376"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1</w:t>
            </w:r>
          </w:p>
        </w:tc>
        <w:tc>
          <w:tcPr>
            <w:tcW w:w="828" w:type="dxa"/>
            <w:vMerge w:val="restart"/>
            <w:vAlign w:val="center"/>
          </w:tcPr>
          <w:p w14:paraId="1C40C0FD" w14:textId="77777777" w:rsidR="00B14D53" w:rsidRDefault="00000000">
            <w:pPr>
              <w:pStyle w:val="afffffffffe"/>
              <w:spacing w:after="0" w:line="240" w:lineRule="auto"/>
              <w:textAlignment w:val="center"/>
              <w:rPr>
                <w:rFonts w:eastAsiaTheme="minorEastAsia"/>
                <w:color w:val="auto"/>
                <w:sz w:val="21"/>
                <w:szCs w:val="21"/>
              </w:rPr>
            </w:pPr>
            <w:r>
              <w:rPr>
                <w:rFonts w:eastAsiaTheme="minorEastAsia" w:hint="eastAsia"/>
                <w:color w:val="auto"/>
                <w:sz w:val="21"/>
                <w:szCs w:val="21"/>
              </w:rPr>
              <w:t>屠宰车间</w:t>
            </w:r>
          </w:p>
        </w:tc>
        <w:tc>
          <w:tcPr>
            <w:tcW w:w="966" w:type="dxa"/>
            <w:vAlign w:val="center"/>
          </w:tcPr>
          <w:p w14:paraId="7B386972" w14:textId="77777777" w:rsidR="00B14D53" w:rsidRDefault="00000000">
            <w:pPr>
              <w:contextualSpacing/>
              <w:jc w:val="center"/>
              <w:rPr>
                <w:rFonts w:eastAsiaTheme="minorEastAsia"/>
                <w:szCs w:val="21"/>
              </w:rPr>
            </w:pPr>
            <w:r>
              <w:rPr>
                <w:szCs w:val="21"/>
              </w:rPr>
              <w:t>卧式三轴液压刨毛机</w:t>
            </w:r>
          </w:p>
        </w:tc>
        <w:tc>
          <w:tcPr>
            <w:tcW w:w="1286" w:type="dxa"/>
            <w:vAlign w:val="center"/>
          </w:tcPr>
          <w:p w14:paraId="3E323BD1" w14:textId="77777777" w:rsidR="00B14D53" w:rsidRDefault="00000000">
            <w:pPr>
              <w:contextualSpacing/>
              <w:jc w:val="center"/>
              <w:rPr>
                <w:szCs w:val="21"/>
              </w:rPr>
            </w:pPr>
            <w:r>
              <w:rPr>
                <w:szCs w:val="21"/>
              </w:rPr>
              <w:t>YBM300</w:t>
            </w:r>
          </w:p>
        </w:tc>
        <w:tc>
          <w:tcPr>
            <w:tcW w:w="1119" w:type="dxa"/>
            <w:vAlign w:val="center"/>
          </w:tcPr>
          <w:p w14:paraId="282D8F14"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restart"/>
            <w:vAlign w:val="center"/>
          </w:tcPr>
          <w:p w14:paraId="76D6B70C" w14:textId="77777777" w:rsidR="00B14D53" w:rsidRDefault="00000000">
            <w:pPr>
              <w:pStyle w:val="00"/>
              <w:spacing w:line="240" w:lineRule="auto"/>
              <w:ind w:firstLineChars="0" w:firstLine="0"/>
              <w:jc w:val="center"/>
              <w:rPr>
                <w:rFonts w:hAnsi="Times New Roman"/>
                <w:sz w:val="21"/>
                <w:szCs w:val="21"/>
              </w:rPr>
            </w:pPr>
            <w:r>
              <w:rPr>
                <w:sz w:val="21"/>
                <w:szCs w:val="21"/>
              </w:rPr>
              <w:t>基础减振、厂房隔声</w:t>
            </w:r>
            <w:r>
              <w:rPr>
                <w:rFonts w:hint="eastAsia"/>
                <w:sz w:val="21"/>
                <w:szCs w:val="21"/>
              </w:rPr>
              <w:t>、夜间不生产</w:t>
            </w:r>
            <w:r>
              <w:rPr>
                <w:sz w:val="21"/>
                <w:szCs w:val="21"/>
              </w:rPr>
              <w:t>措施</w:t>
            </w:r>
          </w:p>
        </w:tc>
        <w:tc>
          <w:tcPr>
            <w:tcW w:w="832" w:type="dxa"/>
            <w:vAlign w:val="center"/>
          </w:tcPr>
          <w:p w14:paraId="26393DD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36</w:t>
            </w:r>
          </w:p>
        </w:tc>
        <w:tc>
          <w:tcPr>
            <w:tcW w:w="804" w:type="dxa"/>
            <w:vAlign w:val="center"/>
          </w:tcPr>
          <w:p w14:paraId="7D0581D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72</w:t>
            </w:r>
          </w:p>
        </w:tc>
        <w:tc>
          <w:tcPr>
            <w:tcW w:w="832" w:type="dxa"/>
            <w:vAlign w:val="center"/>
          </w:tcPr>
          <w:p w14:paraId="57542705"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5269D0F1"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w:t>
            </w:r>
          </w:p>
        </w:tc>
        <w:tc>
          <w:tcPr>
            <w:tcW w:w="1009" w:type="dxa"/>
            <w:vAlign w:val="center"/>
          </w:tcPr>
          <w:p w14:paraId="40819D7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73.1</w:t>
            </w:r>
          </w:p>
        </w:tc>
        <w:tc>
          <w:tcPr>
            <w:tcW w:w="723" w:type="dxa"/>
            <w:vAlign w:val="center"/>
          </w:tcPr>
          <w:p w14:paraId="4783D2D9" w14:textId="77777777" w:rsidR="00B14D53" w:rsidRDefault="00000000">
            <w:pPr>
              <w:pStyle w:val="00"/>
              <w:spacing w:line="240" w:lineRule="auto"/>
              <w:ind w:firstLineChars="0" w:firstLine="0"/>
              <w:jc w:val="center"/>
              <w:rPr>
                <w:rFonts w:hAnsi="Times New Roman"/>
                <w:sz w:val="21"/>
                <w:szCs w:val="21"/>
              </w:rPr>
            </w:pPr>
            <w:r>
              <w:rPr>
                <w:sz w:val="21"/>
                <w:szCs w:val="21"/>
              </w:rPr>
              <w:t>连续</w:t>
            </w:r>
          </w:p>
        </w:tc>
        <w:tc>
          <w:tcPr>
            <w:tcW w:w="850" w:type="dxa"/>
            <w:vAlign w:val="center"/>
          </w:tcPr>
          <w:p w14:paraId="273CB423"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20</w:t>
            </w:r>
          </w:p>
        </w:tc>
        <w:tc>
          <w:tcPr>
            <w:tcW w:w="993" w:type="dxa"/>
            <w:vAlign w:val="center"/>
          </w:tcPr>
          <w:p w14:paraId="5ED76C5E" w14:textId="77777777" w:rsidR="00B14D53" w:rsidRDefault="00000000">
            <w:pPr>
              <w:widowControl/>
              <w:jc w:val="center"/>
              <w:textAlignment w:val="center"/>
              <w:rPr>
                <w:szCs w:val="21"/>
              </w:rPr>
            </w:pPr>
            <w:r>
              <w:rPr>
                <w:color w:val="000000"/>
                <w:kern w:val="0"/>
                <w:szCs w:val="21"/>
                <w:lang w:bidi="ar"/>
              </w:rPr>
              <w:t>53.1</w:t>
            </w:r>
          </w:p>
        </w:tc>
        <w:tc>
          <w:tcPr>
            <w:tcW w:w="992" w:type="dxa"/>
            <w:vAlign w:val="center"/>
          </w:tcPr>
          <w:p w14:paraId="09654132"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1m</w:t>
            </w:r>
          </w:p>
        </w:tc>
      </w:tr>
      <w:tr w:rsidR="00B14D53" w14:paraId="05CFAAA5" w14:textId="77777777">
        <w:trPr>
          <w:jc w:val="center"/>
        </w:trPr>
        <w:tc>
          <w:tcPr>
            <w:tcW w:w="454" w:type="dxa"/>
            <w:vAlign w:val="center"/>
          </w:tcPr>
          <w:p w14:paraId="1257EE94"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w:t>
            </w:r>
          </w:p>
        </w:tc>
        <w:tc>
          <w:tcPr>
            <w:tcW w:w="828" w:type="dxa"/>
            <w:vMerge/>
            <w:vAlign w:val="center"/>
          </w:tcPr>
          <w:p w14:paraId="526868EC" w14:textId="77777777" w:rsidR="00B14D53" w:rsidRDefault="00B14D53">
            <w:pPr>
              <w:pStyle w:val="afffffffffe"/>
              <w:spacing w:after="0" w:line="240" w:lineRule="auto"/>
              <w:textAlignment w:val="center"/>
              <w:rPr>
                <w:rFonts w:eastAsiaTheme="minorEastAsia"/>
                <w:color w:val="auto"/>
                <w:sz w:val="21"/>
                <w:szCs w:val="21"/>
                <w:lang w:val="zh-CN"/>
              </w:rPr>
            </w:pPr>
          </w:p>
        </w:tc>
        <w:tc>
          <w:tcPr>
            <w:tcW w:w="966" w:type="dxa"/>
            <w:vAlign w:val="center"/>
          </w:tcPr>
          <w:p w14:paraId="0A8E18AE" w14:textId="77777777" w:rsidR="00B14D53" w:rsidRDefault="00000000">
            <w:pPr>
              <w:jc w:val="center"/>
              <w:rPr>
                <w:rFonts w:eastAsiaTheme="minorEastAsia"/>
                <w:szCs w:val="21"/>
              </w:rPr>
            </w:pPr>
            <w:r>
              <w:rPr>
                <w:rFonts w:hint="eastAsia"/>
                <w:szCs w:val="21"/>
              </w:rPr>
              <w:t>电麻机</w:t>
            </w:r>
          </w:p>
        </w:tc>
        <w:tc>
          <w:tcPr>
            <w:tcW w:w="1286" w:type="dxa"/>
            <w:vAlign w:val="center"/>
          </w:tcPr>
          <w:p w14:paraId="085570C1" w14:textId="77777777" w:rsidR="00B14D53" w:rsidRDefault="00000000">
            <w:pPr>
              <w:contextualSpacing/>
              <w:jc w:val="center"/>
              <w:rPr>
                <w:rFonts w:eastAsiaTheme="minorEastAsia"/>
                <w:spacing w:val="-11"/>
                <w:szCs w:val="21"/>
              </w:rPr>
            </w:pPr>
            <w:r>
              <w:rPr>
                <w:rFonts w:eastAsiaTheme="minorEastAsia" w:hint="eastAsia"/>
                <w:spacing w:val="-11"/>
                <w:szCs w:val="21"/>
              </w:rPr>
              <w:t>/</w:t>
            </w:r>
          </w:p>
        </w:tc>
        <w:tc>
          <w:tcPr>
            <w:tcW w:w="1119" w:type="dxa"/>
            <w:vAlign w:val="center"/>
          </w:tcPr>
          <w:p w14:paraId="50D34FAA" w14:textId="77777777" w:rsidR="00B14D53" w:rsidRDefault="00000000">
            <w:pPr>
              <w:jc w:val="center"/>
              <w:rPr>
                <w:rFonts w:eastAsiaTheme="minorEastAsia"/>
                <w:snapToGrid w:val="0"/>
                <w:szCs w:val="21"/>
              </w:rPr>
            </w:pPr>
            <w:r>
              <w:rPr>
                <w:rFonts w:eastAsiaTheme="minorEastAsia" w:hint="eastAsia"/>
                <w:snapToGrid w:val="0"/>
                <w:szCs w:val="21"/>
              </w:rPr>
              <w:t>75</w:t>
            </w:r>
          </w:p>
        </w:tc>
        <w:tc>
          <w:tcPr>
            <w:tcW w:w="845" w:type="dxa"/>
            <w:vMerge/>
            <w:vAlign w:val="center"/>
          </w:tcPr>
          <w:p w14:paraId="55A40566"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106FEF54"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34</w:t>
            </w:r>
          </w:p>
        </w:tc>
        <w:tc>
          <w:tcPr>
            <w:tcW w:w="804" w:type="dxa"/>
            <w:vAlign w:val="center"/>
          </w:tcPr>
          <w:p w14:paraId="313D11C1"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84</w:t>
            </w:r>
          </w:p>
        </w:tc>
        <w:tc>
          <w:tcPr>
            <w:tcW w:w="832" w:type="dxa"/>
            <w:vAlign w:val="center"/>
          </w:tcPr>
          <w:p w14:paraId="0EDEE159"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1777CAB5" w14:textId="77777777" w:rsidR="00B14D53" w:rsidRDefault="00000000">
            <w:pPr>
              <w:jc w:val="center"/>
              <w:rPr>
                <w:rFonts w:eastAsiaTheme="minorEastAsia"/>
                <w:szCs w:val="21"/>
              </w:rPr>
            </w:pPr>
            <w:r>
              <w:rPr>
                <w:rFonts w:eastAsiaTheme="minorEastAsia" w:hint="eastAsia"/>
                <w:szCs w:val="21"/>
              </w:rPr>
              <w:t>9</w:t>
            </w:r>
          </w:p>
        </w:tc>
        <w:tc>
          <w:tcPr>
            <w:tcW w:w="1009" w:type="dxa"/>
            <w:vAlign w:val="center"/>
          </w:tcPr>
          <w:p w14:paraId="69A83E25"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55.9</w:t>
            </w:r>
          </w:p>
        </w:tc>
        <w:tc>
          <w:tcPr>
            <w:tcW w:w="723" w:type="dxa"/>
            <w:vAlign w:val="center"/>
          </w:tcPr>
          <w:p w14:paraId="7664FAB6" w14:textId="77777777" w:rsidR="00B14D53" w:rsidRDefault="00000000">
            <w:pPr>
              <w:pStyle w:val="00"/>
              <w:spacing w:line="240" w:lineRule="auto"/>
              <w:ind w:firstLineChars="0" w:firstLine="0"/>
              <w:jc w:val="center"/>
              <w:rPr>
                <w:rFonts w:hAnsi="Times New Roman"/>
                <w:sz w:val="21"/>
                <w:szCs w:val="21"/>
              </w:rPr>
            </w:pPr>
            <w:r>
              <w:rPr>
                <w:sz w:val="21"/>
                <w:szCs w:val="21"/>
              </w:rPr>
              <w:t>连续</w:t>
            </w:r>
          </w:p>
        </w:tc>
        <w:tc>
          <w:tcPr>
            <w:tcW w:w="850" w:type="dxa"/>
            <w:vAlign w:val="center"/>
          </w:tcPr>
          <w:p w14:paraId="1AF32031"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20</w:t>
            </w:r>
          </w:p>
        </w:tc>
        <w:tc>
          <w:tcPr>
            <w:tcW w:w="993" w:type="dxa"/>
            <w:vAlign w:val="center"/>
          </w:tcPr>
          <w:p w14:paraId="7C26A5E1" w14:textId="77777777" w:rsidR="00B14D53" w:rsidRDefault="00000000">
            <w:pPr>
              <w:widowControl/>
              <w:jc w:val="center"/>
              <w:textAlignment w:val="center"/>
              <w:rPr>
                <w:rFonts w:eastAsiaTheme="minorEastAsia"/>
                <w:szCs w:val="21"/>
              </w:rPr>
            </w:pPr>
            <w:r>
              <w:rPr>
                <w:color w:val="000000"/>
                <w:kern w:val="0"/>
                <w:szCs w:val="21"/>
                <w:lang w:bidi="ar"/>
              </w:rPr>
              <w:t>35.9</w:t>
            </w:r>
          </w:p>
        </w:tc>
        <w:tc>
          <w:tcPr>
            <w:tcW w:w="992" w:type="dxa"/>
            <w:vAlign w:val="center"/>
          </w:tcPr>
          <w:p w14:paraId="71B69DC6"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1m</w:t>
            </w:r>
          </w:p>
        </w:tc>
      </w:tr>
      <w:tr w:rsidR="00B14D53" w14:paraId="143F30A6" w14:textId="77777777">
        <w:trPr>
          <w:jc w:val="center"/>
        </w:trPr>
        <w:tc>
          <w:tcPr>
            <w:tcW w:w="454" w:type="dxa"/>
            <w:vAlign w:val="center"/>
          </w:tcPr>
          <w:p w14:paraId="0AD23D35"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3</w:t>
            </w:r>
          </w:p>
        </w:tc>
        <w:tc>
          <w:tcPr>
            <w:tcW w:w="828" w:type="dxa"/>
            <w:vMerge/>
            <w:vAlign w:val="center"/>
          </w:tcPr>
          <w:p w14:paraId="3E82D5BF" w14:textId="77777777" w:rsidR="00B14D53" w:rsidRDefault="00B14D53">
            <w:pPr>
              <w:pStyle w:val="afffffffffe"/>
              <w:spacing w:after="0" w:line="240" w:lineRule="auto"/>
              <w:textAlignment w:val="center"/>
              <w:rPr>
                <w:rFonts w:eastAsiaTheme="minorEastAsia"/>
                <w:color w:val="auto"/>
                <w:sz w:val="21"/>
                <w:szCs w:val="21"/>
              </w:rPr>
            </w:pPr>
          </w:p>
        </w:tc>
        <w:tc>
          <w:tcPr>
            <w:tcW w:w="966" w:type="dxa"/>
            <w:vAlign w:val="center"/>
          </w:tcPr>
          <w:p w14:paraId="3C4EE2C5" w14:textId="77777777" w:rsidR="00B14D53" w:rsidRDefault="00000000">
            <w:pPr>
              <w:contextualSpacing/>
              <w:jc w:val="center"/>
              <w:rPr>
                <w:rFonts w:eastAsiaTheme="minorEastAsia"/>
                <w:szCs w:val="21"/>
              </w:rPr>
            </w:pPr>
            <w:r>
              <w:rPr>
                <w:rFonts w:hint="eastAsia"/>
                <w:szCs w:val="21"/>
              </w:rPr>
              <w:t>提升机</w:t>
            </w:r>
          </w:p>
        </w:tc>
        <w:tc>
          <w:tcPr>
            <w:tcW w:w="1286" w:type="dxa"/>
            <w:vAlign w:val="center"/>
          </w:tcPr>
          <w:p w14:paraId="395E6600"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757BDDF2" w14:textId="77777777" w:rsidR="00B14D53" w:rsidRDefault="00000000">
            <w:pPr>
              <w:jc w:val="center"/>
              <w:rPr>
                <w:rFonts w:eastAsiaTheme="minorEastAsia"/>
                <w:snapToGrid w:val="0"/>
                <w:szCs w:val="21"/>
              </w:rPr>
            </w:pPr>
            <w:r>
              <w:rPr>
                <w:rFonts w:eastAsiaTheme="minorEastAsia" w:hint="eastAsia"/>
                <w:snapToGrid w:val="0"/>
                <w:szCs w:val="21"/>
              </w:rPr>
              <w:t>75</w:t>
            </w:r>
          </w:p>
        </w:tc>
        <w:tc>
          <w:tcPr>
            <w:tcW w:w="845" w:type="dxa"/>
            <w:vMerge/>
            <w:vAlign w:val="center"/>
          </w:tcPr>
          <w:p w14:paraId="2BFE85DA"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5E61B64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37</w:t>
            </w:r>
          </w:p>
        </w:tc>
        <w:tc>
          <w:tcPr>
            <w:tcW w:w="804" w:type="dxa"/>
            <w:vAlign w:val="center"/>
          </w:tcPr>
          <w:p w14:paraId="659A1FC6"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82</w:t>
            </w:r>
          </w:p>
        </w:tc>
        <w:tc>
          <w:tcPr>
            <w:tcW w:w="832" w:type="dxa"/>
            <w:vAlign w:val="center"/>
          </w:tcPr>
          <w:p w14:paraId="64C1DD4C"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7C539BCD" w14:textId="77777777" w:rsidR="00B14D53" w:rsidRDefault="00000000">
            <w:pPr>
              <w:jc w:val="center"/>
              <w:rPr>
                <w:rFonts w:eastAsiaTheme="minorEastAsia"/>
                <w:szCs w:val="21"/>
              </w:rPr>
            </w:pPr>
            <w:r>
              <w:rPr>
                <w:rFonts w:eastAsiaTheme="minorEastAsia" w:hint="eastAsia"/>
                <w:szCs w:val="21"/>
              </w:rPr>
              <w:t>7</w:t>
            </w:r>
          </w:p>
        </w:tc>
        <w:tc>
          <w:tcPr>
            <w:tcW w:w="1009" w:type="dxa"/>
            <w:vAlign w:val="center"/>
          </w:tcPr>
          <w:p w14:paraId="2E8CF698"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58.1</w:t>
            </w:r>
          </w:p>
        </w:tc>
        <w:tc>
          <w:tcPr>
            <w:tcW w:w="723" w:type="dxa"/>
            <w:vAlign w:val="center"/>
          </w:tcPr>
          <w:p w14:paraId="70DCE714" w14:textId="77777777" w:rsidR="00B14D53" w:rsidRDefault="00000000">
            <w:pPr>
              <w:pStyle w:val="00"/>
              <w:spacing w:line="240" w:lineRule="auto"/>
              <w:ind w:firstLineChars="0" w:firstLine="0"/>
              <w:jc w:val="center"/>
              <w:rPr>
                <w:rFonts w:hAnsi="Times New Roman"/>
                <w:sz w:val="21"/>
                <w:szCs w:val="21"/>
              </w:rPr>
            </w:pPr>
            <w:r>
              <w:rPr>
                <w:sz w:val="21"/>
                <w:szCs w:val="21"/>
              </w:rPr>
              <w:t>连续</w:t>
            </w:r>
          </w:p>
        </w:tc>
        <w:tc>
          <w:tcPr>
            <w:tcW w:w="850" w:type="dxa"/>
            <w:vAlign w:val="center"/>
          </w:tcPr>
          <w:p w14:paraId="6599DD81"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20</w:t>
            </w:r>
          </w:p>
        </w:tc>
        <w:tc>
          <w:tcPr>
            <w:tcW w:w="993" w:type="dxa"/>
            <w:vAlign w:val="center"/>
          </w:tcPr>
          <w:p w14:paraId="5AD385CA" w14:textId="77777777" w:rsidR="00B14D53" w:rsidRDefault="00000000">
            <w:pPr>
              <w:widowControl/>
              <w:jc w:val="center"/>
              <w:textAlignment w:val="center"/>
              <w:rPr>
                <w:rFonts w:eastAsiaTheme="minorEastAsia"/>
                <w:szCs w:val="21"/>
              </w:rPr>
            </w:pPr>
            <w:r>
              <w:rPr>
                <w:color w:val="000000"/>
                <w:kern w:val="0"/>
                <w:szCs w:val="21"/>
                <w:lang w:bidi="ar"/>
              </w:rPr>
              <w:t>38.1</w:t>
            </w:r>
          </w:p>
        </w:tc>
        <w:tc>
          <w:tcPr>
            <w:tcW w:w="992" w:type="dxa"/>
            <w:vAlign w:val="center"/>
          </w:tcPr>
          <w:p w14:paraId="7FC06DBF" w14:textId="77777777" w:rsidR="00B14D53" w:rsidRDefault="00000000">
            <w:pPr>
              <w:jc w:val="center"/>
              <w:rPr>
                <w:rFonts w:eastAsiaTheme="minorEastAsia"/>
              </w:rPr>
            </w:pPr>
            <w:r>
              <w:rPr>
                <w:rFonts w:eastAsiaTheme="minorEastAsia"/>
                <w:szCs w:val="21"/>
              </w:rPr>
              <w:t>1m</w:t>
            </w:r>
          </w:p>
        </w:tc>
      </w:tr>
      <w:tr w:rsidR="00B14D53" w14:paraId="272E0F6E" w14:textId="77777777">
        <w:trPr>
          <w:jc w:val="center"/>
        </w:trPr>
        <w:tc>
          <w:tcPr>
            <w:tcW w:w="454" w:type="dxa"/>
            <w:vAlign w:val="center"/>
          </w:tcPr>
          <w:p w14:paraId="573A184F"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4</w:t>
            </w:r>
          </w:p>
        </w:tc>
        <w:tc>
          <w:tcPr>
            <w:tcW w:w="828" w:type="dxa"/>
            <w:vMerge/>
            <w:vAlign w:val="center"/>
          </w:tcPr>
          <w:p w14:paraId="6AC37DE4" w14:textId="77777777" w:rsidR="00B14D53" w:rsidRDefault="00B14D53">
            <w:pPr>
              <w:pStyle w:val="afffffffffe"/>
              <w:spacing w:after="0" w:line="240" w:lineRule="auto"/>
              <w:textAlignment w:val="center"/>
              <w:rPr>
                <w:rFonts w:eastAsiaTheme="minorEastAsia"/>
                <w:color w:val="auto"/>
                <w:sz w:val="21"/>
                <w:szCs w:val="21"/>
              </w:rPr>
            </w:pPr>
          </w:p>
        </w:tc>
        <w:tc>
          <w:tcPr>
            <w:tcW w:w="966" w:type="dxa"/>
            <w:vAlign w:val="center"/>
          </w:tcPr>
          <w:p w14:paraId="68C182F2" w14:textId="77777777" w:rsidR="00B14D53" w:rsidRDefault="00000000">
            <w:pPr>
              <w:contextualSpacing/>
              <w:jc w:val="center"/>
              <w:rPr>
                <w:rFonts w:eastAsiaTheme="minorEastAsia"/>
                <w:szCs w:val="21"/>
              </w:rPr>
            </w:pPr>
            <w:r>
              <w:rPr>
                <w:rFonts w:hint="eastAsia"/>
                <w:szCs w:val="21"/>
              </w:rPr>
              <w:t>提升机</w:t>
            </w:r>
          </w:p>
        </w:tc>
        <w:tc>
          <w:tcPr>
            <w:tcW w:w="1286" w:type="dxa"/>
            <w:vAlign w:val="center"/>
          </w:tcPr>
          <w:p w14:paraId="62C96610"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635D6015" w14:textId="77777777" w:rsidR="00B14D53" w:rsidRDefault="00000000">
            <w:pPr>
              <w:jc w:val="center"/>
              <w:rPr>
                <w:rFonts w:eastAsiaTheme="minorEastAsia"/>
                <w:snapToGrid w:val="0"/>
                <w:szCs w:val="21"/>
              </w:rPr>
            </w:pPr>
            <w:r>
              <w:rPr>
                <w:rFonts w:eastAsiaTheme="minorEastAsia" w:hint="eastAsia"/>
                <w:snapToGrid w:val="0"/>
                <w:szCs w:val="21"/>
              </w:rPr>
              <w:t>75</w:t>
            </w:r>
          </w:p>
        </w:tc>
        <w:tc>
          <w:tcPr>
            <w:tcW w:w="845" w:type="dxa"/>
            <w:vMerge/>
            <w:vAlign w:val="center"/>
          </w:tcPr>
          <w:p w14:paraId="103BF187"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66AD9119" w14:textId="77777777" w:rsidR="00B14D53" w:rsidRDefault="00000000">
            <w:pPr>
              <w:jc w:val="center"/>
              <w:rPr>
                <w:rFonts w:eastAsiaTheme="minorEastAsia"/>
              </w:rPr>
            </w:pPr>
            <w:r>
              <w:rPr>
                <w:rFonts w:eastAsiaTheme="minorEastAsia" w:hint="eastAsia"/>
              </w:rPr>
              <w:t>32</w:t>
            </w:r>
          </w:p>
        </w:tc>
        <w:tc>
          <w:tcPr>
            <w:tcW w:w="804" w:type="dxa"/>
            <w:vAlign w:val="center"/>
          </w:tcPr>
          <w:p w14:paraId="2BA449B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82</w:t>
            </w:r>
          </w:p>
        </w:tc>
        <w:tc>
          <w:tcPr>
            <w:tcW w:w="832" w:type="dxa"/>
            <w:vAlign w:val="center"/>
          </w:tcPr>
          <w:p w14:paraId="58ADD9CF"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2089C799" w14:textId="77777777" w:rsidR="00B14D53" w:rsidRDefault="00000000">
            <w:pPr>
              <w:jc w:val="center"/>
              <w:rPr>
                <w:rFonts w:eastAsiaTheme="minorEastAsia"/>
                <w:szCs w:val="21"/>
              </w:rPr>
            </w:pPr>
            <w:r>
              <w:rPr>
                <w:rFonts w:eastAsiaTheme="minorEastAsia" w:hint="eastAsia"/>
                <w:szCs w:val="21"/>
              </w:rPr>
              <w:t>4</w:t>
            </w:r>
          </w:p>
        </w:tc>
        <w:tc>
          <w:tcPr>
            <w:tcW w:w="1009" w:type="dxa"/>
            <w:vAlign w:val="center"/>
          </w:tcPr>
          <w:p w14:paraId="60BAF38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63</w:t>
            </w:r>
          </w:p>
        </w:tc>
        <w:tc>
          <w:tcPr>
            <w:tcW w:w="723" w:type="dxa"/>
            <w:vAlign w:val="center"/>
          </w:tcPr>
          <w:p w14:paraId="7F1E402F" w14:textId="77777777" w:rsidR="00B14D53" w:rsidRDefault="00000000">
            <w:pPr>
              <w:pStyle w:val="00"/>
              <w:spacing w:line="240" w:lineRule="auto"/>
              <w:ind w:firstLineChars="0" w:firstLine="0"/>
              <w:jc w:val="center"/>
              <w:rPr>
                <w:rFonts w:hAnsi="Times New Roman"/>
                <w:sz w:val="21"/>
                <w:szCs w:val="21"/>
              </w:rPr>
            </w:pPr>
            <w:r>
              <w:rPr>
                <w:sz w:val="21"/>
                <w:szCs w:val="21"/>
              </w:rPr>
              <w:t>连续</w:t>
            </w:r>
          </w:p>
        </w:tc>
        <w:tc>
          <w:tcPr>
            <w:tcW w:w="850" w:type="dxa"/>
            <w:vAlign w:val="center"/>
          </w:tcPr>
          <w:p w14:paraId="469154B8"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20</w:t>
            </w:r>
          </w:p>
        </w:tc>
        <w:tc>
          <w:tcPr>
            <w:tcW w:w="993" w:type="dxa"/>
            <w:vAlign w:val="center"/>
          </w:tcPr>
          <w:p w14:paraId="506BE43E" w14:textId="77777777" w:rsidR="00B14D53" w:rsidRDefault="00000000">
            <w:pPr>
              <w:widowControl/>
              <w:jc w:val="center"/>
              <w:textAlignment w:val="center"/>
              <w:rPr>
                <w:rFonts w:eastAsiaTheme="minorEastAsia"/>
                <w:szCs w:val="21"/>
              </w:rPr>
            </w:pPr>
            <w:r>
              <w:rPr>
                <w:color w:val="000000"/>
                <w:kern w:val="0"/>
                <w:szCs w:val="21"/>
                <w:lang w:bidi="ar"/>
              </w:rPr>
              <w:t>43</w:t>
            </w:r>
          </w:p>
        </w:tc>
        <w:tc>
          <w:tcPr>
            <w:tcW w:w="992" w:type="dxa"/>
            <w:vAlign w:val="center"/>
          </w:tcPr>
          <w:p w14:paraId="562010B7" w14:textId="77777777" w:rsidR="00B14D53" w:rsidRDefault="00000000">
            <w:pPr>
              <w:jc w:val="center"/>
              <w:rPr>
                <w:rFonts w:eastAsiaTheme="minorEastAsia"/>
              </w:rPr>
            </w:pPr>
            <w:r>
              <w:rPr>
                <w:rFonts w:eastAsiaTheme="minorEastAsia"/>
                <w:szCs w:val="21"/>
              </w:rPr>
              <w:t>1m</w:t>
            </w:r>
          </w:p>
        </w:tc>
      </w:tr>
      <w:tr w:rsidR="00B14D53" w14:paraId="7E3F6D67" w14:textId="77777777">
        <w:trPr>
          <w:jc w:val="center"/>
        </w:trPr>
        <w:tc>
          <w:tcPr>
            <w:tcW w:w="454" w:type="dxa"/>
            <w:vAlign w:val="center"/>
          </w:tcPr>
          <w:p w14:paraId="2D12A55C"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5</w:t>
            </w:r>
          </w:p>
        </w:tc>
        <w:tc>
          <w:tcPr>
            <w:tcW w:w="828" w:type="dxa"/>
            <w:vMerge/>
            <w:vAlign w:val="center"/>
          </w:tcPr>
          <w:p w14:paraId="3F5E8F51" w14:textId="77777777" w:rsidR="00B14D53" w:rsidRDefault="00B14D53">
            <w:pPr>
              <w:pStyle w:val="afffffffffe"/>
              <w:spacing w:after="0" w:line="240" w:lineRule="auto"/>
              <w:textAlignment w:val="center"/>
              <w:rPr>
                <w:rFonts w:eastAsiaTheme="minorEastAsia"/>
                <w:color w:val="auto"/>
                <w:sz w:val="21"/>
                <w:szCs w:val="21"/>
              </w:rPr>
            </w:pPr>
          </w:p>
        </w:tc>
        <w:tc>
          <w:tcPr>
            <w:tcW w:w="966" w:type="dxa"/>
            <w:vAlign w:val="center"/>
          </w:tcPr>
          <w:p w14:paraId="29ACE88D" w14:textId="77777777" w:rsidR="00B14D53" w:rsidRDefault="00000000">
            <w:pPr>
              <w:jc w:val="center"/>
              <w:rPr>
                <w:rFonts w:eastAsiaTheme="minorEastAsia"/>
                <w:szCs w:val="21"/>
              </w:rPr>
            </w:pPr>
            <w:r>
              <w:rPr>
                <w:rFonts w:hint="eastAsia"/>
                <w:szCs w:val="21"/>
              </w:rPr>
              <w:t>电动劈半锯</w:t>
            </w:r>
          </w:p>
        </w:tc>
        <w:tc>
          <w:tcPr>
            <w:tcW w:w="1286" w:type="dxa"/>
            <w:vAlign w:val="center"/>
          </w:tcPr>
          <w:p w14:paraId="69621FB1"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7466CB86"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ign w:val="center"/>
          </w:tcPr>
          <w:p w14:paraId="269AC80C"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1AF92B49" w14:textId="77777777" w:rsidR="00B14D53" w:rsidRDefault="00000000">
            <w:pPr>
              <w:jc w:val="center"/>
              <w:rPr>
                <w:rFonts w:eastAsiaTheme="minorEastAsia"/>
              </w:rPr>
            </w:pPr>
            <w:r>
              <w:rPr>
                <w:rFonts w:eastAsiaTheme="minorEastAsia" w:hint="eastAsia"/>
              </w:rPr>
              <w:t>36</w:t>
            </w:r>
          </w:p>
        </w:tc>
        <w:tc>
          <w:tcPr>
            <w:tcW w:w="804" w:type="dxa"/>
            <w:vAlign w:val="center"/>
          </w:tcPr>
          <w:p w14:paraId="63FE4877"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65</w:t>
            </w:r>
          </w:p>
        </w:tc>
        <w:tc>
          <w:tcPr>
            <w:tcW w:w="832" w:type="dxa"/>
            <w:vAlign w:val="center"/>
          </w:tcPr>
          <w:p w14:paraId="2D2ED8DF"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79429C1B" w14:textId="77777777" w:rsidR="00B14D53" w:rsidRDefault="00000000">
            <w:pPr>
              <w:jc w:val="center"/>
              <w:rPr>
                <w:rFonts w:eastAsiaTheme="minorEastAsia"/>
                <w:szCs w:val="21"/>
              </w:rPr>
            </w:pPr>
            <w:r>
              <w:rPr>
                <w:rFonts w:eastAsiaTheme="minorEastAsia" w:hint="eastAsia"/>
                <w:szCs w:val="21"/>
              </w:rPr>
              <w:t>7</w:t>
            </w:r>
          </w:p>
        </w:tc>
        <w:tc>
          <w:tcPr>
            <w:tcW w:w="1009" w:type="dxa"/>
            <w:vAlign w:val="center"/>
          </w:tcPr>
          <w:p w14:paraId="0B6BA16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73.1</w:t>
            </w:r>
          </w:p>
        </w:tc>
        <w:tc>
          <w:tcPr>
            <w:tcW w:w="723" w:type="dxa"/>
            <w:vAlign w:val="center"/>
          </w:tcPr>
          <w:p w14:paraId="3B1B03E5" w14:textId="77777777" w:rsidR="00B14D53" w:rsidRDefault="00000000">
            <w:pPr>
              <w:pStyle w:val="00"/>
              <w:spacing w:line="240" w:lineRule="auto"/>
              <w:ind w:firstLineChars="0" w:firstLine="0"/>
              <w:jc w:val="center"/>
              <w:rPr>
                <w:rFonts w:hAnsi="Times New Roman"/>
                <w:sz w:val="21"/>
                <w:szCs w:val="21"/>
              </w:rPr>
            </w:pPr>
            <w:r>
              <w:rPr>
                <w:sz w:val="21"/>
                <w:szCs w:val="21"/>
              </w:rPr>
              <w:t>连续</w:t>
            </w:r>
          </w:p>
        </w:tc>
        <w:tc>
          <w:tcPr>
            <w:tcW w:w="850" w:type="dxa"/>
            <w:vAlign w:val="center"/>
          </w:tcPr>
          <w:p w14:paraId="1671331F"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20</w:t>
            </w:r>
          </w:p>
        </w:tc>
        <w:tc>
          <w:tcPr>
            <w:tcW w:w="993" w:type="dxa"/>
            <w:vAlign w:val="center"/>
          </w:tcPr>
          <w:p w14:paraId="0FC2F851" w14:textId="77777777" w:rsidR="00B14D53" w:rsidRDefault="00000000">
            <w:pPr>
              <w:widowControl/>
              <w:jc w:val="center"/>
              <w:textAlignment w:val="center"/>
              <w:rPr>
                <w:rFonts w:eastAsiaTheme="minorEastAsia"/>
                <w:szCs w:val="21"/>
              </w:rPr>
            </w:pPr>
            <w:r>
              <w:rPr>
                <w:color w:val="000000"/>
                <w:kern w:val="0"/>
                <w:szCs w:val="21"/>
                <w:lang w:bidi="ar"/>
              </w:rPr>
              <w:t>53.1</w:t>
            </w:r>
          </w:p>
        </w:tc>
        <w:tc>
          <w:tcPr>
            <w:tcW w:w="992" w:type="dxa"/>
            <w:vAlign w:val="center"/>
          </w:tcPr>
          <w:p w14:paraId="45BCFCEA" w14:textId="77777777" w:rsidR="00B14D53" w:rsidRDefault="00000000">
            <w:pPr>
              <w:jc w:val="center"/>
              <w:rPr>
                <w:rFonts w:eastAsiaTheme="minorEastAsia"/>
              </w:rPr>
            </w:pPr>
            <w:r>
              <w:rPr>
                <w:rFonts w:eastAsiaTheme="minorEastAsia"/>
                <w:szCs w:val="21"/>
              </w:rPr>
              <w:t>1m</w:t>
            </w:r>
          </w:p>
        </w:tc>
      </w:tr>
      <w:tr w:rsidR="00B14D53" w14:paraId="582653FD" w14:textId="77777777">
        <w:trPr>
          <w:jc w:val="center"/>
        </w:trPr>
        <w:tc>
          <w:tcPr>
            <w:tcW w:w="454" w:type="dxa"/>
            <w:vAlign w:val="center"/>
          </w:tcPr>
          <w:p w14:paraId="625504CC"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6</w:t>
            </w:r>
          </w:p>
        </w:tc>
        <w:tc>
          <w:tcPr>
            <w:tcW w:w="828" w:type="dxa"/>
            <w:vMerge/>
            <w:vAlign w:val="center"/>
          </w:tcPr>
          <w:p w14:paraId="72A5F407" w14:textId="77777777" w:rsidR="00B14D53" w:rsidRDefault="00B14D53">
            <w:pPr>
              <w:pStyle w:val="afffffffffe"/>
              <w:spacing w:after="0" w:line="240" w:lineRule="auto"/>
              <w:textAlignment w:val="center"/>
              <w:rPr>
                <w:rFonts w:eastAsiaTheme="minorEastAsia"/>
                <w:color w:val="auto"/>
                <w:sz w:val="21"/>
                <w:szCs w:val="21"/>
              </w:rPr>
            </w:pPr>
          </w:p>
        </w:tc>
        <w:tc>
          <w:tcPr>
            <w:tcW w:w="966" w:type="dxa"/>
            <w:vAlign w:val="center"/>
          </w:tcPr>
          <w:p w14:paraId="638F9C4A" w14:textId="77777777" w:rsidR="00B14D53" w:rsidRDefault="00000000">
            <w:pPr>
              <w:jc w:val="center"/>
              <w:rPr>
                <w:rFonts w:eastAsiaTheme="minorEastAsia"/>
                <w:szCs w:val="21"/>
              </w:rPr>
            </w:pPr>
            <w:r>
              <w:rPr>
                <w:rFonts w:hint="eastAsia"/>
                <w:szCs w:val="21"/>
              </w:rPr>
              <w:t>电动劈半锯</w:t>
            </w:r>
          </w:p>
        </w:tc>
        <w:tc>
          <w:tcPr>
            <w:tcW w:w="1286" w:type="dxa"/>
            <w:vAlign w:val="center"/>
          </w:tcPr>
          <w:p w14:paraId="176BA484"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1793296F"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ign w:val="center"/>
          </w:tcPr>
          <w:p w14:paraId="03A933C3"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0D33684E" w14:textId="77777777" w:rsidR="00B14D53" w:rsidRDefault="00000000">
            <w:pPr>
              <w:jc w:val="center"/>
              <w:rPr>
                <w:rFonts w:eastAsiaTheme="minorEastAsia"/>
              </w:rPr>
            </w:pPr>
            <w:r>
              <w:rPr>
                <w:rFonts w:eastAsiaTheme="minorEastAsia" w:hint="eastAsia"/>
              </w:rPr>
              <w:t>36</w:t>
            </w:r>
          </w:p>
        </w:tc>
        <w:tc>
          <w:tcPr>
            <w:tcW w:w="804" w:type="dxa"/>
            <w:vAlign w:val="center"/>
          </w:tcPr>
          <w:p w14:paraId="08352F1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61</w:t>
            </w:r>
          </w:p>
        </w:tc>
        <w:tc>
          <w:tcPr>
            <w:tcW w:w="832" w:type="dxa"/>
            <w:vAlign w:val="center"/>
          </w:tcPr>
          <w:p w14:paraId="7B5D168A"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3D36B660" w14:textId="77777777" w:rsidR="00B14D53" w:rsidRDefault="00000000">
            <w:pPr>
              <w:jc w:val="center"/>
              <w:rPr>
                <w:rFonts w:eastAsiaTheme="minorEastAsia"/>
                <w:szCs w:val="21"/>
              </w:rPr>
            </w:pPr>
            <w:r>
              <w:rPr>
                <w:rFonts w:eastAsiaTheme="minorEastAsia" w:hint="eastAsia"/>
                <w:szCs w:val="21"/>
              </w:rPr>
              <w:t>7</w:t>
            </w:r>
          </w:p>
        </w:tc>
        <w:tc>
          <w:tcPr>
            <w:tcW w:w="1009" w:type="dxa"/>
            <w:vAlign w:val="center"/>
          </w:tcPr>
          <w:p w14:paraId="76FF5FA8"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73.1</w:t>
            </w:r>
          </w:p>
        </w:tc>
        <w:tc>
          <w:tcPr>
            <w:tcW w:w="723" w:type="dxa"/>
            <w:vAlign w:val="center"/>
          </w:tcPr>
          <w:p w14:paraId="3E05A79E" w14:textId="77777777" w:rsidR="00B14D53" w:rsidRDefault="00000000">
            <w:pPr>
              <w:pStyle w:val="00"/>
              <w:spacing w:line="240" w:lineRule="auto"/>
              <w:ind w:firstLineChars="0" w:firstLine="0"/>
              <w:jc w:val="center"/>
              <w:rPr>
                <w:rFonts w:hAnsi="Times New Roman"/>
                <w:sz w:val="21"/>
                <w:szCs w:val="21"/>
              </w:rPr>
            </w:pPr>
            <w:r>
              <w:rPr>
                <w:sz w:val="21"/>
                <w:szCs w:val="21"/>
              </w:rPr>
              <w:t>连续</w:t>
            </w:r>
          </w:p>
        </w:tc>
        <w:tc>
          <w:tcPr>
            <w:tcW w:w="850" w:type="dxa"/>
            <w:vAlign w:val="center"/>
          </w:tcPr>
          <w:p w14:paraId="79FC2E57"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20</w:t>
            </w:r>
          </w:p>
        </w:tc>
        <w:tc>
          <w:tcPr>
            <w:tcW w:w="993" w:type="dxa"/>
            <w:vAlign w:val="center"/>
          </w:tcPr>
          <w:p w14:paraId="5A8AA68E" w14:textId="77777777" w:rsidR="00B14D53" w:rsidRDefault="00000000">
            <w:pPr>
              <w:widowControl/>
              <w:jc w:val="center"/>
              <w:textAlignment w:val="center"/>
              <w:rPr>
                <w:rFonts w:eastAsiaTheme="minorEastAsia"/>
                <w:szCs w:val="21"/>
              </w:rPr>
            </w:pPr>
            <w:r>
              <w:rPr>
                <w:color w:val="000000"/>
                <w:kern w:val="0"/>
                <w:szCs w:val="21"/>
                <w:lang w:bidi="ar"/>
              </w:rPr>
              <w:t>53.1</w:t>
            </w:r>
          </w:p>
        </w:tc>
        <w:tc>
          <w:tcPr>
            <w:tcW w:w="992" w:type="dxa"/>
            <w:vAlign w:val="center"/>
          </w:tcPr>
          <w:p w14:paraId="1424859B" w14:textId="77777777" w:rsidR="00B14D53" w:rsidRDefault="00000000">
            <w:pPr>
              <w:jc w:val="center"/>
              <w:rPr>
                <w:rFonts w:eastAsiaTheme="minorEastAsia"/>
              </w:rPr>
            </w:pPr>
            <w:r>
              <w:rPr>
                <w:rFonts w:eastAsiaTheme="minorEastAsia"/>
                <w:szCs w:val="21"/>
              </w:rPr>
              <w:t>1m</w:t>
            </w:r>
          </w:p>
        </w:tc>
      </w:tr>
      <w:tr w:rsidR="00B14D53" w14:paraId="3547EF27" w14:textId="77777777">
        <w:trPr>
          <w:jc w:val="center"/>
        </w:trPr>
        <w:tc>
          <w:tcPr>
            <w:tcW w:w="454" w:type="dxa"/>
            <w:vAlign w:val="center"/>
          </w:tcPr>
          <w:p w14:paraId="5170F217"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w:t>
            </w:r>
          </w:p>
        </w:tc>
        <w:tc>
          <w:tcPr>
            <w:tcW w:w="828" w:type="dxa"/>
            <w:vMerge/>
            <w:vAlign w:val="center"/>
          </w:tcPr>
          <w:p w14:paraId="75044CBF" w14:textId="77777777" w:rsidR="00B14D53" w:rsidRDefault="00B14D53">
            <w:pPr>
              <w:pStyle w:val="afffffffffe"/>
              <w:spacing w:after="0" w:line="240" w:lineRule="auto"/>
              <w:textAlignment w:val="center"/>
              <w:rPr>
                <w:rFonts w:eastAsiaTheme="minorEastAsia"/>
                <w:color w:val="auto"/>
                <w:sz w:val="21"/>
                <w:szCs w:val="21"/>
              </w:rPr>
            </w:pPr>
          </w:p>
        </w:tc>
        <w:tc>
          <w:tcPr>
            <w:tcW w:w="966" w:type="dxa"/>
            <w:vAlign w:val="center"/>
          </w:tcPr>
          <w:p w14:paraId="410126E9" w14:textId="77777777" w:rsidR="00B14D53" w:rsidRDefault="00000000">
            <w:pPr>
              <w:jc w:val="center"/>
              <w:rPr>
                <w:rFonts w:eastAsiaTheme="minorEastAsia"/>
                <w:szCs w:val="21"/>
              </w:rPr>
            </w:pPr>
            <w:r>
              <w:rPr>
                <w:rFonts w:hint="eastAsia"/>
                <w:szCs w:val="21"/>
              </w:rPr>
              <w:t>真空放血系统</w:t>
            </w:r>
          </w:p>
        </w:tc>
        <w:tc>
          <w:tcPr>
            <w:tcW w:w="1286" w:type="dxa"/>
            <w:vAlign w:val="center"/>
          </w:tcPr>
          <w:p w14:paraId="643E854B"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4D8C877B" w14:textId="77777777" w:rsidR="00B14D53" w:rsidRDefault="00000000">
            <w:pPr>
              <w:jc w:val="center"/>
              <w:rPr>
                <w:rFonts w:eastAsiaTheme="minorEastAsia"/>
                <w:snapToGrid w:val="0"/>
                <w:szCs w:val="21"/>
              </w:rPr>
            </w:pPr>
            <w:r>
              <w:rPr>
                <w:rFonts w:eastAsiaTheme="minorEastAsia" w:hint="eastAsia"/>
                <w:snapToGrid w:val="0"/>
                <w:szCs w:val="21"/>
              </w:rPr>
              <w:t>70</w:t>
            </w:r>
          </w:p>
        </w:tc>
        <w:tc>
          <w:tcPr>
            <w:tcW w:w="845" w:type="dxa"/>
            <w:vMerge/>
            <w:vAlign w:val="center"/>
          </w:tcPr>
          <w:p w14:paraId="23364F7B" w14:textId="77777777" w:rsidR="00B14D53" w:rsidRDefault="00B14D53">
            <w:pPr>
              <w:pStyle w:val="00"/>
              <w:spacing w:line="240" w:lineRule="auto"/>
              <w:ind w:firstLineChars="0" w:firstLine="0"/>
              <w:contextualSpacing/>
              <w:jc w:val="center"/>
              <w:rPr>
                <w:rFonts w:hAnsi="Times New Roman"/>
                <w:sz w:val="21"/>
                <w:szCs w:val="21"/>
              </w:rPr>
            </w:pPr>
          </w:p>
        </w:tc>
        <w:tc>
          <w:tcPr>
            <w:tcW w:w="832" w:type="dxa"/>
            <w:vAlign w:val="center"/>
          </w:tcPr>
          <w:p w14:paraId="7593D455" w14:textId="77777777" w:rsidR="00B14D53" w:rsidRDefault="00000000">
            <w:pPr>
              <w:jc w:val="center"/>
              <w:rPr>
                <w:rFonts w:eastAsiaTheme="minorEastAsia"/>
              </w:rPr>
            </w:pPr>
            <w:r>
              <w:rPr>
                <w:rFonts w:eastAsiaTheme="minorEastAsia" w:hint="eastAsia"/>
              </w:rPr>
              <w:t>35</w:t>
            </w:r>
          </w:p>
        </w:tc>
        <w:tc>
          <w:tcPr>
            <w:tcW w:w="804" w:type="dxa"/>
            <w:vAlign w:val="center"/>
          </w:tcPr>
          <w:p w14:paraId="4345B8F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78</w:t>
            </w:r>
          </w:p>
        </w:tc>
        <w:tc>
          <w:tcPr>
            <w:tcW w:w="832" w:type="dxa"/>
            <w:vAlign w:val="center"/>
          </w:tcPr>
          <w:p w14:paraId="64D6A257"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191EDB0B" w14:textId="77777777" w:rsidR="00B14D53" w:rsidRDefault="00000000">
            <w:pPr>
              <w:jc w:val="center"/>
              <w:rPr>
                <w:rFonts w:eastAsiaTheme="minorEastAsia"/>
                <w:szCs w:val="21"/>
              </w:rPr>
            </w:pPr>
            <w:r>
              <w:rPr>
                <w:rFonts w:eastAsiaTheme="minorEastAsia" w:hint="eastAsia"/>
                <w:szCs w:val="21"/>
              </w:rPr>
              <w:t>6</w:t>
            </w:r>
          </w:p>
        </w:tc>
        <w:tc>
          <w:tcPr>
            <w:tcW w:w="1009" w:type="dxa"/>
            <w:vAlign w:val="center"/>
          </w:tcPr>
          <w:p w14:paraId="4FC5FD00"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54.4</w:t>
            </w:r>
          </w:p>
        </w:tc>
        <w:tc>
          <w:tcPr>
            <w:tcW w:w="723" w:type="dxa"/>
            <w:vAlign w:val="center"/>
          </w:tcPr>
          <w:p w14:paraId="7987D831" w14:textId="77777777" w:rsidR="00B14D53" w:rsidRDefault="00000000">
            <w:pPr>
              <w:pStyle w:val="00"/>
              <w:spacing w:line="240" w:lineRule="auto"/>
              <w:ind w:firstLineChars="0" w:firstLine="0"/>
              <w:jc w:val="center"/>
              <w:rPr>
                <w:rFonts w:hAnsi="Times New Roman"/>
                <w:sz w:val="21"/>
                <w:szCs w:val="21"/>
              </w:rPr>
            </w:pPr>
            <w:r>
              <w:rPr>
                <w:sz w:val="21"/>
                <w:szCs w:val="21"/>
              </w:rPr>
              <w:t>连续</w:t>
            </w:r>
          </w:p>
        </w:tc>
        <w:tc>
          <w:tcPr>
            <w:tcW w:w="850" w:type="dxa"/>
            <w:vAlign w:val="center"/>
          </w:tcPr>
          <w:p w14:paraId="6B7DBEEB"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20</w:t>
            </w:r>
          </w:p>
        </w:tc>
        <w:tc>
          <w:tcPr>
            <w:tcW w:w="993" w:type="dxa"/>
            <w:vAlign w:val="center"/>
          </w:tcPr>
          <w:p w14:paraId="52122598" w14:textId="77777777" w:rsidR="00B14D53" w:rsidRDefault="00000000">
            <w:pPr>
              <w:widowControl/>
              <w:jc w:val="center"/>
              <w:textAlignment w:val="center"/>
              <w:rPr>
                <w:rFonts w:eastAsiaTheme="minorEastAsia"/>
                <w:szCs w:val="21"/>
              </w:rPr>
            </w:pPr>
            <w:r>
              <w:rPr>
                <w:color w:val="000000"/>
                <w:kern w:val="0"/>
                <w:szCs w:val="21"/>
                <w:lang w:bidi="ar"/>
              </w:rPr>
              <w:t>34.4</w:t>
            </w:r>
          </w:p>
        </w:tc>
        <w:tc>
          <w:tcPr>
            <w:tcW w:w="992" w:type="dxa"/>
            <w:vAlign w:val="center"/>
          </w:tcPr>
          <w:p w14:paraId="1D392B89" w14:textId="77777777" w:rsidR="00B14D53" w:rsidRDefault="00000000">
            <w:pPr>
              <w:jc w:val="center"/>
              <w:rPr>
                <w:rFonts w:eastAsiaTheme="minorEastAsia"/>
              </w:rPr>
            </w:pPr>
            <w:r>
              <w:rPr>
                <w:rFonts w:eastAsiaTheme="minorEastAsia"/>
                <w:szCs w:val="21"/>
              </w:rPr>
              <w:t>1m</w:t>
            </w:r>
          </w:p>
        </w:tc>
      </w:tr>
      <w:tr w:rsidR="00B14D53" w14:paraId="2537C80C" w14:textId="77777777">
        <w:trPr>
          <w:jc w:val="center"/>
        </w:trPr>
        <w:tc>
          <w:tcPr>
            <w:tcW w:w="454" w:type="dxa"/>
            <w:vAlign w:val="center"/>
          </w:tcPr>
          <w:p w14:paraId="23AE707B"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w:t>
            </w:r>
          </w:p>
        </w:tc>
        <w:tc>
          <w:tcPr>
            <w:tcW w:w="828" w:type="dxa"/>
            <w:vMerge/>
            <w:vAlign w:val="center"/>
          </w:tcPr>
          <w:p w14:paraId="761DD2D5" w14:textId="77777777" w:rsidR="00B14D53" w:rsidRDefault="00B14D53">
            <w:pPr>
              <w:pStyle w:val="afffffffffe"/>
              <w:spacing w:after="0" w:line="240" w:lineRule="auto"/>
              <w:textAlignment w:val="center"/>
              <w:rPr>
                <w:rFonts w:eastAsiaTheme="minorEastAsia"/>
                <w:color w:val="auto"/>
                <w:sz w:val="21"/>
                <w:szCs w:val="21"/>
              </w:rPr>
            </w:pPr>
          </w:p>
        </w:tc>
        <w:tc>
          <w:tcPr>
            <w:tcW w:w="966" w:type="dxa"/>
            <w:vAlign w:val="center"/>
          </w:tcPr>
          <w:p w14:paraId="712E1F66" w14:textId="77777777" w:rsidR="00B14D53" w:rsidRDefault="00000000">
            <w:pPr>
              <w:contextualSpacing/>
              <w:jc w:val="center"/>
              <w:rPr>
                <w:rFonts w:eastAsiaTheme="minorEastAsia"/>
                <w:szCs w:val="21"/>
                <w:lang w:val="zh-CN"/>
              </w:rPr>
            </w:pPr>
            <w:r>
              <w:rPr>
                <w:szCs w:val="21"/>
              </w:rPr>
              <w:t>电蒸汽发生器</w:t>
            </w:r>
          </w:p>
        </w:tc>
        <w:tc>
          <w:tcPr>
            <w:tcW w:w="1286" w:type="dxa"/>
            <w:vAlign w:val="center"/>
          </w:tcPr>
          <w:p w14:paraId="11778D29" w14:textId="77777777" w:rsidR="00B14D53" w:rsidRDefault="00000000">
            <w:pPr>
              <w:contextualSpacing/>
              <w:jc w:val="center"/>
              <w:rPr>
                <w:rFonts w:eastAsiaTheme="minorEastAsia"/>
                <w:spacing w:val="-11"/>
                <w:szCs w:val="21"/>
              </w:rPr>
            </w:pPr>
            <w:r>
              <w:rPr>
                <w:spacing w:val="-11"/>
                <w:szCs w:val="21"/>
              </w:rPr>
              <w:t>DLD.130.7-D</w:t>
            </w:r>
          </w:p>
        </w:tc>
        <w:tc>
          <w:tcPr>
            <w:tcW w:w="1119" w:type="dxa"/>
            <w:vAlign w:val="center"/>
          </w:tcPr>
          <w:p w14:paraId="326F102C" w14:textId="77777777" w:rsidR="00B14D53" w:rsidRDefault="00000000">
            <w:pPr>
              <w:jc w:val="center"/>
              <w:rPr>
                <w:rFonts w:eastAsiaTheme="minorEastAsia"/>
                <w:snapToGrid w:val="0"/>
                <w:szCs w:val="21"/>
              </w:rPr>
            </w:pPr>
            <w:r>
              <w:rPr>
                <w:rFonts w:eastAsiaTheme="minorEastAsia" w:hint="eastAsia"/>
                <w:snapToGrid w:val="0"/>
                <w:szCs w:val="21"/>
              </w:rPr>
              <w:t>70</w:t>
            </w:r>
          </w:p>
        </w:tc>
        <w:tc>
          <w:tcPr>
            <w:tcW w:w="845" w:type="dxa"/>
            <w:vMerge/>
            <w:vAlign w:val="center"/>
          </w:tcPr>
          <w:p w14:paraId="69CC3D40" w14:textId="77777777" w:rsidR="00B14D53" w:rsidRDefault="00B14D53">
            <w:pPr>
              <w:pStyle w:val="00"/>
              <w:spacing w:line="240" w:lineRule="auto"/>
              <w:ind w:firstLine="420"/>
              <w:jc w:val="center"/>
              <w:rPr>
                <w:rFonts w:hAnsi="Times New Roman"/>
                <w:sz w:val="21"/>
                <w:szCs w:val="21"/>
              </w:rPr>
            </w:pPr>
          </w:p>
        </w:tc>
        <w:tc>
          <w:tcPr>
            <w:tcW w:w="832" w:type="dxa"/>
            <w:vAlign w:val="center"/>
          </w:tcPr>
          <w:p w14:paraId="5B56B536" w14:textId="77777777" w:rsidR="00B14D53" w:rsidRDefault="00000000">
            <w:pPr>
              <w:jc w:val="center"/>
              <w:rPr>
                <w:rFonts w:eastAsiaTheme="minorEastAsia"/>
              </w:rPr>
            </w:pPr>
            <w:r>
              <w:rPr>
                <w:rFonts w:eastAsiaTheme="minorEastAsia" w:hint="eastAsia"/>
              </w:rPr>
              <w:t>43</w:t>
            </w:r>
          </w:p>
        </w:tc>
        <w:tc>
          <w:tcPr>
            <w:tcW w:w="804" w:type="dxa"/>
            <w:vAlign w:val="center"/>
          </w:tcPr>
          <w:p w14:paraId="2872C737"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72</w:t>
            </w:r>
          </w:p>
        </w:tc>
        <w:tc>
          <w:tcPr>
            <w:tcW w:w="832" w:type="dxa"/>
            <w:vAlign w:val="center"/>
          </w:tcPr>
          <w:p w14:paraId="5651405A"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061E9F74" w14:textId="77777777" w:rsidR="00B14D53" w:rsidRDefault="00000000">
            <w:pPr>
              <w:jc w:val="center"/>
              <w:rPr>
                <w:rFonts w:eastAsiaTheme="minorEastAsia"/>
                <w:szCs w:val="21"/>
              </w:rPr>
            </w:pPr>
            <w:r>
              <w:rPr>
                <w:rFonts w:eastAsiaTheme="minorEastAsia" w:hint="eastAsia"/>
                <w:szCs w:val="21"/>
              </w:rPr>
              <w:t>2</w:t>
            </w:r>
          </w:p>
        </w:tc>
        <w:tc>
          <w:tcPr>
            <w:tcW w:w="1009" w:type="dxa"/>
            <w:vAlign w:val="center"/>
          </w:tcPr>
          <w:p w14:paraId="5FD7E80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64</w:t>
            </w:r>
          </w:p>
        </w:tc>
        <w:tc>
          <w:tcPr>
            <w:tcW w:w="723" w:type="dxa"/>
            <w:vAlign w:val="center"/>
          </w:tcPr>
          <w:p w14:paraId="78EE1C6D" w14:textId="77777777" w:rsidR="00B14D53" w:rsidRDefault="00000000">
            <w:pPr>
              <w:pStyle w:val="00"/>
              <w:spacing w:line="240" w:lineRule="auto"/>
              <w:ind w:firstLineChars="0" w:firstLine="0"/>
              <w:jc w:val="center"/>
              <w:rPr>
                <w:rFonts w:hAnsi="Times New Roman"/>
                <w:sz w:val="21"/>
                <w:szCs w:val="21"/>
              </w:rPr>
            </w:pPr>
            <w:r>
              <w:rPr>
                <w:sz w:val="21"/>
                <w:szCs w:val="21"/>
              </w:rPr>
              <w:t>连续</w:t>
            </w:r>
          </w:p>
        </w:tc>
        <w:tc>
          <w:tcPr>
            <w:tcW w:w="850" w:type="dxa"/>
            <w:vAlign w:val="center"/>
          </w:tcPr>
          <w:p w14:paraId="61C57C67"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20</w:t>
            </w:r>
          </w:p>
        </w:tc>
        <w:tc>
          <w:tcPr>
            <w:tcW w:w="993" w:type="dxa"/>
            <w:vAlign w:val="center"/>
          </w:tcPr>
          <w:p w14:paraId="70427087" w14:textId="77777777" w:rsidR="00B14D53" w:rsidRDefault="00000000">
            <w:pPr>
              <w:widowControl/>
              <w:jc w:val="center"/>
              <w:textAlignment w:val="center"/>
              <w:rPr>
                <w:rFonts w:eastAsiaTheme="minorEastAsia"/>
                <w:szCs w:val="21"/>
              </w:rPr>
            </w:pPr>
            <w:r>
              <w:rPr>
                <w:color w:val="000000"/>
                <w:kern w:val="0"/>
                <w:szCs w:val="21"/>
                <w:lang w:bidi="ar"/>
              </w:rPr>
              <w:t>44</w:t>
            </w:r>
          </w:p>
        </w:tc>
        <w:tc>
          <w:tcPr>
            <w:tcW w:w="992" w:type="dxa"/>
            <w:vAlign w:val="center"/>
          </w:tcPr>
          <w:p w14:paraId="3FE3E793" w14:textId="77777777" w:rsidR="00B14D53" w:rsidRDefault="00000000">
            <w:pPr>
              <w:jc w:val="center"/>
              <w:rPr>
                <w:rFonts w:eastAsiaTheme="minorEastAsia"/>
              </w:rPr>
            </w:pPr>
            <w:r>
              <w:rPr>
                <w:rFonts w:eastAsiaTheme="minorEastAsia"/>
                <w:szCs w:val="21"/>
              </w:rPr>
              <w:t>1m</w:t>
            </w:r>
          </w:p>
        </w:tc>
      </w:tr>
    </w:tbl>
    <w:p w14:paraId="68023F6F" w14:textId="77777777" w:rsidR="00B14D53" w:rsidRDefault="00000000">
      <w:pPr>
        <w:jc w:val="center"/>
      </w:pPr>
      <w:r>
        <w:rPr>
          <w:rFonts w:hint="eastAsia"/>
          <w:b/>
          <w:bCs/>
        </w:rPr>
        <w:t>续表</w:t>
      </w:r>
      <w:r>
        <w:rPr>
          <w:rFonts w:hint="eastAsia"/>
          <w:b/>
          <w:bCs/>
        </w:rPr>
        <w:t xml:space="preserve">5-2-25 </w:t>
      </w:r>
      <w:r>
        <w:rPr>
          <w:rFonts w:hint="eastAsia"/>
          <w:b/>
          <w:bCs/>
        </w:rPr>
        <w:t>工业企业噪声强调查清单（室内声源）</w:t>
      </w:r>
    </w:p>
    <w:tbl>
      <w:tblPr>
        <w:tblW w:w="1343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4"/>
        <w:gridCol w:w="828"/>
        <w:gridCol w:w="966"/>
        <w:gridCol w:w="1286"/>
        <w:gridCol w:w="1119"/>
        <w:gridCol w:w="845"/>
        <w:gridCol w:w="832"/>
        <w:gridCol w:w="804"/>
        <w:gridCol w:w="832"/>
        <w:gridCol w:w="900"/>
        <w:gridCol w:w="1009"/>
        <w:gridCol w:w="723"/>
        <w:gridCol w:w="850"/>
        <w:gridCol w:w="993"/>
        <w:gridCol w:w="992"/>
      </w:tblGrid>
      <w:tr w:rsidR="00B14D53" w14:paraId="737AC06C" w14:textId="77777777">
        <w:trPr>
          <w:jc w:val="center"/>
        </w:trPr>
        <w:tc>
          <w:tcPr>
            <w:tcW w:w="454" w:type="dxa"/>
            <w:vAlign w:val="center"/>
          </w:tcPr>
          <w:p w14:paraId="394885A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9</w:t>
            </w:r>
          </w:p>
        </w:tc>
        <w:tc>
          <w:tcPr>
            <w:tcW w:w="828" w:type="dxa"/>
            <w:vMerge w:val="restart"/>
            <w:vAlign w:val="center"/>
          </w:tcPr>
          <w:p w14:paraId="2E3D1D75" w14:textId="77777777" w:rsidR="00B14D53" w:rsidRDefault="00000000">
            <w:pPr>
              <w:pStyle w:val="afffffffffe"/>
              <w:spacing w:after="0" w:line="240" w:lineRule="auto"/>
              <w:textAlignment w:val="center"/>
              <w:rPr>
                <w:rFonts w:eastAsiaTheme="minorEastAsia"/>
                <w:color w:val="auto"/>
                <w:sz w:val="21"/>
                <w:szCs w:val="21"/>
                <w:lang w:val="zh-CN"/>
              </w:rPr>
            </w:pPr>
            <w:r>
              <w:rPr>
                <w:rFonts w:eastAsiaTheme="minorEastAsia" w:hint="eastAsia"/>
                <w:color w:val="auto"/>
                <w:sz w:val="21"/>
                <w:szCs w:val="21"/>
              </w:rPr>
              <w:t>屠宰车间</w:t>
            </w:r>
          </w:p>
        </w:tc>
        <w:tc>
          <w:tcPr>
            <w:tcW w:w="966" w:type="dxa"/>
            <w:vAlign w:val="center"/>
          </w:tcPr>
          <w:p w14:paraId="799FE2A6" w14:textId="77777777" w:rsidR="00B14D53" w:rsidRDefault="00000000">
            <w:pPr>
              <w:contextualSpacing/>
              <w:jc w:val="center"/>
              <w:rPr>
                <w:szCs w:val="21"/>
              </w:rPr>
            </w:pPr>
            <w:r>
              <w:rPr>
                <w:rFonts w:hint="eastAsia"/>
                <w:szCs w:val="21"/>
              </w:rPr>
              <w:t>电热烫池</w:t>
            </w:r>
          </w:p>
        </w:tc>
        <w:tc>
          <w:tcPr>
            <w:tcW w:w="1286" w:type="dxa"/>
            <w:vAlign w:val="center"/>
          </w:tcPr>
          <w:p w14:paraId="05C6EFA5"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3BE451CD" w14:textId="77777777" w:rsidR="00B14D53" w:rsidRDefault="00000000">
            <w:pPr>
              <w:jc w:val="center"/>
              <w:rPr>
                <w:rFonts w:eastAsiaTheme="minorEastAsia"/>
                <w:snapToGrid w:val="0"/>
                <w:szCs w:val="21"/>
              </w:rPr>
            </w:pPr>
            <w:r>
              <w:rPr>
                <w:rFonts w:eastAsiaTheme="minorEastAsia" w:hint="eastAsia"/>
                <w:snapToGrid w:val="0"/>
                <w:szCs w:val="21"/>
              </w:rPr>
              <w:t>60</w:t>
            </w:r>
          </w:p>
        </w:tc>
        <w:tc>
          <w:tcPr>
            <w:tcW w:w="845" w:type="dxa"/>
            <w:vMerge w:val="restart"/>
            <w:vAlign w:val="center"/>
          </w:tcPr>
          <w:p w14:paraId="4122FC8A" w14:textId="77777777" w:rsidR="00B14D53" w:rsidRDefault="00000000">
            <w:pPr>
              <w:pStyle w:val="00"/>
              <w:spacing w:line="240" w:lineRule="auto"/>
              <w:ind w:firstLineChars="0" w:firstLine="0"/>
              <w:jc w:val="center"/>
              <w:rPr>
                <w:rFonts w:hAnsi="Times New Roman"/>
                <w:sz w:val="21"/>
                <w:szCs w:val="21"/>
              </w:rPr>
            </w:pPr>
            <w:r>
              <w:rPr>
                <w:sz w:val="21"/>
                <w:szCs w:val="21"/>
              </w:rPr>
              <w:t>基础减振、厂房隔声</w:t>
            </w:r>
            <w:r>
              <w:rPr>
                <w:rFonts w:hint="eastAsia"/>
                <w:sz w:val="21"/>
                <w:szCs w:val="21"/>
              </w:rPr>
              <w:t>、夜间不生产</w:t>
            </w:r>
            <w:r>
              <w:rPr>
                <w:sz w:val="21"/>
                <w:szCs w:val="21"/>
              </w:rPr>
              <w:t>措施</w:t>
            </w:r>
          </w:p>
        </w:tc>
        <w:tc>
          <w:tcPr>
            <w:tcW w:w="832" w:type="dxa"/>
            <w:vAlign w:val="center"/>
          </w:tcPr>
          <w:p w14:paraId="763F1684" w14:textId="77777777" w:rsidR="00B14D53" w:rsidRDefault="00000000">
            <w:pPr>
              <w:jc w:val="center"/>
              <w:rPr>
                <w:rFonts w:eastAsiaTheme="minorEastAsia"/>
              </w:rPr>
            </w:pPr>
            <w:r>
              <w:rPr>
                <w:rFonts w:eastAsiaTheme="minorEastAsia" w:hint="eastAsia"/>
              </w:rPr>
              <w:t>35</w:t>
            </w:r>
          </w:p>
        </w:tc>
        <w:tc>
          <w:tcPr>
            <w:tcW w:w="804" w:type="dxa"/>
            <w:vAlign w:val="center"/>
          </w:tcPr>
          <w:p w14:paraId="6D4FC4BB"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75</w:t>
            </w:r>
          </w:p>
        </w:tc>
        <w:tc>
          <w:tcPr>
            <w:tcW w:w="832" w:type="dxa"/>
            <w:vAlign w:val="center"/>
          </w:tcPr>
          <w:p w14:paraId="283B20A9"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7F60CE6E" w14:textId="77777777" w:rsidR="00B14D53" w:rsidRDefault="00000000">
            <w:pPr>
              <w:jc w:val="center"/>
              <w:rPr>
                <w:rFonts w:eastAsiaTheme="minorEastAsia"/>
                <w:szCs w:val="21"/>
              </w:rPr>
            </w:pPr>
            <w:r>
              <w:rPr>
                <w:rFonts w:eastAsiaTheme="minorEastAsia" w:hint="eastAsia"/>
                <w:szCs w:val="21"/>
              </w:rPr>
              <w:t>8</w:t>
            </w:r>
          </w:p>
        </w:tc>
        <w:tc>
          <w:tcPr>
            <w:tcW w:w="1009" w:type="dxa"/>
            <w:vAlign w:val="center"/>
          </w:tcPr>
          <w:p w14:paraId="3FDC4666"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41.9</w:t>
            </w:r>
          </w:p>
        </w:tc>
        <w:tc>
          <w:tcPr>
            <w:tcW w:w="723" w:type="dxa"/>
            <w:vAlign w:val="center"/>
          </w:tcPr>
          <w:p w14:paraId="00859B63" w14:textId="77777777" w:rsidR="00B14D53" w:rsidRDefault="00000000">
            <w:pPr>
              <w:pStyle w:val="00"/>
              <w:spacing w:line="240" w:lineRule="auto"/>
              <w:ind w:firstLineChars="0" w:firstLine="0"/>
              <w:jc w:val="center"/>
              <w:rPr>
                <w:rFonts w:hAnsi="Times New Roman"/>
                <w:sz w:val="21"/>
                <w:szCs w:val="21"/>
              </w:rPr>
            </w:pPr>
            <w:r>
              <w:rPr>
                <w:sz w:val="21"/>
                <w:szCs w:val="21"/>
              </w:rPr>
              <w:t>连续</w:t>
            </w:r>
          </w:p>
        </w:tc>
        <w:tc>
          <w:tcPr>
            <w:tcW w:w="850" w:type="dxa"/>
            <w:vAlign w:val="center"/>
          </w:tcPr>
          <w:p w14:paraId="20A6E0C3"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20</w:t>
            </w:r>
          </w:p>
        </w:tc>
        <w:tc>
          <w:tcPr>
            <w:tcW w:w="993" w:type="dxa"/>
            <w:vAlign w:val="center"/>
          </w:tcPr>
          <w:p w14:paraId="3D094A5E" w14:textId="77777777" w:rsidR="00B14D53" w:rsidRDefault="00000000">
            <w:pPr>
              <w:widowControl/>
              <w:jc w:val="center"/>
              <w:textAlignment w:val="center"/>
              <w:rPr>
                <w:rFonts w:eastAsiaTheme="minorEastAsia"/>
                <w:szCs w:val="21"/>
              </w:rPr>
            </w:pPr>
            <w:r>
              <w:rPr>
                <w:color w:val="000000"/>
                <w:kern w:val="0"/>
                <w:szCs w:val="21"/>
                <w:lang w:bidi="ar"/>
              </w:rPr>
              <w:t>21.9</w:t>
            </w:r>
          </w:p>
        </w:tc>
        <w:tc>
          <w:tcPr>
            <w:tcW w:w="992" w:type="dxa"/>
            <w:vAlign w:val="center"/>
          </w:tcPr>
          <w:p w14:paraId="2876DFF7" w14:textId="77777777" w:rsidR="00B14D53" w:rsidRDefault="00000000">
            <w:pPr>
              <w:jc w:val="center"/>
              <w:rPr>
                <w:rFonts w:eastAsiaTheme="minorEastAsia"/>
              </w:rPr>
            </w:pPr>
            <w:r>
              <w:rPr>
                <w:rFonts w:eastAsiaTheme="minorEastAsia"/>
                <w:szCs w:val="21"/>
              </w:rPr>
              <w:t>1m</w:t>
            </w:r>
          </w:p>
        </w:tc>
      </w:tr>
      <w:tr w:rsidR="00B14D53" w14:paraId="431E0EB9" w14:textId="77777777">
        <w:trPr>
          <w:jc w:val="center"/>
        </w:trPr>
        <w:tc>
          <w:tcPr>
            <w:tcW w:w="454" w:type="dxa"/>
            <w:vAlign w:val="center"/>
          </w:tcPr>
          <w:p w14:paraId="4734EA31"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10</w:t>
            </w:r>
          </w:p>
        </w:tc>
        <w:tc>
          <w:tcPr>
            <w:tcW w:w="828" w:type="dxa"/>
            <w:vMerge/>
            <w:vAlign w:val="center"/>
          </w:tcPr>
          <w:p w14:paraId="5409367C" w14:textId="77777777" w:rsidR="00B14D53" w:rsidRDefault="00B14D53">
            <w:pPr>
              <w:pStyle w:val="afffffffffe"/>
              <w:spacing w:after="0" w:line="240" w:lineRule="auto"/>
              <w:textAlignment w:val="center"/>
              <w:rPr>
                <w:rFonts w:eastAsiaTheme="minorEastAsia"/>
                <w:color w:val="auto"/>
                <w:sz w:val="21"/>
                <w:szCs w:val="21"/>
                <w:lang w:val="zh-CN"/>
              </w:rPr>
            </w:pPr>
          </w:p>
        </w:tc>
        <w:tc>
          <w:tcPr>
            <w:tcW w:w="966" w:type="dxa"/>
            <w:vAlign w:val="center"/>
          </w:tcPr>
          <w:p w14:paraId="007C2757" w14:textId="77777777" w:rsidR="00B14D53" w:rsidRDefault="00000000">
            <w:pPr>
              <w:contextualSpacing/>
              <w:jc w:val="center"/>
              <w:rPr>
                <w:szCs w:val="21"/>
                <w:lang w:val="zh-CN"/>
              </w:rPr>
            </w:pPr>
            <w:r>
              <w:rPr>
                <w:szCs w:val="21"/>
              </w:rPr>
              <w:t>软化水设备</w:t>
            </w:r>
          </w:p>
        </w:tc>
        <w:tc>
          <w:tcPr>
            <w:tcW w:w="1286" w:type="dxa"/>
            <w:vAlign w:val="center"/>
          </w:tcPr>
          <w:p w14:paraId="35FDE47C" w14:textId="77777777" w:rsidR="00B14D53" w:rsidRDefault="00000000">
            <w:pPr>
              <w:jc w:val="center"/>
              <w:textAlignment w:val="center"/>
              <w:rPr>
                <w:rFonts w:eastAsiaTheme="minorEastAsia"/>
                <w:szCs w:val="21"/>
              </w:rPr>
            </w:pPr>
            <w:r>
              <w:rPr>
                <w:rFonts w:eastAsiaTheme="minorEastAsia" w:hint="eastAsia"/>
                <w:szCs w:val="21"/>
              </w:rPr>
              <w:t>/</w:t>
            </w:r>
          </w:p>
        </w:tc>
        <w:tc>
          <w:tcPr>
            <w:tcW w:w="1119" w:type="dxa"/>
            <w:vAlign w:val="center"/>
          </w:tcPr>
          <w:p w14:paraId="68334582" w14:textId="77777777" w:rsidR="00B14D53" w:rsidRDefault="00000000">
            <w:pPr>
              <w:jc w:val="center"/>
              <w:rPr>
                <w:rFonts w:eastAsiaTheme="minorEastAsia"/>
                <w:snapToGrid w:val="0"/>
                <w:szCs w:val="21"/>
              </w:rPr>
            </w:pPr>
            <w:r>
              <w:rPr>
                <w:rFonts w:eastAsiaTheme="minorEastAsia" w:hint="eastAsia"/>
                <w:snapToGrid w:val="0"/>
                <w:szCs w:val="21"/>
              </w:rPr>
              <w:t>70</w:t>
            </w:r>
          </w:p>
        </w:tc>
        <w:tc>
          <w:tcPr>
            <w:tcW w:w="845" w:type="dxa"/>
            <w:vMerge/>
            <w:vAlign w:val="center"/>
          </w:tcPr>
          <w:p w14:paraId="11FE7714"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6A2AEE7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43</w:t>
            </w:r>
          </w:p>
        </w:tc>
        <w:tc>
          <w:tcPr>
            <w:tcW w:w="804" w:type="dxa"/>
            <w:vAlign w:val="center"/>
          </w:tcPr>
          <w:p w14:paraId="0C0C2268"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78</w:t>
            </w:r>
          </w:p>
        </w:tc>
        <w:tc>
          <w:tcPr>
            <w:tcW w:w="832" w:type="dxa"/>
            <w:vAlign w:val="center"/>
          </w:tcPr>
          <w:p w14:paraId="48909FF6"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6F557256"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w:t>
            </w:r>
          </w:p>
        </w:tc>
        <w:tc>
          <w:tcPr>
            <w:tcW w:w="1009" w:type="dxa"/>
            <w:vAlign w:val="center"/>
          </w:tcPr>
          <w:p w14:paraId="3C104281"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64</w:t>
            </w:r>
          </w:p>
        </w:tc>
        <w:tc>
          <w:tcPr>
            <w:tcW w:w="723" w:type="dxa"/>
            <w:vAlign w:val="center"/>
          </w:tcPr>
          <w:p w14:paraId="56D4330B"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连续</w:t>
            </w:r>
          </w:p>
        </w:tc>
        <w:tc>
          <w:tcPr>
            <w:tcW w:w="850" w:type="dxa"/>
            <w:vAlign w:val="center"/>
          </w:tcPr>
          <w:p w14:paraId="25B70138"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78B67B1C" w14:textId="77777777" w:rsidR="00B14D53" w:rsidRDefault="00000000">
            <w:pPr>
              <w:widowControl/>
              <w:jc w:val="center"/>
              <w:textAlignment w:val="center"/>
              <w:rPr>
                <w:rFonts w:eastAsiaTheme="minorEastAsia"/>
                <w:szCs w:val="21"/>
              </w:rPr>
            </w:pPr>
            <w:r>
              <w:rPr>
                <w:color w:val="000000"/>
                <w:kern w:val="0"/>
                <w:szCs w:val="21"/>
                <w:lang w:bidi="ar"/>
              </w:rPr>
              <w:t>44</w:t>
            </w:r>
          </w:p>
        </w:tc>
        <w:tc>
          <w:tcPr>
            <w:tcW w:w="992" w:type="dxa"/>
            <w:vAlign w:val="center"/>
          </w:tcPr>
          <w:p w14:paraId="0B9DE31A"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1m</w:t>
            </w:r>
          </w:p>
        </w:tc>
      </w:tr>
      <w:tr w:rsidR="00B14D53" w14:paraId="2ABC3828" w14:textId="77777777">
        <w:trPr>
          <w:jc w:val="center"/>
        </w:trPr>
        <w:tc>
          <w:tcPr>
            <w:tcW w:w="454" w:type="dxa"/>
            <w:vAlign w:val="center"/>
          </w:tcPr>
          <w:p w14:paraId="7327A479"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11</w:t>
            </w:r>
          </w:p>
        </w:tc>
        <w:tc>
          <w:tcPr>
            <w:tcW w:w="828" w:type="dxa"/>
            <w:vMerge/>
            <w:vAlign w:val="center"/>
          </w:tcPr>
          <w:p w14:paraId="52DDAAEB" w14:textId="77777777" w:rsidR="00B14D53" w:rsidRDefault="00B14D53">
            <w:pPr>
              <w:pStyle w:val="afffffffffe"/>
              <w:spacing w:after="0" w:line="240" w:lineRule="auto"/>
              <w:textAlignment w:val="center"/>
              <w:rPr>
                <w:rFonts w:eastAsiaTheme="minorEastAsia" w:hAnsiTheme="minorEastAsia" w:hint="eastAsia"/>
                <w:color w:val="auto"/>
                <w:sz w:val="21"/>
                <w:szCs w:val="21"/>
              </w:rPr>
            </w:pPr>
          </w:p>
        </w:tc>
        <w:tc>
          <w:tcPr>
            <w:tcW w:w="966" w:type="dxa"/>
            <w:vAlign w:val="center"/>
          </w:tcPr>
          <w:p w14:paraId="1CF2E80B" w14:textId="77777777" w:rsidR="00B14D53" w:rsidRDefault="00000000">
            <w:pPr>
              <w:contextualSpacing/>
              <w:jc w:val="center"/>
              <w:rPr>
                <w:szCs w:val="21"/>
              </w:rPr>
            </w:pPr>
            <w:r>
              <w:rPr>
                <w:szCs w:val="21"/>
              </w:rPr>
              <w:t>清水泡池</w:t>
            </w:r>
          </w:p>
        </w:tc>
        <w:tc>
          <w:tcPr>
            <w:tcW w:w="1286" w:type="dxa"/>
            <w:vAlign w:val="center"/>
          </w:tcPr>
          <w:p w14:paraId="2DBCAC56"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3A2C3DE1" w14:textId="77777777" w:rsidR="00B14D53" w:rsidRDefault="00000000">
            <w:pPr>
              <w:jc w:val="center"/>
              <w:rPr>
                <w:rFonts w:eastAsiaTheme="minorEastAsia"/>
                <w:snapToGrid w:val="0"/>
                <w:szCs w:val="21"/>
              </w:rPr>
            </w:pPr>
            <w:r>
              <w:rPr>
                <w:rFonts w:eastAsiaTheme="minorEastAsia" w:hint="eastAsia"/>
                <w:snapToGrid w:val="0"/>
                <w:szCs w:val="21"/>
              </w:rPr>
              <w:t>60</w:t>
            </w:r>
          </w:p>
        </w:tc>
        <w:tc>
          <w:tcPr>
            <w:tcW w:w="845" w:type="dxa"/>
            <w:vMerge/>
            <w:vAlign w:val="center"/>
          </w:tcPr>
          <w:p w14:paraId="4E4EA406"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39F7585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36</w:t>
            </w:r>
          </w:p>
        </w:tc>
        <w:tc>
          <w:tcPr>
            <w:tcW w:w="804" w:type="dxa"/>
            <w:vAlign w:val="center"/>
          </w:tcPr>
          <w:p w14:paraId="6105CDFC"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70</w:t>
            </w:r>
          </w:p>
        </w:tc>
        <w:tc>
          <w:tcPr>
            <w:tcW w:w="832" w:type="dxa"/>
            <w:vAlign w:val="center"/>
          </w:tcPr>
          <w:p w14:paraId="36BC3375"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6D0EF375"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w:t>
            </w:r>
          </w:p>
        </w:tc>
        <w:tc>
          <w:tcPr>
            <w:tcW w:w="1009" w:type="dxa"/>
            <w:vAlign w:val="center"/>
          </w:tcPr>
          <w:p w14:paraId="719EB52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43.1</w:t>
            </w:r>
          </w:p>
        </w:tc>
        <w:tc>
          <w:tcPr>
            <w:tcW w:w="723" w:type="dxa"/>
            <w:vAlign w:val="center"/>
          </w:tcPr>
          <w:p w14:paraId="70999248" w14:textId="77777777" w:rsidR="00B14D53" w:rsidRDefault="00000000">
            <w:pPr>
              <w:pStyle w:val="00"/>
              <w:spacing w:line="240" w:lineRule="auto"/>
              <w:ind w:firstLineChars="0" w:firstLine="0"/>
              <w:jc w:val="center"/>
              <w:rPr>
                <w:rFonts w:hint="eastAsia"/>
                <w:sz w:val="21"/>
                <w:szCs w:val="21"/>
              </w:rPr>
            </w:pPr>
            <w:r>
              <w:rPr>
                <w:sz w:val="21"/>
                <w:szCs w:val="21"/>
              </w:rPr>
              <w:t>连续</w:t>
            </w:r>
          </w:p>
        </w:tc>
        <w:tc>
          <w:tcPr>
            <w:tcW w:w="850" w:type="dxa"/>
            <w:vAlign w:val="center"/>
          </w:tcPr>
          <w:p w14:paraId="4E8DB5A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2D7E1432" w14:textId="77777777" w:rsidR="00B14D53" w:rsidRDefault="00000000">
            <w:pPr>
              <w:widowControl/>
              <w:jc w:val="center"/>
              <w:textAlignment w:val="center"/>
              <w:rPr>
                <w:szCs w:val="21"/>
              </w:rPr>
            </w:pPr>
            <w:r>
              <w:rPr>
                <w:color w:val="000000"/>
                <w:kern w:val="0"/>
                <w:szCs w:val="21"/>
                <w:lang w:bidi="ar"/>
              </w:rPr>
              <w:t>23.1</w:t>
            </w:r>
          </w:p>
        </w:tc>
        <w:tc>
          <w:tcPr>
            <w:tcW w:w="992" w:type="dxa"/>
            <w:vAlign w:val="center"/>
          </w:tcPr>
          <w:p w14:paraId="58D97DC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1m</w:t>
            </w:r>
          </w:p>
        </w:tc>
      </w:tr>
      <w:tr w:rsidR="00B14D53" w14:paraId="4435EC02" w14:textId="77777777">
        <w:trPr>
          <w:jc w:val="center"/>
        </w:trPr>
        <w:tc>
          <w:tcPr>
            <w:tcW w:w="454" w:type="dxa"/>
            <w:vAlign w:val="center"/>
          </w:tcPr>
          <w:p w14:paraId="11C314BA"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12</w:t>
            </w:r>
          </w:p>
        </w:tc>
        <w:tc>
          <w:tcPr>
            <w:tcW w:w="828" w:type="dxa"/>
            <w:vMerge/>
            <w:vAlign w:val="center"/>
          </w:tcPr>
          <w:p w14:paraId="03FECDE9" w14:textId="77777777" w:rsidR="00B14D53" w:rsidRDefault="00B14D53">
            <w:pPr>
              <w:pStyle w:val="afffffffffe"/>
              <w:spacing w:after="0" w:line="240" w:lineRule="auto"/>
              <w:textAlignment w:val="center"/>
              <w:rPr>
                <w:rFonts w:eastAsiaTheme="minorEastAsia" w:hAnsiTheme="minorEastAsia" w:hint="eastAsia"/>
                <w:color w:val="auto"/>
                <w:sz w:val="21"/>
                <w:szCs w:val="21"/>
              </w:rPr>
            </w:pPr>
          </w:p>
        </w:tc>
        <w:tc>
          <w:tcPr>
            <w:tcW w:w="966" w:type="dxa"/>
            <w:vAlign w:val="center"/>
          </w:tcPr>
          <w:p w14:paraId="612E08CF" w14:textId="77777777" w:rsidR="00B14D53" w:rsidRDefault="00000000">
            <w:pPr>
              <w:contextualSpacing/>
              <w:jc w:val="center"/>
              <w:rPr>
                <w:szCs w:val="21"/>
                <w:lang w:val="zh-CN"/>
              </w:rPr>
            </w:pPr>
            <w:r>
              <w:rPr>
                <w:rFonts w:hint="eastAsia"/>
                <w:szCs w:val="21"/>
              </w:rPr>
              <w:t>滑道</w:t>
            </w:r>
          </w:p>
        </w:tc>
        <w:tc>
          <w:tcPr>
            <w:tcW w:w="1286" w:type="dxa"/>
            <w:vAlign w:val="center"/>
          </w:tcPr>
          <w:p w14:paraId="3E14CAA3" w14:textId="77777777" w:rsidR="00B14D53" w:rsidRDefault="00000000">
            <w:pPr>
              <w:contextualSpacing/>
              <w:jc w:val="center"/>
              <w:rPr>
                <w:rFonts w:eastAsiaTheme="minorEastAsia"/>
                <w:spacing w:val="-11"/>
                <w:szCs w:val="21"/>
              </w:rPr>
            </w:pPr>
            <w:r>
              <w:rPr>
                <w:rFonts w:eastAsiaTheme="minorEastAsia" w:hint="eastAsia"/>
                <w:spacing w:val="-11"/>
                <w:szCs w:val="21"/>
              </w:rPr>
              <w:t>12m</w:t>
            </w:r>
          </w:p>
        </w:tc>
        <w:tc>
          <w:tcPr>
            <w:tcW w:w="1119" w:type="dxa"/>
            <w:vAlign w:val="center"/>
          </w:tcPr>
          <w:p w14:paraId="3EAE9619" w14:textId="77777777" w:rsidR="00B14D53" w:rsidRDefault="00000000">
            <w:pPr>
              <w:jc w:val="center"/>
              <w:rPr>
                <w:rFonts w:eastAsiaTheme="minorEastAsia"/>
                <w:snapToGrid w:val="0"/>
                <w:szCs w:val="21"/>
              </w:rPr>
            </w:pPr>
            <w:r>
              <w:rPr>
                <w:rFonts w:eastAsiaTheme="minorEastAsia" w:hint="eastAsia"/>
                <w:snapToGrid w:val="0"/>
                <w:szCs w:val="21"/>
              </w:rPr>
              <w:t>70</w:t>
            </w:r>
          </w:p>
        </w:tc>
        <w:tc>
          <w:tcPr>
            <w:tcW w:w="845" w:type="dxa"/>
            <w:vMerge/>
            <w:vAlign w:val="center"/>
          </w:tcPr>
          <w:p w14:paraId="4AC1107A"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6BA1F887"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36</w:t>
            </w:r>
          </w:p>
        </w:tc>
        <w:tc>
          <w:tcPr>
            <w:tcW w:w="804" w:type="dxa"/>
            <w:vAlign w:val="center"/>
          </w:tcPr>
          <w:p w14:paraId="3FC8359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66</w:t>
            </w:r>
          </w:p>
        </w:tc>
        <w:tc>
          <w:tcPr>
            <w:tcW w:w="832" w:type="dxa"/>
            <w:vAlign w:val="center"/>
          </w:tcPr>
          <w:p w14:paraId="7EBC1CD8"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11AB7F8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w:t>
            </w:r>
          </w:p>
        </w:tc>
        <w:tc>
          <w:tcPr>
            <w:tcW w:w="1009" w:type="dxa"/>
            <w:vAlign w:val="center"/>
          </w:tcPr>
          <w:p w14:paraId="7B476D9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53.1</w:t>
            </w:r>
          </w:p>
        </w:tc>
        <w:tc>
          <w:tcPr>
            <w:tcW w:w="723" w:type="dxa"/>
            <w:vAlign w:val="center"/>
          </w:tcPr>
          <w:p w14:paraId="7E4387F3"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连续</w:t>
            </w:r>
          </w:p>
        </w:tc>
        <w:tc>
          <w:tcPr>
            <w:tcW w:w="850" w:type="dxa"/>
            <w:vAlign w:val="center"/>
          </w:tcPr>
          <w:p w14:paraId="7FC376A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08ACBF5D" w14:textId="77777777" w:rsidR="00B14D53" w:rsidRDefault="00000000">
            <w:pPr>
              <w:widowControl/>
              <w:jc w:val="center"/>
              <w:textAlignment w:val="center"/>
              <w:rPr>
                <w:rFonts w:eastAsiaTheme="minorEastAsia"/>
                <w:szCs w:val="21"/>
              </w:rPr>
            </w:pPr>
            <w:r>
              <w:rPr>
                <w:color w:val="000000"/>
                <w:kern w:val="0"/>
                <w:szCs w:val="21"/>
                <w:lang w:bidi="ar"/>
              </w:rPr>
              <w:t>33.1</w:t>
            </w:r>
          </w:p>
        </w:tc>
        <w:tc>
          <w:tcPr>
            <w:tcW w:w="992" w:type="dxa"/>
            <w:vAlign w:val="center"/>
          </w:tcPr>
          <w:p w14:paraId="663617A4"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1m</w:t>
            </w:r>
          </w:p>
        </w:tc>
      </w:tr>
      <w:tr w:rsidR="00B14D53" w14:paraId="0329C46C" w14:textId="77777777">
        <w:trPr>
          <w:jc w:val="center"/>
        </w:trPr>
        <w:tc>
          <w:tcPr>
            <w:tcW w:w="454" w:type="dxa"/>
            <w:vAlign w:val="center"/>
          </w:tcPr>
          <w:p w14:paraId="63ABE51C"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13</w:t>
            </w:r>
          </w:p>
        </w:tc>
        <w:tc>
          <w:tcPr>
            <w:tcW w:w="828" w:type="dxa"/>
            <w:vMerge/>
            <w:vAlign w:val="center"/>
          </w:tcPr>
          <w:p w14:paraId="548161F3" w14:textId="77777777" w:rsidR="00B14D53" w:rsidRDefault="00B14D53">
            <w:pPr>
              <w:pStyle w:val="afffffffffe"/>
              <w:spacing w:after="0" w:line="240" w:lineRule="auto"/>
              <w:textAlignment w:val="center"/>
              <w:rPr>
                <w:rFonts w:eastAsiaTheme="minorEastAsia" w:hAnsiTheme="minorEastAsia" w:hint="eastAsia"/>
                <w:color w:val="auto"/>
                <w:sz w:val="21"/>
                <w:szCs w:val="21"/>
              </w:rPr>
            </w:pPr>
          </w:p>
        </w:tc>
        <w:tc>
          <w:tcPr>
            <w:tcW w:w="966" w:type="dxa"/>
            <w:vAlign w:val="center"/>
          </w:tcPr>
          <w:p w14:paraId="02978E02" w14:textId="77777777" w:rsidR="00B14D53" w:rsidRDefault="00000000">
            <w:pPr>
              <w:contextualSpacing/>
              <w:jc w:val="center"/>
              <w:rPr>
                <w:szCs w:val="21"/>
              </w:rPr>
            </w:pPr>
            <w:r>
              <w:rPr>
                <w:rFonts w:hint="eastAsia"/>
                <w:szCs w:val="21"/>
              </w:rPr>
              <w:t>风机</w:t>
            </w:r>
          </w:p>
        </w:tc>
        <w:tc>
          <w:tcPr>
            <w:tcW w:w="1286" w:type="dxa"/>
            <w:vAlign w:val="center"/>
          </w:tcPr>
          <w:p w14:paraId="0B2F9754"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3BCD38A0"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ign w:val="center"/>
          </w:tcPr>
          <w:p w14:paraId="4B022B0E"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2D3A99F2"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44</w:t>
            </w:r>
          </w:p>
        </w:tc>
        <w:tc>
          <w:tcPr>
            <w:tcW w:w="804" w:type="dxa"/>
            <w:vAlign w:val="center"/>
          </w:tcPr>
          <w:p w14:paraId="3C3094EF"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75</w:t>
            </w:r>
          </w:p>
        </w:tc>
        <w:tc>
          <w:tcPr>
            <w:tcW w:w="832" w:type="dxa"/>
            <w:vAlign w:val="center"/>
          </w:tcPr>
          <w:p w14:paraId="2ECE5B42"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3D8FC2E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1009" w:type="dxa"/>
            <w:vAlign w:val="center"/>
          </w:tcPr>
          <w:p w14:paraId="4F35D0AB"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90</w:t>
            </w:r>
          </w:p>
        </w:tc>
        <w:tc>
          <w:tcPr>
            <w:tcW w:w="723" w:type="dxa"/>
            <w:vAlign w:val="center"/>
          </w:tcPr>
          <w:p w14:paraId="5E931067" w14:textId="77777777" w:rsidR="00B14D53" w:rsidRDefault="00000000">
            <w:pPr>
              <w:pStyle w:val="00"/>
              <w:spacing w:line="240" w:lineRule="auto"/>
              <w:ind w:firstLineChars="0" w:firstLine="0"/>
              <w:jc w:val="center"/>
              <w:rPr>
                <w:rFonts w:hint="eastAsia"/>
                <w:sz w:val="21"/>
                <w:szCs w:val="21"/>
              </w:rPr>
            </w:pPr>
            <w:r>
              <w:rPr>
                <w:sz w:val="21"/>
                <w:szCs w:val="21"/>
              </w:rPr>
              <w:t>连续</w:t>
            </w:r>
          </w:p>
        </w:tc>
        <w:tc>
          <w:tcPr>
            <w:tcW w:w="850" w:type="dxa"/>
            <w:vAlign w:val="center"/>
          </w:tcPr>
          <w:p w14:paraId="4AE928EB"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6DD38F9E" w14:textId="77777777" w:rsidR="00B14D53" w:rsidRDefault="00000000">
            <w:pPr>
              <w:widowControl/>
              <w:jc w:val="center"/>
              <w:textAlignment w:val="center"/>
              <w:rPr>
                <w:szCs w:val="21"/>
              </w:rPr>
            </w:pPr>
            <w:r>
              <w:rPr>
                <w:color w:val="000000"/>
                <w:kern w:val="0"/>
                <w:szCs w:val="21"/>
                <w:lang w:bidi="ar"/>
              </w:rPr>
              <w:t>70</w:t>
            </w:r>
          </w:p>
        </w:tc>
        <w:tc>
          <w:tcPr>
            <w:tcW w:w="992" w:type="dxa"/>
            <w:vAlign w:val="center"/>
          </w:tcPr>
          <w:p w14:paraId="68398ED7"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1m</w:t>
            </w:r>
          </w:p>
        </w:tc>
      </w:tr>
      <w:tr w:rsidR="00B14D53" w14:paraId="6D1F1FA7" w14:textId="77777777">
        <w:trPr>
          <w:jc w:val="center"/>
        </w:trPr>
        <w:tc>
          <w:tcPr>
            <w:tcW w:w="454" w:type="dxa"/>
            <w:vAlign w:val="center"/>
          </w:tcPr>
          <w:p w14:paraId="74610F70"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14</w:t>
            </w:r>
          </w:p>
        </w:tc>
        <w:tc>
          <w:tcPr>
            <w:tcW w:w="828" w:type="dxa"/>
            <w:vMerge w:val="restart"/>
            <w:vAlign w:val="center"/>
          </w:tcPr>
          <w:p w14:paraId="4A9A4256" w14:textId="77777777" w:rsidR="00B14D53" w:rsidRDefault="00000000">
            <w:pPr>
              <w:pStyle w:val="afffffffffe"/>
              <w:spacing w:after="0" w:line="240" w:lineRule="auto"/>
              <w:textAlignment w:val="center"/>
              <w:rPr>
                <w:rFonts w:eastAsiaTheme="minorEastAsia" w:hAnsiTheme="minorEastAsia" w:hint="eastAsia"/>
                <w:color w:val="auto"/>
                <w:sz w:val="21"/>
                <w:szCs w:val="21"/>
              </w:rPr>
            </w:pPr>
            <w:r>
              <w:rPr>
                <w:rFonts w:eastAsiaTheme="minorEastAsia" w:hAnsiTheme="minorEastAsia" w:hint="eastAsia"/>
                <w:color w:val="auto"/>
                <w:sz w:val="21"/>
                <w:szCs w:val="21"/>
              </w:rPr>
              <w:t>机房</w:t>
            </w:r>
          </w:p>
        </w:tc>
        <w:tc>
          <w:tcPr>
            <w:tcW w:w="966" w:type="dxa"/>
            <w:vAlign w:val="center"/>
          </w:tcPr>
          <w:p w14:paraId="1AEFB762" w14:textId="77777777" w:rsidR="00B14D53" w:rsidRDefault="00000000">
            <w:pPr>
              <w:pStyle w:val="afffffffffe"/>
              <w:spacing w:after="0" w:line="240" w:lineRule="auto"/>
              <w:textAlignment w:val="center"/>
              <w:rPr>
                <w:rFonts w:eastAsiaTheme="minorEastAsia"/>
                <w:color w:val="auto"/>
                <w:sz w:val="21"/>
                <w:szCs w:val="21"/>
                <w:lang w:val="zh-CN"/>
              </w:rPr>
            </w:pPr>
            <w:r>
              <w:rPr>
                <w:rFonts w:hint="eastAsia"/>
                <w:color w:val="auto"/>
                <w:szCs w:val="21"/>
              </w:rPr>
              <w:t>制冷压缩机</w:t>
            </w:r>
          </w:p>
        </w:tc>
        <w:tc>
          <w:tcPr>
            <w:tcW w:w="1286" w:type="dxa"/>
            <w:vAlign w:val="center"/>
          </w:tcPr>
          <w:p w14:paraId="795AF1C8" w14:textId="77777777" w:rsidR="00B14D53" w:rsidRDefault="00000000">
            <w:pPr>
              <w:jc w:val="center"/>
              <w:textAlignment w:val="center"/>
              <w:rPr>
                <w:rFonts w:eastAsiaTheme="minorEastAsia"/>
                <w:szCs w:val="21"/>
              </w:rPr>
            </w:pPr>
            <w:r>
              <w:rPr>
                <w:rFonts w:eastAsiaTheme="minorEastAsia" w:hint="eastAsia"/>
                <w:szCs w:val="21"/>
              </w:rPr>
              <w:t>/</w:t>
            </w:r>
          </w:p>
        </w:tc>
        <w:tc>
          <w:tcPr>
            <w:tcW w:w="1119" w:type="dxa"/>
            <w:vAlign w:val="center"/>
          </w:tcPr>
          <w:p w14:paraId="30FA74ED" w14:textId="77777777" w:rsidR="00B14D53" w:rsidRDefault="00000000">
            <w:pPr>
              <w:jc w:val="center"/>
              <w:rPr>
                <w:rFonts w:eastAsiaTheme="minorEastAsia"/>
                <w:snapToGrid w:val="0"/>
                <w:szCs w:val="21"/>
              </w:rPr>
            </w:pPr>
            <w:r>
              <w:rPr>
                <w:rFonts w:eastAsiaTheme="minorEastAsia" w:hint="eastAsia"/>
                <w:snapToGrid w:val="0"/>
                <w:szCs w:val="21"/>
              </w:rPr>
              <w:t>85</w:t>
            </w:r>
          </w:p>
        </w:tc>
        <w:tc>
          <w:tcPr>
            <w:tcW w:w="845" w:type="dxa"/>
            <w:vMerge/>
            <w:vAlign w:val="center"/>
          </w:tcPr>
          <w:p w14:paraId="136477E6"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10587731"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27</w:t>
            </w:r>
          </w:p>
        </w:tc>
        <w:tc>
          <w:tcPr>
            <w:tcW w:w="804" w:type="dxa"/>
            <w:vAlign w:val="center"/>
          </w:tcPr>
          <w:p w14:paraId="2CE154F7"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46</w:t>
            </w:r>
          </w:p>
        </w:tc>
        <w:tc>
          <w:tcPr>
            <w:tcW w:w="832" w:type="dxa"/>
            <w:vAlign w:val="center"/>
          </w:tcPr>
          <w:p w14:paraId="5B854A1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23793831"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3</w:t>
            </w:r>
          </w:p>
        </w:tc>
        <w:tc>
          <w:tcPr>
            <w:tcW w:w="1009" w:type="dxa"/>
            <w:vAlign w:val="center"/>
          </w:tcPr>
          <w:p w14:paraId="7C6D7ABA"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75.5</w:t>
            </w:r>
          </w:p>
        </w:tc>
        <w:tc>
          <w:tcPr>
            <w:tcW w:w="723" w:type="dxa"/>
            <w:vAlign w:val="center"/>
          </w:tcPr>
          <w:p w14:paraId="0F0A23FD"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连续</w:t>
            </w:r>
          </w:p>
        </w:tc>
        <w:tc>
          <w:tcPr>
            <w:tcW w:w="850" w:type="dxa"/>
            <w:vAlign w:val="center"/>
          </w:tcPr>
          <w:p w14:paraId="1313627A"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69B59352" w14:textId="77777777" w:rsidR="00B14D53" w:rsidRDefault="00000000">
            <w:pPr>
              <w:widowControl/>
              <w:jc w:val="center"/>
              <w:textAlignment w:val="center"/>
              <w:rPr>
                <w:rFonts w:eastAsiaTheme="minorEastAsia"/>
                <w:szCs w:val="21"/>
              </w:rPr>
            </w:pPr>
            <w:r>
              <w:rPr>
                <w:color w:val="000000"/>
                <w:kern w:val="0"/>
                <w:szCs w:val="21"/>
                <w:lang w:bidi="ar"/>
              </w:rPr>
              <w:t>55.5</w:t>
            </w:r>
          </w:p>
        </w:tc>
        <w:tc>
          <w:tcPr>
            <w:tcW w:w="992" w:type="dxa"/>
            <w:vAlign w:val="center"/>
          </w:tcPr>
          <w:p w14:paraId="75E1A90C"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1m</w:t>
            </w:r>
          </w:p>
        </w:tc>
      </w:tr>
      <w:tr w:rsidR="00B14D53" w14:paraId="62E8EC30" w14:textId="77777777">
        <w:trPr>
          <w:jc w:val="center"/>
        </w:trPr>
        <w:tc>
          <w:tcPr>
            <w:tcW w:w="454" w:type="dxa"/>
            <w:vAlign w:val="center"/>
          </w:tcPr>
          <w:p w14:paraId="5E0E31E4"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15</w:t>
            </w:r>
          </w:p>
        </w:tc>
        <w:tc>
          <w:tcPr>
            <w:tcW w:w="828" w:type="dxa"/>
            <w:vMerge/>
            <w:vAlign w:val="center"/>
          </w:tcPr>
          <w:p w14:paraId="619CEB24" w14:textId="77777777" w:rsidR="00B14D53" w:rsidRDefault="00B14D53">
            <w:pPr>
              <w:pStyle w:val="afffffffffe"/>
              <w:spacing w:after="0" w:line="240" w:lineRule="auto"/>
              <w:textAlignment w:val="center"/>
              <w:rPr>
                <w:rFonts w:eastAsiaTheme="minorEastAsia" w:hAnsiTheme="minorEastAsia" w:hint="eastAsia"/>
                <w:color w:val="auto"/>
                <w:sz w:val="21"/>
                <w:szCs w:val="21"/>
              </w:rPr>
            </w:pPr>
          </w:p>
        </w:tc>
        <w:tc>
          <w:tcPr>
            <w:tcW w:w="966" w:type="dxa"/>
            <w:vAlign w:val="center"/>
          </w:tcPr>
          <w:p w14:paraId="5BF5B2D2" w14:textId="77777777" w:rsidR="00B14D53" w:rsidRDefault="00000000">
            <w:pPr>
              <w:pStyle w:val="afffffffffe"/>
              <w:spacing w:after="0" w:line="240" w:lineRule="auto"/>
              <w:textAlignment w:val="center"/>
              <w:rPr>
                <w:rFonts w:eastAsiaTheme="minorEastAsia" w:hAnsiTheme="minorEastAsia" w:hint="eastAsia"/>
                <w:color w:val="auto"/>
                <w:sz w:val="21"/>
                <w:szCs w:val="21"/>
              </w:rPr>
            </w:pPr>
            <w:r>
              <w:rPr>
                <w:rFonts w:hint="eastAsia"/>
                <w:color w:val="auto"/>
                <w:szCs w:val="21"/>
              </w:rPr>
              <w:t>制冷压缩机</w:t>
            </w:r>
          </w:p>
        </w:tc>
        <w:tc>
          <w:tcPr>
            <w:tcW w:w="1286" w:type="dxa"/>
            <w:vAlign w:val="center"/>
          </w:tcPr>
          <w:p w14:paraId="7BDA0DF5"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775670E1" w14:textId="77777777" w:rsidR="00B14D53" w:rsidRDefault="00000000">
            <w:pPr>
              <w:jc w:val="center"/>
              <w:rPr>
                <w:rFonts w:eastAsiaTheme="minorEastAsia"/>
                <w:snapToGrid w:val="0"/>
                <w:szCs w:val="21"/>
              </w:rPr>
            </w:pPr>
            <w:r>
              <w:rPr>
                <w:rFonts w:eastAsiaTheme="minorEastAsia" w:hint="eastAsia"/>
                <w:snapToGrid w:val="0"/>
                <w:szCs w:val="21"/>
              </w:rPr>
              <w:t>85</w:t>
            </w:r>
          </w:p>
        </w:tc>
        <w:tc>
          <w:tcPr>
            <w:tcW w:w="845" w:type="dxa"/>
            <w:vMerge/>
            <w:vAlign w:val="center"/>
          </w:tcPr>
          <w:p w14:paraId="4A3551C3"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7A8E809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24</w:t>
            </w:r>
          </w:p>
        </w:tc>
        <w:tc>
          <w:tcPr>
            <w:tcW w:w="804" w:type="dxa"/>
            <w:vAlign w:val="center"/>
          </w:tcPr>
          <w:p w14:paraId="47E78655"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46</w:t>
            </w:r>
          </w:p>
        </w:tc>
        <w:tc>
          <w:tcPr>
            <w:tcW w:w="832" w:type="dxa"/>
            <w:vAlign w:val="center"/>
          </w:tcPr>
          <w:p w14:paraId="18193955"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1AB92C2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4</w:t>
            </w:r>
          </w:p>
        </w:tc>
        <w:tc>
          <w:tcPr>
            <w:tcW w:w="1009" w:type="dxa"/>
            <w:vAlign w:val="center"/>
          </w:tcPr>
          <w:p w14:paraId="4CE079F6"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73</w:t>
            </w:r>
          </w:p>
        </w:tc>
        <w:tc>
          <w:tcPr>
            <w:tcW w:w="723" w:type="dxa"/>
            <w:vAlign w:val="center"/>
          </w:tcPr>
          <w:p w14:paraId="5AB3B45F" w14:textId="77777777" w:rsidR="00B14D53" w:rsidRDefault="00000000">
            <w:pPr>
              <w:pStyle w:val="00"/>
              <w:spacing w:line="240" w:lineRule="auto"/>
              <w:ind w:firstLineChars="0" w:firstLine="0"/>
              <w:jc w:val="center"/>
              <w:rPr>
                <w:rFonts w:hint="eastAsia"/>
                <w:sz w:val="21"/>
                <w:szCs w:val="21"/>
              </w:rPr>
            </w:pPr>
            <w:r>
              <w:rPr>
                <w:sz w:val="21"/>
                <w:szCs w:val="21"/>
              </w:rPr>
              <w:t>连续</w:t>
            </w:r>
          </w:p>
        </w:tc>
        <w:tc>
          <w:tcPr>
            <w:tcW w:w="850" w:type="dxa"/>
            <w:vAlign w:val="center"/>
          </w:tcPr>
          <w:p w14:paraId="3B1B90D4"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2B8FF992" w14:textId="77777777" w:rsidR="00B14D53" w:rsidRDefault="00000000">
            <w:pPr>
              <w:widowControl/>
              <w:jc w:val="center"/>
              <w:textAlignment w:val="center"/>
              <w:rPr>
                <w:szCs w:val="21"/>
              </w:rPr>
            </w:pPr>
            <w:r>
              <w:rPr>
                <w:color w:val="000000"/>
                <w:kern w:val="0"/>
                <w:szCs w:val="21"/>
                <w:lang w:bidi="ar"/>
              </w:rPr>
              <w:t>53</w:t>
            </w:r>
          </w:p>
        </w:tc>
        <w:tc>
          <w:tcPr>
            <w:tcW w:w="992" w:type="dxa"/>
            <w:vAlign w:val="center"/>
          </w:tcPr>
          <w:p w14:paraId="4D6626B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1m</w:t>
            </w:r>
          </w:p>
        </w:tc>
      </w:tr>
      <w:tr w:rsidR="00B14D53" w14:paraId="27816430" w14:textId="77777777">
        <w:trPr>
          <w:jc w:val="center"/>
        </w:trPr>
        <w:tc>
          <w:tcPr>
            <w:tcW w:w="454" w:type="dxa"/>
            <w:vAlign w:val="center"/>
          </w:tcPr>
          <w:p w14:paraId="1CB9CAE0"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16</w:t>
            </w:r>
          </w:p>
        </w:tc>
        <w:tc>
          <w:tcPr>
            <w:tcW w:w="828" w:type="dxa"/>
            <w:vMerge w:val="restart"/>
            <w:vAlign w:val="center"/>
          </w:tcPr>
          <w:p w14:paraId="1EA8BA42" w14:textId="77777777" w:rsidR="00B14D53" w:rsidRDefault="00000000">
            <w:pPr>
              <w:pStyle w:val="afffffffffe"/>
              <w:spacing w:after="0" w:line="240" w:lineRule="auto"/>
              <w:textAlignment w:val="center"/>
              <w:rPr>
                <w:rFonts w:eastAsiaTheme="minorEastAsia" w:hAnsiTheme="minorEastAsia" w:hint="eastAsia"/>
                <w:color w:val="auto"/>
                <w:sz w:val="21"/>
                <w:szCs w:val="21"/>
              </w:rPr>
            </w:pPr>
            <w:r>
              <w:rPr>
                <w:rFonts w:eastAsiaTheme="minorEastAsia" w:hint="eastAsia"/>
                <w:color w:val="auto"/>
                <w:sz w:val="21"/>
                <w:szCs w:val="21"/>
              </w:rPr>
              <w:t>污水处理站</w:t>
            </w:r>
          </w:p>
        </w:tc>
        <w:tc>
          <w:tcPr>
            <w:tcW w:w="966" w:type="dxa"/>
            <w:vAlign w:val="center"/>
          </w:tcPr>
          <w:p w14:paraId="49FE495F" w14:textId="77777777" w:rsidR="00B14D53" w:rsidRDefault="00000000">
            <w:pPr>
              <w:pStyle w:val="afffffffffe"/>
              <w:spacing w:after="0" w:line="240" w:lineRule="auto"/>
              <w:textAlignment w:val="center"/>
              <w:rPr>
                <w:rFonts w:eastAsiaTheme="minorEastAsia"/>
                <w:color w:val="auto"/>
                <w:sz w:val="21"/>
                <w:szCs w:val="21"/>
              </w:rPr>
            </w:pPr>
            <w:r>
              <w:rPr>
                <w:rFonts w:eastAsiaTheme="minorEastAsia" w:hint="eastAsia"/>
                <w:color w:val="auto"/>
                <w:sz w:val="21"/>
                <w:szCs w:val="21"/>
              </w:rPr>
              <w:t>水泵</w:t>
            </w:r>
          </w:p>
        </w:tc>
        <w:tc>
          <w:tcPr>
            <w:tcW w:w="1286" w:type="dxa"/>
            <w:vAlign w:val="center"/>
          </w:tcPr>
          <w:p w14:paraId="3B51A1B8" w14:textId="77777777" w:rsidR="00B14D53" w:rsidRDefault="00000000">
            <w:pPr>
              <w:jc w:val="center"/>
              <w:textAlignment w:val="center"/>
              <w:rPr>
                <w:rFonts w:eastAsiaTheme="minorEastAsia"/>
                <w:szCs w:val="21"/>
              </w:rPr>
            </w:pPr>
            <w:r>
              <w:rPr>
                <w:rFonts w:eastAsiaTheme="minorEastAsia" w:hint="eastAsia"/>
                <w:szCs w:val="21"/>
              </w:rPr>
              <w:t>/</w:t>
            </w:r>
          </w:p>
        </w:tc>
        <w:tc>
          <w:tcPr>
            <w:tcW w:w="1119" w:type="dxa"/>
            <w:vAlign w:val="center"/>
          </w:tcPr>
          <w:p w14:paraId="45B5F260"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ign w:val="center"/>
          </w:tcPr>
          <w:p w14:paraId="7020213E"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1BA83598"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24</w:t>
            </w:r>
          </w:p>
        </w:tc>
        <w:tc>
          <w:tcPr>
            <w:tcW w:w="804" w:type="dxa"/>
            <w:vAlign w:val="center"/>
          </w:tcPr>
          <w:p w14:paraId="1F1CDB9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92</w:t>
            </w:r>
          </w:p>
        </w:tc>
        <w:tc>
          <w:tcPr>
            <w:tcW w:w="832" w:type="dxa"/>
            <w:vAlign w:val="center"/>
          </w:tcPr>
          <w:p w14:paraId="3121F63F"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7EF08B0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w:t>
            </w:r>
          </w:p>
        </w:tc>
        <w:tc>
          <w:tcPr>
            <w:tcW w:w="1009" w:type="dxa"/>
            <w:vAlign w:val="center"/>
          </w:tcPr>
          <w:p w14:paraId="6D136C74"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84</w:t>
            </w:r>
          </w:p>
        </w:tc>
        <w:tc>
          <w:tcPr>
            <w:tcW w:w="723" w:type="dxa"/>
            <w:vAlign w:val="center"/>
          </w:tcPr>
          <w:p w14:paraId="1D348C5D"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连续</w:t>
            </w:r>
          </w:p>
        </w:tc>
        <w:tc>
          <w:tcPr>
            <w:tcW w:w="850" w:type="dxa"/>
            <w:vAlign w:val="center"/>
          </w:tcPr>
          <w:p w14:paraId="03F986C2"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16B37215" w14:textId="77777777" w:rsidR="00B14D53" w:rsidRDefault="00000000">
            <w:pPr>
              <w:widowControl/>
              <w:jc w:val="center"/>
              <w:textAlignment w:val="center"/>
              <w:rPr>
                <w:rFonts w:eastAsiaTheme="minorEastAsia"/>
                <w:szCs w:val="21"/>
              </w:rPr>
            </w:pPr>
            <w:r>
              <w:rPr>
                <w:color w:val="000000"/>
                <w:kern w:val="0"/>
                <w:szCs w:val="21"/>
                <w:lang w:bidi="ar"/>
              </w:rPr>
              <w:t>64</w:t>
            </w:r>
          </w:p>
        </w:tc>
        <w:tc>
          <w:tcPr>
            <w:tcW w:w="992" w:type="dxa"/>
            <w:vAlign w:val="center"/>
          </w:tcPr>
          <w:p w14:paraId="7D2C4C8B"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1m</w:t>
            </w:r>
          </w:p>
        </w:tc>
      </w:tr>
      <w:tr w:rsidR="00B14D53" w14:paraId="139B61FD" w14:textId="77777777">
        <w:trPr>
          <w:jc w:val="center"/>
        </w:trPr>
        <w:tc>
          <w:tcPr>
            <w:tcW w:w="454" w:type="dxa"/>
            <w:vAlign w:val="center"/>
          </w:tcPr>
          <w:p w14:paraId="29ED4A4C"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17</w:t>
            </w:r>
          </w:p>
        </w:tc>
        <w:tc>
          <w:tcPr>
            <w:tcW w:w="828" w:type="dxa"/>
            <w:vMerge/>
            <w:vAlign w:val="center"/>
          </w:tcPr>
          <w:p w14:paraId="0F481CAE" w14:textId="77777777" w:rsidR="00B14D53" w:rsidRDefault="00B14D53">
            <w:pPr>
              <w:pStyle w:val="afffffffffe"/>
              <w:spacing w:after="0" w:line="240" w:lineRule="auto"/>
              <w:textAlignment w:val="center"/>
              <w:rPr>
                <w:rFonts w:eastAsiaTheme="minorEastAsia" w:hAnsiTheme="minorEastAsia" w:hint="eastAsia"/>
                <w:color w:val="auto"/>
                <w:sz w:val="21"/>
                <w:szCs w:val="21"/>
              </w:rPr>
            </w:pPr>
          </w:p>
        </w:tc>
        <w:tc>
          <w:tcPr>
            <w:tcW w:w="966" w:type="dxa"/>
            <w:vAlign w:val="center"/>
          </w:tcPr>
          <w:p w14:paraId="5C80F53C" w14:textId="77777777" w:rsidR="00B14D53" w:rsidRDefault="00000000">
            <w:pPr>
              <w:pStyle w:val="afffffffffe"/>
              <w:spacing w:after="0" w:line="240" w:lineRule="auto"/>
              <w:textAlignment w:val="center"/>
              <w:rPr>
                <w:rFonts w:eastAsiaTheme="minorEastAsia" w:hAnsiTheme="minorEastAsia" w:hint="eastAsia"/>
                <w:color w:val="auto"/>
                <w:sz w:val="21"/>
                <w:szCs w:val="21"/>
              </w:rPr>
            </w:pPr>
            <w:r>
              <w:rPr>
                <w:rFonts w:eastAsiaTheme="minorEastAsia" w:hAnsiTheme="minorEastAsia" w:hint="eastAsia"/>
                <w:color w:val="auto"/>
                <w:sz w:val="21"/>
                <w:szCs w:val="21"/>
              </w:rPr>
              <w:t>水泵</w:t>
            </w:r>
          </w:p>
        </w:tc>
        <w:tc>
          <w:tcPr>
            <w:tcW w:w="1286" w:type="dxa"/>
            <w:vAlign w:val="center"/>
          </w:tcPr>
          <w:p w14:paraId="5A4CD736"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50E91958"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ign w:val="center"/>
          </w:tcPr>
          <w:p w14:paraId="197E1FEF"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169BDAEF"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24</w:t>
            </w:r>
          </w:p>
        </w:tc>
        <w:tc>
          <w:tcPr>
            <w:tcW w:w="804" w:type="dxa"/>
            <w:vAlign w:val="center"/>
          </w:tcPr>
          <w:p w14:paraId="742AC4C2"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91</w:t>
            </w:r>
          </w:p>
        </w:tc>
        <w:tc>
          <w:tcPr>
            <w:tcW w:w="832" w:type="dxa"/>
            <w:vAlign w:val="center"/>
          </w:tcPr>
          <w:p w14:paraId="27CB40B0"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3B7D5D4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w:t>
            </w:r>
          </w:p>
        </w:tc>
        <w:tc>
          <w:tcPr>
            <w:tcW w:w="1009" w:type="dxa"/>
            <w:vAlign w:val="center"/>
          </w:tcPr>
          <w:p w14:paraId="53714A1C"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84</w:t>
            </w:r>
          </w:p>
        </w:tc>
        <w:tc>
          <w:tcPr>
            <w:tcW w:w="723" w:type="dxa"/>
            <w:vAlign w:val="center"/>
          </w:tcPr>
          <w:p w14:paraId="3C34E6AB" w14:textId="77777777" w:rsidR="00B14D53" w:rsidRDefault="00000000">
            <w:pPr>
              <w:pStyle w:val="00"/>
              <w:spacing w:line="240" w:lineRule="auto"/>
              <w:ind w:firstLineChars="0" w:firstLine="0"/>
              <w:jc w:val="center"/>
              <w:rPr>
                <w:rFonts w:hint="eastAsia"/>
                <w:sz w:val="21"/>
                <w:szCs w:val="21"/>
              </w:rPr>
            </w:pPr>
            <w:r>
              <w:rPr>
                <w:sz w:val="21"/>
                <w:szCs w:val="21"/>
              </w:rPr>
              <w:t>连续</w:t>
            </w:r>
          </w:p>
        </w:tc>
        <w:tc>
          <w:tcPr>
            <w:tcW w:w="850" w:type="dxa"/>
            <w:vAlign w:val="center"/>
          </w:tcPr>
          <w:p w14:paraId="5482076F"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1B641AF2" w14:textId="77777777" w:rsidR="00B14D53" w:rsidRDefault="00000000">
            <w:pPr>
              <w:widowControl/>
              <w:jc w:val="center"/>
              <w:textAlignment w:val="center"/>
              <w:rPr>
                <w:szCs w:val="21"/>
              </w:rPr>
            </w:pPr>
            <w:r>
              <w:rPr>
                <w:color w:val="000000"/>
                <w:kern w:val="0"/>
                <w:szCs w:val="21"/>
                <w:lang w:bidi="ar"/>
              </w:rPr>
              <w:t>64</w:t>
            </w:r>
          </w:p>
        </w:tc>
        <w:tc>
          <w:tcPr>
            <w:tcW w:w="992" w:type="dxa"/>
            <w:vAlign w:val="center"/>
          </w:tcPr>
          <w:p w14:paraId="6A6A85C9"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1m</w:t>
            </w:r>
          </w:p>
        </w:tc>
      </w:tr>
      <w:tr w:rsidR="00B14D53" w14:paraId="4459C3A1" w14:textId="77777777">
        <w:trPr>
          <w:trHeight w:val="248"/>
          <w:jc w:val="center"/>
        </w:trPr>
        <w:tc>
          <w:tcPr>
            <w:tcW w:w="454" w:type="dxa"/>
            <w:vAlign w:val="center"/>
          </w:tcPr>
          <w:p w14:paraId="4B0AE4F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18</w:t>
            </w:r>
          </w:p>
        </w:tc>
        <w:tc>
          <w:tcPr>
            <w:tcW w:w="828" w:type="dxa"/>
            <w:vMerge/>
            <w:vAlign w:val="center"/>
          </w:tcPr>
          <w:p w14:paraId="7BFE2766" w14:textId="77777777" w:rsidR="00B14D53" w:rsidRDefault="00B14D53">
            <w:pPr>
              <w:pStyle w:val="afffffffffe"/>
              <w:spacing w:after="0" w:line="240" w:lineRule="auto"/>
              <w:textAlignment w:val="center"/>
              <w:rPr>
                <w:rFonts w:eastAsiaTheme="minorEastAsia" w:hAnsiTheme="minorEastAsia" w:hint="eastAsia"/>
                <w:color w:val="auto"/>
                <w:sz w:val="21"/>
                <w:szCs w:val="21"/>
              </w:rPr>
            </w:pPr>
          </w:p>
        </w:tc>
        <w:tc>
          <w:tcPr>
            <w:tcW w:w="966" w:type="dxa"/>
            <w:vAlign w:val="center"/>
          </w:tcPr>
          <w:p w14:paraId="603A6E30" w14:textId="77777777" w:rsidR="00B14D53" w:rsidRDefault="00000000">
            <w:pPr>
              <w:pStyle w:val="afffffffffe"/>
              <w:spacing w:after="0" w:line="240" w:lineRule="auto"/>
              <w:textAlignment w:val="center"/>
              <w:rPr>
                <w:rFonts w:eastAsiaTheme="minorEastAsia"/>
                <w:color w:val="auto"/>
                <w:sz w:val="21"/>
                <w:szCs w:val="21"/>
              </w:rPr>
            </w:pPr>
            <w:r>
              <w:rPr>
                <w:rFonts w:eastAsiaTheme="minorEastAsia" w:hint="eastAsia"/>
                <w:color w:val="auto"/>
                <w:sz w:val="21"/>
                <w:szCs w:val="21"/>
              </w:rPr>
              <w:t>水泵</w:t>
            </w:r>
          </w:p>
        </w:tc>
        <w:tc>
          <w:tcPr>
            <w:tcW w:w="1286" w:type="dxa"/>
            <w:vAlign w:val="center"/>
          </w:tcPr>
          <w:p w14:paraId="3CA20446" w14:textId="77777777" w:rsidR="00B14D53" w:rsidRDefault="00000000">
            <w:pPr>
              <w:jc w:val="center"/>
              <w:textAlignment w:val="center"/>
              <w:rPr>
                <w:rFonts w:eastAsiaTheme="minorEastAsia"/>
                <w:szCs w:val="21"/>
              </w:rPr>
            </w:pPr>
            <w:r>
              <w:rPr>
                <w:rFonts w:eastAsiaTheme="minorEastAsia" w:hint="eastAsia"/>
                <w:szCs w:val="21"/>
              </w:rPr>
              <w:t>/</w:t>
            </w:r>
          </w:p>
        </w:tc>
        <w:tc>
          <w:tcPr>
            <w:tcW w:w="1119" w:type="dxa"/>
            <w:vAlign w:val="center"/>
          </w:tcPr>
          <w:p w14:paraId="2E8ACD4B"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ign w:val="center"/>
          </w:tcPr>
          <w:p w14:paraId="1DF28440"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7BC84218"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24</w:t>
            </w:r>
          </w:p>
        </w:tc>
        <w:tc>
          <w:tcPr>
            <w:tcW w:w="804" w:type="dxa"/>
            <w:vAlign w:val="center"/>
          </w:tcPr>
          <w:p w14:paraId="4C9C916C"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89</w:t>
            </w:r>
          </w:p>
        </w:tc>
        <w:tc>
          <w:tcPr>
            <w:tcW w:w="832" w:type="dxa"/>
            <w:vAlign w:val="center"/>
          </w:tcPr>
          <w:p w14:paraId="2D83BC12"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31D2BE3B"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w:t>
            </w:r>
          </w:p>
        </w:tc>
        <w:tc>
          <w:tcPr>
            <w:tcW w:w="1009" w:type="dxa"/>
            <w:vAlign w:val="center"/>
          </w:tcPr>
          <w:p w14:paraId="7CD8A00B"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84</w:t>
            </w:r>
          </w:p>
        </w:tc>
        <w:tc>
          <w:tcPr>
            <w:tcW w:w="723" w:type="dxa"/>
            <w:vAlign w:val="center"/>
          </w:tcPr>
          <w:p w14:paraId="1D80B232"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连续</w:t>
            </w:r>
          </w:p>
        </w:tc>
        <w:tc>
          <w:tcPr>
            <w:tcW w:w="850" w:type="dxa"/>
            <w:vAlign w:val="center"/>
          </w:tcPr>
          <w:p w14:paraId="6D40E6BA"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6DE0611B" w14:textId="77777777" w:rsidR="00B14D53" w:rsidRDefault="00000000">
            <w:pPr>
              <w:widowControl/>
              <w:jc w:val="center"/>
              <w:textAlignment w:val="center"/>
              <w:rPr>
                <w:rFonts w:eastAsiaTheme="minorEastAsia"/>
                <w:szCs w:val="21"/>
              </w:rPr>
            </w:pPr>
            <w:r>
              <w:rPr>
                <w:color w:val="000000"/>
                <w:kern w:val="0"/>
                <w:szCs w:val="21"/>
                <w:lang w:bidi="ar"/>
              </w:rPr>
              <w:t>64</w:t>
            </w:r>
          </w:p>
        </w:tc>
        <w:tc>
          <w:tcPr>
            <w:tcW w:w="992" w:type="dxa"/>
            <w:vAlign w:val="center"/>
          </w:tcPr>
          <w:p w14:paraId="53FA4C9B"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1m</w:t>
            </w:r>
          </w:p>
        </w:tc>
      </w:tr>
      <w:tr w:rsidR="00B14D53" w14:paraId="55B7AD6F" w14:textId="77777777">
        <w:trPr>
          <w:jc w:val="center"/>
        </w:trPr>
        <w:tc>
          <w:tcPr>
            <w:tcW w:w="454" w:type="dxa"/>
            <w:vAlign w:val="center"/>
          </w:tcPr>
          <w:p w14:paraId="42B2D1DA"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19</w:t>
            </w:r>
          </w:p>
        </w:tc>
        <w:tc>
          <w:tcPr>
            <w:tcW w:w="828" w:type="dxa"/>
            <w:vMerge/>
            <w:vAlign w:val="center"/>
          </w:tcPr>
          <w:p w14:paraId="61297448" w14:textId="77777777" w:rsidR="00B14D53" w:rsidRDefault="00B14D53">
            <w:pPr>
              <w:pStyle w:val="afffffffffe"/>
              <w:spacing w:after="0" w:line="240" w:lineRule="auto"/>
              <w:textAlignment w:val="center"/>
              <w:rPr>
                <w:rFonts w:eastAsiaTheme="minorEastAsia" w:hAnsiTheme="minorEastAsia" w:hint="eastAsia"/>
                <w:color w:val="auto"/>
                <w:sz w:val="21"/>
                <w:szCs w:val="21"/>
              </w:rPr>
            </w:pPr>
          </w:p>
        </w:tc>
        <w:tc>
          <w:tcPr>
            <w:tcW w:w="966" w:type="dxa"/>
            <w:vAlign w:val="center"/>
          </w:tcPr>
          <w:p w14:paraId="0E5ED111" w14:textId="77777777" w:rsidR="00B14D53" w:rsidRDefault="00000000">
            <w:pPr>
              <w:pStyle w:val="afffffffffe"/>
              <w:spacing w:after="0" w:line="240" w:lineRule="auto"/>
              <w:textAlignment w:val="center"/>
              <w:rPr>
                <w:rFonts w:eastAsiaTheme="minorEastAsia"/>
                <w:color w:val="auto"/>
                <w:sz w:val="21"/>
                <w:szCs w:val="21"/>
              </w:rPr>
            </w:pPr>
            <w:r>
              <w:rPr>
                <w:rFonts w:eastAsiaTheme="minorEastAsia" w:hint="eastAsia"/>
                <w:color w:val="auto"/>
                <w:sz w:val="21"/>
                <w:szCs w:val="21"/>
              </w:rPr>
              <w:t>风机</w:t>
            </w:r>
          </w:p>
        </w:tc>
        <w:tc>
          <w:tcPr>
            <w:tcW w:w="1286" w:type="dxa"/>
            <w:vAlign w:val="center"/>
          </w:tcPr>
          <w:p w14:paraId="668723A8" w14:textId="77777777" w:rsidR="00B14D53" w:rsidRDefault="00000000">
            <w:pPr>
              <w:jc w:val="center"/>
              <w:textAlignment w:val="center"/>
              <w:rPr>
                <w:rFonts w:eastAsiaTheme="minorEastAsia"/>
                <w:szCs w:val="21"/>
              </w:rPr>
            </w:pPr>
            <w:r>
              <w:rPr>
                <w:rFonts w:eastAsiaTheme="minorEastAsia" w:hint="eastAsia"/>
                <w:szCs w:val="21"/>
              </w:rPr>
              <w:t>/</w:t>
            </w:r>
          </w:p>
        </w:tc>
        <w:tc>
          <w:tcPr>
            <w:tcW w:w="1119" w:type="dxa"/>
            <w:vAlign w:val="center"/>
          </w:tcPr>
          <w:p w14:paraId="696FE3DB"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ign w:val="center"/>
          </w:tcPr>
          <w:p w14:paraId="0485441F"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0792FA89"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25</w:t>
            </w:r>
          </w:p>
        </w:tc>
        <w:tc>
          <w:tcPr>
            <w:tcW w:w="804" w:type="dxa"/>
            <w:vAlign w:val="center"/>
          </w:tcPr>
          <w:p w14:paraId="2CA1FFC2"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92</w:t>
            </w:r>
          </w:p>
        </w:tc>
        <w:tc>
          <w:tcPr>
            <w:tcW w:w="832" w:type="dxa"/>
            <w:vAlign w:val="center"/>
          </w:tcPr>
          <w:p w14:paraId="5DDD92D6"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18570206"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1009" w:type="dxa"/>
            <w:vAlign w:val="center"/>
          </w:tcPr>
          <w:p w14:paraId="5CF55155"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90</w:t>
            </w:r>
          </w:p>
        </w:tc>
        <w:tc>
          <w:tcPr>
            <w:tcW w:w="723" w:type="dxa"/>
            <w:vAlign w:val="center"/>
          </w:tcPr>
          <w:p w14:paraId="4A3E09B6"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连续</w:t>
            </w:r>
          </w:p>
        </w:tc>
        <w:tc>
          <w:tcPr>
            <w:tcW w:w="850" w:type="dxa"/>
            <w:vAlign w:val="center"/>
          </w:tcPr>
          <w:p w14:paraId="4907712B"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30</w:t>
            </w:r>
          </w:p>
        </w:tc>
        <w:tc>
          <w:tcPr>
            <w:tcW w:w="993" w:type="dxa"/>
            <w:vAlign w:val="center"/>
          </w:tcPr>
          <w:p w14:paraId="3D8D6799" w14:textId="77777777" w:rsidR="00B14D53" w:rsidRDefault="00000000">
            <w:pPr>
              <w:widowControl/>
              <w:jc w:val="center"/>
              <w:textAlignment w:val="center"/>
              <w:rPr>
                <w:rFonts w:eastAsiaTheme="minorEastAsia"/>
                <w:szCs w:val="21"/>
              </w:rPr>
            </w:pPr>
            <w:r>
              <w:rPr>
                <w:color w:val="000000"/>
                <w:kern w:val="0"/>
                <w:szCs w:val="21"/>
                <w:lang w:bidi="ar"/>
              </w:rPr>
              <w:t>70</w:t>
            </w:r>
          </w:p>
        </w:tc>
        <w:tc>
          <w:tcPr>
            <w:tcW w:w="992" w:type="dxa"/>
            <w:vAlign w:val="center"/>
          </w:tcPr>
          <w:p w14:paraId="74CC1E6A"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1m</w:t>
            </w:r>
          </w:p>
        </w:tc>
      </w:tr>
      <w:tr w:rsidR="00B14D53" w14:paraId="587909C8" w14:textId="77777777">
        <w:trPr>
          <w:jc w:val="center"/>
        </w:trPr>
        <w:tc>
          <w:tcPr>
            <w:tcW w:w="454" w:type="dxa"/>
            <w:vAlign w:val="center"/>
          </w:tcPr>
          <w:p w14:paraId="02856EF1"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828" w:type="dxa"/>
            <w:vMerge w:val="restart"/>
            <w:vAlign w:val="center"/>
          </w:tcPr>
          <w:p w14:paraId="53FDD171" w14:textId="77777777" w:rsidR="00B14D53" w:rsidRDefault="00000000">
            <w:pPr>
              <w:pStyle w:val="afffffffffe"/>
              <w:spacing w:after="0" w:line="240" w:lineRule="auto"/>
              <w:textAlignment w:val="center"/>
              <w:rPr>
                <w:rFonts w:eastAsiaTheme="minorEastAsia" w:hAnsiTheme="minorEastAsia" w:hint="eastAsia"/>
                <w:color w:val="auto"/>
                <w:sz w:val="21"/>
                <w:szCs w:val="21"/>
              </w:rPr>
            </w:pPr>
            <w:r>
              <w:rPr>
                <w:rFonts w:eastAsiaTheme="minorEastAsia" w:hAnsiTheme="minorEastAsia" w:hint="eastAsia"/>
                <w:color w:val="auto"/>
                <w:sz w:val="21"/>
                <w:szCs w:val="21"/>
              </w:rPr>
              <w:t>2</w:t>
            </w:r>
            <w:r>
              <w:rPr>
                <w:rFonts w:eastAsiaTheme="minorEastAsia" w:hAnsiTheme="minorEastAsia" w:hint="eastAsia"/>
                <w:color w:val="auto"/>
                <w:sz w:val="21"/>
                <w:szCs w:val="21"/>
              </w:rPr>
              <w:t>间待宰圈</w:t>
            </w:r>
          </w:p>
        </w:tc>
        <w:tc>
          <w:tcPr>
            <w:tcW w:w="966" w:type="dxa"/>
            <w:vAlign w:val="center"/>
          </w:tcPr>
          <w:p w14:paraId="4B58B73E" w14:textId="77777777" w:rsidR="00B14D53" w:rsidRDefault="00000000">
            <w:pPr>
              <w:pStyle w:val="afffffffffe"/>
              <w:spacing w:after="0" w:line="240" w:lineRule="auto"/>
              <w:textAlignment w:val="center"/>
              <w:rPr>
                <w:rFonts w:eastAsiaTheme="minorEastAsia" w:hAnsiTheme="minorEastAsia" w:hint="eastAsia"/>
                <w:color w:val="auto"/>
                <w:sz w:val="21"/>
                <w:szCs w:val="21"/>
              </w:rPr>
            </w:pPr>
            <w:r>
              <w:rPr>
                <w:rFonts w:eastAsiaTheme="minorEastAsia" w:hint="eastAsia"/>
                <w:color w:val="auto"/>
                <w:sz w:val="21"/>
                <w:szCs w:val="21"/>
              </w:rPr>
              <w:t>风机</w:t>
            </w:r>
          </w:p>
        </w:tc>
        <w:tc>
          <w:tcPr>
            <w:tcW w:w="1286" w:type="dxa"/>
            <w:vAlign w:val="center"/>
          </w:tcPr>
          <w:p w14:paraId="257A922D" w14:textId="77777777" w:rsidR="00B14D53" w:rsidRDefault="00000000">
            <w:pPr>
              <w:jc w:val="center"/>
              <w:textAlignment w:val="center"/>
              <w:rPr>
                <w:rFonts w:eastAsiaTheme="minorEastAsia"/>
                <w:szCs w:val="21"/>
              </w:rPr>
            </w:pPr>
            <w:r>
              <w:rPr>
                <w:rFonts w:eastAsiaTheme="minorEastAsia"/>
                <w:szCs w:val="21"/>
              </w:rPr>
              <w:t>/</w:t>
            </w:r>
          </w:p>
        </w:tc>
        <w:tc>
          <w:tcPr>
            <w:tcW w:w="1119" w:type="dxa"/>
            <w:vAlign w:val="center"/>
          </w:tcPr>
          <w:p w14:paraId="6A469B37"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ign w:val="center"/>
          </w:tcPr>
          <w:p w14:paraId="31BD8923"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4F42DCBB"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48</w:t>
            </w:r>
          </w:p>
        </w:tc>
        <w:tc>
          <w:tcPr>
            <w:tcW w:w="804" w:type="dxa"/>
            <w:vAlign w:val="center"/>
          </w:tcPr>
          <w:p w14:paraId="531AC3AE"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119</w:t>
            </w:r>
          </w:p>
        </w:tc>
        <w:tc>
          <w:tcPr>
            <w:tcW w:w="832" w:type="dxa"/>
            <w:vAlign w:val="center"/>
          </w:tcPr>
          <w:p w14:paraId="44D1CA92"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3F550D25"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1009" w:type="dxa"/>
            <w:vAlign w:val="center"/>
          </w:tcPr>
          <w:p w14:paraId="3CE61092"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90</w:t>
            </w:r>
          </w:p>
        </w:tc>
        <w:tc>
          <w:tcPr>
            <w:tcW w:w="723" w:type="dxa"/>
            <w:vAlign w:val="center"/>
          </w:tcPr>
          <w:p w14:paraId="6116797E" w14:textId="77777777" w:rsidR="00B14D53" w:rsidRDefault="00000000">
            <w:pPr>
              <w:pStyle w:val="00"/>
              <w:spacing w:line="240" w:lineRule="auto"/>
              <w:ind w:firstLineChars="0" w:firstLine="0"/>
              <w:jc w:val="center"/>
              <w:rPr>
                <w:rFonts w:hint="eastAsia"/>
                <w:sz w:val="21"/>
                <w:szCs w:val="21"/>
              </w:rPr>
            </w:pPr>
            <w:r>
              <w:rPr>
                <w:sz w:val="21"/>
                <w:szCs w:val="21"/>
              </w:rPr>
              <w:t>连续</w:t>
            </w:r>
          </w:p>
        </w:tc>
        <w:tc>
          <w:tcPr>
            <w:tcW w:w="850" w:type="dxa"/>
            <w:vAlign w:val="center"/>
          </w:tcPr>
          <w:p w14:paraId="363FC96A"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481EBDE6" w14:textId="77777777" w:rsidR="00B14D53" w:rsidRDefault="00000000">
            <w:pPr>
              <w:widowControl/>
              <w:jc w:val="center"/>
              <w:textAlignment w:val="center"/>
              <w:rPr>
                <w:szCs w:val="21"/>
              </w:rPr>
            </w:pPr>
            <w:r>
              <w:rPr>
                <w:color w:val="000000"/>
                <w:kern w:val="0"/>
                <w:szCs w:val="21"/>
                <w:lang w:bidi="ar"/>
              </w:rPr>
              <w:t>70</w:t>
            </w:r>
          </w:p>
        </w:tc>
        <w:tc>
          <w:tcPr>
            <w:tcW w:w="992" w:type="dxa"/>
            <w:vAlign w:val="center"/>
          </w:tcPr>
          <w:p w14:paraId="5E680AF4"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1m</w:t>
            </w:r>
          </w:p>
        </w:tc>
      </w:tr>
      <w:tr w:rsidR="00B14D53" w14:paraId="0F1B8E13" w14:textId="77777777">
        <w:trPr>
          <w:jc w:val="center"/>
        </w:trPr>
        <w:tc>
          <w:tcPr>
            <w:tcW w:w="454" w:type="dxa"/>
            <w:vAlign w:val="center"/>
          </w:tcPr>
          <w:p w14:paraId="36792103"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21</w:t>
            </w:r>
          </w:p>
        </w:tc>
        <w:tc>
          <w:tcPr>
            <w:tcW w:w="828" w:type="dxa"/>
            <w:vMerge/>
            <w:vAlign w:val="center"/>
          </w:tcPr>
          <w:p w14:paraId="5FF44462" w14:textId="77777777" w:rsidR="00B14D53" w:rsidRDefault="00B14D53">
            <w:pPr>
              <w:pStyle w:val="afffffffffe"/>
              <w:spacing w:after="0" w:line="240" w:lineRule="auto"/>
              <w:textAlignment w:val="center"/>
              <w:rPr>
                <w:rFonts w:eastAsiaTheme="minorEastAsia" w:hAnsiTheme="minorEastAsia" w:hint="eastAsia"/>
                <w:color w:val="auto"/>
                <w:sz w:val="21"/>
                <w:szCs w:val="21"/>
              </w:rPr>
            </w:pPr>
          </w:p>
        </w:tc>
        <w:tc>
          <w:tcPr>
            <w:tcW w:w="966" w:type="dxa"/>
            <w:vAlign w:val="center"/>
          </w:tcPr>
          <w:p w14:paraId="38F04AB4" w14:textId="77777777" w:rsidR="00B14D53" w:rsidRDefault="00000000">
            <w:pPr>
              <w:pStyle w:val="afffffffffe"/>
              <w:spacing w:after="0" w:line="240" w:lineRule="auto"/>
              <w:textAlignment w:val="center"/>
              <w:rPr>
                <w:rFonts w:eastAsiaTheme="minorEastAsia"/>
                <w:color w:val="auto"/>
                <w:sz w:val="21"/>
                <w:szCs w:val="21"/>
              </w:rPr>
            </w:pPr>
            <w:r>
              <w:rPr>
                <w:rFonts w:eastAsiaTheme="minorEastAsia" w:hint="eastAsia"/>
                <w:color w:val="auto"/>
                <w:sz w:val="21"/>
                <w:szCs w:val="21"/>
              </w:rPr>
              <w:t>风机</w:t>
            </w:r>
          </w:p>
        </w:tc>
        <w:tc>
          <w:tcPr>
            <w:tcW w:w="1286" w:type="dxa"/>
            <w:vAlign w:val="center"/>
          </w:tcPr>
          <w:p w14:paraId="756EB2D4" w14:textId="77777777" w:rsidR="00B14D53" w:rsidRDefault="00000000">
            <w:pPr>
              <w:jc w:val="center"/>
              <w:textAlignment w:val="center"/>
              <w:rPr>
                <w:rFonts w:eastAsiaTheme="minorEastAsia"/>
                <w:szCs w:val="21"/>
              </w:rPr>
            </w:pPr>
            <w:r>
              <w:rPr>
                <w:rFonts w:eastAsiaTheme="minorEastAsia" w:hint="eastAsia"/>
                <w:szCs w:val="21"/>
              </w:rPr>
              <w:t>/</w:t>
            </w:r>
          </w:p>
        </w:tc>
        <w:tc>
          <w:tcPr>
            <w:tcW w:w="1119" w:type="dxa"/>
            <w:vAlign w:val="center"/>
          </w:tcPr>
          <w:p w14:paraId="32CF6E3F" w14:textId="77777777" w:rsidR="00B14D53" w:rsidRDefault="00000000">
            <w:pPr>
              <w:jc w:val="center"/>
              <w:rPr>
                <w:rFonts w:eastAsiaTheme="minorEastAsia"/>
                <w:snapToGrid w:val="0"/>
                <w:szCs w:val="21"/>
              </w:rPr>
            </w:pPr>
            <w:r>
              <w:rPr>
                <w:rFonts w:eastAsiaTheme="minorEastAsia" w:hint="eastAsia"/>
                <w:snapToGrid w:val="0"/>
                <w:szCs w:val="21"/>
              </w:rPr>
              <w:t>90</w:t>
            </w:r>
          </w:p>
        </w:tc>
        <w:tc>
          <w:tcPr>
            <w:tcW w:w="845" w:type="dxa"/>
            <w:vMerge/>
            <w:vAlign w:val="center"/>
          </w:tcPr>
          <w:p w14:paraId="5AC52AD8" w14:textId="77777777" w:rsidR="00B14D53" w:rsidRDefault="00B14D53">
            <w:pPr>
              <w:pStyle w:val="00"/>
              <w:spacing w:line="240" w:lineRule="auto"/>
              <w:ind w:firstLineChars="0" w:firstLine="0"/>
              <w:jc w:val="center"/>
              <w:rPr>
                <w:rFonts w:hAnsi="Times New Roman"/>
                <w:sz w:val="21"/>
                <w:szCs w:val="21"/>
              </w:rPr>
            </w:pPr>
          </w:p>
        </w:tc>
        <w:tc>
          <w:tcPr>
            <w:tcW w:w="832" w:type="dxa"/>
            <w:vAlign w:val="center"/>
          </w:tcPr>
          <w:p w14:paraId="59099701"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85</w:t>
            </w:r>
          </w:p>
        </w:tc>
        <w:tc>
          <w:tcPr>
            <w:tcW w:w="804" w:type="dxa"/>
            <w:vAlign w:val="center"/>
          </w:tcPr>
          <w:p w14:paraId="5FF2E8D6"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85</w:t>
            </w:r>
          </w:p>
        </w:tc>
        <w:tc>
          <w:tcPr>
            <w:tcW w:w="832" w:type="dxa"/>
            <w:vAlign w:val="center"/>
          </w:tcPr>
          <w:p w14:paraId="04DB5407"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900" w:type="dxa"/>
            <w:vAlign w:val="center"/>
          </w:tcPr>
          <w:p w14:paraId="6D3354CD"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1</w:t>
            </w:r>
          </w:p>
        </w:tc>
        <w:tc>
          <w:tcPr>
            <w:tcW w:w="1009" w:type="dxa"/>
            <w:vAlign w:val="center"/>
          </w:tcPr>
          <w:p w14:paraId="65492884"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90</w:t>
            </w:r>
          </w:p>
        </w:tc>
        <w:tc>
          <w:tcPr>
            <w:tcW w:w="723" w:type="dxa"/>
            <w:vAlign w:val="center"/>
          </w:tcPr>
          <w:p w14:paraId="42A44D75"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连续</w:t>
            </w:r>
          </w:p>
        </w:tc>
        <w:tc>
          <w:tcPr>
            <w:tcW w:w="850" w:type="dxa"/>
            <w:vAlign w:val="center"/>
          </w:tcPr>
          <w:p w14:paraId="343C64DC" w14:textId="77777777" w:rsidR="00B14D53" w:rsidRDefault="00000000">
            <w:pPr>
              <w:pStyle w:val="00"/>
              <w:spacing w:line="240" w:lineRule="auto"/>
              <w:ind w:firstLineChars="0" w:firstLine="0"/>
              <w:jc w:val="center"/>
              <w:rPr>
                <w:rFonts w:hAnsi="Times New Roman"/>
                <w:sz w:val="21"/>
                <w:szCs w:val="21"/>
              </w:rPr>
            </w:pPr>
            <w:r>
              <w:rPr>
                <w:rFonts w:hAnsi="Times New Roman" w:hint="eastAsia"/>
                <w:sz w:val="21"/>
                <w:szCs w:val="21"/>
              </w:rPr>
              <w:t>20</w:t>
            </w:r>
          </w:p>
        </w:tc>
        <w:tc>
          <w:tcPr>
            <w:tcW w:w="993" w:type="dxa"/>
            <w:vAlign w:val="center"/>
          </w:tcPr>
          <w:p w14:paraId="0BF62038" w14:textId="77777777" w:rsidR="00B14D53" w:rsidRDefault="00000000">
            <w:pPr>
              <w:widowControl/>
              <w:jc w:val="center"/>
              <w:textAlignment w:val="center"/>
              <w:rPr>
                <w:rFonts w:eastAsiaTheme="minorEastAsia"/>
                <w:szCs w:val="21"/>
              </w:rPr>
            </w:pPr>
            <w:r>
              <w:rPr>
                <w:color w:val="000000"/>
                <w:kern w:val="0"/>
                <w:szCs w:val="21"/>
                <w:lang w:bidi="ar"/>
              </w:rPr>
              <w:t>70</w:t>
            </w:r>
          </w:p>
        </w:tc>
        <w:tc>
          <w:tcPr>
            <w:tcW w:w="992" w:type="dxa"/>
            <w:vAlign w:val="center"/>
          </w:tcPr>
          <w:p w14:paraId="7C3EC514" w14:textId="77777777" w:rsidR="00B14D53" w:rsidRDefault="00000000">
            <w:pPr>
              <w:pStyle w:val="00"/>
              <w:spacing w:line="240" w:lineRule="auto"/>
              <w:ind w:firstLineChars="0" w:firstLine="0"/>
              <w:jc w:val="center"/>
              <w:rPr>
                <w:rFonts w:hAnsi="Times New Roman"/>
                <w:sz w:val="21"/>
                <w:szCs w:val="21"/>
              </w:rPr>
            </w:pPr>
            <w:r>
              <w:rPr>
                <w:rFonts w:hAnsi="Times New Roman"/>
                <w:sz w:val="21"/>
                <w:szCs w:val="21"/>
              </w:rPr>
              <w:t>1m</w:t>
            </w:r>
          </w:p>
        </w:tc>
      </w:tr>
    </w:tbl>
    <w:p w14:paraId="2F26217B" w14:textId="77777777" w:rsidR="00B14D53" w:rsidRDefault="00B14D53">
      <w:pPr>
        <w:spacing w:line="360" w:lineRule="auto"/>
        <w:jc w:val="center"/>
        <w:rPr>
          <w:rFonts w:eastAsiaTheme="minorEastAsia" w:hAnsiTheme="minorEastAsia" w:hint="eastAsia"/>
          <w:b/>
          <w:sz w:val="24"/>
          <w:highlight w:val="yellow"/>
        </w:rPr>
      </w:pPr>
    </w:p>
    <w:p w14:paraId="64DF3676" w14:textId="77777777" w:rsidR="00B14D53" w:rsidRDefault="00B14D53">
      <w:pPr>
        <w:pStyle w:val="afff"/>
        <w:rPr>
          <w:rFonts w:ascii="Times New Roman" w:hAnsi="Times New Roman" w:cs="Times New Roman"/>
          <w:kern w:val="0"/>
        </w:rPr>
        <w:sectPr w:rsidR="00B14D53">
          <w:pgSz w:w="16838" w:h="11906" w:orient="landscape"/>
          <w:pgMar w:top="1800" w:right="1440" w:bottom="1800" w:left="1440" w:header="851" w:footer="992" w:gutter="0"/>
          <w:cols w:space="425"/>
          <w:docGrid w:type="lines" w:linePitch="312"/>
        </w:sectPr>
      </w:pPr>
    </w:p>
    <w:p w14:paraId="62393158" w14:textId="77777777" w:rsidR="00B14D53" w:rsidRDefault="00000000">
      <w:pPr>
        <w:pStyle w:val="affffffffff"/>
        <w:spacing w:line="360" w:lineRule="auto"/>
        <w:ind w:firstLineChars="200" w:firstLine="480"/>
        <w:textAlignment w:val="center"/>
        <w:rPr>
          <w:rFonts w:eastAsiaTheme="minorEastAsia"/>
          <w:sz w:val="24"/>
          <w:szCs w:val="24"/>
        </w:rPr>
      </w:pPr>
      <w:r>
        <w:rPr>
          <w:rFonts w:eastAsiaTheme="minorEastAsia" w:hAnsiTheme="minorEastAsia"/>
          <w:sz w:val="24"/>
          <w:szCs w:val="24"/>
        </w:rPr>
        <w:t>②环境数据</w:t>
      </w:r>
    </w:p>
    <w:p w14:paraId="4726ED10" w14:textId="77777777" w:rsidR="00B14D53" w:rsidRDefault="00000000">
      <w:pPr>
        <w:pStyle w:val="2"/>
        <w:spacing w:after="0"/>
        <w:ind w:leftChars="0" w:left="0" w:firstLine="480"/>
        <w:rPr>
          <w:rFonts w:ascii="Times New Roman" w:hAnsi="Times New Roman" w:cs="Times New Roman"/>
          <w:sz w:val="24"/>
        </w:rPr>
      </w:pPr>
      <w:r>
        <w:rPr>
          <w:rFonts w:ascii="Times New Roman" w:hAnsiTheme="minorEastAsia" w:cs="Times New Roman"/>
          <w:sz w:val="24"/>
        </w:rPr>
        <w:t>本项目噪声环境影响预测基础数据见下表。</w:t>
      </w:r>
    </w:p>
    <w:p w14:paraId="3B614E76" w14:textId="77777777" w:rsidR="00B14D53" w:rsidRDefault="00000000">
      <w:pPr>
        <w:jc w:val="center"/>
        <w:rPr>
          <w:b/>
          <w:bCs/>
        </w:rPr>
      </w:pPr>
      <w:r>
        <w:rPr>
          <w:rFonts w:hint="eastAsia"/>
          <w:b/>
          <w:bCs/>
        </w:rPr>
        <w:t>表</w:t>
      </w:r>
      <w:r>
        <w:rPr>
          <w:rFonts w:hint="eastAsia"/>
          <w:b/>
          <w:bCs/>
        </w:rPr>
        <w:t xml:space="preserve">5-2-26 </w:t>
      </w:r>
      <w:r>
        <w:rPr>
          <w:rFonts w:hint="eastAsia"/>
          <w:b/>
          <w:bCs/>
        </w:rPr>
        <w:t>本项目噪声环境影响预测基础数据表</w:t>
      </w:r>
      <w:bookmarkStart w:id="224" w:name="PT_4"/>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7"/>
        <w:gridCol w:w="2720"/>
        <w:gridCol w:w="2077"/>
        <w:gridCol w:w="2077"/>
      </w:tblGrid>
      <w:tr w:rsidR="00B14D53" w14:paraId="05C42057" w14:textId="77777777">
        <w:trPr>
          <w:trHeight w:val="191"/>
          <w:jc w:val="center"/>
        </w:trPr>
        <w:tc>
          <w:tcPr>
            <w:tcW w:w="860" w:type="pct"/>
            <w:tcBorders>
              <w:tl2br w:val="nil"/>
              <w:tr2bl w:val="nil"/>
            </w:tcBorders>
            <w:vAlign w:val="center"/>
          </w:tcPr>
          <w:p w14:paraId="1F0BE1EE" w14:textId="77777777" w:rsidR="00B14D53" w:rsidRDefault="00000000">
            <w:pPr>
              <w:jc w:val="center"/>
              <w:rPr>
                <w:rFonts w:eastAsiaTheme="minorEastAsia"/>
                <w:b/>
                <w:bCs/>
                <w:szCs w:val="21"/>
              </w:rPr>
            </w:pPr>
            <w:r>
              <w:rPr>
                <w:rFonts w:eastAsiaTheme="minorEastAsia" w:hAnsiTheme="minorEastAsia"/>
                <w:b/>
                <w:bCs/>
                <w:szCs w:val="21"/>
              </w:rPr>
              <w:t>序号</w:t>
            </w:r>
          </w:p>
        </w:tc>
        <w:tc>
          <w:tcPr>
            <w:tcW w:w="1638" w:type="pct"/>
            <w:tcBorders>
              <w:tl2br w:val="nil"/>
              <w:tr2bl w:val="nil"/>
            </w:tcBorders>
            <w:vAlign w:val="center"/>
          </w:tcPr>
          <w:p w14:paraId="25E731DE" w14:textId="77777777" w:rsidR="00B14D53" w:rsidRDefault="00000000">
            <w:pPr>
              <w:jc w:val="center"/>
              <w:rPr>
                <w:rFonts w:eastAsiaTheme="minorEastAsia"/>
                <w:b/>
                <w:bCs/>
                <w:szCs w:val="21"/>
              </w:rPr>
            </w:pPr>
            <w:r>
              <w:rPr>
                <w:rFonts w:eastAsiaTheme="minorEastAsia" w:hAnsiTheme="minorEastAsia"/>
                <w:b/>
                <w:bCs/>
                <w:szCs w:val="21"/>
              </w:rPr>
              <w:t>名称</w:t>
            </w:r>
          </w:p>
        </w:tc>
        <w:tc>
          <w:tcPr>
            <w:tcW w:w="1250" w:type="pct"/>
            <w:tcBorders>
              <w:tl2br w:val="nil"/>
              <w:tr2bl w:val="nil"/>
            </w:tcBorders>
            <w:vAlign w:val="center"/>
          </w:tcPr>
          <w:p w14:paraId="3170D349" w14:textId="77777777" w:rsidR="00B14D53" w:rsidRDefault="00000000">
            <w:pPr>
              <w:jc w:val="center"/>
              <w:rPr>
                <w:rFonts w:eastAsiaTheme="minorEastAsia"/>
                <w:b/>
                <w:bCs/>
                <w:szCs w:val="21"/>
              </w:rPr>
            </w:pPr>
            <w:r>
              <w:rPr>
                <w:rFonts w:eastAsiaTheme="minorEastAsia" w:hAnsiTheme="minorEastAsia"/>
                <w:b/>
                <w:bCs/>
                <w:szCs w:val="21"/>
              </w:rPr>
              <w:t>单位</w:t>
            </w:r>
          </w:p>
        </w:tc>
        <w:tc>
          <w:tcPr>
            <w:tcW w:w="1250" w:type="pct"/>
            <w:tcBorders>
              <w:tl2br w:val="nil"/>
              <w:tr2bl w:val="nil"/>
            </w:tcBorders>
            <w:vAlign w:val="center"/>
          </w:tcPr>
          <w:p w14:paraId="506675DB" w14:textId="77777777" w:rsidR="00B14D53" w:rsidRDefault="00000000">
            <w:pPr>
              <w:jc w:val="center"/>
              <w:rPr>
                <w:rFonts w:eastAsiaTheme="minorEastAsia"/>
                <w:b/>
                <w:bCs/>
                <w:szCs w:val="21"/>
              </w:rPr>
            </w:pPr>
            <w:r>
              <w:rPr>
                <w:rFonts w:eastAsiaTheme="minorEastAsia" w:hAnsiTheme="minorEastAsia"/>
                <w:b/>
                <w:bCs/>
                <w:szCs w:val="21"/>
              </w:rPr>
              <w:t>数据</w:t>
            </w:r>
          </w:p>
        </w:tc>
      </w:tr>
      <w:tr w:rsidR="00B14D53" w14:paraId="4F9AC35F" w14:textId="77777777">
        <w:trPr>
          <w:trHeight w:val="64"/>
          <w:jc w:val="center"/>
        </w:trPr>
        <w:tc>
          <w:tcPr>
            <w:tcW w:w="860" w:type="pct"/>
            <w:tcBorders>
              <w:tl2br w:val="nil"/>
              <w:tr2bl w:val="nil"/>
            </w:tcBorders>
            <w:shd w:val="clear" w:color="auto" w:fill="FFFFFF"/>
            <w:vAlign w:val="center"/>
          </w:tcPr>
          <w:p w14:paraId="50194B8C" w14:textId="77777777" w:rsidR="00B14D53" w:rsidRDefault="00000000">
            <w:pPr>
              <w:jc w:val="center"/>
              <w:rPr>
                <w:rFonts w:eastAsiaTheme="minorEastAsia"/>
                <w:bCs/>
                <w:szCs w:val="21"/>
              </w:rPr>
            </w:pPr>
            <w:r>
              <w:rPr>
                <w:rFonts w:eastAsiaTheme="minorEastAsia"/>
                <w:bCs/>
                <w:szCs w:val="21"/>
              </w:rPr>
              <w:t>1</w:t>
            </w:r>
          </w:p>
        </w:tc>
        <w:tc>
          <w:tcPr>
            <w:tcW w:w="1638" w:type="pct"/>
            <w:tcBorders>
              <w:tl2br w:val="nil"/>
              <w:tr2bl w:val="nil"/>
            </w:tcBorders>
            <w:shd w:val="clear" w:color="auto" w:fill="FFFFFF"/>
            <w:vAlign w:val="center"/>
          </w:tcPr>
          <w:p w14:paraId="75741E8F" w14:textId="77777777" w:rsidR="00B14D53" w:rsidRDefault="00000000">
            <w:pPr>
              <w:jc w:val="center"/>
              <w:rPr>
                <w:rFonts w:eastAsiaTheme="minorEastAsia"/>
                <w:bCs/>
                <w:szCs w:val="21"/>
              </w:rPr>
            </w:pPr>
            <w:r>
              <w:rPr>
                <w:rFonts w:eastAsiaTheme="minorEastAsia" w:hAnsiTheme="minorEastAsia"/>
                <w:bCs/>
                <w:szCs w:val="21"/>
              </w:rPr>
              <w:t>年平均风速</w:t>
            </w:r>
          </w:p>
        </w:tc>
        <w:tc>
          <w:tcPr>
            <w:tcW w:w="1250" w:type="pct"/>
            <w:tcBorders>
              <w:tl2br w:val="nil"/>
              <w:tr2bl w:val="nil"/>
            </w:tcBorders>
            <w:shd w:val="clear" w:color="auto" w:fill="FFFFFF"/>
            <w:vAlign w:val="center"/>
          </w:tcPr>
          <w:p w14:paraId="02C558F3" w14:textId="77777777" w:rsidR="00B14D53" w:rsidRDefault="00000000">
            <w:pPr>
              <w:jc w:val="center"/>
              <w:rPr>
                <w:rFonts w:eastAsiaTheme="minorEastAsia"/>
                <w:bCs/>
                <w:szCs w:val="21"/>
              </w:rPr>
            </w:pPr>
            <w:r>
              <w:rPr>
                <w:rFonts w:eastAsiaTheme="minorEastAsia"/>
                <w:bCs/>
                <w:szCs w:val="21"/>
              </w:rPr>
              <w:t>m/s</w:t>
            </w:r>
          </w:p>
        </w:tc>
        <w:tc>
          <w:tcPr>
            <w:tcW w:w="1250" w:type="pct"/>
            <w:tcBorders>
              <w:tl2br w:val="nil"/>
              <w:tr2bl w:val="nil"/>
            </w:tcBorders>
            <w:shd w:val="clear" w:color="auto" w:fill="FFFFFF"/>
            <w:vAlign w:val="center"/>
          </w:tcPr>
          <w:p w14:paraId="67F225A3" w14:textId="77777777" w:rsidR="00B14D53" w:rsidRDefault="00000000">
            <w:pPr>
              <w:jc w:val="center"/>
              <w:rPr>
                <w:rFonts w:eastAsiaTheme="minorEastAsia"/>
                <w:bCs/>
                <w:szCs w:val="21"/>
              </w:rPr>
            </w:pPr>
            <w:r>
              <w:rPr>
                <w:rFonts w:eastAsiaTheme="minorEastAsia" w:hint="eastAsia"/>
                <w:bCs/>
                <w:szCs w:val="21"/>
              </w:rPr>
              <w:t>2.7</w:t>
            </w:r>
          </w:p>
        </w:tc>
      </w:tr>
      <w:tr w:rsidR="00B14D53" w14:paraId="6BC0C902" w14:textId="77777777">
        <w:trPr>
          <w:trHeight w:val="64"/>
          <w:jc w:val="center"/>
        </w:trPr>
        <w:tc>
          <w:tcPr>
            <w:tcW w:w="860" w:type="pct"/>
            <w:tcBorders>
              <w:tl2br w:val="nil"/>
              <w:tr2bl w:val="nil"/>
            </w:tcBorders>
            <w:shd w:val="clear" w:color="auto" w:fill="FFFFFF"/>
            <w:vAlign w:val="center"/>
          </w:tcPr>
          <w:p w14:paraId="7F45E63B" w14:textId="77777777" w:rsidR="00B14D53" w:rsidRDefault="00000000">
            <w:pPr>
              <w:jc w:val="center"/>
              <w:rPr>
                <w:rFonts w:eastAsiaTheme="minorEastAsia"/>
                <w:bCs/>
                <w:szCs w:val="21"/>
              </w:rPr>
            </w:pPr>
            <w:r>
              <w:rPr>
                <w:rFonts w:eastAsiaTheme="minorEastAsia"/>
                <w:bCs/>
                <w:szCs w:val="21"/>
              </w:rPr>
              <w:t>2</w:t>
            </w:r>
          </w:p>
        </w:tc>
        <w:tc>
          <w:tcPr>
            <w:tcW w:w="1638" w:type="pct"/>
            <w:tcBorders>
              <w:tl2br w:val="nil"/>
              <w:tr2bl w:val="nil"/>
            </w:tcBorders>
            <w:shd w:val="clear" w:color="auto" w:fill="FFFFFF"/>
            <w:vAlign w:val="center"/>
          </w:tcPr>
          <w:p w14:paraId="379E53A7" w14:textId="77777777" w:rsidR="00B14D53" w:rsidRDefault="00000000">
            <w:pPr>
              <w:jc w:val="center"/>
              <w:rPr>
                <w:rFonts w:eastAsiaTheme="minorEastAsia"/>
                <w:bCs/>
                <w:szCs w:val="21"/>
              </w:rPr>
            </w:pPr>
            <w:r>
              <w:rPr>
                <w:rFonts w:eastAsiaTheme="minorEastAsia" w:hAnsiTheme="minorEastAsia"/>
                <w:bCs/>
                <w:szCs w:val="21"/>
              </w:rPr>
              <w:t>主导风向</w:t>
            </w:r>
          </w:p>
        </w:tc>
        <w:tc>
          <w:tcPr>
            <w:tcW w:w="1250" w:type="pct"/>
            <w:tcBorders>
              <w:tl2br w:val="nil"/>
              <w:tr2bl w:val="nil"/>
            </w:tcBorders>
            <w:shd w:val="clear" w:color="auto" w:fill="FFFFFF"/>
            <w:vAlign w:val="center"/>
          </w:tcPr>
          <w:p w14:paraId="4FFC0F00" w14:textId="77777777" w:rsidR="00B14D53" w:rsidRDefault="00000000">
            <w:pPr>
              <w:jc w:val="center"/>
              <w:rPr>
                <w:rFonts w:eastAsiaTheme="minorEastAsia"/>
                <w:bCs/>
                <w:szCs w:val="21"/>
              </w:rPr>
            </w:pPr>
            <w:r>
              <w:rPr>
                <w:rFonts w:eastAsiaTheme="minorEastAsia"/>
                <w:bCs/>
                <w:szCs w:val="21"/>
              </w:rPr>
              <w:t>/</w:t>
            </w:r>
          </w:p>
        </w:tc>
        <w:tc>
          <w:tcPr>
            <w:tcW w:w="1250" w:type="pct"/>
            <w:tcBorders>
              <w:tl2br w:val="nil"/>
              <w:tr2bl w:val="nil"/>
            </w:tcBorders>
            <w:shd w:val="clear" w:color="auto" w:fill="FFFFFF"/>
            <w:vAlign w:val="center"/>
          </w:tcPr>
          <w:p w14:paraId="13D84AF8" w14:textId="77777777" w:rsidR="00B14D53" w:rsidRDefault="00000000">
            <w:pPr>
              <w:jc w:val="center"/>
              <w:rPr>
                <w:rFonts w:eastAsiaTheme="minorEastAsia"/>
                <w:bCs/>
                <w:szCs w:val="21"/>
              </w:rPr>
            </w:pPr>
            <w:r>
              <w:rPr>
                <w:rFonts w:eastAsiaTheme="minorEastAsia"/>
                <w:bCs/>
                <w:szCs w:val="21"/>
              </w:rPr>
              <w:t>SW</w:t>
            </w:r>
          </w:p>
        </w:tc>
      </w:tr>
      <w:tr w:rsidR="00B14D53" w14:paraId="150D7562" w14:textId="77777777">
        <w:trPr>
          <w:trHeight w:val="64"/>
          <w:jc w:val="center"/>
        </w:trPr>
        <w:tc>
          <w:tcPr>
            <w:tcW w:w="860" w:type="pct"/>
            <w:tcBorders>
              <w:tl2br w:val="nil"/>
              <w:tr2bl w:val="nil"/>
            </w:tcBorders>
            <w:shd w:val="clear" w:color="auto" w:fill="FFFFFF"/>
            <w:vAlign w:val="center"/>
          </w:tcPr>
          <w:p w14:paraId="5DEC456A" w14:textId="77777777" w:rsidR="00B14D53" w:rsidRDefault="00000000">
            <w:pPr>
              <w:jc w:val="center"/>
              <w:rPr>
                <w:rFonts w:eastAsiaTheme="minorEastAsia"/>
                <w:bCs/>
                <w:szCs w:val="21"/>
              </w:rPr>
            </w:pPr>
            <w:r>
              <w:rPr>
                <w:rFonts w:eastAsiaTheme="minorEastAsia"/>
                <w:bCs/>
                <w:szCs w:val="21"/>
              </w:rPr>
              <w:t>3</w:t>
            </w:r>
          </w:p>
        </w:tc>
        <w:tc>
          <w:tcPr>
            <w:tcW w:w="1638" w:type="pct"/>
            <w:tcBorders>
              <w:tl2br w:val="nil"/>
              <w:tr2bl w:val="nil"/>
            </w:tcBorders>
            <w:shd w:val="clear" w:color="auto" w:fill="FFFFFF"/>
            <w:vAlign w:val="center"/>
          </w:tcPr>
          <w:p w14:paraId="4C2FDEBB" w14:textId="77777777" w:rsidR="00B14D53" w:rsidRDefault="00000000">
            <w:pPr>
              <w:jc w:val="center"/>
              <w:rPr>
                <w:rFonts w:eastAsiaTheme="minorEastAsia"/>
                <w:bCs/>
                <w:szCs w:val="21"/>
              </w:rPr>
            </w:pPr>
            <w:r>
              <w:rPr>
                <w:rFonts w:eastAsiaTheme="minorEastAsia" w:hAnsiTheme="minorEastAsia"/>
                <w:bCs/>
                <w:szCs w:val="21"/>
              </w:rPr>
              <w:t>年平均气温</w:t>
            </w:r>
          </w:p>
        </w:tc>
        <w:tc>
          <w:tcPr>
            <w:tcW w:w="1250" w:type="pct"/>
            <w:tcBorders>
              <w:tl2br w:val="nil"/>
              <w:tr2bl w:val="nil"/>
            </w:tcBorders>
            <w:shd w:val="clear" w:color="auto" w:fill="FFFFFF"/>
            <w:vAlign w:val="center"/>
          </w:tcPr>
          <w:p w14:paraId="63808300" w14:textId="77777777" w:rsidR="00B14D53" w:rsidRDefault="00000000">
            <w:pPr>
              <w:jc w:val="center"/>
              <w:rPr>
                <w:rFonts w:eastAsiaTheme="minorEastAsia"/>
                <w:bCs/>
                <w:szCs w:val="21"/>
              </w:rPr>
            </w:pPr>
            <w:r>
              <w:rPr>
                <w:rFonts w:eastAsiaTheme="minorEastAsia" w:hAnsiTheme="minorEastAsia"/>
                <w:bCs/>
                <w:szCs w:val="21"/>
              </w:rPr>
              <w:t>℃</w:t>
            </w:r>
          </w:p>
        </w:tc>
        <w:tc>
          <w:tcPr>
            <w:tcW w:w="1250" w:type="pct"/>
            <w:tcBorders>
              <w:tl2br w:val="nil"/>
              <w:tr2bl w:val="nil"/>
            </w:tcBorders>
            <w:shd w:val="clear" w:color="auto" w:fill="FFFFFF"/>
            <w:vAlign w:val="center"/>
          </w:tcPr>
          <w:p w14:paraId="542E7363" w14:textId="77777777" w:rsidR="00B14D53" w:rsidRDefault="00000000">
            <w:pPr>
              <w:jc w:val="center"/>
              <w:rPr>
                <w:rFonts w:eastAsiaTheme="minorEastAsia"/>
                <w:bCs/>
                <w:szCs w:val="21"/>
              </w:rPr>
            </w:pPr>
            <w:r>
              <w:rPr>
                <w:rFonts w:eastAsiaTheme="minorEastAsia" w:hint="eastAsia"/>
                <w:bCs/>
                <w:szCs w:val="21"/>
              </w:rPr>
              <w:t>5.29</w:t>
            </w:r>
          </w:p>
        </w:tc>
      </w:tr>
      <w:tr w:rsidR="00B14D53" w14:paraId="6C7F427E" w14:textId="77777777">
        <w:trPr>
          <w:trHeight w:val="64"/>
          <w:jc w:val="center"/>
        </w:trPr>
        <w:tc>
          <w:tcPr>
            <w:tcW w:w="860" w:type="pct"/>
            <w:tcBorders>
              <w:tl2br w:val="nil"/>
              <w:tr2bl w:val="nil"/>
            </w:tcBorders>
            <w:shd w:val="clear" w:color="auto" w:fill="FFFFFF"/>
            <w:vAlign w:val="center"/>
          </w:tcPr>
          <w:p w14:paraId="405CF0F7" w14:textId="77777777" w:rsidR="00B14D53" w:rsidRDefault="00000000">
            <w:pPr>
              <w:jc w:val="center"/>
              <w:rPr>
                <w:rFonts w:eastAsiaTheme="minorEastAsia"/>
                <w:bCs/>
                <w:szCs w:val="21"/>
              </w:rPr>
            </w:pPr>
            <w:r>
              <w:rPr>
                <w:rFonts w:eastAsiaTheme="minorEastAsia"/>
                <w:bCs/>
                <w:szCs w:val="21"/>
              </w:rPr>
              <w:t>4</w:t>
            </w:r>
          </w:p>
        </w:tc>
        <w:tc>
          <w:tcPr>
            <w:tcW w:w="1638" w:type="pct"/>
            <w:tcBorders>
              <w:tl2br w:val="nil"/>
              <w:tr2bl w:val="nil"/>
            </w:tcBorders>
            <w:shd w:val="clear" w:color="auto" w:fill="FFFFFF"/>
            <w:vAlign w:val="center"/>
          </w:tcPr>
          <w:p w14:paraId="48950EB1" w14:textId="77777777" w:rsidR="00B14D53" w:rsidRDefault="00000000">
            <w:pPr>
              <w:jc w:val="center"/>
              <w:rPr>
                <w:rFonts w:eastAsiaTheme="minorEastAsia"/>
                <w:bCs/>
                <w:szCs w:val="21"/>
              </w:rPr>
            </w:pPr>
            <w:r>
              <w:rPr>
                <w:rFonts w:eastAsiaTheme="minorEastAsia" w:hAnsiTheme="minorEastAsia"/>
                <w:bCs/>
                <w:szCs w:val="21"/>
              </w:rPr>
              <w:t>年平均相对湿度</w:t>
            </w:r>
          </w:p>
        </w:tc>
        <w:tc>
          <w:tcPr>
            <w:tcW w:w="1250" w:type="pct"/>
            <w:tcBorders>
              <w:tl2br w:val="nil"/>
              <w:tr2bl w:val="nil"/>
            </w:tcBorders>
            <w:shd w:val="clear" w:color="auto" w:fill="FFFFFF"/>
            <w:vAlign w:val="center"/>
          </w:tcPr>
          <w:p w14:paraId="196189C6" w14:textId="77777777" w:rsidR="00B14D53" w:rsidRDefault="00000000">
            <w:pPr>
              <w:jc w:val="center"/>
              <w:rPr>
                <w:rFonts w:eastAsiaTheme="minorEastAsia"/>
                <w:bCs/>
                <w:szCs w:val="21"/>
              </w:rPr>
            </w:pPr>
            <w:r>
              <w:rPr>
                <w:rFonts w:eastAsiaTheme="minorEastAsia"/>
                <w:bCs/>
                <w:szCs w:val="21"/>
              </w:rPr>
              <w:t>%</w:t>
            </w:r>
          </w:p>
        </w:tc>
        <w:tc>
          <w:tcPr>
            <w:tcW w:w="1250" w:type="pct"/>
            <w:tcBorders>
              <w:tl2br w:val="nil"/>
              <w:tr2bl w:val="nil"/>
            </w:tcBorders>
            <w:shd w:val="clear" w:color="auto" w:fill="FFFFFF"/>
            <w:vAlign w:val="center"/>
          </w:tcPr>
          <w:p w14:paraId="4DEF32DE" w14:textId="77777777" w:rsidR="00B14D53" w:rsidRDefault="00000000">
            <w:pPr>
              <w:jc w:val="center"/>
              <w:rPr>
                <w:rFonts w:eastAsiaTheme="minorEastAsia"/>
                <w:bCs/>
                <w:szCs w:val="21"/>
              </w:rPr>
            </w:pPr>
            <w:r>
              <w:rPr>
                <w:rFonts w:eastAsiaTheme="minorEastAsia" w:hint="eastAsia"/>
                <w:bCs/>
                <w:szCs w:val="21"/>
              </w:rPr>
              <w:t>67.52</w:t>
            </w:r>
          </w:p>
        </w:tc>
      </w:tr>
      <w:tr w:rsidR="00B14D53" w14:paraId="310794B2" w14:textId="77777777">
        <w:trPr>
          <w:trHeight w:val="64"/>
          <w:jc w:val="center"/>
        </w:trPr>
        <w:tc>
          <w:tcPr>
            <w:tcW w:w="860" w:type="pct"/>
            <w:tcBorders>
              <w:tl2br w:val="nil"/>
              <w:tr2bl w:val="nil"/>
            </w:tcBorders>
            <w:shd w:val="clear" w:color="auto" w:fill="FFFFFF"/>
            <w:vAlign w:val="center"/>
          </w:tcPr>
          <w:p w14:paraId="6926BF6D" w14:textId="77777777" w:rsidR="00B14D53" w:rsidRDefault="00000000">
            <w:pPr>
              <w:jc w:val="center"/>
              <w:rPr>
                <w:rFonts w:eastAsiaTheme="minorEastAsia"/>
                <w:bCs/>
                <w:szCs w:val="21"/>
              </w:rPr>
            </w:pPr>
            <w:r>
              <w:rPr>
                <w:rFonts w:eastAsiaTheme="minorEastAsia"/>
                <w:bCs/>
                <w:szCs w:val="21"/>
              </w:rPr>
              <w:t>5</w:t>
            </w:r>
          </w:p>
        </w:tc>
        <w:tc>
          <w:tcPr>
            <w:tcW w:w="1638" w:type="pct"/>
            <w:tcBorders>
              <w:tl2br w:val="nil"/>
              <w:tr2bl w:val="nil"/>
            </w:tcBorders>
            <w:shd w:val="clear" w:color="auto" w:fill="FFFFFF"/>
            <w:vAlign w:val="center"/>
          </w:tcPr>
          <w:p w14:paraId="0E8AA8EB" w14:textId="77777777" w:rsidR="00B14D53" w:rsidRDefault="00000000">
            <w:pPr>
              <w:jc w:val="center"/>
              <w:rPr>
                <w:rFonts w:eastAsiaTheme="minorEastAsia"/>
                <w:bCs/>
                <w:szCs w:val="21"/>
              </w:rPr>
            </w:pPr>
            <w:r>
              <w:rPr>
                <w:rFonts w:eastAsiaTheme="minorEastAsia" w:hAnsiTheme="minorEastAsia"/>
                <w:bCs/>
                <w:szCs w:val="21"/>
              </w:rPr>
              <w:t>大气压强</w:t>
            </w:r>
          </w:p>
        </w:tc>
        <w:tc>
          <w:tcPr>
            <w:tcW w:w="1250" w:type="pct"/>
            <w:tcBorders>
              <w:tl2br w:val="nil"/>
              <w:tr2bl w:val="nil"/>
            </w:tcBorders>
            <w:shd w:val="clear" w:color="auto" w:fill="FFFFFF"/>
            <w:vAlign w:val="center"/>
          </w:tcPr>
          <w:p w14:paraId="787EFD8F" w14:textId="77777777" w:rsidR="00B14D53" w:rsidRDefault="00000000">
            <w:pPr>
              <w:jc w:val="center"/>
              <w:rPr>
                <w:rFonts w:eastAsiaTheme="minorEastAsia"/>
                <w:bCs/>
                <w:szCs w:val="21"/>
              </w:rPr>
            </w:pPr>
            <w:r>
              <w:rPr>
                <w:rFonts w:eastAsiaTheme="minorEastAsia"/>
                <w:bCs/>
                <w:szCs w:val="21"/>
              </w:rPr>
              <w:t>hPa</w:t>
            </w:r>
          </w:p>
        </w:tc>
        <w:tc>
          <w:tcPr>
            <w:tcW w:w="1250" w:type="pct"/>
            <w:tcBorders>
              <w:tl2br w:val="nil"/>
              <w:tr2bl w:val="nil"/>
            </w:tcBorders>
            <w:shd w:val="clear" w:color="auto" w:fill="FFFFFF"/>
            <w:vAlign w:val="center"/>
          </w:tcPr>
          <w:p w14:paraId="3AD24E03" w14:textId="77777777" w:rsidR="00B14D53" w:rsidRDefault="00000000">
            <w:pPr>
              <w:jc w:val="center"/>
              <w:rPr>
                <w:rFonts w:eastAsiaTheme="minorEastAsia"/>
                <w:bCs/>
                <w:szCs w:val="21"/>
              </w:rPr>
            </w:pPr>
            <w:r>
              <w:rPr>
                <w:rFonts w:eastAsiaTheme="minorEastAsia" w:hint="eastAsia"/>
                <w:bCs/>
                <w:szCs w:val="21"/>
              </w:rPr>
              <w:t>999.67</w:t>
            </w:r>
          </w:p>
        </w:tc>
      </w:tr>
    </w:tbl>
    <w:bookmarkEnd w:id="224"/>
    <w:p w14:paraId="0AE02EB5"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5.2.</w:t>
      </w:r>
      <w:r>
        <w:rPr>
          <w:rFonts w:ascii="Times New Roman" w:eastAsia="黑体" w:hAnsi="Times New Roman" w:cs="Times New Roman" w:hint="eastAsia"/>
          <w:b w:val="0"/>
          <w:bCs w:val="0"/>
          <w:sz w:val="24"/>
          <w:szCs w:val="24"/>
        </w:rPr>
        <w:t>3</w:t>
      </w:r>
      <w:r>
        <w:rPr>
          <w:rFonts w:ascii="Times New Roman" w:eastAsia="黑体" w:hAnsi="Times New Roman" w:cs="Times New Roman"/>
          <w:b w:val="0"/>
          <w:bCs w:val="0"/>
          <w:sz w:val="24"/>
          <w:szCs w:val="24"/>
        </w:rPr>
        <w:t>.2</w:t>
      </w:r>
      <w:r>
        <w:rPr>
          <w:rFonts w:ascii="Times New Roman" w:eastAsia="黑体" w:hAnsi="Times New Roman" w:cs="Times New Roman"/>
          <w:b w:val="0"/>
          <w:bCs w:val="0"/>
          <w:sz w:val="24"/>
          <w:szCs w:val="24"/>
        </w:rPr>
        <w:t>预测模式</w:t>
      </w:r>
    </w:p>
    <w:p w14:paraId="556C9884" w14:textId="77777777" w:rsidR="00B14D53" w:rsidRDefault="00000000">
      <w:pPr>
        <w:spacing w:line="360" w:lineRule="auto"/>
        <w:ind w:firstLineChars="200" w:firstLine="480"/>
        <w:rPr>
          <w:sz w:val="24"/>
        </w:rPr>
      </w:pPr>
      <w:r>
        <w:rPr>
          <w:rFonts w:ascii="宋体" w:hAnsi="宋体" w:cs="宋体" w:hint="eastAsia"/>
          <w:sz w:val="24"/>
        </w:rPr>
        <w:t>（</w:t>
      </w:r>
      <w:r>
        <w:rPr>
          <w:sz w:val="24"/>
        </w:rPr>
        <w:t>1</w:t>
      </w:r>
      <w:r>
        <w:rPr>
          <w:rFonts w:ascii="宋体" w:hAnsi="宋体" w:cs="宋体" w:hint="eastAsia"/>
          <w:sz w:val="24"/>
        </w:rPr>
        <w:t>）</w:t>
      </w:r>
      <w:r>
        <w:rPr>
          <w:sz w:val="24"/>
        </w:rPr>
        <w:t>建设项目声源在预测点产生的等效声级贡献值</w:t>
      </w:r>
      <w:r>
        <w:rPr>
          <w:sz w:val="24"/>
        </w:rPr>
        <w:t>(L</w:t>
      </w:r>
      <w:r>
        <w:rPr>
          <w:sz w:val="24"/>
          <w:vertAlign w:val="subscript"/>
        </w:rPr>
        <w:t>eqg</w:t>
      </w:r>
      <w:r>
        <w:rPr>
          <w:sz w:val="24"/>
        </w:rPr>
        <w:t>)</w:t>
      </w:r>
      <w:r>
        <w:rPr>
          <w:sz w:val="24"/>
        </w:rPr>
        <w:t>计算公式：</w:t>
      </w:r>
    </w:p>
    <w:p w14:paraId="4223D3B9" w14:textId="77777777" w:rsidR="00B14D53" w:rsidRDefault="00000000">
      <w:pPr>
        <w:spacing w:line="360" w:lineRule="auto"/>
        <w:jc w:val="center"/>
        <w:rPr>
          <w:sz w:val="24"/>
        </w:rPr>
      </w:pPr>
      <w:r>
        <w:rPr>
          <w:noProof/>
          <w:sz w:val="24"/>
        </w:rPr>
        <w:drawing>
          <wp:inline distT="0" distB="0" distL="0" distR="0" wp14:anchorId="0BAFA018" wp14:editId="6B9D7017">
            <wp:extent cx="1843405" cy="461010"/>
            <wp:effectExtent l="0" t="0" r="0" b="0"/>
            <wp:docPr id="1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1"/>
                    <pic:cNvPicPr>
                      <a:picLocks noChangeAspect="1" noChangeArrowheads="1"/>
                    </pic:cNvPicPr>
                  </pic:nvPicPr>
                  <pic:blipFill>
                    <a:blip r:embed="rId62"/>
                    <a:srcRect/>
                    <a:stretch>
                      <a:fillRect/>
                    </a:stretch>
                  </pic:blipFill>
                  <pic:spPr>
                    <a:xfrm>
                      <a:off x="0" y="0"/>
                      <a:ext cx="1843405" cy="461010"/>
                    </a:xfrm>
                    <a:prstGeom prst="rect">
                      <a:avLst/>
                    </a:prstGeom>
                    <a:noFill/>
                    <a:ln w="9525">
                      <a:noFill/>
                      <a:miter lim="800000"/>
                      <a:headEnd/>
                      <a:tailEnd/>
                    </a:ln>
                  </pic:spPr>
                </pic:pic>
              </a:graphicData>
            </a:graphic>
          </wp:inline>
        </w:drawing>
      </w:r>
    </w:p>
    <w:p w14:paraId="737E3CE4" w14:textId="77777777" w:rsidR="00B14D53" w:rsidRDefault="00000000">
      <w:pPr>
        <w:spacing w:line="360" w:lineRule="auto"/>
        <w:ind w:firstLineChars="200" w:firstLine="480"/>
        <w:rPr>
          <w:sz w:val="24"/>
        </w:rPr>
      </w:pPr>
      <w:r>
        <w:rPr>
          <w:sz w:val="24"/>
        </w:rPr>
        <w:t>L</w:t>
      </w:r>
      <w:r>
        <w:rPr>
          <w:sz w:val="24"/>
          <w:vertAlign w:val="subscript"/>
        </w:rPr>
        <w:t>eqg</w:t>
      </w:r>
      <w:r>
        <w:rPr>
          <w:sz w:val="24"/>
        </w:rPr>
        <w:t>——</w:t>
      </w:r>
      <w:r>
        <w:rPr>
          <w:sz w:val="24"/>
        </w:rPr>
        <w:t>建设项目声源在预测点的等效声级贡献值，</w:t>
      </w:r>
      <w:r>
        <w:rPr>
          <w:sz w:val="24"/>
        </w:rPr>
        <w:t>dB(A)</w:t>
      </w:r>
      <w:r>
        <w:rPr>
          <w:sz w:val="24"/>
        </w:rPr>
        <w:t>；</w:t>
      </w:r>
    </w:p>
    <w:p w14:paraId="4CF2EB1E" w14:textId="77777777" w:rsidR="00B14D53" w:rsidRDefault="00000000">
      <w:pPr>
        <w:spacing w:line="360" w:lineRule="auto"/>
        <w:ind w:firstLineChars="200" w:firstLine="480"/>
        <w:rPr>
          <w:sz w:val="24"/>
        </w:rPr>
      </w:pPr>
      <w:r>
        <w:rPr>
          <w:sz w:val="24"/>
        </w:rPr>
        <w:t>L</w:t>
      </w:r>
      <w:r>
        <w:rPr>
          <w:sz w:val="24"/>
          <w:vertAlign w:val="subscript"/>
        </w:rPr>
        <w:t>Ai</w:t>
      </w:r>
      <w:r>
        <w:rPr>
          <w:sz w:val="24"/>
        </w:rPr>
        <w:t>——i</w:t>
      </w:r>
      <w:r>
        <w:rPr>
          <w:sz w:val="24"/>
        </w:rPr>
        <w:t>声源在预测点产生的</w:t>
      </w:r>
      <w:r>
        <w:rPr>
          <w:sz w:val="24"/>
        </w:rPr>
        <w:t>A</w:t>
      </w:r>
      <w:r>
        <w:rPr>
          <w:sz w:val="24"/>
        </w:rPr>
        <w:t>声级，</w:t>
      </w:r>
      <w:r>
        <w:rPr>
          <w:sz w:val="24"/>
        </w:rPr>
        <w:t>dB(A)</w:t>
      </w:r>
      <w:r>
        <w:rPr>
          <w:sz w:val="24"/>
        </w:rPr>
        <w:t>；</w:t>
      </w:r>
    </w:p>
    <w:p w14:paraId="1E32B425" w14:textId="77777777" w:rsidR="00B14D53" w:rsidRDefault="00000000">
      <w:pPr>
        <w:spacing w:line="360" w:lineRule="auto"/>
        <w:ind w:firstLineChars="200" w:firstLine="480"/>
        <w:rPr>
          <w:sz w:val="24"/>
        </w:rPr>
      </w:pPr>
      <w:r>
        <w:rPr>
          <w:sz w:val="24"/>
        </w:rPr>
        <w:t>T——</w:t>
      </w:r>
      <w:r>
        <w:rPr>
          <w:sz w:val="24"/>
        </w:rPr>
        <w:t>预测计算的时间段，</w:t>
      </w:r>
      <w:r>
        <w:rPr>
          <w:sz w:val="24"/>
        </w:rPr>
        <w:t>s</w:t>
      </w:r>
      <w:r>
        <w:rPr>
          <w:sz w:val="24"/>
        </w:rPr>
        <w:t>；</w:t>
      </w:r>
    </w:p>
    <w:p w14:paraId="1A35A58B" w14:textId="77777777" w:rsidR="00B14D53" w:rsidRDefault="00000000">
      <w:pPr>
        <w:spacing w:line="360" w:lineRule="auto"/>
        <w:ind w:firstLineChars="200" w:firstLine="480"/>
        <w:rPr>
          <w:sz w:val="24"/>
        </w:rPr>
      </w:pPr>
      <w:r>
        <w:rPr>
          <w:sz w:val="24"/>
        </w:rPr>
        <w:t>t</w:t>
      </w:r>
      <w:r>
        <w:rPr>
          <w:sz w:val="24"/>
          <w:vertAlign w:val="subscript"/>
        </w:rPr>
        <w:t>i</w:t>
      </w:r>
      <w:r>
        <w:rPr>
          <w:sz w:val="24"/>
        </w:rPr>
        <w:t>——i</w:t>
      </w:r>
      <w:r>
        <w:rPr>
          <w:sz w:val="24"/>
        </w:rPr>
        <w:t>声源在</w:t>
      </w:r>
      <w:r>
        <w:rPr>
          <w:sz w:val="24"/>
        </w:rPr>
        <w:t>T</w:t>
      </w:r>
      <w:r>
        <w:rPr>
          <w:sz w:val="24"/>
        </w:rPr>
        <w:t>时段内的运行时间，</w:t>
      </w:r>
      <w:r>
        <w:rPr>
          <w:sz w:val="24"/>
        </w:rPr>
        <w:t>s</w:t>
      </w:r>
      <w:r>
        <w:rPr>
          <w:sz w:val="24"/>
        </w:rPr>
        <w:t>。</w:t>
      </w:r>
    </w:p>
    <w:p w14:paraId="171C7E85" w14:textId="77777777" w:rsidR="00B14D53" w:rsidRDefault="00000000">
      <w:pPr>
        <w:spacing w:line="360" w:lineRule="auto"/>
        <w:ind w:firstLineChars="200" w:firstLine="480"/>
        <w:rPr>
          <w:sz w:val="24"/>
        </w:rPr>
      </w:pPr>
      <w:r>
        <w:rPr>
          <w:rFonts w:hAnsi="宋体"/>
          <w:sz w:val="24"/>
        </w:rPr>
        <w:t>（</w:t>
      </w:r>
      <w:r>
        <w:rPr>
          <w:sz w:val="24"/>
        </w:rPr>
        <w:t>2</w:t>
      </w:r>
      <w:r>
        <w:rPr>
          <w:rFonts w:hAnsi="宋体"/>
          <w:sz w:val="24"/>
        </w:rPr>
        <w:t>）</w:t>
      </w:r>
      <w:r>
        <w:rPr>
          <w:sz w:val="24"/>
        </w:rPr>
        <w:t>预测点的预测等效声级（</w:t>
      </w:r>
      <w:r>
        <w:rPr>
          <w:sz w:val="24"/>
        </w:rPr>
        <w:t>L</w:t>
      </w:r>
      <w:r>
        <w:rPr>
          <w:sz w:val="24"/>
          <w:vertAlign w:val="subscript"/>
        </w:rPr>
        <w:t>eq</w:t>
      </w:r>
      <w:r>
        <w:rPr>
          <w:sz w:val="24"/>
        </w:rPr>
        <w:t>）计算公式：</w:t>
      </w:r>
    </w:p>
    <w:p w14:paraId="3B2E708F" w14:textId="77777777" w:rsidR="00B14D53" w:rsidRDefault="00000000">
      <w:pPr>
        <w:spacing w:line="360" w:lineRule="auto"/>
        <w:ind w:firstLineChars="200" w:firstLine="480"/>
        <w:jc w:val="center"/>
        <w:rPr>
          <w:sz w:val="24"/>
        </w:rPr>
      </w:pPr>
      <w:r>
        <w:rPr>
          <w:noProof/>
          <w:sz w:val="24"/>
        </w:rPr>
        <w:drawing>
          <wp:inline distT="0" distB="0" distL="0" distR="0" wp14:anchorId="11E2051D" wp14:editId="26EAEC99">
            <wp:extent cx="2092325" cy="285115"/>
            <wp:effectExtent l="0" t="0" r="0" b="0"/>
            <wp:docPr id="1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2"/>
                    <pic:cNvPicPr>
                      <a:picLocks noChangeAspect="1" noChangeArrowheads="1"/>
                    </pic:cNvPicPr>
                  </pic:nvPicPr>
                  <pic:blipFill>
                    <a:blip r:embed="rId63"/>
                    <a:srcRect/>
                    <a:stretch>
                      <a:fillRect/>
                    </a:stretch>
                  </pic:blipFill>
                  <pic:spPr>
                    <a:xfrm>
                      <a:off x="0" y="0"/>
                      <a:ext cx="2092325" cy="285115"/>
                    </a:xfrm>
                    <a:prstGeom prst="rect">
                      <a:avLst/>
                    </a:prstGeom>
                    <a:noFill/>
                    <a:ln w="9525">
                      <a:noFill/>
                      <a:miter lim="800000"/>
                      <a:headEnd/>
                      <a:tailEnd/>
                    </a:ln>
                  </pic:spPr>
                </pic:pic>
              </a:graphicData>
            </a:graphic>
          </wp:inline>
        </w:drawing>
      </w:r>
    </w:p>
    <w:p w14:paraId="7FA0F949" w14:textId="77777777" w:rsidR="00B14D53" w:rsidRDefault="00000000">
      <w:pPr>
        <w:spacing w:line="360" w:lineRule="auto"/>
        <w:ind w:firstLineChars="200" w:firstLine="480"/>
        <w:rPr>
          <w:sz w:val="24"/>
        </w:rPr>
      </w:pPr>
      <w:r>
        <w:rPr>
          <w:sz w:val="24"/>
        </w:rPr>
        <w:t>式中：</w:t>
      </w:r>
      <w:r>
        <w:rPr>
          <w:rFonts w:eastAsiaTheme="minorEastAsia"/>
          <w:sz w:val="24"/>
        </w:rPr>
        <w:t>L</w:t>
      </w:r>
      <w:r>
        <w:rPr>
          <w:rFonts w:eastAsiaTheme="minorEastAsia"/>
          <w:sz w:val="24"/>
          <w:vertAlign w:val="subscript"/>
        </w:rPr>
        <w:t>eq</w:t>
      </w:r>
      <w:r>
        <w:rPr>
          <w:rFonts w:eastAsiaTheme="minorEastAsia"/>
          <w:sz w:val="24"/>
        </w:rPr>
        <w:t>——</w:t>
      </w:r>
      <w:r>
        <w:rPr>
          <w:rFonts w:eastAsiaTheme="minorEastAsia"/>
          <w:sz w:val="24"/>
        </w:rPr>
        <w:t>预测点的噪声预测值，</w:t>
      </w:r>
      <w:r>
        <w:rPr>
          <w:rFonts w:eastAsiaTheme="minorEastAsia"/>
          <w:sz w:val="24"/>
        </w:rPr>
        <w:t>dB</w:t>
      </w:r>
      <w:r>
        <w:rPr>
          <w:rFonts w:eastAsiaTheme="minorEastAsia"/>
          <w:sz w:val="24"/>
        </w:rPr>
        <w:t>；</w:t>
      </w:r>
    </w:p>
    <w:p w14:paraId="5D884F77" w14:textId="77777777" w:rsidR="00B14D53" w:rsidRDefault="00000000">
      <w:pPr>
        <w:spacing w:line="360" w:lineRule="auto"/>
        <w:ind w:firstLineChars="500" w:firstLine="1200"/>
        <w:rPr>
          <w:sz w:val="24"/>
        </w:rPr>
      </w:pPr>
      <w:r>
        <w:rPr>
          <w:sz w:val="24"/>
        </w:rPr>
        <w:t>L</w:t>
      </w:r>
      <w:r>
        <w:rPr>
          <w:sz w:val="24"/>
          <w:vertAlign w:val="subscript"/>
        </w:rPr>
        <w:t>eqg</w:t>
      </w:r>
      <w:r>
        <w:rPr>
          <w:sz w:val="24"/>
        </w:rPr>
        <w:t>——</w:t>
      </w:r>
      <w:r>
        <w:rPr>
          <w:sz w:val="24"/>
        </w:rPr>
        <w:t>建设项目声源在预测点的等效声级贡献值，</w:t>
      </w:r>
      <w:r>
        <w:rPr>
          <w:sz w:val="24"/>
        </w:rPr>
        <w:t>dB(A)</w:t>
      </w:r>
      <w:r>
        <w:rPr>
          <w:sz w:val="24"/>
        </w:rPr>
        <w:t>；</w:t>
      </w:r>
    </w:p>
    <w:p w14:paraId="515D8270" w14:textId="77777777" w:rsidR="00B14D53" w:rsidRDefault="00000000">
      <w:pPr>
        <w:spacing w:line="360" w:lineRule="auto"/>
        <w:ind w:firstLineChars="500" w:firstLine="1200"/>
        <w:rPr>
          <w:sz w:val="24"/>
        </w:rPr>
      </w:pPr>
      <w:r>
        <w:rPr>
          <w:sz w:val="24"/>
        </w:rPr>
        <w:t>L</w:t>
      </w:r>
      <w:r>
        <w:rPr>
          <w:sz w:val="24"/>
          <w:vertAlign w:val="subscript"/>
        </w:rPr>
        <w:t>eqb</w:t>
      </w:r>
      <w:r>
        <w:rPr>
          <w:sz w:val="24"/>
        </w:rPr>
        <w:t>——</w:t>
      </w:r>
      <w:r>
        <w:rPr>
          <w:sz w:val="24"/>
        </w:rPr>
        <w:t>预测点的背景值，</w:t>
      </w:r>
      <w:r>
        <w:rPr>
          <w:sz w:val="24"/>
        </w:rPr>
        <w:t>dB</w:t>
      </w:r>
      <w:r>
        <w:rPr>
          <w:sz w:val="24"/>
        </w:rPr>
        <w:t>（</w:t>
      </w:r>
      <w:r>
        <w:rPr>
          <w:sz w:val="24"/>
        </w:rPr>
        <w:t>A</w:t>
      </w:r>
      <w:r>
        <w:rPr>
          <w:sz w:val="24"/>
        </w:rPr>
        <w:t>）。</w:t>
      </w:r>
    </w:p>
    <w:p w14:paraId="0B61E658" w14:textId="77777777" w:rsidR="00B14D53" w:rsidRDefault="00000000">
      <w:pPr>
        <w:spacing w:line="360" w:lineRule="auto"/>
        <w:ind w:firstLineChars="200" w:firstLine="480"/>
        <w:rPr>
          <w:sz w:val="24"/>
        </w:rPr>
      </w:pPr>
      <w:r>
        <w:rPr>
          <w:rFonts w:hAnsi="宋体"/>
          <w:sz w:val="24"/>
        </w:rPr>
        <w:t>（</w:t>
      </w:r>
      <w:r>
        <w:rPr>
          <w:sz w:val="24"/>
        </w:rPr>
        <w:t>3</w:t>
      </w:r>
      <w:r>
        <w:rPr>
          <w:rFonts w:hAnsi="宋体"/>
          <w:sz w:val="24"/>
        </w:rPr>
        <w:t>）室内声源等效室外声源功率级计算</w:t>
      </w:r>
    </w:p>
    <w:p w14:paraId="45CE87C6" w14:textId="77777777" w:rsidR="00B14D53" w:rsidRDefault="00000000">
      <w:pPr>
        <w:spacing w:line="360" w:lineRule="auto"/>
        <w:ind w:firstLineChars="200" w:firstLine="480"/>
        <w:jc w:val="center"/>
        <w:rPr>
          <w:sz w:val="24"/>
        </w:rPr>
      </w:pPr>
      <w:r>
        <w:rPr>
          <w:noProof/>
          <w:sz w:val="24"/>
        </w:rPr>
        <w:drawing>
          <wp:inline distT="0" distB="0" distL="114300" distR="114300" wp14:anchorId="1D8372DD" wp14:editId="56DA547C">
            <wp:extent cx="2485390" cy="608965"/>
            <wp:effectExtent l="0" t="0" r="10160" b="635"/>
            <wp:docPr id="20"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wps1"/>
                    <pic:cNvPicPr>
                      <a:picLocks noChangeAspect="1"/>
                    </pic:cNvPicPr>
                  </pic:nvPicPr>
                  <pic:blipFill>
                    <a:blip r:embed="rId64"/>
                    <a:stretch>
                      <a:fillRect/>
                    </a:stretch>
                  </pic:blipFill>
                  <pic:spPr>
                    <a:xfrm>
                      <a:off x="0" y="0"/>
                      <a:ext cx="2485390" cy="608965"/>
                    </a:xfrm>
                    <a:prstGeom prst="rect">
                      <a:avLst/>
                    </a:prstGeom>
                    <a:noFill/>
                    <a:ln>
                      <a:noFill/>
                    </a:ln>
                  </pic:spPr>
                </pic:pic>
              </a:graphicData>
            </a:graphic>
          </wp:inline>
        </w:drawing>
      </w:r>
    </w:p>
    <w:p w14:paraId="1F3B8D8D" w14:textId="77777777" w:rsidR="00B14D53" w:rsidRDefault="00000000">
      <w:pPr>
        <w:spacing w:line="360" w:lineRule="auto"/>
        <w:ind w:firstLineChars="200" w:firstLine="480"/>
        <w:rPr>
          <w:sz w:val="24"/>
        </w:rPr>
      </w:pPr>
      <w:r>
        <w:rPr>
          <w:sz w:val="24"/>
        </w:rPr>
        <w:t>式中：</w:t>
      </w:r>
      <w:r>
        <w:rPr>
          <w:sz w:val="24"/>
        </w:rPr>
        <w:t>L</w:t>
      </w:r>
      <w:r>
        <w:rPr>
          <w:sz w:val="24"/>
          <w:vertAlign w:val="subscript"/>
        </w:rPr>
        <w:t>p1</w:t>
      </w:r>
      <w:r>
        <w:rPr>
          <w:sz w:val="24"/>
        </w:rPr>
        <w:t>—</w:t>
      </w:r>
      <w:r>
        <w:rPr>
          <w:sz w:val="24"/>
        </w:rPr>
        <w:t>靠近开口处（或窗户）室内某倍频带的声压级或</w:t>
      </w:r>
      <w:r>
        <w:rPr>
          <w:sz w:val="24"/>
        </w:rPr>
        <w:t>A</w:t>
      </w:r>
      <w:r>
        <w:rPr>
          <w:sz w:val="24"/>
        </w:rPr>
        <w:t>声级，</w:t>
      </w:r>
      <w:r>
        <w:rPr>
          <w:sz w:val="24"/>
        </w:rPr>
        <w:t>dB</w:t>
      </w:r>
      <w:r>
        <w:rPr>
          <w:sz w:val="24"/>
        </w:rPr>
        <w:t>；</w:t>
      </w:r>
    </w:p>
    <w:p w14:paraId="4AB20CCD" w14:textId="77777777" w:rsidR="00B14D53" w:rsidRDefault="00000000">
      <w:pPr>
        <w:spacing w:line="360" w:lineRule="auto"/>
        <w:ind w:firstLineChars="500" w:firstLine="1200"/>
        <w:rPr>
          <w:sz w:val="24"/>
        </w:rPr>
      </w:pPr>
      <w:r>
        <w:rPr>
          <w:sz w:val="24"/>
        </w:rPr>
        <w:t>L</w:t>
      </w:r>
      <w:r>
        <w:rPr>
          <w:sz w:val="24"/>
          <w:vertAlign w:val="subscript"/>
        </w:rPr>
        <w:t>w</w:t>
      </w:r>
      <w:r>
        <w:rPr>
          <w:sz w:val="24"/>
        </w:rPr>
        <w:t>——</w:t>
      </w:r>
      <w:r>
        <w:rPr>
          <w:sz w:val="24"/>
        </w:rPr>
        <w:t>点声源声功率级（</w:t>
      </w:r>
      <w:r>
        <w:rPr>
          <w:sz w:val="24"/>
        </w:rPr>
        <w:t>A</w:t>
      </w:r>
      <w:r>
        <w:rPr>
          <w:sz w:val="24"/>
        </w:rPr>
        <w:t>计权或倍频带），</w:t>
      </w:r>
      <w:r>
        <w:rPr>
          <w:sz w:val="24"/>
        </w:rPr>
        <w:t>dB</w:t>
      </w:r>
      <w:r>
        <w:rPr>
          <w:sz w:val="24"/>
        </w:rPr>
        <w:t>；</w:t>
      </w:r>
    </w:p>
    <w:p w14:paraId="2BA1DF41" w14:textId="77777777" w:rsidR="00B14D53" w:rsidRDefault="00000000">
      <w:pPr>
        <w:spacing w:line="360" w:lineRule="auto"/>
        <w:ind w:firstLineChars="500" w:firstLine="1200"/>
        <w:rPr>
          <w:sz w:val="24"/>
        </w:rPr>
      </w:pPr>
      <w:r>
        <w:rPr>
          <w:sz w:val="24"/>
        </w:rPr>
        <w:t>Q——</w:t>
      </w:r>
      <w:r>
        <w:rPr>
          <w:sz w:val="24"/>
        </w:rPr>
        <w:t>指向性因数；通常对无指向性声源，当声源放在房间中心时，</w:t>
      </w:r>
      <w:r>
        <w:rPr>
          <w:sz w:val="24"/>
        </w:rPr>
        <w:t>Q=1</w:t>
      </w:r>
      <w:r>
        <w:rPr>
          <w:sz w:val="24"/>
        </w:rPr>
        <w:t>；当放在一面墙的中心时，</w:t>
      </w:r>
      <w:r>
        <w:rPr>
          <w:sz w:val="24"/>
        </w:rPr>
        <w:t>Q=2</w:t>
      </w:r>
      <w:r>
        <w:rPr>
          <w:sz w:val="24"/>
        </w:rPr>
        <w:t>；当放在两面墙夹角处时，</w:t>
      </w:r>
      <w:r>
        <w:rPr>
          <w:sz w:val="24"/>
        </w:rPr>
        <w:t>Q=4</w:t>
      </w:r>
      <w:r>
        <w:rPr>
          <w:sz w:val="24"/>
        </w:rPr>
        <w:t>；当放在三面墙夹角处时，</w:t>
      </w:r>
      <w:r>
        <w:rPr>
          <w:sz w:val="24"/>
        </w:rPr>
        <w:t>Q=8</w:t>
      </w:r>
      <w:r>
        <w:rPr>
          <w:sz w:val="24"/>
        </w:rPr>
        <w:t>；本次</w:t>
      </w:r>
      <w:r>
        <w:rPr>
          <w:sz w:val="24"/>
        </w:rPr>
        <w:t>Q</w:t>
      </w:r>
      <w:r>
        <w:rPr>
          <w:sz w:val="24"/>
        </w:rPr>
        <w:t>值取</w:t>
      </w:r>
      <w:r>
        <w:rPr>
          <w:sz w:val="24"/>
        </w:rPr>
        <w:t>2</w:t>
      </w:r>
      <w:r>
        <w:rPr>
          <w:sz w:val="24"/>
        </w:rPr>
        <w:t>；</w:t>
      </w:r>
    </w:p>
    <w:p w14:paraId="7BFE7EBA" w14:textId="77777777" w:rsidR="00B14D53" w:rsidRDefault="00000000">
      <w:pPr>
        <w:spacing w:line="360" w:lineRule="auto"/>
        <w:ind w:firstLineChars="500" w:firstLine="1200"/>
        <w:rPr>
          <w:sz w:val="24"/>
        </w:rPr>
      </w:pPr>
      <w:r>
        <w:rPr>
          <w:sz w:val="24"/>
        </w:rPr>
        <w:t>R—</w:t>
      </w:r>
      <w:r>
        <w:rPr>
          <w:sz w:val="24"/>
        </w:rPr>
        <w:t>房间常数：</w:t>
      </w:r>
      <w:r>
        <w:rPr>
          <w:sz w:val="24"/>
        </w:rPr>
        <w:t>R=Sα/</w:t>
      </w:r>
      <w:r>
        <w:rPr>
          <w:sz w:val="24"/>
        </w:rPr>
        <w:t>（</w:t>
      </w:r>
      <w:r>
        <w:rPr>
          <w:sz w:val="24"/>
        </w:rPr>
        <w:t>1-α</w:t>
      </w:r>
      <w:r>
        <w:rPr>
          <w:sz w:val="24"/>
        </w:rPr>
        <w:t>），</w:t>
      </w:r>
      <w:r>
        <w:rPr>
          <w:sz w:val="24"/>
        </w:rPr>
        <w:t>S</w:t>
      </w:r>
      <w:r>
        <w:rPr>
          <w:sz w:val="24"/>
        </w:rPr>
        <w:t>为房间内表面面积，</w:t>
      </w:r>
      <w:r>
        <w:rPr>
          <w:sz w:val="24"/>
        </w:rPr>
        <w:t>m</w:t>
      </w:r>
      <w:r>
        <w:rPr>
          <w:sz w:val="24"/>
          <w:vertAlign w:val="superscript"/>
        </w:rPr>
        <w:t>2</w:t>
      </w:r>
      <w:r>
        <w:rPr>
          <w:sz w:val="24"/>
        </w:rPr>
        <w:t>；</w:t>
      </w:r>
      <w:r>
        <w:rPr>
          <w:sz w:val="24"/>
        </w:rPr>
        <w:t>α</w:t>
      </w:r>
      <w:r>
        <w:rPr>
          <w:sz w:val="24"/>
        </w:rPr>
        <w:t>为平均吸声系数；</w:t>
      </w:r>
    </w:p>
    <w:p w14:paraId="6D5095A9" w14:textId="77777777" w:rsidR="00B14D53" w:rsidRDefault="00000000">
      <w:pPr>
        <w:spacing w:line="360" w:lineRule="auto"/>
        <w:ind w:firstLineChars="500" w:firstLine="1200"/>
        <w:rPr>
          <w:sz w:val="24"/>
        </w:rPr>
      </w:pPr>
      <w:r>
        <w:rPr>
          <w:sz w:val="24"/>
        </w:rPr>
        <w:t>r—</w:t>
      </w:r>
      <w:r>
        <w:rPr>
          <w:sz w:val="24"/>
        </w:rPr>
        <w:t>声源到靠近围护结构某点处的距离，</w:t>
      </w:r>
      <w:r>
        <w:rPr>
          <w:sz w:val="24"/>
        </w:rPr>
        <w:t>m</w:t>
      </w:r>
      <w:r>
        <w:rPr>
          <w:sz w:val="24"/>
        </w:rPr>
        <w:t>。</w:t>
      </w:r>
    </w:p>
    <w:p w14:paraId="478A6A68" w14:textId="77777777" w:rsidR="00B14D53" w:rsidRDefault="00000000">
      <w:pPr>
        <w:spacing w:line="360" w:lineRule="auto"/>
        <w:ind w:firstLineChars="200" w:firstLine="480"/>
        <w:rPr>
          <w:sz w:val="24"/>
        </w:rPr>
      </w:pPr>
      <w:r>
        <w:rPr>
          <w:sz w:val="24"/>
        </w:rPr>
        <w:t>然后计算出所有室内声源在围护结构处产生的</w:t>
      </w:r>
      <w:r>
        <w:rPr>
          <w:sz w:val="24"/>
        </w:rPr>
        <w:t>i</w:t>
      </w:r>
      <w:r>
        <w:rPr>
          <w:sz w:val="24"/>
        </w:rPr>
        <w:t>倍频带叠加声压级：</w:t>
      </w:r>
    </w:p>
    <w:p w14:paraId="2420F4EB" w14:textId="77777777" w:rsidR="00B14D53" w:rsidRDefault="00000000">
      <w:pPr>
        <w:spacing w:line="360" w:lineRule="auto"/>
        <w:ind w:firstLineChars="200" w:firstLine="480"/>
        <w:jc w:val="center"/>
        <w:rPr>
          <w:sz w:val="24"/>
        </w:rPr>
      </w:pPr>
      <w:r>
        <w:rPr>
          <w:noProof/>
          <w:sz w:val="24"/>
        </w:rPr>
        <w:drawing>
          <wp:inline distT="0" distB="0" distL="0" distR="0" wp14:anchorId="10E80ED6" wp14:editId="318DEFE6">
            <wp:extent cx="3021330" cy="687705"/>
            <wp:effectExtent l="1905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5"/>
                    <a:srcRect/>
                    <a:stretch>
                      <a:fillRect/>
                    </a:stretch>
                  </pic:blipFill>
                  <pic:spPr>
                    <a:xfrm>
                      <a:off x="0" y="0"/>
                      <a:ext cx="3021330" cy="687705"/>
                    </a:xfrm>
                    <a:prstGeom prst="rect">
                      <a:avLst/>
                    </a:prstGeom>
                    <a:noFill/>
                    <a:ln w="9525">
                      <a:noFill/>
                      <a:miter lim="800000"/>
                      <a:headEnd/>
                      <a:tailEnd/>
                    </a:ln>
                  </pic:spPr>
                </pic:pic>
              </a:graphicData>
            </a:graphic>
          </wp:inline>
        </w:drawing>
      </w:r>
    </w:p>
    <w:p w14:paraId="1F60ACBF" w14:textId="77777777" w:rsidR="00B14D53" w:rsidRDefault="00000000">
      <w:pPr>
        <w:spacing w:line="360" w:lineRule="auto"/>
        <w:ind w:firstLineChars="200" w:firstLine="480"/>
        <w:rPr>
          <w:sz w:val="24"/>
        </w:rPr>
      </w:pPr>
      <w:r>
        <w:rPr>
          <w:sz w:val="24"/>
        </w:rPr>
        <w:t>式中：</w:t>
      </w:r>
      <w:r>
        <w:rPr>
          <w:sz w:val="24"/>
        </w:rPr>
        <w:t>L</w:t>
      </w:r>
      <w:r>
        <w:rPr>
          <w:sz w:val="24"/>
          <w:vertAlign w:val="subscript"/>
        </w:rPr>
        <w:t>p1i</w:t>
      </w:r>
      <w:r>
        <w:rPr>
          <w:sz w:val="24"/>
        </w:rPr>
        <w:t>（</w:t>
      </w:r>
      <w:r>
        <w:rPr>
          <w:sz w:val="24"/>
        </w:rPr>
        <w:t>T</w:t>
      </w:r>
      <w:r>
        <w:rPr>
          <w:sz w:val="24"/>
        </w:rPr>
        <w:t>）</w:t>
      </w:r>
      <w:r>
        <w:rPr>
          <w:sz w:val="24"/>
        </w:rPr>
        <w:t>—</w:t>
      </w:r>
      <w:r>
        <w:rPr>
          <w:sz w:val="24"/>
        </w:rPr>
        <w:t>靠近围护结构处室内</w:t>
      </w:r>
      <w:r>
        <w:rPr>
          <w:sz w:val="24"/>
        </w:rPr>
        <w:t>N</w:t>
      </w:r>
      <w:r>
        <w:rPr>
          <w:sz w:val="24"/>
        </w:rPr>
        <w:t>个声源</w:t>
      </w:r>
      <w:r>
        <w:rPr>
          <w:sz w:val="24"/>
        </w:rPr>
        <w:t>i</w:t>
      </w:r>
      <w:r>
        <w:rPr>
          <w:sz w:val="24"/>
        </w:rPr>
        <w:t>倍频带的叠加声压级，</w:t>
      </w:r>
      <w:r>
        <w:rPr>
          <w:sz w:val="24"/>
        </w:rPr>
        <w:t>dB</w:t>
      </w:r>
      <w:r>
        <w:rPr>
          <w:sz w:val="24"/>
        </w:rPr>
        <w:t>；</w:t>
      </w:r>
    </w:p>
    <w:p w14:paraId="5ACFD8E7" w14:textId="77777777" w:rsidR="00B14D53" w:rsidRDefault="00000000">
      <w:pPr>
        <w:spacing w:line="360" w:lineRule="auto"/>
        <w:ind w:firstLineChars="500" w:firstLine="1200"/>
        <w:rPr>
          <w:sz w:val="24"/>
        </w:rPr>
      </w:pPr>
      <w:r>
        <w:rPr>
          <w:sz w:val="24"/>
        </w:rPr>
        <w:t>L</w:t>
      </w:r>
      <w:r>
        <w:rPr>
          <w:sz w:val="24"/>
          <w:vertAlign w:val="subscript"/>
        </w:rPr>
        <w:t>p1ij</w:t>
      </w:r>
      <w:r>
        <w:rPr>
          <w:sz w:val="24"/>
        </w:rPr>
        <w:t>—</w:t>
      </w:r>
      <w:r>
        <w:rPr>
          <w:sz w:val="24"/>
        </w:rPr>
        <w:t>室内</w:t>
      </w:r>
      <w:r>
        <w:rPr>
          <w:sz w:val="24"/>
        </w:rPr>
        <w:t>j</w:t>
      </w:r>
      <w:r>
        <w:rPr>
          <w:sz w:val="24"/>
        </w:rPr>
        <w:t>声源</w:t>
      </w:r>
      <w:r>
        <w:rPr>
          <w:sz w:val="24"/>
        </w:rPr>
        <w:t>i</w:t>
      </w:r>
      <w:r>
        <w:rPr>
          <w:sz w:val="24"/>
        </w:rPr>
        <w:t>倍频带的声压级，</w:t>
      </w:r>
      <w:r>
        <w:rPr>
          <w:sz w:val="24"/>
        </w:rPr>
        <w:t>dB</w:t>
      </w:r>
      <w:r>
        <w:rPr>
          <w:sz w:val="24"/>
        </w:rPr>
        <w:t>；</w:t>
      </w:r>
    </w:p>
    <w:p w14:paraId="72C0F4A0" w14:textId="77777777" w:rsidR="00B14D53" w:rsidRDefault="00000000">
      <w:pPr>
        <w:spacing w:line="360" w:lineRule="auto"/>
        <w:ind w:firstLineChars="500" w:firstLine="1200"/>
        <w:rPr>
          <w:sz w:val="24"/>
        </w:rPr>
      </w:pPr>
      <w:r>
        <w:rPr>
          <w:sz w:val="24"/>
        </w:rPr>
        <w:t>N—</w:t>
      </w:r>
      <w:r>
        <w:rPr>
          <w:sz w:val="24"/>
        </w:rPr>
        <w:t>室内声源总数。</w:t>
      </w:r>
    </w:p>
    <w:p w14:paraId="6F758EBD" w14:textId="77777777" w:rsidR="00B14D53" w:rsidRDefault="00000000">
      <w:pPr>
        <w:spacing w:line="360" w:lineRule="auto"/>
        <w:ind w:firstLineChars="200" w:firstLine="480"/>
        <w:rPr>
          <w:sz w:val="24"/>
        </w:rPr>
      </w:pPr>
      <w:r>
        <w:rPr>
          <w:sz w:val="24"/>
        </w:rPr>
        <w:t>在室内近似为扩散声场时，计算出靠近室外围护结构处的声压级：</w:t>
      </w:r>
    </w:p>
    <w:p w14:paraId="0BF1E92A" w14:textId="77777777" w:rsidR="00B14D53" w:rsidRDefault="00000000">
      <w:pPr>
        <w:spacing w:line="360" w:lineRule="auto"/>
        <w:ind w:firstLineChars="200" w:firstLine="480"/>
        <w:jc w:val="center"/>
        <w:rPr>
          <w:sz w:val="24"/>
        </w:rPr>
      </w:pPr>
      <w:r>
        <w:rPr>
          <w:noProof/>
          <w:sz w:val="24"/>
        </w:rPr>
        <w:drawing>
          <wp:inline distT="0" distB="0" distL="0" distR="0" wp14:anchorId="2D392153" wp14:editId="03C02DAB">
            <wp:extent cx="2911475" cy="336550"/>
            <wp:effectExtent l="19050" t="0" r="3175"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noChangeArrowheads="1"/>
                    </pic:cNvPicPr>
                  </pic:nvPicPr>
                  <pic:blipFill>
                    <a:blip r:embed="rId66"/>
                    <a:srcRect/>
                    <a:stretch>
                      <a:fillRect/>
                    </a:stretch>
                  </pic:blipFill>
                  <pic:spPr>
                    <a:xfrm>
                      <a:off x="0" y="0"/>
                      <a:ext cx="2911475" cy="336550"/>
                    </a:xfrm>
                    <a:prstGeom prst="rect">
                      <a:avLst/>
                    </a:prstGeom>
                    <a:noFill/>
                    <a:ln w="9525">
                      <a:noFill/>
                      <a:miter lim="800000"/>
                      <a:headEnd/>
                      <a:tailEnd/>
                    </a:ln>
                  </pic:spPr>
                </pic:pic>
              </a:graphicData>
            </a:graphic>
          </wp:inline>
        </w:drawing>
      </w:r>
    </w:p>
    <w:p w14:paraId="5A8AB783" w14:textId="77777777" w:rsidR="00B14D53" w:rsidRDefault="00000000">
      <w:pPr>
        <w:spacing w:line="360" w:lineRule="auto"/>
        <w:ind w:firstLineChars="200" w:firstLine="480"/>
        <w:rPr>
          <w:sz w:val="24"/>
        </w:rPr>
      </w:pPr>
      <w:r>
        <w:rPr>
          <w:sz w:val="24"/>
        </w:rPr>
        <w:t>式中：</w:t>
      </w:r>
      <w:r>
        <w:rPr>
          <w:sz w:val="24"/>
        </w:rPr>
        <w:t>L</w:t>
      </w:r>
      <w:r>
        <w:rPr>
          <w:sz w:val="24"/>
          <w:vertAlign w:val="subscript"/>
        </w:rPr>
        <w:t>2pi</w:t>
      </w:r>
      <w:r>
        <w:rPr>
          <w:sz w:val="24"/>
        </w:rPr>
        <w:t>（</w:t>
      </w:r>
      <w:r>
        <w:rPr>
          <w:sz w:val="24"/>
        </w:rPr>
        <w:t>T</w:t>
      </w:r>
      <w:r>
        <w:rPr>
          <w:sz w:val="24"/>
        </w:rPr>
        <w:t>）</w:t>
      </w:r>
      <w:r>
        <w:rPr>
          <w:sz w:val="24"/>
        </w:rPr>
        <w:t>—</w:t>
      </w:r>
      <w:r>
        <w:rPr>
          <w:sz w:val="24"/>
        </w:rPr>
        <w:t>靠近围护结构处室外</w:t>
      </w:r>
      <w:r>
        <w:rPr>
          <w:sz w:val="24"/>
        </w:rPr>
        <w:t>N</w:t>
      </w:r>
      <w:r>
        <w:rPr>
          <w:sz w:val="24"/>
        </w:rPr>
        <w:t>个声源</w:t>
      </w:r>
      <w:r>
        <w:rPr>
          <w:sz w:val="24"/>
        </w:rPr>
        <w:t>i</w:t>
      </w:r>
      <w:r>
        <w:rPr>
          <w:sz w:val="24"/>
        </w:rPr>
        <w:t>倍频带的叠加声压级，</w:t>
      </w:r>
      <w:r>
        <w:rPr>
          <w:sz w:val="24"/>
        </w:rPr>
        <w:t>dB</w:t>
      </w:r>
      <w:r>
        <w:rPr>
          <w:sz w:val="24"/>
        </w:rPr>
        <w:t>；</w:t>
      </w:r>
    </w:p>
    <w:p w14:paraId="16AF12D4" w14:textId="77777777" w:rsidR="00B14D53" w:rsidRDefault="00000000">
      <w:pPr>
        <w:spacing w:line="360" w:lineRule="auto"/>
        <w:ind w:firstLineChars="450" w:firstLine="1080"/>
        <w:rPr>
          <w:sz w:val="24"/>
        </w:rPr>
      </w:pPr>
      <w:r>
        <w:rPr>
          <w:sz w:val="24"/>
        </w:rPr>
        <w:t>TL</w:t>
      </w:r>
      <w:r>
        <w:rPr>
          <w:sz w:val="24"/>
          <w:vertAlign w:val="subscript"/>
        </w:rPr>
        <w:t>i</w:t>
      </w:r>
      <w:r>
        <w:rPr>
          <w:sz w:val="24"/>
        </w:rPr>
        <w:t>—</w:t>
      </w:r>
      <w:r>
        <w:rPr>
          <w:sz w:val="24"/>
        </w:rPr>
        <w:t>围护结构</w:t>
      </w:r>
      <w:r>
        <w:rPr>
          <w:sz w:val="24"/>
        </w:rPr>
        <w:t>i</w:t>
      </w:r>
      <w:r>
        <w:rPr>
          <w:sz w:val="24"/>
        </w:rPr>
        <w:t>倍频带的隔声量，</w:t>
      </w:r>
      <w:r>
        <w:rPr>
          <w:sz w:val="24"/>
        </w:rPr>
        <w:t>dB</w:t>
      </w:r>
      <w:r>
        <w:rPr>
          <w:sz w:val="24"/>
        </w:rPr>
        <w:t>。</w:t>
      </w:r>
    </w:p>
    <w:p w14:paraId="55721A9E" w14:textId="77777777" w:rsidR="00B14D53" w:rsidRDefault="00000000">
      <w:pPr>
        <w:spacing w:line="360" w:lineRule="auto"/>
        <w:ind w:firstLineChars="200" w:firstLine="480"/>
        <w:rPr>
          <w:sz w:val="24"/>
        </w:rPr>
      </w:pPr>
      <w:r>
        <w:rPr>
          <w:sz w:val="24"/>
        </w:rPr>
        <w:t>然后将室外声源的声压级和透过面积换算成等效的室外声源，计算出中心位置位于透声面积（</w:t>
      </w:r>
      <w:r>
        <w:rPr>
          <w:sz w:val="24"/>
        </w:rPr>
        <w:t>S</w:t>
      </w:r>
      <w:r>
        <w:rPr>
          <w:sz w:val="24"/>
        </w:rPr>
        <w:t>）处的等效声源的倍频带声功率级。</w:t>
      </w:r>
    </w:p>
    <w:p w14:paraId="157403CE" w14:textId="77777777" w:rsidR="00B14D53" w:rsidRDefault="00000000">
      <w:pPr>
        <w:spacing w:line="360" w:lineRule="auto"/>
        <w:jc w:val="center"/>
        <w:rPr>
          <w:sz w:val="24"/>
        </w:rPr>
      </w:pPr>
      <w:r>
        <w:rPr>
          <w:noProof/>
          <w:sz w:val="24"/>
        </w:rPr>
        <w:drawing>
          <wp:inline distT="0" distB="0" distL="0" distR="0" wp14:anchorId="7EA4BBA7" wp14:editId="10C00143">
            <wp:extent cx="2121535" cy="292735"/>
            <wp:effectExtent l="19050" t="0" r="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noChangeArrowheads="1"/>
                    </pic:cNvPicPr>
                  </pic:nvPicPr>
                  <pic:blipFill>
                    <a:blip r:embed="rId67"/>
                    <a:srcRect/>
                    <a:stretch>
                      <a:fillRect/>
                    </a:stretch>
                  </pic:blipFill>
                  <pic:spPr>
                    <a:xfrm>
                      <a:off x="0" y="0"/>
                      <a:ext cx="2121535" cy="292735"/>
                    </a:xfrm>
                    <a:prstGeom prst="rect">
                      <a:avLst/>
                    </a:prstGeom>
                    <a:noFill/>
                    <a:ln w="9525">
                      <a:noFill/>
                      <a:miter lim="800000"/>
                      <a:headEnd/>
                      <a:tailEnd/>
                    </a:ln>
                  </pic:spPr>
                </pic:pic>
              </a:graphicData>
            </a:graphic>
          </wp:inline>
        </w:drawing>
      </w:r>
    </w:p>
    <w:p w14:paraId="1EC2B899" w14:textId="77777777" w:rsidR="00B14D53" w:rsidRDefault="00000000">
      <w:pPr>
        <w:spacing w:line="360" w:lineRule="auto"/>
        <w:rPr>
          <w:sz w:val="24"/>
        </w:rPr>
      </w:pPr>
      <w:r>
        <w:rPr>
          <w:sz w:val="24"/>
        </w:rPr>
        <w:t>式中：</w:t>
      </w:r>
      <w:r>
        <w:rPr>
          <w:sz w:val="24"/>
        </w:rPr>
        <w:t>L</w:t>
      </w:r>
      <w:r>
        <w:rPr>
          <w:sz w:val="24"/>
          <w:vertAlign w:val="subscript"/>
        </w:rPr>
        <w:t>w</w:t>
      </w:r>
      <w:r>
        <w:rPr>
          <w:sz w:val="24"/>
        </w:rPr>
        <w:t>—</w:t>
      </w:r>
      <w:r>
        <w:rPr>
          <w:sz w:val="24"/>
        </w:rPr>
        <w:t>中心位置位于透声面积（</w:t>
      </w:r>
      <w:r>
        <w:rPr>
          <w:sz w:val="24"/>
        </w:rPr>
        <w:t>S</w:t>
      </w:r>
      <w:r>
        <w:rPr>
          <w:sz w:val="24"/>
        </w:rPr>
        <w:t>）处的等效声源的倍频带声功率级，</w:t>
      </w:r>
      <w:r>
        <w:rPr>
          <w:sz w:val="24"/>
        </w:rPr>
        <w:t>dB</w:t>
      </w:r>
      <w:r>
        <w:rPr>
          <w:sz w:val="24"/>
        </w:rPr>
        <w:t>；</w:t>
      </w:r>
    </w:p>
    <w:p w14:paraId="2F30995A" w14:textId="77777777" w:rsidR="00B14D53" w:rsidRDefault="00000000">
      <w:pPr>
        <w:spacing w:line="360" w:lineRule="auto"/>
        <w:ind w:firstLineChars="300" w:firstLine="720"/>
        <w:rPr>
          <w:sz w:val="24"/>
        </w:rPr>
      </w:pPr>
      <w:r>
        <w:rPr>
          <w:sz w:val="24"/>
        </w:rPr>
        <w:t>L</w:t>
      </w:r>
      <w:r>
        <w:rPr>
          <w:sz w:val="24"/>
          <w:vertAlign w:val="subscript"/>
        </w:rPr>
        <w:t>p2</w:t>
      </w:r>
      <w:r>
        <w:rPr>
          <w:sz w:val="24"/>
        </w:rPr>
        <w:t>（</w:t>
      </w:r>
      <w:r>
        <w:rPr>
          <w:sz w:val="24"/>
        </w:rPr>
        <w:t>T</w:t>
      </w:r>
      <w:r>
        <w:rPr>
          <w:sz w:val="24"/>
        </w:rPr>
        <w:t>）</w:t>
      </w:r>
      <w:r>
        <w:rPr>
          <w:sz w:val="24"/>
        </w:rPr>
        <w:t>—</w:t>
      </w:r>
      <w:r>
        <w:rPr>
          <w:sz w:val="24"/>
        </w:rPr>
        <w:t>靠近围护结构处室外声源的声压级，</w:t>
      </w:r>
      <w:r>
        <w:rPr>
          <w:sz w:val="24"/>
        </w:rPr>
        <w:t>dB</w:t>
      </w:r>
      <w:r>
        <w:rPr>
          <w:sz w:val="24"/>
        </w:rPr>
        <w:t>；</w:t>
      </w:r>
    </w:p>
    <w:p w14:paraId="7677EE61" w14:textId="77777777" w:rsidR="00B14D53" w:rsidRDefault="00000000">
      <w:pPr>
        <w:spacing w:line="360" w:lineRule="auto"/>
        <w:ind w:firstLineChars="300" w:firstLine="720"/>
        <w:rPr>
          <w:sz w:val="24"/>
        </w:rPr>
      </w:pPr>
      <w:r>
        <w:rPr>
          <w:sz w:val="24"/>
        </w:rPr>
        <w:t>S—</w:t>
      </w:r>
      <w:r>
        <w:rPr>
          <w:sz w:val="24"/>
        </w:rPr>
        <w:t>透声面积，</w:t>
      </w:r>
      <w:r>
        <w:rPr>
          <w:sz w:val="24"/>
        </w:rPr>
        <w:t>m</w:t>
      </w:r>
      <w:r>
        <w:rPr>
          <w:sz w:val="24"/>
          <w:vertAlign w:val="superscript"/>
        </w:rPr>
        <w:t>2</w:t>
      </w:r>
      <w:r>
        <w:rPr>
          <w:sz w:val="24"/>
        </w:rPr>
        <w:t>。</w:t>
      </w:r>
    </w:p>
    <w:p w14:paraId="7200F386" w14:textId="77777777" w:rsidR="00B14D53" w:rsidRDefault="00000000">
      <w:pPr>
        <w:spacing w:line="360" w:lineRule="auto"/>
        <w:ind w:firstLineChars="200" w:firstLine="480"/>
        <w:rPr>
          <w:sz w:val="24"/>
        </w:rPr>
      </w:pPr>
      <w:r>
        <w:rPr>
          <w:sz w:val="24"/>
        </w:rPr>
        <w:t>（</w:t>
      </w:r>
      <w:r>
        <w:rPr>
          <w:sz w:val="24"/>
        </w:rPr>
        <w:t>4</w:t>
      </w:r>
      <w:r>
        <w:rPr>
          <w:sz w:val="24"/>
        </w:rPr>
        <w:t>）户外声传播衰减计算</w:t>
      </w:r>
    </w:p>
    <w:p w14:paraId="298B584A" w14:textId="77777777" w:rsidR="00B14D53" w:rsidRDefault="00000000">
      <w:pPr>
        <w:spacing w:line="360" w:lineRule="auto"/>
        <w:ind w:firstLineChars="200" w:firstLine="480"/>
        <w:rPr>
          <w:sz w:val="24"/>
        </w:rPr>
      </w:pPr>
      <w:r>
        <w:rPr>
          <w:sz w:val="24"/>
        </w:rPr>
        <w:t>户外声传播衰减包括几何发散（</w:t>
      </w:r>
      <w:r>
        <w:rPr>
          <w:sz w:val="24"/>
        </w:rPr>
        <w:t>A</w:t>
      </w:r>
      <w:r>
        <w:rPr>
          <w:sz w:val="24"/>
          <w:vertAlign w:val="subscript"/>
        </w:rPr>
        <w:t>div</w:t>
      </w:r>
      <w:r>
        <w:rPr>
          <w:sz w:val="24"/>
        </w:rPr>
        <w:t>）、大气吸收（</w:t>
      </w:r>
      <w:r>
        <w:rPr>
          <w:sz w:val="24"/>
        </w:rPr>
        <w:t>A</w:t>
      </w:r>
      <w:r>
        <w:rPr>
          <w:sz w:val="24"/>
          <w:vertAlign w:val="subscript"/>
        </w:rPr>
        <w:t>atm</w:t>
      </w:r>
      <w:r>
        <w:rPr>
          <w:sz w:val="24"/>
        </w:rPr>
        <w:t>）、地面效应（</w:t>
      </w:r>
      <w:r>
        <w:rPr>
          <w:sz w:val="24"/>
        </w:rPr>
        <w:t>A</w:t>
      </w:r>
      <w:r>
        <w:rPr>
          <w:sz w:val="24"/>
          <w:vertAlign w:val="subscript"/>
        </w:rPr>
        <w:t>gr</w:t>
      </w:r>
      <w:r>
        <w:rPr>
          <w:sz w:val="24"/>
        </w:rPr>
        <w:t>）、屏障屏蔽（</w:t>
      </w:r>
      <w:r>
        <w:rPr>
          <w:sz w:val="24"/>
        </w:rPr>
        <w:t>A</w:t>
      </w:r>
      <w:r>
        <w:rPr>
          <w:sz w:val="24"/>
          <w:vertAlign w:val="subscript"/>
        </w:rPr>
        <w:t>bar</w:t>
      </w:r>
      <w:r>
        <w:rPr>
          <w:sz w:val="24"/>
        </w:rPr>
        <w:t>）、其他多方面效应（</w:t>
      </w:r>
      <w:r>
        <w:rPr>
          <w:sz w:val="24"/>
        </w:rPr>
        <w:t>A</w:t>
      </w:r>
      <w:r>
        <w:rPr>
          <w:sz w:val="24"/>
          <w:vertAlign w:val="subscript"/>
        </w:rPr>
        <w:t>misc</w:t>
      </w:r>
      <w:r>
        <w:rPr>
          <w:sz w:val="24"/>
        </w:rPr>
        <w:t>）引起的衰减。</w:t>
      </w:r>
    </w:p>
    <w:p w14:paraId="61C6C50E" w14:textId="77777777" w:rsidR="00B14D53" w:rsidRDefault="00000000">
      <w:pPr>
        <w:spacing w:line="360" w:lineRule="auto"/>
        <w:ind w:firstLineChars="200" w:firstLine="480"/>
        <w:rPr>
          <w:sz w:val="24"/>
        </w:rPr>
      </w:pPr>
      <w:r>
        <w:rPr>
          <w:sz w:val="24"/>
        </w:rPr>
        <w:t>距声源点</w:t>
      </w:r>
      <w:r>
        <w:rPr>
          <w:sz w:val="24"/>
        </w:rPr>
        <w:t>r</w:t>
      </w:r>
      <w:r>
        <w:rPr>
          <w:sz w:val="24"/>
        </w:rPr>
        <w:t>处的</w:t>
      </w:r>
      <w:r>
        <w:rPr>
          <w:sz w:val="24"/>
        </w:rPr>
        <w:t>A</w:t>
      </w:r>
      <w:r>
        <w:rPr>
          <w:sz w:val="24"/>
        </w:rPr>
        <w:t>声级按下式计算：</w:t>
      </w:r>
    </w:p>
    <w:p w14:paraId="21829071" w14:textId="77777777" w:rsidR="00B14D53" w:rsidRDefault="00000000">
      <w:pPr>
        <w:spacing w:line="360" w:lineRule="auto"/>
        <w:jc w:val="center"/>
        <w:rPr>
          <w:sz w:val="24"/>
        </w:rPr>
      </w:pPr>
      <w:r>
        <w:rPr>
          <w:noProof/>
          <w:sz w:val="24"/>
        </w:rPr>
        <w:drawing>
          <wp:inline distT="0" distB="0" distL="0" distR="0" wp14:anchorId="30FD2A1A" wp14:editId="7B44FB36">
            <wp:extent cx="3928110" cy="328930"/>
            <wp:effectExtent l="19050" t="0" r="0" b="0"/>
            <wp:docPr id="30"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44"/>
                    <pic:cNvPicPr>
                      <a:picLocks noChangeAspect="1" noChangeArrowheads="1"/>
                    </pic:cNvPicPr>
                  </pic:nvPicPr>
                  <pic:blipFill>
                    <a:blip r:embed="rId68"/>
                    <a:srcRect/>
                    <a:stretch>
                      <a:fillRect/>
                    </a:stretch>
                  </pic:blipFill>
                  <pic:spPr>
                    <a:xfrm>
                      <a:off x="0" y="0"/>
                      <a:ext cx="3928110" cy="328930"/>
                    </a:xfrm>
                    <a:prstGeom prst="rect">
                      <a:avLst/>
                    </a:prstGeom>
                    <a:noFill/>
                    <a:ln w="9525">
                      <a:noFill/>
                      <a:miter lim="800000"/>
                      <a:headEnd/>
                      <a:tailEnd/>
                    </a:ln>
                  </pic:spPr>
                </pic:pic>
              </a:graphicData>
            </a:graphic>
          </wp:inline>
        </w:drawing>
      </w:r>
    </w:p>
    <w:p w14:paraId="28EBF72C"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w:t>
      </w:r>
      <w:r>
        <w:rPr>
          <w:rFonts w:eastAsiaTheme="minorEastAsia"/>
          <w:sz w:val="24"/>
        </w:rPr>
        <w:t>5</w:t>
      </w:r>
      <w:r>
        <w:rPr>
          <w:rFonts w:eastAsiaTheme="minorEastAsia" w:hAnsiTheme="minorEastAsia"/>
          <w:sz w:val="24"/>
        </w:rPr>
        <w:t>）</w:t>
      </w:r>
      <w:r>
        <w:rPr>
          <w:rFonts w:eastAsiaTheme="minorEastAsia"/>
          <w:sz w:val="24"/>
        </w:rPr>
        <w:t>拟建工程声源对预测点产生的贡献值计算</w:t>
      </w:r>
    </w:p>
    <w:p w14:paraId="7F762EB1" w14:textId="77777777" w:rsidR="00B14D53" w:rsidRDefault="00000000">
      <w:pPr>
        <w:autoSpaceDE w:val="0"/>
        <w:autoSpaceDN w:val="0"/>
        <w:spacing w:line="360" w:lineRule="auto"/>
        <w:ind w:firstLineChars="500" w:firstLine="1200"/>
        <w:contextualSpacing/>
        <w:rPr>
          <w:rFonts w:eastAsiaTheme="minorEastAsia"/>
          <w:sz w:val="24"/>
        </w:rPr>
      </w:pPr>
      <w:r>
        <w:rPr>
          <w:rFonts w:eastAsiaTheme="minorEastAsia"/>
          <w:noProof/>
          <w:sz w:val="24"/>
        </w:rPr>
        <w:drawing>
          <wp:inline distT="0" distB="0" distL="0" distR="0" wp14:anchorId="206649AB" wp14:editId="0F24F320">
            <wp:extent cx="3336290" cy="727075"/>
            <wp:effectExtent l="19050" t="0" r="0" b="0"/>
            <wp:docPr id="3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6"/>
                    <pic:cNvPicPr>
                      <a:picLocks noChangeAspect="1" noChangeArrowheads="1"/>
                    </pic:cNvPicPr>
                  </pic:nvPicPr>
                  <pic:blipFill>
                    <a:blip r:embed="rId69"/>
                    <a:srcRect/>
                    <a:stretch>
                      <a:fillRect/>
                    </a:stretch>
                  </pic:blipFill>
                  <pic:spPr>
                    <a:xfrm>
                      <a:off x="0" y="0"/>
                      <a:ext cx="3334168" cy="727179"/>
                    </a:xfrm>
                    <a:prstGeom prst="rect">
                      <a:avLst/>
                    </a:prstGeom>
                    <a:noFill/>
                    <a:ln w="9525">
                      <a:noFill/>
                      <a:miter lim="800000"/>
                      <a:headEnd/>
                      <a:tailEnd/>
                    </a:ln>
                  </pic:spPr>
                </pic:pic>
              </a:graphicData>
            </a:graphic>
          </wp:inline>
        </w:drawing>
      </w:r>
    </w:p>
    <w:p w14:paraId="73EA4917"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式中：</w:t>
      </w:r>
      <w:r>
        <w:rPr>
          <w:rFonts w:eastAsiaTheme="minorEastAsia"/>
          <w:sz w:val="24"/>
        </w:rPr>
        <w:t>L</w:t>
      </w:r>
      <w:r>
        <w:rPr>
          <w:rFonts w:eastAsiaTheme="minorEastAsia"/>
          <w:sz w:val="24"/>
          <w:vertAlign w:val="subscript"/>
        </w:rPr>
        <w:t>eqg</w:t>
      </w:r>
      <w:r>
        <w:rPr>
          <w:rFonts w:eastAsiaTheme="minorEastAsia"/>
          <w:sz w:val="24"/>
        </w:rPr>
        <w:t>—</w:t>
      </w:r>
      <w:r>
        <w:rPr>
          <w:rFonts w:eastAsiaTheme="minorEastAsia" w:hAnsiTheme="minorEastAsia"/>
          <w:sz w:val="24"/>
        </w:rPr>
        <w:t>建设项目声源再预测点产生的噪声贡献值，</w:t>
      </w:r>
      <w:r>
        <w:rPr>
          <w:rFonts w:eastAsiaTheme="minorEastAsia"/>
          <w:sz w:val="24"/>
        </w:rPr>
        <w:t>dB</w:t>
      </w:r>
      <w:r>
        <w:rPr>
          <w:rFonts w:eastAsiaTheme="minorEastAsia" w:hAnsiTheme="minorEastAsia"/>
          <w:sz w:val="24"/>
        </w:rPr>
        <w:t>；</w:t>
      </w:r>
    </w:p>
    <w:p w14:paraId="7E02DCE1" w14:textId="77777777" w:rsidR="00B14D53" w:rsidRDefault="00000000">
      <w:pPr>
        <w:spacing w:line="360" w:lineRule="auto"/>
        <w:ind w:firstLineChars="500" w:firstLine="1200"/>
        <w:rPr>
          <w:rFonts w:eastAsiaTheme="minorEastAsia" w:hAnsiTheme="minorEastAsia" w:hint="eastAsia"/>
          <w:sz w:val="24"/>
        </w:rPr>
      </w:pPr>
      <w:r>
        <w:rPr>
          <w:rFonts w:eastAsiaTheme="minorEastAsia"/>
          <w:sz w:val="24"/>
        </w:rPr>
        <w:t>T—</w:t>
      </w:r>
      <w:r>
        <w:rPr>
          <w:rFonts w:eastAsiaTheme="minorEastAsia" w:hAnsiTheme="minorEastAsia"/>
          <w:sz w:val="24"/>
        </w:rPr>
        <w:t>用于计算</w:t>
      </w:r>
      <w:r>
        <w:rPr>
          <w:rFonts w:eastAsiaTheme="minorEastAsia" w:hAnsiTheme="minorEastAsia" w:hint="eastAsia"/>
          <w:sz w:val="24"/>
        </w:rPr>
        <w:t>等效声级</w:t>
      </w:r>
      <w:r>
        <w:rPr>
          <w:rFonts w:eastAsiaTheme="minorEastAsia" w:hAnsiTheme="minorEastAsia"/>
          <w:sz w:val="24"/>
        </w:rPr>
        <w:t>的时间，</w:t>
      </w:r>
      <w:r>
        <w:rPr>
          <w:rFonts w:eastAsiaTheme="minorEastAsia"/>
          <w:sz w:val="24"/>
        </w:rPr>
        <w:t>s</w:t>
      </w:r>
      <w:r>
        <w:rPr>
          <w:rFonts w:eastAsiaTheme="minorEastAsia" w:hAnsiTheme="minorEastAsia"/>
          <w:sz w:val="24"/>
        </w:rPr>
        <w:t>；</w:t>
      </w:r>
    </w:p>
    <w:p w14:paraId="4EE0A8BC" w14:textId="77777777" w:rsidR="00B14D53" w:rsidRDefault="00000000">
      <w:pPr>
        <w:spacing w:line="360" w:lineRule="auto"/>
        <w:ind w:firstLineChars="500" w:firstLine="1200"/>
        <w:rPr>
          <w:rFonts w:eastAsiaTheme="minorEastAsia"/>
          <w:sz w:val="24"/>
        </w:rPr>
      </w:pPr>
      <w:r>
        <w:rPr>
          <w:rFonts w:eastAsiaTheme="minorEastAsia"/>
          <w:sz w:val="24"/>
        </w:rPr>
        <w:t>N—</w:t>
      </w:r>
      <w:r>
        <w:rPr>
          <w:rFonts w:eastAsiaTheme="minorEastAsia" w:hAnsiTheme="minorEastAsia"/>
          <w:sz w:val="24"/>
        </w:rPr>
        <w:t>室外声源个数；</w:t>
      </w:r>
    </w:p>
    <w:p w14:paraId="1BB61E06" w14:textId="77777777" w:rsidR="00B14D53" w:rsidRDefault="00000000">
      <w:pPr>
        <w:spacing w:line="360" w:lineRule="auto"/>
        <w:ind w:firstLineChars="500" w:firstLine="1200"/>
        <w:rPr>
          <w:rFonts w:eastAsiaTheme="minorEastAsia"/>
          <w:sz w:val="24"/>
        </w:rPr>
      </w:pPr>
      <w:r>
        <w:rPr>
          <w:rFonts w:eastAsiaTheme="minorEastAsia"/>
          <w:sz w:val="24"/>
        </w:rPr>
        <w:t>t</w:t>
      </w:r>
      <w:r>
        <w:rPr>
          <w:rFonts w:eastAsiaTheme="minorEastAsia"/>
          <w:sz w:val="24"/>
          <w:vertAlign w:val="subscript"/>
        </w:rPr>
        <w:t>i</w:t>
      </w:r>
      <w:r>
        <w:rPr>
          <w:rFonts w:eastAsiaTheme="minorEastAsia"/>
          <w:sz w:val="24"/>
        </w:rPr>
        <w:t>—</w:t>
      </w:r>
      <w:r>
        <w:rPr>
          <w:rFonts w:eastAsiaTheme="minorEastAsia" w:hAnsiTheme="minorEastAsia"/>
          <w:sz w:val="24"/>
        </w:rPr>
        <w:t>在</w:t>
      </w:r>
      <w:r>
        <w:rPr>
          <w:rFonts w:eastAsiaTheme="minorEastAsia"/>
          <w:sz w:val="24"/>
        </w:rPr>
        <w:t>T</w:t>
      </w:r>
      <w:r>
        <w:rPr>
          <w:rFonts w:eastAsiaTheme="minorEastAsia" w:hAnsiTheme="minorEastAsia"/>
          <w:sz w:val="24"/>
        </w:rPr>
        <w:t>时间内</w:t>
      </w:r>
      <w:r>
        <w:rPr>
          <w:rFonts w:eastAsiaTheme="minorEastAsia"/>
          <w:sz w:val="24"/>
        </w:rPr>
        <w:t>i</w:t>
      </w:r>
      <w:r>
        <w:rPr>
          <w:rFonts w:eastAsiaTheme="minorEastAsia" w:hAnsiTheme="minorEastAsia"/>
          <w:sz w:val="24"/>
        </w:rPr>
        <w:t>声源工作时间，</w:t>
      </w:r>
      <w:r>
        <w:rPr>
          <w:rFonts w:eastAsiaTheme="minorEastAsia"/>
          <w:sz w:val="24"/>
        </w:rPr>
        <w:t>s</w:t>
      </w:r>
      <w:r>
        <w:rPr>
          <w:rFonts w:eastAsiaTheme="minorEastAsia" w:hAnsiTheme="minorEastAsia"/>
          <w:sz w:val="24"/>
        </w:rPr>
        <w:t>；</w:t>
      </w:r>
    </w:p>
    <w:p w14:paraId="34AA8AF8" w14:textId="77777777" w:rsidR="00B14D53" w:rsidRDefault="00000000">
      <w:pPr>
        <w:spacing w:line="360" w:lineRule="auto"/>
        <w:ind w:firstLineChars="500" w:firstLine="1200"/>
        <w:rPr>
          <w:rFonts w:eastAsiaTheme="minorEastAsia"/>
          <w:sz w:val="24"/>
        </w:rPr>
      </w:pPr>
      <w:r>
        <w:rPr>
          <w:rFonts w:eastAsiaTheme="minorEastAsia"/>
          <w:sz w:val="24"/>
        </w:rPr>
        <w:t>M—</w:t>
      </w:r>
      <w:r>
        <w:rPr>
          <w:rFonts w:eastAsiaTheme="minorEastAsia" w:hAnsiTheme="minorEastAsia"/>
          <w:sz w:val="24"/>
        </w:rPr>
        <w:t>等效室外声源个数；</w:t>
      </w:r>
    </w:p>
    <w:p w14:paraId="0DA22E2E" w14:textId="77777777" w:rsidR="00B14D53" w:rsidRDefault="00000000">
      <w:pPr>
        <w:spacing w:line="360" w:lineRule="auto"/>
        <w:ind w:firstLineChars="500" w:firstLine="1200"/>
        <w:rPr>
          <w:rFonts w:eastAsiaTheme="minorEastAsia"/>
          <w:sz w:val="24"/>
        </w:rPr>
      </w:pPr>
      <w:r>
        <w:rPr>
          <w:rFonts w:eastAsiaTheme="minorEastAsia"/>
          <w:sz w:val="24"/>
        </w:rPr>
        <w:t>tj—</w:t>
      </w:r>
      <w:r>
        <w:rPr>
          <w:rFonts w:eastAsiaTheme="minorEastAsia" w:hAnsiTheme="minorEastAsia"/>
          <w:sz w:val="24"/>
        </w:rPr>
        <w:t>在</w:t>
      </w:r>
      <w:r>
        <w:rPr>
          <w:rFonts w:eastAsiaTheme="minorEastAsia"/>
          <w:sz w:val="24"/>
        </w:rPr>
        <w:t>T</w:t>
      </w:r>
      <w:r>
        <w:rPr>
          <w:rFonts w:eastAsiaTheme="minorEastAsia" w:hAnsiTheme="minorEastAsia"/>
          <w:sz w:val="24"/>
        </w:rPr>
        <w:t>时间内</w:t>
      </w:r>
      <w:r>
        <w:rPr>
          <w:rFonts w:eastAsiaTheme="minorEastAsia"/>
          <w:sz w:val="24"/>
        </w:rPr>
        <w:t>j</w:t>
      </w:r>
      <w:r>
        <w:rPr>
          <w:rFonts w:eastAsiaTheme="minorEastAsia" w:hAnsiTheme="minorEastAsia"/>
          <w:sz w:val="24"/>
        </w:rPr>
        <w:t>声源工作时间，</w:t>
      </w:r>
      <w:r>
        <w:rPr>
          <w:rFonts w:eastAsiaTheme="minorEastAsia"/>
          <w:sz w:val="24"/>
        </w:rPr>
        <w:t>s</w:t>
      </w:r>
      <w:r>
        <w:rPr>
          <w:rFonts w:eastAsiaTheme="minorEastAsia" w:hAnsiTheme="minorEastAsia"/>
          <w:sz w:val="24"/>
        </w:rPr>
        <w:t>。</w:t>
      </w:r>
    </w:p>
    <w:p w14:paraId="21D24546" w14:textId="77777777" w:rsidR="00B14D53" w:rsidRDefault="00000000">
      <w:pPr>
        <w:pStyle w:val="00"/>
        <w:rPr>
          <w:rFonts w:hAnsi="Times New Roman"/>
        </w:rPr>
      </w:pPr>
      <w:r>
        <w:t>在预测中考虑反射引起的修正、屏障引起的衰减、双绕射、室内声源等效室外声源等影响和计算方法。</w:t>
      </w:r>
    </w:p>
    <w:p w14:paraId="1AB84880"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5.2.3.</w:t>
      </w:r>
      <w:r>
        <w:rPr>
          <w:rFonts w:ascii="Times New Roman" w:eastAsia="黑体" w:hAnsi="Times New Roman" w:cs="Times New Roman" w:hint="eastAsia"/>
          <w:b w:val="0"/>
          <w:bCs w:val="0"/>
          <w:sz w:val="24"/>
          <w:szCs w:val="24"/>
        </w:rPr>
        <w:t>3</w:t>
      </w:r>
      <w:r>
        <w:rPr>
          <w:rFonts w:ascii="Times New Roman" w:eastAsia="黑体" w:hAnsi="Times New Roman" w:cs="Times New Roman"/>
          <w:b w:val="0"/>
          <w:bCs w:val="0"/>
          <w:sz w:val="24"/>
          <w:szCs w:val="24"/>
        </w:rPr>
        <w:t>预测结果</w:t>
      </w:r>
    </w:p>
    <w:p w14:paraId="2AC22793" w14:textId="77777777" w:rsidR="00B14D53" w:rsidRDefault="00000000">
      <w:pPr>
        <w:pStyle w:val="afff"/>
        <w:adjustRightInd/>
        <w:snapToGrid/>
        <w:rPr>
          <w:rFonts w:ascii="Times New Roman" w:hAnsi="Times New Roman" w:cs="Times New Roman"/>
          <w:iCs/>
          <w:snapToGrid w:val="0"/>
        </w:rPr>
      </w:pPr>
      <w:r>
        <w:rPr>
          <w:rFonts w:ascii="Times New Roman" w:hAnsiTheme="minorEastAsia" w:cs="Times New Roman" w:hint="eastAsia"/>
        </w:rPr>
        <w:t>厂界</w:t>
      </w:r>
      <w:r>
        <w:rPr>
          <w:rFonts w:ascii="Times New Roman" w:hAnsiTheme="minorEastAsia" w:cs="Times New Roman"/>
          <w:snapToGrid w:val="0"/>
        </w:rPr>
        <w:t>噪声</w:t>
      </w:r>
      <w:r>
        <w:rPr>
          <w:rFonts w:ascii="Times New Roman" w:hAnsiTheme="minorEastAsia" w:cs="Times New Roman"/>
          <w:iCs/>
          <w:snapToGrid w:val="0"/>
        </w:rPr>
        <w:t>预测结果见</w:t>
      </w:r>
      <w:r>
        <w:rPr>
          <w:rFonts w:ascii="Times New Roman" w:hAnsiTheme="minorEastAsia" w:cs="Times New Roman" w:hint="eastAsia"/>
          <w:iCs/>
          <w:snapToGrid w:val="0"/>
        </w:rPr>
        <w:t>下</w:t>
      </w:r>
      <w:r>
        <w:rPr>
          <w:rFonts w:ascii="Times New Roman" w:hAnsiTheme="minorEastAsia" w:cs="Times New Roman"/>
          <w:iCs/>
          <w:snapToGrid w:val="0"/>
        </w:rPr>
        <w:t>表。</w:t>
      </w:r>
      <w:r>
        <w:rPr>
          <w:rFonts w:ascii="Times New Roman" w:hAnsiTheme="minorEastAsia" w:cs="Times New Roman"/>
          <w:snapToGrid w:val="0"/>
        </w:rPr>
        <w:t>本项目预测时仅考虑点声源对周边环境的影响。</w:t>
      </w:r>
    </w:p>
    <w:p w14:paraId="7574FA68" w14:textId="77777777" w:rsidR="00B14D53" w:rsidRDefault="00000000">
      <w:pPr>
        <w:jc w:val="center"/>
        <w:rPr>
          <w:b/>
          <w:bCs/>
        </w:rPr>
      </w:pPr>
      <w:r>
        <w:rPr>
          <w:rFonts w:hint="eastAsia"/>
          <w:b/>
          <w:bCs/>
        </w:rPr>
        <w:t>表</w:t>
      </w:r>
      <w:r>
        <w:rPr>
          <w:rFonts w:hint="eastAsia"/>
          <w:b/>
          <w:bCs/>
        </w:rPr>
        <w:t xml:space="preserve">5-2-27 </w:t>
      </w:r>
      <w:r>
        <w:rPr>
          <w:rFonts w:hint="eastAsia"/>
          <w:b/>
          <w:bCs/>
        </w:rPr>
        <w:t>厂界噪声预测结果</w:t>
      </w:r>
      <w:r>
        <w:rPr>
          <w:rFonts w:hint="eastAsia"/>
          <w:b/>
          <w:bCs/>
        </w:rPr>
        <w:t xml:space="preserve">    </w:t>
      </w:r>
      <w:r>
        <w:rPr>
          <w:rFonts w:hint="eastAsia"/>
          <w:b/>
          <w:bCs/>
        </w:rPr>
        <w:t>单位：</w:t>
      </w:r>
      <w:r>
        <w:rPr>
          <w:rFonts w:hint="eastAsia"/>
          <w:b/>
          <w:bCs/>
        </w:rPr>
        <w:t>dB(A)</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47"/>
        <w:gridCol w:w="971"/>
        <w:gridCol w:w="1521"/>
        <w:gridCol w:w="1379"/>
        <w:gridCol w:w="1518"/>
        <w:gridCol w:w="1570"/>
      </w:tblGrid>
      <w:tr w:rsidR="00B14D53" w14:paraId="151F0102" w14:textId="77777777">
        <w:trPr>
          <w:trHeight w:val="111"/>
        </w:trPr>
        <w:tc>
          <w:tcPr>
            <w:tcW w:w="1394" w:type="pct"/>
            <w:gridSpan w:val="2"/>
            <w:vAlign w:val="center"/>
          </w:tcPr>
          <w:p w14:paraId="23B756FA" w14:textId="77777777" w:rsidR="00B14D53" w:rsidRDefault="00000000">
            <w:pPr>
              <w:pStyle w:val="afff2"/>
              <w:spacing w:line="240" w:lineRule="auto"/>
              <w:contextualSpacing/>
              <w:rPr>
                <w:rFonts w:eastAsiaTheme="minorEastAsia" w:hAnsi="Times New Roman"/>
                <w:b/>
                <w:bCs/>
                <w:snapToGrid w:val="0"/>
              </w:rPr>
            </w:pPr>
            <w:r>
              <w:rPr>
                <w:rFonts w:eastAsiaTheme="minorEastAsia"/>
                <w:b/>
                <w:bCs/>
                <w:snapToGrid w:val="0"/>
              </w:rPr>
              <w:t>贡献值</w:t>
            </w:r>
          </w:p>
        </w:tc>
        <w:tc>
          <w:tcPr>
            <w:tcW w:w="915" w:type="pct"/>
            <w:vAlign w:val="center"/>
          </w:tcPr>
          <w:p w14:paraId="4B907D93" w14:textId="77777777" w:rsidR="00B14D53" w:rsidRDefault="00000000">
            <w:pPr>
              <w:pStyle w:val="afff2"/>
              <w:spacing w:line="240" w:lineRule="auto"/>
              <w:contextualSpacing/>
              <w:rPr>
                <w:rFonts w:eastAsiaTheme="minorEastAsia" w:hAnsi="Times New Roman"/>
                <w:b/>
                <w:bCs/>
                <w:snapToGrid w:val="0"/>
              </w:rPr>
            </w:pPr>
            <w:r>
              <w:rPr>
                <w:rFonts w:eastAsiaTheme="minorEastAsia"/>
                <w:b/>
                <w:bCs/>
                <w:snapToGrid w:val="0"/>
              </w:rPr>
              <w:t>东侧</w:t>
            </w:r>
          </w:p>
        </w:tc>
        <w:tc>
          <w:tcPr>
            <w:tcW w:w="830" w:type="pct"/>
            <w:vAlign w:val="center"/>
          </w:tcPr>
          <w:p w14:paraId="012E588F" w14:textId="77777777" w:rsidR="00B14D53" w:rsidRDefault="00000000">
            <w:pPr>
              <w:pStyle w:val="afff2"/>
              <w:spacing w:line="240" w:lineRule="auto"/>
              <w:contextualSpacing/>
              <w:rPr>
                <w:rFonts w:eastAsiaTheme="minorEastAsia" w:hAnsi="Times New Roman"/>
                <w:b/>
                <w:bCs/>
                <w:snapToGrid w:val="0"/>
              </w:rPr>
            </w:pPr>
            <w:r>
              <w:rPr>
                <w:rFonts w:eastAsiaTheme="minorEastAsia"/>
                <w:b/>
                <w:bCs/>
                <w:snapToGrid w:val="0"/>
              </w:rPr>
              <w:t>南侧</w:t>
            </w:r>
          </w:p>
        </w:tc>
        <w:tc>
          <w:tcPr>
            <w:tcW w:w="914" w:type="pct"/>
            <w:vAlign w:val="center"/>
          </w:tcPr>
          <w:p w14:paraId="6A08057E" w14:textId="77777777" w:rsidR="00B14D53" w:rsidRDefault="00000000">
            <w:pPr>
              <w:pStyle w:val="afff2"/>
              <w:spacing w:line="240" w:lineRule="auto"/>
              <w:contextualSpacing/>
              <w:rPr>
                <w:rFonts w:eastAsiaTheme="minorEastAsia" w:hAnsi="Times New Roman"/>
                <w:b/>
                <w:bCs/>
                <w:snapToGrid w:val="0"/>
              </w:rPr>
            </w:pPr>
            <w:r>
              <w:rPr>
                <w:rFonts w:eastAsiaTheme="minorEastAsia"/>
                <w:b/>
                <w:bCs/>
                <w:snapToGrid w:val="0"/>
              </w:rPr>
              <w:t>西侧</w:t>
            </w:r>
          </w:p>
        </w:tc>
        <w:tc>
          <w:tcPr>
            <w:tcW w:w="945" w:type="pct"/>
            <w:vAlign w:val="center"/>
          </w:tcPr>
          <w:p w14:paraId="50C79EAC" w14:textId="77777777" w:rsidR="00B14D53" w:rsidRDefault="00000000">
            <w:pPr>
              <w:pStyle w:val="afff2"/>
              <w:spacing w:line="240" w:lineRule="auto"/>
              <w:contextualSpacing/>
              <w:rPr>
                <w:rFonts w:eastAsiaTheme="minorEastAsia" w:hAnsi="Times New Roman"/>
                <w:b/>
                <w:bCs/>
                <w:snapToGrid w:val="0"/>
              </w:rPr>
            </w:pPr>
            <w:r>
              <w:rPr>
                <w:rFonts w:eastAsiaTheme="minorEastAsia"/>
                <w:b/>
                <w:bCs/>
                <w:snapToGrid w:val="0"/>
              </w:rPr>
              <w:t>北侧</w:t>
            </w:r>
          </w:p>
        </w:tc>
      </w:tr>
      <w:tr w:rsidR="00B14D53" w14:paraId="4B9659D3" w14:textId="77777777">
        <w:tc>
          <w:tcPr>
            <w:tcW w:w="810" w:type="pct"/>
            <w:vAlign w:val="center"/>
          </w:tcPr>
          <w:p w14:paraId="61765901" w14:textId="77777777" w:rsidR="00B14D53" w:rsidRDefault="00000000">
            <w:pPr>
              <w:pStyle w:val="afff2"/>
              <w:spacing w:line="240" w:lineRule="auto"/>
              <w:contextualSpacing/>
              <w:rPr>
                <w:rFonts w:eastAsiaTheme="minorEastAsia" w:hAnsi="Times New Roman"/>
                <w:snapToGrid w:val="0"/>
              </w:rPr>
            </w:pPr>
            <w:r>
              <w:rPr>
                <w:rFonts w:eastAsiaTheme="minorEastAsia" w:hint="eastAsia"/>
                <w:snapToGrid w:val="0"/>
              </w:rPr>
              <w:t>厂界</w:t>
            </w:r>
          </w:p>
        </w:tc>
        <w:tc>
          <w:tcPr>
            <w:tcW w:w="584" w:type="pct"/>
            <w:vAlign w:val="center"/>
          </w:tcPr>
          <w:p w14:paraId="14416CCF" w14:textId="77777777" w:rsidR="00B14D53" w:rsidRDefault="00000000">
            <w:pPr>
              <w:pStyle w:val="afff2"/>
              <w:spacing w:line="240" w:lineRule="auto"/>
              <w:contextualSpacing/>
              <w:rPr>
                <w:rFonts w:eastAsiaTheme="minorEastAsia" w:hAnsi="Times New Roman"/>
                <w:snapToGrid w:val="0"/>
              </w:rPr>
            </w:pPr>
            <w:r>
              <w:rPr>
                <w:rFonts w:eastAsiaTheme="minorEastAsia"/>
                <w:snapToGrid w:val="0"/>
              </w:rPr>
              <w:t>昼间</w:t>
            </w:r>
          </w:p>
        </w:tc>
        <w:tc>
          <w:tcPr>
            <w:tcW w:w="915" w:type="pct"/>
            <w:vAlign w:val="center"/>
          </w:tcPr>
          <w:p w14:paraId="2CF7F4D4" w14:textId="77777777" w:rsidR="00B14D53" w:rsidRDefault="00000000">
            <w:pPr>
              <w:widowControl/>
              <w:contextualSpacing/>
              <w:jc w:val="center"/>
              <w:rPr>
                <w:rFonts w:eastAsiaTheme="minorEastAsia"/>
                <w:kern w:val="0"/>
                <w:szCs w:val="21"/>
              </w:rPr>
            </w:pPr>
            <w:r>
              <w:rPr>
                <w:rFonts w:eastAsiaTheme="minorEastAsia" w:hint="eastAsia"/>
                <w:kern w:val="0"/>
                <w:szCs w:val="21"/>
              </w:rPr>
              <w:t>42.4</w:t>
            </w:r>
          </w:p>
        </w:tc>
        <w:tc>
          <w:tcPr>
            <w:tcW w:w="830" w:type="pct"/>
            <w:vAlign w:val="center"/>
          </w:tcPr>
          <w:p w14:paraId="3F782243" w14:textId="77777777" w:rsidR="00B14D53" w:rsidRDefault="00000000">
            <w:pPr>
              <w:widowControl/>
              <w:contextualSpacing/>
              <w:jc w:val="center"/>
              <w:rPr>
                <w:rFonts w:eastAsiaTheme="minorEastAsia"/>
                <w:kern w:val="0"/>
                <w:szCs w:val="21"/>
              </w:rPr>
            </w:pPr>
            <w:r>
              <w:rPr>
                <w:rFonts w:eastAsiaTheme="minorEastAsia" w:hint="eastAsia"/>
                <w:kern w:val="0"/>
                <w:szCs w:val="21"/>
              </w:rPr>
              <w:t>35.9</w:t>
            </w:r>
          </w:p>
        </w:tc>
        <w:tc>
          <w:tcPr>
            <w:tcW w:w="914" w:type="pct"/>
            <w:vAlign w:val="center"/>
          </w:tcPr>
          <w:p w14:paraId="7EC7357C" w14:textId="77777777" w:rsidR="00B14D53" w:rsidRDefault="00000000">
            <w:pPr>
              <w:widowControl/>
              <w:contextualSpacing/>
              <w:jc w:val="center"/>
              <w:rPr>
                <w:rFonts w:eastAsiaTheme="minorEastAsia"/>
                <w:kern w:val="0"/>
                <w:szCs w:val="21"/>
              </w:rPr>
            </w:pPr>
            <w:r>
              <w:rPr>
                <w:rFonts w:eastAsiaTheme="minorEastAsia" w:hint="eastAsia"/>
                <w:kern w:val="0"/>
                <w:szCs w:val="21"/>
              </w:rPr>
              <w:t>57.5</w:t>
            </w:r>
          </w:p>
        </w:tc>
        <w:tc>
          <w:tcPr>
            <w:tcW w:w="945" w:type="pct"/>
            <w:vAlign w:val="center"/>
          </w:tcPr>
          <w:p w14:paraId="3B5BCB63" w14:textId="77777777" w:rsidR="00B14D53" w:rsidRDefault="00000000">
            <w:pPr>
              <w:widowControl/>
              <w:contextualSpacing/>
              <w:jc w:val="center"/>
              <w:rPr>
                <w:rFonts w:eastAsiaTheme="minorEastAsia"/>
                <w:kern w:val="0"/>
                <w:szCs w:val="21"/>
              </w:rPr>
            </w:pPr>
            <w:r>
              <w:rPr>
                <w:rFonts w:eastAsiaTheme="minorEastAsia" w:hint="eastAsia"/>
                <w:kern w:val="0"/>
                <w:szCs w:val="21"/>
              </w:rPr>
              <w:t>34.2</w:t>
            </w:r>
          </w:p>
        </w:tc>
      </w:tr>
    </w:tbl>
    <w:p w14:paraId="6200CAB8" w14:textId="77777777" w:rsidR="00B14D53" w:rsidRDefault="00000000">
      <w:pPr>
        <w:jc w:val="center"/>
        <w:rPr>
          <w:rFonts w:eastAsiaTheme="minorEastAsia"/>
          <w:b/>
          <w:kern w:val="0"/>
          <w:szCs w:val="21"/>
        </w:rPr>
      </w:pPr>
      <w:r>
        <w:rPr>
          <w:rFonts w:ascii="宋体" w:hAnsi="宋体" w:cs="宋体"/>
          <w:noProof/>
          <w:sz w:val="24"/>
        </w:rPr>
        <w:drawing>
          <wp:inline distT="0" distB="0" distL="114300" distR="114300" wp14:anchorId="178FC97A" wp14:editId="0230FF4D">
            <wp:extent cx="3468370" cy="3578860"/>
            <wp:effectExtent l="9525" t="9525" r="27305" b="12065"/>
            <wp:docPr id="33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4" descr="IMG_256"/>
                    <pic:cNvPicPr>
                      <a:picLocks noChangeAspect="1"/>
                    </pic:cNvPicPr>
                  </pic:nvPicPr>
                  <pic:blipFill>
                    <a:blip r:embed="rId70"/>
                    <a:stretch>
                      <a:fillRect/>
                    </a:stretch>
                  </pic:blipFill>
                  <pic:spPr>
                    <a:xfrm>
                      <a:off x="0" y="0"/>
                      <a:ext cx="3468370" cy="3578860"/>
                    </a:xfrm>
                    <a:prstGeom prst="rect">
                      <a:avLst/>
                    </a:prstGeom>
                    <a:noFill/>
                    <a:ln w="6350">
                      <a:solidFill>
                        <a:schemeClr val="tx1"/>
                      </a:solidFill>
                    </a:ln>
                  </pic:spPr>
                </pic:pic>
              </a:graphicData>
            </a:graphic>
          </wp:inline>
        </w:drawing>
      </w:r>
    </w:p>
    <w:p w14:paraId="536DD13B" w14:textId="77777777" w:rsidR="00B14D53" w:rsidRDefault="00000000">
      <w:pPr>
        <w:ind w:firstLineChars="177" w:firstLine="426"/>
        <w:jc w:val="center"/>
        <w:rPr>
          <w:rFonts w:eastAsiaTheme="minorEastAsia"/>
          <w:b/>
          <w:kern w:val="0"/>
          <w:sz w:val="24"/>
        </w:rPr>
      </w:pPr>
      <w:r>
        <w:rPr>
          <w:rFonts w:eastAsiaTheme="minorEastAsia" w:hAnsiTheme="minorEastAsia"/>
          <w:b/>
          <w:kern w:val="0"/>
          <w:sz w:val="24"/>
        </w:rPr>
        <w:t>图</w:t>
      </w:r>
      <w:r>
        <w:rPr>
          <w:rFonts w:eastAsiaTheme="minorEastAsia"/>
          <w:b/>
          <w:kern w:val="0"/>
          <w:sz w:val="24"/>
        </w:rPr>
        <w:t>5-2-</w:t>
      </w:r>
      <w:r>
        <w:rPr>
          <w:rFonts w:eastAsiaTheme="minorEastAsia" w:hint="eastAsia"/>
          <w:b/>
          <w:kern w:val="0"/>
          <w:sz w:val="24"/>
        </w:rPr>
        <w:t>8</w:t>
      </w:r>
      <w:r>
        <w:rPr>
          <w:rFonts w:eastAsiaTheme="minorEastAsia"/>
          <w:b/>
          <w:kern w:val="0"/>
          <w:sz w:val="24"/>
        </w:rPr>
        <w:t xml:space="preserve"> </w:t>
      </w:r>
      <w:r>
        <w:rPr>
          <w:rFonts w:eastAsiaTheme="minorEastAsia" w:hAnsiTheme="minorEastAsia"/>
          <w:b/>
          <w:kern w:val="0"/>
          <w:sz w:val="24"/>
        </w:rPr>
        <w:t>声环境预测结果等值线图</w:t>
      </w:r>
    </w:p>
    <w:p w14:paraId="37009CDA"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采取本环评提出的降噪措施后，</w:t>
      </w:r>
      <w:r>
        <w:rPr>
          <w:rFonts w:eastAsiaTheme="minorEastAsia" w:hAnsiTheme="minorEastAsia" w:hint="eastAsia"/>
          <w:sz w:val="24"/>
        </w:rPr>
        <w:t>厂</w:t>
      </w:r>
      <w:r>
        <w:rPr>
          <w:rFonts w:eastAsiaTheme="minorEastAsia" w:hAnsiTheme="minorEastAsia"/>
          <w:sz w:val="24"/>
        </w:rPr>
        <w:t>界昼</w:t>
      </w:r>
      <w:r>
        <w:rPr>
          <w:rFonts w:eastAsiaTheme="minorEastAsia" w:hAnsiTheme="minorEastAsia" w:hint="eastAsia"/>
          <w:sz w:val="24"/>
        </w:rPr>
        <w:t>间</w:t>
      </w:r>
      <w:r>
        <w:rPr>
          <w:rFonts w:eastAsiaTheme="minorEastAsia" w:hAnsiTheme="minorEastAsia"/>
          <w:sz w:val="24"/>
        </w:rPr>
        <w:t>最大</w:t>
      </w:r>
      <w:r>
        <w:rPr>
          <w:rFonts w:eastAsiaTheme="minorEastAsia" w:hAnsiTheme="minorEastAsia" w:hint="eastAsia"/>
          <w:sz w:val="24"/>
        </w:rPr>
        <w:t>贡献</w:t>
      </w:r>
      <w:r>
        <w:rPr>
          <w:rFonts w:eastAsiaTheme="minorEastAsia" w:hAnsiTheme="minorEastAsia"/>
          <w:sz w:val="24"/>
        </w:rPr>
        <w:t>值为</w:t>
      </w:r>
      <w:r>
        <w:rPr>
          <w:rFonts w:eastAsiaTheme="minorEastAsia" w:hint="eastAsia"/>
          <w:sz w:val="24"/>
        </w:rPr>
        <w:t>57.5</w:t>
      </w:r>
      <w:r>
        <w:rPr>
          <w:rFonts w:eastAsiaTheme="minorEastAsia"/>
          <w:sz w:val="24"/>
        </w:rPr>
        <w:t>dB</w:t>
      </w:r>
      <w:r>
        <w:rPr>
          <w:rFonts w:eastAsiaTheme="minorEastAsia" w:hAnsiTheme="minorEastAsia"/>
          <w:sz w:val="24"/>
        </w:rPr>
        <w:t>（</w:t>
      </w:r>
      <w:r>
        <w:rPr>
          <w:rFonts w:eastAsiaTheme="minorEastAsia"/>
          <w:sz w:val="24"/>
        </w:rPr>
        <w:t>A</w:t>
      </w:r>
      <w:r>
        <w:rPr>
          <w:rFonts w:eastAsiaTheme="minorEastAsia" w:hAnsiTheme="minorEastAsia"/>
          <w:sz w:val="24"/>
        </w:rPr>
        <w:t>）；</w:t>
      </w:r>
      <w:r>
        <w:rPr>
          <w:rFonts w:eastAsiaTheme="minorEastAsia" w:hAnsiTheme="minorEastAsia" w:hint="eastAsia"/>
          <w:sz w:val="24"/>
        </w:rPr>
        <w:t>厂界</w:t>
      </w:r>
      <w:r>
        <w:rPr>
          <w:rFonts w:eastAsiaTheme="minorEastAsia" w:hAnsiTheme="minorEastAsia"/>
          <w:sz w:val="24"/>
        </w:rPr>
        <w:t>均满足《工业企业厂界环境噪声排放标准》（</w:t>
      </w:r>
      <w:r>
        <w:rPr>
          <w:rFonts w:eastAsiaTheme="minorEastAsia"/>
          <w:sz w:val="24"/>
        </w:rPr>
        <w:t>GB12348-2008</w:t>
      </w:r>
      <w:r>
        <w:rPr>
          <w:rFonts w:eastAsiaTheme="minorEastAsia" w:hAnsiTheme="minorEastAsia"/>
          <w:sz w:val="24"/>
        </w:rPr>
        <w:t>）</w:t>
      </w:r>
      <w:r>
        <w:rPr>
          <w:rFonts w:eastAsiaTheme="minorEastAsia" w:hint="eastAsia"/>
          <w:sz w:val="24"/>
        </w:rPr>
        <w:t>2</w:t>
      </w:r>
      <w:r>
        <w:rPr>
          <w:rFonts w:eastAsiaTheme="minorEastAsia" w:hAnsiTheme="minorEastAsia"/>
          <w:sz w:val="24"/>
        </w:rPr>
        <w:t>类标准，可以被周围环境接受。</w:t>
      </w:r>
    </w:p>
    <w:p w14:paraId="2D8E178F"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5.2.4</w:t>
      </w:r>
      <w:r>
        <w:rPr>
          <w:rFonts w:ascii="Times New Roman" w:eastAsia="黑体" w:hAnsi="Times New Roman" w:cs="Times New Roman"/>
          <w:bCs/>
          <w:sz w:val="28"/>
          <w:szCs w:val="28"/>
        </w:rPr>
        <w:t>固体废物环境影响分析</w:t>
      </w:r>
    </w:p>
    <w:p w14:paraId="3F2AA3EA" w14:textId="77777777" w:rsidR="00B14D53" w:rsidRDefault="00000000">
      <w:pPr>
        <w:tabs>
          <w:tab w:val="left" w:pos="900"/>
        </w:tabs>
        <w:spacing w:line="360" w:lineRule="auto"/>
        <w:ind w:firstLineChars="200" w:firstLine="480"/>
        <w:rPr>
          <w:rFonts w:eastAsiaTheme="minorEastAsia"/>
          <w:bCs/>
          <w:sz w:val="24"/>
        </w:rPr>
      </w:pPr>
      <w:r>
        <w:rPr>
          <w:bCs/>
          <w:sz w:val="24"/>
        </w:rPr>
        <w:t>项目正常工况下产生的一般固体废物主要有待宰圈产生的猪粪；</w:t>
      </w:r>
      <w:r>
        <w:rPr>
          <w:rFonts w:hint="eastAsia"/>
          <w:bCs/>
          <w:sz w:val="24"/>
        </w:rPr>
        <w:t>屠宰加车间产生的</w:t>
      </w:r>
      <w:r>
        <w:rPr>
          <w:bCs/>
          <w:sz w:val="24"/>
        </w:rPr>
        <w:t>肠胃内容物</w:t>
      </w:r>
      <w:r>
        <w:rPr>
          <w:rFonts w:hint="eastAsia"/>
          <w:bCs/>
          <w:sz w:val="24"/>
        </w:rPr>
        <w:t>、废外包装、</w:t>
      </w:r>
      <w:r>
        <w:rPr>
          <w:bCs/>
          <w:sz w:val="24"/>
        </w:rPr>
        <w:t>病变腺体、内脏及</w:t>
      </w:r>
      <w:r>
        <w:rPr>
          <w:rFonts w:hint="eastAsia"/>
          <w:bCs/>
          <w:sz w:val="24"/>
        </w:rPr>
        <w:t>残留</w:t>
      </w:r>
      <w:r>
        <w:rPr>
          <w:bCs/>
          <w:sz w:val="24"/>
        </w:rPr>
        <w:t>脂肪</w:t>
      </w:r>
      <w:r>
        <w:rPr>
          <w:rFonts w:hint="eastAsia"/>
          <w:bCs/>
          <w:sz w:val="24"/>
        </w:rPr>
        <w:t>；</w:t>
      </w:r>
      <w:r>
        <w:rPr>
          <w:bCs/>
          <w:sz w:val="24"/>
        </w:rPr>
        <w:t>检</w:t>
      </w:r>
      <w:r>
        <w:rPr>
          <w:rFonts w:hint="eastAsia"/>
          <w:bCs/>
          <w:sz w:val="24"/>
        </w:rPr>
        <w:t>验</w:t>
      </w:r>
      <w:r>
        <w:rPr>
          <w:bCs/>
          <w:sz w:val="24"/>
        </w:rPr>
        <w:t>室产生的</w:t>
      </w:r>
      <w:r>
        <w:rPr>
          <w:rFonts w:hint="eastAsia"/>
          <w:bCs/>
          <w:sz w:val="24"/>
        </w:rPr>
        <w:t>检验废物（类别：</w:t>
      </w:r>
      <w:r>
        <w:rPr>
          <w:rFonts w:hint="eastAsia"/>
          <w:bCs/>
          <w:sz w:val="24"/>
        </w:rPr>
        <w:t>HW01</w:t>
      </w:r>
      <w:r>
        <w:rPr>
          <w:rFonts w:hint="eastAsia"/>
          <w:bCs/>
          <w:sz w:val="24"/>
        </w:rPr>
        <w:t>，代码：</w:t>
      </w:r>
      <w:r>
        <w:rPr>
          <w:rFonts w:hint="eastAsia"/>
          <w:bCs/>
          <w:sz w:val="24"/>
        </w:rPr>
        <w:t>841-001-01</w:t>
      </w:r>
      <w:r>
        <w:rPr>
          <w:rFonts w:hint="eastAsia"/>
          <w:bCs/>
          <w:sz w:val="24"/>
        </w:rPr>
        <w:t>）</w:t>
      </w:r>
      <w:r>
        <w:rPr>
          <w:bCs/>
          <w:sz w:val="24"/>
        </w:rPr>
        <w:t>；污水处理站产生的污泥、栅渣；</w:t>
      </w:r>
      <w:r>
        <w:rPr>
          <w:rFonts w:hint="eastAsia"/>
          <w:bCs/>
          <w:sz w:val="24"/>
        </w:rPr>
        <w:t>废气治理设施产生的</w:t>
      </w:r>
      <w:r>
        <w:rPr>
          <w:bCs/>
          <w:sz w:val="24"/>
        </w:rPr>
        <w:t>废活性炭；</w:t>
      </w:r>
      <w:r>
        <w:rPr>
          <w:rFonts w:hint="eastAsia"/>
          <w:bCs/>
          <w:sz w:val="24"/>
        </w:rPr>
        <w:t>软化水装置</w:t>
      </w:r>
      <w:r>
        <w:rPr>
          <w:bCs/>
          <w:sz w:val="24"/>
        </w:rPr>
        <w:t>产生的废离子交换树脂；</w:t>
      </w:r>
      <w:r>
        <w:rPr>
          <w:rFonts w:hint="eastAsia"/>
          <w:bCs/>
          <w:sz w:val="24"/>
        </w:rPr>
        <w:t>职工生活产生的</w:t>
      </w:r>
      <w:r>
        <w:rPr>
          <w:bCs/>
          <w:sz w:val="24"/>
        </w:rPr>
        <w:t>生活垃圾。</w:t>
      </w:r>
      <w:r>
        <w:rPr>
          <w:rFonts w:hint="eastAsia"/>
          <w:bCs/>
          <w:spacing w:val="-3"/>
          <w:sz w:val="24"/>
        </w:rPr>
        <w:t>非正常工况下产生的病死猪。</w:t>
      </w:r>
    </w:p>
    <w:p w14:paraId="61DF0F1D"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5.2.4.1</w:t>
      </w:r>
      <w:r>
        <w:rPr>
          <w:rFonts w:ascii="Times New Roman" w:eastAsia="黑体" w:hAnsi="Times New Roman" w:cs="Times New Roman"/>
          <w:b w:val="0"/>
          <w:sz w:val="24"/>
          <w:szCs w:val="24"/>
        </w:rPr>
        <w:t>一般固体废物影响分析</w:t>
      </w:r>
    </w:p>
    <w:p w14:paraId="4553B3D6" w14:textId="77777777" w:rsidR="00B14D53" w:rsidRDefault="00000000">
      <w:pPr>
        <w:pStyle w:val="afff"/>
        <w:adjustRightInd/>
        <w:snapToGrid/>
        <w:contextualSpacing/>
        <w:rPr>
          <w:rFonts w:ascii="Times New Roman" w:hAnsi="Times New Roman" w:cs="Times New Roman"/>
          <w:bCs/>
        </w:rPr>
      </w:pPr>
      <w:r>
        <w:rPr>
          <w:rFonts w:ascii="Times New Roman" w:eastAsia="宋体" w:hAnsi="Times New Roman" w:cs="Times New Roman"/>
          <w:bCs/>
        </w:rPr>
        <w:t>待宰圈</w:t>
      </w:r>
      <w:r>
        <w:rPr>
          <w:rFonts w:ascii="Times New Roman" w:hAnsi="Times New Roman" w:cs="Times New Roman" w:hint="eastAsia"/>
          <w:bCs/>
        </w:rPr>
        <w:t>的</w:t>
      </w:r>
      <w:r>
        <w:rPr>
          <w:rFonts w:ascii="Times New Roman" w:eastAsia="宋体" w:hAnsi="Times New Roman" w:cs="Times New Roman"/>
          <w:bCs/>
        </w:rPr>
        <w:t>猪粪便</w:t>
      </w:r>
      <w:r>
        <w:rPr>
          <w:rFonts w:ascii="Times New Roman" w:hAnsi="Times New Roman" w:cs="Times New Roman" w:hint="eastAsia"/>
          <w:bCs/>
        </w:rPr>
        <w:t>，清理至包装桶内，暂存于待宰圈内</w:t>
      </w:r>
      <w:r>
        <w:rPr>
          <w:rFonts w:ascii="Times New Roman" w:eastAsia="宋体" w:hAnsi="Times New Roman" w:cs="Times New Roman"/>
          <w:bCs/>
        </w:rPr>
        <w:t>，</w:t>
      </w:r>
      <w:r>
        <w:rPr>
          <w:rFonts w:ascii="Times New Roman" w:hAnsi="Times New Roman" w:cs="Times New Roman" w:hint="eastAsia"/>
          <w:bCs/>
        </w:rPr>
        <w:t>每日生产结束后</w:t>
      </w:r>
      <w:r>
        <w:rPr>
          <w:rFonts w:ascii="Times New Roman" w:eastAsia="宋体" w:hAnsi="Times New Roman" w:cs="Times New Roman"/>
          <w:bCs/>
        </w:rPr>
        <w:t>清运一次，外售有机肥厂进行堆肥处理。</w:t>
      </w:r>
      <w:r>
        <w:rPr>
          <w:rFonts w:ascii="Times New Roman" w:eastAsia="宋体" w:hAnsi="Times New Roman" w:cs="Times New Roman"/>
          <w:bCs/>
          <w:color w:val="000000" w:themeColor="text1"/>
        </w:rPr>
        <w:t>肠胃内容物</w:t>
      </w:r>
      <w:r>
        <w:rPr>
          <w:rFonts w:ascii="Times New Roman" w:hAnsi="Times New Roman" w:cs="Times New Roman" w:hint="eastAsia"/>
          <w:bCs/>
        </w:rPr>
        <w:t>清理至包装桶内，暂存于待宰圈内</w:t>
      </w:r>
      <w:r>
        <w:rPr>
          <w:rFonts w:ascii="Times New Roman" w:eastAsia="宋体" w:hAnsi="Times New Roman" w:cs="Times New Roman"/>
          <w:bCs/>
        </w:rPr>
        <w:t>，</w:t>
      </w:r>
      <w:r>
        <w:rPr>
          <w:rFonts w:ascii="Times New Roman" w:hAnsi="Times New Roman" w:cs="Times New Roman" w:hint="eastAsia"/>
          <w:bCs/>
        </w:rPr>
        <w:t>每日生产结束后</w:t>
      </w:r>
      <w:r>
        <w:rPr>
          <w:rFonts w:ascii="Times New Roman" w:eastAsia="宋体" w:hAnsi="Times New Roman" w:cs="Times New Roman"/>
          <w:bCs/>
        </w:rPr>
        <w:t>清运一次，外售有机肥厂进行堆肥处理。病变腺体、内脏及残留脂肪</w:t>
      </w:r>
      <w:r>
        <w:rPr>
          <w:rFonts w:ascii="Times New Roman" w:hAnsi="Times New Roman" w:cs="Times New Roman" w:hint="eastAsia"/>
          <w:bCs/>
        </w:rPr>
        <w:t>交由</w:t>
      </w:r>
      <w:r>
        <w:rPr>
          <w:rFonts w:hAnsi="宋体" w:hint="eastAsia"/>
          <w:bCs/>
          <w:kern w:val="0"/>
          <w:szCs w:val="21"/>
        </w:rPr>
        <w:t>哈尔滨银山无害化处理有限公司</w:t>
      </w:r>
      <w:r>
        <w:rPr>
          <w:rFonts w:ascii="Times New Roman" w:eastAsia="宋体" w:hAnsi="Times New Roman" w:cs="Times New Roman"/>
          <w:bCs/>
        </w:rPr>
        <w:t>处理。</w:t>
      </w:r>
      <w:r>
        <w:rPr>
          <w:rFonts w:ascii="Times New Roman" w:hAnsi="Times New Roman" w:cs="Times New Roman" w:hint="eastAsia"/>
          <w:bCs/>
        </w:rPr>
        <w:t>检验废物（类别：</w:t>
      </w:r>
      <w:r>
        <w:rPr>
          <w:rFonts w:ascii="Times New Roman" w:hAnsi="Times New Roman" w:cs="Times New Roman" w:hint="eastAsia"/>
          <w:bCs/>
        </w:rPr>
        <w:t>HW01</w:t>
      </w:r>
      <w:r>
        <w:rPr>
          <w:rFonts w:ascii="Times New Roman" w:hAnsi="Times New Roman" w:cs="Times New Roman" w:hint="eastAsia"/>
          <w:bCs/>
        </w:rPr>
        <w:t>，代码：</w:t>
      </w:r>
      <w:r>
        <w:rPr>
          <w:rFonts w:ascii="Times New Roman" w:hAnsi="Times New Roman" w:cs="Times New Roman" w:hint="eastAsia"/>
          <w:bCs/>
        </w:rPr>
        <w:t>841-001-01</w:t>
      </w:r>
      <w:r>
        <w:rPr>
          <w:rFonts w:ascii="Times New Roman" w:hAnsi="Times New Roman" w:cs="Times New Roman" w:hint="eastAsia"/>
          <w:bCs/>
        </w:rPr>
        <w:t>）</w:t>
      </w:r>
      <w:r>
        <w:rPr>
          <w:rFonts w:hAnsi="Times New Roman" w:hint="eastAsia"/>
          <w:bCs/>
        </w:rPr>
        <w:t>交由有资质单位处置。</w:t>
      </w:r>
      <w:r>
        <w:rPr>
          <w:rFonts w:ascii="Times New Roman" w:eastAsia="宋体" w:hAnsi="Times New Roman" w:cs="Times New Roman"/>
          <w:bCs/>
        </w:rPr>
        <w:t>污水处理站</w:t>
      </w:r>
      <w:r>
        <w:rPr>
          <w:rFonts w:ascii="Times New Roman" w:eastAsia="宋体" w:hAnsi="Times New Roman" w:cs="Times New Roman" w:hint="eastAsia"/>
          <w:bCs/>
        </w:rPr>
        <w:t>污泥及栅渣</w:t>
      </w:r>
      <w:r>
        <w:rPr>
          <w:rFonts w:ascii="Times New Roman" w:eastAsia="宋体" w:hAnsi="Times New Roman" w:cs="Times New Roman"/>
          <w:bCs/>
        </w:rPr>
        <w:t>采用压滤机脱水后，送生活垃圾填埋场处理</w:t>
      </w:r>
      <w:r>
        <w:rPr>
          <w:rFonts w:ascii="Times New Roman" w:eastAsia="宋体" w:hAnsi="Times New Roman" w:cs="Times New Roman" w:hint="eastAsia"/>
          <w:bCs/>
        </w:rPr>
        <w:t>。</w:t>
      </w:r>
      <w:r>
        <w:rPr>
          <w:rFonts w:ascii="Times New Roman" w:eastAsia="宋体" w:hAnsi="Times New Roman" w:cs="Times New Roman"/>
          <w:bCs/>
        </w:rPr>
        <w:t>废活性炭交由厂家再生利用</w:t>
      </w:r>
      <w:r>
        <w:rPr>
          <w:rFonts w:ascii="Times New Roman" w:eastAsia="宋体" w:hAnsi="Times New Roman" w:cs="Times New Roman" w:hint="eastAsia"/>
          <w:bCs/>
        </w:rPr>
        <w:t>。</w:t>
      </w:r>
      <w:r>
        <w:rPr>
          <w:rFonts w:ascii="Times New Roman" w:eastAsia="宋体" w:hAnsi="Times New Roman" w:cs="Times New Roman"/>
          <w:bCs/>
        </w:rPr>
        <w:t>废离子交换树脂由厂家回收利用</w:t>
      </w:r>
      <w:r>
        <w:rPr>
          <w:rFonts w:ascii="Times New Roman" w:hAnsi="Times New Roman" w:cs="Times New Roman" w:hint="eastAsia"/>
          <w:bCs/>
        </w:rPr>
        <w:t>。</w:t>
      </w:r>
      <w:r>
        <w:rPr>
          <w:rFonts w:cs="Times New Roman" w:hint="eastAsia"/>
          <w:bCs/>
        </w:rPr>
        <w:t>废外包装外售物资回收单位</w:t>
      </w:r>
      <w:r>
        <w:rPr>
          <w:rFonts w:ascii="Times New Roman" w:eastAsia="宋体" w:hAnsi="Times New Roman" w:cs="Times New Roman" w:hint="eastAsia"/>
          <w:bCs/>
        </w:rPr>
        <w:t>。</w:t>
      </w:r>
      <w:r>
        <w:rPr>
          <w:rFonts w:ascii="Times New Roman" w:eastAsia="宋体" w:hAnsi="Times New Roman" w:cs="Times New Roman"/>
          <w:bCs/>
          <w:szCs w:val="22"/>
        </w:rPr>
        <w:t>生活垃圾</w:t>
      </w:r>
      <w:r>
        <w:rPr>
          <w:rFonts w:ascii="Times New Roman" w:eastAsia="宋体" w:hAnsi="Times New Roman" w:cs="Times New Roman"/>
          <w:bCs/>
        </w:rPr>
        <w:t>由市政部门统一处理</w:t>
      </w:r>
      <w:r>
        <w:rPr>
          <w:rFonts w:ascii="Times New Roman" w:eastAsia="宋体" w:hAnsi="Times New Roman" w:cs="Times New Roman" w:hint="eastAsia"/>
          <w:bCs/>
        </w:rPr>
        <w:t>。病死猪</w:t>
      </w:r>
      <w:r>
        <w:rPr>
          <w:rFonts w:ascii="Times New Roman" w:hAnsi="Times New Roman" w:cs="Times New Roman" w:hint="eastAsia"/>
          <w:bCs/>
        </w:rPr>
        <w:t>交由</w:t>
      </w:r>
      <w:r>
        <w:rPr>
          <w:rFonts w:hAnsi="宋体" w:hint="eastAsia"/>
          <w:bCs/>
          <w:kern w:val="0"/>
          <w:szCs w:val="21"/>
        </w:rPr>
        <w:t>哈尔滨银山无害化处理有限公司</w:t>
      </w:r>
      <w:r>
        <w:rPr>
          <w:rFonts w:ascii="Times New Roman" w:hAnsi="Times New Roman" w:cs="Times New Roman" w:hint="eastAsia"/>
          <w:bCs/>
        </w:rPr>
        <w:t>处置</w:t>
      </w:r>
      <w:r>
        <w:rPr>
          <w:rFonts w:ascii="Times New Roman" w:eastAsia="宋体" w:hAnsi="Times New Roman" w:cs="Times New Roman" w:hint="eastAsia"/>
          <w:bCs/>
        </w:rPr>
        <w:t>。</w:t>
      </w:r>
    </w:p>
    <w:p w14:paraId="3726EC96"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5.2.4.</w:t>
      </w:r>
      <w:r>
        <w:rPr>
          <w:rFonts w:ascii="Times New Roman" w:eastAsia="黑体" w:hAnsi="Times New Roman" w:cs="Times New Roman" w:hint="eastAsia"/>
          <w:b w:val="0"/>
          <w:sz w:val="24"/>
          <w:szCs w:val="24"/>
        </w:rPr>
        <w:t>2</w:t>
      </w:r>
      <w:r>
        <w:rPr>
          <w:rFonts w:ascii="Times New Roman" w:eastAsia="黑体" w:hAnsi="Times New Roman" w:cs="Times New Roman"/>
          <w:b w:val="0"/>
          <w:sz w:val="24"/>
          <w:szCs w:val="24"/>
        </w:rPr>
        <w:t>其他固体废物影响分析</w:t>
      </w:r>
    </w:p>
    <w:p w14:paraId="6B4F1A25" w14:textId="77777777" w:rsidR="00B14D53" w:rsidRDefault="00000000">
      <w:pPr>
        <w:pStyle w:val="afff"/>
        <w:adjustRightInd/>
        <w:snapToGrid/>
        <w:ind w:firstLine="468"/>
        <w:contextualSpacing/>
        <w:rPr>
          <w:rFonts w:ascii="Times New Roman" w:hAnsi="Times New Roman" w:cs="Times New Roman"/>
          <w:bCs/>
        </w:rPr>
      </w:pPr>
      <w:r>
        <w:rPr>
          <w:rFonts w:ascii="Times New Roman" w:eastAsia="宋体" w:hAnsi="Times New Roman" w:cs="Times New Roman"/>
          <w:bCs/>
          <w:spacing w:val="-3"/>
        </w:rPr>
        <w:t>生活垃圾由市政部门统一处理。通过以上分析，</w:t>
      </w:r>
      <w:r>
        <w:rPr>
          <w:rFonts w:ascii="Times New Roman" w:eastAsia="宋体" w:hAnsi="Times New Roman" w:cs="Times New Roman" w:hint="eastAsia"/>
          <w:bCs/>
          <w:spacing w:val="-3"/>
        </w:rPr>
        <w:t>本</w:t>
      </w:r>
      <w:r>
        <w:rPr>
          <w:rFonts w:ascii="Times New Roman" w:eastAsia="宋体" w:hAnsi="Times New Roman" w:cs="Times New Roman"/>
          <w:bCs/>
          <w:spacing w:val="-3"/>
        </w:rPr>
        <w:t>项目产生的固体废物全部得到了妥善处置，不长期堆存，因此对环境影响很小</w:t>
      </w:r>
      <w:r>
        <w:rPr>
          <w:rFonts w:ascii="Times New Roman" w:hAnsiTheme="minorEastAsia" w:cs="Times New Roman"/>
          <w:bCs/>
        </w:rPr>
        <w:t>。</w:t>
      </w:r>
    </w:p>
    <w:p w14:paraId="54AAED9C"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5.2.</w:t>
      </w:r>
      <w:r>
        <w:rPr>
          <w:rFonts w:ascii="Times New Roman" w:eastAsia="黑体" w:hAnsi="Times New Roman" w:cs="Times New Roman" w:hint="eastAsia"/>
          <w:bCs/>
          <w:sz w:val="28"/>
          <w:szCs w:val="28"/>
        </w:rPr>
        <w:t>5</w:t>
      </w:r>
      <w:r>
        <w:rPr>
          <w:rFonts w:ascii="Times New Roman" w:eastAsia="黑体" w:hAnsi="Times New Roman" w:cs="Times New Roman" w:hint="eastAsia"/>
          <w:bCs/>
          <w:sz w:val="28"/>
          <w:szCs w:val="28"/>
        </w:rPr>
        <w:t>生态</w:t>
      </w:r>
      <w:r>
        <w:rPr>
          <w:rFonts w:ascii="Times New Roman" w:eastAsia="黑体" w:hAnsi="Times New Roman" w:cs="Times New Roman"/>
          <w:bCs/>
          <w:sz w:val="28"/>
          <w:szCs w:val="28"/>
        </w:rPr>
        <w:t>影响评价</w:t>
      </w:r>
    </w:p>
    <w:p w14:paraId="3C6A505D" w14:textId="77777777" w:rsidR="00B14D53" w:rsidRDefault="00000000">
      <w:pPr>
        <w:spacing w:line="360" w:lineRule="auto"/>
        <w:ind w:firstLineChars="200" w:firstLine="480"/>
        <w:contextualSpacing/>
        <w:rPr>
          <w:rFonts w:eastAsiaTheme="minorEastAsia"/>
          <w:bCs/>
          <w:kern w:val="0"/>
          <w:sz w:val="24"/>
          <w:szCs w:val="20"/>
        </w:rPr>
      </w:pPr>
      <w:r>
        <w:rPr>
          <w:rFonts w:eastAsiaTheme="minorEastAsia" w:hAnsiTheme="minorEastAsia" w:hint="eastAsia"/>
          <w:bCs/>
          <w:snapToGrid w:val="0"/>
          <w:sz w:val="24"/>
          <w:szCs w:val="22"/>
        </w:rPr>
        <w:t>本项目生态</w:t>
      </w:r>
      <w:r>
        <w:rPr>
          <w:rFonts w:eastAsiaTheme="minorEastAsia" w:hAnsiTheme="minorEastAsia"/>
          <w:bCs/>
          <w:snapToGrid w:val="0"/>
          <w:sz w:val="24"/>
          <w:szCs w:val="22"/>
        </w:rPr>
        <w:t>评价工作等级为三级</w:t>
      </w:r>
      <w:r>
        <w:rPr>
          <w:rFonts w:eastAsiaTheme="minorEastAsia" w:hAnsiTheme="minorEastAsia" w:hint="eastAsia"/>
          <w:bCs/>
          <w:snapToGrid w:val="0"/>
          <w:sz w:val="24"/>
          <w:szCs w:val="22"/>
        </w:rPr>
        <w:t>，主要采取定性分析。</w:t>
      </w:r>
    </w:p>
    <w:p w14:paraId="5599DFB1" w14:textId="77777777" w:rsidR="00B14D53" w:rsidRDefault="00000000">
      <w:pPr>
        <w:pStyle w:val="afff"/>
        <w:adjustRightInd/>
        <w:snapToGrid/>
        <w:jc w:val="both"/>
        <w:rPr>
          <w:rFonts w:ascii="Times New Roman" w:hAnsiTheme="minorEastAsia" w:cs="Times New Roman" w:hint="eastAsia"/>
          <w:snapToGrid w:val="0"/>
        </w:rPr>
      </w:pPr>
      <w:r>
        <w:rPr>
          <w:rFonts w:ascii="Times New Roman" w:eastAsia="宋体" w:hAnsi="Times New Roman" w:cs="Times New Roman"/>
          <w:bCs/>
          <w:snapToGrid w:val="0"/>
          <w:szCs w:val="22"/>
        </w:rPr>
        <w:t>本项目生态评价范围内为农田</w:t>
      </w:r>
      <w:r>
        <w:rPr>
          <w:rFonts w:ascii="Times New Roman" w:eastAsia="宋体" w:hAnsi="Times New Roman" w:cs="Times New Roman" w:hint="eastAsia"/>
          <w:bCs/>
          <w:snapToGrid w:val="0"/>
          <w:szCs w:val="22"/>
        </w:rPr>
        <w:t>、林地、草地</w:t>
      </w:r>
      <w:r>
        <w:rPr>
          <w:rFonts w:ascii="Times New Roman" w:eastAsia="宋体" w:hAnsi="Times New Roman" w:cs="Times New Roman"/>
          <w:bCs/>
          <w:snapToGrid w:val="0"/>
          <w:szCs w:val="22"/>
        </w:rPr>
        <w:t>生态系统。植被</w:t>
      </w:r>
      <w:r>
        <w:rPr>
          <w:rFonts w:ascii="Times New Roman" w:eastAsia="宋体" w:hAnsi="Times New Roman" w:cs="Times New Roman"/>
          <w:snapToGrid w:val="0"/>
          <w:szCs w:val="22"/>
        </w:rPr>
        <w:t>类型图见附图</w:t>
      </w:r>
      <w:r>
        <w:rPr>
          <w:rFonts w:ascii="Times New Roman" w:eastAsia="宋体" w:hAnsi="Times New Roman" w:cs="Times New Roman"/>
          <w:snapToGrid w:val="0"/>
          <w:szCs w:val="22"/>
        </w:rPr>
        <w:t>4</w:t>
      </w:r>
      <w:r>
        <w:rPr>
          <w:rFonts w:ascii="Times New Roman" w:eastAsia="宋体" w:hAnsi="Times New Roman" w:cs="Times New Roman"/>
          <w:snapToGrid w:val="0"/>
          <w:szCs w:val="22"/>
        </w:rPr>
        <w:t>，土地利用现状图见附图</w:t>
      </w:r>
      <w:r>
        <w:rPr>
          <w:rFonts w:ascii="Times New Roman" w:eastAsia="宋体" w:hAnsi="Times New Roman" w:cs="Times New Roman" w:hint="eastAsia"/>
          <w:snapToGrid w:val="0"/>
          <w:szCs w:val="22"/>
        </w:rPr>
        <w:t>5</w:t>
      </w:r>
      <w:r>
        <w:rPr>
          <w:rFonts w:ascii="Times New Roman" w:eastAsia="宋体" w:hAnsi="Times New Roman" w:cs="Times New Roman"/>
          <w:snapToGrid w:val="0"/>
          <w:szCs w:val="22"/>
        </w:rPr>
        <w:t>。</w:t>
      </w:r>
      <w:r>
        <w:rPr>
          <w:rFonts w:hAnsiTheme="minorEastAsia" w:hint="eastAsia"/>
          <w:snapToGrid w:val="0"/>
          <w:szCs w:val="22"/>
        </w:rPr>
        <w:t>运营期产生的噪声可达标排放，对野生动物的影响较小。</w:t>
      </w:r>
      <w:r>
        <w:rPr>
          <w:rFonts w:ascii="Times New Roman" w:hAnsi="Times New Roman" w:cs="Times New Roman"/>
          <w:kern w:val="0"/>
          <w:lang w:bidi="ar"/>
        </w:rPr>
        <w:t>建设项目</w:t>
      </w:r>
      <w:r>
        <w:rPr>
          <w:rFonts w:ascii="Times New Roman" w:hAnsi="Times New Roman" w:cs="Times New Roman" w:hint="eastAsia"/>
          <w:kern w:val="0"/>
          <w:lang w:bidi="ar"/>
        </w:rPr>
        <w:t>施工期进行</w:t>
      </w:r>
      <w:r>
        <w:rPr>
          <w:rFonts w:ascii="Times New Roman" w:hAnsi="Times New Roman" w:cs="Times New Roman"/>
          <w:kern w:val="0"/>
          <w:lang w:bidi="ar"/>
        </w:rPr>
        <w:t>土建施工活动，</w:t>
      </w:r>
      <w:r>
        <w:rPr>
          <w:rFonts w:ascii="Times New Roman" w:hAnsi="Times New Roman" w:cs="Times New Roman"/>
          <w:lang w:bidi="ar"/>
        </w:rPr>
        <w:t>对生态环境的影响主要表现在大气污染物的排放通过大气沉降对区域地表植被及农作物生长的影响，但影响程度甚微，可被环境所接受。</w:t>
      </w:r>
    </w:p>
    <w:p w14:paraId="0B277653"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5.2.</w:t>
      </w:r>
      <w:r>
        <w:rPr>
          <w:rFonts w:ascii="Times New Roman" w:eastAsia="黑体" w:hAnsi="Times New Roman" w:cs="Times New Roman" w:hint="eastAsia"/>
          <w:bCs/>
          <w:sz w:val="28"/>
          <w:szCs w:val="28"/>
        </w:rPr>
        <w:t>6</w:t>
      </w:r>
      <w:r>
        <w:rPr>
          <w:rFonts w:ascii="Times New Roman" w:eastAsia="黑体" w:hAnsi="Times New Roman" w:cs="Times New Roman"/>
          <w:bCs/>
          <w:sz w:val="28"/>
          <w:szCs w:val="28"/>
        </w:rPr>
        <w:t>风险影响评价</w:t>
      </w:r>
    </w:p>
    <w:p w14:paraId="03F30CA6" w14:textId="77777777" w:rsidR="00B14D53" w:rsidRDefault="00000000">
      <w:pPr>
        <w:widowControl/>
        <w:tabs>
          <w:tab w:val="left" w:leader="middleDot" w:pos="0"/>
        </w:tabs>
        <w:spacing w:line="360" w:lineRule="auto"/>
        <w:ind w:firstLineChars="200" w:firstLine="480"/>
        <w:rPr>
          <w:rFonts w:eastAsiaTheme="minorEastAsia"/>
          <w:bCs/>
          <w:sz w:val="24"/>
        </w:rPr>
      </w:pPr>
      <w:r>
        <w:rPr>
          <w:rFonts w:eastAsiaTheme="minorEastAsia" w:hAnsiTheme="minorEastAsia"/>
          <w:bCs/>
          <w:sz w:val="24"/>
        </w:rPr>
        <w:t>根据工程分析结果，本项目环境风险潜势为</w:t>
      </w:r>
      <w:r>
        <w:rPr>
          <w:rFonts w:eastAsiaTheme="minorEastAsia"/>
          <w:bCs/>
          <w:sz w:val="24"/>
        </w:rPr>
        <w:fldChar w:fldCharType="begin"/>
      </w:r>
      <w:r>
        <w:rPr>
          <w:rFonts w:eastAsiaTheme="minorEastAsia"/>
          <w:bCs/>
          <w:sz w:val="24"/>
        </w:rPr>
        <w:instrText xml:space="preserve"> = 1 \* ROMAN </w:instrText>
      </w:r>
      <w:r>
        <w:rPr>
          <w:rFonts w:eastAsiaTheme="minorEastAsia"/>
          <w:bCs/>
          <w:sz w:val="24"/>
        </w:rPr>
        <w:fldChar w:fldCharType="separate"/>
      </w:r>
      <w:r>
        <w:rPr>
          <w:rFonts w:eastAsiaTheme="minorEastAsia"/>
          <w:bCs/>
          <w:sz w:val="24"/>
        </w:rPr>
        <w:t>I</w:t>
      </w:r>
      <w:r>
        <w:rPr>
          <w:rFonts w:eastAsiaTheme="minorEastAsia"/>
          <w:bCs/>
          <w:sz w:val="24"/>
        </w:rPr>
        <w:fldChar w:fldCharType="end"/>
      </w:r>
      <w:r>
        <w:rPr>
          <w:rFonts w:eastAsiaTheme="minorEastAsia" w:hAnsiTheme="minorEastAsia"/>
          <w:bCs/>
          <w:sz w:val="24"/>
        </w:rPr>
        <w:t>，进行简单分析。</w:t>
      </w:r>
    </w:p>
    <w:p w14:paraId="1E38DC27"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5.2.</w:t>
      </w:r>
      <w:r>
        <w:rPr>
          <w:rFonts w:ascii="Times New Roman" w:eastAsia="黑体" w:hAnsi="Times New Roman" w:cs="Times New Roman" w:hint="eastAsia"/>
          <w:b w:val="0"/>
          <w:sz w:val="24"/>
          <w:szCs w:val="24"/>
        </w:rPr>
        <w:t>6</w:t>
      </w:r>
      <w:r>
        <w:rPr>
          <w:rFonts w:ascii="Times New Roman" w:eastAsia="黑体" w:hAnsi="Times New Roman" w:cs="Times New Roman"/>
          <w:b w:val="0"/>
          <w:sz w:val="24"/>
          <w:szCs w:val="24"/>
        </w:rPr>
        <w:t>.1</w:t>
      </w:r>
      <w:r>
        <w:rPr>
          <w:rFonts w:ascii="Times New Roman" w:eastAsia="黑体" w:hAnsi="Times New Roman" w:cs="Times New Roman"/>
          <w:b w:val="0"/>
          <w:sz w:val="24"/>
          <w:szCs w:val="24"/>
        </w:rPr>
        <w:t>环境敏感目标概况</w:t>
      </w:r>
    </w:p>
    <w:p w14:paraId="06627F37" w14:textId="77777777" w:rsidR="00B14D53" w:rsidRDefault="00000000">
      <w:pPr>
        <w:spacing w:line="360" w:lineRule="auto"/>
        <w:ind w:firstLineChars="200" w:firstLine="480"/>
        <w:rPr>
          <w:rFonts w:eastAsiaTheme="minorEastAsia" w:hAnsiTheme="minorEastAsia" w:hint="eastAsia"/>
          <w:bCs/>
          <w:sz w:val="24"/>
        </w:rPr>
      </w:pPr>
      <w:r>
        <w:rPr>
          <w:rFonts w:eastAsiaTheme="minorEastAsia" w:hAnsiTheme="minorEastAsia"/>
          <w:bCs/>
          <w:sz w:val="24"/>
        </w:rPr>
        <w:t>本项目距最近敏感目标</w:t>
      </w:r>
      <w:r>
        <w:rPr>
          <w:rFonts w:eastAsiaTheme="minorEastAsia" w:hAnsiTheme="minorEastAsia" w:hint="eastAsia"/>
          <w:bCs/>
          <w:sz w:val="24"/>
        </w:rPr>
        <w:t>山河屯林业局居民</w:t>
      </w:r>
      <w:r>
        <w:rPr>
          <w:rFonts w:eastAsiaTheme="minorEastAsia" w:hint="eastAsia"/>
          <w:bCs/>
          <w:sz w:val="24"/>
        </w:rPr>
        <w:t>230</w:t>
      </w:r>
      <w:r>
        <w:rPr>
          <w:rFonts w:eastAsiaTheme="minorEastAsia"/>
          <w:bCs/>
          <w:sz w:val="24"/>
        </w:rPr>
        <w:t>m</w:t>
      </w:r>
      <w:r>
        <w:rPr>
          <w:rFonts w:eastAsiaTheme="minorEastAsia" w:hAnsiTheme="minorEastAsia"/>
          <w:bCs/>
          <w:sz w:val="24"/>
        </w:rPr>
        <w:t>。</w:t>
      </w:r>
    </w:p>
    <w:p w14:paraId="0BB7198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5.2.</w:t>
      </w:r>
      <w:r>
        <w:rPr>
          <w:rFonts w:ascii="Times New Roman" w:eastAsia="黑体" w:hAnsi="Times New Roman" w:cs="Times New Roman" w:hint="eastAsia"/>
          <w:b w:val="0"/>
          <w:sz w:val="24"/>
          <w:szCs w:val="24"/>
        </w:rPr>
        <w:t>6</w:t>
      </w:r>
      <w:r>
        <w:rPr>
          <w:rFonts w:ascii="Times New Roman" w:eastAsia="黑体" w:hAnsi="Times New Roman" w:cs="Times New Roman"/>
          <w:b w:val="0"/>
          <w:sz w:val="24"/>
          <w:szCs w:val="24"/>
        </w:rPr>
        <w:t>.2</w:t>
      </w:r>
      <w:r>
        <w:rPr>
          <w:rFonts w:ascii="Times New Roman" w:eastAsia="黑体" w:hAnsi="Times New Roman" w:cs="Times New Roman"/>
          <w:b w:val="0"/>
          <w:sz w:val="24"/>
          <w:szCs w:val="24"/>
        </w:rPr>
        <w:t>环境风险识别</w:t>
      </w:r>
    </w:p>
    <w:p w14:paraId="0A5C1563"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bookmarkStart w:id="225" w:name="_Toc27458"/>
      <w:bookmarkStart w:id="226" w:name="_Toc13130"/>
      <w:r>
        <w:rPr>
          <w:spacing w:val="-3"/>
          <w:sz w:val="24"/>
        </w:rPr>
        <w:t>（</w:t>
      </w:r>
      <w:r>
        <w:rPr>
          <w:spacing w:val="-3"/>
          <w:sz w:val="24"/>
        </w:rPr>
        <w:t>1</w:t>
      </w:r>
      <w:r>
        <w:rPr>
          <w:spacing w:val="-3"/>
          <w:sz w:val="24"/>
        </w:rPr>
        <w:t>）风险识别范围和风险类型</w:t>
      </w:r>
      <w:bookmarkEnd w:id="225"/>
      <w:bookmarkEnd w:id="226"/>
    </w:p>
    <w:p w14:paraId="09AD1E4E"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通过对污水处理</w:t>
      </w:r>
      <w:r>
        <w:rPr>
          <w:rFonts w:hint="eastAsia"/>
          <w:spacing w:val="-3"/>
          <w:sz w:val="24"/>
        </w:rPr>
        <w:t>站</w:t>
      </w:r>
      <w:r>
        <w:rPr>
          <w:spacing w:val="-3"/>
          <w:sz w:val="24"/>
        </w:rPr>
        <w:t>所选用的技术工艺及整体布局、建设设施等的分析，造成事故排放风险的环节主要有以下几方面：</w:t>
      </w:r>
    </w:p>
    <w:p w14:paraId="517057AC"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1</w:t>
      </w:r>
      <w:r>
        <w:rPr>
          <w:spacing w:val="-3"/>
          <w:sz w:val="24"/>
        </w:rPr>
        <w:t>）污水管网系统由于管网堵塞、破裂和接头处的破损，造成大量污水外溢，污染</w:t>
      </w:r>
      <w:r>
        <w:rPr>
          <w:spacing w:val="-3"/>
          <w:sz w:val="24"/>
        </w:rPr>
        <w:t xml:space="preserve"> </w:t>
      </w:r>
      <w:r>
        <w:rPr>
          <w:spacing w:val="-3"/>
          <w:sz w:val="24"/>
        </w:rPr>
        <w:t>地表水和地下水；污水处理</w:t>
      </w:r>
      <w:r>
        <w:rPr>
          <w:rFonts w:hint="eastAsia"/>
          <w:spacing w:val="-3"/>
          <w:sz w:val="24"/>
        </w:rPr>
        <w:t>站</w:t>
      </w:r>
      <w:r>
        <w:rPr>
          <w:spacing w:val="-3"/>
          <w:sz w:val="24"/>
        </w:rPr>
        <w:t>由于停电、设备损坏、污水处理设施运行不正常、停工检修等造成大量污水未经处理直接排放，造成事故污染；</w:t>
      </w:r>
    </w:p>
    <w:p w14:paraId="5DE04A4F"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2</w:t>
      </w:r>
      <w:r>
        <w:rPr>
          <w:spacing w:val="-3"/>
          <w:sz w:val="24"/>
        </w:rPr>
        <w:t>）活性污泥变质，发生污泥膨胀或污泥解体等异常情况，使污泥流失，处理效果降低；</w:t>
      </w:r>
    </w:p>
    <w:p w14:paraId="008F96F7"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3</w:t>
      </w:r>
      <w:r>
        <w:rPr>
          <w:spacing w:val="-3"/>
          <w:sz w:val="24"/>
        </w:rPr>
        <w:t>）企业排污异常致使进</w:t>
      </w:r>
      <w:r>
        <w:rPr>
          <w:rFonts w:hint="eastAsia"/>
          <w:spacing w:val="-3"/>
          <w:sz w:val="24"/>
        </w:rPr>
        <w:t>入污水处理站</w:t>
      </w:r>
      <w:r>
        <w:rPr>
          <w:spacing w:val="-3"/>
          <w:sz w:val="24"/>
        </w:rPr>
        <w:t>水质负荷突增，或有毒有害物质误入管网，造成微生物活性下降或被毒害，影响污水处理效率。</w:t>
      </w:r>
    </w:p>
    <w:p w14:paraId="1F9F222D"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rFonts w:hint="eastAsia"/>
          <w:spacing w:val="-3"/>
          <w:sz w:val="24"/>
        </w:rPr>
        <w:t>4</w:t>
      </w:r>
      <w:r>
        <w:rPr>
          <w:spacing w:val="-3"/>
          <w:sz w:val="24"/>
        </w:rPr>
        <w:t>）污水处理过程中</w:t>
      </w:r>
      <w:r>
        <w:rPr>
          <w:rFonts w:hint="eastAsia"/>
          <w:spacing w:val="-3"/>
          <w:sz w:val="24"/>
        </w:rPr>
        <w:t>消毒</w:t>
      </w:r>
      <w:r>
        <w:rPr>
          <w:spacing w:val="-3"/>
          <w:sz w:val="24"/>
        </w:rPr>
        <w:t>化学药剂主要为</w:t>
      </w:r>
      <w:r>
        <w:rPr>
          <w:rFonts w:hint="eastAsia"/>
          <w:spacing w:val="-3"/>
          <w:sz w:val="24"/>
        </w:rPr>
        <w:t>次</w:t>
      </w:r>
      <w:r>
        <w:rPr>
          <w:spacing w:val="-3"/>
          <w:sz w:val="24"/>
        </w:rPr>
        <w:t>氯酸钠等。</w:t>
      </w:r>
    </w:p>
    <w:p w14:paraId="36EEE4C7"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bookmarkStart w:id="227" w:name="_Toc23106"/>
      <w:bookmarkStart w:id="228" w:name="_Toc30830"/>
      <w:r>
        <w:rPr>
          <w:spacing w:val="-3"/>
          <w:sz w:val="24"/>
        </w:rPr>
        <w:t>（</w:t>
      </w:r>
      <w:r>
        <w:rPr>
          <w:spacing w:val="-3"/>
          <w:sz w:val="24"/>
        </w:rPr>
        <w:t>2</w:t>
      </w:r>
      <w:r>
        <w:rPr>
          <w:spacing w:val="-3"/>
          <w:sz w:val="24"/>
        </w:rPr>
        <w:t>）风险物质识别</w:t>
      </w:r>
      <w:bookmarkEnd w:id="227"/>
      <w:bookmarkEnd w:id="228"/>
    </w:p>
    <w:p w14:paraId="05CB6FC4"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依据《危险货物品名表》（</w:t>
      </w:r>
      <w:r>
        <w:rPr>
          <w:spacing w:val="-3"/>
          <w:sz w:val="24"/>
        </w:rPr>
        <w:t>GB12268-2005</w:t>
      </w:r>
      <w:r>
        <w:rPr>
          <w:spacing w:val="-3"/>
          <w:sz w:val="24"/>
        </w:rPr>
        <w:t>）以及《危险化学品重大危险源辨识》（</w:t>
      </w:r>
      <w:r>
        <w:rPr>
          <w:spacing w:val="-3"/>
          <w:sz w:val="24"/>
        </w:rPr>
        <w:t>GB18218-2018</w:t>
      </w:r>
      <w:r>
        <w:rPr>
          <w:spacing w:val="-3"/>
          <w:sz w:val="24"/>
        </w:rPr>
        <w:t>）可知，本项目在生产过程中涉及的危险物质为次氯酸钠，主要分布在</w:t>
      </w:r>
      <w:r>
        <w:rPr>
          <w:rFonts w:hint="eastAsia"/>
          <w:spacing w:val="-3"/>
          <w:sz w:val="24"/>
        </w:rPr>
        <w:t>药剂存储间以及</w:t>
      </w:r>
      <w:r>
        <w:rPr>
          <w:spacing w:val="-3"/>
          <w:sz w:val="24"/>
        </w:rPr>
        <w:t>次氯酸钠在运输、储存、使用过程中具有一定的环境风险。次氯酸钠的理化性质及危险、危害特性见表。</w:t>
      </w:r>
    </w:p>
    <w:p w14:paraId="688B5651" w14:textId="77777777" w:rsidR="00B14D53" w:rsidRDefault="00000000">
      <w:pPr>
        <w:jc w:val="center"/>
        <w:rPr>
          <w:b/>
          <w:bCs/>
        </w:rPr>
      </w:pPr>
      <w:r>
        <w:rPr>
          <w:b/>
          <w:bCs/>
        </w:rPr>
        <w:t>表</w:t>
      </w:r>
      <w:r>
        <w:rPr>
          <w:b/>
          <w:bCs/>
        </w:rPr>
        <w:t>5</w:t>
      </w:r>
      <w:r>
        <w:rPr>
          <w:rFonts w:hint="eastAsia"/>
          <w:b/>
          <w:bCs/>
        </w:rPr>
        <w:t>-</w:t>
      </w:r>
      <w:r>
        <w:rPr>
          <w:b/>
          <w:bCs/>
        </w:rPr>
        <w:t>2-</w:t>
      </w:r>
      <w:r>
        <w:rPr>
          <w:rFonts w:hint="eastAsia"/>
          <w:b/>
          <w:bCs/>
        </w:rPr>
        <w:t>28</w:t>
      </w:r>
      <w:r>
        <w:rPr>
          <w:b/>
          <w:bCs/>
        </w:rPr>
        <w:t xml:space="preserve"> </w:t>
      </w:r>
      <w:r>
        <w:rPr>
          <w:rFonts w:hint="eastAsia"/>
          <w:b/>
          <w:bCs/>
        </w:rPr>
        <w:t>危险</w:t>
      </w:r>
      <w:r>
        <w:rPr>
          <w:b/>
          <w:bCs/>
        </w:rPr>
        <w:t>性质特性一览表</w:t>
      </w:r>
    </w:p>
    <w:tbl>
      <w:tblPr>
        <w:tblStyle w:val="TableNormal"/>
        <w:tblW w:w="5001" w:type="pct"/>
        <w:tblInd w:w="0" w:type="dxa"/>
        <w:tblBorders>
          <w:top w:val="single" w:sz="12" w:space="0" w:color="auto"/>
          <w:bottom w:val="single" w:sz="12" w:space="0" w:color="auto"/>
          <w:insideH w:val="single" w:sz="2" w:space="0" w:color="000000"/>
          <w:insideV w:val="single" w:sz="2" w:space="0" w:color="000000"/>
        </w:tblBorders>
        <w:tblLook w:val="04A0" w:firstRow="1" w:lastRow="0" w:firstColumn="1" w:lastColumn="0" w:noHBand="0" w:noVBand="1"/>
      </w:tblPr>
      <w:tblGrid>
        <w:gridCol w:w="1150"/>
        <w:gridCol w:w="5973"/>
        <w:gridCol w:w="1185"/>
      </w:tblGrid>
      <w:tr w:rsidR="00B14D53" w14:paraId="1DFEDD1C" w14:textId="77777777">
        <w:trPr>
          <w:trHeight w:val="399"/>
        </w:trPr>
        <w:tc>
          <w:tcPr>
            <w:tcW w:w="692" w:type="pct"/>
            <w:vAlign w:val="center"/>
          </w:tcPr>
          <w:p w14:paraId="447B5065" w14:textId="77777777" w:rsidR="00B14D53" w:rsidRDefault="00000000">
            <w:pPr>
              <w:pStyle w:val="2fe"/>
              <w:widowControl w:val="0"/>
              <w:spacing w:after="0" w:line="240" w:lineRule="auto"/>
              <w:ind w:firstLine="0"/>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3594" w:type="pct"/>
            <w:vAlign w:val="center"/>
          </w:tcPr>
          <w:p w14:paraId="49C80CE8" w14:textId="77777777" w:rsidR="00B14D53" w:rsidRDefault="00000000">
            <w:pPr>
              <w:jc w:val="center"/>
              <w:rPr>
                <w:b/>
                <w:bCs/>
                <w:color w:val="auto"/>
                <w:szCs w:val="21"/>
              </w:rPr>
            </w:pPr>
            <w:r>
              <w:rPr>
                <w:b/>
                <w:bCs/>
                <w:color w:val="auto"/>
                <w:spacing w:val="12"/>
                <w:szCs w:val="21"/>
              </w:rPr>
              <w:t>理化性质</w:t>
            </w:r>
          </w:p>
        </w:tc>
        <w:tc>
          <w:tcPr>
            <w:tcW w:w="713" w:type="pct"/>
            <w:vAlign w:val="center"/>
          </w:tcPr>
          <w:p w14:paraId="1AA3EE6F" w14:textId="77777777" w:rsidR="00B14D53" w:rsidRDefault="00000000">
            <w:pPr>
              <w:jc w:val="center"/>
              <w:rPr>
                <w:b/>
                <w:bCs/>
                <w:color w:val="auto"/>
                <w:szCs w:val="21"/>
              </w:rPr>
            </w:pPr>
            <w:r>
              <w:rPr>
                <w:b/>
                <w:bCs/>
                <w:color w:val="auto"/>
                <w:spacing w:val="12"/>
                <w:szCs w:val="21"/>
              </w:rPr>
              <w:t>危险特性</w:t>
            </w:r>
          </w:p>
        </w:tc>
      </w:tr>
      <w:tr w:rsidR="00B14D53" w14:paraId="349A824D" w14:textId="77777777">
        <w:trPr>
          <w:trHeight w:val="552"/>
        </w:trPr>
        <w:tc>
          <w:tcPr>
            <w:tcW w:w="692" w:type="pct"/>
            <w:vAlign w:val="center"/>
          </w:tcPr>
          <w:p w14:paraId="55754B45" w14:textId="77777777" w:rsidR="00B14D53" w:rsidRDefault="00000000">
            <w:pPr>
              <w:jc w:val="center"/>
              <w:rPr>
                <w:color w:val="auto"/>
                <w:szCs w:val="21"/>
              </w:rPr>
            </w:pPr>
            <w:r>
              <w:rPr>
                <w:color w:val="auto"/>
                <w:spacing w:val="5"/>
                <w:szCs w:val="21"/>
              </w:rPr>
              <w:t>次氯酸钠</w:t>
            </w:r>
          </w:p>
        </w:tc>
        <w:tc>
          <w:tcPr>
            <w:tcW w:w="3594" w:type="pct"/>
            <w:vAlign w:val="center"/>
          </w:tcPr>
          <w:p w14:paraId="0FD57694" w14:textId="77777777" w:rsidR="00B14D53" w:rsidRDefault="00000000">
            <w:pPr>
              <w:ind w:right="53"/>
              <w:jc w:val="center"/>
              <w:rPr>
                <w:rFonts w:eastAsia="Times New Roman"/>
                <w:color w:val="auto"/>
                <w:szCs w:val="21"/>
              </w:rPr>
            </w:pPr>
            <w:r>
              <w:rPr>
                <w:color w:val="auto"/>
                <w:spacing w:val="2"/>
                <w:szCs w:val="21"/>
              </w:rPr>
              <w:t>微黄色（溶液</w:t>
            </w:r>
            <w:r>
              <w:rPr>
                <w:color w:val="auto"/>
                <w:spacing w:val="-19"/>
                <w:szCs w:val="21"/>
              </w:rPr>
              <w:t>），</w:t>
            </w:r>
            <w:r>
              <w:rPr>
                <w:color w:val="auto"/>
                <w:spacing w:val="2"/>
                <w:szCs w:val="21"/>
              </w:rPr>
              <w:t>有似氯气的气味。不稳定，见光分解。熔</w:t>
            </w:r>
            <w:r>
              <w:rPr>
                <w:color w:val="auto"/>
                <w:spacing w:val="1"/>
                <w:szCs w:val="21"/>
              </w:rPr>
              <w:t>点：</w:t>
            </w:r>
            <w:r>
              <w:rPr>
                <w:rFonts w:eastAsia="Times New Roman"/>
                <w:color w:val="auto"/>
                <w:spacing w:val="-5"/>
                <w:szCs w:val="21"/>
              </w:rPr>
              <w:t>-16℃</w:t>
            </w:r>
            <w:r>
              <w:rPr>
                <w:rFonts w:hint="eastAsia"/>
                <w:color w:val="auto"/>
                <w:spacing w:val="-23"/>
                <w:szCs w:val="21"/>
              </w:rPr>
              <w:t>，</w:t>
            </w:r>
            <w:r>
              <w:rPr>
                <w:color w:val="auto"/>
                <w:spacing w:val="-5"/>
                <w:szCs w:val="21"/>
              </w:rPr>
              <w:t>沸点：</w:t>
            </w:r>
            <w:r>
              <w:rPr>
                <w:rFonts w:eastAsia="Times New Roman"/>
                <w:color w:val="auto"/>
                <w:spacing w:val="-5"/>
                <w:szCs w:val="21"/>
              </w:rPr>
              <w:t>111℃</w:t>
            </w:r>
          </w:p>
        </w:tc>
        <w:tc>
          <w:tcPr>
            <w:tcW w:w="713" w:type="pct"/>
            <w:vAlign w:val="center"/>
          </w:tcPr>
          <w:p w14:paraId="0B32BD72" w14:textId="77777777" w:rsidR="00B14D53" w:rsidRDefault="00000000">
            <w:pPr>
              <w:jc w:val="center"/>
              <w:rPr>
                <w:color w:val="auto"/>
                <w:szCs w:val="21"/>
              </w:rPr>
            </w:pPr>
            <w:r>
              <w:rPr>
                <w:color w:val="auto"/>
                <w:spacing w:val="3"/>
                <w:szCs w:val="21"/>
              </w:rPr>
              <w:t>不燃</w:t>
            </w:r>
          </w:p>
        </w:tc>
      </w:tr>
    </w:tbl>
    <w:p w14:paraId="26858D2E"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bookmarkStart w:id="229" w:name="_Toc2748"/>
      <w:bookmarkStart w:id="230" w:name="_Toc10554"/>
      <w:r>
        <w:rPr>
          <w:spacing w:val="-3"/>
          <w:sz w:val="24"/>
        </w:rPr>
        <w:t>（</w:t>
      </w:r>
      <w:r>
        <w:rPr>
          <w:spacing w:val="-3"/>
          <w:sz w:val="24"/>
        </w:rPr>
        <w:t>3</w:t>
      </w:r>
      <w:r>
        <w:rPr>
          <w:spacing w:val="-3"/>
          <w:sz w:val="24"/>
        </w:rPr>
        <w:t>）生产过程潜在危险性识别</w:t>
      </w:r>
      <w:bookmarkEnd w:id="229"/>
      <w:bookmarkEnd w:id="230"/>
    </w:p>
    <w:p w14:paraId="6C85E2F1"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本项目主要危险性主要为次氯酸钠泄漏以及污水事故排放等情况。</w:t>
      </w:r>
    </w:p>
    <w:p w14:paraId="67603175"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1</w:t>
      </w:r>
      <w:r>
        <w:rPr>
          <w:spacing w:val="-3"/>
          <w:sz w:val="24"/>
        </w:rPr>
        <w:t>）进水污染事故</w:t>
      </w:r>
    </w:p>
    <w:p w14:paraId="705643B9"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工业企业生产的不连续性及排水水质的不稳定属于普通的经常性问题，正常范围内的企业</w:t>
      </w:r>
      <w:r>
        <w:rPr>
          <w:rFonts w:hint="eastAsia"/>
          <w:spacing w:val="-3"/>
          <w:sz w:val="24"/>
        </w:rPr>
        <w:t>进</w:t>
      </w:r>
      <w:r>
        <w:rPr>
          <w:spacing w:val="-3"/>
          <w:sz w:val="24"/>
        </w:rPr>
        <w:t>水水质的不稳定并不会影响</w:t>
      </w:r>
      <w:r>
        <w:rPr>
          <w:rFonts w:hint="eastAsia"/>
          <w:spacing w:val="-3"/>
          <w:sz w:val="24"/>
        </w:rPr>
        <w:t>污水处理站</w:t>
      </w:r>
      <w:r>
        <w:rPr>
          <w:spacing w:val="-3"/>
          <w:sz w:val="24"/>
        </w:rPr>
        <w:t>整体</w:t>
      </w:r>
      <w:r>
        <w:rPr>
          <w:rFonts w:hint="eastAsia"/>
          <w:spacing w:val="-3"/>
          <w:sz w:val="24"/>
        </w:rPr>
        <w:t>运行</w:t>
      </w:r>
      <w:r>
        <w:rPr>
          <w:spacing w:val="-3"/>
          <w:sz w:val="24"/>
        </w:rPr>
        <w:t>，设计的处理工艺完全能够对付这样的不稳定，使尾水做到达标排放。</w:t>
      </w:r>
    </w:p>
    <w:p w14:paraId="3870F177"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2</w:t>
      </w:r>
      <w:r>
        <w:rPr>
          <w:spacing w:val="-3"/>
          <w:sz w:val="24"/>
        </w:rPr>
        <w:t>）设备故障事故及检修</w:t>
      </w:r>
    </w:p>
    <w:p w14:paraId="5FEC3360"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设计中主要设备采用国产优质设备，监测仪表和控制系统自动监控水平较高。因此，本</w:t>
      </w:r>
      <w:r>
        <w:rPr>
          <w:rFonts w:hint="eastAsia"/>
          <w:spacing w:val="-3"/>
          <w:sz w:val="24"/>
        </w:rPr>
        <w:t>污水处理站</w:t>
      </w:r>
      <w:r>
        <w:rPr>
          <w:spacing w:val="-3"/>
          <w:sz w:val="24"/>
        </w:rPr>
        <w:t>发生设备故障事故的可能性较小。污水处理工程因设备故障或检修导致部分或全部污水未经处理直接排放，最大排放量为全部进水量。在此情况下，排放的污染物浓度为污水处理工程的进水浓度。</w:t>
      </w:r>
    </w:p>
    <w:p w14:paraId="037BDF37"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3</w:t>
      </w:r>
      <w:r>
        <w:rPr>
          <w:spacing w:val="-3"/>
          <w:sz w:val="24"/>
        </w:rPr>
        <w:t>）管道集水井风险</w:t>
      </w:r>
    </w:p>
    <w:p w14:paraId="422F05B1"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在管道和集水井等设备或构筑物中，因平日所贮污水内含各种污染物，经微生物作用等因素产生有毒有害气体，如</w:t>
      </w:r>
      <w:r>
        <w:rPr>
          <w:spacing w:val="-3"/>
          <w:sz w:val="24"/>
        </w:rPr>
        <w:t>H</w:t>
      </w:r>
      <w:r>
        <w:rPr>
          <w:spacing w:val="-3"/>
          <w:sz w:val="24"/>
          <w:vertAlign w:val="subscript"/>
        </w:rPr>
        <w:t>2</w:t>
      </w:r>
      <w:r>
        <w:rPr>
          <w:spacing w:val="-3"/>
          <w:sz w:val="24"/>
        </w:rPr>
        <w:t>S</w:t>
      </w:r>
      <w:r>
        <w:rPr>
          <w:spacing w:val="-3"/>
          <w:sz w:val="24"/>
        </w:rPr>
        <w:t>等，由于通风不畅，长年积累，浓度较高，可能对维修人员产生中毒影响。</w:t>
      </w:r>
    </w:p>
    <w:p w14:paraId="20FA206F"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4</w:t>
      </w:r>
      <w:r>
        <w:rPr>
          <w:spacing w:val="-3"/>
          <w:sz w:val="24"/>
        </w:rPr>
        <w:t>）净水物质泄漏事故</w:t>
      </w:r>
    </w:p>
    <w:p w14:paraId="36BB0097"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污水处理过程中使用的次氯酸钠</w:t>
      </w:r>
      <w:r>
        <w:rPr>
          <w:rFonts w:hint="eastAsia"/>
          <w:spacing w:val="-3"/>
          <w:sz w:val="24"/>
        </w:rPr>
        <w:t>位于污水处理站加药间</w:t>
      </w:r>
      <w:r>
        <w:rPr>
          <w:spacing w:val="-3"/>
          <w:sz w:val="24"/>
        </w:rPr>
        <w:t>，存在泄漏的风险。</w:t>
      </w:r>
    </w:p>
    <w:p w14:paraId="3F127886"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bookmarkStart w:id="231" w:name="_Toc28876"/>
      <w:bookmarkStart w:id="232" w:name="_Toc22236"/>
      <w:r>
        <w:rPr>
          <w:spacing w:val="-3"/>
          <w:sz w:val="24"/>
        </w:rPr>
        <w:t>（</w:t>
      </w:r>
      <w:r>
        <w:rPr>
          <w:spacing w:val="-3"/>
          <w:sz w:val="24"/>
        </w:rPr>
        <w:t>4</w:t>
      </w:r>
      <w:r>
        <w:rPr>
          <w:spacing w:val="-3"/>
          <w:sz w:val="24"/>
        </w:rPr>
        <w:t>）向环境转移途径</w:t>
      </w:r>
      <w:bookmarkEnd w:id="231"/>
      <w:bookmarkEnd w:id="232"/>
    </w:p>
    <w:p w14:paraId="42A67416" w14:textId="77777777" w:rsidR="00B14D53" w:rsidRDefault="00000000">
      <w:pPr>
        <w:widowControl/>
        <w:kinsoku w:val="0"/>
        <w:autoSpaceDE w:val="0"/>
        <w:autoSpaceDN w:val="0"/>
        <w:spacing w:line="360" w:lineRule="auto"/>
        <w:ind w:firstLineChars="200" w:firstLine="468"/>
        <w:jc w:val="left"/>
        <w:textAlignment w:val="baseline"/>
        <w:rPr>
          <w:spacing w:val="-3"/>
          <w:sz w:val="24"/>
        </w:rPr>
      </w:pPr>
      <w:r>
        <w:rPr>
          <w:spacing w:val="-3"/>
          <w:sz w:val="24"/>
        </w:rPr>
        <w:t>空气、水体和土壤等环境要素是危险性物质向环境转移的最基本的途径，同时这三种要素之间又随时发生着物质和能量的传递，污染物进入环境后，随着空气和水体环境发生推流迁移、分散稀释和降解转化运动。</w:t>
      </w:r>
      <w:r>
        <w:rPr>
          <w:rFonts w:hint="eastAsia"/>
          <w:spacing w:val="-3"/>
          <w:sz w:val="24"/>
        </w:rPr>
        <w:t>本项目风险物质为次氯酸钠，固体状态下泄漏不会进入大气环境，使用过程中泄漏或伴</w:t>
      </w:r>
      <w:r>
        <w:rPr>
          <w:spacing w:val="-3"/>
          <w:sz w:val="24"/>
        </w:rPr>
        <w:t>随消防废水</w:t>
      </w:r>
      <w:r>
        <w:rPr>
          <w:rFonts w:hint="eastAsia"/>
          <w:spacing w:val="-3"/>
          <w:sz w:val="24"/>
        </w:rPr>
        <w:t>可</w:t>
      </w:r>
      <w:r>
        <w:rPr>
          <w:spacing w:val="-3"/>
          <w:sz w:val="24"/>
        </w:rPr>
        <w:t>进入水体</w:t>
      </w:r>
      <w:r>
        <w:rPr>
          <w:rFonts w:hint="eastAsia"/>
          <w:spacing w:val="-3"/>
          <w:sz w:val="24"/>
        </w:rPr>
        <w:t>。</w:t>
      </w:r>
    </w:p>
    <w:p w14:paraId="06C04DC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5.2.</w:t>
      </w:r>
      <w:r>
        <w:rPr>
          <w:rFonts w:ascii="Times New Roman" w:eastAsia="黑体" w:hAnsi="Times New Roman" w:cs="Times New Roman" w:hint="eastAsia"/>
          <w:b w:val="0"/>
          <w:sz w:val="24"/>
          <w:szCs w:val="24"/>
        </w:rPr>
        <w:t>6</w:t>
      </w:r>
      <w:r>
        <w:rPr>
          <w:rFonts w:ascii="Times New Roman" w:eastAsia="黑体" w:hAnsi="Times New Roman" w:cs="Times New Roman"/>
          <w:b w:val="0"/>
          <w:sz w:val="24"/>
          <w:szCs w:val="24"/>
        </w:rPr>
        <w:t>.3</w:t>
      </w:r>
      <w:r>
        <w:rPr>
          <w:rFonts w:ascii="Times New Roman" w:eastAsia="黑体" w:hAnsi="Times New Roman" w:cs="Times New Roman"/>
          <w:b w:val="0"/>
          <w:sz w:val="24"/>
          <w:szCs w:val="24"/>
        </w:rPr>
        <w:t>环境风险分析</w:t>
      </w:r>
    </w:p>
    <w:p w14:paraId="1A759B33"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hint="eastAsia"/>
        </w:rPr>
        <w:t>次</w:t>
      </w:r>
      <w:r>
        <w:rPr>
          <w:rFonts w:ascii="Times New Roman" w:hAnsiTheme="minorEastAsia" w:cs="Times New Roman"/>
        </w:rPr>
        <w:t>氯酸钠为无色结晶或白色颗粒，易溶于水，在中性或弱碱性溶液中氧化力非常低，但在酸性溶液中或有诱导氧化剂和催化剂存在时，则是强氧化剂。与酸类作用放出二氧化氯。有极强的氧化力，</w:t>
      </w:r>
      <w:r>
        <w:rPr>
          <w:rFonts w:ascii="Times New Roman" w:hAnsiTheme="minorEastAsia" w:cs="Times New Roman"/>
        </w:rPr>
        <w:t>300</w:t>
      </w:r>
      <w:r>
        <w:rPr>
          <w:rFonts w:ascii="Times New Roman" w:hAnsiTheme="minorEastAsia" w:cs="Times New Roman"/>
        </w:rPr>
        <w:t>℃以上分解出氧气。氯酸钠不稳定。与磷、硫、有机物或还原性物质摩擦或者撞击时易发生燃烧和爆炸，易吸潮结块，有毒。</w:t>
      </w:r>
    </w:p>
    <w:p w14:paraId="2CCFB252"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hint="eastAsia"/>
        </w:rPr>
        <w:t>次氯酸钠使用过程中泄漏会影响对水体造成不利影响。</w:t>
      </w:r>
    </w:p>
    <w:p w14:paraId="36F8AF82"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5.2.</w:t>
      </w:r>
      <w:r>
        <w:rPr>
          <w:rFonts w:ascii="Times New Roman" w:eastAsia="黑体" w:hAnsi="Times New Roman" w:cs="Times New Roman" w:hint="eastAsia"/>
          <w:b w:val="0"/>
          <w:sz w:val="24"/>
          <w:szCs w:val="24"/>
        </w:rPr>
        <w:t>6</w:t>
      </w:r>
      <w:r>
        <w:rPr>
          <w:rFonts w:ascii="Times New Roman" w:eastAsia="黑体" w:hAnsi="Times New Roman" w:cs="Times New Roman"/>
          <w:b w:val="0"/>
          <w:sz w:val="24"/>
          <w:szCs w:val="24"/>
        </w:rPr>
        <w:t>.4</w:t>
      </w:r>
      <w:r>
        <w:rPr>
          <w:rFonts w:ascii="Times New Roman" w:eastAsia="黑体" w:hAnsi="Times New Roman" w:cs="Times New Roman"/>
          <w:b w:val="0"/>
          <w:sz w:val="24"/>
          <w:szCs w:val="24"/>
        </w:rPr>
        <w:t>风险防范措施及应急要求</w:t>
      </w:r>
    </w:p>
    <w:p w14:paraId="7D71DF25" w14:textId="77777777" w:rsidR="00B14D53" w:rsidRDefault="00000000">
      <w:pPr>
        <w:pStyle w:val="afff"/>
        <w:adjustRightInd/>
        <w:snapToGrid/>
        <w:rPr>
          <w:rFonts w:ascii="Times New Roman" w:hAnsiTheme="minorEastAsia" w:cs="Times New Roman" w:hint="eastAsia"/>
        </w:rPr>
      </w:pPr>
      <w:r>
        <w:rPr>
          <w:rFonts w:ascii="Times New Roman" w:hAnsiTheme="minorEastAsia" w:cs="Times New Roman" w:hint="eastAsia"/>
        </w:rPr>
        <w:t>外购袋装固态次氯酸钠，存放于药剂存放间内，避免存放过程泄漏污染。使用过程中如次</w:t>
      </w:r>
      <w:r>
        <w:rPr>
          <w:rFonts w:ascii="Times New Roman" w:hAnsiTheme="minorEastAsia" w:cs="Times New Roman"/>
        </w:rPr>
        <w:t>氯酸钠发生泄漏，应隔离泄漏污染区，限制出入。建议应急处理人员戴自给式呼吸器，穿一般工作服。不要直接接触泄漏物，勿使泄漏物与有机物、还原剂、易燃物接触。小量泄漏：避免扬尘，用洁净的铲子收集于干燥、洁净、有盖的容器中。大量泄漏：收集回收或运至废物处理场所处置。</w:t>
      </w:r>
    </w:p>
    <w:p w14:paraId="148A953E" w14:textId="77777777" w:rsidR="00B14D53" w:rsidRDefault="00000000">
      <w:pPr>
        <w:spacing w:line="360" w:lineRule="auto"/>
        <w:ind w:firstLineChars="200" w:firstLine="480"/>
        <w:rPr>
          <w:rFonts w:eastAsiaTheme="minorEastAsia"/>
          <w:sz w:val="24"/>
          <w:szCs w:val="20"/>
        </w:rPr>
      </w:pPr>
      <w:r>
        <w:rPr>
          <w:rFonts w:eastAsiaTheme="minorEastAsia" w:hAnsiTheme="minorEastAsia"/>
          <w:sz w:val="24"/>
          <w:szCs w:val="20"/>
        </w:rPr>
        <w:t>在严格落实应急措施后，可将风险发生的概率和影响后果降到最低限度。一旦发生事故，及时采取应急措施，可将对大气和地下水的影响降到最低限度，其风险水平可以被接受。</w:t>
      </w:r>
    </w:p>
    <w:p w14:paraId="238C164F"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5.2.</w:t>
      </w:r>
      <w:r>
        <w:rPr>
          <w:rFonts w:ascii="Times New Roman" w:eastAsia="黑体" w:hAnsi="Times New Roman" w:cs="Times New Roman" w:hint="eastAsia"/>
          <w:b w:val="0"/>
          <w:sz w:val="24"/>
          <w:szCs w:val="24"/>
        </w:rPr>
        <w:t>6</w:t>
      </w:r>
      <w:r>
        <w:rPr>
          <w:rFonts w:ascii="Times New Roman" w:eastAsia="黑体" w:hAnsi="Times New Roman" w:cs="Times New Roman"/>
          <w:b w:val="0"/>
          <w:sz w:val="24"/>
          <w:szCs w:val="24"/>
        </w:rPr>
        <w:t>.5</w:t>
      </w:r>
      <w:r>
        <w:rPr>
          <w:rFonts w:ascii="Times New Roman" w:eastAsia="黑体" w:hAnsi="Times New Roman" w:cs="Times New Roman"/>
          <w:b w:val="0"/>
          <w:sz w:val="24"/>
          <w:szCs w:val="24"/>
        </w:rPr>
        <w:t>分析结论</w:t>
      </w:r>
    </w:p>
    <w:p w14:paraId="5040A3AC" w14:textId="77777777" w:rsidR="00B14D53" w:rsidRDefault="00000000">
      <w:pPr>
        <w:widowControl/>
        <w:kinsoku w:val="0"/>
        <w:autoSpaceDE w:val="0"/>
        <w:autoSpaceDN w:val="0"/>
        <w:adjustRightInd w:val="0"/>
        <w:snapToGrid w:val="0"/>
        <w:spacing w:line="360" w:lineRule="auto"/>
        <w:ind w:firstLine="481"/>
        <w:jc w:val="left"/>
        <w:textAlignment w:val="baseline"/>
        <w:rPr>
          <w:rFonts w:eastAsiaTheme="minorEastAsia"/>
          <w:kern w:val="0"/>
          <w:sz w:val="24"/>
        </w:rPr>
      </w:pPr>
      <w:r>
        <w:rPr>
          <w:spacing w:val="-2"/>
          <w:sz w:val="24"/>
        </w:rPr>
        <w:t>本项目涉及的环境风险性影响因素在采取相应的防范措施后，通过采取保护措施和风险应急预案，本项目将能有效的防止事故的发生。一旦发生事故，依靠安全防护设施</w:t>
      </w:r>
      <w:r>
        <w:rPr>
          <w:spacing w:val="-2"/>
          <w:sz w:val="24"/>
        </w:rPr>
        <w:t xml:space="preserve"> </w:t>
      </w:r>
      <w:r>
        <w:rPr>
          <w:spacing w:val="-2"/>
          <w:sz w:val="24"/>
        </w:rPr>
        <w:t>和事故应急措施也能及时控制事故，防止事故的蔓延。只要严格遵守各项规程制度，事</w:t>
      </w:r>
      <w:r>
        <w:rPr>
          <w:spacing w:val="-2"/>
          <w:sz w:val="24"/>
        </w:rPr>
        <w:t xml:space="preserve"> </w:t>
      </w:r>
      <w:r>
        <w:rPr>
          <w:spacing w:val="-2"/>
          <w:sz w:val="24"/>
        </w:rPr>
        <w:t>故应急预案和防治措施到位，项目能最大限度地减少可能发生的环境风险。因此，项目在落实环评提出各项措施和要求的前提下，环境风险事故影响在可接受范围内</w:t>
      </w:r>
      <w:r>
        <w:rPr>
          <w:rFonts w:eastAsiaTheme="minorEastAsia" w:hAnsiTheme="minorEastAsia"/>
          <w:kern w:val="0"/>
          <w:sz w:val="24"/>
        </w:rPr>
        <w:t>。</w:t>
      </w:r>
    </w:p>
    <w:p w14:paraId="5AD3E88E" w14:textId="77777777" w:rsidR="00B14D53" w:rsidRDefault="00000000">
      <w:pPr>
        <w:jc w:val="center"/>
        <w:rPr>
          <w:b/>
          <w:bCs/>
        </w:rPr>
      </w:pPr>
      <w:r>
        <w:rPr>
          <w:rFonts w:hint="eastAsia"/>
          <w:b/>
          <w:bCs/>
        </w:rPr>
        <w:t>表</w:t>
      </w:r>
      <w:r>
        <w:rPr>
          <w:rFonts w:hint="eastAsia"/>
          <w:b/>
          <w:bCs/>
        </w:rPr>
        <w:t xml:space="preserve">5-2-29 </w:t>
      </w:r>
      <w:r>
        <w:rPr>
          <w:rFonts w:hint="eastAsia"/>
          <w:b/>
          <w:bCs/>
        </w:rPr>
        <w:t>建设项目环境风险简单分析内容表</w:t>
      </w:r>
    </w:p>
    <w:tbl>
      <w:tblPr>
        <w:tblW w:w="0" w:type="auto"/>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648"/>
        <w:gridCol w:w="1378"/>
        <w:gridCol w:w="1546"/>
        <w:gridCol w:w="1215"/>
        <w:gridCol w:w="1333"/>
        <w:gridCol w:w="1186"/>
      </w:tblGrid>
      <w:tr w:rsidR="00B14D53" w14:paraId="708256DB" w14:textId="77777777">
        <w:trPr>
          <w:trHeight w:val="225"/>
          <w:jc w:val="center"/>
        </w:trPr>
        <w:tc>
          <w:tcPr>
            <w:tcW w:w="1648" w:type="dxa"/>
            <w:vAlign w:val="center"/>
          </w:tcPr>
          <w:p w14:paraId="0E8D7F15" w14:textId="77777777" w:rsidR="00B14D53" w:rsidRDefault="00000000">
            <w:pPr>
              <w:jc w:val="center"/>
              <w:rPr>
                <w:rFonts w:eastAsiaTheme="minorEastAsia"/>
                <w:b/>
                <w:bCs/>
                <w:szCs w:val="21"/>
              </w:rPr>
            </w:pPr>
            <w:r>
              <w:rPr>
                <w:rFonts w:eastAsiaTheme="minorEastAsia" w:hAnsiTheme="minorEastAsia"/>
                <w:b/>
                <w:bCs/>
                <w:szCs w:val="21"/>
              </w:rPr>
              <w:t>建设项目名称</w:t>
            </w:r>
          </w:p>
        </w:tc>
        <w:tc>
          <w:tcPr>
            <w:tcW w:w="6658" w:type="dxa"/>
            <w:gridSpan w:val="5"/>
            <w:vAlign w:val="center"/>
          </w:tcPr>
          <w:p w14:paraId="655106E4" w14:textId="77777777" w:rsidR="00B14D53" w:rsidRDefault="00000000">
            <w:pPr>
              <w:jc w:val="center"/>
              <w:rPr>
                <w:rFonts w:eastAsiaTheme="minorEastAsia"/>
                <w:b/>
                <w:bCs/>
                <w:szCs w:val="21"/>
              </w:rPr>
            </w:pPr>
            <w:r>
              <w:rPr>
                <w:rFonts w:eastAsiaTheme="minorEastAsia" w:hAnsiTheme="minorEastAsia" w:hint="eastAsia"/>
                <w:b/>
                <w:bCs/>
                <w:szCs w:val="21"/>
              </w:rPr>
              <w:t>五常市三元肉类加工有限公司建设项目</w:t>
            </w:r>
          </w:p>
        </w:tc>
      </w:tr>
      <w:tr w:rsidR="00B14D53" w14:paraId="61C05EF0" w14:textId="77777777">
        <w:trPr>
          <w:trHeight w:val="48"/>
          <w:jc w:val="center"/>
        </w:trPr>
        <w:tc>
          <w:tcPr>
            <w:tcW w:w="1648" w:type="dxa"/>
            <w:vAlign w:val="center"/>
          </w:tcPr>
          <w:p w14:paraId="534AFD54" w14:textId="77777777" w:rsidR="00B14D53" w:rsidRDefault="00000000">
            <w:pPr>
              <w:jc w:val="center"/>
              <w:rPr>
                <w:rFonts w:eastAsiaTheme="minorEastAsia"/>
                <w:szCs w:val="21"/>
              </w:rPr>
            </w:pPr>
            <w:r>
              <w:rPr>
                <w:rFonts w:eastAsiaTheme="minorEastAsia" w:hAnsiTheme="minorEastAsia"/>
                <w:szCs w:val="21"/>
              </w:rPr>
              <w:t>建设地点</w:t>
            </w:r>
          </w:p>
        </w:tc>
        <w:tc>
          <w:tcPr>
            <w:tcW w:w="1378" w:type="dxa"/>
            <w:vAlign w:val="center"/>
          </w:tcPr>
          <w:p w14:paraId="7EE55D66" w14:textId="77777777" w:rsidR="00B14D53" w:rsidRDefault="00000000">
            <w:pPr>
              <w:jc w:val="center"/>
              <w:rPr>
                <w:rFonts w:eastAsiaTheme="minorEastAsia"/>
                <w:szCs w:val="21"/>
              </w:rPr>
            </w:pPr>
            <w:r>
              <w:rPr>
                <w:rFonts w:eastAsiaTheme="minorEastAsia" w:hAnsiTheme="minorEastAsia"/>
                <w:szCs w:val="21"/>
              </w:rPr>
              <w:t>（黑龙江）省</w:t>
            </w:r>
          </w:p>
        </w:tc>
        <w:tc>
          <w:tcPr>
            <w:tcW w:w="1546" w:type="dxa"/>
            <w:vAlign w:val="center"/>
          </w:tcPr>
          <w:p w14:paraId="403D02BF" w14:textId="77777777" w:rsidR="00B14D53" w:rsidRDefault="00000000">
            <w:pPr>
              <w:jc w:val="center"/>
              <w:rPr>
                <w:rFonts w:eastAsiaTheme="minorEastAsia"/>
                <w:szCs w:val="21"/>
              </w:rPr>
            </w:pPr>
            <w:r>
              <w:rPr>
                <w:rFonts w:eastAsiaTheme="minorEastAsia" w:hAnsiTheme="minorEastAsia"/>
                <w:szCs w:val="21"/>
              </w:rPr>
              <w:t>（</w:t>
            </w:r>
            <w:r>
              <w:rPr>
                <w:rFonts w:eastAsiaTheme="minorEastAsia" w:hAnsiTheme="minorEastAsia" w:hint="eastAsia"/>
                <w:szCs w:val="21"/>
              </w:rPr>
              <w:t>哈尔滨</w:t>
            </w:r>
            <w:r>
              <w:rPr>
                <w:rFonts w:eastAsiaTheme="minorEastAsia" w:hAnsiTheme="minorEastAsia"/>
                <w:szCs w:val="21"/>
              </w:rPr>
              <w:t>）市</w:t>
            </w:r>
          </w:p>
        </w:tc>
        <w:tc>
          <w:tcPr>
            <w:tcW w:w="1215" w:type="dxa"/>
            <w:vAlign w:val="center"/>
          </w:tcPr>
          <w:p w14:paraId="7F9F3A6A" w14:textId="77777777" w:rsidR="00B14D53" w:rsidRDefault="00000000">
            <w:pPr>
              <w:jc w:val="center"/>
              <w:rPr>
                <w:rFonts w:eastAsiaTheme="minorEastAsia"/>
                <w:szCs w:val="21"/>
              </w:rPr>
            </w:pPr>
            <w:r>
              <w:rPr>
                <w:rFonts w:eastAsiaTheme="minorEastAsia" w:hAnsiTheme="minorEastAsia"/>
                <w:szCs w:val="21"/>
              </w:rPr>
              <w:t>（</w:t>
            </w:r>
            <w:r>
              <w:rPr>
                <w:rFonts w:eastAsiaTheme="minorEastAsia" w:hAnsiTheme="minorEastAsia" w:hint="eastAsia"/>
                <w:szCs w:val="21"/>
              </w:rPr>
              <w:t>五常</w:t>
            </w:r>
            <w:r>
              <w:rPr>
                <w:rFonts w:eastAsiaTheme="minorEastAsia" w:hAnsiTheme="minorEastAsia"/>
                <w:szCs w:val="21"/>
              </w:rPr>
              <w:t>）</w:t>
            </w:r>
            <w:r>
              <w:rPr>
                <w:rFonts w:eastAsiaTheme="minorEastAsia" w:hAnsiTheme="minorEastAsia" w:hint="eastAsia"/>
                <w:szCs w:val="21"/>
              </w:rPr>
              <w:t>市</w:t>
            </w:r>
          </w:p>
        </w:tc>
        <w:tc>
          <w:tcPr>
            <w:tcW w:w="1333" w:type="dxa"/>
            <w:vAlign w:val="center"/>
          </w:tcPr>
          <w:p w14:paraId="1A90FD54" w14:textId="77777777" w:rsidR="00B14D53" w:rsidRDefault="00000000">
            <w:pPr>
              <w:jc w:val="center"/>
              <w:rPr>
                <w:rFonts w:eastAsiaTheme="minorEastAsia"/>
                <w:szCs w:val="21"/>
              </w:rPr>
            </w:pPr>
            <w:r>
              <w:rPr>
                <w:rFonts w:eastAsiaTheme="minorEastAsia" w:hAnsiTheme="minorEastAsia"/>
                <w:szCs w:val="21"/>
              </w:rPr>
              <w:t>（</w:t>
            </w:r>
            <w:r>
              <w:rPr>
                <w:rFonts w:eastAsiaTheme="minorEastAsia" w:hAnsiTheme="minorEastAsia" w:hint="eastAsia"/>
                <w:kern w:val="0"/>
                <w:szCs w:val="21"/>
              </w:rPr>
              <w:t>山河</w:t>
            </w:r>
            <w:r>
              <w:rPr>
                <w:rFonts w:eastAsiaTheme="minorEastAsia" w:hAnsiTheme="minorEastAsia"/>
                <w:szCs w:val="21"/>
              </w:rPr>
              <w:t>）镇</w:t>
            </w:r>
          </w:p>
        </w:tc>
        <w:tc>
          <w:tcPr>
            <w:tcW w:w="1186" w:type="dxa"/>
            <w:vAlign w:val="center"/>
          </w:tcPr>
          <w:p w14:paraId="47534D11" w14:textId="77777777" w:rsidR="00B14D53" w:rsidRDefault="00000000">
            <w:pPr>
              <w:jc w:val="center"/>
              <w:rPr>
                <w:rFonts w:eastAsiaTheme="minorEastAsia"/>
                <w:szCs w:val="21"/>
              </w:rPr>
            </w:pPr>
            <w:r>
              <w:rPr>
                <w:rFonts w:eastAsiaTheme="minorEastAsia" w:hAnsiTheme="minorEastAsia"/>
                <w:szCs w:val="21"/>
              </w:rPr>
              <w:t>（）园区</w:t>
            </w:r>
          </w:p>
        </w:tc>
      </w:tr>
      <w:tr w:rsidR="00B14D53" w14:paraId="16CECF7C" w14:textId="77777777">
        <w:trPr>
          <w:trHeight w:val="50"/>
          <w:jc w:val="center"/>
        </w:trPr>
        <w:tc>
          <w:tcPr>
            <w:tcW w:w="1648" w:type="dxa"/>
            <w:vAlign w:val="center"/>
          </w:tcPr>
          <w:p w14:paraId="2C070E41" w14:textId="77777777" w:rsidR="00B14D53" w:rsidRDefault="00000000">
            <w:pPr>
              <w:jc w:val="center"/>
              <w:rPr>
                <w:rFonts w:eastAsiaTheme="minorEastAsia"/>
                <w:szCs w:val="21"/>
              </w:rPr>
            </w:pPr>
            <w:r>
              <w:rPr>
                <w:rFonts w:eastAsiaTheme="minorEastAsia" w:hAnsiTheme="minorEastAsia"/>
                <w:szCs w:val="21"/>
              </w:rPr>
              <w:t>地理坐标</w:t>
            </w:r>
          </w:p>
        </w:tc>
        <w:tc>
          <w:tcPr>
            <w:tcW w:w="1378" w:type="dxa"/>
            <w:vAlign w:val="center"/>
          </w:tcPr>
          <w:p w14:paraId="25BAB120" w14:textId="77777777" w:rsidR="00B14D53" w:rsidRDefault="00000000">
            <w:pPr>
              <w:jc w:val="center"/>
              <w:rPr>
                <w:rFonts w:eastAsiaTheme="minorEastAsia"/>
                <w:szCs w:val="21"/>
              </w:rPr>
            </w:pPr>
            <w:r>
              <w:rPr>
                <w:rFonts w:eastAsiaTheme="minorEastAsia" w:hAnsiTheme="minorEastAsia"/>
                <w:szCs w:val="21"/>
              </w:rPr>
              <w:t>经度</w:t>
            </w:r>
          </w:p>
        </w:tc>
        <w:tc>
          <w:tcPr>
            <w:tcW w:w="1546" w:type="dxa"/>
            <w:vAlign w:val="center"/>
          </w:tcPr>
          <w:p w14:paraId="0629E67B" w14:textId="77777777" w:rsidR="00B14D53" w:rsidRDefault="00000000">
            <w:pPr>
              <w:jc w:val="center"/>
              <w:rPr>
                <w:rFonts w:eastAsiaTheme="minorEastAsia"/>
                <w:bCs/>
                <w:szCs w:val="21"/>
              </w:rPr>
            </w:pPr>
            <w:r>
              <w:rPr>
                <w:rFonts w:eastAsiaTheme="minorEastAsia" w:hint="eastAsia"/>
                <w:bCs/>
                <w:szCs w:val="21"/>
              </w:rPr>
              <w:t>127.219072</w:t>
            </w:r>
          </w:p>
        </w:tc>
        <w:tc>
          <w:tcPr>
            <w:tcW w:w="1215" w:type="dxa"/>
            <w:vAlign w:val="center"/>
          </w:tcPr>
          <w:p w14:paraId="107BA599" w14:textId="77777777" w:rsidR="00B14D53" w:rsidRDefault="00000000">
            <w:pPr>
              <w:jc w:val="center"/>
              <w:rPr>
                <w:rFonts w:eastAsiaTheme="minorEastAsia"/>
                <w:szCs w:val="21"/>
              </w:rPr>
            </w:pPr>
            <w:r>
              <w:rPr>
                <w:rFonts w:eastAsiaTheme="minorEastAsia" w:hAnsiTheme="minorEastAsia"/>
                <w:szCs w:val="21"/>
              </w:rPr>
              <w:t>纬度</w:t>
            </w:r>
          </w:p>
        </w:tc>
        <w:tc>
          <w:tcPr>
            <w:tcW w:w="2519" w:type="dxa"/>
            <w:gridSpan w:val="2"/>
            <w:vAlign w:val="center"/>
          </w:tcPr>
          <w:p w14:paraId="728C98CC" w14:textId="77777777" w:rsidR="00B14D53" w:rsidRDefault="00000000">
            <w:pPr>
              <w:jc w:val="center"/>
              <w:rPr>
                <w:rFonts w:eastAsiaTheme="minorEastAsia"/>
                <w:bCs/>
                <w:szCs w:val="21"/>
              </w:rPr>
            </w:pPr>
            <w:r>
              <w:rPr>
                <w:rFonts w:eastAsiaTheme="minorEastAsia" w:hint="eastAsia"/>
                <w:bCs/>
                <w:szCs w:val="21"/>
              </w:rPr>
              <w:t>44.698208</w:t>
            </w:r>
          </w:p>
        </w:tc>
      </w:tr>
      <w:tr w:rsidR="00B14D53" w14:paraId="39C74D27" w14:textId="77777777">
        <w:trPr>
          <w:trHeight w:val="303"/>
          <w:jc w:val="center"/>
        </w:trPr>
        <w:tc>
          <w:tcPr>
            <w:tcW w:w="1648" w:type="dxa"/>
            <w:vAlign w:val="center"/>
          </w:tcPr>
          <w:p w14:paraId="16FA87D0" w14:textId="77777777" w:rsidR="00B14D53" w:rsidRDefault="00000000">
            <w:pPr>
              <w:jc w:val="center"/>
              <w:rPr>
                <w:rFonts w:eastAsiaTheme="minorEastAsia"/>
                <w:szCs w:val="21"/>
              </w:rPr>
            </w:pPr>
            <w:r>
              <w:rPr>
                <w:rFonts w:eastAsiaTheme="minorEastAsia" w:hAnsiTheme="minorEastAsia"/>
                <w:szCs w:val="21"/>
              </w:rPr>
              <w:t>主要危险物质及分布</w:t>
            </w:r>
          </w:p>
        </w:tc>
        <w:tc>
          <w:tcPr>
            <w:tcW w:w="6658" w:type="dxa"/>
            <w:gridSpan w:val="5"/>
            <w:vAlign w:val="center"/>
          </w:tcPr>
          <w:p w14:paraId="24390025" w14:textId="77777777" w:rsidR="00B14D53" w:rsidRDefault="00000000">
            <w:pPr>
              <w:jc w:val="center"/>
              <w:rPr>
                <w:rFonts w:eastAsiaTheme="minorEastAsia"/>
                <w:szCs w:val="21"/>
              </w:rPr>
            </w:pPr>
            <w:r>
              <w:rPr>
                <w:rFonts w:eastAsiaTheme="minorEastAsia" w:hint="eastAsia"/>
                <w:szCs w:val="21"/>
              </w:rPr>
              <w:t>次氯酸钠固体袋装存放于药剂存储间内</w:t>
            </w:r>
          </w:p>
        </w:tc>
      </w:tr>
      <w:tr w:rsidR="00B14D53" w14:paraId="57A570DC" w14:textId="77777777">
        <w:trPr>
          <w:trHeight w:val="303"/>
          <w:jc w:val="center"/>
        </w:trPr>
        <w:tc>
          <w:tcPr>
            <w:tcW w:w="1648" w:type="dxa"/>
            <w:vAlign w:val="center"/>
          </w:tcPr>
          <w:p w14:paraId="2DE7B679" w14:textId="77777777" w:rsidR="00B14D53" w:rsidRDefault="00000000">
            <w:pPr>
              <w:jc w:val="center"/>
              <w:rPr>
                <w:rFonts w:eastAsiaTheme="minorEastAsia"/>
                <w:szCs w:val="21"/>
              </w:rPr>
            </w:pPr>
            <w:r>
              <w:rPr>
                <w:rFonts w:eastAsiaTheme="minorEastAsia" w:hAnsiTheme="minorEastAsia"/>
                <w:szCs w:val="21"/>
              </w:rPr>
              <w:t>环境影响途径及危害后果</w:t>
            </w:r>
          </w:p>
          <w:p w14:paraId="2D50099D" w14:textId="77777777" w:rsidR="00B14D53" w:rsidRDefault="00000000">
            <w:pPr>
              <w:jc w:val="center"/>
              <w:rPr>
                <w:rFonts w:eastAsiaTheme="minorEastAsia"/>
                <w:szCs w:val="21"/>
              </w:rPr>
            </w:pPr>
            <w:r>
              <w:rPr>
                <w:rFonts w:eastAsiaTheme="minorEastAsia" w:hAnsiTheme="minorEastAsia"/>
                <w:szCs w:val="21"/>
              </w:rPr>
              <w:t>（大气、地表水、地下水等）</w:t>
            </w:r>
          </w:p>
        </w:tc>
        <w:tc>
          <w:tcPr>
            <w:tcW w:w="6658" w:type="dxa"/>
            <w:gridSpan w:val="5"/>
            <w:vAlign w:val="center"/>
          </w:tcPr>
          <w:p w14:paraId="728D94B6" w14:textId="77777777" w:rsidR="00B14D53" w:rsidRDefault="00000000">
            <w:pPr>
              <w:rPr>
                <w:rFonts w:eastAsiaTheme="minorEastAsia"/>
                <w:szCs w:val="21"/>
              </w:rPr>
            </w:pPr>
            <w:r>
              <w:rPr>
                <w:rFonts w:eastAsiaTheme="minorEastAsia" w:hint="eastAsia"/>
                <w:szCs w:val="21"/>
              </w:rPr>
              <w:t>次</w:t>
            </w:r>
            <w:r>
              <w:rPr>
                <w:rFonts w:eastAsiaTheme="minorEastAsia"/>
                <w:szCs w:val="21"/>
              </w:rPr>
              <w:t>氯酸钠为无色结晶或白色颗粒，易溶于水，在中性或弱碱性溶液中氧化力非常低，但在酸性溶液中或有诱导氧化剂和催化剂存在时，则是强氧化剂。与酸类作用放出二氧化氯。有极强的氧化力，</w:t>
            </w:r>
            <w:r>
              <w:rPr>
                <w:rFonts w:eastAsiaTheme="minorEastAsia"/>
                <w:szCs w:val="21"/>
              </w:rPr>
              <w:t>300℃</w:t>
            </w:r>
            <w:r>
              <w:rPr>
                <w:rFonts w:eastAsiaTheme="minorEastAsia"/>
                <w:szCs w:val="21"/>
              </w:rPr>
              <w:t>以上分解出氧气。氯酸钠不稳定。与磷、硫、有机物或还原性物质摩擦或者撞击时易发生燃烧和爆炸，易吸潮结块，有毒。</w:t>
            </w:r>
          </w:p>
          <w:p w14:paraId="3C8F11AA" w14:textId="77777777" w:rsidR="00B14D53" w:rsidRDefault="00000000">
            <w:pPr>
              <w:rPr>
                <w:rFonts w:eastAsiaTheme="minorEastAsia"/>
                <w:szCs w:val="21"/>
              </w:rPr>
            </w:pPr>
            <w:r>
              <w:rPr>
                <w:rFonts w:eastAsiaTheme="minorEastAsia" w:hint="eastAsia"/>
                <w:szCs w:val="21"/>
              </w:rPr>
              <w:t>次氯酸钠使用过程中泄漏会影响对水体造成不利影响。</w:t>
            </w:r>
          </w:p>
        </w:tc>
      </w:tr>
      <w:tr w:rsidR="00B14D53" w14:paraId="0CDF3A96" w14:textId="77777777">
        <w:trPr>
          <w:trHeight w:val="1618"/>
          <w:jc w:val="center"/>
        </w:trPr>
        <w:tc>
          <w:tcPr>
            <w:tcW w:w="1648" w:type="dxa"/>
            <w:vAlign w:val="center"/>
          </w:tcPr>
          <w:p w14:paraId="00E79A6B" w14:textId="77777777" w:rsidR="00B14D53" w:rsidRDefault="00000000">
            <w:pPr>
              <w:jc w:val="center"/>
              <w:rPr>
                <w:rFonts w:eastAsiaTheme="minorEastAsia"/>
                <w:szCs w:val="21"/>
              </w:rPr>
            </w:pPr>
            <w:r>
              <w:rPr>
                <w:rFonts w:eastAsiaTheme="minorEastAsia" w:hAnsiTheme="minorEastAsia"/>
                <w:szCs w:val="21"/>
              </w:rPr>
              <w:t>风险防范</w:t>
            </w:r>
          </w:p>
          <w:p w14:paraId="501B9CF6" w14:textId="77777777" w:rsidR="00B14D53" w:rsidRDefault="00000000">
            <w:pPr>
              <w:jc w:val="center"/>
              <w:rPr>
                <w:rFonts w:eastAsiaTheme="minorEastAsia"/>
                <w:szCs w:val="21"/>
              </w:rPr>
            </w:pPr>
            <w:r>
              <w:rPr>
                <w:rFonts w:eastAsiaTheme="minorEastAsia" w:hAnsiTheme="minorEastAsia"/>
                <w:szCs w:val="21"/>
              </w:rPr>
              <w:t>措施要求</w:t>
            </w:r>
          </w:p>
        </w:tc>
        <w:tc>
          <w:tcPr>
            <w:tcW w:w="6658" w:type="dxa"/>
            <w:gridSpan w:val="5"/>
            <w:vAlign w:val="center"/>
          </w:tcPr>
          <w:p w14:paraId="4E617C02" w14:textId="77777777" w:rsidR="00B14D53" w:rsidRDefault="00000000">
            <w:pPr>
              <w:rPr>
                <w:rFonts w:eastAsiaTheme="minorEastAsia"/>
                <w:szCs w:val="21"/>
              </w:rPr>
            </w:pPr>
            <w:r>
              <w:rPr>
                <w:rFonts w:hAnsiTheme="minorEastAsia" w:hint="eastAsia"/>
              </w:rPr>
              <w:t>外购袋装固态次氯酸钠，存放于药剂存放间内，避免存放过程泄漏污染。使用过程中如次</w:t>
            </w:r>
            <w:r>
              <w:rPr>
                <w:rFonts w:hAnsiTheme="minorEastAsia"/>
              </w:rPr>
              <w:t>氯酸钠发生泄漏，应隔离泄漏污染区，限制出入。建议应急处理人员戴自给式呼吸器，穿一般工作服。不要直接接触泄漏物，勿使泄漏物与有机物、还原剂、易燃物接触。小量泄漏：避免扬尘，用洁净的铲子收集于干燥、洁净、有盖的容器中。大量泄漏：收集回收或运至废物处理场所处置</w:t>
            </w:r>
          </w:p>
        </w:tc>
      </w:tr>
      <w:tr w:rsidR="00B14D53" w14:paraId="60059005" w14:textId="77777777">
        <w:trPr>
          <w:trHeight w:val="48"/>
          <w:jc w:val="center"/>
        </w:trPr>
        <w:tc>
          <w:tcPr>
            <w:tcW w:w="8306" w:type="dxa"/>
            <w:gridSpan w:val="6"/>
            <w:vAlign w:val="center"/>
          </w:tcPr>
          <w:p w14:paraId="6AD74882" w14:textId="77777777" w:rsidR="00B14D53" w:rsidRDefault="00000000">
            <w:pPr>
              <w:rPr>
                <w:rFonts w:eastAsiaTheme="minorEastAsia"/>
                <w:szCs w:val="21"/>
              </w:rPr>
            </w:pPr>
            <w:r>
              <w:rPr>
                <w:rFonts w:eastAsiaTheme="minorEastAsia" w:hAnsiTheme="minorEastAsia"/>
                <w:szCs w:val="21"/>
              </w:rPr>
              <w:t>填表说明（列出项目相关信息及评价说明）</w:t>
            </w:r>
          </w:p>
        </w:tc>
      </w:tr>
    </w:tbl>
    <w:p w14:paraId="50730621" w14:textId="77777777" w:rsidR="00B14D53" w:rsidRDefault="00B14D53">
      <w:pPr>
        <w:spacing w:line="360" w:lineRule="auto"/>
        <w:ind w:firstLineChars="177" w:firstLine="425"/>
        <w:rPr>
          <w:rFonts w:eastAsiaTheme="minorEastAsia" w:hAnsiTheme="minorEastAsia" w:hint="eastAsia"/>
          <w:sz w:val="24"/>
        </w:rPr>
      </w:pPr>
    </w:p>
    <w:p w14:paraId="67BEF28F" w14:textId="77777777" w:rsidR="00B14D53" w:rsidRDefault="00B14D53">
      <w:pPr>
        <w:spacing w:line="360" w:lineRule="auto"/>
        <w:rPr>
          <w:rFonts w:eastAsiaTheme="minorEastAsia" w:hAnsiTheme="minorEastAsia" w:hint="eastAsia"/>
          <w:sz w:val="24"/>
        </w:rPr>
        <w:sectPr w:rsidR="00B14D53">
          <w:pgSz w:w="11906" w:h="16838"/>
          <w:pgMar w:top="1440" w:right="1800" w:bottom="1440" w:left="1800" w:header="851" w:footer="397" w:gutter="0"/>
          <w:cols w:space="425"/>
          <w:docGrid w:type="lines" w:linePitch="312"/>
        </w:sectPr>
      </w:pPr>
    </w:p>
    <w:p w14:paraId="236C383C" w14:textId="77777777" w:rsidR="00B14D53" w:rsidRDefault="00000000">
      <w:pPr>
        <w:pStyle w:val="1"/>
        <w:spacing w:before="100" w:beforeAutospacing="1" w:after="0" w:line="240" w:lineRule="auto"/>
        <w:ind w:firstLineChars="200" w:firstLine="640"/>
        <w:rPr>
          <w:rFonts w:eastAsia="黑体"/>
          <w:b w:val="0"/>
          <w:bCs w:val="0"/>
          <w:sz w:val="32"/>
          <w:szCs w:val="32"/>
        </w:rPr>
      </w:pPr>
      <w:bookmarkStart w:id="233" w:name="_Toc479252821"/>
      <w:bookmarkStart w:id="234" w:name="_Toc22116"/>
      <w:bookmarkStart w:id="235" w:name="_Toc477954576"/>
      <w:r>
        <w:rPr>
          <w:rFonts w:eastAsia="黑体" w:hint="eastAsia"/>
          <w:b w:val="0"/>
          <w:bCs w:val="0"/>
          <w:sz w:val="32"/>
          <w:szCs w:val="32"/>
        </w:rPr>
        <w:t>6</w:t>
      </w:r>
      <w:r>
        <w:rPr>
          <w:rFonts w:eastAsia="黑体" w:hint="eastAsia"/>
          <w:b w:val="0"/>
          <w:bCs w:val="0"/>
          <w:sz w:val="32"/>
          <w:szCs w:val="32"/>
        </w:rPr>
        <w:t>环境保护措施及其可行性论证</w:t>
      </w:r>
      <w:bookmarkEnd w:id="233"/>
      <w:bookmarkEnd w:id="234"/>
      <w:bookmarkEnd w:id="235"/>
    </w:p>
    <w:p w14:paraId="09B618F0"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36" w:name="_Toc493664702"/>
      <w:bookmarkStart w:id="237" w:name="_Toc6671"/>
      <w:bookmarkStart w:id="238" w:name="_Toc494017094"/>
      <w:r>
        <w:rPr>
          <w:rFonts w:ascii="Times New Roman" w:eastAsia="黑体" w:hAnsi="Times New Roman" w:cs="Times New Roman"/>
          <w:b w:val="0"/>
          <w:bCs w:val="0"/>
          <w:sz w:val="30"/>
          <w:szCs w:val="30"/>
        </w:rPr>
        <w:t>6.1</w:t>
      </w:r>
      <w:r>
        <w:rPr>
          <w:rFonts w:ascii="Times New Roman" w:eastAsia="黑体" w:hAnsi="Times New Roman" w:cs="Times New Roman"/>
          <w:b w:val="0"/>
          <w:bCs w:val="0"/>
          <w:sz w:val="30"/>
          <w:szCs w:val="30"/>
        </w:rPr>
        <w:t>施工期环境保护措施及其可行性论证</w:t>
      </w:r>
      <w:bookmarkEnd w:id="236"/>
      <w:bookmarkEnd w:id="237"/>
      <w:bookmarkEnd w:id="238"/>
    </w:p>
    <w:p w14:paraId="29E75913"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6.1.1</w:t>
      </w:r>
      <w:r>
        <w:rPr>
          <w:rFonts w:ascii="Times New Roman" w:eastAsia="黑体" w:hAnsi="Times New Roman" w:cs="Times New Roman"/>
          <w:sz w:val="28"/>
          <w:szCs w:val="28"/>
        </w:rPr>
        <w:t>施工期大气环境保护措施及其可行性论证</w:t>
      </w:r>
    </w:p>
    <w:p w14:paraId="2B50F5FC"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w:t>
      </w:r>
      <w:r>
        <w:rPr>
          <w:rFonts w:eastAsiaTheme="minorEastAsia"/>
          <w:sz w:val="24"/>
        </w:rPr>
        <w:t>1</w:t>
      </w:r>
      <w:r>
        <w:rPr>
          <w:rFonts w:eastAsiaTheme="minorEastAsia" w:hAnsiTheme="minorEastAsia"/>
          <w:sz w:val="24"/>
        </w:rPr>
        <w:t>）施工现场必须使用商品混凝土、预拌砂浆，严禁现场搅拌。</w:t>
      </w:r>
    </w:p>
    <w:p w14:paraId="5BF99458"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w:t>
      </w:r>
      <w:r>
        <w:rPr>
          <w:rFonts w:eastAsiaTheme="minorEastAsia"/>
          <w:sz w:val="24"/>
        </w:rPr>
        <w:t>2</w:t>
      </w:r>
      <w:r>
        <w:rPr>
          <w:rFonts w:eastAsiaTheme="minorEastAsia" w:hAnsiTheme="minorEastAsia"/>
          <w:sz w:val="24"/>
        </w:rPr>
        <w:t>）施工现场细颗粒建筑材料必须密闭存放或严密覆盖，严禁露天放置；搬运时应有降尘措施，余料及时回收。</w:t>
      </w:r>
    </w:p>
    <w:p w14:paraId="10BCDEF8"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w:t>
      </w:r>
      <w:r>
        <w:rPr>
          <w:rFonts w:eastAsiaTheme="minorEastAsia"/>
          <w:sz w:val="24"/>
        </w:rPr>
        <w:t>3</w:t>
      </w:r>
      <w:r>
        <w:rPr>
          <w:rFonts w:eastAsiaTheme="minorEastAsia" w:hAnsiTheme="minorEastAsia"/>
          <w:sz w:val="24"/>
        </w:rPr>
        <w:t>）施工现场必须建立洒水清扫抑尘制度，配备洒水设备。</w:t>
      </w:r>
    </w:p>
    <w:p w14:paraId="38C29242"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w:t>
      </w:r>
      <w:r>
        <w:rPr>
          <w:rFonts w:eastAsiaTheme="minorEastAsia"/>
          <w:sz w:val="24"/>
        </w:rPr>
        <w:t>4</w:t>
      </w:r>
      <w:r>
        <w:rPr>
          <w:rFonts w:eastAsiaTheme="minorEastAsia" w:hAnsiTheme="minorEastAsia"/>
          <w:sz w:val="24"/>
        </w:rPr>
        <w:t>）施工现场集中堆放的土方和裸露场地必须采取覆盖、固化或绿化等降尘措施，严禁裸露。</w:t>
      </w:r>
    </w:p>
    <w:p w14:paraId="1B71B05E"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w:t>
      </w:r>
      <w:r>
        <w:rPr>
          <w:rFonts w:eastAsiaTheme="minorEastAsia"/>
          <w:sz w:val="24"/>
        </w:rPr>
        <w:t>5</w:t>
      </w:r>
      <w:r>
        <w:rPr>
          <w:rFonts w:eastAsiaTheme="minorEastAsia" w:hAnsiTheme="minorEastAsia"/>
          <w:sz w:val="24"/>
        </w:rPr>
        <w:t>）施工现场运送土方、渣土的车辆必须封闭或遮盖严密，严禁使用未办理相关手续的渣土等运输车辆，严禁沿路遗撒和随意倾倒。</w:t>
      </w:r>
    </w:p>
    <w:p w14:paraId="7387B713"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w:t>
      </w:r>
      <w:r>
        <w:rPr>
          <w:rFonts w:eastAsiaTheme="minorEastAsia"/>
          <w:sz w:val="24"/>
        </w:rPr>
        <w:t>6</w:t>
      </w:r>
      <w:r>
        <w:rPr>
          <w:rFonts w:eastAsiaTheme="minorEastAsia" w:hAnsiTheme="minorEastAsia"/>
          <w:sz w:val="24"/>
        </w:rPr>
        <w:t>）施工现场的建筑垃圾必须设置垃圾存放点，集中堆放并严密覆盖，及时清运。生活垃圾应用封闭式容器存放，日产日清，严禁随意丢弃。</w:t>
      </w:r>
    </w:p>
    <w:p w14:paraId="38874532"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w:t>
      </w:r>
      <w:r>
        <w:rPr>
          <w:rFonts w:eastAsiaTheme="minorEastAsia"/>
          <w:sz w:val="24"/>
        </w:rPr>
        <w:t>7</w:t>
      </w:r>
      <w:r>
        <w:rPr>
          <w:rFonts w:eastAsiaTheme="minorEastAsia" w:hAnsiTheme="minorEastAsia"/>
          <w:sz w:val="24"/>
        </w:rPr>
        <w:t>）</w:t>
      </w:r>
      <w:r>
        <w:rPr>
          <w:rFonts w:eastAsiaTheme="minorEastAsia" w:hAnsiTheme="minorEastAsia"/>
          <w:kern w:val="0"/>
          <w:sz w:val="24"/>
          <w:szCs w:val="20"/>
        </w:rPr>
        <w:t>加强运输车辆的维护、保养，避免尾气超标排放。</w:t>
      </w:r>
    </w:p>
    <w:p w14:paraId="38765B38"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施工期施工现场使用商品混凝土，建筑材料封闭存放，施工现场洒水抑尘，颗粒物排放浓度符合《大气污染物综合排放标准》（</w:t>
      </w:r>
      <w:r>
        <w:rPr>
          <w:rFonts w:eastAsiaTheme="minorEastAsia"/>
          <w:sz w:val="24"/>
        </w:rPr>
        <w:t>GB16297-1996</w:t>
      </w:r>
      <w:r>
        <w:rPr>
          <w:rFonts w:eastAsiaTheme="minorEastAsia" w:hAnsiTheme="minorEastAsia"/>
          <w:sz w:val="24"/>
        </w:rPr>
        <w:t>）表</w:t>
      </w:r>
      <w:r>
        <w:rPr>
          <w:rFonts w:eastAsiaTheme="minorEastAsia"/>
          <w:sz w:val="24"/>
        </w:rPr>
        <w:t>2</w:t>
      </w:r>
      <w:r>
        <w:rPr>
          <w:rFonts w:eastAsiaTheme="minorEastAsia" w:hAnsiTheme="minorEastAsia"/>
          <w:sz w:val="24"/>
        </w:rPr>
        <w:t>中无组织排放监控浓度限值要求。</w:t>
      </w:r>
    </w:p>
    <w:p w14:paraId="2F9634D5"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总之，项目只要在施工中加强管理、切实落实好这些措施，施工场地产生的扬尘影响将大大降低，同时该空气影响将随施工的结束而消失。施工期大气环境保护措施可行。</w:t>
      </w:r>
    </w:p>
    <w:p w14:paraId="30759FC7"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6.1.2</w:t>
      </w:r>
      <w:r>
        <w:rPr>
          <w:rFonts w:ascii="Times New Roman" w:eastAsia="黑体" w:hAnsi="Times New Roman" w:cs="Times New Roman"/>
          <w:bCs/>
          <w:sz w:val="28"/>
          <w:szCs w:val="28"/>
        </w:rPr>
        <w:t>施工期水环境保护措施及其可行性论证</w:t>
      </w:r>
    </w:p>
    <w:p w14:paraId="2B7F6B50" w14:textId="77777777" w:rsidR="00B14D53" w:rsidRDefault="00000000">
      <w:pPr>
        <w:spacing w:line="360" w:lineRule="auto"/>
        <w:ind w:firstLineChars="200" w:firstLine="480"/>
        <w:rPr>
          <w:rFonts w:eastAsiaTheme="minorEastAsia"/>
          <w:bCs/>
          <w:sz w:val="24"/>
        </w:rPr>
      </w:pPr>
      <w:r>
        <w:rPr>
          <w:rFonts w:eastAsiaTheme="minorEastAsia" w:hAnsiTheme="minorEastAsia"/>
          <w:bCs/>
          <w:sz w:val="24"/>
        </w:rPr>
        <w:t>工程施工期间，严禁污水乱排和污染农田、环境等。</w:t>
      </w:r>
    </w:p>
    <w:p w14:paraId="5244A39E" w14:textId="77777777" w:rsidR="00B14D53" w:rsidRDefault="00000000">
      <w:pPr>
        <w:spacing w:line="360" w:lineRule="auto"/>
        <w:ind w:firstLineChars="200" w:firstLine="480"/>
        <w:rPr>
          <w:rFonts w:eastAsiaTheme="minorEastAsia"/>
          <w:sz w:val="24"/>
        </w:rPr>
      </w:pPr>
      <w:r>
        <w:rPr>
          <w:rFonts w:eastAsiaTheme="minorEastAsia" w:hAnsiTheme="minorEastAsia"/>
          <w:bCs/>
          <w:sz w:val="24"/>
        </w:rPr>
        <w:t>同时应做好</w:t>
      </w:r>
      <w:r>
        <w:rPr>
          <w:rFonts w:eastAsiaTheme="minorEastAsia" w:hAnsiTheme="minorEastAsia"/>
          <w:sz w:val="24"/>
        </w:rPr>
        <w:t>建筑材料和建筑废料的管理，避免地面水体二次污染。在施工过程中不对机械设备的检修及冲洗，以防止设备漏油现象的发生；施工机械设备的维修应在专业厂家进行，防止施工现场地表油类污染。</w:t>
      </w:r>
    </w:p>
    <w:p w14:paraId="2E45D026" w14:textId="77777777" w:rsidR="00B14D53" w:rsidRDefault="00000000">
      <w:pPr>
        <w:spacing w:line="360" w:lineRule="auto"/>
        <w:ind w:firstLineChars="200" w:firstLine="480"/>
        <w:rPr>
          <w:rFonts w:eastAsiaTheme="minorEastAsia"/>
          <w:sz w:val="24"/>
        </w:rPr>
      </w:pPr>
      <w:r>
        <w:rPr>
          <w:rFonts w:eastAsiaTheme="minorEastAsia" w:hAnsiTheme="minorEastAsia" w:hint="eastAsia"/>
          <w:sz w:val="24"/>
        </w:rPr>
        <w:t>施工期生活污水排入市政管网</w:t>
      </w:r>
      <w:r>
        <w:rPr>
          <w:rFonts w:eastAsiaTheme="minorEastAsia" w:hAnsiTheme="minorEastAsia"/>
          <w:sz w:val="24"/>
        </w:rPr>
        <w:t>。施工期无施工废水排放到环境水体。本项目施工内容较少，施工期持续时间短，施工过程中产生的废水对周围环境不会造成影响。</w:t>
      </w:r>
    </w:p>
    <w:p w14:paraId="474EFCEC"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6.1.3</w:t>
      </w:r>
      <w:r>
        <w:rPr>
          <w:rFonts w:ascii="Times New Roman" w:eastAsia="黑体" w:hAnsi="Times New Roman" w:cs="Times New Roman"/>
          <w:bCs/>
          <w:sz w:val="28"/>
          <w:szCs w:val="28"/>
        </w:rPr>
        <w:t>施工期声环境保护措施及其可行性论证</w:t>
      </w:r>
    </w:p>
    <w:p w14:paraId="3C49CFA3"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本项目施工过程中主要产生噪声的施工机械</w:t>
      </w:r>
      <w:r>
        <w:rPr>
          <w:rFonts w:eastAsiaTheme="minorEastAsia" w:hAnsiTheme="minorEastAsia" w:hint="eastAsia"/>
          <w:bCs/>
          <w:sz w:val="24"/>
        </w:rPr>
        <w:t>有</w:t>
      </w:r>
      <w:r>
        <w:rPr>
          <w:rFonts w:eastAsiaTheme="minorEastAsia" w:hAnsiTheme="minorEastAsia"/>
          <w:bCs/>
          <w:sz w:val="24"/>
        </w:rPr>
        <w:t>电钻、压实机、振捣机、装载机、运输卡车等，根据拟建项目所在区域环境敏感点情况和受影响的程度，建设单位应针对以上具体影响情况，采取以下防护措施来减轻噪声和振动的影响：</w:t>
      </w:r>
    </w:p>
    <w:p w14:paraId="76AF7B40"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w:t>
      </w:r>
      <w:r>
        <w:rPr>
          <w:rFonts w:eastAsiaTheme="minorEastAsia"/>
          <w:bCs/>
          <w:sz w:val="24"/>
        </w:rPr>
        <w:t>1</w:t>
      </w:r>
      <w:r>
        <w:rPr>
          <w:rFonts w:eastAsiaTheme="minorEastAsia" w:hAnsiTheme="minorEastAsia"/>
          <w:bCs/>
          <w:sz w:val="24"/>
        </w:rPr>
        <w:t>）合理安排施工时间，制订施工计划时，应尽可能避免大量高噪声设备同时施工。</w:t>
      </w:r>
    </w:p>
    <w:p w14:paraId="45183AB0"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w:t>
      </w:r>
      <w:r>
        <w:rPr>
          <w:rFonts w:eastAsiaTheme="minorEastAsia"/>
          <w:bCs/>
          <w:sz w:val="24"/>
        </w:rPr>
        <w:t>2</w:t>
      </w:r>
      <w:r>
        <w:rPr>
          <w:rFonts w:eastAsiaTheme="minorEastAsia" w:hAnsiTheme="minorEastAsia"/>
          <w:bCs/>
          <w:sz w:val="24"/>
        </w:rPr>
        <w:t>）设备选型上尽量采用低噪声设备，</w:t>
      </w:r>
      <w:r>
        <w:rPr>
          <w:rFonts w:eastAsiaTheme="minorEastAsia" w:hAnsiTheme="minorEastAsia" w:hint="eastAsia"/>
          <w:bCs/>
          <w:sz w:val="24"/>
        </w:rPr>
        <w:t>如</w:t>
      </w:r>
      <w:r>
        <w:rPr>
          <w:rFonts w:eastAsiaTheme="minorEastAsia" w:hAnsiTheme="minorEastAsia"/>
          <w:bCs/>
          <w:sz w:val="24"/>
        </w:rPr>
        <w:t>振捣器采用高频振捣器等。</w:t>
      </w:r>
    </w:p>
    <w:p w14:paraId="4D905644"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w:t>
      </w:r>
      <w:r>
        <w:rPr>
          <w:rFonts w:eastAsiaTheme="minorEastAsia"/>
          <w:bCs/>
          <w:sz w:val="24"/>
        </w:rPr>
        <w:t>3</w:t>
      </w:r>
      <w:r>
        <w:rPr>
          <w:rFonts w:eastAsiaTheme="minorEastAsia" w:hAnsiTheme="minorEastAsia"/>
          <w:bCs/>
          <w:sz w:val="24"/>
        </w:rPr>
        <w:t>）装载机、运输卡车等，可通过排气管消音器的方法降低噪声。</w:t>
      </w:r>
    </w:p>
    <w:p w14:paraId="354A50DC"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w:t>
      </w:r>
      <w:r>
        <w:rPr>
          <w:rFonts w:eastAsiaTheme="minorEastAsia"/>
          <w:bCs/>
          <w:sz w:val="24"/>
        </w:rPr>
        <w:t>4</w:t>
      </w:r>
      <w:r>
        <w:rPr>
          <w:rFonts w:eastAsiaTheme="minorEastAsia" w:hAnsiTheme="minorEastAsia"/>
          <w:bCs/>
          <w:sz w:val="24"/>
        </w:rPr>
        <w:t>）对动力机械设备进行定期的维修、养护，维修不良的设备常因松动部件的振动而增加其工作时声压级。</w:t>
      </w:r>
    </w:p>
    <w:p w14:paraId="7F0CDFCF"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w:t>
      </w:r>
      <w:r>
        <w:rPr>
          <w:rFonts w:eastAsiaTheme="minorEastAsia"/>
          <w:bCs/>
          <w:sz w:val="24"/>
        </w:rPr>
        <w:t>5</w:t>
      </w:r>
      <w:r>
        <w:rPr>
          <w:rFonts w:eastAsiaTheme="minorEastAsia" w:hAnsiTheme="minorEastAsia"/>
          <w:bCs/>
          <w:sz w:val="24"/>
        </w:rPr>
        <w:t>）闲置不用的设备应立即关闭，运输车辆进入现场应减速，并减少鸣笛。</w:t>
      </w:r>
    </w:p>
    <w:p w14:paraId="2BF30AE0"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w:t>
      </w:r>
      <w:r>
        <w:rPr>
          <w:rFonts w:eastAsiaTheme="minorEastAsia"/>
          <w:bCs/>
          <w:sz w:val="24"/>
        </w:rPr>
        <w:t>6</w:t>
      </w:r>
      <w:r>
        <w:rPr>
          <w:rFonts w:eastAsiaTheme="minorEastAsia" w:hAnsiTheme="minorEastAsia"/>
          <w:bCs/>
          <w:sz w:val="24"/>
        </w:rPr>
        <w:t>）降低人为</w:t>
      </w:r>
      <w:r>
        <w:rPr>
          <w:rFonts w:eastAsiaTheme="minorEastAsia" w:hAnsiTheme="minorEastAsia" w:hint="eastAsia"/>
          <w:bCs/>
          <w:sz w:val="24"/>
        </w:rPr>
        <w:t>噪声</w:t>
      </w:r>
      <w:r>
        <w:rPr>
          <w:rFonts w:eastAsiaTheme="minorEastAsia" w:hAnsiTheme="minorEastAsia"/>
          <w:bCs/>
          <w:sz w:val="24"/>
        </w:rPr>
        <w:t>，按规定操作机械设备，遵守作业规定，减少碰撞</w:t>
      </w:r>
      <w:r>
        <w:rPr>
          <w:rFonts w:eastAsiaTheme="minorEastAsia" w:hAnsiTheme="minorEastAsia" w:hint="eastAsia"/>
          <w:bCs/>
          <w:sz w:val="24"/>
        </w:rPr>
        <w:t>噪声</w:t>
      </w:r>
      <w:r>
        <w:rPr>
          <w:rFonts w:eastAsiaTheme="minorEastAsia" w:hAnsiTheme="minorEastAsia"/>
          <w:bCs/>
          <w:sz w:val="24"/>
        </w:rPr>
        <w:t>。尽量少用哨子、钟、笛等指挥作业，而代以现代化设备。</w:t>
      </w:r>
    </w:p>
    <w:p w14:paraId="25F504D3" w14:textId="77777777" w:rsidR="00B14D53" w:rsidRDefault="00000000">
      <w:pPr>
        <w:widowControl/>
        <w:spacing w:line="360" w:lineRule="auto"/>
        <w:ind w:left="425"/>
        <w:rPr>
          <w:rFonts w:eastAsiaTheme="minorEastAsia"/>
          <w:bCs/>
          <w:sz w:val="24"/>
        </w:rPr>
      </w:pPr>
      <w:r>
        <w:rPr>
          <w:rFonts w:eastAsiaTheme="minorEastAsia" w:hAnsiTheme="minorEastAsia"/>
          <w:bCs/>
          <w:sz w:val="24"/>
        </w:rPr>
        <w:t>（</w:t>
      </w:r>
      <w:r>
        <w:rPr>
          <w:rFonts w:eastAsiaTheme="minorEastAsia"/>
          <w:bCs/>
          <w:sz w:val="24"/>
        </w:rPr>
        <w:t>7</w:t>
      </w:r>
      <w:r>
        <w:rPr>
          <w:rFonts w:eastAsiaTheme="minorEastAsia" w:hAnsiTheme="minorEastAsia"/>
          <w:bCs/>
          <w:sz w:val="24"/>
        </w:rPr>
        <w:t>）建设管理部门应加强对施工工地的噪声管理，施工企业也应对施工进行自律，文明施工，避免因施工噪声产生纠纷。</w:t>
      </w:r>
    </w:p>
    <w:p w14:paraId="43C6D723"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采取措施后场界噪声符合《建筑施工场界环境噪声排放标准》（</w:t>
      </w:r>
      <w:r>
        <w:rPr>
          <w:rFonts w:eastAsiaTheme="minorEastAsia"/>
          <w:bCs/>
          <w:sz w:val="24"/>
        </w:rPr>
        <w:t>GB12523-2011</w:t>
      </w:r>
      <w:r>
        <w:rPr>
          <w:rFonts w:eastAsiaTheme="minorEastAsia" w:hAnsiTheme="minorEastAsia"/>
          <w:bCs/>
          <w:sz w:val="24"/>
        </w:rPr>
        <w:t>）要求，施工期声环境保护措施可行。</w:t>
      </w:r>
    </w:p>
    <w:p w14:paraId="3E38344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6.1.4</w:t>
      </w:r>
      <w:r>
        <w:rPr>
          <w:rFonts w:ascii="Times New Roman" w:eastAsia="黑体" w:hAnsi="Times New Roman" w:cs="Times New Roman"/>
          <w:bCs/>
          <w:sz w:val="28"/>
          <w:szCs w:val="28"/>
        </w:rPr>
        <w:t>施工期固体废物处置措施及其可行性论证</w:t>
      </w:r>
    </w:p>
    <w:p w14:paraId="0D3B5EF8"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针对施工期固体废物，施工单位应做到：</w:t>
      </w:r>
    </w:p>
    <w:p w14:paraId="39B70046" w14:textId="77777777" w:rsidR="00B14D53" w:rsidRDefault="00000000">
      <w:pPr>
        <w:spacing w:line="360" w:lineRule="auto"/>
        <w:ind w:firstLineChars="177" w:firstLine="425"/>
        <w:rPr>
          <w:rFonts w:eastAsiaTheme="minorEastAsia"/>
          <w:bCs/>
          <w:sz w:val="24"/>
        </w:rPr>
      </w:pPr>
      <w:r>
        <w:rPr>
          <w:rFonts w:eastAsiaTheme="minorEastAsia" w:hAnsiTheme="minorEastAsia"/>
          <w:bCs/>
          <w:sz w:val="24"/>
        </w:rPr>
        <w:t>（</w:t>
      </w:r>
      <w:r>
        <w:rPr>
          <w:rFonts w:eastAsiaTheme="minorEastAsia"/>
          <w:bCs/>
          <w:sz w:val="24"/>
        </w:rPr>
        <w:t>1</w:t>
      </w:r>
      <w:r>
        <w:rPr>
          <w:rFonts w:eastAsiaTheme="minorEastAsia" w:hAnsiTheme="minorEastAsia"/>
          <w:bCs/>
          <w:sz w:val="24"/>
        </w:rPr>
        <w:t>）生活垃圾集中收集，由市政部门统一处理。</w:t>
      </w:r>
    </w:p>
    <w:p w14:paraId="3C924F67"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w:t>
      </w:r>
      <w:r>
        <w:rPr>
          <w:rFonts w:eastAsiaTheme="minorEastAsia"/>
          <w:sz w:val="24"/>
        </w:rPr>
        <w:t>2</w:t>
      </w:r>
      <w:r>
        <w:rPr>
          <w:rFonts w:eastAsiaTheme="minorEastAsia" w:hAnsiTheme="minorEastAsia"/>
          <w:sz w:val="24"/>
        </w:rPr>
        <w:t>）建筑垃圾及时清运，运至指定地点倾倒，不得随意堆放。</w:t>
      </w:r>
    </w:p>
    <w:p w14:paraId="53FCF151"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w:t>
      </w:r>
      <w:r>
        <w:rPr>
          <w:rFonts w:eastAsiaTheme="minorEastAsia"/>
          <w:sz w:val="24"/>
        </w:rPr>
        <w:t>3</w:t>
      </w:r>
      <w:r>
        <w:rPr>
          <w:rFonts w:eastAsiaTheme="minorEastAsia" w:hAnsiTheme="minorEastAsia"/>
          <w:sz w:val="24"/>
        </w:rPr>
        <w:t>）应对施工人员加强教育，树立环保意识，不随意乱丢废弃物，以保证施工中生活区的环境卫生质量。</w:t>
      </w:r>
    </w:p>
    <w:p w14:paraId="29C29488" w14:textId="77777777" w:rsidR="00B14D53" w:rsidRDefault="00000000">
      <w:pPr>
        <w:spacing w:line="360" w:lineRule="auto"/>
        <w:ind w:firstLineChars="177" w:firstLine="425"/>
        <w:rPr>
          <w:rFonts w:eastAsiaTheme="minorEastAsia"/>
          <w:sz w:val="24"/>
        </w:rPr>
      </w:pPr>
      <w:r>
        <w:rPr>
          <w:rFonts w:eastAsiaTheme="minorEastAsia" w:hAnsiTheme="minorEastAsia"/>
          <w:sz w:val="24"/>
        </w:rPr>
        <w:t>采取上述措施，本项目施工期产生的固废处置率</w:t>
      </w:r>
      <w:r>
        <w:rPr>
          <w:rFonts w:eastAsiaTheme="minorEastAsia"/>
          <w:sz w:val="24"/>
        </w:rPr>
        <w:t>100%</w:t>
      </w:r>
      <w:r>
        <w:rPr>
          <w:rFonts w:eastAsiaTheme="minorEastAsia" w:hAnsiTheme="minorEastAsia"/>
          <w:sz w:val="24"/>
        </w:rPr>
        <w:t>，不会对环境产生明显影响，施工期固体废物处置措施可行。</w:t>
      </w:r>
    </w:p>
    <w:p w14:paraId="28C8F2A9"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6.1.5</w:t>
      </w:r>
      <w:r>
        <w:rPr>
          <w:rFonts w:ascii="Times New Roman" w:eastAsia="黑体" w:hAnsi="Times New Roman" w:cs="Times New Roman"/>
          <w:bCs/>
          <w:sz w:val="28"/>
          <w:szCs w:val="28"/>
        </w:rPr>
        <w:t>生态保护减缓措施</w:t>
      </w:r>
    </w:p>
    <w:p w14:paraId="4011FB49"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hint="eastAsia"/>
          <w:bCs/>
          <w:kern w:val="24"/>
          <w:sz w:val="24"/>
          <w:lang w:bidi="en-US"/>
        </w:rPr>
        <w:t>本项目生态评价范围内为农田生态系统。</w:t>
      </w:r>
      <w:r>
        <w:rPr>
          <w:rFonts w:eastAsiaTheme="minorEastAsia" w:hAnsiTheme="minorEastAsia"/>
          <w:bCs/>
          <w:snapToGrid w:val="0"/>
          <w:kern w:val="0"/>
          <w:sz w:val="24"/>
          <w:lang w:bidi="en-US"/>
        </w:rPr>
        <w:t>项目在永久占地范围内施工，不新增临时占地。</w:t>
      </w:r>
    </w:p>
    <w:p w14:paraId="0CE1FAB6"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项目施工期对生态环境的影响主要体现为扰动土层、水土流失、</w:t>
      </w:r>
      <w:r>
        <w:rPr>
          <w:rFonts w:eastAsiaTheme="minorEastAsia" w:hAnsiTheme="minorEastAsia" w:hint="eastAsia"/>
          <w:bCs/>
          <w:snapToGrid w:val="0"/>
          <w:kern w:val="0"/>
          <w:sz w:val="24"/>
          <w:lang w:bidi="en-US"/>
        </w:rPr>
        <w:t>影响</w:t>
      </w:r>
      <w:r>
        <w:rPr>
          <w:rFonts w:eastAsiaTheme="minorEastAsia" w:hAnsiTheme="minorEastAsia"/>
          <w:bCs/>
          <w:snapToGrid w:val="0"/>
          <w:kern w:val="0"/>
          <w:sz w:val="24"/>
          <w:lang w:bidi="en-US"/>
        </w:rPr>
        <w:t>生物多样性。</w:t>
      </w:r>
    </w:p>
    <w:p w14:paraId="545BCDC4"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w:t>
      </w:r>
      <w:r>
        <w:rPr>
          <w:rFonts w:eastAsiaTheme="minorEastAsia" w:hAnsiTheme="minorEastAsia"/>
          <w:bCs/>
          <w:snapToGrid w:val="0"/>
          <w:kern w:val="0"/>
          <w:sz w:val="24"/>
          <w:lang w:bidi="en-US"/>
        </w:rPr>
        <w:t>1</w:t>
      </w:r>
      <w:r>
        <w:rPr>
          <w:rFonts w:eastAsiaTheme="minorEastAsia" w:hAnsiTheme="minorEastAsia"/>
          <w:bCs/>
          <w:snapToGrid w:val="0"/>
          <w:kern w:val="0"/>
          <w:sz w:val="24"/>
          <w:lang w:bidi="en-US"/>
        </w:rPr>
        <w:t>）对陆生生态环境影响评价</w:t>
      </w:r>
    </w:p>
    <w:p w14:paraId="60F1B423"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本项目施工期利用</w:t>
      </w:r>
      <w:r>
        <w:rPr>
          <w:rFonts w:eastAsiaTheme="minorEastAsia" w:hAnsiTheme="minorEastAsia" w:hint="eastAsia"/>
          <w:bCs/>
          <w:snapToGrid w:val="0"/>
          <w:kern w:val="0"/>
          <w:sz w:val="24"/>
          <w:lang w:bidi="en-US"/>
        </w:rPr>
        <w:t>现有道路，在永久占地内施工，不新增临时占地，因此不会对植被造成影响，但施工过程中的噪声会对周边小动物造成影响</w:t>
      </w:r>
      <w:r>
        <w:rPr>
          <w:rFonts w:eastAsiaTheme="minorEastAsia" w:hAnsiTheme="minorEastAsia"/>
          <w:bCs/>
          <w:snapToGrid w:val="0"/>
          <w:kern w:val="0"/>
          <w:sz w:val="24"/>
          <w:lang w:bidi="en-US"/>
        </w:rPr>
        <w:t>。</w:t>
      </w:r>
    </w:p>
    <w:p w14:paraId="33989E0C"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施工结束后，场内进行绿化，对</w:t>
      </w:r>
      <w:r>
        <w:rPr>
          <w:rFonts w:eastAsiaTheme="minorEastAsia" w:hAnsiTheme="minorEastAsia" w:hint="eastAsia"/>
          <w:bCs/>
          <w:snapToGrid w:val="0"/>
          <w:kern w:val="0"/>
          <w:sz w:val="24"/>
          <w:lang w:bidi="en-US"/>
        </w:rPr>
        <w:t>陆生生态环境有利。施工期较短，夜间不施工，噪声对周边小动物的影响是暂时的；加强对施工人员的约束及培训，施工期场地设置禁止捕杀野生动物的标识。</w:t>
      </w:r>
    </w:p>
    <w:p w14:paraId="00F40B74"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采取以上措施可减小</w:t>
      </w:r>
      <w:r>
        <w:rPr>
          <w:rFonts w:eastAsiaTheme="minorEastAsia" w:hAnsiTheme="minorEastAsia" w:hint="eastAsia"/>
          <w:bCs/>
          <w:snapToGrid w:val="0"/>
          <w:kern w:val="0"/>
          <w:sz w:val="24"/>
          <w:lang w:bidi="en-US"/>
        </w:rPr>
        <w:t>本项目</w:t>
      </w:r>
      <w:r>
        <w:rPr>
          <w:rFonts w:eastAsiaTheme="minorEastAsia" w:hAnsiTheme="minorEastAsia"/>
          <w:bCs/>
          <w:snapToGrid w:val="0"/>
          <w:kern w:val="0"/>
          <w:sz w:val="24"/>
          <w:lang w:bidi="en-US"/>
        </w:rPr>
        <w:t>对</w:t>
      </w:r>
      <w:r>
        <w:rPr>
          <w:rFonts w:eastAsiaTheme="minorEastAsia" w:hAnsiTheme="minorEastAsia" w:hint="eastAsia"/>
          <w:bCs/>
          <w:snapToGrid w:val="0"/>
          <w:kern w:val="0"/>
          <w:sz w:val="24"/>
          <w:lang w:bidi="en-US"/>
        </w:rPr>
        <w:t>陆生生态环境的影响。</w:t>
      </w:r>
    </w:p>
    <w:p w14:paraId="2D68137E"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w:t>
      </w:r>
      <w:r>
        <w:rPr>
          <w:rFonts w:eastAsiaTheme="minorEastAsia" w:hAnsiTheme="minorEastAsia"/>
          <w:bCs/>
          <w:snapToGrid w:val="0"/>
          <w:kern w:val="0"/>
          <w:sz w:val="24"/>
          <w:lang w:bidi="en-US"/>
        </w:rPr>
        <w:t>2</w:t>
      </w:r>
      <w:r>
        <w:rPr>
          <w:rFonts w:eastAsiaTheme="minorEastAsia" w:hAnsiTheme="minorEastAsia"/>
          <w:bCs/>
          <w:snapToGrid w:val="0"/>
          <w:kern w:val="0"/>
          <w:sz w:val="24"/>
          <w:lang w:bidi="en-US"/>
        </w:rPr>
        <w:t>）水土流失影响分析</w:t>
      </w:r>
    </w:p>
    <w:p w14:paraId="0CC0A504"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项目开发建设过程扰动原地貌、占压土地等活动，减弱了地表的抗蚀抗冲能力，导致区域生态环境恶化，抗逆能力和环境容量下降，加剧水土流失。</w:t>
      </w:r>
    </w:p>
    <w:p w14:paraId="55873A12"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为了避免本项目在施工及运营过程中造成区域水土流失，破坏当地生态环境，提出建议如下：</w:t>
      </w:r>
    </w:p>
    <w:p w14:paraId="3FCB9BCB"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①项目施工过程中产生的表土及挖方暂存于</w:t>
      </w:r>
      <w:r>
        <w:rPr>
          <w:rFonts w:eastAsiaTheme="minorEastAsia" w:hAnsiTheme="minorEastAsia" w:hint="eastAsia"/>
          <w:bCs/>
          <w:snapToGrid w:val="0"/>
          <w:kern w:val="0"/>
          <w:sz w:val="24"/>
          <w:lang w:bidi="en-US"/>
        </w:rPr>
        <w:t>厂</w:t>
      </w:r>
      <w:r>
        <w:rPr>
          <w:rFonts w:eastAsiaTheme="minorEastAsia" w:hAnsiTheme="minorEastAsia"/>
          <w:bCs/>
          <w:snapToGrid w:val="0"/>
          <w:kern w:val="0"/>
          <w:sz w:val="24"/>
          <w:lang w:bidi="en-US"/>
        </w:rPr>
        <w:t>区，采取密目网及苫布遮盖，避免在暴雨中被冲刷流失，且表土全部用于场内绿化用土。</w:t>
      </w:r>
    </w:p>
    <w:p w14:paraId="0124956A"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②项目建成后，在</w:t>
      </w:r>
      <w:r>
        <w:rPr>
          <w:rFonts w:eastAsiaTheme="minorEastAsia" w:hAnsiTheme="minorEastAsia" w:hint="eastAsia"/>
          <w:bCs/>
          <w:snapToGrid w:val="0"/>
          <w:kern w:val="0"/>
          <w:sz w:val="24"/>
          <w:lang w:bidi="en-US"/>
        </w:rPr>
        <w:t>厂区</w:t>
      </w:r>
      <w:r>
        <w:rPr>
          <w:rFonts w:eastAsiaTheme="minorEastAsia" w:hAnsiTheme="minorEastAsia"/>
          <w:bCs/>
          <w:snapToGrid w:val="0"/>
          <w:kern w:val="0"/>
          <w:sz w:val="24"/>
          <w:lang w:bidi="en-US"/>
        </w:rPr>
        <w:t>内种植绿化带，减少土地裸露面积。</w:t>
      </w:r>
    </w:p>
    <w:p w14:paraId="7384AEBD" w14:textId="77777777" w:rsidR="00B14D53" w:rsidRDefault="00000000">
      <w:pPr>
        <w:spacing w:line="360" w:lineRule="auto"/>
        <w:ind w:firstLineChars="200" w:firstLine="480"/>
        <w:rPr>
          <w:rFonts w:eastAsiaTheme="minorEastAsia" w:hAnsiTheme="minorEastAsia" w:hint="eastAsia"/>
          <w:bCs/>
          <w:snapToGrid w:val="0"/>
          <w:kern w:val="0"/>
          <w:sz w:val="24"/>
          <w:lang w:bidi="en-US"/>
        </w:rPr>
      </w:pPr>
      <w:r>
        <w:rPr>
          <w:rFonts w:eastAsiaTheme="minorEastAsia" w:hAnsiTheme="minorEastAsia"/>
          <w:bCs/>
          <w:snapToGrid w:val="0"/>
          <w:kern w:val="0"/>
          <w:sz w:val="24"/>
          <w:lang w:bidi="en-US"/>
        </w:rPr>
        <w:t>③本项目施工过程中应严格将活动范围控制在本项目用地范围内，不占用其它土地。</w:t>
      </w:r>
    </w:p>
    <w:p w14:paraId="44308172" w14:textId="77777777" w:rsidR="00B14D53" w:rsidRDefault="00000000">
      <w:pPr>
        <w:spacing w:line="360" w:lineRule="auto"/>
        <w:ind w:firstLineChars="200" w:firstLine="480"/>
        <w:rPr>
          <w:rFonts w:eastAsiaTheme="minorEastAsia"/>
          <w:snapToGrid w:val="0"/>
          <w:kern w:val="0"/>
          <w:sz w:val="24"/>
        </w:rPr>
      </w:pPr>
      <w:r>
        <w:rPr>
          <w:rFonts w:eastAsiaTheme="minorEastAsia" w:hAnsiTheme="minorEastAsia"/>
          <w:bCs/>
          <w:snapToGrid w:val="0"/>
          <w:kern w:val="0"/>
          <w:sz w:val="24"/>
          <w:lang w:bidi="en-US"/>
        </w:rPr>
        <w:t>④合理安排施工期，避免雨天施工，通过采取上述措施可将本项目施工期对土地的扰动降到最低</w:t>
      </w:r>
      <w:r>
        <w:rPr>
          <w:rFonts w:eastAsiaTheme="minorEastAsia" w:hAnsiTheme="minorEastAsia"/>
          <w:snapToGrid w:val="0"/>
          <w:kern w:val="0"/>
          <w:sz w:val="24"/>
        </w:rPr>
        <w:t>。</w:t>
      </w:r>
    </w:p>
    <w:p w14:paraId="13E2D04D"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hAnsiTheme="minorEastAsia"/>
          <w:snapToGrid w:val="0"/>
          <w:kern w:val="0"/>
          <w:sz w:val="24"/>
        </w:rPr>
        <w:t>项目</w:t>
      </w:r>
      <w:r>
        <w:rPr>
          <w:rFonts w:eastAsiaTheme="minorEastAsia" w:hAnsiTheme="minorEastAsia" w:hint="eastAsia"/>
          <w:snapToGrid w:val="0"/>
          <w:kern w:val="0"/>
          <w:sz w:val="24"/>
        </w:rPr>
        <w:t>四周生态主要为</w:t>
      </w:r>
      <w:r>
        <w:rPr>
          <w:rFonts w:eastAsiaTheme="minorEastAsia" w:hAnsiTheme="minorEastAsia"/>
          <w:snapToGrid w:val="0"/>
          <w:kern w:val="0"/>
          <w:sz w:val="24"/>
        </w:rPr>
        <w:t>农田，无国家和地方保护物种，运行期通过绿化工程等措施，将最大程度减缓对生态环境的影响。</w:t>
      </w:r>
    </w:p>
    <w:p w14:paraId="7F5DE44C"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39" w:name="_Toc13418"/>
      <w:r>
        <w:rPr>
          <w:rFonts w:ascii="Times New Roman" w:eastAsia="黑体" w:hAnsi="Times New Roman" w:cs="Times New Roman"/>
          <w:b w:val="0"/>
          <w:bCs w:val="0"/>
          <w:sz w:val="30"/>
          <w:szCs w:val="30"/>
        </w:rPr>
        <w:t>6.2</w:t>
      </w:r>
      <w:r>
        <w:rPr>
          <w:rFonts w:ascii="Times New Roman" w:eastAsia="黑体" w:hAnsi="Times New Roman" w:cs="Times New Roman"/>
          <w:b w:val="0"/>
          <w:bCs w:val="0"/>
          <w:sz w:val="30"/>
          <w:szCs w:val="30"/>
        </w:rPr>
        <w:t>营运期环境保护措施及其可行性论证</w:t>
      </w:r>
      <w:bookmarkEnd w:id="239"/>
    </w:p>
    <w:p w14:paraId="500C3F01"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6.2.1</w:t>
      </w:r>
      <w:r>
        <w:rPr>
          <w:rFonts w:ascii="Times New Roman" w:eastAsia="黑体" w:hAnsi="Times New Roman" w:cs="Times New Roman"/>
          <w:sz w:val="28"/>
          <w:szCs w:val="28"/>
        </w:rPr>
        <w:t>大气环境保护措施及其可行性论证</w:t>
      </w:r>
    </w:p>
    <w:p w14:paraId="00D9EBE6" w14:textId="721BDBA6" w:rsidR="00B14D53" w:rsidRDefault="00000000">
      <w:pPr>
        <w:pStyle w:val="4"/>
        <w:spacing w:before="100" w:beforeAutospacing="1" w:after="0" w:line="240" w:lineRule="auto"/>
        <w:ind w:firstLineChars="200" w:firstLine="480"/>
        <w:rPr>
          <w:rFonts w:ascii="Times New Roman" w:hAnsi="Times New Roman" w:cs="Times New Roman"/>
          <w:b w:val="0"/>
          <w:bCs w:val="0"/>
          <w:sz w:val="24"/>
        </w:rPr>
      </w:pPr>
      <w:hyperlink r:id="rId71" w:history="1">
        <w:r>
          <w:rPr>
            <w:rFonts w:ascii="Times New Roman" w:eastAsia="黑体" w:hAnsi="Times New Roman" w:cs="Times New Roman"/>
            <w:b w:val="0"/>
            <w:sz w:val="24"/>
            <w:szCs w:val="24"/>
          </w:rPr>
          <w:t>6.2.</w:t>
        </w:r>
        <w:r>
          <w:rPr>
            <w:rFonts w:ascii="Times New Roman" w:eastAsia="黑体" w:hAnsi="Times New Roman" w:cs="Times New Roman" w:hint="eastAsia"/>
            <w:b w:val="0"/>
            <w:sz w:val="24"/>
            <w:szCs w:val="24"/>
          </w:rPr>
          <w:t>1</w:t>
        </w:r>
        <w:r>
          <w:rPr>
            <w:rFonts w:ascii="Times New Roman" w:eastAsia="黑体" w:hAnsi="Times New Roman" w:cs="Times New Roman"/>
            <w:b w:val="0"/>
            <w:sz w:val="24"/>
            <w:szCs w:val="24"/>
          </w:rPr>
          <w:t>.1</w:t>
        </w:r>
      </w:hyperlink>
      <w:r>
        <w:rPr>
          <w:rFonts w:ascii="Times New Roman" w:eastAsia="黑体" w:hAnsi="Times New Roman" w:cs="Times New Roman"/>
          <w:b w:val="0"/>
          <w:sz w:val="24"/>
          <w:szCs w:val="24"/>
        </w:rPr>
        <w:t>恶臭污染防治措施</w:t>
      </w:r>
    </w:p>
    <w:p w14:paraId="433B8490" w14:textId="77777777" w:rsidR="00B14D53" w:rsidRDefault="00000000">
      <w:pPr>
        <w:pStyle w:val="aff6"/>
        <w:spacing w:after="0" w:line="360" w:lineRule="auto"/>
        <w:ind w:firstLineChars="200" w:firstLine="480"/>
        <w:rPr>
          <w:rFonts w:ascii="Times New Roman" w:hAnsi="Times New Roman"/>
        </w:rPr>
      </w:pPr>
      <w:r>
        <w:rPr>
          <w:rFonts w:ascii="Times New Roman" w:hAnsi="Times New Roman" w:hint="eastAsia"/>
        </w:rPr>
        <w:t>根据</w:t>
      </w:r>
      <w:r>
        <w:rPr>
          <w:rFonts w:ascii="Times New Roman" w:hAnsi="Times New Roman"/>
        </w:rPr>
        <w:t>《排污许可证申请与核发技术规范农副食品加工工业</w:t>
      </w:r>
      <w:r>
        <w:rPr>
          <w:rFonts w:ascii="Times New Roman" w:hAnsi="Times New Roman"/>
        </w:rPr>
        <w:t>—</w:t>
      </w:r>
      <w:r>
        <w:rPr>
          <w:rFonts w:ascii="Times New Roman" w:hAnsi="Times New Roman"/>
        </w:rPr>
        <w:t>屠宰及肉类加工工业》（</w:t>
      </w:r>
      <w:r>
        <w:rPr>
          <w:rFonts w:ascii="Times New Roman" w:hAnsi="Times New Roman"/>
        </w:rPr>
        <w:t>HJ 860.3—2018</w:t>
      </w:r>
      <w:r>
        <w:rPr>
          <w:rFonts w:ascii="Times New Roman" w:hAnsi="Times New Roman"/>
        </w:rPr>
        <w:t>）中表</w:t>
      </w:r>
      <w:r>
        <w:rPr>
          <w:rFonts w:ascii="Times New Roman" w:hAnsi="Times New Roman"/>
        </w:rPr>
        <w:t>3</w:t>
      </w:r>
      <w:r>
        <w:rPr>
          <w:rFonts w:ascii="Times New Roman" w:hAnsi="Times New Roman"/>
        </w:rPr>
        <w:t>屠宰及肉类加工工业排污单位废气产污环节、污染控制项目、排放形式及污染治理设施一览表对项目产生的恶臭进行环保措施的选择。下表为各除臭方式原理、优缺点及适用范围比较见</w:t>
      </w:r>
      <w:r>
        <w:rPr>
          <w:rFonts w:ascii="Times New Roman" w:hAnsi="Times New Roman" w:hint="eastAsia"/>
        </w:rPr>
        <w:t>下</w:t>
      </w:r>
      <w:r>
        <w:rPr>
          <w:rFonts w:ascii="Times New Roman" w:hAnsi="Times New Roman"/>
        </w:rPr>
        <w:t>表。</w:t>
      </w:r>
    </w:p>
    <w:p w14:paraId="5D595005" w14:textId="77777777" w:rsidR="00B14D53" w:rsidRDefault="00B14D53">
      <w:pPr>
        <w:spacing w:line="360" w:lineRule="auto"/>
        <w:ind w:firstLineChars="200" w:firstLine="420"/>
        <w:sectPr w:rsidR="00B14D53">
          <w:pgSz w:w="11910" w:h="16840"/>
          <w:pgMar w:top="1440" w:right="1803" w:bottom="1440" w:left="1803" w:header="850" w:footer="992" w:gutter="0"/>
          <w:cols w:space="720"/>
        </w:sectPr>
      </w:pPr>
    </w:p>
    <w:p w14:paraId="465FAE9A" w14:textId="77777777" w:rsidR="00B14D53" w:rsidRDefault="00000000">
      <w:pPr>
        <w:jc w:val="center"/>
        <w:rPr>
          <w:b/>
          <w:bCs/>
        </w:rPr>
      </w:pPr>
      <w:r>
        <w:rPr>
          <w:b/>
          <w:bCs/>
        </w:rPr>
        <w:t>表</w:t>
      </w:r>
      <w:r>
        <w:rPr>
          <w:b/>
          <w:bCs/>
        </w:rPr>
        <w:t>6-2-</w:t>
      </w:r>
      <w:r>
        <w:rPr>
          <w:rFonts w:hint="eastAsia"/>
          <w:b/>
          <w:bCs/>
        </w:rPr>
        <w:t>1</w:t>
      </w:r>
      <w:r>
        <w:rPr>
          <w:b/>
          <w:bCs/>
        </w:rPr>
        <w:t xml:space="preserve"> </w:t>
      </w:r>
      <w:r>
        <w:rPr>
          <w:b/>
          <w:bCs/>
        </w:rPr>
        <w:t>除臭方法比选</w:t>
      </w:r>
      <w:r>
        <w:rPr>
          <w:rFonts w:hint="eastAsia"/>
          <w:b/>
          <w:bCs/>
        </w:rPr>
        <w:t>表</w:t>
      </w:r>
    </w:p>
    <w:tbl>
      <w:tblPr>
        <w:tblStyle w:val="aff8"/>
        <w:tblW w:w="4999"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23"/>
        <w:gridCol w:w="5190"/>
        <w:gridCol w:w="2943"/>
        <w:gridCol w:w="3361"/>
        <w:gridCol w:w="1419"/>
      </w:tblGrid>
      <w:tr w:rsidR="00B14D53" w14:paraId="0816EE29" w14:textId="77777777">
        <w:tc>
          <w:tcPr>
            <w:tcW w:w="558" w:type="pct"/>
            <w:vAlign w:val="center"/>
          </w:tcPr>
          <w:p w14:paraId="5FBA1B2A" w14:textId="77777777" w:rsidR="00B14D53" w:rsidRDefault="00000000">
            <w:pPr>
              <w:pStyle w:val="aff6"/>
              <w:spacing w:after="0" w:line="240" w:lineRule="auto"/>
              <w:ind w:firstLineChars="0" w:firstLine="0"/>
              <w:jc w:val="center"/>
              <w:rPr>
                <w:rFonts w:ascii="Times New Roman" w:hAnsi="Times New Roman"/>
                <w:b/>
                <w:bCs/>
                <w:sz w:val="21"/>
                <w:szCs w:val="21"/>
              </w:rPr>
            </w:pPr>
            <w:r>
              <w:rPr>
                <w:rFonts w:ascii="Times New Roman" w:hAnsi="Times New Roman"/>
                <w:b/>
                <w:bCs/>
                <w:sz w:val="21"/>
                <w:szCs w:val="21"/>
              </w:rPr>
              <w:t>除臭方式</w:t>
            </w:r>
          </w:p>
        </w:tc>
        <w:tc>
          <w:tcPr>
            <w:tcW w:w="1785" w:type="pct"/>
            <w:vAlign w:val="center"/>
          </w:tcPr>
          <w:p w14:paraId="01B11691" w14:textId="77777777" w:rsidR="00B14D53" w:rsidRDefault="00000000">
            <w:pPr>
              <w:pStyle w:val="aff6"/>
              <w:spacing w:after="0" w:line="240" w:lineRule="auto"/>
              <w:ind w:firstLineChars="0" w:firstLine="0"/>
              <w:jc w:val="center"/>
              <w:rPr>
                <w:rFonts w:ascii="Times New Roman" w:hAnsi="Times New Roman"/>
                <w:b/>
                <w:bCs/>
                <w:sz w:val="21"/>
                <w:szCs w:val="21"/>
              </w:rPr>
            </w:pPr>
            <w:r>
              <w:rPr>
                <w:rFonts w:ascii="Times New Roman" w:hAnsi="Times New Roman"/>
                <w:b/>
                <w:bCs/>
                <w:sz w:val="21"/>
                <w:szCs w:val="21"/>
              </w:rPr>
              <w:t>除臭原理</w:t>
            </w:r>
          </w:p>
        </w:tc>
        <w:tc>
          <w:tcPr>
            <w:tcW w:w="1012" w:type="pct"/>
            <w:vAlign w:val="center"/>
          </w:tcPr>
          <w:p w14:paraId="01BB7945" w14:textId="77777777" w:rsidR="00B14D53" w:rsidRDefault="00000000">
            <w:pPr>
              <w:pStyle w:val="aff6"/>
              <w:spacing w:after="0" w:line="240" w:lineRule="auto"/>
              <w:ind w:firstLineChars="0" w:firstLine="0"/>
              <w:jc w:val="center"/>
              <w:rPr>
                <w:rFonts w:ascii="Times New Roman" w:hAnsi="Times New Roman"/>
                <w:b/>
                <w:bCs/>
                <w:sz w:val="21"/>
                <w:szCs w:val="21"/>
              </w:rPr>
            </w:pPr>
            <w:r>
              <w:rPr>
                <w:rFonts w:ascii="Times New Roman" w:hAnsi="Times New Roman"/>
                <w:b/>
                <w:bCs/>
                <w:sz w:val="21"/>
                <w:szCs w:val="21"/>
              </w:rPr>
              <w:t>优点</w:t>
            </w:r>
          </w:p>
        </w:tc>
        <w:tc>
          <w:tcPr>
            <w:tcW w:w="1156" w:type="pct"/>
            <w:vAlign w:val="center"/>
          </w:tcPr>
          <w:p w14:paraId="1027EF37" w14:textId="77777777" w:rsidR="00B14D53" w:rsidRDefault="00000000">
            <w:pPr>
              <w:pStyle w:val="aff6"/>
              <w:spacing w:after="0" w:line="240" w:lineRule="auto"/>
              <w:ind w:firstLineChars="0" w:firstLine="0"/>
              <w:jc w:val="center"/>
              <w:rPr>
                <w:rFonts w:ascii="Times New Roman" w:hAnsi="Times New Roman"/>
                <w:b/>
                <w:bCs/>
                <w:sz w:val="21"/>
                <w:szCs w:val="21"/>
              </w:rPr>
            </w:pPr>
            <w:r>
              <w:rPr>
                <w:rFonts w:ascii="Times New Roman" w:hAnsi="Times New Roman"/>
                <w:b/>
                <w:bCs/>
                <w:sz w:val="21"/>
                <w:szCs w:val="21"/>
              </w:rPr>
              <w:t>缺点</w:t>
            </w:r>
          </w:p>
        </w:tc>
        <w:tc>
          <w:tcPr>
            <w:tcW w:w="488" w:type="pct"/>
            <w:vAlign w:val="center"/>
          </w:tcPr>
          <w:p w14:paraId="6710BC5B" w14:textId="77777777" w:rsidR="00B14D53" w:rsidRDefault="00000000">
            <w:pPr>
              <w:pStyle w:val="aff6"/>
              <w:spacing w:after="0" w:line="240" w:lineRule="auto"/>
              <w:ind w:firstLineChars="0" w:firstLine="0"/>
              <w:jc w:val="center"/>
              <w:rPr>
                <w:rFonts w:ascii="Times New Roman" w:hAnsi="Times New Roman"/>
                <w:b/>
                <w:bCs/>
                <w:sz w:val="21"/>
                <w:szCs w:val="21"/>
              </w:rPr>
            </w:pPr>
            <w:r>
              <w:rPr>
                <w:rFonts w:ascii="Times New Roman" w:hAnsi="Times New Roman"/>
                <w:b/>
                <w:bCs/>
                <w:sz w:val="21"/>
                <w:szCs w:val="21"/>
              </w:rPr>
              <w:t>适用臭气源</w:t>
            </w:r>
          </w:p>
        </w:tc>
      </w:tr>
      <w:tr w:rsidR="00B14D53" w14:paraId="12FB2127" w14:textId="77777777">
        <w:tc>
          <w:tcPr>
            <w:tcW w:w="558" w:type="pct"/>
            <w:vAlign w:val="center"/>
          </w:tcPr>
          <w:p w14:paraId="72BB48E6" w14:textId="77777777" w:rsidR="00B14D53" w:rsidRDefault="00000000">
            <w:pPr>
              <w:pStyle w:val="aff6"/>
              <w:spacing w:after="0" w:line="240" w:lineRule="auto"/>
              <w:ind w:firstLineChars="0" w:firstLine="0"/>
              <w:jc w:val="center"/>
              <w:rPr>
                <w:rFonts w:ascii="Times New Roman" w:hAnsi="Times New Roman"/>
                <w:sz w:val="21"/>
                <w:szCs w:val="21"/>
              </w:rPr>
            </w:pPr>
            <w:r>
              <w:rPr>
                <w:rFonts w:ascii="Times New Roman" w:hAnsi="Times New Roman"/>
                <w:sz w:val="21"/>
                <w:szCs w:val="21"/>
              </w:rPr>
              <w:t>燃烧法</w:t>
            </w:r>
          </w:p>
        </w:tc>
        <w:tc>
          <w:tcPr>
            <w:tcW w:w="1785" w:type="pct"/>
            <w:vAlign w:val="center"/>
          </w:tcPr>
          <w:p w14:paraId="15E88DA1" w14:textId="77777777" w:rsidR="00B14D53" w:rsidRDefault="00000000">
            <w:pPr>
              <w:widowControl/>
              <w:rPr>
                <w:kern w:val="0"/>
                <w:szCs w:val="21"/>
              </w:rPr>
            </w:pPr>
            <w:r>
              <w:rPr>
                <w:kern w:val="0"/>
                <w:szCs w:val="21"/>
              </w:rPr>
              <w:t>将臭气与氧气</w:t>
            </w:r>
            <w:r>
              <w:rPr>
                <w:kern w:val="0"/>
                <w:szCs w:val="21"/>
              </w:rPr>
              <w:t>(12%</w:t>
            </w:r>
            <w:r>
              <w:rPr>
                <w:kern w:val="0"/>
                <w:szCs w:val="21"/>
              </w:rPr>
              <w:t>以上</w:t>
            </w:r>
            <w:r>
              <w:rPr>
                <w:kern w:val="0"/>
                <w:szCs w:val="21"/>
              </w:rPr>
              <w:t>)</w:t>
            </w:r>
            <w:r>
              <w:rPr>
                <w:kern w:val="0"/>
                <w:szCs w:val="21"/>
              </w:rPr>
              <w:t>混合，在臭气成分的燃点以上</w:t>
            </w:r>
            <w:r>
              <w:rPr>
                <w:kern w:val="0"/>
                <w:szCs w:val="21"/>
              </w:rPr>
              <w:t>(</w:t>
            </w:r>
            <w:r>
              <w:rPr>
                <w:kern w:val="0"/>
                <w:szCs w:val="21"/>
              </w:rPr>
              <w:t>约</w:t>
            </w:r>
            <w:r>
              <w:rPr>
                <w:kern w:val="0"/>
                <w:szCs w:val="21"/>
              </w:rPr>
              <w:t xml:space="preserve"> 800℃)</w:t>
            </w:r>
            <w:r>
              <w:rPr>
                <w:kern w:val="0"/>
                <w:szCs w:val="21"/>
              </w:rPr>
              <w:t>使之燃烧，臭气成分氧化分解达到除臭目的</w:t>
            </w:r>
          </w:p>
        </w:tc>
        <w:tc>
          <w:tcPr>
            <w:tcW w:w="1012" w:type="pct"/>
            <w:vAlign w:val="center"/>
          </w:tcPr>
          <w:p w14:paraId="158E0686" w14:textId="77777777" w:rsidR="00B14D53" w:rsidRDefault="00000000">
            <w:pPr>
              <w:widowControl/>
              <w:rPr>
                <w:kern w:val="0"/>
                <w:szCs w:val="21"/>
              </w:rPr>
            </w:pPr>
            <w:r>
              <w:rPr>
                <w:kern w:val="0"/>
                <w:szCs w:val="21"/>
              </w:rPr>
              <w:t>①</w:t>
            </w:r>
            <w:r>
              <w:rPr>
                <w:kern w:val="0"/>
                <w:szCs w:val="21"/>
              </w:rPr>
              <w:t>不受臭气成分的限制；</w:t>
            </w:r>
          </w:p>
          <w:p w14:paraId="049CFC87" w14:textId="77777777" w:rsidR="00B14D53" w:rsidRDefault="00000000">
            <w:pPr>
              <w:widowControl/>
              <w:rPr>
                <w:kern w:val="0"/>
                <w:szCs w:val="21"/>
              </w:rPr>
            </w:pPr>
            <w:r>
              <w:rPr>
                <w:kern w:val="0"/>
                <w:szCs w:val="21"/>
              </w:rPr>
              <w:t>②</w:t>
            </w:r>
            <w:r>
              <w:rPr>
                <w:kern w:val="0"/>
                <w:szCs w:val="21"/>
              </w:rPr>
              <w:t>分解彻底，高效；</w:t>
            </w:r>
          </w:p>
          <w:p w14:paraId="15908337" w14:textId="77777777" w:rsidR="00B14D53" w:rsidRDefault="00000000">
            <w:pPr>
              <w:widowControl/>
              <w:rPr>
                <w:kern w:val="0"/>
                <w:szCs w:val="21"/>
              </w:rPr>
            </w:pPr>
            <w:r>
              <w:rPr>
                <w:kern w:val="0"/>
                <w:szCs w:val="21"/>
              </w:rPr>
              <w:t>③</w:t>
            </w:r>
            <w:r>
              <w:rPr>
                <w:kern w:val="0"/>
                <w:szCs w:val="21"/>
              </w:rPr>
              <w:t>抗冲击负荷</w:t>
            </w:r>
          </w:p>
        </w:tc>
        <w:tc>
          <w:tcPr>
            <w:tcW w:w="1156" w:type="pct"/>
            <w:vAlign w:val="center"/>
          </w:tcPr>
          <w:p w14:paraId="640682FC" w14:textId="77777777" w:rsidR="00B14D53" w:rsidRDefault="00000000">
            <w:pPr>
              <w:widowControl/>
              <w:rPr>
                <w:kern w:val="0"/>
                <w:szCs w:val="21"/>
              </w:rPr>
            </w:pPr>
            <w:r>
              <w:rPr>
                <w:kern w:val="0"/>
                <w:szCs w:val="21"/>
              </w:rPr>
              <w:t>①</w:t>
            </w:r>
            <w:r>
              <w:rPr>
                <w:kern w:val="0"/>
                <w:szCs w:val="21"/>
              </w:rPr>
              <w:t>投资高；</w:t>
            </w:r>
          </w:p>
          <w:p w14:paraId="68DBEB9D" w14:textId="77777777" w:rsidR="00B14D53" w:rsidRDefault="00000000">
            <w:pPr>
              <w:widowControl/>
              <w:rPr>
                <w:kern w:val="0"/>
                <w:szCs w:val="21"/>
              </w:rPr>
            </w:pPr>
            <w:r>
              <w:rPr>
                <w:kern w:val="0"/>
                <w:szCs w:val="21"/>
              </w:rPr>
              <w:t>②</w:t>
            </w:r>
            <w:r>
              <w:rPr>
                <w:kern w:val="0"/>
                <w:szCs w:val="21"/>
              </w:rPr>
              <w:t>运行费用（燃料费）高；</w:t>
            </w:r>
          </w:p>
          <w:p w14:paraId="57EADFB8" w14:textId="77777777" w:rsidR="00B14D53" w:rsidRDefault="00000000">
            <w:pPr>
              <w:widowControl/>
              <w:rPr>
                <w:kern w:val="0"/>
                <w:szCs w:val="21"/>
              </w:rPr>
            </w:pPr>
            <w:r>
              <w:rPr>
                <w:kern w:val="0"/>
                <w:szCs w:val="21"/>
              </w:rPr>
              <w:t>③</w:t>
            </w:r>
            <w:r>
              <w:rPr>
                <w:kern w:val="0"/>
                <w:szCs w:val="21"/>
              </w:rPr>
              <w:t>氮氧化物排放量较高，存在二</w:t>
            </w:r>
          </w:p>
          <w:p w14:paraId="68956F15" w14:textId="77777777" w:rsidR="00B14D53" w:rsidRDefault="00000000">
            <w:pPr>
              <w:widowControl/>
              <w:rPr>
                <w:kern w:val="0"/>
                <w:szCs w:val="21"/>
              </w:rPr>
            </w:pPr>
            <w:r>
              <w:rPr>
                <w:kern w:val="0"/>
                <w:szCs w:val="21"/>
              </w:rPr>
              <w:t>次污染问题</w:t>
            </w:r>
          </w:p>
        </w:tc>
        <w:tc>
          <w:tcPr>
            <w:tcW w:w="488" w:type="pct"/>
            <w:vAlign w:val="center"/>
          </w:tcPr>
          <w:p w14:paraId="47D35F48" w14:textId="77777777" w:rsidR="00B14D53" w:rsidRDefault="00000000">
            <w:pPr>
              <w:widowControl/>
              <w:rPr>
                <w:kern w:val="0"/>
                <w:szCs w:val="21"/>
              </w:rPr>
            </w:pPr>
            <w:r>
              <w:rPr>
                <w:kern w:val="0"/>
                <w:szCs w:val="21"/>
              </w:rPr>
              <w:t>适应于高浓度臭气，有燃烧炉的地方优先</w:t>
            </w:r>
          </w:p>
        </w:tc>
      </w:tr>
      <w:tr w:rsidR="00B14D53" w14:paraId="0C31922F" w14:textId="77777777">
        <w:tc>
          <w:tcPr>
            <w:tcW w:w="558" w:type="pct"/>
            <w:vAlign w:val="center"/>
          </w:tcPr>
          <w:p w14:paraId="4733A065" w14:textId="77777777" w:rsidR="00B14D53" w:rsidRDefault="00000000">
            <w:pPr>
              <w:pStyle w:val="aff6"/>
              <w:spacing w:after="0" w:line="240" w:lineRule="auto"/>
              <w:ind w:firstLineChars="0" w:firstLine="0"/>
              <w:jc w:val="center"/>
              <w:rPr>
                <w:rFonts w:ascii="Times New Roman" w:hAnsi="Times New Roman"/>
                <w:sz w:val="21"/>
                <w:szCs w:val="21"/>
              </w:rPr>
            </w:pPr>
            <w:r>
              <w:rPr>
                <w:rFonts w:ascii="Times New Roman" w:hAnsi="Times New Roman"/>
                <w:sz w:val="21"/>
                <w:szCs w:val="21"/>
              </w:rPr>
              <w:t>滴滤塔除臭</w:t>
            </w:r>
          </w:p>
        </w:tc>
        <w:tc>
          <w:tcPr>
            <w:tcW w:w="1785" w:type="pct"/>
            <w:vAlign w:val="center"/>
          </w:tcPr>
          <w:p w14:paraId="229D2A9E" w14:textId="77777777" w:rsidR="00B14D53" w:rsidRDefault="00000000">
            <w:pPr>
              <w:widowControl/>
              <w:rPr>
                <w:kern w:val="0"/>
                <w:szCs w:val="21"/>
              </w:rPr>
            </w:pPr>
            <w:r>
              <w:rPr>
                <w:kern w:val="0"/>
                <w:szCs w:val="21"/>
              </w:rPr>
              <w:t>生物滴滤塔主体为填充塔，内有一层或多层填料，填料表面是由微生物区系形成的几毫米厚的生物膜。含可溶性无机营养液的液体从塔上方均匀地喷洒在填料上，液体自上向下流动</w:t>
            </w:r>
            <w:r>
              <w:rPr>
                <w:kern w:val="0"/>
                <w:szCs w:val="21"/>
              </w:rPr>
              <w:t>,</w:t>
            </w:r>
            <w:r>
              <w:rPr>
                <w:kern w:val="0"/>
                <w:szCs w:val="21"/>
              </w:rPr>
              <w:t>然后由塔底排出并循环利用。有机废气由塔底进入生物滴滤塔，在上升的过程中与润湿的生物膜接触而被净化，净化后的气体由塔顶排出。</w:t>
            </w:r>
          </w:p>
        </w:tc>
        <w:tc>
          <w:tcPr>
            <w:tcW w:w="1012" w:type="pct"/>
            <w:vAlign w:val="center"/>
          </w:tcPr>
          <w:p w14:paraId="0278C6C5" w14:textId="77777777" w:rsidR="00B14D53" w:rsidRDefault="00000000">
            <w:pPr>
              <w:widowControl/>
              <w:rPr>
                <w:kern w:val="0"/>
                <w:szCs w:val="21"/>
              </w:rPr>
            </w:pPr>
            <w:r>
              <w:rPr>
                <w:kern w:val="0"/>
                <w:szCs w:val="21"/>
              </w:rPr>
              <w:t>具有气、液相接触面积大，运行费用低</w:t>
            </w:r>
            <w:r>
              <w:rPr>
                <w:kern w:val="0"/>
                <w:szCs w:val="21"/>
              </w:rPr>
              <w:t xml:space="preserve"> </w:t>
            </w:r>
            <w:r>
              <w:rPr>
                <w:kern w:val="0"/>
                <w:szCs w:val="21"/>
              </w:rPr>
              <w:t>、不需要外加营养物、出路效率高</w:t>
            </w:r>
          </w:p>
        </w:tc>
        <w:tc>
          <w:tcPr>
            <w:tcW w:w="1156" w:type="pct"/>
            <w:vAlign w:val="center"/>
          </w:tcPr>
          <w:p w14:paraId="6E6E1F19" w14:textId="77777777" w:rsidR="00B14D53" w:rsidRDefault="00000000">
            <w:pPr>
              <w:widowControl/>
              <w:rPr>
                <w:kern w:val="0"/>
                <w:szCs w:val="21"/>
              </w:rPr>
            </w:pPr>
            <w:r>
              <w:rPr>
                <w:kern w:val="0"/>
                <w:szCs w:val="21"/>
              </w:rPr>
              <w:t>适用于大气量低浓度恶臭气体的处理</w:t>
            </w:r>
          </w:p>
        </w:tc>
        <w:tc>
          <w:tcPr>
            <w:tcW w:w="488" w:type="pct"/>
            <w:vAlign w:val="center"/>
          </w:tcPr>
          <w:p w14:paraId="11ABF062" w14:textId="77777777" w:rsidR="00B14D53" w:rsidRDefault="00000000">
            <w:pPr>
              <w:widowControl/>
              <w:rPr>
                <w:kern w:val="0"/>
                <w:szCs w:val="21"/>
              </w:rPr>
            </w:pPr>
            <w:r>
              <w:rPr>
                <w:kern w:val="0"/>
                <w:szCs w:val="21"/>
              </w:rPr>
              <w:t>适应高中低浓度的臭气</w:t>
            </w:r>
          </w:p>
        </w:tc>
      </w:tr>
      <w:tr w:rsidR="00B14D53" w14:paraId="240CD38C" w14:textId="77777777">
        <w:tc>
          <w:tcPr>
            <w:tcW w:w="558" w:type="pct"/>
            <w:vAlign w:val="center"/>
          </w:tcPr>
          <w:p w14:paraId="64C1B97D" w14:textId="77777777" w:rsidR="00B14D53" w:rsidRDefault="00000000">
            <w:pPr>
              <w:pStyle w:val="aff6"/>
              <w:spacing w:after="0" w:line="240" w:lineRule="auto"/>
              <w:ind w:firstLineChars="0" w:firstLine="0"/>
              <w:jc w:val="center"/>
              <w:rPr>
                <w:rFonts w:ascii="Times New Roman" w:hAnsi="Times New Roman"/>
                <w:sz w:val="21"/>
                <w:szCs w:val="21"/>
              </w:rPr>
            </w:pPr>
            <w:r>
              <w:rPr>
                <w:rFonts w:ascii="Times New Roman" w:hAnsi="Times New Roman"/>
                <w:sz w:val="21"/>
                <w:szCs w:val="21"/>
              </w:rPr>
              <w:t>化学药液洗涤</w:t>
            </w:r>
          </w:p>
        </w:tc>
        <w:tc>
          <w:tcPr>
            <w:tcW w:w="1785" w:type="pct"/>
            <w:vAlign w:val="center"/>
          </w:tcPr>
          <w:p w14:paraId="76F5D4E3" w14:textId="77777777" w:rsidR="00B14D53" w:rsidRDefault="00000000">
            <w:pPr>
              <w:widowControl/>
              <w:rPr>
                <w:kern w:val="0"/>
                <w:szCs w:val="21"/>
              </w:rPr>
            </w:pPr>
            <w:r>
              <w:rPr>
                <w:kern w:val="0"/>
                <w:szCs w:val="21"/>
              </w:rPr>
              <w:t>采用酸</w:t>
            </w:r>
            <w:r>
              <w:rPr>
                <w:kern w:val="0"/>
                <w:szCs w:val="21"/>
              </w:rPr>
              <w:t>/</w:t>
            </w:r>
            <w:r>
              <w:rPr>
                <w:kern w:val="0"/>
                <w:szCs w:val="21"/>
              </w:rPr>
              <w:t>碱</w:t>
            </w:r>
            <w:r>
              <w:rPr>
                <w:kern w:val="0"/>
                <w:szCs w:val="21"/>
              </w:rPr>
              <w:t>/</w:t>
            </w:r>
            <w:r>
              <w:rPr>
                <w:kern w:val="0"/>
                <w:szCs w:val="21"/>
              </w:rPr>
              <w:t>氧化剂以不可逆转的化学反应来对恶臭物质进行去除；通常使用复数的药液分阶段地进行反应；易溶于水的臭气成分可直接溶于水，也有水洗涤法的称谓。</w:t>
            </w:r>
          </w:p>
        </w:tc>
        <w:tc>
          <w:tcPr>
            <w:tcW w:w="1012" w:type="pct"/>
            <w:vAlign w:val="center"/>
          </w:tcPr>
          <w:p w14:paraId="4FF4F88F" w14:textId="77777777" w:rsidR="00B14D53" w:rsidRDefault="00000000">
            <w:pPr>
              <w:widowControl/>
              <w:rPr>
                <w:kern w:val="0"/>
                <w:szCs w:val="21"/>
              </w:rPr>
            </w:pPr>
            <w:r>
              <w:rPr>
                <w:kern w:val="0"/>
                <w:szCs w:val="21"/>
              </w:rPr>
              <w:t>①</w:t>
            </w:r>
            <w:r>
              <w:rPr>
                <w:kern w:val="0"/>
                <w:szCs w:val="21"/>
              </w:rPr>
              <w:t>去除效率高、效果稳定；</w:t>
            </w:r>
          </w:p>
          <w:p w14:paraId="03F0559A" w14:textId="77777777" w:rsidR="00B14D53" w:rsidRDefault="00000000">
            <w:pPr>
              <w:widowControl/>
              <w:rPr>
                <w:kern w:val="0"/>
                <w:szCs w:val="21"/>
              </w:rPr>
            </w:pPr>
            <w:r>
              <w:rPr>
                <w:kern w:val="0"/>
                <w:szCs w:val="21"/>
              </w:rPr>
              <w:t>②</w:t>
            </w:r>
            <w:r>
              <w:rPr>
                <w:kern w:val="0"/>
                <w:szCs w:val="21"/>
              </w:rPr>
              <w:t>设备占地面积较小；</w:t>
            </w:r>
          </w:p>
          <w:p w14:paraId="3610ABA5" w14:textId="77777777" w:rsidR="00B14D53" w:rsidRDefault="00000000">
            <w:pPr>
              <w:widowControl/>
              <w:rPr>
                <w:kern w:val="0"/>
                <w:szCs w:val="21"/>
              </w:rPr>
            </w:pPr>
            <w:r>
              <w:rPr>
                <w:kern w:val="0"/>
                <w:szCs w:val="21"/>
              </w:rPr>
              <w:t>③</w:t>
            </w:r>
            <w:r>
              <w:rPr>
                <w:kern w:val="0"/>
                <w:szCs w:val="21"/>
              </w:rPr>
              <w:t>抗冲击负荷</w:t>
            </w:r>
          </w:p>
        </w:tc>
        <w:tc>
          <w:tcPr>
            <w:tcW w:w="1156" w:type="pct"/>
            <w:vAlign w:val="center"/>
          </w:tcPr>
          <w:p w14:paraId="3895A359" w14:textId="77777777" w:rsidR="00B14D53" w:rsidRDefault="00000000">
            <w:pPr>
              <w:widowControl/>
              <w:rPr>
                <w:kern w:val="0"/>
                <w:szCs w:val="21"/>
              </w:rPr>
            </w:pPr>
            <w:r>
              <w:rPr>
                <w:kern w:val="0"/>
                <w:szCs w:val="21"/>
              </w:rPr>
              <w:t>①</w:t>
            </w:r>
            <w:r>
              <w:rPr>
                <w:kern w:val="0"/>
                <w:szCs w:val="21"/>
              </w:rPr>
              <w:t>建设投资较高；</w:t>
            </w:r>
          </w:p>
          <w:p w14:paraId="5FA84EF8" w14:textId="77777777" w:rsidR="00B14D53" w:rsidRDefault="00000000">
            <w:pPr>
              <w:widowControl/>
              <w:rPr>
                <w:kern w:val="0"/>
                <w:szCs w:val="21"/>
              </w:rPr>
            </w:pPr>
            <w:r>
              <w:rPr>
                <w:kern w:val="0"/>
                <w:szCs w:val="21"/>
              </w:rPr>
              <w:t>②</w:t>
            </w:r>
            <w:r>
              <w:rPr>
                <w:kern w:val="0"/>
                <w:szCs w:val="21"/>
              </w:rPr>
              <w:t>运行费用（药剂费）较高；</w:t>
            </w:r>
          </w:p>
          <w:p w14:paraId="56EA5E6D" w14:textId="77777777" w:rsidR="00B14D53" w:rsidRDefault="00000000">
            <w:pPr>
              <w:widowControl/>
              <w:rPr>
                <w:kern w:val="0"/>
                <w:szCs w:val="21"/>
              </w:rPr>
            </w:pPr>
            <w:r>
              <w:rPr>
                <w:kern w:val="0"/>
                <w:szCs w:val="21"/>
              </w:rPr>
              <w:t>③</w:t>
            </w:r>
            <w:r>
              <w:rPr>
                <w:kern w:val="0"/>
                <w:szCs w:val="21"/>
              </w:rPr>
              <w:t>存在二次污染隐患（废液）；</w:t>
            </w:r>
          </w:p>
          <w:p w14:paraId="78356FBC" w14:textId="77777777" w:rsidR="00B14D53" w:rsidRDefault="00000000">
            <w:pPr>
              <w:widowControl/>
              <w:rPr>
                <w:kern w:val="0"/>
                <w:szCs w:val="21"/>
              </w:rPr>
            </w:pPr>
            <w:r>
              <w:rPr>
                <w:kern w:val="0"/>
                <w:szCs w:val="21"/>
              </w:rPr>
              <w:t>④</w:t>
            </w:r>
            <w:r>
              <w:rPr>
                <w:kern w:val="0"/>
                <w:szCs w:val="21"/>
              </w:rPr>
              <w:t>机械电气设备繁杂，故障率</w:t>
            </w:r>
          </w:p>
          <w:p w14:paraId="350C6DF8" w14:textId="77777777" w:rsidR="00B14D53" w:rsidRDefault="00000000">
            <w:pPr>
              <w:widowControl/>
              <w:rPr>
                <w:kern w:val="0"/>
                <w:szCs w:val="21"/>
              </w:rPr>
            </w:pPr>
            <w:r>
              <w:rPr>
                <w:kern w:val="0"/>
                <w:szCs w:val="21"/>
              </w:rPr>
              <w:t>高；</w:t>
            </w:r>
          </w:p>
          <w:p w14:paraId="38E38183" w14:textId="77777777" w:rsidR="00B14D53" w:rsidRDefault="00000000">
            <w:pPr>
              <w:widowControl/>
              <w:rPr>
                <w:kern w:val="0"/>
                <w:szCs w:val="21"/>
              </w:rPr>
            </w:pPr>
            <w:r>
              <w:rPr>
                <w:kern w:val="0"/>
                <w:szCs w:val="21"/>
              </w:rPr>
              <w:t>⑤</w:t>
            </w:r>
            <w:r>
              <w:rPr>
                <w:kern w:val="0"/>
                <w:szCs w:val="21"/>
              </w:rPr>
              <w:t>存在药品（酸碱溶液）安全隐患</w:t>
            </w:r>
          </w:p>
        </w:tc>
        <w:tc>
          <w:tcPr>
            <w:tcW w:w="488" w:type="pct"/>
            <w:vAlign w:val="center"/>
          </w:tcPr>
          <w:p w14:paraId="0AEC3DD5" w14:textId="77777777" w:rsidR="00B14D53" w:rsidRDefault="00000000">
            <w:pPr>
              <w:widowControl/>
              <w:rPr>
                <w:kern w:val="0"/>
                <w:szCs w:val="21"/>
              </w:rPr>
            </w:pPr>
            <w:r>
              <w:rPr>
                <w:kern w:val="0"/>
                <w:szCs w:val="21"/>
              </w:rPr>
              <w:t>适应于任何浓度臭气</w:t>
            </w:r>
          </w:p>
        </w:tc>
      </w:tr>
      <w:tr w:rsidR="00B14D53" w14:paraId="3B74459E" w14:textId="77777777">
        <w:tc>
          <w:tcPr>
            <w:tcW w:w="558" w:type="pct"/>
            <w:vAlign w:val="center"/>
          </w:tcPr>
          <w:p w14:paraId="1B1C5A0F" w14:textId="77777777" w:rsidR="00B14D53" w:rsidRDefault="00000000">
            <w:pPr>
              <w:pStyle w:val="aff6"/>
              <w:spacing w:after="0" w:line="240" w:lineRule="auto"/>
              <w:ind w:firstLineChars="0" w:firstLine="0"/>
              <w:jc w:val="center"/>
              <w:rPr>
                <w:rFonts w:ascii="Times New Roman" w:hAnsi="Times New Roman"/>
                <w:sz w:val="21"/>
                <w:szCs w:val="21"/>
              </w:rPr>
            </w:pPr>
            <w:r>
              <w:rPr>
                <w:rFonts w:ascii="Times New Roman" w:hAnsi="Times New Roman"/>
                <w:sz w:val="21"/>
                <w:szCs w:val="21"/>
              </w:rPr>
              <w:t>等离子除臭</w:t>
            </w:r>
          </w:p>
        </w:tc>
        <w:tc>
          <w:tcPr>
            <w:tcW w:w="1785" w:type="pct"/>
            <w:vAlign w:val="center"/>
          </w:tcPr>
          <w:p w14:paraId="29B7ADC5" w14:textId="77777777" w:rsidR="00B14D53" w:rsidRDefault="00000000">
            <w:pPr>
              <w:widowControl/>
              <w:rPr>
                <w:kern w:val="0"/>
                <w:szCs w:val="21"/>
              </w:rPr>
            </w:pPr>
            <w:r>
              <w:rPr>
                <w:kern w:val="0"/>
                <w:szCs w:val="21"/>
              </w:rPr>
              <w:t>通过离子发生装置发射出高能正、负离子，它与空气中的有机挥发气体分子接触，分解臭气中的恶臭物质</w:t>
            </w:r>
          </w:p>
        </w:tc>
        <w:tc>
          <w:tcPr>
            <w:tcW w:w="1012" w:type="pct"/>
            <w:vAlign w:val="center"/>
          </w:tcPr>
          <w:p w14:paraId="06921A83" w14:textId="77777777" w:rsidR="00B14D53" w:rsidRDefault="00000000">
            <w:pPr>
              <w:widowControl/>
              <w:rPr>
                <w:kern w:val="0"/>
                <w:szCs w:val="21"/>
              </w:rPr>
            </w:pPr>
            <w:r>
              <w:rPr>
                <w:kern w:val="0"/>
                <w:szCs w:val="21"/>
              </w:rPr>
              <w:t>操作简单、维护方便；可根据实际情况频繁启停设备，且适用于温差及湿度变化大的场合，无须保温保湿，操作管理及维护简便，只需每半年清洁过滤器和离子管即可</w:t>
            </w:r>
          </w:p>
        </w:tc>
        <w:tc>
          <w:tcPr>
            <w:tcW w:w="1156" w:type="pct"/>
            <w:vAlign w:val="center"/>
          </w:tcPr>
          <w:p w14:paraId="2E0FD30E" w14:textId="77777777" w:rsidR="00B14D53" w:rsidRDefault="00000000">
            <w:pPr>
              <w:widowControl/>
              <w:rPr>
                <w:kern w:val="0"/>
                <w:szCs w:val="21"/>
              </w:rPr>
            </w:pPr>
            <w:r>
              <w:rPr>
                <w:kern w:val="0"/>
                <w:szCs w:val="21"/>
              </w:rPr>
              <w:t>系统使用寿命不长，更换导致成</w:t>
            </w:r>
          </w:p>
          <w:p w14:paraId="30209428" w14:textId="77777777" w:rsidR="00B14D53" w:rsidRDefault="00000000">
            <w:pPr>
              <w:widowControl/>
              <w:rPr>
                <w:kern w:val="0"/>
                <w:szCs w:val="21"/>
              </w:rPr>
            </w:pPr>
            <w:r>
              <w:rPr>
                <w:kern w:val="0"/>
                <w:szCs w:val="21"/>
              </w:rPr>
              <w:t>本较高</w:t>
            </w:r>
          </w:p>
        </w:tc>
        <w:tc>
          <w:tcPr>
            <w:tcW w:w="488" w:type="pct"/>
            <w:vAlign w:val="center"/>
          </w:tcPr>
          <w:p w14:paraId="6CE094BA" w14:textId="77777777" w:rsidR="00B14D53" w:rsidRDefault="00000000">
            <w:pPr>
              <w:widowControl/>
              <w:rPr>
                <w:kern w:val="0"/>
                <w:szCs w:val="21"/>
              </w:rPr>
            </w:pPr>
            <w:r>
              <w:rPr>
                <w:kern w:val="0"/>
                <w:szCs w:val="21"/>
              </w:rPr>
              <w:t>适应不宜收集，低浓度</w:t>
            </w:r>
          </w:p>
          <w:p w14:paraId="7EB6875F" w14:textId="77777777" w:rsidR="00B14D53" w:rsidRDefault="00000000">
            <w:pPr>
              <w:widowControl/>
              <w:rPr>
                <w:kern w:val="0"/>
                <w:szCs w:val="21"/>
              </w:rPr>
            </w:pPr>
            <w:r>
              <w:rPr>
                <w:kern w:val="0"/>
                <w:szCs w:val="21"/>
              </w:rPr>
              <w:t>的地方</w:t>
            </w:r>
          </w:p>
        </w:tc>
      </w:tr>
      <w:tr w:rsidR="00B14D53" w14:paraId="001309D5" w14:textId="77777777">
        <w:tc>
          <w:tcPr>
            <w:tcW w:w="558" w:type="pct"/>
            <w:vAlign w:val="center"/>
          </w:tcPr>
          <w:p w14:paraId="769F8CD8" w14:textId="77777777" w:rsidR="00B14D53" w:rsidRDefault="00000000">
            <w:pPr>
              <w:pStyle w:val="aff6"/>
              <w:spacing w:after="0" w:line="240" w:lineRule="auto"/>
              <w:ind w:firstLineChars="0" w:firstLine="0"/>
              <w:jc w:val="center"/>
              <w:rPr>
                <w:rFonts w:ascii="Times New Roman" w:hAnsi="Times New Roman"/>
                <w:sz w:val="21"/>
                <w:szCs w:val="21"/>
              </w:rPr>
            </w:pPr>
            <w:r>
              <w:rPr>
                <w:rFonts w:ascii="Times New Roman" w:hAnsi="Times New Roman"/>
                <w:sz w:val="21"/>
                <w:szCs w:val="21"/>
              </w:rPr>
              <w:t>活性炭吸附</w:t>
            </w:r>
          </w:p>
        </w:tc>
        <w:tc>
          <w:tcPr>
            <w:tcW w:w="1785" w:type="pct"/>
            <w:vAlign w:val="center"/>
          </w:tcPr>
          <w:p w14:paraId="61EB417D" w14:textId="77777777" w:rsidR="00B14D53" w:rsidRDefault="00000000">
            <w:pPr>
              <w:widowControl/>
              <w:jc w:val="center"/>
              <w:rPr>
                <w:kern w:val="0"/>
                <w:szCs w:val="21"/>
              </w:rPr>
            </w:pPr>
            <w:r>
              <w:rPr>
                <w:kern w:val="0"/>
                <w:szCs w:val="21"/>
              </w:rPr>
              <w:t>通过活性炭的吸附能力，将臭气分子吸收，从而达到去除臭味的目的</w:t>
            </w:r>
          </w:p>
        </w:tc>
        <w:tc>
          <w:tcPr>
            <w:tcW w:w="1012" w:type="pct"/>
            <w:vAlign w:val="center"/>
          </w:tcPr>
          <w:p w14:paraId="193C3E8A" w14:textId="77777777" w:rsidR="00B14D53" w:rsidRDefault="00000000">
            <w:pPr>
              <w:widowControl/>
              <w:jc w:val="center"/>
              <w:rPr>
                <w:kern w:val="0"/>
                <w:szCs w:val="21"/>
              </w:rPr>
            </w:pPr>
            <w:r>
              <w:rPr>
                <w:kern w:val="0"/>
                <w:szCs w:val="21"/>
              </w:rPr>
              <w:t>①</w:t>
            </w:r>
            <w:r>
              <w:rPr>
                <w:kern w:val="0"/>
                <w:szCs w:val="21"/>
              </w:rPr>
              <w:t>设备简单，投资省；</w:t>
            </w:r>
          </w:p>
          <w:p w14:paraId="3737FDB7" w14:textId="77777777" w:rsidR="00B14D53" w:rsidRDefault="00000000">
            <w:pPr>
              <w:widowControl/>
              <w:jc w:val="center"/>
              <w:rPr>
                <w:kern w:val="0"/>
                <w:szCs w:val="21"/>
              </w:rPr>
            </w:pPr>
            <w:r>
              <w:rPr>
                <w:kern w:val="0"/>
                <w:szCs w:val="21"/>
              </w:rPr>
              <w:t>②</w:t>
            </w:r>
            <w:r>
              <w:rPr>
                <w:kern w:val="0"/>
                <w:szCs w:val="21"/>
              </w:rPr>
              <w:t>适合去除低浓度臭气；</w:t>
            </w:r>
          </w:p>
          <w:p w14:paraId="7A0D1730" w14:textId="77777777" w:rsidR="00B14D53" w:rsidRDefault="00000000">
            <w:pPr>
              <w:widowControl/>
              <w:jc w:val="center"/>
              <w:rPr>
                <w:kern w:val="0"/>
                <w:szCs w:val="21"/>
              </w:rPr>
            </w:pPr>
            <w:r>
              <w:rPr>
                <w:kern w:val="0"/>
                <w:szCs w:val="21"/>
              </w:rPr>
              <w:t>③</w:t>
            </w:r>
            <w:r>
              <w:rPr>
                <w:kern w:val="0"/>
                <w:szCs w:val="21"/>
              </w:rPr>
              <w:t>抗冲击负荷。</w:t>
            </w:r>
          </w:p>
        </w:tc>
        <w:tc>
          <w:tcPr>
            <w:tcW w:w="1156" w:type="pct"/>
            <w:vAlign w:val="center"/>
          </w:tcPr>
          <w:p w14:paraId="633F981A" w14:textId="77777777" w:rsidR="00B14D53" w:rsidRDefault="00000000">
            <w:pPr>
              <w:widowControl/>
              <w:jc w:val="center"/>
              <w:rPr>
                <w:kern w:val="0"/>
                <w:szCs w:val="21"/>
              </w:rPr>
            </w:pPr>
            <w:r>
              <w:rPr>
                <w:kern w:val="0"/>
                <w:szCs w:val="21"/>
              </w:rPr>
              <w:t>①</w:t>
            </w:r>
            <w:r>
              <w:rPr>
                <w:kern w:val="0"/>
                <w:szCs w:val="21"/>
              </w:rPr>
              <w:t>需要定期更换或再生活性炭</w:t>
            </w:r>
          </w:p>
        </w:tc>
        <w:tc>
          <w:tcPr>
            <w:tcW w:w="488" w:type="pct"/>
            <w:vAlign w:val="center"/>
          </w:tcPr>
          <w:p w14:paraId="19BB0D77" w14:textId="77777777" w:rsidR="00B14D53" w:rsidRDefault="00000000">
            <w:pPr>
              <w:widowControl/>
              <w:jc w:val="center"/>
              <w:rPr>
                <w:kern w:val="0"/>
                <w:szCs w:val="21"/>
              </w:rPr>
            </w:pPr>
            <w:r>
              <w:rPr>
                <w:kern w:val="0"/>
                <w:szCs w:val="21"/>
              </w:rPr>
              <w:t>适应于任何</w:t>
            </w:r>
          </w:p>
          <w:p w14:paraId="380056E9" w14:textId="77777777" w:rsidR="00B14D53" w:rsidRDefault="00000000">
            <w:pPr>
              <w:widowControl/>
              <w:jc w:val="center"/>
              <w:rPr>
                <w:kern w:val="0"/>
                <w:szCs w:val="21"/>
              </w:rPr>
            </w:pPr>
            <w:r>
              <w:rPr>
                <w:kern w:val="0"/>
                <w:szCs w:val="21"/>
              </w:rPr>
              <w:t>浓度臭气</w:t>
            </w:r>
          </w:p>
        </w:tc>
      </w:tr>
    </w:tbl>
    <w:p w14:paraId="756CD40B" w14:textId="77777777" w:rsidR="00B14D53" w:rsidRDefault="00B14D53">
      <w:pPr>
        <w:pStyle w:val="11111"/>
        <w:ind w:firstLine="480"/>
        <w:rPr>
          <w:rFonts w:ascii="Times New Roman" w:hAnsi="Times New Roman" w:cs="Times New Roman"/>
        </w:rPr>
        <w:sectPr w:rsidR="00B14D53">
          <w:pgSz w:w="16840" w:h="11910" w:orient="landscape"/>
          <w:pgMar w:top="1307" w:right="1138" w:bottom="1308" w:left="1163" w:header="897" w:footer="998" w:gutter="0"/>
          <w:cols w:space="720"/>
        </w:sectPr>
      </w:pPr>
    </w:p>
    <w:p w14:paraId="6B0F9584" w14:textId="77777777" w:rsidR="00B14D53" w:rsidRDefault="00000000">
      <w:pPr>
        <w:spacing w:line="360" w:lineRule="auto"/>
        <w:ind w:firstLineChars="200" w:firstLine="480"/>
        <w:rPr>
          <w:sz w:val="24"/>
        </w:rPr>
      </w:pPr>
      <w:r>
        <w:rPr>
          <w:sz w:val="24"/>
        </w:rPr>
        <w:t>综上所述，本项目采用引风机集气收集</w:t>
      </w:r>
      <w:r>
        <w:rPr>
          <w:sz w:val="24"/>
        </w:rPr>
        <w:t>+</w:t>
      </w:r>
      <w:r>
        <w:rPr>
          <w:sz w:val="24"/>
        </w:rPr>
        <w:t>活性炭吸附作为污水处理站恶臭净化方法。</w:t>
      </w:r>
    </w:p>
    <w:p w14:paraId="4FE7E99B" w14:textId="77777777" w:rsidR="00B14D53" w:rsidRDefault="00000000">
      <w:pPr>
        <w:spacing w:line="360" w:lineRule="auto"/>
        <w:ind w:firstLineChars="200" w:firstLine="480"/>
        <w:rPr>
          <w:sz w:val="24"/>
        </w:rPr>
      </w:pPr>
      <w:bookmarkStart w:id="240" w:name="_Toc19539"/>
      <w:bookmarkStart w:id="241" w:name="_Toc4593"/>
      <w:bookmarkStart w:id="242" w:name="_Toc23419"/>
      <w:bookmarkStart w:id="243" w:name="_Toc21761"/>
      <w:r>
        <w:rPr>
          <w:rFonts w:hint="eastAsia"/>
          <w:sz w:val="24"/>
        </w:rPr>
        <w:t>（</w:t>
      </w:r>
      <w:r>
        <w:rPr>
          <w:rFonts w:hint="eastAsia"/>
          <w:sz w:val="24"/>
        </w:rPr>
        <w:t>1</w:t>
      </w:r>
      <w:r>
        <w:rPr>
          <w:rFonts w:hint="eastAsia"/>
          <w:sz w:val="24"/>
        </w:rPr>
        <w:t>）</w:t>
      </w:r>
      <w:r>
        <w:rPr>
          <w:sz w:val="24"/>
        </w:rPr>
        <w:t>有组织恶臭污染防治措施</w:t>
      </w:r>
      <w:bookmarkEnd w:id="240"/>
      <w:bookmarkEnd w:id="241"/>
      <w:bookmarkEnd w:id="242"/>
      <w:bookmarkEnd w:id="243"/>
    </w:p>
    <w:bookmarkStart w:id="244" w:name="_Toc13619"/>
    <w:bookmarkStart w:id="245" w:name="_Toc31011"/>
    <w:p w14:paraId="0EF9B481" w14:textId="77777777" w:rsidR="00B14D53" w:rsidRDefault="00000000">
      <w:pPr>
        <w:spacing w:line="360" w:lineRule="auto"/>
        <w:ind w:firstLineChars="200" w:firstLine="480"/>
        <w:rPr>
          <w:sz w:val="24"/>
        </w:rPr>
      </w:pPr>
      <w:r>
        <w:rPr>
          <w:sz w:val="24"/>
        </w:rPr>
        <w:fldChar w:fldCharType="begin"/>
      </w:r>
      <w:r>
        <w:rPr>
          <w:sz w:val="24"/>
        </w:rPr>
        <w:instrText xml:space="preserve"> = 1 \* GB3 \* MERGEFORMAT </w:instrText>
      </w:r>
      <w:r>
        <w:rPr>
          <w:sz w:val="24"/>
        </w:rPr>
        <w:fldChar w:fldCharType="separate"/>
      </w:r>
      <w:r>
        <w:rPr>
          <w:sz w:val="24"/>
        </w:rPr>
        <w:t>①</w:t>
      </w:r>
      <w:r>
        <w:rPr>
          <w:sz w:val="24"/>
        </w:rPr>
        <w:fldChar w:fldCharType="end"/>
      </w:r>
      <w:r>
        <w:rPr>
          <w:sz w:val="24"/>
        </w:rPr>
        <w:t>待宰圈</w:t>
      </w:r>
      <w:bookmarkEnd w:id="244"/>
      <w:bookmarkEnd w:id="245"/>
    </w:p>
    <w:p w14:paraId="1C8E807F" w14:textId="77777777" w:rsidR="00B14D53" w:rsidRDefault="00000000">
      <w:pPr>
        <w:spacing w:line="360" w:lineRule="auto"/>
        <w:ind w:firstLineChars="200" w:firstLine="480"/>
        <w:rPr>
          <w:color w:val="000000" w:themeColor="text1"/>
          <w:sz w:val="24"/>
        </w:rPr>
      </w:pPr>
      <w:r>
        <w:rPr>
          <w:color w:val="000000" w:themeColor="text1"/>
          <w:sz w:val="24"/>
        </w:rPr>
        <w:t>待宰圈是为生猪提供存放、观察及休息的场所，待宰圈的恶臭主要来自畜禽尿液，主要会产生氨、硫化氢等恶臭气体，若未及时清除或清除后不能及时处理，将会使臭味成倍增加，并会孳生大量蚊蝇，影响环境卫生。</w:t>
      </w:r>
    </w:p>
    <w:p w14:paraId="21E4547E" w14:textId="77777777" w:rsidR="00B14D53" w:rsidRDefault="00000000">
      <w:pPr>
        <w:spacing w:line="360" w:lineRule="auto"/>
        <w:ind w:firstLineChars="200" w:firstLine="480"/>
        <w:rPr>
          <w:sz w:val="24"/>
        </w:rPr>
      </w:pPr>
      <w:r>
        <w:rPr>
          <w:sz w:val="24"/>
        </w:rPr>
        <w:t>本项目</w:t>
      </w:r>
      <w:r>
        <w:rPr>
          <w:rFonts w:hint="eastAsia"/>
          <w:sz w:val="24"/>
        </w:rPr>
        <w:t>2</w:t>
      </w:r>
      <w:r>
        <w:rPr>
          <w:rFonts w:hint="eastAsia"/>
          <w:sz w:val="24"/>
        </w:rPr>
        <w:t>间</w:t>
      </w:r>
      <w:r>
        <w:rPr>
          <w:sz w:val="24"/>
        </w:rPr>
        <w:t>待宰圈</w:t>
      </w:r>
      <w:r>
        <w:rPr>
          <w:rFonts w:hint="eastAsia"/>
          <w:sz w:val="24"/>
        </w:rPr>
        <w:t>均</w:t>
      </w:r>
      <w:r>
        <w:rPr>
          <w:sz w:val="24"/>
        </w:rPr>
        <w:t>封闭，</w:t>
      </w:r>
      <w:r>
        <w:rPr>
          <w:bCs/>
          <w:sz w:val="24"/>
        </w:rPr>
        <w:t>采用引风机集中收集的方式，</w:t>
      </w:r>
      <w:r>
        <w:rPr>
          <w:rFonts w:hint="eastAsia"/>
          <w:bCs/>
          <w:sz w:val="24"/>
        </w:rPr>
        <w:t>分别</w:t>
      </w:r>
      <w:r>
        <w:rPr>
          <w:bCs/>
          <w:sz w:val="24"/>
        </w:rPr>
        <w:t>设置</w:t>
      </w:r>
      <w:r>
        <w:rPr>
          <w:bCs/>
          <w:sz w:val="24"/>
        </w:rPr>
        <w:t>1</w:t>
      </w:r>
      <w:r>
        <w:rPr>
          <w:bCs/>
          <w:sz w:val="24"/>
        </w:rPr>
        <w:t>台风量</w:t>
      </w:r>
      <w:r>
        <w:rPr>
          <w:rFonts w:hint="eastAsia"/>
          <w:bCs/>
          <w:sz w:val="24"/>
        </w:rPr>
        <w:t>1</w:t>
      </w:r>
      <w:r>
        <w:rPr>
          <w:bCs/>
          <w:sz w:val="24"/>
        </w:rPr>
        <w:t>000m</w:t>
      </w:r>
      <w:r>
        <w:rPr>
          <w:bCs/>
          <w:sz w:val="24"/>
          <w:vertAlign w:val="superscript"/>
        </w:rPr>
        <w:t>3</w:t>
      </w:r>
      <w:r>
        <w:rPr>
          <w:bCs/>
          <w:sz w:val="24"/>
        </w:rPr>
        <w:t>/h</w:t>
      </w:r>
      <w:r>
        <w:rPr>
          <w:bCs/>
          <w:sz w:val="24"/>
        </w:rPr>
        <w:t>的风机收集恶臭污染物，同时待宰圈经过及时清扫并定期喷洒生物除臭剂可降低臭气浓度，收集的废气通过活性炭吸附净化后</w:t>
      </w:r>
      <w:r>
        <w:rPr>
          <w:rFonts w:hint="eastAsia"/>
          <w:bCs/>
          <w:sz w:val="24"/>
        </w:rPr>
        <w:t>分别</w:t>
      </w:r>
      <w:r>
        <w:rPr>
          <w:bCs/>
          <w:sz w:val="24"/>
        </w:rPr>
        <w:t>经</w:t>
      </w:r>
      <w:r>
        <w:rPr>
          <w:rFonts w:hint="eastAsia"/>
          <w:bCs/>
          <w:sz w:val="24"/>
        </w:rPr>
        <w:t>2</w:t>
      </w:r>
      <w:r>
        <w:rPr>
          <w:rFonts w:hint="eastAsia"/>
          <w:bCs/>
          <w:sz w:val="24"/>
        </w:rPr>
        <w:t>根</w:t>
      </w:r>
      <w:r>
        <w:rPr>
          <w:bCs/>
          <w:sz w:val="24"/>
        </w:rPr>
        <w:t>15m</w:t>
      </w:r>
      <w:r>
        <w:rPr>
          <w:bCs/>
          <w:sz w:val="24"/>
        </w:rPr>
        <w:t>高排气筒（</w:t>
      </w:r>
      <w:r>
        <w:rPr>
          <w:bCs/>
          <w:sz w:val="24"/>
        </w:rPr>
        <w:t>DA001</w:t>
      </w:r>
      <w:r>
        <w:rPr>
          <w:rFonts w:hint="eastAsia"/>
          <w:bCs/>
          <w:sz w:val="24"/>
        </w:rPr>
        <w:t>、</w:t>
      </w:r>
      <w:r>
        <w:rPr>
          <w:rFonts w:hint="eastAsia"/>
          <w:bCs/>
          <w:sz w:val="24"/>
        </w:rPr>
        <w:t>DA002</w:t>
      </w:r>
      <w:r>
        <w:rPr>
          <w:bCs/>
          <w:sz w:val="24"/>
        </w:rPr>
        <w:t>）排放。</w:t>
      </w:r>
      <w:r>
        <w:rPr>
          <w:rFonts w:hint="eastAsia"/>
          <w:bCs/>
          <w:sz w:val="24"/>
        </w:rPr>
        <w:t>污染物排放</w:t>
      </w:r>
      <w:r>
        <w:rPr>
          <w:sz w:val="24"/>
        </w:rPr>
        <w:t>满足《恶臭污染物排放标准》（</w:t>
      </w:r>
      <w:r>
        <w:rPr>
          <w:sz w:val="24"/>
        </w:rPr>
        <w:t>GB14554-93</w:t>
      </w:r>
      <w:r>
        <w:rPr>
          <w:sz w:val="24"/>
        </w:rPr>
        <w:t>）</w:t>
      </w:r>
      <w:r>
        <w:rPr>
          <w:rFonts w:hint="eastAsia"/>
          <w:sz w:val="24"/>
        </w:rPr>
        <w:t>表</w:t>
      </w:r>
      <w:r>
        <w:rPr>
          <w:rFonts w:hint="eastAsia"/>
          <w:sz w:val="24"/>
        </w:rPr>
        <w:t>2</w:t>
      </w:r>
      <w:r>
        <w:rPr>
          <w:rFonts w:hint="eastAsia"/>
          <w:sz w:val="24"/>
        </w:rPr>
        <w:t>标准</w:t>
      </w:r>
      <w:r>
        <w:rPr>
          <w:sz w:val="24"/>
        </w:rPr>
        <w:t>，对周围环境影响较小。</w:t>
      </w:r>
    </w:p>
    <w:p w14:paraId="4F8A1CC5" w14:textId="77777777" w:rsidR="00B14D53" w:rsidRDefault="00000000">
      <w:pPr>
        <w:spacing w:line="360" w:lineRule="auto"/>
        <w:ind w:firstLineChars="200" w:firstLine="480"/>
        <w:rPr>
          <w:sz w:val="24"/>
        </w:rPr>
      </w:pPr>
      <w:bookmarkStart w:id="246" w:name="_Toc1935"/>
      <w:bookmarkStart w:id="247" w:name="_Toc18225"/>
      <w:r>
        <w:rPr>
          <w:sz w:val="24"/>
        </w:rPr>
        <w:t>项目</w:t>
      </w:r>
      <w:r>
        <w:rPr>
          <w:rFonts w:hint="eastAsia"/>
          <w:sz w:val="24"/>
        </w:rPr>
        <w:t>待宰圈</w:t>
      </w:r>
      <w:r>
        <w:rPr>
          <w:sz w:val="24"/>
        </w:rPr>
        <w:t>废气采用喷洒除臭剂、废气集中收集经活性炭吸附处理符合《排污许可证申请与核发技术规范农副食品加工工业</w:t>
      </w:r>
      <w:r>
        <w:rPr>
          <w:sz w:val="24"/>
        </w:rPr>
        <w:t>—</w:t>
      </w:r>
      <w:r>
        <w:rPr>
          <w:sz w:val="24"/>
        </w:rPr>
        <w:t>屠宰及肉类加工工业》（</w:t>
      </w:r>
      <w:r>
        <w:rPr>
          <w:sz w:val="24"/>
        </w:rPr>
        <w:t>HJ860.3-2018</w:t>
      </w:r>
      <w:r>
        <w:rPr>
          <w:sz w:val="24"/>
        </w:rPr>
        <w:t>）及</w:t>
      </w:r>
      <w:r>
        <w:rPr>
          <w:bCs/>
          <w:sz w:val="24"/>
        </w:rPr>
        <w:t>《屠宰及肉类加工业污染防治可行技术指南》（</w:t>
      </w:r>
      <w:r>
        <w:rPr>
          <w:bCs/>
          <w:sz w:val="24"/>
        </w:rPr>
        <w:t>HJ1285—2023</w:t>
      </w:r>
      <w:r>
        <w:rPr>
          <w:bCs/>
          <w:sz w:val="24"/>
        </w:rPr>
        <w:t>）</w:t>
      </w:r>
      <w:r>
        <w:rPr>
          <w:sz w:val="24"/>
        </w:rPr>
        <w:t>要求。</w:t>
      </w:r>
    </w:p>
    <w:p w14:paraId="007E97D9" w14:textId="77777777" w:rsidR="00B14D53" w:rsidRDefault="00000000">
      <w:pPr>
        <w:spacing w:line="360" w:lineRule="auto"/>
        <w:ind w:firstLineChars="200" w:firstLine="480"/>
        <w:rPr>
          <w:sz w:val="24"/>
        </w:rPr>
      </w:pPr>
      <w:r>
        <w:rPr>
          <w:sz w:val="24"/>
        </w:rPr>
        <w:fldChar w:fldCharType="begin"/>
      </w:r>
      <w:r>
        <w:rPr>
          <w:sz w:val="24"/>
        </w:rPr>
        <w:instrText xml:space="preserve"> = 2 \* GB3 \* MERGEFORMAT </w:instrText>
      </w:r>
      <w:r>
        <w:rPr>
          <w:sz w:val="24"/>
        </w:rPr>
        <w:fldChar w:fldCharType="separate"/>
      </w:r>
      <w:r>
        <w:rPr>
          <w:sz w:val="24"/>
        </w:rPr>
        <w:t>②</w:t>
      </w:r>
      <w:r>
        <w:rPr>
          <w:sz w:val="24"/>
        </w:rPr>
        <w:fldChar w:fldCharType="end"/>
      </w:r>
      <w:bookmarkEnd w:id="246"/>
      <w:bookmarkEnd w:id="247"/>
      <w:r>
        <w:rPr>
          <w:rFonts w:hint="eastAsia"/>
          <w:sz w:val="24"/>
        </w:rPr>
        <w:t>屠宰车间</w:t>
      </w:r>
    </w:p>
    <w:p w14:paraId="139410FD" w14:textId="77777777" w:rsidR="00B14D53" w:rsidRDefault="00000000">
      <w:pPr>
        <w:spacing w:line="360" w:lineRule="auto"/>
        <w:ind w:firstLineChars="200" w:firstLine="480"/>
        <w:rPr>
          <w:color w:val="000000" w:themeColor="text1"/>
          <w:sz w:val="24"/>
          <w:lang w:val="zh-CN"/>
        </w:rPr>
      </w:pPr>
      <w:r>
        <w:rPr>
          <w:rFonts w:hint="eastAsia"/>
          <w:color w:val="000000" w:themeColor="text1"/>
          <w:sz w:val="24"/>
          <w:lang w:val="zh-CN"/>
        </w:rPr>
        <w:t>屠宰车间</w:t>
      </w:r>
      <w:r>
        <w:rPr>
          <w:color w:val="000000" w:themeColor="text1"/>
          <w:sz w:val="24"/>
          <w:lang w:val="zh-CN"/>
        </w:rPr>
        <w:t>内湿度较高，屠宰后牲畜的湿皮、血、肠肚、粪尿等产生的臭气混杂在一起，形成刺鼻的腥臭味。</w:t>
      </w:r>
    </w:p>
    <w:p w14:paraId="325C7362" w14:textId="77777777" w:rsidR="00B14D53" w:rsidRDefault="00000000">
      <w:pPr>
        <w:pStyle w:val="af2"/>
        <w:spacing w:after="0" w:line="360" w:lineRule="auto"/>
        <w:ind w:firstLineChars="200" w:firstLine="480"/>
        <w:rPr>
          <w:color w:val="000000" w:themeColor="text1"/>
          <w:sz w:val="24"/>
        </w:rPr>
      </w:pPr>
      <w:r>
        <w:rPr>
          <w:color w:val="000000" w:themeColor="text1"/>
          <w:sz w:val="24"/>
        </w:rPr>
        <w:t>本项目通过在屠宰车间安装集风管道，采用引风机集中收集的方式，风量</w:t>
      </w:r>
      <w:r>
        <w:rPr>
          <w:rFonts w:hint="eastAsia"/>
          <w:color w:val="000000" w:themeColor="text1"/>
          <w:sz w:val="24"/>
        </w:rPr>
        <w:t>2</w:t>
      </w:r>
      <w:r>
        <w:rPr>
          <w:color w:val="000000" w:themeColor="text1"/>
          <w:sz w:val="24"/>
        </w:rPr>
        <w:t>000m</w:t>
      </w:r>
      <w:r>
        <w:rPr>
          <w:color w:val="000000" w:themeColor="text1"/>
          <w:sz w:val="24"/>
          <w:vertAlign w:val="superscript"/>
        </w:rPr>
        <w:t>3</w:t>
      </w:r>
      <w:r>
        <w:rPr>
          <w:color w:val="000000" w:themeColor="text1"/>
          <w:sz w:val="24"/>
        </w:rPr>
        <w:t>/h</w:t>
      </w:r>
      <w:r>
        <w:rPr>
          <w:color w:val="000000" w:themeColor="text1"/>
          <w:sz w:val="24"/>
        </w:rPr>
        <w:t>，收集的废气通过活性炭吸附净化后由</w:t>
      </w:r>
      <w:r>
        <w:rPr>
          <w:rFonts w:hint="eastAsia"/>
          <w:color w:val="000000" w:themeColor="text1"/>
          <w:sz w:val="24"/>
        </w:rPr>
        <w:t>1</w:t>
      </w:r>
      <w:r>
        <w:rPr>
          <w:rFonts w:hint="eastAsia"/>
          <w:color w:val="000000" w:themeColor="text1"/>
          <w:sz w:val="24"/>
        </w:rPr>
        <w:t>根</w:t>
      </w:r>
      <w:r>
        <w:rPr>
          <w:color w:val="000000" w:themeColor="text1"/>
          <w:sz w:val="24"/>
        </w:rPr>
        <w:t>15m</w:t>
      </w:r>
      <w:r>
        <w:rPr>
          <w:color w:val="000000" w:themeColor="text1"/>
          <w:sz w:val="24"/>
        </w:rPr>
        <w:t>高排气筒（</w:t>
      </w:r>
      <w:r>
        <w:rPr>
          <w:color w:val="000000" w:themeColor="text1"/>
          <w:sz w:val="24"/>
        </w:rPr>
        <w:t>DA00</w:t>
      </w:r>
      <w:r>
        <w:rPr>
          <w:rFonts w:hint="eastAsia"/>
          <w:color w:val="000000" w:themeColor="text1"/>
          <w:sz w:val="24"/>
        </w:rPr>
        <w:t>3</w:t>
      </w:r>
      <w:r>
        <w:rPr>
          <w:color w:val="000000" w:themeColor="text1"/>
          <w:sz w:val="24"/>
        </w:rPr>
        <w:t>）排放。屠宰车间增加清洗车间地面频次，</w:t>
      </w:r>
      <w:r>
        <w:rPr>
          <w:rFonts w:hint="eastAsia"/>
          <w:color w:val="000000" w:themeColor="text1"/>
          <w:sz w:val="24"/>
        </w:rPr>
        <w:t>及时清理车间废弃物</w:t>
      </w:r>
      <w:r>
        <w:rPr>
          <w:color w:val="000000" w:themeColor="text1"/>
          <w:sz w:val="24"/>
        </w:rPr>
        <w:t>。有组织恶臭气体满足《恶臭污染物排放标准》（</w:t>
      </w:r>
      <w:r>
        <w:rPr>
          <w:color w:val="000000" w:themeColor="text1"/>
          <w:sz w:val="24"/>
        </w:rPr>
        <w:t>GB14554-93</w:t>
      </w:r>
      <w:r>
        <w:rPr>
          <w:color w:val="000000" w:themeColor="text1"/>
          <w:sz w:val="24"/>
        </w:rPr>
        <w:t>）中表</w:t>
      </w:r>
      <w:r>
        <w:rPr>
          <w:color w:val="000000" w:themeColor="text1"/>
          <w:sz w:val="24"/>
        </w:rPr>
        <w:t>2</w:t>
      </w:r>
      <w:r>
        <w:rPr>
          <w:color w:val="000000" w:themeColor="text1"/>
          <w:sz w:val="24"/>
        </w:rPr>
        <w:t>中限值要求。</w:t>
      </w:r>
    </w:p>
    <w:p w14:paraId="1FC341CB" w14:textId="77777777" w:rsidR="00B14D53" w:rsidRDefault="00000000">
      <w:pPr>
        <w:spacing w:line="360" w:lineRule="auto"/>
        <w:ind w:firstLineChars="200" w:firstLine="480"/>
        <w:rPr>
          <w:sz w:val="24"/>
        </w:rPr>
      </w:pPr>
      <w:bookmarkStart w:id="248" w:name="_Toc3784"/>
      <w:bookmarkStart w:id="249" w:name="_Toc24962"/>
      <w:r>
        <w:rPr>
          <w:sz w:val="24"/>
        </w:rPr>
        <w:t>项目</w:t>
      </w:r>
      <w:r>
        <w:rPr>
          <w:rFonts w:hint="eastAsia"/>
          <w:sz w:val="24"/>
        </w:rPr>
        <w:t>屠宰车间</w:t>
      </w:r>
      <w:r>
        <w:rPr>
          <w:sz w:val="24"/>
        </w:rPr>
        <w:t>废气集中收集经活性炭吸附处理符合《排污许可证申请与核发技术规范农副食品加工工业</w:t>
      </w:r>
      <w:r>
        <w:rPr>
          <w:sz w:val="24"/>
        </w:rPr>
        <w:t>—</w:t>
      </w:r>
      <w:r>
        <w:rPr>
          <w:sz w:val="24"/>
        </w:rPr>
        <w:t>屠宰及肉类加工工业》（</w:t>
      </w:r>
      <w:r>
        <w:rPr>
          <w:sz w:val="24"/>
        </w:rPr>
        <w:t>HJ860.3-2018</w:t>
      </w:r>
      <w:r>
        <w:rPr>
          <w:sz w:val="24"/>
        </w:rPr>
        <w:t>）及</w:t>
      </w:r>
      <w:r>
        <w:rPr>
          <w:bCs/>
          <w:sz w:val="24"/>
        </w:rPr>
        <w:t>《屠宰及肉类加工业污染防治可行技术指南》（</w:t>
      </w:r>
      <w:r>
        <w:rPr>
          <w:bCs/>
          <w:sz w:val="24"/>
        </w:rPr>
        <w:t>HJ1285—2023</w:t>
      </w:r>
      <w:r>
        <w:rPr>
          <w:bCs/>
          <w:sz w:val="24"/>
        </w:rPr>
        <w:t>）</w:t>
      </w:r>
      <w:r>
        <w:rPr>
          <w:sz w:val="24"/>
        </w:rPr>
        <w:t>要求。</w:t>
      </w:r>
    </w:p>
    <w:p w14:paraId="20BFDA02" w14:textId="77777777" w:rsidR="00B14D53" w:rsidRDefault="00000000">
      <w:pPr>
        <w:spacing w:line="360" w:lineRule="auto"/>
        <w:ind w:firstLineChars="200" w:firstLine="480"/>
        <w:rPr>
          <w:sz w:val="24"/>
        </w:rPr>
      </w:pPr>
      <w:r>
        <w:rPr>
          <w:sz w:val="24"/>
        </w:rPr>
        <w:fldChar w:fldCharType="begin"/>
      </w:r>
      <w:r>
        <w:rPr>
          <w:sz w:val="24"/>
        </w:rPr>
        <w:instrText xml:space="preserve"> = 3 \* GB3 \* MERGEFORMAT </w:instrText>
      </w:r>
      <w:r>
        <w:rPr>
          <w:sz w:val="24"/>
        </w:rPr>
        <w:fldChar w:fldCharType="separate"/>
      </w:r>
      <w:r>
        <w:rPr>
          <w:sz w:val="24"/>
        </w:rPr>
        <w:t>③</w:t>
      </w:r>
      <w:r>
        <w:rPr>
          <w:sz w:val="24"/>
        </w:rPr>
        <w:fldChar w:fldCharType="end"/>
      </w:r>
      <w:r>
        <w:rPr>
          <w:sz w:val="24"/>
        </w:rPr>
        <w:t>污水处理站</w:t>
      </w:r>
      <w:bookmarkEnd w:id="248"/>
      <w:bookmarkEnd w:id="249"/>
    </w:p>
    <w:p w14:paraId="7B1B44F8" w14:textId="77777777" w:rsidR="00B14D53" w:rsidRDefault="00000000">
      <w:pPr>
        <w:spacing w:line="360" w:lineRule="auto"/>
        <w:ind w:firstLineChars="200" w:firstLine="480"/>
        <w:rPr>
          <w:color w:val="000000" w:themeColor="text1"/>
          <w:kern w:val="0"/>
          <w:sz w:val="24"/>
        </w:rPr>
      </w:pPr>
      <w:r>
        <w:rPr>
          <w:color w:val="000000" w:themeColor="text1"/>
          <w:kern w:val="0"/>
          <w:sz w:val="24"/>
        </w:rPr>
        <w:t>本项目污水处理站封闭，采用</w:t>
      </w:r>
      <w:r>
        <w:rPr>
          <w:rFonts w:hint="eastAsia"/>
          <w:color w:val="000000" w:themeColor="text1"/>
          <w:kern w:val="0"/>
          <w:sz w:val="24"/>
        </w:rPr>
        <w:t>引风机</w:t>
      </w:r>
      <w:r>
        <w:rPr>
          <w:color w:val="000000" w:themeColor="text1"/>
          <w:kern w:val="0"/>
          <w:sz w:val="24"/>
        </w:rPr>
        <w:t>集中收集废气，</w:t>
      </w:r>
      <w:r>
        <w:rPr>
          <w:rFonts w:hint="eastAsia"/>
          <w:color w:val="000000" w:themeColor="text1"/>
          <w:kern w:val="0"/>
          <w:sz w:val="24"/>
        </w:rPr>
        <w:t>引风机</w:t>
      </w:r>
      <w:r>
        <w:rPr>
          <w:color w:val="000000" w:themeColor="text1"/>
          <w:kern w:val="0"/>
          <w:sz w:val="24"/>
        </w:rPr>
        <w:t>收集的废气通过活性炭吸附净化后由</w:t>
      </w:r>
      <w:r>
        <w:rPr>
          <w:color w:val="000000" w:themeColor="text1"/>
          <w:kern w:val="0"/>
          <w:sz w:val="24"/>
        </w:rPr>
        <w:t>1</w:t>
      </w:r>
      <w:r>
        <w:rPr>
          <w:color w:val="000000" w:themeColor="text1"/>
          <w:kern w:val="0"/>
          <w:sz w:val="24"/>
        </w:rPr>
        <w:t>根</w:t>
      </w:r>
      <w:r>
        <w:rPr>
          <w:color w:val="000000" w:themeColor="text1"/>
          <w:kern w:val="0"/>
          <w:sz w:val="24"/>
        </w:rPr>
        <w:t>15m</w:t>
      </w:r>
      <w:r>
        <w:rPr>
          <w:color w:val="000000" w:themeColor="text1"/>
          <w:kern w:val="0"/>
          <w:sz w:val="24"/>
        </w:rPr>
        <w:t>高排气筒排放（</w:t>
      </w:r>
      <w:r>
        <w:rPr>
          <w:color w:val="000000" w:themeColor="text1"/>
          <w:kern w:val="0"/>
          <w:sz w:val="24"/>
        </w:rPr>
        <w:t>DA00</w:t>
      </w:r>
      <w:r>
        <w:rPr>
          <w:rFonts w:hint="eastAsia"/>
          <w:color w:val="000000" w:themeColor="text1"/>
          <w:kern w:val="0"/>
          <w:sz w:val="24"/>
        </w:rPr>
        <w:t>4</w:t>
      </w:r>
      <w:r>
        <w:rPr>
          <w:color w:val="000000" w:themeColor="text1"/>
          <w:kern w:val="0"/>
          <w:sz w:val="24"/>
        </w:rPr>
        <w:t>）。有组织恶臭气体满足《恶臭污染物排放标准》（</w:t>
      </w:r>
      <w:r>
        <w:rPr>
          <w:color w:val="000000" w:themeColor="text1"/>
          <w:kern w:val="0"/>
          <w:sz w:val="24"/>
        </w:rPr>
        <w:t>GB14554-93</w:t>
      </w:r>
      <w:r>
        <w:rPr>
          <w:color w:val="000000" w:themeColor="text1"/>
          <w:kern w:val="0"/>
          <w:sz w:val="24"/>
        </w:rPr>
        <w:t>）中表</w:t>
      </w:r>
      <w:r>
        <w:rPr>
          <w:color w:val="000000" w:themeColor="text1"/>
          <w:kern w:val="0"/>
          <w:sz w:val="24"/>
        </w:rPr>
        <w:t>2</w:t>
      </w:r>
      <w:r>
        <w:rPr>
          <w:color w:val="000000" w:themeColor="text1"/>
          <w:kern w:val="0"/>
          <w:sz w:val="24"/>
        </w:rPr>
        <w:t>中限值要求。</w:t>
      </w:r>
    </w:p>
    <w:p w14:paraId="6031D62A" w14:textId="77777777" w:rsidR="00B14D53" w:rsidRDefault="00000000">
      <w:pPr>
        <w:spacing w:line="360" w:lineRule="auto"/>
        <w:ind w:firstLineChars="200" w:firstLine="480"/>
        <w:rPr>
          <w:color w:val="000000" w:themeColor="text1"/>
          <w:kern w:val="0"/>
          <w:sz w:val="24"/>
        </w:rPr>
      </w:pPr>
      <w:bookmarkStart w:id="250" w:name="_Toc24560"/>
      <w:bookmarkStart w:id="251" w:name="_Toc4161"/>
      <w:bookmarkStart w:id="252" w:name="_Toc2039"/>
      <w:bookmarkStart w:id="253" w:name="_Toc6255"/>
      <w:r>
        <w:rPr>
          <w:color w:val="000000" w:themeColor="text1"/>
          <w:kern w:val="0"/>
          <w:sz w:val="24"/>
        </w:rPr>
        <w:t>项目污水处理站废气集中收集经活性炭吸附处理符合《排污许可证申请与核发技术规范农副食品加工工业</w:t>
      </w:r>
      <w:r>
        <w:rPr>
          <w:color w:val="000000" w:themeColor="text1"/>
          <w:kern w:val="0"/>
          <w:sz w:val="24"/>
        </w:rPr>
        <w:t>—</w:t>
      </w:r>
      <w:r>
        <w:rPr>
          <w:color w:val="000000" w:themeColor="text1"/>
          <w:kern w:val="0"/>
          <w:sz w:val="24"/>
        </w:rPr>
        <w:t>屠宰及肉类加工工业》（</w:t>
      </w:r>
      <w:r>
        <w:rPr>
          <w:color w:val="000000" w:themeColor="text1"/>
          <w:kern w:val="0"/>
          <w:sz w:val="24"/>
        </w:rPr>
        <w:t>HJ860.3-2018</w:t>
      </w:r>
      <w:r>
        <w:rPr>
          <w:color w:val="000000" w:themeColor="text1"/>
          <w:kern w:val="0"/>
          <w:sz w:val="24"/>
        </w:rPr>
        <w:t>）及《屠宰及肉类加工业污染防治可行技术指南》（</w:t>
      </w:r>
      <w:r>
        <w:rPr>
          <w:color w:val="000000" w:themeColor="text1"/>
          <w:kern w:val="0"/>
          <w:sz w:val="24"/>
        </w:rPr>
        <w:t>HJ1285—2023</w:t>
      </w:r>
      <w:r>
        <w:rPr>
          <w:color w:val="000000" w:themeColor="text1"/>
          <w:kern w:val="0"/>
          <w:sz w:val="24"/>
        </w:rPr>
        <w:t>）要求。</w:t>
      </w:r>
    </w:p>
    <w:p w14:paraId="72F1F96C" w14:textId="77777777" w:rsidR="00B14D53" w:rsidRDefault="00000000">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无组织</w:t>
      </w:r>
      <w:r>
        <w:rPr>
          <w:rFonts w:hint="eastAsia"/>
          <w:sz w:val="24"/>
        </w:rPr>
        <w:t>恶臭气体</w:t>
      </w:r>
      <w:r>
        <w:rPr>
          <w:sz w:val="24"/>
        </w:rPr>
        <w:t>排放污染防治措施</w:t>
      </w:r>
      <w:bookmarkEnd w:id="250"/>
      <w:bookmarkEnd w:id="251"/>
      <w:bookmarkEnd w:id="252"/>
      <w:bookmarkEnd w:id="253"/>
    </w:p>
    <w:p w14:paraId="47FAA137" w14:textId="77777777" w:rsidR="00B14D53" w:rsidRDefault="00000000">
      <w:pPr>
        <w:spacing w:line="360" w:lineRule="auto"/>
        <w:ind w:firstLineChars="200" w:firstLine="480"/>
        <w:rPr>
          <w:sz w:val="24"/>
        </w:rPr>
      </w:pPr>
      <w:r>
        <w:rPr>
          <w:sz w:val="24"/>
        </w:rPr>
        <w:t>项目无组织恶臭气体来自于待宰圈、屠宰车间、污水处理站散发的恶臭。</w:t>
      </w:r>
    </w:p>
    <w:bookmarkStart w:id="254" w:name="_Toc17078"/>
    <w:bookmarkStart w:id="255" w:name="_Toc14634"/>
    <w:bookmarkStart w:id="256" w:name="_Toc32558"/>
    <w:p w14:paraId="750793EB" w14:textId="77777777" w:rsidR="00B14D53" w:rsidRDefault="00000000">
      <w:pPr>
        <w:spacing w:line="360" w:lineRule="auto"/>
        <w:ind w:firstLineChars="200" w:firstLine="480"/>
        <w:rPr>
          <w:sz w:val="24"/>
        </w:rPr>
      </w:pPr>
      <w:r>
        <w:rPr>
          <w:sz w:val="24"/>
        </w:rPr>
        <w:fldChar w:fldCharType="begin"/>
      </w:r>
      <w:r>
        <w:rPr>
          <w:sz w:val="24"/>
        </w:rPr>
        <w:instrText xml:space="preserve"> = 1 \* GB3 \* MERGEFORMAT </w:instrText>
      </w:r>
      <w:r>
        <w:rPr>
          <w:sz w:val="24"/>
        </w:rPr>
        <w:fldChar w:fldCharType="separate"/>
      </w:r>
      <w:r>
        <w:rPr>
          <w:sz w:val="24"/>
        </w:rPr>
        <w:t>①</w:t>
      </w:r>
      <w:r>
        <w:rPr>
          <w:sz w:val="24"/>
        </w:rPr>
        <w:fldChar w:fldCharType="end"/>
      </w:r>
      <w:r>
        <w:rPr>
          <w:sz w:val="24"/>
        </w:rPr>
        <w:t>待宰圈</w:t>
      </w:r>
      <w:bookmarkEnd w:id="254"/>
      <w:bookmarkEnd w:id="255"/>
      <w:bookmarkEnd w:id="256"/>
      <w:r>
        <w:rPr>
          <w:rFonts w:hint="eastAsia"/>
          <w:sz w:val="24"/>
        </w:rPr>
        <w:t>、</w:t>
      </w:r>
      <w:r>
        <w:rPr>
          <w:sz w:val="24"/>
        </w:rPr>
        <w:t>屠宰车间、污水处理站</w:t>
      </w:r>
    </w:p>
    <w:p w14:paraId="3EC28F83" w14:textId="77777777" w:rsidR="00B14D53" w:rsidRDefault="00000000">
      <w:pPr>
        <w:spacing w:line="360" w:lineRule="auto"/>
        <w:ind w:firstLineChars="200" w:firstLine="480"/>
        <w:rPr>
          <w:sz w:val="24"/>
        </w:rPr>
      </w:pPr>
      <w:bookmarkStart w:id="257" w:name="_Toc9901"/>
      <w:bookmarkStart w:id="258" w:name="_Toc16718"/>
      <w:r>
        <w:rPr>
          <w:sz w:val="24"/>
        </w:rPr>
        <w:t>本项目</w:t>
      </w:r>
      <w:r>
        <w:rPr>
          <w:rFonts w:hint="eastAsia"/>
          <w:sz w:val="24"/>
        </w:rPr>
        <w:t>待宰圈、</w:t>
      </w:r>
      <w:r>
        <w:rPr>
          <w:sz w:val="24"/>
        </w:rPr>
        <w:t>污水处理站风机收集不到的恶臭气体，</w:t>
      </w:r>
      <w:r>
        <w:rPr>
          <w:rFonts w:hint="eastAsia"/>
          <w:sz w:val="24"/>
        </w:rPr>
        <w:t>通过喷洒除臭剂、</w:t>
      </w:r>
      <w:r>
        <w:rPr>
          <w:sz w:val="24"/>
        </w:rPr>
        <w:t>加强管理</w:t>
      </w:r>
      <w:r>
        <w:rPr>
          <w:rFonts w:hint="eastAsia"/>
          <w:sz w:val="24"/>
        </w:rPr>
        <w:t>、</w:t>
      </w:r>
      <w:r>
        <w:rPr>
          <w:sz w:val="24"/>
        </w:rPr>
        <w:t>增加通风次数</w:t>
      </w:r>
      <w:r>
        <w:rPr>
          <w:rFonts w:hint="eastAsia"/>
          <w:sz w:val="24"/>
        </w:rPr>
        <w:t>、及时清理清运的方式减少无组织恶臭排放</w:t>
      </w:r>
      <w:r>
        <w:rPr>
          <w:sz w:val="24"/>
        </w:rPr>
        <w:t>。</w:t>
      </w:r>
    </w:p>
    <w:p w14:paraId="49087938" w14:textId="77777777" w:rsidR="00B14D53" w:rsidRDefault="00000000">
      <w:pPr>
        <w:spacing w:line="360" w:lineRule="auto"/>
        <w:ind w:firstLineChars="200" w:firstLine="480"/>
        <w:rPr>
          <w:sz w:val="24"/>
        </w:rPr>
      </w:pPr>
      <w:r>
        <w:rPr>
          <w:sz w:val="24"/>
        </w:rPr>
        <w:fldChar w:fldCharType="begin"/>
      </w:r>
      <w:r>
        <w:rPr>
          <w:sz w:val="24"/>
        </w:rPr>
        <w:instrText xml:space="preserve"> = 2 \* GB3 \* MERGEFORMAT </w:instrText>
      </w:r>
      <w:r>
        <w:rPr>
          <w:sz w:val="24"/>
        </w:rPr>
        <w:fldChar w:fldCharType="separate"/>
      </w:r>
      <w:r>
        <w:rPr>
          <w:sz w:val="24"/>
        </w:rPr>
        <w:t>②</w:t>
      </w:r>
      <w:r>
        <w:rPr>
          <w:sz w:val="24"/>
        </w:rPr>
        <w:fldChar w:fldCharType="end"/>
      </w:r>
      <w:r>
        <w:rPr>
          <w:sz w:val="24"/>
        </w:rPr>
        <w:t>固废暂存</w:t>
      </w:r>
      <w:bookmarkEnd w:id="257"/>
      <w:bookmarkEnd w:id="258"/>
    </w:p>
    <w:p w14:paraId="651F3102" w14:textId="77777777" w:rsidR="00B14D53" w:rsidRDefault="00000000">
      <w:pPr>
        <w:autoSpaceDE w:val="0"/>
        <w:autoSpaceDN w:val="0"/>
        <w:spacing w:line="360" w:lineRule="auto"/>
        <w:ind w:firstLineChars="200" w:firstLine="480"/>
        <w:rPr>
          <w:sz w:val="24"/>
        </w:rPr>
      </w:pPr>
      <w:r>
        <w:rPr>
          <w:rFonts w:hint="eastAsia"/>
          <w:sz w:val="24"/>
        </w:rPr>
        <w:t>本项目会产生恶臭的固废主要为</w:t>
      </w:r>
      <w:r>
        <w:rPr>
          <w:sz w:val="24"/>
        </w:rPr>
        <w:t>待宰圈产生的猪粪</w:t>
      </w:r>
      <w:r>
        <w:rPr>
          <w:rFonts w:hint="eastAsia"/>
          <w:sz w:val="24"/>
        </w:rPr>
        <w:t>，屠宰加车间产生的</w:t>
      </w:r>
      <w:r>
        <w:rPr>
          <w:sz w:val="24"/>
        </w:rPr>
        <w:t>肠胃内容物</w:t>
      </w:r>
      <w:r>
        <w:rPr>
          <w:rFonts w:hint="eastAsia"/>
          <w:sz w:val="24"/>
        </w:rPr>
        <w:t>、</w:t>
      </w:r>
      <w:r>
        <w:rPr>
          <w:sz w:val="24"/>
        </w:rPr>
        <w:t>病变腺体、内脏及</w:t>
      </w:r>
      <w:r>
        <w:rPr>
          <w:rFonts w:hint="eastAsia"/>
          <w:sz w:val="24"/>
        </w:rPr>
        <w:t>残留</w:t>
      </w:r>
      <w:r>
        <w:rPr>
          <w:sz w:val="24"/>
        </w:rPr>
        <w:t>脂肪</w:t>
      </w:r>
      <w:r>
        <w:rPr>
          <w:rFonts w:hint="eastAsia"/>
          <w:sz w:val="24"/>
        </w:rPr>
        <w:t>，非正常工况产生的病死猪。污水处理产生的栅渣及污泥存在于污水处理站内，污水处理站密闭，清掏后外运不在厂内暂存，因此不单独考虑该部分恶臭。</w:t>
      </w:r>
    </w:p>
    <w:p w14:paraId="78A8077E" w14:textId="77777777" w:rsidR="00B14D53" w:rsidRDefault="00000000">
      <w:pPr>
        <w:autoSpaceDE w:val="0"/>
        <w:autoSpaceDN w:val="0"/>
        <w:spacing w:line="360" w:lineRule="auto"/>
        <w:ind w:firstLineChars="200" w:firstLine="480"/>
        <w:rPr>
          <w:sz w:val="24"/>
        </w:rPr>
      </w:pPr>
      <w:r>
        <w:rPr>
          <w:sz w:val="24"/>
        </w:rPr>
        <w:t>猪粪</w:t>
      </w:r>
      <w:r>
        <w:rPr>
          <w:rFonts w:hint="eastAsia"/>
          <w:sz w:val="24"/>
        </w:rPr>
        <w:t>、肠胃内容物</w:t>
      </w:r>
      <w:r>
        <w:rPr>
          <w:sz w:val="24"/>
        </w:rPr>
        <w:t>清理至包装桶内，暂存于待宰圈内，每日生产结束后清运一次</w:t>
      </w:r>
      <w:r>
        <w:rPr>
          <w:rFonts w:hint="eastAsia"/>
          <w:sz w:val="24"/>
        </w:rPr>
        <w:t>，待宰圈喷洒除臭剂。</w:t>
      </w:r>
      <w:r>
        <w:rPr>
          <w:sz w:val="24"/>
        </w:rPr>
        <w:t>病变腺体、内脏及</w:t>
      </w:r>
      <w:r>
        <w:rPr>
          <w:rFonts w:hint="eastAsia"/>
          <w:sz w:val="24"/>
        </w:rPr>
        <w:t>残留</w:t>
      </w:r>
      <w:r>
        <w:rPr>
          <w:sz w:val="24"/>
        </w:rPr>
        <w:t>脂肪</w:t>
      </w:r>
      <w:r>
        <w:rPr>
          <w:rFonts w:hint="eastAsia"/>
          <w:sz w:val="24"/>
        </w:rPr>
        <w:t>、非正常工况产生的病死猪会产生恶臭，存储于固废暂存间内的冷藏柜中，可有效减少恶臭气体产生。</w:t>
      </w:r>
    </w:p>
    <w:p w14:paraId="613470F2" w14:textId="77777777" w:rsidR="00B14D53" w:rsidRDefault="00000000">
      <w:pPr>
        <w:autoSpaceDE w:val="0"/>
        <w:autoSpaceDN w:val="0"/>
        <w:spacing w:line="360" w:lineRule="auto"/>
        <w:ind w:firstLineChars="200" w:firstLine="480"/>
        <w:rPr>
          <w:sz w:val="24"/>
        </w:rPr>
      </w:pPr>
      <w:r>
        <w:rPr>
          <w:sz w:val="24"/>
        </w:rPr>
        <w:t>为了进一步减轻恶臭对厂内外环境的影响，建议项目方在厂界四周种植</w:t>
      </w:r>
      <w:r>
        <w:rPr>
          <w:sz w:val="24"/>
        </w:rPr>
        <w:t>10m</w:t>
      </w:r>
      <w:r>
        <w:rPr>
          <w:sz w:val="24"/>
        </w:rPr>
        <w:t>宽乔木类植物绿化隔离带，一方面可改善厂内环境，另一方面植被具有隔音、净化空气、杀菌、滞尘等功能，从一定程度上减少恶臭污染物对周围环境的影响。</w:t>
      </w:r>
    </w:p>
    <w:p w14:paraId="33DDDDA4" w14:textId="77777777" w:rsidR="00B14D53" w:rsidRDefault="00000000">
      <w:pPr>
        <w:autoSpaceDE w:val="0"/>
        <w:autoSpaceDN w:val="0"/>
        <w:spacing w:line="360" w:lineRule="auto"/>
        <w:ind w:firstLineChars="200" w:firstLine="480"/>
        <w:rPr>
          <w:sz w:val="24"/>
        </w:rPr>
      </w:pPr>
      <w:r>
        <w:rPr>
          <w:sz w:val="24"/>
        </w:rPr>
        <w:t>通过采取上述措施，厂界</w:t>
      </w:r>
      <w:r>
        <w:rPr>
          <w:rFonts w:hint="eastAsia"/>
          <w:sz w:val="24"/>
        </w:rPr>
        <w:t>氨</w:t>
      </w:r>
      <w:r>
        <w:rPr>
          <w:sz w:val="24"/>
        </w:rPr>
        <w:t>浓度可控制在</w:t>
      </w:r>
      <w:r>
        <w:rPr>
          <w:sz w:val="24"/>
        </w:rPr>
        <w:t>1.5mg/m</w:t>
      </w:r>
      <w:r>
        <w:rPr>
          <w:sz w:val="24"/>
          <w:vertAlign w:val="superscript"/>
        </w:rPr>
        <w:t>3</w:t>
      </w:r>
      <w:r>
        <w:rPr>
          <w:sz w:val="24"/>
        </w:rPr>
        <w:t>以下，厂界硫化氢浓度可控制在</w:t>
      </w:r>
      <w:r>
        <w:rPr>
          <w:sz w:val="24"/>
        </w:rPr>
        <w:t>0.06mg/m</w:t>
      </w:r>
      <w:r>
        <w:rPr>
          <w:sz w:val="24"/>
          <w:vertAlign w:val="superscript"/>
        </w:rPr>
        <w:t>3</w:t>
      </w:r>
      <w:r>
        <w:rPr>
          <w:sz w:val="24"/>
        </w:rPr>
        <w:t>以下，臭气浓度控制在</w:t>
      </w:r>
      <w:r>
        <w:rPr>
          <w:sz w:val="24"/>
        </w:rPr>
        <w:t>20</w:t>
      </w:r>
      <w:r>
        <w:rPr>
          <w:sz w:val="24"/>
        </w:rPr>
        <w:t>（无量纲）以下，能够达到《恶臭污染物排放标准》（</w:t>
      </w:r>
      <w:r>
        <w:rPr>
          <w:sz w:val="24"/>
        </w:rPr>
        <w:t>GB14554-93</w:t>
      </w:r>
      <w:r>
        <w:rPr>
          <w:sz w:val="24"/>
        </w:rPr>
        <w:t>）厂界标准值的表</w:t>
      </w:r>
      <w:r>
        <w:rPr>
          <w:sz w:val="24"/>
        </w:rPr>
        <w:t>1</w:t>
      </w:r>
      <w:r>
        <w:rPr>
          <w:sz w:val="24"/>
        </w:rPr>
        <w:t>中二级</w:t>
      </w:r>
      <w:r>
        <w:rPr>
          <w:rFonts w:hint="eastAsia"/>
          <w:sz w:val="24"/>
        </w:rPr>
        <w:t>新改扩建</w:t>
      </w:r>
      <w:r>
        <w:rPr>
          <w:sz w:val="24"/>
        </w:rPr>
        <w:t>标准要求。</w:t>
      </w:r>
    </w:p>
    <w:p w14:paraId="618C9B5E" w14:textId="77777777" w:rsidR="00B14D53" w:rsidRDefault="00000000">
      <w:pPr>
        <w:autoSpaceDE w:val="0"/>
        <w:autoSpaceDN w:val="0"/>
        <w:spacing w:line="360" w:lineRule="auto"/>
        <w:ind w:firstLineChars="200" w:firstLine="480"/>
        <w:rPr>
          <w:sz w:val="24"/>
        </w:rPr>
      </w:pPr>
      <w:bookmarkStart w:id="259" w:name="_Toc13648"/>
      <w:bookmarkStart w:id="260" w:name="_Toc930"/>
      <w:r>
        <w:rPr>
          <w:rFonts w:hint="eastAsia"/>
          <w:sz w:val="24"/>
        </w:rPr>
        <w:t>（</w:t>
      </w:r>
      <w:r>
        <w:rPr>
          <w:rFonts w:hint="eastAsia"/>
          <w:sz w:val="24"/>
        </w:rPr>
        <w:t>3</w:t>
      </w:r>
      <w:r>
        <w:rPr>
          <w:rFonts w:hint="eastAsia"/>
          <w:sz w:val="24"/>
        </w:rPr>
        <w:t>）</w:t>
      </w:r>
      <w:r>
        <w:rPr>
          <w:sz w:val="24"/>
        </w:rPr>
        <w:t>生猪运输沿线恶臭防范措施</w:t>
      </w:r>
      <w:bookmarkEnd w:id="259"/>
      <w:bookmarkEnd w:id="260"/>
    </w:p>
    <w:p w14:paraId="6A31473A" w14:textId="77777777" w:rsidR="00B14D53" w:rsidRDefault="00000000">
      <w:pPr>
        <w:autoSpaceDE w:val="0"/>
        <w:autoSpaceDN w:val="0"/>
        <w:spacing w:line="360" w:lineRule="auto"/>
        <w:ind w:firstLineChars="200" w:firstLine="480"/>
        <w:rPr>
          <w:sz w:val="24"/>
        </w:rPr>
      </w:pPr>
      <w:r>
        <w:rPr>
          <w:sz w:val="24"/>
        </w:rPr>
        <w:t>生猪进场运输车辆对沿线居民的生活产生一定的影响。车辆运输对环境敏感点的影响主要是恶臭和道路扬尘。由于汽车流增加，地面扬尘也随之增加，生猪运输过程中产生的恶臭，对沿途居民会产生心理上及感官上的不良影响。为了减轻因商品猪车辆引起的交通噪声及运输过程产生的恶臭影响等，建议加强以下措施进行防范：</w:t>
      </w:r>
    </w:p>
    <w:p w14:paraId="7F86735A" w14:textId="77777777" w:rsidR="00B14D53" w:rsidRDefault="00000000">
      <w:pPr>
        <w:autoSpaceDE w:val="0"/>
        <w:autoSpaceDN w:val="0"/>
        <w:spacing w:line="360" w:lineRule="auto"/>
        <w:ind w:firstLineChars="200" w:firstLine="480"/>
        <w:rPr>
          <w:sz w:val="24"/>
        </w:rPr>
      </w:pPr>
      <w:r>
        <w:rPr>
          <w:rFonts w:hint="eastAsia"/>
          <w:sz w:val="24"/>
        </w:rPr>
        <w:fldChar w:fldCharType="begin"/>
      </w:r>
      <w:r>
        <w:rPr>
          <w:rFonts w:hint="eastAsia"/>
          <w:sz w:val="24"/>
        </w:rPr>
        <w:instrText xml:space="preserve"> = 1 \* GB3 \* MERGEFORMAT </w:instrText>
      </w:r>
      <w:r>
        <w:rPr>
          <w:rFonts w:hint="eastAsia"/>
          <w:sz w:val="24"/>
        </w:rPr>
        <w:fldChar w:fldCharType="separate"/>
      </w:r>
      <w:r>
        <w:t>①</w:t>
      </w:r>
      <w:r>
        <w:rPr>
          <w:rFonts w:hint="eastAsia"/>
          <w:sz w:val="24"/>
        </w:rPr>
        <w:fldChar w:fldCharType="end"/>
      </w:r>
      <w:r>
        <w:rPr>
          <w:sz w:val="24"/>
        </w:rPr>
        <w:t>根据生产实际情况，合理调度汽车运输。汽车运输尽量选择工作时间运输，尽量避开居民餐宿时间运输。</w:t>
      </w:r>
    </w:p>
    <w:p w14:paraId="64044A7D" w14:textId="77777777" w:rsidR="00B14D53" w:rsidRDefault="00000000">
      <w:pPr>
        <w:autoSpaceDE w:val="0"/>
        <w:autoSpaceDN w:val="0"/>
        <w:spacing w:line="360" w:lineRule="auto"/>
        <w:ind w:firstLineChars="200" w:firstLine="480"/>
        <w:rPr>
          <w:sz w:val="24"/>
        </w:rPr>
      </w:pPr>
      <w:r>
        <w:rPr>
          <w:rFonts w:hint="eastAsia"/>
          <w:sz w:val="24"/>
        </w:rPr>
        <w:fldChar w:fldCharType="begin"/>
      </w:r>
      <w:r>
        <w:rPr>
          <w:rFonts w:hint="eastAsia"/>
          <w:sz w:val="24"/>
        </w:rPr>
        <w:instrText xml:space="preserve"> = 2 \* GB3 \* MERGEFORMAT </w:instrText>
      </w:r>
      <w:r>
        <w:rPr>
          <w:rFonts w:hint="eastAsia"/>
          <w:sz w:val="24"/>
        </w:rPr>
        <w:fldChar w:fldCharType="separate"/>
      </w:r>
      <w:r>
        <w:t>②</w:t>
      </w:r>
      <w:r>
        <w:rPr>
          <w:rFonts w:hint="eastAsia"/>
          <w:sz w:val="24"/>
        </w:rPr>
        <w:fldChar w:fldCharType="end"/>
      </w:r>
      <w:r>
        <w:rPr>
          <w:sz w:val="24"/>
        </w:rPr>
        <w:t>优化运输路线，使运输路线尽量选择距离居民敏感点较远、地域比较开阔的地段，尽量避开居民敏感点。</w:t>
      </w:r>
    </w:p>
    <w:p w14:paraId="13AA94EC" w14:textId="77777777" w:rsidR="00B14D53" w:rsidRDefault="00000000">
      <w:pPr>
        <w:autoSpaceDE w:val="0"/>
        <w:autoSpaceDN w:val="0"/>
        <w:spacing w:line="360" w:lineRule="auto"/>
        <w:ind w:firstLineChars="200" w:firstLine="480"/>
        <w:rPr>
          <w:sz w:val="24"/>
        </w:rPr>
      </w:pPr>
      <w:r>
        <w:rPr>
          <w:rFonts w:hint="eastAsia"/>
          <w:sz w:val="24"/>
        </w:rPr>
        <w:fldChar w:fldCharType="begin"/>
      </w:r>
      <w:r>
        <w:rPr>
          <w:rFonts w:hint="eastAsia"/>
          <w:sz w:val="24"/>
        </w:rPr>
        <w:instrText xml:space="preserve"> = 3 \* GB3 \* MERGEFORMAT </w:instrText>
      </w:r>
      <w:r>
        <w:rPr>
          <w:rFonts w:hint="eastAsia"/>
          <w:sz w:val="24"/>
        </w:rPr>
        <w:fldChar w:fldCharType="separate"/>
      </w:r>
      <w:r>
        <w:t>③</w:t>
      </w:r>
      <w:r>
        <w:rPr>
          <w:rFonts w:hint="eastAsia"/>
          <w:sz w:val="24"/>
        </w:rPr>
        <w:fldChar w:fldCharType="end"/>
      </w:r>
      <w:r>
        <w:rPr>
          <w:sz w:val="24"/>
        </w:rPr>
        <w:t>商品猪出栏装车前应进行彻底清洗，冲净粪便和身上的污物。</w:t>
      </w:r>
    </w:p>
    <w:bookmarkStart w:id="261" w:name="_Toc21672"/>
    <w:bookmarkStart w:id="262" w:name="_Toc1388"/>
    <w:p w14:paraId="121FF0B6" w14:textId="77777777" w:rsidR="00B14D53" w:rsidRDefault="00000000">
      <w:pPr>
        <w:autoSpaceDE w:val="0"/>
        <w:autoSpaceDN w:val="0"/>
        <w:spacing w:line="360" w:lineRule="auto"/>
        <w:ind w:firstLineChars="200" w:firstLine="480"/>
        <w:rPr>
          <w:sz w:val="24"/>
        </w:rPr>
      </w:pPr>
      <w:r>
        <w:rPr>
          <w:rFonts w:hint="eastAsia"/>
          <w:sz w:val="24"/>
        </w:rPr>
        <w:fldChar w:fldCharType="begin"/>
      </w:r>
      <w:r>
        <w:rPr>
          <w:rFonts w:hint="eastAsia"/>
          <w:sz w:val="24"/>
        </w:rPr>
        <w:instrText xml:space="preserve"> = 4 \* GB3 \* MERGEFORMAT </w:instrText>
      </w:r>
      <w:r>
        <w:rPr>
          <w:rFonts w:hint="eastAsia"/>
          <w:sz w:val="24"/>
        </w:rPr>
        <w:fldChar w:fldCharType="separate"/>
      </w:r>
      <w:r>
        <w:t>④</w:t>
      </w:r>
      <w:r>
        <w:rPr>
          <w:rFonts w:hint="eastAsia"/>
          <w:sz w:val="24"/>
        </w:rPr>
        <w:fldChar w:fldCharType="end"/>
      </w:r>
      <w:r>
        <w:rPr>
          <w:sz w:val="24"/>
        </w:rPr>
        <w:t>猪只运输车辆注意消毒，保持清洁。</w:t>
      </w:r>
      <w:bookmarkEnd w:id="261"/>
      <w:bookmarkEnd w:id="262"/>
    </w:p>
    <w:p w14:paraId="6E623AD3" w14:textId="77777777" w:rsidR="00B14D53" w:rsidRDefault="00000000">
      <w:pPr>
        <w:autoSpaceDE w:val="0"/>
        <w:autoSpaceDN w:val="0"/>
        <w:spacing w:line="360" w:lineRule="auto"/>
        <w:ind w:firstLineChars="200" w:firstLine="480"/>
        <w:rPr>
          <w:sz w:val="24"/>
        </w:rPr>
      </w:pPr>
      <w:r>
        <w:rPr>
          <w:rFonts w:hint="eastAsia"/>
          <w:sz w:val="24"/>
        </w:rPr>
        <w:fldChar w:fldCharType="begin"/>
      </w:r>
      <w:r>
        <w:rPr>
          <w:rFonts w:hint="eastAsia"/>
          <w:sz w:val="24"/>
        </w:rPr>
        <w:instrText xml:space="preserve"> = 5 \* GB3 \* MERGEFORMAT </w:instrText>
      </w:r>
      <w:r>
        <w:rPr>
          <w:rFonts w:hint="eastAsia"/>
          <w:sz w:val="24"/>
        </w:rPr>
        <w:fldChar w:fldCharType="separate"/>
      </w:r>
      <w:r>
        <w:t>⑤</w:t>
      </w:r>
      <w:r>
        <w:rPr>
          <w:rFonts w:hint="eastAsia"/>
          <w:sz w:val="24"/>
        </w:rPr>
        <w:fldChar w:fldCharType="end"/>
      </w:r>
      <w:r>
        <w:rPr>
          <w:sz w:val="24"/>
        </w:rPr>
        <w:t>应尽量选择半封闭式的运输车辆，最大可能地防止恶臭对城区运输路线两边居民的影响。</w:t>
      </w:r>
    </w:p>
    <w:bookmarkStart w:id="263" w:name="_Toc13023"/>
    <w:bookmarkStart w:id="264" w:name="_Toc30231"/>
    <w:p w14:paraId="4977A025" w14:textId="77777777" w:rsidR="00B14D53" w:rsidRDefault="00000000">
      <w:pPr>
        <w:autoSpaceDE w:val="0"/>
        <w:autoSpaceDN w:val="0"/>
        <w:spacing w:line="360" w:lineRule="auto"/>
        <w:ind w:firstLineChars="200" w:firstLine="480"/>
        <w:rPr>
          <w:sz w:val="24"/>
        </w:rPr>
      </w:pPr>
      <w:r>
        <w:rPr>
          <w:sz w:val="24"/>
        </w:rPr>
        <w:fldChar w:fldCharType="begin"/>
      </w:r>
      <w:r>
        <w:rPr>
          <w:sz w:val="24"/>
        </w:rPr>
        <w:instrText xml:space="preserve"> = 6 \* GB3 \* MERGEFORMAT </w:instrText>
      </w:r>
      <w:r>
        <w:rPr>
          <w:sz w:val="24"/>
        </w:rPr>
        <w:fldChar w:fldCharType="separate"/>
      </w:r>
      <w:r>
        <w:t>⑥</w:t>
      </w:r>
      <w:r>
        <w:rPr>
          <w:sz w:val="24"/>
        </w:rPr>
        <w:fldChar w:fldCharType="end"/>
      </w:r>
      <w:r>
        <w:rPr>
          <w:sz w:val="24"/>
        </w:rPr>
        <w:t>运输车辆必须按定额载重量运输，严禁超载行驶。</w:t>
      </w:r>
      <w:bookmarkEnd w:id="263"/>
      <w:bookmarkEnd w:id="264"/>
    </w:p>
    <w:p w14:paraId="0D479013" w14:textId="37F2BB7D"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hyperlink r:id="rId72" w:history="1">
        <w:r>
          <w:rPr>
            <w:rFonts w:ascii="Times New Roman" w:eastAsia="黑体" w:hAnsi="Times New Roman" w:cs="Times New Roman"/>
            <w:b w:val="0"/>
            <w:sz w:val="24"/>
            <w:szCs w:val="24"/>
          </w:rPr>
          <w:t>6.2.</w:t>
        </w:r>
        <w:r>
          <w:rPr>
            <w:rFonts w:ascii="Times New Roman" w:eastAsia="黑体" w:hAnsi="Times New Roman" w:cs="Times New Roman" w:hint="eastAsia"/>
            <w:b w:val="0"/>
            <w:sz w:val="24"/>
            <w:szCs w:val="24"/>
          </w:rPr>
          <w:t>1</w:t>
        </w:r>
        <w:r>
          <w:rPr>
            <w:rFonts w:ascii="Times New Roman" w:eastAsia="黑体" w:hAnsi="Times New Roman" w:cs="Times New Roman"/>
            <w:b w:val="0"/>
            <w:sz w:val="24"/>
            <w:szCs w:val="24"/>
          </w:rPr>
          <w:t>.</w:t>
        </w:r>
        <w:r>
          <w:rPr>
            <w:rFonts w:ascii="Times New Roman" w:eastAsia="黑体" w:hAnsi="Times New Roman" w:cs="Times New Roman" w:hint="eastAsia"/>
            <w:b w:val="0"/>
            <w:sz w:val="24"/>
            <w:szCs w:val="24"/>
          </w:rPr>
          <w:t>2</w:t>
        </w:r>
      </w:hyperlink>
      <w:r>
        <w:rPr>
          <w:rFonts w:ascii="Times New Roman" w:eastAsia="黑体" w:hAnsi="Times New Roman" w:cs="Times New Roman"/>
          <w:b w:val="0"/>
          <w:sz w:val="24"/>
          <w:szCs w:val="24"/>
        </w:rPr>
        <w:t>大气环境防护距离及卫生防护距离</w:t>
      </w:r>
    </w:p>
    <w:p w14:paraId="0D6EDA35" w14:textId="77777777" w:rsidR="00B14D53" w:rsidRDefault="00000000">
      <w:pPr>
        <w:widowControl/>
        <w:kinsoku w:val="0"/>
        <w:autoSpaceDE w:val="0"/>
        <w:autoSpaceDN w:val="0"/>
        <w:spacing w:line="360" w:lineRule="auto"/>
        <w:ind w:firstLineChars="200" w:firstLine="480"/>
        <w:textAlignment w:val="baseline"/>
        <w:rPr>
          <w:kern w:val="21"/>
          <w:sz w:val="24"/>
        </w:rPr>
      </w:pPr>
      <w:bookmarkStart w:id="265" w:name="_Toc10911"/>
      <w:bookmarkStart w:id="266" w:name="_Toc14111"/>
      <w:bookmarkStart w:id="267" w:name="_Toc11947"/>
      <w:bookmarkStart w:id="268" w:name="_Toc12216"/>
      <w:r>
        <w:rPr>
          <w:rFonts w:hint="eastAsia"/>
          <w:kern w:val="21"/>
          <w:sz w:val="24"/>
        </w:rPr>
        <w:t>（</w:t>
      </w:r>
      <w:r>
        <w:rPr>
          <w:rFonts w:hint="eastAsia"/>
          <w:kern w:val="21"/>
          <w:sz w:val="24"/>
        </w:rPr>
        <w:t>1</w:t>
      </w:r>
      <w:r>
        <w:rPr>
          <w:rFonts w:hint="eastAsia"/>
          <w:kern w:val="21"/>
          <w:sz w:val="24"/>
        </w:rPr>
        <w:t>）</w:t>
      </w:r>
      <w:r>
        <w:rPr>
          <w:kern w:val="21"/>
          <w:sz w:val="24"/>
        </w:rPr>
        <w:t>大气环境防护距离</w:t>
      </w:r>
      <w:bookmarkEnd w:id="265"/>
      <w:bookmarkEnd w:id="266"/>
      <w:bookmarkEnd w:id="267"/>
      <w:bookmarkEnd w:id="268"/>
    </w:p>
    <w:p w14:paraId="70B5EAA8" w14:textId="77777777" w:rsidR="00B14D53" w:rsidRDefault="00000000">
      <w:pPr>
        <w:widowControl/>
        <w:kinsoku w:val="0"/>
        <w:autoSpaceDE w:val="0"/>
        <w:autoSpaceDN w:val="0"/>
        <w:spacing w:line="360" w:lineRule="auto"/>
        <w:ind w:firstLineChars="200" w:firstLine="480"/>
        <w:textAlignment w:val="baseline"/>
        <w:rPr>
          <w:kern w:val="21"/>
          <w:sz w:val="24"/>
        </w:rPr>
      </w:pPr>
      <w:r>
        <w:rPr>
          <w:kern w:val="21"/>
          <w:sz w:val="24"/>
        </w:rPr>
        <w:t>根据《环境影响评价技术导则</w:t>
      </w:r>
      <w:r>
        <w:rPr>
          <w:kern w:val="21"/>
          <w:sz w:val="24"/>
        </w:rPr>
        <w:t xml:space="preserve"> </w:t>
      </w:r>
      <w:r>
        <w:rPr>
          <w:kern w:val="21"/>
          <w:sz w:val="24"/>
        </w:rPr>
        <w:t>大气环境》（</w:t>
      </w:r>
      <w:r>
        <w:rPr>
          <w:kern w:val="21"/>
          <w:sz w:val="24"/>
        </w:rPr>
        <w:t>HJ 2.2-2018</w:t>
      </w:r>
      <w:r>
        <w:rPr>
          <w:kern w:val="21"/>
          <w:sz w:val="24"/>
        </w:rPr>
        <w:t>）中对于大气环境防护距离确定的相关内容，</w:t>
      </w:r>
      <w:r>
        <w:rPr>
          <w:kern w:val="21"/>
          <w:sz w:val="24"/>
        </w:rPr>
        <w:t>“</w:t>
      </w:r>
      <w:r>
        <w:rPr>
          <w:kern w:val="21"/>
          <w:sz w:val="24"/>
        </w:rPr>
        <w:t>采用进一步预测模型模拟评价基准年内，本项目所有污染源对厂界外主要污染物的短期贡献浓度分布。在底图上标注从厂界起所有超过环境质量短期浓度标准值的网格区域，以自厂界起至超标区域的最远垂直距离作为大气环境防护距离</w:t>
      </w:r>
      <w:r>
        <w:rPr>
          <w:kern w:val="21"/>
          <w:sz w:val="24"/>
        </w:rPr>
        <w:t>”</w:t>
      </w:r>
      <w:r>
        <w:rPr>
          <w:kern w:val="21"/>
          <w:sz w:val="24"/>
        </w:rPr>
        <w:t>。</w:t>
      </w:r>
    </w:p>
    <w:p w14:paraId="0DF83335" w14:textId="77777777" w:rsidR="00B14D53" w:rsidRDefault="00000000">
      <w:pPr>
        <w:widowControl/>
        <w:kinsoku w:val="0"/>
        <w:autoSpaceDE w:val="0"/>
        <w:autoSpaceDN w:val="0"/>
        <w:spacing w:line="360" w:lineRule="auto"/>
        <w:ind w:firstLineChars="200" w:firstLine="480"/>
        <w:textAlignment w:val="baseline"/>
        <w:rPr>
          <w:kern w:val="21"/>
          <w:sz w:val="24"/>
        </w:rPr>
      </w:pPr>
      <w:r>
        <w:rPr>
          <w:rFonts w:eastAsiaTheme="minorEastAsia" w:hAnsiTheme="minorEastAsia" w:hint="eastAsia"/>
          <w:bCs/>
          <w:sz w:val="24"/>
        </w:rPr>
        <w:t>根据估算模型计算结果，本项目大气环境评价工作等级为二级，不进行进一步预测与评价，厂界外污染物短期贡献浓度值未超过环境质量短期浓度标准值，因此不设置大气环境防护距</w:t>
      </w:r>
      <w:r>
        <w:rPr>
          <w:rFonts w:eastAsiaTheme="minorEastAsia" w:hAnsiTheme="minorEastAsia"/>
          <w:bCs/>
          <w:sz w:val="24"/>
        </w:rPr>
        <w:t>离</w:t>
      </w:r>
      <w:r>
        <w:rPr>
          <w:kern w:val="21"/>
          <w:sz w:val="24"/>
        </w:rPr>
        <w:t>。</w:t>
      </w:r>
    </w:p>
    <w:p w14:paraId="05D13B9E" w14:textId="77777777" w:rsidR="00B14D53" w:rsidRDefault="00000000">
      <w:pPr>
        <w:widowControl/>
        <w:kinsoku w:val="0"/>
        <w:autoSpaceDE w:val="0"/>
        <w:autoSpaceDN w:val="0"/>
        <w:spacing w:line="360" w:lineRule="auto"/>
        <w:ind w:firstLineChars="200" w:firstLine="480"/>
        <w:textAlignment w:val="baseline"/>
        <w:rPr>
          <w:kern w:val="21"/>
          <w:sz w:val="24"/>
        </w:rPr>
      </w:pPr>
      <w:bookmarkStart w:id="269" w:name="_Toc22198"/>
      <w:bookmarkStart w:id="270" w:name="_Toc24781"/>
      <w:bookmarkStart w:id="271" w:name="_Toc30403"/>
      <w:bookmarkStart w:id="272" w:name="_Toc29452"/>
      <w:r>
        <w:rPr>
          <w:rFonts w:hint="eastAsia"/>
          <w:kern w:val="21"/>
          <w:sz w:val="24"/>
        </w:rPr>
        <w:t>（</w:t>
      </w:r>
      <w:r>
        <w:rPr>
          <w:rFonts w:hint="eastAsia"/>
          <w:kern w:val="21"/>
          <w:sz w:val="24"/>
        </w:rPr>
        <w:t>2</w:t>
      </w:r>
      <w:r>
        <w:rPr>
          <w:rFonts w:hint="eastAsia"/>
          <w:kern w:val="21"/>
          <w:sz w:val="24"/>
        </w:rPr>
        <w:t>）</w:t>
      </w:r>
      <w:r>
        <w:rPr>
          <w:kern w:val="21"/>
          <w:sz w:val="24"/>
        </w:rPr>
        <w:t>卫生防护距离</w:t>
      </w:r>
      <w:bookmarkEnd w:id="269"/>
      <w:bookmarkEnd w:id="270"/>
      <w:bookmarkEnd w:id="271"/>
      <w:bookmarkEnd w:id="272"/>
    </w:p>
    <w:p w14:paraId="46E8DB30" w14:textId="77777777" w:rsidR="00B14D53" w:rsidRDefault="00000000">
      <w:pPr>
        <w:widowControl/>
        <w:kinsoku w:val="0"/>
        <w:autoSpaceDE w:val="0"/>
        <w:autoSpaceDN w:val="0"/>
        <w:spacing w:line="360" w:lineRule="auto"/>
        <w:ind w:firstLineChars="200" w:firstLine="480"/>
        <w:textAlignment w:val="baseline"/>
        <w:rPr>
          <w:kern w:val="21"/>
          <w:sz w:val="24"/>
        </w:rPr>
      </w:pPr>
      <w:r>
        <w:rPr>
          <w:kern w:val="21"/>
          <w:sz w:val="24"/>
        </w:rPr>
        <w:t>根据《大气有害物质无组织排放卫生防护距离推导技术导则》（</w:t>
      </w:r>
      <w:r>
        <w:rPr>
          <w:kern w:val="21"/>
          <w:sz w:val="24"/>
        </w:rPr>
        <w:t>GB/T 39499-2020</w:t>
      </w:r>
      <w:r>
        <w:rPr>
          <w:kern w:val="21"/>
          <w:sz w:val="24"/>
        </w:rPr>
        <w:t>）规定，通过计算</w:t>
      </w:r>
      <w:r>
        <w:rPr>
          <w:rFonts w:hint="eastAsia"/>
          <w:kern w:val="21"/>
          <w:sz w:val="24"/>
        </w:rPr>
        <w:t>，最终</w:t>
      </w:r>
      <w:r>
        <w:rPr>
          <w:kern w:val="21"/>
          <w:sz w:val="24"/>
        </w:rPr>
        <w:t>本项目以厂界为边界设置</w:t>
      </w:r>
      <w:r>
        <w:rPr>
          <w:rFonts w:hint="eastAsia"/>
          <w:kern w:val="21"/>
          <w:sz w:val="24"/>
        </w:rPr>
        <w:t>5</w:t>
      </w:r>
      <w:r>
        <w:rPr>
          <w:kern w:val="21"/>
          <w:sz w:val="24"/>
        </w:rPr>
        <w:t>0m</w:t>
      </w:r>
      <w:r>
        <w:rPr>
          <w:kern w:val="21"/>
          <w:sz w:val="24"/>
        </w:rPr>
        <w:t>卫生防护距离。</w:t>
      </w:r>
      <w:r>
        <w:rPr>
          <w:rFonts w:eastAsiaTheme="minorEastAsia" w:hAnsiTheme="minorEastAsia" w:hint="eastAsia"/>
          <w:bCs/>
          <w:sz w:val="24"/>
        </w:rPr>
        <w:t>该卫生防护距离范围内无居民点等环境敏感目标。建议防护距离内不再建设学校、医院、居民区等环境敏感目标，</w:t>
      </w:r>
      <w:r>
        <w:rPr>
          <w:kern w:val="21"/>
          <w:sz w:val="24"/>
        </w:rPr>
        <w:t>项目选址符合卫生防护距离的要求。</w:t>
      </w:r>
    </w:p>
    <w:p w14:paraId="6E2DA284"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6.2.2</w:t>
      </w:r>
      <w:r>
        <w:rPr>
          <w:rFonts w:ascii="Times New Roman" w:eastAsia="黑体" w:hAnsi="Times New Roman" w:cs="Times New Roman"/>
          <w:bCs/>
          <w:sz w:val="28"/>
          <w:szCs w:val="28"/>
        </w:rPr>
        <w:t>水环境保护措施及其可行性论证</w:t>
      </w:r>
    </w:p>
    <w:p w14:paraId="67C0993D"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6.2.2.1</w:t>
      </w:r>
      <w:r>
        <w:rPr>
          <w:rFonts w:ascii="Times New Roman" w:eastAsia="黑体" w:hAnsi="Times New Roman" w:cs="Times New Roman"/>
          <w:b w:val="0"/>
          <w:sz w:val="24"/>
          <w:szCs w:val="24"/>
        </w:rPr>
        <w:t>废水来源及产生量</w:t>
      </w:r>
    </w:p>
    <w:p w14:paraId="62C39997" w14:textId="77777777" w:rsidR="00B14D53" w:rsidRDefault="00000000">
      <w:pPr>
        <w:widowControl/>
        <w:kinsoku w:val="0"/>
        <w:autoSpaceDE w:val="0"/>
        <w:autoSpaceDN w:val="0"/>
        <w:spacing w:line="360" w:lineRule="auto"/>
        <w:ind w:firstLineChars="200" w:firstLine="480"/>
        <w:textAlignment w:val="baseline"/>
        <w:rPr>
          <w:sz w:val="24"/>
        </w:rPr>
      </w:pPr>
      <w:r>
        <w:rPr>
          <w:rFonts w:hint="eastAsia"/>
          <w:kern w:val="24"/>
          <w:sz w:val="24"/>
        </w:rPr>
        <w:t>生活污水</w:t>
      </w:r>
      <w:r>
        <w:rPr>
          <w:kern w:val="24"/>
          <w:sz w:val="24"/>
        </w:rPr>
        <w:t>主要污染物包括</w:t>
      </w:r>
      <w:r>
        <w:rPr>
          <w:kern w:val="24"/>
          <w:sz w:val="24"/>
        </w:rPr>
        <w:t>pH</w:t>
      </w:r>
      <w:r>
        <w:rPr>
          <w:kern w:val="24"/>
          <w:sz w:val="24"/>
        </w:rPr>
        <w:t>、</w:t>
      </w:r>
      <w:r>
        <w:rPr>
          <w:kern w:val="24"/>
          <w:sz w:val="24"/>
        </w:rPr>
        <w:t>COD</w:t>
      </w:r>
      <w:r>
        <w:rPr>
          <w:kern w:val="24"/>
          <w:sz w:val="24"/>
        </w:rPr>
        <w:t>、</w:t>
      </w:r>
      <w:r>
        <w:rPr>
          <w:kern w:val="24"/>
          <w:sz w:val="24"/>
        </w:rPr>
        <w:t>BOD</w:t>
      </w:r>
      <w:r>
        <w:rPr>
          <w:kern w:val="24"/>
          <w:sz w:val="24"/>
          <w:vertAlign w:val="subscript"/>
        </w:rPr>
        <w:t>5</w:t>
      </w:r>
      <w:r>
        <w:rPr>
          <w:kern w:val="24"/>
          <w:sz w:val="24"/>
        </w:rPr>
        <w:t>、</w:t>
      </w:r>
      <w:r>
        <w:rPr>
          <w:kern w:val="24"/>
          <w:sz w:val="24"/>
        </w:rPr>
        <w:t>SS</w:t>
      </w:r>
      <w:r>
        <w:rPr>
          <w:kern w:val="24"/>
          <w:sz w:val="24"/>
        </w:rPr>
        <w:t>、</w:t>
      </w:r>
      <w:r>
        <w:rPr>
          <w:rFonts w:hint="eastAsia"/>
          <w:kern w:val="24"/>
          <w:sz w:val="24"/>
        </w:rPr>
        <w:t>氨氮</w:t>
      </w:r>
      <w:r>
        <w:rPr>
          <w:kern w:val="24"/>
          <w:sz w:val="24"/>
        </w:rPr>
        <w:t>、动植物油。</w:t>
      </w:r>
      <w:r>
        <w:rPr>
          <w:rFonts w:hint="eastAsia"/>
          <w:sz w:val="24"/>
        </w:rPr>
        <w:t>生活污水排放量为</w:t>
      </w:r>
      <w:r>
        <w:rPr>
          <w:rFonts w:hint="eastAsia"/>
          <w:sz w:val="24"/>
        </w:rPr>
        <w:t>326.4t/a</w:t>
      </w:r>
      <w:r>
        <w:rPr>
          <w:rFonts w:hint="eastAsia"/>
          <w:sz w:val="24"/>
        </w:rPr>
        <w:t>（</w:t>
      </w:r>
      <w:r>
        <w:rPr>
          <w:rFonts w:hint="eastAsia"/>
          <w:sz w:val="24"/>
        </w:rPr>
        <w:t>0.96t/d</w:t>
      </w:r>
      <w:r>
        <w:rPr>
          <w:rFonts w:hint="eastAsia"/>
          <w:sz w:val="24"/>
        </w:rPr>
        <w:t>），满足《污水综合排放标准》（</w:t>
      </w:r>
      <w:r>
        <w:rPr>
          <w:rFonts w:hint="eastAsia"/>
          <w:sz w:val="24"/>
        </w:rPr>
        <w:t>GB8978-1996</w:t>
      </w:r>
      <w:r>
        <w:rPr>
          <w:rFonts w:hint="eastAsia"/>
          <w:sz w:val="24"/>
        </w:rPr>
        <w:t>）表</w:t>
      </w:r>
      <w:r>
        <w:rPr>
          <w:rFonts w:hint="eastAsia"/>
          <w:sz w:val="24"/>
        </w:rPr>
        <w:t>4</w:t>
      </w:r>
      <w:r>
        <w:rPr>
          <w:rFonts w:hint="eastAsia"/>
          <w:sz w:val="24"/>
        </w:rPr>
        <w:t>三级标准限值及五常市民泉污水处理有限公司（五常市山河屯林业局污水处理厂）设计进水水质指标排入市政管网，经五常市民泉污水处理有限公司（五常市山河屯林业局污水处理厂）处理后，排入拉林河。</w:t>
      </w:r>
    </w:p>
    <w:p w14:paraId="04E82D4C" w14:textId="77777777" w:rsidR="00B14D53" w:rsidRDefault="00000000">
      <w:pPr>
        <w:widowControl/>
        <w:kinsoku w:val="0"/>
        <w:autoSpaceDE w:val="0"/>
        <w:autoSpaceDN w:val="0"/>
        <w:spacing w:line="360" w:lineRule="auto"/>
        <w:ind w:firstLineChars="200" w:firstLine="480"/>
        <w:textAlignment w:val="baseline"/>
        <w:rPr>
          <w:sz w:val="24"/>
        </w:rPr>
      </w:pPr>
      <w:r>
        <w:rPr>
          <w:kern w:val="24"/>
          <w:sz w:val="24"/>
        </w:rPr>
        <w:t>本项目</w:t>
      </w:r>
      <w:r>
        <w:rPr>
          <w:rFonts w:hint="eastAsia"/>
          <w:sz w:val="24"/>
        </w:rPr>
        <w:t>生产废水排放量为</w:t>
      </w:r>
      <w:r>
        <w:rPr>
          <w:sz w:val="24"/>
        </w:rPr>
        <w:t>78975.24</w:t>
      </w:r>
      <w:r>
        <w:rPr>
          <w:rFonts w:hint="eastAsia"/>
          <w:sz w:val="24"/>
        </w:rPr>
        <w:t>t/a</w:t>
      </w:r>
      <w:r>
        <w:rPr>
          <w:rFonts w:hint="eastAsia"/>
          <w:sz w:val="24"/>
        </w:rPr>
        <w:t>（</w:t>
      </w:r>
      <w:r>
        <w:rPr>
          <w:rFonts w:hint="eastAsia"/>
          <w:sz w:val="24"/>
        </w:rPr>
        <w:t>233.12t/d</w:t>
      </w:r>
      <w:r>
        <w:rPr>
          <w:rFonts w:hint="eastAsia"/>
          <w:sz w:val="24"/>
        </w:rPr>
        <w:t>）。</w:t>
      </w:r>
      <w:r>
        <w:rPr>
          <w:rFonts w:hint="eastAsia"/>
          <w:kern w:val="24"/>
          <w:sz w:val="24"/>
        </w:rPr>
        <w:t>生产</w:t>
      </w:r>
      <w:r>
        <w:rPr>
          <w:kern w:val="24"/>
          <w:sz w:val="24"/>
        </w:rPr>
        <w:t>废水主要来自于待宰圈冲洗排水、屠宰车间排水、电蒸汽发生器排污水</w:t>
      </w:r>
      <w:r>
        <w:rPr>
          <w:kern w:val="24"/>
          <w:sz w:val="24"/>
        </w:rPr>
        <w:t>+</w:t>
      </w:r>
      <w:r>
        <w:rPr>
          <w:kern w:val="24"/>
          <w:sz w:val="24"/>
        </w:rPr>
        <w:t>软化处理废水、车辆冲洗排水等，主要污染物包括</w:t>
      </w:r>
      <w:r>
        <w:rPr>
          <w:kern w:val="24"/>
          <w:sz w:val="24"/>
        </w:rPr>
        <w:t>pH</w:t>
      </w:r>
      <w:r>
        <w:rPr>
          <w:kern w:val="24"/>
          <w:sz w:val="24"/>
        </w:rPr>
        <w:t>、</w:t>
      </w:r>
      <w:r>
        <w:rPr>
          <w:kern w:val="24"/>
          <w:sz w:val="24"/>
        </w:rPr>
        <w:t>COD</w:t>
      </w:r>
      <w:r>
        <w:rPr>
          <w:kern w:val="24"/>
          <w:sz w:val="24"/>
        </w:rPr>
        <w:t>、</w:t>
      </w:r>
      <w:r>
        <w:rPr>
          <w:kern w:val="24"/>
          <w:sz w:val="24"/>
        </w:rPr>
        <w:t>BOD</w:t>
      </w:r>
      <w:r>
        <w:rPr>
          <w:kern w:val="24"/>
          <w:sz w:val="24"/>
          <w:vertAlign w:val="subscript"/>
        </w:rPr>
        <w:t>5</w:t>
      </w:r>
      <w:r>
        <w:rPr>
          <w:kern w:val="24"/>
          <w:sz w:val="24"/>
        </w:rPr>
        <w:t>、</w:t>
      </w:r>
      <w:r>
        <w:rPr>
          <w:kern w:val="24"/>
          <w:sz w:val="24"/>
        </w:rPr>
        <w:t>SS</w:t>
      </w:r>
      <w:r>
        <w:rPr>
          <w:kern w:val="24"/>
          <w:sz w:val="24"/>
        </w:rPr>
        <w:t>、</w:t>
      </w:r>
      <w:r>
        <w:rPr>
          <w:rFonts w:hint="eastAsia"/>
          <w:kern w:val="24"/>
          <w:sz w:val="24"/>
        </w:rPr>
        <w:t>氨氮</w:t>
      </w:r>
      <w:r>
        <w:rPr>
          <w:kern w:val="24"/>
          <w:sz w:val="24"/>
        </w:rPr>
        <w:t>、动植物油、大肠菌群数。</w:t>
      </w:r>
      <w:r>
        <w:rPr>
          <w:rFonts w:hint="eastAsia"/>
          <w:sz w:val="24"/>
        </w:rPr>
        <w:t>生产</w:t>
      </w:r>
      <w:r>
        <w:rPr>
          <w:sz w:val="24"/>
        </w:rPr>
        <w:t>废水经厂区污水处理站处理达到《肉类加工工业水污染物排放标准》（</w:t>
      </w:r>
      <w:r>
        <w:rPr>
          <w:sz w:val="24"/>
        </w:rPr>
        <w:t>GB13457-92</w:t>
      </w:r>
      <w:r>
        <w:rPr>
          <w:sz w:val="24"/>
        </w:rPr>
        <w:t>）畜类屠宰加工三级标准</w:t>
      </w:r>
      <w:r>
        <w:rPr>
          <w:kern w:val="21"/>
          <w:sz w:val="24"/>
        </w:rPr>
        <w:t>及五常市民泉污水处理有限公司（五常市山河屯林业局污水处理厂）设计进水水质指标排入市政管网，经五常市民泉污水处理有限公司（五常市山河屯林业局污水处理厂）处理后，排入拉林河</w:t>
      </w:r>
      <w:r>
        <w:rPr>
          <w:sz w:val="24"/>
        </w:rPr>
        <w:t>。</w:t>
      </w:r>
    </w:p>
    <w:p w14:paraId="5A1E5E40" w14:textId="066DC60A" w:rsidR="00B14D53" w:rsidRDefault="00000000">
      <w:pPr>
        <w:pStyle w:val="4"/>
        <w:spacing w:before="100" w:beforeAutospacing="1" w:after="0" w:line="240" w:lineRule="auto"/>
        <w:ind w:firstLineChars="200" w:firstLine="480"/>
        <w:rPr>
          <w:rFonts w:ascii="Times New Roman" w:eastAsia="黑体" w:hAnsi="Times New Roman" w:cs="Times New Roman"/>
          <w:b w:val="0"/>
          <w:bCs w:val="0"/>
          <w:sz w:val="24"/>
          <w:szCs w:val="24"/>
        </w:rPr>
      </w:pPr>
      <w:hyperlink r:id="rId73" w:history="1">
        <w:r>
          <w:rPr>
            <w:rFonts w:ascii="Times New Roman" w:eastAsia="黑体" w:hAnsi="Times New Roman" w:cs="Times New Roman"/>
            <w:b w:val="0"/>
            <w:sz w:val="24"/>
            <w:szCs w:val="24"/>
          </w:rPr>
          <w:t>6.2.</w:t>
        </w:r>
        <w:r>
          <w:rPr>
            <w:rFonts w:ascii="Times New Roman" w:eastAsia="黑体" w:hAnsi="Times New Roman" w:cs="Times New Roman" w:hint="eastAsia"/>
            <w:b w:val="0"/>
            <w:sz w:val="24"/>
            <w:szCs w:val="24"/>
          </w:rPr>
          <w:t>2</w:t>
        </w:r>
        <w:r>
          <w:rPr>
            <w:rFonts w:ascii="Times New Roman" w:eastAsia="黑体" w:hAnsi="Times New Roman" w:cs="Times New Roman"/>
            <w:b w:val="0"/>
            <w:sz w:val="24"/>
            <w:szCs w:val="24"/>
          </w:rPr>
          <w:t>.2</w:t>
        </w:r>
      </w:hyperlink>
      <w:r>
        <w:rPr>
          <w:rFonts w:ascii="Times New Roman" w:eastAsia="黑体" w:hAnsi="Times New Roman" w:cs="Times New Roman"/>
          <w:b w:val="0"/>
          <w:sz w:val="24"/>
          <w:szCs w:val="24"/>
        </w:rPr>
        <w:t>废水治理措施论证分析</w:t>
      </w:r>
    </w:p>
    <w:p w14:paraId="5A12AC71" w14:textId="77777777" w:rsidR="00B14D53" w:rsidRDefault="00000000">
      <w:pPr>
        <w:widowControl/>
        <w:numPr>
          <w:ilvl w:val="0"/>
          <w:numId w:val="8"/>
        </w:numPr>
        <w:autoSpaceDE w:val="0"/>
        <w:autoSpaceDN w:val="0"/>
        <w:spacing w:line="360" w:lineRule="auto"/>
        <w:ind w:firstLineChars="200" w:firstLine="480"/>
        <w:textAlignment w:val="baseline"/>
        <w:rPr>
          <w:kern w:val="24"/>
          <w:sz w:val="24"/>
        </w:rPr>
      </w:pPr>
      <w:r>
        <w:rPr>
          <w:rFonts w:hint="eastAsia"/>
          <w:kern w:val="24"/>
          <w:sz w:val="24"/>
        </w:rPr>
        <w:t>工艺确定</w:t>
      </w:r>
    </w:p>
    <w:p w14:paraId="196E5A2C" w14:textId="77777777" w:rsidR="00B14D53" w:rsidRDefault="00000000">
      <w:pPr>
        <w:spacing w:line="360" w:lineRule="auto"/>
        <w:rPr>
          <w:rFonts w:eastAsiaTheme="minorEastAsia" w:hAnsiTheme="minorEastAsia" w:hint="eastAsia"/>
          <w:sz w:val="24"/>
        </w:rPr>
      </w:pPr>
      <w:r>
        <w:rPr>
          <w:noProof/>
          <w:sz w:val="24"/>
        </w:rPr>
        <mc:AlternateContent>
          <mc:Choice Requires="wps">
            <w:drawing>
              <wp:anchor distT="0" distB="0" distL="114300" distR="114300" simplePos="0" relativeHeight="251754496" behindDoc="0" locked="0" layoutInCell="1" allowOverlap="1" wp14:anchorId="2CBEE65F" wp14:editId="3298833C">
                <wp:simplePos x="0" y="0"/>
                <wp:positionH relativeFrom="column">
                  <wp:posOffset>2648585</wp:posOffset>
                </wp:positionH>
                <wp:positionV relativeFrom="paragraph">
                  <wp:posOffset>3411220</wp:posOffset>
                </wp:positionV>
                <wp:extent cx="7620" cy="204470"/>
                <wp:effectExtent l="33020" t="0" r="35560" b="5080"/>
                <wp:wrapNone/>
                <wp:docPr id="327" name="直接箭头连接符 327"/>
                <wp:cNvGraphicFramePr/>
                <a:graphic xmlns:a="http://schemas.openxmlformats.org/drawingml/2006/main">
                  <a:graphicData uri="http://schemas.microsoft.com/office/word/2010/wordprocessingShape">
                    <wps:wsp>
                      <wps:cNvCnPr/>
                      <wps:spPr>
                        <a:xfrm>
                          <a:off x="0" y="0"/>
                          <a:ext cx="7620" cy="20447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8.55pt;margin-top:268.6pt;height:16.1pt;width:0.6pt;z-index:251754496;mso-width-relative:page;mso-height-relative:page;" filled="f" stroked="t" coordsize="21600,21600" o:gfxdata="UEsDBAoAAAAAAIdO4kAAAAAAAAAAAAAAAAAEAAAAZHJzL1BLAwQUAAAACACHTuJAdndPh9sAAAAL&#10;AQAADwAAAGRycy9kb3ducmV2LnhtbE2Py07DMBBF90j8gzVIbBC1nYY+QpwukEBCYkMKEks3NkmE&#10;PY5ipw++vtMVLGfm6M655eboHdvbMfYBFciZAGaxCabHVsHH9vl+BSwmjUa7gFbByUbYVNdXpS5M&#10;OOC73depZRSCsdAKupSGgvPYdNbrOAuDRbp9h9HrROPYcjPqA4V7xzMhFtzrHulDpwf71Nnmp568&#10;giRwW/fT12t6Oa1/xVvmhL77VOr2RopHYMke0x8MF31Sh4qcdmFCE5lTkMulJFTBw3yZASMil6s5&#10;sB1tFusceFXy/x2qM1BLAwQUAAAACACHTuJA7YG+thICAAD6AwAADgAAAGRycy9lMm9Eb2MueG1s&#10;rVPNjtMwEL4j8Q6W7zRtd2lXVdM9tCwXBJVgH2DqOIkl/2nsbdqX4AWQOAEn4LR3ngaWx2DslBaW&#10;yx7IIRmPPd833+fJ/HJnNNtKDMrZko8GQ86kFa5Stin59ZurJxechQi2Au2sLPleBn65ePxo3vmZ&#10;HLvW6UoiIxAbZp0veRujnxVFEK00EAbOS0ubtUMDkZbYFBVCR+hGF+PhcFJ0DiuPTsgQKLvqN/kB&#10;ER8C6OpaCbly4sZIG3tUlBoiSQqt8oEvcrd1LUV8VddBRqZLTkpjfhMJxZv0LhZzmDUIvlXi0AI8&#10;pIV7mgwoS6RHqBVEYDeo/oEySqALro4D4UzRC8mOkIrR8J43r1vwMmshq4M/mh7+H6x4uV0jU1XJ&#10;z8ZTziwYuvK7d7c/3n68+/rl+4fbn9/ep/jzJ5YOkF2dDzOqWto1HlbBrzFp39Vo0pdUsV22eH+0&#10;WO4iE5ScTsZkvaCN8fD8fJovoDiVegzxuXSGpaDkISKopo1LZy1dpcNRNhm2L0Ikcir8XZB4rbtS&#10;Wucb1ZZ1JZ+cPU1kQFNa03RQaDwpDbbhDHRD4y8iZsTgtKpSdcIJ2GyWGtkW0tDkJwkntr+OJeoV&#10;hLY/l7f6cWolVM9sxeLek5mW/qI+H0HpUz6iAttoyVOnRlacaUkdpagn05Y4k9u9vynauGqfbc95&#10;Gonc1WF808z9uc7Vp192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2d0+H2wAAAAsBAAAPAAAA&#10;AAAAAAEAIAAAACIAAABkcnMvZG93bnJldi54bWxQSwECFAAUAAAACACHTuJA7YG+thICAAD6AwAA&#10;DgAAAAAAAAABACAAAAAqAQAAZHJzL2Uyb0RvYy54bWxQSwUGAAAAAAYABgBZAQAArg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56544" behindDoc="0" locked="0" layoutInCell="1" allowOverlap="1" wp14:anchorId="1FEF7289" wp14:editId="4009AE29">
                <wp:simplePos x="0" y="0"/>
                <wp:positionH relativeFrom="column">
                  <wp:posOffset>1791335</wp:posOffset>
                </wp:positionH>
                <wp:positionV relativeFrom="paragraph">
                  <wp:posOffset>3797300</wp:posOffset>
                </wp:positionV>
                <wp:extent cx="425450" cy="1270"/>
                <wp:effectExtent l="0" t="36830" r="12700" b="38100"/>
                <wp:wrapNone/>
                <wp:docPr id="331" name="直接箭头连接符 331"/>
                <wp:cNvGraphicFramePr/>
                <a:graphic xmlns:a="http://schemas.openxmlformats.org/drawingml/2006/main">
                  <a:graphicData uri="http://schemas.microsoft.com/office/word/2010/wordprocessingShape">
                    <wps:wsp>
                      <wps:cNvCnPr/>
                      <wps:spPr>
                        <a:xfrm>
                          <a:off x="0" y="0"/>
                          <a:ext cx="425450" cy="127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41.05pt;margin-top:299pt;height:0.1pt;width:33.5pt;z-index:251756544;mso-width-relative:page;mso-height-relative:page;" filled="f" stroked="t" coordsize="21600,21600" o:gfxdata="UEsDBAoAAAAAAIdO4kAAAAAAAAAAAAAAAAAEAAAAZHJzL1BLAwQUAAAACACHTuJANTMpwNcAAAAL&#10;AQAADwAAAGRycy9kb3ducmV2LnhtbE2Py0rFMBCG94LvEEZwI56k8UJbm56FoCC4sUfB5ZwmtsVm&#10;Upr0XHx6Rze6nH8+/ku1PvhR7Nwch0AGspUC4agNdqDOwOvm4TIHEROSxTGQM3B0Edb16UmFpQ17&#10;enG7JnWCTSiWaKBPaSqljG3vPMZVmBzx7yPMHhOfcyftjHs296PUSt1KjwNxQo+Tu+9d+9ks3kBS&#10;tGmG5f0pPR6LL/WsR4UXb8acn2XqDkRyh/QHw099rg41d9qGhWwUowGd64xRAzdFzqOYuLouWNn+&#10;KhpkXcn/G+pvUEsDBBQAAAAIAIdO4kAYuRXXEQIAAPoDAAAOAAAAZHJzL2Uyb0RvYy54bWytU82O&#10;0zAQviPxDpbvNE27u6Cq6R5alguCSsADuI6TWPKfZrxN+xK8ABIn4ASc9s7TwPIYjJ3SwnLZAzkk&#10;47Hn++b7PJlf7qxhWwWovat4ORpzppz0tXZtxd+8vnr0hDOMwtXCeKcqvlfILxcPH8z7MFMT33lT&#10;K2AE4nDWh4p3MYZZUaDslBU48kE52mw8WBFpCW1Rg+gJ3ZpiMh5fFL2HOoCXCpGyq2GTHxDhPoC+&#10;abRUKy+vrXJxQAVlRCRJ2OmAfJG7bRol48umQRWZqTgpjflNJBRv0rtYzMWsBRE6LQ8tiPu0cEeT&#10;FdoR6RFqJaJg16D/gbJagkffxJH0thiEZEdIRTm+482rTgSVtZDVGI6m4/+DlS+2a2C6rvh0WnLm&#10;hKUrv3138+Ptx9uvX75/uPn57X2KP39i6QDZ1QecUdXSreGwwrCGpH3XgE1fUsV22eL90WK1i0xS&#10;8mxyfnZO5kvaKieP8wUUp9IAGJ8pb1kKKo4RhG67uPTO0VV6KLPJYvscI5FT4e+CxOv8lTYm36hx&#10;rK/4xTRTCZrShqaDWG0gpehazoRpafxlhIyI3ug6VScchHazNMC2Ig1NfpJwYvvrWKJeCeyGc3lr&#10;GKdOifqpq1ncBzLT0V805KPQ5pSPoIVrjeKpU6tqzoyijlI0kBlHnMntwd8UbXy9z7bnPI1E7uow&#10;vmnm/lzn6tMvu/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TMpwNcAAAALAQAADwAAAAAAAAAB&#10;ACAAAAAiAAAAZHJzL2Rvd25yZXYueG1sUEsBAhQAFAAAAAgAh07iQBi5FdcRAgAA+gMAAA4AAAAA&#10;AAAAAQAgAAAAJgEAAGRycy9lMm9Eb2MueG1sUEsFBgAAAAAGAAYAWQEAAKkFA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55520" behindDoc="0" locked="0" layoutInCell="1" allowOverlap="1" wp14:anchorId="4E6B442B" wp14:editId="04230755">
                <wp:simplePos x="0" y="0"/>
                <wp:positionH relativeFrom="column">
                  <wp:posOffset>2670810</wp:posOffset>
                </wp:positionH>
                <wp:positionV relativeFrom="paragraph">
                  <wp:posOffset>3945255</wp:posOffset>
                </wp:positionV>
                <wp:extent cx="7620" cy="204470"/>
                <wp:effectExtent l="33020" t="0" r="35560" b="5080"/>
                <wp:wrapNone/>
                <wp:docPr id="329" name="直接箭头连接符 329"/>
                <wp:cNvGraphicFramePr/>
                <a:graphic xmlns:a="http://schemas.openxmlformats.org/drawingml/2006/main">
                  <a:graphicData uri="http://schemas.microsoft.com/office/word/2010/wordprocessingShape">
                    <wps:wsp>
                      <wps:cNvCnPr/>
                      <wps:spPr>
                        <a:xfrm>
                          <a:off x="0" y="0"/>
                          <a:ext cx="7620" cy="20447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10.3pt;margin-top:310.65pt;height:16.1pt;width:0.6pt;z-index:251755520;mso-width-relative:page;mso-height-relative:page;" filled="f" stroked="t" coordsize="21600,21600" o:gfxdata="UEsDBAoAAAAAAIdO4kAAAAAAAAAAAAAAAAAEAAAAZHJzL1BLAwQUAAAACACHTuJAtMUBm9oAAAAL&#10;AQAADwAAAGRycy9kb3ducmV2LnhtbE2PTUvEMBCG74L/IYzgRdyk2d2itekeBAXBi10Fj9lmbIvN&#10;pDTpfvjrHU/rcWYe3nnecnP0g9jjFPtABrKFAoHUBNdTa+B9+3R7ByImS84OgdDACSNsqsuL0hYu&#10;HOgN93VqBYdQLKyBLqWxkDI2HXobF2FE4ttXmLxNPE6tdJM9cLgfpFYql972xB86O+Jjh813PXsD&#10;SdG27ufPl/R8uv9Rr3pQ9ubDmOurTD2ASHhMZxj+9FkdKnbahZlcFIOBlVY5owZynS1BMLHSGZfZ&#10;8Wa9XIOsSvm/Q/ULUEsDBBQAAAAIAIdO4kBrl6cjEwIAAPoDAAAOAAAAZHJzL2Uyb0RvYy54bWyt&#10;U81uEzEQviPxDpbvZJO0pCXKpoeEckEQCXiAide7a8l/GrvZ5CV4ASROwIly6p2nKeUxGHtDAuXS&#10;A3vYHY893zff59nZxdZotpEYlLMlHw2GnEkrXKVsU/J3by+fnHMWItgKtLOy5DsZ+MX88aNZ56dy&#10;7FqnK4mMQGyYdr7kbYx+WhRBtNJAGDgvLW3WDg1EWmJTVAgdoRtdjIfDSdE5rDw6IUOg7LLf5HtE&#10;fAigq2sl5NKJKyNt7FFRaogkKbTKBz7P3da1FPF1XQcZmS45KY35TSQUr9O7mM9g2iD4Vol9C/CQ&#10;Fu5pMqAskR6glhCBXaH6B8oogS64Og6EM0UvJDtCKkbDe968acHLrIWsDv5gevh/sOLVZoVMVSU/&#10;GT/jzIKhK7/7cPPj/ee7b9e3n25+fv+Y4q9fWDpAdnU+TKlqYVe4XwW/wqR9W6NJX1LFttni3cFi&#10;uY1MUPJsMibrBW2Mh6enZ/kCimOpxxBfSGdYCkoeIoJq2rhw1tJVOhxlk2HzMkQip8LfBYnXukul&#10;db5RbVlX8snJ00QGNKU1TQeFxpPSYBvOQDc0/iJiRgxOqypVJ5yAzXqhkW0gDU1+knBi++tYol5C&#10;aPtzeasfp1ZC9dxWLO48mWnpL+rzEZQ+5iMqsI2WPHVqZMWZltRRinoybYkzud37m6K1q3bZ9pyn&#10;kchd7cc3zdyf61x9/GXn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xQGb2gAAAAsBAAAPAAAA&#10;AAAAAAEAIAAAACIAAABkcnMvZG93bnJldi54bWxQSwECFAAUAAAACACHTuJAa5enIxMCAAD6AwAA&#10;DgAAAAAAAAABACAAAAApAQAAZHJzL2Uyb0RvYy54bWxQSwUGAAAAAAYABgBZAQAArg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53472" behindDoc="0" locked="0" layoutInCell="1" allowOverlap="1" wp14:anchorId="4EDCF5F6" wp14:editId="0DD4AD0C">
                <wp:simplePos x="0" y="0"/>
                <wp:positionH relativeFrom="column">
                  <wp:posOffset>3000375</wp:posOffset>
                </wp:positionH>
                <wp:positionV relativeFrom="paragraph">
                  <wp:posOffset>1723390</wp:posOffset>
                </wp:positionV>
                <wp:extent cx="1165225" cy="6985"/>
                <wp:effectExtent l="0" t="0" r="0" b="0"/>
                <wp:wrapNone/>
                <wp:docPr id="326" name="直接连接符 326"/>
                <wp:cNvGraphicFramePr/>
                <a:graphic xmlns:a="http://schemas.openxmlformats.org/drawingml/2006/main">
                  <a:graphicData uri="http://schemas.microsoft.com/office/word/2010/wordprocessingShape">
                    <wps:wsp>
                      <wps:cNvCnPr/>
                      <wps:spPr>
                        <a:xfrm>
                          <a:off x="4143375" y="6203950"/>
                          <a:ext cx="1165225" cy="698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36.25pt;margin-top:135.7pt;height:0.55pt;width:91.75pt;z-index:251753472;mso-width-relative:page;mso-height-relative:page;" filled="f" stroked="t" coordsize="21600,21600" o:gfxdata="UEsDBAoAAAAAAIdO4kAAAAAAAAAAAAAAAAAEAAAAZHJzL1BLAwQUAAAACACHTuJAYlRA3NcAAAAL&#10;AQAADwAAAGRycy9kb3ducmV2LnhtbE2PwU7DMBBE70j8g7VI3KjtqE5RiNMDUhAXDhTE2U1MEmGv&#10;o9iNC1/P9gTHnXmanan3Z+/Yapc4BdQgNwKYxS70Ew4a3t/au3tgMRnsjQtoNXzbCPvm+qo2VR8y&#10;vtr1kAZGIRgro2FMaa44j91ovYmbMFsk7zMs3iQ6l4H3i8kU7h0vhCi5NxPSh9HM9nG03dfh5DWg&#10;TB8u55TX5Uc9KanaZ/HSan17I8UDsGTP6Q+GS32qDg11OoYT9pE5DdtdoQjVUOzkFhgRpSpp3fGi&#10;kMWbmv/f0PwCUEsDBBQAAAAIAIdO4kD59ivi6QEAAK0DAAAOAAAAZHJzL2Uyb0RvYy54bWytU81u&#10;1DAQviPxDpbvbP66SxtttoeuygXBSsADeB0nseQ/edzN7kvwAkjc4MSRO2/T8hiMndBCufRADs54&#10;/Pmb+b5M1pdHrchBeJDWNLRY5JQIw20rTd/QD++vX5xTAoGZlilrRENPAujl5vmz9ehqUdrBqlZ4&#10;giQG6tE1dAjB1VkGfBCawcI6YfCws16zgFvfZ61nI7JrlZV5vspG61vnLRcAmN1Oh3Rm9E8htF0n&#10;udhafqOFCROrF4oFlASDdEA3qduuEzy87ToQgaiGotKQViyC8T6u2WbN6t4zN0g+t8Ce0sIjTZpJ&#10;g0XvqbYsMHLj5T9UWnJvwXZhwa3OJiHJEVRR5I+8eTcwJ5IWtBrcvenw/2j5m8POE9k2tCpXlBim&#10;8ZPfffp++/HLzx+fcb379pXEIzRqdFAj/srs/LwDt/NR9bHzOr5RDzk29Kw4q6qXS0pODV2VeXWx&#10;nI0Wx0A4AopitSxLBPCIuDhfRvrsgcd5CK+E1SQGDVXSRBtYzQ6vIUzQ35CYNvZaKoV5VitDRqSs&#10;sCLhDMezw7HAUDuUCKanhKke554HnxjBKtnG2/Ey+H5/pTw5sDgt6Zkb+wsWS28ZDBMuHc0wZVBG&#10;tGkyJkZ7256SXymPXzEJnScujsmf+3T74S/b/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VEDc&#10;1wAAAAsBAAAPAAAAAAAAAAEAIAAAACIAAABkcnMvZG93bnJldi54bWxQSwECFAAUAAAACACHTuJA&#10;+fYr4ukBAACtAwAADgAAAAAAAAABACAAAAAmAQAAZHJzL2Uyb0RvYy54bWxQSwUGAAAAAAYABgBZ&#10;AQAAgQUAAAAA&#10;">
                <v:fill on="f" focussize="0,0"/>
                <v:stroke weight="0.5pt" color="#000000 [3213]" joinstyle="round"/>
                <v:imagedata o:title=""/>
                <o:lock v:ext="edit" aspectratio="f"/>
              </v:line>
            </w:pict>
          </mc:Fallback>
        </mc:AlternateContent>
      </w:r>
      <w:r>
        <w:rPr>
          <w:noProof/>
          <w:sz w:val="24"/>
        </w:rPr>
        <mc:AlternateContent>
          <mc:Choice Requires="wps">
            <w:drawing>
              <wp:anchor distT="0" distB="0" distL="114300" distR="114300" simplePos="0" relativeHeight="251752448" behindDoc="0" locked="0" layoutInCell="1" allowOverlap="1" wp14:anchorId="32FF4E32" wp14:editId="0767ADC8">
                <wp:simplePos x="0" y="0"/>
                <wp:positionH relativeFrom="column">
                  <wp:posOffset>2641600</wp:posOffset>
                </wp:positionH>
                <wp:positionV relativeFrom="paragraph">
                  <wp:posOffset>1591310</wp:posOffset>
                </wp:positionV>
                <wp:extent cx="1875790" cy="1143000"/>
                <wp:effectExtent l="4445" t="0" r="52705" b="10160"/>
                <wp:wrapNone/>
                <wp:docPr id="325" name="肘形连接符 325"/>
                <wp:cNvGraphicFramePr/>
                <a:graphic xmlns:a="http://schemas.openxmlformats.org/drawingml/2006/main">
                  <a:graphicData uri="http://schemas.microsoft.com/office/word/2010/wordprocessingShape">
                    <wps:wsp>
                      <wps:cNvCnPr/>
                      <wps:spPr>
                        <a:xfrm rot="5400000" flipV="1">
                          <a:off x="4150995" y="5705475"/>
                          <a:ext cx="1875790" cy="1143000"/>
                        </a:xfrm>
                        <a:prstGeom prst="bentConnector3">
                          <a:avLst>
                            <a:gd name="adj1" fmla="val 406"/>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4" type="#_x0000_t34" style="position:absolute;left:0pt;flip:y;margin-left:208pt;margin-top:125.3pt;height:90pt;width:147.7pt;rotation:-5898240f;z-index:251752448;mso-width-relative:page;mso-height-relative:page;" filled="f" stroked="t" coordsize="21600,21600" o:gfxdata="UEsDBAoAAAAAAIdO4kAAAAAAAAAAAAAAAAAEAAAAZHJzL1BLAwQUAAAACACHTuJA76lJy9oAAAAL&#10;AQAADwAAAGRycy9kb3ducmV2LnhtbE2PwU7DMBBE70j8g7VI3KjtUgIKcSpRVHHhAIFDubnxEkeN&#10;7ch22sDXs5zguDOj2TfVenYDO2JMffAK5EIAQ98G0/tOwfvb9uoOWMraGz0Ejwq+MMG6Pj+rdGnC&#10;yb/isckdoxKfSq3A5jyWnKfWotNpEUb05H2G6HSmM3bcRH2icjfwpRAFd7r39MHqETcW20MzOQUf&#10;D4/jd5gO7vll08SnXT+n7c4qdXkhxT2wjHP+C8MvPqFDTUz7MHmT2KBgJQvakhUsb0QBjBK3Uq6A&#10;7cm6JoXXFf+/of4BUEsDBBQAAAAIAIdO4kDTQoFXQQIAAEMEAAAOAAAAZHJzL2Uyb0RvYy54bWyt&#10;U7tuFTEQ7ZH4B8s9d3dzX8kqe1PkEhoEkXj0c23vrpFfsp37aPkAaioKJKj4BcTXAPkMxt4lgdCk&#10;YIvV2B6fM+fM+PRsrxXZCh+kNQ2tJiUlwjDLpeka+urlxaNjSkIEw0FZIxp6EIGerR4+ON25WhzZ&#10;3iouPEEQE+qda2gfo6uLIrBeaAgT64TBw9Z6DRGXviu4hx2ia1UcleWi2FnPnbdMhIC76+GQjoj+&#10;PoC2bSUTa8uutDBxQPVCQURJoZcu0FWutm0Fi8/bNohIVENRacx/JMF4k/7F6hTqzoPrJRtLgPuU&#10;cEeTBmmQ9AZqDRHIlZf/QGnJvA22jRNmdTEIyY6giqq8482LHpzIWtDq4G5MD/8Plj3bXnoieUOn&#10;R3NKDGhs+fXb99+/frz+9uHHu08/v3wm6QiN2rlQY/65ufTjKrhLn1TvW6+Jt+jufFamj5JWSfca&#10;5yu7gjrJvqGzal6enCDNAROX5Xy2zLhQi30kDBOq4+V8eYK3GWZU1WyaoJCrGCgSlfMhPhFWkxQ0&#10;dIMDcG6NwUZbP81ksH0aYu4FH/UAf1NhRVpha7egyKxcjKhjLuL/xk0Xjb2QSuXRUIbsGrqYzlNR&#10;gOPe4phhqB1aFkxHCagO3xGLPpMHqyRPtxNO8N3mXHmCnDhr+Rt5/0pL1GsI/ZCXj1Ia1L0A/thw&#10;Eg8Ou2LwOQ77EaS63Y9egumUoKlSLTglSmBFKRqsUwYdTM0b2pWijeWH3MW8j7OVPR7fQRreP9f5&#10;9u3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6lJy9oAAAALAQAADwAAAAAAAAABACAAAAAi&#10;AAAAZHJzL2Rvd25yZXYueG1sUEsBAhQAFAAAAAgAh07iQNNCgVdBAgAAQwQAAA4AAAAAAAAAAQAg&#10;AAAAKQEAAGRycy9lMm9Eb2MueG1sUEsFBgAAAAAGAAYAWQEAANwFAAAAAA==&#10;" adj="88">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48352" behindDoc="0" locked="0" layoutInCell="1" allowOverlap="1" wp14:anchorId="2F828E6D" wp14:editId="3E9EAAFD">
                <wp:simplePos x="0" y="0"/>
                <wp:positionH relativeFrom="column">
                  <wp:posOffset>2567940</wp:posOffset>
                </wp:positionH>
                <wp:positionV relativeFrom="paragraph">
                  <wp:posOffset>1863725</wp:posOffset>
                </wp:positionV>
                <wp:extent cx="7620" cy="204470"/>
                <wp:effectExtent l="33020" t="0" r="35560" b="5080"/>
                <wp:wrapNone/>
                <wp:docPr id="317" name="直接箭头连接符 317"/>
                <wp:cNvGraphicFramePr/>
                <a:graphic xmlns:a="http://schemas.openxmlformats.org/drawingml/2006/main">
                  <a:graphicData uri="http://schemas.microsoft.com/office/word/2010/wordprocessingShape">
                    <wps:wsp>
                      <wps:cNvCnPr/>
                      <wps:spPr>
                        <a:xfrm>
                          <a:off x="0" y="0"/>
                          <a:ext cx="7620" cy="20447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2.2pt;margin-top:146.75pt;height:16.1pt;width:0.6pt;z-index:251748352;mso-width-relative:page;mso-height-relative:page;" filled="f" stroked="t" coordsize="21600,21600" o:gfxdata="UEsDBAoAAAAAAIdO4kAAAAAAAAAAAAAAAAAEAAAAZHJzL1BLAwQUAAAACACHTuJAziNC+tsAAAAL&#10;AQAADwAAAGRycy9kb3ducmV2LnhtbE2Py07DMBBF90j8gzVIbBC1myYtDZl0gQQSEpumIHXpxkMS&#10;EY+j2OmDr8esYDm6R/eeKTZn24sjjb5zjDCfKRDEtTMdNwjvu+f7BxA+aDa6d0wIF/KwKa+vCp0b&#10;d+ItHavQiFjCPtcIbQhDLqWvW7Laz9xAHLNPN1od4jk20oz6FMttLxOlltLqjuNCqwd6aqn+qiaL&#10;EBTvqm7av4aXy/pbvSW90ncfiLc3c/UIItA5/MHwqx/VoYxOBzex8aJHSFWaRhQhWS8yEJFIVbYE&#10;cUBYJNkKZFnI/z+UP1BLAwQUAAAACACHTuJAu9dOlRICAAD6AwAADgAAAGRycy9lMm9Eb2MueG1s&#10;rVPNjtMwEL4j8Q6W7zRtd2lXVdM9tCwXBJVgH8B1nMSS/zTjbdqX4AWQOAEn4LR3ngaWx2DslBaW&#10;yx7IIRmPPd833+fJ/HJnDdsqQO1dyUeDIWfKSV9p15T8+s3VkwvOMApXCeOdKvleIb9cPH4078JM&#10;jX3rTaWAEYjDWRdK3sYYZkWBslVW4MAH5Wiz9mBFpCU0RQWiI3RrivFwOCk6D1UALxUiZVf9Jj8g&#10;wkMAfV1rqVZe3ljlYo8KyohIkrDVAfkid1vXSsZXdY0qMlNyUhrzm0go3qR3sZiLWQMitFoeWhAP&#10;aeGeJiu0I9Ij1EpEwW5A/wNltQSPvo4D6W3RC8mOkIrR8J43r1sRVNZCVmM4mo7/D1a+3K6B6ark&#10;Z6MpZ05YuvK7d7c/3n68+/rl+4fbn9/ep/jzJ5YOkF1dwBlVLd0aDisMa0jadzXY9CVVbJct3h8t&#10;VrvIJCWnkzFZL2ljPDw/n+YLKE6lATA+V96yFJQcIwjdtHHpnaOr9DDKJovtC4xEToW/CxKv81fa&#10;mHyjxrGu5JOzp4lM0JTWNB0U2kBK0TWcCdPQ+MsIGRG90VWqTjgIzWZpgG1FGpr8JOHE9texRL0S&#10;2Pbn8lY/Tq0S1TNXsbgPZKajv6jPR6HNKR9BC9cYxVOnVlWcGUUdpagnM444k9u9vyna+Gqfbc95&#10;Gonc1WF808z9uc7Vp192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I0L62wAAAAsBAAAPAAAA&#10;AAAAAAEAIAAAACIAAABkcnMvZG93bnJldi54bWxQSwECFAAUAAAACACHTuJAu9dOlRICAAD6AwAA&#10;DgAAAAAAAAABACAAAAAqAQAAZHJzL2Uyb0RvYy54bWxQSwUGAAAAAAYABgBZAQAArg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51424" behindDoc="0" locked="0" layoutInCell="1" allowOverlap="1" wp14:anchorId="68127902" wp14:editId="27B93E69">
                <wp:simplePos x="0" y="0"/>
                <wp:positionH relativeFrom="column">
                  <wp:posOffset>3073400</wp:posOffset>
                </wp:positionH>
                <wp:positionV relativeFrom="paragraph">
                  <wp:posOffset>3247390</wp:posOffset>
                </wp:positionV>
                <wp:extent cx="586740" cy="635"/>
                <wp:effectExtent l="0" t="38100" r="3810" b="37465"/>
                <wp:wrapNone/>
                <wp:docPr id="323" name="直接箭头连接符 323"/>
                <wp:cNvGraphicFramePr/>
                <a:graphic xmlns:a="http://schemas.openxmlformats.org/drawingml/2006/main">
                  <a:graphicData uri="http://schemas.microsoft.com/office/word/2010/wordprocessingShape">
                    <wps:wsp>
                      <wps:cNvCnPr/>
                      <wps:spPr>
                        <a:xfrm flipV="1">
                          <a:off x="0" y="0"/>
                          <a:ext cx="586740" cy="63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y;margin-left:242pt;margin-top:255.7pt;height:0.05pt;width:46.2pt;z-index:251751424;mso-width-relative:page;mso-height-relative:page;" filled="f" stroked="t" coordsize="21600,21600" o:gfxdata="UEsDBAoAAAAAAIdO4kAAAAAAAAAAAAAAAAAEAAAAZHJzL1BLAwQUAAAACACHTuJAo5tot9gAAAAL&#10;AQAADwAAAGRycy9kb3ducmV2LnhtbE2PzU7DMBCE70i8g7VI3KidkqRVGqcCRA49oRbE2Y23SUS8&#10;DrH7w9uzcIHb7s5o9ptyfXGDOOEUek8akpkCgdR421Or4e21vluCCNGQNYMn1PCFAdbV9VVpCuvP&#10;tMXTLraCQygURkMX41hIGZoOnQkzPyKxdvCTM5HXqZV2MmcOd4OcK5VLZ3riD50Z8anD5mN3dBru&#10;55g/fuLL+7NyUm3con7YDLXWtzeJWoGIeIl/ZvjBZ3SomGnvj2SDGDSky5S7RA1ZkqQg2JEtch72&#10;v5cMZFXK/x2qb1BLAwQUAAAACACHTuJAwwW1nxUCAAADBAAADgAAAGRycy9lMm9Eb2MueG1srVO9&#10;jhMxEO6ReAfLPdlcwoXTKpsrEo4GQSR++onXu2vJf/L4sslL8AJIVEDFUV3P08DxGIy9IQdHcwVb&#10;rMbz8818n8fz853RbCsDKmcrfjIacyatcLWybcXfvL54dMYZRrA1aGdlxfcS+fni4YN570s5cZ3T&#10;tQyMQCyWva94F6MviwJFJw3gyHlpKdi4YCDSMbRFHaAndKOLyXg8K3oXah+ckIjkXQ1BfkAM9wF0&#10;TaOEXDlxaaSNA2qQGiJRwk555Is8bdNIEV82DcrIdMWJacx/akL2Jv2LxRzKNoDvlDiMAPcZ4Q4n&#10;A8pS0yPUCiKwy6D+gTJKBIeuiSPhTDEQyYoQi5PxHW1edeBl5kJSoz+Kjv8PVrzYrgNTdcWnkyln&#10;Fgxd+c376x/vPt18vfr+8frntw/J/vKZpQSSq/dYUtXSrsPhhH4dEvddEwxrtPJvaa+yGsSP7bLY&#10;+6PYcheZIOfp2ezJY7oGQaHZ9DRBFwNGwvIB4zPpDEtGxTEGUG0Xl85aulMXBnzYPsc4FP4uSMXW&#10;XSityQ+ltqzP+KkT0Lo2tCZkGk+U0bacgW7pHYgY8sTotKpTdSrG0G6WOrAtpO3J32HMv9JS6xVg&#10;N+TlUEqDspNQP7U1i3tPqlp6ToM/gtK3/hgU2FZLniY1suZMS5ooWQM1bUmaJPsgdLI2rt5n/bOf&#10;diOLd9jjtHx/nnP17dtd/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m2i32AAAAAsBAAAPAAAA&#10;AAAAAAEAIAAAACIAAABkcnMvZG93bnJldi54bWxQSwECFAAUAAAACACHTuJAwwW1nxUCAAADBAAA&#10;DgAAAAAAAAABACAAAAAnAQAAZHJzL2Uyb0RvYy54bWxQSwUGAAAAAAYABgBZAQAArg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50400" behindDoc="0" locked="0" layoutInCell="1" allowOverlap="1" wp14:anchorId="089BFF37" wp14:editId="639A95E1">
                <wp:simplePos x="0" y="0"/>
                <wp:positionH relativeFrom="column">
                  <wp:posOffset>2626360</wp:posOffset>
                </wp:positionH>
                <wp:positionV relativeFrom="paragraph">
                  <wp:posOffset>2889885</wp:posOffset>
                </wp:positionV>
                <wp:extent cx="7620" cy="204470"/>
                <wp:effectExtent l="33020" t="0" r="35560" b="5080"/>
                <wp:wrapNone/>
                <wp:docPr id="321" name="直接箭头连接符 321"/>
                <wp:cNvGraphicFramePr/>
                <a:graphic xmlns:a="http://schemas.openxmlformats.org/drawingml/2006/main">
                  <a:graphicData uri="http://schemas.microsoft.com/office/word/2010/wordprocessingShape">
                    <wps:wsp>
                      <wps:cNvCnPr/>
                      <wps:spPr>
                        <a:xfrm>
                          <a:off x="0" y="0"/>
                          <a:ext cx="7620" cy="20447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6.8pt;margin-top:227.55pt;height:16.1pt;width:0.6pt;z-index:251750400;mso-width-relative:page;mso-height-relative:page;" filled="f" stroked="t" coordsize="21600,21600" o:gfxdata="UEsDBAoAAAAAAIdO4kAAAAAAAAAAAAAAAAAEAAAAZHJzL1BLAwQUAAAACACHTuJA7hc3ddoAAAAL&#10;AQAADwAAAGRycy9kb3ducmV2LnhtbE2PzU7DMBCE70i8g7VIXBC13aalhDg9IIGExKUpSBzdZEki&#10;7HUUO/3h6VlOcJvRfpqdKTYn78QBx9gHMqBnCgRSHZqeWgNvu6fbNYiYLDXWBUIDZ4ywKS8vCps3&#10;4UhbPFSpFRxCMbcGupSGXMpYd+htnIUBiW+fYfQ2sR1b2Yz2yOHeyblSK+ltT/yhswM+dlh/VZM3&#10;kBTtqn76eEnP5/tv9Tp3yt68G3N9pdUDiISn9AfDb32uDiV32oeJmiicgUwvVoyyWC41CCYynfGY&#10;PYv13QJkWcj/G8ofUEsDBBQAAAAIAIdO4kADUt3kEgIAAPoDAAAOAAAAZHJzL2Uyb0RvYy54bWyt&#10;U82O0zAQviPxDpbvNGl36aKq6R5alguCSsADTB0nseQ/jb1N+xK8ABIn4ASc9s7TwPIYjJ3SwnLZ&#10;Azkk47Hn++b7PJlf7oxmW4lBOVvx8ajkTFrhamXbir95ffXoCWchgq1BOysrvpeBXy4ePpj3fiYn&#10;rnO6lsgIxIZZ7yvexehnRRFEJw2EkfPS0mbj0ECkJbZFjdATutHFpCynRe+w9uiEDIGyq2GTHxDx&#10;PoCuaZSQKyeujbRxQEWpIZKk0Ckf+CJ32zRSxJdNE2RkuuKkNOY3kVC8Se9iMYdZi+A7JQ4twH1a&#10;uKPJgLJEeoRaQQR2jeofKKMEuuCaOBLOFIOQ7AipGJd3vHnVgZdZC1kd/NH08P9gxYvtGpmqK342&#10;GXNmwdCV3767+fH24+3XL98/3Pz89j7Fnz+xdIDs6n2YUdXSrvGwCn6NSfuuQZO+pIrtssX7o8Vy&#10;F5mg5MV0QtYL2piU5+cX+QKKU6nHEJ9JZ1gKKh4igmq7uHTW0lU6HGeTYfs8RCKnwt8Fide6K6V1&#10;vlFtWV/x6dnjRAY0pQ1NB4XGk9JgW85AtzT+ImJGDE6rOlUnnIDtZqmRbSENTX6ScGL761iiXkHo&#10;hnN5axinTkL91NYs7j2ZaekvGvIRlD7lIyqwrZY8dWpkzZmW1FGKBjJtiTO5Pfiboo2r99n2nKeR&#10;yF0dxjfN3J/rXH36ZR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4XN3XaAAAACwEAAA8AAAAA&#10;AAAAAQAgAAAAIgAAAGRycy9kb3ducmV2LnhtbFBLAQIUABQAAAAIAIdO4kADUt3kEgIAAPoDAAAO&#10;AAAAAAAAAAEAIAAAACkBAABkcnMvZTJvRG9jLnhtbFBLBQYAAAAABgAGAFkBAACt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46304" behindDoc="0" locked="0" layoutInCell="1" allowOverlap="1" wp14:anchorId="3C74BBB8" wp14:editId="655259A8">
                <wp:simplePos x="0" y="0"/>
                <wp:positionH relativeFrom="column">
                  <wp:posOffset>2538730</wp:posOffset>
                </wp:positionH>
                <wp:positionV relativeFrom="paragraph">
                  <wp:posOffset>844550</wp:posOffset>
                </wp:positionV>
                <wp:extent cx="7620" cy="204470"/>
                <wp:effectExtent l="33020" t="0" r="35560" b="5080"/>
                <wp:wrapNone/>
                <wp:docPr id="315" name="直接箭头连接符 315"/>
                <wp:cNvGraphicFramePr/>
                <a:graphic xmlns:a="http://schemas.openxmlformats.org/drawingml/2006/main">
                  <a:graphicData uri="http://schemas.microsoft.com/office/word/2010/wordprocessingShape">
                    <wps:wsp>
                      <wps:cNvCnPr/>
                      <wps:spPr>
                        <a:xfrm>
                          <a:off x="0" y="0"/>
                          <a:ext cx="7620" cy="20447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99.9pt;margin-top:66.5pt;height:16.1pt;width:0.6pt;z-index:251746304;mso-width-relative:page;mso-height-relative:page;" filled="f" stroked="t" coordsize="21600,21600" o:gfxdata="UEsDBAoAAAAAAIdO4kAAAAAAAAAAAAAAAAAEAAAAZHJzL1BLAwQUAAAACACHTuJAqjx/fdkAAAAL&#10;AQAADwAAAGRycy9kb3ducmV2LnhtbE2PT0vEMBDF74LfIYzgRdykrS62Nt2DoCB4savgcbaJbTGZ&#10;lCbdP356x5PeZuY93vxevTl6J/Z2jmMgDdlKgbDUBTNSr+Ft+3h9ByImJIMukNVwshE2zflZjZUJ&#10;B3q1+zb1gkMoVqhhSGmqpIzdYD3GVZgssfYZZo+J17mXZsYDh3snc6XW0uNI/GHAyT4MtvtqF68h&#10;Kdq24/LxnJ5O5bd6yZ3Cq3etLy8ydQ8i2WP6M8MvPqNDw0y7sJCJwmkoypLREwtFwaXYcaMyHnZ8&#10;Wd/mIJta/u/Q/ABQSwMEFAAAAAgAh07iQOFmkKQTAgAA+gMAAA4AAABkcnMvZTJvRG9jLnhtbK1T&#10;zW4TMRC+I/EOlu9kk7RNqyibHhLKBUEk4AEcr3fXkv8042aTl+AFkDgBJ+ipd56Glsdg7A0JlEsP&#10;7GF3PPZ833yfZ2eXW2vYRgFq70o+Ggw5U076Srum5O/eXj274AyjcJUw3qmS7xTyy/nTJ7MuTNXY&#10;t95UChiBOJx2oeRtjGFaFChbZQUOfFCONmsPVkRaQlNUIDpCt6YYD4eTovNQBfBSIVJ22W/yPSI8&#10;BtDXtZZq6eW1VS72qKCMiCQJWx2Qz3O3da1kfF3XqCIzJSelMb+JhOJ1ehfzmZg2IEKr5b4F8ZgW&#10;HmiyQjsiPUAtRRTsGvQ/UFZL8OjrOJDeFr2Q7AipGA0fePOmFUFlLWQ1hoPp+P9g5avNCpiuSn4y&#10;OuPMCUtXfv/h9u795/ubbz8+3f78/jHFX7+wdIDs6gJOqWrhVrBfYVhB0r6twaYvqWLbbPHuYLHa&#10;RiYpeT4Zk/WSNsbD09PzfAHFsTQAxhfKW5aCkmMEoZs2LrxzdJUeRtlksXmJkcip8HdB4nX+ShuT&#10;b9Q41pV8cnKWyARNaU3TQaENpBRdw5kwDY2/jJAR0RtdpeqEg9CsFwbYRqShyU8STmx/HUvUS4Ft&#10;fy5v9ePUKlE9dxWLu0BmOvqL+nwU2hzzEbRwjVE8dWpVxZlR1FGKejLjiDO53fuborWvdtn2nKeR&#10;yF3txzfN3J/rXH38Ze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o8f33ZAAAACwEAAA8AAAAA&#10;AAAAAQAgAAAAIgAAAGRycy9kb3ducmV2LnhtbFBLAQIUABQAAAAIAIdO4kDhZpCkEwIAAPoDAAAO&#10;AAAAAAAAAAEAIAAAACgBAABkcnMvZTJvRG9jLnhtbFBLBQYAAAAABgAGAFkBAACt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45280" behindDoc="0" locked="0" layoutInCell="1" allowOverlap="1" wp14:anchorId="23467DBD" wp14:editId="6252913A">
                <wp:simplePos x="0" y="0"/>
                <wp:positionH relativeFrom="column">
                  <wp:posOffset>2545715</wp:posOffset>
                </wp:positionH>
                <wp:positionV relativeFrom="paragraph">
                  <wp:posOffset>324485</wp:posOffset>
                </wp:positionV>
                <wp:extent cx="7620" cy="204470"/>
                <wp:effectExtent l="33020" t="0" r="35560" b="5080"/>
                <wp:wrapNone/>
                <wp:docPr id="309" name="直接箭头连接符 309"/>
                <wp:cNvGraphicFramePr/>
                <a:graphic xmlns:a="http://schemas.openxmlformats.org/drawingml/2006/main">
                  <a:graphicData uri="http://schemas.microsoft.com/office/word/2010/wordprocessingShape">
                    <wps:wsp>
                      <wps:cNvCnPr/>
                      <wps:spPr>
                        <a:xfrm>
                          <a:off x="3022600" y="5231130"/>
                          <a:ext cx="7620" cy="20447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0.45pt;margin-top:25.55pt;height:16.1pt;width:0.6pt;z-index:251745280;mso-width-relative:page;mso-height-relative:page;" filled="f" stroked="t" coordsize="21600,21600" o:gfxdata="UEsDBAoAAAAAAIdO4kAAAAAAAAAAAAAAAAAEAAAAZHJzL1BLAwQUAAAACACHTuJA8rEg29kAAAAJ&#10;AQAADwAAAGRycy9kb3ducmV2LnhtbE2PTU/DMAyG70j8h8hIXNAWtxtoK3V3QAIJiQsdSDtmTWgr&#10;Eqdq0n3w6wkndrPlR6+ft9ycnBUHM4beM0E2RxCGG697bgk+ts+zFYgQFWtlPRuCswmwqa6vSlVo&#10;f+R3c6hjK1IIh0IRdDEOhZSh6YxTYe4Hw+n25UenYlrHVupRHVO4szJHfJBO9Zw+dGowT51pvuvJ&#10;EUTkbd1Pu9f4cl7/4FtuUd19Et3eZPgIIppT/IfhTz+pQ5Wc9n5iHYQlWCKuE0pwn2UgErDEPA17&#10;gtViAbIq5WWD6hdQSwMEFAAAAAgAh07iQIltInwdAgAABgQAAA4AAABkcnMvZTJvRG9jLnhtbK1T&#10;zW4TMRC+I/EOlu9kN5s2hSibHhLKBUEl4AEcr3fXkv804+bnJXgBJE7ACTj1ztNAeQzG3tBAufTA&#10;Hrxjz8w3830ez8931rCNAtTe1Xw8KjlTTvpGu67mb15fPHrMGUbhGmG8UzXfK+Tni4cP5tswU5Xv&#10;vWkUMAJxONuGmvcxhllRoOyVFTjyQTlyth6siLSFrmhAbAndmqIqy2mx9dAE8FIh0ulqcPIDItwH&#10;0Letlmrl5ZVVLg6ooIyIRAl7HZAvcrdtq2R82baoIjM1J6Yxr1SE7HVai8VczDoQodfy0IK4Twt3&#10;OFmhHRW9hVqJKNgV6H+grJbg0bdxJL0tBiJZEWIxLu9o86oXQWUuJDWGW9Hx/8HKF5tLYLqp+aR8&#10;wpkTlq785t31j7cfb75++f7h+ue398n+/ImlAJJrG3BGWUt3CYcdhktI3Hct2PQnVmyXAKtqWpLQ&#10;+5qfVpPxeHKQW+0ikxRwNq3IK8ldlScnZ9lbHGECYHymvGXJqDlGELrr49I7R9fqYZwFF5vnGKkR&#10;SvydkHpw/kIbk2/XOLat+XRymooJmtiWJoVMG4g1uo4zYTp6CjJCRkRvdJOyEw5Ct14aYBuRBih/&#10;SQSq9ldYKr0S2A9x2TWMVq9E89Q1LO4DCevoRQ3nUWhzPI+gheuM4qlTqxrOjKKOkjUUM45qJuUH&#10;rZO19s0+X0E+p/HIXR1GOc3fn/ucfXy+i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sSDb2QAA&#10;AAkBAAAPAAAAAAAAAAEAIAAAACIAAABkcnMvZG93bnJldi54bWxQSwECFAAUAAAACACHTuJAiW0i&#10;fB0CAAAGBAAADgAAAAAAAAABACAAAAAoAQAAZHJzL2Uyb0RvYy54bWxQSwUGAAAAAAYABgBZAQAA&#10;twU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47328" behindDoc="0" locked="0" layoutInCell="1" allowOverlap="1" wp14:anchorId="149A488C" wp14:editId="7DDDDA9A">
                <wp:simplePos x="0" y="0"/>
                <wp:positionH relativeFrom="column">
                  <wp:posOffset>2553335</wp:posOffset>
                </wp:positionH>
                <wp:positionV relativeFrom="paragraph">
                  <wp:posOffset>1336675</wp:posOffset>
                </wp:positionV>
                <wp:extent cx="7620" cy="204470"/>
                <wp:effectExtent l="33020" t="0" r="35560" b="5080"/>
                <wp:wrapNone/>
                <wp:docPr id="316" name="直接箭头连接符 316"/>
                <wp:cNvGraphicFramePr/>
                <a:graphic xmlns:a="http://schemas.openxmlformats.org/drawingml/2006/main">
                  <a:graphicData uri="http://schemas.microsoft.com/office/word/2010/wordprocessingShape">
                    <wps:wsp>
                      <wps:cNvCnPr/>
                      <wps:spPr>
                        <a:xfrm>
                          <a:off x="0" y="0"/>
                          <a:ext cx="7620" cy="20447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1.05pt;margin-top:105.25pt;height:16.1pt;width:0.6pt;z-index:251747328;mso-width-relative:page;mso-height-relative:page;" filled="f" stroked="t" coordsize="21600,21600" o:gfxdata="UEsDBAoAAAAAAIdO4kAAAAAAAAAAAAAAAAAEAAAAZHJzL1BLAwQUAAAACACHTuJAxqTaz9oAAAAL&#10;AQAADwAAAGRycy9kb3ducmV2LnhtbE2PTUvEMBCG74L/IYzgRdyk3fpVm+5BUBC82HVhj7NNbIvJ&#10;pDTpfvjrHU96nJmHd563Wh29E3s7xSGQhmyhQFhqgxmo0/Cxfr6+BxETkkEXyGo42Qir+vyswtKE&#10;A73bfZM6wSEUS9TQpzSWUsa2tx7jIoyW+PYZJo+Jx6mTZsIDh3snc6VupceB+EOPo33qbfvVzF5D&#10;UrRuhnn7ml5OD9/qLXcKrzZaX15k6hFEssf0B8OvPqtDzU67MJOJwmkoVJ4xqiHP1A0IJgq1XILY&#10;8abI70DWlfzfof4BUEsDBBQAAAAIAIdO4kAWj6GNEgIAAPoDAAAOAAAAZHJzL2Uyb0RvYy54bWyt&#10;U82O0zAQviPxDpbvNGl36aKq6R5alguCSsADTB0nseQ/jb1N+xK8ABIn4ASc9s7TwPIYjJ3SwnLZ&#10;Azkk47Hn++b7PJlf7oxmW4lBOVvx8ajkTFrhamXbir95ffXoCWchgq1BOysrvpeBXy4ePpj3fiYn&#10;rnO6lsgIxIZZ7yvexehnRRFEJw2EkfPS0mbj0ECkJbZFjdATutHFpCynRe+w9uiEDIGyq2GTHxDx&#10;PoCuaZSQKyeujbRxQEWpIZKk0Ckf+CJ32zRSxJdNE2RkuuKkNOY3kVC8Se9iMYdZi+A7JQ4twH1a&#10;uKPJgLJEeoRaQQR2jeofKKMEuuCaOBLOFIOQ7AipGJd3vHnVgZdZC1kd/NH08P9gxYvtGpmqK342&#10;nnJmwdCV3767+fH24+3XL98/3Pz89j7Fnz+xdIDs6n2YUdXSrvGwCn6NSfuuQZO+pIrtssX7o8Vy&#10;F5mg5MV0QtYL2piU5+cX+QKKU6nHEJ9JZ1gKKh4igmq7uHTW0lU6HGeTYfs8RCKnwt8Fide6K6V1&#10;vlFtWV/x6dnjRAY0pQ1NB4XGk9JgW85AtzT+ImJGDE6rOlUnnIDtZqmRbSENTX6ScGL761iiXkHo&#10;hnN5axinTkL91NYs7j2ZaekvGvIRlD7lIyqwrZY8dWpkzZmW1FGKBjJtiTO5Pfiboo2r99n2nKeR&#10;yF0dxjfN3J/rXH36ZR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ak2s/aAAAACwEAAA8AAAAA&#10;AAAAAQAgAAAAIgAAAGRycy9kb3ducmV2LnhtbFBLAQIUABQAAAAIAIdO4kAWj6GNEgIAAPoDAAAO&#10;AAAAAAAAAAEAIAAAACkBAABkcnMvZTJvRG9jLnhtbFBLBQYAAAAABgAGAFkBAACtBQAAAAA=&#10;">
                <v:fill on="f" focussize="0,0"/>
                <v:stroke weight="0.5pt" color="#000000 [3213]" joinstyle="round" endarrow="block"/>
                <v:imagedata o:title=""/>
                <o:lock v:ext="edit" aspectratio="f"/>
              </v:shape>
            </w:pict>
          </mc:Fallback>
        </mc:AlternateContent>
      </w:r>
      <w:r>
        <w:rPr>
          <w:noProof/>
          <w:sz w:val="24"/>
        </w:rPr>
        <mc:AlternateContent>
          <mc:Choice Requires="wps">
            <w:drawing>
              <wp:anchor distT="0" distB="0" distL="114300" distR="114300" simplePos="0" relativeHeight="251749376" behindDoc="0" locked="0" layoutInCell="1" allowOverlap="1" wp14:anchorId="43184B8B" wp14:editId="1616E83E">
                <wp:simplePos x="0" y="0"/>
                <wp:positionH relativeFrom="column">
                  <wp:posOffset>2604770</wp:posOffset>
                </wp:positionH>
                <wp:positionV relativeFrom="paragraph">
                  <wp:posOffset>2383790</wp:posOffset>
                </wp:positionV>
                <wp:extent cx="7620" cy="204470"/>
                <wp:effectExtent l="33020" t="0" r="35560" b="5080"/>
                <wp:wrapNone/>
                <wp:docPr id="319" name="直接箭头连接符 319"/>
                <wp:cNvGraphicFramePr/>
                <a:graphic xmlns:a="http://schemas.openxmlformats.org/drawingml/2006/main">
                  <a:graphicData uri="http://schemas.microsoft.com/office/word/2010/wordprocessingShape">
                    <wps:wsp>
                      <wps:cNvCnPr/>
                      <wps:spPr>
                        <a:xfrm>
                          <a:off x="0" y="0"/>
                          <a:ext cx="7620" cy="20447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5.1pt;margin-top:187.7pt;height:16.1pt;width:0.6pt;z-index:251749376;mso-width-relative:page;mso-height-relative:page;" filled="f" stroked="t" coordsize="21600,21600" o:gfxdata="UEsDBAoAAAAAAIdO4kAAAAAAAAAAAAAAAAAEAAAAZHJzL1BLAwQUAAAACACHTuJATOQOR9kAAAAL&#10;AQAADwAAAGRycy9kb3ducmV2LnhtbE2PTUvEMBCG74L/IYzgRdwkte5qbboHQUHwsl0Fj7NtbIvJ&#10;pDTpfvjrHU96e4d5eOeZcn30TuztFIdABvRCgbDUhHagzsDb9un6DkRMSC26QNbAyUZYV+dnJRZt&#10;ONDG7uvUCS6hWKCBPqWxkDI2vfUYF2G0xLvPMHlMPE6dbCc8cLl3MlNqKT0OxBd6HO1jb5uvevYG&#10;kqJtPcwfL+n5dP+tXjOn8OrdmMsLrR5AJHtMfzD86rM6VOy0CzO1UTgDuVYZowZuVrc5CCZyrTns&#10;OKjVEmRVyv8/VD9QSwMEFAAAAAgAh07iQD3BVwATAgAA+gMAAA4AAABkcnMvZTJvRG9jLnhtbK1T&#10;zW4TMRC+I/EOlu9kk7SkJcqmh4RyQRAJeICJ17tryX/yuNnkJXgBJE7AiXLqnacp5TEYe0MC5dID&#10;e9gdjz3fN9/n2dnF1mi2kQGVsyUfDYacSStcpWxT8ndvL5+cc4YRbAXaWVnynUR+MX/8aNb5qRy7&#10;1ulKBkYgFqedL3kbo58WBYpWGsCB89LSZu2CgUjL0BRVgI7QjS7Gw+Gk6FyofHBCIlJ22W/yPWJ4&#10;CKCrayXk0okrI23sUYPUEEkStsojn+du61qK+LquUUamS05KY34TCcXr9C7mM5g2AXyrxL4FeEgL&#10;9zQZUJZID1BLiMCugvoHyigRHLo6DoQzRS8kO0IqRsN73rxpwcushaxGfzAd/x+seLVZBaaqkp+M&#10;nnFmwdCV3324+fH+892369tPNz+/f0zx1y8sHSC7Oo9TqlrYVdiv0K9C0r6tg0lfUsW22eLdwWK5&#10;jUxQ8mwyJusFbYyHp6dn+QKKY6kPGF9IZ1gKSo4xgGrauHDW0lW6MMomw+YlRiKnwt8Fide6S6V1&#10;vlFtWVfyycnTRAY0pTVNB4XGk1K0DWegGxp/EUNGRKdVlaoTDoZmvdCBbSANTX6ScGL761iiXgK2&#10;/bm81Y9TK6F6bisWd57MtPQX9fkISh/zMSiwjZY8dWpkxZmW1FGKejJtiTO53fuborWrdtn2nKeR&#10;yF3txzfN3J/rXH38Ze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zkDkfZAAAACwEAAA8AAAAA&#10;AAAAAQAgAAAAIgAAAGRycy9kb3ducmV2LnhtbFBLAQIUABQAAAAIAIdO4kA9wVcAEwIAAPoDAAAO&#10;AAAAAAAAAAEAIAAAACgBAABkcnMvZTJvRG9jLnhtbFBLBQYAAAAABgAGAFkBAACtBQAAAAA=&#10;">
                <v:fill on="f" focussize="0,0"/>
                <v:stroke weight="0.5pt" color="#000000 [3213]" joinstyle="round" endarrow="block"/>
                <v:imagedata o:title=""/>
                <o:lock v:ext="edit" aspectratio="f"/>
              </v:shape>
            </w:pict>
          </mc:Fallback>
        </mc:AlternateContent>
      </w:r>
      <w:r>
        <w:rPr>
          <w:noProof/>
          <w:sz w:val="24"/>
        </w:rPr>
        <mc:AlternateContent>
          <mc:Choice Requires="wpc">
            <w:drawing>
              <wp:inline distT="0" distB="0" distL="114300" distR="114300" wp14:anchorId="07D856B6" wp14:editId="118342D6">
                <wp:extent cx="5274310" cy="4374515"/>
                <wp:effectExtent l="4445" t="4445" r="17145" b="21590"/>
                <wp:docPr id="156" name="画布 156"/>
                <wp:cNvGraphicFramePr/>
                <a:graphic xmlns:a="http://schemas.openxmlformats.org/drawingml/2006/main">
                  <a:graphicData uri="http://schemas.microsoft.com/office/word/2010/wordprocessingCanvas">
                    <wpc:wpc>
                      <wpc:bg/>
                      <wpc:whole>
                        <a:ln w="6350">
                          <a:solidFill>
                            <a:schemeClr val="tx1"/>
                          </a:solidFill>
                        </a:ln>
                      </wpc:whole>
                      <wps:wsp>
                        <wps:cNvPr id="304" name="矩形 304"/>
                        <wps:cNvSpPr/>
                        <wps:spPr>
                          <a:xfrm>
                            <a:off x="2132965" y="467995"/>
                            <a:ext cx="828040" cy="2933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FF88147" w14:textId="77777777" w:rsidR="00B14D53" w:rsidRDefault="00000000">
                              <w:pPr>
                                <w:jc w:val="center"/>
                                <w:rPr>
                                  <w:color w:val="000000" w:themeColor="text1"/>
                                </w:rPr>
                              </w:pPr>
                              <w:r>
                                <w:rPr>
                                  <w:rFonts w:hint="eastAsia"/>
                                  <w:color w:val="000000" w:themeColor="text1"/>
                                </w:rPr>
                                <w:t>格栅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5" name="矩形 305"/>
                        <wps:cNvSpPr/>
                        <wps:spPr>
                          <a:xfrm>
                            <a:off x="2120265" y="7620"/>
                            <a:ext cx="828040" cy="2933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CB8E85" w14:textId="77777777" w:rsidR="00B14D53" w:rsidRDefault="00000000">
                              <w:pPr>
                                <w:jc w:val="center"/>
                                <w:rPr>
                                  <w:color w:val="000000" w:themeColor="text1"/>
                                </w:rPr>
                              </w:pPr>
                              <w:r>
                                <w:rPr>
                                  <w:rFonts w:hint="eastAsia"/>
                                  <w:color w:val="000000" w:themeColor="text1"/>
                                </w:rPr>
                                <w:t>生产废水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2" name="矩形 312"/>
                        <wps:cNvSpPr/>
                        <wps:spPr>
                          <a:xfrm>
                            <a:off x="2113280" y="972820"/>
                            <a:ext cx="878840" cy="2933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C68EED9" w14:textId="77777777" w:rsidR="00B14D53" w:rsidRDefault="00000000">
                              <w:pPr>
                                <w:jc w:val="center"/>
                                <w:rPr>
                                  <w:color w:val="000000" w:themeColor="text1"/>
                                </w:rPr>
                              </w:pPr>
                              <w:r>
                                <w:rPr>
                                  <w:rFonts w:hint="eastAsia"/>
                                  <w:color w:val="000000" w:themeColor="text1"/>
                                </w:rPr>
                                <w:t>调节沉淀池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4" name="矩形 314"/>
                        <wps:cNvSpPr/>
                        <wps:spPr>
                          <a:xfrm>
                            <a:off x="2120900" y="1478280"/>
                            <a:ext cx="878840" cy="2933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EE81992" w14:textId="77777777" w:rsidR="00B14D53" w:rsidRDefault="00000000">
                              <w:pPr>
                                <w:jc w:val="center"/>
                                <w:rPr>
                                  <w:color w:val="000000" w:themeColor="text1"/>
                                </w:rPr>
                              </w:pPr>
                              <w:r>
                                <w:rPr>
                                  <w:rFonts w:hint="eastAsia"/>
                                  <w:color w:val="000000" w:themeColor="text1"/>
                                </w:rPr>
                                <w:t>气浮机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8" name="矩形 318"/>
                        <wps:cNvSpPr/>
                        <wps:spPr>
                          <a:xfrm>
                            <a:off x="2172335" y="1998980"/>
                            <a:ext cx="878840" cy="2933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332C6C3" w14:textId="77777777" w:rsidR="00B14D53" w:rsidRDefault="00000000">
                              <w:pPr>
                                <w:jc w:val="center"/>
                                <w:rPr>
                                  <w:color w:val="000000" w:themeColor="text1"/>
                                </w:rPr>
                              </w:pPr>
                              <w:r>
                                <w:rPr>
                                  <w:rFonts w:hint="eastAsia"/>
                                  <w:color w:val="000000" w:themeColor="text1"/>
                                </w:rPr>
                                <w:t>水解酸化池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0" name="矩形 320"/>
                        <wps:cNvSpPr/>
                        <wps:spPr>
                          <a:xfrm>
                            <a:off x="2180590" y="2505710"/>
                            <a:ext cx="878840" cy="2933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90002C6" w14:textId="77777777" w:rsidR="00B14D53" w:rsidRDefault="00000000">
                              <w:pPr>
                                <w:jc w:val="center"/>
                                <w:rPr>
                                  <w:color w:val="000000" w:themeColor="text1"/>
                                </w:rPr>
                              </w:pPr>
                              <w:r>
                                <w:rPr>
                                  <w:rFonts w:hint="eastAsia"/>
                                  <w:color w:val="000000" w:themeColor="text1"/>
                                </w:rPr>
                                <w:t>接触氧化池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2" name="矩形 322"/>
                        <wps:cNvSpPr/>
                        <wps:spPr>
                          <a:xfrm>
                            <a:off x="2187575" y="3011170"/>
                            <a:ext cx="878840" cy="2933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D263416" w14:textId="77777777" w:rsidR="00B14D53" w:rsidRDefault="00000000">
                              <w:pPr>
                                <w:jc w:val="center"/>
                                <w:rPr>
                                  <w:color w:val="000000" w:themeColor="text1"/>
                                </w:rPr>
                              </w:pPr>
                              <w:r>
                                <w:rPr>
                                  <w:rFonts w:hint="eastAsia"/>
                                  <w:color w:val="000000" w:themeColor="text1"/>
                                </w:rPr>
                                <w:t>二沉池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4" name="矩形 324"/>
                        <wps:cNvSpPr/>
                        <wps:spPr>
                          <a:xfrm>
                            <a:off x="3645535" y="3018155"/>
                            <a:ext cx="878840" cy="2933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AA2CE43" w14:textId="77777777" w:rsidR="00B14D53" w:rsidRDefault="00000000">
                              <w:pPr>
                                <w:jc w:val="center"/>
                                <w:rPr>
                                  <w:color w:val="000000" w:themeColor="text1"/>
                                </w:rPr>
                              </w:pPr>
                              <w:r>
                                <w:rPr>
                                  <w:rFonts w:hint="eastAsia"/>
                                  <w:color w:val="000000" w:themeColor="text1"/>
                                </w:rPr>
                                <w:t>污泥浓缩池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8" name="矩形 328"/>
                        <wps:cNvSpPr/>
                        <wps:spPr>
                          <a:xfrm>
                            <a:off x="2216785" y="3546475"/>
                            <a:ext cx="878840" cy="2933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956A3A7" w14:textId="77777777" w:rsidR="00B14D53" w:rsidRDefault="00000000">
                              <w:pPr>
                                <w:jc w:val="center"/>
                                <w:rPr>
                                  <w:color w:val="000000" w:themeColor="text1"/>
                                </w:rPr>
                              </w:pPr>
                              <w:r>
                                <w:rPr>
                                  <w:rFonts w:hint="eastAsia"/>
                                  <w:color w:val="000000" w:themeColor="text1"/>
                                </w:rPr>
                                <w:t>消毒池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0" name="矩形 330"/>
                        <wps:cNvSpPr/>
                        <wps:spPr>
                          <a:xfrm>
                            <a:off x="2266950" y="3994150"/>
                            <a:ext cx="828040" cy="2933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242C815" w14:textId="77777777" w:rsidR="00B14D53" w:rsidRDefault="00000000">
                              <w:pPr>
                                <w:jc w:val="center"/>
                                <w:rPr>
                                  <w:color w:val="000000" w:themeColor="text1"/>
                                </w:rPr>
                              </w:pPr>
                              <w:r>
                                <w:rPr>
                                  <w:rFonts w:hint="eastAsia"/>
                                  <w:color w:val="000000" w:themeColor="text1"/>
                                </w:rPr>
                                <w:t>市政管网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2" name="矩形 332"/>
                        <wps:cNvSpPr/>
                        <wps:spPr>
                          <a:xfrm>
                            <a:off x="1012190" y="3549650"/>
                            <a:ext cx="828040" cy="2933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F1B5304" w14:textId="77777777" w:rsidR="00B14D53" w:rsidRDefault="00000000">
                              <w:pPr>
                                <w:jc w:val="center"/>
                                <w:rPr>
                                  <w:color w:val="000000" w:themeColor="text1"/>
                                </w:rPr>
                              </w:pPr>
                              <w:r>
                                <w:rPr>
                                  <w:rFonts w:hint="eastAsia"/>
                                  <w:color w:val="000000" w:themeColor="text1"/>
                                </w:rPr>
                                <w:t>次氯酸钠</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xmlns:wpsCustomData="http://www.wps.cn/officeDocument/2013/wpsCustomData">
            <w:pict>
              <v:group id="_x0000_s1026" o:spid="_x0000_s1026" o:spt="203" style="height:344.45pt;width:415.3pt;" coordsize="5274310,4374515" editas="canvas" o:gfxdata="UEsDBAoAAAAAAIdO4kAAAAAAAAAAAAAAAAAEAAAAZHJzL1BLAwQUAAAACACHTuJAIKQFUdMAAAAF&#10;AQAADwAAAGRycy9kb3ducmV2LnhtbE2PwWrDMBBE74X8g9hAL6WREoPrOpZDKeRacJoPUKytZSKt&#10;jCXHzt9X7aW9LAwzzLytDouz7IZj6D1J2G4EMKTW6546CefP43MBLERFWllPKOGOAQ716qFSpfYz&#10;NXg7xY6lEgqlkmBiHErOQ2vQqbDxA1LyvvzoVExy7Lge1ZzKneU7IXLuVE9pwagB3w2219PkJDwF&#10;uzjTdNmueVnOb9Nss+zDSvm43oo9sIhL/AvDD35ChzoxXfxEOjArIT0Sf2/yikzkwC4S8qJ4BV5X&#10;/D99/Q1QSwMEFAAAAAgAh07iQNV78gw3BAAA2yIAAA4AAABkcnMvZTJvRG9jLnhtbO1ay27jNhTd&#10;F+g/ENo3Fqm3EGcQJE1QIOgESIuuaZp6AJLIknTkdNtf6H6A7voHBYp+zqC/0UtK9sT2ALVbdGC0&#10;ysKhLqlL3sPDg0tSl2/WbYOeudK16OYevvA9xDsmlnVXzr1vv7n7IvWQNrRb0kZ0fO69cO29ufr8&#10;s8te5pyISjRLrhA46XTey7lXGSPz2UyzirdUXwjJO6gshGqpgUdVzpaK9uC9bWbE9+NZL9RSKsG4&#10;1mC9HSq90aM6xqEoiprxW8FWLe/M4FXxhhoISVe11N6VG21RcGbeFoXmBjVzDyI17hc6gfLC/s6u&#10;LmleKiqrmo1DoMcMYS+mltYddLp1dUsNRStVH7hqa6aEFoW5YKKdDYE4RCAK7O9hc6/ESrpYyrwv&#10;5RZ0mKg91P+2W/b186NC9RKYEMUe6mgLU/7HT7+9//VHZC2ATy/LHJrdK/kkH9VoKIcnG/K6UK39&#10;D8GgtUP2ZYssXxvEwBiRJAwwgM6gLgySMMLRgD2rYIIO3mPVl3/x5mzT8cyObzucXgIr9Qeo9D+D&#10;6qmikrsZ0BaDEarAD7dQvfvl/e8/I2txyLhmW5x0rgGyj4BEcECyOPKQhSNOsmxEY4NXSlI/HOEi&#10;WRAkjqnbmGkulTb3XLTIFuaeAqI7/tHnB21gJNB008R234m7umnATvOmQ/3ci4PIuqewgAtYOFBs&#10;JZBAd6WHaFOCMjCjnEctmnpp37Yva1UubhqFnqldT+7Pxg297TSzXd9SXQ3tXNXYrOmgtZ2kARhb&#10;MuvFesRuIZYvgLESwzrVkt3V4OqBavNIFSxMGDNIl3kLP0UjIA4xljxUCfXDx+y2PZAAaj3Uw0KH&#10;IL9fUcU91HzVAT0yHFqkjXsIo4TAg3pds3hd063aGwGxYxBJyVzRtjfNplgo0X4HCndte4Uq2jHo&#10;e4BzfLgxgwCBRjJ+fe2agRpIah66J8ms82HOrldGFLWbTgvUgM6IH5DcLs1Pwnbg6SgMG7Y7utre&#10;YVEcw3bik5HtSQwAOyJ+Mq6TKPRhJo4h+6t1MnH4v8RhTPY5DJZRdY7kMEh2CjQCxc4Skh6wOEnT&#10;SbEnxT4LxcYH+QlYTmM78TMrmsB2HCY2HdkT7YnugM5E9/OgO2xZdxMUnJ5I94QEwZCO4yxLs4nu&#10;Lrec8vFzzMftDmWX7kMyckI+nvpRNqg7ifwogZ35bko+qfuk7uJMtp/kIHUHy2nJTJpEyaDugY8x&#10;Hk5TaL7dgU50n+h+NnQ/yN3Jabl7EIdRNCYzQPcUR/uHixPdJ7qfDd0PcndyYu5OcJyko7pHYRyC&#10;0k/JzOa0eDpLP6+z9ACUZzd3B8tJyQyJ48ze3cDJTJBlIYbyLt3/7auj6Tgd/e+vhIKDnBwsp9AY&#10;+5jgcQsaRCHchU40nm423c2wu9l0t/rwzYO7Wx6/z7AfVbx+djehH75Jufo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IKQFUdMAAAAFAQAADwAAAAAAAAABACAAAAAiAAAAZHJzL2Rvd25yZXYueG1s&#10;UEsBAhQAFAAAAAgAh07iQNV78gw3BAAA2yIAAA4AAAAAAAAAAQAgAAAAIgEAAGRycy9lMm9Eb2Mu&#10;eG1sUEsFBgAAAAAGAAYAWQEAAMsHAAAAAA==&#10;">
                <o:lock v:ext="edit" aspectratio="f"/>
                <v:shape id="_x0000_s1026" o:spid="_x0000_s1026" style="position:absolute;left:0;top:0;height:4374515;width:5274310;" filled="f" stroked="t" coordsize="21600,21600" o:gfxdata="UEsDBAoAAAAAAIdO4kAAAAAAAAAAAAAAAAAEAAAAZHJzL1BLAwQUAAAACACHTuJAIKQFUdMAAAAF&#10;AQAADwAAAGRycy9kb3ducmV2LnhtbE2PwWrDMBBE74X8g9hAL6WREoPrOpZDKeRacJoPUKytZSKt&#10;jCXHzt9X7aW9LAwzzLytDouz7IZj6D1J2G4EMKTW6546CefP43MBLERFWllPKOGOAQ716qFSpfYz&#10;NXg7xY6lEgqlkmBiHErOQ2vQqbDxA1LyvvzoVExy7Lge1ZzKneU7IXLuVE9pwagB3w2219PkJDwF&#10;uzjTdNmueVnOb9Nss+zDSvm43oo9sIhL/AvDD35ChzoxXfxEOjArIT0Sf2/yikzkwC4S8qJ4BV5X&#10;/D99/Q1QSwMEFAAAAAgAh07iQE7sf3/5AwAAcyIAAA4AAABkcnMvZTJvRG9jLnhtbO2azW7jNhCA&#10;7wX6DgTvG4vUvxFlESRIUSDoBkiLnmmasgVIpErSP+nLFOitD7GPs9jX6JBUEsfuwe7PwujKB5l/&#10;GGqG3wyGpC7fb7sWrYU2jZIVJhcRRkJyNW/kosI//Xj3rsDIWCbnrFVSVPhJGPz+6ttvLjf9VFC1&#10;VO1caARCpJlu+govre2nk4nhS9Exc6F6IaGzVrpjFqp6MZlrtgHpXTuhUZRNNkrPe624MAZab0Mn&#10;HiTqYwSqum64uFV81Qlpg1QtWmZBJbNseoOv/NvWteD2Q10bYVFbYdDU+idMAuWZe06uLtl0oVm/&#10;bPjwCuyYV9jTqWONhElfRN0yy9BKNweiuoZrZVRtL7jqJkERbxHQgkR7trlhcs2CMhxs/fyCUPoX&#10;5c4WYAMQOd3A0gqnQyvRpsJZnEZeJaPaZn7XtK3rM3oxu2k1WjNnUP9zNpxAz+swqLUSGnekbnqg&#10;xfQv3Jh/psHjkvXCr7KZ8h/WDxo18wrHUYKRZB1Q+/m3Pz59/B25Fq+eH/bYP+ihZqDo9NnWunP/&#10;sBJoW2FKYlpmKUZPFU6yvCzTQIjYWsShv6BFlAA7HPppGce5Jwj0fZbTa2O/E6pDrlBhDQB6I7L1&#10;vbHBUM9D3LRSOcNC+xurI87AsWoAGmbqetDMyAVGrF2Ax3Kr/+aysKmb+paZZVg+v2LD6g3rZabB&#10;MG657Ha2Haw1U/MnsLFWwX9Mz+8aEHXPjH1gGhwGTAIhxX6AR90qoEcNJYyWSv/6V+1uPEAAvRht&#10;wAFByV9WTAuM2u8l4FGSxFna+kqS5hQqerdnttsjV92NAiQJBK+e+6Ibb9vnYq1V9zNEnms3K3Qx&#10;yWHuYM6hcmNDYIDYxcX1tR8GXtozey8fnc8Rb3iprldW1Y1fTmeoYB3Pu4fcudMXoR043aPd4+pm&#10;B6c4hnYa0YH2PAMDexC/GOs0TSJYiWNg3/GTkeH/E8OE7jMMLUPUOZJhCNkFYAQRucxpcUBxXhRj&#10;xB4j9llEbHKQn0DLabTTqHRBE2gnSe7Skb2gPeIO1hlxPw/cYSv5NkEhxYm45zSOQzpOyrIoR9x9&#10;bjnm4+eYj7sdylvcQzJyQj5eRGkZojtNozQnY3R/3WCN28/z2n7Sg9QdWk5LZoo8zUN0jyNCSDhN&#10;YdOXHeiYzIzJzLmcttCD3B1aTsE9zpI0HZIZwL0g6f7h4oj7iPvZ4H6Qu9MTc3dKsrwYonuaZAlE&#10;enCXMbqPZ+lneJYeH+Tu0HJKdKc0y0q4MXMnM3FZJgTKb3H/r6+OxuN09NVfCcUHOTm0nIIxiQgl&#10;wxY0ThO4Cx0xHm824SZ/uNkMd/o991f+w3cT7mOH3bq/CX39VuTq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CCkBVHTAAAABQEAAA8AAAAAAAAAAQAgAAAAIgAAAGRycy9kb3ducmV2LnhtbFBLAQIU&#10;ABQAAAAIAIdO4kBO7H9/+QMAAHMiAAAOAAAAAAAAAAEAIAAAACIBAABkcnMvZTJvRG9jLnhtbFBL&#10;BQYAAAAABgAGAFkBAACNBwAAAAA=&#10;">
                  <v:fill on="f" focussize="0,0"/>
                  <v:stroke weight="0.5pt" color="#000000 [3213]" joinstyle="round"/>
                  <v:imagedata o:title=""/>
                  <o:lock v:ext="edit" aspectratio="f"/>
                </v:shape>
                <v:rect id="_x0000_s1026" o:spid="_x0000_s1026" o:spt="1" style="position:absolute;left:2132965;top:467995;height:293370;width:828040;v-text-anchor:middle;" filled="f" stroked="t" coordsize="21600,21600" o:gfxdata="UEsDBAoAAAAAAIdO4kAAAAAAAAAAAAAAAAAEAAAAZHJzL1BLAwQUAAAACACHTuJAHRG76dQAAAAF&#10;AQAADwAAAGRycy9kb3ducmV2LnhtbE2PQUvDQBCF74L/YRnBm91thTRNMykoKJ4Kbf0B0+yYhGZn&#10;Q3bTVn+9qxe9DDze471vys3V9erMY+i8IMxnBhRL7W0nDcL74eUhBxUiiaXeCyN8coBNdXtTUmH9&#10;RXZ83sdGpRIJBSG0MQ6F1qFu2VGY+YEleR9+dBSTHBttR7qkctfrhTGZdtRJWmhp4OeW69N+cghu&#10;+9XZw7TkbXzzr0v7tHK7hUW8v5ubNajI1/gXhh/8hA5VYjr6SWxQPUJ6JP7e5OWPJgN1RMjyfAW6&#10;KvV/+uobUEsDBBQAAAAIAIdO4kAmTZmGcQIAAMwEAAAOAAAAZHJzL2Uyb0RvYy54bWytVM1uEzEQ&#10;viPxDpbvdJPNT5somypKVIRU0UgFcXa8dtaS/xg72ZSXQeLGQ/A4iNdg7N3+UDj0QA7OjGfyzXyf&#10;Z7K4PBlNjgKCcraiw7MBJcJyVyu7r+jHD1dvLigJkdmaaWdFRe9EoJfL168WrZ+L0jVO1wIIgtgw&#10;b31Fmxj9vCgCb4Rh4cx5YTEoHRgW0YV9UQNrEd3oohwMpkXroPbguAgBbzddkPaI8BJAJ6XiYuP4&#10;wQgbO1QQmkWkFBrlA13mbqUUPN5IGUQkuqLINOYTi6C9S2exXLD5HphvFO9bYC9p4Rknw5TFog9Q&#10;GxYZOYD6C8ooDi44Gc+4M0VHJCuCLIaDZ9rcNsyLzAWlDv5B9PD/YPn74xaIqis6Gowpsczgk//6&#10;+v3nj28k3aA+rQ9zTLv1W+i9gGYie5Jg0jfSIKeKlsNROZtOKLmr6Hh6PptNOnnFKRKO8YvyYjBG&#10;4TnGy9lodJ7lLx5xPIT4VjhDklFRwNfLorLjdYhYG1PvU1JZ666U1vkFtSVtRaejSYJnOJUSpwFN&#10;45FZsHtKmN7juPMIGTE4rer064QTYL9bayBHloYkf1LjWO2PtFR6w0LT5eVQn6YtZieZOmGSFU+7&#10;U6/WztV3qDG4bviC51cKoa5ZiFsGOG3YM+5jvMFDaoc8XG9R0jj48q/7lI9DgFFKWpxeJPn5wEBQ&#10;ot9ZHI/ZcJyUjtkZT85LdOBpZPc0Yg9m7ZD7EDff82ym/KjvTQnOfMK1XaWqGGKWY+1Ozt5Zx26r&#10;cPG5WK1yGo64Z/Ha3nqewLs3Wx2ikyo/ZxKqU6fXD4c8694vZNqip37OevwTW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RG76dQAAAAFAQAADwAAAAAAAAABACAAAAAiAAAAZHJzL2Rvd25yZXYu&#10;eG1sUEsBAhQAFAAAAAgAh07iQCZNmYZxAgAAzAQAAA4AAAAAAAAAAQAgAAAAIwEAAGRycy9lMm9E&#10;b2MueG1sUEsFBgAAAAAGAAYAWQEAAAYGAAAAAA==&#10;">
                  <v:fill on="f" focussize="0,0"/>
                  <v:stroke weight="0.5pt" color="#000000 [3213]" joinstyle="round"/>
                  <v:imagedata o:title=""/>
                  <o:lock v:ext="edit" aspectratio="f"/>
                  <v:textbox>
                    <w:txbxContent>
                      <w:p w14:paraId="3B5803E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格栅</w:t>
                        </w:r>
                      </w:p>
                    </w:txbxContent>
                  </v:textbox>
                </v:rect>
                <v:rect id="_x0000_s1026" o:spid="_x0000_s1026" o:spt="1" style="position:absolute;left:2120265;top:7620;height:293370;width:828040;v-text-anchor:middle;" filled="f" stroked="f" coordsize="21600,21600" o:gfxdata="UEsDBAoAAAAAAIdO4kAAAAAAAAAAAAAAAAAEAAAAZHJzL1BLAwQUAAAACACHTuJAAYn2FNUAAAAF&#10;AQAADwAAAGRycy9kb3ducmV2LnhtbE2PQUvDQBCF70L/wzIFb3a3WkKM2ZRSVOjRRhBvk+yYxGZn&#10;Q3abtv++qxe9DDze471v8vXZ9mKi0XeONSwXCgRx7UzHjYb38uUuBeEDssHeMWm4kId1MbvJMTPu&#10;xG807UMjYgn7DDW0IQyZlL5uyaJfuIE4el9utBiiHBtpRjzFctvLe6USabHjuNDiQNuW6sP+aDX4&#10;atqVl2Hz8f3p62rzzLZc7V61vp0v1ROIQOfwF4Yf/IgORWSq3JGNF72G+Ej4vdFLH1QCotKQpOkj&#10;yCKX/+mLK1BLAwQUAAAACACHTuJAlv8a11wCAACiBAAADgAAAGRycy9lMm9Eb2MueG1srVRLbtsw&#10;EN0X6B0I7hvJivMzIgdGjBQFgiZAWnRNU6QlgL+StOX0MgW66yFynKLX6COlJEbaRRbdUEPO+M28&#10;NzM+v9hpRbbCh86amk4OSkqE4bbpzLqmnz9dvTulJERmGqasETW9F4FezN++Oe/dTFS2taoRngDE&#10;hFnvatrG6GZFEXgrNAsH1gkDp7Res4irXxeNZz3QtSqqsjwueusb5y0XIeB1OTjpiOhfA2il7LhY&#10;Wr7RwsQB1QvFIiiFtnOBznO1Ugoeb6QMIhJVUzCN+UQS2Kt0FvNzNlt75tqOjyWw15TwgpNmnUHS&#10;J6gli4xsfPcXlO64t8HKeMCtLgYiWRGwmJQvtLlrmROZC6QO7kn08P9g+cftrSddU9PD8ogSwzRa&#10;/vv7z18PP0h6gT69CzOE3blbP94CzER2J71OX9Agu5pWk6qsjoFyX9OT42oUV+wi4fCeVqflFLJz&#10;eKuzw8OT7C+eUZwP8b2wmiSjph69y5Ky7XWIyIzQx5CU1NirTqncP2VID9CjaZnwGYZSYhhgagdi&#10;wawpYWqNaefRZ8i93ybIJQst2TKMSLCqaxJpJFMGn0R+oJusuFvtRg1WtrmHct4OIxUcv+oAdc1C&#10;vGUeM4RSsGXxBodUFvXZ0aKktf7bv95TPFoLLyU9ZhL1fN0wLyhRHwyafjaZJgVjvkyPTiAx8fue&#10;1b7HbPSlBacJ9tnxbKb4qB5N6a3+gmVcpKxwMcORe1BpvFzGYVewzlwsFjkMg+tYvDZ3jifwoReL&#10;TbSyy21KQg3qjPphdLOg45ql3di/56jnv5b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GJ9hTV&#10;AAAABQEAAA8AAAAAAAAAAQAgAAAAIgAAAGRycy9kb3ducmV2LnhtbFBLAQIUABQAAAAIAIdO4kCW&#10;/xrXXAIAAKIEAAAOAAAAAAAAAAEAIAAAACQBAABkcnMvZTJvRG9jLnhtbFBLBQYAAAAABgAGAFkB&#10;AADyBQAAAAA=&#10;">
                  <v:fill on="f" focussize="0,0"/>
                  <v:stroke on="f" weight="2pt"/>
                  <v:imagedata o:title=""/>
                  <o:lock v:ext="edit" aspectratio="f"/>
                  <v:textbox>
                    <w:txbxContent>
                      <w:p w14:paraId="55D3349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生产废水</w:t>
                        </w:r>
                      </w:p>
                    </w:txbxContent>
                  </v:textbox>
                </v:rect>
                <v:rect id="_x0000_s1026" o:spid="_x0000_s1026" o:spt="1" style="position:absolute;left:2113280;top:972820;height:293370;width:878840;v-text-anchor:middle;" filled="f" stroked="t" coordsize="21600,21600" o:gfxdata="UEsDBAoAAAAAAIdO4kAAAAAAAAAAAAAAAAAEAAAAZHJzL1BLAwQUAAAACACHTuJAHRG76dQAAAAF&#10;AQAADwAAAGRycy9kb3ducmV2LnhtbE2PQUvDQBCF74L/YRnBm91thTRNMykoKJ4Kbf0B0+yYhGZn&#10;Q3bTVn+9qxe9DDze471vys3V9erMY+i8IMxnBhRL7W0nDcL74eUhBxUiiaXeCyN8coBNdXtTUmH9&#10;RXZ83sdGpRIJBSG0MQ6F1qFu2VGY+YEleR9+dBSTHBttR7qkctfrhTGZdtRJWmhp4OeW69N+cghu&#10;+9XZw7TkbXzzr0v7tHK7hUW8v5ubNajI1/gXhh/8hA5VYjr6SWxQPUJ6JP7e5OWPJgN1RMjyfAW6&#10;KvV/+uobUEsDBBQAAAAIAIdO4kBaRtbibwIAAMwEAAAOAAAAZHJzL2Uyb0RvYy54bWytVM1uEzEQ&#10;viPxDpbvdLObtEmjbqqoURBSRSsFxNnx2llL/mPsZFNeBokbD8HjIF6DsXf7Q+HQAzk4M57JN/6+&#10;mcnF5dFochAQlLM1LU9GlAjLXaPsrqYfP6zfzCgJkdmGaWdFTe9EoJeL168uOj8XlWudbgQQBLFh&#10;3vmatjH6eVEE3grDwonzwmJQOjAsogu7ogHWIbrRRTUanRWdg8aD4yIEvF31QTogwksAnZSKi5Xj&#10;eyNs7FFBaBaRUmiVD3SRXyul4PFGyiAi0TVFpjGfWATtbTqLxQWb74D5VvHhCewlT3jGyTBlsegD&#10;1IpFRvag/oIyioMLTsYT7kzRE8mKIIty9EybTcu8yFxQ6uAfRA//D5a/P9wCUU1Nx2VFiWUGW/7r&#10;6/efP76RdIP6dD7MMW3jb2HwApqJ7FGCSd9IgxxrWpXluJqhsnc1PZ9Ws2qQVxwj4RifTWezCYY5&#10;xqvz8Xia48UjjocQ3wpnSDJqCti9LCo7XIeItTH1PiWVtW6ttM4d1JZ0NT0bnyZ4hlMpcRrQNB6Z&#10;BbujhOkdjjuPkBGD06pJv044AXbbKw3kwNKQ5E/ijdX+SEulVyy0fV4ODWnaYnaSqRcmWfG4PQ5q&#10;bV1zhxqD64cveL5WCHXNQrxlgNOGb8Z9jDd4SO2QhxssSloHX/51n/JxCDBKSYfTiyQ/7xkISvQ7&#10;i+NxXk6S0jE7k9MptoLA08j2acTuzZVD7iVuvufZTPlR35sSnPmEa7tMVTHELMfavZyDcxX7rcLF&#10;52K5zGk44p7Fa7vxPIH3PVvuo5MqtzMJ1asz6IdDnnUfFjJt0VM/Zz3+CS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0Ru+nUAAAABQEAAA8AAAAAAAAAAQAgAAAAIgAAAGRycy9kb3ducmV2Lnht&#10;bFBLAQIUABQAAAAIAIdO4kBaRtbibwIAAMwEAAAOAAAAAAAAAAEAIAAAACMBAABkcnMvZTJvRG9j&#10;LnhtbFBLBQYAAAAABgAGAFkBAAAEBgAAAAA=&#10;">
                  <v:fill on="f" focussize="0,0"/>
                  <v:stroke weight="0.5pt" color="#000000 [3213]" joinstyle="round"/>
                  <v:imagedata o:title=""/>
                  <o:lock v:ext="edit" aspectratio="f"/>
                  <v:textbox>
                    <w:txbxContent>
                      <w:p w14:paraId="0B7594D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调节沉淀池</w:t>
                        </w:r>
                      </w:p>
                    </w:txbxContent>
                  </v:textbox>
                </v:rect>
                <v:rect id="_x0000_s1026" o:spid="_x0000_s1026" o:spt="1" style="position:absolute;left:2120900;top:1478280;height:293370;width:878840;v-text-anchor:middle;" filled="f" stroked="t" coordsize="21600,21600" o:gfxdata="UEsDBAoAAAAAAIdO4kAAAAAAAAAAAAAAAAAEAAAAZHJzL1BLAwQUAAAACACHTuJAHRG76dQAAAAF&#10;AQAADwAAAGRycy9kb3ducmV2LnhtbE2PQUvDQBCF74L/YRnBm91thTRNMykoKJ4Kbf0B0+yYhGZn&#10;Q3bTVn+9qxe9DDze471vys3V9erMY+i8IMxnBhRL7W0nDcL74eUhBxUiiaXeCyN8coBNdXtTUmH9&#10;RXZ83sdGpRIJBSG0MQ6F1qFu2VGY+YEleR9+dBSTHBttR7qkctfrhTGZdtRJWmhp4OeW69N+cghu&#10;+9XZw7TkbXzzr0v7tHK7hUW8v5ubNajI1/gXhh/8hA5VYjr6SWxQPUJ6JP7e5OWPJgN1RMjyfAW6&#10;KvV/+uobUEsDBBQAAAAIAIdO4kCj+DB2bwIAAM0EAAAOAAAAZHJzL2Uyb0RvYy54bWytVMtuEzEU&#10;3SPxD5b3dJJJ2qRRJ1XUqAipopUKYu147MxIfmE7mZSfQWLHR/A5iN/g2DN9UFh0QRbOte/JuT7H&#10;9+bs/KAV2QsfWmsqOj4aUSIMt3VrthX9+OHyzZySEJmpmbJGVPROBHq+fP3qrHMLUdrGqlp4AhIT&#10;Fp2raBOjWxRF4I3QLBxZJwyS0nrNIrZ+W9SedWDXqihHo5Ois7523nIRAk7XfZIOjP4lhFbKlou1&#10;5TstTOxZvVAsQlJoWhfoMt9WSsHjtZRBRKIqCqUxryiCeJPWYnnGFlvPXNPy4QrsJVd4pkmz1qDo&#10;A9WaRUZ2vv2LSrfc22BlPOJWF72Q7AhUjEfPvLltmBNZC6wO7sH08P9o+fv9jSdtXdHJeEqJYRpP&#10;/uvr958/vpF0An86FxaA3bobP+wCwiT2IL1O35BBDhUtx+XodARn79BX09m8nA/+ikMkHID5bD6f&#10;Is8BKE8nk1nOF49Ezof4VlhNUlBRj+fLrrL9VYgoDug9JNU19rJVKj+hMqSr6MnkONEztKVEOyDU&#10;DtKC2VLC1Bb9zqPPjMGqtk6/TjzBbzcXypM9S12SP0k4qv0BS6XXLDQ9LqcGmDJAJ596Z1IUD5vD&#10;YNfG1ncw2du++4Ljly2orliIN8yj3XBnDGS8xiKVhQ47RJQ01n/513nCowuQpaRD+0Lk5x3zghL1&#10;zqA/TsfT5HTMm+nxrMTGP81snmbMTl9YaB9j9B3PYcJHdR9Kb/UnzO0qVUWKGY7avZ3D5iL2Y4XJ&#10;52K1yjD0uGPxytw6nsj7N1vtopVtfs5kVO/O4B+6PPs+TGQao6f7jHr8F1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0Ru+nUAAAABQEAAA8AAAAAAAAAAQAgAAAAIgAAAGRycy9kb3ducmV2Lnht&#10;bFBLAQIUABQAAAAIAIdO4kCj+DB2bwIAAM0EAAAOAAAAAAAAAAEAIAAAACMBAABkcnMvZTJvRG9j&#10;LnhtbFBLBQYAAAAABgAGAFkBAAAEBgAAAAA=&#10;">
                  <v:fill on="f" focussize="0,0"/>
                  <v:stroke weight="0.5pt" color="#000000 [3213]" joinstyle="round"/>
                  <v:imagedata o:title=""/>
                  <o:lock v:ext="edit" aspectratio="f"/>
                  <v:textbox>
                    <w:txbxContent>
                      <w:p w14:paraId="0B52D62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气浮机</w:t>
                        </w:r>
                      </w:p>
                    </w:txbxContent>
                  </v:textbox>
                </v:rect>
                <v:rect id="_x0000_s1026" o:spid="_x0000_s1026" o:spt="1" style="position:absolute;left:2172335;top:1998980;height:293370;width:878840;v-text-anchor:middle;" filled="f" stroked="t" coordsize="21600,21600" o:gfxdata="UEsDBAoAAAAAAIdO4kAAAAAAAAAAAAAAAAAEAAAAZHJzL1BLAwQUAAAACACHTuJAHRG76dQAAAAF&#10;AQAADwAAAGRycy9kb3ducmV2LnhtbE2PQUvDQBCF74L/YRnBm91thTRNMykoKJ4Kbf0B0+yYhGZn&#10;Q3bTVn+9qxe9DDze471vys3V9erMY+i8IMxnBhRL7W0nDcL74eUhBxUiiaXeCyN8coBNdXtTUmH9&#10;RXZ83sdGpRIJBSG0MQ6F1qFu2VGY+YEleR9+dBSTHBttR7qkctfrhTGZdtRJWmhp4OeW69N+cghu&#10;+9XZw7TkbXzzr0v7tHK7hUW8v5ubNajI1/gXhh/8hA5VYjr6SWxQPUJ6JP7e5OWPJgN1RMjyfAW6&#10;KvV/+uobUEsDBBQAAAAIAIdO4kC7ITi6bwIAAM0EAAAOAAAAZHJzL2Uyb0RvYy54bWytVMtuEzEU&#10;3SPxD5b3dPJom4cyqaJGRUgVrVQQa8fjyVjyC9vJpPwMEjs+gs9B/AbHnmkbCosuyMK59j051+f4&#10;3iwuDlqRvfBBWlPS4cmAEmG4raTZlvTjh6s3U0pCZKZiyhpR0nsR6MXy9atF6+ZiZBurKuEJSEyY&#10;t66kTYxuXhSBN0KzcGKdMEjW1msWsfXbovKsBbtWxWgwOC9a6yvnLRch4HTdJWnP6F9CaOtacrG2&#10;fKeFiR2rF4pFSAqNdIEu823rWvB4U9dBRKJKCqUxryiCeJPWYrlg861nrpG8vwJ7yRWeadJMGhR9&#10;pFqzyMjOy7+otOTeBlvHE2510QnJjkDFcPDMm7uGOZG1wOrgHk0P/4+Wv9/feiKrko6HeHjDNJ78&#10;19fvP398I+kE/rQuzAG7c7e+3wWESeyh9jp9QwY5lHQ0nIzG4zNK7tFXs9l0Nu39FYdIOADTyXR6&#10;Cuc5AKPZeDzJ+eKJyPkQ3wqrSQpK6vF82VW2vw4RxQF9gKS6xl5JpfITKkPakp6PzxI9Q1vWaAeE&#10;2kFaMFtKmNqi33n0mTFYJav068QT/HZzqTzZs9Ql+ZOEo9ofsFR6zULT4XKqhykDdPKpcyZF8bA5&#10;9HZtbHUPk73tui84fiVBdc1CvGUe7YY7YyDjDZZaWeiwfURJY/2Xf50nPLoAWUpatC9Eft4xLyhR&#10;7wz6YzY8TU7HvDk9m4yw8ceZzXHG7PSlhfYhRt/xHCZ8VA9h7a3+hLldpapIMcNRu7Oz31zGbqww&#10;+VysVhmGHncsXps7xxN592arXbS1zM+ZjOrc6f1Dl2ff+4lMY3S8z6inf6H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0Ru+nUAAAABQEAAA8AAAAAAAAAAQAgAAAAIgAAAGRycy9kb3ducmV2Lnht&#10;bFBLAQIUABQAAAAIAIdO4kC7ITi6bwIAAM0EAAAOAAAAAAAAAAEAIAAAACMBAABkcnMvZTJvRG9j&#10;LnhtbFBLBQYAAAAABgAGAFkBAAAEBgAAAAA=&#10;">
                  <v:fill on="f" focussize="0,0"/>
                  <v:stroke weight="0.5pt" color="#000000 [3213]" joinstyle="round"/>
                  <v:imagedata o:title=""/>
                  <o:lock v:ext="edit" aspectratio="f"/>
                  <v:textbox>
                    <w:txbxContent>
                      <w:p w14:paraId="2D9E8AF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水解酸化池</w:t>
                        </w:r>
                      </w:p>
                    </w:txbxContent>
                  </v:textbox>
                </v:rect>
                <v:rect id="_x0000_s1026" o:spid="_x0000_s1026" o:spt="1" style="position:absolute;left:2180590;top:2505710;height:293370;width:878840;v-text-anchor:middle;" filled="f" stroked="t" coordsize="21600,21600" o:gfxdata="UEsDBAoAAAAAAIdO4kAAAAAAAAAAAAAAAAAEAAAAZHJzL1BLAwQUAAAACACHTuJAHRG76dQAAAAF&#10;AQAADwAAAGRycy9kb3ducmV2LnhtbE2PQUvDQBCF74L/YRnBm91thTRNMykoKJ4Kbf0B0+yYhGZn&#10;Q3bTVn+9qxe9DDze471vys3V9erMY+i8IMxnBhRL7W0nDcL74eUhBxUiiaXeCyN8coBNdXtTUmH9&#10;RXZ83sdGpRIJBSG0MQ6F1qFu2VGY+YEleR9+dBSTHBttR7qkctfrhTGZdtRJWmhp4OeW69N+cghu&#10;+9XZw7TkbXzzr0v7tHK7hUW8v5ubNajI1/gXhh/8hA5VYjr6SWxQPUJ6JP7e5OWPJgN1RMjyfAW6&#10;KvV/+uobUEsDBBQAAAAIAIdO4kBZz51SbQIAAM0EAAAOAAAAZHJzL2Uyb0RvYy54bWytVMtuEzEU&#10;3SPxD5b3dPJomjTKpIoSFSFVtFJBrB2PJ2PJL2wnk/IzSOz4CD4H8Rsce6YPCosuyMK59j051+f4&#10;3iwujlqRg/BBWlPS4cmAEmG4raTZlfTjh8s3M0pCZKZiyhpR0jsR6MXy9atF6+ZiZBurKuEJSEyY&#10;t66kTYxuXhSBN0KzcGKdMEjW1msWsfW7ovKsBbtWxWgwOCta6yvnLRch4HTTJWnP6F9CaOtacrGx&#10;fK+FiR2rF4pFSAqNdIEu823rWvB4XddBRKJKCqUxryiCeJvWYrlg851nrpG8vwJ7yRWeadJMGhR9&#10;oNqwyMjey7+otOTeBlvHE2510QnJjkDFcPDMm9uGOZG1wOrgHkwP/4+Wvz/ceCKrko5H8MQwjSf/&#10;9fX7zx/fSDqBP60Lc8Bu3Y3vdwFhEnusvU7fkEGOJR0NZ4PJOVjuEE8Gk+mw91ccI+EAzKaz2Sny&#10;PAHOx+NpzhePRM6H+FZYTVJQUo/ny66yw1WIKA7oPSTVNfZSKpWfUBnSlvRsPEn0DG1Zox0Qagdp&#10;wewoYWqHfufRZ8ZglazSrxNP8LvtWnlyYKlL8icJR7U/YKn0hoWmw+VUD1MG6ORT50yK4nF77O3a&#10;2uoOJnvbdV9w/FKC6oqFeMM82g13xkDGayy1stBh+4iSxvov/zpPeHQBspS0aF+I/LxnXlCi3hn0&#10;x/nwNDkd8+Z0Mk2P659mtk8zZq/XFtqHGH3Hc5jwUd2Htbf6E+Z2laoixQxH7c7OfrOO3Vhh8rlY&#10;rTIMPe5YvDK3jify7s1W+2hrmZ8zGdW50/uHLs++9xOZxujpPqMe/4W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dEbvp1AAAAAUBAAAPAAAAAAAAAAEAIAAAACIAAABkcnMvZG93bnJldi54bWxQ&#10;SwECFAAUAAAACACHTuJAWc+dUm0CAADNBAAADgAAAAAAAAABACAAAAAjAQAAZHJzL2Uyb0RvYy54&#10;bWxQSwUGAAAAAAYABgBZAQAAAgYAAAAA&#10;">
                  <v:fill on="f" focussize="0,0"/>
                  <v:stroke weight="0.5pt" color="#000000 [3213]" joinstyle="round"/>
                  <v:imagedata o:title=""/>
                  <o:lock v:ext="edit" aspectratio="f"/>
                  <v:textbox>
                    <w:txbxContent>
                      <w:p w14:paraId="56E144B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接触氧化池</w:t>
                        </w:r>
                      </w:p>
                    </w:txbxContent>
                  </v:textbox>
                </v:rect>
                <v:rect id="_x0000_s1026" o:spid="_x0000_s1026" o:spt="1" style="position:absolute;left:2187575;top:3011170;height:293370;width:878840;v-text-anchor:middle;" filled="f" stroked="t" coordsize="21600,21600" o:gfxdata="UEsDBAoAAAAAAIdO4kAAAAAAAAAAAAAAAAAEAAAAZHJzL1BLAwQUAAAACACHTuJAHRG76dQAAAAF&#10;AQAADwAAAGRycy9kb3ducmV2LnhtbE2PQUvDQBCF74L/YRnBm91thTRNMykoKJ4Kbf0B0+yYhGZn&#10;Q3bTVn+9qxe9DDze471vys3V9erMY+i8IMxnBhRL7W0nDcL74eUhBxUiiaXeCyN8coBNdXtTUmH9&#10;RXZ83sdGpRIJBSG0MQ6F1qFu2VGY+YEleR9+dBSTHBttR7qkctfrhTGZdtRJWmhp4OeW69N+cghu&#10;+9XZw7TkbXzzr0v7tHK7hUW8v5ubNajI1/gXhh/8hA5VYjr6SWxQPUJ6JP7e5OWPJgN1RMjyfAW6&#10;KvV/+uobUEsDBBQAAAAIAIdO4kDdoptbbgIAAM0EAAAOAAAAZHJzL2Uyb0RvYy54bWytVM1uEzEQ&#10;viPxDpbvdLObpkmjbKooURFSRSsVxNnx2llL/mPsZFNeBokbD8HjIF6DsXf7Q+HQAzk4Y8+Xb/x9&#10;nsni4mg0OQgIytmalicjSoTlrlF2V9OPHy7fzCgJkdmGaWdFTe9EoBfL168WnZ+LyrVONwIIktgw&#10;73xN2xj9vCgCb4Vh4cR5YTEpHRgWcQu7ogHWIbvRRTUanRWdg8aD4yIEPN30STowwksInZSKi43j&#10;eyNs7FlBaBZRUmiVD3SZbyul4PFayiAi0TVFpTGvWATjbVqL5YLNd8B8q/hwBfaSKzzTZJiyWPSB&#10;asMiI3tQf1EZxcEFJ+MJd6bohWRHUEU5eubNbcu8yFrQ6uAfTA//j5a/P9wAUU1Nx1VFiWUGn/zX&#10;1+8/f3wj6QT96XyYI+zW38CwCxgmsUcJJn2jDHKsaVXOppPphJI7ZBuVZTkd/BXHSDgCZtPZ7BSd&#10;5wiozsfjPl88EnkI8a1whqSgpoDPl11lh6sQsThC7yGprnWXSuv8hNqSrqZn40miZ9iWEtsBQ+NR&#10;WrA7SpjeYb/zCJkxOK2a9OvEE2C3XWsgB5a6JH+ScKz2ByyV3rDQ9ricGmDaIjr51DuTonjcHge7&#10;tq65Q5PB9d0XPL9USHXFQrxhgO2Gd8aBjNe4SO1QhxsiSloHX/51nvDYBZilpMP2RZGf9wwEJfqd&#10;xf44L0+T0zFvTifTCjfwNLN9mrF7s3aovcTR9zyHCR/1fSjBmU84t6tUFVPMcqzd2zls1rEfK5x8&#10;LlarDMMe9yxe2VvPE3n/Zqt9dFLl50xG9e4M/mGXZ9+HiUxj9HSfUY//Qs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RG76dQAAAAFAQAADwAAAAAAAAABACAAAAAiAAAAZHJzL2Rvd25yZXYueG1s&#10;UEsBAhQAFAAAAAgAh07iQN2im1tuAgAAzQQAAA4AAAAAAAAAAQAgAAAAIwEAAGRycy9lMm9Eb2Mu&#10;eG1sUEsFBgAAAAAGAAYAWQEAAAMGAAAAAA==&#10;">
                  <v:fill on="f" focussize="0,0"/>
                  <v:stroke weight="0.5pt" color="#000000 [3213]" joinstyle="round"/>
                  <v:imagedata o:title=""/>
                  <o:lock v:ext="edit" aspectratio="f"/>
                  <v:textbox>
                    <w:txbxContent>
                      <w:p w14:paraId="09748D7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二沉池</w:t>
                        </w:r>
                      </w:p>
                    </w:txbxContent>
                  </v:textbox>
                </v:rect>
                <v:rect id="_x0000_s1026" o:spid="_x0000_s1026" o:spt="1" style="position:absolute;left:3645535;top:3018155;height:293370;width:878840;v-text-anchor:middle;" filled="f" stroked="t" coordsize="21600,21600" o:gfxdata="UEsDBAoAAAAAAIdO4kAAAAAAAAAAAAAAAAAEAAAAZHJzL1BLAwQUAAAACACHTuJAHRG76dQAAAAF&#10;AQAADwAAAGRycy9kb3ducmV2LnhtbE2PQUvDQBCF74L/YRnBm91thTRNMykoKJ4Kbf0B0+yYhGZn&#10;Q3bTVn+9qxe9DDze471vys3V9erMY+i8IMxnBhRL7W0nDcL74eUhBxUiiaXeCyN8coBNdXtTUmH9&#10;RXZ83sdGpRIJBSG0MQ6F1qFu2VGY+YEleR9+dBSTHBttR7qkctfrhTGZdtRJWmhp4OeW69N+cghu&#10;+9XZw7TkbXzzr0v7tHK7hUW8v5ubNajI1/gXhh/8hA5VYjr6SWxQPUJ6JP7e5OWPJgN1RMjyfAW6&#10;KvV/+uobUEsDBBQAAAAIAIdO4kDlrPrHbwIAAM0EAAAOAAAAZHJzL2Uyb0RvYy54bWytVMtuEzEU&#10;3SPxD5b3dPKaNo06qaJGRUgVrVQQa8fjyVjyC9vJpPwMEjs+gs9B/AbHnumDwqILsnCufU/O9Tm+&#10;N2fnB63IXvggrano+GhEiTDc1tJsK/rxw+WbOSUhMlMzZY2o6J0I9Hz5+tVZ5xZiYlurauEJSExY&#10;dK6ibYxuURSBt0KzcGSdMEg21msWsfXbovasA7tWxWQ0Oi4662vnLRch4HTdJ+nA6F9CaJtGcrG2&#10;fKeFiT2rF4pFSAqtdIEu822bRvB43TRBRKIqCqUxryiCeJPWYnnGFlvPXCv5cAX2kis806SZNCj6&#10;QLVmkZGdl39Racm9DbaJR9zqoheSHYGK8eiZN7ctcyJrgdXBPZge/h8tf7+/8UTWFZ1OZpQYpvHk&#10;v75+//njG0kn8KdzYQHYrbvxwy4gTGIPjdfpGzLIAQzHs7KclpTcIR6N5+Oy7P0Vh0g4APOT+XwG&#10;5zkAk9Pp9CT7XzwSOR/iW2E1SUFFPZ4vu8r2VyGiOKD3kFTX2EupVH5CZUhX0eNpmegZ2rJBOyDU&#10;DtKC2VLC1Bb9zqPPjMEqWadfJ57gt5sL5cmepS7Jn3RxVPsDlkqvWWh7XE4NMGWATj71zqQoHjaH&#10;wa6Nre9gsrd99wXHLyWorliIN8yj3XBnDGS8xtIoCx12iChprf/yr/OERxcgS0mH9oXIzzvmBSXq&#10;nUF/nI5nyemYN7PyZIKNf5rZPM2Ynb6w0D7G6Duew4SP6j5svNWfMLerVBUpZjhq93YOm4vYjxUm&#10;n4vVKsPQ447FK3PreCLv32y1i7aR+TmTUb07g3/o8uz7MJFpjJ7uM+rxX2j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0Ru+nUAAAABQEAAA8AAAAAAAAAAQAgAAAAIgAAAGRycy9kb3ducmV2Lnht&#10;bFBLAQIUABQAAAAIAIdO4kDlrPrHbwIAAM0EAAAOAAAAAAAAAAEAIAAAACMBAABkcnMvZTJvRG9j&#10;LnhtbFBLBQYAAAAABgAGAFkBAAAEBgAAAAA=&#10;">
                  <v:fill on="f" focussize="0,0"/>
                  <v:stroke weight="0.5pt" color="#000000 [3213]" joinstyle="round"/>
                  <v:imagedata o:title=""/>
                  <o:lock v:ext="edit" aspectratio="f"/>
                  <v:textbox>
                    <w:txbxContent>
                      <w:p w14:paraId="6E14A34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污泥浓缩池</w:t>
                        </w:r>
                      </w:p>
                    </w:txbxContent>
                  </v:textbox>
                </v:rect>
                <v:rect id="_x0000_s1026" o:spid="_x0000_s1026" o:spt="1" style="position:absolute;left:2216785;top:3546475;height:293370;width:878840;v-text-anchor:middle;" filled="f" stroked="t" coordsize="21600,21600" o:gfxdata="UEsDBAoAAAAAAIdO4kAAAAAAAAAAAAAAAAAEAAAAZHJzL1BLAwQUAAAACACHTuJAHRG76dQAAAAF&#10;AQAADwAAAGRycy9kb3ducmV2LnhtbE2PQUvDQBCF74L/YRnBm91thTRNMykoKJ4Kbf0B0+yYhGZn&#10;Q3bTVn+9qxe9DDze471vys3V9erMY+i8IMxnBhRL7W0nDcL74eUhBxUiiaXeCyN8coBNdXtTUmH9&#10;RXZ83sdGpRIJBSG0MQ6F1qFu2VGY+YEleR9+dBSTHBttR7qkctfrhTGZdtRJWmhp4OeW69N+cghu&#10;+9XZw7TkbXzzr0v7tHK7hUW8v5ubNajI1/gXhh/8hA5VYjr6SWxQPUJ6JP7e5OWPJgN1RMjyfAW6&#10;KvV/+uobUEsDBBQAAAAIAIdO4kBMvs0mcAIAAM0EAAAOAAAAZHJzL2Uyb0RvYy54bWytVM1uEzEQ&#10;viPxDpbvdJPNb6NsqqhREVJFKxXE2fF6syv5D9vJprwMEjcegsdBvAafvds2FA49kIMz4/nyjeeb&#10;mSwvjkqSg3C+Mbqgw7MBJUJzUzZ6V9CPH67ezCnxgemSSaNFQe+Fpxer16+WrV2I3NRGlsIRkGi/&#10;aG1B6xDsIss8r4Vi/sxYoRGsjFMswHW7rHSsBbuSWT4YTLPWuNI6w4X3uN10QdozupcQmqpquNgY&#10;vldCh47VCckCSvJ1Yz1dpddWleDhpqq8CEQWFJWGdCIJ7G08s9WSLXaO2brh/RPYS57wrCbFGo2k&#10;j1QbFhjZu+YvKtVwZ7ypwhk3KusKSYqgiuHgmTZ3NbMi1QKpvX0U3f8/Wv7+cOtIUxZ0lKPxmim0&#10;/NfX7z9/fCPxBvq01i8Au7O3rvc8zFjssXIqfqMMcixong+ns/mEknuwTcbT8WzS6SuOgXAA5rP5&#10;fAzlOQD5+Wg0S/pnT0TW+fBWGEWiUVCH9iVV2eHaByQH9AES82pz1UiZWig1aQs6HU0iPcNYVhgH&#10;mMqiNK93lDC5w7zz4BKjN7Ip468jj3e77aV05MDilKRPfDiy/QGLqTfM1x0uhXqY1EBHnTplohWO&#10;22Mv19aU9xDZmW76vOVXDaiumQ+3zGHc8GYsZLjBUUmDOkxvUVIb9+Vf9xGPKUCUkhbjiyI/75kT&#10;lMh3GvNxPhxHpUNyxpNZDsedRranEb1Xlwa1D7H6licz4oN8MCtn1Cfs7TpmRYhpjtydnL1zGbq1&#10;wuZzsV4nGGbcsnCt7yyP5F3P1vtgqia1MwrVqdPrhylPuvcbGdfo1E+op3+h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dEbvp1AAAAAUBAAAPAAAAAAAAAAEAIAAAACIAAABkcnMvZG93bnJldi54&#10;bWxQSwECFAAUAAAACACHTuJATL7NJnACAADNBAAADgAAAAAAAAABACAAAAAjAQAAZHJzL2Uyb0Rv&#10;Yy54bWxQSwUGAAAAAAYABgBZAQAABQYAAAAA&#10;">
                  <v:fill on="f" focussize="0,0"/>
                  <v:stroke weight="0.5pt" color="#000000 [3213]" joinstyle="round"/>
                  <v:imagedata o:title=""/>
                  <o:lock v:ext="edit" aspectratio="f"/>
                  <v:textbox>
                    <w:txbxContent>
                      <w:p w14:paraId="789593E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消毒池</w:t>
                        </w:r>
                      </w:p>
                    </w:txbxContent>
                  </v:textbox>
                </v:rect>
                <v:rect id="_x0000_s1026" o:spid="_x0000_s1026" o:spt="1" style="position:absolute;left:2266950;top:3994150;height:293370;width:828040;v-text-anchor:middle;" filled="f" stroked="f" coordsize="21600,21600" o:gfxdata="UEsDBAoAAAAAAIdO4kAAAAAAAAAAAAAAAAAEAAAAZHJzL1BLAwQUAAAACACHTuJAAYn2FNUAAAAF&#10;AQAADwAAAGRycy9kb3ducmV2LnhtbE2PQUvDQBCF70L/wzIFb3a3WkKM2ZRSVOjRRhBvk+yYxGZn&#10;Q3abtv++qxe9DDze471v8vXZ9mKi0XeONSwXCgRx7UzHjYb38uUuBeEDssHeMWm4kId1MbvJMTPu&#10;xG807UMjYgn7DDW0IQyZlL5uyaJfuIE4el9utBiiHBtpRjzFctvLe6USabHjuNDiQNuW6sP+aDX4&#10;atqVl2Hz8f3p62rzzLZc7V61vp0v1ROIQOfwF4Yf/IgORWSq3JGNF72G+Ej4vdFLH1QCotKQpOkj&#10;yCKX/+mLK1BLAwQUAAAACACHTuJAw2ipBF0CAAClBAAADgAAAGRycy9lMm9Eb2MueG1srVRLbtsw&#10;EN0X6B0I7hvZsvOxETkwYqQoEDQB0qJrmiItAfyVpC2nlynQXQ+R4xS9Rh8pJTHSLrLohprhjN/M&#10;e5zx+cVeK7ITPrTWVHR8NKJEGG7r1mwq+vnT1bszSkJkpmbKGlHRexHoxeLtm/POzUVpG6tq4QlA&#10;TJh3rqJNjG5eFIE3QrNwZJ0wCErrNYtw/aaoPeuArlVRjkYnRWd97bzlIgTcrvogHRD9awCtlC0X&#10;K8u3WpjYo3qhWASl0LQu0EXuVkrB442UQUSiKgqmMZ8oAnudzmJxzuYbz1zT8qEF9poWXnDSrDUo&#10;+gS1YpGRrW//gtIt9zZYGY+41UVPJCsCFuPRC23uGuZE5gKpg3sSPfw/WP5xd+tJW1d0MoEmhmk8&#10;+e/vP389/CDpBvp0LsyRdudu/eAFmInsXnqdvqBB9hUty5OT2TFQ7oE2m03HsLO+Yh8JR8JZeTaa&#10;Is6RUM4mk9McL56BnA/xvbCaJKOiHs+XVWW76xABhdTHlFTX2KtWqVxCGdIB9Hg6SvgMcykxDzC1&#10;A7dgNpQwtcHA8+gz5MFvE+SKhYbsGKYkWNXWqW8UUwafxL9nnKy4X+8RTOba1vcQz9t+qoLjVy2g&#10;rlmIt8xjjNAKFi3e4JDKoj87WJQ01n/7133Kx+siSkmHsUQ/X7fMC0rUB4N3n42nScGYnenxaQnH&#10;H0bWhxGz1ZcWnMZYacezmfKjejSlt/oL9nGZqiLEDEftXqXBuYz9umCjuVgucxpm17F4be4cT+D9&#10;Wyy30co2P9OzOoN+mN4s6LBpaT0O/Zz1/O+y+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ifYU&#10;1QAAAAUBAAAPAAAAAAAAAAEAIAAAACIAAABkcnMvZG93bnJldi54bWxQSwECFAAUAAAACACHTuJA&#10;w2ipBF0CAAClBAAADgAAAAAAAAABACAAAAAkAQAAZHJzL2Uyb0RvYy54bWxQSwUGAAAAAAYABgBZ&#10;AQAA8wUAAAAA&#10;">
                  <v:fill on="f" focussize="0,0"/>
                  <v:stroke on="f" weight="2pt"/>
                  <v:imagedata o:title=""/>
                  <o:lock v:ext="edit" aspectratio="f"/>
                  <v:textbox>
                    <w:txbxContent>
                      <w:p w14:paraId="18FE46F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市政管网</w:t>
                        </w:r>
                      </w:p>
                    </w:txbxContent>
                  </v:textbox>
                </v:rect>
                <v:rect id="_x0000_s1026" o:spid="_x0000_s1026" o:spt="1" style="position:absolute;left:1012190;top:3549650;height:293370;width:828040;v-text-anchor:middle;" filled="f" stroked="f" coordsize="21600,21600" o:gfxdata="UEsDBAoAAAAAAIdO4kAAAAAAAAAAAAAAAAAEAAAAZHJzL1BLAwQUAAAACACHTuJAAYn2FNUAAAAF&#10;AQAADwAAAGRycy9kb3ducmV2LnhtbE2PQUvDQBCF70L/wzIFb3a3WkKM2ZRSVOjRRhBvk+yYxGZn&#10;Q3abtv++qxe9DDze471v8vXZ9mKi0XeONSwXCgRx7UzHjYb38uUuBeEDssHeMWm4kId1MbvJMTPu&#10;xG807UMjYgn7DDW0IQyZlL5uyaJfuIE4el9utBiiHBtpRjzFctvLe6USabHjuNDiQNuW6sP+aDX4&#10;atqVl2Hz8f3p62rzzLZc7V61vp0v1ROIQOfwF4Yf/IgORWSq3JGNF72G+Ej4vdFLH1QCotKQpOkj&#10;yCKX/+mLK1BLAwQUAAAACACHTuJAQOfkWF8CAAClBAAADgAAAGRycy9lMm9Eb2MueG1srVRLbtsw&#10;EN0X6B0I7hvJsp3ERuTAiJGiQNAEcIuuaYqyBPBXkracXqZAdz1EjlP0Gn2klMRIu8iiG2qGM37D&#10;92bGF5cHJcleON8aXdLRSU6J0NxUrd6W9POn63fnlPjAdMWk0aKk98LTy8XbNxednYvCNEZWwhGA&#10;aD/vbEmbEOw8yzxvhGL+xFihEayNUyzAdduscqwDupJZkeenWWdcZZ3hwnvcrvogHRDdawBNXbdc&#10;rAzfKaFDj+qEZAGUfNNaTxfptXUteLitay8CkSUF05BOFIG9iWe2uGDzrWO2afnwBPaaJ7zgpFir&#10;UfQJasUCIzvX/gWlWu6MN3U44UZlPZGkCFiM8hfarBtmReICqb19Et3/P1j+cX/nSFuVdDwuKNFM&#10;oeW/v//89fCDxBvo01k/R9ra3rnB8zAj2UPtVPyCBjlglvJRMZpB2XugTSez0+mgrzgEwpFwXpzn&#10;E8Q5EorZeHyW4tkzkHU+vBdGkWiU1KF9SVW2v/EBxZH6mBLranPdSplaKDXpADqd5BGfYS5rzANM&#10;ZcHN6y0lTG4x8Dy4BHn02wi5Yr4he4Yp8Ua2VeSNYlLjE/n3jKMVDpvDIMPGVPcQz5l+qrzl1y2g&#10;bpgPd8xhjPAULFq4xVFLg/eZwaKkMe7bv+5jPrqLKCUdxhLv+bpjTlAiP2j0fTaaRAVDcibTswKO&#10;O45sjiN6p64MOI2w0pYnM+YH+WjWzqgv2MdlrIoQ0xy1e5UG5yr064KN5mK5TGmYXcvCjV5bHsH7&#10;Xix3wdRtalMUqldn0A/TmwQdNi2ux7Gfsp7/XR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GJ&#10;9hTVAAAABQEAAA8AAAAAAAAAAQAgAAAAIgAAAGRycy9kb3ducmV2LnhtbFBLAQIUABQAAAAIAIdO&#10;4kBA5+RYXwIAAKUEAAAOAAAAAAAAAAEAIAAAACQBAABkcnMvZTJvRG9jLnhtbFBLBQYAAAAABgAG&#10;AFkBAAD1BQAAAAA=&#10;">
                  <v:fill on="f" focussize="0,0"/>
                  <v:stroke on="f" weight="2pt"/>
                  <v:imagedata o:title=""/>
                  <o:lock v:ext="edit" aspectratio="f"/>
                  <v:textbox>
                    <w:txbxContent>
                      <w:p w14:paraId="11CA5BF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次氯酸钠</w:t>
                        </w:r>
                      </w:p>
                    </w:txbxContent>
                  </v:textbox>
                </v:rect>
                <w10:wrap type="none"/>
                <w10:anchorlock/>
              </v:group>
            </w:pict>
          </mc:Fallback>
        </mc:AlternateContent>
      </w:r>
    </w:p>
    <w:p w14:paraId="39860BC6" w14:textId="77777777" w:rsidR="00B14D53" w:rsidRDefault="00000000">
      <w:pPr>
        <w:jc w:val="center"/>
        <w:rPr>
          <w:b/>
          <w:bCs/>
        </w:rPr>
      </w:pPr>
      <w:r>
        <w:rPr>
          <w:b/>
          <w:bCs/>
        </w:rPr>
        <w:t>图</w:t>
      </w:r>
      <w:r>
        <w:rPr>
          <w:b/>
          <w:bCs/>
        </w:rPr>
        <w:t>6</w:t>
      </w:r>
      <w:r>
        <w:rPr>
          <w:rFonts w:hint="eastAsia"/>
          <w:b/>
          <w:bCs/>
        </w:rPr>
        <w:t>-</w:t>
      </w:r>
      <w:r>
        <w:rPr>
          <w:b/>
          <w:bCs/>
        </w:rPr>
        <w:t xml:space="preserve">2-1 </w:t>
      </w:r>
      <w:r>
        <w:rPr>
          <w:b/>
          <w:bCs/>
        </w:rPr>
        <w:t>污水处理站工艺流程图</w:t>
      </w:r>
    </w:p>
    <w:p w14:paraId="667E70D6" w14:textId="77777777" w:rsidR="00B14D53" w:rsidRDefault="00000000">
      <w:pPr>
        <w:spacing w:line="360" w:lineRule="auto"/>
        <w:ind w:firstLineChars="200" w:firstLine="480"/>
        <w:rPr>
          <w:rFonts w:eastAsiaTheme="minorEastAsia"/>
          <w:sz w:val="24"/>
        </w:rPr>
      </w:pPr>
      <w:r>
        <w:rPr>
          <w:rFonts w:eastAsiaTheme="minorEastAsia"/>
          <w:sz w:val="24"/>
        </w:rPr>
        <w:t>屠宰废水属易于生物降解的高悬浮物有机污水，只要有足够的生物群、供氧及水力停留时间，均能使处理后的污水达到国家排放标准。目前国内对这类污水的处理，均采用以生物法处理为主的处理工艺，包括好氧、厌氧、兼氧等处理系统。主要采用的技术有活性污泥法、生物滤池、生物转盘、生物接触氧化池、生物流化床、氧化塘等。针对本项目生产规模、特点以及污水水质，污水处理工艺最终选择</w:t>
      </w:r>
      <w:r>
        <w:rPr>
          <w:rFonts w:eastAsiaTheme="minorEastAsia" w:hint="eastAsia"/>
          <w:sz w:val="24"/>
        </w:rPr>
        <w:t>“</w:t>
      </w:r>
      <w:r>
        <w:rPr>
          <w:rFonts w:eastAsiaTheme="minorEastAsia"/>
          <w:sz w:val="24"/>
        </w:rPr>
        <w:t>格栅</w:t>
      </w:r>
      <w:r>
        <w:rPr>
          <w:rFonts w:eastAsiaTheme="minorEastAsia"/>
          <w:sz w:val="24"/>
        </w:rPr>
        <w:t>+</w:t>
      </w:r>
      <w:r>
        <w:rPr>
          <w:rFonts w:eastAsiaTheme="minorEastAsia"/>
          <w:sz w:val="24"/>
        </w:rPr>
        <w:t>调节沉淀池</w:t>
      </w:r>
      <w:r>
        <w:rPr>
          <w:rFonts w:eastAsiaTheme="minorEastAsia"/>
          <w:sz w:val="24"/>
        </w:rPr>
        <w:t>+</w:t>
      </w:r>
      <w:r>
        <w:rPr>
          <w:rFonts w:eastAsiaTheme="minorEastAsia"/>
          <w:sz w:val="24"/>
        </w:rPr>
        <w:t>气浮机</w:t>
      </w:r>
      <w:r>
        <w:rPr>
          <w:rFonts w:eastAsiaTheme="minorEastAsia"/>
          <w:sz w:val="24"/>
        </w:rPr>
        <w:t>+</w:t>
      </w:r>
      <w:r>
        <w:rPr>
          <w:rFonts w:eastAsiaTheme="minorEastAsia"/>
          <w:sz w:val="24"/>
        </w:rPr>
        <w:t>水解酸化池</w:t>
      </w:r>
      <w:r>
        <w:rPr>
          <w:rFonts w:eastAsiaTheme="minorEastAsia"/>
          <w:sz w:val="24"/>
        </w:rPr>
        <w:t>+</w:t>
      </w:r>
      <w:r>
        <w:rPr>
          <w:rFonts w:eastAsiaTheme="minorEastAsia"/>
          <w:sz w:val="24"/>
        </w:rPr>
        <w:t>接触氧化池</w:t>
      </w:r>
      <w:r>
        <w:rPr>
          <w:rFonts w:eastAsiaTheme="minorEastAsia"/>
          <w:sz w:val="24"/>
        </w:rPr>
        <w:t>+</w:t>
      </w:r>
      <w:r>
        <w:rPr>
          <w:rFonts w:eastAsiaTheme="minorEastAsia"/>
          <w:sz w:val="24"/>
        </w:rPr>
        <w:t>二沉池</w:t>
      </w:r>
      <w:r>
        <w:rPr>
          <w:rFonts w:eastAsiaTheme="minorEastAsia"/>
          <w:sz w:val="24"/>
        </w:rPr>
        <w:t>+</w:t>
      </w:r>
      <w:r>
        <w:rPr>
          <w:rFonts w:eastAsiaTheme="minorEastAsia"/>
          <w:sz w:val="24"/>
        </w:rPr>
        <w:t>污泥浓缩池</w:t>
      </w:r>
      <w:r>
        <w:rPr>
          <w:rFonts w:eastAsiaTheme="minorEastAsia"/>
          <w:sz w:val="24"/>
        </w:rPr>
        <w:t>+</w:t>
      </w:r>
      <w:r>
        <w:rPr>
          <w:rFonts w:eastAsiaTheme="minorEastAsia"/>
          <w:sz w:val="24"/>
        </w:rPr>
        <w:t>次氯酸钠消毒工艺</w:t>
      </w:r>
      <w:r>
        <w:rPr>
          <w:rFonts w:eastAsiaTheme="minorEastAsia" w:hint="eastAsia"/>
          <w:sz w:val="24"/>
        </w:rPr>
        <w:t>”</w:t>
      </w:r>
      <w:r>
        <w:rPr>
          <w:rFonts w:eastAsiaTheme="minorEastAsia"/>
          <w:sz w:val="24"/>
        </w:rPr>
        <w:t>作为本项目的污水处理方案。</w:t>
      </w:r>
    </w:p>
    <w:p w14:paraId="1BBBADA4" w14:textId="77777777" w:rsidR="00B14D53" w:rsidRDefault="00000000">
      <w:pPr>
        <w:spacing w:line="360" w:lineRule="auto"/>
        <w:ind w:firstLineChars="200" w:firstLine="480"/>
        <w:rPr>
          <w:sz w:val="24"/>
        </w:rPr>
      </w:pPr>
      <w:r>
        <w:rPr>
          <w:rFonts w:eastAsiaTheme="minorEastAsia"/>
          <w:sz w:val="24"/>
        </w:rPr>
        <w:t>根据《排污许可证申请与核发技术规范农副食品加工工业</w:t>
      </w:r>
      <w:r>
        <w:rPr>
          <w:rFonts w:eastAsiaTheme="minorEastAsia"/>
          <w:sz w:val="24"/>
        </w:rPr>
        <w:t>—</w:t>
      </w:r>
      <w:r>
        <w:rPr>
          <w:rFonts w:eastAsiaTheme="minorEastAsia"/>
          <w:sz w:val="24"/>
        </w:rPr>
        <w:t>屠宰及肉类加工工业》（</w:t>
      </w:r>
      <w:r>
        <w:rPr>
          <w:rFonts w:eastAsiaTheme="minorEastAsia"/>
          <w:sz w:val="24"/>
        </w:rPr>
        <w:t>HJ860.3-2018</w:t>
      </w:r>
      <w:r>
        <w:rPr>
          <w:rFonts w:eastAsiaTheme="minorEastAsia"/>
          <w:sz w:val="24"/>
        </w:rPr>
        <w:t>）及</w:t>
      </w:r>
      <w:r>
        <w:rPr>
          <w:rFonts w:eastAsiaTheme="minorEastAsia"/>
          <w:bCs/>
          <w:sz w:val="24"/>
        </w:rPr>
        <w:t>《屠宰及肉类加工业污染防治可行技术指南》（</w:t>
      </w:r>
      <w:r>
        <w:rPr>
          <w:rFonts w:eastAsiaTheme="minorEastAsia"/>
          <w:bCs/>
          <w:sz w:val="24"/>
        </w:rPr>
        <w:t>HJ1285—2023</w:t>
      </w:r>
      <w:r>
        <w:rPr>
          <w:rFonts w:eastAsiaTheme="minorEastAsia"/>
          <w:bCs/>
          <w:sz w:val="24"/>
        </w:rPr>
        <w:t>）</w:t>
      </w:r>
      <w:r>
        <w:rPr>
          <w:rFonts w:eastAsiaTheme="minorEastAsia"/>
          <w:sz w:val="24"/>
        </w:rPr>
        <w:t>，本项目污水处理工艺属于可行性技术。</w:t>
      </w:r>
    </w:p>
    <w:p w14:paraId="0A0135A3" w14:textId="77777777" w:rsidR="00B14D53" w:rsidRDefault="00000000">
      <w:pPr>
        <w:spacing w:line="360" w:lineRule="auto"/>
        <w:ind w:firstLineChars="200" w:firstLine="480"/>
        <w:rPr>
          <w:sz w:val="24"/>
        </w:rPr>
      </w:pPr>
      <w:r>
        <w:rPr>
          <w:sz w:val="24"/>
        </w:rPr>
        <w:t>屠宰加工废水含有大量的血污油脂、毛皮、碎肉骨屑、内脏杂物、未消化的食物以及粪便等污染物，一般先</w:t>
      </w:r>
      <w:r>
        <w:rPr>
          <w:rFonts w:hint="eastAsia"/>
          <w:sz w:val="24"/>
        </w:rPr>
        <w:t>经格栅拦截后再进入调节沉淀池内</w:t>
      </w:r>
      <w:r>
        <w:rPr>
          <w:sz w:val="24"/>
        </w:rPr>
        <w:t>，经气浮机处理，将污水里的杂质处理干净，做到固液分离。经气浮机处理后的污水</w:t>
      </w:r>
      <w:r>
        <w:rPr>
          <w:rFonts w:hint="eastAsia"/>
          <w:sz w:val="24"/>
        </w:rPr>
        <w:t>进入水解酸化池内</w:t>
      </w:r>
      <w:r>
        <w:rPr>
          <w:sz w:val="24"/>
        </w:rPr>
        <w:t>，水解酸化池主要是利用水中的厌氧细菌去除废水中的有机物，同时利用反硝化细菌脱氮。在水解酸化池内设弹性填料，便于厌氧生物在填料上附着。在水解酸化池内无氧条件下，附着在填料上的产酸菌、产甲烷菌和反硝化细菌利用水中有机物完成新陈代谢过程，最终将有机物转化为</w:t>
      </w:r>
      <w:r>
        <w:rPr>
          <w:sz w:val="24"/>
        </w:rPr>
        <w:t>CH</w:t>
      </w:r>
      <w:r>
        <w:rPr>
          <w:sz w:val="24"/>
          <w:vertAlign w:val="subscript"/>
        </w:rPr>
        <w:t>4</w:t>
      </w:r>
      <w:r>
        <w:rPr>
          <w:sz w:val="24"/>
        </w:rPr>
        <w:t>、</w:t>
      </w:r>
      <w:r>
        <w:rPr>
          <w:sz w:val="24"/>
        </w:rPr>
        <w:t>CO</w:t>
      </w:r>
      <w:r>
        <w:rPr>
          <w:sz w:val="24"/>
          <w:vertAlign w:val="subscript"/>
        </w:rPr>
        <w:t>2</w:t>
      </w:r>
      <w:r>
        <w:rPr>
          <w:sz w:val="24"/>
        </w:rPr>
        <w:t>、</w:t>
      </w:r>
      <w:r>
        <w:rPr>
          <w:sz w:val="24"/>
        </w:rPr>
        <w:t>H</w:t>
      </w:r>
      <w:r>
        <w:rPr>
          <w:sz w:val="24"/>
          <w:vertAlign w:val="subscript"/>
        </w:rPr>
        <w:t>2</w:t>
      </w:r>
      <w:r>
        <w:rPr>
          <w:sz w:val="24"/>
        </w:rPr>
        <w:t>O</w:t>
      </w:r>
      <w:r>
        <w:rPr>
          <w:sz w:val="24"/>
        </w:rPr>
        <w:t>等物质，以实现部分有机物的无机化，降低水中</w:t>
      </w:r>
      <w:r>
        <w:rPr>
          <w:sz w:val="24"/>
        </w:rPr>
        <w:t>COD</w:t>
      </w:r>
      <w:r>
        <w:rPr>
          <w:sz w:val="24"/>
        </w:rPr>
        <w:t>、</w:t>
      </w:r>
      <w:r>
        <w:rPr>
          <w:sz w:val="24"/>
        </w:rPr>
        <w:t>BOD</w:t>
      </w:r>
      <w:r>
        <w:rPr>
          <w:sz w:val="24"/>
          <w:vertAlign w:val="subscript"/>
        </w:rPr>
        <w:t>5</w:t>
      </w:r>
      <w:r>
        <w:rPr>
          <w:sz w:val="24"/>
        </w:rPr>
        <w:t>，部分高分子的有机物则在厌氧菌的胞外酶的作用下，转变为低分子的可溶的有机物，便于后续好氧生物利用，硝酸盐及亚硝酸盐在反硝化细菌的作用下，最后以氮气的形式逸出。</w:t>
      </w:r>
    </w:p>
    <w:p w14:paraId="6B736582" w14:textId="77777777" w:rsidR="00B14D53" w:rsidRDefault="00000000">
      <w:pPr>
        <w:spacing w:line="360" w:lineRule="auto"/>
        <w:ind w:firstLineChars="200" w:firstLine="480"/>
        <w:rPr>
          <w:sz w:val="24"/>
        </w:rPr>
      </w:pPr>
      <w:r>
        <w:rPr>
          <w:rFonts w:hint="eastAsia"/>
          <w:sz w:val="24"/>
        </w:rPr>
        <w:t>接触氧化池</w:t>
      </w:r>
      <w:r>
        <w:rPr>
          <w:sz w:val="24"/>
        </w:rPr>
        <w:t>内设弹性填料，便于好氧细菌挂膜，并通过风机不断向池内充氧，补充池内好氧生物新陈代谢所需氧气，在好氧池内，可溶的小分子有机物作为好氧菌的营养物质，在好氧细菌的繁殖、成长过程中，最终被转变成为</w:t>
      </w:r>
      <w:r>
        <w:rPr>
          <w:sz w:val="24"/>
        </w:rPr>
        <w:t>CH</w:t>
      </w:r>
      <w:r>
        <w:rPr>
          <w:sz w:val="24"/>
          <w:vertAlign w:val="subscript"/>
        </w:rPr>
        <w:t>4</w:t>
      </w:r>
      <w:r>
        <w:rPr>
          <w:sz w:val="24"/>
        </w:rPr>
        <w:t>、</w:t>
      </w:r>
      <w:r>
        <w:rPr>
          <w:sz w:val="24"/>
        </w:rPr>
        <w:t>CO</w:t>
      </w:r>
      <w:r>
        <w:rPr>
          <w:sz w:val="24"/>
          <w:vertAlign w:val="subscript"/>
        </w:rPr>
        <w:t>2</w:t>
      </w:r>
      <w:r>
        <w:rPr>
          <w:sz w:val="24"/>
        </w:rPr>
        <w:t>，以达到无机化的目的。少量的大分子有机物在好氧菌胞外酶的作用下，继续分解为小分子的有机物，最终被转变成为</w:t>
      </w:r>
      <w:r>
        <w:rPr>
          <w:sz w:val="24"/>
        </w:rPr>
        <w:t>CO</w:t>
      </w:r>
      <w:r>
        <w:rPr>
          <w:sz w:val="24"/>
          <w:vertAlign w:val="subscript"/>
        </w:rPr>
        <w:t>2</w:t>
      </w:r>
      <w:r>
        <w:rPr>
          <w:sz w:val="24"/>
        </w:rPr>
        <w:t>和</w:t>
      </w:r>
      <w:r>
        <w:rPr>
          <w:sz w:val="24"/>
        </w:rPr>
        <w:t>H</w:t>
      </w:r>
      <w:r>
        <w:rPr>
          <w:sz w:val="24"/>
          <w:vertAlign w:val="subscript"/>
        </w:rPr>
        <w:t>2</w:t>
      </w:r>
      <w:r>
        <w:rPr>
          <w:sz w:val="24"/>
        </w:rPr>
        <w:t>O</w:t>
      </w:r>
      <w:r>
        <w:rPr>
          <w:sz w:val="24"/>
        </w:rPr>
        <w:t>，达到无机化的目的。</w:t>
      </w:r>
    </w:p>
    <w:p w14:paraId="450A2E61" w14:textId="77777777" w:rsidR="00B14D53" w:rsidRDefault="00000000">
      <w:pPr>
        <w:spacing w:line="360" w:lineRule="auto"/>
        <w:ind w:firstLineChars="200" w:firstLine="480"/>
        <w:rPr>
          <w:sz w:val="24"/>
        </w:rPr>
      </w:pPr>
      <w:r>
        <w:rPr>
          <w:rFonts w:hint="eastAsia"/>
          <w:sz w:val="24"/>
        </w:rPr>
        <w:t>污水处理过程中的污泥在二沉池中累积</w:t>
      </w:r>
      <w:r>
        <w:rPr>
          <w:sz w:val="24"/>
        </w:rPr>
        <w:t>，污泥部分回流至水解酸化池，剩余污泥经过</w:t>
      </w:r>
      <w:r>
        <w:rPr>
          <w:rFonts w:hint="eastAsia"/>
          <w:sz w:val="24"/>
        </w:rPr>
        <w:t>污泥浓缩池</w:t>
      </w:r>
      <w:r>
        <w:rPr>
          <w:sz w:val="24"/>
        </w:rPr>
        <w:t>后经过</w:t>
      </w:r>
      <w:r>
        <w:rPr>
          <w:rFonts w:hint="eastAsia"/>
          <w:sz w:val="24"/>
        </w:rPr>
        <w:t>压滤脱水</w:t>
      </w:r>
      <w:r>
        <w:rPr>
          <w:sz w:val="24"/>
        </w:rPr>
        <w:t>后外运处理。上清液</w:t>
      </w:r>
      <w:r>
        <w:rPr>
          <w:rFonts w:hint="eastAsia"/>
          <w:sz w:val="24"/>
        </w:rPr>
        <w:t>进入污水处理系统</w:t>
      </w:r>
      <w:r>
        <w:rPr>
          <w:sz w:val="24"/>
        </w:rPr>
        <w:t>，消毒池投入</w:t>
      </w:r>
      <w:r>
        <w:rPr>
          <w:rFonts w:hint="eastAsia"/>
          <w:sz w:val="24"/>
        </w:rPr>
        <w:t>次氯酸钠</w:t>
      </w:r>
      <w:r>
        <w:rPr>
          <w:sz w:val="24"/>
        </w:rPr>
        <w:t>做消毒剂，消毒处理后，排入经五常市民泉污水处理有限公司（五常市山河屯林业局污水处理厂）。</w:t>
      </w:r>
    </w:p>
    <w:p w14:paraId="32A20659" w14:textId="77777777" w:rsidR="00B14D53" w:rsidRDefault="00000000">
      <w:pPr>
        <w:spacing w:line="360" w:lineRule="auto"/>
        <w:ind w:firstLineChars="200" w:firstLine="480"/>
        <w:rPr>
          <w:sz w:val="24"/>
        </w:rPr>
      </w:pPr>
      <w:r>
        <w:rPr>
          <w:sz w:val="24"/>
        </w:rPr>
        <w:t>（</w:t>
      </w:r>
      <w:r>
        <w:rPr>
          <w:sz w:val="24"/>
        </w:rPr>
        <w:t>2</w:t>
      </w:r>
      <w:r>
        <w:rPr>
          <w:sz w:val="24"/>
        </w:rPr>
        <w:t>）工艺主要特点</w:t>
      </w:r>
    </w:p>
    <w:p w14:paraId="0CDA4646" w14:textId="77777777" w:rsidR="00B14D53" w:rsidRDefault="00000000">
      <w:pPr>
        <w:spacing w:line="360" w:lineRule="auto"/>
        <w:ind w:firstLineChars="200" w:firstLine="480"/>
        <w:rPr>
          <w:sz w:val="24"/>
        </w:rPr>
      </w:pPr>
      <w:r>
        <w:rPr>
          <w:sz w:val="24"/>
        </w:rPr>
        <w:t>①</w:t>
      </w:r>
      <w:r>
        <w:rPr>
          <w:sz w:val="24"/>
        </w:rPr>
        <w:t>最简单的同步脱氮除磷降</w:t>
      </w:r>
      <w:r>
        <w:rPr>
          <w:sz w:val="24"/>
        </w:rPr>
        <w:t>COD</w:t>
      </w:r>
      <w:r>
        <w:rPr>
          <w:sz w:val="24"/>
        </w:rPr>
        <w:t>工艺；</w:t>
      </w:r>
    </w:p>
    <w:p w14:paraId="2CC698EA" w14:textId="77777777" w:rsidR="00B14D53" w:rsidRDefault="00000000">
      <w:pPr>
        <w:spacing w:line="360" w:lineRule="auto"/>
        <w:ind w:firstLineChars="200" w:firstLine="480"/>
        <w:rPr>
          <w:sz w:val="24"/>
        </w:rPr>
      </w:pPr>
      <w:r>
        <w:rPr>
          <w:sz w:val="24"/>
        </w:rPr>
        <w:t>②</w:t>
      </w:r>
      <w:r>
        <w:rPr>
          <w:sz w:val="24"/>
        </w:rPr>
        <w:t>总水力停留时间少于其他类工艺；</w:t>
      </w:r>
    </w:p>
    <w:p w14:paraId="59E5064C" w14:textId="77777777" w:rsidR="00B14D53" w:rsidRDefault="00000000">
      <w:pPr>
        <w:spacing w:line="360" w:lineRule="auto"/>
        <w:ind w:firstLineChars="200" w:firstLine="480"/>
        <w:rPr>
          <w:sz w:val="24"/>
        </w:rPr>
      </w:pPr>
      <w:r>
        <w:rPr>
          <w:sz w:val="24"/>
        </w:rPr>
        <w:t>③</w:t>
      </w:r>
      <w:r>
        <w:rPr>
          <w:sz w:val="24"/>
        </w:rPr>
        <w:t>在厌氧、好氧交替运行条件下，丝状菌不能大量增殖，不易发生污泥丝状膨胀；</w:t>
      </w:r>
    </w:p>
    <w:p w14:paraId="422F81C7" w14:textId="77777777" w:rsidR="00B14D53" w:rsidRDefault="00000000">
      <w:pPr>
        <w:spacing w:line="360" w:lineRule="auto"/>
        <w:ind w:firstLineChars="200" w:firstLine="480"/>
        <w:rPr>
          <w:sz w:val="24"/>
        </w:rPr>
      </w:pPr>
      <w:r>
        <w:rPr>
          <w:sz w:val="24"/>
        </w:rPr>
        <w:t>④</w:t>
      </w:r>
      <w:r>
        <w:rPr>
          <w:sz w:val="24"/>
        </w:rPr>
        <w:t>运行中</w:t>
      </w:r>
      <w:r>
        <w:rPr>
          <w:rFonts w:hint="eastAsia"/>
          <w:sz w:val="24"/>
        </w:rPr>
        <w:t>无</w:t>
      </w:r>
      <w:r>
        <w:rPr>
          <w:sz w:val="24"/>
        </w:rPr>
        <w:t>需投药，运行费用低；</w:t>
      </w:r>
    </w:p>
    <w:p w14:paraId="339285E9" w14:textId="77777777" w:rsidR="00B14D53" w:rsidRDefault="00000000">
      <w:pPr>
        <w:spacing w:line="360" w:lineRule="auto"/>
        <w:ind w:firstLineChars="200" w:firstLine="480"/>
        <w:rPr>
          <w:sz w:val="24"/>
        </w:rPr>
      </w:pPr>
      <w:r>
        <w:rPr>
          <w:sz w:val="24"/>
        </w:rPr>
        <w:t>（</w:t>
      </w:r>
      <w:r>
        <w:rPr>
          <w:sz w:val="24"/>
        </w:rPr>
        <w:t>3</w:t>
      </w:r>
      <w:r>
        <w:rPr>
          <w:sz w:val="24"/>
        </w:rPr>
        <w:t>）设计处理能力</w:t>
      </w:r>
    </w:p>
    <w:p w14:paraId="17281496" w14:textId="77777777" w:rsidR="00B14D53" w:rsidRDefault="00000000">
      <w:pPr>
        <w:spacing w:line="360" w:lineRule="auto"/>
        <w:ind w:firstLineChars="200" w:firstLine="480"/>
        <w:rPr>
          <w:sz w:val="24"/>
        </w:rPr>
      </w:pPr>
      <w:r>
        <w:rPr>
          <w:sz w:val="24"/>
        </w:rPr>
        <w:t>生产废水进入污水处理站，处理后经过</w:t>
      </w:r>
      <w:r>
        <w:rPr>
          <w:rFonts w:hint="eastAsia"/>
          <w:sz w:val="24"/>
        </w:rPr>
        <w:t>次氯酸钠</w:t>
      </w:r>
      <w:r>
        <w:rPr>
          <w:sz w:val="24"/>
        </w:rPr>
        <w:t>消毒，然后通过市政管网排至经五常市民泉污水处理有限公司（五常市山河屯林业局污水处理厂）处理。本项目排入污水</w:t>
      </w:r>
      <w:r>
        <w:rPr>
          <w:rFonts w:hint="eastAsia"/>
          <w:sz w:val="24"/>
        </w:rPr>
        <w:t>处理站</w:t>
      </w:r>
      <w:r>
        <w:rPr>
          <w:sz w:val="24"/>
        </w:rPr>
        <w:t>的排水量为</w:t>
      </w:r>
      <w:r>
        <w:rPr>
          <w:rFonts w:hint="eastAsia"/>
          <w:sz w:val="24"/>
        </w:rPr>
        <w:t>233.12t</w:t>
      </w:r>
      <w:r>
        <w:rPr>
          <w:sz w:val="24"/>
        </w:rPr>
        <w:t>/d</w:t>
      </w:r>
      <w:r>
        <w:rPr>
          <w:sz w:val="24"/>
        </w:rPr>
        <w:t>，因此，</w:t>
      </w:r>
      <w:r>
        <w:rPr>
          <w:rFonts w:hint="eastAsia"/>
          <w:sz w:val="24"/>
        </w:rPr>
        <w:t>本项目</w:t>
      </w:r>
      <w:r>
        <w:rPr>
          <w:sz w:val="24"/>
        </w:rPr>
        <w:t>污水处理站</w:t>
      </w:r>
      <w:r>
        <w:rPr>
          <w:rFonts w:hint="eastAsia"/>
          <w:sz w:val="24"/>
        </w:rPr>
        <w:t>设计处理能力为</w:t>
      </w:r>
      <w:r>
        <w:rPr>
          <w:rFonts w:hint="eastAsia"/>
          <w:sz w:val="24"/>
        </w:rPr>
        <w:t>25</w:t>
      </w:r>
      <w:r>
        <w:rPr>
          <w:sz w:val="24"/>
        </w:rPr>
        <w:t>0m</w:t>
      </w:r>
      <w:r>
        <w:rPr>
          <w:sz w:val="24"/>
          <w:vertAlign w:val="superscript"/>
        </w:rPr>
        <w:t>3</w:t>
      </w:r>
      <w:r>
        <w:rPr>
          <w:sz w:val="24"/>
        </w:rPr>
        <w:t>/d</w:t>
      </w:r>
      <w:r>
        <w:rPr>
          <w:sz w:val="24"/>
        </w:rPr>
        <w:t>。</w:t>
      </w:r>
    </w:p>
    <w:p w14:paraId="77AA8944" w14:textId="2562D895" w:rsidR="00B14D53" w:rsidRDefault="00000000">
      <w:pPr>
        <w:pStyle w:val="4"/>
        <w:spacing w:before="100" w:beforeAutospacing="1" w:after="0" w:line="240" w:lineRule="auto"/>
        <w:ind w:firstLineChars="200" w:firstLine="480"/>
        <w:rPr>
          <w:rFonts w:ascii="Times New Roman" w:hAnsi="Times New Roman" w:cs="Times New Roman"/>
          <w:b w:val="0"/>
          <w:bCs w:val="0"/>
          <w:sz w:val="24"/>
        </w:rPr>
      </w:pPr>
      <w:hyperlink r:id="rId74" w:history="1">
        <w:r>
          <w:rPr>
            <w:rFonts w:ascii="Times New Roman" w:eastAsia="黑体" w:hAnsi="Times New Roman" w:cs="Times New Roman"/>
            <w:b w:val="0"/>
            <w:sz w:val="24"/>
            <w:szCs w:val="24"/>
          </w:rPr>
          <w:t>6.2.</w:t>
        </w:r>
        <w:r>
          <w:rPr>
            <w:rFonts w:ascii="Times New Roman" w:eastAsia="黑体" w:hAnsi="Times New Roman" w:cs="Times New Roman" w:hint="eastAsia"/>
            <w:b w:val="0"/>
            <w:sz w:val="24"/>
            <w:szCs w:val="24"/>
          </w:rPr>
          <w:t>2</w:t>
        </w:r>
        <w:r>
          <w:rPr>
            <w:rFonts w:ascii="Times New Roman" w:eastAsia="黑体" w:hAnsi="Times New Roman" w:cs="Times New Roman"/>
            <w:b w:val="0"/>
            <w:sz w:val="24"/>
            <w:szCs w:val="24"/>
          </w:rPr>
          <w:t>.3</w:t>
        </w:r>
      </w:hyperlink>
      <w:r>
        <w:rPr>
          <w:rFonts w:ascii="Times New Roman" w:eastAsia="黑体" w:hAnsi="Times New Roman" w:cs="Times New Roman"/>
          <w:b w:val="0"/>
          <w:sz w:val="24"/>
          <w:szCs w:val="24"/>
        </w:rPr>
        <w:t>处理效果</w:t>
      </w:r>
    </w:p>
    <w:p w14:paraId="6461008B" w14:textId="77777777" w:rsidR="00B14D53" w:rsidRDefault="00000000">
      <w:pPr>
        <w:spacing w:line="360" w:lineRule="auto"/>
        <w:ind w:firstLineChars="200" w:firstLine="480"/>
      </w:pPr>
      <w:r>
        <w:rPr>
          <w:sz w:val="24"/>
        </w:rPr>
        <w:t>根据</w:t>
      </w:r>
      <w:r>
        <w:rPr>
          <w:rFonts w:hint="eastAsia"/>
          <w:sz w:val="24"/>
        </w:rPr>
        <w:t>本项目污水处理站入水水质及出水水质标准要求，设计各污染物去除率分别为：</w:t>
      </w:r>
      <w:r>
        <w:rPr>
          <w:sz w:val="24"/>
        </w:rPr>
        <w:t>COD</w:t>
      </w:r>
      <w:r>
        <w:rPr>
          <w:sz w:val="24"/>
        </w:rPr>
        <w:t>去除效率</w:t>
      </w:r>
      <w:r>
        <w:rPr>
          <w:rFonts w:hint="eastAsia"/>
          <w:sz w:val="24"/>
        </w:rPr>
        <w:t>87</w:t>
      </w:r>
      <w:r>
        <w:rPr>
          <w:sz w:val="24"/>
        </w:rPr>
        <w:t>%</w:t>
      </w:r>
      <w:r>
        <w:rPr>
          <w:sz w:val="24"/>
        </w:rPr>
        <w:t>，氨氮去除效率</w:t>
      </w:r>
      <w:r>
        <w:rPr>
          <w:rFonts w:hint="eastAsia"/>
          <w:sz w:val="24"/>
        </w:rPr>
        <w:t>80</w:t>
      </w:r>
      <w:r>
        <w:rPr>
          <w:sz w:val="24"/>
        </w:rPr>
        <w:t>%</w:t>
      </w:r>
      <w:r>
        <w:rPr>
          <w:sz w:val="24"/>
        </w:rPr>
        <w:t>，</w:t>
      </w:r>
      <w:r>
        <w:rPr>
          <w:sz w:val="24"/>
        </w:rPr>
        <w:t>BOD</w:t>
      </w:r>
      <w:r>
        <w:rPr>
          <w:sz w:val="24"/>
          <w:vertAlign w:val="subscript"/>
        </w:rPr>
        <w:t>5</w:t>
      </w:r>
      <w:r>
        <w:rPr>
          <w:sz w:val="24"/>
        </w:rPr>
        <w:t>去除效率</w:t>
      </w:r>
      <w:r>
        <w:rPr>
          <w:rFonts w:hint="eastAsia"/>
          <w:sz w:val="24"/>
        </w:rPr>
        <w:t>80</w:t>
      </w:r>
      <w:r>
        <w:rPr>
          <w:sz w:val="24"/>
        </w:rPr>
        <w:t>%</w:t>
      </w:r>
      <w:r>
        <w:rPr>
          <w:sz w:val="24"/>
        </w:rPr>
        <w:t>，</w:t>
      </w:r>
      <w:r>
        <w:rPr>
          <w:sz w:val="24"/>
        </w:rPr>
        <w:t>SS</w:t>
      </w:r>
      <w:r>
        <w:rPr>
          <w:sz w:val="24"/>
        </w:rPr>
        <w:t>去除效率</w:t>
      </w:r>
      <w:r>
        <w:rPr>
          <w:rFonts w:hint="eastAsia"/>
          <w:sz w:val="24"/>
        </w:rPr>
        <w:t>70</w:t>
      </w:r>
      <w:r>
        <w:rPr>
          <w:sz w:val="24"/>
        </w:rPr>
        <w:t>%</w:t>
      </w:r>
      <w:r>
        <w:rPr>
          <w:sz w:val="24"/>
        </w:rPr>
        <w:t>，动植物油去除效率</w:t>
      </w:r>
      <w:r>
        <w:rPr>
          <w:rFonts w:hint="eastAsia"/>
          <w:sz w:val="24"/>
        </w:rPr>
        <w:t>70</w:t>
      </w:r>
      <w:r>
        <w:rPr>
          <w:sz w:val="24"/>
        </w:rPr>
        <w:t>%</w:t>
      </w:r>
      <w:r>
        <w:rPr>
          <w:sz w:val="24"/>
        </w:rPr>
        <w:t>，大肠菌群去除效率</w:t>
      </w:r>
      <w:r>
        <w:rPr>
          <w:rFonts w:hint="eastAsia"/>
          <w:sz w:val="24"/>
        </w:rPr>
        <w:t>99</w:t>
      </w:r>
      <w:r>
        <w:rPr>
          <w:sz w:val="24"/>
        </w:rPr>
        <w:t>%</w:t>
      </w:r>
      <w:r>
        <w:rPr>
          <w:sz w:val="24"/>
        </w:rPr>
        <w:t>。污水处理站处理效果见</w:t>
      </w:r>
      <w:r>
        <w:rPr>
          <w:rFonts w:hint="eastAsia"/>
          <w:sz w:val="24"/>
        </w:rPr>
        <w:t>下</w:t>
      </w:r>
      <w:r>
        <w:rPr>
          <w:sz w:val="24"/>
        </w:rPr>
        <w:t>表。</w:t>
      </w:r>
    </w:p>
    <w:p w14:paraId="785EC4A9" w14:textId="77777777" w:rsidR="00B14D53" w:rsidRDefault="00000000">
      <w:pPr>
        <w:jc w:val="center"/>
        <w:rPr>
          <w:b/>
          <w:bCs/>
        </w:rPr>
      </w:pPr>
      <w:r>
        <w:rPr>
          <w:b/>
          <w:bCs/>
        </w:rPr>
        <w:t>表</w:t>
      </w:r>
      <w:r>
        <w:rPr>
          <w:b/>
          <w:bCs/>
        </w:rPr>
        <w:t>6-2-</w:t>
      </w:r>
      <w:r>
        <w:rPr>
          <w:rFonts w:hint="eastAsia"/>
          <w:b/>
          <w:bCs/>
        </w:rPr>
        <w:t>2</w:t>
      </w:r>
      <w:r>
        <w:rPr>
          <w:b/>
          <w:bCs/>
        </w:rPr>
        <w:t xml:space="preserve"> </w:t>
      </w:r>
      <w:r>
        <w:rPr>
          <w:b/>
          <w:bCs/>
        </w:rPr>
        <w:t>污水处理效果一览表</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777"/>
        <w:gridCol w:w="600"/>
        <w:gridCol w:w="952"/>
        <w:gridCol w:w="952"/>
        <w:gridCol w:w="952"/>
        <w:gridCol w:w="952"/>
        <w:gridCol w:w="952"/>
        <w:gridCol w:w="856"/>
      </w:tblGrid>
      <w:tr w:rsidR="00B14D53" w14:paraId="1DED0620" w14:textId="77777777">
        <w:trPr>
          <w:jc w:val="center"/>
        </w:trPr>
        <w:tc>
          <w:tcPr>
            <w:tcW w:w="783" w:type="pct"/>
            <w:tcBorders>
              <w:top w:val="single" w:sz="12" w:space="0" w:color="auto"/>
              <w:left w:val="nil"/>
              <w:right w:val="single" w:sz="6" w:space="0" w:color="auto"/>
            </w:tcBorders>
            <w:vAlign w:val="center"/>
          </w:tcPr>
          <w:p w14:paraId="66AB845F" w14:textId="77777777" w:rsidR="00B14D53" w:rsidRDefault="00000000">
            <w:pPr>
              <w:jc w:val="center"/>
              <w:rPr>
                <w:b/>
                <w:bCs/>
                <w:szCs w:val="21"/>
              </w:rPr>
            </w:pPr>
            <w:r>
              <w:rPr>
                <w:b/>
                <w:bCs/>
                <w:szCs w:val="21"/>
              </w:rPr>
              <w:t>指标</w:t>
            </w:r>
          </w:p>
        </w:tc>
        <w:tc>
          <w:tcPr>
            <w:tcW w:w="467" w:type="pct"/>
            <w:tcBorders>
              <w:top w:val="single" w:sz="12" w:space="0" w:color="auto"/>
              <w:left w:val="single" w:sz="6" w:space="0" w:color="auto"/>
              <w:right w:val="single" w:sz="6" w:space="0" w:color="auto"/>
            </w:tcBorders>
            <w:vAlign w:val="center"/>
          </w:tcPr>
          <w:p w14:paraId="5D022FD0" w14:textId="77777777" w:rsidR="00B14D53" w:rsidRDefault="00000000">
            <w:pPr>
              <w:jc w:val="center"/>
              <w:rPr>
                <w:b/>
                <w:bCs/>
                <w:szCs w:val="21"/>
              </w:rPr>
            </w:pPr>
            <w:r>
              <w:rPr>
                <w:b/>
                <w:bCs/>
                <w:szCs w:val="21"/>
              </w:rPr>
              <w:t>水量</w:t>
            </w:r>
          </w:p>
          <w:p w14:paraId="37F12FB4" w14:textId="77777777" w:rsidR="00B14D53" w:rsidRDefault="00000000">
            <w:pPr>
              <w:jc w:val="center"/>
              <w:rPr>
                <w:b/>
                <w:bCs/>
                <w:szCs w:val="21"/>
              </w:rPr>
            </w:pPr>
            <w:r>
              <w:rPr>
                <w:b/>
                <w:bCs/>
                <w:szCs w:val="21"/>
              </w:rPr>
              <w:t>（</w:t>
            </w:r>
            <w:r>
              <w:rPr>
                <w:b/>
                <w:bCs/>
                <w:szCs w:val="21"/>
              </w:rPr>
              <w:t>t/a</w:t>
            </w:r>
            <w:r>
              <w:rPr>
                <w:b/>
                <w:bCs/>
                <w:szCs w:val="21"/>
              </w:rPr>
              <w:t>）</w:t>
            </w:r>
          </w:p>
        </w:tc>
        <w:tc>
          <w:tcPr>
            <w:tcW w:w="361" w:type="pct"/>
            <w:tcBorders>
              <w:top w:val="single" w:sz="12" w:space="0" w:color="auto"/>
              <w:left w:val="single" w:sz="6" w:space="0" w:color="auto"/>
              <w:right w:val="single" w:sz="6" w:space="0" w:color="auto"/>
            </w:tcBorders>
            <w:vAlign w:val="center"/>
          </w:tcPr>
          <w:p w14:paraId="3ABFF0DF" w14:textId="77777777" w:rsidR="00B14D53" w:rsidRDefault="00000000">
            <w:pPr>
              <w:jc w:val="center"/>
              <w:rPr>
                <w:b/>
                <w:bCs/>
                <w:szCs w:val="21"/>
              </w:rPr>
            </w:pPr>
            <w:r>
              <w:rPr>
                <w:b/>
                <w:bCs/>
                <w:szCs w:val="21"/>
              </w:rPr>
              <w:t>pH</w:t>
            </w:r>
          </w:p>
        </w:tc>
        <w:tc>
          <w:tcPr>
            <w:tcW w:w="574" w:type="pct"/>
            <w:tcBorders>
              <w:top w:val="single" w:sz="12" w:space="0" w:color="auto"/>
              <w:left w:val="single" w:sz="6" w:space="0" w:color="auto"/>
              <w:right w:val="single" w:sz="6" w:space="0" w:color="auto"/>
            </w:tcBorders>
            <w:vAlign w:val="center"/>
          </w:tcPr>
          <w:p w14:paraId="708864BD" w14:textId="77777777" w:rsidR="00B14D53" w:rsidRDefault="00000000">
            <w:pPr>
              <w:jc w:val="center"/>
              <w:rPr>
                <w:b/>
                <w:bCs/>
                <w:szCs w:val="21"/>
              </w:rPr>
            </w:pPr>
            <w:r>
              <w:rPr>
                <w:b/>
                <w:bCs/>
                <w:szCs w:val="21"/>
              </w:rPr>
              <w:t>COD</w:t>
            </w:r>
          </w:p>
          <w:p w14:paraId="3B8D9CAC" w14:textId="77777777" w:rsidR="00B14D53" w:rsidRDefault="00000000">
            <w:pPr>
              <w:jc w:val="center"/>
              <w:rPr>
                <w:b/>
                <w:bCs/>
                <w:szCs w:val="21"/>
              </w:rPr>
            </w:pPr>
            <w:r>
              <w:rPr>
                <w:b/>
                <w:bCs/>
                <w:szCs w:val="21"/>
              </w:rPr>
              <w:t>（</w:t>
            </w:r>
            <w:r>
              <w:rPr>
                <w:b/>
                <w:bCs/>
                <w:szCs w:val="21"/>
              </w:rPr>
              <w:t>mg/L</w:t>
            </w:r>
            <w:r>
              <w:rPr>
                <w:b/>
                <w:bCs/>
                <w:szCs w:val="21"/>
              </w:rPr>
              <w:t>）</w:t>
            </w:r>
          </w:p>
        </w:tc>
        <w:tc>
          <w:tcPr>
            <w:tcW w:w="574" w:type="pct"/>
            <w:tcBorders>
              <w:top w:val="single" w:sz="12" w:space="0" w:color="auto"/>
              <w:left w:val="single" w:sz="6" w:space="0" w:color="auto"/>
              <w:right w:val="single" w:sz="6" w:space="0" w:color="auto"/>
            </w:tcBorders>
            <w:vAlign w:val="center"/>
          </w:tcPr>
          <w:p w14:paraId="42C04F9F" w14:textId="77777777" w:rsidR="00B14D53" w:rsidRDefault="00000000">
            <w:pPr>
              <w:jc w:val="center"/>
              <w:rPr>
                <w:b/>
                <w:bCs/>
                <w:szCs w:val="21"/>
              </w:rPr>
            </w:pPr>
            <w:r>
              <w:rPr>
                <w:b/>
                <w:bCs/>
                <w:szCs w:val="21"/>
              </w:rPr>
              <w:t>BOD</w:t>
            </w:r>
            <w:r>
              <w:rPr>
                <w:b/>
                <w:bCs/>
                <w:szCs w:val="21"/>
                <w:vertAlign w:val="subscript"/>
              </w:rPr>
              <w:t>5</w:t>
            </w:r>
          </w:p>
          <w:p w14:paraId="66BB5822" w14:textId="77777777" w:rsidR="00B14D53" w:rsidRDefault="00000000">
            <w:pPr>
              <w:jc w:val="center"/>
              <w:rPr>
                <w:b/>
                <w:bCs/>
                <w:szCs w:val="21"/>
              </w:rPr>
            </w:pPr>
            <w:r>
              <w:rPr>
                <w:b/>
                <w:bCs/>
                <w:szCs w:val="21"/>
              </w:rPr>
              <w:t>（</w:t>
            </w:r>
            <w:r>
              <w:rPr>
                <w:b/>
                <w:bCs/>
                <w:szCs w:val="21"/>
              </w:rPr>
              <w:t>mg/L</w:t>
            </w:r>
            <w:r>
              <w:rPr>
                <w:b/>
                <w:bCs/>
                <w:szCs w:val="21"/>
              </w:rPr>
              <w:t>）</w:t>
            </w:r>
          </w:p>
        </w:tc>
        <w:tc>
          <w:tcPr>
            <w:tcW w:w="574" w:type="pct"/>
            <w:tcBorders>
              <w:top w:val="single" w:sz="12" w:space="0" w:color="auto"/>
              <w:left w:val="single" w:sz="6" w:space="0" w:color="auto"/>
              <w:right w:val="single" w:sz="6" w:space="0" w:color="auto"/>
            </w:tcBorders>
            <w:vAlign w:val="center"/>
          </w:tcPr>
          <w:p w14:paraId="3C30F43B" w14:textId="77777777" w:rsidR="00B14D53" w:rsidRDefault="00000000">
            <w:pPr>
              <w:jc w:val="center"/>
              <w:rPr>
                <w:b/>
                <w:bCs/>
                <w:szCs w:val="21"/>
              </w:rPr>
            </w:pPr>
            <w:r>
              <w:rPr>
                <w:b/>
                <w:bCs/>
                <w:szCs w:val="21"/>
              </w:rPr>
              <w:t>SS</w:t>
            </w:r>
          </w:p>
          <w:p w14:paraId="3D165A25" w14:textId="77777777" w:rsidR="00B14D53" w:rsidRDefault="00000000">
            <w:pPr>
              <w:jc w:val="center"/>
              <w:rPr>
                <w:b/>
                <w:bCs/>
                <w:szCs w:val="21"/>
              </w:rPr>
            </w:pPr>
            <w:r>
              <w:rPr>
                <w:b/>
                <w:bCs/>
                <w:szCs w:val="21"/>
              </w:rPr>
              <w:t>（</w:t>
            </w:r>
            <w:r>
              <w:rPr>
                <w:b/>
                <w:bCs/>
                <w:szCs w:val="21"/>
              </w:rPr>
              <w:t>mg/L</w:t>
            </w:r>
            <w:r>
              <w:rPr>
                <w:b/>
                <w:bCs/>
                <w:szCs w:val="21"/>
              </w:rPr>
              <w:t>）</w:t>
            </w:r>
          </w:p>
        </w:tc>
        <w:tc>
          <w:tcPr>
            <w:tcW w:w="574" w:type="pct"/>
            <w:tcBorders>
              <w:top w:val="single" w:sz="12" w:space="0" w:color="auto"/>
              <w:left w:val="single" w:sz="6" w:space="0" w:color="auto"/>
              <w:right w:val="single" w:sz="6" w:space="0" w:color="auto"/>
            </w:tcBorders>
            <w:vAlign w:val="center"/>
          </w:tcPr>
          <w:p w14:paraId="1D8D07B3" w14:textId="77777777" w:rsidR="00B14D53" w:rsidRDefault="00000000">
            <w:pPr>
              <w:jc w:val="center"/>
              <w:rPr>
                <w:b/>
                <w:bCs/>
                <w:szCs w:val="21"/>
              </w:rPr>
            </w:pPr>
            <w:r>
              <w:rPr>
                <w:b/>
                <w:bCs/>
                <w:szCs w:val="21"/>
              </w:rPr>
              <w:t>氨氮</w:t>
            </w:r>
          </w:p>
          <w:p w14:paraId="466D11BA" w14:textId="77777777" w:rsidR="00B14D53" w:rsidRDefault="00000000">
            <w:pPr>
              <w:jc w:val="center"/>
              <w:rPr>
                <w:b/>
                <w:bCs/>
                <w:szCs w:val="21"/>
              </w:rPr>
            </w:pPr>
            <w:r>
              <w:rPr>
                <w:b/>
                <w:bCs/>
                <w:szCs w:val="21"/>
              </w:rPr>
              <w:t>（</w:t>
            </w:r>
            <w:r>
              <w:rPr>
                <w:b/>
                <w:bCs/>
                <w:szCs w:val="21"/>
              </w:rPr>
              <w:t>mg/L</w:t>
            </w:r>
            <w:r>
              <w:rPr>
                <w:b/>
                <w:bCs/>
                <w:szCs w:val="21"/>
              </w:rPr>
              <w:t>）</w:t>
            </w:r>
          </w:p>
        </w:tc>
        <w:tc>
          <w:tcPr>
            <w:tcW w:w="574" w:type="pct"/>
            <w:tcBorders>
              <w:top w:val="single" w:sz="12" w:space="0" w:color="auto"/>
              <w:left w:val="single" w:sz="6" w:space="0" w:color="auto"/>
              <w:right w:val="single" w:sz="6" w:space="0" w:color="auto"/>
            </w:tcBorders>
            <w:vAlign w:val="center"/>
          </w:tcPr>
          <w:p w14:paraId="614DF325" w14:textId="77777777" w:rsidR="00B14D53" w:rsidRDefault="00000000">
            <w:pPr>
              <w:jc w:val="center"/>
              <w:rPr>
                <w:b/>
                <w:bCs/>
                <w:szCs w:val="21"/>
              </w:rPr>
            </w:pPr>
            <w:r>
              <w:rPr>
                <w:b/>
                <w:bCs/>
                <w:szCs w:val="21"/>
              </w:rPr>
              <w:t>动植物油</w:t>
            </w:r>
          </w:p>
          <w:p w14:paraId="0675C5D6" w14:textId="77777777" w:rsidR="00B14D53" w:rsidRDefault="00000000">
            <w:pPr>
              <w:jc w:val="center"/>
              <w:rPr>
                <w:b/>
                <w:bCs/>
                <w:szCs w:val="21"/>
              </w:rPr>
            </w:pPr>
            <w:r>
              <w:rPr>
                <w:b/>
                <w:bCs/>
                <w:szCs w:val="21"/>
              </w:rPr>
              <w:t>（</w:t>
            </w:r>
            <w:r>
              <w:rPr>
                <w:b/>
                <w:bCs/>
                <w:szCs w:val="21"/>
              </w:rPr>
              <w:t>mg/L</w:t>
            </w:r>
            <w:r>
              <w:rPr>
                <w:b/>
                <w:bCs/>
                <w:szCs w:val="21"/>
              </w:rPr>
              <w:t>）</w:t>
            </w:r>
          </w:p>
        </w:tc>
        <w:tc>
          <w:tcPr>
            <w:tcW w:w="516" w:type="pct"/>
            <w:tcBorders>
              <w:top w:val="single" w:sz="12" w:space="0" w:color="auto"/>
              <w:left w:val="single" w:sz="6" w:space="0" w:color="auto"/>
              <w:right w:val="nil"/>
            </w:tcBorders>
            <w:vAlign w:val="center"/>
          </w:tcPr>
          <w:p w14:paraId="6F334BBA" w14:textId="77777777" w:rsidR="00B14D53" w:rsidRDefault="00000000">
            <w:pPr>
              <w:jc w:val="left"/>
              <w:rPr>
                <w:b/>
                <w:bCs/>
                <w:szCs w:val="21"/>
              </w:rPr>
            </w:pPr>
            <w:r>
              <w:rPr>
                <w:b/>
                <w:bCs/>
                <w:szCs w:val="21"/>
              </w:rPr>
              <w:t>大肠菌群数（个</w:t>
            </w:r>
            <w:r>
              <w:rPr>
                <w:b/>
                <w:bCs/>
                <w:szCs w:val="21"/>
              </w:rPr>
              <w:t>/L</w:t>
            </w:r>
            <w:r>
              <w:rPr>
                <w:b/>
                <w:bCs/>
                <w:szCs w:val="21"/>
              </w:rPr>
              <w:t>）</w:t>
            </w:r>
          </w:p>
        </w:tc>
      </w:tr>
      <w:tr w:rsidR="00B14D53" w14:paraId="30E0150A" w14:textId="77777777">
        <w:trPr>
          <w:jc w:val="center"/>
        </w:trPr>
        <w:tc>
          <w:tcPr>
            <w:tcW w:w="783" w:type="pct"/>
            <w:tcBorders>
              <w:left w:val="nil"/>
              <w:right w:val="single" w:sz="6" w:space="0" w:color="auto"/>
            </w:tcBorders>
            <w:vAlign w:val="center"/>
          </w:tcPr>
          <w:p w14:paraId="2910AE4D" w14:textId="77777777" w:rsidR="00B14D53" w:rsidRDefault="00000000">
            <w:pPr>
              <w:jc w:val="center"/>
              <w:rPr>
                <w:szCs w:val="21"/>
              </w:rPr>
            </w:pPr>
            <w:r>
              <w:rPr>
                <w:szCs w:val="21"/>
              </w:rPr>
              <w:t>进水</w:t>
            </w:r>
          </w:p>
        </w:tc>
        <w:tc>
          <w:tcPr>
            <w:tcW w:w="467" w:type="pct"/>
            <w:tcBorders>
              <w:left w:val="single" w:sz="6" w:space="0" w:color="auto"/>
              <w:right w:val="single" w:sz="6" w:space="0" w:color="auto"/>
            </w:tcBorders>
            <w:vAlign w:val="center"/>
          </w:tcPr>
          <w:p w14:paraId="7FFB8E0B" w14:textId="77777777" w:rsidR="00B14D53" w:rsidRDefault="00000000">
            <w:pPr>
              <w:jc w:val="center"/>
              <w:rPr>
                <w:szCs w:val="21"/>
              </w:rPr>
            </w:pPr>
            <w:r>
              <w:rPr>
                <w:szCs w:val="21"/>
              </w:rPr>
              <w:t>78975.24</w:t>
            </w:r>
          </w:p>
        </w:tc>
        <w:tc>
          <w:tcPr>
            <w:tcW w:w="361" w:type="pct"/>
            <w:tcBorders>
              <w:left w:val="single" w:sz="6" w:space="0" w:color="auto"/>
              <w:right w:val="single" w:sz="6" w:space="0" w:color="auto"/>
            </w:tcBorders>
            <w:vAlign w:val="center"/>
          </w:tcPr>
          <w:p w14:paraId="70854689" w14:textId="77777777" w:rsidR="00B14D53" w:rsidRDefault="00000000">
            <w:pPr>
              <w:widowControl/>
              <w:jc w:val="center"/>
              <w:rPr>
                <w:szCs w:val="21"/>
              </w:rPr>
            </w:pPr>
            <w:r>
              <w:rPr>
                <w:snapToGrid w:val="0"/>
                <w:szCs w:val="21"/>
              </w:rPr>
              <w:t>7.2~7.3</w:t>
            </w:r>
          </w:p>
        </w:tc>
        <w:tc>
          <w:tcPr>
            <w:tcW w:w="574" w:type="pct"/>
            <w:tcBorders>
              <w:left w:val="single" w:sz="6" w:space="0" w:color="auto"/>
              <w:right w:val="single" w:sz="6" w:space="0" w:color="auto"/>
            </w:tcBorders>
            <w:vAlign w:val="center"/>
          </w:tcPr>
          <w:p w14:paraId="43EFF06D" w14:textId="77777777" w:rsidR="00B14D53" w:rsidRDefault="00000000">
            <w:pPr>
              <w:jc w:val="center"/>
              <w:rPr>
                <w:szCs w:val="21"/>
              </w:rPr>
            </w:pPr>
            <w:r>
              <w:rPr>
                <w:rFonts w:hint="eastAsia"/>
                <w:szCs w:val="21"/>
              </w:rPr>
              <w:t>2520</w:t>
            </w:r>
          </w:p>
        </w:tc>
        <w:tc>
          <w:tcPr>
            <w:tcW w:w="574" w:type="pct"/>
            <w:tcBorders>
              <w:left w:val="single" w:sz="6" w:space="0" w:color="auto"/>
              <w:right w:val="single" w:sz="6" w:space="0" w:color="auto"/>
            </w:tcBorders>
            <w:vAlign w:val="center"/>
          </w:tcPr>
          <w:p w14:paraId="66E76CC6" w14:textId="77777777" w:rsidR="00B14D53" w:rsidRDefault="00000000">
            <w:pPr>
              <w:jc w:val="center"/>
              <w:rPr>
                <w:szCs w:val="21"/>
              </w:rPr>
            </w:pPr>
            <w:r>
              <w:rPr>
                <w:rFonts w:hint="eastAsia"/>
                <w:szCs w:val="21"/>
              </w:rPr>
              <w:t>997</w:t>
            </w:r>
          </w:p>
        </w:tc>
        <w:tc>
          <w:tcPr>
            <w:tcW w:w="574" w:type="pct"/>
            <w:tcBorders>
              <w:left w:val="single" w:sz="6" w:space="0" w:color="auto"/>
              <w:right w:val="single" w:sz="6" w:space="0" w:color="auto"/>
            </w:tcBorders>
            <w:vAlign w:val="center"/>
          </w:tcPr>
          <w:p w14:paraId="5744C657" w14:textId="77777777" w:rsidR="00B14D53" w:rsidRDefault="00000000">
            <w:pPr>
              <w:jc w:val="center"/>
              <w:rPr>
                <w:szCs w:val="21"/>
              </w:rPr>
            </w:pPr>
            <w:r>
              <w:rPr>
                <w:rFonts w:hint="eastAsia"/>
                <w:szCs w:val="21"/>
              </w:rPr>
              <w:t>995</w:t>
            </w:r>
          </w:p>
        </w:tc>
        <w:tc>
          <w:tcPr>
            <w:tcW w:w="574" w:type="pct"/>
            <w:tcBorders>
              <w:left w:val="single" w:sz="6" w:space="0" w:color="auto"/>
              <w:right w:val="single" w:sz="6" w:space="0" w:color="auto"/>
            </w:tcBorders>
            <w:vAlign w:val="center"/>
          </w:tcPr>
          <w:p w14:paraId="0479CC5A" w14:textId="77777777" w:rsidR="00B14D53" w:rsidRDefault="00000000">
            <w:pPr>
              <w:jc w:val="center"/>
              <w:rPr>
                <w:szCs w:val="21"/>
              </w:rPr>
            </w:pPr>
            <w:r>
              <w:rPr>
                <w:rFonts w:hint="eastAsia"/>
                <w:szCs w:val="21"/>
              </w:rPr>
              <w:t>121</w:t>
            </w:r>
          </w:p>
        </w:tc>
        <w:tc>
          <w:tcPr>
            <w:tcW w:w="574" w:type="pct"/>
            <w:tcBorders>
              <w:left w:val="single" w:sz="6" w:space="0" w:color="auto"/>
              <w:right w:val="single" w:sz="6" w:space="0" w:color="auto"/>
            </w:tcBorders>
            <w:vAlign w:val="center"/>
          </w:tcPr>
          <w:p w14:paraId="4FA15CE1" w14:textId="77777777" w:rsidR="00B14D53" w:rsidRDefault="00000000">
            <w:pPr>
              <w:jc w:val="center"/>
              <w:rPr>
                <w:szCs w:val="21"/>
              </w:rPr>
            </w:pPr>
            <w:r>
              <w:rPr>
                <w:rFonts w:hint="eastAsia"/>
                <w:szCs w:val="21"/>
              </w:rPr>
              <w:t>200</w:t>
            </w:r>
          </w:p>
        </w:tc>
        <w:tc>
          <w:tcPr>
            <w:tcW w:w="516" w:type="pct"/>
            <w:tcBorders>
              <w:left w:val="single" w:sz="6" w:space="0" w:color="auto"/>
              <w:right w:val="nil"/>
            </w:tcBorders>
            <w:vAlign w:val="center"/>
          </w:tcPr>
          <w:p w14:paraId="7C7508D0" w14:textId="77777777" w:rsidR="00B14D53" w:rsidRDefault="00000000">
            <w:pPr>
              <w:widowControl/>
              <w:jc w:val="center"/>
              <w:textAlignment w:val="center"/>
              <w:rPr>
                <w:szCs w:val="21"/>
              </w:rPr>
            </w:pPr>
            <w:r>
              <w:rPr>
                <w:szCs w:val="21"/>
              </w:rPr>
              <w:t>≥24000</w:t>
            </w:r>
          </w:p>
        </w:tc>
      </w:tr>
      <w:tr w:rsidR="00B14D53" w14:paraId="0E175B69" w14:textId="77777777">
        <w:trPr>
          <w:jc w:val="center"/>
        </w:trPr>
        <w:tc>
          <w:tcPr>
            <w:tcW w:w="783" w:type="pct"/>
            <w:tcBorders>
              <w:left w:val="nil"/>
              <w:right w:val="single" w:sz="6" w:space="0" w:color="auto"/>
            </w:tcBorders>
            <w:vAlign w:val="center"/>
          </w:tcPr>
          <w:p w14:paraId="1F93F5AE" w14:textId="77777777" w:rsidR="00B14D53" w:rsidRDefault="00000000">
            <w:pPr>
              <w:jc w:val="center"/>
              <w:rPr>
                <w:szCs w:val="21"/>
              </w:rPr>
            </w:pPr>
            <w:r>
              <w:rPr>
                <w:szCs w:val="21"/>
              </w:rPr>
              <w:t>出水</w:t>
            </w:r>
          </w:p>
        </w:tc>
        <w:tc>
          <w:tcPr>
            <w:tcW w:w="467" w:type="pct"/>
            <w:tcBorders>
              <w:left w:val="single" w:sz="6" w:space="0" w:color="auto"/>
              <w:right w:val="single" w:sz="6" w:space="0" w:color="auto"/>
            </w:tcBorders>
            <w:vAlign w:val="center"/>
          </w:tcPr>
          <w:p w14:paraId="0A44CDE9" w14:textId="77777777" w:rsidR="00B14D53" w:rsidRDefault="00000000">
            <w:pPr>
              <w:jc w:val="center"/>
              <w:rPr>
                <w:szCs w:val="21"/>
              </w:rPr>
            </w:pPr>
            <w:r>
              <w:rPr>
                <w:szCs w:val="21"/>
              </w:rPr>
              <w:t>78975.24</w:t>
            </w:r>
          </w:p>
        </w:tc>
        <w:tc>
          <w:tcPr>
            <w:tcW w:w="361" w:type="pct"/>
            <w:tcBorders>
              <w:left w:val="single" w:sz="6" w:space="0" w:color="auto"/>
              <w:right w:val="single" w:sz="6" w:space="0" w:color="auto"/>
            </w:tcBorders>
            <w:vAlign w:val="center"/>
          </w:tcPr>
          <w:p w14:paraId="0C9C11E1" w14:textId="77777777" w:rsidR="00B14D53" w:rsidRDefault="00000000">
            <w:pPr>
              <w:jc w:val="center"/>
              <w:rPr>
                <w:szCs w:val="21"/>
              </w:rPr>
            </w:pPr>
            <w:r>
              <w:rPr>
                <w:snapToGrid w:val="0"/>
                <w:szCs w:val="21"/>
              </w:rPr>
              <w:t>7.2~7.3</w:t>
            </w:r>
          </w:p>
        </w:tc>
        <w:tc>
          <w:tcPr>
            <w:tcW w:w="574" w:type="pct"/>
            <w:tcBorders>
              <w:left w:val="single" w:sz="6" w:space="0" w:color="auto"/>
              <w:right w:val="single" w:sz="6" w:space="0" w:color="auto"/>
            </w:tcBorders>
            <w:vAlign w:val="center"/>
          </w:tcPr>
          <w:p w14:paraId="5A669AFC" w14:textId="77777777" w:rsidR="00B14D53" w:rsidRDefault="00000000">
            <w:pPr>
              <w:widowControl/>
              <w:jc w:val="center"/>
              <w:rPr>
                <w:szCs w:val="21"/>
              </w:rPr>
            </w:pPr>
            <w:r>
              <w:rPr>
                <w:rFonts w:hint="eastAsia"/>
                <w:szCs w:val="21"/>
              </w:rPr>
              <w:t>327.6</w:t>
            </w:r>
          </w:p>
        </w:tc>
        <w:tc>
          <w:tcPr>
            <w:tcW w:w="574" w:type="pct"/>
            <w:tcBorders>
              <w:left w:val="single" w:sz="6" w:space="0" w:color="auto"/>
              <w:right w:val="single" w:sz="6" w:space="0" w:color="auto"/>
            </w:tcBorders>
            <w:vAlign w:val="center"/>
          </w:tcPr>
          <w:p w14:paraId="2D54A2DE" w14:textId="77777777" w:rsidR="00B14D53" w:rsidRDefault="00000000">
            <w:pPr>
              <w:widowControl/>
              <w:jc w:val="center"/>
              <w:rPr>
                <w:szCs w:val="21"/>
              </w:rPr>
            </w:pPr>
            <w:r>
              <w:rPr>
                <w:rFonts w:hint="eastAsia"/>
                <w:szCs w:val="21"/>
              </w:rPr>
              <w:t>199.4</w:t>
            </w:r>
          </w:p>
        </w:tc>
        <w:tc>
          <w:tcPr>
            <w:tcW w:w="574" w:type="pct"/>
            <w:tcBorders>
              <w:left w:val="single" w:sz="6" w:space="0" w:color="auto"/>
              <w:right w:val="single" w:sz="6" w:space="0" w:color="auto"/>
            </w:tcBorders>
            <w:vAlign w:val="center"/>
          </w:tcPr>
          <w:p w14:paraId="22F8F904" w14:textId="77777777" w:rsidR="00B14D53" w:rsidRDefault="00000000">
            <w:pPr>
              <w:widowControl/>
              <w:jc w:val="center"/>
              <w:rPr>
                <w:szCs w:val="21"/>
              </w:rPr>
            </w:pPr>
            <w:r>
              <w:rPr>
                <w:rFonts w:hint="eastAsia"/>
                <w:szCs w:val="21"/>
              </w:rPr>
              <w:t>298.5</w:t>
            </w:r>
          </w:p>
        </w:tc>
        <w:tc>
          <w:tcPr>
            <w:tcW w:w="574" w:type="pct"/>
            <w:tcBorders>
              <w:left w:val="single" w:sz="6" w:space="0" w:color="auto"/>
              <w:right w:val="single" w:sz="6" w:space="0" w:color="auto"/>
            </w:tcBorders>
            <w:vAlign w:val="center"/>
          </w:tcPr>
          <w:p w14:paraId="4475C42D" w14:textId="77777777" w:rsidR="00B14D53" w:rsidRDefault="00000000">
            <w:pPr>
              <w:widowControl/>
              <w:jc w:val="center"/>
              <w:rPr>
                <w:szCs w:val="21"/>
              </w:rPr>
            </w:pPr>
            <w:r>
              <w:rPr>
                <w:rFonts w:hint="eastAsia"/>
                <w:szCs w:val="21"/>
              </w:rPr>
              <w:t>24.2</w:t>
            </w:r>
          </w:p>
        </w:tc>
        <w:tc>
          <w:tcPr>
            <w:tcW w:w="574" w:type="pct"/>
            <w:tcBorders>
              <w:left w:val="single" w:sz="6" w:space="0" w:color="auto"/>
              <w:right w:val="single" w:sz="6" w:space="0" w:color="auto"/>
            </w:tcBorders>
            <w:vAlign w:val="center"/>
          </w:tcPr>
          <w:p w14:paraId="74F3D540" w14:textId="77777777" w:rsidR="00B14D53" w:rsidRDefault="00000000">
            <w:pPr>
              <w:widowControl/>
              <w:jc w:val="center"/>
              <w:rPr>
                <w:szCs w:val="21"/>
              </w:rPr>
            </w:pPr>
            <w:r>
              <w:rPr>
                <w:rFonts w:hint="eastAsia"/>
                <w:szCs w:val="21"/>
              </w:rPr>
              <w:t>60</w:t>
            </w:r>
          </w:p>
        </w:tc>
        <w:tc>
          <w:tcPr>
            <w:tcW w:w="516" w:type="pct"/>
            <w:tcBorders>
              <w:left w:val="single" w:sz="6" w:space="0" w:color="auto"/>
              <w:right w:val="nil"/>
            </w:tcBorders>
            <w:vAlign w:val="center"/>
          </w:tcPr>
          <w:p w14:paraId="4948EF76" w14:textId="77777777" w:rsidR="00B14D53" w:rsidRDefault="00000000">
            <w:pPr>
              <w:widowControl/>
              <w:jc w:val="center"/>
              <w:rPr>
                <w:szCs w:val="21"/>
              </w:rPr>
            </w:pPr>
            <w:r>
              <w:rPr>
                <w:rFonts w:hint="eastAsia"/>
                <w:szCs w:val="21"/>
              </w:rPr>
              <w:t>240</w:t>
            </w:r>
          </w:p>
        </w:tc>
      </w:tr>
      <w:tr w:rsidR="00B14D53" w14:paraId="09EF5334" w14:textId="77777777">
        <w:trPr>
          <w:jc w:val="center"/>
        </w:trPr>
        <w:tc>
          <w:tcPr>
            <w:tcW w:w="783" w:type="pct"/>
            <w:tcBorders>
              <w:left w:val="nil"/>
              <w:right w:val="single" w:sz="6" w:space="0" w:color="auto"/>
            </w:tcBorders>
            <w:vAlign w:val="center"/>
          </w:tcPr>
          <w:p w14:paraId="311A80F2" w14:textId="77777777" w:rsidR="00B14D53" w:rsidRDefault="00000000">
            <w:pPr>
              <w:jc w:val="center"/>
              <w:rPr>
                <w:szCs w:val="21"/>
              </w:rPr>
            </w:pPr>
            <w:r>
              <w:rPr>
                <w:szCs w:val="21"/>
              </w:rPr>
              <w:t>去除率</w:t>
            </w:r>
            <w:r>
              <w:rPr>
                <w:szCs w:val="21"/>
              </w:rPr>
              <w:t>%</w:t>
            </w:r>
          </w:p>
        </w:tc>
        <w:tc>
          <w:tcPr>
            <w:tcW w:w="467" w:type="pct"/>
            <w:tcBorders>
              <w:left w:val="single" w:sz="6" w:space="0" w:color="auto"/>
              <w:right w:val="single" w:sz="6" w:space="0" w:color="auto"/>
            </w:tcBorders>
            <w:vAlign w:val="center"/>
          </w:tcPr>
          <w:p w14:paraId="60D1876C" w14:textId="77777777" w:rsidR="00B14D53" w:rsidRDefault="00000000">
            <w:pPr>
              <w:jc w:val="center"/>
              <w:rPr>
                <w:szCs w:val="21"/>
              </w:rPr>
            </w:pPr>
            <w:r>
              <w:rPr>
                <w:szCs w:val="21"/>
              </w:rPr>
              <w:t>--</w:t>
            </w:r>
          </w:p>
        </w:tc>
        <w:tc>
          <w:tcPr>
            <w:tcW w:w="361" w:type="pct"/>
            <w:tcBorders>
              <w:left w:val="single" w:sz="6" w:space="0" w:color="auto"/>
              <w:right w:val="single" w:sz="6" w:space="0" w:color="auto"/>
            </w:tcBorders>
            <w:vAlign w:val="center"/>
          </w:tcPr>
          <w:p w14:paraId="61452D53" w14:textId="77777777" w:rsidR="00B14D53" w:rsidRDefault="00000000">
            <w:pPr>
              <w:jc w:val="center"/>
              <w:rPr>
                <w:szCs w:val="21"/>
              </w:rPr>
            </w:pPr>
            <w:r>
              <w:rPr>
                <w:szCs w:val="21"/>
              </w:rPr>
              <w:t>--</w:t>
            </w:r>
          </w:p>
        </w:tc>
        <w:tc>
          <w:tcPr>
            <w:tcW w:w="574" w:type="pct"/>
            <w:tcBorders>
              <w:left w:val="single" w:sz="6" w:space="0" w:color="auto"/>
              <w:right w:val="single" w:sz="6" w:space="0" w:color="auto"/>
            </w:tcBorders>
            <w:vAlign w:val="center"/>
          </w:tcPr>
          <w:p w14:paraId="35E8A2FE" w14:textId="77777777" w:rsidR="00B14D53" w:rsidRDefault="00000000">
            <w:pPr>
              <w:widowControl/>
              <w:jc w:val="center"/>
              <w:rPr>
                <w:szCs w:val="21"/>
              </w:rPr>
            </w:pPr>
            <w:r>
              <w:rPr>
                <w:rFonts w:hint="eastAsia"/>
                <w:szCs w:val="21"/>
              </w:rPr>
              <w:t>87</w:t>
            </w:r>
          </w:p>
        </w:tc>
        <w:tc>
          <w:tcPr>
            <w:tcW w:w="574" w:type="pct"/>
            <w:tcBorders>
              <w:left w:val="single" w:sz="6" w:space="0" w:color="auto"/>
              <w:right w:val="single" w:sz="6" w:space="0" w:color="auto"/>
            </w:tcBorders>
            <w:vAlign w:val="center"/>
          </w:tcPr>
          <w:p w14:paraId="38C1BBF2" w14:textId="77777777" w:rsidR="00B14D53" w:rsidRDefault="00000000">
            <w:pPr>
              <w:widowControl/>
              <w:jc w:val="center"/>
              <w:rPr>
                <w:szCs w:val="21"/>
              </w:rPr>
            </w:pPr>
            <w:r>
              <w:rPr>
                <w:rFonts w:hint="eastAsia"/>
                <w:szCs w:val="21"/>
              </w:rPr>
              <w:t>80</w:t>
            </w:r>
          </w:p>
        </w:tc>
        <w:tc>
          <w:tcPr>
            <w:tcW w:w="574" w:type="pct"/>
            <w:tcBorders>
              <w:left w:val="single" w:sz="6" w:space="0" w:color="auto"/>
              <w:right w:val="single" w:sz="6" w:space="0" w:color="auto"/>
            </w:tcBorders>
            <w:vAlign w:val="center"/>
          </w:tcPr>
          <w:p w14:paraId="7B540C4D" w14:textId="77777777" w:rsidR="00B14D53" w:rsidRDefault="00000000">
            <w:pPr>
              <w:widowControl/>
              <w:jc w:val="center"/>
              <w:rPr>
                <w:szCs w:val="21"/>
              </w:rPr>
            </w:pPr>
            <w:r>
              <w:rPr>
                <w:rFonts w:hint="eastAsia"/>
                <w:szCs w:val="21"/>
              </w:rPr>
              <w:t>70</w:t>
            </w:r>
          </w:p>
        </w:tc>
        <w:tc>
          <w:tcPr>
            <w:tcW w:w="574" w:type="pct"/>
            <w:tcBorders>
              <w:left w:val="single" w:sz="6" w:space="0" w:color="auto"/>
              <w:right w:val="single" w:sz="6" w:space="0" w:color="auto"/>
            </w:tcBorders>
            <w:vAlign w:val="center"/>
          </w:tcPr>
          <w:p w14:paraId="6268DA8F" w14:textId="77777777" w:rsidR="00B14D53" w:rsidRDefault="00000000">
            <w:pPr>
              <w:widowControl/>
              <w:jc w:val="center"/>
              <w:rPr>
                <w:szCs w:val="21"/>
              </w:rPr>
            </w:pPr>
            <w:r>
              <w:rPr>
                <w:rFonts w:hint="eastAsia"/>
                <w:szCs w:val="21"/>
              </w:rPr>
              <w:t>80</w:t>
            </w:r>
          </w:p>
        </w:tc>
        <w:tc>
          <w:tcPr>
            <w:tcW w:w="574" w:type="pct"/>
            <w:tcBorders>
              <w:left w:val="single" w:sz="6" w:space="0" w:color="auto"/>
              <w:right w:val="single" w:sz="6" w:space="0" w:color="auto"/>
            </w:tcBorders>
            <w:vAlign w:val="center"/>
          </w:tcPr>
          <w:p w14:paraId="6B959210" w14:textId="77777777" w:rsidR="00B14D53" w:rsidRDefault="00000000">
            <w:pPr>
              <w:widowControl/>
              <w:jc w:val="center"/>
              <w:rPr>
                <w:szCs w:val="21"/>
              </w:rPr>
            </w:pPr>
            <w:r>
              <w:rPr>
                <w:rFonts w:hint="eastAsia"/>
                <w:szCs w:val="21"/>
              </w:rPr>
              <w:t>70</w:t>
            </w:r>
          </w:p>
        </w:tc>
        <w:tc>
          <w:tcPr>
            <w:tcW w:w="516" w:type="pct"/>
            <w:tcBorders>
              <w:left w:val="single" w:sz="6" w:space="0" w:color="auto"/>
              <w:right w:val="nil"/>
            </w:tcBorders>
            <w:vAlign w:val="center"/>
          </w:tcPr>
          <w:p w14:paraId="64116227" w14:textId="77777777" w:rsidR="00B14D53" w:rsidRDefault="00000000">
            <w:pPr>
              <w:jc w:val="center"/>
              <w:rPr>
                <w:szCs w:val="21"/>
              </w:rPr>
            </w:pPr>
            <w:r>
              <w:rPr>
                <w:rFonts w:hint="eastAsia"/>
                <w:szCs w:val="21"/>
              </w:rPr>
              <w:t>99</w:t>
            </w:r>
          </w:p>
        </w:tc>
      </w:tr>
      <w:tr w:rsidR="00B14D53" w14:paraId="4DBB26A9" w14:textId="77777777">
        <w:trPr>
          <w:jc w:val="center"/>
        </w:trPr>
        <w:tc>
          <w:tcPr>
            <w:tcW w:w="1251" w:type="pct"/>
            <w:gridSpan w:val="2"/>
            <w:tcBorders>
              <w:left w:val="nil"/>
              <w:right w:val="single" w:sz="6" w:space="0" w:color="auto"/>
            </w:tcBorders>
            <w:vAlign w:val="center"/>
          </w:tcPr>
          <w:p w14:paraId="3D57ADFC" w14:textId="77777777" w:rsidR="00B14D53" w:rsidRDefault="00000000">
            <w:pPr>
              <w:jc w:val="center"/>
              <w:rPr>
                <w:szCs w:val="21"/>
              </w:rPr>
            </w:pPr>
            <w:r>
              <w:rPr>
                <w:szCs w:val="21"/>
              </w:rPr>
              <w:t>《肉类加工工业水污染物排放标准》（</w:t>
            </w:r>
            <w:r>
              <w:rPr>
                <w:szCs w:val="21"/>
              </w:rPr>
              <w:t>GB13457-92</w:t>
            </w:r>
            <w:r>
              <w:rPr>
                <w:szCs w:val="21"/>
              </w:rPr>
              <w:t>）畜类屠宰加工三级标准</w:t>
            </w:r>
          </w:p>
        </w:tc>
        <w:tc>
          <w:tcPr>
            <w:tcW w:w="361" w:type="pct"/>
            <w:tcBorders>
              <w:left w:val="single" w:sz="6" w:space="0" w:color="auto"/>
              <w:right w:val="single" w:sz="6" w:space="0" w:color="auto"/>
            </w:tcBorders>
            <w:vAlign w:val="center"/>
          </w:tcPr>
          <w:p w14:paraId="67BA69F2" w14:textId="77777777" w:rsidR="00B14D53" w:rsidRDefault="00000000">
            <w:pPr>
              <w:jc w:val="center"/>
              <w:rPr>
                <w:szCs w:val="21"/>
              </w:rPr>
            </w:pPr>
            <w:r>
              <w:rPr>
                <w:szCs w:val="21"/>
              </w:rPr>
              <w:t>6.0</w:t>
            </w:r>
            <w:r>
              <w:rPr>
                <w:szCs w:val="21"/>
              </w:rPr>
              <w:t>～</w:t>
            </w:r>
            <w:r>
              <w:rPr>
                <w:szCs w:val="21"/>
              </w:rPr>
              <w:t>8.5</w:t>
            </w:r>
          </w:p>
        </w:tc>
        <w:tc>
          <w:tcPr>
            <w:tcW w:w="574" w:type="pct"/>
            <w:tcBorders>
              <w:left w:val="single" w:sz="6" w:space="0" w:color="auto"/>
              <w:right w:val="single" w:sz="6" w:space="0" w:color="auto"/>
            </w:tcBorders>
            <w:vAlign w:val="center"/>
          </w:tcPr>
          <w:p w14:paraId="757F5B1A" w14:textId="77777777" w:rsidR="00B14D53" w:rsidRDefault="00000000">
            <w:pPr>
              <w:jc w:val="center"/>
              <w:rPr>
                <w:szCs w:val="21"/>
              </w:rPr>
            </w:pPr>
            <w:r>
              <w:rPr>
                <w:spacing w:val="-6"/>
                <w:szCs w:val="21"/>
              </w:rPr>
              <w:t>500</w:t>
            </w:r>
          </w:p>
        </w:tc>
        <w:tc>
          <w:tcPr>
            <w:tcW w:w="574" w:type="pct"/>
            <w:tcBorders>
              <w:left w:val="single" w:sz="6" w:space="0" w:color="auto"/>
              <w:right w:val="single" w:sz="6" w:space="0" w:color="auto"/>
            </w:tcBorders>
            <w:vAlign w:val="center"/>
          </w:tcPr>
          <w:p w14:paraId="31D6EDC1" w14:textId="77777777" w:rsidR="00B14D53" w:rsidRDefault="00000000">
            <w:pPr>
              <w:jc w:val="center"/>
              <w:rPr>
                <w:szCs w:val="21"/>
              </w:rPr>
            </w:pPr>
            <w:r>
              <w:rPr>
                <w:szCs w:val="21"/>
              </w:rPr>
              <w:t>300</w:t>
            </w:r>
          </w:p>
        </w:tc>
        <w:tc>
          <w:tcPr>
            <w:tcW w:w="574" w:type="pct"/>
            <w:tcBorders>
              <w:left w:val="single" w:sz="6" w:space="0" w:color="auto"/>
              <w:right w:val="single" w:sz="6" w:space="0" w:color="auto"/>
            </w:tcBorders>
            <w:vAlign w:val="center"/>
          </w:tcPr>
          <w:p w14:paraId="1D6BE1F4" w14:textId="77777777" w:rsidR="00B14D53" w:rsidRDefault="00000000">
            <w:pPr>
              <w:jc w:val="center"/>
              <w:rPr>
                <w:szCs w:val="21"/>
              </w:rPr>
            </w:pPr>
            <w:r>
              <w:rPr>
                <w:szCs w:val="21"/>
              </w:rPr>
              <w:t>400</w:t>
            </w:r>
          </w:p>
        </w:tc>
        <w:tc>
          <w:tcPr>
            <w:tcW w:w="574" w:type="pct"/>
            <w:tcBorders>
              <w:left w:val="single" w:sz="6" w:space="0" w:color="auto"/>
              <w:right w:val="single" w:sz="6" w:space="0" w:color="auto"/>
            </w:tcBorders>
            <w:vAlign w:val="center"/>
          </w:tcPr>
          <w:p w14:paraId="4EC80324" w14:textId="77777777" w:rsidR="00B14D53" w:rsidRDefault="00000000">
            <w:pPr>
              <w:jc w:val="center"/>
              <w:rPr>
                <w:szCs w:val="21"/>
              </w:rPr>
            </w:pPr>
            <w:r>
              <w:rPr>
                <w:rFonts w:hint="eastAsia"/>
                <w:szCs w:val="21"/>
              </w:rPr>
              <w:t>/</w:t>
            </w:r>
          </w:p>
        </w:tc>
        <w:tc>
          <w:tcPr>
            <w:tcW w:w="574" w:type="pct"/>
            <w:tcBorders>
              <w:left w:val="single" w:sz="6" w:space="0" w:color="auto"/>
              <w:right w:val="single" w:sz="6" w:space="0" w:color="auto"/>
            </w:tcBorders>
            <w:vAlign w:val="center"/>
          </w:tcPr>
          <w:p w14:paraId="6A2D4A14" w14:textId="77777777" w:rsidR="00B14D53" w:rsidRDefault="00000000">
            <w:pPr>
              <w:jc w:val="center"/>
              <w:rPr>
                <w:szCs w:val="21"/>
              </w:rPr>
            </w:pPr>
            <w:r>
              <w:rPr>
                <w:szCs w:val="21"/>
              </w:rPr>
              <w:t>60</w:t>
            </w:r>
          </w:p>
        </w:tc>
        <w:tc>
          <w:tcPr>
            <w:tcW w:w="516" w:type="pct"/>
            <w:tcBorders>
              <w:left w:val="single" w:sz="6" w:space="0" w:color="auto"/>
              <w:right w:val="nil"/>
            </w:tcBorders>
            <w:vAlign w:val="center"/>
          </w:tcPr>
          <w:p w14:paraId="667FBE79" w14:textId="77777777" w:rsidR="00B14D53" w:rsidRDefault="00000000">
            <w:pPr>
              <w:jc w:val="center"/>
              <w:rPr>
                <w:szCs w:val="21"/>
              </w:rPr>
            </w:pPr>
            <w:r>
              <w:rPr>
                <w:szCs w:val="21"/>
              </w:rPr>
              <w:t>/</w:t>
            </w:r>
          </w:p>
        </w:tc>
      </w:tr>
      <w:tr w:rsidR="00B14D53" w14:paraId="6EB04F2F" w14:textId="77777777">
        <w:trPr>
          <w:jc w:val="center"/>
        </w:trPr>
        <w:tc>
          <w:tcPr>
            <w:tcW w:w="1251" w:type="pct"/>
            <w:gridSpan w:val="2"/>
            <w:tcBorders>
              <w:left w:val="nil"/>
              <w:right w:val="single" w:sz="6" w:space="0" w:color="auto"/>
            </w:tcBorders>
            <w:vAlign w:val="center"/>
          </w:tcPr>
          <w:p w14:paraId="1FC70128" w14:textId="77777777" w:rsidR="00B14D53" w:rsidRDefault="00000000">
            <w:pPr>
              <w:jc w:val="center"/>
              <w:rPr>
                <w:szCs w:val="21"/>
              </w:rPr>
            </w:pPr>
            <w:r>
              <w:rPr>
                <w:rFonts w:hint="eastAsia"/>
                <w:kern w:val="0"/>
                <w:szCs w:val="21"/>
              </w:rPr>
              <w:t>五常市山河屯林业局污水处理厂</w:t>
            </w:r>
            <w:r>
              <w:rPr>
                <w:kern w:val="0"/>
                <w:szCs w:val="21"/>
              </w:rPr>
              <w:t>设计进水水质指标</w:t>
            </w:r>
          </w:p>
        </w:tc>
        <w:tc>
          <w:tcPr>
            <w:tcW w:w="361" w:type="pct"/>
            <w:tcBorders>
              <w:left w:val="single" w:sz="6" w:space="0" w:color="auto"/>
              <w:right w:val="single" w:sz="6" w:space="0" w:color="auto"/>
            </w:tcBorders>
            <w:vAlign w:val="center"/>
          </w:tcPr>
          <w:p w14:paraId="30841441" w14:textId="77777777" w:rsidR="00B14D53" w:rsidRDefault="00000000">
            <w:pPr>
              <w:jc w:val="center"/>
              <w:rPr>
                <w:szCs w:val="21"/>
              </w:rPr>
            </w:pPr>
            <w:r>
              <w:rPr>
                <w:rFonts w:hint="eastAsia"/>
                <w:szCs w:val="21"/>
              </w:rPr>
              <w:t>/</w:t>
            </w:r>
          </w:p>
        </w:tc>
        <w:tc>
          <w:tcPr>
            <w:tcW w:w="574" w:type="pct"/>
            <w:tcBorders>
              <w:left w:val="single" w:sz="6" w:space="0" w:color="auto"/>
              <w:right w:val="single" w:sz="6" w:space="0" w:color="auto"/>
            </w:tcBorders>
            <w:vAlign w:val="center"/>
          </w:tcPr>
          <w:p w14:paraId="5609C858" w14:textId="77777777" w:rsidR="00B14D53" w:rsidRDefault="00000000">
            <w:pPr>
              <w:jc w:val="center"/>
              <w:rPr>
                <w:szCs w:val="21"/>
              </w:rPr>
            </w:pPr>
            <w:r>
              <w:rPr>
                <w:rFonts w:hint="eastAsia"/>
                <w:spacing w:val="-6"/>
                <w:szCs w:val="21"/>
              </w:rPr>
              <w:t>350</w:t>
            </w:r>
          </w:p>
        </w:tc>
        <w:tc>
          <w:tcPr>
            <w:tcW w:w="574" w:type="pct"/>
            <w:tcBorders>
              <w:left w:val="single" w:sz="6" w:space="0" w:color="auto"/>
              <w:right w:val="single" w:sz="6" w:space="0" w:color="auto"/>
            </w:tcBorders>
            <w:vAlign w:val="center"/>
          </w:tcPr>
          <w:p w14:paraId="5057C3CA" w14:textId="77777777" w:rsidR="00B14D53" w:rsidRDefault="00000000">
            <w:pPr>
              <w:jc w:val="center"/>
              <w:rPr>
                <w:szCs w:val="21"/>
              </w:rPr>
            </w:pPr>
            <w:r>
              <w:rPr>
                <w:rFonts w:hint="eastAsia"/>
                <w:szCs w:val="21"/>
              </w:rPr>
              <w:t>200</w:t>
            </w:r>
          </w:p>
        </w:tc>
        <w:tc>
          <w:tcPr>
            <w:tcW w:w="574" w:type="pct"/>
            <w:tcBorders>
              <w:left w:val="single" w:sz="6" w:space="0" w:color="auto"/>
              <w:right w:val="single" w:sz="6" w:space="0" w:color="auto"/>
            </w:tcBorders>
            <w:vAlign w:val="center"/>
          </w:tcPr>
          <w:p w14:paraId="51FF04D5" w14:textId="77777777" w:rsidR="00B14D53" w:rsidRDefault="00000000">
            <w:pPr>
              <w:jc w:val="center"/>
              <w:rPr>
                <w:szCs w:val="21"/>
              </w:rPr>
            </w:pPr>
            <w:r>
              <w:rPr>
                <w:rFonts w:hint="eastAsia"/>
                <w:szCs w:val="21"/>
              </w:rPr>
              <w:t>300</w:t>
            </w:r>
          </w:p>
        </w:tc>
        <w:tc>
          <w:tcPr>
            <w:tcW w:w="574" w:type="pct"/>
            <w:tcBorders>
              <w:left w:val="single" w:sz="6" w:space="0" w:color="auto"/>
              <w:right w:val="single" w:sz="6" w:space="0" w:color="auto"/>
            </w:tcBorders>
            <w:vAlign w:val="center"/>
          </w:tcPr>
          <w:p w14:paraId="3F694129" w14:textId="77777777" w:rsidR="00B14D53" w:rsidRDefault="00000000">
            <w:pPr>
              <w:jc w:val="center"/>
              <w:rPr>
                <w:szCs w:val="21"/>
              </w:rPr>
            </w:pPr>
            <w:r>
              <w:rPr>
                <w:rFonts w:hint="eastAsia"/>
                <w:szCs w:val="21"/>
              </w:rPr>
              <w:t>25</w:t>
            </w:r>
          </w:p>
        </w:tc>
        <w:tc>
          <w:tcPr>
            <w:tcW w:w="574" w:type="pct"/>
            <w:tcBorders>
              <w:left w:val="single" w:sz="6" w:space="0" w:color="auto"/>
              <w:right w:val="single" w:sz="6" w:space="0" w:color="auto"/>
            </w:tcBorders>
            <w:vAlign w:val="center"/>
          </w:tcPr>
          <w:p w14:paraId="43F59D4F" w14:textId="77777777" w:rsidR="00B14D53" w:rsidRDefault="00000000">
            <w:pPr>
              <w:jc w:val="center"/>
              <w:rPr>
                <w:szCs w:val="21"/>
              </w:rPr>
            </w:pPr>
            <w:r>
              <w:rPr>
                <w:rFonts w:hint="eastAsia"/>
                <w:szCs w:val="21"/>
              </w:rPr>
              <w:t>/</w:t>
            </w:r>
          </w:p>
        </w:tc>
        <w:tc>
          <w:tcPr>
            <w:tcW w:w="516" w:type="pct"/>
            <w:tcBorders>
              <w:left w:val="single" w:sz="6" w:space="0" w:color="auto"/>
              <w:right w:val="nil"/>
            </w:tcBorders>
            <w:vAlign w:val="center"/>
          </w:tcPr>
          <w:p w14:paraId="40A0AA41" w14:textId="77777777" w:rsidR="00B14D53" w:rsidRDefault="00000000">
            <w:pPr>
              <w:jc w:val="center"/>
              <w:rPr>
                <w:szCs w:val="21"/>
              </w:rPr>
            </w:pPr>
            <w:r>
              <w:rPr>
                <w:szCs w:val="21"/>
              </w:rPr>
              <w:t>/</w:t>
            </w:r>
          </w:p>
        </w:tc>
      </w:tr>
      <w:tr w:rsidR="00B14D53" w14:paraId="103D252C" w14:textId="77777777">
        <w:trPr>
          <w:jc w:val="center"/>
        </w:trPr>
        <w:tc>
          <w:tcPr>
            <w:tcW w:w="1251" w:type="pct"/>
            <w:gridSpan w:val="2"/>
            <w:tcBorders>
              <w:left w:val="nil"/>
              <w:bottom w:val="single" w:sz="12" w:space="0" w:color="auto"/>
              <w:right w:val="single" w:sz="6" w:space="0" w:color="auto"/>
            </w:tcBorders>
            <w:vAlign w:val="center"/>
          </w:tcPr>
          <w:p w14:paraId="7CDABA87" w14:textId="77777777" w:rsidR="00B14D53" w:rsidRDefault="00000000">
            <w:pPr>
              <w:jc w:val="center"/>
              <w:rPr>
                <w:spacing w:val="-6"/>
                <w:szCs w:val="21"/>
              </w:rPr>
            </w:pPr>
            <w:r>
              <w:rPr>
                <w:rFonts w:hint="eastAsia"/>
                <w:kern w:val="0"/>
                <w:szCs w:val="21"/>
              </w:rPr>
              <w:t>本项目</w:t>
            </w:r>
            <w:r>
              <w:rPr>
                <w:kern w:val="0"/>
                <w:szCs w:val="21"/>
              </w:rPr>
              <w:t>排放标准</w:t>
            </w:r>
          </w:p>
        </w:tc>
        <w:tc>
          <w:tcPr>
            <w:tcW w:w="361" w:type="pct"/>
            <w:tcBorders>
              <w:left w:val="single" w:sz="6" w:space="0" w:color="auto"/>
              <w:bottom w:val="single" w:sz="12" w:space="0" w:color="auto"/>
              <w:right w:val="single" w:sz="6" w:space="0" w:color="auto"/>
            </w:tcBorders>
            <w:vAlign w:val="center"/>
          </w:tcPr>
          <w:p w14:paraId="6E32C201" w14:textId="77777777" w:rsidR="00B14D53" w:rsidRDefault="00000000">
            <w:pPr>
              <w:jc w:val="center"/>
              <w:rPr>
                <w:spacing w:val="-6"/>
                <w:szCs w:val="21"/>
              </w:rPr>
            </w:pPr>
            <w:r>
              <w:rPr>
                <w:szCs w:val="21"/>
              </w:rPr>
              <w:t>6.</w:t>
            </w:r>
            <w:r>
              <w:rPr>
                <w:rFonts w:hint="eastAsia"/>
                <w:szCs w:val="21"/>
              </w:rPr>
              <w:t>0</w:t>
            </w:r>
            <w:r>
              <w:rPr>
                <w:szCs w:val="21"/>
              </w:rPr>
              <w:t>～</w:t>
            </w:r>
            <w:r>
              <w:rPr>
                <w:szCs w:val="21"/>
              </w:rPr>
              <w:t>8.5</w:t>
            </w:r>
          </w:p>
        </w:tc>
        <w:tc>
          <w:tcPr>
            <w:tcW w:w="574" w:type="pct"/>
            <w:tcBorders>
              <w:left w:val="single" w:sz="6" w:space="0" w:color="auto"/>
              <w:bottom w:val="single" w:sz="12" w:space="0" w:color="auto"/>
              <w:right w:val="single" w:sz="6" w:space="0" w:color="auto"/>
            </w:tcBorders>
            <w:vAlign w:val="center"/>
          </w:tcPr>
          <w:p w14:paraId="2C498F09" w14:textId="77777777" w:rsidR="00B14D53" w:rsidRDefault="00000000">
            <w:pPr>
              <w:jc w:val="center"/>
              <w:rPr>
                <w:spacing w:val="-6"/>
                <w:szCs w:val="21"/>
              </w:rPr>
            </w:pPr>
            <w:r>
              <w:rPr>
                <w:rFonts w:hint="eastAsia"/>
                <w:spacing w:val="-6"/>
                <w:szCs w:val="21"/>
              </w:rPr>
              <w:t>350</w:t>
            </w:r>
          </w:p>
        </w:tc>
        <w:tc>
          <w:tcPr>
            <w:tcW w:w="574" w:type="pct"/>
            <w:tcBorders>
              <w:left w:val="single" w:sz="6" w:space="0" w:color="auto"/>
              <w:bottom w:val="single" w:sz="12" w:space="0" w:color="auto"/>
              <w:right w:val="single" w:sz="6" w:space="0" w:color="auto"/>
            </w:tcBorders>
            <w:vAlign w:val="center"/>
          </w:tcPr>
          <w:p w14:paraId="1D010AB0" w14:textId="77777777" w:rsidR="00B14D53" w:rsidRDefault="00000000">
            <w:pPr>
              <w:jc w:val="center"/>
              <w:rPr>
                <w:szCs w:val="21"/>
              </w:rPr>
            </w:pPr>
            <w:r>
              <w:rPr>
                <w:rFonts w:hint="eastAsia"/>
                <w:szCs w:val="21"/>
              </w:rPr>
              <w:t>200</w:t>
            </w:r>
          </w:p>
        </w:tc>
        <w:tc>
          <w:tcPr>
            <w:tcW w:w="574" w:type="pct"/>
            <w:tcBorders>
              <w:left w:val="single" w:sz="6" w:space="0" w:color="auto"/>
              <w:bottom w:val="single" w:sz="12" w:space="0" w:color="auto"/>
              <w:right w:val="single" w:sz="6" w:space="0" w:color="auto"/>
            </w:tcBorders>
            <w:vAlign w:val="center"/>
          </w:tcPr>
          <w:p w14:paraId="4C03C12D" w14:textId="77777777" w:rsidR="00B14D53" w:rsidRDefault="00000000">
            <w:pPr>
              <w:jc w:val="center"/>
              <w:rPr>
                <w:szCs w:val="21"/>
              </w:rPr>
            </w:pPr>
            <w:r>
              <w:rPr>
                <w:rFonts w:hint="eastAsia"/>
                <w:szCs w:val="21"/>
              </w:rPr>
              <w:t>300</w:t>
            </w:r>
          </w:p>
        </w:tc>
        <w:tc>
          <w:tcPr>
            <w:tcW w:w="574" w:type="pct"/>
            <w:tcBorders>
              <w:left w:val="single" w:sz="6" w:space="0" w:color="auto"/>
              <w:bottom w:val="single" w:sz="12" w:space="0" w:color="auto"/>
              <w:right w:val="single" w:sz="6" w:space="0" w:color="auto"/>
            </w:tcBorders>
            <w:vAlign w:val="center"/>
          </w:tcPr>
          <w:p w14:paraId="4716C0E0" w14:textId="77777777" w:rsidR="00B14D53" w:rsidRDefault="00000000">
            <w:pPr>
              <w:jc w:val="center"/>
              <w:rPr>
                <w:szCs w:val="21"/>
              </w:rPr>
            </w:pPr>
            <w:r>
              <w:rPr>
                <w:rFonts w:hint="eastAsia"/>
                <w:szCs w:val="21"/>
              </w:rPr>
              <w:t>25</w:t>
            </w:r>
          </w:p>
        </w:tc>
        <w:tc>
          <w:tcPr>
            <w:tcW w:w="574" w:type="pct"/>
            <w:tcBorders>
              <w:left w:val="single" w:sz="6" w:space="0" w:color="auto"/>
              <w:bottom w:val="single" w:sz="12" w:space="0" w:color="auto"/>
              <w:right w:val="single" w:sz="6" w:space="0" w:color="auto"/>
            </w:tcBorders>
            <w:vAlign w:val="center"/>
          </w:tcPr>
          <w:p w14:paraId="4EF22FEF" w14:textId="77777777" w:rsidR="00B14D53" w:rsidRDefault="00000000">
            <w:pPr>
              <w:jc w:val="center"/>
              <w:rPr>
                <w:szCs w:val="21"/>
              </w:rPr>
            </w:pPr>
            <w:r>
              <w:rPr>
                <w:szCs w:val="21"/>
              </w:rPr>
              <w:t>60</w:t>
            </w:r>
          </w:p>
        </w:tc>
        <w:tc>
          <w:tcPr>
            <w:tcW w:w="516" w:type="pct"/>
            <w:tcBorders>
              <w:left w:val="single" w:sz="6" w:space="0" w:color="auto"/>
              <w:bottom w:val="single" w:sz="12" w:space="0" w:color="auto"/>
              <w:right w:val="nil"/>
            </w:tcBorders>
            <w:vAlign w:val="center"/>
          </w:tcPr>
          <w:p w14:paraId="3C25C681" w14:textId="77777777" w:rsidR="00B14D53" w:rsidRDefault="00000000">
            <w:pPr>
              <w:jc w:val="center"/>
              <w:rPr>
                <w:kern w:val="0"/>
                <w:szCs w:val="21"/>
              </w:rPr>
            </w:pPr>
            <w:r>
              <w:rPr>
                <w:kern w:val="0"/>
                <w:szCs w:val="21"/>
              </w:rPr>
              <w:t>/</w:t>
            </w:r>
          </w:p>
        </w:tc>
      </w:tr>
    </w:tbl>
    <w:p w14:paraId="14C7C874" w14:textId="77777777" w:rsidR="00B14D53" w:rsidRDefault="00000000">
      <w:pPr>
        <w:pStyle w:val="NormalWeb1"/>
        <w:spacing w:line="360" w:lineRule="auto"/>
        <w:ind w:firstLineChars="200" w:firstLine="480"/>
        <w:jc w:val="both"/>
        <w:rPr>
          <w:rFonts w:ascii="Times New Roman"/>
          <w:kern w:val="21"/>
          <w:szCs w:val="24"/>
        </w:rPr>
      </w:pPr>
      <w:r>
        <w:rPr>
          <w:rFonts w:ascii="Times New Roman"/>
          <w:kern w:val="21"/>
          <w:szCs w:val="24"/>
        </w:rPr>
        <w:t>由上述可知，项目产生的废水经管道</w:t>
      </w:r>
      <w:r>
        <w:rPr>
          <w:rFonts w:ascii="Times New Roman" w:hint="eastAsia"/>
          <w:kern w:val="21"/>
          <w:szCs w:val="24"/>
        </w:rPr>
        <w:t>排</w:t>
      </w:r>
      <w:r>
        <w:rPr>
          <w:rFonts w:ascii="Times New Roman"/>
          <w:kern w:val="21"/>
          <w:szCs w:val="24"/>
        </w:rPr>
        <w:t>入厂内污水处理站，污水处理站采用</w:t>
      </w:r>
      <w:r>
        <w:rPr>
          <w:rFonts w:eastAsiaTheme="minorEastAsia" w:hint="eastAsia"/>
        </w:rPr>
        <w:t>“</w:t>
      </w:r>
      <w:r>
        <w:rPr>
          <w:rFonts w:ascii="Times New Roman" w:eastAsiaTheme="minorEastAsia"/>
        </w:rPr>
        <w:t>格栅</w:t>
      </w:r>
      <w:r>
        <w:rPr>
          <w:rFonts w:ascii="Times New Roman" w:eastAsiaTheme="minorEastAsia"/>
        </w:rPr>
        <w:t>+</w:t>
      </w:r>
      <w:r>
        <w:rPr>
          <w:rFonts w:ascii="Times New Roman" w:eastAsiaTheme="minorEastAsia"/>
        </w:rPr>
        <w:t>调节沉淀池</w:t>
      </w:r>
      <w:r>
        <w:rPr>
          <w:rFonts w:ascii="Times New Roman" w:eastAsiaTheme="minorEastAsia"/>
        </w:rPr>
        <w:t>+</w:t>
      </w:r>
      <w:r>
        <w:rPr>
          <w:rFonts w:ascii="Times New Roman" w:eastAsiaTheme="minorEastAsia"/>
        </w:rPr>
        <w:t>气浮机</w:t>
      </w:r>
      <w:r>
        <w:rPr>
          <w:rFonts w:ascii="Times New Roman" w:eastAsiaTheme="minorEastAsia"/>
        </w:rPr>
        <w:t>+</w:t>
      </w:r>
      <w:r>
        <w:rPr>
          <w:rFonts w:ascii="Times New Roman" w:eastAsiaTheme="minorEastAsia"/>
        </w:rPr>
        <w:t>水解酸化池</w:t>
      </w:r>
      <w:r>
        <w:rPr>
          <w:rFonts w:ascii="Times New Roman" w:eastAsiaTheme="minorEastAsia"/>
        </w:rPr>
        <w:t>+</w:t>
      </w:r>
      <w:r>
        <w:rPr>
          <w:rFonts w:ascii="Times New Roman" w:eastAsiaTheme="minorEastAsia"/>
        </w:rPr>
        <w:t>接触氧化池</w:t>
      </w:r>
      <w:r>
        <w:rPr>
          <w:rFonts w:ascii="Times New Roman" w:eastAsiaTheme="minorEastAsia"/>
        </w:rPr>
        <w:t>+</w:t>
      </w:r>
      <w:r>
        <w:rPr>
          <w:rFonts w:ascii="Times New Roman" w:eastAsiaTheme="minorEastAsia"/>
        </w:rPr>
        <w:t>二沉池</w:t>
      </w:r>
      <w:r>
        <w:rPr>
          <w:rFonts w:ascii="Times New Roman" w:eastAsiaTheme="minorEastAsia"/>
        </w:rPr>
        <w:t>+</w:t>
      </w:r>
      <w:r>
        <w:rPr>
          <w:rFonts w:ascii="Times New Roman" w:eastAsiaTheme="minorEastAsia"/>
        </w:rPr>
        <w:t>污泥浓缩池</w:t>
      </w:r>
      <w:r>
        <w:rPr>
          <w:rFonts w:ascii="Times New Roman" w:eastAsiaTheme="minorEastAsia"/>
        </w:rPr>
        <w:t>+</w:t>
      </w:r>
      <w:r>
        <w:rPr>
          <w:rFonts w:ascii="Times New Roman" w:eastAsiaTheme="minorEastAsia"/>
        </w:rPr>
        <w:t>次氯酸钠消毒工艺</w:t>
      </w:r>
      <w:r>
        <w:rPr>
          <w:rFonts w:eastAsiaTheme="minorEastAsia" w:hint="eastAsia"/>
        </w:rPr>
        <w:t>”</w:t>
      </w:r>
      <w:r>
        <w:rPr>
          <w:rFonts w:ascii="Times New Roman"/>
          <w:kern w:val="21"/>
          <w:szCs w:val="24"/>
        </w:rPr>
        <w:t>处理后，处理后的废水满足《肉类加工工业水污染物排放标准》</w:t>
      </w:r>
      <w:r>
        <w:rPr>
          <w:rFonts w:ascii="Times New Roman"/>
        </w:rPr>
        <w:t>（</w:t>
      </w:r>
      <w:r>
        <w:rPr>
          <w:rFonts w:ascii="Times New Roman"/>
        </w:rPr>
        <w:t>GB13457-92</w:t>
      </w:r>
      <w:r>
        <w:rPr>
          <w:rFonts w:ascii="Times New Roman"/>
        </w:rPr>
        <w:t>）表</w:t>
      </w:r>
      <w:r>
        <w:rPr>
          <w:rFonts w:ascii="Times New Roman"/>
        </w:rPr>
        <w:t>3</w:t>
      </w:r>
      <w:r>
        <w:rPr>
          <w:rFonts w:ascii="Times New Roman"/>
          <w:kern w:val="21"/>
          <w:szCs w:val="24"/>
        </w:rPr>
        <w:t>中畜类屠宰加工及肉制品加工三级标准及</w:t>
      </w:r>
      <w:r>
        <w:rPr>
          <w:rFonts w:ascii="Times New Roman" w:hint="eastAsia"/>
          <w:kern w:val="21"/>
          <w:szCs w:val="24"/>
        </w:rPr>
        <w:t>五常市民泉污水处理有限公司（五常市山河屯林业局污水处理厂）</w:t>
      </w:r>
      <w:r>
        <w:rPr>
          <w:rFonts w:ascii="Times New Roman"/>
          <w:kern w:val="21"/>
          <w:szCs w:val="24"/>
        </w:rPr>
        <w:t>设计进水水质指标的要求后排入</w:t>
      </w:r>
      <w:r>
        <w:rPr>
          <w:rFonts w:ascii="Times New Roman" w:hint="eastAsia"/>
          <w:kern w:val="21"/>
          <w:szCs w:val="24"/>
        </w:rPr>
        <w:t>五常市民泉污水处理有限公司（五常市山河屯林业局污水处理厂）</w:t>
      </w:r>
      <w:r>
        <w:rPr>
          <w:rFonts w:ascii="Times New Roman"/>
          <w:kern w:val="21"/>
          <w:szCs w:val="24"/>
        </w:rPr>
        <w:t>处理，</w:t>
      </w:r>
      <w:r>
        <w:rPr>
          <w:rFonts w:ascii="Times New Roman" w:hint="eastAsia"/>
          <w:kern w:val="21"/>
          <w:szCs w:val="24"/>
        </w:rPr>
        <w:t>排入泥河</w:t>
      </w:r>
      <w:r>
        <w:rPr>
          <w:rFonts w:ascii="Times New Roman"/>
          <w:kern w:val="21"/>
          <w:szCs w:val="24"/>
        </w:rPr>
        <w:t>。</w:t>
      </w:r>
    </w:p>
    <w:p w14:paraId="4F61B7D9" w14:textId="77777777" w:rsidR="00B14D53" w:rsidRDefault="00000000">
      <w:pPr>
        <w:spacing w:line="360" w:lineRule="auto"/>
        <w:ind w:firstLineChars="200" w:firstLine="480"/>
        <w:rPr>
          <w:sz w:val="24"/>
        </w:rPr>
      </w:pPr>
      <w:r>
        <w:rPr>
          <w:sz w:val="24"/>
        </w:rPr>
        <w:t>综上所述，该项目废水治理措施可行。</w:t>
      </w:r>
    </w:p>
    <w:p w14:paraId="72D6D207" w14:textId="57791EF0"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hyperlink r:id="rId75" w:history="1">
        <w:r>
          <w:rPr>
            <w:rFonts w:ascii="Times New Roman" w:eastAsia="黑体" w:hAnsi="Times New Roman" w:cs="Times New Roman"/>
            <w:b w:val="0"/>
            <w:sz w:val="24"/>
            <w:szCs w:val="24"/>
          </w:rPr>
          <w:t>6.2.</w:t>
        </w:r>
        <w:r>
          <w:rPr>
            <w:rFonts w:ascii="Times New Roman" w:eastAsia="黑体" w:hAnsi="Times New Roman" w:cs="Times New Roman" w:hint="eastAsia"/>
            <w:b w:val="0"/>
            <w:sz w:val="24"/>
            <w:szCs w:val="24"/>
          </w:rPr>
          <w:t>2</w:t>
        </w:r>
        <w:r>
          <w:rPr>
            <w:rFonts w:ascii="Times New Roman" w:eastAsia="黑体" w:hAnsi="Times New Roman" w:cs="Times New Roman"/>
            <w:b w:val="0"/>
            <w:sz w:val="24"/>
            <w:szCs w:val="24"/>
          </w:rPr>
          <w:t>.4</w:t>
        </w:r>
      </w:hyperlink>
      <w:r>
        <w:rPr>
          <w:rFonts w:ascii="Times New Roman" w:eastAsia="黑体" w:hAnsi="Times New Roman" w:cs="Times New Roman"/>
          <w:b w:val="0"/>
          <w:sz w:val="24"/>
          <w:szCs w:val="24"/>
        </w:rPr>
        <w:t>项目废水排入</w:t>
      </w:r>
      <w:r>
        <w:rPr>
          <w:rFonts w:ascii="Times New Roman" w:eastAsia="黑体" w:hAnsi="Times New Roman" w:cs="Times New Roman" w:hint="eastAsia"/>
          <w:b w:val="0"/>
          <w:sz w:val="24"/>
          <w:szCs w:val="24"/>
        </w:rPr>
        <w:t>五常市山河屯林业局污水处理厂</w:t>
      </w:r>
      <w:r>
        <w:rPr>
          <w:rFonts w:ascii="Times New Roman" w:eastAsia="黑体" w:hAnsi="Times New Roman" w:cs="Times New Roman"/>
          <w:b w:val="0"/>
          <w:sz w:val="24"/>
          <w:szCs w:val="24"/>
        </w:rPr>
        <w:t>可行性分析</w:t>
      </w:r>
    </w:p>
    <w:p w14:paraId="36443A59" w14:textId="77777777" w:rsidR="00B14D53" w:rsidRDefault="00000000">
      <w:pPr>
        <w:pStyle w:val="NormalWeb1"/>
        <w:spacing w:line="360" w:lineRule="auto"/>
        <w:ind w:firstLineChars="200" w:firstLine="480"/>
        <w:jc w:val="both"/>
        <w:rPr>
          <w:rFonts w:ascii="Times New Roman"/>
          <w:kern w:val="21"/>
          <w:szCs w:val="24"/>
        </w:rPr>
      </w:pPr>
      <w:r>
        <w:rPr>
          <w:rFonts w:ascii="Times New Roman"/>
          <w:kern w:val="21"/>
          <w:szCs w:val="24"/>
        </w:rPr>
        <w:t>设计处理规模</w:t>
      </w:r>
      <w:r>
        <w:rPr>
          <w:rFonts w:ascii="Times New Roman"/>
          <w:kern w:val="21"/>
          <w:szCs w:val="24"/>
        </w:rPr>
        <w:t>1</w:t>
      </w:r>
      <w:r>
        <w:rPr>
          <w:rFonts w:ascii="Times New Roman"/>
          <w:kern w:val="21"/>
          <w:szCs w:val="24"/>
        </w:rPr>
        <w:t>万</w:t>
      </w:r>
      <w:r>
        <w:rPr>
          <w:rFonts w:ascii="Times New Roman"/>
          <w:kern w:val="21"/>
          <w:szCs w:val="24"/>
        </w:rPr>
        <w:t>m</w:t>
      </w:r>
      <w:r>
        <w:rPr>
          <w:rFonts w:ascii="Times New Roman"/>
          <w:kern w:val="21"/>
          <w:szCs w:val="24"/>
          <w:vertAlign w:val="superscript"/>
        </w:rPr>
        <w:t>3</w:t>
      </w:r>
      <w:r>
        <w:rPr>
          <w:rFonts w:ascii="Times New Roman"/>
          <w:kern w:val="21"/>
          <w:szCs w:val="24"/>
        </w:rPr>
        <w:t>/d</w:t>
      </w:r>
      <w:r>
        <w:rPr>
          <w:rFonts w:ascii="Times New Roman"/>
          <w:kern w:val="21"/>
          <w:szCs w:val="24"/>
        </w:rPr>
        <w:t>，污水处理工艺采用</w:t>
      </w:r>
      <w:r>
        <w:rPr>
          <w:rFonts w:ascii="Times New Roman"/>
          <w:kern w:val="24"/>
          <w:szCs w:val="24"/>
        </w:rPr>
        <w:t>采用</w:t>
      </w:r>
      <w:r>
        <w:rPr>
          <w:rFonts w:ascii="Times New Roman"/>
          <w:kern w:val="24"/>
          <w:szCs w:val="24"/>
        </w:rPr>
        <w:t>“</w:t>
      </w:r>
      <w:r>
        <w:rPr>
          <w:rFonts w:ascii="Times New Roman"/>
          <w:kern w:val="24"/>
          <w:szCs w:val="24"/>
        </w:rPr>
        <w:t>格栅</w:t>
      </w:r>
      <w:r>
        <w:rPr>
          <w:rFonts w:ascii="Times New Roman"/>
          <w:kern w:val="24"/>
          <w:szCs w:val="24"/>
        </w:rPr>
        <w:t>+EBIS</w:t>
      </w:r>
      <w:r>
        <w:rPr>
          <w:rFonts w:ascii="Times New Roman"/>
          <w:kern w:val="24"/>
          <w:szCs w:val="24"/>
        </w:rPr>
        <w:t>生化池</w:t>
      </w:r>
      <w:r>
        <w:rPr>
          <w:rFonts w:ascii="Times New Roman"/>
          <w:kern w:val="24"/>
          <w:szCs w:val="24"/>
        </w:rPr>
        <w:t>+</w:t>
      </w:r>
      <w:r>
        <w:rPr>
          <w:rFonts w:ascii="Times New Roman"/>
          <w:kern w:val="24"/>
          <w:szCs w:val="24"/>
        </w:rPr>
        <w:t>沉淀过滤</w:t>
      </w:r>
      <w:r>
        <w:rPr>
          <w:rFonts w:ascii="Times New Roman"/>
          <w:kern w:val="24"/>
          <w:szCs w:val="24"/>
        </w:rPr>
        <w:t>+</w:t>
      </w:r>
      <w:r>
        <w:rPr>
          <w:rFonts w:ascii="Times New Roman"/>
          <w:kern w:val="24"/>
          <w:szCs w:val="24"/>
        </w:rPr>
        <w:t>消毒</w:t>
      </w:r>
      <w:r>
        <w:rPr>
          <w:rFonts w:ascii="Times New Roman"/>
          <w:kern w:val="24"/>
          <w:szCs w:val="24"/>
        </w:rPr>
        <w:t>”</w:t>
      </w:r>
      <w:r>
        <w:rPr>
          <w:rFonts w:ascii="Times New Roman"/>
          <w:kern w:val="24"/>
          <w:szCs w:val="24"/>
        </w:rPr>
        <w:t>工艺</w:t>
      </w:r>
      <w:r>
        <w:rPr>
          <w:rFonts w:ascii="Times New Roman"/>
          <w:kern w:val="21"/>
          <w:szCs w:val="24"/>
        </w:rPr>
        <w:t>，</w:t>
      </w:r>
      <w:r>
        <w:rPr>
          <w:rFonts w:ascii="Times New Roman"/>
          <w:szCs w:val="24"/>
        </w:rPr>
        <w:t>设计进水指标</w:t>
      </w:r>
      <w:r>
        <w:rPr>
          <w:rFonts w:ascii="Times New Roman"/>
          <w:szCs w:val="24"/>
        </w:rPr>
        <w:t>COD</w:t>
      </w:r>
      <w:r>
        <w:rPr>
          <w:rFonts w:ascii="Times New Roman"/>
          <w:szCs w:val="24"/>
        </w:rPr>
        <w:t>浓度为</w:t>
      </w:r>
      <w:r>
        <w:rPr>
          <w:rFonts w:ascii="Times New Roman"/>
          <w:szCs w:val="24"/>
        </w:rPr>
        <w:t>350mg/L</w:t>
      </w:r>
      <w:r>
        <w:rPr>
          <w:rFonts w:ascii="Times New Roman"/>
          <w:szCs w:val="24"/>
        </w:rPr>
        <w:t>，</w:t>
      </w:r>
      <w:r>
        <w:rPr>
          <w:rFonts w:ascii="Times New Roman"/>
          <w:szCs w:val="24"/>
        </w:rPr>
        <w:t>BOD</w:t>
      </w:r>
      <w:r>
        <w:rPr>
          <w:rFonts w:ascii="Times New Roman"/>
          <w:szCs w:val="24"/>
          <w:vertAlign w:val="subscript"/>
        </w:rPr>
        <w:t>5</w:t>
      </w:r>
      <w:r>
        <w:rPr>
          <w:rFonts w:ascii="Times New Roman"/>
          <w:szCs w:val="24"/>
        </w:rPr>
        <w:t>浓度为</w:t>
      </w:r>
      <w:r>
        <w:rPr>
          <w:rFonts w:ascii="Times New Roman"/>
          <w:szCs w:val="24"/>
        </w:rPr>
        <w:t>200mg/L</w:t>
      </w:r>
      <w:r>
        <w:rPr>
          <w:rFonts w:ascii="Times New Roman"/>
          <w:szCs w:val="24"/>
        </w:rPr>
        <w:t>，</w:t>
      </w:r>
      <w:r>
        <w:rPr>
          <w:rFonts w:ascii="Times New Roman"/>
          <w:szCs w:val="24"/>
        </w:rPr>
        <w:t>NH</w:t>
      </w:r>
      <w:r>
        <w:rPr>
          <w:rFonts w:ascii="Times New Roman"/>
          <w:szCs w:val="24"/>
          <w:vertAlign w:val="subscript"/>
        </w:rPr>
        <w:t>3</w:t>
      </w:r>
      <w:r>
        <w:rPr>
          <w:rFonts w:ascii="Times New Roman"/>
          <w:szCs w:val="24"/>
        </w:rPr>
        <w:t>浓度为</w:t>
      </w:r>
      <w:r>
        <w:rPr>
          <w:rFonts w:ascii="Times New Roman"/>
          <w:szCs w:val="24"/>
        </w:rPr>
        <w:t>25mg/L</w:t>
      </w:r>
      <w:r>
        <w:rPr>
          <w:rFonts w:ascii="Times New Roman"/>
          <w:szCs w:val="24"/>
        </w:rPr>
        <w:t>，总氮浓度为</w:t>
      </w:r>
      <w:r>
        <w:rPr>
          <w:rFonts w:ascii="Times New Roman"/>
          <w:szCs w:val="24"/>
        </w:rPr>
        <w:t>40mg/L</w:t>
      </w:r>
      <w:r>
        <w:rPr>
          <w:rFonts w:ascii="Times New Roman"/>
          <w:szCs w:val="24"/>
        </w:rPr>
        <w:t>，总磷浓度为</w:t>
      </w:r>
      <w:r>
        <w:rPr>
          <w:rFonts w:ascii="Times New Roman"/>
          <w:szCs w:val="24"/>
        </w:rPr>
        <w:t>4mg/L</w:t>
      </w:r>
      <w:r>
        <w:rPr>
          <w:rFonts w:ascii="Times New Roman"/>
          <w:szCs w:val="24"/>
        </w:rPr>
        <w:t>，</w:t>
      </w:r>
      <w:r>
        <w:rPr>
          <w:rFonts w:ascii="Times New Roman"/>
          <w:szCs w:val="24"/>
        </w:rPr>
        <w:t>SS</w:t>
      </w:r>
      <w:r>
        <w:rPr>
          <w:rFonts w:ascii="Times New Roman"/>
          <w:szCs w:val="24"/>
        </w:rPr>
        <w:t>浓度为</w:t>
      </w:r>
      <w:r>
        <w:rPr>
          <w:rFonts w:ascii="Times New Roman"/>
          <w:szCs w:val="24"/>
        </w:rPr>
        <w:t>300mg/L</w:t>
      </w:r>
      <w:r>
        <w:rPr>
          <w:rFonts w:ascii="Times New Roman"/>
          <w:szCs w:val="24"/>
        </w:rPr>
        <w:t>。</w:t>
      </w:r>
      <w:r>
        <w:rPr>
          <w:rFonts w:ascii="Times New Roman"/>
          <w:kern w:val="21"/>
          <w:szCs w:val="24"/>
        </w:rPr>
        <w:t>污水排放标准执行《城镇污水处理厂污染物排放标准》（</w:t>
      </w:r>
      <w:r>
        <w:rPr>
          <w:rFonts w:ascii="Times New Roman"/>
          <w:kern w:val="21"/>
          <w:szCs w:val="24"/>
        </w:rPr>
        <w:t>GB18918-2002</w:t>
      </w:r>
      <w:r>
        <w:rPr>
          <w:rFonts w:ascii="Times New Roman"/>
          <w:kern w:val="21"/>
          <w:szCs w:val="24"/>
        </w:rPr>
        <w:t>）中一级</w:t>
      </w:r>
      <w:r>
        <w:rPr>
          <w:rFonts w:ascii="Times New Roman"/>
          <w:kern w:val="21"/>
          <w:szCs w:val="24"/>
        </w:rPr>
        <w:t>A</w:t>
      </w:r>
      <w:r>
        <w:rPr>
          <w:rFonts w:ascii="Times New Roman"/>
          <w:kern w:val="21"/>
          <w:szCs w:val="24"/>
        </w:rPr>
        <w:t>排放标准后排入拉林河。本项目全厂水量为</w:t>
      </w:r>
      <w:r>
        <w:rPr>
          <w:rFonts w:ascii="Times New Roman"/>
          <w:kern w:val="21"/>
          <w:szCs w:val="24"/>
        </w:rPr>
        <w:t>234.08m</w:t>
      </w:r>
      <w:r>
        <w:rPr>
          <w:rFonts w:ascii="Times New Roman"/>
          <w:kern w:val="21"/>
          <w:szCs w:val="24"/>
          <w:vertAlign w:val="superscript"/>
        </w:rPr>
        <w:t>3</w:t>
      </w:r>
      <w:r>
        <w:rPr>
          <w:rFonts w:ascii="Times New Roman"/>
          <w:kern w:val="21"/>
          <w:szCs w:val="24"/>
        </w:rPr>
        <w:t>/d</w:t>
      </w:r>
      <w:r>
        <w:rPr>
          <w:rFonts w:ascii="Times New Roman"/>
          <w:kern w:val="21"/>
          <w:szCs w:val="24"/>
        </w:rPr>
        <w:t>，污水厂现有余量约</w:t>
      </w:r>
      <w:r>
        <w:rPr>
          <w:rFonts w:ascii="Times New Roman"/>
          <w:kern w:val="21"/>
          <w:szCs w:val="24"/>
        </w:rPr>
        <w:t>500m</w:t>
      </w:r>
      <w:r>
        <w:rPr>
          <w:rFonts w:ascii="Times New Roman"/>
          <w:kern w:val="21"/>
          <w:szCs w:val="24"/>
          <w:vertAlign w:val="superscript"/>
        </w:rPr>
        <w:t>3</w:t>
      </w:r>
      <w:r>
        <w:rPr>
          <w:rFonts w:ascii="Times New Roman"/>
          <w:kern w:val="21"/>
          <w:szCs w:val="24"/>
        </w:rPr>
        <w:t>/d</w:t>
      </w:r>
      <w:r>
        <w:rPr>
          <w:rFonts w:ascii="Times New Roman"/>
          <w:kern w:val="21"/>
          <w:szCs w:val="24"/>
        </w:rPr>
        <w:t>，有能力接纳本项目废水，能够满足本项目废水排放要求。</w:t>
      </w:r>
    </w:p>
    <w:p w14:paraId="727F4012"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6.2.</w:t>
      </w:r>
      <w:r>
        <w:rPr>
          <w:rFonts w:ascii="Times New Roman" w:eastAsia="黑体" w:hAnsi="Times New Roman" w:cs="Times New Roman" w:hint="eastAsia"/>
          <w:b w:val="0"/>
          <w:sz w:val="24"/>
          <w:szCs w:val="24"/>
        </w:rPr>
        <w:t>2</w:t>
      </w:r>
      <w:r>
        <w:rPr>
          <w:rFonts w:ascii="Times New Roman" w:eastAsia="黑体" w:hAnsi="Times New Roman" w:cs="Times New Roman"/>
          <w:b w:val="0"/>
          <w:sz w:val="24"/>
          <w:szCs w:val="24"/>
        </w:rPr>
        <w:t>.5</w:t>
      </w:r>
      <w:r>
        <w:rPr>
          <w:rFonts w:ascii="Times New Roman" w:eastAsia="黑体" w:hAnsi="Times New Roman" w:cs="Times New Roman"/>
          <w:b w:val="0"/>
          <w:sz w:val="24"/>
          <w:szCs w:val="24"/>
        </w:rPr>
        <w:t>废水事故池</w:t>
      </w:r>
    </w:p>
    <w:p w14:paraId="16C9E748" w14:textId="77777777" w:rsidR="00B14D53" w:rsidRDefault="00000000">
      <w:pPr>
        <w:spacing w:line="360" w:lineRule="auto"/>
        <w:ind w:firstLineChars="200" w:firstLine="480"/>
        <w:rPr>
          <w:sz w:val="24"/>
        </w:rPr>
      </w:pPr>
      <w:r>
        <w:rPr>
          <w:sz w:val="24"/>
        </w:rPr>
        <w:t>为了在检修等非正常情况下有效避免事故排水对纳污水体的影响，要求建设一个容积至少为</w:t>
      </w:r>
      <w:r>
        <w:rPr>
          <w:rFonts w:hint="eastAsia"/>
          <w:sz w:val="24"/>
        </w:rPr>
        <w:t>85</w:t>
      </w:r>
      <w:r>
        <w:rPr>
          <w:sz w:val="24"/>
        </w:rPr>
        <w:t>m</w:t>
      </w:r>
      <w:r>
        <w:rPr>
          <w:sz w:val="24"/>
          <w:vertAlign w:val="superscript"/>
        </w:rPr>
        <w:t>3</w:t>
      </w:r>
      <w:r>
        <w:rPr>
          <w:sz w:val="24"/>
        </w:rPr>
        <w:t>的事故贮水池，事故贮水池做防渗处理，在污水处理系统检修或出现故障时</w:t>
      </w:r>
      <w:r>
        <w:rPr>
          <w:rFonts w:hint="eastAsia"/>
          <w:sz w:val="24"/>
        </w:rPr>
        <w:t>立即停止作业，</w:t>
      </w:r>
      <w:r>
        <w:rPr>
          <w:sz w:val="24"/>
        </w:rPr>
        <w:t>废水</w:t>
      </w:r>
      <w:r>
        <w:rPr>
          <w:rFonts w:hint="eastAsia"/>
          <w:sz w:val="24"/>
        </w:rPr>
        <w:t>暂存事故池中</w:t>
      </w:r>
      <w:r>
        <w:rPr>
          <w:sz w:val="24"/>
        </w:rPr>
        <w:t>，检修正常后将事故池存水引入污水处理系统处理达到要求后排放。</w:t>
      </w:r>
      <w:r>
        <w:rPr>
          <w:rFonts w:hint="eastAsia"/>
          <w:sz w:val="24"/>
        </w:rPr>
        <w:t>污水处理站设有</w:t>
      </w:r>
      <w:r>
        <w:rPr>
          <w:rFonts w:hint="eastAsia"/>
          <w:sz w:val="24"/>
        </w:rPr>
        <w:t>140m</w:t>
      </w:r>
      <w:r>
        <w:rPr>
          <w:rFonts w:hint="eastAsia"/>
          <w:sz w:val="24"/>
          <w:vertAlign w:val="superscript"/>
        </w:rPr>
        <w:t>3</w:t>
      </w:r>
      <w:r>
        <w:rPr>
          <w:rFonts w:hint="eastAsia"/>
          <w:sz w:val="24"/>
        </w:rPr>
        <w:t>调节沉淀池及</w:t>
      </w:r>
      <w:r>
        <w:rPr>
          <w:rFonts w:hint="eastAsia"/>
          <w:sz w:val="24"/>
        </w:rPr>
        <w:t>40m</w:t>
      </w:r>
      <w:r>
        <w:rPr>
          <w:rFonts w:hint="eastAsia"/>
          <w:sz w:val="24"/>
          <w:vertAlign w:val="superscript"/>
        </w:rPr>
        <w:t>3</w:t>
      </w:r>
      <w:r>
        <w:rPr>
          <w:rFonts w:hint="eastAsia"/>
          <w:sz w:val="24"/>
        </w:rPr>
        <w:t>二沉池，事故状态下可用于存储废水，因此</w:t>
      </w:r>
      <w:r>
        <w:rPr>
          <w:rFonts w:hint="eastAsia"/>
          <w:sz w:val="24"/>
        </w:rPr>
        <w:t>85m</w:t>
      </w:r>
      <w:r>
        <w:rPr>
          <w:rFonts w:hint="eastAsia"/>
          <w:sz w:val="24"/>
          <w:vertAlign w:val="superscript"/>
        </w:rPr>
        <w:t>3</w:t>
      </w:r>
      <w:r>
        <w:rPr>
          <w:rFonts w:hint="eastAsia"/>
          <w:sz w:val="24"/>
        </w:rPr>
        <w:t>事故池可满足需求。</w:t>
      </w:r>
    </w:p>
    <w:p w14:paraId="5ABA68A1"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6.2.2.</w:t>
      </w:r>
      <w:r>
        <w:rPr>
          <w:rFonts w:ascii="Times New Roman" w:eastAsia="黑体" w:hAnsi="Times New Roman" w:cs="Times New Roman" w:hint="eastAsia"/>
          <w:b w:val="0"/>
          <w:sz w:val="24"/>
          <w:szCs w:val="24"/>
        </w:rPr>
        <w:t>6</w:t>
      </w:r>
      <w:r>
        <w:rPr>
          <w:rFonts w:ascii="Times New Roman" w:eastAsia="黑体" w:hAnsi="Times New Roman" w:cs="Times New Roman"/>
          <w:b w:val="0"/>
          <w:sz w:val="24"/>
          <w:szCs w:val="24"/>
        </w:rPr>
        <w:t>地下水污染分</w:t>
      </w:r>
      <w:r>
        <w:rPr>
          <w:rFonts w:ascii="Times New Roman" w:eastAsia="黑体" w:hAnsi="Times New Roman" w:cs="Times New Roman" w:hint="eastAsia"/>
          <w:b w:val="0"/>
          <w:sz w:val="24"/>
          <w:szCs w:val="24"/>
        </w:rPr>
        <w:t>污染</w:t>
      </w:r>
      <w:r>
        <w:rPr>
          <w:rFonts w:ascii="Times New Roman" w:eastAsia="黑体" w:hAnsi="Times New Roman" w:cs="Times New Roman"/>
          <w:b w:val="0"/>
          <w:sz w:val="24"/>
          <w:szCs w:val="24"/>
        </w:rPr>
        <w:t>防治措施</w:t>
      </w:r>
    </w:p>
    <w:p w14:paraId="3C4CE086" w14:textId="77777777" w:rsidR="00B14D53" w:rsidRDefault="00000000">
      <w:pPr>
        <w:pStyle w:val="afff"/>
        <w:adjustRightInd/>
        <w:snapToGrid/>
        <w:contextualSpacing/>
        <w:jc w:val="both"/>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）防控措施</w:t>
      </w:r>
    </w:p>
    <w:p w14:paraId="6C4E4E11"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为了进一步保护地下水资源，本工程对</w:t>
      </w:r>
      <w:r>
        <w:rPr>
          <w:rFonts w:eastAsiaTheme="minorEastAsia" w:hAnsiTheme="minorEastAsia" w:hint="eastAsia"/>
          <w:sz w:val="24"/>
        </w:rPr>
        <w:t>危废贮存点</w:t>
      </w:r>
      <w:r>
        <w:rPr>
          <w:rFonts w:eastAsiaTheme="minorEastAsia" w:hAnsiTheme="minorEastAsia"/>
          <w:sz w:val="24"/>
        </w:rPr>
        <w:t>、</w:t>
      </w:r>
      <w:r>
        <w:rPr>
          <w:rFonts w:eastAsiaTheme="minorEastAsia" w:hAnsiTheme="minorEastAsia" w:hint="eastAsia"/>
          <w:sz w:val="24"/>
        </w:rPr>
        <w:t>屠宰车间、待宰圈、污水处理站</w:t>
      </w:r>
      <w:r>
        <w:rPr>
          <w:rFonts w:eastAsiaTheme="minorEastAsia" w:hAnsiTheme="minorEastAsia"/>
          <w:sz w:val="24"/>
        </w:rPr>
        <w:t>等</w:t>
      </w:r>
      <w:r>
        <w:rPr>
          <w:rFonts w:eastAsiaTheme="minorEastAsia" w:hAnsiTheme="minorEastAsia"/>
          <w:sz w:val="24"/>
          <w:lang w:val="en-GB"/>
        </w:rPr>
        <w:t>采取分区防渗措施</w:t>
      </w:r>
      <w:r>
        <w:rPr>
          <w:rFonts w:eastAsiaTheme="minorEastAsia" w:hAnsiTheme="minorEastAsia"/>
          <w:sz w:val="24"/>
        </w:rPr>
        <w:t>：</w:t>
      </w:r>
    </w:p>
    <w:p w14:paraId="1315D6C4" w14:textId="77777777" w:rsidR="00B14D53" w:rsidRDefault="00000000">
      <w:pPr>
        <w:jc w:val="center"/>
        <w:rPr>
          <w:b/>
          <w:bCs/>
        </w:rPr>
      </w:pPr>
      <w:r>
        <w:rPr>
          <w:rFonts w:hint="eastAsia"/>
          <w:b/>
          <w:bCs/>
        </w:rPr>
        <w:t>表</w:t>
      </w:r>
      <w:r>
        <w:rPr>
          <w:rFonts w:hint="eastAsia"/>
          <w:b/>
          <w:bCs/>
        </w:rPr>
        <w:t xml:space="preserve">6-2-3 </w:t>
      </w:r>
      <w:r>
        <w:rPr>
          <w:rFonts w:hint="eastAsia"/>
          <w:b/>
          <w:bCs/>
        </w:rPr>
        <w:t>污染控制难易程度分级参照表</w:t>
      </w:r>
    </w:p>
    <w:tbl>
      <w:tblPr>
        <w:tblStyle w:val="aff8"/>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125"/>
        <w:gridCol w:w="6181"/>
      </w:tblGrid>
      <w:tr w:rsidR="00B14D53" w14:paraId="7134E010" w14:textId="77777777">
        <w:tc>
          <w:tcPr>
            <w:tcW w:w="1279" w:type="pct"/>
            <w:vAlign w:val="center"/>
          </w:tcPr>
          <w:p w14:paraId="47DCE8F5" w14:textId="77777777" w:rsidR="00B14D53" w:rsidRDefault="00000000">
            <w:pPr>
              <w:jc w:val="center"/>
              <w:rPr>
                <w:rFonts w:eastAsiaTheme="minorEastAsia"/>
                <w:b/>
                <w:bCs/>
                <w:kern w:val="0"/>
                <w:szCs w:val="21"/>
              </w:rPr>
            </w:pPr>
            <w:r>
              <w:rPr>
                <w:rFonts w:eastAsiaTheme="minorEastAsia" w:hAnsiTheme="minorEastAsia"/>
                <w:b/>
                <w:bCs/>
                <w:kern w:val="0"/>
                <w:szCs w:val="21"/>
              </w:rPr>
              <w:t>污染控制难易程度</w:t>
            </w:r>
          </w:p>
        </w:tc>
        <w:tc>
          <w:tcPr>
            <w:tcW w:w="3721" w:type="pct"/>
            <w:vAlign w:val="center"/>
          </w:tcPr>
          <w:p w14:paraId="00E1CAFC" w14:textId="77777777" w:rsidR="00B14D53" w:rsidRDefault="00000000">
            <w:pPr>
              <w:ind w:firstLine="373"/>
              <w:jc w:val="center"/>
              <w:rPr>
                <w:rFonts w:eastAsiaTheme="minorEastAsia"/>
                <w:b/>
                <w:bCs/>
                <w:kern w:val="0"/>
                <w:szCs w:val="21"/>
              </w:rPr>
            </w:pPr>
            <w:r>
              <w:rPr>
                <w:rFonts w:eastAsiaTheme="minorEastAsia" w:hAnsiTheme="minorEastAsia"/>
                <w:b/>
                <w:bCs/>
                <w:kern w:val="0"/>
                <w:szCs w:val="21"/>
              </w:rPr>
              <w:t>主要特征</w:t>
            </w:r>
          </w:p>
        </w:tc>
      </w:tr>
      <w:tr w:rsidR="00B14D53" w14:paraId="357447DD" w14:textId="77777777">
        <w:trPr>
          <w:trHeight w:val="112"/>
        </w:trPr>
        <w:tc>
          <w:tcPr>
            <w:tcW w:w="1279" w:type="pct"/>
            <w:vAlign w:val="center"/>
          </w:tcPr>
          <w:p w14:paraId="1484C0B3" w14:textId="77777777" w:rsidR="00B14D53" w:rsidRDefault="00000000">
            <w:pPr>
              <w:jc w:val="center"/>
              <w:rPr>
                <w:rFonts w:eastAsiaTheme="minorEastAsia"/>
                <w:kern w:val="0"/>
                <w:szCs w:val="21"/>
              </w:rPr>
            </w:pPr>
            <w:r>
              <w:rPr>
                <w:rFonts w:eastAsiaTheme="minorEastAsia" w:hAnsiTheme="minorEastAsia"/>
                <w:kern w:val="0"/>
                <w:szCs w:val="21"/>
              </w:rPr>
              <w:t>难</w:t>
            </w:r>
          </w:p>
        </w:tc>
        <w:tc>
          <w:tcPr>
            <w:tcW w:w="3721" w:type="pct"/>
            <w:vAlign w:val="center"/>
          </w:tcPr>
          <w:p w14:paraId="43E14DD9" w14:textId="77777777" w:rsidR="00B14D53" w:rsidRDefault="00000000">
            <w:pPr>
              <w:jc w:val="center"/>
              <w:rPr>
                <w:rFonts w:eastAsiaTheme="minorEastAsia"/>
                <w:kern w:val="0"/>
                <w:szCs w:val="21"/>
              </w:rPr>
            </w:pPr>
            <w:r>
              <w:rPr>
                <w:rFonts w:eastAsiaTheme="minorEastAsia" w:hAnsiTheme="minorEastAsia"/>
                <w:kern w:val="0"/>
                <w:szCs w:val="21"/>
              </w:rPr>
              <w:t>对地下水环境有污染的物料或污染物泄漏后，不能及时发现和处理</w:t>
            </w:r>
          </w:p>
        </w:tc>
      </w:tr>
      <w:tr w:rsidR="00B14D53" w14:paraId="60CF372D" w14:textId="77777777">
        <w:tc>
          <w:tcPr>
            <w:tcW w:w="1279" w:type="pct"/>
            <w:vAlign w:val="center"/>
          </w:tcPr>
          <w:p w14:paraId="48F5AE72" w14:textId="77777777" w:rsidR="00B14D53" w:rsidRDefault="00000000">
            <w:pPr>
              <w:jc w:val="center"/>
              <w:rPr>
                <w:rFonts w:eastAsiaTheme="minorEastAsia"/>
                <w:kern w:val="0"/>
                <w:szCs w:val="21"/>
              </w:rPr>
            </w:pPr>
            <w:r>
              <w:rPr>
                <w:rFonts w:eastAsiaTheme="minorEastAsia" w:hAnsiTheme="minorEastAsia"/>
                <w:kern w:val="0"/>
                <w:szCs w:val="21"/>
              </w:rPr>
              <w:t>易</w:t>
            </w:r>
          </w:p>
        </w:tc>
        <w:tc>
          <w:tcPr>
            <w:tcW w:w="3721" w:type="pct"/>
            <w:vAlign w:val="center"/>
          </w:tcPr>
          <w:p w14:paraId="143217FE" w14:textId="77777777" w:rsidR="00B14D53" w:rsidRDefault="00000000">
            <w:pPr>
              <w:jc w:val="center"/>
              <w:rPr>
                <w:rFonts w:eastAsiaTheme="minorEastAsia"/>
                <w:kern w:val="0"/>
                <w:szCs w:val="21"/>
              </w:rPr>
            </w:pPr>
            <w:r>
              <w:rPr>
                <w:rFonts w:eastAsiaTheme="minorEastAsia" w:hAnsiTheme="minorEastAsia"/>
                <w:kern w:val="0"/>
                <w:szCs w:val="21"/>
              </w:rPr>
              <w:t>对地下水环境有污染的物料或污染物泄漏后，可及时发现和处理</w:t>
            </w:r>
          </w:p>
        </w:tc>
      </w:tr>
    </w:tbl>
    <w:p w14:paraId="08849344" w14:textId="77777777" w:rsidR="00B14D53" w:rsidRDefault="00B14D53">
      <w:pPr>
        <w:spacing w:line="360" w:lineRule="auto"/>
        <w:ind w:firstLineChars="200" w:firstLine="482"/>
        <w:contextualSpacing/>
        <w:jc w:val="center"/>
        <w:rPr>
          <w:rFonts w:eastAsiaTheme="minorEastAsia" w:hAnsiTheme="minorEastAsia" w:hint="eastAsia"/>
          <w:b/>
          <w:sz w:val="24"/>
        </w:rPr>
      </w:pPr>
    </w:p>
    <w:p w14:paraId="611249FA" w14:textId="77777777" w:rsidR="00B14D53" w:rsidRDefault="00000000">
      <w:pPr>
        <w:jc w:val="center"/>
        <w:rPr>
          <w:b/>
          <w:bCs/>
        </w:rPr>
      </w:pPr>
      <w:r>
        <w:rPr>
          <w:rFonts w:hint="eastAsia"/>
          <w:b/>
          <w:bCs/>
        </w:rPr>
        <w:t>表</w:t>
      </w:r>
      <w:r>
        <w:rPr>
          <w:rFonts w:hint="eastAsia"/>
          <w:b/>
          <w:bCs/>
        </w:rPr>
        <w:t xml:space="preserve">6-2-4 </w:t>
      </w:r>
      <w:r>
        <w:rPr>
          <w:rFonts w:hint="eastAsia"/>
          <w:b/>
          <w:bCs/>
        </w:rPr>
        <w:t>地下水污染防渗分区参照表</w:t>
      </w:r>
    </w:p>
    <w:tbl>
      <w:tblPr>
        <w:tblStyle w:val="a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45"/>
        <w:gridCol w:w="2057"/>
        <w:gridCol w:w="1650"/>
        <w:gridCol w:w="1250"/>
        <w:gridCol w:w="2004"/>
      </w:tblGrid>
      <w:tr w:rsidR="00B14D53" w14:paraId="094E9D24" w14:textId="77777777">
        <w:trPr>
          <w:jc w:val="center"/>
        </w:trPr>
        <w:tc>
          <w:tcPr>
            <w:tcW w:w="1384" w:type="dxa"/>
            <w:vAlign w:val="center"/>
          </w:tcPr>
          <w:p w14:paraId="15ACF774" w14:textId="77777777" w:rsidR="00B14D53" w:rsidRDefault="00000000">
            <w:pPr>
              <w:jc w:val="center"/>
              <w:rPr>
                <w:rFonts w:eastAsiaTheme="minorEastAsia"/>
                <w:b/>
                <w:bCs/>
                <w:kern w:val="0"/>
                <w:szCs w:val="21"/>
              </w:rPr>
            </w:pPr>
            <w:r>
              <w:rPr>
                <w:rFonts w:eastAsiaTheme="minorEastAsia" w:hAnsiTheme="minorEastAsia"/>
                <w:b/>
                <w:bCs/>
                <w:kern w:val="0"/>
                <w:szCs w:val="21"/>
              </w:rPr>
              <w:t>防渗分区</w:t>
            </w:r>
          </w:p>
        </w:tc>
        <w:tc>
          <w:tcPr>
            <w:tcW w:w="2126" w:type="dxa"/>
            <w:vAlign w:val="center"/>
          </w:tcPr>
          <w:p w14:paraId="279DEBBE" w14:textId="77777777" w:rsidR="00B14D53" w:rsidRDefault="00000000">
            <w:pPr>
              <w:jc w:val="center"/>
              <w:rPr>
                <w:rFonts w:eastAsiaTheme="minorEastAsia"/>
                <w:b/>
                <w:bCs/>
                <w:kern w:val="0"/>
                <w:szCs w:val="21"/>
              </w:rPr>
            </w:pPr>
            <w:r>
              <w:rPr>
                <w:rFonts w:eastAsiaTheme="minorEastAsia" w:hAnsiTheme="minorEastAsia"/>
                <w:b/>
                <w:bCs/>
                <w:kern w:val="0"/>
                <w:szCs w:val="21"/>
              </w:rPr>
              <w:t>天然包气带防污性能</w:t>
            </w:r>
          </w:p>
        </w:tc>
        <w:tc>
          <w:tcPr>
            <w:tcW w:w="1701" w:type="dxa"/>
            <w:vAlign w:val="center"/>
          </w:tcPr>
          <w:p w14:paraId="7069A040" w14:textId="77777777" w:rsidR="00B14D53" w:rsidRDefault="00000000">
            <w:pPr>
              <w:jc w:val="center"/>
              <w:rPr>
                <w:rFonts w:eastAsiaTheme="minorEastAsia"/>
                <w:b/>
                <w:bCs/>
                <w:kern w:val="0"/>
                <w:szCs w:val="21"/>
              </w:rPr>
            </w:pPr>
            <w:r>
              <w:rPr>
                <w:rFonts w:eastAsiaTheme="minorEastAsia" w:hAnsiTheme="minorEastAsia"/>
                <w:b/>
                <w:bCs/>
                <w:kern w:val="0"/>
                <w:szCs w:val="21"/>
              </w:rPr>
              <w:t>染控制难易程度</w:t>
            </w:r>
          </w:p>
        </w:tc>
        <w:tc>
          <w:tcPr>
            <w:tcW w:w="1276" w:type="dxa"/>
            <w:vAlign w:val="center"/>
          </w:tcPr>
          <w:p w14:paraId="1F35BB5A" w14:textId="77777777" w:rsidR="00B14D53" w:rsidRDefault="00000000">
            <w:pPr>
              <w:jc w:val="center"/>
              <w:rPr>
                <w:rFonts w:eastAsiaTheme="minorEastAsia"/>
                <w:b/>
                <w:bCs/>
                <w:kern w:val="0"/>
                <w:szCs w:val="21"/>
              </w:rPr>
            </w:pPr>
            <w:r>
              <w:rPr>
                <w:rFonts w:eastAsiaTheme="minorEastAsia" w:hAnsiTheme="minorEastAsia"/>
                <w:b/>
                <w:bCs/>
                <w:kern w:val="0"/>
                <w:szCs w:val="21"/>
              </w:rPr>
              <w:t>污染物类型</w:t>
            </w:r>
          </w:p>
        </w:tc>
        <w:tc>
          <w:tcPr>
            <w:tcW w:w="2035" w:type="dxa"/>
            <w:vAlign w:val="center"/>
          </w:tcPr>
          <w:p w14:paraId="6B612829" w14:textId="77777777" w:rsidR="00B14D53" w:rsidRDefault="00000000">
            <w:pPr>
              <w:jc w:val="center"/>
              <w:rPr>
                <w:rFonts w:eastAsiaTheme="minorEastAsia"/>
                <w:b/>
                <w:bCs/>
                <w:kern w:val="0"/>
                <w:szCs w:val="21"/>
              </w:rPr>
            </w:pPr>
            <w:r>
              <w:rPr>
                <w:rFonts w:eastAsiaTheme="minorEastAsia" w:hAnsiTheme="minorEastAsia"/>
                <w:b/>
                <w:bCs/>
                <w:kern w:val="0"/>
                <w:szCs w:val="21"/>
              </w:rPr>
              <w:t>防渗技术要求</w:t>
            </w:r>
          </w:p>
        </w:tc>
      </w:tr>
      <w:tr w:rsidR="00B14D53" w14:paraId="03ABE4AE" w14:textId="77777777">
        <w:trPr>
          <w:trHeight w:val="429"/>
          <w:jc w:val="center"/>
        </w:trPr>
        <w:tc>
          <w:tcPr>
            <w:tcW w:w="1384" w:type="dxa"/>
            <w:vMerge w:val="restart"/>
            <w:vAlign w:val="center"/>
          </w:tcPr>
          <w:p w14:paraId="27EF2574" w14:textId="77777777" w:rsidR="00B14D53" w:rsidRDefault="00000000">
            <w:pPr>
              <w:jc w:val="center"/>
              <w:rPr>
                <w:rFonts w:eastAsiaTheme="minorEastAsia"/>
                <w:kern w:val="0"/>
                <w:szCs w:val="21"/>
              </w:rPr>
            </w:pPr>
            <w:r>
              <w:rPr>
                <w:rFonts w:eastAsiaTheme="minorEastAsia" w:hAnsiTheme="minorEastAsia"/>
                <w:kern w:val="0"/>
                <w:szCs w:val="21"/>
              </w:rPr>
              <w:t>重点防渗区</w:t>
            </w:r>
          </w:p>
        </w:tc>
        <w:tc>
          <w:tcPr>
            <w:tcW w:w="2126" w:type="dxa"/>
            <w:vAlign w:val="center"/>
          </w:tcPr>
          <w:p w14:paraId="1C7C8F89" w14:textId="77777777" w:rsidR="00B14D53" w:rsidRDefault="00000000">
            <w:pPr>
              <w:jc w:val="center"/>
              <w:rPr>
                <w:rFonts w:eastAsiaTheme="minorEastAsia"/>
                <w:kern w:val="0"/>
                <w:szCs w:val="21"/>
              </w:rPr>
            </w:pPr>
            <w:r>
              <w:rPr>
                <w:rFonts w:eastAsiaTheme="minorEastAsia" w:hAnsiTheme="minorEastAsia"/>
                <w:kern w:val="0"/>
                <w:szCs w:val="21"/>
              </w:rPr>
              <w:t>弱</w:t>
            </w:r>
          </w:p>
        </w:tc>
        <w:tc>
          <w:tcPr>
            <w:tcW w:w="1701" w:type="dxa"/>
            <w:vAlign w:val="center"/>
          </w:tcPr>
          <w:p w14:paraId="719B3DAE" w14:textId="77777777" w:rsidR="00B14D53" w:rsidRDefault="00000000">
            <w:pPr>
              <w:jc w:val="center"/>
              <w:rPr>
                <w:rFonts w:eastAsiaTheme="minorEastAsia"/>
                <w:kern w:val="0"/>
                <w:szCs w:val="21"/>
              </w:rPr>
            </w:pPr>
            <w:r>
              <w:rPr>
                <w:rFonts w:eastAsiaTheme="minorEastAsia" w:hAnsiTheme="minorEastAsia"/>
                <w:kern w:val="0"/>
                <w:szCs w:val="21"/>
              </w:rPr>
              <w:t>难</w:t>
            </w:r>
          </w:p>
        </w:tc>
        <w:tc>
          <w:tcPr>
            <w:tcW w:w="1276" w:type="dxa"/>
            <w:vMerge w:val="restart"/>
            <w:vAlign w:val="center"/>
          </w:tcPr>
          <w:p w14:paraId="6B9A1DEA" w14:textId="77777777" w:rsidR="00B14D53" w:rsidRDefault="00000000">
            <w:pPr>
              <w:jc w:val="center"/>
              <w:rPr>
                <w:rFonts w:eastAsiaTheme="minorEastAsia"/>
                <w:kern w:val="0"/>
                <w:szCs w:val="21"/>
              </w:rPr>
            </w:pPr>
            <w:r>
              <w:rPr>
                <w:rFonts w:eastAsiaTheme="minorEastAsia" w:hAnsiTheme="minorEastAsia"/>
                <w:kern w:val="0"/>
                <w:szCs w:val="21"/>
              </w:rPr>
              <w:t>重金属、持久性有机物污染</w:t>
            </w:r>
          </w:p>
        </w:tc>
        <w:tc>
          <w:tcPr>
            <w:tcW w:w="2035" w:type="dxa"/>
            <w:vMerge w:val="restart"/>
            <w:vAlign w:val="center"/>
          </w:tcPr>
          <w:p w14:paraId="127A94D2" w14:textId="77777777" w:rsidR="00B14D53" w:rsidRDefault="00000000">
            <w:pPr>
              <w:jc w:val="center"/>
              <w:rPr>
                <w:rFonts w:eastAsiaTheme="minorEastAsia"/>
                <w:kern w:val="0"/>
                <w:szCs w:val="21"/>
              </w:rPr>
            </w:pPr>
            <w:r>
              <w:rPr>
                <w:rFonts w:eastAsiaTheme="minorEastAsia" w:hAnsiTheme="minorEastAsia"/>
                <w:kern w:val="0"/>
                <w:szCs w:val="21"/>
              </w:rPr>
              <w:t>等效黏土防渗层</w:t>
            </w:r>
            <w:r>
              <w:rPr>
                <w:rFonts w:eastAsiaTheme="minorEastAsia"/>
                <w:kern w:val="0"/>
                <w:szCs w:val="21"/>
              </w:rPr>
              <w:t>Mb≥6.0m</w:t>
            </w:r>
            <w:r>
              <w:rPr>
                <w:rFonts w:eastAsiaTheme="minorEastAsia" w:hAnsiTheme="minorEastAsia"/>
                <w:kern w:val="0"/>
                <w:szCs w:val="21"/>
              </w:rPr>
              <w:t>，</w:t>
            </w:r>
            <w:r>
              <w:rPr>
                <w:rFonts w:eastAsiaTheme="minorEastAsia"/>
                <w:kern w:val="0"/>
                <w:szCs w:val="21"/>
              </w:rPr>
              <w:t>K≤1×10</w:t>
            </w:r>
            <w:r>
              <w:rPr>
                <w:rFonts w:eastAsiaTheme="minorEastAsia"/>
                <w:kern w:val="0"/>
                <w:szCs w:val="21"/>
                <w:vertAlign w:val="superscript"/>
              </w:rPr>
              <w:t>-7</w:t>
            </w:r>
            <w:r>
              <w:rPr>
                <w:rFonts w:eastAsiaTheme="minorEastAsia"/>
                <w:kern w:val="0"/>
                <w:szCs w:val="21"/>
              </w:rPr>
              <w:t>cm/s</w:t>
            </w:r>
            <w:r>
              <w:rPr>
                <w:rFonts w:eastAsiaTheme="minorEastAsia" w:hAnsiTheme="minorEastAsia"/>
                <w:kern w:val="0"/>
                <w:szCs w:val="21"/>
              </w:rPr>
              <w:t>；或参照</w:t>
            </w:r>
            <w:r>
              <w:rPr>
                <w:rFonts w:eastAsiaTheme="minorEastAsia"/>
                <w:kern w:val="0"/>
                <w:szCs w:val="21"/>
              </w:rPr>
              <w:t>GB18598</w:t>
            </w:r>
            <w:r>
              <w:rPr>
                <w:rFonts w:eastAsiaTheme="minorEastAsia" w:hAnsiTheme="minorEastAsia"/>
                <w:kern w:val="0"/>
                <w:szCs w:val="21"/>
              </w:rPr>
              <w:t>执行</w:t>
            </w:r>
          </w:p>
        </w:tc>
      </w:tr>
      <w:tr w:rsidR="00B14D53" w14:paraId="568DEBBA" w14:textId="77777777">
        <w:trPr>
          <w:trHeight w:val="407"/>
          <w:jc w:val="center"/>
        </w:trPr>
        <w:tc>
          <w:tcPr>
            <w:tcW w:w="1384" w:type="dxa"/>
            <w:vMerge/>
            <w:vAlign w:val="center"/>
          </w:tcPr>
          <w:p w14:paraId="74709703" w14:textId="77777777" w:rsidR="00B14D53" w:rsidRDefault="00B14D53">
            <w:pPr>
              <w:ind w:firstLine="373"/>
              <w:jc w:val="center"/>
              <w:rPr>
                <w:rFonts w:eastAsiaTheme="minorEastAsia"/>
                <w:kern w:val="0"/>
                <w:szCs w:val="21"/>
              </w:rPr>
            </w:pPr>
          </w:p>
        </w:tc>
        <w:tc>
          <w:tcPr>
            <w:tcW w:w="2126" w:type="dxa"/>
            <w:vAlign w:val="center"/>
          </w:tcPr>
          <w:p w14:paraId="1E5E49F3" w14:textId="77777777" w:rsidR="00B14D53" w:rsidRDefault="00000000">
            <w:pPr>
              <w:jc w:val="center"/>
              <w:rPr>
                <w:rFonts w:eastAsiaTheme="minorEastAsia"/>
                <w:kern w:val="0"/>
                <w:szCs w:val="21"/>
              </w:rPr>
            </w:pPr>
            <w:r>
              <w:rPr>
                <w:rFonts w:eastAsiaTheme="minorEastAsia" w:hAnsiTheme="minorEastAsia"/>
                <w:kern w:val="0"/>
                <w:szCs w:val="21"/>
              </w:rPr>
              <w:t>中</w:t>
            </w:r>
            <w:r>
              <w:rPr>
                <w:rFonts w:eastAsiaTheme="minorEastAsia"/>
                <w:kern w:val="0"/>
                <w:szCs w:val="21"/>
              </w:rPr>
              <w:t>—</w:t>
            </w:r>
            <w:r>
              <w:rPr>
                <w:rFonts w:eastAsiaTheme="minorEastAsia" w:hAnsiTheme="minorEastAsia"/>
                <w:kern w:val="0"/>
                <w:szCs w:val="21"/>
              </w:rPr>
              <w:t>强</w:t>
            </w:r>
          </w:p>
        </w:tc>
        <w:tc>
          <w:tcPr>
            <w:tcW w:w="1701" w:type="dxa"/>
            <w:vAlign w:val="center"/>
          </w:tcPr>
          <w:p w14:paraId="2247AC7F" w14:textId="77777777" w:rsidR="00B14D53" w:rsidRDefault="00000000">
            <w:pPr>
              <w:jc w:val="center"/>
              <w:rPr>
                <w:rFonts w:eastAsiaTheme="minorEastAsia"/>
                <w:kern w:val="0"/>
                <w:szCs w:val="21"/>
              </w:rPr>
            </w:pPr>
            <w:r>
              <w:rPr>
                <w:rFonts w:eastAsiaTheme="minorEastAsia" w:hAnsiTheme="minorEastAsia"/>
                <w:kern w:val="0"/>
                <w:szCs w:val="21"/>
              </w:rPr>
              <w:t>难</w:t>
            </w:r>
          </w:p>
        </w:tc>
        <w:tc>
          <w:tcPr>
            <w:tcW w:w="1276" w:type="dxa"/>
            <w:vMerge/>
            <w:vAlign w:val="center"/>
          </w:tcPr>
          <w:p w14:paraId="32B146F9" w14:textId="77777777" w:rsidR="00B14D53" w:rsidRDefault="00B14D53">
            <w:pPr>
              <w:ind w:firstLine="373"/>
              <w:jc w:val="center"/>
              <w:rPr>
                <w:rFonts w:eastAsiaTheme="minorEastAsia"/>
                <w:kern w:val="0"/>
                <w:szCs w:val="21"/>
              </w:rPr>
            </w:pPr>
          </w:p>
        </w:tc>
        <w:tc>
          <w:tcPr>
            <w:tcW w:w="2035" w:type="dxa"/>
            <w:vMerge/>
            <w:vAlign w:val="center"/>
          </w:tcPr>
          <w:p w14:paraId="55FC9932" w14:textId="77777777" w:rsidR="00B14D53" w:rsidRDefault="00B14D53">
            <w:pPr>
              <w:ind w:firstLine="373"/>
              <w:jc w:val="center"/>
              <w:rPr>
                <w:rFonts w:eastAsiaTheme="minorEastAsia"/>
                <w:kern w:val="0"/>
                <w:szCs w:val="21"/>
              </w:rPr>
            </w:pPr>
          </w:p>
        </w:tc>
      </w:tr>
      <w:tr w:rsidR="00B14D53" w14:paraId="31643AB8" w14:textId="77777777">
        <w:trPr>
          <w:trHeight w:val="271"/>
          <w:jc w:val="center"/>
        </w:trPr>
        <w:tc>
          <w:tcPr>
            <w:tcW w:w="1384" w:type="dxa"/>
            <w:vMerge/>
            <w:vAlign w:val="center"/>
          </w:tcPr>
          <w:p w14:paraId="1D99333C" w14:textId="77777777" w:rsidR="00B14D53" w:rsidRDefault="00B14D53">
            <w:pPr>
              <w:ind w:firstLine="373"/>
              <w:jc w:val="center"/>
              <w:rPr>
                <w:rFonts w:eastAsiaTheme="minorEastAsia"/>
                <w:kern w:val="0"/>
                <w:szCs w:val="21"/>
              </w:rPr>
            </w:pPr>
          </w:p>
        </w:tc>
        <w:tc>
          <w:tcPr>
            <w:tcW w:w="2126" w:type="dxa"/>
            <w:vAlign w:val="center"/>
          </w:tcPr>
          <w:p w14:paraId="194F5785" w14:textId="77777777" w:rsidR="00B14D53" w:rsidRDefault="00000000">
            <w:pPr>
              <w:jc w:val="center"/>
              <w:rPr>
                <w:rFonts w:eastAsiaTheme="minorEastAsia"/>
                <w:kern w:val="0"/>
                <w:szCs w:val="21"/>
              </w:rPr>
            </w:pPr>
            <w:r>
              <w:rPr>
                <w:rFonts w:eastAsiaTheme="minorEastAsia" w:hAnsiTheme="minorEastAsia"/>
                <w:kern w:val="0"/>
                <w:szCs w:val="21"/>
              </w:rPr>
              <w:t>弱</w:t>
            </w:r>
          </w:p>
        </w:tc>
        <w:tc>
          <w:tcPr>
            <w:tcW w:w="1701" w:type="dxa"/>
            <w:vAlign w:val="center"/>
          </w:tcPr>
          <w:p w14:paraId="13DD512D" w14:textId="77777777" w:rsidR="00B14D53" w:rsidRDefault="00000000">
            <w:pPr>
              <w:jc w:val="center"/>
              <w:rPr>
                <w:rFonts w:eastAsiaTheme="minorEastAsia"/>
                <w:kern w:val="0"/>
                <w:szCs w:val="21"/>
              </w:rPr>
            </w:pPr>
            <w:r>
              <w:rPr>
                <w:rFonts w:eastAsiaTheme="minorEastAsia" w:hAnsiTheme="minorEastAsia"/>
                <w:kern w:val="0"/>
                <w:szCs w:val="21"/>
              </w:rPr>
              <w:t>易</w:t>
            </w:r>
          </w:p>
        </w:tc>
        <w:tc>
          <w:tcPr>
            <w:tcW w:w="1276" w:type="dxa"/>
            <w:vMerge/>
            <w:vAlign w:val="center"/>
          </w:tcPr>
          <w:p w14:paraId="2C7FE63E" w14:textId="77777777" w:rsidR="00B14D53" w:rsidRDefault="00B14D53">
            <w:pPr>
              <w:ind w:firstLine="373"/>
              <w:jc w:val="center"/>
              <w:rPr>
                <w:rFonts w:eastAsiaTheme="minorEastAsia"/>
                <w:kern w:val="0"/>
                <w:szCs w:val="21"/>
              </w:rPr>
            </w:pPr>
          </w:p>
        </w:tc>
        <w:tc>
          <w:tcPr>
            <w:tcW w:w="2035" w:type="dxa"/>
            <w:vMerge/>
            <w:vAlign w:val="center"/>
          </w:tcPr>
          <w:p w14:paraId="41B0A985" w14:textId="77777777" w:rsidR="00B14D53" w:rsidRDefault="00B14D53">
            <w:pPr>
              <w:ind w:firstLine="373"/>
              <w:jc w:val="center"/>
              <w:rPr>
                <w:rFonts w:eastAsiaTheme="minorEastAsia"/>
                <w:kern w:val="0"/>
                <w:szCs w:val="21"/>
              </w:rPr>
            </w:pPr>
          </w:p>
        </w:tc>
      </w:tr>
      <w:tr w:rsidR="00B14D53" w14:paraId="455E2D41" w14:textId="77777777">
        <w:trPr>
          <w:trHeight w:val="205"/>
          <w:jc w:val="center"/>
        </w:trPr>
        <w:tc>
          <w:tcPr>
            <w:tcW w:w="1384" w:type="dxa"/>
            <w:vMerge w:val="restart"/>
            <w:vAlign w:val="center"/>
          </w:tcPr>
          <w:p w14:paraId="6D2D71CB" w14:textId="77777777" w:rsidR="00B14D53" w:rsidRDefault="00000000">
            <w:pPr>
              <w:jc w:val="center"/>
              <w:rPr>
                <w:rFonts w:eastAsiaTheme="minorEastAsia"/>
                <w:kern w:val="0"/>
                <w:szCs w:val="21"/>
              </w:rPr>
            </w:pPr>
            <w:r>
              <w:rPr>
                <w:rFonts w:eastAsiaTheme="minorEastAsia" w:hAnsiTheme="minorEastAsia"/>
                <w:kern w:val="0"/>
                <w:szCs w:val="21"/>
              </w:rPr>
              <w:t>一般防渗区</w:t>
            </w:r>
          </w:p>
        </w:tc>
        <w:tc>
          <w:tcPr>
            <w:tcW w:w="2126" w:type="dxa"/>
            <w:vAlign w:val="center"/>
          </w:tcPr>
          <w:p w14:paraId="0373677F" w14:textId="77777777" w:rsidR="00B14D53" w:rsidRDefault="00000000">
            <w:pPr>
              <w:jc w:val="center"/>
              <w:rPr>
                <w:rFonts w:eastAsiaTheme="minorEastAsia"/>
                <w:kern w:val="0"/>
                <w:szCs w:val="21"/>
              </w:rPr>
            </w:pPr>
            <w:r>
              <w:rPr>
                <w:rFonts w:eastAsiaTheme="minorEastAsia" w:hAnsiTheme="minorEastAsia"/>
                <w:kern w:val="0"/>
                <w:szCs w:val="21"/>
              </w:rPr>
              <w:t>弱</w:t>
            </w:r>
          </w:p>
        </w:tc>
        <w:tc>
          <w:tcPr>
            <w:tcW w:w="1701" w:type="dxa"/>
            <w:vAlign w:val="center"/>
          </w:tcPr>
          <w:p w14:paraId="7D56123B" w14:textId="77777777" w:rsidR="00B14D53" w:rsidRDefault="00000000">
            <w:pPr>
              <w:jc w:val="center"/>
              <w:rPr>
                <w:rFonts w:eastAsiaTheme="minorEastAsia"/>
                <w:kern w:val="0"/>
                <w:szCs w:val="21"/>
              </w:rPr>
            </w:pPr>
            <w:r>
              <w:rPr>
                <w:rFonts w:eastAsiaTheme="minorEastAsia" w:hAnsiTheme="minorEastAsia"/>
                <w:kern w:val="0"/>
                <w:szCs w:val="21"/>
              </w:rPr>
              <w:t>易</w:t>
            </w:r>
            <w:r>
              <w:rPr>
                <w:rFonts w:eastAsiaTheme="minorEastAsia"/>
                <w:kern w:val="0"/>
                <w:szCs w:val="21"/>
              </w:rPr>
              <w:t>—</w:t>
            </w:r>
            <w:r>
              <w:rPr>
                <w:rFonts w:eastAsiaTheme="minorEastAsia" w:hAnsiTheme="minorEastAsia"/>
                <w:kern w:val="0"/>
                <w:szCs w:val="21"/>
              </w:rPr>
              <w:t>难</w:t>
            </w:r>
          </w:p>
        </w:tc>
        <w:tc>
          <w:tcPr>
            <w:tcW w:w="1276" w:type="dxa"/>
            <w:vMerge w:val="restart"/>
            <w:vAlign w:val="center"/>
          </w:tcPr>
          <w:p w14:paraId="6A0649E2" w14:textId="77777777" w:rsidR="00B14D53" w:rsidRDefault="00000000">
            <w:pPr>
              <w:jc w:val="center"/>
              <w:rPr>
                <w:rFonts w:eastAsiaTheme="minorEastAsia"/>
                <w:kern w:val="0"/>
                <w:szCs w:val="21"/>
              </w:rPr>
            </w:pPr>
            <w:r>
              <w:rPr>
                <w:rFonts w:eastAsiaTheme="minorEastAsia" w:hAnsiTheme="minorEastAsia"/>
                <w:kern w:val="0"/>
                <w:szCs w:val="21"/>
              </w:rPr>
              <w:t>其他类型</w:t>
            </w:r>
          </w:p>
        </w:tc>
        <w:tc>
          <w:tcPr>
            <w:tcW w:w="2035" w:type="dxa"/>
            <w:vMerge w:val="restart"/>
            <w:vAlign w:val="center"/>
          </w:tcPr>
          <w:p w14:paraId="0E4D4509" w14:textId="77777777" w:rsidR="00B14D53" w:rsidRDefault="00000000">
            <w:pPr>
              <w:jc w:val="center"/>
              <w:rPr>
                <w:rFonts w:eastAsiaTheme="minorEastAsia"/>
                <w:kern w:val="0"/>
                <w:szCs w:val="21"/>
              </w:rPr>
            </w:pPr>
            <w:r>
              <w:rPr>
                <w:rFonts w:eastAsiaTheme="minorEastAsia" w:hAnsiTheme="minorEastAsia"/>
                <w:kern w:val="0"/>
                <w:szCs w:val="21"/>
              </w:rPr>
              <w:t>等效黏土防渗层</w:t>
            </w:r>
            <w:r>
              <w:rPr>
                <w:rFonts w:eastAsiaTheme="minorEastAsia"/>
                <w:kern w:val="0"/>
                <w:szCs w:val="21"/>
              </w:rPr>
              <w:t>Mb≥1.5m</w:t>
            </w:r>
            <w:r>
              <w:rPr>
                <w:rFonts w:eastAsiaTheme="minorEastAsia" w:hAnsiTheme="minorEastAsia"/>
                <w:kern w:val="0"/>
                <w:szCs w:val="21"/>
              </w:rPr>
              <w:t>，</w:t>
            </w:r>
            <w:r>
              <w:rPr>
                <w:rFonts w:eastAsiaTheme="minorEastAsia"/>
                <w:kern w:val="0"/>
                <w:szCs w:val="21"/>
              </w:rPr>
              <w:t>K≤1×10</w:t>
            </w:r>
            <w:r>
              <w:rPr>
                <w:rFonts w:eastAsiaTheme="minorEastAsia"/>
                <w:kern w:val="0"/>
                <w:szCs w:val="21"/>
                <w:vertAlign w:val="superscript"/>
              </w:rPr>
              <w:t>-7</w:t>
            </w:r>
            <w:r>
              <w:rPr>
                <w:rFonts w:eastAsiaTheme="minorEastAsia"/>
                <w:kern w:val="0"/>
                <w:szCs w:val="21"/>
              </w:rPr>
              <w:t>cm/s</w:t>
            </w:r>
            <w:r>
              <w:rPr>
                <w:rFonts w:eastAsiaTheme="minorEastAsia" w:hAnsiTheme="minorEastAsia"/>
                <w:kern w:val="0"/>
                <w:szCs w:val="21"/>
              </w:rPr>
              <w:t>；或参照</w:t>
            </w:r>
            <w:r>
              <w:rPr>
                <w:rFonts w:eastAsiaTheme="minorEastAsia"/>
                <w:kern w:val="0"/>
                <w:szCs w:val="21"/>
              </w:rPr>
              <w:t>GB16889</w:t>
            </w:r>
            <w:r>
              <w:rPr>
                <w:rFonts w:eastAsiaTheme="minorEastAsia" w:hAnsiTheme="minorEastAsia"/>
                <w:kern w:val="0"/>
                <w:szCs w:val="21"/>
              </w:rPr>
              <w:t>执行</w:t>
            </w:r>
          </w:p>
        </w:tc>
      </w:tr>
      <w:tr w:rsidR="00B14D53" w14:paraId="18317FF3" w14:textId="77777777">
        <w:trPr>
          <w:trHeight w:val="183"/>
          <w:jc w:val="center"/>
        </w:trPr>
        <w:tc>
          <w:tcPr>
            <w:tcW w:w="1384" w:type="dxa"/>
            <w:vMerge/>
            <w:vAlign w:val="center"/>
          </w:tcPr>
          <w:p w14:paraId="48FAFF4A" w14:textId="77777777" w:rsidR="00B14D53" w:rsidRDefault="00B14D53">
            <w:pPr>
              <w:ind w:firstLine="373"/>
              <w:jc w:val="center"/>
              <w:rPr>
                <w:rFonts w:eastAsiaTheme="minorEastAsia"/>
                <w:kern w:val="0"/>
                <w:szCs w:val="21"/>
              </w:rPr>
            </w:pPr>
          </w:p>
        </w:tc>
        <w:tc>
          <w:tcPr>
            <w:tcW w:w="2126" w:type="dxa"/>
            <w:vAlign w:val="center"/>
          </w:tcPr>
          <w:p w14:paraId="60208A34" w14:textId="77777777" w:rsidR="00B14D53" w:rsidRDefault="00000000">
            <w:pPr>
              <w:jc w:val="center"/>
              <w:rPr>
                <w:rFonts w:eastAsiaTheme="minorEastAsia"/>
                <w:kern w:val="0"/>
                <w:szCs w:val="21"/>
              </w:rPr>
            </w:pPr>
            <w:r>
              <w:rPr>
                <w:rFonts w:eastAsiaTheme="minorEastAsia" w:hAnsiTheme="minorEastAsia"/>
                <w:kern w:val="0"/>
                <w:szCs w:val="21"/>
              </w:rPr>
              <w:t>中</w:t>
            </w:r>
            <w:r>
              <w:rPr>
                <w:rFonts w:eastAsiaTheme="minorEastAsia"/>
                <w:kern w:val="0"/>
                <w:szCs w:val="21"/>
              </w:rPr>
              <w:t>—</w:t>
            </w:r>
            <w:r>
              <w:rPr>
                <w:rFonts w:eastAsiaTheme="minorEastAsia" w:hAnsiTheme="minorEastAsia"/>
                <w:kern w:val="0"/>
                <w:szCs w:val="21"/>
              </w:rPr>
              <w:t>强</w:t>
            </w:r>
          </w:p>
        </w:tc>
        <w:tc>
          <w:tcPr>
            <w:tcW w:w="1701" w:type="dxa"/>
            <w:vAlign w:val="center"/>
          </w:tcPr>
          <w:p w14:paraId="5B62E24D" w14:textId="77777777" w:rsidR="00B14D53" w:rsidRDefault="00000000">
            <w:pPr>
              <w:jc w:val="center"/>
              <w:rPr>
                <w:rFonts w:eastAsiaTheme="minorEastAsia"/>
                <w:kern w:val="0"/>
                <w:szCs w:val="21"/>
              </w:rPr>
            </w:pPr>
            <w:r>
              <w:rPr>
                <w:rFonts w:eastAsiaTheme="minorEastAsia" w:hAnsiTheme="minorEastAsia"/>
                <w:kern w:val="0"/>
                <w:szCs w:val="21"/>
              </w:rPr>
              <w:t>难</w:t>
            </w:r>
          </w:p>
        </w:tc>
        <w:tc>
          <w:tcPr>
            <w:tcW w:w="1276" w:type="dxa"/>
            <w:vMerge/>
            <w:vAlign w:val="center"/>
          </w:tcPr>
          <w:p w14:paraId="7B909603" w14:textId="77777777" w:rsidR="00B14D53" w:rsidRDefault="00B14D53">
            <w:pPr>
              <w:ind w:firstLine="373"/>
              <w:jc w:val="center"/>
              <w:rPr>
                <w:rFonts w:eastAsiaTheme="minorEastAsia"/>
                <w:kern w:val="0"/>
                <w:szCs w:val="21"/>
              </w:rPr>
            </w:pPr>
          </w:p>
        </w:tc>
        <w:tc>
          <w:tcPr>
            <w:tcW w:w="2035" w:type="dxa"/>
            <w:vMerge/>
            <w:vAlign w:val="center"/>
          </w:tcPr>
          <w:p w14:paraId="74D7DC76" w14:textId="77777777" w:rsidR="00B14D53" w:rsidRDefault="00B14D53">
            <w:pPr>
              <w:ind w:firstLine="373"/>
              <w:jc w:val="center"/>
              <w:rPr>
                <w:rFonts w:eastAsiaTheme="minorEastAsia"/>
                <w:kern w:val="0"/>
                <w:szCs w:val="21"/>
              </w:rPr>
            </w:pPr>
          </w:p>
        </w:tc>
      </w:tr>
      <w:tr w:rsidR="00B14D53" w14:paraId="7C1817BC" w14:textId="77777777">
        <w:trPr>
          <w:trHeight w:val="428"/>
          <w:jc w:val="center"/>
        </w:trPr>
        <w:tc>
          <w:tcPr>
            <w:tcW w:w="1384" w:type="dxa"/>
            <w:vMerge/>
            <w:vAlign w:val="center"/>
          </w:tcPr>
          <w:p w14:paraId="3E06421A" w14:textId="77777777" w:rsidR="00B14D53" w:rsidRDefault="00B14D53">
            <w:pPr>
              <w:ind w:firstLine="373"/>
              <w:jc w:val="center"/>
              <w:rPr>
                <w:rFonts w:eastAsiaTheme="minorEastAsia"/>
                <w:kern w:val="0"/>
                <w:szCs w:val="21"/>
              </w:rPr>
            </w:pPr>
          </w:p>
        </w:tc>
        <w:tc>
          <w:tcPr>
            <w:tcW w:w="2126" w:type="dxa"/>
            <w:vAlign w:val="center"/>
          </w:tcPr>
          <w:p w14:paraId="1122BB76" w14:textId="77777777" w:rsidR="00B14D53" w:rsidRDefault="00000000">
            <w:pPr>
              <w:jc w:val="center"/>
              <w:rPr>
                <w:rFonts w:eastAsiaTheme="minorEastAsia"/>
                <w:kern w:val="0"/>
                <w:szCs w:val="21"/>
              </w:rPr>
            </w:pPr>
            <w:r>
              <w:rPr>
                <w:rFonts w:eastAsiaTheme="minorEastAsia" w:hAnsiTheme="minorEastAsia"/>
                <w:kern w:val="0"/>
                <w:szCs w:val="21"/>
              </w:rPr>
              <w:t>中</w:t>
            </w:r>
          </w:p>
        </w:tc>
        <w:tc>
          <w:tcPr>
            <w:tcW w:w="1701" w:type="dxa"/>
            <w:vAlign w:val="center"/>
          </w:tcPr>
          <w:p w14:paraId="7C7E5370" w14:textId="77777777" w:rsidR="00B14D53" w:rsidRDefault="00000000">
            <w:pPr>
              <w:jc w:val="center"/>
              <w:rPr>
                <w:rFonts w:eastAsiaTheme="minorEastAsia"/>
                <w:kern w:val="0"/>
                <w:szCs w:val="21"/>
              </w:rPr>
            </w:pPr>
            <w:r>
              <w:rPr>
                <w:rFonts w:eastAsiaTheme="minorEastAsia" w:hAnsiTheme="minorEastAsia"/>
                <w:kern w:val="0"/>
                <w:szCs w:val="21"/>
              </w:rPr>
              <w:t>易</w:t>
            </w:r>
          </w:p>
        </w:tc>
        <w:tc>
          <w:tcPr>
            <w:tcW w:w="1276" w:type="dxa"/>
            <w:vMerge w:val="restart"/>
            <w:vAlign w:val="center"/>
          </w:tcPr>
          <w:p w14:paraId="1553EB06" w14:textId="77777777" w:rsidR="00B14D53" w:rsidRDefault="00000000">
            <w:pPr>
              <w:jc w:val="center"/>
              <w:rPr>
                <w:rFonts w:eastAsiaTheme="minorEastAsia"/>
                <w:kern w:val="0"/>
                <w:szCs w:val="21"/>
              </w:rPr>
            </w:pPr>
            <w:r>
              <w:rPr>
                <w:rFonts w:eastAsiaTheme="minorEastAsia" w:hAnsiTheme="minorEastAsia"/>
                <w:kern w:val="0"/>
                <w:szCs w:val="21"/>
              </w:rPr>
              <w:t>重金属、持久性有机物污染物</w:t>
            </w:r>
          </w:p>
        </w:tc>
        <w:tc>
          <w:tcPr>
            <w:tcW w:w="2035" w:type="dxa"/>
            <w:vMerge/>
            <w:vAlign w:val="center"/>
          </w:tcPr>
          <w:p w14:paraId="4F6BF80E" w14:textId="77777777" w:rsidR="00B14D53" w:rsidRDefault="00B14D53">
            <w:pPr>
              <w:ind w:firstLine="373"/>
              <w:jc w:val="center"/>
              <w:rPr>
                <w:rFonts w:eastAsiaTheme="minorEastAsia"/>
                <w:kern w:val="0"/>
                <w:szCs w:val="21"/>
              </w:rPr>
            </w:pPr>
          </w:p>
        </w:tc>
      </w:tr>
      <w:tr w:rsidR="00B14D53" w14:paraId="19AADB2D" w14:textId="77777777">
        <w:trPr>
          <w:trHeight w:val="203"/>
          <w:jc w:val="center"/>
        </w:trPr>
        <w:tc>
          <w:tcPr>
            <w:tcW w:w="1384" w:type="dxa"/>
            <w:vMerge/>
            <w:vAlign w:val="center"/>
          </w:tcPr>
          <w:p w14:paraId="435381A8" w14:textId="77777777" w:rsidR="00B14D53" w:rsidRDefault="00B14D53">
            <w:pPr>
              <w:ind w:firstLine="373"/>
              <w:jc w:val="center"/>
              <w:rPr>
                <w:rFonts w:eastAsiaTheme="minorEastAsia"/>
                <w:kern w:val="0"/>
                <w:szCs w:val="21"/>
              </w:rPr>
            </w:pPr>
          </w:p>
        </w:tc>
        <w:tc>
          <w:tcPr>
            <w:tcW w:w="2126" w:type="dxa"/>
            <w:vAlign w:val="center"/>
          </w:tcPr>
          <w:p w14:paraId="75A1D555" w14:textId="77777777" w:rsidR="00B14D53" w:rsidRDefault="00000000">
            <w:pPr>
              <w:jc w:val="center"/>
              <w:rPr>
                <w:rFonts w:eastAsiaTheme="minorEastAsia"/>
                <w:kern w:val="0"/>
                <w:szCs w:val="21"/>
              </w:rPr>
            </w:pPr>
            <w:r>
              <w:rPr>
                <w:rFonts w:eastAsiaTheme="minorEastAsia" w:hAnsiTheme="minorEastAsia"/>
                <w:kern w:val="0"/>
                <w:szCs w:val="21"/>
              </w:rPr>
              <w:t>强</w:t>
            </w:r>
          </w:p>
        </w:tc>
        <w:tc>
          <w:tcPr>
            <w:tcW w:w="1701" w:type="dxa"/>
            <w:vAlign w:val="center"/>
          </w:tcPr>
          <w:p w14:paraId="5C820CC5" w14:textId="77777777" w:rsidR="00B14D53" w:rsidRDefault="00000000">
            <w:pPr>
              <w:jc w:val="center"/>
              <w:rPr>
                <w:rFonts w:eastAsiaTheme="minorEastAsia"/>
                <w:kern w:val="0"/>
                <w:szCs w:val="21"/>
              </w:rPr>
            </w:pPr>
            <w:r>
              <w:rPr>
                <w:rFonts w:eastAsiaTheme="minorEastAsia" w:hAnsiTheme="minorEastAsia"/>
                <w:kern w:val="0"/>
                <w:szCs w:val="21"/>
              </w:rPr>
              <w:t>易</w:t>
            </w:r>
          </w:p>
        </w:tc>
        <w:tc>
          <w:tcPr>
            <w:tcW w:w="1276" w:type="dxa"/>
            <w:vMerge/>
            <w:vAlign w:val="center"/>
          </w:tcPr>
          <w:p w14:paraId="0430DB2E" w14:textId="77777777" w:rsidR="00B14D53" w:rsidRDefault="00B14D53">
            <w:pPr>
              <w:ind w:firstLine="373"/>
              <w:jc w:val="center"/>
              <w:rPr>
                <w:rFonts w:eastAsiaTheme="minorEastAsia"/>
                <w:kern w:val="0"/>
                <w:szCs w:val="21"/>
              </w:rPr>
            </w:pPr>
          </w:p>
        </w:tc>
        <w:tc>
          <w:tcPr>
            <w:tcW w:w="2035" w:type="dxa"/>
            <w:vMerge/>
            <w:vAlign w:val="center"/>
          </w:tcPr>
          <w:p w14:paraId="61551F9E" w14:textId="77777777" w:rsidR="00B14D53" w:rsidRDefault="00B14D53">
            <w:pPr>
              <w:ind w:firstLine="373"/>
              <w:jc w:val="center"/>
              <w:rPr>
                <w:rFonts w:eastAsiaTheme="minorEastAsia"/>
                <w:kern w:val="0"/>
                <w:szCs w:val="21"/>
              </w:rPr>
            </w:pPr>
          </w:p>
        </w:tc>
      </w:tr>
      <w:tr w:rsidR="00B14D53" w14:paraId="4B477368" w14:textId="77777777">
        <w:trPr>
          <w:trHeight w:val="60"/>
          <w:jc w:val="center"/>
        </w:trPr>
        <w:tc>
          <w:tcPr>
            <w:tcW w:w="1384" w:type="dxa"/>
            <w:vAlign w:val="center"/>
          </w:tcPr>
          <w:p w14:paraId="4AA6FA9B" w14:textId="77777777" w:rsidR="00B14D53" w:rsidRDefault="00000000">
            <w:pPr>
              <w:jc w:val="center"/>
              <w:rPr>
                <w:rFonts w:eastAsiaTheme="minorEastAsia"/>
                <w:kern w:val="0"/>
                <w:szCs w:val="21"/>
              </w:rPr>
            </w:pPr>
            <w:r>
              <w:rPr>
                <w:rFonts w:eastAsiaTheme="minorEastAsia" w:hAnsiTheme="minorEastAsia"/>
                <w:kern w:val="0"/>
                <w:szCs w:val="21"/>
              </w:rPr>
              <w:t>简单防渗区</w:t>
            </w:r>
          </w:p>
        </w:tc>
        <w:tc>
          <w:tcPr>
            <w:tcW w:w="2126" w:type="dxa"/>
            <w:vAlign w:val="center"/>
          </w:tcPr>
          <w:p w14:paraId="02E8DB10" w14:textId="77777777" w:rsidR="00B14D53" w:rsidRDefault="00000000">
            <w:pPr>
              <w:jc w:val="center"/>
              <w:rPr>
                <w:rFonts w:eastAsiaTheme="minorEastAsia"/>
                <w:kern w:val="0"/>
                <w:szCs w:val="21"/>
              </w:rPr>
            </w:pPr>
            <w:r>
              <w:rPr>
                <w:rFonts w:eastAsiaTheme="minorEastAsia" w:hAnsiTheme="minorEastAsia"/>
                <w:kern w:val="0"/>
                <w:szCs w:val="21"/>
              </w:rPr>
              <w:t>中</w:t>
            </w:r>
            <w:r>
              <w:rPr>
                <w:rFonts w:eastAsiaTheme="minorEastAsia"/>
                <w:kern w:val="0"/>
                <w:szCs w:val="21"/>
              </w:rPr>
              <w:t>—</w:t>
            </w:r>
            <w:r>
              <w:rPr>
                <w:rFonts w:eastAsiaTheme="minorEastAsia" w:hAnsiTheme="minorEastAsia"/>
                <w:kern w:val="0"/>
                <w:szCs w:val="21"/>
              </w:rPr>
              <w:t>强</w:t>
            </w:r>
          </w:p>
        </w:tc>
        <w:tc>
          <w:tcPr>
            <w:tcW w:w="1701" w:type="dxa"/>
            <w:vAlign w:val="center"/>
          </w:tcPr>
          <w:p w14:paraId="3A28A49E" w14:textId="77777777" w:rsidR="00B14D53" w:rsidRDefault="00000000">
            <w:pPr>
              <w:jc w:val="center"/>
              <w:rPr>
                <w:rFonts w:eastAsiaTheme="minorEastAsia"/>
                <w:kern w:val="0"/>
                <w:szCs w:val="21"/>
              </w:rPr>
            </w:pPr>
            <w:r>
              <w:rPr>
                <w:rFonts w:eastAsiaTheme="minorEastAsia" w:hAnsiTheme="minorEastAsia"/>
                <w:kern w:val="0"/>
                <w:szCs w:val="21"/>
              </w:rPr>
              <w:t>易</w:t>
            </w:r>
          </w:p>
        </w:tc>
        <w:tc>
          <w:tcPr>
            <w:tcW w:w="1276" w:type="dxa"/>
            <w:vAlign w:val="center"/>
          </w:tcPr>
          <w:p w14:paraId="444016E5" w14:textId="77777777" w:rsidR="00B14D53" w:rsidRDefault="00000000">
            <w:pPr>
              <w:jc w:val="center"/>
              <w:rPr>
                <w:rFonts w:eastAsiaTheme="minorEastAsia"/>
                <w:kern w:val="0"/>
                <w:szCs w:val="21"/>
              </w:rPr>
            </w:pPr>
            <w:r>
              <w:rPr>
                <w:rFonts w:eastAsiaTheme="minorEastAsia" w:hAnsiTheme="minorEastAsia"/>
                <w:kern w:val="0"/>
                <w:szCs w:val="21"/>
              </w:rPr>
              <w:t>其他类型</w:t>
            </w:r>
          </w:p>
        </w:tc>
        <w:tc>
          <w:tcPr>
            <w:tcW w:w="2035" w:type="dxa"/>
            <w:vAlign w:val="center"/>
          </w:tcPr>
          <w:p w14:paraId="69BB2355" w14:textId="77777777" w:rsidR="00B14D53" w:rsidRDefault="00000000">
            <w:pPr>
              <w:jc w:val="center"/>
              <w:rPr>
                <w:rFonts w:eastAsiaTheme="minorEastAsia"/>
                <w:kern w:val="0"/>
                <w:szCs w:val="21"/>
              </w:rPr>
            </w:pPr>
            <w:r>
              <w:rPr>
                <w:rFonts w:eastAsiaTheme="minorEastAsia" w:hAnsiTheme="minorEastAsia"/>
                <w:kern w:val="0"/>
                <w:szCs w:val="21"/>
              </w:rPr>
              <w:t>一般地面硬化</w:t>
            </w:r>
          </w:p>
        </w:tc>
      </w:tr>
    </w:tbl>
    <w:p w14:paraId="0F233C78" w14:textId="77777777" w:rsidR="00B14D53" w:rsidRDefault="00000000">
      <w:pPr>
        <w:spacing w:line="360" w:lineRule="auto"/>
        <w:ind w:firstLineChars="200" w:firstLine="480"/>
        <w:contextualSpacing/>
        <w:rPr>
          <w:rFonts w:eastAsiaTheme="minorEastAsia" w:hAnsiTheme="minorEastAsia" w:hint="eastAsia"/>
          <w:sz w:val="24"/>
        </w:rPr>
      </w:pPr>
      <w:r>
        <w:rPr>
          <w:rFonts w:eastAsiaTheme="minorEastAsia" w:hAnsiTheme="minorEastAsia" w:hint="eastAsia"/>
          <w:sz w:val="24"/>
        </w:rPr>
        <w:t>本项目污水处理站位于地下，污染控制程度为难，其余均为易，且废水中无重金属、持久性有机物污染，因此屠宰车间、待宰圈、宰前喷淋间、隔离间、急宰间、污水处理站、事故池为一般防渗区。危废贮存点采为重点防渗区。厂内道路、休息室、</w:t>
      </w:r>
      <w:r>
        <w:rPr>
          <w:rFonts w:eastAsiaTheme="minorEastAsia" w:hAnsiTheme="minorEastAsia" w:hint="eastAsia"/>
          <w:sz w:val="24"/>
        </w:rPr>
        <w:t>1#</w:t>
      </w:r>
      <w:r>
        <w:rPr>
          <w:rFonts w:eastAsiaTheme="minorEastAsia" w:hAnsiTheme="minorEastAsia" w:hint="eastAsia"/>
          <w:sz w:val="24"/>
        </w:rPr>
        <w:t>辅助间内其余房间、杂物库房、仓库、冷库系统、</w:t>
      </w:r>
      <w:r>
        <w:rPr>
          <w:rFonts w:eastAsiaTheme="minorEastAsia" w:hAnsiTheme="minorEastAsia" w:hint="eastAsia"/>
          <w:sz w:val="24"/>
        </w:rPr>
        <w:t>2#</w:t>
      </w:r>
      <w:r>
        <w:rPr>
          <w:rFonts w:eastAsiaTheme="minorEastAsia" w:hAnsiTheme="minorEastAsia" w:hint="eastAsia"/>
          <w:sz w:val="24"/>
        </w:rPr>
        <w:t>辅助间为简单防渗区。</w:t>
      </w:r>
    </w:p>
    <w:p w14:paraId="55D37958" w14:textId="77777777" w:rsidR="00B14D53" w:rsidRDefault="00000000">
      <w:pPr>
        <w:jc w:val="center"/>
        <w:rPr>
          <w:b/>
          <w:bCs/>
        </w:rPr>
      </w:pPr>
      <w:r>
        <w:rPr>
          <w:rFonts w:hint="eastAsia"/>
          <w:b/>
          <w:bCs/>
        </w:rPr>
        <w:t xml:space="preserve">6-2-5 </w:t>
      </w:r>
      <w:r>
        <w:rPr>
          <w:rFonts w:hint="eastAsia"/>
          <w:b/>
          <w:bCs/>
        </w:rPr>
        <w:t>地下水防渗分区措施表</w:t>
      </w:r>
    </w:p>
    <w:tbl>
      <w:tblPr>
        <w:tblW w:w="0" w:type="auto"/>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836"/>
        <w:gridCol w:w="1133"/>
        <w:gridCol w:w="4337"/>
      </w:tblGrid>
      <w:tr w:rsidR="00B14D53" w14:paraId="4B4CACE8" w14:textId="77777777">
        <w:trPr>
          <w:jc w:val="center"/>
        </w:trPr>
        <w:tc>
          <w:tcPr>
            <w:tcW w:w="2838" w:type="dxa"/>
            <w:vAlign w:val="center"/>
          </w:tcPr>
          <w:p w14:paraId="2CE31630" w14:textId="77777777" w:rsidR="00B14D53" w:rsidRDefault="00000000">
            <w:pPr>
              <w:pStyle w:val="afff2"/>
              <w:spacing w:line="240" w:lineRule="auto"/>
              <w:rPr>
                <w:rFonts w:eastAsiaTheme="minorEastAsia" w:hAnsi="Times New Roman"/>
                <w:b/>
                <w:bCs/>
              </w:rPr>
            </w:pPr>
            <w:r>
              <w:rPr>
                <w:rFonts w:eastAsiaTheme="minorEastAsia"/>
                <w:b/>
                <w:bCs/>
              </w:rPr>
              <w:t>防渗部位</w:t>
            </w:r>
          </w:p>
        </w:tc>
        <w:tc>
          <w:tcPr>
            <w:tcW w:w="1134" w:type="dxa"/>
            <w:vAlign w:val="center"/>
          </w:tcPr>
          <w:p w14:paraId="1ED6F486" w14:textId="77777777" w:rsidR="00B14D53" w:rsidRDefault="00000000">
            <w:pPr>
              <w:pStyle w:val="afff2"/>
              <w:spacing w:line="240" w:lineRule="auto"/>
              <w:rPr>
                <w:rFonts w:eastAsiaTheme="minorEastAsia" w:hAnsi="Times New Roman"/>
                <w:b/>
                <w:bCs/>
              </w:rPr>
            </w:pPr>
            <w:r>
              <w:rPr>
                <w:rFonts w:eastAsiaTheme="minorEastAsia"/>
                <w:b/>
                <w:bCs/>
              </w:rPr>
              <w:t>防渗类型</w:t>
            </w:r>
          </w:p>
        </w:tc>
        <w:tc>
          <w:tcPr>
            <w:tcW w:w="4340" w:type="dxa"/>
            <w:vAlign w:val="center"/>
          </w:tcPr>
          <w:p w14:paraId="376F7E4A" w14:textId="77777777" w:rsidR="00B14D53" w:rsidRDefault="00000000">
            <w:pPr>
              <w:pStyle w:val="afff2"/>
              <w:spacing w:line="240" w:lineRule="auto"/>
              <w:rPr>
                <w:rFonts w:eastAsiaTheme="minorEastAsia" w:hAnsi="Times New Roman"/>
                <w:b/>
                <w:bCs/>
              </w:rPr>
            </w:pPr>
            <w:r>
              <w:rPr>
                <w:rFonts w:eastAsiaTheme="minorEastAsia"/>
                <w:b/>
                <w:bCs/>
              </w:rPr>
              <w:t>措施</w:t>
            </w:r>
          </w:p>
        </w:tc>
      </w:tr>
      <w:tr w:rsidR="00B14D53" w14:paraId="1ECBB566" w14:textId="77777777">
        <w:trPr>
          <w:jc w:val="center"/>
        </w:trPr>
        <w:tc>
          <w:tcPr>
            <w:tcW w:w="2838" w:type="dxa"/>
            <w:vAlign w:val="center"/>
          </w:tcPr>
          <w:p w14:paraId="579219D2" w14:textId="77777777" w:rsidR="00B14D53" w:rsidRDefault="00000000">
            <w:pPr>
              <w:pStyle w:val="afff2"/>
              <w:spacing w:line="240" w:lineRule="auto"/>
              <w:rPr>
                <w:rFonts w:eastAsiaTheme="minorEastAsia" w:hAnsi="Times New Roman"/>
              </w:rPr>
            </w:pPr>
            <w:r>
              <w:rPr>
                <w:rFonts w:eastAsiaTheme="minorEastAsia" w:hint="eastAsia"/>
              </w:rPr>
              <w:t>厂内道路、休息室、</w:t>
            </w:r>
            <w:r>
              <w:rPr>
                <w:rFonts w:eastAsiaTheme="minorEastAsia" w:hint="eastAsia"/>
              </w:rPr>
              <w:t>1#</w:t>
            </w:r>
            <w:r>
              <w:rPr>
                <w:rFonts w:eastAsiaTheme="minorEastAsia" w:hint="eastAsia"/>
              </w:rPr>
              <w:t>辅助间内其余房间、杂物库房、仓库、冷库系统、</w:t>
            </w:r>
            <w:r>
              <w:rPr>
                <w:rFonts w:eastAsiaTheme="minorEastAsia" w:hint="eastAsia"/>
              </w:rPr>
              <w:t>2#</w:t>
            </w:r>
            <w:r>
              <w:rPr>
                <w:rFonts w:eastAsiaTheme="minorEastAsia" w:hint="eastAsia"/>
              </w:rPr>
              <w:t>辅助间</w:t>
            </w:r>
          </w:p>
        </w:tc>
        <w:tc>
          <w:tcPr>
            <w:tcW w:w="1134" w:type="dxa"/>
            <w:vAlign w:val="center"/>
          </w:tcPr>
          <w:p w14:paraId="1AF56974" w14:textId="77777777" w:rsidR="00B14D53" w:rsidRDefault="00000000">
            <w:pPr>
              <w:pStyle w:val="afff2"/>
              <w:spacing w:line="240" w:lineRule="auto"/>
              <w:rPr>
                <w:rFonts w:eastAsiaTheme="minorEastAsia" w:hAnsi="Times New Roman"/>
              </w:rPr>
            </w:pPr>
            <w:r>
              <w:rPr>
                <w:rFonts w:eastAsiaTheme="minorEastAsia"/>
              </w:rPr>
              <w:t>简单防渗</w:t>
            </w:r>
          </w:p>
        </w:tc>
        <w:tc>
          <w:tcPr>
            <w:tcW w:w="4340" w:type="dxa"/>
            <w:vAlign w:val="center"/>
          </w:tcPr>
          <w:p w14:paraId="53DB4AA6" w14:textId="77777777" w:rsidR="00B14D53" w:rsidRDefault="00000000">
            <w:pPr>
              <w:pStyle w:val="afff2"/>
              <w:spacing w:line="240" w:lineRule="auto"/>
              <w:rPr>
                <w:rFonts w:eastAsiaTheme="minorEastAsia" w:hAnsi="Times New Roman"/>
              </w:rPr>
            </w:pPr>
            <w:r>
              <w:rPr>
                <w:rFonts w:eastAsiaTheme="minorEastAsia"/>
              </w:rPr>
              <w:t>对其地面采用混凝土进行一般地面硬化</w:t>
            </w:r>
          </w:p>
        </w:tc>
      </w:tr>
      <w:tr w:rsidR="00B14D53" w14:paraId="793D2F41" w14:textId="77777777">
        <w:trPr>
          <w:jc w:val="center"/>
        </w:trPr>
        <w:tc>
          <w:tcPr>
            <w:tcW w:w="2838" w:type="dxa"/>
            <w:vAlign w:val="center"/>
          </w:tcPr>
          <w:p w14:paraId="07FABD89" w14:textId="77777777" w:rsidR="00B14D53" w:rsidRDefault="00000000">
            <w:pPr>
              <w:pStyle w:val="afff2"/>
              <w:spacing w:line="240" w:lineRule="auto"/>
              <w:rPr>
                <w:rFonts w:eastAsiaTheme="minorEastAsia" w:hint="eastAsia"/>
              </w:rPr>
            </w:pPr>
            <w:r>
              <w:rPr>
                <w:rFonts w:eastAsiaTheme="minorEastAsia" w:hint="eastAsia"/>
              </w:rPr>
              <w:t>危废贮存点</w:t>
            </w:r>
          </w:p>
        </w:tc>
        <w:tc>
          <w:tcPr>
            <w:tcW w:w="1134" w:type="dxa"/>
            <w:vAlign w:val="center"/>
          </w:tcPr>
          <w:p w14:paraId="3945DC14" w14:textId="77777777" w:rsidR="00B14D53" w:rsidRDefault="00000000">
            <w:pPr>
              <w:pStyle w:val="afff2"/>
              <w:spacing w:line="240" w:lineRule="auto"/>
              <w:rPr>
                <w:rFonts w:eastAsiaTheme="minorEastAsia" w:hint="eastAsia"/>
              </w:rPr>
            </w:pPr>
            <w:r>
              <w:rPr>
                <w:rFonts w:eastAsiaTheme="minorEastAsia" w:hint="eastAsia"/>
              </w:rPr>
              <w:t>重点防渗</w:t>
            </w:r>
          </w:p>
        </w:tc>
        <w:tc>
          <w:tcPr>
            <w:tcW w:w="4340" w:type="dxa"/>
            <w:vAlign w:val="center"/>
          </w:tcPr>
          <w:p w14:paraId="4818C4A8" w14:textId="77777777" w:rsidR="00B14D53" w:rsidRDefault="00000000">
            <w:pPr>
              <w:pStyle w:val="afff2"/>
              <w:spacing w:line="240" w:lineRule="auto"/>
              <w:rPr>
                <w:rFonts w:eastAsiaTheme="minorEastAsia" w:hint="eastAsia"/>
              </w:rPr>
            </w:pPr>
            <w:r>
              <w:rPr>
                <w:rFonts w:eastAsiaTheme="minorEastAsia"/>
              </w:rPr>
              <w:t>医疗废物采用防漏胶袋盛装后置于医疗废物垃圾桶内，按照《危险废物贮存污染控制标准》（</w:t>
            </w:r>
            <w:r>
              <w:rPr>
                <w:rFonts w:eastAsiaTheme="minorEastAsia"/>
              </w:rPr>
              <w:t>GB18597-2023</w:t>
            </w:r>
            <w:r>
              <w:rPr>
                <w:rFonts w:eastAsiaTheme="minorEastAsia"/>
              </w:rPr>
              <w:t>）要求，贮存设施地面与裙脚应采取表面防渗措施；表面防渗材料应与所接触的物料或污染物相容，可采用抗渗混凝土、高密度聚乙烯膜、钠基膨润土防水毯或其他防渗性能等效的材料</w:t>
            </w:r>
          </w:p>
        </w:tc>
      </w:tr>
      <w:tr w:rsidR="00B14D53" w14:paraId="5C451B74" w14:textId="77777777">
        <w:trPr>
          <w:jc w:val="center"/>
        </w:trPr>
        <w:tc>
          <w:tcPr>
            <w:tcW w:w="2838" w:type="dxa"/>
            <w:vAlign w:val="center"/>
          </w:tcPr>
          <w:p w14:paraId="3B4AC2BB" w14:textId="77777777" w:rsidR="00B14D53" w:rsidRDefault="00000000">
            <w:pPr>
              <w:pStyle w:val="afff2"/>
              <w:spacing w:line="240" w:lineRule="auto"/>
              <w:rPr>
                <w:rFonts w:eastAsiaTheme="minorEastAsia" w:hint="eastAsia"/>
              </w:rPr>
            </w:pPr>
            <w:r>
              <w:rPr>
                <w:rFonts w:eastAsiaTheme="minorEastAsia" w:hint="eastAsia"/>
              </w:rPr>
              <w:t>屠宰车间、待宰圈、宰前喷淋间、隔离间、急宰间、污水处理站、事故池</w:t>
            </w:r>
          </w:p>
        </w:tc>
        <w:tc>
          <w:tcPr>
            <w:tcW w:w="1134" w:type="dxa"/>
            <w:vAlign w:val="center"/>
          </w:tcPr>
          <w:p w14:paraId="3E1D4BFC" w14:textId="77777777" w:rsidR="00B14D53" w:rsidRDefault="00000000">
            <w:pPr>
              <w:pStyle w:val="afff2"/>
              <w:spacing w:line="240" w:lineRule="auto"/>
              <w:rPr>
                <w:rFonts w:eastAsiaTheme="minorEastAsia" w:hint="eastAsia"/>
              </w:rPr>
            </w:pPr>
            <w:r>
              <w:rPr>
                <w:rFonts w:eastAsiaTheme="minorEastAsia" w:hint="eastAsia"/>
              </w:rPr>
              <w:t>一般防渗</w:t>
            </w:r>
          </w:p>
        </w:tc>
        <w:tc>
          <w:tcPr>
            <w:tcW w:w="4340" w:type="dxa"/>
            <w:vAlign w:val="center"/>
          </w:tcPr>
          <w:p w14:paraId="04F8EA67" w14:textId="77777777" w:rsidR="00B14D53" w:rsidRDefault="00000000">
            <w:pPr>
              <w:pStyle w:val="afff2"/>
              <w:spacing w:line="240" w:lineRule="auto"/>
              <w:rPr>
                <w:rFonts w:eastAsiaTheme="minorEastAsia" w:hint="eastAsia"/>
              </w:rPr>
            </w:pPr>
            <w:r>
              <w:rPr>
                <w:rFonts w:hint="eastAsia"/>
                <w:lang w:val="en-GB"/>
              </w:rPr>
              <w:t>地面</w:t>
            </w:r>
            <w:r>
              <w:rPr>
                <w:rFonts w:hint="eastAsia"/>
              </w:rPr>
              <w:t>及池体</w:t>
            </w:r>
            <w:r>
              <w:t>可采用抗渗混凝土作为其防渗层，混凝土强度等级不低于</w:t>
            </w:r>
            <w:r>
              <w:t>C25</w:t>
            </w:r>
            <w:r>
              <w:t>，抗渗混凝土等级不低于</w:t>
            </w:r>
            <w:r>
              <w:t>P6</w:t>
            </w:r>
            <w:r>
              <w:t>，厚度不小于</w:t>
            </w:r>
            <w:r>
              <w:t>100mm</w:t>
            </w:r>
          </w:p>
        </w:tc>
      </w:tr>
    </w:tbl>
    <w:p w14:paraId="623B0728"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本项目对地下水的主要污染途径为废水渗透，在认真采取以上措施的基础上，废水不会对地下水源造成影响。</w:t>
      </w:r>
    </w:p>
    <w:p w14:paraId="0D8E7774" w14:textId="77777777" w:rsidR="00B14D53" w:rsidRDefault="00000000">
      <w:pPr>
        <w:tabs>
          <w:tab w:val="left" w:pos="360"/>
        </w:tabs>
        <w:spacing w:line="360" w:lineRule="auto"/>
        <w:ind w:firstLineChars="177" w:firstLine="425"/>
        <w:contextualSpacing/>
        <w:rPr>
          <w:rFonts w:eastAsiaTheme="minorEastAsia"/>
          <w:sz w:val="24"/>
        </w:rPr>
      </w:pPr>
      <w:r>
        <w:rPr>
          <w:rFonts w:eastAsiaTheme="minorEastAsia" w:hAnsiTheme="minorEastAsia"/>
          <w:sz w:val="24"/>
        </w:rPr>
        <w:t>（</w:t>
      </w:r>
      <w:r>
        <w:rPr>
          <w:rFonts w:eastAsiaTheme="minorEastAsia"/>
          <w:sz w:val="24"/>
        </w:rPr>
        <w:t>2</w:t>
      </w:r>
      <w:r>
        <w:rPr>
          <w:rFonts w:eastAsiaTheme="minorEastAsia" w:hAnsiTheme="minorEastAsia"/>
          <w:sz w:val="24"/>
        </w:rPr>
        <w:t>）跟踪监测</w:t>
      </w:r>
    </w:p>
    <w:p w14:paraId="2D896287" w14:textId="77777777" w:rsidR="00B14D53" w:rsidRDefault="00000000">
      <w:pPr>
        <w:pStyle w:val="-1211"/>
        <w:spacing w:before="0" w:after="0" w:line="360" w:lineRule="auto"/>
        <w:ind w:firstLineChars="200" w:firstLine="480"/>
        <w:contextualSpacing/>
        <w:rPr>
          <w:rFonts w:eastAsiaTheme="minorEastAsia" w:cs="Times New Roman"/>
          <w:szCs w:val="22"/>
        </w:rPr>
      </w:pPr>
      <w:r>
        <w:rPr>
          <w:rFonts w:eastAsiaTheme="minorEastAsia" w:hAnsiTheme="minorEastAsia" w:cs="Times New Roman"/>
          <w:szCs w:val="22"/>
        </w:rPr>
        <w:t>定期对地下水环境进行监测，委托具有资质的单位进行，监测报告应包括建设项目所在地及其影响区地下水环境跟踪监测数据，各生产设施及污染防控措施等设施的运行状况、维护记录，同时对监测结果进行信息公开，每</w:t>
      </w:r>
      <w:r>
        <w:rPr>
          <w:rFonts w:eastAsiaTheme="minorEastAsia" w:hAnsiTheme="minorEastAsia" w:cs="Times New Roman" w:hint="eastAsia"/>
          <w:szCs w:val="22"/>
        </w:rPr>
        <w:t>年</w:t>
      </w:r>
      <w:r>
        <w:rPr>
          <w:rFonts w:eastAsiaTheme="minorEastAsia" w:hAnsiTheme="minorEastAsia" w:cs="Times New Roman"/>
          <w:szCs w:val="22"/>
        </w:rPr>
        <w:t>公开一次。</w:t>
      </w:r>
    </w:p>
    <w:p w14:paraId="0A95902A" w14:textId="77777777" w:rsidR="00B14D53" w:rsidRDefault="00000000">
      <w:pPr>
        <w:pStyle w:val="afff"/>
        <w:adjustRightInd/>
        <w:snapToGrid/>
        <w:contextualSpacing/>
        <w:jc w:val="both"/>
        <w:rPr>
          <w:rFonts w:ascii="Times New Roman" w:hAnsi="Times New Roman" w:cs="Times New Roman"/>
        </w:rPr>
      </w:pPr>
      <w:r>
        <w:rPr>
          <w:rFonts w:ascii="Times New Roman" w:hAnsiTheme="minorEastAsia" w:cs="Times New Roman"/>
        </w:rPr>
        <w:t>项目所在地地下水流向为自</w:t>
      </w:r>
      <w:r>
        <w:rPr>
          <w:rFonts w:ascii="Times New Roman" w:hAnsiTheme="minorEastAsia" w:cs="Times New Roman" w:hint="eastAsia"/>
        </w:rPr>
        <w:t>西南</w:t>
      </w:r>
      <w:r>
        <w:rPr>
          <w:rFonts w:ascii="Times New Roman" w:hAnsiTheme="minorEastAsia" w:cs="Times New Roman"/>
        </w:rPr>
        <w:t>向</w:t>
      </w:r>
      <w:r>
        <w:rPr>
          <w:rFonts w:ascii="Times New Roman" w:hAnsiTheme="minorEastAsia" w:cs="Times New Roman" w:hint="eastAsia"/>
        </w:rPr>
        <w:t>东北</w:t>
      </w:r>
      <w:r>
        <w:rPr>
          <w:rFonts w:ascii="Times New Roman" w:hAnsiTheme="minorEastAsia" w:cs="Times New Roman"/>
        </w:rPr>
        <w:t>，因此，</w:t>
      </w:r>
      <w:r>
        <w:rPr>
          <w:rFonts w:ascii="Times New Roman" w:hAnsiTheme="minorEastAsia" w:cs="Times New Roman" w:hint="eastAsia"/>
        </w:rPr>
        <w:t>利用厂内屠宰车间外现有</w:t>
      </w:r>
      <w:r>
        <w:rPr>
          <w:rFonts w:ascii="Times New Roman" w:hAnsi="Times New Roman" w:cs="Times New Roman"/>
        </w:rPr>
        <w:t>1</w:t>
      </w:r>
      <w:r>
        <w:rPr>
          <w:rFonts w:ascii="Times New Roman" w:hAnsiTheme="minorEastAsia" w:cs="Times New Roman"/>
        </w:rPr>
        <w:t>口</w:t>
      </w:r>
      <w:r>
        <w:rPr>
          <w:rFonts w:ascii="Times New Roman" w:hAnsiTheme="minorEastAsia" w:cs="Times New Roman" w:hint="eastAsia"/>
        </w:rPr>
        <w:t>水井作为</w:t>
      </w:r>
      <w:r>
        <w:rPr>
          <w:rFonts w:ascii="Times New Roman" w:hAnsiTheme="minorEastAsia" w:cs="Times New Roman"/>
        </w:rPr>
        <w:t>地下水跟踪监控井。每年对地下水环境进行监测，监测项目为氨氮，发现问题及时解决。企业在运营过程中应认真落实跟踪监测的工作，专职人员应编写地下水环境跟踪监测报告，报告中的内容应包括：地下水跟踪监测的数据（污染物种类、数量、浓度），生产设备、管线、贮存和运输装置的运行情况，跑冒滴漏记录和维护记录。跟踪监测计划见</w:t>
      </w:r>
      <w:r>
        <w:rPr>
          <w:rFonts w:ascii="Times New Roman" w:hAnsiTheme="minorEastAsia" w:cs="Times New Roman" w:hint="eastAsia"/>
        </w:rPr>
        <w:t>下</w:t>
      </w:r>
      <w:r>
        <w:rPr>
          <w:rFonts w:ascii="Times New Roman" w:hAnsiTheme="minorEastAsia" w:cs="Times New Roman"/>
        </w:rPr>
        <w:t>表。</w:t>
      </w:r>
    </w:p>
    <w:p w14:paraId="26C85ACD" w14:textId="77777777" w:rsidR="00B14D53" w:rsidRDefault="00000000">
      <w:pPr>
        <w:jc w:val="center"/>
        <w:rPr>
          <w:b/>
          <w:bCs/>
        </w:rPr>
      </w:pPr>
      <w:r>
        <w:rPr>
          <w:rFonts w:hint="eastAsia"/>
          <w:b/>
          <w:bCs/>
        </w:rPr>
        <w:t>表</w:t>
      </w:r>
      <w:r>
        <w:rPr>
          <w:rFonts w:hint="eastAsia"/>
          <w:b/>
          <w:bCs/>
        </w:rPr>
        <w:t xml:space="preserve">6-2-6 </w:t>
      </w:r>
      <w:r>
        <w:rPr>
          <w:rFonts w:hint="eastAsia"/>
          <w:b/>
          <w:bCs/>
        </w:rPr>
        <w:t>地下水环境监测计划表</w:t>
      </w:r>
    </w:p>
    <w:tbl>
      <w:tblPr>
        <w:tblStyle w:val="afffffffff8"/>
        <w:tblW w:w="8312" w:type="dxa"/>
        <w:jc w:val="center"/>
        <w:tblLayout w:type="fixed"/>
        <w:tblLook w:val="04A0" w:firstRow="1" w:lastRow="0" w:firstColumn="1" w:lastColumn="0" w:noHBand="0" w:noVBand="1"/>
      </w:tblPr>
      <w:tblGrid>
        <w:gridCol w:w="1289"/>
        <w:gridCol w:w="841"/>
        <w:gridCol w:w="809"/>
        <w:gridCol w:w="700"/>
        <w:gridCol w:w="2288"/>
        <w:gridCol w:w="900"/>
        <w:gridCol w:w="650"/>
        <w:gridCol w:w="835"/>
      </w:tblGrid>
      <w:tr w:rsidR="00B14D53" w14:paraId="02181A60" w14:textId="77777777">
        <w:trPr>
          <w:trHeight w:val="284"/>
          <w:jc w:val="center"/>
        </w:trPr>
        <w:tc>
          <w:tcPr>
            <w:tcW w:w="1289" w:type="dxa"/>
          </w:tcPr>
          <w:p w14:paraId="6F501F25" w14:textId="77777777" w:rsidR="00B14D53" w:rsidRDefault="00000000">
            <w:pPr>
              <w:pStyle w:val="afff2"/>
              <w:adjustRightInd/>
              <w:snapToGrid/>
              <w:spacing w:line="240" w:lineRule="auto"/>
              <w:rPr>
                <w:rFonts w:eastAsiaTheme="minorEastAsia" w:hAnsi="Times New Roman"/>
                <w:b/>
                <w:bCs/>
              </w:rPr>
            </w:pPr>
            <w:r>
              <w:rPr>
                <w:rFonts w:eastAsiaTheme="minorEastAsia"/>
                <w:b/>
                <w:bCs/>
              </w:rPr>
              <w:t>点位</w:t>
            </w:r>
          </w:p>
        </w:tc>
        <w:tc>
          <w:tcPr>
            <w:tcW w:w="841" w:type="dxa"/>
          </w:tcPr>
          <w:p w14:paraId="6FC7C2E1" w14:textId="77777777" w:rsidR="00B14D53" w:rsidRDefault="00000000">
            <w:pPr>
              <w:pStyle w:val="afff2"/>
              <w:adjustRightInd/>
              <w:snapToGrid/>
              <w:spacing w:line="240" w:lineRule="auto"/>
              <w:rPr>
                <w:rFonts w:eastAsiaTheme="minorEastAsia" w:hAnsi="Times New Roman"/>
                <w:b/>
                <w:bCs/>
              </w:rPr>
            </w:pPr>
            <w:r>
              <w:rPr>
                <w:rFonts w:eastAsiaTheme="minorEastAsia"/>
                <w:b/>
                <w:bCs/>
              </w:rPr>
              <w:t>功能</w:t>
            </w:r>
          </w:p>
        </w:tc>
        <w:tc>
          <w:tcPr>
            <w:tcW w:w="809" w:type="dxa"/>
          </w:tcPr>
          <w:p w14:paraId="5D8C1611" w14:textId="77777777" w:rsidR="00B14D53" w:rsidRDefault="00000000">
            <w:pPr>
              <w:pStyle w:val="afff2"/>
              <w:adjustRightInd/>
              <w:snapToGrid/>
              <w:spacing w:line="240" w:lineRule="auto"/>
              <w:rPr>
                <w:rFonts w:eastAsiaTheme="minorEastAsia" w:hAnsi="Times New Roman"/>
                <w:b/>
                <w:bCs/>
              </w:rPr>
            </w:pPr>
            <w:r>
              <w:rPr>
                <w:rFonts w:eastAsiaTheme="minorEastAsia"/>
                <w:b/>
                <w:bCs/>
              </w:rPr>
              <w:t>监测</w:t>
            </w:r>
          </w:p>
          <w:p w14:paraId="62376C68" w14:textId="77777777" w:rsidR="00B14D53" w:rsidRDefault="00000000">
            <w:pPr>
              <w:pStyle w:val="afff2"/>
              <w:adjustRightInd/>
              <w:snapToGrid/>
              <w:spacing w:line="240" w:lineRule="auto"/>
              <w:rPr>
                <w:rFonts w:eastAsiaTheme="minorEastAsia" w:hAnsi="Times New Roman"/>
                <w:b/>
                <w:bCs/>
              </w:rPr>
            </w:pPr>
            <w:r>
              <w:rPr>
                <w:rFonts w:eastAsiaTheme="minorEastAsia"/>
                <w:b/>
                <w:bCs/>
              </w:rPr>
              <w:t>因子</w:t>
            </w:r>
          </w:p>
        </w:tc>
        <w:tc>
          <w:tcPr>
            <w:tcW w:w="700" w:type="dxa"/>
          </w:tcPr>
          <w:p w14:paraId="0346B0A5" w14:textId="77777777" w:rsidR="00B14D53" w:rsidRDefault="00000000">
            <w:pPr>
              <w:pStyle w:val="afff2"/>
              <w:adjustRightInd/>
              <w:snapToGrid/>
              <w:spacing w:line="240" w:lineRule="auto"/>
              <w:rPr>
                <w:rFonts w:eastAsiaTheme="minorEastAsia" w:hAnsi="Times New Roman"/>
                <w:b/>
                <w:bCs/>
              </w:rPr>
            </w:pPr>
            <w:r>
              <w:rPr>
                <w:rFonts w:eastAsiaTheme="minorEastAsia"/>
                <w:b/>
                <w:bCs/>
              </w:rPr>
              <w:t>井深</w:t>
            </w:r>
          </w:p>
        </w:tc>
        <w:tc>
          <w:tcPr>
            <w:tcW w:w="2288" w:type="dxa"/>
          </w:tcPr>
          <w:p w14:paraId="49F35BC5" w14:textId="77777777" w:rsidR="00B14D53" w:rsidRDefault="00000000">
            <w:pPr>
              <w:pStyle w:val="afff2"/>
              <w:adjustRightInd/>
              <w:snapToGrid/>
              <w:spacing w:line="240" w:lineRule="auto"/>
              <w:rPr>
                <w:rFonts w:eastAsiaTheme="minorEastAsia" w:hAnsi="Times New Roman"/>
                <w:b/>
                <w:bCs/>
              </w:rPr>
            </w:pPr>
            <w:r>
              <w:rPr>
                <w:rFonts w:eastAsiaTheme="minorEastAsia"/>
                <w:b/>
                <w:bCs/>
              </w:rPr>
              <w:t>坐标</w:t>
            </w:r>
          </w:p>
        </w:tc>
        <w:tc>
          <w:tcPr>
            <w:tcW w:w="900" w:type="dxa"/>
          </w:tcPr>
          <w:p w14:paraId="18146665" w14:textId="77777777" w:rsidR="00B14D53" w:rsidRDefault="00000000">
            <w:pPr>
              <w:pStyle w:val="afff2"/>
              <w:adjustRightInd/>
              <w:snapToGrid/>
              <w:spacing w:line="240" w:lineRule="auto"/>
              <w:rPr>
                <w:rFonts w:eastAsiaTheme="minorEastAsia" w:hAnsi="Times New Roman"/>
                <w:b/>
                <w:bCs/>
              </w:rPr>
            </w:pPr>
            <w:r>
              <w:rPr>
                <w:rFonts w:eastAsiaTheme="minorEastAsia" w:hAnsi="Times New Roman" w:hint="eastAsia"/>
                <w:b/>
                <w:bCs/>
              </w:rPr>
              <w:t>井结构</w:t>
            </w:r>
          </w:p>
        </w:tc>
        <w:tc>
          <w:tcPr>
            <w:tcW w:w="650" w:type="dxa"/>
          </w:tcPr>
          <w:p w14:paraId="61A8E24B" w14:textId="77777777" w:rsidR="00B14D53" w:rsidRDefault="00000000">
            <w:pPr>
              <w:pStyle w:val="afff2"/>
              <w:adjustRightInd/>
              <w:snapToGrid/>
              <w:spacing w:line="240" w:lineRule="auto"/>
              <w:rPr>
                <w:rFonts w:eastAsiaTheme="minorEastAsia" w:hAnsi="Times New Roman"/>
                <w:b/>
                <w:bCs/>
              </w:rPr>
            </w:pPr>
            <w:r>
              <w:rPr>
                <w:rFonts w:eastAsiaTheme="minorEastAsia"/>
                <w:b/>
                <w:bCs/>
              </w:rPr>
              <w:t>监测层位</w:t>
            </w:r>
          </w:p>
        </w:tc>
        <w:tc>
          <w:tcPr>
            <w:tcW w:w="835" w:type="dxa"/>
          </w:tcPr>
          <w:p w14:paraId="26FE3A87" w14:textId="77777777" w:rsidR="00B14D53" w:rsidRDefault="00000000">
            <w:pPr>
              <w:pStyle w:val="afff2"/>
              <w:adjustRightInd/>
              <w:snapToGrid/>
              <w:spacing w:line="240" w:lineRule="auto"/>
              <w:rPr>
                <w:rFonts w:eastAsiaTheme="minorEastAsia" w:hAnsi="Times New Roman"/>
                <w:b/>
                <w:bCs/>
              </w:rPr>
            </w:pPr>
            <w:r>
              <w:rPr>
                <w:rFonts w:eastAsiaTheme="minorEastAsia"/>
                <w:b/>
                <w:bCs/>
              </w:rPr>
              <w:t>监测频次</w:t>
            </w:r>
          </w:p>
        </w:tc>
      </w:tr>
      <w:tr w:rsidR="00B14D53" w14:paraId="62CD2D13" w14:textId="77777777">
        <w:trPr>
          <w:trHeight w:val="284"/>
          <w:jc w:val="center"/>
        </w:trPr>
        <w:tc>
          <w:tcPr>
            <w:tcW w:w="1289" w:type="dxa"/>
          </w:tcPr>
          <w:p w14:paraId="71B8735E" w14:textId="77777777" w:rsidR="00B14D53" w:rsidRDefault="00000000">
            <w:pPr>
              <w:pStyle w:val="afff2"/>
              <w:adjustRightInd/>
              <w:snapToGrid/>
              <w:spacing w:line="240" w:lineRule="auto"/>
              <w:rPr>
                <w:rFonts w:eastAsiaTheme="minorEastAsia" w:hAnsi="Times New Roman"/>
              </w:rPr>
            </w:pPr>
            <w:r>
              <w:rPr>
                <w:rFonts w:hint="eastAsia"/>
              </w:rPr>
              <w:t>屠宰车间外</w:t>
            </w:r>
          </w:p>
        </w:tc>
        <w:tc>
          <w:tcPr>
            <w:tcW w:w="841" w:type="dxa"/>
          </w:tcPr>
          <w:p w14:paraId="4C2EDA95" w14:textId="77777777" w:rsidR="00B14D53" w:rsidRDefault="00000000">
            <w:pPr>
              <w:pStyle w:val="afff2"/>
              <w:adjustRightInd/>
              <w:snapToGrid/>
              <w:spacing w:line="240" w:lineRule="auto"/>
              <w:rPr>
                <w:rFonts w:eastAsiaTheme="minorEastAsia" w:hAnsi="Times New Roman"/>
              </w:rPr>
            </w:pPr>
            <w:r>
              <w:rPr>
                <w:rFonts w:eastAsiaTheme="minorEastAsia"/>
              </w:rPr>
              <w:t>跟踪监测井</w:t>
            </w:r>
          </w:p>
        </w:tc>
        <w:tc>
          <w:tcPr>
            <w:tcW w:w="809" w:type="dxa"/>
          </w:tcPr>
          <w:p w14:paraId="3C84533B" w14:textId="77777777" w:rsidR="00B14D53" w:rsidRDefault="00000000">
            <w:pPr>
              <w:pStyle w:val="afff2"/>
              <w:adjustRightInd/>
              <w:snapToGrid/>
              <w:spacing w:line="240" w:lineRule="auto"/>
              <w:rPr>
                <w:rFonts w:eastAsiaTheme="minorEastAsia" w:hAnsi="Times New Roman"/>
              </w:rPr>
            </w:pPr>
            <w:r>
              <w:rPr>
                <w:rFonts w:eastAsiaTheme="minorEastAsia"/>
              </w:rPr>
              <w:t>氨氮</w:t>
            </w:r>
          </w:p>
        </w:tc>
        <w:tc>
          <w:tcPr>
            <w:tcW w:w="700" w:type="dxa"/>
          </w:tcPr>
          <w:p w14:paraId="3B79D4C0" w14:textId="77777777" w:rsidR="00B14D53" w:rsidRDefault="00000000">
            <w:pPr>
              <w:pStyle w:val="afff2"/>
              <w:adjustRightInd/>
              <w:snapToGrid/>
              <w:spacing w:line="240" w:lineRule="auto"/>
              <w:rPr>
                <w:rFonts w:eastAsiaTheme="minorEastAsia" w:hAnsi="Times New Roman"/>
              </w:rPr>
            </w:pPr>
            <w:r>
              <w:rPr>
                <w:rFonts w:eastAsiaTheme="minorEastAsia" w:hAnsi="Times New Roman" w:hint="eastAsia"/>
              </w:rPr>
              <w:t>42m</w:t>
            </w:r>
          </w:p>
        </w:tc>
        <w:tc>
          <w:tcPr>
            <w:tcW w:w="2288" w:type="dxa"/>
          </w:tcPr>
          <w:p w14:paraId="4BE3AD2E" w14:textId="77777777" w:rsidR="00B14D53" w:rsidRDefault="00000000">
            <w:pPr>
              <w:pStyle w:val="afff2"/>
              <w:adjustRightInd/>
              <w:snapToGrid/>
              <w:spacing w:line="240" w:lineRule="auto"/>
              <w:rPr>
                <w:rFonts w:eastAsiaTheme="minorEastAsia" w:hAnsi="Times New Roman"/>
              </w:rPr>
            </w:pPr>
            <w:r>
              <w:rPr>
                <w:rFonts w:eastAsiaTheme="minorEastAsia" w:hAnsi="Times New Roman" w:hint="eastAsia"/>
              </w:rPr>
              <w:t>127.218815</w:t>
            </w:r>
            <w:r>
              <w:rPr>
                <w:rFonts w:eastAsiaTheme="minorEastAsia" w:hAnsi="Times New Roman" w:hint="eastAsia"/>
              </w:rPr>
              <w:t>，</w:t>
            </w:r>
            <w:r>
              <w:rPr>
                <w:rFonts w:eastAsiaTheme="minorEastAsia" w:hAnsi="Times New Roman" w:hint="eastAsia"/>
              </w:rPr>
              <w:t>44.698204</w:t>
            </w:r>
          </w:p>
        </w:tc>
        <w:tc>
          <w:tcPr>
            <w:tcW w:w="900" w:type="dxa"/>
          </w:tcPr>
          <w:p w14:paraId="787798F8" w14:textId="77777777" w:rsidR="00B14D53" w:rsidRDefault="00000000">
            <w:pPr>
              <w:widowControl/>
              <w:adjustRightInd/>
              <w:snapToGrid/>
              <w:jc w:val="center"/>
              <w:rPr>
                <w:rFonts w:eastAsiaTheme="minorEastAsia"/>
                <w:kern w:val="0"/>
                <w:szCs w:val="21"/>
              </w:rPr>
            </w:pPr>
            <w:r>
              <w:rPr>
                <w:rFonts w:eastAsiaTheme="minorEastAsia" w:hint="eastAsia"/>
                <w:kern w:val="0"/>
                <w:szCs w:val="21"/>
              </w:rPr>
              <w:t>单管单层监测井</w:t>
            </w:r>
          </w:p>
        </w:tc>
        <w:tc>
          <w:tcPr>
            <w:tcW w:w="650" w:type="dxa"/>
          </w:tcPr>
          <w:p w14:paraId="1F346B71" w14:textId="77777777" w:rsidR="00B14D53" w:rsidRDefault="00000000">
            <w:pPr>
              <w:pStyle w:val="afff2"/>
              <w:adjustRightInd/>
              <w:snapToGrid/>
              <w:spacing w:line="240" w:lineRule="auto"/>
              <w:rPr>
                <w:rFonts w:eastAsiaTheme="minorEastAsia" w:hAnsi="Times New Roman"/>
              </w:rPr>
            </w:pPr>
            <w:r>
              <w:rPr>
                <w:rFonts w:eastAsiaTheme="minorEastAsia" w:hint="eastAsia"/>
              </w:rPr>
              <w:t>潜</w:t>
            </w:r>
            <w:r>
              <w:rPr>
                <w:rFonts w:eastAsiaTheme="minorEastAsia"/>
              </w:rPr>
              <w:t>水</w:t>
            </w:r>
          </w:p>
        </w:tc>
        <w:tc>
          <w:tcPr>
            <w:tcW w:w="835" w:type="dxa"/>
          </w:tcPr>
          <w:p w14:paraId="390A7F94" w14:textId="77777777" w:rsidR="00B14D53" w:rsidRDefault="00000000">
            <w:pPr>
              <w:pStyle w:val="afff2"/>
              <w:adjustRightInd/>
              <w:snapToGrid/>
              <w:spacing w:line="240" w:lineRule="auto"/>
              <w:rPr>
                <w:rFonts w:eastAsiaTheme="minorEastAsia" w:hAnsi="Times New Roman"/>
              </w:rPr>
            </w:pPr>
            <w:r>
              <w:rPr>
                <w:rFonts w:eastAsiaTheme="minorEastAsia" w:hAnsi="Times New Roman"/>
              </w:rPr>
              <w:t>1</w:t>
            </w:r>
            <w:r>
              <w:rPr>
                <w:rFonts w:eastAsiaTheme="minorEastAsia"/>
              </w:rPr>
              <w:t>次</w:t>
            </w:r>
            <w:r>
              <w:rPr>
                <w:rFonts w:eastAsiaTheme="minorEastAsia" w:hAnsi="Times New Roman"/>
              </w:rPr>
              <w:t>/</w:t>
            </w:r>
            <w:r>
              <w:rPr>
                <w:rFonts w:eastAsiaTheme="minorEastAsia" w:hAnsi="Times New Roman" w:hint="eastAsia"/>
              </w:rPr>
              <w:t>年</w:t>
            </w:r>
          </w:p>
        </w:tc>
      </w:tr>
    </w:tbl>
    <w:p w14:paraId="744729B6" w14:textId="77777777" w:rsidR="00B14D53" w:rsidRDefault="00000000">
      <w:pPr>
        <w:spacing w:line="360" w:lineRule="auto"/>
        <w:ind w:firstLineChars="200" w:firstLine="480"/>
        <w:rPr>
          <w:rFonts w:eastAsiaTheme="minorEastAsia"/>
          <w:sz w:val="24"/>
        </w:rPr>
      </w:pPr>
      <w:r>
        <w:rPr>
          <w:rFonts w:eastAsiaTheme="minorEastAsia" w:hAnsiTheme="minorEastAsia"/>
          <w:sz w:val="24"/>
        </w:rPr>
        <w:t>监测点位布设及分区防渗见图</w:t>
      </w:r>
      <w:r>
        <w:rPr>
          <w:rFonts w:eastAsiaTheme="minorEastAsia"/>
          <w:sz w:val="24"/>
        </w:rPr>
        <w:t>6-2-2</w:t>
      </w:r>
      <w:r>
        <w:rPr>
          <w:rFonts w:eastAsiaTheme="minorEastAsia" w:hAnsiTheme="minorEastAsia"/>
          <w:sz w:val="24"/>
        </w:rPr>
        <w:t>。</w:t>
      </w:r>
    </w:p>
    <w:p w14:paraId="691815F6" w14:textId="77777777" w:rsidR="00B14D53" w:rsidRDefault="00000000">
      <w:pPr>
        <w:spacing w:line="360" w:lineRule="auto"/>
        <w:jc w:val="center"/>
        <w:rPr>
          <w:rFonts w:eastAsiaTheme="minorEastAsia"/>
          <w:sz w:val="24"/>
        </w:rPr>
      </w:pPr>
      <w:r>
        <w:rPr>
          <w:rFonts w:eastAsiaTheme="minorEastAsia"/>
          <w:noProof/>
          <w:sz w:val="24"/>
        </w:rPr>
        <mc:AlternateContent>
          <mc:Choice Requires="wps">
            <w:drawing>
              <wp:anchor distT="0" distB="0" distL="114300" distR="114300" simplePos="0" relativeHeight="251667456" behindDoc="0" locked="0" layoutInCell="1" allowOverlap="1" wp14:anchorId="73A7C07D" wp14:editId="059076D2">
                <wp:simplePos x="0" y="0"/>
                <wp:positionH relativeFrom="column">
                  <wp:posOffset>354330</wp:posOffset>
                </wp:positionH>
                <wp:positionV relativeFrom="paragraph">
                  <wp:posOffset>6755130</wp:posOffset>
                </wp:positionV>
                <wp:extent cx="273685" cy="0"/>
                <wp:effectExtent l="0" t="76200" r="12065" b="95250"/>
                <wp:wrapNone/>
                <wp:docPr id="49"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12700">
                          <a:solidFill>
                            <a:srgbClr val="00B0F0"/>
                          </a:solidFill>
                          <a:round/>
                          <a:tailEnd type="triangle" w="med" len="med"/>
                        </a:ln>
                      </wps:spPr>
                      <wps:bodyPr/>
                    </wps:wsp>
                  </a:graphicData>
                </a:graphic>
              </wp:anchor>
            </w:drawing>
          </mc:Choice>
          <mc:Fallback xmlns:wpsCustomData="http://www.wps.cn/officeDocument/2013/wpsCustomData">
            <w:pict>
              <v:shape id="AutoShape 1612" o:spid="_x0000_s1026" o:spt="32" type="#_x0000_t32" style="position:absolute;left:0pt;margin-left:27.9pt;margin-top:531.9pt;height:0pt;width:21.55pt;z-index:251667456;mso-width-relative:page;mso-height-relative:page;" filled="f" stroked="t" coordsize="21600,21600" o:gfxdata="UEsDBAoAAAAAAIdO4kAAAAAAAAAAAAAAAAAEAAAAZHJzL1BLAwQUAAAACACHTuJAurl8TdgAAAAL&#10;AQAADwAAAGRycy9kb3ducmV2LnhtbE2PS0/DMBCE70j8B2uRuFG7lERpiNNDRSRu0FIQ3Nx48xDx&#10;OordB/+e5YDgtjszmv22WJ3dII44hd6ThvlMgUCqve2p1bB7qW4yECEasmbwhBq+MMCqvLwoTG79&#10;iTZ43MZWcAmF3GjoYhxzKUPdoTNh5kck9ho/ORN5nVppJ3PicjfIW6VS6UxPfKEzI647rD+3B6ch&#10;e7VVs1m8Jw/N8zp9+qh2b493Suvrq7m6BxHxHP/C8IPP6FAy094fyAYxaEgSJo+sq3TBEyeW2RLE&#10;/leRZSH//1B+A1BLAwQUAAAACACHTuJAfa6DNvUBAADkAwAADgAAAGRycy9lMm9Eb2MueG1srVNN&#10;b9swDL0P2H8QdF9sZ1vaGXGKLVl26boA7X6AIsm2MFkUKCVO/v0o5WNrd+lhF4ESyffIR2p+dxgs&#10;22sMBlzDq0nJmXYSlHFdw38+rd/dchaicEpYcLrhRx343eLtm/noaz2FHqzSyAjEhXr0De9j9HVR&#10;BNnrQYQJeO3I2QIOItIVu0KhGAl9sMW0LGfFCKg8gtQh0Ovq5ORnRHwNILStkXoFcjdoF0+oqK2I&#10;1FLojQ98kattWy3jj7YNOjLbcOo05pNIyN6ms1jMRd2h8L2R5xLEa0p40dMgjCPSK9RKRMF2aP6B&#10;GoxECNDGiYShODWSFaEuqvKFNo+98Dr3QlIHfxU9/D9Y+bDfIDOq4R8+cebEQBP/vIuQqVk1q6ZJ&#10;otGHmiKXboOpSXlwj/4e5K/AHCx74Tqd45+OntKrlFE8S0mX4IloO34HRTGCKLJehxaHBElKsEMe&#10;y/E6Fn2ITNLj9Ob97PYjZ/LiKkR9yfMY4jcNA0tGw0NEYbo+LsE5mj1glVnE/j7EVJWoLwmJ1MHa&#10;WJtXwDo2UunTm7LMGQGsUcmb4gJ226VFthdpi8ov5TovDqE9C0PYOZXRojD2q1MsZkEiGpLIap4o&#10;Bq04s5q+XrJONVl3FixpdFJ7C+q4weRO2tHwc/HnRU3b9fc9R/35n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rl8TdgAAAALAQAADwAAAAAAAAABACAAAAAiAAAAZHJzL2Rvd25yZXYueG1sUEsB&#10;AhQAFAAAAAgAh07iQH2ugzb1AQAA5AMAAA4AAAAAAAAAAQAgAAAAJwEAAGRycy9lMm9Eb2MueG1s&#10;UEsFBgAAAAAGAAYAWQEAAI4FAAAAAA==&#10;">
                <v:fill on="f" focussize="0,0"/>
                <v:stroke weight="1pt" color="#00B0F0" joinstyle="round" endarrow="block"/>
                <v:imagedata o:title=""/>
                <o:lock v:ext="edit" aspectratio="f"/>
              </v:shape>
            </w:pict>
          </mc:Fallback>
        </mc:AlternateContent>
      </w:r>
      <w:r>
        <w:rPr>
          <w:rFonts w:eastAsiaTheme="minorEastAsia"/>
          <w:noProof/>
          <w:sz w:val="24"/>
        </w:rPr>
        <mc:AlternateContent>
          <mc:Choice Requires="wps">
            <w:drawing>
              <wp:anchor distT="0" distB="0" distL="114300" distR="114300" simplePos="0" relativeHeight="251669504" behindDoc="0" locked="0" layoutInCell="1" allowOverlap="1" wp14:anchorId="122B1010" wp14:editId="1913EB04">
                <wp:simplePos x="0" y="0"/>
                <wp:positionH relativeFrom="column">
                  <wp:posOffset>408940</wp:posOffset>
                </wp:positionH>
                <wp:positionV relativeFrom="paragraph">
                  <wp:posOffset>6116320</wp:posOffset>
                </wp:positionV>
                <wp:extent cx="168275" cy="76200"/>
                <wp:effectExtent l="0" t="0" r="22225" b="19050"/>
                <wp:wrapNone/>
                <wp:docPr id="59" name="Rectangle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76200"/>
                        </a:xfrm>
                        <a:prstGeom prst="rect">
                          <a:avLst/>
                        </a:prstGeom>
                        <a:solidFill>
                          <a:srgbClr val="FF00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58" o:spid="_x0000_s1026" o:spt="1" style="position:absolute;left:0pt;margin-left:32.2pt;margin-top:481.6pt;height:6pt;width:13.25pt;z-index:251669504;mso-width-relative:page;mso-height-relative:page;" fillcolor="#FF0000" filled="t" stroked="t" coordsize="21600,21600" o:gfxdata="UEsDBAoAAAAAAIdO4kAAAAAAAAAAAAAAAAAEAAAAZHJzL1BLAwQUAAAACACHTuJA7oLvGdcAAAAJ&#10;AQAADwAAAGRycy9kb3ducmV2LnhtbE2PPU/DMBCGdyT+g3VIbNRu2iYkjdOhwMTUwsJ2id0kYJ+D&#10;7X7w7zETnU6ne/Te89abizXspH0YHUmYzwQwTZ1TI/US3t9eHh6BhYik0DjSEn50gE1ze1NjpdyZ&#10;dvq0jz1LIRQqlDDEOFWch27QFsPMTZrS7eC8xZhW33Pl8ZzCreGZEDm3OFL6MOCkt4PuvvZHK6Ef&#10;t8/igxYrU4jwvSten1r0n1Le383FGljUl/gPw59+UocmObXuSCowIyFfLhMpocwXGbAElKIE1qZZ&#10;rDLgTc2vGzS/UEsDBBQAAAAIAIdO4kApCCh4OgIAAJUEAAAOAAAAZHJzL2Uyb0RvYy54bWytVM1u&#10;2zAMvg/YOwi6r46DuEmMOEXRIMOAbivW7QEUWbaF6W+UEqd7+lFSmqXdpYf5IIgi+ZH8SHp1c9SK&#10;HAR4aU1Dy6sJJcJw20rTN/TH9+2HBSU+MNMyZY1o6JPw9Gb9/t1qdLWY2sGqVgBBEOPr0TV0CMHV&#10;ReH5IDTzV9YJg8rOgmYBReiLFtiI6FoV08nkuhgttA4sF97j6yYr6QkR3gJou05ysbF8r4UJGRWE&#10;YgFL8oN0nq5Ttl0nePjadV4EohqKlYZ0YhC87+JZrFes7oG5QfJTCuwtKbyqSTNpMOgZasMCI3uQ&#10;/0BpycF624UrbnWRC0mMYBXl5BU3jwNzItWCVHt3Jt3/P1j+5fAARLYNrZaUGKax49+QNWZ6JUi5&#10;qBaRotH5Gi0f3QPEIr27t/ynJ8beDWgobgHsOAjWYmJltC9eOETBoyvZjZ9tiwHYPtjE1rEDHQGR&#10;B3JMTXk6N0UcA+H4WF4vpvOKEo6q+TVOUArA6mdfBz58FFaTeGkoYPIJmx3ufYi5sPrZJOVulWy3&#10;UqkkQL+7U0AODMdju53gl32VG1h+rdJjxvHZPGH6SxxlyNjQZTWtkvsL3ckpo0WwcwUvzLQMuFZK&#10;6oYuLo2UOdEZGcyd2Nn2CdkEm6cZdxkvg4XflIw4yQ31v/YMBCXqk8GOLMvZLI5+EmbVfIoCXGp2&#10;lxpmOEI1NFCSr3chr8vegewHjFSmGo29xS52MlEcO5yzOiWL05pYOm1WXIdLOVn9/Zu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ugu8Z1wAAAAkBAAAPAAAAAAAAAAEAIAAAACIAAABkcnMvZG93&#10;bnJldi54bWxQSwECFAAUAAAACACHTuJAKQgoeDoCAACVBAAADgAAAAAAAAABACAAAAAmAQAAZHJz&#10;L2Uyb0RvYy54bWxQSwUGAAAAAAYABgBZAQAA0gU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668480" behindDoc="0" locked="0" layoutInCell="1" allowOverlap="1" wp14:anchorId="2C2BAA95" wp14:editId="223BDD76">
                <wp:simplePos x="0" y="0"/>
                <wp:positionH relativeFrom="column">
                  <wp:posOffset>415290</wp:posOffset>
                </wp:positionH>
                <wp:positionV relativeFrom="paragraph">
                  <wp:posOffset>6320155</wp:posOffset>
                </wp:positionV>
                <wp:extent cx="168275" cy="88265"/>
                <wp:effectExtent l="0" t="0" r="22225" b="26035"/>
                <wp:wrapNone/>
                <wp:docPr id="60"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88265"/>
                        </a:xfrm>
                        <a:prstGeom prst="rect">
                          <a:avLst/>
                        </a:prstGeom>
                        <a:solidFill>
                          <a:srgbClr val="FFFF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57" o:spid="_x0000_s1026" o:spt="1" style="position:absolute;left:0pt;margin-left:32.7pt;margin-top:497.65pt;height:6.95pt;width:13.25pt;z-index:251668480;mso-width-relative:page;mso-height-relative:page;" fillcolor="#FFFF00" filled="t" stroked="t" coordsize="21600,21600" o:gfxdata="UEsDBAoAAAAAAIdO4kAAAAAAAAAAAAAAAAAEAAAAZHJzL1BLAwQUAAAACACHTuJAjVSKWtgAAAAK&#10;AQAADwAAAGRycy9kb3ducmV2LnhtbE2PQU7DMBBF90jcwRokdtROIQWHOBVFwIINIvQATmyS0Hgc&#10;2U5abs+wguXoP/3/ptye3MgWG+LgUUG2EsAstt4M2CnYfzxf3QGLSaPRo0er4NtG2FbnZ6UujD/i&#10;u13q1DEqwVhoBX1KU8F5bHvrdFz5ySJlnz44negMHTdBH6ncjXwtxIY7PSAt9Hqyj71tD/XsFLzt&#10;mvnV+91eTC9fS354CO6pvlXq8iIT98CSPaU/GH71SR0qcmr8jCayUcEmvyFSgZT5NTACZCaBNQQK&#10;IdfAq5L/f6H6AVBLAwQUAAAACACHTuJA5KQl6joCAACVBAAADgAAAGRycy9lMm9Eb2MueG1srVTN&#10;btswDL4P2DsIuq+2gzpNjTpF0aLDgP0U6/YAiizHwiRRo5Q43dOPkt027S49zAdBFMmP5EfSF5cH&#10;a9heYdDgWl6dlJwpJ6HTbtvynz9uP6w4C1G4ThhwquUPKvDL9ft3F6Nv1AIGMJ1CRiAuNKNv+RCj&#10;b4oiyEFZEU7AK0fKHtCKSCJuiw7FSOjWFIuyXBYjYOcRpAqBXm8mJZ8R8S2A0PdaqhuQO6tcnFBR&#10;GRGppDBoH/g6Z9v3SsZvfR9UZKblVGnMJwWh+yadxfpCNFsUftByTkG8JYVXNVmhHQV9groRUbAd&#10;6n+grJYIAfp4IsEWUyGZEaqiKl9xcz8Ir3ItRHXwT6SH/wcrv+7vkOmu5UuixAlLHf9OrAm3NYpV&#10;q/osUTT60JDlvb/DVGTwn0H+CszB9UCG6goRxkGJjhKrkn3xwiEJgVzZZvwCHQUQuwiZrUOPNgES&#10;D+yQm/Lw1BR1iEzSY7VcLc5qziSpVqvFss4BRPPo6zHEjwosS5eWIyWfscX+c4gpF9E8muTcweju&#10;VhuTBdxurg2yvaDxuKWvLCdf4wcxvdYlfXPIMJlnzHCMYxwbW35eL+rs/kI3O01oCewZ7hjC6khr&#10;ZbSlKo+NjJvpTAxOndhA90BsIkzTTLtMlwHwD2cjTXLLw++dQMWZ+eSoI+fV6Wka/Syc1mcLEvBY&#10;sznWCCcJquWRs+l6Had12XnU24EiVblGB1fUxV5nilOHp6zmZGlaM0vzZqV1OJaz1fPfZP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VSKWtgAAAAKAQAADwAAAAAAAAABACAAAAAiAAAAZHJzL2Rv&#10;d25yZXYueG1sUEsBAhQAFAAAAAgAh07iQOSkJeo6AgAAlQQAAA4AAAAAAAAAAQAgAAAAJwEAAGRy&#10;cy9lMm9Eb2MueG1sUEsFBgAAAAAGAAYAWQEAANMFA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674624" behindDoc="0" locked="0" layoutInCell="1" allowOverlap="1" wp14:anchorId="6DABCEB5" wp14:editId="7325E399">
                <wp:simplePos x="0" y="0"/>
                <wp:positionH relativeFrom="column">
                  <wp:posOffset>423545</wp:posOffset>
                </wp:positionH>
                <wp:positionV relativeFrom="paragraph">
                  <wp:posOffset>6515735</wp:posOffset>
                </wp:positionV>
                <wp:extent cx="168275" cy="88265"/>
                <wp:effectExtent l="0" t="0" r="22225" b="26035"/>
                <wp:wrapNone/>
                <wp:docPr id="61"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88265"/>
                        </a:xfrm>
                        <a:prstGeom prst="rect">
                          <a:avLst/>
                        </a:prstGeom>
                        <a:solidFill>
                          <a:srgbClr val="00B0F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901" o:spid="_x0000_s1026" o:spt="1" style="position:absolute;left:0pt;margin-left:33.35pt;margin-top:513.05pt;height:6.95pt;width:13.25pt;z-index:251674624;mso-width-relative:page;mso-height-relative:page;" fillcolor="#00B0F0" filled="t" stroked="t" coordsize="21600,21600" o:gfxdata="UEsDBAoAAAAAAIdO4kAAAAAAAAAAAAAAAAAEAAAAZHJzL1BLAwQUAAAACACHTuJAI9iEe9oAAAAL&#10;AQAADwAAAGRycy9kb3ducmV2LnhtbE2Py07EMAxF90j8Q2QkNohJWobOUJrOAoGQWCBRuoBdpnEf&#10;onGqJvP6ezwrWPr66Pq42BzdKPY4h8GThmShQCA13g7Uaag/X27XIEI0ZM3oCTWcMMCmvLwoTG79&#10;gT5wX8VOcAmF3GjoY5xyKUPTozNh4Sck3rV+dibyOHfSzubA5W6UqVKZdGYgvtCbCZ96bH6qndNQ&#10;uZu3r7ZePb/X3zHeL9vT67CutL6+StQjiIjH+AfDWZ/VoWSnrd+RDWLUkGUrJjlXaZaAYOLhLgWx&#10;PSdLpUCWhfz/Q/kLUEsDBBQAAAAIAIdO4kCc84/KOgIAAJUEAAAOAAAAZHJzL2Uyb0RvYy54bWyt&#10;VMGO2jAQvVfqP1i+lyQIWECE1RZEVWnbXXXbDzCOQ6zaHndsCNuv78QBym4veyiHyOOZefPmjYfF&#10;7dEadlAYNLiSF4OcM+UkVNrtSv7j++bDlLMQhauEAadK/qwCv12+f7do/VwNoQFTKWQE4sK89SVv&#10;YvTzLAuyUVaEAXjlyFkDWhHJxF1WoWgJ3ZpsmOeTrAWsPIJUIdDtunfyEyK+BRDqWku1Brm3ysUe&#10;FZURkVoKjfaBLxPbulYyPtR1UJGZklOnMX2pCJ233TdbLsR8h8I3Wp4oiLdQeNWTFdpR0QvUWkTB&#10;9qj/gbJaIgSo40CCzfpGkiLURZG/0uapEV6lXkjq4C+ih/8HK78eHpHpquSTgjMnLE38G6km3M4o&#10;VszyopOo9WFOkU/+Ebsmg78H+TMwB6uGAtUdIrSNEhURS/HZi4TOCJTKtu0XqKiA2EdIah1rtB0g&#10;6cCOaSjPl6GoY2SSLovJdHgz5kySazodTsYdoUzMz7keQ/ykwLLuUHIk8glbHO5D7EPPIYk7GF1t&#10;tDHJwN12ZZAdRPc88o/5Ju9zjW9EfzvO6XcqGfrwVD5c4xjH2pLPxsNxSn/hOyWda1zDXUNYHWmt&#10;jLbUZRdzrmkclTsr2E9iC9UzqYnQv2baZTo0gL85a+kllzz82gtUnJnPjiYyK0aj7uknYzS+GZKB&#10;157ttUc4SVAlj5z1x1Xs12XvUe8aqlSkHh3c0RRrnSTu+PWsTmTptSaVTpvVrcO1naL+/ps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j2IR72gAAAAsBAAAPAAAAAAAAAAEAIAAAACIAAABkcnMv&#10;ZG93bnJldi54bWxQSwECFAAUAAAACACHTuJAnPOPyjoCAACVBAAADgAAAAAAAAABACAAAAApAQAA&#10;ZHJzL2Uyb0RvYy54bWxQSwUGAAAAAAYABgBZAQAA1QU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666432" behindDoc="0" locked="0" layoutInCell="1" allowOverlap="1" wp14:anchorId="0F994984" wp14:editId="06A5F3D8">
                <wp:simplePos x="0" y="0"/>
                <wp:positionH relativeFrom="column">
                  <wp:posOffset>269240</wp:posOffset>
                </wp:positionH>
                <wp:positionV relativeFrom="paragraph">
                  <wp:posOffset>5808345</wp:posOffset>
                </wp:positionV>
                <wp:extent cx="1208405" cy="1419860"/>
                <wp:effectExtent l="5080" t="4445" r="5715" b="23495"/>
                <wp:wrapNone/>
                <wp:docPr id="58"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419860"/>
                        </a:xfrm>
                        <a:prstGeom prst="rect">
                          <a:avLst/>
                        </a:prstGeom>
                        <a:solidFill>
                          <a:srgbClr val="FFFFFF"/>
                        </a:solidFill>
                        <a:ln w="9525">
                          <a:solidFill>
                            <a:schemeClr val="tx1"/>
                          </a:solidFill>
                          <a:miter lim="800000"/>
                        </a:ln>
                      </wps:spPr>
                      <wps:txbx>
                        <w:txbxContent>
                          <w:p w14:paraId="59D27B6A" w14:textId="77777777" w:rsidR="00B14D53" w:rsidRDefault="00000000">
                            <w:pPr>
                              <w:jc w:val="center"/>
                              <w:rPr>
                                <w:b/>
                                <w:sz w:val="24"/>
                              </w:rPr>
                            </w:pPr>
                            <w:r>
                              <w:rPr>
                                <w:rFonts w:hint="eastAsia"/>
                                <w:b/>
                                <w:sz w:val="24"/>
                              </w:rPr>
                              <w:t>图</w:t>
                            </w:r>
                            <w:r>
                              <w:rPr>
                                <w:rFonts w:hint="eastAsia"/>
                                <w:b/>
                                <w:sz w:val="24"/>
                              </w:rPr>
                              <w:t xml:space="preserve"> </w:t>
                            </w:r>
                            <w:r>
                              <w:rPr>
                                <w:rFonts w:hint="eastAsia"/>
                                <w:b/>
                                <w:sz w:val="24"/>
                              </w:rPr>
                              <w:t>例</w:t>
                            </w:r>
                          </w:p>
                          <w:p w14:paraId="7AD579CE" w14:textId="77777777" w:rsidR="00B14D53" w:rsidRDefault="00000000">
                            <w:pPr>
                              <w:jc w:val="center"/>
                              <w:rPr>
                                <w:szCs w:val="21"/>
                              </w:rPr>
                            </w:pPr>
                            <w:r>
                              <w:rPr>
                                <w:rFonts w:hint="eastAsia"/>
                                <w:szCs w:val="21"/>
                              </w:rPr>
                              <w:t>重点防渗</w:t>
                            </w:r>
                          </w:p>
                          <w:p w14:paraId="6AAECE0B" w14:textId="77777777" w:rsidR="00B14D53" w:rsidRDefault="00000000">
                            <w:pPr>
                              <w:jc w:val="center"/>
                              <w:rPr>
                                <w:szCs w:val="21"/>
                              </w:rPr>
                            </w:pPr>
                            <w:r>
                              <w:rPr>
                                <w:rFonts w:hint="eastAsia"/>
                                <w:szCs w:val="21"/>
                              </w:rPr>
                              <w:t xml:space="preserve">  </w:t>
                            </w:r>
                            <w:r>
                              <w:rPr>
                                <w:szCs w:val="21"/>
                              </w:rPr>
                              <w:t>简单防渗</w:t>
                            </w:r>
                          </w:p>
                          <w:p w14:paraId="4F235FBA" w14:textId="77777777" w:rsidR="00B14D53" w:rsidRDefault="00000000">
                            <w:pPr>
                              <w:jc w:val="center"/>
                              <w:rPr>
                                <w:szCs w:val="21"/>
                              </w:rPr>
                            </w:pPr>
                            <w:r>
                              <w:rPr>
                                <w:rFonts w:hint="eastAsia"/>
                                <w:szCs w:val="21"/>
                              </w:rPr>
                              <w:t xml:space="preserve"> </w:t>
                            </w:r>
                            <w:r>
                              <w:rPr>
                                <w:szCs w:val="21"/>
                              </w:rPr>
                              <w:t xml:space="preserve"> </w:t>
                            </w:r>
                            <w:r>
                              <w:rPr>
                                <w:rFonts w:hint="eastAsia"/>
                                <w:szCs w:val="21"/>
                              </w:rPr>
                              <w:t>一般防渗</w:t>
                            </w:r>
                          </w:p>
                          <w:p w14:paraId="1B1C3358" w14:textId="77777777" w:rsidR="00B14D53" w:rsidRDefault="00000000">
                            <w:pPr>
                              <w:jc w:val="center"/>
                              <w:rPr>
                                <w:szCs w:val="21"/>
                              </w:rPr>
                            </w:pPr>
                            <w:r>
                              <w:rPr>
                                <w:rFonts w:hint="eastAsia"/>
                                <w:szCs w:val="21"/>
                              </w:rPr>
                              <w:t xml:space="preserve">   </w:t>
                            </w:r>
                            <w:r>
                              <w:rPr>
                                <w:rFonts w:hint="eastAsia"/>
                                <w:szCs w:val="21"/>
                              </w:rPr>
                              <w:t>地下水流向</w:t>
                            </w:r>
                          </w:p>
                          <w:p w14:paraId="23EA8978" w14:textId="77777777" w:rsidR="00B14D53" w:rsidRDefault="00000000">
                            <w:pPr>
                              <w:jc w:val="center"/>
                              <w:rPr>
                                <w:szCs w:val="21"/>
                              </w:rPr>
                            </w:pPr>
                            <w:r>
                              <w:rPr>
                                <w:rFonts w:hint="eastAsia"/>
                                <w:szCs w:val="21"/>
                              </w:rPr>
                              <w:t>监测井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Text Box 1610" o:spid="_x0000_s1026" o:spt="202" type="#_x0000_t202" style="position:absolute;left:0pt;margin-left:21.2pt;margin-top:457.35pt;height:111.8pt;width:95.15pt;z-index:251666432;mso-width-relative:page;mso-height-relative:page;" fillcolor="#FFFFFF" filled="t" stroked="t" coordsize="21600,21600" o:gfxdata="UEsDBAoAAAAAAIdO4kAAAAAAAAAAAAAAAAAEAAAAZHJzL1BLAwQUAAAACACHTuJAyc+sttkAAAAL&#10;AQAADwAAAGRycy9kb3ducmV2LnhtbE2PTU/DMAyG70j8h8hIXBBLv7R1pekOSCC4sYHgmjVeW5E4&#10;pcm68e8xJ7jZ8qPXz1tvzs6KGacweFKQLhIQSK03A3UK3l4fbksQIWoy2npCBd8YYNNcXtS6Mv5E&#10;W5x3sRMcQqHSCvoYx0rK0PbodFj4EYlvBz85HXmdOmkmfeJwZ2WWJEvp9ED8odcj3vfYfu6OTkFZ&#10;PM0f4Tl/eW+XB7uON6v58WtS6voqTe5ARDzHPxh+9VkdGnba+yOZIKyCIiuYVLBOixUIBrI842HP&#10;ZJqXOcimlv87ND9QSwMEFAAAAAgAh07iQOT7j280AgAAiwQAAA4AAABkcnMvZTJvRG9jLnhtbK1U&#10;227bMAx9H7B/EPS+2g6SLjXqFF2CDgO6C9DuAxRZjoVJokYpsbuvHyWnbdBtQB/mB0M0qcPDQ9KX&#10;V6M17KAwaHANr85KzpST0Gq3a/j3+5t3S85CFK4VBpxq+IMK/Gr19s3l4Gs1gx5Mq5ARiAv14Bve&#10;x+jrogiyV1aEM/DKkbMDtCKSibuiRTEQujXFrCzPiwGw9QhShUBfN5OTHxHxNYDQdVqqDci9VS5O&#10;qKiMiFRS6LUPfJXZdp2S8WvXBRWZaThVGvObktB5m97F6lLUOxS+1/JIQbyGwouarNCOkj5BbUQU&#10;bI/6DyirJUKALp5JsMVUSFaEqqjKF9rc9cKrXAtJHfyT6OH/wcovh2/IdNvwBfXdCUsdv1djZB9g&#10;ZNV5lRUafKgp8M5TaBzJQ3OTqw3+FuSPwByse+F26hoRhl6JlhhWSdvi5GrqSahDAtkOn6GlTGIf&#10;IQONHdokHwnCCJ268/DUncRGppSzcjkvF5xJ8lXz6mJ5ntkVon687jHEjwosS4eGI7U/w4vDbYiJ&#10;jqgfQ1K2AEa3N9qYbOBuuzbIDoJG5SY/uYIXYcaxoeEXi9liUuCfEGV+/gZhdaQNMto2fHkaZNxR&#10;sKTRpFYctyPxTsJtoX0g6RCmGaYNpkMP+Iuzgea34eHnXqDizHxyJP9FNZ+ngc/GfPF+Rgaeeran&#10;HuEkQTU8cjYd13Fakr1Hvesp09RwB9fUsk5nMZ9ZHXnTjGaNj/uUluDUzlHP/5D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nPrLbZAAAACwEAAA8AAAAAAAAAAQAgAAAAIgAAAGRycy9kb3ducmV2&#10;LnhtbFBLAQIUABQAAAAIAIdO4kDk+49vNAIAAIsEAAAOAAAAAAAAAAEAIAAAACgBAABkcnMvZTJv&#10;RG9jLnhtbFBLBQYAAAAABgAGAFkBAADOBQAAAAA=&#10;">
                <v:fill on="t" focussize="0,0"/>
                <v:stroke color="#000000 [3213]" miterlimit="8" joinstyle="miter"/>
                <v:imagedata o:title=""/>
                <o:lock v:ext="edit" aspectratio="f"/>
                <v:textbox>
                  <w:txbxContent>
                    <w:p w14:paraId="1345A105">
                      <w:pPr>
                        <w:jc w:val="center"/>
                        <w:rPr>
                          <w:b/>
                          <w:sz w:val="24"/>
                        </w:rPr>
                      </w:pPr>
                      <w:r>
                        <w:rPr>
                          <w:rFonts w:hint="eastAsia"/>
                          <w:b/>
                          <w:sz w:val="24"/>
                        </w:rPr>
                        <w:t>图 例</w:t>
                      </w:r>
                    </w:p>
                    <w:p w14:paraId="118A4AEC">
                      <w:pPr>
                        <w:jc w:val="center"/>
                        <w:rPr>
                          <w:szCs w:val="21"/>
                        </w:rPr>
                      </w:pPr>
                      <w:r>
                        <w:rPr>
                          <w:rFonts w:hint="eastAsia"/>
                          <w:szCs w:val="21"/>
                        </w:rPr>
                        <w:t>重点防渗</w:t>
                      </w:r>
                    </w:p>
                    <w:p w14:paraId="2D4F79BD">
                      <w:pPr>
                        <w:jc w:val="center"/>
                        <w:rPr>
                          <w:szCs w:val="21"/>
                        </w:rPr>
                      </w:pPr>
                      <w:r>
                        <w:rPr>
                          <w:rFonts w:hint="eastAsia"/>
                          <w:szCs w:val="21"/>
                        </w:rPr>
                        <w:t xml:space="preserve">  </w:t>
                      </w:r>
                      <w:r>
                        <w:rPr>
                          <w:szCs w:val="21"/>
                        </w:rPr>
                        <w:t>简单防渗</w:t>
                      </w:r>
                    </w:p>
                    <w:p w14:paraId="535AF86F">
                      <w:pPr>
                        <w:jc w:val="center"/>
                        <w:rPr>
                          <w:szCs w:val="21"/>
                        </w:rPr>
                      </w:pPr>
                      <w:r>
                        <w:rPr>
                          <w:rFonts w:hint="eastAsia"/>
                          <w:szCs w:val="21"/>
                        </w:rPr>
                        <w:t xml:space="preserve"> </w:t>
                      </w:r>
                      <w:r>
                        <w:rPr>
                          <w:szCs w:val="21"/>
                        </w:rPr>
                        <w:t xml:space="preserve"> </w:t>
                      </w:r>
                      <w:r>
                        <w:rPr>
                          <w:rFonts w:hint="eastAsia"/>
                          <w:szCs w:val="21"/>
                        </w:rPr>
                        <w:t>一般防渗</w:t>
                      </w:r>
                    </w:p>
                    <w:p w14:paraId="2DC58F8D">
                      <w:pPr>
                        <w:jc w:val="center"/>
                        <w:rPr>
                          <w:szCs w:val="21"/>
                        </w:rPr>
                      </w:pPr>
                      <w:r>
                        <w:rPr>
                          <w:rFonts w:hint="eastAsia"/>
                          <w:szCs w:val="21"/>
                        </w:rPr>
                        <w:t xml:space="preserve">   地下水流向</w:t>
                      </w:r>
                    </w:p>
                    <w:p w14:paraId="2F74701C">
                      <w:pPr>
                        <w:jc w:val="center"/>
                        <w:rPr>
                          <w:szCs w:val="21"/>
                        </w:rPr>
                      </w:pPr>
                      <w:r>
                        <w:rPr>
                          <w:rFonts w:hint="eastAsia"/>
                          <w:szCs w:val="21"/>
                        </w:rPr>
                        <w:t>监测井</w:t>
                      </w:r>
                    </w:p>
                  </w:txbxContent>
                </v:textbox>
              </v:shape>
            </w:pict>
          </mc:Fallback>
        </mc:AlternateContent>
      </w:r>
      <w:r>
        <w:rPr>
          <w:rFonts w:eastAsiaTheme="minorEastAsia"/>
          <w:noProof/>
          <w:sz w:val="24"/>
        </w:rPr>
        <mc:AlternateContent>
          <mc:Choice Requires="wps">
            <w:drawing>
              <wp:anchor distT="0" distB="0" distL="114300" distR="114300" simplePos="0" relativeHeight="251670528" behindDoc="0" locked="0" layoutInCell="1" allowOverlap="1" wp14:anchorId="2788635D" wp14:editId="36589B9C">
                <wp:simplePos x="0" y="0"/>
                <wp:positionH relativeFrom="column">
                  <wp:posOffset>459740</wp:posOffset>
                </wp:positionH>
                <wp:positionV relativeFrom="paragraph">
                  <wp:posOffset>6894830</wp:posOffset>
                </wp:positionV>
                <wp:extent cx="138430" cy="119380"/>
                <wp:effectExtent l="13335" t="5080" r="10160" b="8890"/>
                <wp:wrapNone/>
                <wp:docPr id="48" name="AutoShap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9380"/>
                        </a:xfrm>
                        <a:prstGeom prst="flowChar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859" o:spid="_x0000_s1026" o:spt="124" type="#_x0000_t124" style="position:absolute;left:0pt;margin-left:36.2pt;margin-top:542.9pt;height:9.4pt;width:10.9pt;z-index:251670528;mso-width-relative:page;mso-height-relative:page;" fillcolor="#FFFFFF" filled="t" stroked="t" coordsize="21600,21600" o:gfxdata="UEsDBAoAAAAAAIdO4kAAAAAAAAAAAAAAAAAEAAAAZHJzL1BLAwQUAAAACACHTuJARfcuttgAAAAL&#10;AQAADwAAAGRycy9kb3ducmV2LnhtbE2PPU/DMBCGdyT+g3VIbNRO5H4Q4nRAYmBgoFTQ0Y3dOG18&#10;jmynLf+eY4Lx3nv0ftTrqx/Y2cbUB1RQzAQwi20wPXYKth8vDytgKWs0eghoFXzbBOvm9qbWlQkX&#10;fLfnTe4YmWCqtAKX81hxnlpnvU6zMFqk3yFErzOdseMm6guZ+4GXQiy41z1SgtOjfXa2PW0mryBM&#10;b+3x1Uf/ddzt3Gc4yNN8KZW6vyvEE7Bsr/kPht/6VB0a6rQPE5rEBgXLUhJJuljNaQMRj7IEtiel&#10;EHIBvKn5/w3ND1BLAwQUAAAACACHTuJAU009SyoCAABvBAAADgAAAGRycy9lMm9Eb2MueG1srVRN&#10;b9swDL0P2H8QdF8c52NLjDhFkSDDgG4t0O0HKLIcC5NFjVLiZL9+lJymabdDD/NBEEXqke+R8uLm&#10;2Bp2UOg12JLngyFnykqotN2V/Mf3zYcZZz4IWwkDVpX8pDy/Wb5/t+hcoUbQgKkUMgKxvuhcyZsQ&#10;XJFlXjaqFX4ATlly1oCtCGTiLqtQdITemmw0HH7MOsDKIUjlPZ2ueyc/I+JbAKGutVRrkPtW2dCj&#10;ojIiECXfaOf5MlVb10qG+7r2KjBTcmIa0kpJaL+Na7ZciGKHwjVanksQbynhFadWaEtJL1BrEQTb&#10;o/4LqtUSwUMdBhLarCeSFCEW+fCVNo+NcCpxIam9u4ju/x+s/HZ4QKarkk+o71a01PHbfYCUmuWz&#10;6TxK1DlfUOSje8BI0rs7kD89s7BqhN2pW0ToGiUqKiyP8dmLC9HwdJVtu69QUQJBCZJaxxrbCEg6&#10;sGNqyunSFHUMTNJhPp5NxtQuSa48n49nqWmZKJ4uO/Ths4KWxU3JawMdlYXhHlMOcbjzIdYkiqfI&#10;xAGMrjbamGTgbrsyyA6CxmSTvkSDqF6HGcu6ks+no2lCfuHz1xDD9P0LAmFvq74aY89CRW16jbdQ&#10;nUgnhH5O6ZXSpgH8zVlHM1py/2svUHFmvljSep5PJnGokzGZfhqRgdee7bVHWElQJQ+c9dtV6B/C&#10;3qHeNZQpT7QsxAGodRIt9q6v6lwszWHS8vxm4qBf2ynq+T+x/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9y622AAAAAsBAAAPAAAAAAAAAAEAIAAAACIAAABkcnMvZG93bnJldi54bWxQSwECFAAU&#10;AAAACACHTuJAU009SyoCAABvBAAADgAAAAAAAAABACAAAAAnAQAAZHJzL2Uyb0RvYy54bWxQSwUG&#10;AAAAAAYABgBZAQAAwwUAAAAA&#10;">
                <v:fill on="t" focussize="0,0"/>
                <v:stroke color="#000000" joinstyle="round"/>
                <v:imagedata o:title=""/>
                <o:lock v:ext="edit" aspectratio="f"/>
              </v:shape>
            </w:pict>
          </mc:Fallback>
        </mc:AlternateContent>
      </w:r>
      <w:r>
        <w:rPr>
          <w:rFonts w:eastAsiaTheme="minorEastAsia"/>
          <w:noProof/>
          <w:sz w:val="24"/>
        </w:rPr>
        <mc:AlternateContent>
          <mc:Choice Requires="wps">
            <w:drawing>
              <wp:anchor distT="0" distB="0" distL="114300" distR="114300" simplePos="0" relativeHeight="251777024" behindDoc="0" locked="0" layoutInCell="1" allowOverlap="1" wp14:anchorId="00568BB0" wp14:editId="13399484">
                <wp:simplePos x="0" y="0"/>
                <wp:positionH relativeFrom="column">
                  <wp:posOffset>2396490</wp:posOffset>
                </wp:positionH>
                <wp:positionV relativeFrom="paragraph">
                  <wp:posOffset>1317625</wp:posOffset>
                </wp:positionV>
                <wp:extent cx="322580" cy="177165"/>
                <wp:effectExtent l="4445" t="4445" r="15875" b="8890"/>
                <wp:wrapNone/>
                <wp:docPr id="356" name="Rectangle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177165"/>
                        </a:xfrm>
                        <a:prstGeom prst="rect">
                          <a:avLst/>
                        </a:prstGeom>
                        <a:solidFill>
                          <a:srgbClr val="FF00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56" o:spid="_x0000_s1026" o:spt="1" style="position:absolute;left:0pt;margin-left:188.7pt;margin-top:103.75pt;height:13.95pt;width:25.4pt;z-index:251777024;mso-width-relative:page;mso-height-relative:page;" fillcolor="#FF0000" filled="t" stroked="t" coordsize="21600,21600" o:gfxdata="UEsDBAoAAAAAAIdO4kAAAAAAAAAAAAAAAAAEAAAAZHJzL1BLAwQUAAAACACHTuJA55rxEdgAAAAL&#10;AQAADwAAAGRycy9kb3ducmV2LnhtbE2Pu1LDMBBFe2b4B80yQ0ek+IEyjuUUASqqJDR0srXYDtLK&#10;WMqDv0dUUO7umbvn1purs+yMcxg9KVguBDCkzpuRegVvh5eHFbAQNRltPaGCbwywaW5val0Zf6Ed&#10;nvexZymEQqUVDDFOFeehG9DpsPATUrp9+NnpmMa552bWlxTuLM+EeOROj5Q+DHrC7YDd5/7kFPTj&#10;9lm8U15aKcLXTr4+tXo+KnV/txRrYBGv8Q+GX/2kDk1yav2JTGBWQS5lkVAFmZAlsEQU2SoD1qZN&#10;XhbAm5r/79D8AFBLAwQUAAAACACHTuJAdq7pQD0CAACXBAAADgAAAGRycy9lMm9Eb2MueG1srVTN&#10;btswDL4P2DsIuq+O07pNjTpF0SLDgG4r1u0BFFmOhUmiRilxuqcfLblZ2l16WA6G+PeR/Ejm6npv&#10;DdspDBpcw8uTGWfKSWi12zT8x/fVhwVnIQrXCgNONfxJBX69fP/uavC1mkMPplXICMSFevAN72P0&#10;dVEE2Ssrwgl45cjYAVoRScRN0aIYCN2aYj6bnRcDYOsRpAqBtHfZyCdEfAsgdJ2W6g7k1ioXMyoq&#10;IyK1FHrtA1+martOyfi164KKzDScOo3pS0novR6/xfJK1BsUvtdyKkG8pYRXPVmhHSU9QN2JKNgW&#10;9T9QVkuEAF08kWCL3EhihLooZ6+4eeyFV6kXojr4A+nh/8HKL7sHZLpt+Gl1zpkTlkb+jWgTbmMU&#10;KxekJY4GH2pyffQPOHYZ/D3In4E5uO3JUd0gwtAr0VJl5ehfvAgYhUChbD18hpYSiG2ERNe+QzsC&#10;EhFsn6bydJiK2kcmSXk6n1cLmpckU3lxUZ5XKYOon4M9hvhRgWXjo+FI1SdwsbsPcSxG1M8uqXgw&#10;ul1pY5KAm/WtQbYTtCCr1Yx+Odb4XmRtlZQZJ2T3hBmOcYxjQ8Mvq3mVwl/YpqCMNoJRjgnuGMLq&#10;SIdltG344tjJuInPkcI8ijW0T0QnQt5numZ69IC/ORtolxsefm0FKs7MJ0cjuSzPzsblT8JZdTEn&#10;AY8t62OLcJKgGh45y8/bmA9m61FvespUph4d3NAYO50oHkecq5qKpX1NLE23NR7EsZy8/v6fL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5rxEdgAAAALAQAADwAAAAAAAAABACAAAAAiAAAAZHJz&#10;L2Rvd25yZXYueG1sUEsBAhQAFAAAAAgAh07iQHau6UA9AgAAlwQAAA4AAAAAAAAAAQAgAAAAJwEA&#10;AGRycy9lMm9Eb2MueG1sUEsFBgAAAAAGAAYAWQEAANYFAAAAAA==&#10;">
                <v:fill on="t" opacity="32768f" focussize="0,0"/>
                <v:stroke color="#000000" miterlimit="8" joinstyle="miter"/>
                <v:imagedata o:title=""/>
                <o:lock v:ext="edit" aspectratio="f"/>
              </v:rect>
            </w:pict>
          </mc:Fallback>
        </mc:AlternateContent>
      </w:r>
      <w:r>
        <w:rPr>
          <w:noProof/>
          <w:sz w:val="24"/>
        </w:rPr>
        <mc:AlternateContent>
          <mc:Choice Requires="wps">
            <w:drawing>
              <wp:anchor distT="0" distB="0" distL="114300" distR="114300" simplePos="0" relativeHeight="251776000" behindDoc="0" locked="0" layoutInCell="1" allowOverlap="1" wp14:anchorId="23033A90" wp14:editId="4DEA6768">
                <wp:simplePos x="0" y="0"/>
                <wp:positionH relativeFrom="column">
                  <wp:posOffset>1285240</wp:posOffset>
                </wp:positionH>
                <wp:positionV relativeFrom="paragraph">
                  <wp:posOffset>3310255</wp:posOffset>
                </wp:positionV>
                <wp:extent cx="902335" cy="1573530"/>
                <wp:effectExtent l="4445" t="4445" r="7620" b="22225"/>
                <wp:wrapNone/>
                <wp:docPr id="355" name="任意多边形 355"/>
                <wp:cNvGraphicFramePr/>
                <a:graphic xmlns:a="http://schemas.openxmlformats.org/drawingml/2006/main">
                  <a:graphicData uri="http://schemas.microsoft.com/office/word/2010/wordprocessingShape">
                    <wps:wsp>
                      <wps:cNvSpPr/>
                      <wps:spPr>
                        <a:xfrm>
                          <a:off x="2428240" y="4224655"/>
                          <a:ext cx="902335" cy="1573530"/>
                        </a:xfrm>
                        <a:custGeom>
                          <a:avLst/>
                          <a:gdLst>
                            <a:gd name="connisteX0" fmla="*/ 0 w 902335"/>
                            <a:gd name="connsiteY0" fmla="*/ 27305 h 1573530"/>
                            <a:gd name="connisteX1" fmla="*/ 106680 w 902335"/>
                            <a:gd name="connsiteY1" fmla="*/ 1573530 h 1573530"/>
                            <a:gd name="connisteX2" fmla="*/ 902335 w 902335"/>
                            <a:gd name="connsiteY2" fmla="*/ 1535430 h 1573530"/>
                            <a:gd name="connisteX3" fmla="*/ 868680 w 902335"/>
                            <a:gd name="connsiteY3" fmla="*/ 1081405 h 1573530"/>
                            <a:gd name="connisteX4" fmla="*/ 683895 w 902335"/>
                            <a:gd name="connsiteY4" fmla="*/ 1064260 h 1573530"/>
                            <a:gd name="connisteX5" fmla="*/ 644525 w 902335"/>
                            <a:gd name="connsiteY5" fmla="*/ 190500 h 1573530"/>
                            <a:gd name="connisteX6" fmla="*/ 454025 w 902335"/>
                            <a:gd name="connsiteY6" fmla="*/ 184785 h 1573530"/>
                            <a:gd name="connisteX7" fmla="*/ 459740 w 902335"/>
                            <a:gd name="connsiteY7" fmla="*/ 0 h 1573530"/>
                            <a:gd name="connisteX8" fmla="*/ 0 w 902335"/>
                            <a:gd name="connsiteY8" fmla="*/ 27305 h 15735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902335" h="1573530">
                              <a:moveTo>
                                <a:pt x="0" y="27305"/>
                              </a:moveTo>
                              <a:lnTo>
                                <a:pt x="106680" y="1573530"/>
                              </a:lnTo>
                              <a:lnTo>
                                <a:pt x="902335" y="1535430"/>
                              </a:lnTo>
                              <a:lnTo>
                                <a:pt x="868680" y="1081405"/>
                              </a:lnTo>
                              <a:lnTo>
                                <a:pt x="683895" y="1064260"/>
                              </a:lnTo>
                              <a:lnTo>
                                <a:pt x="644525" y="190500"/>
                              </a:lnTo>
                              <a:lnTo>
                                <a:pt x="454025" y="184785"/>
                              </a:lnTo>
                              <a:lnTo>
                                <a:pt x="459740" y="0"/>
                              </a:lnTo>
                              <a:lnTo>
                                <a:pt x="0" y="27305"/>
                              </a:lnTo>
                              <a:close/>
                            </a:path>
                          </a:pathLst>
                        </a:custGeom>
                        <a:solidFill>
                          <a:srgbClr val="00B0F0">
                            <a:alpha val="50000"/>
                          </a:srgb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xmlns:wpsCustomData="http://www.wps.cn/officeDocument/2013/wpsCustomData">
            <w:pict>
              <v:shape id="_x0000_s1026" o:spid="_x0000_s1026" o:spt="100" style="position:absolute;left:0pt;margin-left:101.2pt;margin-top:260.65pt;height:123.9pt;width:71.05pt;z-index:251776000;mso-width-relative:page;mso-height-relative:page;" fillcolor="#00B0F0" filled="t" stroked="t" coordsize="902335,1573530" o:gfxdata="UEsDBAoAAAAAAIdO4kAAAAAAAAAAAAAAAAAEAAAAZHJzL1BLAwQUAAAACACHTuJACnrxc90AAAAL&#10;AQAADwAAAGRycy9kb3ducmV2LnhtbE2Py07DMBBF90j8gzVIbKrWdpI2EOJ0gajUSiygRYilGw+J&#10;hR9R7Kbl7zErWI7u0b1n6vXFGjLhGLR3AviCAUHXeqVdJ+DtsJnfAQlROiWNdyjgGwOsm+urWlbK&#10;n90rTvvYkVTiQiUF9DEOFaWh7dHKsPADupR9+tHKmM6xo2qU51RuDc0YW1ErtUsLvRzwscf2a3+y&#10;Ap7zUk+bXfHyvnvqzEzzbbmdfQhxe8PZA5CIl/gHw69+UocmOR39yalAjICMZUVCBSwzngNJRF4U&#10;SyBHAeXqngNtavr/h+YHUEsDBBQAAAAIAIdO4kDOMHmYsAMAANULAAAOAAAAZHJzL2Uyb0RvYy54&#10;bWytVk1r5DYYvhf6H4SPhcby5zhDJgu7Ib2UdmG30B4VWR4bZEtIyszk3nvvPZb9E2Vpf0239Gf0&#10;lWTPKMkSe2AJxPL4ed4vvV9Xrw49RzumdCeGTZRc4AixgYq6G7ab6Kf3t99WEdKGDDXhYmCb6IHp&#10;6NX1119d7eWapaIVvGYKgZBBr/dyE7XGyHUca9qynugLIdkAHxuhemLgVW3jWpE9SO95nGJcxnuh&#10;aqkEZVrDrzf+YzRKVEsEiqbpKLsR9L5ng/FSFePEgEu67aSOrp21TcOo+bFpNDOIbyLw1Lj/oATO&#10;d/Z/fH1F1ltFZNvR0QSyxIQnPvWkG0DpUdQNMQTdq+6ZqL6jSmjRmAsq+tg74iICXiT4SWzetUQy&#10;5wuEWstj0PWXE0t/2L1VqKs3UVYUERpID1f+z8eP//7626cPv//395+f/voD2U8QqL3Ua8C/k2/V&#10;+KbhaL0+NKq3T/AHHTZRmqdVmkOIHzZRnqZ56flkzQ4GUQBc4jTLQB0FQFKssiJzNxGfJNF7bb5j&#10;wkklu++18RdVw8mFuR5NpWIYOm3Yz6Ct6Tnc3TcxwmiPRhUjLUDrzrBfQnS6ynCBWhQYAvf4TEES&#10;KEhwWVbzWh5RvJvzetJAj3di1puQkhRZkWd4Xk8W6KlK+Jv3J6QkuEryJXHLAz1llVWXxaw/IQVC&#10;naflAn8gnY4JUOZ5kc7rCSnJJS7wAjVloCYvcrxATUhJqnxVLci21SM1l6t8/nZCygJHoM0f4zUv&#10;PER/pmCgcrdTbZJ2Kld6GMZ6hRMidsBg1yWl0LZPhMULncC+jtUJZQsigWWLfYYMVRaSE9uqFpOh&#10;dEJyehYZ6iEkZ2eRIclDcn4WGTI3JLv2vNhnyMeQXJ6lGbIsJK/OIkMWheQqJHvzx3xRMLjtyOZu&#10;ZJsIwchWbmTfWQ5ZS2Jsmk1HtD8NlfY0U+znXuzYe+GAxiadH0suh0f1JwQfQqTv8s7kYDaAnRNs&#10;ekoneBpq4OHYhEf5E2x6erjvuV6676Uvwn3rHOGuJb4Mdx3Qw11nexHtG5lHuwY1g7b9yKGnsT25&#10;Nj29i89DPX2nXGjm69TepCvY45XaTAjGvxa8q287zu0darW9e8MV2hG70OHX+NZ3FMJlS/yv0Mbx&#10;ZNcId/IfyeGDTZkyK8BGSmCNbWB9hGMvYRXSwzZChG9hP6ZGuY71iPzEiFBfaKtU2twQ3XqznIRj&#10;XMEiu075Bcqe7kT94PYq9ztse87mcTO162T47tinbfz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YGAABbQ29udGVudF9UeXBlc10ueG1sUEsB&#10;AhQACgAAAAAAh07iQAAAAAAAAAAAAAAAAAYAAAAAAAAAAAAQAAAACAUAAF9yZWxzL1BLAQIUABQA&#10;AAAIAIdO4kCKFGY80QAAAJQBAAALAAAAAAAAAAEAIAAAACwFAABfcmVscy8ucmVsc1BLAQIUAAoA&#10;AAAAAIdO4kAAAAAAAAAAAAAAAAAEAAAAAAAAAAAAEAAAAAAAAABkcnMvUEsBAhQAFAAAAAgAh07i&#10;QAp68XPdAAAACwEAAA8AAAAAAAAAAQAgAAAAIgAAAGRycy9kb3ducmV2LnhtbFBLAQIUABQAAAAI&#10;AIdO4kDOMHmYsAMAANULAAAOAAAAAAAAAAEAIAAAACwBAABkcnMvZTJvRG9jLnhtbFBLBQYAAAAA&#10;BgAGAFkBAABOBwAAAAA=&#10;" path="m0,27305l106680,1573530,902335,1535430,868680,1081405,683895,1064260,644525,190500,454025,184785,459740,0,0,27305xe">
                <v:path o:connectlocs="0,27305;106680,1573530;902335,1535430;868680,1081405;683895,1064260;644525,190500;454025,184785;459740,0;0,27305" o:connectangles="0,0,0,0,0,0,0,0,0"/>
                <v:fill on="t" opacity="32768f" focussize="0,0"/>
                <v:stroke weight="0.5pt" color="#000000 [3213]" joinstyle="round"/>
                <v:imagedata o:title=""/>
                <o:lock v:ext="edit" aspectratio="f"/>
              </v:shape>
            </w:pict>
          </mc:Fallback>
        </mc:AlternateContent>
      </w:r>
      <w:r>
        <w:rPr>
          <w:noProof/>
          <w:sz w:val="24"/>
        </w:rPr>
        <mc:AlternateContent>
          <mc:Choice Requires="wps">
            <w:drawing>
              <wp:anchor distT="0" distB="0" distL="114300" distR="114300" simplePos="0" relativeHeight="251774976" behindDoc="0" locked="0" layoutInCell="1" allowOverlap="1" wp14:anchorId="348DDC92" wp14:editId="41539412">
                <wp:simplePos x="0" y="0"/>
                <wp:positionH relativeFrom="column">
                  <wp:posOffset>1431925</wp:posOffset>
                </wp:positionH>
                <wp:positionV relativeFrom="paragraph">
                  <wp:posOffset>1567180</wp:posOffset>
                </wp:positionV>
                <wp:extent cx="984250" cy="1056005"/>
                <wp:effectExtent l="4445" t="4445" r="20955" b="6350"/>
                <wp:wrapNone/>
                <wp:docPr id="353" name="任意多边形 353"/>
                <wp:cNvGraphicFramePr/>
                <a:graphic xmlns:a="http://schemas.openxmlformats.org/drawingml/2006/main">
                  <a:graphicData uri="http://schemas.microsoft.com/office/word/2010/wordprocessingShape">
                    <wps:wsp>
                      <wps:cNvSpPr/>
                      <wps:spPr>
                        <a:xfrm>
                          <a:off x="2574925" y="2481580"/>
                          <a:ext cx="984250" cy="1056005"/>
                        </a:xfrm>
                        <a:custGeom>
                          <a:avLst/>
                          <a:gdLst>
                            <a:gd name="connisteX0" fmla="*/ 974725 w 984250"/>
                            <a:gd name="connsiteY0" fmla="*/ 180975 h 1056005"/>
                            <a:gd name="connisteX1" fmla="*/ 716280 w 984250"/>
                            <a:gd name="connsiteY1" fmla="*/ 135255 h 1056005"/>
                            <a:gd name="connisteX2" fmla="*/ 512445 w 984250"/>
                            <a:gd name="connsiteY2" fmla="*/ 0 h 1056005"/>
                            <a:gd name="connisteX3" fmla="*/ 0 w 984250"/>
                            <a:gd name="connsiteY3" fmla="*/ 643255 h 1056005"/>
                            <a:gd name="connisteX4" fmla="*/ 176530 w 984250"/>
                            <a:gd name="connsiteY4" fmla="*/ 802005 h 1056005"/>
                            <a:gd name="connisteX5" fmla="*/ 99695 w 984250"/>
                            <a:gd name="connsiteY5" fmla="*/ 934085 h 1056005"/>
                            <a:gd name="connisteX6" fmla="*/ 271780 w 984250"/>
                            <a:gd name="connsiteY6" fmla="*/ 1056005 h 1056005"/>
                            <a:gd name="connisteX7" fmla="*/ 625475 w 984250"/>
                            <a:gd name="connsiteY7" fmla="*/ 694055 h 1056005"/>
                            <a:gd name="connisteX8" fmla="*/ 970280 w 984250"/>
                            <a:gd name="connsiteY8" fmla="*/ 688975 h 1056005"/>
                            <a:gd name="connisteX9" fmla="*/ 984250 w 984250"/>
                            <a:gd name="connsiteY9" fmla="*/ 670560 h 1056005"/>
                            <a:gd name="connisteX10" fmla="*/ 974725 w 984250"/>
                            <a:gd name="connsiteY10" fmla="*/ 180975 h 10560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984250" h="1056005">
                              <a:moveTo>
                                <a:pt x="974725" y="180975"/>
                              </a:moveTo>
                              <a:lnTo>
                                <a:pt x="716280" y="135255"/>
                              </a:lnTo>
                              <a:lnTo>
                                <a:pt x="512445" y="0"/>
                              </a:lnTo>
                              <a:lnTo>
                                <a:pt x="0" y="643255"/>
                              </a:lnTo>
                              <a:lnTo>
                                <a:pt x="176530" y="802005"/>
                              </a:lnTo>
                              <a:lnTo>
                                <a:pt x="99695" y="934085"/>
                              </a:lnTo>
                              <a:lnTo>
                                <a:pt x="271780" y="1056005"/>
                              </a:lnTo>
                              <a:lnTo>
                                <a:pt x="625475" y="694055"/>
                              </a:lnTo>
                              <a:lnTo>
                                <a:pt x="970280" y="688975"/>
                              </a:lnTo>
                              <a:lnTo>
                                <a:pt x="984250" y="670560"/>
                              </a:lnTo>
                              <a:lnTo>
                                <a:pt x="974725" y="180975"/>
                              </a:lnTo>
                              <a:close/>
                            </a:path>
                          </a:pathLst>
                        </a:custGeom>
                        <a:solidFill>
                          <a:srgbClr val="00B0F0">
                            <a:alpha val="50000"/>
                          </a:srgb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xmlns:wpsCustomData="http://www.wps.cn/officeDocument/2013/wpsCustomData">
            <w:pict>
              <v:shape id="_x0000_s1026" o:spid="_x0000_s1026" o:spt="100" style="position:absolute;left:0pt;margin-left:112.75pt;margin-top:123.4pt;height:83.15pt;width:77.5pt;z-index:251774976;mso-width-relative:page;mso-height-relative:page;" fillcolor="#00B0F0" filled="t" stroked="t" coordsize="984250,1056005" o:gfxdata="UEsDBAoAAAAAAIdO4kAAAAAAAAAAAAAAAAAEAAAAZHJzL1BLAwQUAAAACACHTuJAUWcXL9sAAAAL&#10;AQAADwAAAGRycy9kb3ducmV2LnhtbE2PQUvEMBCF74L/IYzgRdwk7W4ptekiggiye7B68ZZNxrbY&#10;JKXJ7nb/veNJbzPzHm++V28XN7ITznEIXoFcCWDoTbCD7xR8vD/fl8Bi0t7qMXhUcMEI2+b6qtaV&#10;DWf/hqc2dYxCfKy0gj6lqeI8mh6djqswoSftK8xOJ1rnjttZnyncjTwTouBOD54+9HrCpx7Nd3t0&#10;CpbSPsribrf/zF8u+fC6NyZrd0rd3kjxACzhkv7M8ItP6NAQ0yEcvY1sVJBlmw1ZaVgX1IEceSno&#10;clCwlrkE3tT8f4fmB1BLAwQUAAAACACHTuJAEc20+f4DAACDDQAADgAAAGRycy9lMm9Eb2MueG1s&#10;rVfNjts2EL4X6DsQOhboipL1a6w3QLvYXoo2QBKgPXIpyhIgiQLJtb333nvvschLFEH7NE3Qx+jw&#10;Rza9KSwZqA8WJc03fxx+M7p9deg7tGNCtnzYBNENDhAbKK/aYbsJ3r19+LoIkFRkqEjHB7YJnpkM&#10;Xt19+cXtflyzmDe8q5hAoGSQ6/24CRqlxnUYStqwnsgbPrIBXtZc9ETBrdiGlSB70N53YYxxFu65&#10;qEbBKZMSnt7bl4HTKJYo5HXdUnbP6VPPBmW1CtYRBSHJph1lcGe8rWtG1Y91LZlC3SaASJX5ByOw&#10;ftT/4d0tWW8FGZuWOhfIEhdexNSTdgCjR1X3RBH0JNrPVPUtFVzyWt1Q3oc2EJMRiCLCL3LzpiEj&#10;M7FAquV4TLr8/9TSH3avBWqrTbBKVwEaSA9b/veHD59++fXj+9/++euPj3/+jvQrSNR+lGuQfzO+&#10;Fu5OwlJHfahFr68QDzpsgjjNkzJOA/QM66SI0sIlmh0UoiBQFkmcwhZQEIhwmmGcagPhSRN9kuo7&#10;xo1WsvteKrtRFaxMmivnKuXD0ErFfgJtdd/B3n0VojJP8jhFe+TsOKwHka1iP/uQqMBlnqIGee7A&#10;bn5mJvLM5FEWF3jWjA+JVmmcLjATe2bSKE6S+Wh8CJ4PBDb7mK/5GHzpLFktiiHxLER5lq7mzfiQ&#10;AgNbLEgVlNkxkLLMyvlMnSFWCS4WWMk8K3Ee5Qv23Ye4qprfltyzk8VpAjU5V8ZnkDLBS+oLOP6U&#10;tBwvKWMfkhXFotNS+mbMmZ+NxodkueaG+aRF/kleePjPMP91+oGMthPdkGZiIHoYHAXBChHdM7Eh&#10;/pFLTX0+HwG56VvHNZbfAKX5awYMlOGDI0eOy8BABD44vgoMB90HG96HTCyzDMfXBydXWbbt4piw&#10;qSEsswxnzbecXWUZDpAPzq8Cw7HwwcVVYCh2H1xeBdYV7KPh3qsxu2muVgXMQXoC6swEpAIEE5Aw&#10;E9CjxpD1SJQu8WmJ9qce3ZxatH7d8x17y42g0gVvj5vxxJ4i58RJrht8eds0rbxphk5+kpquo9Fu&#10;e5+RnqKbBKarFbS5sK3pokbbiYxG22EuSpuGYoRL0yguCtu+YEM7G2omV6erddnSuxHPDG1fVF4a&#10;lrbShn0vS7sBC+rDkuhlaTMvWcfNHPRCmnZcMltbulDMoHasGF1o3rAmeddWD23X6RKRYvv4bSfQ&#10;jujxG3+DHyxZkm5siH2aYvg5e07c6D/T0w26IrOVmRkJfHTUMOzD+NiPMLjKYRsg0m3ha4YqYcj4&#10;DPzCCd+e7+sopLonsrFuGQ3HNIBHevi1465ePfLq2UzB5jnM5sZn9x2hh3//3qBP3053/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RZxcv2wAAAAsBAAAPAAAAAAAAAAEAIAAAACIAAABkcnMvZG93&#10;bnJldi54bWxQSwECFAAUAAAACACHTuJAEc20+f4DAACDDQAADgAAAAAAAAABACAAAAAqAQAAZHJz&#10;L2Uyb0RvYy54bWxQSwUGAAAAAAYABgBZAQAAmgcAAAAA&#10;" path="m974725,180975l716280,135255,512445,0,0,643255,176530,802005,99695,934085,271780,1056005,625475,694055,970280,688975,984250,670560,974725,180975xe">
                <v:path o:connectlocs="974725,180975;716280,135255;512445,0;0,643255;176530,802005;99695,934085;271780,1056005;625475,694055;970280,688975;984250,670560;974725,180975" o:connectangles="0,0,0,0,0,0,0,0,0,0,0"/>
                <v:fill on="t" opacity="32768f" focussize="0,0"/>
                <v:stroke weight="0.5pt" color="#000000 [3213]" joinstyle="round"/>
                <v:imagedata o:title=""/>
                <o:lock v:ext="edit" aspectratio="f"/>
              </v:shape>
            </w:pict>
          </mc:Fallback>
        </mc:AlternateContent>
      </w:r>
      <w:r>
        <w:rPr>
          <w:noProof/>
          <w:sz w:val="24"/>
        </w:rPr>
        <mc:AlternateContent>
          <mc:Choice Requires="wps">
            <w:drawing>
              <wp:anchor distT="0" distB="0" distL="114300" distR="114300" simplePos="0" relativeHeight="251773952" behindDoc="0" locked="0" layoutInCell="1" allowOverlap="1" wp14:anchorId="3E6457DF" wp14:editId="2A8BDDFB">
                <wp:simplePos x="0" y="0"/>
                <wp:positionH relativeFrom="column">
                  <wp:posOffset>1282065</wp:posOffset>
                </wp:positionH>
                <wp:positionV relativeFrom="paragraph">
                  <wp:posOffset>7245350</wp:posOffset>
                </wp:positionV>
                <wp:extent cx="82550" cy="234950"/>
                <wp:effectExtent l="0" t="0" r="12700" b="12700"/>
                <wp:wrapNone/>
                <wp:docPr id="352" name="矩形 352"/>
                <wp:cNvGraphicFramePr/>
                <a:graphic xmlns:a="http://schemas.openxmlformats.org/drawingml/2006/main">
                  <a:graphicData uri="http://schemas.microsoft.com/office/word/2010/wordprocessingShape">
                    <wps:wsp>
                      <wps:cNvSpPr/>
                      <wps:spPr>
                        <a:xfrm>
                          <a:off x="2431415" y="8159750"/>
                          <a:ext cx="82550" cy="2349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00.95pt;margin-top:570.5pt;height:18.5pt;width:6.5pt;z-index:251773952;v-text-anchor:middle;mso-width-relative:page;mso-height-relative:page;" fillcolor="#FFFFFF [3212]" filled="t" stroked="f" coordsize="21600,21600" o:gfxdata="UEsDBAoAAAAAAIdO4kAAAAAAAAAAAAAAAAAEAAAAZHJzL1BLAwQUAAAACACHTuJAwBt3z9YAAAAN&#10;AQAADwAAAGRycy9kb3ducmV2LnhtbE2PwU7DMBBE70j9B2srcaO2Q0RLiFMJJMSZturZibdJ1Hgd&#10;xW4b/p7tCY478zQ7U25nP4grTrEPZECvFAikJrieWgOH/efTBkRMlpwdAqGBH4ywrRYPpS1cuNE3&#10;XnepFRxCsbAGupTGQsrYdOhtXIURib1TmLxNfE6tdJO9cbgfZKbUi/S2J/7Q2RE/OmzOu4s3INMX&#10;nvdzdqRnldv6fTodjqM05nGp1RuIhHP6g+Fen6tDxZ3qcCEXxWAgU/qVUTZ0rnkVI5nOWarv0nqj&#10;QFal/L+i+gVQSwMEFAAAAAgAh07iQNUfDHppAgAAwgQAAA4AAABkcnMvZTJvRG9jLnhtbK1US27b&#10;MBDdF+gdCO4bWYrUJEbkwIjhokDQBkiLrmmKsgTwV5K2nF6mQHc9RI9T9Bp9pJRP0y6yqBf0DGf8&#10;3szjjM8vDkqSvXC+N7qm+dGMEqG5aXq9renHD+tXp5T4wHTDpNGiprfC04vFyxfng52LwnRGNsIR&#10;gGg/H2xNuxDsPMs874Ri/shYoRFsjVMswHXbrHFsALqSWTGbvc4G4xrrDBfe43Y1BumE6J4DaNq2&#10;52Jl+E4JHUZUJyQLaMl3vfV0kaptW8HD+7b1IhBZU3Qa0gkS2Jt4ZotzNt86ZrueTyWw55TwpCfF&#10;eg3Se6gVC4zsXP8XlOq5M9604YgblY2NJEXQRT57os1Nx6xIvUBqb+9F9/8Plr/bXzvSNzU9rgpK&#10;NFN48l9fv//88Y3EG+gzWD9H2o29dpPnYcZmD61T8RttkENNi/I4L/OKktuanubV2Uk16SsOgXAk&#10;nBYVrghHvDguz8Zw9oBjnQ9vhFEkGjV1eL0kKttf+QBupN6lRFpvZN+seymT47abS+nInuGl1+kT&#10;i8dP/kiTmgxgr8pZLIRhflvMDUxloYHXW0qY3GIxeHCJW5vIAKSRe8V8N3Ik2IlCajBFnUZlorUx&#10;zS2UdWYcOW/5ukdXV8yHa+YwY+DHFob3OFppUJSZLEo647786z7m4+kRpWTAzKLgzzvmBCXyrcZQ&#10;nOVlCdiQnLI6KeC4x5HN44jeqUsDsXLsu+XJjPlB3pmtM+oTlnUZWRFimoN7lGZyLsO4S1h3LpbL&#10;lIbBtixc6RvLI3hUTpvlLpi2T4/4oM4kGkY7PdS0hnF3Hvsp6+GvZ/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Bt3z9YAAAANAQAADwAAAAAAAAABACAAAAAiAAAAZHJzL2Rvd25yZXYueG1sUEsB&#10;AhQAFAAAAAgAh07iQNUfDHppAgAAwgQAAA4AAAAAAAAAAQAgAAAAJQEAAGRycy9lMm9Eb2MueG1s&#10;UEsFBgAAAAAGAAYAWQEAAAAGAAAAAA==&#10;">
                <v:fill on="t" focussize="0,0"/>
                <v:stroke on="f" weight="2pt"/>
                <v:imagedata o:title=""/>
                <o:lock v:ext="edit" aspectratio="f"/>
              </v:rect>
            </w:pict>
          </mc:Fallback>
        </mc:AlternateContent>
      </w:r>
      <w:r>
        <w:rPr>
          <w:noProof/>
        </w:rPr>
        <w:drawing>
          <wp:inline distT="0" distB="0" distL="114300" distR="114300" wp14:anchorId="52CFA319" wp14:editId="02B0E9C6">
            <wp:extent cx="4724400" cy="7429500"/>
            <wp:effectExtent l="9525" t="9525" r="9525" b="9525"/>
            <wp:docPr id="3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5"/>
                    <pic:cNvPicPr>
                      <a:picLocks noChangeAspect="1"/>
                    </pic:cNvPicPr>
                  </pic:nvPicPr>
                  <pic:blipFill>
                    <a:blip r:embed="rId76"/>
                    <a:stretch>
                      <a:fillRect/>
                    </a:stretch>
                  </pic:blipFill>
                  <pic:spPr>
                    <a:xfrm>
                      <a:off x="0" y="0"/>
                      <a:ext cx="4724400" cy="7429500"/>
                    </a:xfrm>
                    <a:prstGeom prst="rect">
                      <a:avLst/>
                    </a:prstGeom>
                    <a:noFill/>
                    <a:ln w="6350">
                      <a:solidFill>
                        <a:schemeClr val="tx1"/>
                      </a:solidFill>
                    </a:ln>
                  </pic:spPr>
                </pic:pic>
              </a:graphicData>
            </a:graphic>
          </wp:inline>
        </w:drawing>
      </w:r>
      <w:r>
        <w:rPr>
          <w:rFonts w:eastAsiaTheme="minorEastAsia"/>
          <w:noProof/>
          <w:sz w:val="24"/>
        </w:rPr>
        <mc:AlternateContent>
          <mc:Choice Requires="wps">
            <w:drawing>
              <wp:anchor distT="0" distB="0" distL="114300" distR="114300" simplePos="0" relativeHeight="251665408" behindDoc="0" locked="0" layoutInCell="1" allowOverlap="1" wp14:anchorId="580515CA" wp14:editId="5621BD73">
                <wp:simplePos x="0" y="0"/>
                <wp:positionH relativeFrom="column">
                  <wp:posOffset>1945005</wp:posOffset>
                </wp:positionH>
                <wp:positionV relativeFrom="paragraph">
                  <wp:posOffset>3698875</wp:posOffset>
                </wp:positionV>
                <wp:extent cx="138430" cy="119380"/>
                <wp:effectExtent l="0" t="0" r="13970" b="13970"/>
                <wp:wrapNone/>
                <wp:docPr id="57" name="AutoShap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9380"/>
                        </a:xfrm>
                        <a:prstGeom prst="flowChar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36" o:spid="_x0000_s1026" o:spt="124" type="#_x0000_t124" style="position:absolute;left:0pt;margin-left:153.15pt;margin-top:291.25pt;height:9.4pt;width:10.9pt;z-index:251665408;mso-width-relative:page;mso-height-relative:page;" fillcolor="#FFFFFF" filled="t" stroked="t" coordsize="21600,21600" o:gfxdata="UEsDBAoAAAAAAIdO4kAAAAAAAAAAAAAAAAAEAAAAZHJzL1BLAwQUAAAACACHTuJAeIWGKtoAAAAL&#10;AQAADwAAAGRycy9kb3ducmV2LnhtbE2PMU/DMBCFd6T+B+sqsVE7SROikEsHJAYGBkoFHd3YjdPG&#10;5yh22vLvMROMp/fpve/qzc0O7KIn3ztCSFYCmKbWqZ46hN3Hy0MJzAdJSg6ONMK39rBpFne1rJS7&#10;0ru+bEPHYgn5SiKYEMaKc98abaVfuVFTzI5usjLEc+q4muQ1ltuBp0IU3Mqe4oKRo342uj1vZ4vg&#10;5rf29Gon+3Xa782nO67P+eMa8X6ZiCdgQd/CHwy/+lEdmuh0cDMpzwaETBRZRBHyMs2BRSJLywTY&#10;AaEQSQa8qfn/H5ofUEsDBBQAAAAIAIdO4kBS+TfHKwIAAG8EAAAOAAAAZHJzL2Uyb0RvYy54bWyt&#10;VE1v2zAMvQ/YfxB0Xxzno02MOEWRIMOAbi3Q7QcoshwLk0WNUuJ0v36UnKZpt0MP80EQReqR75Hy&#10;4ubYGnZQ6DXYkueDIWfKSqi03ZX8x/fNpxlnPghbCQNWlfxJeX6z/Phh0blCjaABUylkBGJ90bmS&#10;NyG4Isu8bFQr/ACcsuSsAVsRyMRdVqHoCL012Wg4vMo6wMohSOU9na57Jz8h4nsAoa61VGuQ+1bZ&#10;0KOiMiIQJd9o5/kyVVvXSob7uvYqMFNyYhrSSklov41rtlyIYofCNVqeShDvKeENp1ZoS0nPUGsR&#10;BNuj/guq1RLBQx0GEtqsJ5IUIRb58I02j41wKnEhqb07i+7/H6z8dnhApquST685s6Kljt/uA6TU&#10;LB+Pr6JEnfMFRT66B4wkvbsD+dMzC6tG2J26RYSuUaKiwvIYn726EA1PV9m2+woVJRCUIKl1rLGN&#10;gKQDO6amPJ2boo6BSTrMx7PJmNolyZXn8/EsNS0TxfNlhz58VtCyuCl5baCjsjDcY8ohDnc+xJpE&#10;8RyZOIDR1UYbkwzcbVcG2UHQmGzSl2gQ1cswY1lX8vl0NE3Ir3z+EmKYvn9BIOxt1Vdj7EmoqE2v&#10;8RaqJ9IJoZ9TeqW0aQB/c9bRjJbc/9oLVJyZL5a0nueTSRzqZEym1yMy8NKzvfQIKwmq5IGzfrsK&#10;/UPYO9S7hjLliZaFOAC1TqLF3vVVnYqlOUxant5MHPRLO0W9/Ce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hYYq2gAAAAsBAAAPAAAAAAAAAAEAIAAAACIAAABkcnMvZG93bnJldi54bWxQSwEC&#10;FAAUAAAACACHTuJAUvk3xysCAABvBAAADgAAAAAAAAABACAAAAApAQAAZHJzL2Uyb0RvYy54bWxQ&#10;SwUGAAAAAAYABgBZAQAAxgUAAAAA&#10;">
                <v:fill on="t" focussize="0,0"/>
                <v:stroke color="#000000" joinstyle="round"/>
                <v:imagedata o:title=""/>
                <o:lock v:ext="edit" aspectratio="f"/>
              </v:shape>
            </w:pict>
          </mc:Fallback>
        </mc:AlternateContent>
      </w:r>
      <w:r>
        <w:rPr>
          <w:rFonts w:eastAsiaTheme="minorEastAsia"/>
          <w:noProof/>
          <w:sz w:val="24"/>
        </w:rPr>
        <mc:AlternateContent>
          <mc:Choice Requires="wps">
            <w:drawing>
              <wp:anchor distT="0" distB="0" distL="114300" distR="114300" simplePos="0" relativeHeight="251772928" behindDoc="0" locked="0" layoutInCell="1" allowOverlap="1" wp14:anchorId="676DD82A" wp14:editId="7C0AB8F8">
                <wp:simplePos x="0" y="0"/>
                <wp:positionH relativeFrom="column">
                  <wp:posOffset>1925955</wp:posOffset>
                </wp:positionH>
                <wp:positionV relativeFrom="paragraph">
                  <wp:posOffset>2664460</wp:posOffset>
                </wp:positionV>
                <wp:extent cx="1143635" cy="607695"/>
                <wp:effectExtent l="20320" t="34290" r="36195" b="43815"/>
                <wp:wrapNone/>
                <wp:docPr id="350"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1143635" cy="607695"/>
                        </a:xfrm>
                        <a:prstGeom prst="rect">
                          <a:avLst/>
                        </a:prstGeom>
                        <a:solidFill>
                          <a:srgbClr val="FFFF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48" o:spid="_x0000_s1026" o:spt="1" style="position:absolute;left:0pt;margin-left:151.65pt;margin-top:209.8pt;height:47.85pt;width:90.05pt;rotation:-196608f;z-index:251772928;mso-width-relative:page;mso-height-relative:page;" fillcolor="#FFFF00" filled="t" stroked="t" coordsize="21600,21600" o:gfxdata="UEsDBAoAAAAAAIdO4kAAAAAAAAAAAAAAAAAEAAAAZHJzL1BLAwQUAAAACACHTuJAhiBggtwAAAAL&#10;AQAADwAAAGRycy9kb3ducmV2LnhtbE2PMU/DMBCFdyT+g3VILIjawWnVprlUggohBgZaFjY3dpNQ&#10;+xzFbtPy6zETjKf36b3vytXZWXYyQ+g8IWQTAcxQ7XVHDcLH9vl+DixERVpZTwbhYgKsquurUhXa&#10;j/RuTpvYsFRCoVAIbYx9wXmoW+NUmPjeUMr2fnAqpnNouB7UmMqd5Q9CzLhTHaWFVvXmqTX1YXN0&#10;CPvXcNfUj1/0eTnYt5f1+jsf9Rbx9iYTS2DRnOMfDL/6SR2q5LTzR9KBWQQppEwoQp4tZsASkc9l&#10;DmyHMM2mEnhV8v8/VD9QSwMEFAAAAAgAh07iQJQB1StHAgAApwQAAA4AAABkcnMvZTJvRG9jLnht&#10;bK1UwW7bMAy9D9g/CLqvttM4TYM6RdGiw4BuLdbtAxRZjoVJokYpcbqvHyUbbdpdepgPgihSj3yP&#10;oi8uD9awvcKgwTW8Oik5U05Cq9224T9/3H5achaicK0w4FTDn1Tgl+uPHy4Gv1Iz6MG0ChmBuLAa&#10;fMP7GP2qKILslRXhBLxy5OwArYhk4rZoUQyEbk0xK8tFMQC2HkGqEOj0ZnTyCRHfAwhdp6W6Abmz&#10;ysURFZURkSiFXvvA17narlMy3nddUJGZhhPTmFdKQvtNWov1hVhtUfhey6kE8Z4S3nCyQjtK+gx1&#10;I6JgO9T/QFktEQJ08USCLUYiWRFiUZVvtHnshVeZC0kd/LPo4f/Bym/7B2S6bfhpTZo4Yanl30k2&#10;4bZGsWo+XyaNBh9WFProHzCxDP4O5K/AHFz3FKiuEGHolWipsirFF68uJCPQVbYZvkJLCcQuQpbr&#10;0KFlCNSWWTWn11GW+Zh0YYfcpKfnJqlDZJIOq2p+ujitOZPkW5Rni/M6ZxSrBJaq8xjiZwWWpU3D&#10;kdhkVLG/CzEV9xKSyYDR7a02Jhu43VwbZHtBD+aWvqkiYXwvxtM6lznihDE8Y4ZjHOPY0PDzelbn&#10;1K9806URLYFRjgnuGMLqSINmtG348jjIuEnfJOnYmg20TyRvFpK6SNNNvHvAP5wN9LYbHn7vBCrO&#10;zBdHLTqntqZhyMa8PpuRgceezbFHOElQDY+cjdvrOA7QzqPe9pSpyhwdXFFbO50lTi0fq5qKpfeb&#10;VZpmLQ3IsZ2jXv4v6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GIGCC3AAAAAsBAAAPAAAAAAAA&#10;AAEAIAAAACIAAABkcnMvZG93bnJldi54bWxQSwECFAAUAAAACACHTuJAlAHVK0cCAACnBAAADgAA&#10;AAAAAAABACAAAAArAQAAZHJzL2Uyb0RvYy54bWxQSwUGAAAAAAYABgBZAQAA5AU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70880" behindDoc="0" locked="0" layoutInCell="1" allowOverlap="1" wp14:anchorId="4266E9A5" wp14:editId="011E39FC">
                <wp:simplePos x="0" y="0"/>
                <wp:positionH relativeFrom="column">
                  <wp:posOffset>3350260</wp:posOffset>
                </wp:positionH>
                <wp:positionV relativeFrom="paragraph">
                  <wp:posOffset>1613535</wp:posOffset>
                </wp:positionV>
                <wp:extent cx="375285" cy="3178175"/>
                <wp:effectExtent l="87630" t="12700" r="89535" b="28575"/>
                <wp:wrapNone/>
                <wp:docPr id="348"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375285" cy="3178175"/>
                        </a:xfrm>
                        <a:prstGeom prst="rect">
                          <a:avLst/>
                        </a:prstGeom>
                        <a:solidFill>
                          <a:srgbClr val="00B0F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75" o:spid="_x0000_s1026" o:spt="1" style="position:absolute;left:0pt;margin-left:263.8pt;margin-top:127.05pt;height:250.25pt;width:29.55pt;rotation:-196608f;z-index:251770880;mso-width-relative:page;mso-height-relative:page;" fillcolor="#00B0F0" filled="t" stroked="t" coordsize="21600,21600" o:gfxdata="UEsDBAoAAAAAAIdO4kAAAAAAAAAAAAAAAAAEAAAAZHJzL1BLAwQUAAAACACHTuJAvoZs8tgAAAAL&#10;AQAADwAAAGRycy9kb3ducmV2LnhtbE2PPU/DMBBAdyT+g3VIbNRJ1CQlxOkAYquQaCux2rGJI/wl&#10;221Tfj3HBOPpnt6967eLNeSsYpq9Y1CuCiDKjV7ObmJwPLw+bICkzJ3kxjvF4KoSbIfbm5530l/c&#10;uzrv80RQ4lLHGeicQ0dpGrWyPK18UA53nz5annGME5WRX1BuDa2KoqGWzw4vaB7Us1bj1/5k0XKM&#10;+lF875YPEa7mbTdHHV4EY/d3ZfEEJKsl/8Hwm4/pMGCT8CcnEzEM6qptEGVQ1esSCBL1pmmBCAZt&#10;vW6ADj39/8PwA1BLAwQUAAAACACHTuJA+j3efkkCAACnBAAADgAAAGRycy9lMm9Eb2MueG1srVTB&#10;btswDL0P2D8Iuq+2k3hJgzpFl6LDgG4r1u0DFFmOhUmiRilxuq8fJWdt2l162MUQRerx8ZH0xeXB&#10;GrZXGDS4hldnJWfKSWi12zb8x/ebdwvOQhSuFQacaviDCvxy9fbNxeCXagI9mFYhIxAXloNveB+j&#10;XxZFkL2yIpyBV46cHaAVkUzcFi2KgdCtKSZl+b4YAFuPIFUIdHs9OvkREV8DCF2npboGubPKxREV&#10;lRGRSgq99oGvMtuuUzJ+7bqgIjMNp0pj/lISOm/St1hdiOUWhe+1PFIQr6HwoiYrtKOkj1DXIgq2&#10;Q/0PlNUSIUAXzyTYYiwkK0JVVOULbe574VWuhaQO/lH08P9g5Zf9HTLdNnw6o8Y7Yanl30g24bZG&#10;sWoxr5NGgw9LCr33d5iqDP4W5M/AHKx7ClRXiDD0SrTErErxxbMHyQj0lG2Gz9BSArGLkOU6dGgZ&#10;ArVlUs1oOsoyX5Mu7JCb9PDYJHWITNLldF5PFjVnklzTar6oRoaFWCawxM5jiB8VWJYODUeqJqOK&#10;/W2IidxTSC4GjG5vtDHZwO1mbZDtRRqY8kN5MzISxvdivK0zzREnjOEZM5ziGMeGhp/XkzqnfuY7&#10;Pvqb4xTuFMLqSItmtG34IsXkYSXuxh31TZKOrdlA+0DyZiFpsmm7qe4e8DdnA812w8OvnUDFmfnk&#10;qEXn1WyWliEbs3o+IQNPPZtTj3CSoBoeORuP6zgu0M6j3vaUqco1OriitnY6S5xaPrI6kqX5zSod&#10;dy0tyKmdo57+L6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oZs8tgAAAALAQAADwAAAAAAAAAB&#10;ACAAAAAiAAAAZHJzL2Rvd25yZXYueG1sUEsBAhQAFAAAAAgAh07iQPo93n5JAgAApwQAAA4AAAAA&#10;AAAAAQAgAAAAJwEAAGRycy9lMm9Eb2MueG1sUEsFBgAAAAAGAAYAWQEAAOIFA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71904" behindDoc="0" locked="0" layoutInCell="1" allowOverlap="1" wp14:anchorId="7FA32041" wp14:editId="30196828">
                <wp:simplePos x="0" y="0"/>
                <wp:positionH relativeFrom="column">
                  <wp:posOffset>2427605</wp:posOffset>
                </wp:positionH>
                <wp:positionV relativeFrom="paragraph">
                  <wp:posOffset>1739265</wp:posOffset>
                </wp:positionV>
                <wp:extent cx="512445" cy="510540"/>
                <wp:effectExtent l="4445" t="4445" r="16510" b="18415"/>
                <wp:wrapNone/>
                <wp:docPr id="349"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510540"/>
                        </a:xfrm>
                        <a:prstGeom prst="rect">
                          <a:avLst/>
                        </a:prstGeom>
                        <a:solidFill>
                          <a:srgbClr val="FFFF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48" o:spid="_x0000_s1026" o:spt="1" style="position:absolute;left:0pt;margin-left:191.15pt;margin-top:136.95pt;height:40.2pt;width:40.35pt;z-index:251771904;mso-width-relative:page;mso-height-relative:page;" fillcolor="#FFFF00" filled="t" stroked="t" coordsize="21600,21600" o:gfxdata="UEsDBAoAAAAAAIdO4kAAAAAAAAAAAAAAAAAEAAAAZHJzL1BLAwQUAAAACACHTuJAnlR+otkAAAAL&#10;AQAADwAAAGRycy9kb3ducmV2LnhtbE2Py07DMBBF90j8gzVI7KjTuM8Qp6IIWHSDCP0AJ3aT0Hgc&#10;2U5a/p5hBcvRPbpzbr672p5NxofOoYT5LAFmsHa6w0bC8fP1YQMsRIVa9Q6NhG8TYFfc3uQq0+6C&#10;H2YqY8OoBEOmJLQxDhnnoW6NVWHmBoOUnZy3KtLpG669ulC57XmaJCtuVYf0oVWDeW5NfS5HK+F9&#10;X40H5/bHZHj7mpbnJ29fyrWU93fz5BFYNNf4B8OvPqlDQU6VG1EH1ksQm1QQKiFdiy0wIhYrQesq&#10;ipYLAbzI+f8NxQ9QSwMEFAAAAAgAh07iQNoCbAw9AgAAlwQAAA4AAABkcnMvZTJvRG9jLnhtbK1U&#10;wW7bMAy9D9g/CLqvtjN7S406RdGiw4BuK9btAxRZjoVJokYpcbqvHyWnbdpdepgPgiiST3yPos/O&#10;99awncKgwXW8Oik5U05Cr92m4z9/XL9bchaicL0w4FTH71Xg56u3b84m36oFjGB6hYxAXGgn3/Ex&#10;Rt8WRZCjsiKcgFeOnAOgFZFM3BQ9ionQrSkWZfmhmAB7jyBVCHR6NTv5ARFfAwjDoKW6Arm1ysUZ&#10;FZURkSiFUfvAV7naYVAyfhuGoCIzHSemMa90Ce3XaS1WZ6LdoPCjlocSxGtKeMHJCu3o0keoKxEF&#10;26L+B8pqiRBgiCcSbDETyYoQi6p8oc3dKLzKXEjq4B9FD/8PVn7d3SLTfcff16ecOWGp5d9JNuE2&#10;RrGqrpdJo8mHlkLv/C0mlsHfgPwVmIPLkQLVBSJMoxI9VVal+OJZQjICpbL19AV6ukBsI2S59gPa&#10;BEhCsH3uyv1jV9Q+MkmHTbWo64YzSa6mKps6d60Q7UOyxxA/KbAsbTqOVH0GF7ubEFMxon0IycWD&#10;0f21NiYbuFlfGmQ7QQ/kmr6ynHONH8V82pT0ZVJEfA7PmOEYxzg2dfy0WTQ5/ZnvkDSjJbAnuGMI&#10;qyMNltG248vjIOMOeiYJ51asob8nORHm90zTTJsR8A9nE73ljoffW4GKM/PZUUtOqY3p8Wejbj4u&#10;yMBjz/rYI5wkqI5HzubtZZwHZutRb0a6qcocHVxQGwedJU4tnqs6FEvvNat0mK00EMd2jnr6n6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5UfqLZAAAACwEAAA8AAAAAAAAAAQAgAAAAIgAAAGRy&#10;cy9kb3ducmV2LnhtbFBLAQIUABQAAAAIAIdO4kDaAmwMPQIAAJcEAAAOAAAAAAAAAAEAIAAAACgB&#10;AABkcnMvZTJvRG9jLnhtbFBLBQYAAAAABgAGAFkBAADXBQ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67808" behindDoc="0" locked="0" layoutInCell="1" allowOverlap="1" wp14:anchorId="59BDA65D" wp14:editId="5BA423D6">
                <wp:simplePos x="0" y="0"/>
                <wp:positionH relativeFrom="column">
                  <wp:posOffset>951230</wp:posOffset>
                </wp:positionH>
                <wp:positionV relativeFrom="paragraph">
                  <wp:posOffset>4679950</wp:posOffset>
                </wp:positionV>
                <wp:extent cx="432435" cy="492760"/>
                <wp:effectExtent l="17780" t="15875" r="26035" b="24765"/>
                <wp:wrapNone/>
                <wp:docPr id="344"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432435" cy="492760"/>
                        </a:xfrm>
                        <a:prstGeom prst="rect">
                          <a:avLst/>
                        </a:prstGeom>
                        <a:solidFill>
                          <a:srgbClr val="FFFF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48" o:spid="_x0000_s1026" o:spt="1" style="position:absolute;left:0pt;margin-left:74.9pt;margin-top:368.5pt;height:38.8pt;width:34.05pt;rotation:-196608f;z-index:251767808;mso-width-relative:page;mso-height-relative:page;" fillcolor="#FFFF00" filled="t" stroked="t" coordsize="21600,21600" o:gfxdata="UEsDBAoAAAAAAIdO4kAAAAAAAAAAAAAAAAAEAAAAZHJzL1BLAwQUAAAACACHTuJAn75Vr9wAAAAL&#10;AQAADwAAAGRycy9kb3ducmV2LnhtbE2PMU/DMBSEdyT+g/WQWBB1UqKmDXEqQYUQQwdaFjY3fk1C&#10;7ecodpuWX89jgvF0p7vvyuXZWXHCIXSeFKSTBARS7U1HjYKP7cv9HESImoy2nlDBBQMsq+urUhfG&#10;j/SOp01sBJdQKLSCNsa+kDLULTodJr5HYm/vB6cjy6GRZtAjlzsrp0kyk053xAut7vG5xfqwOToF&#10;+7dw19RPX/R5Odj162r1nY1mq9TtTZo8goh4jn9h+MVndKiYaeePZIKwrLMFo0cF+UPOpzgxTfMF&#10;iJ2CeZrNQFal/P+h+gFQSwMEFAAAAAgAh07iQDa2po9HAgAApgQAAA4AAABkcnMvZTJvRG9jLnht&#10;bK1UTW/bMAy9D9h/EHRfnThOP4I4RZGiw4BuLdbtByiyHAuTRI1S4nS/fpRspGl36WE5GKJIPfI9&#10;klleH6xhe4VBg6v59GzCmXISGu22Nf/54+7TJWchCtcIA07V/FkFfr36+GHZ+4UqoQPTKGQE4sKi&#10;9zXvYvSLogiyU1aEM/DKkbMFtCKSiduiQdETujVFOZmcFz1g4xGkCoFubwcnHxHxPYDQtlqqW5A7&#10;q1wcUFEZEYlS6LQPfJWrbVsl40PbBhWZqTkxjflLSei8Sd9itRSLLQrfaTmWIN5TwhtOVmhHSY9Q&#10;tyIKtkP9D5TVEiFAG88k2GIgkhUhFtPJG22eOuFV5kJSB38UPfw/WPlt/4hMNzWfVRVnTlhq+XeS&#10;TbitUWxaVZdJo96HBYU++UdMLIO/B/krMAfrjgLVDSL0nRINVTZN8cWrB8kI9JRt+q/QUAKxi5Dl&#10;OrRoGQK1pZxWNB2TSb4mXdghN+n52CR1iEzSZTUrq9mcM0mu6qq8OM9NLMQiYaXiPIb4WYFl6VBz&#10;JDIZVOzvQ0y1vYRkLmB0c6eNyQZuN2uDbC9oXu7oNxYkjO/EcDvPVQ44YQjPmOEUxzjW1/xqXs5z&#10;6le+8dGAlsAoxwh3CmF1pD0z2tb88jTIuFHepOjQmQ00z6Ru1pEGm5abeHeAfzjrabRrHn7vBCrO&#10;zBdHHbqirqZdyEY1vyjJwFPP5tQjnCSomkfOhuM6Dvuz86i3HWWaZo4Obqirrc4Sp44PVY3F0vhm&#10;lcZVS/txaueol7+X1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fvlWv3AAAAAsBAAAPAAAAAAAA&#10;AAEAIAAAACIAAABkcnMvZG93bnJldi54bWxQSwECFAAUAAAACACHTuJANramj0cCAACmBAAADgAA&#10;AAAAAAABACAAAAArAQAAZHJzL2Uyb0RvYy54bWxQSwUGAAAAAAYABgBZAQAA5AU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69856" behindDoc="0" locked="0" layoutInCell="1" allowOverlap="1" wp14:anchorId="42FFB1B8" wp14:editId="6651A5AD">
                <wp:simplePos x="0" y="0"/>
                <wp:positionH relativeFrom="column">
                  <wp:posOffset>1586865</wp:posOffset>
                </wp:positionH>
                <wp:positionV relativeFrom="paragraph">
                  <wp:posOffset>4835525</wp:posOffset>
                </wp:positionV>
                <wp:extent cx="1777365" cy="444500"/>
                <wp:effectExtent l="18415" t="66675" r="33020" b="79375"/>
                <wp:wrapNone/>
                <wp:docPr id="346"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60000">
                          <a:off x="0" y="0"/>
                          <a:ext cx="1777365" cy="444500"/>
                        </a:xfrm>
                        <a:prstGeom prst="rect">
                          <a:avLst/>
                        </a:prstGeom>
                        <a:solidFill>
                          <a:srgbClr val="FFFF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48" o:spid="_x0000_s1026" o:spt="1" style="position:absolute;left:0pt;margin-left:124.95pt;margin-top:380.75pt;height:35pt;width:139.95pt;rotation:-262144f;z-index:251769856;mso-width-relative:page;mso-height-relative:page;" fillcolor="#FFFF00" filled="t" stroked="t" coordsize="21600,21600" o:gfxdata="UEsDBAoAAAAAAIdO4kAAAAAAAAAAAAAAAAAEAAAAZHJzL1BLAwQUAAAACACHTuJAwRoG99sAAAAL&#10;AQAADwAAAGRycy9kb3ducmV2LnhtbE2PwU7DMAyG70i8Q2QkLhVLW9hYS9MdEBw4TIgCErtljWkr&#10;Eqdqsm68PeYER9uffn9/tTk5K2acwuBJQbZIQSC13gzUKXh7fbxagwhRk9HWEyr4xgCb+vys0qXx&#10;R3rBuYmd4BAKpVbQxziWUoa2R6fDwo9IfPv0k9ORx6mTZtJHDndW5mm6kk4PxB96PeJ9j+1Xc3AK&#10;Puzcvu8wyXdbkxRPybRtnh+MUpcXWXoHIuIp/sHwq8/qULPT3h/IBGEV5DdFwaiC21W2BMHEMi+4&#10;zF7B+po3sq7k/w71D1BLAwQUAAAACACHTuJAa0ljiUYCAACnBAAADgAAAGRycy9lMm9Eb2MueG1s&#10;rVRNb9swDL0P2H8QdF8dp85HgzpF0aLDgG4r1u0HKLIcC5NEjVLidL9+lOylaXfpYT4Iokg98j2K&#10;vrw6WMP2CoMGV/PybMKZchIa7bY1//H97sOSsxCFa4QBp2r+pAK/Wr9/d9n7lZpCB6ZRyAjEhVXv&#10;a97F6FdFEWSnrAhn4JUjZwtoRSQTt0WDoid0a4rpZDIvesDGI0gVAp3eDk4+IuJbAKFttVS3IHdW&#10;uTigojIiEqXQaR/4OlfbtkrGr20bVGSm5sQ05pWS0H6T1mJ9KVZbFL7TcixBvKWEV5ys0I6SHqFu&#10;RRRsh/ofKKslQoA2nkmwxUAkK0IsyskrbR474VXmQlIHfxQ9/D9Y+WX/gEw3NT+v5pw5Yanl30g2&#10;4bZGsbKqlkmj3ocVhT76B0wsg78H+TMwBzcdBaprROg7JRqqrEzxxYsLyQh0lW36z9BQArGLkOU6&#10;tGgZArVlWp7PJ/TlY9KFHXKTno5NUofIJB2Wi8XifD7jTJKvqqoZ3UkZxSqBpeo8hvhRgWVpU3Mk&#10;NhlV7O9DHEL/hmQyYHRzp43JBm43NwbZXtCDuaNvrEgY34nhlBIeU4YhPKcPpzjGsb7mF7PpLKd+&#10;4RsvDWgJ7BnuFMLqSINmtK358jTIuFHfJOnQmg00TyRvFpJeNk038e4Af3PW09uuefi1E6g4M58c&#10;teiC2pqGIRvVbDElA089m1OPcJKgah45G7Y3cRignUe97ShTmTk6uKa2tjpLnFo+VDUWS+83qzTO&#10;WhqQUztHPf9f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RoG99sAAAALAQAADwAAAAAAAAAB&#10;ACAAAAAiAAAAZHJzL2Rvd25yZXYueG1sUEsBAhQAFAAAAAgAh07iQGtJY4lGAgAApwQAAA4AAAAA&#10;AAAAAQAgAAAAKgEAAGRycy9lMm9Eb2MueG1sUEsFBgAAAAAGAAYAWQEAAOIFA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68832" behindDoc="0" locked="0" layoutInCell="1" allowOverlap="1" wp14:anchorId="654DC2C6" wp14:editId="73361977">
                <wp:simplePos x="0" y="0"/>
                <wp:positionH relativeFrom="column">
                  <wp:posOffset>1405890</wp:posOffset>
                </wp:positionH>
                <wp:positionV relativeFrom="paragraph">
                  <wp:posOffset>4894580</wp:posOffset>
                </wp:positionV>
                <wp:extent cx="182880" cy="351155"/>
                <wp:effectExtent l="13970" t="9525" r="31750" b="20320"/>
                <wp:wrapNone/>
                <wp:docPr id="345"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182880" cy="351155"/>
                        </a:xfrm>
                        <a:prstGeom prst="rect">
                          <a:avLst/>
                        </a:prstGeom>
                        <a:solidFill>
                          <a:srgbClr val="FFFF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48" o:spid="_x0000_s1026" o:spt="1" style="position:absolute;left:0pt;margin-left:110.7pt;margin-top:385.4pt;height:27.65pt;width:14.4pt;rotation:-196608f;z-index:251768832;mso-width-relative:page;mso-height-relative:page;" fillcolor="#FFFF00" filled="t" stroked="t" coordsize="21600,21600" o:gfxdata="UEsDBAoAAAAAAIdO4kAAAAAAAAAAAAAAAAAEAAAAZHJzL1BLAwQUAAAACACHTuJAXyFqJdwAAAAL&#10;AQAADwAAAGRycy9kb3ducmV2LnhtbE2PMU/DMBCFdyT+g3VILIjasUpbhTiVoEKIgaEtC5sbX5PQ&#10;+BzFbtPy6zkmGE/36b3vFcuz78QJh9gGMpBNFAikKriWagMf25f7BYiYLDnbBUIDF4ywLK+vCpu7&#10;MNIaT5tUCw6hmFsDTUp9LmWsGvQ2TkKPxL99GLxNfA61dIMdOdx3Uis1k962xA2N7fG5weqwOXoD&#10;+7d4V1dPX/R5OXTvr6vV93R0W2NubzL1CCLhOf3B8KvP6lCy0y4cyUXRGdA6mzJqYD5XvIEJ/aA0&#10;iJ2BhZ5lIMtC/t9Q/gBQSwMEFAAAAAgAh07iQIwFT4RGAgAApgQAAA4AAABkcnMvZTJvRG9jLnht&#10;bK1UwW7bMAy9D9g/CLovjtN4S4M6RZEgw4BuLdbtAxRZjoVJokYpcbqvHyUbbdpdepgPgihSj3yP&#10;oq+uT9awo8KgwdW8nEw5U05Co92+5j9/bD8sOAtRuEYYcKrmjyrw69X7d1e9X6oZdGAahYxAXFj2&#10;vuZdjH5ZFEF2yoowAa8cOVtAKyKZuC8aFD2hW1PMptOPRQ/YeASpQqDTzeDkIyK+BRDaVku1AXmw&#10;ysUBFZURkSiFTvvAV7natlUy3rVtUJGZmhPTmFdKQvtdWovVlVjuUfhOy7EE8ZYSXnGyQjtK+gS1&#10;EVGwA+p/oKyWCAHaOJFgi4FIVoRYlNNX2jx0wqvMhaQO/kn08P9g5bfjPTLd1PxiXnHmhKWWfyfZ&#10;hNsbxcr5fJE06n1YUuiDv8fEMvhbkL8Cc7DuKFDdIELfKdFQZWWKL15cSEagq2zXf4WGEohDhCzX&#10;qUXLEKgts3JOr2M6zcekCzvlJj0+NUmdIpN0WC5miwW1T5LroirLqsoJxTJhpeI8hvhZgWVpU3Mk&#10;MhlUHG9DTLU9h2QuYHSz1cZkA/e7tUF2FPRetvSNBQnjOzGcVrnKAScM4RkznOMYx/qaX1azKqd+&#10;4RsvDWgJjHKMcOcQVkeaM6NtzRfnQcaN8iZFh87soHkkdbOOpAwNN/HuAP9w1tPTrnn4fRCoODNf&#10;HHXokrqaZiEb8+rTjAw89+zOPcJJgqp55GzYruMwPwePet9RpjJzdHBDXW11ljh1fKhqLJaeb1Zp&#10;HLU0H+d2jnr+va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8haiXcAAAACwEAAA8AAAAAAAAA&#10;AQAgAAAAIgAAAGRycy9kb3ducmV2LnhtbFBLAQIUABQAAAAIAIdO4kCMBU+ERgIAAKYEAAAOAAAA&#10;AAAAAAEAIAAAACsBAABkcnMvZTJvRG9jLnhtbFBLBQYAAAAABgAGAFkBAADjBQ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66784" behindDoc="0" locked="0" layoutInCell="1" allowOverlap="1" wp14:anchorId="7D7BEDE0" wp14:editId="1661B020">
                <wp:simplePos x="0" y="0"/>
                <wp:positionH relativeFrom="column">
                  <wp:posOffset>3437890</wp:posOffset>
                </wp:positionH>
                <wp:positionV relativeFrom="paragraph">
                  <wp:posOffset>4794885</wp:posOffset>
                </wp:positionV>
                <wp:extent cx="381635" cy="444500"/>
                <wp:effectExtent l="16510" t="14605" r="20955" b="17145"/>
                <wp:wrapNone/>
                <wp:docPr id="342"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381635" cy="444500"/>
                        </a:xfrm>
                        <a:prstGeom prst="rect">
                          <a:avLst/>
                        </a:prstGeom>
                        <a:solidFill>
                          <a:srgbClr val="FFFF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48" o:spid="_x0000_s1026" o:spt="1" style="position:absolute;left:0pt;margin-left:270.7pt;margin-top:377.55pt;height:35pt;width:30.05pt;rotation:-196608f;z-index:251766784;mso-width-relative:page;mso-height-relative:page;" fillcolor="#FFFF00" filled="t" stroked="t" coordsize="21600,21600" o:gfxdata="UEsDBAoAAAAAAIdO4kAAAAAAAAAAAAAAAAAEAAAAZHJzL1BLAwQUAAAACACHTuJAJ4wDm9wAAAAL&#10;AQAADwAAAGRycy9kb3ducmV2LnhtbE2PsU7DMBCGdyTewTokFkRtV0mp0jiVoEKIgaEtSzc3viah&#10;9jmK3abl6TETjHf36b/vL5cXZ9kZh9B5UiAnAhhS7U1HjYLP7evjHFiImoy2nlDBFQMsq9ubUhfG&#10;j7TG8yY2LIVQKLSCNsa+4DzULTodJr5HSreDH5yOaRwabgY9pnBn+VSIGXe6o/Sh1T2+tFgfNyen&#10;4PAeHpr6+Yt216P9eFutvrPRbJW6v5NiASziJf7B8Kuf1KFKTnt/IhOYVZBnMkuogqc8l8ASMRMy&#10;B7ZXMJ+mDa9K/r9D9QNQSwMEFAAAAAgAh07iQP7bsIpFAgAApgQAAA4AAABkcnMvZTJvRG9jLnht&#10;bK1UwW7bMAy9D9g/CLqvjlOnS4M6RZGgw4BuLdbtAxRZjoVJokYpcbqvHyV7adpdelgOhihSj3yP&#10;ZK6uD9awvcKgwdW8PJtwppyERrttzX98v/0w5yxE4RphwKmaP6nAr5fv3131fqGm0IFpFDICcWHR&#10;+5p3MfpFUQTZKSvCGXjlyNkCWhHJxG3RoOgJ3ZpiOplcFD1g4xGkCoFu14OTj4j4FkBoWy3VGuTO&#10;KhcHVFRGRKIUOu0DX+Zq21bJeN+2QUVmak5MY/5SEjpv0rdYXonFFoXvtBxLEG8p4RUnK7SjpEeo&#10;tYiC7VD/A2W1RAjQxjMJthiIZEWIRTl5pc1jJ7zKXEjq4I+ih/8HK7/uH5Dppubn1ZQzJyy1/BvJ&#10;JtzWKFZW1Txp1PuwoNBH/4CJZfB3IH8G5mDVUaC6QYS+U6KhysoUX7x4kIxAT9mm/wINJRC7CFmu&#10;Q4uWIVBbpmVF0zGZ5GvShR1yk56OTVKHyCRdns/Li/MZZ5JcVVXN6ElKKBYJKxXnMcRPCixLh5oj&#10;kcmgYn8X4hD6NyRzAaObW21MNnC7WRlke0Hzcku/sSBhfCeGW0p4TBmG8Jw+nOIYx/qaX86ms5z6&#10;hW98NKAlsGe4UwirI+2Z0bbm89Mg40Z5k6JDZzbQPJG6WUcabFpu4t0B/uasp9Guefi1E6g4M58d&#10;deiSupp2IRvV7OOUDDz1bE49wkmCqnnkbDiu4rA/O49621GmMnN0cENdbXWWOHV8qGoslsY3qzSu&#10;WtqPUztHPf+9L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4wDm9wAAAALAQAADwAAAAAAAAAB&#10;ACAAAAAiAAAAZHJzL2Rvd25yZXYueG1sUEsBAhQAFAAAAAgAh07iQP7bsIpFAgAApgQAAA4AAAAA&#10;AAAAAQAgAAAAKwEAAGRycy9lMm9Eb2MueG1sUEsFBgAAAAAGAAYAWQEAAOIFA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65760" behindDoc="0" locked="0" layoutInCell="1" allowOverlap="1" wp14:anchorId="3CAE77F1" wp14:editId="0C3C3ADC">
                <wp:simplePos x="0" y="0"/>
                <wp:positionH relativeFrom="column">
                  <wp:posOffset>3245485</wp:posOffset>
                </wp:positionH>
                <wp:positionV relativeFrom="paragraph">
                  <wp:posOffset>985520</wp:posOffset>
                </wp:positionV>
                <wp:extent cx="544195" cy="619125"/>
                <wp:effectExtent l="20955" t="19050" r="25400" b="28575"/>
                <wp:wrapNone/>
                <wp:docPr id="341"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544195" cy="619125"/>
                        </a:xfrm>
                        <a:prstGeom prst="rect">
                          <a:avLst/>
                        </a:prstGeom>
                        <a:solidFill>
                          <a:srgbClr val="FFFF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48" o:spid="_x0000_s1026" o:spt="1" style="position:absolute;left:0pt;margin-left:255.55pt;margin-top:77.6pt;height:48.75pt;width:42.85pt;rotation:-196608f;z-index:251765760;mso-width-relative:page;mso-height-relative:page;" fillcolor="#FFFF00" filled="t" stroked="t" coordsize="21600,21600" o:gfxdata="UEsDBAoAAAAAAIdO4kAAAAAAAAAAAAAAAAAEAAAAZHJzL1BLAwQUAAAACACHTuJAe5YKadsAAAAL&#10;AQAADwAAAGRycy9kb3ducmV2LnhtbE2PMU/DMBCFdyT+g3VILIg6jkiBEKcSVAgxMNCysLnxNQm1&#10;z1HsNi2/nmOC8fQ+vftetTh6Jw44xj6QBjXLQCA1wfbUavhYP1/fgYjJkDUuEGo4YYRFfX5WmdKG&#10;id7xsEqt4BKKpdHQpTSUUsamQ2/iLAxInG3D6E3ic2ylHc3E5d7JPMvm0pue+ENnBnzqsNmt9l7D&#10;9jVetc3jF32edu7tZbn8vpnsWuvLC5U9gEh4TH8w/OqzOtTstAl7slE4DYVSilEOiiIHwURxP+cx&#10;Gw15kd+CrCv5f0P9A1BLAwQUAAAACACHTuJAjw3bAEICAACmBAAADgAAAGRycy9lMm9Eb2MueG1s&#10;rVRRb9MwEH5H4j9YfmdpSjraauk0rSpCGmxi8ANcx2ksbJ85u03Hr+fsRF0ZEtoDeYh89uW77/vO&#10;l6vrozXsoDBocDUvLyacKSeh0W5X8+/fNu/mnIUoXCMMOFXzJxX49ertm6veL9UUOjCNQkYgLix7&#10;X/MuRr8siiA7ZUW4AK8cHbaAVkQKcVc0KHpCt6aYTiaXRQ/YeASpQqDd9XDIR0R8DSC0rZZqDXJv&#10;lYsDKiojIkkKnfaBrzLbtlUy3rdtUJGZmpPSmN9UhNbb9C5WV2K5Q+E7LUcK4jUUXmiyQjsqeoJa&#10;iyjYHvVfUFZLhABtvJBgi0FIdoRUlJMX3jx2wqushawO/mR6+H+w8svhAZluav6+KjlzwlLLv5Jt&#10;wu2MYmVVzZNHvQ9LSn30D5hUBn8H8kdgDm47SlQ3iNB3SjTErEz5xR8fpCDQp2zbf4aGCoh9hGzX&#10;sUXLEKgt07Ki2zGZ5G3yhR1zk55OTVLHyCRtzqqqXMw4k3R0WS7K6SwXFMuElch5DPGjAsvSouZI&#10;YjKoONyFmLg9p2QtYHSz0cbkAHfbW4PsIOi+bOgZCQnjOzHszjLLAScM6RkznOMYx/qaL2ZE7t81&#10;EhjVGOHOIayONGdG25rPz5OMG+1Njg6d2ULzRO5mH+li03CT7g7wF2c9Xe2ah597gYoz88lRhxbU&#10;1TQLOahmH6YU4PnJ9vxEOElQNY+cDcvbOMzP3qPedVSpzBod3FBXW50tTh0fWI1k6fpml8ZRS/Nx&#10;Hues59/L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7lgpp2wAAAAsBAAAPAAAAAAAAAAEAIAAA&#10;ACIAAABkcnMvZG93bnJldi54bWxQSwECFAAUAAAACACHTuJAjw3bAEICAACmBAAADgAAAAAAAAAB&#10;ACAAAAAqAQAAZHJzL2Uyb0RvYy54bWxQSwUGAAAAAAYABgBZAQAA3gU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64736" behindDoc="0" locked="0" layoutInCell="1" allowOverlap="1" wp14:anchorId="7DAAC962" wp14:editId="1BFCAF09">
                <wp:simplePos x="0" y="0"/>
                <wp:positionH relativeFrom="column">
                  <wp:posOffset>1536700</wp:posOffset>
                </wp:positionH>
                <wp:positionV relativeFrom="paragraph">
                  <wp:posOffset>2712085</wp:posOffset>
                </wp:positionV>
                <wp:extent cx="375285" cy="605790"/>
                <wp:effectExtent l="31115" t="20320" r="31750" b="21590"/>
                <wp:wrapNone/>
                <wp:docPr id="340"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00000">
                          <a:off x="0" y="0"/>
                          <a:ext cx="375285" cy="605790"/>
                        </a:xfrm>
                        <a:prstGeom prst="rect">
                          <a:avLst/>
                        </a:prstGeom>
                        <a:solidFill>
                          <a:srgbClr val="00B0F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75" o:spid="_x0000_s1026" o:spt="1" style="position:absolute;left:0pt;margin-left:121pt;margin-top:213.55pt;height:47.7pt;width:29.55pt;rotation:-327680f;z-index:251764736;mso-width-relative:page;mso-height-relative:page;" fillcolor="#00B0F0" filled="t" stroked="t" coordsize="21600,21600" o:gfxdata="UEsDBAoAAAAAAIdO4kAAAAAAAAAAAAAAAAAEAAAAZHJzL1BLAwQUAAAACACHTuJAIes6sdoAAAAL&#10;AQAADwAAAGRycy9kb3ducmV2LnhtbE2PS0/DMBCE70j8B2uRuFE/SAGFOJUAIfVSEAUJcXPjxTH4&#10;EWKnKf8ec4LbrGY0+02zOnhH9jgmG4MEvmBAMHRR22AkvDzfn10BSVkFrVwMKOEbE6za46NG1TrO&#10;4Qn322xIKQmpVhL6nIea0tT16FVaxAFD8d7j6FUu52ioHtVcyr2jgrEL6pUN5UOvBrztsfvcTl4C&#10;pso+fGzc2vCvx7vpzc6vN2aW8vSEs2sgGQ/5Lwy/+AUd2sK0i1PQiTgJohJlS5ZQiUsOpCTOGS9i&#10;J2EpxBJo29D/G9ofUEsDBBQAAAAIAIdO4kB8bmttRwIAAKYEAAAOAAAAZHJzL2Uyb0RvYy54bWyt&#10;VMtu2zAQvBfoPxC8N5LsKH4gcpAmSFEgbYOm/QCaoiyiJJdd0pbTr++SchInveRQHwQudzm7M0P6&#10;/GJvDdspDBpcw6uTkjPlJLTabRr+88fNhzlnIQrXCgNONfxBBX6xev/ufPBLNYEeTKuQEYgLy8E3&#10;vI/RL4siyF5ZEU7AK0fJDtCKSCFuihbFQOjWFJOyPCsGwNYjSBUC7V6PSX5AxLcAQtdpqa5Bbq1y&#10;cURFZUQkSqHXPvBVnrbrlIzfui6oyEzDiWnMX2pC63X6Fqtzsdyg8L2WhxHEW0Z4xckK7ajpE9S1&#10;iIJtUf8DZbVECNDFEwm2GIlkRYhFVb7S5r4XXmUuJHXwT6KH/wcrv+7ukOm24dNT0sQJS5Z/J9mE&#10;2xjFqvmsThoNPiyp9N7fYWIZ/C3IX4E5uOqpUF0iwtAr0dJkVaovXhxIQaCjbD18gZYaiG2ELNe+&#10;Q8sQyJZJNS3TL2+TLmyfTXp4MkntI5O0OZ3Vk3nNmaTUWVnPFtnEQiwTVhrOY4ifFFiWFg1HIpNB&#10;xe42xDTbc0nmAka3N9qYHOBmfWWQ7US6L+XH8mYcSBjfi3G3zlOOOGEsz5jhGMc4NjR8UU/q3PpF&#10;7nDosccx3DGE1ZHemdG24fNU80jTuIO8SdHRmTW0D6Ru1pFMpMdNvHvAP5wNdLUbHn5vBSrOzGdH&#10;Di2q0+R1zMFpPZtQgMeZ9XFGOElQDY+cjcurOL6frUe96alTlTk6uCRXO50lTo6PUx2GpeubVTo8&#10;tfQ+juNc9fz3svo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es6sdoAAAALAQAADwAAAAAAAAAB&#10;ACAAAAAiAAAAZHJzL2Rvd25yZXYueG1sUEsBAhQAFAAAAAgAh07iQHxua21HAgAApgQAAA4AAAAA&#10;AAAAAQAgAAAAKQEAAGRycy9lMm9Eb2MueG1sUEsFBgAAAAAGAAYAWQEAAOIFA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673600" behindDoc="0" locked="0" layoutInCell="1" allowOverlap="1" wp14:anchorId="47D3BE9E" wp14:editId="21447EC7">
                <wp:simplePos x="0" y="0"/>
                <wp:positionH relativeFrom="column">
                  <wp:posOffset>913765</wp:posOffset>
                </wp:positionH>
                <wp:positionV relativeFrom="paragraph">
                  <wp:posOffset>3054985</wp:posOffset>
                </wp:positionV>
                <wp:extent cx="313690" cy="407670"/>
                <wp:effectExtent l="4445" t="4445" r="5715" b="6985"/>
                <wp:wrapNone/>
                <wp:docPr id="56"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07670"/>
                        </a:xfrm>
                        <a:prstGeom prst="rect">
                          <a:avLst/>
                        </a:prstGeom>
                        <a:solidFill>
                          <a:srgbClr val="00B0F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75" o:spid="_x0000_s1026" o:spt="1" style="position:absolute;left:0pt;margin-left:71.95pt;margin-top:240.55pt;height:32.1pt;width:24.7pt;z-index:251673600;mso-width-relative:page;mso-height-relative:page;" fillcolor="#00B0F0" filled="t" stroked="t" coordsize="21600,21600" o:gfxdata="UEsDBAoAAAAAAIdO4kAAAAAAAAAAAAAAAAAEAAAAZHJzL1BLAwQUAAAACACHTuJA7exuwNoAAAAL&#10;AQAADwAAAGRycy9kb3ducmV2LnhtbE2Pu07EMBBFeyT+wRokGsQ6IQlkQ5wtEAiJAomQAjpvPHmI&#10;eBzFs6+/x1tBeTVH954pN0c7iT0ufnSkIF5FIJBaZ0bqFTSfL7c5CM+ajJ4coYITethUlxelLow7&#10;0Afua+5FKCFfaAUD81xI6dsBrfYrNyOFW+cWqznEpZdm0YdQbid5F0X30uqRwsKgZ3wasP2pd1ZB&#10;bW/evrrm4fm9+WbO0u70Oua1UtdXcfQIgvHIfzCc9YM6VMFp63ZkvJhCTpN1QBWkeRyDOBPrJAGx&#10;VZClWQKyKuX/H6pfUEsDBBQAAAAIAIdO4kDh6baTPwIAAJYEAAAOAAAAZHJzL2Uyb0RvYy54bWyt&#10;VE1v2zAMvQ/YfxB0X22n+WiNOkXXosOAbivW7QcoshwLk0SNUuJ0v76UnHRpd+lhORiiSD7yPYq5&#10;uNxZw7YKgwbX8Oqk5Ew5Ca1264b//HH74YyzEIVrhQGnGv6oAr9cvn93MfhaTaAH0ypkBOJCPfiG&#10;9zH6uiiC7JUV4QS8cuTsAK2IZOK6aFEMhG5NMSnLeTEAth5BqhDo9mZ08j0ivgUQuk5LdQNyY5WL&#10;IyoqIyJRCr32gS9zt12nZPzWdUFFZhpOTGP+UhE6r9K3WF6Ieo3C91ruWxBvaeEVJyu0o6LPUDci&#10;CrZB/Q+U1RIhQBdPJNhiJJIVIRZV+Uqbh154lbmQ1ME/ix7+H6z8ur1HptuGz+acOWFp4t9JNeHW&#10;RrHqbDFLEg0+1BT54O8xkQz+DuSvwBxc9xSorhBh6JVoqbEqxRcvEpIRKJWthi/QUgGxiZDV2nVo&#10;EyDpwHZ5KI/PQ1G7yCRdnlan83MalyTXtFzMF3lohagPyR5D/KTAsnRoOFL3GVxs70JMzYj6EJKb&#10;B6PbW21MNnC9ujbItiK9j/JjeVuOucb3YrydlfTLpIj4GJ4xwzGOcWxo+PlsMsvpL3z7pEONY7hj&#10;CKsj7ZXRtuFnKeZQ07i9nknCcRQraB9JToTxOdMy06EH/MPZQE+54eH3RqDizHx2NJLzajpNbz8b&#10;09liQgYee1bHHuEkQTU8cjYer+O4LxuPet1TpSpzdHBFY+x0ljiNeOxq3yw916zSfrXSPhzbOerv&#10;38ny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3sbsDaAAAACwEAAA8AAAAAAAAAAQAgAAAAIgAA&#10;AGRycy9kb3ducmV2LnhtbFBLAQIUABQAAAAIAIdO4kDh6baTPwIAAJYEAAAOAAAAAAAAAAEAIAAA&#10;ACkBAABkcnMvZTJvRG9jLnhtbFBLBQYAAAAABgAGAFkBAADaBQ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63712" behindDoc="0" locked="0" layoutInCell="1" allowOverlap="1" wp14:anchorId="5BC067CA" wp14:editId="7F5AA5DE">
                <wp:simplePos x="0" y="0"/>
                <wp:positionH relativeFrom="column">
                  <wp:posOffset>2386965</wp:posOffset>
                </wp:positionH>
                <wp:positionV relativeFrom="paragraph">
                  <wp:posOffset>955040</wp:posOffset>
                </wp:positionV>
                <wp:extent cx="557530" cy="797560"/>
                <wp:effectExtent l="5080" t="4445" r="8890" b="17145"/>
                <wp:wrapNone/>
                <wp:docPr id="339"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797560"/>
                        </a:xfrm>
                        <a:prstGeom prst="rect">
                          <a:avLst/>
                        </a:prstGeom>
                        <a:solidFill>
                          <a:srgbClr val="FFFF00">
                            <a:alpha val="50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48" o:spid="_x0000_s1026" o:spt="1" style="position:absolute;left:0pt;margin-left:187.95pt;margin-top:75.2pt;height:62.8pt;width:43.9pt;z-index:251763712;mso-width-relative:page;mso-height-relative:page;" fillcolor="#FFFF00" filled="t" stroked="t" coordsize="21600,21600" o:gfxdata="UEsDBAoAAAAAAIdO4kAAAAAAAAAAAAAAAAAEAAAAZHJzL1BLAwQUAAAACACHTuJAxU6IANoAAAAL&#10;AQAADwAAAGRycy9kb3ducmV2LnhtbE2Py07DMBBF90j8gzVI7KjdRxIa4lQUAQs2iNAPcOJpEhqP&#10;I9tJy99jVrAc3aN7zxS7ixnYjM73liQsFwIYUmN1T62Ew+fL3T0wHxRpNVhCCd/oYVdeXxUq1/ZM&#10;HzhXoWWxhHyuJHQhjDnnvunQKL+wI1LMjtYZFeLpWq6dOsdyM/CVECk3qqe40KkRnzpsTtVkJLzv&#10;6+nN2v1BjK9fc3J6dOa5yqS8vVmKB2ABL+EPhl/9qA5ldKrtRNqzQcI6S7YRjUEiNsAisUnXGbBa&#10;wipLBfCy4P9/KH8AUEsDBBQAAAAIAIdO4kAdvpaPPgIAAJcEAAAOAAAAZHJzL2Uyb0RvYy54bWyt&#10;VMFu2zAMvQ/YPwi6r3bSummMOkWRoMOAbi3W7QMUWY6FSaJGKXG6rx8lp23aXXqYD4Iokk98j6Iv&#10;r/bWsJ3CoME1fHJScqachFa7TcN//rj5dMFZiMK1woBTDX9UgV8tPn64HHytptCDaRUyAnGhHnzD&#10;+xh9XRRB9sqKcAJeOXJ2gFZEMnFTtCgGQremmJbleTEAth5BqhDodDU6+QER3wMIXaelWoHcWuXi&#10;iIrKiEiUQq994ItcbdcpGe+6LqjITMOJacwrXUL7dVqLxaWoNyh8r+WhBPGeEt5wskI7uvQZaiWi&#10;YFvU/0BZLRECdPFEgi1GIlkRYjEp32jz0AuvMheSOvhn0cP/g5XfdvfIdNvw09M5Z05Yavl3kk24&#10;jVFscnZ2kTQafKgp9MHfY2IZ/C3IX4E5WPYUqK4RYeiVaKmySYovXiUkI1AqWw9foaULxDZClmvf&#10;oU2AJATb5648PndF7SOTdFhVs+qU+iXJNZvPqvPctULUT8keQ/yswLK0aThS9Rlc7G5DTMWI+ikk&#10;Fw9GtzfamGzgZr00yHaCHsgNfWU55hrfi/G0KunLpIj4GJ4xwzGOcWxo+LyaVjn9le+QNKIlsBe4&#10;YwirIw2W0bbhF8dBxh30TBKOrVhD+0hyIozvmaaZNj3gH84GessND7+3AhVn5oujlsypjenxZ+Os&#10;mk3JwGPP+tgjnCSohkfOxu0yjgOz9ag3Pd00yRwdXFMbO50lTi0eqzoUS+81q3SYrTQQx3aOevmf&#10;L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U6IANoAAAALAQAADwAAAAAAAAABACAAAAAiAAAA&#10;ZHJzL2Rvd25yZXYueG1sUEsBAhQAFAAAAAgAh07iQB2+lo8+AgAAlwQAAA4AAAAAAAAAAQAgAAAA&#10;KQEAAGRycy9lMm9Eb2MueG1sUEsFBgAAAAAGAAYAWQEAANkFAAAAAA==&#10;">
                <v:fill on="t" opacity="32768f" focussize="0,0"/>
                <v:stroke color="#000000" miterlimit="8" joinstyle="miter"/>
                <v:imagedata o:title=""/>
                <o:lock v:ext="edit" aspectratio="f"/>
              </v:rect>
            </w:pict>
          </mc:Fallback>
        </mc:AlternateContent>
      </w:r>
      <w:r>
        <w:rPr>
          <w:rFonts w:eastAsiaTheme="minorEastAsia"/>
          <w:noProof/>
          <w:sz w:val="24"/>
        </w:rPr>
        <mc:AlternateContent>
          <mc:Choice Requires="wps">
            <w:drawing>
              <wp:anchor distT="0" distB="0" distL="114300" distR="114300" simplePos="0" relativeHeight="251762688" behindDoc="0" locked="0" layoutInCell="1" allowOverlap="1" wp14:anchorId="539A2EA8" wp14:editId="5CFCCA5B">
                <wp:simplePos x="0" y="0"/>
                <wp:positionH relativeFrom="column">
                  <wp:posOffset>4575175</wp:posOffset>
                </wp:positionH>
                <wp:positionV relativeFrom="paragraph">
                  <wp:posOffset>4462780</wp:posOffset>
                </wp:positionV>
                <wp:extent cx="96520" cy="1073150"/>
                <wp:effectExtent l="102235" t="12065" r="86995" b="635"/>
                <wp:wrapNone/>
                <wp:docPr id="63" name="AutoShap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85143">
                          <a:off x="0" y="0"/>
                          <a:ext cx="96520" cy="1073150"/>
                        </a:xfrm>
                        <a:prstGeom prst="downArrow">
                          <a:avLst>
                            <a:gd name="adj1" fmla="val 50000"/>
                            <a:gd name="adj2" fmla="val 277961"/>
                          </a:avLst>
                        </a:prstGeom>
                        <a:solidFill>
                          <a:srgbClr val="00B0F0"/>
                        </a:solidFill>
                        <a:ln w="9525">
                          <a:solidFill>
                            <a:srgbClr val="00B0F0"/>
                          </a:solidFill>
                          <a:miter lim="800000"/>
                        </a:ln>
                      </wps:spPr>
                      <wps:bodyPr rot="0" vert="eaVert" wrap="square" lIns="91440" tIns="45720" rIns="91440" bIns="45720" anchor="t" anchorCtr="0" upright="1">
                        <a:noAutofit/>
                      </wps:bodyPr>
                    </wps:wsp>
                  </a:graphicData>
                </a:graphic>
              </wp:anchor>
            </w:drawing>
          </mc:Choice>
          <mc:Fallback xmlns:wpsCustomData="http://www.wps.cn/officeDocument/2013/wpsCustomData">
            <w:pict>
              <v:shape id="AutoShape 1903" o:spid="_x0000_s1026" o:spt="67" type="#_x0000_t67" style="position:absolute;left:0pt;margin-left:360.25pt;margin-top:351.4pt;height:84.5pt;width:7.6pt;rotation:-10938894f;z-index:251762688;mso-width-relative:page;mso-height-relative:page;" fillcolor="#00B0F0" filled="t" stroked="t" coordsize="21600,21600" o:gfxdata="UEsDBAoAAAAAAIdO4kAAAAAAAAAAAAAAAAAEAAAAZHJzL1BLAwQUAAAACACHTuJAStgxG9sAAAAL&#10;AQAADwAAAGRycy9kb3ducmV2LnhtbE2PwU7DMAyG70i8Q2QkbixpobTqmu4AQggkkDo4cMyaLK3W&#10;OF2TdeXtMSe42fKn399fbRY3sNlMofcoIVkJYAZbr3u0Ej4/nm4KYCEq1GrwaCR8mwCb+vKiUqX2&#10;Z2zMvI2WUQiGUknoYhxLzkPbGafCyo8G6bb3k1OR1slyPakzhbuBp0Lcc6d6pA+dGs1DZ9rD9uQk&#10;7I/WfiV902R378/+pZ2Pb8vjq5TXV4lYA4tmiX8w/OqTOtTktPMn1IENEvJUZITSIFLqQER+m+XA&#10;dhKKPCmA1xX/36H+AVBLAwQUAAAACACHTuJAgwd+NVYCAADdBAAADgAAAGRycy9lMm9Eb2MueG1s&#10;rVTBctsgEL13pv/AcG8k2ZYdayJnUmfS6UzaZiZt7xghixZYCthy/j4LklM7veRQH2RgV2/3vcfq&#10;6vqgFdkL5yWYmhYXOSXCcGik2db0x/e7D5eU+MBMwxQYUdMn4en16v27q95WYgIdqEY4giDGV72t&#10;aReCrbLM805o5i/ACoPBFpxmAbdumzWO9YiuVTbJ83nWg2usAy68x9PbIUhHRPcWQGhbycUt8J0W&#10;JgyoTigWkJLvpPV0lbptW8HDt7b1IhBVU2Qa0hOL4HoTn9nqilVbx2wn+dgCe0sLrzhpJg0WfYG6&#10;ZYGRnZP/QGnJHXhowwUHnQ1EkiLIoshfafPYMSsSF5Ta2xfR/f+D5V/3D47IpqbzKSWGaXT8Zhcg&#10;lSbFMp9GiXrrK8x8tA8ukvT2HvhvTwysO2a24sY56DvBGmysiPnZ2Qtx4/FVsum/QIMFGBZIah1a&#10;p4kDdKUoysuymE3TMcpCDsmjpxePxCEQjofLeTlB8zhGinwxLcrkYcaqiBWbs86HTwI0iYuaNtCb&#10;1F9CZvt7H5JPzUiWNb8KSlqt0PY9U6TM8Tdei5OcyWnOZLFYzgeirBohsYNj5SQRKNncSaXSxm03&#10;a+UI4iOf/GN+d2zan6YpQ3okWE7K1OtZzL8NQsuAw6mkrullJHKso8xoSvRh8HMDzRN6ktRHQfGL&#10;gGoJ9hP/KelxImrq/+yYE5SozwadXRazWRyhtJmVi2iDO41sTiPM8A5w0BBsWK7DMHY76+S2i5Yn&#10;lgbidWtlOF6boa+xXbz1uDobq9N9yvr7VVo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rYMRvb&#10;AAAACwEAAA8AAAAAAAAAAQAgAAAAIgAAAGRycy9kb3ducmV2LnhtbFBLAQIUABQAAAAIAIdO4kCD&#10;B341VgIAAN0EAAAOAAAAAAAAAAEAIAAAACoBAABkcnMvZTJvRG9jLnhtbFBLBQYAAAAABgAGAFkB&#10;AADyBQAAAAA=&#10;" adj="16200,5400">
                <v:fill on="t" focussize="0,0"/>
                <v:stroke color="#00B0F0" miterlimit="8" joinstyle="miter"/>
                <v:imagedata o:title=""/>
                <o:lock v:ext="edit" aspectratio="f"/>
                <v:textbox style="layout-flow:vertical-ideographic;"/>
              </v:shape>
            </w:pict>
          </mc:Fallback>
        </mc:AlternateContent>
      </w:r>
    </w:p>
    <w:p w14:paraId="5C0F7F78" w14:textId="77777777" w:rsidR="00B14D53" w:rsidRDefault="00000000">
      <w:pPr>
        <w:jc w:val="center"/>
        <w:rPr>
          <w:b/>
          <w:bCs/>
        </w:rPr>
      </w:pPr>
      <w:r>
        <w:rPr>
          <w:rFonts w:hint="eastAsia"/>
          <w:b/>
          <w:bCs/>
        </w:rPr>
        <w:t>图</w:t>
      </w:r>
      <w:r>
        <w:rPr>
          <w:rFonts w:hint="eastAsia"/>
          <w:b/>
          <w:bCs/>
        </w:rPr>
        <w:t xml:space="preserve">6-2-2 </w:t>
      </w:r>
      <w:r>
        <w:rPr>
          <w:rFonts w:hint="eastAsia"/>
          <w:b/>
          <w:bCs/>
        </w:rPr>
        <w:t>地下水防渗分区图</w:t>
      </w:r>
    </w:p>
    <w:p w14:paraId="5999F728" w14:textId="77777777" w:rsidR="00B14D53" w:rsidRDefault="00B14D53">
      <w:pPr>
        <w:spacing w:line="360" w:lineRule="auto"/>
        <w:jc w:val="center"/>
        <w:rPr>
          <w:rFonts w:eastAsiaTheme="minorEastAsia"/>
          <w:b/>
          <w:sz w:val="24"/>
        </w:rPr>
        <w:sectPr w:rsidR="00B14D53">
          <w:pgSz w:w="11906" w:h="16838"/>
          <w:pgMar w:top="1440" w:right="1800" w:bottom="1440" w:left="1800" w:header="851" w:footer="992" w:gutter="0"/>
          <w:cols w:space="425"/>
          <w:docGrid w:type="lines" w:linePitch="312"/>
        </w:sectPr>
      </w:pPr>
    </w:p>
    <w:p w14:paraId="02ABAE33"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6.2.</w:t>
      </w:r>
      <w:r>
        <w:rPr>
          <w:rFonts w:ascii="Times New Roman" w:eastAsia="黑体" w:hAnsi="Times New Roman" w:cs="Times New Roman" w:hint="eastAsia"/>
          <w:b w:val="0"/>
          <w:sz w:val="24"/>
          <w:szCs w:val="24"/>
        </w:rPr>
        <w:t>2</w:t>
      </w:r>
      <w:r>
        <w:rPr>
          <w:rFonts w:ascii="Times New Roman" w:eastAsia="黑体" w:hAnsi="Times New Roman" w:cs="Times New Roman"/>
          <w:b w:val="0"/>
          <w:sz w:val="24"/>
          <w:szCs w:val="24"/>
        </w:rPr>
        <w:t>.</w:t>
      </w:r>
      <w:r>
        <w:rPr>
          <w:rFonts w:ascii="Times New Roman" w:eastAsia="黑体" w:hAnsi="Times New Roman" w:cs="Times New Roman" w:hint="eastAsia"/>
          <w:b w:val="0"/>
          <w:sz w:val="24"/>
          <w:szCs w:val="24"/>
        </w:rPr>
        <w:t>7</w:t>
      </w:r>
      <w:r>
        <w:rPr>
          <w:rFonts w:ascii="Times New Roman" w:eastAsia="黑体" w:hAnsi="Times New Roman" w:cs="Times New Roman"/>
          <w:b w:val="0"/>
          <w:sz w:val="24"/>
          <w:szCs w:val="24"/>
        </w:rPr>
        <w:t>信息公开</w:t>
      </w:r>
    </w:p>
    <w:p w14:paraId="0F4686E3" w14:textId="77777777" w:rsidR="00B14D53" w:rsidRDefault="00000000">
      <w:pPr>
        <w:spacing w:line="360" w:lineRule="auto"/>
        <w:ind w:firstLineChars="218" w:firstLine="523"/>
        <w:contextualSpacing/>
        <w:rPr>
          <w:rFonts w:eastAsiaTheme="minorEastAsia"/>
          <w:sz w:val="24"/>
        </w:rPr>
      </w:pPr>
      <w:r>
        <w:rPr>
          <w:rFonts w:eastAsiaTheme="minorEastAsia" w:hAnsiTheme="minorEastAsia"/>
          <w:sz w:val="24"/>
        </w:rPr>
        <w:t>建设单位在开展地下水跟踪监测的同时要进行地下水跟踪监测信息公开工作，每一期的地下水跟踪监测的数据结果要以公告的形式在</w:t>
      </w:r>
      <w:r>
        <w:rPr>
          <w:rFonts w:eastAsiaTheme="minorEastAsia" w:hAnsiTheme="minorEastAsia" w:hint="eastAsia"/>
          <w:sz w:val="24"/>
        </w:rPr>
        <w:t>厂区</w:t>
      </w:r>
      <w:r>
        <w:rPr>
          <w:rFonts w:eastAsiaTheme="minorEastAsia" w:hAnsiTheme="minorEastAsia"/>
          <w:sz w:val="24"/>
        </w:rPr>
        <w:t>内张贴出来，</w:t>
      </w:r>
      <w:r>
        <w:rPr>
          <w:rFonts w:eastAsiaTheme="minorEastAsia" w:hAnsiTheme="minorEastAsia" w:hint="eastAsia"/>
          <w:sz w:val="24"/>
        </w:rPr>
        <w:t>公告板</w:t>
      </w:r>
      <w:r>
        <w:rPr>
          <w:rFonts w:eastAsiaTheme="minorEastAsia" w:hAnsiTheme="minorEastAsia"/>
          <w:sz w:val="24"/>
        </w:rPr>
        <w:t>应展示近</w:t>
      </w:r>
      <w:r>
        <w:rPr>
          <w:rFonts w:eastAsiaTheme="minorEastAsia"/>
          <w:sz w:val="24"/>
        </w:rPr>
        <w:t>3</w:t>
      </w:r>
      <w:r>
        <w:rPr>
          <w:rFonts w:eastAsiaTheme="minorEastAsia" w:hAnsiTheme="minorEastAsia"/>
          <w:sz w:val="24"/>
        </w:rPr>
        <w:t>期的地下水跟踪监测结果，包括污染物的名称、监测数值和监测日期等信息。公众参与的主体是本项目的建设单位，需要对公示的监测数据负责。</w:t>
      </w:r>
    </w:p>
    <w:p w14:paraId="1FB17A53"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bookmarkStart w:id="273" w:name="_Toc448224263"/>
      <w:r>
        <w:rPr>
          <w:rFonts w:ascii="Times New Roman" w:eastAsia="黑体" w:hAnsi="Times New Roman" w:cs="Times New Roman"/>
          <w:b w:val="0"/>
          <w:sz w:val="24"/>
          <w:szCs w:val="24"/>
        </w:rPr>
        <w:t>6.2.</w:t>
      </w:r>
      <w:r>
        <w:rPr>
          <w:rFonts w:ascii="Times New Roman" w:eastAsia="黑体" w:hAnsi="Times New Roman" w:cs="Times New Roman" w:hint="eastAsia"/>
          <w:b w:val="0"/>
          <w:sz w:val="24"/>
          <w:szCs w:val="24"/>
        </w:rPr>
        <w:t>7</w:t>
      </w:r>
      <w:r>
        <w:rPr>
          <w:rFonts w:ascii="Times New Roman" w:eastAsia="黑体" w:hAnsi="Times New Roman" w:cs="Times New Roman"/>
          <w:b w:val="0"/>
          <w:sz w:val="24"/>
          <w:szCs w:val="24"/>
        </w:rPr>
        <w:t>.</w:t>
      </w:r>
      <w:r>
        <w:rPr>
          <w:rFonts w:ascii="Times New Roman" w:eastAsia="黑体" w:hAnsi="Times New Roman" w:cs="Times New Roman" w:hint="eastAsia"/>
          <w:b w:val="0"/>
          <w:sz w:val="24"/>
          <w:szCs w:val="24"/>
        </w:rPr>
        <w:t>8</w:t>
      </w:r>
      <w:r>
        <w:rPr>
          <w:rFonts w:ascii="Times New Roman" w:eastAsia="黑体" w:hAnsi="Times New Roman" w:cs="Times New Roman"/>
          <w:b w:val="0"/>
          <w:sz w:val="24"/>
          <w:szCs w:val="24"/>
        </w:rPr>
        <w:t>应急响应措施</w:t>
      </w:r>
      <w:bookmarkEnd w:id="273"/>
    </w:p>
    <w:p w14:paraId="76AE940C" w14:textId="77777777" w:rsidR="00B14D53" w:rsidRDefault="00000000">
      <w:pPr>
        <w:spacing w:line="360" w:lineRule="auto"/>
        <w:ind w:firstLineChars="218" w:firstLine="523"/>
        <w:contextualSpacing/>
        <w:rPr>
          <w:rFonts w:eastAsiaTheme="minorEastAsia"/>
          <w:sz w:val="24"/>
        </w:rPr>
      </w:pPr>
      <w:r>
        <w:rPr>
          <w:rFonts w:eastAsiaTheme="minorEastAsia" w:hAnsiTheme="minorEastAsia" w:hint="eastAsia"/>
          <w:sz w:val="24"/>
        </w:rPr>
        <w:t>本项目采用分区防渗的措施，正常情况不会发生泄漏，</w:t>
      </w:r>
      <w:r>
        <w:rPr>
          <w:rFonts w:eastAsiaTheme="minorEastAsia" w:hAnsiTheme="minorEastAsia"/>
          <w:sz w:val="24"/>
        </w:rPr>
        <w:t>当明确发生污水渗漏事故时，应根据渗漏位置将渗漏单元的污水排入</w:t>
      </w:r>
      <w:r>
        <w:rPr>
          <w:rFonts w:eastAsiaTheme="minorEastAsia" w:hAnsiTheme="minorEastAsia" w:hint="eastAsia"/>
          <w:sz w:val="24"/>
        </w:rPr>
        <w:t>事故池内</w:t>
      </w:r>
      <w:r>
        <w:rPr>
          <w:rFonts w:eastAsiaTheme="minorEastAsia" w:hAnsiTheme="minorEastAsia"/>
          <w:sz w:val="24"/>
        </w:rPr>
        <w:t>，同时应委托具有专业资质的环境监测单位进行更全面的地下水污染跟踪监测，以便明确渗漏事故的范围和程度。建设单位应将渗漏事故上报给环境主管部门。同时</w:t>
      </w:r>
      <w:r>
        <w:rPr>
          <w:rFonts w:eastAsiaTheme="minorEastAsia" w:hAnsiTheme="minorEastAsia" w:hint="eastAsia"/>
          <w:sz w:val="24"/>
        </w:rPr>
        <w:t>应</w:t>
      </w:r>
      <w:r>
        <w:rPr>
          <w:rFonts w:eastAsiaTheme="minorEastAsia" w:hAnsiTheme="minorEastAsia"/>
          <w:sz w:val="24"/>
        </w:rPr>
        <w:t>委托有专业技术能力的机构进行地下水影响的修复工作。</w:t>
      </w:r>
    </w:p>
    <w:p w14:paraId="22727EA8"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采取以上治理措施后，可以最大程度避免项目污染物水下渗的可能，因此，项目地下水污染防治措施可行。</w:t>
      </w:r>
    </w:p>
    <w:p w14:paraId="1D71B4E5"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6.2.3</w:t>
      </w:r>
      <w:r>
        <w:rPr>
          <w:rFonts w:ascii="Times New Roman" w:eastAsia="黑体" w:hAnsi="Times New Roman" w:cs="Times New Roman"/>
          <w:sz w:val="28"/>
          <w:szCs w:val="28"/>
        </w:rPr>
        <w:t>声环境保护措施及其可行性论证</w:t>
      </w:r>
    </w:p>
    <w:p w14:paraId="2E358212"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项目营运期间产生的噪声主要是</w:t>
      </w:r>
      <w:r>
        <w:rPr>
          <w:rFonts w:eastAsiaTheme="minorEastAsia" w:hAnsiTheme="minorEastAsia" w:hint="eastAsia"/>
          <w:sz w:val="24"/>
        </w:rPr>
        <w:t>电动劈半锯</w:t>
      </w:r>
      <w:r>
        <w:rPr>
          <w:rFonts w:eastAsiaTheme="minorEastAsia" w:hAnsiTheme="minorEastAsia"/>
          <w:sz w:val="24"/>
        </w:rPr>
        <w:t>、水泵等设备产生的机械噪声，为降低噪声对外环境的影响，应采取以下措施：</w:t>
      </w:r>
    </w:p>
    <w:p w14:paraId="55CBADF3" w14:textId="77777777" w:rsidR="00B14D53" w:rsidRDefault="00000000">
      <w:pPr>
        <w:widowControl/>
        <w:kinsoku w:val="0"/>
        <w:autoSpaceDE w:val="0"/>
        <w:autoSpaceDN w:val="0"/>
        <w:adjustRightInd w:val="0"/>
        <w:snapToGrid w:val="0"/>
        <w:spacing w:line="360" w:lineRule="auto"/>
        <w:ind w:firstLineChars="200" w:firstLine="480"/>
        <w:textAlignment w:val="baseline"/>
        <w:rPr>
          <w:kern w:val="21"/>
          <w:sz w:val="24"/>
        </w:rPr>
      </w:pPr>
      <w:r>
        <w:rPr>
          <w:kern w:val="21"/>
          <w:sz w:val="24"/>
        </w:rPr>
        <w:t>（</w:t>
      </w:r>
      <w:r>
        <w:rPr>
          <w:kern w:val="21"/>
          <w:sz w:val="24"/>
        </w:rPr>
        <w:t>1</w:t>
      </w:r>
      <w:r>
        <w:rPr>
          <w:kern w:val="21"/>
          <w:sz w:val="24"/>
        </w:rPr>
        <w:t>）加强待宰区隔音措施，采用性能更佳的隔音设施，加大待宰</w:t>
      </w:r>
      <w:r>
        <w:rPr>
          <w:rFonts w:hint="eastAsia"/>
          <w:kern w:val="21"/>
          <w:sz w:val="24"/>
        </w:rPr>
        <w:t>圈距厂界</w:t>
      </w:r>
      <w:r>
        <w:rPr>
          <w:kern w:val="21"/>
          <w:sz w:val="24"/>
        </w:rPr>
        <w:t>的绿化密度。</w:t>
      </w:r>
    </w:p>
    <w:p w14:paraId="01DD3313" w14:textId="77777777" w:rsidR="00B14D53" w:rsidRDefault="00000000">
      <w:pPr>
        <w:widowControl/>
        <w:kinsoku w:val="0"/>
        <w:autoSpaceDE w:val="0"/>
        <w:autoSpaceDN w:val="0"/>
        <w:adjustRightInd w:val="0"/>
        <w:snapToGrid w:val="0"/>
        <w:spacing w:line="360" w:lineRule="auto"/>
        <w:ind w:firstLineChars="200" w:firstLine="480"/>
        <w:textAlignment w:val="baseline"/>
        <w:rPr>
          <w:kern w:val="21"/>
          <w:sz w:val="24"/>
        </w:rPr>
      </w:pPr>
      <w:r>
        <w:rPr>
          <w:kern w:val="21"/>
          <w:sz w:val="24"/>
        </w:rPr>
        <w:t>（</w:t>
      </w:r>
      <w:r>
        <w:rPr>
          <w:kern w:val="21"/>
          <w:sz w:val="24"/>
        </w:rPr>
        <w:t>2</w:t>
      </w:r>
      <w:r>
        <w:rPr>
          <w:kern w:val="21"/>
          <w:sz w:val="24"/>
        </w:rPr>
        <w:t>）对待宰区猪进行管理，避免猪之间互相咬叫，放音乐对生猪进行安抚，同时应减少外界噪声等对待宰区的干扰，以缓解动物的紧张情绪。</w:t>
      </w:r>
    </w:p>
    <w:p w14:paraId="1DFD13AE" w14:textId="77777777" w:rsidR="00B14D53" w:rsidRDefault="00000000">
      <w:pPr>
        <w:widowControl/>
        <w:kinsoku w:val="0"/>
        <w:autoSpaceDE w:val="0"/>
        <w:autoSpaceDN w:val="0"/>
        <w:adjustRightInd w:val="0"/>
        <w:snapToGrid w:val="0"/>
        <w:spacing w:line="360" w:lineRule="auto"/>
        <w:ind w:firstLineChars="200" w:firstLine="480"/>
        <w:textAlignment w:val="baseline"/>
        <w:rPr>
          <w:kern w:val="21"/>
          <w:sz w:val="24"/>
        </w:rPr>
      </w:pPr>
      <w:r>
        <w:rPr>
          <w:kern w:val="21"/>
          <w:sz w:val="24"/>
        </w:rPr>
        <w:t>（</w:t>
      </w:r>
      <w:r>
        <w:rPr>
          <w:rFonts w:hint="eastAsia"/>
          <w:kern w:val="21"/>
          <w:sz w:val="24"/>
        </w:rPr>
        <w:t>3</w:t>
      </w:r>
      <w:r>
        <w:rPr>
          <w:kern w:val="21"/>
          <w:sz w:val="24"/>
        </w:rPr>
        <w:t>）在工艺设备选型时，应尽可能选用低噪声设备，并对发声设备采取减振和隔音措施；</w:t>
      </w:r>
    </w:p>
    <w:p w14:paraId="10E8C166" w14:textId="77777777" w:rsidR="00B14D53" w:rsidRDefault="00000000">
      <w:pPr>
        <w:widowControl/>
        <w:kinsoku w:val="0"/>
        <w:autoSpaceDE w:val="0"/>
        <w:autoSpaceDN w:val="0"/>
        <w:adjustRightInd w:val="0"/>
        <w:snapToGrid w:val="0"/>
        <w:spacing w:line="360" w:lineRule="auto"/>
        <w:ind w:firstLineChars="200" w:firstLine="480"/>
        <w:textAlignment w:val="baseline"/>
        <w:rPr>
          <w:kern w:val="21"/>
          <w:sz w:val="24"/>
        </w:rPr>
      </w:pPr>
      <w:r>
        <w:rPr>
          <w:kern w:val="21"/>
          <w:sz w:val="24"/>
        </w:rPr>
        <w:t>（</w:t>
      </w:r>
      <w:r>
        <w:rPr>
          <w:rFonts w:hint="eastAsia"/>
          <w:kern w:val="21"/>
          <w:sz w:val="24"/>
        </w:rPr>
        <w:t>4</w:t>
      </w:r>
      <w:r>
        <w:rPr>
          <w:kern w:val="21"/>
          <w:sz w:val="24"/>
        </w:rPr>
        <w:t>）充分利用厂内建筑物的隔声作用，以减轻各类声源对周围环境的影响；</w:t>
      </w:r>
    </w:p>
    <w:p w14:paraId="4C501F99" w14:textId="77777777" w:rsidR="00B14D53" w:rsidRDefault="00000000">
      <w:pPr>
        <w:widowControl/>
        <w:kinsoku w:val="0"/>
        <w:autoSpaceDE w:val="0"/>
        <w:autoSpaceDN w:val="0"/>
        <w:adjustRightInd w:val="0"/>
        <w:snapToGrid w:val="0"/>
        <w:spacing w:line="360" w:lineRule="auto"/>
        <w:ind w:firstLineChars="200" w:firstLine="480"/>
        <w:textAlignment w:val="baseline"/>
        <w:rPr>
          <w:kern w:val="21"/>
          <w:sz w:val="24"/>
        </w:rPr>
      </w:pPr>
      <w:r>
        <w:rPr>
          <w:kern w:val="21"/>
          <w:sz w:val="24"/>
        </w:rPr>
        <w:t>（</w:t>
      </w:r>
      <w:r>
        <w:rPr>
          <w:rFonts w:hint="eastAsia"/>
          <w:kern w:val="21"/>
          <w:sz w:val="24"/>
        </w:rPr>
        <w:t>5</w:t>
      </w:r>
      <w:r>
        <w:rPr>
          <w:kern w:val="21"/>
          <w:sz w:val="24"/>
        </w:rPr>
        <w:t>）车间噪声源强较</w:t>
      </w:r>
      <w:r>
        <w:rPr>
          <w:rFonts w:hint="eastAsia"/>
          <w:kern w:val="21"/>
          <w:sz w:val="24"/>
        </w:rPr>
        <w:t>高</w:t>
      </w:r>
      <w:r>
        <w:rPr>
          <w:kern w:val="21"/>
          <w:sz w:val="24"/>
        </w:rPr>
        <w:t>，在工作时门窗处于关闭状态；以减轻各种设备噪声向车间外传播；</w:t>
      </w:r>
    </w:p>
    <w:p w14:paraId="38D91D9A" w14:textId="77777777" w:rsidR="00B14D53" w:rsidRDefault="00000000">
      <w:pPr>
        <w:widowControl/>
        <w:kinsoku w:val="0"/>
        <w:autoSpaceDE w:val="0"/>
        <w:autoSpaceDN w:val="0"/>
        <w:adjustRightInd w:val="0"/>
        <w:snapToGrid w:val="0"/>
        <w:spacing w:line="360" w:lineRule="auto"/>
        <w:ind w:firstLineChars="200" w:firstLine="480"/>
        <w:textAlignment w:val="baseline"/>
        <w:rPr>
          <w:kern w:val="21"/>
          <w:sz w:val="24"/>
        </w:rPr>
      </w:pPr>
      <w:r>
        <w:rPr>
          <w:kern w:val="21"/>
          <w:sz w:val="24"/>
        </w:rPr>
        <w:t>（</w:t>
      </w:r>
      <w:r>
        <w:rPr>
          <w:rFonts w:hint="eastAsia"/>
          <w:kern w:val="21"/>
          <w:sz w:val="24"/>
        </w:rPr>
        <w:t>6</w:t>
      </w:r>
      <w:r>
        <w:rPr>
          <w:kern w:val="21"/>
          <w:sz w:val="24"/>
        </w:rPr>
        <w:t>）加强厂内绿化，在厂界区内侧种植高大常绿树种，车间周围加大绿化力度；</w:t>
      </w:r>
    </w:p>
    <w:p w14:paraId="7C5181CC" w14:textId="77777777" w:rsidR="00B14D53" w:rsidRDefault="00000000">
      <w:pPr>
        <w:widowControl/>
        <w:kinsoku w:val="0"/>
        <w:autoSpaceDE w:val="0"/>
        <w:autoSpaceDN w:val="0"/>
        <w:adjustRightInd w:val="0"/>
        <w:snapToGrid w:val="0"/>
        <w:spacing w:line="360" w:lineRule="auto"/>
        <w:ind w:firstLineChars="200" w:firstLine="480"/>
        <w:textAlignment w:val="baseline"/>
        <w:rPr>
          <w:kern w:val="21"/>
          <w:sz w:val="24"/>
        </w:rPr>
      </w:pPr>
      <w:r>
        <w:rPr>
          <w:kern w:val="21"/>
          <w:sz w:val="24"/>
        </w:rPr>
        <w:t>（</w:t>
      </w:r>
      <w:r>
        <w:rPr>
          <w:rFonts w:hint="eastAsia"/>
          <w:kern w:val="21"/>
          <w:sz w:val="24"/>
        </w:rPr>
        <w:t>7</w:t>
      </w:r>
      <w:r>
        <w:rPr>
          <w:kern w:val="21"/>
          <w:sz w:val="24"/>
        </w:rPr>
        <w:t>）货物运输车辆进入厂区时应做到不鸣或少鸣笛，以减轻交通噪声对声环境的影响。</w:t>
      </w:r>
    </w:p>
    <w:p w14:paraId="5DED5BAE" w14:textId="77777777" w:rsidR="00B14D53" w:rsidRDefault="00000000">
      <w:pPr>
        <w:spacing w:line="360" w:lineRule="auto"/>
        <w:ind w:firstLineChars="200" w:firstLine="480"/>
        <w:contextualSpacing/>
        <w:rPr>
          <w:rFonts w:eastAsiaTheme="minorEastAsia" w:hAnsiTheme="minorEastAsia" w:hint="eastAsia"/>
          <w:sz w:val="24"/>
        </w:rPr>
      </w:pPr>
      <w:r>
        <w:rPr>
          <w:rFonts w:eastAsiaTheme="minorEastAsia" w:hAnsiTheme="minorEastAsia"/>
          <w:sz w:val="24"/>
        </w:rPr>
        <w:t>综上所述，本项目采取上述防噪措施后，噪声对周围环境影响较小，</w:t>
      </w:r>
      <w:r>
        <w:rPr>
          <w:rFonts w:eastAsiaTheme="minorEastAsia" w:hAnsiTheme="minorEastAsia" w:hint="eastAsia"/>
          <w:sz w:val="24"/>
        </w:rPr>
        <w:t>厂</w:t>
      </w:r>
      <w:r>
        <w:rPr>
          <w:rFonts w:eastAsiaTheme="minorEastAsia" w:hAnsiTheme="minorEastAsia"/>
          <w:sz w:val="24"/>
        </w:rPr>
        <w:t>界满足《工业企业厂界环境噪声排放标准》（</w:t>
      </w:r>
      <w:r>
        <w:rPr>
          <w:rFonts w:eastAsiaTheme="minorEastAsia" w:hAnsiTheme="minorEastAsia"/>
          <w:sz w:val="24"/>
        </w:rPr>
        <w:t>GB12348-2008</w:t>
      </w:r>
      <w:r>
        <w:rPr>
          <w:rFonts w:eastAsiaTheme="minorEastAsia" w:hAnsiTheme="minorEastAsia"/>
          <w:sz w:val="24"/>
        </w:rPr>
        <w:t>）</w:t>
      </w:r>
      <w:r>
        <w:rPr>
          <w:rFonts w:eastAsiaTheme="minorEastAsia" w:hAnsiTheme="minorEastAsia" w:hint="eastAsia"/>
          <w:sz w:val="24"/>
        </w:rPr>
        <w:t>2</w:t>
      </w:r>
      <w:r>
        <w:rPr>
          <w:rFonts w:eastAsiaTheme="minorEastAsia" w:hAnsiTheme="minorEastAsia"/>
          <w:sz w:val="24"/>
        </w:rPr>
        <w:t>类标准。</w:t>
      </w:r>
    </w:p>
    <w:p w14:paraId="75E303B1"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6.2.4</w:t>
      </w:r>
      <w:r>
        <w:rPr>
          <w:rFonts w:ascii="Times New Roman" w:eastAsia="黑体" w:hAnsi="Times New Roman" w:cs="Times New Roman"/>
          <w:bCs/>
          <w:sz w:val="28"/>
          <w:szCs w:val="28"/>
        </w:rPr>
        <w:t>固体废物环境保护措施及其可行性论证</w:t>
      </w:r>
    </w:p>
    <w:p w14:paraId="21118335" w14:textId="77777777" w:rsidR="00B14D53" w:rsidRDefault="00000000">
      <w:pPr>
        <w:tabs>
          <w:tab w:val="left" w:pos="900"/>
        </w:tabs>
        <w:spacing w:line="360" w:lineRule="auto"/>
        <w:ind w:firstLineChars="200" w:firstLine="480"/>
        <w:rPr>
          <w:rFonts w:eastAsiaTheme="minorEastAsia"/>
          <w:bCs/>
          <w:sz w:val="24"/>
        </w:rPr>
      </w:pPr>
      <w:r>
        <w:rPr>
          <w:bCs/>
          <w:sz w:val="24"/>
        </w:rPr>
        <w:t>项目正常工况下产生的一般固体废物主要有待宰圈产生的猪粪；</w:t>
      </w:r>
      <w:r>
        <w:rPr>
          <w:rFonts w:hint="eastAsia"/>
          <w:bCs/>
          <w:sz w:val="24"/>
        </w:rPr>
        <w:t>屠宰加车间产生的</w:t>
      </w:r>
      <w:r>
        <w:rPr>
          <w:bCs/>
          <w:sz w:val="24"/>
        </w:rPr>
        <w:t>肠胃内容物</w:t>
      </w:r>
      <w:r>
        <w:rPr>
          <w:rFonts w:hint="eastAsia"/>
          <w:bCs/>
          <w:sz w:val="24"/>
        </w:rPr>
        <w:t>、废外包装、</w:t>
      </w:r>
      <w:r>
        <w:rPr>
          <w:bCs/>
          <w:sz w:val="24"/>
        </w:rPr>
        <w:t>病变腺体、内脏及</w:t>
      </w:r>
      <w:r>
        <w:rPr>
          <w:rFonts w:hint="eastAsia"/>
          <w:bCs/>
          <w:sz w:val="24"/>
        </w:rPr>
        <w:t>残留</w:t>
      </w:r>
      <w:r>
        <w:rPr>
          <w:bCs/>
          <w:sz w:val="24"/>
        </w:rPr>
        <w:t>脂肪</w:t>
      </w:r>
      <w:r>
        <w:rPr>
          <w:rFonts w:hint="eastAsia"/>
          <w:bCs/>
          <w:sz w:val="24"/>
        </w:rPr>
        <w:t>；</w:t>
      </w:r>
      <w:r>
        <w:rPr>
          <w:bCs/>
          <w:sz w:val="24"/>
        </w:rPr>
        <w:t>检</w:t>
      </w:r>
      <w:r>
        <w:rPr>
          <w:rFonts w:hint="eastAsia"/>
          <w:bCs/>
          <w:sz w:val="24"/>
        </w:rPr>
        <w:t>验</w:t>
      </w:r>
      <w:r>
        <w:rPr>
          <w:bCs/>
          <w:sz w:val="24"/>
        </w:rPr>
        <w:t>室产生的</w:t>
      </w:r>
      <w:r>
        <w:rPr>
          <w:rFonts w:hint="eastAsia"/>
          <w:bCs/>
          <w:sz w:val="24"/>
        </w:rPr>
        <w:t>检验废物（类别：</w:t>
      </w:r>
      <w:r>
        <w:rPr>
          <w:rFonts w:hint="eastAsia"/>
          <w:bCs/>
          <w:sz w:val="24"/>
        </w:rPr>
        <w:t>HW01</w:t>
      </w:r>
      <w:r>
        <w:rPr>
          <w:rFonts w:hint="eastAsia"/>
          <w:bCs/>
          <w:sz w:val="24"/>
        </w:rPr>
        <w:t>，代码：</w:t>
      </w:r>
      <w:r>
        <w:rPr>
          <w:rFonts w:hint="eastAsia"/>
          <w:bCs/>
          <w:sz w:val="24"/>
        </w:rPr>
        <w:t>841-001-01</w:t>
      </w:r>
      <w:r>
        <w:rPr>
          <w:rFonts w:hint="eastAsia"/>
          <w:bCs/>
          <w:sz w:val="24"/>
        </w:rPr>
        <w:t>）</w:t>
      </w:r>
      <w:r>
        <w:rPr>
          <w:bCs/>
          <w:sz w:val="24"/>
        </w:rPr>
        <w:t>；污水处理站产生的污泥、栅渣；</w:t>
      </w:r>
      <w:r>
        <w:rPr>
          <w:rFonts w:hint="eastAsia"/>
          <w:bCs/>
          <w:sz w:val="24"/>
        </w:rPr>
        <w:t>废气治理设施产生的</w:t>
      </w:r>
      <w:r>
        <w:rPr>
          <w:bCs/>
          <w:sz w:val="24"/>
        </w:rPr>
        <w:t>废活性炭；</w:t>
      </w:r>
      <w:r>
        <w:rPr>
          <w:rFonts w:hint="eastAsia"/>
          <w:bCs/>
          <w:sz w:val="24"/>
        </w:rPr>
        <w:t>软化水装置</w:t>
      </w:r>
      <w:r>
        <w:rPr>
          <w:bCs/>
          <w:sz w:val="24"/>
        </w:rPr>
        <w:t>产生的废离子交换树脂；</w:t>
      </w:r>
      <w:r>
        <w:rPr>
          <w:rFonts w:hint="eastAsia"/>
          <w:bCs/>
          <w:sz w:val="24"/>
        </w:rPr>
        <w:t>职工生活产生的</w:t>
      </w:r>
      <w:r>
        <w:rPr>
          <w:bCs/>
          <w:sz w:val="24"/>
        </w:rPr>
        <w:t>生活垃圾。</w:t>
      </w:r>
      <w:r>
        <w:rPr>
          <w:rFonts w:hint="eastAsia"/>
          <w:bCs/>
          <w:spacing w:val="-3"/>
          <w:sz w:val="24"/>
        </w:rPr>
        <w:t>非正常工况下产生的病死猪。</w:t>
      </w:r>
    </w:p>
    <w:p w14:paraId="37E33CEE"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lang w:val="zh-CN"/>
        </w:rPr>
        <w:t>6.2.4.1</w:t>
      </w:r>
      <w:r>
        <w:rPr>
          <w:rFonts w:ascii="Times New Roman" w:eastAsia="黑体" w:hAnsi="Times New Roman" w:cs="Times New Roman" w:hint="eastAsia"/>
          <w:b w:val="0"/>
          <w:sz w:val="24"/>
          <w:szCs w:val="24"/>
        </w:rPr>
        <w:t>一般固体废物</w:t>
      </w:r>
      <w:r>
        <w:rPr>
          <w:rFonts w:ascii="Times New Roman" w:eastAsia="黑体" w:hAnsi="Times New Roman" w:cs="Times New Roman"/>
          <w:b w:val="0"/>
          <w:sz w:val="24"/>
          <w:szCs w:val="24"/>
        </w:rPr>
        <w:t>污染防治措施</w:t>
      </w:r>
    </w:p>
    <w:p w14:paraId="23A5448A" w14:textId="77777777" w:rsidR="00B14D53" w:rsidRDefault="00000000">
      <w:pPr>
        <w:pStyle w:val="affffffffff3"/>
        <w:ind w:firstLine="480"/>
        <w:rPr>
          <w:bCs/>
        </w:rPr>
      </w:pPr>
      <w:r>
        <w:rPr>
          <w:bCs/>
        </w:rPr>
        <w:t>猪粪便</w:t>
      </w:r>
      <w:r>
        <w:rPr>
          <w:rFonts w:eastAsiaTheme="minorEastAsia" w:hint="eastAsia"/>
          <w:bCs/>
        </w:rPr>
        <w:t>清理至包装桶内，暂存于待宰圈内</w:t>
      </w:r>
      <w:r>
        <w:rPr>
          <w:rFonts w:eastAsiaTheme="minorEastAsia"/>
          <w:bCs/>
        </w:rPr>
        <w:t>，</w:t>
      </w:r>
      <w:r>
        <w:rPr>
          <w:rFonts w:eastAsiaTheme="minorEastAsia" w:hint="eastAsia"/>
          <w:bCs/>
        </w:rPr>
        <w:t>每日生产结束后</w:t>
      </w:r>
      <w:r>
        <w:rPr>
          <w:rFonts w:eastAsiaTheme="minorEastAsia"/>
          <w:bCs/>
        </w:rPr>
        <w:t>清运一次，外售有机肥厂进行堆肥处理</w:t>
      </w:r>
      <w:r>
        <w:rPr>
          <w:bCs/>
        </w:rPr>
        <w:t>。</w:t>
      </w:r>
    </w:p>
    <w:p w14:paraId="16431FF4" w14:textId="77777777" w:rsidR="00B14D53" w:rsidRDefault="00000000">
      <w:pPr>
        <w:pStyle w:val="affffffffff3"/>
        <w:ind w:firstLine="480"/>
        <w:rPr>
          <w:bCs/>
        </w:rPr>
      </w:pPr>
      <w:r>
        <w:rPr>
          <w:bCs/>
        </w:rPr>
        <w:t>肠胃内容物</w:t>
      </w:r>
      <w:r>
        <w:rPr>
          <w:rFonts w:eastAsiaTheme="minorEastAsia" w:hint="eastAsia"/>
          <w:bCs/>
        </w:rPr>
        <w:t>清理至包装桶内，暂存于待宰圈内</w:t>
      </w:r>
      <w:r>
        <w:rPr>
          <w:rFonts w:eastAsiaTheme="minorEastAsia"/>
          <w:bCs/>
        </w:rPr>
        <w:t>，</w:t>
      </w:r>
      <w:r>
        <w:rPr>
          <w:rFonts w:eastAsiaTheme="minorEastAsia" w:hint="eastAsia"/>
          <w:bCs/>
        </w:rPr>
        <w:t>每日生产结束后</w:t>
      </w:r>
      <w:r>
        <w:rPr>
          <w:rFonts w:eastAsiaTheme="minorEastAsia"/>
          <w:bCs/>
        </w:rPr>
        <w:t>清运一次，外售有机肥厂进行堆肥处理</w:t>
      </w:r>
      <w:r>
        <w:rPr>
          <w:bCs/>
        </w:rPr>
        <w:t>。</w:t>
      </w:r>
    </w:p>
    <w:p w14:paraId="282D8180" w14:textId="77777777" w:rsidR="00B14D53" w:rsidRDefault="00000000">
      <w:pPr>
        <w:pStyle w:val="affffffffff3"/>
        <w:ind w:firstLine="480"/>
      </w:pPr>
      <w:r>
        <w:t>病变腺体、内脏</w:t>
      </w:r>
      <w:r>
        <w:rPr>
          <w:rFonts w:hint="eastAsia"/>
        </w:rPr>
        <w:t>及残留脂肪，</w:t>
      </w:r>
      <w:r>
        <w:t>送至</w:t>
      </w:r>
      <w:r>
        <w:rPr>
          <w:rFonts w:hint="eastAsia"/>
        </w:rPr>
        <w:t>哈尔滨银山无害化处理有限公司处理</w:t>
      </w:r>
      <w:r>
        <w:t>。</w:t>
      </w:r>
    </w:p>
    <w:p w14:paraId="74CDC544" w14:textId="77777777" w:rsidR="00B14D53" w:rsidRDefault="00000000">
      <w:pPr>
        <w:pStyle w:val="affffffffff3"/>
        <w:ind w:firstLine="480"/>
      </w:pPr>
      <w:r>
        <w:t>污水处理站栅渣及污泥</w:t>
      </w:r>
      <w:r>
        <w:rPr>
          <w:rFonts w:hint="eastAsia"/>
          <w:snapToGrid w:val="0"/>
          <w:kern w:val="0"/>
        </w:rPr>
        <w:t>脱水后</w:t>
      </w:r>
      <w:r>
        <w:t>送生活垃圾填埋场处理。</w:t>
      </w:r>
    </w:p>
    <w:p w14:paraId="1515C3A2" w14:textId="77777777" w:rsidR="00B14D53" w:rsidRDefault="00000000">
      <w:pPr>
        <w:spacing w:line="360" w:lineRule="auto"/>
        <w:ind w:firstLineChars="200" w:firstLine="480"/>
        <w:rPr>
          <w:sz w:val="24"/>
        </w:rPr>
      </w:pPr>
      <w:r>
        <w:rPr>
          <w:sz w:val="24"/>
        </w:rPr>
        <w:t>废外包装收集后外售</w:t>
      </w:r>
      <w:r>
        <w:rPr>
          <w:rFonts w:hint="eastAsia"/>
          <w:sz w:val="24"/>
        </w:rPr>
        <w:t>物资回收单位综合利用</w:t>
      </w:r>
      <w:r>
        <w:rPr>
          <w:sz w:val="24"/>
        </w:rPr>
        <w:t>。</w:t>
      </w:r>
    </w:p>
    <w:p w14:paraId="7EFED020" w14:textId="77777777" w:rsidR="00B14D53" w:rsidRDefault="00000000">
      <w:pPr>
        <w:spacing w:line="360" w:lineRule="auto"/>
        <w:ind w:firstLineChars="200" w:firstLine="480"/>
        <w:rPr>
          <w:sz w:val="24"/>
        </w:rPr>
      </w:pPr>
      <w:r>
        <w:rPr>
          <w:rFonts w:hint="eastAsia"/>
          <w:sz w:val="24"/>
        </w:rPr>
        <w:t>废活性炭交由厂家再生利用。</w:t>
      </w:r>
    </w:p>
    <w:p w14:paraId="10835743" w14:textId="77777777" w:rsidR="00B14D53" w:rsidRDefault="00000000">
      <w:pPr>
        <w:spacing w:line="360" w:lineRule="auto"/>
        <w:ind w:firstLineChars="200" w:firstLine="480"/>
        <w:rPr>
          <w:sz w:val="24"/>
        </w:rPr>
      </w:pPr>
      <w:r>
        <w:rPr>
          <w:rFonts w:hint="eastAsia"/>
          <w:sz w:val="24"/>
        </w:rPr>
        <w:t>废离子交换树脂</w:t>
      </w:r>
      <w:r>
        <w:rPr>
          <w:sz w:val="24"/>
        </w:rPr>
        <w:t>由厂家回收。</w:t>
      </w:r>
    </w:p>
    <w:p w14:paraId="19B74DBB"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lang w:val="zh-CN"/>
        </w:rPr>
      </w:pPr>
      <w:r>
        <w:rPr>
          <w:rFonts w:ascii="Times New Roman" w:eastAsia="黑体" w:hAnsi="Times New Roman" w:cs="Times New Roman"/>
          <w:b w:val="0"/>
          <w:sz w:val="24"/>
          <w:szCs w:val="24"/>
          <w:lang w:val="zh-CN"/>
        </w:rPr>
        <w:t>6.2.4.2</w:t>
      </w:r>
      <w:r>
        <w:rPr>
          <w:rFonts w:ascii="Times New Roman" w:eastAsia="黑体" w:hAnsi="Times New Roman" w:cs="Times New Roman"/>
          <w:b w:val="0"/>
          <w:sz w:val="24"/>
          <w:szCs w:val="24"/>
          <w:lang w:val="zh-CN"/>
        </w:rPr>
        <w:t>生活垃圾处置措施</w:t>
      </w:r>
    </w:p>
    <w:p w14:paraId="282DAEBD" w14:textId="77777777" w:rsidR="00B14D53" w:rsidRDefault="00000000">
      <w:pPr>
        <w:pStyle w:val="afff"/>
        <w:adjustRightInd/>
        <w:snapToGrid/>
        <w:contextualSpacing/>
        <w:jc w:val="both"/>
        <w:rPr>
          <w:rFonts w:ascii="Times New Roman" w:hAnsiTheme="minorEastAsia" w:cs="Times New Roman" w:hint="eastAsia"/>
        </w:rPr>
      </w:pPr>
      <w:r>
        <w:rPr>
          <w:rFonts w:ascii="Times New Roman" w:hAnsiTheme="minorEastAsia" w:cs="Times New Roman"/>
        </w:rPr>
        <w:t>生活垃圾由市政部门统一处理。</w:t>
      </w:r>
    </w:p>
    <w:p w14:paraId="7B955E26"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lang w:val="zh-CN"/>
        </w:rPr>
      </w:pPr>
      <w:r>
        <w:rPr>
          <w:rFonts w:ascii="Times New Roman" w:eastAsia="黑体" w:hAnsi="Times New Roman" w:cs="Times New Roman"/>
          <w:b w:val="0"/>
          <w:sz w:val="24"/>
          <w:szCs w:val="24"/>
          <w:lang w:val="zh-CN"/>
        </w:rPr>
        <w:t>6.2.4.</w:t>
      </w:r>
      <w:r>
        <w:rPr>
          <w:rFonts w:ascii="Times New Roman" w:eastAsia="黑体" w:hAnsi="Times New Roman" w:cs="Times New Roman" w:hint="eastAsia"/>
          <w:b w:val="0"/>
          <w:sz w:val="24"/>
          <w:szCs w:val="24"/>
        </w:rPr>
        <w:t>3</w:t>
      </w:r>
      <w:r>
        <w:rPr>
          <w:rFonts w:ascii="Times New Roman" w:eastAsia="黑体" w:hAnsi="Times New Roman" w:cs="Times New Roman" w:hint="eastAsia"/>
          <w:b w:val="0"/>
          <w:sz w:val="24"/>
          <w:szCs w:val="24"/>
        </w:rPr>
        <w:t>危险废物</w:t>
      </w:r>
      <w:r>
        <w:rPr>
          <w:rFonts w:ascii="Times New Roman" w:eastAsia="黑体" w:hAnsi="Times New Roman" w:cs="Times New Roman"/>
          <w:b w:val="0"/>
          <w:sz w:val="24"/>
          <w:szCs w:val="24"/>
          <w:lang w:val="zh-CN"/>
        </w:rPr>
        <w:t>处置措施</w:t>
      </w:r>
    </w:p>
    <w:p w14:paraId="2C49E1AD"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hint="eastAsia"/>
          <w:sz w:val="24"/>
          <w:szCs w:val="22"/>
        </w:rPr>
        <w:t>本项目检验废物</w:t>
      </w:r>
      <w:r>
        <w:rPr>
          <w:rFonts w:eastAsiaTheme="minorEastAsia" w:hAnsiTheme="minorEastAsia"/>
          <w:sz w:val="24"/>
          <w:szCs w:val="22"/>
        </w:rPr>
        <w:t>属于危险废物</w:t>
      </w:r>
      <w:r>
        <w:rPr>
          <w:rFonts w:eastAsiaTheme="minorEastAsia" w:hAnsiTheme="minorEastAsia" w:hint="eastAsia"/>
          <w:sz w:val="24"/>
          <w:szCs w:val="22"/>
        </w:rPr>
        <w:t>中的</w:t>
      </w:r>
      <w:r>
        <w:rPr>
          <w:rFonts w:eastAsiaTheme="minorEastAsia" w:hAnsiTheme="minorEastAsia"/>
          <w:sz w:val="24"/>
          <w:szCs w:val="22"/>
        </w:rPr>
        <w:t>医疗废物，类别</w:t>
      </w:r>
      <w:r>
        <w:rPr>
          <w:rFonts w:eastAsiaTheme="minorEastAsia" w:hAnsiTheme="minorEastAsia"/>
          <w:sz w:val="24"/>
          <w:szCs w:val="22"/>
        </w:rPr>
        <w:t>HW01</w:t>
      </w:r>
      <w:r>
        <w:rPr>
          <w:rFonts w:eastAsiaTheme="minorEastAsia" w:hAnsiTheme="minorEastAsia"/>
          <w:sz w:val="24"/>
          <w:szCs w:val="22"/>
        </w:rPr>
        <w:t>，代码</w:t>
      </w:r>
      <w:r>
        <w:rPr>
          <w:rFonts w:eastAsiaTheme="minorEastAsia" w:hAnsiTheme="minorEastAsia"/>
          <w:sz w:val="24"/>
          <w:szCs w:val="22"/>
        </w:rPr>
        <w:t>841-001-01</w:t>
      </w:r>
      <w:r>
        <w:rPr>
          <w:rFonts w:eastAsiaTheme="minorEastAsia" w:hAnsiTheme="minorEastAsia"/>
          <w:sz w:val="24"/>
          <w:szCs w:val="22"/>
        </w:rPr>
        <w:t>，单独收集于</w:t>
      </w:r>
      <w:r>
        <w:rPr>
          <w:rFonts w:eastAsiaTheme="minorEastAsia" w:hAnsiTheme="minorEastAsia" w:hint="eastAsia"/>
          <w:sz w:val="24"/>
          <w:szCs w:val="22"/>
        </w:rPr>
        <w:t>危废贮存点</w:t>
      </w:r>
      <w:r>
        <w:rPr>
          <w:rFonts w:eastAsiaTheme="minorEastAsia" w:hAnsiTheme="minorEastAsia"/>
          <w:sz w:val="24"/>
          <w:szCs w:val="22"/>
        </w:rPr>
        <w:t>，交由有资质单位处置，不得自行处置。</w:t>
      </w:r>
    </w:p>
    <w:p w14:paraId="296365B8"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本项目危险废物采取处置措施如下：</w:t>
      </w:r>
    </w:p>
    <w:p w14:paraId="6541FC56"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w:t>
      </w:r>
      <w:r>
        <w:rPr>
          <w:rFonts w:eastAsiaTheme="minorEastAsia"/>
          <w:sz w:val="24"/>
          <w:szCs w:val="22"/>
        </w:rPr>
        <w:t>1</w:t>
      </w:r>
      <w:r>
        <w:rPr>
          <w:rFonts w:eastAsiaTheme="minorEastAsia" w:hAnsiTheme="minorEastAsia"/>
          <w:sz w:val="24"/>
          <w:szCs w:val="22"/>
        </w:rPr>
        <w:t>）</w:t>
      </w:r>
      <w:r>
        <w:rPr>
          <w:rFonts w:eastAsiaTheme="minorEastAsia" w:hAnsiTheme="minorEastAsia" w:hint="eastAsia"/>
          <w:sz w:val="24"/>
          <w:szCs w:val="22"/>
        </w:rPr>
        <w:t>危废贮存点</w:t>
      </w:r>
      <w:r>
        <w:rPr>
          <w:rFonts w:eastAsiaTheme="minorEastAsia" w:hAnsiTheme="minorEastAsia"/>
          <w:sz w:val="24"/>
          <w:szCs w:val="22"/>
        </w:rPr>
        <w:t>设置要求</w:t>
      </w:r>
    </w:p>
    <w:p w14:paraId="2F7A6DCC"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医疗废物采用防漏胶袋盛装后置于医疗废物垃圾桶内，按照《危险废物贮存污染控制标准》（</w:t>
      </w:r>
      <w:r>
        <w:rPr>
          <w:rFonts w:eastAsiaTheme="minorEastAsia" w:hAnsiTheme="minorEastAsia"/>
          <w:sz w:val="24"/>
          <w:szCs w:val="22"/>
        </w:rPr>
        <w:t>GB18597-2023</w:t>
      </w:r>
      <w:r>
        <w:rPr>
          <w:rFonts w:eastAsiaTheme="minorEastAsia" w:hAnsiTheme="minorEastAsia"/>
          <w:sz w:val="24"/>
          <w:szCs w:val="22"/>
        </w:rPr>
        <w:t>）要求，贮存设施地面与裙脚应采取表面防渗措施；表面防渗材料应与所接触的物料或污染物相容，可采用抗渗混凝土、高密度聚乙烯膜、钠基膨润土防水毯或其他防渗性能等效的材料。</w:t>
      </w:r>
    </w:p>
    <w:p w14:paraId="06D2FCEF" w14:textId="77777777" w:rsidR="00B14D53" w:rsidRDefault="00000000">
      <w:pPr>
        <w:jc w:val="center"/>
        <w:rPr>
          <w:b/>
          <w:bCs/>
        </w:rPr>
      </w:pPr>
      <w:r>
        <w:rPr>
          <w:rFonts w:hint="eastAsia"/>
          <w:b/>
          <w:bCs/>
        </w:rPr>
        <w:t>表</w:t>
      </w:r>
      <w:r>
        <w:rPr>
          <w:rFonts w:hint="eastAsia"/>
          <w:b/>
          <w:bCs/>
        </w:rPr>
        <w:t xml:space="preserve">6-2-7 </w:t>
      </w:r>
      <w:r>
        <w:rPr>
          <w:rFonts w:hint="eastAsia"/>
          <w:b/>
          <w:bCs/>
        </w:rPr>
        <w:t>危险废物贮存场所（设施）基本情况表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87"/>
        <w:gridCol w:w="883"/>
        <w:gridCol w:w="960"/>
        <w:gridCol w:w="992"/>
        <w:gridCol w:w="1096"/>
        <w:gridCol w:w="661"/>
        <w:gridCol w:w="1066"/>
        <w:gridCol w:w="853"/>
        <w:gridCol w:w="714"/>
      </w:tblGrid>
      <w:tr w:rsidR="00B14D53" w14:paraId="05C4C868" w14:textId="77777777">
        <w:trPr>
          <w:trHeight w:val="480"/>
          <w:jc w:val="center"/>
        </w:trPr>
        <w:tc>
          <w:tcPr>
            <w:tcW w:w="1187" w:type="dxa"/>
            <w:vAlign w:val="center"/>
          </w:tcPr>
          <w:p w14:paraId="673E1DC9" w14:textId="77777777" w:rsidR="00B14D53" w:rsidRDefault="00000000">
            <w:pPr>
              <w:topLinePunct/>
              <w:jc w:val="center"/>
              <w:rPr>
                <w:rFonts w:eastAsiaTheme="minorEastAsia"/>
                <w:b/>
                <w:bCs/>
                <w:szCs w:val="21"/>
              </w:rPr>
            </w:pPr>
            <w:r>
              <w:rPr>
                <w:rFonts w:eastAsiaTheme="minorEastAsia" w:hAnsiTheme="minorEastAsia"/>
                <w:b/>
                <w:bCs/>
                <w:szCs w:val="21"/>
              </w:rPr>
              <w:t>贮存场所名称</w:t>
            </w:r>
          </w:p>
        </w:tc>
        <w:tc>
          <w:tcPr>
            <w:tcW w:w="883" w:type="dxa"/>
            <w:vAlign w:val="center"/>
          </w:tcPr>
          <w:p w14:paraId="5509945D" w14:textId="77777777" w:rsidR="00B14D53" w:rsidRDefault="00000000">
            <w:pPr>
              <w:topLinePunct/>
              <w:jc w:val="center"/>
              <w:rPr>
                <w:rFonts w:eastAsiaTheme="minorEastAsia"/>
                <w:b/>
                <w:bCs/>
                <w:szCs w:val="21"/>
              </w:rPr>
            </w:pPr>
            <w:r>
              <w:rPr>
                <w:rFonts w:eastAsiaTheme="minorEastAsia" w:hAnsiTheme="minorEastAsia"/>
                <w:b/>
                <w:bCs/>
                <w:szCs w:val="21"/>
              </w:rPr>
              <w:t>危险废物名称</w:t>
            </w:r>
          </w:p>
        </w:tc>
        <w:tc>
          <w:tcPr>
            <w:tcW w:w="960" w:type="dxa"/>
            <w:vAlign w:val="center"/>
          </w:tcPr>
          <w:p w14:paraId="6B8DA6A6" w14:textId="77777777" w:rsidR="00B14D53" w:rsidRDefault="00000000">
            <w:pPr>
              <w:topLinePunct/>
              <w:jc w:val="center"/>
              <w:rPr>
                <w:rFonts w:eastAsiaTheme="minorEastAsia"/>
                <w:b/>
                <w:bCs/>
                <w:szCs w:val="21"/>
              </w:rPr>
            </w:pPr>
            <w:r>
              <w:rPr>
                <w:rFonts w:eastAsiaTheme="minorEastAsia" w:hAnsiTheme="minorEastAsia"/>
                <w:b/>
                <w:bCs/>
                <w:szCs w:val="21"/>
              </w:rPr>
              <w:t>危险废物类别</w:t>
            </w:r>
          </w:p>
        </w:tc>
        <w:tc>
          <w:tcPr>
            <w:tcW w:w="992" w:type="dxa"/>
            <w:vAlign w:val="center"/>
          </w:tcPr>
          <w:p w14:paraId="343F199A" w14:textId="77777777" w:rsidR="00B14D53" w:rsidRDefault="00000000">
            <w:pPr>
              <w:topLinePunct/>
              <w:jc w:val="center"/>
              <w:rPr>
                <w:rFonts w:eastAsiaTheme="minorEastAsia"/>
                <w:b/>
                <w:bCs/>
                <w:szCs w:val="21"/>
              </w:rPr>
            </w:pPr>
            <w:r>
              <w:rPr>
                <w:rFonts w:eastAsiaTheme="minorEastAsia" w:hAnsiTheme="minorEastAsia"/>
                <w:b/>
                <w:bCs/>
                <w:szCs w:val="21"/>
              </w:rPr>
              <w:t>危险废物代码</w:t>
            </w:r>
          </w:p>
        </w:tc>
        <w:tc>
          <w:tcPr>
            <w:tcW w:w="1096" w:type="dxa"/>
            <w:vAlign w:val="center"/>
          </w:tcPr>
          <w:p w14:paraId="73C606FA" w14:textId="77777777" w:rsidR="00B14D53" w:rsidRDefault="00000000">
            <w:pPr>
              <w:topLinePunct/>
              <w:jc w:val="center"/>
              <w:rPr>
                <w:rFonts w:eastAsiaTheme="minorEastAsia"/>
                <w:b/>
                <w:bCs/>
                <w:szCs w:val="21"/>
              </w:rPr>
            </w:pPr>
            <w:r>
              <w:rPr>
                <w:rFonts w:eastAsiaTheme="minorEastAsia" w:hAnsiTheme="minorEastAsia"/>
                <w:b/>
                <w:bCs/>
                <w:szCs w:val="21"/>
              </w:rPr>
              <w:t>位置</w:t>
            </w:r>
          </w:p>
        </w:tc>
        <w:tc>
          <w:tcPr>
            <w:tcW w:w="661" w:type="dxa"/>
            <w:vAlign w:val="center"/>
          </w:tcPr>
          <w:p w14:paraId="0F06A374" w14:textId="77777777" w:rsidR="00B14D53" w:rsidRDefault="00000000">
            <w:pPr>
              <w:topLinePunct/>
              <w:jc w:val="center"/>
              <w:rPr>
                <w:rFonts w:eastAsiaTheme="minorEastAsia"/>
                <w:b/>
                <w:bCs/>
                <w:szCs w:val="21"/>
              </w:rPr>
            </w:pPr>
            <w:r>
              <w:rPr>
                <w:rFonts w:eastAsiaTheme="minorEastAsia" w:hAnsiTheme="minorEastAsia"/>
                <w:b/>
                <w:bCs/>
                <w:szCs w:val="21"/>
              </w:rPr>
              <w:t>占地面积</w:t>
            </w:r>
          </w:p>
        </w:tc>
        <w:tc>
          <w:tcPr>
            <w:tcW w:w="1066" w:type="dxa"/>
            <w:vAlign w:val="center"/>
          </w:tcPr>
          <w:p w14:paraId="0CB94BB8" w14:textId="77777777" w:rsidR="00B14D53" w:rsidRDefault="00000000">
            <w:pPr>
              <w:topLinePunct/>
              <w:jc w:val="center"/>
              <w:rPr>
                <w:rFonts w:eastAsiaTheme="minorEastAsia"/>
                <w:b/>
                <w:bCs/>
                <w:szCs w:val="21"/>
              </w:rPr>
            </w:pPr>
            <w:r>
              <w:rPr>
                <w:rFonts w:eastAsiaTheme="minorEastAsia" w:hAnsiTheme="minorEastAsia"/>
                <w:b/>
                <w:bCs/>
                <w:szCs w:val="21"/>
              </w:rPr>
              <w:t>贮存方式</w:t>
            </w:r>
          </w:p>
        </w:tc>
        <w:tc>
          <w:tcPr>
            <w:tcW w:w="853" w:type="dxa"/>
            <w:vAlign w:val="center"/>
          </w:tcPr>
          <w:p w14:paraId="3B9A9C9F" w14:textId="77777777" w:rsidR="00B14D53" w:rsidRDefault="00000000">
            <w:pPr>
              <w:topLinePunct/>
              <w:jc w:val="center"/>
              <w:rPr>
                <w:rFonts w:eastAsiaTheme="minorEastAsia"/>
                <w:b/>
                <w:bCs/>
                <w:szCs w:val="21"/>
              </w:rPr>
            </w:pPr>
            <w:r>
              <w:rPr>
                <w:rFonts w:eastAsiaTheme="minorEastAsia" w:hAnsiTheme="minorEastAsia"/>
                <w:b/>
                <w:bCs/>
                <w:szCs w:val="21"/>
              </w:rPr>
              <w:t>贮存</w:t>
            </w:r>
          </w:p>
          <w:p w14:paraId="3577643E" w14:textId="77777777" w:rsidR="00B14D53" w:rsidRDefault="00000000">
            <w:pPr>
              <w:topLinePunct/>
              <w:jc w:val="center"/>
              <w:rPr>
                <w:rFonts w:eastAsiaTheme="minorEastAsia"/>
                <w:b/>
                <w:bCs/>
                <w:szCs w:val="21"/>
              </w:rPr>
            </w:pPr>
            <w:r>
              <w:rPr>
                <w:rFonts w:eastAsiaTheme="minorEastAsia" w:hAnsiTheme="minorEastAsia"/>
                <w:b/>
                <w:bCs/>
                <w:szCs w:val="21"/>
              </w:rPr>
              <w:t>能力</w:t>
            </w:r>
          </w:p>
        </w:tc>
        <w:tc>
          <w:tcPr>
            <w:tcW w:w="714" w:type="dxa"/>
            <w:vAlign w:val="center"/>
          </w:tcPr>
          <w:p w14:paraId="404D6841" w14:textId="77777777" w:rsidR="00B14D53" w:rsidRDefault="00000000">
            <w:pPr>
              <w:topLinePunct/>
              <w:jc w:val="center"/>
              <w:rPr>
                <w:rFonts w:eastAsiaTheme="minorEastAsia"/>
                <w:b/>
                <w:bCs/>
                <w:szCs w:val="21"/>
              </w:rPr>
            </w:pPr>
            <w:r>
              <w:rPr>
                <w:rFonts w:eastAsiaTheme="minorEastAsia" w:hAnsiTheme="minorEastAsia"/>
                <w:b/>
                <w:bCs/>
                <w:szCs w:val="21"/>
              </w:rPr>
              <w:t>贮存</w:t>
            </w:r>
          </w:p>
          <w:p w14:paraId="74A55542" w14:textId="77777777" w:rsidR="00B14D53" w:rsidRDefault="00000000">
            <w:pPr>
              <w:topLinePunct/>
              <w:jc w:val="center"/>
              <w:rPr>
                <w:rFonts w:eastAsiaTheme="minorEastAsia"/>
                <w:b/>
                <w:bCs/>
                <w:szCs w:val="21"/>
              </w:rPr>
            </w:pPr>
            <w:r>
              <w:rPr>
                <w:rFonts w:eastAsiaTheme="minorEastAsia" w:hAnsiTheme="minorEastAsia"/>
                <w:b/>
                <w:bCs/>
                <w:szCs w:val="21"/>
              </w:rPr>
              <w:t>周期</w:t>
            </w:r>
          </w:p>
        </w:tc>
      </w:tr>
      <w:tr w:rsidR="00B14D53" w14:paraId="4270CACF" w14:textId="77777777">
        <w:trPr>
          <w:trHeight w:val="209"/>
          <w:jc w:val="center"/>
        </w:trPr>
        <w:tc>
          <w:tcPr>
            <w:tcW w:w="1187" w:type="dxa"/>
            <w:vAlign w:val="center"/>
          </w:tcPr>
          <w:p w14:paraId="6948E1F8" w14:textId="77777777" w:rsidR="00B14D53" w:rsidRDefault="00000000">
            <w:pPr>
              <w:topLinePunct/>
              <w:jc w:val="center"/>
              <w:rPr>
                <w:rFonts w:eastAsiaTheme="minorEastAsia"/>
                <w:szCs w:val="21"/>
              </w:rPr>
            </w:pPr>
            <w:r>
              <w:rPr>
                <w:rFonts w:eastAsiaTheme="minorEastAsia" w:hint="eastAsia"/>
              </w:rPr>
              <w:t>危废贮存点</w:t>
            </w:r>
          </w:p>
        </w:tc>
        <w:tc>
          <w:tcPr>
            <w:tcW w:w="883" w:type="dxa"/>
            <w:vAlign w:val="center"/>
          </w:tcPr>
          <w:p w14:paraId="2C11DD08" w14:textId="77777777" w:rsidR="00B14D53" w:rsidRDefault="00000000">
            <w:pPr>
              <w:jc w:val="center"/>
              <w:rPr>
                <w:rFonts w:eastAsiaTheme="minorEastAsia"/>
              </w:rPr>
            </w:pPr>
            <w:r>
              <w:rPr>
                <w:rFonts w:eastAsiaTheme="minorEastAsia" w:hAnsiTheme="minorEastAsia"/>
              </w:rPr>
              <w:t>医疗废物</w:t>
            </w:r>
          </w:p>
        </w:tc>
        <w:tc>
          <w:tcPr>
            <w:tcW w:w="960" w:type="dxa"/>
            <w:vAlign w:val="center"/>
          </w:tcPr>
          <w:p w14:paraId="44595200" w14:textId="77777777" w:rsidR="00B14D53" w:rsidRDefault="00000000">
            <w:pPr>
              <w:jc w:val="center"/>
              <w:rPr>
                <w:rFonts w:eastAsiaTheme="minorEastAsia"/>
              </w:rPr>
            </w:pPr>
            <w:r>
              <w:rPr>
                <w:rFonts w:eastAsiaTheme="minorEastAsia"/>
              </w:rPr>
              <w:t>HW01</w:t>
            </w:r>
          </w:p>
        </w:tc>
        <w:tc>
          <w:tcPr>
            <w:tcW w:w="992" w:type="dxa"/>
            <w:vAlign w:val="center"/>
          </w:tcPr>
          <w:p w14:paraId="31AB9887" w14:textId="77777777" w:rsidR="00B14D53" w:rsidRDefault="00000000">
            <w:pPr>
              <w:jc w:val="center"/>
              <w:rPr>
                <w:rFonts w:eastAsiaTheme="minorEastAsia"/>
              </w:rPr>
            </w:pPr>
            <w:r>
              <w:rPr>
                <w:rFonts w:eastAsiaTheme="minorEastAsia"/>
              </w:rPr>
              <w:t>841-00</w:t>
            </w:r>
            <w:r>
              <w:rPr>
                <w:rFonts w:eastAsiaTheme="minorEastAsia" w:hint="eastAsia"/>
              </w:rPr>
              <w:t>1</w:t>
            </w:r>
            <w:r>
              <w:rPr>
                <w:rFonts w:eastAsiaTheme="minorEastAsia"/>
              </w:rPr>
              <w:t>-01</w:t>
            </w:r>
          </w:p>
        </w:tc>
        <w:tc>
          <w:tcPr>
            <w:tcW w:w="1096" w:type="dxa"/>
            <w:vAlign w:val="center"/>
          </w:tcPr>
          <w:p w14:paraId="1F07344F" w14:textId="77777777" w:rsidR="00B14D53" w:rsidRDefault="00000000">
            <w:pPr>
              <w:topLinePunct/>
              <w:jc w:val="center"/>
              <w:rPr>
                <w:rFonts w:eastAsiaTheme="minorEastAsia"/>
                <w:szCs w:val="21"/>
              </w:rPr>
            </w:pPr>
            <w:r>
              <w:rPr>
                <w:rFonts w:eastAsiaTheme="minorEastAsia" w:hAnsiTheme="minorEastAsia" w:hint="eastAsia"/>
                <w:szCs w:val="21"/>
              </w:rPr>
              <w:t>辅助间</w:t>
            </w:r>
            <w:r>
              <w:rPr>
                <w:rFonts w:eastAsiaTheme="minorEastAsia"/>
              </w:rPr>
              <w:t>内</w:t>
            </w:r>
          </w:p>
        </w:tc>
        <w:tc>
          <w:tcPr>
            <w:tcW w:w="661" w:type="dxa"/>
            <w:vAlign w:val="center"/>
          </w:tcPr>
          <w:p w14:paraId="726E7631" w14:textId="77777777" w:rsidR="00B14D53" w:rsidRDefault="00000000">
            <w:pPr>
              <w:topLinePunct/>
              <w:jc w:val="center"/>
              <w:rPr>
                <w:rFonts w:eastAsiaTheme="minorEastAsia"/>
                <w:szCs w:val="21"/>
              </w:rPr>
            </w:pPr>
            <w:r>
              <w:rPr>
                <w:rFonts w:eastAsiaTheme="minorEastAsia" w:hint="eastAsia"/>
                <w:szCs w:val="21"/>
              </w:rPr>
              <w:t>24</w:t>
            </w:r>
            <w:r>
              <w:rPr>
                <w:rFonts w:eastAsiaTheme="minorEastAsia"/>
                <w:szCs w:val="21"/>
              </w:rPr>
              <w:t>m</w:t>
            </w:r>
            <w:r>
              <w:rPr>
                <w:rFonts w:eastAsiaTheme="minorEastAsia"/>
                <w:szCs w:val="21"/>
                <w:vertAlign w:val="superscript"/>
              </w:rPr>
              <w:t>2</w:t>
            </w:r>
          </w:p>
        </w:tc>
        <w:tc>
          <w:tcPr>
            <w:tcW w:w="1066" w:type="dxa"/>
            <w:vAlign w:val="center"/>
          </w:tcPr>
          <w:p w14:paraId="12B9182F" w14:textId="77777777" w:rsidR="00B14D53" w:rsidRDefault="00000000">
            <w:pPr>
              <w:topLinePunct/>
              <w:jc w:val="center"/>
              <w:rPr>
                <w:rFonts w:eastAsiaTheme="minorEastAsia"/>
                <w:szCs w:val="21"/>
              </w:rPr>
            </w:pPr>
            <w:r>
              <w:rPr>
                <w:rFonts w:eastAsiaTheme="minorEastAsia" w:hAnsiTheme="minorEastAsia"/>
                <w:szCs w:val="21"/>
              </w:rPr>
              <w:t>袋装后桶装</w:t>
            </w:r>
          </w:p>
        </w:tc>
        <w:tc>
          <w:tcPr>
            <w:tcW w:w="853" w:type="dxa"/>
            <w:vAlign w:val="center"/>
          </w:tcPr>
          <w:p w14:paraId="61E18994" w14:textId="77777777" w:rsidR="00B14D53" w:rsidRDefault="00000000">
            <w:pPr>
              <w:topLinePunct/>
              <w:jc w:val="center"/>
              <w:rPr>
                <w:rFonts w:eastAsiaTheme="minorEastAsia"/>
                <w:szCs w:val="21"/>
              </w:rPr>
            </w:pPr>
            <w:r>
              <w:rPr>
                <w:rFonts w:eastAsiaTheme="minorEastAsia" w:hint="eastAsia"/>
                <w:szCs w:val="21"/>
              </w:rPr>
              <w:t>0.2</w:t>
            </w:r>
            <w:r>
              <w:rPr>
                <w:rFonts w:eastAsiaTheme="minorEastAsia"/>
                <w:szCs w:val="21"/>
              </w:rPr>
              <w:t>t</w:t>
            </w:r>
          </w:p>
        </w:tc>
        <w:tc>
          <w:tcPr>
            <w:tcW w:w="714" w:type="dxa"/>
            <w:vAlign w:val="center"/>
          </w:tcPr>
          <w:p w14:paraId="2467F00C" w14:textId="77777777" w:rsidR="00B14D53" w:rsidRDefault="00000000">
            <w:pPr>
              <w:topLinePunct/>
              <w:jc w:val="center"/>
              <w:rPr>
                <w:rFonts w:eastAsiaTheme="minorEastAsia"/>
                <w:szCs w:val="21"/>
              </w:rPr>
            </w:pPr>
            <w:r>
              <w:rPr>
                <w:rFonts w:eastAsiaTheme="minorEastAsia" w:hAnsiTheme="minorEastAsia"/>
                <w:szCs w:val="21"/>
              </w:rPr>
              <w:t>＜</w:t>
            </w:r>
            <w:r>
              <w:rPr>
                <w:rFonts w:eastAsiaTheme="minorEastAsia" w:hint="eastAsia"/>
                <w:szCs w:val="21"/>
              </w:rPr>
              <w:t>2</w:t>
            </w:r>
            <w:r>
              <w:rPr>
                <w:rFonts w:eastAsiaTheme="minorEastAsia"/>
                <w:szCs w:val="21"/>
              </w:rPr>
              <w:t>d</w:t>
            </w:r>
          </w:p>
        </w:tc>
      </w:tr>
    </w:tbl>
    <w:p w14:paraId="7C2147DA"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w:t>
      </w:r>
      <w:r>
        <w:rPr>
          <w:rFonts w:eastAsiaTheme="minorEastAsia"/>
          <w:sz w:val="24"/>
          <w:szCs w:val="22"/>
        </w:rPr>
        <w:t>2</w:t>
      </w:r>
      <w:r>
        <w:rPr>
          <w:rFonts w:eastAsiaTheme="minorEastAsia" w:hAnsiTheme="minorEastAsia"/>
          <w:sz w:val="24"/>
          <w:szCs w:val="22"/>
        </w:rPr>
        <w:t>）危险废物收集措施</w:t>
      </w:r>
    </w:p>
    <w:p w14:paraId="23CE828A"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①收集</w:t>
      </w:r>
    </w:p>
    <w:p w14:paraId="4472A3DA"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根据危险废物的类别，将不相容（相互反应）的危险废物使用不同容器盛装，无法装入常用容器的危险废物可用防漏胶袋等盛装。装载液体、半固体危险废物的容器内须留足够空间，容器顶部与液体表面之间保留</w:t>
      </w:r>
      <w:r>
        <w:rPr>
          <w:rFonts w:eastAsiaTheme="minorEastAsia"/>
          <w:sz w:val="24"/>
          <w:szCs w:val="22"/>
        </w:rPr>
        <w:t>100mm</w:t>
      </w:r>
      <w:r>
        <w:rPr>
          <w:rFonts w:eastAsiaTheme="minorEastAsia" w:hAnsiTheme="minorEastAsia"/>
          <w:sz w:val="24"/>
          <w:szCs w:val="22"/>
        </w:rPr>
        <w:t>以上空间。在盛装危险废物前，应当对危险废物包装袋或者容器进行认真检查，确保无破损、渗漏和其它缺陷。</w:t>
      </w:r>
    </w:p>
    <w:p w14:paraId="7D04B31D"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②贮存</w:t>
      </w:r>
    </w:p>
    <w:p w14:paraId="38586655"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rPr>
        <w:t>本项目</w:t>
      </w:r>
      <w:r>
        <w:rPr>
          <w:rFonts w:eastAsiaTheme="minorEastAsia" w:hAnsiTheme="minorEastAsia" w:hint="eastAsia"/>
          <w:sz w:val="24"/>
        </w:rPr>
        <w:t>危废贮存点</w:t>
      </w:r>
      <w:r>
        <w:rPr>
          <w:rFonts w:eastAsiaTheme="minorEastAsia" w:hAnsiTheme="minorEastAsia"/>
          <w:sz w:val="24"/>
        </w:rPr>
        <w:t>设专（兼）职人员管理，防止非工作人员接触危险废物；盛装危险废物的容器上必须粘贴危险废物标签；防止渗漏和雨水冲刷；易于清洗和消毒；避免阳光直射；</w:t>
      </w:r>
      <w:r>
        <w:rPr>
          <w:rFonts w:eastAsiaTheme="minorEastAsia" w:hint="eastAsia"/>
          <w:sz w:val="24"/>
        </w:rPr>
        <w:t>危废贮存点</w:t>
      </w:r>
      <w:r>
        <w:rPr>
          <w:rFonts w:eastAsiaTheme="minorEastAsia" w:hAnsiTheme="minorEastAsia"/>
          <w:sz w:val="24"/>
        </w:rPr>
        <w:t>外</w:t>
      </w:r>
      <w:r>
        <w:rPr>
          <w:rFonts w:eastAsiaTheme="minorEastAsia" w:hAnsiTheme="minorEastAsia"/>
          <w:sz w:val="24"/>
          <w:szCs w:val="22"/>
        </w:rPr>
        <w:t>侧设有明显的警示标识和</w:t>
      </w:r>
      <w:r>
        <w:rPr>
          <w:rFonts w:eastAsiaTheme="minorEastAsia"/>
          <w:sz w:val="24"/>
          <w:szCs w:val="22"/>
        </w:rPr>
        <w:t>“</w:t>
      </w:r>
      <w:r>
        <w:rPr>
          <w:rFonts w:eastAsiaTheme="minorEastAsia" w:hAnsiTheme="minorEastAsia"/>
          <w:sz w:val="24"/>
          <w:szCs w:val="22"/>
        </w:rPr>
        <w:t>禁止吸烟、饮食</w:t>
      </w:r>
      <w:r>
        <w:rPr>
          <w:rFonts w:eastAsiaTheme="minorEastAsia"/>
          <w:sz w:val="24"/>
          <w:szCs w:val="22"/>
        </w:rPr>
        <w:t>”</w:t>
      </w:r>
      <w:r>
        <w:rPr>
          <w:rFonts w:eastAsiaTheme="minorEastAsia" w:hAnsiTheme="minorEastAsia"/>
          <w:sz w:val="24"/>
          <w:szCs w:val="22"/>
        </w:rPr>
        <w:t>等警示标识。</w:t>
      </w:r>
    </w:p>
    <w:p w14:paraId="325A9C07"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w:t>
      </w:r>
      <w:r>
        <w:rPr>
          <w:rFonts w:eastAsiaTheme="minorEastAsia"/>
          <w:sz w:val="24"/>
          <w:szCs w:val="22"/>
        </w:rPr>
        <w:t>3</w:t>
      </w:r>
      <w:r>
        <w:rPr>
          <w:rFonts w:eastAsiaTheme="minorEastAsia" w:hAnsiTheme="minorEastAsia"/>
          <w:sz w:val="24"/>
          <w:szCs w:val="22"/>
        </w:rPr>
        <w:t>）危险废物交接</w:t>
      </w:r>
    </w:p>
    <w:p w14:paraId="59208784"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项目产生的危险废物产生量、拟采取的处置措施及去向应按《中华人民共和国固体废物污染环境防治法》的规定向当地生态环境主管部门申报，填报危险废物转移五联单，按要求对本项目产生的固体废物特别是危险废物进行全过程严格管理和安全处置。</w:t>
      </w:r>
    </w:p>
    <w:p w14:paraId="4FFBBE06" w14:textId="77777777" w:rsidR="00B14D53" w:rsidRDefault="00000000">
      <w:pPr>
        <w:pStyle w:val="afff"/>
        <w:adjustRightInd/>
        <w:snapToGrid/>
        <w:rPr>
          <w:rFonts w:ascii="Times New Roman" w:hAnsiTheme="minorEastAsia" w:cs="Times New Roman" w:hint="eastAsia"/>
          <w:snapToGrid w:val="0"/>
          <w:kern w:val="0"/>
        </w:rPr>
      </w:pPr>
      <w:r>
        <w:rPr>
          <w:rFonts w:ascii="Times New Roman" w:hAnsiTheme="minorEastAsia" w:cs="Times New Roman"/>
          <w:szCs w:val="22"/>
        </w:rPr>
        <w:t>医疗废物依托可行性：</w:t>
      </w:r>
      <w:r>
        <w:rPr>
          <w:rFonts w:ascii="Times New Roman" w:hAnsiTheme="minorEastAsia" w:cs="Times New Roman"/>
          <w:snapToGrid w:val="0"/>
          <w:kern w:val="0"/>
        </w:rPr>
        <w:t>本项目医疗废物评价建议委托</w:t>
      </w:r>
      <w:r>
        <w:rPr>
          <w:rFonts w:ascii="Times New Roman" w:hAnsiTheme="minorEastAsia" w:cs="Times New Roman" w:hint="eastAsia"/>
          <w:snapToGrid w:val="0"/>
          <w:kern w:val="0"/>
        </w:rPr>
        <w:t>哈尔滨国环医疗固体废物无害化集中处置中心有限公司</w:t>
      </w:r>
      <w:r>
        <w:rPr>
          <w:rFonts w:ascii="Times New Roman" w:hAnsiTheme="minorEastAsia" w:cs="Times New Roman"/>
          <w:snapToGrid w:val="0"/>
          <w:kern w:val="0"/>
        </w:rPr>
        <w:t>。</w:t>
      </w:r>
      <w:r>
        <w:rPr>
          <w:rFonts w:ascii="Times New Roman" w:hAnsiTheme="minorEastAsia" w:cs="Times New Roman" w:hint="eastAsia"/>
          <w:snapToGrid w:val="0"/>
          <w:kern w:val="0"/>
        </w:rPr>
        <w:t>哈尔滨国环医疗固体废物无害化集中处置中心有限公司</w:t>
      </w:r>
      <w:r>
        <w:rPr>
          <w:rFonts w:ascii="Times New Roman" w:hAnsiTheme="minorEastAsia" w:cs="Times New Roman"/>
          <w:snapToGrid w:val="0"/>
          <w:kern w:val="0"/>
        </w:rPr>
        <w:t>位于</w:t>
      </w:r>
      <w:r>
        <w:rPr>
          <w:rFonts w:ascii="Times New Roman" w:hAnsiTheme="minorEastAsia" w:cs="Times New Roman" w:hint="eastAsia"/>
          <w:snapToGrid w:val="0"/>
          <w:kern w:val="0"/>
        </w:rPr>
        <w:t>黑龙江省齐齐哈尔市建华区黎明生活垃圾无害处理厂院内</w:t>
      </w:r>
      <w:r>
        <w:rPr>
          <w:rFonts w:ascii="Times New Roman" w:hAnsiTheme="minorEastAsia" w:cs="Times New Roman"/>
          <w:snapToGrid w:val="0"/>
          <w:kern w:val="0"/>
        </w:rPr>
        <w:t>，主要从事</w:t>
      </w:r>
      <w:r>
        <w:rPr>
          <w:rFonts w:ascii="Times New Roman" w:hAnsiTheme="minorEastAsia" w:cs="Times New Roman" w:hint="eastAsia"/>
          <w:snapToGrid w:val="0"/>
          <w:kern w:val="0"/>
        </w:rPr>
        <w:t>医疗废物处置工</w:t>
      </w:r>
      <w:r>
        <w:rPr>
          <w:rFonts w:ascii="Times New Roman" w:hAnsiTheme="minorEastAsia" w:cs="Times New Roman"/>
          <w:snapToGrid w:val="0"/>
          <w:kern w:val="0"/>
        </w:rPr>
        <w:t>作，取得了</w:t>
      </w:r>
      <w:r>
        <w:rPr>
          <w:rFonts w:ascii="Times New Roman" w:hAnsiTheme="minorEastAsia" w:cs="Times New Roman" w:hint="eastAsia"/>
          <w:snapToGrid w:val="0"/>
          <w:kern w:val="0"/>
        </w:rPr>
        <w:t>黑龙江省生态环境厅</w:t>
      </w:r>
      <w:r>
        <w:rPr>
          <w:rFonts w:ascii="Times New Roman" w:hAnsiTheme="minorEastAsia" w:cs="Times New Roman"/>
          <w:snapToGrid w:val="0"/>
          <w:kern w:val="0"/>
        </w:rPr>
        <w:t>颁发的危险废物经营许可证（许可证编号：</w:t>
      </w:r>
      <w:r>
        <w:rPr>
          <w:rFonts w:ascii="Times New Roman" w:hAnsi="Times New Roman" w:cs="Times New Roman" w:hint="eastAsia"/>
          <w:snapToGrid w:val="0"/>
          <w:kern w:val="0"/>
        </w:rPr>
        <w:t>2301111609</w:t>
      </w:r>
      <w:r>
        <w:rPr>
          <w:rFonts w:ascii="Times New Roman" w:hAnsi="Times New Roman" w:cs="Times New Roman" w:hint="eastAsia"/>
          <w:snapToGrid w:val="0"/>
          <w:kern w:val="0"/>
        </w:rPr>
        <w:t>医疗废物</w:t>
      </w:r>
      <w:r>
        <w:rPr>
          <w:rFonts w:ascii="Times New Roman" w:hAnsiTheme="minorEastAsia" w:cs="Times New Roman"/>
          <w:snapToGrid w:val="0"/>
          <w:kern w:val="0"/>
        </w:rPr>
        <w:t>），</w:t>
      </w:r>
      <w:r>
        <w:rPr>
          <w:rFonts w:ascii="Times New Roman" w:hAnsi="Times New Roman" w:cs="Times New Roman"/>
          <w:snapToGrid w:val="0"/>
          <w:kern w:val="0"/>
        </w:rPr>
        <w:t>HW01</w:t>
      </w:r>
      <w:r>
        <w:rPr>
          <w:rFonts w:ascii="Times New Roman" w:hAnsiTheme="minorEastAsia" w:cs="Times New Roman" w:hint="eastAsia"/>
          <w:snapToGrid w:val="0"/>
          <w:kern w:val="0"/>
        </w:rPr>
        <w:t>医疗</w:t>
      </w:r>
      <w:r>
        <w:rPr>
          <w:rFonts w:ascii="Times New Roman" w:hAnsiTheme="minorEastAsia" w:cs="Times New Roman"/>
          <w:snapToGrid w:val="0"/>
          <w:kern w:val="0"/>
        </w:rPr>
        <w:t>废物</w:t>
      </w:r>
      <w:r>
        <w:rPr>
          <w:rFonts w:ascii="Times New Roman" w:hAnsiTheme="minorEastAsia" w:cs="Times New Roman" w:hint="eastAsia"/>
          <w:snapToGrid w:val="0"/>
          <w:kern w:val="0"/>
        </w:rPr>
        <w:t>年核准经营</w:t>
      </w:r>
      <w:r>
        <w:rPr>
          <w:rFonts w:ascii="Times New Roman" w:hAnsiTheme="minorEastAsia" w:cs="Times New Roman"/>
          <w:snapToGrid w:val="0"/>
          <w:kern w:val="0"/>
        </w:rPr>
        <w:t>规模为</w:t>
      </w:r>
      <w:r>
        <w:rPr>
          <w:rFonts w:ascii="Times New Roman" w:hAnsi="Times New Roman" w:cs="Times New Roman" w:hint="eastAsia"/>
          <w:snapToGrid w:val="0"/>
          <w:kern w:val="0"/>
        </w:rPr>
        <w:t>14600</w:t>
      </w:r>
      <w:r>
        <w:rPr>
          <w:rFonts w:ascii="Times New Roman" w:hAnsi="Times New Roman" w:cs="Times New Roman"/>
          <w:snapToGrid w:val="0"/>
          <w:kern w:val="0"/>
        </w:rPr>
        <w:t>t/a</w:t>
      </w:r>
      <w:r>
        <w:rPr>
          <w:rFonts w:ascii="Times New Roman" w:hAnsiTheme="minorEastAsia" w:cs="Times New Roman"/>
          <w:snapToGrid w:val="0"/>
          <w:kern w:val="0"/>
        </w:rPr>
        <w:t>，委托可行。</w:t>
      </w:r>
    </w:p>
    <w:p w14:paraId="07B5DBAD"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lang w:val="zh-CN"/>
        </w:rPr>
      </w:pPr>
      <w:r>
        <w:rPr>
          <w:rFonts w:ascii="Times New Roman" w:eastAsia="黑体" w:hAnsi="Times New Roman" w:cs="Times New Roman"/>
          <w:b w:val="0"/>
          <w:sz w:val="24"/>
          <w:szCs w:val="24"/>
          <w:lang w:val="zh-CN"/>
        </w:rPr>
        <w:t>6.2.4.</w:t>
      </w:r>
      <w:r>
        <w:rPr>
          <w:rFonts w:ascii="Times New Roman" w:eastAsia="黑体" w:hAnsi="Times New Roman" w:cs="Times New Roman" w:hint="eastAsia"/>
          <w:b w:val="0"/>
          <w:sz w:val="24"/>
          <w:szCs w:val="24"/>
        </w:rPr>
        <w:t>4</w:t>
      </w:r>
      <w:r>
        <w:rPr>
          <w:rFonts w:ascii="Times New Roman" w:eastAsia="黑体" w:hAnsi="Times New Roman" w:cs="Times New Roman"/>
          <w:b w:val="0"/>
          <w:sz w:val="24"/>
          <w:szCs w:val="24"/>
          <w:lang w:val="zh-CN"/>
        </w:rPr>
        <w:t>病死猪尸体处置</w:t>
      </w:r>
    </w:p>
    <w:p w14:paraId="66B93A1C" w14:textId="77777777" w:rsidR="00B14D53" w:rsidRDefault="00000000">
      <w:pPr>
        <w:spacing w:line="360" w:lineRule="auto"/>
        <w:ind w:firstLineChars="200" w:firstLine="480"/>
        <w:rPr>
          <w:sz w:val="24"/>
        </w:rPr>
      </w:pPr>
      <w:r>
        <w:rPr>
          <w:sz w:val="24"/>
        </w:rPr>
        <w:t>非正常工况</w:t>
      </w:r>
      <w:r>
        <w:rPr>
          <w:rFonts w:hint="eastAsia"/>
          <w:sz w:val="24"/>
        </w:rPr>
        <w:t>为</w:t>
      </w:r>
      <w:r>
        <w:rPr>
          <w:sz w:val="24"/>
        </w:rPr>
        <w:t>出现疫病的情况，毛猪在被送至屠宰厂前已经在养殖场及出场前进行过严格检疫，进厂后、进入待宰圈前不能通过感官检查的生猪也被退回，所以送至屠宰厂的猪一般不会有病猪。但为保险起见本项目在厂内设置急宰间，对发现的病猪进行急宰。</w:t>
      </w:r>
    </w:p>
    <w:p w14:paraId="6AF74233" w14:textId="77777777" w:rsidR="00B14D53" w:rsidRDefault="00000000">
      <w:pPr>
        <w:spacing w:line="360" w:lineRule="auto"/>
        <w:ind w:firstLineChars="200" w:firstLine="480"/>
        <w:contextualSpacing/>
        <w:rPr>
          <w:rFonts w:eastAsiaTheme="minorEastAsia" w:hAnsiTheme="minorEastAsia" w:hint="eastAsia"/>
          <w:sz w:val="24"/>
          <w:szCs w:val="22"/>
        </w:rPr>
      </w:pPr>
      <w:r>
        <w:rPr>
          <w:rFonts w:eastAsiaTheme="minorEastAsia" w:hAnsiTheme="minorEastAsia" w:hint="eastAsia"/>
          <w:bCs/>
          <w:snapToGrid w:val="0"/>
          <w:kern w:val="0"/>
          <w:sz w:val="24"/>
        </w:rPr>
        <w:t>企业已与</w:t>
      </w:r>
      <w:r>
        <w:rPr>
          <w:rFonts w:eastAsiaTheme="minorEastAsia" w:hAnsiTheme="minorEastAsia"/>
          <w:bCs/>
          <w:snapToGrid w:val="0"/>
          <w:kern w:val="0"/>
          <w:sz w:val="24"/>
        </w:rPr>
        <w:t>哈尔滨银山无害化处理有限公司</w:t>
      </w:r>
      <w:r>
        <w:rPr>
          <w:rFonts w:eastAsiaTheme="minorEastAsia" w:hAnsiTheme="minorEastAsia" w:hint="eastAsia"/>
          <w:bCs/>
          <w:snapToGrid w:val="0"/>
          <w:kern w:val="0"/>
          <w:sz w:val="24"/>
        </w:rPr>
        <w:t>签订无害化处置协议。</w:t>
      </w:r>
    </w:p>
    <w:p w14:paraId="2AB38C4D" w14:textId="77777777" w:rsidR="00B14D53" w:rsidRDefault="00000000">
      <w:pPr>
        <w:spacing w:line="360" w:lineRule="auto"/>
        <w:ind w:firstLineChars="200" w:firstLine="480"/>
        <w:contextualSpacing/>
        <w:rPr>
          <w:rFonts w:eastAsiaTheme="minorEastAsia" w:hAnsiTheme="minorEastAsia" w:hint="eastAsia"/>
          <w:sz w:val="24"/>
        </w:rPr>
      </w:pPr>
      <w:r>
        <w:rPr>
          <w:rFonts w:eastAsiaTheme="minorEastAsia" w:hAnsiTheme="minorEastAsia" w:hint="eastAsia"/>
          <w:sz w:val="24"/>
          <w:szCs w:val="22"/>
        </w:rPr>
        <w:t>根据</w:t>
      </w:r>
      <w:r>
        <w:rPr>
          <w:rFonts w:eastAsiaTheme="minorEastAsia" w:hAnsiTheme="minorEastAsia"/>
          <w:bCs/>
          <w:snapToGrid w:val="0"/>
          <w:kern w:val="0"/>
          <w:sz w:val="24"/>
        </w:rPr>
        <w:t>哈尔滨银山无害化处理有限公司</w:t>
      </w:r>
      <w:r>
        <w:rPr>
          <w:rFonts w:eastAsiaTheme="minorEastAsia" w:hAnsiTheme="minorEastAsia" w:hint="eastAsia"/>
          <w:bCs/>
          <w:snapToGrid w:val="0"/>
          <w:kern w:val="0"/>
          <w:sz w:val="24"/>
        </w:rPr>
        <w:t>排污许可证副本，</w:t>
      </w:r>
      <w:r>
        <w:rPr>
          <w:rFonts w:eastAsiaTheme="minorEastAsia" w:hAnsiTheme="minorEastAsia" w:hint="eastAsia"/>
          <w:sz w:val="24"/>
          <w:szCs w:val="22"/>
        </w:rPr>
        <w:t>目前该公司焚烧炉可年处理动物尸体</w:t>
      </w:r>
      <w:r>
        <w:rPr>
          <w:rFonts w:eastAsiaTheme="minorEastAsia" w:hAnsiTheme="minorEastAsia"/>
          <w:sz w:val="24"/>
          <w:szCs w:val="22"/>
        </w:rPr>
        <w:t>48</w:t>
      </w:r>
      <w:r>
        <w:rPr>
          <w:rFonts w:eastAsiaTheme="minorEastAsia" w:hAnsiTheme="minorEastAsia" w:hint="eastAsia"/>
          <w:sz w:val="24"/>
          <w:szCs w:val="22"/>
        </w:rPr>
        <w:t>吨，生产有机</w:t>
      </w:r>
      <w:r>
        <w:rPr>
          <w:rFonts w:eastAsiaTheme="minorEastAsia" w:hAnsiTheme="minorEastAsia" w:hint="eastAsia"/>
          <w:sz w:val="24"/>
        </w:rPr>
        <w:t>肥（</w:t>
      </w:r>
      <w:r>
        <w:rPr>
          <w:rFonts w:ascii="Arial" w:hAnsi="Arial" w:cs="Arial" w:hint="eastAsia"/>
          <w:sz w:val="24"/>
          <w:shd w:val="clear" w:color="auto" w:fill="FFFFFF"/>
        </w:rPr>
        <w:t>将病死动物破碎、化制后，制作成有机肥原料</w:t>
      </w:r>
      <w:r>
        <w:rPr>
          <w:rFonts w:eastAsiaTheme="minorEastAsia" w:hAnsiTheme="minorEastAsia" w:hint="eastAsia"/>
          <w:sz w:val="24"/>
        </w:rPr>
        <w:t>）可消耗病死动物</w:t>
      </w:r>
      <w:r>
        <w:rPr>
          <w:rFonts w:eastAsiaTheme="minorEastAsia" w:hAnsiTheme="minorEastAsia" w:hint="eastAsia"/>
          <w:sz w:val="24"/>
        </w:rPr>
        <w:t>3</w:t>
      </w:r>
      <w:r>
        <w:rPr>
          <w:rFonts w:eastAsiaTheme="minorEastAsia" w:hAnsiTheme="minorEastAsia"/>
          <w:sz w:val="24"/>
        </w:rPr>
        <w:t>000</w:t>
      </w:r>
      <w:r>
        <w:rPr>
          <w:rFonts w:eastAsiaTheme="minorEastAsia" w:hAnsiTheme="minorEastAsia" w:hint="eastAsia"/>
          <w:sz w:val="24"/>
        </w:rPr>
        <w:t>t/a</w:t>
      </w:r>
      <w:r>
        <w:rPr>
          <w:rFonts w:eastAsiaTheme="minorEastAsia" w:hAnsiTheme="minorEastAsia" w:hint="eastAsia"/>
          <w:sz w:val="24"/>
        </w:rPr>
        <w:t>。排污许可证有效期自</w:t>
      </w:r>
      <w:r>
        <w:rPr>
          <w:rFonts w:eastAsiaTheme="minorEastAsia" w:hAnsiTheme="minorEastAsia" w:hint="eastAsia"/>
          <w:sz w:val="24"/>
        </w:rPr>
        <w:t>2</w:t>
      </w:r>
      <w:r>
        <w:rPr>
          <w:rFonts w:eastAsiaTheme="minorEastAsia" w:hAnsiTheme="minorEastAsia"/>
          <w:sz w:val="24"/>
        </w:rPr>
        <w:t>02</w:t>
      </w:r>
      <w:r>
        <w:rPr>
          <w:rFonts w:eastAsiaTheme="minorEastAsia" w:hAnsiTheme="minorEastAsia" w:hint="eastAsia"/>
          <w:sz w:val="24"/>
        </w:rPr>
        <w:t>5</w:t>
      </w:r>
      <w:r>
        <w:rPr>
          <w:rFonts w:eastAsiaTheme="minorEastAsia" w:hAnsiTheme="minorEastAsia" w:hint="eastAsia"/>
          <w:sz w:val="24"/>
        </w:rPr>
        <w:t>年</w:t>
      </w:r>
      <w:r>
        <w:rPr>
          <w:rFonts w:eastAsiaTheme="minorEastAsia" w:hAnsiTheme="minorEastAsia" w:hint="eastAsia"/>
          <w:sz w:val="24"/>
        </w:rPr>
        <w:t>04</w:t>
      </w:r>
      <w:r>
        <w:rPr>
          <w:rFonts w:eastAsiaTheme="minorEastAsia" w:hAnsiTheme="minorEastAsia" w:hint="eastAsia"/>
          <w:sz w:val="24"/>
        </w:rPr>
        <w:t>月</w:t>
      </w:r>
      <w:r>
        <w:rPr>
          <w:rFonts w:eastAsiaTheme="minorEastAsia" w:hAnsiTheme="minorEastAsia" w:hint="eastAsia"/>
          <w:sz w:val="24"/>
        </w:rPr>
        <w:t>28</w:t>
      </w:r>
      <w:r>
        <w:rPr>
          <w:rFonts w:eastAsiaTheme="minorEastAsia" w:hAnsiTheme="minorEastAsia" w:hint="eastAsia"/>
          <w:sz w:val="24"/>
        </w:rPr>
        <w:t>日至</w:t>
      </w:r>
      <w:r>
        <w:rPr>
          <w:rFonts w:eastAsiaTheme="minorEastAsia" w:hAnsiTheme="minorEastAsia" w:hint="eastAsia"/>
          <w:sz w:val="24"/>
        </w:rPr>
        <w:t>2</w:t>
      </w:r>
      <w:r>
        <w:rPr>
          <w:rFonts w:eastAsiaTheme="minorEastAsia" w:hAnsiTheme="minorEastAsia"/>
          <w:sz w:val="24"/>
        </w:rPr>
        <w:t>0</w:t>
      </w:r>
      <w:r>
        <w:rPr>
          <w:rFonts w:eastAsiaTheme="minorEastAsia" w:hAnsiTheme="minorEastAsia" w:hint="eastAsia"/>
          <w:sz w:val="24"/>
        </w:rPr>
        <w:t>30</w:t>
      </w:r>
      <w:r>
        <w:rPr>
          <w:rFonts w:eastAsiaTheme="minorEastAsia" w:hAnsiTheme="minorEastAsia" w:hint="eastAsia"/>
          <w:sz w:val="24"/>
        </w:rPr>
        <w:t>年</w:t>
      </w:r>
      <w:r>
        <w:rPr>
          <w:rFonts w:eastAsiaTheme="minorEastAsia" w:hAnsiTheme="minorEastAsia" w:hint="eastAsia"/>
          <w:sz w:val="24"/>
        </w:rPr>
        <w:t>04</w:t>
      </w:r>
      <w:r>
        <w:rPr>
          <w:rFonts w:eastAsiaTheme="minorEastAsia" w:hAnsiTheme="minorEastAsia" w:hint="eastAsia"/>
          <w:sz w:val="24"/>
        </w:rPr>
        <w:t>月</w:t>
      </w:r>
      <w:r>
        <w:rPr>
          <w:rFonts w:eastAsiaTheme="minorEastAsia" w:hAnsiTheme="minorEastAsia" w:hint="eastAsia"/>
          <w:sz w:val="24"/>
        </w:rPr>
        <w:t>27</w:t>
      </w:r>
      <w:r>
        <w:rPr>
          <w:rFonts w:eastAsiaTheme="minorEastAsia" w:hAnsiTheme="minorEastAsia" w:hint="eastAsia"/>
          <w:sz w:val="24"/>
        </w:rPr>
        <w:t>日止，目前在有效期内。哈尔滨银山无害化处理有限公司排污许可证正本见附件</w:t>
      </w:r>
      <w:r>
        <w:rPr>
          <w:rFonts w:eastAsiaTheme="minorEastAsia" w:hAnsiTheme="minorEastAsia"/>
          <w:sz w:val="24"/>
        </w:rPr>
        <w:t>6</w:t>
      </w:r>
      <w:r>
        <w:rPr>
          <w:rFonts w:eastAsiaTheme="minorEastAsia" w:hAnsiTheme="minorEastAsia" w:hint="eastAsia"/>
          <w:sz w:val="24"/>
        </w:rPr>
        <w:t>。</w:t>
      </w:r>
    </w:p>
    <w:p w14:paraId="451A1D7F" w14:textId="77777777" w:rsidR="00B14D53" w:rsidRDefault="00000000">
      <w:pPr>
        <w:spacing w:line="360" w:lineRule="auto"/>
        <w:ind w:firstLineChars="200" w:firstLine="480"/>
        <w:contextualSpacing/>
        <w:rPr>
          <w:rFonts w:eastAsiaTheme="minorEastAsia" w:hAnsiTheme="minorEastAsia" w:hint="eastAsia"/>
          <w:sz w:val="24"/>
          <w:szCs w:val="22"/>
        </w:rPr>
      </w:pPr>
      <w:r>
        <w:rPr>
          <w:rFonts w:eastAsiaTheme="minorEastAsia" w:hAnsiTheme="minorEastAsia"/>
          <w:sz w:val="24"/>
        </w:rPr>
        <w:t>本</w:t>
      </w:r>
      <w:r>
        <w:rPr>
          <w:rFonts w:eastAsiaTheme="minorEastAsia" w:hAnsiTheme="minorEastAsia"/>
          <w:sz w:val="24"/>
          <w:szCs w:val="22"/>
        </w:rPr>
        <w:t>项目病死猪</w:t>
      </w:r>
      <w:r>
        <w:rPr>
          <w:rFonts w:eastAsiaTheme="minorEastAsia" w:hAnsiTheme="minorEastAsia" w:hint="eastAsia"/>
          <w:sz w:val="24"/>
          <w:szCs w:val="22"/>
        </w:rPr>
        <w:t>按屠宰量</w:t>
      </w:r>
      <w:r>
        <w:rPr>
          <w:sz w:val="24"/>
        </w:rPr>
        <w:t>1‰</w:t>
      </w:r>
      <w:r>
        <w:rPr>
          <w:rFonts w:hint="eastAsia"/>
          <w:sz w:val="24"/>
        </w:rPr>
        <w:t>计，约为</w:t>
      </w:r>
      <w:r>
        <w:rPr>
          <w:rFonts w:eastAsiaTheme="minorEastAsia" w:hAnsiTheme="minorEastAsia" w:hint="eastAsia"/>
          <w:sz w:val="24"/>
          <w:szCs w:val="22"/>
        </w:rPr>
        <w:t>160</w:t>
      </w:r>
      <w:r>
        <w:rPr>
          <w:rFonts w:eastAsiaTheme="minorEastAsia" w:hAnsiTheme="minorEastAsia"/>
          <w:sz w:val="24"/>
          <w:szCs w:val="22"/>
        </w:rPr>
        <w:t>头（合计约</w:t>
      </w:r>
      <w:r>
        <w:rPr>
          <w:rFonts w:eastAsiaTheme="minorEastAsia" w:hAnsiTheme="minorEastAsia" w:hint="eastAsia"/>
          <w:sz w:val="24"/>
          <w:szCs w:val="22"/>
        </w:rPr>
        <w:t>8</w:t>
      </w:r>
      <w:r>
        <w:rPr>
          <w:rFonts w:eastAsiaTheme="minorEastAsia" w:hAnsiTheme="minorEastAsia"/>
          <w:sz w:val="24"/>
          <w:szCs w:val="22"/>
        </w:rPr>
        <w:t>t</w:t>
      </w:r>
      <w:r>
        <w:rPr>
          <w:rFonts w:eastAsiaTheme="minorEastAsia" w:hAnsiTheme="minorEastAsia"/>
          <w:sz w:val="24"/>
          <w:szCs w:val="22"/>
        </w:rPr>
        <w:t>）</w:t>
      </w:r>
      <w:r>
        <w:rPr>
          <w:rFonts w:eastAsiaTheme="minorEastAsia" w:hAnsiTheme="minorEastAsia" w:hint="eastAsia"/>
          <w:sz w:val="24"/>
          <w:szCs w:val="22"/>
        </w:rPr>
        <w:t>；</w:t>
      </w:r>
      <w:r>
        <w:rPr>
          <w:sz w:val="24"/>
        </w:rPr>
        <w:t>病变腺体、内脏</w:t>
      </w:r>
      <w:r>
        <w:rPr>
          <w:rFonts w:hint="eastAsia"/>
          <w:sz w:val="24"/>
        </w:rPr>
        <w:t>及残留脂肪约</w:t>
      </w:r>
      <w:r>
        <w:rPr>
          <w:rFonts w:eastAsiaTheme="minorEastAsia" w:hAnsiTheme="minorEastAsia" w:hint="eastAsia"/>
          <w:sz w:val="24"/>
          <w:szCs w:val="22"/>
        </w:rPr>
        <w:t>140.8t</w:t>
      </w:r>
      <w:r>
        <w:rPr>
          <w:rFonts w:eastAsiaTheme="minorEastAsia" w:hAnsiTheme="minorEastAsia" w:hint="eastAsia"/>
          <w:sz w:val="24"/>
          <w:szCs w:val="22"/>
        </w:rPr>
        <w:t>。</w:t>
      </w:r>
    </w:p>
    <w:p w14:paraId="15EA5B78" w14:textId="77777777" w:rsidR="00B14D53" w:rsidRDefault="00000000">
      <w:pPr>
        <w:spacing w:line="360" w:lineRule="auto"/>
        <w:ind w:firstLineChars="200" w:firstLine="480"/>
        <w:contextualSpacing/>
        <w:rPr>
          <w:rFonts w:eastAsiaTheme="minorEastAsia" w:hAnsiTheme="minorEastAsia" w:hint="eastAsia"/>
          <w:sz w:val="24"/>
          <w:szCs w:val="22"/>
        </w:rPr>
      </w:pPr>
      <w:r>
        <w:rPr>
          <w:rFonts w:eastAsiaTheme="minorEastAsia" w:hAnsiTheme="minorEastAsia" w:hint="eastAsia"/>
          <w:sz w:val="24"/>
          <w:szCs w:val="22"/>
        </w:rPr>
        <w:t>综上所述，</w:t>
      </w:r>
      <w:r>
        <w:rPr>
          <w:rFonts w:eastAsiaTheme="minorEastAsia" w:hAnsiTheme="minorEastAsia"/>
          <w:sz w:val="24"/>
          <w:szCs w:val="22"/>
        </w:rPr>
        <w:t>本项目依托</w:t>
      </w:r>
      <w:r>
        <w:rPr>
          <w:rFonts w:eastAsiaTheme="minorEastAsia" w:hAnsiTheme="minorEastAsia"/>
          <w:bCs/>
          <w:snapToGrid w:val="0"/>
          <w:kern w:val="0"/>
          <w:sz w:val="24"/>
        </w:rPr>
        <w:t>哈尔滨银山无害化处理有限公司</w:t>
      </w:r>
      <w:r>
        <w:rPr>
          <w:rFonts w:eastAsiaTheme="minorEastAsia" w:hAnsiTheme="minorEastAsia"/>
          <w:sz w:val="24"/>
          <w:szCs w:val="22"/>
        </w:rPr>
        <w:t>进行处理可行。</w:t>
      </w:r>
    </w:p>
    <w:p w14:paraId="5AC3C543"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病死猪</w:t>
      </w:r>
      <w:r>
        <w:rPr>
          <w:sz w:val="24"/>
        </w:rPr>
        <w:t>、病变腺体、内脏</w:t>
      </w:r>
      <w:r>
        <w:rPr>
          <w:rFonts w:hint="eastAsia"/>
          <w:sz w:val="24"/>
        </w:rPr>
        <w:t>及残留脂肪</w:t>
      </w:r>
      <w:r>
        <w:rPr>
          <w:rFonts w:eastAsiaTheme="minorEastAsia" w:hAnsiTheme="minorEastAsia"/>
          <w:sz w:val="24"/>
          <w:szCs w:val="22"/>
        </w:rPr>
        <w:t>在转运处置过程中，应采取如下措施：</w:t>
      </w:r>
    </w:p>
    <w:p w14:paraId="23737DCC" w14:textId="77777777" w:rsidR="00B14D53" w:rsidRDefault="00000000">
      <w:pPr>
        <w:spacing w:line="360" w:lineRule="auto"/>
        <w:ind w:firstLineChars="200" w:firstLine="480"/>
        <w:contextualSpacing/>
        <w:rPr>
          <w:rFonts w:eastAsiaTheme="minorEastAsia"/>
          <w:bCs/>
          <w:sz w:val="24"/>
          <w:szCs w:val="22"/>
        </w:rPr>
      </w:pPr>
      <w:r>
        <w:rPr>
          <w:rFonts w:eastAsiaTheme="minorEastAsia" w:hAnsiTheme="minorEastAsia"/>
          <w:bCs/>
          <w:sz w:val="24"/>
          <w:szCs w:val="22"/>
        </w:rPr>
        <w:t>（</w:t>
      </w:r>
      <w:r>
        <w:rPr>
          <w:rFonts w:eastAsiaTheme="minorEastAsia"/>
          <w:bCs/>
          <w:sz w:val="24"/>
          <w:szCs w:val="22"/>
        </w:rPr>
        <w:t>1</w:t>
      </w:r>
      <w:r>
        <w:rPr>
          <w:rFonts w:eastAsiaTheme="minorEastAsia" w:hAnsiTheme="minorEastAsia"/>
          <w:bCs/>
          <w:sz w:val="24"/>
          <w:szCs w:val="22"/>
        </w:rPr>
        <w:t>）包装</w:t>
      </w:r>
    </w:p>
    <w:p w14:paraId="20ADC883" w14:textId="77777777" w:rsidR="00B14D53" w:rsidRDefault="00000000">
      <w:pPr>
        <w:spacing w:line="360" w:lineRule="auto"/>
        <w:ind w:firstLineChars="200" w:firstLine="480"/>
        <w:contextualSpacing/>
        <w:rPr>
          <w:rFonts w:eastAsiaTheme="minorEastAsia"/>
          <w:sz w:val="24"/>
          <w:szCs w:val="22"/>
        </w:rPr>
      </w:pPr>
      <w:r>
        <w:rPr>
          <w:rFonts w:eastAsiaTheme="minorEastAsia"/>
          <w:bCs/>
          <w:sz w:val="24"/>
          <w:szCs w:val="22"/>
        </w:rPr>
        <w:fldChar w:fldCharType="begin"/>
      </w:r>
      <w:r>
        <w:rPr>
          <w:rFonts w:eastAsiaTheme="minorEastAsia"/>
          <w:bCs/>
          <w:sz w:val="24"/>
          <w:szCs w:val="22"/>
        </w:rPr>
        <w:instrText xml:space="preserve"> = 1 \* GB3 </w:instrText>
      </w:r>
      <w:r>
        <w:rPr>
          <w:rFonts w:eastAsiaTheme="minorEastAsia"/>
          <w:bCs/>
          <w:sz w:val="24"/>
          <w:szCs w:val="22"/>
        </w:rPr>
        <w:fldChar w:fldCharType="separate"/>
      </w:r>
      <w:r>
        <w:rPr>
          <w:rFonts w:eastAsiaTheme="minorEastAsia" w:hAnsiTheme="minorEastAsia"/>
          <w:bCs/>
          <w:sz w:val="24"/>
          <w:szCs w:val="22"/>
        </w:rPr>
        <w:t>①</w:t>
      </w:r>
      <w:r>
        <w:rPr>
          <w:rFonts w:eastAsiaTheme="minorEastAsia"/>
          <w:sz w:val="24"/>
          <w:szCs w:val="22"/>
        </w:rPr>
        <w:fldChar w:fldCharType="end"/>
      </w:r>
      <w:r>
        <w:rPr>
          <w:rFonts w:eastAsiaTheme="minorEastAsia" w:hAnsiTheme="minorEastAsia"/>
          <w:sz w:val="24"/>
          <w:szCs w:val="22"/>
        </w:rPr>
        <w:t>包装材料应符合密闭、防水、防渗、防破损、耐腐蚀等要求；</w:t>
      </w:r>
    </w:p>
    <w:p w14:paraId="45F2156B" w14:textId="77777777" w:rsidR="00B14D53" w:rsidRDefault="00000000">
      <w:pPr>
        <w:spacing w:line="360" w:lineRule="auto"/>
        <w:ind w:firstLineChars="200" w:firstLine="480"/>
        <w:contextualSpacing/>
        <w:rPr>
          <w:rFonts w:eastAsiaTheme="minorEastAsia"/>
          <w:bCs/>
          <w:sz w:val="24"/>
          <w:szCs w:val="22"/>
        </w:rPr>
      </w:pPr>
      <w:r>
        <w:rPr>
          <w:rFonts w:eastAsiaTheme="minorEastAsia"/>
          <w:sz w:val="24"/>
          <w:szCs w:val="22"/>
        </w:rPr>
        <w:fldChar w:fldCharType="begin"/>
      </w:r>
      <w:r>
        <w:rPr>
          <w:rFonts w:eastAsiaTheme="minorEastAsia"/>
          <w:sz w:val="24"/>
          <w:szCs w:val="22"/>
        </w:rPr>
        <w:instrText xml:space="preserve"> = 2 \* GB3 </w:instrText>
      </w:r>
      <w:r>
        <w:rPr>
          <w:rFonts w:eastAsiaTheme="minorEastAsia"/>
          <w:sz w:val="24"/>
          <w:szCs w:val="22"/>
        </w:rPr>
        <w:fldChar w:fldCharType="separate"/>
      </w:r>
      <w:r>
        <w:rPr>
          <w:rFonts w:eastAsiaTheme="minorEastAsia" w:hAnsiTheme="minorEastAsia"/>
          <w:sz w:val="24"/>
          <w:szCs w:val="22"/>
        </w:rPr>
        <w:t>②</w:t>
      </w:r>
      <w:r>
        <w:rPr>
          <w:rFonts w:eastAsiaTheme="minorEastAsia"/>
          <w:sz w:val="24"/>
          <w:szCs w:val="22"/>
        </w:rPr>
        <w:fldChar w:fldCharType="end"/>
      </w:r>
      <w:r>
        <w:rPr>
          <w:rFonts w:eastAsiaTheme="minorEastAsia" w:hAnsiTheme="minorEastAsia"/>
          <w:sz w:val="24"/>
          <w:szCs w:val="22"/>
        </w:rPr>
        <w:t>包装材料的容积、尺寸和数量应与</w:t>
      </w:r>
      <w:r>
        <w:rPr>
          <w:rFonts w:eastAsiaTheme="minorEastAsia" w:hAnsiTheme="minorEastAsia" w:hint="eastAsia"/>
          <w:sz w:val="24"/>
          <w:szCs w:val="22"/>
        </w:rPr>
        <w:t>内包装物</w:t>
      </w:r>
      <w:r>
        <w:rPr>
          <w:rFonts w:eastAsiaTheme="minorEastAsia" w:hAnsiTheme="minorEastAsia"/>
          <w:sz w:val="24"/>
          <w:szCs w:val="22"/>
        </w:rPr>
        <w:t>的体积、数量相匹配；</w:t>
      </w:r>
    </w:p>
    <w:p w14:paraId="732C7CD0" w14:textId="77777777" w:rsidR="00B14D53" w:rsidRDefault="00000000">
      <w:pPr>
        <w:spacing w:line="360" w:lineRule="auto"/>
        <w:ind w:firstLineChars="200" w:firstLine="480"/>
        <w:contextualSpacing/>
        <w:rPr>
          <w:rFonts w:eastAsiaTheme="minorEastAsia"/>
          <w:sz w:val="24"/>
          <w:szCs w:val="22"/>
        </w:rPr>
      </w:pPr>
      <w:r>
        <w:rPr>
          <w:rFonts w:eastAsiaTheme="minorEastAsia"/>
          <w:bCs/>
          <w:sz w:val="24"/>
          <w:szCs w:val="22"/>
        </w:rPr>
        <w:fldChar w:fldCharType="begin"/>
      </w:r>
      <w:r>
        <w:rPr>
          <w:rFonts w:eastAsiaTheme="minorEastAsia"/>
          <w:bCs/>
          <w:sz w:val="24"/>
          <w:szCs w:val="22"/>
        </w:rPr>
        <w:instrText xml:space="preserve"> = 3 \* GB3 </w:instrText>
      </w:r>
      <w:r>
        <w:rPr>
          <w:rFonts w:eastAsiaTheme="minorEastAsia"/>
          <w:bCs/>
          <w:sz w:val="24"/>
          <w:szCs w:val="22"/>
        </w:rPr>
        <w:fldChar w:fldCharType="separate"/>
      </w:r>
      <w:r>
        <w:rPr>
          <w:rFonts w:eastAsiaTheme="minorEastAsia" w:hAnsiTheme="minorEastAsia"/>
          <w:bCs/>
          <w:sz w:val="24"/>
          <w:szCs w:val="22"/>
        </w:rPr>
        <w:t>③</w:t>
      </w:r>
      <w:r>
        <w:rPr>
          <w:rFonts w:eastAsiaTheme="minorEastAsia"/>
          <w:sz w:val="24"/>
          <w:szCs w:val="22"/>
        </w:rPr>
        <w:fldChar w:fldCharType="end"/>
      </w:r>
      <w:r>
        <w:rPr>
          <w:rFonts w:eastAsiaTheme="minorEastAsia" w:hAnsiTheme="minorEastAsia"/>
          <w:sz w:val="24"/>
          <w:szCs w:val="22"/>
        </w:rPr>
        <w:t>包装后应进行密封；</w:t>
      </w:r>
    </w:p>
    <w:p w14:paraId="0CBD3AB1" w14:textId="77777777" w:rsidR="00B14D53" w:rsidRDefault="00000000">
      <w:pPr>
        <w:spacing w:line="360" w:lineRule="auto"/>
        <w:ind w:firstLineChars="200" w:firstLine="480"/>
        <w:contextualSpacing/>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 4 \* GB3 </w:instrText>
      </w:r>
      <w:r>
        <w:rPr>
          <w:rFonts w:eastAsiaTheme="minorEastAsia"/>
          <w:sz w:val="24"/>
          <w:szCs w:val="22"/>
        </w:rPr>
        <w:fldChar w:fldCharType="separate"/>
      </w:r>
      <w:r>
        <w:rPr>
          <w:rFonts w:eastAsiaTheme="minorEastAsia" w:hAnsiTheme="minorEastAsia"/>
          <w:sz w:val="24"/>
          <w:szCs w:val="22"/>
        </w:rPr>
        <w:t>④</w:t>
      </w:r>
      <w:r>
        <w:rPr>
          <w:rFonts w:eastAsiaTheme="minorEastAsia"/>
          <w:sz w:val="24"/>
          <w:szCs w:val="22"/>
        </w:rPr>
        <w:fldChar w:fldCharType="end"/>
      </w:r>
      <w:r>
        <w:rPr>
          <w:rFonts w:eastAsiaTheme="minorEastAsia" w:hAnsiTheme="minorEastAsia"/>
          <w:sz w:val="24"/>
          <w:szCs w:val="22"/>
        </w:rPr>
        <w:t>使用后，一次性包装材料应作销毁处理，可循环使用的包装材料应进行清洗消毒。</w:t>
      </w:r>
    </w:p>
    <w:p w14:paraId="528146FB"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w:t>
      </w:r>
      <w:r>
        <w:rPr>
          <w:rFonts w:eastAsiaTheme="minorEastAsia"/>
          <w:sz w:val="24"/>
          <w:szCs w:val="22"/>
        </w:rPr>
        <w:t>2</w:t>
      </w:r>
      <w:r>
        <w:rPr>
          <w:rFonts w:eastAsiaTheme="minorEastAsia" w:hAnsiTheme="minorEastAsia"/>
          <w:sz w:val="24"/>
          <w:szCs w:val="22"/>
        </w:rPr>
        <w:t>）转运</w:t>
      </w:r>
    </w:p>
    <w:p w14:paraId="448CEB3E" w14:textId="77777777" w:rsidR="00B14D53" w:rsidRDefault="00000000">
      <w:pPr>
        <w:spacing w:line="360" w:lineRule="auto"/>
        <w:ind w:firstLineChars="200" w:firstLine="480"/>
        <w:contextualSpacing/>
        <w:rPr>
          <w:rFonts w:eastAsiaTheme="minorEastAsia"/>
          <w:bCs/>
          <w:sz w:val="24"/>
          <w:szCs w:val="22"/>
        </w:rPr>
      </w:pPr>
      <w:r>
        <w:rPr>
          <w:rFonts w:eastAsiaTheme="minorEastAsia"/>
          <w:bCs/>
          <w:sz w:val="24"/>
          <w:szCs w:val="22"/>
        </w:rPr>
        <w:fldChar w:fldCharType="begin"/>
      </w:r>
      <w:r>
        <w:rPr>
          <w:rFonts w:eastAsiaTheme="minorEastAsia"/>
          <w:bCs/>
          <w:sz w:val="24"/>
          <w:szCs w:val="22"/>
        </w:rPr>
        <w:instrText xml:space="preserve"> = 1 \* GB3 </w:instrText>
      </w:r>
      <w:r>
        <w:rPr>
          <w:rFonts w:eastAsiaTheme="minorEastAsia"/>
          <w:bCs/>
          <w:sz w:val="24"/>
          <w:szCs w:val="22"/>
        </w:rPr>
        <w:fldChar w:fldCharType="separate"/>
      </w:r>
      <w:r>
        <w:rPr>
          <w:rFonts w:eastAsiaTheme="minorEastAsia" w:hAnsiTheme="minorEastAsia"/>
          <w:bCs/>
          <w:sz w:val="24"/>
          <w:szCs w:val="22"/>
        </w:rPr>
        <w:t>①</w:t>
      </w:r>
      <w:r>
        <w:rPr>
          <w:rFonts w:eastAsiaTheme="minorEastAsia"/>
          <w:sz w:val="24"/>
          <w:szCs w:val="22"/>
        </w:rPr>
        <w:fldChar w:fldCharType="end"/>
      </w:r>
      <w:r>
        <w:rPr>
          <w:rFonts w:eastAsiaTheme="minorEastAsia" w:hAnsiTheme="minorEastAsia"/>
          <w:bCs/>
          <w:sz w:val="24"/>
          <w:szCs w:val="22"/>
        </w:rPr>
        <w:t>可选择符合</w:t>
      </w:r>
      <w:r>
        <w:rPr>
          <w:rFonts w:eastAsiaTheme="minorEastAsia"/>
          <w:bCs/>
          <w:sz w:val="24"/>
          <w:szCs w:val="22"/>
        </w:rPr>
        <w:t>GB19217</w:t>
      </w:r>
      <w:r>
        <w:rPr>
          <w:rFonts w:eastAsiaTheme="minorEastAsia" w:hAnsiTheme="minorEastAsia"/>
          <w:bCs/>
          <w:sz w:val="24"/>
          <w:szCs w:val="22"/>
        </w:rPr>
        <w:t>条件的车辆或专用封闭厢式运载车辆，车厢四壁及底部应使用耐腐蚀材料，并采取防渗措施；</w:t>
      </w:r>
    </w:p>
    <w:p w14:paraId="6D297E1D" w14:textId="77777777" w:rsidR="00B14D53" w:rsidRDefault="00000000">
      <w:pPr>
        <w:spacing w:line="360" w:lineRule="auto"/>
        <w:ind w:firstLineChars="200" w:firstLine="480"/>
        <w:contextualSpacing/>
        <w:rPr>
          <w:rFonts w:eastAsiaTheme="minorEastAsia"/>
          <w:bCs/>
          <w:sz w:val="24"/>
          <w:szCs w:val="22"/>
        </w:rPr>
      </w:pPr>
      <w:r>
        <w:rPr>
          <w:rFonts w:eastAsiaTheme="minorEastAsia"/>
          <w:sz w:val="24"/>
          <w:szCs w:val="22"/>
        </w:rPr>
        <w:fldChar w:fldCharType="begin"/>
      </w:r>
      <w:r>
        <w:rPr>
          <w:rFonts w:eastAsiaTheme="minorEastAsia"/>
          <w:sz w:val="24"/>
          <w:szCs w:val="22"/>
        </w:rPr>
        <w:instrText xml:space="preserve"> = 2 \* GB3 </w:instrText>
      </w:r>
      <w:r>
        <w:rPr>
          <w:rFonts w:eastAsiaTheme="minorEastAsia"/>
          <w:sz w:val="24"/>
          <w:szCs w:val="22"/>
        </w:rPr>
        <w:fldChar w:fldCharType="separate"/>
      </w:r>
      <w:r>
        <w:rPr>
          <w:rFonts w:eastAsiaTheme="minorEastAsia" w:hAnsiTheme="minorEastAsia"/>
          <w:sz w:val="24"/>
          <w:szCs w:val="22"/>
        </w:rPr>
        <w:t>②</w:t>
      </w:r>
      <w:r>
        <w:rPr>
          <w:rFonts w:eastAsiaTheme="minorEastAsia"/>
          <w:sz w:val="24"/>
          <w:szCs w:val="22"/>
        </w:rPr>
        <w:fldChar w:fldCharType="end"/>
      </w:r>
      <w:r>
        <w:rPr>
          <w:rFonts w:eastAsiaTheme="minorEastAsia" w:hAnsiTheme="minorEastAsia"/>
          <w:sz w:val="24"/>
          <w:szCs w:val="22"/>
        </w:rPr>
        <w:t>专用转运车辆应加施明显标识，并加装车载定位系统，记录转运时间和路径等信息；</w:t>
      </w:r>
    </w:p>
    <w:p w14:paraId="6BD82182" w14:textId="77777777" w:rsidR="00B14D53" w:rsidRDefault="00000000">
      <w:pPr>
        <w:spacing w:line="360" w:lineRule="auto"/>
        <w:ind w:firstLineChars="200" w:firstLine="480"/>
        <w:contextualSpacing/>
        <w:rPr>
          <w:rFonts w:eastAsiaTheme="minorEastAsia"/>
          <w:bCs/>
          <w:sz w:val="24"/>
          <w:szCs w:val="22"/>
        </w:rPr>
      </w:pPr>
      <w:r>
        <w:rPr>
          <w:rFonts w:eastAsiaTheme="minorEastAsia"/>
          <w:bCs/>
          <w:sz w:val="24"/>
          <w:szCs w:val="22"/>
        </w:rPr>
        <w:fldChar w:fldCharType="begin"/>
      </w:r>
      <w:r>
        <w:rPr>
          <w:rFonts w:eastAsiaTheme="minorEastAsia"/>
          <w:bCs/>
          <w:sz w:val="24"/>
          <w:szCs w:val="22"/>
        </w:rPr>
        <w:instrText xml:space="preserve"> = 3 \* GB3 </w:instrText>
      </w:r>
      <w:r>
        <w:rPr>
          <w:rFonts w:eastAsiaTheme="minorEastAsia"/>
          <w:bCs/>
          <w:sz w:val="24"/>
          <w:szCs w:val="22"/>
        </w:rPr>
        <w:fldChar w:fldCharType="separate"/>
      </w:r>
      <w:r>
        <w:rPr>
          <w:rFonts w:eastAsiaTheme="minorEastAsia" w:hAnsiTheme="minorEastAsia"/>
          <w:bCs/>
          <w:sz w:val="24"/>
          <w:szCs w:val="22"/>
        </w:rPr>
        <w:t>③</w:t>
      </w:r>
      <w:r>
        <w:rPr>
          <w:rFonts w:eastAsiaTheme="minorEastAsia"/>
          <w:sz w:val="24"/>
          <w:szCs w:val="22"/>
        </w:rPr>
        <w:fldChar w:fldCharType="end"/>
      </w:r>
      <w:r>
        <w:rPr>
          <w:rFonts w:eastAsiaTheme="minorEastAsia" w:hAnsiTheme="minorEastAsia"/>
          <w:sz w:val="24"/>
          <w:szCs w:val="22"/>
        </w:rPr>
        <w:t>车辆驶离暂存</w:t>
      </w:r>
      <w:r>
        <w:rPr>
          <w:rFonts w:eastAsiaTheme="minorEastAsia" w:hAnsiTheme="minorEastAsia" w:hint="eastAsia"/>
          <w:sz w:val="24"/>
          <w:szCs w:val="22"/>
        </w:rPr>
        <w:t>等</w:t>
      </w:r>
      <w:r>
        <w:rPr>
          <w:rFonts w:eastAsiaTheme="minorEastAsia" w:hAnsiTheme="minorEastAsia"/>
          <w:sz w:val="24"/>
          <w:szCs w:val="22"/>
        </w:rPr>
        <w:t>场所前，应对车轮及车厢外部进行消毒；</w:t>
      </w:r>
    </w:p>
    <w:p w14:paraId="5D8A658C" w14:textId="77777777" w:rsidR="00B14D53" w:rsidRDefault="00000000">
      <w:pPr>
        <w:spacing w:line="360" w:lineRule="auto"/>
        <w:ind w:firstLineChars="200" w:firstLine="480"/>
        <w:contextualSpacing/>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 4 \* GB3 </w:instrText>
      </w:r>
      <w:r>
        <w:rPr>
          <w:rFonts w:eastAsiaTheme="minorEastAsia"/>
          <w:sz w:val="24"/>
          <w:szCs w:val="22"/>
        </w:rPr>
        <w:fldChar w:fldCharType="separate"/>
      </w:r>
      <w:r>
        <w:rPr>
          <w:rFonts w:eastAsiaTheme="minorEastAsia" w:hAnsiTheme="minorEastAsia"/>
          <w:sz w:val="24"/>
          <w:szCs w:val="22"/>
        </w:rPr>
        <w:t>④</w:t>
      </w:r>
      <w:r>
        <w:rPr>
          <w:rFonts w:eastAsiaTheme="minorEastAsia"/>
          <w:sz w:val="24"/>
          <w:szCs w:val="22"/>
        </w:rPr>
        <w:fldChar w:fldCharType="end"/>
      </w:r>
      <w:r>
        <w:rPr>
          <w:rFonts w:eastAsiaTheme="minorEastAsia" w:hAnsiTheme="minorEastAsia"/>
          <w:sz w:val="24"/>
          <w:szCs w:val="22"/>
        </w:rPr>
        <w:t>转运车辆应尽量避免进入人口密集区；</w:t>
      </w:r>
    </w:p>
    <w:p w14:paraId="2166864D" w14:textId="77777777" w:rsidR="00B14D53" w:rsidRDefault="00000000">
      <w:pPr>
        <w:spacing w:line="360" w:lineRule="auto"/>
        <w:ind w:firstLineChars="200" w:firstLine="480"/>
        <w:contextualSpacing/>
        <w:rPr>
          <w:rFonts w:eastAsiaTheme="minorEastAsia"/>
          <w:bCs/>
          <w:sz w:val="24"/>
          <w:szCs w:val="22"/>
        </w:rPr>
      </w:pPr>
      <w:r>
        <w:rPr>
          <w:rFonts w:eastAsiaTheme="minorEastAsia"/>
          <w:sz w:val="24"/>
          <w:szCs w:val="22"/>
        </w:rPr>
        <w:fldChar w:fldCharType="begin"/>
      </w:r>
      <w:r>
        <w:rPr>
          <w:rFonts w:eastAsiaTheme="minorEastAsia"/>
          <w:sz w:val="24"/>
          <w:szCs w:val="22"/>
        </w:rPr>
        <w:instrText xml:space="preserve"> = 5 \* GB3 </w:instrText>
      </w:r>
      <w:r>
        <w:rPr>
          <w:rFonts w:eastAsiaTheme="minorEastAsia"/>
          <w:sz w:val="24"/>
          <w:szCs w:val="22"/>
        </w:rPr>
        <w:fldChar w:fldCharType="separate"/>
      </w:r>
      <w:r>
        <w:rPr>
          <w:rFonts w:eastAsiaTheme="minorEastAsia" w:hAnsiTheme="minorEastAsia"/>
          <w:sz w:val="24"/>
          <w:szCs w:val="22"/>
        </w:rPr>
        <w:t>⑤</w:t>
      </w:r>
      <w:r>
        <w:rPr>
          <w:rFonts w:eastAsiaTheme="minorEastAsia"/>
          <w:sz w:val="24"/>
          <w:szCs w:val="22"/>
        </w:rPr>
        <w:fldChar w:fldCharType="end"/>
      </w:r>
      <w:r>
        <w:rPr>
          <w:rFonts w:eastAsiaTheme="minorEastAsia" w:hAnsiTheme="minorEastAsia"/>
          <w:sz w:val="24"/>
          <w:szCs w:val="22"/>
        </w:rPr>
        <w:t>若转运途中发生渗漏，应重新包装、消毒后运输；</w:t>
      </w:r>
    </w:p>
    <w:p w14:paraId="753AF4A9" w14:textId="77777777" w:rsidR="00B14D53" w:rsidRDefault="00000000">
      <w:pPr>
        <w:spacing w:line="360" w:lineRule="auto"/>
        <w:ind w:firstLineChars="200" w:firstLine="480"/>
        <w:contextualSpacing/>
        <w:rPr>
          <w:rFonts w:eastAsiaTheme="minorEastAsia"/>
          <w:sz w:val="24"/>
          <w:szCs w:val="22"/>
        </w:rPr>
      </w:pPr>
      <w:r>
        <w:rPr>
          <w:rFonts w:eastAsiaTheme="minorEastAsia"/>
          <w:bCs/>
          <w:sz w:val="24"/>
          <w:szCs w:val="22"/>
        </w:rPr>
        <w:fldChar w:fldCharType="begin"/>
      </w:r>
      <w:r>
        <w:rPr>
          <w:rFonts w:eastAsiaTheme="minorEastAsia"/>
          <w:bCs/>
          <w:sz w:val="24"/>
          <w:szCs w:val="22"/>
        </w:rPr>
        <w:instrText xml:space="preserve"> = 6 \* GB3 </w:instrText>
      </w:r>
      <w:r>
        <w:rPr>
          <w:rFonts w:eastAsiaTheme="minorEastAsia"/>
          <w:bCs/>
          <w:sz w:val="24"/>
          <w:szCs w:val="22"/>
        </w:rPr>
        <w:fldChar w:fldCharType="separate"/>
      </w:r>
      <w:r>
        <w:rPr>
          <w:rFonts w:eastAsiaTheme="minorEastAsia" w:hAnsiTheme="minorEastAsia"/>
          <w:bCs/>
          <w:sz w:val="24"/>
          <w:szCs w:val="22"/>
        </w:rPr>
        <w:t>⑥</w:t>
      </w:r>
      <w:r>
        <w:rPr>
          <w:rFonts w:eastAsiaTheme="minorEastAsia"/>
          <w:sz w:val="24"/>
          <w:szCs w:val="22"/>
        </w:rPr>
        <w:fldChar w:fldCharType="end"/>
      </w:r>
      <w:r>
        <w:rPr>
          <w:rFonts w:eastAsiaTheme="minorEastAsia" w:hAnsiTheme="minorEastAsia"/>
          <w:sz w:val="24"/>
          <w:szCs w:val="22"/>
        </w:rPr>
        <w:t>卸载后，应对转运车辆及相关工具等进行彻底清洗、消毒。</w:t>
      </w:r>
    </w:p>
    <w:p w14:paraId="71C8FC8A"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w:t>
      </w:r>
      <w:r>
        <w:rPr>
          <w:rFonts w:eastAsiaTheme="minorEastAsia"/>
          <w:sz w:val="24"/>
          <w:szCs w:val="22"/>
        </w:rPr>
        <w:t>3</w:t>
      </w:r>
      <w:r>
        <w:rPr>
          <w:rFonts w:eastAsiaTheme="minorEastAsia" w:hAnsiTheme="minorEastAsia"/>
          <w:sz w:val="24"/>
          <w:szCs w:val="22"/>
        </w:rPr>
        <w:t>）其他</w:t>
      </w:r>
    </w:p>
    <w:p w14:paraId="468D31CB" w14:textId="77777777" w:rsidR="00B14D53" w:rsidRDefault="00000000">
      <w:pPr>
        <w:spacing w:line="360" w:lineRule="auto"/>
        <w:ind w:firstLineChars="200" w:firstLine="480"/>
        <w:contextualSpacing/>
        <w:rPr>
          <w:rFonts w:eastAsiaTheme="minorEastAsia"/>
          <w:sz w:val="24"/>
          <w:szCs w:val="22"/>
        </w:rPr>
      </w:pPr>
      <w:r>
        <w:rPr>
          <w:rFonts w:eastAsiaTheme="minorEastAsia"/>
          <w:bCs/>
          <w:sz w:val="24"/>
          <w:szCs w:val="22"/>
        </w:rPr>
        <w:fldChar w:fldCharType="begin"/>
      </w:r>
      <w:r>
        <w:rPr>
          <w:rFonts w:eastAsiaTheme="minorEastAsia"/>
          <w:bCs/>
          <w:sz w:val="24"/>
          <w:szCs w:val="22"/>
        </w:rPr>
        <w:instrText xml:space="preserve"> = 1 \* GB3 </w:instrText>
      </w:r>
      <w:r>
        <w:rPr>
          <w:rFonts w:eastAsiaTheme="minorEastAsia"/>
          <w:bCs/>
          <w:sz w:val="24"/>
          <w:szCs w:val="22"/>
        </w:rPr>
        <w:fldChar w:fldCharType="separate"/>
      </w:r>
      <w:r>
        <w:rPr>
          <w:rFonts w:eastAsiaTheme="minorEastAsia" w:hAnsiTheme="minorEastAsia"/>
          <w:bCs/>
          <w:sz w:val="24"/>
          <w:szCs w:val="22"/>
        </w:rPr>
        <w:t>①</w:t>
      </w:r>
      <w:r>
        <w:rPr>
          <w:rFonts w:eastAsiaTheme="minorEastAsia"/>
          <w:sz w:val="24"/>
          <w:szCs w:val="22"/>
        </w:rPr>
        <w:fldChar w:fldCharType="end"/>
      </w:r>
      <w:r>
        <w:rPr>
          <w:rFonts w:eastAsiaTheme="minorEastAsia" w:hAnsiTheme="minorEastAsia"/>
          <w:sz w:val="24"/>
          <w:szCs w:val="22"/>
        </w:rPr>
        <w:t>病死及病害动物和相关动物产品的收集、暂存、转运、无害化处理操作的工作人员应经过专门培训，掌握相应的动物防疫知识。</w:t>
      </w:r>
    </w:p>
    <w:p w14:paraId="31BC15BC" w14:textId="77777777" w:rsidR="00B14D53" w:rsidRDefault="00000000">
      <w:pPr>
        <w:spacing w:line="360" w:lineRule="auto"/>
        <w:ind w:firstLineChars="200" w:firstLine="480"/>
        <w:contextualSpacing/>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 2 \* GB3 </w:instrText>
      </w:r>
      <w:r>
        <w:rPr>
          <w:rFonts w:eastAsiaTheme="minorEastAsia"/>
          <w:sz w:val="24"/>
          <w:szCs w:val="22"/>
        </w:rPr>
        <w:fldChar w:fldCharType="separate"/>
      </w:r>
      <w:r>
        <w:rPr>
          <w:rFonts w:eastAsiaTheme="minorEastAsia" w:hAnsiTheme="minorEastAsia"/>
          <w:sz w:val="24"/>
          <w:szCs w:val="22"/>
        </w:rPr>
        <w:t>②</w:t>
      </w:r>
      <w:r>
        <w:rPr>
          <w:rFonts w:eastAsiaTheme="minorEastAsia"/>
          <w:sz w:val="24"/>
          <w:szCs w:val="22"/>
        </w:rPr>
        <w:fldChar w:fldCharType="end"/>
      </w:r>
      <w:r>
        <w:rPr>
          <w:rFonts w:eastAsiaTheme="minorEastAsia" w:hAnsiTheme="minorEastAsia"/>
          <w:sz w:val="24"/>
          <w:szCs w:val="22"/>
        </w:rPr>
        <w:t>工作人员在操作过程中应穿戴防护服、口罩、护目镜、胶鞋及手套等防护用具；</w:t>
      </w:r>
    </w:p>
    <w:p w14:paraId="179A90BC" w14:textId="77777777" w:rsidR="00B14D53" w:rsidRDefault="00000000">
      <w:pPr>
        <w:spacing w:line="360" w:lineRule="auto"/>
        <w:ind w:firstLineChars="200" w:firstLine="480"/>
        <w:contextualSpacing/>
        <w:rPr>
          <w:rFonts w:eastAsiaTheme="minorEastAsia"/>
          <w:bCs/>
          <w:sz w:val="24"/>
          <w:szCs w:val="22"/>
        </w:rPr>
      </w:pPr>
      <w:r>
        <w:rPr>
          <w:rFonts w:eastAsiaTheme="minorEastAsia"/>
          <w:bCs/>
          <w:sz w:val="24"/>
          <w:szCs w:val="22"/>
        </w:rPr>
        <w:fldChar w:fldCharType="begin"/>
      </w:r>
      <w:r>
        <w:rPr>
          <w:rFonts w:eastAsiaTheme="minorEastAsia"/>
          <w:bCs/>
          <w:sz w:val="24"/>
          <w:szCs w:val="22"/>
        </w:rPr>
        <w:instrText xml:space="preserve"> = 3 \* GB3 </w:instrText>
      </w:r>
      <w:r>
        <w:rPr>
          <w:rFonts w:eastAsiaTheme="minorEastAsia"/>
          <w:bCs/>
          <w:sz w:val="24"/>
          <w:szCs w:val="22"/>
        </w:rPr>
        <w:fldChar w:fldCharType="separate"/>
      </w:r>
      <w:r>
        <w:rPr>
          <w:rFonts w:eastAsiaTheme="minorEastAsia" w:hAnsiTheme="minorEastAsia"/>
          <w:bCs/>
          <w:sz w:val="24"/>
          <w:szCs w:val="22"/>
        </w:rPr>
        <w:t>③</w:t>
      </w:r>
      <w:r>
        <w:rPr>
          <w:rFonts w:eastAsiaTheme="minorEastAsia"/>
          <w:sz w:val="24"/>
          <w:szCs w:val="22"/>
        </w:rPr>
        <w:fldChar w:fldCharType="end"/>
      </w:r>
      <w:r>
        <w:rPr>
          <w:rFonts w:eastAsiaTheme="minorEastAsia" w:hAnsiTheme="minorEastAsia"/>
          <w:sz w:val="24"/>
          <w:szCs w:val="22"/>
        </w:rPr>
        <w:t>工作人员应使用专用收集工具、包装用品、转运工具、清洗工具、消毒器材等；</w:t>
      </w:r>
    </w:p>
    <w:p w14:paraId="1FAF420F" w14:textId="77777777" w:rsidR="00B14D53" w:rsidRDefault="00000000">
      <w:pPr>
        <w:spacing w:line="360" w:lineRule="auto"/>
        <w:ind w:firstLineChars="200" w:firstLine="480"/>
        <w:contextualSpacing/>
        <w:rPr>
          <w:rFonts w:eastAsiaTheme="minorEastAsia"/>
          <w:bCs/>
          <w:sz w:val="24"/>
          <w:szCs w:val="22"/>
        </w:rPr>
      </w:pPr>
      <w:r>
        <w:rPr>
          <w:rFonts w:eastAsiaTheme="minorEastAsia"/>
          <w:sz w:val="24"/>
          <w:szCs w:val="22"/>
        </w:rPr>
        <w:fldChar w:fldCharType="begin"/>
      </w:r>
      <w:r>
        <w:rPr>
          <w:rFonts w:eastAsiaTheme="minorEastAsia"/>
          <w:sz w:val="24"/>
          <w:szCs w:val="22"/>
        </w:rPr>
        <w:instrText xml:space="preserve"> = 4 \* GB3 </w:instrText>
      </w:r>
      <w:r>
        <w:rPr>
          <w:rFonts w:eastAsiaTheme="minorEastAsia"/>
          <w:sz w:val="24"/>
          <w:szCs w:val="22"/>
        </w:rPr>
        <w:fldChar w:fldCharType="separate"/>
      </w:r>
      <w:r>
        <w:rPr>
          <w:rFonts w:eastAsiaTheme="minorEastAsia" w:hAnsiTheme="minorEastAsia"/>
          <w:sz w:val="24"/>
          <w:szCs w:val="22"/>
        </w:rPr>
        <w:t>④</w:t>
      </w:r>
      <w:r>
        <w:rPr>
          <w:rFonts w:eastAsiaTheme="minorEastAsia"/>
          <w:sz w:val="24"/>
          <w:szCs w:val="22"/>
        </w:rPr>
        <w:fldChar w:fldCharType="end"/>
      </w:r>
      <w:r>
        <w:rPr>
          <w:rFonts w:eastAsiaTheme="minorEastAsia" w:hAnsiTheme="minorEastAsia"/>
          <w:sz w:val="24"/>
          <w:szCs w:val="22"/>
        </w:rPr>
        <w:t>工作完毕后，对一次性防护用品作销毁处理，对循环使用的防护用品消毒处理。</w:t>
      </w:r>
    </w:p>
    <w:p w14:paraId="2185F10C" w14:textId="77777777" w:rsidR="00B14D53" w:rsidRDefault="00000000">
      <w:pPr>
        <w:spacing w:line="360" w:lineRule="auto"/>
        <w:ind w:firstLineChars="200" w:firstLine="480"/>
        <w:contextualSpacing/>
        <w:rPr>
          <w:rFonts w:eastAsiaTheme="minorEastAsia"/>
          <w:bCs/>
          <w:sz w:val="24"/>
          <w:szCs w:val="22"/>
        </w:rPr>
      </w:pPr>
      <w:r>
        <w:rPr>
          <w:rFonts w:eastAsiaTheme="minorEastAsia"/>
          <w:sz w:val="24"/>
          <w:szCs w:val="22"/>
        </w:rPr>
        <w:fldChar w:fldCharType="begin"/>
      </w:r>
      <w:r>
        <w:rPr>
          <w:rFonts w:eastAsiaTheme="minorEastAsia"/>
          <w:sz w:val="24"/>
          <w:szCs w:val="22"/>
        </w:rPr>
        <w:instrText xml:space="preserve"> = 5 \* GB3 </w:instrText>
      </w:r>
      <w:r>
        <w:rPr>
          <w:rFonts w:eastAsiaTheme="minorEastAsia"/>
          <w:sz w:val="24"/>
          <w:szCs w:val="22"/>
        </w:rPr>
        <w:fldChar w:fldCharType="separate"/>
      </w:r>
      <w:r>
        <w:rPr>
          <w:rFonts w:eastAsiaTheme="minorEastAsia" w:hAnsiTheme="minorEastAsia"/>
          <w:sz w:val="24"/>
          <w:szCs w:val="22"/>
        </w:rPr>
        <w:t>⑤</w:t>
      </w:r>
      <w:r>
        <w:rPr>
          <w:rFonts w:eastAsiaTheme="minorEastAsia"/>
          <w:sz w:val="24"/>
          <w:szCs w:val="22"/>
        </w:rPr>
        <w:fldChar w:fldCharType="end"/>
      </w:r>
      <w:r>
        <w:rPr>
          <w:rFonts w:eastAsiaTheme="minorEastAsia" w:hAnsiTheme="minorEastAsia"/>
          <w:sz w:val="24"/>
          <w:szCs w:val="22"/>
        </w:rPr>
        <w:t>病死及病害动物和相关动物产品的收集、暂存、转运、无害化处理等环节应建有台账和记录。有条件的地方应保存转运车辆行车信息和相关环节视频记录；</w:t>
      </w:r>
    </w:p>
    <w:p w14:paraId="2A7D2AA9" w14:textId="77777777" w:rsidR="00B14D53" w:rsidRDefault="00000000">
      <w:pPr>
        <w:spacing w:line="360" w:lineRule="auto"/>
        <w:ind w:firstLineChars="200" w:firstLine="480"/>
        <w:contextualSpacing/>
        <w:rPr>
          <w:rFonts w:eastAsiaTheme="minorEastAsia"/>
          <w:sz w:val="24"/>
          <w:szCs w:val="22"/>
        </w:rPr>
      </w:pPr>
      <w:r>
        <w:rPr>
          <w:rFonts w:eastAsiaTheme="minorEastAsia"/>
          <w:bCs/>
          <w:sz w:val="24"/>
          <w:szCs w:val="22"/>
        </w:rPr>
        <w:fldChar w:fldCharType="begin"/>
      </w:r>
      <w:r>
        <w:rPr>
          <w:rFonts w:eastAsiaTheme="minorEastAsia"/>
          <w:bCs/>
          <w:sz w:val="24"/>
          <w:szCs w:val="22"/>
        </w:rPr>
        <w:instrText xml:space="preserve"> = 6 \* GB3 </w:instrText>
      </w:r>
      <w:r>
        <w:rPr>
          <w:rFonts w:eastAsiaTheme="minorEastAsia"/>
          <w:bCs/>
          <w:sz w:val="24"/>
          <w:szCs w:val="22"/>
        </w:rPr>
        <w:fldChar w:fldCharType="separate"/>
      </w:r>
      <w:r>
        <w:rPr>
          <w:rFonts w:eastAsiaTheme="minorEastAsia" w:hAnsiTheme="minorEastAsia"/>
          <w:bCs/>
          <w:sz w:val="24"/>
          <w:szCs w:val="22"/>
        </w:rPr>
        <w:t>⑥</w:t>
      </w:r>
      <w:r>
        <w:rPr>
          <w:rFonts w:eastAsiaTheme="minorEastAsia"/>
          <w:sz w:val="24"/>
          <w:szCs w:val="22"/>
        </w:rPr>
        <w:fldChar w:fldCharType="end"/>
      </w:r>
      <w:r>
        <w:rPr>
          <w:rFonts w:eastAsiaTheme="minorEastAsia" w:hAnsiTheme="minorEastAsia"/>
          <w:sz w:val="24"/>
          <w:szCs w:val="22"/>
        </w:rPr>
        <w:t>接收台账和记录应包括病死及病害动物和相关动物产品来源场、种类、数量、动物标识号、死亡原因、消毒方法、收集时间、经办人员等；</w:t>
      </w:r>
    </w:p>
    <w:p w14:paraId="1EDA4BF2" w14:textId="77777777" w:rsidR="00B14D53" w:rsidRDefault="00000000">
      <w:pPr>
        <w:spacing w:line="360" w:lineRule="auto"/>
        <w:ind w:firstLineChars="200" w:firstLine="480"/>
        <w:contextualSpacing/>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 7 \* GB3 </w:instrText>
      </w:r>
      <w:r>
        <w:rPr>
          <w:rFonts w:eastAsiaTheme="minorEastAsia"/>
          <w:sz w:val="24"/>
          <w:szCs w:val="22"/>
        </w:rPr>
        <w:fldChar w:fldCharType="separate"/>
      </w:r>
      <w:r>
        <w:rPr>
          <w:rFonts w:eastAsiaTheme="minorEastAsia" w:hAnsiTheme="minorEastAsia"/>
          <w:sz w:val="24"/>
          <w:szCs w:val="22"/>
        </w:rPr>
        <w:t>⑦</w:t>
      </w:r>
      <w:r>
        <w:rPr>
          <w:rFonts w:eastAsiaTheme="minorEastAsia"/>
          <w:sz w:val="24"/>
          <w:szCs w:val="22"/>
        </w:rPr>
        <w:fldChar w:fldCharType="end"/>
      </w:r>
      <w:r>
        <w:rPr>
          <w:rFonts w:eastAsiaTheme="minorEastAsia" w:hAnsiTheme="minorEastAsia"/>
          <w:sz w:val="24"/>
          <w:szCs w:val="22"/>
        </w:rPr>
        <w:t>运出台账和记录应包括运输人员、联系方式、转运时间、车牌号、病死及病害动物和相关动物产品种类、数量、动物标识号、消毒方法、转运目的地以及经办人员等。</w:t>
      </w:r>
    </w:p>
    <w:p w14:paraId="37A03F62" w14:textId="77777777" w:rsidR="00B14D53" w:rsidRDefault="00000000">
      <w:pPr>
        <w:spacing w:line="360" w:lineRule="auto"/>
        <w:ind w:firstLineChars="200" w:firstLine="480"/>
        <w:contextualSpacing/>
        <w:rPr>
          <w:rFonts w:eastAsiaTheme="minorEastAsia"/>
          <w:sz w:val="24"/>
          <w:szCs w:val="22"/>
        </w:rPr>
      </w:pPr>
      <w:r>
        <w:rPr>
          <w:rFonts w:eastAsiaTheme="minorEastAsia" w:hAnsiTheme="minorEastAsia"/>
          <w:sz w:val="24"/>
          <w:szCs w:val="22"/>
        </w:rPr>
        <w:t>本项目病死猪</w:t>
      </w:r>
      <w:r>
        <w:rPr>
          <w:sz w:val="24"/>
        </w:rPr>
        <w:t>、病变腺体、内脏</w:t>
      </w:r>
      <w:r>
        <w:rPr>
          <w:rFonts w:hint="eastAsia"/>
          <w:sz w:val="24"/>
        </w:rPr>
        <w:t>及残留脂肪</w:t>
      </w:r>
      <w:r>
        <w:rPr>
          <w:rFonts w:eastAsiaTheme="minorEastAsia" w:hAnsiTheme="minorEastAsia"/>
          <w:sz w:val="24"/>
          <w:szCs w:val="22"/>
        </w:rPr>
        <w:t>处理满足《黑龙江省人民政府办公厅关于建立病死畜禽无害化处理机制的实施意见》（黑政办发</w:t>
      </w:r>
      <w:r>
        <w:rPr>
          <w:rFonts w:eastAsiaTheme="minorEastAsia" w:hAnsiTheme="minorEastAsia" w:hint="eastAsia"/>
          <w:sz w:val="24"/>
          <w:szCs w:val="22"/>
        </w:rPr>
        <w:t>〔</w:t>
      </w:r>
      <w:r>
        <w:rPr>
          <w:rFonts w:eastAsiaTheme="minorEastAsia"/>
          <w:sz w:val="24"/>
          <w:szCs w:val="22"/>
        </w:rPr>
        <w:t>2015</w:t>
      </w:r>
      <w:r>
        <w:rPr>
          <w:rFonts w:eastAsiaTheme="minorEastAsia" w:hint="eastAsia"/>
          <w:sz w:val="24"/>
          <w:szCs w:val="22"/>
        </w:rPr>
        <w:t>〕</w:t>
      </w:r>
      <w:r>
        <w:rPr>
          <w:rFonts w:eastAsiaTheme="minorEastAsia"/>
          <w:sz w:val="24"/>
          <w:szCs w:val="22"/>
        </w:rPr>
        <w:t>27</w:t>
      </w:r>
      <w:r>
        <w:rPr>
          <w:rFonts w:eastAsiaTheme="minorEastAsia" w:hAnsiTheme="minorEastAsia"/>
          <w:sz w:val="24"/>
          <w:szCs w:val="22"/>
        </w:rPr>
        <w:t>号）中：</w:t>
      </w:r>
      <w:r>
        <w:rPr>
          <w:rFonts w:eastAsiaTheme="minorEastAsia"/>
          <w:sz w:val="24"/>
          <w:szCs w:val="22"/>
        </w:rPr>
        <w:t>“</w:t>
      </w:r>
      <w:r>
        <w:rPr>
          <w:rFonts w:eastAsiaTheme="minorEastAsia" w:hAnsiTheme="minorEastAsia"/>
          <w:sz w:val="24"/>
          <w:szCs w:val="22"/>
        </w:rPr>
        <w:t>完善企业无害化处理设施。专业养殖合作社、规模养殖场（小区）、屠宰厂应建设与生产规模相适应的病死畜禽无害化处理设施，或委托专业无害化</w:t>
      </w:r>
      <w:r>
        <w:rPr>
          <w:rFonts w:eastAsiaTheme="minorEastAsia" w:hAnsiTheme="minorEastAsia" w:hint="eastAsia"/>
          <w:sz w:val="24"/>
          <w:szCs w:val="22"/>
        </w:rPr>
        <w:t>处理厂</w:t>
      </w:r>
      <w:r>
        <w:rPr>
          <w:rFonts w:eastAsiaTheme="minorEastAsia" w:hAnsiTheme="minorEastAsia"/>
          <w:sz w:val="24"/>
          <w:szCs w:val="22"/>
        </w:rPr>
        <w:t>进行处理</w:t>
      </w:r>
      <w:r>
        <w:rPr>
          <w:rFonts w:eastAsiaTheme="minorEastAsia"/>
          <w:sz w:val="24"/>
          <w:szCs w:val="22"/>
        </w:rPr>
        <w:t>”</w:t>
      </w:r>
      <w:r>
        <w:rPr>
          <w:rFonts w:eastAsiaTheme="minorEastAsia" w:hAnsiTheme="minorEastAsia"/>
          <w:sz w:val="24"/>
          <w:szCs w:val="22"/>
        </w:rPr>
        <w:t>的相关要求。</w:t>
      </w:r>
    </w:p>
    <w:p w14:paraId="19AC5C7C" w14:textId="77777777" w:rsidR="00B14D53" w:rsidRDefault="00000000">
      <w:pPr>
        <w:spacing w:line="360" w:lineRule="auto"/>
        <w:ind w:firstLineChars="200" w:firstLine="480"/>
        <w:contextualSpacing/>
        <w:rPr>
          <w:rFonts w:eastAsiaTheme="minorEastAsia" w:hAnsiTheme="minorEastAsia" w:hint="eastAsia"/>
          <w:sz w:val="24"/>
        </w:rPr>
      </w:pPr>
      <w:r>
        <w:rPr>
          <w:rFonts w:eastAsiaTheme="minorEastAsia" w:hAnsiTheme="minorEastAsia"/>
          <w:sz w:val="24"/>
        </w:rPr>
        <w:t>本项目固体废物处置率</w:t>
      </w:r>
      <w:r>
        <w:rPr>
          <w:rFonts w:eastAsiaTheme="minorEastAsia"/>
          <w:sz w:val="24"/>
        </w:rPr>
        <w:t>100%</w:t>
      </w:r>
      <w:r>
        <w:rPr>
          <w:rFonts w:eastAsiaTheme="minorEastAsia" w:hAnsiTheme="minorEastAsia"/>
          <w:sz w:val="24"/>
        </w:rPr>
        <w:t>，不会对环境产生影响，处理措施可行。</w:t>
      </w:r>
    </w:p>
    <w:p w14:paraId="0464B846"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74" w:name="_Toc12914"/>
      <w:bookmarkStart w:id="275" w:name="_Toc15991704"/>
      <w:r>
        <w:rPr>
          <w:rFonts w:ascii="Times New Roman" w:eastAsia="黑体" w:hAnsi="Times New Roman" w:cs="Times New Roman"/>
          <w:b w:val="0"/>
          <w:bCs w:val="0"/>
          <w:sz w:val="30"/>
          <w:szCs w:val="30"/>
        </w:rPr>
        <w:t>6.3</w:t>
      </w:r>
      <w:r>
        <w:rPr>
          <w:rFonts w:ascii="Times New Roman" w:eastAsia="黑体" w:hAnsi="Times New Roman" w:cs="Times New Roman"/>
          <w:b w:val="0"/>
          <w:bCs w:val="0"/>
          <w:sz w:val="30"/>
          <w:szCs w:val="30"/>
        </w:rPr>
        <w:t>风险防范措施</w:t>
      </w:r>
      <w:bookmarkEnd w:id="274"/>
      <w:bookmarkEnd w:id="275"/>
    </w:p>
    <w:p w14:paraId="26FE03E3" w14:textId="77777777" w:rsidR="00B14D53" w:rsidRDefault="00000000">
      <w:pPr>
        <w:widowControl/>
        <w:spacing w:line="360" w:lineRule="auto"/>
        <w:ind w:firstLineChars="200" w:firstLine="480"/>
        <w:rPr>
          <w:sz w:val="24"/>
        </w:rPr>
      </w:pPr>
      <w:r>
        <w:rPr>
          <w:kern w:val="0"/>
          <w:sz w:val="24"/>
          <w:lang w:bidi="ar"/>
        </w:rPr>
        <w:t>针对本项目可能产生的风险类别，建设单位应考虑采取一系列防范和应急措施，预防环境风险事故的发生，降低风险事故可能产生的环境影响。</w:t>
      </w:r>
    </w:p>
    <w:p w14:paraId="79E7E69D"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lang w:val="zh-CN"/>
        </w:rPr>
      </w:pPr>
      <w:bookmarkStart w:id="276" w:name="_Toc1867"/>
      <w:bookmarkStart w:id="277" w:name="_Toc25480"/>
      <w:bookmarkStart w:id="278" w:name="_Toc12190"/>
      <w:bookmarkStart w:id="279" w:name="_Toc1875"/>
      <w:r>
        <w:rPr>
          <w:rFonts w:ascii="Times New Roman" w:eastAsia="黑体" w:hAnsi="Times New Roman" w:cs="Times New Roman"/>
          <w:sz w:val="28"/>
          <w:szCs w:val="28"/>
          <w:lang w:val="zh-CN"/>
        </w:rPr>
        <w:t>6.</w:t>
      </w:r>
      <w:r>
        <w:rPr>
          <w:rFonts w:ascii="Times New Roman" w:eastAsia="黑体" w:hAnsi="Times New Roman" w:cs="Times New Roman" w:hint="eastAsia"/>
          <w:sz w:val="28"/>
          <w:szCs w:val="28"/>
        </w:rPr>
        <w:t>3</w:t>
      </w:r>
      <w:r>
        <w:rPr>
          <w:rFonts w:ascii="Times New Roman" w:eastAsia="黑体" w:hAnsi="Times New Roman" w:cs="Times New Roman"/>
          <w:sz w:val="28"/>
          <w:szCs w:val="28"/>
          <w:lang w:val="zh-CN"/>
        </w:rPr>
        <w:t>.</w:t>
      </w:r>
      <w:r>
        <w:rPr>
          <w:rFonts w:ascii="Times New Roman" w:eastAsia="黑体" w:hAnsi="Times New Roman" w:cs="Times New Roman" w:hint="eastAsia"/>
          <w:sz w:val="28"/>
          <w:szCs w:val="28"/>
        </w:rPr>
        <w:t>1</w:t>
      </w:r>
      <w:r>
        <w:rPr>
          <w:rFonts w:ascii="Times New Roman" w:eastAsia="黑体" w:hAnsi="Times New Roman" w:cs="Times New Roman"/>
          <w:sz w:val="28"/>
          <w:szCs w:val="28"/>
        </w:rPr>
        <w:t>风险管理和风险防范措施</w:t>
      </w:r>
      <w:bookmarkEnd w:id="276"/>
      <w:bookmarkEnd w:id="277"/>
      <w:bookmarkEnd w:id="278"/>
      <w:bookmarkEnd w:id="279"/>
    </w:p>
    <w:p w14:paraId="50871C5B" w14:textId="77777777" w:rsidR="00B14D53" w:rsidRDefault="00000000">
      <w:pPr>
        <w:widowControl/>
        <w:spacing w:line="360" w:lineRule="auto"/>
        <w:ind w:firstLineChars="200" w:firstLine="480"/>
        <w:rPr>
          <w:sz w:val="24"/>
        </w:rPr>
      </w:pPr>
      <w:r>
        <w:rPr>
          <w:kern w:val="0"/>
          <w:sz w:val="24"/>
          <w:lang w:bidi="ar"/>
        </w:rPr>
        <w:t>（</w:t>
      </w:r>
      <w:r>
        <w:rPr>
          <w:kern w:val="0"/>
          <w:sz w:val="24"/>
          <w:lang w:bidi="ar"/>
        </w:rPr>
        <w:t>1</w:t>
      </w:r>
      <w:r>
        <w:rPr>
          <w:kern w:val="0"/>
          <w:sz w:val="24"/>
          <w:lang w:bidi="ar"/>
        </w:rPr>
        <w:t>）加强安全环保教育与培训工作，强化职工风险意识，使职工掌握必要的安全环保知识和应急处理能力；操作人员应熟悉自己的岗位，树立严谨规范的操作作风，并且在任何紧急状况下都能及时、独立、正确的实施相关应急措施。</w:t>
      </w:r>
    </w:p>
    <w:p w14:paraId="6A57AAB2" w14:textId="77777777" w:rsidR="00B14D53" w:rsidRDefault="00000000">
      <w:pPr>
        <w:widowControl/>
        <w:spacing w:line="360" w:lineRule="auto"/>
        <w:ind w:firstLineChars="200" w:firstLine="480"/>
        <w:rPr>
          <w:sz w:val="24"/>
        </w:rPr>
      </w:pPr>
      <w:r>
        <w:rPr>
          <w:kern w:val="0"/>
          <w:sz w:val="24"/>
          <w:lang w:bidi="ar"/>
        </w:rPr>
        <w:t>（</w:t>
      </w:r>
      <w:r>
        <w:rPr>
          <w:kern w:val="0"/>
          <w:sz w:val="24"/>
          <w:lang w:bidi="ar"/>
        </w:rPr>
        <w:t>2</w:t>
      </w:r>
      <w:r>
        <w:rPr>
          <w:kern w:val="0"/>
          <w:sz w:val="24"/>
          <w:lang w:bidi="ar"/>
        </w:rPr>
        <w:t>）加强安全环保管理，将</w:t>
      </w:r>
      <w:r>
        <w:rPr>
          <w:kern w:val="0"/>
          <w:sz w:val="24"/>
          <w:lang w:bidi="ar"/>
        </w:rPr>
        <w:t>“</w:t>
      </w:r>
      <w:r>
        <w:rPr>
          <w:kern w:val="0"/>
          <w:sz w:val="24"/>
          <w:lang w:bidi="ar"/>
        </w:rPr>
        <w:t>安全第一、环保优先、预防为主</w:t>
      </w:r>
      <w:r>
        <w:rPr>
          <w:kern w:val="0"/>
          <w:sz w:val="24"/>
          <w:lang w:bidi="ar"/>
        </w:rPr>
        <w:t>”</w:t>
      </w:r>
      <w:r>
        <w:rPr>
          <w:kern w:val="0"/>
          <w:sz w:val="24"/>
          <w:lang w:bidi="ar"/>
        </w:rPr>
        <w:t>作为企业经营的基本原则；指定安全环保负责人负责全厂的安全环保管理。</w:t>
      </w:r>
    </w:p>
    <w:p w14:paraId="403C4E1F" w14:textId="77777777" w:rsidR="00B14D53" w:rsidRDefault="00000000">
      <w:pPr>
        <w:widowControl/>
        <w:spacing w:line="360" w:lineRule="auto"/>
        <w:ind w:firstLineChars="200" w:firstLine="480"/>
        <w:rPr>
          <w:sz w:val="24"/>
        </w:rPr>
      </w:pPr>
      <w:r>
        <w:rPr>
          <w:kern w:val="0"/>
          <w:sz w:val="24"/>
          <w:lang w:bidi="ar"/>
        </w:rPr>
        <w:t>（</w:t>
      </w:r>
      <w:r>
        <w:rPr>
          <w:kern w:val="0"/>
          <w:sz w:val="24"/>
          <w:lang w:bidi="ar"/>
        </w:rPr>
        <w:t>3</w:t>
      </w:r>
      <w:r>
        <w:rPr>
          <w:kern w:val="0"/>
          <w:sz w:val="24"/>
          <w:lang w:bidi="ar"/>
        </w:rPr>
        <w:t>）建立预警及预防机制，进行各种日常的、定期的、专业的安全防火检查，对于可能引起事故的异常状况，应及时向企业安全环保主管领导汇报，并将发现的问题落实到人、限期整改到位。</w:t>
      </w:r>
    </w:p>
    <w:p w14:paraId="648DE4D5" w14:textId="77777777" w:rsidR="00B14D53" w:rsidRDefault="00000000">
      <w:pPr>
        <w:widowControl/>
        <w:spacing w:line="360" w:lineRule="auto"/>
        <w:ind w:firstLineChars="200" w:firstLine="480"/>
        <w:rPr>
          <w:kern w:val="0"/>
          <w:sz w:val="24"/>
          <w:lang w:bidi="ar"/>
        </w:rPr>
      </w:pPr>
      <w:r>
        <w:rPr>
          <w:kern w:val="0"/>
          <w:sz w:val="24"/>
          <w:lang w:bidi="ar"/>
        </w:rPr>
        <w:t>（</w:t>
      </w:r>
      <w:r>
        <w:rPr>
          <w:kern w:val="0"/>
          <w:sz w:val="24"/>
          <w:lang w:bidi="ar"/>
        </w:rPr>
        <w:t>4</w:t>
      </w:r>
      <w:r>
        <w:rPr>
          <w:kern w:val="0"/>
          <w:sz w:val="24"/>
          <w:lang w:bidi="ar"/>
        </w:rPr>
        <w:t>）次氯酸钠的储存</w:t>
      </w:r>
      <w:r>
        <w:rPr>
          <w:rFonts w:hint="eastAsia"/>
          <w:kern w:val="0"/>
          <w:sz w:val="24"/>
          <w:lang w:bidi="ar"/>
        </w:rPr>
        <w:t>及使用</w:t>
      </w:r>
      <w:r>
        <w:rPr>
          <w:kern w:val="0"/>
          <w:sz w:val="24"/>
          <w:lang w:bidi="ar"/>
        </w:rPr>
        <w:t>必须配备有专业知识的技术人员，应设专人管理，次氯酸钠入库时，应严格检验物品质量、数量、有无泄漏；</w:t>
      </w:r>
    </w:p>
    <w:p w14:paraId="3290BCF6" w14:textId="77777777" w:rsidR="00B14D53" w:rsidRDefault="00000000">
      <w:pPr>
        <w:widowControl/>
        <w:spacing w:line="360" w:lineRule="auto"/>
        <w:ind w:firstLineChars="200" w:firstLine="480"/>
        <w:rPr>
          <w:kern w:val="0"/>
          <w:sz w:val="24"/>
          <w:lang w:bidi="ar"/>
        </w:rPr>
      </w:pPr>
      <w:r>
        <w:rPr>
          <w:kern w:val="0"/>
          <w:sz w:val="24"/>
          <w:lang w:bidi="ar"/>
        </w:rPr>
        <w:t>（</w:t>
      </w:r>
      <w:r>
        <w:rPr>
          <w:kern w:val="0"/>
          <w:sz w:val="24"/>
          <w:lang w:bidi="ar"/>
        </w:rPr>
        <w:t>5</w:t>
      </w:r>
      <w:r>
        <w:rPr>
          <w:kern w:val="0"/>
          <w:sz w:val="24"/>
          <w:lang w:bidi="ar"/>
        </w:rPr>
        <w:t>）次氯酸钠储存区应当符合有关安全、防火规定，设置相应的通风、防火、灭火等安全设施；应设明显的危险化学品标示，并注明危险品的种类、物料特性、防护措施等。非工作人员严禁入库，储存库内外严禁吸烟，进入储存</w:t>
      </w:r>
      <w:r>
        <w:rPr>
          <w:rFonts w:hint="eastAsia"/>
          <w:kern w:val="0"/>
          <w:sz w:val="24"/>
          <w:lang w:bidi="ar"/>
        </w:rPr>
        <w:t>间</w:t>
      </w:r>
      <w:r>
        <w:rPr>
          <w:kern w:val="0"/>
          <w:sz w:val="24"/>
          <w:lang w:bidi="ar"/>
        </w:rPr>
        <w:t>不得穿戴钉鞋，不得带打火机、火柴。管理人员、操作人员必须配备可靠的个人安全防护用品，并执行持证上岗制。</w:t>
      </w:r>
    </w:p>
    <w:p w14:paraId="75ADED53" w14:textId="77777777" w:rsidR="00B14D53" w:rsidRDefault="00000000">
      <w:pPr>
        <w:widowControl/>
        <w:spacing w:line="360" w:lineRule="auto"/>
        <w:ind w:firstLineChars="200" w:firstLine="480"/>
        <w:rPr>
          <w:sz w:val="24"/>
        </w:rPr>
      </w:pPr>
      <w:r>
        <w:rPr>
          <w:kern w:val="0"/>
          <w:sz w:val="24"/>
          <w:lang w:bidi="ar"/>
        </w:rPr>
        <w:t>（</w:t>
      </w:r>
      <w:r>
        <w:rPr>
          <w:rFonts w:hint="eastAsia"/>
          <w:kern w:val="0"/>
          <w:sz w:val="24"/>
          <w:lang w:bidi="ar"/>
        </w:rPr>
        <w:t>6</w:t>
      </w:r>
      <w:r>
        <w:rPr>
          <w:kern w:val="0"/>
          <w:sz w:val="24"/>
          <w:lang w:bidi="ar"/>
        </w:rPr>
        <w:t>）加强用设备管理和维护，严格杜绝跑、冒、滴、漏现象的发生，采取防火、防爆、防雷击措施，配备报警和消防器材、通讯工具，一旦发生火情及时报警和扑救。</w:t>
      </w:r>
    </w:p>
    <w:p w14:paraId="2C767FB1" w14:textId="77777777" w:rsidR="00B14D53" w:rsidRDefault="00000000">
      <w:pPr>
        <w:widowControl/>
        <w:spacing w:line="360" w:lineRule="auto"/>
        <w:ind w:firstLineChars="200" w:firstLine="480"/>
        <w:rPr>
          <w:sz w:val="24"/>
        </w:rPr>
      </w:pPr>
      <w:r>
        <w:rPr>
          <w:kern w:val="0"/>
          <w:sz w:val="24"/>
          <w:lang w:bidi="ar"/>
        </w:rPr>
        <w:t>（</w:t>
      </w:r>
      <w:r>
        <w:rPr>
          <w:rFonts w:hint="eastAsia"/>
          <w:kern w:val="0"/>
          <w:sz w:val="24"/>
          <w:lang w:bidi="ar"/>
        </w:rPr>
        <w:t>7</w:t>
      </w:r>
      <w:r>
        <w:rPr>
          <w:kern w:val="0"/>
          <w:sz w:val="24"/>
          <w:lang w:bidi="ar"/>
        </w:rPr>
        <w:t>）采取分区防渗措施，防止物料、污水、危险废物等泄漏污染地下水。在</w:t>
      </w:r>
      <w:r>
        <w:rPr>
          <w:rFonts w:hint="eastAsia"/>
          <w:kern w:val="0"/>
          <w:sz w:val="24"/>
          <w:lang w:bidi="ar"/>
        </w:rPr>
        <w:t>厂内设置</w:t>
      </w:r>
      <w:r>
        <w:rPr>
          <w:kern w:val="0"/>
          <w:sz w:val="24"/>
          <w:lang w:bidi="ar"/>
        </w:rPr>
        <w:t>设置</w:t>
      </w:r>
      <w:r>
        <w:rPr>
          <w:rFonts w:hint="eastAsia"/>
          <w:kern w:val="0"/>
          <w:sz w:val="24"/>
          <w:lang w:bidi="ar"/>
        </w:rPr>
        <w:t>3</w:t>
      </w:r>
      <w:r>
        <w:rPr>
          <w:kern w:val="0"/>
          <w:sz w:val="24"/>
          <w:lang w:bidi="ar"/>
        </w:rPr>
        <w:t>个地下水跟踪监测井，一旦发现监测水质发生变化，立即停止生产，并采取补救措施。</w:t>
      </w:r>
    </w:p>
    <w:p w14:paraId="590D6A90" w14:textId="77777777" w:rsidR="00B14D53" w:rsidRDefault="00000000">
      <w:pPr>
        <w:widowControl/>
        <w:spacing w:line="360" w:lineRule="auto"/>
        <w:ind w:firstLineChars="200" w:firstLine="480"/>
        <w:rPr>
          <w:sz w:val="24"/>
        </w:rPr>
      </w:pPr>
      <w:r>
        <w:rPr>
          <w:kern w:val="0"/>
          <w:sz w:val="24"/>
          <w:lang w:bidi="ar"/>
        </w:rPr>
        <w:t>（</w:t>
      </w:r>
      <w:r>
        <w:rPr>
          <w:rFonts w:hint="eastAsia"/>
          <w:kern w:val="0"/>
          <w:sz w:val="24"/>
          <w:lang w:bidi="ar"/>
        </w:rPr>
        <w:t>8</w:t>
      </w:r>
      <w:r>
        <w:rPr>
          <w:kern w:val="0"/>
          <w:sz w:val="24"/>
          <w:lang w:bidi="ar"/>
        </w:rPr>
        <w:t>）加强废水、废气污染防治设施的运行管理和维护，确保设施正常运行，并配备足够的备件、药剂；建立严格的操作规程，加强操作管理，防止错误操作引起的超标排放。恶臭治理活性炭吸附效果下降时，及时更换活性炭。</w:t>
      </w:r>
    </w:p>
    <w:p w14:paraId="72BDF82B" w14:textId="77777777" w:rsidR="00B14D53" w:rsidRDefault="00000000">
      <w:pPr>
        <w:widowControl/>
        <w:spacing w:line="360" w:lineRule="auto"/>
        <w:ind w:firstLineChars="200" w:firstLine="480"/>
        <w:rPr>
          <w:sz w:val="24"/>
        </w:rPr>
      </w:pPr>
      <w:r>
        <w:rPr>
          <w:kern w:val="0"/>
          <w:sz w:val="24"/>
          <w:lang w:bidi="ar"/>
        </w:rPr>
        <w:t>（</w:t>
      </w:r>
      <w:r>
        <w:rPr>
          <w:rFonts w:hint="eastAsia"/>
          <w:kern w:val="0"/>
          <w:sz w:val="24"/>
          <w:lang w:bidi="ar"/>
        </w:rPr>
        <w:t>9</w:t>
      </w:r>
      <w:r>
        <w:rPr>
          <w:kern w:val="0"/>
          <w:sz w:val="24"/>
          <w:lang w:bidi="ar"/>
        </w:rPr>
        <w:t>）严格落实固体废物污染防治措施，不得擅自倾倒、堆放、丢弃、遗撒固体废物。</w:t>
      </w:r>
    </w:p>
    <w:p w14:paraId="7CE66C00" w14:textId="77777777" w:rsidR="00B14D53" w:rsidRDefault="00000000">
      <w:pPr>
        <w:widowControl/>
        <w:spacing w:line="360" w:lineRule="auto"/>
        <w:ind w:firstLineChars="200" w:firstLine="480"/>
        <w:rPr>
          <w:sz w:val="24"/>
        </w:rPr>
      </w:pPr>
      <w:r>
        <w:rPr>
          <w:kern w:val="0"/>
          <w:sz w:val="24"/>
          <w:lang w:bidi="ar"/>
        </w:rPr>
        <w:t>（</w:t>
      </w:r>
      <w:r>
        <w:rPr>
          <w:kern w:val="0"/>
          <w:sz w:val="24"/>
          <w:lang w:bidi="ar"/>
        </w:rPr>
        <w:t>1</w:t>
      </w:r>
      <w:r>
        <w:rPr>
          <w:rFonts w:hint="eastAsia"/>
          <w:kern w:val="0"/>
          <w:sz w:val="24"/>
          <w:lang w:bidi="ar"/>
        </w:rPr>
        <w:t>0</w:t>
      </w:r>
      <w:r>
        <w:rPr>
          <w:kern w:val="0"/>
          <w:sz w:val="24"/>
          <w:lang w:bidi="ar"/>
        </w:rPr>
        <w:t>）制定环境风险应急预案，明确风险管理应急组织机构组成及其职责实施事故应急处理分级责任制，落实责任人，并建立应对事故的机制和措施；定期进行应急预案演练，对于应急演练中发现的不完善之处，及时进行改进。</w:t>
      </w:r>
    </w:p>
    <w:p w14:paraId="2ECA28DF" w14:textId="77777777" w:rsidR="00B14D53" w:rsidRDefault="00000000">
      <w:pPr>
        <w:widowControl/>
        <w:spacing w:line="360" w:lineRule="auto"/>
        <w:ind w:firstLineChars="200" w:firstLine="480"/>
        <w:rPr>
          <w:sz w:val="24"/>
        </w:rPr>
      </w:pPr>
      <w:r>
        <w:rPr>
          <w:kern w:val="0"/>
          <w:sz w:val="24"/>
          <w:lang w:bidi="ar"/>
        </w:rPr>
        <w:t>（</w:t>
      </w:r>
      <w:r>
        <w:rPr>
          <w:kern w:val="0"/>
          <w:sz w:val="24"/>
          <w:lang w:bidi="ar"/>
        </w:rPr>
        <w:t>11</w:t>
      </w:r>
      <w:r>
        <w:rPr>
          <w:kern w:val="0"/>
          <w:sz w:val="24"/>
          <w:lang w:bidi="ar"/>
        </w:rPr>
        <w:t>）做好事故的应急支援与保障工作；针对环境污染事故的影响特点，建立完善的后期处理机制，妥善安排，降低事故发生时的影响范围，防止次生</w:t>
      </w:r>
      <w:r>
        <w:rPr>
          <w:kern w:val="0"/>
          <w:sz w:val="24"/>
          <w:lang w:bidi="ar"/>
        </w:rPr>
        <w:t>/</w:t>
      </w:r>
      <w:r>
        <w:rPr>
          <w:kern w:val="0"/>
          <w:sz w:val="24"/>
          <w:lang w:bidi="ar"/>
        </w:rPr>
        <w:t>伴生事故发生。</w:t>
      </w:r>
    </w:p>
    <w:p w14:paraId="1C8ECA02"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280" w:name="_Toc10688"/>
      <w:bookmarkStart w:id="281" w:name="_Toc18310"/>
      <w:bookmarkStart w:id="282" w:name="_Toc21080"/>
      <w:bookmarkStart w:id="283" w:name="_Toc25694"/>
      <w:r>
        <w:rPr>
          <w:rFonts w:ascii="Times New Roman" w:eastAsia="黑体" w:hAnsi="Times New Roman" w:cs="Times New Roman"/>
          <w:bCs/>
          <w:sz w:val="28"/>
          <w:szCs w:val="28"/>
          <w:lang w:val="zh-CN"/>
        </w:rPr>
        <w:t>6.</w:t>
      </w:r>
      <w:r>
        <w:rPr>
          <w:rFonts w:ascii="Times New Roman" w:eastAsia="黑体" w:hAnsi="Times New Roman" w:cs="Times New Roman" w:hint="eastAsia"/>
          <w:bCs/>
          <w:sz w:val="28"/>
          <w:szCs w:val="28"/>
        </w:rPr>
        <w:t>3</w:t>
      </w:r>
      <w:r>
        <w:rPr>
          <w:rFonts w:ascii="Times New Roman" w:eastAsia="黑体" w:hAnsi="Times New Roman" w:cs="Times New Roman"/>
          <w:bCs/>
          <w:sz w:val="28"/>
          <w:szCs w:val="28"/>
          <w:lang w:val="zh-CN"/>
        </w:rPr>
        <w:t>.</w:t>
      </w:r>
      <w:r>
        <w:rPr>
          <w:rFonts w:ascii="Times New Roman" w:eastAsia="黑体" w:hAnsi="Times New Roman" w:cs="Times New Roman" w:hint="eastAsia"/>
          <w:bCs/>
          <w:sz w:val="28"/>
          <w:szCs w:val="28"/>
        </w:rPr>
        <w:t>2</w:t>
      </w:r>
      <w:r>
        <w:rPr>
          <w:rFonts w:ascii="Times New Roman" w:eastAsia="黑体" w:hAnsi="Times New Roman" w:cs="Times New Roman" w:hint="eastAsia"/>
          <w:bCs/>
          <w:sz w:val="28"/>
          <w:szCs w:val="28"/>
        </w:rPr>
        <w:t>应急处置措施</w:t>
      </w:r>
    </w:p>
    <w:bookmarkEnd w:id="280"/>
    <w:bookmarkEnd w:id="281"/>
    <w:bookmarkEnd w:id="282"/>
    <w:bookmarkEnd w:id="283"/>
    <w:p w14:paraId="2CE85DC8" w14:textId="77777777" w:rsidR="00B14D53" w:rsidRDefault="00000000">
      <w:pPr>
        <w:widowControl/>
        <w:spacing w:line="360" w:lineRule="auto"/>
        <w:ind w:firstLineChars="200" w:firstLine="480"/>
        <w:rPr>
          <w:bCs/>
          <w:sz w:val="24"/>
        </w:rPr>
      </w:pPr>
      <w:r>
        <w:rPr>
          <w:bCs/>
          <w:kern w:val="0"/>
          <w:sz w:val="24"/>
          <w:lang w:bidi="ar"/>
        </w:rPr>
        <w:t>（</w:t>
      </w:r>
      <w:r>
        <w:rPr>
          <w:bCs/>
          <w:kern w:val="0"/>
          <w:sz w:val="24"/>
          <w:lang w:bidi="ar"/>
        </w:rPr>
        <w:t>1</w:t>
      </w:r>
      <w:r>
        <w:rPr>
          <w:bCs/>
          <w:kern w:val="0"/>
          <w:sz w:val="24"/>
          <w:lang w:bidi="ar"/>
        </w:rPr>
        <w:t>）次氯酸钠</w:t>
      </w:r>
      <w:r>
        <w:rPr>
          <w:rFonts w:hint="eastAsia"/>
          <w:bCs/>
          <w:kern w:val="0"/>
          <w:sz w:val="24"/>
          <w:lang w:bidi="ar"/>
        </w:rPr>
        <w:t>为粉状袋装避光存储，一般不会泄露污染环境，加药过程如发生泄露</w:t>
      </w:r>
      <w:r>
        <w:rPr>
          <w:bCs/>
          <w:kern w:val="0"/>
          <w:sz w:val="24"/>
          <w:lang w:bidi="ar"/>
        </w:rPr>
        <w:t>，可采用不燃材料混合吸收；</w:t>
      </w:r>
    </w:p>
    <w:p w14:paraId="69629E31" w14:textId="77777777" w:rsidR="00B14D53" w:rsidRDefault="00000000">
      <w:pPr>
        <w:widowControl/>
        <w:spacing w:line="360" w:lineRule="auto"/>
        <w:ind w:firstLineChars="200" w:firstLine="480"/>
        <w:rPr>
          <w:bCs/>
          <w:sz w:val="24"/>
        </w:rPr>
      </w:pPr>
      <w:r>
        <w:rPr>
          <w:bCs/>
          <w:kern w:val="0"/>
          <w:sz w:val="24"/>
          <w:lang w:bidi="ar"/>
        </w:rPr>
        <w:t>（</w:t>
      </w:r>
      <w:r>
        <w:rPr>
          <w:bCs/>
          <w:kern w:val="0"/>
          <w:sz w:val="24"/>
          <w:lang w:bidi="ar"/>
        </w:rPr>
        <w:t>2</w:t>
      </w:r>
      <w:r>
        <w:rPr>
          <w:bCs/>
          <w:kern w:val="0"/>
          <w:sz w:val="24"/>
          <w:lang w:bidi="ar"/>
        </w:rPr>
        <w:t>）一旦发生火灾事故，灾情轻、完全可以控制的，当事人应马上进行扑救。一旦火灾有蔓延的苗头，不能控制时，要及时切断电源，拨打火警电话</w:t>
      </w:r>
      <w:r>
        <w:rPr>
          <w:bCs/>
          <w:kern w:val="0"/>
          <w:sz w:val="24"/>
          <w:lang w:bidi="ar"/>
        </w:rPr>
        <w:t>119</w:t>
      </w:r>
      <w:r>
        <w:rPr>
          <w:bCs/>
          <w:kern w:val="0"/>
          <w:sz w:val="24"/>
          <w:lang w:bidi="ar"/>
        </w:rPr>
        <w:t>通知消防人员灭火。消防废水应导入事故池，构筑临时围堤，将消防废水控制在厂区内。</w:t>
      </w:r>
    </w:p>
    <w:p w14:paraId="075BA428" w14:textId="77777777" w:rsidR="00B14D53" w:rsidRDefault="00000000">
      <w:pPr>
        <w:widowControl/>
        <w:spacing w:line="360" w:lineRule="auto"/>
        <w:ind w:firstLineChars="200" w:firstLine="480"/>
        <w:rPr>
          <w:bCs/>
          <w:kern w:val="0"/>
          <w:sz w:val="24"/>
          <w:lang w:val="zh-CN" w:bidi="ar"/>
        </w:rPr>
      </w:pPr>
      <w:r>
        <w:rPr>
          <w:bCs/>
          <w:kern w:val="0"/>
          <w:sz w:val="24"/>
          <w:lang w:bidi="ar"/>
        </w:rPr>
        <w:t>（</w:t>
      </w:r>
      <w:r>
        <w:rPr>
          <w:bCs/>
          <w:kern w:val="0"/>
          <w:sz w:val="24"/>
          <w:lang w:bidi="ar"/>
        </w:rPr>
        <w:t>3</w:t>
      </w:r>
      <w:r>
        <w:rPr>
          <w:bCs/>
          <w:kern w:val="0"/>
          <w:sz w:val="24"/>
          <w:lang w:bidi="ar"/>
        </w:rPr>
        <w:t>）污水处理装置、恶臭收集治理系统发生故障时，应立即组织抢修改、及时恢复装置正常运行。对于废水，当不能达标排放时，废水先排入事故池，待污水处理站运行正常后分批返回处理达到排放标准再排放，必要时停止生产。</w:t>
      </w:r>
    </w:p>
    <w:p w14:paraId="61B54AA7" w14:textId="77777777" w:rsidR="00B14D53" w:rsidRDefault="00000000">
      <w:pPr>
        <w:widowControl/>
        <w:spacing w:line="360" w:lineRule="auto"/>
        <w:ind w:firstLineChars="200" w:firstLine="480"/>
        <w:rPr>
          <w:bCs/>
          <w:kern w:val="0"/>
          <w:sz w:val="24"/>
          <w:lang w:bidi="ar"/>
        </w:rPr>
      </w:pPr>
      <w:r>
        <w:rPr>
          <w:bCs/>
          <w:kern w:val="0"/>
          <w:sz w:val="24"/>
          <w:lang w:bidi="ar"/>
        </w:rPr>
        <w:t>本项目环境风险事故主要为污水泄漏风险、化学品泄漏风险，建设单位运营过程中应从多方面积极采取防护措施，制订环境突发事故应急预案，一旦突发环境风险事故，立即按应急预案提到的紧急处理、救援、监测方案等进行紧急救援，项目可以有效的防范风险事故发生或对事故的发生进行有效处置，项目发生的环境风险可以控制在较低水平。</w:t>
      </w:r>
    </w:p>
    <w:p w14:paraId="02FDC462" w14:textId="77777777" w:rsidR="00B14D53" w:rsidRDefault="00000000">
      <w:pPr>
        <w:widowControl/>
        <w:spacing w:line="360" w:lineRule="auto"/>
        <w:ind w:firstLineChars="200" w:firstLine="480"/>
        <w:rPr>
          <w:bCs/>
          <w:sz w:val="24"/>
        </w:rPr>
      </w:pPr>
      <w:r>
        <w:rPr>
          <w:bCs/>
          <w:kern w:val="0"/>
          <w:sz w:val="24"/>
          <w:lang w:bidi="ar"/>
        </w:rPr>
        <w:t>综上所述，建设项目的事故风险处于可接受水平。本工程建设从环境风险角度分析是可行的。</w:t>
      </w:r>
    </w:p>
    <w:p w14:paraId="5C63A3AA"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sz w:val="30"/>
          <w:szCs w:val="30"/>
        </w:rPr>
      </w:pPr>
      <w:bookmarkStart w:id="284" w:name="_Toc527121414"/>
      <w:bookmarkStart w:id="285" w:name="_Toc480447676"/>
      <w:bookmarkStart w:id="286" w:name="_Toc6531"/>
      <w:bookmarkStart w:id="287" w:name="_Toc15991705"/>
      <w:r>
        <w:rPr>
          <w:rFonts w:ascii="Times New Roman" w:eastAsia="黑体" w:hAnsi="Times New Roman" w:cs="Times New Roman"/>
          <w:b w:val="0"/>
          <w:sz w:val="30"/>
          <w:szCs w:val="30"/>
        </w:rPr>
        <w:t>6.4</w:t>
      </w:r>
      <w:r>
        <w:rPr>
          <w:rFonts w:ascii="Times New Roman" w:eastAsia="黑体" w:hAnsi="Times New Roman" w:cs="Times New Roman"/>
          <w:b w:val="0"/>
          <w:sz w:val="30"/>
          <w:szCs w:val="30"/>
        </w:rPr>
        <w:t>环境保护投资估算</w:t>
      </w:r>
      <w:bookmarkEnd w:id="284"/>
      <w:bookmarkEnd w:id="285"/>
      <w:bookmarkEnd w:id="286"/>
      <w:bookmarkEnd w:id="287"/>
    </w:p>
    <w:p w14:paraId="758A9636" w14:textId="77777777" w:rsidR="00B14D53" w:rsidRDefault="00000000">
      <w:pPr>
        <w:spacing w:line="360" w:lineRule="auto"/>
        <w:contextualSpacing/>
        <w:rPr>
          <w:rFonts w:eastAsiaTheme="minorEastAsia"/>
          <w:snapToGrid w:val="0"/>
          <w:kern w:val="0"/>
          <w:sz w:val="24"/>
        </w:rPr>
      </w:pPr>
      <w:r>
        <w:rPr>
          <w:rFonts w:eastAsiaTheme="minorEastAsia" w:hAnsiTheme="minorEastAsia"/>
          <w:snapToGrid w:val="0"/>
          <w:kern w:val="0"/>
          <w:sz w:val="24"/>
        </w:rPr>
        <w:t>环保投资</w:t>
      </w:r>
      <w:r>
        <w:rPr>
          <w:rFonts w:eastAsiaTheme="minorEastAsia" w:hAnsiTheme="minorEastAsia" w:hint="eastAsia"/>
          <w:snapToGrid w:val="0"/>
          <w:kern w:val="0"/>
          <w:sz w:val="24"/>
        </w:rPr>
        <w:t>比例</w:t>
      </w:r>
      <w:r>
        <w:rPr>
          <w:rFonts w:eastAsiaTheme="minorEastAsia" w:hAnsiTheme="minorEastAsia"/>
          <w:snapToGrid w:val="0"/>
          <w:kern w:val="0"/>
          <w:sz w:val="24"/>
        </w:rPr>
        <w:t>按下式计算：</w:t>
      </w:r>
    </w:p>
    <w:p w14:paraId="60B18436" w14:textId="77777777" w:rsidR="00B14D53" w:rsidRDefault="00000000">
      <w:pPr>
        <w:jc w:val="center"/>
        <w:rPr>
          <w:rFonts w:eastAsiaTheme="minorEastAsia"/>
          <w:snapToGrid w:val="0"/>
          <w:kern w:val="0"/>
          <w:sz w:val="24"/>
        </w:rPr>
      </w:pPr>
      <w:r>
        <w:rPr>
          <w:rFonts w:eastAsiaTheme="minorEastAsia"/>
          <w:noProof/>
          <w:kern w:val="0"/>
          <w:sz w:val="24"/>
        </w:rPr>
        <w:drawing>
          <wp:inline distT="0" distB="0" distL="0" distR="0" wp14:anchorId="68EBF167" wp14:editId="3E98EF49">
            <wp:extent cx="1132840" cy="409575"/>
            <wp:effectExtent l="19050" t="0" r="0" b="0"/>
            <wp:docPr id="26"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1"/>
                    <pic:cNvPicPr>
                      <a:picLocks noChangeAspect="1" noChangeArrowheads="1"/>
                    </pic:cNvPicPr>
                  </pic:nvPicPr>
                  <pic:blipFill>
                    <a:blip r:embed="rId77" cstate="print"/>
                    <a:srcRect/>
                    <a:stretch>
                      <a:fillRect/>
                    </a:stretch>
                  </pic:blipFill>
                  <pic:spPr>
                    <a:xfrm>
                      <a:off x="0" y="0"/>
                      <a:ext cx="1132840" cy="409575"/>
                    </a:xfrm>
                    <a:prstGeom prst="rect">
                      <a:avLst/>
                    </a:prstGeom>
                    <a:noFill/>
                    <a:ln w="9525">
                      <a:noFill/>
                      <a:miter lim="800000"/>
                      <a:headEnd/>
                      <a:tailEnd/>
                    </a:ln>
                  </pic:spPr>
                </pic:pic>
              </a:graphicData>
            </a:graphic>
          </wp:inline>
        </w:drawing>
      </w:r>
    </w:p>
    <w:p w14:paraId="1529E95B" w14:textId="77777777" w:rsidR="00B14D53" w:rsidRDefault="00000000">
      <w:pPr>
        <w:spacing w:line="360" w:lineRule="auto"/>
        <w:rPr>
          <w:rFonts w:eastAsiaTheme="minorEastAsia"/>
          <w:snapToGrid w:val="0"/>
          <w:kern w:val="0"/>
          <w:sz w:val="24"/>
        </w:rPr>
      </w:pPr>
      <w:r>
        <w:rPr>
          <w:rFonts w:eastAsiaTheme="minorEastAsia" w:hAnsiTheme="minorEastAsia"/>
          <w:snapToGrid w:val="0"/>
          <w:kern w:val="0"/>
          <w:sz w:val="24"/>
        </w:rPr>
        <w:t>式中：</w:t>
      </w:r>
      <w:r>
        <w:rPr>
          <w:rFonts w:eastAsiaTheme="minorEastAsia"/>
          <w:i/>
          <w:snapToGrid w:val="0"/>
          <w:kern w:val="0"/>
          <w:sz w:val="24"/>
        </w:rPr>
        <w:t>HJ</w:t>
      </w:r>
      <w:r>
        <w:rPr>
          <w:rFonts w:eastAsiaTheme="minorEastAsia"/>
          <w:snapToGrid w:val="0"/>
          <w:kern w:val="0"/>
          <w:sz w:val="24"/>
        </w:rPr>
        <w:t>—</w:t>
      </w:r>
      <w:r>
        <w:rPr>
          <w:rFonts w:eastAsiaTheme="minorEastAsia" w:hAnsiTheme="minorEastAsia"/>
          <w:snapToGrid w:val="0"/>
          <w:kern w:val="0"/>
          <w:sz w:val="24"/>
        </w:rPr>
        <w:t>环保费用投资比，</w:t>
      </w:r>
      <w:r>
        <w:rPr>
          <w:rFonts w:eastAsiaTheme="minorEastAsia"/>
          <w:snapToGrid w:val="0"/>
          <w:kern w:val="0"/>
          <w:sz w:val="24"/>
        </w:rPr>
        <w:t>100</w:t>
      </w:r>
      <w:r>
        <w:rPr>
          <w:rFonts w:eastAsiaTheme="minorEastAsia" w:hAnsiTheme="minorEastAsia"/>
          <w:snapToGrid w:val="0"/>
          <w:kern w:val="0"/>
          <w:sz w:val="24"/>
        </w:rPr>
        <w:t>％；</w:t>
      </w:r>
    </w:p>
    <w:p w14:paraId="03EA0474" w14:textId="77777777" w:rsidR="00B14D53" w:rsidRDefault="00000000">
      <w:pPr>
        <w:spacing w:line="360" w:lineRule="auto"/>
        <w:rPr>
          <w:rFonts w:eastAsiaTheme="minorEastAsia"/>
          <w:snapToGrid w:val="0"/>
          <w:kern w:val="0"/>
          <w:sz w:val="24"/>
        </w:rPr>
      </w:pPr>
      <w:r>
        <w:rPr>
          <w:rFonts w:eastAsiaTheme="minorEastAsia"/>
          <w:snapToGrid w:val="0"/>
          <w:kern w:val="0"/>
          <w:sz w:val="24"/>
        </w:rPr>
        <w:t xml:space="preserve">      </w:t>
      </w:r>
      <w:r>
        <w:rPr>
          <w:rFonts w:eastAsiaTheme="minorEastAsia"/>
          <w:i/>
          <w:snapToGrid w:val="0"/>
          <w:kern w:val="0"/>
          <w:sz w:val="24"/>
        </w:rPr>
        <w:t>HT</w:t>
      </w:r>
      <w:r>
        <w:rPr>
          <w:rFonts w:eastAsiaTheme="minorEastAsia"/>
          <w:snapToGrid w:val="0"/>
          <w:kern w:val="0"/>
          <w:sz w:val="24"/>
        </w:rPr>
        <w:t>—</w:t>
      </w:r>
      <w:r>
        <w:rPr>
          <w:rFonts w:eastAsiaTheme="minorEastAsia" w:hAnsiTheme="minorEastAsia"/>
          <w:snapToGrid w:val="0"/>
          <w:kern w:val="0"/>
          <w:sz w:val="24"/>
        </w:rPr>
        <w:t>环保投资，万元；</w:t>
      </w:r>
    </w:p>
    <w:p w14:paraId="43B9990D" w14:textId="77777777" w:rsidR="00B14D53" w:rsidRDefault="00000000">
      <w:pPr>
        <w:spacing w:line="360" w:lineRule="auto"/>
        <w:rPr>
          <w:rFonts w:eastAsiaTheme="minorEastAsia"/>
          <w:snapToGrid w:val="0"/>
          <w:kern w:val="0"/>
          <w:sz w:val="24"/>
        </w:rPr>
      </w:pPr>
      <w:r>
        <w:rPr>
          <w:rFonts w:eastAsiaTheme="minorEastAsia"/>
          <w:snapToGrid w:val="0"/>
          <w:kern w:val="0"/>
          <w:sz w:val="24"/>
        </w:rPr>
        <w:t xml:space="preserve">      </w:t>
      </w:r>
      <w:r>
        <w:rPr>
          <w:rFonts w:eastAsiaTheme="minorEastAsia"/>
          <w:i/>
          <w:snapToGrid w:val="0"/>
          <w:kern w:val="0"/>
          <w:sz w:val="24"/>
        </w:rPr>
        <w:t>JI</w:t>
      </w:r>
      <w:r>
        <w:rPr>
          <w:rFonts w:eastAsiaTheme="minorEastAsia"/>
          <w:snapToGrid w:val="0"/>
          <w:kern w:val="0"/>
          <w:sz w:val="24"/>
        </w:rPr>
        <w:t>—</w:t>
      </w:r>
      <w:r>
        <w:rPr>
          <w:rFonts w:eastAsiaTheme="minorEastAsia" w:hAnsiTheme="minorEastAsia"/>
          <w:snapToGrid w:val="0"/>
          <w:kern w:val="0"/>
          <w:sz w:val="24"/>
        </w:rPr>
        <w:t>项目总投资，万元。</w:t>
      </w:r>
    </w:p>
    <w:p w14:paraId="4231696E" w14:textId="77777777" w:rsidR="00B14D53" w:rsidRDefault="00000000">
      <w:pPr>
        <w:spacing w:line="360" w:lineRule="auto"/>
        <w:ind w:firstLineChars="200" w:firstLine="480"/>
        <w:rPr>
          <w:rFonts w:eastAsiaTheme="minorEastAsia" w:hAnsiTheme="minorEastAsia" w:hint="eastAsia"/>
          <w:snapToGrid w:val="0"/>
          <w:kern w:val="0"/>
          <w:sz w:val="24"/>
        </w:rPr>
      </w:pPr>
      <w:r>
        <w:rPr>
          <w:rFonts w:eastAsiaTheme="minorEastAsia" w:hAnsiTheme="minorEastAsia"/>
          <w:snapToGrid w:val="0"/>
          <w:kern w:val="0"/>
          <w:sz w:val="24"/>
        </w:rPr>
        <w:t>根据工程分析和环境影响预测及评价结果，本项目产生的污水、固废、臭气、噪声等对周围环境将会产生一定的影响，因此，必须采取相应的环境保护措施加以控制，并保证相应环保投资的投入，以使项目建成后生产过程中产生的各类污染物对周围环境的影响降低到最小程度。根据初步估算，本项目的环保投资见表</w:t>
      </w:r>
      <w:r>
        <w:rPr>
          <w:rFonts w:eastAsiaTheme="minorEastAsia"/>
          <w:snapToGrid w:val="0"/>
          <w:kern w:val="0"/>
          <w:sz w:val="24"/>
        </w:rPr>
        <w:t>6-4-1</w:t>
      </w:r>
      <w:r>
        <w:rPr>
          <w:rFonts w:eastAsiaTheme="minorEastAsia" w:hAnsiTheme="minorEastAsia"/>
          <w:snapToGrid w:val="0"/>
          <w:kern w:val="0"/>
          <w:sz w:val="24"/>
        </w:rPr>
        <w:t>。</w:t>
      </w:r>
    </w:p>
    <w:p w14:paraId="7CA67567" w14:textId="77777777" w:rsidR="00B14D53" w:rsidRDefault="00000000">
      <w:pPr>
        <w:spacing w:line="360" w:lineRule="auto"/>
        <w:ind w:firstLineChars="200" w:firstLine="480"/>
        <w:rPr>
          <w:rFonts w:eastAsiaTheme="minorEastAsia"/>
          <w:snapToGrid w:val="0"/>
          <w:kern w:val="0"/>
        </w:rPr>
      </w:pPr>
      <w:bookmarkStart w:id="288" w:name="_Hlk480428871"/>
      <w:r>
        <w:rPr>
          <w:rFonts w:eastAsiaTheme="minorEastAsia" w:hAnsiTheme="minorEastAsia"/>
          <w:snapToGrid w:val="0"/>
          <w:kern w:val="0"/>
          <w:sz w:val="24"/>
        </w:rPr>
        <w:t>本工程总投资为</w:t>
      </w:r>
      <w:r>
        <w:rPr>
          <w:rFonts w:eastAsiaTheme="minorEastAsia" w:hint="eastAsia"/>
          <w:snapToGrid w:val="0"/>
          <w:kern w:val="0"/>
          <w:sz w:val="24"/>
        </w:rPr>
        <w:t>7</w:t>
      </w:r>
      <w:r>
        <w:rPr>
          <w:rFonts w:eastAsiaTheme="minorEastAsia"/>
          <w:snapToGrid w:val="0"/>
          <w:kern w:val="0"/>
          <w:sz w:val="24"/>
        </w:rPr>
        <w:t>00</w:t>
      </w:r>
      <w:r>
        <w:rPr>
          <w:rFonts w:eastAsiaTheme="minorEastAsia"/>
          <w:snapToGrid w:val="0"/>
          <w:kern w:val="0"/>
          <w:sz w:val="24"/>
        </w:rPr>
        <w:t>万元</w:t>
      </w:r>
      <w:r>
        <w:rPr>
          <w:rFonts w:eastAsiaTheme="minorEastAsia" w:hAnsiTheme="minorEastAsia"/>
          <w:snapToGrid w:val="0"/>
          <w:kern w:val="0"/>
          <w:sz w:val="24"/>
        </w:rPr>
        <w:t>，环保投资估算为</w:t>
      </w:r>
      <w:r>
        <w:rPr>
          <w:rFonts w:eastAsiaTheme="minorEastAsia" w:hint="eastAsia"/>
          <w:snapToGrid w:val="0"/>
          <w:kern w:val="0"/>
          <w:sz w:val="24"/>
        </w:rPr>
        <w:t>106</w:t>
      </w:r>
      <w:r>
        <w:rPr>
          <w:rFonts w:eastAsiaTheme="minorEastAsia" w:hAnsiTheme="minorEastAsia"/>
          <w:snapToGrid w:val="0"/>
          <w:kern w:val="0"/>
          <w:sz w:val="24"/>
        </w:rPr>
        <w:t>万元，占总投资的</w:t>
      </w:r>
      <w:r>
        <w:rPr>
          <w:rFonts w:eastAsiaTheme="minorEastAsia" w:hint="eastAsia"/>
          <w:snapToGrid w:val="0"/>
          <w:kern w:val="0"/>
          <w:sz w:val="24"/>
        </w:rPr>
        <w:t>15.14</w:t>
      </w:r>
      <w:r>
        <w:rPr>
          <w:rFonts w:eastAsiaTheme="minorEastAsia"/>
          <w:snapToGrid w:val="0"/>
          <w:kern w:val="0"/>
          <w:sz w:val="24"/>
        </w:rPr>
        <w:t>%</w:t>
      </w:r>
      <w:r>
        <w:rPr>
          <w:rFonts w:eastAsiaTheme="minorEastAsia" w:hAnsiTheme="minorEastAsia"/>
          <w:snapToGrid w:val="0"/>
          <w:kern w:val="0"/>
          <w:sz w:val="24"/>
        </w:rPr>
        <w:t>。</w:t>
      </w:r>
    </w:p>
    <w:p w14:paraId="18F2E575" w14:textId="77777777" w:rsidR="00B14D53" w:rsidRDefault="00000000">
      <w:pPr>
        <w:jc w:val="center"/>
        <w:rPr>
          <w:b/>
          <w:bCs/>
          <w:lang w:val="zh-CN"/>
        </w:rPr>
      </w:pPr>
      <w:r>
        <w:rPr>
          <w:rFonts w:hint="eastAsia"/>
          <w:b/>
          <w:bCs/>
          <w:lang w:val="zh-CN"/>
        </w:rPr>
        <w:t>表</w:t>
      </w:r>
      <w:r>
        <w:rPr>
          <w:rFonts w:hint="eastAsia"/>
          <w:b/>
          <w:bCs/>
          <w:lang w:val="zh-CN"/>
        </w:rPr>
        <w:t xml:space="preserve">6-4-1 </w:t>
      </w:r>
      <w:r>
        <w:rPr>
          <w:rFonts w:hint="eastAsia"/>
          <w:b/>
          <w:bCs/>
          <w:lang w:val="zh-CN"/>
        </w:rPr>
        <w:t>环保投资明细表</w:t>
      </w:r>
    </w:p>
    <w:tbl>
      <w:tblPr>
        <w:tblW w:w="8613"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87"/>
        <w:gridCol w:w="1564"/>
        <w:gridCol w:w="5387"/>
        <w:gridCol w:w="1275"/>
      </w:tblGrid>
      <w:tr w:rsidR="00B14D53" w14:paraId="33D5FFEF" w14:textId="77777777">
        <w:tc>
          <w:tcPr>
            <w:tcW w:w="1951" w:type="dxa"/>
            <w:gridSpan w:val="2"/>
            <w:vAlign w:val="center"/>
          </w:tcPr>
          <w:p w14:paraId="395988DB"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项目</w:t>
            </w:r>
          </w:p>
        </w:tc>
        <w:tc>
          <w:tcPr>
            <w:tcW w:w="5387" w:type="dxa"/>
            <w:vAlign w:val="center"/>
          </w:tcPr>
          <w:p w14:paraId="3AE3FABF"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治理设施内容</w:t>
            </w:r>
          </w:p>
        </w:tc>
        <w:tc>
          <w:tcPr>
            <w:tcW w:w="1275" w:type="dxa"/>
            <w:vAlign w:val="center"/>
          </w:tcPr>
          <w:p w14:paraId="57174C46" w14:textId="77777777" w:rsidR="00B14D53" w:rsidRDefault="00000000">
            <w:pPr>
              <w:jc w:val="center"/>
              <w:rPr>
                <w:rFonts w:eastAsiaTheme="minorEastAsia"/>
                <w:b/>
                <w:bCs/>
                <w:snapToGrid w:val="0"/>
                <w:kern w:val="0"/>
                <w:lang w:val="zh-CN"/>
              </w:rPr>
            </w:pPr>
            <w:r>
              <w:rPr>
                <w:rFonts w:eastAsiaTheme="minorEastAsia" w:hAnsiTheme="minorEastAsia"/>
                <w:b/>
                <w:bCs/>
                <w:snapToGrid w:val="0"/>
                <w:kern w:val="0"/>
                <w:lang w:val="zh-CN"/>
              </w:rPr>
              <w:t>金额（万元）</w:t>
            </w:r>
          </w:p>
        </w:tc>
      </w:tr>
      <w:tr w:rsidR="00B14D53" w14:paraId="6A2EDA63" w14:textId="77777777">
        <w:tc>
          <w:tcPr>
            <w:tcW w:w="1951" w:type="dxa"/>
            <w:gridSpan w:val="2"/>
            <w:vMerge w:val="restart"/>
            <w:vAlign w:val="center"/>
          </w:tcPr>
          <w:p w14:paraId="33C839E2"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施工期</w:t>
            </w:r>
          </w:p>
        </w:tc>
        <w:tc>
          <w:tcPr>
            <w:tcW w:w="5387" w:type="dxa"/>
            <w:vAlign w:val="center"/>
          </w:tcPr>
          <w:p w14:paraId="23616693"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施工期设备减振措施</w:t>
            </w:r>
          </w:p>
        </w:tc>
        <w:tc>
          <w:tcPr>
            <w:tcW w:w="1275" w:type="dxa"/>
            <w:vAlign w:val="center"/>
          </w:tcPr>
          <w:p w14:paraId="6AA8D637" w14:textId="77777777" w:rsidR="00B14D53" w:rsidRDefault="00000000">
            <w:pPr>
              <w:jc w:val="center"/>
              <w:rPr>
                <w:rFonts w:eastAsiaTheme="minorEastAsia"/>
                <w:snapToGrid w:val="0"/>
                <w:kern w:val="0"/>
              </w:rPr>
            </w:pPr>
            <w:r>
              <w:rPr>
                <w:rFonts w:eastAsiaTheme="minorEastAsia" w:hint="eastAsia"/>
                <w:snapToGrid w:val="0"/>
                <w:kern w:val="0"/>
              </w:rPr>
              <w:t>0.2</w:t>
            </w:r>
          </w:p>
        </w:tc>
      </w:tr>
      <w:tr w:rsidR="00B14D53" w14:paraId="102BAEA8" w14:textId="77777777">
        <w:trPr>
          <w:trHeight w:val="224"/>
        </w:trPr>
        <w:tc>
          <w:tcPr>
            <w:tcW w:w="1951" w:type="dxa"/>
            <w:gridSpan w:val="2"/>
            <w:vMerge/>
            <w:vAlign w:val="center"/>
          </w:tcPr>
          <w:p w14:paraId="227D0313" w14:textId="77777777" w:rsidR="00B14D53" w:rsidRDefault="00B14D53">
            <w:pPr>
              <w:jc w:val="center"/>
              <w:rPr>
                <w:rFonts w:eastAsiaTheme="minorEastAsia"/>
                <w:snapToGrid w:val="0"/>
                <w:kern w:val="0"/>
                <w:lang w:val="zh-CN"/>
              </w:rPr>
            </w:pPr>
          </w:p>
        </w:tc>
        <w:tc>
          <w:tcPr>
            <w:tcW w:w="5387" w:type="dxa"/>
            <w:vAlign w:val="center"/>
          </w:tcPr>
          <w:p w14:paraId="30EBB417"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施工废水沉淀池、垃圾桶</w:t>
            </w:r>
          </w:p>
        </w:tc>
        <w:tc>
          <w:tcPr>
            <w:tcW w:w="1275" w:type="dxa"/>
            <w:vAlign w:val="center"/>
          </w:tcPr>
          <w:p w14:paraId="5D689512" w14:textId="77777777" w:rsidR="00B14D53" w:rsidRDefault="00000000">
            <w:pPr>
              <w:jc w:val="center"/>
              <w:rPr>
                <w:rFonts w:eastAsiaTheme="minorEastAsia"/>
                <w:snapToGrid w:val="0"/>
                <w:kern w:val="0"/>
              </w:rPr>
            </w:pPr>
            <w:r>
              <w:rPr>
                <w:rFonts w:eastAsiaTheme="minorEastAsia" w:hint="eastAsia"/>
                <w:snapToGrid w:val="0"/>
                <w:kern w:val="0"/>
              </w:rPr>
              <w:t>0.2</w:t>
            </w:r>
          </w:p>
        </w:tc>
      </w:tr>
      <w:tr w:rsidR="00B14D53" w14:paraId="4C12EEE7" w14:textId="77777777">
        <w:tc>
          <w:tcPr>
            <w:tcW w:w="1951" w:type="dxa"/>
            <w:gridSpan w:val="2"/>
            <w:vMerge/>
            <w:vAlign w:val="center"/>
          </w:tcPr>
          <w:p w14:paraId="76D811B5" w14:textId="77777777" w:rsidR="00B14D53" w:rsidRDefault="00B14D53">
            <w:pPr>
              <w:jc w:val="center"/>
              <w:rPr>
                <w:rFonts w:eastAsiaTheme="minorEastAsia"/>
                <w:snapToGrid w:val="0"/>
                <w:kern w:val="0"/>
                <w:lang w:val="zh-CN"/>
              </w:rPr>
            </w:pPr>
          </w:p>
        </w:tc>
        <w:tc>
          <w:tcPr>
            <w:tcW w:w="5387" w:type="dxa"/>
            <w:vAlign w:val="center"/>
          </w:tcPr>
          <w:p w14:paraId="5A2C532D"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施工材料苫盖、洒水抑尘措施</w:t>
            </w:r>
          </w:p>
        </w:tc>
        <w:tc>
          <w:tcPr>
            <w:tcW w:w="1275" w:type="dxa"/>
            <w:vAlign w:val="center"/>
          </w:tcPr>
          <w:p w14:paraId="717FBA17" w14:textId="77777777" w:rsidR="00B14D53" w:rsidRDefault="00000000">
            <w:pPr>
              <w:jc w:val="center"/>
              <w:rPr>
                <w:rFonts w:eastAsiaTheme="minorEastAsia"/>
                <w:snapToGrid w:val="0"/>
                <w:kern w:val="0"/>
              </w:rPr>
            </w:pPr>
            <w:r>
              <w:rPr>
                <w:rFonts w:eastAsiaTheme="minorEastAsia" w:hint="eastAsia"/>
                <w:snapToGrid w:val="0"/>
                <w:kern w:val="0"/>
              </w:rPr>
              <w:t>0.2</w:t>
            </w:r>
          </w:p>
        </w:tc>
      </w:tr>
      <w:tr w:rsidR="00B14D53" w14:paraId="2F160F36" w14:textId="77777777">
        <w:tc>
          <w:tcPr>
            <w:tcW w:w="1951" w:type="dxa"/>
            <w:gridSpan w:val="2"/>
            <w:vMerge/>
            <w:vAlign w:val="center"/>
          </w:tcPr>
          <w:p w14:paraId="0D63F926" w14:textId="77777777" w:rsidR="00B14D53" w:rsidRDefault="00B14D53">
            <w:pPr>
              <w:jc w:val="center"/>
              <w:rPr>
                <w:rFonts w:eastAsiaTheme="minorEastAsia"/>
                <w:snapToGrid w:val="0"/>
                <w:kern w:val="0"/>
                <w:lang w:val="zh-CN"/>
              </w:rPr>
            </w:pPr>
          </w:p>
        </w:tc>
        <w:tc>
          <w:tcPr>
            <w:tcW w:w="5387" w:type="dxa"/>
            <w:vAlign w:val="center"/>
          </w:tcPr>
          <w:p w14:paraId="4F59E97E" w14:textId="77777777" w:rsidR="00B14D53" w:rsidRDefault="00000000">
            <w:pPr>
              <w:jc w:val="center"/>
              <w:rPr>
                <w:rFonts w:eastAsiaTheme="minorEastAsia"/>
                <w:snapToGrid w:val="0"/>
                <w:kern w:val="0"/>
                <w:lang w:val="zh-CN"/>
              </w:rPr>
            </w:pPr>
            <w:r>
              <w:rPr>
                <w:rFonts w:eastAsiaTheme="minorEastAsia" w:hAnsiTheme="minorEastAsia"/>
                <w:snapToGrid w:val="0"/>
                <w:kern w:val="0"/>
              </w:rPr>
              <w:t>表土收集、覆土整地等工程措施；苫布临时遮盖；水土流失预防保护措施</w:t>
            </w:r>
          </w:p>
        </w:tc>
        <w:tc>
          <w:tcPr>
            <w:tcW w:w="1275" w:type="dxa"/>
            <w:vAlign w:val="center"/>
          </w:tcPr>
          <w:p w14:paraId="475F5393" w14:textId="77777777" w:rsidR="00B14D53" w:rsidRDefault="00000000">
            <w:pPr>
              <w:jc w:val="center"/>
              <w:rPr>
                <w:rFonts w:eastAsiaTheme="minorEastAsia"/>
                <w:snapToGrid w:val="0"/>
                <w:kern w:val="0"/>
              </w:rPr>
            </w:pPr>
            <w:r>
              <w:rPr>
                <w:rFonts w:eastAsiaTheme="minorEastAsia" w:hint="eastAsia"/>
                <w:snapToGrid w:val="0"/>
                <w:kern w:val="0"/>
              </w:rPr>
              <w:t>0.3</w:t>
            </w:r>
          </w:p>
        </w:tc>
      </w:tr>
      <w:tr w:rsidR="00B14D53" w14:paraId="24A9205B" w14:textId="77777777">
        <w:tc>
          <w:tcPr>
            <w:tcW w:w="387" w:type="dxa"/>
            <w:vMerge w:val="restart"/>
            <w:vAlign w:val="center"/>
          </w:tcPr>
          <w:p w14:paraId="7C52582A"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运营期</w:t>
            </w:r>
          </w:p>
        </w:tc>
        <w:tc>
          <w:tcPr>
            <w:tcW w:w="1564" w:type="dxa"/>
            <w:vAlign w:val="center"/>
          </w:tcPr>
          <w:p w14:paraId="7E0D4362"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废水治理</w:t>
            </w:r>
          </w:p>
        </w:tc>
        <w:tc>
          <w:tcPr>
            <w:tcW w:w="5387" w:type="dxa"/>
            <w:vAlign w:val="center"/>
          </w:tcPr>
          <w:p w14:paraId="5DDEF7D1" w14:textId="77777777" w:rsidR="00B14D53" w:rsidRDefault="00000000">
            <w:pPr>
              <w:jc w:val="center"/>
              <w:rPr>
                <w:rFonts w:eastAsiaTheme="minorEastAsia"/>
                <w:snapToGrid w:val="0"/>
                <w:kern w:val="0"/>
              </w:rPr>
            </w:pPr>
            <w:r>
              <w:rPr>
                <w:rFonts w:eastAsiaTheme="minorEastAsia" w:hAnsiTheme="minorEastAsia" w:hint="eastAsia"/>
                <w:snapToGrid w:val="0"/>
                <w:kern w:val="0"/>
              </w:rPr>
              <w:t>污水处理站及事故池</w:t>
            </w:r>
          </w:p>
        </w:tc>
        <w:tc>
          <w:tcPr>
            <w:tcW w:w="1275" w:type="dxa"/>
            <w:vAlign w:val="center"/>
          </w:tcPr>
          <w:p w14:paraId="4DD5F873" w14:textId="77777777" w:rsidR="00B14D53" w:rsidRDefault="00000000">
            <w:pPr>
              <w:jc w:val="center"/>
              <w:rPr>
                <w:rFonts w:eastAsiaTheme="minorEastAsia"/>
                <w:snapToGrid w:val="0"/>
                <w:kern w:val="0"/>
              </w:rPr>
            </w:pPr>
            <w:r>
              <w:rPr>
                <w:rFonts w:eastAsiaTheme="minorEastAsia" w:hint="eastAsia"/>
                <w:snapToGrid w:val="0"/>
                <w:kern w:val="0"/>
              </w:rPr>
              <w:t>35</w:t>
            </w:r>
          </w:p>
        </w:tc>
      </w:tr>
      <w:tr w:rsidR="00B14D53" w14:paraId="1C2AF5FE" w14:textId="77777777">
        <w:tc>
          <w:tcPr>
            <w:tcW w:w="387" w:type="dxa"/>
            <w:vMerge/>
            <w:vAlign w:val="center"/>
          </w:tcPr>
          <w:p w14:paraId="074B0EF7" w14:textId="77777777" w:rsidR="00B14D53" w:rsidRDefault="00B14D53">
            <w:pPr>
              <w:jc w:val="center"/>
              <w:rPr>
                <w:rFonts w:eastAsiaTheme="minorEastAsia"/>
                <w:snapToGrid w:val="0"/>
                <w:kern w:val="0"/>
                <w:lang w:val="zh-CN"/>
              </w:rPr>
            </w:pPr>
          </w:p>
        </w:tc>
        <w:tc>
          <w:tcPr>
            <w:tcW w:w="1564" w:type="dxa"/>
            <w:vAlign w:val="center"/>
          </w:tcPr>
          <w:p w14:paraId="6589CD47"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防渗工程</w:t>
            </w:r>
          </w:p>
        </w:tc>
        <w:tc>
          <w:tcPr>
            <w:tcW w:w="5387" w:type="dxa"/>
            <w:vAlign w:val="center"/>
          </w:tcPr>
          <w:p w14:paraId="72951BCB" w14:textId="77777777" w:rsidR="00B14D53" w:rsidRDefault="00000000">
            <w:pPr>
              <w:pStyle w:val="afff2"/>
              <w:spacing w:line="240" w:lineRule="auto"/>
              <w:jc w:val="both"/>
              <w:rPr>
                <w:rFonts w:eastAsiaTheme="minorEastAsia" w:hAnsi="Times New Roman"/>
              </w:rPr>
            </w:pPr>
            <w:r>
              <w:rPr>
                <w:rFonts w:eastAsiaTheme="minorEastAsia" w:hint="eastAsia"/>
              </w:rPr>
              <w:t>新增的隔离间、急宰间、污水处理站、事故池一般防渗；</w:t>
            </w:r>
            <w:r>
              <w:rPr>
                <w:rFonts w:eastAsiaTheme="minorEastAsia" w:hAnsi="Times New Roman" w:hint="eastAsia"/>
              </w:rPr>
              <w:t>危废贮存点</w:t>
            </w:r>
            <w:r>
              <w:rPr>
                <w:rFonts w:eastAsiaTheme="minorEastAsia" w:hint="eastAsia"/>
              </w:rPr>
              <w:t>重点防渗</w:t>
            </w:r>
          </w:p>
        </w:tc>
        <w:tc>
          <w:tcPr>
            <w:tcW w:w="1275" w:type="dxa"/>
            <w:vAlign w:val="center"/>
          </w:tcPr>
          <w:p w14:paraId="5D583660" w14:textId="77777777" w:rsidR="00B14D53" w:rsidRDefault="00000000">
            <w:pPr>
              <w:jc w:val="center"/>
              <w:rPr>
                <w:rFonts w:eastAsiaTheme="minorEastAsia"/>
                <w:snapToGrid w:val="0"/>
                <w:kern w:val="0"/>
              </w:rPr>
            </w:pPr>
            <w:r>
              <w:rPr>
                <w:rFonts w:eastAsiaTheme="minorEastAsia" w:hint="eastAsia"/>
                <w:snapToGrid w:val="0"/>
                <w:kern w:val="0"/>
              </w:rPr>
              <w:t>8</w:t>
            </w:r>
          </w:p>
        </w:tc>
      </w:tr>
      <w:tr w:rsidR="00B14D53" w14:paraId="7A6FF65D" w14:textId="77777777">
        <w:trPr>
          <w:trHeight w:val="456"/>
        </w:trPr>
        <w:tc>
          <w:tcPr>
            <w:tcW w:w="387" w:type="dxa"/>
            <w:vMerge/>
            <w:vAlign w:val="center"/>
          </w:tcPr>
          <w:p w14:paraId="372BC114" w14:textId="77777777" w:rsidR="00B14D53" w:rsidRDefault="00B14D53">
            <w:pPr>
              <w:jc w:val="center"/>
              <w:rPr>
                <w:rFonts w:eastAsiaTheme="minorEastAsia"/>
                <w:snapToGrid w:val="0"/>
                <w:kern w:val="0"/>
                <w:lang w:val="zh-CN"/>
              </w:rPr>
            </w:pPr>
          </w:p>
        </w:tc>
        <w:tc>
          <w:tcPr>
            <w:tcW w:w="1564" w:type="dxa"/>
            <w:vAlign w:val="center"/>
          </w:tcPr>
          <w:p w14:paraId="249AF1C3"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废气治理</w:t>
            </w:r>
          </w:p>
        </w:tc>
        <w:tc>
          <w:tcPr>
            <w:tcW w:w="5387" w:type="dxa"/>
            <w:vAlign w:val="center"/>
          </w:tcPr>
          <w:p w14:paraId="673982FB" w14:textId="77777777" w:rsidR="00B14D53" w:rsidRDefault="00000000">
            <w:pPr>
              <w:rPr>
                <w:rFonts w:eastAsiaTheme="minorEastAsia"/>
                <w:snapToGrid w:val="0"/>
                <w:kern w:val="0"/>
                <w:lang w:val="zh-CN"/>
              </w:rPr>
            </w:pPr>
            <w:r>
              <w:rPr>
                <w:snapToGrid w:val="0"/>
                <w:kern w:val="0"/>
                <w:szCs w:val="21"/>
                <w:lang w:val="zh-CN"/>
              </w:rPr>
              <w:t>活性炭吸附装置</w:t>
            </w:r>
            <w:r>
              <w:rPr>
                <w:rFonts w:hint="eastAsia"/>
                <w:snapToGrid w:val="0"/>
                <w:kern w:val="0"/>
                <w:szCs w:val="21"/>
              </w:rPr>
              <w:t>4</w:t>
            </w:r>
            <w:r>
              <w:rPr>
                <w:snapToGrid w:val="0"/>
                <w:kern w:val="0"/>
                <w:szCs w:val="21"/>
                <w:lang w:val="zh-CN"/>
              </w:rPr>
              <w:t>台、</w:t>
            </w:r>
            <w:r>
              <w:rPr>
                <w:snapToGrid w:val="0"/>
                <w:kern w:val="0"/>
                <w:szCs w:val="21"/>
                <w:lang w:val="zh-CN"/>
              </w:rPr>
              <w:t>15m</w:t>
            </w:r>
            <w:r>
              <w:rPr>
                <w:snapToGrid w:val="0"/>
                <w:kern w:val="0"/>
                <w:szCs w:val="21"/>
                <w:lang w:val="zh-CN"/>
              </w:rPr>
              <w:t>高排气筒</w:t>
            </w:r>
            <w:r>
              <w:rPr>
                <w:rFonts w:hint="eastAsia"/>
                <w:snapToGrid w:val="0"/>
                <w:kern w:val="0"/>
                <w:szCs w:val="21"/>
              </w:rPr>
              <w:t>4</w:t>
            </w:r>
            <w:r>
              <w:rPr>
                <w:snapToGrid w:val="0"/>
                <w:kern w:val="0"/>
                <w:szCs w:val="21"/>
                <w:lang w:val="zh-CN"/>
              </w:rPr>
              <w:t>根、除臭剂</w:t>
            </w:r>
          </w:p>
        </w:tc>
        <w:tc>
          <w:tcPr>
            <w:tcW w:w="1275" w:type="dxa"/>
            <w:vAlign w:val="center"/>
          </w:tcPr>
          <w:p w14:paraId="2462B96B" w14:textId="77777777" w:rsidR="00B14D53" w:rsidRDefault="00000000">
            <w:pPr>
              <w:jc w:val="center"/>
              <w:rPr>
                <w:rFonts w:eastAsiaTheme="minorEastAsia"/>
                <w:snapToGrid w:val="0"/>
                <w:kern w:val="0"/>
              </w:rPr>
            </w:pPr>
            <w:r>
              <w:rPr>
                <w:rFonts w:eastAsiaTheme="minorEastAsia" w:hint="eastAsia"/>
                <w:snapToGrid w:val="0"/>
                <w:kern w:val="0"/>
              </w:rPr>
              <w:t>12</w:t>
            </w:r>
          </w:p>
        </w:tc>
      </w:tr>
      <w:tr w:rsidR="00B14D53" w14:paraId="05C99356" w14:textId="77777777">
        <w:tc>
          <w:tcPr>
            <w:tcW w:w="387" w:type="dxa"/>
            <w:vMerge/>
            <w:vAlign w:val="center"/>
          </w:tcPr>
          <w:p w14:paraId="344B4C57" w14:textId="77777777" w:rsidR="00B14D53" w:rsidRDefault="00B14D53">
            <w:pPr>
              <w:jc w:val="center"/>
              <w:rPr>
                <w:rFonts w:eastAsiaTheme="minorEastAsia"/>
                <w:snapToGrid w:val="0"/>
                <w:kern w:val="0"/>
                <w:lang w:val="zh-CN"/>
              </w:rPr>
            </w:pPr>
          </w:p>
        </w:tc>
        <w:tc>
          <w:tcPr>
            <w:tcW w:w="1564" w:type="dxa"/>
            <w:vMerge w:val="restart"/>
            <w:vAlign w:val="center"/>
          </w:tcPr>
          <w:p w14:paraId="47BC7780"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固废治理</w:t>
            </w:r>
          </w:p>
        </w:tc>
        <w:tc>
          <w:tcPr>
            <w:tcW w:w="5387" w:type="dxa"/>
            <w:vAlign w:val="center"/>
          </w:tcPr>
          <w:p w14:paraId="244157CC"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生活垃圾箱</w:t>
            </w:r>
          </w:p>
        </w:tc>
        <w:tc>
          <w:tcPr>
            <w:tcW w:w="1275" w:type="dxa"/>
            <w:vAlign w:val="center"/>
          </w:tcPr>
          <w:p w14:paraId="79D1EEF8" w14:textId="77777777" w:rsidR="00B14D53" w:rsidRDefault="00000000">
            <w:pPr>
              <w:jc w:val="center"/>
              <w:rPr>
                <w:rFonts w:eastAsiaTheme="minorEastAsia"/>
                <w:snapToGrid w:val="0"/>
                <w:kern w:val="0"/>
              </w:rPr>
            </w:pPr>
            <w:r>
              <w:rPr>
                <w:rFonts w:eastAsiaTheme="minorEastAsia" w:hint="eastAsia"/>
                <w:snapToGrid w:val="0"/>
                <w:kern w:val="0"/>
              </w:rPr>
              <w:t>0.1</w:t>
            </w:r>
          </w:p>
        </w:tc>
      </w:tr>
      <w:tr w:rsidR="00B14D53" w14:paraId="2A8BA34A" w14:textId="77777777">
        <w:tc>
          <w:tcPr>
            <w:tcW w:w="387" w:type="dxa"/>
            <w:vMerge/>
            <w:vAlign w:val="center"/>
          </w:tcPr>
          <w:p w14:paraId="21260BCF" w14:textId="77777777" w:rsidR="00B14D53" w:rsidRDefault="00B14D53">
            <w:pPr>
              <w:jc w:val="center"/>
              <w:rPr>
                <w:rFonts w:eastAsiaTheme="minorEastAsia"/>
                <w:snapToGrid w:val="0"/>
                <w:kern w:val="0"/>
                <w:lang w:val="zh-CN"/>
              </w:rPr>
            </w:pPr>
          </w:p>
        </w:tc>
        <w:tc>
          <w:tcPr>
            <w:tcW w:w="1564" w:type="dxa"/>
            <w:vMerge/>
            <w:vAlign w:val="center"/>
          </w:tcPr>
          <w:p w14:paraId="4B9FB534" w14:textId="77777777" w:rsidR="00B14D53" w:rsidRDefault="00B14D53">
            <w:pPr>
              <w:jc w:val="center"/>
              <w:rPr>
                <w:rFonts w:eastAsiaTheme="minorEastAsia"/>
                <w:snapToGrid w:val="0"/>
                <w:kern w:val="0"/>
                <w:lang w:val="zh-CN"/>
              </w:rPr>
            </w:pPr>
          </w:p>
        </w:tc>
        <w:tc>
          <w:tcPr>
            <w:tcW w:w="5387" w:type="dxa"/>
            <w:vAlign w:val="center"/>
          </w:tcPr>
          <w:p w14:paraId="48F75DC9"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医疗废物储存及清运</w:t>
            </w:r>
          </w:p>
        </w:tc>
        <w:tc>
          <w:tcPr>
            <w:tcW w:w="1275" w:type="dxa"/>
            <w:vAlign w:val="center"/>
          </w:tcPr>
          <w:p w14:paraId="54D5D650" w14:textId="77777777" w:rsidR="00B14D53" w:rsidRDefault="00000000">
            <w:pPr>
              <w:jc w:val="center"/>
              <w:rPr>
                <w:rFonts w:eastAsiaTheme="minorEastAsia"/>
                <w:snapToGrid w:val="0"/>
                <w:kern w:val="0"/>
                <w:lang w:val="zh-CN"/>
              </w:rPr>
            </w:pPr>
            <w:r>
              <w:rPr>
                <w:rFonts w:eastAsiaTheme="minorEastAsia" w:hint="eastAsia"/>
                <w:snapToGrid w:val="0"/>
                <w:kern w:val="0"/>
              </w:rPr>
              <w:t>3</w:t>
            </w:r>
          </w:p>
        </w:tc>
      </w:tr>
      <w:tr w:rsidR="00B14D53" w14:paraId="6AA2A0E5" w14:textId="77777777">
        <w:tc>
          <w:tcPr>
            <w:tcW w:w="387" w:type="dxa"/>
            <w:vMerge/>
            <w:vAlign w:val="center"/>
          </w:tcPr>
          <w:p w14:paraId="4A041AC2" w14:textId="77777777" w:rsidR="00B14D53" w:rsidRDefault="00B14D53">
            <w:pPr>
              <w:jc w:val="center"/>
              <w:rPr>
                <w:rFonts w:eastAsiaTheme="minorEastAsia"/>
                <w:snapToGrid w:val="0"/>
                <w:kern w:val="0"/>
                <w:lang w:val="zh-CN"/>
              </w:rPr>
            </w:pPr>
          </w:p>
        </w:tc>
        <w:tc>
          <w:tcPr>
            <w:tcW w:w="1564" w:type="dxa"/>
            <w:vMerge/>
            <w:vAlign w:val="center"/>
          </w:tcPr>
          <w:p w14:paraId="1A836C41" w14:textId="77777777" w:rsidR="00B14D53" w:rsidRDefault="00B14D53">
            <w:pPr>
              <w:jc w:val="center"/>
              <w:rPr>
                <w:rFonts w:eastAsiaTheme="minorEastAsia"/>
                <w:snapToGrid w:val="0"/>
                <w:kern w:val="0"/>
                <w:lang w:val="zh-CN"/>
              </w:rPr>
            </w:pPr>
          </w:p>
        </w:tc>
        <w:tc>
          <w:tcPr>
            <w:tcW w:w="5387" w:type="dxa"/>
            <w:vAlign w:val="center"/>
          </w:tcPr>
          <w:p w14:paraId="3EDCC30B"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固废委托处置</w:t>
            </w:r>
          </w:p>
        </w:tc>
        <w:tc>
          <w:tcPr>
            <w:tcW w:w="1275" w:type="dxa"/>
            <w:vAlign w:val="center"/>
          </w:tcPr>
          <w:p w14:paraId="36335723" w14:textId="77777777" w:rsidR="00B14D53" w:rsidRDefault="00000000">
            <w:pPr>
              <w:jc w:val="center"/>
              <w:rPr>
                <w:rFonts w:eastAsiaTheme="minorEastAsia"/>
                <w:snapToGrid w:val="0"/>
                <w:kern w:val="0"/>
                <w:lang w:val="zh-CN"/>
              </w:rPr>
            </w:pPr>
            <w:r>
              <w:rPr>
                <w:rFonts w:eastAsiaTheme="minorEastAsia" w:hint="eastAsia"/>
                <w:snapToGrid w:val="0"/>
                <w:kern w:val="0"/>
              </w:rPr>
              <w:t>3</w:t>
            </w:r>
          </w:p>
        </w:tc>
      </w:tr>
      <w:tr w:rsidR="00B14D53" w14:paraId="3EE563E9" w14:textId="77777777">
        <w:tc>
          <w:tcPr>
            <w:tcW w:w="387" w:type="dxa"/>
            <w:vMerge/>
            <w:vAlign w:val="center"/>
          </w:tcPr>
          <w:p w14:paraId="7C036075" w14:textId="77777777" w:rsidR="00B14D53" w:rsidRDefault="00B14D53">
            <w:pPr>
              <w:jc w:val="center"/>
              <w:rPr>
                <w:rFonts w:eastAsiaTheme="minorEastAsia"/>
                <w:snapToGrid w:val="0"/>
                <w:kern w:val="0"/>
                <w:lang w:val="zh-CN"/>
              </w:rPr>
            </w:pPr>
          </w:p>
        </w:tc>
        <w:tc>
          <w:tcPr>
            <w:tcW w:w="1564" w:type="dxa"/>
            <w:vAlign w:val="center"/>
          </w:tcPr>
          <w:p w14:paraId="28985E98"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噪声治理</w:t>
            </w:r>
          </w:p>
        </w:tc>
        <w:tc>
          <w:tcPr>
            <w:tcW w:w="5387" w:type="dxa"/>
            <w:vAlign w:val="center"/>
          </w:tcPr>
          <w:p w14:paraId="7871AAE2"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噪声设备减振措施</w:t>
            </w:r>
          </w:p>
        </w:tc>
        <w:tc>
          <w:tcPr>
            <w:tcW w:w="1275" w:type="dxa"/>
            <w:vAlign w:val="center"/>
          </w:tcPr>
          <w:p w14:paraId="3BB58CC0" w14:textId="77777777" w:rsidR="00B14D53" w:rsidRDefault="00000000">
            <w:pPr>
              <w:jc w:val="center"/>
              <w:rPr>
                <w:rFonts w:eastAsiaTheme="minorEastAsia"/>
                <w:snapToGrid w:val="0"/>
                <w:kern w:val="0"/>
                <w:lang w:val="zh-CN"/>
              </w:rPr>
            </w:pPr>
            <w:r>
              <w:rPr>
                <w:rFonts w:eastAsiaTheme="minorEastAsia"/>
                <w:snapToGrid w:val="0"/>
                <w:kern w:val="0"/>
                <w:lang w:val="zh-CN"/>
              </w:rPr>
              <w:t>2</w:t>
            </w:r>
          </w:p>
        </w:tc>
      </w:tr>
      <w:tr w:rsidR="00B14D53" w14:paraId="19B2E98D" w14:textId="77777777">
        <w:tc>
          <w:tcPr>
            <w:tcW w:w="387" w:type="dxa"/>
            <w:vMerge/>
            <w:vAlign w:val="center"/>
          </w:tcPr>
          <w:p w14:paraId="0136CA66" w14:textId="77777777" w:rsidR="00B14D53" w:rsidRDefault="00B14D53">
            <w:pPr>
              <w:jc w:val="center"/>
              <w:rPr>
                <w:rFonts w:eastAsiaTheme="minorEastAsia"/>
                <w:snapToGrid w:val="0"/>
                <w:kern w:val="0"/>
                <w:lang w:val="zh-CN"/>
              </w:rPr>
            </w:pPr>
          </w:p>
        </w:tc>
        <w:tc>
          <w:tcPr>
            <w:tcW w:w="1564" w:type="dxa"/>
            <w:vAlign w:val="center"/>
          </w:tcPr>
          <w:p w14:paraId="2DFF5BFC"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绿化工程</w:t>
            </w:r>
          </w:p>
        </w:tc>
        <w:tc>
          <w:tcPr>
            <w:tcW w:w="5387" w:type="dxa"/>
            <w:vAlign w:val="center"/>
          </w:tcPr>
          <w:p w14:paraId="38789D7A" w14:textId="77777777" w:rsidR="00B14D53" w:rsidRDefault="00000000">
            <w:pPr>
              <w:jc w:val="center"/>
              <w:rPr>
                <w:rFonts w:eastAsiaTheme="minorEastAsia"/>
                <w:snapToGrid w:val="0"/>
                <w:kern w:val="0"/>
                <w:lang w:val="zh-CN"/>
              </w:rPr>
            </w:pPr>
            <w:r>
              <w:rPr>
                <w:rFonts w:hint="eastAsia"/>
                <w:snapToGrid w:val="0"/>
                <w:kern w:val="0"/>
                <w:szCs w:val="21"/>
              </w:rPr>
              <w:t>厂内</w:t>
            </w:r>
            <w:r>
              <w:rPr>
                <w:snapToGrid w:val="0"/>
                <w:kern w:val="0"/>
                <w:szCs w:val="21"/>
                <w:lang w:val="zh-CN"/>
              </w:rPr>
              <w:t>空地植树种草</w:t>
            </w:r>
          </w:p>
        </w:tc>
        <w:tc>
          <w:tcPr>
            <w:tcW w:w="1275" w:type="dxa"/>
            <w:vAlign w:val="center"/>
          </w:tcPr>
          <w:p w14:paraId="063E28E1" w14:textId="77777777" w:rsidR="00B14D53" w:rsidRDefault="00000000">
            <w:pPr>
              <w:jc w:val="center"/>
              <w:rPr>
                <w:rFonts w:eastAsiaTheme="minorEastAsia"/>
                <w:snapToGrid w:val="0"/>
                <w:kern w:val="0"/>
                <w:lang w:val="zh-CN"/>
              </w:rPr>
            </w:pPr>
            <w:r>
              <w:rPr>
                <w:rFonts w:eastAsiaTheme="minorEastAsia"/>
                <w:snapToGrid w:val="0"/>
                <w:kern w:val="0"/>
                <w:lang w:val="zh-CN"/>
              </w:rPr>
              <w:t>2</w:t>
            </w:r>
          </w:p>
        </w:tc>
      </w:tr>
      <w:tr w:rsidR="00B14D53" w14:paraId="5D7DCBFE" w14:textId="77777777">
        <w:trPr>
          <w:trHeight w:val="64"/>
        </w:trPr>
        <w:tc>
          <w:tcPr>
            <w:tcW w:w="387" w:type="dxa"/>
            <w:vMerge/>
            <w:vAlign w:val="center"/>
          </w:tcPr>
          <w:p w14:paraId="7FB68755" w14:textId="77777777" w:rsidR="00B14D53" w:rsidRDefault="00B14D53">
            <w:pPr>
              <w:jc w:val="center"/>
              <w:rPr>
                <w:rFonts w:eastAsiaTheme="minorEastAsia"/>
                <w:snapToGrid w:val="0"/>
                <w:kern w:val="0"/>
                <w:lang w:val="zh-CN"/>
              </w:rPr>
            </w:pPr>
          </w:p>
        </w:tc>
        <w:tc>
          <w:tcPr>
            <w:tcW w:w="1564" w:type="dxa"/>
            <w:vAlign w:val="center"/>
          </w:tcPr>
          <w:p w14:paraId="1872C22A" w14:textId="77777777" w:rsidR="00B14D53" w:rsidRDefault="00000000">
            <w:pPr>
              <w:jc w:val="center"/>
              <w:rPr>
                <w:rFonts w:eastAsiaTheme="minorEastAsia"/>
                <w:snapToGrid w:val="0"/>
                <w:kern w:val="0"/>
                <w:lang w:val="zh-CN"/>
              </w:rPr>
            </w:pPr>
            <w:r>
              <w:rPr>
                <w:rFonts w:eastAsiaTheme="minorEastAsia" w:hAnsiTheme="minorEastAsia"/>
                <w:snapToGrid w:val="0"/>
                <w:kern w:val="0"/>
                <w:lang w:val="zh-CN"/>
              </w:rPr>
              <w:t>环境监测管理</w:t>
            </w:r>
          </w:p>
        </w:tc>
        <w:tc>
          <w:tcPr>
            <w:tcW w:w="5387" w:type="dxa"/>
            <w:vAlign w:val="center"/>
          </w:tcPr>
          <w:p w14:paraId="058F8985" w14:textId="77777777" w:rsidR="00B14D53" w:rsidRDefault="00000000">
            <w:pPr>
              <w:jc w:val="center"/>
              <w:rPr>
                <w:rFonts w:eastAsiaTheme="minorEastAsia"/>
                <w:snapToGrid w:val="0"/>
                <w:kern w:val="0"/>
                <w:lang w:val="zh-CN"/>
              </w:rPr>
            </w:pPr>
            <w:r>
              <w:rPr>
                <w:rFonts w:hint="eastAsia"/>
                <w:snapToGrid w:val="0"/>
                <w:kern w:val="0"/>
                <w:szCs w:val="21"/>
              </w:rPr>
              <w:t>在线监测设备</w:t>
            </w:r>
          </w:p>
        </w:tc>
        <w:tc>
          <w:tcPr>
            <w:tcW w:w="1275" w:type="dxa"/>
            <w:vAlign w:val="center"/>
          </w:tcPr>
          <w:p w14:paraId="6E9B78FF" w14:textId="77777777" w:rsidR="00B14D53" w:rsidRDefault="00000000">
            <w:pPr>
              <w:jc w:val="center"/>
              <w:rPr>
                <w:rFonts w:eastAsiaTheme="minorEastAsia"/>
                <w:snapToGrid w:val="0"/>
                <w:kern w:val="0"/>
              </w:rPr>
            </w:pPr>
            <w:r>
              <w:rPr>
                <w:rFonts w:eastAsiaTheme="minorEastAsia" w:hint="eastAsia"/>
                <w:snapToGrid w:val="0"/>
                <w:kern w:val="0"/>
              </w:rPr>
              <w:t>30</w:t>
            </w:r>
          </w:p>
        </w:tc>
      </w:tr>
      <w:tr w:rsidR="00B14D53" w14:paraId="434F3F1F" w14:textId="77777777">
        <w:tc>
          <w:tcPr>
            <w:tcW w:w="387" w:type="dxa"/>
            <w:vMerge/>
            <w:vAlign w:val="center"/>
          </w:tcPr>
          <w:p w14:paraId="3E07A4C4" w14:textId="77777777" w:rsidR="00B14D53" w:rsidRDefault="00B14D53">
            <w:pPr>
              <w:jc w:val="center"/>
              <w:rPr>
                <w:rFonts w:eastAsiaTheme="minorEastAsia"/>
                <w:snapToGrid w:val="0"/>
                <w:kern w:val="0"/>
                <w:lang w:val="zh-CN"/>
              </w:rPr>
            </w:pPr>
          </w:p>
        </w:tc>
        <w:tc>
          <w:tcPr>
            <w:tcW w:w="1564" w:type="dxa"/>
            <w:vAlign w:val="center"/>
          </w:tcPr>
          <w:p w14:paraId="4648D6B5" w14:textId="77777777" w:rsidR="00B14D53" w:rsidRDefault="00000000">
            <w:pPr>
              <w:jc w:val="center"/>
              <w:rPr>
                <w:rFonts w:eastAsiaTheme="minorEastAsia"/>
                <w:snapToGrid w:val="0"/>
                <w:kern w:val="0"/>
                <w:lang w:val="zh-CN"/>
              </w:rPr>
            </w:pPr>
            <w:r>
              <w:rPr>
                <w:rFonts w:eastAsiaTheme="minorEastAsia"/>
                <w:snapToGrid w:val="0"/>
                <w:kern w:val="0"/>
                <w:lang w:val="zh-CN"/>
              </w:rPr>
              <w:t>风险</w:t>
            </w:r>
          </w:p>
        </w:tc>
        <w:tc>
          <w:tcPr>
            <w:tcW w:w="5387" w:type="dxa"/>
            <w:vAlign w:val="center"/>
          </w:tcPr>
          <w:p w14:paraId="7361BFFB" w14:textId="77777777" w:rsidR="00B14D53" w:rsidRDefault="00000000">
            <w:pPr>
              <w:jc w:val="center"/>
              <w:rPr>
                <w:rFonts w:eastAsiaTheme="minorEastAsia"/>
                <w:snapToGrid w:val="0"/>
                <w:kern w:val="0"/>
                <w:lang w:val="zh-CN"/>
              </w:rPr>
            </w:pPr>
            <w:r>
              <w:rPr>
                <w:rFonts w:eastAsiaTheme="minorEastAsia"/>
                <w:szCs w:val="21"/>
              </w:rPr>
              <w:t>编制突发环境事件应急预案</w:t>
            </w:r>
          </w:p>
        </w:tc>
        <w:tc>
          <w:tcPr>
            <w:tcW w:w="1275" w:type="dxa"/>
            <w:vAlign w:val="center"/>
          </w:tcPr>
          <w:p w14:paraId="080F0569" w14:textId="77777777" w:rsidR="00B14D53" w:rsidRDefault="00000000">
            <w:pPr>
              <w:jc w:val="center"/>
              <w:rPr>
                <w:rFonts w:eastAsiaTheme="minorEastAsia"/>
                <w:snapToGrid w:val="0"/>
                <w:kern w:val="0"/>
                <w:lang w:val="zh-CN"/>
              </w:rPr>
            </w:pPr>
            <w:r>
              <w:rPr>
                <w:rFonts w:eastAsiaTheme="minorEastAsia"/>
                <w:snapToGrid w:val="0"/>
                <w:kern w:val="0"/>
                <w:lang w:val="zh-CN"/>
              </w:rPr>
              <w:t>2</w:t>
            </w:r>
          </w:p>
        </w:tc>
      </w:tr>
      <w:tr w:rsidR="00B14D53" w14:paraId="04445214" w14:textId="77777777">
        <w:trPr>
          <w:trHeight w:val="64"/>
        </w:trPr>
        <w:tc>
          <w:tcPr>
            <w:tcW w:w="387" w:type="dxa"/>
            <w:vMerge/>
            <w:vAlign w:val="center"/>
          </w:tcPr>
          <w:p w14:paraId="52356805" w14:textId="77777777" w:rsidR="00B14D53" w:rsidRDefault="00B14D53">
            <w:pPr>
              <w:jc w:val="center"/>
              <w:rPr>
                <w:rFonts w:eastAsiaTheme="minorEastAsia"/>
                <w:snapToGrid w:val="0"/>
                <w:kern w:val="0"/>
                <w:lang w:val="zh-CN"/>
              </w:rPr>
            </w:pPr>
          </w:p>
        </w:tc>
        <w:tc>
          <w:tcPr>
            <w:tcW w:w="1564" w:type="dxa"/>
            <w:vAlign w:val="center"/>
          </w:tcPr>
          <w:p w14:paraId="65E466E6" w14:textId="77777777" w:rsidR="00B14D53" w:rsidRDefault="00000000">
            <w:pPr>
              <w:jc w:val="center"/>
              <w:rPr>
                <w:rFonts w:eastAsiaTheme="minorEastAsia"/>
                <w:snapToGrid w:val="0"/>
                <w:kern w:val="0"/>
                <w:lang w:val="zh-CN"/>
              </w:rPr>
            </w:pPr>
            <w:r>
              <w:rPr>
                <w:rFonts w:eastAsiaTheme="minorEastAsia"/>
                <w:snapToGrid w:val="0"/>
                <w:kern w:val="0"/>
                <w:lang w:val="zh-CN"/>
              </w:rPr>
              <w:t>环保设施运行维护维修费用</w:t>
            </w:r>
          </w:p>
        </w:tc>
        <w:tc>
          <w:tcPr>
            <w:tcW w:w="5387" w:type="dxa"/>
            <w:vAlign w:val="center"/>
          </w:tcPr>
          <w:p w14:paraId="064C72A7" w14:textId="77777777" w:rsidR="00B14D53" w:rsidRDefault="00000000">
            <w:pPr>
              <w:jc w:val="center"/>
              <w:rPr>
                <w:rFonts w:eastAsiaTheme="minorEastAsia"/>
                <w:snapToGrid w:val="0"/>
                <w:kern w:val="0"/>
                <w:lang w:val="zh-CN"/>
              </w:rPr>
            </w:pPr>
            <w:r>
              <w:rPr>
                <w:rFonts w:eastAsiaTheme="minorEastAsia"/>
                <w:snapToGrid w:val="0"/>
                <w:kern w:val="0"/>
                <w:lang w:val="zh-CN"/>
              </w:rPr>
              <w:t>运行期各环保设施的运行维护维修费用</w:t>
            </w:r>
          </w:p>
        </w:tc>
        <w:tc>
          <w:tcPr>
            <w:tcW w:w="1275" w:type="dxa"/>
            <w:vAlign w:val="center"/>
          </w:tcPr>
          <w:p w14:paraId="3DD73621" w14:textId="77777777" w:rsidR="00B14D53" w:rsidRDefault="00000000">
            <w:pPr>
              <w:jc w:val="center"/>
              <w:rPr>
                <w:rFonts w:eastAsiaTheme="minorEastAsia"/>
                <w:snapToGrid w:val="0"/>
                <w:kern w:val="0"/>
                <w:lang w:val="zh-CN"/>
              </w:rPr>
            </w:pPr>
            <w:r>
              <w:rPr>
                <w:rFonts w:eastAsiaTheme="minorEastAsia" w:hint="eastAsia"/>
                <w:snapToGrid w:val="0"/>
                <w:kern w:val="0"/>
              </w:rPr>
              <w:t>8</w:t>
            </w:r>
          </w:p>
        </w:tc>
      </w:tr>
      <w:tr w:rsidR="00B14D53" w14:paraId="721850CD" w14:textId="77777777">
        <w:tc>
          <w:tcPr>
            <w:tcW w:w="1951" w:type="dxa"/>
            <w:gridSpan w:val="2"/>
            <w:vAlign w:val="center"/>
          </w:tcPr>
          <w:p w14:paraId="4C0D84AF" w14:textId="77777777" w:rsidR="00B14D53" w:rsidRDefault="00000000">
            <w:pPr>
              <w:jc w:val="center"/>
              <w:rPr>
                <w:rFonts w:eastAsiaTheme="minorEastAsia"/>
                <w:snapToGrid w:val="0"/>
                <w:kern w:val="0"/>
                <w:lang w:val="zh-CN"/>
              </w:rPr>
            </w:pPr>
            <w:r>
              <w:rPr>
                <w:rFonts w:eastAsiaTheme="minorEastAsia"/>
                <w:snapToGrid w:val="0"/>
                <w:kern w:val="0"/>
                <w:lang w:val="zh-CN"/>
              </w:rPr>
              <w:t>合计</w:t>
            </w:r>
          </w:p>
        </w:tc>
        <w:tc>
          <w:tcPr>
            <w:tcW w:w="5387" w:type="dxa"/>
            <w:vAlign w:val="center"/>
          </w:tcPr>
          <w:p w14:paraId="3DA808FD" w14:textId="77777777" w:rsidR="00B14D53" w:rsidRDefault="00000000">
            <w:pPr>
              <w:jc w:val="center"/>
              <w:rPr>
                <w:rFonts w:eastAsiaTheme="minorEastAsia"/>
                <w:snapToGrid w:val="0"/>
                <w:kern w:val="0"/>
                <w:lang w:val="zh-CN"/>
              </w:rPr>
            </w:pPr>
            <w:r>
              <w:rPr>
                <w:rFonts w:eastAsiaTheme="minorEastAsia"/>
                <w:snapToGrid w:val="0"/>
                <w:kern w:val="0"/>
                <w:lang w:val="zh-CN"/>
              </w:rPr>
              <w:t>/</w:t>
            </w:r>
          </w:p>
        </w:tc>
        <w:tc>
          <w:tcPr>
            <w:tcW w:w="1275" w:type="dxa"/>
            <w:vAlign w:val="center"/>
          </w:tcPr>
          <w:p w14:paraId="726D9C76" w14:textId="77777777" w:rsidR="00B14D53" w:rsidRDefault="00000000">
            <w:pPr>
              <w:jc w:val="center"/>
              <w:rPr>
                <w:rFonts w:eastAsiaTheme="minorEastAsia"/>
                <w:snapToGrid w:val="0"/>
                <w:kern w:val="0"/>
              </w:rPr>
            </w:pPr>
            <w:r>
              <w:rPr>
                <w:rFonts w:eastAsiaTheme="minorEastAsia" w:hint="eastAsia"/>
                <w:snapToGrid w:val="0"/>
                <w:kern w:val="0"/>
              </w:rPr>
              <w:t>106</w:t>
            </w:r>
          </w:p>
        </w:tc>
      </w:tr>
      <w:bookmarkEnd w:id="288"/>
    </w:tbl>
    <w:p w14:paraId="29E0C515" w14:textId="77777777" w:rsidR="00B14D53" w:rsidRDefault="00B14D53">
      <w:pPr>
        <w:spacing w:line="360" w:lineRule="auto"/>
        <w:rPr>
          <w:rFonts w:eastAsiaTheme="minorEastAsia"/>
          <w:sz w:val="24"/>
        </w:rPr>
        <w:sectPr w:rsidR="00B14D53">
          <w:pgSz w:w="11906" w:h="16838"/>
          <w:pgMar w:top="1440" w:right="1800" w:bottom="1440" w:left="1800" w:header="851" w:footer="992" w:gutter="0"/>
          <w:cols w:space="425"/>
          <w:docGrid w:type="lines" w:linePitch="312"/>
        </w:sectPr>
      </w:pPr>
    </w:p>
    <w:p w14:paraId="2EF56CCE" w14:textId="77777777" w:rsidR="00B14D53" w:rsidRDefault="00000000">
      <w:pPr>
        <w:pStyle w:val="1"/>
        <w:spacing w:before="100" w:beforeAutospacing="1" w:after="0" w:line="240" w:lineRule="auto"/>
        <w:ind w:firstLineChars="200" w:firstLine="640"/>
        <w:rPr>
          <w:rFonts w:eastAsia="黑体"/>
          <w:b w:val="0"/>
          <w:bCs w:val="0"/>
          <w:sz w:val="32"/>
          <w:szCs w:val="32"/>
        </w:rPr>
      </w:pPr>
      <w:bookmarkStart w:id="289" w:name="_Toc477954582"/>
      <w:bookmarkStart w:id="290" w:name="_Toc10116"/>
      <w:r>
        <w:rPr>
          <w:rFonts w:eastAsia="黑体" w:hint="eastAsia"/>
          <w:b w:val="0"/>
          <w:bCs w:val="0"/>
          <w:sz w:val="32"/>
          <w:szCs w:val="32"/>
        </w:rPr>
        <w:t>7</w:t>
      </w:r>
      <w:r>
        <w:rPr>
          <w:rFonts w:eastAsia="黑体" w:hint="eastAsia"/>
          <w:b w:val="0"/>
          <w:bCs w:val="0"/>
          <w:sz w:val="32"/>
          <w:szCs w:val="32"/>
        </w:rPr>
        <w:t>环境影响经济损益分析</w:t>
      </w:r>
      <w:bookmarkEnd w:id="289"/>
      <w:bookmarkEnd w:id="290"/>
    </w:p>
    <w:p w14:paraId="185BDAD4"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91" w:name="_Toc369009159"/>
      <w:bookmarkStart w:id="292" w:name="_Toc477954583"/>
      <w:bookmarkStart w:id="293" w:name="_Toc16345"/>
      <w:r>
        <w:rPr>
          <w:rFonts w:ascii="Times New Roman" w:eastAsia="黑体" w:hAnsi="Times New Roman" w:cs="Times New Roman"/>
          <w:b w:val="0"/>
          <w:bCs w:val="0"/>
          <w:sz w:val="30"/>
          <w:szCs w:val="30"/>
        </w:rPr>
        <w:t>7.1</w:t>
      </w:r>
      <w:bookmarkEnd w:id="291"/>
      <w:bookmarkEnd w:id="292"/>
      <w:r>
        <w:rPr>
          <w:rFonts w:ascii="Times New Roman" w:eastAsia="黑体" w:hAnsi="Times New Roman" w:cs="Times New Roman"/>
          <w:b w:val="0"/>
          <w:bCs w:val="0"/>
          <w:sz w:val="30"/>
          <w:szCs w:val="30"/>
        </w:rPr>
        <w:t>社会经济效益分析</w:t>
      </w:r>
      <w:bookmarkEnd w:id="293"/>
    </w:p>
    <w:p w14:paraId="16E6AF24" w14:textId="77777777" w:rsidR="00B14D53" w:rsidRDefault="00000000">
      <w:pPr>
        <w:spacing w:line="360" w:lineRule="auto"/>
        <w:ind w:firstLineChars="200" w:firstLine="480"/>
        <w:contextualSpacing/>
        <w:rPr>
          <w:sz w:val="24"/>
        </w:rPr>
      </w:pPr>
      <w:r>
        <w:rPr>
          <w:sz w:val="24"/>
        </w:rPr>
        <w:t>本项目的实施不仅能促进周边地区养殖业的发展，而且还将促进相关辅助产业的发展。如促进养殖、饲料加工、包装材料、物资流通等方面的发展，同时还可解决剩余劳动力和下岗职工的再就业问题。对促进</w:t>
      </w:r>
      <w:r>
        <w:rPr>
          <w:rFonts w:hint="eastAsia"/>
          <w:sz w:val="24"/>
        </w:rPr>
        <w:t>五常市</w:t>
      </w:r>
      <w:r>
        <w:rPr>
          <w:sz w:val="24"/>
        </w:rPr>
        <w:t>的经济发展和稳定社会秩序具有重要意义。</w:t>
      </w:r>
    </w:p>
    <w:p w14:paraId="2AD9AD6E" w14:textId="77777777" w:rsidR="00B14D53" w:rsidRDefault="00000000">
      <w:pPr>
        <w:spacing w:line="360" w:lineRule="auto"/>
        <w:ind w:firstLineChars="200" w:firstLine="480"/>
        <w:contextualSpacing/>
        <w:rPr>
          <w:rFonts w:eastAsiaTheme="minorEastAsia"/>
          <w:sz w:val="24"/>
        </w:rPr>
      </w:pPr>
      <w:r>
        <w:rPr>
          <w:sz w:val="24"/>
        </w:rPr>
        <w:t>本项目利用当地资源进行加工，减少了运输成本，提高了原料质量，产品将进一步占领</w:t>
      </w:r>
      <w:r>
        <w:rPr>
          <w:rFonts w:hint="eastAsia"/>
          <w:sz w:val="24"/>
        </w:rPr>
        <w:t>五常市</w:t>
      </w:r>
      <w:r>
        <w:rPr>
          <w:sz w:val="24"/>
        </w:rPr>
        <w:t>等地市场，扩大了产品的覆盖面。该项目的实施后，其经济效益和社会效益都十分显著。因此，本项目的建设实施是非常必要。</w:t>
      </w:r>
    </w:p>
    <w:p w14:paraId="7BDF1505"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94" w:name="_Toc19453"/>
      <w:r>
        <w:rPr>
          <w:rFonts w:ascii="Times New Roman" w:eastAsia="黑体" w:hAnsi="Times New Roman" w:cs="Times New Roman"/>
          <w:b w:val="0"/>
          <w:bCs w:val="0"/>
          <w:sz w:val="30"/>
          <w:szCs w:val="30"/>
        </w:rPr>
        <w:t>7.2</w:t>
      </w:r>
      <w:r>
        <w:rPr>
          <w:rFonts w:ascii="Times New Roman" w:eastAsia="黑体" w:hAnsi="Times New Roman" w:cs="Times New Roman"/>
          <w:b w:val="0"/>
          <w:bCs w:val="0"/>
          <w:sz w:val="30"/>
          <w:szCs w:val="30"/>
        </w:rPr>
        <w:t>环境经济损益分析</w:t>
      </w:r>
      <w:bookmarkEnd w:id="294"/>
    </w:p>
    <w:p w14:paraId="38366CA2" w14:textId="77777777" w:rsidR="00B14D53" w:rsidRDefault="00000000">
      <w:pPr>
        <w:pStyle w:val="afff"/>
        <w:adjustRightInd/>
        <w:snapToGrid/>
        <w:contextualSpacing/>
        <w:jc w:val="both"/>
        <w:rPr>
          <w:rFonts w:ascii="Times New Roman" w:hAnsi="Times New Roman" w:cs="Times New Roman"/>
        </w:rPr>
      </w:pPr>
      <w:r>
        <w:rPr>
          <w:rFonts w:ascii="Times New Roman" w:eastAsia="宋体" w:hAnsi="Times New Roman" w:cs="Times New Roman"/>
          <w:kern w:val="0"/>
          <w:lang w:bidi="ar"/>
        </w:rPr>
        <w:t>本项目总投资</w:t>
      </w:r>
      <w:r>
        <w:rPr>
          <w:rFonts w:ascii="Times New Roman" w:eastAsia="宋体" w:hAnsi="Times New Roman" w:cs="Times New Roman" w:hint="eastAsia"/>
          <w:kern w:val="0"/>
          <w:lang w:bidi="ar"/>
        </w:rPr>
        <w:t>7</w:t>
      </w:r>
      <w:r>
        <w:rPr>
          <w:rFonts w:ascii="Times New Roman" w:eastAsia="宋体" w:hAnsi="Times New Roman" w:cs="Times New Roman"/>
          <w:kern w:val="0"/>
          <w:lang w:bidi="ar"/>
        </w:rPr>
        <w:t>00</w:t>
      </w:r>
      <w:r>
        <w:rPr>
          <w:rFonts w:ascii="Times New Roman" w:eastAsia="宋体" w:hAnsi="Times New Roman" w:cs="Times New Roman"/>
          <w:kern w:val="0"/>
          <w:lang w:bidi="ar"/>
        </w:rPr>
        <w:t>万元，项目建成后，可拉动区域</w:t>
      </w:r>
      <w:r>
        <w:rPr>
          <w:rFonts w:ascii="Times New Roman" w:eastAsia="宋体" w:hAnsi="Times New Roman" w:cs="Times New Roman"/>
          <w:kern w:val="0"/>
          <w:lang w:bidi="ar"/>
        </w:rPr>
        <w:t>GDP</w:t>
      </w:r>
      <w:r>
        <w:rPr>
          <w:rFonts w:ascii="Times New Roman" w:eastAsia="宋体" w:hAnsi="Times New Roman" w:cs="Times New Roman"/>
          <w:kern w:val="0"/>
          <w:lang w:bidi="ar"/>
        </w:rPr>
        <w:t>增长，增加地方和国家财政收入，带动地方农牧业发展，促进地方经济发展，具有显著的经济效益。项目的落户，带动了周围地区交通运输业、第三产业等行业的发展。同时，项目的建设为吸引外来投资提供了一个良好的环保基础设施保障，改善了当地和周围地区的投资环境，有利于吸引外来投资</w:t>
      </w:r>
      <w:r>
        <w:rPr>
          <w:rFonts w:ascii="Times New Roman" w:hAnsi="Times New Roman" w:cs="Times New Roman"/>
        </w:rPr>
        <w:t>。</w:t>
      </w:r>
    </w:p>
    <w:p w14:paraId="1AF25A98"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295" w:name="_Toc15991709"/>
      <w:bookmarkStart w:id="296" w:name="_Toc528847181"/>
      <w:bookmarkStart w:id="297" w:name="_Toc5013"/>
      <w:r>
        <w:rPr>
          <w:rFonts w:ascii="Times New Roman" w:eastAsia="黑体" w:hAnsi="Times New Roman" w:cs="Times New Roman"/>
          <w:b w:val="0"/>
          <w:bCs w:val="0"/>
          <w:sz w:val="30"/>
          <w:szCs w:val="30"/>
        </w:rPr>
        <w:t>7.3</w:t>
      </w:r>
      <w:r>
        <w:rPr>
          <w:rFonts w:ascii="Times New Roman" w:eastAsia="黑体" w:hAnsi="Times New Roman" w:cs="Times New Roman"/>
          <w:b w:val="0"/>
          <w:bCs w:val="0"/>
          <w:sz w:val="30"/>
          <w:szCs w:val="30"/>
        </w:rPr>
        <w:t>环境效益分析</w:t>
      </w:r>
      <w:bookmarkEnd w:id="295"/>
      <w:bookmarkEnd w:id="296"/>
      <w:bookmarkEnd w:id="297"/>
    </w:p>
    <w:p w14:paraId="5E8A4798"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298" w:name="_Toc15991710"/>
      <w:bookmarkStart w:id="299" w:name="_Toc528847182"/>
      <w:r>
        <w:rPr>
          <w:rFonts w:ascii="Times New Roman" w:eastAsia="黑体" w:hAnsi="Times New Roman" w:cs="Times New Roman"/>
          <w:sz w:val="28"/>
          <w:szCs w:val="28"/>
        </w:rPr>
        <w:t>7.3.1</w:t>
      </w:r>
      <w:r>
        <w:rPr>
          <w:rFonts w:ascii="Times New Roman" w:eastAsia="黑体" w:hAnsi="Times New Roman" w:cs="Times New Roman"/>
          <w:sz w:val="28"/>
          <w:szCs w:val="28"/>
        </w:rPr>
        <w:t>有利影响</w:t>
      </w:r>
      <w:bookmarkEnd w:id="298"/>
      <w:bookmarkEnd w:id="299"/>
    </w:p>
    <w:p w14:paraId="79E96BE8" w14:textId="77777777" w:rsidR="00B14D53" w:rsidRDefault="00000000">
      <w:pPr>
        <w:pStyle w:val="afff"/>
        <w:adjustRightInd/>
        <w:snapToGrid/>
        <w:rPr>
          <w:rFonts w:ascii="Times New Roman" w:hAnsi="Times New Roman" w:cs="Times New Roman"/>
        </w:rPr>
      </w:pPr>
      <w:r>
        <w:rPr>
          <w:rFonts w:ascii="Times New Roman" w:eastAsia="宋体" w:hAnsi="Times New Roman" w:cs="Times New Roman"/>
          <w:kern w:val="0"/>
          <w:lang w:bidi="ar"/>
        </w:rPr>
        <w:t>本项目在设计中充分考虑了环境保护的要求，严格执行各项环境保护标准。遵循清洁生产的原则和循环经济理念，针对在生产过程中产生的污染物，从实际出发采取多种相应的治理措施，确保达标排放和总量控制要求。与此同时，采用先进的生产技术和设备，最大限度地提高水资源利用率，降低单位产品的水污染物产生量</w:t>
      </w:r>
      <w:r>
        <w:rPr>
          <w:rFonts w:ascii="Times New Roman" w:hAnsi="Times New Roman" w:cs="Times New Roman"/>
        </w:rPr>
        <w:t>。</w:t>
      </w:r>
    </w:p>
    <w:p w14:paraId="0ADD8D62"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00" w:name="_Toc15991711"/>
      <w:bookmarkStart w:id="301" w:name="_Toc528847183"/>
      <w:r>
        <w:rPr>
          <w:rFonts w:ascii="Times New Roman" w:eastAsia="黑体" w:hAnsi="Times New Roman" w:cs="Times New Roman"/>
          <w:bCs/>
          <w:sz w:val="28"/>
          <w:szCs w:val="28"/>
        </w:rPr>
        <w:t>7.3.2</w:t>
      </w:r>
      <w:r>
        <w:rPr>
          <w:rFonts w:ascii="Times New Roman" w:eastAsia="黑体" w:hAnsi="Times New Roman" w:cs="Times New Roman"/>
          <w:bCs/>
          <w:sz w:val="28"/>
          <w:szCs w:val="28"/>
        </w:rPr>
        <w:t>不利影响</w:t>
      </w:r>
      <w:bookmarkEnd w:id="300"/>
      <w:bookmarkEnd w:id="301"/>
    </w:p>
    <w:p w14:paraId="7085A3DE" w14:textId="77777777" w:rsidR="00B14D53" w:rsidRDefault="00000000">
      <w:pPr>
        <w:pStyle w:val="afff"/>
        <w:adjustRightInd/>
        <w:snapToGrid/>
        <w:contextualSpacing/>
        <w:jc w:val="both"/>
        <w:rPr>
          <w:rFonts w:ascii="Times New Roman" w:eastAsia="宋体" w:hAnsi="Times New Roman" w:cs="Times New Roman"/>
        </w:rPr>
      </w:pPr>
      <w:r>
        <w:rPr>
          <w:rFonts w:ascii="Times New Roman" w:eastAsia="宋体" w:hAnsi="Times New Roman" w:cs="Times New Roman"/>
          <w:bCs/>
        </w:rPr>
        <w:t>（</w:t>
      </w:r>
      <w:r>
        <w:rPr>
          <w:rFonts w:ascii="Times New Roman" w:eastAsia="宋体" w:hAnsi="Times New Roman" w:cs="Times New Roman"/>
          <w:bCs/>
        </w:rPr>
        <w:t>1</w:t>
      </w:r>
      <w:r>
        <w:rPr>
          <w:rFonts w:ascii="Times New Roman" w:eastAsia="宋体" w:hAnsi="Times New Roman" w:cs="Times New Roman"/>
          <w:bCs/>
        </w:rPr>
        <w:t>）本项目产生的废水经厂区污水处理站处理后达到《肉类加工工业水污染物排放标准》（</w:t>
      </w:r>
      <w:r>
        <w:rPr>
          <w:rFonts w:ascii="Times New Roman" w:eastAsia="宋体" w:hAnsi="Times New Roman" w:cs="Times New Roman"/>
          <w:bCs/>
        </w:rPr>
        <w:t>GB13457-92</w:t>
      </w:r>
      <w:r>
        <w:rPr>
          <w:rFonts w:ascii="Times New Roman" w:eastAsia="宋体" w:hAnsi="Times New Roman" w:cs="Times New Roman"/>
          <w:bCs/>
        </w:rPr>
        <w:t>）表</w:t>
      </w:r>
      <w:r>
        <w:rPr>
          <w:rFonts w:ascii="Times New Roman" w:eastAsia="宋体" w:hAnsi="Times New Roman" w:cs="Times New Roman"/>
          <w:bCs/>
        </w:rPr>
        <w:t>3</w:t>
      </w:r>
      <w:r>
        <w:rPr>
          <w:rFonts w:ascii="Times New Roman" w:eastAsia="宋体" w:hAnsi="Times New Roman" w:cs="Times New Roman"/>
          <w:bCs/>
        </w:rPr>
        <w:t>三级畜类屠宰加工三级标准限值及</w:t>
      </w:r>
      <w:r>
        <w:rPr>
          <w:rFonts w:ascii="Times New Roman" w:eastAsia="宋体" w:hAnsi="Times New Roman" w:cs="Times New Roman"/>
          <w:bCs/>
          <w:kern w:val="21"/>
        </w:rPr>
        <w:t>五常市民泉污水处理有限公司（五常市山河</w:t>
      </w:r>
      <w:r>
        <w:rPr>
          <w:rFonts w:ascii="Times New Roman" w:eastAsia="宋体" w:hAnsi="Times New Roman" w:cs="Times New Roman"/>
          <w:kern w:val="21"/>
        </w:rPr>
        <w:t>屯林业局污水处理厂）</w:t>
      </w:r>
      <w:r>
        <w:rPr>
          <w:rFonts w:ascii="Times New Roman" w:eastAsia="宋体" w:hAnsi="Times New Roman" w:cs="Times New Roman"/>
        </w:rPr>
        <w:t>进水指标后，排入</w:t>
      </w:r>
      <w:r>
        <w:rPr>
          <w:rFonts w:ascii="Times New Roman" w:eastAsia="宋体" w:hAnsi="Times New Roman" w:cs="Times New Roman"/>
          <w:kern w:val="21"/>
        </w:rPr>
        <w:t>五常市民泉污水处理有限公司（五常市山河屯林业局污水处理厂）</w:t>
      </w:r>
      <w:r>
        <w:rPr>
          <w:rFonts w:ascii="Times New Roman" w:eastAsia="宋体" w:hAnsi="Times New Roman" w:cs="Times New Roman"/>
        </w:rPr>
        <w:t>，排</w:t>
      </w:r>
      <w:r>
        <w:rPr>
          <w:rFonts w:ascii="Times New Roman" w:eastAsia="宋体" w:hAnsi="Times New Roman" w:cs="Times New Roman" w:hint="eastAsia"/>
        </w:rPr>
        <w:t>入拉林河</w:t>
      </w:r>
      <w:r>
        <w:rPr>
          <w:rFonts w:ascii="Times New Roman" w:eastAsia="宋体" w:hAnsi="Times New Roman" w:cs="Times New Roman"/>
        </w:rPr>
        <w:t>。因此正常情况下对地表水无不利影响。</w:t>
      </w:r>
    </w:p>
    <w:p w14:paraId="51EC6F7D" w14:textId="77777777" w:rsidR="00B14D53" w:rsidRDefault="00000000">
      <w:pPr>
        <w:pStyle w:val="afff"/>
        <w:adjustRightInd/>
        <w:snapToGrid/>
        <w:contextualSpacing/>
        <w:jc w:val="both"/>
        <w:rPr>
          <w:rFonts w:ascii="Times New Roman" w:eastAsia="宋体" w:hAnsi="Times New Roman" w:cs="Times New Roman"/>
          <w:snapToGrid w:val="0"/>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）项目在运行后，所有污染物均可达标排放，对敏感点的影响很小。</w:t>
      </w:r>
    </w:p>
    <w:p w14:paraId="767DE15A" w14:textId="77777777" w:rsidR="00B14D53" w:rsidRDefault="00000000">
      <w:pPr>
        <w:spacing w:line="360" w:lineRule="auto"/>
        <w:ind w:firstLineChars="200" w:firstLine="480"/>
        <w:contextualSpacing/>
        <w:rPr>
          <w:sz w:val="24"/>
        </w:rPr>
      </w:pPr>
      <w:r>
        <w:rPr>
          <w:sz w:val="24"/>
        </w:rPr>
        <w:t>（</w:t>
      </w:r>
      <w:r>
        <w:rPr>
          <w:sz w:val="24"/>
        </w:rPr>
        <w:t>3</w:t>
      </w:r>
      <w:r>
        <w:rPr>
          <w:sz w:val="24"/>
        </w:rPr>
        <w:t>）项目产生的固体废物大部分可以综合利用。</w:t>
      </w:r>
    </w:p>
    <w:p w14:paraId="563B3CD2" w14:textId="77777777" w:rsidR="00B14D53" w:rsidRDefault="00000000">
      <w:pPr>
        <w:spacing w:line="360" w:lineRule="auto"/>
        <w:ind w:firstLineChars="200" w:firstLine="480"/>
        <w:contextualSpacing/>
        <w:rPr>
          <w:sz w:val="24"/>
        </w:rPr>
      </w:pPr>
      <w:r>
        <w:rPr>
          <w:sz w:val="24"/>
        </w:rPr>
        <w:t>（</w:t>
      </w:r>
      <w:r>
        <w:rPr>
          <w:sz w:val="24"/>
        </w:rPr>
        <w:t>4</w:t>
      </w:r>
      <w:r>
        <w:rPr>
          <w:sz w:val="24"/>
        </w:rPr>
        <w:t>）在设备选型时，选用低噪声设备，并采取隔声、减振等措施，减少噪声对环境的影响。</w:t>
      </w:r>
    </w:p>
    <w:p w14:paraId="39991955" w14:textId="77777777" w:rsidR="00B14D53" w:rsidRDefault="00000000">
      <w:pPr>
        <w:spacing w:line="360" w:lineRule="auto"/>
        <w:ind w:firstLineChars="200" w:firstLine="480"/>
        <w:contextualSpacing/>
        <w:rPr>
          <w:rFonts w:eastAsiaTheme="minorEastAsia"/>
        </w:rPr>
      </w:pPr>
      <w:r>
        <w:rPr>
          <w:sz w:val="24"/>
        </w:rPr>
        <w:t>由此可见，本项目的环境效益明显，满足达标排放和总量控制要求，并为现有环境所接受。并且，环保设施的经济效益不仅表现在其创造了多少产值，还表现在它的间接经济效益即环保设施的有效运行保证了人类良好的生活条件、生存环境和生产活动的可持续发展以及由此创造的可观经济效益。从该意义上讲，项目环保设施的间接经济效益是非常明显的</w:t>
      </w:r>
      <w:r>
        <w:rPr>
          <w:rFonts w:eastAsiaTheme="minorEastAsia"/>
          <w:sz w:val="24"/>
        </w:rPr>
        <w:t>。</w:t>
      </w:r>
    </w:p>
    <w:p w14:paraId="416DB1F0"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02" w:name="_Toc477954588"/>
      <w:r>
        <w:rPr>
          <w:rFonts w:ascii="Times New Roman" w:eastAsia="黑体" w:hAnsi="Times New Roman" w:cs="Times New Roman"/>
          <w:bCs/>
          <w:sz w:val="28"/>
          <w:szCs w:val="28"/>
        </w:rPr>
        <w:t>7.3.3</w:t>
      </w:r>
      <w:r>
        <w:rPr>
          <w:rFonts w:ascii="Times New Roman" w:eastAsia="黑体" w:hAnsi="Times New Roman" w:cs="Times New Roman"/>
          <w:bCs/>
          <w:sz w:val="28"/>
          <w:szCs w:val="28"/>
        </w:rPr>
        <w:t>环境效益分析</w:t>
      </w:r>
    </w:p>
    <w:p w14:paraId="285018C9" w14:textId="77777777" w:rsidR="00B14D53" w:rsidRDefault="00000000">
      <w:pPr>
        <w:spacing w:line="360" w:lineRule="auto"/>
        <w:ind w:firstLineChars="200" w:firstLine="480"/>
        <w:contextualSpacing/>
        <w:rPr>
          <w:bCs/>
          <w:sz w:val="24"/>
        </w:rPr>
      </w:pPr>
      <w:r>
        <w:rPr>
          <w:bCs/>
          <w:sz w:val="24"/>
        </w:rPr>
        <w:t>本项目工程环境保护投资约为</w:t>
      </w:r>
      <w:r>
        <w:rPr>
          <w:rFonts w:hint="eastAsia"/>
          <w:bCs/>
          <w:sz w:val="24"/>
        </w:rPr>
        <w:t>106</w:t>
      </w:r>
      <w:r>
        <w:rPr>
          <w:bCs/>
          <w:sz w:val="24"/>
        </w:rPr>
        <w:t>万元，通过采取可行的环境保护措施，项目建设的环境影响可以接受，环保投资比较明显。</w:t>
      </w:r>
    </w:p>
    <w:p w14:paraId="23D38D45" w14:textId="77777777" w:rsidR="00B14D53" w:rsidRDefault="00000000">
      <w:pPr>
        <w:spacing w:line="360" w:lineRule="auto"/>
        <w:ind w:firstLineChars="200" w:firstLine="480"/>
        <w:contextualSpacing/>
        <w:rPr>
          <w:bCs/>
          <w:sz w:val="24"/>
        </w:rPr>
      </w:pPr>
      <w:r>
        <w:rPr>
          <w:bCs/>
          <w:sz w:val="24"/>
        </w:rPr>
        <w:t>（</w:t>
      </w:r>
      <w:r>
        <w:rPr>
          <w:bCs/>
          <w:sz w:val="24"/>
        </w:rPr>
        <w:t>1</w:t>
      </w:r>
      <w:r>
        <w:rPr>
          <w:bCs/>
          <w:sz w:val="24"/>
        </w:rPr>
        <w:t>）废气处置</w:t>
      </w:r>
    </w:p>
    <w:p w14:paraId="05DF5707" w14:textId="77777777" w:rsidR="00B14D53" w:rsidRDefault="00000000">
      <w:pPr>
        <w:spacing w:line="360" w:lineRule="auto"/>
        <w:ind w:firstLineChars="200" w:firstLine="480"/>
        <w:contextualSpacing/>
        <w:rPr>
          <w:sz w:val="24"/>
        </w:rPr>
      </w:pPr>
      <w:r>
        <w:rPr>
          <w:bCs/>
          <w:sz w:val="24"/>
        </w:rPr>
        <w:t>本项目待宰</w:t>
      </w:r>
      <w:r>
        <w:rPr>
          <w:rFonts w:hint="eastAsia"/>
          <w:bCs/>
          <w:sz w:val="24"/>
        </w:rPr>
        <w:t>圈猪</w:t>
      </w:r>
      <w:r>
        <w:rPr>
          <w:bCs/>
          <w:sz w:val="24"/>
        </w:rPr>
        <w:t>粪日产日清，并投加或喷洒除臭剂可有效去除恶臭污染物浓度，且</w:t>
      </w:r>
      <w:r>
        <w:rPr>
          <w:rFonts w:hint="eastAsia"/>
          <w:bCs/>
          <w:sz w:val="24"/>
        </w:rPr>
        <w:t>待宰圈</w:t>
      </w:r>
      <w:r>
        <w:rPr>
          <w:bCs/>
          <w:sz w:val="24"/>
        </w:rPr>
        <w:t>封闭，产生的恶臭气体经</w:t>
      </w:r>
      <w:r>
        <w:rPr>
          <w:rFonts w:hint="eastAsia"/>
          <w:bCs/>
          <w:sz w:val="24"/>
        </w:rPr>
        <w:t>引风机集中收集</w:t>
      </w:r>
      <w:r>
        <w:rPr>
          <w:bCs/>
          <w:sz w:val="24"/>
        </w:rPr>
        <w:t>后，通过活性炭吸附净化后</w:t>
      </w:r>
      <w:r>
        <w:rPr>
          <w:rFonts w:hint="eastAsia"/>
          <w:bCs/>
          <w:sz w:val="24"/>
        </w:rPr>
        <w:t>分别</w:t>
      </w:r>
      <w:r>
        <w:rPr>
          <w:bCs/>
          <w:sz w:val="24"/>
        </w:rPr>
        <w:t>由</w:t>
      </w:r>
      <w:r>
        <w:rPr>
          <w:rFonts w:hint="eastAsia"/>
          <w:bCs/>
          <w:sz w:val="24"/>
        </w:rPr>
        <w:t>2</w:t>
      </w:r>
      <w:r>
        <w:rPr>
          <w:rFonts w:hint="eastAsia"/>
          <w:bCs/>
          <w:sz w:val="24"/>
        </w:rPr>
        <w:t>根</w:t>
      </w:r>
      <w:r>
        <w:rPr>
          <w:bCs/>
          <w:sz w:val="24"/>
        </w:rPr>
        <w:t>15m</w:t>
      </w:r>
      <w:r>
        <w:rPr>
          <w:bCs/>
          <w:sz w:val="24"/>
        </w:rPr>
        <w:t>高排气筒排放</w:t>
      </w:r>
      <w:r>
        <w:rPr>
          <w:sz w:val="24"/>
        </w:rPr>
        <w:t>。屠宰车间封闭建设，</w:t>
      </w:r>
      <w:r>
        <w:rPr>
          <w:bCs/>
          <w:sz w:val="24"/>
        </w:rPr>
        <w:t>产生的恶臭气体经</w:t>
      </w:r>
      <w:r>
        <w:rPr>
          <w:rFonts w:hint="eastAsia"/>
          <w:bCs/>
          <w:sz w:val="24"/>
        </w:rPr>
        <w:t>引风机集中收集</w:t>
      </w:r>
      <w:r>
        <w:rPr>
          <w:bCs/>
          <w:sz w:val="24"/>
        </w:rPr>
        <w:t>后，通过活性炭吸附净化后由</w:t>
      </w:r>
      <w:r>
        <w:rPr>
          <w:rFonts w:hint="eastAsia"/>
          <w:bCs/>
          <w:sz w:val="24"/>
        </w:rPr>
        <w:t>1</w:t>
      </w:r>
      <w:r>
        <w:rPr>
          <w:rFonts w:hint="eastAsia"/>
          <w:bCs/>
          <w:sz w:val="24"/>
        </w:rPr>
        <w:t>根</w:t>
      </w:r>
      <w:r>
        <w:rPr>
          <w:bCs/>
          <w:sz w:val="24"/>
        </w:rPr>
        <w:t>15m</w:t>
      </w:r>
      <w:r>
        <w:rPr>
          <w:bCs/>
          <w:sz w:val="24"/>
        </w:rPr>
        <w:t>高排气筒排放</w:t>
      </w:r>
      <w:r>
        <w:rPr>
          <w:sz w:val="24"/>
        </w:rPr>
        <w:t>。</w:t>
      </w:r>
      <w:r>
        <w:rPr>
          <w:bCs/>
          <w:sz w:val="24"/>
        </w:rPr>
        <w:t>污水处理站封闭，产生的恶臭气体经</w:t>
      </w:r>
      <w:r>
        <w:rPr>
          <w:rFonts w:hint="eastAsia"/>
          <w:bCs/>
          <w:sz w:val="24"/>
        </w:rPr>
        <w:t>引风机集中收集</w:t>
      </w:r>
      <w:r>
        <w:rPr>
          <w:bCs/>
          <w:sz w:val="24"/>
        </w:rPr>
        <w:t>后，通过活性炭吸附净化后由</w:t>
      </w:r>
      <w:r>
        <w:rPr>
          <w:rFonts w:hint="eastAsia"/>
          <w:bCs/>
          <w:sz w:val="24"/>
        </w:rPr>
        <w:t>1</w:t>
      </w:r>
      <w:r>
        <w:rPr>
          <w:rFonts w:hint="eastAsia"/>
          <w:bCs/>
          <w:sz w:val="24"/>
        </w:rPr>
        <w:t>根</w:t>
      </w:r>
      <w:r>
        <w:rPr>
          <w:bCs/>
          <w:sz w:val="24"/>
        </w:rPr>
        <w:t>15m</w:t>
      </w:r>
      <w:r>
        <w:rPr>
          <w:bCs/>
          <w:sz w:val="24"/>
        </w:rPr>
        <w:t>高排气筒排放</w:t>
      </w:r>
      <w:r>
        <w:rPr>
          <w:sz w:val="24"/>
        </w:rPr>
        <w:t>。</w:t>
      </w:r>
    </w:p>
    <w:p w14:paraId="641A5B8B" w14:textId="77777777" w:rsidR="00B14D53" w:rsidRDefault="00000000">
      <w:pPr>
        <w:spacing w:line="360" w:lineRule="auto"/>
        <w:ind w:firstLineChars="200" w:firstLine="480"/>
        <w:contextualSpacing/>
        <w:rPr>
          <w:sz w:val="24"/>
        </w:rPr>
      </w:pPr>
      <w:r>
        <w:rPr>
          <w:sz w:val="24"/>
        </w:rPr>
        <w:t>（</w:t>
      </w:r>
      <w:r>
        <w:rPr>
          <w:sz w:val="24"/>
        </w:rPr>
        <w:t>2</w:t>
      </w:r>
      <w:r>
        <w:rPr>
          <w:sz w:val="24"/>
        </w:rPr>
        <w:t>）水环境保护</w:t>
      </w:r>
    </w:p>
    <w:p w14:paraId="6236BF95" w14:textId="77777777" w:rsidR="00B14D53" w:rsidRDefault="00000000">
      <w:pPr>
        <w:pStyle w:val="NormalWeb1"/>
        <w:spacing w:line="360" w:lineRule="auto"/>
        <w:ind w:firstLineChars="200" w:firstLine="480"/>
        <w:jc w:val="both"/>
        <w:rPr>
          <w:rFonts w:ascii="Times New Roman"/>
        </w:rPr>
      </w:pPr>
      <w:r>
        <w:rPr>
          <w:rFonts w:ascii="Times New Roman" w:hint="eastAsia"/>
          <w:kern w:val="21"/>
          <w:szCs w:val="24"/>
        </w:rPr>
        <w:t>生活污水满足</w:t>
      </w:r>
      <w:r>
        <w:rPr>
          <w:rFonts w:ascii="Times New Roman" w:hint="eastAsia"/>
          <w:bCs/>
          <w:kern w:val="2"/>
          <w:szCs w:val="24"/>
        </w:rPr>
        <w:t>《</w:t>
      </w:r>
      <w:r>
        <w:rPr>
          <w:rFonts w:ascii="Times New Roman"/>
          <w:bCs/>
          <w:kern w:val="2"/>
          <w:szCs w:val="24"/>
        </w:rPr>
        <w:t>污水综合排放标准》（</w:t>
      </w:r>
      <w:r>
        <w:rPr>
          <w:rFonts w:ascii="Times New Roman"/>
          <w:bCs/>
          <w:kern w:val="2"/>
          <w:szCs w:val="24"/>
        </w:rPr>
        <w:t>GB8978-1996</w:t>
      </w:r>
      <w:r>
        <w:rPr>
          <w:rFonts w:ascii="Times New Roman"/>
          <w:bCs/>
          <w:kern w:val="2"/>
          <w:szCs w:val="24"/>
        </w:rPr>
        <w:t>）</w:t>
      </w:r>
      <w:r>
        <w:rPr>
          <w:rFonts w:ascii="Times New Roman" w:hint="eastAsia"/>
          <w:bCs/>
          <w:kern w:val="2"/>
          <w:szCs w:val="24"/>
        </w:rPr>
        <w:t>表</w:t>
      </w:r>
      <w:r>
        <w:rPr>
          <w:rFonts w:ascii="Times New Roman" w:hint="eastAsia"/>
          <w:bCs/>
          <w:kern w:val="2"/>
          <w:szCs w:val="24"/>
        </w:rPr>
        <w:t>4</w:t>
      </w:r>
      <w:r>
        <w:rPr>
          <w:rFonts w:ascii="Times New Roman" w:hint="eastAsia"/>
          <w:bCs/>
          <w:kern w:val="2"/>
          <w:szCs w:val="24"/>
        </w:rPr>
        <w:t>三</w:t>
      </w:r>
      <w:r>
        <w:rPr>
          <w:rFonts w:ascii="Times New Roman"/>
          <w:bCs/>
          <w:kern w:val="2"/>
          <w:szCs w:val="24"/>
        </w:rPr>
        <w:t>级标准</w:t>
      </w:r>
      <w:r>
        <w:rPr>
          <w:rFonts w:ascii="Times New Roman" w:hint="eastAsia"/>
          <w:kern w:val="2"/>
          <w:szCs w:val="24"/>
        </w:rPr>
        <w:t>限值及</w:t>
      </w:r>
      <w:r>
        <w:rPr>
          <w:rFonts w:ascii="Times New Roman" w:hint="eastAsia"/>
          <w:kern w:val="21"/>
          <w:szCs w:val="24"/>
        </w:rPr>
        <w:t>五常市民泉污水处理有限公司（五常市山河屯林业局污水处理厂）</w:t>
      </w:r>
      <w:r>
        <w:rPr>
          <w:rFonts w:ascii="Times New Roman"/>
          <w:kern w:val="21"/>
          <w:szCs w:val="24"/>
        </w:rPr>
        <w:t>设计进水水质指标</w:t>
      </w:r>
      <w:r>
        <w:rPr>
          <w:rFonts w:eastAsiaTheme="minorEastAsia" w:hAnsiTheme="minorEastAsia"/>
        </w:rPr>
        <w:t>排入</w:t>
      </w:r>
      <w:r>
        <w:rPr>
          <w:rFonts w:eastAsiaTheme="minorEastAsia" w:hAnsiTheme="minorEastAsia" w:hint="eastAsia"/>
        </w:rPr>
        <w:t>市政管网，经</w:t>
      </w:r>
      <w:r>
        <w:rPr>
          <w:rFonts w:ascii="Times New Roman" w:hint="eastAsia"/>
          <w:kern w:val="21"/>
          <w:szCs w:val="24"/>
        </w:rPr>
        <w:t>五常市民泉污水处理有限公司（五常市山河屯林业局污水处理厂）</w:t>
      </w:r>
      <w:r>
        <w:rPr>
          <w:rFonts w:ascii="Times New Roman"/>
          <w:kern w:val="21"/>
          <w:szCs w:val="24"/>
        </w:rPr>
        <w:t>处理</w:t>
      </w:r>
      <w:r>
        <w:rPr>
          <w:rFonts w:ascii="Times New Roman" w:hint="eastAsia"/>
          <w:kern w:val="21"/>
          <w:szCs w:val="24"/>
        </w:rPr>
        <w:t>达标后</w:t>
      </w:r>
      <w:r>
        <w:rPr>
          <w:rFonts w:ascii="Times New Roman"/>
          <w:kern w:val="21"/>
          <w:szCs w:val="24"/>
        </w:rPr>
        <w:t>排入</w:t>
      </w:r>
      <w:r>
        <w:rPr>
          <w:rFonts w:ascii="Times New Roman" w:hint="eastAsia"/>
          <w:kern w:val="21"/>
          <w:szCs w:val="24"/>
        </w:rPr>
        <w:t>拉林</w:t>
      </w:r>
      <w:r>
        <w:rPr>
          <w:rFonts w:ascii="Times New Roman"/>
          <w:kern w:val="21"/>
          <w:szCs w:val="24"/>
        </w:rPr>
        <w:t>河</w:t>
      </w:r>
      <w:r>
        <w:rPr>
          <w:rFonts w:ascii="Times New Roman" w:hint="eastAsia"/>
          <w:kern w:val="21"/>
          <w:szCs w:val="24"/>
        </w:rPr>
        <w:t>。生产</w:t>
      </w:r>
      <w:r>
        <w:rPr>
          <w:rFonts w:ascii="Times New Roman"/>
          <w:kern w:val="21"/>
          <w:szCs w:val="24"/>
        </w:rPr>
        <w:t>废水经管道送入厂内污水处理站，处理后的废水满足《肉类加工工业水污染物排放标准》</w:t>
      </w:r>
      <w:r>
        <w:rPr>
          <w:rFonts w:ascii="Times New Roman"/>
        </w:rPr>
        <w:t>（</w:t>
      </w:r>
      <w:r>
        <w:rPr>
          <w:rFonts w:ascii="Times New Roman"/>
        </w:rPr>
        <w:t>GB13457-92</w:t>
      </w:r>
      <w:r>
        <w:rPr>
          <w:rFonts w:ascii="Times New Roman"/>
        </w:rPr>
        <w:t>）表</w:t>
      </w:r>
      <w:r>
        <w:rPr>
          <w:rFonts w:ascii="Times New Roman"/>
        </w:rPr>
        <w:t>3</w:t>
      </w:r>
      <w:r>
        <w:rPr>
          <w:rFonts w:ascii="Times New Roman"/>
          <w:kern w:val="21"/>
          <w:szCs w:val="24"/>
        </w:rPr>
        <w:t>中畜类屠宰加工及肉制品加工三级标准及五常市民泉污水处理有限公司（五常市山河屯林业局污水处理厂）</w:t>
      </w:r>
      <w:r>
        <w:rPr>
          <w:rFonts w:ascii="Times New Roman"/>
        </w:rPr>
        <w:t>进水指标后，排入</w:t>
      </w:r>
      <w:r>
        <w:rPr>
          <w:rFonts w:ascii="Times New Roman"/>
          <w:kern w:val="21"/>
          <w:szCs w:val="24"/>
        </w:rPr>
        <w:t>五常市民泉污水处理有限公司（五常市山河屯林业局污水处理厂）</w:t>
      </w:r>
      <w:r>
        <w:rPr>
          <w:rFonts w:ascii="Times New Roman"/>
        </w:rPr>
        <w:t>，排</w:t>
      </w:r>
      <w:r>
        <w:rPr>
          <w:rFonts w:ascii="Times New Roman" w:hint="eastAsia"/>
        </w:rPr>
        <w:t>入拉林河</w:t>
      </w:r>
      <w:r>
        <w:rPr>
          <w:rFonts w:ascii="Times New Roman" w:hint="eastAsia"/>
          <w:kern w:val="21"/>
          <w:szCs w:val="24"/>
        </w:rPr>
        <w:t>。</w:t>
      </w:r>
      <w:r>
        <w:rPr>
          <w:rFonts w:ascii="Times New Roman"/>
        </w:rPr>
        <w:t>水污染物大幅度减少，对地表水体的影响降低到最小程度。</w:t>
      </w:r>
    </w:p>
    <w:p w14:paraId="69609A08" w14:textId="77777777" w:rsidR="00B14D53" w:rsidRDefault="00000000">
      <w:pPr>
        <w:spacing w:line="360" w:lineRule="auto"/>
        <w:ind w:firstLineChars="200" w:firstLine="480"/>
        <w:contextualSpacing/>
        <w:rPr>
          <w:sz w:val="24"/>
        </w:rPr>
      </w:pPr>
      <w:r>
        <w:rPr>
          <w:sz w:val="24"/>
        </w:rPr>
        <w:t>（</w:t>
      </w:r>
      <w:r>
        <w:rPr>
          <w:sz w:val="24"/>
        </w:rPr>
        <w:t>3</w:t>
      </w:r>
      <w:r>
        <w:rPr>
          <w:sz w:val="24"/>
        </w:rPr>
        <w:t>）地下水防渗</w:t>
      </w:r>
    </w:p>
    <w:p w14:paraId="3A021C1E" w14:textId="77777777" w:rsidR="00B14D53" w:rsidRDefault="00000000">
      <w:pPr>
        <w:spacing w:line="360" w:lineRule="auto"/>
        <w:ind w:firstLineChars="200" w:firstLine="480"/>
        <w:contextualSpacing/>
        <w:rPr>
          <w:sz w:val="24"/>
        </w:rPr>
      </w:pPr>
      <w:r>
        <w:rPr>
          <w:sz w:val="24"/>
        </w:rPr>
        <w:t>危废贮存点按重点防渗区采取防渗措施；屠宰车间、待宰圈、宰前喷淋间、隔离间、急宰间、污水处理站、事故池按一般防渗区采取防渗措施；</w:t>
      </w:r>
      <w:r>
        <w:rPr>
          <w:rFonts w:eastAsiaTheme="minorEastAsia" w:hint="eastAsia"/>
          <w:sz w:val="24"/>
        </w:rPr>
        <w:t>厂内道路、休息室、</w:t>
      </w:r>
      <w:r>
        <w:rPr>
          <w:rFonts w:eastAsiaTheme="minorEastAsia" w:hint="eastAsia"/>
          <w:sz w:val="24"/>
        </w:rPr>
        <w:t>1#</w:t>
      </w:r>
      <w:r>
        <w:rPr>
          <w:rFonts w:eastAsiaTheme="minorEastAsia" w:hint="eastAsia"/>
          <w:sz w:val="24"/>
        </w:rPr>
        <w:t>辅助间内其余房间、杂物库房、仓库、冷库系统、</w:t>
      </w:r>
      <w:r>
        <w:rPr>
          <w:rFonts w:eastAsiaTheme="minorEastAsia" w:hint="eastAsia"/>
          <w:sz w:val="24"/>
        </w:rPr>
        <w:t>2#</w:t>
      </w:r>
      <w:r>
        <w:rPr>
          <w:rFonts w:eastAsiaTheme="minorEastAsia" w:hint="eastAsia"/>
          <w:sz w:val="24"/>
        </w:rPr>
        <w:t>辅助间</w:t>
      </w:r>
      <w:r>
        <w:rPr>
          <w:sz w:val="24"/>
          <w:lang w:val="en-GB"/>
        </w:rPr>
        <w:t>等</w:t>
      </w:r>
      <w:r>
        <w:rPr>
          <w:sz w:val="24"/>
        </w:rPr>
        <w:t>采取简单防渗，对其地面采用混凝土进行一般地面硬化，避免了对地下水的污染。</w:t>
      </w:r>
    </w:p>
    <w:p w14:paraId="7DFD845C" w14:textId="77777777" w:rsidR="00B14D53" w:rsidRDefault="00000000">
      <w:pPr>
        <w:spacing w:line="360" w:lineRule="auto"/>
        <w:ind w:firstLineChars="200" w:firstLine="480"/>
        <w:contextualSpacing/>
        <w:rPr>
          <w:sz w:val="24"/>
        </w:rPr>
      </w:pPr>
      <w:r>
        <w:rPr>
          <w:sz w:val="24"/>
        </w:rPr>
        <w:t>（</w:t>
      </w:r>
      <w:r>
        <w:rPr>
          <w:sz w:val="24"/>
        </w:rPr>
        <w:t>4</w:t>
      </w:r>
      <w:r>
        <w:rPr>
          <w:sz w:val="24"/>
        </w:rPr>
        <w:t>）噪声治理</w:t>
      </w:r>
    </w:p>
    <w:p w14:paraId="01CBB8FC" w14:textId="77777777" w:rsidR="00B14D53" w:rsidRDefault="00000000">
      <w:pPr>
        <w:spacing w:line="360" w:lineRule="auto"/>
        <w:ind w:firstLineChars="200" w:firstLine="480"/>
        <w:contextualSpacing/>
        <w:rPr>
          <w:sz w:val="24"/>
        </w:rPr>
      </w:pPr>
      <w:r>
        <w:rPr>
          <w:sz w:val="24"/>
        </w:rPr>
        <w:t>本项目通过选用低噪声设备、厂房隔声、基础减振、</w:t>
      </w:r>
      <w:r>
        <w:rPr>
          <w:rFonts w:hint="eastAsia"/>
          <w:sz w:val="24"/>
        </w:rPr>
        <w:t>夜间不生产、</w:t>
      </w:r>
      <w:r>
        <w:rPr>
          <w:sz w:val="24"/>
        </w:rPr>
        <w:t>绿化降噪措施，可降低噪声对周围环境的影响。</w:t>
      </w:r>
    </w:p>
    <w:p w14:paraId="7F843CE3" w14:textId="77777777" w:rsidR="00B14D53" w:rsidRDefault="00000000">
      <w:pPr>
        <w:spacing w:line="360" w:lineRule="auto"/>
        <w:ind w:firstLineChars="200" w:firstLine="480"/>
        <w:contextualSpacing/>
        <w:rPr>
          <w:sz w:val="24"/>
        </w:rPr>
      </w:pPr>
      <w:r>
        <w:rPr>
          <w:sz w:val="24"/>
        </w:rPr>
        <w:t>（</w:t>
      </w:r>
      <w:r>
        <w:rPr>
          <w:sz w:val="24"/>
        </w:rPr>
        <w:t>5</w:t>
      </w:r>
      <w:r>
        <w:rPr>
          <w:sz w:val="24"/>
        </w:rPr>
        <w:t>）固废处理措施</w:t>
      </w:r>
    </w:p>
    <w:p w14:paraId="0F20CA27" w14:textId="77777777" w:rsidR="00B14D53" w:rsidRDefault="00000000">
      <w:pPr>
        <w:spacing w:line="360" w:lineRule="auto"/>
        <w:ind w:firstLineChars="200" w:firstLine="480"/>
        <w:contextualSpacing/>
        <w:rPr>
          <w:sz w:val="24"/>
        </w:rPr>
      </w:pPr>
      <w:r>
        <w:rPr>
          <w:sz w:val="24"/>
        </w:rPr>
        <w:t>本项目固体废物分类收集、分类妥善处理，避免了对周边环境卫生的影响，有利于人群健康和景观的改善。</w:t>
      </w:r>
    </w:p>
    <w:p w14:paraId="77F8041E" w14:textId="77777777" w:rsidR="00B14D53" w:rsidRDefault="00000000">
      <w:pPr>
        <w:spacing w:line="360" w:lineRule="auto"/>
        <w:ind w:firstLineChars="200" w:firstLine="480"/>
        <w:contextualSpacing/>
        <w:rPr>
          <w:sz w:val="24"/>
        </w:rPr>
      </w:pPr>
      <w:r>
        <w:rPr>
          <w:sz w:val="24"/>
        </w:rPr>
        <w:t>综上所述，由环境影响导致的经济损失较拟建项目带来的环境效益和经济效益要小的多，工程的建设将产生广泛的经济效益，拉动地区经济增长和社会发展，同时在环境保护方面也是可以接受的。</w:t>
      </w:r>
    </w:p>
    <w:p w14:paraId="00C2FDD2"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303" w:name="_Toc30323"/>
      <w:bookmarkStart w:id="304" w:name="_Toc4706"/>
      <w:r>
        <w:rPr>
          <w:rFonts w:ascii="Times New Roman" w:eastAsia="黑体" w:hAnsi="Times New Roman" w:cs="Times New Roman"/>
          <w:b w:val="0"/>
          <w:bCs w:val="0"/>
          <w:sz w:val="30"/>
          <w:szCs w:val="30"/>
        </w:rPr>
        <w:t>7.4</w:t>
      </w:r>
      <w:r>
        <w:rPr>
          <w:rFonts w:ascii="Times New Roman" w:eastAsia="黑体" w:hAnsi="Times New Roman" w:cs="Times New Roman"/>
          <w:b w:val="0"/>
          <w:bCs w:val="0"/>
          <w:sz w:val="30"/>
          <w:szCs w:val="30"/>
        </w:rPr>
        <w:t>小结</w:t>
      </w:r>
      <w:bookmarkEnd w:id="303"/>
      <w:bookmarkEnd w:id="304"/>
    </w:p>
    <w:p w14:paraId="53900BC6" w14:textId="77777777" w:rsidR="00B14D53" w:rsidRDefault="00000000">
      <w:pPr>
        <w:pStyle w:val="afff"/>
        <w:adjustRightInd/>
        <w:snapToGrid/>
        <w:jc w:val="both"/>
        <w:rPr>
          <w:rStyle w:val="Char0"/>
          <w:rFonts w:ascii="Times New Roman" w:hAnsi="Times New Roman" w:cs="Times New Roman"/>
        </w:rPr>
      </w:pPr>
      <w:r>
        <w:rPr>
          <w:rFonts w:ascii="Times New Roman" w:hAnsi="Times New Roman" w:cs="Times New Roman"/>
        </w:rPr>
        <w:t>综上所述，在落实本评价提出的各项污染防治措施的前提下，本项目的建设能够达到经济效益、社会效益和环境效益的统一，既为地方经济发展做出贡献，又使污染物排放量在环境容量容许的范围内降低到最低。因此本项目的建设从环境影响经济损益的角度分析是可行的</w:t>
      </w:r>
      <w:r>
        <w:rPr>
          <w:rStyle w:val="Char0"/>
          <w:rFonts w:ascii="Times New Roman" w:hAnsi="Times New Roman" w:cs="Times New Roman"/>
        </w:rPr>
        <w:t>。</w:t>
      </w:r>
    </w:p>
    <w:p w14:paraId="58208465" w14:textId="77777777" w:rsidR="00B14D53" w:rsidRDefault="00B14D53">
      <w:pPr>
        <w:pStyle w:val="afff"/>
        <w:adjustRightInd/>
        <w:snapToGrid/>
        <w:jc w:val="both"/>
        <w:rPr>
          <w:rStyle w:val="Char0"/>
          <w:rFonts w:ascii="Times New Roman" w:hAnsi="Times New Roman" w:cs="Times New Roman"/>
        </w:rPr>
      </w:pPr>
    </w:p>
    <w:p w14:paraId="7283F759" w14:textId="77777777" w:rsidR="00B14D53" w:rsidRDefault="00B14D53">
      <w:pPr>
        <w:pStyle w:val="afff"/>
        <w:adjustRightInd/>
        <w:snapToGrid/>
        <w:jc w:val="both"/>
        <w:rPr>
          <w:rStyle w:val="Char0"/>
          <w:rFonts w:ascii="Times New Roman" w:hAnsi="Times New Roman" w:cs="Times New Roman"/>
        </w:rPr>
        <w:sectPr w:rsidR="00B14D53">
          <w:pgSz w:w="11906" w:h="16838"/>
          <w:pgMar w:top="1440" w:right="1797" w:bottom="1440" w:left="1797" w:header="851" w:footer="992" w:gutter="0"/>
          <w:cols w:space="425"/>
          <w:docGrid w:type="linesAndChars" w:linePitch="326"/>
        </w:sectPr>
      </w:pPr>
    </w:p>
    <w:p w14:paraId="4BB4F74F" w14:textId="77777777" w:rsidR="00B14D53" w:rsidRDefault="00000000">
      <w:pPr>
        <w:pStyle w:val="1"/>
        <w:spacing w:before="100" w:beforeAutospacing="1" w:after="0" w:line="240" w:lineRule="auto"/>
        <w:ind w:firstLineChars="200" w:firstLine="640"/>
        <w:rPr>
          <w:rFonts w:eastAsia="黑体"/>
          <w:b w:val="0"/>
          <w:bCs w:val="0"/>
          <w:sz w:val="32"/>
          <w:szCs w:val="32"/>
        </w:rPr>
      </w:pPr>
      <w:bookmarkStart w:id="305" w:name="_Toc26587"/>
      <w:r>
        <w:rPr>
          <w:rFonts w:eastAsia="黑体" w:hint="eastAsia"/>
          <w:b w:val="0"/>
          <w:bCs w:val="0"/>
          <w:sz w:val="32"/>
          <w:szCs w:val="32"/>
        </w:rPr>
        <w:t>8</w:t>
      </w:r>
      <w:r>
        <w:rPr>
          <w:rFonts w:eastAsia="黑体" w:hint="eastAsia"/>
          <w:b w:val="0"/>
          <w:bCs w:val="0"/>
          <w:sz w:val="32"/>
          <w:szCs w:val="32"/>
        </w:rPr>
        <w:t>环境管理与监测计划</w:t>
      </w:r>
      <w:bookmarkEnd w:id="302"/>
      <w:bookmarkEnd w:id="305"/>
    </w:p>
    <w:p w14:paraId="788073C7"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306" w:name="_Toc12495"/>
      <w:bookmarkStart w:id="307" w:name="_Toc477954589"/>
      <w:r>
        <w:rPr>
          <w:rFonts w:ascii="Times New Roman" w:eastAsia="黑体" w:hAnsi="Times New Roman" w:cs="Times New Roman"/>
          <w:b w:val="0"/>
          <w:bCs w:val="0"/>
          <w:sz w:val="30"/>
          <w:szCs w:val="30"/>
        </w:rPr>
        <w:t>8.1</w:t>
      </w:r>
      <w:r>
        <w:rPr>
          <w:rFonts w:ascii="Times New Roman" w:eastAsia="黑体" w:hAnsi="Times New Roman" w:cs="Times New Roman"/>
          <w:b w:val="0"/>
          <w:bCs w:val="0"/>
          <w:sz w:val="30"/>
          <w:szCs w:val="30"/>
        </w:rPr>
        <w:t>环境管理</w:t>
      </w:r>
      <w:bookmarkEnd w:id="306"/>
      <w:bookmarkEnd w:id="307"/>
    </w:p>
    <w:p w14:paraId="72E69093" w14:textId="77777777" w:rsidR="00B14D53" w:rsidRDefault="00000000">
      <w:pPr>
        <w:spacing w:line="360" w:lineRule="auto"/>
        <w:ind w:firstLineChars="200" w:firstLine="480"/>
        <w:contextualSpacing/>
        <w:rPr>
          <w:rFonts w:eastAsiaTheme="minorEastAsia"/>
          <w:sz w:val="24"/>
        </w:rPr>
      </w:pPr>
      <w:r>
        <w:rPr>
          <w:rFonts w:eastAsiaTheme="minorEastAsia"/>
          <w:sz w:val="24"/>
        </w:rPr>
        <w:t>环境管理是以环境科学理论为基础，运用经济、法律、技术、行政、教育等手段对经济、社会发展过程中施加给环境的污染和破坏影响进行调节控制，实现经济、社会和环境效益的和谐统一。</w:t>
      </w:r>
    </w:p>
    <w:p w14:paraId="12455E34" w14:textId="77777777" w:rsidR="00B14D53" w:rsidRDefault="00000000">
      <w:pPr>
        <w:spacing w:line="360" w:lineRule="auto"/>
        <w:ind w:firstLineChars="200" w:firstLine="480"/>
        <w:contextualSpacing/>
        <w:rPr>
          <w:rFonts w:eastAsiaTheme="minorEastAsia"/>
          <w:sz w:val="24"/>
        </w:rPr>
      </w:pPr>
      <w:r>
        <w:rPr>
          <w:rFonts w:eastAsiaTheme="minorEastAsia"/>
          <w:sz w:val="24"/>
        </w:rPr>
        <w:t>为全面贯彻和落实国家及地方环保法律、法规，加强企业内部污染物排放监督控制，本项目将环境保护纳入企业管理和生产计划之中，企业内部必须建立相应的环境管理机构及监控计划。</w:t>
      </w:r>
    </w:p>
    <w:p w14:paraId="0A3B9BAE" w14:textId="77777777" w:rsidR="00B14D53" w:rsidRDefault="00000000">
      <w:pPr>
        <w:pStyle w:val="afff"/>
        <w:adjustRightInd/>
        <w:snapToGrid/>
        <w:contextualSpacing/>
        <w:jc w:val="both"/>
        <w:rPr>
          <w:rFonts w:ascii="Times New Roman" w:hAnsi="Times New Roman" w:cs="Times New Roman"/>
        </w:rPr>
      </w:pPr>
      <w:bookmarkStart w:id="308" w:name="_Toc342462534"/>
      <w:bookmarkStart w:id="309" w:name="_Toc477954590"/>
      <w:r>
        <w:rPr>
          <w:rFonts w:ascii="Times New Roman" w:hAnsi="Times New Roman" w:cs="Times New Roman"/>
        </w:rPr>
        <w:t>1</w:t>
      </w:r>
      <w:r>
        <w:rPr>
          <w:rFonts w:ascii="Times New Roman" w:hAnsi="Times New Roman" w:cs="Times New Roman"/>
        </w:rPr>
        <w:t>、管理机构</w:t>
      </w:r>
    </w:p>
    <w:p w14:paraId="2BD00AD3"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工业企业环境管理，就是以管理工程和环境科学的理论为基础，运用技术、经济、法律、行政和教育手段，对损害环境质量的生产经营活动加以限制，协调发展生产与保护环境的关系，使生产目标与环境目标统一起来，经济效益与环境效益统一起来。</w:t>
      </w:r>
    </w:p>
    <w:p w14:paraId="673C055C"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根据本项目的污染特点，建设单位应有一名副经理负责环保工作，设立环境保护管理机构，配备专职环保管理人员两人。</w:t>
      </w:r>
    </w:p>
    <w:p w14:paraId="04A689EB"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2</w:t>
      </w:r>
      <w:r>
        <w:rPr>
          <w:rFonts w:ascii="Times New Roman" w:hAnsi="Times New Roman" w:cs="Times New Roman"/>
        </w:rPr>
        <w:t>、企业环境管理机构的基本职能与职责</w:t>
      </w:r>
    </w:p>
    <w:p w14:paraId="0405BAA4"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）基本职能</w:t>
      </w:r>
    </w:p>
    <w:p w14:paraId="6AD5D6E1"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企业环境管理机构是企业管理工作的职能部门，其基本职能有以下三方面：</w:t>
      </w:r>
    </w:p>
    <w:p w14:paraId="28A16383" w14:textId="77777777" w:rsidR="00B14D53" w:rsidRDefault="00000000">
      <w:pPr>
        <w:pStyle w:val="afff"/>
        <w:adjustRightInd/>
        <w:snapToGrid/>
        <w:contextualSpacing/>
        <w:jc w:val="both"/>
        <w:rPr>
          <w:rFonts w:ascii="宋体" w:eastAsia="宋体" w:hAnsi="宋体" w:cs="Times New Roman" w:hint="eastAsia"/>
        </w:rPr>
      </w:pPr>
      <w:r>
        <w:rPr>
          <w:rFonts w:ascii="宋体" w:eastAsia="宋体" w:hAnsi="宋体" w:cs="Times New Roman"/>
        </w:rPr>
        <w:t>①组织编制环境计划（包括规划）；</w:t>
      </w:r>
    </w:p>
    <w:p w14:paraId="5273501C" w14:textId="77777777" w:rsidR="00B14D53" w:rsidRDefault="00000000">
      <w:pPr>
        <w:pStyle w:val="afff"/>
        <w:adjustRightInd/>
        <w:snapToGrid/>
        <w:contextualSpacing/>
        <w:jc w:val="both"/>
        <w:rPr>
          <w:rFonts w:ascii="宋体" w:eastAsia="宋体" w:hAnsi="宋体" w:cs="Times New Roman" w:hint="eastAsia"/>
        </w:rPr>
      </w:pPr>
      <w:r>
        <w:rPr>
          <w:rFonts w:ascii="宋体" w:eastAsia="宋体" w:hAnsi="宋体" w:cs="Times New Roman"/>
        </w:rPr>
        <w:t>②组织环境保护工作的协调；</w:t>
      </w:r>
    </w:p>
    <w:p w14:paraId="2CD532DE" w14:textId="77777777" w:rsidR="00B14D53" w:rsidRDefault="00000000">
      <w:pPr>
        <w:pStyle w:val="afff"/>
        <w:adjustRightInd/>
        <w:snapToGrid/>
        <w:contextualSpacing/>
        <w:jc w:val="both"/>
        <w:rPr>
          <w:rFonts w:ascii="宋体" w:eastAsia="宋体" w:hAnsi="宋体" w:cs="Times New Roman" w:hint="eastAsia"/>
        </w:rPr>
      </w:pPr>
      <w:r>
        <w:rPr>
          <w:rFonts w:ascii="宋体" w:eastAsia="宋体" w:hAnsi="宋体" w:cs="Times New Roman"/>
        </w:rPr>
        <w:t>③实施企业环境监督。</w:t>
      </w:r>
    </w:p>
    <w:p w14:paraId="0A0D2952"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）主要工作职责</w:t>
      </w:r>
    </w:p>
    <w:p w14:paraId="35F6EAE2"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a</w:t>
      </w:r>
      <w:r>
        <w:rPr>
          <w:rFonts w:ascii="Times New Roman" w:hAnsi="Times New Roman" w:cs="Times New Roman"/>
        </w:rPr>
        <w:t>、督促、检查本企业执行国家环境保护方针、政策、法规及本企业环境保护制度；</w:t>
      </w:r>
    </w:p>
    <w:p w14:paraId="5C9DAD80"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、拟定本企业环境管理办法，按照国家和地区的规定</w:t>
      </w:r>
      <w:r>
        <w:rPr>
          <w:rFonts w:ascii="Times New Roman" w:hAnsi="Times New Roman" w:cs="Times New Roman" w:hint="eastAsia"/>
        </w:rPr>
        <w:t>制定</w:t>
      </w:r>
      <w:r>
        <w:rPr>
          <w:rFonts w:ascii="Times New Roman" w:hAnsi="Times New Roman" w:cs="Times New Roman"/>
        </w:rPr>
        <w:t>本企业污染物排放指标和污染综合防治的经济技术原则，做好企业升级环保考核工作；</w:t>
      </w:r>
    </w:p>
    <w:p w14:paraId="2815F9B1"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、负责组织污染源调查，填写环保报表；</w:t>
      </w:r>
    </w:p>
    <w:p w14:paraId="6E18CE3E"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、组织推动本企业在基本建设、技术改造中，贯彻执行</w:t>
      </w:r>
      <w:r>
        <w:rPr>
          <w:rFonts w:ascii="Times New Roman" w:hAnsi="Times New Roman" w:cs="Times New Roman"/>
        </w:rPr>
        <w:t>“</w:t>
      </w:r>
      <w:r>
        <w:rPr>
          <w:rFonts w:ascii="Times New Roman" w:hAnsi="Times New Roman" w:cs="Times New Roman"/>
        </w:rPr>
        <w:t>三同时</w:t>
      </w:r>
      <w:r>
        <w:rPr>
          <w:rFonts w:ascii="Times New Roman" w:hAnsi="Times New Roman" w:cs="Times New Roman"/>
        </w:rPr>
        <w:t>”</w:t>
      </w:r>
      <w:r>
        <w:rPr>
          <w:rFonts w:ascii="Times New Roman" w:hAnsi="Times New Roman" w:cs="Times New Roman"/>
        </w:rPr>
        <w:t>的规定，并参加有关方案的审定及竣工验收工作；</w:t>
      </w:r>
    </w:p>
    <w:p w14:paraId="48AD23A6"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、加强与主管环保部</w:t>
      </w:r>
      <w:r>
        <w:rPr>
          <w:rFonts w:ascii="Times New Roman" w:hAnsi="Times New Roman" w:cs="Times New Roman" w:hint="eastAsia"/>
        </w:rPr>
        <w:t>门</w:t>
      </w:r>
      <w:r>
        <w:rPr>
          <w:rFonts w:ascii="Times New Roman" w:hAnsi="Times New Roman" w:cs="Times New Roman"/>
        </w:rPr>
        <w:t>的联系，会同有关单位做好环境预测，制定企业环境保护长远规划和年度计划，并督促实施；</w:t>
      </w:r>
    </w:p>
    <w:p w14:paraId="353D6C59"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、组织有关部门和人员，检查企业环境质量状况及发展趋势；</w:t>
      </w:r>
    </w:p>
    <w:p w14:paraId="10727265"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g</w:t>
      </w:r>
      <w:r>
        <w:rPr>
          <w:rFonts w:ascii="Times New Roman" w:hAnsi="Times New Roman" w:cs="Times New Roman"/>
        </w:rPr>
        <w:t>、监督全厂环境保护设施的运行与污染物的排放；</w:t>
      </w:r>
    </w:p>
    <w:p w14:paraId="119B3AED"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h</w:t>
      </w:r>
      <w:r>
        <w:rPr>
          <w:rFonts w:ascii="Times New Roman" w:hAnsi="Times New Roman" w:cs="Times New Roman"/>
        </w:rPr>
        <w:t>、会同有关单位组织和开展企业环境科研工作；</w:t>
      </w:r>
    </w:p>
    <w:p w14:paraId="0B304C59"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i</w:t>
      </w:r>
      <w:r>
        <w:rPr>
          <w:rFonts w:ascii="Times New Roman" w:hAnsi="Times New Roman" w:cs="Times New Roman"/>
        </w:rPr>
        <w:t>、负责组织本企业污染事故的调查与处理；</w:t>
      </w:r>
    </w:p>
    <w:p w14:paraId="56EDB94A"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j</w:t>
      </w:r>
      <w:r>
        <w:rPr>
          <w:rFonts w:ascii="Times New Roman" w:hAnsi="Times New Roman" w:cs="Times New Roman"/>
        </w:rPr>
        <w:t>、做好企业环境统计工作，建立环境保护档案；</w:t>
      </w:r>
    </w:p>
    <w:p w14:paraId="78EA263E"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k</w:t>
      </w:r>
      <w:r>
        <w:rPr>
          <w:rFonts w:ascii="Times New Roman" w:hAnsi="Times New Roman" w:cs="Times New Roman"/>
        </w:rPr>
        <w:t>、会同有关单位组织开展清洁生产活动，负责广泛开展环境宣传教育活动，普及环境科学知识，推动清洁生产活动的</w:t>
      </w:r>
      <w:r>
        <w:rPr>
          <w:rFonts w:ascii="Times New Roman" w:hAnsi="Times New Roman" w:cs="Times New Roman" w:hint="eastAsia"/>
        </w:rPr>
        <w:t>深入</w:t>
      </w:r>
      <w:r>
        <w:rPr>
          <w:rFonts w:ascii="Times New Roman" w:hAnsi="Times New Roman" w:cs="Times New Roman"/>
        </w:rPr>
        <w:t>开展。</w:t>
      </w:r>
    </w:p>
    <w:p w14:paraId="49CA1AF9"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3</w:t>
      </w:r>
      <w:r>
        <w:rPr>
          <w:rFonts w:ascii="Times New Roman" w:hAnsi="Times New Roman" w:cs="Times New Roman"/>
        </w:rPr>
        <w:t>、企业管理</w:t>
      </w:r>
    </w:p>
    <w:p w14:paraId="6979A56F"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）确保各项环保设施的正常运转，负责日常维护，并制定事故的应急处理方法；</w:t>
      </w:r>
    </w:p>
    <w:p w14:paraId="7ACC9180"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）加强生产原材料管理，提出清洁生产方案，降低了污染物的可能产生量；</w:t>
      </w:r>
    </w:p>
    <w:p w14:paraId="14F6D736"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）加强对生产设备的管理和维护，杜绝跑、冒、滴、漏现象的发生；</w:t>
      </w:r>
    </w:p>
    <w:p w14:paraId="5CAAE1E5"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）负责企业的日常环境监测工作。</w:t>
      </w:r>
    </w:p>
    <w:p w14:paraId="22A8FFA3"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10" w:name="_Toc15991718"/>
      <w:r>
        <w:rPr>
          <w:rFonts w:ascii="Times New Roman" w:eastAsia="黑体" w:hAnsi="Times New Roman" w:cs="Times New Roman"/>
          <w:bCs/>
          <w:sz w:val="28"/>
          <w:szCs w:val="28"/>
        </w:rPr>
        <w:t>8.1.1</w:t>
      </w:r>
      <w:r>
        <w:rPr>
          <w:rFonts w:ascii="Times New Roman" w:eastAsia="黑体" w:hAnsi="Times New Roman" w:cs="Times New Roman"/>
          <w:bCs/>
          <w:sz w:val="28"/>
          <w:szCs w:val="28"/>
        </w:rPr>
        <w:t>环境管理计划</w:t>
      </w:r>
      <w:bookmarkEnd w:id="310"/>
    </w:p>
    <w:p w14:paraId="4863C3D7" w14:textId="77777777" w:rsidR="00B14D53" w:rsidRDefault="00000000">
      <w:pPr>
        <w:pStyle w:val="afff"/>
        <w:adjustRightInd/>
        <w:snapToGrid/>
        <w:jc w:val="both"/>
        <w:rPr>
          <w:rFonts w:ascii="Times New Roman" w:eastAsia="宋体" w:hAnsi="Times New Roman" w:cs="Times New Roman"/>
          <w:bCs/>
        </w:rPr>
      </w:pPr>
      <w:r>
        <w:rPr>
          <w:rFonts w:ascii="Times New Roman" w:eastAsia="宋体" w:hAnsi="Times New Roman" w:cs="Times New Roman" w:hint="eastAsia"/>
          <w:bCs/>
        </w:rPr>
        <w:t>（</w:t>
      </w:r>
      <w:r>
        <w:rPr>
          <w:rFonts w:ascii="Times New Roman" w:eastAsia="宋体" w:hAnsi="Times New Roman" w:cs="Times New Roman" w:hint="eastAsia"/>
          <w:bCs/>
        </w:rPr>
        <w:t>1</w:t>
      </w:r>
      <w:r>
        <w:rPr>
          <w:rFonts w:ascii="Times New Roman" w:eastAsia="宋体" w:hAnsi="Times New Roman" w:cs="Times New Roman" w:hint="eastAsia"/>
          <w:bCs/>
        </w:rPr>
        <w:t>）</w:t>
      </w:r>
      <w:r>
        <w:rPr>
          <w:rFonts w:ascii="Times New Roman" w:eastAsia="宋体" w:hAnsi="Times New Roman" w:cs="Times New Roman"/>
          <w:bCs/>
        </w:rPr>
        <w:t>环保管理机构应对厂内环保实行统一管理，并对厂区的环境质量全面进行监测。</w:t>
      </w:r>
    </w:p>
    <w:p w14:paraId="365CEEB7" w14:textId="77777777" w:rsidR="00B14D53" w:rsidRDefault="00000000">
      <w:pPr>
        <w:pStyle w:val="afff"/>
        <w:adjustRightInd/>
        <w:snapToGrid/>
        <w:jc w:val="both"/>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w:t>
      </w:r>
      <w:r>
        <w:rPr>
          <w:rFonts w:ascii="Times New Roman" w:eastAsia="宋体" w:hAnsi="Times New Roman" w:cs="Times New Roman"/>
        </w:rPr>
        <w:t>环保管理机构应做好日常环保设施与生产主体设备的统一管理，加强维护、定期检查，确保污染治理设施与主体设备正常运行。当治理设施发生故障时，应启动应急预案，防止污染事故的发生。</w:t>
      </w:r>
    </w:p>
    <w:p w14:paraId="263EB3A1" w14:textId="77777777" w:rsidR="00B14D53" w:rsidRDefault="00000000">
      <w:pPr>
        <w:pStyle w:val="afff"/>
        <w:adjustRightInd/>
        <w:snapToGrid/>
        <w:jc w:val="both"/>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3</w:t>
      </w:r>
      <w:r>
        <w:rPr>
          <w:rFonts w:ascii="Times New Roman" w:eastAsia="宋体" w:hAnsi="Times New Roman" w:cs="Times New Roman" w:hint="eastAsia"/>
        </w:rPr>
        <w:t>）</w:t>
      </w:r>
      <w:r>
        <w:rPr>
          <w:rFonts w:ascii="Times New Roman" w:eastAsia="宋体" w:hAnsi="Times New Roman" w:cs="Times New Roman"/>
        </w:rPr>
        <w:t>定期对各项环保工作情况进行考核，制定考核与奖惩的具体办法，将环保考核纳入生产考核的主要部分。</w:t>
      </w:r>
    </w:p>
    <w:p w14:paraId="4E7DF676" w14:textId="77777777" w:rsidR="00B14D53" w:rsidRDefault="00000000">
      <w:pPr>
        <w:pStyle w:val="afff"/>
        <w:adjustRightInd/>
        <w:snapToGrid/>
        <w:jc w:val="both"/>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4</w:t>
      </w:r>
      <w:r>
        <w:rPr>
          <w:rFonts w:ascii="Times New Roman" w:eastAsia="宋体" w:hAnsi="Times New Roman" w:cs="Times New Roman" w:hint="eastAsia"/>
        </w:rPr>
        <w:t>）</w:t>
      </w:r>
      <w:r>
        <w:rPr>
          <w:rFonts w:ascii="Times New Roman" w:eastAsia="宋体" w:hAnsi="Times New Roman" w:cs="Times New Roman"/>
        </w:rPr>
        <w:t>对主要污染源进行定期监测，建立污染源档案。发现污染物非正常排放时，应分析原因，并及时采取相应措施，以控制污染，使污染物满足达标排放要求。</w:t>
      </w:r>
    </w:p>
    <w:p w14:paraId="5164F7F0" w14:textId="77777777" w:rsidR="00B14D53" w:rsidRDefault="00000000">
      <w:pPr>
        <w:pStyle w:val="afff"/>
        <w:adjustRightInd/>
        <w:snapToGrid/>
        <w:jc w:val="both"/>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5</w:t>
      </w:r>
      <w:r>
        <w:rPr>
          <w:rFonts w:ascii="Times New Roman" w:eastAsia="宋体" w:hAnsi="Times New Roman" w:cs="Times New Roman" w:hint="eastAsia"/>
        </w:rPr>
        <w:t>）</w:t>
      </w:r>
      <w:r>
        <w:rPr>
          <w:rFonts w:ascii="Times New Roman" w:eastAsia="宋体" w:hAnsi="Times New Roman" w:cs="Times New Roman"/>
        </w:rPr>
        <w:t>接受省市环保部门的检查、指导，参加有关会议及经验交流活动。</w:t>
      </w:r>
    </w:p>
    <w:p w14:paraId="2988A1AF"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11" w:name="_Toc527121434"/>
      <w:bookmarkStart w:id="312" w:name="_Toc15991720"/>
      <w:r>
        <w:rPr>
          <w:rFonts w:ascii="Times New Roman" w:eastAsia="黑体" w:hAnsi="Times New Roman" w:cs="Times New Roman"/>
          <w:bCs/>
          <w:sz w:val="28"/>
          <w:szCs w:val="28"/>
        </w:rPr>
        <w:t>8.1.</w:t>
      </w:r>
      <w:r>
        <w:rPr>
          <w:rFonts w:ascii="Times New Roman" w:eastAsia="黑体" w:hAnsi="Times New Roman" w:cs="Times New Roman" w:hint="eastAsia"/>
          <w:bCs/>
          <w:sz w:val="28"/>
          <w:szCs w:val="28"/>
        </w:rPr>
        <w:t>2</w:t>
      </w:r>
      <w:r>
        <w:rPr>
          <w:rFonts w:ascii="Times New Roman" w:eastAsia="黑体" w:hAnsi="Times New Roman" w:cs="Times New Roman"/>
          <w:bCs/>
          <w:sz w:val="28"/>
          <w:szCs w:val="28"/>
        </w:rPr>
        <w:t>污染物排放清单及管理要求</w:t>
      </w:r>
      <w:bookmarkEnd w:id="311"/>
      <w:bookmarkEnd w:id="312"/>
    </w:p>
    <w:p w14:paraId="79AF74D6"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lang w:val="zh-CN"/>
        </w:rPr>
      </w:pPr>
      <w:r>
        <w:rPr>
          <w:rFonts w:ascii="Times New Roman" w:eastAsia="黑体" w:hAnsi="Times New Roman" w:cs="Times New Roman"/>
          <w:b w:val="0"/>
          <w:sz w:val="24"/>
          <w:szCs w:val="24"/>
          <w:lang w:val="zh-CN"/>
        </w:rPr>
        <w:t>8.1.</w:t>
      </w:r>
      <w:r>
        <w:rPr>
          <w:rFonts w:ascii="Times New Roman" w:eastAsia="黑体" w:hAnsi="Times New Roman" w:cs="Times New Roman" w:hint="eastAsia"/>
          <w:b w:val="0"/>
          <w:sz w:val="24"/>
          <w:szCs w:val="24"/>
        </w:rPr>
        <w:t>2</w:t>
      </w:r>
      <w:r>
        <w:rPr>
          <w:rFonts w:ascii="Times New Roman" w:eastAsia="黑体" w:hAnsi="Times New Roman" w:cs="Times New Roman"/>
          <w:b w:val="0"/>
          <w:sz w:val="24"/>
          <w:szCs w:val="24"/>
          <w:lang w:val="zh-CN"/>
        </w:rPr>
        <w:t>.1</w:t>
      </w:r>
      <w:r>
        <w:rPr>
          <w:rFonts w:ascii="Times New Roman" w:eastAsia="黑体" w:hAnsi="Times New Roman" w:cs="Times New Roman"/>
          <w:b w:val="0"/>
          <w:sz w:val="24"/>
          <w:szCs w:val="24"/>
          <w:lang w:val="zh-CN"/>
        </w:rPr>
        <w:t>污染物排放清单</w:t>
      </w:r>
    </w:p>
    <w:p w14:paraId="5B2233C5" w14:textId="77777777" w:rsidR="00B14D53" w:rsidRDefault="00000000">
      <w:pPr>
        <w:spacing w:line="360" w:lineRule="auto"/>
        <w:rPr>
          <w:rFonts w:eastAsiaTheme="minorEastAsia"/>
          <w:snapToGrid w:val="0"/>
          <w:kern w:val="0"/>
          <w:sz w:val="24"/>
        </w:rPr>
      </w:pPr>
      <w:r>
        <w:rPr>
          <w:rFonts w:eastAsiaTheme="minorEastAsia"/>
          <w:bCs/>
          <w:snapToGrid w:val="0"/>
          <w:kern w:val="0"/>
          <w:sz w:val="24"/>
        </w:rPr>
        <w:t>本项目污染物排放清单及管理要求</w:t>
      </w:r>
      <w:r>
        <w:rPr>
          <w:rFonts w:eastAsiaTheme="minorEastAsia"/>
          <w:snapToGrid w:val="0"/>
          <w:kern w:val="0"/>
          <w:sz w:val="24"/>
        </w:rPr>
        <w:t>详见下表。</w:t>
      </w:r>
    </w:p>
    <w:p w14:paraId="4A28FA7C" w14:textId="77777777" w:rsidR="00B14D53" w:rsidRDefault="00B14D53">
      <w:pPr>
        <w:spacing w:line="360" w:lineRule="auto"/>
        <w:rPr>
          <w:rFonts w:eastAsiaTheme="minorEastAsia"/>
          <w:snapToGrid w:val="0"/>
          <w:kern w:val="0"/>
          <w:sz w:val="24"/>
        </w:rPr>
      </w:pPr>
    </w:p>
    <w:p w14:paraId="211E52CC" w14:textId="77777777" w:rsidR="00B14D53" w:rsidRDefault="00B14D53">
      <w:pPr>
        <w:spacing w:line="360" w:lineRule="auto"/>
        <w:rPr>
          <w:rFonts w:eastAsiaTheme="minorEastAsia"/>
          <w:snapToGrid w:val="0"/>
          <w:kern w:val="0"/>
          <w:sz w:val="24"/>
        </w:rPr>
        <w:sectPr w:rsidR="00B14D53">
          <w:pgSz w:w="11906" w:h="16838"/>
          <w:pgMar w:top="1440" w:right="1797" w:bottom="1440" w:left="1797" w:header="851" w:footer="992" w:gutter="0"/>
          <w:cols w:space="425"/>
          <w:docGrid w:type="linesAndChars" w:linePitch="326"/>
        </w:sectPr>
      </w:pPr>
    </w:p>
    <w:p w14:paraId="235B173B" w14:textId="77777777" w:rsidR="00B14D53" w:rsidRDefault="00000000">
      <w:pPr>
        <w:jc w:val="center"/>
        <w:rPr>
          <w:b/>
          <w:bCs/>
          <w:lang w:val="zh-CN"/>
        </w:rPr>
      </w:pPr>
      <w:r>
        <w:rPr>
          <w:rFonts w:hint="eastAsia"/>
          <w:b/>
          <w:bCs/>
          <w:lang w:val="zh-CN"/>
        </w:rPr>
        <w:t>表</w:t>
      </w:r>
      <w:r>
        <w:rPr>
          <w:rFonts w:hint="eastAsia"/>
          <w:b/>
          <w:bCs/>
          <w:lang w:val="zh-CN"/>
        </w:rPr>
        <w:t xml:space="preserve">8-1-2 </w:t>
      </w:r>
      <w:r>
        <w:rPr>
          <w:rFonts w:hint="eastAsia"/>
          <w:b/>
          <w:bCs/>
          <w:lang w:val="zh-CN"/>
        </w:rPr>
        <w:t>污染物排放清单一览表</w:t>
      </w:r>
    </w:p>
    <w:tbl>
      <w:tblPr>
        <w:tblW w:w="14181" w:type="dxa"/>
        <w:tblInd w:w="-181"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3"/>
        <w:gridCol w:w="421"/>
        <w:gridCol w:w="959"/>
        <w:gridCol w:w="1012"/>
        <w:gridCol w:w="3616"/>
        <w:gridCol w:w="1408"/>
        <w:gridCol w:w="1408"/>
        <w:gridCol w:w="2778"/>
        <w:gridCol w:w="1838"/>
        <w:gridCol w:w="28"/>
      </w:tblGrid>
      <w:tr w:rsidR="00B14D53" w14:paraId="09703991" w14:textId="77777777">
        <w:trPr>
          <w:gridAfter w:val="1"/>
          <w:wAfter w:w="28" w:type="dxa"/>
          <w:trHeight w:val="228"/>
        </w:trPr>
        <w:tc>
          <w:tcPr>
            <w:tcW w:w="713" w:type="dxa"/>
            <w:tcBorders>
              <w:top w:val="single" w:sz="12" w:space="0" w:color="auto"/>
              <w:bottom w:val="single" w:sz="4" w:space="0" w:color="auto"/>
            </w:tcBorders>
            <w:vAlign w:val="center"/>
          </w:tcPr>
          <w:p w14:paraId="7896F1F8" w14:textId="77777777" w:rsidR="00B14D53" w:rsidRDefault="00000000">
            <w:pPr>
              <w:tabs>
                <w:tab w:val="left" w:pos="360"/>
              </w:tabs>
              <w:autoSpaceDE w:val="0"/>
              <w:autoSpaceDN w:val="0"/>
              <w:contextualSpacing/>
              <w:rPr>
                <w:rFonts w:eastAsiaTheme="minorEastAsia"/>
                <w:b/>
                <w:bCs/>
                <w:szCs w:val="21"/>
              </w:rPr>
            </w:pPr>
            <w:r>
              <w:rPr>
                <w:rFonts w:eastAsiaTheme="minorEastAsia"/>
                <w:b/>
                <w:bCs/>
                <w:szCs w:val="21"/>
              </w:rPr>
              <w:t>类别</w:t>
            </w:r>
          </w:p>
        </w:tc>
        <w:tc>
          <w:tcPr>
            <w:tcW w:w="1380" w:type="dxa"/>
            <w:gridSpan w:val="2"/>
            <w:tcBorders>
              <w:top w:val="single" w:sz="12" w:space="0" w:color="auto"/>
              <w:bottom w:val="single" w:sz="4" w:space="0" w:color="auto"/>
            </w:tcBorders>
            <w:vAlign w:val="center"/>
          </w:tcPr>
          <w:p w14:paraId="51CDB87F" w14:textId="77777777" w:rsidR="00B14D53" w:rsidRDefault="00000000">
            <w:pPr>
              <w:tabs>
                <w:tab w:val="left" w:pos="360"/>
              </w:tabs>
              <w:autoSpaceDE w:val="0"/>
              <w:autoSpaceDN w:val="0"/>
              <w:contextualSpacing/>
              <w:jc w:val="center"/>
              <w:rPr>
                <w:rFonts w:eastAsiaTheme="minorEastAsia"/>
                <w:b/>
                <w:bCs/>
                <w:szCs w:val="21"/>
              </w:rPr>
            </w:pPr>
            <w:r>
              <w:rPr>
                <w:rFonts w:eastAsiaTheme="minorEastAsia"/>
                <w:b/>
                <w:bCs/>
                <w:szCs w:val="21"/>
              </w:rPr>
              <w:t>项目</w:t>
            </w:r>
          </w:p>
        </w:tc>
        <w:tc>
          <w:tcPr>
            <w:tcW w:w="1012" w:type="dxa"/>
            <w:tcBorders>
              <w:top w:val="single" w:sz="12" w:space="0" w:color="auto"/>
              <w:bottom w:val="single" w:sz="4" w:space="0" w:color="auto"/>
            </w:tcBorders>
            <w:vAlign w:val="center"/>
          </w:tcPr>
          <w:p w14:paraId="5C2BAE49" w14:textId="77777777" w:rsidR="00B14D53" w:rsidRDefault="00000000">
            <w:pPr>
              <w:tabs>
                <w:tab w:val="left" w:pos="360"/>
              </w:tabs>
              <w:autoSpaceDE w:val="0"/>
              <w:autoSpaceDN w:val="0"/>
              <w:contextualSpacing/>
              <w:jc w:val="center"/>
              <w:rPr>
                <w:rFonts w:eastAsiaTheme="minorEastAsia"/>
                <w:b/>
                <w:bCs/>
                <w:spacing w:val="-17"/>
                <w:szCs w:val="21"/>
              </w:rPr>
            </w:pPr>
            <w:r>
              <w:rPr>
                <w:rFonts w:eastAsiaTheme="minorEastAsia"/>
                <w:b/>
                <w:bCs/>
                <w:spacing w:val="-17"/>
                <w:szCs w:val="21"/>
              </w:rPr>
              <w:t>污染因子</w:t>
            </w:r>
          </w:p>
        </w:tc>
        <w:tc>
          <w:tcPr>
            <w:tcW w:w="3616" w:type="dxa"/>
            <w:tcBorders>
              <w:top w:val="single" w:sz="12" w:space="0" w:color="auto"/>
              <w:bottom w:val="single" w:sz="4" w:space="0" w:color="auto"/>
            </w:tcBorders>
            <w:vAlign w:val="center"/>
          </w:tcPr>
          <w:p w14:paraId="12CA11AC" w14:textId="77777777" w:rsidR="00B14D53" w:rsidRDefault="00000000">
            <w:pPr>
              <w:tabs>
                <w:tab w:val="left" w:pos="360"/>
              </w:tabs>
              <w:autoSpaceDE w:val="0"/>
              <w:autoSpaceDN w:val="0"/>
              <w:contextualSpacing/>
              <w:jc w:val="center"/>
              <w:rPr>
                <w:rFonts w:eastAsiaTheme="minorEastAsia"/>
                <w:b/>
                <w:bCs/>
                <w:szCs w:val="21"/>
              </w:rPr>
            </w:pPr>
            <w:r>
              <w:rPr>
                <w:rFonts w:eastAsiaTheme="minorEastAsia"/>
                <w:b/>
                <w:bCs/>
                <w:szCs w:val="21"/>
              </w:rPr>
              <w:t>污染防治措施</w:t>
            </w:r>
          </w:p>
        </w:tc>
        <w:tc>
          <w:tcPr>
            <w:tcW w:w="1408" w:type="dxa"/>
            <w:tcBorders>
              <w:top w:val="single" w:sz="12" w:space="0" w:color="auto"/>
              <w:bottom w:val="single" w:sz="4" w:space="0" w:color="auto"/>
            </w:tcBorders>
            <w:vAlign w:val="center"/>
          </w:tcPr>
          <w:p w14:paraId="6D149D38" w14:textId="77777777" w:rsidR="00B14D53" w:rsidRDefault="00000000">
            <w:pPr>
              <w:tabs>
                <w:tab w:val="left" w:pos="360"/>
              </w:tabs>
              <w:autoSpaceDE w:val="0"/>
              <w:autoSpaceDN w:val="0"/>
              <w:contextualSpacing/>
              <w:jc w:val="center"/>
              <w:rPr>
                <w:rFonts w:eastAsiaTheme="minorEastAsia"/>
                <w:b/>
                <w:bCs/>
                <w:szCs w:val="21"/>
              </w:rPr>
            </w:pPr>
            <w:r>
              <w:rPr>
                <w:rFonts w:eastAsiaTheme="minorEastAsia"/>
                <w:b/>
                <w:bCs/>
                <w:szCs w:val="21"/>
              </w:rPr>
              <w:t>排放浓度</w:t>
            </w:r>
          </w:p>
        </w:tc>
        <w:tc>
          <w:tcPr>
            <w:tcW w:w="1408" w:type="dxa"/>
            <w:tcBorders>
              <w:top w:val="single" w:sz="12" w:space="0" w:color="auto"/>
              <w:bottom w:val="single" w:sz="4" w:space="0" w:color="auto"/>
            </w:tcBorders>
            <w:vAlign w:val="center"/>
          </w:tcPr>
          <w:p w14:paraId="4AE04DDA" w14:textId="77777777" w:rsidR="00B14D53" w:rsidRDefault="00000000">
            <w:pPr>
              <w:tabs>
                <w:tab w:val="left" w:pos="360"/>
              </w:tabs>
              <w:autoSpaceDE w:val="0"/>
              <w:autoSpaceDN w:val="0"/>
              <w:contextualSpacing/>
              <w:jc w:val="center"/>
              <w:rPr>
                <w:rFonts w:eastAsiaTheme="minorEastAsia"/>
                <w:b/>
                <w:bCs/>
                <w:szCs w:val="21"/>
              </w:rPr>
            </w:pPr>
            <w:r>
              <w:rPr>
                <w:rFonts w:eastAsiaTheme="minorEastAsia"/>
                <w:b/>
                <w:bCs/>
                <w:spacing w:val="-17"/>
                <w:szCs w:val="21"/>
              </w:rPr>
              <w:t>总量指标</w:t>
            </w:r>
          </w:p>
        </w:tc>
        <w:tc>
          <w:tcPr>
            <w:tcW w:w="2778" w:type="dxa"/>
            <w:tcBorders>
              <w:top w:val="single" w:sz="12" w:space="0" w:color="auto"/>
              <w:bottom w:val="single" w:sz="4" w:space="0" w:color="auto"/>
            </w:tcBorders>
            <w:vAlign w:val="center"/>
          </w:tcPr>
          <w:p w14:paraId="1A177C3D" w14:textId="77777777" w:rsidR="00B14D53" w:rsidRDefault="00000000">
            <w:pPr>
              <w:tabs>
                <w:tab w:val="left" w:pos="360"/>
              </w:tabs>
              <w:autoSpaceDE w:val="0"/>
              <w:autoSpaceDN w:val="0"/>
              <w:contextualSpacing/>
              <w:jc w:val="center"/>
              <w:rPr>
                <w:rFonts w:eastAsiaTheme="minorEastAsia"/>
                <w:b/>
                <w:bCs/>
                <w:szCs w:val="21"/>
              </w:rPr>
            </w:pPr>
            <w:r>
              <w:rPr>
                <w:rFonts w:eastAsiaTheme="minorEastAsia"/>
                <w:b/>
                <w:bCs/>
                <w:szCs w:val="21"/>
              </w:rPr>
              <w:t>排放标准</w:t>
            </w:r>
          </w:p>
        </w:tc>
        <w:tc>
          <w:tcPr>
            <w:tcW w:w="1838" w:type="dxa"/>
            <w:tcBorders>
              <w:top w:val="single" w:sz="12" w:space="0" w:color="auto"/>
              <w:bottom w:val="single" w:sz="4" w:space="0" w:color="auto"/>
            </w:tcBorders>
            <w:vAlign w:val="center"/>
          </w:tcPr>
          <w:p w14:paraId="1205F40C" w14:textId="77777777" w:rsidR="00B14D53" w:rsidRDefault="00000000">
            <w:pPr>
              <w:tabs>
                <w:tab w:val="left" w:pos="360"/>
              </w:tabs>
              <w:autoSpaceDE w:val="0"/>
              <w:autoSpaceDN w:val="0"/>
              <w:contextualSpacing/>
              <w:jc w:val="center"/>
              <w:rPr>
                <w:rFonts w:eastAsiaTheme="minorEastAsia"/>
                <w:b/>
                <w:bCs/>
                <w:szCs w:val="21"/>
              </w:rPr>
            </w:pPr>
            <w:r>
              <w:rPr>
                <w:rFonts w:eastAsiaTheme="minorEastAsia"/>
                <w:b/>
                <w:bCs/>
                <w:szCs w:val="21"/>
              </w:rPr>
              <w:t>排放口信息</w:t>
            </w:r>
          </w:p>
        </w:tc>
      </w:tr>
      <w:tr w:rsidR="00B14D53" w14:paraId="72A7E644" w14:textId="77777777">
        <w:trPr>
          <w:trHeight w:val="332"/>
        </w:trPr>
        <w:tc>
          <w:tcPr>
            <w:tcW w:w="713" w:type="dxa"/>
            <w:vMerge w:val="restart"/>
            <w:vAlign w:val="center"/>
          </w:tcPr>
          <w:p w14:paraId="315D34E9" w14:textId="77777777" w:rsidR="00B14D53" w:rsidRDefault="00000000">
            <w:pPr>
              <w:contextualSpacing/>
              <w:rPr>
                <w:rFonts w:eastAsiaTheme="minorEastAsia"/>
                <w:szCs w:val="21"/>
              </w:rPr>
            </w:pPr>
            <w:r>
              <w:rPr>
                <w:rFonts w:eastAsiaTheme="minorEastAsia"/>
                <w:szCs w:val="21"/>
              </w:rPr>
              <w:t>废气</w:t>
            </w:r>
          </w:p>
        </w:tc>
        <w:tc>
          <w:tcPr>
            <w:tcW w:w="421" w:type="dxa"/>
            <w:vMerge w:val="restart"/>
            <w:vAlign w:val="center"/>
          </w:tcPr>
          <w:p w14:paraId="5FC3A230" w14:textId="77777777" w:rsidR="00B14D53" w:rsidRDefault="00000000">
            <w:pPr>
              <w:contextualSpacing/>
              <w:rPr>
                <w:rFonts w:eastAsiaTheme="minorEastAsia"/>
                <w:szCs w:val="21"/>
              </w:rPr>
            </w:pPr>
            <w:r>
              <w:rPr>
                <w:rFonts w:eastAsiaTheme="minorEastAsia" w:hint="eastAsia"/>
                <w:szCs w:val="21"/>
              </w:rPr>
              <w:t>有组织</w:t>
            </w:r>
          </w:p>
        </w:tc>
        <w:tc>
          <w:tcPr>
            <w:tcW w:w="959" w:type="dxa"/>
            <w:vMerge w:val="restart"/>
            <w:vAlign w:val="center"/>
          </w:tcPr>
          <w:p w14:paraId="6F31F994" w14:textId="77777777" w:rsidR="00B14D53" w:rsidRDefault="00000000">
            <w:pPr>
              <w:contextualSpacing/>
              <w:jc w:val="center"/>
              <w:rPr>
                <w:rFonts w:eastAsiaTheme="minorEastAsia"/>
                <w:szCs w:val="21"/>
              </w:rPr>
            </w:pPr>
            <w:r>
              <w:rPr>
                <w:rFonts w:eastAsiaTheme="minorEastAsia" w:hint="eastAsia"/>
                <w:szCs w:val="21"/>
              </w:rPr>
              <w:t>1#</w:t>
            </w:r>
            <w:r>
              <w:rPr>
                <w:rFonts w:eastAsiaTheme="minorEastAsia" w:hint="eastAsia"/>
                <w:szCs w:val="21"/>
              </w:rPr>
              <w:t>待宰圈</w:t>
            </w:r>
          </w:p>
        </w:tc>
        <w:tc>
          <w:tcPr>
            <w:tcW w:w="1012" w:type="dxa"/>
            <w:vAlign w:val="center"/>
          </w:tcPr>
          <w:p w14:paraId="6B40A36A" w14:textId="77777777" w:rsidR="00B14D53" w:rsidRDefault="00000000">
            <w:pPr>
              <w:contextualSpacing/>
              <w:jc w:val="center"/>
              <w:rPr>
                <w:rFonts w:eastAsiaTheme="minorEastAsia"/>
                <w:szCs w:val="21"/>
              </w:rPr>
            </w:pPr>
            <w:r>
              <w:rPr>
                <w:rFonts w:eastAsiaTheme="minorEastAsia"/>
                <w:szCs w:val="21"/>
              </w:rPr>
              <w:t>NH</w:t>
            </w:r>
            <w:r>
              <w:rPr>
                <w:rFonts w:eastAsiaTheme="minorEastAsia"/>
                <w:szCs w:val="21"/>
                <w:vertAlign w:val="subscript"/>
              </w:rPr>
              <w:t>3</w:t>
            </w:r>
          </w:p>
        </w:tc>
        <w:tc>
          <w:tcPr>
            <w:tcW w:w="3616" w:type="dxa"/>
            <w:vMerge w:val="restart"/>
            <w:vAlign w:val="center"/>
          </w:tcPr>
          <w:p w14:paraId="29CA1511" w14:textId="77777777" w:rsidR="00B14D53" w:rsidRDefault="00000000">
            <w:pPr>
              <w:contextualSpacing/>
              <w:jc w:val="center"/>
              <w:rPr>
                <w:rFonts w:eastAsiaTheme="minorEastAsia"/>
                <w:szCs w:val="21"/>
              </w:rPr>
            </w:pPr>
            <w:r>
              <w:rPr>
                <w:rFonts w:hint="eastAsia"/>
                <w:szCs w:val="21"/>
              </w:rPr>
              <w:t>待宰圈</w:t>
            </w:r>
            <w:r>
              <w:rPr>
                <w:szCs w:val="21"/>
              </w:rPr>
              <w:t>封闭，</w:t>
            </w:r>
            <w:r>
              <w:rPr>
                <w:bCs/>
                <w:szCs w:val="21"/>
              </w:rPr>
              <w:t>及时清扫，并投加或喷洒除臭剂，产生的恶臭气体经</w:t>
            </w:r>
            <w:r>
              <w:rPr>
                <w:rFonts w:hint="eastAsia"/>
                <w:bCs/>
                <w:szCs w:val="21"/>
              </w:rPr>
              <w:t>引风机集中收集</w:t>
            </w:r>
            <w:r>
              <w:rPr>
                <w:bCs/>
                <w:szCs w:val="21"/>
              </w:rPr>
              <w:t>后，通过活性炭吸附净化后由</w:t>
            </w:r>
            <w:r>
              <w:rPr>
                <w:rFonts w:hint="eastAsia"/>
                <w:bCs/>
                <w:szCs w:val="21"/>
              </w:rPr>
              <w:t>1</w:t>
            </w:r>
            <w:r>
              <w:rPr>
                <w:rFonts w:hint="eastAsia"/>
                <w:bCs/>
                <w:szCs w:val="21"/>
              </w:rPr>
              <w:t>根</w:t>
            </w:r>
            <w:r>
              <w:rPr>
                <w:bCs/>
                <w:szCs w:val="21"/>
              </w:rPr>
              <w:t>15m</w:t>
            </w:r>
            <w:r>
              <w:rPr>
                <w:bCs/>
                <w:szCs w:val="21"/>
              </w:rPr>
              <w:t>高排气筒（</w:t>
            </w:r>
            <w:r>
              <w:rPr>
                <w:bCs/>
                <w:szCs w:val="21"/>
              </w:rPr>
              <w:t>DA00</w:t>
            </w:r>
            <w:r>
              <w:rPr>
                <w:rFonts w:hint="eastAsia"/>
                <w:bCs/>
                <w:szCs w:val="21"/>
              </w:rPr>
              <w:t>1</w:t>
            </w:r>
            <w:r>
              <w:rPr>
                <w:bCs/>
                <w:szCs w:val="21"/>
              </w:rPr>
              <w:t>）排放</w:t>
            </w:r>
          </w:p>
        </w:tc>
        <w:tc>
          <w:tcPr>
            <w:tcW w:w="1408" w:type="dxa"/>
            <w:vAlign w:val="center"/>
          </w:tcPr>
          <w:p w14:paraId="4896F4E2" w14:textId="77777777" w:rsidR="00B14D53" w:rsidRDefault="00000000">
            <w:pPr>
              <w:widowControl/>
              <w:jc w:val="center"/>
              <w:textAlignment w:val="center"/>
              <w:rPr>
                <w:rFonts w:eastAsiaTheme="minorEastAsia"/>
                <w:szCs w:val="21"/>
                <w:highlight w:val="yellow"/>
              </w:rPr>
            </w:pPr>
            <w:r>
              <w:rPr>
                <w:rFonts w:hint="eastAsia"/>
                <w:snapToGrid w:val="0"/>
                <w:szCs w:val="22"/>
              </w:rPr>
              <w:t>0.64</w:t>
            </w:r>
            <w:r>
              <w:rPr>
                <w:szCs w:val="21"/>
              </w:rPr>
              <w:t>mg/m</w:t>
            </w:r>
            <w:r>
              <w:rPr>
                <w:szCs w:val="21"/>
                <w:vertAlign w:val="superscript"/>
              </w:rPr>
              <w:t>3</w:t>
            </w:r>
          </w:p>
        </w:tc>
        <w:tc>
          <w:tcPr>
            <w:tcW w:w="1408" w:type="dxa"/>
            <w:vAlign w:val="center"/>
          </w:tcPr>
          <w:p w14:paraId="623D556C" w14:textId="77777777" w:rsidR="00B14D53" w:rsidRDefault="00000000">
            <w:pPr>
              <w:pStyle w:val="afff2"/>
              <w:spacing w:line="240" w:lineRule="auto"/>
              <w:rPr>
                <w:rFonts w:eastAsiaTheme="minorEastAsia" w:hint="eastAsia"/>
                <w:highlight w:val="yellow"/>
              </w:rPr>
            </w:pPr>
            <w:r>
              <w:rPr>
                <w:rFonts w:hAnsi="Times New Roman" w:hint="eastAsia"/>
                <w:snapToGrid w:val="0"/>
              </w:rPr>
              <w:t>0.005t/a</w:t>
            </w:r>
          </w:p>
        </w:tc>
        <w:tc>
          <w:tcPr>
            <w:tcW w:w="2778" w:type="dxa"/>
            <w:vMerge w:val="restart"/>
            <w:vAlign w:val="center"/>
          </w:tcPr>
          <w:p w14:paraId="6602E979" w14:textId="77777777" w:rsidR="00B14D53" w:rsidRDefault="00000000">
            <w:pPr>
              <w:contextualSpacing/>
              <w:jc w:val="center"/>
              <w:rPr>
                <w:rFonts w:eastAsiaTheme="minorEastAsia"/>
                <w:szCs w:val="21"/>
              </w:rPr>
            </w:pPr>
            <w:r>
              <w:rPr>
                <w:szCs w:val="21"/>
              </w:rPr>
              <w:t>满足《恶臭污染物排放标准》（</w:t>
            </w:r>
            <w:r>
              <w:rPr>
                <w:szCs w:val="21"/>
              </w:rPr>
              <w:t>GB14554-93</w:t>
            </w:r>
            <w:r>
              <w:rPr>
                <w:szCs w:val="21"/>
              </w:rPr>
              <w:t>）表</w:t>
            </w:r>
            <w:r>
              <w:rPr>
                <w:szCs w:val="21"/>
              </w:rPr>
              <w:t>2</w:t>
            </w:r>
            <w:r>
              <w:rPr>
                <w:szCs w:val="21"/>
              </w:rPr>
              <w:t>标准要求</w:t>
            </w:r>
          </w:p>
        </w:tc>
        <w:tc>
          <w:tcPr>
            <w:tcW w:w="1866" w:type="dxa"/>
            <w:gridSpan w:val="2"/>
            <w:vMerge w:val="restart"/>
            <w:vAlign w:val="center"/>
          </w:tcPr>
          <w:p w14:paraId="18C3AD9D" w14:textId="77777777" w:rsidR="00B14D53" w:rsidRDefault="00B14D53">
            <w:pPr>
              <w:rPr>
                <w:szCs w:val="21"/>
              </w:rPr>
            </w:pPr>
          </w:p>
          <w:p w14:paraId="25E80DAB" w14:textId="77777777" w:rsidR="00B14D53" w:rsidRDefault="00000000">
            <w:pPr>
              <w:rPr>
                <w:szCs w:val="21"/>
              </w:rPr>
            </w:pPr>
            <w:r>
              <w:rPr>
                <w:noProof/>
                <w:szCs w:val="21"/>
              </w:rPr>
              <w:drawing>
                <wp:anchor distT="0" distB="0" distL="114300" distR="114300" simplePos="0" relativeHeight="251757568" behindDoc="0" locked="0" layoutInCell="1" allowOverlap="1" wp14:anchorId="0C208875" wp14:editId="571FA82D">
                  <wp:simplePos x="0" y="0"/>
                  <wp:positionH relativeFrom="column">
                    <wp:posOffset>229870</wp:posOffset>
                  </wp:positionH>
                  <wp:positionV relativeFrom="paragraph">
                    <wp:posOffset>-13970</wp:posOffset>
                  </wp:positionV>
                  <wp:extent cx="640080" cy="609600"/>
                  <wp:effectExtent l="0" t="0" r="7620" b="0"/>
                  <wp:wrapNone/>
                  <wp:docPr id="311"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439"/>
                          <pic:cNvPicPr>
                            <a:picLocks noChangeAspect="1" noChangeArrowheads="1"/>
                          </pic:cNvPicPr>
                        </pic:nvPicPr>
                        <pic:blipFill>
                          <a:blip r:embed="rId78" cstate="print"/>
                          <a:srcRect/>
                          <a:stretch>
                            <a:fillRect/>
                          </a:stretch>
                        </pic:blipFill>
                        <pic:spPr>
                          <a:xfrm>
                            <a:off x="0" y="0"/>
                            <a:ext cx="640080" cy="609600"/>
                          </a:xfrm>
                          <a:prstGeom prst="rect">
                            <a:avLst/>
                          </a:prstGeom>
                          <a:noFill/>
                          <a:ln w="9525">
                            <a:noFill/>
                            <a:miter lim="800000"/>
                            <a:headEnd/>
                            <a:tailEnd/>
                          </a:ln>
                        </pic:spPr>
                      </pic:pic>
                    </a:graphicData>
                  </a:graphic>
                </wp:anchor>
              </w:drawing>
            </w:r>
          </w:p>
          <w:p w14:paraId="52612459" w14:textId="77777777" w:rsidR="00B14D53" w:rsidRDefault="00B14D53">
            <w:pPr>
              <w:jc w:val="center"/>
              <w:rPr>
                <w:szCs w:val="21"/>
              </w:rPr>
            </w:pPr>
          </w:p>
          <w:p w14:paraId="73BC5241" w14:textId="77777777" w:rsidR="00B14D53" w:rsidRDefault="00B14D53">
            <w:pPr>
              <w:jc w:val="center"/>
              <w:rPr>
                <w:szCs w:val="21"/>
              </w:rPr>
            </w:pPr>
          </w:p>
          <w:p w14:paraId="1AAC8558" w14:textId="77777777" w:rsidR="00B14D53" w:rsidRDefault="00B14D53">
            <w:pPr>
              <w:jc w:val="center"/>
              <w:rPr>
                <w:szCs w:val="21"/>
              </w:rPr>
            </w:pPr>
          </w:p>
          <w:p w14:paraId="67845303" w14:textId="77777777" w:rsidR="00B14D53" w:rsidRDefault="00000000">
            <w:pPr>
              <w:jc w:val="center"/>
              <w:rPr>
                <w:b/>
                <w:bCs/>
                <w:szCs w:val="21"/>
              </w:rPr>
            </w:pPr>
            <w:r>
              <w:rPr>
                <w:noProof/>
                <w:szCs w:val="21"/>
              </w:rPr>
              <w:drawing>
                <wp:anchor distT="0" distB="0" distL="114300" distR="114300" simplePos="0" relativeHeight="251758592" behindDoc="0" locked="0" layoutInCell="1" allowOverlap="1" wp14:anchorId="74839E9C" wp14:editId="7868C5D2">
                  <wp:simplePos x="0" y="0"/>
                  <wp:positionH relativeFrom="column">
                    <wp:posOffset>239395</wp:posOffset>
                  </wp:positionH>
                  <wp:positionV relativeFrom="paragraph">
                    <wp:posOffset>153670</wp:posOffset>
                  </wp:positionV>
                  <wp:extent cx="772795" cy="542925"/>
                  <wp:effectExtent l="0" t="0" r="8255" b="9525"/>
                  <wp:wrapNone/>
                  <wp:docPr id="313"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440"/>
                          <pic:cNvPicPr>
                            <a:picLocks noChangeAspect="1" noChangeArrowheads="1"/>
                          </pic:cNvPicPr>
                        </pic:nvPicPr>
                        <pic:blipFill>
                          <a:blip r:embed="rId79" cstate="print"/>
                          <a:srcRect/>
                          <a:stretch>
                            <a:fillRect/>
                          </a:stretch>
                        </pic:blipFill>
                        <pic:spPr>
                          <a:xfrm>
                            <a:off x="0" y="0"/>
                            <a:ext cx="772795" cy="542925"/>
                          </a:xfrm>
                          <a:prstGeom prst="rect">
                            <a:avLst/>
                          </a:prstGeom>
                          <a:noFill/>
                          <a:ln w="9525">
                            <a:noFill/>
                            <a:miter lim="800000"/>
                            <a:headEnd/>
                            <a:tailEnd/>
                          </a:ln>
                        </pic:spPr>
                      </pic:pic>
                    </a:graphicData>
                  </a:graphic>
                </wp:anchor>
              </w:drawing>
            </w:r>
            <w:r>
              <w:rPr>
                <w:b/>
                <w:bCs/>
                <w:szCs w:val="21"/>
              </w:rPr>
              <w:t>提示图形符号</w:t>
            </w:r>
          </w:p>
          <w:p w14:paraId="5A719652" w14:textId="77777777" w:rsidR="00B14D53" w:rsidRDefault="00B14D53">
            <w:pPr>
              <w:rPr>
                <w:szCs w:val="21"/>
              </w:rPr>
            </w:pPr>
          </w:p>
          <w:p w14:paraId="52A0A7C5" w14:textId="77777777" w:rsidR="00B14D53" w:rsidRDefault="00B14D53">
            <w:pPr>
              <w:rPr>
                <w:szCs w:val="21"/>
              </w:rPr>
            </w:pPr>
          </w:p>
          <w:p w14:paraId="7851248D" w14:textId="77777777" w:rsidR="00B14D53" w:rsidRDefault="00B14D53">
            <w:pPr>
              <w:rPr>
                <w:szCs w:val="21"/>
              </w:rPr>
            </w:pPr>
          </w:p>
          <w:p w14:paraId="5BF43C51" w14:textId="77777777" w:rsidR="00B14D53" w:rsidRDefault="00B14D53">
            <w:pPr>
              <w:rPr>
                <w:szCs w:val="21"/>
              </w:rPr>
            </w:pPr>
          </w:p>
          <w:p w14:paraId="43BADC72" w14:textId="77777777" w:rsidR="00B14D53" w:rsidRDefault="00000000">
            <w:pPr>
              <w:contextualSpacing/>
              <w:jc w:val="center"/>
              <w:rPr>
                <w:rFonts w:eastAsiaTheme="minorEastAsia"/>
                <w:szCs w:val="21"/>
              </w:rPr>
            </w:pPr>
            <w:r>
              <w:rPr>
                <w:b/>
                <w:bCs/>
                <w:szCs w:val="21"/>
              </w:rPr>
              <w:t>警告图形符号</w:t>
            </w:r>
          </w:p>
        </w:tc>
      </w:tr>
      <w:tr w:rsidR="00B14D53" w14:paraId="790ECD11" w14:textId="77777777">
        <w:trPr>
          <w:trHeight w:val="288"/>
        </w:trPr>
        <w:tc>
          <w:tcPr>
            <w:tcW w:w="713" w:type="dxa"/>
            <w:vMerge/>
            <w:vAlign w:val="center"/>
          </w:tcPr>
          <w:p w14:paraId="2E39AB47" w14:textId="77777777" w:rsidR="00B14D53" w:rsidRDefault="00B14D53">
            <w:pPr>
              <w:contextualSpacing/>
              <w:rPr>
                <w:rFonts w:eastAsiaTheme="minorEastAsia"/>
                <w:szCs w:val="21"/>
              </w:rPr>
            </w:pPr>
          </w:p>
        </w:tc>
        <w:tc>
          <w:tcPr>
            <w:tcW w:w="421" w:type="dxa"/>
            <w:vMerge/>
            <w:vAlign w:val="center"/>
          </w:tcPr>
          <w:p w14:paraId="756C7DE9" w14:textId="77777777" w:rsidR="00B14D53" w:rsidRDefault="00B14D53">
            <w:pPr>
              <w:contextualSpacing/>
              <w:rPr>
                <w:rFonts w:eastAsiaTheme="minorEastAsia"/>
                <w:szCs w:val="21"/>
              </w:rPr>
            </w:pPr>
          </w:p>
        </w:tc>
        <w:tc>
          <w:tcPr>
            <w:tcW w:w="959" w:type="dxa"/>
            <w:vMerge/>
            <w:vAlign w:val="center"/>
          </w:tcPr>
          <w:p w14:paraId="5E27398C" w14:textId="77777777" w:rsidR="00B14D53" w:rsidRDefault="00B14D53">
            <w:pPr>
              <w:contextualSpacing/>
              <w:jc w:val="center"/>
              <w:rPr>
                <w:rFonts w:eastAsiaTheme="minorEastAsia"/>
                <w:szCs w:val="21"/>
              </w:rPr>
            </w:pPr>
          </w:p>
        </w:tc>
        <w:tc>
          <w:tcPr>
            <w:tcW w:w="1012" w:type="dxa"/>
            <w:vAlign w:val="center"/>
          </w:tcPr>
          <w:p w14:paraId="21D78AE6" w14:textId="77777777" w:rsidR="00B14D53" w:rsidRDefault="00000000">
            <w:pPr>
              <w:autoSpaceDE w:val="0"/>
              <w:autoSpaceDN w:val="0"/>
              <w:contextualSpacing/>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616" w:type="dxa"/>
            <w:vMerge/>
            <w:vAlign w:val="center"/>
          </w:tcPr>
          <w:p w14:paraId="64F867A1" w14:textId="77777777" w:rsidR="00B14D53" w:rsidRDefault="00B14D53">
            <w:pPr>
              <w:contextualSpacing/>
              <w:jc w:val="center"/>
              <w:rPr>
                <w:rFonts w:eastAsiaTheme="minorEastAsia"/>
                <w:szCs w:val="21"/>
              </w:rPr>
            </w:pPr>
          </w:p>
        </w:tc>
        <w:tc>
          <w:tcPr>
            <w:tcW w:w="1408" w:type="dxa"/>
            <w:vAlign w:val="center"/>
          </w:tcPr>
          <w:p w14:paraId="28AC6FAB" w14:textId="77777777" w:rsidR="00B14D53" w:rsidRDefault="00000000">
            <w:pPr>
              <w:widowControl/>
              <w:jc w:val="center"/>
              <w:textAlignment w:val="center"/>
              <w:rPr>
                <w:rFonts w:eastAsiaTheme="minorEastAsia"/>
                <w:szCs w:val="21"/>
                <w:highlight w:val="yellow"/>
              </w:rPr>
            </w:pPr>
            <w:r>
              <w:rPr>
                <w:rFonts w:hint="eastAsia"/>
                <w:snapToGrid w:val="0"/>
                <w:szCs w:val="22"/>
              </w:rPr>
              <w:t>0.04</w:t>
            </w:r>
            <w:r>
              <w:rPr>
                <w:szCs w:val="21"/>
              </w:rPr>
              <w:t>mg/m</w:t>
            </w:r>
            <w:r>
              <w:rPr>
                <w:szCs w:val="21"/>
                <w:vertAlign w:val="superscript"/>
              </w:rPr>
              <w:t>3</w:t>
            </w:r>
          </w:p>
        </w:tc>
        <w:tc>
          <w:tcPr>
            <w:tcW w:w="1408" w:type="dxa"/>
            <w:vAlign w:val="center"/>
          </w:tcPr>
          <w:p w14:paraId="7A44C756" w14:textId="77777777" w:rsidR="00B14D53" w:rsidRDefault="00000000">
            <w:pPr>
              <w:pStyle w:val="afff2"/>
              <w:spacing w:line="240" w:lineRule="auto"/>
              <w:rPr>
                <w:rFonts w:eastAsiaTheme="minorEastAsia" w:hint="eastAsia"/>
                <w:highlight w:val="yellow"/>
              </w:rPr>
            </w:pPr>
            <w:r>
              <w:rPr>
                <w:rFonts w:hAnsi="Times New Roman" w:hint="eastAsia"/>
                <w:snapToGrid w:val="0"/>
              </w:rPr>
              <w:t>0.0003t/a</w:t>
            </w:r>
          </w:p>
        </w:tc>
        <w:tc>
          <w:tcPr>
            <w:tcW w:w="2778" w:type="dxa"/>
            <w:vMerge/>
            <w:vAlign w:val="center"/>
          </w:tcPr>
          <w:p w14:paraId="3BA034BD" w14:textId="77777777" w:rsidR="00B14D53" w:rsidRDefault="00B14D53">
            <w:pPr>
              <w:contextualSpacing/>
              <w:jc w:val="center"/>
              <w:rPr>
                <w:rFonts w:eastAsiaTheme="minorEastAsia"/>
                <w:szCs w:val="21"/>
              </w:rPr>
            </w:pPr>
          </w:p>
        </w:tc>
        <w:tc>
          <w:tcPr>
            <w:tcW w:w="1866" w:type="dxa"/>
            <w:gridSpan w:val="2"/>
            <w:vMerge/>
            <w:vAlign w:val="center"/>
          </w:tcPr>
          <w:p w14:paraId="0C14124D" w14:textId="77777777" w:rsidR="00B14D53" w:rsidRDefault="00B14D53">
            <w:pPr>
              <w:contextualSpacing/>
              <w:jc w:val="center"/>
              <w:rPr>
                <w:rFonts w:eastAsiaTheme="minorEastAsia"/>
                <w:szCs w:val="21"/>
              </w:rPr>
            </w:pPr>
          </w:p>
        </w:tc>
      </w:tr>
      <w:tr w:rsidR="00B14D53" w14:paraId="091B7E3F" w14:textId="77777777">
        <w:trPr>
          <w:trHeight w:val="303"/>
        </w:trPr>
        <w:tc>
          <w:tcPr>
            <w:tcW w:w="713" w:type="dxa"/>
            <w:vMerge/>
            <w:vAlign w:val="center"/>
          </w:tcPr>
          <w:p w14:paraId="47DDEEC0" w14:textId="77777777" w:rsidR="00B14D53" w:rsidRDefault="00B14D53">
            <w:pPr>
              <w:contextualSpacing/>
              <w:rPr>
                <w:rFonts w:eastAsiaTheme="minorEastAsia"/>
                <w:szCs w:val="21"/>
              </w:rPr>
            </w:pPr>
          </w:p>
        </w:tc>
        <w:tc>
          <w:tcPr>
            <w:tcW w:w="421" w:type="dxa"/>
            <w:vMerge/>
            <w:vAlign w:val="center"/>
          </w:tcPr>
          <w:p w14:paraId="281D130B" w14:textId="77777777" w:rsidR="00B14D53" w:rsidRDefault="00B14D53">
            <w:pPr>
              <w:contextualSpacing/>
              <w:rPr>
                <w:rFonts w:eastAsiaTheme="minorEastAsia"/>
                <w:szCs w:val="21"/>
              </w:rPr>
            </w:pPr>
          </w:p>
        </w:tc>
        <w:tc>
          <w:tcPr>
            <w:tcW w:w="959" w:type="dxa"/>
            <w:vMerge w:val="restart"/>
            <w:vAlign w:val="center"/>
          </w:tcPr>
          <w:p w14:paraId="7E7057EC" w14:textId="77777777" w:rsidR="00B14D53" w:rsidRDefault="00000000">
            <w:pPr>
              <w:contextualSpacing/>
              <w:jc w:val="center"/>
              <w:rPr>
                <w:rFonts w:eastAsiaTheme="minorEastAsia"/>
                <w:szCs w:val="21"/>
              </w:rPr>
            </w:pPr>
            <w:r>
              <w:rPr>
                <w:rFonts w:eastAsiaTheme="minorEastAsia" w:hint="eastAsia"/>
                <w:szCs w:val="21"/>
              </w:rPr>
              <w:t>2#</w:t>
            </w:r>
            <w:r>
              <w:rPr>
                <w:rFonts w:eastAsiaTheme="minorEastAsia" w:hint="eastAsia"/>
                <w:szCs w:val="21"/>
              </w:rPr>
              <w:t>待宰圈</w:t>
            </w:r>
          </w:p>
        </w:tc>
        <w:tc>
          <w:tcPr>
            <w:tcW w:w="1012" w:type="dxa"/>
            <w:vAlign w:val="center"/>
          </w:tcPr>
          <w:p w14:paraId="36E9EB27" w14:textId="77777777" w:rsidR="00B14D53" w:rsidRDefault="00000000">
            <w:pPr>
              <w:contextualSpacing/>
              <w:jc w:val="center"/>
              <w:rPr>
                <w:rFonts w:eastAsiaTheme="minorEastAsia"/>
                <w:szCs w:val="21"/>
              </w:rPr>
            </w:pPr>
            <w:r>
              <w:rPr>
                <w:rFonts w:eastAsiaTheme="minorEastAsia"/>
                <w:szCs w:val="21"/>
              </w:rPr>
              <w:t>NH</w:t>
            </w:r>
            <w:r>
              <w:rPr>
                <w:rFonts w:eastAsiaTheme="minorEastAsia"/>
                <w:szCs w:val="21"/>
                <w:vertAlign w:val="subscript"/>
              </w:rPr>
              <w:t>3</w:t>
            </w:r>
          </w:p>
        </w:tc>
        <w:tc>
          <w:tcPr>
            <w:tcW w:w="3616" w:type="dxa"/>
            <w:vMerge w:val="restart"/>
            <w:vAlign w:val="center"/>
          </w:tcPr>
          <w:p w14:paraId="46EEF8BB" w14:textId="77777777" w:rsidR="00B14D53" w:rsidRDefault="00000000">
            <w:pPr>
              <w:contextualSpacing/>
              <w:jc w:val="center"/>
              <w:rPr>
                <w:rFonts w:eastAsiaTheme="minorEastAsia"/>
                <w:szCs w:val="21"/>
              </w:rPr>
            </w:pPr>
            <w:r>
              <w:rPr>
                <w:rFonts w:hint="eastAsia"/>
                <w:szCs w:val="21"/>
              </w:rPr>
              <w:t>待宰圈</w:t>
            </w:r>
            <w:r>
              <w:rPr>
                <w:szCs w:val="21"/>
              </w:rPr>
              <w:t>封闭，</w:t>
            </w:r>
            <w:r>
              <w:rPr>
                <w:bCs/>
                <w:szCs w:val="21"/>
              </w:rPr>
              <w:t>及时清扫，并投加或喷洒除臭剂，产生的恶臭气体经</w:t>
            </w:r>
            <w:r>
              <w:rPr>
                <w:rFonts w:hint="eastAsia"/>
                <w:bCs/>
                <w:szCs w:val="21"/>
              </w:rPr>
              <w:t>引风机集中收集</w:t>
            </w:r>
            <w:r>
              <w:rPr>
                <w:bCs/>
                <w:szCs w:val="21"/>
              </w:rPr>
              <w:t>后，通过活性炭吸附净化后由</w:t>
            </w:r>
            <w:r>
              <w:rPr>
                <w:rFonts w:hint="eastAsia"/>
                <w:bCs/>
                <w:szCs w:val="21"/>
              </w:rPr>
              <w:t>1</w:t>
            </w:r>
            <w:r>
              <w:rPr>
                <w:rFonts w:hint="eastAsia"/>
                <w:bCs/>
                <w:szCs w:val="21"/>
              </w:rPr>
              <w:t>根</w:t>
            </w:r>
            <w:r>
              <w:rPr>
                <w:bCs/>
                <w:szCs w:val="21"/>
              </w:rPr>
              <w:t>15m</w:t>
            </w:r>
            <w:r>
              <w:rPr>
                <w:bCs/>
                <w:szCs w:val="21"/>
              </w:rPr>
              <w:t>高排气筒（</w:t>
            </w:r>
            <w:r>
              <w:rPr>
                <w:bCs/>
                <w:szCs w:val="21"/>
              </w:rPr>
              <w:t>DA00</w:t>
            </w:r>
            <w:r>
              <w:rPr>
                <w:rFonts w:hint="eastAsia"/>
                <w:bCs/>
                <w:szCs w:val="21"/>
              </w:rPr>
              <w:t>2</w:t>
            </w:r>
            <w:r>
              <w:rPr>
                <w:bCs/>
                <w:szCs w:val="21"/>
              </w:rPr>
              <w:t>）排放</w:t>
            </w:r>
          </w:p>
        </w:tc>
        <w:tc>
          <w:tcPr>
            <w:tcW w:w="1408" w:type="dxa"/>
            <w:vAlign w:val="center"/>
          </w:tcPr>
          <w:p w14:paraId="58C8F54C" w14:textId="77777777" w:rsidR="00B14D53" w:rsidRDefault="00000000">
            <w:pPr>
              <w:widowControl/>
              <w:jc w:val="center"/>
              <w:textAlignment w:val="center"/>
              <w:rPr>
                <w:rFonts w:eastAsiaTheme="minorEastAsia"/>
                <w:szCs w:val="21"/>
                <w:highlight w:val="yellow"/>
              </w:rPr>
            </w:pPr>
            <w:r>
              <w:rPr>
                <w:rFonts w:hint="eastAsia"/>
                <w:snapToGrid w:val="0"/>
                <w:kern w:val="0"/>
                <w:szCs w:val="21"/>
                <w:lang w:bidi="ar"/>
              </w:rPr>
              <w:t>1.57</w:t>
            </w:r>
            <w:r>
              <w:rPr>
                <w:szCs w:val="21"/>
              </w:rPr>
              <w:t>mg/m</w:t>
            </w:r>
            <w:r>
              <w:rPr>
                <w:szCs w:val="21"/>
                <w:vertAlign w:val="superscript"/>
              </w:rPr>
              <w:t>3</w:t>
            </w:r>
          </w:p>
        </w:tc>
        <w:tc>
          <w:tcPr>
            <w:tcW w:w="1408" w:type="dxa"/>
            <w:vAlign w:val="center"/>
          </w:tcPr>
          <w:p w14:paraId="30775CDF" w14:textId="77777777" w:rsidR="00B14D53" w:rsidRDefault="00000000">
            <w:pPr>
              <w:pStyle w:val="afff2"/>
              <w:spacing w:line="240" w:lineRule="auto"/>
              <w:rPr>
                <w:rFonts w:eastAsiaTheme="minorEastAsia" w:hint="eastAsia"/>
                <w:highlight w:val="yellow"/>
              </w:rPr>
            </w:pPr>
            <w:r>
              <w:rPr>
                <w:rFonts w:hAnsi="Times New Roman" w:hint="eastAsia"/>
                <w:snapToGrid w:val="0"/>
              </w:rPr>
              <w:t>0.01t/a</w:t>
            </w:r>
          </w:p>
        </w:tc>
        <w:tc>
          <w:tcPr>
            <w:tcW w:w="2778" w:type="dxa"/>
            <w:vMerge/>
            <w:vAlign w:val="center"/>
          </w:tcPr>
          <w:p w14:paraId="6E329EF1" w14:textId="77777777" w:rsidR="00B14D53" w:rsidRDefault="00B14D53">
            <w:pPr>
              <w:contextualSpacing/>
              <w:jc w:val="center"/>
              <w:rPr>
                <w:rFonts w:eastAsiaTheme="minorEastAsia"/>
                <w:szCs w:val="21"/>
              </w:rPr>
            </w:pPr>
          </w:p>
        </w:tc>
        <w:tc>
          <w:tcPr>
            <w:tcW w:w="1866" w:type="dxa"/>
            <w:gridSpan w:val="2"/>
            <w:vMerge/>
            <w:vAlign w:val="center"/>
          </w:tcPr>
          <w:p w14:paraId="27086BC7" w14:textId="77777777" w:rsidR="00B14D53" w:rsidRDefault="00B14D53">
            <w:pPr>
              <w:contextualSpacing/>
              <w:jc w:val="center"/>
              <w:rPr>
                <w:rFonts w:eastAsiaTheme="minorEastAsia"/>
                <w:szCs w:val="21"/>
              </w:rPr>
            </w:pPr>
          </w:p>
        </w:tc>
      </w:tr>
      <w:tr w:rsidR="00B14D53" w14:paraId="5B317E15" w14:textId="77777777">
        <w:trPr>
          <w:trHeight w:val="243"/>
        </w:trPr>
        <w:tc>
          <w:tcPr>
            <w:tcW w:w="713" w:type="dxa"/>
            <w:vMerge/>
            <w:vAlign w:val="center"/>
          </w:tcPr>
          <w:p w14:paraId="7EC6FF44" w14:textId="77777777" w:rsidR="00B14D53" w:rsidRDefault="00B14D53">
            <w:pPr>
              <w:contextualSpacing/>
              <w:rPr>
                <w:rFonts w:eastAsiaTheme="minorEastAsia"/>
                <w:szCs w:val="21"/>
              </w:rPr>
            </w:pPr>
          </w:p>
        </w:tc>
        <w:tc>
          <w:tcPr>
            <w:tcW w:w="421" w:type="dxa"/>
            <w:vMerge/>
            <w:vAlign w:val="center"/>
          </w:tcPr>
          <w:p w14:paraId="333BBF60" w14:textId="77777777" w:rsidR="00B14D53" w:rsidRDefault="00B14D53">
            <w:pPr>
              <w:contextualSpacing/>
              <w:rPr>
                <w:rFonts w:eastAsiaTheme="minorEastAsia"/>
                <w:szCs w:val="21"/>
              </w:rPr>
            </w:pPr>
          </w:p>
        </w:tc>
        <w:tc>
          <w:tcPr>
            <w:tcW w:w="959" w:type="dxa"/>
            <w:vMerge/>
            <w:vAlign w:val="center"/>
          </w:tcPr>
          <w:p w14:paraId="1629A077" w14:textId="77777777" w:rsidR="00B14D53" w:rsidRDefault="00B14D53">
            <w:pPr>
              <w:contextualSpacing/>
              <w:jc w:val="center"/>
              <w:rPr>
                <w:rFonts w:eastAsiaTheme="minorEastAsia"/>
                <w:szCs w:val="21"/>
              </w:rPr>
            </w:pPr>
          </w:p>
        </w:tc>
        <w:tc>
          <w:tcPr>
            <w:tcW w:w="1012" w:type="dxa"/>
            <w:vAlign w:val="center"/>
          </w:tcPr>
          <w:p w14:paraId="55FDBFDC" w14:textId="77777777" w:rsidR="00B14D53" w:rsidRDefault="00000000">
            <w:pPr>
              <w:autoSpaceDE w:val="0"/>
              <w:autoSpaceDN w:val="0"/>
              <w:contextualSpacing/>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616" w:type="dxa"/>
            <w:vMerge/>
            <w:vAlign w:val="center"/>
          </w:tcPr>
          <w:p w14:paraId="02B63178" w14:textId="77777777" w:rsidR="00B14D53" w:rsidRDefault="00B14D53">
            <w:pPr>
              <w:contextualSpacing/>
              <w:jc w:val="center"/>
              <w:rPr>
                <w:rFonts w:eastAsiaTheme="minorEastAsia"/>
                <w:szCs w:val="21"/>
              </w:rPr>
            </w:pPr>
          </w:p>
        </w:tc>
        <w:tc>
          <w:tcPr>
            <w:tcW w:w="1408" w:type="dxa"/>
            <w:vAlign w:val="center"/>
          </w:tcPr>
          <w:p w14:paraId="22947434" w14:textId="77777777" w:rsidR="00B14D53" w:rsidRDefault="00000000">
            <w:pPr>
              <w:widowControl/>
              <w:jc w:val="center"/>
              <w:textAlignment w:val="center"/>
              <w:rPr>
                <w:rFonts w:eastAsiaTheme="minorEastAsia"/>
                <w:szCs w:val="21"/>
                <w:highlight w:val="yellow"/>
              </w:rPr>
            </w:pPr>
            <w:r>
              <w:rPr>
                <w:rFonts w:hint="eastAsia"/>
                <w:snapToGrid w:val="0"/>
                <w:kern w:val="0"/>
                <w:szCs w:val="21"/>
                <w:lang w:bidi="ar"/>
              </w:rPr>
              <w:t>0.09</w:t>
            </w:r>
            <w:r>
              <w:rPr>
                <w:szCs w:val="21"/>
              </w:rPr>
              <w:t>mg/m</w:t>
            </w:r>
            <w:r>
              <w:rPr>
                <w:szCs w:val="21"/>
                <w:vertAlign w:val="superscript"/>
              </w:rPr>
              <w:t>3</w:t>
            </w:r>
          </w:p>
        </w:tc>
        <w:tc>
          <w:tcPr>
            <w:tcW w:w="1408" w:type="dxa"/>
            <w:vAlign w:val="center"/>
          </w:tcPr>
          <w:p w14:paraId="343ABDCB" w14:textId="77777777" w:rsidR="00B14D53" w:rsidRDefault="00000000">
            <w:pPr>
              <w:pStyle w:val="afff2"/>
              <w:spacing w:line="240" w:lineRule="auto"/>
              <w:rPr>
                <w:rFonts w:eastAsiaTheme="minorEastAsia" w:hint="eastAsia"/>
                <w:highlight w:val="yellow"/>
              </w:rPr>
            </w:pPr>
            <w:r>
              <w:rPr>
                <w:rFonts w:hAnsi="Times New Roman" w:hint="eastAsia"/>
                <w:snapToGrid w:val="0"/>
              </w:rPr>
              <w:t>0.0008t/a</w:t>
            </w:r>
          </w:p>
        </w:tc>
        <w:tc>
          <w:tcPr>
            <w:tcW w:w="2778" w:type="dxa"/>
            <w:vMerge/>
            <w:vAlign w:val="center"/>
          </w:tcPr>
          <w:p w14:paraId="4C8FE97D" w14:textId="77777777" w:rsidR="00B14D53" w:rsidRDefault="00B14D53">
            <w:pPr>
              <w:contextualSpacing/>
              <w:jc w:val="center"/>
              <w:rPr>
                <w:rFonts w:eastAsiaTheme="minorEastAsia"/>
                <w:szCs w:val="21"/>
              </w:rPr>
            </w:pPr>
          </w:p>
        </w:tc>
        <w:tc>
          <w:tcPr>
            <w:tcW w:w="1866" w:type="dxa"/>
            <w:gridSpan w:val="2"/>
            <w:vMerge/>
            <w:vAlign w:val="center"/>
          </w:tcPr>
          <w:p w14:paraId="47FD4AF5" w14:textId="77777777" w:rsidR="00B14D53" w:rsidRDefault="00B14D53">
            <w:pPr>
              <w:contextualSpacing/>
              <w:jc w:val="center"/>
              <w:rPr>
                <w:rFonts w:eastAsiaTheme="minorEastAsia"/>
                <w:szCs w:val="21"/>
              </w:rPr>
            </w:pPr>
          </w:p>
        </w:tc>
      </w:tr>
      <w:tr w:rsidR="00B14D53" w14:paraId="096CF80D" w14:textId="77777777">
        <w:trPr>
          <w:trHeight w:val="263"/>
        </w:trPr>
        <w:tc>
          <w:tcPr>
            <w:tcW w:w="713" w:type="dxa"/>
            <w:vMerge/>
            <w:vAlign w:val="center"/>
          </w:tcPr>
          <w:p w14:paraId="14BEC6BF" w14:textId="77777777" w:rsidR="00B14D53" w:rsidRDefault="00B14D53">
            <w:pPr>
              <w:contextualSpacing/>
              <w:rPr>
                <w:rFonts w:eastAsiaTheme="minorEastAsia"/>
                <w:szCs w:val="21"/>
              </w:rPr>
            </w:pPr>
          </w:p>
        </w:tc>
        <w:tc>
          <w:tcPr>
            <w:tcW w:w="421" w:type="dxa"/>
            <w:vMerge/>
            <w:vAlign w:val="center"/>
          </w:tcPr>
          <w:p w14:paraId="75DB3C10" w14:textId="77777777" w:rsidR="00B14D53" w:rsidRDefault="00B14D53">
            <w:pPr>
              <w:contextualSpacing/>
              <w:rPr>
                <w:rFonts w:eastAsiaTheme="minorEastAsia"/>
                <w:szCs w:val="21"/>
              </w:rPr>
            </w:pPr>
          </w:p>
        </w:tc>
        <w:tc>
          <w:tcPr>
            <w:tcW w:w="959" w:type="dxa"/>
            <w:vMerge w:val="restart"/>
            <w:vAlign w:val="center"/>
          </w:tcPr>
          <w:p w14:paraId="769C383B" w14:textId="77777777" w:rsidR="00B14D53" w:rsidRDefault="00000000">
            <w:pPr>
              <w:contextualSpacing/>
              <w:jc w:val="center"/>
              <w:rPr>
                <w:rFonts w:eastAsiaTheme="minorEastAsia"/>
                <w:szCs w:val="21"/>
              </w:rPr>
            </w:pPr>
            <w:r>
              <w:rPr>
                <w:rFonts w:eastAsiaTheme="minorEastAsia" w:hint="eastAsia"/>
                <w:szCs w:val="21"/>
              </w:rPr>
              <w:t>屠宰车间</w:t>
            </w:r>
          </w:p>
        </w:tc>
        <w:tc>
          <w:tcPr>
            <w:tcW w:w="1012" w:type="dxa"/>
            <w:vAlign w:val="center"/>
          </w:tcPr>
          <w:p w14:paraId="62262A8A" w14:textId="77777777" w:rsidR="00B14D53" w:rsidRDefault="00000000">
            <w:pPr>
              <w:contextualSpacing/>
              <w:jc w:val="center"/>
              <w:rPr>
                <w:rFonts w:eastAsiaTheme="minorEastAsia"/>
                <w:szCs w:val="21"/>
              </w:rPr>
            </w:pPr>
            <w:r>
              <w:rPr>
                <w:rFonts w:eastAsiaTheme="minorEastAsia"/>
                <w:szCs w:val="21"/>
              </w:rPr>
              <w:t>NH</w:t>
            </w:r>
            <w:r>
              <w:rPr>
                <w:rFonts w:eastAsiaTheme="minorEastAsia"/>
                <w:szCs w:val="21"/>
                <w:vertAlign w:val="subscript"/>
              </w:rPr>
              <w:t>3</w:t>
            </w:r>
          </w:p>
        </w:tc>
        <w:tc>
          <w:tcPr>
            <w:tcW w:w="3616" w:type="dxa"/>
            <w:vMerge w:val="restart"/>
            <w:vAlign w:val="center"/>
          </w:tcPr>
          <w:p w14:paraId="6D3ADAC1" w14:textId="77777777" w:rsidR="00B14D53" w:rsidRDefault="00000000">
            <w:pPr>
              <w:widowControl/>
              <w:kinsoku w:val="0"/>
              <w:autoSpaceDE w:val="0"/>
              <w:autoSpaceDN w:val="0"/>
              <w:jc w:val="center"/>
              <w:textAlignment w:val="baseline"/>
              <w:rPr>
                <w:rFonts w:eastAsiaTheme="minorEastAsia"/>
                <w:szCs w:val="21"/>
              </w:rPr>
            </w:pPr>
            <w:r>
              <w:rPr>
                <w:snapToGrid w:val="0"/>
                <w:kern w:val="0"/>
                <w:szCs w:val="21"/>
              </w:rPr>
              <w:t>屠宰车间封闭，</w:t>
            </w:r>
            <w:r>
              <w:rPr>
                <w:bCs/>
                <w:snapToGrid w:val="0"/>
                <w:kern w:val="0"/>
                <w:szCs w:val="21"/>
              </w:rPr>
              <w:t>产生的恶臭气体经</w:t>
            </w:r>
            <w:r>
              <w:rPr>
                <w:rFonts w:hint="eastAsia"/>
                <w:bCs/>
                <w:snapToGrid w:val="0"/>
                <w:kern w:val="0"/>
                <w:szCs w:val="21"/>
              </w:rPr>
              <w:t>引风机集中收集</w:t>
            </w:r>
            <w:r>
              <w:rPr>
                <w:bCs/>
                <w:snapToGrid w:val="0"/>
                <w:kern w:val="0"/>
                <w:szCs w:val="21"/>
              </w:rPr>
              <w:t>后，通过活性炭吸附净化后由</w:t>
            </w:r>
            <w:r>
              <w:rPr>
                <w:rFonts w:hint="eastAsia"/>
                <w:bCs/>
                <w:snapToGrid w:val="0"/>
                <w:kern w:val="0"/>
                <w:szCs w:val="21"/>
              </w:rPr>
              <w:t>1</w:t>
            </w:r>
            <w:r>
              <w:rPr>
                <w:rFonts w:hint="eastAsia"/>
                <w:bCs/>
                <w:snapToGrid w:val="0"/>
                <w:kern w:val="0"/>
                <w:szCs w:val="21"/>
              </w:rPr>
              <w:t>根</w:t>
            </w:r>
            <w:r>
              <w:rPr>
                <w:bCs/>
                <w:snapToGrid w:val="0"/>
                <w:kern w:val="0"/>
                <w:szCs w:val="21"/>
              </w:rPr>
              <w:t>15m</w:t>
            </w:r>
            <w:r>
              <w:rPr>
                <w:bCs/>
                <w:snapToGrid w:val="0"/>
                <w:kern w:val="0"/>
                <w:szCs w:val="21"/>
              </w:rPr>
              <w:t>高排气筒（</w:t>
            </w:r>
            <w:r>
              <w:rPr>
                <w:bCs/>
                <w:snapToGrid w:val="0"/>
                <w:kern w:val="0"/>
                <w:szCs w:val="21"/>
              </w:rPr>
              <w:t>DA00</w:t>
            </w:r>
            <w:r>
              <w:rPr>
                <w:rFonts w:hint="eastAsia"/>
                <w:bCs/>
                <w:snapToGrid w:val="0"/>
                <w:kern w:val="0"/>
                <w:szCs w:val="21"/>
              </w:rPr>
              <w:t>3</w:t>
            </w:r>
            <w:r>
              <w:rPr>
                <w:bCs/>
                <w:snapToGrid w:val="0"/>
                <w:kern w:val="0"/>
                <w:szCs w:val="21"/>
              </w:rPr>
              <w:t>）排放</w:t>
            </w:r>
          </w:p>
        </w:tc>
        <w:tc>
          <w:tcPr>
            <w:tcW w:w="1408" w:type="dxa"/>
            <w:vAlign w:val="center"/>
          </w:tcPr>
          <w:p w14:paraId="05E70A2A" w14:textId="77777777" w:rsidR="00B14D53" w:rsidRDefault="00000000">
            <w:pPr>
              <w:widowControl/>
              <w:jc w:val="center"/>
              <w:textAlignment w:val="center"/>
              <w:rPr>
                <w:rFonts w:eastAsiaTheme="minorEastAsia"/>
                <w:szCs w:val="21"/>
                <w:highlight w:val="yellow"/>
              </w:rPr>
            </w:pPr>
            <w:r>
              <w:rPr>
                <w:rFonts w:hint="eastAsia"/>
                <w:snapToGrid w:val="0"/>
              </w:rPr>
              <w:t>0.68</w:t>
            </w:r>
            <w:r>
              <w:rPr>
                <w:szCs w:val="21"/>
              </w:rPr>
              <w:t>mg/m</w:t>
            </w:r>
            <w:r>
              <w:rPr>
                <w:szCs w:val="21"/>
                <w:vertAlign w:val="superscript"/>
              </w:rPr>
              <w:t>3</w:t>
            </w:r>
          </w:p>
        </w:tc>
        <w:tc>
          <w:tcPr>
            <w:tcW w:w="1408" w:type="dxa"/>
            <w:vAlign w:val="center"/>
          </w:tcPr>
          <w:p w14:paraId="0B7D9E0A" w14:textId="77777777" w:rsidR="00B14D53" w:rsidRDefault="00000000">
            <w:pPr>
              <w:pStyle w:val="afff2"/>
              <w:spacing w:line="240" w:lineRule="auto"/>
              <w:rPr>
                <w:rFonts w:eastAsiaTheme="minorEastAsia" w:hint="eastAsia"/>
                <w:highlight w:val="yellow"/>
              </w:rPr>
            </w:pPr>
            <w:r>
              <w:rPr>
                <w:rFonts w:hAnsi="Times New Roman" w:hint="eastAsia"/>
                <w:snapToGrid w:val="0"/>
              </w:rPr>
              <w:t>0.007t/a</w:t>
            </w:r>
          </w:p>
        </w:tc>
        <w:tc>
          <w:tcPr>
            <w:tcW w:w="2778" w:type="dxa"/>
            <w:vMerge/>
            <w:vAlign w:val="center"/>
          </w:tcPr>
          <w:p w14:paraId="6D24A29F" w14:textId="77777777" w:rsidR="00B14D53" w:rsidRDefault="00B14D53">
            <w:pPr>
              <w:contextualSpacing/>
              <w:jc w:val="center"/>
              <w:rPr>
                <w:rFonts w:eastAsiaTheme="minorEastAsia"/>
                <w:szCs w:val="21"/>
              </w:rPr>
            </w:pPr>
          </w:p>
        </w:tc>
        <w:tc>
          <w:tcPr>
            <w:tcW w:w="1866" w:type="dxa"/>
            <w:gridSpan w:val="2"/>
            <w:vMerge/>
            <w:vAlign w:val="center"/>
          </w:tcPr>
          <w:p w14:paraId="317FA86C" w14:textId="77777777" w:rsidR="00B14D53" w:rsidRDefault="00B14D53">
            <w:pPr>
              <w:contextualSpacing/>
              <w:jc w:val="center"/>
              <w:rPr>
                <w:rFonts w:eastAsiaTheme="minorEastAsia"/>
                <w:szCs w:val="21"/>
              </w:rPr>
            </w:pPr>
          </w:p>
        </w:tc>
      </w:tr>
      <w:tr w:rsidR="00B14D53" w14:paraId="2DD52CE6" w14:textId="77777777">
        <w:trPr>
          <w:trHeight w:val="240"/>
        </w:trPr>
        <w:tc>
          <w:tcPr>
            <w:tcW w:w="713" w:type="dxa"/>
            <w:vMerge/>
            <w:vAlign w:val="center"/>
          </w:tcPr>
          <w:p w14:paraId="3474C2C5" w14:textId="77777777" w:rsidR="00B14D53" w:rsidRDefault="00B14D53">
            <w:pPr>
              <w:contextualSpacing/>
              <w:rPr>
                <w:rFonts w:eastAsiaTheme="minorEastAsia"/>
                <w:szCs w:val="21"/>
              </w:rPr>
            </w:pPr>
          </w:p>
        </w:tc>
        <w:tc>
          <w:tcPr>
            <w:tcW w:w="421" w:type="dxa"/>
            <w:vMerge/>
            <w:vAlign w:val="center"/>
          </w:tcPr>
          <w:p w14:paraId="7E60D44F" w14:textId="77777777" w:rsidR="00B14D53" w:rsidRDefault="00B14D53">
            <w:pPr>
              <w:contextualSpacing/>
              <w:rPr>
                <w:rFonts w:eastAsiaTheme="minorEastAsia"/>
                <w:szCs w:val="21"/>
              </w:rPr>
            </w:pPr>
          </w:p>
        </w:tc>
        <w:tc>
          <w:tcPr>
            <w:tcW w:w="959" w:type="dxa"/>
            <w:vMerge/>
            <w:vAlign w:val="center"/>
          </w:tcPr>
          <w:p w14:paraId="63BDC53F" w14:textId="77777777" w:rsidR="00B14D53" w:rsidRDefault="00B14D53">
            <w:pPr>
              <w:contextualSpacing/>
              <w:jc w:val="center"/>
              <w:rPr>
                <w:rFonts w:eastAsiaTheme="minorEastAsia"/>
                <w:szCs w:val="21"/>
              </w:rPr>
            </w:pPr>
          </w:p>
        </w:tc>
        <w:tc>
          <w:tcPr>
            <w:tcW w:w="1012" w:type="dxa"/>
            <w:vAlign w:val="center"/>
          </w:tcPr>
          <w:p w14:paraId="0244E71E" w14:textId="77777777" w:rsidR="00B14D53" w:rsidRDefault="00000000">
            <w:pPr>
              <w:autoSpaceDE w:val="0"/>
              <w:autoSpaceDN w:val="0"/>
              <w:contextualSpacing/>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616" w:type="dxa"/>
            <w:vMerge/>
            <w:vAlign w:val="center"/>
          </w:tcPr>
          <w:p w14:paraId="28632C96" w14:textId="77777777" w:rsidR="00B14D53" w:rsidRDefault="00B14D53">
            <w:pPr>
              <w:contextualSpacing/>
              <w:jc w:val="center"/>
              <w:rPr>
                <w:rFonts w:eastAsiaTheme="minorEastAsia"/>
                <w:szCs w:val="21"/>
              </w:rPr>
            </w:pPr>
          </w:p>
        </w:tc>
        <w:tc>
          <w:tcPr>
            <w:tcW w:w="1408" w:type="dxa"/>
            <w:vAlign w:val="center"/>
          </w:tcPr>
          <w:p w14:paraId="7FB2434B" w14:textId="77777777" w:rsidR="00B14D53" w:rsidRDefault="00000000">
            <w:pPr>
              <w:widowControl/>
              <w:jc w:val="center"/>
              <w:textAlignment w:val="center"/>
              <w:rPr>
                <w:rFonts w:eastAsiaTheme="minorEastAsia"/>
                <w:szCs w:val="21"/>
                <w:highlight w:val="yellow"/>
              </w:rPr>
            </w:pPr>
            <w:r>
              <w:rPr>
                <w:rFonts w:hint="eastAsia"/>
                <w:snapToGrid w:val="0"/>
              </w:rPr>
              <w:t>0.02</w:t>
            </w:r>
            <w:r>
              <w:rPr>
                <w:szCs w:val="21"/>
              </w:rPr>
              <w:t>mg/m</w:t>
            </w:r>
            <w:r>
              <w:rPr>
                <w:szCs w:val="21"/>
                <w:vertAlign w:val="superscript"/>
              </w:rPr>
              <w:t>3</w:t>
            </w:r>
          </w:p>
        </w:tc>
        <w:tc>
          <w:tcPr>
            <w:tcW w:w="1408" w:type="dxa"/>
            <w:vAlign w:val="center"/>
          </w:tcPr>
          <w:p w14:paraId="74CC8C0E" w14:textId="77777777" w:rsidR="00B14D53" w:rsidRDefault="00000000">
            <w:pPr>
              <w:pStyle w:val="afff2"/>
              <w:spacing w:line="240" w:lineRule="auto"/>
              <w:rPr>
                <w:rFonts w:eastAsiaTheme="minorEastAsia" w:hint="eastAsia"/>
                <w:highlight w:val="yellow"/>
              </w:rPr>
            </w:pPr>
            <w:r>
              <w:rPr>
                <w:rFonts w:hAnsi="Times New Roman" w:hint="eastAsia"/>
                <w:snapToGrid w:val="0"/>
              </w:rPr>
              <w:t>0.0002t/a</w:t>
            </w:r>
          </w:p>
        </w:tc>
        <w:tc>
          <w:tcPr>
            <w:tcW w:w="2778" w:type="dxa"/>
            <w:vMerge/>
            <w:vAlign w:val="center"/>
          </w:tcPr>
          <w:p w14:paraId="6625E002" w14:textId="77777777" w:rsidR="00B14D53" w:rsidRDefault="00B14D53">
            <w:pPr>
              <w:contextualSpacing/>
              <w:jc w:val="center"/>
              <w:rPr>
                <w:rFonts w:eastAsiaTheme="minorEastAsia"/>
                <w:szCs w:val="21"/>
              </w:rPr>
            </w:pPr>
          </w:p>
        </w:tc>
        <w:tc>
          <w:tcPr>
            <w:tcW w:w="1866" w:type="dxa"/>
            <w:gridSpan w:val="2"/>
            <w:vMerge/>
            <w:vAlign w:val="center"/>
          </w:tcPr>
          <w:p w14:paraId="560F8E5B" w14:textId="77777777" w:rsidR="00B14D53" w:rsidRDefault="00B14D53">
            <w:pPr>
              <w:contextualSpacing/>
              <w:jc w:val="center"/>
              <w:rPr>
                <w:rFonts w:eastAsiaTheme="minorEastAsia"/>
                <w:szCs w:val="21"/>
              </w:rPr>
            </w:pPr>
          </w:p>
        </w:tc>
      </w:tr>
      <w:tr w:rsidR="00B14D53" w14:paraId="2F220261" w14:textId="77777777">
        <w:trPr>
          <w:trHeight w:val="318"/>
        </w:trPr>
        <w:tc>
          <w:tcPr>
            <w:tcW w:w="713" w:type="dxa"/>
            <w:vMerge/>
            <w:vAlign w:val="center"/>
          </w:tcPr>
          <w:p w14:paraId="66284659" w14:textId="77777777" w:rsidR="00B14D53" w:rsidRDefault="00B14D53">
            <w:pPr>
              <w:contextualSpacing/>
              <w:rPr>
                <w:rFonts w:eastAsiaTheme="minorEastAsia"/>
                <w:szCs w:val="21"/>
              </w:rPr>
            </w:pPr>
          </w:p>
        </w:tc>
        <w:tc>
          <w:tcPr>
            <w:tcW w:w="421" w:type="dxa"/>
            <w:vMerge/>
            <w:vAlign w:val="center"/>
          </w:tcPr>
          <w:p w14:paraId="321FB985" w14:textId="77777777" w:rsidR="00B14D53" w:rsidRDefault="00B14D53">
            <w:pPr>
              <w:contextualSpacing/>
              <w:rPr>
                <w:rFonts w:eastAsiaTheme="minorEastAsia"/>
                <w:szCs w:val="21"/>
              </w:rPr>
            </w:pPr>
          </w:p>
        </w:tc>
        <w:tc>
          <w:tcPr>
            <w:tcW w:w="959" w:type="dxa"/>
            <w:vMerge w:val="restart"/>
            <w:vAlign w:val="center"/>
          </w:tcPr>
          <w:p w14:paraId="061D0075" w14:textId="77777777" w:rsidR="00B14D53" w:rsidRDefault="00000000">
            <w:pPr>
              <w:contextualSpacing/>
              <w:jc w:val="center"/>
              <w:rPr>
                <w:rFonts w:eastAsiaTheme="minorEastAsia"/>
                <w:szCs w:val="21"/>
              </w:rPr>
            </w:pPr>
            <w:r>
              <w:rPr>
                <w:rFonts w:eastAsiaTheme="minorEastAsia" w:hint="eastAsia"/>
                <w:szCs w:val="21"/>
              </w:rPr>
              <w:t>污水处理站</w:t>
            </w:r>
          </w:p>
        </w:tc>
        <w:tc>
          <w:tcPr>
            <w:tcW w:w="1012" w:type="dxa"/>
            <w:vAlign w:val="center"/>
          </w:tcPr>
          <w:p w14:paraId="21A73384" w14:textId="77777777" w:rsidR="00B14D53" w:rsidRDefault="00000000">
            <w:pPr>
              <w:contextualSpacing/>
              <w:jc w:val="center"/>
              <w:rPr>
                <w:rFonts w:eastAsiaTheme="minorEastAsia"/>
                <w:szCs w:val="21"/>
              </w:rPr>
            </w:pPr>
            <w:r>
              <w:rPr>
                <w:rFonts w:eastAsiaTheme="minorEastAsia"/>
                <w:szCs w:val="21"/>
              </w:rPr>
              <w:t>NH</w:t>
            </w:r>
            <w:r>
              <w:rPr>
                <w:rFonts w:eastAsiaTheme="minorEastAsia"/>
                <w:szCs w:val="21"/>
                <w:vertAlign w:val="subscript"/>
              </w:rPr>
              <w:t>3</w:t>
            </w:r>
          </w:p>
        </w:tc>
        <w:tc>
          <w:tcPr>
            <w:tcW w:w="3616" w:type="dxa"/>
            <w:vMerge w:val="restart"/>
            <w:vAlign w:val="center"/>
          </w:tcPr>
          <w:p w14:paraId="26700C79" w14:textId="77777777" w:rsidR="00B14D53" w:rsidRDefault="00000000">
            <w:pPr>
              <w:jc w:val="center"/>
              <w:rPr>
                <w:rFonts w:eastAsiaTheme="minorEastAsia"/>
                <w:szCs w:val="21"/>
              </w:rPr>
            </w:pPr>
            <w:r>
              <w:rPr>
                <w:snapToGrid w:val="0"/>
                <w:kern w:val="0"/>
                <w:szCs w:val="21"/>
              </w:rPr>
              <w:t>污水处理站封闭，</w:t>
            </w:r>
            <w:r>
              <w:rPr>
                <w:bCs/>
                <w:snapToGrid w:val="0"/>
                <w:kern w:val="0"/>
                <w:szCs w:val="21"/>
              </w:rPr>
              <w:t>产生的恶臭气体经</w:t>
            </w:r>
            <w:r>
              <w:rPr>
                <w:rFonts w:hint="eastAsia"/>
                <w:bCs/>
                <w:snapToGrid w:val="0"/>
                <w:kern w:val="0"/>
                <w:szCs w:val="21"/>
              </w:rPr>
              <w:t>引风机集中收集</w:t>
            </w:r>
            <w:r>
              <w:rPr>
                <w:bCs/>
                <w:snapToGrid w:val="0"/>
                <w:kern w:val="0"/>
                <w:szCs w:val="21"/>
              </w:rPr>
              <w:t>后，通过活性炭吸附净化后由</w:t>
            </w:r>
            <w:r>
              <w:rPr>
                <w:rFonts w:hint="eastAsia"/>
                <w:bCs/>
                <w:snapToGrid w:val="0"/>
                <w:kern w:val="0"/>
                <w:szCs w:val="21"/>
              </w:rPr>
              <w:t>1</w:t>
            </w:r>
            <w:r>
              <w:rPr>
                <w:rFonts w:hint="eastAsia"/>
                <w:bCs/>
                <w:snapToGrid w:val="0"/>
                <w:kern w:val="0"/>
                <w:szCs w:val="21"/>
              </w:rPr>
              <w:t>根</w:t>
            </w:r>
            <w:r>
              <w:rPr>
                <w:bCs/>
                <w:snapToGrid w:val="0"/>
                <w:kern w:val="0"/>
                <w:szCs w:val="21"/>
              </w:rPr>
              <w:t>15m</w:t>
            </w:r>
            <w:r>
              <w:rPr>
                <w:bCs/>
                <w:snapToGrid w:val="0"/>
                <w:kern w:val="0"/>
                <w:szCs w:val="21"/>
              </w:rPr>
              <w:t>高排气筒（</w:t>
            </w:r>
            <w:r>
              <w:rPr>
                <w:bCs/>
                <w:snapToGrid w:val="0"/>
                <w:kern w:val="0"/>
                <w:szCs w:val="21"/>
              </w:rPr>
              <w:t>DA00</w:t>
            </w:r>
            <w:r>
              <w:rPr>
                <w:rFonts w:hint="eastAsia"/>
                <w:bCs/>
                <w:snapToGrid w:val="0"/>
                <w:kern w:val="0"/>
                <w:szCs w:val="21"/>
              </w:rPr>
              <w:t>4</w:t>
            </w:r>
            <w:r>
              <w:rPr>
                <w:bCs/>
                <w:snapToGrid w:val="0"/>
                <w:kern w:val="0"/>
                <w:szCs w:val="21"/>
              </w:rPr>
              <w:t>）排放</w:t>
            </w:r>
          </w:p>
        </w:tc>
        <w:tc>
          <w:tcPr>
            <w:tcW w:w="1408" w:type="dxa"/>
            <w:vAlign w:val="center"/>
          </w:tcPr>
          <w:p w14:paraId="339B364E" w14:textId="77777777" w:rsidR="00B14D53" w:rsidRDefault="00000000">
            <w:pPr>
              <w:widowControl/>
              <w:jc w:val="center"/>
              <w:textAlignment w:val="center"/>
              <w:rPr>
                <w:rFonts w:eastAsiaTheme="minorEastAsia"/>
                <w:szCs w:val="21"/>
                <w:highlight w:val="yellow"/>
              </w:rPr>
            </w:pPr>
            <w:r>
              <w:rPr>
                <w:rFonts w:hint="eastAsia"/>
                <w:snapToGrid w:val="0"/>
              </w:rPr>
              <w:t>1.44</w:t>
            </w:r>
            <w:r>
              <w:rPr>
                <w:szCs w:val="21"/>
              </w:rPr>
              <w:t>mg/m</w:t>
            </w:r>
            <w:r>
              <w:rPr>
                <w:szCs w:val="21"/>
                <w:vertAlign w:val="superscript"/>
              </w:rPr>
              <w:t>3</w:t>
            </w:r>
          </w:p>
        </w:tc>
        <w:tc>
          <w:tcPr>
            <w:tcW w:w="1408" w:type="dxa"/>
            <w:vAlign w:val="center"/>
          </w:tcPr>
          <w:p w14:paraId="647F1897" w14:textId="77777777" w:rsidR="00B14D53" w:rsidRDefault="00000000">
            <w:pPr>
              <w:pStyle w:val="afff2"/>
              <w:spacing w:line="240" w:lineRule="auto"/>
              <w:rPr>
                <w:rFonts w:eastAsiaTheme="minorEastAsia" w:hint="eastAsia"/>
                <w:highlight w:val="yellow"/>
              </w:rPr>
            </w:pPr>
            <w:r>
              <w:rPr>
                <w:rFonts w:hAnsi="Times New Roman" w:hint="eastAsia"/>
                <w:snapToGrid w:val="0"/>
              </w:rPr>
              <w:t>0.02t/a</w:t>
            </w:r>
          </w:p>
        </w:tc>
        <w:tc>
          <w:tcPr>
            <w:tcW w:w="2778" w:type="dxa"/>
            <w:vMerge/>
            <w:vAlign w:val="center"/>
          </w:tcPr>
          <w:p w14:paraId="7ADF32EA" w14:textId="77777777" w:rsidR="00B14D53" w:rsidRDefault="00B14D53">
            <w:pPr>
              <w:contextualSpacing/>
              <w:jc w:val="center"/>
              <w:rPr>
                <w:rFonts w:eastAsiaTheme="minorEastAsia"/>
                <w:szCs w:val="21"/>
              </w:rPr>
            </w:pPr>
          </w:p>
        </w:tc>
        <w:tc>
          <w:tcPr>
            <w:tcW w:w="1866" w:type="dxa"/>
            <w:gridSpan w:val="2"/>
            <w:vMerge/>
            <w:vAlign w:val="center"/>
          </w:tcPr>
          <w:p w14:paraId="5FB147F2" w14:textId="77777777" w:rsidR="00B14D53" w:rsidRDefault="00B14D53">
            <w:pPr>
              <w:contextualSpacing/>
              <w:jc w:val="center"/>
              <w:rPr>
                <w:rFonts w:eastAsiaTheme="minorEastAsia"/>
                <w:szCs w:val="21"/>
              </w:rPr>
            </w:pPr>
          </w:p>
        </w:tc>
      </w:tr>
      <w:tr w:rsidR="00B14D53" w14:paraId="4638B0E1" w14:textId="77777777">
        <w:trPr>
          <w:trHeight w:val="302"/>
        </w:trPr>
        <w:tc>
          <w:tcPr>
            <w:tcW w:w="713" w:type="dxa"/>
            <w:vMerge/>
            <w:vAlign w:val="center"/>
          </w:tcPr>
          <w:p w14:paraId="46C2198E" w14:textId="77777777" w:rsidR="00B14D53" w:rsidRDefault="00B14D53">
            <w:pPr>
              <w:contextualSpacing/>
              <w:rPr>
                <w:rFonts w:eastAsiaTheme="minorEastAsia"/>
                <w:szCs w:val="21"/>
              </w:rPr>
            </w:pPr>
          </w:p>
        </w:tc>
        <w:tc>
          <w:tcPr>
            <w:tcW w:w="421" w:type="dxa"/>
            <w:vMerge/>
            <w:vAlign w:val="center"/>
          </w:tcPr>
          <w:p w14:paraId="1F5B4005" w14:textId="77777777" w:rsidR="00B14D53" w:rsidRDefault="00B14D53">
            <w:pPr>
              <w:contextualSpacing/>
              <w:rPr>
                <w:rFonts w:eastAsiaTheme="minorEastAsia"/>
                <w:szCs w:val="21"/>
              </w:rPr>
            </w:pPr>
          </w:p>
        </w:tc>
        <w:tc>
          <w:tcPr>
            <w:tcW w:w="959" w:type="dxa"/>
            <w:vMerge/>
            <w:vAlign w:val="center"/>
          </w:tcPr>
          <w:p w14:paraId="0AB3B4B8" w14:textId="77777777" w:rsidR="00B14D53" w:rsidRDefault="00B14D53">
            <w:pPr>
              <w:contextualSpacing/>
              <w:jc w:val="center"/>
              <w:rPr>
                <w:rFonts w:eastAsiaTheme="minorEastAsia"/>
                <w:szCs w:val="21"/>
              </w:rPr>
            </w:pPr>
          </w:p>
        </w:tc>
        <w:tc>
          <w:tcPr>
            <w:tcW w:w="1012" w:type="dxa"/>
            <w:vAlign w:val="center"/>
          </w:tcPr>
          <w:p w14:paraId="2B28B376" w14:textId="77777777" w:rsidR="00B14D53" w:rsidRDefault="00000000">
            <w:pPr>
              <w:autoSpaceDE w:val="0"/>
              <w:autoSpaceDN w:val="0"/>
              <w:contextualSpacing/>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616" w:type="dxa"/>
            <w:vMerge/>
            <w:vAlign w:val="center"/>
          </w:tcPr>
          <w:p w14:paraId="53798DAF" w14:textId="77777777" w:rsidR="00B14D53" w:rsidRDefault="00B14D53">
            <w:pPr>
              <w:contextualSpacing/>
              <w:jc w:val="center"/>
              <w:rPr>
                <w:rFonts w:eastAsiaTheme="minorEastAsia"/>
                <w:szCs w:val="21"/>
              </w:rPr>
            </w:pPr>
          </w:p>
        </w:tc>
        <w:tc>
          <w:tcPr>
            <w:tcW w:w="1408" w:type="dxa"/>
            <w:vAlign w:val="center"/>
          </w:tcPr>
          <w:p w14:paraId="793D47EA" w14:textId="77777777" w:rsidR="00B14D53" w:rsidRDefault="00000000">
            <w:pPr>
              <w:widowControl/>
              <w:jc w:val="center"/>
              <w:textAlignment w:val="center"/>
              <w:rPr>
                <w:rFonts w:eastAsiaTheme="minorEastAsia"/>
                <w:szCs w:val="21"/>
                <w:highlight w:val="yellow"/>
              </w:rPr>
            </w:pPr>
            <w:r>
              <w:rPr>
                <w:rFonts w:hint="eastAsia"/>
                <w:snapToGrid w:val="0"/>
              </w:rPr>
              <w:t>0.06</w:t>
            </w:r>
            <w:r>
              <w:rPr>
                <w:szCs w:val="21"/>
              </w:rPr>
              <w:t>mg/m</w:t>
            </w:r>
            <w:r>
              <w:rPr>
                <w:szCs w:val="21"/>
                <w:vertAlign w:val="superscript"/>
              </w:rPr>
              <w:t>3</w:t>
            </w:r>
          </w:p>
        </w:tc>
        <w:tc>
          <w:tcPr>
            <w:tcW w:w="1408" w:type="dxa"/>
            <w:vAlign w:val="center"/>
          </w:tcPr>
          <w:p w14:paraId="3EFCD7F1" w14:textId="77777777" w:rsidR="00B14D53" w:rsidRDefault="00000000">
            <w:pPr>
              <w:pStyle w:val="afff2"/>
              <w:spacing w:line="240" w:lineRule="auto"/>
              <w:rPr>
                <w:rFonts w:eastAsiaTheme="minorEastAsia" w:hint="eastAsia"/>
                <w:highlight w:val="yellow"/>
              </w:rPr>
            </w:pPr>
            <w:r>
              <w:rPr>
                <w:rFonts w:hAnsi="Times New Roman" w:hint="eastAsia"/>
                <w:snapToGrid w:val="0"/>
              </w:rPr>
              <w:t>0.0006t/a</w:t>
            </w:r>
          </w:p>
        </w:tc>
        <w:tc>
          <w:tcPr>
            <w:tcW w:w="2778" w:type="dxa"/>
            <w:vMerge/>
            <w:vAlign w:val="center"/>
          </w:tcPr>
          <w:p w14:paraId="04F4FCD0" w14:textId="77777777" w:rsidR="00B14D53" w:rsidRDefault="00B14D53">
            <w:pPr>
              <w:contextualSpacing/>
              <w:jc w:val="center"/>
              <w:rPr>
                <w:rFonts w:eastAsiaTheme="minorEastAsia"/>
                <w:szCs w:val="21"/>
              </w:rPr>
            </w:pPr>
          </w:p>
        </w:tc>
        <w:tc>
          <w:tcPr>
            <w:tcW w:w="1866" w:type="dxa"/>
            <w:gridSpan w:val="2"/>
            <w:vMerge/>
            <w:vAlign w:val="center"/>
          </w:tcPr>
          <w:p w14:paraId="45937D3F" w14:textId="77777777" w:rsidR="00B14D53" w:rsidRDefault="00B14D53">
            <w:pPr>
              <w:contextualSpacing/>
              <w:jc w:val="center"/>
              <w:rPr>
                <w:rFonts w:eastAsiaTheme="minorEastAsia"/>
                <w:szCs w:val="21"/>
              </w:rPr>
            </w:pPr>
          </w:p>
        </w:tc>
      </w:tr>
      <w:tr w:rsidR="00B14D53" w14:paraId="33DC2DAD" w14:textId="77777777">
        <w:trPr>
          <w:trHeight w:val="217"/>
        </w:trPr>
        <w:tc>
          <w:tcPr>
            <w:tcW w:w="713" w:type="dxa"/>
            <w:vMerge/>
            <w:vAlign w:val="center"/>
          </w:tcPr>
          <w:p w14:paraId="07E67D29" w14:textId="77777777" w:rsidR="00B14D53" w:rsidRDefault="00B14D53">
            <w:pPr>
              <w:contextualSpacing/>
              <w:rPr>
                <w:rFonts w:eastAsiaTheme="minorEastAsia"/>
                <w:szCs w:val="21"/>
              </w:rPr>
            </w:pPr>
          </w:p>
        </w:tc>
        <w:tc>
          <w:tcPr>
            <w:tcW w:w="421" w:type="dxa"/>
            <w:vMerge w:val="restart"/>
            <w:vAlign w:val="center"/>
          </w:tcPr>
          <w:p w14:paraId="305C4412" w14:textId="77777777" w:rsidR="00B14D53" w:rsidRDefault="00000000">
            <w:pPr>
              <w:contextualSpacing/>
              <w:rPr>
                <w:rFonts w:eastAsiaTheme="minorEastAsia"/>
                <w:szCs w:val="21"/>
              </w:rPr>
            </w:pPr>
            <w:r>
              <w:rPr>
                <w:rFonts w:eastAsiaTheme="minorEastAsia"/>
                <w:szCs w:val="21"/>
              </w:rPr>
              <w:t>无组织</w:t>
            </w:r>
          </w:p>
        </w:tc>
        <w:tc>
          <w:tcPr>
            <w:tcW w:w="959" w:type="dxa"/>
            <w:vMerge w:val="restart"/>
            <w:vAlign w:val="center"/>
          </w:tcPr>
          <w:p w14:paraId="5EAC2687" w14:textId="77777777" w:rsidR="00B14D53" w:rsidRDefault="00000000">
            <w:pPr>
              <w:contextualSpacing/>
              <w:jc w:val="center"/>
              <w:rPr>
                <w:rFonts w:eastAsiaTheme="minorEastAsia"/>
                <w:szCs w:val="21"/>
              </w:rPr>
            </w:pPr>
            <w:r>
              <w:rPr>
                <w:rFonts w:eastAsiaTheme="minorEastAsia" w:hint="eastAsia"/>
                <w:szCs w:val="21"/>
              </w:rPr>
              <w:t>1#</w:t>
            </w:r>
            <w:r>
              <w:rPr>
                <w:rFonts w:eastAsiaTheme="minorEastAsia" w:hint="eastAsia"/>
                <w:szCs w:val="21"/>
              </w:rPr>
              <w:t>待宰圈</w:t>
            </w:r>
          </w:p>
        </w:tc>
        <w:tc>
          <w:tcPr>
            <w:tcW w:w="1012" w:type="dxa"/>
            <w:vAlign w:val="center"/>
          </w:tcPr>
          <w:p w14:paraId="0D4EE788" w14:textId="77777777" w:rsidR="00B14D53" w:rsidRDefault="00000000">
            <w:pPr>
              <w:contextualSpacing/>
              <w:jc w:val="center"/>
              <w:rPr>
                <w:rFonts w:eastAsiaTheme="minorEastAsia"/>
                <w:szCs w:val="21"/>
              </w:rPr>
            </w:pPr>
            <w:r>
              <w:rPr>
                <w:rFonts w:eastAsiaTheme="minorEastAsia"/>
                <w:szCs w:val="21"/>
              </w:rPr>
              <w:t>NH</w:t>
            </w:r>
            <w:r>
              <w:rPr>
                <w:rFonts w:eastAsiaTheme="minorEastAsia"/>
                <w:szCs w:val="21"/>
                <w:vertAlign w:val="subscript"/>
              </w:rPr>
              <w:t>3</w:t>
            </w:r>
          </w:p>
        </w:tc>
        <w:tc>
          <w:tcPr>
            <w:tcW w:w="3616" w:type="dxa"/>
            <w:vMerge w:val="restart"/>
            <w:vAlign w:val="center"/>
          </w:tcPr>
          <w:p w14:paraId="271501C2" w14:textId="77777777" w:rsidR="00B14D53" w:rsidRDefault="00000000">
            <w:pPr>
              <w:contextualSpacing/>
              <w:jc w:val="center"/>
              <w:rPr>
                <w:rFonts w:eastAsiaTheme="minorEastAsia"/>
                <w:szCs w:val="21"/>
              </w:rPr>
            </w:pPr>
            <w:r>
              <w:rPr>
                <w:szCs w:val="21"/>
              </w:rPr>
              <w:t>日产日清，并投加或喷洒除臭剂</w:t>
            </w:r>
          </w:p>
        </w:tc>
        <w:tc>
          <w:tcPr>
            <w:tcW w:w="1408" w:type="dxa"/>
            <w:vMerge w:val="restart"/>
            <w:vAlign w:val="center"/>
          </w:tcPr>
          <w:p w14:paraId="6BF12F8A" w14:textId="77777777" w:rsidR="00B14D53" w:rsidRDefault="00000000">
            <w:pPr>
              <w:contextualSpacing/>
              <w:jc w:val="center"/>
              <w:rPr>
                <w:rFonts w:eastAsiaTheme="minorEastAsia"/>
                <w:szCs w:val="21"/>
              </w:rPr>
            </w:pPr>
            <w:r>
              <w:rPr>
                <w:rFonts w:eastAsiaTheme="minorEastAsia" w:hint="eastAsia"/>
                <w:szCs w:val="21"/>
              </w:rPr>
              <w:t>/</w:t>
            </w:r>
          </w:p>
        </w:tc>
        <w:tc>
          <w:tcPr>
            <w:tcW w:w="1408" w:type="dxa"/>
            <w:vAlign w:val="center"/>
          </w:tcPr>
          <w:p w14:paraId="1EB9A697" w14:textId="77777777" w:rsidR="00B14D53" w:rsidRDefault="00000000">
            <w:pPr>
              <w:pStyle w:val="aff1"/>
              <w:jc w:val="center"/>
              <w:rPr>
                <w:rFonts w:eastAsiaTheme="minorEastAsia"/>
                <w:szCs w:val="21"/>
                <w:highlight w:val="yellow"/>
              </w:rPr>
            </w:pPr>
            <w:r>
              <w:rPr>
                <w:rFonts w:ascii="Times New Roman" w:eastAsiaTheme="minorEastAsia" w:hAnsi="Times New Roman" w:hint="eastAsia"/>
                <w:szCs w:val="21"/>
              </w:rPr>
              <w:t>0.01</w:t>
            </w:r>
            <w:r>
              <w:rPr>
                <w:rFonts w:ascii="Times New Roman" w:hAnsi="Times New Roman" w:hint="eastAsia"/>
                <w:snapToGrid w:val="0"/>
              </w:rPr>
              <w:t>t/a</w:t>
            </w:r>
          </w:p>
        </w:tc>
        <w:tc>
          <w:tcPr>
            <w:tcW w:w="2778" w:type="dxa"/>
            <w:vMerge w:val="restart"/>
            <w:vAlign w:val="center"/>
          </w:tcPr>
          <w:p w14:paraId="5338A03B" w14:textId="77777777" w:rsidR="00B14D53" w:rsidRDefault="00000000">
            <w:pPr>
              <w:contextualSpacing/>
              <w:jc w:val="center"/>
              <w:rPr>
                <w:rFonts w:eastAsiaTheme="minorEastAsia"/>
                <w:szCs w:val="21"/>
              </w:rPr>
            </w:pPr>
            <w:r>
              <w:rPr>
                <w:rFonts w:eastAsiaTheme="minorEastAsia"/>
                <w:szCs w:val="21"/>
              </w:rPr>
              <w:t>满足《恶臭污染物排放标准》（</w:t>
            </w:r>
            <w:r>
              <w:rPr>
                <w:rFonts w:eastAsiaTheme="minorEastAsia"/>
                <w:szCs w:val="21"/>
              </w:rPr>
              <w:t>GB14554-93</w:t>
            </w:r>
            <w:r>
              <w:rPr>
                <w:rFonts w:eastAsiaTheme="minorEastAsia"/>
                <w:szCs w:val="21"/>
              </w:rPr>
              <w:t>）表</w:t>
            </w:r>
            <w:r>
              <w:rPr>
                <w:rFonts w:eastAsiaTheme="minorEastAsia"/>
                <w:szCs w:val="21"/>
              </w:rPr>
              <w:t>1</w:t>
            </w:r>
            <w:r>
              <w:rPr>
                <w:rFonts w:eastAsiaTheme="minorEastAsia"/>
                <w:szCs w:val="21"/>
              </w:rPr>
              <w:t>二级标准要求</w:t>
            </w:r>
          </w:p>
        </w:tc>
        <w:tc>
          <w:tcPr>
            <w:tcW w:w="1866" w:type="dxa"/>
            <w:gridSpan w:val="2"/>
            <w:vMerge w:val="restart"/>
            <w:vAlign w:val="center"/>
          </w:tcPr>
          <w:p w14:paraId="3E67EC2C" w14:textId="77777777" w:rsidR="00B14D53" w:rsidRDefault="00000000">
            <w:pPr>
              <w:contextualSpacing/>
              <w:jc w:val="center"/>
              <w:rPr>
                <w:rFonts w:eastAsiaTheme="minorEastAsia"/>
                <w:szCs w:val="21"/>
              </w:rPr>
            </w:pPr>
            <w:r>
              <w:rPr>
                <w:rFonts w:eastAsiaTheme="minorEastAsia" w:hint="eastAsia"/>
                <w:szCs w:val="21"/>
              </w:rPr>
              <w:t>/</w:t>
            </w:r>
          </w:p>
        </w:tc>
      </w:tr>
      <w:tr w:rsidR="00B14D53" w14:paraId="2C59C7A5" w14:textId="77777777">
        <w:trPr>
          <w:trHeight w:val="60"/>
        </w:trPr>
        <w:tc>
          <w:tcPr>
            <w:tcW w:w="713" w:type="dxa"/>
            <w:vMerge/>
            <w:vAlign w:val="center"/>
          </w:tcPr>
          <w:p w14:paraId="20D10996" w14:textId="77777777" w:rsidR="00B14D53" w:rsidRDefault="00B14D53">
            <w:pPr>
              <w:contextualSpacing/>
              <w:rPr>
                <w:rFonts w:eastAsiaTheme="minorEastAsia"/>
                <w:szCs w:val="21"/>
              </w:rPr>
            </w:pPr>
          </w:p>
        </w:tc>
        <w:tc>
          <w:tcPr>
            <w:tcW w:w="421" w:type="dxa"/>
            <w:vMerge/>
            <w:vAlign w:val="center"/>
          </w:tcPr>
          <w:p w14:paraId="0E697AC4" w14:textId="77777777" w:rsidR="00B14D53" w:rsidRDefault="00B14D53">
            <w:pPr>
              <w:contextualSpacing/>
              <w:rPr>
                <w:rFonts w:eastAsiaTheme="minorEastAsia"/>
                <w:szCs w:val="21"/>
              </w:rPr>
            </w:pPr>
          </w:p>
        </w:tc>
        <w:tc>
          <w:tcPr>
            <w:tcW w:w="959" w:type="dxa"/>
            <w:vMerge/>
            <w:vAlign w:val="center"/>
          </w:tcPr>
          <w:p w14:paraId="7F975850" w14:textId="77777777" w:rsidR="00B14D53" w:rsidRDefault="00B14D53">
            <w:pPr>
              <w:contextualSpacing/>
              <w:jc w:val="center"/>
              <w:rPr>
                <w:rFonts w:eastAsiaTheme="minorEastAsia"/>
                <w:szCs w:val="21"/>
              </w:rPr>
            </w:pPr>
          </w:p>
        </w:tc>
        <w:tc>
          <w:tcPr>
            <w:tcW w:w="1012" w:type="dxa"/>
            <w:vAlign w:val="center"/>
          </w:tcPr>
          <w:p w14:paraId="6C23EE38" w14:textId="77777777" w:rsidR="00B14D53" w:rsidRDefault="00000000">
            <w:pPr>
              <w:autoSpaceDE w:val="0"/>
              <w:autoSpaceDN w:val="0"/>
              <w:contextualSpacing/>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616" w:type="dxa"/>
            <w:vMerge/>
            <w:vAlign w:val="center"/>
          </w:tcPr>
          <w:p w14:paraId="3976CF9B" w14:textId="77777777" w:rsidR="00B14D53" w:rsidRDefault="00B14D53">
            <w:pPr>
              <w:contextualSpacing/>
              <w:jc w:val="center"/>
              <w:rPr>
                <w:rFonts w:eastAsiaTheme="minorEastAsia"/>
                <w:szCs w:val="21"/>
              </w:rPr>
            </w:pPr>
          </w:p>
        </w:tc>
        <w:tc>
          <w:tcPr>
            <w:tcW w:w="1408" w:type="dxa"/>
            <w:vMerge/>
            <w:vAlign w:val="center"/>
          </w:tcPr>
          <w:p w14:paraId="1E07517D" w14:textId="77777777" w:rsidR="00B14D53" w:rsidRDefault="00B14D53">
            <w:pPr>
              <w:contextualSpacing/>
              <w:jc w:val="center"/>
              <w:rPr>
                <w:rFonts w:eastAsiaTheme="minorEastAsia"/>
                <w:szCs w:val="21"/>
              </w:rPr>
            </w:pPr>
          </w:p>
        </w:tc>
        <w:tc>
          <w:tcPr>
            <w:tcW w:w="1408" w:type="dxa"/>
            <w:vAlign w:val="center"/>
          </w:tcPr>
          <w:p w14:paraId="19CDFCA2" w14:textId="77777777" w:rsidR="00B14D53" w:rsidRDefault="00000000">
            <w:pPr>
              <w:pStyle w:val="aff1"/>
              <w:jc w:val="center"/>
              <w:rPr>
                <w:rFonts w:eastAsiaTheme="minorEastAsia"/>
                <w:szCs w:val="21"/>
                <w:highlight w:val="yellow"/>
              </w:rPr>
            </w:pPr>
            <w:r>
              <w:rPr>
                <w:rFonts w:ascii="Times New Roman" w:eastAsiaTheme="minorEastAsia" w:hAnsi="Times New Roman" w:hint="eastAsia"/>
                <w:szCs w:val="21"/>
              </w:rPr>
              <w:t>0.0008</w:t>
            </w:r>
            <w:r>
              <w:rPr>
                <w:rFonts w:ascii="Times New Roman" w:hAnsi="Times New Roman" w:hint="eastAsia"/>
                <w:snapToGrid w:val="0"/>
              </w:rPr>
              <w:t>t/a</w:t>
            </w:r>
          </w:p>
        </w:tc>
        <w:tc>
          <w:tcPr>
            <w:tcW w:w="2778" w:type="dxa"/>
            <w:vMerge/>
            <w:vAlign w:val="center"/>
          </w:tcPr>
          <w:p w14:paraId="0E618CA0" w14:textId="77777777" w:rsidR="00B14D53" w:rsidRDefault="00B14D53">
            <w:pPr>
              <w:contextualSpacing/>
              <w:jc w:val="center"/>
              <w:rPr>
                <w:rFonts w:eastAsiaTheme="minorEastAsia"/>
                <w:szCs w:val="21"/>
              </w:rPr>
            </w:pPr>
          </w:p>
        </w:tc>
        <w:tc>
          <w:tcPr>
            <w:tcW w:w="1866" w:type="dxa"/>
            <w:gridSpan w:val="2"/>
            <w:vMerge/>
            <w:vAlign w:val="center"/>
          </w:tcPr>
          <w:p w14:paraId="4F5C8B53" w14:textId="77777777" w:rsidR="00B14D53" w:rsidRDefault="00B14D53">
            <w:pPr>
              <w:contextualSpacing/>
              <w:jc w:val="center"/>
              <w:rPr>
                <w:rFonts w:eastAsiaTheme="minorEastAsia"/>
                <w:szCs w:val="21"/>
              </w:rPr>
            </w:pPr>
          </w:p>
        </w:tc>
      </w:tr>
      <w:tr w:rsidR="00B14D53" w14:paraId="6E7392E7" w14:textId="77777777">
        <w:trPr>
          <w:trHeight w:val="60"/>
        </w:trPr>
        <w:tc>
          <w:tcPr>
            <w:tcW w:w="713" w:type="dxa"/>
            <w:vMerge/>
            <w:vAlign w:val="center"/>
          </w:tcPr>
          <w:p w14:paraId="0B4CCC47" w14:textId="77777777" w:rsidR="00B14D53" w:rsidRDefault="00B14D53">
            <w:pPr>
              <w:contextualSpacing/>
              <w:rPr>
                <w:rFonts w:eastAsiaTheme="minorEastAsia"/>
                <w:szCs w:val="21"/>
              </w:rPr>
            </w:pPr>
          </w:p>
        </w:tc>
        <w:tc>
          <w:tcPr>
            <w:tcW w:w="421" w:type="dxa"/>
            <w:vMerge/>
            <w:vAlign w:val="center"/>
          </w:tcPr>
          <w:p w14:paraId="1C457046" w14:textId="77777777" w:rsidR="00B14D53" w:rsidRDefault="00B14D53">
            <w:pPr>
              <w:contextualSpacing/>
              <w:rPr>
                <w:rFonts w:eastAsiaTheme="minorEastAsia"/>
                <w:szCs w:val="21"/>
              </w:rPr>
            </w:pPr>
          </w:p>
        </w:tc>
        <w:tc>
          <w:tcPr>
            <w:tcW w:w="959" w:type="dxa"/>
            <w:vMerge w:val="restart"/>
            <w:vAlign w:val="center"/>
          </w:tcPr>
          <w:p w14:paraId="2EF0F4EA" w14:textId="77777777" w:rsidR="00B14D53" w:rsidRDefault="00000000">
            <w:pPr>
              <w:contextualSpacing/>
              <w:jc w:val="center"/>
              <w:rPr>
                <w:rFonts w:eastAsiaTheme="minorEastAsia"/>
                <w:szCs w:val="21"/>
              </w:rPr>
            </w:pPr>
            <w:r>
              <w:rPr>
                <w:rFonts w:eastAsiaTheme="minorEastAsia" w:hint="eastAsia"/>
                <w:szCs w:val="21"/>
              </w:rPr>
              <w:t>2#</w:t>
            </w:r>
            <w:r>
              <w:rPr>
                <w:rFonts w:eastAsiaTheme="minorEastAsia" w:hint="eastAsia"/>
                <w:szCs w:val="21"/>
              </w:rPr>
              <w:t>待宰圈</w:t>
            </w:r>
          </w:p>
        </w:tc>
        <w:tc>
          <w:tcPr>
            <w:tcW w:w="1012" w:type="dxa"/>
            <w:vAlign w:val="center"/>
          </w:tcPr>
          <w:p w14:paraId="6CF0736C" w14:textId="77777777" w:rsidR="00B14D53" w:rsidRDefault="00000000">
            <w:pPr>
              <w:contextualSpacing/>
              <w:jc w:val="center"/>
              <w:rPr>
                <w:rFonts w:eastAsiaTheme="minorEastAsia"/>
                <w:szCs w:val="21"/>
              </w:rPr>
            </w:pPr>
            <w:r>
              <w:rPr>
                <w:rFonts w:eastAsiaTheme="minorEastAsia"/>
                <w:szCs w:val="21"/>
              </w:rPr>
              <w:t>NH</w:t>
            </w:r>
            <w:r>
              <w:rPr>
                <w:rFonts w:eastAsiaTheme="minorEastAsia"/>
                <w:szCs w:val="21"/>
                <w:vertAlign w:val="subscript"/>
              </w:rPr>
              <w:t>3</w:t>
            </w:r>
          </w:p>
        </w:tc>
        <w:tc>
          <w:tcPr>
            <w:tcW w:w="3616" w:type="dxa"/>
            <w:vMerge/>
            <w:vAlign w:val="center"/>
          </w:tcPr>
          <w:p w14:paraId="5F88DBD6" w14:textId="77777777" w:rsidR="00B14D53" w:rsidRDefault="00B14D53">
            <w:pPr>
              <w:contextualSpacing/>
              <w:jc w:val="center"/>
              <w:rPr>
                <w:rFonts w:eastAsiaTheme="minorEastAsia"/>
                <w:szCs w:val="21"/>
              </w:rPr>
            </w:pPr>
          </w:p>
        </w:tc>
        <w:tc>
          <w:tcPr>
            <w:tcW w:w="1408" w:type="dxa"/>
            <w:vMerge w:val="restart"/>
            <w:vAlign w:val="center"/>
          </w:tcPr>
          <w:p w14:paraId="20668646" w14:textId="77777777" w:rsidR="00B14D53" w:rsidRDefault="00000000">
            <w:pPr>
              <w:contextualSpacing/>
              <w:jc w:val="center"/>
              <w:rPr>
                <w:rFonts w:eastAsiaTheme="minorEastAsia"/>
                <w:szCs w:val="21"/>
              </w:rPr>
            </w:pPr>
            <w:r>
              <w:rPr>
                <w:rFonts w:eastAsiaTheme="minorEastAsia" w:hint="eastAsia"/>
                <w:szCs w:val="21"/>
              </w:rPr>
              <w:t>/</w:t>
            </w:r>
          </w:p>
        </w:tc>
        <w:tc>
          <w:tcPr>
            <w:tcW w:w="1408" w:type="dxa"/>
            <w:vAlign w:val="center"/>
          </w:tcPr>
          <w:p w14:paraId="1839E3A1" w14:textId="77777777" w:rsidR="00B14D53" w:rsidRDefault="00000000">
            <w:pPr>
              <w:pStyle w:val="aff1"/>
              <w:jc w:val="center"/>
              <w:rPr>
                <w:rFonts w:eastAsiaTheme="minorEastAsia"/>
                <w:szCs w:val="21"/>
                <w:highlight w:val="yellow"/>
              </w:rPr>
            </w:pPr>
            <w:r>
              <w:rPr>
                <w:rFonts w:ascii="Times New Roman" w:hAnsi="Times New Roman" w:hint="eastAsia"/>
                <w:bCs/>
                <w:szCs w:val="21"/>
              </w:rPr>
              <w:t>0.03</w:t>
            </w:r>
            <w:r>
              <w:rPr>
                <w:rFonts w:ascii="Times New Roman" w:hAnsi="Times New Roman" w:hint="eastAsia"/>
                <w:snapToGrid w:val="0"/>
              </w:rPr>
              <w:t>t/a</w:t>
            </w:r>
          </w:p>
        </w:tc>
        <w:tc>
          <w:tcPr>
            <w:tcW w:w="2778" w:type="dxa"/>
            <w:vMerge/>
            <w:vAlign w:val="center"/>
          </w:tcPr>
          <w:p w14:paraId="7FDE53CD" w14:textId="77777777" w:rsidR="00B14D53" w:rsidRDefault="00B14D53">
            <w:pPr>
              <w:contextualSpacing/>
              <w:jc w:val="center"/>
              <w:rPr>
                <w:rFonts w:eastAsiaTheme="minorEastAsia"/>
                <w:szCs w:val="21"/>
              </w:rPr>
            </w:pPr>
          </w:p>
        </w:tc>
        <w:tc>
          <w:tcPr>
            <w:tcW w:w="1866" w:type="dxa"/>
            <w:gridSpan w:val="2"/>
            <w:vMerge/>
            <w:vAlign w:val="center"/>
          </w:tcPr>
          <w:p w14:paraId="0F41E825" w14:textId="77777777" w:rsidR="00B14D53" w:rsidRDefault="00B14D53">
            <w:pPr>
              <w:contextualSpacing/>
              <w:jc w:val="center"/>
              <w:rPr>
                <w:rFonts w:eastAsiaTheme="minorEastAsia"/>
                <w:szCs w:val="21"/>
              </w:rPr>
            </w:pPr>
          </w:p>
        </w:tc>
      </w:tr>
      <w:tr w:rsidR="00B14D53" w14:paraId="1C701ECE" w14:textId="77777777">
        <w:trPr>
          <w:trHeight w:val="60"/>
        </w:trPr>
        <w:tc>
          <w:tcPr>
            <w:tcW w:w="713" w:type="dxa"/>
            <w:vMerge/>
            <w:vAlign w:val="center"/>
          </w:tcPr>
          <w:p w14:paraId="62D7A259" w14:textId="77777777" w:rsidR="00B14D53" w:rsidRDefault="00B14D53">
            <w:pPr>
              <w:contextualSpacing/>
              <w:rPr>
                <w:rFonts w:eastAsiaTheme="minorEastAsia"/>
                <w:szCs w:val="21"/>
              </w:rPr>
            </w:pPr>
          </w:p>
        </w:tc>
        <w:tc>
          <w:tcPr>
            <w:tcW w:w="421" w:type="dxa"/>
            <w:vMerge/>
            <w:vAlign w:val="center"/>
          </w:tcPr>
          <w:p w14:paraId="057C290C" w14:textId="77777777" w:rsidR="00B14D53" w:rsidRDefault="00B14D53">
            <w:pPr>
              <w:contextualSpacing/>
              <w:rPr>
                <w:rFonts w:eastAsiaTheme="minorEastAsia"/>
                <w:szCs w:val="21"/>
              </w:rPr>
            </w:pPr>
          </w:p>
        </w:tc>
        <w:tc>
          <w:tcPr>
            <w:tcW w:w="959" w:type="dxa"/>
            <w:vMerge/>
            <w:vAlign w:val="center"/>
          </w:tcPr>
          <w:p w14:paraId="073F5661" w14:textId="77777777" w:rsidR="00B14D53" w:rsidRDefault="00B14D53">
            <w:pPr>
              <w:contextualSpacing/>
              <w:jc w:val="center"/>
              <w:rPr>
                <w:rFonts w:eastAsiaTheme="minorEastAsia"/>
                <w:szCs w:val="21"/>
              </w:rPr>
            </w:pPr>
          </w:p>
        </w:tc>
        <w:tc>
          <w:tcPr>
            <w:tcW w:w="1012" w:type="dxa"/>
            <w:vAlign w:val="center"/>
          </w:tcPr>
          <w:p w14:paraId="23E17060" w14:textId="77777777" w:rsidR="00B14D53" w:rsidRDefault="00000000">
            <w:pPr>
              <w:autoSpaceDE w:val="0"/>
              <w:autoSpaceDN w:val="0"/>
              <w:contextualSpacing/>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616" w:type="dxa"/>
            <w:vMerge/>
            <w:vAlign w:val="center"/>
          </w:tcPr>
          <w:p w14:paraId="1AA0E200" w14:textId="77777777" w:rsidR="00B14D53" w:rsidRDefault="00B14D53">
            <w:pPr>
              <w:contextualSpacing/>
              <w:jc w:val="center"/>
              <w:rPr>
                <w:rFonts w:eastAsiaTheme="minorEastAsia"/>
                <w:szCs w:val="21"/>
              </w:rPr>
            </w:pPr>
          </w:p>
        </w:tc>
        <w:tc>
          <w:tcPr>
            <w:tcW w:w="1408" w:type="dxa"/>
            <w:vMerge/>
            <w:vAlign w:val="center"/>
          </w:tcPr>
          <w:p w14:paraId="290AECA6" w14:textId="77777777" w:rsidR="00B14D53" w:rsidRDefault="00B14D53">
            <w:pPr>
              <w:contextualSpacing/>
              <w:jc w:val="center"/>
              <w:rPr>
                <w:rFonts w:eastAsiaTheme="minorEastAsia"/>
                <w:szCs w:val="21"/>
              </w:rPr>
            </w:pPr>
          </w:p>
        </w:tc>
        <w:tc>
          <w:tcPr>
            <w:tcW w:w="1408" w:type="dxa"/>
            <w:vAlign w:val="center"/>
          </w:tcPr>
          <w:p w14:paraId="23255D32" w14:textId="77777777" w:rsidR="00B14D53" w:rsidRDefault="00000000">
            <w:pPr>
              <w:pStyle w:val="aff1"/>
              <w:jc w:val="center"/>
              <w:rPr>
                <w:rFonts w:eastAsiaTheme="minorEastAsia"/>
                <w:szCs w:val="21"/>
                <w:highlight w:val="yellow"/>
              </w:rPr>
            </w:pPr>
            <w:r>
              <w:rPr>
                <w:rFonts w:ascii="Times New Roman" w:hAnsi="Times New Roman" w:hint="eastAsia"/>
                <w:bCs/>
                <w:szCs w:val="21"/>
              </w:rPr>
              <w:t>0.002</w:t>
            </w:r>
            <w:r>
              <w:rPr>
                <w:rFonts w:ascii="Times New Roman" w:hAnsi="Times New Roman" w:hint="eastAsia"/>
                <w:snapToGrid w:val="0"/>
              </w:rPr>
              <w:t>t/a</w:t>
            </w:r>
          </w:p>
        </w:tc>
        <w:tc>
          <w:tcPr>
            <w:tcW w:w="2778" w:type="dxa"/>
            <w:vMerge/>
            <w:vAlign w:val="center"/>
          </w:tcPr>
          <w:p w14:paraId="6B75062D" w14:textId="77777777" w:rsidR="00B14D53" w:rsidRDefault="00B14D53">
            <w:pPr>
              <w:contextualSpacing/>
              <w:jc w:val="center"/>
              <w:rPr>
                <w:rFonts w:eastAsiaTheme="minorEastAsia"/>
                <w:szCs w:val="21"/>
              </w:rPr>
            </w:pPr>
          </w:p>
        </w:tc>
        <w:tc>
          <w:tcPr>
            <w:tcW w:w="1866" w:type="dxa"/>
            <w:gridSpan w:val="2"/>
            <w:vMerge/>
            <w:vAlign w:val="center"/>
          </w:tcPr>
          <w:p w14:paraId="037AE356" w14:textId="77777777" w:rsidR="00B14D53" w:rsidRDefault="00B14D53">
            <w:pPr>
              <w:contextualSpacing/>
              <w:jc w:val="center"/>
              <w:rPr>
                <w:rFonts w:eastAsiaTheme="minorEastAsia"/>
                <w:szCs w:val="21"/>
              </w:rPr>
            </w:pPr>
          </w:p>
        </w:tc>
      </w:tr>
    </w:tbl>
    <w:p w14:paraId="145A8008" w14:textId="77777777" w:rsidR="00B14D53" w:rsidRDefault="00B14D53">
      <w:pPr>
        <w:jc w:val="center"/>
        <w:rPr>
          <w:b/>
          <w:bCs/>
          <w:lang w:val="zh-CN"/>
        </w:rPr>
      </w:pPr>
    </w:p>
    <w:p w14:paraId="6EEE7969" w14:textId="77777777" w:rsidR="00B14D53" w:rsidRDefault="00B14D53">
      <w:pPr>
        <w:jc w:val="center"/>
        <w:rPr>
          <w:b/>
          <w:bCs/>
          <w:lang w:val="zh-CN"/>
        </w:rPr>
      </w:pPr>
    </w:p>
    <w:p w14:paraId="4DB4AE6D" w14:textId="77777777" w:rsidR="00B14D53" w:rsidRDefault="00B14D53">
      <w:pPr>
        <w:jc w:val="center"/>
        <w:rPr>
          <w:b/>
          <w:bCs/>
          <w:lang w:val="zh-CN"/>
        </w:rPr>
      </w:pPr>
    </w:p>
    <w:p w14:paraId="27945A0D" w14:textId="77777777" w:rsidR="00B14D53" w:rsidRDefault="00000000">
      <w:pPr>
        <w:jc w:val="center"/>
      </w:pPr>
      <w:r>
        <w:rPr>
          <w:rFonts w:hint="eastAsia"/>
          <w:b/>
          <w:bCs/>
          <w:lang w:val="zh-CN"/>
        </w:rPr>
        <w:t>续表</w:t>
      </w:r>
      <w:r>
        <w:rPr>
          <w:rFonts w:hint="eastAsia"/>
          <w:b/>
          <w:bCs/>
          <w:lang w:val="zh-CN"/>
        </w:rPr>
        <w:t xml:space="preserve">8-1-2 </w:t>
      </w:r>
      <w:r>
        <w:rPr>
          <w:rFonts w:hint="eastAsia"/>
          <w:b/>
          <w:bCs/>
          <w:lang w:val="zh-CN"/>
        </w:rPr>
        <w:t>污染物排放清单一览表</w:t>
      </w:r>
    </w:p>
    <w:tbl>
      <w:tblPr>
        <w:tblW w:w="14181" w:type="dxa"/>
        <w:tblInd w:w="-181"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3"/>
        <w:gridCol w:w="421"/>
        <w:gridCol w:w="959"/>
        <w:gridCol w:w="1012"/>
        <w:gridCol w:w="3616"/>
        <w:gridCol w:w="1408"/>
        <w:gridCol w:w="1408"/>
        <w:gridCol w:w="2778"/>
        <w:gridCol w:w="1866"/>
      </w:tblGrid>
      <w:tr w:rsidR="00B14D53" w14:paraId="0834347A" w14:textId="77777777">
        <w:trPr>
          <w:trHeight w:val="126"/>
        </w:trPr>
        <w:tc>
          <w:tcPr>
            <w:tcW w:w="713" w:type="dxa"/>
            <w:vMerge w:val="restart"/>
            <w:vAlign w:val="center"/>
          </w:tcPr>
          <w:p w14:paraId="014F5F05" w14:textId="77777777" w:rsidR="00B14D53" w:rsidRDefault="00000000">
            <w:pPr>
              <w:contextualSpacing/>
              <w:rPr>
                <w:rFonts w:eastAsiaTheme="minorEastAsia"/>
                <w:szCs w:val="21"/>
              </w:rPr>
            </w:pPr>
            <w:r>
              <w:rPr>
                <w:rFonts w:eastAsiaTheme="minorEastAsia" w:hint="eastAsia"/>
                <w:szCs w:val="21"/>
              </w:rPr>
              <w:t>废气</w:t>
            </w:r>
          </w:p>
        </w:tc>
        <w:tc>
          <w:tcPr>
            <w:tcW w:w="421" w:type="dxa"/>
            <w:vMerge w:val="restart"/>
            <w:vAlign w:val="center"/>
          </w:tcPr>
          <w:p w14:paraId="5CFD026E" w14:textId="77777777" w:rsidR="00B14D53" w:rsidRDefault="00000000">
            <w:pPr>
              <w:contextualSpacing/>
              <w:rPr>
                <w:rFonts w:eastAsiaTheme="minorEastAsia"/>
                <w:szCs w:val="21"/>
              </w:rPr>
            </w:pPr>
            <w:r>
              <w:rPr>
                <w:rFonts w:eastAsiaTheme="minorEastAsia" w:hint="eastAsia"/>
                <w:szCs w:val="21"/>
              </w:rPr>
              <w:t>无组织</w:t>
            </w:r>
          </w:p>
        </w:tc>
        <w:tc>
          <w:tcPr>
            <w:tcW w:w="959" w:type="dxa"/>
            <w:vMerge w:val="restart"/>
            <w:vAlign w:val="center"/>
          </w:tcPr>
          <w:p w14:paraId="715317F7" w14:textId="77777777" w:rsidR="00B14D53" w:rsidRDefault="00000000">
            <w:pPr>
              <w:contextualSpacing/>
              <w:jc w:val="center"/>
              <w:rPr>
                <w:rFonts w:eastAsiaTheme="minorEastAsia"/>
                <w:szCs w:val="21"/>
              </w:rPr>
            </w:pPr>
            <w:r>
              <w:rPr>
                <w:rFonts w:eastAsiaTheme="minorEastAsia" w:hint="eastAsia"/>
                <w:szCs w:val="21"/>
              </w:rPr>
              <w:t>屠宰车间</w:t>
            </w:r>
          </w:p>
        </w:tc>
        <w:tc>
          <w:tcPr>
            <w:tcW w:w="1012" w:type="dxa"/>
            <w:vAlign w:val="center"/>
          </w:tcPr>
          <w:p w14:paraId="1BCB5A84" w14:textId="77777777" w:rsidR="00B14D53" w:rsidRDefault="00000000">
            <w:pPr>
              <w:contextualSpacing/>
              <w:jc w:val="center"/>
              <w:rPr>
                <w:rFonts w:eastAsiaTheme="minorEastAsia"/>
                <w:szCs w:val="21"/>
              </w:rPr>
            </w:pPr>
            <w:r>
              <w:rPr>
                <w:rFonts w:eastAsiaTheme="minorEastAsia"/>
                <w:szCs w:val="21"/>
              </w:rPr>
              <w:t>NH</w:t>
            </w:r>
            <w:r>
              <w:rPr>
                <w:rFonts w:eastAsiaTheme="minorEastAsia"/>
                <w:szCs w:val="21"/>
                <w:vertAlign w:val="subscript"/>
              </w:rPr>
              <w:t>3</w:t>
            </w:r>
          </w:p>
        </w:tc>
        <w:tc>
          <w:tcPr>
            <w:tcW w:w="3616" w:type="dxa"/>
            <w:vMerge w:val="restart"/>
            <w:vAlign w:val="center"/>
          </w:tcPr>
          <w:p w14:paraId="635C3020" w14:textId="77777777" w:rsidR="00B14D53" w:rsidRDefault="00000000">
            <w:pPr>
              <w:contextualSpacing/>
              <w:jc w:val="center"/>
              <w:rPr>
                <w:rFonts w:eastAsiaTheme="minorEastAsia"/>
                <w:szCs w:val="21"/>
              </w:rPr>
            </w:pPr>
            <w:r>
              <w:rPr>
                <w:szCs w:val="21"/>
              </w:rPr>
              <w:t>增加通风次数，及时清洗</w:t>
            </w:r>
          </w:p>
        </w:tc>
        <w:tc>
          <w:tcPr>
            <w:tcW w:w="1408" w:type="dxa"/>
            <w:vMerge w:val="restart"/>
            <w:vAlign w:val="center"/>
          </w:tcPr>
          <w:p w14:paraId="62AF21FA" w14:textId="77777777" w:rsidR="00B14D53" w:rsidRDefault="00000000">
            <w:pPr>
              <w:contextualSpacing/>
              <w:jc w:val="center"/>
              <w:rPr>
                <w:rFonts w:eastAsiaTheme="minorEastAsia"/>
                <w:szCs w:val="21"/>
              </w:rPr>
            </w:pPr>
            <w:r>
              <w:rPr>
                <w:rFonts w:eastAsiaTheme="minorEastAsia" w:hint="eastAsia"/>
                <w:szCs w:val="21"/>
              </w:rPr>
              <w:t>/</w:t>
            </w:r>
          </w:p>
        </w:tc>
        <w:tc>
          <w:tcPr>
            <w:tcW w:w="1408" w:type="dxa"/>
            <w:vAlign w:val="center"/>
          </w:tcPr>
          <w:p w14:paraId="73B7524D" w14:textId="77777777" w:rsidR="00B14D53" w:rsidRDefault="00000000">
            <w:pPr>
              <w:pStyle w:val="aff1"/>
              <w:jc w:val="center"/>
              <w:rPr>
                <w:rFonts w:eastAsiaTheme="minorEastAsia"/>
                <w:szCs w:val="21"/>
                <w:highlight w:val="yellow"/>
              </w:rPr>
            </w:pPr>
            <w:r>
              <w:rPr>
                <w:rFonts w:ascii="Times New Roman" w:eastAsiaTheme="minorEastAsia" w:hAnsi="Times New Roman" w:hint="eastAsia"/>
                <w:szCs w:val="21"/>
              </w:rPr>
              <w:t>0.02</w:t>
            </w:r>
            <w:r>
              <w:rPr>
                <w:rFonts w:ascii="Times New Roman" w:hAnsi="Times New Roman" w:hint="eastAsia"/>
                <w:snapToGrid w:val="0"/>
              </w:rPr>
              <w:t>t/a</w:t>
            </w:r>
          </w:p>
        </w:tc>
        <w:tc>
          <w:tcPr>
            <w:tcW w:w="2778" w:type="dxa"/>
            <w:vMerge w:val="restart"/>
            <w:vAlign w:val="center"/>
          </w:tcPr>
          <w:p w14:paraId="5ADD560C" w14:textId="77777777" w:rsidR="00B14D53" w:rsidRDefault="00000000">
            <w:pPr>
              <w:contextualSpacing/>
              <w:jc w:val="center"/>
              <w:rPr>
                <w:rFonts w:eastAsiaTheme="minorEastAsia"/>
                <w:szCs w:val="21"/>
              </w:rPr>
            </w:pPr>
            <w:r>
              <w:rPr>
                <w:rFonts w:eastAsiaTheme="minorEastAsia"/>
                <w:szCs w:val="21"/>
              </w:rPr>
              <w:t>满足《恶臭污染物排放标准》（</w:t>
            </w:r>
            <w:r>
              <w:rPr>
                <w:rFonts w:eastAsiaTheme="minorEastAsia"/>
                <w:szCs w:val="21"/>
              </w:rPr>
              <w:t>GB14554-93</w:t>
            </w:r>
            <w:r>
              <w:rPr>
                <w:rFonts w:eastAsiaTheme="minorEastAsia"/>
                <w:szCs w:val="21"/>
              </w:rPr>
              <w:t>）表</w:t>
            </w:r>
            <w:r>
              <w:rPr>
                <w:rFonts w:eastAsiaTheme="minorEastAsia"/>
                <w:szCs w:val="21"/>
              </w:rPr>
              <w:t>1</w:t>
            </w:r>
            <w:r>
              <w:rPr>
                <w:rFonts w:eastAsiaTheme="minorEastAsia"/>
                <w:szCs w:val="21"/>
              </w:rPr>
              <w:t>二级标准要求</w:t>
            </w:r>
          </w:p>
        </w:tc>
        <w:tc>
          <w:tcPr>
            <w:tcW w:w="1866" w:type="dxa"/>
            <w:vMerge w:val="restart"/>
            <w:vAlign w:val="center"/>
          </w:tcPr>
          <w:p w14:paraId="783AF0C9" w14:textId="77777777" w:rsidR="00B14D53" w:rsidRDefault="00000000">
            <w:pPr>
              <w:contextualSpacing/>
              <w:jc w:val="center"/>
              <w:rPr>
                <w:rFonts w:eastAsiaTheme="minorEastAsia"/>
                <w:szCs w:val="21"/>
              </w:rPr>
            </w:pPr>
            <w:r>
              <w:rPr>
                <w:rFonts w:eastAsiaTheme="minorEastAsia" w:hint="eastAsia"/>
                <w:szCs w:val="21"/>
              </w:rPr>
              <w:t>/</w:t>
            </w:r>
          </w:p>
        </w:tc>
      </w:tr>
      <w:tr w:rsidR="00B14D53" w14:paraId="3BC38C39" w14:textId="77777777">
        <w:trPr>
          <w:trHeight w:val="126"/>
        </w:trPr>
        <w:tc>
          <w:tcPr>
            <w:tcW w:w="713" w:type="dxa"/>
            <w:vMerge/>
            <w:vAlign w:val="center"/>
          </w:tcPr>
          <w:p w14:paraId="55CDDDB2" w14:textId="77777777" w:rsidR="00B14D53" w:rsidRDefault="00B14D53">
            <w:pPr>
              <w:contextualSpacing/>
              <w:rPr>
                <w:rFonts w:eastAsiaTheme="minorEastAsia"/>
                <w:szCs w:val="21"/>
              </w:rPr>
            </w:pPr>
          </w:p>
        </w:tc>
        <w:tc>
          <w:tcPr>
            <w:tcW w:w="421" w:type="dxa"/>
            <w:vMerge/>
            <w:vAlign w:val="center"/>
          </w:tcPr>
          <w:p w14:paraId="55BEEA67" w14:textId="77777777" w:rsidR="00B14D53" w:rsidRDefault="00B14D53">
            <w:pPr>
              <w:contextualSpacing/>
              <w:rPr>
                <w:rFonts w:eastAsiaTheme="minorEastAsia"/>
                <w:szCs w:val="21"/>
              </w:rPr>
            </w:pPr>
          </w:p>
        </w:tc>
        <w:tc>
          <w:tcPr>
            <w:tcW w:w="959" w:type="dxa"/>
            <w:vMerge/>
            <w:vAlign w:val="center"/>
          </w:tcPr>
          <w:p w14:paraId="18334B1C" w14:textId="77777777" w:rsidR="00B14D53" w:rsidRDefault="00B14D53">
            <w:pPr>
              <w:contextualSpacing/>
              <w:jc w:val="center"/>
              <w:rPr>
                <w:rFonts w:eastAsiaTheme="minorEastAsia"/>
                <w:szCs w:val="21"/>
              </w:rPr>
            </w:pPr>
          </w:p>
        </w:tc>
        <w:tc>
          <w:tcPr>
            <w:tcW w:w="1012" w:type="dxa"/>
            <w:vAlign w:val="center"/>
          </w:tcPr>
          <w:p w14:paraId="02D534E9" w14:textId="77777777" w:rsidR="00B14D53" w:rsidRDefault="00000000">
            <w:pPr>
              <w:autoSpaceDE w:val="0"/>
              <w:autoSpaceDN w:val="0"/>
              <w:contextualSpacing/>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616" w:type="dxa"/>
            <w:vMerge/>
            <w:vAlign w:val="center"/>
          </w:tcPr>
          <w:p w14:paraId="485B89EA" w14:textId="77777777" w:rsidR="00B14D53" w:rsidRDefault="00B14D53">
            <w:pPr>
              <w:contextualSpacing/>
              <w:jc w:val="center"/>
              <w:rPr>
                <w:rFonts w:eastAsiaTheme="minorEastAsia"/>
                <w:szCs w:val="21"/>
              </w:rPr>
            </w:pPr>
          </w:p>
        </w:tc>
        <w:tc>
          <w:tcPr>
            <w:tcW w:w="1408" w:type="dxa"/>
            <w:vMerge/>
            <w:vAlign w:val="center"/>
          </w:tcPr>
          <w:p w14:paraId="7AC6A37C" w14:textId="77777777" w:rsidR="00B14D53" w:rsidRDefault="00B14D53">
            <w:pPr>
              <w:contextualSpacing/>
              <w:jc w:val="center"/>
              <w:rPr>
                <w:rFonts w:eastAsiaTheme="minorEastAsia"/>
                <w:szCs w:val="21"/>
              </w:rPr>
            </w:pPr>
          </w:p>
        </w:tc>
        <w:tc>
          <w:tcPr>
            <w:tcW w:w="1408" w:type="dxa"/>
            <w:vAlign w:val="center"/>
          </w:tcPr>
          <w:p w14:paraId="317AB5D9" w14:textId="77777777" w:rsidR="00B14D53" w:rsidRDefault="00000000">
            <w:pPr>
              <w:pStyle w:val="aff1"/>
              <w:jc w:val="center"/>
              <w:rPr>
                <w:rFonts w:eastAsiaTheme="minorEastAsia"/>
                <w:szCs w:val="21"/>
                <w:highlight w:val="yellow"/>
              </w:rPr>
            </w:pPr>
            <w:r>
              <w:rPr>
                <w:rFonts w:ascii="Times New Roman" w:eastAsiaTheme="minorEastAsia" w:hAnsi="Times New Roman" w:hint="eastAsia"/>
                <w:szCs w:val="21"/>
              </w:rPr>
              <w:t>0.0005</w:t>
            </w:r>
            <w:r>
              <w:rPr>
                <w:rFonts w:ascii="Times New Roman" w:hAnsi="Times New Roman" w:hint="eastAsia"/>
                <w:snapToGrid w:val="0"/>
              </w:rPr>
              <w:t>t/a</w:t>
            </w:r>
          </w:p>
        </w:tc>
        <w:tc>
          <w:tcPr>
            <w:tcW w:w="2778" w:type="dxa"/>
            <w:vMerge/>
            <w:vAlign w:val="center"/>
          </w:tcPr>
          <w:p w14:paraId="4B9F0B97" w14:textId="77777777" w:rsidR="00B14D53" w:rsidRDefault="00B14D53">
            <w:pPr>
              <w:contextualSpacing/>
              <w:jc w:val="center"/>
              <w:rPr>
                <w:rFonts w:eastAsiaTheme="minorEastAsia"/>
                <w:szCs w:val="21"/>
              </w:rPr>
            </w:pPr>
          </w:p>
        </w:tc>
        <w:tc>
          <w:tcPr>
            <w:tcW w:w="1866" w:type="dxa"/>
            <w:vMerge/>
            <w:vAlign w:val="center"/>
          </w:tcPr>
          <w:p w14:paraId="2F8C7DD1" w14:textId="77777777" w:rsidR="00B14D53" w:rsidRDefault="00B14D53">
            <w:pPr>
              <w:contextualSpacing/>
              <w:jc w:val="center"/>
              <w:rPr>
                <w:rFonts w:eastAsiaTheme="minorEastAsia"/>
                <w:szCs w:val="21"/>
              </w:rPr>
            </w:pPr>
          </w:p>
        </w:tc>
      </w:tr>
      <w:tr w:rsidR="00B14D53" w14:paraId="7617E6C6" w14:textId="77777777">
        <w:trPr>
          <w:trHeight w:val="126"/>
        </w:trPr>
        <w:tc>
          <w:tcPr>
            <w:tcW w:w="713" w:type="dxa"/>
            <w:vMerge/>
            <w:vAlign w:val="center"/>
          </w:tcPr>
          <w:p w14:paraId="57E7439E" w14:textId="77777777" w:rsidR="00B14D53" w:rsidRDefault="00B14D53">
            <w:pPr>
              <w:contextualSpacing/>
              <w:rPr>
                <w:rFonts w:eastAsiaTheme="minorEastAsia"/>
                <w:szCs w:val="21"/>
              </w:rPr>
            </w:pPr>
          </w:p>
        </w:tc>
        <w:tc>
          <w:tcPr>
            <w:tcW w:w="421" w:type="dxa"/>
            <w:vMerge/>
            <w:vAlign w:val="center"/>
          </w:tcPr>
          <w:p w14:paraId="5E19E73A" w14:textId="77777777" w:rsidR="00B14D53" w:rsidRDefault="00B14D53">
            <w:pPr>
              <w:contextualSpacing/>
              <w:rPr>
                <w:rFonts w:eastAsiaTheme="minorEastAsia"/>
                <w:szCs w:val="21"/>
              </w:rPr>
            </w:pPr>
          </w:p>
        </w:tc>
        <w:tc>
          <w:tcPr>
            <w:tcW w:w="959" w:type="dxa"/>
            <w:vMerge w:val="restart"/>
            <w:vAlign w:val="center"/>
          </w:tcPr>
          <w:p w14:paraId="22C88C51" w14:textId="77777777" w:rsidR="00B14D53" w:rsidRDefault="00000000">
            <w:pPr>
              <w:contextualSpacing/>
              <w:jc w:val="center"/>
              <w:rPr>
                <w:rFonts w:eastAsiaTheme="minorEastAsia"/>
                <w:szCs w:val="21"/>
              </w:rPr>
            </w:pPr>
            <w:r>
              <w:rPr>
                <w:rFonts w:eastAsiaTheme="minorEastAsia" w:hint="eastAsia"/>
                <w:szCs w:val="21"/>
              </w:rPr>
              <w:t>污水处理站</w:t>
            </w:r>
          </w:p>
        </w:tc>
        <w:tc>
          <w:tcPr>
            <w:tcW w:w="1012" w:type="dxa"/>
            <w:vAlign w:val="center"/>
          </w:tcPr>
          <w:p w14:paraId="02BBB6A7" w14:textId="77777777" w:rsidR="00B14D53" w:rsidRDefault="00000000">
            <w:pPr>
              <w:contextualSpacing/>
              <w:jc w:val="center"/>
              <w:rPr>
                <w:rFonts w:eastAsiaTheme="minorEastAsia"/>
                <w:szCs w:val="21"/>
              </w:rPr>
            </w:pPr>
            <w:r>
              <w:rPr>
                <w:rFonts w:eastAsiaTheme="minorEastAsia"/>
                <w:szCs w:val="21"/>
              </w:rPr>
              <w:t>NH</w:t>
            </w:r>
            <w:r>
              <w:rPr>
                <w:rFonts w:eastAsiaTheme="minorEastAsia"/>
                <w:szCs w:val="21"/>
                <w:vertAlign w:val="subscript"/>
              </w:rPr>
              <w:t>3</w:t>
            </w:r>
          </w:p>
        </w:tc>
        <w:tc>
          <w:tcPr>
            <w:tcW w:w="3616" w:type="dxa"/>
            <w:vMerge w:val="restart"/>
            <w:vAlign w:val="center"/>
          </w:tcPr>
          <w:p w14:paraId="765AD31F" w14:textId="77777777" w:rsidR="00B14D53" w:rsidRDefault="00000000">
            <w:pPr>
              <w:contextualSpacing/>
              <w:jc w:val="center"/>
              <w:rPr>
                <w:rFonts w:eastAsiaTheme="minorEastAsia"/>
                <w:szCs w:val="21"/>
              </w:rPr>
            </w:pPr>
            <w:r>
              <w:rPr>
                <w:rFonts w:eastAsiaTheme="minorEastAsia" w:hint="eastAsia"/>
                <w:szCs w:val="21"/>
              </w:rPr>
              <w:t>污水站封闭</w:t>
            </w:r>
          </w:p>
        </w:tc>
        <w:tc>
          <w:tcPr>
            <w:tcW w:w="1408" w:type="dxa"/>
            <w:vMerge w:val="restart"/>
            <w:vAlign w:val="center"/>
          </w:tcPr>
          <w:p w14:paraId="15623DC9" w14:textId="77777777" w:rsidR="00B14D53" w:rsidRDefault="00000000">
            <w:pPr>
              <w:contextualSpacing/>
              <w:jc w:val="center"/>
              <w:rPr>
                <w:rFonts w:eastAsiaTheme="minorEastAsia"/>
                <w:szCs w:val="21"/>
              </w:rPr>
            </w:pPr>
            <w:r>
              <w:rPr>
                <w:rFonts w:eastAsiaTheme="minorEastAsia" w:hint="eastAsia"/>
                <w:szCs w:val="21"/>
              </w:rPr>
              <w:t>/</w:t>
            </w:r>
          </w:p>
        </w:tc>
        <w:tc>
          <w:tcPr>
            <w:tcW w:w="1408" w:type="dxa"/>
            <w:vAlign w:val="center"/>
          </w:tcPr>
          <w:p w14:paraId="74E8F340" w14:textId="77777777" w:rsidR="00B14D53" w:rsidRDefault="00000000">
            <w:pPr>
              <w:pStyle w:val="aff1"/>
              <w:jc w:val="center"/>
              <w:rPr>
                <w:rFonts w:eastAsiaTheme="minorEastAsia"/>
                <w:szCs w:val="21"/>
                <w:highlight w:val="yellow"/>
              </w:rPr>
            </w:pPr>
            <w:r>
              <w:rPr>
                <w:rFonts w:ascii="Times New Roman" w:eastAsiaTheme="minorEastAsia" w:hAnsi="Times New Roman" w:hint="eastAsia"/>
                <w:szCs w:val="21"/>
              </w:rPr>
              <w:t>0.04</w:t>
            </w:r>
            <w:r>
              <w:rPr>
                <w:rFonts w:ascii="Times New Roman" w:hAnsi="Times New Roman" w:hint="eastAsia"/>
                <w:snapToGrid w:val="0"/>
              </w:rPr>
              <w:t>t/a</w:t>
            </w:r>
          </w:p>
        </w:tc>
        <w:tc>
          <w:tcPr>
            <w:tcW w:w="2778" w:type="dxa"/>
            <w:vMerge/>
            <w:vAlign w:val="center"/>
          </w:tcPr>
          <w:p w14:paraId="27C8D709" w14:textId="77777777" w:rsidR="00B14D53" w:rsidRDefault="00B14D53">
            <w:pPr>
              <w:contextualSpacing/>
              <w:jc w:val="center"/>
              <w:rPr>
                <w:rFonts w:eastAsiaTheme="minorEastAsia"/>
                <w:szCs w:val="21"/>
              </w:rPr>
            </w:pPr>
          </w:p>
        </w:tc>
        <w:tc>
          <w:tcPr>
            <w:tcW w:w="1866" w:type="dxa"/>
            <w:vMerge/>
            <w:vAlign w:val="center"/>
          </w:tcPr>
          <w:p w14:paraId="5EEE469D" w14:textId="77777777" w:rsidR="00B14D53" w:rsidRDefault="00B14D53">
            <w:pPr>
              <w:contextualSpacing/>
              <w:jc w:val="center"/>
              <w:rPr>
                <w:rFonts w:eastAsiaTheme="minorEastAsia"/>
                <w:szCs w:val="21"/>
              </w:rPr>
            </w:pPr>
          </w:p>
        </w:tc>
      </w:tr>
      <w:tr w:rsidR="00B14D53" w14:paraId="4C1E9378" w14:textId="77777777">
        <w:trPr>
          <w:trHeight w:val="64"/>
        </w:trPr>
        <w:tc>
          <w:tcPr>
            <w:tcW w:w="713" w:type="dxa"/>
            <w:vMerge/>
            <w:vAlign w:val="center"/>
          </w:tcPr>
          <w:p w14:paraId="0DFD2FCC" w14:textId="77777777" w:rsidR="00B14D53" w:rsidRDefault="00B14D53">
            <w:pPr>
              <w:contextualSpacing/>
              <w:rPr>
                <w:rFonts w:eastAsiaTheme="minorEastAsia"/>
                <w:szCs w:val="21"/>
              </w:rPr>
            </w:pPr>
          </w:p>
        </w:tc>
        <w:tc>
          <w:tcPr>
            <w:tcW w:w="421" w:type="dxa"/>
            <w:vMerge/>
            <w:vAlign w:val="center"/>
          </w:tcPr>
          <w:p w14:paraId="451F4DF2" w14:textId="77777777" w:rsidR="00B14D53" w:rsidRDefault="00B14D53">
            <w:pPr>
              <w:contextualSpacing/>
              <w:rPr>
                <w:rFonts w:eastAsiaTheme="minorEastAsia"/>
                <w:szCs w:val="21"/>
              </w:rPr>
            </w:pPr>
          </w:p>
        </w:tc>
        <w:tc>
          <w:tcPr>
            <w:tcW w:w="959" w:type="dxa"/>
            <w:vMerge/>
            <w:vAlign w:val="center"/>
          </w:tcPr>
          <w:p w14:paraId="5CFE1687" w14:textId="77777777" w:rsidR="00B14D53" w:rsidRDefault="00B14D53">
            <w:pPr>
              <w:contextualSpacing/>
              <w:jc w:val="center"/>
              <w:rPr>
                <w:rFonts w:eastAsiaTheme="minorEastAsia"/>
                <w:szCs w:val="21"/>
              </w:rPr>
            </w:pPr>
          </w:p>
        </w:tc>
        <w:tc>
          <w:tcPr>
            <w:tcW w:w="1012" w:type="dxa"/>
            <w:vAlign w:val="center"/>
          </w:tcPr>
          <w:p w14:paraId="1AB31C2D" w14:textId="77777777" w:rsidR="00B14D53" w:rsidRDefault="00000000">
            <w:pPr>
              <w:autoSpaceDE w:val="0"/>
              <w:autoSpaceDN w:val="0"/>
              <w:contextualSpacing/>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616" w:type="dxa"/>
            <w:vMerge/>
            <w:vAlign w:val="center"/>
          </w:tcPr>
          <w:p w14:paraId="644CA9BC" w14:textId="77777777" w:rsidR="00B14D53" w:rsidRDefault="00B14D53">
            <w:pPr>
              <w:contextualSpacing/>
              <w:jc w:val="center"/>
              <w:rPr>
                <w:rFonts w:eastAsiaTheme="minorEastAsia"/>
                <w:szCs w:val="21"/>
              </w:rPr>
            </w:pPr>
          </w:p>
        </w:tc>
        <w:tc>
          <w:tcPr>
            <w:tcW w:w="1408" w:type="dxa"/>
            <w:vMerge/>
            <w:vAlign w:val="center"/>
          </w:tcPr>
          <w:p w14:paraId="6C1884C2" w14:textId="77777777" w:rsidR="00B14D53" w:rsidRDefault="00B14D53">
            <w:pPr>
              <w:contextualSpacing/>
              <w:jc w:val="center"/>
              <w:rPr>
                <w:rFonts w:eastAsiaTheme="minorEastAsia"/>
                <w:szCs w:val="21"/>
              </w:rPr>
            </w:pPr>
          </w:p>
        </w:tc>
        <w:tc>
          <w:tcPr>
            <w:tcW w:w="1408" w:type="dxa"/>
            <w:vAlign w:val="center"/>
          </w:tcPr>
          <w:p w14:paraId="03AA0329" w14:textId="77777777" w:rsidR="00B14D53" w:rsidRDefault="00000000">
            <w:pPr>
              <w:pStyle w:val="aff1"/>
              <w:jc w:val="center"/>
              <w:rPr>
                <w:rFonts w:eastAsiaTheme="minorEastAsia"/>
                <w:szCs w:val="21"/>
                <w:highlight w:val="yellow"/>
              </w:rPr>
            </w:pPr>
            <w:r>
              <w:rPr>
                <w:rFonts w:ascii="Times New Roman" w:eastAsiaTheme="minorEastAsia" w:hAnsi="Times New Roman" w:hint="eastAsia"/>
                <w:szCs w:val="21"/>
              </w:rPr>
              <w:t>0.002</w:t>
            </w:r>
            <w:r>
              <w:rPr>
                <w:rFonts w:ascii="Times New Roman" w:hAnsi="Times New Roman" w:hint="eastAsia"/>
                <w:snapToGrid w:val="0"/>
              </w:rPr>
              <w:t>t/a</w:t>
            </w:r>
          </w:p>
        </w:tc>
        <w:tc>
          <w:tcPr>
            <w:tcW w:w="2778" w:type="dxa"/>
            <w:vMerge/>
            <w:vAlign w:val="center"/>
          </w:tcPr>
          <w:p w14:paraId="2C47F8F6" w14:textId="77777777" w:rsidR="00B14D53" w:rsidRDefault="00B14D53">
            <w:pPr>
              <w:contextualSpacing/>
              <w:jc w:val="center"/>
              <w:rPr>
                <w:rFonts w:eastAsiaTheme="minorEastAsia"/>
                <w:szCs w:val="21"/>
              </w:rPr>
            </w:pPr>
          </w:p>
        </w:tc>
        <w:tc>
          <w:tcPr>
            <w:tcW w:w="1866" w:type="dxa"/>
            <w:vMerge/>
            <w:vAlign w:val="center"/>
          </w:tcPr>
          <w:p w14:paraId="6026D0A1" w14:textId="77777777" w:rsidR="00B14D53" w:rsidRDefault="00B14D53">
            <w:pPr>
              <w:contextualSpacing/>
              <w:jc w:val="center"/>
              <w:rPr>
                <w:rFonts w:eastAsiaTheme="minorEastAsia"/>
                <w:szCs w:val="21"/>
              </w:rPr>
            </w:pPr>
          </w:p>
        </w:tc>
      </w:tr>
      <w:tr w:rsidR="00B14D53" w14:paraId="4D291B7F" w14:textId="77777777">
        <w:trPr>
          <w:trHeight w:val="126"/>
        </w:trPr>
        <w:tc>
          <w:tcPr>
            <w:tcW w:w="713" w:type="dxa"/>
            <w:vMerge w:val="restart"/>
            <w:vAlign w:val="center"/>
          </w:tcPr>
          <w:p w14:paraId="4C0C3A69" w14:textId="77777777" w:rsidR="00B14D53" w:rsidRDefault="00000000">
            <w:pPr>
              <w:tabs>
                <w:tab w:val="left" w:pos="360"/>
              </w:tabs>
              <w:autoSpaceDE w:val="0"/>
              <w:autoSpaceDN w:val="0"/>
              <w:contextualSpacing/>
              <w:jc w:val="center"/>
              <w:rPr>
                <w:rFonts w:eastAsiaTheme="minorEastAsia"/>
                <w:b/>
                <w:bCs/>
                <w:szCs w:val="21"/>
              </w:rPr>
            </w:pPr>
            <w:r>
              <w:rPr>
                <w:rFonts w:eastAsiaTheme="minorEastAsia"/>
                <w:szCs w:val="21"/>
              </w:rPr>
              <w:t>废水</w:t>
            </w:r>
          </w:p>
        </w:tc>
        <w:tc>
          <w:tcPr>
            <w:tcW w:w="1380" w:type="dxa"/>
            <w:gridSpan w:val="2"/>
            <w:vMerge w:val="restart"/>
            <w:vAlign w:val="center"/>
          </w:tcPr>
          <w:p w14:paraId="0C29A37E" w14:textId="77777777" w:rsidR="00B14D53" w:rsidRDefault="00000000">
            <w:pPr>
              <w:contextualSpacing/>
              <w:jc w:val="center"/>
              <w:rPr>
                <w:rFonts w:eastAsiaTheme="minorEastAsia"/>
                <w:szCs w:val="21"/>
              </w:rPr>
            </w:pPr>
            <w:r>
              <w:rPr>
                <w:rFonts w:eastAsiaTheme="minorEastAsia"/>
                <w:szCs w:val="21"/>
              </w:rPr>
              <w:t>生活污水</w:t>
            </w:r>
          </w:p>
        </w:tc>
        <w:tc>
          <w:tcPr>
            <w:tcW w:w="1012" w:type="dxa"/>
            <w:vAlign w:val="center"/>
          </w:tcPr>
          <w:p w14:paraId="3471C7FB"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COD</w:t>
            </w:r>
          </w:p>
        </w:tc>
        <w:tc>
          <w:tcPr>
            <w:tcW w:w="3616" w:type="dxa"/>
            <w:vMerge w:val="restart"/>
            <w:vAlign w:val="center"/>
          </w:tcPr>
          <w:p w14:paraId="0C11AC4C" w14:textId="77777777" w:rsidR="00B14D53" w:rsidRDefault="00000000">
            <w:pPr>
              <w:contextualSpacing/>
              <w:jc w:val="center"/>
              <w:rPr>
                <w:rFonts w:eastAsiaTheme="minorEastAsia"/>
                <w:szCs w:val="21"/>
              </w:rPr>
            </w:pPr>
            <w:r>
              <w:rPr>
                <w:rFonts w:eastAsiaTheme="minorEastAsia" w:hAnsiTheme="minorEastAsia" w:hint="eastAsia"/>
                <w:szCs w:val="21"/>
              </w:rPr>
              <w:t>排入市政管网，经</w:t>
            </w:r>
            <w:r>
              <w:rPr>
                <w:rFonts w:hint="eastAsia"/>
                <w:kern w:val="21"/>
                <w:szCs w:val="21"/>
              </w:rPr>
              <w:t>五常市民泉污水处理有限公司（五常市山河屯林业局污水处理厂）</w:t>
            </w:r>
            <w:r>
              <w:rPr>
                <w:kern w:val="21"/>
                <w:szCs w:val="21"/>
              </w:rPr>
              <w:t>处理</w:t>
            </w:r>
            <w:r>
              <w:rPr>
                <w:rFonts w:hint="eastAsia"/>
                <w:kern w:val="21"/>
                <w:szCs w:val="21"/>
              </w:rPr>
              <w:t>达标后</w:t>
            </w:r>
            <w:r>
              <w:rPr>
                <w:kern w:val="21"/>
                <w:szCs w:val="21"/>
              </w:rPr>
              <w:t>排入</w:t>
            </w:r>
            <w:r>
              <w:rPr>
                <w:rFonts w:hint="eastAsia"/>
                <w:kern w:val="21"/>
                <w:szCs w:val="21"/>
              </w:rPr>
              <w:t>拉林</w:t>
            </w:r>
            <w:r>
              <w:rPr>
                <w:kern w:val="21"/>
                <w:szCs w:val="21"/>
              </w:rPr>
              <w:t>河</w:t>
            </w:r>
          </w:p>
        </w:tc>
        <w:tc>
          <w:tcPr>
            <w:tcW w:w="1408" w:type="dxa"/>
            <w:vAlign w:val="center"/>
          </w:tcPr>
          <w:p w14:paraId="1D0B975C" w14:textId="77777777" w:rsidR="00B14D53" w:rsidRDefault="00000000">
            <w:pPr>
              <w:widowControl/>
              <w:jc w:val="center"/>
              <w:textAlignment w:val="center"/>
              <w:rPr>
                <w:rFonts w:eastAsiaTheme="minorEastAsia"/>
                <w:szCs w:val="21"/>
              </w:rPr>
            </w:pPr>
            <w:r>
              <w:rPr>
                <w:kern w:val="0"/>
                <w:szCs w:val="21"/>
                <w:lang w:bidi="ar"/>
              </w:rPr>
              <w:t>226</w:t>
            </w:r>
            <w:r>
              <w:rPr>
                <w:snapToGrid w:val="0"/>
              </w:rPr>
              <w:t>mg/L</w:t>
            </w:r>
          </w:p>
        </w:tc>
        <w:tc>
          <w:tcPr>
            <w:tcW w:w="1408" w:type="dxa"/>
            <w:vAlign w:val="center"/>
          </w:tcPr>
          <w:p w14:paraId="60BA5D4A" w14:textId="77777777" w:rsidR="00B14D53" w:rsidRDefault="00000000">
            <w:pPr>
              <w:widowControl/>
              <w:jc w:val="center"/>
              <w:textAlignment w:val="center"/>
              <w:rPr>
                <w:rFonts w:eastAsiaTheme="minorEastAsia"/>
                <w:szCs w:val="21"/>
                <w:highlight w:val="yellow"/>
              </w:rPr>
            </w:pPr>
            <w:r>
              <w:rPr>
                <w:kern w:val="0"/>
                <w:szCs w:val="21"/>
                <w:lang w:bidi="ar"/>
              </w:rPr>
              <w:t>0.07</w:t>
            </w:r>
            <w:r>
              <w:rPr>
                <w:rFonts w:hint="eastAsia"/>
                <w:snapToGrid w:val="0"/>
              </w:rPr>
              <w:t>t/a</w:t>
            </w:r>
          </w:p>
        </w:tc>
        <w:tc>
          <w:tcPr>
            <w:tcW w:w="2778" w:type="dxa"/>
            <w:vMerge w:val="restart"/>
            <w:vAlign w:val="center"/>
          </w:tcPr>
          <w:p w14:paraId="6899DAEA" w14:textId="77777777" w:rsidR="00B14D53" w:rsidRDefault="00000000">
            <w:pPr>
              <w:contextualSpacing/>
              <w:jc w:val="center"/>
              <w:rPr>
                <w:rFonts w:eastAsiaTheme="minorEastAsia"/>
                <w:szCs w:val="21"/>
              </w:rPr>
            </w:pPr>
            <w:r>
              <w:rPr>
                <w:rFonts w:hint="eastAsia"/>
                <w:bCs/>
                <w:szCs w:val="21"/>
              </w:rPr>
              <w:t>《</w:t>
            </w:r>
            <w:r>
              <w:rPr>
                <w:bCs/>
                <w:szCs w:val="21"/>
              </w:rPr>
              <w:t>污水综合排放标准》（</w:t>
            </w:r>
            <w:r>
              <w:rPr>
                <w:bCs/>
                <w:szCs w:val="21"/>
              </w:rPr>
              <w:t>GB8978-1996</w:t>
            </w:r>
            <w:r>
              <w:rPr>
                <w:bCs/>
                <w:szCs w:val="21"/>
              </w:rPr>
              <w:t>）</w:t>
            </w:r>
            <w:r>
              <w:rPr>
                <w:rFonts w:hint="eastAsia"/>
                <w:bCs/>
                <w:szCs w:val="21"/>
              </w:rPr>
              <w:t>表</w:t>
            </w:r>
            <w:r>
              <w:rPr>
                <w:rFonts w:hint="eastAsia"/>
                <w:bCs/>
                <w:szCs w:val="21"/>
              </w:rPr>
              <w:t>4</w:t>
            </w:r>
            <w:r>
              <w:rPr>
                <w:rFonts w:hint="eastAsia"/>
                <w:bCs/>
                <w:szCs w:val="21"/>
              </w:rPr>
              <w:t>三</w:t>
            </w:r>
            <w:r>
              <w:rPr>
                <w:bCs/>
                <w:szCs w:val="21"/>
              </w:rPr>
              <w:t>级标准</w:t>
            </w:r>
            <w:r>
              <w:rPr>
                <w:rFonts w:hint="eastAsia"/>
                <w:szCs w:val="21"/>
              </w:rPr>
              <w:t>限值及</w:t>
            </w:r>
            <w:r>
              <w:rPr>
                <w:rFonts w:hint="eastAsia"/>
                <w:kern w:val="21"/>
                <w:szCs w:val="21"/>
              </w:rPr>
              <w:t>五常市民泉污水处理有限公司（五常市山河屯林业局污水处理厂）</w:t>
            </w:r>
            <w:r>
              <w:rPr>
                <w:kern w:val="21"/>
                <w:szCs w:val="21"/>
              </w:rPr>
              <w:t>设计进水</w:t>
            </w:r>
            <w:r>
              <w:rPr>
                <w:rFonts w:hint="eastAsia"/>
                <w:kern w:val="21"/>
                <w:szCs w:val="21"/>
              </w:rPr>
              <w:t>指标</w:t>
            </w:r>
          </w:p>
        </w:tc>
        <w:tc>
          <w:tcPr>
            <w:tcW w:w="1866" w:type="dxa"/>
            <w:vMerge w:val="restart"/>
            <w:vAlign w:val="center"/>
          </w:tcPr>
          <w:p w14:paraId="71702696" w14:textId="77777777" w:rsidR="00B14D53" w:rsidRDefault="00B14D53">
            <w:pPr>
              <w:jc w:val="center"/>
              <w:rPr>
                <w:b/>
                <w:bCs/>
                <w:color w:val="FF0000"/>
                <w:szCs w:val="21"/>
              </w:rPr>
            </w:pPr>
          </w:p>
          <w:p w14:paraId="768531B0" w14:textId="77777777" w:rsidR="00B14D53" w:rsidRDefault="00000000">
            <w:pPr>
              <w:jc w:val="center"/>
              <w:rPr>
                <w:b/>
                <w:bCs/>
                <w:color w:val="FF0000"/>
                <w:szCs w:val="21"/>
              </w:rPr>
            </w:pPr>
            <w:r>
              <w:rPr>
                <w:noProof/>
                <w:color w:val="FF0000"/>
                <w:szCs w:val="21"/>
              </w:rPr>
              <w:drawing>
                <wp:anchor distT="0" distB="0" distL="114300" distR="114300" simplePos="0" relativeHeight="251759616" behindDoc="0" locked="0" layoutInCell="1" allowOverlap="1" wp14:anchorId="667A12EE" wp14:editId="74352839">
                  <wp:simplePos x="0" y="0"/>
                  <wp:positionH relativeFrom="column">
                    <wp:posOffset>264795</wp:posOffset>
                  </wp:positionH>
                  <wp:positionV relativeFrom="paragraph">
                    <wp:posOffset>80645</wp:posOffset>
                  </wp:positionV>
                  <wp:extent cx="502920" cy="465455"/>
                  <wp:effectExtent l="0" t="0" r="11430" b="10795"/>
                  <wp:wrapNone/>
                  <wp:docPr id="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
                          <pic:cNvPicPr>
                            <a:picLocks noChangeAspect="1" noChangeArrowheads="1"/>
                          </pic:cNvPicPr>
                        </pic:nvPicPr>
                        <pic:blipFill>
                          <a:blip r:embed="rId80" cstate="print"/>
                          <a:srcRect/>
                          <a:stretch>
                            <a:fillRect/>
                          </a:stretch>
                        </pic:blipFill>
                        <pic:spPr>
                          <a:xfrm>
                            <a:off x="0" y="0"/>
                            <a:ext cx="502920" cy="465455"/>
                          </a:xfrm>
                          <a:prstGeom prst="rect">
                            <a:avLst/>
                          </a:prstGeom>
                          <a:noFill/>
                          <a:ln w="9525">
                            <a:noFill/>
                            <a:miter lim="800000"/>
                            <a:headEnd/>
                            <a:tailEnd/>
                          </a:ln>
                        </pic:spPr>
                      </pic:pic>
                    </a:graphicData>
                  </a:graphic>
                </wp:anchor>
              </w:drawing>
            </w:r>
          </w:p>
          <w:p w14:paraId="6ED02E09" w14:textId="77777777" w:rsidR="00B14D53" w:rsidRDefault="00B14D53">
            <w:pPr>
              <w:jc w:val="center"/>
              <w:rPr>
                <w:b/>
                <w:bCs/>
                <w:color w:val="FF0000"/>
                <w:szCs w:val="21"/>
              </w:rPr>
            </w:pPr>
          </w:p>
          <w:p w14:paraId="43830E46" w14:textId="77777777" w:rsidR="00B14D53" w:rsidRDefault="00B14D53">
            <w:pPr>
              <w:jc w:val="center"/>
              <w:rPr>
                <w:b/>
                <w:bCs/>
                <w:szCs w:val="21"/>
              </w:rPr>
            </w:pPr>
          </w:p>
          <w:p w14:paraId="15C768C7" w14:textId="77777777" w:rsidR="00B14D53" w:rsidRDefault="00B14D53">
            <w:pPr>
              <w:jc w:val="center"/>
              <w:rPr>
                <w:b/>
                <w:bCs/>
                <w:szCs w:val="21"/>
              </w:rPr>
            </w:pPr>
          </w:p>
          <w:p w14:paraId="1E0B4980" w14:textId="77777777" w:rsidR="00B14D53" w:rsidRDefault="00000000">
            <w:pPr>
              <w:jc w:val="center"/>
              <w:rPr>
                <w:szCs w:val="21"/>
              </w:rPr>
            </w:pPr>
            <w:r>
              <w:rPr>
                <w:b/>
                <w:bCs/>
                <w:szCs w:val="21"/>
              </w:rPr>
              <w:t>提示图形符号</w:t>
            </w:r>
          </w:p>
          <w:p w14:paraId="320F779C" w14:textId="77777777" w:rsidR="00B14D53" w:rsidRDefault="00000000">
            <w:pPr>
              <w:jc w:val="center"/>
              <w:rPr>
                <w:b/>
                <w:bCs/>
                <w:szCs w:val="21"/>
              </w:rPr>
            </w:pPr>
            <w:r>
              <w:rPr>
                <w:noProof/>
                <w:szCs w:val="21"/>
              </w:rPr>
              <w:drawing>
                <wp:inline distT="0" distB="0" distL="0" distR="0" wp14:anchorId="365504E6" wp14:editId="76A9BE7F">
                  <wp:extent cx="467995" cy="457200"/>
                  <wp:effectExtent l="0" t="0" r="8255" b="0"/>
                  <wp:docPr id="3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
                          <pic:cNvPicPr>
                            <a:picLocks noChangeAspect="1" noChangeArrowheads="1"/>
                          </pic:cNvPicPr>
                        </pic:nvPicPr>
                        <pic:blipFill>
                          <a:blip r:embed="rId81" cstate="print"/>
                          <a:srcRect/>
                          <a:stretch>
                            <a:fillRect/>
                          </a:stretch>
                        </pic:blipFill>
                        <pic:spPr>
                          <a:xfrm>
                            <a:off x="0" y="0"/>
                            <a:ext cx="467995" cy="457200"/>
                          </a:xfrm>
                          <a:prstGeom prst="rect">
                            <a:avLst/>
                          </a:prstGeom>
                          <a:noFill/>
                          <a:ln w="9525">
                            <a:noFill/>
                            <a:miter lim="800000"/>
                            <a:headEnd/>
                            <a:tailEnd/>
                          </a:ln>
                        </pic:spPr>
                      </pic:pic>
                    </a:graphicData>
                  </a:graphic>
                </wp:inline>
              </w:drawing>
            </w:r>
          </w:p>
          <w:p w14:paraId="166C79C9" w14:textId="77777777" w:rsidR="00B14D53" w:rsidRDefault="00B14D53">
            <w:pPr>
              <w:contextualSpacing/>
              <w:jc w:val="center"/>
              <w:rPr>
                <w:b/>
                <w:bCs/>
                <w:szCs w:val="21"/>
              </w:rPr>
            </w:pPr>
          </w:p>
          <w:p w14:paraId="5A88CCE4" w14:textId="77777777" w:rsidR="00B14D53" w:rsidRDefault="00000000">
            <w:pPr>
              <w:contextualSpacing/>
              <w:jc w:val="center"/>
              <w:rPr>
                <w:rFonts w:eastAsiaTheme="minorEastAsia"/>
                <w:szCs w:val="21"/>
              </w:rPr>
            </w:pPr>
            <w:r>
              <w:rPr>
                <w:b/>
                <w:bCs/>
                <w:szCs w:val="21"/>
              </w:rPr>
              <w:t>警告图形符号</w:t>
            </w:r>
          </w:p>
        </w:tc>
      </w:tr>
      <w:tr w:rsidR="00B14D53" w14:paraId="16F3B35F" w14:textId="77777777">
        <w:trPr>
          <w:trHeight w:val="126"/>
        </w:trPr>
        <w:tc>
          <w:tcPr>
            <w:tcW w:w="713" w:type="dxa"/>
            <w:vMerge/>
            <w:vAlign w:val="center"/>
          </w:tcPr>
          <w:p w14:paraId="3D10BAB8"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45D7E7AE" w14:textId="77777777" w:rsidR="00B14D53" w:rsidRDefault="00B14D53">
            <w:pPr>
              <w:contextualSpacing/>
              <w:jc w:val="center"/>
              <w:rPr>
                <w:rFonts w:eastAsiaTheme="minorEastAsia"/>
                <w:szCs w:val="21"/>
              </w:rPr>
            </w:pPr>
          </w:p>
        </w:tc>
        <w:tc>
          <w:tcPr>
            <w:tcW w:w="1012" w:type="dxa"/>
            <w:vAlign w:val="center"/>
          </w:tcPr>
          <w:p w14:paraId="06DFD8F4"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3616" w:type="dxa"/>
            <w:vMerge/>
            <w:vAlign w:val="center"/>
          </w:tcPr>
          <w:p w14:paraId="5492BAD7" w14:textId="77777777" w:rsidR="00B14D53" w:rsidRDefault="00B14D53">
            <w:pPr>
              <w:contextualSpacing/>
              <w:jc w:val="center"/>
              <w:rPr>
                <w:rFonts w:eastAsiaTheme="minorEastAsia"/>
                <w:szCs w:val="21"/>
              </w:rPr>
            </w:pPr>
          </w:p>
        </w:tc>
        <w:tc>
          <w:tcPr>
            <w:tcW w:w="1408" w:type="dxa"/>
            <w:vAlign w:val="center"/>
          </w:tcPr>
          <w:p w14:paraId="1C16BEC5" w14:textId="77777777" w:rsidR="00B14D53" w:rsidRDefault="00000000">
            <w:pPr>
              <w:widowControl/>
              <w:jc w:val="center"/>
              <w:textAlignment w:val="center"/>
              <w:rPr>
                <w:rFonts w:eastAsiaTheme="minorEastAsia"/>
                <w:szCs w:val="21"/>
              </w:rPr>
            </w:pPr>
            <w:r>
              <w:rPr>
                <w:kern w:val="0"/>
                <w:szCs w:val="21"/>
                <w:lang w:bidi="ar"/>
              </w:rPr>
              <w:t>78.6</w:t>
            </w:r>
            <w:r>
              <w:rPr>
                <w:snapToGrid w:val="0"/>
              </w:rPr>
              <w:t>mg/L</w:t>
            </w:r>
          </w:p>
        </w:tc>
        <w:tc>
          <w:tcPr>
            <w:tcW w:w="1408" w:type="dxa"/>
            <w:vAlign w:val="center"/>
          </w:tcPr>
          <w:p w14:paraId="2FA15E4A" w14:textId="77777777" w:rsidR="00B14D53" w:rsidRDefault="00000000">
            <w:pPr>
              <w:widowControl/>
              <w:jc w:val="center"/>
              <w:textAlignment w:val="center"/>
              <w:rPr>
                <w:rFonts w:eastAsiaTheme="minorEastAsia"/>
                <w:szCs w:val="21"/>
                <w:highlight w:val="yellow"/>
              </w:rPr>
            </w:pPr>
            <w:r>
              <w:rPr>
                <w:kern w:val="0"/>
                <w:szCs w:val="21"/>
                <w:lang w:bidi="ar"/>
              </w:rPr>
              <w:t>0.03</w:t>
            </w:r>
            <w:r>
              <w:rPr>
                <w:rFonts w:hint="eastAsia"/>
                <w:snapToGrid w:val="0"/>
              </w:rPr>
              <w:t>t/a</w:t>
            </w:r>
          </w:p>
        </w:tc>
        <w:tc>
          <w:tcPr>
            <w:tcW w:w="2778" w:type="dxa"/>
            <w:vMerge/>
            <w:vAlign w:val="center"/>
          </w:tcPr>
          <w:p w14:paraId="5CAB04BD" w14:textId="77777777" w:rsidR="00B14D53" w:rsidRDefault="00B14D53">
            <w:pPr>
              <w:contextualSpacing/>
              <w:jc w:val="center"/>
              <w:rPr>
                <w:rFonts w:eastAsiaTheme="minorEastAsia"/>
                <w:szCs w:val="21"/>
              </w:rPr>
            </w:pPr>
          </w:p>
        </w:tc>
        <w:tc>
          <w:tcPr>
            <w:tcW w:w="1866" w:type="dxa"/>
            <w:vMerge/>
            <w:vAlign w:val="center"/>
          </w:tcPr>
          <w:p w14:paraId="27E1A7EB" w14:textId="77777777" w:rsidR="00B14D53" w:rsidRDefault="00B14D53">
            <w:pPr>
              <w:contextualSpacing/>
              <w:jc w:val="center"/>
              <w:rPr>
                <w:rFonts w:eastAsiaTheme="minorEastAsia"/>
                <w:szCs w:val="21"/>
              </w:rPr>
            </w:pPr>
          </w:p>
        </w:tc>
      </w:tr>
      <w:tr w:rsidR="00B14D53" w14:paraId="692F90C1" w14:textId="77777777">
        <w:trPr>
          <w:trHeight w:val="126"/>
        </w:trPr>
        <w:tc>
          <w:tcPr>
            <w:tcW w:w="713" w:type="dxa"/>
            <w:vMerge/>
            <w:vAlign w:val="center"/>
          </w:tcPr>
          <w:p w14:paraId="1E35048D"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72FC622C" w14:textId="77777777" w:rsidR="00B14D53" w:rsidRDefault="00B14D53">
            <w:pPr>
              <w:contextualSpacing/>
              <w:jc w:val="center"/>
              <w:rPr>
                <w:rFonts w:eastAsiaTheme="minorEastAsia"/>
                <w:szCs w:val="21"/>
              </w:rPr>
            </w:pPr>
          </w:p>
        </w:tc>
        <w:tc>
          <w:tcPr>
            <w:tcW w:w="1012" w:type="dxa"/>
            <w:vAlign w:val="center"/>
          </w:tcPr>
          <w:p w14:paraId="574F20BA"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氨氮</w:t>
            </w:r>
          </w:p>
        </w:tc>
        <w:tc>
          <w:tcPr>
            <w:tcW w:w="3616" w:type="dxa"/>
            <w:vMerge/>
            <w:vAlign w:val="center"/>
          </w:tcPr>
          <w:p w14:paraId="11A76B65" w14:textId="77777777" w:rsidR="00B14D53" w:rsidRDefault="00B14D53">
            <w:pPr>
              <w:contextualSpacing/>
              <w:jc w:val="center"/>
              <w:rPr>
                <w:rFonts w:eastAsiaTheme="minorEastAsia"/>
                <w:szCs w:val="21"/>
              </w:rPr>
            </w:pPr>
          </w:p>
        </w:tc>
        <w:tc>
          <w:tcPr>
            <w:tcW w:w="1408" w:type="dxa"/>
            <w:vAlign w:val="center"/>
          </w:tcPr>
          <w:p w14:paraId="5ECFC3C7" w14:textId="77777777" w:rsidR="00B14D53" w:rsidRDefault="00000000">
            <w:pPr>
              <w:widowControl/>
              <w:jc w:val="center"/>
              <w:textAlignment w:val="center"/>
              <w:rPr>
                <w:rFonts w:eastAsiaTheme="minorEastAsia"/>
                <w:szCs w:val="21"/>
              </w:rPr>
            </w:pPr>
            <w:r>
              <w:rPr>
                <w:kern w:val="0"/>
                <w:szCs w:val="21"/>
                <w:lang w:bidi="ar"/>
              </w:rPr>
              <w:t>2.25</w:t>
            </w:r>
            <w:r>
              <w:rPr>
                <w:snapToGrid w:val="0"/>
              </w:rPr>
              <w:t>mg/L</w:t>
            </w:r>
          </w:p>
        </w:tc>
        <w:tc>
          <w:tcPr>
            <w:tcW w:w="1408" w:type="dxa"/>
            <w:vAlign w:val="center"/>
          </w:tcPr>
          <w:p w14:paraId="63968B13" w14:textId="77777777" w:rsidR="00B14D53" w:rsidRDefault="00000000">
            <w:pPr>
              <w:widowControl/>
              <w:jc w:val="center"/>
              <w:textAlignment w:val="center"/>
              <w:rPr>
                <w:rFonts w:eastAsiaTheme="minorEastAsia"/>
                <w:szCs w:val="21"/>
                <w:highlight w:val="yellow"/>
              </w:rPr>
            </w:pPr>
            <w:r>
              <w:rPr>
                <w:kern w:val="0"/>
                <w:szCs w:val="21"/>
                <w:lang w:bidi="ar"/>
              </w:rPr>
              <w:t>0.0007</w:t>
            </w:r>
            <w:r>
              <w:rPr>
                <w:rFonts w:hint="eastAsia"/>
                <w:snapToGrid w:val="0"/>
              </w:rPr>
              <w:t>t/a</w:t>
            </w:r>
          </w:p>
        </w:tc>
        <w:tc>
          <w:tcPr>
            <w:tcW w:w="2778" w:type="dxa"/>
            <w:vMerge/>
            <w:vAlign w:val="center"/>
          </w:tcPr>
          <w:p w14:paraId="21623351" w14:textId="77777777" w:rsidR="00B14D53" w:rsidRDefault="00B14D53">
            <w:pPr>
              <w:contextualSpacing/>
              <w:jc w:val="center"/>
              <w:rPr>
                <w:rFonts w:eastAsiaTheme="minorEastAsia"/>
                <w:szCs w:val="21"/>
              </w:rPr>
            </w:pPr>
          </w:p>
        </w:tc>
        <w:tc>
          <w:tcPr>
            <w:tcW w:w="1866" w:type="dxa"/>
            <w:vMerge/>
            <w:vAlign w:val="center"/>
          </w:tcPr>
          <w:p w14:paraId="4F5774FB" w14:textId="77777777" w:rsidR="00B14D53" w:rsidRDefault="00B14D53">
            <w:pPr>
              <w:contextualSpacing/>
              <w:jc w:val="center"/>
              <w:rPr>
                <w:rFonts w:eastAsiaTheme="minorEastAsia"/>
                <w:szCs w:val="21"/>
              </w:rPr>
            </w:pPr>
          </w:p>
        </w:tc>
      </w:tr>
      <w:tr w:rsidR="00B14D53" w14:paraId="618A299F" w14:textId="77777777">
        <w:trPr>
          <w:trHeight w:val="126"/>
        </w:trPr>
        <w:tc>
          <w:tcPr>
            <w:tcW w:w="713" w:type="dxa"/>
            <w:vMerge/>
            <w:vAlign w:val="center"/>
          </w:tcPr>
          <w:p w14:paraId="60D13891"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55740790" w14:textId="77777777" w:rsidR="00B14D53" w:rsidRDefault="00B14D53">
            <w:pPr>
              <w:contextualSpacing/>
              <w:jc w:val="center"/>
              <w:rPr>
                <w:rFonts w:eastAsiaTheme="minorEastAsia"/>
                <w:szCs w:val="21"/>
              </w:rPr>
            </w:pPr>
          </w:p>
        </w:tc>
        <w:tc>
          <w:tcPr>
            <w:tcW w:w="1012" w:type="dxa"/>
            <w:vAlign w:val="center"/>
          </w:tcPr>
          <w:p w14:paraId="5F5306F0" w14:textId="77777777" w:rsidR="00B14D53" w:rsidRDefault="00000000">
            <w:pPr>
              <w:pStyle w:val="afff"/>
              <w:adjustRightInd/>
              <w:snapToGrid/>
              <w:spacing w:line="240" w:lineRule="auto"/>
              <w:ind w:firstLineChars="0" w:firstLine="0"/>
              <w:contextualSpacing/>
              <w:jc w:val="center"/>
              <w:rPr>
                <w:spacing w:val="-6"/>
                <w:szCs w:val="21"/>
              </w:rPr>
            </w:pPr>
            <w:r>
              <w:rPr>
                <w:rFonts w:ascii="Times New Roman" w:hAnsi="Times New Roman" w:cs="Times New Roman"/>
                <w:spacing w:val="-6"/>
                <w:sz w:val="21"/>
                <w:szCs w:val="21"/>
              </w:rPr>
              <w:t>动植物油</w:t>
            </w:r>
          </w:p>
        </w:tc>
        <w:tc>
          <w:tcPr>
            <w:tcW w:w="3616" w:type="dxa"/>
            <w:vMerge/>
            <w:vAlign w:val="center"/>
          </w:tcPr>
          <w:p w14:paraId="0F3E070C" w14:textId="77777777" w:rsidR="00B14D53" w:rsidRDefault="00B14D53">
            <w:pPr>
              <w:contextualSpacing/>
              <w:jc w:val="center"/>
              <w:rPr>
                <w:rFonts w:eastAsiaTheme="minorEastAsia"/>
                <w:szCs w:val="21"/>
              </w:rPr>
            </w:pPr>
          </w:p>
        </w:tc>
        <w:tc>
          <w:tcPr>
            <w:tcW w:w="1408" w:type="dxa"/>
            <w:vAlign w:val="center"/>
          </w:tcPr>
          <w:p w14:paraId="59A11360" w14:textId="77777777" w:rsidR="00B14D53" w:rsidRDefault="00000000">
            <w:pPr>
              <w:widowControl/>
              <w:jc w:val="center"/>
              <w:textAlignment w:val="center"/>
              <w:rPr>
                <w:rFonts w:eastAsiaTheme="minorEastAsia"/>
                <w:szCs w:val="21"/>
              </w:rPr>
            </w:pPr>
            <w:r>
              <w:rPr>
                <w:kern w:val="0"/>
                <w:szCs w:val="21"/>
                <w:lang w:bidi="ar"/>
              </w:rPr>
              <w:t>0.8</w:t>
            </w:r>
            <w:r>
              <w:rPr>
                <w:snapToGrid w:val="0"/>
              </w:rPr>
              <w:t>mg/L</w:t>
            </w:r>
          </w:p>
        </w:tc>
        <w:tc>
          <w:tcPr>
            <w:tcW w:w="1408" w:type="dxa"/>
            <w:vAlign w:val="center"/>
          </w:tcPr>
          <w:p w14:paraId="137136AD" w14:textId="77777777" w:rsidR="00B14D53" w:rsidRDefault="00000000">
            <w:pPr>
              <w:widowControl/>
              <w:jc w:val="center"/>
              <w:textAlignment w:val="center"/>
              <w:rPr>
                <w:rFonts w:eastAsiaTheme="minorEastAsia"/>
                <w:szCs w:val="21"/>
                <w:highlight w:val="yellow"/>
              </w:rPr>
            </w:pPr>
            <w:r>
              <w:rPr>
                <w:kern w:val="0"/>
                <w:szCs w:val="21"/>
                <w:lang w:bidi="ar"/>
              </w:rPr>
              <w:t>0.0003</w:t>
            </w:r>
            <w:r>
              <w:rPr>
                <w:rFonts w:hint="eastAsia"/>
                <w:snapToGrid w:val="0"/>
              </w:rPr>
              <w:t>t/a</w:t>
            </w:r>
          </w:p>
        </w:tc>
        <w:tc>
          <w:tcPr>
            <w:tcW w:w="2778" w:type="dxa"/>
            <w:vMerge/>
            <w:vAlign w:val="center"/>
          </w:tcPr>
          <w:p w14:paraId="794B346E" w14:textId="77777777" w:rsidR="00B14D53" w:rsidRDefault="00B14D53">
            <w:pPr>
              <w:contextualSpacing/>
              <w:jc w:val="center"/>
              <w:rPr>
                <w:rFonts w:eastAsiaTheme="minorEastAsia"/>
                <w:szCs w:val="21"/>
              </w:rPr>
            </w:pPr>
          </w:p>
        </w:tc>
        <w:tc>
          <w:tcPr>
            <w:tcW w:w="1866" w:type="dxa"/>
            <w:vMerge/>
            <w:vAlign w:val="center"/>
          </w:tcPr>
          <w:p w14:paraId="552758E5" w14:textId="77777777" w:rsidR="00B14D53" w:rsidRDefault="00B14D53">
            <w:pPr>
              <w:contextualSpacing/>
              <w:jc w:val="center"/>
              <w:rPr>
                <w:rFonts w:eastAsiaTheme="minorEastAsia"/>
                <w:szCs w:val="21"/>
              </w:rPr>
            </w:pPr>
          </w:p>
        </w:tc>
      </w:tr>
      <w:tr w:rsidR="00B14D53" w14:paraId="3644796B" w14:textId="77777777">
        <w:trPr>
          <w:trHeight w:val="126"/>
        </w:trPr>
        <w:tc>
          <w:tcPr>
            <w:tcW w:w="713" w:type="dxa"/>
            <w:vMerge/>
            <w:vAlign w:val="center"/>
          </w:tcPr>
          <w:p w14:paraId="0C6BB033"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1A535C89" w14:textId="77777777" w:rsidR="00B14D53" w:rsidRDefault="00B14D53">
            <w:pPr>
              <w:contextualSpacing/>
              <w:jc w:val="center"/>
              <w:rPr>
                <w:rFonts w:eastAsiaTheme="minorEastAsia"/>
                <w:szCs w:val="21"/>
              </w:rPr>
            </w:pPr>
          </w:p>
        </w:tc>
        <w:tc>
          <w:tcPr>
            <w:tcW w:w="1012" w:type="dxa"/>
            <w:vAlign w:val="center"/>
          </w:tcPr>
          <w:p w14:paraId="0B11BC9A"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SS</w:t>
            </w:r>
          </w:p>
        </w:tc>
        <w:tc>
          <w:tcPr>
            <w:tcW w:w="3616" w:type="dxa"/>
            <w:vMerge/>
            <w:vAlign w:val="center"/>
          </w:tcPr>
          <w:p w14:paraId="427D28B3" w14:textId="77777777" w:rsidR="00B14D53" w:rsidRDefault="00B14D53">
            <w:pPr>
              <w:contextualSpacing/>
              <w:jc w:val="center"/>
              <w:rPr>
                <w:rFonts w:eastAsiaTheme="minorEastAsia"/>
                <w:szCs w:val="21"/>
              </w:rPr>
            </w:pPr>
          </w:p>
        </w:tc>
        <w:tc>
          <w:tcPr>
            <w:tcW w:w="1408" w:type="dxa"/>
            <w:vAlign w:val="center"/>
          </w:tcPr>
          <w:p w14:paraId="568F432D" w14:textId="77777777" w:rsidR="00B14D53" w:rsidRDefault="00000000">
            <w:pPr>
              <w:widowControl/>
              <w:jc w:val="center"/>
              <w:textAlignment w:val="center"/>
              <w:rPr>
                <w:rFonts w:eastAsiaTheme="minorEastAsia"/>
                <w:szCs w:val="21"/>
              </w:rPr>
            </w:pPr>
            <w:r>
              <w:rPr>
                <w:kern w:val="0"/>
                <w:szCs w:val="21"/>
                <w:lang w:bidi="ar"/>
              </w:rPr>
              <w:t>128</w:t>
            </w:r>
            <w:r>
              <w:rPr>
                <w:snapToGrid w:val="0"/>
              </w:rPr>
              <w:t>mg/L</w:t>
            </w:r>
          </w:p>
        </w:tc>
        <w:tc>
          <w:tcPr>
            <w:tcW w:w="1408" w:type="dxa"/>
            <w:vAlign w:val="center"/>
          </w:tcPr>
          <w:p w14:paraId="5111019E" w14:textId="77777777" w:rsidR="00B14D53" w:rsidRDefault="00000000">
            <w:pPr>
              <w:widowControl/>
              <w:jc w:val="center"/>
              <w:textAlignment w:val="center"/>
              <w:rPr>
                <w:rFonts w:eastAsiaTheme="minorEastAsia"/>
                <w:szCs w:val="21"/>
                <w:highlight w:val="yellow"/>
              </w:rPr>
            </w:pPr>
            <w:r>
              <w:rPr>
                <w:kern w:val="0"/>
                <w:szCs w:val="21"/>
                <w:lang w:bidi="ar"/>
              </w:rPr>
              <w:t>0.04</w:t>
            </w:r>
            <w:r>
              <w:rPr>
                <w:rFonts w:hint="eastAsia"/>
                <w:snapToGrid w:val="0"/>
              </w:rPr>
              <w:t>t/a</w:t>
            </w:r>
          </w:p>
        </w:tc>
        <w:tc>
          <w:tcPr>
            <w:tcW w:w="2778" w:type="dxa"/>
            <w:vMerge/>
            <w:vAlign w:val="center"/>
          </w:tcPr>
          <w:p w14:paraId="1477F64C" w14:textId="77777777" w:rsidR="00B14D53" w:rsidRDefault="00B14D53">
            <w:pPr>
              <w:contextualSpacing/>
              <w:jc w:val="center"/>
              <w:rPr>
                <w:rFonts w:eastAsiaTheme="minorEastAsia"/>
                <w:szCs w:val="21"/>
              </w:rPr>
            </w:pPr>
          </w:p>
        </w:tc>
        <w:tc>
          <w:tcPr>
            <w:tcW w:w="1866" w:type="dxa"/>
            <w:vMerge/>
            <w:vAlign w:val="center"/>
          </w:tcPr>
          <w:p w14:paraId="59308AAA" w14:textId="77777777" w:rsidR="00B14D53" w:rsidRDefault="00B14D53">
            <w:pPr>
              <w:contextualSpacing/>
              <w:jc w:val="center"/>
              <w:rPr>
                <w:rFonts w:eastAsiaTheme="minorEastAsia"/>
                <w:szCs w:val="21"/>
              </w:rPr>
            </w:pPr>
          </w:p>
        </w:tc>
      </w:tr>
      <w:tr w:rsidR="00B14D53" w14:paraId="16049957" w14:textId="77777777">
        <w:trPr>
          <w:trHeight w:val="126"/>
        </w:trPr>
        <w:tc>
          <w:tcPr>
            <w:tcW w:w="713" w:type="dxa"/>
            <w:vMerge/>
            <w:vAlign w:val="center"/>
          </w:tcPr>
          <w:p w14:paraId="7BF2D9A8"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2E94EF6E" w14:textId="77777777" w:rsidR="00B14D53" w:rsidRDefault="00B14D53">
            <w:pPr>
              <w:contextualSpacing/>
              <w:jc w:val="center"/>
              <w:rPr>
                <w:rFonts w:eastAsiaTheme="minorEastAsia"/>
                <w:szCs w:val="21"/>
              </w:rPr>
            </w:pPr>
          </w:p>
        </w:tc>
        <w:tc>
          <w:tcPr>
            <w:tcW w:w="1012" w:type="dxa"/>
            <w:vAlign w:val="center"/>
          </w:tcPr>
          <w:p w14:paraId="22B209EE"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pH</w:t>
            </w:r>
          </w:p>
        </w:tc>
        <w:tc>
          <w:tcPr>
            <w:tcW w:w="3616" w:type="dxa"/>
            <w:vMerge/>
            <w:vAlign w:val="center"/>
          </w:tcPr>
          <w:p w14:paraId="2333C76E" w14:textId="77777777" w:rsidR="00B14D53" w:rsidRDefault="00B14D53">
            <w:pPr>
              <w:contextualSpacing/>
              <w:jc w:val="center"/>
              <w:rPr>
                <w:rFonts w:eastAsiaTheme="minorEastAsia"/>
                <w:szCs w:val="21"/>
              </w:rPr>
            </w:pPr>
          </w:p>
        </w:tc>
        <w:tc>
          <w:tcPr>
            <w:tcW w:w="2816" w:type="dxa"/>
            <w:gridSpan w:val="2"/>
            <w:vAlign w:val="center"/>
          </w:tcPr>
          <w:p w14:paraId="147683E1" w14:textId="77777777" w:rsidR="00B14D53" w:rsidRDefault="00000000">
            <w:pPr>
              <w:contextualSpacing/>
              <w:jc w:val="center"/>
              <w:rPr>
                <w:rFonts w:eastAsiaTheme="minorEastAsia"/>
                <w:szCs w:val="21"/>
              </w:rPr>
            </w:pPr>
            <w:r>
              <w:rPr>
                <w:szCs w:val="21"/>
              </w:rPr>
              <w:t>6.9~7.8</w:t>
            </w:r>
            <w:r>
              <w:rPr>
                <w:szCs w:val="21"/>
              </w:rPr>
              <w:t>无量纲</w:t>
            </w:r>
          </w:p>
        </w:tc>
        <w:tc>
          <w:tcPr>
            <w:tcW w:w="2778" w:type="dxa"/>
            <w:vMerge/>
            <w:vAlign w:val="center"/>
          </w:tcPr>
          <w:p w14:paraId="21AE1C11" w14:textId="77777777" w:rsidR="00B14D53" w:rsidRDefault="00B14D53">
            <w:pPr>
              <w:contextualSpacing/>
              <w:jc w:val="center"/>
              <w:rPr>
                <w:rFonts w:eastAsiaTheme="minorEastAsia"/>
                <w:szCs w:val="21"/>
              </w:rPr>
            </w:pPr>
          </w:p>
        </w:tc>
        <w:tc>
          <w:tcPr>
            <w:tcW w:w="1866" w:type="dxa"/>
            <w:vMerge/>
            <w:vAlign w:val="center"/>
          </w:tcPr>
          <w:p w14:paraId="2F777D09" w14:textId="77777777" w:rsidR="00B14D53" w:rsidRDefault="00B14D53">
            <w:pPr>
              <w:contextualSpacing/>
              <w:jc w:val="center"/>
              <w:rPr>
                <w:rFonts w:eastAsiaTheme="minorEastAsia"/>
                <w:szCs w:val="21"/>
              </w:rPr>
            </w:pPr>
          </w:p>
        </w:tc>
      </w:tr>
      <w:tr w:rsidR="00B14D53" w14:paraId="027EA0C3" w14:textId="77777777">
        <w:trPr>
          <w:trHeight w:val="126"/>
        </w:trPr>
        <w:tc>
          <w:tcPr>
            <w:tcW w:w="713" w:type="dxa"/>
            <w:vMerge/>
            <w:vAlign w:val="center"/>
          </w:tcPr>
          <w:p w14:paraId="497B54A1"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restart"/>
            <w:vAlign w:val="center"/>
          </w:tcPr>
          <w:p w14:paraId="1B6A7CE8" w14:textId="77777777" w:rsidR="00B14D53" w:rsidRDefault="00000000">
            <w:pPr>
              <w:contextualSpacing/>
              <w:jc w:val="center"/>
              <w:rPr>
                <w:rFonts w:eastAsiaTheme="minorEastAsia"/>
                <w:szCs w:val="21"/>
              </w:rPr>
            </w:pPr>
            <w:r>
              <w:rPr>
                <w:rFonts w:eastAsiaTheme="minorEastAsia"/>
                <w:szCs w:val="21"/>
              </w:rPr>
              <w:t>生产废水</w:t>
            </w:r>
          </w:p>
        </w:tc>
        <w:tc>
          <w:tcPr>
            <w:tcW w:w="1012" w:type="dxa"/>
            <w:vAlign w:val="center"/>
          </w:tcPr>
          <w:p w14:paraId="5F4690A5"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COD</w:t>
            </w:r>
          </w:p>
        </w:tc>
        <w:tc>
          <w:tcPr>
            <w:tcW w:w="3616" w:type="dxa"/>
            <w:vMerge w:val="restart"/>
            <w:vAlign w:val="center"/>
          </w:tcPr>
          <w:p w14:paraId="3127E4E8" w14:textId="77777777" w:rsidR="00B14D53" w:rsidRDefault="00000000">
            <w:pPr>
              <w:contextualSpacing/>
              <w:jc w:val="center"/>
              <w:rPr>
                <w:rFonts w:eastAsiaTheme="minorEastAsia"/>
                <w:bCs/>
              </w:rPr>
            </w:pPr>
            <w:r>
              <w:rPr>
                <w:rFonts w:eastAsiaTheme="minorEastAsia" w:hint="eastAsia"/>
                <w:snapToGrid w:val="0"/>
                <w:szCs w:val="21"/>
              </w:rPr>
              <w:t>厂内污水处理站处理，采用“格栅</w:t>
            </w:r>
            <w:r>
              <w:rPr>
                <w:rFonts w:eastAsiaTheme="minorEastAsia" w:hint="eastAsia"/>
                <w:snapToGrid w:val="0"/>
                <w:szCs w:val="21"/>
              </w:rPr>
              <w:t>+</w:t>
            </w:r>
            <w:r>
              <w:rPr>
                <w:rFonts w:eastAsiaTheme="minorEastAsia" w:hint="eastAsia"/>
                <w:snapToGrid w:val="0"/>
                <w:szCs w:val="21"/>
              </w:rPr>
              <w:t>调节沉淀池</w:t>
            </w:r>
            <w:r>
              <w:rPr>
                <w:rFonts w:eastAsiaTheme="minorEastAsia" w:hint="eastAsia"/>
                <w:snapToGrid w:val="0"/>
                <w:szCs w:val="21"/>
              </w:rPr>
              <w:t>+</w:t>
            </w:r>
            <w:r>
              <w:rPr>
                <w:rFonts w:eastAsiaTheme="minorEastAsia" w:hint="eastAsia"/>
                <w:snapToGrid w:val="0"/>
                <w:szCs w:val="21"/>
              </w:rPr>
              <w:t>气浮机</w:t>
            </w:r>
            <w:r>
              <w:rPr>
                <w:rFonts w:eastAsiaTheme="minorEastAsia" w:hint="eastAsia"/>
                <w:snapToGrid w:val="0"/>
                <w:szCs w:val="21"/>
              </w:rPr>
              <w:t>+</w:t>
            </w:r>
            <w:r>
              <w:rPr>
                <w:rFonts w:eastAsiaTheme="minorEastAsia" w:hint="eastAsia"/>
                <w:snapToGrid w:val="0"/>
                <w:szCs w:val="21"/>
              </w:rPr>
              <w:t>水解酸化池</w:t>
            </w:r>
            <w:r>
              <w:rPr>
                <w:rFonts w:eastAsiaTheme="minorEastAsia" w:hint="eastAsia"/>
                <w:snapToGrid w:val="0"/>
                <w:szCs w:val="21"/>
              </w:rPr>
              <w:t>+</w:t>
            </w:r>
            <w:r>
              <w:rPr>
                <w:rFonts w:eastAsiaTheme="minorEastAsia" w:hint="eastAsia"/>
                <w:snapToGrid w:val="0"/>
                <w:szCs w:val="21"/>
              </w:rPr>
              <w:t>接触氧化池</w:t>
            </w:r>
            <w:r>
              <w:rPr>
                <w:rFonts w:eastAsiaTheme="minorEastAsia" w:hint="eastAsia"/>
                <w:snapToGrid w:val="0"/>
                <w:szCs w:val="21"/>
              </w:rPr>
              <w:t>+</w:t>
            </w:r>
            <w:r>
              <w:rPr>
                <w:rFonts w:eastAsiaTheme="minorEastAsia" w:hint="eastAsia"/>
                <w:snapToGrid w:val="0"/>
                <w:szCs w:val="21"/>
              </w:rPr>
              <w:t>二沉池</w:t>
            </w:r>
            <w:r>
              <w:rPr>
                <w:rFonts w:eastAsiaTheme="minorEastAsia" w:hint="eastAsia"/>
                <w:snapToGrid w:val="0"/>
                <w:szCs w:val="21"/>
              </w:rPr>
              <w:t>+</w:t>
            </w:r>
            <w:r>
              <w:rPr>
                <w:rFonts w:eastAsiaTheme="minorEastAsia" w:hint="eastAsia"/>
                <w:snapToGrid w:val="0"/>
                <w:szCs w:val="21"/>
              </w:rPr>
              <w:t>污泥浓缩池</w:t>
            </w:r>
            <w:r>
              <w:rPr>
                <w:rFonts w:eastAsiaTheme="minorEastAsia" w:hint="eastAsia"/>
                <w:snapToGrid w:val="0"/>
                <w:szCs w:val="21"/>
              </w:rPr>
              <w:t>+</w:t>
            </w:r>
            <w:r>
              <w:rPr>
                <w:rFonts w:eastAsiaTheme="minorEastAsia" w:hint="eastAsia"/>
                <w:snapToGrid w:val="0"/>
                <w:szCs w:val="21"/>
              </w:rPr>
              <w:t>次氯酸钠消毒工艺”，处理后</w:t>
            </w:r>
            <w:r>
              <w:rPr>
                <w:rFonts w:eastAsiaTheme="minorEastAsia" w:hAnsiTheme="minorEastAsia" w:hint="eastAsia"/>
                <w:szCs w:val="21"/>
              </w:rPr>
              <w:t>排入市政管网，经</w:t>
            </w:r>
            <w:r>
              <w:rPr>
                <w:rFonts w:hint="eastAsia"/>
                <w:kern w:val="21"/>
                <w:szCs w:val="21"/>
              </w:rPr>
              <w:t>五常市民泉污水处理有限公司（五常市山河屯林业局污水处理厂）</w:t>
            </w:r>
            <w:r>
              <w:rPr>
                <w:kern w:val="21"/>
                <w:szCs w:val="21"/>
              </w:rPr>
              <w:t>处理</w:t>
            </w:r>
            <w:r>
              <w:rPr>
                <w:rFonts w:hint="eastAsia"/>
                <w:kern w:val="21"/>
                <w:szCs w:val="21"/>
              </w:rPr>
              <w:t>达标后</w:t>
            </w:r>
            <w:r>
              <w:rPr>
                <w:kern w:val="21"/>
                <w:szCs w:val="21"/>
              </w:rPr>
              <w:t>排入</w:t>
            </w:r>
            <w:r>
              <w:rPr>
                <w:rFonts w:hint="eastAsia"/>
                <w:kern w:val="21"/>
                <w:szCs w:val="21"/>
              </w:rPr>
              <w:t>拉林</w:t>
            </w:r>
            <w:r>
              <w:rPr>
                <w:kern w:val="21"/>
                <w:szCs w:val="21"/>
              </w:rPr>
              <w:t>河</w:t>
            </w:r>
          </w:p>
        </w:tc>
        <w:tc>
          <w:tcPr>
            <w:tcW w:w="1408" w:type="dxa"/>
            <w:vAlign w:val="center"/>
          </w:tcPr>
          <w:p w14:paraId="62855F63" w14:textId="77777777" w:rsidR="00B14D53" w:rsidRDefault="00000000">
            <w:pPr>
              <w:widowControl/>
              <w:jc w:val="center"/>
              <w:textAlignment w:val="center"/>
              <w:rPr>
                <w:rFonts w:eastAsiaTheme="minorEastAsia"/>
                <w:bCs/>
              </w:rPr>
            </w:pPr>
            <w:r>
              <w:rPr>
                <w:kern w:val="0"/>
                <w:szCs w:val="21"/>
                <w:lang w:bidi="ar"/>
              </w:rPr>
              <w:t>327.6</w:t>
            </w:r>
            <w:r>
              <w:rPr>
                <w:snapToGrid w:val="0"/>
              </w:rPr>
              <w:t>mg/L</w:t>
            </w:r>
          </w:p>
        </w:tc>
        <w:tc>
          <w:tcPr>
            <w:tcW w:w="1408" w:type="dxa"/>
            <w:vAlign w:val="center"/>
          </w:tcPr>
          <w:p w14:paraId="31A94144" w14:textId="77777777" w:rsidR="00B14D53" w:rsidRDefault="00000000">
            <w:pPr>
              <w:widowControl/>
              <w:jc w:val="center"/>
              <w:textAlignment w:val="center"/>
              <w:rPr>
                <w:rFonts w:eastAsiaTheme="minorEastAsia"/>
                <w:szCs w:val="21"/>
              </w:rPr>
            </w:pPr>
            <w:r>
              <w:rPr>
                <w:kern w:val="0"/>
                <w:szCs w:val="21"/>
                <w:lang w:bidi="ar"/>
              </w:rPr>
              <w:t>25.87</w:t>
            </w:r>
            <w:r>
              <w:rPr>
                <w:rFonts w:hint="eastAsia"/>
                <w:snapToGrid w:val="0"/>
              </w:rPr>
              <w:t>t/a</w:t>
            </w:r>
          </w:p>
        </w:tc>
        <w:tc>
          <w:tcPr>
            <w:tcW w:w="2778" w:type="dxa"/>
            <w:vMerge w:val="restart"/>
            <w:vAlign w:val="center"/>
          </w:tcPr>
          <w:p w14:paraId="4539A18C" w14:textId="77777777" w:rsidR="00B14D53" w:rsidRDefault="00000000">
            <w:pPr>
              <w:contextualSpacing/>
              <w:jc w:val="center"/>
              <w:rPr>
                <w:rFonts w:eastAsiaTheme="minorEastAsia"/>
                <w:szCs w:val="21"/>
              </w:rPr>
            </w:pPr>
            <w:r>
              <w:rPr>
                <w:bCs/>
                <w:szCs w:val="21"/>
              </w:rPr>
              <w:t>《肉类加工工业水污染物排放标准》（</w:t>
            </w:r>
            <w:r>
              <w:rPr>
                <w:bCs/>
                <w:szCs w:val="21"/>
              </w:rPr>
              <w:t>GB13457-92</w:t>
            </w:r>
            <w:r>
              <w:rPr>
                <w:bCs/>
                <w:szCs w:val="21"/>
              </w:rPr>
              <w:t>）表</w:t>
            </w:r>
            <w:r>
              <w:rPr>
                <w:bCs/>
                <w:szCs w:val="21"/>
              </w:rPr>
              <w:t>3</w:t>
            </w:r>
            <w:r>
              <w:rPr>
                <w:bCs/>
                <w:szCs w:val="21"/>
              </w:rPr>
              <w:t>中畜类屠宰加工及肉制品加工三级标准及五常市民泉污水处理有限公司（五常市山河屯林业局污水处理厂）进水指标</w:t>
            </w:r>
          </w:p>
        </w:tc>
        <w:tc>
          <w:tcPr>
            <w:tcW w:w="1866" w:type="dxa"/>
            <w:vMerge/>
            <w:vAlign w:val="center"/>
          </w:tcPr>
          <w:p w14:paraId="4EF75B83" w14:textId="77777777" w:rsidR="00B14D53" w:rsidRDefault="00B14D53">
            <w:pPr>
              <w:contextualSpacing/>
              <w:jc w:val="center"/>
              <w:rPr>
                <w:rFonts w:eastAsiaTheme="minorEastAsia"/>
                <w:szCs w:val="21"/>
              </w:rPr>
            </w:pPr>
          </w:p>
        </w:tc>
      </w:tr>
      <w:tr w:rsidR="00B14D53" w14:paraId="2311B17B" w14:textId="77777777">
        <w:trPr>
          <w:trHeight w:val="126"/>
        </w:trPr>
        <w:tc>
          <w:tcPr>
            <w:tcW w:w="713" w:type="dxa"/>
            <w:vMerge/>
            <w:vAlign w:val="center"/>
          </w:tcPr>
          <w:p w14:paraId="4EEA0918"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036BB6AA" w14:textId="77777777" w:rsidR="00B14D53" w:rsidRDefault="00B14D53">
            <w:pPr>
              <w:contextualSpacing/>
              <w:jc w:val="center"/>
              <w:rPr>
                <w:rFonts w:eastAsiaTheme="minorEastAsia"/>
                <w:szCs w:val="21"/>
              </w:rPr>
            </w:pPr>
          </w:p>
        </w:tc>
        <w:tc>
          <w:tcPr>
            <w:tcW w:w="1012" w:type="dxa"/>
            <w:vAlign w:val="center"/>
          </w:tcPr>
          <w:p w14:paraId="564B532D"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氨氮</w:t>
            </w:r>
          </w:p>
        </w:tc>
        <w:tc>
          <w:tcPr>
            <w:tcW w:w="3616" w:type="dxa"/>
            <w:vMerge/>
            <w:vAlign w:val="center"/>
          </w:tcPr>
          <w:p w14:paraId="22C2C0C3" w14:textId="77777777" w:rsidR="00B14D53" w:rsidRDefault="00B14D53">
            <w:pPr>
              <w:contextualSpacing/>
              <w:jc w:val="center"/>
              <w:rPr>
                <w:rFonts w:eastAsiaTheme="minorEastAsia"/>
                <w:bCs/>
              </w:rPr>
            </w:pPr>
          </w:p>
        </w:tc>
        <w:tc>
          <w:tcPr>
            <w:tcW w:w="1408" w:type="dxa"/>
            <w:vAlign w:val="center"/>
          </w:tcPr>
          <w:p w14:paraId="2469C365" w14:textId="77777777" w:rsidR="00B14D53" w:rsidRDefault="00000000">
            <w:pPr>
              <w:widowControl/>
              <w:jc w:val="center"/>
              <w:textAlignment w:val="center"/>
              <w:rPr>
                <w:rFonts w:eastAsiaTheme="minorEastAsia"/>
                <w:bCs/>
              </w:rPr>
            </w:pPr>
            <w:r>
              <w:rPr>
                <w:kern w:val="0"/>
                <w:szCs w:val="21"/>
                <w:lang w:bidi="ar"/>
              </w:rPr>
              <w:t>24.2</w:t>
            </w:r>
            <w:r>
              <w:rPr>
                <w:snapToGrid w:val="0"/>
              </w:rPr>
              <w:t>mg/L</w:t>
            </w:r>
          </w:p>
        </w:tc>
        <w:tc>
          <w:tcPr>
            <w:tcW w:w="1408" w:type="dxa"/>
            <w:vAlign w:val="center"/>
          </w:tcPr>
          <w:p w14:paraId="0879C945" w14:textId="77777777" w:rsidR="00B14D53" w:rsidRDefault="00000000">
            <w:pPr>
              <w:widowControl/>
              <w:jc w:val="center"/>
              <w:textAlignment w:val="center"/>
              <w:rPr>
                <w:rFonts w:eastAsiaTheme="minorEastAsia"/>
                <w:szCs w:val="21"/>
              </w:rPr>
            </w:pPr>
            <w:r>
              <w:rPr>
                <w:kern w:val="0"/>
                <w:szCs w:val="21"/>
                <w:lang w:bidi="ar"/>
              </w:rPr>
              <w:t>1.91</w:t>
            </w:r>
            <w:r>
              <w:rPr>
                <w:rFonts w:hint="eastAsia"/>
                <w:snapToGrid w:val="0"/>
              </w:rPr>
              <w:t>t/a</w:t>
            </w:r>
          </w:p>
        </w:tc>
        <w:tc>
          <w:tcPr>
            <w:tcW w:w="2778" w:type="dxa"/>
            <w:vMerge/>
            <w:vAlign w:val="center"/>
          </w:tcPr>
          <w:p w14:paraId="432B0BCC" w14:textId="77777777" w:rsidR="00B14D53" w:rsidRDefault="00B14D53">
            <w:pPr>
              <w:contextualSpacing/>
              <w:jc w:val="center"/>
              <w:rPr>
                <w:rFonts w:eastAsiaTheme="minorEastAsia"/>
                <w:szCs w:val="21"/>
              </w:rPr>
            </w:pPr>
          </w:p>
        </w:tc>
        <w:tc>
          <w:tcPr>
            <w:tcW w:w="1866" w:type="dxa"/>
            <w:vMerge/>
            <w:vAlign w:val="center"/>
          </w:tcPr>
          <w:p w14:paraId="65705FA2" w14:textId="77777777" w:rsidR="00B14D53" w:rsidRDefault="00B14D53">
            <w:pPr>
              <w:contextualSpacing/>
              <w:jc w:val="center"/>
              <w:rPr>
                <w:rFonts w:eastAsiaTheme="minorEastAsia"/>
                <w:szCs w:val="21"/>
              </w:rPr>
            </w:pPr>
          </w:p>
        </w:tc>
      </w:tr>
      <w:tr w:rsidR="00B14D53" w14:paraId="1AE6C563" w14:textId="77777777">
        <w:trPr>
          <w:trHeight w:val="126"/>
        </w:trPr>
        <w:tc>
          <w:tcPr>
            <w:tcW w:w="713" w:type="dxa"/>
            <w:vMerge/>
            <w:vAlign w:val="center"/>
          </w:tcPr>
          <w:p w14:paraId="78D2772C"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3D32DBBB" w14:textId="77777777" w:rsidR="00B14D53" w:rsidRDefault="00B14D53">
            <w:pPr>
              <w:contextualSpacing/>
              <w:jc w:val="center"/>
              <w:rPr>
                <w:rFonts w:eastAsiaTheme="minorEastAsia"/>
                <w:szCs w:val="21"/>
              </w:rPr>
            </w:pPr>
          </w:p>
        </w:tc>
        <w:tc>
          <w:tcPr>
            <w:tcW w:w="1012" w:type="dxa"/>
            <w:vAlign w:val="center"/>
          </w:tcPr>
          <w:p w14:paraId="63245B70"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3616" w:type="dxa"/>
            <w:vMerge/>
            <w:vAlign w:val="center"/>
          </w:tcPr>
          <w:p w14:paraId="04D4D4F9" w14:textId="77777777" w:rsidR="00B14D53" w:rsidRDefault="00B14D53">
            <w:pPr>
              <w:contextualSpacing/>
              <w:jc w:val="center"/>
              <w:rPr>
                <w:rFonts w:eastAsiaTheme="minorEastAsia"/>
                <w:bCs/>
              </w:rPr>
            </w:pPr>
          </w:p>
        </w:tc>
        <w:tc>
          <w:tcPr>
            <w:tcW w:w="1408" w:type="dxa"/>
            <w:vAlign w:val="center"/>
          </w:tcPr>
          <w:p w14:paraId="73FAFC8A" w14:textId="77777777" w:rsidR="00B14D53" w:rsidRDefault="00000000">
            <w:pPr>
              <w:widowControl/>
              <w:jc w:val="center"/>
              <w:textAlignment w:val="center"/>
              <w:rPr>
                <w:rFonts w:eastAsiaTheme="minorEastAsia"/>
                <w:bCs/>
              </w:rPr>
            </w:pPr>
            <w:r>
              <w:rPr>
                <w:kern w:val="0"/>
                <w:szCs w:val="21"/>
                <w:lang w:bidi="ar"/>
              </w:rPr>
              <w:t>199.4</w:t>
            </w:r>
            <w:r>
              <w:rPr>
                <w:snapToGrid w:val="0"/>
              </w:rPr>
              <w:t>mg/L</w:t>
            </w:r>
          </w:p>
        </w:tc>
        <w:tc>
          <w:tcPr>
            <w:tcW w:w="1408" w:type="dxa"/>
            <w:vAlign w:val="center"/>
          </w:tcPr>
          <w:p w14:paraId="7EB74126" w14:textId="77777777" w:rsidR="00B14D53" w:rsidRDefault="00000000">
            <w:pPr>
              <w:widowControl/>
              <w:jc w:val="center"/>
              <w:textAlignment w:val="center"/>
              <w:rPr>
                <w:rFonts w:eastAsiaTheme="minorEastAsia"/>
                <w:szCs w:val="21"/>
              </w:rPr>
            </w:pPr>
            <w:r>
              <w:rPr>
                <w:kern w:val="0"/>
                <w:szCs w:val="21"/>
                <w:lang w:bidi="ar"/>
              </w:rPr>
              <w:t>15.75</w:t>
            </w:r>
            <w:r>
              <w:rPr>
                <w:rFonts w:hint="eastAsia"/>
                <w:snapToGrid w:val="0"/>
              </w:rPr>
              <w:t>t/a</w:t>
            </w:r>
          </w:p>
        </w:tc>
        <w:tc>
          <w:tcPr>
            <w:tcW w:w="2778" w:type="dxa"/>
            <w:vMerge/>
            <w:vAlign w:val="center"/>
          </w:tcPr>
          <w:p w14:paraId="574B5B4B" w14:textId="77777777" w:rsidR="00B14D53" w:rsidRDefault="00B14D53">
            <w:pPr>
              <w:contextualSpacing/>
              <w:jc w:val="center"/>
              <w:rPr>
                <w:rFonts w:eastAsiaTheme="minorEastAsia"/>
                <w:szCs w:val="21"/>
              </w:rPr>
            </w:pPr>
          </w:p>
        </w:tc>
        <w:tc>
          <w:tcPr>
            <w:tcW w:w="1866" w:type="dxa"/>
            <w:vMerge/>
            <w:vAlign w:val="center"/>
          </w:tcPr>
          <w:p w14:paraId="00FA3C45" w14:textId="77777777" w:rsidR="00B14D53" w:rsidRDefault="00B14D53">
            <w:pPr>
              <w:contextualSpacing/>
              <w:jc w:val="center"/>
              <w:rPr>
                <w:rFonts w:eastAsiaTheme="minorEastAsia"/>
                <w:szCs w:val="21"/>
              </w:rPr>
            </w:pPr>
          </w:p>
        </w:tc>
      </w:tr>
      <w:tr w:rsidR="00B14D53" w14:paraId="6361ED58" w14:textId="77777777">
        <w:trPr>
          <w:trHeight w:val="126"/>
        </w:trPr>
        <w:tc>
          <w:tcPr>
            <w:tcW w:w="713" w:type="dxa"/>
            <w:vMerge/>
            <w:vAlign w:val="center"/>
          </w:tcPr>
          <w:p w14:paraId="222F21C9"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052FF18E" w14:textId="77777777" w:rsidR="00B14D53" w:rsidRDefault="00B14D53">
            <w:pPr>
              <w:contextualSpacing/>
              <w:jc w:val="center"/>
              <w:rPr>
                <w:rFonts w:eastAsiaTheme="minorEastAsia"/>
                <w:szCs w:val="21"/>
              </w:rPr>
            </w:pPr>
          </w:p>
        </w:tc>
        <w:tc>
          <w:tcPr>
            <w:tcW w:w="1012" w:type="dxa"/>
            <w:vAlign w:val="center"/>
          </w:tcPr>
          <w:p w14:paraId="1B528208"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SS</w:t>
            </w:r>
          </w:p>
        </w:tc>
        <w:tc>
          <w:tcPr>
            <w:tcW w:w="3616" w:type="dxa"/>
            <w:vMerge/>
            <w:vAlign w:val="center"/>
          </w:tcPr>
          <w:p w14:paraId="475339E5" w14:textId="77777777" w:rsidR="00B14D53" w:rsidRDefault="00B14D53">
            <w:pPr>
              <w:contextualSpacing/>
              <w:jc w:val="center"/>
              <w:rPr>
                <w:rFonts w:eastAsiaTheme="minorEastAsia"/>
                <w:bCs/>
              </w:rPr>
            </w:pPr>
          </w:p>
        </w:tc>
        <w:tc>
          <w:tcPr>
            <w:tcW w:w="1408" w:type="dxa"/>
            <w:vAlign w:val="center"/>
          </w:tcPr>
          <w:p w14:paraId="5EE0E53D" w14:textId="77777777" w:rsidR="00B14D53" w:rsidRDefault="00000000">
            <w:pPr>
              <w:widowControl/>
              <w:jc w:val="center"/>
              <w:textAlignment w:val="center"/>
              <w:rPr>
                <w:rFonts w:eastAsiaTheme="minorEastAsia"/>
                <w:bCs/>
              </w:rPr>
            </w:pPr>
            <w:r>
              <w:rPr>
                <w:kern w:val="0"/>
                <w:szCs w:val="21"/>
                <w:lang w:bidi="ar"/>
              </w:rPr>
              <w:t>298.5</w:t>
            </w:r>
            <w:r>
              <w:rPr>
                <w:snapToGrid w:val="0"/>
              </w:rPr>
              <w:t>mg/L</w:t>
            </w:r>
          </w:p>
        </w:tc>
        <w:tc>
          <w:tcPr>
            <w:tcW w:w="1408" w:type="dxa"/>
            <w:vAlign w:val="center"/>
          </w:tcPr>
          <w:p w14:paraId="74C72BA0" w14:textId="77777777" w:rsidR="00B14D53" w:rsidRDefault="00000000">
            <w:pPr>
              <w:widowControl/>
              <w:jc w:val="center"/>
              <w:textAlignment w:val="center"/>
              <w:rPr>
                <w:rFonts w:eastAsiaTheme="minorEastAsia"/>
                <w:szCs w:val="21"/>
              </w:rPr>
            </w:pPr>
            <w:r>
              <w:rPr>
                <w:kern w:val="0"/>
                <w:szCs w:val="21"/>
                <w:lang w:bidi="ar"/>
              </w:rPr>
              <w:t>23.57</w:t>
            </w:r>
            <w:r>
              <w:rPr>
                <w:rFonts w:hint="eastAsia"/>
                <w:snapToGrid w:val="0"/>
              </w:rPr>
              <w:t>t/a</w:t>
            </w:r>
          </w:p>
        </w:tc>
        <w:tc>
          <w:tcPr>
            <w:tcW w:w="2778" w:type="dxa"/>
            <w:vMerge/>
            <w:vAlign w:val="center"/>
          </w:tcPr>
          <w:p w14:paraId="17E18A7F" w14:textId="77777777" w:rsidR="00B14D53" w:rsidRDefault="00B14D53">
            <w:pPr>
              <w:contextualSpacing/>
              <w:jc w:val="center"/>
              <w:rPr>
                <w:rFonts w:eastAsiaTheme="minorEastAsia"/>
                <w:szCs w:val="21"/>
              </w:rPr>
            </w:pPr>
          </w:p>
        </w:tc>
        <w:tc>
          <w:tcPr>
            <w:tcW w:w="1866" w:type="dxa"/>
            <w:vMerge/>
            <w:vAlign w:val="center"/>
          </w:tcPr>
          <w:p w14:paraId="428AD6DE" w14:textId="77777777" w:rsidR="00B14D53" w:rsidRDefault="00B14D53">
            <w:pPr>
              <w:contextualSpacing/>
              <w:jc w:val="center"/>
              <w:rPr>
                <w:rFonts w:eastAsiaTheme="minorEastAsia"/>
                <w:szCs w:val="21"/>
              </w:rPr>
            </w:pPr>
          </w:p>
        </w:tc>
      </w:tr>
      <w:tr w:rsidR="00B14D53" w14:paraId="36CB99A0" w14:textId="77777777">
        <w:trPr>
          <w:trHeight w:val="126"/>
        </w:trPr>
        <w:tc>
          <w:tcPr>
            <w:tcW w:w="713" w:type="dxa"/>
            <w:vMerge/>
            <w:vAlign w:val="center"/>
          </w:tcPr>
          <w:p w14:paraId="3EDB3BFC"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7B99056A" w14:textId="77777777" w:rsidR="00B14D53" w:rsidRDefault="00B14D53">
            <w:pPr>
              <w:contextualSpacing/>
              <w:jc w:val="center"/>
              <w:rPr>
                <w:rFonts w:eastAsiaTheme="minorEastAsia"/>
                <w:szCs w:val="21"/>
              </w:rPr>
            </w:pPr>
          </w:p>
        </w:tc>
        <w:tc>
          <w:tcPr>
            <w:tcW w:w="1012" w:type="dxa"/>
            <w:vAlign w:val="center"/>
          </w:tcPr>
          <w:p w14:paraId="3871AFAA" w14:textId="77777777" w:rsidR="00B14D53" w:rsidRDefault="00000000">
            <w:pPr>
              <w:pStyle w:val="afff"/>
              <w:adjustRightInd/>
              <w:snapToGrid/>
              <w:spacing w:line="240" w:lineRule="auto"/>
              <w:ind w:firstLineChars="0" w:firstLine="0"/>
              <w:contextualSpacing/>
              <w:jc w:val="center"/>
              <w:rPr>
                <w:spacing w:val="-6"/>
                <w:szCs w:val="21"/>
              </w:rPr>
            </w:pPr>
            <w:r>
              <w:rPr>
                <w:rFonts w:ascii="Times New Roman" w:hAnsi="Times New Roman" w:cs="Times New Roman"/>
                <w:spacing w:val="-6"/>
                <w:sz w:val="21"/>
                <w:szCs w:val="21"/>
              </w:rPr>
              <w:t>动植物油</w:t>
            </w:r>
          </w:p>
        </w:tc>
        <w:tc>
          <w:tcPr>
            <w:tcW w:w="3616" w:type="dxa"/>
            <w:vMerge/>
            <w:vAlign w:val="center"/>
          </w:tcPr>
          <w:p w14:paraId="7C6CE5D8" w14:textId="77777777" w:rsidR="00B14D53" w:rsidRDefault="00B14D53">
            <w:pPr>
              <w:contextualSpacing/>
              <w:jc w:val="center"/>
              <w:rPr>
                <w:rFonts w:eastAsiaTheme="minorEastAsia"/>
                <w:bCs/>
              </w:rPr>
            </w:pPr>
          </w:p>
        </w:tc>
        <w:tc>
          <w:tcPr>
            <w:tcW w:w="1408" w:type="dxa"/>
            <w:vAlign w:val="center"/>
          </w:tcPr>
          <w:p w14:paraId="78BA8E8B" w14:textId="77777777" w:rsidR="00B14D53" w:rsidRDefault="00000000">
            <w:pPr>
              <w:widowControl/>
              <w:jc w:val="center"/>
              <w:textAlignment w:val="center"/>
              <w:rPr>
                <w:rFonts w:eastAsiaTheme="minorEastAsia"/>
                <w:bCs/>
              </w:rPr>
            </w:pPr>
            <w:r>
              <w:rPr>
                <w:kern w:val="0"/>
                <w:szCs w:val="21"/>
                <w:lang w:bidi="ar"/>
              </w:rPr>
              <w:t>60</w:t>
            </w:r>
            <w:r>
              <w:rPr>
                <w:snapToGrid w:val="0"/>
              </w:rPr>
              <w:t>mg/L</w:t>
            </w:r>
          </w:p>
        </w:tc>
        <w:tc>
          <w:tcPr>
            <w:tcW w:w="1408" w:type="dxa"/>
            <w:vAlign w:val="center"/>
          </w:tcPr>
          <w:p w14:paraId="27FB6D19" w14:textId="77777777" w:rsidR="00B14D53" w:rsidRDefault="00000000">
            <w:pPr>
              <w:widowControl/>
              <w:jc w:val="center"/>
              <w:textAlignment w:val="center"/>
              <w:rPr>
                <w:rFonts w:eastAsiaTheme="minorEastAsia"/>
                <w:szCs w:val="21"/>
              </w:rPr>
            </w:pPr>
            <w:r>
              <w:rPr>
                <w:kern w:val="0"/>
                <w:szCs w:val="21"/>
                <w:lang w:bidi="ar"/>
              </w:rPr>
              <w:t>4.74</w:t>
            </w:r>
            <w:r>
              <w:rPr>
                <w:rFonts w:hint="eastAsia"/>
                <w:snapToGrid w:val="0"/>
              </w:rPr>
              <w:t>t/a</w:t>
            </w:r>
          </w:p>
        </w:tc>
        <w:tc>
          <w:tcPr>
            <w:tcW w:w="2778" w:type="dxa"/>
            <w:vMerge/>
            <w:vAlign w:val="center"/>
          </w:tcPr>
          <w:p w14:paraId="739522A2" w14:textId="77777777" w:rsidR="00B14D53" w:rsidRDefault="00B14D53">
            <w:pPr>
              <w:contextualSpacing/>
              <w:jc w:val="center"/>
              <w:rPr>
                <w:rFonts w:eastAsiaTheme="minorEastAsia"/>
                <w:szCs w:val="21"/>
              </w:rPr>
            </w:pPr>
          </w:p>
        </w:tc>
        <w:tc>
          <w:tcPr>
            <w:tcW w:w="1866" w:type="dxa"/>
            <w:vMerge/>
            <w:vAlign w:val="center"/>
          </w:tcPr>
          <w:p w14:paraId="3B5E96CA" w14:textId="77777777" w:rsidR="00B14D53" w:rsidRDefault="00B14D53">
            <w:pPr>
              <w:contextualSpacing/>
              <w:jc w:val="center"/>
              <w:rPr>
                <w:rFonts w:eastAsiaTheme="minorEastAsia"/>
                <w:szCs w:val="21"/>
              </w:rPr>
            </w:pPr>
          </w:p>
        </w:tc>
      </w:tr>
      <w:tr w:rsidR="00B14D53" w14:paraId="78E09AAF" w14:textId="77777777">
        <w:trPr>
          <w:trHeight w:val="126"/>
        </w:trPr>
        <w:tc>
          <w:tcPr>
            <w:tcW w:w="713" w:type="dxa"/>
            <w:vMerge/>
            <w:vAlign w:val="center"/>
          </w:tcPr>
          <w:p w14:paraId="3BD16B96"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6C1938E0" w14:textId="77777777" w:rsidR="00B14D53" w:rsidRDefault="00B14D53">
            <w:pPr>
              <w:contextualSpacing/>
              <w:jc w:val="center"/>
              <w:rPr>
                <w:rFonts w:eastAsiaTheme="minorEastAsia"/>
                <w:szCs w:val="21"/>
              </w:rPr>
            </w:pPr>
          </w:p>
        </w:tc>
        <w:tc>
          <w:tcPr>
            <w:tcW w:w="1012" w:type="dxa"/>
            <w:vAlign w:val="center"/>
          </w:tcPr>
          <w:p w14:paraId="1EA7CBFC"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粪大肠菌群</w:t>
            </w:r>
          </w:p>
        </w:tc>
        <w:tc>
          <w:tcPr>
            <w:tcW w:w="3616" w:type="dxa"/>
            <w:vMerge/>
            <w:vAlign w:val="center"/>
          </w:tcPr>
          <w:p w14:paraId="26493786" w14:textId="77777777" w:rsidR="00B14D53" w:rsidRDefault="00B14D53">
            <w:pPr>
              <w:contextualSpacing/>
              <w:jc w:val="center"/>
              <w:rPr>
                <w:rFonts w:eastAsiaTheme="minorEastAsia"/>
                <w:bCs/>
              </w:rPr>
            </w:pPr>
          </w:p>
        </w:tc>
        <w:tc>
          <w:tcPr>
            <w:tcW w:w="1408" w:type="dxa"/>
            <w:vAlign w:val="center"/>
          </w:tcPr>
          <w:p w14:paraId="61E3D343" w14:textId="77777777" w:rsidR="00B14D53" w:rsidRDefault="00000000">
            <w:pPr>
              <w:widowControl/>
              <w:jc w:val="center"/>
              <w:textAlignment w:val="center"/>
              <w:rPr>
                <w:rFonts w:eastAsiaTheme="minorEastAsia"/>
                <w:bCs/>
              </w:rPr>
            </w:pPr>
            <w:r>
              <w:rPr>
                <w:kern w:val="0"/>
                <w:szCs w:val="21"/>
                <w:lang w:bidi="ar"/>
              </w:rPr>
              <w:t>240</w:t>
            </w:r>
            <w:r>
              <w:rPr>
                <w:bCs/>
                <w:snapToGrid w:val="0"/>
                <w:szCs w:val="21"/>
              </w:rPr>
              <w:t>个</w:t>
            </w:r>
            <w:r>
              <w:rPr>
                <w:bCs/>
                <w:snapToGrid w:val="0"/>
                <w:szCs w:val="21"/>
              </w:rPr>
              <w:t>/L</w:t>
            </w:r>
          </w:p>
        </w:tc>
        <w:tc>
          <w:tcPr>
            <w:tcW w:w="1408" w:type="dxa"/>
            <w:vAlign w:val="center"/>
          </w:tcPr>
          <w:p w14:paraId="7C2CAB65" w14:textId="77777777" w:rsidR="00B14D53" w:rsidRDefault="00000000">
            <w:pPr>
              <w:contextualSpacing/>
              <w:jc w:val="center"/>
              <w:rPr>
                <w:rFonts w:eastAsiaTheme="minorEastAsia"/>
                <w:szCs w:val="21"/>
              </w:rPr>
            </w:pPr>
            <w:r>
              <w:rPr>
                <w:rFonts w:eastAsiaTheme="minorEastAsia" w:hint="eastAsia"/>
                <w:szCs w:val="21"/>
              </w:rPr>
              <w:t>/</w:t>
            </w:r>
          </w:p>
        </w:tc>
        <w:tc>
          <w:tcPr>
            <w:tcW w:w="2778" w:type="dxa"/>
            <w:vMerge/>
            <w:vAlign w:val="center"/>
          </w:tcPr>
          <w:p w14:paraId="58B83DC5" w14:textId="77777777" w:rsidR="00B14D53" w:rsidRDefault="00B14D53">
            <w:pPr>
              <w:contextualSpacing/>
              <w:jc w:val="center"/>
              <w:rPr>
                <w:rFonts w:eastAsiaTheme="minorEastAsia"/>
                <w:szCs w:val="21"/>
              </w:rPr>
            </w:pPr>
          </w:p>
        </w:tc>
        <w:tc>
          <w:tcPr>
            <w:tcW w:w="1866" w:type="dxa"/>
            <w:vMerge/>
            <w:vAlign w:val="center"/>
          </w:tcPr>
          <w:p w14:paraId="2F26A6FA" w14:textId="77777777" w:rsidR="00B14D53" w:rsidRDefault="00B14D53">
            <w:pPr>
              <w:contextualSpacing/>
              <w:jc w:val="center"/>
              <w:rPr>
                <w:rFonts w:eastAsiaTheme="minorEastAsia"/>
                <w:szCs w:val="21"/>
              </w:rPr>
            </w:pPr>
          </w:p>
        </w:tc>
      </w:tr>
      <w:tr w:rsidR="00B14D53" w14:paraId="08CA3174" w14:textId="77777777">
        <w:trPr>
          <w:trHeight w:val="126"/>
        </w:trPr>
        <w:tc>
          <w:tcPr>
            <w:tcW w:w="713" w:type="dxa"/>
            <w:vMerge/>
            <w:vAlign w:val="center"/>
          </w:tcPr>
          <w:p w14:paraId="5B9B31EB" w14:textId="77777777" w:rsidR="00B14D53" w:rsidRDefault="00B14D53">
            <w:pPr>
              <w:tabs>
                <w:tab w:val="left" w:pos="360"/>
              </w:tabs>
              <w:autoSpaceDE w:val="0"/>
              <w:autoSpaceDN w:val="0"/>
              <w:contextualSpacing/>
              <w:jc w:val="center"/>
              <w:rPr>
                <w:rFonts w:eastAsiaTheme="minorEastAsia"/>
                <w:szCs w:val="21"/>
              </w:rPr>
            </w:pPr>
          </w:p>
        </w:tc>
        <w:tc>
          <w:tcPr>
            <w:tcW w:w="1380" w:type="dxa"/>
            <w:gridSpan w:val="2"/>
            <w:vMerge/>
            <w:vAlign w:val="center"/>
          </w:tcPr>
          <w:p w14:paraId="6BD6F86F" w14:textId="77777777" w:rsidR="00B14D53" w:rsidRDefault="00B14D53">
            <w:pPr>
              <w:contextualSpacing/>
              <w:jc w:val="center"/>
              <w:rPr>
                <w:rFonts w:eastAsiaTheme="minorEastAsia"/>
                <w:szCs w:val="21"/>
              </w:rPr>
            </w:pPr>
          </w:p>
        </w:tc>
        <w:tc>
          <w:tcPr>
            <w:tcW w:w="1012" w:type="dxa"/>
            <w:vAlign w:val="center"/>
          </w:tcPr>
          <w:p w14:paraId="3105A207" w14:textId="77777777" w:rsidR="00B14D53" w:rsidRDefault="00000000">
            <w:pPr>
              <w:pStyle w:val="afff"/>
              <w:adjustRightInd/>
              <w:snapToGrid/>
              <w:spacing w:line="240" w:lineRule="auto"/>
              <w:ind w:firstLineChars="0" w:firstLine="0"/>
              <w:contextualSpacing/>
              <w:jc w:val="center"/>
              <w:rPr>
                <w:szCs w:val="21"/>
              </w:rPr>
            </w:pPr>
            <w:r>
              <w:rPr>
                <w:rFonts w:ascii="Times New Roman" w:hAnsi="Times New Roman" w:cs="Times New Roman"/>
                <w:sz w:val="21"/>
                <w:szCs w:val="21"/>
              </w:rPr>
              <w:t>pH</w:t>
            </w:r>
          </w:p>
        </w:tc>
        <w:tc>
          <w:tcPr>
            <w:tcW w:w="3616" w:type="dxa"/>
            <w:vMerge/>
            <w:vAlign w:val="center"/>
          </w:tcPr>
          <w:p w14:paraId="4025A901" w14:textId="77777777" w:rsidR="00B14D53" w:rsidRDefault="00B14D53">
            <w:pPr>
              <w:contextualSpacing/>
              <w:jc w:val="center"/>
              <w:rPr>
                <w:rFonts w:eastAsiaTheme="minorEastAsia"/>
                <w:bCs/>
              </w:rPr>
            </w:pPr>
          </w:p>
        </w:tc>
        <w:tc>
          <w:tcPr>
            <w:tcW w:w="2816" w:type="dxa"/>
            <w:gridSpan w:val="2"/>
            <w:vAlign w:val="center"/>
          </w:tcPr>
          <w:p w14:paraId="7FD1699F" w14:textId="77777777" w:rsidR="00B14D53" w:rsidRDefault="00000000">
            <w:pPr>
              <w:contextualSpacing/>
              <w:jc w:val="center"/>
              <w:rPr>
                <w:rFonts w:eastAsiaTheme="minorEastAsia"/>
                <w:szCs w:val="21"/>
              </w:rPr>
            </w:pPr>
            <w:r>
              <w:rPr>
                <w:snapToGrid w:val="0"/>
                <w:szCs w:val="21"/>
              </w:rPr>
              <w:t>7.2~7.3</w:t>
            </w:r>
            <w:r>
              <w:rPr>
                <w:snapToGrid w:val="0"/>
                <w:szCs w:val="21"/>
              </w:rPr>
              <w:t>无量纲</w:t>
            </w:r>
          </w:p>
        </w:tc>
        <w:tc>
          <w:tcPr>
            <w:tcW w:w="2778" w:type="dxa"/>
            <w:vMerge/>
            <w:vAlign w:val="center"/>
          </w:tcPr>
          <w:p w14:paraId="1FCDE5EF" w14:textId="77777777" w:rsidR="00B14D53" w:rsidRDefault="00B14D53">
            <w:pPr>
              <w:contextualSpacing/>
              <w:jc w:val="center"/>
              <w:rPr>
                <w:rFonts w:eastAsiaTheme="minorEastAsia"/>
                <w:szCs w:val="21"/>
              </w:rPr>
            </w:pPr>
          </w:p>
        </w:tc>
        <w:tc>
          <w:tcPr>
            <w:tcW w:w="1866" w:type="dxa"/>
            <w:vMerge/>
            <w:vAlign w:val="center"/>
          </w:tcPr>
          <w:p w14:paraId="38FACE54" w14:textId="77777777" w:rsidR="00B14D53" w:rsidRDefault="00B14D53">
            <w:pPr>
              <w:contextualSpacing/>
              <w:jc w:val="center"/>
              <w:rPr>
                <w:rFonts w:eastAsiaTheme="minorEastAsia"/>
                <w:szCs w:val="21"/>
              </w:rPr>
            </w:pPr>
          </w:p>
        </w:tc>
      </w:tr>
    </w:tbl>
    <w:p w14:paraId="4FD7E6D0" w14:textId="77777777" w:rsidR="00B14D53" w:rsidRDefault="00B14D53">
      <w:pPr>
        <w:jc w:val="center"/>
        <w:rPr>
          <w:b/>
          <w:bCs/>
          <w:lang w:val="zh-CN"/>
        </w:rPr>
      </w:pPr>
    </w:p>
    <w:p w14:paraId="28BE91D4" w14:textId="77777777" w:rsidR="00B14D53" w:rsidRDefault="00B14D53">
      <w:pPr>
        <w:jc w:val="center"/>
        <w:rPr>
          <w:b/>
          <w:bCs/>
          <w:lang w:val="zh-CN"/>
        </w:rPr>
      </w:pPr>
    </w:p>
    <w:p w14:paraId="31ED4ACF" w14:textId="77777777" w:rsidR="00B14D53" w:rsidRDefault="00B14D53">
      <w:pPr>
        <w:jc w:val="center"/>
        <w:rPr>
          <w:b/>
          <w:bCs/>
          <w:lang w:val="zh-CN"/>
        </w:rPr>
      </w:pPr>
    </w:p>
    <w:p w14:paraId="775BA40A" w14:textId="77777777" w:rsidR="00B14D53" w:rsidRDefault="00B14D53">
      <w:pPr>
        <w:jc w:val="center"/>
        <w:rPr>
          <w:b/>
          <w:bCs/>
          <w:lang w:val="zh-CN"/>
        </w:rPr>
      </w:pPr>
    </w:p>
    <w:p w14:paraId="11B1005B" w14:textId="77777777" w:rsidR="00B14D53" w:rsidRDefault="00B14D53">
      <w:pPr>
        <w:jc w:val="center"/>
        <w:rPr>
          <w:b/>
          <w:bCs/>
          <w:lang w:val="zh-CN"/>
        </w:rPr>
      </w:pPr>
    </w:p>
    <w:p w14:paraId="4E676C1D" w14:textId="77777777" w:rsidR="00B14D53" w:rsidRDefault="00000000">
      <w:pPr>
        <w:jc w:val="center"/>
      </w:pPr>
      <w:r>
        <w:rPr>
          <w:rFonts w:hint="eastAsia"/>
          <w:b/>
          <w:bCs/>
          <w:lang w:val="zh-CN"/>
        </w:rPr>
        <w:t>续表</w:t>
      </w:r>
      <w:r>
        <w:rPr>
          <w:rFonts w:hint="eastAsia"/>
          <w:b/>
          <w:bCs/>
          <w:lang w:val="zh-CN"/>
        </w:rPr>
        <w:t xml:space="preserve">8-1-2 </w:t>
      </w:r>
      <w:r>
        <w:rPr>
          <w:rFonts w:hint="eastAsia"/>
          <w:b/>
          <w:bCs/>
          <w:lang w:val="zh-CN"/>
        </w:rPr>
        <w:t>污染物排放清单一览表</w:t>
      </w:r>
    </w:p>
    <w:tbl>
      <w:tblPr>
        <w:tblW w:w="14181" w:type="dxa"/>
        <w:tblInd w:w="-181"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3"/>
        <w:gridCol w:w="2695"/>
        <w:gridCol w:w="6129"/>
        <w:gridCol w:w="2778"/>
        <w:gridCol w:w="1866"/>
      </w:tblGrid>
      <w:tr w:rsidR="00B14D53" w14:paraId="05A98CAF" w14:textId="77777777">
        <w:trPr>
          <w:trHeight w:val="126"/>
        </w:trPr>
        <w:tc>
          <w:tcPr>
            <w:tcW w:w="713" w:type="dxa"/>
            <w:vAlign w:val="center"/>
          </w:tcPr>
          <w:p w14:paraId="70AB7231" w14:textId="77777777" w:rsidR="00B14D53" w:rsidRDefault="00000000">
            <w:pPr>
              <w:contextualSpacing/>
              <w:jc w:val="center"/>
              <w:rPr>
                <w:rFonts w:eastAsiaTheme="minorEastAsia"/>
                <w:szCs w:val="21"/>
              </w:rPr>
            </w:pPr>
            <w:r>
              <w:rPr>
                <w:rFonts w:eastAsiaTheme="minorEastAsia"/>
                <w:szCs w:val="21"/>
              </w:rPr>
              <w:t>噪声</w:t>
            </w:r>
          </w:p>
        </w:tc>
        <w:tc>
          <w:tcPr>
            <w:tcW w:w="2695" w:type="dxa"/>
            <w:vAlign w:val="center"/>
          </w:tcPr>
          <w:p w14:paraId="7C48C3F3" w14:textId="77777777" w:rsidR="00B14D53" w:rsidRDefault="00000000">
            <w:pPr>
              <w:contextualSpacing/>
              <w:jc w:val="center"/>
              <w:rPr>
                <w:rFonts w:eastAsiaTheme="minorEastAsia"/>
                <w:szCs w:val="21"/>
              </w:rPr>
            </w:pPr>
            <w:r>
              <w:rPr>
                <w:rFonts w:eastAsiaTheme="minorEastAsia"/>
                <w:szCs w:val="21"/>
              </w:rPr>
              <w:t>水泵、</w:t>
            </w:r>
            <w:r>
              <w:rPr>
                <w:rFonts w:eastAsiaTheme="minorEastAsia" w:hint="eastAsia"/>
                <w:szCs w:val="21"/>
              </w:rPr>
              <w:t>风机</w:t>
            </w:r>
            <w:r>
              <w:rPr>
                <w:rFonts w:eastAsiaTheme="minorEastAsia"/>
                <w:szCs w:val="21"/>
              </w:rPr>
              <w:t>等</w:t>
            </w:r>
          </w:p>
        </w:tc>
        <w:tc>
          <w:tcPr>
            <w:tcW w:w="6129" w:type="dxa"/>
            <w:vAlign w:val="center"/>
          </w:tcPr>
          <w:p w14:paraId="0E922EC0" w14:textId="77777777" w:rsidR="00B14D53" w:rsidRDefault="00000000">
            <w:pPr>
              <w:contextualSpacing/>
              <w:jc w:val="center"/>
              <w:rPr>
                <w:rFonts w:eastAsiaTheme="minorEastAsia"/>
                <w:szCs w:val="21"/>
              </w:rPr>
            </w:pPr>
            <w:r>
              <w:rPr>
                <w:rFonts w:eastAsiaTheme="minorEastAsia" w:hint="eastAsia"/>
                <w:szCs w:val="21"/>
              </w:rPr>
              <w:t>选用低噪声</w:t>
            </w:r>
            <w:r>
              <w:rPr>
                <w:rFonts w:eastAsiaTheme="minorEastAsia"/>
                <w:szCs w:val="21"/>
              </w:rPr>
              <w:t>设备</w:t>
            </w:r>
            <w:r>
              <w:rPr>
                <w:rFonts w:eastAsiaTheme="minorEastAsia" w:hint="eastAsia"/>
                <w:szCs w:val="21"/>
              </w:rPr>
              <w:t>、</w:t>
            </w:r>
            <w:r>
              <w:rPr>
                <w:rFonts w:eastAsiaTheme="minorEastAsia"/>
                <w:szCs w:val="21"/>
              </w:rPr>
              <w:t>采取基础减振，隔声</w:t>
            </w:r>
            <w:r>
              <w:rPr>
                <w:rFonts w:eastAsiaTheme="minorEastAsia" w:hint="eastAsia"/>
                <w:szCs w:val="21"/>
              </w:rPr>
              <w:t>、夜间不生产</w:t>
            </w:r>
            <w:r>
              <w:rPr>
                <w:rFonts w:eastAsiaTheme="minorEastAsia"/>
                <w:szCs w:val="21"/>
              </w:rPr>
              <w:t>等措施</w:t>
            </w:r>
          </w:p>
        </w:tc>
        <w:tc>
          <w:tcPr>
            <w:tcW w:w="2778" w:type="dxa"/>
            <w:vAlign w:val="center"/>
          </w:tcPr>
          <w:p w14:paraId="19183DC4" w14:textId="77777777" w:rsidR="00B14D53" w:rsidRDefault="00000000">
            <w:pPr>
              <w:contextualSpacing/>
              <w:jc w:val="center"/>
              <w:rPr>
                <w:rFonts w:eastAsiaTheme="minorEastAsia"/>
                <w:szCs w:val="21"/>
              </w:rPr>
            </w:pPr>
            <w:r>
              <w:rPr>
                <w:rFonts w:eastAsiaTheme="minorEastAsia"/>
                <w:szCs w:val="21"/>
              </w:rPr>
              <w:t>《工业企业厂界环境噪声排放标准》（</w:t>
            </w:r>
            <w:r>
              <w:rPr>
                <w:rFonts w:eastAsiaTheme="minorEastAsia"/>
                <w:szCs w:val="21"/>
              </w:rPr>
              <w:t>GB12348-2008</w:t>
            </w:r>
            <w:r>
              <w:rPr>
                <w:rFonts w:eastAsiaTheme="minorEastAsia"/>
                <w:szCs w:val="21"/>
              </w:rPr>
              <w:t>）表</w:t>
            </w:r>
            <w:r>
              <w:rPr>
                <w:rFonts w:eastAsiaTheme="minorEastAsia"/>
                <w:szCs w:val="21"/>
              </w:rPr>
              <w:t>1</w:t>
            </w:r>
            <w:r>
              <w:rPr>
                <w:rFonts w:eastAsiaTheme="minorEastAsia"/>
                <w:szCs w:val="21"/>
              </w:rPr>
              <w:t>中</w:t>
            </w:r>
            <w:r>
              <w:rPr>
                <w:rFonts w:eastAsiaTheme="minorEastAsia" w:hint="eastAsia"/>
                <w:szCs w:val="21"/>
              </w:rPr>
              <w:t>2</w:t>
            </w:r>
            <w:r>
              <w:rPr>
                <w:rFonts w:eastAsiaTheme="minorEastAsia"/>
                <w:szCs w:val="21"/>
              </w:rPr>
              <w:t>类标准</w:t>
            </w:r>
          </w:p>
        </w:tc>
        <w:tc>
          <w:tcPr>
            <w:tcW w:w="1866" w:type="dxa"/>
            <w:vAlign w:val="center"/>
          </w:tcPr>
          <w:p w14:paraId="52063CA7" w14:textId="77777777" w:rsidR="00B14D53" w:rsidRDefault="00000000">
            <w:pPr>
              <w:contextualSpacing/>
              <w:jc w:val="center"/>
              <w:rPr>
                <w:rFonts w:eastAsiaTheme="minorEastAsia"/>
                <w:szCs w:val="21"/>
              </w:rPr>
            </w:pPr>
            <w:r>
              <w:rPr>
                <w:rFonts w:eastAsiaTheme="minorEastAsia"/>
                <w:noProof/>
                <w:szCs w:val="21"/>
              </w:rPr>
              <w:drawing>
                <wp:anchor distT="0" distB="0" distL="114300" distR="114300" simplePos="0" relativeHeight="251662336" behindDoc="0" locked="0" layoutInCell="1" allowOverlap="1" wp14:anchorId="68FE1142" wp14:editId="75E90C61">
                  <wp:simplePos x="0" y="0"/>
                  <wp:positionH relativeFrom="column">
                    <wp:posOffset>227965</wp:posOffset>
                  </wp:positionH>
                  <wp:positionV relativeFrom="paragraph">
                    <wp:posOffset>47625</wp:posOffset>
                  </wp:positionV>
                  <wp:extent cx="598170" cy="524510"/>
                  <wp:effectExtent l="19050" t="0" r="0" b="0"/>
                  <wp:wrapNone/>
                  <wp:docPr id="448"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1"/>
                          <pic:cNvPicPr>
                            <a:picLocks noChangeAspect="1" noChangeArrowheads="1"/>
                          </pic:cNvPicPr>
                        </pic:nvPicPr>
                        <pic:blipFill>
                          <a:blip r:embed="rId82" cstate="print"/>
                          <a:srcRect/>
                          <a:stretch>
                            <a:fillRect/>
                          </a:stretch>
                        </pic:blipFill>
                        <pic:spPr>
                          <a:xfrm>
                            <a:off x="0" y="0"/>
                            <a:ext cx="598170" cy="524510"/>
                          </a:xfrm>
                          <a:prstGeom prst="rect">
                            <a:avLst/>
                          </a:prstGeom>
                          <a:noFill/>
                          <a:ln w="9525">
                            <a:noFill/>
                            <a:miter lim="800000"/>
                            <a:headEnd/>
                            <a:tailEnd/>
                          </a:ln>
                        </pic:spPr>
                      </pic:pic>
                    </a:graphicData>
                  </a:graphic>
                </wp:anchor>
              </w:drawing>
            </w:r>
          </w:p>
          <w:p w14:paraId="5451B233" w14:textId="77777777" w:rsidR="00B14D53" w:rsidRDefault="00B14D53">
            <w:pPr>
              <w:contextualSpacing/>
              <w:jc w:val="center"/>
              <w:rPr>
                <w:rFonts w:eastAsiaTheme="minorEastAsia"/>
                <w:szCs w:val="21"/>
              </w:rPr>
            </w:pPr>
          </w:p>
          <w:p w14:paraId="5D2E3F11" w14:textId="77777777" w:rsidR="00B14D53" w:rsidRDefault="00B14D53">
            <w:pPr>
              <w:contextualSpacing/>
              <w:jc w:val="center"/>
              <w:rPr>
                <w:rFonts w:eastAsiaTheme="minorEastAsia"/>
                <w:szCs w:val="21"/>
              </w:rPr>
            </w:pPr>
          </w:p>
          <w:p w14:paraId="523668A2" w14:textId="77777777" w:rsidR="00B14D53" w:rsidRDefault="00B14D53">
            <w:pPr>
              <w:contextualSpacing/>
              <w:jc w:val="center"/>
              <w:rPr>
                <w:rFonts w:eastAsiaTheme="minorEastAsia"/>
                <w:b/>
                <w:bCs/>
                <w:szCs w:val="21"/>
              </w:rPr>
            </w:pPr>
          </w:p>
          <w:p w14:paraId="0C58F98E" w14:textId="77777777" w:rsidR="00B14D53" w:rsidRDefault="00000000">
            <w:pPr>
              <w:contextualSpacing/>
              <w:jc w:val="center"/>
              <w:rPr>
                <w:rFonts w:eastAsiaTheme="minorEastAsia"/>
                <w:szCs w:val="21"/>
              </w:rPr>
            </w:pPr>
            <w:r>
              <w:rPr>
                <w:rFonts w:eastAsiaTheme="minorEastAsia"/>
                <w:b/>
                <w:bCs/>
                <w:szCs w:val="21"/>
              </w:rPr>
              <w:t>提示图形符号</w:t>
            </w:r>
          </w:p>
          <w:p w14:paraId="4C6A62E0" w14:textId="77777777" w:rsidR="00B14D53" w:rsidRDefault="00000000">
            <w:pPr>
              <w:contextualSpacing/>
              <w:jc w:val="center"/>
              <w:rPr>
                <w:rFonts w:eastAsiaTheme="minorEastAsia"/>
                <w:szCs w:val="21"/>
              </w:rPr>
            </w:pPr>
            <w:r>
              <w:rPr>
                <w:rFonts w:eastAsiaTheme="minorEastAsia"/>
                <w:noProof/>
                <w:szCs w:val="21"/>
              </w:rPr>
              <w:drawing>
                <wp:inline distT="0" distB="0" distL="0" distR="0" wp14:anchorId="088CEBAA" wp14:editId="21398724">
                  <wp:extent cx="709930" cy="628015"/>
                  <wp:effectExtent l="19050" t="0" r="0" b="0"/>
                  <wp:docPr id="44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80"/>
                          <pic:cNvPicPr>
                            <a:picLocks noChangeAspect="1" noChangeArrowheads="1"/>
                          </pic:cNvPicPr>
                        </pic:nvPicPr>
                        <pic:blipFill>
                          <a:blip r:embed="rId83" cstate="print"/>
                          <a:srcRect/>
                          <a:stretch>
                            <a:fillRect/>
                          </a:stretch>
                        </pic:blipFill>
                        <pic:spPr>
                          <a:xfrm>
                            <a:off x="0" y="0"/>
                            <a:ext cx="709930" cy="628015"/>
                          </a:xfrm>
                          <a:prstGeom prst="rect">
                            <a:avLst/>
                          </a:prstGeom>
                          <a:noFill/>
                          <a:ln w="9525">
                            <a:noFill/>
                            <a:miter lim="800000"/>
                            <a:headEnd/>
                            <a:tailEnd/>
                          </a:ln>
                        </pic:spPr>
                      </pic:pic>
                    </a:graphicData>
                  </a:graphic>
                </wp:inline>
              </w:drawing>
            </w:r>
          </w:p>
          <w:p w14:paraId="285FFE3F" w14:textId="77777777" w:rsidR="00B14D53" w:rsidRDefault="00000000">
            <w:pPr>
              <w:contextualSpacing/>
              <w:jc w:val="center"/>
              <w:rPr>
                <w:rFonts w:eastAsiaTheme="minorEastAsia"/>
                <w:szCs w:val="21"/>
              </w:rPr>
            </w:pPr>
            <w:r>
              <w:rPr>
                <w:rFonts w:eastAsiaTheme="minorEastAsia"/>
                <w:b/>
                <w:bCs/>
                <w:szCs w:val="21"/>
              </w:rPr>
              <w:t>警告图形符号</w:t>
            </w:r>
          </w:p>
        </w:tc>
      </w:tr>
      <w:tr w:rsidR="00B14D53" w14:paraId="7633F8E3" w14:textId="77777777">
        <w:trPr>
          <w:trHeight w:val="126"/>
        </w:trPr>
        <w:tc>
          <w:tcPr>
            <w:tcW w:w="713" w:type="dxa"/>
            <w:vMerge w:val="restart"/>
            <w:vAlign w:val="center"/>
          </w:tcPr>
          <w:p w14:paraId="5486C83A" w14:textId="77777777" w:rsidR="00B14D53" w:rsidRDefault="00000000">
            <w:pPr>
              <w:contextualSpacing/>
              <w:rPr>
                <w:rFonts w:eastAsiaTheme="minorEastAsia"/>
                <w:szCs w:val="21"/>
              </w:rPr>
            </w:pPr>
            <w:r>
              <w:rPr>
                <w:rFonts w:eastAsiaTheme="minorEastAsia"/>
                <w:szCs w:val="21"/>
              </w:rPr>
              <w:t>固废</w:t>
            </w:r>
          </w:p>
        </w:tc>
        <w:tc>
          <w:tcPr>
            <w:tcW w:w="2695" w:type="dxa"/>
            <w:vAlign w:val="center"/>
          </w:tcPr>
          <w:p w14:paraId="51BC2AD1" w14:textId="77777777" w:rsidR="00B14D53" w:rsidRDefault="00000000">
            <w:pPr>
              <w:contextualSpacing/>
              <w:jc w:val="center"/>
              <w:rPr>
                <w:rFonts w:eastAsiaTheme="minorEastAsia"/>
                <w:szCs w:val="21"/>
              </w:rPr>
            </w:pPr>
            <w:r>
              <w:rPr>
                <w:rFonts w:eastAsiaTheme="minorEastAsia"/>
                <w:szCs w:val="21"/>
              </w:rPr>
              <w:t>猪粪</w:t>
            </w:r>
          </w:p>
        </w:tc>
        <w:tc>
          <w:tcPr>
            <w:tcW w:w="6129" w:type="dxa"/>
            <w:vMerge w:val="restart"/>
            <w:vAlign w:val="center"/>
          </w:tcPr>
          <w:p w14:paraId="3AC37449" w14:textId="77777777" w:rsidR="00B14D53" w:rsidRDefault="00000000">
            <w:pPr>
              <w:contextualSpacing/>
              <w:jc w:val="center"/>
              <w:rPr>
                <w:rFonts w:eastAsiaTheme="minorEastAsia"/>
                <w:szCs w:val="21"/>
              </w:rPr>
            </w:pPr>
            <w:r>
              <w:rPr>
                <w:rFonts w:eastAsiaTheme="minorEastAsia" w:hint="eastAsia"/>
                <w:szCs w:val="21"/>
              </w:rPr>
              <w:t>清理至包装桶内，暂存于待宰圈内</w:t>
            </w:r>
            <w:r>
              <w:rPr>
                <w:rFonts w:eastAsiaTheme="minorEastAsia"/>
                <w:szCs w:val="21"/>
              </w:rPr>
              <w:t>，</w:t>
            </w:r>
            <w:r>
              <w:rPr>
                <w:rFonts w:eastAsiaTheme="minorEastAsia" w:hint="eastAsia"/>
                <w:szCs w:val="21"/>
              </w:rPr>
              <w:t>每日生产结束后</w:t>
            </w:r>
            <w:r>
              <w:rPr>
                <w:rFonts w:eastAsiaTheme="minorEastAsia"/>
                <w:szCs w:val="21"/>
              </w:rPr>
              <w:t>清运一次，外售有机肥厂进行堆肥处理</w:t>
            </w:r>
          </w:p>
        </w:tc>
        <w:tc>
          <w:tcPr>
            <w:tcW w:w="2778" w:type="dxa"/>
            <w:vMerge w:val="restart"/>
            <w:vAlign w:val="center"/>
          </w:tcPr>
          <w:p w14:paraId="7750DE9F" w14:textId="77777777" w:rsidR="00B14D53" w:rsidRDefault="00000000">
            <w:pPr>
              <w:contextualSpacing/>
              <w:jc w:val="center"/>
              <w:rPr>
                <w:rFonts w:eastAsiaTheme="minorEastAsia"/>
                <w:szCs w:val="21"/>
              </w:rPr>
            </w:pPr>
            <w:r>
              <w:rPr>
                <w:rFonts w:eastAsiaTheme="minorEastAsia"/>
                <w:szCs w:val="21"/>
              </w:rPr>
              <w:t>贮存过程应满足相应防渗漏、防雨淋、防扬尘等环境保护要求</w:t>
            </w:r>
          </w:p>
        </w:tc>
        <w:tc>
          <w:tcPr>
            <w:tcW w:w="1866" w:type="dxa"/>
            <w:vMerge w:val="restart"/>
            <w:vAlign w:val="center"/>
          </w:tcPr>
          <w:p w14:paraId="74796C40" w14:textId="77777777" w:rsidR="00B14D53" w:rsidRDefault="00000000">
            <w:pPr>
              <w:contextualSpacing/>
              <w:jc w:val="center"/>
              <w:rPr>
                <w:rFonts w:eastAsiaTheme="minorEastAsia"/>
                <w:szCs w:val="21"/>
              </w:rPr>
            </w:pPr>
            <w:r>
              <w:rPr>
                <w:rFonts w:eastAsiaTheme="minorEastAsia"/>
                <w:noProof/>
                <w:szCs w:val="21"/>
              </w:rPr>
              <w:drawing>
                <wp:inline distT="0" distB="0" distL="0" distR="0" wp14:anchorId="37023444" wp14:editId="6A9BD36A">
                  <wp:extent cx="565785" cy="499110"/>
                  <wp:effectExtent l="0" t="0" r="5715" b="15240"/>
                  <wp:docPr id="45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81"/>
                          <pic:cNvPicPr>
                            <a:picLocks noChangeAspect="1" noChangeArrowheads="1"/>
                          </pic:cNvPicPr>
                        </pic:nvPicPr>
                        <pic:blipFill>
                          <a:blip r:embed="rId84" cstate="print"/>
                          <a:srcRect/>
                          <a:stretch>
                            <a:fillRect/>
                          </a:stretch>
                        </pic:blipFill>
                        <pic:spPr>
                          <a:xfrm>
                            <a:off x="0" y="0"/>
                            <a:ext cx="565918" cy="499309"/>
                          </a:xfrm>
                          <a:prstGeom prst="rect">
                            <a:avLst/>
                          </a:prstGeom>
                          <a:noFill/>
                          <a:ln w="9525">
                            <a:noFill/>
                            <a:miter lim="800000"/>
                            <a:headEnd/>
                            <a:tailEnd/>
                          </a:ln>
                        </pic:spPr>
                      </pic:pic>
                    </a:graphicData>
                  </a:graphic>
                </wp:inline>
              </w:drawing>
            </w:r>
          </w:p>
          <w:p w14:paraId="713AC211" w14:textId="77777777" w:rsidR="00B14D53" w:rsidRDefault="00000000">
            <w:pPr>
              <w:contextualSpacing/>
              <w:jc w:val="center"/>
              <w:rPr>
                <w:rFonts w:eastAsiaTheme="minorEastAsia"/>
                <w:szCs w:val="21"/>
              </w:rPr>
            </w:pPr>
            <w:r>
              <w:rPr>
                <w:rFonts w:eastAsiaTheme="minorEastAsia"/>
                <w:b/>
                <w:bCs/>
                <w:szCs w:val="21"/>
              </w:rPr>
              <w:t>一般固体废物</w:t>
            </w:r>
          </w:p>
        </w:tc>
      </w:tr>
      <w:tr w:rsidR="00B14D53" w14:paraId="5CEB7631" w14:textId="77777777">
        <w:trPr>
          <w:trHeight w:val="126"/>
        </w:trPr>
        <w:tc>
          <w:tcPr>
            <w:tcW w:w="713" w:type="dxa"/>
            <w:vMerge/>
            <w:vAlign w:val="center"/>
          </w:tcPr>
          <w:p w14:paraId="42E02044" w14:textId="77777777" w:rsidR="00B14D53" w:rsidRDefault="00B14D53">
            <w:pPr>
              <w:contextualSpacing/>
              <w:rPr>
                <w:rFonts w:eastAsiaTheme="minorEastAsia"/>
                <w:szCs w:val="21"/>
              </w:rPr>
            </w:pPr>
          </w:p>
        </w:tc>
        <w:tc>
          <w:tcPr>
            <w:tcW w:w="2695" w:type="dxa"/>
            <w:vAlign w:val="center"/>
          </w:tcPr>
          <w:p w14:paraId="2B4297A9" w14:textId="77777777" w:rsidR="00B14D53" w:rsidRDefault="00000000">
            <w:pPr>
              <w:contextualSpacing/>
              <w:jc w:val="center"/>
              <w:rPr>
                <w:rFonts w:eastAsiaTheme="minorEastAsia"/>
                <w:szCs w:val="21"/>
              </w:rPr>
            </w:pPr>
            <w:r>
              <w:rPr>
                <w:rFonts w:eastAsiaTheme="minorEastAsia"/>
                <w:szCs w:val="21"/>
              </w:rPr>
              <w:t>肠胃内容物</w:t>
            </w:r>
          </w:p>
        </w:tc>
        <w:tc>
          <w:tcPr>
            <w:tcW w:w="6129" w:type="dxa"/>
            <w:vMerge/>
            <w:vAlign w:val="center"/>
          </w:tcPr>
          <w:p w14:paraId="34C108C2" w14:textId="77777777" w:rsidR="00B14D53" w:rsidRDefault="00B14D53">
            <w:pPr>
              <w:contextualSpacing/>
              <w:jc w:val="center"/>
              <w:rPr>
                <w:rFonts w:eastAsiaTheme="minorEastAsia"/>
                <w:szCs w:val="21"/>
              </w:rPr>
            </w:pPr>
          </w:p>
        </w:tc>
        <w:tc>
          <w:tcPr>
            <w:tcW w:w="2778" w:type="dxa"/>
            <w:vMerge/>
            <w:vAlign w:val="center"/>
          </w:tcPr>
          <w:p w14:paraId="6C79D690" w14:textId="77777777" w:rsidR="00B14D53" w:rsidRDefault="00B14D53">
            <w:pPr>
              <w:contextualSpacing/>
              <w:jc w:val="center"/>
              <w:rPr>
                <w:rFonts w:eastAsiaTheme="minorEastAsia"/>
                <w:szCs w:val="21"/>
              </w:rPr>
            </w:pPr>
          </w:p>
        </w:tc>
        <w:tc>
          <w:tcPr>
            <w:tcW w:w="1866" w:type="dxa"/>
            <w:vMerge/>
            <w:vAlign w:val="center"/>
          </w:tcPr>
          <w:p w14:paraId="19293538" w14:textId="77777777" w:rsidR="00B14D53" w:rsidRDefault="00B14D53">
            <w:pPr>
              <w:contextualSpacing/>
              <w:jc w:val="center"/>
              <w:rPr>
                <w:rFonts w:eastAsiaTheme="minorEastAsia"/>
                <w:szCs w:val="21"/>
              </w:rPr>
            </w:pPr>
          </w:p>
        </w:tc>
      </w:tr>
      <w:tr w:rsidR="00B14D53" w14:paraId="6BD9914C" w14:textId="77777777">
        <w:trPr>
          <w:trHeight w:val="126"/>
        </w:trPr>
        <w:tc>
          <w:tcPr>
            <w:tcW w:w="713" w:type="dxa"/>
            <w:vMerge/>
            <w:vAlign w:val="center"/>
          </w:tcPr>
          <w:p w14:paraId="50220F44" w14:textId="77777777" w:rsidR="00B14D53" w:rsidRDefault="00B14D53">
            <w:pPr>
              <w:contextualSpacing/>
              <w:rPr>
                <w:rFonts w:eastAsiaTheme="minorEastAsia"/>
                <w:szCs w:val="21"/>
              </w:rPr>
            </w:pPr>
          </w:p>
        </w:tc>
        <w:tc>
          <w:tcPr>
            <w:tcW w:w="2695" w:type="dxa"/>
            <w:vAlign w:val="center"/>
          </w:tcPr>
          <w:p w14:paraId="45B078E6" w14:textId="77777777" w:rsidR="00B14D53" w:rsidRDefault="00000000">
            <w:pPr>
              <w:contextualSpacing/>
              <w:jc w:val="center"/>
              <w:rPr>
                <w:rFonts w:eastAsiaTheme="minorEastAsia"/>
                <w:szCs w:val="21"/>
              </w:rPr>
            </w:pPr>
            <w:r>
              <w:rPr>
                <w:rFonts w:eastAsiaTheme="minorEastAsia"/>
                <w:szCs w:val="21"/>
              </w:rPr>
              <w:t>病变腺体、内脏</w:t>
            </w:r>
            <w:r>
              <w:rPr>
                <w:rFonts w:eastAsiaTheme="minorEastAsia" w:hint="eastAsia"/>
                <w:szCs w:val="21"/>
              </w:rPr>
              <w:t>及残留脂肪</w:t>
            </w:r>
          </w:p>
        </w:tc>
        <w:tc>
          <w:tcPr>
            <w:tcW w:w="6129" w:type="dxa"/>
            <w:vAlign w:val="center"/>
          </w:tcPr>
          <w:p w14:paraId="1E1AD730" w14:textId="77777777" w:rsidR="00B14D53" w:rsidRDefault="00000000">
            <w:pPr>
              <w:contextualSpacing/>
              <w:jc w:val="center"/>
              <w:rPr>
                <w:rFonts w:eastAsiaTheme="minorEastAsia"/>
                <w:szCs w:val="21"/>
              </w:rPr>
            </w:pPr>
            <w:r>
              <w:rPr>
                <w:rFonts w:eastAsiaTheme="minorEastAsia" w:hint="eastAsia"/>
                <w:szCs w:val="21"/>
              </w:rPr>
              <w:t>暂存于固废暂存间，</w:t>
            </w:r>
            <w:r>
              <w:rPr>
                <w:rFonts w:eastAsiaTheme="minorEastAsia"/>
                <w:szCs w:val="21"/>
              </w:rPr>
              <w:t>送至</w:t>
            </w:r>
            <w:r>
              <w:rPr>
                <w:rFonts w:eastAsiaTheme="minorEastAsia" w:hint="eastAsia"/>
                <w:szCs w:val="21"/>
              </w:rPr>
              <w:t>哈尔滨银山无害化处理有限公司处理</w:t>
            </w:r>
          </w:p>
        </w:tc>
        <w:tc>
          <w:tcPr>
            <w:tcW w:w="2778" w:type="dxa"/>
            <w:vMerge/>
            <w:vAlign w:val="center"/>
          </w:tcPr>
          <w:p w14:paraId="06BE18CB" w14:textId="77777777" w:rsidR="00B14D53" w:rsidRDefault="00B14D53">
            <w:pPr>
              <w:contextualSpacing/>
              <w:jc w:val="center"/>
              <w:rPr>
                <w:rFonts w:eastAsiaTheme="minorEastAsia"/>
                <w:szCs w:val="21"/>
              </w:rPr>
            </w:pPr>
          </w:p>
        </w:tc>
        <w:tc>
          <w:tcPr>
            <w:tcW w:w="1866" w:type="dxa"/>
            <w:vMerge/>
            <w:vAlign w:val="center"/>
          </w:tcPr>
          <w:p w14:paraId="45C9DABE" w14:textId="77777777" w:rsidR="00B14D53" w:rsidRDefault="00B14D53">
            <w:pPr>
              <w:contextualSpacing/>
              <w:jc w:val="center"/>
              <w:rPr>
                <w:rFonts w:eastAsiaTheme="minorEastAsia"/>
                <w:szCs w:val="21"/>
              </w:rPr>
            </w:pPr>
          </w:p>
        </w:tc>
      </w:tr>
      <w:tr w:rsidR="00B14D53" w14:paraId="624A2B77" w14:textId="77777777">
        <w:trPr>
          <w:trHeight w:val="126"/>
        </w:trPr>
        <w:tc>
          <w:tcPr>
            <w:tcW w:w="713" w:type="dxa"/>
            <w:vMerge/>
            <w:vAlign w:val="center"/>
          </w:tcPr>
          <w:p w14:paraId="14A80E7E" w14:textId="77777777" w:rsidR="00B14D53" w:rsidRDefault="00B14D53">
            <w:pPr>
              <w:contextualSpacing/>
              <w:rPr>
                <w:rFonts w:eastAsiaTheme="minorEastAsia"/>
                <w:szCs w:val="21"/>
              </w:rPr>
            </w:pPr>
          </w:p>
        </w:tc>
        <w:tc>
          <w:tcPr>
            <w:tcW w:w="2695" w:type="dxa"/>
            <w:vAlign w:val="center"/>
          </w:tcPr>
          <w:p w14:paraId="0E40B13F" w14:textId="77777777" w:rsidR="00B14D53" w:rsidRDefault="00000000">
            <w:pPr>
              <w:contextualSpacing/>
              <w:jc w:val="center"/>
              <w:rPr>
                <w:rFonts w:eastAsiaTheme="minorEastAsia"/>
                <w:szCs w:val="21"/>
              </w:rPr>
            </w:pPr>
            <w:r>
              <w:rPr>
                <w:rFonts w:eastAsiaTheme="minorEastAsia"/>
                <w:szCs w:val="21"/>
              </w:rPr>
              <w:t>污水处理站污泥、栅渣</w:t>
            </w:r>
          </w:p>
        </w:tc>
        <w:tc>
          <w:tcPr>
            <w:tcW w:w="6129" w:type="dxa"/>
            <w:vAlign w:val="center"/>
          </w:tcPr>
          <w:p w14:paraId="62DC7D93" w14:textId="77777777" w:rsidR="00B14D53" w:rsidRDefault="00000000">
            <w:pPr>
              <w:contextualSpacing/>
              <w:jc w:val="center"/>
              <w:rPr>
                <w:rFonts w:eastAsiaTheme="minorEastAsia"/>
                <w:szCs w:val="21"/>
              </w:rPr>
            </w:pPr>
            <w:r>
              <w:t>送生活垃圾填埋场处理</w:t>
            </w:r>
          </w:p>
        </w:tc>
        <w:tc>
          <w:tcPr>
            <w:tcW w:w="2778" w:type="dxa"/>
            <w:vMerge/>
            <w:vAlign w:val="center"/>
          </w:tcPr>
          <w:p w14:paraId="3FCA5961" w14:textId="77777777" w:rsidR="00B14D53" w:rsidRDefault="00B14D53">
            <w:pPr>
              <w:contextualSpacing/>
              <w:jc w:val="center"/>
              <w:rPr>
                <w:rFonts w:eastAsiaTheme="minorEastAsia"/>
                <w:szCs w:val="21"/>
              </w:rPr>
            </w:pPr>
          </w:p>
        </w:tc>
        <w:tc>
          <w:tcPr>
            <w:tcW w:w="1866" w:type="dxa"/>
            <w:vMerge/>
            <w:vAlign w:val="center"/>
          </w:tcPr>
          <w:p w14:paraId="50D3A412" w14:textId="77777777" w:rsidR="00B14D53" w:rsidRDefault="00B14D53">
            <w:pPr>
              <w:contextualSpacing/>
              <w:jc w:val="center"/>
              <w:rPr>
                <w:rFonts w:eastAsiaTheme="minorEastAsia"/>
                <w:szCs w:val="21"/>
              </w:rPr>
            </w:pPr>
          </w:p>
        </w:tc>
      </w:tr>
      <w:tr w:rsidR="00B14D53" w14:paraId="45C31894" w14:textId="77777777">
        <w:trPr>
          <w:trHeight w:val="126"/>
        </w:trPr>
        <w:tc>
          <w:tcPr>
            <w:tcW w:w="713" w:type="dxa"/>
            <w:vMerge/>
            <w:vAlign w:val="center"/>
          </w:tcPr>
          <w:p w14:paraId="527267C5" w14:textId="77777777" w:rsidR="00B14D53" w:rsidRDefault="00B14D53">
            <w:pPr>
              <w:contextualSpacing/>
              <w:rPr>
                <w:rFonts w:eastAsiaTheme="minorEastAsia"/>
                <w:szCs w:val="21"/>
              </w:rPr>
            </w:pPr>
          </w:p>
        </w:tc>
        <w:tc>
          <w:tcPr>
            <w:tcW w:w="2695" w:type="dxa"/>
            <w:vAlign w:val="center"/>
          </w:tcPr>
          <w:p w14:paraId="0A03CDDB" w14:textId="77777777" w:rsidR="00B14D53" w:rsidRDefault="00000000">
            <w:pPr>
              <w:contextualSpacing/>
              <w:jc w:val="center"/>
              <w:rPr>
                <w:rFonts w:eastAsiaTheme="minorEastAsia"/>
                <w:szCs w:val="21"/>
              </w:rPr>
            </w:pPr>
            <w:r>
              <w:rPr>
                <w:rFonts w:eastAsiaTheme="minorEastAsia" w:hint="eastAsia"/>
                <w:szCs w:val="21"/>
              </w:rPr>
              <w:t>废外包装</w:t>
            </w:r>
          </w:p>
        </w:tc>
        <w:tc>
          <w:tcPr>
            <w:tcW w:w="6129" w:type="dxa"/>
            <w:vAlign w:val="center"/>
          </w:tcPr>
          <w:p w14:paraId="4EFD0381" w14:textId="77777777" w:rsidR="00B14D53" w:rsidRDefault="00000000">
            <w:pPr>
              <w:contextualSpacing/>
              <w:jc w:val="center"/>
              <w:rPr>
                <w:rFonts w:eastAsiaTheme="minorEastAsia"/>
                <w:szCs w:val="21"/>
              </w:rPr>
            </w:pPr>
            <w:r>
              <w:rPr>
                <w:rFonts w:eastAsiaTheme="minorEastAsia" w:hint="eastAsia"/>
                <w:szCs w:val="21"/>
              </w:rPr>
              <w:t>暂存于固废暂存间，收集后外售物资回收单位综合利用</w:t>
            </w:r>
          </w:p>
        </w:tc>
        <w:tc>
          <w:tcPr>
            <w:tcW w:w="2778" w:type="dxa"/>
            <w:vMerge/>
            <w:vAlign w:val="center"/>
          </w:tcPr>
          <w:p w14:paraId="5B7C4780" w14:textId="77777777" w:rsidR="00B14D53" w:rsidRDefault="00B14D53">
            <w:pPr>
              <w:contextualSpacing/>
              <w:jc w:val="center"/>
              <w:rPr>
                <w:rFonts w:eastAsiaTheme="minorEastAsia"/>
                <w:szCs w:val="21"/>
              </w:rPr>
            </w:pPr>
          </w:p>
        </w:tc>
        <w:tc>
          <w:tcPr>
            <w:tcW w:w="1866" w:type="dxa"/>
            <w:vMerge/>
            <w:vAlign w:val="center"/>
          </w:tcPr>
          <w:p w14:paraId="49CFD8F5" w14:textId="77777777" w:rsidR="00B14D53" w:rsidRDefault="00B14D53">
            <w:pPr>
              <w:contextualSpacing/>
              <w:jc w:val="center"/>
              <w:rPr>
                <w:rFonts w:eastAsiaTheme="minorEastAsia"/>
                <w:szCs w:val="21"/>
              </w:rPr>
            </w:pPr>
          </w:p>
        </w:tc>
      </w:tr>
      <w:tr w:rsidR="00B14D53" w14:paraId="224C05C7" w14:textId="77777777">
        <w:trPr>
          <w:trHeight w:val="126"/>
        </w:trPr>
        <w:tc>
          <w:tcPr>
            <w:tcW w:w="713" w:type="dxa"/>
            <w:vMerge/>
            <w:vAlign w:val="center"/>
          </w:tcPr>
          <w:p w14:paraId="6892BCFB" w14:textId="77777777" w:rsidR="00B14D53" w:rsidRDefault="00B14D53">
            <w:pPr>
              <w:contextualSpacing/>
              <w:rPr>
                <w:rFonts w:eastAsiaTheme="minorEastAsia"/>
                <w:szCs w:val="21"/>
              </w:rPr>
            </w:pPr>
          </w:p>
        </w:tc>
        <w:tc>
          <w:tcPr>
            <w:tcW w:w="2695" w:type="dxa"/>
            <w:vAlign w:val="center"/>
          </w:tcPr>
          <w:p w14:paraId="6068D381" w14:textId="77777777" w:rsidR="00B14D53" w:rsidRDefault="00000000">
            <w:pPr>
              <w:contextualSpacing/>
              <w:jc w:val="center"/>
              <w:rPr>
                <w:rFonts w:eastAsiaTheme="minorEastAsia"/>
                <w:szCs w:val="21"/>
              </w:rPr>
            </w:pPr>
            <w:r>
              <w:rPr>
                <w:rFonts w:eastAsiaTheme="minorEastAsia" w:hint="eastAsia"/>
                <w:szCs w:val="21"/>
              </w:rPr>
              <w:t>废活性炭</w:t>
            </w:r>
          </w:p>
        </w:tc>
        <w:tc>
          <w:tcPr>
            <w:tcW w:w="6129" w:type="dxa"/>
            <w:vAlign w:val="center"/>
          </w:tcPr>
          <w:p w14:paraId="3086F267" w14:textId="77777777" w:rsidR="00B14D53" w:rsidRDefault="00000000">
            <w:pPr>
              <w:contextualSpacing/>
              <w:jc w:val="center"/>
              <w:rPr>
                <w:rFonts w:eastAsiaTheme="minorEastAsia"/>
                <w:szCs w:val="21"/>
              </w:rPr>
            </w:pPr>
            <w:r>
              <w:rPr>
                <w:rFonts w:eastAsiaTheme="minorEastAsia" w:hint="eastAsia"/>
                <w:szCs w:val="21"/>
              </w:rPr>
              <w:t>交由厂家再生利用</w:t>
            </w:r>
          </w:p>
        </w:tc>
        <w:tc>
          <w:tcPr>
            <w:tcW w:w="2778" w:type="dxa"/>
            <w:vMerge/>
            <w:vAlign w:val="center"/>
          </w:tcPr>
          <w:p w14:paraId="440E1A88" w14:textId="77777777" w:rsidR="00B14D53" w:rsidRDefault="00B14D53">
            <w:pPr>
              <w:contextualSpacing/>
              <w:jc w:val="center"/>
              <w:rPr>
                <w:rFonts w:eastAsiaTheme="minorEastAsia"/>
                <w:szCs w:val="21"/>
              </w:rPr>
            </w:pPr>
          </w:p>
        </w:tc>
        <w:tc>
          <w:tcPr>
            <w:tcW w:w="1866" w:type="dxa"/>
            <w:vMerge/>
            <w:vAlign w:val="center"/>
          </w:tcPr>
          <w:p w14:paraId="6C1CA753" w14:textId="77777777" w:rsidR="00B14D53" w:rsidRDefault="00B14D53">
            <w:pPr>
              <w:contextualSpacing/>
              <w:jc w:val="center"/>
              <w:rPr>
                <w:rFonts w:eastAsiaTheme="minorEastAsia"/>
                <w:szCs w:val="21"/>
              </w:rPr>
            </w:pPr>
          </w:p>
        </w:tc>
      </w:tr>
      <w:tr w:rsidR="00B14D53" w14:paraId="66D0BAA1" w14:textId="77777777">
        <w:trPr>
          <w:trHeight w:val="126"/>
        </w:trPr>
        <w:tc>
          <w:tcPr>
            <w:tcW w:w="713" w:type="dxa"/>
            <w:vMerge/>
            <w:vAlign w:val="center"/>
          </w:tcPr>
          <w:p w14:paraId="5986690D" w14:textId="77777777" w:rsidR="00B14D53" w:rsidRDefault="00B14D53">
            <w:pPr>
              <w:contextualSpacing/>
              <w:rPr>
                <w:rFonts w:eastAsiaTheme="minorEastAsia"/>
                <w:szCs w:val="21"/>
              </w:rPr>
            </w:pPr>
          </w:p>
        </w:tc>
        <w:tc>
          <w:tcPr>
            <w:tcW w:w="2695" w:type="dxa"/>
            <w:vAlign w:val="center"/>
          </w:tcPr>
          <w:p w14:paraId="1478F5B0" w14:textId="77777777" w:rsidR="00B14D53" w:rsidRDefault="00000000">
            <w:pPr>
              <w:contextualSpacing/>
              <w:jc w:val="center"/>
              <w:rPr>
                <w:rFonts w:eastAsiaTheme="minorEastAsia"/>
                <w:szCs w:val="21"/>
              </w:rPr>
            </w:pPr>
            <w:r>
              <w:rPr>
                <w:rFonts w:eastAsiaTheme="minorEastAsia" w:hint="eastAsia"/>
                <w:szCs w:val="21"/>
              </w:rPr>
              <w:t>废离子交换树脂</w:t>
            </w:r>
          </w:p>
        </w:tc>
        <w:tc>
          <w:tcPr>
            <w:tcW w:w="6129" w:type="dxa"/>
            <w:vAlign w:val="center"/>
          </w:tcPr>
          <w:p w14:paraId="7F760BDE" w14:textId="77777777" w:rsidR="00B14D53" w:rsidRDefault="00000000">
            <w:pPr>
              <w:contextualSpacing/>
              <w:jc w:val="center"/>
              <w:rPr>
                <w:rFonts w:eastAsiaTheme="minorEastAsia"/>
                <w:szCs w:val="21"/>
              </w:rPr>
            </w:pPr>
            <w:r>
              <w:rPr>
                <w:rFonts w:eastAsiaTheme="minorEastAsia" w:hint="eastAsia"/>
                <w:szCs w:val="21"/>
              </w:rPr>
              <w:t>由厂家回收</w:t>
            </w:r>
          </w:p>
        </w:tc>
        <w:tc>
          <w:tcPr>
            <w:tcW w:w="2778" w:type="dxa"/>
            <w:vMerge/>
            <w:vAlign w:val="center"/>
          </w:tcPr>
          <w:p w14:paraId="6EB246EC" w14:textId="77777777" w:rsidR="00B14D53" w:rsidRDefault="00B14D53">
            <w:pPr>
              <w:contextualSpacing/>
              <w:jc w:val="center"/>
              <w:rPr>
                <w:rFonts w:eastAsiaTheme="minorEastAsia"/>
                <w:szCs w:val="21"/>
              </w:rPr>
            </w:pPr>
          </w:p>
        </w:tc>
        <w:tc>
          <w:tcPr>
            <w:tcW w:w="1866" w:type="dxa"/>
            <w:vMerge/>
            <w:vAlign w:val="center"/>
          </w:tcPr>
          <w:p w14:paraId="4857AE91" w14:textId="77777777" w:rsidR="00B14D53" w:rsidRDefault="00B14D53">
            <w:pPr>
              <w:contextualSpacing/>
              <w:jc w:val="center"/>
              <w:rPr>
                <w:rFonts w:eastAsiaTheme="minorEastAsia"/>
                <w:szCs w:val="21"/>
              </w:rPr>
            </w:pPr>
          </w:p>
        </w:tc>
      </w:tr>
      <w:tr w:rsidR="00B14D53" w14:paraId="57733E98" w14:textId="77777777">
        <w:trPr>
          <w:trHeight w:val="126"/>
        </w:trPr>
        <w:tc>
          <w:tcPr>
            <w:tcW w:w="713" w:type="dxa"/>
            <w:vMerge/>
            <w:vAlign w:val="center"/>
          </w:tcPr>
          <w:p w14:paraId="7094970A" w14:textId="77777777" w:rsidR="00B14D53" w:rsidRDefault="00B14D53">
            <w:pPr>
              <w:contextualSpacing/>
              <w:rPr>
                <w:rFonts w:eastAsiaTheme="minorEastAsia"/>
                <w:szCs w:val="21"/>
              </w:rPr>
            </w:pPr>
          </w:p>
        </w:tc>
        <w:tc>
          <w:tcPr>
            <w:tcW w:w="2695" w:type="dxa"/>
            <w:vAlign w:val="center"/>
          </w:tcPr>
          <w:p w14:paraId="0F7351B2" w14:textId="77777777" w:rsidR="00B14D53" w:rsidRDefault="00000000">
            <w:pPr>
              <w:contextualSpacing/>
              <w:jc w:val="center"/>
              <w:rPr>
                <w:rFonts w:eastAsiaTheme="minorEastAsia"/>
                <w:szCs w:val="21"/>
              </w:rPr>
            </w:pPr>
            <w:r>
              <w:rPr>
                <w:rFonts w:eastAsiaTheme="minorEastAsia" w:hint="eastAsia"/>
                <w:szCs w:val="21"/>
              </w:rPr>
              <w:t>病死猪</w:t>
            </w:r>
          </w:p>
        </w:tc>
        <w:tc>
          <w:tcPr>
            <w:tcW w:w="6129" w:type="dxa"/>
            <w:vAlign w:val="center"/>
          </w:tcPr>
          <w:p w14:paraId="5611E544" w14:textId="77777777" w:rsidR="00B14D53" w:rsidRDefault="00000000">
            <w:pPr>
              <w:contextualSpacing/>
              <w:jc w:val="center"/>
              <w:rPr>
                <w:rFonts w:eastAsiaTheme="minorEastAsia"/>
                <w:szCs w:val="21"/>
              </w:rPr>
            </w:pPr>
            <w:r>
              <w:rPr>
                <w:rFonts w:eastAsiaTheme="minorEastAsia"/>
                <w:szCs w:val="21"/>
              </w:rPr>
              <w:t>送至</w:t>
            </w:r>
            <w:r>
              <w:rPr>
                <w:rFonts w:eastAsiaTheme="minorEastAsia" w:hint="eastAsia"/>
                <w:szCs w:val="21"/>
              </w:rPr>
              <w:t>哈尔滨银山无害化处理有限公司处理</w:t>
            </w:r>
          </w:p>
        </w:tc>
        <w:tc>
          <w:tcPr>
            <w:tcW w:w="2778" w:type="dxa"/>
            <w:vMerge/>
            <w:vAlign w:val="center"/>
          </w:tcPr>
          <w:p w14:paraId="0795461C" w14:textId="77777777" w:rsidR="00B14D53" w:rsidRDefault="00B14D53">
            <w:pPr>
              <w:contextualSpacing/>
              <w:jc w:val="center"/>
              <w:rPr>
                <w:rFonts w:eastAsiaTheme="minorEastAsia"/>
                <w:szCs w:val="21"/>
              </w:rPr>
            </w:pPr>
          </w:p>
        </w:tc>
        <w:tc>
          <w:tcPr>
            <w:tcW w:w="1866" w:type="dxa"/>
            <w:vMerge/>
            <w:vAlign w:val="center"/>
          </w:tcPr>
          <w:p w14:paraId="04AF62F0" w14:textId="77777777" w:rsidR="00B14D53" w:rsidRDefault="00B14D53">
            <w:pPr>
              <w:contextualSpacing/>
              <w:jc w:val="center"/>
              <w:rPr>
                <w:rFonts w:eastAsiaTheme="minorEastAsia"/>
                <w:szCs w:val="21"/>
              </w:rPr>
            </w:pPr>
          </w:p>
        </w:tc>
      </w:tr>
      <w:tr w:rsidR="00B14D53" w14:paraId="679F8E94" w14:textId="77777777">
        <w:trPr>
          <w:trHeight w:val="1338"/>
        </w:trPr>
        <w:tc>
          <w:tcPr>
            <w:tcW w:w="713" w:type="dxa"/>
            <w:vMerge/>
            <w:vAlign w:val="center"/>
          </w:tcPr>
          <w:p w14:paraId="7B3529E7" w14:textId="77777777" w:rsidR="00B14D53" w:rsidRDefault="00B14D53">
            <w:pPr>
              <w:contextualSpacing/>
              <w:rPr>
                <w:rFonts w:eastAsiaTheme="minorEastAsia"/>
                <w:szCs w:val="21"/>
              </w:rPr>
            </w:pPr>
          </w:p>
        </w:tc>
        <w:tc>
          <w:tcPr>
            <w:tcW w:w="2695" w:type="dxa"/>
            <w:vAlign w:val="center"/>
          </w:tcPr>
          <w:p w14:paraId="41957735" w14:textId="77777777" w:rsidR="00B14D53" w:rsidRDefault="00000000">
            <w:pPr>
              <w:contextualSpacing/>
              <w:jc w:val="center"/>
              <w:rPr>
                <w:rFonts w:eastAsiaTheme="minorEastAsia"/>
                <w:szCs w:val="21"/>
              </w:rPr>
            </w:pPr>
            <w:r>
              <w:rPr>
                <w:rFonts w:eastAsiaTheme="minorEastAsia" w:hint="eastAsia"/>
                <w:szCs w:val="21"/>
              </w:rPr>
              <w:t>检验废物</w:t>
            </w:r>
            <w:r>
              <w:rPr>
                <w:rFonts w:eastAsiaTheme="minorEastAsia"/>
                <w:szCs w:val="21"/>
              </w:rPr>
              <w:t>（类别</w:t>
            </w:r>
            <w:r>
              <w:rPr>
                <w:rFonts w:eastAsiaTheme="minorEastAsia"/>
                <w:szCs w:val="21"/>
              </w:rPr>
              <w:t>HW01</w:t>
            </w:r>
            <w:r>
              <w:rPr>
                <w:rFonts w:eastAsiaTheme="minorEastAsia"/>
                <w:szCs w:val="21"/>
              </w:rPr>
              <w:t>、代码</w:t>
            </w:r>
            <w:r>
              <w:rPr>
                <w:rFonts w:eastAsiaTheme="minorEastAsia"/>
                <w:szCs w:val="21"/>
              </w:rPr>
              <w:t>841-00</w:t>
            </w:r>
            <w:r>
              <w:rPr>
                <w:rFonts w:eastAsiaTheme="minorEastAsia" w:hint="eastAsia"/>
                <w:szCs w:val="21"/>
              </w:rPr>
              <w:t>1</w:t>
            </w:r>
            <w:r>
              <w:rPr>
                <w:rFonts w:eastAsiaTheme="minorEastAsia"/>
                <w:szCs w:val="21"/>
              </w:rPr>
              <w:t>-01</w:t>
            </w:r>
            <w:r>
              <w:rPr>
                <w:rFonts w:eastAsiaTheme="minorEastAsia"/>
                <w:szCs w:val="21"/>
              </w:rPr>
              <w:t>）</w:t>
            </w:r>
          </w:p>
        </w:tc>
        <w:tc>
          <w:tcPr>
            <w:tcW w:w="6129" w:type="dxa"/>
            <w:vAlign w:val="center"/>
          </w:tcPr>
          <w:p w14:paraId="1E0B0280" w14:textId="77777777" w:rsidR="00B14D53" w:rsidRDefault="00000000">
            <w:pPr>
              <w:contextualSpacing/>
              <w:jc w:val="center"/>
              <w:rPr>
                <w:rFonts w:eastAsiaTheme="minorEastAsia"/>
                <w:szCs w:val="21"/>
              </w:rPr>
            </w:pPr>
            <w:r>
              <w:rPr>
                <w:rFonts w:eastAsiaTheme="minorEastAsia" w:hint="eastAsia"/>
                <w:szCs w:val="21"/>
              </w:rPr>
              <w:t>暂存于危废贮存点，</w:t>
            </w:r>
            <w:r>
              <w:rPr>
                <w:rFonts w:eastAsiaTheme="minorEastAsia"/>
              </w:rPr>
              <w:t>交由有资质的单位处</w:t>
            </w:r>
            <w:r>
              <w:rPr>
                <w:rFonts w:eastAsiaTheme="minorEastAsia"/>
                <w:szCs w:val="21"/>
              </w:rPr>
              <w:t>理</w:t>
            </w:r>
          </w:p>
        </w:tc>
        <w:tc>
          <w:tcPr>
            <w:tcW w:w="2778" w:type="dxa"/>
            <w:vAlign w:val="center"/>
          </w:tcPr>
          <w:p w14:paraId="276B9E9A" w14:textId="77777777" w:rsidR="00B14D53" w:rsidRDefault="00000000">
            <w:pPr>
              <w:contextualSpacing/>
              <w:jc w:val="center"/>
              <w:rPr>
                <w:rFonts w:eastAsiaTheme="minorEastAsia"/>
                <w:szCs w:val="21"/>
              </w:rPr>
            </w:pPr>
            <w:r>
              <w:rPr>
                <w:rFonts w:eastAsiaTheme="minorEastAsia"/>
                <w:szCs w:val="21"/>
              </w:rPr>
              <w:t>危险废物执行《危险废物贮存污染控制标准》（</w:t>
            </w:r>
            <w:r>
              <w:rPr>
                <w:rFonts w:eastAsiaTheme="minorEastAsia"/>
                <w:szCs w:val="21"/>
              </w:rPr>
              <w:t>GB18597-2023</w:t>
            </w:r>
            <w:r>
              <w:rPr>
                <w:rFonts w:eastAsiaTheme="minorEastAsia"/>
                <w:szCs w:val="21"/>
              </w:rPr>
              <w:t>）</w:t>
            </w:r>
          </w:p>
        </w:tc>
        <w:tc>
          <w:tcPr>
            <w:tcW w:w="1866" w:type="dxa"/>
            <w:vAlign w:val="center"/>
          </w:tcPr>
          <w:p w14:paraId="66B032F7" w14:textId="77777777" w:rsidR="00B14D53" w:rsidRDefault="00000000">
            <w:pPr>
              <w:contextualSpacing/>
              <w:jc w:val="center"/>
              <w:rPr>
                <w:rFonts w:eastAsiaTheme="minorEastAsia"/>
                <w:szCs w:val="21"/>
              </w:rPr>
            </w:pPr>
            <w:r>
              <w:rPr>
                <w:rFonts w:eastAsiaTheme="minorEastAsia"/>
                <w:noProof/>
                <w:szCs w:val="21"/>
              </w:rPr>
              <w:drawing>
                <wp:inline distT="0" distB="0" distL="0" distR="0" wp14:anchorId="770A8AFB" wp14:editId="6A82BA97">
                  <wp:extent cx="685800" cy="614045"/>
                  <wp:effectExtent l="19050" t="0" r="0" b="0"/>
                  <wp:docPr id="4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6"/>
                          <pic:cNvPicPr>
                            <a:picLocks noChangeAspect="1" noChangeArrowheads="1"/>
                          </pic:cNvPicPr>
                        </pic:nvPicPr>
                        <pic:blipFill>
                          <a:blip r:embed="rId85" cstate="print"/>
                          <a:srcRect/>
                          <a:stretch>
                            <a:fillRect/>
                          </a:stretch>
                        </pic:blipFill>
                        <pic:spPr>
                          <a:xfrm>
                            <a:off x="0" y="0"/>
                            <a:ext cx="689943" cy="617891"/>
                          </a:xfrm>
                          <a:prstGeom prst="rect">
                            <a:avLst/>
                          </a:prstGeom>
                          <a:noFill/>
                          <a:ln w="9525">
                            <a:noFill/>
                            <a:miter lim="800000"/>
                            <a:headEnd/>
                            <a:tailEnd/>
                          </a:ln>
                        </pic:spPr>
                      </pic:pic>
                    </a:graphicData>
                  </a:graphic>
                </wp:inline>
              </w:drawing>
            </w:r>
          </w:p>
          <w:p w14:paraId="10A01057" w14:textId="77777777" w:rsidR="00B14D53" w:rsidRDefault="00000000">
            <w:pPr>
              <w:contextualSpacing/>
              <w:jc w:val="center"/>
              <w:rPr>
                <w:rFonts w:eastAsiaTheme="minorEastAsia"/>
                <w:szCs w:val="21"/>
              </w:rPr>
            </w:pPr>
            <w:r>
              <w:rPr>
                <w:rFonts w:eastAsiaTheme="minorEastAsia"/>
                <w:b/>
                <w:bCs/>
                <w:szCs w:val="21"/>
              </w:rPr>
              <w:t>危险废物</w:t>
            </w:r>
          </w:p>
        </w:tc>
      </w:tr>
      <w:tr w:rsidR="00B14D53" w14:paraId="15DD3297" w14:textId="77777777">
        <w:trPr>
          <w:trHeight w:val="126"/>
        </w:trPr>
        <w:tc>
          <w:tcPr>
            <w:tcW w:w="713" w:type="dxa"/>
            <w:vMerge/>
            <w:vAlign w:val="center"/>
          </w:tcPr>
          <w:p w14:paraId="6F2DADB6" w14:textId="77777777" w:rsidR="00B14D53" w:rsidRDefault="00B14D53">
            <w:pPr>
              <w:contextualSpacing/>
              <w:rPr>
                <w:rFonts w:eastAsiaTheme="minorEastAsia"/>
                <w:szCs w:val="21"/>
              </w:rPr>
            </w:pPr>
          </w:p>
        </w:tc>
        <w:tc>
          <w:tcPr>
            <w:tcW w:w="2695" w:type="dxa"/>
            <w:vAlign w:val="center"/>
          </w:tcPr>
          <w:p w14:paraId="466E192D" w14:textId="77777777" w:rsidR="00B14D53" w:rsidRDefault="00000000">
            <w:pPr>
              <w:contextualSpacing/>
              <w:jc w:val="center"/>
              <w:rPr>
                <w:rFonts w:eastAsiaTheme="minorEastAsia"/>
                <w:szCs w:val="21"/>
              </w:rPr>
            </w:pPr>
            <w:r>
              <w:rPr>
                <w:rFonts w:eastAsiaTheme="minorEastAsia"/>
                <w:szCs w:val="21"/>
              </w:rPr>
              <w:t>生活垃圾</w:t>
            </w:r>
          </w:p>
        </w:tc>
        <w:tc>
          <w:tcPr>
            <w:tcW w:w="6129" w:type="dxa"/>
            <w:vAlign w:val="center"/>
          </w:tcPr>
          <w:p w14:paraId="08C8A925" w14:textId="77777777" w:rsidR="00B14D53" w:rsidRDefault="00000000">
            <w:pPr>
              <w:contextualSpacing/>
              <w:jc w:val="center"/>
              <w:rPr>
                <w:rFonts w:eastAsiaTheme="minorEastAsia"/>
                <w:szCs w:val="21"/>
              </w:rPr>
            </w:pPr>
            <w:r>
              <w:rPr>
                <w:rFonts w:eastAsiaTheme="minorEastAsia"/>
                <w:szCs w:val="21"/>
              </w:rPr>
              <w:t>由环卫部门统一处理</w:t>
            </w:r>
          </w:p>
        </w:tc>
        <w:tc>
          <w:tcPr>
            <w:tcW w:w="2778" w:type="dxa"/>
            <w:vAlign w:val="center"/>
          </w:tcPr>
          <w:p w14:paraId="150DA319" w14:textId="77777777" w:rsidR="00B14D53" w:rsidRDefault="00000000">
            <w:pPr>
              <w:contextualSpacing/>
              <w:jc w:val="center"/>
              <w:rPr>
                <w:rFonts w:eastAsiaTheme="minorEastAsia"/>
                <w:szCs w:val="21"/>
              </w:rPr>
            </w:pPr>
            <w:r>
              <w:rPr>
                <w:rFonts w:eastAsiaTheme="minorEastAsia" w:hint="eastAsia"/>
                <w:szCs w:val="21"/>
              </w:rPr>
              <w:t>/</w:t>
            </w:r>
          </w:p>
        </w:tc>
        <w:tc>
          <w:tcPr>
            <w:tcW w:w="1866" w:type="dxa"/>
            <w:vAlign w:val="center"/>
          </w:tcPr>
          <w:p w14:paraId="4736A177" w14:textId="77777777" w:rsidR="00B14D53" w:rsidRDefault="00000000">
            <w:pPr>
              <w:contextualSpacing/>
              <w:jc w:val="center"/>
              <w:rPr>
                <w:rFonts w:eastAsiaTheme="minorEastAsia"/>
                <w:szCs w:val="21"/>
              </w:rPr>
            </w:pPr>
            <w:r>
              <w:rPr>
                <w:rFonts w:eastAsiaTheme="minorEastAsia" w:hint="eastAsia"/>
                <w:szCs w:val="21"/>
              </w:rPr>
              <w:t>/</w:t>
            </w:r>
          </w:p>
        </w:tc>
      </w:tr>
    </w:tbl>
    <w:p w14:paraId="61EA94F5" w14:textId="77777777" w:rsidR="00B14D53" w:rsidRDefault="00B14D53">
      <w:pPr>
        <w:jc w:val="center"/>
        <w:rPr>
          <w:b/>
          <w:bCs/>
          <w:lang w:val="zh-CN"/>
        </w:rPr>
      </w:pPr>
    </w:p>
    <w:p w14:paraId="7F616D7E" w14:textId="77777777" w:rsidR="00B14D53" w:rsidRDefault="00000000">
      <w:pPr>
        <w:jc w:val="center"/>
      </w:pPr>
      <w:r>
        <w:rPr>
          <w:rFonts w:hint="eastAsia"/>
          <w:b/>
          <w:bCs/>
          <w:lang w:val="zh-CN"/>
        </w:rPr>
        <w:t>续表</w:t>
      </w:r>
      <w:r>
        <w:rPr>
          <w:rFonts w:hint="eastAsia"/>
          <w:b/>
          <w:bCs/>
          <w:lang w:val="zh-CN"/>
        </w:rPr>
        <w:t xml:space="preserve">8-1-2 </w:t>
      </w:r>
      <w:r>
        <w:rPr>
          <w:rFonts w:hint="eastAsia"/>
          <w:b/>
          <w:bCs/>
          <w:lang w:val="zh-CN"/>
        </w:rPr>
        <w:t>污染物排放清单一览表</w:t>
      </w:r>
    </w:p>
    <w:tbl>
      <w:tblPr>
        <w:tblW w:w="14181" w:type="dxa"/>
        <w:tblInd w:w="-181"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3"/>
        <w:gridCol w:w="2695"/>
        <w:gridCol w:w="10773"/>
      </w:tblGrid>
      <w:tr w:rsidR="00B14D53" w14:paraId="76546F4E" w14:textId="77777777">
        <w:trPr>
          <w:trHeight w:val="126"/>
        </w:trPr>
        <w:tc>
          <w:tcPr>
            <w:tcW w:w="713" w:type="dxa"/>
            <w:vAlign w:val="center"/>
          </w:tcPr>
          <w:p w14:paraId="57B26997" w14:textId="77777777" w:rsidR="00B14D53" w:rsidRDefault="00000000">
            <w:pPr>
              <w:contextualSpacing/>
              <w:jc w:val="center"/>
              <w:rPr>
                <w:rFonts w:eastAsiaTheme="minorEastAsia"/>
                <w:szCs w:val="21"/>
              </w:rPr>
            </w:pPr>
            <w:r>
              <w:rPr>
                <w:rFonts w:eastAsiaTheme="minorEastAsia"/>
                <w:szCs w:val="21"/>
              </w:rPr>
              <w:t>风险防范措施</w:t>
            </w:r>
          </w:p>
        </w:tc>
        <w:tc>
          <w:tcPr>
            <w:tcW w:w="2695" w:type="dxa"/>
            <w:vAlign w:val="center"/>
          </w:tcPr>
          <w:p w14:paraId="7289B891" w14:textId="77777777" w:rsidR="00B14D53" w:rsidRDefault="00000000">
            <w:pPr>
              <w:contextualSpacing/>
              <w:jc w:val="center"/>
              <w:rPr>
                <w:rFonts w:eastAsiaTheme="minorEastAsia"/>
                <w:szCs w:val="21"/>
              </w:rPr>
            </w:pPr>
            <w:r>
              <w:rPr>
                <w:rFonts w:eastAsiaTheme="minorEastAsia"/>
                <w:szCs w:val="21"/>
              </w:rPr>
              <w:t>环境风险</w:t>
            </w:r>
          </w:p>
        </w:tc>
        <w:tc>
          <w:tcPr>
            <w:tcW w:w="10773" w:type="dxa"/>
            <w:vAlign w:val="center"/>
          </w:tcPr>
          <w:p w14:paraId="287A9667" w14:textId="77777777" w:rsidR="00B14D53" w:rsidRDefault="00000000">
            <w:pPr>
              <w:jc w:val="left"/>
              <w:rPr>
                <w:bCs/>
                <w:szCs w:val="21"/>
              </w:rPr>
            </w:pPr>
            <w:r>
              <w:rPr>
                <w:bCs/>
                <w:szCs w:val="21"/>
              </w:rPr>
              <w:t>①</w:t>
            </w:r>
            <w:r>
              <w:rPr>
                <w:bCs/>
                <w:szCs w:val="21"/>
              </w:rPr>
              <w:t>重点防渗区：医疗废物采用防漏胶袋盛装后置于医疗废物垃圾桶内，按照《危险废物贮存污染控制标准》（</w:t>
            </w:r>
            <w:r>
              <w:rPr>
                <w:bCs/>
                <w:szCs w:val="21"/>
              </w:rPr>
              <w:t>GB18597-2023</w:t>
            </w:r>
            <w:r>
              <w:rPr>
                <w:bCs/>
                <w:szCs w:val="21"/>
              </w:rPr>
              <w:t>）要求，贮存设施地面与裙脚应采取表面防渗措施；表面防渗材料应与所接触的物料或污染物相容，可采用抗渗混凝土、高密度聚乙烯膜、钠基膨润土防水毯或其他防渗性能等效的材料。</w:t>
            </w:r>
          </w:p>
          <w:p w14:paraId="01E8AD7C" w14:textId="77777777" w:rsidR="00B14D53" w:rsidRDefault="00000000">
            <w:pPr>
              <w:jc w:val="left"/>
              <w:rPr>
                <w:bCs/>
                <w:szCs w:val="21"/>
                <w:lang w:val="en-GB"/>
              </w:rPr>
            </w:pPr>
            <w:r>
              <w:rPr>
                <w:bCs/>
                <w:szCs w:val="21"/>
              </w:rPr>
              <w:t>②</w:t>
            </w:r>
            <w:r>
              <w:rPr>
                <w:bCs/>
                <w:szCs w:val="21"/>
              </w:rPr>
              <w:t>一般防渗区：厂内生产生活区现有地面均采用混凝土进行硬化，其中待宰圈、</w:t>
            </w:r>
            <w:r>
              <w:rPr>
                <w:rFonts w:eastAsiaTheme="minorEastAsia"/>
                <w:szCs w:val="21"/>
              </w:rPr>
              <w:t>宰前喷淋间、</w:t>
            </w:r>
            <w:r>
              <w:rPr>
                <w:bCs/>
                <w:szCs w:val="21"/>
              </w:rPr>
              <w:t>屠宰车间</w:t>
            </w:r>
            <w:r>
              <w:rPr>
                <w:bCs/>
                <w:szCs w:val="21"/>
                <w:lang w:val="en-GB"/>
              </w:rPr>
              <w:t>地面</w:t>
            </w:r>
            <w:r>
              <w:rPr>
                <w:bCs/>
                <w:szCs w:val="21"/>
              </w:rPr>
              <w:t>均采用抗渗混凝土，污水处理站各池体、事故池池体均采用抗渗混凝土，</w:t>
            </w:r>
            <w:r>
              <w:rPr>
                <w:bCs/>
                <w:szCs w:val="21"/>
                <w:lang w:val="en-GB"/>
              </w:rPr>
              <w:t>满足等效黏土防渗层</w:t>
            </w:r>
            <w:r>
              <w:rPr>
                <w:bCs/>
                <w:szCs w:val="21"/>
                <w:lang w:val="en-GB"/>
              </w:rPr>
              <w:t>Mb≥1.5m</w:t>
            </w:r>
            <w:r>
              <w:rPr>
                <w:bCs/>
                <w:szCs w:val="21"/>
                <w:lang w:val="en-GB"/>
              </w:rPr>
              <w:t>，</w:t>
            </w:r>
            <w:r>
              <w:rPr>
                <w:bCs/>
                <w:szCs w:val="21"/>
                <w:lang w:val="en-GB"/>
              </w:rPr>
              <w:t>K≤1×10</w:t>
            </w:r>
            <w:r>
              <w:rPr>
                <w:bCs/>
                <w:szCs w:val="21"/>
                <w:vertAlign w:val="superscript"/>
                <w:lang w:val="en-GB"/>
              </w:rPr>
              <w:t>-7</w:t>
            </w:r>
            <w:r>
              <w:rPr>
                <w:bCs/>
                <w:szCs w:val="21"/>
                <w:lang w:val="en-GB"/>
              </w:rPr>
              <w:t>cm/s</w:t>
            </w:r>
            <w:r>
              <w:rPr>
                <w:bCs/>
                <w:szCs w:val="21"/>
                <w:lang w:val="en-GB"/>
              </w:rPr>
              <w:t>的要求。</w:t>
            </w:r>
          </w:p>
          <w:p w14:paraId="56542D23" w14:textId="77777777" w:rsidR="00B14D53" w:rsidRDefault="00000000">
            <w:pPr>
              <w:pStyle w:val="afff2"/>
              <w:spacing w:line="240" w:lineRule="auto"/>
              <w:jc w:val="left"/>
              <w:rPr>
                <w:rFonts w:eastAsiaTheme="minorEastAsia" w:hAnsi="Times New Roman"/>
              </w:rPr>
            </w:pPr>
            <w:r>
              <w:rPr>
                <w:rFonts w:hAnsi="Times New Roman"/>
                <w:bCs/>
              </w:rPr>
              <w:fldChar w:fldCharType="begin"/>
            </w:r>
            <w:r>
              <w:rPr>
                <w:rFonts w:hAnsi="Times New Roman"/>
                <w:bCs/>
              </w:rPr>
              <w:instrText xml:space="preserve"> = 3 \* GB3 \* MERGEFORMAT </w:instrText>
            </w:r>
            <w:r>
              <w:rPr>
                <w:rFonts w:hAnsi="Times New Roman"/>
                <w:bCs/>
              </w:rPr>
              <w:fldChar w:fldCharType="separate"/>
            </w:r>
            <w:r>
              <w:rPr>
                <w:rFonts w:hAnsi="Times New Roman"/>
                <w:bCs/>
              </w:rPr>
              <w:t>③</w:t>
            </w:r>
            <w:r>
              <w:rPr>
                <w:rFonts w:hAnsi="Times New Roman"/>
                <w:bCs/>
              </w:rPr>
              <w:fldChar w:fldCharType="end"/>
            </w:r>
            <w:r>
              <w:rPr>
                <w:rFonts w:hAnsi="Times New Roman"/>
                <w:bCs/>
              </w:rPr>
              <w:t>简单防渗区：休息室、冷库、厂区道路等对其地面采用混凝土进行一般地面硬化</w:t>
            </w:r>
          </w:p>
        </w:tc>
      </w:tr>
      <w:tr w:rsidR="00B14D53" w14:paraId="19A680B3" w14:textId="77777777">
        <w:trPr>
          <w:trHeight w:val="126"/>
        </w:trPr>
        <w:tc>
          <w:tcPr>
            <w:tcW w:w="713" w:type="dxa"/>
            <w:vAlign w:val="center"/>
          </w:tcPr>
          <w:p w14:paraId="203F0125" w14:textId="77777777" w:rsidR="00B14D53" w:rsidRDefault="00000000">
            <w:pPr>
              <w:jc w:val="center"/>
              <w:rPr>
                <w:rFonts w:eastAsiaTheme="minorEastAsia"/>
                <w:szCs w:val="21"/>
              </w:rPr>
            </w:pPr>
            <w:r>
              <w:rPr>
                <w:rFonts w:eastAsiaTheme="minorEastAsia"/>
                <w:szCs w:val="21"/>
              </w:rPr>
              <w:t>总量</w:t>
            </w:r>
          </w:p>
          <w:p w14:paraId="2C1B9B05" w14:textId="77777777" w:rsidR="00B14D53" w:rsidRDefault="00000000">
            <w:pPr>
              <w:jc w:val="center"/>
              <w:rPr>
                <w:rFonts w:eastAsiaTheme="minorEastAsia"/>
                <w:szCs w:val="21"/>
              </w:rPr>
            </w:pPr>
            <w:r>
              <w:rPr>
                <w:rFonts w:eastAsiaTheme="minorEastAsia"/>
                <w:szCs w:val="21"/>
              </w:rPr>
              <w:t>指标</w:t>
            </w:r>
          </w:p>
        </w:tc>
        <w:tc>
          <w:tcPr>
            <w:tcW w:w="13468" w:type="dxa"/>
            <w:gridSpan w:val="2"/>
            <w:vAlign w:val="center"/>
          </w:tcPr>
          <w:p w14:paraId="3A16D998" w14:textId="77777777" w:rsidR="00B14D53" w:rsidRDefault="00000000">
            <w:pPr>
              <w:jc w:val="center"/>
              <w:rPr>
                <w:rFonts w:eastAsiaTheme="minorEastAsia"/>
                <w:b/>
                <w:bCs/>
                <w:szCs w:val="21"/>
              </w:rPr>
            </w:pPr>
            <w:r>
              <w:rPr>
                <w:rFonts w:eastAsiaTheme="minorEastAsia" w:hint="eastAsia"/>
                <w:szCs w:val="21"/>
              </w:rPr>
              <w:t>COD</w:t>
            </w:r>
            <w:r>
              <w:rPr>
                <w:rFonts w:eastAsiaTheme="minorEastAsia" w:hint="eastAsia"/>
                <w:szCs w:val="21"/>
              </w:rPr>
              <w:t>：</w:t>
            </w:r>
            <w:r>
              <w:rPr>
                <w:rFonts w:hint="eastAsia"/>
                <w:szCs w:val="21"/>
              </w:rPr>
              <w:t>57.3632</w:t>
            </w:r>
            <w:r>
              <w:rPr>
                <w:rFonts w:eastAsiaTheme="minorEastAsia" w:hint="eastAsia"/>
                <w:szCs w:val="21"/>
              </w:rPr>
              <w:t>t/a</w:t>
            </w:r>
            <w:r>
              <w:rPr>
                <w:rFonts w:eastAsiaTheme="minorEastAsia" w:hint="eastAsia"/>
                <w:szCs w:val="21"/>
              </w:rPr>
              <w:t>，氨氮：</w:t>
            </w:r>
            <w:r>
              <w:rPr>
                <w:rFonts w:hint="eastAsia"/>
                <w:szCs w:val="21"/>
              </w:rPr>
              <w:t>2.8607</w:t>
            </w:r>
            <w:r>
              <w:rPr>
                <w:rFonts w:eastAsiaTheme="minorEastAsia" w:hint="eastAsia"/>
                <w:szCs w:val="21"/>
              </w:rPr>
              <w:t>t/a</w:t>
            </w:r>
          </w:p>
        </w:tc>
      </w:tr>
    </w:tbl>
    <w:p w14:paraId="23A41CC2" w14:textId="77777777" w:rsidR="00B14D53" w:rsidRDefault="00B14D53">
      <w:pPr>
        <w:spacing w:line="500" w:lineRule="exact"/>
        <w:rPr>
          <w:rFonts w:eastAsiaTheme="minorEastAsia"/>
          <w:snapToGrid w:val="0"/>
          <w:kern w:val="0"/>
        </w:rPr>
        <w:sectPr w:rsidR="00B14D53">
          <w:pgSz w:w="16838" w:h="11906" w:orient="landscape"/>
          <w:pgMar w:top="1797" w:right="1440" w:bottom="1797" w:left="1440" w:header="851" w:footer="992" w:gutter="0"/>
          <w:cols w:space="425"/>
          <w:docGrid w:type="linesAndChars" w:linePitch="326"/>
        </w:sectPr>
      </w:pPr>
    </w:p>
    <w:p w14:paraId="69F00E20"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lang w:val="zh-CN"/>
        </w:rPr>
      </w:pPr>
      <w:r>
        <w:rPr>
          <w:rFonts w:ascii="Times New Roman" w:eastAsia="黑体" w:hAnsi="Times New Roman" w:cs="Times New Roman"/>
          <w:b w:val="0"/>
          <w:sz w:val="24"/>
          <w:szCs w:val="24"/>
          <w:lang w:val="zh-CN"/>
        </w:rPr>
        <w:t>8.1.</w:t>
      </w:r>
      <w:r>
        <w:rPr>
          <w:rFonts w:ascii="Times New Roman" w:eastAsia="黑体" w:hAnsi="Times New Roman" w:cs="Times New Roman" w:hint="eastAsia"/>
          <w:b w:val="0"/>
          <w:sz w:val="24"/>
          <w:szCs w:val="24"/>
        </w:rPr>
        <w:t>2</w:t>
      </w:r>
      <w:r>
        <w:rPr>
          <w:rFonts w:ascii="Times New Roman" w:eastAsia="黑体" w:hAnsi="Times New Roman" w:cs="Times New Roman"/>
          <w:b w:val="0"/>
          <w:sz w:val="24"/>
          <w:szCs w:val="24"/>
          <w:lang w:val="zh-CN"/>
        </w:rPr>
        <w:t>.2</w:t>
      </w:r>
      <w:r>
        <w:rPr>
          <w:rFonts w:ascii="Times New Roman" w:eastAsia="黑体" w:hAnsi="Times New Roman" w:cs="Times New Roman"/>
          <w:b w:val="0"/>
          <w:sz w:val="24"/>
          <w:szCs w:val="24"/>
          <w:lang w:val="zh-CN"/>
        </w:rPr>
        <w:t>排放管理要求</w:t>
      </w:r>
    </w:p>
    <w:p w14:paraId="395ABEB0" w14:textId="77777777" w:rsidR="00B14D53" w:rsidRDefault="00000000">
      <w:pPr>
        <w:widowControl/>
        <w:kinsoku w:val="0"/>
        <w:autoSpaceDE w:val="0"/>
        <w:autoSpaceDN w:val="0"/>
        <w:spacing w:line="360" w:lineRule="auto"/>
        <w:ind w:firstLineChars="200" w:firstLine="480"/>
        <w:textAlignment w:val="baseline"/>
        <w:rPr>
          <w:sz w:val="24"/>
        </w:rPr>
      </w:pPr>
      <w:bookmarkStart w:id="313" w:name="_Toc9681"/>
      <w:bookmarkStart w:id="314" w:name="_Toc31899"/>
      <w:r>
        <w:rPr>
          <w:sz w:val="24"/>
          <w:lang w:val="zh-CN"/>
        </w:rPr>
        <w:t>（</w:t>
      </w:r>
      <w:r>
        <w:rPr>
          <w:sz w:val="24"/>
          <w:lang w:val="zh-CN"/>
        </w:rPr>
        <w:t>1</w:t>
      </w:r>
      <w:r>
        <w:rPr>
          <w:sz w:val="24"/>
          <w:lang w:val="zh-CN"/>
        </w:rPr>
        <w:t>）</w:t>
      </w:r>
      <w:r>
        <w:rPr>
          <w:sz w:val="24"/>
        </w:rPr>
        <w:t>工程组成及原辅材料组分要求</w:t>
      </w:r>
      <w:bookmarkEnd w:id="313"/>
      <w:bookmarkEnd w:id="314"/>
    </w:p>
    <w:p w14:paraId="69523057" w14:textId="77777777" w:rsidR="00B14D53" w:rsidRDefault="00000000">
      <w:pPr>
        <w:widowControl/>
        <w:kinsoku w:val="0"/>
        <w:autoSpaceDE w:val="0"/>
        <w:autoSpaceDN w:val="0"/>
        <w:spacing w:line="360" w:lineRule="auto"/>
        <w:ind w:firstLineChars="200" w:firstLine="480"/>
        <w:textAlignment w:val="baseline"/>
        <w:rPr>
          <w:sz w:val="24"/>
        </w:rPr>
      </w:pPr>
      <w:bookmarkStart w:id="315" w:name="_Toc17438"/>
      <w:bookmarkStart w:id="316" w:name="_Toc20148"/>
      <w:r>
        <w:rPr>
          <w:bCs/>
          <w:sz w:val="24"/>
        </w:rPr>
        <w:t>本项目利用</w:t>
      </w:r>
      <w:r>
        <w:rPr>
          <w:rFonts w:hint="eastAsia"/>
          <w:bCs/>
          <w:sz w:val="24"/>
        </w:rPr>
        <w:t>厂内</w:t>
      </w:r>
      <w:r>
        <w:rPr>
          <w:bCs/>
          <w:sz w:val="24"/>
        </w:rPr>
        <w:t>冷库</w:t>
      </w:r>
      <w:r>
        <w:rPr>
          <w:rFonts w:hint="eastAsia"/>
          <w:bCs/>
          <w:sz w:val="24"/>
        </w:rPr>
        <w:t>系统、</w:t>
      </w:r>
      <w:r>
        <w:rPr>
          <w:rFonts w:hint="eastAsia"/>
          <w:spacing w:val="4"/>
          <w:sz w:val="24"/>
        </w:rPr>
        <w:t>屠宰车间、</w:t>
      </w:r>
      <w:r>
        <w:rPr>
          <w:spacing w:val="4"/>
          <w:sz w:val="24"/>
        </w:rPr>
        <w:t>待宰圈</w:t>
      </w:r>
      <w:r>
        <w:rPr>
          <w:rFonts w:hint="eastAsia"/>
          <w:spacing w:val="4"/>
          <w:sz w:val="24"/>
        </w:rPr>
        <w:t>（并扩建）、宰前喷淋间；拆除厂内污水处理设施并重建</w:t>
      </w:r>
      <w:r>
        <w:rPr>
          <w:rFonts w:hint="eastAsia"/>
          <w:spacing w:val="4"/>
          <w:sz w:val="24"/>
        </w:rPr>
        <w:t>1</w:t>
      </w:r>
      <w:r>
        <w:rPr>
          <w:rFonts w:hint="eastAsia"/>
          <w:spacing w:val="4"/>
          <w:sz w:val="24"/>
        </w:rPr>
        <w:t>座处理能力</w:t>
      </w:r>
      <w:r>
        <w:rPr>
          <w:rFonts w:hint="eastAsia"/>
          <w:spacing w:val="4"/>
          <w:sz w:val="24"/>
        </w:rPr>
        <w:t>250t/d</w:t>
      </w:r>
      <w:r>
        <w:rPr>
          <w:rFonts w:hint="eastAsia"/>
          <w:spacing w:val="4"/>
          <w:sz w:val="24"/>
        </w:rPr>
        <w:t>的</w:t>
      </w:r>
      <w:r>
        <w:rPr>
          <w:sz w:val="24"/>
        </w:rPr>
        <w:t>污水处理</w:t>
      </w:r>
      <w:r>
        <w:rPr>
          <w:rFonts w:hint="eastAsia"/>
          <w:sz w:val="24"/>
        </w:rPr>
        <w:t>站</w:t>
      </w:r>
      <w:r>
        <w:rPr>
          <w:rFonts w:hint="eastAsia"/>
          <w:spacing w:val="4"/>
          <w:sz w:val="24"/>
        </w:rPr>
        <w:t>；</w:t>
      </w:r>
      <w:r>
        <w:rPr>
          <w:rFonts w:hint="eastAsia"/>
          <w:bCs/>
          <w:sz w:val="24"/>
        </w:rPr>
        <w:t>新建</w:t>
      </w:r>
      <w:r>
        <w:rPr>
          <w:bCs/>
          <w:sz w:val="24"/>
        </w:rPr>
        <w:t>急宰间</w:t>
      </w:r>
      <w:r>
        <w:rPr>
          <w:rFonts w:hint="eastAsia"/>
          <w:bCs/>
          <w:sz w:val="24"/>
        </w:rPr>
        <w:t>及隔离间</w:t>
      </w:r>
      <w:r>
        <w:rPr>
          <w:rFonts w:hint="eastAsia"/>
          <w:bCs/>
          <w:color w:val="000000" w:themeColor="text1"/>
          <w:sz w:val="24"/>
        </w:rPr>
        <w:t>。扩建厂内</w:t>
      </w:r>
      <w:r>
        <w:rPr>
          <w:bCs/>
          <w:sz w:val="24"/>
        </w:rPr>
        <w:t>事故池</w:t>
      </w:r>
      <w:r>
        <w:rPr>
          <w:rFonts w:hint="eastAsia"/>
          <w:bCs/>
          <w:sz w:val="24"/>
        </w:rPr>
        <w:t>容积至</w:t>
      </w:r>
      <w:r>
        <w:rPr>
          <w:rFonts w:hint="eastAsia"/>
          <w:bCs/>
          <w:sz w:val="24"/>
        </w:rPr>
        <w:t>85</w:t>
      </w:r>
      <w:r>
        <w:rPr>
          <w:bCs/>
          <w:sz w:val="24"/>
        </w:rPr>
        <w:t>m</w:t>
      </w:r>
      <w:r>
        <w:rPr>
          <w:bCs/>
          <w:sz w:val="24"/>
          <w:vertAlign w:val="superscript"/>
        </w:rPr>
        <w:t>3</w:t>
      </w:r>
      <w:r>
        <w:rPr>
          <w:bCs/>
          <w:sz w:val="24"/>
        </w:rPr>
        <w:t>。</w:t>
      </w:r>
      <w:r>
        <w:rPr>
          <w:rFonts w:hint="eastAsia"/>
          <w:bCs/>
          <w:sz w:val="24"/>
        </w:rPr>
        <w:t>新建</w:t>
      </w:r>
      <w:r>
        <w:rPr>
          <w:rFonts w:hint="eastAsia"/>
          <w:bCs/>
          <w:sz w:val="24"/>
        </w:rPr>
        <w:t>1</w:t>
      </w:r>
      <w:r>
        <w:rPr>
          <w:rFonts w:hint="eastAsia"/>
          <w:bCs/>
          <w:sz w:val="24"/>
        </w:rPr>
        <w:t>间固废暂存间及</w:t>
      </w:r>
      <w:r>
        <w:rPr>
          <w:rFonts w:hint="eastAsia"/>
          <w:bCs/>
          <w:sz w:val="24"/>
        </w:rPr>
        <w:t>1</w:t>
      </w:r>
      <w:r>
        <w:rPr>
          <w:rFonts w:hint="eastAsia"/>
          <w:bCs/>
          <w:sz w:val="24"/>
        </w:rPr>
        <w:t>间危废贮存点。配套建设废气处理装置。</w:t>
      </w:r>
      <w:r>
        <w:rPr>
          <w:rFonts w:hint="eastAsia"/>
          <w:sz w:val="24"/>
        </w:rPr>
        <w:t>项目建成后</w:t>
      </w:r>
      <w:r>
        <w:rPr>
          <w:sz w:val="24"/>
        </w:rPr>
        <w:t>可达到年屠宰加工</w:t>
      </w:r>
      <w:r>
        <w:rPr>
          <w:sz w:val="24"/>
        </w:rPr>
        <w:t>16</w:t>
      </w:r>
      <w:r>
        <w:rPr>
          <w:sz w:val="24"/>
        </w:rPr>
        <w:t>万头生猪的规模。</w:t>
      </w:r>
    </w:p>
    <w:p w14:paraId="1115619C" w14:textId="77777777" w:rsidR="00B14D53" w:rsidRDefault="00000000">
      <w:pPr>
        <w:widowControl/>
        <w:kinsoku w:val="0"/>
        <w:autoSpaceDE w:val="0"/>
        <w:autoSpaceDN w:val="0"/>
        <w:spacing w:line="360" w:lineRule="auto"/>
        <w:ind w:firstLineChars="200" w:firstLine="480"/>
        <w:textAlignment w:val="baseline"/>
        <w:rPr>
          <w:sz w:val="24"/>
        </w:rPr>
      </w:pPr>
      <w:r>
        <w:rPr>
          <w:sz w:val="24"/>
        </w:rPr>
        <w:t>（</w:t>
      </w:r>
      <w:r>
        <w:rPr>
          <w:sz w:val="24"/>
        </w:rPr>
        <w:t>2</w:t>
      </w:r>
      <w:r>
        <w:rPr>
          <w:sz w:val="24"/>
        </w:rPr>
        <w:t>）建设项目拟采取的环境保护措施及主要运行参数</w:t>
      </w:r>
      <w:bookmarkEnd w:id="315"/>
      <w:bookmarkEnd w:id="316"/>
    </w:p>
    <w:p w14:paraId="7C4E55A4" w14:textId="77777777" w:rsidR="00B14D53" w:rsidRDefault="00000000">
      <w:pPr>
        <w:widowControl/>
        <w:kinsoku w:val="0"/>
        <w:autoSpaceDE w:val="0"/>
        <w:autoSpaceDN w:val="0"/>
        <w:spacing w:line="360" w:lineRule="auto"/>
        <w:ind w:firstLineChars="200" w:firstLine="480"/>
        <w:textAlignment w:val="baseline"/>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固废分类收集、分类处置，实现固废</w:t>
      </w:r>
      <w:r>
        <w:rPr>
          <w:sz w:val="24"/>
        </w:rPr>
        <w:t>100%</w:t>
      </w:r>
      <w:r>
        <w:rPr>
          <w:sz w:val="24"/>
        </w:rPr>
        <w:t>处置。</w:t>
      </w:r>
    </w:p>
    <w:p w14:paraId="643868B7" w14:textId="77777777" w:rsidR="00B14D53" w:rsidRDefault="00000000">
      <w:pPr>
        <w:widowControl/>
        <w:kinsoku w:val="0"/>
        <w:autoSpaceDE w:val="0"/>
        <w:autoSpaceDN w:val="0"/>
        <w:spacing w:line="360" w:lineRule="auto"/>
        <w:ind w:firstLineChars="200" w:firstLine="480"/>
        <w:textAlignment w:val="baseline"/>
        <w:rPr>
          <w:sz w:val="24"/>
        </w:rPr>
      </w:pPr>
      <w:r>
        <w:rPr>
          <w:sz w:val="24"/>
          <w:lang w:val="zh-CN"/>
        </w:rPr>
        <w:fldChar w:fldCharType="begin"/>
      </w:r>
      <w:r>
        <w:rPr>
          <w:sz w:val="24"/>
          <w:lang w:val="zh-CN"/>
        </w:rPr>
        <w:instrText xml:space="preserve"> = 2 \* GB3 </w:instrText>
      </w:r>
      <w:r>
        <w:rPr>
          <w:sz w:val="24"/>
          <w:lang w:val="zh-CN"/>
        </w:rPr>
        <w:fldChar w:fldCharType="separate"/>
      </w:r>
      <w:r>
        <w:rPr>
          <w:sz w:val="24"/>
          <w:lang w:val="zh-CN"/>
        </w:rPr>
        <w:t>②</w:t>
      </w:r>
      <w:r>
        <w:rPr>
          <w:sz w:val="24"/>
          <w:lang w:val="zh-CN"/>
        </w:rPr>
        <w:fldChar w:fldCharType="end"/>
      </w:r>
      <w:r>
        <w:rPr>
          <w:sz w:val="24"/>
        </w:rPr>
        <w:t>待宰圈定期喷洒生物除臭剂，产生的恶臭气体经引风机集中收集后，通过活性炭吸附净化后</w:t>
      </w:r>
      <w:r>
        <w:rPr>
          <w:rFonts w:hint="eastAsia"/>
          <w:sz w:val="24"/>
        </w:rPr>
        <w:t>分别</w:t>
      </w:r>
      <w:r>
        <w:rPr>
          <w:sz w:val="24"/>
        </w:rPr>
        <w:t>由</w:t>
      </w:r>
      <w:r>
        <w:rPr>
          <w:rFonts w:hint="eastAsia"/>
          <w:sz w:val="24"/>
        </w:rPr>
        <w:t>2</w:t>
      </w:r>
      <w:r>
        <w:rPr>
          <w:rFonts w:hint="eastAsia"/>
          <w:sz w:val="24"/>
        </w:rPr>
        <w:t>根</w:t>
      </w:r>
      <w:r>
        <w:rPr>
          <w:sz w:val="24"/>
        </w:rPr>
        <w:t>15m</w:t>
      </w:r>
      <w:r>
        <w:rPr>
          <w:sz w:val="24"/>
        </w:rPr>
        <w:t>高排气筒排放。</w:t>
      </w:r>
      <w:r>
        <w:rPr>
          <w:rFonts w:hint="eastAsia"/>
          <w:sz w:val="24"/>
        </w:rPr>
        <w:t>屠宰车间</w:t>
      </w:r>
      <w:r>
        <w:rPr>
          <w:sz w:val="24"/>
        </w:rPr>
        <w:t>产生氨、</w:t>
      </w:r>
      <w:r>
        <w:rPr>
          <w:sz w:val="24"/>
        </w:rPr>
        <w:t>H</w:t>
      </w:r>
      <w:r>
        <w:rPr>
          <w:sz w:val="24"/>
          <w:vertAlign w:val="subscript"/>
        </w:rPr>
        <w:t>2</w:t>
      </w:r>
      <w:r>
        <w:rPr>
          <w:sz w:val="24"/>
        </w:rPr>
        <w:t>S</w:t>
      </w:r>
      <w:r>
        <w:rPr>
          <w:sz w:val="24"/>
        </w:rPr>
        <w:t>、臭气浓度经引风机集中收集后，通过活性炭吸附净化后由</w:t>
      </w:r>
      <w:r>
        <w:rPr>
          <w:rFonts w:hint="eastAsia"/>
          <w:sz w:val="24"/>
        </w:rPr>
        <w:t>1</w:t>
      </w:r>
      <w:r>
        <w:rPr>
          <w:rFonts w:hint="eastAsia"/>
          <w:sz w:val="24"/>
        </w:rPr>
        <w:t>根</w:t>
      </w:r>
      <w:r>
        <w:rPr>
          <w:sz w:val="24"/>
        </w:rPr>
        <w:t>15m</w:t>
      </w:r>
      <w:r>
        <w:rPr>
          <w:sz w:val="24"/>
        </w:rPr>
        <w:t>高排气筒排放。污水处理站封闭设置，经密闭管道收集经活性炭吸附后，由</w:t>
      </w:r>
      <w:r>
        <w:rPr>
          <w:rFonts w:hint="eastAsia"/>
          <w:sz w:val="24"/>
        </w:rPr>
        <w:t>1</w:t>
      </w:r>
      <w:r>
        <w:rPr>
          <w:rFonts w:hint="eastAsia"/>
          <w:sz w:val="24"/>
        </w:rPr>
        <w:t>根</w:t>
      </w:r>
      <w:r>
        <w:rPr>
          <w:sz w:val="24"/>
        </w:rPr>
        <w:t>15m</w:t>
      </w:r>
      <w:r>
        <w:rPr>
          <w:sz w:val="24"/>
        </w:rPr>
        <w:t>高排气筒排放。</w:t>
      </w:r>
    </w:p>
    <w:p w14:paraId="6316234C" w14:textId="77777777" w:rsidR="00B14D53" w:rsidRDefault="00000000">
      <w:pPr>
        <w:widowControl/>
        <w:kinsoku w:val="0"/>
        <w:autoSpaceDE w:val="0"/>
        <w:autoSpaceDN w:val="0"/>
        <w:spacing w:line="360" w:lineRule="auto"/>
        <w:ind w:firstLineChars="200" w:firstLine="480"/>
        <w:textAlignment w:val="baseline"/>
        <w:rPr>
          <w:sz w:val="24"/>
        </w:rPr>
      </w:pP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废水经厂区污水处理站处理后达到《肉类加工工业水污染物排放标准》（</w:t>
      </w:r>
      <w:r>
        <w:rPr>
          <w:sz w:val="24"/>
        </w:rPr>
        <w:t>GB13457-92</w:t>
      </w:r>
      <w:r>
        <w:rPr>
          <w:sz w:val="24"/>
        </w:rPr>
        <w:t>）表</w:t>
      </w:r>
      <w:r>
        <w:rPr>
          <w:sz w:val="24"/>
        </w:rPr>
        <w:t>3</w:t>
      </w:r>
      <w:r>
        <w:rPr>
          <w:sz w:val="24"/>
        </w:rPr>
        <w:t>三级畜类屠宰加工标准</w:t>
      </w:r>
      <w:r>
        <w:rPr>
          <w:rFonts w:hint="eastAsia"/>
          <w:sz w:val="24"/>
        </w:rPr>
        <w:t>及</w:t>
      </w:r>
      <w:r>
        <w:rPr>
          <w:rFonts w:hint="eastAsia"/>
          <w:kern w:val="21"/>
          <w:sz w:val="24"/>
        </w:rPr>
        <w:t>五常市民泉污水处理有限公司（五常市山河屯林业局污水处理厂）</w:t>
      </w:r>
      <w:r>
        <w:rPr>
          <w:sz w:val="24"/>
        </w:rPr>
        <w:t>设计进水水质指标的要求，排入</w:t>
      </w:r>
      <w:r>
        <w:rPr>
          <w:rFonts w:hint="eastAsia"/>
          <w:kern w:val="21"/>
          <w:sz w:val="24"/>
        </w:rPr>
        <w:t>五常市民泉污水处理有限公司（五常市山河屯林业局污水处理厂）</w:t>
      </w:r>
      <w:r>
        <w:rPr>
          <w:sz w:val="24"/>
        </w:rPr>
        <w:t>处理，排入</w:t>
      </w:r>
      <w:r>
        <w:rPr>
          <w:rFonts w:hint="eastAsia"/>
          <w:sz w:val="24"/>
        </w:rPr>
        <w:t>拉林河</w:t>
      </w:r>
      <w:r>
        <w:rPr>
          <w:sz w:val="24"/>
        </w:rPr>
        <w:t>。</w:t>
      </w:r>
    </w:p>
    <w:p w14:paraId="63550D3F" w14:textId="77777777" w:rsidR="00B14D53" w:rsidRDefault="00000000">
      <w:pPr>
        <w:widowControl/>
        <w:kinsoku w:val="0"/>
        <w:autoSpaceDE w:val="0"/>
        <w:autoSpaceDN w:val="0"/>
        <w:spacing w:line="360" w:lineRule="auto"/>
        <w:ind w:firstLineChars="200" w:firstLine="480"/>
        <w:textAlignment w:val="baseline"/>
        <w:rPr>
          <w:sz w:val="24"/>
        </w:rPr>
      </w:pPr>
      <w:r>
        <w:rPr>
          <w:sz w:val="24"/>
        </w:rPr>
        <w:t>④</w:t>
      </w:r>
      <w:r>
        <w:rPr>
          <w:sz w:val="24"/>
        </w:rPr>
        <w:t>地下水防渗：危险废物贮存点按重点防渗区采取防渗措施；污水处理站各池体、事故池按一般防渗区采取防渗措施</w:t>
      </w:r>
      <w:r>
        <w:rPr>
          <w:rFonts w:hint="eastAsia"/>
          <w:sz w:val="24"/>
        </w:rPr>
        <w:t>；</w:t>
      </w:r>
      <w:r>
        <w:rPr>
          <w:sz w:val="24"/>
        </w:rPr>
        <w:t>休息室、冷库、厂区道路等</w:t>
      </w:r>
      <w:r>
        <w:rPr>
          <w:rFonts w:hint="eastAsia"/>
          <w:sz w:val="24"/>
        </w:rPr>
        <w:t>采取简单防渗措施。</w:t>
      </w:r>
    </w:p>
    <w:p w14:paraId="50EA26A4" w14:textId="77777777" w:rsidR="00B14D53" w:rsidRDefault="00000000">
      <w:pPr>
        <w:widowControl/>
        <w:kinsoku w:val="0"/>
        <w:autoSpaceDE w:val="0"/>
        <w:autoSpaceDN w:val="0"/>
        <w:spacing w:line="360" w:lineRule="auto"/>
        <w:ind w:firstLineChars="200" w:firstLine="480"/>
        <w:textAlignment w:val="baseline"/>
        <w:rPr>
          <w:sz w:val="24"/>
        </w:rPr>
      </w:pPr>
      <w:bookmarkStart w:id="317" w:name="_Toc10586"/>
      <w:bookmarkStart w:id="318" w:name="_Toc22412"/>
      <w:r>
        <w:rPr>
          <w:sz w:val="24"/>
        </w:rPr>
        <w:t>（</w:t>
      </w:r>
      <w:r>
        <w:rPr>
          <w:sz w:val="24"/>
        </w:rPr>
        <w:t>3</w:t>
      </w:r>
      <w:r>
        <w:rPr>
          <w:sz w:val="24"/>
        </w:rPr>
        <w:t>）社会公开的信息内容</w:t>
      </w:r>
      <w:bookmarkEnd w:id="317"/>
      <w:bookmarkEnd w:id="318"/>
    </w:p>
    <w:p w14:paraId="41D94BFA" w14:textId="77777777" w:rsidR="00B14D53" w:rsidRDefault="00000000">
      <w:pPr>
        <w:spacing w:line="360" w:lineRule="auto"/>
        <w:ind w:firstLineChars="200" w:firstLine="480"/>
        <w:rPr>
          <w:rFonts w:eastAsiaTheme="minorEastAsia"/>
          <w:snapToGrid w:val="0"/>
          <w:kern w:val="0"/>
          <w:sz w:val="24"/>
        </w:rPr>
      </w:pPr>
      <w:r>
        <w:rPr>
          <w:sz w:val="24"/>
        </w:rPr>
        <w:t>企业应积极主动对污染物定期监测信息进行公开，采用张贴公示版等形式对污染物排放情况、污染防治措施运行情况进行公开，保证公众知情权</w:t>
      </w:r>
      <w:r>
        <w:rPr>
          <w:rFonts w:eastAsiaTheme="minorEastAsia"/>
          <w:snapToGrid w:val="0"/>
          <w:kern w:val="0"/>
          <w:sz w:val="24"/>
        </w:rPr>
        <w:t>。</w:t>
      </w:r>
    </w:p>
    <w:p w14:paraId="48448CF6"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319" w:name="_Toc31964"/>
      <w:r>
        <w:rPr>
          <w:rFonts w:ascii="Times New Roman" w:eastAsia="黑体" w:hAnsi="Times New Roman" w:cs="Times New Roman"/>
          <w:b w:val="0"/>
          <w:bCs w:val="0"/>
          <w:sz w:val="30"/>
          <w:szCs w:val="30"/>
        </w:rPr>
        <w:t>8.2</w:t>
      </w:r>
      <w:r>
        <w:rPr>
          <w:rFonts w:ascii="Times New Roman" w:eastAsia="黑体" w:hAnsi="Times New Roman" w:cs="Times New Roman"/>
          <w:b w:val="0"/>
          <w:bCs w:val="0"/>
          <w:sz w:val="30"/>
          <w:szCs w:val="30"/>
        </w:rPr>
        <w:t>环境监测</w:t>
      </w:r>
      <w:bookmarkEnd w:id="308"/>
      <w:bookmarkEnd w:id="309"/>
      <w:bookmarkEnd w:id="319"/>
    </w:p>
    <w:p w14:paraId="08E09CBA" w14:textId="77777777" w:rsidR="00B14D53" w:rsidRDefault="00000000">
      <w:pPr>
        <w:spacing w:line="360" w:lineRule="auto"/>
        <w:ind w:firstLineChars="200" w:firstLine="480"/>
        <w:contextualSpacing/>
        <w:rPr>
          <w:rFonts w:eastAsiaTheme="minorEastAsia"/>
          <w:sz w:val="24"/>
        </w:rPr>
      </w:pPr>
      <w:r>
        <w:rPr>
          <w:rFonts w:eastAsiaTheme="minorEastAsia"/>
          <w:sz w:val="24"/>
        </w:rPr>
        <w:t>环境监测是项目环境保护的</w:t>
      </w:r>
      <w:r>
        <w:rPr>
          <w:rFonts w:eastAsiaTheme="minorEastAsia" w:hint="eastAsia"/>
          <w:sz w:val="24"/>
        </w:rPr>
        <w:t>“</w:t>
      </w:r>
      <w:r>
        <w:rPr>
          <w:rFonts w:eastAsiaTheme="minorEastAsia"/>
          <w:sz w:val="24"/>
        </w:rPr>
        <w:t>眼睛</w:t>
      </w:r>
      <w:r>
        <w:rPr>
          <w:rFonts w:eastAsiaTheme="minorEastAsia" w:hint="eastAsia"/>
          <w:sz w:val="24"/>
        </w:rPr>
        <w:t>”</w:t>
      </w:r>
      <w:r>
        <w:rPr>
          <w:rFonts w:eastAsiaTheme="minorEastAsia"/>
          <w:sz w:val="24"/>
        </w:rPr>
        <w:t>，是基本的手段和信息基础，环境监测的特点是以样品的监测结果来推断总体环境质量。因此，必须把握好各个技术环节，包括确定环境监测的项目的范围，采样的位置和数量，采样的时间和方法，样品的分析和数据处理等及其质量保证工作。保证监测数据具有完整的质量特征，准确性、精密性、完整性、代表性和可比性。</w:t>
      </w:r>
    </w:p>
    <w:p w14:paraId="2BE93981"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8.2.1</w:t>
      </w:r>
      <w:r>
        <w:rPr>
          <w:rFonts w:ascii="Times New Roman" w:eastAsia="黑体" w:hAnsi="Times New Roman" w:cs="Times New Roman"/>
          <w:sz w:val="28"/>
          <w:szCs w:val="28"/>
        </w:rPr>
        <w:t>环境监测的必要性</w:t>
      </w:r>
    </w:p>
    <w:p w14:paraId="2D4FCA9A" w14:textId="77777777" w:rsidR="00B14D53" w:rsidRDefault="00000000">
      <w:pPr>
        <w:spacing w:line="360" w:lineRule="auto"/>
        <w:ind w:firstLineChars="200" w:firstLine="480"/>
        <w:contextualSpacing/>
        <w:rPr>
          <w:rFonts w:eastAsiaTheme="minorEastAsia"/>
          <w:sz w:val="24"/>
        </w:rPr>
      </w:pPr>
      <w:r>
        <w:rPr>
          <w:rFonts w:eastAsiaTheme="minorEastAsia"/>
          <w:sz w:val="24"/>
        </w:rPr>
        <w:t>环境监测既是项目执行管理的需要，也是环保部门了解项目执行情况、研究对策，实行宏观指导的依据。通过现</w:t>
      </w:r>
      <w:r>
        <w:rPr>
          <w:rFonts w:eastAsiaTheme="minorEastAsia" w:hint="eastAsia"/>
          <w:sz w:val="24"/>
        </w:rPr>
        <w:t>场</w:t>
      </w:r>
      <w:r>
        <w:rPr>
          <w:rFonts w:eastAsiaTheme="minorEastAsia"/>
          <w:sz w:val="24"/>
        </w:rPr>
        <w:t>监测，能及时发现问题和了解运行数据是否理想，达到总结经验、解决问题、改善管理的目的，以确保项目顺利实现预期目的。</w:t>
      </w:r>
    </w:p>
    <w:p w14:paraId="691C4D62"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8.2.2</w:t>
      </w:r>
      <w:r>
        <w:rPr>
          <w:rFonts w:ascii="Times New Roman" w:eastAsia="黑体" w:hAnsi="Times New Roman" w:cs="Times New Roman"/>
          <w:bCs/>
          <w:sz w:val="28"/>
          <w:szCs w:val="28"/>
        </w:rPr>
        <w:t>环境监测机构设置</w:t>
      </w:r>
    </w:p>
    <w:p w14:paraId="7DD1A7D4" w14:textId="77777777" w:rsidR="00B14D53" w:rsidRDefault="00000000">
      <w:pPr>
        <w:spacing w:line="360" w:lineRule="auto"/>
        <w:ind w:firstLineChars="200" w:firstLine="480"/>
        <w:contextualSpacing/>
        <w:rPr>
          <w:rFonts w:eastAsiaTheme="minorEastAsia"/>
          <w:bCs/>
          <w:sz w:val="24"/>
        </w:rPr>
      </w:pPr>
      <w:r>
        <w:rPr>
          <w:rFonts w:eastAsiaTheme="minorEastAsia"/>
          <w:bCs/>
          <w:sz w:val="24"/>
        </w:rPr>
        <w:t>为了及时准确地了解项目的污染物排放情况和污染物治理设施的运行状况，企业应委托有资质的监测机构进行常规监测。</w:t>
      </w:r>
    </w:p>
    <w:p w14:paraId="6F205A30"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8.2.3</w:t>
      </w:r>
      <w:r>
        <w:rPr>
          <w:rFonts w:ascii="Times New Roman" w:eastAsia="黑体" w:hAnsi="Times New Roman" w:cs="Times New Roman"/>
          <w:bCs/>
          <w:sz w:val="28"/>
          <w:szCs w:val="28"/>
        </w:rPr>
        <w:t>环境监测职责</w:t>
      </w:r>
    </w:p>
    <w:p w14:paraId="4730CC1D" w14:textId="77777777" w:rsidR="00B14D53" w:rsidRDefault="00000000">
      <w:pPr>
        <w:spacing w:line="360" w:lineRule="auto"/>
        <w:ind w:firstLineChars="200" w:firstLine="480"/>
        <w:contextualSpacing/>
        <w:rPr>
          <w:rFonts w:eastAsiaTheme="minorEastAsia"/>
          <w:bCs/>
          <w:sz w:val="24"/>
        </w:rPr>
      </w:pPr>
      <w:r>
        <w:rPr>
          <w:rFonts w:eastAsiaTheme="minorEastAsia"/>
          <w:bCs/>
          <w:sz w:val="24"/>
        </w:rPr>
        <w:t>根据国家和主管部门颁布的环保法规、污染物排放标准以及企业内部的要求，制订监测站的工作计划和实施方案。</w:t>
      </w:r>
    </w:p>
    <w:p w14:paraId="361344EF" w14:textId="77777777" w:rsidR="00B14D53" w:rsidRDefault="00000000">
      <w:pPr>
        <w:spacing w:line="360" w:lineRule="auto"/>
        <w:ind w:firstLineChars="200" w:firstLine="480"/>
        <w:rPr>
          <w:rFonts w:eastAsiaTheme="minorEastAsia"/>
          <w:bCs/>
          <w:sz w:val="24"/>
        </w:rPr>
      </w:pPr>
      <w:r>
        <w:rPr>
          <w:rFonts w:eastAsiaTheme="minorEastAsia"/>
          <w:bCs/>
          <w:sz w:val="24"/>
        </w:rPr>
        <w:t>对生产过程中污染物的排放状况和污染治理设施的处理效果进行定期监测，为设施的运行控制提供依据。</w:t>
      </w:r>
    </w:p>
    <w:p w14:paraId="1C485AD8" w14:textId="77777777" w:rsidR="00B14D53" w:rsidRDefault="00000000">
      <w:pPr>
        <w:spacing w:line="360" w:lineRule="auto"/>
        <w:ind w:firstLineChars="200" w:firstLine="480"/>
        <w:rPr>
          <w:rFonts w:eastAsiaTheme="minorEastAsia"/>
          <w:bCs/>
          <w:sz w:val="24"/>
        </w:rPr>
      </w:pPr>
      <w:r>
        <w:rPr>
          <w:rFonts w:eastAsiaTheme="minorEastAsia"/>
          <w:bCs/>
          <w:sz w:val="24"/>
        </w:rPr>
        <w:t>监督污染物排放的达标情况。</w:t>
      </w:r>
    </w:p>
    <w:p w14:paraId="1ED1D807" w14:textId="77777777" w:rsidR="00B14D53" w:rsidRDefault="00000000">
      <w:pPr>
        <w:spacing w:line="360" w:lineRule="auto"/>
        <w:ind w:firstLineChars="200" w:firstLine="480"/>
        <w:rPr>
          <w:rFonts w:eastAsiaTheme="minorEastAsia"/>
          <w:bCs/>
          <w:sz w:val="24"/>
        </w:rPr>
      </w:pPr>
      <w:r>
        <w:rPr>
          <w:rFonts w:eastAsiaTheme="minorEastAsia"/>
          <w:bCs/>
          <w:sz w:val="24"/>
        </w:rPr>
        <w:t>对监测仪器设备进行维护和校验，确保监测数据的准确性、可靠性。</w:t>
      </w:r>
    </w:p>
    <w:p w14:paraId="735949EC" w14:textId="77777777" w:rsidR="00B14D53" w:rsidRDefault="00000000">
      <w:pPr>
        <w:spacing w:line="360" w:lineRule="auto"/>
        <w:ind w:firstLineChars="200" w:firstLine="480"/>
        <w:contextualSpacing/>
        <w:rPr>
          <w:rFonts w:eastAsiaTheme="minorEastAsia"/>
          <w:bCs/>
          <w:sz w:val="24"/>
        </w:rPr>
      </w:pPr>
      <w:r>
        <w:rPr>
          <w:rFonts w:eastAsiaTheme="minorEastAsia" w:hint="eastAsia"/>
          <w:bCs/>
          <w:sz w:val="24"/>
        </w:rPr>
        <w:t>做好</w:t>
      </w:r>
      <w:r>
        <w:rPr>
          <w:rFonts w:eastAsiaTheme="minorEastAsia"/>
          <w:bCs/>
          <w:sz w:val="24"/>
        </w:rPr>
        <w:t>监测数据的整理记录工作，</w:t>
      </w:r>
      <w:r>
        <w:rPr>
          <w:rFonts w:eastAsiaTheme="minorEastAsia" w:hint="eastAsia"/>
          <w:bCs/>
          <w:sz w:val="24"/>
        </w:rPr>
        <w:t>做</w:t>
      </w:r>
      <w:r>
        <w:rPr>
          <w:rFonts w:eastAsiaTheme="minorEastAsia"/>
          <w:bCs/>
          <w:sz w:val="24"/>
        </w:rPr>
        <w:t>好企业污染物排放情况动态变化的档案记载工作。</w:t>
      </w:r>
    </w:p>
    <w:p w14:paraId="4375EA94" w14:textId="77777777" w:rsidR="00B14D53" w:rsidRDefault="00000000">
      <w:pPr>
        <w:spacing w:line="360" w:lineRule="auto"/>
        <w:ind w:firstLineChars="200" w:firstLine="480"/>
        <w:contextualSpacing/>
        <w:rPr>
          <w:rFonts w:eastAsiaTheme="minorEastAsia"/>
          <w:bCs/>
          <w:sz w:val="24"/>
        </w:rPr>
      </w:pPr>
      <w:r>
        <w:rPr>
          <w:rFonts w:eastAsiaTheme="minorEastAsia"/>
          <w:bCs/>
          <w:sz w:val="24"/>
        </w:rPr>
        <w:t>努力学习，不断提高站内工作人员的业务素质和工作能力。</w:t>
      </w:r>
    </w:p>
    <w:p w14:paraId="1DB515BF"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20" w:name="_Toc11758577"/>
      <w:r>
        <w:rPr>
          <w:rFonts w:ascii="Times New Roman" w:eastAsia="黑体" w:hAnsi="Times New Roman" w:cs="Times New Roman"/>
          <w:bCs/>
          <w:sz w:val="28"/>
          <w:szCs w:val="28"/>
        </w:rPr>
        <w:t>8.2.4</w:t>
      </w:r>
      <w:r>
        <w:rPr>
          <w:rFonts w:ascii="Times New Roman" w:eastAsia="黑体" w:hAnsi="Times New Roman" w:cs="Times New Roman"/>
          <w:bCs/>
          <w:sz w:val="28"/>
          <w:szCs w:val="28"/>
        </w:rPr>
        <w:t>设立排放口（源）标识</w:t>
      </w:r>
      <w:bookmarkEnd w:id="320"/>
    </w:p>
    <w:p w14:paraId="470FFC08"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snapToGrid w:val="0"/>
          <w:kern w:val="0"/>
          <w:sz w:val="24"/>
        </w:rPr>
        <w:t>本项目的各排污口按照环境管理要求，必须进行规范化建设，在本</w:t>
      </w:r>
      <w:r>
        <w:rPr>
          <w:rFonts w:eastAsiaTheme="minorEastAsia" w:hint="eastAsia"/>
          <w:snapToGrid w:val="0"/>
          <w:kern w:val="0"/>
          <w:sz w:val="24"/>
        </w:rPr>
        <w:t>项目</w:t>
      </w:r>
      <w:r>
        <w:rPr>
          <w:rFonts w:eastAsiaTheme="minorEastAsia"/>
          <w:snapToGrid w:val="0"/>
          <w:kern w:val="0"/>
          <w:sz w:val="24"/>
        </w:rPr>
        <w:t>密闭厌氧发酵囊排放口、大气排放源、噪声、固废排放源设立规范的环境保护图形标志，按照《环境保护图形标志</w:t>
      </w:r>
      <w:r>
        <w:rPr>
          <w:rFonts w:eastAsiaTheme="minorEastAsia"/>
          <w:snapToGrid w:val="0"/>
          <w:kern w:val="0"/>
          <w:sz w:val="24"/>
        </w:rPr>
        <w:t>―</w:t>
      </w:r>
      <w:r>
        <w:rPr>
          <w:rFonts w:eastAsiaTheme="minorEastAsia"/>
          <w:snapToGrid w:val="0"/>
          <w:kern w:val="0"/>
          <w:sz w:val="24"/>
        </w:rPr>
        <w:t>排放口（源）》（</w:t>
      </w:r>
      <w:r>
        <w:rPr>
          <w:rFonts w:eastAsiaTheme="minorEastAsia"/>
          <w:snapToGrid w:val="0"/>
          <w:kern w:val="0"/>
          <w:sz w:val="24"/>
        </w:rPr>
        <w:t>GB15562.1-1995</w:t>
      </w:r>
      <w:r>
        <w:rPr>
          <w:rFonts w:eastAsiaTheme="minorEastAsia"/>
          <w:snapToGrid w:val="0"/>
          <w:kern w:val="0"/>
          <w:sz w:val="24"/>
        </w:rPr>
        <w:t>）</w:t>
      </w:r>
      <w:r>
        <w:rPr>
          <w:rFonts w:eastAsiaTheme="minorEastAsia" w:hint="eastAsia"/>
          <w:snapToGrid w:val="0"/>
          <w:kern w:val="0"/>
          <w:sz w:val="24"/>
        </w:rPr>
        <w:t>、《环境保护图形标志一固体关于发布国家固体废物污染控制标准废物贮存</w:t>
      </w:r>
      <w:r>
        <w:rPr>
          <w:rFonts w:eastAsiaTheme="minorEastAsia" w:hint="eastAsia"/>
          <w:snapToGrid w:val="0"/>
          <w:kern w:val="0"/>
          <w:sz w:val="24"/>
        </w:rPr>
        <w:t>(</w:t>
      </w:r>
      <w:r>
        <w:rPr>
          <w:rFonts w:eastAsiaTheme="minorEastAsia" w:hint="eastAsia"/>
          <w:snapToGrid w:val="0"/>
          <w:kern w:val="0"/>
          <w:sz w:val="24"/>
        </w:rPr>
        <w:t>处置</w:t>
      </w:r>
      <w:r>
        <w:rPr>
          <w:rFonts w:eastAsiaTheme="minorEastAsia" w:hint="eastAsia"/>
          <w:snapToGrid w:val="0"/>
          <w:kern w:val="0"/>
          <w:sz w:val="24"/>
        </w:rPr>
        <w:t>)</w:t>
      </w:r>
      <w:r>
        <w:rPr>
          <w:rFonts w:eastAsiaTheme="minorEastAsia" w:hint="eastAsia"/>
          <w:snapToGrid w:val="0"/>
          <w:kern w:val="0"/>
          <w:sz w:val="24"/>
        </w:rPr>
        <w:t>场》</w:t>
      </w:r>
      <w:r>
        <w:rPr>
          <w:rFonts w:eastAsiaTheme="minorEastAsia" w:hint="eastAsia"/>
          <w:snapToGrid w:val="0"/>
          <w:kern w:val="0"/>
          <w:sz w:val="24"/>
        </w:rPr>
        <w:t>(GB 15562.2-1995)</w:t>
      </w:r>
      <w:r>
        <w:rPr>
          <w:rFonts w:eastAsiaTheme="minorEastAsia" w:hint="eastAsia"/>
          <w:snapToGrid w:val="0"/>
          <w:kern w:val="0"/>
          <w:sz w:val="24"/>
        </w:rPr>
        <w:t>及修改单</w:t>
      </w:r>
      <w:r>
        <w:rPr>
          <w:rFonts w:eastAsiaTheme="minorEastAsia"/>
          <w:snapToGrid w:val="0"/>
          <w:kern w:val="0"/>
          <w:sz w:val="24"/>
        </w:rPr>
        <w:t>执行，以利于环境保护行政主管部门对各排放口的监督管理。标志牌制作由国家环境保护总局统一监制，标志牌应设置在与之功能相应的醒目处。</w:t>
      </w:r>
    </w:p>
    <w:p w14:paraId="4B4488DC"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snapToGrid w:val="0"/>
          <w:kern w:val="0"/>
          <w:sz w:val="24"/>
        </w:rPr>
        <w:t>污水排放口、废气排放口、固废噪声排放源图形符号分为提示图形符号和警告图形符号两种，图形符号与说明见下图。本项目不涉及废水及废气排放口。</w:t>
      </w:r>
    </w:p>
    <w:p w14:paraId="1F43447A" w14:textId="77777777" w:rsidR="00B14D53" w:rsidRDefault="00000000">
      <w:pPr>
        <w:spacing w:line="360" w:lineRule="auto"/>
        <w:ind w:firstLineChars="200" w:firstLine="480"/>
        <w:jc w:val="center"/>
        <w:rPr>
          <w:rFonts w:eastAsiaTheme="minorEastAsia"/>
          <w:snapToGrid w:val="0"/>
          <w:kern w:val="0"/>
          <w:sz w:val="24"/>
        </w:rPr>
      </w:pPr>
      <w:r>
        <w:rPr>
          <w:rFonts w:eastAsiaTheme="minorEastAsia"/>
          <w:noProof/>
          <w:snapToGrid w:val="0"/>
          <w:kern w:val="0"/>
          <w:sz w:val="24"/>
        </w:rPr>
        <w:drawing>
          <wp:inline distT="0" distB="0" distL="0" distR="0" wp14:anchorId="343D12FD" wp14:editId="260E4F79">
            <wp:extent cx="3448050" cy="2555240"/>
            <wp:effectExtent l="9525" t="9525" r="9525" b="26035"/>
            <wp:docPr id="152" name="图片 152"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104"/>
                    <pic:cNvPicPr>
                      <a:picLocks noChangeAspect="1" noChangeArrowheads="1"/>
                    </pic:cNvPicPr>
                  </pic:nvPicPr>
                  <pic:blipFill>
                    <a:blip r:embed="rId86" cstate="print">
                      <a:extLst>
                        <a:ext uri="{28A0092B-C50C-407E-A947-70E740481C1C}">
                          <a14:useLocalDpi xmlns:a14="http://schemas.microsoft.com/office/drawing/2010/main" val="0"/>
                        </a:ext>
                      </a:extLst>
                    </a:blip>
                    <a:srcRect t="27733" r="24086"/>
                    <a:stretch>
                      <a:fillRect/>
                    </a:stretch>
                  </pic:blipFill>
                  <pic:spPr>
                    <a:xfrm>
                      <a:off x="0" y="0"/>
                      <a:ext cx="3478168" cy="2578045"/>
                    </a:xfrm>
                    <a:prstGeom prst="rect">
                      <a:avLst/>
                    </a:prstGeom>
                    <a:noFill/>
                    <a:ln w="6350">
                      <a:solidFill>
                        <a:schemeClr val="tx1"/>
                      </a:solidFill>
                    </a:ln>
                  </pic:spPr>
                </pic:pic>
              </a:graphicData>
            </a:graphic>
          </wp:inline>
        </w:drawing>
      </w:r>
    </w:p>
    <w:p w14:paraId="72A6CD04" w14:textId="77777777" w:rsidR="00B14D53" w:rsidRDefault="00000000">
      <w:pPr>
        <w:spacing w:line="360" w:lineRule="auto"/>
        <w:ind w:firstLineChars="200" w:firstLine="420"/>
        <w:jc w:val="center"/>
        <w:rPr>
          <w:rFonts w:eastAsiaTheme="minorEastAsia"/>
          <w:snapToGrid w:val="0"/>
          <w:kern w:val="0"/>
          <w:sz w:val="24"/>
        </w:rPr>
      </w:pPr>
      <w:r>
        <w:rPr>
          <w:noProof/>
        </w:rPr>
        <w:drawing>
          <wp:anchor distT="0" distB="0" distL="114300" distR="114300" simplePos="0" relativeHeight="251761664" behindDoc="0" locked="0" layoutInCell="1" allowOverlap="1" wp14:anchorId="0E0BAD73" wp14:editId="7109DC1B">
            <wp:simplePos x="0" y="0"/>
            <wp:positionH relativeFrom="column">
              <wp:posOffset>2195830</wp:posOffset>
            </wp:positionH>
            <wp:positionV relativeFrom="paragraph">
              <wp:posOffset>456565</wp:posOffset>
            </wp:positionV>
            <wp:extent cx="935990" cy="860425"/>
            <wp:effectExtent l="0" t="0" r="16510" b="15875"/>
            <wp:wrapNone/>
            <wp:docPr id="3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5"/>
                    <pic:cNvPicPr>
                      <a:picLocks noChangeAspect="1"/>
                    </pic:cNvPicPr>
                  </pic:nvPicPr>
                  <pic:blipFill>
                    <a:blip r:embed="rId87"/>
                    <a:stretch>
                      <a:fillRect/>
                    </a:stretch>
                  </pic:blipFill>
                  <pic:spPr>
                    <a:xfrm>
                      <a:off x="0" y="0"/>
                      <a:ext cx="935990" cy="860425"/>
                    </a:xfrm>
                    <a:prstGeom prst="rect">
                      <a:avLst/>
                    </a:prstGeom>
                    <a:noFill/>
                    <a:ln>
                      <a:noFill/>
                    </a:ln>
                  </pic:spPr>
                </pic:pic>
              </a:graphicData>
            </a:graphic>
          </wp:anchor>
        </w:drawing>
      </w:r>
      <w:r>
        <w:rPr>
          <w:rFonts w:eastAsiaTheme="minorEastAsia"/>
          <w:noProof/>
          <w:kern w:val="0"/>
          <w:sz w:val="24"/>
        </w:rPr>
        <w:drawing>
          <wp:anchor distT="0" distB="0" distL="114300" distR="114300" simplePos="0" relativeHeight="251663360" behindDoc="0" locked="0" layoutInCell="1" allowOverlap="1" wp14:anchorId="224DF504" wp14:editId="23BD6203">
            <wp:simplePos x="0" y="0"/>
            <wp:positionH relativeFrom="column">
              <wp:posOffset>2226945</wp:posOffset>
            </wp:positionH>
            <wp:positionV relativeFrom="paragraph">
              <wp:posOffset>1459230</wp:posOffset>
            </wp:positionV>
            <wp:extent cx="922655" cy="832485"/>
            <wp:effectExtent l="19050" t="0" r="0" b="0"/>
            <wp:wrapNone/>
            <wp:docPr id="4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6"/>
                    <pic:cNvPicPr>
                      <a:picLocks noChangeAspect="1" noChangeArrowheads="1"/>
                    </pic:cNvPicPr>
                  </pic:nvPicPr>
                  <pic:blipFill>
                    <a:blip r:embed="rId88" cstate="print"/>
                    <a:srcRect/>
                    <a:stretch>
                      <a:fillRect/>
                    </a:stretch>
                  </pic:blipFill>
                  <pic:spPr>
                    <a:xfrm>
                      <a:off x="0" y="0"/>
                      <a:ext cx="922646" cy="832513"/>
                    </a:xfrm>
                    <a:prstGeom prst="rect">
                      <a:avLst/>
                    </a:prstGeom>
                    <a:noFill/>
                    <a:ln w="9525">
                      <a:noFill/>
                      <a:miter lim="800000"/>
                      <a:headEnd/>
                      <a:tailEnd/>
                    </a:ln>
                  </pic:spPr>
                </pic:pic>
              </a:graphicData>
            </a:graphic>
          </wp:anchor>
        </w:drawing>
      </w:r>
      <w:r>
        <w:rPr>
          <w:noProof/>
        </w:rPr>
        <w:drawing>
          <wp:anchor distT="0" distB="0" distL="114300" distR="114300" simplePos="0" relativeHeight="251760640" behindDoc="0" locked="0" layoutInCell="1" allowOverlap="1" wp14:anchorId="3365D279" wp14:editId="64484D70">
            <wp:simplePos x="0" y="0"/>
            <wp:positionH relativeFrom="column">
              <wp:posOffset>1208405</wp:posOffset>
            </wp:positionH>
            <wp:positionV relativeFrom="paragraph">
              <wp:posOffset>451485</wp:posOffset>
            </wp:positionV>
            <wp:extent cx="935990" cy="908050"/>
            <wp:effectExtent l="0" t="0" r="16510" b="6350"/>
            <wp:wrapNone/>
            <wp:docPr id="3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4"/>
                    <pic:cNvPicPr>
                      <a:picLocks noChangeAspect="1"/>
                    </pic:cNvPicPr>
                  </pic:nvPicPr>
                  <pic:blipFill>
                    <a:blip r:embed="rId89"/>
                    <a:stretch>
                      <a:fillRect/>
                    </a:stretch>
                  </pic:blipFill>
                  <pic:spPr>
                    <a:xfrm>
                      <a:off x="0" y="0"/>
                      <a:ext cx="935990" cy="908050"/>
                    </a:xfrm>
                    <a:prstGeom prst="rect">
                      <a:avLst/>
                    </a:prstGeom>
                    <a:noFill/>
                    <a:ln>
                      <a:noFill/>
                    </a:ln>
                  </pic:spPr>
                </pic:pic>
              </a:graphicData>
            </a:graphic>
          </wp:anchor>
        </w:drawing>
      </w:r>
      <w:r>
        <w:rPr>
          <w:rFonts w:eastAsiaTheme="minorEastAsia"/>
          <w:noProof/>
          <w:kern w:val="0"/>
          <w:sz w:val="24"/>
        </w:rPr>
        <mc:AlternateContent>
          <mc:Choice Requires="wps">
            <w:drawing>
              <wp:anchor distT="0" distB="0" distL="114300" distR="114300" simplePos="0" relativeHeight="251672576" behindDoc="0" locked="0" layoutInCell="1" allowOverlap="1" wp14:anchorId="44CFA797" wp14:editId="6D5D26E4">
                <wp:simplePos x="0" y="0"/>
                <wp:positionH relativeFrom="column">
                  <wp:posOffset>3726815</wp:posOffset>
                </wp:positionH>
                <wp:positionV relativeFrom="paragraph">
                  <wp:posOffset>1396365</wp:posOffset>
                </wp:positionV>
                <wp:extent cx="778510" cy="743585"/>
                <wp:effectExtent l="635" t="1270" r="1905" b="0"/>
                <wp:wrapNone/>
                <wp:docPr id="17" name="Rectangle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743585"/>
                        </a:xfrm>
                        <a:prstGeom prst="rect">
                          <a:avLst/>
                        </a:prstGeom>
                        <a:noFill/>
                        <a:ln>
                          <a:noFill/>
                        </a:ln>
                      </wps:spPr>
                      <wps:txbx>
                        <w:txbxContent>
                          <w:p w14:paraId="1465891F" w14:textId="77777777" w:rsidR="00B14D53" w:rsidRDefault="00000000">
                            <w:pPr>
                              <w:spacing w:line="0" w:lineRule="atLeast"/>
                              <w:contextualSpacing/>
                              <w:rPr>
                                <w:sz w:val="15"/>
                                <w:szCs w:val="15"/>
                              </w:rPr>
                            </w:pPr>
                            <w:r>
                              <w:rPr>
                                <w:sz w:val="15"/>
                                <w:szCs w:val="15"/>
                              </w:rPr>
                              <w:t>表示危险废物贮存、利用、处置设施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65" o:spid="_x0000_s1026" o:spt="1" style="position:absolute;left:0pt;margin-left:293.45pt;margin-top:109.95pt;height:58.55pt;width:61.3pt;z-index:251672576;mso-width-relative:page;mso-height-relative:page;" filled="f" stroked="f" coordsize="21600,21600" o:gfxdata="UEsDBAoAAAAAAIdO4kAAAAAAAAAAAAAAAAAEAAAAZHJzL1BLAwQUAAAACACHTuJAD18vR90AAAAL&#10;AQAADwAAAGRycy9kb3ducmV2LnhtbE2PTUvDQBCG74L/YRnBi9jdtPQjMZMeCmIRoZhqz9tkTILZ&#10;2TS7Teq/d3vS2wzz8M7zpuuLacVAvWssI0QTBYK4sGXDFcLH/vlxBcJ5zaVuLRPCDzlYZ7c3qU5K&#10;O/I7DbmvRAhhl2iE2vsukdIVNRntJrYjDrcv2xvtw9pXsuz1GMJNK6dKLaTRDYcPte5oU1PxnZ8N&#10;wljshsP+7UXuHg5by6ftaZN/viLe30XqCYSni/+D4aof1CELTkd75tKJFmG+WsQBRZhGcRgCsVTx&#10;HMQRYTZbKpBZKv93yH4BUEsDBBQAAAAIAIdO4kDvKFDQBgIAAA4EAAAOAAAAZHJzL2Uyb0RvYy54&#10;bWytU8Fu2zAMvQ/YPwi6L46zpMmMOEXRoMOAbivW7QNkWY6FyaJGKbGzrx8lp1naXXrYxRBF6vG9&#10;R3p9PXSGHRR6Dbbk+WTKmbISam13Jf/x/e7dijMfhK2FAatKflSeX2/evln3rlAzaMHUChmBWF/0&#10;ruRtCK7IMi9b1Qk/AacsJRvATgQKcZfVKHpC70w2m06vsh6wdghSeU+32zHJT4j4GkBoGi3VFuS+&#10;UzaMqKiMCCTJt9p5vklsm0bJ8LVpvArMlJyUhvSlJnSu4jfbrEWxQ+FaLU8UxGsovNDUCW2p6Rlq&#10;K4Jge9T/QHVaInhowkRCl41CkiOkIp++8OaxFU4lLWS1d2fT/f+DlV8OD8h0TZuw5MyKjib+jVwT&#10;dmcUy1dXi2hR73xBlY/uAaNI7+5B/vTMwm1LheoGEfpWiZqI5bE+e/YgBp6esqr/DDU1EPsAya2h&#10;wS4Ckg9sSEM5noeihsAkXS6Xq0VO45KUWs7fL1aJUSaKp8cOffiooGPxUHIk9glcHO59iGRE8VQS&#10;e1m408akuRv77IIK400iH/mOusNQDScLKqiPJANhXCP6iejQAv7mrKcVKrn/tReoODOfLFnxIZ/P&#10;486lYL5YzijAy0x1mRFWElTJA2fj8TaMe7p3qHctdcqTLAs3ZF+jk7Ro7cjqxJvWJCk+rXTcw8s4&#10;Vf39jT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9fL0fdAAAACwEAAA8AAAAAAAAAAQAgAAAA&#10;IgAAAGRycy9kb3ducmV2LnhtbFBLAQIUABQAAAAIAIdO4kDvKFDQBgIAAA4EAAAOAAAAAAAAAAEA&#10;IAAAACwBAABkcnMvZTJvRG9jLnhtbFBLBQYAAAAABgAGAFkBAACkBQAAAAA=&#10;">
                <v:fill on="f" focussize="0,0"/>
                <v:stroke on="f"/>
                <v:imagedata o:title=""/>
                <o:lock v:ext="edit" aspectratio="f"/>
                <v:textbox>
                  <w:txbxContent>
                    <w:p w14:paraId="0CE43DC3">
                      <w:pPr>
                        <w:spacing w:line="0" w:lineRule="atLeast"/>
                        <w:contextualSpacing/>
                        <w:rPr>
                          <w:sz w:val="15"/>
                          <w:szCs w:val="15"/>
                        </w:rPr>
                      </w:pPr>
                      <w:r>
                        <w:rPr>
                          <w:sz w:val="15"/>
                          <w:szCs w:val="15"/>
                        </w:rPr>
                        <w:t>表示危险废物贮存、利用、处置设施</w:t>
                      </w:r>
                    </w:p>
                  </w:txbxContent>
                </v:textbox>
              </v:rect>
            </w:pict>
          </mc:Fallback>
        </mc:AlternateContent>
      </w:r>
      <w:r>
        <w:rPr>
          <w:rFonts w:eastAsiaTheme="minorEastAsia"/>
          <w:noProof/>
          <w:kern w:val="0"/>
          <w:sz w:val="24"/>
        </w:rPr>
        <mc:AlternateContent>
          <mc:Choice Requires="wps">
            <w:drawing>
              <wp:anchor distT="0" distB="0" distL="114300" distR="114300" simplePos="0" relativeHeight="251671552" behindDoc="0" locked="0" layoutInCell="1" allowOverlap="1" wp14:anchorId="29A9ED45" wp14:editId="77002E07">
                <wp:simplePos x="0" y="0"/>
                <wp:positionH relativeFrom="column">
                  <wp:posOffset>3785235</wp:posOffset>
                </wp:positionH>
                <wp:positionV relativeFrom="paragraph">
                  <wp:posOffset>1419860</wp:posOffset>
                </wp:positionV>
                <wp:extent cx="628015" cy="348615"/>
                <wp:effectExtent l="1905" t="0" r="0" b="0"/>
                <wp:wrapNone/>
                <wp:docPr id="9" name="Rectangl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4861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64" o:spid="_x0000_s1026" o:spt="1" style="position:absolute;left:0pt;margin-left:298.05pt;margin-top:111.8pt;height:27.45pt;width:49.45pt;z-index:251671552;mso-width-relative:page;mso-height-relative:page;" fillcolor="#FFFFFF" filled="t" stroked="f" coordsize="21600,21600" o:gfxdata="UEsDBAoAAAAAAIdO4kAAAAAAAAAAAAAAAAAEAAAAZHJzL1BLAwQUAAAACACHTuJAaM6ZDdkAAAAL&#10;AQAADwAAAGRycy9kb3ducmV2LnhtbE2PsU7DMBCGdyTewTqkbtROSkwT4nRA6tQy0CKxXmM3iYjt&#10;EDtt+vYcE4x39+m/7y83s+3ZxYyh805BshTAjKu97lyj4OO4fVwDCxGdxt47o+BmAmyq+7sSC+2v&#10;7t1cDrFhFOJCgQraGIeC81C3xmJY+sE4up39aDHSODZcj3ilcNvzVAjJLXaOPrQ4mNfW1F+HySpA&#10;+aS/386r/XE3ScybWWyzT6HU4iERL8CimeMfDL/6pA4VOZ385HRgvYIslwmhCtJ0JYERIfOM2p1o&#10;87zOgFcl/9+h+gFQSwMEFAAAAAgAh07iQKUM+X8RAgAAKwQAAA4AAABkcnMvZTJvRG9jLnhtbK1T&#10;wW7bMAy9D9g/CLovjrM0S404RZEgw4BuLdbuAxRZtoXJokYpcbKvHyWnWdZeepgPBimSj3xP1OLm&#10;0Bm2V+g12JLnozFnykqotG1K/uNp82HOmQ/CVsKAVSU/Ks9vlu/fLXpXqAm0YCqFjECsL3pX8jYE&#10;V2SZl63qhB+BU5aCNWAnArnYZBWKntA7k03G41nWA1YOQSrv6XQ9BPkJEd8CCHWtpVqD3HXKhgEV&#10;lRGBKPlWO8+Xadq6VjLc17VXgZmSE9OQ/tSE7G38Z8uFKBoUrtXyNIJ4ywgvOHVCW2p6hlqLINgO&#10;9SuoTksED3UYSeiygUhShFjk4xfaPLbCqcSFpPbuLLr/f7Dy2/4Bma5Kfs2ZFR1d+HcSTdjGKJbP&#10;Z9OoUO98QYmP7gEjR+/uQP70zMKqpUR1iwh9q0RFc+UxP/unIDqeStm2/woVNRC7AEmsQ41dBCQZ&#10;2CHdyfF8J+oQmKTD2WQ+zq84kxT6OJ3PyI4dRPFc7NCHzwo6Fo2SI02fwMX+zoch9TklDQ9GVxtt&#10;THKw2a4Msr2g9dik74TuL9OMjckWYtmAGE8Sy0hsEGgL1ZFIIgw7Ri+MjBbwN2c97VfJ/a+dQMWZ&#10;+WJJqOt8Oo0LmZzp1acJOXgZ2V5GhJUEVfLA2WCuwrDEO4e6aalTnkhbuCVxa52IR+GHqU7D0g4l&#10;6U77Hpf00k9Zf9/4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zpkN2QAAAAsBAAAPAAAAAAAA&#10;AAEAIAAAACIAAABkcnMvZG93bnJldi54bWxQSwECFAAUAAAACACHTuJApQz5fxECAAArBAAADgAA&#10;AAAAAAABACAAAAAoAQAAZHJzL2Uyb0RvYy54bWxQSwUGAAAAAAYABgBZAQAAqwUAAAAA&#10;">
                <v:fill on="t" focussize="0,0"/>
                <v:stroke on="f"/>
                <v:imagedata o:title=""/>
                <o:lock v:ext="edit" aspectratio="f"/>
              </v:rect>
            </w:pict>
          </mc:Fallback>
        </mc:AlternateContent>
      </w:r>
      <w:r>
        <w:rPr>
          <w:rFonts w:eastAsiaTheme="minorEastAsia"/>
          <w:noProof/>
          <w:snapToGrid w:val="0"/>
          <w:kern w:val="0"/>
          <w:sz w:val="24"/>
        </w:rPr>
        <w:drawing>
          <wp:inline distT="0" distB="0" distL="0" distR="0" wp14:anchorId="5CF2CB10" wp14:editId="6964FCDA">
            <wp:extent cx="3534410" cy="2301875"/>
            <wp:effectExtent l="9525" t="9525" r="18415" b="12700"/>
            <wp:docPr id="477" name="图片 477" descr="C:\Users\Administrator\AppData\Roaming\Tencent\Users\171099826\QQ\WinTemp\RichOle\JSKVUXEL~[M@FI56}DVSQ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C:\Users\Administrator\AppData\Roaming\Tencent\Users\171099826\QQ\WinTemp\RichOle\JSKVUXEL~[M@FI56}DVSQYC.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549458" cy="2312219"/>
                    </a:xfrm>
                    <a:prstGeom prst="rect">
                      <a:avLst/>
                    </a:prstGeom>
                    <a:noFill/>
                    <a:ln w="6350">
                      <a:solidFill>
                        <a:schemeClr val="tx1"/>
                      </a:solidFill>
                    </a:ln>
                  </pic:spPr>
                </pic:pic>
              </a:graphicData>
            </a:graphic>
          </wp:inline>
        </w:drawing>
      </w:r>
    </w:p>
    <w:p w14:paraId="04140459" w14:textId="77777777" w:rsidR="00B14D53" w:rsidRDefault="00000000">
      <w:pPr>
        <w:jc w:val="center"/>
        <w:rPr>
          <w:b/>
          <w:bCs/>
          <w:lang w:val="zh-CN"/>
        </w:rPr>
      </w:pPr>
      <w:r>
        <w:rPr>
          <w:rFonts w:hint="eastAsia"/>
          <w:b/>
          <w:bCs/>
          <w:lang w:val="zh-CN"/>
        </w:rPr>
        <w:t>图</w:t>
      </w:r>
      <w:r>
        <w:rPr>
          <w:rFonts w:hint="eastAsia"/>
          <w:b/>
          <w:bCs/>
          <w:lang w:val="zh-CN"/>
        </w:rPr>
        <w:t xml:space="preserve">8-2-1 </w:t>
      </w:r>
      <w:r>
        <w:rPr>
          <w:rFonts w:hint="eastAsia"/>
          <w:b/>
          <w:bCs/>
          <w:lang w:val="zh-CN"/>
        </w:rPr>
        <w:t>污水、废气、噪声和固废排放口（源）图形符号与说明</w:t>
      </w:r>
    </w:p>
    <w:p w14:paraId="0EF78168"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21" w:name="_Toc11758578"/>
      <w:r>
        <w:rPr>
          <w:rFonts w:ascii="Times New Roman" w:eastAsia="黑体" w:hAnsi="Times New Roman" w:cs="Times New Roman"/>
          <w:bCs/>
          <w:sz w:val="28"/>
          <w:szCs w:val="28"/>
        </w:rPr>
        <w:t>8.2.5</w:t>
      </w:r>
      <w:r>
        <w:rPr>
          <w:rFonts w:ascii="Times New Roman" w:eastAsia="黑体" w:hAnsi="Times New Roman" w:cs="Times New Roman"/>
          <w:bCs/>
          <w:sz w:val="28"/>
          <w:szCs w:val="28"/>
        </w:rPr>
        <w:t>环境监测计划</w:t>
      </w:r>
      <w:bookmarkEnd w:id="321"/>
    </w:p>
    <w:p w14:paraId="482C39AA"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snapToGrid w:val="0"/>
          <w:kern w:val="0"/>
          <w:sz w:val="24"/>
        </w:rPr>
        <w:t>《环保法》第四十二条明确提出</w:t>
      </w:r>
      <w:r>
        <w:rPr>
          <w:rFonts w:eastAsiaTheme="minorEastAsia"/>
          <w:snapToGrid w:val="0"/>
          <w:kern w:val="0"/>
          <w:sz w:val="24"/>
        </w:rPr>
        <w:t>“</w:t>
      </w:r>
      <w:r>
        <w:rPr>
          <w:rFonts w:eastAsiaTheme="minorEastAsia"/>
          <w:snapToGrid w:val="0"/>
          <w:kern w:val="0"/>
          <w:sz w:val="24"/>
        </w:rPr>
        <w:t>重点排污单位应当按照国家有关规定和监测规范安装使用监测设备，保证监测设备正常运行，保存原始监测记录</w:t>
      </w:r>
      <w:r>
        <w:rPr>
          <w:rFonts w:eastAsiaTheme="minorEastAsia"/>
          <w:snapToGrid w:val="0"/>
          <w:kern w:val="0"/>
          <w:sz w:val="24"/>
        </w:rPr>
        <w:t>”</w:t>
      </w:r>
      <w:r>
        <w:rPr>
          <w:rFonts w:eastAsiaTheme="minorEastAsia"/>
          <w:snapToGrid w:val="0"/>
          <w:kern w:val="0"/>
          <w:sz w:val="24"/>
        </w:rPr>
        <w:t>；第五十五条要求</w:t>
      </w:r>
      <w:r>
        <w:rPr>
          <w:rFonts w:eastAsiaTheme="minorEastAsia"/>
          <w:snapToGrid w:val="0"/>
          <w:kern w:val="0"/>
          <w:sz w:val="24"/>
        </w:rPr>
        <w:t>“</w:t>
      </w:r>
      <w:r>
        <w:rPr>
          <w:rFonts w:eastAsiaTheme="minorEastAsia"/>
          <w:snapToGrid w:val="0"/>
          <w:kern w:val="0"/>
          <w:sz w:val="24"/>
        </w:rPr>
        <w:t>重点排污单位应当如实向社会公开其主要污染物的名称、排放方式、排放浓度和总量、超标排放情况，以及防治污染设施的建设和运行情况，接受社会监督</w:t>
      </w:r>
      <w:r>
        <w:rPr>
          <w:rFonts w:eastAsiaTheme="minorEastAsia"/>
          <w:snapToGrid w:val="0"/>
          <w:kern w:val="0"/>
          <w:sz w:val="24"/>
        </w:rPr>
        <w:t>”</w:t>
      </w:r>
      <w:r>
        <w:rPr>
          <w:rFonts w:eastAsiaTheme="minorEastAsia"/>
          <w:snapToGrid w:val="0"/>
          <w:kern w:val="0"/>
          <w:sz w:val="24"/>
        </w:rPr>
        <w:t>。根据《排污单位自行监测技术指南</w:t>
      </w:r>
      <w:r>
        <w:rPr>
          <w:rFonts w:eastAsiaTheme="minorEastAsia"/>
          <w:snapToGrid w:val="0"/>
          <w:kern w:val="0"/>
          <w:sz w:val="24"/>
        </w:rPr>
        <w:t xml:space="preserve"> </w:t>
      </w:r>
      <w:r>
        <w:rPr>
          <w:rFonts w:eastAsiaTheme="minorEastAsia"/>
          <w:snapToGrid w:val="0"/>
          <w:kern w:val="0"/>
          <w:sz w:val="24"/>
        </w:rPr>
        <w:t>总则》（</w:t>
      </w:r>
      <w:r>
        <w:rPr>
          <w:rFonts w:eastAsiaTheme="minorEastAsia"/>
          <w:snapToGrid w:val="0"/>
          <w:kern w:val="0"/>
          <w:sz w:val="24"/>
        </w:rPr>
        <w:t>HJ819-2017</w:t>
      </w:r>
      <w:r>
        <w:rPr>
          <w:rFonts w:eastAsiaTheme="minorEastAsia"/>
          <w:snapToGrid w:val="0"/>
          <w:kern w:val="0"/>
          <w:sz w:val="24"/>
        </w:rPr>
        <w:t>）、</w:t>
      </w:r>
      <w:r>
        <w:rPr>
          <w:snapToGrid w:val="0"/>
          <w:kern w:val="0"/>
          <w:sz w:val="24"/>
        </w:rPr>
        <w:t>《排污单位自行监测技术指南</w:t>
      </w:r>
      <w:r>
        <w:rPr>
          <w:snapToGrid w:val="0"/>
          <w:kern w:val="0"/>
          <w:sz w:val="24"/>
        </w:rPr>
        <w:t xml:space="preserve"> </w:t>
      </w:r>
      <w:r>
        <w:rPr>
          <w:snapToGrid w:val="0"/>
          <w:kern w:val="0"/>
          <w:sz w:val="24"/>
        </w:rPr>
        <w:t>农副食品加工业》（</w:t>
      </w:r>
      <w:r>
        <w:rPr>
          <w:snapToGrid w:val="0"/>
          <w:kern w:val="0"/>
          <w:sz w:val="24"/>
        </w:rPr>
        <w:t>HJ986-2018</w:t>
      </w:r>
      <w:r>
        <w:rPr>
          <w:snapToGrid w:val="0"/>
          <w:kern w:val="0"/>
          <w:sz w:val="24"/>
        </w:rPr>
        <w:t>）</w:t>
      </w:r>
      <w:r>
        <w:rPr>
          <w:rFonts w:eastAsiaTheme="minorEastAsia"/>
          <w:snapToGrid w:val="0"/>
          <w:kern w:val="0"/>
          <w:sz w:val="24"/>
        </w:rPr>
        <w:t>，排污单位应掌握本单位的污染排放状况及其对周边环境质量的影响，对污染物排放、周边环境质量影响进行监测。</w:t>
      </w:r>
    </w:p>
    <w:p w14:paraId="63AD0227"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snapToGrid w:val="0"/>
          <w:kern w:val="0"/>
          <w:sz w:val="24"/>
        </w:rPr>
        <w:t>（</w:t>
      </w:r>
      <w:r>
        <w:rPr>
          <w:rFonts w:eastAsiaTheme="minorEastAsia"/>
          <w:snapToGrid w:val="0"/>
          <w:kern w:val="0"/>
          <w:sz w:val="24"/>
        </w:rPr>
        <w:t>1</w:t>
      </w:r>
      <w:r>
        <w:rPr>
          <w:rFonts w:eastAsiaTheme="minorEastAsia"/>
          <w:snapToGrid w:val="0"/>
          <w:kern w:val="0"/>
          <w:sz w:val="24"/>
        </w:rPr>
        <w:t>）污染物排放监测</w:t>
      </w:r>
    </w:p>
    <w:p w14:paraId="7F38725F"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snapToGrid w:val="0"/>
          <w:kern w:val="0"/>
          <w:sz w:val="24"/>
        </w:rPr>
        <w:t>本项目污染源监测计划见表</w:t>
      </w:r>
      <w:r>
        <w:rPr>
          <w:rFonts w:eastAsiaTheme="minorEastAsia"/>
          <w:snapToGrid w:val="0"/>
          <w:kern w:val="0"/>
          <w:sz w:val="24"/>
        </w:rPr>
        <w:t>8-2-1</w:t>
      </w:r>
      <w:r>
        <w:rPr>
          <w:rFonts w:eastAsiaTheme="minorEastAsia"/>
          <w:snapToGrid w:val="0"/>
          <w:kern w:val="0"/>
          <w:sz w:val="24"/>
        </w:rPr>
        <w:t>。企业委托有资质的监测单位进行污染源监测，并将监测报告存档。</w:t>
      </w:r>
    </w:p>
    <w:p w14:paraId="3388AF68" w14:textId="77777777" w:rsidR="00B14D53" w:rsidRDefault="00B14D53">
      <w:pPr>
        <w:spacing w:line="360" w:lineRule="auto"/>
        <w:ind w:firstLineChars="200" w:firstLine="480"/>
        <w:contextualSpacing/>
        <w:rPr>
          <w:rFonts w:eastAsiaTheme="minorEastAsia"/>
          <w:snapToGrid w:val="0"/>
          <w:kern w:val="0"/>
          <w:sz w:val="24"/>
        </w:rPr>
      </w:pPr>
    </w:p>
    <w:p w14:paraId="1DBDFD3A" w14:textId="77777777" w:rsidR="00B14D53" w:rsidRDefault="00B14D53">
      <w:pPr>
        <w:spacing w:line="360" w:lineRule="auto"/>
        <w:ind w:firstLineChars="200" w:firstLine="480"/>
        <w:contextualSpacing/>
        <w:rPr>
          <w:rFonts w:eastAsiaTheme="minorEastAsia"/>
          <w:snapToGrid w:val="0"/>
          <w:kern w:val="0"/>
          <w:sz w:val="24"/>
        </w:rPr>
        <w:sectPr w:rsidR="00B14D53">
          <w:pgSz w:w="11906" w:h="16838"/>
          <w:pgMar w:top="1440" w:right="1797" w:bottom="1440" w:left="1797" w:header="851" w:footer="992" w:gutter="0"/>
          <w:cols w:space="425"/>
          <w:docGrid w:type="linesAndChars" w:linePitch="326"/>
        </w:sectPr>
      </w:pPr>
    </w:p>
    <w:p w14:paraId="1CA868BF" w14:textId="77777777" w:rsidR="00B14D53" w:rsidRDefault="00000000">
      <w:pPr>
        <w:jc w:val="center"/>
        <w:rPr>
          <w:b/>
          <w:bCs/>
          <w:lang w:val="zh-CN"/>
        </w:rPr>
      </w:pPr>
      <w:r>
        <w:rPr>
          <w:rFonts w:hint="eastAsia"/>
          <w:b/>
          <w:bCs/>
          <w:lang w:val="zh-CN"/>
        </w:rPr>
        <w:t>表</w:t>
      </w:r>
      <w:r>
        <w:rPr>
          <w:rFonts w:hint="eastAsia"/>
          <w:b/>
          <w:bCs/>
          <w:lang w:val="zh-CN"/>
        </w:rPr>
        <w:t xml:space="preserve">8-2-1 </w:t>
      </w:r>
      <w:r>
        <w:rPr>
          <w:rFonts w:hint="eastAsia"/>
          <w:b/>
          <w:bCs/>
          <w:lang w:val="zh-CN"/>
        </w:rPr>
        <w:t>监测计划一览表</w:t>
      </w:r>
    </w:p>
    <w:tbl>
      <w:tblPr>
        <w:tblStyle w:val="afffffffff8"/>
        <w:tblW w:w="14499" w:type="dxa"/>
        <w:jc w:val="center"/>
        <w:tblLayout w:type="fixed"/>
        <w:tblLook w:val="04A0" w:firstRow="1" w:lastRow="0" w:firstColumn="1" w:lastColumn="0" w:noHBand="0" w:noVBand="1"/>
      </w:tblPr>
      <w:tblGrid>
        <w:gridCol w:w="550"/>
        <w:gridCol w:w="851"/>
        <w:gridCol w:w="1029"/>
        <w:gridCol w:w="2514"/>
        <w:gridCol w:w="1170"/>
        <w:gridCol w:w="2108"/>
        <w:gridCol w:w="696"/>
        <w:gridCol w:w="851"/>
        <w:gridCol w:w="2280"/>
        <w:gridCol w:w="2450"/>
      </w:tblGrid>
      <w:tr w:rsidR="00B14D53" w14:paraId="7E3BBAC0" w14:textId="77777777">
        <w:trPr>
          <w:trHeight w:val="458"/>
          <w:jc w:val="center"/>
        </w:trPr>
        <w:tc>
          <w:tcPr>
            <w:tcW w:w="550" w:type="dxa"/>
          </w:tcPr>
          <w:p w14:paraId="03C73697"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项目</w:t>
            </w:r>
          </w:p>
        </w:tc>
        <w:tc>
          <w:tcPr>
            <w:tcW w:w="851" w:type="dxa"/>
          </w:tcPr>
          <w:p w14:paraId="0C85F21C"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污染源</w:t>
            </w:r>
          </w:p>
        </w:tc>
        <w:tc>
          <w:tcPr>
            <w:tcW w:w="1029" w:type="dxa"/>
          </w:tcPr>
          <w:p w14:paraId="09A5D8F1"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监测指标</w:t>
            </w:r>
          </w:p>
        </w:tc>
        <w:tc>
          <w:tcPr>
            <w:tcW w:w="2514" w:type="dxa"/>
          </w:tcPr>
          <w:p w14:paraId="3A8054F1"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环境保护措施</w:t>
            </w:r>
          </w:p>
        </w:tc>
        <w:tc>
          <w:tcPr>
            <w:tcW w:w="1170" w:type="dxa"/>
          </w:tcPr>
          <w:p w14:paraId="68476EA6"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监测点位</w:t>
            </w:r>
          </w:p>
        </w:tc>
        <w:tc>
          <w:tcPr>
            <w:tcW w:w="2108" w:type="dxa"/>
          </w:tcPr>
          <w:p w14:paraId="176CD2FD"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执行标准</w:t>
            </w:r>
          </w:p>
        </w:tc>
        <w:tc>
          <w:tcPr>
            <w:tcW w:w="696" w:type="dxa"/>
          </w:tcPr>
          <w:p w14:paraId="44E6F0FA"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监测频次</w:t>
            </w:r>
          </w:p>
        </w:tc>
        <w:tc>
          <w:tcPr>
            <w:tcW w:w="851" w:type="dxa"/>
          </w:tcPr>
          <w:p w14:paraId="6AB78215"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监测</w:t>
            </w:r>
            <w:r>
              <w:rPr>
                <w:rFonts w:eastAsiaTheme="minorEastAsia" w:hint="eastAsia"/>
                <w:b/>
                <w:bCs/>
                <w:kern w:val="0"/>
                <w:szCs w:val="21"/>
                <w:lang w:val="zh-CN"/>
              </w:rPr>
              <w:t>方式</w:t>
            </w:r>
          </w:p>
        </w:tc>
        <w:tc>
          <w:tcPr>
            <w:tcW w:w="2280" w:type="dxa"/>
          </w:tcPr>
          <w:p w14:paraId="1D06429D"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采样方法</w:t>
            </w:r>
          </w:p>
        </w:tc>
        <w:tc>
          <w:tcPr>
            <w:tcW w:w="2450" w:type="dxa"/>
          </w:tcPr>
          <w:p w14:paraId="1436327E" w14:textId="77777777" w:rsidR="00B14D53" w:rsidRDefault="00000000">
            <w:pPr>
              <w:adjustRightInd/>
              <w:snapToGrid/>
              <w:jc w:val="center"/>
              <w:rPr>
                <w:rFonts w:eastAsiaTheme="minorEastAsia"/>
                <w:b/>
                <w:bCs/>
                <w:kern w:val="0"/>
                <w:szCs w:val="21"/>
                <w:lang w:val="zh-CN"/>
              </w:rPr>
            </w:pPr>
            <w:r>
              <w:rPr>
                <w:rFonts w:eastAsiaTheme="minorEastAsia"/>
                <w:b/>
                <w:bCs/>
                <w:kern w:val="0"/>
                <w:szCs w:val="21"/>
                <w:lang w:val="zh-CN"/>
              </w:rPr>
              <w:t>监测分析方法</w:t>
            </w:r>
          </w:p>
        </w:tc>
      </w:tr>
      <w:tr w:rsidR="00B14D53" w14:paraId="5DEB2B68" w14:textId="77777777">
        <w:trPr>
          <w:trHeight w:val="673"/>
          <w:jc w:val="center"/>
        </w:trPr>
        <w:tc>
          <w:tcPr>
            <w:tcW w:w="550" w:type="dxa"/>
            <w:vMerge w:val="restart"/>
          </w:tcPr>
          <w:p w14:paraId="547853AE"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废气</w:t>
            </w:r>
          </w:p>
        </w:tc>
        <w:tc>
          <w:tcPr>
            <w:tcW w:w="851" w:type="dxa"/>
            <w:vMerge w:val="restart"/>
          </w:tcPr>
          <w:p w14:paraId="272F24D6" w14:textId="77777777" w:rsidR="00B14D53" w:rsidRDefault="00000000">
            <w:pPr>
              <w:adjustRightInd/>
              <w:snapToGrid/>
              <w:rPr>
                <w:rFonts w:eastAsiaTheme="minorEastAsia"/>
                <w:kern w:val="0"/>
                <w:szCs w:val="21"/>
                <w:lang w:val="zh-CN"/>
              </w:rPr>
            </w:pPr>
            <w:r>
              <w:rPr>
                <w:kern w:val="0"/>
                <w:szCs w:val="21"/>
                <w:lang w:val="zh-CN"/>
              </w:rPr>
              <w:t>待宰</w:t>
            </w:r>
            <w:r>
              <w:rPr>
                <w:rFonts w:hint="eastAsia"/>
                <w:kern w:val="0"/>
                <w:szCs w:val="21"/>
              </w:rPr>
              <w:t>圈</w:t>
            </w:r>
            <w:r>
              <w:rPr>
                <w:kern w:val="0"/>
                <w:szCs w:val="21"/>
                <w:lang w:val="zh-CN"/>
              </w:rPr>
              <w:t>、屠宰车间、污水处理站无组织排放</w:t>
            </w:r>
          </w:p>
        </w:tc>
        <w:tc>
          <w:tcPr>
            <w:tcW w:w="1029" w:type="dxa"/>
          </w:tcPr>
          <w:p w14:paraId="56A4EB6D"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NH</w:t>
            </w:r>
            <w:r>
              <w:rPr>
                <w:rFonts w:eastAsiaTheme="minorEastAsia"/>
                <w:kern w:val="0"/>
                <w:szCs w:val="21"/>
                <w:vertAlign w:val="subscript"/>
                <w:lang w:val="zh-CN"/>
              </w:rPr>
              <w:t>3</w:t>
            </w:r>
          </w:p>
        </w:tc>
        <w:tc>
          <w:tcPr>
            <w:tcW w:w="2514" w:type="dxa"/>
            <w:vMerge w:val="restart"/>
          </w:tcPr>
          <w:p w14:paraId="0FE88B98" w14:textId="77777777" w:rsidR="00B14D53" w:rsidRDefault="00000000">
            <w:pPr>
              <w:adjustRightInd/>
              <w:snapToGrid/>
              <w:rPr>
                <w:rFonts w:eastAsiaTheme="minorEastAsia"/>
                <w:kern w:val="0"/>
                <w:szCs w:val="21"/>
                <w:lang w:val="zh-CN"/>
              </w:rPr>
            </w:pPr>
            <w:r>
              <w:rPr>
                <w:kern w:val="0"/>
                <w:szCs w:val="21"/>
              </w:rPr>
              <w:t>待宰</w:t>
            </w:r>
            <w:r>
              <w:rPr>
                <w:rFonts w:hint="eastAsia"/>
                <w:kern w:val="0"/>
                <w:szCs w:val="21"/>
              </w:rPr>
              <w:t>圈</w:t>
            </w:r>
            <w:r>
              <w:rPr>
                <w:kern w:val="0"/>
                <w:szCs w:val="21"/>
              </w:rPr>
              <w:t>及时清扫，并采取投加或喷洒除臭剂</w:t>
            </w:r>
          </w:p>
        </w:tc>
        <w:tc>
          <w:tcPr>
            <w:tcW w:w="1170" w:type="dxa"/>
            <w:vMerge w:val="restart"/>
          </w:tcPr>
          <w:p w14:paraId="673FF546" w14:textId="77777777" w:rsidR="00B14D53" w:rsidRDefault="00000000">
            <w:pPr>
              <w:adjustRightInd/>
              <w:snapToGrid/>
              <w:jc w:val="center"/>
              <w:rPr>
                <w:rFonts w:eastAsiaTheme="minorEastAsia"/>
                <w:kern w:val="0"/>
                <w:szCs w:val="21"/>
                <w:lang w:val="zh-CN"/>
              </w:rPr>
            </w:pPr>
            <w:r>
              <w:rPr>
                <w:rFonts w:eastAsiaTheme="minorEastAsia" w:hint="eastAsia"/>
                <w:kern w:val="0"/>
                <w:szCs w:val="21"/>
              </w:rPr>
              <w:t>厂</w:t>
            </w:r>
            <w:r>
              <w:rPr>
                <w:rFonts w:eastAsiaTheme="minorEastAsia" w:hint="eastAsia"/>
                <w:kern w:val="0"/>
                <w:szCs w:val="21"/>
                <w:lang w:val="zh-CN"/>
              </w:rPr>
              <w:t>界</w:t>
            </w:r>
          </w:p>
        </w:tc>
        <w:tc>
          <w:tcPr>
            <w:tcW w:w="2108" w:type="dxa"/>
            <w:vMerge w:val="restart"/>
          </w:tcPr>
          <w:p w14:paraId="1BB15AF8" w14:textId="77777777" w:rsidR="00B14D53" w:rsidRDefault="00000000">
            <w:pPr>
              <w:adjustRightInd/>
              <w:snapToGrid/>
              <w:rPr>
                <w:rFonts w:eastAsiaTheme="minorEastAsia"/>
                <w:kern w:val="0"/>
                <w:szCs w:val="21"/>
                <w:lang w:val="zh-CN"/>
              </w:rPr>
            </w:pPr>
            <w:r>
              <w:rPr>
                <w:rFonts w:eastAsiaTheme="minorEastAsia"/>
                <w:kern w:val="0"/>
                <w:szCs w:val="21"/>
                <w:lang w:val="zh-CN"/>
              </w:rPr>
              <w:t>《恶臭污染物排放标准》（</w:t>
            </w:r>
            <w:r>
              <w:rPr>
                <w:rFonts w:eastAsiaTheme="minorEastAsia"/>
                <w:kern w:val="0"/>
                <w:szCs w:val="21"/>
                <w:lang w:val="zh-CN"/>
              </w:rPr>
              <w:t>GB14554-93</w:t>
            </w:r>
            <w:r>
              <w:rPr>
                <w:rFonts w:eastAsiaTheme="minorEastAsia"/>
                <w:kern w:val="0"/>
                <w:szCs w:val="21"/>
                <w:lang w:val="zh-CN"/>
              </w:rPr>
              <w:t>）表</w:t>
            </w:r>
            <w:r>
              <w:rPr>
                <w:rFonts w:eastAsiaTheme="minorEastAsia"/>
                <w:kern w:val="0"/>
                <w:szCs w:val="21"/>
                <w:lang w:val="zh-CN"/>
              </w:rPr>
              <w:t>1</w:t>
            </w:r>
            <w:r>
              <w:rPr>
                <w:rFonts w:eastAsiaTheme="minorEastAsia"/>
                <w:kern w:val="0"/>
                <w:szCs w:val="21"/>
                <w:lang w:val="zh-CN"/>
              </w:rPr>
              <w:t>中二级新改扩建标准</w:t>
            </w:r>
          </w:p>
        </w:tc>
        <w:tc>
          <w:tcPr>
            <w:tcW w:w="696" w:type="dxa"/>
            <w:vMerge w:val="restart"/>
          </w:tcPr>
          <w:p w14:paraId="7DFB9C14"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hint="eastAsia"/>
                <w:kern w:val="0"/>
                <w:szCs w:val="21"/>
                <w:lang w:val="zh-CN"/>
              </w:rPr>
              <w:t>半</w:t>
            </w:r>
            <w:r>
              <w:rPr>
                <w:rFonts w:eastAsiaTheme="minorEastAsia"/>
                <w:kern w:val="0"/>
                <w:szCs w:val="21"/>
                <w:lang w:val="zh-CN"/>
              </w:rPr>
              <w:t>年</w:t>
            </w:r>
          </w:p>
        </w:tc>
        <w:tc>
          <w:tcPr>
            <w:tcW w:w="851" w:type="dxa"/>
            <w:vMerge w:val="restart"/>
          </w:tcPr>
          <w:p w14:paraId="389FB01D"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手工监测</w:t>
            </w:r>
          </w:p>
        </w:tc>
        <w:tc>
          <w:tcPr>
            <w:tcW w:w="2280" w:type="dxa"/>
            <w:vMerge w:val="restart"/>
          </w:tcPr>
          <w:p w14:paraId="61342452" w14:textId="77777777" w:rsidR="00B14D53" w:rsidRDefault="00000000">
            <w:pPr>
              <w:adjustRightInd/>
              <w:snapToGrid/>
              <w:rPr>
                <w:rFonts w:eastAsiaTheme="minorEastAsia"/>
                <w:kern w:val="0"/>
                <w:szCs w:val="21"/>
                <w:lang w:val="zh-CN"/>
              </w:rPr>
            </w:pPr>
            <w:r>
              <w:rPr>
                <w:rFonts w:eastAsiaTheme="minorEastAsia"/>
                <w:kern w:val="0"/>
                <w:szCs w:val="21"/>
                <w:lang w:val="zh-CN"/>
              </w:rPr>
              <w:t>参照《恶臭污染物排放标准》</w:t>
            </w:r>
            <w:r>
              <w:rPr>
                <w:rFonts w:eastAsiaTheme="minorEastAsia"/>
                <w:kern w:val="0"/>
                <w:szCs w:val="21"/>
                <w:lang w:val="zh-CN"/>
              </w:rPr>
              <w:t>(GB14554-93)</w:t>
            </w:r>
            <w:r>
              <w:rPr>
                <w:rFonts w:eastAsiaTheme="minorEastAsia"/>
                <w:kern w:val="0"/>
                <w:szCs w:val="21"/>
                <w:lang w:val="zh-CN"/>
              </w:rPr>
              <w:t>及</w:t>
            </w:r>
            <w:r>
              <w:rPr>
                <w:rFonts w:eastAsiaTheme="minorEastAsia"/>
                <w:kern w:val="0"/>
                <w:szCs w:val="21"/>
                <w:lang w:val="zh-CN"/>
              </w:rPr>
              <w:t>GB/T16157</w:t>
            </w:r>
            <w:r>
              <w:rPr>
                <w:rFonts w:eastAsiaTheme="minorEastAsia"/>
                <w:kern w:val="0"/>
                <w:szCs w:val="21"/>
                <w:lang w:val="zh-CN"/>
              </w:rPr>
              <w:t>、</w:t>
            </w:r>
            <w:r>
              <w:rPr>
                <w:rFonts w:eastAsiaTheme="minorEastAsia"/>
                <w:kern w:val="0"/>
                <w:szCs w:val="21"/>
                <w:lang w:val="zh-CN"/>
              </w:rPr>
              <w:t>HJ/T397</w:t>
            </w:r>
            <w:r>
              <w:rPr>
                <w:rFonts w:eastAsiaTheme="minorEastAsia"/>
                <w:kern w:val="0"/>
                <w:szCs w:val="21"/>
                <w:lang w:val="zh-CN"/>
              </w:rPr>
              <w:t>等执行</w:t>
            </w:r>
          </w:p>
        </w:tc>
        <w:tc>
          <w:tcPr>
            <w:tcW w:w="2450" w:type="dxa"/>
          </w:tcPr>
          <w:p w14:paraId="28624B30"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氨的测定</w:t>
            </w:r>
            <w:r>
              <w:rPr>
                <w:rFonts w:hint="eastAsia"/>
              </w:rPr>
              <w:t xml:space="preserve"> </w:t>
            </w:r>
            <w:r>
              <w:rPr>
                <w:rFonts w:hint="eastAsia"/>
              </w:rPr>
              <w:t>纳氏试剂分光光度法》（</w:t>
            </w:r>
            <w:r>
              <w:rPr>
                <w:rFonts w:hint="eastAsia"/>
              </w:rPr>
              <w:t>HJ533-2009</w:t>
            </w:r>
            <w:r>
              <w:rPr>
                <w:rFonts w:hint="eastAsia"/>
              </w:rPr>
              <w:t>）</w:t>
            </w:r>
          </w:p>
        </w:tc>
      </w:tr>
      <w:tr w:rsidR="00B14D53" w14:paraId="4F2385E6" w14:textId="77777777">
        <w:trPr>
          <w:trHeight w:val="551"/>
          <w:jc w:val="center"/>
        </w:trPr>
        <w:tc>
          <w:tcPr>
            <w:tcW w:w="550" w:type="dxa"/>
            <w:vMerge/>
          </w:tcPr>
          <w:p w14:paraId="21ED0CC0" w14:textId="77777777" w:rsidR="00B14D53" w:rsidRDefault="00B14D53">
            <w:pPr>
              <w:adjustRightInd/>
              <w:snapToGrid/>
              <w:rPr>
                <w:rFonts w:eastAsiaTheme="minorEastAsia"/>
                <w:kern w:val="0"/>
                <w:szCs w:val="21"/>
                <w:lang w:val="zh-CN"/>
              </w:rPr>
            </w:pPr>
          </w:p>
        </w:tc>
        <w:tc>
          <w:tcPr>
            <w:tcW w:w="851" w:type="dxa"/>
            <w:vMerge/>
          </w:tcPr>
          <w:p w14:paraId="1E0EDEAB" w14:textId="77777777" w:rsidR="00B14D53" w:rsidRDefault="00B14D53">
            <w:pPr>
              <w:adjustRightInd/>
              <w:snapToGrid/>
              <w:rPr>
                <w:rFonts w:eastAsiaTheme="minorEastAsia"/>
                <w:kern w:val="0"/>
                <w:szCs w:val="21"/>
                <w:lang w:val="zh-CN"/>
              </w:rPr>
            </w:pPr>
          </w:p>
        </w:tc>
        <w:tc>
          <w:tcPr>
            <w:tcW w:w="1029" w:type="dxa"/>
          </w:tcPr>
          <w:p w14:paraId="3B811373"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H</w:t>
            </w:r>
            <w:r>
              <w:rPr>
                <w:rFonts w:eastAsiaTheme="minorEastAsia"/>
                <w:kern w:val="0"/>
                <w:szCs w:val="21"/>
                <w:vertAlign w:val="subscript"/>
                <w:lang w:val="zh-CN"/>
              </w:rPr>
              <w:t>2</w:t>
            </w:r>
            <w:r>
              <w:rPr>
                <w:rFonts w:eastAsiaTheme="minorEastAsia"/>
                <w:kern w:val="0"/>
                <w:szCs w:val="21"/>
                <w:lang w:val="zh-CN"/>
              </w:rPr>
              <w:t>S</w:t>
            </w:r>
          </w:p>
        </w:tc>
        <w:tc>
          <w:tcPr>
            <w:tcW w:w="2514" w:type="dxa"/>
            <w:vMerge/>
          </w:tcPr>
          <w:p w14:paraId="61D3E7A2" w14:textId="77777777" w:rsidR="00B14D53" w:rsidRDefault="00B14D53">
            <w:pPr>
              <w:adjustRightInd/>
              <w:snapToGrid/>
              <w:rPr>
                <w:rFonts w:eastAsiaTheme="minorEastAsia"/>
                <w:kern w:val="0"/>
                <w:szCs w:val="21"/>
                <w:lang w:val="zh-CN"/>
              </w:rPr>
            </w:pPr>
          </w:p>
        </w:tc>
        <w:tc>
          <w:tcPr>
            <w:tcW w:w="1170" w:type="dxa"/>
            <w:vMerge/>
          </w:tcPr>
          <w:p w14:paraId="196A2F49" w14:textId="77777777" w:rsidR="00B14D53" w:rsidRDefault="00B14D53">
            <w:pPr>
              <w:adjustRightInd/>
              <w:snapToGrid/>
              <w:rPr>
                <w:rFonts w:eastAsiaTheme="minorEastAsia"/>
                <w:kern w:val="0"/>
                <w:szCs w:val="21"/>
                <w:lang w:val="zh-CN"/>
              </w:rPr>
            </w:pPr>
          </w:p>
        </w:tc>
        <w:tc>
          <w:tcPr>
            <w:tcW w:w="2108" w:type="dxa"/>
            <w:vMerge/>
          </w:tcPr>
          <w:p w14:paraId="19A4B98C" w14:textId="77777777" w:rsidR="00B14D53" w:rsidRDefault="00B14D53">
            <w:pPr>
              <w:adjustRightInd/>
              <w:snapToGrid/>
              <w:rPr>
                <w:rFonts w:eastAsiaTheme="minorEastAsia"/>
                <w:kern w:val="0"/>
                <w:szCs w:val="21"/>
                <w:lang w:val="zh-CN"/>
              </w:rPr>
            </w:pPr>
          </w:p>
        </w:tc>
        <w:tc>
          <w:tcPr>
            <w:tcW w:w="696" w:type="dxa"/>
            <w:vMerge/>
          </w:tcPr>
          <w:p w14:paraId="5F6EE1E9" w14:textId="77777777" w:rsidR="00B14D53" w:rsidRDefault="00B14D53">
            <w:pPr>
              <w:adjustRightInd/>
              <w:snapToGrid/>
              <w:jc w:val="center"/>
              <w:rPr>
                <w:rFonts w:eastAsiaTheme="minorEastAsia"/>
                <w:kern w:val="0"/>
                <w:szCs w:val="21"/>
                <w:lang w:val="zh-CN"/>
              </w:rPr>
            </w:pPr>
          </w:p>
        </w:tc>
        <w:tc>
          <w:tcPr>
            <w:tcW w:w="851" w:type="dxa"/>
            <w:vMerge/>
          </w:tcPr>
          <w:p w14:paraId="3BDD8E5F" w14:textId="77777777" w:rsidR="00B14D53" w:rsidRDefault="00B14D53">
            <w:pPr>
              <w:adjustRightInd/>
              <w:snapToGrid/>
              <w:jc w:val="center"/>
              <w:rPr>
                <w:rFonts w:eastAsiaTheme="minorEastAsia"/>
                <w:kern w:val="0"/>
                <w:szCs w:val="21"/>
                <w:lang w:val="zh-CN"/>
              </w:rPr>
            </w:pPr>
          </w:p>
        </w:tc>
        <w:tc>
          <w:tcPr>
            <w:tcW w:w="2280" w:type="dxa"/>
            <w:vMerge/>
          </w:tcPr>
          <w:p w14:paraId="3DABAD7A" w14:textId="77777777" w:rsidR="00B14D53" w:rsidRDefault="00B14D53">
            <w:pPr>
              <w:adjustRightInd/>
              <w:snapToGrid/>
              <w:rPr>
                <w:rFonts w:eastAsiaTheme="minorEastAsia"/>
                <w:kern w:val="0"/>
                <w:szCs w:val="21"/>
                <w:lang w:val="zh-CN"/>
              </w:rPr>
            </w:pPr>
          </w:p>
        </w:tc>
        <w:tc>
          <w:tcPr>
            <w:tcW w:w="2450" w:type="dxa"/>
          </w:tcPr>
          <w:p w14:paraId="7E2AE86C" w14:textId="77777777" w:rsidR="00B14D53" w:rsidRDefault="00000000">
            <w:pPr>
              <w:adjustRightInd/>
              <w:snapToGrid/>
              <w:rPr>
                <w:rFonts w:eastAsiaTheme="minorEastAsia"/>
                <w:kern w:val="0"/>
                <w:szCs w:val="21"/>
                <w:lang w:val="zh-CN"/>
              </w:rPr>
            </w:pPr>
            <w:r>
              <w:rPr>
                <w:color w:val="000000"/>
              </w:rPr>
              <w:t>空气质量监测</w:t>
            </w:r>
            <w:r>
              <w:rPr>
                <w:color w:val="000000"/>
              </w:rPr>
              <w:t xml:space="preserve"> </w:t>
            </w:r>
            <w:r>
              <w:rPr>
                <w:color w:val="000000"/>
              </w:rPr>
              <w:t>硫化氢</w:t>
            </w:r>
            <w:r>
              <w:rPr>
                <w:color w:val="000000"/>
              </w:rPr>
              <w:t xml:space="preserve"> </w:t>
            </w:r>
            <w:r>
              <w:rPr>
                <w:color w:val="000000"/>
              </w:rPr>
              <w:t>亚甲基蓝分光光度法《空气和废气监测分析方法》</w:t>
            </w:r>
            <w:r>
              <w:rPr>
                <w:color w:val="000000"/>
              </w:rPr>
              <w:t>(</w:t>
            </w:r>
            <w:r>
              <w:rPr>
                <w:color w:val="000000"/>
              </w:rPr>
              <w:t>第四版</w:t>
            </w:r>
            <w:r>
              <w:rPr>
                <w:color w:val="000000"/>
              </w:rPr>
              <w:t>)</w:t>
            </w:r>
            <w:r>
              <w:rPr>
                <w:color w:val="000000"/>
              </w:rPr>
              <w:t>国家环境保护总局（</w:t>
            </w:r>
            <w:r>
              <w:rPr>
                <w:color w:val="000000"/>
              </w:rPr>
              <w:t>2003</w:t>
            </w:r>
            <w:r>
              <w:rPr>
                <w:color w:val="000000"/>
              </w:rPr>
              <w:t>年）</w:t>
            </w:r>
          </w:p>
        </w:tc>
      </w:tr>
      <w:tr w:rsidR="00B14D53" w14:paraId="08EBF4C6" w14:textId="77777777">
        <w:trPr>
          <w:trHeight w:val="90"/>
          <w:jc w:val="center"/>
        </w:trPr>
        <w:tc>
          <w:tcPr>
            <w:tcW w:w="550" w:type="dxa"/>
            <w:vMerge/>
          </w:tcPr>
          <w:p w14:paraId="20D49C67" w14:textId="77777777" w:rsidR="00B14D53" w:rsidRDefault="00B14D53">
            <w:pPr>
              <w:adjustRightInd/>
              <w:snapToGrid/>
              <w:rPr>
                <w:rFonts w:eastAsiaTheme="minorEastAsia"/>
                <w:kern w:val="0"/>
                <w:szCs w:val="21"/>
                <w:lang w:val="zh-CN"/>
              </w:rPr>
            </w:pPr>
          </w:p>
        </w:tc>
        <w:tc>
          <w:tcPr>
            <w:tcW w:w="851" w:type="dxa"/>
            <w:vMerge/>
          </w:tcPr>
          <w:p w14:paraId="1780D8B6" w14:textId="77777777" w:rsidR="00B14D53" w:rsidRDefault="00B14D53">
            <w:pPr>
              <w:adjustRightInd/>
              <w:snapToGrid/>
              <w:rPr>
                <w:rFonts w:eastAsiaTheme="minorEastAsia"/>
                <w:kern w:val="0"/>
                <w:szCs w:val="21"/>
                <w:lang w:val="zh-CN"/>
              </w:rPr>
            </w:pPr>
          </w:p>
        </w:tc>
        <w:tc>
          <w:tcPr>
            <w:tcW w:w="1029" w:type="dxa"/>
            <w:tcBorders>
              <w:top w:val="single" w:sz="4" w:space="0" w:color="auto"/>
            </w:tcBorders>
          </w:tcPr>
          <w:p w14:paraId="450687EC"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臭气浓度</w:t>
            </w:r>
          </w:p>
        </w:tc>
        <w:tc>
          <w:tcPr>
            <w:tcW w:w="2514" w:type="dxa"/>
            <w:vMerge/>
          </w:tcPr>
          <w:p w14:paraId="26993F5A" w14:textId="77777777" w:rsidR="00B14D53" w:rsidRDefault="00B14D53">
            <w:pPr>
              <w:adjustRightInd/>
              <w:snapToGrid/>
              <w:rPr>
                <w:rFonts w:eastAsiaTheme="minorEastAsia"/>
                <w:kern w:val="0"/>
                <w:szCs w:val="21"/>
                <w:lang w:val="zh-CN"/>
              </w:rPr>
            </w:pPr>
          </w:p>
        </w:tc>
        <w:tc>
          <w:tcPr>
            <w:tcW w:w="1170" w:type="dxa"/>
            <w:vMerge/>
          </w:tcPr>
          <w:p w14:paraId="602038A2" w14:textId="77777777" w:rsidR="00B14D53" w:rsidRDefault="00B14D53">
            <w:pPr>
              <w:adjustRightInd/>
              <w:snapToGrid/>
              <w:rPr>
                <w:rFonts w:eastAsiaTheme="minorEastAsia"/>
                <w:kern w:val="0"/>
                <w:szCs w:val="21"/>
                <w:lang w:val="zh-CN"/>
              </w:rPr>
            </w:pPr>
          </w:p>
        </w:tc>
        <w:tc>
          <w:tcPr>
            <w:tcW w:w="2108" w:type="dxa"/>
            <w:vMerge/>
          </w:tcPr>
          <w:p w14:paraId="4F298FFE" w14:textId="77777777" w:rsidR="00B14D53" w:rsidRDefault="00B14D53">
            <w:pPr>
              <w:adjustRightInd/>
              <w:snapToGrid/>
              <w:rPr>
                <w:rFonts w:eastAsiaTheme="minorEastAsia"/>
                <w:kern w:val="0"/>
                <w:szCs w:val="21"/>
                <w:lang w:val="zh-CN"/>
              </w:rPr>
            </w:pPr>
          </w:p>
        </w:tc>
        <w:tc>
          <w:tcPr>
            <w:tcW w:w="696" w:type="dxa"/>
            <w:vMerge/>
          </w:tcPr>
          <w:p w14:paraId="0885E7C2" w14:textId="77777777" w:rsidR="00B14D53" w:rsidRDefault="00B14D53">
            <w:pPr>
              <w:adjustRightInd/>
              <w:snapToGrid/>
              <w:jc w:val="center"/>
              <w:rPr>
                <w:rFonts w:eastAsiaTheme="minorEastAsia"/>
                <w:kern w:val="0"/>
                <w:szCs w:val="21"/>
                <w:lang w:val="zh-CN"/>
              </w:rPr>
            </w:pPr>
          </w:p>
        </w:tc>
        <w:tc>
          <w:tcPr>
            <w:tcW w:w="851" w:type="dxa"/>
            <w:vMerge/>
          </w:tcPr>
          <w:p w14:paraId="1418A0D9" w14:textId="77777777" w:rsidR="00B14D53" w:rsidRDefault="00B14D53">
            <w:pPr>
              <w:adjustRightInd/>
              <w:snapToGrid/>
              <w:jc w:val="center"/>
              <w:rPr>
                <w:rFonts w:eastAsiaTheme="minorEastAsia"/>
                <w:kern w:val="0"/>
                <w:szCs w:val="21"/>
                <w:lang w:val="zh-CN"/>
              </w:rPr>
            </w:pPr>
          </w:p>
        </w:tc>
        <w:tc>
          <w:tcPr>
            <w:tcW w:w="2280" w:type="dxa"/>
            <w:vMerge/>
          </w:tcPr>
          <w:p w14:paraId="0FDF4E1F" w14:textId="77777777" w:rsidR="00B14D53" w:rsidRDefault="00B14D53">
            <w:pPr>
              <w:adjustRightInd/>
              <w:snapToGrid/>
              <w:rPr>
                <w:rFonts w:eastAsiaTheme="minorEastAsia"/>
                <w:kern w:val="0"/>
                <w:szCs w:val="21"/>
                <w:lang w:val="zh-CN"/>
              </w:rPr>
            </w:pPr>
          </w:p>
        </w:tc>
        <w:tc>
          <w:tcPr>
            <w:tcW w:w="2450" w:type="dxa"/>
          </w:tcPr>
          <w:p w14:paraId="04C4B1F7"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臭气的测定</w:t>
            </w:r>
            <w:r>
              <w:rPr>
                <w:rFonts w:hint="eastAsia"/>
              </w:rPr>
              <w:t xml:space="preserve"> </w:t>
            </w:r>
            <w:r>
              <w:rPr>
                <w:rFonts w:hint="eastAsia"/>
              </w:rPr>
              <w:t>三点比较式臭袋法》（</w:t>
            </w:r>
            <w:r>
              <w:rPr>
                <w:rFonts w:hint="eastAsia"/>
              </w:rPr>
              <w:t>HJ1262-2022</w:t>
            </w:r>
            <w:r>
              <w:rPr>
                <w:rFonts w:hint="eastAsia"/>
              </w:rPr>
              <w:t>）</w:t>
            </w:r>
          </w:p>
        </w:tc>
      </w:tr>
      <w:tr w:rsidR="00B14D53" w14:paraId="52BA2CD9" w14:textId="77777777">
        <w:trPr>
          <w:trHeight w:val="90"/>
          <w:jc w:val="center"/>
        </w:trPr>
        <w:tc>
          <w:tcPr>
            <w:tcW w:w="550" w:type="dxa"/>
            <w:vMerge/>
          </w:tcPr>
          <w:p w14:paraId="5F1A1191" w14:textId="77777777" w:rsidR="00B14D53" w:rsidRDefault="00B14D53">
            <w:pPr>
              <w:adjustRightInd/>
              <w:snapToGrid/>
              <w:rPr>
                <w:rFonts w:eastAsiaTheme="minorEastAsia"/>
                <w:kern w:val="0"/>
                <w:szCs w:val="21"/>
                <w:lang w:val="zh-CN"/>
              </w:rPr>
            </w:pPr>
          </w:p>
        </w:tc>
        <w:tc>
          <w:tcPr>
            <w:tcW w:w="851" w:type="dxa"/>
            <w:vMerge w:val="restart"/>
          </w:tcPr>
          <w:p w14:paraId="0620C604" w14:textId="77777777" w:rsidR="00B14D53" w:rsidRDefault="00000000">
            <w:pPr>
              <w:adjustRightInd/>
              <w:snapToGrid/>
              <w:contextualSpacing/>
              <w:jc w:val="center"/>
              <w:rPr>
                <w:rFonts w:eastAsiaTheme="minorEastAsia"/>
                <w:kern w:val="0"/>
                <w:szCs w:val="21"/>
                <w:lang w:val="zh-CN"/>
              </w:rPr>
            </w:pPr>
            <w:r>
              <w:rPr>
                <w:rFonts w:hint="eastAsia"/>
                <w:kern w:val="0"/>
                <w:szCs w:val="21"/>
              </w:rPr>
              <w:t>1#</w:t>
            </w:r>
            <w:r>
              <w:rPr>
                <w:rFonts w:hint="eastAsia"/>
                <w:kern w:val="0"/>
                <w:szCs w:val="21"/>
                <w:lang w:val="zh-CN"/>
              </w:rPr>
              <w:t>待宰圈</w:t>
            </w:r>
          </w:p>
        </w:tc>
        <w:tc>
          <w:tcPr>
            <w:tcW w:w="1029" w:type="dxa"/>
            <w:tcBorders>
              <w:top w:val="single" w:sz="4" w:space="0" w:color="auto"/>
            </w:tcBorders>
          </w:tcPr>
          <w:p w14:paraId="32592EDE" w14:textId="77777777" w:rsidR="00B14D53" w:rsidRDefault="00000000">
            <w:pPr>
              <w:adjustRightInd/>
              <w:snapToGrid/>
              <w:jc w:val="center"/>
              <w:rPr>
                <w:kern w:val="0"/>
                <w:szCs w:val="21"/>
                <w:lang w:val="zh-CN"/>
              </w:rPr>
            </w:pPr>
            <w:r>
              <w:rPr>
                <w:rFonts w:eastAsiaTheme="minorEastAsia"/>
                <w:kern w:val="0"/>
                <w:szCs w:val="21"/>
                <w:lang w:val="zh-CN"/>
              </w:rPr>
              <w:t>NH</w:t>
            </w:r>
            <w:r>
              <w:rPr>
                <w:rFonts w:eastAsiaTheme="minorEastAsia"/>
                <w:kern w:val="0"/>
                <w:szCs w:val="21"/>
                <w:vertAlign w:val="subscript"/>
                <w:lang w:val="zh-CN"/>
              </w:rPr>
              <w:t>3</w:t>
            </w:r>
          </w:p>
        </w:tc>
        <w:tc>
          <w:tcPr>
            <w:tcW w:w="2514" w:type="dxa"/>
            <w:vMerge w:val="restart"/>
          </w:tcPr>
          <w:p w14:paraId="2267C2F5" w14:textId="77777777" w:rsidR="00B14D53" w:rsidRDefault="00000000">
            <w:pPr>
              <w:adjustRightInd/>
              <w:snapToGrid/>
              <w:rPr>
                <w:rFonts w:eastAsiaTheme="minorEastAsia"/>
                <w:kern w:val="0"/>
                <w:szCs w:val="21"/>
                <w:lang w:val="zh-CN"/>
              </w:rPr>
            </w:pPr>
            <w:r>
              <w:rPr>
                <w:rFonts w:hint="eastAsia"/>
                <w:kern w:val="0"/>
                <w:szCs w:val="21"/>
              </w:rPr>
              <w:t>待宰圈</w:t>
            </w:r>
            <w:r>
              <w:rPr>
                <w:kern w:val="0"/>
                <w:szCs w:val="21"/>
              </w:rPr>
              <w:t>封闭，</w:t>
            </w:r>
            <w:r>
              <w:rPr>
                <w:bCs/>
                <w:kern w:val="0"/>
                <w:szCs w:val="21"/>
              </w:rPr>
              <w:t>及时清扫，并投加或喷洒除臭剂，产生的恶臭气体经</w:t>
            </w:r>
            <w:r>
              <w:rPr>
                <w:rFonts w:hint="eastAsia"/>
                <w:bCs/>
                <w:kern w:val="0"/>
                <w:szCs w:val="21"/>
              </w:rPr>
              <w:t>引风机集中收集</w:t>
            </w:r>
            <w:r>
              <w:rPr>
                <w:bCs/>
                <w:kern w:val="0"/>
                <w:szCs w:val="21"/>
              </w:rPr>
              <w:t>后，通过活性炭吸附净化后由</w:t>
            </w:r>
            <w:r>
              <w:rPr>
                <w:rFonts w:hint="eastAsia"/>
                <w:bCs/>
                <w:kern w:val="0"/>
                <w:szCs w:val="21"/>
              </w:rPr>
              <w:t>1</w:t>
            </w:r>
            <w:r>
              <w:rPr>
                <w:rFonts w:hint="eastAsia"/>
                <w:bCs/>
                <w:kern w:val="0"/>
                <w:szCs w:val="21"/>
              </w:rPr>
              <w:t>根</w:t>
            </w:r>
            <w:r>
              <w:rPr>
                <w:bCs/>
                <w:kern w:val="0"/>
                <w:szCs w:val="21"/>
              </w:rPr>
              <w:t>15m</w:t>
            </w:r>
            <w:r>
              <w:rPr>
                <w:bCs/>
                <w:kern w:val="0"/>
                <w:szCs w:val="21"/>
              </w:rPr>
              <w:t>高排气筒（</w:t>
            </w:r>
            <w:r>
              <w:rPr>
                <w:bCs/>
                <w:kern w:val="0"/>
                <w:szCs w:val="21"/>
              </w:rPr>
              <w:t>DA00</w:t>
            </w:r>
            <w:r>
              <w:rPr>
                <w:rFonts w:hint="eastAsia"/>
                <w:bCs/>
                <w:kern w:val="0"/>
                <w:szCs w:val="21"/>
              </w:rPr>
              <w:t>1</w:t>
            </w:r>
            <w:r>
              <w:rPr>
                <w:bCs/>
                <w:kern w:val="0"/>
                <w:szCs w:val="21"/>
              </w:rPr>
              <w:t>）排放</w:t>
            </w:r>
          </w:p>
        </w:tc>
        <w:tc>
          <w:tcPr>
            <w:tcW w:w="1170" w:type="dxa"/>
            <w:vMerge w:val="restart"/>
          </w:tcPr>
          <w:p w14:paraId="01AEEF59" w14:textId="77777777" w:rsidR="00B14D53" w:rsidRDefault="00000000">
            <w:pPr>
              <w:adjustRightInd/>
              <w:snapToGrid/>
              <w:rPr>
                <w:rFonts w:eastAsiaTheme="minorEastAsia"/>
                <w:kern w:val="0"/>
                <w:szCs w:val="21"/>
                <w:lang w:val="zh-CN"/>
              </w:rPr>
            </w:pPr>
            <w:r>
              <w:rPr>
                <w:bCs/>
                <w:kern w:val="0"/>
                <w:szCs w:val="21"/>
              </w:rPr>
              <w:t>排气筒（</w:t>
            </w:r>
            <w:r>
              <w:rPr>
                <w:bCs/>
                <w:kern w:val="0"/>
                <w:szCs w:val="21"/>
              </w:rPr>
              <w:t>DA00</w:t>
            </w:r>
            <w:r>
              <w:rPr>
                <w:rFonts w:hint="eastAsia"/>
                <w:bCs/>
                <w:kern w:val="0"/>
                <w:szCs w:val="21"/>
              </w:rPr>
              <w:t>1</w:t>
            </w:r>
            <w:r>
              <w:rPr>
                <w:bCs/>
                <w:kern w:val="0"/>
                <w:szCs w:val="21"/>
              </w:rPr>
              <w:t>）</w:t>
            </w:r>
          </w:p>
        </w:tc>
        <w:tc>
          <w:tcPr>
            <w:tcW w:w="2108" w:type="dxa"/>
            <w:vMerge w:val="restart"/>
          </w:tcPr>
          <w:p w14:paraId="2F20E19B" w14:textId="77777777" w:rsidR="00B14D53" w:rsidRDefault="00000000">
            <w:pPr>
              <w:adjustRightInd/>
              <w:snapToGrid/>
              <w:rPr>
                <w:rFonts w:eastAsiaTheme="minorEastAsia"/>
                <w:kern w:val="0"/>
                <w:szCs w:val="21"/>
                <w:lang w:val="zh-CN"/>
              </w:rPr>
            </w:pPr>
            <w:r>
              <w:rPr>
                <w:kern w:val="0"/>
              </w:rPr>
              <w:t>满足《恶臭污染物排放标准》（</w:t>
            </w:r>
            <w:r>
              <w:rPr>
                <w:kern w:val="0"/>
              </w:rPr>
              <w:t>GB14554-93</w:t>
            </w:r>
            <w:r>
              <w:rPr>
                <w:kern w:val="0"/>
              </w:rPr>
              <w:t>）表</w:t>
            </w:r>
            <w:r>
              <w:rPr>
                <w:kern w:val="0"/>
              </w:rPr>
              <w:t>2</w:t>
            </w:r>
            <w:r>
              <w:rPr>
                <w:kern w:val="0"/>
              </w:rPr>
              <w:t>标准要求</w:t>
            </w:r>
          </w:p>
        </w:tc>
        <w:tc>
          <w:tcPr>
            <w:tcW w:w="696" w:type="dxa"/>
            <w:vMerge w:val="restart"/>
          </w:tcPr>
          <w:p w14:paraId="1B7BBA99"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kern w:val="0"/>
                <w:szCs w:val="21"/>
                <w:lang w:val="zh-CN"/>
              </w:rPr>
              <w:t>年</w:t>
            </w:r>
          </w:p>
        </w:tc>
        <w:tc>
          <w:tcPr>
            <w:tcW w:w="851" w:type="dxa"/>
            <w:vMerge w:val="restart"/>
          </w:tcPr>
          <w:p w14:paraId="74B24E67"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手工监测</w:t>
            </w:r>
          </w:p>
        </w:tc>
        <w:tc>
          <w:tcPr>
            <w:tcW w:w="2280" w:type="dxa"/>
            <w:vMerge w:val="restart"/>
          </w:tcPr>
          <w:p w14:paraId="7776C8EA" w14:textId="77777777" w:rsidR="00B14D53" w:rsidRDefault="00000000">
            <w:pPr>
              <w:adjustRightInd/>
              <w:snapToGrid/>
              <w:rPr>
                <w:rFonts w:eastAsiaTheme="minorEastAsia"/>
                <w:kern w:val="0"/>
                <w:szCs w:val="21"/>
                <w:lang w:val="zh-CN"/>
              </w:rPr>
            </w:pPr>
            <w:r>
              <w:rPr>
                <w:rFonts w:eastAsiaTheme="minorEastAsia"/>
                <w:kern w:val="0"/>
                <w:szCs w:val="21"/>
                <w:lang w:val="zh-CN"/>
              </w:rPr>
              <w:t>参照《恶臭污染物排放标准》</w:t>
            </w:r>
            <w:r>
              <w:rPr>
                <w:rFonts w:eastAsiaTheme="minorEastAsia"/>
                <w:kern w:val="0"/>
                <w:szCs w:val="21"/>
                <w:lang w:val="zh-CN"/>
              </w:rPr>
              <w:t>(GB14554-93)</w:t>
            </w:r>
            <w:r>
              <w:rPr>
                <w:rFonts w:eastAsiaTheme="minorEastAsia"/>
                <w:kern w:val="0"/>
                <w:szCs w:val="21"/>
                <w:lang w:val="zh-CN"/>
              </w:rPr>
              <w:t>及</w:t>
            </w:r>
            <w:r>
              <w:rPr>
                <w:rFonts w:eastAsiaTheme="minorEastAsia"/>
                <w:kern w:val="0"/>
                <w:szCs w:val="21"/>
                <w:lang w:val="zh-CN"/>
              </w:rPr>
              <w:t>GB/T16157</w:t>
            </w:r>
            <w:r>
              <w:rPr>
                <w:rFonts w:eastAsiaTheme="minorEastAsia"/>
                <w:kern w:val="0"/>
                <w:szCs w:val="21"/>
                <w:lang w:val="zh-CN"/>
              </w:rPr>
              <w:t>、</w:t>
            </w:r>
            <w:r>
              <w:rPr>
                <w:rFonts w:eastAsiaTheme="minorEastAsia"/>
                <w:kern w:val="0"/>
                <w:szCs w:val="21"/>
                <w:lang w:val="zh-CN"/>
              </w:rPr>
              <w:t>HJ/T397</w:t>
            </w:r>
            <w:r>
              <w:rPr>
                <w:rFonts w:eastAsiaTheme="minorEastAsia"/>
                <w:kern w:val="0"/>
                <w:szCs w:val="21"/>
                <w:lang w:val="zh-CN"/>
              </w:rPr>
              <w:t>等执行</w:t>
            </w:r>
          </w:p>
        </w:tc>
        <w:tc>
          <w:tcPr>
            <w:tcW w:w="2450" w:type="dxa"/>
          </w:tcPr>
          <w:p w14:paraId="2306B0D2"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氨的测定</w:t>
            </w:r>
            <w:r>
              <w:rPr>
                <w:rFonts w:hint="eastAsia"/>
              </w:rPr>
              <w:t xml:space="preserve"> </w:t>
            </w:r>
            <w:r>
              <w:rPr>
                <w:rFonts w:hint="eastAsia"/>
              </w:rPr>
              <w:t>纳氏试剂分光光度法》（</w:t>
            </w:r>
            <w:r>
              <w:rPr>
                <w:rFonts w:hint="eastAsia"/>
              </w:rPr>
              <w:t>HJ533-2009</w:t>
            </w:r>
            <w:r>
              <w:rPr>
                <w:rFonts w:hint="eastAsia"/>
              </w:rPr>
              <w:t>）</w:t>
            </w:r>
          </w:p>
        </w:tc>
      </w:tr>
      <w:tr w:rsidR="00B14D53" w14:paraId="3E518F04" w14:textId="77777777">
        <w:trPr>
          <w:trHeight w:val="90"/>
          <w:jc w:val="center"/>
        </w:trPr>
        <w:tc>
          <w:tcPr>
            <w:tcW w:w="550" w:type="dxa"/>
            <w:vMerge/>
          </w:tcPr>
          <w:p w14:paraId="4B576263" w14:textId="77777777" w:rsidR="00B14D53" w:rsidRDefault="00B14D53">
            <w:pPr>
              <w:adjustRightInd/>
              <w:snapToGrid/>
              <w:rPr>
                <w:rFonts w:eastAsiaTheme="minorEastAsia"/>
                <w:kern w:val="0"/>
                <w:szCs w:val="21"/>
                <w:lang w:val="zh-CN"/>
              </w:rPr>
            </w:pPr>
          </w:p>
        </w:tc>
        <w:tc>
          <w:tcPr>
            <w:tcW w:w="851" w:type="dxa"/>
            <w:vMerge/>
          </w:tcPr>
          <w:p w14:paraId="72665CD5" w14:textId="77777777" w:rsidR="00B14D53" w:rsidRDefault="00B14D53">
            <w:pPr>
              <w:adjustRightInd/>
              <w:snapToGrid/>
              <w:jc w:val="center"/>
              <w:rPr>
                <w:rFonts w:eastAsiaTheme="minorEastAsia"/>
                <w:kern w:val="0"/>
                <w:szCs w:val="21"/>
                <w:lang w:val="zh-CN"/>
              </w:rPr>
            </w:pPr>
          </w:p>
        </w:tc>
        <w:tc>
          <w:tcPr>
            <w:tcW w:w="1029" w:type="dxa"/>
            <w:tcBorders>
              <w:top w:val="single" w:sz="4" w:space="0" w:color="auto"/>
            </w:tcBorders>
          </w:tcPr>
          <w:p w14:paraId="5C0454A8" w14:textId="77777777" w:rsidR="00B14D53" w:rsidRDefault="00000000">
            <w:pPr>
              <w:adjustRightInd/>
              <w:snapToGrid/>
              <w:jc w:val="center"/>
              <w:rPr>
                <w:kern w:val="0"/>
                <w:szCs w:val="21"/>
                <w:lang w:val="zh-CN"/>
              </w:rPr>
            </w:pPr>
            <w:r>
              <w:rPr>
                <w:rFonts w:eastAsiaTheme="minorEastAsia"/>
                <w:kern w:val="0"/>
                <w:szCs w:val="21"/>
                <w:lang w:val="zh-CN"/>
              </w:rPr>
              <w:t>H</w:t>
            </w:r>
            <w:r>
              <w:rPr>
                <w:rFonts w:eastAsiaTheme="minorEastAsia"/>
                <w:kern w:val="0"/>
                <w:szCs w:val="21"/>
                <w:vertAlign w:val="subscript"/>
                <w:lang w:val="zh-CN"/>
              </w:rPr>
              <w:t>2</w:t>
            </w:r>
            <w:r>
              <w:rPr>
                <w:rFonts w:eastAsiaTheme="minorEastAsia"/>
                <w:kern w:val="0"/>
                <w:szCs w:val="21"/>
                <w:lang w:val="zh-CN"/>
              </w:rPr>
              <w:t>S</w:t>
            </w:r>
          </w:p>
        </w:tc>
        <w:tc>
          <w:tcPr>
            <w:tcW w:w="2514" w:type="dxa"/>
            <w:vMerge/>
          </w:tcPr>
          <w:p w14:paraId="2D30A5D9" w14:textId="77777777" w:rsidR="00B14D53" w:rsidRDefault="00B14D53">
            <w:pPr>
              <w:adjustRightInd/>
              <w:snapToGrid/>
              <w:rPr>
                <w:rFonts w:eastAsiaTheme="minorEastAsia"/>
                <w:kern w:val="0"/>
                <w:szCs w:val="21"/>
                <w:lang w:val="zh-CN"/>
              </w:rPr>
            </w:pPr>
          </w:p>
        </w:tc>
        <w:tc>
          <w:tcPr>
            <w:tcW w:w="1170" w:type="dxa"/>
            <w:vMerge/>
          </w:tcPr>
          <w:p w14:paraId="3E573020" w14:textId="77777777" w:rsidR="00B14D53" w:rsidRDefault="00B14D53">
            <w:pPr>
              <w:adjustRightInd/>
              <w:snapToGrid/>
              <w:rPr>
                <w:rFonts w:eastAsiaTheme="minorEastAsia"/>
                <w:kern w:val="0"/>
                <w:szCs w:val="21"/>
                <w:lang w:val="zh-CN"/>
              </w:rPr>
            </w:pPr>
          </w:p>
        </w:tc>
        <w:tc>
          <w:tcPr>
            <w:tcW w:w="2108" w:type="dxa"/>
            <w:vMerge/>
          </w:tcPr>
          <w:p w14:paraId="31DE219B" w14:textId="77777777" w:rsidR="00B14D53" w:rsidRDefault="00B14D53">
            <w:pPr>
              <w:adjustRightInd/>
              <w:snapToGrid/>
              <w:rPr>
                <w:rFonts w:eastAsiaTheme="minorEastAsia"/>
                <w:kern w:val="0"/>
                <w:szCs w:val="21"/>
                <w:lang w:val="zh-CN"/>
              </w:rPr>
            </w:pPr>
          </w:p>
        </w:tc>
        <w:tc>
          <w:tcPr>
            <w:tcW w:w="696" w:type="dxa"/>
            <w:vMerge/>
          </w:tcPr>
          <w:p w14:paraId="31BBF2F4" w14:textId="77777777" w:rsidR="00B14D53" w:rsidRDefault="00B14D53">
            <w:pPr>
              <w:adjustRightInd/>
              <w:snapToGrid/>
              <w:jc w:val="center"/>
              <w:rPr>
                <w:rFonts w:eastAsiaTheme="minorEastAsia"/>
                <w:kern w:val="0"/>
                <w:szCs w:val="21"/>
                <w:lang w:val="zh-CN"/>
              </w:rPr>
            </w:pPr>
          </w:p>
        </w:tc>
        <w:tc>
          <w:tcPr>
            <w:tcW w:w="851" w:type="dxa"/>
            <w:vMerge/>
          </w:tcPr>
          <w:p w14:paraId="12644499" w14:textId="77777777" w:rsidR="00B14D53" w:rsidRDefault="00B14D53">
            <w:pPr>
              <w:adjustRightInd/>
              <w:snapToGrid/>
              <w:jc w:val="center"/>
              <w:rPr>
                <w:rFonts w:eastAsiaTheme="minorEastAsia"/>
                <w:kern w:val="0"/>
                <w:szCs w:val="21"/>
                <w:lang w:val="zh-CN"/>
              </w:rPr>
            </w:pPr>
          </w:p>
        </w:tc>
        <w:tc>
          <w:tcPr>
            <w:tcW w:w="2280" w:type="dxa"/>
            <w:vMerge/>
          </w:tcPr>
          <w:p w14:paraId="2BA85FC6" w14:textId="77777777" w:rsidR="00B14D53" w:rsidRDefault="00B14D53">
            <w:pPr>
              <w:adjustRightInd/>
              <w:snapToGrid/>
              <w:rPr>
                <w:rFonts w:eastAsiaTheme="minorEastAsia"/>
                <w:kern w:val="0"/>
                <w:szCs w:val="21"/>
                <w:lang w:val="zh-CN"/>
              </w:rPr>
            </w:pPr>
          </w:p>
        </w:tc>
        <w:tc>
          <w:tcPr>
            <w:tcW w:w="2450" w:type="dxa"/>
          </w:tcPr>
          <w:p w14:paraId="756EFFA0" w14:textId="77777777" w:rsidR="00B14D53" w:rsidRDefault="00000000">
            <w:pPr>
              <w:adjustRightInd/>
              <w:snapToGrid/>
              <w:rPr>
                <w:rFonts w:eastAsiaTheme="minorEastAsia"/>
                <w:kern w:val="0"/>
                <w:szCs w:val="21"/>
                <w:lang w:val="zh-CN"/>
              </w:rPr>
            </w:pPr>
            <w:r>
              <w:rPr>
                <w:color w:val="000000"/>
              </w:rPr>
              <w:t>气态污染物的测定</w:t>
            </w:r>
            <w:r>
              <w:rPr>
                <w:color w:val="000000"/>
              </w:rPr>
              <w:t xml:space="preserve"> </w:t>
            </w:r>
            <w:r>
              <w:rPr>
                <w:color w:val="000000"/>
              </w:rPr>
              <w:t>硫化氢</w:t>
            </w:r>
            <w:r>
              <w:rPr>
                <w:color w:val="000000"/>
              </w:rPr>
              <w:t xml:space="preserve"> </w:t>
            </w:r>
            <w:r>
              <w:rPr>
                <w:color w:val="000000"/>
              </w:rPr>
              <w:t>亚甲基蓝分光光度法《空气和废气监测分析方法》</w:t>
            </w:r>
            <w:r>
              <w:rPr>
                <w:color w:val="000000"/>
              </w:rPr>
              <w:t>(</w:t>
            </w:r>
            <w:r>
              <w:rPr>
                <w:color w:val="000000"/>
              </w:rPr>
              <w:t>第四版</w:t>
            </w:r>
            <w:r>
              <w:rPr>
                <w:color w:val="000000"/>
              </w:rPr>
              <w:t>)</w:t>
            </w:r>
            <w:r>
              <w:rPr>
                <w:color w:val="000000"/>
              </w:rPr>
              <w:t>国家环境保护总局（</w:t>
            </w:r>
            <w:r>
              <w:rPr>
                <w:color w:val="000000"/>
              </w:rPr>
              <w:t>2003</w:t>
            </w:r>
            <w:r>
              <w:rPr>
                <w:color w:val="000000"/>
              </w:rPr>
              <w:t>年）</w:t>
            </w:r>
          </w:p>
        </w:tc>
      </w:tr>
      <w:tr w:rsidR="00B14D53" w14:paraId="093720E6" w14:textId="77777777">
        <w:trPr>
          <w:trHeight w:val="90"/>
          <w:jc w:val="center"/>
        </w:trPr>
        <w:tc>
          <w:tcPr>
            <w:tcW w:w="550" w:type="dxa"/>
            <w:vMerge/>
          </w:tcPr>
          <w:p w14:paraId="59E869E3" w14:textId="77777777" w:rsidR="00B14D53" w:rsidRDefault="00B14D53">
            <w:pPr>
              <w:adjustRightInd/>
              <w:snapToGrid/>
              <w:rPr>
                <w:rFonts w:eastAsiaTheme="minorEastAsia"/>
                <w:kern w:val="0"/>
                <w:szCs w:val="21"/>
                <w:lang w:val="zh-CN"/>
              </w:rPr>
            </w:pPr>
          </w:p>
        </w:tc>
        <w:tc>
          <w:tcPr>
            <w:tcW w:w="851" w:type="dxa"/>
            <w:vMerge/>
          </w:tcPr>
          <w:p w14:paraId="443316B6" w14:textId="77777777" w:rsidR="00B14D53" w:rsidRDefault="00B14D53">
            <w:pPr>
              <w:adjustRightInd/>
              <w:snapToGrid/>
              <w:jc w:val="center"/>
              <w:rPr>
                <w:rFonts w:eastAsiaTheme="minorEastAsia"/>
                <w:kern w:val="0"/>
                <w:szCs w:val="21"/>
                <w:lang w:val="zh-CN"/>
              </w:rPr>
            </w:pPr>
          </w:p>
        </w:tc>
        <w:tc>
          <w:tcPr>
            <w:tcW w:w="1029" w:type="dxa"/>
            <w:tcBorders>
              <w:top w:val="single" w:sz="4" w:space="0" w:color="auto"/>
            </w:tcBorders>
          </w:tcPr>
          <w:p w14:paraId="76FB1782" w14:textId="77777777" w:rsidR="00B14D53" w:rsidRDefault="00000000">
            <w:pPr>
              <w:adjustRightInd/>
              <w:snapToGrid/>
              <w:jc w:val="center"/>
              <w:rPr>
                <w:kern w:val="0"/>
                <w:szCs w:val="21"/>
                <w:lang w:val="zh-CN"/>
              </w:rPr>
            </w:pPr>
            <w:r>
              <w:rPr>
                <w:rFonts w:eastAsiaTheme="minorEastAsia"/>
                <w:kern w:val="0"/>
                <w:szCs w:val="21"/>
                <w:lang w:val="zh-CN"/>
              </w:rPr>
              <w:t>臭气浓度</w:t>
            </w:r>
          </w:p>
        </w:tc>
        <w:tc>
          <w:tcPr>
            <w:tcW w:w="2514" w:type="dxa"/>
            <w:vMerge/>
          </w:tcPr>
          <w:p w14:paraId="19C1DCCD" w14:textId="77777777" w:rsidR="00B14D53" w:rsidRDefault="00B14D53">
            <w:pPr>
              <w:adjustRightInd/>
              <w:snapToGrid/>
              <w:rPr>
                <w:rFonts w:eastAsiaTheme="minorEastAsia"/>
                <w:kern w:val="0"/>
                <w:szCs w:val="21"/>
                <w:lang w:val="zh-CN"/>
              </w:rPr>
            </w:pPr>
          </w:p>
        </w:tc>
        <w:tc>
          <w:tcPr>
            <w:tcW w:w="1170" w:type="dxa"/>
            <w:vMerge/>
          </w:tcPr>
          <w:p w14:paraId="3D4060A4" w14:textId="77777777" w:rsidR="00B14D53" w:rsidRDefault="00B14D53">
            <w:pPr>
              <w:adjustRightInd/>
              <w:snapToGrid/>
              <w:rPr>
                <w:rFonts w:eastAsiaTheme="minorEastAsia"/>
                <w:kern w:val="0"/>
                <w:szCs w:val="21"/>
                <w:lang w:val="zh-CN"/>
              </w:rPr>
            </w:pPr>
          </w:p>
        </w:tc>
        <w:tc>
          <w:tcPr>
            <w:tcW w:w="2108" w:type="dxa"/>
            <w:vMerge/>
          </w:tcPr>
          <w:p w14:paraId="69C847F2" w14:textId="77777777" w:rsidR="00B14D53" w:rsidRDefault="00B14D53">
            <w:pPr>
              <w:adjustRightInd/>
              <w:snapToGrid/>
              <w:rPr>
                <w:rFonts w:eastAsiaTheme="minorEastAsia"/>
                <w:kern w:val="0"/>
                <w:szCs w:val="21"/>
                <w:lang w:val="zh-CN"/>
              </w:rPr>
            </w:pPr>
          </w:p>
        </w:tc>
        <w:tc>
          <w:tcPr>
            <w:tcW w:w="696" w:type="dxa"/>
            <w:vMerge/>
          </w:tcPr>
          <w:p w14:paraId="437CFCFC" w14:textId="77777777" w:rsidR="00B14D53" w:rsidRDefault="00B14D53">
            <w:pPr>
              <w:adjustRightInd/>
              <w:snapToGrid/>
              <w:jc w:val="center"/>
              <w:rPr>
                <w:rFonts w:eastAsiaTheme="minorEastAsia"/>
                <w:kern w:val="0"/>
                <w:szCs w:val="21"/>
                <w:lang w:val="zh-CN"/>
              </w:rPr>
            </w:pPr>
          </w:p>
        </w:tc>
        <w:tc>
          <w:tcPr>
            <w:tcW w:w="851" w:type="dxa"/>
            <w:vMerge/>
          </w:tcPr>
          <w:p w14:paraId="2D0222DE" w14:textId="77777777" w:rsidR="00B14D53" w:rsidRDefault="00B14D53">
            <w:pPr>
              <w:adjustRightInd/>
              <w:snapToGrid/>
              <w:jc w:val="center"/>
              <w:rPr>
                <w:rFonts w:eastAsiaTheme="minorEastAsia"/>
                <w:kern w:val="0"/>
                <w:szCs w:val="21"/>
                <w:lang w:val="zh-CN"/>
              </w:rPr>
            </w:pPr>
          </w:p>
        </w:tc>
        <w:tc>
          <w:tcPr>
            <w:tcW w:w="2280" w:type="dxa"/>
            <w:vMerge/>
          </w:tcPr>
          <w:p w14:paraId="460077E3" w14:textId="77777777" w:rsidR="00B14D53" w:rsidRDefault="00B14D53">
            <w:pPr>
              <w:adjustRightInd/>
              <w:snapToGrid/>
              <w:rPr>
                <w:rFonts w:eastAsiaTheme="minorEastAsia"/>
                <w:kern w:val="0"/>
                <w:szCs w:val="21"/>
                <w:lang w:val="zh-CN"/>
              </w:rPr>
            </w:pPr>
          </w:p>
        </w:tc>
        <w:tc>
          <w:tcPr>
            <w:tcW w:w="2450" w:type="dxa"/>
          </w:tcPr>
          <w:p w14:paraId="1B04261F"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臭气的测定</w:t>
            </w:r>
            <w:r>
              <w:rPr>
                <w:rFonts w:hint="eastAsia"/>
              </w:rPr>
              <w:t xml:space="preserve"> </w:t>
            </w:r>
            <w:r>
              <w:rPr>
                <w:rFonts w:hint="eastAsia"/>
              </w:rPr>
              <w:t>三点比较式臭袋法》（</w:t>
            </w:r>
            <w:r>
              <w:rPr>
                <w:rFonts w:hint="eastAsia"/>
              </w:rPr>
              <w:t>HJ1262-2022</w:t>
            </w:r>
            <w:r>
              <w:rPr>
                <w:rFonts w:hint="eastAsia"/>
              </w:rPr>
              <w:t>）</w:t>
            </w:r>
          </w:p>
        </w:tc>
      </w:tr>
    </w:tbl>
    <w:p w14:paraId="22F5BC6C" w14:textId="77777777" w:rsidR="00B14D53" w:rsidRDefault="00000000">
      <w:pPr>
        <w:jc w:val="center"/>
        <w:rPr>
          <w:b/>
          <w:bCs/>
          <w:lang w:val="zh-CN"/>
        </w:rPr>
      </w:pPr>
      <w:r>
        <w:rPr>
          <w:rFonts w:hint="eastAsia"/>
          <w:b/>
          <w:bCs/>
        </w:rPr>
        <w:t>续</w:t>
      </w:r>
      <w:r>
        <w:rPr>
          <w:rFonts w:hint="eastAsia"/>
          <w:b/>
          <w:bCs/>
          <w:lang w:val="zh-CN"/>
        </w:rPr>
        <w:t>表</w:t>
      </w:r>
      <w:r>
        <w:rPr>
          <w:rFonts w:hint="eastAsia"/>
          <w:b/>
          <w:bCs/>
          <w:lang w:val="zh-CN"/>
        </w:rPr>
        <w:t xml:space="preserve">8-2-1 </w:t>
      </w:r>
      <w:r>
        <w:rPr>
          <w:rFonts w:hint="eastAsia"/>
          <w:b/>
          <w:bCs/>
          <w:lang w:val="zh-CN"/>
        </w:rPr>
        <w:t>监测计划一览表</w:t>
      </w:r>
    </w:p>
    <w:tbl>
      <w:tblPr>
        <w:tblStyle w:val="afffffffff8"/>
        <w:tblW w:w="14499" w:type="dxa"/>
        <w:jc w:val="center"/>
        <w:tblLayout w:type="fixed"/>
        <w:tblLook w:val="04A0" w:firstRow="1" w:lastRow="0" w:firstColumn="1" w:lastColumn="0" w:noHBand="0" w:noVBand="1"/>
      </w:tblPr>
      <w:tblGrid>
        <w:gridCol w:w="550"/>
        <w:gridCol w:w="851"/>
        <w:gridCol w:w="1029"/>
        <w:gridCol w:w="2514"/>
        <w:gridCol w:w="1170"/>
        <w:gridCol w:w="2108"/>
        <w:gridCol w:w="696"/>
        <w:gridCol w:w="851"/>
        <w:gridCol w:w="2280"/>
        <w:gridCol w:w="2450"/>
      </w:tblGrid>
      <w:tr w:rsidR="00B14D53" w14:paraId="0D2C92A5" w14:textId="77777777">
        <w:trPr>
          <w:trHeight w:val="90"/>
          <w:jc w:val="center"/>
        </w:trPr>
        <w:tc>
          <w:tcPr>
            <w:tcW w:w="550" w:type="dxa"/>
            <w:vMerge w:val="restart"/>
          </w:tcPr>
          <w:p w14:paraId="484A3CCC" w14:textId="77777777" w:rsidR="00B14D53" w:rsidRDefault="00000000">
            <w:pPr>
              <w:adjustRightInd/>
              <w:snapToGrid/>
              <w:jc w:val="center"/>
              <w:rPr>
                <w:rFonts w:eastAsiaTheme="minorEastAsia"/>
                <w:kern w:val="0"/>
                <w:szCs w:val="21"/>
              </w:rPr>
            </w:pPr>
            <w:r>
              <w:rPr>
                <w:rFonts w:eastAsiaTheme="minorEastAsia" w:hint="eastAsia"/>
                <w:kern w:val="0"/>
                <w:szCs w:val="21"/>
              </w:rPr>
              <w:t>废气</w:t>
            </w:r>
          </w:p>
        </w:tc>
        <w:tc>
          <w:tcPr>
            <w:tcW w:w="851" w:type="dxa"/>
            <w:vMerge w:val="restart"/>
          </w:tcPr>
          <w:p w14:paraId="630B3579" w14:textId="77777777" w:rsidR="00B14D53" w:rsidRDefault="00000000">
            <w:pPr>
              <w:adjustRightInd/>
              <w:snapToGrid/>
              <w:jc w:val="center"/>
              <w:rPr>
                <w:rFonts w:eastAsiaTheme="minorEastAsia"/>
                <w:kern w:val="0"/>
                <w:szCs w:val="21"/>
                <w:lang w:val="zh-CN"/>
              </w:rPr>
            </w:pPr>
            <w:r>
              <w:rPr>
                <w:rFonts w:hint="eastAsia"/>
                <w:kern w:val="0"/>
                <w:szCs w:val="21"/>
              </w:rPr>
              <w:t>2#</w:t>
            </w:r>
            <w:r>
              <w:rPr>
                <w:rFonts w:hint="eastAsia"/>
                <w:kern w:val="0"/>
                <w:szCs w:val="21"/>
                <w:lang w:val="zh-CN"/>
              </w:rPr>
              <w:t>待宰圈</w:t>
            </w:r>
          </w:p>
        </w:tc>
        <w:tc>
          <w:tcPr>
            <w:tcW w:w="1029" w:type="dxa"/>
            <w:tcBorders>
              <w:top w:val="single" w:sz="12" w:space="0" w:color="auto"/>
            </w:tcBorders>
          </w:tcPr>
          <w:p w14:paraId="400F5B38"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NH</w:t>
            </w:r>
            <w:r>
              <w:rPr>
                <w:rFonts w:eastAsiaTheme="minorEastAsia"/>
                <w:kern w:val="0"/>
                <w:szCs w:val="21"/>
                <w:vertAlign w:val="subscript"/>
                <w:lang w:val="zh-CN"/>
              </w:rPr>
              <w:t>3</w:t>
            </w:r>
          </w:p>
        </w:tc>
        <w:tc>
          <w:tcPr>
            <w:tcW w:w="2514" w:type="dxa"/>
            <w:vMerge w:val="restart"/>
          </w:tcPr>
          <w:p w14:paraId="282B3B47" w14:textId="77777777" w:rsidR="00B14D53" w:rsidRDefault="00000000">
            <w:pPr>
              <w:adjustRightInd/>
              <w:snapToGrid/>
              <w:rPr>
                <w:rFonts w:eastAsiaTheme="minorEastAsia"/>
                <w:kern w:val="0"/>
                <w:szCs w:val="21"/>
                <w:lang w:val="zh-CN"/>
              </w:rPr>
            </w:pPr>
            <w:r>
              <w:rPr>
                <w:rFonts w:hint="eastAsia"/>
                <w:kern w:val="0"/>
                <w:szCs w:val="21"/>
              </w:rPr>
              <w:t>待宰圈</w:t>
            </w:r>
            <w:r>
              <w:rPr>
                <w:kern w:val="0"/>
                <w:szCs w:val="21"/>
              </w:rPr>
              <w:t>封闭，</w:t>
            </w:r>
            <w:r>
              <w:rPr>
                <w:bCs/>
                <w:kern w:val="0"/>
                <w:szCs w:val="21"/>
              </w:rPr>
              <w:t>及时清扫，并投加或喷洒除臭剂，产生的恶臭气体经</w:t>
            </w:r>
            <w:r>
              <w:rPr>
                <w:rFonts w:hint="eastAsia"/>
                <w:bCs/>
                <w:kern w:val="0"/>
                <w:szCs w:val="21"/>
              </w:rPr>
              <w:t>引风机集中收集</w:t>
            </w:r>
            <w:r>
              <w:rPr>
                <w:bCs/>
                <w:kern w:val="0"/>
                <w:szCs w:val="21"/>
              </w:rPr>
              <w:t>后，通过活性炭吸附净化后由</w:t>
            </w:r>
            <w:r>
              <w:rPr>
                <w:rFonts w:hint="eastAsia"/>
                <w:bCs/>
                <w:kern w:val="0"/>
                <w:szCs w:val="21"/>
              </w:rPr>
              <w:t>1</w:t>
            </w:r>
            <w:r>
              <w:rPr>
                <w:rFonts w:hint="eastAsia"/>
                <w:bCs/>
                <w:kern w:val="0"/>
                <w:szCs w:val="21"/>
              </w:rPr>
              <w:t>根</w:t>
            </w:r>
            <w:r>
              <w:rPr>
                <w:bCs/>
                <w:kern w:val="0"/>
                <w:szCs w:val="21"/>
              </w:rPr>
              <w:t>15m</w:t>
            </w:r>
            <w:r>
              <w:rPr>
                <w:bCs/>
                <w:kern w:val="0"/>
                <w:szCs w:val="21"/>
              </w:rPr>
              <w:t>高排气筒（</w:t>
            </w:r>
            <w:r>
              <w:rPr>
                <w:bCs/>
                <w:kern w:val="0"/>
                <w:szCs w:val="21"/>
              </w:rPr>
              <w:t>DA00</w:t>
            </w:r>
            <w:r>
              <w:rPr>
                <w:rFonts w:hint="eastAsia"/>
                <w:bCs/>
                <w:kern w:val="0"/>
                <w:szCs w:val="21"/>
              </w:rPr>
              <w:t>2</w:t>
            </w:r>
            <w:r>
              <w:rPr>
                <w:bCs/>
                <w:kern w:val="0"/>
                <w:szCs w:val="21"/>
              </w:rPr>
              <w:t>）排放</w:t>
            </w:r>
          </w:p>
        </w:tc>
        <w:tc>
          <w:tcPr>
            <w:tcW w:w="1170" w:type="dxa"/>
            <w:vMerge w:val="restart"/>
          </w:tcPr>
          <w:p w14:paraId="1D8DD4A8" w14:textId="77777777" w:rsidR="00B14D53" w:rsidRDefault="00000000">
            <w:pPr>
              <w:adjustRightInd/>
              <w:snapToGrid/>
              <w:rPr>
                <w:rFonts w:eastAsiaTheme="minorEastAsia"/>
                <w:kern w:val="0"/>
                <w:szCs w:val="21"/>
                <w:lang w:val="zh-CN"/>
              </w:rPr>
            </w:pPr>
            <w:r>
              <w:rPr>
                <w:bCs/>
                <w:kern w:val="0"/>
                <w:szCs w:val="21"/>
              </w:rPr>
              <w:t>排气筒（</w:t>
            </w:r>
            <w:r>
              <w:rPr>
                <w:bCs/>
                <w:kern w:val="0"/>
                <w:szCs w:val="21"/>
              </w:rPr>
              <w:t>DA00</w:t>
            </w:r>
            <w:r>
              <w:rPr>
                <w:rFonts w:hint="eastAsia"/>
                <w:bCs/>
                <w:kern w:val="0"/>
                <w:szCs w:val="21"/>
              </w:rPr>
              <w:t>2</w:t>
            </w:r>
            <w:r>
              <w:rPr>
                <w:bCs/>
                <w:kern w:val="0"/>
                <w:szCs w:val="21"/>
              </w:rPr>
              <w:t>）</w:t>
            </w:r>
          </w:p>
        </w:tc>
        <w:tc>
          <w:tcPr>
            <w:tcW w:w="2108" w:type="dxa"/>
            <w:vMerge w:val="restart"/>
          </w:tcPr>
          <w:p w14:paraId="6523FDE8" w14:textId="77777777" w:rsidR="00B14D53" w:rsidRDefault="00000000">
            <w:pPr>
              <w:adjustRightInd/>
              <w:snapToGrid/>
              <w:rPr>
                <w:rFonts w:eastAsiaTheme="minorEastAsia"/>
                <w:kern w:val="0"/>
                <w:szCs w:val="21"/>
                <w:lang w:val="zh-CN"/>
              </w:rPr>
            </w:pPr>
            <w:r>
              <w:rPr>
                <w:kern w:val="0"/>
              </w:rPr>
              <w:t>满足《恶臭污染物排放标准》（</w:t>
            </w:r>
            <w:r>
              <w:rPr>
                <w:kern w:val="0"/>
              </w:rPr>
              <w:t>GB14554-93</w:t>
            </w:r>
            <w:r>
              <w:rPr>
                <w:kern w:val="0"/>
              </w:rPr>
              <w:t>）表</w:t>
            </w:r>
            <w:r>
              <w:rPr>
                <w:kern w:val="0"/>
              </w:rPr>
              <w:t>2</w:t>
            </w:r>
            <w:r>
              <w:rPr>
                <w:kern w:val="0"/>
              </w:rPr>
              <w:t>标准要求</w:t>
            </w:r>
          </w:p>
        </w:tc>
        <w:tc>
          <w:tcPr>
            <w:tcW w:w="696" w:type="dxa"/>
            <w:vMerge w:val="restart"/>
          </w:tcPr>
          <w:p w14:paraId="30D0950F"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kern w:val="0"/>
                <w:szCs w:val="21"/>
                <w:lang w:val="zh-CN"/>
              </w:rPr>
              <w:t>年</w:t>
            </w:r>
          </w:p>
        </w:tc>
        <w:tc>
          <w:tcPr>
            <w:tcW w:w="851" w:type="dxa"/>
            <w:vMerge w:val="restart"/>
          </w:tcPr>
          <w:p w14:paraId="4CF329E1"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手工监测</w:t>
            </w:r>
          </w:p>
        </w:tc>
        <w:tc>
          <w:tcPr>
            <w:tcW w:w="2280" w:type="dxa"/>
            <w:vMerge w:val="restart"/>
          </w:tcPr>
          <w:p w14:paraId="279A76E1" w14:textId="77777777" w:rsidR="00B14D53" w:rsidRDefault="00000000">
            <w:pPr>
              <w:adjustRightInd/>
              <w:snapToGrid/>
              <w:rPr>
                <w:rFonts w:eastAsiaTheme="minorEastAsia"/>
                <w:kern w:val="0"/>
                <w:szCs w:val="21"/>
                <w:lang w:val="zh-CN"/>
              </w:rPr>
            </w:pPr>
            <w:r>
              <w:rPr>
                <w:rFonts w:eastAsiaTheme="minorEastAsia"/>
                <w:kern w:val="0"/>
                <w:szCs w:val="21"/>
                <w:lang w:val="zh-CN"/>
              </w:rPr>
              <w:t>参照《恶臭污染物排放标准》</w:t>
            </w:r>
            <w:r>
              <w:rPr>
                <w:rFonts w:eastAsiaTheme="minorEastAsia"/>
                <w:kern w:val="0"/>
                <w:szCs w:val="21"/>
                <w:lang w:val="zh-CN"/>
              </w:rPr>
              <w:t>(GB14554-93)</w:t>
            </w:r>
            <w:r>
              <w:rPr>
                <w:rFonts w:eastAsiaTheme="minorEastAsia"/>
                <w:kern w:val="0"/>
                <w:szCs w:val="21"/>
                <w:lang w:val="zh-CN"/>
              </w:rPr>
              <w:t>及</w:t>
            </w:r>
            <w:r>
              <w:rPr>
                <w:rFonts w:eastAsiaTheme="minorEastAsia"/>
                <w:kern w:val="0"/>
                <w:szCs w:val="21"/>
                <w:lang w:val="zh-CN"/>
              </w:rPr>
              <w:t>GB/T16157</w:t>
            </w:r>
            <w:r>
              <w:rPr>
                <w:rFonts w:eastAsiaTheme="minorEastAsia"/>
                <w:kern w:val="0"/>
                <w:szCs w:val="21"/>
                <w:lang w:val="zh-CN"/>
              </w:rPr>
              <w:t>、</w:t>
            </w:r>
            <w:r>
              <w:rPr>
                <w:rFonts w:eastAsiaTheme="minorEastAsia"/>
                <w:kern w:val="0"/>
                <w:szCs w:val="21"/>
                <w:lang w:val="zh-CN"/>
              </w:rPr>
              <w:t>HJ/T397</w:t>
            </w:r>
            <w:r>
              <w:rPr>
                <w:rFonts w:eastAsiaTheme="minorEastAsia"/>
                <w:kern w:val="0"/>
                <w:szCs w:val="21"/>
                <w:lang w:val="zh-CN"/>
              </w:rPr>
              <w:t>等执行</w:t>
            </w:r>
          </w:p>
        </w:tc>
        <w:tc>
          <w:tcPr>
            <w:tcW w:w="2450" w:type="dxa"/>
          </w:tcPr>
          <w:p w14:paraId="6BCF5CEB"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氨的测定</w:t>
            </w:r>
            <w:r>
              <w:rPr>
                <w:rFonts w:hint="eastAsia"/>
              </w:rPr>
              <w:t xml:space="preserve"> </w:t>
            </w:r>
            <w:r>
              <w:rPr>
                <w:rFonts w:hint="eastAsia"/>
              </w:rPr>
              <w:t>纳氏试剂分光光度法》（</w:t>
            </w:r>
            <w:r>
              <w:rPr>
                <w:rFonts w:hint="eastAsia"/>
              </w:rPr>
              <w:t>HJ533-2009</w:t>
            </w:r>
            <w:r>
              <w:rPr>
                <w:rFonts w:hint="eastAsia"/>
              </w:rPr>
              <w:t>）</w:t>
            </w:r>
          </w:p>
        </w:tc>
      </w:tr>
      <w:tr w:rsidR="00B14D53" w14:paraId="711576A9" w14:textId="77777777">
        <w:trPr>
          <w:trHeight w:val="90"/>
          <w:jc w:val="center"/>
        </w:trPr>
        <w:tc>
          <w:tcPr>
            <w:tcW w:w="550" w:type="dxa"/>
            <w:vMerge/>
          </w:tcPr>
          <w:p w14:paraId="02026D62" w14:textId="77777777" w:rsidR="00B14D53" w:rsidRDefault="00B14D53">
            <w:pPr>
              <w:adjustRightInd/>
              <w:snapToGrid/>
              <w:rPr>
                <w:rFonts w:eastAsiaTheme="minorEastAsia"/>
                <w:kern w:val="0"/>
                <w:szCs w:val="21"/>
                <w:lang w:val="zh-CN"/>
              </w:rPr>
            </w:pPr>
          </w:p>
        </w:tc>
        <w:tc>
          <w:tcPr>
            <w:tcW w:w="851" w:type="dxa"/>
            <w:vMerge/>
          </w:tcPr>
          <w:p w14:paraId="322AE6E0" w14:textId="77777777" w:rsidR="00B14D53" w:rsidRDefault="00B14D53">
            <w:pPr>
              <w:adjustRightInd/>
              <w:snapToGrid/>
              <w:jc w:val="center"/>
              <w:rPr>
                <w:rFonts w:eastAsiaTheme="minorEastAsia"/>
                <w:kern w:val="0"/>
                <w:szCs w:val="21"/>
                <w:lang w:val="zh-CN"/>
              </w:rPr>
            </w:pPr>
          </w:p>
        </w:tc>
        <w:tc>
          <w:tcPr>
            <w:tcW w:w="1029" w:type="dxa"/>
            <w:tcBorders>
              <w:top w:val="single" w:sz="4" w:space="0" w:color="auto"/>
            </w:tcBorders>
          </w:tcPr>
          <w:p w14:paraId="32E7E18A"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H</w:t>
            </w:r>
            <w:r>
              <w:rPr>
                <w:rFonts w:eastAsiaTheme="minorEastAsia"/>
                <w:kern w:val="0"/>
                <w:szCs w:val="21"/>
                <w:vertAlign w:val="subscript"/>
                <w:lang w:val="zh-CN"/>
              </w:rPr>
              <w:t>2</w:t>
            </w:r>
            <w:r>
              <w:rPr>
                <w:rFonts w:eastAsiaTheme="minorEastAsia"/>
                <w:kern w:val="0"/>
                <w:szCs w:val="21"/>
                <w:lang w:val="zh-CN"/>
              </w:rPr>
              <w:t>S</w:t>
            </w:r>
          </w:p>
        </w:tc>
        <w:tc>
          <w:tcPr>
            <w:tcW w:w="2514" w:type="dxa"/>
            <w:vMerge/>
          </w:tcPr>
          <w:p w14:paraId="04C44487" w14:textId="77777777" w:rsidR="00B14D53" w:rsidRDefault="00B14D53">
            <w:pPr>
              <w:adjustRightInd/>
              <w:snapToGrid/>
              <w:rPr>
                <w:rFonts w:eastAsiaTheme="minorEastAsia"/>
                <w:kern w:val="0"/>
                <w:szCs w:val="21"/>
                <w:lang w:val="zh-CN"/>
              </w:rPr>
            </w:pPr>
          </w:p>
        </w:tc>
        <w:tc>
          <w:tcPr>
            <w:tcW w:w="1170" w:type="dxa"/>
            <w:vMerge/>
          </w:tcPr>
          <w:p w14:paraId="788596E7" w14:textId="77777777" w:rsidR="00B14D53" w:rsidRDefault="00B14D53">
            <w:pPr>
              <w:adjustRightInd/>
              <w:snapToGrid/>
              <w:rPr>
                <w:rFonts w:eastAsiaTheme="minorEastAsia"/>
                <w:kern w:val="0"/>
                <w:szCs w:val="21"/>
                <w:lang w:val="zh-CN"/>
              </w:rPr>
            </w:pPr>
          </w:p>
        </w:tc>
        <w:tc>
          <w:tcPr>
            <w:tcW w:w="2108" w:type="dxa"/>
            <w:vMerge/>
          </w:tcPr>
          <w:p w14:paraId="37FB0E09" w14:textId="77777777" w:rsidR="00B14D53" w:rsidRDefault="00B14D53">
            <w:pPr>
              <w:adjustRightInd/>
              <w:snapToGrid/>
              <w:rPr>
                <w:rFonts w:eastAsiaTheme="minorEastAsia"/>
                <w:kern w:val="0"/>
                <w:szCs w:val="21"/>
                <w:lang w:val="zh-CN"/>
              </w:rPr>
            </w:pPr>
          </w:p>
        </w:tc>
        <w:tc>
          <w:tcPr>
            <w:tcW w:w="696" w:type="dxa"/>
            <w:vMerge/>
          </w:tcPr>
          <w:p w14:paraId="35563B53" w14:textId="77777777" w:rsidR="00B14D53" w:rsidRDefault="00B14D53">
            <w:pPr>
              <w:adjustRightInd/>
              <w:snapToGrid/>
              <w:jc w:val="center"/>
              <w:rPr>
                <w:rFonts w:eastAsiaTheme="minorEastAsia"/>
                <w:kern w:val="0"/>
                <w:szCs w:val="21"/>
                <w:lang w:val="zh-CN"/>
              </w:rPr>
            </w:pPr>
          </w:p>
        </w:tc>
        <w:tc>
          <w:tcPr>
            <w:tcW w:w="851" w:type="dxa"/>
            <w:vMerge/>
          </w:tcPr>
          <w:p w14:paraId="482EA0A4" w14:textId="77777777" w:rsidR="00B14D53" w:rsidRDefault="00B14D53">
            <w:pPr>
              <w:adjustRightInd/>
              <w:snapToGrid/>
              <w:jc w:val="center"/>
              <w:rPr>
                <w:rFonts w:eastAsiaTheme="minorEastAsia"/>
                <w:kern w:val="0"/>
                <w:szCs w:val="21"/>
                <w:lang w:val="zh-CN"/>
              </w:rPr>
            </w:pPr>
          </w:p>
        </w:tc>
        <w:tc>
          <w:tcPr>
            <w:tcW w:w="2280" w:type="dxa"/>
            <w:vMerge/>
          </w:tcPr>
          <w:p w14:paraId="3FD583FA" w14:textId="77777777" w:rsidR="00B14D53" w:rsidRDefault="00B14D53">
            <w:pPr>
              <w:adjustRightInd/>
              <w:snapToGrid/>
              <w:rPr>
                <w:rFonts w:eastAsiaTheme="minorEastAsia"/>
                <w:kern w:val="0"/>
                <w:szCs w:val="21"/>
                <w:lang w:val="zh-CN"/>
              </w:rPr>
            </w:pPr>
          </w:p>
        </w:tc>
        <w:tc>
          <w:tcPr>
            <w:tcW w:w="2450" w:type="dxa"/>
          </w:tcPr>
          <w:p w14:paraId="7D34E3D6" w14:textId="77777777" w:rsidR="00B14D53" w:rsidRDefault="00000000">
            <w:pPr>
              <w:adjustRightInd/>
              <w:snapToGrid/>
              <w:rPr>
                <w:rFonts w:eastAsiaTheme="minorEastAsia"/>
                <w:kern w:val="0"/>
                <w:szCs w:val="21"/>
                <w:lang w:val="zh-CN"/>
              </w:rPr>
            </w:pPr>
            <w:r>
              <w:rPr>
                <w:color w:val="000000"/>
              </w:rPr>
              <w:t>气态污染物的测定</w:t>
            </w:r>
            <w:r>
              <w:rPr>
                <w:color w:val="000000"/>
              </w:rPr>
              <w:t xml:space="preserve"> </w:t>
            </w:r>
            <w:r>
              <w:rPr>
                <w:color w:val="000000"/>
              </w:rPr>
              <w:t>硫化氢</w:t>
            </w:r>
            <w:r>
              <w:rPr>
                <w:color w:val="000000"/>
              </w:rPr>
              <w:t xml:space="preserve"> </w:t>
            </w:r>
            <w:r>
              <w:rPr>
                <w:color w:val="000000"/>
              </w:rPr>
              <w:t>亚甲基蓝分光光度法《空气和废气监测分析方法》</w:t>
            </w:r>
            <w:r>
              <w:rPr>
                <w:color w:val="000000"/>
              </w:rPr>
              <w:t>(</w:t>
            </w:r>
            <w:r>
              <w:rPr>
                <w:color w:val="000000"/>
              </w:rPr>
              <w:t>第四版</w:t>
            </w:r>
            <w:r>
              <w:rPr>
                <w:color w:val="000000"/>
              </w:rPr>
              <w:t>)</w:t>
            </w:r>
            <w:r>
              <w:rPr>
                <w:color w:val="000000"/>
              </w:rPr>
              <w:t>国家环境保护总局（</w:t>
            </w:r>
            <w:r>
              <w:rPr>
                <w:color w:val="000000"/>
              </w:rPr>
              <w:t>2003</w:t>
            </w:r>
            <w:r>
              <w:rPr>
                <w:color w:val="000000"/>
              </w:rPr>
              <w:t>年）</w:t>
            </w:r>
          </w:p>
        </w:tc>
      </w:tr>
      <w:tr w:rsidR="00B14D53" w14:paraId="0AF7EFC5" w14:textId="77777777">
        <w:trPr>
          <w:trHeight w:val="90"/>
          <w:jc w:val="center"/>
        </w:trPr>
        <w:tc>
          <w:tcPr>
            <w:tcW w:w="550" w:type="dxa"/>
            <w:vMerge/>
          </w:tcPr>
          <w:p w14:paraId="5F761D37" w14:textId="77777777" w:rsidR="00B14D53" w:rsidRDefault="00B14D53">
            <w:pPr>
              <w:adjustRightInd/>
              <w:snapToGrid/>
              <w:rPr>
                <w:rFonts w:eastAsiaTheme="minorEastAsia"/>
                <w:kern w:val="0"/>
                <w:szCs w:val="21"/>
                <w:lang w:val="zh-CN"/>
              </w:rPr>
            </w:pPr>
          </w:p>
        </w:tc>
        <w:tc>
          <w:tcPr>
            <w:tcW w:w="851" w:type="dxa"/>
            <w:vMerge/>
          </w:tcPr>
          <w:p w14:paraId="514BAF81" w14:textId="77777777" w:rsidR="00B14D53" w:rsidRDefault="00B14D53">
            <w:pPr>
              <w:adjustRightInd/>
              <w:snapToGrid/>
              <w:jc w:val="center"/>
              <w:rPr>
                <w:rFonts w:eastAsiaTheme="minorEastAsia"/>
                <w:kern w:val="0"/>
                <w:szCs w:val="21"/>
                <w:lang w:val="zh-CN"/>
              </w:rPr>
            </w:pPr>
          </w:p>
        </w:tc>
        <w:tc>
          <w:tcPr>
            <w:tcW w:w="1029" w:type="dxa"/>
            <w:tcBorders>
              <w:top w:val="single" w:sz="4" w:space="0" w:color="auto"/>
            </w:tcBorders>
          </w:tcPr>
          <w:p w14:paraId="5F98D09D"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臭气浓度</w:t>
            </w:r>
          </w:p>
        </w:tc>
        <w:tc>
          <w:tcPr>
            <w:tcW w:w="2514" w:type="dxa"/>
            <w:vMerge/>
          </w:tcPr>
          <w:p w14:paraId="0487EE55" w14:textId="77777777" w:rsidR="00B14D53" w:rsidRDefault="00B14D53">
            <w:pPr>
              <w:adjustRightInd/>
              <w:snapToGrid/>
              <w:rPr>
                <w:rFonts w:eastAsiaTheme="minorEastAsia"/>
                <w:kern w:val="0"/>
                <w:szCs w:val="21"/>
                <w:lang w:val="zh-CN"/>
              </w:rPr>
            </w:pPr>
          </w:p>
        </w:tc>
        <w:tc>
          <w:tcPr>
            <w:tcW w:w="1170" w:type="dxa"/>
            <w:vMerge/>
          </w:tcPr>
          <w:p w14:paraId="6DCED771" w14:textId="77777777" w:rsidR="00B14D53" w:rsidRDefault="00B14D53">
            <w:pPr>
              <w:adjustRightInd/>
              <w:snapToGrid/>
              <w:rPr>
                <w:rFonts w:eastAsiaTheme="minorEastAsia"/>
                <w:kern w:val="0"/>
                <w:szCs w:val="21"/>
                <w:lang w:val="zh-CN"/>
              </w:rPr>
            </w:pPr>
          </w:p>
        </w:tc>
        <w:tc>
          <w:tcPr>
            <w:tcW w:w="2108" w:type="dxa"/>
            <w:vMerge/>
          </w:tcPr>
          <w:p w14:paraId="332BFC78" w14:textId="77777777" w:rsidR="00B14D53" w:rsidRDefault="00B14D53">
            <w:pPr>
              <w:adjustRightInd/>
              <w:snapToGrid/>
              <w:rPr>
                <w:rFonts w:eastAsiaTheme="minorEastAsia"/>
                <w:kern w:val="0"/>
                <w:szCs w:val="21"/>
                <w:lang w:val="zh-CN"/>
              </w:rPr>
            </w:pPr>
          </w:p>
        </w:tc>
        <w:tc>
          <w:tcPr>
            <w:tcW w:w="696" w:type="dxa"/>
            <w:vMerge/>
          </w:tcPr>
          <w:p w14:paraId="39814928" w14:textId="77777777" w:rsidR="00B14D53" w:rsidRDefault="00B14D53">
            <w:pPr>
              <w:adjustRightInd/>
              <w:snapToGrid/>
              <w:jc w:val="center"/>
              <w:rPr>
                <w:rFonts w:eastAsiaTheme="minorEastAsia"/>
                <w:kern w:val="0"/>
                <w:szCs w:val="21"/>
                <w:lang w:val="zh-CN"/>
              </w:rPr>
            </w:pPr>
          </w:p>
        </w:tc>
        <w:tc>
          <w:tcPr>
            <w:tcW w:w="851" w:type="dxa"/>
            <w:vMerge/>
          </w:tcPr>
          <w:p w14:paraId="2FE05AE6" w14:textId="77777777" w:rsidR="00B14D53" w:rsidRDefault="00B14D53">
            <w:pPr>
              <w:adjustRightInd/>
              <w:snapToGrid/>
              <w:jc w:val="center"/>
              <w:rPr>
                <w:rFonts w:eastAsiaTheme="minorEastAsia"/>
                <w:kern w:val="0"/>
                <w:szCs w:val="21"/>
                <w:lang w:val="zh-CN"/>
              </w:rPr>
            </w:pPr>
          </w:p>
        </w:tc>
        <w:tc>
          <w:tcPr>
            <w:tcW w:w="2280" w:type="dxa"/>
            <w:vMerge/>
          </w:tcPr>
          <w:p w14:paraId="4D0BFB73" w14:textId="77777777" w:rsidR="00B14D53" w:rsidRDefault="00B14D53">
            <w:pPr>
              <w:adjustRightInd/>
              <w:snapToGrid/>
              <w:rPr>
                <w:rFonts w:eastAsiaTheme="minorEastAsia"/>
                <w:kern w:val="0"/>
                <w:szCs w:val="21"/>
                <w:lang w:val="zh-CN"/>
              </w:rPr>
            </w:pPr>
          </w:p>
        </w:tc>
        <w:tc>
          <w:tcPr>
            <w:tcW w:w="2450" w:type="dxa"/>
          </w:tcPr>
          <w:p w14:paraId="5FBA5912"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臭气的测定</w:t>
            </w:r>
            <w:r>
              <w:rPr>
                <w:rFonts w:hint="eastAsia"/>
              </w:rPr>
              <w:t xml:space="preserve"> </w:t>
            </w:r>
            <w:r>
              <w:rPr>
                <w:rFonts w:hint="eastAsia"/>
              </w:rPr>
              <w:t>三点比较式臭袋法》（</w:t>
            </w:r>
            <w:r>
              <w:rPr>
                <w:rFonts w:hint="eastAsia"/>
              </w:rPr>
              <w:t>HJ1262-2022</w:t>
            </w:r>
            <w:r>
              <w:rPr>
                <w:rFonts w:hint="eastAsia"/>
              </w:rPr>
              <w:t>）</w:t>
            </w:r>
          </w:p>
        </w:tc>
      </w:tr>
      <w:tr w:rsidR="00B14D53" w14:paraId="79A64696" w14:textId="77777777">
        <w:trPr>
          <w:trHeight w:val="90"/>
          <w:jc w:val="center"/>
        </w:trPr>
        <w:tc>
          <w:tcPr>
            <w:tcW w:w="550" w:type="dxa"/>
            <w:vMerge/>
          </w:tcPr>
          <w:p w14:paraId="64B5FF14" w14:textId="77777777" w:rsidR="00B14D53" w:rsidRDefault="00B14D53">
            <w:pPr>
              <w:adjustRightInd/>
              <w:snapToGrid/>
              <w:rPr>
                <w:rFonts w:eastAsiaTheme="minorEastAsia"/>
                <w:kern w:val="0"/>
                <w:szCs w:val="21"/>
                <w:lang w:val="zh-CN"/>
              </w:rPr>
            </w:pPr>
          </w:p>
        </w:tc>
        <w:tc>
          <w:tcPr>
            <w:tcW w:w="851" w:type="dxa"/>
            <w:vMerge w:val="restart"/>
          </w:tcPr>
          <w:p w14:paraId="35078A0B" w14:textId="77777777" w:rsidR="00B14D53" w:rsidRDefault="00000000">
            <w:pPr>
              <w:adjustRightInd/>
              <w:snapToGrid/>
              <w:jc w:val="center"/>
              <w:rPr>
                <w:rFonts w:eastAsiaTheme="minorEastAsia"/>
                <w:kern w:val="0"/>
                <w:szCs w:val="21"/>
              </w:rPr>
            </w:pPr>
            <w:r>
              <w:rPr>
                <w:rFonts w:eastAsiaTheme="minorEastAsia" w:hint="eastAsia"/>
                <w:kern w:val="0"/>
                <w:szCs w:val="21"/>
              </w:rPr>
              <w:t>屠宰车间</w:t>
            </w:r>
          </w:p>
        </w:tc>
        <w:tc>
          <w:tcPr>
            <w:tcW w:w="1029" w:type="dxa"/>
            <w:tcBorders>
              <w:top w:val="single" w:sz="4" w:space="0" w:color="auto"/>
            </w:tcBorders>
          </w:tcPr>
          <w:p w14:paraId="7D47916C"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NH</w:t>
            </w:r>
            <w:r>
              <w:rPr>
                <w:rFonts w:eastAsiaTheme="minorEastAsia"/>
                <w:kern w:val="0"/>
                <w:szCs w:val="21"/>
                <w:vertAlign w:val="subscript"/>
                <w:lang w:val="zh-CN"/>
              </w:rPr>
              <w:t>3</w:t>
            </w:r>
          </w:p>
        </w:tc>
        <w:tc>
          <w:tcPr>
            <w:tcW w:w="2514" w:type="dxa"/>
            <w:vMerge w:val="restart"/>
          </w:tcPr>
          <w:p w14:paraId="3DA2DCBD" w14:textId="77777777" w:rsidR="00B14D53" w:rsidRDefault="00000000">
            <w:pPr>
              <w:adjustRightInd/>
              <w:snapToGrid/>
              <w:rPr>
                <w:rFonts w:eastAsiaTheme="minorEastAsia"/>
                <w:kern w:val="0"/>
                <w:szCs w:val="21"/>
                <w:lang w:val="zh-CN"/>
              </w:rPr>
            </w:pPr>
            <w:r>
              <w:rPr>
                <w:kern w:val="0"/>
                <w:szCs w:val="21"/>
              </w:rPr>
              <w:t>屠宰车间封闭，</w:t>
            </w:r>
            <w:r>
              <w:rPr>
                <w:bCs/>
                <w:kern w:val="0"/>
                <w:szCs w:val="21"/>
              </w:rPr>
              <w:t>产生的恶臭气体经</w:t>
            </w:r>
            <w:r>
              <w:rPr>
                <w:rFonts w:hint="eastAsia"/>
                <w:bCs/>
                <w:kern w:val="0"/>
                <w:szCs w:val="21"/>
              </w:rPr>
              <w:t>引风机集中收集</w:t>
            </w:r>
            <w:r>
              <w:rPr>
                <w:bCs/>
                <w:kern w:val="0"/>
                <w:szCs w:val="21"/>
              </w:rPr>
              <w:t>后，通过活性炭吸附净化后由</w:t>
            </w:r>
            <w:r>
              <w:rPr>
                <w:rFonts w:hint="eastAsia"/>
                <w:bCs/>
                <w:kern w:val="0"/>
                <w:szCs w:val="21"/>
              </w:rPr>
              <w:t>1</w:t>
            </w:r>
            <w:r>
              <w:rPr>
                <w:rFonts w:hint="eastAsia"/>
                <w:bCs/>
                <w:kern w:val="0"/>
                <w:szCs w:val="21"/>
              </w:rPr>
              <w:t>根</w:t>
            </w:r>
            <w:r>
              <w:rPr>
                <w:bCs/>
                <w:kern w:val="0"/>
                <w:szCs w:val="21"/>
              </w:rPr>
              <w:t>15m</w:t>
            </w:r>
            <w:r>
              <w:rPr>
                <w:bCs/>
                <w:kern w:val="0"/>
                <w:szCs w:val="21"/>
              </w:rPr>
              <w:t>高排气筒（</w:t>
            </w:r>
            <w:r>
              <w:rPr>
                <w:bCs/>
                <w:kern w:val="0"/>
                <w:szCs w:val="21"/>
              </w:rPr>
              <w:t>DA00</w:t>
            </w:r>
            <w:r>
              <w:rPr>
                <w:rFonts w:hint="eastAsia"/>
                <w:bCs/>
                <w:kern w:val="0"/>
                <w:szCs w:val="21"/>
              </w:rPr>
              <w:t>3</w:t>
            </w:r>
            <w:r>
              <w:rPr>
                <w:bCs/>
                <w:kern w:val="0"/>
                <w:szCs w:val="21"/>
              </w:rPr>
              <w:t>）排放</w:t>
            </w:r>
          </w:p>
        </w:tc>
        <w:tc>
          <w:tcPr>
            <w:tcW w:w="1170" w:type="dxa"/>
            <w:vMerge w:val="restart"/>
          </w:tcPr>
          <w:p w14:paraId="2BFB05EB" w14:textId="77777777" w:rsidR="00B14D53" w:rsidRDefault="00000000">
            <w:pPr>
              <w:adjustRightInd/>
              <w:snapToGrid/>
              <w:rPr>
                <w:rFonts w:eastAsiaTheme="minorEastAsia"/>
                <w:kern w:val="0"/>
                <w:szCs w:val="21"/>
                <w:lang w:val="zh-CN"/>
              </w:rPr>
            </w:pPr>
            <w:r>
              <w:rPr>
                <w:bCs/>
                <w:kern w:val="0"/>
                <w:szCs w:val="21"/>
              </w:rPr>
              <w:t>排气筒（</w:t>
            </w:r>
            <w:r>
              <w:rPr>
                <w:bCs/>
                <w:kern w:val="0"/>
                <w:szCs w:val="21"/>
              </w:rPr>
              <w:t>DA00</w:t>
            </w:r>
            <w:r>
              <w:rPr>
                <w:rFonts w:hint="eastAsia"/>
                <w:bCs/>
                <w:kern w:val="0"/>
                <w:szCs w:val="21"/>
              </w:rPr>
              <w:t>3</w:t>
            </w:r>
            <w:r>
              <w:rPr>
                <w:bCs/>
                <w:kern w:val="0"/>
                <w:szCs w:val="21"/>
              </w:rPr>
              <w:t>）</w:t>
            </w:r>
          </w:p>
        </w:tc>
        <w:tc>
          <w:tcPr>
            <w:tcW w:w="2108" w:type="dxa"/>
            <w:vMerge/>
          </w:tcPr>
          <w:p w14:paraId="581ED83E" w14:textId="77777777" w:rsidR="00B14D53" w:rsidRDefault="00B14D53">
            <w:pPr>
              <w:adjustRightInd/>
              <w:snapToGrid/>
              <w:rPr>
                <w:rFonts w:eastAsiaTheme="minorEastAsia"/>
                <w:kern w:val="0"/>
                <w:szCs w:val="21"/>
                <w:lang w:val="zh-CN"/>
              </w:rPr>
            </w:pPr>
          </w:p>
        </w:tc>
        <w:tc>
          <w:tcPr>
            <w:tcW w:w="696" w:type="dxa"/>
            <w:vMerge w:val="restart"/>
          </w:tcPr>
          <w:p w14:paraId="325AB47E"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kern w:val="0"/>
                <w:szCs w:val="21"/>
                <w:lang w:val="zh-CN"/>
              </w:rPr>
              <w:t>年</w:t>
            </w:r>
          </w:p>
        </w:tc>
        <w:tc>
          <w:tcPr>
            <w:tcW w:w="851" w:type="dxa"/>
            <w:vMerge w:val="restart"/>
          </w:tcPr>
          <w:p w14:paraId="5CCB03D0"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手工监测</w:t>
            </w:r>
          </w:p>
        </w:tc>
        <w:tc>
          <w:tcPr>
            <w:tcW w:w="2280" w:type="dxa"/>
            <w:vMerge w:val="restart"/>
          </w:tcPr>
          <w:p w14:paraId="735E2BAF" w14:textId="77777777" w:rsidR="00B14D53" w:rsidRDefault="00000000">
            <w:pPr>
              <w:adjustRightInd/>
              <w:snapToGrid/>
              <w:rPr>
                <w:rFonts w:eastAsiaTheme="minorEastAsia"/>
                <w:kern w:val="0"/>
                <w:szCs w:val="21"/>
                <w:lang w:val="zh-CN"/>
              </w:rPr>
            </w:pPr>
            <w:r>
              <w:rPr>
                <w:rFonts w:eastAsiaTheme="minorEastAsia"/>
                <w:kern w:val="0"/>
                <w:szCs w:val="21"/>
                <w:lang w:val="zh-CN"/>
              </w:rPr>
              <w:t>参照《恶臭污染物排放标准》</w:t>
            </w:r>
            <w:r>
              <w:rPr>
                <w:rFonts w:eastAsiaTheme="minorEastAsia"/>
                <w:kern w:val="0"/>
                <w:szCs w:val="21"/>
                <w:lang w:val="zh-CN"/>
              </w:rPr>
              <w:t>(GB14554-93)</w:t>
            </w:r>
            <w:r>
              <w:rPr>
                <w:rFonts w:eastAsiaTheme="minorEastAsia"/>
                <w:kern w:val="0"/>
                <w:szCs w:val="21"/>
                <w:lang w:val="zh-CN"/>
              </w:rPr>
              <w:t>及</w:t>
            </w:r>
            <w:r>
              <w:rPr>
                <w:rFonts w:eastAsiaTheme="minorEastAsia"/>
                <w:kern w:val="0"/>
                <w:szCs w:val="21"/>
                <w:lang w:val="zh-CN"/>
              </w:rPr>
              <w:t>GB/T16157</w:t>
            </w:r>
            <w:r>
              <w:rPr>
                <w:rFonts w:eastAsiaTheme="minorEastAsia"/>
                <w:kern w:val="0"/>
                <w:szCs w:val="21"/>
                <w:lang w:val="zh-CN"/>
              </w:rPr>
              <w:t>、</w:t>
            </w:r>
            <w:r>
              <w:rPr>
                <w:rFonts w:eastAsiaTheme="minorEastAsia"/>
                <w:kern w:val="0"/>
                <w:szCs w:val="21"/>
                <w:lang w:val="zh-CN"/>
              </w:rPr>
              <w:t>HJ/T397</w:t>
            </w:r>
            <w:r>
              <w:rPr>
                <w:rFonts w:eastAsiaTheme="minorEastAsia"/>
                <w:kern w:val="0"/>
                <w:szCs w:val="21"/>
                <w:lang w:val="zh-CN"/>
              </w:rPr>
              <w:t>等执行</w:t>
            </w:r>
          </w:p>
        </w:tc>
        <w:tc>
          <w:tcPr>
            <w:tcW w:w="2450" w:type="dxa"/>
          </w:tcPr>
          <w:p w14:paraId="7EBED2B4"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氨的测定</w:t>
            </w:r>
            <w:r>
              <w:rPr>
                <w:rFonts w:hint="eastAsia"/>
              </w:rPr>
              <w:t xml:space="preserve"> </w:t>
            </w:r>
            <w:r>
              <w:rPr>
                <w:rFonts w:hint="eastAsia"/>
              </w:rPr>
              <w:t>纳氏试剂分光光度法》（</w:t>
            </w:r>
            <w:r>
              <w:rPr>
                <w:rFonts w:hint="eastAsia"/>
              </w:rPr>
              <w:t>HJ533-2009</w:t>
            </w:r>
            <w:r>
              <w:rPr>
                <w:rFonts w:hint="eastAsia"/>
              </w:rPr>
              <w:t>）</w:t>
            </w:r>
          </w:p>
        </w:tc>
      </w:tr>
      <w:tr w:rsidR="00B14D53" w14:paraId="005A303D" w14:textId="77777777">
        <w:trPr>
          <w:trHeight w:val="90"/>
          <w:jc w:val="center"/>
        </w:trPr>
        <w:tc>
          <w:tcPr>
            <w:tcW w:w="550" w:type="dxa"/>
            <w:vMerge/>
          </w:tcPr>
          <w:p w14:paraId="7AEEEACA" w14:textId="77777777" w:rsidR="00B14D53" w:rsidRDefault="00B14D53">
            <w:pPr>
              <w:adjustRightInd/>
              <w:snapToGrid/>
              <w:rPr>
                <w:rFonts w:eastAsiaTheme="minorEastAsia"/>
                <w:kern w:val="0"/>
                <w:szCs w:val="21"/>
                <w:lang w:val="zh-CN"/>
              </w:rPr>
            </w:pPr>
          </w:p>
        </w:tc>
        <w:tc>
          <w:tcPr>
            <w:tcW w:w="851" w:type="dxa"/>
            <w:vMerge/>
          </w:tcPr>
          <w:p w14:paraId="3AB242CA" w14:textId="77777777" w:rsidR="00B14D53" w:rsidRDefault="00B14D53">
            <w:pPr>
              <w:adjustRightInd/>
              <w:snapToGrid/>
              <w:jc w:val="center"/>
              <w:rPr>
                <w:rFonts w:eastAsiaTheme="minorEastAsia"/>
                <w:kern w:val="0"/>
                <w:szCs w:val="21"/>
                <w:lang w:val="zh-CN"/>
              </w:rPr>
            </w:pPr>
          </w:p>
        </w:tc>
        <w:tc>
          <w:tcPr>
            <w:tcW w:w="1029" w:type="dxa"/>
            <w:tcBorders>
              <w:top w:val="single" w:sz="4" w:space="0" w:color="auto"/>
            </w:tcBorders>
          </w:tcPr>
          <w:p w14:paraId="63B91F84"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H</w:t>
            </w:r>
            <w:r>
              <w:rPr>
                <w:rFonts w:eastAsiaTheme="minorEastAsia"/>
                <w:kern w:val="0"/>
                <w:szCs w:val="21"/>
                <w:vertAlign w:val="subscript"/>
                <w:lang w:val="zh-CN"/>
              </w:rPr>
              <w:t>2</w:t>
            </w:r>
            <w:r>
              <w:rPr>
                <w:rFonts w:eastAsiaTheme="minorEastAsia"/>
                <w:kern w:val="0"/>
                <w:szCs w:val="21"/>
                <w:lang w:val="zh-CN"/>
              </w:rPr>
              <w:t>S</w:t>
            </w:r>
          </w:p>
        </w:tc>
        <w:tc>
          <w:tcPr>
            <w:tcW w:w="2514" w:type="dxa"/>
            <w:vMerge/>
          </w:tcPr>
          <w:p w14:paraId="4FFAE684" w14:textId="77777777" w:rsidR="00B14D53" w:rsidRDefault="00B14D53">
            <w:pPr>
              <w:adjustRightInd/>
              <w:snapToGrid/>
              <w:rPr>
                <w:rFonts w:eastAsiaTheme="minorEastAsia"/>
                <w:kern w:val="0"/>
                <w:szCs w:val="21"/>
                <w:lang w:val="zh-CN"/>
              </w:rPr>
            </w:pPr>
          </w:p>
        </w:tc>
        <w:tc>
          <w:tcPr>
            <w:tcW w:w="1170" w:type="dxa"/>
            <w:vMerge/>
          </w:tcPr>
          <w:p w14:paraId="676A2E71" w14:textId="77777777" w:rsidR="00B14D53" w:rsidRDefault="00B14D53">
            <w:pPr>
              <w:adjustRightInd/>
              <w:snapToGrid/>
              <w:rPr>
                <w:rFonts w:eastAsiaTheme="minorEastAsia"/>
                <w:kern w:val="0"/>
                <w:szCs w:val="21"/>
                <w:lang w:val="zh-CN"/>
              </w:rPr>
            </w:pPr>
          </w:p>
        </w:tc>
        <w:tc>
          <w:tcPr>
            <w:tcW w:w="2108" w:type="dxa"/>
            <w:vMerge/>
          </w:tcPr>
          <w:p w14:paraId="6F8492BE" w14:textId="77777777" w:rsidR="00B14D53" w:rsidRDefault="00B14D53">
            <w:pPr>
              <w:adjustRightInd/>
              <w:snapToGrid/>
              <w:rPr>
                <w:rFonts w:eastAsiaTheme="minorEastAsia"/>
                <w:kern w:val="0"/>
                <w:szCs w:val="21"/>
                <w:lang w:val="zh-CN"/>
              </w:rPr>
            </w:pPr>
          </w:p>
        </w:tc>
        <w:tc>
          <w:tcPr>
            <w:tcW w:w="696" w:type="dxa"/>
            <w:vMerge/>
          </w:tcPr>
          <w:p w14:paraId="4BFE803A" w14:textId="77777777" w:rsidR="00B14D53" w:rsidRDefault="00B14D53">
            <w:pPr>
              <w:adjustRightInd/>
              <w:snapToGrid/>
              <w:jc w:val="center"/>
              <w:rPr>
                <w:rFonts w:eastAsiaTheme="minorEastAsia"/>
                <w:kern w:val="0"/>
                <w:szCs w:val="21"/>
                <w:lang w:val="zh-CN"/>
              </w:rPr>
            </w:pPr>
          </w:p>
        </w:tc>
        <w:tc>
          <w:tcPr>
            <w:tcW w:w="851" w:type="dxa"/>
            <w:vMerge/>
          </w:tcPr>
          <w:p w14:paraId="7D8A1EFD" w14:textId="77777777" w:rsidR="00B14D53" w:rsidRDefault="00B14D53">
            <w:pPr>
              <w:adjustRightInd/>
              <w:snapToGrid/>
              <w:jc w:val="center"/>
              <w:rPr>
                <w:rFonts w:eastAsiaTheme="minorEastAsia"/>
                <w:kern w:val="0"/>
                <w:szCs w:val="21"/>
                <w:lang w:val="zh-CN"/>
              </w:rPr>
            </w:pPr>
          </w:p>
        </w:tc>
        <w:tc>
          <w:tcPr>
            <w:tcW w:w="2280" w:type="dxa"/>
            <w:vMerge/>
          </w:tcPr>
          <w:p w14:paraId="36D3BBA8" w14:textId="77777777" w:rsidR="00B14D53" w:rsidRDefault="00B14D53">
            <w:pPr>
              <w:adjustRightInd/>
              <w:snapToGrid/>
              <w:rPr>
                <w:rFonts w:eastAsiaTheme="minorEastAsia"/>
                <w:kern w:val="0"/>
                <w:szCs w:val="21"/>
                <w:lang w:val="zh-CN"/>
              </w:rPr>
            </w:pPr>
          </w:p>
        </w:tc>
        <w:tc>
          <w:tcPr>
            <w:tcW w:w="2450" w:type="dxa"/>
          </w:tcPr>
          <w:p w14:paraId="73D2FDA9" w14:textId="77777777" w:rsidR="00B14D53" w:rsidRDefault="00000000">
            <w:pPr>
              <w:adjustRightInd/>
              <w:snapToGrid/>
              <w:rPr>
                <w:rFonts w:eastAsiaTheme="minorEastAsia"/>
                <w:kern w:val="0"/>
                <w:szCs w:val="21"/>
                <w:lang w:val="zh-CN"/>
              </w:rPr>
            </w:pPr>
            <w:r>
              <w:rPr>
                <w:color w:val="000000"/>
              </w:rPr>
              <w:t>气态污染物的测定</w:t>
            </w:r>
            <w:r>
              <w:rPr>
                <w:color w:val="000000"/>
              </w:rPr>
              <w:t xml:space="preserve"> </w:t>
            </w:r>
            <w:r>
              <w:rPr>
                <w:color w:val="000000"/>
              </w:rPr>
              <w:t>硫化氢</w:t>
            </w:r>
            <w:r>
              <w:rPr>
                <w:color w:val="000000"/>
              </w:rPr>
              <w:t xml:space="preserve"> </w:t>
            </w:r>
            <w:r>
              <w:rPr>
                <w:color w:val="000000"/>
              </w:rPr>
              <w:t>亚甲基蓝分光光度法《空气和废气监测分析方法》</w:t>
            </w:r>
            <w:r>
              <w:rPr>
                <w:color w:val="000000"/>
              </w:rPr>
              <w:t>(</w:t>
            </w:r>
            <w:r>
              <w:rPr>
                <w:color w:val="000000"/>
              </w:rPr>
              <w:t>第四版</w:t>
            </w:r>
            <w:r>
              <w:rPr>
                <w:color w:val="000000"/>
              </w:rPr>
              <w:t>)</w:t>
            </w:r>
            <w:r>
              <w:rPr>
                <w:color w:val="000000"/>
              </w:rPr>
              <w:t>国家环境保护总局（</w:t>
            </w:r>
            <w:r>
              <w:rPr>
                <w:color w:val="000000"/>
              </w:rPr>
              <w:t>2003</w:t>
            </w:r>
            <w:r>
              <w:rPr>
                <w:color w:val="000000"/>
              </w:rPr>
              <w:t>年）</w:t>
            </w:r>
          </w:p>
        </w:tc>
      </w:tr>
      <w:tr w:rsidR="00B14D53" w14:paraId="6CE1C275" w14:textId="77777777">
        <w:trPr>
          <w:trHeight w:val="90"/>
          <w:jc w:val="center"/>
        </w:trPr>
        <w:tc>
          <w:tcPr>
            <w:tcW w:w="550" w:type="dxa"/>
            <w:vMerge/>
          </w:tcPr>
          <w:p w14:paraId="1EF940BF" w14:textId="77777777" w:rsidR="00B14D53" w:rsidRDefault="00B14D53">
            <w:pPr>
              <w:adjustRightInd/>
              <w:snapToGrid/>
              <w:rPr>
                <w:rFonts w:eastAsiaTheme="minorEastAsia"/>
                <w:kern w:val="0"/>
                <w:szCs w:val="21"/>
                <w:lang w:val="zh-CN"/>
              </w:rPr>
            </w:pPr>
          </w:p>
        </w:tc>
        <w:tc>
          <w:tcPr>
            <w:tcW w:w="851" w:type="dxa"/>
            <w:vMerge/>
          </w:tcPr>
          <w:p w14:paraId="5B3595C9" w14:textId="77777777" w:rsidR="00B14D53" w:rsidRDefault="00B14D53">
            <w:pPr>
              <w:adjustRightInd/>
              <w:snapToGrid/>
              <w:jc w:val="center"/>
              <w:rPr>
                <w:rFonts w:eastAsiaTheme="minorEastAsia"/>
                <w:kern w:val="0"/>
                <w:szCs w:val="21"/>
                <w:lang w:val="zh-CN"/>
              </w:rPr>
            </w:pPr>
          </w:p>
        </w:tc>
        <w:tc>
          <w:tcPr>
            <w:tcW w:w="1029" w:type="dxa"/>
            <w:tcBorders>
              <w:top w:val="single" w:sz="4" w:space="0" w:color="auto"/>
            </w:tcBorders>
          </w:tcPr>
          <w:p w14:paraId="31C0234D"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臭气浓度</w:t>
            </w:r>
          </w:p>
        </w:tc>
        <w:tc>
          <w:tcPr>
            <w:tcW w:w="2514" w:type="dxa"/>
            <w:vMerge/>
          </w:tcPr>
          <w:p w14:paraId="33170E4D" w14:textId="77777777" w:rsidR="00B14D53" w:rsidRDefault="00B14D53">
            <w:pPr>
              <w:adjustRightInd/>
              <w:snapToGrid/>
              <w:rPr>
                <w:rFonts w:eastAsiaTheme="minorEastAsia"/>
                <w:kern w:val="0"/>
                <w:szCs w:val="21"/>
                <w:lang w:val="zh-CN"/>
              </w:rPr>
            </w:pPr>
          </w:p>
        </w:tc>
        <w:tc>
          <w:tcPr>
            <w:tcW w:w="1170" w:type="dxa"/>
            <w:vMerge/>
          </w:tcPr>
          <w:p w14:paraId="168C64D6" w14:textId="77777777" w:rsidR="00B14D53" w:rsidRDefault="00B14D53">
            <w:pPr>
              <w:adjustRightInd/>
              <w:snapToGrid/>
              <w:rPr>
                <w:rFonts w:eastAsiaTheme="minorEastAsia"/>
                <w:kern w:val="0"/>
                <w:szCs w:val="21"/>
                <w:lang w:val="zh-CN"/>
              </w:rPr>
            </w:pPr>
          </w:p>
        </w:tc>
        <w:tc>
          <w:tcPr>
            <w:tcW w:w="2108" w:type="dxa"/>
            <w:vMerge/>
          </w:tcPr>
          <w:p w14:paraId="23051673" w14:textId="77777777" w:rsidR="00B14D53" w:rsidRDefault="00B14D53">
            <w:pPr>
              <w:adjustRightInd/>
              <w:snapToGrid/>
              <w:rPr>
                <w:rFonts w:eastAsiaTheme="minorEastAsia"/>
                <w:kern w:val="0"/>
                <w:szCs w:val="21"/>
                <w:lang w:val="zh-CN"/>
              </w:rPr>
            </w:pPr>
          </w:p>
        </w:tc>
        <w:tc>
          <w:tcPr>
            <w:tcW w:w="696" w:type="dxa"/>
            <w:vMerge/>
          </w:tcPr>
          <w:p w14:paraId="153AEFCE" w14:textId="77777777" w:rsidR="00B14D53" w:rsidRDefault="00B14D53">
            <w:pPr>
              <w:adjustRightInd/>
              <w:snapToGrid/>
              <w:jc w:val="center"/>
              <w:rPr>
                <w:rFonts w:eastAsiaTheme="minorEastAsia"/>
                <w:kern w:val="0"/>
                <w:szCs w:val="21"/>
                <w:lang w:val="zh-CN"/>
              </w:rPr>
            </w:pPr>
          </w:p>
        </w:tc>
        <w:tc>
          <w:tcPr>
            <w:tcW w:w="851" w:type="dxa"/>
            <w:vMerge/>
          </w:tcPr>
          <w:p w14:paraId="110E63E4" w14:textId="77777777" w:rsidR="00B14D53" w:rsidRDefault="00B14D53">
            <w:pPr>
              <w:adjustRightInd/>
              <w:snapToGrid/>
              <w:jc w:val="center"/>
              <w:rPr>
                <w:rFonts w:eastAsiaTheme="minorEastAsia"/>
                <w:kern w:val="0"/>
                <w:szCs w:val="21"/>
                <w:lang w:val="zh-CN"/>
              </w:rPr>
            </w:pPr>
          </w:p>
        </w:tc>
        <w:tc>
          <w:tcPr>
            <w:tcW w:w="2280" w:type="dxa"/>
            <w:vMerge/>
          </w:tcPr>
          <w:p w14:paraId="701AE230" w14:textId="77777777" w:rsidR="00B14D53" w:rsidRDefault="00B14D53">
            <w:pPr>
              <w:adjustRightInd/>
              <w:snapToGrid/>
              <w:rPr>
                <w:rFonts w:eastAsiaTheme="minorEastAsia"/>
                <w:kern w:val="0"/>
                <w:szCs w:val="21"/>
                <w:lang w:val="zh-CN"/>
              </w:rPr>
            </w:pPr>
          </w:p>
        </w:tc>
        <w:tc>
          <w:tcPr>
            <w:tcW w:w="2450" w:type="dxa"/>
          </w:tcPr>
          <w:p w14:paraId="52644CC3"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臭气的测定</w:t>
            </w:r>
            <w:r>
              <w:rPr>
                <w:rFonts w:hint="eastAsia"/>
              </w:rPr>
              <w:t xml:space="preserve"> </w:t>
            </w:r>
            <w:r>
              <w:rPr>
                <w:rFonts w:hint="eastAsia"/>
              </w:rPr>
              <w:t>三点比较式臭袋法》（</w:t>
            </w:r>
            <w:r>
              <w:rPr>
                <w:rFonts w:hint="eastAsia"/>
              </w:rPr>
              <w:t>HJ1262-2022</w:t>
            </w:r>
            <w:r>
              <w:rPr>
                <w:rFonts w:hint="eastAsia"/>
              </w:rPr>
              <w:t>）</w:t>
            </w:r>
          </w:p>
        </w:tc>
      </w:tr>
    </w:tbl>
    <w:p w14:paraId="2BEDF8BE" w14:textId="77777777" w:rsidR="00B14D53" w:rsidRDefault="00B14D53">
      <w:pPr>
        <w:spacing w:line="360" w:lineRule="auto"/>
        <w:jc w:val="center"/>
        <w:rPr>
          <w:rFonts w:eastAsiaTheme="minorEastAsia"/>
          <w:b/>
          <w:snapToGrid w:val="0"/>
          <w:kern w:val="0"/>
          <w:sz w:val="24"/>
        </w:rPr>
      </w:pPr>
    </w:p>
    <w:p w14:paraId="636C5CC6" w14:textId="77777777" w:rsidR="00B14D53" w:rsidRDefault="00000000">
      <w:pPr>
        <w:jc w:val="center"/>
        <w:rPr>
          <w:b/>
          <w:bCs/>
          <w:lang w:val="zh-CN"/>
        </w:rPr>
      </w:pPr>
      <w:r>
        <w:rPr>
          <w:rFonts w:hint="eastAsia"/>
          <w:b/>
          <w:bCs/>
        </w:rPr>
        <w:t>续</w:t>
      </w:r>
      <w:r>
        <w:rPr>
          <w:rFonts w:hint="eastAsia"/>
          <w:b/>
          <w:bCs/>
          <w:lang w:val="zh-CN"/>
        </w:rPr>
        <w:t>表</w:t>
      </w:r>
      <w:r>
        <w:rPr>
          <w:rFonts w:hint="eastAsia"/>
          <w:b/>
          <w:bCs/>
          <w:lang w:val="zh-CN"/>
        </w:rPr>
        <w:t xml:space="preserve">8-2-1 </w:t>
      </w:r>
      <w:r>
        <w:rPr>
          <w:rFonts w:hint="eastAsia"/>
          <w:b/>
          <w:bCs/>
          <w:lang w:val="zh-CN"/>
        </w:rPr>
        <w:t>监测计划一览表</w:t>
      </w:r>
    </w:p>
    <w:tbl>
      <w:tblPr>
        <w:tblStyle w:val="afffffffff8"/>
        <w:tblW w:w="14499" w:type="dxa"/>
        <w:jc w:val="center"/>
        <w:tblLayout w:type="fixed"/>
        <w:tblLook w:val="04A0" w:firstRow="1" w:lastRow="0" w:firstColumn="1" w:lastColumn="0" w:noHBand="0" w:noVBand="1"/>
      </w:tblPr>
      <w:tblGrid>
        <w:gridCol w:w="550"/>
        <w:gridCol w:w="851"/>
        <w:gridCol w:w="1029"/>
        <w:gridCol w:w="2514"/>
        <w:gridCol w:w="1170"/>
        <w:gridCol w:w="2108"/>
        <w:gridCol w:w="696"/>
        <w:gridCol w:w="851"/>
        <w:gridCol w:w="2280"/>
        <w:gridCol w:w="2441"/>
        <w:gridCol w:w="9"/>
      </w:tblGrid>
      <w:tr w:rsidR="00B14D53" w14:paraId="2E7A303D" w14:textId="77777777">
        <w:trPr>
          <w:trHeight w:val="90"/>
          <w:jc w:val="center"/>
        </w:trPr>
        <w:tc>
          <w:tcPr>
            <w:tcW w:w="550" w:type="dxa"/>
            <w:vMerge w:val="restart"/>
          </w:tcPr>
          <w:p w14:paraId="4F300A45" w14:textId="77777777" w:rsidR="00B14D53" w:rsidRDefault="00000000">
            <w:pPr>
              <w:adjustRightInd/>
              <w:snapToGrid/>
              <w:jc w:val="center"/>
              <w:rPr>
                <w:rFonts w:eastAsiaTheme="minorEastAsia"/>
                <w:kern w:val="0"/>
                <w:szCs w:val="21"/>
              </w:rPr>
            </w:pPr>
            <w:r>
              <w:rPr>
                <w:rFonts w:eastAsiaTheme="minorEastAsia" w:hint="eastAsia"/>
                <w:kern w:val="0"/>
                <w:szCs w:val="21"/>
              </w:rPr>
              <w:t>废气</w:t>
            </w:r>
          </w:p>
        </w:tc>
        <w:tc>
          <w:tcPr>
            <w:tcW w:w="851" w:type="dxa"/>
            <w:vMerge w:val="restart"/>
          </w:tcPr>
          <w:p w14:paraId="0106D9F4" w14:textId="77777777" w:rsidR="00B14D53" w:rsidRDefault="00000000">
            <w:pPr>
              <w:adjustRightInd/>
              <w:snapToGrid/>
              <w:jc w:val="center"/>
              <w:rPr>
                <w:rFonts w:eastAsiaTheme="minorEastAsia"/>
                <w:kern w:val="0"/>
                <w:szCs w:val="21"/>
              </w:rPr>
            </w:pPr>
            <w:r>
              <w:rPr>
                <w:rFonts w:eastAsiaTheme="minorEastAsia" w:hint="eastAsia"/>
                <w:kern w:val="0"/>
                <w:szCs w:val="21"/>
              </w:rPr>
              <w:t>污水处理站</w:t>
            </w:r>
          </w:p>
        </w:tc>
        <w:tc>
          <w:tcPr>
            <w:tcW w:w="1029" w:type="dxa"/>
            <w:tcBorders>
              <w:top w:val="single" w:sz="12" w:space="0" w:color="auto"/>
            </w:tcBorders>
          </w:tcPr>
          <w:p w14:paraId="7EE413CB"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NH</w:t>
            </w:r>
            <w:r>
              <w:rPr>
                <w:rFonts w:eastAsiaTheme="minorEastAsia"/>
                <w:kern w:val="0"/>
                <w:szCs w:val="21"/>
                <w:vertAlign w:val="subscript"/>
                <w:lang w:val="zh-CN"/>
              </w:rPr>
              <w:t>3</w:t>
            </w:r>
          </w:p>
        </w:tc>
        <w:tc>
          <w:tcPr>
            <w:tcW w:w="2514" w:type="dxa"/>
            <w:vMerge w:val="restart"/>
          </w:tcPr>
          <w:p w14:paraId="0ED84EC2" w14:textId="77777777" w:rsidR="00B14D53" w:rsidRDefault="00000000">
            <w:pPr>
              <w:adjustRightInd/>
              <w:snapToGrid/>
              <w:rPr>
                <w:rFonts w:eastAsiaTheme="minorEastAsia"/>
                <w:kern w:val="0"/>
                <w:szCs w:val="21"/>
                <w:lang w:val="zh-CN"/>
              </w:rPr>
            </w:pPr>
            <w:r>
              <w:rPr>
                <w:rFonts w:hint="eastAsia"/>
                <w:szCs w:val="21"/>
              </w:rPr>
              <w:t>污水处理站封闭，臭气集中收集，经</w:t>
            </w:r>
            <w:r>
              <w:rPr>
                <w:szCs w:val="21"/>
              </w:rPr>
              <w:t>活性炭吸附</w:t>
            </w:r>
            <w:r>
              <w:rPr>
                <w:rFonts w:hint="eastAsia"/>
                <w:szCs w:val="21"/>
              </w:rPr>
              <w:t>后由</w:t>
            </w:r>
            <w:r>
              <w:rPr>
                <w:rFonts w:hint="eastAsia"/>
                <w:szCs w:val="21"/>
              </w:rPr>
              <w:t>1</w:t>
            </w:r>
            <w:r>
              <w:rPr>
                <w:rFonts w:hint="eastAsia"/>
                <w:szCs w:val="21"/>
              </w:rPr>
              <w:t>根</w:t>
            </w:r>
            <w:r>
              <w:rPr>
                <w:szCs w:val="21"/>
              </w:rPr>
              <w:t>15m</w:t>
            </w:r>
            <w:r>
              <w:rPr>
                <w:szCs w:val="21"/>
              </w:rPr>
              <w:t>高排气筒</w:t>
            </w:r>
            <w:r>
              <w:rPr>
                <w:rFonts w:hint="eastAsia"/>
                <w:szCs w:val="21"/>
              </w:rPr>
              <w:t>（</w:t>
            </w:r>
            <w:r>
              <w:rPr>
                <w:rFonts w:hint="eastAsia"/>
                <w:szCs w:val="21"/>
              </w:rPr>
              <w:t>DA004</w:t>
            </w:r>
            <w:r>
              <w:rPr>
                <w:rFonts w:hint="eastAsia"/>
                <w:szCs w:val="21"/>
              </w:rPr>
              <w:t>）排放</w:t>
            </w:r>
          </w:p>
        </w:tc>
        <w:tc>
          <w:tcPr>
            <w:tcW w:w="1170" w:type="dxa"/>
            <w:vMerge w:val="restart"/>
          </w:tcPr>
          <w:p w14:paraId="1B5218CF" w14:textId="77777777" w:rsidR="00B14D53" w:rsidRDefault="00000000">
            <w:pPr>
              <w:adjustRightInd/>
              <w:snapToGrid/>
              <w:rPr>
                <w:rFonts w:eastAsiaTheme="minorEastAsia"/>
                <w:kern w:val="0"/>
                <w:szCs w:val="21"/>
                <w:lang w:val="zh-CN"/>
              </w:rPr>
            </w:pPr>
            <w:r>
              <w:rPr>
                <w:bCs/>
                <w:kern w:val="0"/>
                <w:szCs w:val="21"/>
              </w:rPr>
              <w:t>排气筒（</w:t>
            </w:r>
            <w:r>
              <w:rPr>
                <w:bCs/>
                <w:kern w:val="0"/>
                <w:szCs w:val="21"/>
              </w:rPr>
              <w:t>DA00</w:t>
            </w:r>
            <w:r>
              <w:rPr>
                <w:rFonts w:hint="eastAsia"/>
                <w:bCs/>
                <w:kern w:val="0"/>
                <w:szCs w:val="21"/>
              </w:rPr>
              <w:t>4</w:t>
            </w:r>
            <w:r>
              <w:rPr>
                <w:bCs/>
                <w:kern w:val="0"/>
                <w:szCs w:val="21"/>
              </w:rPr>
              <w:t>）</w:t>
            </w:r>
          </w:p>
        </w:tc>
        <w:tc>
          <w:tcPr>
            <w:tcW w:w="2108" w:type="dxa"/>
            <w:vMerge w:val="restart"/>
          </w:tcPr>
          <w:p w14:paraId="378E76BF" w14:textId="77777777" w:rsidR="00B14D53" w:rsidRDefault="00000000">
            <w:pPr>
              <w:adjustRightInd/>
              <w:snapToGrid/>
              <w:rPr>
                <w:rFonts w:eastAsiaTheme="minorEastAsia"/>
                <w:kern w:val="0"/>
                <w:szCs w:val="21"/>
                <w:lang w:val="zh-CN"/>
              </w:rPr>
            </w:pPr>
            <w:r>
              <w:rPr>
                <w:kern w:val="0"/>
              </w:rPr>
              <w:t>满足《恶臭污染物排放标准》（</w:t>
            </w:r>
            <w:r>
              <w:rPr>
                <w:kern w:val="0"/>
              </w:rPr>
              <w:t>GB14554-93</w:t>
            </w:r>
            <w:r>
              <w:rPr>
                <w:kern w:val="0"/>
              </w:rPr>
              <w:t>）表</w:t>
            </w:r>
            <w:r>
              <w:rPr>
                <w:kern w:val="0"/>
              </w:rPr>
              <w:t>2</w:t>
            </w:r>
            <w:r>
              <w:rPr>
                <w:kern w:val="0"/>
              </w:rPr>
              <w:t>标准要求</w:t>
            </w:r>
          </w:p>
        </w:tc>
        <w:tc>
          <w:tcPr>
            <w:tcW w:w="696" w:type="dxa"/>
            <w:vMerge w:val="restart"/>
          </w:tcPr>
          <w:p w14:paraId="6F6E440B"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kern w:val="0"/>
                <w:szCs w:val="21"/>
                <w:lang w:val="zh-CN"/>
              </w:rPr>
              <w:t>年</w:t>
            </w:r>
          </w:p>
        </w:tc>
        <w:tc>
          <w:tcPr>
            <w:tcW w:w="851" w:type="dxa"/>
            <w:vMerge w:val="restart"/>
          </w:tcPr>
          <w:p w14:paraId="74353ED9"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手工监测</w:t>
            </w:r>
          </w:p>
        </w:tc>
        <w:tc>
          <w:tcPr>
            <w:tcW w:w="2280" w:type="dxa"/>
            <w:vMerge w:val="restart"/>
          </w:tcPr>
          <w:p w14:paraId="39B8F78E" w14:textId="77777777" w:rsidR="00B14D53" w:rsidRDefault="00000000">
            <w:pPr>
              <w:adjustRightInd/>
              <w:snapToGrid/>
              <w:rPr>
                <w:rFonts w:eastAsiaTheme="minorEastAsia"/>
                <w:kern w:val="0"/>
                <w:szCs w:val="21"/>
                <w:lang w:val="zh-CN"/>
              </w:rPr>
            </w:pPr>
            <w:r>
              <w:rPr>
                <w:rFonts w:eastAsiaTheme="minorEastAsia"/>
                <w:kern w:val="0"/>
                <w:szCs w:val="21"/>
                <w:lang w:val="zh-CN"/>
              </w:rPr>
              <w:t>参照《恶臭污染物排放标准》</w:t>
            </w:r>
            <w:r>
              <w:rPr>
                <w:rFonts w:eastAsiaTheme="minorEastAsia"/>
                <w:kern w:val="0"/>
                <w:szCs w:val="21"/>
                <w:lang w:val="zh-CN"/>
              </w:rPr>
              <w:t>(GB14554-93)</w:t>
            </w:r>
            <w:r>
              <w:rPr>
                <w:rFonts w:eastAsiaTheme="minorEastAsia"/>
                <w:kern w:val="0"/>
                <w:szCs w:val="21"/>
                <w:lang w:val="zh-CN"/>
              </w:rPr>
              <w:t>及</w:t>
            </w:r>
            <w:r>
              <w:rPr>
                <w:rFonts w:eastAsiaTheme="minorEastAsia"/>
                <w:kern w:val="0"/>
                <w:szCs w:val="21"/>
                <w:lang w:val="zh-CN"/>
              </w:rPr>
              <w:t>GB/T16157</w:t>
            </w:r>
            <w:r>
              <w:rPr>
                <w:rFonts w:eastAsiaTheme="minorEastAsia"/>
                <w:kern w:val="0"/>
                <w:szCs w:val="21"/>
                <w:lang w:val="zh-CN"/>
              </w:rPr>
              <w:t>、</w:t>
            </w:r>
            <w:r>
              <w:rPr>
                <w:rFonts w:eastAsiaTheme="minorEastAsia"/>
                <w:kern w:val="0"/>
                <w:szCs w:val="21"/>
                <w:lang w:val="zh-CN"/>
              </w:rPr>
              <w:t>HJ/T397</w:t>
            </w:r>
            <w:r>
              <w:rPr>
                <w:rFonts w:eastAsiaTheme="minorEastAsia"/>
                <w:kern w:val="0"/>
                <w:szCs w:val="21"/>
                <w:lang w:val="zh-CN"/>
              </w:rPr>
              <w:t>等执行</w:t>
            </w:r>
          </w:p>
        </w:tc>
        <w:tc>
          <w:tcPr>
            <w:tcW w:w="2450" w:type="dxa"/>
            <w:gridSpan w:val="2"/>
          </w:tcPr>
          <w:p w14:paraId="07FDCBA5"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氨的测定</w:t>
            </w:r>
            <w:r>
              <w:rPr>
                <w:rFonts w:hint="eastAsia"/>
              </w:rPr>
              <w:t xml:space="preserve"> </w:t>
            </w:r>
            <w:r>
              <w:rPr>
                <w:rFonts w:hint="eastAsia"/>
              </w:rPr>
              <w:t>纳氏试剂分光光度法》（</w:t>
            </w:r>
            <w:r>
              <w:rPr>
                <w:rFonts w:hint="eastAsia"/>
              </w:rPr>
              <w:t>HJ533-2009</w:t>
            </w:r>
            <w:r>
              <w:rPr>
                <w:rFonts w:hint="eastAsia"/>
              </w:rPr>
              <w:t>）</w:t>
            </w:r>
          </w:p>
        </w:tc>
      </w:tr>
      <w:tr w:rsidR="00B14D53" w14:paraId="205BF34F" w14:textId="77777777">
        <w:trPr>
          <w:trHeight w:val="90"/>
          <w:jc w:val="center"/>
        </w:trPr>
        <w:tc>
          <w:tcPr>
            <w:tcW w:w="550" w:type="dxa"/>
            <w:vMerge/>
          </w:tcPr>
          <w:p w14:paraId="20996FF3" w14:textId="77777777" w:rsidR="00B14D53" w:rsidRDefault="00B14D53">
            <w:pPr>
              <w:adjustRightInd/>
              <w:snapToGrid/>
              <w:rPr>
                <w:rFonts w:eastAsiaTheme="minorEastAsia"/>
                <w:kern w:val="0"/>
                <w:szCs w:val="21"/>
                <w:lang w:val="zh-CN"/>
              </w:rPr>
            </w:pPr>
          </w:p>
        </w:tc>
        <w:tc>
          <w:tcPr>
            <w:tcW w:w="851" w:type="dxa"/>
            <w:vMerge/>
          </w:tcPr>
          <w:p w14:paraId="3968844F" w14:textId="77777777" w:rsidR="00B14D53" w:rsidRDefault="00B14D53">
            <w:pPr>
              <w:adjustRightInd/>
              <w:snapToGrid/>
              <w:jc w:val="center"/>
              <w:rPr>
                <w:rFonts w:eastAsiaTheme="minorEastAsia"/>
                <w:kern w:val="0"/>
                <w:szCs w:val="21"/>
                <w:lang w:val="zh-CN"/>
              </w:rPr>
            </w:pPr>
          </w:p>
        </w:tc>
        <w:tc>
          <w:tcPr>
            <w:tcW w:w="1029" w:type="dxa"/>
            <w:tcBorders>
              <w:top w:val="single" w:sz="4" w:space="0" w:color="auto"/>
            </w:tcBorders>
          </w:tcPr>
          <w:p w14:paraId="79A8AC07"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H</w:t>
            </w:r>
            <w:r>
              <w:rPr>
                <w:rFonts w:eastAsiaTheme="minorEastAsia"/>
                <w:kern w:val="0"/>
                <w:szCs w:val="21"/>
                <w:vertAlign w:val="subscript"/>
                <w:lang w:val="zh-CN"/>
              </w:rPr>
              <w:t>2</w:t>
            </w:r>
            <w:r>
              <w:rPr>
                <w:rFonts w:eastAsiaTheme="minorEastAsia"/>
                <w:kern w:val="0"/>
                <w:szCs w:val="21"/>
                <w:lang w:val="zh-CN"/>
              </w:rPr>
              <w:t>S</w:t>
            </w:r>
          </w:p>
        </w:tc>
        <w:tc>
          <w:tcPr>
            <w:tcW w:w="2514" w:type="dxa"/>
            <w:vMerge/>
          </w:tcPr>
          <w:p w14:paraId="56DC86DF" w14:textId="77777777" w:rsidR="00B14D53" w:rsidRDefault="00B14D53">
            <w:pPr>
              <w:adjustRightInd/>
              <w:snapToGrid/>
              <w:rPr>
                <w:rFonts w:eastAsiaTheme="minorEastAsia"/>
                <w:kern w:val="0"/>
                <w:szCs w:val="21"/>
                <w:lang w:val="zh-CN"/>
              </w:rPr>
            </w:pPr>
          </w:p>
        </w:tc>
        <w:tc>
          <w:tcPr>
            <w:tcW w:w="1170" w:type="dxa"/>
            <w:vMerge/>
          </w:tcPr>
          <w:p w14:paraId="652EFC71" w14:textId="77777777" w:rsidR="00B14D53" w:rsidRDefault="00B14D53">
            <w:pPr>
              <w:adjustRightInd/>
              <w:snapToGrid/>
              <w:rPr>
                <w:rFonts w:eastAsiaTheme="minorEastAsia"/>
                <w:kern w:val="0"/>
                <w:szCs w:val="21"/>
                <w:lang w:val="zh-CN"/>
              </w:rPr>
            </w:pPr>
          </w:p>
        </w:tc>
        <w:tc>
          <w:tcPr>
            <w:tcW w:w="2108" w:type="dxa"/>
            <w:vMerge/>
          </w:tcPr>
          <w:p w14:paraId="56975650" w14:textId="77777777" w:rsidR="00B14D53" w:rsidRDefault="00B14D53">
            <w:pPr>
              <w:adjustRightInd/>
              <w:snapToGrid/>
              <w:rPr>
                <w:rFonts w:eastAsiaTheme="minorEastAsia"/>
                <w:kern w:val="0"/>
                <w:szCs w:val="21"/>
                <w:lang w:val="zh-CN"/>
              </w:rPr>
            </w:pPr>
          </w:p>
        </w:tc>
        <w:tc>
          <w:tcPr>
            <w:tcW w:w="696" w:type="dxa"/>
            <w:vMerge/>
          </w:tcPr>
          <w:p w14:paraId="06D71E0C" w14:textId="77777777" w:rsidR="00B14D53" w:rsidRDefault="00B14D53">
            <w:pPr>
              <w:adjustRightInd/>
              <w:snapToGrid/>
              <w:jc w:val="center"/>
              <w:rPr>
                <w:rFonts w:eastAsiaTheme="minorEastAsia"/>
                <w:kern w:val="0"/>
                <w:szCs w:val="21"/>
                <w:lang w:val="zh-CN"/>
              </w:rPr>
            </w:pPr>
          </w:p>
        </w:tc>
        <w:tc>
          <w:tcPr>
            <w:tcW w:w="851" w:type="dxa"/>
            <w:vMerge/>
          </w:tcPr>
          <w:p w14:paraId="05A863D1" w14:textId="77777777" w:rsidR="00B14D53" w:rsidRDefault="00B14D53">
            <w:pPr>
              <w:adjustRightInd/>
              <w:snapToGrid/>
              <w:jc w:val="center"/>
              <w:rPr>
                <w:rFonts w:eastAsiaTheme="minorEastAsia"/>
                <w:kern w:val="0"/>
                <w:szCs w:val="21"/>
                <w:lang w:val="zh-CN"/>
              </w:rPr>
            </w:pPr>
          </w:p>
        </w:tc>
        <w:tc>
          <w:tcPr>
            <w:tcW w:w="2280" w:type="dxa"/>
            <w:vMerge/>
          </w:tcPr>
          <w:p w14:paraId="2809F7E8" w14:textId="77777777" w:rsidR="00B14D53" w:rsidRDefault="00B14D53">
            <w:pPr>
              <w:adjustRightInd/>
              <w:snapToGrid/>
              <w:rPr>
                <w:rFonts w:eastAsiaTheme="minorEastAsia"/>
                <w:kern w:val="0"/>
                <w:szCs w:val="21"/>
                <w:lang w:val="zh-CN"/>
              </w:rPr>
            </w:pPr>
          </w:p>
        </w:tc>
        <w:tc>
          <w:tcPr>
            <w:tcW w:w="2450" w:type="dxa"/>
            <w:gridSpan w:val="2"/>
          </w:tcPr>
          <w:p w14:paraId="217854DA" w14:textId="77777777" w:rsidR="00B14D53" w:rsidRDefault="00000000">
            <w:pPr>
              <w:adjustRightInd/>
              <w:snapToGrid/>
              <w:rPr>
                <w:rFonts w:eastAsiaTheme="minorEastAsia"/>
                <w:kern w:val="0"/>
                <w:szCs w:val="21"/>
                <w:lang w:val="zh-CN"/>
              </w:rPr>
            </w:pPr>
            <w:r>
              <w:rPr>
                <w:color w:val="000000"/>
              </w:rPr>
              <w:t>气态污染物的测定</w:t>
            </w:r>
            <w:r>
              <w:rPr>
                <w:color w:val="000000"/>
              </w:rPr>
              <w:t xml:space="preserve"> </w:t>
            </w:r>
            <w:r>
              <w:rPr>
                <w:color w:val="000000"/>
              </w:rPr>
              <w:t>硫化氢</w:t>
            </w:r>
            <w:r>
              <w:rPr>
                <w:color w:val="000000"/>
              </w:rPr>
              <w:t xml:space="preserve"> </w:t>
            </w:r>
            <w:r>
              <w:rPr>
                <w:color w:val="000000"/>
              </w:rPr>
              <w:t>亚甲基蓝分光光度法《空气和废气监测分析方法》</w:t>
            </w:r>
            <w:r>
              <w:rPr>
                <w:color w:val="000000"/>
              </w:rPr>
              <w:t>(</w:t>
            </w:r>
            <w:r>
              <w:rPr>
                <w:color w:val="000000"/>
              </w:rPr>
              <w:t>第四版</w:t>
            </w:r>
            <w:r>
              <w:rPr>
                <w:color w:val="000000"/>
              </w:rPr>
              <w:t>)</w:t>
            </w:r>
            <w:r>
              <w:rPr>
                <w:color w:val="000000"/>
              </w:rPr>
              <w:t>国家环境保护总局（</w:t>
            </w:r>
            <w:r>
              <w:rPr>
                <w:color w:val="000000"/>
              </w:rPr>
              <w:t>2003</w:t>
            </w:r>
            <w:r>
              <w:rPr>
                <w:color w:val="000000"/>
              </w:rPr>
              <w:t>年）</w:t>
            </w:r>
          </w:p>
        </w:tc>
      </w:tr>
      <w:tr w:rsidR="00B14D53" w14:paraId="55F3B07E" w14:textId="77777777">
        <w:trPr>
          <w:trHeight w:val="90"/>
          <w:jc w:val="center"/>
        </w:trPr>
        <w:tc>
          <w:tcPr>
            <w:tcW w:w="550" w:type="dxa"/>
            <w:vMerge/>
          </w:tcPr>
          <w:p w14:paraId="0291D573" w14:textId="77777777" w:rsidR="00B14D53" w:rsidRDefault="00B14D53">
            <w:pPr>
              <w:adjustRightInd/>
              <w:snapToGrid/>
              <w:rPr>
                <w:rFonts w:eastAsiaTheme="minorEastAsia"/>
                <w:kern w:val="0"/>
                <w:szCs w:val="21"/>
                <w:lang w:val="zh-CN"/>
              </w:rPr>
            </w:pPr>
          </w:p>
        </w:tc>
        <w:tc>
          <w:tcPr>
            <w:tcW w:w="851" w:type="dxa"/>
            <w:vMerge/>
          </w:tcPr>
          <w:p w14:paraId="2FB655A6" w14:textId="77777777" w:rsidR="00B14D53" w:rsidRDefault="00B14D53">
            <w:pPr>
              <w:adjustRightInd/>
              <w:snapToGrid/>
              <w:jc w:val="center"/>
              <w:rPr>
                <w:rFonts w:eastAsiaTheme="minorEastAsia"/>
                <w:kern w:val="0"/>
                <w:szCs w:val="21"/>
                <w:lang w:val="zh-CN"/>
              </w:rPr>
            </w:pPr>
          </w:p>
        </w:tc>
        <w:tc>
          <w:tcPr>
            <w:tcW w:w="1029" w:type="dxa"/>
            <w:tcBorders>
              <w:top w:val="single" w:sz="4" w:space="0" w:color="auto"/>
            </w:tcBorders>
          </w:tcPr>
          <w:p w14:paraId="010095FB"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臭气浓度</w:t>
            </w:r>
          </w:p>
        </w:tc>
        <w:tc>
          <w:tcPr>
            <w:tcW w:w="2514" w:type="dxa"/>
            <w:vMerge/>
          </w:tcPr>
          <w:p w14:paraId="0E866C0B" w14:textId="77777777" w:rsidR="00B14D53" w:rsidRDefault="00B14D53">
            <w:pPr>
              <w:adjustRightInd/>
              <w:snapToGrid/>
              <w:rPr>
                <w:rFonts w:eastAsiaTheme="minorEastAsia"/>
                <w:kern w:val="0"/>
                <w:szCs w:val="21"/>
                <w:lang w:val="zh-CN"/>
              </w:rPr>
            </w:pPr>
          </w:p>
        </w:tc>
        <w:tc>
          <w:tcPr>
            <w:tcW w:w="1170" w:type="dxa"/>
            <w:vMerge/>
          </w:tcPr>
          <w:p w14:paraId="55EB9BC4" w14:textId="77777777" w:rsidR="00B14D53" w:rsidRDefault="00B14D53">
            <w:pPr>
              <w:adjustRightInd/>
              <w:snapToGrid/>
              <w:rPr>
                <w:rFonts w:eastAsiaTheme="minorEastAsia"/>
                <w:kern w:val="0"/>
                <w:szCs w:val="21"/>
                <w:lang w:val="zh-CN"/>
              </w:rPr>
            </w:pPr>
          </w:p>
        </w:tc>
        <w:tc>
          <w:tcPr>
            <w:tcW w:w="2108" w:type="dxa"/>
            <w:vMerge/>
          </w:tcPr>
          <w:p w14:paraId="4AC39544" w14:textId="77777777" w:rsidR="00B14D53" w:rsidRDefault="00B14D53">
            <w:pPr>
              <w:adjustRightInd/>
              <w:snapToGrid/>
              <w:rPr>
                <w:rFonts w:eastAsiaTheme="minorEastAsia"/>
                <w:kern w:val="0"/>
                <w:szCs w:val="21"/>
                <w:lang w:val="zh-CN"/>
              </w:rPr>
            </w:pPr>
          </w:p>
        </w:tc>
        <w:tc>
          <w:tcPr>
            <w:tcW w:w="696" w:type="dxa"/>
            <w:vMerge/>
          </w:tcPr>
          <w:p w14:paraId="4C4238CE" w14:textId="77777777" w:rsidR="00B14D53" w:rsidRDefault="00B14D53">
            <w:pPr>
              <w:adjustRightInd/>
              <w:snapToGrid/>
              <w:jc w:val="center"/>
              <w:rPr>
                <w:rFonts w:eastAsiaTheme="minorEastAsia"/>
                <w:kern w:val="0"/>
                <w:szCs w:val="21"/>
                <w:lang w:val="zh-CN"/>
              </w:rPr>
            </w:pPr>
          </w:p>
        </w:tc>
        <w:tc>
          <w:tcPr>
            <w:tcW w:w="851" w:type="dxa"/>
            <w:vMerge/>
          </w:tcPr>
          <w:p w14:paraId="238A0E48" w14:textId="77777777" w:rsidR="00B14D53" w:rsidRDefault="00B14D53">
            <w:pPr>
              <w:adjustRightInd/>
              <w:snapToGrid/>
              <w:jc w:val="center"/>
              <w:rPr>
                <w:rFonts w:eastAsiaTheme="minorEastAsia"/>
                <w:kern w:val="0"/>
                <w:szCs w:val="21"/>
                <w:lang w:val="zh-CN"/>
              </w:rPr>
            </w:pPr>
          </w:p>
        </w:tc>
        <w:tc>
          <w:tcPr>
            <w:tcW w:w="2280" w:type="dxa"/>
            <w:vMerge/>
          </w:tcPr>
          <w:p w14:paraId="025292A9" w14:textId="77777777" w:rsidR="00B14D53" w:rsidRDefault="00B14D53">
            <w:pPr>
              <w:adjustRightInd/>
              <w:snapToGrid/>
              <w:rPr>
                <w:rFonts w:eastAsiaTheme="minorEastAsia"/>
                <w:kern w:val="0"/>
                <w:szCs w:val="21"/>
                <w:lang w:val="zh-CN"/>
              </w:rPr>
            </w:pPr>
          </w:p>
        </w:tc>
        <w:tc>
          <w:tcPr>
            <w:tcW w:w="2450" w:type="dxa"/>
            <w:gridSpan w:val="2"/>
          </w:tcPr>
          <w:p w14:paraId="34D12135" w14:textId="77777777" w:rsidR="00B14D53" w:rsidRDefault="00000000">
            <w:pPr>
              <w:adjustRightInd/>
              <w:snapToGrid/>
              <w:rPr>
                <w:rFonts w:eastAsiaTheme="minorEastAsia"/>
                <w:kern w:val="0"/>
                <w:szCs w:val="21"/>
                <w:lang w:val="zh-CN"/>
              </w:rPr>
            </w:pPr>
            <w:r>
              <w:rPr>
                <w:rFonts w:hint="eastAsia"/>
              </w:rPr>
              <w:t>《环境空气和废气</w:t>
            </w:r>
            <w:r>
              <w:rPr>
                <w:rFonts w:hint="eastAsia"/>
              </w:rPr>
              <w:t xml:space="preserve"> </w:t>
            </w:r>
            <w:r>
              <w:rPr>
                <w:rFonts w:hint="eastAsia"/>
              </w:rPr>
              <w:t>臭气的测定</w:t>
            </w:r>
            <w:r>
              <w:rPr>
                <w:rFonts w:hint="eastAsia"/>
              </w:rPr>
              <w:t xml:space="preserve"> </w:t>
            </w:r>
            <w:r>
              <w:rPr>
                <w:rFonts w:hint="eastAsia"/>
              </w:rPr>
              <w:t>三点比较式臭袋法》（</w:t>
            </w:r>
            <w:r>
              <w:rPr>
                <w:rFonts w:hint="eastAsia"/>
              </w:rPr>
              <w:t>HJ1262-2022</w:t>
            </w:r>
            <w:r>
              <w:rPr>
                <w:rFonts w:hint="eastAsia"/>
              </w:rPr>
              <w:t>）</w:t>
            </w:r>
          </w:p>
        </w:tc>
      </w:tr>
      <w:tr w:rsidR="00B14D53" w14:paraId="6462B87A" w14:textId="77777777">
        <w:trPr>
          <w:gridAfter w:val="1"/>
          <w:wAfter w:w="9" w:type="dxa"/>
          <w:trHeight w:val="651"/>
          <w:jc w:val="center"/>
        </w:trPr>
        <w:tc>
          <w:tcPr>
            <w:tcW w:w="550" w:type="dxa"/>
          </w:tcPr>
          <w:p w14:paraId="00C6B223" w14:textId="77777777" w:rsidR="00B14D53" w:rsidRDefault="00000000">
            <w:pPr>
              <w:adjustRightInd/>
              <w:snapToGrid/>
              <w:jc w:val="center"/>
              <w:rPr>
                <w:rFonts w:eastAsiaTheme="minorEastAsia"/>
                <w:kern w:val="0"/>
                <w:szCs w:val="21"/>
                <w:lang w:val="zh-CN"/>
              </w:rPr>
            </w:pPr>
            <w:r>
              <w:rPr>
                <w:rFonts w:eastAsiaTheme="minorEastAsia" w:hint="eastAsia"/>
                <w:kern w:val="0"/>
                <w:szCs w:val="21"/>
              </w:rPr>
              <w:t>厂界</w:t>
            </w:r>
            <w:r>
              <w:rPr>
                <w:rFonts w:eastAsiaTheme="minorEastAsia"/>
                <w:kern w:val="0"/>
                <w:szCs w:val="21"/>
                <w:lang w:val="zh-CN"/>
              </w:rPr>
              <w:t>噪声</w:t>
            </w:r>
          </w:p>
        </w:tc>
        <w:tc>
          <w:tcPr>
            <w:tcW w:w="851" w:type="dxa"/>
          </w:tcPr>
          <w:p w14:paraId="61AC8C74" w14:textId="77777777" w:rsidR="00B14D53" w:rsidRDefault="00000000">
            <w:pPr>
              <w:adjustRightInd/>
              <w:snapToGrid/>
              <w:jc w:val="center"/>
              <w:rPr>
                <w:rFonts w:eastAsiaTheme="minorEastAsia"/>
                <w:kern w:val="0"/>
                <w:szCs w:val="21"/>
                <w:lang w:val="zh-CN"/>
              </w:rPr>
            </w:pPr>
            <w:r>
              <w:rPr>
                <w:rFonts w:eastAsiaTheme="minorEastAsia" w:hint="eastAsia"/>
                <w:kern w:val="0"/>
                <w:szCs w:val="21"/>
              </w:rPr>
              <w:t>厂</w:t>
            </w:r>
            <w:r>
              <w:rPr>
                <w:rFonts w:eastAsiaTheme="minorEastAsia"/>
                <w:kern w:val="0"/>
                <w:szCs w:val="21"/>
                <w:lang w:val="zh-CN"/>
              </w:rPr>
              <w:t>界</w:t>
            </w:r>
          </w:p>
        </w:tc>
        <w:tc>
          <w:tcPr>
            <w:tcW w:w="1029" w:type="dxa"/>
          </w:tcPr>
          <w:p w14:paraId="339530A2" w14:textId="77777777" w:rsidR="00B14D53" w:rsidRDefault="00000000">
            <w:pPr>
              <w:adjustRightInd/>
              <w:snapToGrid/>
              <w:rPr>
                <w:rFonts w:eastAsiaTheme="minorEastAsia"/>
                <w:kern w:val="0"/>
                <w:szCs w:val="21"/>
                <w:lang w:val="zh-CN"/>
              </w:rPr>
            </w:pPr>
            <w:r>
              <w:rPr>
                <w:rFonts w:eastAsiaTheme="minorEastAsia"/>
                <w:kern w:val="0"/>
                <w:szCs w:val="21"/>
                <w:lang w:val="zh-CN"/>
              </w:rPr>
              <w:t>昼夜噪声等效</w:t>
            </w:r>
            <w:r>
              <w:rPr>
                <w:rFonts w:eastAsiaTheme="minorEastAsia"/>
                <w:kern w:val="0"/>
                <w:szCs w:val="21"/>
                <w:lang w:val="zh-CN"/>
              </w:rPr>
              <w:t>A</w:t>
            </w:r>
            <w:r>
              <w:rPr>
                <w:rFonts w:eastAsiaTheme="minorEastAsia"/>
                <w:kern w:val="0"/>
                <w:szCs w:val="21"/>
                <w:lang w:val="zh-CN"/>
              </w:rPr>
              <w:t>声级</w:t>
            </w:r>
          </w:p>
        </w:tc>
        <w:tc>
          <w:tcPr>
            <w:tcW w:w="2514" w:type="dxa"/>
          </w:tcPr>
          <w:p w14:paraId="7D778AC5" w14:textId="77777777" w:rsidR="00B14D53" w:rsidRDefault="00000000">
            <w:pPr>
              <w:adjustRightInd/>
              <w:snapToGrid/>
              <w:rPr>
                <w:rFonts w:eastAsiaTheme="minorEastAsia"/>
                <w:kern w:val="0"/>
                <w:szCs w:val="21"/>
                <w:lang w:val="zh-CN"/>
              </w:rPr>
            </w:pPr>
            <w:r>
              <w:rPr>
                <w:rFonts w:eastAsiaTheme="minorEastAsia" w:hint="eastAsia"/>
                <w:kern w:val="0"/>
                <w:szCs w:val="21"/>
              </w:rPr>
              <w:t>选用低噪声</w:t>
            </w:r>
            <w:r>
              <w:rPr>
                <w:rFonts w:eastAsiaTheme="minorEastAsia"/>
                <w:kern w:val="0"/>
                <w:szCs w:val="21"/>
              </w:rPr>
              <w:t>设备</w:t>
            </w:r>
            <w:r>
              <w:rPr>
                <w:rFonts w:eastAsiaTheme="minorEastAsia" w:hint="eastAsia"/>
                <w:kern w:val="0"/>
                <w:szCs w:val="21"/>
              </w:rPr>
              <w:t>、</w:t>
            </w:r>
            <w:r>
              <w:rPr>
                <w:rFonts w:eastAsiaTheme="minorEastAsia"/>
                <w:kern w:val="0"/>
                <w:szCs w:val="21"/>
              </w:rPr>
              <w:t>采取基础减振，隔声</w:t>
            </w:r>
            <w:r>
              <w:rPr>
                <w:rFonts w:eastAsiaTheme="minorEastAsia" w:hint="eastAsia"/>
                <w:kern w:val="0"/>
                <w:szCs w:val="21"/>
              </w:rPr>
              <w:t>、夜间不生产</w:t>
            </w:r>
            <w:r>
              <w:rPr>
                <w:rFonts w:eastAsiaTheme="minorEastAsia"/>
                <w:kern w:val="0"/>
                <w:szCs w:val="21"/>
              </w:rPr>
              <w:t>等措施</w:t>
            </w:r>
          </w:p>
        </w:tc>
        <w:tc>
          <w:tcPr>
            <w:tcW w:w="1170" w:type="dxa"/>
          </w:tcPr>
          <w:p w14:paraId="6E139230" w14:textId="77777777" w:rsidR="00B14D53" w:rsidRDefault="00000000">
            <w:pPr>
              <w:adjustRightInd/>
              <w:snapToGrid/>
              <w:rPr>
                <w:rFonts w:eastAsiaTheme="minorEastAsia"/>
                <w:kern w:val="0"/>
                <w:szCs w:val="21"/>
                <w:lang w:val="zh-CN"/>
              </w:rPr>
            </w:pPr>
            <w:r>
              <w:rPr>
                <w:rFonts w:eastAsiaTheme="minorEastAsia" w:hint="eastAsia"/>
                <w:kern w:val="0"/>
                <w:szCs w:val="21"/>
              </w:rPr>
              <w:t>厂</w:t>
            </w:r>
            <w:r>
              <w:rPr>
                <w:rFonts w:eastAsiaTheme="minorEastAsia"/>
                <w:kern w:val="0"/>
                <w:szCs w:val="21"/>
                <w:lang w:val="zh-CN"/>
              </w:rPr>
              <w:t>界外</w:t>
            </w:r>
            <w:r>
              <w:rPr>
                <w:rFonts w:eastAsiaTheme="minorEastAsia"/>
                <w:kern w:val="0"/>
                <w:szCs w:val="21"/>
                <w:lang w:val="zh-CN"/>
              </w:rPr>
              <w:t>1m</w:t>
            </w:r>
            <w:r>
              <w:rPr>
                <w:rFonts w:eastAsiaTheme="minorEastAsia"/>
                <w:kern w:val="0"/>
                <w:szCs w:val="21"/>
                <w:lang w:val="zh-CN"/>
              </w:rPr>
              <w:t>，高度</w:t>
            </w:r>
            <w:r>
              <w:rPr>
                <w:rFonts w:eastAsiaTheme="minorEastAsia"/>
                <w:kern w:val="0"/>
                <w:szCs w:val="21"/>
                <w:lang w:val="zh-CN"/>
              </w:rPr>
              <w:t>1.2m</w:t>
            </w:r>
            <w:r>
              <w:rPr>
                <w:rFonts w:eastAsiaTheme="minorEastAsia"/>
                <w:kern w:val="0"/>
                <w:szCs w:val="21"/>
                <w:lang w:val="zh-CN"/>
              </w:rPr>
              <w:t>以上</w:t>
            </w:r>
          </w:p>
        </w:tc>
        <w:tc>
          <w:tcPr>
            <w:tcW w:w="2108" w:type="dxa"/>
          </w:tcPr>
          <w:p w14:paraId="7FDC278E" w14:textId="77777777" w:rsidR="00B14D53" w:rsidRDefault="00000000">
            <w:pPr>
              <w:adjustRightInd/>
              <w:snapToGrid/>
              <w:rPr>
                <w:rFonts w:eastAsiaTheme="minorEastAsia"/>
                <w:kern w:val="0"/>
                <w:szCs w:val="21"/>
                <w:lang w:val="zh-CN"/>
              </w:rPr>
            </w:pPr>
            <w:r>
              <w:rPr>
                <w:rFonts w:eastAsiaTheme="minorEastAsia" w:hint="eastAsia"/>
                <w:kern w:val="0"/>
                <w:szCs w:val="21"/>
              </w:rPr>
              <w:t>厂</w:t>
            </w:r>
            <w:r>
              <w:rPr>
                <w:rFonts w:eastAsiaTheme="minorEastAsia"/>
                <w:kern w:val="0"/>
                <w:szCs w:val="21"/>
              </w:rPr>
              <w:t>界噪声满足《工业企业厂界环境噪声排放标准》（</w:t>
            </w:r>
            <w:r>
              <w:rPr>
                <w:rFonts w:eastAsiaTheme="minorEastAsia"/>
                <w:kern w:val="0"/>
                <w:szCs w:val="21"/>
              </w:rPr>
              <w:t>GB12348-2008</w:t>
            </w:r>
            <w:r>
              <w:rPr>
                <w:rFonts w:eastAsiaTheme="minorEastAsia"/>
                <w:kern w:val="0"/>
                <w:szCs w:val="21"/>
              </w:rPr>
              <w:t>）</w:t>
            </w:r>
            <w:r>
              <w:rPr>
                <w:rFonts w:eastAsiaTheme="minorEastAsia" w:hint="eastAsia"/>
                <w:kern w:val="0"/>
                <w:szCs w:val="21"/>
              </w:rPr>
              <w:t>2</w:t>
            </w:r>
            <w:r>
              <w:rPr>
                <w:rFonts w:eastAsiaTheme="minorEastAsia"/>
                <w:kern w:val="0"/>
                <w:szCs w:val="21"/>
              </w:rPr>
              <w:t>类标准限值</w:t>
            </w:r>
          </w:p>
        </w:tc>
        <w:tc>
          <w:tcPr>
            <w:tcW w:w="696" w:type="dxa"/>
          </w:tcPr>
          <w:p w14:paraId="3BE676FC"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kern w:val="0"/>
                <w:szCs w:val="21"/>
                <w:lang w:val="zh-CN"/>
              </w:rPr>
              <w:t>季度</w:t>
            </w:r>
          </w:p>
        </w:tc>
        <w:tc>
          <w:tcPr>
            <w:tcW w:w="851" w:type="dxa"/>
          </w:tcPr>
          <w:p w14:paraId="136F79E4" w14:textId="77777777" w:rsidR="00B14D53" w:rsidRDefault="00000000">
            <w:pPr>
              <w:adjustRightInd/>
              <w:snapToGrid/>
              <w:jc w:val="center"/>
              <w:rPr>
                <w:rFonts w:eastAsiaTheme="minorEastAsia"/>
                <w:kern w:val="0"/>
                <w:szCs w:val="21"/>
                <w:lang w:val="zh-CN"/>
              </w:rPr>
            </w:pPr>
            <w:r>
              <w:rPr>
                <w:rFonts w:eastAsiaTheme="minorEastAsia"/>
                <w:kern w:val="0"/>
                <w:szCs w:val="21"/>
                <w:lang w:val="zh-CN"/>
              </w:rPr>
              <w:t>手工监测</w:t>
            </w:r>
          </w:p>
        </w:tc>
        <w:tc>
          <w:tcPr>
            <w:tcW w:w="2280" w:type="dxa"/>
          </w:tcPr>
          <w:p w14:paraId="36A3D939" w14:textId="77777777" w:rsidR="00B14D53" w:rsidRDefault="00000000">
            <w:pPr>
              <w:adjustRightInd/>
              <w:snapToGrid/>
              <w:rPr>
                <w:rFonts w:eastAsiaTheme="minorEastAsia"/>
                <w:kern w:val="0"/>
                <w:szCs w:val="21"/>
                <w:lang w:val="zh-CN"/>
              </w:rPr>
            </w:pPr>
            <w:r>
              <w:rPr>
                <w:rFonts w:eastAsiaTheme="minorEastAsia"/>
                <w:kern w:val="0"/>
                <w:szCs w:val="21"/>
                <w:lang w:val="zh-CN"/>
              </w:rPr>
              <w:t>参照《工业企业厂界环境噪声排放标准》（</w:t>
            </w:r>
            <w:r>
              <w:rPr>
                <w:rFonts w:eastAsiaTheme="minorEastAsia"/>
                <w:kern w:val="0"/>
                <w:szCs w:val="21"/>
                <w:lang w:val="zh-CN"/>
              </w:rPr>
              <w:t>GB12348-2008</w:t>
            </w:r>
            <w:r>
              <w:rPr>
                <w:rFonts w:eastAsiaTheme="minorEastAsia"/>
                <w:kern w:val="0"/>
                <w:szCs w:val="21"/>
                <w:lang w:val="zh-CN"/>
              </w:rPr>
              <w:t>）</w:t>
            </w:r>
          </w:p>
        </w:tc>
        <w:tc>
          <w:tcPr>
            <w:tcW w:w="2441" w:type="dxa"/>
          </w:tcPr>
          <w:p w14:paraId="46D13ECA" w14:textId="77777777" w:rsidR="00B14D53" w:rsidRDefault="00000000">
            <w:pPr>
              <w:adjustRightInd/>
              <w:snapToGrid/>
              <w:rPr>
                <w:rFonts w:eastAsiaTheme="minorEastAsia"/>
                <w:kern w:val="0"/>
                <w:szCs w:val="21"/>
                <w:lang w:val="zh-CN"/>
              </w:rPr>
            </w:pPr>
            <w:r>
              <w:rPr>
                <w:rFonts w:eastAsiaTheme="minorEastAsia"/>
                <w:kern w:val="0"/>
                <w:szCs w:val="21"/>
                <w:lang w:val="zh-CN"/>
              </w:rPr>
              <w:t>参照《工业企业厂界环境噪声排放标准》（</w:t>
            </w:r>
            <w:r>
              <w:rPr>
                <w:rFonts w:eastAsiaTheme="minorEastAsia"/>
                <w:kern w:val="0"/>
                <w:szCs w:val="21"/>
                <w:lang w:val="zh-CN"/>
              </w:rPr>
              <w:t>GB12348-2008</w:t>
            </w:r>
            <w:r>
              <w:rPr>
                <w:rFonts w:eastAsiaTheme="minorEastAsia"/>
                <w:kern w:val="0"/>
                <w:szCs w:val="21"/>
                <w:lang w:val="zh-CN"/>
              </w:rPr>
              <w:t>）</w:t>
            </w:r>
          </w:p>
        </w:tc>
      </w:tr>
    </w:tbl>
    <w:p w14:paraId="3A4C0C25" w14:textId="77777777" w:rsidR="00B14D53" w:rsidRDefault="00B14D53"/>
    <w:p w14:paraId="127AA988" w14:textId="77777777" w:rsidR="00B14D53" w:rsidRDefault="00B14D53">
      <w:pPr>
        <w:pStyle w:val="af2"/>
        <w:spacing w:after="0"/>
      </w:pPr>
    </w:p>
    <w:p w14:paraId="06C681D4" w14:textId="77777777" w:rsidR="00B14D53" w:rsidRDefault="00B14D53"/>
    <w:p w14:paraId="086F5712" w14:textId="77777777" w:rsidR="00B14D53" w:rsidRDefault="00B14D53"/>
    <w:p w14:paraId="326BF1BB" w14:textId="77777777" w:rsidR="00B14D53" w:rsidRDefault="00B14D53"/>
    <w:p w14:paraId="72256281" w14:textId="77777777" w:rsidR="00B14D53" w:rsidRDefault="00B14D53"/>
    <w:p w14:paraId="1F40EB52" w14:textId="77777777" w:rsidR="00B14D53" w:rsidRDefault="00B14D53"/>
    <w:p w14:paraId="18907764" w14:textId="77777777" w:rsidR="00B14D53" w:rsidRDefault="00B14D53"/>
    <w:p w14:paraId="7940FF8E" w14:textId="77777777" w:rsidR="00B14D53" w:rsidRDefault="00000000">
      <w:pPr>
        <w:jc w:val="center"/>
        <w:rPr>
          <w:b/>
          <w:bCs/>
        </w:rPr>
      </w:pPr>
      <w:r>
        <w:rPr>
          <w:rFonts w:hint="eastAsia"/>
          <w:b/>
          <w:bCs/>
        </w:rPr>
        <w:t>续</w:t>
      </w:r>
      <w:r>
        <w:rPr>
          <w:rFonts w:hint="eastAsia"/>
          <w:b/>
          <w:bCs/>
          <w:lang w:val="zh-CN"/>
        </w:rPr>
        <w:t>表</w:t>
      </w:r>
      <w:r>
        <w:rPr>
          <w:rFonts w:hint="eastAsia"/>
          <w:b/>
          <w:bCs/>
          <w:lang w:val="zh-CN"/>
        </w:rPr>
        <w:t xml:space="preserve">8-2-1 </w:t>
      </w:r>
      <w:r>
        <w:rPr>
          <w:rFonts w:hint="eastAsia"/>
          <w:b/>
          <w:bCs/>
          <w:lang w:val="zh-CN"/>
        </w:rPr>
        <w:t>监测计划一览表</w:t>
      </w:r>
    </w:p>
    <w:tbl>
      <w:tblPr>
        <w:tblStyle w:val="afffffffff8"/>
        <w:tblW w:w="14490" w:type="dxa"/>
        <w:jc w:val="center"/>
        <w:tblLayout w:type="fixed"/>
        <w:tblLook w:val="04A0" w:firstRow="1" w:lastRow="0" w:firstColumn="1" w:lastColumn="0" w:noHBand="0" w:noVBand="1"/>
      </w:tblPr>
      <w:tblGrid>
        <w:gridCol w:w="550"/>
        <w:gridCol w:w="851"/>
        <w:gridCol w:w="1029"/>
        <w:gridCol w:w="2514"/>
        <w:gridCol w:w="1170"/>
        <w:gridCol w:w="2108"/>
        <w:gridCol w:w="696"/>
        <w:gridCol w:w="851"/>
        <w:gridCol w:w="2280"/>
        <w:gridCol w:w="2441"/>
      </w:tblGrid>
      <w:tr w:rsidR="00B14D53" w14:paraId="55985012" w14:textId="77777777">
        <w:trPr>
          <w:trHeight w:val="651"/>
          <w:jc w:val="center"/>
        </w:trPr>
        <w:tc>
          <w:tcPr>
            <w:tcW w:w="550" w:type="dxa"/>
            <w:vMerge w:val="restart"/>
          </w:tcPr>
          <w:p w14:paraId="4D98EEAF" w14:textId="77777777" w:rsidR="00B14D53" w:rsidRDefault="00000000">
            <w:pPr>
              <w:jc w:val="center"/>
              <w:rPr>
                <w:rFonts w:eastAsiaTheme="minorEastAsia"/>
                <w:kern w:val="0"/>
                <w:szCs w:val="21"/>
                <w:lang w:val="zh-CN"/>
              </w:rPr>
            </w:pPr>
            <w:r>
              <w:rPr>
                <w:rFonts w:eastAsiaTheme="minorEastAsia" w:hint="eastAsia"/>
                <w:kern w:val="0"/>
                <w:szCs w:val="21"/>
                <w:lang w:val="zh-CN"/>
              </w:rPr>
              <w:t>废水</w:t>
            </w:r>
          </w:p>
        </w:tc>
        <w:tc>
          <w:tcPr>
            <w:tcW w:w="851" w:type="dxa"/>
            <w:vMerge w:val="restart"/>
          </w:tcPr>
          <w:p w14:paraId="7F099267" w14:textId="77777777" w:rsidR="00B14D53" w:rsidRDefault="00000000">
            <w:pPr>
              <w:jc w:val="center"/>
              <w:rPr>
                <w:rFonts w:eastAsiaTheme="minorEastAsia"/>
                <w:kern w:val="0"/>
                <w:szCs w:val="21"/>
              </w:rPr>
            </w:pPr>
            <w:r>
              <w:rPr>
                <w:rFonts w:eastAsiaTheme="minorEastAsia" w:hint="eastAsia"/>
                <w:kern w:val="0"/>
                <w:szCs w:val="21"/>
              </w:rPr>
              <w:t>综合污水站排放口</w:t>
            </w:r>
          </w:p>
        </w:tc>
        <w:tc>
          <w:tcPr>
            <w:tcW w:w="1029" w:type="dxa"/>
          </w:tcPr>
          <w:p w14:paraId="2D4269A9" w14:textId="77777777" w:rsidR="00B14D53" w:rsidRDefault="00000000">
            <w:pPr>
              <w:jc w:val="center"/>
              <w:rPr>
                <w:rFonts w:eastAsiaTheme="minorEastAsia"/>
                <w:kern w:val="0"/>
                <w:szCs w:val="21"/>
                <w:lang w:val="zh-CN"/>
              </w:rPr>
            </w:pPr>
            <w:r>
              <w:rPr>
                <w:kern w:val="0"/>
                <w:szCs w:val="21"/>
              </w:rPr>
              <w:t>pH</w:t>
            </w:r>
          </w:p>
        </w:tc>
        <w:tc>
          <w:tcPr>
            <w:tcW w:w="2514" w:type="dxa"/>
            <w:vMerge w:val="restart"/>
          </w:tcPr>
          <w:p w14:paraId="67DC5621" w14:textId="77777777" w:rsidR="00B14D53" w:rsidRDefault="00000000">
            <w:pPr>
              <w:rPr>
                <w:rFonts w:eastAsiaTheme="minorEastAsia"/>
                <w:kern w:val="0"/>
                <w:szCs w:val="21"/>
              </w:rPr>
            </w:pPr>
            <w:r>
              <w:rPr>
                <w:rFonts w:eastAsiaTheme="minorEastAsia" w:hint="eastAsia"/>
                <w:szCs w:val="21"/>
              </w:rPr>
              <w:t>废水经污水处理站处理，污水处理站采用“格栅</w:t>
            </w:r>
            <w:r>
              <w:rPr>
                <w:rFonts w:eastAsiaTheme="minorEastAsia" w:hint="eastAsia"/>
                <w:szCs w:val="21"/>
              </w:rPr>
              <w:t>+</w:t>
            </w:r>
            <w:r>
              <w:rPr>
                <w:rFonts w:eastAsiaTheme="minorEastAsia" w:hint="eastAsia"/>
                <w:szCs w:val="21"/>
              </w:rPr>
              <w:t>调节沉淀池</w:t>
            </w:r>
            <w:r>
              <w:rPr>
                <w:rFonts w:eastAsiaTheme="minorEastAsia" w:hint="eastAsia"/>
                <w:szCs w:val="21"/>
              </w:rPr>
              <w:t>+</w:t>
            </w:r>
            <w:r>
              <w:rPr>
                <w:rFonts w:eastAsiaTheme="minorEastAsia" w:hint="eastAsia"/>
                <w:szCs w:val="21"/>
              </w:rPr>
              <w:t>气浮机</w:t>
            </w:r>
            <w:r>
              <w:rPr>
                <w:rFonts w:eastAsiaTheme="minorEastAsia" w:hint="eastAsia"/>
                <w:szCs w:val="21"/>
              </w:rPr>
              <w:t>+</w:t>
            </w:r>
            <w:r>
              <w:rPr>
                <w:rFonts w:eastAsiaTheme="minorEastAsia" w:hint="eastAsia"/>
                <w:szCs w:val="21"/>
              </w:rPr>
              <w:t>水解酸化池</w:t>
            </w:r>
            <w:r>
              <w:rPr>
                <w:rFonts w:eastAsiaTheme="minorEastAsia" w:hint="eastAsia"/>
                <w:szCs w:val="21"/>
              </w:rPr>
              <w:t>+</w:t>
            </w:r>
            <w:r>
              <w:rPr>
                <w:rFonts w:eastAsiaTheme="minorEastAsia" w:hint="eastAsia"/>
                <w:szCs w:val="21"/>
              </w:rPr>
              <w:t>接触氧化池</w:t>
            </w:r>
            <w:r>
              <w:rPr>
                <w:rFonts w:eastAsiaTheme="minorEastAsia" w:hint="eastAsia"/>
                <w:szCs w:val="21"/>
              </w:rPr>
              <w:t>+</w:t>
            </w:r>
            <w:r>
              <w:rPr>
                <w:rFonts w:eastAsiaTheme="minorEastAsia" w:hint="eastAsia"/>
                <w:szCs w:val="21"/>
              </w:rPr>
              <w:t>二沉池</w:t>
            </w:r>
            <w:r>
              <w:rPr>
                <w:rFonts w:eastAsiaTheme="minorEastAsia" w:hint="eastAsia"/>
                <w:szCs w:val="21"/>
              </w:rPr>
              <w:t>+</w:t>
            </w:r>
            <w:r>
              <w:rPr>
                <w:rFonts w:eastAsiaTheme="minorEastAsia" w:hint="eastAsia"/>
                <w:szCs w:val="21"/>
              </w:rPr>
              <w:t>污泥浓缩池</w:t>
            </w:r>
            <w:r>
              <w:rPr>
                <w:rFonts w:eastAsiaTheme="minorEastAsia" w:hint="eastAsia"/>
                <w:szCs w:val="21"/>
              </w:rPr>
              <w:t>+</w:t>
            </w:r>
            <w:r>
              <w:rPr>
                <w:rFonts w:eastAsiaTheme="minorEastAsia" w:hint="eastAsia"/>
                <w:szCs w:val="21"/>
              </w:rPr>
              <w:t>次氯酸钠消毒工艺”，处理后废水排入市政管网，经</w:t>
            </w:r>
            <w:r>
              <w:rPr>
                <w:kern w:val="21"/>
                <w:szCs w:val="21"/>
              </w:rPr>
              <w:t>五常市民泉污水处理有限公司（五常市山河屯林业局污水处理厂）</w:t>
            </w:r>
            <w:r>
              <w:rPr>
                <w:rFonts w:hint="eastAsia"/>
                <w:kern w:val="21"/>
                <w:szCs w:val="21"/>
              </w:rPr>
              <w:t>处理后排入拉林河</w:t>
            </w:r>
          </w:p>
        </w:tc>
        <w:tc>
          <w:tcPr>
            <w:tcW w:w="1170" w:type="dxa"/>
            <w:vMerge w:val="restart"/>
          </w:tcPr>
          <w:p w14:paraId="0AE112BF" w14:textId="77777777" w:rsidR="00B14D53" w:rsidRDefault="00000000">
            <w:pPr>
              <w:jc w:val="center"/>
              <w:rPr>
                <w:rFonts w:eastAsiaTheme="minorEastAsia"/>
                <w:kern w:val="0"/>
                <w:szCs w:val="21"/>
              </w:rPr>
            </w:pPr>
            <w:r>
              <w:rPr>
                <w:rFonts w:eastAsiaTheme="minorEastAsia" w:hint="eastAsia"/>
                <w:kern w:val="0"/>
                <w:szCs w:val="21"/>
              </w:rPr>
              <w:t>污水排放口</w:t>
            </w:r>
            <w:r>
              <w:rPr>
                <w:kern w:val="0"/>
                <w:szCs w:val="21"/>
                <w:lang w:val="zh-CN"/>
              </w:rPr>
              <w:t>（</w:t>
            </w:r>
            <w:r>
              <w:rPr>
                <w:kern w:val="0"/>
                <w:szCs w:val="21"/>
                <w:lang w:val="zh-CN"/>
              </w:rPr>
              <w:t>DW001</w:t>
            </w:r>
            <w:r>
              <w:rPr>
                <w:kern w:val="0"/>
                <w:szCs w:val="21"/>
                <w:lang w:val="zh-CN"/>
              </w:rPr>
              <w:t>）</w:t>
            </w:r>
          </w:p>
        </w:tc>
        <w:tc>
          <w:tcPr>
            <w:tcW w:w="2108" w:type="dxa"/>
            <w:vMerge w:val="restart"/>
          </w:tcPr>
          <w:p w14:paraId="7798EC4B" w14:textId="77777777" w:rsidR="00B14D53" w:rsidRDefault="00000000">
            <w:pPr>
              <w:rPr>
                <w:rFonts w:eastAsiaTheme="minorEastAsia"/>
                <w:kern w:val="0"/>
                <w:szCs w:val="21"/>
              </w:rPr>
            </w:pPr>
            <w:r>
              <w:rPr>
                <w:kern w:val="0"/>
                <w:szCs w:val="21"/>
              </w:rPr>
              <w:t>《肉类加工工业水污染物排放标准》（</w:t>
            </w:r>
            <w:r>
              <w:rPr>
                <w:kern w:val="0"/>
                <w:szCs w:val="21"/>
              </w:rPr>
              <w:t>GB13457-92</w:t>
            </w:r>
            <w:r>
              <w:rPr>
                <w:kern w:val="0"/>
                <w:szCs w:val="21"/>
              </w:rPr>
              <w:t>）畜类屠宰加工三级标准及</w:t>
            </w:r>
            <w:r>
              <w:rPr>
                <w:kern w:val="21"/>
                <w:szCs w:val="21"/>
              </w:rPr>
              <w:t>五常市民泉污水处理有限公司（五常市山河屯林业局污水处理厂）</w:t>
            </w:r>
            <w:r>
              <w:rPr>
                <w:kern w:val="0"/>
                <w:szCs w:val="21"/>
              </w:rPr>
              <w:t>设计进水水质指标</w:t>
            </w:r>
          </w:p>
        </w:tc>
        <w:tc>
          <w:tcPr>
            <w:tcW w:w="696" w:type="dxa"/>
          </w:tcPr>
          <w:p w14:paraId="40AE0151" w14:textId="77777777" w:rsidR="00B14D53" w:rsidRDefault="00000000">
            <w:pPr>
              <w:jc w:val="center"/>
              <w:rPr>
                <w:rFonts w:eastAsiaTheme="minorEastAsia"/>
                <w:kern w:val="0"/>
                <w:szCs w:val="21"/>
              </w:rPr>
            </w:pPr>
            <w:r>
              <w:rPr>
                <w:rFonts w:eastAsiaTheme="minorEastAsia" w:hint="eastAsia"/>
                <w:kern w:val="0"/>
                <w:szCs w:val="21"/>
              </w:rPr>
              <w:t>自动监测</w:t>
            </w:r>
          </w:p>
        </w:tc>
        <w:tc>
          <w:tcPr>
            <w:tcW w:w="851" w:type="dxa"/>
          </w:tcPr>
          <w:p w14:paraId="6E7554DE" w14:textId="77777777" w:rsidR="00B14D53" w:rsidRDefault="00000000">
            <w:pPr>
              <w:jc w:val="center"/>
              <w:rPr>
                <w:rFonts w:eastAsiaTheme="minorEastAsia"/>
                <w:kern w:val="0"/>
                <w:szCs w:val="21"/>
                <w:lang w:val="zh-CN"/>
              </w:rPr>
            </w:pPr>
            <w:r>
              <w:rPr>
                <w:kern w:val="0"/>
                <w:szCs w:val="21"/>
                <w:lang w:val="zh-CN"/>
              </w:rPr>
              <w:t>在线监测</w:t>
            </w:r>
          </w:p>
        </w:tc>
        <w:tc>
          <w:tcPr>
            <w:tcW w:w="2280" w:type="dxa"/>
            <w:vMerge w:val="restart"/>
          </w:tcPr>
          <w:p w14:paraId="2645BDB0" w14:textId="77777777" w:rsidR="00B14D53" w:rsidRDefault="00000000">
            <w:pPr>
              <w:rPr>
                <w:rFonts w:eastAsiaTheme="minorEastAsia"/>
                <w:kern w:val="0"/>
                <w:szCs w:val="21"/>
                <w:lang w:val="zh-CN"/>
              </w:rPr>
            </w:pPr>
            <w:r>
              <w:rPr>
                <w:kern w:val="0"/>
                <w:szCs w:val="21"/>
                <w:lang w:val="zh-CN"/>
              </w:rPr>
              <w:t>参照</w:t>
            </w:r>
            <w:r>
              <w:rPr>
                <w:kern w:val="0"/>
                <w:szCs w:val="21"/>
                <w:lang w:val="zh-CN"/>
              </w:rPr>
              <w:t>HJ/T353</w:t>
            </w:r>
            <w:r>
              <w:rPr>
                <w:kern w:val="0"/>
                <w:szCs w:val="21"/>
                <w:lang w:val="zh-CN"/>
              </w:rPr>
              <w:t>、</w:t>
            </w:r>
            <w:r>
              <w:rPr>
                <w:kern w:val="0"/>
                <w:szCs w:val="21"/>
                <w:lang w:val="zh-CN"/>
              </w:rPr>
              <w:t>HJ/T354</w:t>
            </w:r>
            <w:r>
              <w:rPr>
                <w:kern w:val="0"/>
                <w:szCs w:val="21"/>
                <w:lang w:val="zh-CN"/>
              </w:rPr>
              <w:t>、</w:t>
            </w:r>
            <w:r>
              <w:rPr>
                <w:kern w:val="0"/>
                <w:szCs w:val="21"/>
                <w:lang w:val="zh-CN"/>
              </w:rPr>
              <w:t>HJ/T355</w:t>
            </w:r>
          </w:p>
        </w:tc>
        <w:tc>
          <w:tcPr>
            <w:tcW w:w="2441" w:type="dxa"/>
          </w:tcPr>
          <w:p w14:paraId="5C8AD849" w14:textId="77777777" w:rsidR="00B14D53" w:rsidRDefault="00000000">
            <w:pPr>
              <w:rPr>
                <w:rFonts w:eastAsiaTheme="minorEastAsia"/>
                <w:kern w:val="0"/>
                <w:szCs w:val="21"/>
                <w:lang w:val="zh-CN"/>
              </w:rPr>
            </w:pPr>
            <w:r>
              <w:rPr>
                <w:rFonts w:hint="eastAsia"/>
                <w:color w:val="000000"/>
              </w:rPr>
              <w:t>水质</w:t>
            </w:r>
            <w:r>
              <w:rPr>
                <w:rFonts w:hint="eastAsia"/>
                <w:color w:val="000000"/>
              </w:rPr>
              <w:t xml:space="preserve"> pH</w:t>
            </w:r>
            <w:r>
              <w:rPr>
                <w:rFonts w:hint="eastAsia"/>
                <w:color w:val="000000"/>
              </w:rPr>
              <w:t>值的测定</w:t>
            </w:r>
            <w:r>
              <w:rPr>
                <w:rFonts w:hint="eastAsia"/>
                <w:color w:val="000000"/>
              </w:rPr>
              <w:t xml:space="preserve"> </w:t>
            </w:r>
            <w:r>
              <w:rPr>
                <w:rFonts w:hint="eastAsia"/>
                <w:color w:val="000000"/>
              </w:rPr>
              <w:t>电极法</w:t>
            </w:r>
            <w:r>
              <w:rPr>
                <w:rFonts w:hint="eastAsia"/>
                <w:color w:val="000000"/>
              </w:rPr>
              <w:t xml:space="preserve"> HJ1147-2020</w:t>
            </w:r>
          </w:p>
        </w:tc>
      </w:tr>
      <w:tr w:rsidR="00B14D53" w14:paraId="0255C609" w14:textId="77777777">
        <w:trPr>
          <w:trHeight w:val="651"/>
          <w:jc w:val="center"/>
        </w:trPr>
        <w:tc>
          <w:tcPr>
            <w:tcW w:w="550" w:type="dxa"/>
            <w:vMerge/>
          </w:tcPr>
          <w:p w14:paraId="4F449D6D" w14:textId="77777777" w:rsidR="00B14D53" w:rsidRDefault="00B14D53">
            <w:pPr>
              <w:jc w:val="center"/>
              <w:rPr>
                <w:rFonts w:eastAsiaTheme="minorEastAsia"/>
                <w:kern w:val="0"/>
                <w:szCs w:val="21"/>
                <w:lang w:val="zh-CN"/>
              </w:rPr>
            </w:pPr>
          </w:p>
        </w:tc>
        <w:tc>
          <w:tcPr>
            <w:tcW w:w="851" w:type="dxa"/>
            <w:vMerge/>
          </w:tcPr>
          <w:p w14:paraId="1658451A" w14:textId="77777777" w:rsidR="00B14D53" w:rsidRDefault="00B14D53">
            <w:pPr>
              <w:jc w:val="center"/>
              <w:rPr>
                <w:rFonts w:eastAsiaTheme="minorEastAsia"/>
                <w:kern w:val="0"/>
                <w:szCs w:val="21"/>
              </w:rPr>
            </w:pPr>
          </w:p>
        </w:tc>
        <w:tc>
          <w:tcPr>
            <w:tcW w:w="1029" w:type="dxa"/>
          </w:tcPr>
          <w:p w14:paraId="535FBC81" w14:textId="77777777" w:rsidR="00B14D53" w:rsidRDefault="00000000">
            <w:pPr>
              <w:jc w:val="center"/>
              <w:rPr>
                <w:rFonts w:eastAsiaTheme="minorEastAsia"/>
                <w:kern w:val="0"/>
                <w:szCs w:val="21"/>
                <w:lang w:val="zh-CN"/>
              </w:rPr>
            </w:pPr>
            <w:r>
              <w:rPr>
                <w:kern w:val="0"/>
                <w:szCs w:val="21"/>
              </w:rPr>
              <w:t>化学需氧量</w:t>
            </w:r>
          </w:p>
        </w:tc>
        <w:tc>
          <w:tcPr>
            <w:tcW w:w="2514" w:type="dxa"/>
            <w:vMerge/>
          </w:tcPr>
          <w:p w14:paraId="1ACF7456" w14:textId="77777777" w:rsidR="00B14D53" w:rsidRDefault="00B14D53">
            <w:pPr>
              <w:rPr>
                <w:rFonts w:eastAsiaTheme="minorEastAsia"/>
                <w:kern w:val="0"/>
                <w:szCs w:val="21"/>
              </w:rPr>
            </w:pPr>
          </w:p>
        </w:tc>
        <w:tc>
          <w:tcPr>
            <w:tcW w:w="1170" w:type="dxa"/>
            <w:vMerge/>
          </w:tcPr>
          <w:p w14:paraId="23AEC80F" w14:textId="77777777" w:rsidR="00B14D53" w:rsidRDefault="00B14D53">
            <w:pPr>
              <w:rPr>
                <w:rFonts w:eastAsiaTheme="minorEastAsia"/>
                <w:kern w:val="0"/>
                <w:szCs w:val="21"/>
                <w:lang w:val="zh-CN"/>
              </w:rPr>
            </w:pPr>
          </w:p>
        </w:tc>
        <w:tc>
          <w:tcPr>
            <w:tcW w:w="2108" w:type="dxa"/>
            <w:vMerge/>
          </w:tcPr>
          <w:p w14:paraId="033D9F80" w14:textId="77777777" w:rsidR="00B14D53" w:rsidRDefault="00B14D53">
            <w:pPr>
              <w:rPr>
                <w:rFonts w:eastAsiaTheme="minorEastAsia"/>
                <w:kern w:val="0"/>
                <w:szCs w:val="21"/>
              </w:rPr>
            </w:pPr>
          </w:p>
        </w:tc>
        <w:tc>
          <w:tcPr>
            <w:tcW w:w="696" w:type="dxa"/>
          </w:tcPr>
          <w:p w14:paraId="6E1C9FE1" w14:textId="77777777" w:rsidR="00B14D53" w:rsidRDefault="00000000">
            <w:pPr>
              <w:jc w:val="center"/>
              <w:rPr>
                <w:rFonts w:eastAsiaTheme="minorEastAsia"/>
                <w:kern w:val="0"/>
                <w:szCs w:val="21"/>
                <w:lang w:val="zh-CN"/>
              </w:rPr>
            </w:pPr>
            <w:r>
              <w:rPr>
                <w:rFonts w:eastAsiaTheme="minorEastAsia" w:hint="eastAsia"/>
                <w:kern w:val="0"/>
                <w:szCs w:val="21"/>
              </w:rPr>
              <w:t>自动监测</w:t>
            </w:r>
          </w:p>
        </w:tc>
        <w:tc>
          <w:tcPr>
            <w:tcW w:w="851" w:type="dxa"/>
          </w:tcPr>
          <w:p w14:paraId="5B2E654A" w14:textId="77777777" w:rsidR="00B14D53" w:rsidRDefault="00000000">
            <w:pPr>
              <w:jc w:val="center"/>
              <w:rPr>
                <w:rFonts w:eastAsiaTheme="minorEastAsia"/>
                <w:kern w:val="0"/>
                <w:szCs w:val="21"/>
                <w:lang w:val="zh-CN"/>
              </w:rPr>
            </w:pPr>
            <w:r>
              <w:rPr>
                <w:kern w:val="0"/>
                <w:szCs w:val="21"/>
                <w:lang w:val="zh-CN"/>
              </w:rPr>
              <w:t>在线监测</w:t>
            </w:r>
          </w:p>
        </w:tc>
        <w:tc>
          <w:tcPr>
            <w:tcW w:w="2280" w:type="dxa"/>
            <w:vMerge/>
          </w:tcPr>
          <w:p w14:paraId="1DF09DAE" w14:textId="77777777" w:rsidR="00B14D53" w:rsidRDefault="00B14D53">
            <w:pPr>
              <w:rPr>
                <w:rFonts w:eastAsiaTheme="minorEastAsia"/>
                <w:kern w:val="0"/>
                <w:szCs w:val="21"/>
                <w:lang w:val="zh-CN"/>
              </w:rPr>
            </w:pPr>
          </w:p>
        </w:tc>
        <w:tc>
          <w:tcPr>
            <w:tcW w:w="2441" w:type="dxa"/>
          </w:tcPr>
          <w:p w14:paraId="32DDCEDD" w14:textId="77777777" w:rsidR="00B14D53" w:rsidRDefault="00000000">
            <w:pPr>
              <w:rPr>
                <w:rFonts w:eastAsiaTheme="minorEastAsia"/>
                <w:kern w:val="0"/>
                <w:szCs w:val="21"/>
                <w:lang w:val="zh-CN"/>
              </w:rPr>
            </w:pPr>
            <w:r>
              <w:rPr>
                <w:rFonts w:hint="eastAsia"/>
                <w:color w:val="000000"/>
              </w:rPr>
              <w:t>水质</w:t>
            </w:r>
            <w:r>
              <w:rPr>
                <w:rFonts w:hint="eastAsia"/>
                <w:color w:val="000000"/>
              </w:rPr>
              <w:t xml:space="preserve"> </w:t>
            </w:r>
            <w:r>
              <w:rPr>
                <w:rFonts w:hint="eastAsia"/>
                <w:color w:val="000000"/>
              </w:rPr>
              <w:t>化学需氧量的测定</w:t>
            </w:r>
            <w:r>
              <w:rPr>
                <w:rFonts w:hint="eastAsia"/>
                <w:color w:val="000000"/>
              </w:rPr>
              <w:t xml:space="preserve"> </w:t>
            </w:r>
            <w:r>
              <w:rPr>
                <w:rFonts w:hint="eastAsia"/>
                <w:color w:val="000000"/>
              </w:rPr>
              <w:t>重铬酸盐法</w:t>
            </w:r>
            <w:r>
              <w:rPr>
                <w:rFonts w:hint="eastAsia"/>
                <w:color w:val="000000"/>
              </w:rPr>
              <w:t xml:space="preserve"> HJ828-2017</w:t>
            </w:r>
          </w:p>
        </w:tc>
      </w:tr>
      <w:tr w:rsidR="00B14D53" w14:paraId="76E572B0" w14:textId="77777777">
        <w:trPr>
          <w:trHeight w:val="651"/>
          <w:jc w:val="center"/>
        </w:trPr>
        <w:tc>
          <w:tcPr>
            <w:tcW w:w="550" w:type="dxa"/>
            <w:vMerge/>
          </w:tcPr>
          <w:p w14:paraId="2F9B0144" w14:textId="77777777" w:rsidR="00B14D53" w:rsidRDefault="00B14D53">
            <w:pPr>
              <w:jc w:val="center"/>
              <w:rPr>
                <w:rFonts w:eastAsiaTheme="minorEastAsia"/>
                <w:kern w:val="0"/>
                <w:szCs w:val="21"/>
                <w:lang w:val="zh-CN"/>
              </w:rPr>
            </w:pPr>
          </w:p>
        </w:tc>
        <w:tc>
          <w:tcPr>
            <w:tcW w:w="851" w:type="dxa"/>
            <w:vMerge/>
          </w:tcPr>
          <w:p w14:paraId="688C57CF" w14:textId="77777777" w:rsidR="00B14D53" w:rsidRDefault="00B14D53">
            <w:pPr>
              <w:jc w:val="center"/>
              <w:rPr>
                <w:rFonts w:eastAsiaTheme="minorEastAsia"/>
                <w:kern w:val="0"/>
                <w:szCs w:val="21"/>
              </w:rPr>
            </w:pPr>
          </w:p>
        </w:tc>
        <w:tc>
          <w:tcPr>
            <w:tcW w:w="1029" w:type="dxa"/>
          </w:tcPr>
          <w:p w14:paraId="6B118354" w14:textId="77777777" w:rsidR="00B14D53" w:rsidRDefault="00000000">
            <w:pPr>
              <w:jc w:val="center"/>
              <w:rPr>
                <w:rFonts w:eastAsiaTheme="minorEastAsia"/>
                <w:kern w:val="0"/>
                <w:szCs w:val="21"/>
                <w:lang w:val="zh-CN"/>
              </w:rPr>
            </w:pPr>
            <w:r>
              <w:rPr>
                <w:kern w:val="0"/>
                <w:szCs w:val="21"/>
              </w:rPr>
              <w:t>氨氮</w:t>
            </w:r>
          </w:p>
        </w:tc>
        <w:tc>
          <w:tcPr>
            <w:tcW w:w="2514" w:type="dxa"/>
            <w:vMerge/>
          </w:tcPr>
          <w:p w14:paraId="19E81345" w14:textId="77777777" w:rsidR="00B14D53" w:rsidRDefault="00B14D53">
            <w:pPr>
              <w:rPr>
                <w:rFonts w:eastAsiaTheme="minorEastAsia"/>
                <w:kern w:val="0"/>
                <w:szCs w:val="21"/>
              </w:rPr>
            </w:pPr>
          </w:p>
        </w:tc>
        <w:tc>
          <w:tcPr>
            <w:tcW w:w="1170" w:type="dxa"/>
            <w:vMerge/>
          </w:tcPr>
          <w:p w14:paraId="77380B50" w14:textId="77777777" w:rsidR="00B14D53" w:rsidRDefault="00B14D53">
            <w:pPr>
              <w:rPr>
                <w:rFonts w:eastAsiaTheme="minorEastAsia"/>
                <w:kern w:val="0"/>
                <w:szCs w:val="21"/>
                <w:lang w:val="zh-CN"/>
              </w:rPr>
            </w:pPr>
          </w:p>
        </w:tc>
        <w:tc>
          <w:tcPr>
            <w:tcW w:w="2108" w:type="dxa"/>
            <w:vMerge/>
          </w:tcPr>
          <w:p w14:paraId="3C1706AE" w14:textId="77777777" w:rsidR="00B14D53" w:rsidRDefault="00B14D53">
            <w:pPr>
              <w:rPr>
                <w:rFonts w:eastAsiaTheme="minorEastAsia"/>
                <w:kern w:val="0"/>
                <w:szCs w:val="21"/>
              </w:rPr>
            </w:pPr>
          </w:p>
        </w:tc>
        <w:tc>
          <w:tcPr>
            <w:tcW w:w="696" w:type="dxa"/>
          </w:tcPr>
          <w:p w14:paraId="5A681C8C" w14:textId="77777777" w:rsidR="00B14D53" w:rsidRDefault="00000000">
            <w:pPr>
              <w:jc w:val="center"/>
              <w:rPr>
                <w:rFonts w:eastAsiaTheme="minorEastAsia"/>
                <w:kern w:val="0"/>
                <w:szCs w:val="21"/>
                <w:lang w:val="zh-CN"/>
              </w:rPr>
            </w:pPr>
            <w:r>
              <w:rPr>
                <w:rFonts w:eastAsiaTheme="minorEastAsia" w:hint="eastAsia"/>
                <w:kern w:val="0"/>
                <w:szCs w:val="21"/>
              </w:rPr>
              <w:t>自动监测</w:t>
            </w:r>
          </w:p>
        </w:tc>
        <w:tc>
          <w:tcPr>
            <w:tcW w:w="851" w:type="dxa"/>
          </w:tcPr>
          <w:p w14:paraId="671C10CE" w14:textId="77777777" w:rsidR="00B14D53" w:rsidRDefault="00000000">
            <w:pPr>
              <w:jc w:val="center"/>
              <w:rPr>
                <w:rFonts w:eastAsiaTheme="minorEastAsia"/>
                <w:kern w:val="0"/>
                <w:szCs w:val="21"/>
                <w:lang w:val="zh-CN"/>
              </w:rPr>
            </w:pPr>
            <w:r>
              <w:rPr>
                <w:kern w:val="0"/>
                <w:szCs w:val="21"/>
                <w:lang w:val="zh-CN"/>
              </w:rPr>
              <w:t>在线监测</w:t>
            </w:r>
          </w:p>
        </w:tc>
        <w:tc>
          <w:tcPr>
            <w:tcW w:w="2280" w:type="dxa"/>
            <w:vMerge/>
          </w:tcPr>
          <w:p w14:paraId="3ABDA8E5" w14:textId="77777777" w:rsidR="00B14D53" w:rsidRDefault="00B14D53">
            <w:pPr>
              <w:rPr>
                <w:rFonts w:eastAsiaTheme="minorEastAsia"/>
                <w:kern w:val="0"/>
                <w:szCs w:val="21"/>
                <w:lang w:val="zh-CN"/>
              </w:rPr>
            </w:pPr>
          </w:p>
        </w:tc>
        <w:tc>
          <w:tcPr>
            <w:tcW w:w="2441" w:type="dxa"/>
          </w:tcPr>
          <w:p w14:paraId="19052EE9" w14:textId="77777777" w:rsidR="00B14D53" w:rsidRDefault="00000000">
            <w:pPr>
              <w:rPr>
                <w:rFonts w:eastAsiaTheme="minorEastAsia"/>
                <w:kern w:val="0"/>
                <w:szCs w:val="21"/>
                <w:lang w:val="zh-CN"/>
              </w:rPr>
            </w:pPr>
            <w:r>
              <w:rPr>
                <w:rFonts w:hint="eastAsia"/>
                <w:szCs w:val="21"/>
              </w:rPr>
              <w:t>水质</w:t>
            </w:r>
            <w:r>
              <w:rPr>
                <w:rFonts w:hint="eastAsia"/>
                <w:szCs w:val="21"/>
              </w:rPr>
              <w:t xml:space="preserve"> </w:t>
            </w:r>
            <w:r>
              <w:rPr>
                <w:rFonts w:hint="eastAsia"/>
                <w:szCs w:val="21"/>
              </w:rPr>
              <w:t>氨氮的测定</w:t>
            </w:r>
            <w:r>
              <w:rPr>
                <w:rFonts w:hint="eastAsia"/>
                <w:szCs w:val="21"/>
              </w:rPr>
              <w:t xml:space="preserve"> </w:t>
            </w:r>
            <w:r>
              <w:rPr>
                <w:rFonts w:hint="eastAsia"/>
                <w:szCs w:val="21"/>
              </w:rPr>
              <w:t>纳氏试剂分光光度法</w:t>
            </w:r>
            <w:r>
              <w:rPr>
                <w:rFonts w:hint="eastAsia"/>
                <w:szCs w:val="21"/>
              </w:rPr>
              <w:t xml:space="preserve"> HJ535-2009</w:t>
            </w:r>
          </w:p>
        </w:tc>
      </w:tr>
      <w:tr w:rsidR="00B14D53" w14:paraId="7F018B39" w14:textId="77777777">
        <w:trPr>
          <w:trHeight w:val="651"/>
          <w:jc w:val="center"/>
        </w:trPr>
        <w:tc>
          <w:tcPr>
            <w:tcW w:w="550" w:type="dxa"/>
            <w:vMerge/>
          </w:tcPr>
          <w:p w14:paraId="5B6DC62B" w14:textId="77777777" w:rsidR="00B14D53" w:rsidRDefault="00B14D53">
            <w:pPr>
              <w:jc w:val="center"/>
              <w:rPr>
                <w:rFonts w:eastAsiaTheme="minorEastAsia"/>
                <w:kern w:val="0"/>
                <w:szCs w:val="21"/>
                <w:lang w:val="zh-CN"/>
              </w:rPr>
            </w:pPr>
          </w:p>
        </w:tc>
        <w:tc>
          <w:tcPr>
            <w:tcW w:w="851" w:type="dxa"/>
            <w:vMerge/>
          </w:tcPr>
          <w:p w14:paraId="1D583FC2" w14:textId="77777777" w:rsidR="00B14D53" w:rsidRDefault="00B14D53">
            <w:pPr>
              <w:jc w:val="center"/>
              <w:rPr>
                <w:rFonts w:eastAsiaTheme="minorEastAsia"/>
                <w:kern w:val="0"/>
                <w:szCs w:val="21"/>
              </w:rPr>
            </w:pPr>
          </w:p>
        </w:tc>
        <w:tc>
          <w:tcPr>
            <w:tcW w:w="1029" w:type="dxa"/>
          </w:tcPr>
          <w:p w14:paraId="5D92AAAD" w14:textId="77777777" w:rsidR="00B14D53" w:rsidRDefault="00000000">
            <w:pPr>
              <w:jc w:val="center"/>
              <w:rPr>
                <w:rFonts w:eastAsiaTheme="minorEastAsia"/>
                <w:kern w:val="0"/>
                <w:szCs w:val="21"/>
                <w:lang w:val="zh-CN"/>
              </w:rPr>
            </w:pPr>
            <w:r>
              <w:rPr>
                <w:kern w:val="0"/>
                <w:szCs w:val="21"/>
              </w:rPr>
              <w:t>五日生化需氧量</w:t>
            </w:r>
          </w:p>
        </w:tc>
        <w:tc>
          <w:tcPr>
            <w:tcW w:w="2514" w:type="dxa"/>
            <w:vMerge/>
          </w:tcPr>
          <w:p w14:paraId="5EAA8756" w14:textId="77777777" w:rsidR="00B14D53" w:rsidRDefault="00B14D53">
            <w:pPr>
              <w:rPr>
                <w:rFonts w:eastAsiaTheme="minorEastAsia"/>
                <w:kern w:val="0"/>
                <w:szCs w:val="21"/>
              </w:rPr>
            </w:pPr>
          </w:p>
        </w:tc>
        <w:tc>
          <w:tcPr>
            <w:tcW w:w="1170" w:type="dxa"/>
            <w:vMerge/>
          </w:tcPr>
          <w:p w14:paraId="4F16DBF0" w14:textId="77777777" w:rsidR="00B14D53" w:rsidRDefault="00B14D53">
            <w:pPr>
              <w:rPr>
                <w:rFonts w:eastAsiaTheme="minorEastAsia"/>
                <w:kern w:val="0"/>
                <w:szCs w:val="21"/>
                <w:lang w:val="zh-CN"/>
              </w:rPr>
            </w:pPr>
          </w:p>
        </w:tc>
        <w:tc>
          <w:tcPr>
            <w:tcW w:w="2108" w:type="dxa"/>
            <w:vMerge/>
          </w:tcPr>
          <w:p w14:paraId="3B005D08" w14:textId="77777777" w:rsidR="00B14D53" w:rsidRDefault="00B14D53">
            <w:pPr>
              <w:rPr>
                <w:rFonts w:eastAsiaTheme="minorEastAsia"/>
                <w:kern w:val="0"/>
                <w:szCs w:val="21"/>
              </w:rPr>
            </w:pPr>
          </w:p>
        </w:tc>
        <w:tc>
          <w:tcPr>
            <w:tcW w:w="696" w:type="dxa"/>
          </w:tcPr>
          <w:p w14:paraId="17FDC364" w14:textId="77777777" w:rsidR="00B14D53" w:rsidRDefault="00000000">
            <w:pPr>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kern w:val="0"/>
                <w:szCs w:val="21"/>
                <w:lang w:val="zh-CN"/>
              </w:rPr>
              <w:t>季度</w:t>
            </w:r>
          </w:p>
        </w:tc>
        <w:tc>
          <w:tcPr>
            <w:tcW w:w="851" w:type="dxa"/>
          </w:tcPr>
          <w:p w14:paraId="7D3D91BD" w14:textId="77777777" w:rsidR="00B14D53" w:rsidRDefault="00000000">
            <w:pPr>
              <w:jc w:val="center"/>
              <w:rPr>
                <w:rFonts w:eastAsiaTheme="minorEastAsia"/>
                <w:kern w:val="0"/>
                <w:szCs w:val="21"/>
                <w:lang w:val="zh-CN"/>
              </w:rPr>
            </w:pPr>
            <w:r>
              <w:rPr>
                <w:rFonts w:eastAsiaTheme="minorEastAsia"/>
                <w:kern w:val="0"/>
                <w:szCs w:val="21"/>
                <w:lang w:val="zh-CN"/>
              </w:rPr>
              <w:t>手工监测</w:t>
            </w:r>
          </w:p>
        </w:tc>
        <w:tc>
          <w:tcPr>
            <w:tcW w:w="2280" w:type="dxa"/>
            <w:vMerge w:val="restart"/>
          </w:tcPr>
          <w:p w14:paraId="3E0D0BA0" w14:textId="77777777" w:rsidR="00B14D53" w:rsidRDefault="00000000">
            <w:pPr>
              <w:rPr>
                <w:rFonts w:eastAsiaTheme="minorEastAsia"/>
                <w:kern w:val="0"/>
                <w:szCs w:val="21"/>
                <w:lang w:val="zh-CN"/>
              </w:rPr>
            </w:pPr>
            <w:r>
              <w:rPr>
                <w:kern w:val="0"/>
                <w:szCs w:val="21"/>
                <w:lang w:val="zh-CN"/>
              </w:rPr>
              <w:t>参照</w:t>
            </w:r>
            <w:r>
              <w:rPr>
                <w:kern w:val="0"/>
                <w:szCs w:val="21"/>
                <w:lang w:val="zh-CN"/>
              </w:rPr>
              <w:t>HJ494</w:t>
            </w:r>
            <w:r>
              <w:rPr>
                <w:kern w:val="0"/>
                <w:szCs w:val="21"/>
                <w:lang w:val="zh-CN"/>
              </w:rPr>
              <w:t>、</w:t>
            </w:r>
            <w:r>
              <w:rPr>
                <w:kern w:val="0"/>
                <w:szCs w:val="21"/>
                <w:lang w:val="zh-CN"/>
              </w:rPr>
              <w:t>HJ495</w:t>
            </w:r>
            <w:r>
              <w:rPr>
                <w:kern w:val="0"/>
                <w:szCs w:val="21"/>
                <w:lang w:val="zh-CN"/>
              </w:rPr>
              <w:t>、</w:t>
            </w:r>
            <w:r>
              <w:rPr>
                <w:kern w:val="0"/>
                <w:szCs w:val="21"/>
                <w:lang w:val="zh-CN"/>
              </w:rPr>
              <w:t>HJ/T91</w:t>
            </w:r>
          </w:p>
        </w:tc>
        <w:tc>
          <w:tcPr>
            <w:tcW w:w="2441" w:type="dxa"/>
          </w:tcPr>
          <w:p w14:paraId="1583DEA8" w14:textId="77777777" w:rsidR="00B14D53" w:rsidRDefault="00000000">
            <w:pPr>
              <w:rPr>
                <w:rFonts w:eastAsiaTheme="minorEastAsia"/>
                <w:kern w:val="0"/>
                <w:szCs w:val="21"/>
                <w:lang w:val="zh-CN"/>
              </w:rPr>
            </w:pPr>
            <w:r>
              <w:rPr>
                <w:rFonts w:hint="eastAsia"/>
                <w:color w:val="000000"/>
              </w:rPr>
              <w:t>水质</w:t>
            </w:r>
            <w:r>
              <w:rPr>
                <w:rFonts w:hint="eastAsia"/>
                <w:color w:val="000000"/>
              </w:rPr>
              <w:t xml:space="preserve"> </w:t>
            </w:r>
            <w:r>
              <w:rPr>
                <w:rFonts w:hint="eastAsia"/>
                <w:color w:val="000000"/>
              </w:rPr>
              <w:t>五日生化需氧量（</w:t>
            </w:r>
            <w:r>
              <w:rPr>
                <w:rFonts w:hint="eastAsia"/>
                <w:color w:val="000000"/>
              </w:rPr>
              <w:t>BOD</w:t>
            </w:r>
            <w:r>
              <w:rPr>
                <w:rFonts w:hint="eastAsia"/>
                <w:color w:val="000000"/>
                <w:vertAlign w:val="subscript"/>
              </w:rPr>
              <w:t>5</w:t>
            </w:r>
            <w:r>
              <w:rPr>
                <w:rFonts w:hint="eastAsia"/>
                <w:color w:val="000000"/>
              </w:rPr>
              <w:t>）的测定</w:t>
            </w:r>
            <w:r>
              <w:rPr>
                <w:rFonts w:hint="eastAsia"/>
                <w:color w:val="000000"/>
              </w:rPr>
              <w:t xml:space="preserve"> </w:t>
            </w:r>
            <w:r>
              <w:rPr>
                <w:rFonts w:hint="eastAsia"/>
                <w:color w:val="000000"/>
              </w:rPr>
              <w:t>稀释与接种法</w:t>
            </w:r>
            <w:r>
              <w:rPr>
                <w:rFonts w:hint="eastAsia"/>
                <w:color w:val="000000"/>
              </w:rPr>
              <w:t xml:space="preserve"> HJ505-2009</w:t>
            </w:r>
          </w:p>
        </w:tc>
      </w:tr>
      <w:tr w:rsidR="00B14D53" w14:paraId="486A3F67" w14:textId="77777777">
        <w:trPr>
          <w:trHeight w:val="651"/>
          <w:jc w:val="center"/>
        </w:trPr>
        <w:tc>
          <w:tcPr>
            <w:tcW w:w="550" w:type="dxa"/>
            <w:vMerge/>
          </w:tcPr>
          <w:p w14:paraId="794712BF" w14:textId="77777777" w:rsidR="00B14D53" w:rsidRDefault="00B14D53">
            <w:pPr>
              <w:jc w:val="center"/>
              <w:rPr>
                <w:rFonts w:eastAsiaTheme="minorEastAsia"/>
                <w:kern w:val="0"/>
                <w:szCs w:val="21"/>
                <w:lang w:val="zh-CN"/>
              </w:rPr>
            </w:pPr>
          </w:p>
        </w:tc>
        <w:tc>
          <w:tcPr>
            <w:tcW w:w="851" w:type="dxa"/>
            <w:vMerge/>
          </w:tcPr>
          <w:p w14:paraId="36A73222" w14:textId="77777777" w:rsidR="00B14D53" w:rsidRDefault="00B14D53">
            <w:pPr>
              <w:jc w:val="center"/>
              <w:rPr>
                <w:rFonts w:eastAsiaTheme="minorEastAsia"/>
                <w:kern w:val="0"/>
                <w:szCs w:val="21"/>
              </w:rPr>
            </w:pPr>
          </w:p>
        </w:tc>
        <w:tc>
          <w:tcPr>
            <w:tcW w:w="1029" w:type="dxa"/>
          </w:tcPr>
          <w:p w14:paraId="473B08DC" w14:textId="77777777" w:rsidR="00B14D53" w:rsidRDefault="00000000">
            <w:pPr>
              <w:jc w:val="center"/>
              <w:rPr>
                <w:rFonts w:eastAsiaTheme="minorEastAsia"/>
                <w:kern w:val="0"/>
                <w:szCs w:val="21"/>
                <w:lang w:val="zh-CN"/>
              </w:rPr>
            </w:pPr>
            <w:r>
              <w:rPr>
                <w:kern w:val="0"/>
                <w:szCs w:val="21"/>
              </w:rPr>
              <w:t>悬浮物</w:t>
            </w:r>
          </w:p>
        </w:tc>
        <w:tc>
          <w:tcPr>
            <w:tcW w:w="2514" w:type="dxa"/>
            <w:vMerge/>
          </w:tcPr>
          <w:p w14:paraId="3ECFB6D7" w14:textId="77777777" w:rsidR="00B14D53" w:rsidRDefault="00B14D53">
            <w:pPr>
              <w:rPr>
                <w:rFonts w:eastAsiaTheme="minorEastAsia"/>
                <w:kern w:val="0"/>
                <w:szCs w:val="21"/>
              </w:rPr>
            </w:pPr>
          </w:p>
        </w:tc>
        <w:tc>
          <w:tcPr>
            <w:tcW w:w="1170" w:type="dxa"/>
            <w:vMerge/>
          </w:tcPr>
          <w:p w14:paraId="41A6248E" w14:textId="77777777" w:rsidR="00B14D53" w:rsidRDefault="00B14D53">
            <w:pPr>
              <w:rPr>
                <w:rFonts w:eastAsiaTheme="minorEastAsia"/>
                <w:kern w:val="0"/>
                <w:szCs w:val="21"/>
                <w:lang w:val="zh-CN"/>
              </w:rPr>
            </w:pPr>
          </w:p>
        </w:tc>
        <w:tc>
          <w:tcPr>
            <w:tcW w:w="2108" w:type="dxa"/>
            <w:vMerge/>
          </w:tcPr>
          <w:p w14:paraId="1DD53C3F" w14:textId="77777777" w:rsidR="00B14D53" w:rsidRDefault="00B14D53">
            <w:pPr>
              <w:rPr>
                <w:rFonts w:eastAsiaTheme="minorEastAsia"/>
                <w:kern w:val="0"/>
                <w:szCs w:val="21"/>
              </w:rPr>
            </w:pPr>
          </w:p>
        </w:tc>
        <w:tc>
          <w:tcPr>
            <w:tcW w:w="696" w:type="dxa"/>
          </w:tcPr>
          <w:p w14:paraId="1874FC81" w14:textId="77777777" w:rsidR="00B14D53" w:rsidRDefault="00000000">
            <w:pPr>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kern w:val="0"/>
                <w:szCs w:val="21"/>
                <w:lang w:val="zh-CN"/>
              </w:rPr>
              <w:t>季度</w:t>
            </w:r>
          </w:p>
        </w:tc>
        <w:tc>
          <w:tcPr>
            <w:tcW w:w="851" w:type="dxa"/>
          </w:tcPr>
          <w:p w14:paraId="5B079C81" w14:textId="77777777" w:rsidR="00B14D53" w:rsidRDefault="00000000">
            <w:pPr>
              <w:jc w:val="center"/>
              <w:rPr>
                <w:rFonts w:eastAsiaTheme="minorEastAsia"/>
                <w:kern w:val="0"/>
                <w:szCs w:val="21"/>
                <w:lang w:val="zh-CN"/>
              </w:rPr>
            </w:pPr>
            <w:r>
              <w:rPr>
                <w:rFonts w:eastAsiaTheme="minorEastAsia"/>
                <w:kern w:val="0"/>
                <w:szCs w:val="21"/>
                <w:lang w:val="zh-CN"/>
              </w:rPr>
              <w:t>手工监测</w:t>
            </w:r>
          </w:p>
        </w:tc>
        <w:tc>
          <w:tcPr>
            <w:tcW w:w="2280" w:type="dxa"/>
            <w:vMerge/>
          </w:tcPr>
          <w:p w14:paraId="4E0BF12E" w14:textId="77777777" w:rsidR="00B14D53" w:rsidRDefault="00B14D53">
            <w:pPr>
              <w:rPr>
                <w:rFonts w:eastAsiaTheme="minorEastAsia"/>
                <w:kern w:val="0"/>
                <w:szCs w:val="21"/>
                <w:lang w:val="zh-CN"/>
              </w:rPr>
            </w:pPr>
          </w:p>
        </w:tc>
        <w:tc>
          <w:tcPr>
            <w:tcW w:w="2441" w:type="dxa"/>
          </w:tcPr>
          <w:p w14:paraId="3B305644" w14:textId="77777777" w:rsidR="00B14D53" w:rsidRDefault="00000000">
            <w:pPr>
              <w:rPr>
                <w:rFonts w:eastAsiaTheme="minorEastAsia"/>
                <w:kern w:val="0"/>
                <w:szCs w:val="21"/>
                <w:lang w:val="zh-CN"/>
              </w:rPr>
            </w:pPr>
            <w:r>
              <w:rPr>
                <w:rFonts w:hint="eastAsia"/>
              </w:rPr>
              <w:t>水质</w:t>
            </w:r>
            <w:r>
              <w:rPr>
                <w:rFonts w:hint="eastAsia"/>
              </w:rPr>
              <w:t xml:space="preserve"> </w:t>
            </w:r>
            <w:r>
              <w:rPr>
                <w:rFonts w:hint="eastAsia"/>
              </w:rPr>
              <w:t>悬浮物的测定</w:t>
            </w:r>
            <w:r>
              <w:rPr>
                <w:rFonts w:hint="eastAsia"/>
              </w:rPr>
              <w:t xml:space="preserve"> </w:t>
            </w:r>
            <w:r>
              <w:rPr>
                <w:rFonts w:hint="eastAsia"/>
              </w:rPr>
              <w:t>重量法</w:t>
            </w:r>
            <w:r>
              <w:rPr>
                <w:rFonts w:hint="eastAsia"/>
              </w:rPr>
              <w:t xml:space="preserve"> </w:t>
            </w:r>
            <w:r>
              <w:t>GB11901-89</w:t>
            </w:r>
          </w:p>
        </w:tc>
      </w:tr>
      <w:tr w:rsidR="00B14D53" w14:paraId="5CDF0994" w14:textId="77777777">
        <w:trPr>
          <w:trHeight w:val="651"/>
          <w:jc w:val="center"/>
        </w:trPr>
        <w:tc>
          <w:tcPr>
            <w:tcW w:w="550" w:type="dxa"/>
            <w:vMerge/>
          </w:tcPr>
          <w:p w14:paraId="2F0F1DF2" w14:textId="77777777" w:rsidR="00B14D53" w:rsidRDefault="00B14D53">
            <w:pPr>
              <w:jc w:val="center"/>
              <w:rPr>
                <w:rFonts w:eastAsiaTheme="minorEastAsia"/>
                <w:kern w:val="0"/>
                <w:szCs w:val="21"/>
                <w:lang w:val="zh-CN"/>
              </w:rPr>
            </w:pPr>
          </w:p>
        </w:tc>
        <w:tc>
          <w:tcPr>
            <w:tcW w:w="851" w:type="dxa"/>
            <w:vMerge/>
          </w:tcPr>
          <w:p w14:paraId="71FCAA59" w14:textId="77777777" w:rsidR="00B14D53" w:rsidRDefault="00B14D53">
            <w:pPr>
              <w:jc w:val="center"/>
              <w:rPr>
                <w:rFonts w:eastAsiaTheme="minorEastAsia"/>
                <w:kern w:val="0"/>
                <w:szCs w:val="21"/>
              </w:rPr>
            </w:pPr>
          </w:p>
        </w:tc>
        <w:tc>
          <w:tcPr>
            <w:tcW w:w="1029" w:type="dxa"/>
          </w:tcPr>
          <w:p w14:paraId="05200595" w14:textId="77777777" w:rsidR="00B14D53" w:rsidRDefault="00000000">
            <w:pPr>
              <w:jc w:val="center"/>
              <w:rPr>
                <w:rFonts w:eastAsiaTheme="minorEastAsia"/>
                <w:kern w:val="0"/>
                <w:szCs w:val="21"/>
                <w:lang w:val="zh-CN"/>
              </w:rPr>
            </w:pPr>
            <w:r>
              <w:rPr>
                <w:kern w:val="0"/>
                <w:szCs w:val="21"/>
              </w:rPr>
              <w:t>动植物油</w:t>
            </w:r>
          </w:p>
        </w:tc>
        <w:tc>
          <w:tcPr>
            <w:tcW w:w="2514" w:type="dxa"/>
            <w:vMerge/>
          </w:tcPr>
          <w:p w14:paraId="3882D250" w14:textId="77777777" w:rsidR="00B14D53" w:rsidRDefault="00B14D53">
            <w:pPr>
              <w:rPr>
                <w:rFonts w:eastAsiaTheme="minorEastAsia"/>
                <w:kern w:val="0"/>
                <w:szCs w:val="21"/>
              </w:rPr>
            </w:pPr>
          </w:p>
        </w:tc>
        <w:tc>
          <w:tcPr>
            <w:tcW w:w="1170" w:type="dxa"/>
            <w:vMerge/>
          </w:tcPr>
          <w:p w14:paraId="0DCB0ED9" w14:textId="77777777" w:rsidR="00B14D53" w:rsidRDefault="00B14D53">
            <w:pPr>
              <w:rPr>
                <w:rFonts w:eastAsiaTheme="minorEastAsia"/>
                <w:kern w:val="0"/>
                <w:szCs w:val="21"/>
                <w:lang w:val="zh-CN"/>
              </w:rPr>
            </w:pPr>
          </w:p>
        </w:tc>
        <w:tc>
          <w:tcPr>
            <w:tcW w:w="2108" w:type="dxa"/>
            <w:vMerge/>
          </w:tcPr>
          <w:p w14:paraId="42054EC2" w14:textId="77777777" w:rsidR="00B14D53" w:rsidRDefault="00B14D53">
            <w:pPr>
              <w:rPr>
                <w:rFonts w:eastAsiaTheme="minorEastAsia"/>
                <w:kern w:val="0"/>
                <w:szCs w:val="21"/>
              </w:rPr>
            </w:pPr>
          </w:p>
        </w:tc>
        <w:tc>
          <w:tcPr>
            <w:tcW w:w="696" w:type="dxa"/>
          </w:tcPr>
          <w:p w14:paraId="60AB3D98" w14:textId="77777777" w:rsidR="00B14D53" w:rsidRDefault="00000000">
            <w:pPr>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kern w:val="0"/>
                <w:szCs w:val="21"/>
                <w:lang w:val="zh-CN"/>
              </w:rPr>
              <w:t>季度</w:t>
            </w:r>
          </w:p>
        </w:tc>
        <w:tc>
          <w:tcPr>
            <w:tcW w:w="851" w:type="dxa"/>
          </w:tcPr>
          <w:p w14:paraId="2466D73F" w14:textId="77777777" w:rsidR="00B14D53" w:rsidRDefault="00000000">
            <w:pPr>
              <w:jc w:val="center"/>
              <w:rPr>
                <w:rFonts w:eastAsiaTheme="minorEastAsia"/>
                <w:kern w:val="0"/>
                <w:szCs w:val="21"/>
                <w:lang w:val="zh-CN"/>
              </w:rPr>
            </w:pPr>
            <w:r>
              <w:rPr>
                <w:rFonts w:eastAsiaTheme="minorEastAsia"/>
                <w:kern w:val="0"/>
                <w:szCs w:val="21"/>
                <w:lang w:val="zh-CN"/>
              </w:rPr>
              <w:t>手工监测</w:t>
            </w:r>
          </w:p>
        </w:tc>
        <w:tc>
          <w:tcPr>
            <w:tcW w:w="2280" w:type="dxa"/>
            <w:vMerge/>
          </w:tcPr>
          <w:p w14:paraId="185C5C5D" w14:textId="77777777" w:rsidR="00B14D53" w:rsidRDefault="00B14D53">
            <w:pPr>
              <w:rPr>
                <w:rFonts w:eastAsiaTheme="minorEastAsia"/>
                <w:kern w:val="0"/>
                <w:szCs w:val="21"/>
                <w:lang w:val="zh-CN"/>
              </w:rPr>
            </w:pPr>
          </w:p>
        </w:tc>
        <w:tc>
          <w:tcPr>
            <w:tcW w:w="2441" w:type="dxa"/>
          </w:tcPr>
          <w:p w14:paraId="2A501269" w14:textId="77777777" w:rsidR="00B14D53" w:rsidRDefault="00000000">
            <w:pPr>
              <w:rPr>
                <w:rFonts w:eastAsiaTheme="minorEastAsia"/>
                <w:kern w:val="0"/>
                <w:szCs w:val="21"/>
                <w:lang w:val="zh-CN"/>
              </w:rPr>
            </w:pPr>
            <w:r>
              <w:rPr>
                <w:szCs w:val="21"/>
              </w:rPr>
              <w:t>水质</w:t>
            </w:r>
            <w:r>
              <w:rPr>
                <w:szCs w:val="21"/>
              </w:rPr>
              <w:t xml:space="preserve"> </w:t>
            </w:r>
            <w:r>
              <w:rPr>
                <w:szCs w:val="21"/>
              </w:rPr>
              <w:t>石油类和动植物油类的测定</w:t>
            </w:r>
            <w:r>
              <w:rPr>
                <w:rFonts w:hint="eastAsia"/>
                <w:szCs w:val="21"/>
              </w:rPr>
              <w:t xml:space="preserve"> </w:t>
            </w:r>
            <w:r>
              <w:rPr>
                <w:szCs w:val="21"/>
              </w:rPr>
              <w:t>红外分光光度法</w:t>
            </w:r>
            <w:r>
              <w:rPr>
                <w:rFonts w:hint="eastAsia"/>
                <w:szCs w:val="21"/>
              </w:rPr>
              <w:t xml:space="preserve"> </w:t>
            </w:r>
            <w:r>
              <w:rPr>
                <w:szCs w:val="21"/>
              </w:rPr>
              <w:t>HJ637-201</w:t>
            </w:r>
            <w:r>
              <w:rPr>
                <w:rFonts w:hint="eastAsia"/>
                <w:szCs w:val="21"/>
              </w:rPr>
              <w:t>8</w:t>
            </w:r>
          </w:p>
        </w:tc>
      </w:tr>
      <w:tr w:rsidR="00B14D53" w14:paraId="3353256E" w14:textId="77777777">
        <w:trPr>
          <w:trHeight w:val="651"/>
          <w:jc w:val="center"/>
        </w:trPr>
        <w:tc>
          <w:tcPr>
            <w:tcW w:w="550" w:type="dxa"/>
            <w:vMerge/>
          </w:tcPr>
          <w:p w14:paraId="737F5EE2" w14:textId="77777777" w:rsidR="00B14D53" w:rsidRDefault="00B14D53">
            <w:pPr>
              <w:jc w:val="center"/>
              <w:rPr>
                <w:rFonts w:eastAsiaTheme="minorEastAsia"/>
                <w:kern w:val="0"/>
                <w:szCs w:val="21"/>
                <w:lang w:val="zh-CN"/>
              </w:rPr>
            </w:pPr>
          </w:p>
        </w:tc>
        <w:tc>
          <w:tcPr>
            <w:tcW w:w="851" w:type="dxa"/>
            <w:vMerge/>
          </w:tcPr>
          <w:p w14:paraId="7868086C" w14:textId="77777777" w:rsidR="00B14D53" w:rsidRDefault="00B14D53">
            <w:pPr>
              <w:jc w:val="center"/>
              <w:rPr>
                <w:rFonts w:eastAsiaTheme="minorEastAsia"/>
                <w:kern w:val="0"/>
                <w:szCs w:val="21"/>
              </w:rPr>
            </w:pPr>
          </w:p>
        </w:tc>
        <w:tc>
          <w:tcPr>
            <w:tcW w:w="1029" w:type="dxa"/>
          </w:tcPr>
          <w:p w14:paraId="4A180F0B" w14:textId="77777777" w:rsidR="00B14D53" w:rsidRDefault="00000000">
            <w:pPr>
              <w:jc w:val="center"/>
              <w:rPr>
                <w:rFonts w:eastAsiaTheme="minorEastAsia"/>
                <w:kern w:val="0"/>
                <w:szCs w:val="21"/>
                <w:lang w:val="zh-CN"/>
              </w:rPr>
            </w:pPr>
            <w:r>
              <w:rPr>
                <w:kern w:val="0"/>
                <w:szCs w:val="21"/>
              </w:rPr>
              <w:t>大肠菌群数</w:t>
            </w:r>
          </w:p>
        </w:tc>
        <w:tc>
          <w:tcPr>
            <w:tcW w:w="2514" w:type="dxa"/>
            <w:vMerge/>
          </w:tcPr>
          <w:p w14:paraId="180603EC" w14:textId="77777777" w:rsidR="00B14D53" w:rsidRDefault="00B14D53">
            <w:pPr>
              <w:rPr>
                <w:rFonts w:eastAsiaTheme="minorEastAsia"/>
                <w:kern w:val="0"/>
                <w:szCs w:val="21"/>
              </w:rPr>
            </w:pPr>
          </w:p>
        </w:tc>
        <w:tc>
          <w:tcPr>
            <w:tcW w:w="1170" w:type="dxa"/>
            <w:vMerge/>
          </w:tcPr>
          <w:p w14:paraId="39D12FEE" w14:textId="77777777" w:rsidR="00B14D53" w:rsidRDefault="00B14D53">
            <w:pPr>
              <w:rPr>
                <w:rFonts w:eastAsiaTheme="minorEastAsia"/>
                <w:kern w:val="0"/>
                <w:szCs w:val="21"/>
                <w:lang w:val="zh-CN"/>
              </w:rPr>
            </w:pPr>
          </w:p>
        </w:tc>
        <w:tc>
          <w:tcPr>
            <w:tcW w:w="2108" w:type="dxa"/>
            <w:vMerge/>
          </w:tcPr>
          <w:p w14:paraId="292883F8" w14:textId="77777777" w:rsidR="00B14D53" w:rsidRDefault="00B14D53">
            <w:pPr>
              <w:rPr>
                <w:rFonts w:eastAsiaTheme="minorEastAsia"/>
                <w:kern w:val="0"/>
                <w:szCs w:val="21"/>
              </w:rPr>
            </w:pPr>
          </w:p>
        </w:tc>
        <w:tc>
          <w:tcPr>
            <w:tcW w:w="696" w:type="dxa"/>
          </w:tcPr>
          <w:p w14:paraId="125B9804" w14:textId="77777777" w:rsidR="00B14D53" w:rsidRDefault="00000000">
            <w:pPr>
              <w:jc w:val="center"/>
              <w:rPr>
                <w:rFonts w:eastAsiaTheme="minorEastAsia"/>
                <w:kern w:val="0"/>
                <w:szCs w:val="21"/>
                <w:lang w:val="zh-CN"/>
              </w:rPr>
            </w:pPr>
            <w:r>
              <w:rPr>
                <w:rFonts w:eastAsiaTheme="minorEastAsia"/>
                <w:kern w:val="0"/>
                <w:szCs w:val="21"/>
                <w:lang w:val="zh-CN"/>
              </w:rPr>
              <w:t>1</w:t>
            </w:r>
            <w:r>
              <w:rPr>
                <w:rFonts w:eastAsiaTheme="minorEastAsia"/>
                <w:kern w:val="0"/>
                <w:szCs w:val="21"/>
                <w:lang w:val="zh-CN"/>
              </w:rPr>
              <w:t>次</w:t>
            </w:r>
            <w:r>
              <w:rPr>
                <w:rFonts w:eastAsiaTheme="minorEastAsia"/>
                <w:kern w:val="0"/>
                <w:szCs w:val="21"/>
                <w:lang w:val="zh-CN"/>
              </w:rPr>
              <w:t>/</w:t>
            </w:r>
            <w:r>
              <w:rPr>
                <w:rFonts w:eastAsiaTheme="minorEastAsia"/>
                <w:kern w:val="0"/>
                <w:szCs w:val="21"/>
                <w:lang w:val="zh-CN"/>
              </w:rPr>
              <w:t>季度</w:t>
            </w:r>
          </w:p>
        </w:tc>
        <w:tc>
          <w:tcPr>
            <w:tcW w:w="851" w:type="dxa"/>
          </w:tcPr>
          <w:p w14:paraId="5EE3798A" w14:textId="77777777" w:rsidR="00B14D53" w:rsidRDefault="00000000">
            <w:pPr>
              <w:jc w:val="center"/>
              <w:rPr>
                <w:rFonts w:eastAsiaTheme="minorEastAsia"/>
                <w:kern w:val="0"/>
                <w:szCs w:val="21"/>
                <w:lang w:val="zh-CN"/>
              </w:rPr>
            </w:pPr>
            <w:r>
              <w:rPr>
                <w:rFonts w:eastAsiaTheme="minorEastAsia"/>
                <w:kern w:val="0"/>
                <w:szCs w:val="21"/>
                <w:lang w:val="zh-CN"/>
              </w:rPr>
              <w:t>手工监测</w:t>
            </w:r>
          </w:p>
        </w:tc>
        <w:tc>
          <w:tcPr>
            <w:tcW w:w="2280" w:type="dxa"/>
            <w:vMerge/>
          </w:tcPr>
          <w:p w14:paraId="57BA83CA" w14:textId="77777777" w:rsidR="00B14D53" w:rsidRDefault="00B14D53">
            <w:pPr>
              <w:rPr>
                <w:rFonts w:eastAsiaTheme="minorEastAsia"/>
                <w:kern w:val="0"/>
                <w:szCs w:val="21"/>
                <w:lang w:val="zh-CN"/>
              </w:rPr>
            </w:pPr>
          </w:p>
        </w:tc>
        <w:tc>
          <w:tcPr>
            <w:tcW w:w="2441" w:type="dxa"/>
          </w:tcPr>
          <w:p w14:paraId="295EC25D" w14:textId="77777777" w:rsidR="00B14D53" w:rsidRDefault="00000000">
            <w:pPr>
              <w:rPr>
                <w:rFonts w:eastAsiaTheme="minorEastAsia"/>
                <w:kern w:val="0"/>
                <w:szCs w:val="21"/>
                <w:lang w:val="zh-CN"/>
              </w:rPr>
            </w:pPr>
            <w:r>
              <w:rPr>
                <w:rFonts w:hint="eastAsia"/>
              </w:rPr>
              <w:t>水质</w:t>
            </w:r>
            <w:r>
              <w:rPr>
                <w:rFonts w:hint="eastAsia"/>
              </w:rPr>
              <w:t xml:space="preserve"> </w:t>
            </w:r>
            <w:r>
              <w:rPr>
                <w:rFonts w:hint="eastAsia"/>
              </w:rPr>
              <w:t>总大肠菌群和粪大肠菌群的测定</w:t>
            </w:r>
            <w:r>
              <w:rPr>
                <w:rFonts w:hint="eastAsia"/>
              </w:rPr>
              <w:t xml:space="preserve"> </w:t>
            </w:r>
            <w:r>
              <w:rPr>
                <w:rFonts w:hint="eastAsia"/>
              </w:rPr>
              <w:t>纸片快速法</w:t>
            </w:r>
            <w:r>
              <w:rPr>
                <w:rFonts w:hint="eastAsia"/>
              </w:rPr>
              <w:t xml:space="preserve"> HJ755-2015</w:t>
            </w:r>
          </w:p>
        </w:tc>
      </w:tr>
      <w:tr w:rsidR="00B14D53" w14:paraId="78C5968F" w14:textId="77777777">
        <w:trPr>
          <w:trHeight w:val="651"/>
          <w:jc w:val="center"/>
        </w:trPr>
        <w:tc>
          <w:tcPr>
            <w:tcW w:w="550" w:type="dxa"/>
            <w:vMerge/>
          </w:tcPr>
          <w:p w14:paraId="17CFB6EB" w14:textId="77777777" w:rsidR="00B14D53" w:rsidRDefault="00B14D53">
            <w:pPr>
              <w:jc w:val="center"/>
              <w:rPr>
                <w:rFonts w:eastAsiaTheme="minorEastAsia"/>
                <w:kern w:val="0"/>
                <w:szCs w:val="21"/>
                <w:lang w:val="zh-CN"/>
              </w:rPr>
            </w:pPr>
          </w:p>
        </w:tc>
        <w:tc>
          <w:tcPr>
            <w:tcW w:w="851" w:type="dxa"/>
            <w:vMerge/>
          </w:tcPr>
          <w:p w14:paraId="16A91390" w14:textId="77777777" w:rsidR="00B14D53" w:rsidRDefault="00B14D53">
            <w:pPr>
              <w:jc w:val="center"/>
              <w:rPr>
                <w:rFonts w:eastAsiaTheme="minorEastAsia"/>
                <w:kern w:val="0"/>
                <w:szCs w:val="21"/>
              </w:rPr>
            </w:pPr>
          </w:p>
        </w:tc>
        <w:tc>
          <w:tcPr>
            <w:tcW w:w="1029" w:type="dxa"/>
          </w:tcPr>
          <w:p w14:paraId="6F604C02" w14:textId="77777777" w:rsidR="00B14D53" w:rsidRDefault="00000000">
            <w:pPr>
              <w:jc w:val="center"/>
              <w:rPr>
                <w:rFonts w:eastAsiaTheme="minorEastAsia"/>
                <w:kern w:val="0"/>
                <w:szCs w:val="21"/>
                <w:lang w:val="zh-CN"/>
              </w:rPr>
            </w:pPr>
            <w:r>
              <w:rPr>
                <w:rFonts w:hint="eastAsia"/>
                <w:kern w:val="0"/>
                <w:szCs w:val="21"/>
              </w:rPr>
              <w:t>总磷</w:t>
            </w:r>
          </w:p>
        </w:tc>
        <w:tc>
          <w:tcPr>
            <w:tcW w:w="2514" w:type="dxa"/>
            <w:vMerge/>
          </w:tcPr>
          <w:p w14:paraId="5C50DA9E" w14:textId="77777777" w:rsidR="00B14D53" w:rsidRDefault="00B14D53">
            <w:pPr>
              <w:rPr>
                <w:rFonts w:eastAsiaTheme="minorEastAsia"/>
                <w:kern w:val="0"/>
                <w:szCs w:val="21"/>
              </w:rPr>
            </w:pPr>
          </w:p>
        </w:tc>
        <w:tc>
          <w:tcPr>
            <w:tcW w:w="1170" w:type="dxa"/>
            <w:vMerge/>
          </w:tcPr>
          <w:p w14:paraId="24DFBCD6" w14:textId="77777777" w:rsidR="00B14D53" w:rsidRDefault="00B14D53">
            <w:pPr>
              <w:rPr>
                <w:rFonts w:eastAsiaTheme="minorEastAsia"/>
                <w:kern w:val="0"/>
                <w:szCs w:val="21"/>
                <w:lang w:val="zh-CN"/>
              </w:rPr>
            </w:pPr>
          </w:p>
        </w:tc>
        <w:tc>
          <w:tcPr>
            <w:tcW w:w="2108" w:type="dxa"/>
            <w:vMerge/>
          </w:tcPr>
          <w:p w14:paraId="365C24A0" w14:textId="77777777" w:rsidR="00B14D53" w:rsidRDefault="00B14D53">
            <w:pPr>
              <w:rPr>
                <w:rFonts w:eastAsiaTheme="minorEastAsia"/>
                <w:kern w:val="0"/>
                <w:szCs w:val="21"/>
              </w:rPr>
            </w:pPr>
          </w:p>
        </w:tc>
        <w:tc>
          <w:tcPr>
            <w:tcW w:w="696" w:type="dxa"/>
          </w:tcPr>
          <w:p w14:paraId="07F5E186" w14:textId="77777777" w:rsidR="00B14D53" w:rsidRDefault="00000000">
            <w:pPr>
              <w:jc w:val="center"/>
              <w:rPr>
                <w:rFonts w:eastAsiaTheme="minorEastAsia"/>
                <w:kern w:val="0"/>
                <w:szCs w:val="21"/>
                <w:lang w:val="zh-CN"/>
              </w:rPr>
            </w:pPr>
            <w:r>
              <w:rPr>
                <w:rFonts w:eastAsiaTheme="minorEastAsia" w:hint="eastAsia"/>
                <w:kern w:val="0"/>
                <w:szCs w:val="21"/>
              </w:rPr>
              <w:t>自动监测</w:t>
            </w:r>
          </w:p>
        </w:tc>
        <w:tc>
          <w:tcPr>
            <w:tcW w:w="851" w:type="dxa"/>
          </w:tcPr>
          <w:p w14:paraId="7ED98B85" w14:textId="77777777" w:rsidR="00B14D53" w:rsidRDefault="00000000">
            <w:pPr>
              <w:jc w:val="center"/>
              <w:rPr>
                <w:rFonts w:eastAsiaTheme="minorEastAsia"/>
                <w:kern w:val="0"/>
                <w:szCs w:val="21"/>
                <w:lang w:val="zh-CN"/>
              </w:rPr>
            </w:pPr>
            <w:r>
              <w:rPr>
                <w:kern w:val="0"/>
                <w:szCs w:val="21"/>
                <w:lang w:val="zh-CN"/>
              </w:rPr>
              <w:t>在线监测</w:t>
            </w:r>
          </w:p>
        </w:tc>
        <w:tc>
          <w:tcPr>
            <w:tcW w:w="2280" w:type="dxa"/>
            <w:vMerge w:val="restart"/>
          </w:tcPr>
          <w:p w14:paraId="7ACA7635" w14:textId="77777777" w:rsidR="00B14D53" w:rsidRDefault="00000000">
            <w:pPr>
              <w:rPr>
                <w:rFonts w:eastAsiaTheme="minorEastAsia"/>
                <w:kern w:val="0"/>
                <w:szCs w:val="21"/>
                <w:lang w:val="zh-CN"/>
              </w:rPr>
            </w:pPr>
            <w:r>
              <w:rPr>
                <w:kern w:val="0"/>
                <w:szCs w:val="21"/>
                <w:lang w:val="zh-CN"/>
              </w:rPr>
              <w:t>参照</w:t>
            </w:r>
            <w:r>
              <w:rPr>
                <w:kern w:val="0"/>
                <w:szCs w:val="21"/>
                <w:lang w:val="zh-CN"/>
              </w:rPr>
              <w:t>HJ/T353</w:t>
            </w:r>
            <w:r>
              <w:rPr>
                <w:kern w:val="0"/>
                <w:szCs w:val="21"/>
                <w:lang w:val="zh-CN"/>
              </w:rPr>
              <w:t>、</w:t>
            </w:r>
            <w:r>
              <w:rPr>
                <w:kern w:val="0"/>
                <w:szCs w:val="21"/>
                <w:lang w:val="zh-CN"/>
              </w:rPr>
              <w:t>HJ/T354</w:t>
            </w:r>
            <w:r>
              <w:rPr>
                <w:kern w:val="0"/>
                <w:szCs w:val="21"/>
                <w:lang w:val="zh-CN"/>
              </w:rPr>
              <w:t>、</w:t>
            </w:r>
            <w:r>
              <w:rPr>
                <w:kern w:val="0"/>
                <w:szCs w:val="21"/>
                <w:lang w:val="zh-CN"/>
              </w:rPr>
              <w:t>HJ/T355</w:t>
            </w:r>
          </w:p>
        </w:tc>
        <w:tc>
          <w:tcPr>
            <w:tcW w:w="2441" w:type="dxa"/>
          </w:tcPr>
          <w:p w14:paraId="4425CA10" w14:textId="77777777" w:rsidR="00B14D53" w:rsidRDefault="00000000">
            <w:pPr>
              <w:rPr>
                <w:rFonts w:eastAsiaTheme="minorEastAsia"/>
                <w:kern w:val="0"/>
                <w:szCs w:val="21"/>
                <w:lang w:val="zh-CN"/>
              </w:rPr>
            </w:pPr>
            <w:r>
              <w:rPr>
                <w:kern w:val="0"/>
                <w:szCs w:val="21"/>
              </w:rPr>
              <w:t>流动注射</w:t>
            </w:r>
            <w:r>
              <w:rPr>
                <w:rFonts w:hint="eastAsia"/>
                <w:kern w:val="0"/>
                <w:szCs w:val="21"/>
              </w:rPr>
              <w:t>-</w:t>
            </w:r>
            <w:r>
              <w:rPr>
                <w:rFonts w:hint="eastAsia"/>
                <w:kern w:val="0"/>
                <w:szCs w:val="21"/>
              </w:rPr>
              <w:t>钼酸铵分光光度法</w:t>
            </w:r>
            <w:r>
              <w:rPr>
                <w:rFonts w:hint="eastAsia"/>
                <w:kern w:val="0"/>
                <w:szCs w:val="21"/>
              </w:rPr>
              <w:t xml:space="preserve"> HJ 671-2013</w:t>
            </w:r>
          </w:p>
        </w:tc>
      </w:tr>
      <w:tr w:rsidR="00B14D53" w14:paraId="418FA5A6" w14:textId="77777777">
        <w:trPr>
          <w:trHeight w:val="651"/>
          <w:jc w:val="center"/>
        </w:trPr>
        <w:tc>
          <w:tcPr>
            <w:tcW w:w="550" w:type="dxa"/>
            <w:vMerge/>
          </w:tcPr>
          <w:p w14:paraId="4F2DE87B" w14:textId="77777777" w:rsidR="00B14D53" w:rsidRDefault="00B14D53">
            <w:pPr>
              <w:jc w:val="center"/>
              <w:rPr>
                <w:rFonts w:eastAsiaTheme="minorEastAsia"/>
                <w:kern w:val="0"/>
                <w:szCs w:val="21"/>
                <w:lang w:val="zh-CN"/>
              </w:rPr>
            </w:pPr>
          </w:p>
        </w:tc>
        <w:tc>
          <w:tcPr>
            <w:tcW w:w="851" w:type="dxa"/>
            <w:vMerge/>
          </w:tcPr>
          <w:p w14:paraId="2F3C8C54" w14:textId="77777777" w:rsidR="00B14D53" w:rsidRDefault="00B14D53">
            <w:pPr>
              <w:jc w:val="center"/>
              <w:rPr>
                <w:rFonts w:eastAsiaTheme="minorEastAsia"/>
                <w:kern w:val="0"/>
                <w:szCs w:val="21"/>
              </w:rPr>
            </w:pPr>
          </w:p>
        </w:tc>
        <w:tc>
          <w:tcPr>
            <w:tcW w:w="1029" w:type="dxa"/>
          </w:tcPr>
          <w:p w14:paraId="40E03D98" w14:textId="77777777" w:rsidR="00B14D53" w:rsidRDefault="00000000">
            <w:pPr>
              <w:jc w:val="center"/>
              <w:rPr>
                <w:kern w:val="0"/>
                <w:szCs w:val="21"/>
              </w:rPr>
            </w:pPr>
            <w:r>
              <w:rPr>
                <w:rFonts w:hint="eastAsia"/>
                <w:kern w:val="0"/>
                <w:szCs w:val="21"/>
              </w:rPr>
              <w:t>总氮</w:t>
            </w:r>
          </w:p>
        </w:tc>
        <w:tc>
          <w:tcPr>
            <w:tcW w:w="2514" w:type="dxa"/>
            <w:vMerge/>
          </w:tcPr>
          <w:p w14:paraId="75A7CA34" w14:textId="77777777" w:rsidR="00B14D53" w:rsidRDefault="00B14D53">
            <w:pPr>
              <w:rPr>
                <w:rFonts w:eastAsiaTheme="minorEastAsia"/>
                <w:kern w:val="0"/>
                <w:szCs w:val="21"/>
              </w:rPr>
            </w:pPr>
          </w:p>
        </w:tc>
        <w:tc>
          <w:tcPr>
            <w:tcW w:w="1170" w:type="dxa"/>
            <w:vMerge/>
          </w:tcPr>
          <w:p w14:paraId="410532DD" w14:textId="77777777" w:rsidR="00B14D53" w:rsidRDefault="00B14D53">
            <w:pPr>
              <w:rPr>
                <w:rFonts w:eastAsiaTheme="minorEastAsia"/>
                <w:kern w:val="0"/>
                <w:szCs w:val="21"/>
                <w:lang w:val="zh-CN"/>
              </w:rPr>
            </w:pPr>
          </w:p>
        </w:tc>
        <w:tc>
          <w:tcPr>
            <w:tcW w:w="2108" w:type="dxa"/>
            <w:vMerge/>
          </w:tcPr>
          <w:p w14:paraId="7F7D196E" w14:textId="77777777" w:rsidR="00B14D53" w:rsidRDefault="00B14D53">
            <w:pPr>
              <w:rPr>
                <w:rFonts w:eastAsiaTheme="minorEastAsia"/>
                <w:kern w:val="0"/>
                <w:szCs w:val="21"/>
              </w:rPr>
            </w:pPr>
          </w:p>
        </w:tc>
        <w:tc>
          <w:tcPr>
            <w:tcW w:w="696" w:type="dxa"/>
          </w:tcPr>
          <w:p w14:paraId="7D45864C" w14:textId="77777777" w:rsidR="00B14D53" w:rsidRDefault="00000000">
            <w:pPr>
              <w:jc w:val="center"/>
              <w:rPr>
                <w:rFonts w:eastAsiaTheme="minorEastAsia"/>
                <w:kern w:val="0"/>
                <w:szCs w:val="21"/>
                <w:lang w:val="zh-CN"/>
              </w:rPr>
            </w:pPr>
            <w:r>
              <w:rPr>
                <w:rFonts w:eastAsiaTheme="minorEastAsia" w:hint="eastAsia"/>
                <w:kern w:val="0"/>
                <w:szCs w:val="21"/>
              </w:rPr>
              <w:t>自动监测</w:t>
            </w:r>
          </w:p>
        </w:tc>
        <w:tc>
          <w:tcPr>
            <w:tcW w:w="851" w:type="dxa"/>
          </w:tcPr>
          <w:p w14:paraId="6F3DFCD4" w14:textId="77777777" w:rsidR="00B14D53" w:rsidRDefault="00000000">
            <w:pPr>
              <w:jc w:val="center"/>
              <w:rPr>
                <w:rFonts w:eastAsiaTheme="minorEastAsia"/>
                <w:kern w:val="0"/>
                <w:szCs w:val="21"/>
                <w:lang w:val="zh-CN"/>
              </w:rPr>
            </w:pPr>
            <w:r>
              <w:rPr>
                <w:kern w:val="0"/>
                <w:szCs w:val="21"/>
                <w:lang w:val="zh-CN"/>
              </w:rPr>
              <w:t>在线监测</w:t>
            </w:r>
          </w:p>
        </w:tc>
        <w:tc>
          <w:tcPr>
            <w:tcW w:w="2280" w:type="dxa"/>
            <w:vMerge/>
          </w:tcPr>
          <w:p w14:paraId="38194E85" w14:textId="77777777" w:rsidR="00B14D53" w:rsidRDefault="00B14D53">
            <w:pPr>
              <w:rPr>
                <w:rFonts w:eastAsiaTheme="minorEastAsia"/>
                <w:kern w:val="0"/>
                <w:szCs w:val="21"/>
                <w:lang w:val="zh-CN"/>
              </w:rPr>
            </w:pPr>
          </w:p>
        </w:tc>
        <w:tc>
          <w:tcPr>
            <w:tcW w:w="2441" w:type="dxa"/>
          </w:tcPr>
          <w:p w14:paraId="3DE627BF" w14:textId="77777777" w:rsidR="00B14D53" w:rsidRDefault="00000000">
            <w:pPr>
              <w:rPr>
                <w:rFonts w:eastAsiaTheme="minorEastAsia"/>
                <w:kern w:val="0"/>
                <w:szCs w:val="21"/>
                <w:lang w:val="zh-CN"/>
              </w:rPr>
            </w:pPr>
            <w:r>
              <w:rPr>
                <w:kern w:val="0"/>
                <w:szCs w:val="21"/>
              </w:rPr>
              <w:t>碱性过硫</w:t>
            </w:r>
            <w:r>
              <w:rPr>
                <w:rFonts w:hint="eastAsia"/>
                <w:kern w:val="0"/>
                <w:szCs w:val="21"/>
              </w:rPr>
              <w:t>酸钾消解紫外分光光度法</w:t>
            </w:r>
            <w:r>
              <w:rPr>
                <w:rFonts w:hint="eastAsia"/>
                <w:kern w:val="0"/>
                <w:szCs w:val="21"/>
              </w:rPr>
              <w:t xml:space="preserve"> HJ 636</w:t>
            </w:r>
            <w:r>
              <w:rPr>
                <w:rFonts w:hint="eastAsia"/>
                <w:kern w:val="0"/>
                <w:szCs w:val="21"/>
              </w:rPr>
              <w:t>—</w:t>
            </w:r>
            <w:r>
              <w:rPr>
                <w:rFonts w:hint="eastAsia"/>
                <w:kern w:val="0"/>
                <w:szCs w:val="21"/>
              </w:rPr>
              <w:t>2012</w:t>
            </w:r>
          </w:p>
        </w:tc>
      </w:tr>
      <w:tr w:rsidR="00B14D53" w14:paraId="5C3C56F7" w14:textId="77777777">
        <w:trPr>
          <w:trHeight w:val="651"/>
          <w:jc w:val="center"/>
        </w:trPr>
        <w:tc>
          <w:tcPr>
            <w:tcW w:w="550" w:type="dxa"/>
            <w:vMerge/>
          </w:tcPr>
          <w:p w14:paraId="3ED2B449" w14:textId="77777777" w:rsidR="00B14D53" w:rsidRDefault="00B14D53">
            <w:pPr>
              <w:jc w:val="center"/>
              <w:rPr>
                <w:rFonts w:eastAsiaTheme="minorEastAsia"/>
                <w:kern w:val="0"/>
                <w:szCs w:val="21"/>
                <w:lang w:val="zh-CN"/>
              </w:rPr>
            </w:pPr>
          </w:p>
        </w:tc>
        <w:tc>
          <w:tcPr>
            <w:tcW w:w="851" w:type="dxa"/>
            <w:vMerge/>
          </w:tcPr>
          <w:p w14:paraId="345B2C56" w14:textId="77777777" w:rsidR="00B14D53" w:rsidRDefault="00B14D53">
            <w:pPr>
              <w:jc w:val="center"/>
              <w:rPr>
                <w:rFonts w:eastAsiaTheme="minorEastAsia"/>
                <w:kern w:val="0"/>
                <w:szCs w:val="21"/>
              </w:rPr>
            </w:pPr>
          </w:p>
        </w:tc>
        <w:tc>
          <w:tcPr>
            <w:tcW w:w="1029" w:type="dxa"/>
          </w:tcPr>
          <w:p w14:paraId="28C0B496" w14:textId="77777777" w:rsidR="00B14D53" w:rsidRDefault="00000000">
            <w:pPr>
              <w:jc w:val="center"/>
              <w:rPr>
                <w:kern w:val="0"/>
                <w:szCs w:val="21"/>
              </w:rPr>
            </w:pPr>
            <w:r>
              <w:rPr>
                <w:rFonts w:hint="eastAsia"/>
                <w:kern w:val="0"/>
                <w:szCs w:val="21"/>
              </w:rPr>
              <w:t>流量</w:t>
            </w:r>
          </w:p>
        </w:tc>
        <w:tc>
          <w:tcPr>
            <w:tcW w:w="2514" w:type="dxa"/>
            <w:vMerge/>
          </w:tcPr>
          <w:p w14:paraId="03DCB410" w14:textId="77777777" w:rsidR="00B14D53" w:rsidRDefault="00B14D53">
            <w:pPr>
              <w:rPr>
                <w:rFonts w:eastAsiaTheme="minorEastAsia"/>
                <w:kern w:val="0"/>
                <w:szCs w:val="21"/>
              </w:rPr>
            </w:pPr>
          </w:p>
        </w:tc>
        <w:tc>
          <w:tcPr>
            <w:tcW w:w="1170" w:type="dxa"/>
            <w:vMerge/>
          </w:tcPr>
          <w:p w14:paraId="44F48DEC" w14:textId="77777777" w:rsidR="00B14D53" w:rsidRDefault="00B14D53">
            <w:pPr>
              <w:rPr>
                <w:rFonts w:eastAsiaTheme="minorEastAsia"/>
                <w:kern w:val="0"/>
                <w:szCs w:val="21"/>
                <w:lang w:val="zh-CN"/>
              </w:rPr>
            </w:pPr>
          </w:p>
        </w:tc>
        <w:tc>
          <w:tcPr>
            <w:tcW w:w="2108" w:type="dxa"/>
            <w:vMerge/>
          </w:tcPr>
          <w:p w14:paraId="74F574D7" w14:textId="77777777" w:rsidR="00B14D53" w:rsidRDefault="00B14D53">
            <w:pPr>
              <w:rPr>
                <w:rFonts w:eastAsiaTheme="minorEastAsia"/>
                <w:kern w:val="0"/>
                <w:szCs w:val="21"/>
              </w:rPr>
            </w:pPr>
          </w:p>
        </w:tc>
        <w:tc>
          <w:tcPr>
            <w:tcW w:w="696" w:type="dxa"/>
          </w:tcPr>
          <w:p w14:paraId="079061B5" w14:textId="77777777" w:rsidR="00B14D53" w:rsidRDefault="00000000">
            <w:pPr>
              <w:jc w:val="center"/>
              <w:rPr>
                <w:rFonts w:eastAsiaTheme="minorEastAsia"/>
                <w:kern w:val="0"/>
                <w:szCs w:val="21"/>
                <w:lang w:val="zh-CN"/>
              </w:rPr>
            </w:pPr>
            <w:r>
              <w:rPr>
                <w:rFonts w:eastAsiaTheme="minorEastAsia" w:hint="eastAsia"/>
                <w:kern w:val="0"/>
                <w:szCs w:val="21"/>
              </w:rPr>
              <w:t>自动监测</w:t>
            </w:r>
          </w:p>
        </w:tc>
        <w:tc>
          <w:tcPr>
            <w:tcW w:w="851" w:type="dxa"/>
          </w:tcPr>
          <w:p w14:paraId="49010B22" w14:textId="77777777" w:rsidR="00B14D53" w:rsidRDefault="00000000">
            <w:pPr>
              <w:jc w:val="center"/>
              <w:rPr>
                <w:rFonts w:eastAsiaTheme="minorEastAsia"/>
                <w:kern w:val="0"/>
                <w:szCs w:val="21"/>
                <w:lang w:val="zh-CN"/>
              </w:rPr>
            </w:pPr>
            <w:r>
              <w:rPr>
                <w:kern w:val="0"/>
                <w:szCs w:val="21"/>
                <w:lang w:val="zh-CN"/>
              </w:rPr>
              <w:t>在线监测</w:t>
            </w:r>
          </w:p>
        </w:tc>
        <w:tc>
          <w:tcPr>
            <w:tcW w:w="2280" w:type="dxa"/>
            <w:vMerge/>
          </w:tcPr>
          <w:p w14:paraId="481501E6" w14:textId="77777777" w:rsidR="00B14D53" w:rsidRDefault="00B14D53">
            <w:pPr>
              <w:rPr>
                <w:rFonts w:eastAsiaTheme="minorEastAsia"/>
                <w:kern w:val="0"/>
                <w:szCs w:val="21"/>
                <w:lang w:val="zh-CN"/>
              </w:rPr>
            </w:pPr>
          </w:p>
        </w:tc>
        <w:tc>
          <w:tcPr>
            <w:tcW w:w="2441" w:type="dxa"/>
          </w:tcPr>
          <w:p w14:paraId="68F6B9A1" w14:textId="77777777" w:rsidR="00B14D53" w:rsidRDefault="00000000">
            <w:pPr>
              <w:widowControl/>
              <w:jc w:val="left"/>
              <w:rPr>
                <w:rFonts w:eastAsiaTheme="minorEastAsia"/>
                <w:kern w:val="0"/>
                <w:szCs w:val="21"/>
              </w:rPr>
            </w:pPr>
            <w:r>
              <w:rPr>
                <w:rFonts w:ascii="宋体" w:hAnsi="宋体" w:cs="宋体" w:hint="eastAsia"/>
                <w:color w:val="000000"/>
                <w:kern w:val="0"/>
                <w:szCs w:val="21"/>
                <w:lang w:bidi="ar"/>
              </w:rPr>
              <w:t>水污染物排放总量监测技术规范（流量）HJ/T92-2002</w:t>
            </w:r>
          </w:p>
        </w:tc>
      </w:tr>
    </w:tbl>
    <w:p w14:paraId="11E116C7" w14:textId="77777777" w:rsidR="00B14D53" w:rsidRDefault="00B14D53">
      <w:pPr>
        <w:jc w:val="center"/>
        <w:rPr>
          <w:b/>
          <w:bCs/>
        </w:rPr>
      </w:pPr>
    </w:p>
    <w:p w14:paraId="033389FE" w14:textId="77777777" w:rsidR="00B14D53" w:rsidRDefault="00000000">
      <w:pPr>
        <w:jc w:val="center"/>
        <w:rPr>
          <w:b/>
          <w:bCs/>
        </w:rPr>
      </w:pPr>
      <w:r>
        <w:rPr>
          <w:rFonts w:hint="eastAsia"/>
          <w:b/>
          <w:bCs/>
        </w:rPr>
        <w:t>续</w:t>
      </w:r>
      <w:r>
        <w:rPr>
          <w:rFonts w:hint="eastAsia"/>
          <w:b/>
          <w:bCs/>
          <w:lang w:val="zh-CN"/>
        </w:rPr>
        <w:t>表</w:t>
      </w:r>
      <w:r>
        <w:rPr>
          <w:rFonts w:hint="eastAsia"/>
          <w:b/>
          <w:bCs/>
          <w:lang w:val="zh-CN"/>
        </w:rPr>
        <w:t xml:space="preserve">8-2-1 </w:t>
      </w:r>
      <w:r>
        <w:rPr>
          <w:rFonts w:hint="eastAsia"/>
          <w:b/>
          <w:bCs/>
          <w:lang w:val="zh-CN"/>
        </w:rPr>
        <w:t>监测计划一览表</w:t>
      </w:r>
    </w:p>
    <w:tbl>
      <w:tblPr>
        <w:tblStyle w:val="afffffffff8"/>
        <w:tblW w:w="14490" w:type="dxa"/>
        <w:jc w:val="center"/>
        <w:tblLayout w:type="fixed"/>
        <w:tblLook w:val="04A0" w:firstRow="1" w:lastRow="0" w:firstColumn="1" w:lastColumn="0" w:noHBand="0" w:noVBand="1"/>
      </w:tblPr>
      <w:tblGrid>
        <w:gridCol w:w="550"/>
        <w:gridCol w:w="851"/>
        <w:gridCol w:w="1029"/>
        <w:gridCol w:w="2514"/>
        <w:gridCol w:w="1170"/>
        <w:gridCol w:w="2108"/>
        <w:gridCol w:w="696"/>
        <w:gridCol w:w="851"/>
        <w:gridCol w:w="2280"/>
        <w:gridCol w:w="2441"/>
      </w:tblGrid>
      <w:tr w:rsidR="00B14D53" w14:paraId="61731ECC" w14:textId="77777777">
        <w:trPr>
          <w:trHeight w:val="651"/>
          <w:jc w:val="center"/>
        </w:trPr>
        <w:tc>
          <w:tcPr>
            <w:tcW w:w="550" w:type="dxa"/>
            <w:vMerge w:val="restart"/>
          </w:tcPr>
          <w:p w14:paraId="6B418380" w14:textId="77777777" w:rsidR="00B14D53" w:rsidRDefault="00000000">
            <w:pPr>
              <w:adjustRightInd/>
              <w:snapToGrid/>
              <w:jc w:val="center"/>
              <w:rPr>
                <w:rFonts w:eastAsiaTheme="minorEastAsia"/>
                <w:kern w:val="0"/>
                <w:szCs w:val="21"/>
              </w:rPr>
            </w:pPr>
            <w:r>
              <w:rPr>
                <w:rFonts w:eastAsiaTheme="minorEastAsia" w:hint="eastAsia"/>
                <w:kern w:val="0"/>
                <w:szCs w:val="21"/>
              </w:rPr>
              <w:t>废水</w:t>
            </w:r>
          </w:p>
        </w:tc>
        <w:tc>
          <w:tcPr>
            <w:tcW w:w="851" w:type="dxa"/>
            <w:vMerge w:val="restart"/>
          </w:tcPr>
          <w:p w14:paraId="4B5EC87A" w14:textId="77777777" w:rsidR="00B14D53" w:rsidRDefault="00000000">
            <w:pPr>
              <w:adjustRightInd/>
              <w:snapToGrid/>
              <w:jc w:val="center"/>
              <w:rPr>
                <w:rFonts w:eastAsiaTheme="minorEastAsia"/>
                <w:kern w:val="0"/>
                <w:szCs w:val="21"/>
              </w:rPr>
            </w:pPr>
            <w:r>
              <w:rPr>
                <w:rFonts w:eastAsiaTheme="minorEastAsia" w:hint="eastAsia"/>
                <w:kern w:val="0"/>
                <w:szCs w:val="21"/>
              </w:rPr>
              <w:t>雨水排放口</w:t>
            </w:r>
          </w:p>
        </w:tc>
        <w:tc>
          <w:tcPr>
            <w:tcW w:w="1029" w:type="dxa"/>
          </w:tcPr>
          <w:p w14:paraId="0E3DCE5C" w14:textId="77777777" w:rsidR="00B14D53" w:rsidRDefault="00000000">
            <w:pPr>
              <w:adjustRightInd/>
              <w:snapToGrid/>
              <w:jc w:val="center"/>
              <w:rPr>
                <w:kern w:val="0"/>
                <w:szCs w:val="21"/>
              </w:rPr>
            </w:pPr>
            <w:r>
              <w:rPr>
                <w:rFonts w:hint="eastAsia"/>
                <w:kern w:val="0"/>
                <w:szCs w:val="21"/>
              </w:rPr>
              <w:t>化学需氧量</w:t>
            </w:r>
          </w:p>
        </w:tc>
        <w:tc>
          <w:tcPr>
            <w:tcW w:w="2514" w:type="dxa"/>
            <w:vMerge w:val="restart"/>
          </w:tcPr>
          <w:p w14:paraId="74225152" w14:textId="77777777" w:rsidR="00B14D53" w:rsidRDefault="00000000">
            <w:pPr>
              <w:adjustRightInd/>
              <w:snapToGrid/>
              <w:jc w:val="center"/>
              <w:rPr>
                <w:rFonts w:eastAsiaTheme="minorEastAsia"/>
                <w:kern w:val="0"/>
                <w:szCs w:val="21"/>
              </w:rPr>
            </w:pPr>
            <w:r>
              <w:rPr>
                <w:rFonts w:eastAsiaTheme="minorEastAsia" w:hint="eastAsia"/>
                <w:kern w:val="0"/>
                <w:szCs w:val="21"/>
              </w:rPr>
              <w:t>/</w:t>
            </w:r>
          </w:p>
        </w:tc>
        <w:tc>
          <w:tcPr>
            <w:tcW w:w="1170" w:type="dxa"/>
            <w:vMerge w:val="restart"/>
          </w:tcPr>
          <w:p w14:paraId="6396B5F1" w14:textId="77777777" w:rsidR="00B14D53" w:rsidRDefault="00000000">
            <w:pPr>
              <w:adjustRightInd/>
              <w:snapToGrid/>
              <w:jc w:val="center"/>
              <w:rPr>
                <w:rFonts w:eastAsiaTheme="minorEastAsia"/>
                <w:kern w:val="0"/>
                <w:szCs w:val="21"/>
              </w:rPr>
            </w:pPr>
            <w:r>
              <w:rPr>
                <w:rFonts w:eastAsiaTheme="minorEastAsia" w:hint="eastAsia"/>
                <w:kern w:val="0"/>
                <w:szCs w:val="21"/>
              </w:rPr>
              <w:t>雨水排放口</w:t>
            </w:r>
          </w:p>
        </w:tc>
        <w:tc>
          <w:tcPr>
            <w:tcW w:w="2108" w:type="dxa"/>
            <w:vMerge w:val="restart"/>
          </w:tcPr>
          <w:p w14:paraId="27CEC1D5" w14:textId="77777777" w:rsidR="00B14D53" w:rsidRDefault="00000000">
            <w:pPr>
              <w:adjustRightInd/>
              <w:snapToGrid/>
              <w:jc w:val="center"/>
              <w:rPr>
                <w:rFonts w:eastAsiaTheme="minorEastAsia"/>
                <w:kern w:val="0"/>
                <w:szCs w:val="21"/>
              </w:rPr>
            </w:pPr>
            <w:r>
              <w:rPr>
                <w:rFonts w:eastAsiaTheme="minorEastAsia" w:hint="eastAsia"/>
                <w:kern w:val="0"/>
                <w:szCs w:val="21"/>
              </w:rPr>
              <w:t>/</w:t>
            </w:r>
          </w:p>
        </w:tc>
        <w:tc>
          <w:tcPr>
            <w:tcW w:w="696" w:type="dxa"/>
          </w:tcPr>
          <w:p w14:paraId="41EED5B5" w14:textId="77777777" w:rsidR="00B14D53" w:rsidRDefault="00000000">
            <w:pPr>
              <w:adjustRightInd/>
              <w:snapToGrid/>
              <w:jc w:val="center"/>
              <w:rPr>
                <w:rFonts w:eastAsiaTheme="minorEastAsia"/>
                <w:kern w:val="0"/>
                <w:szCs w:val="21"/>
                <w:lang w:val="zh-CN"/>
              </w:rPr>
            </w:pPr>
            <w:r>
              <w:rPr>
                <w:kern w:val="0"/>
                <w:szCs w:val="21"/>
                <w:lang w:val="zh-CN"/>
              </w:rPr>
              <w:t>1</w:t>
            </w:r>
            <w:r>
              <w:rPr>
                <w:kern w:val="0"/>
                <w:szCs w:val="21"/>
                <w:lang w:val="zh-CN"/>
              </w:rPr>
              <w:t>次</w:t>
            </w:r>
            <w:r>
              <w:rPr>
                <w:kern w:val="0"/>
                <w:szCs w:val="21"/>
                <w:lang w:val="zh-CN"/>
              </w:rPr>
              <w:t>/</w:t>
            </w:r>
            <w:r>
              <w:rPr>
                <w:rFonts w:hint="eastAsia"/>
                <w:kern w:val="0"/>
                <w:szCs w:val="21"/>
              </w:rPr>
              <w:t>日</w:t>
            </w:r>
          </w:p>
        </w:tc>
        <w:tc>
          <w:tcPr>
            <w:tcW w:w="851" w:type="dxa"/>
          </w:tcPr>
          <w:p w14:paraId="0289459E" w14:textId="77777777" w:rsidR="00B14D53" w:rsidRDefault="00000000">
            <w:pPr>
              <w:adjustRightInd/>
              <w:snapToGrid/>
              <w:jc w:val="center"/>
              <w:rPr>
                <w:rFonts w:eastAsiaTheme="minorEastAsia"/>
                <w:kern w:val="0"/>
                <w:szCs w:val="21"/>
                <w:lang w:val="zh-CN"/>
              </w:rPr>
            </w:pPr>
            <w:r>
              <w:rPr>
                <w:kern w:val="0"/>
                <w:szCs w:val="21"/>
                <w:lang w:val="zh-CN"/>
              </w:rPr>
              <w:t>手工监测技术</w:t>
            </w:r>
          </w:p>
        </w:tc>
        <w:tc>
          <w:tcPr>
            <w:tcW w:w="2280" w:type="dxa"/>
            <w:vMerge w:val="restart"/>
          </w:tcPr>
          <w:p w14:paraId="67406F1A" w14:textId="77777777" w:rsidR="00B14D53" w:rsidRDefault="00000000">
            <w:pPr>
              <w:adjustRightInd/>
              <w:snapToGrid/>
              <w:rPr>
                <w:rFonts w:eastAsiaTheme="minorEastAsia"/>
                <w:kern w:val="0"/>
                <w:szCs w:val="21"/>
                <w:lang w:val="zh-CN"/>
              </w:rPr>
            </w:pPr>
            <w:r>
              <w:rPr>
                <w:kern w:val="0"/>
                <w:szCs w:val="21"/>
                <w:lang w:val="zh-CN"/>
              </w:rPr>
              <w:t>参照</w:t>
            </w:r>
            <w:r>
              <w:rPr>
                <w:kern w:val="0"/>
                <w:szCs w:val="21"/>
                <w:lang w:val="zh-CN"/>
              </w:rPr>
              <w:t>HJ494</w:t>
            </w:r>
            <w:r>
              <w:rPr>
                <w:kern w:val="0"/>
                <w:szCs w:val="21"/>
                <w:lang w:val="zh-CN"/>
              </w:rPr>
              <w:t>、</w:t>
            </w:r>
            <w:r>
              <w:rPr>
                <w:kern w:val="0"/>
                <w:szCs w:val="21"/>
                <w:lang w:val="zh-CN"/>
              </w:rPr>
              <w:t>HJ495</w:t>
            </w:r>
            <w:r>
              <w:rPr>
                <w:kern w:val="0"/>
                <w:szCs w:val="21"/>
                <w:lang w:val="zh-CN"/>
              </w:rPr>
              <w:t>、</w:t>
            </w:r>
            <w:r>
              <w:rPr>
                <w:kern w:val="0"/>
                <w:szCs w:val="21"/>
                <w:lang w:val="zh-CN"/>
              </w:rPr>
              <w:t>HJ/T91</w:t>
            </w:r>
          </w:p>
        </w:tc>
        <w:tc>
          <w:tcPr>
            <w:tcW w:w="2441" w:type="dxa"/>
          </w:tcPr>
          <w:p w14:paraId="2DF314D6" w14:textId="77777777" w:rsidR="00B14D53" w:rsidRDefault="00000000">
            <w:pPr>
              <w:adjustRightInd/>
              <w:snapToGrid/>
              <w:rPr>
                <w:rFonts w:eastAsiaTheme="minorEastAsia"/>
                <w:kern w:val="0"/>
                <w:szCs w:val="21"/>
                <w:lang w:val="zh-CN"/>
              </w:rPr>
            </w:pPr>
            <w:r>
              <w:rPr>
                <w:rFonts w:hint="eastAsia"/>
                <w:color w:val="000000"/>
              </w:rPr>
              <w:t>水质</w:t>
            </w:r>
            <w:r>
              <w:rPr>
                <w:rFonts w:hint="eastAsia"/>
                <w:color w:val="000000"/>
              </w:rPr>
              <w:t xml:space="preserve"> </w:t>
            </w:r>
            <w:r>
              <w:rPr>
                <w:rFonts w:hint="eastAsia"/>
                <w:color w:val="000000"/>
              </w:rPr>
              <w:t>化学需氧量的测定</w:t>
            </w:r>
            <w:r>
              <w:rPr>
                <w:rFonts w:hint="eastAsia"/>
                <w:color w:val="000000"/>
              </w:rPr>
              <w:t xml:space="preserve"> </w:t>
            </w:r>
            <w:r>
              <w:rPr>
                <w:rFonts w:hint="eastAsia"/>
                <w:color w:val="000000"/>
              </w:rPr>
              <w:t>重铬酸盐法</w:t>
            </w:r>
            <w:r>
              <w:rPr>
                <w:rFonts w:hint="eastAsia"/>
                <w:color w:val="000000"/>
              </w:rPr>
              <w:t xml:space="preserve"> HJ828-2017</w:t>
            </w:r>
          </w:p>
        </w:tc>
      </w:tr>
      <w:tr w:rsidR="00B14D53" w14:paraId="37D7A900" w14:textId="77777777">
        <w:trPr>
          <w:trHeight w:val="651"/>
          <w:jc w:val="center"/>
        </w:trPr>
        <w:tc>
          <w:tcPr>
            <w:tcW w:w="550" w:type="dxa"/>
            <w:vMerge/>
          </w:tcPr>
          <w:p w14:paraId="187155C6" w14:textId="77777777" w:rsidR="00B14D53" w:rsidRDefault="00B14D53">
            <w:pPr>
              <w:adjustRightInd/>
              <w:snapToGrid/>
              <w:jc w:val="center"/>
              <w:rPr>
                <w:rFonts w:eastAsiaTheme="minorEastAsia"/>
                <w:kern w:val="0"/>
                <w:szCs w:val="21"/>
                <w:lang w:val="zh-CN"/>
              </w:rPr>
            </w:pPr>
          </w:p>
        </w:tc>
        <w:tc>
          <w:tcPr>
            <w:tcW w:w="851" w:type="dxa"/>
            <w:vMerge/>
          </w:tcPr>
          <w:p w14:paraId="4EF4425A" w14:textId="77777777" w:rsidR="00B14D53" w:rsidRDefault="00B14D53">
            <w:pPr>
              <w:adjustRightInd/>
              <w:snapToGrid/>
              <w:jc w:val="center"/>
              <w:rPr>
                <w:rFonts w:eastAsiaTheme="minorEastAsia"/>
                <w:kern w:val="0"/>
                <w:szCs w:val="21"/>
              </w:rPr>
            </w:pPr>
          </w:p>
        </w:tc>
        <w:tc>
          <w:tcPr>
            <w:tcW w:w="1029" w:type="dxa"/>
          </w:tcPr>
          <w:p w14:paraId="0BA26418" w14:textId="77777777" w:rsidR="00B14D53" w:rsidRDefault="00000000">
            <w:pPr>
              <w:adjustRightInd/>
              <w:snapToGrid/>
              <w:jc w:val="center"/>
              <w:rPr>
                <w:kern w:val="0"/>
                <w:szCs w:val="21"/>
              </w:rPr>
            </w:pPr>
            <w:r>
              <w:rPr>
                <w:kern w:val="0"/>
                <w:szCs w:val="21"/>
              </w:rPr>
              <w:t>悬浮物</w:t>
            </w:r>
          </w:p>
        </w:tc>
        <w:tc>
          <w:tcPr>
            <w:tcW w:w="2514" w:type="dxa"/>
            <w:vMerge/>
          </w:tcPr>
          <w:p w14:paraId="6FE6A7AF" w14:textId="77777777" w:rsidR="00B14D53" w:rsidRDefault="00B14D53">
            <w:pPr>
              <w:adjustRightInd/>
              <w:snapToGrid/>
              <w:rPr>
                <w:rFonts w:eastAsiaTheme="minorEastAsia"/>
                <w:kern w:val="0"/>
                <w:szCs w:val="21"/>
              </w:rPr>
            </w:pPr>
          </w:p>
        </w:tc>
        <w:tc>
          <w:tcPr>
            <w:tcW w:w="1170" w:type="dxa"/>
            <w:vMerge/>
          </w:tcPr>
          <w:p w14:paraId="7EBBE2E6" w14:textId="77777777" w:rsidR="00B14D53" w:rsidRDefault="00B14D53">
            <w:pPr>
              <w:adjustRightInd/>
              <w:snapToGrid/>
              <w:rPr>
                <w:rFonts w:eastAsiaTheme="minorEastAsia"/>
                <w:kern w:val="0"/>
                <w:szCs w:val="21"/>
                <w:lang w:val="zh-CN"/>
              </w:rPr>
            </w:pPr>
          </w:p>
        </w:tc>
        <w:tc>
          <w:tcPr>
            <w:tcW w:w="2108" w:type="dxa"/>
            <w:vMerge/>
          </w:tcPr>
          <w:p w14:paraId="08FC9B5A" w14:textId="77777777" w:rsidR="00B14D53" w:rsidRDefault="00B14D53">
            <w:pPr>
              <w:adjustRightInd/>
              <w:snapToGrid/>
              <w:rPr>
                <w:rFonts w:eastAsiaTheme="minorEastAsia"/>
                <w:kern w:val="0"/>
                <w:szCs w:val="21"/>
              </w:rPr>
            </w:pPr>
          </w:p>
        </w:tc>
        <w:tc>
          <w:tcPr>
            <w:tcW w:w="696" w:type="dxa"/>
          </w:tcPr>
          <w:p w14:paraId="5DE080AB" w14:textId="77777777" w:rsidR="00B14D53" w:rsidRDefault="00000000">
            <w:pPr>
              <w:adjustRightInd/>
              <w:snapToGrid/>
              <w:jc w:val="center"/>
              <w:rPr>
                <w:rFonts w:eastAsiaTheme="minorEastAsia"/>
                <w:kern w:val="0"/>
                <w:szCs w:val="21"/>
                <w:lang w:val="zh-CN"/>
              </w:rPr>
            </w:pPr>
            <w:r>
              <w:rPr>
                <w:kern w:val="0"/>
                <w:szCs w:val="21"/>
                <w:lang w:val="zh-CN"/>
              </w:rPr>
              <w:t>1</w:t>
            </w:r>
            <w:r>
              <w:rPr>
                <w:kern w:val="0"/>
                <w:szCs w:val="21"/>
                <w:lang w:val="zh-CN"/>
              </w:rPr>
              <w:t>次</w:t>
            </w:r>
            <w:r>
              <w:rPr>
                <w:kern w:val="0"/>
                <w:szCs w:val="21"/>
                <w:lang w:val="zh-CN"/>
              </w:rPr>
              <w:t>/</w:t>
            </w:r>
            <w:r>
              <w:rPr>
                <w:kern w:val="0"/>
                <w:szCs w:val="21"/>
                <w:lang w:val="zh-CN"/>
              </w:rPr>
              <w:t>日</w:t>
            </w:r>
          </w:p>
        </w:tc>
        <w:tc>
          <w:tcPr>
            <w:tcW w:w="851" w:type="dxa"/>
          </w:tcPr>
          <w:p w14:paraId="08B50A13" w14:textId="77777777" w:rsidR="00B14D53" w:rsidRDefault="00000000">
            <w:pPr>
              <w:adjustRightInd/>
              <w:snapToGrid/>
              <w:jc w:val="center"/>
              <w:rPr>
                <w:rFonts w:eastAsiaTheme="minorEastAsia"/>
                <w:kern w:val="0"/>
                <w:szCs w:val="21"/>
                <w:lang w:val="zh-CN"/>
              </w:rPr>
            </w:pPr>
            <w:r>
              <w:rPr>
                <w:kern w:val="0"/>
                <w:szCs w:val="21"/>
                <w:lang w:val="zh-CN"/>
              </w:rPr>
              <w:t>手工监测技术</w:t>
            </w:r>
          </w:p>
        </w:tc>
        <w:tc>
          <w:tcPr>
            <w:tcW w:w="2280" w:type="dxa"/>
            <w:vMerge/>
          </w:tcPr>
          <w:p w14:paraId="2450283C" w14:textId="77777777" w:rsidR="00B14D53" w:rsidRDefault="00B14D53">
            <w:pPr>
              <w:adjustRightInd/>
              <w:snapToGrid/>
              <w:rPr>
                <w:rFonts w:eastAsiaTheme="minorEastAsia"/>
                <w:kern w:val="0"/>
                <w:szCs w:val="21"/>
                <w:lang w:val="zh-CN"/>
              </w:rPr>
            </w:pPr>
          </w:p>
        </w:tc>
        <w:tc>
          <w:tcPr>
            <w:tcW w:w="2441" w:type="dxa"/>
          </w:tcPr>
          <w:p w14:paraId="32245B84" w14:textId="77777777" w:rsidR="00B14D53" w:rsidRDefault="00000000">
            <w:pPr>
              <w:adjustRightInd/>
              <w:snapToGrid/>
              <w:rPr>
                <w:rFonts w:eastAsiaTheme="minorEastAsia"/>
                <w:kern w:val="0"/>
                <w:szCs w:val="21"/>
                <w:lang w:val="zh-CN"/>
              </w:rPr>
            </w:pPr>
            <w:r>
              <w:rPr>
                <w:rFonts w:hint="eastAsia"/>
                <w:color w:val="000000"/>
              </w:rPr>
              <w:t>水质</w:t>
            </w:r>
            <w:r>
              <w:rPr>
                <w:rFonts w:hint="eastAsia"/>
                <w:color w:val="000000"/>
              </w:rPr>
              <w:t xml:space="preserve"> </w:t>
            </w:r>
            <w:r>
              <w:rPr>
                <w:rFonts w:hint="eastAsia"/>
                <w:color w:val="000000"/>
              </w:rPr>
              <w:t>五日生化需氧量（</w:t>
            </w:r>
            <w:r>
              <w:rPr>
                <w:rFonts w:hint="eastAsia"/>
                <w:color w:val="000000"/>
              </w:rPr>
              <w:t>BOD</w:t>
            </w:r>
            <w:r>
              <w:rPr>
                <w:rFonts w:hint="eastAsia"/>
                <w:color w:val="000000"/>
                <w:vertAlign w:val="subscript"/>
              </w:rPr>
              <w:t>5</w:t>
            </w:r>
            <w:r>
              <w:rPr>
                <w:rFonts w:hint="eastAsia"/>
                <w:color w:val="000000"/>
              </w:rPr>
              <w:t>）的测定</w:t>
            </w:r>
            <w:r>
              <w:rPr>
                <w:rFonts w:hint="eastAsia"/>
                <w:color w:val="000000"/>
              </w:rPr>
              <w:t xml:space="preserve"> </w:t>
            </w:r>
            <w:r>
              <w:rPr>
                <w:rFonts w:hint="eastAsia"/>
                <w:color w:val="000000"/>
              </w:rPr>
              <w:t>稀释与接种法</w:t>
            </w:r>
            <w:r>
              <w:rPr>
                <w:rFonts w:hint="eastAsia"/>
                <w:color w:val="000000"/>
              </w:rPr>
              <w:t xml:space="preserve"> HJ505-2009</w:t>
            </w:r>
          </w:p>
        </w:tc>
      </w:tr>
      <w:tr w:rsidR="00B14D53" w14:paraId="2DDCB8B2" w14:textId="77777777">
        <w:trPr>
          <w:trHeight w:val="651"/>
          <w:jc w:val="center"/>
        </w:trPr>
        <w:tc>
          <w:tcPr>
            <w:tcW w:w="550" w:type="dxa"/>
          </w:tcPr>
          <w:p w14:paraId="677B3ADE" w14:textId="77777777" w:rsidR="00B14D53" w:rsidRDefault="00000000">
            <w:pPr>
              <w:adjustRightInd/>
              <w:snapToGrid/>
              <w:jc w:val="center"/>
              <w:rPr>
                <w:rFonts w:eastAsiaTheme="minorEastAsia"/>
                <w:kern w:val="0"/>
                <w:szCs w:val="21"/>
              </w:rPr>
            </w:pPr>
            <w:r>
              <w:rPr>
                <w:rFonts w:eastAsiaTheme="minorEastAsia" w:hint="eastAsia"/>
                <w:kern w:val="0"/>
                <w:szCs w:val="21"/>
              </w:rPr>
              <w:t>地下水</w:t>
            </w:r>
          </w:p>
        </w:tc>
        <w:tc>
          <w:tcPr>
            <w:tcW w:w="851" w:type="dxa"/>
          </w:tcPr>
          <w:p w14:paraId="7D8E36A1" w14:textId="77777777" w:rsidR="00B14D53" w:rsidRDefault="00000000">
            <w:pPr>
              <w:adjustRightInd/>
              <w:snapToGrid/>
              <w:jc w:val="center"/>
              <w:rPr>
                <w:rFonts w:eastAsiaTheme="minorEastAsia"/>
                <w:kern w:val="0"/>
                <w:szCs w:val="21"/>
                <w:lang w:val="zh-CN"/>
              </w:rPr>
            </w:pPr>
            <w:r>
              <w:rPr>
                <w:kern w:val="0"/>
                <w:szCs w:val="21"/>
                <w:lang w:val="zh-CN"/>
              </w:rPr>
              <w:t>跟踪监测井</w:t>
            </w:r>
          </w:p>
        </w:tc>
        <w:tc>
          <w:tcPr>
            <w:tcW w:w="1029" w:type="dxa"/>
          </w:tcPr>
          <w:p w14:paraId="53D2B27A" w14:textId="77777777" w:rsidR="00B14D53" w:rsidRDefault="00000000">
            <w:pPr>
              <w:adjustRightInd/>
              <w:snapToGrid/>
              <w:rPr>
                <w:rFonts w:eastAsiaTheme="minorEastAsia"/>
                <w:kern w:val="0"/>
                <w:szCs w:val="21"/>
                <w:lang w:val="zh-CN"/>
              </w:rPr>
            </w:pPr>
            <w:r>
              <w:rPr>
                <w:kern w:val="0"/>
                <w:szCs w:val="21"/>
              </w:rPr>
              <w:t>氨氮</w:t>
            </w:r>
          </w:p>
        </w:tc>
        <w:tc>
          <w:tcPr>
            <w:tcW w:w="2514" w:type="dxa"/>
          </w:tcPr>
          <w:p w14:paraId="5515D30D" w14:textId="77777777" w:rsidR="00B14D53" w:rsidRDefault="00000000">
            <w:pPr>
              <w:adjustRightInd/>
              <w:snapToGrid/>
              <w:rPr>
                <w:rFonts w:eastAsiaTheme="minorEastAsia"/>
                <w:kern w:val="0"/>
                <w:szCs w:val="21"/>
              </w:rPr>
            </w:pPr>
            <w:r>
              <w:rPr>
                <w:rFonts w:eastAsiaTheme="minorEastAsia" w:hint="eastAsia"/>
              </w:rPr>
              <w:t>危废贮存点按重点防渗区采取防渗措施；屠宰车间、待宰圈、宰前喷淋间、隔离间、急宰间、污水处理站、事故池按一般防渗区采取防渗措施；厂内道路、休息室、</w:t>
            </w:r>
            <w:r>
              <w:rPr>
                <w:rFonts w:eastAsiaTheme="minorEastAsia" w:hint="eastAsia"/>
              </w:rPr>
              <w:t>1#</w:t>
            </w:r>
            <w:r>
              <w:rPr>
                <w:rFonts w:eastAsiaTheme="minorEastAsia" w:hint="eastAsia"/>
              </w:rPr>
              <w:t>辅助间内其余房间、杂物库房、仓库、冷库系统、</w:t>
            </w:r>
            <w:r>
              <w:rPr>
                <w:rFonts w:eastAsiaTheme="minorEastAsia" w:hint="eastAsia"/>
              </w:rPr>
              <w:t>2#</w:t>
            </w:r>
            <w:r>
              <w:rPr>
                <w:rFonts w:eastAsiaTheme="minorEastAsia" w:hint="eastAsia"/>
              </w:rPr>
              <w:t>辅助间采取简单防渗</w:t>
            </w:r>
          </w:p>
        </w:tc>
        <w:tc>
          <w:tcPr>
            <w:tcW w:w="1170" w:type="dxa"/>
          </w:tcPr>
          <w:p w14:paraId="414E86AB" w14:textId="77777777" w:rsidR="00B14D53" w:rsidRDefault="00000000">
            <w:pPr>
              <w:adjustRightInd/>
              <w:snapToGrid/>
              <w:rPr>
                <w:rFonts w:eastAsiaTheme="minorEastAsia"/>
                <w:kern w:val="0"/>
                <w:szCs w:val="21"/>
              </w:rPr>
            </w:pPr>
            <w:r>
              <w:rPr>
                <w:rFonts w:eastAsiaTheme="minorEastAsia" w:hint="eastAsia"/>
                <w:kern w:val="0"/>
                <w:szCs w:val="21"/>
              </w:rPr>
              <w:t>1</w:t>
            </w:r>
            <w:r>
              <w:rPr>
                <w:rFonts w:eastAsiaTheme="minorEastAsia" w:hint="eastAsia"/>
                <w:kern w:val="0"/>
                <w:szCs w:val="21"/>
              </w:rPr>
              <w:t>眼跟踪监测井</w:t>
            </w:r>
          </w:p>
        </w:tc>
        <w:tc>
          <w:tcPr>
            <w:tcW w:w="2108" w:type="dxa"/>
          </w:tcPr>
          <w:p w14:paraId="7C912C01" w14:textId="77777777" w:rsidR="00B14D53" w:rsidRDefault="00000000">
            <w:pPr>
              <w:adjustRightInd/>
              <w:snapToGrid/>
              <w:jc w:val="center"/>
              <w:rPr>
                <w:rFonts w:eastAsiaTheme="minorEastAsia"/>
                <w:kern w:val="0"/>
                <w:szCs w:val="21"/>
              </w:rPr>
            </w:pPr>
            <w:r>
              <w:rPr>
                <w:rFonts w:eastAsiaTheme="minorEastAsia" w:hint="eastAsia"/>
                <w:kern w:val="0"/>
                <w:szCs w:val="21"/>
              </w:rPr>
              <w:t>/</w:t>
            </w:r>
          </w:p>
        </w:tc>
        <w:tc>
          <w:tcPr>
            <w:tcW w:w="696" w:type="dxa"/>
          </w:tcPr>
          <w:p w14:paraId="6852130E" w14:textId="77777777" w:rsidR="00B14D53" w:rsidRDefault="00000000">
            <w:pPr>
              <w:adjustRightInd/>
              <w:snapToGrid/>
              <w:jc w:val="center"/>
              <w:rPr>
                <w:kern w:val="0"/>
                <w:szCs w:val="21"/>
              </w:rPr>
            </w:pPr>
            <w:r>
              <w:rPr>
                <w:kern w:val="0"/>
                <w:szCs w:val="21"/>
                <w:lang w:val="zh-CN"/>
              </w:rPr>
              <w:t>1</w:t>
            </w:r>
            <w:r>
              <w:rPr>
                <w:kern w:val="0"/>
                <w:szCs w:val="21"/>
                <w:lang w:val="zh-CN"/>
              </w:rPr>
              <w:t>次</w:t>
            </w:r>
            <w:r>
              <w:rPr>
                <w:kern w:val="0"/>
                <w:szCs w:val="21"/>
                <w:lang w:val="zh-CN"/>
              </w:rPr>
              <w:t>/</w:t>
            </w:r>
            <w:r>
              <w:rPr>
                <w:rFonts w:hint="eastAsia"/>
                <w:kern w:val="0"/>
                <w:szCs w:val="21"/>
              </w:rPr>
              <w:t>年</w:t>
            </w:r>
          </w:p>
        </w:tc>
        <w:tc>
          <w:tcPr>
            <w:tcW w:w="851" w:type="dxa"/>
          </w:tcPr>
          <w:p w14:paraId="2FB1E11F" w14:textId="77777777" w:rsidR="00B14D53" w:rsidRDefault="00000000">
            <w:pPr>
              <w:adjustRightInd/>
              <w:snapToGrid/>
              <w:jc w:val="center"/>
              <w:rPr>
                <w:rFonts w:eastAsiaTheme="minorEastAsia"/>
                <w:kern w:val="0"/>
                <w:szCs w:val="21"/>
                <w:lang w:val="zh-CN"/>
              </w:rPr>
            </w:pPr>
            <w:r>
              <w:rPr>
                <w:kern w:val="0"/>
                <w:szCs w:val="21"/>
                <w:lang w:val="zh-CN"/>
              </w:rPr>
              <w:t>手工监测技术</w:t>
            </w:r>
          </w:p>
        </w:tc>
        <w:tc>
          <w:tcPr>
            <w:tcW w:w="2280" w:type="dxa"/>
          </w:tcPr>
          <w:p w14:paraId="56161E5A" w14:textId="77777777" w:rsidR="00B14D53" w:rsidRDefault="00000000">
            <w:pPr>
              <w:adjustRightInd/>
              <w:snapToGrid/>
              <w:jc w:val="center"/>
              <w:rPr>
                <w:rFonts w:eastAsiaTheme="minorEastAsia"/>
                <w:kern w:val="0"/>
                <w:szCs w:val="21"/>
              </w:rPr>
            </w:pPr>
            <w:r>
              <w:rPr>
                <w:kern w:val="0"/>
                <w:szCs w:val="21"/>
              </w:rPr>
              <w:t>参照</w:t>
            </w:r>
            <w:r>
              <w:rPr>
                <w:kern w:val="0"/>
                <w:szCs w:val="21"/>
              </w:rPr>
              <w:t>HJ610-2016</w:t>
            </w:r>
          </w:p>
        </w:tc>
        <w:tc>
          <w:tcPr>
            <w:tcW w:w="2441" w:type="dxa"/>
          </w:tcPr>
          <w:p w14:paraId="29975676" w14:textId="77777777" w:rsidR="00B14D53" w:rsidRDefault="00000000">
            <w:pPr>
              <w:adjustRightInd/>
              <w:snapToGrid/>
              <w:jc w:val="center"/>
              <w:rPr>
                <w:rFonts w:eastAsiaTheme="minorEastAsia"/>
                <w:kern w:val="0"/>
                <w:szCs w:val="21"/>
                <w:lang w:val="zh-CN"/>
              </w:rPr>
            </w:pPr>
            <w:r>
              <w:rPr>
                <w:kern w:val="0"/>
                <w:szCs w:val="21"/>
                <w:lang w:val="zh-CN"/>
              </w:rPr>
              <w:t>参照《地下水质量标准》（</w:t>
            </w:r>
            <w:r>
              <w:rPr>
                <w:kern w:val="0"/>
                <w:szCs w:val="21"/>
                <w:lang w:val="zh-CN"/>
              </w:rPr>
              <w:t>GB/T14848-2017</w:t>
            </w:r>
            <w:r>
              <w:rPr>
                <w:kern w:val="0"/>
                <w:szCs w:val="21"/>
                <w:lang w:val="zh-CN"/>
              </w:rPr>
              <w:t>）</w:t>
            </w:r>
          </w:p>
        </w:tc>
      </w:tr>
    </w:tbl>
    <w:p w14:paraId="07A6579D" w14:textId="77777777" w:rsidR="00B14D53" w:rsidRDefault="00000000">
      <w:pPr>
        <w:rPr>
          <w:rFonts w:eastAsiaTheme="minorEastAsia"/>
          <w:snapToGrid w:val="0"/>
          <w:kern w:val="0"/>
          <w:sz w:val="24"/>
        </w:rPr>
      </w:pPr>
      <w:r>
        <w:rPr>
          <w:rFonts w:eastAsiaTheme="minorEastAsia" w:hint="eastAsia"/>
          <w:snapToGrid w:val="0"/>
          <w:kern w:val="0"/>
          <w:sz w:val="24"/>
        </w:rPr>
        <w:t>注：根据</w:t>
      </w:r>
      <w:r>
        <w:rPr>
          <w:snapToGrid w:val="0"/>
          <w:kern w:val="0"/>
          <w:sz w:val="24"/>
        </w:rPr>
        <w:t>《排污许可证申请与核发技术规范农副食品加工工业</w:t>
      </w:r>
      <w:r>
        <w:rPr>
          <w:rFonts w:hint="eastAsia"/>
          <w:snapToGrid w:val="0"/>
          <w:kern w:val="0"/>
          <w:sz w:val="24"/>
        </w:rPr>
        <w:t xml:space="preserve"> </w:t>
      </w:r>
      <w:r>
        <w:rPr>
          <w:snapToGrid w:val="0"/>
          <w:kern w:val="0"/>
          <w:sz w:val="24"/>
        </w:rPr>
        <w:t>屠宰及肉类加工工业》（</w:t>
      </w:r>
      <w:r>
        <w:rPr>
          <w:snapToGrid w:val="0"/>
          <w:kern w:val="0"/>
          <w:sz w:val="24"/>
        </w:rPr>
        <w:t>HJ860.3-2018</w:t>
      </w:r>
      <w:r>
        <w:rPr>
          <w:snapToGrid w:val="0"/>
          <w:kern w:val="0"/>
          <w:sz w:val="24"/>
        </w:rPr>
        <w:t>）</w:t>
      </w:r>
      <w:r>
        <w:rPr>
          <w:rFonts w:hint="eastAsia"/>
          <w:snapToGrid w:val="0"/>
          <w:kern w:val="0"/>
          <w:sz w:val="24"/>
        </w:rPr>
        <w:t>，</w:t>
      </w:r>
      <w:r>
        <w:rPr>
          <w:rFonts w:eastAsiaTheme="minorEastAsia" w:hint="eastAsia"/>
          <w:snapToGrid w:val="0"/>
          <w:kern w:val="0"/>
          <w:sz w:val="24"/>
        </w:rPr>
        <w:t>单独排入城镇污水集中处理</w:t>
      </w:r>
    </w:p>
    <w:p w14:paraId="137BD870" w14:textId="77777777" w:rsidR="00B14D53" w:rsidRDefault="00000000">
      <w:pPr>
        <w:rPr>
          <w:rFonts w:eastAsiaTheme="minorEastAsia"/>
          <w:snapToGrid w:val="0"/>
          <w:kern w:val="0"/>
          <w:sz w:val="24"/>
        </w:rPr>
        <w:sectPr w:rsidR="00B14D53">
          <w:pgSz w:w="16838" w:h="11906" w:orient="landscape"/>
          <w:pgMar w:top="1797" w:right="1440" w:bottom="1797" w:left="1440" w:header="851" w:footer="992" w:gutter="0"/>
          <w:cols w:space="425"/>
          <w:docGrid w:type="linesAndChars" w:linePitch="326"/>
        </w:sectPr>
      </w:pPr>
      <w:r>
        <w:rPr>
          <w:rFonts w:eastAsiaTheme="minorEastAsia" w:hint="eastAsia"/>
          <w:snapToGrid w:val="0"/>
          <w:kern w:val="0"/>
          <w:sz w:val="24"/>
        </w:rPr>
        <w:t>设施的生活污水进说明去向，因此生活污水排放口无需监测</w:t>
      </w:r>
    </w:p>
    <w:p w14:paraId="112AEF39" w14:textId="77777777" w:rsidR="00B14D53" w:rsidRDefault="00000000">
      <w:pPr>
        <w:spacing w:line="360" w:lineRule="auto"/>
        <w:ind w:firstLineChars="200" w:firstLine="480"/>
        <w:contextualSpacing/>
        <w:rPr>
          <w:rFonts w:eastAsiaTheme="minorEastAsia"/>
          <w:sz w:val="24"/>
        </w:rPr>
      </w:pPr>
      <w:r>
        <w:rPr>
          <w:rFonts w:eastAsiaTheme="minorEastAsia"/>
          <w:sz w:val="24"/>
        </w:rPr>
        <w:t>（</w:t>
      </w:r>
      <w:r>
        <w:rPr>
          <w:rFonts w:eastAsiaTheme="minorEastAsia"/>
          <w:sz w:val="24"/>
        </w:rPr>
        <w:t>2</w:t>
      </w:r>
      <w:r>
        <w:rPr>
          <w:rFonts w:eastAsiaTheme="minorEastAsia"/>
          <w:sz w:val="24"/>
        </w:rPr>
        <w:t>）信息报告</w:t>
      </w:r>
    </w:p>
    <w:p w14:paraId="37280977" w14:textId="77777777" w:rsidR="00B14D53" w:rsidRDefault="00000000">
      <w:pPr>
        <w:spacing w:line="360" w:lineRule="auto"/>
        <w:ind w:firstLineChars="200" w:firstLine="480"/>
        <w:contextualSpacing/>
        <w:rPr>
          <w:rFonts w:eastAsiaTheme="minorEastAsia"/>
          <w:sz w:val="24"/>
        </w:rPr>
      </w:pPr>
      <w:r>
        <w:rPr>
          <w:rFonts w:eastAsiaTheme="minorEastAsia"/>
          <w:sz w:val="24"/>
        </w:rPr>
        <w:t>排污单位应编写自行监测年度报告，年度报告至少应包含以下内容：</w:t>
      </w:r>
    </w:p>
    <w:p w14:paraId="15FFF712" w14:textId="77777777" w:rsidR="00B14D53" w:rsidRDefault="00000000">
      <w:pPr>
        <w:spacing w:line="360" w:lineRule="auto"/>
        <w:ind w:firstLineChars="200" w:firstLine="480"/>
        <w:contextualSpacing/>
        <w:rPr>
          <w:rFonts w:eastAsiaTheme="minorEastAsia"/>
          <w:sz w:val="24"/>
        </w:rPr>
      </w:pPr>
      <w:r>
        <w:rPr>
          <w:rFonts w:eastAsiaTheme="minorEastAsia"/>
          <w:sz w:val="24"/>
        </w:rPr>
        <w:t>a</w:t>
      </w:r>
      <w:r>
        <w:rPr>
          <w:rFonts w:eastAsiaTheme="minorEastAsia"/>
          <w:sz w:val="24"/>
        </w:rPr>
        <w:t>）监测方案的调整变化情况及变更原因；</w:t>
      </w:r>
    </w:p>
    <w:p w14:paraId="17B6230A" w14:textId="77777777" w:rsidR="00B14D53" w:rsidRDefault="00000000">
      <w:pPr>
        <w:spacing w:line="360" w:lineRule="auto"/>
        <w:ind w:firstLineChars="200" w:firstLine="480"/>
        <w:contextualSpacing/>
        <w:rPr>
          <w:rFonts w:eastAsiaTheme="minorEastAsia"/>
          <w:sz w:val="24"/>
        </w:rPr>
      </w:pPr>
      <w:r>
        <w:rPr>
          <w:rFonts w:eastAsiaTheme="minorEastAsia"/>
          <w:sz w:val="24"/>
        </w:rPr>
        <w:t>b</w:t>
      </w:r>
      <w:r>
        <w:rPr>
          <w:rFonts w:eastAsiaTheme="minorEastAsia"/>
          <w:sz w:val="24"/>
        </w:rPr>
        <w:t>）企业及各主要生产设施（至少涵盖废气主要污染源相关生产设施）全年运行天数，各监测点、各监测指标全年监测次数、超标情况、浓度分布情况；</w:t>
      </w:r>
    </w:p>
    <w:p w14:paraId="416B04A2" w14:textId="77777777" w:rsidR="00B14D53" w:rsidRDefault="00000000">
      <w:pPr>
        <w:spacing w:line="360" w:lineRule="auto"/>
        <w:ind w:firstLineChars="200" w:firstLine="480"/>
        <w:contextualSpacing/>
        <w:rPr>
          <w:rFonts w:eastAsiaTheme="minorEastAsia"/>
          <w:sz w:val="24"/>
        </w:rPr>
      </w:pPr>
      <w:r>
        <w:rPr>
          <w:rFonts w:eastAsiaTheme="minorEastAsia"/>
          <w:sz w:val="24"/>
        </w:rPr>
        <w:t>c</w:t>
      </w:r>
      <w:r>
        <w:rPr>
          <w:rFonts w:eastAsiaTheme="minorEastAsia"/>
          <w:sz w:val="24"/>
        </w:rPr>
        <w:t>）按要求开展的周边环境质量影响状况监测结果；</w:t>
      </w:r>
    </w:p>
    <w:p w14:paraId="419D9810" w14:textId="77777777" w:rsidR="00B14D53" w:rsidRDefault="00000000">
      <w:pPr>
        <w:spacing w:line="360" w:lineRule="auto"/>
        <w:ind w:firstLineChars="200" w:firstLine="480"/>
        <w:contextualSpacing/>
        <w:rPr>
          <w:rFonts w:eastAsiaTheme="minorEastAsia"/>
          <w:sz w:val="24"/>
        </w:rPr>
      </w:pPr>
      <w:r>
        <w:rPr>
          <w:rFonts w:eastAsiaTheme="minorEastAsia"/>
          <w:sz w:val="24"/>
        </w:rPr>
        <w:t>d</w:t>
      </w:r>
      <w:r>
        <w:rPr>
          <w:rFonts w:eastAsiaTheme="minorEastAsia"/>
          <w:sz w:val="24"/>
        </w:rPr>
        <w:t>）自行监测开展的其他情况说明；</w:t>
      </w:r>
    </w:p>
    <w:p w14:paraId="55DF7627" w14:textId="77777777" w:rsidR="00B14D53" w:rsidRDefault="00000000">
      <w:pPr>
        <w:spacing w:line="360" w:lineRule="auto"/>
        <w:ind w:firstLineChars="200" w:firstLine="480"/>
        <w:contextualSpacing/>
        <w:rPr>
          <w:rFonts w:eastAsiaTheme="minorEastAsia"/>
          <w:sz w:val="24"/>
        </w:rPr>
      </w:pPr>
      <w:r>
        <w:rPr>
          <w:rFonts w:eastAsiaTheme="minorEastAsia"/>
          <w:sz w:val="24"/>
        </w:rPr>
        <w:t>e</w:t>
      </w:r>
      <w:r>
        <w:rPr>
          <w:rFonts w:eastAsiaTheme="minorEastAsia"/>
          <w:sz w:val="24"/>
        </w:rPr>
        <w:t>）排污单位实现达标排放所采取的主要措施。</w:t>
      </w:r>
    </w:p>
    <w:p w14:paraId="78C495EC" w14:textId="77777777" w:rsidR="00B14D53" w:rsidRDefault="00000000">
      <w:pPr>
        <w:spacing w:line="360" w:lineRule="auto"/>
        <w:ind w:firstLineChars="200" w:firstLine="480"/>
        <w:contextualSpacing/>
        <w:rPr>
          <w:rFonts w:eastAsiaTheme="minorEastAsia"/>
          <w:sz w:val="24"/>
        </w:rPr>
      </w:pPr>
      <w:r>
        <w:rPr>
          <w:rFonts w:eastAsiaTheme="minorEastAsia"/>
          <w:sz w:val="24"/>
        </w:rPr>
        <w:t>（</w:t>
      </w:r>
      <w:r>
        <w:rPr>
          <w:rFonts w:eastAsiaTheme="minorEastAsia"/>
          <w:sz w:val="24"/>
        </w:rPr>
        <w:t>3</w:t>
      </w:r>
      <w:r>
        <w:rPr>
          <w:rFonts w:eastAsiaTheme="minorEastAsia"/>
          <w:sz w:val="24"/>
        </w:rPr>
        <w:t>）应急报告</w:t>
      </w:r>
    </w:p>
    <w:p w14:paraId="28B8842F" w14:textId="77777777" w:rsidR="00B14D53" w:rsidRDefault="00000000">
      <w:pPr>
        <w:spacing w:line="360" w:lineRule="auto"/>
        <w:ind w:firstLineChars="200" w:firstLine="480"/>
        <w:contextualSpacing/>
        <w:rPr>
          <w:rFonts w:eastAsiaTheme="minorEastAsia"/>
          <w:snapToGrid w:val="0"/>
          <w:sz w:val="24"/>
        </w:rPr>
      </w:pPr>
      <w:r>
        <w:rPr>
          <w:rFonts w:eastAsiaTheme="minorEastAsia"/>
          <w:snapToGrid w:val="0"/>
          <w:sz w:val="24"/>
        </w:rPr>
        <w:t>监测结果出现超标的，排污单位应加密监测，并检查超标原因。短期内无法实现稳定达标排放的，应向环境保护主管部门提交事故分析报告，说明事故发生的原因，采取减轻或防止污染的措施，以及今后的预防及改进措施等；若因发生事故或者其他突发事件，排放的污水可能危及城镇排水与污水处理设施安全运行的，应当立即采取措施消除危害，并及时向城镇排水主管部门和环境保护主管部门等有关部门报告。</w:t>
      </w:r>
    </w:p>
    <w:p w14:paraId="49B3C5E2" w14:textId="77777777" w:rsidR="00B14D53" w:rsidRDefault="00000000">
      <w:pPr>
        <w:spacing w:line="360" w:lineRule="auto"/>
        <w:ind w:firstLineChars="200" w:firstLine="480"/>
        <w:contextualSpacing/>
        <w:rPr>
          <w:rFonts w:eastAsiaTheme="minorEastAsia"/>
          <w:snapToGrid w:val="0"/>
          <w:sz w:val="24"/>
        </w:rPr>
      </w:pPr>
      <w:r>
        <w:rPr>
          <w:rFonts w:eastAsiaTheme="minorEastAsia"/>
          <w:snapToGrid w:val="0"/>
          <w:sz w:val="24"/>
        </w:rPr>
        <w:t>（</w:t>
      </w:r>
      <w:r>
        <w:rPr>
          <w:rFonts w:eastAsiaTheme="minorEastAsia"/>
          <w:snapToGrid w:val="0"/>
          <w:sz w:val="24"/>
        </w:rPr>
        <w:t>4</w:t>
      </w:r>
      <w:r>
        <w:rPr>
          <w:rFonts w:eastAsiaTheme="minorEastAsia"/>
          <w:snapToGrid w:val="0"/>
          <w:sz w:val="24"/>
        </w:rPr>
        <w:t>）信息公开</w:t>
      </w:r>
    </w:p>
    <w:p w14:paraId="10BB3B88" w14:textId="77777777" w:rsidR="00B14D53" w:rsidRDefault="00000000">
      <w:pPr>
        <w:spacing w:line="360" w:lineRule="auto"/>
        <w:ind w:firstLineChars="200" w:firstLine="480"/>
        <w:contextualSpacing/>
        <w:rPr>
          <w:rFonts w:eastAsiaTheme="minorEastAsia"/>
          <w:snapToGrid w:val="0"/>
          <w:sz w:val="24"/>
        </w:rPr>
      </w:pPr>
      <w:r>
        <w:rPr>
          <w:rFonts w:eastAsiaTheme="minorEastAsia"/>
          <w:snapToGrid w:val="0"/>
          <w:sz w:val="24"/>
        </w:rPr>
        <w:t>排污单位自行监测信息公开内容及方式按照《企业事业单位环境信息公开办法》（环境保护部令第</w:t>
      </w:r>
      <w:r>
        <w:rPr>
          <w:rFonts w:eastAsiaTheme="minorEastAsia"/>
          <w:snapToGrid w:val="0"/>
          <w:sz w:val="24"/>
        </w:rPr>
        <w:t>31</w:t>
      </w:r>
      <w:r>
        <w:rPr>
          <w:rFonts w:eastAsiaTheme="minorEastAsia"/>
          <w:snapToGrid w:val="0"/>
          <w:sz w:val="24"/>
        </w:rPr>
        <w:t>号）、《国家重点监控企业自行监测及信息公开办法（试行）》（环发</w:t>
      </w:r>
      <w:r>
        <w:rPr>
          <w:rFonts w:eastAsiaTheme="minorEastAsia"/>
          <w:snapToGrid w:val="0"/>
          <w:sz w:val="24"/>
        </w:rPr>
        <w:t>[2013]81</w:t>
      </w:r>
      <w:r>
        <w:rPr>
          <w:rFonts w:eastAsiaTheme="minorEastAsia"/>
          <w:snapToGrid w:val="0"/>
          <w:sz w:val="24"/>
        </w:rPr>
        <w:t>号）、</w:t>
      </w:r>
      <w:r>
        <w:rPr>
          <w:rFonts w:eastAsiaTheme="minorEastAsia"/>
          <w:snapToGrid w:val="0"/>
          <w:kern w:val="0"/>
          <w:sz w:val="24"/>
        </w:rPr>
        <w:t>《排污单位自行监测技术指南</w:t>
      </w:r>
      <w:r>
        <w:rPr>
          <w:rFonts w:eastAsiaTheme="minorEastAsia"/>
          <w:snapToGrid w:val="0"/>
          <w:kern w:val="0"/>
          <w:sz w:val="24"/>
        </w:rPr>
        <w:t xml:space="preserve"> </w:t>
      </w:r>
      <w:r>
        <w:rPr>
          <w:rFonts w:eastAsiaTheme="minorEastAsia"/>
          <w:snapToGrid w:val="0"/>
          <w:kern w:val="0"/>
          <w:sz w:val="24"/>
        </w:rPr>
        <w:t>总则》（</w:t>
      </w:r>
      <w:r>
        <w:rPr>
          <w:rFonts w:eastAsiaTheme="minorEastAsia"/>
          <w:snapToGrid w:val="0"/>
          <w:kern w:val="0"/>
          <w:sz w:val="24"/>
        </w:rPr>
        <w:t>HJ819-2017</w:t>
      </w:r>
      <w:r>
        <w:rPr>
          <w:rFonts w:eastAsiaTheme="minorEastAsia"/>
          <w:snapToGrid w:val="0"/>
          <w:kern w:val="0"/>
          <w:sz w:val="24"/>
        </w:rPr>
        <w:t>）</w:t>
      </w:r>
      <w:r>
        <w:rPr>
          <w:rFonts w:eastAsiaTheme="minorEastAsia"/>
          <w:snapToGrid w:val="0"/>
          <w:sz w:val="24"/>
        </w:rPr>
        <w:t>执行。非重点排污单位的信息公开要求由地方环境保护主管部门确定。</w:t>
      </w:r>
    </w:p>
    <w:p w14:paraId="79E78E5E"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322" w:name="_Toc11758579"/>
      <w:bookmarkStart w:id="323" w:name="_Toc26791"/>
      <w:r>
        <w:rPr>
          <w:rFonts w:ascii="Times New Roman" w:eastAsia="黑体" w:hAnsi="Times New Roman" w:cs="Times New Roman"/>
          <w:b w:val="0"/>
          <w:bCs w:val="0"/>
          <w:sz w:val="30"/>
          <w:szCs w:val="30"/>
        </w:rPr>
        <w:t>8.3</w:t>
      </w:r>
      <w:r>
        <w:rPr>
          <w:rFonts w:ascii="Times New Roman" w:eastAsia="黑体" w:hAnsi="Times New Roman" w:cs="Times New Roman"/>
          <w:b w:val="0"/>
          <w:bCs w:val="0"/>
          <w:sz w:val="30"/>
          <w:szCs w:val="30"/>
        </w:rPr>
        <w:t>环境保护竣工验收</w:t>
      </w:r>
      <w:bookmarkEnd w:id="322"/>
      <w:bookmarkEnd w:id="323"/>
    </w:p>
    <w:p w14:paraId="434DB4AB" w14:textId="77777777" w:rsidR="00B14D53" w:rsidRDefault="00000000">
      <w:pPr>
        <w:spacing w:line="360" w:lineRule="auto"/>
        <w:ind w:firstLineChars="200" w:firstLine="480"/>
        <w:contextualSpacing/>
        <w:rPr>
          <w:rFonts w:eastAsiaTheme="minorEastAsia"/>
          <w:snapToGrid w:val="0"/>
          <w:kern w:val="0"/>
          <w:sz w:val="24"/>
        </w:rPr>
      </w:pPr>
      <w:r>
        <w:rPr>
          <w:rFonts w:eastAsiaTheme="minorEastAsia"/>
          <w:snapToGrid w:val="0"/>
          <w:kern w:val="0"/>
          <w:sz w:val="24"/>
        </w:rPr>
        <w:t>本项目中的污染防治措施必须与主体工程同时设计、同时施工、同时投产使用。防治污染的设施必须经原审批环境影响报告书的环境保护行政主管部门验收合格后，项目方可投入生产和使用。</w:t>
      </w:r>
    </w:p>
    <w:p w14:paraId="1718DC2A" w14:textId="77777777" w:rsidR="00B14D53" w:rsidRDefault="00000000">
      <w:pPr>
        <w:spacing w:line="360" w:lineRule="auto"/>
        <w:ind w:firstLineChars="200" w:firstLine="480"/>
        <w:contextualSpacing/>
        <w:rPr>
          <w:rFonts w:eastAsiaTheme="minorEastAsia"/>
          <w:snapToGrid w:val="0"/>
          <w:kern w:val="0"/>
          <w:sz w:val="24"/>
        </w:rPr>
        <w:sectPr w:rsidR="00B14D53">
          <w:pgSz w:w="11906" w:h="16838"/>
          <w:pgMar w:top="1440" w:right="1797" w:bottom="1440" w:left="1797" w:header="851" w:footer="992" w:gutter="0"/>
          <w:cols w:space="425"/>
          <w:docGrid w:type="linesAndChars" w:linePitch="326"/>
        </w:sectPr>
      </w:pPr>
      <w:r>
        <w:rPr>
          <w:rFonts w:eastAsiaTheme="minorEastAsia"/>
          <w:snapToGrid w:val="0"/>
          <w:kern w:val="0"/>
          <w:sz w:val="24"/>
        </w:rPr>
        <w:t>拟建项目建成后，环境保护措施竣工验收情况详见表</w:t>
      </w:r>
      <w:r>
        <w:rPr>
          <w:rFonts w:eastAsiaTheme="minorEastAsia"/>
          <w:snapToGrid w:val="0"/>
          <w:kern w:val="0"/>
          <w:sz w:val="24"/>
        </w:rPr>
        <w:t>8-3-1</w:t>
      </w:r>
      <w:r>
        <w:rPr>
          <w:rFonts w:eastAsiaTheme="minorEastAsia"/>
          <w:snapToGrid w:val="0"/>
          <w:kern w:val="0"/>
          <w:sz w:val="24"/>
        </w:rPr>
        <w:t>。</w:t>
      </w:r>
    </w:p>
    <w:p w14:paraId="2FC2FB25" w14:textId="77777777" w:rsidR="00B14D53" w:rsidRDefault="00000000">
      <w:pPr>
        <w:jc w:val="center"/>
        <w:rPr>
          <w:b/>
          <w:bCs/>
          <w:lang w:val="zh-CN"/>
        </w:rPr>
      </w:pPr>
      <w:r>
        <w:rPr>
          <w:rFonts w:hint="eastAsia"/>
          <w:b/>
          <w:bCs/>
          <w:lang w:val="zh-CN"/>
        </w:rPr>
        <w:t>表</w:t>
      </w:r>
      <w:r>
        <w:rPr>
          <w:rFonts w:hint="eastAsia"/>
          <w:b/>
          <w:bCs/>
          <w:lang w:val="zh-CN"/>
        </w:rPr>
        <w:t xml:space="preserve">8-3-1 </w:t>
      </w:r>
      <w:r>
        <w:rPr>
          <w:rFonts w:hint="eastAsia"/>
          <w:b/>
          <w:bCs/>
          <w:lang w:val="zh-CN"/>
        </w:rPr>
        <w:t>建设项目竣工环境保护验收一览表</w:t>
      </w:r>
    </w:p>
    <w:tbl>
      <w:tblPr>
        <w:tblW w:w="5137"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11"/>
        <w:gridCol w:w="1152"/>
        <w:gridCol w:w="2710"/>
        <w:gridCol w:w="1521"/>
        <w:gridCol w:w="3480"/>
        <w:gridCol w:w="4466"/>
      </w:tblGrid>
      <w:tr w:rsidR="00B14D53" w14:paraId="1BC660FD" w14:textId="77777777">
        <w:trPr>
          <w:trHeight w:val="138"/>
        </w:trPr>
        <w:tc>
          <w:tcPr>
            <w:tcW w:w="1024" w:type="dxa"/>
            <w:vAlign w:val="center"/>
          </w:tcPr>
          <w:p w14:paraId="662983A5" w14:textId="77777777" w:rsidR="00B14D53" w:rsidRDefault="00000000">
            <w:pPr>
              <w:pStyle w:val="afff2"/>
              <w:spacing w:line="0" w:lineRule="atLeast"/>
              <w:rPr>
                <w:rFonts w:eastAsiaTheme="minorEastAsia" w:hAnsi="Times New Roman"/>
                <w:b/>
                <w:bCs/>
                <w:snapToGrid w:val="0"/>
              </w:rPr>
            </w:pPr>
            <w:r>
              <w:rPr>
                <w:rFonts w:eastAsiaTheme="minorEastAsia" w:hAnsi="Times New Roman"/>
                <w:b/>
                <w:bCs/>
                <w:snapToGrid w:val="0"/>
              </w:rPr>
              <w:t>类型</w:t>
            </w:r>
          </w:p>
        </w:tc>
        <w:tc>
          <w:tcPr>
            <w:tcW w:w="1168" w:type="dxa"/>
            <w:vAlign w:val="center"/>
          </w:tcPr>
          <w:p w14:paraId="61AC3C89" w14:textId="77777777" w:rsidR="00B14D53" w:rsidRDefault="00000000">
            <w:pPr>
              <w:pStyle w:val="afff2"/>
              <w:spacing w:line="0" w:lineRule="atLeast"/>
              <w:rPr>
                <w:rFonts w:eastAsiaTheme="minorEastAsia" w:hAnsi="Times New Roman"/>
                <w:b/>
                <w:bCs/>
                <w:snapToGrid w:val="0"/>
              </w:rPr>
            </w:pPr>
            <w:r>
              <w:rPr>
                <w:rFonts w:eastAsiaTheme="minorEastAsia" w:hAnsi="Times New Roman"/>
                <w:b/>
                <w:bCs/>
                <w:snapToGrid w:val="0"/>
              </w:rPr>
              <w:t>类别</w:t>
            </w:r>
          </w:p>
        </w:tc>
        <w:tc>
          <w:tcPr>
            <w:tcW w:w="2753" w:type="dxa"/>
            <w:vAlign w:val="center"/>
          </w:tcPr>
          <w:p w14:paraId="279B4DAE" w14:textId="77777777" w:rsidR="00B14D53" w:rsidRDefault="00000000">
            <w:pPr>
              <w:pStyle w:val="afff2"/>
              <w:spacing w:line="0" w:lineRule="atLeast"/>
              <w:rPr>
                <w:rFonts w:eastAsiaTheme="minorEastAsia" w:hAnsi="Times New Roman"/>
                <w:b/>
                <w:bCs/>
                <w:snapToGrid w:val="0"/>
              </w:rPr>
            </w:pPr>
            <w:r>
              <w:rPr>
                <w:rFonts w:eastAsiaTheme="minorEastAsia" w:hAnsi="Times New Roman"/>
                <w:b/>
                <w:bCs/>
                <w:snapToGrid w:val="0"/>
              </w:rPr>
              <w:t>污染源</w:t>
            </w:r>
          </w:p>
        </w:tc>
        <w:tc>
          <w:tcPr>
            <w:tcW w:w="1543" w:type="dxa"/>
            <w:vAlign w:val="center"/>
          </w:tcPr>
          <w:p w14:paraId="0BFFD3FF" w14:textId="77777777" w:rsidR="00B14D53" w:rsidRDefault="00000000">
            <w:pPr>
              <w:pStyle w:val="afff2"/>
              <w:spacing w:line="0" w:lineRule="atLeast"/>
              <w:rPr>
                <w:rFonts w:eastAsiaTheme="minorEastAsia" w:hAnsi="Times New Roman"/>
                <w:b/>
                <w:bCs/>
                <w:snapToGrid w:val="0"/>
              </w:rPr>
            </w:pPr>
            <w:r>
              <w:rPr>
                <w:rFonts w:eastAsiaTheme="minorEastAsia" w:hAnsi="Times New Roman"/>
                <w:b/>
                <w:bCs/>
                <w:snapToGrid w:val="0"/>
              </w:rPr>
              <w:t>污染物</w:t>
            </w:r>
          </w:p>
        </w:tc>
        <w:tc>
          <w:tcPr>
            <w:tcW w:w="3536" w:type="dxa"/>
            <w:vAlign w:val="center"/>
          </w:tcPr>
          <w:p w14:paraId="7074918F" w14:textId="77777777" w:rsidR="00B14D53" w:rsidRDefault="00000000">
            <w:pPr>
              <w:pStyle w:val="afff2"/>
              <w:spacing w:line="0" w:lineRule="atLeast"/>
              <w:rPr>
                <w:rFonts w:eastAsiaTheme="minorEastAsia" w:hAnsi="Times New Roman"/>
                <w:b/>
                <w:bCs/>
                <w:snapToGrid w:val="0"/>
              </w:rPr>
            </w:pPr>
            <w:r>
              <w:rPr>
                <w:rFonts w:eastAsiaTheme="minorEastAsia" w:hAnsi="Times New Roman"/>
                <w:b/>
                <w:bCs/>
                <w:snapToGrid w:val="0"/>
              </w:rPr>
              <w:t>建设内容</w:t>
            </w:r>
          </w:p>
        </w:tc>
        <w:tc>
          <w:tcPr>
            <w:tcW w:w="4539" w:type="dxa"/>
            <w:vAlign w:val="center"/>
          </w:tcPr>
          <w:p w14:paraId="4301166E" w14:textId="77777777" w:rsidR="00B14D53" w:rsidRDefault="00000000">
            <w:pPr>
              <w:pStyle w:val="afff2"/>
              <w:spacing w:line="0" w:lineRule="atLeast"/>
              <w:rPr>
                <w:rFonts w:eastAsiaTheme="minorEastAsia" w:hAnsi="Times New Roman"/>
                <w:b/>
                <w:bCs/>
                <w:snapToGrid w:val="0"/>
              </w:rPr>
            </w:pPr>
            <w:r>
              <w:rPr>
                <w:rFonts w:eastAsiaTheme="minorEastAsia" w:hAnsi="Times New Roman"/>
                <w:b/>
                <w:bCs/>
                <w:snapToGrid w:val="0"/>
              </w:rPr>
              <w:t>验收标准</w:t>
            </w:r>
          </w:p>
        </w:tc>
      </w:tr>
      <w:tr w:rsidR="00B14D53" w14:paraId="2B5832B1" w14:textId="77777777">
        <w:trPr>
          <w:trHeight w:val="715"/>
        </w:trPr>
        <w:tc>
          <w:tcPr>
            <w:tcW w:w="1024" w:type="dxa"/>
            <w:vMerge w:val="restart"/>
            <w:vAlign w:val="center"/>
          </w:tcPr>
          <w:p w14:paraId="24839A63" w14:textId="77777777" w:rsidR="00B14D53" w:rsidRDefault="00000000">
            <w:pPr>
              <w:pStyle w:val="afff2"/>
              <w:spacing w:line="0" w:lineRule="atLeast"/>
              <w:rPr>
                <w:rFonts w:eastAsiaTheme="minorEastAsia" w:hAnsi="Times New Roman"/>
                <w:snapToGrid w:val="0"/>
              </w:rPr>
            </w:pPr>
            <w:r>
              <w:rPr>
                <w:rFonts w:eastAsiaTheme="minorEastAsia" w:hAnsi="Times New Roman"/>
                <w:snapToGrid w:val="0"/>
              </w:rPr>
              <w:t>废水</w:t>
            </w:r>
          </w:p>
        </w:tc>
        <w:tc>
          <w:tcPr>
            <w:tcW w:w="1168" w:type="dxa"/>
            <w:vAlign w:val="center"/>
          </w:tcPr>
          <w:p w14:paraId="67C67E96" w14:textId="77777777" w:rsidR="00B14D53" w:rsidRDefault="00000000">
            <w:pPr>
              <w:pStyle w:val="afff2"/>
              <w:spacing w:line="0" w:lineRule="atLeast"/>
              <w:rPr>
                <w:rFonts w:eastAsiaTheme="minorEastAsia" w:hAnsi="Times New Roman"/>
                <w:snapToGrid w:val="0"/>
              </w:rPr>
            </w:pPr>
            <w:r>
              <w:rPr>
                <w:rFonts w:eastAsiaTheme="minorEastAsia" w:hAnsi="Times New Roman"/>
                <w:snapToGrid w:val="0"/>
              </w:rPr>
              <w:t>生产废水</w:t>
            </w:r>
          </w:p>
        </w:tc>
        <w:tc>
          <w:tcPr>
            <w:tcW w:w="2753" w:type="dxa"/>
            <w:vAlign w:val="center"/>
          </w:tcPr>
          <w:p w14:paraId="44F32A4A" w14:textId="77777777" w:rsidR="00B14D53" w:rsidRDefault="00000000">
            <w:pPr>
              <w:pStyle w:val="afff2"/>
              <w:spacing w:line="0" w:lineRule="atLeast"/>
              <w:rPr>
                <w:rFonts w:eastAsiaTheme="minorEastAsia" w:hAnsi="Times New Roman"/>
                <w:snapToGrid w:val="0"/>
              </w:rPr>
            </w:pPr>
            <w:r>
              <w:rPr>
                <w:rFonts w:eastAsiaTheme="minorEastAsia" w:hAnsi="Times New Roman"/>
                <w:snapToGrid w:val="0"/>
              </w:rPr>
              <w:t>待宰圈冲洗排水、屠宰车间排水、电蒸汽发生器排污水</w:t>
            </w:r>
            <w:r>
              <w:rPr>
                <w:rFonts w:eastAsiaTheme="minorEastAsia" w:hAnsi="Times New Roman"/>
                <w:snapToGrid w:val="0"/>
              </w:rPr>
              <w:t>+</w:t>
            </w:r>
            <w:r>
              <w:rPr>
                <w:rFonts w:eastAsiaTheme="minorEastAsia" w:hAnsi="Times New Roman"/>
                <w:snapToGrid w:val="0"/>
              </w:rPr>
              <w:t>软化处理废水、车辆冲洗排水等</w:t>
            </w:r>
          </w:p>
        </w:tc>
        <w:tc>
          <w:tcPr>
            <w:tcW w:w="1543" w:type="dxa"/>
            <w:vAlign w:val="center"/>
          </w:tcPr>
          <w:p w14:paraId="3FAA4501" w14:textId="77777777" w:rsidR="00B14D53" w:rsidRDefault="00000000">
            <w:pPr>
              <w:widowControl/>
              <w:spacing w:line="0" w:lineRule="atLeast"/>
              <w:jc w:val="center"/>
              <w:rPr>
                <w:rFonts w:eastAsiaTheme="minorEastAsia"/>
                <w:kern w:val="32"/>
                <w:szCs w:val="21"/>
              </w:rPr>
            </w:pPr>
            <w:r>
              <w:rPr>
                <w:rFonts w:eastAsiaTheme="minorEastAsia"/>
                <w:kern w:val="32"/>
                <w:szCs w:val="21"/>
              </w:rPr>
              <w:t>pH</w:t>
            </w:r>
            <w:r>
              <w:rPr>
                <w:rFonts w:eastAsiaTheme="minorEastAsia"/>
                <w:kern w:val="32"/>
                <w:szCs w:val="21"/>
              </w:rPr>
              <w:t>、</w:t>
            </w:r>
            <w:r>
              <w:rPr>
                <w:rFonts w:eastAsiaTheme="minorEastAsia"/>
                <w:kern w:val="32"/>
                <w:szCs w:val="21"/>
              </w:rPr>
              <w:t>COD</w:t>
            </w:r>
            <w:r>
              <w:rPr>
                <w:rFonts w:eastAsiaTheme="minorEastAsia"/>
                <w:kern w:val="32"/>
                <w:szCs w:val="21"/>
              </w:rPr>
              <w:t>、</w:t>
            </w:r>
            <w:r>
              <w:rPr>
                <w:rFonts w:eastAsiaTheme="minorEastAsia"/>
                <w:kern w:val="32"/>
                <w:szCs w:val="21"/>
              </w:rPr>
              <w:t>BOD</w:t>
            </w:r>
            <w:r>
              <w:rPr>
                <w:rFonts w:eastAsiaTheme="minorEastAsia"/>
                <w:kern w:val="32"/>
                <w:szCs w:val="21"/>
                <w:vertAlign w:val="subscript"/>
              </w:rPr>
              <w:t>5</w:t>
            </w:r>
            <w:r>
              <w:rPr>
                <w:rFonts w:eastAsiaTheme="minorEastAsia"/>
                <w:kern w:val="32"/>
                <w:szCs w:val="21"/>
              </w:rPr>
              <w:t>、</w:t>
            </w:r>
            <w:r>
              <w:rPr>
                <w:rFonts w:eastAsiaTheme="minorEastAsia"/>
                <w:kern w:val="32"/>
                <w:szCs w:val="21"/>
              </w:rPr>
              <w:t>SS</w:t>
            </w:r>
            <w:r>
              <w:rPr>
                <w:rFonts w:eastAsiaTheme="minorEastAsia"/>
                <w:kern w:val="32"/>
                <w:szCs w:val="21"/>
              </w:rPr>
              <w:t>、</w:t>
            </w:r>
            <w:r>
              <w:rPr>
                <w:rFonts w:eastAsiaTheme="minorEastAsia" w:hint="eastAsia"/>
                <w:kern w:val="32"/>
                <w:szCs w:val="21"/>
              </w:rPr>
              <w:t>氨氮</w:t>
            </w:r>
            <w:r>
              <w:rPr>
                <w:rFonts w:eastAsiaTheme="minorEastAsia"/>
                <w:kern w:val="32"/>
                <w:szCs w:val="21"/>
              </w:rPr>
              <w:t>、动植物油、大肠菌群数</w:t>
            </w:r>
          </w:p>
        </w:tc>
        <w:tc>
          <w:tcPr>
            <w:tcW w:w="3536" w:type="dxa"/>
            <w:vAlign w:val="center"/>
          </w:tcPr>
          <w:p w14:paraId="02261554" w14:textId="77777777" w:rsidR="00B14D53" w:rsidRDefault="00000000">
            <w:pPr>
              <w:pStyle w:val="afff2"/>
              <w:spacing w:line="0" w:lineRule="atLeast"/>
              <w:rPr>
                <w:rFonts w:eastAsiaTheme="minorEastAsia" w:hAnsi="Times New Roman"/>
                <w:snapToGrid w:val="0"/>
              </w:rPr>
            </w:pPr>
            <w:r>
              <w:rPr>
                <w:rFonts w:eastAsiaTheme="minorEastAsia" w:hAnsi="Times New Roman" w:hint="eastAsia"/>
                <w:snapToGrid w:val="0"/>
              </w:rPr>
              <w:t>废水经污水处理站处理，污水处理站采用“格栅</w:t>
            </w:r>
            <w:r>
              <w:rPr>
                <w:rFonts w:eastAsiaTheme="minorEastAsia" w:hAnsi="Times New Roman" w:hint="eastAsia"/>
                <w:snapToGrid w:val="0"/>
              </w:rPr>
              <w:t>+</w:t>
            </w:r>
            <w:r>
              <w:rPr>
                <w:rFonts w:eastAsiaTheme="minorEastAsia" w:hAnsi="Times New Roman" w:hint="eastAsia"/>
                <w:snapToGrid w:val="0"/>
              </w:rPr>
              <w:t>调节沉淀池</w:t>
            </w:r>
            <w:r>
              <w:rPr>
                <w:rFonts w:eastAsiaTheme="minorEastAsia" w:hAnsi="Times New Roman" w:hint="eastAsia"/>
                <w:snapToGrid w:val="0"/>
              </w:rPr>
              <w:t>+</w:t>
            </w:r>
            <w:r>
              <w:rPr>
                <w:rFonts w:eastAsiaTheme="minorEastAsia" w:hAnsi="Times New Roman" w:hint="eastAsia"/>
                <w:snapToGrid w:val="0"/>
              </w:rPr>
              <w:t>气浮机</w:t>
            </w:r>
            <w:r>
              <w:rPr>
                <w:rFonts w:eastAsiaTheme="minorEastAsia" w:hAnsi="Times New Roman" w:hint="eastAsia"/>
                <w:snapToGrid w:val="0"/>
              </w:rPr>
              <w:t>+</w:t>
            </w:r>
            <w:r>
              <w:rPr>
                <w:rFonts w:eastAsiaTheme="minorEastAsia" w:hint="eastAsia"/>
                <w:snapToGrid w:val="0"/>
              </w:rPr>
              <w:t>水解酸化池</w:t>
            </w:r>
            <w:r>
              <w:rPr>
                <w:rFonts w:eastAsiaTheme="minorEastAsia" w:hAnsi="Times New Roman" w:hint="eastAsia"/>
                <w:snapToGrid w:val="0"/>
              </w:rPr>
              <w:t>+</w:t>
            </w:r>
            <w:r>
              <w:rPr>
                <w:rFonts w:eastAsiaTheme="minorEastAsia" w:hint="eastAsia"/>
                <w:snapToGrid w:val="0"/>
              </w:rPr>
              <w:t>接触氧化池</w:t>
            </w:r>
            <w:r>
              <w:rPr>
                <w:rFonts w:eastAsiaTheme="minorEastAsia" w:hAnsi="Times New Roman" w:hint="eastAsia"/>
                <w:snapToGrid w:val="0"/>
              </w:rPr>
              <w:t>+</w:t>
            </w:r>
            <w:r>
              <w:rPr>
                <w:rFonts w:eastAsiaTheme="minorEastAsia" w:hAnsi="Times New Roman" w:hint="eastAsia"/>
                <w:snapToGrid w:val="0"/>
              </w:rPr>
              <w:t>二沉池</w:t>
            </w:r>
            <w:r>
              <w:rPr>
                <w:rFonts w:eastAsiaTheme="minorEastAsia" w:hAnsi="Times New Roman" w:hint="eastAsia"/>
                <w:snapToGrid w:val="0"/>
              </w:rPr>
              <w:t>+</w:t>
            </w:r>
            <w:r>
              <w:rPr>
                <w:rFonts w:eastAsiaTheme="minorEastAsia" w:hAnsi="Times New Roman" w:hint="eastAsia"/>
                <w:snapToGrid w:val="0"/>
              </w:rPr>
              <w:t>污泥浓缩池</w:t>
            </w:r>
            <w:r>
              <w:rPr>
                <w:rFonts w:eastAsiaTheme="minorEastAsia" w:hAnsi="Times New Roman" w:hint="eastAsia"/>
                <w:snapToGrid w:val="0"/>
              </w:rPr>
              <w:t>+</w:t>
            </w:r>
            <w:r>
              <w:rPr>
                <w:rFonts w:eastAsiaTheme="minorEastAsia" w:hAnsi="Times New Roman" w:hint="eastAsia"/>
                <w:snapToGrid w:val="0"/>
              </w:rPr>
              <w:t>次氯酸钠消毒工艺”，处理后废水排入市政管网，经</w:t>
            </w:r>
            <w:r>
              <w:rPr>
                <w:rFonts w:hAnsi="Times New Roman"/>
                <w:kern w:val="21"/>
              </w:rPr>
              <w:t>五常市民泉污水处理有限公司（五常市山河屯林业局污水处理厂）</w:t>
            </w:r>
            <w:r>
              <w:rPr>
                <w:rFonts w:hAnsi="Times New Roman" w:hint="eastAsia"/>
                <w:kern w:val="21"/>
              </w:rPr>
              <w:t>处理后排入拉林河</w:t>
            </w:r>
          </w:p>
        </w:tc>
        <w:tc>
          <w:tcPr>
            <w:tcW w:w="4539" w:type="dxa"/>
            <w:vAlign w:val="center"/>
          </w:tcPr>
          <w:p w14:paraId="0A0CE274" w14:textId="77777777" w:rsidR="00B14D53" w:rsidRDefault="00000000">
            <w:pPr>
              <w:pStyle w:val="afff2"/>
              <w:spacing w:line="0" w:lineRule="atLeast"/>
              <w:rPr>
                <w:rFonts w:eastAsiaTheme="minorEastAsia" w:hAnsi="Times New Roman"/>
                <w:snapToGrid w:val="0"/>
              </w:rPr>
            </w:pPr>
            <w:r>
              <w:rPr>
                <w:rFonts w:hAnsi="Times New Roman"/>
              </w:rPr>
              <w:t>《肉类加工工业水污染物排放标准》（</w:t>
            </w:r>
            <w:r>
              <w:rPr>
                <w:rFonts w:hAnsi="Times New Roman"/>
              </w:rPr>
              <w:t>GB13457-92</w:t>
            </w:r>
            <w:r>
              <w:rPr>
                <w:rFonts w:hAnsi="Times New Roman"/>
              </w:rPr>
              <w:t>）畜类屠宰加工三级标准及</w:t>
            </w:r>
            <w:r>
              <w:rPr>
                <w:rFonts w:hAnsi="Times New Roman"/>
                <w:kern w:val="21"/>
              </w:rPr>
              <w:t>五常市民泉污水处理有限公司（五常市山河屯林业局污水处理厂）</w:t>
            </w:r>
            <w:r>
              <w:rPr>
                <w:rFonts w:hAnsi="Times New Roman"/>
              </w:rPr>
              <w:t>设计进水水质指标</w:t>
            </w:r>
          </w:p>
        </w:tc>
      </w:tr>
      <w:tr w:rsidR="00B14D53" w14:paraId="14CA6898" w14:textId="77777777">
        <w:trPr>
          <w:trHeight w:val="317"/>
        </w:trPr>
        <w:tc>
          <w:tcPr>
            <w:tcW w:w="1024" w:type="dxa"/>
            <w:vMerge/>
            <w:vAlign w:val="center"/>
          </w:tcPr>
          <w:p w14:paraId="719D83C2" w14:textId="77777777" w:rsidR="00B14D53" w:rsidRDefault="00B14D53">
            <w:pPr>
              <w:pStyle w:val="afff2"/>
              <w:spacing w:line="0" w:lineRule="atLeast"/>
              <w:rPr>
                <w:rFonts w:eastAsiaTheme="minorEastAsia" w:hAnsi="Times New Roman"/>
                <w:snapToGrid w:val="0"/>
              </w:rPr>
            </w:pPr>
          </w:p>
        </w:tc>
        <w:tc>
          <w:tcPr>
            <w:tcW w:w="1168" w:type="dxa"/>
            <w:vAlign w:val="center"/>
          </w:tcPr>
          <w:p w14:paraId="42D4A7C5" w14:textId="77777777" w:rsidR="00B14D53" w:rsidRDefault="00000000">
            <w:pPr>
              <w:pStyle w:val="afff2"/>
              <w:spacing w:line="0" w:lineRule="atLeast"/>
              <w:rPr>
                <w:rFonts w:eastAsiaTheme="minorEastAsia" w:hAnsi="Times New Roman"/>
                <w:snapToGrid w:val="0"/>
              </w:rPr>
            </w:pPr>
            <w:r>
              <w:rPr>
                <w:rFonts w:eastAsiaTheme="minorEastAsia" w:hAnsi="Times New Roman"/>
                <w:snapToGrid w:val="0"/>
              </w:rPr>
              <w:t>生活污水</w:t>
            </w:r>
          </w:p>
        </w:tc>
        <w:tc>
          <w:tcPr>
            <w:tcW w:w="2753" w:type="dxa"/>
            <w:vAlign w:val="center"/>
          </w:tcPr>
          <w:p w14:paraId="7334FD37" w14:textId="77777777" w:rsidR="00B14D53" w:rsidRDefault="00000000">
            <w:pPr>
              <w:pStyle w:val="afff2"/>
              <w:spacing w:line="0" w:lineRule="atLeast"/>
              <w:rPr>
                <w:rFonts w:eastAsiaTheme="minorEastAsia" w:hAnsi="Times New Roman"/>
                <w:snapToGrid w:val="0"/>
              </w:rPr>
            </w:pPr>
            <w:r>
              <w:rPr>
                <w:rFonts w:eastAsiaTheme="minorEastAsia" w:hAnsi="Times New Roman" w:hint="eastAsia"/>
                <w:snapToGrid w:val="0"/>
              </w:rPr>
              <w:t>员工生活</w:t>
            </w:r>
          </w:p>
        </w:tc>
        <w:tc>
          <w:tcPr>
            <w:tcW w:w="1543" w:type="dxa"/>
            <w:vAlign w:val="center"/>
          </w:tcPr>
          <w:p w14:paraId="52E32037" w14:textId="77777777" w:rsidR="00B14D53" w:rsidRDefault="00000000">
            <w:pPr>
              <w:pStyle w:val="afff2"/>
              <w:spacing w:line="0" w:lineRule="atLeast"/>
              <w:jc w:val="both"/>
              <w:rPr>
                <w:rFonts w:eastAsiaTheme="minorEastAsia" w:hAnsi="Times New Roman"/>
                <w:snapToGrid w:val="0"/>
              </w:rPr>
            </w:pPr>
            <w:r>
              <w:rPr>
                <w:rFonts w:hAnsi="Times New Roman"/>
                <w:kern w:val="24"/>
              </w:rPr>
              <w:t>pH</w:t>
            </w:r>
            <w:r>
              <w:rPr>
                <w:rFonts w:hAnsi="Times New Roman"/>
                <w:kern w:val="24"/>
              </w:rPr>
              <w:t>、</w:t>
            </w:r>
            <w:r>
              <w:rPr>
                <w:rFonts w:hAnsi="Times New Roman"/>
                <w:kern w:val="24"/>
              </w:rPr>
              <w:t>COD</w:t>
            </w:r>
            <w:r>
              <w:rPr>
                <w:rFonts w:hAnsi="Times New Roman"/>
                <w:kern w:val="24"/>
              </w:rPr>
              <w:t>、</w:t>
            </w:r>
            <w:r>
              <w:rPr>
                <w:rFonts w:hAnsi="Times New Roman"/>
                <w:kern w:val="24"/>
              </w:rPr>
              <w:t>BOD</w:t>
            </w:r>
            <w:r>
              <w:rPr>
                <w:rFonts w:hAnsi="Times New Roman"/>
                <w:kern w:val="24"/>
                <w:vertAlign w:val="subscript"/>
              </w:rPr>
              <w:t>5</w:t>
            </w:r>
            <w:r>
              <w:rPr>
                <w:rFonts w:hAnsi="Times New Roman"/>
                <w:kern w:val="24"/>
              </w:rPr>
              <w:t>、</w:t>
            </w:r>
            <w:r>
              <w:rPr>
                <w:rFonts w:hAnsi="Times New Roman"/>
                <w:kern w:val="24"/>
              </w:rPr>
              <w:t>SS</w:t>
            </w:r>
            <w:r>
              <w:rPr>
                <w:rFonts w:hAnsi="Times New Roman"/>
                <w:kern w:val="24"/>
              </w:rPr>
              <w:t>、</w:t>
            </w:r>
            <w:r>
              <w:rPr>
                <w:rFonts w:hint="eastAsia"/>
                <w:kern w:val="24"/>
              </w:rPr>
              <w:t>氨氮</w:t>
            </w:r>
            <w:r>
              <w:rPr>
                <w:rFonts w:hAnsi="Times New Roman"/>
                <w:kern w:val="24"/>
              </w:rPr>
              <w:t>、动植物油</w:t>
            </w:r>
          </w:p>
        </w:tc>
        <w:tc>
          <w:tcPr>
            <w:tcW w:w="3536" w:type="dxa"/>
            <w:vAlign w:val="center"/>
          </w:tcPr>
          <w:p w14:paraId="6E57B3EC" w14:textId="77777777" w:rsidR="00B14D53" w:rsidRDefault="00000000">
            <w:pPr>
              <w:pStyle w:val="afff2"/>
              <w:spacing w:line="0" w:lineRule="atLeast"/>
              <w:rPr>
                <w:rFonts w:eastAsiaTheme="minorEastAsia" w:hAnsi="Times New Roman"/>
                <w:snapToGrid w:val="0"/>
              </w:rPr>
            </w:pPr>
            <w:r>
              <w:rPr>
                <w:rFonts w:eastAsiaTheme="minorEastAsia" w:hAnsi="Times New Roman" w:hint="eastAsia"/>
                <w:snapToGrid w:val="0"/>
              </w:rPr>
              <w:t>排入市政管网</w:t>
            </w:r>
          </w:p>
        </w:tc>
        <w:tc>
          <w:tcPr>
            <w:tcW w:w="4539" w:type="dxa"/>
            <w:vAlign w:val="center"/>
          </w:tcPr>
          <w:p w14:paraId="359E4BB0" w14:textId="77777777" w:rsidR="00B14D53" w:rsidRDefault="00000000">
            <w:pPr>
              <w:pStyle w:val="afff2"/>
              <w:spacing w:line="0" w:lineRule="atLeast"/>
              <w:jc w:val="both"/>
              <w:rPr>
                <w:rFonts w:eastAsiaTheme="minorEastAsia" w:hAnsi="Times New Roman"/>
                <w:snapToGrid w:val="0"/>
              </w:rPr>
            </w:pPr>
            <w:r>
              <w:rPr>
                <w:rFonts w:hint="eastAsia"/>
              </w:rPr>
              <w:t>《污水综合排放标准》（</w:t>
            </w:r>
            <w:r>
              <w:rPr>
                <w:rFonts w:hint="eastAsia"/>
              </w:rPr>
              <w:t>GB8978-1996</w:t>
            </w:r>
            <w:r>
              <w:rPr>
                <w:rFonts w:hint="eastAsia"/>
              </w:rPr>
              <w:t>）表</w:t>
            </w:r>
            <w:r>
              <w:rPr>
                <w:rFonts w:hint="eastAsia"/>
              </w:rPr>
              <w:t>4</w:t>
            </w:r>
            <w:r>
              <w:rPr>
                <w:rFonts w:hint="eastAsia"/>
              </w:rPr>
              <w:t>三级标准限值及五常市民泉污水处理有限公司（五常市山河屯林业局污水处理厂）设计进水水质指标</w:t>
            </w:r>
          </w:p>
        </w:tc>
      </w:tr>
      <w:tr w:rsidR="00B14D53" w14:paraId="77179756" w14:textId="77777777">
        <w:trPr>
          <w:trHeight w:val="90"/>
        </w:trPr>
        <w:tc>
          <w:tcPr>
            <w:tcW w:w="1024" w:type="dxa"/>
            <w:vMerge/>
            <w:vAlign w:val="center"/>
          </w:tcPr>
          <w:p w14:paraId="341B57E6" w14:textId="77777777" w:rsidR="00B14D53" w:rsidRDefault="00B14D53">
            <w:pPr>
              <w:pStyle w:val="afff2"/>
              <w:spacing w:line="0" w:lineRule="atLeast"/>
              <w:rPr>
                <w:rFonts w:eastAsiaTheme="minorEastAsia" w:hAnsi="Times New Roman"/>
                <w:snapToGrid w:val="0"/>
              </w:rPr>
            </w:pPr>
          </w:p>
        </w:tc>
        <w:tc>
          <w:tcPr>
            <w:tcW w:w="1168" w:type="dxa"/>
            <w:vAlign w:val="center"/>
          </w:tcPr>
          <w:p w14:paraId="1807F3BD" w14:textId="77777777" w:rsidR="00B14D53" w:rsidRDefault="00000000">
            <w:pPr>
              <w:pStyle w:val="afff2"/>
              <w:spacing w:line="0" w:lineRule="atLeast"/>
              <w:rPr>
                <w:rFonts w:eastAsiaTheme="minorEastAsia" w:hAnsi="Times New Roman"/>
                <w:snapToGrid w:val="0"/>
              </w:rPr>
            </w:pPr>
            <w:r>
              <w:rPr>
                <w:rFonts w:eastAsiaTheme="minorEastAsia" w:hAnsi="Times New Roman"/>
                <w:snapToGrid w:val="0"/>
              </w:rPr>
              <w:t>地下水监测井</w:t>
            </w:r>
          </w:p>
        </w:tc>
        <w:tc>
          <w:tcPr>
            <w:tcW w:w="2753" w:type="dxa"/>
            <w:vAlign w:val="center"/>
          </w:tcPr>
          <w:p w14:paraId="041E63B1" w14:textId="77777777" w:rsidR="00B14D53" w:rsidRDefault="00000000">
            <w:pPr>
              <w:pStyle w:val="afff2"/>
              <w:spacing w:line="0" w:lineRule="atLeast"/>
              <w:rPr>
                <w:rFonts w:eastAsiaTheme="minorEastAsia" w:hAnsi="Times New Roman"/>
                <w:snapToGrid w:val="0"/>
              </w:rPr>
            </w:pPr>
            <w:r>
              <w:rPr>
                <w:rFonts w:eastAsiaTheme="minorEastAsia" w:hAnsi="Times New Roman"/>
                <w:snapToGrid w:val="0"/>
              </w:rPr>
              <w:t>-</w:t>
            </w:r>
          </w:p>
        </w:tc>
        <w:tc>
          <w:tcPr>
            <w:tcW w:w="1543" w:type="dxa"/>
            <w:vMerge w:val="restart"/>
            <w:vAlign w:val="center"/>
          </w:tcPr>
          <w:p w14:paraId="1CE34276" w14:textId="77777777" w:rsidR="00B14D53" w:rsidRDefault="00000000">
            <w:pPr>
              <w:pStyle w:val="afff2"/>
              <w:spacing w:line="0" w:lineRule="atLeast"/>
              <w:rPr>
                <w:rFonts w:eastAsiaTheme="minorEastAsia" w:hAnsi="Times New Roman"/>
                <w:snapToGrid w:val="0"/>
              </w:rPr>
            </w:pPr>
            <w:r>
              <w:rPr>
                <w:rFonts w:eastAsiaTheme="minorEastAsia" w:hAnsi="Times New Roman"/>
                <w:snapToGrid w:val="0"/>
              </w:rPr>
              <w:t>氨氮</w:t>
            </w:r>
          </w:p>
        </w:tc>
        <w:tc>
          <w:tcPr>
            <w:tcW w:w="3536" w:type="dxa"/>
            <w:vAlign w:val="center"/>
          </w:tcPr>
          <w:p w14:paraId="55797571" w14:textId="77777777" w:rsidR="00B14D53" w:rsidRDefault="00000000">
            <w:pPr>
              <w:pStyle w:val="afff2"/>
              <w:spacing w:line="0" w:lineRule="atLeast"/>
              <w:jc w:val="both"/>
              <w:rPr>
                <w:rFonts w:eastAsiaTheme="minorEastAsia" w:hAnsi="Times New Roman"/>
                <w:snapToGrid w:val="0"/>
              </w:rPr>
            </w:pPr>
            <w:r>
              <w:rPr>
                <w:rFonts w:hint="eastAsia"/>
                <w:snapToGrid w:val="0"/>
              </w:rPr>
              <w:t>机房南侧、屠宰车间外、厂区东北角分别设置</w:t>
            </w:r>
            <w:r>
              <w:rPr>
                <w:rFonts w:hint="eastAsia"/>
                <w:snapToGrid w:val="0"/>
              </w:rPr>
              <w:t>1</w:t>
            </w:r>
            <w:r>
              <w:rPr>
                <w:rFonts w:hint="eastAsia"/>
                <w:snapToGrid w:val="0"/>
              </w:rPr>
              <w:t>眼跟踪监测井</w:t>
            </w:r>
          </w:p>
        </w:tc>
        <w:tc>
          <w:tcPr>
            <w:tcW w:w="4539" w:type="dxa"/>
            <w:vAlign w:val="center"/>
          </w:tcPr>
          <w:p w14:paraId="2F9B6251" w14:textId="77777777" w:rsidR="00B14D53" w:rsidRDefault="00000000">
            <w:pPr>
              <w:pStyle w:val="afff2"/>
              <w:spacing w:line="0" w:lineRule="atLeast"/>
              <w:jc w:val="both"/>
              <w:rPr>
                <w:rFonts w:eastAsiaTheme="minorEastAsia" w:hAnsi="Times New Roman"/>
                <w:snapToGrid w:val="0"/>
              </w:rPr>
            </w:pPr>
            <w:r>
              <w:rPr>
                <w:rFonts w:hint="eastAsia"/>
                <w:snapToGrid w:val="0"/>
              </w:rPr>
              <w:t>机房南侧、屠宰车间外、厂区东北角分别设置</w:t>
            </w:r>
            <w:r>
              <w:rPr>
                <w:rFonts w:hint="eastAsia"/>
                <w:snapToGrid w:val="0"/>
              </w:rPr>
              <w:t>1</w:t>
            </w:r>
            <w:r>
              <w:rPr>
                <w:rFonts w:hint="eastAsia"/>
                <w:snapToGrid w:val="0"/>
              </w:rPr>
              <w:t>眼跟踪监测井</w:t>
            </w:r>
          </w:p>
        </w:tc>
      </w:tr>
      <w:tr w:rsidR="00B14D53" w14:paraId="6E49EBB4" w14:textId="77777777">
        <w:trPr>
          <w:trHeight w:val="677"/>
        </w:trPr>
        <w:tc>
          <w:tcPr>
            <w:tcW w:w="1024" w:type="dxa"/>
            <w:vMerge/>
            <w:vAlign w:val="center"/>
          </w:tcPr>
          <w:p w14:paraId="5F15BD3E" w14:textId="77777777" w:rsidR="00B14D53" w:rsidRDefault="00B14D53">
            <w:pPr>
              <w:pStyle w:val="afff2"/>
              <w:spacing w:line="0" w:lineRule="atLeast"/>
              <w:rPr>
                <w:rFonts w:eastAsiaTheme="minorEastAsia" w:hAnsi="Times New Roman"/>
                <w:snapToGrid w:val="0"/>
              </w:rPr>
            </w:pPr>
          </w:p>
        </w:tc>
        <w:tc>
          <w:tcPr>
            <w:tcW w:w="1168" w:type="dxa"/>
            <w:vMerge w:val="restart"/>
            <w:vAlign w:val="center"/>
          </w:tcPr>
          <w:p w14:paraId="6009EF3A" w14:textId="77777777" w:rsidR="00B14D53" w:rsidRDefault="00000000">
            <w:pPr>
              <w:pStyle w:val="afff2"/>
              <w:spacing w:line="0" w:lineRule="atLeast"/>
              <w:rPr>
                <w:rFonts w:eastAsiaTheme="minorEastAsia" w:hAnsi="Times New Roman"/>
                <w:snapToGrid w:val="0"/>
              </w:rPr>
            </w:pPr>
            <w:r>
              <w:rPr>
                <w:rFonts w:eastAsiaTheme="minorEastAsia" w:hAnsi="Times New Roman"/>
                <w:snapToGrid w:val="0"/>
              </w:rPr>
              <w:t>地下水污染防治</w:t>
            </w:r>
          </w:p>
        </w:tc>
        <w:tc>
          <w:tcPr>
            <w:tcW w:w="2753" w:type="dxa"/>
            <w:vAlign w:val="center"/>
          </w:tcPr>
          <w:p w14:paraId="782B8000" w14:textId="77777777" w:rsidR="00B14D53" w:rsidRDefault="00000000">
            <w:pPr>
              <w:pStyle w:val="afff2"/>
              <w:spacing w:line="0" w:lineRule="atLeast"/>
              <w:rPr>
                <w:rFonts w:eastAsiaTheme="minorEastAsia" w:hAnsi="Times New Roman"/>
              </w:rPr>
            </w:pPr>
            <w:r>
              <w:rPr>
                <w:rFonts w:eastAsiaTheme="minorEastAsia" w:hint="eastAsia"/>
              </w:rPr>
              <w:t>厂内道路、休息室、</w:t>
            </w:r>
            <w:r>
              <w:rPr>
                <w:rFonts w:eastAsiaTheme="minorEastAsia" w:hint="eastAsia"/>
              </w:rPr>
              <w:t>1#</w:t>
            </w:r>
            <w:r>
              <w:rPr>
                <w:rFonts w:eastAsiaTheme="minorEastAsia" w:hint="eastAsia"/>
              </w:rPr>
              <w:t>辅助间内其余房间、杂物库房、仓库、冷库系统、</w:t>
            </w:r>
            <w:r>
              <w:rPr>
                <w:rFonts w:eastAsiaTheme="minorEastAsia" w:hint="eastAsia"/>
              </w:rPr>
              <w:t>2#</w:t>
            </w:r>
            <w:r>
              <w:rPr>
                <w:rFonts w:eastAsiaTheme="minorEastAsia" w:hint="eastAsia"/>
              </w:rPr>
              <w:t>辅助间</w:t>
            </w:r>
          </w:p>
        </w:tc>
        <w:tc>
          <w:tcPr>
            <w:tcW w:w="1543" w:type="dxa"/>
            <w:vMerge/>
            <w:vAlign w:val="center"/>
          </w:tcPr>
          <w:p w14:paraId="37DA6A79" w14:textId="77777777" w:rsidR="00B14D53" w:rsidRDefault="00B14D53">
            <w:pPr>
              <w:pStyle w:val="afff2"/>
              <w:spacing w:line="0" w:lineRule="atLeast"/>
              <w:rPr>
                <w:rFonts w:eastAsiaTheme="minorEastAsia" w:hAnsi="Times New Roman"/>
                <w:snapToGrid w:val="0"/>
              </w:rPr>
            </w:pPr>
          </w:p>
        </w:tc>
        <w:tc>
          <w:tcPr>
            <w:tcW w:w="3536" w:type="dxa"/>
            <w:vAlign w:val="center"/>
          </w:tcPr>
          <w:p w14:paraId="51338224" w14:textId="77777777" w:rsidR="00B14D53" w:rsidRDefault="00000000">
            <w:pPr>
              <w:pStyle w:val="afff2"/>
              <w:spacing w:line="0" w:lineRule="atLeast"/>
              <w:rPr>
                <w:rFonts w:eastAsiaTheme="minorEastAsia" w:hAnsi="Times New Roman"/>
              </w:rPr>
            </w:pPr>
            <w:r>
              <w:rPr>
                <w:rFonts w:eastAsiaTheme="minorEastAsia" w:hAnsi="Times New Roman"/>
              </w:rPr>
              <w:t>简单防渗</w:t>
            </w:r>
          </w:p>
        </w:tc>
        <w:tc>
          <w:tcPr>
            <w:tcW w:w="4539" w:type="dxa"/>
            <w:vAlign w:val="center"/>
          </w:tcPr>
          <w:p w14:paraId="40148548" w14:textId="77777777" w:rsidR="00B14D53" w:rsidRDefault="00000000">
            <w:pPr>
              <w:pStyle w:val="afff2"/>
              <w:spacing w:line="0" w:lineRule="atLeast"/>
              <w:jc w:val="both"/>
              <w:rPr>
                <w:rFonts w:eastAsiaTheme="minorEastAsia" w:hAnsi="Times New Roman"/>
              </w:rPr>
            </w:pPr>
            <w:r>
              <w:rPr>
                <w:rFonts w:eastAsiaTheme="minorEastAsia"/>
              </w:rPr>
              <w:t>对其地面采用混凝土进行一般地面硬化</w:t>
            </w:r>
          </w:p>
        </w:tc>
      </w:tr>
      <w:tr w:rsidR="00B14D53" w14:paraId="4450BAAC" w14:textId="77777777">
        <w:trPr>
          <w:trHeight w:val="741"/>
        </w:trPr>
        <w:tc>
          <w:tcPr>
            <w:tcW w:w="1024" w:type="dxa"/>
            <w:vMerge/>
            <w:vAlign w:val="center"/>
          </w:tcPr>
          <w:p w14:paraId="24E43C59" w14:textId="77777777" w:rsidR="00B14D53" w:rsidRDefault="00B14D53">
            <w:pPr>
              <w:pStyle w:val="afff2"/>
              <w:spacing w:line="0" w:lineRule="atLeast"/>
              <w:rPr>
                <w:rFonts w:eastAsiaTheme="minorEastAsia" w:hAnsi="Times New Roman"/>
                <w:snapToGrid w:val="0"/>
              </w:rPr>
            </w:pPr>
          </w:p>
        </w:tc>
        <w:tc>
          <w:tcPr>
            <w:tcW w:w="1168" w:type="dxa"/>
            <w:vMerge/>
            <w:vAlign w:val="center"/>
          </w:tcPr>
          <w:p w14:paraId="62EBE1CB" w14:textId="77777777" w:rsidR="00B14D53" w:rsidRDefault="00B14D53">
            <w:pPr>
              <w:pStyle w:val="afff2"/>
              <w:spacing w:line="0" w:lineRule="atLeast"/>
              <w:rPr>
                <w:rFonts w:eastAsiaTheme="minorEastAsia" w:hAnsi="Times New Roman"/>
                <w:snapToGrid w:val="0"/>
              </w:rPr>
            </w:pPr>
          </w:p>
        </w:tc>
        <w:tc>
          <w:tcPr>
            <w:tcW w:w="2753" w:type="dxa"/>
            <w:vAlign w:val="center"/>
          </w:tcPr>
          <w:p w14:paraId="0E42232F" w14:textId="77777777" w:rsidR="00B14D53" w:rsidRDefault="00000000">
            <w:pPr>
              <w:pStyle w:val="afff2"/>
              <w:spacing w:line="0" w:lineRule="atLeast"/>
              <w:rPr>
                <w:rFonts w:eastAsiaTheme="minorEastAsia" w:hAnsi="Times New Roman"/>
              </w:rPr>
            </w:pPr>
            <w:r>
              <w:rPr>
                <w:rFonts w:eastAsiaTheme="minorEastAsia" w:hint="eastAsia"/>
              </w:rPr>
              <w:t>屠宰车间、待宰圈、宰前喷淋间、隔离间、急宰间、污水处理站、事故池</w:t>
            </w:r>
          </w:p>
        </w:tc>
        <w:tc>
          <w:tcPr>
            <w:tcW w:w="1543" w:type="dxa"/>
            <w:vMerge/>
            <w:vAlign w:val="center"/>
          </w:tcPr>
          <w:p w14:paraId="1A4C6DE9" w14:textId="77777777" w:rsidR="00B14D53" w:rsidRDefault="00B14D53">
            <w:pPr>
              <w:pStyle w:val="afff2"/>
              <w:spacing w:line="0" w:lineRule="atLeast"/>
              <w:rPr>
                <w:rFonts w:eastAsiaTheme="minorEastAsia" w:hAnsi="Times New Roman"/>
                <w:snapToGrid w:val="0"/>
              </w:rPr>
            </w:pPr>
          </w:p>
        </w:tc>
        <w:tc>
          <w:tcPr>
            <w:tcW w:w="3536" w:type="dxa"/>
            <w:vAlign w:val="center"/>
          </w:tcPr>
          <w:p w14:paraId="01214117" w14:textId="77777777" w:rsidR="00B14D53" w:rsidRDefault="00000000">
            <w:pPr>
              <w:pStyle w:val="afff2"/>
              <w:spacing w:line="0" w:lineRule="atLeast"/>
              <w:rPr>
                <w:rFonts w:eastAsiaTheme="minorEastAsia" w:hAnsi="Times New Roman"/>
              </w:rPr>
            </w:pPr>
            <w:r>
              <w:rPr>
                <w:rFonts w:eastAsiaTheme="minorEastAsia" w:hAnsi="Times New Roman" w:hint="eastAsia"/>
              </w:rPr>
              <w:t>一般防渗</w:t>
            </w:r>
          </w:p>
        </w:tc>
        <w:tc>
          <w:tcPr>
            <w:tcW w:w="4539" w:type="dxa"/>
            <w:vAlign w:val="center"/>
          </w:tcPr>
          <w:p w14:paraId="73CAC0BB" w14:textId="77777777" w:rsidR="00B14D53" w:rsidRDefault="00000000">
            <w:pPr>
              <w:pStyle w:val="afff2"/>
              <w:spacing w:line="0" w:lineRule="atLeast"/>
              <w:jc w:val="both"/>
              <w:rPr>
                <w:rFonts w:eastAsiaTheme="minorEastAsia" w:hAnsi="Times New Roman"/>
                <w:spacing w:val="-2"/>
                <w:lang w:val="en-GB"/>
              </w:rPr>
            </w:pPr>
            <w:r>
              <w:rPr>
                <w:rFonts w:hint="eastAsia"/>
                <w:lang w:val="en-GB"/>
              </w:rPr>
              <w:t>地面</w:t>
            </w:r>
            <w:r>
              <w:rPr>
                <w:rFonts w:hint="eastAsia"/>
              </w:rPr>
              <w:t>及池体</w:t>
            </w:r>
            <w:r>
              <w:t>可采用抗渗混凝土作为其防渗层，混凝土强度等级不低于</w:t>
            </w:r>
            <w:r>
              <w:t>C25</w:t>
            </w:r>
            <w:r>
              <w:t>，抗渗混凝土等级不低于</w:t>
            </w:r>
            <w:r>
              <w:t>P6</w:t>
            </w:r>
            <w:r>
              <w:t>，厚度不小于</w:t>
            </w:r>
            <w:r>
              <w:t>100mm</w:t>
            </w:r>
          </w:p>
        </w:tc>
      </w:tr>
      <w:tr w:rsidR="00B14D53" w14:paraId="3C5279D4" w14:textId="77777777">
        <w:trPr>
          <w:trHeight w:val="90"/>
        </w:trPr>
        <w:tc>
          <w:tcPr>
            <w:tcW w:w="1024" w:type="dxa"/>
            <w:vMerge/>
            <w:vAlign w:val="center"/>
          </w:tcPr>
          <w:p w14:paraId="68163DB6" w14:textId="77777777" w:rsidR="00B14D53" w:rsidRDefault="00B14D53">
            <w:pPr>
              <w:pStyle w:val="afff2"/>
              <w:spacing w:line="0" w:lineRule="atLeast"/>
              <w:rPr>
                <w:rFonts w:eastAsiaTheme="minorEastAsia" w:hAnsi="Times New Roman"/>
                <w:snapToGrid w:val="0"/>
              </w:rPr>
            </w:pPr>
          </w:p>
        </w:tc>
        <w:tc>
          <w:tcPr>
            <w:tcW w:w="1168" w:type="dxa"/>
            <w:vMerge/>
            <w:vAlign w:val="center"/>
          </w:tcPr>
          <w:p w14:paraId="384A582B" w14:textId="77777777" w:rsidR="00B14D53" w:rsidRDefault="00B14D53">
            <w:pPr>
              <w:pStyle w:val="afff2"/>
              <w:spacing w:line="0" w:lineRule="atLeast"/>
              <w:rPr>
                <w:rFonts w:eastAsiaTheme="minorEastAsia" w:hAnsi="Times New Roman"/>
                <w:snapToGrid w:val="0"/>
              </w:rPr>
            </w:pPr>
          </w:p>
        </w:tc>
        <w:tc>
          <w:tcPr>
            <w:tcW w:w="2753" w:type="dxa"/>
            <w:vAlign w:val="center"/>
          </w:tcPr>
          <w:p w14:paraId="1725366D" w14:textId="77777777" w:rsidR="00B14D53" w:rsidRDefault="00000000">
            <w:pPr>
              <w:pStyle w:val="afff2"/>
              <w:spacing w:line="0" w:lineRule="atLeast"/>
              <w:rPr>
                <w:rFonts w:eastAsiaTheme="minorEastAsia" w:hAnsi="Times New Roman"/>
              </w:rPr>
            </w:pPr>
            <w:r>
              <w:rPr>
                <w:rFonts w:eastAsiaTheme="minorEastAsia" w:hint="eastAsia"/>
              </w:rPr>
              <w:t>危废贮存点</w:t>
            </w:r>
          </w:p>
        </w:tc>
        <w:tc>
          <w:tcPr>
            <w:tcW w:w="1543" w:type="dxa"/>
            <w:vAlign w:val="center"/>
          </w:tcPr>
          <w:p w14:paraId="09A5AE0C" w14:textId="77777777" w:rsidR="00B14D53" w:rsidRDefault="00000000">
            <w:pPr>
              <w:pStyle w:val="afff2"/>
              <w:spacing w:line="0" w:lineRule="atLeast"/>
              <w:rPr>
                <w:rFonts w:eastAsiaTheme="minorEastAsia" w:hAnsi="Times New Roman"/>
                <w:snapToGrid w:val="0"/>
              </w:rPr>
            </w:pPr>
            <w:r>
              <w:rPr>
                <w:rFonts w:eastAsiaTheme="minorEastAsia" w:hAnsi="Times New Roman" w:hint="eastAsia"/>
                <w:snapToGrid w:val="0"/>
              </w:rPr>
              <w:t>--</w:t>
            </w:r>
          </w:p>
        </w:tc>
        <w:tc>
          <w:tcPr>
            <w:tcW w:w="3536" w:type="dxa"/>
            <w:vAlign w:val="center"/>
          </w:tcPr>
          <w:p w14:paraId="3412A98C" w14:textId="77777777" w:rsidR="00B14D53" w:rsidRDefault="00000000">
            <w:pPr>
              <w:pStyle w:val="afff2"/>
              <w:spacing w:line="0" w:lineRule="atLeast"/>
              <w:rPr>
                <w:rFonts w:eastAsiaTheme="minorEastAsia" w:hAnsi="Times New Roman"/>
              </w:rPr>
            </w:pPr>
            <w:r>
              <w:rPr>
                <w:rFonts w:eastAsiaTheme="minorEastAsia" w:hAnsi="Times New Roman"/>
              </w:rPr>
              <w:t>重点防渗</w:t>
            </w:r>
          </w:p>
        </w:tc>
        <w:tc>
          <w:tcPr>
            <w:tcW w:w="4539" w:type="dxa"/>
            <w:vAlign w:val="center"/>
          </w:tcPr>
          <w:p w14:paraId="4AFF39A0" w14:textId="77777777" w:rsidR="00B14D53" w:rsidRDefault="00000000">
            <w:pPr>
              <w:pStyle w:val="afff2"/>
              <w:spacing w:line="0" w:lineRule="atLeast"/>
              <w:rPr>
                <w:rFonts w:eastAsiaTheme="minorEastAsia" w:hAnsi="Times New Roman"/>
                <w:spacing w:val="-6"/>
                <w:lang w:val="en-GB"/>
              </w:rPr>
            </w:pPr>
            <w:r>
              <w:rPr>
                <w:rFonts w:eastAsiaTheme="minorEastAsia" w:hAnsi="Times New Roman"/>
                <w:spacing w:val="-6"/>
              </w:rPr>
              <w:t>医疗废物采用防漏胶袋盛装后置于医疗废物垃圾桶内，按照《危险废物贮存污染控制标准》（</w:t>
            </w:r>
            <w:r>
              <w:rPr>
                <w:rFonts w:eastAsiaTheme="minorEastAsia" w:hAnsi="Times New Roman"/>
                <w:spacing w:val="-6"/>
              </w:rPr>
              <w:t>GB18597-2023</w:t>
            </w:r>
            <w:r>
              <w:rPr>
                <w:rFonts w:eastAsiaTheme="minorEastAsia" w:hAnsi="Times New Roman"/>
                <w:spacing w:val="-6"/>
              </w:rPr>
              <w:t>）要求，贮存设施地面与裙脚应采取表面防渗措施；表面防渗材料应与所接触的物料或污染物相容，可采用抗渗混凝土、高密度聚乙烯膜、钠基膨润土防水毯或其他防渗性能等效的材料</w:t>
            </w:r>
          </w:p>
        </w:tc>
      </w:tr>
    </w:tbl>
    <w:p w14:paraId="43189787" w14:textId="77777777" w:rsidR="00B14D53" w:rsidRDefault="00B14D53">
      <w:pPr>
        <w:spacing w:line="360" w:lineRule="auto"/>
        <w:contextualSpacing/>
        <w:jc w:val="center"/>
        <w:rPr>
          <w:rFonts w:eastAsiaTheme="minorEastAsia"/>
          <w:b/>
          <w:snapToGrid w:val="0"/>
          <w:kern w:val="0"/>
          <w:sz w:val="24"/>
          <w:lang w:val="zh-CN"/>
        </w:rPr>
      </w:pPr>
    </w:p>
    <w:p w14:paraId="2179E3E5" w14:textId="77777777" w:rsidR="00B14D53" w:rsidRDefault="00000000">
      <w:pPr>
        <w:jc w:val="center"/>
        <w:rPr>
          <w:b/>
          <w:bCs/>
        </w:rPr>
      </w:pPr>
      <w:r>
        <w:rPr>
          <w:rFonts w:hint="eastAsia"/>
          <w:b/>
          <w:bCs/>
          <w:lang w:val="zh-CN"/>
        </w:rPr>
        <w:t>续表</w:t>
      </w:r>
      <w:r>
        <w:rPr>
          <w:rFonts w:hint="eastAsia"/>
          <w:b/>
          <w:bCs/>
          <w:lang w:val="zh-CN"/>
        </w:rPr>
        <w:t xml:space="preserve">8-3-1 </w:t>
      </w:r>
      <w:r>
        <w:rPr>
          <w:rFonts w:hint="eastAsia"/>
          <w:b/>
          <w:bCs/>
          <w:lang w:val="zh-CN"/>
        </w:rPr>
        <w:t>建设项目竣工环境保护验收一览表</w:t>
      </w:r>
    </w:p>
    <w:tbl>
      <w:tblPr>
        <w:tblW w:w="5137"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11"/>
        <w:gridCol w:w="1152"/>
        <w:gridCol w:w="1910"/>
        <w:gridCol w:w="2321"/>
        <w:gridCol w:w="3531"/>
        <w:gridCol w:w="4415"/>
      </w:tblGrid>
      <w:tr w:rsidR="00B14D53" w14:paraId="74E63154" w14:textId="77777777">
        <w:trPr>
          <w:trHeight w:val="90"/>
        </w:trPr>
        <w:tc>
          <w:tcPr>
            <w:tcW w:w="1024" w:type="dxa"/>
            <w:vMerge w:val="restart"/>
            <w:vAlign w:val="center"/>
          </w:tcPr>
          <w:p w14:paraId="5C289777"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废气</w:t>
            </w:r>
          </w:p>
        </w:tc>
        <w:tc>
          <w:tcPr>
            <w:tcW w:w="1168" w:type="dxa"/>
            <w:vAlign w:val="center"/>
          </w:tcPr>
          <w:p w14:paraId="1C4790D1"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恶臭</w:t>
            </w:r>
          </w:p>
        </w:tc>
        <w:tc>
          <w:tcPr>
            <w:tcW w:w="1939" w:type="dxa"/>
            <w:vAlign w:val="center"/>
          </w:tcPr>
          <w:p w14:paraId="008B5A93" w14:textId="77777777" w:rsidR="00B14D53" w:rsidRDefault="00000000">
            <w:pPr>
              <w:pStyle w:val="afff2"/>
              <w:spacing w:line="240" w:lineRule="auto"/>
              <w:rPr>
                <w:rFonts w:eastAsiaTheme="minorEastAsia" w:hint="eastAsia"/>
              </w:rPr>
            </w:pPr>
            <w:r>
              <w:rPr>
                <w:rFonts w:eastAsiaTheme="minorEastAsia" w:hint="eastAsia"/>
              </w:rPr>
              <w:t>2</w:t>
            </w:r>
            <w:r>
              <w:rPr>
                <w:rFonts w:eastAsiaTheme="minorEastAsia" w:hint="eastAsia"/>
              </w:rPr>
              <w:t>间待宰圈</w:t>
            </w:r>
          </w:p>
        </w:tc>
        <w:tc>
          <w:tcPr>
            <w:tcW w:w="2357" w:type="dxa"/>
            <w:vAlign w:val="center"/>
          </w:tcPr>
          <w:p w14:paraId="7D1E792A" w14:textId="77777777" w:rsidR="00B14D53" w:rsidRDefault="00000000">
            <w:pPr>
              <w:pStyle w:val="afff2"/>
              <w:spacing w:line="240" w:lineRule="auto"/>
              <w:rPr>
                <w:rFonts w:eastAsiaTheme="minorEastAsia" w:hAnsi="Times New Roman"/>
                <w:snapToGrid w:val="0"/>
              </w:rPr>
            </w:pPr>
            <w:r>
              <w:rPr>
                <w:rFonts w:hAnsi="Times New Roman"/>
                <w:snapToGrid w:val="0"/>
              </w:rPr>
              <w:t>H</w:t>
            </w:r>
            <w:r>
              <w:rPr>
                <w:rFonts w:hAnsi="Times New Roman"/>
                <w:snapToGrid w:val="0"/>
                <w:vertAlign w:val="subscript"/>
              </w:rPr>
              <w:t>2</w:t>
            </w:r>
            <w:r>
              <w:rPr>
                <w:rFonts w:hAnsi="Times New Roman"/>
                <w:snapToGrid w:val="0"/>
              </w:rPr>
              <w:t>S</w:t>
            </w:r>
            <w:r>
              <w:rPr>
                <w:rFonts w:hAnsi="Times New Roman"/>
                <w:snapToGrid w:val="0"/>
              </w:rPr>
              <w:t>、</w:t>
            </w:r>
            <w:r>
              <w:rPr>
                <w:rFonts w:hAnsi="Times New Roman"/>
                <w:snapToGrid w:val="0"/>
              </w:rPr>
              <w:t>NH</w:t>
            </w:r>
            <w:r>
              <w:rPr>
                <w:rFonts w:hAnsi="Times New Roman"/>
                <w:snapToGrid w:val="0"/>
                <w:vertAlign w:val="subscript"/>
              </w:rPr>
              <w:t>3</w:t>
            </w:r>
            <w:r>
              <w:rPr>
                <w:rFonts w:hAnsi="Times New Roman"/>
                <w:snapToGrid w:val="0"/>
              </w:rPr>
              <w:t>、臭气浓度</w:t>
            </w:r>
          </w:p>
        </w:tc>
        <w:tc>
          <w:tcPr>
            <w:tcW w:w="3588" w:type="dxa"/>
            <w:vAlign w:val="center"/>
          </w:tcPr>
          <w:p w14:paraId="151B3034" w14:textId="77777777" w:rsidR="00B14D53" w:rsidRDefault="00000000">
            <w:pPr>
              <w:pStyle w:val="afff2"/>
              <w:spacing w:line="240" w:lineRule="auto"/>
              <w:rPr>
                <w:rFonts w:eastAsiaTheme="minorEastAsia" w:hAnsi="Times New Roman"/>
              </w:rPr>
            </w:pPr>
            <w:r>
              <w:rPr>
                <w:rFonts w:hAnsi="Times New Roman"/>
                <w:snapToGrid w:val="0"/>
              </w:rPr>
              <w:t>及时清扫，并采取投加或喷洒除臭剂</w:t>
            </w:r>
          </w:p>
        </w:tc>
        <w:tc>
          <w:tcPr>
            <w:tcW w:w="4487" w:type="dxa"/>
            <w:vMerge w:val="restart"/>
            <w:vAlign w:val="center"/>
          </w:tcPr>
          <w:p w14:paraId="4F150824" w14:textId="77777777" w:rsidR="00B14D53" w:rsidRDefault="00000000">
            <w:pPr>
              <w:pStyle w:val="afff2"/>
              <w:spacing w:line="240" w:lineRule="auto"/>
              <w:rPr>
                <w:rFonts w:eastAsiaTheme="minorEastAsia" w:hAnsi="Times New Roman"/>
                <w:spacing w:val="-6"/>
              </w:rPr>
            </w:pPr>
            <w:r>
              <w:rPr>
                <w:rFonts w:hAnsi="Times New Roman"/>
              </w:rPr>
              <w:t>《恶臭污染物排放标准》（</w:t>
            </w:r>
            <w:r>
              <w:rPr>
                <w:rFonts w:hAnsi="Times New Roman"/>
              </w:rPr>
              <w:t>GB14554-1993</w:t>
            </w:r>
            <w:r>
              <w:rPr>
                <w:rFonts w:hAnsi="Times New Roman"/>
              </w:rPr>
              <w:t>）表</w:t>
            </w:r>
            <w:r>
              <w:rPr>
                <w:rFonts w:hAnsi="Times New Roman"/>
              </w:rPr>
              <w:t>1</w:t>
            </w:r>
            <w:r>
              <w:rPr>
                <w:rFonts w:hAnsi="Times New Roman"/>
              </w:rPr>
              <w:t>中二级新改扩建标准</w:t>
            </w:r>
          </w:p>
        </w:tc>
      </w:tr>
      <w:tr w:rsidR="00B14D53" w14:paraId="193D0AE7" w14:textId="77777777">
        <w:trPr>
          <w:trHeight w:val="90"/>
        </w:trPr>
        <w:tc>
          <w:tcPr>
            <w:tcW w:w="1024" w:type="dxa"/>
            <w:vMerge/>
            <w:vAlign w:val="center"/>
          </w:tcPr>
          <w:p w14:paraId="3DFF6511" w14:textId="77777777" w:rsidR="00B14D53" w:rsidRDefault="00B14D53">
            <w:pPr>
              <w:pStyle w:val="afff2"/>
              <w:spacing w:line="240" w:lineRule="auto"/>
              <w:rPr>
                <w:rFonts w:eastAsiaTheme="minorEastAsia" w:hAnsi="Times New Roman"/>
                <w:snapToGrid w:val="0"/>
              </w:rPr>
            </w:pPr>
          </w:p>
        </w:tc>
        <w:tc>
          <w:tcPr>
            <w:tcW w:w="1168" w:type="dxa"/>
            <w:vAlign w:val="center"/>
          </w:tcPr>
          <w:p w14:paraId="09D51944" w14:textId="77777777" w:rsidR="00B14D53" w:rsidRDefault="00000000">
            <w:pPr>
              <w:jc w:val="center"/>
              <w:rPr>
                <w:rFonts w:eastAsiaTheme="minorEastAsia"/>
                <w:snapToGrid w:val="0"/>
              </w:rPr>
            </w:pPr>
            <w:r>
              <w:rPr>
                <w:rFonts w:eastAsiaTheme="minorEastAsia"/>
                <w:snapToGrid w:val="0"/>
              </w:rPr>
              <w:t>恶臭</w:t>
            </w:r>
          </w:p>
        </w:tc>
        <w:tc>
          <w:tcPr>
            <w:tcW w:w="1939" w:type="dxa"/>
            <w:vAlign w:val="center"/>
          </w:tcPr>
          <w:p w14:paraId="4F37023F" w14:textId="77777777" w:rsidR="00B14D53" w:rsidRDefault="00000000">
            <w:pPr>
              <w:pStyle w:val="afff2"/>
              <w:spacing w:line="240" w:lineRule="auto"/>
              <w:rPr>
                <w:rFonts w:eastAsiaTheme="minorEastAsia" w:hint="eastAsia"/>
              </w:rPr>
            </w:pPr>
            <w:r>
              <w:rPr>
                <w:rFonts w:eastAsiaTheme="minorEastAsia" w:hint="eastAsia"/>
              </w:rPr>
              <w:t>屠宰车间</w:t>
            </w:r>
          </w:p>
        </w:tc>
        <w:tc>
          <w:tcPr>
            <w:tcW w:w="2357" w:type="dxa"/>
            <w:vAlign w:val="center"/>
          </w:tcPr>
          <w:p w14:paraId="0C5DFBBD" w14:textId="77777777" w:rsidR="00B14D53" w:rsidRDefault="00000000">
            <w:pPr>
              <w:pStyle w:val="afff2"/>
              <w:spacing w:line="240" w:lineRule="auto"/>
              <w:rPr>
                <w:rFonts w:eastAsiaTheme="minorEastAsia" w:hAnsi="Times New Roman"/>
                <w:snapToGrid w:val="0"/>
              </w:rPr>
            </w:pPr>
            <w:r>
              <w:rPr>
                <w:rFonts w:hAnsi="Times New Roman"/>
                <w:snapToGrid w:val="0"/>
              </w:rPr>
              <w:t>H</w:t>
            </w:r>
            <w:r>
              <w:rPr>
                <w:rFonts w:hAnsi="Times New Roman"/>
                <w:snapToGrid w:val="0"/>
                <w:vertAlign w:val="subscript"/>
              </w:rPr>
              <w:t>2</w:t>
            </w:r>
            <w:r>
              <w:rPr>
                <w:rFonts w:hAnsi="Times New Roman"/>
                <w:snapToGrid w:val="0"/>
              </w:rPr>
              <w:t>S</w:t>
            </w:r>
            <w:r>
              <w:rPr>
                <w:rFonts w:hAnsi="Times New Roman"/>
                <w:snapToGrid w:val="0"/>
              </w:rPr>
              <w:t>、</w:t>
            </w:r>
            <w:r>
              <w:rPr>
                <w:rFonts w:hAnsi="Times New Roman"/>
                <w:snapToGrid w:val="0"/>
              </w:rPr>
              <w:t>NH</w:t>
            </w:r>
            <w:r>
              <w:rPr>
                <w:rFonts w:hAnsi="Times New Roman"/>
                <w:snapToGrid w:val="0"/>
                <w:vertAlign w:val="subscript"/>
              </w:rPr>
              <w:t>3</w:t>
            </w:r>
            <w:r>
              <w:rPr>
                <w:rFonts w:hAnsi="Times New Roman"/>
                <w:snapToGrid w:val="0"/>
              </w:rPr>
              <w:t>、臭气浓度</w:t>
            </w:r>
          </w:p>
        </w:tc>
        <w:tc>
          <w:tcPr>
            <w:tcW w:w="3588" w:type="dxa"/>
            <w:vAlign w:val="center"/>
          </w:tcPr>
          <w:p w14:paraId="0C8F34C4" w14:textId="77777777" w:rsidR="00B14D53" w:rsidRDefault="00000000">
            <w:pPr>
              <w:jc w:val="center"/>
              <w:rPr>
                <w:rFonts w:eastAsiaTheme="minorEastAsia"/>
              </w:rPr>
            </w:pPr>
            <w:r>
              <w:rPr>
                <w:snapToGrid w:val="0"/>
              </w:rPr>
              <w:t>及时清扫</w:t>
            </w:r>
          </w:p>
        </w:tc>
        <w:tc>
          <w:tcPr>
            <w:tcW w:w="4487" w:type="dxa"/>
            <w:vMerge/>
            <w:vAlign w:val="center"/>
          </w:tcPr>
          <w:p w14:paraId="6CE7F208" w14:textId="77777777" w:rsidR="00B14D53" w:rsidRDefault="00B14D53">
            <w:pPr>
              <w:pStyle w:val="afff2"/>
              <w:spacing w:line="240" w:lineRule="auto"/>
              <w:rPr>
                <w:rFonts w:eastAsiaTheme="minorEastAsia" w:hAnsi="Times New Roman"/>
                <w:spacing w:val="-6"/>
              </w:rPr>
            </w:pPr>
          </w:p>
        </w:tc>
      </w:tr>
      <w:tr w:rsidR="00B14D53" w14:paraId="120E1064" w14:textId="77777777">
        <w:trPr>
          <w:trHeight w:val="90"/>
        </w:trPr>
        <w:tc>
          <w:tcPr>
            <w:tcW w:w="1024" w:type="dxa"/>
            <w:vMerge/>
            <w:vAlign w:val="center"/>
          </w:tcPr>
          <w:p w14:paraId="55D80C45" w14:textId="77777777" w:rsidR="00B14D53" w:rsidRDefault="00B14D53">
            <w:pPr>
              <w:pStyle w:val="afff2"/>
              <w:spacing w:line="240" w:lineRule="auto"/>
              <w:rPr>
                <w:rFonts w:eastAsiaTheme="minorEastAsia" w:hAnsi="Times New Roman"/>
                <w:snapToGrid w:val="0"/>
              </w:rPr>
            </w:pPr>
          </w:p>
        </w:tc>
        <w:tc>
          <w:tcPr>
            <w:tcW w:w="1168" w:type="dxa"/>
            <w:vAlign w:val="center"/>
          </w:tcPr>
          <w:p w14:paraId="5C5B906D" w14:textId="77777777" w:rsidR="00B14D53" w:rsidRDefault="00000000">
            <w:pPr>
              <w:jc w:val="center"/>
              <w:rPr>
                <w:rFonts w:eastAsiaTheme="minorEastAsia"/>
                <w:snapToGrid w:val="0"/>
              </w:rPr>
            </w:pPr>
            <w:r>
              <w:rPr>
                <w:rFonts w:eastAsiaTheme="minorEastAsia"/>
                <w:snapToGrid w:val="0"/>
              </w:rPr>
              <w:t>恶臭</w:t>
            </w:r>
          </w:p>
        </w:tc>
        <w:tc>
          <w:tcPr>
            <w:tcW w:w="1939" w:type="dxa"/>
            <w:vAlign w:val="center"/>
          </w:tcPr>
          <w:p w14:paraId="3FC08BE0" w14:textId="77777777" w:rsidR="00B14D53" w:rsidRDefault="00000000">
            <w:pPr>
              <w:pStyle w:val="afff2"/>
              <w:spacing w:line="240" w:lineRule="auto"/>
              <w:rPr>
                <w:rFonts w:eastAsiaTheme="minorEastAsia" w:hint="eastAsia"/>
              </w:rPr>
            </w:pPr>
            <w:r>
              <w:rPr>
                <w:rFonts w:eastAsiaTheme="minorEastAsia" w:hint="eastAsia"/>
              </w:rPr>
              <w:t>污水处理站</w:t>
            </w:r>
          </w:p>
        </w:tc>
        <w:tc>
          <w:tcPr>
            <w:tcW w:w="2357" w:type="dxa"/>
            <w:vAlign w:val="center"/>
          </w:tcPr>
          <w:p w14:paraId="58C2E7E4" w14:textId="77777777" w:rsidR="00B14D53" w:rsidRDefault="00000000">
            <w:pPr>
              <w:pStyle w:val="afff2"/>
              <w:spacing w:line="240" w:lineRule="auto"/>
              <w:rPr>
                <w:rFonts w:eastAsiaTheme="minorEastAsia" w:hAnsi="Times New Roman"/>
                <w:snapToGrid w:val="0"/>
              </w:rPr>
            </w:pPr>
            <w:r>
              <w:rPr>
                <w:rFonts w:hAnsi="Times New Roman"/>
                <w:snapToGrid w:val="0"/>
              </w:rPr>
              <w:t>H</w:t>
            </w:r>
            <w:r>
              <w:rPr>
                <w:rFonts w:hAnsi="Times New Roman"/>
                <w:snapToGrid w:val="0"/>
                <w:vertAlign w:val="subscript"/>
              </w:rPr>
              <w:t>2</w:t>
            </w:r>
            <w:r>
              <w:rPr>
                <w:rFonts w:hAnsi="Times New Roman"/>
                <w:snapToGrid w:val="0"/>
              </w:rPr>
              <w:t>S</w:t>
            </w:r>
            <w:r>
              <w:rPr>
                <w:rFonts w:hAnsi="Times New Roman"/>
                <w:snapToGrid w:val="0"/>
              </w:rPr>
              <w:t>、</w:t>
            </w:r>
            <w:r>
              <w:rPr>
                <w:rFonts w:hAnsi="Times New Roman"/>
                <w:snapToGrid w:val="0"/>
              </w:rPr>
              <w:t>NH</w:t>
            </w:r>
            <w:r>
              <w:rPr>
                <w:rFonts w:hAnsi="Times New Roman"/>
                <w:snapToGrid w:val="0"/>
                <w:vertAlign w:val="subscript"/>
              </w:rPr>
              <w:t>3</w:t>
            </w:r>
            <w:r>
              <w:rPr>
                <w:rFonts w:hAnsi="Times New Roman"/>
                <w:snapToGrid w:val="0"/>
              </w:rPr>
              <w:t>、臭气浓度</w:t>
            </w:r>
          </w:p>
        </w:tc>
        <w:tc>
          <w:tcPr>
            <w:tcW w:w="3588" w:type="dxa"/>
            <w:vAlign w:val="center"/>
          </w:tcPr>
          <w:p w14:paraId="4846F5A9" w14:textId="77777777" w:rsidR="00B14D53" w:rsidRDefault="00000000">
            <w:pPr>
              <w:jc w:val="center"/>
              <w:rPr>
                <w:rFonts w:eastAsiaTheme="minorEastAsia"/>
              </w:rPr>
            </w:pPr>
            <w:r>
              <w:rPr>
                <w:rFonts w:hint="eastAsia"/>
                <w:snapToGrid w:val="0"/>
              </w:rPr>
              <w:t>污水处理站封闭</w:t>
            </w:r>
          </w:p>
        </w:tc>
        <w:tc>
          <w:tcPr>
            <w:tcW w:w="4487" w:type="dxa"/>
            <w:vMerge/>
            <w:vAlign w:val="center"/>
          </w:tcPr>
          <w:p w14:paraId="654B3A72" w14:textId="77777777" w:rsidR="00B14D53" w:rsidRDefault="00B14D53">
            <w:pPr>
              <w:pStyle w:val="afff2"/>
              <w:spacing w:line="240" w:lineRule="auto"/>
              <w:rPr>
                <w:rFonts w:eastAsiaTheme="minorEastAsia" w:hAnsi="Times New Roman"/>
                <w:spacing w:val="-6"/>
              </w:rPr>
            </w:pPr>
          </w:p>
        </w:tc>
      </w:tr>
      <w:tr w:rsidR="00B14D53" w14:paraId="6B57C934" w14:textId="77777777">
        <w:trPr>
          <w:trHeight w:val="90"/>
        </w:trPr>
        <w:tc>
          <w:tcPr>
            <w:tcW w:w="1024" w:type="dxa"/>
            <w:vMerge/>
            <w:vAlign w:val="center"/>
          </w:tcPr>
          <w:p w14:paraId="40979229" w14:textId="77777777" w:rsidR="00B14D53" w:rsidRDefault="00B14D53">
            <w:pPr>
              <w:pStyle w:val="afff2"/>
              <w:spacing w:line="240" w:lineRule="auto"/>
              <w:rPr>
                <w:rFonts w:eastAsiaTheme="minorEastAsia" w:hAnsi="Times New Roman"/>
                <w:snapToGrid w:val="0"/>
              </w:rPr>
            </w:pPr>
          </w:p>
        </w:tc>
        <w:tc>
          <w:tcPr>
            <w:tcW w:w="1168" w:type="dxa"/>
            <w:vAlign w:val="center"/>
          </w:tcPr>
          <w:p w14:paraId="11CF13D3" w14:textId="77777777" w:rsidR="00B14D53" w:rsidRDefault="00000000">
            <w:pPr>
              <w:jc w:val="center"/>
              <w:rPr>
                <w:rFonts w:eastAsiaTheme="minorEastAsia"/>
                <w:snapToGrid w:val="0"/>
              </w:rPr>
            </w:pPr>
            <w:r>
              <w:rPr>
                <w:rFonts w:eastAsiaTheme="minorEastAsia"/>
                <w:snapToGrid w:val="0"/>
              </w:rPr>
              <w:t>恶臭</w:t>
            </w:r>
          </w:p>
        </w:tc>
        <w:tc>
          <w:tcPr>
            <w:tcW w:w="1939" w:type="dxa"/>
            <w:vAlign w:val="center"/>
          </w:tcPr>
          <w:p w14:paraId="503852D4" w14:textId="77777777" w:rsidR="00B14D53" w:rsidRDefault="00000000">
            <w:pPr>
              <w:pStyle w:val="afff2"/>
              <w:spacing w:line="240" w:lineRule="auto"/>
              <w:rPr>
                <w:rFonts w:eastAsiaTheme="minorEastAsia" w:hint="eastAsia"/>
              </w:rPr>
            </w:pPr>
            <w:r>
              <w:rPr>
                <w:rFonts w:eastAsiaTheme="minorEastAsia" w:hint="eastAsia"/>
              </w:rPr>
              <w:t>1#</w:t>
            </w:r>
            <w:r>
              <w:rPr>
                <w:rFonts w:eastAsiaTheme="minorEastAsia" w:hint="eastAsia"/>
              </w:rPr>
              <w:t>待宰圈</w:t>
            </w:r>
          </w:p>
        </w:tc>
        <w:tc>
          <w:tcPr>
            <w:tcW w:w="2357" w:type="dxa"/>
            <w:vAlign w:val="center"/>
          </w:tcPr>
          <w:p w14:paraId="1BCE6C4E" w14:textId="77777777" w:rsidR="00B14D53" w:rsidRDefault="00000000">
            <w:pPr>
              <w:pStyle w:val="afff2"/>
              <w:spacing w:line="240" w:lineRule="auto"/>
              <w:rPr>
                <w:rFonts w:eastAsiaTheme="minorEastAsia" w:hAnsi="Times New Roman"/>
                <w:snapToGrid w:val="0"/>
              </w:rPr>
            </w:pPr>
            <w:r>
              <w:rPr>
                <w:rFonts w:hAnsi="Times New Roman"/>
                <w:snapToGrid w:val="0"/>
              </w:rPr>
              <w:t>H</w:t>
            </w:r>
            <w:r>
              <w:rPr>
                <w:rFonts w:hAnsi="Times New Roman"/>
                <w:snapToGrid w:val="0"/>
                <w:vertAlign w:val="subscript"/>
              </w:rPr>
              <w:t>2</w:t>
            </w:r>
            <w:r>
              <w:rPr>
                <w:rFonts w:hAnsi="Times New Roman"/>
                <w:snapToGrid w:val="0"/>
              </w:rPr>
              <w:t>S</w:t>
            </w:r>
            <w:r>
              <w:rPr>
                <w:rFonts w:hAnsi="Times New Roman"/>
                <w:snapToGrid w:val="0"/>
              </w:rPr>
              <w:t>、</w:t>
            </w:r>
            <w:r>
              <w:rPr>
                <w:rFonts w:hAnsi="Times New Roman"/>
                <w:snapToGrid w:val="0"/>
              </w:rPr>
              <w:t>NH</w:t>
            </w:r>
            <w:r>
              <w:rPr>
                <w:rFonts w:hAnsi="Times New Roman"/>
                <w:snapToGrid w:val="0"/>
                <w:vertAlign w:val="subscript"/>
              </w:rPr>
              <w:t>3</w:t>
            </w:r>
            <w:r>
              <w:rPr>
                <w:rFonts w:hAnsi="Times New Roman"/>
                <w:snapToGrid w:val="0"/>
              </w:rPr>
              <w:t>、臭气浓度</w:t>
            </w:r>
          </w:p>
        </w:tc>
        <w:tc>
          <w:tcPr>
            <w:tcW w:w="3588" w:type="dxa"/>
            <w:vAlign w:val="center"/>
          </w:tcPr>
          <w:p w14:paraId="591DA548" w14:textId="77777777" w:rsidR="00B14D53" w:rsidRDefault="00000000">
            <w:pPr>
              <w:pStyle w:val="afff2"/>
              <w:spacing w:line="240" w:lineRule="auto"/>
              <w:rPr>
                <w:rFonts w:eastAsiaTheme="minorEastAsia" w:hAnsi="Times New Roman"/>
              </w:rPr>
            </w:pPr>
            <w:r>
              <w:rPr>
                <w:rFonts w:hAnsi="Times New Roman" w:hint="eastAsia"/>
                <w:snapToGrid w:val="0"/>
              </w:rPr>
              <w:t>待宰圈</w:t>
            </w:r>
            <w:r>
              <w:rPr>
                <w:rFonts w:hAnsi="Times New Roman"/>
                <w:snapToGrid w:val="0"/>
              </w:rPr>
              <w:t>封闭，</w:t>
            </w:r>
            <w:r>
              <w:rPr>
                <w:rFonts w:hAnsi="Times New Roman"/>
                <w:bCs/>
                <w:snapToGrid w:val="0"/>
              </w:rPr>
              <w:t>及时清扫，并投加或喷洒除臭剂，产生的恶臭气体经</w:t>
            </w:r>
            <w:r>
              <w:rPr>
                <w:rFonts w:hAnsi="Times New Roman" w:hint="eastAsia"/>
                <w:bCs/>
                <w:snapToGrid w:val="0"/>
              </w:rPr>
              <w:t>引风机集中收集</w:t>
            </w:r>
            <w:r>
              <w:rPr>
                <w:rFonts w:hAnsi="Times New Roman"/>
                <w:bCs/>
                <w:snapToGrid w:val="0"/>
              </w:rPr>
              <w:t>后，通过活性炭吸附净化后由</w:t>
            </w:r>
            <w:r>
              <w:rPr>
                <w:rFonts w:hAnsi="Times New Roman" w:hint="eastAsia"/>
                <w:bCs/>
                <w:snapToGrid w:val="0"/>
              </w:rPr>
              <w:t>1</w:t>
            </w:r>
            <w:r>
              <w:rPr>
                <w:rFonts w:hAnsi="Times New Roman" w:hint="eastAsia"/>
                <w:bCs/>
                <w:snapToGrid w:val="0"/>
              </w:rPr>
              <w:t>根</w:t>
            </w:r>
            <w:r>
              <w:rPr>
                <w:rFonts w:hAnsi="Times New Roman"/>
                <w:bCs/>
                <w:snapToGrid w:val="0"/>
              </w:rPr>
              <w:t>15m</w:t>
            </w:r>
            <w:r>
              <w:rPr>
                <w:rFonts w:hAnsi="Times New Roman"/>
                <w:bCs/>
                <w:snapToGrid w:val="0"/>
              </w:rPr>
              <w:t>高排气筒（</w:t>
            </w:r>
            <w:r>
              <w:rPr>
                <w:rFonts w:hAnsi="Times New Roman"/>
                <w:bCs/>
                <w:snapToGrid w:val="0"/>
              </w:rPr>
              <w:t>DA00</w:t>
            </w:r>
            <w:r>
              <w:rPr>
                <w:rFonts w:hAnsi="Times New Roman" w:hint="eastAsia"/>
                <w:bCs/>
                <w:snapToGrid w:val="0"/>
              </w:rPr>
              <w:t>1</w:t>
            </w:r>
            <w:r>
              <w:rPr>
                <w:rFonts w:hAnsi="Times New Roman"/>
                <w:bCs/>
                <w:snapToGrid w:val="0"/>
              </w:rPr>
              <w:t>）排放</w:t>
            </w:r>
          </w:p>
        </w:tc>
        <w:tc>
          <w:tcPr>
            <w:tcW w:w="4487" w:type="dxa"/>
            <w:vMerge w:val="restart"/>
            <w:vAlign w:val="center"/>
          </w:tcPr>
          <w:p w14:paraId="615A96CB" w14:textId="77777777" w:rsidR="00B14D53" w:rsidRDefault="00000000">
            <w:pPr>
              <w:pStyle w:val="afff2"/>
              <w:spacing w:line="240" w:lineRule="auto"/>
              <w:rPr>
                <w:rFonts w:eastAsiaTheme="minorEastAsia" w:hAnsi="Times New Roman"/>
                <w:spacing w:val="-6"/>
              </w:rPr>
            </w:pPr>
            <w:r>
              <w:rPr>
                <w:rFonts w:eastAsiaTheme="minorEastAsia" w:hAnsi="Times New Roman" w:hint="eastAsia"/>
                <w:spacing w:val="-6"/>
              </w:rPr>
              <w:t>污染物排放</w:t>
            </w:r>
            <w:r>
              <w:rPr>
                <w:rFonts w:eastAsiaTheme="minorEastAsia" w:hAnsi="Times New Roman"/>
                <w:spacing w:val="-6"/>
              </w:rPr>
              <w:t>满足《恶臭污染物排放标准》（</w:t>
            </w:r>
            <w:r>
              <w:rPr>
                <w:rFonts w:eastAsiaTheme="minorEastAsia" w:hAnsi="Times New Roman"/>
                <w:spacing w:val="-6"/>
              </w:rPr>
              <w:t>GB14554-93</w:t>
            </w:r>
            <w:r>
              <w:rPr>
                <w:rFonts w:eastAsiaTheme="minorEastAsia" w:hAnsi="Times New Roman"/>
                <w:spacing w:val="-6"/>
              </w:rPr>
              <w:t>）</w:t>
            </w:r>
            <w:r>
              <w:rPr>
                <w:rFonts w:eastAsiaTheme="minorEastAsia" w:hAnsi="Times New Roman" w:hint="eastAsia"/>
                <w:spacing w:val="-6"/>
              </w:rPr>
              <w:t>表</w:t>
            </w:r>
            <w:r>
              <w:rPr>
                <w:rFonts w:eastAsiaTheme="minorEastAsia" w:hAnsi="Times New Roman" w:hint="eastAsia"/>
                <w:spacing w:val="-6"/>
              </w:rPr>
              <w:t>2</w:t>
            </w:r>
            <w:r>
              <w:rPr>
                <w:rFonts w:eastAsiaTheme="minorEastAsia" w:hAnsi="Times New Roman" w:hint="eastAsia"/>
                <w:spacing w:val="-6"/>
              </w:rPr>
              <w:t>标准</w:t>
            </w:r>
          </w:p>
        </w:tc>
      </w:tr>
      <w:tr w:rsidR="00B14D53" w14:paraId="547C6EEC" w14:textId="77777777">
        <w:trPr>
          <w:trHeight w:val="90"/>
        </w:trPr>
        <w:tc>
          <w:tcPr>
            <w:tcW w:w="1024" w:type="dxa"/>
            <w:vMerge/>
            <w:vAlign w:val="center"/>
          </w:tcPr>
          <w:p w14:paraId="21CEB977" w14:textId="77777777" w:rsidR="00B14D53" w:rsidRDefault="00B14D53">
            <w:pPr>
              <w:pStyle w:val="afff2"/>
              <w:spacing w:line="240" w:lineRule="auto"/>
              <w:rPr>
                <w:rFonts w:eastAsiaTheme="minorEastAsia" w:hAnsi="Times New Roman"/>
                <w:snapToGrid w:val="0"/>
              </w:rPr>
            </w:pPr>
          </w:p>
        </w:tc>
        <w:tc>
          <w:tcPr>
            <w:tcW w:w="1168" w:type="dxa"/>
            <w:vAlign w:val="center"/>
          </w:tcPr>
          <w:p w14:paraId="12ADE186" w14:textId="77777777" w:rsidR="00B14D53" w:rsidRDefault="00000000">
            <w:pPr>
              <w:jc w:val="center"/>
              <w:rPr>
                <w:rFonts w:eastAsiaTheme="minorEastAsia"/>
                <w:snapToGrid w:val="0"/>
              </w:rPr>
            </w:pPr>
            <w:r>
              <w:rPr>
                <w:rFonts w:eastAsiaTheme="minorEastAsia"/>
                <w:snapToGrid w:val="0"/>
              </w:rPr>
              <w:t>恶臭</w:t>
            </w:r>
          </w:p>
        </w:tc>
        <w:tc>
          <w:tcPr>
            <w:tcW w:w="1939" w:type="dxa"/>
            <w:vAlign w:val="center"/>
          </w:tcPr>
          <w:p w14:paraId="33B19C9C" w14:textId="77777777" w:rsidR="00B14D53" w:rsidRDefault="00000000">
            <w:pPr>
              <w:pStyle w:val="afff2"/>
              <w:spacing w:line="240" w:lineRule="auto"/>
              <w:rPr>
                <w:rFonts w:eastAsiaTheme="minorEastAsia" w:hint="eastAsia"/>
              </w:rPr>
            </w:pPr>
            <w:r>
              <w:rPr>
                <w:rFonts w:eastAsiaTheme="minorEastAsia" w:hint="eastAsia"/>
              </w:rPr>
              <w:t>2#</w:t>
            </w:r>
            <w:r>
              <w:rPr>
                <w:rFonts w:eastAsiaTheme="minorEastAsia" w:hint="eastAsia"/>
              </w:rPr>
              <w:t>待宰圈</w:t>
            </w:r>
          </w:p>
        </w:tc>
        <w:tc>
          <w:tcPr>
            <w:tcW w:w="2357" w:type="dxa"/>
            <w:vAlign w:val="center"/>
          </w:tcPr>
          <w:p w14:paraId="3FD1D8B9" w14:textId="77777777" w:rsidR="00B14D53" w:rsidRDefault="00000000">
            <w:pPr>
              <w:pStyle w:val="afff2"/>
              <w:spacing w:line="240" w:lineRule="auto"/>
              <w:rPr>
                <w:rFonts w:eastAsiaTheme="minorEastAsia" w:hAnsi="Times New Roman"/>
                <w:snapToGrid w:val="0"/>
              </w:rPr>
            </w:pPr>
            <w:r>
              <w:rPr>
                <w:rFonts w:hAnsi="Times New Roman"/>
                <w:snapToGrid w:val="0"/>
              </w:rPr>
              <w:t>H</w:t>
            </w:r>
            <w:r>
              <w:rPr>
                <w:rFonts w:hAnsi="Times New Roman"/>
                <w:snapToGrid w:val="0"/>
                <w:vertAlign w:val="subscript"/>
              </w:rPr>
              <w:t>2</w:t>
            </w:r>
            <w:r>
              <w:rPr>
                <w:rFonts w:hAnsi="Times New Roman"/>
                <w:snapToGrid w:val="0"/>
              </w:rPr>
              <w:t>S</w:t>
            </w:r>
            <w:r>
              <w:rPr>
                <w:rFonts w:hAnsi="Times New Roman"/>
                <w:snapToGrid w:val="0"/>
              </w:rPr>
              <w:t>、</w:t>
            </w:r>
            <w:r>
              <w:rPr>
                <w:rFonts w:hAnsi="Times New Roman"/>
                <w:snapToGrid w:val="0"/>
              </w:rPr>
              <w:t>NH</w:t>
            </w:r>
            <w:r>
              <w:rPr>
                <w:rFonts w:hAnsi="Times New Roman"/>
                <w:snapToGrid w:val="0"/>
                <w:vertAlign w:val="subscript"/>
              </w:rPr>
              <w:t>3</w:t>
            </w:r>
            <w:r>
              <w:rPr>
                <w:rFonts w:hAnsi="Times New Roman"/>
                <w:snapToGrid w:val="0"/>
              </w:rPr>
              <w:t>、臭气浓度</w:t>
            </w:r>
          </w:p>
        </w:tc>
        <w:tc>
          <w:tcPr>
            <w:tcW w:w="3588" w:type="dxa"/>
            <w:vAlign w:val="center"/>
          </w:tcPr>
          <w:p w14:paraId="7074190E" w14:textId="77777777" w:rsidR="00B14D53" w:rsidRDefault="00000000">
            <w:pPr>
              <w:pStyle w:val="afff2"/>
              <w:spacing w:line="240" w:lineRule="auto"/>
              <w:rPr>
                <w:rFonts w:eastAsiaTheme="minorEastAsia" w:hAnsi="Times New Roman"/>
              </w:rPr>
            </w:pPr>
            <w:r>
              <w:rPr>
                <w:rFonts w:hAnsi="Times New Roman" w:hint="eastAsia"/>
                <w:snapToGrid w:val="0"/>
              </w:rPr>
              <w:t>待宰圈</w:t>
            </w:r>
            <w:r>
              <w:rPr>
                <w:rFonts w:hAnsi="Times New Roman"/>
                <w:snapToGrid w:val="0"/>
              </w:rPr>
              <w:t>封闭，</w:t>
            </w:r>
            <w:r>
              <w:rPr>
                <w:rFonts w:hAnsi="Times New Roman"/>
                <w:bCs/>
                <w:snapToGrid w:val="0"/>
              </w:rPr>
              <w:t>及时清扫，并投加或喷洒除臭剂，产生的恶臭气体经</w:t>
            </w:r>
            <w:r>
              <w:rPr>
                <w:rFonts w:hAnsi="Times New Roman" w:hint="eastAsia"/>
                <w:bCs/>
                <w:snapToGrid w:val="0"/>
              </w:rPr>
              <w:t>引风机集中收集</w:t>
            </w:r>
            <w:r>
              <w:rPr>
                <w:rFonts w:hAnsi="Times New Roman"/>
                <w:bCs/>
                <w:snapToGrid w:val="0"/>
              </w:rPr>
              <w:t>后，通过活性炭吸附净化后由</w:t>
            </w:r>
            <w:r>
              <w:rPr>
                <w:rFonts w:hAnsi="Times New Roman" w:hint="eastAsia"/>
                <w:bCs/>
                <w:snapToGrid w:val="0"/>
              </w:rPr>
              <w:t>1</w:t>
            </w:r>
            <w:r>
              <w:rPr>
                <w:rFonts w:hAnsi="Times New Roman" w:hint="eastAsia"/>
                <w:bCs/>
                <w:snapToGrid w:val="0"/>
              </w:rPr>
              <w:t>根</w:t>
            </w:r>
            <w:r>
              <w:rPr>
                <w:rFonts w:hAnsi="Times New Roman"/>
                <w:bCs/>
                <w:snapToGrid w:val="0"/>
              </w:rPr>
              <w:t>15m</w:t>
            </w:r>
            <w:r>
              <w:rPr>
                <w:rFonts w:hAnsi="Times New Roman"/>
                <w:bCs/>
                <w:snapToGrid w:val="0"/>
              </w:rPr>
              <w:t>高排气筒（</w:t>
            </w:r>
            <w:r>
              <w:rPr>
                <w:rFonts w:hAnsi="Times New Roman"/>
                <w:bCs/>
                <w:snapToGrid w:val="0"/>
              </w:rPr>
              <w:t>DA00</w:t>
            </w:r>
            <w:r>
              <w:rPr>
                <w:rFonts w:hAnsi="Times New Roman" w:hint="eastAsia"/>
                <w:bCs/>
                <w:snapToGrid w:val="0"/>
              </w:rPr>
              <w:t>2</w:t>
            </w:r>
            <w:r>
              <w:rPr>
                <w:rFonts w:hAnsi="Times New Roman"/>
                <w:bCs/>
                <w:snapToGrid w:val="0"/>
              </w:rPr>
              <w:t>）排放</w:t>
            </w:r>
          </w:p>
        </w:tc>
        <w:tc>
          <w:tcPr>
            <w:tcW w:w="4487" w:type="dxa"/>
            <w:vMerge/>
            <w:vAlign w:val="center"/>
          </w:tcPr>
          <w:p w14:paraId="30F224D9" w14:textId="77777777" w:rsidR="00B14D53" w:rsidRDefault="00B14D53">
            <w:pPr>
              <w:pStyle w:val="afff2"/>
              <w:spacing w:line="240" w:lineRule="auto"/>
              <w:rPr>
                <w:rFonts w:eastAsiaTheme="minorEastAsia" w:hAnsi="Times New Roman"/>
                <w:spacing w:val="-6"/>
              </w:rPr>
            </w:pPr>
          </w:p>
        </w:tc>
      </w:tr>
      <w:tr w:rsidR="00B14D53" w14:paraId="6F1183D7" w14:textId="77777777">
        <w:trPr>
          <w:trHeight w:val="90"/>
        </w:trPr>
        <w:tc>
          <w:tcPr>
            <w:tcW w:w="1024" w:type="dxa"/>
            <w:vMerge/>
            <w:vAlign w:val="center"/>
          </w:tcPr>
          <w:p w14:paraId="44B8489F" w14:textId="77777777" w:rsidR="00B14D53" w:rsidRDefault="00B14D53">
            <w:pPr>
              <w:pStyle w:val="afff2"/>
              <w:spacing w:line="240" w:lineRule="auto"/>
              <w:rPr>
                <w:rFonts w:eastAsiaTheme="minorEastAsia" w:hAnsi="Times New Roman"/>
                <w:snapToGrid w:val="0"/>
              </w:rPr>
            </w:pPr>
          </w:p>
        </w:tc>
        <w:tc>
          <w:tcPr>
            <w:tcW w:w="1168" w:type="dxa"/>
            <w:vAlign w:val="center"/>
          </w:tcPr>
          <w:p w14:paraId="6CC6E363" w14:textId="77777777" w:rsidR="00B14D53" w:rsidRDefault="00000000">
            <w:pPr>
              <w:jc w:val="center"/>
              <w:rPr>
                <w:rFonts w:eastAsiaTheme="minorEastAsia"/>
                <w:snapToGrid w:val="0"/>
              </w:rPr>
            </w:pPr>
            <w:r>
              <w:rPr>
                <w:rFonts w:eastAsiaTheme="minorEastAsia"/>
                <w:snapToGrid w:val="0"/>
              </w:rPr>
              <w:t>恶臭</w:t>
            </w:r>
          </w:p>
        </w:tc>
        <w:tc>
          <w:tcPr>
            <w:tcW w:w="1939" w:type="dxa"/>
            <w:vAlign w:val="center"/>
          </w:tcPr>
          <w:p w14:paraId="250E2ED3" w14:textId="77777777" w:rsidR="00B14D53" w:rsidRDefault="00000000">
            <w:pPr>
              <w:pStyle w:val="afff2"/>
              <w:spacing w:line="240" w:lineRule="auto"/>
              <w:rPr>
                <w:rFonts w:eastAsiaTheme="minorEastAsia" w:hint="eastAsia"/>
              </w:rPr>
            </w:pPr>
            <w:r>
              <w:rPr>
                <w:rFonts w:eastAsiaTheme="minorEastAsia" w:hint="eastAsia"/>
              </w:rPr>
              <w:t>屠宰车间</w:t>
            </w:r>
          </w:p>
        </w:tc>
        <w:tc>
          <w:tcPr>
            <w:tcW w:w="2357" w:type="dxa"/>
            <w:vAlign w:val="center"/>
          </w:tcPr>
          <w:p w14:paraId="2C2710D2" w14:textId="77777777" w:rsidR="00B14D53" w:rsidRDefault="00000000">
            <w:pPr>
              <w:pStyle w:val="afff2"/>
              <w:spacing w:line="240" w:lineRule="auto"/>
              <w:rPr>
                <w:rFonts w:eastAsiaTheme="minorEastAsia" w:hAnsi="Times New Roman"/>
                <w:snapToGrid w:val="0"/>
              </w:rPr>
            </w:pPr>
            <w:r>
              <w:rPr>
                <w:rFonts w:hAnsi="Times New Roman"/>
                <w:snapToGrid w:val="0"/>
              </w:rPr>
              <w:t>H</w:t>
            </w:r>
            <w:r>
              <w:rPr>
                <w:rFonts w:hAnsi="Times New Roman"/>
                <w:snapToGrid w:val="0"/>
                <w:vertAlign w:val="subscript"/>
              </w:rPr>
              <w:t>2</w:t>
            </w:r>
            <w:r>
              <w:rPr>
                <w:rFonts w:hAnsi="Times New Roman"/>
                <w:snapToGrid w:val="0"/>
              </w:rPr>
              <w:t>S</w:t>
            </w:r>
            <w:r>
              <w:rPr>
                <w:rFonts w:hAnsi="Times New Roman"/>
                <w:snapToGrid w:val="0"/>
              </w:rPr>
              <w:t>、</w:t>
            </w:r>
            <w:r>
              <w:rPr>
                <w:rFonts w:hAnsi="Times New Roman"/>
                <w:snapToGrid w:val="0"/>
              </w:rPr>
              <w:t>NH</w:t>
            </w:r>
            <w:r>
              <w:rPr>
                <w:rFonts w:hAnsi="Times New Roman"/>
                <w:snapToGrid w:val="0"/>
                <w:vertAlign w:val="subscript"/>
              </w:rPr>
              <w:t>3</w:t>
            </w:r>
            <w:r>
              <w:rPr>
                <w:rFonts w:hAnsi="Times New Roman"/>
                <w:snapToGrid w:val="0"/>
              </w:rPr>
              <w:t>、臭气浓度</w:t>
            </w:r>
          </w:p>
        </w:tc>
        <w:tc>
          <w:tcPr>
            <w:tcW w:w="3588" w:type="dxa"/>
            <w:vAlign w:val="center"/>
          </w:tcPr>
          <w:p w14:paraId="71BD1CA8" w14:textId="77777777" w:rsidR="00B14D53" w:rsidRDefault="00000000">
            <w:pPr>
              <w:pStyle w:val="afff2"/>
              <w:spacing w:line="240" w:lineRule="auto"/>
              <w:rPr>
                <w:rFonts w:eastAsiaTheme="minorEastAsia" w:hAnsi="Times New Roman"/>
              </w:rPr>
            </w:pPr>
            <w:r>
              <w:rPr>
                <w:rFonts w:hAnsi="Times New Roman"/>
                <w:snapToGrid w:val="0"/>
              </w:rPr>
              <w:t>屠宰车间封闭，</w:t>
            </w:r>
            <w:r>
              <w:rPr>
                <w:rFonts w:hAnsi="Times New Roman"/>
                <w:bCs/>
                <w:snapToGrid w:val="0"/>
              </w:rPr>
              <w:t>产生的恶臭气体经</w:t>
            </w:r>
            <w:r>
              <w:rPr>
                <w:rFonts w:hAnsi="Times New Roman" w:hint="eastAsia"/>
                <w:bCs/>
                <w:snapToGrid w:val="0"/>
              </w:rPr>
              <w:t>引风机集中收集</w:t>
            </w:r>
            <w:r>
              <w:rPr>
                <w:rFonts w:hAnsi="Times New Roman"/>
                <w:bCs/>
                <w:snapToGrid w:val="0"/>
              </w:rPr>
              <w:t>后，通过活性炭吸附净化后由</w:t>
            </w:r>
            <w:r>
              <w:rPr>
                <w:rFonts w:hAnsi="Times New Roman" w:hint="eastAsia"/>
                <w:bCs/>
                <w:snapToGrid w:val="0"/>
              </w:rPr>
              <w:t>1</w:t>
            </w:r>
            <w:r>
              <w:rPr>
                <w:rFonts w:hAnsi="Times New Roman" w:hint="eastAsia"/>
                <w:bCs/>
                <w:snapToGrid w:val="0"/>
              </w:rPr>
              <w:t>根</w:t>
            </w:r>
            <w:r>
              <w:rPr>
                <w:rFonts w:hAnsi="Times New Roman"/>
                <w:bCs/>
                <w:snapToGrid w:val="0"/>
              </w:rPr>
              <w:t>15m</w:t>
            </w:r>
            <w:r>
              <w:rPr>
                <w:rFonts w:hAnsi="Times New Roman"/>
                <w:bCs/>
                <w:snapToGrid w:val="0"/>
              </w:rPr>
              <w:t>高排气筒（</w:t>
            </w:r>
            <w:r>
              <w:rPr>
                <w:rFonts w:hAnsi="Times New Roman"/>
                <w:bCs/>
                <w:snapToGrid w:val="0"/>
              </w:rPr>
              <w:t>DA00</w:t>
            </w:r>
            <w:r>
              <w:rPr>
                <w:rFonts w:hAnsi="Times New Roman" w:hint="eastAsia"/>
                <w:bCs/>
                <w:snapToGrid w:val="0"/>
              </w:rPr>
              <w:t>3</w:t>
            </w:r>
            <w:r>
              <w:rPr>
                <w:rFonts w:hAnsi="Times New Roman"/>
                <w:bCs/>
                <w:snapToGrid w:val="0"/>
              </w:rPr>
              <w:t>）排放</w:t>
            </w:r>
          </w:p>
        </w:tc>
        <w:tc>
          <w:tcPr>
            <w:tcW w:w="4487" w:type="dxa"/>
            <w:vMerge/>
            <w:vAlign w:val="center"/>
          </w:tcPr>
          <w:p w14:paraId="7F014719" w14:textId="77777777" w:rsidR="00B14D53" w:rsidRDefault="00B14D53">
            <w:pPr>
              <w:pStyle w:val="afff2"/>
              <w:spacing w:line="240" w:lineRule="auto"/>
              <w:rPr>
                <w:rFonts w:eastAsiaTheme="minorEastAsia" w:hAnsi="Times New Roman"/>
                <w:spacing w:val="-6"/>
              </w:rPr>
            </w:pPr>
          </w:p>
        </w:tc>
      </w:tr>
      <w:tr w:rsidR="00B14D53" w14:paraId="300A61F6" w14:textId="77777777">
        <w:trPr>
          <w:trHeight w:val="90"/>
        </w:trPr>
        <w:tc>
          <w:tcPr>
            <w:tcW w:w="1024" w:type="dxa"/>
            <w:vMerge/>
            <w:vAlign w:val="center"/>
          </w:tcPr>
          <w:p w14:paraId="0DFBAF64" w14:textId="77777777" w:rsidR="00B14D53" w:rsidRDefault="00B14D53">
            <w:pPr>
              <w:pStyle w:val="afff2"/>
              <w:spacing w:line="240" w:lineRule="auto"/>
              <w:rPr>
                <w:rFonts w:eastAsiaTheme="minorEastAsia" w:hAnsi="Times New Roman"/>
                <w:snapToGrid w:val="0"/>
              </w:rPr>
            </w:pPr>
          </w:p>
        </w:tc>
        <w:tc>
          <w:tcPr>
            <w:tcW w:w="1168" w:type="dxa"/>
            <w:vAlign w:val="center"/>
          </w:tcPr>
          <w:p w14:paraId="0B84528B" w14:textId="77777777" w:rsidR="00B14D53" w:rsidRDefault="00000000">
            <w:pPr>
              <w:jc w:val="center"/>
              <w:rPr>
                <w:rFonts w:eastAsiaTheme="minorEastAsia"/>
                <w:snapToGrid w:val="0"/>
              </w:rPr>
            </w:pPr>
            <w:r>
              <w:rPr>
                <w:rFonts w:eastAsiaTheme="minorEastAsia"/>
                <w:snapToGrid w:val="0"/>
              </w:rPr>
              <w:t>恶臭</w:t>
            </w:r>
          </w:p>
        </w:tc>
        <w:tc>
          <w:tcPr>
            <w:tcW w:w="1939" w:type="dxa"/>
            <w:vAlign w:val="center"/>
          </w:tcPr>
          <w:p w14:paraId="6E5F4F59" w14:textId="77777777" w:rsidR="00B14D53" w:rsidRDefault="00000000">
            <w:pPr>
              <w:pStyle w:val="afff2"/>
              <w:spacing w:line="240" w:lineRule="auto"/>
              <w:rPr>
                <w:rFonts w:eastAsiaTheme="minorEastAsia" w:hint="eastAsia"/>
              </w:rPr>
            </w:pPr>
            <w:r>
              <w:rPr>
                <w:rFonts w:eastAsiaTheme="minorEastAsia" w:hint="eastAsia"/>
              </w:rPr>
              <w:t>污水处理站</w:t>
            </w:r>
          </w:p>
        </w:tc>
        <w:tc>
          <w:tcPr>
            <w:tcW w:w="2357" w:type="dxa"/>
            <w:vAlign w:val="center"/>
          </w:tcPr>
          <w:p w14:paraId="5973F3A7" w14:textId="77777777" w:rsidR="00B14D53" w:rsidRDefault="00000000">
            <w:pPr>
              <w:pStyle w:val="afff2"/>
              <w:spacing w:line="240" w:lineRule="auto"/>
              <w:rPr>
                <w:rFonts w:eastAsiaTheme="minorEastAsia" w:hAnsi="Times New Roman"/>
                <w:snapToGrid w:val="0"/>
              </w:rPr>
            </w:pPr>
            <w:r>
              <w:rPr>
                <w:rFonts w:hAnsi="Times New Roman"/>
                <w:snapToGrid w:val="0"/>
              </w:rPr>
              <w:t>H</w:t>
            </w:r>
            <w:r>
              <w:rPr>
                <w:rFonts w:hAnsi="Times New Roman"/>
                <w:snapToGrid w:val="0"/>
                <w:vertAlign w:val="subscript"/>
              </w:rPr>
              <w:t>2</w:t>
            </w:r>
            <w:r>
              <w:rPr>
                <w:rFonts w:hAnsi="Times New Roman"/>
                <w:snapToGrid w:val="0"/>
              </w:rPr>
              <w:t>S</w:t>
            </w:r>
            <w:r>
              <w:rPr>
                <w:rFonts w:hAnsi="Times New Roman"/>
                <w:snapToGrid w:val="0"/>
              </w:rPr>
              <w:t>、</w:t>
            </w:r>
            <w:r>
              <w:rPr>
                <w:rFonts w:hAnsi="Times New Roman"/>
                <w:snapToGrid w:val="0"/>
              </w:rPr>
              <w:t>NH</w:t>
            </w:r>
            <w:r>
              <w:rPr>
                <w:rFonts w:hAnsi="Times New Roman"/>
                <w:snapToGrid w:val="0"/>
                <w:vertAlign w:val="subscript"/>
              </w:rPr>
              <w:t>3</w:t>
            </w:r>
            <w:r>
              <w:rPr>
                <w:rFonts w:hAnsi="Times New Roman"/>
                <w:snapToGrid w:val="0"/>
              </w:rPr>
              <w:t>、臭气浓度</w:t>
            </w:r>
          </w:p>
        </w:tc>
        <w:tc>
          <w:tcPr>
            <w:tcW w:w="3588" w:type="dxa"/>
            <w:vAlign w:val="center"/>
          </w:tcPr>
          <w:p w14:paraId="50574447" w14:textId="77777777" w:rsidR="00B14D53" w:rsidRDefault="00000000">
            <w:pPr>
              <w:pStyle w:val="afff2"/>
              <w:spacing w:line="240" w:lineRule="auto"/>
              <w:rPr>
                <w:rFonts w:eastAsiaTheme="minorEastAsia" w:hAnsi="Times New Roman"/>
              </w:rPr>
            </w:pPr>
            <w:r>
              <w:rPr>
                <w:rFonts w:hAnsi="Times New Roman" w:hint="eastAsia"/>
              </w:rPr>
              <w:t>污水处理站封闭，臭气集中收集，经</w:t>
            </w:r>
            <w:r>
              <w:rPr>
                <w:rFonts w:hAnsi="Times New Roman"/>
              </w:rPr>
              <w:t>活性炭吸附</w:t>
            </w:r>
            <w:r>
              <w:rPr>
                <w:rFonts w:hAnsi="Times New Roman" w:hint="eastAsia"/>
              </w:rPr>
              <w:t>后由</w:t>
            </w:r>
            <w:r>
              <w:rPr>
                <w:rFonts w:hAnsi="Times New Roman" w:hint="eastAsia"/>
              </w:rPr>
              <w:t>1</w:t>
            </w:r>
            <w:r>
              <w:rPr>
                <w:rFonts w:hAnsi="Times New Roman" w:hint="eastAsia"/>
              </w:rPr>
              <w:t>根</w:t>
            </w:r>
            <w:r>
              <w:rPr>
                <w:rFonts w:hAnsi="Times New Roman"/>
                <w:kern w:val="2"/>
              </w:rPr>
              <w:t>15m</w:t>
            </w:r>
            <w:r>
              <w:rPr>
                <w:rFonts w:hAnsi="Times New Roman"/>
                <w:kern w:val="2"/>
              </w:rPr>
              <w:t>高排气筒</w:t>
            </w:r>
            <w:r>
              <w:rPr>
                <w:rFonts w:hAnsi="Times New Roman" w:hint="eastAsia"/>
                <w:kern w:val="2"/>
              </w:rPr>
              <w:t>（</w:t>
            </w:r>
            <w:r>
              <w:rPr>
                <w:rFonts w:hAnsi="Times New Roman" w:hint="eastAsia"/>
                <w:kern w:val="2"/>
              </w:rPr>
              <w:t>DA004</w:t>
            </w:r>
            <w:r>
              <w:rPr>
                <w:rFonts w:hAnsi="Times New Roman" w:hint="eastAsia"/>
                <w:kern w:val="2"/>
              </w:rPr>
              <w:t>）排放</w:t>
            </w:r>
          </w:p>
        </w:tc>
        <w:tc>
          <w:tcPr>
            <w:tcW w:w="4487" w:type="dxa"/>
            <w:vMerge/>
            <w:vAlign w:val="center"/>
          </w:tcPr>
          <w:p w14:paraId="3EE3463D" w14:textId="77777777" w:rsidR="00B14D53" w:rsidRDefault="00B14D53">
            <w:pPr>
              <w:pStyle w:val="afff2"/>
              <w:spacing w:line="240" w:lineRule="auto"/>
              <w:rPr>
                <w:rFonts w:eastAsiaTheme="minorEastAsia" w:hAnsi="Times New Roman"/>
                <w:spacing w:val="-6"/>
              </w:rPr>
            </w:pPr>
          </w:p>
        </w:tc>
      </w:tr>
      <w:tr w:rsidR="00B14D53" w14:paraId="37EA85B6" w14:textId="77777777">
        <w:trPr>
          <w:trHeight w:val="610"/>
        </w:trPr>
        <w:tc>
          <w:tcPr>
            <w:tcW w:w="1024" w:type="dxa"/>
            <w:vAlign w:val="center"/>
          </w:tcPr>
          <w:p w14:paraId="195CDF01"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噪声</w:t>
            </w:r>
          </w:p>
        </w:tc>
        <w:tc>
          <w:tcPr>
            <w:tcW w:w="1168" w:type="dxa"/>
            <w:vAlign w:val="center"/>
          </w:tcPr>
          <w:p w14:paraId="1AE3EB87"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噪声控制</w:t>
            </w:r>
          </w:p>
        </w:tc>
        <w:tc>
          <w:tcPr>
            <w:tcW w:w="1939" w:type="dxa"/>
            <w:vAlign w:val="center"/>
          </w:tcPr>
          <w:p w14:paraId="34CF5C6E"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生产设备、</w:t>
            </w:r>
            <w:r>
              <w:rPr>
                <w:rFonts w:eastAsiaTheme="minorEastAsia" w:hAnsi="Times New Roman" w:hint="eastAsia"/>
                <w:snapToGrid w:val="0"/>
              </w:rPr>
              <w:t>风机、</w:t>
            </w:r>
            <w:r>
              <w:rPr>
                <w:rFonts w:eastAsiaTheme="minorEastAsia" w:hAnsi="Times New Roman"/>
                <w:snapToGrid w:val="0"/>
              </w:rPr>
              <w:t>水泵等</w:t>
            </w:r>
          </w:p>
        </w:tc>
        <w:tc>
          <w:tcPr>
            <w:tcW w:w="2357" w:type="dxa"/>
            <w:vAlign w:val="center"/>
          </w:tcPr>
          <w:p w14:paraId="1219BF41"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噪声</w:t>
            </w:r>
          </w:p>
        </w:tc>
        <w:tc>
          <w:tcPr>
            <w:tcW w:w="3588" w:type="dxa"/>
            <w:vAlign w:val="center"/>
          </w:tcPr>
          <w:p w14:paraId="00CAEB8C"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选用低噪声设备、隔声、减振措施</w:t>
            </w:r>
          </w:p>
        </w:tc>
        <w:tc>
          <w:tcPr>
            <w:tcW w:w="4487" w:type="dxa"/>
            <w:vAlign w:val="center"/>
          </w:tcPr>
          <w:p w14:paraId="03BAFF8D"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《工业企业厂界环境噪声排放标准》（</w:t>
            </w:r>
            <w:r>
              <w:rPr>
                <w:rFonts w:eastAsiaTheme="minorEastAsia" w:hAnsi="Times New Roman"/>
                <w:snapToGrid w:val="0"/>
              </w:rPr>
              <w:t>GB12348-2008</w:t>
            </w:r>
            <w:r>
              <w:rPr>
                <w:rFonts w:eastAsiaTheme="minorEastAsia" w:hAnsi="Times New Roman"/>
                <w:snapToGrid w:val="0"/>
              </w:rPr>
              <w:t>）</w:t>
            </w:r>
            <w:r>
              <w:rPr>
                <w:rFonts w:eastAsiaTheme="minorEastAsia" w:hAnsi="Times New Roman" w:hint="eastAsia"/>
                <w:snapToGrid w:val="0"/>
              </w:rPr>
              <w:t>表</w:t>
            </w:r>
            <w:r>
              <w:rPr>
                <w:rFonts w:eastAsiaTheme="minorEastAsia" w:hAnsi="Times New Roman" w:hint="eastAsia"/>
                <w:snapToGrid w:val="0"/>
              </w:rPr>
              <w:t>1</w:t>
            </w:r>
            <w:r>
              <w:rPr>
                <w:rFonts w:eastAsiaTheme="minorEastAsia" w:hAnsi="Times New Roman" w:hint="eastAsia"/>
                <w:snapToGrid w:val="0"/>
              </w:rPr>
              <w:t>中</w:t>
            </w:r>
            <w:r>
              <w:rPr>
                <w:rFonts w:eastAsiaTheme="minorEastAsia" w:hAnsi="Times New Roman" w:hint="eastAsia"/>
                <w:snapToGrid w:val="0"/>
              </w:rPr>
              <w:t>2</w:t>
            </w:r>
            <w:r>
              <w:rPr>
                <w:rFonts w:eastAsiaTheme="minorEastAsia" w:hAnsi="Times New Roman"/>
                <w:snapToGrid w:val="0"/>
              </w:rPr>
              <w:t>类标准限值</w:t>
            </w:r>
          </w:p>
        </w:tc>
      </w:tr>
    </w:tbl>
    <w:p w14:paraId="3B187303" w14:textId="77777777" w:rsidR="00B14D53" w:rsidRDefault="00B14D53">
      <w:pPr>
        <w:spacing w:line="360" w:lineRule="auto"/>
        <w:contextualSpacing/>
        <w:jc w:val="center"/>
        <w:rPr>
          <w:rFonts w:eastAsiaTheme="minorEastAsia"/>
          <w:b/>
          <w:snapToGrid w:val="0"/>
          <w:kern w:val="0"/>
          <w:sz w:val="24"/>
          <w:lang w:val="zh-CN"/>
        </w:rPr>
      </w:pPr>
    </w:p>
    <w:p w14:paraId="34011727" w14:textId="77777777" w:rsidR="00B14D53" w:rsidRDefault="00B14D53">
      <w:pPr>
        <w:spacing w:line="360" w:lineRule="auto"/>
        <w:contextualSpacing/>
        <w:jc w:val="center"/>
        <w:rPr>
          <w:rFonts w:eastAsiaTheme="minorEastAsia"/>
          <w:b/>
          <w:snapToGrid w:val="0"/>
          <w:kern w:val="0"/>
          <w:sz w:val="24"/>
          <w:lang w:val="zh-CN"/>
        </w:rPr>
      </w:pPr>
    </w:p>
    <w:p w14:paraId="28E1FD93" w14:textId="77777777" w:rsidR="00B14D53" w:rsidRDefault="00B14D53">
      <w:pPr>
        <w:jc w:val="center"/>
        <w:rPr>
          <w:b/>
          <w:bCs/>
          <w:lang w:val="zh-CN"/>
        </w:rPr>
      </w:pPr>
    </w:p>
    <w:p w14:paraId="00C9B20B" w14:textId="77777777" w:rsidR="00B14D53" w:rsidRDefault="00000000">
      <w:pPr>
        <w:jc w:val="center"/>
        <w:rPr>
          <w:b/>
          <w:bCs/>
          <w:lang w:val="zh-CN"/>
        </w:rPr>
      </w:pPr>
      <w:r>
        <w:rPr>
          <w:rFonts w:hint="eastAsia"/>
          <w:b/>
          <w:bCs/>
          <w:lang w:val="zh-CN"/>
        </w:rPr>
        <w:t>续表</w:t>
      </w:r>
      <w:r>
        <w:rPr>
          <w:rFonts w:hint="eastAsia"/>
          <w:b/>
          <w:bCs/>
          <w:lang w:val="zh-CN"/>
        </w:rPr>
        <w:t xml:space="preserve">8-3-1 </w:t>
      </w:r>
      <w:r>
        <w:rPr>
          <w:rFonts w:hint="eastAsia"/>
          <w:b/>
          <w:bCs/>
          <w:lang w:val="zh-CN"/>
        </w:rPr>
        <w:t>建设项目竣工环境保护验收一览表</w:t>
      </w:r>
    </w:p>
    <w:tbl>
      <w:tblPr>
        <w:tblW w:w="5136"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12"/>
        <w:gridCol w:w="1141"/>
        <w:gridCol w:w="1910"/>
        <w:gridCol w:w="2321"/>
        <w:gridCol w:w="3533"/>
        <w:gridCol w:w="4421"/>
      </w:tblGrid>
      <w:tr w:rsidR="00B14D53" w14:paraId="6C86D9AD" w14:textId="77777777">
        <w:trPr>
          <w:trHeight w:val="368"/>
        </w:trPr>
        <w:tc>
          <w:tcPr>
            <w:tcW w:w="1024" w:type="dxa"/>
            <w:vMerge w:val="restart"/>
            <w:vAlign w:val="center"/>
          </w:tcPr>
          <w:p w14:paraId="54C007F7"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固废</w:t>
            </w:r>
          </w:p>
        </w:tc>
        <w:tc>
          <w:tcPr>
            <w:tcW w:w="1157" w:type="dxa"/>
            <w:vMerge w:val="restart"/>
            <w:vAlign w:val="center"/>
          </w:tcPr>
          <w:p w14:paraId="65FE82DE"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厂区内</w:t>
            </w:r>
          </w:p>
        </w:tc>
        <w:tc>
          <w:tcPr>
            <w:tcW w:w="1939" w:type="dxa"/>
            <w:vMerge w:val="restart"/>
            <w:vAlign w:val="center"/>
          </w:tcPr>
          <w:p w14:paraId="6FEF78C7" w14:textId="77777777" w:rsidR="00B14D53" w:rsidRDefault="00000000">
            <w:pPr>
              <w:pStyle w:val="afff2"/>
              <w:spacing w:line="240" w:lineRule="auto"/>
              <w:rPr>
                <w:rFonts w:eastAsiaTheme="minorEastAsia" w:hAnsi="Times New Roman"/>
                <w:snapToGrid w:val="0"/>
              </w:rPr>
            </w:pPr>
            <w:r>
              <w:rPr>
                <w:rFonts w:hAnsi="Times New Roman" w:hint="eastAsia"/>
              </w:rPr>
              <w:t>待宰圈</w:t>
            </w:r>
          </w:p>
        </w:tc>
        <w:tc>
          <w:tcPr>
            <w:tcW w:w="2357" w:type="dxa"/>
            <w:vAlign w:val="center"/>
          </w:tcPr>
          <w:p w14:paraId="50F96D58" w14:textId="77777777" w:rsidR="00B14D53" w:rsidRDefault="00000000">
            <w:pPr>
              <w:pStyle w:val="afff2"/>
              <w:spacing w:line="240" w:lineRule="auto"/>
              <w:rPr>
                <w:rFonts w:eastAsiaTheme="minorEastAsia" w:hAnsi="Times New Roman"/>
                <w:snapToGrid w:val="0"/>
              </w:rPr>
            </w:pPr>
            <w:r>
              <w:rPr>
                <w:rFonts w:hAnsi="Times New Roman"/>
              </w:rPr>
              <w:t>猪粪</w:t>
            </w:r>
          </w:p>
        </w:tc>
        <w:tc>
          <w:tcPr>
            <w:tcW w:w="3590" w:type="dxa"/>
            <w:vAlign w:val="center"/>
          </w:tcPr>
          <w:p w14:paraId="0BE496F9" w14:textId="77777777" w:rsidR="00B14D53" w:rsidRDefault="00000000">
            <w:pPr>
              <w:pStyle w:val="afff2"/>
              <w:spacing w:line="240" w:lineRule="auto"/>
              <w:rPr>
                <w:rFonts w:eastAsiaTheme="minorEastAsia" w:hAnsi="Times New Roman"/>
                <w:snapToGrid w:val="0"/>
              </w:rPr>
            </w:pPr>
            <w:r>
              <w:rPr>
                <w:rFonts w:hAnsi="Times New Roman"/>
              </w:rPr>
              <w:t>猪粪清理至包装桶内，暂存于待宰圈内，每日生产结束后清运一次，外售有机肥厂进行堆肥处理</w:t>
            </w:r>
          </w:p>
        </w:tc>
        <w:tc>
          <w:tcPr>
            <w:tcW w:w="4493" w:type="dxa"/>
            <w:vAlign w:val="center"/>
          </w:tcPr>
          <w:p w14:paraId="5B80854E"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实现资源化，处置率</w:t>
            </w:r>
            <w:r>
              <w:rPr>
                <w:rFonts w:eastAsiaTheme="minorEastAsia" w:hAnsi="Times New Roman"/>
                <w:snapToGrid w:val="0"/>
              </w:rPr>
              <w:t>100%</w:t>
            </w:r>
          </w:p>
        </w:tc>
      </w:tr>
      <w:tr w:rsidR="00B14D53" w14:paraId="5DB60E72" w14:textId="77777777">
        <w:trPr>
          <w:trHeight w:val="368"/>
        </w:trPr>
        <w:tc>
          <w:tcPr>
            <w:tcW w:w="1024" w:type="dxa"/>
            <w:vMerge/>
            <w:vAlign w:val="center"/>
          </w:tcPr>
          <w:p w14:paraId="0C59A19C" w14:textId="77777777" w:rsidR="00B14D53" w:rsidRDefault="00B14D53">
            <w:pPr>
              <w:pStyle w:val="afff2"/>
              <w:spacing w:line="240" w:lineRule="auto"/>
              <w:rPr>
                <w:rFonts w:eastAsiaTheme="minorEastAsia" w:hAnsi="Times New Roman"/>
                <w:snapToGrid w:val="0"/>
              </w:rPr>
            </w:pPr>
          </w:p>
        </w:tc>
        <w:tc>
          <w:tcPr>
            <w:tcW w:w="1157" w:type="dxa"/>
            <w:vMerge/>
            <w:vAlign w:val="center"/>
          </w:tcPr>
          <w:p w14:paraId="6599968A" w14:textId="77777777" w:rsidR="00B14D53" w:rsidRDefault="00B14D53">
            <w:pPr>
              <w:pStyle w:val="afff2"/>
              <w:spacing w:line="240" w:lineRule="auto"/>
              <w:rPr>
                <w:rFonts w:eastAsiaTheme="minorEastAsia" w:hAnsi="Times New Roman"/>
                <w:snapToGrid w:val="0"/>
              </w:rPr>
            </w:pPr>
          </w:p>
        </w:tc>
        <w:tc>
          <w:tcPr>
            <w:tcW w:w="1939" w:type="dxa"/>
            <w:vMerge/>
            <w:vAlign w:val="center"/>
          </w:tcPr>
          <w:p w14:paraId="5031272A" w14:textId="77777777" w:rsidR="00B14D53" w:rsidRDefault="00B14D53">
            <w:pPr>
              <w:pStyle w:val="afff2"/>
              <w:spacing w:line="240" w:lineRule="auto"/>
              <w:rPr>
                <w:rFonts w:hAnsi="Times New Roman"/>
              </w:rPr>
            </w:pPr>
          </w:p>
        </w:tc>
        <w:tc>
          <w:tcPr>
            <w:tcW w:w="2357" w:type="dxa"/>
            <w:vAlign w:val="center"/>
          </w:tcPr>
          <w:p w14:paraId="08B859D7" w14:textId="77777777" w:rsidR="00B14D53" w:rsidRDefault="00000000">
            <w:pPr>
              <w:pStyle w:val="afff2"/>
              <w:spacing w:line="240" w:lineRule="auto"/>
              <w:rPr>
                <w:rFonts w:eastAsiaTheme="minorEastAsia" w:hAnsi="Times New Roman"/>
                <w:snapToGrid w:val="0"/>
              </w:rPr>
            </w:pPr>
            <w:r>
              <w:rPr>
                <w:rFonts w:hAnsi="Times New Roman" w:hint="eastAsia"/>
              </w:rPr>
              <w:t>病死猪</w:t>
            </w:r>
          </w:p>
        </w:tc>
        <w:tc>
          <w:tcPr>
            <w:tcW w:w="3590" w:type="dxa"/>
            <w:vAlign w:val="center"/>
          </w:tcPr>
          <w:p w14:paraId="235B4FF2" w14:textId="77777777" w:rsidR="00B14D53" w:rsidRDefault="00000000">
            <w:pPr>
              <w:pStyle w:val="afff2"/>
              <w:spacing w:line="240" w:lineRule="auto"/>
              <w:rPr>
                <w:rFonts w:eastAsiaTheme="minorEastAsia" w:hAnsi="Times New Roman"/>
                <w:snapToGrid w:val="0"/>
              </w:rPr>
            </w:pPr>
            <w:r>
              <w:rPr>
                <w:rFonts w:hAnsi="Times New Roman" w:hint="eastAsia"/>
              </w:rPr>
              <w:t>委托哈尔滨银山无害化处理有限公司处理</w:t>
            </w:r>
          </w:p>
        </w:tc>
        <w:tc>
          <w:tcPr>
            <w:tcW w:w="4493" w:type="dxa"/>
            <w:vAlign w:val="center"/>
          </w:tcPr>
          <w:p w14:paraId="0116AB4B"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无害化处理，处置率</w:t>
            </w:r>
            <w:r>
              <w:rPr>
                <w:rFonts w:eastAsiaTheme="minorEastAsia" w:hAnsi="Times New Roman"/>
                <w:snapToGrid w:val="0"/>
              </w:rPr>
              <w:t>100%</w:t>
            </w:r>
          </w:p>
        </w:tc>
      </w:tr>
      <w:tr w:rsidR="00B14D53" w14:paraId="7F4D0F92" w14:textId="77777777">
        <w:trPr>
          <w:trHeight w:val="394"/>
        </w:trPr>
        <w:tc>
          <w:tcPr>
            <w:tcW w:w="1024" w:type="dxa"/>
            <w:vMerge/>
            <w:vAlign w:val="center"/>
          </w:tcPr>
          <w:p w14:paraId="2C552015" w14:textId="77777777" w:rsidR="00B14D53" w:rsidRDefault="00B14D53">
            <w:pPr>
              <w:pStyle w:val="afff2"/>
              <w:spacing w:line="240" w:lineRule="auto"/>
              <w:rPr>
                <w:rFonts w:eastAsiaTheme="minorEastAsia" w:hAnsi="Times New Roman"/>
                <w:snapToGrid w:val="0"/>
              </w:rPr>
            </w:pPr>
          </w:p>
        </w:tc>
        <w:tc>
          <w:tcPr>
            <w:tcW w:w="1157" w:type="dxa"/>
            <w:vMerge/>
            <w:vAlign w:val="center"/>
          </w:tcPr>
          <w:p w14:paraId="58BC7D73" w14:textId="77777777" w:rsidR="00B14D53" w:rsidRDefault="00B14D53">
            <w:pPr>
              <w:pStyle w:val="afff2"/>
              <w:spacing w:line="240" w:lineRule="auto"/>
              <w:rPr>
                <w:rFonts w:eastAsiaTheme="minorEastAsia" w:hAnsi="Times New Roman"/>
                <w:snapToGrid w:val="0"/>
              </w:rPr>
            </w:pPr>
          </w:p>
        </w:tc>
        <w:tc>
          <w:tcPr>
            <w:tcW w:w="1939" w:type="dxa"/>
            <w:vAlign w:val="center"/>
          </w:tcPr>
          <w:p w14:paraId="52258AFB" w14:textId="77777777" w:rsidR="00B14D53" w:rsidRDefault="00000000">
            <w:pPr>
              <w:pStyle w:val="afff2"/>
              <w:spacing w:line="240" w:lineRule="auto"/>
              <w:rPr>
                <w:rFonts w:eastAsiaTheme="minorEastAsia" w:hAnsi="Times New Roman"/>
                <w:snapToGrid w:val="0"/>
              </w:rPr>
            </w:pPr>
            <w:r>
              <w:rPr>
                <w:rFonts w:hAnsi="Times New Roman"/>
              </w:rPr>
              <w:t>检</w:t>
            </w:r>
            <w:r>
              <w:rPr>
                <w:rFonts w:hAnsi="Times New Roman" w:hint="eastAsia"/>
              </w:rPr>
              <w:t>验</w:t>
            </w:r>
            <w:r>
              <w:rPr>
                <w:rFonts w:hAnsi="Times New Roman"/>
              </w:rPr>
              <w:t>室</w:t>
            </w:r>
          </w:p>
        </w:tc>
        <w:tc>
          <w:tcPr>
            <w:tcW w:w="2357" w:type="dxa"/>
            <w:vAlign w:val="center"/>
          </w:tcPr>
          <w:p w14:paraId="05518FBC" w14:textId="77777777" w:rsidR="00B14D53" w:rsidRDefault="00000000">
            <w:pPr>
              <w:pStyle w:val="afff2"/>
              <w:spacing w:line="240" w:lineRule="auto"/>
              <w:rPr>
                <w:rFonts w:eastAsiaTheme="minorEastAsia" w:hAnsi="Times New Roman"/>
                <w:snapToGrid w:val="0"/>
              </w:rPr>
            </w:pPr>
            <w:r>
              <w:rPr>
                <w:rFonts w:hAnsi="Times New Roman"/>
              </w:rPr>
              <w:t>检</w:t>
            </w:r>
            <w:r>
              <w:rPr>
                <w:rFonts w:hAnsi="Times New Roman" w:hint="eastAsia"/>
              </w:rPr>
              <w:t>验</w:t>
            </w:r>
            <w:r>
              <w:rPr>
                <w:rFonts w:hAnsi="Times New Roman"/>
              </w:rPr>
              <w:t>废物（</w:t>
            </w:r>
            <w:r>
              <w:rPr>
                <w:rFonts w:hAnsi="Times New Roman" w:hint="eastAsia"/>
              </w:rPr>
              <w:t>类别：</w:t>
            </w:r>
            <w:r>
              <w:rPr>
                <w:rFonts w:hAnsi="Times New Roman"/>
              </w:rPr>
              <w:t>HW01</w:t>
            </w:r>
            <w:r>
              <w:rPr>
                <w:rFonts w:hAnsi="Times New Roman" w:hint="eastAsia"/>
              </w:rPr>
              <w:t>，代码：</w:t>
            </w:r>
            <w:r>
              <w:rPr>
                <w:rFonts w:hAnsi="Times New Roman" w:hint="eastAsia"/>
              </w:rPr>
              <w:t>841-001-01</w:t>
            </w:r>
            <w:r>
              <w:rPr>
                <w:rFonts w:hAnsi="Times New Roman"/>
              </w:rPr>
              <w:t>）</w:t>
            </w:r>
          </w:p>
        </w:tc>
        <w:tc>
          <w:tcPr>
            <w:tcW w:w="3590" w:type="dxa"/>
            <w:vAlign w:val="center"/>
          </w:tcPr>
          <w:p w14:paraId="2503DCE4" w14:textId="77777777" w:rsidR="00B14D53" w:rsidRDefault="00000000">
            <w:pPr>
              <w:pStyle w:val="afff2"/>
              <w:spacing w:line="240" w:lineRule="auto"/>
              <w:rPr>
                <w:rFonts w:eastAsiaTheme="minorEastAsia" w:hAnsi="Times New Roman"/>
              </w:rPr>
            </w:pPr>
            <w:r>
              <w:rPr>
                <w:rFonts w:eastAsiaTheme="minorEastAsia" w:hAnsi="Times New Roman" w:hint="eastAsia"/>
              </w:rPr>
              <w:t>交由有资质单位处置</w:t>
            </w:r>
          </w:p>
        </w:tc>
        <w:tc>
          <w:tcPr>
            <w:tcW w:w="4493" w:type="dxa"/>
            <w:vAlign w:val="center"/>
          </w:tcPr>
          <w:p w14:paraId="203DD625"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处置率</w:t>
            </w:r>
            <w:r>
              <w:rPr>
                <w:rFonts w:eastAsiaTheme="minorEastAsia" w:hAnsi="Times New Roman"/>
                <w:snapToGrid w:val="0"/>
              </w:rPr>
              <w:t>100%</w:t>
            </w:r>
          </w:p>
        </w:tc>
      </w:tr>
      <w:tr w:rsidR="00B14D53" w14:paraId="7072E671" w14:textId="77777777">
        <w:trPr>
          <w:trHeight w:val="394"/>
        </w:trPr>
        <w:tc>
          <w:tcPr>
            <w:tcW w:w="1024" w:type="dxa"/>
            <w:vMerge/>
            <w:vAlign w:val="center"/>
          </w:tcPr>
          <w:p w14:paraId="4A5B54D7" w14:textId="77777777" w:rsidR="00B14D53" w:rsidRDefault="00B14D53">
            <w:pPr>
              <w:pStyle w:val="afff2"/>
              <w:spacing w:line="240" w:lineRule="auto"/>
              <w:rPr>
                <w:rFonts w:eastAsiaTheme="minorEastAsia" w:hAnsi="Times New Roman"/>
                <w:snapToGrid w:val="0"/>
              </w:rPr>
            </w:pPr>
          </w:p>
        </w:tc>
        <w:tc>
          <w:tcPr>
            <w:tcW w:w="1157" w:type="dxa"/>
            <w:vMerge/>
            <w:vAlign w:val="center"/>
          </w:tcPr>
          <w:p w14:paraId="2CD29F3D" w14:textId="77777777" w:rsidR="00B14D53" w:rsidRDefault="00B14D53">
            <w:pPr>
              <w:pStyle w:val="afff2"/>
              <w:spacing w:line="240" w:lineRule="auto"/>
              <w:rPr>
                <w:rFonts w:eastAsiaTheme="minorEastAsia" w:hAnsi="Times New Roman"/>
                <w:snapToGrid w:val="0"/>
              </w:rPr>
            </w:pPr>
          </w:p>
        </w:tc>
        <w:tc>
          <w:tcPr>
            <w:tcW w:w="1939" w:type="dxa"/>
            <w:vMerge w:val="restart"/>
            <w:vAlign w:val="center"/>
          </w:tcPr>
          <w:p w14:paraId="2733A68D" w14:textId="77777777" w:rsidR="00B14D53" w:rsidRDefault="00000000">
            <w:pPr>
              <w:pStyle w:val="afff2"/>
              <w:spacing w:line="240" w:lineRule="auto"/>
              <w:rPr>
                <w:rFonts w:hAnsi="Times New Roman"/>
              </w:rPr>
            </w:pPr>
            <w:r>
              <w:rPr>
                <w:rFonts w:hAnsi="Times New Roman"/>
              </w:rPr>
              <w:t>屠宰车间</w:t>
            </w:r>
          </w:p>
        </w:tc>
        <w:tc>
          <w:tcPr>
            <w:tcW w:w="2357" w:type="dxa"/>
            <w:vAlign w:val="center"/>
          </w:tcPr>
          <w:p w14:paraId="03893C54" w14:textId="77777777" w:rsidR="00B14D53" w:rsidRDefault="00000000">
            <w:pPr>
              <w:pStyle w:val="afff2"/>
              <w:spacing w:line="240" w:lineRule="auto"/>
              <w:rPr>
                <w:rFonts w:eastAsiaTheme="minorEastAsia" w:hAnsi="Times New Roman"/>
                <w:snapToGrid w:val="0"/>
              </w:rPr>
            </w:pPr>
            <w:r>
              <w:rPr>
                <w:rFonts w:hAnsi="Times New Roman"/>
              </w:rPr>
              <w:t>胃肠内容物</w:t>
            </w:r>
          </w:p>
        </w:tc>
        <w:tc>
          <w:tcPr>
            <w:tcW w:w="3590" w:type="dxa"/>
            <w:vAlign w:val="center"/>
          </w:tcPr>
          <w:p w14:paraId="42DC1278" w14:textId="77777777" w:rsidR="00B14D53" w:rsidRDefault="00000000">
            <w:pPr>
              <w:pStyle w:val="afff2"/>
              <w:spacing w:line="240" w:lineRule="auto"/>
              <w:rPr>
                <w:rFonts w:eastAsiaTheme="minorEastAsia" w:hAnsi="Times New Roman"/>
              </w:rPr>
            </w:pPr>
            <w:r>
              <w:rPr>
                <w:rFonts w:eastAsiaTheme="minorEastAsia" w:hAnsi="Times New Roman" w:hint="eastAsia"/>
              </w:rPr>
              <w:t>清理至包装桶内，暂存于待宰圈内</w:t>
            </w:r>
            <w:r>
              <w:rPr>
                <w:rFonts w:eastAsiaTheme="minorEastAsia" w:hAnsi="Times New Roman"/>
              </w:rPr>
              <w:t>，</w:t>
            </w:r>
            <w:r>
              <w:rPr>
                <w:rFonts w:eastAsiaTheme="minorEastAsia" w:hAnsi="Times New Roman" w:hint="eastAsia"/>
              </w:rPr>
              <w:t>每日生产结束后</w:t>
            </w:r>
            <w:r>
              <w:rPr>
                <w:rFonts w:eastAsiaTheme="minorEastAsia" w:hAnsi="Times New Roman"/>
              </w:rPr>
              <w:t>清运一次，外售有机肥厂进行堆肥处理</w:t>
            </w:r>
          </w:p>
        </w:tc>
        <w:tc>
          <w:tcPr>
            <w:tcW w:w="4493" w:type="dxa"/>
            <w:vMerge w:val="restart"/>
            <w:vAlign w:val="center"/>
          </w:tcPr>
          <w:p w14:paraId="0FBD6907"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实现资源化，处置率</w:t>
            </w:r>
            <w:r>
              <w:rPr>
                <w:rFonts w:eastAsiaTheme="minorEastAsia" w:hAnsi="Times New Roman"/>
                <w:snapToGrid w:val="0"/>
              </w:rPr>
              <w:t>100%</w:t>
            </w:r>
          </w:p>
        </w:tc>
      </w:tr>
      <w:tr w:rsidR="00B14D53" w14:paraId="269DC883" w14:textId="77777777">
        <w:trPr>
          <w:trHeight w:val="394"/>
        </w:trPr>
        <w:tc>
          <w:tcPr>
            <w:tcW w:w="1024" w:type="dxa"/>
            <w:vMerge/>
            <w:vAlign w:val="center"/>
          </w:tcPr>
          <w:p w14:paraId="02FF6009" w14:textId="77777777" w:rsidR="00B14D53" w:rsidRDefault="00B14D53">
            <w:pPr>
              <w:pStyle w:val="afff2"/>
              <w:spacing w:line="240" w:lineRule="auto"/>
              <w:rPr>
                <w:rFonts w:eastAsiaTheme="minorEastAsia" w:hAnsi="Times New Roman"/>
                <w:snapToGrid w:val="0"/>
              </w:rPr>
            </w:pPr>
          </w:p>
        </w:tc>
        <w:tc>
          <w:tcPr>
            <w:tcW w:w="1157" w:type="dxa"/>
            <w:vMerge/>
            <w:vAlign w:val="center"/>
          </w:tcPr>
          <w:p w14:paraId="1A13EACD" w14:textId="77777777" w:rsidR="00B14D53" w:rsidRDefault="00B14D53">
            <w:pPr>
              <w:pStyle w:val="afff2"/>
              <w:spacing w:line="240" w:lineRule="auto"/>
              <w:rPr>
                <w:rFonts w:eastAsiaTheme="minorEastAsia" w:hAnsi="Times New Roman"/>
                <w:snapToGrid w:val="0"/>
              </w:rPr>
            </w:pPr>
          </w:p>
        </w:tc>
        <w:tc>
          <w:tcPr>
            <w:tcW w:w="1939" w:type="dxa"/>
            <w:vMerge/>
            <w:vAlign w:val="center"/>
          </w:tcPr>
          <w:p w14:paraId="0923706D" w14:textId="77777777" w:rsidR="00B14D53" w:rsidRDefault="00B14D53">
            <w:pPr>
              <w:pStyle w:val="afff2"/>
              <w:spacing w:line="240" w:lineRule="auto"/>
              <w:rPr>
                <w:rFonts w:hAnsi="Times New Roman"/>
              </w:rPr>
            </w:pPr>
          </w:p>
        </w:tc>
        <w:tc>
          <w:tcPr>
            <w:tcW w:w="2357" w:type="dxa"/>
            <w:vAlign w:val="center"/>
          </w:tcPr>
          <w:p w14:paraId="2F9CC7B0" w14:textId="77777777" w:rsidR="00B14D53" w:rsidRDefault="00000000">
            <w:pPr>
              <w:pStyle w:val="afff2"/>
              <w:spacing w:line="240" w:lineRule="auto"/>
              <w:rPr>
                <w:rFonts w:eastAsiaTheme="minorEastAsia" w:hAnsi="Times New Roman"/>
                <w:snapToGrid w:val="0"/>
              </w:rPr>
            </w:pPr>
            <w:r>
              <w:rPr>
                <w:rFonts w:hAnsi="Times New Roman"/>
              </w:rPr>
              <w:t>废外包装</w:t>
            </w:r>
          </w:p>
        </w:tc>
        <w:tc>
          <w:tcPr>
            <w:tcW w:w="3590" w:type="dxa"/>
            <w:vAlign w:val="center"/>
          </w:tcPr>
          <w:p w14:paraId="2CA5665B" w14:textId="77777777" w:rsidR="00B14D53" w:rsidRDefault="00000000">
            <w:pPr>
              <w:pStyle w:val="afff2"/>
              <w:spacing w:line="240" w:lineRule="auto"/>
              <w:rPr>
                <w:rFonts w:eastAsiaTheme="minorEastAsia" w:hAnsi="Times New Roman"/>
              </w:rPr>
            </w:pPr>
            <w:r>
              <w:rPr>
                <w:rFonts w:hAnsi="Times New Roman"/>
              </w:rPr>
              <w:t>外售</w:t>
            </w:r>
            <w:r>
              <w:rPr>
                <w:rFonts w:hAnsi="Times New Roman" w:hint="eastAsia"/>
              </w:rPr>
              <w:t>物资回收单位</w:t>
            </w:r>
          </w:p>
        </w:tc>
        <w:tc>
          <w:tcPr>
            <w:tcW w:w="4493" w:type="dxa"/>
            <w:vMerge/>
            <w:vAlign w:val="center"/>
          </w:tcPr>
          <w:p w14:paraId="60548C78" w14:textId="77777777" w:rsidR="00B14D53" w:rsidRDefault="00B14D53">
            <w:pPr>
              <w:pStyle w:val="afff2"/>
              <w:spacing w:line="240" w:lineRule="auto"/>
              <w:rPr>
                <w:rFonts w:eastAsiaTheme="minorEastAsia" w:hAnsi="Times New Roman"/>
                <w:snapToGrid w:val="0"/>
              </w:rPr>
            </w:pPr>
          </w:p>
        </w:tc>
      </w:tr>
      <w:tr w:rsidR="00B14D53" w14:paraId="7BFD08D3" w14:textId="77777777">
        <w:trPr>
          <w:trHeight w:val="394"/>
        </w:trPr>
        <w:tc>
          <w:tcPr>
            <w:tcW w:w="1024" w:type="dxa"/>
            <w:vMerge/>
            <w:vAlign w:val="center"/>
          </w:tcPr>
          <w:p w14:paraId="0E22192B" w14:textId="77777777" w:rsidR="00B14D53" w:rsidRDefault="00B14D53">
            <w:pPr>
              <w:pStyle w:val="afff2"/>
              <w:spacing w:line="240" w:lineRule="auto"/>
              <w:rPr>
                <w:rFonts w:eastAsiaTheme="minorEastAsia" w:hAnsi="Times New Roman"/>
                <w:snapToGrid w:val="0"/>
              </w:rPr>
            </w:pPr>
          </w:p>
        </w:tc>
        <w:tc>
          <w:tcPr>
            <w:tcW w:w="1157" w:type="dxa"/>
            <w:vMerge/>
            <w:vAlign w:val="center"/>
          </w:tcPr>
          <w:p w14:paraId="4D2C365A" w14:textId="77777777" w:rsidR="00B14D53" w:rsidRDefault="00B14D53">
            <w:pPr>
              <w:pStyle w:val="afff2"/>
              <w:spacing w:line="240" w:lineRule="auto"/>
              <w:rPr>
                <w:rFonts w:eastAsiaTheme="minorEastAsia" w:hAnsi="Times New Roman"/>
                <w:snapToGrid w:val="0"/>
              </w:rPr>
            </w:pPr>
          </w:p>
        </w:tc>
        <w:tc>
          <w:tcPr>
            <w:tcW w:w="1939" w:type="dxa"/>
            <w:vMerge/>
            <w:vAlign w:val="center"/>
          </w:tcPr>
          <w:p w14:paraId="342DE939" w14:textId="77777777" w:rsidR="00B14D53" w:rsidRDefault="00B14D53">
            <w:pPr>
              <w:pStyle w:val="afff2"/>
              <w:spacing w:line="240" w:lineRule="auto"/>
              <w:rPr>
                <w:rFonts w:hAnsi="Times New Roman"/>
              </w:rPr>
            </w:pPr>
          </w:p>
        </w:tc>
        <w:tc>
          <w:tcPr>
            <w:tcW w:w="2357" w:type="dxa"/>
            <w:vAlign w:val="center"/>
          </w:tcPr>
          <w:p w14:paraId="6058F0F8" w14:textId="77777777" w:rsidR="00B14D53" w:rsidRDefault="00000000">
            <w:pPr>
              <w:pStyle w:val="afff2"/>
              <w:spacing w:line="240" w:lineRule="auto"/>
              <w:rPr>
                <w:rFonts w:eastAsiaTheme="minorEastAsia" w:hAnsi="Times New Roman"/>
                <w:snapToGrid w:val="0"/>
              </w:rPr>
            </w:pPr>
            <w:r>
              <w:rPr>
                <w:rFonts w:hAnsi="Times New Roman"/>
              </w:rPr>
              <w:t>病变腺体、内脏及残留脂肪</w:t>
            </w:r>
          </w:p>
        </w:tc>
        <w:tc>
          <w:tcPr>
            <w:tcW w:w="3590" w:type="dxa"/>
            <w:vAlign w:val="center"/>
          </w:tcPr>
          <w:p w14:paraId="4F213BF3" w14:textId="77777777" w:rsidR="00B14D53" w:rsidRDefault="00000000">
            <w:pPr>
              <w:pStyle w:val="afff2"/>
              <w:spacing w:line="240" w:lineRule="auto"/>
              <w:rPr>
                <w:rFonts w:eastAsiaTheme="minorEastAsia" w:hAnsi="Times New Roman"/>
              </w:rPr>
            </w:pPr>
            <w:r>
              <w:rPr>
                <w:rFonts w:hAnsi="Times New Roman"/>
              </w:rPr>
              <w:t>委托</w:t>
            </w:r>
            <w:r>
              <w:rPr>
                <w:rFonts w:hAnsi="Times New Roman" w:hint="eastAsia"/>
              </w:rPr>
              <w:t>哈尔滨银山无害化处理有限公司</w:t>
            </w:r>
          </w:p>
        </w:tc>
        <w:tc>
          <w:tcPr>
            <w:tcW w:w="4493" w:type="dxa"/>
            <w:vAlign w:val="center"/>
          </w:tcPr>
          <w:p w14:paraId="4905BBA8"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无害化处理，处置率</w:t>
            </w:r>
            <w:r>
              <w:rPr>
                <w:rFonts w:eastAsiaTheme="minorEastAsia" w:hAnsi="Times New Roman"/>
                <w:snapToGrid w:val="0"/>
              </w:rPr>
              <w:t>100%</w:t>
            </w:r>
          </w:p>
        </w:tc>
      </w:tr>
      <w:tr w:rsidR="00B14D53" w14:paraId="32F45227" w14:textId="77777777">
        <w:trPr>
          <w:trHeight w:val="370"/>
        </w:trPr>
        <w:tc>
          <w:tcPr>
            <w:tcW w:w="1024" w:type="dxa"/>
            <w:vMerge/>
            <w:vAlign w:val="center"/>
          </w:tcPr>
          <w:p w14:paraId="35487CF7" w14:textId="77777777" w:rsidR="00B14D53" w:rsidRDefault="00B14D53">
            <w:pPr>
              <w:pStyle w:val="afff2"/>
              <w:spacing w:line="240" w:lineRule="auto"/>
              <w:rPr>
                <w:rFonts w:eastAsiaTheme="minorEastAsia" w:hAnsi="Times New Roman"/>
                <w:snapToGrid w:val="0"/>
              </w:rPr>
            </w:pPr>
          </w:p>
        </w:tc>
        <w:tc>
          <w:tcPr>
            <w:tcW w:w="1157" w:type="dxa"/>
            <w:vMerge/>
            <w:vAlign w:val="center"/>
          </w:tcPr>
          <w:p w14:paraId="38EEE261" w14:textId="77777777" w:rsidR="00B14D53" w:rsidRDefault="00B14D53">
            <w:pPr>
              <w:pStyle w:val="afff2"/>
              <w:spacing w:line="240" w:lineRule="auto"/>
              <w:rPr>
                <w:rFonts w:eastAsiaTheme="minorEastAsia" w:hAnsi="Times New Roman"/>
                <w:snapToGrid w:val="0"/>
              </w:rPr>
            </w:pPr>
          </w:p>
        </w:tc>
        <w:tc>
          <w:tcPr>
            <w:tcW w:w="1939" w:type="dxa"/>
            <w:vAlign w:val="center"/>
          </w:tcPr>
          <w:p w14:paraId="3F6F6420" w14:textId="77777777" w:rsidR="00B14D53" w:rsidRDefault="00000000">
            <w:pPr>
              <w:pStyle w:val="afff2"/>
              <w:spacing w:line="240" w:lineRule="auto"/>
              <w:rPr>
                <w:rFonts w:eastAsiaTheme="minorEastAsia" w:hAnsi="Times New Roman"/>
                <w:snapToGrid w:val="0"/>
              </w:rPr>
            </w:pPr>
            <w:r>
              <w:rPr>
                <w:rFonts w:hAnsi="Times New Roman"/>
              </w:rPr>
              <w:t>污水处理站</w:t>
            </w:r>
          </w:p>
        </w:tc>
        <w:tc>
          <w:tcPr>
            <w:tcW w:w="2357" w:type="dxa"/>
            <w:vAlign w:val="center"/>
          </w:tcPr>
          <w:p w14:paraId="2F610501" w14:textId="77777777" w:rsidR="00B14D53" w:rsidRDefault="00000000">
            <w:pPr>
              <w:pStyle w:val="afff2"/>
              <w:spacing w:line="240" w:lineRule="auto"/>
              <w:rPr>
                <w:rFonts w:eastAsiaTheme="minorEastAsia" w:hAnsi="Times New Roman"/>
                <w:snapToGrid w:val="0"/>
              </w:rPr>
            </w:pPr>
            <w:r>
              <w:rPr>
                <w:rFonts w:eastAsiaTheme="minorEastAsia" w:hAnsi="Times New Roman" w:hint="eastAsia"/>
                <w:snapToGrid w:val="0"/>
              </w:rPr>
              <w:t>污泥、栅渣</w:t>
            </w:r>
          </w:p>
        </w:tc>
        <w:tc>
          <w:tcPr>
            <w:tcW w:w="3590" w:type="dxa"/>
            <w:vAlign w:val="center"/>
          </w:tcPr>
          <w:p w14:paraId="3809C7FD" w14:textId="77777777" w:rsidR="00B14D53" w:rsidRDefault="00000000">
            <w:pPr>
              <w:pStyle w:val="afff2"/>
              <w:spacing w:line="240" w:lineRule="auto"/>
              <w:rPr>
                <w:rFonts w:eastAsiaTheme="minorEastAsia" w:hAnsi="Times New Roman"/>
                <w:snapToGrid w:val="0"/>
              </w:rPr>
            </w:pPr>
            <w:r>
              <w:rPr>
                <w:rFonts w:hAnsi="Times New Roman"/>
              </w:rPr>
              <w:t>采用压滤机脱水后，送生活垃圾填埋场处理</w:t>
            </w:r>
          </w:p>
        </w:tc>
        <w:tc>
          <w:tcPr>
            <w:tcW w:w="4493" w:type="dxa"/>
            <w:vMerge w:val="restart"/>
            <w:vAlign w:val="center"/>
          </w:tcPr>
          <w:p w14:paraId="6A49F978" w14:textId="77777777" w:rsidR="00B14D53" w:rsidRDefault="00000000">
            <w:pPr>
              <w:pStyle w:val="afff2"/>
              <w:spacing w:line="240" w:lineRule="auto"/>
              <w:rPr>
                <w:rFonts w:eastAsiaTheme="minorEastAsia" w:hAnsi="Times New Roman"/>
                <w:snapToGrid w:val="0"/>
              </w:rPr>
            </w:pPr>
            <w:r>
              <w:rPr>
                <w:rFonts w:eastAsiaTheme="minorEastAsia" w:hAnsi="Times New Roman"/>
                <w:snapToGrid w:val="0"/>
              </w:rPr>
              <w:t>处置率</w:t>
            </w:r>
            <w:r>
              <w:rPr>
                <w:rFonts w:eastAsiaTheme="minorEastAsia" w:hAnsi="Times New Roman"/>
                <w:snapToGrid w:val="0"/>
              </w:rPr>
              <w:t>100%</w:t>
            </w:r>
          </w:p>
        </w:tc>
      </w:tr>
      <w:tr w:rsidR="00B14D53" w14:paraId="1CC11C98" w14:textId="77777777">
        <w:trPr>
          <w:trHeight w:val="370"/>
        </w:trPr>
        <w:tc>
          <w:tcPr>
            <w:tcW w:w="1024" w:type="dxa"/>
            <w:vMerge/>
            <w:vAlign w:val="center"/>
          </w:tcPr>
          <w:p w14:paraId="620068AC" w14:textId="77777777" w:rsidR="00B14D53" w:rsidRDefault="00B14D53">
            <w:pPr>
              <w:pStyle w:val="afff2"/>
              <w:spacing w:line="240" w:lineRule="auto"/>
              <w:rPr>
                <w:rFonts w:eastAsiaTheme="minorEastAsia" w:hAnsi="Times New Roman"/>
                <w:snapToGrid w:val="0"/>
              </w:rPr>
            </w:pPr>
          </w:p>
        </w:tc>
        <w:tc>
          <w:tcPr>
            <w:tcW w:w="1157" w:type="dxa"/>
            <w:vMerge/>
            <w:vAlign w:val="center"/>
          </w:tcPr>
          <w:p w14:paraId="44BC8BC4" w14:textId="77777777" w:rsidR="00B14D53" w:rsidRDefault="00B14D53">
            <w:pPr>
              <w:pStyle w:val="afff2"/>
              <w:spacing w:line="240" w:lineRule="auto"/>
              <w:rPr>
                <w:rFonts w:eastAsiaTheme="minorEastAsia" w:hAnsi="Times New Roman"/>
                <w:snapToGrid w:val="0"/>
              </w:rPr>
            </w:pPr>
          </w:p>
        </w:tc>
        <w:tc>
          <w:tcPr>
            <w:tcW w:w="1939" w:type="dxa"/>
            <w:vAlign w:val="center"/>
          </w:tcPr>
          <w:p w14:paraId="104AACA8" w14:textId="77777777" w:rsidR="00B14D53" w:rsidRDefault="00000000">
            <w:pPr>
              <w:pStyle w:val="afff2"/>
              <w:spacing w:line="240" w:lineRule="auto"/>
              <w:rPr>
                <w:rFonts w:eastAsiaTheme="minorEastAsia" w:hAnsi="Times New Roman"/>
                <w:snapToGrid w:val="0"/>
              </w:rPr>
            </w:pPr>
            <w:r>
              <w:rPr>
                <w:rFonts w:hAnsi="Times New Roman"/>
              </w:rPr>
              <w:t>活性炭吸附装置</w:t>
            </w:r>
          </w:p>
        </w:tc>
        <w:tc>
          <w:tcPr>
            <w:tcW w:w="2357" w:type="dxa"/>
            <w:vAlign w:val="center"/>
          </w:tcPr>
          <w:p w14:paraId="1BCE6354" w14:textId="77777777" w:rsidR="00B14D53" w:rsidRDefault="00000000">
            <w:pPr>
              <w:pStyle w:val="afff2"/>
              <w:spacing w:line="240" w:lineRule="auto"/>
              <w:rPr>
                <w:rFonts w:eastAsiaTheme="minorEastAsia" w:hAnsi="Times New Roman"/>
                <w:snapToGrid w:val="0"/>
              </w:rPr>
            </w:pPr>
            <w:r>
              <w:rPr>
                <w:rFonts w:hAnsi="Times New Roman"/>
              </w:rPr>
              <w:t>废活性炭</w:t>
            </w:r>
          </w:p>
        </w:tc>
        <w:tc>
          <w:tcPr>
            <w:tcW w:w="3590" w:type="dxa"/>
            <w:vAlign w:val="center"/>
          </w:tcPr>
          <w:p w14:paraId="57C54D21" w14:textId="77777777" w:rsidR="00B14D53" w:rsidRDefault="00000000">
            <w:pPr>
              <w:pStyle w:val="afff2"/>
              <w:spacing w:line="240" w:lineRule="auto"/>
              <w:rPr>
                <w:rFonts w:eastAsiaTheme="minorEastAsia" w:hAnsi="Times New Roman"/>
                <w:snapToGrid w:val="0"/>
              </w:rPr>
            </w:pPr>
            <w:r>
              <w:rPr>
                <w:rFonts w:hAnsi="Times New Roman"/>
              </w:rPr>
              <w:t>交由厂家再生利用</w:t>
            </w:r>
          </w:p>
        </w:tc>
        <w:tc>
          <w:tcPr>
            <w:tcW w:w="4493" w:type="dxa"/>
            <w:vMerge/>
            <w:vAlign w:val="center"/>
          </w:tcPr>
          <w:p w14:paraId="472CCCFF" w14:textId="77777777" w:rsidR="00B14D53" w:rsidRDefault="00B14D53">
            <w:pPr>
              <w:pStyle w:val="afff2"/>
              <w:spacing w:line="240" w:lineRule="auto"/>
              <w:rPr>
                <w:rFonts w:eastAsiaTheme="minorEastAsia" w:hAnsi="Times New Roman"/>
                <w:snapToGrid w:val="0"/>
              </w:rPr>
            </w:pPr>
          </w:p>
        </w:tc>
      </w:tr>
      <w:tr w:rsidR="00B14D53" w14:paraId="5ECDAF9B" w14:textId="77777777">
        <w:trPr>
          <w:trHeight w:val="370"/>
        </w:trPr>
        <w:tc>
          <w:tcPr>
            <w:tcW w:w="1024" w:type="dxa"/>
            <w:vMerge/>
            <w:vAlign w:val="center"/>
          </w:tcPr>
          <w:p w14:paraId="3772B169" w14:textId="77777777" w:rsidR="00B14D53" w:rsidRDefault="00B14D53">
            <w:pPr>
              <w:pStyle w:val="afff2"/>
              <w:spacing w:line="240" w:lineRule="auto"/>
              <w:rPr>
                <w:rFonts w:eastAsiaTheme="minorEastAsia" w:hAnsi="Times New Roman"/>
                <w:snapToGrid w:val="0"/>
              </w:rPr>
            </w:pPr>
          </w:p>
        </w:tc>
        <w:tc>
          <w:tcPr>
            <w:tcW w:w="1157" w:type="dxa"/>
            <w:vMerge/>
            <w:vAlign w:val="center"/>
          </w:tcPr>
          <w:p w14:paraId="460CD9D8" w14:textId="77777777" w:rsidR="00B14D53" w:rsidRDefault="00B14D53">
            <w:pPr>
              <w:pStyle w:val="afff2"/>
              <w:spacing w:line="240" w:lineRule="auto"/>
              <w:rPr>
                <w:rFonts w:eastAsiaTheme="minorEastAsia" w:hAnsi="Times New Roman"/>
                <w:snapToGrid w:val="0"/>
              </w:rPr>
            </w:pPr>
          </w:p>
        </w:tc>
        <w:tc>
          <w:tcPr>
            <w:tcW w:w="1939" w:type="dxa"/>
            <w:vAlign w:val="center"/>
          </w:tcPr>
          <w:p w14:paraId="760DFEFE" w14:textId="77777777" w:rsidR="00B14D53" w:rsidRDefault="00000000">
            <w:pPr>
              <w:pStyle w:val="afff2"/>
              <w:spacing w:line="240" w:lineRule="auto"/>
              <w:rPr>
                <w:rFonts w:eastAsiaTheme="minorEastAsia" w:hAnsi="Times New Roman"/>
                <w:snapToGrid w:val="0"/>
              </w:rPr>
            </w:pPr>
            <w:r>
              <w:rPr>
                <w:rFonts w:hAnsi="Times New Roman" w:hint="eastAsia"/>
              </w:rPr>
              <w:t>软化水装置</w:t>
            </w:r>
          </w:p>
        </w:tc>
        <w:tc>
          <w:tcPr>
            <w:tcW w:w="2357" w:type="dxa"/>
            <w:vAlign w:val="center"/>
          </w:tcPr>
          <w:p w14:paraId="11FC5A13" w14:textId="77777777" w:rsidR="00B14D53" w:rsidRDefault="00000000">
            <w:pPr>
              <w:pStyle w:val="afff2"/>
              <w:spacing w:line="240" w:lineRule="auto"/>
              <w:rPr>
                <w:rFonts w:eastAsiaTheme="minorEastAsia" w:hAnsi="Times New Roman"/>
                <w:snapToGrid w:val="0"/>
              </w:rPr>
            </w:pPr>
            <w:r>
              <w:rPr>
                <w:rFonts w:hAnsi="Times New Roman"/>
              </w:rPr>
              <w:t>废离子交换树脂</w:t>
            </w:r>
          </w:p>
        </w:tc>
        <w:tc>
          <w:tcPr>
            <w:tcW w:w="3590" w:type="dxa"/>
            <w:vAlign w:val="center"/>
          </w:tcPr>
          <w:p w14:paraId="191851DD" w14:textId="77777777" w:rsidR="00B14D53" w:rsidRDefault="00000000">
            <w:pPr>
              <w:pStyle w:val="afff2"/>
              <w:spacing w:line="240" w:lineRule="auto"/>
              <w:rPr>
                <w:rFonts w:eastAsiaTheme="minorEastAsia" w:hAnsi="Times New Roman"/>
                <w:snapToGrid w:val="0"/>
              </w:rPr>
            </w:pPr>
            <w:r>
              <w:rPr>
                <w:rFonts w:hAnsi="Times New Roman"/>
              </w:rPr>
              <w:t>由厂家回收利用</w:t>
            </w:r>
          </w:p>
        </w:tc>
        <w:tc>
          <w:tcPr>
            <w:tcW w:w="4493" w:type="dxa"/>
            <w:vMerge/>
            <w:vAlign w:val="center"/>
          </w:tcPr>
          <w:p w14:paraId="55093F49" w14:textId="77777777" w:rsidR="00B14D53" w:rsidRDefault="00B14D53">
            <w:pPr>
              <w:pStyle w:val="afff2"/>
              <w:spacing w:line="240" w:lineRule="auto"/>
              <w:rPr>
                <w:rFonts w:eastAsiaTheme="minorEastAsia" w:hAnsi="Times New Roman"/>
                <w:snapToGrid w:val="0"/>
              </w:rPr>
            </w:pPr>
          </w:p>
        </w:tc>
      </w:tr>
      <w:tr w:rsidR="00B14D53" w14:paraId="3D6B7789" w14:textId="77777777">
        <w:trPr>
          <w:trHeight w:val="370"/>
        </w:trPr>
        <w:tc>
          <w:tcPr>
            <w:tcW w:w="1024" w:type="dxa"/>
            <w:vMerge/>
            <w:vAlign w:val="center"/>
          </w:tcPr>
          <w:p w14:paraId="13D6B038" w14:textId="77777777" w:rsidR="00B14D53" w:rsidRDefault="00B14D53">
            <w:pPr>
              <w:pStyle w:val="afff2"/>
              <w:spacing w:line="240" w:lineRule="auto"/>
              <w:rPr>
                <w:rFonts w:eastAsiaTheme="minorEastAsia" w:hAnsi="Times New Roman"/>
                <w:snapToGrid w:val="0"/>
              </w:rPr>
            </w:pPr>
          </w:p>
        </w:tc>
        <w:tc>
          <w:tcPr>
            <w:tcW w:w="1157" w:type="dxa"/>
            <w:vMerge/>
            <w:vAlign w:val="center"/>
          </w:tcPr>
          <w:p w14:paraId="2E32FED4" w14:textId="77777777" w:rsidR="00B14D53" w:rsidRDefault="00B14D53">
            <w:pPr>
              <w:pStyle w:val="afff2"/>
              <w:spacing w:line="240" w:lineRule="auto"/>
              <w:rPr>
                <w:rFonts w:eastAsiaTheme="minorEastAsia" w:hAnsi="Times New Roman"/>
                <w:snapToGrid w:val="0"/>
              </w:rPr>
            </w:pPr>
          </w:p>
        </w:tc>
        <w:tc>
          <w:tcPr>
            <w:tcW w:w="1939" w:type="dxa"/>
            <w:vAlign w:val="center"/>
          </w:tcPr>
          <w:p w14:paraId="7566E47A" w14:textId="77777777" w:rsidR="00B14D53" w:rsidRDefault="00000000">
            <w:pPr>
              <w:pStyle w:val="afff2"/>
              <w:spacing w:line="240" w:lineRule="auto"/>
              <w:rPr>
                <w:rFonts w:eastAsiaTheme="minorEastAsia" w:hAnsi="Times New Roman"/>
                <w:snapToGrid w:val="0"/>
              </w:rPr>
            </w:pPr>
            <w:r>
              <w:rPr>
                <w:rFonts w:hAnsi="Times New Roman" w:hint="eastAsia"/>
                <w:szCs w:val="22"/>
              </w:rPr>
              <w:t>休息室</w:t>
            </w:r>
          </w:p>
        </w:tc>
        <w:tc>
          <w:tcPr>
            <w:tcW w:w="2357" w:type="dxa"/>
            <w:vAlign w:val="center"/>
          </w:tcPr>
          <w:p w14:paraId="075817E1" w14:textId="77777777" w:rsidR="00B14D53" w:rsidRDefault="00000000">
            <w:pPr>
              <w:pStyle w:val="afff2"/>
              <w:spacing w:line="240" w:lineRule="auto"/>
              <w:rPr>
                <w:rFonts w:eastAsiaTheme="minorEastAsia" w:hAnsi="Times New Roman"/>
                <w:snapToGrid w:val="0"/>
              </w:rPr>
            </w:pPr>
            <w:r>
              <w:rPr>
                <w:rFonts w:hAnsi="Times New Roman"/>
              </w:rPr>
              <w:t>生活垃圾</w:t>
            </w:r>
          </w:p>
        </w:tc>
        <w:tc>
          <w:tcPr>
            <w:tcW w:w="3590" w:type="dxa"/>
            <w:vAlign w:val="center"/>
          </w:tcPr>
          <w:p w14:paraId="5998DA72" w14:textId="77777777" w:rsidR="00B14D53" w:rsidRDefault="00000000">
            <w:pPr>
              <w:pStyle w:val="afff2"/>
              <w:spacing w:line="240" w:lineRule="auto"/>
              <w:rPr>
                <w:rFonts w:eastAsiaTheme="minorEastAsia" w:hAnsi="Times New Roman"/>
                <w:snapToGrid w:val="0"/>
              </w:rPr>
            </w:pPr>
            <w:r>
              <w:rPr>
                <w:rFonts w:hAnsi="Times New Roman"/>
              </w:rPr>
              <w:t>由市政部门统一处理</w:t>
            </w:r>
          </w:p>
        </w:tc>
        <w:tc>
          <w:tcPr>
            <w:tcW w:w="4493" w:type="dxa"/>
            <w:vMerge/>
            <w:vAlign w:val="center"/>
          </w:tcPr>
          <w:p w14:paraId="58011ABC" w14:textId="77777777" w:rsidR="00B14D53" w:rsidRDefault="00B14D53">
            <w:pPr>
              <w:pStyle w:val="afff2"/>
              <w:spacing w:line="240" w:lineRule="auto"/>
              <w:rPr>
                <w:rFonts w:eastAsiaTheme="minorEastAsia" w:hAnsi="Times New Roman"/>
                <w:snapToGrid w:val="0"/>
              </w:rPr>
            </w:pPr>
          </w:p>
        </w:tc>
      </w:tr>
    </w:tbl>
    <w:p w14:paraId="5ED5A96B" w14:textId="77777777" w:rsidR="00B14D53" w:rsidRDefault="00B14D53">
      <w:pPr>
        <w:widowControl/>
        <w:jc w:val="left"/>
        <w:rPr>
          <w:rFonts w:eastAsiaTheme="minorEastAsia"/>
          <w:kern w:val="0"/>
          <w:sz w:val="24"/>
        </w:rPr>
        <w:sectPr w:rsidR="00B14D53">
          <w:pgSz w:w="16838" w:h="11906" w:orient="landscape"/>
          <w:pgMar w:top="1800" w:right="1440" w:bottom="1800" w:left="1440" w:header="851" w:footer="992" w:gutter="0"/>
          <w:cols w:space="720"/>
          <w:docGrid w:type="lines" w:linePitch="326"/>
        </w:sectPr>
      </w:pPr>
    </w:p>
    <w:p w14:paraId="45D1683B"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324" w:name="_Toc15991728"/>
      <w:bookmarkStart w:id="325" w:name="_Toc10075"/>
      <w:bookmarkStart w:id="326" w:name="_Toc454962811"/>
      <w:bookmarkStart w:id="327" w:name="_Toc477954592"/>
      <w:r>
        <w:rPr>
          <w:rFonts w:ascii="Times New Roman" w:eastAsia="黑体" w:hAnsi="Times New Roman" w:cs="Times New Roman"/>
          <w:b w:val="0"/>
          <w:bCs w:val="0"/>
          <w:sz w:val="30"/>
          <w:szCs w:val="30"/>
        </w:rPr>
        <w:t>8.4</w:t>
      </w:r>
      <w:r>
        <w:rPr>
          <w:rFonts w:ascii="Times New Roman" w:eastAsia="黑体" w:hAnsi="Times New Roman" w:cs="Times New Roman"/>
          <w:b w:val="0"/>
          <w:bCs w:val="0"/>
          <w:sz w:val="30"/>
          <w:szCs w:val="30"/>
        </w:rPr>
        <w:t>总量控制</w:t>
      </w:r>
      <w:bookmarkEnd w:id="324"/>
      <w:bookmarkEnd w:id="325"/>
    </w:p>
    <w:p w14:paraId="0D986AAA"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328" w:name="_Toc15991729"/>
      <w:r>
        <w:rPr>
          <w:rFonts w:ascii="Times New Roman" w:eastAsia="黑体" w:hAnsi="Times New Roman" w:cs="Times New Roman"/>
          <w:sz w:val="28"/>
          <w:szCs w:val="28"/>
        </w:rPr>
        <w:t>8.4.1</w:t>
      </w:r>
      <w:r>
        <w:rPr>
          <w:rFonts w:ascii="Times New Roman" w:eastAsia="黑体" w:hAnsi="Times New Roman" w:cs="Times New Roman"/>
          <w:sz w:val="28"/>
          <w:szCs w:val="28"/>
        </w:rPr>
        <w:t>总量控制的意义和原则</w:t>
      </w:r>
      <w:bookmarkEnd w:id="328"/>
    </w:p>
    <w:p w14:paraId="2B40BD52"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实施总量控制将促进资源、能源的合</w:t>
      </w:r>
      <w:r>
        <w:rPr>
          <w:rFonts w:ascii="Times New Roman" w:hAnsi="Times New Roman" w:cs="Times New Roman" w:hint="eastAsia"/>
        </w:rPr>
        <w:t>理</w:t>
      </w:r>
      <w:r>
        <w:rPr>
          <w:rFonts w:ascii="Times New Roman" w:hAnsi="Times New Roman" w:cs="Times New Roman"/>
        </w:rPr>
        <w:t>利用和优化配置，加速产业结构的调整，实现经济增长方式的根本转变；实施总量控制可以较好地协调经济发展与环境保护之间的关系，推动可持续发展战略的实行。</w:t>
      </w:r>
    </w:p>
    <w:p w14:paraId="6DABCA27"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本工程属于</w:t>
      </w:r>
      <w:r>
        <w:rPr>
          <w:rFonts w:cs="Times New Roman" w:hint="eastAsia"/>
        </w:rPr>
        <w:t>生猪</w:t>
      </w:r>
      <w:r>
        <w:rPr>
          <w:rFonts w:ascii="Times New Roman" w:eastAsia="宋体" w:hAnsi="Times New Roman" w:cs="Times New Roman"/>
        </w:rPr>
        <w:t>屠宰项目</w:t>
      </w:r>
      <w:r>
        <w:rPr>
          <w:rFonts w:ascii="Times New Roman" w:hAnsi="Times New Roman" w:cs="Times New Roman"/>
        </w:rPr>
        <w:t>，总量控制应以</w:t>
      </w:r>
      <w:r>
        <w:rPr>
          <w:rFonts w:ascii="Times New Roman" w:hAnsi="Times New Roman" w:cs="Times New Roman" w:hint="eastAsia"/>
        </w:rPr>
        <w:t>哈尔滨</w:t>
      </w:r>
      <w:r>
        <w:rPr>
          <w:rFonts w:ascii="Times New Roman" w:hAnsi="Times New Roman" w:cs="Times New Roman"/>
        </w:rPr>
        <w:t>市总量控制规划为目标，将本工程投产后排放的污染物总量纳入其总量控制规划中，通过区域调整平衡，实现</w:t>
      </w:r>
      <w:r>
        <w:rPr>
          <w:rFonts w:ascii="Times New Roman" w:hAnsi="Times New Roman" w:cs="Times New Roman" w:hint="eastAsia"/>
        </w:rPr>
        <w:t>哈尔滨</w:t>
      </w:r>
      <w:r>
        <w:rPr>
          <w:rFonts w:ascii="Times New Roman" w:hAnsi="Times New Roman" w:cs="Times New Roman"/>
        </w:rPr>
        <w:t>市污染物排放总量控制的目标。</w:t>
      </w:r>
    </w:p>
    <w:p w14:paraId="7277326D"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329" w:name="_Toc15991730"/>
      <w:r>
        <w:rPr>
          <w:rFonts w:ascii="Times New Roman" w:eastAsia="黑体" w:hAnsi="Times New Roman" w:cs="Times New Roman"/>
          <w:sz w:val="28"/>
          <w:szCs w:val="28"/>
        </w:rPr>
        <w:t>8.4.2</w:t>
      </w:r>
      <w:r>
        <w:rPr>
          <w:rFonts w:ascii="Times New Roman" w:eastAsia="黑体" w:hAnsi="Times New Roman" w:cs="Times New Roman"/>
          <w:sz w:val="28"/>
          <w:szCs w:val="28"/>
        </w:rPr>
        <w:t>总量控制因子</w:t>
      </w:r>
      <w:bookmarkEnd w:id="329"/>
    </w:p>
    <w:p w14:paraId="61D66DF7"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本项目总量控制因子</w:t>
      </w:r>
      <w:r>
        <w:rPr>
          <w:rFonts w:ascii="Times New Roman" w:hAnsi="Times New Roman" w:cs="Times New Roman" w:hint="eastAsia"/>
        </w:rPr>
        <w:t>为</w:t>
      </w:r>
      <w:r>
        <w:rPr>
          <w:rFonts w:ascii="Times New Roman" w:hAnsi="Times New Roman" w:cs="Times New Roman" w:hint="eastAsia"/>
        </w:rPr>
        <w:t>COD</w:t>
      </w:r>
      <w:r>
        <w:rPr>
          <w:rFonts w:ascii="Times New Roman" w:hAnsi="Times New Roman" w:cs="Times New Roman" w:hint="eastAsia"/>
        </w:rPr>
        <w:t>、氨氮</w:t>
      </w:r>
      <w:r>
        <w:rPr>
          <w:rFonts w:ascii="Times New Roman" w:hAnsi="Times New Roman" w:cs="Times New Roman"/>
        </w:rPr>
        <w:t>。</w:t>
      </w:r>
    </w:p>
    <w:p w14:paraId="7A458BFF"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）生产废水</w:t>
      </w:r>
    </w:p>
    <w:p w14:paraId="5918ABB9" w14:textId="77777777" w:rsidR="00B14D53" w:rsidRDefault="00000000">
      <w:pPr>
        <w:pStyle w:val="afff"/>
        <w:adjustRightInd/>
        <w:snapToGrid/>
        <w:ind w:firstLineChars="0" w:firstLine="0"/>
        <w:contextualSpacing/>
        <w:jc w:val="center"/>
        <w:rPr>
          <w:rFonts w:ascii="Times New Roman" w:hAnsi="Times New Roman" w:cs="Times New Roman"/>
        </w:rPr>
      </w:pPr>
      <w:r>
        <w:rPr>
          <w:noProof/>
        </w:rPr>
        <w:drawing>
          <wp:inline distT="0" distB="0" distL="114300" distR="114300" wp14:anchorId="62452171" wp14:editId="1120DB9F">
            <wp:extent cx="2284730" cy="586105"/>
            <wp:effectExtent l="0" t="0" r="1270" b="4445"/>
            <wp:docPr id="3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12"/>
                    <pic:cNvPicPr>
                      <a:picLocks noChangeAspect="1"/>
                    </pic:cNvPicPr>
                  </pic:nvPicPr>
                  <pic:blipFill>
                    <a:blip r:embed="rId91"/>
                    <a:stretch>
                      <a:fillRect/>
                    </a:stretch>
                  </pic:blipFill>
                  <pic:spPr>
                    <a:xfrm>
                      <a:off x="0" y="0"/>
                      <a:ext cx="2284730" cy="586105"/>
                    </a:xfrm>
                    <a:prstGeom prst="rect">
                      <a:avLst/>
                    </a:prstGeom>
                    <a:noFill/>
                    <a:ln>
                      <a:noFill/>
                    </a:ln>
                  </pic:spPr>
                </pic:pic>
              </a:graphicData>
            </a:graphic>
          </wp:inline>
        </w:drawing>
      </w:r>
    </w:p>
    <w:p w14:paraId="2280BC3D"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hint="eastAsia"/>
        </w:rPr>
        <w:t>式中：</w:t>
      </w:r>
      <w:r>
        <w:rPr>
          <w:rFonts w:ascii="Times New Roman" w:hAnsi="Times New Roman" w:cs="Times New Roman" w:hint="eastAsia"/>
        </w:rPr>
        <w:t>D</w:t>
      </w:r>
      <w:r>
        <w:rPr>
          <w:rFonts w:ascii="Times New Roman" w:hAnsi="Times New Roman" w:cs="Times New Roman" w:hint="eastAsia"/>
          <w:vertAlign w:val="subscript"/>
        </w:rPr>
        <w:t>j</w:t>
      </w:r>
      <w:r>
        <w:rPr>
          <w:rFonts w:ascii="Times New Roman" w:hAnsi="Times New Roman" w:cs="Times New Roman" w:hint="eastAsia"/>
        </w:rPr>
        <w:t>—排污单位废水第</w:t>
      </w:r>
      <w:r>
        <w:rPr>
          <w:rFonts w:ascii="Times New Roman" w:hAnsi="Times New Roman" w:cs="Times New Roman" w:hint="eastAsia"/>
        </w:rPr>
        <w:t>j</w:t>
      </w:r>
      <w:r>
        <w:rPr>
          <w:rFonts w:ascii="Times New Roman" w:hAnsi="Times New Roman" w:cs="Times New Roman" w:hint="eastAsia"/>
        </w:rPr>
        <w:t>项水污染物的年许可排放量，</w:t>
      </w:r>
      <w:r>
        <w:rPr>
          <w:rFonts w:ascii="Times New Roman" w:hAnsi="Times New Roman" w:cs="Times New Roman" w:hint="eastAsia"/>
        </w:rPr>
        <w:t>t/a</w:t>
      </w:r>
      <w:r>
        <w:rPr>
          <w:rFonts w:ascii="Times New Roman" w:hAnsi="Times New Roman" w:cs="Times New Roman" w:hint="eastAsia"/>
        </w:rPr>
        <w:t>；</w:t>
      </w:r>
    </w:p>
    <w:p w14:paraId="3FC23671" w14:textId="77777777" w:rsidR="00B14D53" w:rsidRDefault="00000000">
      <w:pPr>
        <w:pStyle w:val="afff"/>
        <w:adjustRightInd/>
        <w:snapToGrid/>
        <w:ind w:leftChars="570" w:left="1197" w:firstLineChars="0" w:firstLine="0"/>
        <w:contextualSpacing/>
        <w:jc w:val="both"/>
        <w:rPr>
          <w:rFonts w:ascii="Times New Roman" w:hAnsi="Times New Roman" w:cs="Times New Roman"/>
        </w:rPr>
      </w:pPr>
      <w:r>
        <w:rPr>
          <w:rFonts w:ascii="Times New Roman" w:hAnsi="Times New Roman" w:cs="Times New Roman" w:hint="eastAsia"/>
        </w:rPr>
        <w:t>S</w:t>
      </w:r>
      <w:r>
        <w:rPr>
          <w:rFonts w:ascii="Times New Roman" w:hAnsi="Times New Roman" w:cs="Times New Roman" w:hint="eastAsia"/>
          <w:vertAlign w:val="subscript"/>
        </w:rPr>
        <w:t>i</w:t>
      </w:r>
      <w:r>
        <w:rPr>
          <w:rFonts w:ascii="Times New Roman" w:hAnsi="Times New Roman" w:cs="Times New Roman" w:hint="eastAsia"/>
        </w:rPr>
        <w:t>—排污单位第</w:t>
      </w:r>
      <w:r>
        <w:rPr>
          <w:rFonts w:ascii="Times New Roman" w:hAnsi="Times New Roman" w:cs="Times New Roman" w:hint="eastAsia"/>
        </w:rPr>
        <w:t>i</w:t>
      </w:r>
      <w:r>
        <w:rPr>
          <w:rFonts w:ascii="Times New Roman" w:hAnsi="Times New Roman" w:cs="Times New Roman" w:hint="eastAsia"/>
        </w:rPr>
        <w:t>个加工类别</w:t>
      </w:r>
      <w:r>
        <w:rPr>
          <w:rFonts w:ascii="Times New Roman" w:hAnsi="Times New Roman" w:cs="Times New Roman" w:hint="eastAsia"/>
        </w:rPr>
        <w:t>(</w:t>
      </w:r>
      <w:r>
        <w:rPr>
          <w:rFonts w:ascii="Times New Roman" w:hAnsi="Times New Roman" w:cs="Times New Roman" w:hint="eastAsia"/>
        </w:rPr>
        <w:t>畜类屠宰加工或禽类屠宰加工或肉类加工或肉类分割或化制或清洁蛋或天然肠衣加工或畜禽油脂加工）年生产能力，</w:t>
      </w:r>
      <w:r>
        <w:rPr>
          <w:rFonts w:ascii="Times New Roman" w:hAnsi="Times New Roman" w:cs="Times New Roman" w:hint="eastAsia"/>
        </w:rPr>
        <w:t>t</w:t>
      </w:r>
      <w:r>
        <w:rPr>
          <w:rFonts w:ascii="Times New Roman" w:hAnsi="Times New Roman" w:cs="Times New Roman" w:hint="eastAsia"/>
        </w:rPr>
        <w:t>（活屠重或原料肉或蛋品或畜禽油脂加工原料</w:t>
      </w:r>
      <w:r>
        <w:rPr>
          <w:rFonts w:ascii="Times New Roman" w:hAnsi="Times New Roman" w:cs="Times New Roman" w:hint="eastAsia"/>
        </w:rPr>
        <w:t>)/a</w:t>
      </w:r>
      <w:r>
        <w:rPr>
          <w:rFonts w:ascii="Times New Roman" w:hAnsi="Times New Roman" w:cs="Times New Roman" w:hint="eastAsia"/>
        </w:rPr>
        <w:t>或千根小肠</w:t>
      </w:r>
      <w:r>
        <w:rPr>
          <w:rFonts w:ascii="Times New Roman" w:hAnsi="Times New Roman" w:cs="Times New Roman" w:hint="eastAsia"/>
        </w:rPr>
        <w:t>/a</w:t>
      </w:r>
      <w:r>
        <w:rPr>
          <w:rFonts w:ascii="Times New Roman" w:hAnsi="Times New Roman" w:cs="Times New Roman" w:hint="eastAsia"/>
        </w:rPr>
        <w:t>；本项目取屠宰</w:t>
      </w:r>
      <w:r>
        <w:rPr>
          <w:rFonts w:ascii="Times New Roman" w:hAnsi="Times New Roman" w:cs="Times New Roman" w:hint="eastAsia"/>
        </w:rPr>
        <w:t>17600t/a</w:t>
      </w:r>
    </w:p>
    <w:p w14:paraId="18AF756E" w14:textId="77777777" w:rsidR="00B14D53" w:rsidRDefault="00000000">
      <w:pPr>
        <w:pStyle w:val="afff"/>
        <w:adjustRightInd/>
        <w:snapToGrid/>
        <w:ind w:leftChars="570" w:left="1197" w:firstLineChars="0" w:firstLine="0"/>
        <w:contextualSpacing/>
        <w:jc w:val="both"/>
        <w:rPr>
          <w:rFonts w:ascii="Times New Roman" w:hAnsi="Times New Roman" w:cs="Times New Roman"/>
        </w:rPr>
      </w:pPr>
      <w:r>
        <w:rPr>
          <w:rFonts w:ascii="Times New Roman" w:hAnsi="Times New Roman" w:cs="Times New Roman" w:hint="eastAsia"/>
        </w:rPr>
        <w:t>Q</w:t>
      </w:r>
      <w:r>
        <w:rPr>
          <w:rFonts w:ascii="Times New Roman" w:hAnsi="Times New Roman" w:cs="Times New Roman" w:hint="eastAsia"/>
          <w:vertAlign w:val="subscript"/>
        </w:rPr>
        <w:t>i</w:t>
      </w:r>
      <w:r>
        <w:rPr>
          <w:rFonts w:ascii="Times New Roman" w:hAnsi="Times New Roman" w:cs="Times New Roman" w:hint="eastAsia"/>
        </w:rPr>
        <w:t>—排污单位第</w:t>
      </w:r>
      <w:r>
        <w:rPr>
          <w:rFonts w:ascii="Times New Roman" w:hAnsi="Times New Roman" w:cs="Times New Roman" w:hint="eastAsia"/>
        </w:rPr>
        <w:t>i</w:t>
      </w:r>
      <w:r>
        <w:rPr>
          <w:rFonts w:ascii="Times New Roman" w:hAnsi="Times New Roman" w:cs="Times New Roman" w:hint="eastAsia"/>
        </w:rPr>
        <w:t>个加工类别加工单位原料的基准排水量，畜类屠宰、禽类屠宰、肉类分割、肉制品加工、无害化处理、清洁蛋按</w:t>
      </w:r>
      <w:r>
        <w:rPr>
          <w:rFonts w:ascii="Times New Roman" w:hAnsi="Times New Roman" w:cs="Times New Roman" w:hint="eastAsia"/>
        </w:rPr>
        <w:t>GB 13457</w:t>
      </w:r>
      <w:r>
        <w:rPr>
          <w:rFonts w:ascii="Times New Roman" w:hAnsi="Times New Roman" w:cs="Times New Roman" w:hint="eastAsia"/>
        </w:rPr>
        <w:t>取值，</w:t>
      </w:r>
      <w:r>
        <w:rPr>
          <w:rFonts w:ascii="Times New Roman" w:hAnsi="Times New Roman" w:cs="Times New Roman" w:hint="eastAsia"/>
        </w:rPr>
        <w:t>m</w:t>
      </w:r>
      <w:r>
        <w:rPr>
          <w:rFonts w:ascii="Times New Roman" w:hAnsi="Times New Roman" w:cs="Times New Roman" w:hint="eastAsia"/>
          <w:vertAlign w:val="superscript"/>
        </w:rPr>
        <w:t>3</w:t>
      </w:r>
      <w:r>
        <w:rPr>
          <w:rFonts w:ascii="Times New Roman" w:hAnsi="Times New Roman" w:cs="Times New Roman" w:hint="eastAsia"/>
        </w:rPr>
        <w:t>/t</w:t>
      </w:r>
      <w:r>
        <w:rPr>
          <w:rFonts w:ascii="Times New Roman" w:hAnsi="Times New Roman" w:cs="Times New Roman" w:hint="eastAsia"/>
        </w:rPr>
        <w:t>（活屠重或原料肉或蛋品</w:t>
      </w:r>
      <w:r>
        <w:rPr>
          <w:rFonts w:ascii="Times New Roman" w:hAnsi="Times New Roman" w:cs="Times New Roman" w:hint="eastAsia"/>
        </w:rPr>
        <w:t>)</w:t>
      </w:r>
      <w:r>
        <w:rPr>
          <w:rFonts w:ascii="Times New Roman" w:hAnsi="Times New Roman" w:cs="Times New Roman" w:hint="eastAsia"/>
        </w:rPr>
        <w:t>；天然肠衣加工、畜禽油脂加工按近三年平均值取值，单位为</w:t>
      </w:r>
      <w:r>
        <w:rPr>
          <w:rFonts w:ascii="Times New Roman" w:hAnsi="Times New Roman" w:cs="Times New Roman" w:hint="eastAsia"/>
        </w:rPr>
        <w:t>m</w:t>
      </w:r>
      <w:r>
        <w:rPr>
          <w:rFonts w:ascii="Times New Roman" w:hAnsi="Times New Roman" w:cs="Times New Roman" w:hint="eastAsia"/>
          <w:vertAlign w:val="superscript"/>
        </w:rPr>
        <w:t>3</w:t>
      </w:r>
      <w:r>
        <w:rPr>
          <w:rFonts w:ascii="Times New Roman" w:hAnsi="Times New Roman" w:cs="Times New Roman" w:hint="eastAsia"/>
        </w:rPr>
        <w:t>/</w:t>
      </w:r>
      <w:r>
        <w:rPr>
          <w:rFonts w:ascii="Times New Roman" w:hAnsi="Times New Roman" w:cs="Times New Roman" w:hint="eastAsia"/>
        </w:rPr>
        <w:t>千根或</w:t>
      </w:r>
      <w:r>
        <w:rPr>
          <w:rFonts w:ascii="Times New Roman" w:hAnsi="Times New Roman" w:cs="Times New Roman" w:hint="eastAsia"/>
        </w:rPr>
        <w:t>t</w:t>
      </w:r>
      <w:r>
        <w:rPr>
          <w:rFonts w:ascii="Times New Roman" w:hAnsi="Times New Roman" w:cs="Times New Roman" w:hint="eastAsia"/>
        </w:rPr>
        <w:t>原料，或采用本标准推荐数值（天然肠衣加工中刮制和盐渍环节按</w:t>
      </w:r>
      <w:r>
        <w:rPr>
          <w:rFonts w:ascii="Times New Roman" w:hAnsi="Times New Roman" w:cs="Times New Roman" w:hint="eastAsia"/>
        </w:rPr>
        <w:t>10m</w:t>
      </w:r>
      <w:r>
        <w:rPr>
          <w:rFonts w:ascii="Times New Roman" w:hAnsi="Times New Roman" w:cs="Times New Roman" w:hint="eastAsia"/>
          <w:vertAlign w:val="superscript"/>
        </w:rPr>
        <w:t>3</w:t>
      </w:r>
      <w:r>
        <w:rPr>
          <w:rFonts w:ascii="Times New Roman" w:hAnsi="Times New Roman" w:cs="Times New Roman" w:hint="eastAsia"/>
        </w:rPr>
        <w:t>/</w:t>
      </w:r>
      <w:r>
        <w:rPr>
          <w:rFonts w:ascii="Times New Roman" w:hAnsi="Times New Roman" w:cs="Times New Roman" w:hint="eastAsia"/>
        </w:rPr>
        <w:t>千根小肠，分路和量码环节按</w:t>
      </w:r>
      <w:r>
        <w:rPr>
          <w:rFonts w:ascii="Times New Roman" w:hAnsi="Times New Roman" w:cs="Times New Roman" w:hint="eastAsia"/>
        </w:rPr>
        <w:t>5m</w:t>
      </w:r>
      <w:r>
        <w:rPr>
          <w:rFonts w:ascii="Times New Roman" w:hAnsi="Times New Roman" w:cs="Times New Roman" w:hint="eastAsia"/>
          <w:vertAlign w:val="superscript"/>
        </w:rPr>
        <w:t>3</w:t>
      </w:r>
      <w:r>
        <w:rPr>
          <w:rFonts w:ascii="Times New Roman" w:hAnsi="Times New Roman" w:cs="Times New Roman" w:hint="eastAsia"/>
        </w:rPr>
        <w:t>/</w:t>
      </w:r>
      <w:r>
        <w:rPr>
          <w:rFonts w:ascii="Times New Roman" w:hAnsi="Times New Roman" w:cs="Times New Roman" w:hint="eastAsia"/>
        </w:rPr>
        <w:t>千根小肠，畜禽油脂加工按</w:t>
      </w:r>
      <w:r>
        <w:rPr>
          <w:rFonts w:ascii="Times New Roman" w:hAnsi="Times New Roman" w:cs="Times New Roman" w:hint="eastAsia"/>
        </w:rPr>
        <w:t>1m</w:t>
      </w:r>
      <w:r>
        <w:rPr>
          <w:rFonts w:ascii="Times New Roman" w:hAnsi="Times New Roman" w:cs="Times New Roman" w:hint="eastAsia"/>
          <w:vertAlign w:val="superscript"/>
        </w:rPr>
        <w:t>3</w:t>
      </w:r>
      <w:r>
        <w:rPr>
          <w:rFonts w:ascii="Times New Roman" w:hAnsi="Times New Roman" w:cs="Times New Roman" w:hint="eastAsia"/>
        </w:rPr>
        <w:t>/t</w:t>
      </w:r>
      <w:r>
        <w:rPr>
          <w:rFonts w:ascii="Times New Roman" w:hAnsi="Times New Roman" w:cs="Times New Roman" w:hint="eastAsia"/>
        </w:rPr>
        <w:t>原料</w:t>
      </w:r>
      <w:r>
        <w:rPr>
          <w:rFonts w:ascii="Times New Roman" w:hAnsi="Times New Roman" w:cs="Times New Roman" w:hint="eastAsia"/>
        </w:rPr>
        <w:t>)</w:t>
      </w:r>
      <w:r>
        <w:rPr>
          <w:rFonts w:ascii="Times New Roman" w:hAnsi="Times New Roman" w:cs="Times New Roman" w:hint="eastAsia"/>
        </w:rPr>
        <w:t>；地方有更严格排放标准要求的，按照地方排放标准确定；本项目取</w:t>
      </w:r>
      <w:r>
        <w:rPr>
          <w:rFonts w:ascii="Times New Roman" w:hAnsi="Times New Roman" w:cs="Times New Roman" w:hint="eastAsia"/>
        </w:rPr>
        <w:t>GB 13457-92</w:t>
      </w:r>
      <w:r>
        <w:rPr>
          <w:rFonts w:ascii="Times New Roman" w:hAnsi="Times New Roman" w:cs="Times New Roman" w:hint="eastAsia"/>
        </w:rPr>
        <w:t>中排水量</w:t>
      </w:r>
      <w:r>
        <w:rPr>
          <w:rFonts w:ascii="Times New Roman" w:hAnsi="Times New Roman" w:cs="Times New Roman" w:hint="eastAsia"/>
        </w:rPr>
        <w:t>6.5m</w:t>
      </w:r>
      <w:r>
        <w:rPr>
          <w:rFonts w:ascii="Times New Roman" w:hAnsi="Times New Roman" w:cs="Times New Roman" w:hint="eastAsia"/>
          <w:vertAlign w:val="superscript"/>
        </w:rPr>
        <w:t>3</w:t>
      </w:r>
      <w:r>
        <w:rPr>
          <w:rFonts w:ascii="Times New Roman" w:hAnsi="Times New Roman" w:cs="Times New Roman" w:hint="eastAsia"/>
        </w:rPr>
        <w:t>/t</w:t>
      </w:r>
      <w:r>
        <w:rPr>
          <w:rFonts w:ascii="Times New Roman" w:hAnsi="Times New Roman" w:cs="Times New Roman" w:hint="eastAsia"/>
        </w:rPr>
        <w:t>（活屠重）</w:t>
      </w:r>
    </w:p>
    <w:p w14:paraId="1E38B16A" w14:textId="77777777" w:rsidR="00B14D53" w:rsidRDefault="00000000">
      <w:pPr>
        <w:pStyle w:val="afff"/>
        <w:adjustRightInd/>
        <w:snapToGrid/>
        <w:ind w:leftChars="570" w:left="1197" w:firstLineChars="0" w:firstLine="0"/>
        <w:contextualSpacing/>
        <w:jc w:val="both"/>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vertAlign w:val="subscript"/>
        </w:rPr>
        <w:t>ij</w:t>
      </w:r>
      <w:r>
        <w:rPr>
          <w:rFonts w:ascii="Times New Roman" w:hAnsi="Times New Roman" w:cs="Times New Roman" w:hint="eastAsia"/>
        </w:rPr>
        <w:t>—排污单位废水第</w:t>
      </w:r>
      <w:r>
        <w:rPr>
          <w:rFonts w:ascii="Times New Roman" w:hAnsi="Times New Roman" w:cs="Times New Roman" w:hint="eastAsia"/>
        </w:rPr>
        <w:t>i</w:t>
      </w:r>
      <w:r>
        <w:rPr>
          <w:rFonts w:ascii="Times New Roman" w:hAnsi="Times New Roman" w:cs="Times New Roman" w:hint="eastAsia"/>
        </w:rPr>
        <w:t>个加工类别第</w:t>
      </w:r>
      <w:r>
        <w:rPr>
          <w:rFonts w:ascii="Times New Roman" w:hAnsi="Times New Roman" w:cs="Times New Roman" w:hint="eastAsia"/>
        </w:rPr>
        <w:t>j</w:t>
      </w:r>
      <w:r>
        <w:rPr>
          <w:rFonts w:ascii="Times New Roman" w:hAnsi="Times New Roman" w:cs="Times New Roman" w:hint="eastAsia"/>
        </w:rPr>
        <w:t>项水污染物许可排放浓度限值，</w:t>
      </w:r>
      <w:r>
        <w:rPr>
          <w:rFonts w:ascii="Times New Roman" w:hAnsi="Times New Roman" w:cs="Times New Roman" w:hint="eastAsia"/>
        </w:rPr>
        <w:t>mg/L</w:t>
      </w:r>
      <w:r>
        <w:rPr>
          <w:rFonts w:ascii="Times New Roman" w:hAnsi="Times New Roman" w:cs="Times New Roman" w:hint="eastAsia"/>
        </w:rPr>
        <w:t>，氨氮、总氮、总磷的间接排放浓度可采用排污单位与污水集中处理设施责任单位的协商值进行计算；地方有更严格排放标准要求的，按照地方排放标准确定；本项目取</w:t>
      </w:r>
      <w:r>
        <w:rPr>
          <w:rFonts w:ascii="Times New Roman" w:hAnsi="Times New Roman" w:cs="Times New Roman" w:hint="eastAsia"/>
        </w:rPr>
        <w:t>COD500</w:t>
      </w:r>
      <w:r>
        <w:rPr>
          <w:rFonts w:ascii="Times New Roman" w:hAnsi="Times New Roman" w:cs="Times New Roman" w:hint="eastAsia"/>
        </w:rPr>
        <w:t>，氨氮</w:t>
      </w:r>
      <w:r>
        <w:rPr>
          <w:rFonts w:ascii="Times New Roman" w:hAnsi="Times New Roman" w:cs="Times New Roman" w:hint="eastAsia"/>
        </w:rPr>
        <w:t>25</w:t>
      </w:r>
    </w:p>
    <w:p w14:paraId="7FFAE8AD" w14:textId="77777777" w:rsidR="00B14D53" w:rsidRDefault="00000000">
      <w:pPr>
        <w:pStyle w:val="afff"/>
        <w:adjustRightInd/>
        <w:snapToGrid/>
        <w:ind w:leftChars="570" w:left="1197" w:firstLineChars="0" w:firstLine="0"/>
        <w:contextualSpacing/>
        <w:jc w:val="both"/>
        <w:rPr>
          <w:rFonts w:ascii="Times New Roman" w:hAnsi="Times New Roman" w:cs="Times New Roman"/>
        </w:rPr>
      </w:pPr>
      <w:r>
        <w:rPr>
          <w:rFonts w:ascii="Times New Roman" w:hAnsi="Times New Roman" w:cs="Times New Roman" w:hint="eastAsia"/>
        </w:rPr>
        <w:t>n</w:t>
      </w:r>
      <w:r>
        <w:rPr>
          <w:rFonts w:ascii="Times New Roman" w:hAnsi="Times New Roman" w:cs="Times New Roman" w:hint="eastAsia"/>
        </w:rPr>
        <w:t>—排污单位加工类别数量，无量纲。</w:t>
      </w:r>
    </w:p>
    <w:p w14:paraId="57BD2564"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hint="eastAsia"/>
        </w:rPr>
        <w:t>COD</w:t>
      </w:r>
      <w:r>
        <w:rPr>
          <w:rFonts w:ascii="Times New Roman" w:hAnsi="Times New Roman" w:cs="Times New Roman" w:hint="eastAsia"/>
        </w:rPr>
        <w:t>核定排放量</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hint="eastAsia"/>
        </w:rPr>
        <w:t>17600</w:t>
      </w:r>
      <w:r>
        <w:rPr>
          <w:rFonts w:ascii="Times New Roman" w:hAnsi="Times New Roman" w:cs="Times New Roman" w:hint="eastAsia"/>
        </w:rPr>
        <w:t>×</w:t>
      </w:r>
      <w:r>
        <w:rPr>
          <w:rFonts w:ascii="Times New Roman" w:hAnsi="Times New Roman" w:cs="Times New Roman" w:hint="eastAsia"/>
        </w:rPr>
        <w:t>6.5</w:t>
      </w:r>
      <w:r>
        <w:rPr>
          <w:rFonts w:ascii="Times New Roman" w:hAnsi="Times New Roman" w:cs="Times New Roman" w:hint="eastAsia"/>
        </w:rPr>
        <w:t>×</w:t>
      </w:r>
      <w:r>
        <w:rPr>
          <w:rFonts w:ascii="Times New Roman" w:hAnsi="Times New Roman" w:cs="Times New Roman" w:hint="eastAsia"/>
        </w:rPr>
        <w:t>500</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-6</w:t>
      </w:r>
      <w:r>
        <w:rPr>
          <w:rFonts w:ascii="Times New Roman" w:hAnsi="Times New Roman" w:cs="Times New Roman" w:hint="eastAsia"/>
        </w:rPr>
        <w:t>=57.2t/a</w:t>
      </w:r>
    </w:p>
    <w:p w14:paraId="0E504094"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hint="eastAsia"/>
        </w:rPr>
        <w:t>氨氮核定排放量</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hint="eastAsia"/>
        </w:rPr>
        <w:t>17600</w:t>
      </w:r>
      <w:r>
        <w:rPr>
          <w:rFonts w:ascii="Times New Roman" w:hAnsi="Times New Roman" w:cs="Times New Roman" w:hint="eastAsia"/>
        </w:rPr>
        <w:t>×</w:t>
      </w:r>
      <w:r>
        <w:rPr>
          <w:rFonts w:ascii="Times New Roman" w:hAnsi="Times New Roman" w:cs="Times New Roman" w:hint="eastAsia"/>
        </w:rPr>
        <w:t>6.5</w:t>
      </w:r>
      <w:r>
        <w:rPr>
          <w:rFonts w:ascii="Times New Roman" w:hAnsi="Times New Roman" w:cs="Times New Roman" w:hint="eastAsia"/>
        </w:rPr>
        <w:t>×</w:t>
      </w:r>
      <w:r>
        <w:rPr>
          <w:rFonts w:ascii="Times New Roman" w:hAnsi="Times New Roman" w:cs="Times New Roman" w:hint="eastAsia"/>
        </w:rPr>
        <w:t>25</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-6</w:t>
      </w:r>
      <w:r>
        <w:rPr>
          <w:rFonts w:ascii="Times New Roman" w:hAnsi="Times New Roman" w:cs="Times New Roman" w:hint="eastAsia"/>
        </w:rPr>
        <w:t>=2.86t/a</w:t>
      </w:r>
    </w:p>
    <w:p w14:paraId="37CA19AD" w14:textId="77777777" w:rsidR="00B14D53" w:rsidRDefault="00000000">
      <w:pPr>
        <w:numPr>
          <w:ilvl w:val="0"/>
          <w:numId w:val="8"/>
        </w:numPr>
        <w:spacing w:line="360" w:lineRule="auto"/>
        <w:ind w:firstLineChars="200" w:firstLine="480"/>
        <w:rPr>
          <w:sz w:val="24"/>
        </w:rPr>
      </w:pPr>
      <w:r>
        <w:rPr>
          <w:rFonts w:hint="eastAsia"/>
          <w:sz w:val="24"/>
        </w:rPr>
        <w:t>生活污水</w:t>
      </w:r>
    </w:p>
    <w:p w14:paraId="5F47C641"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hint="eastAsia"/>
        </w:rPr>
        <w:t>本项目生活污水排放量为</w:t>
      </w:r>
      <w:r>
        <w:rPr>
          <w:rFonts w:ascii="Times New Roman" w:hAnsi="Times New Roman" w:cs="Times New Roman" w:hint="eastAsia"/>
        </w:rPr>
        <w:t>326.4t/a</w:t>
      </w:r>
      <w:r>
        <w:rPr>
          <w:rFonts w:ascii="Times New Roman" w:hAnsi="Times New Roman" w:cs="Times New Roman" w:hint="eastAsia"/>
        </w:rPr>
        <w:t>，</w:t>
      </w:r>
    </w:p>
    <w:p w14:paraId="5F8DA598"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hint="eastAsia"/>
        </w:rPr>
        <w:t>COD</w:t>
      </w:r>
      <w:r>
        <w:rPr>
          <w:rFonts w:ascii="Times New Roman" w:hAnsi="Times New Roman" w:cs="Times New Roman" w:hint="eastAsia"/>
        </w:rPr>
        <w:t>核定排放量</w:t>
      </w:r>
      <w:r>
        <w:rPr>
          <w:rFonts w:ascii="Times New Roman" w:hAnsi="Times New Roman" w:cs="Times New Roman" w:hint="eastAsia"/>
        </w:rPr>
        <w:t>=326.4</w:t>
      </w:r>
      <w:r>
        <w:rPr>
          <w:rFonts w:ascii="Times New Roman" w:hAnsi="Times New Roman" w:cs="Times New Roman" w:hint="eastAsia"/>
        </w:rPr>
        <w:t>×</w:t>
      </w:r>
      <w:r>
        <w:rPr>
          <w:rFonts w:ascii="Times New Roman" w:hAnsi="Times New Roman" w:cs="Times New Roman" w:hint="eastAsia"/>
        </w:rPr>
        <w:t>500</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-6</w:t>
      </w:r>
      <w:r>
        <w:rPr>
          <w:rFonts w:ascii="Times New Roman" w:hAnsi="Times New Roman" w:cs="Times New Roman" w:hint="eastAsia"/>
        </w:rPr>
        <w:t>=0.1632t/a</w:t>
      </w:r>
    </w:p>
    <w:p w14:paraId="5816AD55"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hint="eastAsia"/>
        </w:rPr>
        <w:t>氨氮核定排放量</w:t>
      </w:r>
      <w:r>
        <w:rPr>
          <w:rFonts w:ascii="Times New Roman" w:hAnsi="Times New Roman" w:cs="Times New Roman" w:hint="eastAsia"/>
        </w:rPr>
        <w:t>=326.4</w:t>
      </w:r>
      <w:r>
        <w:rPr>
          <w:rFonts w:ascii="Times New Roman" w:hAnsi="Times New Roman" w:cs="Times New Roman" w:hint="eastAsia"/>
        </w:rPr>
        <w:t>×</w:t>
      </w:r>
      <w:r>
        <w:rPr>
          <w:rFonts w:ascii="Times New Roman" w:hAnsi="Times New Roman" w:cs="Times New Roman" w:hint="eastAsia"/>
        </w:rPr>
        <w:t>2.25</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-6</w:t>
      </w:r>
      <w:r>
        <w:rPr>
          <w:rFonts w:ascii="Times New Roman" w:hAnsi="Times New Roman" w:cs="Times New Roman" w:hint="eastAsia"/>
        </w:rPr>
        <w:t>=0.0007t/a</w:t>
      </w:r>
    </w:p>
    <w:p w14:paraId="79046C0B" w14:textId="77777777" w:rsidR="00B14D53" w:rsidRDefault="00000000">
      <w:pPr>
        <w:jc w:val="center"/>
        <w:rPr>
          <w:b/>
          <w:bCs/>
        </w:rPr>
      </w:pPr>
      <w:r>
        <w:rPr>
          <w:b/>
          <w:bCs/>
        </w:rPr>
        <w:t>表</w:t>
      </w:r>
      <w:r>
        <w:rPr>
          <w:b/>
          <w:bCs/>
        </w:rPr>
        <w:t xml:space="preserve">8-4-1 </w:t>
      </w:r>
      <w:r>
        <w:rPr>
          <w:b/>
          <w:bCs/>
        </w:rPr>
        <w:t>本项目总量指标表</w:t>
      </w:r>
    </w:p>
    <w:tbl>
      <w:tblPr>
        <w:tblStyle w:val="a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63"/>
        <w:gridCol w:w="2771"/>
        <w:gridCol w:w="2772"/>
      </w:tblGrid>
      <w:tr w:rsidR="00B14D53" w14:paraId="7263BCB9" w14:textId="77777777">
        <w:trPr>
          <w:trHeight w:val="90"/>
          <w:jc w:val="center"/>
        </w:trPr>
        <w:tc>
          <w:tcPr>
            <w:tcW w:w="2840" w:type="dxa"/>
            <w:vAlign w:val="center"/>
          </w:tcPr>
          <w:p w14:paraId="39B1DDDA" w14:textId="77777777" w:rsidR="00B14D53" w:rsidRDefault="00000000">
            <w:pPr>
              <w:pStyle w:val="NormalWeb1"/>
              <w:jc w:val="center"/>
              <w:rPr>
                <w:rFonts w:ascii="Times New Roman"/>
                <w:b/>
                <w:bCs/>
                <w:sz w:val="21"/>
              </w:rPr>
            </w:pPr>
            <w:r>
              <w:rPr>
                <w:rFonts w:ascii="Times New Roman"/>
                <w:b/>
                <w:bCs/>
                <w:sz w:val="21"/>
              </w:rPr>
              <w:t>污染物</w:t>
            </w:r>
          </w:p>
        </w:tc>
        <w:tc>
          <w:tcPr>
            <w:tcW w:w="2841" w:type="dxa"/>
            <w:vAlign w:val="center"/>
          </w:tcPr>
          <w:p w14:paraId="7798D7C6" w14:textId="77777777" w:rsidR="00B14D53" w:rsidRDefault="00000000">
            <w:pPr>
              <w:pStyle w:val="NormalWeb1"/>
              <w:jc w:val="center"/>
              <w:rPr>
                <w:rFonts w:ascii="Times New Roman"/>
                <w:b/>
                <w:bCs/>
                <w:sz w:val="21"/>
              </w:rPr>
            </w:pPr>
            <w:r>
              <w:rPr>
                <w:rFonts w:ascii="Times New Roman"/>
                <w:b/>
                <w:bCs/>
                <w:sz w:val="21"/>
              </w:rPr>
              <w:t>预测排放量（</w:t>
            </w:r>
            <w:r>
              <w:rPr>
                <w:rFonts w:ascii="Times New Roman"/>
                <w:b/>
                <w:bCs/>
                <w:sz w:val="21"/>
              </w:rPr>
              <w:t>t/a</w:t>
            </w:r>
            <w:r>
              <w:rPr>
                <w:rFonts w:ascii="Times New Roman"/>
                <w:b/>
                <w:bCs/>
                <w:sz w:val="21"/>
              </w:rPr>
              <w:t>）</w:t>
            </w:r>
          </w:p>
        </w:tc>
        <w:tc>
          <w:tcPr>
            <w:tcW w:w="2841" w:type="dxa"/>
            <w:vAlign w:val="center"/>
          </w:tcPr>
          <w:p w14:paraId="3D9AB021" w14:textId="77777777" w:rsidR="00B14D53" w:rsidRDefault="00000000">
            <w:pPr>
              <w:pStyle w:val="NormalWeb1"/>
              <w:jc w:val="center"/>
              <w:rPr>
                <w:rFonts w:ascii="Times New Roman"/>
                <w:b/>
                <w:bCs/>
                <w:sz w:val="21"/>
              </w:rPr>
            </w:pPr>
            <w:r>
              <w:rPr>
                <w:rFonts w:ascii="Times New Roman"/>
                <w:b/>
                <w:bCs/>
                <w:sz w:val="21"/>
              </w:rPr>
              <w:t>核定排放量（</w:t>
            </w:r>
            <w:r>
              <w:rPr>
                <w:rFonts w:ascii="Times New Roman"/>
                <w:b/>
                <w:bCs/>
                <w:sz w:val="21"/>
              </w:rPr>
              <w:t>t/a</w:t>
            </w:r>
            <w:r>
              <w:rPr>
                <w:rFonts w:ascii="Times New Roman"/>
                <w:b/>
                <w:bCs/>
                <w:sz w:val="21"/>
              </w:rPr>
              <w:t>）</w:t>
            </w:r>
          </w:p>
        </w:tc>
      </w:tr>
      <w:tr w:rsidR="00B14D53" w14:paraId="14ECBEDC" w14:textId="77777777">
        <w:trPr>
          <w:jc w:val="center"/>
        </w:trPr>
        <w:tc>
          <w:tcPr>
            <w:tcW w:w="2840" w:type="dxa"/>
            <w:vAlign w:val="center"/>
          </w:tcPr>
          <w:p w14:paraId="774C0422" w14:textId="77777777" w:rsidR="00B14D53" w:rsidRDefault="00000000">
            <w:pPr>
              <w:pStyle w:val="NormalWeb1"/>
              <w:jc w:val="center"/>
              <w:rPr>
                <w:rFonts w:ascii="Times New Roman"/>
                <w:sz w:val="21"/>
              </w:rPr>
            </w:pPr>
            <w:r>
              <w:rPr>
                <w:rFonts w:ascii="Times New Roman"/>
                <w:sz w:val="21"/>
              </w:rPr>
              <w:t>COD</w:t>
            </w:r>
          </w:p>
        </w:tc>
        <w:tc>
          <w:tcPr>
            <w:tcW w:w="2841" w:type="dxa"/>
            <w:vAlign w:val="center"/>
          </w:tcPr>
          <w:p w14:paraId="3A47812A" w14:textId="77777777" w:rsidR="00B14D53" w:rsidRDefault="00000000">
            <w:pPr>
              <w:pStyle w:val="NormalWeb1"/>
              <w:jc w:val="center"/>
              <w:rPr>
                <w:rFonts w:ascii="Times New Roman"/>
                <w:sz w:val="21"/>
              </w:rPr>
            </w:pPr>
            <w:r>
              <w:rPr>
                <w:rFonts w:ascii="Times New Roman" w:hint="eastAsia"/>
                <w:sz w:val="21"/>
              </w:rPr>
              <w:t>25.94</w:t>
            </w:r>
          </w:p>
        </w:tc>
        <w:tc>
          <w:tcPr>
            <w:tcW w:w="2841" w:type="dxa"/>
            <w:vAlign w:val="center"/>
          </w:tcPr>
          <w:p w14:paraId="643308FD" w14:textId="77777777" w:rsidR="00B14D53" w:rsidRDefault="00000000">
            <w:pPr>
              <w:pStyle w:val="NormalWeb1"/>
              <w:jc w:val="center"/>
              <w:rPr>
                <w:rFonts w:ascii="Times New Roman"/>
                <w:sz w:val="21"/>
              </w:rPr>
            </w:pPr>
            <w:r>
              <w:rPr>
                <w:rFonts w:ascii="Times New Roman" w:hint="eastAsia"/>
                <w:sz w:val="21"/>
              </w:rPr>
              <w:t>57.3632</w:t>
            </w:r>
          </w:p>
        </w:tc>
      </w:tr>
      <w:tr w:rsidR="00B14D53" w14:paraId="60DD4D8A" w14:textId="77777777">
        <w:trPr>
          <w:jc w:val="center"/>
        </w:trPr>
        <w:tc>
          <w:tcPr>
            <w:tcW w:w="2840" w:type="dxa"/>
            <w:vAlign w:val="center"/>
          </w:tcPr>
          <w:p w14:paraId="5962B571" w14:textId="77777777" w:rsidR="00B14D53" w:rsidRDefault="00000000">
            <w:pPr>
              <w:pStyle w:val="NormalWeb1"/>
              <w:jc w:val="center"/>
              <w:rPr>
                <w:rFonts w:ascii="Times New Roman"/>
                <w:sz w:val="21"/>
              </w:rPr>
            </w:pPr>
            <w:r>
              <w:rPr>
                <w:rFonts w:ascii="Times New Roman"/>
                <w:sz w:val="21"/>
              </w:rPr>
              <w:t>氨氮</w:t>
            </w:r>
          </w:p>
        </w:tc>
        <w:tc>
          <w:tcPr>
            <w:tcW w:w="2841" w:type="dxa"/>
            <w:vAlign w:val="center"/>
          </w:tcPr>
          <w:p w14:paraId="3AD7A0BE" w14:textId="77777777" w:rsidR="00B14D53" w:rsidRDefault="00000000">
            <w:pPr>
              <w:pStyle w:val="NormalWeb1"/>
              <w:jc w:val="center"/>
              <w:rPr>
                <w:rFonts w:ascii="Times New Roman"/>
                <w:sz w:val="21"/>
              </w:rPr>
            </w:pPr>
            <w:r>
              <w:rPr>
                <w:rFonts w:ascii="Times New Roman" w:hint="eastAsia"/>
                <w:sz w:val="21"/>
              </w:rPr>
              <w:t>1.9107</w:t>
            </w:r>
          </w:p>
        </w:tc>
        <w:tc>
          <w:tcPr>
            <w:tcW w:w="2841" w:type="dxa"/>
            <w:vAlign w:val="center"/>
          </w:tcPr>
          <w:p w14:paraId="7D3E7A0D" w14:textId="77777777" w:rsidR="00B14D53" w:rsidRDefault="00000000">
            <w:pPr>
              <w:pStyle w:val="NormalWeb1"/>
              <w:jc w:val="center"/>
              <w:rPr>
                <w:rFonts w:ascii="Times New Roman"/>
                <w:sz w:val="21"/>
              </w:rPr>
            </w:pPr>
            <w:r>
              <w:rPr>
                <w:rFonts w:ascii="Times New Roman" w:hint="eastAsia"/>
                <w:sz w:val="21"/>
              </w:rPr>
              <w:t>2.8607</w:t>
            </w:r>
          </w:p>
        </w:tc>
      </w:tr>
    </w:tbl>
    <w:p w14:paraId="24F49B0D" w14:textId="77777777" w:rsidR="00B14D53" w:rsidRDefault="00000000">
      <w:pPr>
        <w:spacing w:line="360" w:lineRule="auto"/>
        <w:ind w:firstLineChars="200" w:firstLine="480"/>
      </w:pPr>
      <w:r>
        <w:rPr>
          <w:sz w:val="24"/>
        </w:rPr>
        <w:t>COD</w:t>
      </w:r>
      <w:r>
        <w:rPr>
          <w:sz w:val="24"/>
        </w:rPr>
        <w:t>、氨氮纳入</w:t>
      </w:r>
      <w:r>
        <w:rPr>
          <w:rFonts w:hint="eastAsia"/>
          <w:kern w:val="21"/>
          <w:sz w:val="24"/>
        </w:rPr>
        <w:t>五常市民泉污水处理有限公司（五常市山河屯林业局污水处理厂）</w:t>
      </w:r>
      <w:r>
        <w:rPr>
          <w:sz w:val="24"/>
        </w:rPr>
        <w:t>总量指标</w:t>
      </w:r>
      <w:r>
        <w:rPr>
          <w:rFonts w:hint="eastAsia"/>
          <w:color w:val="000000" w:themeColor="text1"/>
          <w:kern w:val="0"/>
          <w:sz w:val="24"/>
        </w:rPr>
        <w:t>。</w:t>
      </w:r>
    </w:p>
    <w:p w14:paraId="56ECF51F"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330" w:name="_Toc20274"/>
      <w:bookmarkStart w:id="331" w:name="_Toc15991732"/>
      <w:r>
        <w:rPr>
          <w:rFonts w:ascii="Times New Roman" w:eastAsia="黑体" w:hAnsi="Times New Roman" w:cs="Times New Roman"/>
          <w:b w:val="0"/>
          <w:bCs w:val="0"/>
          <w:sz w:val="30"/>
          <w:szCs w:val="30"/>
        </w:rPr>
        <w:t>8.5</w:t>
      </w:r>
      <w:r>
        <w:rPr>
          <w:rFonts w:ascii="Times New Roman" w:eastAsia="黑体" w:hAnsi="Times New Roman" w:cs="Times New Roman"/>
          <w:b w:val="0"/>
          <w:bCs w:val="0"/>
          <w:sz w:val="30"/>
          <w:szCs w:val="30"/>
        </w:rPr>
        <w:t>与排污许可证制度衔接</w:t>
      </w:r>
      <w:bookmarkEnd w:id="330"/>
      <w:bookmarkEnd w:id="331"/>
    </w:p>
    <w:bookmarkEnd w:id="326"/>
    <w:bookmarkEnd w:id="327"/>
    <w:p w14:paraId="5B849754" w14:textId="77777777" w:rsidR="00B14D53" w:rsidRDefault="00000000">
      <w:pPr>
        <w:spacing w:line="360" w:lineRule="auto"/>
        <w:ind w:firstLineChars="200" w:firstLine="480"/>
        <w:rPr>
          <w:sz w:val="24"/>
        </w:rPr>
      </w:pPr>
      <w:r>
        <w:rPr>
          <w:sz w:val="24"/>
        </w:rPr>
        <w:t>《关于做好环境影响评价制度与排污许可制衔接相关工作的通知》中要求：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p w14:paraId="08AE4F08" w14:textId="77777777" w:rsidR="00B14D53" w:rsidRDefault="00000000">
      <w:pPr>
        <w:spacing w:line="360" w:lineRule="auto"/>
        <w:ind w:firstLineChars="200" w:firstLine="480"/>
        <w:rPr>
          <w:rFonts w:eastAsiaTheme="minorEastAsia"/>
          <w:sz w:val="24"/>
        </w:rPr>
      </w:pPr>
      <w:r>
        <w:rPr>
          <w:sz w:val="24"/>
        </w:rPr>
        <w:t>本项目属于《固定污染源排污许可分类管理名录（</w:t>
      </w:r>
      <w:r>
        <w:rPr>
          <w:sz w:val="24"/>
        </w:rPr>
        <w:t>2019</w:t>
      </w:r>
      <w:r>
        <w:rPr>
          <w:sz w:val="24"/>
        </w:rPr>
        <w:t>年版）》中八、农副食品加工业</w:t>
      </w:r>
      <w:r>
        <w:rPr>
          <w:sz w:val="24"/>
        </w:rPr>
        <w:t>13  13</w:t>
      </w:r>
      <w:r>
        <w:rPr>
          <w:sz w:val="24"/>
        </w:rPr>
        <w:t>、屠宰及肉类加工</w:t>
      </w:r>
      <w:r>
        <w:rPr>
          <w:sz w:val="24"/>
        </w:rPr>
        <w:t>135</w:t>
      </w:r>
      <w:r>
        <w:rPr>
          <w:sz w:val="24"/>
        </w:rPr>
        <w:t>，年屠宰生猪</w:t>
      </w:r>
      <w:r>
        <w:rPr>
          <w:sz w:val="24"/>
        </w:rPr>
        <w:t>10</w:t>
      </w:r>
      <w:r>
        <w:rPr>
          <w:sz w:val="24"/>
        </w:rPr>
        <w:t>万头及以上的，年屠宰肉牛</w:t>
      </w:r>
      <w:r>
        <w:rPr>
          <w:sz w:val="24"/>
        </w:rPr>
        <w:t>1</w:t>
      </w:r>
      <w:r>
        <w:rPr>
          <w:sz w:val="24"/>
        </w:rPr>
        <w:t>万头及以上的，年屠宰肉羊</w:t>
      </w:r>
      <w:r>
        <w:rPr>
          <w:sz w:val="24"/>
        </w:rPr>
        <w:t>15</w:t>
      </w:r>
      <w:r>
        <w:rPr>
          <w:sz w:val="24"/>
        </w:rPr>
        <w:t>万头及以上的，年屠宰禽类</w:t>
      </w:r>
      <w:r>
        <w:rPr>
          <w:sz w:val="24"/>
        </w:rPr>
        <w:t>1000</w:t>
      </w:r>
      <w:r>
        <w:rPr>
          <w:sz w:val="24"/>
        </w:rPr>
        <w:t>万只及以上的为重点管理，因此本项目属于重点管理</w:t>
      </w:r>
      <w:r>
        <w:rPr>
          <w:rFonts w:eastAsiaTheme="minorEastAsia"/>
          <w:sz w:val="24"/>
        </w:rPr>
        <w:t>。</w:t>
      </w:r>
    </w:p>
    <w:p w14:paraId="221A8D65" w14:textId="77777777" w:rsidR="00B14D53" w:rsidRDefault="00B14D53">
      <w:pPr>
        <w:widowControl/>
        <w:spacing w:line="360" w:lineRule="auto"/>
        <w:jc w:val="left"/>
        <w:rPr>
          <w:rFonts w:eastAsiaTheme="minorEastAsia"/>
          <w:b/>
          <w:szCs w:val="22"/>
        </w:rPr>
        <w:sectPr w:rsidR="00B14D53">
          <w:pgSz w:w="11906" w:h="16838"/>
          <w:pgMar w:top="1440" w:right="1800" w:bottom="1440" w:left="1800" w:header="851" w:footer="992" w:gutter="0"/>
          <w:cols w:space="720"/>
          <w:docGrid w:type="lines" w:linePitch="312"/>
        </w:sectPr>
      </w:pPr>
    </w:p>
    <w:p w14:paraId="6FAF2AF7" w14:textId="77777777" w:rsidR="00B14D53" w:rsidRDefault="00000000">
      <w:pPr>
        <w:pStyle w:val="1"/>
        <w:spacing w:before="100" w:beforeAutospacing="1" w:after="0" w:line="240" w:lineRule="auto"/>
        <w:ind w:firstLineChars="200" w:firstLine="640"/>
        <w:rPr>
          <w:rFonts w:eastAsia="黑体"/>
          <w:b w:val="0"/>
          <w:bCs w:val="0"/>
          <w:sz w:val="32"/>
          <w:szCs w:val="32"/>
        </w:rPr>
      </w:pPr>
      <w:bookmarkStart w:id="332" w:name="_Toc484077219"/>
      <w:bookmarkStart w:id="333" w:name="_Toc11593"/>
      <w:bookmarkStart w:id="334" w:name="_Toc477954594"/>
      <w:r>
        <w:rPr>
          <w:rFonts w:eastAsia="黑体" w:hint="eastAsia"/>
          <w:b w:val="0"/>
          <w:bCs w:val="0"/>
          <w:sz w:val="32"/>
          <w:szCs w:val="32"/>
        </w:rPr>
        <w:t>9</w:t>
      </w:r>
      <w:r>
        <w:rPr>
          <w:rFonts w:eastAsia="黑体" w:hint="eastAsia"/>
          <w:b w:val="0"/>
          <w:bCs w:val="0"/>
          <w:sz w:val="32"/>
          <w:szCs w:val="32"/>
        </w:rPr>
        <w:t>环境影响评价结论</w:t>
      </w:r>
      <w:bookmarkEnd w:id="332"/>
      <w:bookmarkEnd w:id="333"/>
      <w:bookmarkEnd w:id="334"/>
    </w:p>
    <w:p w14:paraId="2E102651"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bCs w:val="0"/>
          <w:sz w:val="30"/>
          <w:szCs w:val="30"/>
        </w:rPr>
      </w:pPr>
      <w:bookmarkStart w:id="335" w:name="_Toc477368706"/>
      <w:bookmarkStart w:id="336" w:name="_Toc19936"/>
      <w:bookmarkStart w:id="337" w:name="_Toc15991734"/>
      <w:bookmarkStart w:id="338" w:name="_Toc457030108"/>
      <w:r>
        <w:rPr>
          <w:rFonts w:ascii="Times New Roman" w:eastAsia="黑体" w:hAnsi="Times New Roman" w:cs="Times New Roman"/>
          <w:b w:val="0"/>
          <w:bCs w:val="0"/>
          <w:sz w:val="30"/>
          <w:szCs w:val="30"/>
        </w:rPr>
        <w:t>9.1</w:t>
      </w:r>
      <w:r>
        <w:rPr>
          <w:rFonts w:ascii="Times New Roman" w:eastAsia="黑体" w:hAnsi="Times New Roman" w:cs="Times New Roman"/>
          <w:b w:val="0"/>
          <w:bCs w:val="0"/>
          <w:sz w:val="30"/>
          <w:szCs w:val="30"/>
        </w:rPr>
        <w:t>评价结论</w:t>
      </w:r>
      <w:bookmarkEnd w:id="335"/>
      <w:bookmarkEnd w:id="336"/>
      <w:bookmarkEnd w:id="337"/>
      <w:bookmarkEnd w:id="338"/>
    </w:p>
    <w:p w14:paraId="3C9AAA26"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339" w:name="_Toc15991735"/>
      <w:r>
        <w:rPr>
          <w:rFonts w:ascii="Times New Roman" w:eastAsia="黑体" w:hAnsi="Times New Roman" w:cs="Times New Roman"/>
          <w:sz w:val="28"/>
          <w:szCs w:val="28"/>
        </w:rPr>
        <w:t>9.1.1</w:t>
      </w:r>
      <w:r>
        <w:rPr>
          <w:rFonts w:ascii="Times New Roman" w:eastAsia="黑体" w:hAnsi="Times New Roman" w:cs="Times New Roman"/>
          <w:sz w:val="28"/>
          <w:szCs w:val="28"/>
        </w:rPr>
        <w:t>建设概况</w:t>
      </w:r>
      <w:bookmarkEnd w:id="339"/>
    </w:p>
    <w:p w14:paraId="147E3A8A" w14:textId="77777777" w:rsidR="00B14D53" w:rsidRDefault="00000000">
      <w:pPr>
        <w:spacing w:line="360" w:lineRule="auto"/>
        <w:ind w:firstLineChars="200" w:firstLine="480"/>
        <w:contextualSpacing/>
        <w:rPr>
          <w:rFonts w:eastAsiaTheme="minorEastAsia"/>
          <w:sz w:val="24"/>
        </w:rPr>
      </w:pPr>
      <w:bookmarkStart w:id="340" w:name="_Toc15991736"/>
      <w:r>
        <w:rPr>
          <w:rFonts w:eastAsiaTheme="minorEastAsia"/>
          <w:sz w:val="24"/>
        </w:rPr>
        <w:t>本项目为</w:t>
      </w:r>
      <w:r>
        <w:rPr>
          <w:rFonts w:eastAsiaTheme="minorEastAsia" w:hint="eastAsia"/>
          <w:sz w:val="24"/>
        </w:rPr>
        <w:t>五常市三元肉类加工有限公司建设项目</w:t>
      </w:r>
      <w:r>
        <w:rPr>
          <w:rFonts w:eastAsiaTheme="minorEastAsia"/>
          <w:sz w:val="24"/>
        </w:rPr>
        <w:t>，位于</w:t>
      </w:r>
      <w:r>
        <w:rPr>
          <w:rFonts w:eastAsiaTheme="minorEastAsia" w:hint="eastAsia"/>
          <w:sz w:val="24"/>
        </w:rPr>
        <w:t>黑龙江省哈尔滨市五常市山河镇山河屯林业地区林业大街南</w:t>
      </w:r>
      <w:r>
        <w:rPr>
          <w:rFonts w:eastAsiaTheme="minorEastAsia" w:hint="eastAsia"/>
          <w:sz w:val="24"/>
        </w:rPr>
        <w:t>200</w:t>
      </w:r>
      <w:r>
        <w:rPr>
          <w:rFonts w:eastAsiaTheme="minorEastAsia" w:hint="eastAsia"/>
          <w:sz w:val="24"/>
        </w:rPr>
        <w:t>米处</w:t>
      </w:r>
      <w:r>
        <w:rPr>
          <w:rFonts w:eastAsiaTheme="minorEastAsia"/>
          <w:sz w:val="24"/>
        </w:rPr>
        <w:t>，占地面积</w:t>
      </w:r>
      <w:r>
        <w:rPr>
          <w:rFonts w:eastAsiaTheme="minorEastAsia" w:hint="eastAsia"/>
          <w:sz w:val="24"/>
        </w:rPr>
        <w:t>9592</w:t>
      </w:r>
      <w:r>
        <w:rPr>
          <w:rFonts w:eastAsiaTheme="minorEastAsia"/>
          <w:sz w:val="24"/>
        </w:rPr>
        <w:t>m</w:t>
      </w:r>
      <w:r>
        <w:rPr>
          <w:rFonts w:eastAsiaTheme="minorEastAsia"/>
          <w:sz w:val="24"/>
          <w:vertAlign w:val="superscript"/>
        </w:rPr>
        <w:t>2</w:t>
      </w:r>
      <w:r>
        <w:rPr>
          <w:rFonts w:eastAsiaTheme="minorEastAsia"/>
          <w:sz w:val="24"/>
        </w:rPr>
        <w:t>，占地类型为</w:t>
      </w:r>
      <w:r>
        <w:rPr>
          <w:rFonts w:eastAsiaTheme="minorEastAsia" w:hint="eastAsia"/>
          <w:sz w:val="24"/>
        </w:rPr>
        <w:t>工业仓储用地</w:t>
      </w:r>
      <w:r>
        <w:rPr>
          <w:rFonts w:eastAsiaTheme="minorEastAsia"/>
          <w:sz w:val="24"/>
        </w:rPr>
        <w:t>。本项目建设</w:t>
      </w:r>
      <w:r>
        <w:rPr>
          <w:rFonts w:eastAsiaTheme="minorEastAsia" w:hint="eastAsia"/>
          <w:sz w:val="24"/>
        </w:rPr>
        <w:t>辅助间</w:t>
      </w:r>
      <w:r>
        <w:rPr>
          <w:rFonts w:eastAsiaTheme="minorEastAsia" w:hint="eastAsia"/>
          <w:sz w:val="24"/>
        </w:rPr>
        <w:t>2</w:t>
      </w:r>
      <w:r>
        <w:rPr>
          <w:rFonts w:eastAsiaTheme="minorEastAsia" w:hint="eastAsia"/>
          <w:sz w:val="24"/>
        </w:rPr>
        <w:t>间</w:t>
      </w:r>
      <w:r>
        <w:rPr>
          <w:rFonts w:eastAsiaTheme="minorEastAsia"/>
          <w:sz w:val="24"/>
        </w:rPr>
        <w:t>、</w:t>
      </w:r>
      <w:r>
        <w:rPr>
          <w:rFonts w:eastAsiaTheme="minorEastAsia" w:hint="eastAsia"/>
          <w:sz w:val="24"/>
        </w:rPr>
        <w:t>待宰圈</w:t>
      </w:r>
      <w:r>
        <w:rPr>
          <w:rFonts w:eastAsiaTheme="minorEastAsia" w:hint="eastAsia"/>
          <w:sz w:val="24"/>
        </w:rPr>
        <w:t>2</w:t>
      </w:r>
      <w:r>
        <w:rPr>
          <w:rFonts w:eastAsiaTheme="minorEastAsia" w:hint="eastAsia"/>
          <w:sz w:val="24"/>
        </w:rPr>
        <w:t>间</w:t>
      </w:r>
      <w:r>
        <w:rPr>
          <w:rFonts w:eastAsiaTheme="minorEastAsia"/>
          <w:sz w:val="24"/>
        </w:rPr>
        <w:t>、</w:t>
      </w:r>
      <w:r>
        <w:rPr>
          <w:rFonts w:eastAsiaTheme="minorEastAsia" w:hint="eastAsia"/>
          <w:sz w:val="24"/>
        </w:rPr>
        <w:t>库房</w:t>
      </w:r>
      <w:r>
        <w:rPr>
          <w:rFonts w:eastAsiaTheme="minorEastAsia" w:hint="eastAsia"/>
          <w:sz w:val="24"/>
        </w:rPr>
        <w:t>2</w:t>
      </w:r>
      <w:r>
        <w:rPr>
          <w:rFonts w:eastAsiaTheme="minorEastAsia" w:hint="eastAsia"/>
          <w:sz w:val="24"/>
        </w:rPr>
        <w:t>间、宰前喷淋间</w:t>
      </w:r>
      <w:r>
        <w:rPr>
          <w:rFonts w:eastAsiaTheme="minorEastAsia" w:hint="eastAsia"/>
          <w:sz w:val="24"/>
        </w:rPr>
        <w:t>1</w:t>
      </w:r>
      <w:r>
        <w:rPr>
          <w:rFonts w:eastAsiaTheme="minorEastAsia" w:hint="eastAsia"/>
          <w:sz w:val="24"/>
        </w:rPr>
        <w:t>间、休息室</w:t>
      </w:r>
      <w:r>
        <w:rPr>
          <w:rFonts w:eastAsiaTheme="minorEastAsia" w:hint="eastAsia"/>
          <w:sz w:val="24"/>
        </w:rPr>
        <w:t>1</w:t>
      </w:r>
      <w:r>
        <w:rPr>
          <w:rFonts w:eastAsiaTheme="minorEastAsia" w:hint="eastAsia"/>
          <w:sz w:val="24"/>
        </w:rPr>
        <w:t>栋、生产车间</w:t>
      </w:r>
      <w:r>
        <w:rPr>
          <w:rFonts w:eastAsiaTheme="minorEastAsia" w:hint="eastAsia"/>
          <w:sz w:val="24"/>
        </w:rPr>
        <w:t>1</w:t>
      </w:r>
      <w:r>
        <w:rPr>
          <w:rFonts w:eastAsiaTheme="minorEastAsia" w:hint="eastAsia"/>
          <w:sz w:val="24"/>
        </w:rPr>
        <w:t>栋、机房</w:t>
      </w:r>
      <w:r>
        <w:rPr>
          <w:rFonts w:eastAsiaTheme="minorEastAsia" w:hint="eastAsia"/>
          <w:sz w:val="24"/>
        </w:rPr>
        <w:t>1</w:t>
      </w:r>
      <w:r>
        <w:rPr>
          <w:rFonts w:eastAsiaTheme="minorEastAsia" w:hint="eastAsia"/>
          <w:sz w:val="24"/>
        </w:rPr>
        <w:t>间、调节站</w:t>
      </w:r>
      <w:r>
        <w:rPr>
          <w:rFonts w:eastAsiaTheme="minorEastAsia" w:hint="eastAsia"/>
          <w:sz w:val="24"/>
        </w:rPr>
        <w:t>1</w:t>
      </w:r>
      <w:r>
        <w:rPr>
          <w:rFonts w:eastAsiaTheme="minorEastAsia" w:hint="eastAsia"/>
          <w:sz w:val="24"/>
        </w:rPr>
        <w:t>间、冷库</w:t>
      </w:r>
      <w:r>
        <w:rPr>
          <w:rFonts w:eastAsiaTheme="minorEastAsia" w:hint="eastAsia"/>
          <w:sz w:val="24"/>
        </w:rPr>
        <w:t>1</w:t>
      </w:r>
      <w:r>
        <w:rPr>
          <w:rFonts w:eastAsiaTheme="minorEastAsia" w:hint="eastAsia"/>
          <w:sz w:val="24"/>
        </w:rPr>
        <w:t>栋、急宰间</w:t>
      </w:r>
      <w:r>
        <w:rPr>
          <w:rFonts w:eastAsiaTheme="minorEastAsia" w:hint="eastAsia"/>
          <w:sz w:val="24"/>
        </w:rPr>
        <w:t>1</w:t>
      </w:r>
      <w:r>
        <w:rPr>
          <w:rFonts w:eastAsiaTheme="minorEastAsia" w:hint="eastAsia"/>
          <w:sz w:val="24"/>
        </w:rPr>
        <w:t>间、隔离间</w:t>
      </w:r>
      <w:r>
        <w:rPr>
          <w:rFonts w:eastAsiaTheme="minorEastAsia" w:hint="eastAsia"/>
          <w:sz w:val="24"/>
        </w:rPr>
        <w:t>1</w:t>
      </w:r>
      <w:r>
        <w:rPr>
          <w:rFonts w:eastAsiaTheme="minorEastAsia" w:hint="eastAsia"/>
          <w:sz w:val="24"/>
        </w:rPr>
        <w:t>间。</w:t>
      </w:r>
      <w:r>
        <w:rPr>
          <w:rFonts w:eastAsiaTheme="minorEastAsia"/>
          <w:sz w:val="24"/>
        </w:rPr>
        <w:t>总建筑面积</w:t>
      </w:r>
      <w:r>
        <w:rPr>
          <w:rFonts w:eastAsiaTheme="minorEastAsia" w:hint="eastAsia"/>
          <w:sz w:val="24"/>
        </w:rPr>
        <w:t>2924.4m</w:t>
      </w:r>
      <w:r>
        <w:rPr>
          <w:rFonts w:eastAsiaTheme="minorEastAsia"/>
          <w:sz w:val="24"/>
          <w:vertAlign w:val="superscript"/>
        </w:rPr>
        <w:t>2</w:t>
      </w:r>
      <w:r>
        <w:rPr>
          <w:rFonts w:eastAsiaTheme="minorEastAsia" w:hint="eastAsia"/>
          <w:sz w:val="24"/>
        </w:rPr>
        <w:t>。</w:t>
      </w:r>
      <w:r>
        <w:rPr>
          <w:rFonts w:eastAsiaTheme="minorEastAsia"/>
          <w:sz w:val="24"/>
        </w:rPr>
        <w:t>年</w:t>
      </w:r>
      <w:r>
        <w:rPr>
          <w:rFonts w:eastAsiaTheme="minorEastAsia" w:hint="eastAsia"/>
          <w:sz w:val="24"/>
        </w:rPr>
        <w:t>屠宰生猪</w:t>
      </w:r>
      <w:r>
        <w:rPr>
          <w:rFonts w:eastAsiaTheme="minorEastAsia" w:hint="eastAsia"/>
          <w:sz w:val="24"/>
        </w:rPr>
        <w:t>16</w:t>
      </w:r>
      <w:r>
        <w:rPr>
          <w:rFonts w:eastAsiaTheme="minorEastAsia" w:hint="eastAsia"/>
          <w:sz w:val="24"/>
        </w:rPr>
        <w:t>万头</w:t>
      </w:r>
      <w:r>
        <w:rPr>
          <w:rFonts w:eastAsiaTheme="minorEastAsia"/>
          <w:sz w:val="24"/>
        </w:rPr>
        <w:t>。</w:t>
      </w:r>
    </w:p>
    <w:p w14:paraId="49988597"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r>
        <w:rPr>
          <w:rFonts w:ascii="Times New Roman" w:eastAsia="黑体" w:hAnsi="Times New Roman" w:cs="Times New Roman"/>
          <w:sz w:val="28"/>
          <w:szCs w:val="28"/>
        </w:rPr>
        <w:t>9.1.2</w:t>
      </w:r>
      <w:r>
        <w:rPr>
          <w:rFonts w:ascii="Times New Roman" w:eastAsia="黑体" w:hAnsi="Times New Roman" w:cs="Times New Roman"/>
          <w:sz w:val="28"/>
          <w:szCs w:val="28"/>
        </w:rPr>
        <w:t>项目符合性结论</w:t>
      </w:r>
      <w:bookmarkEnd w:id="340"/>
    </w:p>
    <w:p w14:paraId="7B49DA4D"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9.1.2.1</w:t>
      </w:r>
      <w:r>
        <w:rPr>
          <w:rFonts w:ascii="Times New Roman" w:eastAsia="黑体" w:hAnsi="Times New Roman" w:cs="Times New Roman"/>
          <w:b w:val="0"/>
          <w:sz w:val="24"/>
          <w:szCs w:val="24"/>
        </w:rPr>
        <w:t>产业政策符合性结论</w:t>
      </w:r>
    </w:p>
    <w:p w14:paraId="5B48C41E" w14:textId="77777777" w:rsidR="00B14D53" w:rsidRDefault="00000000">
      <w:pPr>
        <w:pStyle w:val="afff"/>
        <w:adjustRightInd/>
        <w:snapToGrid/>
        <w:contextualSpacing/>
        <w:jc w:val="both"/>
        <w:rPr>
          <w:rFonts w:ascii="Times New Roman" w:eastAsia="宋体" w:hAnsi="Times New Roman" w:cs="Times New Roman"/>
        </w:rPr>
      </w:pPr>
      <w:r>
        <w:rPr>
          <w:rFonts w:ascii="Times New Roman" w:eastAsia="宋体" w:hAnsi="Times New Roman" w:cs="Times New Roman"/>
        </w:rPr>
        <w:t>根据《产业结构调整指导目录》（</w:t>
      </w:r>
      <w:r>
        <w:rPr>
          <w:rFonts w:ascii="Times New Roman" w:eastAsia="宋体" w:hAnsi="Times New Roman" w:cs="Times New Roman"/>
        </w:rPr>
        <w:t>2024</w:t>
      </w:r>
      <w:r>
        <w:rPr>
          <w:rFonts w:ascii="Times New Roman" w:eastAsia="宋体" w:hAnsi="Times New Roman" w:cs="Times New Roman"/>
        </w:rPr>
        <w:t>年本），年屠宰生猪</w:t>
      </w:r>
      <w:r>
        <w:rPr>
          <w:rFonts w:ascii="Times New Roman" w:eastAsia="宋体" w:hAnsi="Times New Roman" w:cs="Times New Roman"/>
        </w:rPr>
        <w:t>15</w:t>
      </w:r>
      <w:r>
        <w:rPr>
          <w:rFonts w:ascii="Times New Roman" w:eastAsia="宋体" w:hAnsi="Times New Roman" w:cs="Times New Roman"/>
        </w:rPr>
        <w:t>万头及以下、肉牛</w:t>
      </w:r>
      <w:r>
        <w:rPr>
          <w:rFonts w:ascii="Times New Roman" w:eastAsia="宋体" w:hAnsi="Times New Roman" w:cs="Times New Roman"/>
        </w:rPr>
        <w:t>1</w:t>
      </w:r>
      <w:r>
        <w:rPr>
          <w:rFonts w:ascii="Times New Roman" w:eastAsia="宋体" w:hAnsi="Times New Roman" w:cs="Times New Roman"/>
        </w:rPr>
        <w:t>万头及以下、肉羊</w:t>
      </w:r>
      <w:r>
        <w:rPr>
          <w:rFonts w:ascii="Times New Roman" w:eastAsia="宋体" w:hAnsi="Times New Roman" w:cs="Times New Roman"/>
        </w:rPr>
        <w:t>15</w:t>
      </w:r>
      <w:r>
        <w:rPr>
          <w:rFonts w:ascii="Times New Roman" w:eastAsia="宋体" w:hAnsi="Times New Roman" w:cs="Times New Roman"/>
        </w:rPr>
        <w:t>万只及以下、活禽</w:t>
      </w:r>
      <w:r>
        <w:rPr>
          <w:rFonts w:ascii="Times New Roman" w:eastAsia="宋体" w:hAnsi="Times New Roman" w:cs="Times New Roman"/>
        </w:rPr>
        <w:t>1000</w:t>
      </w:r>
      <w:r>
        <w:rPr>
          <w:rFonts w:ascii="Times New Roman" w:eastAsia="宋体" w:hAnsi="Times New Roman" w:cs="Times New Roman"/>
        </w:rPr>
        <w:t>万只及以下的屠宰建设项目（少数民族地区除外）为限制类；桥式劈半锯、敞式生猪烫毛机等生猪屠宰设备和猪、牛、羊、禽手工屠宰工艺为淘汰类。</w:t>
      </w:r>
    </w:p>
    <w:p w14:paraId="11988E64" w14:textId="77777777" w:rsidR="00B14D53" w:rsidRDefault="00000000">
      <w:pPr>
        <w:pStyle w:val="afff"/>
        <w:adjustRightInd/>
        <w:snapToGrid/>
        <w:contextualSpacing/>
        <w:jc w:val="both"/>
        <w:rPr>
          <w:rFonts w:ascii="Times New Roman" w:hAnsi="Times New Roman" w:cs="Times New Roman"/>
        </w:rPr>
      </w:pPr>
      <w:r>
        <w:rPr>
          <w:rFonts w:ascii="Times New Roman" w:eastAsia="宋体" w:hAnsi="Times New Roman" w:cs="Times New Roman"/>
        </w:rPr>
        <w:t>本项目采用全自动屠宰生产线设计年屠宰</w:t>
      </w:r>
      <w:r>
        <w:rPr>
          <w:rFonts w:cs="Times New Roman" w:hint="eastAsia"/>
        </w:rPr>
        <w:t>16</w:t>
      </w:r>
      <w:r>
        <w:rPr>
          <w:rFonts w:ascii="Times New Roman" w:eastAsia="宋体" w:hAnsi="Times New Roman" w:cs="Times New Roman"/>
        </w:rPr>
        <w:t>万头</w:t>
      </w:r>
      <w:r>
        <w:rPr>
          <w:rFonts w:cs="Times New Roman" w:hint="eastAsia"/>
        </w:rPr>
        <w:t>生猪</w:t>
      </w:r>
      <w:r>
        <w:rPr>
          <w:rFonts w:ascii="Times New Roman" w:eastAsia="宋体" w:hAnsi="Times New Roman" w:cs="Times New Roman"/>
        </w:rPr>
        <w:t>，采取的工艺和设备均不属于《产业结构调整指导目录》（</w:t>
      </w:r>
      <w:r>
        <w:rPr>
          <w:rFonts w:ascii="Times New Roman" w:eastAsia="宋体" w:hAnsi="Times New Roman" w:cs="Times New Roman"/>
        </w:rPr>
        <w:t>2024</w:t>
      </w:r>
      <w:r>
        <w:rPr>
          <w:rFonts w:ascii="Times New Roman" w:eastAsia="宋体" w:hAnsi="Times New Roman" w:cs="Times New Roman"/>
        </w:rPr>
        <w:t>年本）中的鼓励类、限制类和淘汰类，为允许类项目，符合国家产业政策</w:t>
      </w:r>
      <w:r>
        <w:rPr>
          <w:rFonts w:ascii="Times New Roman" w:hAnsi="Times New Roman" w:cs="Times New Roman"/>
        </w:rPr>
        <w:t>。</w:t>
      </w:r>
    </w:p>
    <w:p w14:paraId="249B3D7D" w14:textId="77777777" w:rsidR="00B14D53" w:rsidRDefault="00000000">
      <w:pPr>
        <w:pStyle w:val="4"/>
        <w:spacing w:before="100" w:beforeAutospacing="1" w:after="0" w:line="240" w:lineRule="auto"/>
        <w:ind w:firstLineChars="200" w:firstLine="480"/>
        <w:rPr>
          <w:rFonts w:ascii="Times New Roman" w:eastAsia="黑体" w:hAnsi="Times New Roman" w:cs="Times New Roman"/>
          <w:b w:val="0"/>
          <w:sz w:val="24"/>
          <w:szCs w:val="24"/>
        </w:rPr>
      </w:pPr>
      <w:r>
        <w:rPr>
          <w:rFonts w:ascii="Times New Roman" w:eastAsia="黑体" w:hAnsi="Times New Roman" w:cs="Times New Roman"/>
          <w:b w:val="0"/>
          <w:sz w:val="24"/>
          <w:szCs w:val="24"/>
        </w:rPr>
        <w:t>9.1.2.2</w:t>
      </w:r>
      <w:r>
        <w:rPr>
          <w:rFonts w:ascii="Times New Roman" w:eastAsia="黑体" w:hAnsi="Times New Roman" w:cs="Times New Roman"/>
          <w:b w:val="0"/>
          <w:sz w:val="24"/>
          <w:szCs w:val="24"/>
        </w:rPr>
        <w:t>场址选择合理性结论</w:t>
      </w:r>
    </w:p>
    <w:p w14:paraId="7292AFDC" w14:textId="77777777" w:rsidR="00B14D53" w:rsidRDefault="00000000">
      <w:pPr>
        <w:pStyle w:val="afff"/>
        <w:adjustRightInd/>
        <w:snapToGrid/>
        <w:contextualSpacing/>
        <w:jc w:val="both"/>
        <w:rPr>
          <w:rFonts w:ascii="Times New Roman" w:hAnsi="Times New Roman" w:cs="Times New Roman"/>
          <w:snapToGrid w:val="0"/>
        </w:rPr>
      </w:pPr>
      <w:r>
        <w:rPr>
          <w:rFonts w:ascii="Times New Roman" w:eastAsia="宋体" w:hAnsi="Times New Roman" w:cs="Times New Roman"/>
          <w:snapToGrid w:val="0"/>
        </w:rPr>
        <w:t>本项目位于黑龙江省哈尔滨市五常市山河镇山河屯林业地区林业大街南</w:t>
      </w:r>
      <w:r>
        <w:rPr>
          <w:rFonts w:ascii="Times New Roman" w:eastAsia="宋体" w:hAnsi="Times New Roman" w:cs="Times New Roman"/>
          <w:snapToGrid w:val="0"/>
        </w:rPr>
        <w:t>200</w:t>
      </w:r>
      <w:r>
        <w:rPr>
          <w:rFonts w:ascii="Times New Roman" w:eastAsia="宋体" w:hAnsi="Times New Roman" w:cs="Times New Roman"/>
          <w:snapToGrid w:val="0"/>
        </w:rPr>
        <w:t>米处，用地为</w:t>
      </w:r>
      <w:r>
        <w:rPr>
          <w:rFonts w:hAnsiTheme="minorEastAsia" w:hint="eastAsia"/>
        </w:rPr>
        <w:t>工业仓储用地</w:t>
      </w:r>
      <w:r>
        <w:rPr>
          <w:rFonts w:ascii="Times New Roman" w:eastAsia="宋体" w:hAnsi="Times New Roman" w:cs="Times New Roman"/>
          <w:snapToGrid w:val="0"/>
        </w:rPr>
        <w:t>，厂区评价范围内无风景名胜区、自然保护区、水源保护区等敏感区分布，项目选址合理。</w:t>
      </w:r>
    </w:p>
    <w:p w14:paraId="007187C2" w14:textId="77777777" w:rsidR="00B14D53" w:rsidRDefault="00000000">
      <w:pPr>
        <w:pStyle w:val="3"/>
        <w:spacing w:before="100" w:beforeAutospacing="1" w:after="0" w:line="240" w:lineRule="auto"/>
        <w:ind w:firstLineChars="200" w:firstLine="560"/>
        <w:rPr>
          <w:rFonts w:ascii="Times New Roman" w:eastAsia="黑体" w:hAnsi="Times New Roman" w:cs="Times New Roman"/>
          <w:sz w:val="28"/>
          <w:szCs w:val="28"/>
        </w:rPr>
      </w:pPr>
      <w:bookmarkStart w:id="341" w:name="_Toc15991737"/>
      <w:r>
        <w:rPr>
          <w:rFonts w:ascii="Times New Roman" w:eastAsia="黑体" w:hAnsi="Times New Roman" w:cs="Times New Roman"/>
          <w:sz w:val="28"/>
          <w:szCs w:val="28"/>
        </w:rPr>
        <w:t>9.1.3</w:t>
      </w:r>
      <w:r>
        <w:rPr>
          <w:rFonts w:ascii="Times New Roman" w:eastAsia="黑体" w:hAnsi="Times New Roman" w:cs="Times New Roman"/>
          <w:sz w:val="28"/>
          <w:szCs w:val="28"/>
        </w:rPr>
        <w:t>环境质量现状评价结论</w:t>
      </w:r>
      <w:bookmarkEnd w:id="341"/>
    </w:p>
    <w:p w14:paraId="1E71C245"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）地表水环境质量现状评价结论</w:t>
      </w:r>
    </w:p>
    <w:p w14:paraId="0D368BAA" w14:textId="77777777" w:rsidR="00B14D53" w:rsidRDefault="00000000">
      <w:pPr>
        <w:spacing w:line="360" w:lineRule="auto"/>
        <w:ind w:firstLineChars="200" w:firstLine="480"/>
        <w:rPr>
          <w:rFonts w:eastAsiaTheme="minorEastAsia"/>
          <w:sz w:val="24"/>
        </w:rPr>
      </w:pPr>
      <w:r>
        <w:rPr>
          <w:rFonts w:eastAsiaTheme="minorEastAsia"/>
          <w:sz w:val="24"/>
        </w:rPr>
        <w:t>本项目</w:t>
      </w:r>
      <w:r>
        <w:rPr>
          <w:rFonts w:eastAsiaTheme="minorEastAsia" w:hint="eastAsia"/>
          <w:sz w:val="24"/>
        </w:rPr>
        <w:t>纳污</w:t>
      </w:r>
      <w:r>
        <w:rPr>
          <w:rFonts w:eastAsiaTheme="minorEastAsia"/>
          <w:sz w:val="24"/>
        </w:rPr>
        <w:t>水体为</w:t>
      </w:r>
      <w:r>
        <w:rPr>
          <w:rFonts w:eastAsiaTheme="minorEastAsia" w:hint="eastAsia"/>
          <w:sz w:val="24"/>
        </w:rPr>
        <w:t>拉林河</w:t>
      </w:r>
      <w:r>
        <w:rPr>
          <w:rFonts w:eastAsiaTheme="minorEastAsia"/>
          <w:sz w:val="24"/>
        </w:rPr>
        <w:t>，根据《</w:t>
      </w:r>
      <w:r>
        <w:rPr>
          <w:rFonts w:eastAsiaTheme="minorEastAsia" w:hint="eastAsia"/>
          <w:sz w:val="24"/>
        </w:rPr>
        <w:t>2024</w:t>
      </w:r>
      <w:r>
        <w:rPr>
          <w:rFonts w:eastAsiaTheme="minorEastAsia" w:hint="eastAsia"/>
          <w:sz w:val="24"/>
        </w:rPr>
        <w:t>年哈尔滨生态环境质量状况年报</w:t>
      </w:r>
      <w:r>
        <w:rPr>
          <w:rFonts w:eastAsiaTheme="minorEastAsia"/>
          <w:sz w:val="24"/>
        </w:rPr>
        <w:t>》，位于长胜橡胶坝至</w:t>
      </w:r>
      <w:r>
        <w:rPr>
          <w:rFonts w:eastAsiaTheme="minorEastAsia" w:hint="eastAsia"/>
          <w:sz w:val="24"/>
        </w:rPr>
        <w:t>兴盛乡河</w:t>
      </w:r>
      <w:r>
        <w:rPr>
          <w:rFonts w:eastAsiaTheme="minorEastAsia"/>
          <w:sz w:val="24"/>
        </w:rPr>
        <w:t>段，</w:t>
      </w:r>
      <w:r>
        <w:rPr>
          <w:rFonts w:eastAsiaTheme="minorEastAsia" w:hint="eastAsia"/>
          <w:sz w:val="24"/>
        </w:rPr>
        <w:t>兴盛乡断面</w:t>
      </w:r>
      <w:r>
        <w:rPr>
          <w:rFonts w:eastAsiaTheme="minorEastAsia"/>
          <w:sz w:val="24"/>
        </w:rPr>
        <w:t>规划水体类别为</w:t>
      </w:r>
      <w:r>
        <w:rPr>
          <w:rFonts w:eastAsiaTheme="minorEastAsia"/>
          <w:sz w:val="24"/>
        </w:rPr>
        <w:t>III</w:t>
      </w:r>
      <w:r>
        <w:rPr>
          <w:rFonts w:eastAsiaTheme="minorEastAsia"/>
          <w:sz w:val="24"/>
        </w:rPr>
        <w:t>类，</w:t>
      </w:r>
      <w:r>
        <w:rPr>
          <w:rFonts w:eastAsiaTheme="minorEastAsia" w:hint="eastAsia"/>
          <w:sz w:val="24"/>
        </w:rPr>
        <w:t>现状断面水质类别为</w:t>
      </w:r>
      <w:r>
        <w:rPr>
          <w:rFonts w:eastAsiaTheme="minorEastAsia"/>
          <w:sz w:val="24"/>
        </w:rPr>
        <w:t>III</w:t>
      </w:r>
      <w:r>
        <w:rPr>
          <w:rFonts w:eastAsiaTheme="minorEastAsia"/>
          <w:sz w:val="24"/>
        </w:rPr>
        <w:t>类，满足《地表水环境质量标准》（</w:t>
      </w:r>
      <w:r>
        <w:rPr>
          <w:rFonts w:eastAsiaTheme="minorEastAsia"/>
          <w:sz w:val="24"/>
        </w:rPr>
        <w:t>GB3838-2002</w:t>
      </w:r>
      <w:r>
        <w:rPr>
          <w:rFonts w:eastAsiaTheme="minorEastAsia"/>
          <w:sz w:val="24"/>
        </w:rPr>
        <w:t>）中</w:t>
      </w:r>
      <w:r>
        <w:rPr>
          <w:rFonts w:eastAsiaTheme="minorEastAsia"/>
          <w:sz w:val="24"/>
        </w:rPr>
        <w:t>III</w:t>
      </w:r>
      <w:r>
        <w:rPr>
          <w:rFonts w:eastAsiaTheme="minorEastAsia"/>
          <w:sz w:val="24"/>
        </w:rPr>
        <w:t>类水体。</w:t>
      </w:r>
    </w:p>
    <w:p w14:paraId="0098B963"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）地下水环境质量现状评价结论</w:t>
      </w:r>
    </w:p>
    <w:p w14:paraId="7E0CC4C5" w14:textId="77777777" w:rsidR="00B14D53" w:rsidRDefault="00000000">
      <w:pPr>
        <w:spacing w:line="360" w:lineRule="auto"/>
        <w:ind w:firstLineChars="200" w:firstLine="480"/>
        <w:contextualSpacing/>
        <w:rPr>
          <w:rFonts w:eastAsiaTheme="minorEastAsia"/>
          <w:sz w:val="24"/>
        </w:rPr>
      </w:pPr>
      <w:r>
        <w:rPr>
          <w:rFonts w:eastAsiaTheme="minorEastAsia" w:hAnsiTheme="minorEastAsia"/>
          <w:sz w:val="24"/>
        </w:rPr>
        <w:t>监测点</w:t>
      </w:r>
      <w:r>
        <w:rPr>
          <w:rFonts w:eastAsiaTheme="minorEastAsia" w:hAnsiTheme="minorEastAsia" w:hint="eastAsia"/>
          <w:sz w:val="24"/>
        </w:rPr>
        <w:t>铁、锰超标，其余监测因子均</w:t>
      </w:r>
      <w:r>
        <w:rPr>
          <w:rFonts w:eastAsiaTheme="minorEastAsia" w:hAnsiTheme="minorEastAsia"/>
          <w:sz w:val="24"/>
        </w:rPr>
        <w:t>符合《地下水质量标准》（</w:t>
      </w:r>
      <w:r>
        <w:rPr>
          <w:rFonts w:eastAsiaTheme="minorEastAsia"/>
          <w:sz w:val="24"/>
        </w:rPr>
        <w:t>GB/T14848-2017</w:t>
      </w:r>
      <w:r>
        <w:rPr>
          <w:rFonts w:eastAsiaTheme="minorEastAsia" w:hAnsiTheme="minorEastAsia"/>
          <w:sz w:val="24"/>
        </w:rPr>
        <w:t>）中Ⅲ类标准。</w:t>
      </w:r>
      <w:r>
        <w:rPr>
          <w:rFonts w:eastAsiaTheme="minorEastAsia" w:hAnsiTheme="minorEastAsia" w:hint="eastAsia"/>
          <w:sz w:val="24"/>
        </w:rPr>
        <w:t>超标原因为原生地质导致。</w:t>
      </w:r>
      <w:r>
        <w:rPr>
          <w:rFonts w:eastAsiaTheme="minorEastAsia" w:hAnsiTheme="minorEastAsia"/>
          <w:sz w:val="24"/>
        </w:rPr>
        <w:t>☆</w:t>
      </w:r>
      <w:r>
        <w:rPr>
          <w:rFonts w:eastAsiaTheme="minorEastAsia"/>
          <w:sz w:val="24"/>
        </w:rPr>
        <w:t>0</w:t>
      </w:r>
      <w:r>
        <w:rPr>
          <w:rFonts w:eastAsiaTheme="minorEastAsia" w:hint="eastAsia"/>
          <w:sz w:val="24"/>
        </w:rPr>
        <w:t>1</w:t>
      </w:r>
      <w:r>
        <w:rPr>
          <w:rFonts w:eastAsiaTheme="minorEastAsia" w:hAnsiTheme="minorEastAsia"/>
          <w:sz w:val="24"/>
        </w:rPr>
        <w:t>监测点的地下水均为</w:t>
      </w:r>
      <w:r>
        <w:rPr>
          <w:rFonts w:eastAsiaTheme="minorEastAsia" w:hint="eastAsia"/>
          <w:sz w:val="24"/>
        </w:rPr>
        <w:t>8</w:t>
      </w:r>
      <w:r>
        <w:rPr>
          <w:rFonts w:eastAsiaTheme="minorEastAsia"/>
          <w:sz w:val="24"/>
        </w:rPr>
        <w:t>-A</w:t>
      </w:r>
      <w:r>
        <w:rPr>
          <w:rFonts w:eastAsiaTheme="minorEastAsia" w:hAnsiTheme="minorEastAsia"/>
          <w:sz w:val="24"/>
        </w:rPr>
        <w:t>型，表示矿化度小于</w:t>
      </w:r>
      <w:r>
        <w:rPr>
          <w:rFonts w:eastAsiaTheme="minorEastAsia"/>
          <w:sz w:val="24"/>
        </w:rPr>
        <w:t>1.5g/L</w:t>
      </w:r>
      <w:r>
        <w:rPr>
          <w:rFonts w:eastAsiaTheme="minorEastAsia" w:hAnsiTheme="minorEastAsia"/>
          <w:sz w:val="24"/>
        </w:rPr>
        <w:t>的</w:t>
      </w:r>
      <w:r>
        <w:rPr>
          <w:rFonts w:eastAsiaTheme="minorEastAsia"/>
          <w:sz w:val="24"/>
        </w:rPr>
        <w:t>HCO</w:t>
      </w:r>
      <w:r>
        <w:rPr>
          <w:rFonts w:eastAsiaTheme="minorEastAsia"/>
          <w:sz w:val="24"/>
          <w:vertAlign w:val="subscript"/>
        </w:rPr>
        <w:t>3</w:t>
      </w:r>
      <w:r>
        <w:rPr>
          <w:rFonts w:eastAsiaTheme="minorEastAsia"/>
          <w:sz w:val="24"/>
          <w:vertAlign w:val="superscript"/>
        </w:rPr>
        <w:t>-</w:t>
      </w:r>
      <w:r>
        <w:rPr>
          <w:rFonts w:eastAsiaTheme="minorEastAsia"/>
          <w:sz w:val="24"/>
        </w:rPr>
        <w:t>-SO</w:t>
      </w:r>
      <w:r>
        <w:rPr>
          <w:rFonts w:eastAsiaTheme="minorEastAsia"/>
          <w:sz w:val="24"/>
          <w:vertAlign w:val="subscript"/>
        </w:rPr>
        <w:t>4</w:t>
      </w:r>
      <w:r>
        <w:rPr>
          <w:rFonts w:eastAsiaTheme="minorEastAsia"/>
          <w:sz w:val="24"/>
          <w:vertAlign w:val="superscript"/>
        </w:rPr>
        <w:t>2-</w:t>
      </w:r>
      <w:r>
        <w:rPr>
          <w:rFonts w:eastAsiaTheme="minorEastAsia"/>
          <w:bCs/>
          <w:sz w:val="24"/>
        </w:rPr>
        <w:t>—Ca</w:t>
      </w:r>
      <w:r>
        <w:rPr>
          <w:rFonts w:eastAsiaTheme="minorEastAsia" w:hint="eastAsia"/>
          <w:bCs/>
          <w:sz w:val="24"/>
          <w:vertAlign w:val="superscript"/>
        </w:rPr>
        <w:t>2+</w:t>
      </w:r>
      <w:r>
        <w:rPr>
          <w:rFonts w:eastAsiaTheme="minorEastAsia" w:hAnsiTheme="minorEastAsia"/>
          <w:sz w:val="24"/>
        </w:rPr>
        <w:t>型</w:t>
      </w:r>
      <w:r>
        <w:rPr>
          <w:rFonts w:eastAsiaTheme="minorEastAsia" w:hAnsiTheme="minorEastAsia" w:hint="eastAsia"/>
          <w:sz w:val="24"/>
        </w:rPr>
        <w:t>；</w:t>
      </w:r>
      <w:r>
        <w:rPr>
          <w:rFonts w:eastAsiaTheme="minorEastAsia" w:hAnsiTheme="minorEastAsia"/>
          <w:sz w:val="24"/>
        </w:rPr>
        <w:t>☆</w:t>
      </w:r>
      <w:r>
        <w:rPr>
          <w:rFonts w:eastAsiaTheme="minorEastAsia"/>
          <w:sz w:val="24"/>
        </w:rPr>
        <w:t>0</w:t>
      </w:r>
      <w:r>
        <w:rPr>
          <w:rFonts w:eastAsiaTheme="minorEastAsia" w:hint="eastAsia"/>
          <w:sz w:val="24"/>
        </w:rPr>
        <w:t>2</w:t>
      </w:r>
      <w:r>
        <w:rPr>
          <w:rFonts w:eastAsiaTheme="minorEastAsia" w:hAnsiTheme="minorEastAsia"/>
          <w:sz w:val="24"/>
        </w:rPr>
        <w:t>监测点的地下水均为</w:t>
      </w:r>
      <w:r>
        <w:rPr>
          <w:rFonts w:eastAsiaTheme="minorEastAsia" w:hint="eastAsia"/>
          <w:sz w:val="24"/>
        </w:rPr>
        <w:t>1</w:t>
      </w:r>
      <w:r>
        <w:rPr>
          <w:rFonts w:eastAsiaTheme="minorEastAsia"/>
          <w:sz w:val="24"/>
        </w:rPr>
        <w:t>-A</w:t>
      </w:r>
      <w:r>
        <w:rPr>
          <w:rFonts w:eastAsiaTheme="minorEastAsia" w:hAnsiTheme="minorEastAsia"/>
          <w:sz w:val="24"/>
        </w:rPr>
        <w:t>型，表示矿化度小于</w:t>
      </w:r>
      <w:r>
        <w:rPr>
          <w:rFonts w:eastAsiaTheme="minorEastAsia"/>
          <w:sz w:val="24"/>
        </w:rPr>
        <w:t>1.5g/L</w:t>
      </w:r>
      <w:r>
        <w:rPr>
          <w:rFonts w:eastAsiaTheme="minorEastAsia" w:hAnsiTheme="minorEastAsia"/>
          <w:sz w:val="24"/>
        </w:rPr>
        <w:t>的</w:t>
      </w:r>
      <w:r>
        <w:rPr>
          <w:rFonts w:eastAsiaTheme="minorEastAsia"/>
          <w:sz w:val="24"/>
          <w:lang w:val="zh-CN"/>
        </w:rPr>
        <w:t>HCO</w:t>
      </w:r>
      <w:r>
        <w:rPr>
          <w:rFonts w:eastAsiaTheme="minorEastAsia"/>
          <w:sz w:val="24"/>
          <w:vertAlign w:val="subscript"/>
          <w:lang w:val="zh-CN"/>
        </w:rPr>
        <w:t>3</w:t>
      </w:r>
      <w:r>
        <w:rPr>
          <w:rFonts w:eastAsiaTheme="minorEastAsia"/>
          <w:sz w:val="24"/>
          <w:vertAlign w:val="superscript"/>
        </w:rPr>
        <w:t>-</w:t>
      </w:r>
      <w:r>
        <w:rPr>
          <w:rFonts w:eastAsiaTheme="minorEastAsia" w:hint="eastAsia"/>
          <w:sz w:val="24"/>
          <w:vertAlign w:val="superscript"/>
        </w:rPr>
        <w:t xml:space="preserve"> </w:t>
      </w:r>
      <w:r>
        <w:rPr>
          <w:rFonts w:eastAsiaTheme="minorEastAsia"/>
          <w:sz w:val="24"/>
          <w:vertAlign w:val="superscript"/>
          <w:lang w:val="zh-CN"/>
        </w:rPr>
        <w:t>—</w:t>
      </w:r>
      <w:r>
        <w:rPr>
          <w:rFonts w:eastAsiaTheme="minorEastAsia"/>
          <w:bCs/>
          <w:sz w:val="24"/>
        </w:rPr>
        <w:t>Ca</w:t>
      </w:r>
      <w:r>
        <w:rPr>
          <w:rFonts w:eastAsiaTheme="minorEastAsia" w:hint="eastAsia"/>
          <w:bCs/>
          <w:sz w:val="24"/>
          <w:vertAlign w:val="superscript"/>
        </w:rPr>
        <w:t>2+</w:t>
      </w:r>
      <w:r>
        <w:rPr>
          <w:rFonts w:eastAsiaTheme="minorEastAsia" w:hAnsiTheme="minorEastAsia"/>
          <w:sz w:val="24"/>
        </w:rPr>
        <w:t>型水；☆</w:t>
      </w:r>
      <w:r>
        <w:rPr>
          <w:rFonts w:eastAsiaTheme="minorEastAsia"/>
          <w:sz w:val="24"/>
        </w:rPr>
        <w:t>0</w:t>
      </w:r>
      <w:r>
        <w:rPr>
          <w:rFonts w:eastAsiaTheme="minorEastAsia" w:hint="eastAsia"/>
          <w:sz w:val="24"/>
        </w:rPr>
        <w:t>3</w:t>
      </w:r>
      <w:r>
        <w:rPr>
          <w:rFonts w:eastAsiaTheme="minorEastAsia" w:hAnsiTheme="minorEastAsia"/>
          <w:sz w:val="24"/>
        </w:rPr>
        <w:t>监测点的地下水均为</w:t>
      </w:r>
      <w:r>
        <w:rPr>
          <w:rFonts w:eastAsiaTheme="minorEastAsia" w:hint="eastAsia"/>
          <w:sz w:val="24"/>
        </w:rPr>
        <w:t>22</w:t>
      </w:r>
      <w:r>
        <w:rPr>
          <w:rFonts w:eastAsiaTheme="minorEastAsia"/>
          <w:sz w:val="24"/>
        </w:rPr>
        <w:t>-A</w:t>
      </w:r>
      <w:r>
        <w:rPr>
          <w:rFonts w:eastAsiaTheme="minorEastAsia" w:hAnsiTheme="minorEastAsia"/>
          <w:sz w:val="24"/>
        </w:rPr>
        <w:t>型，表示矿化度小于</w:t>
      </w:r>
      <w:r>
        <w:rPr>
          <w:rFonts w:eastAsiaTheme="minorEastAsia"/>
          <w:sz w:val="24"/>
        </w:rPr>
        <w:t>1.5g/L</w:t>
      </w:r>
      <w:r>
        <w:rPr>
          <w:rFonts w:eastAsiaTheme="minorEastAsia" w:hAnsiTheme="minorEastAsia"/>
          <w:sz w:val="24"/>
        </w:rPr>
        <w:t>的</w:t>
      </w:r>
      <w:r>
        <w:rPr>
          <w:rFonts w:eastAsiaTheme="minorEastAsia"/>
          <w:sz w:val="24"/>
        </w:rPr>
        <w:t>HCO</w:t>
      </w:r>
      <w:r>
        <w:rPr>
          <w:rFonts w:eastAsiaTheme="minorEastAsia"/>
          <w:sz w:val="24"/>
          <w:vertAlign w:val="subscript"/>
        </w:rPr>
        <w:t>3</w:t>
      </w:r>
      <w:r>
        <w:rPr>
          <w:rFonts w:eastAsiaTheme="minorEastAsia"/>
          <w:sz w:val="24"/>
          <w:vertAlign w:val="superscript"/>
        </w:rPr>
        <w:t>-</w:t>
      </w:r>
      <w:r>
        <w:rPr>
          <w:rFonts w:eastAsiaTheme="minorEastAsia"/>
          <w:sz w:val="24"/>
        </w:rPr>
        <w:t>-Cl</w:t>
      </w:r>
      <w:r>
        <w:rPr>
          <w:rFonts w:eastAsiaTheme="minorEastAsia"/>
          <w:sz w:val="24"/>
          <w:vertAlign w:val="superscript"/>
        </w:rPr>
        <w:t>-</w:t>
      </w:r>
      <w:r>
        <w:rPr>
          <w:rFonts w:eastAsiaTheme="minorEastAsia"/>
          <w:bCs/>
          <w:sz w:val="24"/>
        </w:rPr>
        <w:t>—Ca</w:t>
      </w:r>
      <w:r>
        <w:rPr>
          <w:rFonts w:eastAsiaTheme="minorEastAsia" w:hint="eastAsia"/>
          <w:bCs/>
          <w:sz w:val="24"/>
          <w:vertAlign w:val="superscript"/>
        </w:rPr>
        <w:t>2+</w:t>
      </w:r>
      <w:r>
        <w:rPr>
          <w:rFonts w:eastAsiaTheme="minorEastAsia" w:hAnsiTheme="minorEastAsia"/>
          <w:sz w:val="24"/>
        </w:rPr>
        <w:t>型</w:t>
      </w:r>
      <w:r>
        <w:rPr>
          <w:rFonts w:eastAsiaTheme="minorEastAsia"/>
          <w:sz w:val="24"/>
        </w:rPr>
        <w:t>。</w:t>
      </w:r>
    </w:p>
    <w:p w14:paraId="4AE5ABCC"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）大气环境质量现状评价结论</w:t>
      </w:r>
    </w:p>
    <w:p w14:paraId="67FC7FDB" w14:textId="77777777" w:rsidR="00B14D53" w:rsidRDefault="00000000">
      <w:pPr>
        <w:pStyle w:val="afff"/>
        <w:adjustRightInd/>
        <w:snapToGrid/>
        <w:jc w:val="both"/>
        <w:rPr>
          <w:rFonts w:ascii="Times New Roman" w:hAnsi="Times New Roman" w:cs="Times New Roman"/>
        </w:rPr>
      </w:pPr>
      <w:r>
        <w:rPr>
          <w:rFonts w:ascii="Times New Roman" w:hAnsi="Times New Roman" w:cs="Times New Roman" w:hint="eastAsia"/>
        </w:rPr>
        <w:t>根据</w:t>
      </w:r>
      <w:r>
        <w:rPr>
          <w:rFonts w:ascii="Times New Roman" w:hAnsi="Times New Roman" w:cs="Times New Roman" w:hint="eastAsia"/>
          <w:lang w:val="zh-CN"/>
        </w:rPr>
        <w:t>《</w:t>
      </w:r>
      <w:r>
        <w:rPr>
          <w:rFonts w:ascii="Times New Roman" w:hAnsi="Times New Roman" w:cs="Times New Roman" w:hint="eastAsia"/>
        </w:rPr>
        <w:t>2024</w:t>
      </w:r>
      <w:r>
        <w:rPr>
          <w:rFonts w:ascii="Times New Roman" w:hAnsi="Times New Roman" w:cs="Times New Roman" w:hint="eastAsia"/>
        </w:rPr>
        <w:t>年哈尔滨生态环境质量状况年报</w:t>
      </w:r>
      <w:r>
        <w:rPr>
          <w:rFonts w:ascii="Times New Roman" w:hAnsi="Times New Roman" w:cs="Times New Roman" w:hint="eastAsia"/>
          <w:lang w:val="zh-CN"/>
        </w:rPr>
        <w:t>》</w:t>
      </w:r>
      <w:r>
        <w:rPr>
          <w:rFonts w:ascii="Times New Roman" w:hAnsi="Times New Roman" w:cs="Times New Roman" w:hint="eastAsia"/>
        </w:rPr>
        <w:t>，</w:t>
      </w:r>
      <w:r>
        <w:rPr>
          <w:rFonts w:ascii="Times New Roman" w:hAnsi="Times New Roman" w:cs="Times New Roman" w:hint="eastAsia"/>
        </w:rPr>
        <w:t>2024</w:t>
      </w:r>
      <w:r>
        <w:rPr>
          <w:rFonts w:ascii="Times New Roman" w:hAnsi="Times New Roman" w:cs="Times New Roman" w:hint="eastAsia"/>
        </w:rPr>
        <w:t>年哈尔滨市细颗粒物浓度</w:t>
      </w:r>
      <w:r>
        <w:rPr>
          <w:rFonts w:ascii="Times New Roman" w:hAnsi="Times New Roman" w:cs="Times New Roman" w:hint="eastAsia"/>
        </w:rPr>
        <w:t>40</w:t>
      </w:r>
      <w:r>
        <w:rPr>
          <w:rFonts w:ascii="Times New Roman" w:hAnsi="Times New Roman" w:cs="Times New Roman" w:hint="eastAsia"/>
        </w:rPr>
        <w:t>微克</w:t>
      </w:r>
      <w:r>
        <w:rPr>
          <w:rFonts w:ascii="Times New Roman" w:hAnsi="Times New Roman" w:cs="Times New Roman" w:hint="eastAsia"/>
        </w:rPr>
        <w:t>/</w:t>
      </w:r>
      <w:r>
        <w:rPr>
          <w:rFonts w:ascii="Times New Roman" w:hAnsi="Times New Roman" w:cs="Times New Roman" w:hint="eastAsia"/>
        </w:rPr>
        <w:t>立方米；可吸入颗粒物浓度</w:t>
      </w:r>
      <w:r>
        <w:rPr>
          <w:rFonts w:ascii="Times New Roman" w:hAnsi="Times New Roman" w:cs="Times New Roman" w:hint="eastAsia"/>
        </w:rPr>
        <w:t>62</w:t>
      </w:r>
      <w:r>
        <w:rPr>
          <w:rFonts w:ascii="Times New Roman" w:hAnsi="Times New Roman" w:cs="Times New Roman" w:hint="eastAsia"/>
        </w:rPr>
        <w:t>微克</w:t>
      </w:r>
      <w:r>
        <w:rPr>
          <w:rFonts w:ascii="Times New Roman" w:hAnsi="Times New Roman" w:cs="Times New Roman" w:hint="eastAsia"/>
        </w:rPr>
        <w:t>/</w:t>
      </w:r>
      <w:r>
        <w:rPr>
          <w:rFonts w:ascii="Times New Roman" w:hAnsi="Times New Roman" w:cs="Times New Roman" w:hint="eastAsia"/>
        </w:rPr>
        <w:t>立方米；二氧化氮浓度</w:t>
      </w:r>
      <w:r>
        <w:rPr>
          <w:rFonts w:ascii="Times New Roman" w:hAnsi="Times New Roman" w:cs="Times New Roman" w:hint="eastAsia"/>
        </w:rPr>
        <w:t>29</w:t>
      </w:r>
      <w:r>
        <w:rPr>
          <w:rFonts w:ascii="Times New Roman" w:hAnsi="Times New Roman" w:cs="Times New Roman" w:hint="eastAsia"/>
        </w:rPr>
        <w:t>微克</w:t>
      </w:r>
      <w:r>
        <w:rPr>
          <w:rFonts w:ascii="Times New Roman" w:hAnsi="Times New Roman" w:cs="Times New Roman" w:hint="eastAsia"/>
        </w:rPr>
        <w:t>/</w:t>
      </w:r>
      <w:r>
        <w:rPr>
          <w:rFonts w:ascii="Times New Roman" w:hAnsi="Times New Roman" w:cs="Times New Roman" w:hint="eastAsia"/>
        </w:rPr>
        <w:t>立方米，二氧化硫</w:t>
      </w:r>
      <w:r>
        <w:rPr>
          <w:rFonts w:ascii="Times New Roman" w:hAnsi="Times New Roman" w:cs="Times New Roman" w:hint="eastAsia"/>
        </w:rPr>
        <w:t>10</w:t>
      </w:r>
      <w:r>
        <w:rPr>
          <w:rFonts w:ascii="Times New Roman" w:hAnsi="Times New Roman" w:cs="Times New Roman" w:hint="eastAsia"/>
        </w:rPr>
        <w:t>微克</w:t>
      </w:r>
      <w:r>
        <w:rPr>
          <w:rFonts w:ascii="Times New Roman" w:hAnsi="Times New Roman" w:cs="Times New Roman" w:hint="eastAsia"/>
        </w:rPr>
        <w:t>/</w:t>
      </w:r>
      <w:r>
        <w:rPr>
          <w:rFonts w:ascii="Times New Roman" w:hAnsi="Times New Roman" w:cs="Times New Roman" w:hint="eastAsia"/>
        </w:rPr>
        <w:t>立方米；一氧化碳第</w:t>
      </w:r>
      <w:r>
        <w:rPr>
          <w:rFonts w:ascii="Times New Roman" w:hAnsi="Times New Roman" w:cs="Times New Roman" w:hint="eastAsia"/>
        </w:rPr>
        <w:t>95</w:t>
      </w:r>
      <w:r>
        <w:rPr>
          <w:rFonts w:ascii="Times New Roman" w:hAnsi="Times New Roman" w:cs="Times New Roman" w:hint="eastAsia"/>
        </w:rPr>
        <w:t>百分位浓度</w:t>
      </w:r>
      <w:r>
        <w:rPr>
          <w:rFonts w:ascii="Times New Roman" w:hAnsi="Times New Roman" w:cs="Times New Roman" w:hint="eastAsia"/>
        </w:rPr>
        <w:t>1.1</w:t>
      </w:r>
      <w:r>
        <w:rPr>
          <w:rFonts w:ascii="Times New Roman" w:hAnsi="Times New Roman" w:cs="Times New Roman" w:hint="eastAsia"/>
        </w:rPr>
        <w:t>毫克</w:t>
      </w:r>
      <w:r>
        <w:rPr>
          <w:rFonts w:ascii="Times New Roman" w:hAnsi="Times New Roman" w:cs="Times New Roman" w:hint="eastAsia"/>
        </w:rPr>
        <w:t>/</w:t>
      </w:r>
      <w:r>
        <w:rPr>
          <w:rFonts w:ascii="Times New Roman" w:hAnsi="Times New Roman" w:cs="Times New Roman" w:hint="eastAsia"/>
        </w:rPr>
        <w:t>立方米；臭氧第</w:t>
      </w:r>
      <w:r>
        <w:rPr>
          <w:rFonts w:ascii="Times New Roman" w:hAnsi="Times New Roman" w:cs="Times New Roman" w:hint="eastAsia"/>
        </w:rPr>
        <w:t>90</w:t>
      </w:r>
      <w:r>
        <w:rPr>
          <w:rFonts w:ascii="Times New Roman" w:hAnsi="Times New Roman" w:cs="Times New Roman" w:hint="eastAsia"/>
        </w:rPr>
        <w:t>百分位数浓度</w:t>
      </w:r>
      <w:r>
        <w:rPr>
          <w:rFonts w:ascii="Times New Roman" w:hAnsi="Times New Roman" w:cs="Times New Roman" w:hint="eastAsia"/>
        </w:rPr>
        <w:t>118</w:t>
      </w:r>
      <w:r>
        <w:rPr>
          <w:rFonts w:ascii="Times New Roman" w:hAnsi="Times New Roman" w:cs="Times New Roman" w:hint="eastAsia"/>
        </w:rPr>
        <w:t>微克</w:t>
      </w:r>
      <w:r>
        <w:rPr>
          <w:rFonts w:ascii="Times New Roman" w:hAnsi="Times New Roman" w:cs="Times New Roman" w:hint="eastAsia"/>
        </w:rPr>
        <w:t>/</w:t>
      </w:r>
      <w:r>
        <w:rPr>
          <w:rFonts w:ascii="Times New Roman" w:hAnsi="Times New Roman" w:cs="Times New Roman" w:hint="eastAsia"/>
        </w:rPr>
        <w:t>立方米。</w:t>
      </w:r>
      <w:r>
        <w:rPr>
          <w:rFonts w:ascii="Times New Roman" w:hAnsi="Times New Roman" w:cs="Times New Roman" w:hint="eastAsia"/>
        </w:rPr>
        <w:t>2024</w:t>
      </w:r>
      <w:r>
        <w:rPr>
          <w:rFonts w:ascii="Times New Roman" w:hAnsi="Times New Roman" w:cs="Times New Roman" w:hint="eastAsia"/>
        </w:rPr>
        <w:t>年有效监测天数</w:t>
      </w:r>
      <w:r>
        <w:rPr>
          <w:rFonts w:ascii="Times New Roman" w:hAnsi="Times New Roman" w:cs="Times New Roman" w:hint="eastAsia"/>
        </w:rPr>
        <w:t>366</w:t>
      </w:r>
      <w:r>
        <w:rPr>
          <w:rFonts w:ascii="Times New Roman" w:hAnsi="Times New Roman" w:cs="Times New Roman" w:hint="eastAsia"/>
        </w:rPr>
        <w:t>天，优良天数</w:t>
      </w:r>
      <w:r>
        <w:rPr>
          <w:rFonts w:ascii="Times New Roman" w:hAnsi="Times New Roman" w:cs="Times New Roman" w:hint="eastAsia"/>
        </w:rPr>
        <w:t>312</w:t>
      </w:r>
      <w:r>
        <w:rPr>
          <w:rFonts w:ascii="Times New Roman" w:hAnsi="Times New Roman" w:cs="Times New Roman" w:hint="eastAsia"/>
        </w:rPr>
        <w:t>天，达标率</w:t>
      </w:r>
      <w:r>
        <w:rPr>
          <w:rFonts w:ascii="Times New Roman" w:hAnsi="Times New Roman" w:cs="Times New Roman" w:hint="eastAsia"/>
        </w:rPr>
        <w:t>85.2%</w:t>
      </w:r>
      <w:r>
        <w:rPr>
          <w:rFonts w:ascii="Times New Roman" w:hAnsi="Times New Roman" w:cs="Times New Roman" w:hint="eastAsia"/>
        </w:rPr>
        <w:t>，</w:t>
      </w:r>
      <w:r>
        <w:rPr>
          <w:rFonts w:ascii="Times New Roman" w:hAnsi="Times New Roman" w:cs="Times New Roman" w:hint="eastAsia"/>
          <w:lang w:eastAsia="zh-Hans"/>
        </w:rPr>
        <w:t>其中优</w:t>
      </w:r>
      <w:r>
        <w:rPr>
          <w:rFonts w:ascii="Times New Roman" w:hAnsi="Times New Roman" w:cs="Times New Roman" w:hint="eastAsia"/>
        </w:rPr>
        <w:t>158</w:t>
      </w:r>
      <w:r>
        <w:rPr>
          <w:rFonts w:ascii="Times New Roman" w:hAnsi="Times New Roman" w:cs="Times New Roman" w:hint="eastAsia"/>
          <w:lang w:eastAsia="zh-Hans"/>
        </w:rPr>
        <w:t>天，同比</w:t>
      </w:r>
      <w:r>
        <w:rPr>
          <w:rFonts w:ascii="Times New Roman" w:hAnsi="Times New Roman" w:cs="Times New Roman" w:hint="eastAsia"/>
        </w:rPr>
        <w:t>增加</w:t>
      </w:r>
      <w:r>
        <w:rPr>
          <w:rFonts w:ascii="Times New Roman" w:hAnsi="Times New Roman" w:cs="Times New Roman" w:hint="eastAsia"/>
        </w:rPr>
        <w:t>12</w:t>
      </w:r>
      <w:r>
        <w:rPr>
          <w:rFonts w:ascii="Times New Roman" w:hAnsi="Times New Roman" w:cs="Times New Roman" w:hint="eastAsia"/>
          <w:lang w:eastAsia="zh-Hans"/>
        </w:rPr>
        <w:t>天；良</w:t>
      </w:r>
      <w:r>
        <w:rPr>
          <w:rFonts w:ascii="Times New Roman" w:hAnsi="Times New Roman" w:cs="Times New Roman" w:hint="eastAsia"/>
        </w:rPr>
        <w:t>154</w:t>
      </w:r>
      <w:r>
        <w:rPr>
          <w:rFonts w:ascii="Times New Roman" w:hAnsi="Times New Roman" w:cs="Times New Roman" w:hint="eastAsia"/>
          <w:lang w:eastAsia="zh-Hans"/>
        </w:rPr>
        <w:t>天，同比</w:t>
      </w:r>
      <w:r>
        <w:rPr>
          <w:rFonts w:ascii="Times New Roman" w:hAnsi="Times New Roman" w:cs="Times New Roman" w:hint="eastAsia"/>
        </w:rPr>
        <w:t>减少</w:t>
      </w:r>
      <w:r>
        <w:rPr>
          <w:rFonts w:ascii="Times New Roman" w:hAnsi="Times New Roman" w:cs="Times New Roman" w:hint="eastAsia"/>
        </w:rPr>
        <w:t>4</w:t>
      </w:r>
      <w:r>
        <w:rPr>
          <w:rFonts w:ascii="Times New Roman" w:hAnsi="Times New Roman" w:cs="Times New Roman" w:hint="eastAsia"/>
          <w:lang w:eastAsia="zh-Hans"/>
        </w:rPr>
        <w:t>天。</w:t>
      </w:r>
      <w:r>
        <w:rPr>
          <w:rFonts w:ascii="Times New Roman" w:hAnsi="Times New Roman" w:cs="Times New Roman" w:hint="eastAsia"/>
        </w:rPr>
        <w:t>超标</w:t>
      </w:r>
      <w:r>
        <w:rPr>
          <w:rFonts w:ascii="Times New Roman" w:hAnsi="Times New Roman" w:cs="Times New Roman" w:hint="eastAsia"/>
          <w:lang w:eastAsia="zh-Hans"/>
        </w:rPr>
        <w:t>天数</w:t>
      </w:r>
      <w:r>
        <w:rPr>
          <w:rFonts w:ascii="Times New Roman" w:hAnsi="Times New Roman" w:cs="Times New Roman" w:hint="eastAsia"/>
        </w:rPr>
        <w:t>54</w:t>
      </w:r>
      <w:r>
        <w:rPr>
          <w:rFonts w:ascii="Times New Roman" w:hAnsi="Times New Roman" w:cs="Times New Roman" w:hint="eastAsia"/>
        </w:rPr>
        <w:t>天，</w:t>
      </w:r>
      <w:r>
        <w:rPr>
          <w:rFonts w:ascii="Times New Roman" w:hAnsi="Times New Roman" w:cs="Times New Roman" w:hint="eastAsia"/>
          <w:lang w:eastAsia="zh-Hans"/>
        </w:rPr>
        <w:t>其中轻度污染</w:t>
      </w:r>
      <w:r>
        <w:rPr>
          <w:rFonts w:ascii="Times New Roman" w:hAnsi="Times New Roman" w:cs="Times New Roman" w:hint="eastAsia"/>
        </w:rPr>
        <w:t>32</w:t>
      </w:r>
      <w:r>
        <w:rPr>
          <w:rFonts w:ascii="Times New Roman" w:hAnsi="Times New Roman" w:cs="Times New Roman" w:hint="eastAsia"/>
          <w:lang w:eastAsia="zh-Hans"/>
        </w:rPr>
        <w:t>天，同比</w:t>
      </w:r>
      <w:r>
        <w:rPr>
          <w:rFonts w:ascii="Times New Roman" w:hAnsi="Times New Roman" w:cs="Times New Roman" w:hint="eastAsia"/>
        </w:rPr>
        <w:t>减少</w:t>
      </w:r>
      <w:r>
        <w:rPr>
          <w:rFonts w:ascii="Times New Roman" w:hAnsi="Times New Roman" w:cs="Times New Roman" w:hint="eastAsia"/>
        </w:rPr>
        <w:t>12</w:t>
      </w:r>
      <w:r>
        <w:rPr>
          <w:rFonts w:ascii="Times New Roman" w:hAnsi="Times New Roman" w:cs="Times New Roman" w:hint="eastAsia"/>
          <w:lang w:eastAsia="zh-Hans"/>
        </w:rPr>
        <w:t>天；中度污染</w:t>
      </w:r>
      <w:r>
        <w:rPr>
          <w:rFonts w:ascii="Times New Roman" w:hAnsi="Times New Roman" w:cs="Times New Roman" w:hint="eastAsia"/>
        </w:rPr>
        <w:t>12</w:t>
      </w:r>
      <w:r>
        <w:rPr>
          <w:rFonts w:ascii="Times New Roman" w:hAnsi="Times New Roman" w:cs="Times New Roman" w:hint="eastAsia"/>
          <w:lang w:eastAsia="zh-Hans"/>
        </w:rPr>
        <w:t>天，同比</w:t>
      </w:r>
      <w:r>
        <w:rPr>
          <w:rFonts w:ascii="Times New Roman" w:hAnsi="Times New Roman" w:cs="Times New Roman" w:hint="eastAsia"/>
        </w:rPr>
        <w:t>增加</w:t>
      </w:r>
      <w:r>
        <w:rPr>
          <w:rFonts w:ascii="Times New Roman" w:hAnsi="Times New Roman" w:cs="Times New Roman" w:hint="eastAsia"/>
        </w:rPr>
        <w:t>6</w:t>
      </w:r>
      <w:r>
        <w:rPr>
          <w:rFonts w:ascii="Times New Roman" w:hAnsi="Times New Roman" w:cs="Times New Roman" w:hint="eastAsia"/>
          <w:lang w:eastAsia="zh-Hans"/>
        </w:rPr>
        <w:t>天；重度污染</w:t>
      </w:r>
      <w:r>
        <w:rPr>
          <w:rFonts w:ascii="Times New Roman" w:hAnsi="Times New Roman" w:cs="Times New Roman" w:hint="eastAsia"/>
        </w:rPr>
        <w:t>8</w:t>
      </w:r>
      <w:r>
        <w:rPr>
          <w:rFonts w:ascii="Times New Roman" w:hAnsi="Times New Roman" w:cs="Times New Roman" w:hint="eastAsia"/>
          <w:lang w:eastAsia="zh-Hans"/>
        </w:rPr>
        <w:t>天，同比</w:t>
      </w:r>
      <w:r>
        <w:rPr>
          <w:rFonts w:ascii="Times New Roman" w:hAnsi="Times New Roman" w:cs="Times New Roman" w:hint="eastAsia"/>
        </w:rPr>
        <w:t>增加</w:t>
      </w:r>
      <w:r>
        <w:rPr>
          <w:rFonts w:ascii="Times New Roman" w:hAnsi="Times New Roman" w:cs="Times New Roman" w:hint="eastAsia"/>
        </w:rPr>
        <w:t>1</w:t>
      </w:r>
      <w:r>
        <w:rPr>
          <w:rFonts w:ascii="Times New Roman" w:hAnsi="Times New Roman" w:cs="Times New Roman" w:hint="eastAsia"/>
          <w:lang w:eastAsia="zh-Hans"/>
        </w:rPr>
        <w:t>天；严重污染</w:t>
      </w:r>
      <w:r>
        <w:rPr>
          <w:rFonts w:ascii="Times New Roman" w:hAnsi="Times New Roman" w:cs="Times New Roman" w:hint="eastAsia"/>
        </w:rPr>
        <w:t>2</w:t>
      </w:r>
      <w:r>
        <w:rPr>
          <w:rFonts w:ascii="Times New Roman" w:hAnsi="Times New Roman" w:cs="Times New Roman" w:hint="eastAsia"/>
          <w:lang w:eastAsia="zh-Hans"/>
        </w:rPr>
        <w:t>天，</w:t>
      </w:r>
      <w:r>
        <w:rPr>
          <w:rFonts w:ascii="Times New Roman" w:hAnsi="Times New Roman" w:cs="Times New Roman" w:hint="eastAsia"/>
        </w:rPr>
        <w:t>同比减少</w:t>
      </w:r>
      <w:r>
        <w:rPr>
          <w:rFonts w:ascii="Times New Roman" w:hAnsi="Times New Roman" w:cs="Times New Roman" w:hint="eastAsia"/>
        </w:rPr>
        <w:t>2</w:t>
      </w:r>
      <w:r>
        <w:rPr>
          <w:rFonts w:ascii="Times New Roman" w:hAnsi="Times New Roman" w:cs="Times New Roman" w:hint="eastAsia"/>
        </w:rPr>
        <w:t>天。</w:t>
      </w:r>
      <w:r>
        <w:rPr>
          <w:rFonts w:ascii="Times New Roman" w:hAnsi="Times New Roman" w:cs="Times New Roman"/>
        </w:rPr>
        <w:t>本项目所在区域为</w:t>
      </w:r>
      <w:r>
        <w:rPr>
          <w:rFonts w:ascii="Times New Roman" w:hAnsi="Times New Roman" w:cs="Times New Roman" w:hint="eastAsia"/>
        </w:rPr>
        <w:t>不</w:t>
      </w:r>
      <w:r>
        <w:rPr>
          <w:rFonts w:ascii="Times New Roman" w:hAnsi="Times New Roman" w:cs="Times New Roman"/>
        </w:rPr>
        <w:t>达标区。通过补充</w:t>
      </w:r>
      <w:r>
        <w:rPr>
          <w:rFonts w:ascii="Times New Roman" w:hAnsi="Times New Roman" w:cs="Times New Roman" w:hint="eastAsia"/>
        </w:rPr>
        <w:t>一</w:t>
      </w:r>
      <w:r>
        <w:rPr>
          <w:rFonts w:ascii="Times New Roman" w:hAnsi="Times New Roman" w:cs="Times New Roman"/>
        </w:rPr>
        <w:t>个监测点</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hint="eastAsia"/>
        </w:rPr>
        <w:t>、</w:t>
      </w:r>
      <w:r>
        <w:rPr>
          <w:rFonts w:ascii="Times New Roman" w:hAnsi="Times New Roman" w:cs="Times New Roman"/>
        </w:rPr>
        <w:t>NH</w:t>
      </w:r>
      <w:r>
        <w:rPr>
          <w:rFonts w:ascii="Times New Roman" w:hAnsi="Times New Roman" w:cs="Times New Roman"/>
          <w:vertAlign w:val="subscript"/>
        </w:rPr>
        <w:t>3</w:t>
      </w:r>
      <w:r>
        <w:rPr>
          <w:rFonts w:ascii="Times New Roman" w:hAnsiTheme="minorEastAsia" w:cs="Times New Roman"/>
        </w:rPr>
        <w:t>满足《环境影响评价技术导则</w:t>
      </w:r>
      <w:r>
        <w:rPr>
          <w:rFonts w:ascii="Times New Roman" w:hAnsi="Times New Roman" w:cs="Times New Roman"/>
        </w:rPr>
        <w:t xml:space="preserve"> </w:t>
      </w:r>
      <w:r>
        <w:rPr>
          <w:rFonts w:ascii="Times New Roman" w:hAnsiTheme="minorEastAsia" w:cs="Times New Roman"/>
        </w:rPr>
        <w:t>大气环境》（</w:t>
      </w:r>
      <w:r>
        <w:rPr>
          <w:rFonts w:ascii="Times New Roman" w:hAnsi="Times New Roman" w:cs="Times New Roman"/>
        </w:rPr>
        <w:t>HJ 2.2-2018</w:t>
      </w:r>
      <w:r>
        <w:rPr>
          <w:rFonts w:ascii="Times New Roman" w:hAnsiTheme="minorEastAsia" w:cs="Times New Roman"/>
        </w:rPr>
        <w:t>）附录</w:t>
      </w:r>
      <w:r>
        <w:rPr>
          <w:rFonts w:ascii="Times New Roman" w:hAnsi="Times New Roman" w:cs="Times New Roman"/>
        </w:rPr>
        <w:t>D</w:t>
      </w:r>
      <w:r>
        <w:rPr>
          <w:rFonts w:ascii="Times New Roman" w:hAnsiTheme="minorEastAsia" w:cs="Times New Roman"/>
        </w:rPr>
        <w:t>标准</w:t>
      </w:r>
      <w:r>
        <w:rPr>
          <w:rFonts w:ascii="Times New Roman" w:hAnsiTheme="minorEastAsia" w:cs="Times New Roman" w:hint="eastAsia"/>
        </w:rPr>
        <w:t>，</w:t>
      </w:r>
      <w:r>
        <w:rPr>
          <w:rFonts w:ascii="Times New Roman" w:hAnsi="Times New Roman" w:cs="Times New Roman" w:hint="eastAsia"/>
          <w:bCs/>
        </w:rPr>
        <w:t>T</w:t>
      </w:r>
      <w:r>
        <w:rPr>
          <w:rFonts w:ascii="Times New Roman" w:hAnsi="Times New Roman" w:cs="Times New Roman"/>
          <w:bCs/>
        </w:rPr>
        <w:t>SP</w:t>
      </w:r>
      <w:r>
        <w:rPr>
          <w:rFonts w:ascii="Times New Roman" w:hAnsi="Times New Roman" w:cs="Times New Roman" w:hint="eastAsia"/>
          <w:bCs/>
        </w:rPr>
        <w:t>日均值</w:t>
      </w:r>
      <w:r>
        <w:rPr>
          <w:rFonts w:ascii="Times New Roman" w:hAnsi="Times New Roman" w:cs="Times New Roman"/>
          <w:bCs/>
        </w:rPr>
        <w:t>均满足《环境空气质量标准》（</w:t>
      </w:r>
      <w:r>
        <w:rPr>
          <w:rFonts w:ascii="Times New Roman" w:hAnsi="Times New Roman" w:cs="Times New Roman"/>
          <w:bCs/>
        </w:rPr>
        <w:t>GB3095</w:t>
      </w:r>
      <w:r>
        <w:rPr>
          <w:rFonts w:ascii="Times New Roman" w:hAnsi="Times New Roman" w:cs="Times New Roman"/>
          <w:bCs/>
        </w:rPr>
        <w:sym w:font="Symbol" w:char="F02D"/>
      </w:r>
      <w:r>
        <w:rPr>
          <w:rFonts w:ascii="Times New Roman" w:hAnsi="Times New Roman" w:cs="Times New Roman"/>
          <w:bCs/>
        </w:rPr>
        <w:t>2012</w:t>
      </w:r>
      <w:r>
        <w:rPr>
          <w:rFonts w:ascii="Times New Roman" w:hAnsi="Times New Roman" w:cs="Times New Roman"/>
          <w:bCs/>
        </w:rPr>
        <w:t>）二级标准的浓度限值要求</w:t>
      </w:r>
      <w:r>
        <w:rPr>
          <w:rFonts w:ascii="Times New Roman" w:hAnsi="Times New Roman" w:cs="Times New Roman"/>
        </w:rPr>
        <w:t>。</w:t>
      </w:r>
    </w:p>
    <w:p w14:paraId="5CC1F117" w14:textId="77777777" w:rsidR="00B14D53" w:rsidRDefault="00000000">
      <w:pPr>
        <w:pStyle w:val="afff"/>
        <w:adjustRightInd/>
        <w:snapToGrid/>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）声环境质量现状评价结论</w:t>
      </w:r>
    </w:p>
    <w:p w14:paraId="174AD4DA" w14:textId="77777777" w:rsidR="00B14D53" w:rsidRDefault="00000000">
      <w:pPr>
        <w:spacing w:line="360" w:lineRule="auto"/>
        <w:ind w:firstLineChars="200" w:firstLine="480"/>
        <w:contextualSpacing/>
        <w:rPr>
          <w:rFonts w:eastAsiaTheme="minorEastAsia"/>
          <w:sz w:val="24"/>
        </w:rPr>
      </w:pPr>
      <w:r>
        <w:rPr>
          <w:rFonts w:eastAsiaTheme="minorEastAsia"/>
          <w:sz w:val="24"/>
        </w:rPr>
        <w:t>项目区评价范围内各监测点昼间及夜间等效连续</w:t>
      </w:r>
      <w:r>
        <w:rPr>
          <w:rFonts w:eastAsiaTheme="minorEastAsia"/>
          <w:sz w:val="24"/>
        </w:rPr>
        <w:t>A</w:t>
      </w:r>
      <w:r>
        <w:rPr>
          <w:rFonts w:eastAsiaTheme="minorEastAsia"/>
          <w:sz w:val="24"/>
        </w:rPr>
        <w:t>声级均无超标现象，达标率</w:t>
      </w:r>
      <w:r>
        <w:rPr>
          <w:rFonts w:eastAsiaTheme="minorEastAsia"/>
          <w:sz w:val="24"/>
        </w:rPr>
        <w:t>100%</w:t>
      </w:r>
      <w:r>
        <w:rPr>
          <w:rFonts w:eastAsiaTheme="minorEastAsia"/>
          <w:sz w:val="24"/>
        </w:rPr>
        <w:t>，评价区噪声</w:t>
      </w:r>
      <w:r>
        <w:rPr>
          <w:rFonts w:eastAsiaTheme="minorEastAsia" w:hint="eastAsia"/>
          <w:sz w:val="24"/>
        </w:rPr>
        <w:t>厂</w:t>
      </w:r>
      <w:r>
        <w:rPr>
          <w:rFonts w:eastAsiaTheme="minorEastAsia"/>
          <w:sz w:val="24"/>
        </w:rPr>
        <w:t>界背景值满足《声环境质量标准》（</w:t>
      </w:r>
      <w:r>
        <w:rPr>
          <w:rFonts w:eastAsiaTheme="minorEastAsia"/>
          <w:sz w:val="24"/>
        </w:rPr>
        <w:t>GB3096-2008</w:t>
      </w:r>
      <w:r>
        <w:rPr>
          <w:rFonts w:eastAsiaTheme="minorEastAsia"/>
          <w:sz w:val="24"/>
        </w:rPr>
        <w:t>）</w:t>
      </w:r>
      <w:r>
        <w:rPr>
          <w:rFonts w:eastAsiaTheme="minorEastAsia" w:hint="eastAsia"/>
          <w:sz w:val="24"/>
        </w:rPr>
        <w:t>2</w:t>
      </w:r>
      <w:r>
        <w:rPr>
          <w:rFonts w:eastAsiaTheme="minorEastAsia"/>
          <w:sz w:val="24"/>
        </w:rPr>
        <w:t>类标准。</w:t>
      </w:r>
    </w:p>
    <w:p w14:paraId="2CD46C57"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42" w:name="_Toc15991738"/>
      <w:r>
        <w:rPr>
          <w:rFonts w:ascii="Times New Roman" w:eastAsia="黑体" w:hAnsi="Times New Roman" w:cs="Times New Roman"/>
          <w:bCs/>
          <w:sz w:val="28"/>
          <w:szCs w:val="28"/>
        </w:rPr>
        <w:t>9.1.4</w:t>
      </w:r>
      <w:r>
        <w:rPr>
          <w:rFonts w:ascii="Times New Roman" w:eastAsia="黑体" w:hAnsi="Times New Roman" w:cs="Times New Roman"/>
          <w:bCs/>
          <w:sz w:val="28"/>
          <w:szCs w:val="28"/>
        </w:rPr>
        <w:t>污染防治措施可行性结论</w:t>
      </w:r>
      <w:bookmarkEnd w:id="342"/>
    </w:p>
    <w:p w14:paraId="6C4D0179" w14:textId="77777777" w:rsidR="00B14D53" w:rsidRDefault="00000000">
      <w:pPr>
        <w:pStyle w:val="afff"/>
        <w:adjustRightInd/>
        <w:snapToGrid/>
        <w:contextualSpacing/>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1</w:t>
      </w:r>
      <w:r>
        <w:rPr>
          <w:rFonts w:ascii="Times New Roman" w:hAnsi="Times New Roman" w:cs="Times New Roman"/>
          <w:bCs/>
        </w:rPr>
        <w:t>）大气</w:t>
      </w:r>
    </w:p>
    <w:p w14:paraId="613E5DD1" w14:textId="77777777" w:rsidR="00B14D53" w:rsidRDefault="00000000">
      <w:pPr>
        <w:pStyle w:val="afff"/>
        <w:adjustRightInd/>
        <w:snapToGrid/>
        <w:contextualSpacing/>
        <w:jc w:val="both"/>
        <w:rPr>
          <w:rFonts w:ascii="Times New Roman" w:hAnsi="Times New Roman" w:cs="Times New Roman"/>
          <w:bCs/>
        </w:rPr>
      </w:pPr>
      <w:r>
        <w:rPr>
          <w:rFonts w:ascii="Times New Roman" w:hAnsi="Times New Roman" w:cs="Times New Roman"/>
          <w:bCs/>
        </w:rPr>
        <w:t>本项目屠宰车间封闭，产生的恶臭气体经</w:t>
      </w:r>
      <w:r>
        <w:rPr>
          <w:rFonts w:cs="Times New Roman" w:hint="eastAsia"/>
          <w:bCs/>
        </w:rPr>
        <w:t>引风机集中收集</w:t>
      </w:r>
      <w:r>
        <w:rPr>
          <w:rFonts w:ascii="Times New Roman" w:hAnsi="Times New Roman" w:cs="Times New Roman"/>
          <w:bCs/>
        </w:rPr>
        <w:t>后，通过活性炭吸附净化后由</w:t>
      </w:r>
      <w:r>
        <w:rPr>
          <w:rFonts w:ascii="Times New Roman" w:hAnsi="Times New Roman" w:cs="Times New Roman" w:hint="eastAsia"/>
          <w:bCs/>
        </w:rPr>
        <w:t>1</w:t>
      </w:r>
      <w:r>
        <w:rPr>
          <w:rFonts w:ascii="Times New Roman" w:hAnsi="Times New Roman" w:cs="Times New Roman" w:hint="eastAsia"/>
          <w:bCs/>
        </w:rPr>
        <w:t>根</w:t>
      </w:r>
      <w:r>
        <w:rPr>
          <w:rFonts w:ascii="Times New Roman" w:hAnsi="Times New Roman" w:cs="Times New Roman"/>
          <w:bCs/>
        </w:rPr>
        <w:t>15m</w:t>
      </w:r>
      <w:r>
        <w:rPr>
          <w:rFonts w:ascii="Times New Roman" w:hAnsi="Times New Roman" w:cs="Times New Roman"/>
          <w:bCs/>
        </w:rPr>
        <w:t>高排气筒排放。本项目污水处理站封闭，产生的恶臭气体经</w:t>
      </w:r>
      <w:r>
        <w:rPr>
          <w:rFonts w:cs="Times New Roman" w:hint="eastAsia"/>
          <w:bCs/>
        </w:rPr>
        <w:t>引风机集中收集</w:t>
      </w:r>
      <w:r>
        <w:rPr>
          <w:rFonts w:ascii="Times New Roman" w:hAnsi="Times New Roman" w:cs="Times New Roman"/>
          <w:bCs/>
        </w:rPr>
        <w:t>后，通过活性炭吸附净化后由</w:t>
      </w:r>
      <w:r>
        <w:rPr>
          <w:rFonts w:ascii="Times New Roman" w:hAnsi="Times New Roman" w:cs="Times New Roman" w:hint="eastAsia"/>
          <w:bCs/>
        </w:rPr>
        <w:t>1</w:t>
      </w:r>
      <w:r>
        <w:rPr>
          <w:rFonts w:ascii="Times New Roman" w:hAnsi="Times New Roman" w:cs="Times New Roman" w:hint="eastAsia"/>
          <w:bCs/>
        </w:rPr>
        <w:t>根</w:t>
      </w:r>
      <w:r>
        <w:rPr>
          <w:rFonts w:ascii="Times New Roman" w:hAnsi="Times New Roman" w:cs="Times New Roman"/>
          <w:bCs/>
        </w:rPr>
        <w:t>15m</w:t>
      </w:r>
      <w:r>
        <w:rPr>
          <w:rFonts w:ascii="Times New Roman" w:hAnsi="Times New Roman" w:cs="Times New Roman"/>
          <w:bCs/>
        </w:rPr>
        <w:t>高排气筒排放。本项目</w:t>
      </w:r>
      <w:r>
        <w:rPr>
          <w:rFonts w:cs="Times New Roman" w:hint="eastAsia"/>
          <w:bCs/>
        </w:rPr>
        <w:t>待宰圈</w:t>
      </w:r>
      <w:r>
        <w:rPr>
          <w:rFonts w:ascii="Times New Roman" w:hAnsi="Times New Roman" w:cs="Times New Roman"/>
          <w:bCs/>
        </w:rPr>
        <w:t>封闭，及时清扫，并投加或喷洒除臭剂，产生的恶臭气体经</w:t>
      </w:r>
      <w:r>
        <w:rPr>
          <w:rFonts w:cs="Times New Roman" w:hint="eastAsia"/>
          <w:bCs/>
        </w:rPr>
        <w:t>引风机集中收集</w:t>
      </w:r>
      <w:r>
        <w:rPr>
          <w:rFonts w:ascii="Times New Roman" w:hAnsi="Times New Roman" w:cs="Times New Roman"/>
          <w:bCs/>
        </w:rPr>
        <w:t>后，通过活性炭吸附净化后</w:t>
      </w:r>
      <w:r>
        <w:rPr>
          <w:rFonts w:ascii="Times New Roman" w:hAnsi="Times New Roman" w:cs="Times New Roman" w:hint="eastAsia"/>
          <w:bCs/>
        </w:rPr>
        <w:t>分别</w:t>
      </w:r>
      <w:r>
        <w:rPr>
          <w:rFonts w:ascii="Times New Roman" w:hAnsi="Times New Roman" w:cs="Times New Roman"/>
          <w:bCs/>
        </w:rPr>
        <w:t>由</w:t>
      </w:r>
      <w:r>
        <w:rPr>
          <w:rFonts w:ascii="Times New Roman" w:hAnsi="Times New Roman" w:cs="Times New Roman" w:hint="eastAsia"/>
          <w:bCs/>
        </w:rPr>
        <w:t>2</w:t>
      </w:r>
      <w:r>
        <w:rPr>
          <w:rFonts w:ascii="Times New Roman" w:hAnsi="Times New Roman" w:cs="Times New Roman" w:hint="eastAsia"/>
          <w:bCs/>
        </w:rPr>
        <w:t>根</w:t>
      </w:r>
      <w:r>
        <w:rPr>
          <w:rFonts w:ascii="Times New Roman" w:hAnsi="Times New Roman" w:cs="Times New Roman"/>
          <w:bCs/>
        </w:rPr>
        <w:t>15m</w:t>
      </w:r>
      <w:r>
        <w:rPr>
          <w:rFonts w:ascii="Times New Roman" w:hAnsi="Times New Roman" w:cs="Times New Roman"/>
          <w:bCs/>
        </w:rPr>
        <w:t>高排气筒排放。本项目有组织排放</w:t>
      </w:r>
      <w:r>
        <w:rPr>
          <w:rFonts w:ascii="Times New Roman" w:hAnsi="Times New Roman" w:cs="Times New Roman"/>
          <w:bCs/>
        </w:rPr>
        <w:t>NH</w:t>
      </w:r>
      <w:r>
        <w:rPr>
          <w:rFonts w:ascii="Times New Roman" w:hAnsi="Times New Roman" w:cs="Times New Roman"/>
          <w:bCs/>
          <w:vertAlign w:val="subscript"/>
        </w:rPr>
        <w:t>3</w:t>
      </w:r>
      <w:r>
        <w:rPr>
          <w:rFonts w:ascii="Times New Roman" w:hAnsi="Times New Roman" w:cs="Times New Roman"/>
          <w:bCs/>
        </w:rPr>
        <w:t>、</w:t>
      </w:r>
      <w:r>
        <w:rPr>
          <w:rFonts w:ascii="Times New Roman" w:hAnsi="Times New Roman" w:cs="Times New Roman"/>
          <w:bCs/>
        </w:rPr>
        <w:t>H</w:t>
      </w:r>
      <w:r>
        <w:rPr>
          <w:rFonts w:ascii="Times New Roman" w:hAnsi="Times New Roman" w:cs="Times New Roman"/>
          <w:bCs/>
          <w:vertAlign w:val="subscript"/>
        </w:rPr>
        <w:t>2</w:t>
      </w:r>
      <w:r>
        <w:rPr>
          <w:rFonts w:ascii="Times New Roman" w:hAnsi="Times New Roman" w:cs="Times New Roman"/>
          <w:bCs/>
        </w:rPr>
        <w:t>S</w:t>
      </w:r>
      <w:r>
        <w:rPr>
          <w:rFonts w:ascii="Times New Roman" w:hAnsi="Times New Roman" w:cs="Times New Roman"/>
          <w:bCs/>
        </w:rPr>
        <w:t>和臭气浓度均能够满足《恶臭污染物排放标准》（</w:t>
      </w:r>
      <w:r>
        <w:rPr>
          <w:rFonts w:ascii="Times New Roman" w:hAnsi="Times New Roman" w:cs="Times New Roman"/>
          <w:bCs/>
        </w:rPr>
        <w:t>GB14554-93</w:t>
      </w:r>
      <w:r>
        <w:rPr>
          <w:rFonts w:ascii="Times New Roman" w:hAnsi="Times New Roman" w:cs="Times New Roman"/>
          <w:bCs/>
        </w:rPr>
        <w:t>）表</w:t>
      </w:r>
      <w:r>
        <w:rPr>
          <w:rFonts w:ascii="Times New Roman" w:hAnsi="Times New Roman" w:cs="Times New Roman"/>
          <w:bCs/>
        </w:rPr>
        <w:t>2</w:t>
      </w:r>
      <w:r>
        <w:rPr>
          <w:rFonts w:ascii="Times New Roman" w:hAnsi="Times New Roman" w:cs="Times New Roman"/>
          <w:bCs/>
        </w:rPr>
        <w:t>恶臭污染物排放标准值。</w:t>
      </w:r>
    </w:p>
    <w:p w14:paraId="30A1F344" w14:textId="77777777" w:rsidR="00B14D53" w:rsidRDefault="00000000">
      <w:pPr>
        <w:pStyle w:val="afff"/>
        <w:adjustRightInd/>
        <w:snapToGrid/>
        <w:contextualSpacing/>
        <w:jc w:val="both"/>
        <w:rPr>
          <w:rFonts w:ascii="Times New Roman" w:eastAsia="宋体" w:hAnsi="Times New Roman" w:cs="Times New Roman"/>
          <w:bCs/>
        </w:rPr>
      </w:pPr>
      <w:r>
        <w:rPr>
          <w:rFonts w:cs="Times New Roman" w:hint="eastAsia"/>
          <w:bCs/>
        </w:rPr>
        <w:t>待宰圈</w:t>
      </w:r>
      <w:r>
        <w:rPr>
          <w:rFonts w:ascii="Times New Roman" w:eastAsia="宋体" w:hAnsi="Times New Roman" w:cs="Times New Roman"/>
          <w:bCs/>
        </w:rPr>
        <w:t>、屠宰车间和污水处理站封闭，加强通风，未被收集的恶臭气体无组织排放。根据估算模式预测结果，无组织排放恶臭气体污染物经过自然风稀释扩散后，厂界</w:t>
      </w:r>
      <w:r>
        <w:rPr>
          <w:rFonts w:ascii="Times New Roman" w:eastAsia="宋体" w:hAnsi="Times New Roman" w:cs="Times New Roman"/>
          <w:bCs/>
        </w:rPr>
        <w:t>NH</w:t>
      </w:r>
      <w:r>
        <w:rPr>
          <w:rFonts w:ascii="Times New Roman" w:eastAsia="宋体" w:hAnsi="Times New Roman" w:cs="Times New Roman"/>
          <w:bCs/>
          <w:vertAlign w:val="subscript"/>
        </w:rPr>
        <w:t>3</w:t>
      </w:r>
      <w:r>
        <w:rPr>
          <w:rFonts w:ascii="Times New Roman" w:eastAsia="宋体" w:hAnsi="Times New Roman" w:cs="Times New Roman"/>
          <w:bCs/>
        </w:rPr>
        <w:t>、</w:t>
      </w:r>
      <w:r>
        <w:rPr>
          <w:rFonts w:ascii="Times New Roman" w:eastAsia="宋体" w:hAnsi="Times New Roman" w:cs="Times New Roman"/>
          <w:bCs/>
        </w:rPr>
        <w:t>H</w:t>
      </w:r>
      <w:r>
        <w:rPr>
          <w:rFonts w:ascii="Times New Roman" w:eastAsia="宋体" w:hAnsi="Times New Roman" w:cs="Times New Roman"/>
          <w:bCs/>
          <w:vertAlign w:val="subscript"/>
        </w:rPr>
        <w:t>2</w:t>
      </w:r>
      <w:r>
        <w:rPr>
          <w:rFonts w:ascii="Times New Roman" w:eastAsia="宋体" w:hAnsi="Times New Roman" w:cs="Times New Roman"/>
          <w:bCs/>
        </w:rPr>
        <w:t>S</w:t>
      </w:r>
      <w:r>
        <w:rPr>
          <w:rFonts w:ascii="Times New Roman" w:eastAsia="宋体" w:hAnsi="Times New Roman" w:cs="Times New Roman"/>
          <w:bCs/>
        </w:rPr>
        <w:t>和臭气浓度能够满足《恶臭污染物排放标准》（</w:t>
      </w:r>
      <w:r>
        <w:rPr>
          <w:rFonts w:ascii="Times New Roman" w:eastAsia="宋体" w:hAnsi="Times New Roman" w:cs="Times New Roman"/>
          <w:bCs/>
        </w:rPr>
        <w:t>GB14554-93</w:t>
      </w:r>
      <w:r>
        <w:rPr>
          <w:rFonts w:ascii="Times New Roman" w:eastAsia="宋体" w:hAnsi="Times New Roman" w:cs="Times New Roman"/>
          <w:bCs/>
        </w:rPr>
        <w:t>）表</w:t>
      </w:r>
      <w:r>
        <w:rPr>
          <w:rFonts w:ascii="Times New Roman" w:eastAsia="宋体" w:hAnsi="Times New Roman" w:cs="Times New Roman"/>
          <w:bCs/>
        </w:rPr>
        <w:t>1</w:t>
      </w:r>
      <w:r>
        <w:rPr>
          <w:rFonts w:ascii="Times New Roman" w:eastAsia="宋体" w:hAnsi="Times New Roman" w:cs="Times New Roman"/>
          <w:bCs/>
        </w:rPr>
        <w:t>中二级新改扩建标准。</w:t>
      </w:r>
    </w:p>
    <w:p w14:paraId="4FFE5776" w14:textId="77777777" w:rsidR="00B14D53" w:rsidRDefault="00000000">
      <w:pPr>
        <w:pStyle w:val="afff"/>
        <w:adjustRightInd/>
        <w:snapToGrid/>
        <w:contextualSpacing/>
        <w:rPr>
          <w:rFonts w:ascii="Times New Roman" w:hAnsi="Times New Roman" w:cs="Times New Roman"/>
        </w:rPr>
      </w:pPr>
      <w:r>
        <w:rPr>
          <w:rFonts w:ascii="Times New Roman" w:hAnsi="Times New Roman" w:cs="Times New Roman"/>
        </w:rPr>
        <w:t>项目运行期采取了积极有效的污染治理措施，各大气污染物对环境空气的贡献值均不大，并且可以达标排放，对周围环境影响不大，从环境空气的角度来看，该项目是可行的。</w:t>
      </w:r>
    </w:p>
    <w:p w14:paraId="6B6E28F3" w14:textId="77777777" w:rsidR="00B14D53" w:rsidRDefault="00000000">
      <w:pPr>
        <w:pStyle w:val="afff"/>
        <w:adjustRightInd/>
        <w:snapToGrid/>
        <w:contextualSpacing/>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）废水</w:t>
      </w:r>
    </w:p>
    <w:p w14:paraId="7C25DF5F" w14:textId="77777777" w:rsidR="00B14D53" w:rsidRDefault="00000000">
      <w:pPr>
        <w:widowControl/>
        <w:kinsoku w:val="0"/>
        <w:autoSpaceDE w:val="0"/>
        <w:autoSpaceDN w:val="0"/>
        <w:spacing w:line="360" w:lineRule="auto"/>
        <w:ind w:firstLineChars="200" w:firstLine="480"/>
        <w:textAlignment w:val="baseline"/>
        <w:rPr>
          <w:sz w:val="24"/>
        </w:rPr>
      </w:pPr>
      <w:r>
        <w:rPr>
          <w:rFonts w:hint="eastAsia"/>
          <w:kern w:val="24"/>
          <w:sz w:val="24"/>
        </w:rPr>
        <w:t>本项目生活污水</w:t>
      </w:r>
      <w:r>
        <w:rPr>
          <w:rFonts w:hint="eastAsia"/>
          <w:sz w:val="24"/>
        </w:rPr>
        <w:t>满足《污水综合排放标准》（</w:t>
      </w:r>
      <w:r>
        <w:rPr>
          <w:rFonts w:hint="eastAsia"/>
          <w:sz w:val="24"/>
        </w:rPr>
        <w:t>GB8978-1996</w:t>
      </w:r>
      <w:r>
        <w:rPr>
          <w:rFonts w:hint="eastAsia"/>
          <w:sz w:val="24"/>
        </w:rPr>
        <w:t>）表</w:t>
      </w:r>
      <w:r>
        <w:rPr>
          <w:rFonts w:hint="eastAsia"/>
          <w:sz w:val="24"/>
        </w:rPr>
        <w:t>4</w:t>
      </w:r>
      <w:r>
        <w:rPr>
          <w:rFonts w:hint="eastAsia"/>
          <w:sz w:val="24"/>
        </w:rPr>
        <w:t>三级标准限值及五常市民泉污水处理有限公司（五常市山河屯林业局污水处理厂）设计进水水质指标排入市政管网，经五常市民泉污水处理有限公司（五常市山河屯林业局污水处理厂）处理后，排入拉林河。</w:t>
      </w:r>
    </w:p>
    <w:p w14:paraId="53F72B55" w14:textId="77777777" w:rsidR="00B14D53" w:rsidRDefault="00000000">
      <w:pPr>
        <w:widowControl/>
        <w:kinsoku w:val="0"/>
        <w:autoSpaceDE w:val="0"/>
        <w:autoSpaceDN w:val="0"/>
        <w:spacing w:line="360" w:lineRule="auto"/>
        <w:ind w:firstLineChars="200" w:firstLine="480"/>
        <w:textAlignment w:val="baseline"/>
        <w:rPr>
          <w:sz w:val="24"/>
        </w:rPr>
      </w:pPr>
      <w:r>
        <w:rPr>
          <w:kern w:val="24"/>
          <w:sz w:val="24"/>
        </w:rPr>
        <w:t>本项目</w:t>
      </w:r>
      <w:r>
        <w:rPr>
          <w:rFonts w:hint="eastAsia"/>
          <w:sz w:val="24"/>
        </w:rPr>
        <w:t>生产废水</w:t>
      </w:r>
      <w:r>
        <w:rPr>
          <w:sz w:val="24"/>
        </w:rPr>
        <w:t>经厂区污水处理站处理达到《肉类加工工业水污染物排放标准》（</w:t>
      </w:r>
      <w:r>
        <w:rPr>
          <w:sz w:val="24"/>
        </w:rPr>
        <w:t>GB13457-92</w:t>
      </w:r>
      <w:r>
        <w:rPr>
          <w:sz w:val="24"/>
        </w:rPr>
        <w:t>）畜类屠宰加工三级标准</w:t>
      </w:r>
      <w:r>
        <w:rPr>
          <w:kern w:val="21"/>
          <w:sz w:val="24"/>
        </w:rPr>
        <w:t>及五常市民泉污水处理有限公司（五常市山河屯林业局污水处理厂）设计进水水质指标排入市政管网，经五常市民泉污水处理有限公司（五常市山河屯林业局污水处理厂）处理后，排入拉林河</w:t>
      </w:r>
      <w:r>
        <w:rPr>
          <w:sz w:val="24"/>
        </w:rPr>
        <w:t>。</w:t>
      </w:r>
    </w:p>
    <w:p w14:paraId="4C464467" w14:textId="77777777" w:rsidR="00B14D53" w:rsidRDefault="00000000">
      <w:pPr>
        <w:spacing w:line="360" w:lineRule="auto"/>
        <w:ind w:firstLineChars="200" w:firstLine="480"/>
        <w:rPr>
          <w:rFonts w:eastAsiaTheme="minorEastAsia"/>
          <w:sz w:val="24"/>
          <w:szCs w:val="21"/>
        </w:rPr>
      </w:pPr>
      <w:r>
        <w:rPr>
          <w:rFonts w:eastAsiaTheme="minorEastAsia"/>
          <w:sz w:val="24"/>
          <w:szCs w:val="21"/>
        </w:rPr>
        <w:t>综上，本项目排放的废水不会对地表水环境产生影响。</w:t>
      </w:r>
    </w:p>
    <w:p w14:paraId="3EBB0C2B" w14:textId="77777777" w:rsidR="00B14D53" w:rsidRDefault="00000000">
      <w:pPr>
        <w:pStyle w:val="afff"/>
        <w:adjustRightInd/>
        <w:snapToGrid/>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）噪声</w:t>
      </w:r>
    </w:p>
    <w:p w14:paraId="28CEA4EA" w14:textId="77777777" w:rsidR="00B14D53" w:rsidRDefault="00000000">
      <w:pPr>
        <w:pStyle w:val="afff"/>
        <w:adjustRightInd/>
        <w:snapToGrid/>
        <w:jc w:val="both"/>
        <w:rPr>
          <w:rFonts w:ascii="Times New Roman" w:hAnsi="Times New Roman" w:cs="Times New Roman"/>
        </w:rPr>
      </w:pPr>
      <w:r>
        <w:rPr>
          <w:rFonts w:ascii="Times New Roman" w:eastAsia="宋体" w:hAnsi="Times New Roman" w:cs="Times New Roman"/>
        </w:rPr>
        <w:t>本项目固定噪声源主要为风机、</w:t>
      </w:r>
      <w:r>
        <w:rPr>
          <w:rFonts w:ascii="Times New Roman" w:eastAsia="宋体" w:hAnsi="Times New Roman" w:cs="Times New Roman" w:hint="eastAsia"/>
        </w:rPr>
        <w:t>水泵</w:t>
      </w:r>
      <w:r>
        <w:rPr>
          <w:rFonts w:ascii="Times New Roman" w:eastAsia="宋体" w:hAnsi="Times New Roman" w:cs="Times New Roman"/>
        </w:rPr>
        <w:t>等，通过选用低噪声设备、厂房隔声、基础减振</w:t>
      </w:r>
      <w:r>
        <w:rPr>
          <w:rFonts w:ascii="Times New Roman" w:eastAsia="宋体" w:hAnsi="Times New Roman" w:cs="Times New Roman" w:hint="eastAsia"/>
        </w:rPr>
        <w:t>、夜间不生产</w:t>
      </w:r>
      <w:r>
        <w:rPr>
          <w:rFonts w:ascii="Times New Roman" w:eastAsia="宋体" w:hAnsi="Times New Roman" w:cs="Times New Roman"/>
        </w:rPr>
        <w:t>等措施后，厂界噪声可满足《工业企业厂界环境噪声排放标准》（</w:t>
      </w:r>
      <w:r>
        <w:rPr>
          <w:rFonts w:ascii="Times New Roman" w:eastAsia="宋体" w:hAnsi="Times New Roman" w:cs="Times New Roman"/>
        </w:rPr>
        <w:t>GB12348-2008</w:t>
      </w:r>
      <w:r>
        <w:rPr>
          <w:rFonts w:ascii="Times New Roman" w:eastAsia="宋体" w:hAnsi="Times New Roman" w:cs="Times New Roman"/>
        </w:rPr>
        <w:t>）中的</w:t>
      </w:r>
      <w:r>
        <w:rPr>
          <w:rFonts w:ascii="Times New Roman" w:eastAsia="宋体" w:hAnsi="Times New Roman" w:cs="Times New Roman"/>
        </w:rPr>
        <w:t>2</w:t>
      </w:r>
      <w:r>
        <w:rPr>
          <w:rFonts w:ascii="Times New Roman" w:eastAsia="宋体" w:hAnsi="Times New Roman" w:cs="Times New Roman"/>
        </w:rPr>
        <w:t>类噪声排放限值。</w:t>
      </w:r>
    </w:p>
    <w:p w14:paraId="1A996FF0" w14:textId="77777777" w:rsidR="00B14D53" w:rsidRDefault="00000000">
      <w:pPr>
        <w:pStyle w:val="afff"/>
        <w:adjustRightInd/>
        <w:snapToGrid/>
        <w:jc w:val="both"/>
        <w:rPr>
          <w:rFonts w:ascii="Times New Roman" w:hAnsi="Times New Roman" w:cs="Times New Roman"/>
        </w:rPr>
      </w:pPr>
      <w:r>
        <w:rPr>
          <w:rFonts w:ascii="Times New Roman" w:hAnsi="Times New Roman" w:cs="Times New Roman"/>
        </w:rPr>
        <w:t>从预测结果分析，</w:t>
      </w:r>
      <w:r>
        <w:rPr>
          <w:rFonts w:ascii="Times New Roman" w:hAnsi="Times New Roman" w:cs="Times New Roman" w:hint="eastAsia"/>
        </w:rPr>
        <w:t>厂</w:t>
      </w:r>
      <w:r>
        <w:rPr>
          <w:rFonts w:ascii="Times New Roman" w:hAnsi="Times New Roman" w:cs="Times New Roman"/>
        </w:rPr>
        <w:t>界昼间和夜间噪声值均不超标，因此该项目对周围声环境影响可以接受。</w:t>
      </w:r>
    </w:p>
    <w:p w14:paraId="0B68163E" w14:textId="77777777" w:rsidR="00B14D53" w:rsidRDefault="00000000">
      <w:pPr>
        <w:pStyle w:val="afff"/>
        <w:adjustRightInd/>
        <w:snapToGrid/>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）固废</w:t>
      </w:r>
    </w:p>
    <w:p w14:paraId="332A0A03" w14:textId="77777777" w:rsidR="00B14D53" w:rsidRDefault="00000000">
      <w:pPr>
        <w:pStyle w:val="afff"/>
        <w:adjustRightInd/>
        <w:snapToGrid/>
        <w:jc w:val="both"/>
        <w:rPr>
          <w:rFonts w:ascii="Times New Roman" w:hAnsi="Times New Roman" w:cs="Times New Roman"/>
        </w:rPr>
      </w:pPr>
      <w:r>
        <w:rPr>
          <w:rFonts w:ascii="Times New Roman" w:eastAsia="宋体" w:hAnsi="Times New Roman" w:cs="Times New Roman"/>
        </w:rPr>
        <w:t>待宰圈</w:t>
      </w:r>
      <w:r>
        <w:rPr>
          <w:rFonts w:ascii="Times New Roman" w:hAnsi="Times New Roman" w:cs="Times New Roman" w:hint="eastAsia"/>
        </w:rPr>
        <w:t>的</w:t>
      </w:r>
      <w:r>
        <w:rPr>
          <w:rFonts w:ascii="Times New Roman" w:eastAsia="宋体" w:hAnsi="Times New Roman" w:cs="Times New Roman"/>
        </w:rPr>
        <w:t>猪粪</w:t>
      </w:r>
      <w:r>
        <w:rPr>
          <w:rFonts w:ascii="Times New Roman" w:hAnsi="Times New Roman" w:cs="Times New Roman" w:hint="eastAsia"/>
        </w:rPr>
        <w:t>，清理至包装桶内，暂存于待宰圈内</w:t>
      </w:r>
      <w:r>
        <w:rPr>
          <w:rFonts w:ascii="Times New Roman" w:eastAsia="宋体" w:hAnsi="Times New Roman" w:cs="Times New Roman"/>
        </w:rPr>
        <w:t>，</w:t>
      </w:r>
      <w:r>
        <w:rPr>
          <w:rFonts w:ascii="Times New Roman" w:hAnsi="Times New Roman" w:cs="Times New Roman" w:hint="eastAsia"/>
        </w:rPr>
        <w:t>每日生产结束后</w:t>
      </w:r>
      <w:r>
        <w:rPr>
          <w:rFonts w:ascii="Times New Roman" w:eastAsia="宋体" w:hAnsi="Times New Roman" w:cs="Times New Roman"/>
        </w:rPr>
        <w:t>清运一次，外售有机肥厂进行堆肥处理。</w:t>
      </w:r>
      <w:r>
        <w:rPr>
          <w:rFonts w:ascii="Times New Roman" w:eastAsia="宋体" w:hAnsi="Times New Roman" w:cs="Times New Roman"/>
          <w:color w:val="000000" w:themeColor="text1"/>
        </w:rPr>
        <w:t>肠胃内容物</w:t>
      </w:r>
      <w:r>
        <w:rPr>
          <w:rFonts w:ascii="Times New Roman" w:hAnsi="Times New Roman" w:cs="Times New Roman" w:hint="eastAsia"/>
        </w:rPr>
        <w:t>清理至包装桶内，暂存于待宰圈内</w:t>
      </w:r>
      <w:r>
        <w:rPr>
          <w:rFonts w:ascii="Times New Roman" w:eastAsia="宋体" w:hAnsi="Times New Roman" w:cs="Times New Roman"/>
        </w:rPr>
        <w:t>，</w:t>
      </w:r>
      <w:r>
        <w:rPr>
          <w:rFonts w:ascii="Times New Roman" w:hAnsi="Times New Roman" w:cs="Times New Roman" w:hint="eastAsia"/>
        </w:rPr>
        <w:t>每日生产结束后</w:t>
      </w:r>
      <w:r>
        <w:rPr>
          <w:rFonts w:ascii="Times New Roman" w:eastAsia="宋体" w:hAnsi="Times New Roman" w:cs="Times New Roman"/>
        </w:rPr>
        <w:t>清运一次，外售有机肥厂进行堆肥处理。病变腺体、内脏及残留脂肪</w:t>
      </w:r>
      <w:r>
        <w:rPr>
          <w:rFonts w:ascii="Times New Roman" w:hAnsi="Times New Roman" w:cs="Times New Roman" w:hint="eastAsia"/>
        </w:rPr>
        <w:t>交由</w:t>
      </w:r>
      <w:r>
        <w:rPr>
          <w:rFonts w:hAnsi="宋体" w:hint="eastAsia"/>
          <w:kern w:val="0"/>
          <w:szCs w:val="21"/>
        </w:rPr>
        <w:t>哈尔滨银山无害化处理有限公司</w:t>
      </w:r>
      <w:r>
        <w:rPr>
          <w:rFonts w:ascii="Times New Roman" w:eastAsia="宋体" w:hAnsi="Times New Roman" w:cs="Times New Roman"/>
        </w:rPr>
        <w:t>处理</w:t>
      </w:r>
      <w:r>
        <w:rPr>
          <w:rFonts w:ascii="Times New Roman" w:hAnsi="Times New Roman" w:cs="Times New Roman" w:hint="eastAsia"/>
        </w:rPr>
        <w:t>。检验废物（类别：</w:t>
      </w:r>
      <w:r>
        <w:rPr>
          <w:rFonts w:ascii="Times New Roman" w:hAnsi="Times New Roman" w:cs="Times New Roman" w:hint="eastAsia"/>
        </w:rPr>
        <w:t>HW01</w:t>
      </w:r>
      <w:r>
        <w:rPr>
          <w:rFonts w:ascii="Times New Roman" w:hAnsi="Times New Roman" w:cs="Times New Roman" w:hint="eastAsia"/>
        </w:rPr>
        <w:t>，代码：</w:t>
      </w:r>
      <w:r>
        <w:rPr>
          <w:rFonts w:ascii="Times New Roman" w:hAnsi="Times New Roman" w:cs="Times New Roman" w:hint="eastAsia"/>
        </w:rPr>
        <w:t>841-001-01</w:t>
      </w:r>
      <w:r>
        <w:rPr>
          <w:rFonts w:ascii="Times New Roman" w:hAnsi="Times New Roman" w:cs="Times New Roman" w:hint="eastAsia"/>
        </w:rPr>
        <w:t>）委托有资质单位处置</w:t>
      </w:r>
      <w:r>
        <w:rPr>
          <w:rFonts w:ascii="Times New Roman" w:eastAsia="宋体" w:hAnsi="Times New Roman" w:cs="Times New Roman"/>
        </w:rPr>
        <w:t>。污水处理站</w:t>
      </w:r>
      <w:r>
        <w:rPr>
          <w:rFonts w:ascii="Times New Roman" w:eastAsia="宋体" w:hAnsi="Times New Roman" w:cs="Times New Roman" w:hint="eastAsia"/>
        </w:rPr>
        <w:t>污泥及栅渣</w:t>
      </w:r>
      <w:r>
        <w:rPr>
          <w:rFonts w:ascii="Times New Roman" w:eastAsia="宋体" w:hAnsi="Times New Roman" w:cs="Times New Roman"/>
        </w:rPr>
        <w:t>采用压滤机脱水后，送生活垃圾填埋场处理</w:t>
      </w:r>
      <w:r>
        <w:rPr>
          <w:rFonts w:ascii="Times New Roman" w:eastAsia="宋体" w:hAnsi="Times New Roman" w:cs="Times New Roman" w:hint="eastAsia"/>
        </w:rPr>
        <w:t>。</w:t>
      </w:r>
      <w:r>
        <w:rPr>
          <w:rFonts w:ascii="Times New Roman" w:eastAsia="宋体" w:hAnsi="Times New Roman" w:cs="Times New Roman"/>
        </w:rPr>
        <w:t>废活性炭交由厂家再生利用</w:t>
      </w:r>
      <w:r>
        <w:rPr>
          <w:rFonts w:ascii="Times New Roman" w:eastAsia="宋体" w:hAnsi="Times New Roman" w:cs="Times New Roman" w:hint="eastAsia"/>
        </w:rPr>
        <w:t>。</w:t>
      </w:r>
      <w:r>
        <w:rPr>
          <w:rFonts w:ascii="Times New Roman" w:eastAsia="宋体" w:hAnsi="Times New Roman" w:cs="Times New Roman"/>
        </w:rPr>
        <w:t>废离子交换树脂由厂家回收利用</w:t>
      </w:r>
      <w:r>
        <w:rPr>
          <w:rFonts w:ascii="Times New Roman" w:hAnsi="Times New Roman" w:cs="Times New Roman" w:hint="eastAsia"/>
        </w:rPr>
        <w:t>。</w:t>
      </w:r>
      <w:r>
        <w:rPr>
          <w:rFonts w:cs="Times New Roman" w:hint="eastAsia"/>
        </w:rPr>
        <w:t>废外包装外售物资回收单位</w:t>
      </w:r>
      <w:r>
        <w:rPr>
          <w:rFonts w:ascii="Times New Roman" w:eastAsia="宋体" w:hAnsi="Times New Roman" w:cs="Times New Roman" w:hint="eastAsia"/>
        </w:rPr>
        <w:t>。</w:t>
      </w:r>
      <w:r>
        <w:rPr>
          <w:rFonts w:ascii="Times New Roman" w:eastAsia="宋体" w:hAnsi="Times New Roman" w:cs="Times New Roman"/>
          <w:szCs w:val="22"/>
        </w:rPr>
        <w:t>生活垃圾</w:t>
      </w:r>
      <w:r>
        <w:rPr>
          <w:rFonts w:ascii="Times New Roman" w:eastAsia="宋体" w:hAnsi="Times New Roman" w:cs="Times New Roman"/>
        </w:rPr>
        <w:t>由市政部门统一处理</w:t>
      </w:r>
      <w:r>
        <w:rPr>
          <w:rFonts w:ascii="Times New Roman" w:eastAsia="宋体" w:hAnsi="Times New Roman" w:cs="Times New Roman" w:hint="eastAsia"/>
        </w:rPr>
        <w:t>。病死猪</w:t>
      </w:r>
      <w:r>
        <w:rPr>
          <w:rFonts w:ascii="Times New Roman" w:hAnsi="Times New Roman" w:cs="Times New Roman" w:hint="eastAsia"/>
        </w:rPr>
        <w:t>交由</w:t>
      </w:r>
      <w:r>
        <w:rPr>
          <w:rFonts w:hAnsi="宋体" w:hint="eastAsia"/>
          <w:kern w:val="0"/>
          <w:szCs w:val="21"/>
        </w:rPr>
        <w:t>哈尔滨银山无害化处理有限公司</w:t>
      </w:r>
      <w:r>
        <w:rPr>
          <w:rFonts w:ascii="Times New Roman" w:hAnsi="Times New Roman" w:cs="Times New Roman" w:hint="eastAsia"/>
        </w:rPr>
        <w:t>处置</w:t>
      </w:r>
      <w:r>
        <w:rPr>
          <w:rFonts w:ascii="Times New Roman" w:hAnsi="Times New Roman" w:cs="Times New Roman"/>
        </w:rPr>
        <w:t>。</w:t>
      </w:r>
    </w:p>
    <w:p w14:paraId="6ECEE57C" w14:textId="77777777" w:rsidR="00B14D53" w:rsidRDefault="00000000">
      <w:pPr>
        <w:pStyle w:val="afff"/>
        <w:adjustRightInd/>
        <w:snapToGrid/>
        <w:jc w:val="both"/>
        <w:rPr>
          <w:rFonts w:ascii="Times New Roman" w:hAnsi="Times New Roman" w:cs="Times New Roman"/>
        </w:rPr>
      </w:pPr>
      <w:r>
        <w:rPr>
          <w:rFonts w:ascii="Times New Roman" w:eastAsia="宋体" w:hAnsi="Times New Roman" w:cs="Times New Roman"/>
        </w:rPr>
        <w:t>所有固体废物均得到综合利用和妥善处置，不排入外环境</w:t>
      </w:r>
      <w:r>
        <w:rPr>
          <w:rFonts w:ascii="Times New Roman" w:hAnsi="Times New Roman" w:cs="Times New Roman"/>
        </w:rPr>
        <w:t>。</w:t>
      </w:r>
    </w:p>
    <w:p w14:paraId="1246C26E" w14:textId="77777777" w:rsidR="00B14D53" w:rsidRDefault="00000000">
      <w:pPr>
        <w:pStyle w:val="afff"/>
        <w:adjustRightInd/>
        <w:snapToGrid/>
        <w:contextualSpacing/>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）地下水</w:t>
      </w:r>
    </w:p>
    <w:p w14:paraId="3F9DBD85" w14:textId="77777777" w:rsidR="00B14D53" w:rsidRDefault="00000000">
      <w:pPr>
        <w:pStyle w:val="afff"/>
        <w:adjustRightInd/>
        <w:snapToGrid/>
        <w:contextualSpacing/>
        <w:jc w:val="both"/>
        <w:rPr>
          <w:rFonts w:ascii="Times New Roman" w:eastAsia="宋体" w:hAnsi="Times New Roman" w:cs="Times New Roman"/>
        </w:rPr>
      </w:pPr>
      <w:r>
        <w:rPr>
          <w:rFonts w:ascii="Times New Roman" w:eastAsia="宋体" w:hAnsi="Times New Roman" w:cs="Times New Roman"/>
        </w:rPr>
        <w:t>本项目对厂区进行分区防渗：</w:t>
      </w:r>
    </w:p>
    <w:p w14:paraId="217C5CB4" w14:textId="77777777" w:rsidR="00B14D53" w:rsidRDefault="00000000">
      <w:pPr>
        <w:spacing w:line="360" w:lineRule="auto"/>
        <w:ind w:firstLineChars="200" w:firstLine="480"/>
        <w:rPr>
          <w:bCs/>
          <w:sz w:val="24"/>
          <w:lang w:val="en-GB"/>
        </w:rPr>
      </w:pPr>
      <w:r>
        <w:rPr>
          <w:bCs/>
          <w:sz w:val="24"/>
        </w:rPr>
        <w:t>①</w:t>
      </w:r>
      <w:r>
        <w:rPr>
          <w:bCs/>
          <w:sz w:val="24"/>
        </w:rPr>
        <w:t>重点防渗区：医疗废物采用防漏胶袋盛装后置于医疗废物垃圾桶内，按照《危险废物贮存污染控制标准》（</w:t>
      </w:r>
      <w:r>
        <w:rPr>
          <w:bCs/>
          <w:sz w:val="24"/>
        </w:rPr>
        <w:t>GB18597-2023</w:t>
      </w:r>
      <w:r>
        <w:rPr>
          <w:bCs/>
          <w:sz w:val="24"/>
        </w:rPr>
        <w:t>）要求，贮存设施地面与裙脚应采取表面防渗措施；表面防渗材料应与所接触的物料或污染物相容，可采用抗渗混凝土、高密度聚乙烯膜、钠基膨润土防水毯或其他防渗性能等效的材料</w:t>
      </w:r>
      <w:r>
        <w:rPr>
          <w:rFonts w:hint="eastAsia"/>
          <w:bCs/>
          <w:sz w:val="24"/>
        </w:rPr>
        <w:t>，</w:t>
      </w:r>
    </w:p>
    <w:p w14:paraId="3AFD2082" w14:textId="77777777" w:rsidR="00B14D53" w:rsidRDefault="00000000">
      <w:pPr>
        <w:spacing w:line="360" w:lineRule="auto"/>
        <w:ind w:firstLineChars="200" w:firstLine="480"/>
        <w:rPr>
          <w:bCs/>
          <w:sz w:val="24"/>
          <w:lang w:val="en-GB"/>
        </w:rPr>
      </w:pPr>
      <w:r>
        <w:rPr>
          <w:bCs/>
          <w:sz w:val="24"/>
        </w:rPr>
        <w:t>②</w:t>
      </w:r>
      <w:r>
        <w:rPr>
          <w:bCs/>
          <w:sz w:val="24"/>
        </w:rPr>
        <w:t>一般防渗区：</w:t>
      </w:r>
      <w:r>
        <w:rPr>
          <w:rFonts w:hint="eastAsia"/>
          <w:bCs/>
          <w:sz w:val="24"/>
        </w:rPr>
        <w:t>厂内生产生活区现有地面均采用混凝土进行硬化，其中</w:t>
      </w:r>
      <w:r>
        <w:rPr>
          <w:bCs/>
          <w:sz w:val="24"/>
        </w:rPr>
        <w:t>待宰</w:t>
      </w:r>
      <w:r>
        <w:rPr>
          <w:rFonts w:hint="eastAsia"/>
          <w:bCs/>
          <w:sz w:val="24"/>
        </w:rPr>
        <w:t>圈</w:t>
      </w:r>
      <w:r>
        <w:rPr>
          <w:bCs/>
          <w:sz w:val="24"/>
        </w:rPr>
        <w:t>、</w:t>
      </w:r>
      <w:r>
        <w:rPr>
          <w:rFonts w:eastAsiaTheme="minorEastAsia" w:hint="eastAsia"/>
          <w:sz w:val="24"/>
        </w:rPr>
        <w:t>宰前喷淋间、</w:t>
      </w:r>
      <w:r>
        <w:rPr>
          <w:rFonts w:hint="eastAsia"/>
          <w:bCs/>
          <w:sz w:val="24"/>
        </w:rPr>
        <w:t>屠宰车间</w:t>
      </w:r>
      <w:r>
        <w:rPr>
          <w:bCs/>
          <w:sz w:val="24"/>
          <w:lang w:val="en-GB"/>
        </w:rPr>
        <w:t>地面</w:t>
      </w:r>
      <w:r>
        <w:rPr>
          <w:rFonts w:hint="eastAsia"/>
          <w:bCs/>
          <w:sz w:val="24"/>
        </w:rPr>
        <w:t>均采用抗渗混凝土，污水处理站各池体、事故池池体均采用抗渗混凝土，</w:t>
      </w:r>
      <w:r>
        <w:rPr>
          <w:bCs/>
          <w:sz w:val="24"/>
          <w:lang w:val="en-GB"/>
        </w:rPr>
        <w:t>满足等效黏土防渗层</w:t>
      </w:r>
      <w:r>
        <w:rPr>
          <w:bCs/>
          <w:sz w:val="24"/>
          <w:lang w:val="en-GB"/>
        </w:rPr>
        <w:t>Mb≥1.5m</w:t>
      </w:r>
      <w:r>
        <w:rPr>
          <w:bCs/>
          <w:sz w:val="24"/>
          <w:lang w:val="en-GB"/>
        </w:rPr>
        <w:t>，</w:t>
      </w:r>
      <w:r>
        <w:rPr>
          <w:bCs/>
          <w:sz w:val="24"/>
          <w:lang w:val="en-GB"/>
        </w:rPr>
        <w:t>K≤1×10</w:t>
      </w:r>
      <w:r>
        <w:rPr>
          <w:bCs/>
          <w:sz w:val="24"/>
          <w:vertAlign w:val="superscript"/>
          <w:lang w:val="en-GB"/>
        </w:rPr>
        <w:t>-7</w:t>
      </w:r>
      <w:r>
        <w:rPr>
          <w:bCs/>
          <w:sz w:val="24"/>
          <w:lang w:val="en-GB"/>
        </w:rPr>
        <w:t>cm/s</w:t>
      </w:r>
      <w:r>
        <w:rPr>
          <w:bCs/>
          <w:sz w:val="24"/>
          <w:lang w:val="en-GB"/>
        </w:rPr>
        <w:t>的要求。</w:t>
      </w:r>
    </w:p>
    <w:p w14:paraId="1BD50122" w14:textId="77777777" w:rsidR="00B14D53" w:rsidRDefault="00000000">
      <w:pPr>
        <w:spacing w:line="360" w:lineRule="auto"/>
        <w:ind w:firstLineChars="200" w:firstLine="480"/>
        <w:rPr>
          <w:bCs/>
          <w:sz w:val="24"/>
        </w:rPr>
      </w:pPr>
      <w:r>
        <w:rPr>
          <w:rFonts w:hint="eastAsia"/>
          <w:bCs/>
          <w:sz w:val="24"/>
        </w:rPr>
        <w:fldChar w:fldCharType="begin"/>
      </w:r>
      <w:r>
        <w:rPr>
          <w:rFonts w:hint="eastAsia"/>
          <w:bCs/>
          <w:sz w:val="24"/>
        </w:rPr>
        <w:instrText xml:space="preserve"> = 3 \* GB3 \* MERGEFORMAT </w:instrText>
      </w:r>
      <w:r>
        <w:rPr>
          <w:rFonts w:hint="eastAsia"/>
          <w:bCs/>
          <w:sz w:val="24"/>
        </w:rPr>
        <w:fldChar w:fldCharType="separate"/>
      </w:r>
      <w:r>
        <w:rPr>
          <w:bCs/>
          <w:sz w:val="24"/>
        </w:rPr>
        <w:t>③</w:t>
      </w:r>
      <w:r>
        <w:rPr>
          <w:rFonts w:hint="eastAsia"/>
          <w:bCs/>
          <w:sz w:val="24"/>
        </w:rPr>
        <w:fldChar w:fldCharType="end"/>
      </w:r>
      <w:r>
        <w:rPr>
          <w:rFonts w:hint="eastAsia"/>
          <w:bCs/>
          <w:sz w:val="24"/>
        </w:rPr>
        <w:t>简单防渗区：休息室、冷库、厂区道路等对其地面采用混凝土进行一般地面硬化。</w:t>
      </w:r>
    </w:p>
    <w:p w14:paraId="55992A06" w14:textId="77777777" w:rsidR="00B14D53" w:rsidRDefault="00000000">
      <w:pPr>
        <w:spacing w:line="360" w:lineRule="auto"/>
        <w:ind w:firstLineChars="200" w:firstLine="480"/>
        <w:rPr>
          <w:bCs/>
          <w:sz w:val="24"/>
        </w:rPr>
      </w:pPr>
      <w:r>
        <w:rPr>
          <w:bCs/>
          <w:sz w:val="24"/>
          <w:lang w:val="en-GB"/>
        </w:rPr>
        <w:fldChar w:fldCharType="begin"/>
      </w:r>
      <w:r>
        <w:rPr>
          <w:bCs/>
          <w:sz w:val="24"/>
          <w:lang w:val="en-GB"/>
        </w:rPr>
        <w:instrText xml:space="preserve"> = 4 \* GB3 \* MERGEFORMAT </w:instrText>
      </w:r>
      <w:r>
        <w:rPr>
          <w:bCs/>
          <w:sz w:val="24"/>
          <w:lang w:val="en-GB"/>
        </w:rPr>
        <w:fldChar w:fldCharType="separate"/>
      </w:r>
      <w:r>
        <w:rPr>
          <w:bCs/>
          <w:sz w:val="24"/>
        </w:rPr>
        <w:t>④</w:t>
      </w:r>
      <w:r>
        <w:rPr>
          <w:bCs/>
          <w:sz w:val="24"/>
          <w:lang w:val="en-GB"/>
        </w:rPr>
        <w:fldChar w:fldCharType="end"/>
      </w:r>
      <w:r>
        <w:rPr>
          <w:bCs/>
          <w:sz w:val="24"/>
          <w:lang w:val="en-GB"/>
        </w:rPr>
        <w:t>在</w:t>
      </w:r>
      <w:r>
        <w:rPr>
          <w:rFonts w:hint="eastAsia"/>
          <w:bCs/>
          <w:sz w:val="24"/>
        </w:rPr>
        <w:t>厂</w:t>
      </w:r>
      <w:r>
        <w:rPr>
          <w:bCs/>
          <w:sz w:val="24"/>
          <w:lang w:val="en-GB"/>
        </w:rPr>
        <w:t>区</w:t>
      </w:r>
      <w:r>
        <w:rPr>
          <w:rFonts w:hint="eastAsia"/>
          <w:bCs/>
          <w:sz w:val="24"/>
        </w:rPr>
        <w:t>及厂区上游、下游分别设置</w:t>
      </w:r>
      <w:r>
        <w:rPr>
          <w:rFonts w:hint="eastAsia"/>
          <w:bCs/>
          <w:sz w:val="24"/>
        </w:rPr>
        <w:t>1</w:t>
      </w:r>
      <w:r>
        <w:rPr>
          <w:bCs/>
          <w:sz w:val="24"/>
          <w:lang w:val="en-GB"/>
        </w:rPr>
        <w:t>个跟踪监测井</w:t>
      </w:r>
      <w:r>
        <w:rPr>
          <w:bCs/>
          <w:sz w:val="24"/>
        </w:rPr>
        <w:t>。为最大限度地减轻对区域地下水的影响，项目采取分区防渗措施，设置监测井定期监测，可防范污染物渗漏污染地下水环境。</w:t>
      </w:r>
    </w:p>
    <w:p w14:paraId="6FEE1C9E" w14:textId="77777777" w:rsidR="00B14D53" w:rsidRDefault="00000000">
      <w:pPr>
        <w:spacing w:line="360" w:lineRule="auto"/>
        <w:ind w:firstLineChars="200" w:firstLine="480"/>
        <w:rPr>
          <w:sz w:val="24"/>
        </w:rPr>
      </w:pPr>
      <w:bookmarkStart w:id="343" w:name="_Toc8895"/>
      <w:bookmarkStart w:id="344" w:name="_Toc6977"/>
      <w:r>
        <w:rPr>
          <w:sz w:val="24"/>
        </w:rPr>
        <w:t>（</w:t>
      </w:r>
      <w:r>
        <w:rPr>
          <w:sz w:val="24"/>
        </w:rPr>
        <w:t>6</w:t>
      </w:r>
      <w:r>
        <w:rPr>
          <w:sz w:val="24"/>
        </w:rPr>
        <w:t>）环境风险</w:t>
      </w:r>
      <w:bookmarkEnd w:id="343"/>
      <w:bookmarkEnd w:id="344"/>
    </w:p>
    <w:p w14:paraId="1CCCBD94" w14:textId="77777777" w:rsidR="00B14D53" w:rsidRDefault="00000000">
      <w:pPr>
        <w:pStyle w:val="afff"/>
        <w:adjustRightInd/>
        <w:snapToGrid/>
        <w:jc w:val="both"/>
        <w:rPr>
          <w:rFonts w:ascii="Times New Roman" w:eastAsia="宋体" w:hAnsi="Times New Roman" w:cs="Times New Roman"/>
        </w:rPr>
      </w:pPr>
      <w:r>
        <w:rPr>
          <w:rFonts w:ascii="Times New Roman" w:eastAsia="宋体" w:hAnsi="Times New Roman" w:cs="Times New Roman"/>
          <w:kern w:val="21"/>
        </w:rPr>
        <w:t>为了及时发现和减少事故的潜在危害，确保生命财产和人身安全，有必要建立风险事故决策支持系统和事故应急监测技术支持系统，在事故发生时及时采取应急救援措施，形成风险安全系统工程。从环境控制的角度来评价，经采取相应应急措施，能大大减少事故发生概率，如一旦发生事故，能迅速采取有力措施，减小对环境污染。其潜在的事故风险是可以防范的。因此本项目环境风险可控，对周围环境影响较小。</w:t>
      </w:r>
    </w:p>
    <w:p w14:paraId="7591AB0F" w14:textId="77777777" w:rsidR="00B14D53" w:rsidRDefault="00000000">
      <w:pPr>
        <w:pStyle w:val="afff"/>
        <w:adjustRightInd/>
        <w:snapToGrid/>
        <w:jc w:val="both"/>
        <w:rPr>
          <w:rFonts w:ascii="Times New Roman" w:eastAsia="宋体" w:hAnsi="Times New Roman" w:cs="Times New Roman"/>
        </w:rPr>
      </w:pPr>
      <w:r>
        <w:rPr>
          <w:rFonts w:ascii="Times New Roman" w:eastAsia="宋体" w:hAnsi="Times New Roman" w:cs="Times New Roman"/>
        </w:rPr>
        <w:t>综合分析，本项目所采取的各项污染防治措施从技术经济角度分析均具有可行性，且在项目建设方认真落实报告所述各项污染防治措施后，可使区域环境质量得到明显改善。</w:t>
      </w:r>
    </w:p>
    <w:p w14:paraId="705C458C"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45" w:name="_Toc15991739"/>
      <w:r>
        <w:rPr>
          <w:rFonts w:ascii="Times New Roman" w:eastAsia="黑体" w:hAnsi="Times New Roman" w:cs="Times New Roman"/>
          <w:bCs/>
          <w:sz w:val="28"/>
          <w:szCs w:val="28"/>
        </w:rPr>
        <w:t>9.1.5</w:t>
      </w:r>
      <w:r>
        <w:rPr>
          <w:rFonts w:ascii="Times New Roman" w:eastAsia="黑体" w:hAnsi="Times New Roman" w:cs="Times New Roman"/>
          <w:bCs/>
          <w:sz w:val="28"/>
          <w:szCs w:val="28"/>
        </w:rPr>
        <w:t>经济损益分析结论</w:t>
      </w:r>
      <w:bookmarkEnd w:id="345"/>
    </w:p>
    <w:p w14:paraId="1EE509AB" w14:textId="77777777" w:rsidR="00B14D53" w:rsidRDefault="00000000">
      <w:pPr>
        <w:pStyle w:val="afff"/>
        <w:adjustRightInd/>
        <w:snapToGrid/>
        <w:jc w:val="both"/>
        <w:rPr>
          <w:rFonts w:ascii="Times New Roman" w:hAnsi="Times New Roman" w:cs="Times New Roman"/>
          <w:bCs/>
        </w:rPr>
      </w:pPr>
      <w:r>
        <w:rPr>
          <w:rFonts w:ascii="Times New Roman" w:hAnsi="Times New Roman" w:cs="Times New Roman"/>
          <w:bCs/>
        </w:rPr>
        <w:t>本项目的建设具有良好的社会效益和经济效益，不会对当地环境产生明显不利影响，因此该项目的实施做到了社会效益、经济效益和环境效益的同步发展。</w:t>
      </w:r>
    </w:p>
    <w:p w14:paraId="53B097B2" w14:textId="77777777" w:rsidR="00B14D53" w:rsidRDefault="00000000">
      <w:pPr>
        <w:pStyle w:val="3"/>
        <w:spacing w:before="100" w:beforeAutospacing="1" w:after="0" w:line="240" w:lineRule="auto"/>
        <w:ind w:firstLineChars="200" w:firstLine="560"/>
        <w:rPr>
          <w:rFonts w:ascii="Times New Roman" w:eastAsia="黑体" w:hAnsi="Times New Roman" w:cs="Times New Roman"/>
          <w:b/>
          <w:sz w:val="28"/>
          <w:szCs w:val="28"/>
        </w:rPr>
      </w:pPr>
      <w:bookmarkStart w:id="346" w:name="_Toc486255152"/>
      <w:bookmarkStart w:id="347" w:name="_Toc15991740"/>
      <w:r>
        <w:rPr>
          <w:rFonts w:ascii="Times New Roman" w:eastAsia="黑体" w:hAnsi="Times New Roman" w:cs="Times New Roman"/>
          <w:bCs/>
          <w:sz w:val="28"/>
          <w:szCs w:val="28"/>
        </w:rPr>
        <w:t>9.1.6</w:t>
      </w:r>
      <w:r>
        <w:rPr>
          <w:rFonts w:ascii="Times New Roman" w:eastAsia="黑体" w:hAnsi="Times New Roman" w:cs="Times New Roman"/>
          <w:bCs/>
          <w:sz w:val="28"/>
          <w:szCs w:val="28"/>
        </w:rPr>
        <w:t>环境管理与监测结论</w:t>
      </w:r>
      <w:bookmarkEnd w:id="346"/>
      <w:bookmarkEnd w:id="347"/>
    </w:p>
    <w:p w14:paraId="38B878CE" w14:textId="77777777" w:rsidR="00B14D53" w:rsidRDefault="00000000">
      <w:pPr>
        <w:spacing w:line="360" w:lineRule="auto"/>
        <w:ind w:firstLineChars="200" w:firstLine="480"/>
        <w:rPr>
          <w:rFonts w:eastAsiaTheme="minorEastAsia"/>
          <w:snapToGrid w:val="0"/>
          <w:kern w:val="0"/>
          <w:sz w:val="24"/>
        </w:rPr>
      </w:pPr>
      <w:r>
        <w:rPr>
          <w:rFonts w:eastAsiaTheme="minorEastAsia"/>
          <w:snapToGrid w:val="0"/>
          <w:kern w:val="0"/>
          <w:sz w:val="24"/>
        </w:rPr>
        <w:t>项目运行期通过加强建设和运行的环境管理与监控，建立健全安全生产管理制度，制订科学严谨的操作规程，通过职工操作技能培训，提高危险</w:t>
      </w:r>
      <w:r>
        <w:rPr>
          <w:rFonts w:eastAsiaTheme="minorEastAsia" w:hint="eastAsia"/>
          <w:snapToGrid w:val="0"/>
          <w:kern w:val="0"/>
          <w:sz w:val="24"/>
        </w:rPr>
        <w:t>辨识</w:t>
      </w:r>
      <w:r>
        <w:rPr>
          <w:rFonts w:eastAsiaTheme="minorEastAsia"/>
          <w:snapToGrid w:val="0"/>
          <w:kern w:val="0"/>
          <w:sz w:val="24"/>
        </w:rPr>
        <w:t>、防护和保护能力，落实责任到人。同时加强场内各类设备包括污染治理设施的日常运行管理和维护，对生产设备进行定期检测，对关键设备进行不定期探伤测试。增强岗位职责和环保、安全意识，保证生产设施和环保治理设施运行的可靠性、稳定性。</w:t>
      </w:r>
    </w:p>
    <w:p w14:paraId="17FF5B51"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bookmarkStart w:id="348" w:name="_Toc15991741"/>
      <w:bookmarkStart w:id="349" w:name="_Toc486255150"/>
      <w:r>
        <w:rPr>
          <w:rFonts w:ascii="Times New Roman" w:eastAsia="黑体" w:hAnsi="Times New Roman" w:cs="Times New Roman"/>
          <w:bCs/>
          <w:sz w:val="28"/>
          <w:szCs w:val="28"/>
        </w:rPr>
        <w:t>9.1.7</w:t>
      </w:r>
      <w:r>
        <w:rPr>
          <w:rFonts w:ascii="Times New Roman" w:eastAsia="黑体" w:hAnsi="Times New Roman" w:cs="Times New Roman"/>
          <w:bCs/>
          <w:sz w:val="28"/>
          <w:szCs w:val="28"/>
        </w:rPr>
        <w:t>公众意见采纳情况</w:t>
      </w:r>
      <w:bookmarkEnd w:id="348"/>
      <w:bookmarkEnd w:id="349"/>
    </w:p>
    <w:p w14:paraId="3A5EFC28" w14:textId="77777777" w:rsidR="00B14D53" w:rsidRDefault="00000000">
      <w:pPr>
        <w:pStyle w:val="afff"/>
        <w:adjustRightInd/>
        <w:snapToGrid/>
        <w:jc w:val="both"/>
        <w:rPr>
          <w:rFonts w:ascii="Times New Roman" w:hAnsi="Times New Roman" w:cs="Times New Roman"/>
          <w:bCs/>
        </w:rPr>
      </w:pPr>
      <w:bookmarkStart w:id="350" w:name="_Toc285188950"/>
      <w:bookmarkStart w:id="351" w:name="_Toc15991742"/>
      <w:bookmarkStart w:id="352" w:name="_Toc342462538"/>
      <w:r>
        <w:rPr>
          <w:rFonts w:ascii="Times New Roman" w:hAnsi="Times New Roman" w:cs="Times New Roman"/>
          <w:bCs/>
        </w:rPr>
        <w:t>本项目在公示期间，建设单位未接到公众反馈意见。通过对公众问卷调查表的调查结果了解，项目区公众对项目建设的总体意见是赞成的，项目投产后公众最关心的环境问题主要是噪声对环境的影响，建设单位要充分重视，切实落实各项污染防治措施，加强环境管理，把本工程环境污染降低到最低限度。</w:t>
      </w:r>
    </w:p>
    <w:p w14:paraId="68FC5A2E" w14:textId="77777777" w:rsidR="00B14D53" w:rsidRDefault="00000000">
      <w:pPr>
        <w:pStyle w:val="3"/>
        <w:spacing w:before="100" w:beforeAutospacing="1" w:after="0" w:line="240" w:lineRule="auto"/>
        <w:ind w:firstLineChars="200" w:firstLine="560"/>
        <w:rPr>
          <w:rFonts w:ascii="Times New Roman" w:eastAsia="黑体" w:hAnsi="Times New Roman" w:cs="Times New Roman"/>
          <w:bCs/>
          <w:sz w:val="28"/>
          <w:szCs w:val="28"/>
        </w:rPr>
      </w:pPr>
      <w:r>
        <w:rPr>
          <w:rFonts w:ascii="Times New Roman" w:eastAsia="黑体" w:hAnsi="Times New Roman" w:cs="Times New Roman"/>
          <w:bCs/>
          <w:sz w:val="28"/>
          <w:szCs w:val="28"/>
        </w:rPr>
        <w:t>9.1.8</w:t>
      </w:r>
      <w:r>
        <w:rPr>
          <w:rFonts w:ascii="Times New Roman" w:eastAsia="黑体" w:hAnsi="Times New Roman" w:cs="Times New Roman"/>
          <w:bCs/>
          <w:sz w:val="28"/>
          <w:szCs w:val="28"/>
        </w:rPr>
        <w:t>总结论</w:t>
      </w:r>
      <w:bookmarkEnd w:id="350"/>
      <w:bookmarkEnd w:id="351"/>
      <w:bookmarkEnd w:id="352"/>
    </w:p>
    <w:p w14:paraId="341C73C6" w14:textId="77777777" w:rsidR="00B14D53" w:rsidRDefault="00000000">
      <w:pPr>
        <w:pStyle w:val="afff"/>
        <w:adjustRightInd/>
        <w:snapToGrid/>
        <w:contextualSpacing/>
        <w:jc w:val="both"/>
        <w:rPr>
          <w:rFonts w:ascii="Times New Roman" w:hAnsi="Times New Roman" w:cs="Times New Roman"/>
          <w:bCs/>
        </w:rPr>
      </w:pPr>
      <w:r>
        <w:rPr>
          <w:rFonts w:ascii="Times New Roman" w:hAnsi="Times New Roman" w:cs="Times New Roman"/>
          <w:bCs/>
        </w:rPr>
        <w:t>本项目建设项目符合国家产业政策要求，工程污染治理措施符合</w:t>
      </w:r>
      <w:r>
        <w:rPr>
          <w:rFonts w:ascii="Times New Roman" w:eastAsia="宋体" w:hAnsi="Times New Roman" w:cs="Times New Roman"/>
          <w:bCs/>
        </w:rPr>
        <w:t>《排污许可证申请与核发技术规范农副食品加工工业</w:t>
      </w:r>
      <w:r>
        <w:rPr>
          <w:rFonts w:ascii="Times New Roman" w:eastAsia="宋体" w:hAnsi="Times New Roman" w:cs="Times New Roman"/>
          <w:bCs/>
        </w:rPr>
        <w:t>—</w:t>
      </w:r>
      <w:r>
        <w:rPr>
          <w:rFonts w:ascii="Times New Roman" w:eastAsia="宋体" w:hAnsi="Times New Roman" w:cs="Times New Roman"/>
          <w:bCs/>
        </w:rPr>
        <w:t>屠宰及肉类加工工业》（</w:t>
      </w:r>
      <w:r>
        <w:rPr>
          <w:rFonts w:ascii="Times New Roman" w:eastAsia="宋体" w:hAnsi="Times New Roman" w:cs="Times New Roman"/>
          <w:bCs/>
        </w:rPr>
        <w:t>HJ860.3-2018</w:t>
      </w:r>
      <w:r>
        <w:rPr>
          <w:rFonts w:ascii="Times New Roman" w:eastAsia="宋体" w:hAnsi="Times New Roman" w:cs="Times New Roman"/>
          <w:bCs/>
        </w:rPr>
        <w:t>）及《屠宰及肉类加工业污染防治可行技术指南》（</w:t>
      </w:r>
      <w:r>
        <w:rPr>
          <w:rFonts w:ascii="Times New Roman" w:eastAsia="宋体" w:hAnsi="Times New Roman" w:cs="Times New Roman"/>
          <w:bCs/>
        </w:rPr>
        <w:t>HJ1285—2023</w:t>
      </w:r>
      <w:r>
        <w:rPr>
          <w:rFonts w:ascii="Times New Roman" w:eastAsia="宋体" w:hAnsi="Times New Roman" w:cs="Times New Roman"/>
          <w:bCs/>
        </w:rPr>
        <w:t>）</w:t>
      </w:r>
      <w:r>
        <w:rPr>
          <w:rFonts w:ascii="Times New Roman" w:hAnsi="Times New Roman" w:cs="Times New Roman"/>
          <w:bCs/>
        </w:rPr>
        <w:t>的技术要求，</w:t>
      </w:r>
      <w:r>
        <w:rPr>
          <w:rFonts w:ascii="Times New Roman" w:hAnsi="Times New Roman" w:cs="Times New Roman" w:hint="eastAsia"/>
          <w:bCs/>
        </w:rPr>
        <w:t>生活污水、生产废水间接排放至污水处理厂，可利用的固废</w:t>
      </w:r>
      <w:r>
        <w:rPr>
          <w:rFonts w:ascii="Times New Roman" w:hAnsi="Times New Roman" w:cs="Times New Roman"/>
          <w:bCs/>
        </w:rPr>
        <w:t>得到资源化综合利用，在认真落实报告书所述各项污染防治措施后，可实现污染物稳定达标排放，不会对周围环境产生明显不利影响。</w:t>
      </w:r>
    </w:p>
    <w:p w14:paraId="42923D55" w14:textId="77777777" w:rsidR="00B14D53" w:rsidRDefault="00000000">
      <w:pPr>
        <w:pStyle w:val="afff"/>
        <w:adjustRightInd/>
        <w:snapToGrid/>
        <w:contextualSpacing/>
        <w:jc w:val="both"/>
        <w:rPr>
          <w:rFonts w:ascii="Times New Roman" w:hAnsi="Times New Roman" w:cs="Times New Roman"/>
          <w:bCs/>
        </w:rPr>
      </w:pPr>
      <w:r>
        <w:rPr>
          <w:rFonts w:ascii="Times New Roman" w:hAnsi="Times New Roman" w:cs="Times New Roman"/>
          <w:bCs/>
        </w:rPr>
        <w:t>因此，从环境保护角度分析，本项目具有可行性。</w:t>
      </w:r>
    </w:p>
    <w:p w14:paraId="7F47CDE0" w14:textId="77777777" w:rsidR="00B14D53" w:rsidRDefault="00000000">
      <w:pPr>
        <w:pStyle w:val="20"/>
        <w:spacing w:before="100" w:beforeAutospacing="1" w:after="0" w:line="240" w:lineRule="auto"/>
        <w:ind w:firstLineChars="200" w:firstLine="600"/>
        <w:rPr>
          <w:rFonts w:ascii="Times New Roman" w:eastAsia="黑体" w:hAnsi="Times New Roman" w:cs="Times New Roman"/>
          <w:b w:val="0"/>
          <w:sz w:val="30"/>
          <w:szCs w:val="30"/>
        </w:rPr>
      </w:pPr>
      <w:bookmarkStart w:id="353" w:name="_Toc477368707"/>
      <w:bookmarkStart w:id="354" w:name="_Toc15991743"/>
      <w:bookmarkStart w:id="355" w:name="_Toc18544"/>
      <w:r>
        <w:rPr>
          <w:rFonts w:ascii="Times New Roman" w:eastAsia="黑体" w:hAnsi="Times New Roman" w:cs="Times New Roman"/>
          <w:b w:val="0"/>
          <w:sz w:val="30"/>
          <w:szCs w:val="30"/>
        </w:rPr>
        <w:t>9.2</w:t>
      </w:r>
      <w:r>
        <w:rPr>
          <w:rFonts w:ascii="Times New Roman" w:eastAsia="黑体" w:hAnsi="Times New Roman" w:cs="Times New Roman"/>
          <w:b w:val="0"/>
          <w:sz w:val="30"/>
          <w:szCs w:val="30"/>
        </w:rPr>
        <w:t>建议</w:t>
      </w:r>
      <w:bookmarkEnd w:id="353"/>
      <w:bookmarkEnd w:id="354"/>
      <w:bookmarkEnd w:id="355"/>
    </w:p>
    <w:p w14:paraId="00B20F14" w14:textId="77777777" w:rsidR="00B14D53" w:rsidRDefault="00000000">
      <w:pPr>
        <w:pStyle w:val="afff"/>
        <w:adjustRightInd/>
        <w:snapToGrid/>
        <w:contextualSpacing/>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）建设单位在项目实施过程中，应认真落实本项目的各项治理措施，加强对环保设施的运行管理，制定有效的管理规章制度，建立环保管理机制。</w:t>
      </w:r>
    </w:p>
    <w:p w14:paraId="49F919C1" w14:textId="77777777" w:rsidR="00B14D53" w:rsidRDefault="00000000">
      <w:pPr>
        <w:pStyle w:val="afff"/>
        <w:adjustRightInd/>
        <w:snapToGrid/>
        <w:contextualSpacing/>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）严格执行</w:t>
      </w:r>
      <w:r>
        <w:rPr>
          <w:rFonts w:ascii="Times New Roman" w:eastAsia="宋体" w:hAnsi="Times New Roman" w:cs="Times New Roman"/>
        </w:rPr>
        <w:t>“</w:t>
      </w:r>
      <w:r>
        <w:rPr>
          <w:rFonts w:ascii="Times New Roman" w:eastAsia="宋体" w:hAnsi="Times New Roman" w:cs="Times New Roman"/>
        </w:rPr>
        <w:t>三同时</w:t>
      </w:r>
      <w:r>
        <w:rPr>
          <w:rFonts w:ascii="Times New Roman" w:eastAsia="宋体" w:hAnsi="Times New Roman" w:cs="Times New Roman"/>
        </w:rPr>
        <w:t>”</w:t>
      </w:r>
      <w:r>
        <w:rPr>
          <w:rFonts w:ascii="Times New Roman" w:eastAsia="宋体" w:hAnsi="Times New Roman" w:cs="Times New Roman"/>
        </w:rPr>
        <w:t>制度，落实各项环保措施，平时注意各项环保设施的维护，及时发现处理设备的隐患，确保处理系统正常运行；开、停、检修要有预案，有严密周全的计划，确保不发生非正常排放。</w:t>
      </w:r>
    </w:p>
    <w:p w14:paraId="745DD063" w14:textId="77777777" w:rsidR="00B14D53" w:rsidRDefault="00000000">
      <w:pPr>
        <w:pStyle w:val="afff"/>
        <w:adjustRightInd/>
        <w:snapToGrid/>
        <w:contextualSpacing/>
        <w:jc w:val="both"/>
        <w:rPr>
          <w:rFonts w:ascii="Times New Roman" w:hAnsi="Times New Roman" w:cs="Times New Roman"/>
        </w:rPr>
        <w:sectPr w:rsidR="00B14D53">
          <w:headerReference w:type="even" r:id="rId92"/>
          <w:footerReference w:type="even" r:id="rId93"/>
          <w:footerReference w:type="default" r:id="rId94"/>
          <w:headerReference w:type="first" r:id="rId95"/>
          <w:footerReference w:type="first" r:id="rId96"/>
          <w:pgSz w:w="11906" w:h="16838"/>
          <w:pgMar w:top="1440" w:right="1800" w:bottom="1440" w:left="1800" w:header="851" w:footer="992" w:gutter="0"/>
          <w:cols w:space="425"/>
          <w:docGrid w:type="linesAndChars" w:linePitch="326"/>
        </w:sect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）尽可能多的吸收</w:t>
      </w:r>
      <w:r>
        <w:rPr>
          <w:rFonts w:ascii="Times New Roman" w:eastAsia="宋体" w:hAnsi="Times New Roman" w:cs="Times New Roman" w:hint="eastAsia"/>
        </w:rPr>
        <w:t>厂</w:t>
      </w:r>
      <w:r>
        <w:rPr>
          <w:rFonts w:ascii="Times New Roman" w:eastAsia="宋体" w:hAnsi="Times New Roman" w:cs="Times New Roman"/>
        </w:rPr>
        <w:t>区周围农民为本项目工作人员，并对其进行技术培训，提高当地居民的收入</w:t>
      </w:r>
      <w:r>
        <w:rPr>
          <w:rFonts w:ascii="Times New Roman" w:hAnsi="Times New Roman" w:cs="Times New Roman"/>
        </w:rPr>
        <w:t>。</w:t>
      </w:r>
    </w:p>
    <w:p w14:paraId="4E105203" w14:textId="77777777" w:rsidR="00B14D53" w:rsidRDefault="00000000">
      <w:pPr>
        <w:tabs>
          <w:tab w:val="left" w:pos="720"/>
        </w:tabs>
        <w:spacing w:before="50" w:after="50" w:line="360" w:lineRule="auto"/>
        <w:jc w:val="center"/>
        <w:rPr>
          <w:rFonts w:eastAsiaTheme="minorEastAsia"/>
          <w:b/>
          <w:sz w:val="24"/>
        </w:rPr>
      </w:pPr>
      <w:r>
        <w:rPr>
          <w:rFonts w:eastAsiaTheme="minorEastAsia"/>
          <w:b/>
          <w:sz w:val="24"/>
        </w:rPr>
        <w:t>建设项目大气环境影响评价自查表</w:t>
      </w:r>
    </w:p>
    <w:tbl>
      <w:tblPr>
        <w:tblW w:w="9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1798"/>
        <w:gridCol w:w="940"/>
        <w:gridCol w:w="287"/>
        <w:gridCol w:w="134"/>
        <w:gridCol w:w="178"/>
        <w:gridCol w:w="19"/>
        <w:gridCol w:w="78"/>
        <w:gridCol w:w="17"/>
        <w:gridCol w:w="559"/>
        <w:gridCol w:w="433"/>
        <w:gridCol w:w="489"/>
        <w:gridCol w:w="37"/>
        <w:gridCol w:w="290"/>
        <w:gridCol w:w="162"/>
        <w:gridCol w:w="10"/>
        <w:gridCol w:w="104"/>
        <w:gridCol w:w="42"/>
        <w:gridCol w:w="802"/>
        <w:gridCol w:w="34"/>
        <w:gridCol w:w="564"/>
        <w:gridCol w:w="142"/>
        <w:gridCol w:w="287"/>
        <w:gridCol w:w="1083"/>
      </w:tblGrid>
      <w:tr w:rsidR="00B14D53" w14:paraId="4B1E5FAD" w14:textId="77777777">
        <w:trPr>
          <w:jc w:val="center"/>
        </w:trPr>
        <w:tc>
          <w:tcPr>
            <w:tcW w:w="2549" w:type="dxa"/>
            <w:gridSpan w:val="2"/>
            <w:tcBorders>
              <w:top w:val="single" w:sz="12" w:space="0" w:color="000000"/>
              <w:left w:val="single" w:sz="12" w:space="0" w:color="000000"/>
              <w:bottom w:val="single" w:sz="4" w:space="0" w:color="000000"/>
              <w:right w:val="single" w:sz="4" w:space="0" w:color="000000"/>
            </w:tcBorders>
            <w:vAlign w:val="center"/>
          </w:tcPr>
          <w:p w14:paraId="6327143B" w14:textId="77777777" w:rsidR="00B14D53" w:rsidRDefault="00000000">
            <w:pPr>
              <w:spacing w:line="0" w:lineRule="atLeast"/>
              <w:jc w:val="center"/>
              <w:rPr>
                <w:rFonts w:eastAsiaTheme="minorEastAsia"/>
                <w:bCs/>
                <w:kern w:val="0"/>
                <w:szCs w:val="21"/>
              </w:rPr>
            </w:pPr>
            <w:r>
              <w:rPr>
                <w:rFonts w:eastAsiaTheme="minorEastAsia"/>
                <w:bCs/>
                <w:kern w:val="0"/>
                <w:szCs w:val="21"/>
              </w:rPr>
              <w:t>工作内容</w:t>
            </w:r>
          </w:p>
        </w:tc>
        <w:tc>
          <w:tcPr>
            <w:tcW w:w="6691" w:type="dxa"/>
            <w:gridSpan w:val="22"/>
            <w:tcBorders>
              <w:top w:val="single" w:sz="12" w:space="0" w:color="000000"/>
              <w:left w:val="single" w:sz="4" w:space="0" w:color="000000"/>
              <w:bottom w:val="single" w:sz="4" w:space="0" w:color="000000"/>
              <w:right w:val="single" w:sz="12" w:space="0" w:color="000000"/>
            </w:tcBorders>
            <w:vAlign w:val="center"/>
          </w:tcPr>
          <w:p w14:paraId="6D3FFEC9" w14:textId="77777777" w:rsidR="00B14D53" w:rsidRDefault="00000000">
            <w:pPr>
              <w:spacing w:line="0" w:lineRule="atLeast"/>
              <w:jc w:val="center"/>
              <w:rPr>
                <w:rFonts w:eastAsiaTheme="minorEastAsia"/>
                <w:bCs/>
                <w:kern w:val="0"/>
                <w:szCs w:val="21"/>
              </w:rPr>
            </w:pPr>
            <w:r>
              <w:rPr>
                <w:rFonts w:eastAsiaTheme="minorEastAsia"/>
                <w:bCs/>
                <w:kern w:val="0"/>
                <w:szCs w:val="21"/>
              </w:rPr>
              <w:t>自查项目</w:t>
            </w:r>
          </w:p>
        </w:tc>
      </w:tr>
      <w:tr w:rsidR="00B14D53" w14:paraId="6B0CF249" w14:textId="77777777">
        <w:trPr>
          <w:jc w:val="center"/>
        </w:trPr>
        <w:tc>
          <w:tcPr>
            <w:tcW w:w="751" w:type="dxa"/>
            <w:vMerge w:val="restart"/>
            <w:tcBorders>
              <w:top w:val="single" w:sz="4" w:space="0" w:color="000000"/>
              <w:left w:val="single" w:sz="12" w:space="0" w:color="000000"/>
              <w:bottom w:val="single" w:sz="4" w:space="0" w:color="000000"/>
              <w:right w:val="single" w:sz="4" w:space="0" w:color="000000"/>
            </w:tcBorders>
            <w:vAlign w:val="center"/>
          </w:tcPr>
          <w:p w14:paraId="67495706" w14:textId="77777777" w:rsidR="00B14D53" w:rsidRDefault="00000000">
            <w:pPr>
              <w:spacing w:line="0" w:lineRule="atLeast"/>
              <w:jc w:val="center"/>
              <w:rPr>
                <w:rFonts w:eastAsiaTheme="minorEastAsia"/>
                <w:bCs/>
                <w:kern w:val="0"/>
                <w:szCs w:val="21"/>
              </w:rPr>
            </w:pPr>
            <w:r>
              <w:rPr>
                <w:rFonts w:eastAsiaTheme="minorEastAsia"/>
                <w:bCs/>
                <w:kern w:val="0"/>
                <w:szCs w:val="21"/>
              </w:rPr>
              <w:t>评价等级与范围</w:t>
            </w:r>
          </w:p>
        </w:tc>
        <w:tc>
          <w:tcPr>
            <w:tcW w:w="1798" w:type="dxa"/>
            <w:tcBorders>
              <w:top w:val="single" w:sz="4" w:space="0" w:color="000000"/>
              <w:left w:val="single" w:sz="4" w:space="0" w:color="000000"/>
              <w:bottom w:val="single" w:sz="4" w:space="0" w:color="000000"/>
              <w:right w:val="single" w:sz="4" w:space="0" w:color="000000"/>
            </w:tcBorders>
            <w:vAlign w:val="center"/>
          </w:tcPr>
          <w:p w14:paraId="039C5F98" w14:textId="77777777" w:rsidR="00B14D53" w:rsidRDefault="00000000">
            <w:pPr>
              <w:spacing w:line="0" w:lineRule="atLeast"/>
              <w:jc w:val="center"/>
              <w:rPr>
                <w:rFonts w:eastAsiaTheme="minorEastAsia"/>
                <w:bCs/>
                <w:kern w:val="0"/>
                <w:szCs w:val="21"/>
              </w:rPr>
            </w:pPr>
            <w:r>
              <w:rPr>
                <w:rFonts w:eastAsiaTheme="minorEastAsia"/>
                <w:bCs/>
                <w:kern w:val="0"/>
                <w:szCs w:val="21"/>
              </w:rPr>
              <w:t>评价等级</w:t>
            </w:r>
          </w:p>
        </w:tc>
        <w:tc>
          <w:tcPr>
            <w:tcW w:w="1558" w:type="dxa"/>
            <w:gridSpan w:val="5"/>
            <w:tcBorders>
              <w:top w:val="single" w:sz="4" w:space="0" w:color="000000"/>
              <w:left w:val="single" w:sz="4" w:space="0" w:color="000000"/>
              <w:bottom w:val="single" w:sz="4" w:space="0" w:color="000000"/>
              <w:right w:val="single" w:sz="4" w:space="0" w:color="000000"/>
            </w:tcBorders>
            <w:vAlign w:val="center"/>
          </w:tcPr>
          <w:p w14:paraId="210BF89A" w14:textId="77777777" w:rsidR="00B14D53" w:rsidRDefault="00000000">
            <w:pPr>
              <w:spacing w:line="0" w:lineRule="atLeast"/>
              <w:jc w:val="center"/>
              <w:rPr>
                <w:rFonts w:eastAsiaTheme="minorEastAsia"/>
                <w:bCs/>
                <w:kern w:val="0"/>
                <w:szCs w:val="21"/>
              </w:rPr>
            </w:pPr>
            <w:r>
              <w:rPr>
                <w:rFonts w:eastAsiaTheme="minorEastAsia"/>
                <w:bCs/>
                <w:kern w:val="0"/>
                <w:szCs w:val="21"/>
              </w:rPr>
              <w:t>一级</w:t>
            </w:r>
            <w:r>
              <w:rPr>
                <w:rFonts w:eastAsiaTheme="minorEastAsia"/>
                <w:bCs/>
                <w:kern w:val="0"/>
                <w:szCs w:val="21"/>
              </w:rPr>
              <w:t>□</w:t>
            </w:r>
          </w:p>
        </w:tc>
        <w:tc>
          <w:tcPr>
            <w:tcW w:w="3023" w:type="dxa"/>
            <w:gridSpan w:val="12"/>
            <w:tcBorders>
              <w:top w:val="single" w:sz="4" w:space="0" w:color="000000"/>
              <w:left w:val="single" w:sz="4" w:space="0" w:color="000000"/>
              <w:bottom w:val="single" w:sz="4" w:space="0" w:color="000000"/>
              <w:right w:val="single" w:sz="4" w:space="0" w:color="000000"/>
            </w:tcBorders>
            <w:vAlign w:val="center"/>
          </w:tcPr>
          <w:p w14:paraId="634CF021" w14:textId="77777777" w:rsidR="00B14D53" w:rsidRDefault="00000000">
            <w:pPr>
              <w:spacing w:line="0" w:lineRule="atLeast"/>
              <w:jc w:val="center"/>
              <w:rPr>
                <w:rFonts w:eastAsiaTheme="minorEastAsia"/>
                <w:bCs/>
                <w:kern w:val="0"/>
                <w:szCs w:val="21"/>
              </w:rPr>
            </w:pPr>
            <w:r>
              <w:rPr>
                <w:rFonts w:eastAsiaTheme="minorEastAsia"/>
                <w:bCs/>
                <w:kern w:val="0"/>
                <w:szCs w:val="21"/>
              </w:rPr>
              <w:t>二级</w:t>
            </w:r>
            <w:r>
              <w:rPr>
                <w:rFonts w:eastAsiaTheme="minorEastAsia" w:hint="eastAsia"/>
                <w:bCs/>
                <w:kern w:val="0"/>
                <w:szCs w:val="21"/>
              </w:rPr>
              <w:t>☑</w:t>
            </w:r>
          </w:p>
        </w:tc>
        <w:tc>
          <w:tcPr>
            <w:tcW w:w="2110" w:type="dxa"/>
            <w:gridSpan w:val="5"/>
            <w:tcBorders>
              <w:top w:val="single" w:sz="4" w:space="0" w:color="000000"/>
              <w:left w:val="single" w:sz="4" w:space="0" w:color="000000"/>
              <w:bottom w:val="single" w:sz="4" w:space="0" w:color="000000"/>
              <w:right w:val="single" w:sz="12" w:space="0" w:color="000000"/>
            </w:tcBorders>
            <w:vAlign w:val="center"/>
          </w:tcPr>
          <w:p w14:paraId="19A50712" w14:textId="77777777" w:rsidR="00B14D53" w:rsidRDefault="00000000">
            <w:pPr>
              <w:spacing w:line="0" w:lineRule="atLeast"/>
              <w:jc w:val="center"/>
              <w:rPr>
                <w:rFonts w:eastAsiaTheme="minorEastAsia"/>
                <w:bCs/>
                <w:kern w:val="0"/>
                <w:szCs w:val="21"/>
              </w:rPr>
            </w:pPr>
            <w:r>
              <w:rPr>
                <w:rFonts w:eastAsiaTheme="minorEastAsia"/>
                <w:bCs/>
                <w:kern w:val="0"/>
                <w:szCs w:val="21"/>
              </w:rPr>
              <w:t>三级</w:t>
            </w:r>
            <w:r>
              <w:rPr>
                <w:rFonts w:eastAsiaTheme="minorEastAsia"/>
                <w:bCs/>
                <w:kern w:val="0"/>
                <w:szCs w:val="21"/>
              </w:rPr>
              <w:t>□</w:t>
            </w:r>
          </w:p>
        </w:tc>
      </w:tr>
      <w:tr w:rsidR="00B14D53" w14:paraId="3DFF6BA2" w14:textId="77777777">
        <w:trPr>
          <w:trHeight w:val="332"/>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6AB7D5ED"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2996C53B" w14:textId="77777777" w:rsidR="00B14D53" w:rsidRDefault="00000000">
            <w:pPr>
              <w:spacing w:line="0" w:lineRule="atLeast"/>
              <w:jc w:val="center"/>
              <w:rPr>
                <w:rFonts w:eastAsiaTheme="minorEastAsia"/>
                <w:bCs/>
                <w:kern w:val="0"/>
                <w:szCs w:val="21"/>
              </w:rPr>
            </w:pPr>
            <w:r>
              <w:rPr>
                <w:rFonts w:eastAsiaTheme="minorEastAsia"/>
                <w:bCs/>
                <w:kern w:val="0"/>
                <w:szCs w:val="21"/>
              </w:rPr>
              <w:t>评价范围</w:t>
            </w:r>
          </w:p>
        </w:tc>
        <w:tc>
          <w:tcPr>
            <w:tcW w:w="1558" w:type="dxa"/>
            <w:gridSpan w:val="5"/>
            <w:tcBorders>
              <w:top w:val="single" w:sz="4" w:space="0" w:color="000000"/>
              <w:left w:val="single" w:sz="4" w:space="0" w:color="000000"/>
              <w:bottom w:val="single" w:sz="4" w:space="0" w:color="000000"/>
              <w:right w:val="single" w:sz="4" w:space="0" w:color="000000"/>
            </w:tcBorders>
            <w:vAlign w:val="center"/>
          </w:tcPr>
          <w:p w14:paraId="18194400" w14:textId="77777777" w:rsidR="00B14D53" w:rsidRDefault="00000000">
            <w:pPr>
              <w:spacing w:line="0" w:lineRule="atLeast"/>
              <w:jc w:val="center"/>
              <w:rPr>
                <w:rFonts w:eastAsiaTheme="minorEastAsia"/>
                <w:bCs/>
                <w:kern w:val="0"/>
                <w:szCs w:val="21"/>
              </w:rPr>
            </w:pPr>
            <w:r>
              <w:rPr>
                <w:rFonts w:eastAsiaTheme="minorEastAsia"/>
                <w:bCs/>
                <w:kern w:val="0"/>
                <w:szCs w:val="21"/>
              </w:rPr>
              <w:t>边长</w:t>
            </w:r>
            <w:r>
              <w:rPr>
                <w:rFonts w:eastAsiaTheme="minorEastAsia"/>
                <w:bCs/>
                <w:kern w:val="0"/>
                <w:szCs w:val="21"/>
              </w:rPr>
              <w:t>=50km□</w:t>
            </w:r>
          </w:p>
        </w:tc>
        <w:tc>
          <w:tcPr>
            <w:tcW w:w="3023" w:type="dxa"/>
            <w:gridSpan w:val="12"/>
            <w:tcBorders>
              <w:top w:val="single" w:sz="4" w:space="0" w:color="000000"/>
              <w:left w:val="single" w:sz="4" w:space="0" w:color="000000"/>
              <w:bottom w:val="single" w:sz="4" w:space="0" w:color="000000"/>
              <w:right w:val="single" w:sz="4" w:space="0" w:color="000000"/>
            </w:tcBorders>
            <w:vAlign w:val="center"/>
          </w:tcPr>
          <w:p w14:paraId="1C526621" w14:textId="77777777" w:rsidR="00B14D53" w:rsidRDefault="00000000">
            <w:pPr>
              <w:spacing w:line="0" w:lineRule="atLeast"/>
              <w:jc w:val="center"/>
              <w:rPr>
                <w:rFonts w:eastAsiaTheme="minorEastAsia"/>
                <w:bCs/>
                <w:kern w:val="0"/>
                <w:szCs w:val="21"/>
              </w:rPr>
            </w:pPr>
            <w:r>
              <w:rPr>
                <w:rFonts w:eastAsiaTheme="minorEastAsia"/>
                <w:bCs/>
                <w:kern w:val="0"/>
                <w:szCs w:val="21"/>
              </w:rPr>
              <w:t>边长</w:t>
            </w:r>
            <w:r>
              <w:rPr>
                <w:rFonts w:eastAsiaTheme="minorEastAsia"/>
                <w:bCs/>
                <w:kern w:val="0"/>
                <w:szCs w:val="21"/>
              </w:rPr>
              <w:t>5~50km□</w:t>
            </w:r>
          </w:p>
        </w:tc>
        <w:tc>
          <w:tcPr>
            <w:tcW w:w="2110" w:type="dxa"/>
            <w:gridSpan w:val="5"/>
            <w:tcBorders>
              <w:top w:val="single" w:sz="4" w:space="0" w:color="000000"/>
              <w:left w:val="single" w:sz="4" w:space="0" w:color="000000"/>
              <w:bottom w:val="single" w:sz="4" w:space="0" w:color="000000"/>
              <w:right w:val="single" w:sz="12" w:space="0" w:color="000000"/>
            </w:tcBorders>
            <w:vAlign w:val="center"/>
          </w:tcPr>
          <w:p w14:paraId="2024C753" w14:textId="77777777" w:rsidR="00B14D53" w:rsidRDefault="00000000">
            <w:pPr>
              <w:spacing w:line="0" w:lineRule="atLeast"/>
              <w:jc w:val="center"/>
              <w:rPr>
                <w:rFonts w:eastAsiaTheme="minorEastAsia"/>
                <w:bCs/>
                <w:kern w:val="0"/>
                <w:szCs w:val="21"/>
              </w:rPr>
            </w:pPr>
            <w:r>
              <w:rPr>
                <w:rFonts w:eastAsiaTheme="minorEastAsia"/>
                <w:bCs/>
                <w:kern w:val="0"/>
                <w:szCs w:val="21"/>
              </w:rPr>
              <w:t>边长</w:t>
            </w:r>
            <w:r>
              <w:rPr>
                <w:rFonts w:eastAsiaTheme="minorEastAsia"/>
                <w:bCs/>
                <w:kern w:val="0"/>
                <w:szCs w:val="21"/>
              </w:rPr>
              <w:t>=5km</w:t>
            </w:r>
            <w:r>
              <w:rPr>
                <w:rFonts w:eastAsiaTheme="minorEastAsia" w:hint="eastAsia"/>
                <w:bCs/>
                <w:kern w:val="0"/>
                <w:szCs w:val="21"/>
              </w:rPr>
              <w:t>☑</w:t>
            </w:r>
          </w:p>
        </w:tc>
      </w:tr>
      <w:tr w:rsidR="00B14D53" w14:paraId="4E0E9FCA" w14:textId="77777777">
        <w:trPr>
          <w:jc w:val="center"/>
        </w:trPr>
        <w:tc>
          <w:tcPr>
            <w:tcW w:w="751" w:type="dxa"/>
            <w:vMerge w:val="restart"/>
            <w:tcBorders>
              <w:top w:val="single" w:sz="4" w:space="0" w:color="000000"/>
              <w:left w:val="single" w:sz="12" w:space="0" w:color="000000"/>
              <w:bottom w:val="single" w:sz="4" w:space="0" w:color="000000"/>
              <w:right w:val="single" w:sz="4" w:space="0" w:color="000000"/>
            </w:tcBorders>
            <w:vAlign w:val="center"/>
          </w:tcPr>
          <w:p w14:paraId="0AD0ED56" w14:textId="77777777" w:rsidR="00B14D53" w:rsidRDefault="00000000">
            <w:pPr>
              <w:spacing w:line="0" w:lineRule="atLeast"/>
              <w:jc w:val="center"/>
              <w:rPr>
                <w:rFonts w:eastAsiaTheme="minorEastAsia"/>
                <w:bCs/>
                <w:kern w:val="0"/>
                <w:szCs w:val="21"/>
              </w:rPr>
            </w:pPr>
            <w:r>
              <w:rPr>
                <w:rFonts w:eastAsiaTheme="minorEastAsia"/>
                <w:bCs/>
                <w:kern w:val="0"/>
                <w:szCs w:val="21"/>
              </w:rPr>
              <w:t>评价因子</w:t>
            </w:r>
          </w:p>
        </w:tc>
        <w:tc>
          <w:tcPr>
            <w:tcW w:w="1798" w:type="dxa"/>
            <w:tcBorders>
              <w:top w:val="single" w:sz="4" w:space="0" w:color="000000"/>
              <w:left w:val="single" w:sz="4" w:space="0" w:color="000000"/>
              <w:bottom w:val="single" w:sz="4" w:space="0" w:color="000000"/>
              <w:right w:val="single" w:sz="4" w:space="0" w:color="000000"/>
            </w:tcBorders>
            <w:vAlign w:val="center"/>
          </w:tcPr>
          <w:p w14:paraId="0C2DBAA9" w14:textId="77777777" w:rsidR="00B14D53" w:rsidRDefault="00000000">
            <w:pPr>
              <w:spacing w:line="0" w:lineRule="atLeast"/>
              <w:jc w:val="center"/>
              <w:rPr>
                <w:rFonts w:eastAsiaTheme="minorEastAsia"/>
                <w:bCs/>
                <w:kern w:val="0"/>
                <w:szCs w:val="21"/>
              </w:rPr>
            </w:pPr>
            <w:r>
              <w:rPr>
                <w:rFonts w:eastAsiaTheme="minorEastAsia"/>
                <w:bCs/>
                <w:kern w:val="0"/>
                <w:szCs w:val="21"/>
              </w:rPr>
              <w:t>SO</w:t>
            </w:r>
            <w:r>
              <w:rPr>
                <w:rFonts w:eastAsiaTheme="minorEastAsia"/>
                <w:bCs/>
                <w:kern w:val="0"/>
                <w:szCs w:val="21"/>
                <w:vertAlign w:val="subscript"/>
              </w:rPr>
              <w:t>2</w:t>
            </w:r>
            <w:r>
              <w:rPr>
                <w:rFonts w:eastAsiaTheme="minorEastAsia"/>
                <w:bCs/>
                <w:kern w:val="0"/>
                <w:szCs w:val="21"/>
              </w:rPr>
              <w:t>+NO</w:t>
            </w:r>
            <w:r>
              <w:rPr>
                <w:rFonts w:eastAsiaTheme="minorEastAsia"/>
                <w:bCs/>
                <w:kern w:val="0"/>
                <w:szCs w:val="21"/>
                <w:vertAlign w:val="subscript"/>
              </w:rPr>
              <w:t>X</w:t>
            </w:r>
            <w:r>
              <w:rPr>
                <w:rFonts w:eastAsiaTheme="minorEastAsia"/>
                <w:bCs/>
                <w:kern w:val="0"/>
                <w:szCs w:val="21"/>
              </w:rPr>
              <w:t>排放量</w:t>
            </w:r>
          </w:p>
        </w:tc>
        <w:tc>
          <w:tcPr>
            <w:tcW w:w="1558" w:type="dxa"/>
            <w:gridSpan w:val="5"/>
            <w:tcBorders>
              <w:top w:val="single" w:sz="4" w:space="0" w:color="000000"/>
              <w:left w:val="single" w:sz="4" w:space="0" w:color="000000"/>
              <w:bottom w:val="single" w:sz="4" w:space="0" w:color="000000"/>
              <w:right w:val="single" w:sz="4" w:space="0" w:color="000000"/>
            </w:tcBorders>
            <w:vAlign w:val="center"/>
          </w:tcPr>
          <w:p w14:paraId="515EA4A2" w14:textId="77777777" w:rsidR="00B14D53" w:rsidRDefault="00000000">
            <w:pPr>
              <w:spacing w:line="0" w:lineRule="atLeast"/>
              <w:jc w:val="center"/>
              <w:rPr>
                <w:rFonts w:eastAsiaTheme="minorEastAsia"/>
                <w:bCs/>
                <w:kern w:val="0"/>
                <w:szCs w:val="21"/>
              </w:rPr>
            </w:pPr>
            <w:r>
              <w:rPr>
                <w:rFonts w:eastAsiaTheme="minorEastAsia"/>
                <w:bCs/>
                <w:kern w:val="0"/>
                <w:szCs w:val="21"/>
              </w:rPr>
              <w:t>≥2000t/a□</w:t>
            </w:r>
          </w:p>
        </w:tc>
        <w:tc>
          <w:tcPr>
            <w:tcW w:w="3023" w:type="dxa"/>
            <w:gridSpan w:val="12"/>
            <w:tcBorders>
              <w:top w:val="single" w:sz="4" w:space="0" w:color="000000"/>
              <w:left w:val="single" w:sz="4" w:space="0" w:color="000000"/>
              <w:bottom w:val="single" w:sz="4" w:space="0" w:color="000000"/>
              <w:right w:val="single" w:sz="4" w:space="0" w:color="000000"/>
            </w:tcBorders>
            <w:vAlign w:val="center"/>
          </w:tcPr>
          <w:p w14:paraId="36DEC061" w14:textId="77777777" w:rsidR="00B14D53" w:rsidRDefault="00000000">
            <w:pPr>
              <w:spacing w:line="0" w:lineRule="atLeast"/>
              <w:jc w:val="center"/>
              <w:rPr>
                <w:rFonts w:eastAsiaTheme="minorEastAsia"/>
                <w:bCs/>
                <w:kern w:val="0"/>
                <w:szCs w:val="21"/>
              </w:rPr>
            </w:pPr>
            <w:r>
              <w:rPr>
                <w:rFonts w:eastAsiaTheme="minorEastAsia"/>
                <w:bCs/>
                <w:kern w:val="0"/>
                <w:szCs w:val="21"/>
              </w:rPr>
              <w:t>500~2000t/a□</w:t>
            </w:r>
          </w:p>
        </w:tc>
        <w:tc>
          <w:tcPr>
            <w:tcW w:w="2110" w:type="dxa"/>
            <w:gridSpan w:val="5"/>
            <w:tcBorders>
              <w:top w:val="single" w:sz="4" w:space="0" w:color="000000"/>
              <w:left w:val="single" w:sz="4" w:space="0" w:color="000000"/>
              <w:bottom w:val="single" w:sz="4" w:space="0" w:color="000000"/>
              <w:right w:val="single" w:sz="12" w:space="0" w:color="000000"/>
            </w:tcBorders>
            <w:vAlign w:val="center"/>
          </w:tcPr>
          <w:p w14:paraId="1A8727CD" w14:textId="77777777" w:rsidR="00B14D53" w:rsidRDefault="00000000">
            <w:pPr>
              <w:spacing w:line="0" w:lineRule="atLeast"/>
              <w:jc w:val="center"/>
              <w:rPr>
                <w:rFonts w:eastAsiaTheme="minorEastAsia"/>
                <w:bCs/>
                <w:kern w:val="0"/>
                <w:szCs w:val="21"/>
              </w:rPr>
            </w:pPr>
            <w:r>
              <w:rPr>
                <w:rFonts w:eastAsiaTheme="minorEastAsia"/>
                <w:bCs/>
                <w:kern w:val="0"/>
                <w:szCs w:val="21"/>
              </w:rPr>
              <w:t>&lt;500t/a</w:t>
            </w:r>
            <w:r>
              <w:rPr>
                <w:rFonts w:eastAsiaTheme="minorEastAsia" w:hint="eastAsia"/>
                <w:bCs/>
                <w:kern w:val="0"/>
                <w:szCs w:val="21"/>
              </w:rPr>
              <w:t>☑</w:t>
            </w:r>
          </w:p>
        </w:tc>
      </w:tr>
      <w:tr w:rsidR="00B14D53" w14:paraId="71B4C833"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2214EAB1"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177C47C5" w14:textId="77777777" w:rsidR="00B14D53" w:rsidRDefault="00000000">
            <w:pPr>
              <w:spacing w:line="0" w:lineRule="atLeast"/>
              <w:jc w:val="center"/>
              <w:rPr>
                <w:rFonts w:eastAsiaTheme="minorEastAsia"/>
                <w:bCs/>
                <w:kern w:val="0"/>
                <w:szCs w:val="21"/>
              </w:rPr>
            </w:pPr>
            <w:r>
              <w:rPr>
                <w:rFonts w:eastAsiaTheme="minorEastAsia"/>
                <w:bCs/>
                <w:kern w:val="0"/>
                <w:szCs w:val="21"/>
              </w:rPr>
              <w:t>评价因子</w:t>
            </w:r>
          </w:p>
        </w:tc>
        <w:tc>
          <w:tcPr>
            <w:tcW w:w="4581" w:type="dxa"/>
            <w:gridSpan w:val="17"/>
            <w:tcBorders>
              <w:top w:val="single" w:sz="4" w:space="0" w:color="000000"/>
              <w:left w:val="single" w:sz="4" w:space="0" w:color="000000"/>
              <w:bottom w:val="single" w:sz="4" w:space="0" w:color="000000"/>
              <w:right w:val="single" w:sz="4" w:space="0" w:color="000000"/>
            </w:tcBorders>
            <w:vAlign w:val="center"/>
          </w:tcPr>
          <w:p w14:paraId="15D9FE47" w14:textId="77777777" w:rsidR="00B14D53" w:rsidRDefault="00000000">
            <w:pPr>
              <w:spacing w:line="0" w:lineRule="atLeast"/>
              <w:jc w:val="center"/>
              <w:rPr>
                <w:rFonts w:eastAsiaTheme="minorEastAsia"/>
                <w:bCs/>
                <w:kern w:val="0"/>
                <w:szCs w:val="21"/>
              </w:rPr>
            </w:pPr>
            <w:r>
              <w:rPr>
                <w:rFonts w:eastAsiaTheme="minorEastAsia"/>
                <w:bCs/>
                <w:kern w:val="0"/>
                <w:szCs w:val="21"/>
              </w:rPr>
              <w:t>基本污染物（</w:t>
            </w:r>
            <w:r>
              <w:rPr>
                <w:rFonts w:eastAsiaTheme="minorEastAsia"/>
                <w:bCs/>
                <w:kern w:val="0"/>
                <w:szCs w:val="21"/>
              </w:rPr>
              <w:t>PM</w:t>
            </w:r>
            <w:r>
              <w:rPr>
                <w:rFonts w:eastAsiaTheme="minorEastAsia"/>
                <w:bCs/>
                <w:kern w:val="0"/>
                <w:szCs w:val="21"/>
                <w:vertAlign w:val="subscript"/>
              </w:rPr>
              <w:t>10</w:t>
            </w:r>
            <w:r>
              <w:rPr>
                <w:rFonts w:eastAsiaTheme="minorEastAsia"/>
                <w:bCs/>
                <w:kern w:val="0"/>
                <w:szCs w:val="21"/>
              </w:rPr>
              <w:t>、</w:t>
            </w:r>
            <w:r>
              <w:rPr>
                <w:rFonts w:eastAsiaTheme="minorEastAsia"/>
                <w:bCs/>
                <w:kern w:val="0"/>
                <w:szCs w:val="21"/>
              </w:rPr>
              <w:t>PM</w:t>
            </w:r>
            <w:r>
              <w:rPr>
                <w:rFonts w:eastAsiaTheme="minorEastAsia"/>
                <w:bCs/>
                <w:kern w:val="0"/>
                <w:szCs w:val="21"/>
                <w:vertAlign w:val="subscript"/>
              </w:rPr>
              <w:t>2.5</w:t>
            </w:r>
            <w:r>
              <w:rPr>
                <w:rFonts w:eastAsiaTheme="minorEastAsia"/>
                <w:bCs/>
                <w:kern w:val="0"/>
                <w:szCs w:val="21"/>
              </w:rPr>
              <w:t>、</w:t>
            </w:r>
            <w:r>
              <w:rPr>
                <w:rFonts w:eastAsiaTheme="minorEastAsia"/>
                <w:bCs/>
                <w:kern w:val="0"/>
                <w:szCs w:val="21"/>
              </w:rPr>
              <w:t>SO</w:t>
            </w:r>
            <w:r>
              <w:rPr>
                <w:rFonts w:eastAsiaTheme="minorEastAsia"/>
                <w:bCs/>
                <w:kern w:val="0"/>
                <w:szCs w:val="21"/>
                <w:vertAlign w:val="subscript"/>
              </w:rPr>
              <w:t>2</w:t>
            </w:r>
            <w:r>
              <w:rPr>
                <w:rFonts w:eastAsiaTheme="minorEastAsia"/>
                <w:bCs/>
                <w:kern w:val="0"/>
                <w:szCs w:val="21"/>
              </w:rPr>
              <w:t>、</w:t>
            </w:r>
            <w:r>
              <w:rPr>
                <w:rFonts w:eastAsiaTheme="minorEastAsia"/>
                <w:bCs/>
                <w:kern w:val="0"/>
                <w:szCs w:val="21"/>
              </w:rPr>
              <w:t>NO</w:t>
            </w:r>
            <w:r>
              <w:rPr>
                <w:rFonts w:eastAsiaTheme="minorEastAsia"/>
                <w:bCs/>
                <w:kern w:val="0"/>
                <w:szCs w:val="21"/>
                <w:vertAlign w:val="subscript"/>
              </w:rPr>
              <w:t>2</w:t>
            </w:r>
            <w:r>
              <w:rPr>
                <w:rFonts w:eastAsiaTheme="minorEastAsia"/>
                <w:bCs/>
                <w:kern w:val="0"/>
                <w:szCs w:val="21"/>
              </w:rPr>
              <w:t>、</w:t>
            </w:r>
            <w:r>
              <w:rPr>
                <w:rFonts w:eastAsiaTheme="minorEastAsia"/>
                <w:bCs/>
                <w:kern w:val="0"/>
                <w:szCs w:val="21"/>
              </w:rPr>
              <w:t>CO</w:t>
            </w:r>
            <w:r>
              <w:rPr>
                <w:rFonts w:eastAsiaTheme="minorEastAsia"/>
                <w:bCs/>
                <w:kern w:val="0"/>
                <w:szCs w:val="21"/>
              </w:rPr>
              <w:t>、</w:t>
            </w:r>
            <w:r>
              <w:rPr>
                <w:rFonts w:eastAsiaTheme="minorEastAsia"/>
                <w:bCs/>
                <w:kern w:val="0"/>
                <w:szCs w:val="21"/>
              </w:rPr>
              <w:t>O</w:t>
            </w:r>
            <w:r>
              <w:rPr>
                <w:rFonts w:eastAsiaTheme="minorEastAsia"/>
                <w:bCs/>
                <w:kern w:val="0"/>
                <w:szCs w:val="21"/>
                <w:vertAlign w:val="subscript"/>
              </w:rPr>
              <w:t>3</w:t>
            </w:r>
            <w:r>
              <w:rPr>
                <w:rFonts w:eastAsiaTheme="minorEastAsia"/>
                <w:bCs/>
                <w:kern w:val="0"/>
                <w:szCs w:val="21"/>
              </w:rPr>
              <w:t>）其他污染物（</w:t>
            </w:r>
            <w:r>
              <w:rPr>
                <w:rFonts w:eastAsiaTheme="minorEastAsia" w:hint="eastAsia"/>
                <w:bCs/>
                <w:kern w:val="0"/>
                <w:szCs w:val="21"/>
              </w:rPr>
              <w:t>T</w:t>
            </w:r>
            <w:r>
              <w:rPr>
                <w:rFonts w:eastAsiaTheme="minorEastAsia"/>
                <w:bCs/>
                <w:kern w:val="0"/>
                <w:szCs w:val="21"/>
              </w:rPr>
              <w:t>SP</w:t>
            </w:r>
            <w:r>
              <w:rPr>
                <w:rFonts w:eastAsiaTheme="minorEastAsia" w:hint="eastAsia"/>
                <w:bCs/>
                <w:kern w:val="0"/>
                <w:szCs w:val="21"/>
              </w:rPr>
              <w:t>、</w:t>
            </w:r>
            <w:r>
              <w:rPr>
                <w:rFonts w:eastAsiaTheme="minorEastAsia"/>
                <w:bCs/>
                <w:kern w:val="0"/>
                <w:szCs w:val="21"/>
              </w:rPr>
              <w:t>硫化氢、氨）</w:t>
            </w:r>
          </w:p>
        </w:tc>
        <w:tc>
          <w:tcPr>
            <w:tcW w:w="2110" w:type="dxa"/>
            <w:gridSpan w:val="5"/>
            <w:tcBorders>
              <w:top w:val="single" w:sz="4" w:space="0" w:color="000000"/>
              <w:left w:val="single" w:sz="4" w:space="0" w:color="auto"/>
              <w:bottom w:val="single" w:sz="4" w:space="0" w:color="000000"/>
              <w:right w:val="single" w:sz="12" w:space="0" w:color="000000"/>
            </w:tcBorders>
            <w:vAlign w:val="center"/>
          </w:tcPr>
          <w:p w14:paraId="66FC95A0" w14:textId="77777777" w:rsidR="00B14D53" w:rsidRDefault="00000000">
            <w:pPr>
              <w:spacing w:line="0" w:lineRule="atLeast"/>
              <w:jc w:val="center"/>
              <w:rPr>
                <w:rFonts w:eastAsiaTheme="minorEastAsia"/>
                <w:bCs/>
                <w:kern w:val="0"/>
                <w:szCs w:val="21"/>
              </w:rPr>
            </w:pPr>
            <w:r>
              <w:rPr>
                <w:rFonts w:eastAsiaTheme="minorEastAsia"/>
                <w:bCs/>
                <w:kern w:val="0"/>
                <w:szCs w:val="21"/>
              </w:rPr>
              <w:t xml:space="preserve">  </w:t>
            </w:r>
            <w:r>
              <w:rPr>
                <w:rFonts w:eastAsiaTheme="minorEastAsia"/>
                <w:bCs/>
                <w:kern w:val="0"/>
                <w:szCs w:val="21"/>
              </w:rPr>
              <w:t>包括二次</w:t>
            </w:r>
            <w:r>
              <w:rPr>
                <w:rFonts w:eastAsiaTheme="minorEastAsia"/>
                <w:bCs/>
                <w:kern w:val="0"/>
                <w:szCs w:val="21"/>
              </w:rPr>
              <w:t>PM</w:t>
            </w:r>
            <w:r>
              <w:rPr>
                <w:rFonts w:eastAsiaTheme="minorEastAsia"/>
                <w:bCs/>
                <w:kern w:val="0"/>
                <w:szCs w:val="21"/>
                <w:vertAlign w:val="subscript"/>
              </w:rPr>
              <w:t>2.5</w:t>
            </w:r>
            <w:r>
              <w:rPr>
                <w:rFonts w:eastAsiaTheme="minorEastAsia"/>
                <w:bCs/>
                <w:kern w:val="0"/>
                <w:szCs w:val="21"/>
              </w:rPr>
              <w:t>□</w:t>
            </w:r>
          </w:p>
          <w:p w14:paraId="0304FEEF" w14:textId="77777777" w:rsidR="00B14D53" w:rsidRDefault="00000000">
            <w:pPr>
              <w:spacing w:line="0" w:lineRule="atLeast"/>
              <w:jc w:val="center"/>
              <w:rPr>
                <w:rFonts w:eastAsiaTheme="minorEastAsia"/>
                <w:bCs/>
                <w:kern w:val="0"/>
                <w:szCs w:val="21"/>
              </w:rPr>
            </w:pPr>
            <w:r>
              <w:rPr>
                <w:rFonts w:eastAsiaTheme="minorEastAsia"/>
                <w:bCs/>
                <w:kern w:val="0"/>
                <w:szCs w:val="21"/>
              </w:rPr>
              <w:t>不包括二次</w:t>
            </w:r>
            <w:r>
              <w:rPr>
                <w:rFonts w:eastAsiaTheme="minorEastAsia"/>
                <w:bCs/>
                <w:kern w:val="0"/>
                <w:szCs w:val="21"/>
              </w:rPr>
              <w:t>PM</w:t>
            </w:r>
            <w:r>
              <w:rPr>
                <w:rFonts w:eastAsiaTheme="minorEastAsia"/>
                <w:bCs/>
                <w:kern w:val="0"/>
                <w:szCs w:val="21"/>
                <w:vertAlign w:val="subscript"/>
              </w:rPr>
              <w:t>2.5</w:t>
            </w:r>
            <w:r>
              <w:rPr>
                <w:rFonts w:eastAsiaTheme="minorEastAsia" w:hint="eastAsia"/>
                <w:bCs/>
                <w:kern w:val="0"/>
                <w:szCs w:val="21"/>
              </w:rPr>
              <w:t>☑</w:t>
            </w:r>
          </w:p>
        </w:tc>
      </w:tr>
      <w:tr w:rsidR="00B14D53" w14:paraId="59041E0F" w14:textId="77777777">
        <w:trPr>
          <w:jc w:val="center"/>
        </w:trPr>
        <w:tc>
          <w:tcPr>
            <w:tcW w:w="751" w:type="dxa"/>
            <w:tcBorders>
              <w:top w:val="single" w:sz="4" w:space="0" w:color="000000"/>
              <w:left w:val="single" w:sz="12" w:space="0" w:color="000000"/>
              <w:bottom w:val="single" w:sz="4" w:space="0" w:color="000000"/>
              <w:right w:val="single" w:sz="4" w:space="0" w:color="000000"/>
            </w:tcBorders>
            <w:vAlign w:val="center"/>
          </w:tcPr>
          <w:p w14:paraId="3F714145" w14:textId="77777777" w:rsidR="00B14D53" w:rsidRDefault="00000000">
            <w:pPr>
              <w:spacing w:line="0" w:lineRule="atLeast"/>
              <w:jc w:val="center"/>
              <w:rPr>
                <w:rFonts w:eastAsiaTheme="minorEastAsia"/>
                <w:bCs/>
                <w:kern w:val="0"/>
                <w:szCs w:val="21"/>
              </w:rPr>
            </w:pPr>
            <w:r>
              <w:rPr>
                <w:rFonts w:eastAsiaTheme="minorEastAsia"/>
                <w:bCs/>
                <w:kern w:val="0"/>
                <w:szCs w:val="21"/>
              </w:rPr>
              <w:t>评价标准</w:t>
            </w:r>
          </w:p>
        </w:tc>
        <w:tc>
          <w:tcPr>
            <w:tcW w:w="1798" w:type="dxa"/>
            <w:tcBorders>
              <w:top w:val="single" w:sz="4" w:space="0" w:color="000000"/>
              <w:left w:val="single" w:sz="4" w:space="0" w:color="000000"/>
              <w:bottom w:val="single" w:sz="4" w:space="0" w:color="000000"/>
              <w:right w:val="single" w:sz="4" w:space="0" w:color="000000"/>
            </w:tcBorders>
            <w:vAlign w:val="center"/>
          </w:tcPr>
          <w:p w14:paraId="76E1BE78" w14:textId="77777777" w:rsidR="00B14D53" w:rsidRDefault="00000000">
            <w:pPr>
              <w:spacing w:line="0" w:lineRule="atLeast"/>
              <w:jc w:val="center"/>
              <w:rPr>
                <w:rFonts w:eastAsiaTheme="minorEastAsia"/>
                <w:bCs/>
                <w:kern w:val="0"/>
                <w:szCs w:val="21"/>
              </w:rPr>
            </w:pPr>
            <w:r>
              <w:rPr>
                <w:rFonts w:eastAsiaTheme="minorEastAsia"/>
                <w:bCs/>
                <w:kern w:val="0"/>
                <w:szCs w:val="21"/>
              </w:rPr>
              <w:t>评价标准</w:t>
            </w:r>
          </w:p>
        </w:tc>
        <w:tc>
          <w:tcPr>
            <w:tcW w:w="1227" w:type="dxa"/>
            <w:gridSpan w:val="2"/>
            <w:tcBorders>
              <w:top w:val="single" w:sz="4" w:space="0" w:color="000000"/>
              <w:left w:val="single" w:sz="4" w:space="0" w:color="000000"/>
              <w:bottom w:val="single" w:sz="4" w:space="0" w:color="000000"/>
              <w:right w:val="single" w:sz="4" w:space="0" w:color="000000"/>
            </w:tcBorders>
            <w:vAlign w:val="center"/>
          </w:tcPr>
          <w:p w14:paraId="4D54E998" w14:textId="77777777" w:rsidR="00B14D53" w:rsidRDefault="00000000">
            <w:pPr>
              <w:spacing w:line="0" w:lineRule="atLeast"/>
              <w:jc w:val="center"/>
              <w:rPr>
                <w:rFonts w:eastAsiaTheme="minorEastAsia"/>
                <w:bCs/>
                <w:kern w:val="0"/>
                <w:szCs w:val="21"/>
              </w:rPr>
            </w:pPr>
            <w:r>
              <w:rPr>
                <w:rFonts w:eastAsiaTheme="minorEastAsia"/>
                <w:bCs/>
                <w:kern w:val="0"/>
                <w:szCs w:val="21"/>
              </w:rPr>
              <w:t>国家标准</w:t>
            </w:r>
            <w:r>
              <w:rPr>
                <w:rFonts w:eastAsiaTheme="minorEastAsia" w:hint="eastAsia"/>
                <w:bCs/>
                <w:kern w:val="0"/>
                <w:szCs w:val="21"/>
              </w:rPr>
              <w:t>☑</w:t>
            </w:r>
          </w:p>
        </w:tc>
        <w:tc>
          <w:tcPr>
            <w:tcW w:w="2510" w:type="dxa"/>
            <w:gridSpan w:val="13"/>
            <w:tcBorders>
              <w:top w:val="single" w:sz="4" w:space="0" w:color="000000"/>
              <w:left w:val="single" w:sz="4" w:space="0" w:color="auto"/>
              <w:bottom w:val="single" w:sz="4" w:space="0" w:color="000000"/>
              <w:right w:val="single" w:sz="4" w:space="0" w:color="auto"/>
            </w:tcBorders>
            <w:vAlign w:val="center"/>
          </w:tcPr>
          <w:p w14:paraId="4D924A8E" w14:textId="77777777" w:rsidR="00B14D53" w:rsidRDefault="00000000">
            <w:pPr>
              <w:spacing w:line="0" w:lineRule="atLeast"/>
              <w:jc w:val="center"/>
              <w:rPr>
                <w:rFonts w:eastAsiaTheme="minorEastAsia"/>
                <w:bCs/>
                <w:kern w:val="0"/>
                <w:szCs w:val="21"/>
              </w:rPr>
            </w:pPr>
            <w:r>
              <w:rPr>
                <w:rFonts w:eastAsiaTheme="minorEastAsia"/>
                <w:bCs/>
                <w:kern w:val="0"/>
                <w:szCs w:val="21"/>
              </w:rPr>
              <w:t>地方标准</w:t>
            </w:r>
            <w:r>
              <w:rPr>
                <w:rFonts w:eastAsiaTheme="minorEastAsia"/>
                <w:bCs/>
                <w:kern w:val="0"/>
                <w:szCs w:val="21"/>
              </w:rPr>
              <w:t>□</w:t>
            </w:r>
          </w:p>
        </w:tc>
        <w:tc>
          <w:tcPr>
            <w:tcW w:w="1442" w:type="dxa"/>
            <w:gridSpan w:val="4"/>
            <w:tcBorders>
              <w:top w:val="single" w:sz="4" w:space="0" w:color="000000"/>
              <w:left w:val="single" w:sz="4" w:space="0" w:color="auto"/>
              <w:bottom w:val="single" w:sz="4" w:space="0" w:color="000000"/>
              <w:right w:val="single" w:sz="4" w:space="0" w:color="auto"/>
            </w:tcBorders>
            <w:vAlign w:val="center"/>
          </w:tcPr>
          <w:p w14:paraId="0042F75E" w14:textId="77777777" w:rsidR="00B14D53" w:rsidRDefault="00000000">
            <w:pPr>
              <w:spacing w:line="0" w:lineRule="atLeast"/>
              <w:jc w:val="center"/>
              <w:rPr>
                <w:rFonts w:eastAsiaTheme="minorEastAsia"/>
                <w:bCs/>
                <w:kern w:val="0"/>
                <w:szCs w:val="21"/>
              </w:rPr>
            </w:pPr>
            <w:r>
              <w:rPr>
                <w:rFonts w:eastAsiaTheme="minorEastAsia"/>
                <w:bCs/>
                <w:kern w:val="0"/>
                <w:szCs w:val="21"/>
              </w:rPr>
              <w:t>附录</w:t>
            </w:r>
            <w:r>
              <w:rPr>
                <w:rFonts w:eastAsiaTheme="minorEastAsia"/>
                <w:bCs/>
                <w:kern w:val="0"/>
                <w:szCs w:val="21"/>
              </w:rPr>
              <w:t>D</w:t>
            </w:r>
            <w:r>
              <w:rPr>
                <w:rFonts w:eastAsiaTheme="minorEastAsia" w:hint="eastAsia"/>
                <w:bCs/>
                <w:kern w:val="0"/>
                <w:szCs w:val="21"/>
              </w:rPr>
              <w:t>☑</w:t>
            </w:r>
          </w:p>
        </w:tc>
        <w:tc>
          <w:tcPr>
            <w:tcW w:w="1512" w:type="dxa"/>
            <w:gridSpan w:val="3"/>
            <w:tcBorders>
              <w:top w:val="single" w:sz="4" w:space="0" w:color="000000"/>
              <w:left w:val="single" w:sz="4" w:space="0" w:color="auto"/>
              <w:bottom w:val="single" w:sz="4" w:space="0" w:color="000000"/>
              <w:right w:val="single" w:sz="12" w:space="0" w:color="000000"/>
            </w:tcBorders>
            <w:vAlign w:val="center"/>
          </w:tcPr>
          <w:p w14:paraId="24187318" w14:textId="77777777" w:rsidR="00B14D53" w:rsidRDefault="00000000">
            <w:pPr>
              <w:spacing w:line="0" w:lineRule="atLeast"/>
              <w:jc w:val="center"/>
              <w:rPr>
                <w:rFonts w:eastAsiaTheme="minorEastAsia"/>
                <w:bCs/>
                <w:kern w:val="0"/>
                <w:szCs w:val="21"/>
              </w:rPr>
            </w:pPr>
            <w:r>
              <w:rPr>
                <w:rFonts w:eastAsiaTheme="minorEastAsia"/>
                <w:bCs/>
                <w:kern w:val="0"/>
                <w:szCs w:val="21"/>
              </w:rPr>
              <w:t>其他标准</w:t>
            </w:r>
            <w:r>
              <w:rPr>
                <w:rFonts w:eastAsiaTheme="minorEastAsia"/>
                <w:bCs/>
                <w:kern w:val="0"/>
                <w:szCs w:val="21"/>
              </w:rPr>
              <w:t>□</w:t>
            </w:r>
          </w:p>
        </w:tc>
      </w:tr>
      <w:tr w:rsidR="00B14D53" w14:paraId="02F938A6" w14:textId="77777777">
        <w:trPr>
          <w:jc w:val="center"/>
        </w:trPr>
        <w:tc>
          <w:tcPr>
            <w:tcW w:w="751" w:type="dxa"/>
            <w:vMerge w:val="restart"/>
            <w:tcBorders>
              <w:top w:val="single" w:sz="4" w:space="0" w:color="000000"/>
              <w:left w:val="single" w:sz="12" w:space="0" w:color="000000"/>
              <w:bottom w:val="single" w:sz="4" w:space="0" w:color="000000"/>
              <w:right w:val="single" w:sz="4" w:space="0" w:color="000000"/>
            </w:tcBorders>
            <w:vAlign w:val="center"/>
          </w:tcPr>
          <w:p w14:paraId="0E021279" w14:textId="77777777" w:rsidR="00B14D53" w:rsidRDefault="00000000">
            <w:pPr>
              <w:spacing w:line="0" w:lineRule="atLeast"/>
              <w:jc w:val="center"/>
              <w:rPr>
                <w:rFonts w:eastAsiaTheme="minorEastAsia"/>
                <w:bCs/>
                <w:kern w:val="0"/>
                <w:szCs w:val="21"/>
              </w:rPr>
            </w:pPr>
            <w:r>
              <w:rPr>
                <w:rFonts w:eastAsiaTheme="minorEastAsia"/>
                <w:bCs/>
                <w:kern w:val="0"/>
                <w:szCs w:val="21"/>
              </w:rPr>
              <w:t>现状评价</w:t>
            </w:r>
          </w:p>
        </w:tc>
        <w:tc>
          <w:tcPr>
            <w:tcW w:w="1798" w:type="dxa"/>
            <w:tcBorders>
              <w:top w:val="single" w:sz="4" w:space="0" w:color="000000"/>
              <w:left w:val="single" w:sz="4" w:space="0" w:color="000000"/>
              <w:bottom w:val="single" w:sz="4" w:space="0" w:color="000000"/>
              <w:right w:val="single" w:sz="4" w:space="0" w:color="000000"/>
            </w:tcBorders>
            <w:vAlign w:val="center"/>
          </w:tcPr>
          <w:p w14:paraId="008B6A74" w14:textId="77777777" w:rsidR="00B14D53" w:rsidRDefault="00000000">
            <w:pPr>
              <w:spacing w:line="0" w:lineRule="atLeast"/>
              <w:jc w:val="center"/>
              <w:rPr>
                <w:rFonts w:eastAsiaTheme="minorEastAsia"/>
                <w:bCs/>
                <w:kern w:val="0"/>
                <w:szCs w:val="21"/>
              </w:rPr>
            </w:pPr>
            <w:r>
              <w:rPr>
                <w:rFonts w:eastAsiaTheme="minorEastAsia"/>
                <w:bCs/>
                <w:kern w:val="0"/>
                <w:szCs w:val="21"/>
              </w:rPr>
              <w:t>环境功能区</w:t>
            </w:r>
          </w:p>
        </w:tc>
        <w:tc>
          <w:tcPr>
            <w:tcW w:w="1558" w:type="dxa"/>
            <w:gridSpan w:val="5"/>
            <w:tcBorders>
              <w:top w:val="single" w:sz="4" w:space="0" w:color="000000"/>
              <w:left w:val="single" w:sz="4" w:space="0" w:color="000000"/>
              <w:bottom w:val="single" w:sz="4" w:space="0" w:color="000000"/>
              <w:right w:val="single" w:sz="4" w:space="0" w:color="000000"/>
            </w:tcBorders>
            <w:vAlign w:val="center"/>
          </w:tcPr>
          <w:p w14:paraId="7F7F83FB" w14:textId="77777777" w:rsidR="00B14D53" w:rsidRDefault="00000000">
            <w:pPr>
              <w:spacing w:line="0" w:lineRule="atLeast"/>
              <w:jc w:val="center"/>
              <w:rPr>
                <w:rFonts w:eastAsiaTheme="minorEastAsia"/>
                <w:bCs/>
                <w:kern w:val="0"/>
                <w:szCs w:val="21"/>
              </w:rPr>
            </w:pPr>
            <w:r>
              <w:rPr>
                <w:rFonts w:eastAsiaTheme="minorEastAsia"/>
                <w:bCs/>
                <w:kern w:val="0"/>
                <w:szCs w:val="21"/>
              </w:rPr>
              <w:t>一类区</w:t>
            </w:r>
            <w:r>
              <w:rPr>
                <w:rFonts w:eastAsiaTheme="minorEastAsia"/>
                <w:bCs/>
                <w:kern w:val="0"/>
                <w:szCs w:val="21"/>
              </w:rPr>
              <w:t>□</w:t>
            </w:r>
          </w:p>
        </w:tc>
        <w:tc>
          <w:tcPr>
            <w:tcW w:w="3023" w:type="dxa"/>
            <w:gridSpan w:val="12"/>
            <w:tcBorders>
              <w:top w:val="single" w:sz="4" w:space="0" w:color="000000"/>
              <w:left w:val="single" w:sz="4" w:space="0" w:color="000000"/>
              <w:bottom w:val="single" w:sz="4" w:space="0" w:color="000000"/>
              <w:right w:val="single" w:sz="4" w:space="0" w:color="000000"/>
            </w:tcBorders>
            <w:vAlign w:val="center"/>
          </w:tcPr>
          <w:p w14:paraId="59F73BF4" w14:textId="77777777" w:rsidR="00B14D53" w:rsidRDefault="00000000">
            <w:pPr>
              <w:spacing w:line="0" w:lineRule="atLeast"/>
              <w:jc w:val="center"/>
              <w:rPr>
                <w:rFonts w:eastAsiaTheme="minorEastAsia"/>
                <w:bCs/>
                <w:kern w:val="0"/>
                <w:szCs w:val="21"/>
              </w:rPr>
            </w:pPr>
            <w:r>
              <w:rPr>
                <w:rFonts w:eastAsiaTheme="minorEastAsia"/>
                <w:bCs/>
                <w:kern w:val="0"/>
                <w:szCs w:val="21"/>
              </w:rPr>
              <w:t>二类区</w:t>
            </w:r>
            <w:r>
              <w:rPr>
                <w:rFonts w:eastAsiaTheme="minorEastAsia" w:hint="eastAsia"/>
                <w:bCs/>
                <w:kern w:val="0"/>
                <w:szCs w:val="21"/>
              </w:rPr>
              <w:t>☑</w:t>
            </w:r>
          </w:p>
        </w:tc>
        <w:tc>
          <w:tcPr>
            <w:tcW w:w="2110" w:type="dxa"/>
            <w:gridSpan w:val="5"/>
            <w:tcBorders>
              <w:top w:val="single" w:sz="4" w:space="0" w:color="000000"/>
              <w:left w:val="single" w:sz="4" w:space="0" w:color="000000"/>
              <w:bottom w:val="single" w:sz="4" w:space="0" w:color="000000"/>
              <w:right w:val="single" w:sz="12" w:space="0" w:color="000000"/>
            </w:tcBorders>
            <w:vAlign w:val="center"/>
          </w:tcPr>
          <w:p w14:paraId="7CC3EA1C" w14:textId="77777777" w:rsidR="00B14D53" w:rsidRDefault="00000000">
            <w:pPr>
              <w:spacing w:line="0" w:lineRule="atLeast"/>
              <w:jc w:val="center"/>
              <w:rPr>
                <w:rFonts w:eastAsiaTheme="minorEastAsia"/>
                <w:bCs/>
                <w:kern w:val="0"/>
                <w:szCs w:val="21"/>
              </w:rPr>
            </w:pPr>
            <w:r>
              <w:rPr>
                <w:rFonts w:eastAsiaTheme="minorEastAsia"/>
                <w:bCs/>
                <w:kern w:val="0"/>
                <w:szCs w:val="21"/>
              </w:rPr>
              <w:t>一类区和二类区</w:t>
            </w:r>
            <w:r>
              <w:rPr>
                <w:rFonts w:eastAsiaTheme="minorEastAsia"/>
                <w:bCs/>
                <w:kern w:val="0"/>
                <w:szCs w:val="21"/>
              </w:rPr>
              <w:t>□</w:t>
            </w:r>
          </w:p>
        </w:tc>
      </w:tr>
      <w:tr w:rsidR="00B14D53" w14:paraId="0B1D1D68"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2DFEF12D"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28772005" w14:textId="77777777" w:rsidR="00B14D53" w:rsidRDefault="00000000">
            <w:pPr>
              <w:spacing w:line="0" w:lineRule="atLeast"/>
              <w:jc w:val="center"/>
              <w:rPr>
                <w:rFonts w:eastAsiaTheme="minorEastAsia"/>
                <w:bCs/>
                <w:kern w:val="0"/>
                <w:szCs w:val="21"/>
              </w:rPr>
            </w:pPr>
            <w:r>
              <w:rPr>
                <w:rFonts w:eastAsiaTheme="minorEastAsia"/>
                <w:bCs/>
                <w:kern w:val="0"/>
                <w:szCs w:val="21"/>
              </w:rPr>
              <w:t>评价基准年</w:t>
            </w:r>
          </w:p>
        </w:tc>
        <w:tc>
          <w:tcPr>
            <w:tcW w:w="6691" w:type="dxa"/>
            <w:gridSpan w:val="22"/>
            <w:tcBorders>
              <w:top w:val="single" w:sz="4" w:space="0" w:color="000000"/>
              <w:left w:val="single" w:sz="4" w:space="0" w:color="000000"/>
              <w:bottom w:val="single" w:sz="4" w:space="0" w:color="000000"/>
              <w:right w:val="single" w:sz="12" w:space="0" w:color="000000"/>
            </w:tcBorders>
            <w:vAlign w:val="center"/>
          </w:tcPr>
          <w:p w14:paraId="7D143408" w14:textId="77777777" w:rsidR="00B14D53" w:rsidRDefault="00000000">
            <w:pPr>
              <w:spacing w:line="0" w:lineRule="atLeast"/>
              <w:jc w:val="center"/>
              <w:rPr>
                <w:rFonts w:eastAsiaTheme="minorEastAsia"/>
                <w:bCs/>
                <w:kern w:val="0"/>
                <w:szCs w:val="21"/>
              </w:rPr>
            </w:pPr>
            <w:r>
              <w:rPr>
                <w:rFonts w:eastAsiaTheme="minorEastAsia"/>
                <w:bCs/>
                <w:kern w:val="0"/>
                <w:szCs w:val="21"/>
              </w:rPr>
              <w:t>（</w:t>
            </w:r>
            <w:r>
              <w:rPr>
                <w:rFonts w:eastAsiaTheme="minorEastAsia"/>
                <w:bCs/>
                <w:kern w:val="0"/>
                <w:szCs w:val="21"/>
              </w:rPr>
              <w:t>202</w:t>
            </w:r>
            <w:r>
              <w:rPr>
                <w:rFonts w:eastAsiaTheme="minorEastAsia" w:hint="eastAsia"/>
                <w:bCs/>
                <w:kern w:val="0"/>
                <w:szCs w:val="21"/>
              </w:rPr>
              <w:t>4</w:t>
            </w:r>
            <w:r>
              <w:rPr>
                <w:rFonts w:eastAsiaTheme="minorEastAsia"/>
                <w:bCs/>
                <w:kern w:val="0"/>
                <w:szCs w:val="21"/>
              </w:rPr>
              <w:t>）年</w:t>
            </w:r>
          </w:p>
        </w:tc>
      </w:tr>
      <w:tr w:rsidR="00B14D53" w14:paraId="6B3D7290"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76FDD40D"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02BCFC8C" w14:textId="77777777" w:rsidR="00B14D53" w:rsidRDefault="00000000">
            <w:pPr>
              <w:spacing w:line="0" w:lineRule="atLeast"/>
              <w:jc w:val="center"/>
              <w:rPr>
                <w:rFonts w:eastAsiaTheme="minorEastAsia"/>
                <w:bCs/>
                <w:kern w:val="0"/>
                <w:szCs w:val="21"/>
              </w:rPr>
            </w:pPr>
            <w:r>
              <w:rPr>
                <w:rFonts w:eastAsiaTheme="minorEastAsia"/>
                <w:bCs/>
                <w:kern w:val="0"/>
                <w:szCs w:val="21"/>
              </w:rPr>
              <w:t>环境空气质量现状调查数据来源</w:t>
            </w:r>
          </w:p>
        </w:tc>
        <w:tc>
          <w:tcPr>
            <w:tcW w:w="1558" w:type="dxa"/>
            <w:gridSpan w:val="5"/>
            <w:tcBorders>
              <w:top w:val="single" w:sz="4" w:space="0" w:color="000000"/>
              <w:left w:val="single" w:sz="4" w:space="0" w:color="000000"/>
              <w:bottom w:val="single" w:sz="4" w:space="0" w:color="000000"/>
              <w:right w:val="single" w:sz="4" w:space="0" w:color="000000"/>
            </w:tcBorders>
            <w:vAlign w:val="center"/>
          </w:tcPr>
          <w:p w14:paraId="27314A39" w14:textId="77777777" w:rsidR="00B14D53" w:rsidRDefault="00000000">
            <w:pPr>
              <w:spacing w:line="0" w:lineRule="atLeast"/>
              <w:jc w:val="center"/>
              <w:rPr>
                <w:rFonts w:eastAsiaTheme="minorEastAsia"/>
                <w:bCs/>
                <w:kern w:val="0"/>
                <w:szCs w:val="21"/>
              </w:rPr>
            </w:pPr>
            <w:r>
              <w:rPr>
                <w:rFonts w:eastAsiaTheme="minorEastAsia"/>
                <w:bCs/>
                <w:kern w:val="0"/>
                <w:szCs w:val="21"/>
              </w:rPr>
              <w:t>长期例行监测数据</w:t>
            </w:r>
            <w:r>
              <w:rPr>
                <w:rFonts w:eastAsiaTheme="minorEastAsia"/>
                <w:bCs/>
                <w:kern w:val="0"/>
                <w:szCs w:val="21"/>
              </w:rPr>
              <w:t>□</w:t>
            </w:r>
          </w:p>
        </w:tc>
        <w:tc>
          <w:tcPr>
            <w:tcW w:w="3023" w:type="dxa"/>
            <w:gridSpan w:val="12"/>
            <w:tcBorders>
              <w:top w:val="single" w:sz="4" w:space="0" w:color="000000"/>
              <w:left w:val="single" w:sz="4" w:space="0" w:color="000000"/>
              <w:bottom w:val="single" w:sz="4" w:space="0" w:color="000000"/>
              <w:right w:val="single" w:sz="4" w:space="0" w:color="000000"/>
            </w:tcBorders>
            <w:vAlign w:val="center"/>
          </w:tcPr>
          <w:p w14:paraId="28F92B80" w14:textId="77777777" w:rsidR="00B14D53" w:rsidRDefault="00000000">
            <w:pPr>
              <w:spacing w:line="0" w:lineRule="atLeast"/>
              <w:jc w:val="center"/>
              <w:rPr>
                <w:rFonts w:eastAsiaTheme="minorEastAsia"/>
                <w:bCs/>
                <w:kern w:val="0"/>
                <w:szCs w:val="21"/>
              </w:rPr>
            </w:pPr>
            <w:r>
              <w:rPr>
                <w:rFonts w:eastAsiaTheme="minorEastAsia"/>
                <w:bCs/>
                <w:kern w:val="0"/>
                <w:szCs w:val="21"/>
              </w:rPr>
              <w:t>主管部门发布的数据</w:t>
            </w:r>
            <w:r>
              <w:rPr>
                <w:rFonts w:eastAsiaTheme="minorEastAsia" w:hint="eastAsia"/>
                <w:bCs/>
                <w:kern w:val="0"/>
                <w:szCs w:val="21"/>
              </w:rPr>
              <w:t>☑</w:t>
            </w:r>
          </w:p>
        </w:tc>
        <w:tc>
          <w:tcPr>
            <w:tcW w:w="2110" w:type="dxa"/>
            <w:gridSpan w:val="5"/>
            <w:tcBorders>
              <w:top w:val="single" w:sz="4" w:space="0" w:color="000000"/>
              <w:left w:val="single" w:sz="4" w:space="0" w:color="000000"/>
              <w:bottom w:val="single" w:sz="4" w:space="0" w:color="000000"/>
              <w:right w:val="single" w:sz="12" w:space="0" w:color="000000"/>
            </w:tcBorders>
            <w:vAlign w:val="center"/>
          </w:tcPr>
          <w:p w14:paraId="7A06A038" w14:textId="77777777" w:rsidR="00B14D53" w:rsidRDefault="00000000">
            <w:pPr>
              <w:spacing w:line="0" w:lineRule="atLeast"/>
              <w:jc w:val="center"/>
              <w:rPr>
                <w:rFonts w:eastAsiaTheme="minorEastAsia"/>
                <w:bCs/>
                <w:kern w:val="0"/>
                <w:szCs w:val="21"/>
              </w:rPr>
            </w:pPr>
            <w:r>
              <w:rPr>
                <w:rFonts w:eastAsiaTheme="minorEastAsia"/>
                <w:bCs/>
                <w:kern w:val="0"/>
                <w:szCs w:val="21"/>
              </w:rPr>
              <w:t>现状补充监测</w:t>
            </w:r>
            <w:r>
              <w:rPr>
                <w:rFonts w:eastAsiaTheme="minorEastAsia" w:hint="eastAsia"/>
                <w:bCs/>
                <w:kern w:val="0"/>
                <w:szCs w:val="21"/>
              </w:rPr>
              <w:t>☑</w:t>
            </w:r>
          </w:p>
        </w:tc>
      </w:tr>
      <w:tr w:rsidR="00B14D53" w14:paraId="1FDCE8A4"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2F60DFA5"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327094FC" w14:textId="77777777" w:rsidR="00B14D53" w:rsidRDefault="00000000">
            <w:pPr>
              <w:spacing w:line="0" w:lineRule="atLeast"/>
              <w:jc w:val="center"/>
              <w:rPr>
                <w:rFonts w:eastAsiaTheme="minorEastAsia"/>
                <w:bCs/>
                <w:kern w:val="0"/>
                <w:szCs w:val="21"/>
              </w:rPr>
            </w:pPr>
            <w:r>
              <w:rPr>
                <w:rFonts w:eastAsiaTheme="minorEastAsia"/>
                <w:bCs/>
                <w:kern w:val="0"/>
                <w:szCs w:val="21"/>
              </w:rPr>
              <w:t>现状评价</w:t>
            </w:r>
          </w:p>
        </w:tc>
        <w:tc>
          <w:tcPr>
            <w:tcW w:w="3171" w:type="dxa"/>
            <w:gridSpan w:val="11"/>
            <w:tcBorders>
              <w:top w:val="single" w:sz="4" w:space="0" w:color="000000"/>
              <w:left w:val="single" w:sz="4" w:space="0" w:color="000000"/>
              <w:bottom w:val="single" w:sz="4" w:space="0" w:color="000000"/>
              <w:right w:val="single" w:sz="4" w:space="0" w:color="000000"/>
            </w:tcBorders>
            <w:vAlign w:val="center"/>
          </w:tcPr>
          <w:p w14:paraId="24104B6F" w14:textId="77777777" w:rsidR="00B14D53" w:rsidRDefault="00000000">
            <w:pPr>
              <w:spacing w:line="0" w:lineRule="atLeast"/>
              <w:jc w:val="center"/>
              <w:rPr>
                <w:rFonts w:eastAsiaTheme="minorEastAsia"/>
                <w:bCs/>
                <w:kern w:val="0"/>
                <w:szCs w:val="21"/>
              </w:rPr>
            </w:pPr>
            <w:r>
              <w:rPr>
                <w:rFonts w:eastAsiaTheme="minorEastAsia"/>
                <w:bCs/>
                <w:kern w:val="0"/>
                <w:szCs w:val="21"/>
              </w:rPr>
              <w:t>达标区</w:t>
            </w:r>
          </w:p>
        </w:tc>
        <w:tc>
          <w:tcPr>
            <w:tcW w:w="3520" w:type="dxa"/>
            <w:gridSpan w:val="11"/>
            <w:tcBorders>
              <w:top w:val="single" w:sz="4" w:space="0" w:color="000000"/>
              <w:left w:val="single" w:sz="4" w:space="0" w:color="auto"/>
              <w:bottom w:val="single" w:sz="4" w:space="0" w:color="000000"/>
              <w:right w:val="single" w:sz="12" w:space="0" w:color="000000"/>
            </w:tcBorders>
            <w:vAlign w:val="center"/>
          </w:tcPr>
          <w:p w14:paraId="202AAA88" w14:textId="77777777" w:rsidR="00B14D53" w:rsidRDefault="00000000">
            <w:pPr>
              <w:spacing w:line="0" w:lineRule="atLeast"/>
              <w:jc w:val="center"/>
              <w:rPr>
                <w:rFonts w:eastAsiaTheme="minorEastAsia"/>
                <w:bCs/>
                <w:kern w:val="0"/>
                <w:szCs w:val="21"/>
              </w:rPr>
            </w:pPr>
            <w:r>
              <w:rPr>
                <w:rFonts w:eastAsiaTheme="minorEastAsia"/>
                <w:bCs/>
                <w:kern w:val="0"/>
                <w:szCs w:val="21"/>
              </w:rPr>
              <w:t>不达标区</w:t>
            </w:r>
            <w:r>
              <w:rPr>
                <w:rFonts w:eastAsiaTheme="minorEastAsia" w:hint="eastAsia"/>
                <w:bCs/>
                <w:kern w:val="0"/>
                <w:szCs w:val="21"/>
              </w:rPr>
              <w:t>☑</w:t>
            </w:r>
          </w:p>
        </w:tc>
      </w:tr>
      <w:tr w:rsidR="00B14D53" w14:paraId="3C681DE1" w14:textId="77777777">
        <w:trPr>
          <w:jc w:val="center"/>
        </w:trPr>
        <w:tc>
          <w:tcPr>
            <w:tcW w:w="751" w:type="dxa"/>
            <w:tcBorders>
              <w:top w:val="single" w:sz="4" w:space="0" w:color="000000"/>
              <w:left w:val="single" w:sz="12" w:space="0" w:color="000000"/>
              <w:bottom w:val="single" w:sz="4" w:space="0" w:color="000000"/>
              <w:right w:val="single" w:sz="4" w:space="0" w:color="000000"/>
            </w:tcBorders>
            <w:vAlign w:val="center"/>
          </w:tcPr>
          <w:p w14:paraId="78D5AF1F" w14:textId="77777777" w:rsidR="00B14D53" w:rsidRDefault="00000000">
            <w:pPr>
              <w:spacing w:line="0" w:lineRule="atLeast"/>
              <w:jc w:val="center"/>
              <w:rPr>
                <w:rFonts w:eastAsiaTheme="minorEastAsia"/>
                <w:bCs/>
                <w:kern w:val="0"/>
                <w:szCs w:val="21"/>
              </w:rPr>
            </w:pPr>
            <w:r>
              <w:rPr>
                <w:rFonts w:eastAsiaTheme="minorEastAsia"/>
                <w:bCs/>
                <w:kern w:val="0"/>
                <w:szCs w:val="21"/>
              </w:rPr>
              <w:t>污染源调查</w:t>
            </w:r>
          </w:p>
        </w:tc>
        <w:tc>
          <w:tcPr>
            <w:tcW w:w="1798" w:type="dxa"/>
            <w:tcBorders>
              <w:top w:val="single" w:sz="4" w:space="0" w:color="000000"/>
              <w:left w:val="single" w:sz="4" w:space="0" w:color="000000"/>
              <w:bottom w:val="single" w:sz="4" w:space="0" w:color="000000"/>
              <w:right w:val="single" w:sz="4" w:space="0" w:color="000000"/>
            </w:tcBorders>
            <w:vAlign w:val="center"/>
          </w:tcPr>
          <w:p w14:paraId="38AC2668" w14:textId="77777777" w:rsidR="00B14D53" w:rsidRDefault="00000000">
            <w:pPr>
              <w:spacing w:line="0" w:lineRule="atLeast"/>
              <w:jc w:val="center"/>
              <w:rPr>
                <w:rFonts w:eastAsiaTheme="minorEastAsia"/>
                <w:bCs/>
                <w:kern w:val="0"/>
                <w:szCs w:val="21"/>
              </w:rPr>
            </w:pPr>
            <w:r>
              <w:rPr>
                <w:rFonts w:eastAsiaTheme="minorEastAsia"/>
                <w:bCs/>
                <w:kern w:val="0"/>
                <w:szCs w:val="21"/>
              </w:rPr>
              <w:t>调查内容</w:t>
            </w:r>
          </w:p>
        </w:tc>
        <w:tc>
          <w:tcPr>
            <w:tcW w:w="1653" w:type="dxa"/>
            <w:gridSpan w:val="7"/>
            <w:tcBorders>
              <w:top w:val="single" w:sz="4" w:space="0" w:color="000000"/>
              <w:left w:val="single" w:sz="4" w:space="0" w:color="000000"/>
              <w:bottom w:val="single" w:sz="4" w:space="0" w:color="000000"/>
              <w:right w:val="single" w:sz="4" w:space="0" w:color="000000"/>
            </w:tcBorders>
            <w:vAlign w:val="center"/>
          </w:tcPr>
          <w:p w14:paraId="3F4A3E38" w14:textId="77777777" w:rsidR="00B14D53" w:rsidRDefault="00000000">
            <w:pPr>
              <w:spacing w:line="0" w:lineRule="atLeast"/>
              <w:jc w:val="center"/>
              <w:rPr>
                <w:rFonts w:eastAsiaTheme="minorEastAsia"/>
                <w:bCs/>
                <w:kern w:val="0"/>
                <w:szCs w:val="21"/>
              </w:rPr>
            </w:pPr>
            <w:r>
              <w:rPr>
                <w:rFonts w:eastAsiaTheme="minorEastAsia"/>
                <w:bCs/>
                <w:kern w:val="0"/>
                <w:szCs w:val="21"/>
              </w:rPr>
              <w:t>本项目正常排放源</w:t>
            </w:r>
            <w:r>
              <w:rPr>
                <w:rFonts w:eastAsiaTheme="minorEastAsia" w:hint="eastAsia"/>
                <w:bCs/>
                <w:kern w:val="0"/>
                <w:szCs w:val="21"/>
              </w:rPr>
              <w:t>☑</w:t>
            </w:r>
          </w:p>
          <w:p w14:paraId="1E41CD67" w14:textId="77777777" w:rsidR="00B14D53" w:rsidRDefault="00000000">
            <w:pPr>
              <w:spacing w:line="0" w:lineRule="atLeast"/>
              <w:jc w:val="center"/>
              <w:rPr>
                <w:rFonts w:eastAsiaTheme="minorEastAsia"/>
                <w:bCs/>
                <w:kern w:val="0"/>
                <w:szCs w:val="21"/>
              </w:rPr>
            </w:pPr>
            <w:r>
              <w:rPr>
                <w:rFonts w:eastAsiaTheme="minorEastAsia"/>
                <w:bCs/>
                <w:kern w:val="0"/>
                <w:szCs w:val="21"/>
              </w:rPr>
              <w:t>本项目非正常排放源</w:t>
            </w:r>
            <w:r>
              <w:rPr>
                <w:rFonts w:eastAsiaTheme="minorEastAsia" w:hint="eastAsia"/>
                <w:bCs/>
                <w:kern w:val="0"/>
                <w:szCs w:val="21"/>
              </w:rPr>
              <w:t>☑</w:t>
            </w:r>
          </w:p>
          <w:p w14:paraId="5D71A0D6" w14:textId="77777777" w:rsidR="00B14D53" w:rsidRDefault="00000000">
            <w:pPr>
              <w:spacing w:line="0" w:lineRule="atLeast"/>
              <w:jc w:val="center"/>
              <w:rPr>
                <w:rFonts w:eastAsiaTheme="minorEastAsia"/>
                <w:bCs/>
                <w:kern w:val="0"/>
                <w:szCs w:val="21"/>
              </w:rPr>
            </w:pPr>
            <w:r>
              <w:rPr>
                <w:rFonts w:eastAsiaTheme="minorEastAsia"/>
                <w:bCs/>
                <w:kern w:val="0"/>
                <w:szCs w:val="21"/>
              </w:rPr>
              <w:t>现有污染源</w:t>
            </w:r>
            <w:r>
              <w:rPr>
                <w:rFonts w:eastAsiaTheme="minorEastAsia"/>
                <w:bCs/>
                <w:kern w:val="0"/>
                <w:szCs w:val="21"/>
              </w:rPr>
              <w:t>□</w:t>
            </w:r>
          </w:p>
        </w:tc>
        <w:tc>
          <w:tcPr>
            <w:tcW w:w="1808" w:type="dxa"/>
            <w:gridSpan w:val="5"/>
            <w:tcBorders>
              <w:top w:val="single" w:sz="4" w:space="0" w:color="000000"/>
              <w:left w:val="single" w:sz="4" w:space="0" w:color="000000"/>
              <w:bottom w:val="single" w:sz="4" w:space="0" w:color="000000"/>
              <w:right w:val="single" w:sz="4" w:space="0" w:color="000000"/>
            </w:tcBorders>
            <w:vAlign w:val="center"/>
          </w:tcPr>
          <w:p w14:paraId="6B342953" w14:textId="77777777" w:rsidR="00B14D53" w:rsidRDefault="00000000">
            <w:pPr>
              <w:spacing w:line="0" w:lineRule="atLeast"/>
              <w:jc w:val="center"/>
              <w:rPr>
                <w:rFonts w:eastAsiaTheme="minorEastAsia"/>
                <w:bCs/>
                <w:kern w:val="0"/>
                <w:szCs w:val="21"/>
              </w:rPr>
            </w:pPr>
            <w:r>
              <w:rPr>
                <w:rFonts w:eastAsiaTheme="minorEastAsia"/>
                <w:bCs/>
                <w:kern w:val="0"/>
                <w:szCs w:val="21"/>
              </w:rPr>
              <w:t>拟替代的污染源</w:t>
            </w:r>
            <w:r>
              <w:rPr>
                <w:rFonts w:eastAsiaTheme="minorEastAsia"/>
                <w:bCs/>
                <w:kern w:val="0"/>
                <w:szCs w:val="21"/>
              </w:rPr>
              <w:t>□</w:t>
            </w:r>
          </w:p>
        </w:tc>
        <w:tc>
          <w:tcPr>
            <w:tcW w:w="1860" w:type="dxa"/>
            <w:gridSpan w:val="8"/>
            <w:tcBorders>
              <w:top w:val="single" w:sz="4" w:space="0" w:color="000000"/>
              <w:left w:val="single" w:sz="4" w:space="0" w:color="000000"/>
              <w:bottom w:val="single" w:sz="4" w:space="0" w:color="000000"/>
              <w:right w:val="single" w:sz="4" w:space="0" w:color="000000"/>
            </w:tcBorders>
            <w:vAlign w:val="center"/>
          </w:tcPr>
          <w:p w14:paraId="4B225175" w14:textId="77777777" w:rsidR="00B14D53" w:rsidRDefault="00000000">
            <w:pPr>
              <w:spacing w:line="0" w:lineRule="atLeast"/>
              <w:jc w:val="center"/>
              <w:rPr>
                <w:rFonts w:eastAsiaTheme="minorEastAsia"/>
                <w:bCs/>
                <w:kern w:val="0"/>
                <w:szCs w:val="21"/>
              </w:rPr>
            </w:pPr>
            <w:r>
              <w:rPr>
                <w:rFonts w:eastAsiaTheme="minorEastAsia"/>
                <w:bCs/>
                <w:kern w:val="0"/>
                <w:szCs w:val="21"/>
              </w:rPr>
              <w:t>其他在建、拟建项目污染源</w:t>
            </w:r>
            <w:r>
              <w:rPr>
                <w:rFonts w:eastAsiaTheme="minorEastAsia"/>
                <w:bCs/>
                <w:kern w:val="0"/>
                <w:szCs w:val="21"/>
              </w:rPr>
              <w:t>□</w:t>
            </w:r>
          </w:p>
        </w:tc>
        <w:tc>
          <w:tcPr>
            <w:tcW w:w="1370" w:type="dxa"/>
            <w:gridSpan w:val="2"/>
            <w:tcBorders>
              <w:top w:val="single" w:sz="4" w:space="0" w:color="000000"/>
              <w:left w:val="single" w:sz="4" w:space="0" w:color="000000"/>
              <w:bottom w:val="single" w:sz="4" w:space="0" w:color="000000"/>
              <w:right w:val="single" w:sz="12" w:space="0" w:color="000000"/>
            </w:tcBorders>
            <w:vAlign w:val="center"/>
          </w:tcPr>
          <w:p w14:paraId="7E9BDC87" w14:textId="77777777" w:rsidR="00B14D53" w:rsidRDefault="00000000">
            <w:pPr>
              <w:spacing w:line="0" w:lineRule="atLeast"/>
              <w:jc w:val="center"/>
              <w:rPr>
                <w:rFonts w:eastAsiaTheme="minorEastAsia"/>
                <w:bCs/>
                <w:kern w:val="0"/>
                <w:szCs w:val="21"/>
              </w:rPr>
            </w:pPr>
            <w:r>
              <w:rPr>
                <w:rFonts w:eastAsiaTheme="minorEastAsia"/>
                <w:bCs/>
                <w:kern w:val="0"/>
                <w:szCs w:val="21"/>
              </w:rPr>
              <w:t>区域污染源</w:t>
            </w:r>
            <w:r>
              <w:rPr>
                <w:rFonts w:eastAsiaTheme="minorEastAsia"/>
                <w:bCs/>
                <w:kern w:val="0"/>
                <w:szCs w:val="21"/>
              </w:rPr>
              <w:t>□</w:t>
            </w:r>
          </w:p>
        </w:tc>
      </w:tr>
      <w:tr w:rsidR="00B14D53" w14:paraId="52766E66" w14:textId="77777777">
        <w:trPr>
          <w:jc w:val="center"/>
        </w:trPr>
        <w:tc>
          <w:tcPr>
            <w:tcW w:w="751" w:type="dxa"/>
            <w:vMerge w:val="restart"/>
            <w:tcBorders>
              <w:top w:val="single" w:sz="4" w:space="0" w:color="000000"/>
              <w:left w:val="single" w:sz="12" w:space="0" w:color="000000"/>
              <w:bottom w:val="single" w:sz="4" w:space="0" w:color="000000"/>
              <w:right w:val="single" w:sz="4" w:space="0" w:color="000000"/>
            </w:tcBorders>
            <w:vAlign w:val="center"/>
          </w:tcPr>
          <w:p w14:paraId="014F1DE1" w14:textId="77777777" w:rsidR="00B14D53" w:rsidRDefault="00000000">
            <w:pPr>
              <w:spacing w:line="0" w:lineRule="atLeast"/>
              <w:jc w:val="center"/>
              <w:rPr>
                <w:rFonts w:eastAsiaTheme="minorEastAsia"/>
                <w:bCs/>
                <w:kern w:val="0"/>
                <w:szCs w:val="21"/>
              </w:rPr>
            </w:pPr>
            <w:r>
              <w:rPr>
                <w:rFonts w:eastAsiaTheme="minorEastAsia"/>
                <w:bCs/>
                <w:kern w:val="0"/>
                <w:szCs w:val="21"/>
              </w:rPr>
              <w:t>大气环境影响预测与评价</w:t>
            </w:r>
          </w:p>
        </w:tc>
        <w:tc>
          <w:tcPr>
            <w:tcW w:w="1798" w:type="dxa"/>
            <w:tcBorders>
              <w:top w:val="single" w:sz="4" w:space="0" w:color="000000"/>
              <w:left w:val="single" w:sz="4" w:space="0" w:color="000000"/>
              <w:bottom w:val="single" w:sz="4" w:space="0" w:color="000000"/>
              <w:right w:val="single" w:sz="4" w:space="0" w:color="000000"/>
            </w:tcBorders>
            <w:vAlign w:val="center"/>
          </w:tcPr>
          <w:p w14:paraId="5339EBBF" w14:textId="77777777" w:rsidR="00B14D53" w:rsidRDefault="00000000">
            <w:pPr>
              <w:spacing w:line="0" w:lineRule="atLeast"/>
              <w:jc w:val="center"/>
              <w:rPr>
                <w:rFonts w:eastAsiaTheme="minorEastAsia"/>
                <w:bCs/>
                <w:kern w:val="0"/>
                <w:szCs w:val="21"/>
              </w:rPr>
            </w:pPr>
            <w:r>
              <w:rPr>
                <w:rFonts w:eastAsiaTheme="minorEastAsia"/>
                <w:bCs/>
                <w:kern w:val="0"/>
                <w:szCs w:val="21"/>
              </w:rPr>
              <w:t>预测模型</w:t>
            </w:r>
          </w:p>
        </w:tc>
        <w:tc>
          <w:tcPr>
            <w:tcW w:w="940" w:type="dxa"/>
            <w:tcBorders>
              <w:top w:val="single" w:sz="4" w:space="0" w:color="000000"/>
              <w:left w:val="single" w:sz="4" w:space="0" w:color="000000"/>
              <w:bottom w:val="single" w:sz="4" w:space="0" w:color="000000"/>
              <w:right w:val="single" w:sz="4" w:space="0" w:color="000000"/>
            </w:tcBorders>
            <w:vAlign w:val="center"/>
          </w:tcPr>
          <w:p w14:paraId="7015E244" w14:textId="77777777" w:rsidR="00B14D53" w:rsidRDefault="00000000">
            <w:pPr>
              <w:spacing w:line="0" w:lineRule="atLeast"/>
              <w:jc w:val="center"/>
              <w:rPr>
                <w:rFonts w:eastAsiaTheme="minorEastAsia"/>
                <w:bCs/>
                <w:kern w:val="0"/>
                <w:szCs w:val="21"/>
              </w:rPr>
            </w:pPr>
            <w:r>
              <w:rPr>
                <w:rFonts w:eastAsiaTheme="minorEastAsia"/>
                <w:bCs/>
                <w:kern w:val="0"/>
                <w:szCs w:val="21"/>
              </w:rPr>
              <w:t>AERMOD□</w:t>
            </w:r>
          </w:p>
        </w:tc>
        <w:tc>
          <w:tcPr>
            <w:tcW w:w="713" w:type="dxa"/>
            <w:gridSpan w:val="6"/>
            <w:tcBorders>
              <w:top w:val="single" w:sz="4" w:space="0" w:color="000000"/>
              <w:left w:val="single" w:sz="4" w:space="0" w:color="000000"/>
              <w:bottom w:val="single" w:sz="4" w:space="0" w:color="000000"/>
              <w:right w:val="single" w:sz="4" w:space="0" w:color="000000"/>
            </w:tcBorders>
            <w:vAlign w:val="center"/>
          </w:tcPr>
          <w:p w14:paraId="129634E1" w14:textId="77777777" w:rsidR="00B14D53" w:rsidRDefault="00000000">
            <w:pPr>
              <w:spacing w:line="0" w:lineRule="atLeast"/>
              <w:jc w:val="center"/>
              <w:rPr>
                <w:rFonts w:eastAsiaTheme="minorEastAsia"/>
                <w:bCs/>
                <w:kern w:val="0"/>
                <w:szCs w:val="21"/>
              </w:rPr>
            </w:pPr>
            <w:r>
              <w:rPr>
                <w:rFonts w:eastAsiaTheme="minorEastAsia"/>
                <w:bCs/>
                <w:kern w:val="0"/>
                <w:szCs w:val="21"/>
              </w:rPr>
              <w:t>ADMS□</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7775E0D" w14:textId="77777777" w:rsidR="00B14D53" w:rsidRDefault="00000000">
            <w:pPr>
              <w:spacing w:line="0" w:lineRule="atLeast"/>
              <w:jc w:val="center"/>
              <w:rPr>
                <w:rFonts w:eastAsiaTheme="minorEastAsia"/>
                <w:bCs/>
                <w:kern w:val="0"/>
                <w:szCs w:val="21"/>
              </w:rPr>
            </w:pPr>
            <w:r>
              <w:rPr>
                <w:rFonts w:eastAsiaTheme="minorEastAsia"/>
                <w:bCs/>
                <w:kern w:val="0"/>
                <w:szCs w:val="21"/>
              </w:rPr>
              <w:t>AUSTAL2000□</w:t>
            </w:r>
          </w:p>
        </w:tc>
        <w:tc>
          <w:tcPr>
            <w:tcW w:w="1134" w:type="dxa"/>
            <w:gridSpan w:val="7"/>
            <w:tcBorders>
              <w:top w:val="single" w:sz="4" w:space="0" w:color="000000"/>
              <w:left w:val="single" w:sz="4" w:space="0" w:color="000000"/>
              <w:bottom w:val="single" w:sz="4" w:space="0" w:color="000000"/>
              <w:right w:val="single" w:sz="4" w:space="0" w:color="000000"/>
            </w:tcBorders>
            <w:vAlign w:val="center"/>
          </w:tcPr>
          <w:p w14:paraId="295FE90C" w14:textId="77777777" w:rsidR="00B14D53" w:rsidRDefault="00000000">
            <w:pPr>
              <w:spacing w:line="0" w:lineRule="atLeast"/>
              <w:jc w:val="center"/>
              <w:rPr>
                <w:rFonts w:eastAsiaTheme="minorEastAsia"/>
                <w:bCs/>
                <w:kern w:val="0"/>
                <w:szCs w:val="21"/>
              </w:rPr>
            </w:pPr>
            <w:r>
              <w:rPr>
                <w:rFonts w:eastAsiaTheme="minorEastAsia"/>
                <w:bCs/>
                <w:kern w:val="0"/>
                <w:szCs w:val="21"/>
              </w:rPr>
              <w:t>EDMS/AEDT□</w:t>
            </w:r>
          </w:p>
        </w:tc>
        <w:tc>
          <w:tcPr>
            <w:tcW w:w="836" w:type="dxa"/>
            <w:gridSpan w:val="2"/>
            <w:tcBorders>
              <w:top w:val="single" w:sz="4" w:space="0" w:color="000000"/>
              <w:left w:val="single" w:sz="4" w:space="0" w:color="000000"/>
              <w:bottom w:val="single" w:sz="4" w:space="0" w:color="000000"/>
              <w:right w:val="single" w:sz="4" w:space="0" w:color="000000"/>
            </w:tcBorders>
            <w:vAlign w:val="center"/>
          </w:tcPr>
          <w:p w14:paraId="5F7C4068" w14:textId="77777777" w:rsidR="00B14D53" w:rsidRDefault="00000000">
            <w:pPr>
              <w:spacing w:line="0" w:lineRule="atLeast"/>
              <w:jc w:val="center"/>
              <w:rPr>
                <w:rFonts w:eastAsiaTheme="minorEastAsia"/>
                <w:bCs/>
                <w:kern w:val="0"/>
                <w:szCs w:val="21"/>
              </w:rPr>
            </w:pPr>
            <w:r>
              <w:rPr>
                <w:rFonts w:eastAsiaTheme="minorEastAsia"/>
                <w:bCs/>
                <w:kern w:val="0"/>
                <w:szCs w:val="21"/>
              </w:rPr>
              <w:t>CALPUFF□</w:t>
            </w:r>
          </w:p>
        </w:tc>
        <w:tc>
          <w:tcPr>
            <w:tcW w:w="993" w:type="dxa"/>
            <w:gridSpan w:val="3"/>
            <w:tcBorders>
              <w:top w:val="single" w:sz="4" w:space="0" w:color="000000"/>
              <w:left w:val="single" w:sz="4" w:space="0" w:color="000000"/>
              <w:bottom w:val="single" w:sz="4" w:space="0" w:color="000000"/>
              <w:right w:val="single" w:sz="4" w:space="0" w:color="000000"/>
            </w:tcBorders>
            <w:vAlign w:val="center"/>
          </w:tcPr>
          <w:p w14:paraId="3CBFC7D3" w14:textId="77777777" w:rsidR="00B14D53" w:rsidRDefault="00000000">
            <w:pPr>
              <w:spacing w:line="0" w:lineRule="atLeast"/>
              <w:jc w:val="center"/>
              <w:rPr>
                <w:rFonts w:eastAsiaTheme="minorEastAsia"/>
                <w:bCs/>
                <w:kern w:val="0"/>
                <w:szCs w:val="21"/>
              </w:rPr>
            </w:pPr>
            <w:r>
              <w:rPr>
                <w:rFonts w:eastAsiaTheme="minorEastAsia"/>
                <w:bCs/>
                <w:kern w:val="0"/>
                <w:szCs w:val="21"/>
              </w:rPr>
              <w:t>网格模型</w:t>
            </w:r>
            <w:r>
              <w:rPr>
                <w:rFonts w:eastAsiaTheme="minorEastAsia"/>
                <w:bCs/>
                <w:kern w:val="0"/>
                <w:szCs w:val="21"/>
              </w:rPr>
              <w:t>□</w:t>
            </w:r>
          </w:p>
        </w:tc>
        <w:tc>
          <w:tcPr>
            <w:tcW w:w="1083" w:type="dxa"/>
            <w:tcBorders>
              <w:top w:val="single" w:sz="4" w:space="0" w:color="000000"/>
              <w:left w:val="single" w:sz="4" w:space="0" w:color="000000"/>
              <w:bottom w:val="single" w:sz="4" w:space="0" w:color="000000"/>
              <w:right w:val="single" w:sz="12" w:space="0" w:color="000000"/>
            </w:tcBorders>
            <w:vAlign w:val="center"/>
          </w:tcPr>
          <w:p w14:paraId="2461AEAA" w14:textId="77777777" w:rsidR="00B14D53" w:rsidRDefault="00000000">
            <w:pPr>
              <w:spacing w:line="0" w:lineRule="atLeast"/>
              <w:jc w:val="center"/>
              <w:rPr>
                <w:rFonts w:eastAsiaTheme="minorEastAsia"/>
                <w:bCs/>
                <w:kern w:val="0"/>
                <w:szCs w:val="21"/>
              </w:rPr>
            </w:pPr>
            <w:r>
              <w:rPr>
                <w:rFonts w:eastAsiaTheme="minorEastAsia"/>
                <w:bCs/>
                <w:kern w:val="0"/>
                <w:szCs w:val="21"/>
              </w:rPr>
              <w:t>其他</w:t>
            </w:r>
            <w:r>
              <w:rPr>
                <w:rFonts w:eastAsiaTheme="minorEastAsia"/>
                <w:bCs/>
                <w:kern w:val="0"/>
                <w:szCs w:val="21"/>
              </w:rPr>
              <w:t>□</w:t>
            </w:r>
          </w:p>
        </w:tc>
      </w:tr>
      <w:tr w:rsidR="00B14D53" w14:paraId="6B43501E"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24761333"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60CB64B1" w14:textId="77777777" w:rsidR="00B14D53" w:rsidRDefault="00000000">
            <w:pPr>
              <w:spacing w:line="0" w:lineRule="atLeast"/>
              <w:jc w:val="center"/>
              <w:rPr>
                <w:rFonts w:eastAsiaTheme="minorEastAsia"/>
                <w:bCs/>
                <w:kern w:val="0"/>
                <w:szCs w:val="21"/>
              </w:rPr>
            </w:pPr>
            <w:r>
              <w:rPr>
                <w:rFonts w:eastAsiaTheme="minorEastAsia"/>
                <w:bCs/>
                <w:kern w:val="0"/>
                <w:szCs w:val="21"/>
              </w:rPr>
              <w:t>预测范围</w:t>
            </w:r>
          </w:p>
        </w:tc>
        <w:tc>
          <w:tcPr>
            <w:tcW w:w="1636" w:type="dxa"/>
            <w:gridSpan w:val="6"/>
            <w:tcBorders>
              <w:top w:val="single" w:sz="4" w:space="0" w:color="000000"/>
              <w:left w:val="single" w:sz="4" w:space="0" w:color="000000"/>
              <w:bottom w:val="single" w:sz="4" w:space="0" w:color="000000"/>
              <w:right w:val="single" w:sz="4" w:space="0" w:color="000000"/>
            </w:tcBorders>
            <w:vAlign w:val="center"/>
          </w:tcPr>
          <w:p w14:paraId="75E2B9FB" w14:textId="77777777" w:rsidR="00B14D53" w:rsidRDefault="00000000">
            <w:pPr>
              <w:spacing w:line="0" w:lineRule="atLeast"/>
              <w:jc w:val="center"/>
              <w:rPr>
                <w:rFonts w:eastAsiaTheme="minorEastAsia"/>
                <w:bCs/>
                <w:kern w:val="0"/>
                <w:szCs w:val="21"/>
              </w:rPr>
            </w:pPr>
            <w:r>
              <w:rPr>
                <w:rFonts w:eastAsiaTheme="minorEastAsia"/>
                <w:bCs/>
                <w:kern w:val="0"/>
                <w:szCs w:val="21"/>
              </w:rPr>
              <w:t>边长</w:t>
            </w:r>
            <w:r>
              <w:rPr>
                <w:rFonts w:eastAsiaTheme="minorEastAsia"/>
                <w:bCs/>
                <w:kern w:val="0"/>
                <w:szCs w:val="21"/>
              </w:rPr>
              <w:t>≥50km□</w:t>
            </w:r>
          </w:p>
        </w:tc>
        <w:tc>
          <w:tcPr>
            <w:tcW w:w="2945" w:type="dxa"/>
            <w:gridSpan w:val="11"/>
            <w:tcBorders>
              <w:top w:val="single" w:sz="4" w:space="0" w:color="000000"/>
              <w:left w:val="single" w:sz="4" w:space="0" w:color="000000"/>
              <w:bottom w:val="single" w:sz="4" w:space="0" w:color="000000"/>
              <w:right w:val="single" w:sz="4" w:space="0" w:color="000000"/>
            </w:tcBorders>
            <w:vAlign w:val="center"/>
          </w:tcPr>
          <w:p w14:paraId="1605D0AA" w14:textId="77777777" w:rsidR="00B14D53" w:rsidRDefault="00000000">
            <w:pPr>
              <w:spacing w:line="0" w:lineRule="atLeast"/>
              <w:jc w:val="center"/>
              <w:rPr>
                <w:rFonts w:eastAsiaTheme="minorEastAsia"/>
                <w:bCs/>
                <w:kern w:val="0"/>
                <w:szCs w:val="21"/>
              </w:rPr>
            </w:pPr>
            <w:r>
              <w:rPr>
                <w:rFonts w:eastAsiaTheme="minorEastAsia"/>
                <w:bCs/>
                <w:kern w:val="0"/>
                <w:szCs w:val="21"/>
              </w:rPr>
              <w:t>边长</w:t>
            </w:r>
            <w:r>
              <w:rPr>
                <w:rFonts w:eastAsiaTheme="minorEastAsia"/>
                <w:bCs/>
                <w:kern w:val="0"/>
                <w:szCs w:val="21"/>
              </w:rPr>
              <w:t>5~50km□</w:t>
            </w:r>
          </w:p>
        </w:tc>
        <w:tc>
          <w:tcPr>
            <w:tcW w:w="2110" w:type="dxa"/>
            <w:gridSpan w:val="5"/>
            <w:tcBorders>
              <w:top w:val="single" w:sz="4" w:space="0" w:color="000000"/>
              <w:left w:val="single" w:sz="4" w:space="0" w:color="000000"/>
              <w:bottom w:val="single" w:sz="4" w:space="0" w:color="000000"/>
              <w:right w:val="single" w:sz="12" w:space="0" w:color="000000"/>
            </w:tcBorders>
            <w:vAlign w:val="center"/>
          </w:tcPr>
          <w:p w14:paraId="7822D49C" w14:textId="77777777" w:rsidR="00B14D53" w:rsidRDefault="00000000">
            <w:pPr>
              <w:spacing w:line="0" w:lineRule="atLeast"/>
              <w:jc w:val="center"/>
              <w:rPr>
                <w:rFonts w:eastAsiaTheme="minorEastAsia"/>
                <w:bCs/>
                <w:kern w:val="0"/>
                <w:szCs w:val="21"/>
              </w:rPr>
            </w:pPr>
            <w:r>
              <w:rPr>
                <w:rFonts w:eastAsiaTheme="minorEastAsia"/>
                <w:bCs/>
                <w:kern w:val="0"/>
                <w:szCs w:val="21"/>
              </w:rPr>
              <w:t>边长</w:t>
            </w:r>
            <w:r>
              <w:rPr>
                <w:rFonts w:eastAsiaTheme="minorEastAsia"/>
                <w:bCs/>
                <w:kern w:val="0"/>
                <w:szCs w:val="21"/>
              </w:rPr>
              <w:t>=5km□</w:t>
            </w:r>
          </w:p>
        </w:tc>
      </w:tr>
      <w:tr w:rsidR="00B14D53" w14:paraId="39B75485"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10657B06"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202D4CDB" w14:textId="77777777" w:rsidR="00B14D53" w:rsidRDefault="00000000">
            <w:pPr>
              <w:spacing w:line="0" w:lineRule="atLeast"/>
              <w:jc w:val="center"/>
              <w:rPr>
                <w:rFonts w:eastAsiaTheme="minorEastAsia"/>
                <w:bCs/>
                <w:kern w:val="0"/>
                <w:szCs w:val="21"/>
              </w:rPr>
            </w:pPr>
            <w:r>
              <w:rPr>
                <w:rFonts w:eastAsiaTheme="minorEastAsia"/>
                <w:bCs/>
                <w:kern w:val="0"/>
                <w:szCs w:val="21"/>
              </w:rPr>
              <w:t>预测因子</w:t>
            </w:r>
          </w:p>
        </w:tc>
        <w:tc>
          <w:tcPr>
            <w:tcW w:w="3623" w:type="dxa"/>
            <w:gridSpan w:val="13"/>
            <w:tcBorders>
              <w:top w:val="single" w:sz="4" w:space="0" w:color="000000"/>
              <w:left w:val="single" w:sz="4" w:space="0" w:color="000000"/>
              <w:bottom w:val="single" w:sz="4" w:space="0" w:color="000000"/>
              <w:right w:val="single" w:sz="4" w:space="0" w:color="000000"/>
            </w:tcBorders>
            <w:vAlign w:val="center"/>
          </w:tcPr>
          <w:p w14:paraId="04EA1F77" w14:textId="77777777" w:rsidR="00B14D53" w:rsidRDefault="00000000">
            <w:pPr>
              <w:spacing w:line="0" w:lineRule="atLeast"/>
              <w:jc w:val="center"/>
              <w:rPr>
                <w:rFonts w:eastAsiaTheme="minorEastAsia"/>
                <w:bCs/>
                <w:kern w:val="0"/>
                <w:szCs w:val="21"/>
              </w:rPr>
            </w:pPr>
            <w:r>
              <w:rPr>
                <w:rFonts w:eastAsiaTheme="minorEastAsia"/>
                <w:bCs/>
                <w:kern w:val="0"/>
                <w:szCs w:val="21"/>
              </w:rPr>
              <w:t>预测因子（）</w:t>
            </w:r>
          </w:p>
        </w:tc>
        <w:tc>
          <w:tcPr>
            <w:tcW w:w="3068" w:type="dxa"/>
            <w:gridSpan w:val="9"/>
            <w:tcBorders>
              <w:top w:val="single" w:sz="4" w:space="0" w:color="000000"/>
              <w:left w:val="single" w:sz="4" w:space="0" w:color="auto"/>
              <w:bottom w:val="single" w:sz="4" w:space="0" w:color="000000"/>
              <w:right w:val="single" w:sz="12" w:space="0" w:color="000000"/>
            </w:tcBorders>
            <w:vAlign w:val="center"/>
          </w:tcPr>
          <w:p w14:paraId="24C5CAA9" w14:textId="77777777" w:rsidR="00B14D53" w:rsidRDefault="00000000">
            <w:pPr>
              <w:spacing w:line="0" w:lineRule="atLeast"/>
              <w:jc w:val="center"/>
              <w:rPr>
                <w:rFonts w:eastAsiaTheme="minorEastAsia"/>
                <w:bCs/>
                <w:kern w:val="0"/>
                <w:szCs w:val="21"/>
              </w:rPr>
            </w:pPr>
            <w:r>
              <w:rPr>
                <w:rFonts w:eastAsiaTheme="minorEastAsia"/>
                <w:bCs/>
                <w:kern w:val="0"/>
                <w:szCs w:val="21"/>
              </w:rPr>
              <w:t xml:space="preserve">  </w:t>
            </w:r>
            <w:r>
              <w:rPr>
                <w:rFonts w:eastAsiaTheme="minorEastAsia"/>
                <w:bCs/>
                <w:kern w:val="0"/>
                <w:szCs w:val="21"/>
              </w:rPr>
              <w:t>包括二次</w:t>
            </w:r>
            <w:r>
              <w:rPr>
                <w:rFonts w:eastAsiaTheme="minorEastAsia"/>
                <w:bCs/>
                <w:kern w:val="0"/>
                <w:szCs w:val="21"/>
              </w:rPr>
              <w:t>PM</w:t>
            </w:r>
            <w:r>
              <w:rPr>
                <w:rFonts w:eastAsiaTheme="minorEastAsia"/>
                <w:bCs/>
                <w:kern w:val="0"/>
                <w:szCs w:val="21"/>
                <w:vertAlign w:val="subscript"/>
              </w:rPr>
              <w:t>2.5</w:t>
            </w:r>
            <w:r>
              <w:rPr>
                <w:rFonts w:eastAsiaTheme="minorEastAsia"/>
                <w:bCs/>
                <w:kern w:val="0"/>
                <w:szCs w:val="21"/>
              </w:rPr>
              <w:t>□</w:t>
            </w:r>
          </w:p>
          <w:p w14:paraId="52FC723C" w14:textId="77777777" w:rsidR="00B14D53" w:rsidRDefault="00000000">
            <w:pPr>
              <w:spacing w:line="0" w:lineRule="atLeast"/>
              <w:jc w:val="center"/>
              <w:rPr>
                <w:rFonts w:eastAsiaTheme="minorEastAsia"/>
                <w:bCs/>
                <w:kern w:val="0"/>
                <w:szCs w:val="21"/>
              </w:rPr>
            </w:pPr>
            <w:r>
              <w:rPr>
                <w:rFonts w:eastAsiaTheme="minorEastAsia"/>
                <w:bCs/>
                <w:kern w:val="0"/>
                <w:szCs w:val="21"/>
              </w:rPr>
              <w:t>不包括二次</w:t>
            </w:r>
            <w:r>
              <w:rPr>
                <w:rFonts w:eastAsiaTheme="minorEastAsia"/>
                <w:bCs/>
                <w:kern w:val="0"/>
                <w:szCs w:val="21"/>
              </w:rPr>
              <w:t>PM</w:t>
            </w:r>
            <w:r>
              <w:rPr>
                <w:rFonts w:eastAsiaTheme="minorEastAsia"/>
                <w:bCs/>
                <w:kern w:val="0"/>
                <w:szCs w:val="21"/>
                <w:vertAlign w:val="subscript"/>
              </w:rPr>
              <w:t>2.5</w:t>
            </w:r>
            <w:r>
              <w:rPr>
                <w:rFonts w:eastAsiaTheme="minorEastAsia"/>
                <w:bCs/>
                <w:kern w:val="0"/>
                <w:szCs w:val="21"/>
              </w:rPr>
              <w:t>□</w:t>
            </w:r>
          </w:p>
        </w:tc>
      </w:tr>
      <w:tr w:rsidR="00B14D53" w14:paraId="24AB4955"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49323B4C"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2719A94E" w14:textId="77777777" w:rsidR="00B14D53" w:rsidRDefault="00000000">
            <w:pPr>
              <w:spacing w:line="0" w:lineRule="atLeast"/>
              <w:jc w:val="center"/>
              <w:rPr>
                <w:rFonts w:eastAsiaTheme="minorEastAsia"/>
                <w:bCs/>
                <w:kern w:val="0"/>
                <w:szCs w:val="21"/>
              </w:rPr>
            </w:pPr>
            <w:r>
              <w:rPr>
                <w:rFonts w:eastAsiaTheme="minorEastAsia"/>
                <w:bCs/>
                <w:kern w:val="0"/>
                <w:szCs w:val="21"/>
              </w:rPr>
              <w:t>正常排放短期浓度贡献值</w:t>
            </w:r>
          </w:p>
        </w:tc>
        <w:tc>
          <w:tcPr>
            <w:tcW w:w="3623" w:type="dxa"/>
            <w:gridSpan w:val="13"/>
            <w:tcBorders>
              <w:top w:val="single" w:sz="4" w:space="0" w:color="000000"/>
              <w:left w:val="single" w:sz="4" w:space="0" w:color="000000"/>
              <w:bottom w:val="single" w:sz="4" w:space="0" w:color="000000"/>
              <w:right w:val="single" w:sz="4" w:space="0" w:color="000000"/>
            </w:tcBorders>
            <w:vAlign w:val="center"/>
          </w:tcPr>
          <w:p w14:paraId="1E80CEE2"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本项目</w:t>
            </w:r>
            <w:r>
              <w:rPr>
                <w:rFonts w:eastAsiaTheme="minorEastAsia"/>
                <w:bCs/>
                <w:kern w:val="0"/>
                <w:szCs w:val="21"/>
              </w:rPr>
              <w:t>最大占标率</w:t>
            </w:r>
            <w:r>
              <w:rPr>
                <w:rFonts w:eastAsiaTheme="minorEastAsia"/>
                <w:bCs/>
                <w:kern w:val="0"/>
                <w:szCs w:val="21"/>
              </w:rPr>
              <w:t>≤100%□</w:t>
            </w:r>
          </w:p>
        </w:tc>
        <w:tc>
          <w:tcPr>
            <w:tcW w:w="3068" w:type="dxa"/>
            <w:gridSpan w:val="9"/>
            <w:tcBorders>
              <w:top w:val="single" w:sz="4" w:space="0" w:color="000000"/>
              <w:left w:val="single" w:sz="4" w:space="0" w:color="auto"/>
              <w:bottom w:val="single" w:sz="4" w:space="0" w:color="000000"/>
              <w:right w:val="single" w:sz="12" w:space="0" w:color="000000"/>
            </w:tcBorders>
            <w:vAlign w:val="center"/>
          </w:tcPr>
          <w:p w14:paraId="4E8D7AC2"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本项目</w:t>
            </w:r>
            <w:r>
              <w:rPr>
                <w:rFonts w:eastAsiaTheme="minorEastAsia"/>
                <w:bCs/>
                <w:kern w:val="0"/>
                <w:szCs w:val="21"/>
              </w:rPr>
              <w:t>最大占标率</w:t>
            </w:r>
            <w:r>
              <w:rPr>
                <w:rFonts w:eastAsiaTheme="minorEastAsia"/>
                <w:bCs/>
                <w:kern w:val="0"/>
                <w:szCs w:val="21"/>
              </w:rPr>
              <w:t>&gt;100%□</w:t>
            </w:r>
          </w:p>
        </w:tc>
      </w:tr>
      <w:tr w:rsidR="00B14D53" w14:paraId="6A73AEC0"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5A290816" w14:textId="77777777" w:rsidR="00B14D53" w:rsidRDefault="00B14D53">
            <w:pPr>
              <w:widowControl/>
              <w:jc w:val="left"/>
              <w:rPr>
                <w:rFonts w:eastAsiaTheme="minorEastAsia"/>
                <w:bCs/>
                <w:kern w:val="0"/>
                <w:szCs w:val="21"/>
              </w:rPr>
            </w:pPr>
          </w:p>
        </w:tc>
        <w:tc>
          <w:tcPr>
            <w:tcW w:w="1798" w:type="dxa"/>
            <w:vMerge w:val="restart"/>
            <w:tcBorders>
              <w:top w:val="single" w:sz="4" w:space="0" w:color="000000"/>
              <w:left w:val="single" w:sz="4" w:space="0" w:color="000000"/>
              <w:bottom w:val="single" w:sz="4" w:space="0" w:color="000000"/>
              <w:right w:val="single" w:sz="4" w:space="0" w:color="000000"/>
            </w:tcBorders>
            <w:vAlign w:val="center"/>
          </w:tcPr>
          <w:p w14:paraId="73281565" w14:textId="77777777" w:rsidR="00B14D53" w:rsidRDefault="00000000">
            <w:pPr>
              <w:spacing w:line="0" w:lineRule="atLeast"/>
              <w:jc w:val="center"/>
              <w:rPr>
                <w:rFonts w:eastAsiaTheme="minorEastAsia"/>
                <w:bCs/>
                <w:kern w:val="0"/>
                <w:szCs w:val="21"/>
              </w:rPr>
            </w:pPr>
            <w:r>
              <w:rPr>
                <w:rFonts w:eastAsiaTheme="minorEastAsia"/>
                <w:bCs/>
                <w:kern w:val="0"/>
                <w:szCs w:val="21"/>
              </w:rPr>
              <w:t>正常排放年均浓度贡献值</w:t>
            </w:r>
          </w:p>
        </w:tc>
        <w:tc>
          <w:tcPr>
            <w:tcW w:w="940" w:type="dxa"/>
            <w:tcBorders>
              <w:top w:val="single" w:sz="4" w:space="0" w:color="000000"/>
              <w:left w:val="single" w:sz="4" w:space="0" w:color="000000"/>
              <w:bottom w:val="single" w:sz="4" w:space="0" w:color="000000"/>
              <w:right w:val="single" w:sz="4" w:space="0" w:color="000000"/>
            </w:tcBorders>
            <w:vAlign w:val="center"/>
          </w:tcPr>
          <w:p w14:paraId="63C9C8FD" w14:textId="77777777" w:rsidR="00B14D53" w:rsidRDefault="00000000">
            <w:pPr>
              <w:spacing w:line="0" w:lineRule="atLeast"/>
              <w:jc w:val="center"/>
              <w:rPr>
                <w:rFonts w:eastAsiaTheme="minorEastAsia"/>
                <w:bCs/>
                <w:kern w:val="0"/>
                <w:szCs w:val="21"/>
              </w:rPr>
            </w:pPr>
            <w:r>
              <w:rPr>
                <w:rFonts w:eastAsiaTheme="minorEastAsia"/>
                <w:bCs/>
                <w:kern w:val="0"/>
                <w:szCs w:val="21"/>
              </w:rPr>
              <w:t>一类区</w:t>
            </w:r>
          </w:p>
        </w:tc>
        <w:tc>
          <w:tcPr>
            <w:tcW w:w="2693" w:type="dxa"/>
            <w:gridSpan w:val="13"/>
            <w:tcBorders>
              <w:top w:val="single" w:sz="4" w:space="0" w:color="000000"/>
              <w:left w:val="single" w:sz="4" w:space="0" w:color="000000"/>
              <w:bottom w:val="single" w:sz="4" w:space="0" w:color="000000"/>
              <w:right w:val="single" w:sz="4" w:space="0" w:color="000000"/>
            </w:tcBorders>
            <w:vAlign w:val="center"/>
          </w:tcPr>
          <w:p w14:paraId="4F307125"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本项目</w:t>
            </w:r>
            <w:r>
              <w:rPr>
                <w:rFonts w:eastAsiaTheme="minorEastAsia"/>
                <w:bCs/>
                <w:kern w:val="0"/>
                <w:szCs w:val="21"/>
              </w:rPr>
              <w:t>最大占标率</w:t>
            </w:r>
            <w:r>
              <w:rPr>
                <w:rFonts w:eastAsiaTheme="minorEastAsia"/>
                <w:bCs/>
                <w:kern w:val="0"/>
                <w:szCs w:val="21"/>
              </w:rPr>
              <w:t>≤10%□</w:t>
            </w:r>
          </w:p>
        </w:tc>
        <w:tc>
          <w:tcPr>
            <w:tcW w:w="3058" w:type="dxa"/>
            <w:gridSpan w:val="8"/>
            <w:tcBorders>
              <w:top w:val="single" w:sz="4" w:space="0" w:color="000000"/>
              <w:left w:val="single" w:sz="4" w:space="0" w:color="000000"/>
              <w:bottom w:val="single" w:sz="4" w:space="0" w:color="000000"/>
              <w:right w:val="single" w:sz="12" w:space="0" w:color="000000"/>
            </w:tcBorders>
            <w:vAlign w:val="center"/>
          </w:tcPr>
          <w:p w14:paraId="10716D1D"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本项目</w:t>
            </w:r>
            <w:r>
              <w:rPr>
                <w:rFonts w:eastAsiaTheme="minorEastAsia"/>
                <w:bCs/>
                <w:kern w:val="0"/>
                <w:szCs w:val="21"/>
              </w:rPr>
              <w:t>最大占标率</w:t>
            </w:r>
            <w:r>
              <w:rPr>
                <w:rFonts w:eastAsiaTheme="minorEastAsia"/>
                <w:bCs/>
                <w:kern w:val="0"/>
                <w:szCs w:val="21"/>
              </w:rPr>
              <w:t>&gt;10%□</w:t>
            </w:r>
          </w:p>
        </w:tc>
      </w:tr>
      <w:tr w:rsidR="00B14D53" w14:paraId="17DBE3B7"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7303E4F2" w14:textId="77777777" w:rsidR="00B14D53" w:rsidRDefault="00B14D53">
            <w:pPr>
              <w:widowControl/>
              <w:jc w:val="left"/>
              <w:rPr>
                <w:rFonts w:eastAsiaTheme="minorEastAsia"/>
                <w:bCs/>
                <w:kern w:val="0"/>
                <w:szCs w:val="21"/>
              </w:rPr>
            </w:pPr>
          </w:p>
        </w:tc>
        <w:tc>
          <w:tcPr>
            <w:tcW w:w="1798" w:type="dxa"/>
            <w:vMerge/>
            <w:tcBorders>
              <w:top w:val="single" w:sz="4" w:space="0" w:color="000000"/>
              <w:left w:val="single" w:sz="4" w:space="0" w:color="000000"/>
              <w:bottom w:val="single" w:sz="4" w:space="0" w:color="000000"/>
              <w:right w:val="single" w:sz="4" w:space="0" w:color="000000"/>
            </w:tcBorders>
            <w:vAlign w:val="center"/>
          </w:tcPr>
          <w:p w14:paraId="77731903" w14:textId="77777777" w:rsidR="00B14D53" w:rsidRDefault="00B14D53">
            <w:pPr>
              <w:widowControl/>
              <w:jc w:val="left"/>
              <w:rPr>
                <w:rFonts w:eastAsiaTheme="minorEastAsia"/>
                <w:bCs/>
                <w:kern w:val="0"/>
                <w:szCs w:val="21"/>
              </w:rPr>
            </w:pPr>
          </w:p>
        </w:tc>
        <w:tc>
          <w:tcPr>
            <w:tcW w:w="940" w:type="dxa"/>
            <w:tcBorders>
              <w:top w:val="single" w:sz="4" w:space="0" w:color="000000"/>
              <w:left w:val="single" w:sz="4" w:space="0" w:color="000000"/>
              <w:bottom w:val="single" w:sz="4" w:space="0" w:color="000000"/>
              <w:right w:val="single" w:sz="4" w:space="0" w:color="000000"/>
            </w:tcBorders>
            <w:vAlign w:val="center"/>
          </w:tcPr>
          <w:p w14:paraId="15938719" w14:textId="77777777" w:rsidR="00B14D53" w:rsidRDefault="00000000">
            <w:pPr>
              <w:spacing w:line="0" w:lineRule="atLeast"/>
              <w:jc w:val="center"/>
              <w:rPr>
                <w:rFonts w:eastAsiaTheme="minorEastAsia"/>
                <w:bCs/>
                <w:kern w:val="0"/>
                <w:szCs w:val="21"/>
              </w:rPr>
            </w:pPr>
            <w:r>
              <w:rPr>
                <w:rFonts w:eastAsiaTheme="minorEastAsia"/>
                <w:bCs/>
                <w:kern w:val="0"/>
                <w:szCs w:val="21"/>
              </w:rPr>
              <w:t>二类区</w:t>
            </w:r>
          </w:p>
        </w:tc>
        <w:tc>
          <w:tcPr>
            <w:tcW w:w="2693" w:type="dxa"/>
            <w:gridSpan w:val="13"/>
            <w:tcBorders>
              <w:top w:val="single" w:sz="4" w:space="0" w:color="000000"/>
              <w:left w:val="single" w:sz="4" w:space="0" w:color="000000"/>
              <w:bottom w:val="single" w:sz="4" w:space="0" w:color="000000"/>
              <w:right w:val="single" w:sz="4" w:space="0" w:color="000000"/>
            </w:tcBorders>
            <w:vAlign w:val="center"/>
          </w:tcPr>
          <w:p w14:paraId="57B27910"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本项目</w:t>
            </w:r>
            <w:r>
              <w:rPr>
                <w:rFonts w:eastAsiaTheme="minorEastAsia"/>
                <w:bCs/>
                <w:kern w:val="0"/>
                <w:szCs w:val="21"/>
              </w:rPr>
              <w:t>最大占标率</w:t>
            </w:r>
            <w:r>
              <w:rPr>
                <w:rFonts w:eastAsiaTheme="minorEastAsia"/>
                <w:bCs/>
                <w:kern w:val="0"/>
                <w:szCs w:val="21"/>
              </w:rPr>
              <w:t>≤30%□</w:t>
            </w:r>
          </w:p>
        </w:tc>
        <w:tc>
          <w:tcPr>
            <w:tcW w:w="3058" w:type="dxa"/>
            <w:gridSpan w:val="8"/>
            <w:tcBorders>
              <w:top w:val="single" w:sz="4" w:space="0" w:color="000000"/>
              <w:left w:val="single" w:sz="4" w:space="0" w:color="000000"/>
              <w:bottom w:val="single" w:sz="4" w:space="0" w:color="000000"/>
              <w:right w:val="single" w:sz="12" w:space="0" w:color="000000"/>
            </w:tcBorders>
            <w:vAlign w:val="center"/>
          </w:tcPr>
          <w:p w14:paraId="74DB3061"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本项目</w:t>
            </w:r>
            <w:r>
              <w:rPr>
                <w:rFonts w:eastAsiaTheme="minorEastAsia"/>
                <w:bCs/>
                <w:kern w:val="0"/>
                <w:szCs w:val="21"/>
              </w:rPr>
              <w:t>最大占标率</w:t>
            </w:r>
            <w:r>
              <w:rPr>
                <w:rFonts w:eastAsiaTheme="minorEastAsia"/>
                <w:bCs/>
                <w:kern w:val="0"/>
                <w:szCs w:val="21"/>
              </w:rPr>
              <w:t>&gt;30%□</w:t>
            </w:r>
          </w:p>
        </w:tc>
      </w:tr>
      <w:tr w:rsidR="00B14D53" w14:paraId="3993CA65"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69BB9B4D"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5D41BF2C" w14:textId="77777777" w:rsidR="00B14D53" w:rsidRDefault="00000000">
            <w:pPr>
              <w:spacing w:line="0" w:lineRule="atLeast"/>
              <w:jc w:val="center"/>
              <w:rPr>
                <w:rFonts w:eastAsiaTheme="minorEastAsia"/>
                <w:bCs/>
                <w:kern w:val="0"/>
                <w:szCs w:val="21"/>
              </w:rPr>
            </w:pPr>
            <w:r>
              <w:rPr>
                <w:rFonts w:eastAsiaTheme="minorEastAsia"/>
                <w:bCs/>
                <w:kern w:val="0"/>
                <w:szCs w:val="21"/>
              </w:rPr>
              <w:t>非正常排放</w:t>
            </w:r>
            <w:r>
              <w:rPr>
                <w:rFonts w:eastAsiaTheme="minorEastAsia"/>
                <w:bCs/>
                <w:kern w:val="0"/>
                <w:szCs w:val="21"/>
              </w:rPr>
              <w:t>1h</w:t>
            </w:r>
            <w:r>
              <w:rPr>
                <w:rFonts w:eastAsiaTheme="minorEastAsia"/>
                <w:bCs/>
                <w:kern w:val="0"/>
                <w:szCs w:val="21"/>
              </w:rPr>
              <w:t>浓度贡献值</w:t>
            </w:r>
          </w:p>
        </w:tc>
        <w:tc>
          <w:tcPr>
            <w:tcW w:w="1361" w:type="dxa"/>
            <w:gridSpan w:val="3"/>
            <w:tcBorders>
              <w:top w:val="single" w:sz="4" w:space="0" w:color="000000"/>
              <w:left w:val="single" w:sz="4" w:space="0" w:color="000000"/>
              <w:bottom w:val="single" w:sz="4" w:space="0" w:color="000000"/>
              <w:right w:val="single" w:sz="4" w:space="0" w:color="000000"/>
            </w:tcBorders>
            <w:vAlign w:val="center"/>
          </w:tcPr>
          <w:p w14:paraId="3E4FF1E5" w14:textId="77777777" w:rsidR="00B14D53" w:rsidRDefault="00000000">
            <w:pPr>
              <w:spacing w:line="0" w:lineRule="atLeast"/>
              <w:jc w:val="center"/>
              <w:rPr>
                <w:rFonts w:eastAsiaTheme="minorEastAsia"/>
                <w:bCs/>
                <w:kern w:val="0"/>
                <w:szCs w:val="21"/>
              </w:rPr>
            </w:pPr>
            <w:r>
              <w:rPr>
                <w:rFonts w:eastAsiaTheme="minorEastAsia"/>
                <w:bCs/>
                <w:kern w:val="0"/>
                <w:szCs w:val="21"/>
              </w:rPr>
              <w:t>非正常持续时长（）</w:t>
            </w:r>
            <w:r>
              <w:rPr>
                <w:rFonts w:eastAsiaTheme="minorEastAsia"/>
                <w:bCs/>
                <w:kern w:val="0"/>
                <w:szCs w:val="21"/>
              </w:rPr>
              <w:t>h</w:t>
            </w:r>
          </w:p>
        </w:tc>
        <w:tc>
          <w:tcPr>
            <w:tcW w:w="2272" w:type="dxa"/>
            <w:gridSpan w:val="11"/>
            <w:tcBorders>
              <w:top w:val="single" w:sz="4" w:space="0" w:color="000000"/>
              <w:left w:val="single" w:sz="4" w:space="0" w:color="000000"/>
              <w:bottom w:val="single" w:sz="4" w:space="0" w:color="000000"/>
              <w:right w:val="single" w:sz="4" w:space="0" w:color="000000"/>
            </w:tcBorders>
            <w:vAlign w:val="center"/>
          </w:tcPr>
          <w:p w14:paraId="1BFFC226"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非正常</w:t>
            </w:r>
            <w:r>
              <w:rPr>
                <w:rFonts w:eastAsiaTheme="minorEastAsia"/>
                <w:bCs/>
                <w:kern w:val="0"/>
                <w:szCs w:val="21"/>
              </w:rPr>
              <w:t>占标率</w:t>
            </w:r>
            <w:r>
              <w:rPr>
                <w:rFonts w:eastAsiaTheme="minorEastAsia"/>
                <w:bCs/>
                <w:kern w:val="0"/>
                <w:szCs w:val="21"/>
              </w:rPr>
              <w:t>≤100%□</w:t>
            </w:r>
          </w:p>
        </w:tc>
        <w:tc>
          <w:tcPr>
            <w:tcW w:w="3058" w:type="dxa"/>
            <w:gridSpan w:val="8"/>
            <w:tcBorders>
              <w:top w:val="single" w:sz="4" w:space="0" w:color="000000"/>
              <w:left w:val="single" w:sz="4" w:space="0" w:color="000000"/>
              <w:bottom w:val="single" w:sz="4" w:space="0" w:color="000000"/>
              <w:right w:val="single" w:sz="12" w:space="0" w:color="000000"/>
            </w:tcBorders>
            <w:vAlign w:val="center"/>
          </w:tcPr>
          <w:p w14:paraId="3DC7EB1F"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非正常</w:t>
            </w:r>
            <w:r>
              <w:rPr>
                <w:rFonts w:eastAsiaTheme="minorEastAsia"/>
                <w:bCs/>
                <w:kern w:val="0"/>
                <w:szCs w:val="21"/>
              </w:rPr>
              <w:t>占标率</w:t>
            </w:r>
            <w:r>
              <w:rPr>
                <w:rFonts w:eastAsiaTheme="minorEastAsia"/>
                <w:bCs/>
                <w:kern w:val="0"/>
                <w:szCs w:val="21"/>
              </w:rPr>
              <w:t>&gt;100%□</w:t>
            </w:r>
          </w:p>
        </w:tc>
      </w:tr>
      <w:tr w:rsidR="00B14D53" w14:paraId="4D85C276"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75C85F20"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22F6580C" w14:textId="77777777" w:rsidR="00B14D53" w:rsidRDefault="00000000">
            <w:pPr>
              <w:spacing w:line="0" w:lineRule="atLeast"/>
              <w:jc w:val="center"/>
              <w:rPr>
                <w:rFonts w:eastAsiaTheme="minorEastAsia"/>
                <w:bCs/>
                <w:kern w:val="0"/>
                <w:szCs w:val="21"/>
              </w:rPr>
            </w:pPr>
            <w:r>
              <w:rPr>
                <w:rFonts w:eastAsiaTheme="minorEastAsia"/>
                <w:bCs/>
                <w:kern w:val="0"/>
                <w:szCs w:val="21"/>
              </w:rPr>
              <w:t>保证率日平均浓度和年平均浓度叠加值</w:t>
            </w:r>
          </w:p>
        </w:tc>
        <w:tc>
          <w:tcPr>
            <w:tcW w:w="3134" w:type="dxa"/>
            <w:gridSpan w:val="10"/>
            <w:tcBorders>
              <w:top w:val="single" w:sz="4" w:space="0" w:color="000000"/>
              <w:left w:val="single" w:sz="4" w:space="0" w:color="000000"/>
              <w:bottom w:val="single" w:sz="4" w:space="0" w:color="000000"/>
              <w:right w:val="single" w:sz="4" w:space="0" w:color="000000"/>
            </w:tcBorders>
            <w:vAlign w:val="center"/>
          </w:tcPr>
          <w:p w14:paraId="5F9C7CEE"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叠加</w:t>
            </w:r>
            <w:r>
              <w:rPr>
                <w:rFonts w:eastAsiaTheme="minorEastAsia"/>
                <w:bCs/>
                <w:kern w:val="0"/>
                <w:szCs w:val="21"/>
              </w:rPr>
              <w:t>达标</w:t>
            </w:r>
            <w:r>
              <w:rPr>
                <w:rFonts w:eastAsiaTheme="minorEastAsia"/>
                <w:bCs/>
                <w:kern w:val="0"/>
                <w:szCs w:val="21"/>
              </w:rPr>
              <w:t>□</w:t>
            </w:r>
          </w:p>
        </w:tc>
        <w:tc>
          <w:tcPr>
            <w:tcW w:w="3557" w:type="dxa"/>
            <w:gridSpan w:val="12"/>
            <w:tcBorders>
              <w:top w:val="single" w:sz="4" w:space="0" w:color="000000"/>
              <w:left w:val="single" w:sz="4" w:space="0" w:color="000000"/>
              <w:bottom w:val="single" w:sz="4" w:space="0" w:color="000000"/>
              <w:right w:val="single" w:sz="12" w:space="0" w:color="000000"/>
            </w:tcBorders>
            <w:vAlign w:val="center"/>
          </w:tcPr>
          <w:p w14:paraId="1171959F" w14:textId="77777777" w:rsidR="00B14D53" w:rsidRDefault="00000000">
            <w:pPr>
              <w:spacing w:line="0" w:lineRule="atLeast"/>
              <w:jc w:val="center"/>
              <w:rPr>
                <w:rFonts w:eastAsiaTheme="minorEastAsia"/>
                <w:bCs/>
                <w:kern w:val="0"/>
                <w:szCs w:val="21"/>
              </w:rPr>
            </w:pPr>
            <w:r>
              <w:rPr>
                <w:rFonts w:eastAsiaTheme="minorEastAsia"/>
                <w:bCs/>
                <w:kern w:val="0"/>
                <w:szCs w:val="21"/>
              </w:rPr>
              <w:t>C</w:t>
            </w:r>
            <w:r>
              <w:rPr>
                <w:rFonts w:eastAsiaTheme="minorEastAsia"/>
                <w:bCs/>
                <w:kern w:val="0"/>
                <w:szCs w:val="21"/>
                <w:vertAlign w:val="subscript"/>
              </w:rPr>
              <w:t>叠加</w:t>
            </w:r>
            <w:r>
              <w:rPr>
                <w:rFonts w:eastAsiaTheme="minorEastAsia"/>
                <w:bCs/>
                <w:kern w:val="0"/>
                <w:szCs w:val="21"/>
              </w:rPr>
              <w:t>不达标</w:t>
            </w:r>
            <w:r>
              <w:rPr>
                <w:rFonts w:eastAsiaTheme="minorEastAsia"/>
                <w:bCs/>
                <w:kern w:val="0"/>
                <w:szCs w:val="21"/>
              </w:rPr>
              <w:t>□</w:t>
            </w:r>
          </w:p>
        </w:tc>
      </w:tr>
      <w:tr w:rsidR="00B14D53" w14:paraId="1BEAFABC"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1F821092"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5BC27380" w14:textId="77777777" w:rsidR="00B14D53" w:rsidRDefault="00000000">
            <w:pPr>
              <w:spacing w:line="0" w:lineRule="atLeast"/>
              <w:jc w:val="center"/>
              <w:rPr>
                <w:rFonts w:eastAsiaTheme="minorEastAsia"/>
                <w:bCs/>
                <w:kern w:val="0"/>
                <w:szCs w:val="21"/>
              </w:rPr>
            </w:pPr>
            <w:r>
              <w:rPr>
                <w:rFonts w:eastAsiaTheme="minorEastAsia"/>
                <w:bCs/>
                <w:kern w:val="0"/>
                <w:szCs w:val="21"/>
              </w:rPr>
              <w:t>区域环境质量的整体变化情况</w:t>
            </w:r>
          </w:p>
        </w:tc>
        <w:tc>
          <w:tcPr>
            <w:tcW w:w="3134" w:type="dxa"/>
            <w:gridSpan w:val="10"/>
            <w:tcBorders>
              <w:top w:val="single" w:sz="4" w:space="0" w:color="000000"/>
              <w:left w:val="single" w:sz="4" w:space="0" w:color="000000"/>
              <w:bottom w:val="single" w:sz="4" w:space="0" w:color="000000"/>
              <w:right w:val="single" w:sz="4" w:space="0" w:color="000000"/>
            </w:tcBorders>
            <w:vAlign w:val="center"/>
          </w:tcPr>
          <w:p w14:paraId="4DD5D3C2" w14:textId="77777777" w:rsidR="00B14D53" w:rsidRDefault="00000000">
            <w:pPr>
              <w:spacing w:line="0" w:lineRule="atLeast"/>
              <w:jc w:val="center"/>
              <w:rPr>
                <w:rFonts w:eastAsiaTheme="minorEastAsia"/>
                <w:bCs/>
                <w:kern w:val="0"/>
                <w:szCs w:val="21"/>
              </w:rPr>
            </w:pPr>
            <w:r>
              <w:rPr>
                <w:rFonts w:eastAsiaTheme="minorEastAsia"/>
                <w:bCs/>
                <w:kern w:val="0"/>
                <w:szCs w:val="21"/>
              </w:rPr>
              <w:t>k≤-20%□</w:t>
            </w:r>
          </w:p>
        </w:tc>
        <w:tc>
          <w:tcPr>
            <w:tcW w:w="3557" w:type="dxa"/>
            <w:gridSpan w:val="12"/>
            <w:tcBorders>
              <w:top w:val="single" w:sz="4" w:space="0" w:color="000000"/>
              <w:left w:val="single" w:sz="4" w:space="0" w:color="000000"/>
              <w:bottom w:val="single" w:sz="4" w:space="0" w:color="000000"/>
              <w:right w:val="single" w:sz="12" w:space="0" w:color="000000"/>
            </w:tcBorders>
            <w:vAlign w:val="center"/>
          </w:tcPr>
          <w:p w14:paraId="1F29A6A6" w14:textId="77777777" w:rsidR="00B14D53" w:rsidRDefault="00000000">
            <w:pPr>
              <w:spacing w:line="0" w:lineRule="atLeast"/>
              <w:jc w:val="center"/>
              <w:rPr>
                <w:rFonts w:eastAsiaTheme="minorEastAsia"/>
                <w:bCs/>
                <w:kern w:val="0"/>
                <w:szCs w:val="21"/>
              </w:rPr>
            </w:pPr>
            <w:r>
              <w:rPr>
                <w:rFonts w:eastAsiaTheme="minorEastAsia"/>
                <w:bCs/>
                <w:kern w:val="0"/>
                <w:szCs w:val="21"/>
              </w:rPr>
              <w:t>k&gt;-20%□</w:t>
            </w:r>
          </w:p>
        </w:tc>
      </w:tr>
      <w:tr w:rsidR="00B14D53" w14:paraId="3291AA69" w14:textId="77777777">
        <w:trPr>
          <w:jc w:val="center"/>
        </w:trPr>
        <w:tc>
          <w:tcPr>
            <w:tcW w:w="751" w:type="dxa"/>
            <w:vMerge w:val="restart"/>
            <w:tcBorders>
              <w:top w:val="single" w:sz="4" w:space="0" w:color="000000"/>
              <w:left w:val="single" w:sz="12" w:space="0" w:color="000000"/>
              <w:bottom w:val="single" w:sz="4" w:space="0" w:color="000000"/>
              <w:right w:val="single" w:sz="4" w:space="0" w:color="000000"/>
            </w:tcBorders>
            <w:vAlign w:val="center"/>
          </w:tcPr>
          <w:p w14:paraId="20A1BC44" w14:textId="77777777" w:rsidR="00B14D53" w:rsidRDefault="00000000">
            <w:pPr>
              <w:spacing w:line="0" w:lineRule="atLeast"/>
              <w:jc w:val="center"/>
              <w:rPr>
                <w:rFonts w:eastAsiaTheme="minorEastAsia"/>
                <w:bCs/>
                <w:kern w:val="0"/>
                <w:szCs w:val="21"/>
              </w:rPr>
            </w:pPr>
            <w:r>
              <w:rPr>
                <w:rFonts w:eastAsiaTheme="minorEastAsia"/>
                <w:bCs/>
                <w:kern w:val="0"/>
                <w:szCs w:val="21"/>
              </w:rPr>
              <w:t>环境监测计划</w:t>
            </w:r>
          </w:p>
        </w:tc>
        <w:tc>
          <w:tcPr>
            <w:tcW w:w="1798" w:type="dxa"/>
            <w:tcBorders>
              <w:top w:val="single" w:sz="4" w:space="0" w:color="000000"/>
              <w:left w:val="single" w:sz="4" w:space="0" w:color="000000"/>
              <w:bottom w:val="single" w:sz="4" w:space="0" w:color="000000"/>
              <w:right w:val="single" w:sz="4" w:space="0" w:color="000000"/>
            </w:tcBorders>
            <w:vAlign w:val="center"/>
          </w:tcPr>
          <w:p w14:paraId="77C0387E" w14:textId="77777777" w:rsidR="00B14D53" w:rsidRDefault="00000000">
            <w:pPr>
              <w:spacing w:line="0" w:lineRule="atLeast"/>
              <w:jc w:val="center"/>
              <w:rPr>
                <w:rFonts w:eastAsiaTheme="minorEastAsia"/>
                <w:bCs/>
                <w:kern w:val="0"/>
                <w:szCs w:val="21"/>
              </w:rPr>
            </w:pPr>
            <w:r>
              <w:rPr>
                <w:rFonts w:eastAsiaTheme="minorEastAsia"/>
                <w:bCs/>
                <w:kern w:val="0"/>
                <w:szCs w:val="21"/>
              </w:rPr>
              <w:t>污染源监测</w:t>
            </w:r>
          </w:p>
        </w:tc>
        <w:tc>
          <w:tcPr>
            <w:tcW w:w="2212" w:type="dxa"/>
            <w:gridSpan w:val="8"/>
            <w:tcBorders>
              <w:top w:val="single" w:sz="4" w:space="0" w:color="000000"/>
              <w:left w:val="single" w:sz="4" w:space="0" w:color="000000"/>
              <w:bottom w:val="single" w:sz="4" w:space="0" w:color="000000"/>
              <w:right w:val="single" w:sz="4" w:space="0" w:color="000000"/>
            </w:tcBorders>
            <w:vAlign w:val="center"/>
          </w:tcPr>
          <w:p w14:paraId="24443808" w14:textId="77777777" w:rsidR="00B14D53" w:rsidRDefault="00000000">
            <w:pPr>
              <w:spacing w:line="0" w:lineRule="atLeast"/>
              <w:jc w:val="center"/>
              <w:rPr>
                <w:rFonts w:eastAsiaTheme="minorEastAsia"/>
                <w:bCs/>
                <w:kern w:val="0"/>
                <w:szCs w:val="21"/>
              </w:rPr>
            </w:pPr>
            <w:r>
              <w:rPr>
                <w:rFonts w:eastAsiaTheme="minorEastAsia"/>
                <w:bCs/>
                <w:kern w:val="0"/>
                <w:szCs w:val="21"/>
              </w:rPr>
              <w:t>监测因子：（</w:t>
            </w:r>
            <w:r>
              <w:rPr>
                <w:rFonts w:eastAsiaTheme="minorEastAsia"/>
                <w:szCs w:val="21"/>
              </w:rPr>
              <w:t>H</w:t>
            </w:r>
            <w:r>
              <w:rPr>
                <w:rFonts w:eastAsiaTheme="minorEastAsia"/>
                <w:szCs w:val="21"/>
                <w:vertAlign w:val="subscript"/>
              </w:rPr>
              <w:t>2</w:t>
            </w:r>
            <w:r>
              <w:rPr>
                <w:rFonts w:eastAsiaTheme="minorEastAsia"/>
                <w:szCs w:val="21"/>
              </w:rPr>
              <w:t>S</w:t>
            </w:r>
            <w:r>
              <w:rPr>
                <w:rFonts w:eastAsiaTheme="minorEastAsia"/>
                <w:szCs w:val="21"/>
              </w:rPr>
              <w:t>、</w:t>
            </w:r>
            <w:r>
              <w:rPr>
                <w:rFonts w:eastAsiaTheme="minorEastAsia"/>
                <w:szCs w:val="21"/>
              </w:rPr>
              <w:t>NH</w:t>
            </w:r>
            <w:r>
              <w:rPr>
                <w:rFonts w:eastAsiaTheme="minorEastAsia"/>
                <w:szCs w:val="21"/>
                <w:vertAlign w:val="subscript"/>
              </w:rPr>
              <w:t>3</w:t>
            </w:r>
            <w:r>
              <w:rPr>
                <w:rFonts w:eastAsiaTheme="minorEastAsia"/>
                <w:szCs w:val="21"/>
              </w:rPr>
              <w:t>、臭气浓度</w:t>
            </w:r>
            <w:r>
              <w:rPr>
                <w:rFonts w:eastAsiaTheme="minorEastAsia"/>
                <w:bCs/>
                <w:kern w:val="0"/>
                <w:szCs w:val="21"/>
              </w:rPr>
              <w:t>）</w:t>
            </w:r>
          </w:p>
        </w:tc>
        <w:tc>
          <w:tcPr>
            <w:tcW w:w="2369" w:type="dxa"/>
            <w:gridSpan w:val="9"/>
            <w:tcBorders>
              <w:top w:val="single" w:sz="4" w:space="0" w:color="000000"/>
              <w:left w:val="single" w:sz="4" w:space="0" w:color="000000"/>
              <w:bottom w:val="single" w:sz="4" w:space="0" w:color="000000"/>
              <w:right w:val="single" w:sz="4" w:space="0" w:color="000000"/>
            </w:tcBorders>
            <w:vAlign w:val="center"/>
          </w:tcPr>
          <w:p w14:paraId="682640ED" w14:textId="77777777" w:rsidR="00B14D53" w:rsidRDefault="00000000">
            <w:pPr>
              <w:spacing w:line="0" w:lineRule="atLeast"/>
              <w:jc w:val="center"/>
              <w:rPr>
                <w:rFonts w:eastAsiaTheme="minorEastAsia"/>
                <w:bCs/>
                <w:kern w:val="0"/>
                <w:szCs w:val="21"/>
              </w:rPr>
            </w:pPr>
            <w:r>
              <w:rPr>
                <w:rFonts w:eastAsiaTheme="minorEastAsia"/>
                <w:bCs/>
                <w:kern w:val="0"/>
                <w:szCs w:val="21"/>
              </w:rPr>
              <w:t>有组织废气监测</w:t>
            </w:r>
            <w:r>
              <w:rPr>
                <w:rFonts w:eastAsiaTheme="minorEastAsia" w:hint="eastAsia"/>
                <w:bCs/>
                <w:kern w:val="0"/>
                <w:szCs w:val="21"/>
              </w:rPr>
              <w:t>☑</w:t>
            </w:r>
          </w:p>
          <w:p w14:paraId="1E95C2E1" w14:textId="77777777" w:rsidR="00B14D53" w:rsidRDefault="00000000">
            <w:pPr>
              <w:spacing w:line="0" w:lineRule="atLeast"/>
              <w:jc w:val="center"/>
              <w:rPr>
                <w:rFonts w:eastAsiaTheme="minorEastAsia"/>
                <w:bCs/>
                <w:kern w:val="0"/>
                <w:szCs w:val="21"/>
              </w:rPr>
            </w:pPr>
            <w:r>
              <w:rPr>
                <w:rFonts w:eastAsiaTheme="minorEastAsia"/>
                <w:bCs/>
                <w:kern w:val="0"/>
                <w:szCs w:val="21"/>
              </w:rPr>
              <w:t>无组织废气监测</w:t>
            </w:r>
            <w:r>
              <w:rPr>
                <w:rFonts w:eastAsiaTheme="minorEastAsia" w:hint="eastAsia"/>
                <w:bCs/>
                <w:kern w:val="0"/>
                <w:szCs w:val="21"/>
              </w:rPr>
              <w:t>☑</w:t>
            </w:r>
          </w:p>
        </w:tc>
        <w:tc>
          <w:tcPr>
            <w:tcW w:w="2110" w:type="dxa"/>
            <w:gridSpan w:val="5"/>
            <w:tcBorders>
              <w:top w:val="single" w:sz="4" w:space="0" w:color="000000"/>
              <w:left w:val="single" w:sz="4" w:space="0" w:color="000000"/>
              <w:bottom w:val="single" w:sz="4" w:space="0" w:color="000000"/>
              <w:right w:val="single" w:sz="12" w:space="0" w:color="000000"/>
            </w:tcBorders>
            <w:vAlign w:val="center"/>
          </w:tcPr>
          <w:p w14:paraId="7261F219" w14:textId="77777777" w:rsidR="00B14D53" w:rsidRDefault="00000000">
            <w:pPr>
              <w:spacing w:line="0" w:lineRule="atLeast"/>
              <w:jc w:val="center"/>
              <w:rPr>
                <w:rFonts w:eastAsiaTheme="minorEastAsia"/>
                <w:bCs/>
                <w:kern w:val="0"/>
                <w:szCs w:val="21"/>
              </w:rPr>
            </w:pPr>
            <w:r>
              <w:rPr>
                <w:rFonts w:eastAsiaTheme="minorEastAsia"/>
                <w:bCs/>
                <w:kern w:val="0"/>
                <w:szCs w:val="21"/>
              </w:rPr>
              <w:t>无监测</w:t>
            </w:r>
            <w:r>
              <w:rPr>
                <w:rFonts w:eastAsiaTheme="minorEastAsia"/>
                <w:bCs/>
                <w:kern w:val="0"/>
                <w:szCs w:val="21"/>
              </w:rPr>
              <w:t>□</w:t>
            </w:r>
          </w:p>
        </w:tc>
      </w:tr>
      <w:tr w:rsidR="00B14D53" w14:paraId="5B88A881"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19434567"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44CA504B" w14:textId="77777777" w:rsidR="00B14D53" w:rsidRDefault="00000000">
            <w:pPr>
              <w:spacing w:line="0" w:lineRule="atLeast"/>
              <w:jc w:val="center"/>
              <w:rPr>
                <w:rFonts w:eastAsiaTheme="minorEastAsia"/>
                <w:bCs/>
                <w:kern w:val="0"/>
                <w:szCs w:val="21"/>
              </w:rPr>
            </w:pPr>
            <w:r>
              <w:rPr>
                <w:rFonts w:eastAsiaTheme="minorEastAsia"/>
                <w:bCs/>
                <w:kern w:val="0"/>
                <w:szCs w:val="21"/>
              </w:rPr>
              <w:t>环境质量监测</w:t>
            </w:r>
          </w:p>
        </w:tc>
        <w:tc>
          <w:tcPr>
            <w:tcW w:w="2212" w:type="dxa"/>
            <w:gridSpan w:val="8"/>
            <w:tcBorders>
              <w:top w:val="single" w:sz="4" w:space="0" w:color="000000"/>
              <w:left w:val="single" w:sz="4" w:space="0" w:color="000000"/>
              <w:bottom w:val="single" w:sz="4" w:space="0" w:color="000000"/>
              <w:right w:val="single" w:sz="4" w:space="0" w:color="000000"/>
            </w:tcBorders>
            <w:vAlign w:val="center"/>
          </w:tcPr>
          <w:p w14:paraId="207718DA" w14:textId="77777777" w:rsidR="00B14D53" w:rsidRDefault="00000000">
            <w:pPr>
              <w:spacing w:line="0" w:lineRule="atLeast"/>
              <w:jc w:val="center"/>
              <w:rPr>
                <w:rFonts w:eastAsiaTheme="minorEastAsia"/>
                <w:bCs/>
                <w:kern w:val="0"/>
                <w:szCs w:val="21"/>
              </w:rPr>
            </w:pPr>
            <w:r>
              <w:rPr>
                <w:rFonts w:eastAsiaTheme="minorEastAsia"/>
                <w:bCs/>
                <w:kern w:val="0"/>
                <w:szCs w:val="21"/>
              </w:rPr>
              <w:t>监测因子：（</w:t>
            </w:r>
            <w:r>
              <w:rPr>
                <w:rFonts w:eastAsiaTheme="minorEastAsia"/>
                <w:bCs/>
                <w:kern w:val="0"/>
                <w:szCs w:val="21"/>
              </w:rPr>
              <w:t xml:space="preserve"> </w:t>
            </w:r>
            <w:r>
              <w:rPr>
                <w:rFonts w:eastAsiaTheme="minorEastAsia"/>
                <w:bCs/>
                <w:kern w:val="0"/>
                <w:szCs w:val="21"/>
              </w:rPr>
              <w:t>）</w:t>
            </w:r>
          </w:p>
        </w:tc>
        <w:tc>
          <w:tcPr>
            <w:tcW w:w="2369" w:type="dxa"/>
            <w:gridSpan w:val="9"/>
            <w:tcBorders>
              <w:top w:val="single" w:sz="4" w:space="0" w:color="000000"/>
              <w:left w:val="single" w:sz="4" w:space="0" w:color="000000"/>
              <w:bottom w:val="single" w:sz="4" w:space="0" w:color="000000"/>
              <w:right w:val="single" w:sz="4" w:space="0" w:color="000000"/>
            </w:tcBorders>
            <w:vAlign w:val="center"/>
          </w:tcPr>
          <w:p w14:paraId="1401213D" w14:textId="77777777" w:rsidR="00B14D53" w:rsidRDefault="00000000">
            <w:pPr>
              <w:spacing w:line="0" w:lineRule="atLeast"/>
              <w:jc w:val="center"/>
              <w:rPr>
                <w:rFonts w:eastAsiaTheme="minorEastAsia"/>
                <w:bCs/>
                <w:kern w:val="0"/>
                <w:szCs w:val="21"/>
              </w:rPr>
            </w:pPr>
            <w:r>
              <w:rPr>
                <w:rFonts w:eastAsiaTheme="minorEastAsia"/>
                <w:bCs/>
                <w:kern w:val="0"/>
                <w:szCs w:val="21"/>
              </w:rPr>
              <w:t>监测点位数（）</w:t>
            </w:r>
          </w:p>
        </w:tc>
        <w:tc>
          <w:tcPr>
            <w:tcW w:w="2110" w:type="dxa"/>
            <w:gridSpan w:val="5"/>
            <w:tcBorders>
              <w:top w:val="single" w:sz="4" w:space="0" w:color="000000"/>
              <w:left w:val="single" w:sz="4" w:space="0" w:color="000000"/>
              <w:bottom w:val="single" w:sz="4" w:space="0" w:color="000000"/>
              <w:right w:val="single" w:sz="12" w:space="0" w:color="000000"/>
            </w:tcBorders>
            <w:vAlign w:val="center"/>
          </w:tcPr>
          <w:p w14:paraId="0A64E3ED" w14:textId="77777777" w:rsidR="00B14D53" w:rsidRDefault="00000000">
            <w:pPr>
              <w:spacing w:line="0" w:lineRule="atLeast"/>
              <w:jc w:val="center"/>
              <w:rPr>
                <w:rFonts w:eastAsiaTheme="minorEastAsia"/>
                <w:bCs/>
                <w:kern w:val="0"/>
                <w:szCs w:val="21"/>
              </w:rPr>
            </w:pPr>
            <w:r>
              <w:rPr>
                <w:rFonts w:eastAsiaTheme="minorEastAsia"/>
                <w:bCs/>
                <w:kern w:val="0"/>
                <w:szCs w:val="21"/>
              </w:rPr>
              <w:t>无监测</w:t>
            </w:r>
            <w:r>
              <w:rPr>
                <w:rFonts w:eastAsiaTheme="minorEastAsia"/>
                <w:bCs/>
                <w:kern w:val="0"/>
                <w:szCs w:val="21"/>
              </w:rPr>
              <w:t>□</w:t>
            </w:r>
          </w:p>
        </w:tc>
      </w:tr>
      <w:tr w:rsidR="00B14D53" w14:paraId="2423D4D3" w14:textId="77777777">
        <w:trPr>
          <w:jc w:val="center"/>
        </w:trPr>
        <w:tc>
          <w:tcPr>
            <w:tcW w:w="751" w:type="dxa"/>
            <w:tcBorders>
              <w:top w:val="single" w:sz="4" w:space="0" w:color="000000"/>
              <w:left w:val="single" w:sz="12" w:space="0" w:color="000000"/>
              <w:bottom w:val="single" w:sz="4" w:space="0" w:color="000000"/>
              <w:right w:val="single" w:sz="4" w:space="0" w:color="000000"/>
            </w:tcBorders>
            <w:vAlign w:val="center"/>
          </w:tcPr>
          <w:p w14:paraId="24B5398D" w14:textId="77777777" w:rsidR="00B14D53" w:rsidRDefault="00000000">
            <w:pPr>
              <w:spacing w:line="0" w:lineRule="atLeast"/>
              <w:jc w:val="center"/>
              <w:rPr>
                <w:rFonts w:eastAsiaTheme="minorEastAsia"/>
                <w:bCs/>
                <w:kern w:val="0"/>
                <w:szCs w:val="21"/>
              </w:rPr>
            </w:pPr>
            <w:r>
              <w:rPr>
                <w:rFonts w:eastAsiaTheme="minorEastAsia"/>
                <w:bCs/>
                <w:kern w:val="0"/>
                <w:szCs w:val="21"/>
              </w:rPr>
              <w:t>评价结论</w:t>
            </w:r>
          </w:p>
        </w:tc>
        <w:tc>
          <w:tcPr>
            <w:tcW w:w="1798" w:type="dxa"/>
            <w:tcBorders>
              <w:top w:val="single" w:sz="4" w:space="0" w:color="000000"/>
              <w:left w:val="single" w:sz="4" w:space="0" w:color="000000"/>
              <w:bottom w:val="single" w:sz="4" w:space="0" w:color="000000"/>
              <w:right w:val="single" w:sz="4" w:space="0" w:color="000000"/>
            </w:tcBorders>
            <w:vAlign w:val="center"/>
          </w:tcPr>
          <w:p w14:paraId="576DA426" w14:textId="77777777" w:rsidR="00B14D53" w:rsidRDefault="00000000">
            <w:pPr>
              <w:spacing w:line="0" w:lineRule="atLeast"/>
              <w:jc w:val="center"/>
              <w:rPr>
                <w:rFonts w:eastAsiaTheme="minorEastAsia"/>
                <w:bCs/>
                <w:kern w:val="0"/>
                <w:szCs w:val="21"/>
              </w:rPr>
            </w:pPr>
            <w:r>
              <w:rPr>
                <w:rFonts w:eastAsiaTheme="minorEastAsia"/>
                <w:bCs/>
                <w:kern w:val="0"/>
                <w:szCs w:val="21"/>
              </w:rPr>
              <w:t>环境影响</w:t>
            </w:r>
          </w:p>
        </w:tc>
        <w:tc>
          <w:tcPr>
            <w:tcW w:w="6691" w:type="dxa"/>
            <w:gridSpan w:val="22"/>
            <w:tcBorders>
              <w:top w:val="single" w:sz="4" w:space="0" w:color="000000"/>
              <w:left w:val="single" w:sz="4" w:space="0" w:color="000000"/>
              <w:bottom w:val="single" w:sz="4" w:space="0" w:color="000000"/>
              <w:right w:val="single" w:sz="12" w:space="0" w:color="000000"/>
            </w:tcBorders>
            <w:vAlign w:val="center"/>
          </w:tcPr>
          <w:p w14:paraId="243F1C0D" w14:textId="77777777" w:rsidR="00B14D53" w:rsidRDefault="00000000">
            <w:pPr>
              <w:spacing w:line="0" w:lineRule="atLeast"/>
              <w:jc w:val="center"/>
              <w:rPr>
                <w:rFonts w:eastAsiaTheme="minorEastAsia"/>
                <w:bCs/>
                <w:kern w:val="0"/>
                <w:szCs w:val="21"/>
              </w:rPr>
            </w:pPr>
            <w:r>
              <w:rPr>
                <w:rFonts w:eastAsiaTheme="minorEastAsia"/>
                <w:bCs/>
                <w:kern w:val="0"/>
                <w:szCs w:val="21"/>
              </w:rPr>
              <w:t>可以接受</w:t>
            </w:r>
            <w:r>
              <w:rPr>
                <w:rFonts w:eastAsiaTheme="minorEastAsia" w:hint="eastAsia"/>
                <w:bCs/>
                <w:kern w:val="0"/>
                <w:szCs w:val="21"/>
              </w:rPr>
              <w:t>☑</w:t>
            </w:r>
            <w:r>
              <w:rPr>
                <w:rFonts w:eastAsiaTheme="minorEastAsia"/>
                <w:bCs/>
                <w:kern w:val="0"/>
                <w:szCs w:val="21"/>
              </w:rPr>
              <w:t xml:space="preserve">       </w:t>
            </w:r>
            <w:r>
              <w:rPr>
                <w:rFonts w:eastAsiaTheme="minorEastAsia"/>
                <w:bCs/>
                <w:kern w:val="0"/>
                <w:szCs w:val="21"/>
              </w:rPr>
              <w:t>不可以接受</w:t>
            </w:r>
            <w:r>
              <w:rPr>
                <w:rFonts w:eastAsiaTheme="minorEastAsia"/>
                <w:bCs/>
                <w:kern w:val="0"/>
                <w:szCs w:val="21"/>
              </w:rPr>
              <w:t>□</w:t>
            </w:r>
          </w:p>
        </w:tc>
      </w:tr>
      <w:tr w:rsidR="00B14D53" w14:paraId="1B02E141" w14:textId="77777777">
        <w:trPr>
          <w:jc w:val="center"/>
        </w:trPr>
        <w:tc>
          <w:tcPr>
            <w:tcW w:w="751" w:type="dxa"/>
            <w:vMerge w:val="restart"/>
            <w:tcBorders>
              <w:top w:val="single" w:sz="4" w:space="0" w:color="000000"/>
              <w:left w:val="single" w:sz="12" w:space="0" w:color="000000"/>
              <w:bottom w:val="single" w:sz="4" w:space="0" w:color="000000"/>
              <w:right w:val="single" w:sz="4" w:space="0" w:color="000000"/>
            </w:tcBorders>
            <w:vAlign w:val="center"/>
          </w:tcPr>
          <w:p w14:paraId="0DA85BAD" w14:textId="77777777" w:rsidR="00B14D53" w:rsidRDefault="00000000">
            <w:pPr>
              <w:spacing w:line="0" w:lineRule="atLeast"/>
              <w:jc w:val="center"/>
              <w:rPr>
                <w:rFonts w:eastAsiaTheme="minorEastAsia"/>
                <w:bCs/>
                <w:kern w:val="0"/>
                <w:szCs w:val="21"/>
              </w:rPr>
            </w:pPr>
            <w:r>
              <w:rPr>
                <w:rFonts w:eastAsiaTheme="minorEastAsia"/>
                <w:bCs/>
                <w:kern w:val="0"/>
                <w:szCs w:val="21"/>
              </w:rPr>
              <w:t>评价结论</w:t>
            </w:r>
          </w:p>
        </w:tc>
        <w:tc>
          <w:tcPr>
            <w:tcW w:w="1798" w:type="dxa"/>
            <w:tcBorders>
              <w:top w:val="single" w:sz="4" w:space="0" w:color="000000"/>
              <w:left w:val="single" w:sz="4" w:space="0" w:color="000000"/>
              <w:bottom w:val="single" w:sz="4" w:space="0" w:color="000000"/>
              <w:right w:val="single" w:sz="4" w:space="0" w:color="000000"/>
            </w:tcBorders>
            <w:vAlign w:val="center"/>
          </w:tcPr>
          <w:p w14:paraId="0ED1B818" w14:textId="77777777" w:rsidR="00B14D53" w:rsidRDefault="00000000">
            <w:pPr>
              <w:spacing w:line="0" w:lineRule="atLeast"/>
              <w:jc w:val="center"/>
              <w:rPr>
                <w:rFonts w:eastAsiaTheme="minorEastAsia"/>
                <w:bCs/>
                <w:kern w:val="0"/>
                <w:szCs w:val="21"/>
              </w:rPr>
            </w:pPr>
            <w:r>
              <w:rPr>
                <w:rFonts w:eastAsiaTheme="minorEastAsia"/>
                <w:bCs/>
                <w:kern w:val="0"/>
                <w:szCs w:val="21"/>
              </w:rPr>
              <w:t>大气环境防护距离</w:t>
            </w:r>
          </w:p>
        </w:tc>
        <w:tc>
          <w:tcPr>
            <w:tcW w:w="6691" w:type="dxa"/>
            <w:gridSpan w:val="22"/>
            <w:tcBorders>
              <w:top w:val="single" w:sz="4" w:space="0" w:color="000000"/>
              <w:left w:val="single" w:sz="4" w:space="0" w:color="000000"/>
              <w:bottom w:val="single" w:sz="4" w:space="0" w:color="000000"/>
              <w:right w:val="single" w:sz="12" w:space="0" w:color="000000"/>
            </w:tcBorders>
            <w:vAlign w:val="center"/>
          </w:tcPr>
          <w:p w14:paraId="1E9025B2" w14:textId="77777777" w:rsidR="00B14D53" w:rsidRDefault="00000000">
            <w:pPr>
              <w:spacing w:line="0" w:lineRule="atLeast"/>
              <w:jc w:val="center"/>
              <w:rPr>
                <w:rFonts w:eastAsiaTheme="minorEastAsia"/>
                <w:bCs/>
                <w:kern w:val="0"/>
                <w:szCs w:val="21"/>
              </w:rPr>
            </w:pPr>
            <w:r>
              <w:rPr>
                <w:rFonts w:eastAsiaTheme="minorEastAsia"/>
                <w:bCs/>
                <w:kern w:val="0"/>
                <w:szCs w:val="21"/>
              </w:rPr>
              <w:t>距（</w:t>
            </w:r>
            <w:r>
              <w:rPr>
                <w:rFonts w:eastAsiaTheme="minorEastAsia"/>
                <w:bCs/>
                <w:kern w:val="0"/>
                <w:szCs w:val="21"/>
              </w:rPr>
              <w:t xml:space="preserve">   </w:t>
            </w:r>
            <w:r>
              <w:rPr>
                <w:rFonts w:eastAsiaTheme="minorEastAsia"/>
                <w:bCs/>
                <w:kern w:val="0"/>
                <w:szCs w:val="21"/>
              </w:rPr>
              <w:t>）厂界最远（</w:t>
            </w:r>
            <w:r>
              <w:rPr>
                <w:rFonts w:eastAsiaTheme="minorEastAsia"/>
                <w:bCs/>
                <w:kern w:val="0"/>
                <w:szCs w:val="21"/>
              </w:rPr>
              <w:t xml:space="preserve">    </w:t>
            </w:r>
            <w:r>
              <w:rPr>
                <w:rFonts w:eastAsiaTheme="minorEastAsia"/>
                <w:bCs/>
                <w:kern w:val="0"/>
                <w:szCs w:val="21"/>
              </w:rPr>
              <w:t>）</w:t>
            </w:r>
            <w:r>
              <w:rPr>
                <w:rFonts w:eastAsiaTheme="minorEastAsia"/>
                <w:bCs/>
                <w:kern w:val="0"/>
                <w:szCs w:val="21"/>
              </w:rPr>
              <w:t>m</w:t>
            </w:r>
          </w:p>
        </w:tc>
      </w:tr>
      <w:tr w:rsidR="00B14D53" w14:paraId="5331BBC5" w14:textId="77777777">
        <w:trPr>
          <w:jc w:val="center"/>
        </w:trPr>
        <w:tc>
          <w:tcPr>
            <w:tcW w:w="751" w:type="dxa"/>
            <w:vMerge/>
            <w:tcBorders>
              <w:top w:val="single" w:sz="4" w:space="0" w:color="000000"/>
              <w:left w:val="single" w:sz="12" w:space="0" w:color="000000"/>
              <w:bottom w:val="single" w:sz="4" w:space="0" w:color="000000"/>
              <w:right w:val="single" w:sz="4" w:space="0" w:color="000000"/>
            </w:tcBorders>
            <w:vAlign w:val="center"/>
          </w:tcPr>
          <w:p w14:paraId="588827F2" w14:textId="77777777" w:rsidR="00B14D53" w:rsidRDefault="00B14D53">
            <w:pPr>
              <w:widowControl/>
              <w:jc w:val="left"/>
              <w:rPr>
                <w:rFonts w:eastAsiaTheme="minorEastAsia"/>
                <w:bCs/>
                <w:kern w:val="0"/>
                <w:szCs w:val="21"/>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7A7144A1" w14:textId="77777777" w:rsidR="00B14D53" w:rsidRDefault="00000000">
            <w:pPr>
              <w:spacing w:line="0" w:lineRule="atLeast"/>
              <w:jc w:val="center"/>
              <w:rPr>
                <w:rFonts w:eastAsiaTheme="minorEastAsia"/>
                <w:bCs/>
                <w:kern w:val="0"/>
                <w:szCs w:val="21"/>
              </w:rPr>
            </w:pPr>
            <w:r>
              <w:rPr>
                <w:rFonts w:eastAsiaTheme="minorEastAsia"/>
                <w:bCs/>
                <w:kern w:val="0"/>
                <w:szCs w:val="21"/>
              </w:rPr>
              <w:t>污染源年排放量</w:t>
            </w:r>
          </w:p>
        </w:tc>
        <w:tc>
          <w:tcPr>
            <w:tcW w:w="1539" w:type="dxa"/>
            <w:gridSpan w:val="4"/>
            <w:tcBorders>
              <w:top w:val="single" w:sz="4" w:space="0" w:color="000000"/>
              <w:left w:val="single" w:sz="4" w:space="0" w:color="000000"/>
              <w:bottom w:val="single" w:sz="4" w:space="0" w:color="000000"/>
              <w:right w:val="single" w:sz="4" w:space="0" w:color="000000"/>
            </w:tcBorders>
            <w:vAlign w:val="center"/>
          </w:tcPr>
          <w:p w14:paraId="6662CCE5" w14:textId="77777777" w:rsidR="00B14D53" w:rsidRDefault="00000000">
            <w:pPr>
              <w:spacing w:line="0" w:lineRule="atLeast"/>
              <w:jc w:val="center"/>
              <w:rPr>
                <w:rFonts w:eastAsiaTheme="minorEastAsia"/>
                <w:bCs/>
                <w:kern w:val="0"/>
                <w:szCs w:val="21"/>
              </w:rPr>
            </w:pPr>
            <w:r>
              <w:rPr>
                <w:rFonts w:eastAsiaTheme="minorEastAsia"/>
                <w:bCs/>
                <w:kern w:val="0"/>
                <w:szCs w:val="21"/>
              </w:rPr>
              <w:t>SO</w:t>
            </w:r>
            <w:r>
              <w:rPr>
                <w:rFonts w:eastAsiaTheme="minorEastAsia"/>
                <w:bCs/>
                <w:kern w:val="0"/>
                <w:szCs w:val="21"/>
                <w:vertAlign w:val="subscript"/>
              </w:rPr>
              <w:t>2</w:t>
            </w:r>
            <w:r>
              <w:rPr>
                <w:rFonts w:eastAsiaTheme="minorEastAsia"/>
                <w:bCs/>
                <w:kern w:val="0"/>
                <w:szCs w:val="21"/>
              </w:rPr>
              <w:t>：（）</w:t>
            </w:r>
            <w:r>
              <w:rPr>
                <w:rFonts w:eastAsiaTheme="minorEastAsia"/>
                <w:bCs/>
                <w:kern w:val="0"/>
                <w:szCs w:val="21"/>
              </w:rPr>
              <w:t>t/a</w:t>
            </w:r>
          </w:p>
        </w:tc>
        <w:tc>
          <w:tcPr>
            <w:tcW w:w="1595" w:type="dxa"/>
            <w:gridSpan w:val="6"/>
            <w:tcBorders>
              <w:top w:val="single" w:sz="4" w:space="0" w:color="000000"/>
              <w:left w:val="single" w:sz="4" w:space="0" w:color="000000"/>
              <w:bottom w:val="single" w:sz="4" w:space="0" w:color="000000"/>
              <w:right w:val="single" w:sz="4" w:space="0" w:color="000000"/>
            </w:tcBorders>
            <w:vAlign w:val="center"/>
          </w:tcPr>
          <w:p w14:paraId="775B697F" w14:textId="77777777" w:rsidR="00B14D53" w:rsidRDefault="00000000">
            <w:pPr>
              <w:spacing w:line="0" w:lineRule="atLeast"/>
              <w:jc w:val="center"/>
              <w:rPr>
                <w:rFonts w:eastAsiaTheme="minorEastAsia"/>
                <w:bCs/>
                <w:kern w:val="0"/>
                <w:szCs w:val="21"/>
              </w:rPr>
            </w:pPr>
            <w:r>
              <w:rPr>
                <w:rFonts w:eastAsiaTheme="minorEastAsia"/>
                <w:bCs/>
                <w:kern w:val="0"/>
                <w:szCs w:val="21"/>
              </w:rPr>
              <w:t>NO</w:t>
            </w:r>
            <w:r>
              <w:rPr>
                <w:rFonts w:eastAsiaTheme="minorEastAsia"/>
                <w:bCs/>
                <w:kern w:val="0"/>
                <w:szCs w:val="21"/>
                <w:vertAlign w:val="subscript"/>
              </w:rPr>
              <w:t>X</w:t>
            </w:r>
            <w:r>
              <w:rPr>
                <w:rFonts w:eastAsiaTheme="minorEastAsia"/>
                <w:bCs/>
                <w:kern w:val="0"/>
                <w:szCs w:val="21"/>
              </w:rPr>
              <w:t>：（）</w:t>
            </w:r>
            <w:r>
              <w:rPr>
                <w:rFonts w:eastAsiaTheme="minorEastAsia"/>
                <w:bCs/>
                <w:kern w:val="0"/>
                <w:szCs w:val="21"/>
              </w:rPr>
              <w:t>t/a</w:t>
            </w:r>
          </w:p>
        </w:tc>
        <w:tc>
          <w:tcPr>
            <w:tcW w:w="1447" w:type="dxa"/>
            <w:gridSpan w:val="7"/>
            <w:tcBorders>
              <w:top w:val="single" w:sz="4" w:space="0" w:color="000000"/>
              <w:left w:val="single" w:sz="4" w:space="0" w:color="000000"/>
              <w:bottom w:val="single" w:sz="4" w:space="0" w:color="000000"/>
              <w:right w:val="single" w:sz="4" w:space="0" w:color="000000"/>
            </w:tcBorders>
            <w:vAlign w:val="center"/>
          </w:tcPr>
          <w:p w14:paraId="08EB1418" w14:textId="77777777" w:rsidR="00B14D53" w:rsidRDefault="00000000">
            <w:pPr>
              <w:spacing w:line="0" w:lineRule="atLeast"/>
              <w:jc w:val="center"/>
              <w:rPr>
                <w:rFonts w:eastAsiaTheme="minorEastAsia"/>
                <w:bCs/>
                <w:kern w:val="0"/>
                <w:szCs w:val="21"/>
              </w:rPr>
            </w:pPr>
            <w:r>
              <w:rPr>
                <w:rFonts w:eastAsiaTheme="minorEastAsia"/>
                <w:bCs/>
                <w:kern w:val="0"/>
                <w:szCs w:val="21"/>
              </w:rPr>
              <w:t>颗粒物：（）</w:t>
            </w:r>
            <w:r>
              <w:rPr>
                <w:rFonts w:eastAsiaTheme="minorEastAsia"/>
                <w:bCs/>
                <w:kern w:val="0"/>
                <w:szCs w:val="21"/>
              </w:rPr>
              <w:t>t/a</w:t>
            </w:r>
          </w:p>
        </w:tc>
        <w:tc>
          <w:tcPr>
            <w:tcW w:w="2110" w:type="dxa"/>
            <w:gridSpan w:val="5"/>
            <w:tcBorders>
              <w:top w:val="single" w:sz="4" w:space="0" w:color="000000"/>
              <w:left w:val="single" w:sz="4" w:space="0" w:color="000000"/>
              <w:bottom w:val="single" w:sz="4" w:space="0" w:color="000000"/>
              <w:right w:val="single" w:sz="12" w:space="0" w:color="000000"/>
            </w:tcBorders>
            <w:vAlign w:val="center"/>
          </w:tcPr>
          <w:p w14:paraId="3D6E8003" w14:textId="77777777" w:rsidR="00B14D53" w:rsidRDefault="00000000">
            <w:pPr>
              <w:spacing w:line="0" w:lineRule="atLeast"/>
              <w:jc w:val="center"/>
              <w:rPr>
                <w:rFonts w:eastAsiaTheme="minorEastAsia"/>
                <w:bCs/>
                <w:kern w:val="0"/>
                <w:szCs w:val="21"/>
              </w:rPr>
            </w:pPr>
            <w:r>
              <w:rPr>
                <w:rFonts w:eastAsiaTheme="minorEastAsia"/>
                <w:bCs/>
                <w:kern w:val="0"/>
                <w:szCs w:val="21"/>
              </w:rPr>
              <w:t>VOCs</w:t>
            </w:r>
            <w:r>
              <w:rPr>
                <w:rFonts w:eastAsiaTheme="minorEastAsia"/>
                <w:bCs/>
                <w:kern w:val="0"/>
                <w:szCs w:val="21"/>
              </w:rPr>
              <w:t>：（）</w:t>
            </w:r>
            <w:r>
              <w:rPr>
                <w:rFonts w:eastAsiaTheme="minorEastAsia"/>
                <w:bCs/>
                <w:kern w:val="0"/>
                <w:szCs w:val="21"/>
              </w:rPr>
              <w:t>t/a</w:t>
            </w:r>
          </w:p>
        </w:tc>
      </w:tr>
      <w:tr w:rsidR="00B14D53" w14:paraId="52CF70C7" w14:textId="77777777">
        <w:trPr>
          <w:trHeight w:val="85"/>
          <w:jc w:val="center"/>
        </w:trPr>
        <w:tc>
          <w:tcPr>
            <w:tcW w:w="9240" w:type="dxa"/>
            <w:gridSpan w:val="24"/>
            <w:tcBorders>
              <w:top w:val="single" w:sz="4" w:space="0" w:color="000000"/>
              <w:left w:val="single" w:sz="12" w:space="0" w:color="000000"/>
              <w:bottom w:val="single" w:sz="12" w:space="0" w:color="000000"/>
              <w:right w:val="single" w:sz="12" w:space="0" w:color="000000"/>
            </w:tcBorders>
            <w:vAlign w:val="center"/>
          </w:tcPr>
          <w:p w14:paraId="35FD55C0" w14:textId="77777777" w:rsidR="00B14D53" w:rsidRDefault="00000000">
            <w:pPr>
              <w:spacing w:line="0" w:lineRule="atLeast"/>
              <w:rPr>
                <w:rFonts w:eastAsiaTheme="minorEastAsia"/>
                <w:bCs/>
                <w:kern w:val="0"/>
                <w:szCs w:val="21"/>
              </w:rPr>
            </w:pPr>
            <w:r>
              <w:rPr>
                <w:rFonts w:eastAsiaTheme="minorEastAsia"/>
                <w:bCs/>
                <w:kern w:val="0"/>
                <w:szCs w:val="21"/>
              </w:rPr>
              <w:t>注：</w:t>
            </w:r>
            <w:r>
              <w:rPr>
                <w:rFonts w:eastAsiaTheme="minorEastAsia"/>
                <w:bCs/>
                <w:kern w:val="0"/>
                <w:szCs w:val="21"/>
              </w:rPr>
              <w:t>“□”</w:t>
            </w:r>
            <w:r>
              <w:rPr>
                <w:rFonts w:eastAsiaTheme="minorEastAsia"/>
                <w:bCs/>
                <w:kern w:val="0"/>
                <w:szCs w:val="21"/>
              </w:rPr>
              <w:t>为勾选项，填</w:t>
            </w:r>
            <w:r>
              <w:rPr>
                <w:rFonts w:eastAsiaTheme="minorEastAsia"/>
                <w:bCs/>
                <w:kern w:val="0"/>
                <w:szCs w:val="21"/>
              </w:rPr>
              <w:t>“√”</w:t>
            </w:r>
            <w:r>
              <w:rPr>
                <w:rFonts w:eastAsiaTheme="minorEastAsia"/>
                <w:bCs/>
                <w:kern w:val="0"/>
                <w:szCs w:val="21"/>
              </w:rPr>
              <w:t>；</w:t>
            </w:r>
            <w:r>
              <w:rPr>
                <w:rFonts w:eastAsiaTheme="minorEastAsia"/>
                <w:bCs/>
                <w:kern w:val="0"/>
                <w:szCs w:val="21"/>
              </w:rPr>
              <w:t>“</w:t>
            </w:r>
            <w:r>
              <w:rPr>
                <w:rFonts w:eastAsiaTheme="minorEastAsia"/>
                <w:bCs/>
                <w:kern w:val="0"/>
                <w:szCs w:val="21"/>
              </w:rPr>
              <w:t>（</w:t>
            </w:r>
            <w:r>
              <w:rPr>
                <w:rFonts w:eastAsiaTheme="minorEastAsia"/>
                <w:bCs/>
                <w:kern w:val="0"/>
                <w:szCs w:val="21"/>
              </w:rPr>
              <w:t xml:space="preserve"> </w:t>
            </w:r>
            <w:r>
              <w:rPr>
                <w:rFonts w:eastAsiaTheme="minorEastAsia"/>
                <w:bCs/>
                <w:kern w:val="0"/>
                <w:szCs w:val="21"/>
              </w:rPr>
              <w:t>）</w:t>
            </w:r>
            <w:r>
              <w:rPr>
                <w:rFonts w:eastAsiaTheme="minorEastAsia"/>
                <w:bCs/>
                <w:kern w:val="0"/>
                <w:szCs w:val="21"/>
              </w:rPr>
              <w:t>”</w:t>
            </w:r>
            <w:r>
              <w:rPr>
                <w:rFonts w:eastAsiaTheme="minorEastAsia"/>
                <w:bCs/>
                <w:kern w:val="0"/>
                <w:szCs w:val="21"/>
              </w:rPr>
              <w:t>为内容填写项</w:t>
            </w:r>
          </w:p>
        </w:tc>
      </w:tr>
    </w:tbl>
    <w:p w14:paraId="7B266DD0" w14:textId="77777777" w:rsidR="00B14D53" w:rsidRDefault="00B14D53">
      <w:pPr>
        <w:widowControl/>
        <w:spacing w:line="360" w:lineRule="auto"/>
        <w:jc w:val="left"/>
        <w:rPr>
          <w:rFonts w:eastAsiaTheme="minorEastAsia"/>
          <w:sz w:val="24"/>
        </w:rPr>
      </w:pPr>
    </w:p>
    <w:p w14:paraId="0C4FB782" w14:textId="77777777" w:rsidR="00B14D53" w:rsidRDefault="00B14D53">
      <w:pPr>
        <w:widowControl/>
        <w:spacing w:line="360" w:lineRule="auto"/>
        <w:jc w:val="left"/>
        <w:rPr>
          <w:rFonts w:eastAsiaTheme="minorEastAsia"/>
          <w:sz w:val="24"/>
        </w:rPr>
        <w:sectPr w:rsidR="00B14D53">
          <w:pgSz w:w="11906" w:h="16838"/>
          <w:pgMar w:top="1440" w:right="1800" w:bottom="1440" w:left="1800" w:header="851" w:footer="992" w:gutter="0"/>
          <w:cols w:space="720"/>
          <w:docGrid w:type="lines" w:linePitch="312"/>
        </w:sectPr>
      </w:pPr>
    </w:p>
    <w:p w14:paraId="693F9BEA" w14:textId="77777777" w:rsidR="00B14D53" w:rsidRDefault="00000000">
      <w:pPr>
        <w:jc w:val="center"/>
        <w:rPr>
          <w:rFonts w:eastAsiaTheme="minorEastAsia"/>
          <w:b/>
          <w:sz w:val="24"/>
        </w:rPr>
      </w:pPr>
      <w:r>
        <w:rPr>
          <w:rFonts w:eastAsiaTheme="minorEastAsia"/>
          <w:b/>
          <w:sz w:val="24"/>
        </w:rPr>
        <w:t>地表水环境影响评价自查表</w:t>
      </w:r>
    </w:p>
    <w:tbl>
      <w:tblPr>
        <w:tblStyle w:val="afff1"/>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389"/>
        <w:gridCol w:w="2529"/>
        <w:gridCol w:w="2389"/>
        <w:gridCol w:w="2670"/>
        <w:gridCol w:w="6075"/>
      </w:tblGrid>
      <w:tr w:rsidR="00B14D53" w14:paraId="118286CF" w14:textId="77777777">
        <w:trPr>
          <w:trHeight w:val="337"/>
        </w:trPr>
        <w:tc>
          <w:tcPr>
            <w:tcW w:w="2918"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tcPr>
          <w:p w14:paraId="484D47DC" w14:textId="77777777" w:rsidR="00B14D53" w:rsidRDefault="00000000">
            <w:pPr>
              <w:rPr>
                <w:rFonts w:eastAsiaTheme="minorEastAsia"/>
                <w:kern w:val="0"/>
                <w:szCs w:val="21"/>
              </w:rPr>
            </w:pPr>
            <w:r>
              <w:rPr>
                <w:rFonts w:eastAsiaTheme="minorEastAsia"/>
                <w:kern w:val="0"/>
                <w:szCs w:val="21"/>
              </w:rPr>
              <w:t>工作内容</w:t>
            </w:r>
          </w:p>
        </w:tc>
        <w:tc>
          <w:tcPr>
            <w:tcW w:w="11134" w:type="dxa"/>
            <w:gridSpan w:val="3"/>
            <w:tcBorders>
              <w:top w:val="single" w:sz="12" w:space="0" w:color="000000" w:themeColor="text1"/>
              <w:left w:val="single" w:sz="6" w:space="0" w:color="000000" w:themeColor="text1"/>
              <w:bottom w:val="single" w:sz="6" w:space="0" w:color="000000" w:themeColor="text1"/>
              <w:right w:val="single" w:sz="12" w:space="0" w:color="000000" w:themeColor="text1"/>
            </w:tcBorders>
          </w:tcPr>
          <w:p w14:paraId="57CA9352" w14:textId="77777777" w:rsidR="00B14D53" w:rsidRDefault="00000000">
            <w:pPr>
              <w:rPr>
                <w:rFonts w:eastAsiaTheme="minorEastAsia"/>
                <w:kern w:val="0"/>
                <w:szCs w:val="21"/>
              </w:rPr>
            </w:pPr>
            <w:r>
              <w:rPr>
                <w:rFonts w:eastAsiaTheme="minorEastAsia"/>
                <w:kern w:val="0"/>
                <w:szCs w:val="21"/>
              </w:rPr>
              <w:t>自查项目</w:t>
            </w:r>
          </w:p>
        </w:tc>
      </w:tr>
      <w:tr w:rsidR="00B14D53" w14:paraId="5C435B52" w14:textId="77777777">
        <w:trPr>
          <w:trHeight w:val="337"/>
        </w:trPr>
        <w:tc>
          <w:tcPr>
            <w:tcW w:w="389" w:type="dxa"/>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577A7AC1" w14:textId="77777777" w:rsidR="00B14D53" w:rsidRDefault="00000000">
            <w:pPr>
              <w:rPr>
                <w:rFonts w:eastAsiaTheme="minorEastAsia"/>
                <w:kern w:val="0"/>
                <w:szCs w:val="21"/>
              </w:rPr>
            </w:pPr>
            <w:r>
              <w:rPr>
                <w:rFonts w:eastAsiaTheme="minorEastAsia"/>
                <w:kern w:val="0"/>
                <w:szCs w:val="21"/>
              </w:rPr>
              <w:t>影响识别</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429DD" w14:textId="77777777" w:rsidR="00B14D53" w:rsidRDefault="00000000">
            <w:pPr>
              <w:rPr>
                <w:rFonts w:eastAsiaTheme="minorEastAsia"/>
                <w:kern w:val="0"/>
                <w:szCs w:val="21"/>
              </w:rPr>
            </w:pPr>
            <w:r>
              <w:rPr>
                <w:rFonts w:eastAsiaTheme="minorEastAsia"/>
                <w:kern w:val="0"/>
                <w:szCs w:val="21"/>
              </w:rPr>
              <w:t>影响类型</w:t>
            </w:r>
          </w:p>
        </w:tc>
        <w:tc>
          <w:tcPr>
            <w:tcW w:w="11134"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086BE67" w14:textId="77777777" w:rsidR="00B14D53" w:rsidRDefault="00000000">
            <w:pPr>
              <w:jc w:val="left"/>
              <w:rPr>
                <w:rFonts w:eastAsiaTheme="minorEastAsia"/>
                <w:kern w:val="0"/>
                <w:szCs w:val="21"/>
              </w:rPr>
            </w:pPr>
            <w:r>
              <w:rPr>
                <w:rFonts w:eastAsiaTheme="minorEastAsia"/>
                <w:kern w:val="0"/>
                <w:szCs w:val="21"/>
              </w:rPr>
              <w:t>水污染影响型</w:t>
            </w:r>
            <w:r>
              <w:rPr>
                <w:rFonts w:eastAsiaTheme="minorEastAsia" w:hint="eastAsia"/>
                <w:bCs/>
                <w:kern w:val="0"/>
                <w:szCs w:val="21"/>
              </w:rPr>
              <w:t>☑</w:t>
            </w:r>
            <w:r>
              <w:rPr>
                <w:rFonts w:eastAsiaTheme="minorEastAsia"/>
                <w:kern w:val="0"/>
                <w:szCs w:val="21"/>
              </w:rPr>
              <w:t>；水文要素影响型</w:t>
            </w:r>
            <w:r>
              <w:rPr>
                <w:rFonts w:eastAsiaTheme="minorEastAsia"/>
                <w:kern w:val="0"/>
                <w:szCs w:val="21"/>
              </w:rPr>
              <w:t>□</w:t>
            </w:r>
          </w:p>
        </w:tc>
      </w:tr>
      <w:tr w:rsidR="00B14D53" w14:paraId="5F0CE10B" w14:textId="77777777">
        <w:trPr>
          <w:trHeight w:val="995"/>
        </w:trPr>
        <w:tc>
          <w:tcPr>
            <w:tcW w:w="389"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F1333D4" w14:textId="77777777" w:rsidR="00B14D53" w:rsidRDefault="00B14D53">
            <w:pPr>
              <w:widowControl/>
              <w:jc w:val="left"/>
              <w:rPr>
                <w:rFonts w:eastAsiaTheme="minorEastAsia"/>
                <w:kern w:val="0"/>
                <w:szCs w:val="21"/>
              </w:rPr>
            </w:pP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81A17" w14:textId="77777777" w:rsidR="00B14D53" w:rsidRDefault="00000000">
            <w:pPr>
              <w:rPr>
                <w:rFonts w:eastAsiaTheme="minorEastAsia"/>
                <w:kern w:val="0"/>
                <w:szCs w:val="21"/>
              </w:rPr>
            </w:pPr>
            <w:r>
              <w:rPr>
                <w:rFonts w:eastAsiaTheme="minorEastAsia"/>
                <w:kern w:val="0"/>
                <w:szCs w:val="21"/>
              </w:rPr>
              <w:t>水环境保护目标</w:t>
            </w:r>
          </w:p>
        </w:tc>
        <w:tc>
          <w:tcPr>
            <w:tcW w:w="11134"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7CDC889" w14:textId="77777777" w:rsidR="00B14D53" w:rsidRDefault="00000000">
            <w:pPr>
              <w:jc w:val="left"/>
              <w:rPr>
                <w:rFonts w:eastAsiaTheme="minorEastAsia"/>
                <w:kern w:val="0"/>
                <w:szCs w:val="21"/>
              </w:rPr>
            </w:pPr>
            <w:r>
              <w:rPr>
                <w:rFonts w:eastAsiaTheme="minorEastAsia"/>
                <w:kern w:val="0"/>
                <w:szCs w:val="21"/>
              </w:rPr>
              <w:t>饮用水水源保护区</w:t>
            </w:r>
            <w:r>
              <w:rPr>
                <w:rFonts w:eastAsiaTheme="minorEastAsia"/>
                <w:kern w:val="0"/>
                <w:szCs w:val="21"/>
              </w:rPr>
              <w:t>□</w:t>
            </w:r>
            <w:r>
              <w:rPr>
                <w:rFonts w:eastAsiaTheme="minorEastAsia"/>
                <w:kern w:val="0"/>
                <w:szCs w:val="21"/>
              </w:rPr>
              <w:t>；饮用水取水</w:t>
            </w:r>
            <w:r>
              <w:rPr>
                <w:rFonts w:eastAsiaTheme="minorEastAsia"/>
                <w:kern w:val="0"/>
                <w:szCs w:val="21"/>
              </w:rPr>
              <w:t>□</w:t>
            </w:r>
            <w:r>
              <w:rPr>
                <w:rFonts w:eastAsiaTheme="minorEastAsia"/>
                <w:kern w:val="0"/>
                <w:szCs w:val="21"/>
              </w:rPr>
              <w:t>；涉水的自然保护区</w:t>
            </w:r>
            <w:r>
              <w:rPr>
                <w:rFonts w:eastAsiaTheme="minorEastAsia"/>
                <w:kern w:val="0"/>
                <w:szCs w:val="21"/>
              </w:rPr>
              <w:t>□</w:t>
            </w:r>
            <w:r>
              <w:rPr>
                <w:rFonts w:eastAsiaTheme="minorEastAsia"/>
                <w:kern w:val="0"/>
                <w:szCs w:val="21"/>
              </w:rPr>
              <w:t>；重要湿地</w:t>
            </w:r>
            <w:r>
              <w:rPr>
                <w:rFonts w:eastAsiaTheme="minorEastAsia"/>
                <w:kern w:val="0"/>
                <w:szCs w:val="21"/>
              </w:rPr>
              <w:t>□</w:t>
            </w:r>
            <w:r>
              <w:rPr>
                <w:rFonts w:eastAsiaTheme="minorEastAsia"/>
                <w:kern w:val="0"/>
                <w:szCs w:val="21"/>
              </w:rPr>
              <w:t>；</w:t>
            </w:r>
          </w:p>
          <w:p w14:paraId="6C9303FD" w14:textId="77777777" w:rsidR="00B14D53" w:rsidRDefault="00000000">
            <w:pPr>
              <w:jc w:val="left"/>
              <w:rPr>
                <w:rFonts w:eastAsiaTheme="minorEastAsia"/>
                <w:kern w:val="0"/>
                <w:szCs w:val="21"/>
              </w:rPr>
            </w:pPr>
            <w:r>
              <w:rPr>
                <w:rFonts w:eastAsiaTheme="minorEastAsia"/>
                <w:kern w:val="0"/>
                <w:szCs w:val="21"/>
              </w:rPr>
              <w:t>重点保护与</w:t>
            </w:r>
            <w:r>
              <w:rPr>
                <w:rFonts w:eastAsiaTheme="minorEastAsia" w:hint="eastAsia"/>
                <w:kern w:val="0"/>
                <w:szCs w:val="21"/>
              </w:rPr>
              <w:t>珍稀</w:t>
            </w:r>
            <w:r>
              <w:rPr>
                <w:rFonts w:eastAsiaTheme="minorEastAsia"/>
                <w:kern w:val="0"/>
                <w:szCs w:val="21"/>
              </w:rPr>
              <w:t>水生生物的栖息地</w:t>
            </w:r>
            <w:r>
              <w:rPr>
                <w:rFonts w:eastAsiaTheme="minorEastAsia"/>
                <w:kern w:val="0"/>
                <w:szCs w:val="21"/>
              </w:rPr>
              <w:t>□</w:t>
            </w:r>
            <w:r>
              <w:rPr>
                <w:rFonts w:eastAsiaTheme="minorEastAsia"/>
                <w:kern w:val="0"/>
                <w:szCs w:val="21"/>
              </w:rPr>
              <w:t>；重要水生生物的自然产卵场及索饵场、越冬场和洄游通道、天然渔场等渔业水体</w:t>
            </w:r>
            <w:r>
              <w:rPr>
                <w:rFonts w:eastAsiaTheme="minorEastAsia"/>
                <w:kern w:val="0"/>
                <w:szCs w:val="21"/>
              </w:rPr>
              <w:t>□</w:t>
            </w:r>
            <w:r>
              <w:rPr>
                <w:rFonts w:eastAsiaTheme="minorEastAsia"/>
                <w:kern w:val="0"/>
                <w:szCs w:val="21"/>
              </w:rPr>
              <w:t>；涉水的风景名胜区</w:t>
            </w:r>
            <w:r>
              <w:rPr>
                <w:rFonts w:eastAsiaTheme="minorEastAsia"/>
                <w:kern w:val="0"/>
                <w:szCs w:val="21"/>
              </w:rPr>
              <w:t>□</w:t>
            </w:r>
            <w:r>
              <w:rPr>
                <w:rFonts w:eastAsiaTheme="minorEastAsia"/>
                <w:kern w:val="0"/>
                <w:szCs w:val="21"/>
              </w:rPr>
              <w:t>；其他</w:t>
            </w:r>
            <w:r>
              <w:rPr>
                <w:rFonts w:eastAsiaTheme="minorEastAsia"/>
                <w:kern w:val="0"/>
                <w:szCs w:val="21"/>
              </w:rPr>
              <w:t>□</w:t>
            </w:r>
          </w:p>
        </w:tc>
      </w:tr>
      <w:tr w:rsidR="00B14D53" w14:paraId="03964445" w14:textId="77777777">
        <w:trPr>
          <w:trHeight w:val="337"/>
        </w:trPr>
        <w:tc>
          <w:tcPr>
            <w:tcW w:w="389"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0C223EA3" w14:textId="77777777" w:rsidR="00B14D53" w:rsidRDefault="00B14D53">
            <w:pPr>
              <w:widowControl/>
              <w:jc w:val="left"/>
              <w:rPr>
                <w:rFonts w:eastAsiaTheme="minorEastAsia"/>
                <w:kern w:val="0"/>
                <w:szCs w:val="21"/>
              </w:rPr>
            </w:pPr>
          </w:p>
        </w:tc>
        <w:tc>
          <w:tcPr>
            <w:tcW w:w="252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9AC50" w14:textId="77777777" w:rsidR="00B14D53" w:rsidRDefault="00000000">
            <w:pPr>
              <w:rPr>
                <w:rFonts w:eastAsiaTheme="minorEastAsia"/>
                <w:kern w:val="0"/>
                <w:szCs w:val="21"/>
              </w:rPr>
            </w:pPr>
            <w:r>
              <w:rPr>
                <w:rFonts w:eastAsiaTheme="minorEastAsia"/>
                <w:kern w:val="0"/>
                <w:szCs w:val="21"/>
              </w:rPr>
              <w:t>影响途径</w:t>
            </w:r>
          </w:p>
        </w:tc>
        <w:tc>
          <w:tcPr>
            <w:tcW w:w="50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43C47" w14:textId="77777777" w:rsidR="00B14D53" w:rsidRDefault="00000000">
            <w:pPr>
              <w:rPr>
                <w:rFonts w:eastAsiaTheme="minorEastAsia"/>
                <w:kern w:val="0"/>
                <w:szCs w:val="21"/>
              </w:rPr>
            </w:pPr>
            <w:r>
              <w:rPr>
                <w:rFonts w:eastAsiaTheme="minorEastAsia"/>
                <w:kern w:val="0"/>
                <w:szCs w:val="21"/>
              </w:rPr>
              <w:t>水污染影响型</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DE920A5" w14:textId="77777777" w:rsidR="00B14D53" w:rsidRDefault="00000000">
            <w:pPr>
              <w:rPr>
                <w:rFonts w:eastAsiaTheme="minorEastAsia"/>
                <w:kern w:val="0"/>
                <w:szCs w:val="21"/>
              </w:rPr>
            </w:pPr>
            <w:r>
              <w:rPr>
                <w:rFonts w:eastAsiaTheme="minorEastAsia"/>
                <w:kern w:val="0"/>
                <w:szCs w:val="21"/>
              </w:rPr>
              <w:t>水文要素影响型</w:t>
            </w:r>
          </w:p>
        </w:tc>
      </w:tr>
      <w:tr w:rsidR="00B14D53" w14:paraId="2F424494" w14:textId="77777777">
        <w:trPr>
          <w:trHeight w:val="337"/>
        </w:trPr>
        <w:tc>
          <w:tcPr>
            <w:tcW w:w="389"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6C5B4E1" w14:textId="77777777" w:rsidR="00B14D53" w:rsidRDefault="00B14D53">
            <w:pPr>
              <w:widowControl/>
              <w:jc w:val="left"/>
              <w:rPr>
                <w:rFonts w:eastAsiaTheme="minorEastAsia"/>
                <w:kern w:val="0"/>
                <w:szCs w:val="21"/>
              </w:rPr>
            </w:pPr>
          </w:p>
        </w:tc>
        <w:tc>
          <w:tcPr>
            <w:tcW w:w="252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8DCDA" w14:textId="77777777" w:rsidR="00B14D53" w:rsidRDefault="00B14D53">
            <w:pPr>
              <w:widowControl/>
              <w:jc w:val="left"/>
              <w:rPr>
                <w:rFonts w:eastAsiaTheme="minorEastAsia"/>
                <w:kern w:val="0"/>
                <w:szCs w:val="21"/>
              </w:rPr>
            </w:pPr>
          </w:p>
        </w:tc>
        <w:tc>
          <w:tcPr>
            <w:tcW w:w="50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FD6B1E" w14:textId="77777777" w:rsidR="00B14D53" w:rsidRDefault="00000000">
            <w:pPr>
              <w:jc w:val="left"/>
              <w:rPr>
                <w:rFonts w:eastAsiaTheme="minorEastAsia"/>
                <w:kern w:val="0"/>
                <w:szCs w:val="21"/>
              </w:rPr>
            </w:pPr>
            <w:r>
              <w:rPr>
                <w:rFonts w:eastAsiaTheme="minorEastAsia"/>
                <w:kern w:val="0"/>
                <w:szCs w:val="21"/>
              </w:rPr>
              <w:t>直接排放</w:t>
            </w:r>
            <w:r>
              <w:rPr>
                <w:rFonts w:eastAsiaTheme="minorEastAsia"/>
                <w:kern w:val="0"/>
                <w:szCs w:val="21"/>
              </w:rPr>
              <w:t>□</w:t>
            </w:r>
            <w:r>
              <w:rPr>
                <w:rFonts w:eastAsiaTheme="minorEastAsia"/>
                <w:kern w:val="0"/>
                <w:szCs w:val="21"/>
              </w:rPr>
              <w:t>；间接排放</w:t>
            </w:r>
            <w:r>
              <w:rPr>
                <w:rFonts w:eastAsiaTheme="minorEastAsia" w:hint="eastAsia"/>
                <w:kern w:val="0"/>
                <w:szCs w:val="21"/>
              </w:rPr>
              <w:t>☑</w:t>
            </w:r>
            <w:r>
              <w:rPr>
                <w:rFonts w:eastAsiaTheme="minorEastAsia"/>
                <w:kern w:val="0"/>
                <w:szCs w:val="21"/>
              </w:rPr>
              <w:t>；其他</w:t>
            </w:r>
            <w:r>
              <w:rPr>
                <w:rFonts w:eastAsiaTheme="minorEastAsia"/>
                <w:bCs/>
                <w:kern w:val="0"/>
                <w:szCs w:val="21"/>
              </w:rPr>
              <w:t>□</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C032228" w14:textId="77777777" w:rsidR="00B14D53" w:rsidRDefault="00000000">
            <w:pPr>
              <w:jc w:val="left"/>
              <w:rPr>
                <w:rFonts w:eastAsiaTheme="minorEastAsia"/>
                <w:kern w:val="0"/>
                <w:szCs w:val="21"/>
              </w:rPr>
            </w:pPr>
            <w:r>
              <w:rPr>
                <w:rFonts w:eastAsiaTheme="minorEastAsia"/>
                <w:kern w:val="0"/>
                <w:szCs w:val="21"/>
              </w:rPr>
              <w:t>水温</w:t>
            </w:r>
            <w:r>
              <w:rPr>
                <w:rFonts w:eastAsiaTheme="minorEastAsia"/>
                <w:kern w:val="0"/>
                <w:szCs w:val="21"/>
              </w:rPr>
              <w:t>□</w:t>
            </w:r>
            <w:r>
              <w:rPr>
                <w:rFonts w:eastAsiaTheme="minorEastAsia"/>
                <w:kern w:val="0"/>
                <w:szCs w:val="21"/>
              </w:rPr>
              <w:t>；径流</w:t>
            </w:r>
            <w:r>
              <w:rPr>
                <w:rFonts w:eastAsiaTheme="minorEastAsia"/>
                <w:kern w:val="0"/>
                <w:szCs w:val="21"/>
              </w:rPr>
              <w:t>□</w:t>
            </w:r>
            <w:r>
              <w:rPr>
                <w:rFonts w:eastAsiaTheme="minorEastAsia"/>
                <w:kern w:val="0"/>
                <w:szCs w:val="21"/>
              </w:rPr>
              <w:t>；水域面积</w:t>
            </w:r>
            <w:r>
              <w:rPr>
                <w:rFonts w:eastAsiaTheme="minorEastAsia"/>
                <w:kern w:val="0"/>
                <w:szCs w:val="21"/>
              </w:rPr>
              <w:t>□</w:t>
            </w:r>
          </w:p>
        </w:tc>
      </w:tr>
      <w:tr w:rsidR="00B14D53" w14:paraId="348AF2F3" w14:textId="77777777">
        <w:trPr>
          <w:trHeight w:val="980"/>
        </w:trPr>
        <w:tc>
          <w:tcPr>
            <w:tcW w:w="389"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C4DB8C3" w14:textId="77777777" w:rsidR="00B14D53" w:rsidRDefault="00B14D53">
            <w:pPr>
              <w:widowControl/>
              <w:jc w:val="left"/>
              <w:rPr>
                <w:rFonts w:eastAsiaTheme="minorEastAsia"/>
                <w:kern w:val="0"/>
                <w:szCs w:val="21"/>
              </w:rPr>
            </w:pP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5BFE4" w14:textId="77777777" w:rsidR="00B14D53" w:rsidRDefault="00000000">
            <w:pPr>
              <w:rPr>
                <w:rFonts w:eastAsiaTheme="minorEastAsia"/>
                <w:kern w:val="0"/>
                <w:szCs w:val="21"/>
              </w:rPr>
            </w:pPr>
            <w:r>
              <w:rPr>
                <w:rFonts w:eastAsiaTheme="minorEastAsia"/>
                <w:kern w:val="0"/>
                <w:szCs w:val="21"/>
              </w:rPr>
              <w:t>影响因子</w:t>
            </w:r>
          </w:p>
        </w:tc>
        <w:tc>
          <w:tcPr>
            <w:tcW w:w="50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F90BB" w14:textId="77777777" w:rsidR="00B14D53" w:rsidRDefault="00000000">
            <w:pPr>
              <w:jc w:val="left"/>
              <w:rPr>
                <w:rFonts w:eastAsiaTheme="minorEastAsia"/>
                <w:kern w:val="0"/>
                <w:szCs w:val="21"/>
              </w:rPr>
            </w:pPr>
            <w:r>
              <w:rPr>
                <w:rFonts w:eastAsiaTheme="minorEastAsia"/>
                <w:kern w:val="0"/>
                <w:szCs w:val="21"/>
              </w:rPr>
              <w:t>持久性污染物</w:t>
            </w:r>
            <w:r>
              <w:rPr>
                <w:rFonts w:eastAsiaTheme="minorEastAsia"/>
                <w:kern w:val="0"/>
                <w:szCs w:val="21"/>
              </w:rPr>
              <w:t>□</w:t>
            </w:r>
            <w:r>
              <w:rPr>
                <w:rFonts w:eastAsiaTheme="minorEastAsia"/>
                <w:kern w:val="0"/>
                <w:szCs w:val="21"/>
              </w:rPr>
              <w:t>；有毒有害污染物</w:t>
            </w:r>
            <w:r>
              <w:rPr>
                <w:rFonts w:eastAsiaTheme="minorEastAsia"/>
                <w:kern w:val="0"/>
                <w:szCs w:val="21"/>
              </w:rPr>
              <w:t>□</w:t>
            </w:r>
            <w:r>
              <w:rPr>
                <w:rFonts w:eastAsiaTheme="minorEastAsia"/>
                <w:kern w:val="0"/>
                <w:szCs w:val="21"/>
              </w:rPr>
              <w:t>；非持久性污染物</w:t>
            </w:r>
            <w:r>
              <w:rPr>
                <w:rFonts w:eastAsiaTheme="minorEastAsia" w:hint="eastAsia"/>
                <w:bCs/>
                <w:kern w:val="0"/>
                <w:szCs w:val="21"/>
              </w:rPr>
              <w:t>☑</w:t>
            </w:r>
            <w:r>
              <w:rPr>
                <w:rFonts w:eastAsiaTheme="minorEastAsia"/>
                <w:kern w:val="0"/>
                <w:szCs w:val="21"/>
              </w:rPr>
              <w:t>；</w:t>
            </w:r>
          </w:p>
          <w:p w14:paraId="05B01600" w14:textId="77777777" w:rsidR="00B14D53" w:rsidRDefault="00000000">
            <w:pPr>
              <w:jc w:val="left"/>
              <w:rPr>
                <w:rFonts w:eastAsiaTheme="minorEastAsia"/>
                <w:kern w:val="0"/>
                <w:szCs w:val="21"/>
              </w:rPr>
            </w:pPr>
            <w:r>
              <w:rPr>
                <w:rFonts w:eastAsiaTheme="minorEastAsia"/>
                <w:kern w:val="0"/>
                <w:szCs w:val="21"/>
              </w:rPr>
              <w:t>pH</w:t>
            </w:r>
            <w:r>
              <w:rPr>
                <w:rFonts w:eastAsiaTheme="minorEastAsia"/>
                <w:kern w:val="0"/>
                <w:szCs w:val="21"/>
              </w:rPr>
              <w:t>值</w:t>
            </w:r>
            <w:r>
              <w:rPr>
                <w:rFonts w:eastAsiaTheme="minorEastAsia"/>
                <w:kern w:val="0"/>
                <w:szCs w:val="21"/>
              </w:rPr>
              <w:t>□</w:t>
            </w:r>
            <w:r>
              <w:rPr>
                <w:rFonts w:eastAsiaTheme="minorEastAsia"/>
                <w:kern w:val="0"/>
                <w:szCs w:val="21"/>
              </w:rPr>
              <w:t>；热污染</w:t>
            </w:r>
            <w:r>
              <w:rPr>
                <w:rFonts w:eastAsiaTheme="minorEastAsia"/>
                <w:kern w:val="0"/>
                <w:szCs w:val="21"/>
              </w:rPr>
              <w:t>□</w:t>
            </w:r>
            <w:r>
              <w:rPr>
                <w:rFonts w:eastAsiaTheme="minorEastAsia"/>
                <w:kern w:val="0"/>
                <w:szCs w:val="21"/>
              </w:rPr>
              <w:t>；富营养化</w:t>
            </w:r>
            <w:r>
              <w:rPr>
                <w:rFonts w:eastAsiaTheme="minorEastAsia"/>
                <w:kern w:val="0"/>
                <w:szCs w:val="21"/>
              </w:rPr>
              <w:t>□</w:t>
            </w:r>
            <w:r>
              <w:rPr>
                <w:rFonts w:eastAsiaTheme="minorEastAsia"/>
                <w:kern w:val="0"/>
                <w:szCs w:val="21"/>
              </w:rPr>
              <w:t>；其他</w:t>
            </w:r>
            <w:r>
              <w:rPr>
                <w:rFonts w:eastAsiaTheme="minorEastAsia"/>
                <w:kern w:val="0"/>
                <w:szCs w:val="21"/>
              </w:rPr>
              <w:t>□</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F48BD17" w14:textId="77777777" w:rsidR="00B14D53" w:rsidRDefault="00000000">
            <w:pPr>
              <w:jc w:val="left"/>
              <w:rPr>
                <w:rFonts w:eastAsiaTheme="minorEastAsia"/>
                <w:kern w:val="0"/>
                <w:szCs w:val="21"/>
              </w:rPr>
            </w:pPr>
            <w:r>
              <w:rPr>
                <w:rFonts w:eastAsiaTheme="minorEastAsia"/>
                <w:kern w:val="0"/>
                <w:szCs w:val="21"/>
              </w:rPr>
              <w:t>水温</w:t>
            </w:r>
            <w:r>
              <w:rPr>
                <w:rFonts w:eastAsiaTheme="minorEastAsia"/>
                <w:kern w:val="0"/>
                <w:szCs w:val="21"/>
              </w:rPr>
              <w:t>□</w:t>
            </w:r>
            <w:r>
              <w:rPr>
                <w:rFonts w:eastAsiaTheme="minorEastAsia"/>
                <w:kern w:val="0"/>
                <w:szCs w:val="21"/>
              </w:rPr>
              <w:t>；水位（水深</w:t>
            </w:r>
            <w:r>
              <w:rPr>
                <w:rFonts w:eastAsiaTheme="minorEastAsia"/>
                <w:kern w:val="0"/>
                <w:szCs w:val="21"/>
              </w:rPr>
              <w:t>□</w:t>
            </w:r>
            <w:r>
              <w:rPr>
                <w:rFonts w:eastAsiaTheme="minorEastAsia"/>
                <w:kern w:val="0"/>
                <w:szCs w:val="21"/>
              </w:rPr>
              <w:t>）；流速</w:t>
            </w:r>
            <w:r>
              <w:rPr>
                <w:rFonts w:eastAsiaTheme="minorEastAsia"/>
                <w:kern w:val="0"/>
                <w:szCs w:val="21"/>
              </w:rPr>
              <w:t>□</w:t>
            </w:r>
            <w:r>
              <w:rPr>
                <w:rFonts w:eastAsiaTheme="minorEastAsia"/>
                <w:kern w:val="0"/>
                <w:szCs w:val="21"/>
              </w:rPr>
              <w:t>；流量</w:t>
            </w:r>
            <w:r>
              <w:rPr>
                <w:rFonts w:eastAsiaTheme="minorEastAsia"/>
                <w:kern w:val="0"/>
                <w:szCs w:val="21"/>
              </w:rPr>
              <w:t>□</w:t>
            </w:r>
            <w:r>
              <w:rPr>
                <w:rFonts w:eastAsiaTheme="minorEastAsia"/>
                <w:kern w:val="0"/>
                <w:szCs w:val="21"/>
              </w:rPr>
              <w:t>；其他</w:t>
            </w:r>
            <w:r>
              <w:rPr>
                <w:rFonts w:eastAsiaTheme="minorEastAsia"/>
                <w:kern w:val="0"/>
                <w:szCs w:val="21"/>
              </w:rPr>
              <w:t>□</w:t>
            </w:r>
          </w:p>
        </w:tc>
      </w:tr>
      <w:tr w:rsidR="00B14D53" w14:paraId="16D45D73" w14:textId="77777777">
        <w:trPr>
          <w:trHeight w:val="322"/>
        </w:trPr>
        <w:tc>
          <w:tcPr>
            <w:tcW w:w="2918" w:type="dxa"/>
            <w:gridSpan w:val="2"/>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519714B7" w14:textId="77777777" w:rsidR="00B14D53" w:rsidRDefault="00000000">
            <w:pPr>
              <w:rPr>
                <w:rFonts w:eastAsiaTheme="minorEastAsia"/>
                <w:kern w:val="0"/>
                <w:szCs w:val="21"/>
              </w:rPr>
            </w:pPr>
            <w:r>
              <w:rPr>
                <w:rFonts w:eastAsiaTheme="minorEastAsia"/>
                <w:kern w:val="0"/>
                <w:szCs w:val="21"/>
              </w:rPr>
              <w:t>评价等级</w:t>
            </w:r>
          </w:p>
        </w:tc>
        <w:tc>
          <w:tcPr>
            <w:tcW w:w="50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02926A" w14:textId="77777777" w:rsidR="00B14D53" w:rsidRDefault="00000000">
            <w:pPr>
              <w:rPr>
                <w:rFonts w:eastAsiaTheme="minorEastAsia"/>
                <w:kern w:val="0"/>
                <w:szCs w:val="21"/>
              </w:rPr>
            </w:pPr>
            <w:r>
              <w:rPr>
                <w:rFonts w:eastAsiaTheme="minorEastAsia"/>
                <w:kern w:val="0"/>
                <w:szCs w:val="21"/>
              </w:rPr>
              <w:t>水污染影响型</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9B7AF7E" w14:textId="77777777" w:rsidR="00B14D53" w:rsidRDefault="00000000">
            <w:pPr>
              <w:rPr>
                <w:rFonts w:eastAsiaTheme="minorEastAsia"/>
                <w:kern w:val="0"/>
                <w:szCs w:val="21"/>
              </w:rPr>
            </w:pPr>
            <w:r>
              <w:rPr>
                <w:rFonts w:eastAsiaTheme="minorEastAsia"/>
                <w:kern w:val="0"/>
                <w:szCs w:val="21"/>
              </w:rPr>
              <w:t>水文要素影响型</w:t>
            </w:r>
          </w:p>
        </w:tc>
      </w:tr>
      <w:tr w:rsidR="00B14D53" w14:paraId="2D1C8B24" w14:textId="77777777">
        <w:trPr>
          <w:trHeight w:val="170"/>
        </w:trPr>
        <w:tc>
          <w:tcPr>
            <w:tcW w:w="2918"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6C11D52C" w14:textId="77777777" w:rsidR="00B14D53" w:rsidRDefault="00B14D53">
            <w:pPr>
              <w:widowControl/>
              <w:jc w:val="left"/>
              <w:rPr>
                <w:rFonts w:eastAsiaTheme="minorEastAsia"/>
                <w:kern w:val="0"/>
                <w:szCs w:val="21"/>
              </w:rPr>
            </w:pPr>
          </w:p>
        </w:tc>
        <w:tc>
          <w:tcPr>
            <w:tcW w:w="50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BF55F" w14:textId="77777777" w:rsidR="00B14D53" w:rsidRDefault="00000000">
            <w:pPr>
              <w:jc w:val="left"/>
              <w:rPr>
                <w:rFonts w:eastAsiaTheme="minorEastAsia"/>
                <w:kern w:val="0"/>
                <w:szCs w:val="21"/>
              </w:rPr>
            </w:pPr>
            <w:r>
              <w:rPr>
                <w:rFonts w:eastAsiaTheme="minorEastAsia"/>
                <w:kern w:val="0"/>
                <w:szCs w:val="21"/>
              </w:rPr>
              <w:t>一级</w:t>
            </w:r>
            <w:r>
              <w:rPr>
                <w:rFonts w:eastAsiaTheme="minorEastAsia"/>
                <w:kern w:val="0"/>
                <w:szCs w:val="21"/>
              </w:rPr>
              <w:t>□</w:t>
            </w:r>
            <w:r>
              <w:rPr>
                <w:rFonts w:eastAsiaTheme="minorEastAsia"/>
                <w:kern w:val="0"/>
                <w:szCs w:val="21"/>
              </w:rPr>
              <w:t>；二级</w:t>
            </w:r>
            <w:r>
              <w:rPr>
                <w:rFonts w:eastAsiaTheme="minorEastAsia"/>
                <w:kern w:val="0"/>
                <w:szCs w:val="21"/>
              </w:rPr>
              <w:t>□</w:t>
            </w:r>
            <w:r>
              <w:rPr>
                <w:rFonts w:eastAsiaTheme="minorEastAsia"/>
                <w:kern w:val="0"/>
                <w:szCs w:val="21"/>
              </w:rPr>
              <w:t>；三级</w:t>
            </w:r>
            <w:r>
              <w:rPr>
                <w:rFonts w:eastAsiaTheme="minorEastAsia"/>
                <w:kern w:val="0"/>
                <w:szCs w:val="21"/>
              </w:rPr>
              <w:t>A□</w:t>
            </w:r>
            <w:r>
              <w:rPr>
                <w:rFonts w:eastAsiaTheme="minorEastAsia"/>
                <w:kern w:val="0"/>
                <w:szCs w:val="21"/>
              </w:rPr>
              <w:t>；三级</w:t>
            </w:r>
            <w:r>
              <w:rPr>
                <w:rFonts w:eastAsiaTheme="minorEastAsia"/>
                <w:kern w:val="0"/>
                <w:szCs w:val="21"/>
              </w:rPr>
              <w:t>B</w:t>
            </w:r>
            <w:r>
              <w:rPr>
                <w:rFonts w:eastAsiaTheme="minorEastAsia" w:hint="eastAsia"/>
                <w:bCs/>
                <w:kern w:val="0"/>
                <w:szCs w:val="21"/>
              </w:rPr>
              <w:t>☑</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870DEB4" w14:textId="77777777" w:rsidR="00B14D53" w:rsidRDefault="00000000">
            <w:pPr>
              <w:jc w:val="left"/>
              <w:rPr>
                <w:rFonts w:eastAsiaTheme="minorEastAsia"/>
                <w:kern w:val="0"/>
                <w:szCs w:val="21"/>
              </w:rPr>
            </w:pPr>
            <w:r>
              <w:rPr>
                <w:rFonts w:eastAsiaTheme="minorEastAsia"/>
                <w:kern w:val="0"/>
                <w:szCs w:val="21"/>
              </w:rPr>
              <w:t>一级</w:t>
            </w:r>
            <w:r>
              <w:rPr>
                <w:rFonts w:eastAsiaTheme="minorEastAsia"/>
                <w:kern w:val="0"/>
                <w:szCs w:val="21"/>
              </w:rPr>
              <w:t>□</w:t>
            </w:r>
            <w:r>
              <w:rPr>
                <w:rFonts w:eastAsiaTheme="minorEastAsia"/>
                <w:kern w:val="0"/>
                <w:szCs w:val="21"/>
              </w:rPr>
              <w:t>；二级</w:t>
            </w:r>
            <w:r>
              <w:rPr>
                <w:rFonts w:eastAsiaTheme="minorEastAsia"/>
                <w:kern w:val="0"/>
                <w:szCs w:val="21"/>
              </w:rPr>
              <w:t>□</w:t>
            </w:r>
            <w:r>
              <w:rPr>
                <w:rFonts w:eastAsiaTheme="minorEastAsia"/>
                <w:kern w:val="0"/>
                <w:szCs w:val="21"/>
              </w:rPr>
              <w:t>；三级</w:t>
            </w:r>
            <w:r>
              <w:rPr>
                <w:rFonts w:eastAsiaTheme="minorEastAsia"/>
                <w:kern w:val="0"/>
                <w:szCs w:val="21"/>
              </w:rPr>
              <w:t>□</w:t>
            </w:r>
          </w:p>
        </w:tc>
      </w:tr>
      <w:tr w:rsidR="00B14D53" w14:paraId="7534419E" w14:textId="77777777">
        <w:trPr>
          <w:trHeight w:val="322"/>
        </w:trPr>
        <w:tc>
          <w:tcPr>
            <w:tcW w:w="389" w:type="dxa"/>
            <w:vMerge w:val="restart"/>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3B12B633" w14:textId="77777777" w:rsidR="00B14D53" w:rsidRDefault="00000000">
            <w:pPr>
              <w:rPr>
                <w:rFonts w:eastAsiaTheme="minorEastAsia"/>
                <w:kern w:val="0"/>
                <w:szCs w:val="21"/>
              </w:rPr>
            </w:pPr>
            <w:r>
              <w:rPr>
                <w:rFonts w:eastAsiaTheme="minorEastAsia"/>
                <w:kern w:val="0"/>
                <w:szCs w:val="21"/>
              </w:rPr>
              <w:t>现状调查</w:t>
            </w:r>
          </w:p>
        </w:tc>
        <w:tc>
          <w:tcPr>
            <w:tcW w:w="252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49F5D" w14:textId="77777777" w:rsidR="00B14D53" w:rsidRDefault="00000000">
            <w:pPr>
              <w:rPr>
                <w:rFonts w:eastAsiaTheme="minorEastAsia"/>
                <w:kern w:val="0"/>
                <w:szCs w:val="21"/>
              </w:rPr>
            </w:pPr>
            <w:r>
              <w:rPr>
                <w:rFonts w:eastAsiaTheme="minorEastAsia"/>
                <w:kern w:val="0"/>
                <w:szCs w:val="21"/>
              </w:rPr>
              <w:t>区域污染源</w:t>
            </w:r>
          </w:p>
        </w:tc>
        <w:tc>
          <w:tcPr>
            <w:tcW w:w="50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28EA5" w14:textId="77777777" w:rsidR="00B14D53" w:rsidRDefault="00000000">
            <w:pPr>
              <w:rPr>
                <w:rFonts w:eastAsiaTheme="minorEastAsia"/>
                <w:kern w:val="0"/>
                <w:szCs w:val="21"/>
              </w:rPr>
            </w:pPr>
            <w:r>
              <w:rPr>
                <w:rFonts w:eastAsiaTheme="minorEastAsia"/>
                <w:kern w:val="0"/>
                <w:szCs w:val="21"/>
              </w:rPr>
              <w:t>调查项目</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AE7444E" w14:textId="77777777" w:rsidR="00B14D53" w:rsidRDefault="00000000">
            <w:pPr>
              <w:rPr>
                <w:rFonts w:eastAsiaTheme="minorEastAsia"/>
                <w:kern w:val="0"/>
                <w:szCs w:val="21"/>
              </w:rPr>
            </w:pPr>
            <w:r>
              <w:rPr>
                <w:rFonts w:eastAsiaTheme="minorEastAsia"/>
                <w:kern w:val="0"/>
                <w:szCs w:val="21"/>
              </w:rPr>
              <w:t>数据起源</w:t>
            </w:r>
          </w:p>
        </w:tc>
      </w:tr>
      <w:tr w:rsidR="00B14D53" w14:paraId="5E4BFA3E" w14:textId="77777777">
        <w:trPr>
          <w:trHeight w:val="675"/>
        </w:trPr>
        <w:tc>
          <w:tcPr>
            <w:tcW w:w="38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70C65011" w14:textId="77777777" w:rsidR="00B14D53" w:rsidRDefault="00B14D53">
            <w:pPr>
              <w:widowControl/>
              <w:jc w:val="left"/>
              <w:rPr>
                <w:rFonts w:eastAsiaTheme="minorEastAsia"/>
                <w:kern w:val="0"/>
                <w:szCs w:val="21"/>
              </w:rPr>
            </w:pPr>
          </w:p>
        </w:tc>
        <w:tc>
          <w:tcPr>
            <w:tcW w:w="252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FA9E2E" w14:textId="77777777" w:rsidR="00B14D53" w:rsidRDefault="00B14D53">
            <w:pPr>
              <w:widowControl/>
              <w:jc w:val="left"/>
              <w:rPr>
                <w:rFonts w:eastAsiaTheme="minorEastAsia"/>
                <w:kern w:val="0"/>
                <w:szCs w:val="21"/>
              </w:rPr>
            </w:pPr>
          </w:p>
        </w:tc>
        <w:tc>
          <w:tcPr>
            <w:tcW w:w="23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9303E1" w14:textId="77777777" w:rsidR="00B14D53" w:rsidRDefault="00000000">
            <w:pPr>
              <w:rPr>
                <w:rFonts w:eastAsiaTheme="minorEastAsia"/>
                <w:kern w:val="0"/>
                <w:szCs w:val="21"/>
              </w:rPr>
            </w:pPr>
            <w:r>
              <w:rPr>
                <w:rFonts w:eastAsiaTheme="minorEastAsia"/>
                <w:kern w:val="0"/>
                <w:szCs w:val="21"/>
              </w:rPr>
              <w:t>已建</w:t>
            </w:r>
            <w:r>
              <w:rPr>
                <w:rFonts w:eastAsiaTheme="minorEastAsia"/>
                <w:kern w:val="0"/>
                <w:szCs w:val="21"/>
              </w:rPr>
              <w:t>□</w:t>
            </w:r>
            <w:r>
              <w:rPr>
                <w:rFonts w:eastAsiaTheme="minorEastAsia"/>
                <w:kern w:val="0"/>
                <w:szCs w:val="21"/>
              </w:rPr>
              <w:t>；在建</w:t>
            </w:r>
            <w:r>
              <w:rPr>
                <w:rFonts w:eastAsiaTheme="minorEastAsia"/>
                <w:kern w:val="0"/>
                <w:szCs w:val="21"/>
              </w:rPr>
              <w:t>□</w:t>
            </w:r>
            <w:r>
              <w:rPr>
                <w:rFonts w:eastAsiaTheme="minorEastAsia"/>
                <w:kern w:val="0"/>
                <w:szCs w:val="21"/>
              </w:rPr>
              <w:t>；拟建</w:t>
            </w:r>
            <w:r>
              <w:rPr>
                <w:rFonts w:eastAsiaTheme="minorEastAsia" w:hint="eastAsia"/>
                <w:bCs/>
                <w:kern w:val="0"/>
                <w:szCs w:val="21"/>
              </w:rPr>
              <w:t>☑</w:t>
            </w:r>
            <w:r>
              <w:rPr>
                <w:rFonts w:eastAsiaTheme="minorEastAsia"/>
                <w:kern w:val="0"/>
                <w:szCs w:val="21"/>
              </w:rPr>
              <w:t>；其他</w:t>
            </w:r>
            <w:r>
              <w:rPr>
                <w:rFonts w:eastAsiaTheme="minorEastAsia"/>
                <w:kern w:val="0"/>
                <w:szCs w:val="21"/>
              </w:rPr>
              <w:t>□</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8BF49" w14:textId="77777777" w:rsidR="00B14D53" w:rsidRDefault="00000000">
            <w:pPr>
              <w:rPr>
                <w:rFonts w:eastAsiaTheme="minorEastAsia"/>
                <w:kern w:val="0"/>
                <w:szCs w:val="21"/>
              </w:rPr>
            </w:pPr>
            <w:r>
              <w:rPr>
                <w:rFonts w:eastAsiaTheme="minorEastAsia"/>
                <w:kern w:val="0"/>
                <w:szCs w:val="21"/>
              </w:rPr>
              <w:t>拟替代的污染源</w:t>
            </w:r>
            <w:r>
              <w:rPr>
                <w:rFonts w:eastAsiaTheme="minorEastAsia"/>
                <w:kern w:val="0"/>
                <w:szCs w:val="21"/>
              </w:rPr>
              <w:t>□</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C9F1741" w14:textId="77777777" w:rsidR="00B14D53" w:rsidRDefault="00000000">
            <w:pPr>
              <w:rPr>
                <w:rFonts w:eastAsiaTheme="minorEastAsia"/>
                <w:kern w:val="0"/>
                <w:szCs w:val="21"/>
              </w:rPr>
            </w:pPr>
            <w:r>
              <w:rPr>
                <w:rFonts w:eastAsiaTheme="minorEastAsia"/>
                <w:kern w:val="0"/>
                <w:szCs w:val="21"/>
              </w:rPr>
              <w:t>排污许可证</w:t>
            </w:r>
            <w:r>
              <w:rPr>
                <w:rFonts w:eastAsiaTheme="minorEastAsia"/>
                <w:kern w:val="0"/>
                <w:szCs w:val="21"/>
              </w:rPr>
              <w:t>□</w:t>
            </w:r>
            <w:r>
              <w:rPr>
                <w:rFonts w:eastAsiaTheme="minorEastAsia"/>
                <w:kern w:val="0"/>
                <w:szCs w:val="21"/>
              </w:rPr>
              <w:t>；环评</w:t>
            </w:r>
            <w:r>
              <w:rPr>
                <w:rFonts w:eastAsiaTheme="minorEastAsia"/>
                <w:kern w:val="0"/>
                <w:szCs w:val="21"/>
              </w:rPr>
              <w:t>□</w:t>
            </w:r>
            <w:r>
              <w:rPr>
                <w:rFonts w:eastAsiaTheme="minorEastAsia"/>
                <w:kern w:val="0"/>
                <w:szCs w:val="21"/>
              </w:rPr>
              <w:t>；环保验收</w:t>
            </w:r>
            <w:r>
              <w:rPr>
                <w:rFonts w:eastAsiaTheme="minorEastAsia"/>
                <w:kern w:val="0"/>
                <w:szCs w:val="21"/>
              </w:rPr>
              <w:t>□</w:t>
            </w:r>
            <w:r>
              <w:rPr>
                <w:rFonts w:eastAsiaTheme="minorEastAsia"/>
                <w:kern w:val="0"/>
                <w:szCs w:val="21"/>
              </w:rPr>
              <w:t>；既有实测</w:t>
            </w:r>
            <w:r>
              <w:rPr>
                <w:rFonts w:eastAsiaTheme="minorEastAsia"/>
                <w:kern w:val="0"/>
                <w:szCs w:val="21"/>
              </w:rPr>
              <w:t>□</w:t>
            </w:r>
            <w:r>
              <w:rPr>
                <w:rFonts w:eastAsiaTheme="minorEastAsia"/>
                <w:kern w:val="0"/>
                <w:szCs w:val="21"/>
              </w:rPr>
              <w:t>；现场监测</w:t>
            </w:r>
            <w:r>
              <w:rPr>
                <w:rFonts w:eastAsiaTheme="minorEastAsia"/>
                <w:kern w:val="0"/>
                <w:szCs w:val="21"/>
              </w:rPr>
              <w:t>□</w:t>
            </w:r>
            <w:r>
              <w:rPr>
                <w:rFonts w:eastAsiaTheme="minorEastAsia"/>
                <w:kern w:val="0"/>
                <w:szCs w:val="21"/>
              </w:rPr>
              <w:t>；入河排放口数据</w:t>
            </w:r>
            <w:r>
              <w:rPr>
                <w:rFonts w:eastAsiaTheme="minorEastAsia"/>
                <w:kern w:val="0"/>
                <w:szCs w:val="21"/>
              </w:rPr>
              <w:t>□</w:t>
            </w:r>
            <w:r>
              <w:rPr>
                <w:rFonts w:eastAsiaTheme="minorEastAsia"/>
                <w:kern w:val="0"/>
                <w:szCs w:val="21"/>
              </w:rPr>
              <w:t>；其他</w:t>
            </w:r>
            <w:r>
              <w:rPr>
                <w:rFonts w:eastAsiaTheme="minorEastAsia"/>
                <w:kern w:val="0"/>
                <w:szCs w:val="21"/>
              </w:rPr>
              <w:t>□</w:t>
            </w:r>
          </w:p>
        </w:tc>
      </w:tr>
      <w:tr w:rsidR="00B14D53" w14:paraId="181BC8AB" w14:textId="77777777">
        <w:trPr>
          <w:trHeight w:val="369"/>
        </w:trPr>
        <w:tc>
          <w:tcPr>
            <w:tcW w:w="38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23CC105D" w14:textId="77777777" w:rsidR="00B14D53" w:rsidRDefault="00B14D53">
            <w:pPr>
              <w:widowControl/>
              <w:jc w:val="left"/>
              <w:rPr>
                <w:rFonts w:eastAsiaTheme="minorEastAsia"/>
                <w:kern w:val="0"/>
                <w:szCs w:val="21"/>
              </w:rPr>
            </w:pPr>
          </w:p>
        </w:tc>
        <w:tc>
          <w:tcPr>
            <w:tcW w:w="252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C9294" w14:textId="77777777" w:rsidR="00B14D53" w:rsidRDefault="00000000">
            <w:pPr>
              <w:rPr>
                <w:rFonts w:eastAsiaTheme="minorEastAsia"/>
                <w:kern w:val="0"/>
                <w:szCs w:val="21"/>
              </w:rPr>
            </w:pPr>
            <w:r>
              <w:rPr>
                <w:rFonts w:eastAsiaTheme="minorEastAsia"/>
                <w:kern w:val="0"/>
                <w:szCs w:val="21"/>
              </w:rPr>
              <w:t>受影响水体环境质量</w:t>
            </w:r>
          </w:p>
        </w:tc>
        <w:tc>
          <w:tcPr>
            <w:tcW w:w="50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B02CF5" w14:textId="77777777" w:rsidR="00B14D53" w:rsidRDefault="00000000">
            <w:pPr>
              <w:rPr>
                <w:rFonts w:eastAsiaTheme="minorEastAsia"/>
                <w:kern w:val="0"/>
                <w:szCs w:val="21"/>
              </w:rPr>
            </w:pPr>
            <w:r>
              <w:rPr>
                <w:rFonts w:eastAsiaTheme="minorEastAsia"/>
                <w:kern w:val="0"/>
                <w:szCs w:val="21"/>
              </w:rPr>
              <w:t>调查时期</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4B969C7" w14:textId="77777777" w:rsidR="00B14D53" w:rsidRDefault="00000000">
            <w:pPr>
              <w:rPr>
                <w:rFonts w:eastAsiaTheme="minorEastAsia"/>
                <w:kern w:val="0"/>
                <w:szCs w:val="21"/>
              </w:rPr>
            </w:pPr>
            <w:r>
              <w:rPr>
                <w:rFonts w:eastAsiaTheme="minorEastAsia"/>
                <w:kern w:val="0"/>
                <w:szCs w:val="21"/>
              </w:rPr>
              <w:t>数据起源</w:t>
            </w:r>
          </w:p>
        </w:tc>
      </w:tr>
      <w:tr w:rsidR="00B14D53" w14:paraId="0AF74331" w14:textId="77777777">
        <w:trPr>
          <w:trHeight w:val="675"/>
        </w:trPr>
        <w:tc>
          <w:tcPr>
            <w:tcW w:w="38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7CEE05A2" w14:textId="77777777" w:rsidR="00B14D53" w:rsidRDefault="00B14D53">
            <w:pPr>
              <w:widowControl/>
              <w:jc w:val="left"/>
              <w:rPr>
                <w:rFonts w:eastAsiaTheme="minorEastAsia"/>
                <w:kern w:val="0"/>
                <w:szCs w:val="21"/>
              </w:rPr>
            </w:pPr>
          </w:p>
        </w:tc>
        <w:tc>
          <w:tcPr>
            <w:tcW w:w="252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B1CEC" w14:textId="77777777" w:rsidR="00B14D53" w:rsidRDefault="00B14D53">
            <w:pPr>
              <w:widowControl/>
              <w:jc w:val="left"/>
              <w:rPr>
                <w:rFonts w:eastAsiaTheme="minorEastAsia"/>
                <w:kern w:val="0"/>
                <w:szCs w:val="21"/>
              </w:rPr>
            </w:pPr>
          </w:p>
        </w:tc>
        <w:tc>
          <w:tcPr>
            <w:tcW w:w="50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17A5B" w14:textId="77777777" w:rsidR="00B14D53" w:rsidRDefault="00000000">
            <w:pPr>
              <w:jc w:val="left"/>
              <w:rPr>
                <w:rFonts w:eastAsiaTheme="minorEastAsia"/>
                <w:kern w:val="0"/>
                <w:szCs w:val="21"/>
              </w:rPr>
            </w:pPr>
            <w:r>
              <w:rPr>
                <w:rFonts w:eastAsiaTheme="minorEastAsia"/>
                <w:kern w:val="0"/>
                <w:szCs w:val="21"/>
              </w:rPr>
              <w:t>丰水期</w:t>
            </w:r>
            <w:r>
              <w:rPr>
                <w:rFonts w:eastAsiaTheme="minorEastAsia"/>
                <w:kern w:val="0"/>
                <w:szCs w:val="21"/>
              </w:rPr>
              <w:t>□</w:t>
            </w:r>
            <w:r>
              <w:rPr>
                <w:rFonts w:eastAsiaTheme="minorEastAsia"/>
                <w:kern w:val="0"/>
                <w:szCs w:val="21"/>
              </w:rPr>
              <w:t>；平水期</w:t>
            </w:r>
            <w:r>
              <w:rPr>
                <w:rFonts w:eastAsiaTheme="minorEastAsia"/>
                <w:kern w:val="0"/>
                <w:szCs w:val="21"/>
              </w:rPr>
              <w:t>□</w:t>
            </w:r>
            <w:r>
              <w:rPr>
                <w:rFonts w:eastAsiaTheme="minorEastAsia"/>
                <w:kern w:val="0"/>
                <w:szCs w:val="21"/>
              </w:rPr>
              <w:t>；枯水期</w:t>
            </w:r>
            <w:r>
              <w:rPr>
                <w:rFonts w:eastAsiaTheme="minorEastAsia"/>
                <w:kern w:val="0"/>
                <w:szCs w:val="21"/>
              </w:rPr>
              <w:t>□</w:t>
            </w:r>
            <w:r>
              <w:rPr>
                <w:rFonts w:eastAsiaTheme="minorEastAsia"/>
                <w:kern w:val="0"/>
                <w:szCs w:val="21"/>
              </w:rPr>
              <w:t>；冰封期</w:t>
            </w:r>
            <w:r>
              <w:rPr>
                <w:rFonts w:eastAsiaTheme="minorEastAsia"/>
                <w:kern w:val="0"/>
                <w:szCs w:val="21"/>
              </w:rPr>
              <w:t>□</w:t>
            </w:r>
          </w:p>
          <w:p w14:paraId="786FA8C2" w14:textId="77777777" w:rsidR="00B14D53" w:rsidRDefault="00000000">
            <w:pPr>
              <w:jc w:val="left"/>
              <w:rPr>
                <w:rFonts w:eastAsiaTheme="minorEastAsia"/>
                <w:kern w:val="0"/>
                <w:szCs w:val="21"/>
              </w:rPr>
            </w:pPr>
            <w:r>
              <w:rPr>
                <w:rFonts w:eastAsiaTheme="minorEastAsia"/>
                <w:kern w:val="0"/>
                <w:szCs w:val="21"/>
              </w:rPr>
              <w:t>春季</w:t>
            </w:r>
            <w:r>
              <w:rPr>
                <w:rFonts w:eastAsiaTheme="minorEastAsia" w:hint="eastAsia"/>
                <w:bCs/>
                <w:kern w:val="0"/>
                <w:szCs w:val="21"/>
              </w:rPr>
              <w:t>☑</w:t>
            </w:r>
            <w:r>
              <w:rPr>
                <w:rFonts w:eastAsiaTheme="minorEastAsia"/>
                <w:kern w:val="0"/>
                <w:szCs w:val="21"/>
              </w:rPr>
              <w:t>；夏季</w:t>
            </w:r>
            <w:r>
              <w:rPr>
                <w:rFonts w:eastAsiaTheme="minorEastAsia" w:hint="eastAsia"/>
                <w:bCs/>
                <w:kern w:val="0"/>
                <w:szCs w:val="21"/>
              </w:rPr>
              <w:t>☑</w:t>
            </w:r>
            <w:r>
              <w:rPr>
                <w:rFonts w:eastAsiaTheme="minorEastAsia"/>
                <w:kern w:val="0"/>
                <w:szCs w:val="21"/>
              </w:rPr>
              <w:t>；秋季</w:t>
            </w:r>
            <w:r>
              <w:rPr>
                <w:rFonts w:eastAsiaTheme="minorEastAsia" w:hint="eastAsia"/>
                <w:bCs/>
                <w:kern w:val="0"/>
                <w:szCs w:val="21"/>
              </w:rPr>
              <w:t>☑</w:t>
            </w:r>
            <w:r>
              <w:rPr>
                <w:rFonts w:eastAsiaTheme="minorEastAsia"/>
                <w:kern w:val="0"/>
                <w:szCs w:val="21"/>
              </w:rPr>
              <w:t>；冬季</w:t>
            </w:r>
            <w:r>
              <w:rPr>
                <w:rFonts w:eastAsiaTheme="minorEastAsia" w:hint="eastAsia"/>
                <w:bCs/>
                <w:kern w:val="0"/>
                <w:szCs w:val="21"/>
              </w:rPr>
              <w:t>☑</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EAA010D" w14:textId="77777777" w:rsidR="00B14D53" w:rsidRDefault="00000000">
            <w:pPr>
              <w:rPr>
                <w:rFonts w:eastAsiaTheme="minorEastAsia"/>
                <w:kern w:val="0"/>
                <w:szCs w:val="21"/>
              </w:rPr>
            </w:pPr>
            <w:r>
              <w:rPr>
                <w:rFonts w:eastAsiaTheme="minorEastAsia"/>
                <w:kern w:val="0"/>
                <w:szCs w:val="21"/>
              </w:rPr>
              <w:t>生态环境保护主管部门</w:t>
            </w:r>
            <w:r>
              <w:rPr>
                <w:rFonts w:eastAsiaTheme="minorEastAsia" w:hint="eastAsia"/>
                <w:bCs/>
                <w:kern w:val="0"/>
                <w:szCs w:val="21"/>
              </w:rPr>
              <w:t>☑</w:t>
            </w:r>
            <w:r>
              <w:rPr>
                <w:rFonts w:eastAsiaTheme="minorEastAsia"/>
                <w:kern w:val="0"/>
                <w:szCs w:val="21"/>
              </w:rPr>
              <w:t>；补充监测</w:t>
            </w:r>
            <w:r>
              <w:rPr>
                <w:rFonts w:eastAsiaTheme="minorEastAsia"/>
                <w:kern w:val="0"/>
                <w:szCs w:val="21"/>
              </w:rPr>
              <w:t>□</w:t>
            </w:r>
            <w:r>
              <w:rPr>
                <w:rFonts w:eastAsiaTheme="minorEastAsia"/>
                <w:kern w:val="0"/>
                <w:szCs w:val="21"/>
              </w:rPr>
              <w:t>；其他</w:t>
            </w:r>
            <w:r>
              <w:rPr>
                <w:rFonts w:eastAsiaTheme="minorEastAsia"/>
                <w:kern w:val="0"/>
                <w:szCs w:val="21"/>
              </w:rPr>
              <w:t>□</w:t>
            </w:r>
          </w:p>
        </w:tc>
      </w:tr>
      <w:tr w:rsidR="00B14D53" w14:paraId="5E0235A8" w14:textId="77777777">
        <w:trPr>
          <w:trHeight w:val="353"/>
        </w:trPr>
        <w:tc>
          <w:tcPr>
            <w:tcW w:w="38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4AD95ED4" w14:textId="77777777" w:rsidR="00B14D53" w:rsidRDefault="00B14D53">
            <w:pPr>
              <w:widowControl/>
              <w:jc w:val="left"/>
              <w:rPr>
                <w:rFonts w:eastAsiaTheme="minorEastAsia"/>
                <w:kern w:val="0"/>
                <w:szCs w:val="21"/>
              </w:rPr>
            </w:pP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17D56B" w14:textId="77777777" w:rsidR="00B14D53" w:rsidRDefault="00000000">
            <w:pPr>
              <w:rPr>
                <w:rFonts w:eastAsiaTheme="minorEastAsia"/>
                <w:kern w:val="0"/>
                <w:szCs w:val="21"/>
              </w:rPr>
            </w:pPr>
            <w:r>
              <w:rPr>
                <w:rFonts w:eastAsiaTheme="minorEastAsia"/>
                <w:kern w:val="0"/>
                <w:szCs w:val="21"/>
              </w:rPr>
              <w:t>区域水资源开发利用状况</w:t>
            </w:r>
          </w:p>
        </w:tc>
        <w:tc>
          <w:tcPr>
            <w:tcW w:w="11134"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D631AA5" w14:textId="77777777" w:rsidR="00B14D53" w:rsidRDefault="00000000">
            <w:pPr>
              <w:jc w:val="left"/>
              <w:rPr>
                <w:rFonts w:eastAsiaTheme="minorEastAsia"/>
                <w:kern w:val="0"/>
                <w:szCs w:val="21"/>
              </w:rPr>
            </w:pPr>
            <w:r>
              <w:rPr>
                <w:rFonts w:eastAsiaTheme="minorEastAsia"/>
                <w:kern w:val="0"/>
                <w:szCs w:val="21"/>
              </w:rPr>
              <w:t>未开发</w:t>
            </w:r>
            <w:r>
              <w:rPr>
                <w:rFonts w:eastAsiaTheme="minorEastAsia"/>
                <w:kern w:val="0"/>
                <w:szCs w:val="21"/>
              </w:rPr>
              <w:t>□</w:t>
            </w:r>
            <w:r>
              <w:rPr>
                <w:rFonts w:eastAsiaTheme="minorEastAsia"/>
                <w:kern w:val="0"/>
                <w:szCs w:val="21"/>
              </w:rPr>
              <w:t>；开发量</w:t>
            </w:r>
            <w:r>
              <w:rPr>
                <w:rFonts w:eastAsiaTheme="minorEastAsia"/>
                <w:kern w:val="0"/>
                <w:szCs w:val="21"/>
              </w:rPr>
              <w:t>40%</w:t>
            </w:r>
            <w:r>
              <w:rPr>
                <w:rFonts w:eastAsiaTheme="minorEastAsia"/>
                <w:kern w:val="0"/>
                <w:szCs w:val="21"/>
              </w:rPr>
              <w:t>以下</w:t>
            </w:r>
            <w:r>
              <w:rPr>
                <w:rFonts w:eastAsiaTheme="minorEastAsia"/>
                <w:kern w:val="0"/>
                <w:szCs w:val="21"/>
              </w:rPr>
              <w:t>□</w:t>
            </w:r>
            <w:r>
              <w:rPr>
                <w:rFonts w:eastAsiaTheme="minorEastAsia"/>
                <w:kern w:val="0"/>
                <w:szCs w:val="21"/>
              </w:rPr>
              <w:t>；开发量</w:t>
            </w:r>
            <w:r>
              <w:rPr>
                <w:rFonts w:eastAsiaTheme="minorEastAsia"/>
                <w:kern w:val="0"/>
                <w:szCs w:val="21"/>
              </w:rPr>
              <w:t>40%</w:t>
            </w:r>
            <w:r>
              <w:rPr>
                <w:rFonts w:eastAsiaTheme="minorEastAsia"/>
                <w:kern w:val="0"/>
                <w:szCs w:val="21"/>
              </w:rPr>
              <w:t>以上</w:t>
            </w:r>
            <w:r>
              <w:rPr>
                <w:rFonts w:eastAsiaTheme="minorEastAsia"/>
                <w:kern w:val="0"/>
                <w:szCs w:val="21"/>
              </w:rPr>
              <w:t>□</w:t>
            </w:r>
          </w:p>
        </w:tc>
      </w:tr>
      <w:tr w:rsidR="00B14D53" w14:paraId="5BECDF1D" w14:textId="77777777">
        <w:trPr>
          <w:trHeight w:val="353"/>
        </w:trPr>
        <w:tc>
          <w:tcPr>
            <w:tcW w:w="38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15D168D7" w14:textId="77777777" w:rsidR="00B14D53" w:rsidRDefault="00B14D53">
            <w:pPr>
              <w:widowControl/>
              <w:jc w:val="left"/>
              <w:rPr>
                <w:rFonts w:eastAsiaTheme="minorEastAsia"/>
                <w:kern w:val="0"/>
                <w:szCs w:val="21"/>
              </w:rPr>
            </w:pPr>
          </w:p>
        </w:tc>
        <w:tc>
          <w:tcPr>
            <w:tcW w:w="2529" w:type="dxa"/>
            <w:vMerge w:val="restart"/>
            <w:tcBorders>
              <w:top w:val="single" w:sz="6" w:space="0" w:color="000000" w:themeColor="text1"/>
              <w:left w:val="single" w:sz="6" w:space="0" w:color="000000" w:themeColor="text1"/>
              <w:bottom w:val="single" w:sz="12" w:space="0" w:color="000000" w:themeColor="text1"/>
              <w:right w:val="single" w:sz="6" w:space="0" w:color="000000" w:themeColor="text1"/>
            </w:tcBorders>
          </w:tcPr>
          <w:p w14:paraId="1DAFCEC8" w14:textId="77777777" w:rsidR="00B14D53" w:rsidRDefault="00000000">
            <w:pPr>
              <w:rPr>
                <w:rFonts w:eastAsiaTheme="minorEastAsia"/>
                <w:kern w:val="0"/>
                <w:szCs w:val="21"/>
              </w:rPr>
            </w:pPr>
            <w:r>
              <w:rPr>
                <w:rFonts w:eastAsiaTheme="minorEastAsia"/>
                <w:kern w:val="0"/>
                <w:szCs w:val="21"/>
              </w:rPr>
              <w:t>水文情势调查</w:t>
            </w:r>
          </w:p>
        </w:tc>
        <w:tc>
          <w:tcPr>
            <w:tcW w:w="50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C9DDA" w14:textId="77777777" w:rsidR="00B14D53" w:rsidRDefault="00000000">
            <w:pPr>
              <w:rPr>
                <w:rFonts w:eastAsiaTheme="minorEastAsia"/>
                <w:kern w:val="0"/>
                <w:szCs w:val="21"/>
              </w:rPr>
            </w:pPr>
            <w:r>
              <w:rPr>
                <w:rFonts w:eastAsiaTheme="minorEastAsia"/>
                <w:kern w:val="0"/>
                <w:szCs w:val="21"/>
              </w:rPr>
              <w:t>调查时期</w:t>
            </w:r>
          </w:p>
        </w:tc>
        <w:tc>
          <w:tcPr>
            <w:tcW w:w="607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F60B42D" w14:textId="77777777" w:rsidR="00B14D53" w:rsidRDefault="00000000">
            <w:pPr>
              <w:rPr>
                <w:rFonts w:eastAsiaTheme="minorEastAsia"/>
                <w:kern w:val="0"/>
                <w:szCs w:val="21"/>
              </w:rPr>
            </w:pPr>
            <w:r>
              <w:rPr>
                <w:rFonts w:eastAsiaTheme="minorEastAsia"/>
                <w:kern w:val="0"/>
                <w:szCs w:val="21"/>
              </w:rPr>
              <w:t>数据来源</w:t>
            </w:r>
          </w:p>
        </w:tc>
      </w:tr>
      <w:tr w:rsidR="00B14D53" w14:paraId="6C5B6D00" w14:textId="77777777">
        <w:trPr>
          <w:trHeight w:val="690"/>
        </w:trPr>
        <w:tc>
          <w:tcPr>
            <w:tcW w:w="38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2938414A" w14:textId="77777777" w:rsidR="00B14D53" w:rsidRDefault="00B14D53">
            <w:pPr>
              <w:widowControl/>
              <w:jc w:val="left"/>
              <w:rPr>
                <w:rFonts w:eastAsiaTheme="minorEastAsia"/>
                <w:kern w:val="0"/>
                <w:szCs w:val="21"/>
              </w:rPr>
            </w:pPr>
          </w:p>
        </w:tc>
        <w:tc>
          <w:tcPr>
            <w:tcW w:w="2529"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tcPr>
          <w:p w14:paraId="6E2D80FB" w14:textId="77777777" w:rsidR="00B14D53" w:rsidRDefault="00B14D53">
            <w:pPr>
              <w:widowControl/>
              <w:jc w:val="left"/>
              <w:rPr>
                <w:rFonts w:eastAsiaTheme="minorEastAsia"/>
                <w:kern w:val="0"/>
                <w:szCs w:val="21"/>
              </w:rPr>
            </w:pPr>
          </w:p>
        </w:tc>
        <w:tc>
          <w:tcPr>
            <w:tcW w:w="5059"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tcPr>
          <w:p w14:paraId="62BA19DD" w14:textId="77777777" w:rsidR="00B14D53" w:rsidRDefault="00000000">
            <w:pPr>
              <w:jc w:val="left"/>
              <w:rPr>
                <w:rFonts w:eastAsiaTheme="minorEastAsia"/>
                <w:kern w:val="0"/>
                <w:szCs w:val="21"/>
              </w:rPr>
            </w:pPr>
            <w:r>
              <w:rPr>
                <w:rFonts w:eastAsiaTheme="minorEastAsia"/>
                <w:kern w:val="0"/>
                <w:szCs w:val="21"/>
              </w:rPr>
              <w:t>丰水期</w:t>
            </w:r>
            <w:r>
              <w:rPr>
                <w:rFonts w:eastAsiaTheme="minorEastAsia"/>
                <w:kern w:val="0"/>
                <w:szCs w:val="21"/>
              </w:rPr>
              <w:t>□</w:t>
            </w:r>
            <w:r>
              <w:rPr>
                <w:rFonts w:eastAsiaTheme="minorEastAsia"/>
                <w:kern w:val="0"/>
                <w:szCs w:val="21"/>
              </w:rPr>
              <w:t>；平水期</w:t>
            </w:r>
            <w:r>
              <w:rPr>
                <w:rFonts w:eastAsiaTheme="minorEastAsia"/>
                <w:kern w:val="0"/>
                <w:szCs w:val="21"/>
              </w:rPr>
              <w:t>□</w:t>
            </w:r>
            <w:r>
              <w:rPr>
                <w:rFonts w:eastAsiaTheme="minorEastAsia"/>
                <w:kern w:val="0"/>
                <w:szCs w:val="21"/>
              </w:rPr>
              <w:t>；枯水期</w:t>
            </w:r>
            <w:r>
              <w:rPr>
                <w:rFonts w:eastAsiaTheme="minorEastAsia"/>
                <w:kern w:val="0"/>
                <w:szCs w:val="21"/>
              </w:rPr>
              <w:t>□</w:t>
            </w:r>
            <w:r>
              <w:rPr>
                <w:rFonts w:eastAsiaTheme="minorEastAsia"/>
                <w:kern w:val="0"/>
                <w:szCs w:val="21"/>
              </w:rPr>
              <w:t>；冰封期</w:t>
            </w:r>
            <w:r>
              <w:rPr>
                <w:rFonts w:eastAsiaTheme="minorEastAsia"/>
                <w:kern w:val="0"/>
                <w:szCs w:val="21"/>
              </w:rPr>
              <w:t>□</w:t>
            </w:r>
          </w:p>
          <w:p w14:paraId="187F16B8" w14:textId="77777777" w:rsidR="00B14D53" w:rsidRDefault="00000000">
            <w:pPr>
              <w:jc w:val="left"/>
              <w:rPr>
                <w:rFonts w:eastAsiaTheme="minorEastAsia"/>
                <w:kern w:val="0"/>
                <w:szCs w:val="21"/>
              </w:rPr>
            </w:pPr>
            <w:r>
              <w:rPr>
                <w:rFonts w:eastAsiaTheme="minorEastAsia"/>
                <w:kern w:val="0"/>
                <w:szCs w:val="21"/>
              </w:rPr>
              <w:t>春季</w:t>
            </w:r>
            <w:r>
              <w:rPr>
                <w:rFonts w:eastAsiaTheme="minorEastAsia"/>
                <w:kern w:val="0"/>
                <w:szCs w:val="21"/>
              </w:rPr>
              <w:t>□</w:t>
            </w:r>
            <w:r>
              <w:rPr>
                <w:rFonts w:eastAsiaTheme="minorEastAsia"/>
                <w:kern w:val="0"/>
                <w:szCs w:val="21"/>
              </w:rPr>
              <w:t>；夏季</w:t>
            </w:r>
            <w:r>
              <w:rPr>
                <w:rFonts w:eastAsiaTheme="minorEastAsia"/>
                <w:kern w:val="0"/>
                <w:szCs w:val="21"/>
              </w:rPr>
              <w:t>□</w:t>
            </w:r>
            <w:r>
              <w:rPr>
                <w:rFonts w:eastAsiaTheme="minorEastAsia"/>
                <w:kern w:val="0"/>
                <w:szCs w:val="21"/>
              </w:rPr>
              <w:t>；秋季</w:t>
            </w:r>
            <w:r>
              <w:rPr>
                <w:rFonts w:eastAsiaTheme="minorEastAsia"/>
                <w:kern w:val="0"/>
                <w:szCs w:val="21"/>
              </w:rPr>
              <w:t>□</w:t>
            </w:r>
            <w:r>
              <w:rPr>
                <w:rFonts w:eastAsiaTheme="minorEastAsia"/>
                <w:kern w:val="0"/>
                <w:szCs w:val="21"/>
              </w:rPr>
              <w:t>；冬季</w:t>
            </w:r>
            <w:r>
              <w:rPr>
                <w:rFonts w:eastAsiaTheme="minorEastAsia"/>
                <w:kern w:val="0"/>
                <w:szCs w:val="21"/>
              </w:rPr>
              <w:t>□</w:t>
            </w:r>
          </w:p>
        </w:tc>
        <w:tc>
          <w:tcPr>
            <w:tcW w:w="6075"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14:paraId="5E9745BE" w14:textId="77777777" w:rsidR="00B14D53" w:rsidRDefault="00000000">
            <w:pPr>
              <w:jc w:val="left"/>
              <w:rPr>
                <w:rFonts w:eastAsiaTheme="minorEastAsia"/>
                <w:kern w:val="0"/>
                <w:szCs w:val="21"/>
              </w:rPr>
            </w:pPr>
            <w:r>
              <w:rPr>
                <w:rFonts w:eastAsiaTheme="minorEastAsia"/>
                <w:kern w:val="0"/>
                <w:szCs w:val="21"/>
              </w:rPr>
              <w:t>水行政主管部门</w:t>
            </w:r>
            <w:r>
              <w:rPr>
                <w:rFonts w:eastAsiaTheme="minorEastAsia"/>
                <w:kern w:val="0"/>
                <w:szCs w:val="21"/>
              </w:rPr>
              <w:t>□</w:t>
            </w:r>
            <w:r>
              <w:rPr>
                <w:rFonts w:eastAsiaTheme="minorEastAsia"/>
                <w:kern w:val="0"/>
                <w:szCs w:val="21"/>
              </w:rPr>
              <w:t>；补充监测</w:t>
            </w:r>
            <w:r>
              <w:rPr>
                <w:rFonts w:eastAsiaTheme="minorEastAsia"/>
                <w:kern w:val="0"/>
                <w:szCs w:val="21"/>
              </w:rPr>
              <w:t>□</w:t>
            </w:r>
            <w:r>
              <w:rPr>
                <w:rFonts w:eastAsiaTheme="minorEastAsia"/>
                <w:kern w:val="0"/>
                <w:szCs w:val="21"/>
              </w:rPr>
              <w:t>；其他</w:t>
            </w:r>
            <w:r>
              <w:rPr>
                <w:rFonts w:eastAsiaTheme="minorEastAsia"/>
                <w:kern w:val="0"/>
                <w:szCs w:val="21"/>
              </w:rPr>
              <w:t>□</w:t>
            </w:r>
          </w:p>
        </w:tc>
      </w:tr>
    </w:tbl>
    <w:p w14:paraId="0A71972F" w14:textId="77777777" w:rsidR="00B14D53" w:rsidRDefault="00000000">
      <w:pPr>
        <w:jc w:val="right"/>
        <w:rPr>
          <w:rFonts w:eastAsiaTheme="minorEastAsia"/>
          <w:b/>
        </w:rPr>
      </w:pPr>
      <w:r>
        <w:rPr>
          <w:rFonts w:eastAsiaTheme="minorEastAsia"/>
          <w:b/>
        </w:rPr>
        <w:t>续表</w:t>
      </w:r>
    </w:p>
    <w:tbl>
      <w:tblPr>
        <w:tblStyle w:val="afff1"/>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390"/>
        <w:gridCol w:w="2539"/>
        <w:gridCol w:w="5588"/>
        <w:gridCol w:w="2794"/>
        <w:gridCol w:w="1211"/>
        <w:gridCol w:w="1584"/>
      </w:tblGrid>
      <w:tr w:rsidR="00B14D53" w14:paraId="26E56425" w14:textId="77777777">
        <w:trPr>
          <w:trHeight w:val="92"/>
        </w:trPr>
        <w:tc>
          <w:tcPr>
            <w:tcW w:w="2929"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tcPr>
          <w:p w14:paraId="42C1950E" w14:textId="77777777" w:rsidR="00B14D53" w:rsidRDefault="00000000">
            <w:pPr>
              <w:rPr>
                <w:rFonts w:eastAsiaTheme="minorEastAsia"/>
                <w:kern w:val="0"/>
                <w:szCs w:val="21"/>
              </w:rPr>
            </w:pPr>
            <w:r>
              <w:rPr>
                <w:rFonts w:eastAsiaTheme="minorEastAsia"/>
                <w:kern w:val="0"/>
                <w:szCs w:val="21"/>
              </w:rPr>
              <w:t>工作内容</w:t>
            </w:r>
          </w:p>
        </w:tc>
        <w:tc>
          <w:tcPr>
            <w:tcW w:w="11177" w:type="dxa"/>
            <w:gridSpan w:val="4"/>
            <w:tcBorders>
              <w:top w:val="single" w:sz="12" w:space="0" w:color="000000" w:themeColor="text1"/>
              <w:left w:val="single" w:sz="6" w:space="0" w:color="000000" w:themeColor="text1"/>
              <w:bottom w:val="single" w:sz="6" w:space="0" w:color="000000" w:themeColor="text1"/>
              <w:right w:val="single" w:sz="12" w:space="0" w:color="000000" w:themeColor="text1"/>
            </w:tcBorders>
          </w:tcPr>
          <w:p w14:paraId="17800FA8" w14:textId="77777777" w:rsidR="00B14D53" w:rsidRDefault="00000000">
            <w:pPr>
              <w:rPr>
                <w:rFonts w:eastAsiaTheme="minorEastAsia"/>
                <w:kern w:val="0"/>
                <w:szCs w:val="21"/>
              </w:rPr>
            </w:pPr>
            <w:r>
              <w:rPr>
                <w:rFonts w:eastAsiaTheme="minorEastAsia"/>
                <w:kern w:val="0"/>
                <w:szCs w:val="21"/>
              </w:rPr>
              <w:t>自查项目</w:t>
            </w:r>
          </w:p>
        </w:tc>
      </w:tr>
      <w:tr w:rsidR="00B14D53" w14:paraId="029A723C" w14:textId="77777777">
        <w:trPr>
          <w:trHeight w:val="71"/>
        </w:trPr>
        <w:tc>
          <w:tcPr>
            <w:tcW w:w="390" w:type="dxa"/>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93F9730" w14:textId="77777777" w:rsidR="00B14D53" w:rsidRDefault="00000000">
            <w:pPr>
              <w:rPr>
                <w:rFonts w:eastAsiaTheme="minorEastAsia"/>
                <w:kern w:val="0"/>
                <w:szCs w:val="21"/>
              </w:rPr>
            </w:pPr>
            <w:r>
              <w:rPr>
                <w:rFonts w:eastAsiaTheme="minorEastAsia"/>
                <w:kern w:val="0"/>
                <w:szCs w:val="21"/>
              </w:rPr>
              <w:t>现状调查</w:t>
            </w:r>
          </w:p>
        </w:tc>
        <w:tc>
          <w:tcPr>
            <w:tcW w:w="253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97EBAC" w14:textId="77777777" w:rsidR="00B14D53" w:rsidRDefault="00000000">
            <w:pPr>
              <w:rPr>
                <w:rFonts w:eastAsiaTheme="minorEastAsia"/>
                <w:kern w:val="0"/>
                <w:szCs w:val="21"/>
              </w:rPr>
            </w:pPr>
            <w:r>
              <w:rPr>
                <w:rFonts w:eastAsiaTheme="minorEastAsia"/>
                <w:kern w:val="0"/>
                <w:szCs w:val="21"/>
              </w:rPr>
              <w:t>补充监测</w:t>
            </w:r>
          </w:p>
        </w:tc>
        <w:tc>
          <w:tcPr>
            <w:tcW w:w="55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8FA28" w14:textId="77777777" w:rsidR="00B14D53" w:rsidRDefault="00000000">
            <w:pPr>
              <w:rPr>
                <w:rFonts w:eastAsiaTheme="minorEastAsia"/>
                <w:kern w:val="0"/>
                <w:szCs w:val="21"/>
              </w:rPr>
            </w:pPr>
            <w:r>
              <w:rPr>
                <w:rFonts w:eastAsiaTheme="minorEastAsia"/>
                <w:kern w:val="0"/>
                <w:szCs w:val="21"/>
              </w:rPr>
              <w:t>监测时期</w:t>
            </w:r>
          </w:p>
        </w:tc>
        <w:tc>
          <w:tcPr>
            <w:tcW w:w="27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18DBF" w14:textId="77777777" w:rsidR="00B14D53" w:rsidRDefault="00000000">
            <w:pPr>
              <w:rPr>
                <w:rFonts w:eastAsiaTheme="minorEastAsia"/>
                <w:kern w:val="0"/>
                <w:szCs w:val="21"/>
              </w:rPr>
            </w:pPr>
            <w:r>
              <w:rPr>
                <w:rFonts w:eastAsiaTheme="minorEastAsia"/>
                <w:kern w:val="0"/>
                <w:szCs w:val="21"/>
              </w:rPr>
              <w:t>监测因子</w:t>
            </w:r>
          </w:p>
        </w:tc>
        <w:tc>
          <w:tcPr>
            <w:tcW w:w="2795"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607C196" w14:textId="77777777" w:rsidR="00B14D53" w:rsidRDefault="00000000">
            <w:pPr>
              <w:rPr>
                <w:rFonts w:eastAsiaTheme="minorEastAsia"/>
                <w:kern w:val="0"/>
                <w:szCs w:val="21"/>
              </w:rPr>
            </w:pPr>
            <w:r>
              <w:rPr>
                <w:rFonts w:eastAsiaTheme="minorEastAsia"/>
                <w:kern w:val="0"/>
                <w:szCs w:val="21"/>
              </w:rPr>
              <w:t>监测断面或点位</w:t>
            </w:r>
          </w:p>
        </w:tc>
      </w:tr>
      <w:tr w:rsidR="00B14D53" w14:paraId="78B315BC" w14:textId="77777777">
        <w:trPr>
          <w:trHeight w:val="640"/>
        </w:trPr>
        <w:tc>
          <w:tcPr>
            <w:tcW w:w="390"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A1D19FF" w14:textId="77777777" w:rsidR="00B14D53" w:rsidRDefault="00B14D53">
            <w:pPr>
              <w:widowControl/>
              <w:jc w:val="left"/>
              <w:rPr>
                <w:rFonts w:eastAsiaTheme="minorEastAsia"/>
                <w:kern w:val="0"/>
                <w:szCs w:val="21"/>
              </w:rPr>
            </w:pPr>
          </w:p>
        </w:tc>
        <w:tc>
          <w:tcPr>
            <w:tcW w:w="253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B404D" w14:textId="77777777" w:rsidR="00B14D53" w:rsidRDefault="00B14D53">
            <w:pPr>
              <w:widowControl/>
              <w:jc w:val="left"/>
              <w:rPr>
                <w:rFonts w:eastAsiaTheme="minorEastAsia"/>
                <w:kern w:val="0"/>
                <w:szCs w:val="21"/>
              </w:rPr>
            </w:pPr>
          </w:p>
        </w:tc>
        <w:tc>
          <w:tcPr>
            <w:tcW w:w="55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EB3B3" w14:textId="77777777" w:rsidR="00B14D53" w:rsidRDefault="00000000">
            <w:pPr>
              <w:jc w:val="left"/>
              <w:rPr>
                <w:rFonts w:eastAsiaTheme="minorEastAsia"/>
                <w:kern w:val="0"/>
                <w:szCs w:val="21"/>
              </w:rPr>
            </w:pPr>
            <w:r>
              <w:rPr>
                <w:rFonts w:eastAsiaTheme="minorEastAsia"/>
                <w:kern w:val="0"/>
                <w:szCs w:val="21"/>
              </w:rPr>
              <w:t>丰水期</w:t>
            </w:r>
            <w:r>
              <w:rPr>
                <w:rFonts w:eastAsiaTheme="minorEastAsia"/>
                <w:kern w:val="0"/>
                <w:szCs w:val="21"/>
              </w:rPr>
              <w:t>□</w:t>
            </w:r>
            <w:r>
              <w:rPr>
                <w:rFonts w:eastAsiaTheme="minorEastAsia"/>
                <w:kern w:val="0"/>
                <w:szCs w:val="21"/>
              </w:rPr>
              <w:t>；平水期</w:t>
            </w:r>
            <w:r>
              <w:rPr>
                <w:rFonts w:eastAsiaTheme="minorEastAsia"/>
                <w:kern w:val="0"/>
                <w:szCs w:val="21"/>
              </w:rPr>
              <w:t>□</w:t>
            </w:r>
            <w:r>
              <w:rPr>
                <w:rFonts w:eastAsiaTheme="minorEastAsia"/>
                <w:kern w:val="0"/>
                <w:szCs w:val="21"/>
              </w:rPr>
              <w:t>；枯水期</w:t>
            </w:r>
            <w:r>
              <w:rPr>
                <w:rFonts w:eastAsiaTheme="minorEastAsia"/>
                <w:kern w:val="0"/>
                <w:szCs w:val="21"/>
              </w:rPr>
              <w:t>□</w:t>
            </w:r>
            <w:r>
              <w:rPr>
                <w:rFonts w:eastAsiaTheme="minorEastAsia"/>
                <w:kern w:val="0"/>
                <w:szCs w:val="21"/>
              </w:rPr>
              <w:t>；冰封期</w:t>
            </w:r>
            <w:r>
              <w:rPr>
                <w:rFonts w:eastAsiaTheme="minorEastAsia"/>
                <w:kern w:val="0"/>
                <w:szCs w:val="21"/>
              </w:rPr>
              <w:t>□</w:t>
            </w:r>
          </w:p>
          <w:p w14:paraId="042098D2" w14:textId="77777777" w:rsidR="00B14D53" w:rsidRDefault="00000000">
            <w:pPr>
              <w:jc w:val="left"/>
              <w:rPr>
                <w:rFonts w:eastAsiaTheme="minorEastAsia"/>
                <w:kern w:val="0"/>
                <w:szCs w:val="21"/>
              </w:rPr>
            </w:pPr>
            <w:r>
              <w:rPr>
                <w:rFonts w:eastAsiaTheme="minorEastAsia"/>
                <w:kern w:val="0"/>
                <w:szCs w:val="21"/>
              </w:rPr>
              <w:t>春季</w:t>
            </w:r>
            <w:r>
              <w:rPr>
                <w:rFonts w:eastAsiaTheme="minorEastAsia"/>
                <w:kern w:val="0"/>
                <w:szCs w:val="21"/>
              </w:rPr>
              <w:t>□</w:t>
            </w:r>
            <w:r>
              <w:rPr>
                <w:rFonts w:eastAsiaTheme="minorEastAsia"/>
                <w:kern w:val="0"/>
                <w:szCs w:val="21"/>
              </w:rPr>
              <w:t>；夏季</w:t>
            </w:r>
            <w:r>
              <w:rPr>
                <w:rFonts w:eastAsiaTheme="minorEastAsia"/>
                <w:kern w:val="0"/>
                <w:szCs w:val="21"/>
              </w:rPr>
              <w:t>□</w:t>
            </w:r>
            <w:r>
              <w:rPr>
                <w:rFonts w:eastAsiaTheme="minorEastAsia"/>
                <w:kern w:val="0"/>
                <w:szCs w:val="21"/>
              </w:rPr>
              <w:t>；秋季</w:t>
            </w:r>
            <w:r>
              <w:rPr>
                <w:rFonts w:eastAsiaTheme="minorEastAsia"/>
                <w:kern w:val="0"/>
                <w:szCs w:val="21"/>
              </w:rPr>
              <w:t>□</w:t>
            </w:r>
            <w:r>
              <w:rPr>
                <w:rFonts w:eastAsiaTheme="minorEastAsia"/>
                <w:kern w:val="0"/>
                <w:szCs w:val="21"/>
              </w:rPr>
              <w:t>；冬季</w:t>
            </w:r>
            <w:r>
              <w:rPr>
                <w:rFonts w:eastAsiaTheme="minorEastAsia"/>
                <w:kern w:val="0"/>
                <w:szCs w:val="21"/>
              </w:rPr>
              <w:t>□</w:t>
            </w:r>
          </w:p>
        </w:tc>
        <w:tc>
          <w:tcPr>
            <w:tcW w:w="27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36C01" w14:textId="77777777" w:rsidR="00B14D53" w:rsidRDefault="00000000">
            <w:pPr>
              <w:rPr>
                <w:rFonts w:eastAsiaTheme="minorEastAsia"/>
                <w:kern w:val="0"/>
                <w:szCs w:val="21"/>
              </w:rPr>
            </w:pPr>
            <w:r>
              <w:rPr>
                <w:rFonts w:eastAsiaTheme="minorEastAsia"/>
                <w:kern w:val="0"/>
                <w:szCs w:val="21"/>
              </w:rPr>
              <w:t>（）</w:t>
            </w:r>
          </w:p>
        </w:tc>
        <w:tc>
          <w:tcPr>
            <w:tcW w:w="2795"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FA359A6" w14:textId="77777777" w:rsidR="00B14D53" w:rsidRDefault="00000000">
            <w:pPr>
              <w:rPr>
                <w:rFonts w:eastAsiaTheme="minorEastAsia"/>
                <w:kern w:val="0"/>
                <w:szCs w:val="21"/>
              </w:rPr>
            </w:pPr>
            <w:r>
              <w:rPr>
                <w:rFonts w:eastAsiaTheme="minorEastAsia"/>
                <w:kern w:val="0"/>
                <w:szCs w:val="21"/>
              </w:rPr>
              <w:t>监测断面或点位个数（）个</w:t>
            </w:r>
          </w:p>
        </w:tc>
      </w:tr>
      <w:tr w:rsidR="00B14D53" w14:paraId="48926B28" w14:textId="77777777">
        <w:trPr>
          <w:trHeight w:val="421"/>
        </w:trPr>
        <w:tc>
          <w:tcPr>
            <w:tcW w:w="390" w:type="dxa"/>
            <w:vMerge w:val="restart"/>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0955C4BC" w14:textId="77777777" w:rsidR="00B14D53" w:rsidRDefault="00000000">
            <w:pPr>
              <w:rPr>
                <w:rFonts w:eastAsiaTheme="minorEastAsia"/>
                <w:kern w:val="0"/>
                <w:szCs w:val="21"/>
              </w:rPr>
            </w:pPr>
            <w:r>
              <w:rPr>
                <w:rFonts w:eastAsiaTheme="minorEastAsia"/>
                <w:kern w:val="0"/>
                <w:szCs w:val="21"/>
              </w:rPr>
              <w:t>现状评价</w:t>
            </w:r>
          </w:p>
        </w:tc>
        <w:tc>
          <w:tcPr>
            <w:tcW w:w="2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692874" w14:textId="77777777" w:rsidR="00B14D53" w:rsidRDefault="00000000">
            <w:pPr>
              <w:rPr>
                <w:rFonts w:eastAsiaTheme="minorEastAsia"/>
                <w:kern w:val="0"/>
                <w:szCs w:val="21"/>
              </w:rPr>
            </w:pPr>
            <w:r>
              <w:rPr>
                <w:rFonts w:eastAsiaTheme="minorEastAsia"/>
                <w:kern w:val="0"/>
                <w:szCs w:val="21"/>
              </w:rPr>
              <w:t>评价范围</w:t>
            </w:r>
          </w:p>
        </w:tc>
        <w:tc>
          <w:tcPr>
            <w:tcW w:w="11177" w:type="dxa"/>
            <w:gridSpan w:val="4"/>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F41C0E8" w14:textId="77777777" w:rsidR="00B14D53" w:rsidRDefault="00000000">
            <w:pPr>
              <w:jc w:val="left"/>
              <w:rPr>
                <w:rFonts w:eastAsiaTheme="minorEastAsia"/>
                <w:kern w:val="0"/>
                <w:szCs w:val="21"/>
              </w:rPr>
            </w:pPr>
            <w:r>
              <w:rPr>
                <w:rFonts w:eastAsiaTheme="minorEastAsia"/>
                <w:kern w:val="0"/>
                <w:szCs w:val="21"/>
              </w:rPr>
              <w:t>河流：长度（）</w:t>
            </w:r>
            <w:r>
              <w:rPr>
                <w:rFonts w:eastAsiaTheme="minorEastAsia"/>
                <w:kern w:val="0"/>
                <w:szCs w:val="21"/>
              </w:rPr>
              <w:t>km</w:t>
            </w:r>
            <w:r>
              <w:rPr>
                <w:rFonts w:eastAsiaTheme="minorEastAsia"/>
                <w:kern w:val="0"/>
                <w:szCs w:val="21"/>
              </w:rPr>
              <w:t>；湖库、河口及近岸海域：面积（）</w:t>
            </w:r>
            <w:r>
              <w:rPr>
                <w:rFonts w:eastAsiaTheme="minorEastAsia"/>
                <w:kern w:val="0"/>
                <w:szCs w:val="21"/>
              </w:rPr>
              <w:t>km</w:t>
            </w:r>
            <w:r>
              <w:rPr>
                <w:rFonts w:eastAsiaTheme="minorEastAsia"/>
                <w:kern w:val="0"/>
                <w:szCs w:val="21"/>
                <w:vertAlign w:val="superscript"/>
              </w:rPr>
              <w:t>2</w:t>
            </w:r>
          </w:p>
        </w:tc>
      </w:tr>
      <w:tr w:rsidR="00B14D53" w14:paraId="03B0516B" w14:textId="77777777">
        <w:trPr>
          <w:trHeight w:val="213"/>
        </w:trPr>
        <w:tc>
          <w:tcPr>
            <w:tcW w:w="390"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3425C682" w14:textId="77777777" w:rsidR="00B14D53" w:rsidRDefault="00B14D53">
            <w:pPr>
              <w:widowControl/>
              <w:jc w:val="left"/>
              <w:rPr>
                <w:rFonts w:eastAsiaTheme="minorEastAsia"/>
                <w:kern w:val="0"/>
                <w:szCs w:val="21"/>
              </w:rPr>
            </w:pPr>
          </w:p>
        </w:tc>
        <w:tc>
          <w:tcPr>
            <w:tcW w:w="2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D2F10" w14:textId="77777777" w:rsidR="00B14D53" w:rsidRDefault="00000000">
            <w:pPr>
              <w:rPr>
                <w:rFonts w:eastAsiaTheme="minorEastAsia"/>
                <w:kern w:val="0"/>
                <w:szCs w:val="21"/>
              </w:rPr>
            </w:pPr>
            <w:r>
              <w:rPr>
                <w:rFonts w:eastAsiaTheme="minorEastAsia"/>
                <w:kern w:val="0"/>
                <w:szCs w:val="21"/>
              </w:rPr>
              <w:t>评价因子</w:t>
            </w:r>
          </w:p>
        </w:tc>
        <w:tc>
          <w:tcPr>
            <w:tcW w:w="11177" w:type="dxa"/>
            <w:gridSpan w:val="4"/>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E433761" w14:textId="77777777" w:rsidR="00B14D53" w:rsidRDefault="00000000">
            <w:pPr>
              <w:jc w:val="left"/>
              <w:rPr>
                <w:rFonts w:eastAsiaTheme="minorEastAsia"/>
                <w:kern w:val="0"/>
                <w:szCs w:val="21"/>
              </w:rPr>
            </w:pPr>
            <w:r>
              <w:rPr>
                <w:rFonts w:eastAsiaTheme="minorEastAsia"/>
                <w:kern w:val="0"/>
                <w:szCs w:val="21"/>
              </w:rPr>
              <w:t>（）</w:t>
            </w:r>
          </w:p>
        </w:tc>
      </w:tr>
      <w:tr w:rsidR="00B14D53" w14:paraId="64335DD6" w14:textId="77777777">
        <w:trPr>
          <w:trHeight w:val="213"/>
        </w:trPr>
        <w:tc>
          <w:tcPr>
            <w:tcW w:w="390"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1E302CCC" w14:textId="77777777" w:rsidR="00B14D53" w:rsidRDefault="00B14D53">
            <w:pPr>
              <w:widowControl/>
              <w:jc w:val="left"/>
              <w:rPr>
                <w:rFonts w:eastAsiaTheme="minorEastAsia"/>
                <w:kern w:val="0"/>
                <w:szCs w:val="21"/>
              </w:rPr>
            </w:pPr>
          </w:p>
        </w:tc>
        <w:tc>
          <w:tcPr>
            <w:tcW w:w="2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33470E" w14:textId="77777777" w:rsidR="00B14D53" w:rsidRDefault="00000000">
            <w:pPr>
              <w:rPr>
                <w:rFonts w:eastAsiaTheme="minorEastAsia"/>
                <w:kern w:val="0"/>
                <w:szCs w:val="21"/>
              </w:rPr>
            </w:pPr>
            <w:r>
              <w:rPr>
                <w:rFonts w:eastAsiaTheme="minorEastAsia"/>
                <w:kern w:val="0"/>
                <w:szCs w:val="21"/>
              </w:rPr>
              <w:t>评价标准</w:t>
            </w:r>
          </w:p>
        </w:tc>
        <w:tc>
          <w:tcPr>
            <w:tcW w:w="11177" w:type="dxa"/>
            <w:gridSpan w:val="4"/>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F39BFB8" w14:textId="77777777" w:rsidR="00B14D53" w:rsidRDefault="00000000">
            <w:pPr>
              <w:jc w:val="left"/>
              <w:rPr>
                <w:rFonts w:eastAsiaTheme="minorEastAsia"/>
                <w:kern w:val="0"/>
                <w:szCs w:val="21"/>
              </w:rPr>
            </w:pPr>
            <w:r>
              <w:rPr>
                <w:rFonts w:eastAsiaTheme="minorEastAsia"/>
                <w:kern w:val="0"/>
                <w:szCs w:val="21"/>
              </w:rPr>
              <w:t>河流、湖库、河口：</w:t>
            </w:r>
            <w:r>
              <w:rPr>
                <w:rFonts w:eastAsiaTheme="minorEastAsia"/>
                <w:kern w:val="0"/>
                <w:szCs w:val="21"/>
              </w:rPr>
              <w:t>Ⅰ</w:t>
            </w:r>
            <w:r>
              <w:rPr>
                <w:rFonts w:eastAsiaTheme="minorEastAsia"/>
                <w:kern w:val="0"/>
                <w:szCs w:val="21"/>
              </w:rPr>
              <w:t>类</w:t>
            </w:r>
            <w:r>
              <w:rPr>
                <w:rFonts w:eastAsiaTheme="minorEastAsia"/>
                <w:kern w:val="0"/>
                <w:szCs w:val="21"/>
              </w:rPr>
              <w:t>□</w:t>
            </w:r>
            <w:r>
              <w:rPr>
                <w:rFonts w:eastAsiaTheme="minorEastAsia"/>
                <w:kern w:val="0"/>
                <w:szCs w:val="21"/>
              </w:rPr>
              <w:t>；</w:t>
            </w:r>
            <w:r>
              <w:rPr>
                <w:rFonts w:eastAsiaTheme="minorEastAsia"/>
                <w:kern w:val="0"/>
                <w:szCs w:val="21"/>
              </w:rPr>
              <w:t>Ⅱ</w:t>
            </w:r>
            <w:r>
              <w:rPr>
                <w:rFonts w:eastAsiaTheme="minorEastAsia"/>
                <w:kern w:val="0"/>
                <w:szCs w:val="21"/>
              </w:rPr>
              <w:t>类</w:t>
            </w:r>
            <w:r>
              <w:rPr>
                <w:rFonts w:eastAsiaTheme="minorEastAsia"/>
                <w:kern w:val="0"/>
                <w:szCs w:val="21"/>
              </w:rPr>
              <w:t>□</w:t>
            </w:r>
            <w:r>
              <w:rPr>
                <w:rFonts w:eastAsiaTheme="minorEastAsia"/>
                <w:kern w:val="0"/>
                <w:szCs w:val="21"/>
              </w:rPr>
              <w:t>；</w:t>
            </w:r>
            <w:r>
              <w:rPr>
                <w:rFonts w:eastAsiaTheme="minorEastAsia"/>
                <w:kern w:val="0"/>
                <w:szCs w:val="21"/>
              </w:rPr>
              <w:t>Ⅲ</w:t>
            </w:r>
            <w:r>
              <w:rPr>
                <w:rFonts w:eastAsiaTheme="minorEastAsia"/>
                <w:kern w:val="0"/>
                <w:szCs w:val="21"/>
              </w:rPr>
              <w:t>类</w:t>
            </w:r>
            <w:r>
              <w:rPr>
                <w:rFonts w:eastAsiaTheme="minorEastAsia" w:hint="eastAsia"/>
                <w:bCs/>
                <w:kern w:val="0"/>
                <w:szCs w:val="21"/>
              </w:rPr>
              <w:t>☑</w:t>
            </w:r>
            <w:r>
              <w:rPr>
                <w:rFonts w:eastAsiaTheme="minorEastAsia"/>
                <w:kern w:val="0"/>
                <w:szCs w:val="21"/>
              </w:rPr>
              <w:t>；</w:t>
            </w:r>
            <w:r>
              <w:rPr>
                <w:rFonts w:eastAsiaTheme="minorEastAsia"/>
                <w:kern w:val="0"/>
                <w:szCs w:val="21"/>
              </w:rPr>
              <w:t>Ⅳ</w:t>
            </w:r>
            <w:r>
              <w:rPr>
                <w:rFonts w:eastAsiaTheme="minorEastAsia"/>
                <w:kern w:val="0"/>
                <w:szCs w:val="21"/>
              </w:rPr>
              <w:t>类</w:t>
            </w:r>
            <w:r>
              <w:rPr>
                <w:rFonts w:eastAsiaTheme="minorEastAsia"/>
                <w:kern w:val="0"/>
                <w:szCs w:val="21"/>
              </w:rPr>
              <w:t>□</w:t>
            </w:r>
            <w:r>
              <w:rPr>
                <w:rFonts w:eastAsiaTheme="minorEastAsia"/>
                <w:kern w:val="0"/>
                <w:szCs w:val="21"/>
              </w:rPr>
              <w:t>；</w:t>
            </w:r>
            <w:r>
              <w:rPr>
                <w:rFonts w:eastAsiaTheme="minorEastAsia"/>
                <w:kern w:val="0"/>
                <w:szCs w:val="21"/>
              </w:rPr>
              <w:t>Ⅴ</w:t>
            </w:r>
            <w:r>
              <w:rPr>
                <w:rFonts w:eastAsiaTheme="minorEastAsia"/>
                <w:kern w:val="0"/>
                <w:szCs w:val="21"/>
              </w:rPr>
              <w:t>类</w:t>
            </w:r>
            <w:r>
              <w:rPr>
                <w:rFonts w:eastAsiaTheme="minorEastAsia"/>
                <w:kern w:val="0"/>
                <w:szCs w:val="21"/>
              </w:rPr>
              <w:t>□</w:t>
            </w:r>
          </w:p>
          <w:p w14:paraId="657CFBAA" w14:textId="77777777" w:rsidR="00B14D53" w:rsidRDefault="00000000">
            <w:pPr>
              <w:jc w:val="left"/>
              <w:rPr>
                <w:rFonts w:eastAsiaTheme="minorEastAsia"/>
                <w:kern w:val="0"/>
                <w:szCs w:val="21"/>
              </w:rPr>
            </w:pPr>
            <w:r>
              <w:rPr>
                <w:rFonts w:eastAsiaTheme="minorEastAsia"/>
                <w:kern w:val="0"/>
                <w:szCs w:val="21"/>
              </w:rPr>
              <w:t>近岸海域：第一类</w:t>
            </w:r>
            <w:r>
              <w:rPr>
                <w:rFonts w:eastAsiaTheme="minorEastAsia"/>
                <w:kern w:val="0"/>
                <w:szCs w:val="21"/>
              </w:rPr>
              <w:t>□</w:t>
            </w:r>
            <w:r>
              <w:rPr>
                <w:rFonts w:eastAsiaTheme="minorEastAsia"/>
                <w:kern w:val="0"/>
                <w:szCs w:val="21"/>
              </w:rPr>
              <w:t>；第二类</w:t>
            </w:r>
            <w:r>
              <w:rPr>
                <w:rFonts w:eastAsiaTheme="minorEastAsia"/>
                <w:kern w:val="0"/>
                <w:szCs w:val="21"/>
              </w:rPr>
              <w:t>□</w:t>
            </w:r>
            <w:r>
              <w:rPr>
                <w:rFonts w:eastAsiaTheme="minorEastAsia"/>
                <w:kern w:val="0"/>
                <w:szCs w:val="21"/>
              </w:rPr>
              <w:t>；第三类</w:t>
            </w:r>
            <w:r>
              <w:rPr>
                <w:rFonts w:eastAsiaTheme="minorEastAsia"/>
                <w:kern w:val="0"/>
                <w:szCs w:val="21"/>
              </w:rPr>
              <w:t>□</w:t>
            </w:r>
            <w:r>
              <w:rPr>
                <w:rFonts w:eastAsiaTheme="minorEastAsia"/>
                <w:kern w:val="0"/>
                <w:szCs w:val="21"/>
              </w:rPr>
              <w:t>；第四类</w:t>
            </w:r>
            <w:r>
              <w:rPr>
                <w:rFonts w:eastAsiaTheme="minorEastAsia"/>
                <w:kern w:val="0"/>
                <w:szCs w:val="21"/>
              </w:rPr>
              <w:t>□</w:t>
            </w:r>
          </w:p>
          <w:p w14:paraId="06CF927C" w14:textId="77777777" w:rsidR="00B14D53" w:rsidRDefault="00000000">
            <w:pPr>
              <w:jc w:val="left"/>
              <w:rPr>
                <w:rFonts w:eastAsiaTheme="minorEastAsia"/>
                <w:kern w:val="0"/>
                <w:szCs w:val="21"/>
              </w:rPr>
            </w:pPr>
            <w:r>
              <w:rPr>
                <w:rFonts w:eastAsiaTheme="minorEastAsia"/>
                <w:kern w:val="0"/>
                <w:szCs w:val="21"/>
              </w:rPr>
              <w:t>规划年评价标准（</w:t>
            </w:r>
            <w:r>
              <w:rPr>
                <w:rFonts w:eastAsiaTheme="minorEastAsia"/>
                <w:kern w:val="0"/>
                <w:szCs w:val="21"/>
              </w:rPr>
              <w:t>202</w:t>
            </w:r>
            <w:r>
              <w:rPr>
                <w:rFonts w:eastAsiaTheme="minorEastAsia" w:hint="eastAsia"/>
                <w:kern w:val="0"/>
                <w:szCs w:val="21"/>
              </w:rPr>
              <w:t>4</w:t>
            </w:r>
            <w:r>
              <w:rPr>
                <w:rFonts w:eastAsiaTheme="minorEastAsia"/>
                <w:kern w:val="0"/>
                <w:szCs w:val="21"/>
              </w:rPr>
              <w:t>）</w:t>
            </w:r>
          </w:p>
        </w:tc>
      </w:tr>
      <w:tr w:rsidR="00B14D53" w14:paraId="22DF39EF" w14:textId="77777777">
        <w:trPr>
          <w:trHeight w:val="213"/>
        </w:trPr>
        <w:tc>
          <w:tcPr>
            <w:tcW w:w="390"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21A3BCD3" w14:textId="77777777" w:rsidR="00B14D53" w:rsidRDefault="00B14D53">
            <w:pPr>
              <w:widowControl/>
              <w:jc w:val="left"/>
              <w:rPr>
                <w:rFonts w:eastAsiaTheme="minorEastAsia"/>
                <w:kern w:val="0"/>
                <w:szCs w:val="21"/>
              </w:rPr>
            </w:pPr>
          </w:p>
        </w:tc>
        <w:tc>
          <w:tcPr>
            <w:tcW w:w="2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8FBB94" w14:textId="77777777" w:rsidR="00B14D53" w:rsidRDefault="00000000">
            <w:pPr>
              <w:rPr>
                <w:rFonts w:eastAsiaTheme="minorEastAsia"/>
                <w:kern w:val="0"/>
                <w:szCs w:val="21"/>
              </w:rPr>
            </w:pPr>
            <w:r>
              <w:rPr>
                <w:rFonts w:eastAsiaTheme="minorEastAsia"/>
                <w:kern w:val="0"/>
                <w:szCs w:val="21"/>
              </w:rPr>
              <w:t>评价时期</w:t>
            </w:r>
          </w:p>
        </w:tc>
        <w:tc>
          <w:tcPr>
            <w:tcW w:w="11177" w:type="dxa"/>
            <w:gridSpan w:val="4"/>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21BD6D6" w14:textId="77777777" w:rsidR="00B14D53" w:rsidRDefault="00000000">
            <w:pPr>
              <w:jc w:val="left"/>
              <w:rPr>
                <w:rFonts w:eastAsiaTheme="minorEastAsia"/>
                <w:kern w:val="0"/>
                <w:szCs w:val="21"/>
              </w:rPr>
            </w:pPr>
            <w:r>
              <w:rPr>
                <w:rFonts w:eastAsiaTheme="minorEastAsia"/>
                <w:kern w:val="0"/>
                <w:szCs w:val="21"/>
              </w:rPr>
              <w:t>丰水期</w:t>
            </w:r>
            <w:r>
              <w:rPr>
                <w:rFonts w:eastAsiaTheme="minorEastAsia"/>
                <w:kern w:val="0"/>
                <w:szCs w:val="21"/>
              </w:rPr>
              <w:t>□</w:t>
            </w:r>
            <w:r>
              <w:rPr>
                <w:rFonts w:eastAsiaTheme="minorEastAsia"/>
                <w:kern w:val="0"/>
                <w:szCs w:val="21"/>
              </w:rPr>
              <w:t>；平水期</w:t>
            </w:r>
            <w:r>
              <w:rPr>
                <w:rFonts w:eastAsiaTheme="minorEastAsia"/>
                <w:kern w:val="0"/>
                <w:szCs w:val="21"/>
              </w:rPr>
              <w:t>□</w:t>
            </w:r>
            <w:r>
              <w:rPr>
                <w:rFonts w:eastAsiaTheme="minorEastAsia"/>
                <w:kern w:val="0"/>
                <w:szCs w:val="21"/>
              </w:rPr>
              <w:t>；枯水期</w:t>
            </w:r>
            <w:r>
              <w:rPr>
                <w:rFonts w:eastAsiaTheme="minorEastAsia"/>
                <w:kern w:val="0"/>
                <w:szCs w:val="21"/>
              </w:rPr>
              <w:t>□</w:t>
            </w:r>
            <w:r>
              <w:rPr>
                <w:rFonts w:eastAsiaTheme="minorEastAsia"/>
                <w:kern w:val="0"/>
                <w:szCs w:val="21"/>
              </w:rPr>
              <w:t>；冰封期</w:t>
            </w:r>
            <w:r>
              <w:rPr>
                <w:rFonts w:eastAsiaTheme="minorEastAsia"/>
                <w:kern w:val="0"/>
                <w:szCs w:val="21"/>
              </w:rPr>
              <w:t>□</w:t>
            </w:r>
          </w:p>
          <w:p w14:paraId="210DA0D1" w14:textId="77777777" w:rsidR="00B14D53" w:rsidRDefault="00000000">
            <w:pPr>
              <w:jc w:val="left"/>
              <w:rPr>
                <w:rFonts w:eastAsiaTheme="minorEastAsia"/>
                <w:kern w:val="0"/>
                <w:szCs w:val="21"/>
              </w:rPr>
            </w:pPr>
            <w:r>
              <w:rPr>
                <w:rFonts w:eastAsiaTheme="minorEastAsia"/>
                <w:kern w:val="0"/>
                <w:szCs w:val="21"/>
              </w:rPr>
              <w:t>春季</w:t>
            </w:r>
            <w:r>
              <w:rPr>
                <w:rFonts w:eastAsiaTheme="minorEastAsia"/>
                <w:kern w:val="0"/>
                <w:szCs w:val="21"/>
              </w:rPr>
              <w:t>□</w:t>
            </w:r>
            <w:r>
              <w:rPr>
                <w:rFonts w:eastAsiaTheme="minorEastAsia"/>
                <w:kern w:val="0"/>
                <w:szCs w:val="21"/>
              </w:rPr>
              <w:t>；夏季</w:t>
            </w:r>
            <w:r>
              <w:rPr>
                <w:rFonts w:eastAsiaTheme="minorEastAsia"/>
                <w:kern w:val="0"/>
                <w:szCs w:val="21"/>
              </w:rPr>
              <w:t>□</w:t>
            </w:r>
            <w:r>
              <w:rPr>
                <w:rFonts w:eastAsiaTheme="minorEastAsia"/>
                <w:kern w:val="0"/>
                <w:szCs w:val="21"/>
              </w:rPr>
              <w:t>；秋季</w:t>
            </w:r>
            <w:r>
              <w:rPr>
                <w:rFonts w:eastAsiaTheme="minorEastAsia"/>
                <w:kern w:val="0"/>
                <w:szCs w:val="21"/>
              </w:rPr>
              <w:t>□</w:t>
            </w:r>
            <w:r>
              <w:rPr>
                <w:rFonts w:eastAsiaTheme="minorEastAsia"/>
                <w:kern w:val="0"/>
                <w:szCs w:val="21"/>
              </w:rPr>
              <w:t>；冬季</w:t>
            </w:r>
            <w:r>
              <w:rPr>
                <w:rFonts w:eastAsiaTheme="minorEastAsia"/>
                <w:kern w:val="0"/>
                <w:szCs w:val="21"/>
              </w:rPr>
              <w:t>□</w:t>
            </w:r>
          </w:p>
        </w:tc>
      </w:tr>
      <w:tr w:rsidR="00B14D53" w14:paraId="5337EA8E" w14:textId="77777777">
        <w:trPr>
          <w:trHeight w:val="213"/>
        </w:trPr>
        <w:tc>
          <w:tcPr>
            <w:tcW w:w="390"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68BE4EA7" w14:textId="77777777" w:rsidR="00B14D53" w:rsidRDefault="00B14D53">
            <w:pPr>
              <w:widowControl/>
              <w:jc w:val="left"/>
              <w:rPr>
                <w:rFonts w:eastAsiaTheme="minorEastAsia"/>
                <w:kern w:val="0"/>
                <w:szCs w:val="21"/>
              </w:rPr>
            </w:pPr>
          </w:p>
        </w:tc>
        <w:tc>
          <w:tcPr>
            <w:tcW w:w="2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C4BC9" w14:textId="77777777" w:rsidR="00B14D53" w:rsidRDefault="00000000">
            <w:pPr>
              <w:rPr>
                <w:rFonts w:eastAsiaTheme="minorEastAsia"/>
                <w:kern w:val="0"/>
                <w:szCs w:val="21"/>
              </w:rPr>
            </w:pPr>
            <w:r>
              <w:rPr>
                <w:rFonts w:eastAsiaTheme="minorEastAsia"/>
                <w:kern w:val="0"/>
                <w:szCs w:val="21"/>
              </w:rPr>
              <w:t>评价结论</w:t>
            </w:r>
          </w:p>
        </w:tc>
        <w:tc>
          <w:tcPr>
            <w:tcW w:w="959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4462C" w14:textId="77777777" w:rsidR="00B14D53" w:rsidRDefault="00000000">
            <w:pPr>
              <w:jc w:val="left"/>
              <w:rPr>
                <w:rFonts w:eastAsiaTheme="minorEastAsia"/>
                <w:kern w:val="0"/>
                <w:szCs w:val="21"/>
              </w:rPr>
            </w:pPr>
            <w:r>
              <w:rPr>
                <w:rFonts w:eastAsiaTheme="minorEastAsia"/>
                <w:kern w:val="0"/>
                <w:szCs w:val="21"/>
              </w:rPr>
              <w:t>水环境功能区或水功能区、近岸海域环境功能区水质达标状况：达标</w:t>
            </w:r>
            <w:r>
              <w:rPr>
                <w:rFonts w:eastAsiaTheme="minorEastAsia" w:hint="eastAsia"/>
                <w:bCs/>
                <w:kern w:val="0"/>
                <w:szCs w:val="21"/>
              </w:rPr>
              <w:t>☑</w:t>
            </w:r>
            <w:r>
              <w:rPr>
                <w:rFonts w:eastAsiaTheme="minorEastAsia"/>
                <w:kern w:val="0"/>
                <w:szCs w:val="21"/>
              </w:rPr>
              <w:t>；不达标</w:t>
            </w:r>
            <w:r>
              <w:rPr>
                <w:rFonts w:eastAsiaTheme="minorEastAsia"/>
                <w:kern w:val="0"/>
                <w:szCs w:val="21"/>
              </w:rPr>
              <w:t>□</w:t>
            </w:r>
          </w:p>
          <w:p w14:paraId="0114CBE6" w14:textId="77777777" w:rsidR="00B14D53" w:rsidRDefault="00000000">
            <w:pPr>
              <w:jc w:val="left"/>
              <w:rPr>
                <w:rFonts w:eastAsiaTheme="minorEastAsia"/>
                <w:kern w:val="0"/>
                <w:szCs w:val="21"/>
              </w:rPr>
            </w:pPr>
            <w:r>
              <w:rPr>
                <w:rFonts w:eastAsiaTheme="minorEastAsia"/>
                <w:kern w:val="0"/>
                <w:szCs w:val="21"/>
              </w:rPr>
              <w:t>水环境控制单元或断面水质达标状况：达标</w:t>
            </w:r>
            <w:r>
              <w:rPr>
                <w:rFonts w:eastAsiaTheme="minorEastAsia"/>
                <w:kern w:val="0"/>
                <w:szCs w:val="21"/>
              </w:rPr>
              <w:t>□</w:t>
            </w:r>
            <w:r>
              <w:rPr>
                <w:rFonts w:eastAsiaTheme="minorEastAsia"/>
                <w:kern w:val="0"/>
                <w:szCs w:val="21"/>
              </w:rPr>
              <w:t>；不达标</w:t>
            </w:r>
            <w:r>
              <w:rPr>
                <w:rFonts w:eastAsiaTheme="minorEastAsia"/>
                <w:kern w:val="0"/>
                <w:szCs w:val="21"/>
              </w:rPr>
              <w:t>□</w:t>
            </w:r>
          </w:p>
          <w:p w14:paraId="15DED5BA" w14:textId="77777777" w:rsidR="00B14D53" w:rsidRDefault="00000000">
            <w:pPr>
              <w:jc w:val="left"/>
              <w:rPr>
                <w:rFonts w:eastAsiaTheme="minorEastAsia"/>
                <w:kern w:val="0"/>
                <w:szCs w:val="21"/>
              </w:rPr>
            </w:pPr>
            <w:r>
              <w:rPr>
                <w:rFonts w:eastAsiaTheme="minorEastAsia"/>
                <w:kern w:val="0"/>
                <w:szCs w:val="21"/>
              </w:rPr>
              <w:t>水环境保护目标质量状况：达标</w:t>
            </w:r>
            <w:r>
              <w:rPr>
                <w:rFonts w:eastAsiaTheme="minorEastAsia"/>
                <w:kern w:val="0"/>
                <w:szCs w:val="21"/>
              </w:rPr>
              <w:t>□</w:t>
            </w:r>
            <w:r>
              <w:rPr>
                <w:rFonts w:eastAsiaTheme="minorEastAsia"/>
                <w:kern w:val="0"/>
                <w:szCs w:val="21"/>
              </w:rPr>
              <w:t>；不达标</w:t>
            </w:r>
            <w:r>
              <w:rPr>
                <w:rFonts w:eastAsiaTheme="minorEastAsia"/>
                <w:kern w:val="0"/>
                <w:szCs w:val="21"/>
              </w:rPr>
              <w:t>□</w:t>
            </w:r>
          </w:p>
          <w:p w14:paraId="20BA09A1" w14:textId="77777777" w:rsidR="00B14D53" w:rsidRDefault="00000000">
            <w:pPr>
              <w:jc w:val="left"/>
              <w:rPr>
                <w:rFonts w:eastAsiaTheme="minorEastAsia"/>
                <w:kern w:val="0"/>
                <w:szCs w:val="21"/>
              </w:rPr>
            </w:pPr>
            <w:r>
              <w:rPr>
                <w:rFonts w:eastAsiaTheme="minorEastAsia"/>
                <w:kern w:val="0"/>
                <w:szCs w:val="21"/>
              </w:rPr>
              <w:t>对照断面、控制断面等代表性断面的水质状况；达标</w:t>
            </w:r>
            <w:r>
              <w:rPr>
                <w:rFonts w:eastAsiaTheme="minorEastAsia"/>
                <w:kern w:val="0"/>
                <w:szCs w:val="21"/>
              </w:rPr>
              <w:t>□</w:t>
            </w:r>
            <w:r>
              <w:rPr>
                <w:rFonts w:eastAsiaTheme="minorEastAsia"/>
                <w:kern w:val="0"/>
                <w:szCs w:val="21"/>
              </w:rPr>
              <w:t>；不达标</w:t>
            </w:r>
            <w:r>
              <w:rPr>
                <w:rFonts w:eastAsiaTheme="minorEastAsia"/>
                <w:kern w:val="0"/>
                <w:szCs w:val="21"/>
              </w:rPr>
              <w:t>□</w:t>
            </w:r>
          </w:p>
          <w:p w14:paraId="1C10284A" w14:textId="77777777" w:rsidR="00B14D53" w:rsidRDefault="00000000">
            <w:pPr>
              <w:jc w:val="left"/>
              <w:rPr>
                <w:rFonts w:eastAsiaTheme="minorEastAsia"/>
                <w:kern w:val="0"/>
                <w:szCs w:val="21"/>
              </w:rPr>
            </w:pPr>
            <w:r>
              <w:rPr>
                <w:rFonts w:eastAsiaTheme="minorEastAsia"/>
                <w:kern w:val="0"/>
                <w:szCs w:val="21"/>
              </w:rPr>
              <w:t>底泥污染评价</w:t>
            </w:r>
            <w:r>
              <w:rPr>
                <w:rFonts w:eastAsiaTheme="minorEastAsia"/>
                <w:kern w:val="0"/>
                <w:szCs w:val="21"/>
              </w:rPr>
              <w:t>□</w:t>
            </w:r>
          </w:p>
          <w:p w14:paraId="32E662F5" w14:textId="77777777" w:rsidR="00B14D53" w:rsidRDefault="00000000">
            <w:pPr>
              <w:jc w:val="left"/>
              <w:rPr>
                <w:rFonts w:eastAsiaTheme="minorEastAsia"/>
                <w:kern w:val="0"/>
                <w:szCs w:val="21"/>
              </w:rPr>
            </w:pPr>
            <w:r>
              <w:rPr>
                <w:rFonts w:eastAsiaTheme="minorEastAsia"/>
                <w:kern w:val="0"/>
                <w:szCs w:val="21"/>
              </w:rPr>
              <w:t>水资源与开发利用程度及其水文情势评价</w:t>
            </w:r>
            <w:r>
              <w:rPr>
                <w:rFonts w:eastAsiaTheme="minorEastAsia"/>
                <w:kern w:val="0"/>
                <w:szCs w:val="21"/>
              </w:rPr>
              <w:t>□</w:t>
            </w:r>
          </w:p>
          <w:p w14:paraId="4B6F1873" w14:textId="77777777" w:rsidR="00B14D53" w:rsidRDefault="00000000">
            <w:pPr>
              <w:jc w:val="left"/>
              <w:rPr>
                <w:rFonts w:eastAsiaTheme="minorEastAsia"/>
                <w:kern w:val="0"/>
                <w:szCs w:val="21"/>
              </w:rPr>
            </w:pPr>
            <w:r>
              <w:rPr>
                <w:rFonts w:eastAsiaTheme="minorEastAsia"/>
                <w:kern w:val="0"/>
                <w:szCs w:val="21"/>
              </w:rPr>
              <w:t>水环境质量回顾评价</w:t>
            </w:r>
            <w:r>
              <w:rPr>
                <w:rFonts w:eastAsiaTheme="minorEastAsia"/>
                <w:kern w:val="0"/>
                <w:szCs w:val="21"/>
              </w:rPr>
              <w:t>□</w:t>
            </w:r>
          </w:p>
          <w:p w14:paraId="0009C1E5" w14:textId="77777777" w:rsidR="00B14D53" w:rsidRDefault="00000000">
            <w:pPr>
              <w:jc w:val="left"/>
              <w:rPr>
                <w:rFonts w:eastAsiaTheme="minorEastAsia"/>
                <w:kern w:val="0"/>
                <w:szCs w:val="21"/>
              </w:rPr>
            </w:pPr>
            <w:r>
              <w:rPr>
                <w:rFonts w:eastAsiaTheme="minorEastAsia"/>
                <w:kern w:val="0"/>
                <w:szCs w:val="21"/>
              </w:rPr>
              <w:t>流域（区域）水资源（包括水能资源）与开发利用总体状况、生态流量管理要求与现状满足程度、建设项目占用水域空间的水流状况与河湖演变状况</w:t>
            </w:r>
            <w:r>
              <w:rPr>
                <w:rFonts w:eastAsiaTheme="minorEastAsia"/>
                <w:kern w:val="0"/>
                <w:szCs w:val="21"/>
              </w:rPr>
              <w:t>□</w:t>
            </w:r>
          </w:p>
        </w:tc>
        <w:tc>
          <w:tcPr>
            <w:tcW w:w="158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1601C5A" w14:textId="77777777" w:rsidR="00B14D53" w:rsidRDefault="00000000">
            <w:pPr>
              <w:jc w:val="left"/>
              <w:rPr>
                <w:rFonts w:eastAsiaTheme="minorEastAsia"/>
                <w:kern w:val="0"/>
                <w:szCs w:val="21"/>
              </w:rPr>
            </w:pPr>
            <w:r>
              <w:rPr>
                <w:rFonts w:eastAsiaTheme="minorEastAsia"/>
                <w:kern w:val="0"/>
                <w:szCs w:val="21"/>
              </w:rPr>
              <w:t>达标区</w:t>
            </w:r>
            <w:r>
              <w:rPr>
                <w:rFonts w:eastAsiaTheme="minorEastAsia" w:hint="eastAsia"/>
                <w:bCs/>
                <w:kern w:val="0"/>
                <w:szCs w:val="21"/>
              </w:rPr>
              <w:t>☑</w:t>
            </w:r>
          </w:p>
          <w:p w14:paraId="2F2C57FA" w14:textId="77777777" w:rsidR="00B14D53" w:rsidRDefault="00000000">
            <w:pPr>
              <w:jc w:val="left"/>
              <w:rPr>
                <w:rFonts w:eastAsiaTheme="minorEastAsia"/>
                <w:kern w:val="0"/>
                <w:szCs w:val="21"/>
              </w:rPr>
            </w:pPr>
            <w:r>
              <w:rPr>
                <w:rFonts w:eastAsiaTheme="minorEastAsia"/>
                <w:kern w:val="0"/>
                <w:szCs w:val="21"/>
              </w:rPr>
              <w:t>不达标区</w:t>
            </w:r>
            <w:r>
              <w:rPr>
                <w:rFonts w:eastAsiaTheme="minorEastAsia"/>
                <w:kern w:val="0"/>
                <w:szCs w:val="21"/>
              </w:rPr>
              <w:t>□</w:t>
            </w:r>
          </w:p>
        </w:tc>
      </w:tr>
      <w:tr w:rsidR="00B14D53" w14:paraId="6FD535ED" w14:textId="77777777">
        <w:trPr>
          <w:trHeight w:val="213"/>
        </w:trPr>
        <w:tc>
          <w:tcPr>
            <w:tcW w:w="390" w:type="dxa"/>
            <w:vMerge w:val="restart"/>
            <w:tcBorders>
              <w:top w:val="single" w:sz="6" w:space="0" w:color="000000" w:themeColor="text1"/>
              <w:left w:val="single" w:sz="12" w:space="0" w:color="000000" w:themeColor="text1"/>
              <w:right w:val="single" w:sz="6" w:space="0" w:color="000000" w:themeColor="text1"/>
            </w:tcBorders>
          </w:tcPr>
          <w:p w14:paraId="232E1DF5" w14:textId="77777777" w:rsidR="00B14D53" w:rsidRDefault="00000000">
            <w:pPr>
              <w:widowControl/>
              <w:jc w:val="left"/>
              <w:rPr>
                <w:rFonts w:eastAsiaTheme="minorEastAsia"/>
                <w:kern w:val="0"/>
                <w:szCs w:val="21"/>
              </w:rPr>
            </w:pPr>
            <w:r>
              <w:rPr>
                <w:rFonts w:eastAsiaTheme="minorEastAsia"/>
                <w:kern w:val="0"/>
                <w:szCs w:val="21"/>
              </w:rPr>
              <w:t>影响预测</w:t>
            </w:r>
          </w:p>
        </w:tc>
        <w:tc>
          <w:tcPr>
            <w:tcW w:w="2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4007B6" w14:textId="77777777" w:rsidR="00B14D53" w:rsidRDefault="00000000">
            <w:pPr>
              <w:rPr>
                <w:rFonts w:eastAsiaTheme="minorEastAsia"/>
                <w:kern w:val="0"/>
                <w:szCs w:val="21"/>
              </w:rPr>
            </w:pPr>
            <w:r>
              <w:rPr>
                <w:rFonts w:eastAsiaTheme="minorEastAsia"/>
                <w:kern w:val="0"/>
                <w:szCs w:val="21"/>
              </w:rPr>
              <w:t>预测范围</w:t>
            </w:r>
          </w:p>
        </w:tc>
        <w:tc>
          <w:tcPr>
            <w:tcW w:w="11177" w:type="dxa"/>
            <w:gridSpan w:val="4"/>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274A471" w14:textId="77777777" w:rsidR="00B14D53" w:rsidRDefault="00000000">
            <w:pPr>
              <w:jc w:val="left"/>
              <w:rPr>
                <w:rFonts w:eastAsiaTheme="minorEastAsia"/>
                <w:kern w:val="0"/>
                <w:szCs w:val="21"/>
              </w:rPr>
            </w:pPr>
            <w:r>
              <w:rPr>
                <w:rFonts w:eastAsiaTheme="minorEastAsia"/>
                <w:kern w:val="0"/>
                <w:szCs w:val="21"/>
              </w:rPr>
              <w:t>河流：长度（）</w:t>
            </w:r>
            <w:r>
              <w:rPr>
                <w:rFonts w:eastAsiaTheme="minorEastAsia"/>
                <w:kern w:val="0"/>
                <w:szCs w:val="21"/>
              </w:rPr>
              <w:t>km</w:t>
            </w:r>
            <w:r>
              <w:rPr>
                <w:rFonts w:eastAsiaTheme="minorEastAsia"/>
                <w:kern w:val="0"/>
                <w:szCs w:val="21"/>
              </w:rPr>
              <w:t>；湖库、河口及近岸海域：面积（）</w:t>
            </w:r>
            <w:r>
              <w:rPr>
                <w:rFonts w:eastAsiaTheme="minorEastAsia"/>
                <w:kern w:val="0"/>
                <w:szCs w:val="21"/>
              </w:rPr>
              <w:t>km</w:t>
            </w:r>
            <w:r>
              <w:rPr>
                <w:rFonts w:eastAsiaTheme="minorEastAsia"/>
                <w:kern w:val="0"/>
                <w:szCs w:val="21"/>
                <w:vertAlign w:val="superscript"/>
              </w:rPr>
              <w:t>2</w:t>
            </w:r>
          </w:p>
        </w:tc>
      </w:tr>
      <w:tr w:rsidR="00B14D53" w14:paraId="1A3C3CE5" w14:textId="77777777">
        <w:trPr>
          <w:trHeight w:val="213"/>
        </w:trPr>
        <w:tc>
          <w:tcPr>
            <w:tcW w:w="390" w:type="dxa"/>
            <w:vMerge/>
            <w:tcBorders>
              <w:left w:val="single" w:sz="12" w:space="0" w:color="000000" w:themeColor="text1"/>
              <w:right w:val="single" w:sz="6" w:space="0" w:color="000000" w:themeColor="text1"/>
            </w:tcBorders>
          </w:tcPr>
          <w:p w14:paraId="6182ABBF" w14:textId="77777777" w:rsidR="00B14D53" w:rsidRDefault="00B14D53">
            <w:pPr>
              <w:widowControl/>
              <w:jc w:val="left"/>
              <w:rPr>
                <w:rFonts w:eastAsiaTheme="minorEastAsia"/>
                <w:kern w:val="0"/>
                <w:szCs w:val="21"/>
              </w:rPr>
            </w:pPr>
          </w:p>
        </w:tc>
        <w:tc>
          <w:tcPr>
            <w:tcW w:w="2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3B8E4" w14:textId="77777777" w:rsidR="00B14D53" w:rsidRDefault="00000000">
            <w:pPr>
              <w:rPr>
                <w:rFonts w:eastAsiaTheme="minorEastAsia"/>
                <w:kern w:val="0"/>
                <w:szCs w:val="21"/>
              </w:rPr>
            </w:pPr>
            <w:r>
              <w:rPr>
                <w:rFonts w:eastAsiaTheme="minorEastAsia"/>
                <w:kern w:val="0"/>
                <w:szCs w:val="21"/>
              </w:rPr>
              <w:t>预测因子</w:t>
            </w:r>
          </w:p>
        </w:tc>
        <w:tc>
          <w:tcPr>
            <w:tcW w:w="11177" w:type="dxa"/>
            <w:gridSpan w:val="4"/>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2D9025B" w14:textId="77777777" w:rsidR="00B14D53" w:rsidRDefault="00000000">
            <w:pPr>
              <w:jc w:val="left"/>
              <w:rPr>
                <w:rFonts w:eastAsiaTheme="minorEastAsia"/>
                <w:kern w:val="0"/>
                <w:szCs w:val="21"/>
              </w:rPr>
            </w:pPr>
            <w:r>
              <w:rPr>
                <w:rFonts w:eastAsiaTheme="minorEastAsia"/>
                <w:kern w:val="0"/>
                <w:szCs w:val="21"/>
              </w:rPr>
              <w:t>（）</w:t>
            </w:r>
          </w:p>
        </w:tc>
      </w:tr>
      <w:tr w:rsidR="00B14D53" w14:paraId="6C4C30EE" w14:textId="77777777">
        <w:trPr>
          <w:trHeight w:val="213"/>
        </w:trPr>
        <w:tc>
          <w:tcPr>
            <w:tcW w:w="390" w:type="dxa"/>
            <w:vMerge/>
            <w:tcBorders>
              <w:left w:val="single" w:sz="12" w:space="0" w:color="000000" w:themeColor="text1"/>
              <w:bottom w:val="single" w:sz="12" w:space="0" w:color="000000" w:themeColor="text1"/>
              <w:right w:val="single" w:sz="6" w:space="0" w:color="000000" w:themeColor="text1"/>
            </w:tcBorders>
          </w:tcPr>
          <w:p w14:paraId="13F8DCE2" w14:textId="77777777" w:rsidR="00B14D53" w:rsidRDefault="00B14D53">
            <w:pPr>
              <w:widowControl/>
              <w:jc w:val="left"/>
              <w:rPr>
                <w:rFonts w:eastAsiaTheme="minorEastAsia"/>
                <w:kern w:val="0"/>
                <w:szCs w:val="21"/>
              </w:rPr>
            </w:pPr>
          </w:p>
        </w:tc>
        <w:tc>
          <w:tcPr>
            <w:tcW w:w="253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14:paraId="4D3E8CB6" w14:textId="77777777" w:rsidR="00B14D53" w:rsidRDefault="00000000">
            <w:pPr>
              <w:rPr>
                <w:rFonts w:eastAsiaTheme="minorEastAsia"/>
                <w:kern w:val="0"/>
                <w:szCs w:val="21"/>
              </w:rPr>
            </w:pPr>
            <w:r>
              <w:rPr>
                <w:rFonts w:eastAsiaTheme="minorEastAsia"/>
                <w:kern w:val="0"/>
                <w:szCs w:val="21"/>
              </w:rPr>
              <w:t>预测时期</w:t>
            </w:r>
          </w:p>
        </w:tc>
        <w:tc>
          <w:tcPr>
            <w:tcW w:w="11177" w:type="dxa"/>
            <w:gridSpan w:val="4"/>
            <w:tcBorders>
              <w:top w:val="single" w:sz="6" w:space="0" w:color="000000" w:themeColor="text1"/>
              <w:left w:val="single" w:sz="6" w:space="0" w:color="000000" w:themeColor="text1"/>
              <w:bottom w:val="single" w:sz="12" w:space="0" w:color="000000" w:themeColor="text1"/>
              <w:right w:val="single" w:sz="12" w:space="0" w:color="000000" w:themeColor="text1"/>
            </w:tcBorders>
          </w:tcPr>
          <w:p w14:paraId="73A90E50" w14:textId="77777777" w:rsidR="00B14D53" w:rsidRDefault="00000000">
            <w:pPr>
              <w:jc w:val="left"/>
              <w:rPr>
                <w:rFonts w:eastAsiaTheme="minorEastAsia"/>
                <w:kern w:val="0"/>
                <w:szCs w:val="21"/>
              </w:rPr>
            </w:pPr>
            <w:r>
              <w:rPr>
                <w:rFonts w:eastAsiaTheme="minorEastAsia"/>
                <w:kern w:val="0"/>
                <w:szCs w:val="21"/>
              </w:rPr>
              <w:t>丰水期</w:t>
            </w:r>
            <w:r>
              <w:rPr>
                <w:rFonts w:eastAsiaTheme="minorEastAsia"/>
                <w:kern w:val="0"/>
                <w:szCs w:val="21"/>
              </w:rPr>
              <w:t>□</w:t>
            </w:r>
            <w:r>
              <w:rPr>
                <w:rFonts w:eastAsiaTheme="minorEastAsia"/>
                <w:kern w:val="0"/>
                <w:szCs w:val="21"/>
              </w:rPr>
              <w:t>；平水期</w:t>
            </w:r>
            <w:r>
              <w:rPr>
                <w:rFonts w:eastAsiaTheme="minorEastAsia"/>
                <w:kern w:val="0"/>
                <w:szCs w:val="21"/>
              </w:rPr>
              <w:t>□</w:t>
            </w:r>
            <w:r>
              <w:rPr>
                <w:rFonts w:eastAsiaTheme="minorEastAsia"/>
                <w:kern w:val="0"/>
                <w:szCs w:val="21"/>
              </w:rPr>
              <w:t>；枯水期</w:t>
            </w:r>
            <w:r>
              <w:rPr>
                <w:rFonts w:eastAsiaTheme="minorEastAsia"/>
                <w:kern w:val="0"/>
                <w:szCs w:val="21"/>
              </w:rPr>
              <w:t>□</w:t>
            </w:r>
            <w:r>
              <w:rPr>
                <w:rFonts w:eastAsiaTheme="minorEastAsia"/>
                <w:kern w:val="0"/>
                <w:szCs w:val="21"/>
              </w:rPr>
              <w:t>；冰封期</w:t>
            </w:r>
            <w:r>
              <w:rPr>
                <w:rFonts w:eastAsiaTheme="minorEastAsia"/>
                <w:kern w:val="0"/>
                <w:szCs w:val="21"/>
              </w:rPr>
              <w:t>□</w:t>
            </w:r>
          </w:p>
          <w:p w14:paraId="3796F7FE" w14:textId="77777777" w:rsidR="00B14D53" w:rsidRDefault="00000000">
            <w:pPr>
              <w:jc w:val="left"/>
              <w:rPr>
                <w:rFonts w:eastAsiaTheme="minorEastAsia"/>
                <w:kern w:val="0"/>
                <w:szCs w:val="21"/>
              </w:rPr>
            </w:pPr>
            <w:r>
              <w:rPr>
                <w:rFonts w:eastAsiaTheme="minorEastAsia"/>
                <w:kern w:val="0"/>
                <w:szCs w:val="21"/>
              </w:rPr>
              <w:t>春季</w:t>
            </w:r>
            <w:r>
              <w:rPr>
                <w:rFonts w:eastAsiaTheme="minorEastAsia"/>
                <w:kern w:val="0"/>
                <w:szCs w:val="21"/>
              </w:rPr>
              <w:t>□</w:t>
            </w:r>
            <w:r>
              <w:rPr>
                <w:rFonts w:eastAsiaTheme="minorEastAsia"/>
                <w:kern w:val="0"/>
                <w:szCs w:val="21"/>
              </w:rPr>
              <w:t>；夏季</w:t>
            </w:r>
            <w:r>
              <w:rPr>
                <w:rFonts w:eastAsiaTheme="minorEastAsia"/>
                <w:kern w:val="0"/>
                <w:szCs w:val="21"/>
              </w:rPr>
              <w:t>□</w:t>
            </w:r>
            <w:r>
              <w:rPr>
                <w:rFonts w:eastAsiaTheme="minorEastAsia"/>
                <w:kern w:val="0"/>
                <w:szCs w:val="21"/>
              </w:rPr>
              <w:t>；秋季</w:t>
            </w:r>
            <w:r>
              <w:rPr>
                <w:rFonts w:eastAsiaTheme="minorEastAsia"/>
                <w:kern w:val="0"/>
                <w:szCs w:val="21"/>
              </w:rPr>
              <w:t>□</w:t>
            </w:r>
            <w:r>
              <w:rPr>
                <w:rFonts w:eastAsiaTheme="minorEastAsia"/>
                <w:kern w:val="0"/>
                <w:szCs w:val="21"/>
              </w:rPr>
              <w:t>；冬季</w:t>
            </w:r>
            <w:r>
              <w:rPr>
                <w:rFonts w:eastAsiaTheme="minorEastAsia"/>
                <w:kern w:val="0"/>
                <w:szCs w:val="21"/>
              </w:rPr>
              <w:t>□</w:t>
            </w:r>
          </w:p>
          <w:p w14:paraId="35B49887" w14:textId="77777777" w:rsidR="00B14D53" w:rsidRDefault="00000000">
            <w:pPr>
              <w:jc w:val="left"/>
              <w:rPr>
                <w:rFonts w:eastAsiaTheme="minorEastAsia"/>
                <w:kern w:val="0"/>
                <w:szCs w:val="21"/>
              </w:rPr>
            </w:pPr>
            <w:r>
              <w:rPr>
                <w:rFonts w:eastAsiaTheme="minorEastAsia"/>
                <w:kern w:val="0"/>
                <w:szCs w:val="21"/>
              </w:rPr>
              <w:t>设计水文条件</w:t>
            </w:r>
            <w:r>
              <w:rPr>
                <w:rFonts w:eastAsiaTheme="minorEastAsia"/>
                <w:kern w:val="0"/>
                <w:szCs w:val="21"/>
              </w:rPr>
              <w:t>□</w:t>
            </w:r>
          </w:p>
        </w:tc>
      </w:tr>
    </w:tbl>
    <w:p w14:paraId="41FE1C03" w14:textId="77777777" w:rsidR="00B14D53" w:rsidRDefault="00B14D53">
      <w:pPr>
        <w:jc w:val="right"/>
        <w:rPr>
          <w:rFonts w:eastAsiaTheme="minorEastAsia"/>
          <w:b/>
          <w:szCs w:val="22"/>
        </w:rPr>
      </w:pPr>
    </w:p>
    <w:p w14:paraId="4C857B2D" w14:textId="77777777" w:rsidR="00B14D53" w:rsidRDefault="00000000">
      <w:pPr>
        <w:jc w:val="right"/>
        <w:rPr>
          <w:rFonts w:eastAsiaTheme="minorEastAsia"/>
          <w:b/>
        </w:rPr>
      </w:pPr>
      <w:r>
        <w:rPr>
          <w:rFonts w:eastAsiaTheme="minorEastAsia"/>
          <w:b/>
        </w:rPr>
        <w:t>续表</w:t>
      </w:r>
    </w:p>
    <w:tbl>
      <w:tblPr>
        <w:tblStyle w:val="afff1"/>
        <w:tblW w:w="1402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387"/>
        <w:gridCol w:w="2525"/>
        <w:gridCol w:w="2076"/>
        <w:gridCol w:w="1369"/>
        <w:gridCol w:w="1016"/>
        <w:gridCol w:w="2516"/>
        <w:gridCol w:w="709"/>
        <w:gridCol w:w="1417"/>
        <w:gridCol w:w="2009"/>
      </w:tblGrid>
      <w:tr w:rsidR="00B14D53" w14:paraId="525DEE55" w14:textId="77777777">
        <w:trPr>
          <w:trHeight w:val="342"/>
        </w:trPr>
        <w:tc>
          <w:tcPr>
            <w:tcW w:w="2912"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tcPr>
          <w:p w14:paraId="37D35041" w14:textId="77777777" w:rsidR="00B14D53" w:rsidRDefault="00000000">
            <w:pPr>
              <w:rPr>
                <w:rFonts w:eastAsiaTheme="minorEastAsia"/>
                <w:kern w:val="0"/>
                <w:szCs w:val="21"/>
              </w:rPr>
            </w:pPr>
            <w:r>
              <w:rPr>
                <w:rFonts w:eastAsiaTheme="minorEastAsia"/>
                <w:kern w:val="0"/>
                <w:szCs w:val="21"/>
              </w:rPr>
              <w:t>工作内容</w:t>
            </w:r>
          </w:p>
        </w:tc>
        <w:tc>
          <w:tcPr>
            <w:tcW w:w="11112" w:type="dxa"/>
            <w:gridSpan w:val="7"/>
            <w:tcBorders>
              <w:top w:val="single" w:sz="12" w:space="0" w:color="000000" w:themeColor="text1"/>
              <w:left w:val="single" w:sz="6" w:space="0" w:color="000000" w:themeColor="text1"/>
              <w:bottom w:val="single" w:sz="6" w:space="0" w:color="000000" w:themeColor="text1"/>
              <w:right w:val="single" w:sz="12" w:space="0" w:color="000000" w:themeColor="text1"/>
            </w:tcBorders>
          </w:tcPr>
          <w:p w14:paraId="40BA9E76" w14:textId="77777777" w:rsidR="00B14D53" w:rsidRDefault="00000000">
            <w:pPr>
              <w:rPr>
                <w:rFonts w:eastAsiaTheme="minorEastAsia"/>
                <w:kern w:val="0"/>
                <w:szCs w:val="21"/>
              </w:rPr>
            </w:pPr>
            <w:r>
              <w:rPr>
                <w:rFonts w:eastAsiaTheme="minorEastAsia"/>
                <w:kern w:val="0"/>
                <w:szCs w:val="21"/>
              </w:rPr>
              <w:t>自查项目</w:t>
            </w:r>
          </w:p>
        </w:tc>
      </w:tr>
      <w:tr w:rsidR="00B14D53" w14:paraId="550D106B" w14:textId="77777777">
        <w:trPr>
          <w:trHeight w:val="1006"/>
        </w:trPr>
        <w:tc>
          <w:tcPr>
            <w:tcW w:w="387" w:type="dxa"/>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88D0812" w14:textId="77777777" w:rsidR="00B14D53" w:rsidRDefault="00000000">
            <w:pPr>
              <w:widowControl/>
              <w:jc w:val="left"/>
              <w:rPr>
                <w:rFonts w:eastAsiaTheme="minorEastAsia"/>
                <w:kern w:val="0"/>
                <w:szCs w:val="21"/>
              </w:rPr>
            </w:pPr>
            <w:r>
              <w:rPr>
                <w:rFonts w:eastAsiaTheme="minorEastAsia"/>
                <w:kern w:val="0"/>
                <w:szCs w:val="21"/>
              </w:rPr>
              <w:t>影响预测</w:t>
            </w:r>
          </w:p>
        </w:tc>
        <w:tc>
          <w:tcPr>
            <w:tcW w:w="2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7B8888" w14:textId="77777777" w:rsidR="00B14D53" w:rsidRDefault="00000000">
            <w:pPr>
              <w:rPr>
                <w:rFonts w:eastAsiaTheme="minorEastAsia"/>
                <w:kern w:val="0"/>
                <w:szCs w:val="21"/>
              </w:rPr>
            </w:pPr>
            <w:r>
              <w:rPr>
                <w:rFonts w:eastAsiaTheme="minorEastAsia"/>
                <w:kern w:val="0"/>
                <w:szCs w:val="21"/>
              </w:rPr>
              <w:t>预测情景</w:t>
            </w:r>
          </w:p>
        </w:tc>
        <w:tc>
          <w:tcPr>
            <w:tcW w:w="11112" w:type="dxa"/>
            <w:gridSpan w:val="7"/>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F31BC1E" w14:textId="77777777" w:rsidR="00B14D53" w:rsidRDefault="00000000">
            <w:pPr>
              <w:jc w:val="left"/>
              <w:rPr>
                <w:rFonts w:eastAsiaTheme="minorEastAsia"/>
                <w:kern w:val="0"/>
                <w:szCs w:val="21"/>
              </w:rPr>
            </w:pPr>
            <w:r>
              <w:rPr>
                <w:rFonts w:eastAsiaTheme="minorEastAsia"/>
                <w:kern w:val="0"/>
                <w:szCs w:val="21"/>
              </w:rPr>
              <w:t>建设期</w:t>
            </w:r>
            <w:r>
              <w:rPr>
                <w:rFonts w:eastAsiaTheme="minorEastAsia"/>
                <w:kern w:val="0"/>
                <w:szCs w:val="21"/>
              </w:rPr>
              <w:t>□</w:t>
            </w:r>
            <w:r>
              <w:rPr>
                <w:rFonts w:eastAsiaTheme="minorEastAsia"/>
                <w:kern w:val="0"/>
                <w:szCs w:val="21"/>
              </w:rPr>
              <w:t>；生产运行期</w:t>
            </w:r>
            <w:r>
              <w:rPr>
                <w:rFonts w:eastAsiaTheme="minorEastAsia"/>
                <w:kern w:val="0"/>
                <w:szCs w:val="21"/>
              </w:rPr>
              <w:t>□</w:t>
            </w:r>
            <w:r>
              <w:rPr>
                <w:rFonts w:eastAsiaTheme="minorEastAsia"/>
                <w:kern w:val="0"/>
                <w:szCs w:val="21"/>
              </w:rPr>
              <w:t>；</w:t>
            </w:r>
            <w:r>
              <w:rPr>
                <w:rFonts w:eastAsiaTheme="minorEastAsia" w:hint="eastAsia"/>
                <w:kern w:val="0"/>
                <w:szCs w:val="21"/>
              </w:rPr>
              <w:t>服务期满</w:t>
            </w:r>
            <w:r>
              <w:rPr>
                <w:rFonts w:eastAsiaTheme="minorEastAsia"/>
                <w:kern w:val="0"/>
                <w:szCs w:val="21"/>
              </w:rPr>
              <w:t>后</w:t>
            </w:r>
            <w:r>
              <w:rPr>
                <w:rFonts w:eastAsiaTheme="minorEastAsia"/>
                <w:kern w:val="0"/>
                <w:szCs w:val="21"/>
              </w:rPr>
              <w:t>□</w:t>
            </w:r>
          </w:p>
          <w:p w14:paraId="320ACEA0" w14:textId="77777777" w:rsidR="00B14D53" w:rsidRDefault="00000000">
            <w:pPr>
              <w:jc w:val="left"/>
              <w:rPr>
                <w:rFonts w:eastAsiaTheme="minorEastAsia"/>
                <w:kern w:val="0"/>
                <w:szCs w:val="21"/>
              </w:rPr>
            </w:pPr>
            <w:r>
              <w:rPr>
                <w:rFonts w:eastAsiaTheme="minorEastAsia"/>
                <w:kern w:val="0"/>
                <w:szCs w:val="21"/>
              </w:rPr>
              <w:t>正常工况</w:t>
            </w:r>
            <w:r>
              <w:rPr>
                <w:rFonts w:eastAsiaTheme="minorEastAsia"/>
                <w:kern w:val="0"/>
                <w:szCs w:val="21"/>
              </w:rPr>
              <w:t>□</w:t>
            </w:r>
            <w:r>
              <w:rPr>
                <w:rFonts w:eastAsiaTheme="minorEastAsia"/>
                <w:kern w:val="0"/>
                <w:szCs w:val="21"/>
              </w:rPr>
              <w:t>；非正常工况</w:t>
            </w:r>
            <w:r>
              <w:rPr>
                <w:rFonts w:eastAsiaTheme="minorEastAsia"/>
                <w:kern w:val="0"/>
                <w:szCs w:val="21"/>
              </w:rPr>
              <w:t>□</w:t>
            </w:r>
          </w:p>
          <w:p w14:paraId="63A59030" w14:textId="77777777" w:rsidR="00B14D53" w:rsidRDefault="00000000">
            <w:pPr>
              <w:jc w:val="left"/>
              <w:rPr>
                <w:rFonts w:eastAsiaTheme="minorEastAsia"/>
                <w:kern w:val="0"/>
                <w:szCs w:val="21"/>
              </w:rPr>
            </w:pPr>
            <w:r>
              <w:rPr>
                <w:rFonts w:eastAsiaTheme="minorEastAsia"/>
                <w:kern w:val="0"/>
                <w:szCs w:val="21"/>
              </w:rPr>
              <w:t>污染控制和减缓措施方案</w:t>
            </w:r>
            <w:r>
              <w:rPr>
                <w:rFonts w:eastAsiaTheme="minorEastAsia"/>
                <w:kern w:val="0"/>
                <w:szCs w:val="21"/>
              </w:rPr>
              <w:t>□</w:t>
            </w:r>
          </w:p>
          <w:p w14:paraId="619966E4" w14:textId="77777777" w:rsidR="00B14D53" w:rsidRDefault="00000000">
            <w:pPr>
              <w:jc w:val="left"/>
              <w:rPr>
                <w:rFonts w:eastAsiaTheme="minorEastAsia"/>
                <w:kern w:val="0"/>
                <w:szCs w:val="21"/>
              </w:rPr>
            </w:pPr>
            <w:r>
              <w:rPr>
                <w:rFonts w:eastAsiaTheme="minorEastAsia"/>
                <w:kern w:val="0"/>
                <w:szCs w:val="21"/>
              </w:rPr>
              <w:t>区（流）域水环境质量改善目标要求情景</w:t>
            </w:r>
            <w:r>
              <w:rPr>
                <w:rFonts w:eastAsiaTheme="minorEastAsia"/>
                <w:kern w:val="0"/>
                <w:szCs w:val="21"/>
              </w:rPr>
              <w:t>□</w:t>
            </w:r>
          </w:p>
        </w:tc>
      </w:tr>
      <w:tr w:rsidR="00B14D53" w14:paraId="41B06403" w14:textId="77777777">
        <w:trPr>
          <w:trHeight w:val="468"/>
        </w:trPr>
        <w:tc>
          <w:tcPr>
            <w:tcW w:w="38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13BBFAC" w14:textId="77777777" w:rsidR="00B14D53" w:rsidRDefault="00B14D53">
            <w:pPr>
              <w:widowControl/>
              <w:jc w:val="left"/>
              <w:rPr>
                <w:rFonts w:eastAsiaTheme="minorEastAsia"/>
                <w:kern w:val="0"/>
                <w:szCs w:val="21"/>
              </w:rPr>
            </w:pPr>
          </w:p>
        </w:tc>
        <w:tc>
          <w:tcPr>
            <w:tcW w:w="2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50B6B" w14:textId="77777777" w:rsidR="00B14D53" w:rsidRDefault="00000000">
            <w:pPr>
              <w:rPr>
                <w:rFonts w:eastAsiaTheme="minorEastAsia"/>
                <w:kern w:val="0"/>
                <w:szCs w:val="21"/>
              </w:rPr>
            </w:pPr>
            <w:r>
              <w:rPr>
                <w:rFonts w:eastAsiaTheme="minorEastAsia"/>
                <w:kern w:val="0"/>
                <w:szCs w:val="21"/>
              </w:rPr>
              <w:t>预测方法</w:t>
            </w:r>
          </w:p>
        </w:tc>
        <w:tc>
          <w:tcPr>
            <w:tcW w:w="11112" w:type="dxa"/>
            <w:gridSpan w:val="7"/>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A03CAEF" w14:textId="77777777" w:rsidR="00B14D53" w:rsidRDefault="00000000">
            <w:pPr>
              <w:jc w:val="left"/>
              <w:rPr>
                <w:rFonts w:eastAsiaTheme="minorEastAsia"/>
                <w:kern w:val="0"/>
                <w:szCs w:val="21"/>
              </w:rPr>
            </w:pPr>
            <w:r>
              <w:rPr>
                <w:rFonts w:eastAsiaTheme="minorEastAsia"/>
                <w:kern w:val="0"/>
                <w:szCs w:val="21"/>
              </w:rPr>
              <w:t>数值解</w:t>
            </w:r>
            <w:r>
              <w:rPr>
                <w:rFonts w:eastAsiaTheme="minorEastAsia"/>
                <w:kern w:val="0"/>
                <w:szCs w:val="21"/>
              </w:rPr>
              <w:t>□</w:t>
            </w:r>
            <w:r>
              <w:rPr>
                <w:rFonts w:eastAsiaTheme="minorEastAsia"/>
                <w:kern w:val="0"/>
                <w:szCs w:val="21"/>
              </w:rPr>
              <w:t>；解析解</w:t>
            </w:r>
            <w:r>
              <w:rPr>
                <w:rFonts w:eastAsiaTheme="minorEastAsia"/>
                <w:kern w:val="0"/>
                <w:szCs w:val="21"/>
              </w:rPr>
              <w:t>□</w:t>
            </w:r>
            <w:r>
              <w:rPr>
                <w:rFonts w:eastAsiaTheme="minorEastAsia"/>
                <w:kern w:val="0"/>
                <w:szCs w:val="21"/>
              </w:rPr>
              <w:t>；其他</w:t>
            </w:r>
            <w:r>
              <w:rPr>
                <w:rFonts w:eastAsiaTheme="minorEastAsia"/>
                <w:kern w:val="0"/>
                <w:szCs w:val="21"/>
              </w:rPr>
              <w:t>□</w:t>
            </w:r>
          </w:p>
          <w:p w14:paraId="3E8CFC1B" w14:textId="77777777" w:rsidR="00B14D53" w:rsidRDefault="00000000">
            <w:pPr>
              <w:jc w:val="left"/>
              <w:rPr>
                <w:rFonts w:eastAsiaTheme="minorEastAsia"/>
                <w:kern w:val="0"/>
                <w:szCs w:val="21"/>
              </w:rPr>
            </w:pPr>
            <w:r>
              <w:rPr>
                <w:rFonts w:eastAsiaTheme="minorEastAsia"/>
                <w:kern w:val="0"/>
                <w:szCs w:val="21"/>
              </w:rPr>
              <w:t>导则推荐模式</w:t>
            </w:r>
            <w:r>
              <w:rPr>
                <w:rFonts w:eastAsiaTheme="minorEastAsia"/>
                <w:kern w:val="0"/>
                <w:szCs w:val="21"/>
              </w:rPr>
              <w:t>□</w:t>
            </w:r>
            <w:r>
              <w:rPr>
                <w:rFonts w:eastAsiaTheme="minorEastAsia"/>
                <w:kern w:val="0"/>
                <w:szCs w:val="21"/>
              </w:rPr>
              <w:t>；其他</w:t>
            </w:r>
            <w:r>
              <w:rPr>
                <w:rFonts w:eastAsiaTheme="minorEastAsia"/>
                <w:kern w:val="0"/>
                <w:szCs w:val="21"/>
              </w:rPr>
              <w:t>□</w:t>
            </w:r>
          </w:p>
        </w:tc>
      </w:tr>
      <w:tr w:rsidR="00B14D53" w14:paraId="2081C411" w14:textId="77777777">
        <w:trPr>
          <w:trHeight w:val="333"/>
        </w:trPr>
        <w:tc>
          <w:tcPr>
            <w:tcW w:w="387" w:type="dxa"/>
            <w:vMerge w:val="restart"/>
            <w:tcBorders>
              <w:top w:val="single" w:sz="6" w:space="0" w:color="000000" w:themeColor="text1"/>
              <w:left w:val="single" w:sz="12" w:space="0" w:color="000000" w:themeColor="text1"/>
              <w:right w:val="single" w:sz="6" w:space="0" w:color="000000" w:themeColor="text1"/>
            </w:tcBorders>
          </w:tcPr>
          <w:p w14:paraId="26F99684" w14:textId="77777777" w:rsidR="00B14D53" w:rsidRDefault="00000000">
            <w:pPr>
              <w:rPr>
                <w:rFonts w:eastAsiaTheme="minorEastAsia"/>
                <w:kern w:val="0"/>
                <w:szCs w:val="21"/>
              </w:rPr>
            </w:pPr>
            <w:r>
              <w:rPr>
                <w:rFonts w:eastAsiaTheme="minorEastAsia"/>
                <w:kern w:val="0"/>
                <w:szCs w:val="21"/>
              </w:rPr>
              <w:t>影响评价</w:t>
            </w:r>
          </w:p>
        </w:tc>
        <w:tc>
          <w:tcPr>
            <w:tcW w:w="2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00E1C" w14:textId="77777777" w:rsidR="00B14D53" w:rsidRDefault="00000000">
            <w:pPr>
              <w:rPr>
                <w:rFonts w:eastAsiaTheme="minorEastAsia"/>
                <w:kern w:val="0"/>
                <w:szCs w:val="21"/>
              </w:rPr>
            </w:pPr>
            <w:r>
              <w:rPr>
                <w:rFonts w:eastAsiaTheme="minorEastAsia"/>
                <w:kern w:val="0"/>
                <w:szCs w:val="21"/>
              </w:rPr>
              <w:t>水污染控制和水环境影响减缓措施有效性评价</w:t>
            </w:r>
          </w:p>
        </w:tc>
        <w:tc>
          <w:tcPr>
            <w:tcW w:w="11112" w:type="dxa"/>
            <w:gridSpan w:val="7"/>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2FA1EF1" w14:textId="77777777" w:rsidR="00B14D53" w:rsidRDefault="00000000">
            <w:pPr>
              <w:jc w:val="left"/>
              <w:rPr>
                <w:rFonts w:eastAsiaTheme="minorEastAsia"/>
                <w:kern w:val="0"/>
                <w:szCs w:val="21"/>
              </w:rPr>
            </w:pPr>
            <w:r>
              <w:rPr>
                <w:rFonts w:eastAsiaTheme="minorEastAsia"/>
                <w:kern w:val="0"/>
                <w:szCs w:val="21"/>
              </w:rPr>
              <w:t>区（流）域水环境质量改善目标</w:t>
            </w:r>
            <w:r>
              <w:rPr>
                <w:rFonts w:eastAsiaTheme="minorEastAsia"/>
                <w:kern w:val="0"/>
                <w:szCs w:val="21"/>
              </w:rPr>
              <w:t>□</w:t>
            </w:r>
            <w:r>
              <w:rPr>
                <w:rFonts w:eastAsiaTheme="minorEastAsia"/>
                <w:kern w:val="0"/>
                <w:szCs w:val="21"/>
              </w:rPr>
              <w:t>；替代削减源</w:t>
            </w:r>
            <w:r>
              <w:rPr>
                <w:rFonts w:eastAsiaTheme="minorEastAsia"/>
                <w:kern w:val="0"/>
                <w:szCs w:val="21"/>
              </w:rPr>
              <w:t>□</w:t>
            </w:r>
          </w:p>
        </w:tc>
      </w:tr>
      <w:tr w:rsidR="00B14D53" w14:paraId="4BD29842" w14:textId="77777777">
        <w:trPr>
          <w:trHeight w:val="2609"/>
        </w:trPr>
        <w:tc>
          <w:tcPr>
            <w:tcW w:w="387" w:type="dxa"/>
            <w:vMerge/>
            <w:tcBorders>
              <w:left w:val="single" w:sz="12" w:space="0" w:color="000000" w:themeColor="text1"/>
              <w:right w:val="single" w:sz="6" w:space="0" w:color="000000" w:themeColor="text1"/>
            </w:tcBorders>
          </w:tcPr>
          <w:p w14:paraId="2D4B82B7" w14:textId="77777777" w:rsidR="00B14D53" w:rsidRDefault="00B14D53">
            <w:pPr>
              <w:widowControl/>
              <w:jc w:val="left"/>
              <w:rPr>
                <w:rFonts w:eastAsiaTheme="minorEastAsia"/>
                <w:kern w:val="0"/>
                <w:szCs w:val="21"/>
              </w:rPr>
            </w:pPr>
          </w:p>
        </w:tc>
        <w:tc>
          <w:tcPr>
            <w:tcW w:w="2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26558" w14:textId="77777777" w:rsidR="00B14D53" w:rsidRDefault="00000000">
            <w:pPr>
              <w:rPr>
                <w:rFonts w:eastAsiaTheme="minorEastAsia"/>
                <w:kern w:val="0"/>
                <w:szCs w:val="21"/>
              </w:rPr>
            </w:pPr>
            <w:r>
              <w:rPr>
                <w:rFonts w:eastAsiaTheme="minorEastAsia"/>
                <w:kern w:val="0"/>
                <w:szCs w:val="21"/>
              </w:rPr>
              <w:t>水环境影响评价</w:t>
            </w:r>
          </w:p>
        </w:tc>
        <w:tc>
          <w:tcPr>
            <w:tcW w:w="11112" w:type="dxa"/>
            <w:gridSpan w:val="7"/>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C56CA05" w14:textId="77777777" w:rsidR="00B14D53" w:rsidRDefault="00000000">
            <w:pPr>
              <w:jc w:val="left"/>
              <w:rPr>
                <w:rFonts w:eastAsiaTheme="minorEastAsia"/>
                <w:kern w:val="0"/>
                <w:szCs w:val="21"/>
              </w:rPr>
            </w:pPr>
            <w:r>
              <w:rPr>
                <w:rFonts w:eastAsiaTheme="minorEastAsia"/>
                <w:kern w:val="0"/>
                <w:szCs w:val="21"/>
              </w:rPr>
              <w:t>排放口混合区外满足水环境管理要求</w:t>
            </w:r>
            <w:r>
              <w:rPr>
                <w:rFonts w:eastAsiaTheme="minorEastAsia"/>
                <w:kern w:val="0"/>
                <w:szCs w:val="21"/>
              </w:rPr>
              <w:t xml:space="preserve"> □</w:t>
            </w:r>
          </w:p>
          <w:p w14:paraId="6890EE9E" w14:textId="77777777" w:rsidR="00B14D53" w:rsidRDefault="00000000">
            <w:pPr>
              <w:jc w:val="left"/>
              <w:rPr>
                <w:rFonts w:eastAsiaTheme="minorEastAsia"/>
                <w:kern w:val="0"/>
                <w:szCs w:val="21"/>
              </w:rPr>
            </w:pPr>
            <w:r>
              <w:rPr>
                <w:rFonts w:eastAsiaTheme="minorEastAsia"/>
                <w:kern w:val="0"/>
                <w:szCs w:val="21"/>
              </w:rPr>
              <w:t>水环境功能区或水功能区、近岸海域环境功能区水质达标</w:t>
            </w:r>
            <w:r>
              <w:rPr>
                <w:rFonts w:eastAsiaTheme="minorEastAsia"/>
                <w:kern w:val="0"/>
                <w:szCs w:val="21"/>
              </w:rPr>
              <w:t xml:space="preserve"> □</w:t>
            </w:r>
          </w:p>
          <w:p w14:paraId="1B1F0435" w14:textId="77777777" w:rsidR="00B14D53" w:rsidRDefault="00000000">
            <w:pPr>
              <w:jc w:val="left"/>
              <w:rPr>
                <w:rFonts w:eastAsiaTheme="minorEastAsia"/>
                <w:kern w:val="0"/>
                <w:szCs w:val="21"/>
              </w:rPr>
            </w:pPr>
            <w:r>
              <w:rPr>
                <w:rFonts w:eastAsiaTheme="minorEastAsia"/>
                <w:kern w:val="0"/>
                <w:szCs w:val="21"/>
              </w:rPr>
              <w:t>满足水环境保护目标水域水环境质量要求</w:t>
            </w:r>
            <w:r>
              <w:rPr>
                <w:rFonts w:eastAsiaTheme="minorEastAsia"/>
                <w:kern w:val="0"/>
                <w:szCs w:val="21"/>
              </w:rPr>
              <w:t xml:space="preserve"> □</w:t>
            </w:r>
          </w:p>
          <w:p w14:paraId="0FF132CF" w14:textId="77777777" w:rsidR="00B14D53" w:rsidRDefault="00000000">
            <w:pPr>
              <w:jc w:val="left"/>
              <w:rPr>
                <w:rFonts w:eastAsiaTheme="minorEastAsia"/>
                <w:kern w:val="0"/>
                <w:szCs w:val="21"/>
              </w:rPr>
            </w:pPr>
            <w:r>
              <w:rPr>
                <w:rFonts w:eastAsiaTheme="minorEastAsia"/>
                <w:kern w:val="0"/>
                <w:szCs w:val="21"/>
              </w:rPr>
              <w:t>水环境控制单元或断面水质达标</w:t>
            </w:r>
            <w:r>
              <w:rPr>
                <w:rFonts w:eastAsiaTheme="minorEastAsia"/>
                <w:kern w:val="0"/>
                <w:szCs w:val="21"/>
              </w:rPr>
              <w:t xml:space="preserve"> □</w:t>
            </w:r>
          </w:p>
          <w:p w14:paraId="3336E29A" w14:textId="77777777" w:rsidR="00B14D53" w:rsidRDefault="00000000">
            <w:pPr>
              <w:jc w:val="left"/>
              <w:rPr>
                <w:rFonts w:eastAsiaTheme="minorEastAsia"/>
                <w:kern w:val="0"/>
                <w:szCs w:val="21"/>
              </w:rPr>
            </w:pPr>
            <w:r>
              <w:rPr>
                <w:rFonts w:eastAsiaTheme="minorEastAsia"/>
                <w:kern w:val="0"/>
                <w:szCs w:val="21"/>
              </w:rPr>
              <w:t>满足重点水污染物排放总量控制指标要求，重点行业建设项目，主要污染物排放满足等量或减量替代要求</w:t>
            </w:r>
            <w:r>
              <w:rPr>
                <w:rFonts w:eastAsiaTheme="minorEastAsia"/>
                <w:kern w:val="0"/>
                <w:szCs w:val="21"/>
              </w:rPr>
              <w:t xml:space="preserve"> □</w:t>
            </w:r>
          </w:p>
          <w:p w14:paraId="5B9FF8A6" w14:textId="77777777" w:rsidR="00B14D53" w:rsidRDefault="00000000">
            <w:pPr>
              <w:jc w:val="left"/>
              <w:rPr>
                <w:rFonts w:eastAsiaTheme="minorEastAsia"/>
                <w:kern w:val="0"/>
                <w:szCs w:val="21"/>
              </w:rPr>
            </w:pPr>
            <w:r>
              <w:rPr>
                <w:rFonts w:eastAsiaTheme="minorEastAsia"/>
                <w:kern w:val="0"/>
                <w:szCs w:val="21"/>
              </w:rPr>
              <w:t>满足区（流）域水环境质量改善目标要求</w:t>
            </w:r>
            <w:r>
              <w:rPr>
                <w:rFonts w:eastAsiaTheme="minorEastAsia"/>
                <w:kern w:val="0"/>
                <w:szCs w:val="21"/>
              </w:rPr>
              <w:t xml:space="preserve"> □</w:t>
            </w:r>
          </w:p>
          <w:p w14:paraId="2312D5D1" w14:textId="77777777" w:rsidR="00B14D53" w:rsidRDefault="00000000">
            <w:pPr>
              <w:jc w:val="left"/>
              <w:rPr>
                <w:rFonts w:eastAsiaTheme="minorEastAsia"/>
                <w:kern w:val="0"/>
                <w:szCs w:val="21"/>
              </w:rPr>
            </w:pPr>
            <w:r>
              <w:rPr>
                <w:rFonts w:eastAsiaTheme="minorEastAsia"/>
                <w:kern w:val="0"/>
                <w:szCs w:val="21"/>
              </w:rPr>
              <w:t>水文要素影响型建设项目同时应包括水文情势变化评价、主要水文特征值影响评价、生态流量符合性评价</w:t>
            </w:r>
            <w:r>
              <w:rPr>
                <w:rFonts w:eastAsiaTheme="minorEastAsia"/>
                <w:kern w:val="0"/>
                <w:szCs w:val="21"/>
              </w:rPr>
              <w:t>□</w:t>
            </w:r>
          </w:p>
          <w:p w14:paraId="24A180C7" w14:textId="77777777" w:rsidR="00B14D53" w:rsidRDefault="00000000">
            <w:pPr>
              <w:jc w:val="left"/>
              <w:rPr>
                <w:rFonts w:eastAsiaTheme="minorEastAsia"/>
                <w:kern w:val="0"/>
                <w:szCs w:val="21"/>
              </w:rPr>
            </w:pPr>
            <w:r>
              <w:rPr>
                <w:rFonts w:eastAsiaTheme="minorEastAsia"/>
                <w:kern w:val="0"/>
                <w:szCs w:val="21"/>
              </w:rPr>
              <w:t>对于新设或调整入河（湖库、近岸海域）排放口的建设项目，应包括排放口设置的环境合理性评价</w:t>
            </w:r>
            <w:r>
              <w:rPr>
                <w:rFonts w:eastAsiaTheme="minorEastAsia"/>
                <w:kern w:val="0"/>
                <w:szCs w:val="21"/>
              </w:rPr>
              <w:t>□</w:t>
            </w:r>
          </w:p>
          <w:p w14:paraId="62D62191" w14:textId="77777777" w:rsidR="00B14D53" w:rsidRDefault="00000000">
            <w:pPr>
              <w:jc w:val="left"/>
              <w:rPr>
                <w:rFonts w:eastAsiaTheme="minorEastAsia"/>
                <w:kern w:val="0"/>
                <w:szCs w:val="21"/>
              </w:rPr>
            </w:pPr>
            <w:r>
              <w:rPr>
                <w:rFonts w:eastAsiaTheme="minorEastAsia"/>
                <w:kern w:val="0"/>
                <w:szCs w:val="21"/>
              </w:rPr>
              <w:t>满足生态保护红线、水环境质量底线、资源利用上线和环境准入清单管理要求</w:t>
            </w:r>
            <w:r>
              <w:rPr>
                <w:rFonts w:eastAsiaTheme="minorEastAsia"/>
                <w:kern w:val="0"/>
                <w:szCs w:val="21"/>
              </w:rPr>
              <w:t>□</w:t>
            </w:r>
          </w:p>
        </w:tc>
      </w:tr>
      <w:tr w:rsidR="00B14D53" w14:paraId="387E0C0A" w14:textId="77777777">
        <w:trPr>
          <w:trHeight w:val="203"/>
        </w:trPr>
        <w:tc>
          <w:tcPr>
            <w:tcW w:w="387" w:type="dxa"/>
            <w:vMerge/>
            <w:tcBorders>
              <w:left w:val="single" w:sz="12" w:space="0" w:color="000000" w:themeColor="text1"/>
              <w:right w:val="single" w:sz="6" w:space="0" w:color="000000" w:themeColor="text1"/>
            </w:tcBorders>
          </w:tcPr>
          <w:p w14:paraId="6927FAFC" w14:textId="77777777" w:rsidR="00B14D53" w:rsidRDefault="00B14D53">
            <w:pPr>
              <w:widowControl/>
              <w:jc w:val="left"/>
              <w:rPr>
                <w:rFonts w:eastAsiaTheme="minorEastAsia"/>
                <w:kern w:val="0"/>
                <w:szCs w:val="21"/>
              </w:rPr>
            </w:pPr>
          </w:p>
        </w:tc>
        <w:tc>
          <w:tcPr>
            <w:tcW w:w="2525" w:type="dxa"/>
            <w:vMerge w:val="restart"/>
            <w:tcBorders>
              <w:top w:val="single" w:sz="6" w:space="0" w:color="000000" w:themeColor="text1"/>
              <w:left w:val="single" w:sz="6" w:space="0" w:color="000000" w:themeColor="text1"/>
              <w:right w:val="single" w:sz="6" w:space="0" w:color="000000" w:themeColor="text1"/>
            </w:tcBorders>
          </w:tcPr>
          <w:p w14:paraId="3DD47BAD" w14:textId="77777777" w:rsidR="00B14D53" w:rsidRDefault="00000000">
            <w:pPr>
              <w:rPr>
                <w:rFonts w:eastAsiaTheme="minorEastAsia"/>
                <w:kern w:val="0"/>
                <w:szCs w:val="21"/>
              </w:rPr>
            </w:pPr>
            <w:r>
              <w:rPr>
                <w:rFonts w:eastAsiaTheme="minorEastAsia"/>
                <w:kern w:val="0"/>
                <w:szCs w:val="21"/>
              </w:rPr>
              <w:t>污染物排放量核算</w:t>
            </w:r>
          </w:p>
        </w:tc>
        <w:tc>
          <w:tcPr>
            <w:tcW w:w="3445" w:type="dxa"/>
            <w:gridSpan w:val="2"/>
            <w:tcBorders>
              <w:top w:val="single" w:sz="6" w:space="0" w:color="000000" w:themeColor="text1"/>
              <w:left w:val="single" w:sz="6" w:space="0" w:color="000000" w:themeColor="text1"/>
              <w:bottom w:val="single" w:sz="2" w:space="0" w:color="auto"/>
              <w:right w:val="single" w:sz="2" w:space="0" w:color="auto"/>
            </w:tcBorders>
          </w:tcPr>
          <w:p w14:paraId="1B99656E" w14:textId="77777777" w:rsidR="00B14D53" w:rsidRDefault="00000000">
            <w:pPr>
              <w:rPr>
                <w:rFonts w:eastAsiaTheme="minorEastAsia"/>
                <w:kern w:val="0"/>
                <w:szCs w:val="21"/>
              </w:rPr>
            </w:pPr>
            <w:r>
              <w:rPr>
                <w:rFonts w:eastAsiaTheme="minorEastAsia"/>
                <w:kern w:val="0"/>
                <w:szCs w:val="21"/>
              </w:rPr>
              <w:t>污染物名称</w:t>
            </w:r>
          </w:p>
        </w:tc>
        <w:tc>
          <w:tcPr>
            <w:tcW w:w="4241" w:type="dxa"/>
            <w:gridSpan w:val="3"/>
            <w:tcBorders>
              <w:top w:val="single" w:sz="6" w:space="0" w:color="000000" w:themeColor="text1"/>
              <w:left w:val="single" w:sz="2" w:space="0" w:color="auto"/>
              <w:bottom w:val="single" w:sz="2" w:space="0" w:color="auto"/>
              <w:right w:val="single" w:sz="2" w:space="0" w:color="auto"/>
            </w:tcBorders>
          </w:tcPr>
          <w:p w14:paraId="66D4EEAC" w14:textId="77777777" w:rsidR="00B14D53" w:rsidRDefault="00000000">
            <w:pPr>
              <w:rPr>
                <w:rFonts w:eastAsiaTheme="minorEastAsia"/>
                <w:kern w:val="0"/>
                <w:szCs w:val="21"/>
              </w:rPr>
            </w:pPr>
            <w:r>
              <w:rPr>
                <w:rFonts w:eastAsiaTheme="minorEastAsia"/>
                <w:kern w:val="0"/>
                <w:szCs w:val="21"/>
              </w:rPr>
              <w:t>排放量</w:t>
            </w:r>
            <w:r>
              <w:rPr>
                <w:rFonts w:eastAsiaTheme="minorEastAsia"/>
                <w:kern w:val="0"/>
                <w:szCs w:val="21"/>
              </w:rPr>
              <w:t>/</w:t>
            </w:r>
            <w:r>
              <w:rPr>
                <w:rFonts w:eastAsiaTheme="minorEastAsia"/>
                <w:kern w:val="0"/>
                <w:szCs w:val="21"/>
              </w:rPr>
              <w:t>（</w:t>
            </w:r>
            <w:r>
              <w:rPr>
                <w:rFonts w:eastAsiaTheme="minorEastAsia"/>
                <w:kern w:val="0"/>
                <w:szCs w:val="21"/>
              </w:rPr>
              <w:t>t/a</w:t>
            </w:r>
            <w:r>
              <w:rPr>
                <w:rFonts w:eastAsiaTheme="minorEastAsia"/>
                <w:kern w:val="0"/>
                <w:szCs w:val="21"/>
              </w:rPr>
              <w:t>）</w:t>
            </w:r>
          </w:p>
        </w:tc>
        <w:tc>
          <w:tcPr>
            <w:tcW w:w="3426" w:type="dxa"/>
            <w:gridSpan w:val="2"/>
            <w:tcBorders>
              <w:top w:val="single" w:sz="6" w:space="0" w:color="000000" w:themeColor="text1"/>
              <w:left w:val="single" w:sz="2" w:space="0" w:color="auto"/>
              <w:bottom w:val="single" w:sz="2" w:space="0" w:color="auto"/>
              <w:right w:val="single" w:sz="12" w:space="0" w:color="000000" w:themeColor="text1"/>
            </w:tcBorders>
          </w:tcPr>
          <w:p w14:paraId="11D521CA" w14:textId="77777777" w:rsidR="00B14D53" w:rsidRDefault="00000000">
            <w:pPr>
              <w:rPr>
                <w:rFonts w:eastAsiaTheme="minorEastAsia"/>
                <w:kern w:val="0"/>
                <w:szCs w:val="21"/>
              </w:rPr>
            </w:pPr>
            <w:r>
              <w:rPr>
                <w:rFonts w:eastAsiaTheme="minorEastAsia"/>
                <w:kern w:val="0"/>
                <w:szCs w:val="21"/>
              </w:rPr>
              <w:t>排放浓度</w:t>
            </w:r>
            <w:r>
              <w:rPr>
                <w:rFonts w:eastAsiaTheme="minorEastAsia"/>
                <w:kern w:val="0"/>
                <w:szCs w:val="21"/>
              </w:rPr>
              <w:t>/</w:t>
            </w:r>
            <w:r>
              <w:rPr>
                <w:rFonts w:eastAsiaTheme="minorEastAsia"/>
                <w:kern w:val="0"/>
                <w:szCs w:val="21"/>
              </w:rPr>
              <w:t>（</w:t>
            </w:r>
            <w:r>
              <w:rPr>
                <w:rFonts w:eastAsiaTheme="minorEastAsia"/>
                <w:kern w:val="0"/>
                <w:szCs w:val="21"/>
              </w:rPr>
              <w:t>mg/L</w:t>
            </w:r>
            <w:r>
              <w:rPr>
                <w:rFonts w:eastAsiaTheme="minorEastAsia"/>
                <w:kern w:val="0"/>
                <w:szCs w:val="21"/>
              </w:rPr>
              <w:t>）</w:t>
            </w:r>
          </w:p>
        </w:tc>
      </w:tr>
      <w:tr w:rsidR="00B14D53" w14:paraId="632CF873" w14:textId="77777777">
        <w:trPr>
          <w:trHeight w:val="62"/>
        </w:trPr>
        <w:tc>
          <w:tcPr>
            <w:tcW w:w="387" w:type="dxa"/>
            <w:vMerge/>
            <w:tcBorders>
              <w:left w:val="single" w:sz="12" w:space="0" w:color="000000" w:themeColor="text1"/>
              <w:right w:val="single" w:sz="6" w:space="0" w:color="000000" w:themeColor="text1"/>
            </w:tcBorders>
          </w:tcPr>
          <w:p w14:paraId="56A0A450" w14:textId="77777777" w:rsidR="00B14D53" w:rsidRDefault="00B14D53">
            <w:pPr>
              <w:widowControl/>
              <w:jc w:val="left"/>
              <w:rPr>
                <w:rFonts w:eastAsiaTheme="minorEastAsia"/>
                <w:kern w:val="0"/>
                <w:szCs w:val="21"/>
              </w:rPr>
            </w:pPr>
          </w:p>
        </w:tc>
        <w:tc>
          <w:tcPr>
            <w:tcW w:w="2525" w:type="dxa"/>
            <w:vMerge/>
            <w:tcBorders>
              <w:top w:val="single" w:sz="6" w:space="0" w:color="000000" w:themeColor="text1"/>
              <w:left w:val="single" w:sz="6" w:space="0" w:color="000000" w:themeColor="text1"/>
              <w:bottom w:val="single" w:sz="2" w:space="0" w:color="auto"/>
              <w:right w:val="single" w:sz="6" w:space="0" w:color="000000" w:themeColor="text1"/>
            </w:tcBorders>
          </w:tcPr>
          <w:p w14:paraId="6BCC723E" w14:textId="77777777" w:rsidR="00B14D53" w:rsidRDefault="00B14D53">
            <w:pPr>
              <w:rPr>
                <w:rFonts w:eastAsiaTheme="minorEastAsia"/>
                <w:kern w:val="0"/>
                <w:szCs w:val="21"/>
              </w:rPr>
            </w:pPr>
          </w:p>
        </w:tc>
        <w:tc>
          <w:tcPr>
            <w:tcW w:w="3445" w:type="dxa"/>
            <w:gridSpan w:val="2"/>
            <w:tcBorders>
              <w:top w:val="single" w:sz="2" w:space="0" w:color="auto"/>
              <w:left w:val="single" w:sz="6" w:space="0" w:color="000000" w:themeColor="text1"/>
              <w:bottom w:val="single" w:sz="2" w:space="0" w:color="auto"/>
              <w:right w:val="single" w:sz="2" w:space="0" w:color="auto"/>
            </w:tcBorders>
          </w:tcPr>
          <w:p w14:paraId="1D47A4EB" w14:textId="77777777" w:rsidR="00B14D53" w:rsidRDefault="00000000">
            <w:pPr>
              <w:rPr>
                <w:rFonts w:eastAsiaTheme="minorEastAsia"/>
                <w:kern w:val="0"/>
                <w:szCs w:val="21"/>
              </w:rPr>
            </w:pPr>
            <w:r>
              <w:rPr>
                <w:rFonts w:eastAsiaTheme="minorEastAsia"/>
                <w:kern w:val="0"/>
                <w:szCs w:val="21"/>
              </w:rPr>
              <w:t>（</w:t>
            </w:r>
            <w:r>
              <w:rPr>
                <w:kern w:val="0"/>
                <w:szCs w:val="21"/>
              </w:rPr>
              <w:t>COD</w:t>
            </w:r>
            <w:r>
              <w:rPr>
                <w:kern w:val="0"/>
                <w:szCs w:val="21"/>
              </w:rPr>
              <w:t>、氨氮</w:t>
            </w:r>
            <w:r>
              <w:rPr>
                <w:rFonts w:eastAsiaTheme="minorEastAsia"/>
                <w:kern w:val="0"/>
                <w:szCs w:val="21"/>
              </w:rPr>
              <w:t>）</w:t>
            </w:r>
          </w:p>
        </w:tc>
        <w:tc>
          <w:tcPr>
            <w:tcW w:w="4241" w:type="dxa"/>
            <w:gridSpan w:val="3"/>
            <w:tcBorders>
              <w:top w:val="single" w:sz="2" w:space="0" w:color="auto"/>
              <w:left w:val="single" w:sz="2" w:space="0" w:color="auto"/>
              <w:bottom w:val="single" w:sz="2" w:space="0" w:color="auto"/>
              <w:right w:val="single" w:sz="2" w:space="0" w:color="auto"/>
            </w:tcBorders>
          </w:tcPr>
          <w:p w14:paraId="608E9087" w14:textId="77777777" w:rsidR="00B14D53" w:rsidRDefault="00000000">
            <w:pPr>
              <w:jc w:val="center"/>
              <w:rPr>
                <w:rFonts w:eastAsiaTheme="minorEastAsia"/>
                <w:kern w:val="0"/>
                <w:szCs w:val="21"/>
              </w:rPr>
            </w:pPr>
            <w:r>
              <w:rPr>
                <w:kern w:val="0"/>
                <w:szCs w:val="21"/>
              </w:rPr>
              <w:t>（</w:t>
            </w:r>
            <w:r>
              <w:rPr>
                <w:kern w:val="0"/>
                <w:szCs w:val="21"/>
              </w:rPr>
              <w:t>COD</w:t>
            </w:r>
            <w:r>
              <w:rPr>
                <w:kern w:val="0"/>
                <w:szCs w:val="21"/>
              </w:rPr>
              <w:t>：</w:t>
            </w:r>
            <w:r>
              <w:rPr>
                <w:rFonts w:hint="eastAsia"/>
                <w:kern w:val="0"/>
                <w:szCs w:val="21"/>
              </w:rPr>
              <w:t>25.94</w:t>
            </w:r>
            <w:r>
              <w:rPr>
                <w:kern w:val="0"/>
                <w:szCs w:val="21"/>
              </w:rPr>
              <w:t>、氨氮：</w:t>
            </w:r>
            <w:r>
              <w:rPr>
                <w:rFonts w:hint="eastAsia"/>
                <w:kern w:val="0"/>
                <w:szCs w:val="21"/>
              </w:rPr>
              <w:t>1.9107</w:t>
            </w:r>
            <w:r>
              <w:rPr>
                <w:kern w:val="0"/>
                <w:szCs w:val="21"/>
              </w:rPr>
              <w:t>）</w:t>
            </w:r>
          </w:p>
        </w:tc>
        <w:tc>
          <w:tcPr>
            <w:tcW w:w="3426" w:type="dxa"/>
            <w:gridSpan w:val="2"/>
            <w:tcBorders>
              <w:top w:val="single" w:sz="2" w:space="0" w:color="auto"/>
              <w:left w:val="single" w:sz="2" w:space="0" w:color="auto"/>
              <w:bottom w:val="single" w:sz="2" w:space="0" w:color="auto"/>
              <w:right w:val="single" w:sz="12" w:space="0" w:color="000000" w:themeColor="text1"/>
            </w:tcBorders>
          </w:tcPr>
          <w:p w14:paraId="584B7DFB" w14:textId="77777777" w:rsidR="00B14D53" w:rsidRDefault="00000000">
            <w:pPr>
              <w:jc w:val="center"/>
              <w:rPr>
                <w:rFonts w:eastAsiaTheme="minorEastAsia"/>
                <w:kern w:val="0"/>
                <w:szCs w:val="21"/>
              </w:rPr>
            </w:pPr>
            <w:r>
              <w:rPr>
                <w:kern w:val="0"/>
                <w:szCs w:val="21"/>
              </w:rPr>
              <w:t>（</w:t>
            </w:r>
            <w:r>
              <w:rPr>
                <w:kern w:val="0"/>
                <w:szCs w:val="21"/>
              </w:rPr>
              <w:t>COD</w:t>
            </w:r>
            <w:r>
              <w:rPr>
                <w:kern w:val="0"/>
                <w:szCs w:val="21"/>
              </w:rPr>
              <w:t>：</w:t>
            </w:r>
            <w:r>
              <w:rPr>
                <w:rFonts w:hint="eastAsia"/>
                <w:snapToGrid w:val="0"/>
                <w:kern w:val="0"/>
                <w:szCs w:val="21"/>
              </w:rPr>
              <w:t>327.6</w:t>
            </w:r>
            <w:r>
              <w:rPr>
                <w:kern w:val="0"/>
                <w:szCs w:val="21"/>
              </w:rPr>
              <w:t>、氨氮：</w:t>
            </w:r>
            <w:r>
              <w:rPr>
                <w:rFonts w:hint="eastAsia"/>
                <w:kern w:val="0"/>
                <w:szCs w:val="21"/>
              </w:rPr>
              <w:t>24.2</w:t>
            </w:r>
            <w:r>
              <w:rPr>
                <w:kern w:val="0"/>
                <w:szCs w:val="21"/>
              </w:rPr>
              <w:t>）</w:t>
            </w:r>
          </w:p>
        </w:tc>
      </w:tr>
      <w:tr w:rsidR="00B14D53" w14:paraId="4FF7AA7E" w14:textId="77777777">
        <w:trPr>
          <w:trHeight w:val="132"/>
        </w:trPr>
        <w:tc>
          <w:tcPr>
            <w:tcW w:w="387" w:type="dxa"/>
            <w:vMerge/>
            <w:tcBorders>
              <w:left w:val="single" w:sz="12" w:space="0" w:color="000000" w:themeColor="text1"/>
              <w:right w:val="single" w:sz="6" w:space="0" w:color="000000" w:themeColor="text1"/>
            </w:tcBorders>
          </w:tcPr>
          <w:p w14:paraId="4F442DB1" w14:textId="77777777" w:rsidR="00B14D53" w:rsidRDefault="00B14D53">
            <w:pPr>
              <w:widowControl/>
              <w:jc w:val="left"/>
              <w:rPr>
                <w:rFonts w:eastAsiaTheme="minorEastAsia"/>
                <w:kern w:val="0"/>
                <w:szCs w:val="21"/>
              </w:rPr>
            </w:pPr>
          </w:p>
        </w:tc>
        <w:tc>
          <w:tcPr>
            <w:tcW w:w="2525" w:type="dxa"/>
            <w:vMerge w:val="restart"/>
            <w:tcBorders>
              <w:top w:val="single" w:sz="2" w:space="0" w:color="auto"/>
              <w:left w:val="single" w:sz="6" w:space="0" w:color="000000" w:themeColor="text1"/>
              <w:right w:val="single" w:sz="6" w:space="0" w:color="000000" w:themeColor="text1"/>
            </w:tcBorders>
          </w:tcPr>
          <w:p w14:paraId="0599B7F2" w14:textId="77777777" w:rsidR="00B14D53" w:rsidRDefault="00000000">
            <w:pPr>
              <w:rPr>
                <w:rFonts w:eastAsiaTheme="minorEastAsia"/>
                <w:kern w:val="0"/>
                <w:szCs w:val="21"/>
              </w:rPr>
            </w:pPr>
            <w:r>
              <w:rPr>
                <w:rFonts w:eastAsiaTheme="minorEastAsia"/>
                <w:kern w:val="0"/>
                <w:szCs w:val="21"/>
              </w:rPr>
              <w:t>替代源排放情况</w:t>
            </w:r>
          </w:p>
        </w:tc>
        <w:tc>
          <w:tcPr>
            <w:tcW w:w="2076" w:type="dxa"/>
            <w:tcBorders>
              <w:top w:val="single" w:sz="2" w:space="0" w:color="auto"/>
              <w:left w:val="single" w:sz="6" w:space="0" w:color="000000" w:themeColor="text1"/>
              <w:bottom w:val="single" w:sz="2" w:space="0" w:color="auto"/>
              <w:right w:val="single" w:sz="2" w:space="0" w:color="auto"/>
            </w:tcBorders>
          </w:tcPr>
          <w:p w14:paraId="75326DD1" w14:textId="77777777" w:rsidR="00B14D53" w:rsidRDefault="00000000">
            <w:pPr>
              <w:rPr>
                <w:rFonts w:eastAsiaTheme="minorEastAsia"/>
                <w:kern w:val="0"/>
                <w:szCs w:val="21"/>
              </w:rPr>
            </w:pPr>
            <w:r>
              <w:rPr>
                <w:rFonts w:eastAsiaTheme="minorEastAsia"/>
                <w:kern w:val="0"/>
                <w:szCs w:val="21"/>
              </w:rPr>
              <w:t>污染源名称</w:t>
            </w:r>
          </w:p>
        </w:tc>
        <w:tc>
          <w:tcPr>
            <w:tcW w:w="2385" w:type="dxa"/>
            <w:gridSpan w:val="2"/>
            <w:tcBorders>
              <w:top w:val="single" w:sz="2" w:space="0" w:color="auto"/>
              <w:left w:val="single" w:sz="2" w:space="0" w:color="auto"/>
              <w:bottom w:val="single" w:sz="2" w:space="0" w:color="auto"/>
              <w:right w:val="single" w:sz="2" w:space="0" w:color="auto"/>
            </w:tcBorders>
          </w:tcPr>
          <w:p w14:paraId="2AABDFE4" w14:textId="77777777" w:rsidR="00B14D53" w:rsidRDefault="00000000">
            <w:pPr>
              <w:rPr>
                <w:rFonts w:eastAsiaTheme="minorEastAsia"/>
                <w:kern w:val="0"/>
                <w:szCs w:val="21"/>
              </w:rPr>
            </w:pPr>
            <w:r>
              <w:rPr>
                <w:rFonts w:eastAsiaTheme="minorEastAsia"/>
                <w:kern w:val="0"/>
                <w:szCs w:val="21"/>
              </w:rPr>
              <w:t>排污许可证编号</w:t>
            </w:r>
          </w:p>
        </w:tc>
        <w:tc>
          <w:tcPr>
            <w:tcW w:w="2516" w:type="dxa"/>
            <w:tcBorders>
              <w:top w:val="single" w:sz="2" w:space="0" w:color="auto"/>
              <w:left w:val="single" w:sz="2" w:space="0" w:color="auto"/>
              <w:bottom w:val="single" w:sz="2" w:space="0" w:color="auto"/>
              <w:right w:val="single" w:sz="2" w:space="0" w:color="auto"/>
            </w:tcBorders>
          </w:tcPr>
          <w:p w14:paraId="1EB8F623" w14:textId="77777777" w:rsidR="00B14D53" w:rsidRDefault="00000000">
            <w:pPr>
              <w:rPr>
                <w:rFonts w:eastAsiaTheme="minorEastAsia"/>
                <w:kern w:val="0"/>
                <w:szCs w:val="21"/>
              </w:rPr>
            </w:pPr>
            <w:r>
              <w:rPr>
                <w:rFonts w:eastAsiaTheme="minorEastAsia"/>
                <w:kern w:val="0"/>
                <w:szCs w:val="21"/>
              </w:rPr>
              <w:t>污染物名称</w:t>
            </w:r>
          </w:p>
        </w:tc>
        <w:tc>
          <w:tcPr>
            <w:tcW w:w="2126" w:type="dxa"/>
            <w:gridSpan w:val="2"/>
            <w:tcBorders>
              <w:top w:val="single" w:sz="2" w:space="0" w:color="auto"/>
              <w:left w:val="single" w:sz="2" w:space="0" w:color="auto"/>
              <w:bottom w:val="single" w:sz="2" w:space="0" w:color="auto"/>
              <w:right w:val="single" w:sz="2" w:space="0" w:color="auto"/>
            </w:tcBorders>
          </w:tcPr>
          <w:p w14:paraId="38C75B0E" w14:textId="77777777" w:rsidR="00B14D53" w:rsidRDefault="00000000">
            <w:pPr>
              <w:rPr>
                <w:rFonts w:eastAsiaTheme="minorEastAsia"/>
                <w:kern w:val="0"/>
                <w:szCs w:val="21"/>
              </w:rPr>
            </w:pPr>
            <w:r>
              <w:rPr>
                <w:rFonts w:eastAsiaTheme="minorEastAsia"/>
                <w:kern w:val="0"/>
                <w:szCs w:val="21"/>
              </w:rPr>
              <w:t>排放量</w:t>
            </w:r>
            <w:r>
              <w:rPr>
                <w:rFonts w:eastAsiaTheme="minorEastAsia"/>
                <w:kern w:val="0"/>
                <w:szCs w:val="21"/>
              </w:rPr>
              <w:t>/</w:t>
            </w:r>
            <w:r>
              <w:rPr>
                <w:rFonts w:eastAsiaTheme="minorEastAsia"/>
                <w:kern w:val="0"/>
                <w:szCs w:val="21"/>
              </w:rPr>
              <w:t>（</w:t>
            </w:r>
            <w:r>
              <w:rPr>
                <w:rFonts w:eastAsiaTheme="minorEastAsia"/>
                <w:kern w:val="0"/>
                <w:szCs w:val="21"/>
              </w:rPr>
              <w:t>t/a</w:t>
            </w:r>
            <w:r>
              <w:rPr>
                <w:rFonts w:eastAsiaTheme="minorEastAsia"/>
                <w:kern w:val="0"/>
                <w:szCs w:val="21"/>
              </w:rPr>
              <w:t>）</w:t>
            </w:r>
          </w:p>
        </w:tc>
        <w:tc>
          <w:tcPr>
            <w:tcW w:w="2009" w:type="dxa"/>
            <w:tcBorders>
              <w:top w:val="single" w:sz="2" w:space="0" w:color="auto"/>
              <w:left w:val="single" w:sz="2" w:space="0" w:color="auto"/>
              <w:bottom w:val="single" w:sz="2" w:space="0" w:color="auto"/>
              <w:right w:val="single" w:sz="12" w:space="0" w:color="000000" w:themeColor="text1"/>
            </w:tcBorders>
          </w:tcPr>
          <w:p w14:paraId="52FD06B8" w14:textId="77777777" w:rsidR="00B14D53" w:rsidRDefault="00000000">
            <w:pPr>
              <w:rPr>
                <w:rFonts w:eastAsiaTheme="minorEastAsia"/>
                <w:kern w:val="0"/>
                <w:szCs w:val="21"/>
              </w:rPr>
            </w:pPr>
            <w:r>
              <w:rPr>
                <w:rFonts w:eastAsiaTheme="minorEastAsia"/>
                <w:kern w:val="0"/>
                <w:szCs w:val="21"/>
              </w:rPr>
              <w:t>排放浓度</w:t>
            </w:r>
            <w:r>
              <w:rPr>
                <w:rFonts w:eastAsiaTheme="minorEastAsia"/>
                <w:kern w:val="0"/>
                <w:szCs w:val="21"/>
              </w:rPr>
              <w:t>/</w:t>
            </w:r>
            <w:r>
              <w:rPr>
                <w:rFonts w:eastAsiaTheme="minorEastAsia"/>
                <w:kern w:val="0"/>
                <w:szCs w:val="21"/>
              </w:rPr>
              <w:t>（</w:t>
            </w:r>
            <w:r>
              <w:rPr>
                <w:rFonts w:eastAsiaTheme="minorEastAsia"/>
                <w:kern w:val="0"/>
                <w:szCs w:val="21"/>
              </w:rPr>
              <w:t>mg/L</w:t>
            </w:r>
            <w:r>
              <w:rPr>
                <w:rFonts w:eastAsiaTheme="minorEastAsia"/>
                <w:kern w:val="0"/>
                <w:szCs w:val="21"/>
              </w:rPr>
              <w:t>）</w:t>
            </w:r>
          </w:p>
        </w:tc>
      </w:tr>
      <w:tr w:rsidR="00B14D53" w14:paraId="2FAF1BE7" w14:textId="77777777">
        <w:trPr>
          <w:trHeight w:val="106"/>
        </w:trPr>
        <w:tc>
          <w:tcPr>
            <w:tcW w:w="387" w:type="dxa"/>
            <w:vMerge/>
            <w:tcBorders>
              <w:left w:val="single" w:sz="12" w:space="0" w:color="000000" w:themeColor="text1"/>
              <w:right w:val="single" w:sz="6" w:space="0" w:color="000000" w:themeColor="text1"/>
            </w:tcBorders>
          </w:tcPr>
          <w:p w14:paraId="6B5481F5" w14:textId="77777777" w:rsidR="00B14D53" w:rsidRDefault="00B14D53">
            <w:pPr>
              <w:widowControl/>
              <w:jc w:val="left"/>
              <w:rPr>
                <w:rFonts w:eastAsiaTheme="minorEastAsia"/>
                <w:kern w:val="0"/>
                <w:szCs w:val="21"/>
              </w:rPr>
            </w:pPr>
          </w:p>
        </w:tc>
        <w:tc>
          <w:tcPr>
            <w:tcW w:w="2525" w:type="dxa"/>
            <w:vMerge/>
            <w:tcBorders>
              <w:left w:val="single" w:sz="6" w:space="0" w:color="000000" w:themeColor="text1"/>
              <w:right w:val="single" w:sz="6" w:space="0" w:color="000000" w:themeColor="text1"/>
            </w:tcBorders>
          </w:tcPr>
          <w:p w14:paraId="240A7A35" w14:textId="77777777" w:rsidR="00B14D53" w:rsidRDefault="00B14D53">
            <w:pPr>
              <w:rPr>
                <w:rFonts w:eastAsiaTheme="minorEastAsia"/>
                <w:kern w:val="0"/>
                <w:szCs w:val="21"/>
              </w:rPr>
            </w:pPr>
          </w:p>
        </w:tc>
        <w:tc>
          <w:tcPr>
            <w:tcW w:w="2076" w:type="dxa"/>
            <w:tcBorders>
              <w:top w:val="single" w:sz="2" w:space="0" w:color="auto"/>
              <w:left w:val="single" w:sz="6" w:space="0" w:color="000000" w:themeColor="text1"/>
              <w:bottom w:val="single" w:sz="2" w:space="0" w:color="auto"/>
              <w:right w:val="single" w:sz="2" w:space="0" w:color="auto"/>
            </w:tcBorders>
          </w:tcPr>
          <w:p w14:paraId="40FF13CD" w14:textId="77777777" w:rsidR="00B14D53" w:rsidRDefault="00000000">
            <w:pPr>
              <w:rPr>
                <w:rFonts w:eastAsiaTheme="minorEastAsia"/>
                <w:kern w:val="0"/>
                <w:szCs w:val="21"/>
              </w:rPr>
            </w:pPr>
            <w:r>
              <w:rPr>
                <w:rFonts w:eastAsiaTheme="minorEastAsia"/>
                <w:kern w:val="0"/>
                <w:szCs w:val="21"/>
              </w:rPr>
              <w:t>（）</w:t>
            </w:r>
          </w:p>
        </w:tc>
        <w:tc>
          <w:tcPr>
            <w:tcW w:w="2385" w:type="dxa"/>
            <w:gridSpan w:val="2"/>
            <w:tcBorders>
              <w:top w:val="single" w:sz="2" w:space="0" w:color="auto"/>
              <w:left w:val="single" w:sz="2" w:space="0" w:color="auto"/>
              <w:bottom w:val="single" w:sz="2" w:space="0" w:color="auto"/>
              <w:right w:val="single" w:sz="2" w:space="0" w:color="auto"/>
            </w:tcBorders>
          </w:tcPr>
          <w:p w14:paraId="14A7836E" w14:textId="77777777" w:rsidR="00B14D53" w:rsidRDefault="00000000">
            <w:pPr>
              <w:rPr>
                <w:rFonts w:eastAsiaTheme="minorEastAsia"/>
                <w:kern w:val="0"/>
                <w:szCs w:val="21"/>
              </w:rPr>
            </w:pPr>
            <w:r>
              <w:rPr>
                <w:rFonts w:eastAsiaTheme="minorEastAsia"/>
                <w:kern w:val="0"/>
                <w:szCs w:val="21"/>
              </w:rPr>
              <w:t>（）</w:t>
            </w:r>
          </w:p>
        </w:tc>
        <w:tc>
          <w:tcPr>
            <w:tcW w:w="2516" w:type="dxa"/>
            <w:tcBorders>
              <w:top w:val="single" w:sz="2" w:space="0" w:color="auto"/>
              <w:left w:val="single" w:sz="2" w:space="0" w:color="auto"/>
              <w:bottom w:val="single" w:sz="2" w:space="0" w:color="auto"/>
              <w:right w:val="single" w:sz="2" w:space="0" w:color="auto"/>
            </w:tcBorders>
          </w:tcPr>
          <w:p w14:paraId="7969D246" w14:textId="77777777" w:rsidR="00B14D53" w:rsidRDefault="00000000">
            <w:pPr>
              <w:rPr>
                <w:rFonts w:eastAsiaTheme="minorEastAsia"/>
                <w:kern w:val="0"/>
                <w:szCs w:val="21"/>
              </w:rPr>
            </w:pPr>
            <w:r>
              <w:rPr>
                <w:rFonts w:eastAsiaTheme="minorEastAsia"/>
                <w:kern w:val="0"/>
                <w:szCs w:val="21"/>
              </w:rPr>
              <w:t>（）</w:t>
            </w:r>
          </w:p>
        </w:tc>
        <w:tc>
          <w:tcPr>
            <w:tcW w:w="2126" w:type="dxa"/>
            <w:gridSpan w:val="2"/>
            <w:tcBorders>
              <w:top w:val="single" w:sz="2" w:space="0" w:color="auto"/>
              <w:left w:val="single" w:sz="2" w:space="0" w:color="auto"/>
              <w:bottom w:val="single" w:sz="2" w:space="0" w:color="auto"/>
              <w:right w:val="single" w:sz="2" w:space="0" w:color="auto"/>
            </w:tcBorders>
          </w:tcPr>
          <w:p w14:paraId="6BB4B3EC" w14:textId="77777777" w:rsidR="00B14D53" w:rsidRDefault="00000000">
            <w:pPr>
              <w:rPr>
                <w:rFonts w:eastAsiaTheme="minorEastAsia"/>
                <w:kern w:val="0"/>
                <w:szCs w:val="21"/>
              </w:rPr>
            </w:pPr>
            <w:r>
              <w:rPr>
                <w:rFonts w:eastAsiaTheme="minorEastAsia"/>
                <w:kern w:val="0"/>
                <w:szCs w:val="21"/>
              </w:rPr>
              <w:t>（）</w:t>
            </w:r>
          </w:p>
        </w:tc>
        <w:tc>
          <w:tcPr>
            <w:tcW w:w="2009" w:type="dxa"/>
            <w:tcBorders>
              <w:top w:val="single" w:sz="2" w:space="0" w:color="auto"/>
              <w:left w:val="single" w:sz="2" w:space="0" w:color="auto"/>
              <w:bottom w:val="single" w:sz="2" w:space="0" w:color="auto"/>
              <w:right w:val="single" w:sz="12" w:space="0" w:color="000000" w:themeColor="text1"/>
            </w:tcBorders>
          </w:tcPr>
          <w:p w14:paraId="0E67658A" w14:textId="77777777" w:rsidR="00B14D53" w:rsidRDefault="00000000">
            <w:pPr>
              <w:rPr>
                <w:rFonts w:eastAsiaTheme="minorEastAsia"/>
                <w:kern w:val="0"/>
                <w:szCs w:val="21"/>
              </w:rPr>
            </w:pPr>
            <w:r>
              <w:rPr>
                <w:rFonts w:eastAsiaTheme="minorEastAsia"/>
                <w:kern w:val="0"/>
                <w:szCs w:val="21"/>
              </w:rPr>
              <w:t>（）</w:t>
            </w:r>
          </w:p>
        </w:tc>
      </w:tr>
      <w:tr w:rsidR="00B14D53" w14:paraId="55F191B7" w14:textId="77777777">
        <w:trPr>
          <w:trHeight w:val="106"/>
        </w:trPr>
        <w:tc>
          <w:tcPr>
            <w:tcW w:w="387" w:type="dxa"/>
            <w:vMerge/>
            <w:tcBorders>
              <w:left w:val="single" w:sz="12" w:space="0" w:color="000000" w:themeColor="text1"/>
              <w:right w:val="single" w:sz="6" w:space="0" w:color="000000" w:themeColor="text1"/>
            </w:tcBorders>
          </w:tcPr>
          <w:p w14:paraId="6BCE2C4E" w14:textId="77777777" w:rsidR="00B14D53" w:rsidRDefault="00B14D53">
            <w:pPr>
              <w:widowControl/>
              <w:jc w:val="left"/>
              <w:rPr>
                <w:rFonts w:eastAsiaTheme="minorEastAsia"/>
                <w:kern w:val="0"/>
                <w:szCs w:val="21"/>
              </w:rPr>
            </w:pPr>
          </w:p>
        </w:tc>
        <w:tc>
          <w:tcPr>
            <w:tcW w:w="2525" w:type="dxa"/>
            <w:tcBorders>
              <w:left w:val="single" w:sz="6" w:space="0" w:color="000000" w:themeColor="text1"/>
              <w:bottom w:val="single" w:sz="12" w:space="0" w:color="auto"/>
              <w:right w:val="single" w:sz="6" w:space="0" w:color="000000" w:themeColor="text1"/>
            </w:tcBorders>
          </w:tcPr>
          <w:p w14:paraId="5F869FCD" w14:textId="77777777" w:rsidR="00B14D53" w:rsidRDefault="00000000">
            <w:pPr>
              <w:rPr>
                <w:rFonts w:eastAsiaTheme="minorEastAsia"/>
                <w:kern w:val="0"/>
                <w:szCs w:val="21"/>
              </w:rPr>
            </w:pPr>
            <w:r>
              <w:rPr>
                <w:rFonts w:eastAsiaTheme="minorEastAsia"/>
                <w:kern w:val="0"/>
                <w:szCs w:val="21"/>
              </w:rPr>
              <w:t>生态流量确定</w:t>
            </w:r>
          </w:p>
        </w:tc>
        <w:tc>
          <w:tcPr>
            <w:tcW w:w="11112" w:type="dxa"/>
            <w:gridSpan w:val="7"/>
            <w:tcBorders>
              <w:top w:val="single" w:sz="2" w:space="0" w:color="auto"/>
              <w:left w:val="single" w:sz="6" w:space="0" w:color="000000" w:themeColor="text1"/>
              <w:bottom w:val="single" w:sz="12" w:space="0" w:color="auto"/>
              <w:right w:val="single" w:sz="12" w:space="0" w:color="000000" w:themeColor="text1"/>
            </w:tcBorders>
          </w:tcPr>
          <w:p w14:paraId="4AAD51DD" w14:textId="77777777" w:rsidR="00B14D53" w:rsidRDefault="00000000">
            <w:pPr>
              <w:jc w:val="left"/>
              <w:rPr>
                <w:rFonts w:eastAsiaTheme="minorEastAsia"/>
                <w:kern w:val="0"/>
                <w:szCs w:val="21"/>
              </w:rPr>
            </w:pPr>
            <w:r>
              <w:rPr>
                <w:rFonts w:eastAsiaTheme="minorEastAsia"/>
                <w:kern w:val="0"/>
                <w:szCs w:val="21"/>
              </w:rPr>
              <w:t>生态流量：一般水期（）</w:t>
            </w:r>
            <w:r>
              <w:rPr>
                <w:rFonts w:eastAsiaTheme="minorEastAsia"/>
                <w:kern w:val="0"/>
                <w:szCs w:val="21"/>
              </w:rPr>
              <w:t>m</w:t>
            </w:r>
            <w:r>
              <w:rPr>
                <w:rFonts w:eastAsiaTheme="minorEastAsia"/>
                <w:kern w:val="0"/>
                <w:szCs w:val="21"/>
                <w:vertAlign w:val="superscript"/>
              </w:rPr>
              <w:t>3</w:t>
            </w:r>
            <w:r>
              <w:rPr>
                <w:rFonts w:eastAsiaTheme="minorEastAsia"/>
                <w:kern w:val="0"/>
                <w:szCs w:val="21"/>
              </w:rPr>
              <w:t>/s</w:t>
            </w:r>
            <w:r>
              <w:rPr>
                <w:rFonts w:eastAsiaTheme="minorEastAsia"/>
                <w:kern w:val="0"/>
                <w:szCs w:val="21"/>
              </w:rPr>
              <w:t>；鱼类繁殖期（）</w:t>
            </w:r>
            <w:r>
              <w:rPr>
                <w:rFonts w:eastAsiaTheme="minorEastAsia"/>
                <w:kern w:val="0"/>
                <w:szCs w:val="21"/>
              </w:rPr>
              <w:t>m</w:t>
            </w:r>
            <w:r>
              <w:rPr>
                <w:rFonts w:eastAsiaTheme="minorEastAsia"/>
                <w:kern w:val="0"/>
                <w:szCs w:val="21"/>
                <w:vertAlign w:val="superscript"/>
              </w:rPr>
              <w:t>3</w:t>
            </w:r>
            <w:r>
              <w:rPr>
                <w:rFonts w:eastAsiaTheme="minorEastAsia"/>
                <w:kern w:val="0"/>
                <w:szCs w:val="21"/>
              </w:rPr>
              <w:t>/s</w:t>
            </w:r>
            <w:r>
              <w:rPr>
                <w:rFonts w:eastAsiaTheme="minorEastAsia"/>
                <w:kern w:val="0"/>
                <w:szCs w:val="21"/>
              </w:rPr>
              <w:t>；其他（）</w:t>
            </w:r>
            <w:r>
              <w:rPr>
                <w:rFonts w:eastAsiaTheme="minorEastAsia"/>
                <w:kern w:val="0"/>
                <w:szCs w:val="21"/>
              </w:rPr>
              <w:t>m</w:t>
            </w:r>
            <w:r>
              <w:rPr>
                <w:rFonts w:eastAsiaTheme="minorEastAsia"/>
                <w:kern w:val="0"/>
                <w:szCs w:val="21"/>
                <w:vertAlign w:val="superscript"/>
              </w:rPr>
              <w:t>3</w:t>
            </w:r>
            <w:r>
              <w:rPr>
                <w:rFonts w:eastAsiaTheme="minorEastAsia"/>
                <w:kern w:val="0"/>
                <w:szCs w:val="21"/>
              </w:rPr>
              <w:t>/s</w:t>
            </w:r>
          </w:p>
          <w:p w14:paraId="762A75AE" w14:textId="77777777" w:rsidR="00B14D53" w:rsidRDefault="00000000">
            <w:pPr>
              <w:jc w:val="left"/>
              <w:rPr>
                <w:rFonts w:eastAsiaTheme="minorEastAsia"/>
                <w:kern w:val="0"/>
                <w:szCs w:val="21"/>
              </w:rPr>
            </w:pPr>
            <w:r>
              <w:rPr>
                <w:rFonts w:eastAsiaTheme="minorEastAsia"/>
                <w:kern w:val="0"/>
                <w:szCs w:val="21"/>
              </w:rPr>
              <w:t>生态水位：一般水期（）</w:t>
            </w:r>
            <w:r>
              <w:rPr>
                <w:rFonts w:eastAsiaTheme="minorEastAsia"/>
                <w:kern w:val="0"/>
                <w:szCs w:val="21"/>
              </w:rPr>
              <w:t>m</w:t>
            </w:r>
            <w:r>
              <w:rPr>
                <w:rFonts w:eastAsiaTheme="minorEastAsia"/>
                <w:kern w:val="0"/>
                <w:szCs w:val="21"/>
              </w:rPr>
              <w:t>；鱼类繁殖期（）</w:t>
            </w:r>
            <w:r>
              <w:rPr>
                <w:rFonts w:eastAsiaTheme="minorEastAsia"/>
                <w:kern w:val="0"/>
                <w:szCs w:val="21"/>
              </w:rPr>
              <w:t>m</w:t>
            </w:r>
            <w:r>
              <w:rPr>
                <w:rFonts w:eastAsiaTheme="minorEastAsia"/>
                <w:kern w:val="0"/>
                <w:szCs w:val="21"/>
              </w:rPr>
              <w:t>；其他（）</w:t>
            </w:r>
            <w:r>
              <w:rPr>
                <w:rFonts w:eastAsiaTheme="minorEastAsia"/>
                <w:kern w:val="0"/>
                <w:szCs w:val="21"/>
              </w:rPr>
              <w:t>m</w:t>
            </w:r>
          </w:p>
        </w:tc>
      </w:tr>
    </w:tbl>
    <w:p w14:paraId="2F6FFCE9" w14:textId="77777777" w:rsidR="00B14D53" w:rsidRDefault="00B14D53">
      <w:pPr>
        <w:jc w:val="right"/>
        <w:rPr>
          <w:rFonts w:eastAsiaTheme="minorEastAsia"/>
          <w:b/>
        </w:rPr>
      </w:pPr>
    </w:p>
    <w:p w14:paraId="764651E7" w14:textId="77777777" w:rsidR="00B14D53" w:rsidRDefault="00B14D53">
      <w:pPr>
        <w:jc w:val="right"/>
        <w:rPr>
          <w:rFonts w:eastAsiaTheme="minorEastAsia"/>
          <w:b/>
        </w:rPr>
      </w:pPr>
    </w:p>
    <w:p w14:paraId="02C11444" w14:textId="77777777" w:rsidR="00B14D53" w:rsidRDefault="00B14D53">
      <w:pPr>
        <w:jc w:val="right"/>
        <w:rPr>
          <w:rFonts w:eastAsiaTheme="minorEastAsia"/>
          <w:b/>
        </w:rPr>
      </w:pPr>
    </w:p>
    <w:p w14:paraId="4433263B" w14:textId="77777777" w:rsidR="00B14D53" w:rsidRDefault="00000000">
      <w:pPr>
        <w:jc w:val="right"/>
        <w:rPr>
          <w:rFonts w:eastAsiaTheme="minorEastAsia"/>
          <w:b/>
          <w:szCs w:val="22"/>
        </w:rPr>
      </w:pPr>
      <w:r>
        <w:rPr>
          <w:rFonts w:eastAsiaTheme="minorEastAsia"/>
          <w:b/>
        </w:rPr>
        <w:t>续表</w:t>
      </w:r>
    </w:p>
    <w:tbl>
      <w:tblPr>
        <w:tblStyle w:val="afff1"/>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392"/>
        <w:gridCol w:w="2551"/>
        <w:gridCol w:w="3743"/>
        <w:gridCol w:w="3744"/>
        <w:gridCol w:w="3744"/>
      </w:tblGrid>
      <w:tr w:rsidR="00B14D53" w14:paraId="162D47AD" w14:textId="77777777">
        <w:tc>
          <w:tcPr>
            <w:tcW w:w="2943"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tcPr>
          <w:p w14:paraId="794E81BF" w14:textId="77777777" w:rsidR="00B14D53" w:rsidRDefault="00000000">
            <w:pPr>
              <w:rPr>
                <w:rFonts w:eastAsiaTheme="minorEastAsia"/>
                <w:kern w:val="0"/>
                <w:szCs w:val="21"/>
              </w:rPr>
            </w:pPr>
            <w:r>
              <w:rPr>
                <w:rFonts w:eastAsiaTheme="minorEastAsia"/>
                <w:kern w:val="0"/>
                <w:szCs w:val="21"/>
              </w:rPr>
              <w:t>工作内容</w:t>
            </w:r>
          </w:p>
        </w:tc>
        <w:tc>
          <w:tcPr>
            <w:tcW w:w="11231" w:type="dxa"/>
            <w:gridSpan w:val="3"/>
            <w:tcBorders>
              <w:top w:val="single" w:sz="12" w:space="0" w:color="000000" w:themeColor="text1"/>
              <w:left w:val="single" w:sz="6" w:space="0" w:color="000000" w:themeColor="text1"/>
              <w:bottom w:val="single" w:sz="6" w:space="0" w:color="000000" w:themeColor="text1"/>
              <w:right w:val="single" w:sz="12" w:space="0" w:color="000000" w:themeColor="text1"/>
            </w:tcBorders>
          </w:tcPr>
          <w:p w14:paraId="53D464D6" w14:textId="77777777" w:rsidR="00B14D53" w:rsidRDefault="00000000">
            <w:pPr>
              <w:rPr>
                <w:rFonts w:eastAsiaTheme="minorEastAsia"/>
                <w:kern w:val="0"/>
                <w:szCs w:val="21"/>
              </w:rPr>
            </w:pPr>
            <w:r>
              <w:rPr>
                <w:rFonts w:eastAsiaTheme="minorEastAsia"/>
                <w:kern w:val="0"/>
                <w:szCs w:val="21"/>
              </w:rPr>
              <w:t>自查项目</w:t>
            </w:r>
          </w:p>
        </w:tc>
      </w:tr>
      <w:tr w:rsidR="00B14D53" w14:paraId="70D50631" w14:textId="77777777">
        <w:tc>
          <w:tcPr>
            <w:tcW w:w="392" w:type="dxa"/>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62237AD5" w14:textId="77777777" w:rsidR="00B14D53" w:rsidRDefault="00000000">
            <w:pPr>
              <w:rPr>
                <w:rFonts w:eastAsiaTheme="minorEastAsia"/>
                <w:kern w:val="0"/>
                <w:szCs w:val="21"/>
              </w:rPr>
            </w:pPr>
            <w:r>
              <w:rPr>
                <w:rFonts w:eastAsiaTheme="minorEastAsia"/>
                <w:kern w:val="0"/>
                <w:szCs w:val="21"/>
              </w:rPr>
              <w:t>防治措施</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2C260F" w14:textId="77777777" w:rsidR="00B14D53" w:rsidRDefault="00000000">
            <w:pPr>
              <w:rPr>
                <w:rFonts w:eastAsiaTheme="minorEastAsia"/>
                <w:kern w:val="0"/>
                <w:szCs w:val="21"/>
              </w:rPr>
            </w:pPr>
            <w:r>
              <w:rPr>
                <w:rFonts w:eastAsiaTheme="minorEastAsia"/>
                <w:kern w:val="0"/>
                <w:szCs w:val="21"/>
              </w:rPr>
              <w:t>环保措施</w:t>
            </w:r>
          </w:p>
        </w:tc>
        <w:tc>
          <w:tcPr>
            <w:tcW w:w="11231"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6BCB768" w14:textId="77777777" w:rsidR="00B14D53" w:rsidRDefault="00000000">
            <w:pPr>
              <w:jc w:val="left"/>
              <w:rPr>
                <w:rFonts w:eastAsiaTheme="minorEastAsia"/>
                <w:kern w:val="0"/>
                <w:szCs w:val="21"/>
              </w:rPr>
            </w:pPr>
            <w:r>
              <w:rPr>
                <w:rFonts w:eastAsiaTheme="minorEastAsia"/>
                <w:kern w:val="0"/>
                <w:szCs w:val="21"/>
              </w:rPr>
              <w:t>污水处理设施</w:t>
            </w:r>
            <w:r>
              <w:rPr>
                <w:rFonts w:eastAsiaTheme="minorEastAsia" w:hint="eastAsia"/>
                <w:kern w:val="0"/>
                <w:szCs w:val="21"/>
              </w:rPr>
              <w:t>☑</w:t>
            </w:r>
            <w:r>
              <w:rPr>
                <w:rFonts w:eastAsiaTheme="minorEastAsia"/>
                <w:kern w:val="0"/>
                <w:szCs w:val="21"/>
              </w:rPr>
              <w:t>；水文减缓设施</w:t>
            </w:r>
            <w:r>
              <w:rPr>
                <w:rFonts w:eastAsiaTheme="minorEastAsia"/>
                <w:kern w:val="0"/>
                <w:szCs w:val="21"/>
              </w:rPr>
              <w:t>□</w:t>
            </w:r>
            <w:r>
              <w:rPr>
                <w:rFonts w:eastAsiaTheme="minorEastAsia"/>
                <w:kern w:val="0"/>
                <w:szCs w:val="21"/>
              </w:rPr>
              <w:t>；生态流量保障措施</w:t>
            </w:r>
            <w:r>
              <w:rPr>
                <w:rFonts w:eastAsiaTheme="minorEastAsia"/>
                <w:kern w:val="0"/>
                <w:szCs w:val="21"/>
              </w:rPr>
              <w:t>□</w:t>
            </w:r>
            <w:r>
              <w:rPr>
                <w:rFonts w:eastAsiaTheme="minorEastAsia"/>
                <w:kern w:val="0"/>
                <w:szCs w:val="21"/>
              </w:rPr>
              <w:t>；区域削减</w:t>
            </w:r>
            <w:r>
              <w:rPr>
                <w:rFonts w:eastAsiaTheme="minorEastAsia"/>
                <w:kern w:val="0"/>
                <w:szCs w:val="21"/>
              </w:rPr>
              <w:t>□</w:t>
            </w:r>
            <w:r>
              <w:rPr>
                <w:rFonts w:eastAsiaTheme="minorEastAsia"/>
                <w:kern w:val="0"/>
                <w:szCs w:val="21"/>
              </w:rPr>
              <w:t>；依托其他工程措施</w:t>
            </w:r>
            <w:r>
              <w:rPr>
                <w:rFonts w:eastAsiaTheme="minorEastAsia"/>
                <w:kern w:val="0"/>
                <w:szCs w:val="21"/>
              </w:rPr>
              <w:t>□</w:t>
            </w:r>
            <w:r>
              <w:rPr>
                <w:rFonts w:eastAsiaTheme="minorEastAsia"/>
                <w:kern w:val="0"/>
                <w:szCs w:val="21"/>
              </w:rPr>
              <w:t>；其他</w:t>
            </w:r>
            <w:r>
              <w:rPr>
                <w:rFonts w:eastAsiaTheme="minorEastAsia"/>
                <w:kern w:val="0"/>
                <w:szCs w:val="21"/>
              </w:rPr>
              <w:t>□</w:t>
            </w:r>
          </w:p>
        </w:tc>
      </w:tr>
      <w:tr w:rsidR="00B14D53" w14:paraId="42F2E939" w14:textId="77777777">
        <w:tc>
          <w:tcPr>
            <w:tcW w:w="392"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75B77D8" w14:textId="77777777" w:rsidR="00B14D53" w:rsidRDefault="00B14D53">
            <w:pPr>
              <w:widowControl/>
              <w:jc w:val="left"/>
              <w:rPr>
                <w:rFonts w:eastAsiaTheme="minorEastAsia"/>
                <w:kern w:val="0"/>
                <w:szCs w:val="21"/>
              </w:rPr>
            </w:pPr>
          </w:p>
        </w:tc>
        <w:tc>
          <w:tcPr>
            <w:tcW w:w="255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115EA1" w14:textId="77777777" w:rsidR="00B14D53" w:rsidRDefault="00000000">
            <w:pPr>
              <w:rPr>
                <w:rFonts w:eastAsiaTheme="minorEastAsia"/>
                <w:kern w:val="0"/>
                <w:szCs w:val="21"/>
              </w:rPr>
            </w:pPr>
            <w:r>
              <w:rPr>
                <w:rFonts w:eastAsiaTheme="minorEastAsia"/>
                <w:kern w:val="0"/>
                <w:szCs w:val="21"/>
              </w:rPr>
              <w:t>监测计划</w:t>
            </w:r>
          </w:p>
        </w:tc>
        <w:tc>
          <w:tcPr>
            <w:tcW w:w="37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81310" w14:textId="77777777" w:rsidR="00B14D53" w:rsidRDefault="00B14D53">
            <w:pPr>
              <w:rPr>
                <w:rFonts w:eastAsiaTheme="minorEastAsia"/>
                <w:kern w:val="0"/>
                <w:szCs w:val="21"/>
              </w:rPr>
            </w:pPr>
          </w:p>
        </w:tc>
        <w:tc>
          <w:tcPr>
            <w:tcW w:w="37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B03F14" w14:textId="77777777" w:rsidR="00B14D53" w:rsidRDefault="00000000">
            <w:pPr>
              <w:rPr>
                <w:rFonts w:eastAsiaTheme="minorEastAsia"/>
                <w:kern w:val="0"/>
                <w:szCs w:val="21"/>
              </w:rPr>
            </w:pPr>
            <w:r>
              <w:rPr>
                <w:rFonts w:eastAsiaTheme="minorEastAsia"/>
                <w:kern w:val="0"/>
                <w:szCs w:val="21"/>
              </w:rPr>
              <w:t>环境质量</w:t>
            </w:r>
          </w:p>
        </w:tc>
        <w:tc>
          <w:tcPr>
            <w:tcW w:w="37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F70BC42" w14:textId="77777777" w:rsidR="00B14D53" w:rsidRDefault="00000000">
            <w:pPr>
              <w:rPr>
                <w:rFonts w:eastAsiaTheme="minorEastAsia"/>
                <w:kern w:val="0"/>
                <w:szCs w:val="21"/>
              </w:rPr>
            </w:pPr>
            <w:r>
              <w:rPr>
                <w:rFonts w:eastAsiaTheme="minorEastAsia"/>
                <w:kern w:val="0"/>
                <w:szCs w:val="21"/>
              </w:rPr>
              <w:t>污染源</w:t>
            </w:r>
          </w:p>
        </w:tc>
      </w:tr>
      <w:tr w:rsidR="00B14D53" w14:paraId="3573EAE0" w14:textId="77777777">
        <w:tc>
          <w:tcPr>
            <w:tcW w:w="392"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BEA00DA" w14:textId="77777777" w:rsidR="00B14D53" w:rsidRDefault="00B14D53">
            <w:pPr>
              <w:widowControl/>
              <w:jc w:val="left"/>
              <w:rPr>
                <w:rFonts w:eastAsiaTheme="minorEastAsia"/>
                <w:kern w:val="0"/>
                <w:szCs w:val="21"/>
              </w:rPr>
            </w:pPr>
          </w:p>
        </w:tc>
        <w:tc>
          <w:tcPr>
            <w:tcW w:w="2551"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FA088" w14:textId="77777777" w:rsidR="00B14D53" w:rsidRDefault="00B14D53">
            <w:pPr>
              <w:widowControl/>
              <w:jc w:val="left"/>
              <w:rPr>
                <w:rFonts w:eastAsiaTheme="minorEastAsia"/>
                <w:kern w:val="0"/>
                <w:szCs w:val="21"/>
              </w:rPr>
            </w:pPr>
          </w:p>
        </w:tc>
        <w:tc>
          <w:tcPr>
            <w:tcW w:w="37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E6CA1" w14:textId="77777777" w:rsidR="00B14D53" w:rsidRDefault="00000000">
            <w:pPr>
              <w:rPr>
                <w:rFonts w:eastAsiaTheme="minorEastAsia"/>
                <w:kern w:val="0"/>
                <w:szCs w:val="21"/>
              </w:rPr>
            </w:pPr>
            <w:r>
              <w:rPr>
                <w:rFonts w:eastAsiaTheme="minorEastAsia"/>
                <w:kern w:val="0"/>
                <w:szCs w:val="21"/>
              </w:rPr>
              <w:t>监测方式</w:t>
            </w:r>
          </w:p>
        </w:tc>
        <w:tc>
          <w:tcPr>
            <w:tcW w:w="37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0A338F" w14:textId="77777777" w:rsidR="00B14D53" w:rsidRDefault="00000000">
            <w:pPr>
              <w:rPr>
                <w:rFonts w:eastAsiaTheme="minorEastAsia"/>
                <w:kern w:val="0"/>
                <w:szCs w:val="21"/>
              </w:rPr>
            </w:pPr>
            <w:r>
              <w:rPr>
                <w:rFonts w:eastAsiaTheme="minorEastAsia"/>
                <w:kern w:val="0"/>
                <w:szCs w:val="21"/>
              </w:rPr>
              <w:t>手动</w:t>
            </w:r>
            <w:r>
              <w:rPr>
                <w:rFonts w:eastAsiaTheme="minorEastAsia"/>
                <w:kern w:val="0"/>
                <w:szCs w:val="21"/>
              </w:rPr>
              <w:t>□</w:t>
            </w:r>
            <w:r>
              <w:rPr>
                <w:rFonts w:eastAsiaTheme="minorEastAsia"/>
                <w:kern w:val="0"/>
                <w:szCs w:val="21"/>
              </w:rPr>
              <w:t>；自动</w:t>
            </w:r>
            <w:r>
              <w:rPr>
                <w:rFonts w:eastAsiaTheme="minorEastAsia"/>
                <w:kern w:val="0"/>
                <w:szCs w:val="21"/>
              </w:rPr>
              <w:t>□</w:t>
            </w:r>
            <w:r>
              <w:rPr>
                <w:rFonts w:eastAsiaTheme="minorEastAsia"/>
                <w:kern w:val="0"/>
                <w:szCs w:val="21"/>
              </w:rPr>
              <w:t>；无监测</w:t>
            </w:r>
            <w:r>
              <w:rPr>
                <w:rFonts w:eastAsiaTheme="minorEastAsia"/>
                <w:kern w:val="0"/>
                <w:szCs w:val="21"/>
              </w:rPr>
              <w:t>□</w:t>
            </w:r>
          </w:p>
        </w:tc>
        <w:tc>
          <w:tcPr>
            <w:tcW w:w="37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768AAF8" w14:textId="77777777" w:rsidR="00B14D53" w:rsidRDefault="00000000">
            <w:pPr>
              <w:rPr>
                <w:rFonts w:eastAsiaTheme="minorEastAsia"/>
                <w:kern w:val="0"/>
                <w:szCs w:val="21"/>
              </w:rPr>
            </w:pPr>
            <w:r>
              <w:rPr>
                <w:rFonts w:eastAsiaTheme="minorEastAsia"/>
                <w:kern w:val="0"/>
                <w:szCs w:val="21"/>
              </w:rPr>
              <w:t>手动</w:t>
            </w:r>
            <w:r>
              <w:rPr>
                <w:rFonts w:eastAsiaTheme="minorEastAsia" w:hint="eastAsia"/>
                <w:kern w:val="0"/>
                <w:szCs w:val="21"/>
              </w:rPr>
              <w:t>☑</w:t>
            </w:r>
            <w:r>
              <w:rPr>
                <w:rFonts w:eastAsiaTheme="minorEastAsia"/>
                <w:kern w:val="0"/>
                <w:szCs w:val="21"/>
              </w:rPr>
              <w:t>；自动</w:t>
            </w:r>
            <w:r>
              <w:rPr>
                <w:rFonts w:eastAsiaTheme="minorEastAsia" w:hint="eastAsia"/>
                <w:kern w:val="0"/>
                <w:szCs w:val="21"/>
              </w:rPr>
              <w:t>☑</w:t>
            </w:r>
            <w:r>
              <w:rPr>
                <w:rFonts w:eastAsiaTheme="minorEastAsia"/>
                <w:kern w:val="0"/>
                <w:szCs w:val="21"/>
              </w:rPr>
              <w:t>；无监测</w:t>
            </w:r>
            <w:r>
              <w:rPr>
                <w:rFonts w:eastAsiaTheme="minorEastAsia"/>
                <w:kern w:val="0"/>
                <w:szCs w:val="21"/>
              </w:rPr>
              <w:t>□</w:t>
            </w:r>
          </w:p>
        </w:tc>
      </w:tr>
      <w:tr w:rsidR="00B14D53" w14:paraId="335B02A0" w14:textId="77777777">
        <w:tc>
          <w:tcPr>
            <w:tcW w:w="392"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B0653BD" w14:textId="77777777" w:rsidR="00B14D53" w:rsidRDefault="00B14D53">
            <w:pPr>
              <w:widowControl/>
              <w:jc w:val="left"/>
              <w:rPr>
                <w:rFonts w:eastAsiaTheme="minorEastAsia"/>
                <w:kern w:val="0"/>
                <w:szCs w:val="21"/>
              </w:rPr>
            </w:pPr>
          </w:p>
        </w:tc>
        <w:tc>
          <w:tcPr>
            <w:tcW w:w="2551"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C7549F" w14:textId="77777777" w:rsidR="00B14D53" w:rsidRDefault="00B14D53">
            <w:pPr>
              <w:widowControl/>
              <w:jc w:val="left"/>
              <w:rPr>
                <w:rFonts w:eastAsiaTheme="minorEastAsia"/>
                <w:kern w:val="0"/>
                <w:szCs w:val="21"/>
              </w:rPr>
            </w:pPr>
          </w:p>
        </w:tc>
        <w:tc>
          <w:tcPr>
            <w:tcW w:w="37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453C" w14:textId="77777777" w:rsidR="00B14D53" w:rsidRDefault="00000000">
            <w:pPr>
              <w:rPr>
                <w:rFonts w:eastAsiaTheme="minorEastAsia"/>
                <w:kern w:val="0"/>
                <w:szCs w:val="21"/>
              </w:rPr>
            </w:pPr>
            <w:r>
              <w:rPr>
                <w:rFonts w:eastAsiaTheme="minorEastAsia"/>
                <w:kern w:val="0"/>
                <w:szCs w:val="21"/>
              </w:rPr>
              <w:t>监测点位</w:t>
            </w:r>
          </w:p>
        </w:tc>
        <w:tc>
          <w:tcPr>
            <w:tcW w:w="37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9AD0CF" w14:textId="77777777" w:rsidR="00B14D53" w:rsidRDefault="00000000">
            <w:pPr>
              <w:rPr>
                <w:rFonts w:eastAsiaTheme="minorEastAsia"/>
                <w:kern w:val="0"/>
                <w:szCs w:val="21"/>
              </w:rPr>
            </w:pPr>
            <w:r>
              <w:rPr>
                <w:rFonts w:eastAsiaTheme="minorEastAsia"/>
                <w:kern w:val="0"/>
                <w:szCs w:val="21"/>
              </w:rPr>
              <w:t>（）</w:t>
            </w:r>
          </w:p>
        </w:tc>
        <w:tc>
          <w:tcPr>
            <w:tcW w:w="37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3497004" w14:textId="77777777" w:rsidR="00B14D53" w:rsidRDefault="00000000">
            <w:pPr>
              <w:rPr>
                <w:rFonts w:eastAsiaTheme="minorEastAsia"/>
                <w:kern w:val="0"/>
                <w:szCs w:val="21"/>
              </w:rPr>
            </w:pPr>
            <w:r>
              <w:rPr>
                <w:rFonts w:eastAsiaTheme="minorEastAsia"/>
                <w:kern w:val="0"/>
                <w:szCs w:val="21"/>
              </w:rPr>
              <w:t>（</w:t>
            </w:r>
            <w:r>
              <w:rPr>
                <w:rFonts w:eastAsiaTheme="minorEastAsia" w:hint="eastAsia"/>
                <w:kern w:val="0"/>
                <w:szCs w:val="21"/>
              </w:rPr>
              <w:t>DW001</w:t>
            </w:r>
            <w:r>
              <w:rPr>
                <w:rFonts w:eastAsiaTheme="minorEastAsia"/>
                <w:kern w:val="0"/>
                <w:szCs w:val="21"/>
              </w:rPr>
              <w:t>）</w:t>
            </w:r>
          </w:p>
        </w:tc>
      </w:tr>
      <w:tr w:rsidR="00B14D53" w14:paraId="182ED767" w14:textId="77777777">
        <w:tc>
          <w:tcPr>
            <w:tcW w:w="392"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5807E4E" w14:textId="77777777" w:rsidR="00B14D53" w:rsidRDefault="00B14D53">
            <w:pPr>
              <w:widowControl/>
              <w:jc w:val="left"/>
              <w:rPr>
                <w:rFonts w:eastAsiaTheme="minorEastAsia"/>
                <w:kern w:val="0"/>
                <w:szCs w:val="21"/>
              </w:rPr>
            </w:pPr>
          </w:p>
        </w:tc>
        <w:tc>
          <w:tcPr>
            <w:tcW w:w="2551"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A606F" w14:textId="77777777" w:rsidR="00B14D53" w:rsidRDefault="00B14D53">
            <w:pPr>
              <w:widowControl/>
              <w:jc w:val="left"/>
              <w:rPr>
                <w:rFonts w:eastAsiaTheme="minorEastAsia"/>
                <w:kern w:val="0"/>
                <w:szCs w:val="21"/>
              </w:rPr>
            </w:pPr>
          </w:p>
        </w:tc>
        <w:tc>
          <w:tcPr>
            <w:tcW w:w="37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263F6" w14:textId="77777777" w:rsidR="00B14D53" w:rsidRDefault="00000000">
            <w:pPr>
              <w:rPr>
                <w:rFonts w:eastAsiaTheme="minorEastAsia"/>
                <w:kern w:val="0"/>
                <w:szCs w:val="21"/>
              </w:rPr>
            </w:pPr>
            <w:r>
              <w:rPr>
                <w:rFonts w:eastAsiaTheme="minorEastAsia"/>
                <w:kern w:val="0"/>
                <w:szCs w:val="21"/>
              </w:rPr>
              <w:t>监测因子</w:t>
            </w:r>
          </w:p>
        </w:tc>
        <w:tc>
          <w:tcPr>
            <w:tcW w:w="37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17B8E" w14:textId="77777777" w:rsidR="00B14D53" w:rsidRDefault="00000000">
            <w:pPr>
              <w:rPr>
                <w:rFonts w:eastAsiaTheme="minorEastAsia"/>
                <w:kern w:val="0"/>
                <w:szCs w:val="21"/>
              </w:rPr>
            </w:pPr>
            <w:r>
              <w:rPr>
                <w:rFonts w:eastAsiaTheme="minorEastAsia"/>
                <w:kern w:val="0"/>
                <w:szCs w:val="21"/>
              </w:rPr>
              <w:t>（）</w:t>
            </w:r>
          </w:p>
        </w:tc>
        <w:tc>
          <w:tcPr>
            <w:tcW w:w="37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4FDD05B" w14:textId="77777777" w:rsidR="00B14D53" w:rsidRDefault="00000000">
            <w:pPr>
              <w:rPr>
                <w:rFonts w:eastAsiaTheme="minorEastAsia"/>
                <w:kern w:val="0"/>
                <w:szCs w:val="21"/>
              </w:rPr>
            </w:pPr>
            <w:r>
              <w:rPr>
                <w:rFonts w:eastAsiaTheme="minorEastAsia"/>
                <w:kern w:val="0"/>
                <w:szCs w:val="21"/>
              </w:rPr>
              <w:t>（</w:t>
            </w:r>
            <w:r>
              <w:rPr>
                <w:rFonts w:eastAsiaTheme="minorEastAsia" w:hint="eastAsia"/>
                <w:kern w:val="0"/>
                <w:szCs w:val="21"/>
              </w:rPr>
              <w:t>pH</w:t>
            </w:r>
            <w:r>
              <w:rPr>
                <w:rFonts w:eastAsiaTheme="minorEastAsia" w:hint="eastAsia"/>
                <w:kern w:val="0"/>
                <w:szCs w:val="21"/>
              </w:rPr>
              <w:t>、化学需氧量、氨氮、五日生化需氧量、悬浮物、动植物油、大肠菌群数、总磷、总氮、流量</w:t>
            </w:r>
            <w:r>
              <w:rPr>
                <w:rFonts w:eastAsiaTheme="minorEastAsia"/>
                <w:kern w:val="0"/>
                <w:szCs w:val="21"/>
              </w:rPr>
              <w:t>）</w:t>
            </w:r>
          </w:p>
        </w:tc>
      </w:tr>
      <w:tr w:rsidR="00B14D53" w14:paraId="7015B301" w14:textId="77777777">
        <w:tc>
          <w:tcPr>
            <w:tcW w:w="392"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580A4190" w14:textId="77777777" w:rsidR="00B14D53" w:rsidRDefault="00B14D53">
            <w:pPr>
              <w:widowControl/>
              <w:jc w:val="left"/>
              <w:rPr>
                <w:rFonts w:eastAsiaTheme="minorEastAsia"/>
                <w:kern w:val="0"/>
                <w:szCs w:val="21"/>
              </w:rPr>
            </w:pP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22587" w14:textId="77777777" w:rsidR="00B14D53" w:rsidRDefault="00000000">
            <w:pPr>
              <w:rPr>
                <w:rFonts w:eastAsiaTheme="minorEastAsia"/>
                <w:kern w:val="0"/>
                <w:szCs w:val="21"/>
              </w:rPr>
            </w:pPr>
            <w:r>
              <w:rPr>
                <w:rFonts w:eastAsiaTheme="minorEastAsia"/>
                <w:kern w:val="0"/>
                <w:szCs w:val="21"/>
              </w:rPr>
              <w:t>污染物排放清单</w:t>
            </w:r>
          </w:p>
        </w:tc>
        <w:tc>
          <w:tcPr>
            <w:tcW w:w="11231"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7E67B51" w14:textId="77777777" w:rsidR="00B14D53" w:rsidRDefault="00000000">
            <w:pPr>
              <w:jc w:val="left"/>
              <w:rPr>
                <w:rFonts w:eastAsiaTheme="minorEastAsia"/>
                <w:kern w:val="0"/>
                <w:szCs w:val="21"/>
              </w:rPr>
            </w:pPr>
            <w:r>
              <w:rPr>
                <w:rFonts w:eastAsiaTheme="minorEastAsia" w:hint="eastAsia"/>
                <w:kern w:val="0"/>
                <w:szCs w:val="21"/>
              </w:rPr>
              <w:t>☑</w:t>
            </w:r>
          </w:p>
        </w:tc>
      </w:tr>
      <w:tr w:rsidR="00B14D53" w14:paraId="39610593" w14:textId="77777777">
        <w:tc>
          <w:tcPr>
            <w:tcW w:w="392"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0B8132BD" w14:textId="77777777" w:rsidR="00B14D53" w:rsidRDefault="00B14D53">
            <w:pPr>
              <w:widowControl/>
              <w:jc w:val="left"/>
              <w:rPr>
                <w:rFonts w:eastAsiaTheme="minorEastAsia"/>
                <w:kern w:val="0"/>
                <w:szCs w:val="21"/>
              </w:rPr>
            </w:pP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843C6C" w14:textId="77777777" w:rsidR="00B14D53" w:rsidRDefault="00000000">
            <w:pPr>
              <w:rPr>
                <w:rFonts w:eastAsiaTheme="minorEastAsia"/>
                <w:kern w:val="0"/>
                <w:szCs w:val="21"/>
              </w:rPr>
            </w:pPr>
            <w:r>
              <w:rPr>
                <w:rFonts w:eastAsiaTheme="minorEastAsia"/>
                <w:kern w:val="0"/>
                <w:szCs w:val="21"/>
              </w:rPr>
              <w:t>评价结论</w:t>
            </w:r>
          </w:p>
        </w:tc>
        <w:tc>
          <w:tcPr>
            <w:tcW w:w="11231"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A0EEB2D" w14:textId="77777777" w:rsidR="00B14D53" w:rsidRDefault="00000000">
            <w:pPr>
              <w:jc w:val="left"/>
              <w:rPr>
                <w:rFonts w:eastAsiaTheme="minorEastAsia"/>
                <w:kern w:val="0"/>
                <w:szCs w:val="21"/>
              </w:rPr>
            </w:pPr>
            <w:r>
              <w:rPr>
                <w:rFonts w:eastAsiaTheme="minorEastAsia"/>
                <w:kern w:val="0"/>
                <w:szCs w:val="21"/>
              </w:rPr>
              <w:t>可以接受</w:t>
            </w:r>
            <w:r>
              <w:rPr>
                <w:rFonts w:eastAsiaTheme="minorEastAsia" w:hint="eastAsia"/>
                <w:kern w:val="0"/>
                <w:szCs w:val="21"/>
              </w:rPr>
              <w:t>☑</w:t>
            </w:r>
            <w:r>
              <w:rPr>
                <w:rFonts w:eastAsiaTheme="minorEastAsia"/>
                <w:kern w:val="0"/>
                <w:szCs w:val="21"/>
              </w:rPr>
              <w:t>；不可以接受</w:t>
            </w:r>
            <w:r>
              <w:rPr>
                <w:rFonts w:eastAsiaTheme="minorEastAsia"/>
                <w:kern w:val="0"/>
                <w:szCs w:val="21"/>
              </w:rPr>
              <w:t>□</w:t>
            </w:r>
          </w:p>
        </w:tc>
      </w:tr>
      <w:tr w:rsidR="00B14D53" w14:paraId="0B147C92" w14:textId="77777777">
        <w:tc>
          <w:tcPr>
            <w:tcW w:w="14174" w:type="dxa"/>
            <w:gridSpan w:val="5"/>
            <w:tcBorders>
              <w:top w:val="single" w:sz="6" w:space="0" w:color="000000" w:themeColor="text1"/>
              <w:left w:val="single" w:sz="12" w:space="0" w:color="000000" w:themeColor="text1"/>
              <w:bottom w:val="single" w:sz="12" w:space="0" w:color="000000" w:themeColor="text1"/>
              <w:right w:val="single" w:sz="12" w:space="0" w:color="000000" w:themeColor="text1"/>
            </w:tcBorders>
          </w:tcPr>
          <w:p w14:paraId="5A1FA547" w14:textId="77777777" w:rsidR="00B14D53" w:rsidRDefault="00000000">
            <w:pPr>
              <w:jc w:val="left"/>
              <w:rPr>
                <w:rFonts w:eastAsiaTheme="minorEastAsia"/>
                <w:kern w:val="0"/>
                <w:szCs w:val="21"/>
              </w:rPr>
            </w:pPr>
            <w:r>
              <w:rPr>
                <w:rFonts w:eastAsiaTheme="minorEastAsia"/>
                <w:kern w:val="0"/>
                <w:szCs w:val="21"/>
              </w:rPr>
              <w:t>注：</w:t>
            </w:r>
            <w:r>
              <w:rPr>
                <w:rFonts w:eastAsiaTheme="minorEastAsia"/>
                <w:kern w:val="0"/>
                <w:szCs w:val="21"/>
              </w:rPr>
              <w:t>“□”</w:t>
            </w:r>
            <w:r>
              <w:rPr>
                <w:rFonts w:eastAsiaTheme="minorEastAsia"/>
                <w:kern w:val="0"/>
                <w:szCs w:val="21"/>
              </w:rPr>
              <w:t>为勾选项，可</w:t>
            </w:r>
            <w:r>
              <w:rPr>
                <w:rFonts w:eastAsiaTheme="minorEastAsia"/>
                <w:kern w:val="0"/>
                <w:szCs w:val="21"/>
              </w:rPr>
              <w:t>√</w:t>
            </w:r>
            <w:r>
              <w:rPr>
                <w:rFonts w:eastAsiaTheme="minorEastAsia"/>
                <w:kern w:val="0"/>
                <w:szCs w:val="21"/>
              </w:rPr>
              <w:t>；</w:t>
            </w:r>
            <w:r>
              <w:rPr>
                <w:rFonts w:eastAsiaTheme="minorEastAsia"/>
                <w:kern w:val="0"/>
                <w:szCs w:val="21"/>
              </w:rPr>
              <w:t>“</w:t>
            </w:r>
            <w:r>
              <w:rPr>
                <w:rFonts w:eastAsiaTheme="minorEastAsia"/>
                <w:kern w:val="0"/>
                <w:szCs w:val="21"/>
              </w:rPr>
              <w:t>（）</w:t>
            </w:r>
            <w:r>
              <w:rPr>
                <w:rFonts w:eastAsiaTheme="minorEastAsia"/>
                <w:kern w:val="0"/>
                <w:szCs w:val="21"/>
              </w:rPr>
              <w:t>”</w:t>
            </w:r>
            <w:r>
              <w:rPr>
                <w:rFonts w:eastAsiaTheme="minorEastAsia"/>
                <w:kern w:val="0"/>
                <w:szCs w:val="21"/>
              </w:rPr>
              <w:t>为内容填写项；</w:t>
            </w:r>
            <w:r>
              <w:rPr>
                <w:rFonts w:eastAsiaTheme="minorEastAsia"/>
                <w:kern w:val="0"/>
                <w:szCs w:val="21"/>
              </w:rPr>
              <w:t>“</w:t>
            </w:r>
            <w:r>
              <w:rPr>
                <w:rFonts w:eastAsiaTheme="minorEastAsia"/>
                <w:kern w:val="0"/>
                <w:szCs w:val="21"/>
              </w:rPr>
              <w:t>备注</w:t>
            </w:r>
            <w:r>
              <w:rPr>
                <w:rFonts w:eastAsiaTheme="minorEastAsia"/>
                <w:kern w:val="0"/>
                <w:szCs w:val="21"/>
              </w:rPr>
              <w:t>”</w:t>
            </w:r>
            <w:r>
              <w:rPr>
                <w:rFonts w:eastAsiaTheme="minorEastAsia"/>
                <w:kern w:val="0"/>
                <w:szCs w:val="21"/>
              </w:rPr>
              <w:t>为其他补充内容。</w:t>
            </w:r>
          </w:p>
        </w:tc>
      </w:tr>
    </w:tbl>
    <w:p w14:paraId="2BFBB678" w14:textId="77777777" w:rsidR="00B14D53" w:rsidRDefault="00B14D53">
      <w:pPr>
        <w:jc w:val="center"/>
        <w:rPr>
          <w:rFonts w:eastAsiaTheme="minorEastAsia"/>
          <w:b/>
          <w:sz w:val="24"/>
          <w:szCs w:val="22"/>
        </w:rPr>
      </w:pPr>
    </w:p>
    <w:p w14:paraId="7293F3BB" w14:textId="77777777" w:rsidR="00B14D53" w:rsidRDefault="00B14D53">
      <w:pPr>
        <w:widowControl/>
        <w:adjustRightInd w:val="0"/>
        <w:snapToGrid w:val="0"/>
        <w:spacing w:after="200" w:line="360" w:lineRule="auto"/>
        <w:jc w:val="center"/>
        <w:rPr>
          <w:rFonts w:eastAsiaTheme="minorEastAsia"/>
          <w:kern w:val="0"/>
          <w:sz w:val="24"/>
        </w:rPr>
      </w:pPr>
    </w:p>
    <w:p w14:paraId="30FA3A7B" w14:textId="77777777" w:rsidR="00B14D53" w:rsidRDefault="00B14D53">
      <w:pPr>
        <w:spacing w:line="360" w:lineRule="auto"/>
        <w:jc w:val="left"/>
        <w:rPr>
          <w:rFonts w:eastAsiaTheme="minorEastAsia"/>
          <w:sz w:val="24"/>
        </w:rPr>
      </w:pPr>
    </w:p>
    <w:p w14:paraId="0AA249BE" w14:textId="77777777" w:rsidR="00B14D53" w:rsidRDefault="00B14D53">
      <w:pPr>
        <w:widowControl/>
        <w:jc w:val="left"/>
        <w:rPr>
          <w:rFonts w:eastAsiaTheme="minorEastAsia"/>
          <w:b/>
          <w:szCs w:val="22"/>
        </w:rPr>
        <w:sectPr w:rsidR="00B14D53">
          <w:pgSz w:w="16838" w:h="11906" w:orient="landscape"/>
          <w:pgMar w:top="1800" w:right="1440" w:bottom="1800" w:left="1440" w:header="851" w:footer="992" w:gutter="0"/>
          <w:cols w:space="720"/>
          <w:docGrid w:type="lines" w:linePitch="312"/>
        </w:sectPr>
      </w:pPr>
    </w:p>
    <w:p w14:paraId="0EF3B553" w14:textId="77777777" w:rsidR="00B14D53" w:rsidRDefault="00000000">
      <w:pPr>
        <w:jc w:val="center"/>
        <w:rPr>
          <w:rFonts w:eastAsiaTheme="minorEastAsia"/>
          <w:b/>
          <w:sz w:val="24"/>
        </w:rPr>
      </w:pPr>
      <w:r>
        <w:rPr>
          <w:rFonts w:eastAsiaTheme="minorEastAsia"/>
          <w:b/>
          <w:sz w:val="24"/>
        </w:rPr>
        <w:t>环境风险评价自查表</w:t>
      </w:r>
    </w:p>
    <w:tbl>
      <w:tblPr>
        <w:tblStyle w:val="afff1"/>
        <w:tblW w:w="9075" w:type="dxa"/>
        <w:tblInd w:w="-31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427"/>
        <w:gridCol w:w="1277"/>
        <w:gridCol w:w="1276"/>
        <w:gridCol w:w="151"/>
        <w:gridCol w:w="357"/>
        <w:gridCol w:w="595"/>
        <w:gridCol w:w="173"/>
        <w:gridCol w:w="303"/>
        <w:gridCol w:w="405"/>
        <w:gridCol w:w="309"/>
        <w:gridCol w:w="426"/>
        <w:gridCol w:w="287"/>
        <w:gridCol w:w="341"/>
        <w:gridCol w:w="135"/>
        <w:gridCol w:w="441"/>
        <w:gridCol w:w="52"/>
        <w:gridCol w:w="102"/>
        <w:gridCol w:w="357"/>
        <w:gridCol w:w="170"/>
        <w:gridCol w:w="629"/>
        <w:gridCol w:w="862"/>
      </w:tblGrid>
      <w:tr w:rsidR="00B14D53" w14:paraId="784FAD70" w14:textId="77777777">
        <w:trPr>
          <w:trHeight w:val="279"/>
        </w:trPr>
        <w:tc>
          <w:tcPr>
            <w:tcW w:w="1704"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tcPr>
          <w:p w14:paraId="367FE694" w14:textId="77777777" w:rsidR="00B14D53" w:rsidRDefault="00000000">
            <w:pPr>
              <w:snapToGrid/>
              <w:spacing w:line="0" w:lineRule="atLeast"/>
              <w:contextualSpacing/>
              <w:rPr>
                <w:rFonts w:eastAsiaTheme="minorEastAsia"/>
                <w:szCs w:val="21"/>
              </w:rPr>
            </w:pPr>
            <w:r>
              <w:rPr>
                <w:rFonts w:eastAsiaTheme="minorEastAsia"/>
                <w:kern w:val="0"/>
                <w:szCs w:val="21"/>
              </w:rPr>
              <w:t>工作内容</w:t>
            </w:r>
          </w:p>
        </w:tc>
        <w:tc>
          <w:tcPr>
            <w:tcW w:w="7371" w:type="dxa"/>
            <w:gridSpan w:val="19"/>
            <w:tcBorders>
              <w:top w:val="single" w:sz="12" w:space="0" w:color="000000" w:themeColor="text1"/>
              <w:left w:val="single" w:sz="6" w:space="0" w:color="000000" w:themeColor="text1"/>
              <w:bottom w:val="single" w:sz="6" w:space="0" w:color="000000" w:themeColor="text1"/>
              <w:right w:val="single" w:sz="12" w:space="0" w:color="000000" w:themeColor="text1"/>
            </w:tcBorders>
          </w:tcPr>
          <w:p w14:paraId="63BD82CC" w14:textId="77777777" w:rsidR="00B14D53" w:rsidRDefault="00000000">
            <w:pPr>
              <w:snapToGrid/>
              <w:spacing w:line="0" w:lineRule="atLeast"/>
              <w:contextualSpacing/>
              <w:rPr>
                <w:rFonts w:eastAsiaTheme="minorEastAsia"/>
                <w:szCs w:val="21"/>
              </w:rPr>
            </w:pPr>
            <w:r>
              <w:rPr>
                <w:rFonts w:eastAsiaTheme="minorEastAsia"/>
                <w:kern w:val="0"/>
                <w:szCs w:val="21"/>
              </w:rPr>
              <w:t>完成情况</w:t>
            </w:r>
          </w:p>
        </w:tc>
      </w:tr>
      <w:tr w:rsidR="00B14D53" w14:paraId="08147D64" w14:textId="77777777">
        <w:trPr>
          <w:trHeight w:val="279"/>
        </w:trPr>
        <w:tc>
          <w:tcPr>
            <w:tcW w:w="427" w:type="dxa"/>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23BDA005" w14:textId="77777777" w:rsidR="00B14D53" w:rsidRDefault="00000000">
            <w:pPr>
              <w:snapToGrid/>
              <w:spacing w:line="0" w:lineRule="atLeast"/>
              <w:contextualSpacing/>
              <w:rPr>
                <w:rFonts w:eastAsiaTheme="minorEastAsia"/>
                <w:szCs w:val="21"/>
              </w:rPr>
            </w:pPr>
            <w:r>
              <w:rPr>
                <w:rFonts w:eastAsiaTheme="minorEastAsia"/>
                <w:kern w:val="0"/>
                <w:szCs w:val="21"/>
              </w:rPr>
              <w:t>风险调查</w:t>
            </w:r>
          </w:p>
        </w:tc>
        <w:tc>
          <w:tcPr>
            <w:tcW w:w="127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09CE2" w14:textId="77777777" w:rsidR="00B14D53" w:rsidRDefault="00000000">
            <w:pPr>
              <w:snapToGrid/>
              <w:spacing w:line="0" w:lineRule="atLeast"/>
              <w:contextualSpacing/>
              <w:rPr>
                <w:rFonts w:eastAsiaTheme="minorEastAsia"/>
                <w:szCs w:val="21"/>
              </w:rPr>
            </w:pPr>
            <w:r>
              <w:rPr>
                <w:rFonts w:eastAsiaTheme="minorEastAsia"/>
                <w:kern w:val="0"/>
                <w:szCs w:val="21"/>
              </w:rPr>
              <w:t>危险物质</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7F655D" w14:textId="77777777" w:rsidR="00B14D53" w:rsidRDefault="00000000">
            <w:pPr>
              <w:snapToGrid/>
              <w:spacing w:line="0" w:lineRule="atLeast"/>
              <w:contextualSpacing/>
              <w:rPr>
                <w:rFonts w:eastAsiaTheme="minorEastAsia"/>
                <w:szCs w:val="21"/>
              </w:rPr>
            </w:pPr>
            <w:r>
              <w:rPr>
                <w:rFonts w:eastAsiaTheme="minorEastAsia"/>
                <w:kern w:val="0"/>
                <w:szCs w:val="21"/>
              </w:rPr>
              <w:t>名称</w:t>
            </w:r>
          </w:p>
        </w:tc>
        <w:tc>
          <w:tcPr>
            <w:tcW w:w="127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6083C4" w14:textId="77777777" w:rsidR="00B14D53" w:rsidRDefault="00000000">
            <w:pPr>
              <w:snapToGrid/>
              <w:spacing w:line="0" w:lineRule="atLeast"/>
              <w:contextualSpacing/>
              <w:rPr>
                <w:rFonts w:eastAsiaTheme="minorEastAsia"/>
                <w:szCs w:val="21"/>
              </w:rPr>
            </w:pPr>
            <w:r>
              <w:rPr>
                <w:rFonts w:eastAsiaTheme="minorEastAsia" w:hint="eastAsia"/>
                <w:szCs w:val="21"/>
              </w:rPr>
              <w:t>次氯酸钠</w:t>
            </w:r>
          </w:p>
        </w:tc>
        <w:tc>
          <w:tcPr>
            <w:tcW w:w="7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ABCE06" w14:textId="77777777" w:rsidR="00B14D53" w:rsidRDefault="00B14D53">
            <w:pPr>
              <w:snapToGrid/>
              <w:spacing w:line="0" w:lineRule="atLeast"/>
              <w:contextualSpacing/>
              <w:rPr>
                <w:rFonts w:eastAsiaTheme="minorEastAsia"/>
                <w:szCs w:val="21"/>
              </w:rPr>
            </w:pPr>
          </w:p>
        </w:tc>
        <w:tc>
          <w:tcPr>
            <w:tcW w:w="7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B6B29" w14:textId="77777777" w:rsidR="00B14D53" w:rsidRDefault="00B14D53">
            <w:pPr>
              <w:snapToGrid/>
              <w:spacing w:line="0" w:lineRule="atLeast"/>
              <w:contextualSpacing/>
              <w:rPr>
                <w:rFonts w:eastAsiaTheme="minorEastAsia"/>
                <w:szCs w:val="21"/>
              </w:rPr>
            </w:pPr>
          </w:p>
        </w:tc>
        <w:tc>
          <w:tcPr>
            <w:tcW w:w="6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1AD977" w14:textId="77777777" w:rsidR="00B14D53" w:rsidRDefault="00B14D53">
            <w:pPr>
              <w:snapToGrid/>
              <w:spacing w:line="0" w:lineRule="atLeast"/>
              <w:contextualSpacing/>
              <w:rPr>
                <w:rFonts w:eastAsiaTheme="minorEastAsia"/>
                <w:szCs w:val="21"/>
              </w:rPr>
            </w:pPr>
          </w:p>
        </w:tc>
        <w:tc>
          <w:tcPr>
            <w:tcW w:w="62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156E57" w14:textId="77777777" w:rsidR="00B14D53" w:rsidRDefault="00B14D53">
            <w:pPr>
              <w:snapToGrid/>
              <w:spacing w:line="0" w:lineRule="atLeast"/>
              <w:contextualSpacing/>
              <w:rPr>
                <w:rFonts w:eastAsiaTheme="minorEastAsia"/>
                <w:szCs w:val="21"/>
              </w:rPr>
            </w:pPr>
          </w:p>
        </w:tc>
        <w:tc>
          <w:tcPr>
            <w:tcW w:w="62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6DDB8" w14:textId="77777777" w:rsidR="00B14D53" w:rsidRDefault="00B14D53">
            <w:pPr>
              <w:snapToGrid/>
              <w:spacing w:line="0" w:lineRule="atLeast"/>
              <w:contextualSpacing/>
              <w:rPr>
                <w:rFonts w:eastAsiaTheme="minorEastAsia"/>
                <w:szCs w:val="21"/>
              </w:rPr>
            </w:pPr>
          </w:p>
        </w:tc>
        <w:tc>
          <w:tcPr>
            <w:tcW w:w="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494B8" w14:textId="77777777" w:rsidR="00B14D53" w:rsidRDefault="00B14D53">
            <w:pPr>
              <w:snapToGrid/>
              <w:spacing w:line="0" w:lineRule="atLeast"/>
              <w:contextualSpacing/>
              <w:rPr>
                <w:rFonts w:eastAsiaTheme="minorEastAsia"/>
                <w:szCs w:val="21"/>
              </w:rPr>
            </w:pPr>
          </w:p>
        </w:tc>
        <w:tc>
          <w:tcPr>
            <w:tcW w:w="86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52A0528" w14:textId="77777777" w:rsidR="00B14D53" w:rsidRDefault="00B14D53">
            <w:pPr>
              <w:snapToGrid/>
              <w:spacing w:line="0" w:lineRule="atLeast"/>
              <w:contextualSpacing/>
              <w:rPr>
                <w:rFonts w:eastAsiaTheme="minorEastAsia"/>
                <w:szCs w:val="21"/>
              </w:rPr>
            </w:pPr>
          </w:p>
        </w:tc>
      </w:tr>
      <w:tr w:rsidR="00B14D53" w14:paraId="17E5EBAB" w14:textId="77777777">
        <w:trPr>
          <w:trHeight w:val="26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51B1F1A" w14:textId="77777777" w:rsidR="00B14D53" w:rsidRDefault="00B14D53">
            <w:pPr>
              <w:widowControl/>
              <w:snapToGrid/>
              <w:spacing w:line="0" w:lineRule="atLeast"/>
              <w:contextualSpacing/>
              <w:jc w:val="left"/>
              <w:rPr>
                <w:rFonts w:eastAsiaTheme="minorEastAsia"/>
                <w:szCs w:val="21"/>
              </w:rPr>
            </w:pPr>
          </w:p>
        </w:tc>
        <w:tc>
          <w:tcPr>
            <w:tcW w:w="12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4DDA5" w14:textId="77777777" w:rsidR="00B14D53" w:rsidRDefault="00B14D53">
            <w:pPr>
              <w:widowControl/>
              <w:snapToGrid/>
              <w:spacing w:line="0" w:lineRule="atLeast"/>
              <w:contextualSpacing/>
              <w:jc w:val="left"/>
              <w:rPr>
                <w:rFonts w:eastAsiaTheme="minorEastAsia"/>
                <w:szCs w:val="21"/>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7DB6F" w14:textId="77777777" w:rsidR="00B14D53" w:rsidRDefault="00000000">
            <w:pPr>
              <w:snapToGrid/>
              <w:spacing w:line="0" w:lineRule="atLeast"/>
              <w:contextualSpacing/>
              <w:rPr>
                <w:rFonts w:eastAsiaTheme="minorEastAsia"/>
                <w:szCs w:val="21"/>
              </w:rPr>
            </w:pPr>
            <w:r>
              <w:rPr>
                <w:rFonts w:eastAsiaTheme="minorEastAsia"/>
                <w:kern w:val="0"/>
                <w:szCs w:val="21"/>
              </w:rPr>
              <w:t>存在总量</w:t>
            </w:r>
            <w:r>
              <w:rPr>
                <w:rFonts w:eastAsiaTheme="minorEastAsia"/>
                <w:kern w:val="0"/>
                <w:szCs w:val="21"/>
              </w:rPr>
              <w:t>/t</w:t>
            </w:r>
          </w:p>
        </w:tc>
        <w:tc>
          <w:tcPr>
            <w:tcW w:w="127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E9F8A9" w14:textId="77777777" w:rsidR="00B14D53" w:rsidRDefault="00000000">
            <w:pPr>
              <w:snapToGrid/>
              <w:spacing w:line="0" w:lineRule="atLeast"/>
              <w:contextualSpacing/>
              <w:rPr>
                <w:rFonts w:eastAsiaTheme="minorEastAsia"/>
                <w:szCs w:val="21"/>
              </w:rPr>
            </w:pPr>
            <w:r>
              <w:rPr>
                <w:rFonts w:eastAsiaTheme="minorEastAsia"/>
                <w:kern w:val="0"/>
                <w:szCs w:val="21"/>
              </w:rPr>
              <w:t>0</w:t>
            </w:r>
            <w:r>
              <w:rPr>
                <w:rFonts w:eastAsiaTheme="minorEastAsia" w:hint="eastAsia"/>
                <w:kern w:val="0"/>
                <w:szCs w:val="21"/>
              </w:rPr>
              <w:t>.5</w:t>
            </w:r>
          </w:p>
        </w:tc>
        <w:tc>
          <w:tcPr>
            <w:tcW w:w="7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F51BE0" w14:textId="77777777" w:rsidR="00B14D53" w:rsidRDefault="00B14D53">
            <w:pPr>
              <w:snapToGrid/>
              <w:spacing w:line="0" w:lineRule="atLeast"/>
              <w:contextualSpacing/>
              <w:rPr>
                <w:rFonts w:eastAsiaTheme="minorEastAsia"/>
                <w:szCs w:val="21"/>
              </w:rPr>
            </w:pPr>
          </w:p>
        </w:tc>
        <w:tc>
          <w:tcPr>
            <w:tcW w:w="7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3B27DB" w14:textId="77777777" w:rsidR="00B14D53" w:rsidRDefault="00B14D53">
            <w:pPr>
              <w:snapToGrid/>
              <w:spacing w:line="0" w:lineRule="atLeast"/>
              <w:contextualSpacing/>
              <w:rPr>
                <w:rFonts w:eastAsiaTheme="minorEastAsia"/>
                <w:szCs w:val="21"/>
              </w:rPr>
            </w:pPr>
          </w:p>
        </w:tc>
        <w:tc>
          <w:tcPr>
            <w:tcW w:w="6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4E157" w14:textId="77777777" w:rsidR="00B14D53" w:rsidRDefault="00B14D53">
            <w:pPr>
              <w:snapToGrid/>
              <w:spacing w:line="0" w:lineRule="atLeast"/>
              <w:contextualSpacing/>
              <w:rPr>
                <w:rFonts w:eastAsiaTheme="minorEastAsia"/>
                <w:szCs w:val="21"/>
              </w:rPr>
            </w:pPr>
          </w:p>
        </w:tc>
        <w:tc>
          <w:tcPr>
            <w:tcW w:w="62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585D8" w14:textId="77777777" w:rsidR="00B14D53" w:rsidRDefault="00B14D53">
            <w:pPr>
              <w:snapToGrid/>
              <w:spacing w:line="0" w:lineRule="atLeast"/>
              <w:contextualSpacing/>
              <w:rPr>
                <w:rFonts w:eastAsiaTheme="minorEastAsia"/>
                <w:szCs w:val="21"/>
              </w:rPr>
            </w:pPr>
          </w:p>
        </w:tc>
        <w:tc>
          <w:tcPr>
            <w:tcW w:w="62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1C9500" w14:textId="77777777" w:rsidR="00B14D53" w:rsidRDefault="00B14D53">
            <w:pPr>
              <w:snapToGrid/>
              <w:spacing w:line="0" w:lineRule="atLeast"/>
              <w:contextualSpacing/>
              <w:rPr>
                <w:rFonts w:eastAsiaTheme="minorEastAsia"/>
                <w:szCs w:val="21"/>
              </w:rPr>
            </w:pPr>
          </w:p>
        </w:tc>
        <w:tc>
          <w:tcPr>
            <w:tcW w:w="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CD945" w14:textId="77777777" w:rsidR="00B14D53" w:rsidRDefault="00B14D53">
            <w:pPr>
              <w:snapToGrid/>
              <w:spacing w:line="0" w:lineRule="atLeast"/>
              <w:contextualSpacing/>
              <w:rPr>
                <w:rFonts w:eastAsiaTheme="minorEastAsia"/>
                <w:szCs w:val="21"/>
              </w:rPr>
            </w:pPr>
          </w:p>
        </w:tc>
        <w:tc>
          <w:tcPr>
            <w:tcW w:w="86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67815B8" w14:textId="77777777" w:rsidR="00B14D53" w:rsidRDefault="00B14D53">
            <w:pPr>
              <w:snapToGrid/>
              <w:spacing w:line="0" w:lineRule="atLeast"/>
              <w:contextualSpacing/>
              <w:rPr>
                <w:rFonts w:eastAsiaTheme="minorEastAsia"/>
                <w:szCs w:val="21"/>
              </w:rPr>
            </w:pPr>
          </w:p>
        </w:tc>
      </w:tr>
      <w:tr w:rsidR="00B14D53" w14:paraId="37400453" w14:textId="77777777">
        <w:trPr>
          <w:trHeight w:val="279"/>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6A8EBEF5" w14:textId="77777777" w:rsidR="00B14D53" w:rsidRDefault="00B14D53">
            <w:pPr>
              <w:widowControl/>
              <w:snapToGrid/>
              <w:spacing w:line="0" w:lineRule="atLeast"/>
              <w:contextualSpacing/>
              <w:jc w:val="left"/>
              <w:rPr>
                <w:rFonts w:eastAsiaTheme="minorEastAsia"/>
                <w:szCs w:val="21"/>
              </w:rPr>
            </w:pPr>
          </w:p>
        </w:tc>
        <w:tc>
          <w:tcPr>
            <w:tcW w:w="127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0B3EB" w14:textId="77777777" w:rsidR="00B14D53" w:rsidRDefault="00000000">
            <w:pPr>
              <w:snapToGrid/>
              <w:spacing w:line="0" w:lineRule="atLeast"/>
              <w:contextualSpacing/>
              <w:rPr>
                <w:rFonts w:eastAsiaTheme="minorEastAsia"/>
                <w:szCs w:val="21"/>
              </w:rPr>
            </w:pPr>
            <w:r>
              <w:rPr>
                <w:rFonts w:eastAsiaTheme="minorEastAsia"/>
                <w:kern w:val="0"/>
                <w:szCs w:val="21"/>
              </w:rPr>
              <w:t>环境敏感性</w:t>
            </w:r>
          </w:p>
        </w:tc>
        <w:tc>
          <w:tcPr>
            <w:tcW w:w="127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42FBF7" w14:textId="77777777" w:rsidR="00B14D53" w:rsidRDefault="00000000">
            <w:pPr>
              <w:snapToGrid/>
              <w:spacing w:line="0" w:lineRule="atLeast"/>
              <w:contextualSpacing/>
              <w:rPr>
                <w:rFonts w:eastAsiaTheme="minorEastAsia"/>
                <w:szCs w:val="21"/>
              </w:rPr>
            </w:pPr>
            <w:r>
              <w:rPr>
                <w:rFonts w:eastAsiaTheme="minorEastAsia"/>
                <w:kern w:val="0"/>
                <w:szCs w:val="21"/>
              </w:rPr>
              <w:t>大气</w:t>
            </w:r>
          </w:p>
        </w:tc>
        <w:tc>
          <w:tcPr>
            <w:tcW w:w="3347"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C8F20B" w14:textId="77777777" w:rsidR="00B14D53" w:rsidRDefault="00000000">
            <w:pPr>
              <w:snapToGrid/>
              <w:spacing w:line="0" w:lineRule="atLeast"/>
              <w:contextualSpacing/>
              <w:rPr>
                <w:rFonts w:eastAsiaTheme="minorEastAsia"/>
                <w:szCs w:val="21"/>
              </w:rPr>
            </w:pPr>
            <w:r>
              <w:rPr>
                <w:rFonts w:eastAsiaTheme="minorEastAsia"/>
                <w:kern w:val="0"/>
                <w:szCs w:val="21"/>
              </w:rPr>
              <w:t>500m</w:t>
            </w:r>
            <w:r>
              <w:rPr>
                <w:rFonts w:eastAsiaTheme="minorEastAsia"/>
                <w:kern w:val="0"/>
                <w:szCs w:val="21"/>
              </w:rPr>
              <w:t>范围内人口数</w:t>
            </w:r>
            <w:r>
              <w:rPr>
                <w:rFonts w:eastAsiaTheme="minorEastAsia"/>
                <w:kern w:val="0"/>
                <w:szCs w:val="21"/>
                <w:u w:val="single"/>
              </w:rPr>
              <w:t xml:space="preserve">    </w:t>
            </w:r>
            <w:r>
              <w:rPr>
                <w:rFonts w:eastAsiaTheme="minorEastAsia"/>
                <w:kern w:val="0"/>
                <w:szCs w:val="21"/>
              </w:rPr>
              <w:t>人</w:t>
            </w:r>
          </w:p>
        </w:tc>
        <w:tc>
          <w:tcPr>
            <w:tcW w:w="2748" w:type="dxa"/>
            <w:gridSpan w:val="8"/>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5FA87FE" w14:textId="77777777" w:rsidR="00B14D53" w:rsidRDefault="00000000">
            <w:pPr>
              <w:snapToGrid/>
              <w:spacing w:line="0" w:lineRule="atLeast"/>
              <w:contextualSpacing/>
              <w:rPr>
                <w:rFonts w:eastAsiaTheme="minorEastAsia"/>
                <w:szCs w:val="21"/>
              </w:rPr>
            </w:pPr>
            <w:r>
              <w:rPr>
                <w:rFonts w:eastAsiaTheme="minorEastAsia"/>
                <w:kern w:val="0"/>
                <w:szCs w:val="21"/>
              </w:rPr>
              <w:t>5km</w:t>
            </w:r>
            <w:r>
              <w:rPr>
                <w:rFonts w:eastAsiaTheme="minorEastAsia"/>
                <w:kern w:val="0"/>
                <w:szCs w:val="21"/>
              </w:rPr>
              <w:t>范围内人口数</w:t>
            </w:r>
            <w:r>
              <w:rPr>
                <w:rFonts w:eastAsiaTheme="minorEastAsia"/>
                <w:kern w:val="0"/>
                <w:szCs w:val="21"/>
                <w:u w:val="single"/>
              </w:rPr>
              <w:t xml:space="preserve">    </w:t>
            </w:r>
            <w:r>
              <w:rPr>
                <w:rFonts w:eastAsiaTheme="minorEastAsia"/>
                <w:kern w:val="0"/>
                <w:szCs w:val="21"/>
              </w:rPr>
              <w:t>人</w:t>
            </w:r>
          </w:p>
        </w:tc>
      </w:tr>
      <w:tr w:rsidR="00B14D53" w14:paraId="15BEE76F" w14:textId="77777777">
        <w:trPr>
          <w:trHeight w:val="279"/>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2DF2B0F5" w14:textId="77777777" w:rsidR="00B14D53" w:rsidRDefault="00B14D53">
            <w:pPr>
              <w:widowControl/>
              <w:snapToGrid/>
              <w:spacing w:line="0" w:lineRule="atLeast"/>
              <w:contextualSpacing/>
              <w:jc w:val="left"/>
              <w:rPr>
                <w:rFonts w:eastAsiaTheme="minorEastAsia"/>
                <w:szCs w:val="21"/>
              </w:rPr>
            </w:pPr>
          </w:p>
        </w:tc>
        <w:tc>
          <w:tcPr>
            <w:tcW w:w="12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7B6172" w14:textId="77777777" w:rsidR="00B14D53" w:rsidRDefault="00B14D53">
            <w:pPr>
              <w:widowControl/>
              <w:snapToGrid/>
              <w:spacing w:line="0" w:lineRule="atLeast"/>
              <w:contextualSpacing/>
              <w:jc w:val="left"/>
              <w:rPr>
                <w:rFonts w:eastAsiaTheme="minorEastAsia"/>
                <w:szCs w:val="21"/>
              </w:rPr>
            </w:pPr>
          </w:p>
        </w:tc>
        <w:tc>
          <w:tcPr>
            <w:tcW w:w="1276"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64654" w14:textId="77777777" w:rsidR="00B14D53" w:rsidRDefault="00B14D53">
            <w:pPr>
              <w:widowControl/>
              <w:snapToGrid/>
              <w:spacing w:line="0" w:lineRule="atLeast"/>
              <w:contextualSpacing/>
              <w:jc w:val="left"/>
              <w:rPr>
                <w:rFonts w:eastAsiaTheme="minorEastAsia"/>
                <w:szCs w:val="21"/>
              </w:rPr>
            </w:pPr>
          </w:p>
        </w:tc>
        <w:tc>
          <w:tcPr>
            <w:tcW w:w="4604" w:type="dxa"/>
            <w:gridSpan w:val="1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4DE48" w14:textId="77777777" w:rsidR="00B14D53" w:rsidRDefault="00000000">
            <w:pPr>
              <w:snapToGrid/>
              <w:spacing w:line="0" w:lineRule="atLeast"/>
              <w:contextualSpacing/>
              <w:rPr>
                <w:rFonts w:eastAsiaTheme="minorEastAsia"/>
                <w:szCs w:val="21"/>
              </w:rPr>
            </w:pPr>
            <w:r>
              <w:rPr>
                <w:rFonts w:eastAsiaTheme="minorEastAsia"/>
                <w:kern w:val="0"/>
                <w:szCs w:val="21"/>
              </w:rPr>
              <w:t>每公里管段周边</w:t>
            </w:r>
            <w:r>
              <w:rPr>
                <w:rFonts w:eastAsiaTheme="minorEastAsia"/>
                <w:kern w:val="0"/>
                <w:szCs w:val="21"/>
              </w:rPr>
              <w:t>200m</w:t>
            </w:r>
            <w:r>
              <w:rPr>
                <w:rFonts w:eastAsiaTheme="minorEastAsia"/>
                <w:kern w:val="0"/>
                <w:szCs w:val="21"/>
              </w:rPr>
              <w:t>范围内人口数（最大）</w:t>
            </w:r>
          </w:p>
        </w:tc>
        <w:tc>
          <w:tcPr>
            <w:tcW w:w="1491"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B603ADC" w14:textId="77777777" w:rsidR="00B14D53" w:rsidRDefault="00000000">
            <w:pPr>
              <w:snapToGrid/>
              <w:spacing w:line="0" w:lineRule="atLeast"/>
              <w:contextualSpacing/>
              <w:rPr>
                <w:rFonts w:eastAsiaTheme="minorEastAsia"/>
                <w:szCs w:val="21"/>
              </w:rPr>
            </w:pPr>
            <w:r>
              <w:rPr>
                <w:rFonts w:eastAsiaTheme="minorEastAsia"/>
                <w:kern w:val="0"/>
                <w:szCs w:val="21"/>
                <w:u w:val="single"/>
              </w:rPr>
              <w:t xml:space="preserve">   </w:t>
            </w:r>
            <w:r>
              <w:rPr>
                <w:rFonts w:eastAsiaTheme="minorEastAsia"/>
                <w:kern w:val="0"/>
                <w:szCs w:val="21"/>
              </w:rPr>
              <w:t>人</w:t>
            </w:r>
          </w:p>
        </w:tc>
      </w:tr>
      <w:tr w:rsidR="00B14D53" w14:paraId="20D78628" w14:textId="77777777">
        <w:trPr>
          <w:trHeight w:val="26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57C15B2C" w14:textId="77777777" w:rsidR="00B14D53" w:rsidRDefault="00B14D53">
            <w:pPr>
              <w:widowControl/>
              <w:snapToGrid/>
              <w:spacing w:line="0" w:lineRule="atLeast"/>
              <w:contextualSpacing/>
              <w:jc w:val="left"/>
              <w:rPr>
                <w:rFonts w:eastAsiaTheme="minorEastAsia"/>
                <w:szCs w:val="21"/>
              </w:rPr>
            </w:pPr>
          </w:p>
        </w:tc>
        <w:tc>
          <w:tcPr>
            <w:tcW w:w="12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39CA0" w14:textId="77777777" w:rsidR="00B14D53" w:rsidRDefault="00B14D53">
            <w:pPr>
              <w:widowControl/>
              <w:snapToGrid/>
              <w:spacing w:line="0" w:lineRule="atLeast"/>
              <w:contextualSpacing/>
              <w:jc w:val="left"/>
              <w:rPr>
                <w:rFonts w:eastAsiaTheme="minorEastAsia"/>
                <w:szCs w:val="21"/>
              </w:rPr>
            </w:pPr>
          </w:p>
        </w:tc>
        <w:tc>
          <w:tcPr>
            <w:tcW w:w="127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C6058" w14:textId="77777777" w:rsidR="00B14D53" w:rsidRDefault="00000000">
            <w:pPr>
              <w:snapToGrid/>
              <w:spacing w:line="0" w:lineRule="atLeast"/>
              <w:contextualSpacing/>
              <w:rPr>
                <w:rFonts w:eastAsiaTheme="minorEastAsia"/>
                <w:szCs w:val="21"/>
              </w:rPr>
            </w:pPr>
            <w:r>
              <w:rPr>
                <w:rFonts w:eastAsiaTheme="minorEastAsia"/>
                <w:kern w:val="0"/>
                <w:szCs w:val="21"/>
              </w:rPr>
              <w:t>地表水</w:t>
            </w: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78EEFB" w14:textId="77777777" w:rsidR="00B14D53" w:rsidRDefault="00000000">
            <w:pPr>
              <w:snapToGrid/>
              <w:spacing w:line="0" w:lineRule="atLeast"/>
              <w:contextualSpacing/>
              <w:rPr>
                <w:rFonts w:eastAsiaTheme="minorEastAsia"/>
                <w:szCs w:val="21"/>
              </w:rPr>
            </w:pPr>
            <w:r>
              <w:rPr>
                <w:rFonts w:eastAsiaTheme="minorEastAsia"/>
                <w:kern w:val="0"/>
                <w:szCs w:val="21"/>
              </w:rPr>
              <w:t>地表水功能敏感性</w:t>
            </w:r>
          </w:p>
        </w:tc>
        <w:tc>
          <w:tcPr>
            <w:tcW w:w="136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4D2F2" w14:textId="77777777" w:rsidR="00B14D53" w:rsidRDefault="00000000">
            <w:pPr>
              <w:snapToGrid/>
              <w:spacing w:line="0" w:lineRule="atLeast"/>
              <w:contextualSpacing/>
              <w:rPr>
                <w:rFonts w:eastAsiaTheme="minorEastAsia"/>
                <w:szCs w:val="21"/>
              </w:rPr>
            </w:pPr>
            <w:r>
              <w:rPr>
                <w:rFonts w:eastAsiaTheme="minorEastAsia"/>
                <w:kern w:val="0"/>
                <w:szCs w:val="21"/>
              </w:rPr>
              <w:t>F1□</w:t>
            </w:r>
          </w:p>
        </w:tc>
        <w:tc>
          <w:tcPr>
            <w:tcW w:w="125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D7DDC" w14:textId="77777777" w:rsidR="00B14D53" w:rsidRDefault="00000000">
            <w:pPr>
              <w:snapToGrid/>
              <w:spacing w:line="0" w:lineRule="atLeast"/>
              <w:contextualSpacing/>
              <w:rPr>
                <w:rFonts w:eastAsiaTheme="minorEastAsia"/>
                <w:szCs w:val="21"/>
              </w:rPr>
            </w:pPr>
            <w:r>
              <w:rPr>
                <w:rFonts w:eastAsiaTheme="minorEastAsia"/>
                <w:kern w:val="0"/>
                <w:szCs w:val="21"/>
              </w:rPr>
              <w:t>F2□</w:t>
            </w:r>
          </w:p>
        </w:tc>
        <w:tc>
          <w:tcPr>
            <w:tcW w:w="1491"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56222A3" w14:textId="77777777" w:rsidR="00B14D53" w:rsidRDefault="00000000">
            <w:pPr>
              <w:snapToGrid/>
              <w:spacing w:line="0" w:lineRule="atLeast"/>
              <w:contextualSpacing/>
              <w:rPr>
                <w:rFonts w:eastAsiaTheme="minorEastAsia"/>
                <w:szCs w:val="21"/>
              </w:rPr>
            </w:pPr>
            <w:r>
              <w:rPr>
                <w:rFonts w:eastAsiaTheme="minorEastAsia"/>
                <w:kern w:val="0"/>
                <w:szCs w:val="21"/>
              </w:rPr>
              <w:t>F3□</w:t>
            </w:r>
          </w:p>
        </w:tc>
      </w:tr>
      <w:tr w:rsidR="00B14D53" w14:paraId="0B229CD0" w14:textId="77777777">
        <w:trPr>
          <w:trHeight w:val="279"/>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07427631" w14:textId="77777777" w:rsidR="00B14D53" w:rsidRDefault="00B14D53">
            <w:pPr>
              <w:widowControl/>
              <w:snapToGrid/>
              <w:spacing w:line="0" w:lineRule="atLeast"/>
              <w:contextualSpacing/>
              <w:jc w:val="left"/>
              <w:rPr>
                <w:rFonts w:eastAsiaTheme="minorEastAsia"/>
                <w:szCs w:val="21"/>
              </w:rPr>
            </w:pPr>
          </w:p>
        </w:tc>
        <w:tc>
          <w:tcPr>
            <w:tcW w:w="12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CD81F" w14:textId="77777777" w:rsidR="00B14D53" w:rsidRDefault="00B14D53">
            <w:pPr>
              <w:widowControl/>
              <w:snapToGrid/>
              <w:spacing w:line="0" w:lineRule="atLeast"/>
              <w:contextualSpacing/>
              <w:jc w:val="left"/>
              <w:rPr>
                <w:rFonts w:eastAsiaTheme="minorEastAsia"/>
                <w:szCs w:val="21"/>
              </w:rPr>
            </w:pPr>
          </w:p>
        </w:tc>
        <w:tc>
          <w:tcPr>
            <w:tcW w:w="1276"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BBD815" w14:textId="77777777" w:rsidR="00B14D53" w:rsidRDefault="00B14D53">
            <w:pPr>
              <w:widowControl/>
              <w:snapToGrid/>
              <w:spacing w:line="0" w:lineRule="atLeast"/>
              <w:contextualSpacing/>
              <w:jc w:val="left"/>
              <w:rPr>
                <w:rFonts w:eastAsiaTheme="minorEastAsia"/>
                <w:szCs w:val="21"/>
              </w:rPr>
            </w:pP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5D67A8" w14:textId="77777777" w:rsidR="00B14D53" w:rsidRDefault="00000000">
            <w:pPr>
              <w:snapToGrid/>
              <w:spacing w:line="0" w:lineRule="atLeast"/>
              <w:contextualSpacing/>
              <w:rPr>
                <w:rFonts w:eastAsiaTheme="minorEastAsia"/>
                <w:szCs w:val="21"/>
              </w:rPr>
            </w:pPr>
            <w:r>
              <w:rPr>
                <w:rFonts w:eastAsiaTheme="minorEastAsia"/>
                <w:kern w:val="0"/>
                <w:szCs w:val="21"/>
              </w:rPr>
              <w:t>环境敏感目标分级</w:t>
            </w:r>
          </w:p>
        </w:tc>
        <w:tc>
          <w:tcPr>
            <w:tcW w:w="136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E838E" w14:textId="77777777" w:rsidR="00B14D53" w:rsidRDefault="00000000">
            <w:pPr>
              <w:snapToGrid/>
              <w:spacing w:line="0" w:lineRule="atLeast"/>
              <w:contextualSpacing/>
              <w:rPr>
                <w:rFonts w:eastAsiaTheme="minorEastAsia"/>
                <w:szCs w:val="21"/>
              </w:rPr>
            </w:pPr>
            <w:r>
              <w:rPr>
                <w:rFonts w:eastAsiaTheme="minorEastAsia"/>
                <w:kern w:val="0"/>
                <w:szCs w:val="21"/>
              </w:rPr>
              <w:t>S1□</w:t>
            </w:r>
          </w:p>
        </w:tc>
        <w:tc>
          <w:tcPr>
            <w:tcW w:w="125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9AB2A" w14:textId="77777777" w:rsidR="00B14D53" w:rsidRDefault="00000000">
            <w:pPr>
              <w:snapToGrid/>
              <w:spacing w:line="0" w:lineRule="atLeast"/>
              <w:contextualSpacing/>
              <w:rPr>
                <w:rFonts w:eastAsiaTheme="minorEastAsia"/>
                <w:szCs w:val="21"/>
              </w:rPr>
            </w:pPr>
            <w:r>
              <w:rPr>
                <w:rFonts w:eastAsiaTheme="minorEastAsia"/>
                <w:kern w:val="0"/>
                <w:szCs w:val="21"/>
              </w:rPr>
              <w:t>S2□</w:t>
            </w:r>
          </w:p>
        </w:tc>
        <w:tc>
          <w:tcPr>
            <w:tcW w:w="1491"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858362A" w14:textId="77777777" w:rsidR="00B14D53" w:rsidRDefault="00000000">
            <w:pPr>
              <w:snapToGrid/>
              <w:spacing w:line="0" w:lineRule="atLeast"/>
              <w:contextualSpacing/>
              <w:rPr>
                <w:rFonts w:eastAsiaTheme="minorEastAsia"/>
                <w:szCs w:val="21"/>
              </w:rPr>
            </w:pPr>
            <w:r>
              <w:rPr>
                <w:rFonts w:eastAsiaTheme="minorEastAsia"/>
                <w:kern w:val="0"/>
                <w:szCs w:val="21"/>
              </w:rPr>
              <w:t>S3□</w:t>
            </w:r>
          </w:p>
        </w:tc>
      </w:tr>
      <w:tr w:rsidR="00B14D53" w14:paraId="7CC6DC74" w14:textId="77777777">
        <w:trPr>
          <w:trHeight w:val="28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9E689D7" w14:textId="77777777" w:rsidR="00B14D53" w:rsidRDefault="00B14D53">
            <w:pPr>
              <w:widowControl/>
              <w:snapToGrid/>
              <w:spacing w:line="0" w:lineRule="atLeast"/>
              <w:contextualSpacing/>
              <w:jc w:val="left"/>
              <w:rPr>
                <w:rFonts w:eastAsiaTheme="minorEastAsia"/>
                <w:szCs w:val="21"/>
              </w:rPr>
            </w:pPr>
          </w:p>
        </w:tc>
        <w:tc>
          <w:tcPr>
            <w:tcW w:w="12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42D260" w14:textId="77777777" w:rsidR="00B14D53" w:rsidRDefault="00B14D53">
            <w:pPr>
              <w:widowControl/>
              <w:snapToGrid/>
              <w:spacing w:line="0" w:lineRule="atLeast"/>
              <w:contextualSpacing/>
              <w:jc w:val="left"/>
              <w:rPr>
                <w:rFonts w:eastAsiaTheme="minorEastAsia"/>
                <w:szCs w:val="21"/>
              </w:rPr>
            </w:pPr>
          </w:p>
        </w:tc>
        <w:tc>
          <w:tcPr>
            <w:tcW w:w="127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8D7B7A" w14:textId="77777777" w:rsidR="00B14D53" w:rsidRDefault="00000000">
            <w:pPr>
              <w:snapToGrid/>
              <w:spacing w:line="0" w:lineRule="atLeast"/>
              <w:contextualSpacing/>
              <w:rPr>
                <w:rFonts w:eastAsiaTheme="minorEastAsia"/>
                <w:szCs w:val="21"/>
              </w:rPr>
            </w:pPr>
            <w:r>
              <w:rPr>
                <w:rFonts w:eastAsiaTheme="minorEastAsia"/>
                <w:kern w:val="0"/>
                <w:szCs w:val="21"/>
              </w:rPr>
              <w:t>地下水</w:t>
            </w: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C6BF8D" w14:textId="77777777" w:rsidR="00B14D53" w:rsidRDefault="00000000">
            <w:pPr>
              <w:snapToGrid/>
              <w:spacing w:line="0" w:lineRule="atLeast"/>
              <w:contextualSpacing/>
              <w:rPr>
                <w:rFonts w:eastAsiaTheme="minorEastAsia"/>
                <w:szCs w:val="21"/>
              </w:rPr>
            </w:pPr>
            <w:r>
              <w:rPr>
                <w:rFonts w:eastAsiaTheme="minorEastAsia"/>
                <w:kern w:val="0"/>
                <w:szCs w:val="21"/>
              </w:rPr>
              <w:t>地下水功能敏感性</w:t>
            </w:r>
          </w:p>
        </w:tc>
        <w:tc>
          <w:tcPr>
            <w:tcW w:w="136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AF61F6" w14:textId="77777777" w:rsidR="00B14D53" w:rsidRDefault="00000000">
            <w:pPr>
              <w:snapToGrid/>
              <w:spacing w:line="0" w:lineRule="atLeast"/>
              <w:contextualSpacing/>
              <w:rPr>
                <w:rFonts w:eastAsiaTheme="minorEastAsia"/>
                <w:szCs w:val="21"/>
              </w:rPr>
            </w:pPr>
            <w:r>
              <w:rPr>
                <w:rFonts w:eastAsiaTheme="minorEastAsia"/>
                <w:kern w:val="0"/>
                <w:szCs w:val="21"/>
              </w:rPr>
              <w:t>G1□</w:t>
            </w:r>
          </w:p>
        </w:tc>
        <w:tc>
          <w:tcPr>
            <w:tcW w:w="125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4DD6C3" w14:textId="77777777" w:rsidR="00B14D53" w:rsidRDefault="00000000">
            <w:pPr>
              <w:snapToGrid/>
              <w:spacing w:line="0" w:lineRule="atLeast"/>
              <w:contextualSpacing/>
              <w:rPr>
                <w:rFonts w:eastAsiaTheme="minorEastAsia"/>
                <w:szCs w:val="21"/>
              </w:rPr>
            </w:pPr>
            <w:r>
              <w:rPr>
                <w:rFonts w:eastAsiaTheme="minorEastAsia"/>
                <w:kern w:val="0"/>
                <w:szCs w:val="21"/>
              </w:rPr>
              <w:t>G2□</w:t>
            </w:r>
          </w:p>
        </w:tc>
        <w:tc>
          <w:tcPr>
            <w:tcW w:w="1491"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734B9C0" w14:textId="77777777" w:rsidR="00B14D53" w:rsidRDefault="00000000">
            <w:pPr>
              <w:snapToGrid/>
              <w:spacing w:line="0" w:lineRule="atLeast"/>
              <w:contextualSpacing/>
              <w:rPr>
                <w:rFonts w:eastAsiaTheme="minorEastAsia"/>
                <w:szCs w:val="21"/>
              </w:rPr>
            </w:pPr>
            <w:r>
              <w:rPr>
                <w:rFonts w:eastAsiaTheme="minorEastAsia"/>
                <w:kern w:val="0"/>
                <w:szCs w:val="21"/>
              </w:rPr>
              <w:t>G3□</w:t>
            </w:r>
          </w:p>
        </w:tc>
      </w:tr>
      <w:tr w:rsidR="00B14D53" w14:paraId="1D8A2339" w14:textId="77777777">
        <w:trPr>
          <w:trHeight w:val="28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40448F2" w14:textId="77777777" w:rsidR="00B14D53" w:rsidRDefault="00B14D53">
            <w:pPr>
              <w:widowControl/>
              <w:snapToGrid/>
              <w:spacing w:line="0" w:lineRule="atLeast"/>
              <w:contextualSpacing/>
              <w:jc w:val="left"/>
              <w:rPr>
                <w:rFonts w:eastAsiaTheme="minorEastAsia"/>
                <w:szCs w:val="21"/>
              </w:rPr>
            </w:pPr>
          </w:p>
        </w:tc>
        <w:tc>
          <w:tcPr>
            <w:tcW w:w="12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F6106" w14:textId="77777777" w:rsidR="00B14D53" w:rsidRDefault="00B14D53">
            <w:pPr>
              <w:widowControl/>
              <w:snapToGrid/>
              <w:spacing w:line="0" w:lineRule="atLeast"/>
              <w:contextualSpacing/>
              <w:jc w:val="left"/>
              <w:rPr>
                <w:rFonts w:eastAsiaTheme="minorEastAsia"/>
                <w:szCs w:val="21"/>
              </w:rPr>
            </w:pPr>
          </w:p>
        </w:tc>
        <w:tc>
          <w:tcPr>
            <w:tcW w:w="1276"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A1FC9" w14:textId="77777777" w:rsidR="00B14D53" w:rsidRDefault="00B14D53">
            <w:pPr>
              <w:widowControl/>
              <w:snapToGrid/>
              <w:spacing w:line="0" w:lineRule="atLeast"/>
              <w:contextualSpacing/>
              <w:jc w:val="left"/>
              <w:rPr>
                <w:rFonts w:eastAsiaTheme="minorEastAsia"/>
                <w:szCs w:val="21"/>
              </w:rPr>
            </w:pP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D23E7C" w14:textId="77777777" w:rsidR="00B14D53" w:rsidRDefault="00000000">
            <w:pPr>
              <w:snapToGrid/>
              <w:spacing w:line="0" w:lineRule="atLeast"/>
              <w:contextualSpacing/>
              <w:rPr>
                <w:rFonts w:eastAsiaTheme="minorEastAsia"/>
                <w:szCs w:val="21"/>
              </w:rPr>
            </w:pPr>
            <w:r>
              <w:rPr>
                <w:rFonts w:eastAsiaTheme="minorEastAsia"/>
                <w:kern w:val="0"/>
                <w:szCs w:val="21"/>
              </w:rPr>
              <w:t>包气带防污性能</w:t>
            </w:r>
          </w:p>
        </w:tc>
        <w:tc>
          <w:tcPr>
            <w:tcW w:w="136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B3D411" w14:textId="77777777" w:rsidR="00B14D53" w:rsidRDefault="00000000">
            <w:pPr>
              <w:snapToGrid/>
              <w:spacing w:line="0" w:lineRule="atLeast"/>
              <w:contextualSpacing/>
              <w:rPr>
                <w:rFonts w:eastAsiaTheme="minorEastAsia"/>
                <w:szCs w:val="21"/>
              </w:rPr>
            </w:pPr>
            <w:r>
              <w:rPr>
                <w:rFonts w:eastAsiaTheme="minorEastAsia"/>
                <w:kern w:val="0"/>
                <w:szCs w:val="21"/>
              </w:rPr>
              <w:t>D1□</w:t>
            </w:r>
          </w:p>
        </w:tc>
        <w:tc>
          <w:tcPr>
            <w:tcW w:w="125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DB72C8" w14:textId="77777777" w:rsidR="00B14D53" w:rsidRDefault="00000000">
            <w:pPr>
              <w:snapToGrid/>
              <w:spacing w:line="0" w:lineRule="atLeast"/>
              <w:contextualSpacing/>
              <w:rPr>
                <w:rFonts w:eastAsiaTheme="minorEastAsia"/>
                <w:szCs w:val="21"/>
              </w:rPr>
            </w:pPr>
            <w:r>
              <w:rPr>
                <w:rFonts w:eastAsiaTheme="minorEastAsia"/>
                <w:kern w:val="0"/>
                <w:szCs w:val="21"/>
              </w:rPr>
              <w:t>D2□</w:t>
            </w:r>
          </w:p>
        </w:tc>
        <w:tc>
          <w:tcPr>
            <w:tcW w:w="1491"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4CF3DFF" w14:textId="77777777" w:rsidR="00B14D53" w:rsidRDefault="00000000">
            <w:pPr>
              <w:snapToGrid/>
              <w:spacing w:line="0" w:lineRule="atLeast"/>
              <w:contextualSpacing/>
              <w:rPr>
                <w:rFonts w:eastAsiaTheme="minorEastAsia"/>
                <w:szCs w:val="21"/>
              </w:rPr>
            </w:pPr>
            <w:r>
              <w:rPr>
                <w:rFonts w:eastAsiaTheme="minorEastAsia"/>
                <w:kern w:val="0"/>
                <w:szCs w:val="21"/>
              </w:rPr>
              <w:t>D2□</w:t>
            </w:r>
          </w:p>
        </w:tc>
      </w:tr>
      <w:tr w:rsidR="00B14D53" w14:paraId="1FD3EC41" w14:textId="77777777">
        <w:trPr>
          <w:trHeight w:val="288"/>
        </w:trPr>
        <w:tc>
          <w:tcPr>
            <w:tcW w:w="1704" w:type="dxa"/>
            <w:gridSpan w:val="2"/>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57761567" w14:textId="77777777" w:rsidR="00B14D53" w:rsidRDefault="00000000">
            <w:pPr>
              <w:snapToGrid/>
              <w:spacing w:line="0" w:lineRule="atLeast"/>
              <w:contextualSpacing/>
              <w:rPr>
                <w:rFonts w:eastAsiaTheme="minorEastAsia"/>
                <w:szCs w:val="21"/>
              </w:rPr>
            </w:pPr>
            <w:r>
              <w:rPr>
                <w:rFonts w:eastAsiaTheme="minorEastAsia"/>
                <w:kern w:val="0"/>
                <w:szCs w:val="21"/>
              </w:rPr>
              <w:t>物质及工艺系统危险性</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1FE622" w14:textId="77777777" w:rsidR="00B14D53" w:rsidRDefault="00000000">
            <w:pPr>
              <w:snapToGrid/>
              <w:spacing w:line="0" w:lineRule="atLeast"/>
              <w:contextualSpacing/>
              <w:rPr>
                <w:rFonts w:eastAsiaTheme="minorEastAsia"/>
                <w:szCs w:val="21"/>
              </w:rPr>
            </w:pPr>
            <w:r>
              <w:rPr>
                <w:rFonts w:eastAsiaTheme="minorEastAsia"/>
                <w:kern w:val="0"/>
                <w:szCs w:val="21"/>
              </w:rPr>
              <w:t>Q</w:t>
            </w:r>
            <w:r>
              <w:rPr>
                <w:rFonts w:eastAsiaTheme="minorEastAsia"/>
                <w:kern w:val="0"/>
                <w:szCs w:val="21"/>
              </w:rPr>
              <w:t>值</w:t>
            </w: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C9EC3" w14:textId="77777777" w:rsidR="00B14D53" w:rsidRDefault="00000000">
            <w:pPr>
              <w:snapToGrid/>
              <w:spacing w:line="0" w:lineRule="atLeast"/>
              <w:contextualSpacing/>
              <w:rPr>
                <w:rFonts w:eastAsiaTheme="minorEastAsia"/>
                <w:szCs w:val="21"/>
              </w:rPr>
            </w:pPr>
            <w:r>
              <w:rPr>
                <w:rFonts w:eastAsiaTheme="minorEastAsia"/>
                <w:kern w:val="0"/>
                <w:szCs w:val="21"/>
              </w:rPr>
              <w:t>Q</w:t>
            </w:r>
            <w:r>
              <w:rPr>
                <w:rFonts w:eastAsiaTheme="minorEastAsia"/>
                <w:kern w:val="0"/>
                <w:szCs w:val="21"/>
              </w:rPr>
              <w:t>＜</w:t>
            </w:r>
            <w:r>
              <w:rPr>
                <w:rFonts w:eastAsiaTheme="minorEastAsia"/>
                <w:kern w:val="0"/>
                <w:szCs w:val="21"/>
              </w:rPr>
              <w:t>1</w:t>
            </w:r>
            <w:r>
              <w:rPr>
                <w:rFonts w:eastAsiaTheme="minorEastAsia" w:hint="eastAsia"/>
                <w:kern w:val="0"/>
                <w:szCs w:val="21"/>
              </w:rPr>
              <w:t>☑</w:t>
            </w:r>
          </w:p>
        </w:tc>
        <w:tc>
          <w:tcPr>
            <w:tcW w:w="136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374B6" w14:textId="77777777" w:rsidR="00B14D53" w:rsidRDefault="00000000">
            <w:pPr>
              <w:snapToGrid/>
              <w:spacing w:line="0" w:lineRule="atLeast"/>
              <w:contextualSpacing/>
              <w:rPr>
                <w:rFonts w:eastAsiaTheme="minorEastAsia"/>
                <w:szCs w:val="21"/>
              </w:rPr>
            </w:pPr>
            <w:r>
              <w:rPr>
                <w:rFonts w:eastAsiaTheme="minorEastAsia"/>
                <w:kern w:val="0"/>
                <w:szCs w:val="21"/>
              </w:rPr>
              <w:t>1≤Q</w:t>
            </w:r>
            <w:r>
              <w:rPr>
                <w:rFonts w:eastAsiaTheme="minorEastAsia"/>
                <w:kern w:val="0"/>
                <w:szCs w:val="21"/>
              </w:rPr>
              <w:t>＜</w:t>
            </w:r>
            <w:r>
              <w:rPr>
                <w:rFonts w:eastAsiaTheme="minorEastAsia"/>
                <w:kern w:val="0"/>
                <w:szCs w:val="21"/>
              </w:rPr>
              <w:t>10□</w:t>
            </w:r>
          </w:p>
        </w:tc>
        <w:tc>
          <w:tcPr>
            <w:tcW w:w="125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D123BD" w14:textId="77777777" w:rsidR="00B14D53" w:rsidRDefault="00000000">
            <w:pPr>
              <w:snapToGrid/>
              <w:spacing w:line="0" w:lineRule="atLeast"/>
              <w:contextualSpacing/>
              <w:rPr>
                <w:rFonts w:eastAsiaTheme="minorEastAsia"/>
                <w:szCs w:val="21"/>
              </w:rPr>
            </w:pPr>
            <w:r>
              <w:rPr>
                <w:rFonts w:eastAsiaTheme="minorEastAsia"/>
                <w:kern w:val="0"/>
                <w:szCs w:val="21"/>
              </w:rPr>
              <w:t>10≤Q</w:t>
            </w:r>
            <w:r>
              <w:rPr>
                <w:rFonts w:eastAsiaTheme="minorEastAsia"/>
                <w:kern w:val="0"/>
                <w:szCs w:val="21"/>
              </w:rPr>
              <w:t>＜</w:t>
            </w:r>
            <w:r>
              <w:rPr>
                <w:rFonts w:eastAsiaTheme="minorEastAsia"/>
                <w:kern w:val="0"/>
                <w:szCs w:val="21"/>
              </w:rPr>
              <w:t>100□</w:t>
            </w:r>
          </w:p>
        </w:tc>
        <w:tc>
          <w:tcPr>
            <w:tcW w:w="1491"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654D74A" w14:textId="77777777" w:rsidR="00B14D53" w:rsidRDefault="00000000">
            <w:pPr>
              <w:snapToGrid/>
              <w:spacing w:line="0" w:lineRule="atLeast"/>
              <w:contextualSpacing/>
              <w:rPr>
                <w:rFonts w:eastAsiaTheme="minorEastAsia"/>
                <w:szCs w:val="21"/>
              </w:rPr>
            </w:pPr>
            <w:r>
              <w:rPr>
                <w:rFonts w:eastAsiaTheme="minorEastAsia"/>
                <w:kern w:val="0"/>
                <w:szCs w:val="21"/>
              </w:rPr>
              <w:t>Q</w:t>
            </w:r>
            <w:r>
              <w:rPr>
                <w:rFonts w:eastAsiaTheme="minorEastAsia"/>
                <w:kern w:val="0"/>
                <w:szCs w:val="21"/>
              </w:rPr>
              <w:t>＞</w:t>
            </w:r>
            <w:r>
              <w:rPr>
                <w:rFonts w:eastAsiaTheme="minorEastAsia"/>
                <w:kern w:val="0"/>
                <w:szCs w:val="21"/>
              </w:rPr>
              <w:t>100□</w:t>
            </w:r>
          </w:p>
        </w:tc>
      </w:tr>
      <w:tr w:rsidR="00B14D53" w14:paraId="3DBB86E1" w14:textId="77777777">
        <w:trPr>
          <w:trHeight w:val="288"/>
        </w:trPr>
        <w:tc>
          <w:tcPr>
            <w:tcW w:w="1704"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201B4033" w14:textId="77777777" w:rsidR="00B14D53" w:rsidRDefault="00B14D53">
            <w:pPr>
              <w:widowControl/>
              <w:snapToGrid/>
              <w:spacing w:line="0" w:lineRule="atLeast"/>
              <w:contextualSpacing/>
              <w:jc w:val="left"/>
              <w:rPr>
                <w:rFonts w:eastAsiaTheme="minorEastAsia"/>
                <w:szCs w:val="21"/>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A9C0C" w14:textId="77777777" w:rsidR="00B14D53" w:rsidRDefault="00000000">
            <w:pPr>
              <w:snapToGrid/>
              <w:spacing w:line="0" w:lineRule="atLeast"/>
              <w:contextualSpacing/>
              <w:rPr>
                <w:rFonts w:eastAsiaTheme="minorEastAsia"/>
                <w:szCs w:val="21"/>
              </w:rPr>
            </w:pPr>
            <w:r>
              <w:rPr>
                <w:rFonts w:eastAsiaTheme="minorEastAsia"/>
                <w:kern w:val="0"/>
                <w:szCs w:val="21"/>
              </w:rPr>
              <w:t>M</w:t>
            </w:r>
            <w:r>
              <w:rPr>
                <w:rFonts w:eastAsiaTheme="minorEastAsia"/>
                <w:kern w:val="0"/>
                <w:szCs w:val="21"/>
              </w:rPr>
              <w:t>值</w:t>
            </w: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C1690E" w14:textId="77777777" w:rsidR="00B14D53" w:rsidRDefault="00000000">
            <w:pPr>
              <w:snapToGrid/>
              <w:spacing w:line="0" w:lineRule="atLeast"/>
              <w:contextualSpacing/>
              <w:rPr>
                <w:rFonts w:eastAsiaTheme="minorEastAsia"/>
                <w:szCs w:val="21"/>
              </w:rPr>
            </w:pPr>
            <w:r>
              <w:rPr>
                <w:rFonts w:eastAsiaTheme="minorEastAsia"/>
                <w:kern w:val="0"/>
                <w:szCs w:val="21"/>
              </w:rPr>
              <w:t>M1□</w:t>
            </w:r>
          </w:p>
        </w:tc>
        <w:tc>
          <w:tcPr>
            <w:tcW w:w="136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E7F8C1" w14:textId="77777777" w:rsidR="00B14D53" w:rsidRDefault="00000000">
            <w:pPr>
              <w:snapToGrid/>
              <w:spacing w:line="0" w:lineRule="atLeast"/>
              <w:contextualSpacing/>
              <w:rPr>
                <w:rFonts w:eastAsiaTheme="minorEastAsia"/>
                <w:szCs w:val="21"/>
              </w:rPr>
            </w:pPr>
            <w:r>
              <w:rPr>
                <w:rFonts w:eastAsiaTheme="minorEastAsia"/>
                <w:kern w:val="0"/>
                <w:szCs w:val="21"/>
              </w:rPr>
              <w:t>M2□</w:t>
            </w:r>
          </w:p>
        </w:tc>
        <w:tc>
          <w:tcPr>
            <w:tcW w:w="125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EE692" w14:textId="77777777" w:rsidR="00B14D53" w:rsidRDefault="00000000">
            <w:pPr>
              <w:snapToGrid/>
              <w:spacing w:line="0" w:lineRule="atLeast"/>
              <w:contextualSpacing/>
              <w:rPr>
                <w:rFonts w:eastAsiaTheme="minorEastAsia"/>
                <w:szCs w:val="21"/>
              </w:rPr>
            </w:pPr>
            <w:r>
              <w:rPr>
                <w:rFonts w:eastAsiaTheme="minorEastAsia"/>
                <w:kern w:val="0"/>
                <w:szCs w:val="21"/>
              </w:rPr>
              <w:t>M3□</w:t>
            </w:r>
          </w:p>
        </w:tc>
        <w:tc>
          <w:tcPr>
            <w:tcW w:w="1491"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6203C71" w14:textId="77777777" w:rsidR="00B14D53" w:rsidRDefault="00000000">
            <w:pPr>
              <w:snapToGrid/>
              <w:spacing w:line="0" w:lineRule="atLeast"/>
              <w:contextualSpacing/>
              <w:rPr>
                <w:rFonts w:eastAsiaTheme="minorEastAsia"/>
                <w:szCs w:val="21"/>
              </w:rPr>
            </w:pPr>
            <w:r>
              <w:rPr>
                <w:rFonts w:eastAsiaTheme="minorEastAsia"/>
                <w:kern w:val="0"/>
                <w:szCs w:val="21"/>
              </w:rPr>
              <w:t>M4□</w:t>
            </w:r>
          </w:p>
        </w:tc>
      </w:tr>
      <w:tr w:rsidR="00B14D53" w14:paraId="6ED26FA3" w14:textId="77777777">
        <w:trPr>
          <w:trHeight w:val="288"/>
        </w:trPr>
        <w:tc>
          <w:tcPr>
            <w:tcW w:w="1704"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5E3238AF" w14:textId="77777777" w:rsidR="00B14D53" w:rsidRDefault="00B14D53">
            <w:pPr>
              <w:widowControl/>
              <w:snapToGrid/>
              <w:spacing w:line="0" w:lineRule="atLeast"/>
              <w:contextualSpacing/>
              <w:jc w:val="left"/>
              <w:rPr>
                <w:rFonts w:eastAsiaTheme="minorEastAsia"/>
                <w:szCs w:val="21"/>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56E56" w14:textId="77777777" w:rsidR="00B14D53" w:rsidRDefault="00000000">
            <w:pPr>
              <w:snapToGrid/>
              <w:spacing w:line="0" w:lineRule="atLeast"/>
              <w:contextualSpacing/>
              <w:rPr>
                <w:rFonts w:eastAsiaTheme="minorEastAsia"/>
                <w:szCs w:val="21"/>
              </w:rPr>
            </w:pPr>
            <w:r>
              <w:rPr>
                <w:rFonts w:eastAsiaTheme="minorEastAsia"/>
                <w:kern w:val="0"/>
                <w:szCs w:val="21"/>
              </w:rPr>
              <w:t>P</w:t>
            </w:r>
            <w:r>
              <w:rPr>
                <w:rFonts w:eastAsiaTheme="minorEastAsia"/>
                <w:kern w:val="0"/>
                <w:szCs w:val="21"/>
              </w:rPr>
              <w:t>值</w:t>
            </w: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6AE24" w14:textId="77777777" w:rsidR="00B14D53" w:rsidRDefault="00000000">
            <w:pPr>
              <w:snapToGrid/>
              <w:spacing w:line="0" w:lineRule="atLeast"/>
              <w:contextualSpacing/>
              <w:rPr>
                <w:rFonts w:eastAsiaTheme="minorEastAsia"/>
                <w:szCs w:val="21"/>
              </w:rPr>
            </w:pPr>
            <w:r>
              <w:rPr>
                <w:rFonts w:eastAsiaTheme="minorEastAsia"/>
                <w:kern w:val="0"/>
                <w:szCs w:val="21"/>
              </w:rPr>
              <w:t>P1□</w:t>
            </w:r>
          </w:p>
        </w:tc>
        <w:tc>
          <w:tcPr>
            <w:tcW w:w="136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346D7" w14:textId="77777777" w:rsidR="00B14D53" w:rsidRDefault="00000000">
            <w:pPr>
              <w:snapToGrid/>
              <w:spacing w:line="0" w:lineRule="atLeast"/>
              <w:contextualSpacing/>
              <w:rPr>
                <w:rFonts w:eastAsiaTheme="minorEastAsia"/>
                <w:szCs w:val="21"/>
              </w:rPr>
            </w:pPr>
            <w:r>
              <w:rPr>
                <w:rFonts w:eastAsiaTheme="minorEastAsia"/>
                <w:kern w:val="0"/>
                <w:szCs w:val="21"/>
              </w:rPr>
              <w:t>P2□</w:t>
            </w:r>
          </w:p>
        </w:tc>
        <w:tc>
          <w:tcPr>
            <w:tcW w:w="125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15C93" w14:textId="77777777" w:rsidR="00B14D53" w:rsidRDefault="00000000">
            <w:pPr>
              <w:snapToGrid/>
              <w:spacing w:line="0" w:lineRule="atLeast"/>
              <w:contextualSpacing/>
              <w:rPr>
                <w:rFonts w:eastAsiaTheme="minorEastAsia"/>
                <w:szCs w:val="21"/>
              </w:rPr>
            </w:pPr>
            <w:r>
              <w:rPr>
                <w:rFonts w:eastAsiaTheme="minorEastAsia"/>
                <w:kern w:val="0"/>
                <w:szCs w:val="21"/>
              </w:rPr>
              <w:t>P3□</w:t>
            </w:r>
          </w:p>
        </w:tc>
        <w:tc>
          <w:tcPr>
            <w:tcW w:w="1491"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E6975A1" w14:textId="77777777" w:rsidR="00B14D53" w:rsidRDefault="00000000">
            <w:pPr>
              <w:snapToGrid/>
              <w:spacing w:line="0" w:lineRule="atLeast"/>
              <w:contextualSpacing/>
              <w:rPr>
                <w:rFonts w:eastAsiaTheme="minorEastAsia"/>
                <w:szCs w:val="21"/>
              </w:rPr>
            </w:pPr>
            <w:r>
              <w:rPr>
                <w:rFonts w:eastAsiaTheme="minorEastAsia"/>
                <w:kern w:val="0"/>
                <w:szCs w:val="21"/>
              </w:rPr>
              <w:t>P4□</w:t>
            </w:r>
          </w:p>
        </w:tc>
      </w:tr>
      <w:tr w:rsidR="00B14D53" w14:paraId="11D5EA18" w14:textId="77777777">
        <w:trPr>
          <w:trHeight w:val="288"/>
        </w:trPr>
        <w:tc>
          <w:tcPr>
            <w:tcW w:w="1704" w:type="dxa"/>
            <w:gridSpan w:val="2"/>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A11AB5D" w14:textId="77777777" w:rsidR="00B14D53" w:rsidRDefault="00000000">
            <w:pPr>
              <w:snapToGrid/>
              <w:spacing w:line="0" w:lineRule="atLeast"/>
              <w:contextualSpacing/>
              <w:rPr>
                <w:rFonts w:eastAsiaTheme="minorEastAsia"/>
                <w:szCs w:val="21"/>
              </w:rPr>
            </w:pPr>
            <w:r>
              <w:rPr>
                <w:rFonts w:eastAsiaTheme="minorEastAsia"/>
                <w:kern w:val="0"/>
                <w:szCs w:val="21"/>
              </w:rPr>
              <w:t>环境敏感程度</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7DF09" w14:textId="77777777" w:rsidR="00B14D53" w:rsidRDefault="00000000">
            <w:pPr>
              <w:snapToGrid/>
              <w:spacing w:line="0" w:lineRule="atLeast"/>
              <w:contextualSpacing/>
              <w:rPr>
                <w:rFonts w:eastAsiaTheme="minorEastAsia"/>
                <w:szCs w:val="21"/>
              </w:rPr>
            </w:pPr>
            <w:r>
              <w:rPr>
                <w:rFonts w:eastAsiaTheme="minorEastAsia"/>
                <w:kern w:val="0"/>
                <w:szCs w:val="21"/>
              </w:rPr>
              <w:t>大气</w:t>
            </w: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64245B" w14:textId="77777777" w:rsidR="00B14D53" w:rsidRDefault="00000000">
            <w:pPr>
              <w:snapToGrid/>
              <w:spacing w:line="0" w:lineRule="atLeast"/>
              <w:contextualSpacing/>
              <w:rPr>
                <w:rFonts w:eastAsiaTheme="minorEastAsia"/>
                <w:szCs w:val="21"/>
              </w:rPr>
            </w:pPr>
            <w:r>
              <w:rPr>
                <w:rFonts w:eastAsiaTheme="minorEastAsia"/>
                <w:kern w:val="0"/>
                <w:szCs w:val="21"/>
              </w:rPr>
              <w:t>E1□</w:t>
            </w:r>
          </w:p>
        </w:tc>
        <w:tc>
          <w:tcPr>
            <w:tcW w:w="1939"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D3607F" w14:textId="77777777" w:rsidR="00B14D53" w:rsidRDefault="00000000">
            <w:pPr>
              <w:snapToGrid/>
              <w:spacing w:line="0" w:lineRule="atLeast"/>
              <w:contextualSpacing/>
              <w:rPr>
                <w:rFonts w:eastAsiaTheme="minorEastAsia"/>
                <w:szCs w:val="21"/>
              </w:rPr>
            </w:pPr>
            <w:r>
              <w:rPr>
                <w:rFonts w:eastAsiaTheme="minorEastAsia"/>
                <w:kern w:val="0"/>
                <w:szCs w:val="21"/>
              </w:rPr>
              <w:t>E2□</w:t>
            </w:r>
          </w:p>
        </w:tc>
        <w:tc>
          <w:tcPr>
            <w:tcW w:w="2172" w:type="dxa"/>
            <w:gridSpan w:val="6"/>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829ACC6" w14:textId="77777777" w:rsidR="00B14D53" w:rsidRDefault="00000000">
            <w:pPr>
              <w:snapToGrid/>
              <w:spacing w:line="0" w:lineRule="atLeast"/>
              <w:contextualSpacing/>
              <w:rPr>
                <w:rFonts w:eastAsiaTheme="minorEastAsia"/>
                <w:szCs w:val="21"/>
              </w:rPr>
            </w:pPr>
            <w:r>
              <w:rPr>
                <w:rFonts w:eastAsiaTheme="minorEastAsia"/>
                <w:kern w:val="0"/>
                <w:szCs w:val="21"/>
              </w:rPr>
              <w:t>E3□</w:t>
            </w:r>
          </w:p>
        </w:tc>
      </w:tr>
      <w:tr w:rsidR="00B14D53" w14:paraId="44E7F38C" w14:textId="77777777">
        <w:trPr>
          <w:trHeight w:val="288"/>
        </w:trPr>
        <w:tc>
          <w:tcPr>
            <w:tcW w:w="1704"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56825D1B" w14:textId="77777777" w:rsidR="00B14D53" w:rsidRDefault="00B14D53">
            <w:pPr>
              <w:widowControl/>
              <w:snapToGrid/>
              <w:spacing w:line="0" w:lineRule="atLeast"/>
              <w:contextualSpacing/>
              <w:jc w:val="left"/>
              <w:rPr>
                <w:rFonts w:eastAsiaTheme="minorEastAsia"/>
                <w:szCs w:val="21"/>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AAC19" w14:textId="77777777" w:rsidR="00B14D53" w:rsidRDefault="00000000">
            <w:pPr>
              <w:snapToGrid/>
              <w:spacing w:line="0" w:lineRule="atLeast"/>
              <w:contextualSpacing/>
              <w:rPr>
                <w:rFonts w:eastAsiaTheme="minorEastAsia"/>
                <w:szCs w:val="21"/>
              </w:rPr>
            </w:pPr>
            <w:r>
              <w:rPr>
                <w:rFonts w:eastAsiaTheme="minorEastAsia"/>
                <w:kern w:val="0"/>
                <w:szCs w:val="21"/>
              </w:rPr>
              <w:t>地表水</w:t>
            </w: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92C5F" w14:textId="77777777" w:rsidR="00B14D53" w:rsidRDefault="00000000">
            <w:pPr>
              <w:snapToGrid/>
              <w:spacing w:line="0" w:lineRule="atLeast"/>
              <w:contextualSpacing/>
              <w:rPr>
                <w:rFonts w:eastAsiaTheme="minorEastAsia"/>
                <w:szCs w:val="21"/>
              </w:rPr>
            </w:pPr>
            <w:r>
              <w:rPr>
                <w:rFonts w:eastAsiaTheme="minorEastAsia"/>
                <w:kern w:val="0"/>
                <w:szCs w:val="21"/>
              </w:rPr>
              <w:t>E1□</w:t>
            </w:r>
          </w:p>
        </w:tc>
        <w:tc>
          <w:tcPr>
            <w:tcW w:w="1939"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582AEE" w14:textId="77777777" w:rsidR="00B14D53" w:rsidRDefault="00000000">
            <w:pPr>
              <w:snapToGrid/>
              <w:spacing w:line="0" w:lineRule="atLeast"/>
              <w:contextualSpacing/>
              <w:rPr>
                <w:rFonts w:eastAsiaTheme="minorEastAsia"/>
                <w:szCs w:val="21"/>
              </w:rPr>
            </w:pPr>
            <w:r>
              <w:rPr>
                <w:rFonts w:eastAsiaTheme="minorEastAsia"/>
                <w:kern w:val="0"/>
                <w:szCs w:val="21"/>
              </w:rPr>
              <w:t>E2□</w:t>
            </w:r>
          </w:p>
        </w:tc>
        <w:tc>
          <w:tcPr>
            <w:tcW w:w="2172" w:type="dxa"/>
            <w:gridSpan w:val="6"/>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473AE05" w14:textId="77777777" w:rsidR="00B14D53" w:rsidRDefault="00000000">
            <w:pPr>
              <w:snapToGrid/>
              <w:spacing w:line="0" w:lineRule="atLeast"/>
              <w:contextualSpacing/>
              <w:rPr>
                <w:rFonts w:eastAsiaTheme="minorEastAsia"/>
                <w:szCs w:val="21"/>
              </w:rPr>
            </w:pPr>
            <w:r>
              <w:rPr>
                <w:rFonts w:eastAsiaTheme="minorEastAsia"/>
                <w:kern w:val="0"/>
                <w:szCs w:val="21"/>
              </w:rPr>
              <w:t>E3□</w:t>
            </w:r>
          </w:p>
        </w:tc>
      </w:tr>
      <w:tr w:rsidR="00B14D53" w14:paraId="4D501961" w14:textId="77777777">
        <w:trPr>
          <w:trHeight w:val="288"/>
        </w:trPr>
        <w:tc>
          <w:tcPr>
            <w:tcW w:w="1704"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17713C2" w14:textId="77777777" w:rsidR="00B14D53" w:rsidRDefault="00B14D53">
            <w:pPr>
              <w:widowControl/>
              <w:snapToGrid/>
              <w:spacing w:line="0" w:lineRule="atLeast"/>
              <w:contextualSpacing/>
              <w:jc w:val="left"/>
              <w:rPr>
                <w:rFonts w:eastAsiaTheme="minorEastAsia"/>
                <w:szCs w:val="21"/>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DC169" w14:textId="77777777" w:rsidR="00B14D53" w:rsidRDefault="00000000">
            <w:pPr>
              <w:snapToGrid/>
              <w:spacing w:line="0" w:lineRule="atLeast"/>
              <w:contextualSpacing/>
              <w:rPr>
                <w:rFonts w:eastAsiaTheme="minorEastAsia"/>
                <w:szCs w:val="21"/>
              </w:rPr>
            </w:pPr>
            <w:r>
              <w:rPr>
                <w:rFonts w:eastAsiaTheme="minorEastAsia"/>
                <w:kern w:val="0"/>
                <w:szCs w:val="21"/>
              </w:rPr>
              <w:t>地下水</w:t>
            </w:r>
          </w:p>
        </w:tc>
        <w:tc>
          <w:tcPr>
            <w:tcW w:w="198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319B01" w14:textId="77777777" w:rsidR="00B14D53" w:rsidRDefault="00000000">
            <w:pPr>
              <w:snapToGrid/>
              <w:spacing w:line="0" w:lineRule="atLeast"/>
              <w:contextualSpacing/>
              <w:rPr>
                <w:rFonts w:eastAsiaTheme="minorEastAsia"/>
                <w:szCs w:val="21"/>
              </w:rPr>
            </w:pPr>
            <w:r>
              <w:rPr>
                <w:rFonts w:eastAsiaTheme="minorEastAsia"/>
                <w:kern w:val="0"/>
                <w:szCs w:val="21"/>
              </w:rPr>
              <w:t>E1□</w:t>
            </w:r>
          </w:p>
        </w:tc>
        <w:tc>
          <w:tcPr>
            <w:tcW w:w="1939"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14689B" w14:textId="77777777" w:rsidR="00B14D53" w:rsidRDefault="00000000">
            <w:pPr>
              <w:snapToGrid/>
              <w:spacing w:line="0" w:lineRule="atLeast"/>
              <w:contextualSpacing/>
              <w:rPr>
                <w:rFonts w:eastAsiaTheme="minorEastAsia"/>
                <w:szCs w:val="21"/>
              </w:rPr>
            </w:pPr>
            <w:r>
              <w:rPr>
                <w:rFonts w:eastAsiaTheme="minorEastAsia"/>
                <w:kern w:val="0"/>
                <w:szCs w:val="21"/>
              </w:rPr>
              <w:t>E2□</w:t>
            </w:r>
          </w:p>
        </w:tc>
        <w:tc>
          <w:tcPr>
            <w:tcW w:w="2172" w:type="dxa"/>
            <w:gridSpan w:val="6"/>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7FDC3DF" w14:textId="77777777" w:rsidR="00B14D53" w:rsidRDefault="00000000">
            <w:pPr>
              <w:snapToGrid/>
              <w:spacing w:line="0" w:lineRule="atLeast"/>
              <w:contextualSpacing/>
              <w:rPr>
                <w:rFonts w:eastAsiaTheme="minorEastAsia"/>
                <w:szCs w:val="21"/>
              </w:rPr>
            </w:pPr>
            <w:r>
              <w:rPr>
                <w:rFonts w:eastAsiaTheme="minorEastAsia"/>
                <w:kern w:val="0"/>
                <w:szCs w:val="21"/>
              </w:rPr>
              <w:t>E3□</w:t>
            </w:r>
          </w:p>
        </w:tc>
      </w:tr>
      <w:tr w:rsidR="00B14D53" w14:paraId="33523FDA" w14:textId="77777777">
        <w:trPr>
          <w:trHeight w:val="288"/>
        </w:trPr>
        <w:tc>
          <w:tcPr>
            <w:tcW w:w="1704"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4EA7023" w14:textId="77777777" w:rsidR="00B14D53" w:rsidRDefault="00000000">
            <w:pPr>
              <w:snapToGrid/>
              <w:spacing w:line="0" w:lineRule="atLeast"/>
              <w:contextualSpacing/>
              <w:rPr>
                <w:rFonts w:eastAsiaTheme="minorEastAsia"/>
                <w:szCs w:val="21"/>
              </w:rPr>
            </w:pPr>
            <w:r>
              <w:rPr>
                <w:rFonts w:eastAsiaTheme="minorEastAsia"/>
                <w:kern w:val="0"/>
                <w:szCs w:val="21"/>
              </w:rPr>
              <w:t>环境风险潜势</w:t>
            </w:r>
          </w:p>
        </w:tc>
        <w:tc>
          <w:tcPr>
            <w:tcW w:w="142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CB6A6" w14:textId="77777777" w:rsidR="00B14D53" w:rsidRDefault="00000000">
            <w:pPr>
              <w:snapToGrid/>
              <w:spacing w:line="0" w:lineRule="atLeast"/>
              <w:contextualSpacing/>
              <w:rPr>
                <w:rFonts w:eastAsiaTheme="minorEastAsia"/>
                <w:szCs w:val="21"/>
              </w:rPr>
            </w:pPr>
            <w:r>
              <w:rPr>
                <w:rFonts w:eastAsiaTheme="minorEastAsia"/>
                <w:kern w:val="0"/>
                <w:szCs w:val="21"/>
              </w:rPr>
              <w:t>Ⅳ</w:t>
            </w:r>
            <w:r>
              <w:rPr>
                <w:rFonts w:eastAsiaTheme="minorEastAsia"/>
                <w:kern w:val="0"/>
                <w:szCs w:val="21"/>
                <w:vertAlign w:val="superscript"/>
              </w:rPr>
              <w:t>+</w:t>
            </w:r>
            <w:r>
              <w:rPr>
                <w:rFonts w:eastAsiaTheme="minorEastAsia"/>
                <w:kern w:val="0"/>
                <w:szCs w:val="21"/>
              </w:rPr>
              <w:t>□</w:t>
            </w:r>
          </w:p>
        </w:tc>
        <w:tc>
          <w:tcPr>
            <w:tcW w:w="142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7C02B" w14:textId="77777777" w:rsidR="00B14D53" w:rsidRDefault="00000000">
            <w:pPr>
              <w:snapToGrid/>
              <w:spacing w:line="0" w:lineRule="atLeast"/>
              <w:contextualSpacing/>
              <w:rPr>
                <w:rFonts w:eastAsiaTheme="minorEastAsia"/>
                <w:szCs w:val="21"/>
              </w:rPr>
            </w:pPr>
            <w:r>
              <w:rPr>
                <w:rFonts w:eastAsiaTheme="minorEastAsia"/>
                <w:kern w:val="0"/>
                <w:szCs w:val="21"/>
              </w:rPr>
              <w:t>Ⅳ□</w:t>
            </w:r>
          </w:p>
        </w:tc>
        <w:tc>
          <w:tcPr>
            <w:tcW w:w="142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73FE7F" w14:textId="77777777" w:rsidR="00B14D53" w:rsidRDefault="00000000">
            <w:pPr>
              <w:snapToGrid/>
              <w:spacing w:line="0" w:lineRule="atLeast"/>
              <w:contextualSpacing/>
              <w:rPr>
                <w:rFonts w:eastAsiaTheme="minorEastAsia"/>
                <w:szCs w:val="21"/>
              </w:rPr>
            </w:pPr>
            <w:r>
              <w:rPr>
                <w:rFonts w:eastAsiaTheme="minorEastAsia"/>
                <w:kern w:val="0"/>
                <w:szCs w:val="21"/>
              </w:rPr>
              <w:t>Ⅲ□</w:t>
            </w:r>
          </w:p>
        </w:tc>
        <w:tc>
          <w:tcPr>
            <w:tcW w:w="142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F7416A" w14:textId="77777777" w:rsidR="00B14D53" w:rsidRDefault="00000000">
            <w:pPr>
              <w:snapToGrid/>
              <w:spacing w:line="0" w:lineRule="atLeast"/>
              <w:contextualSpacing/>
              <w:rPr>
                <w:rFonts w:eastAsiaTheme="minorEastAsia"/>
                <w:szCs w:val="21"/>
              </w:rPr>
            </w:pPr>
            <w:r>
              <w:rPr>
                <w:rFonts w:eastAsiaTheme="minorEastAsia"/>
                <w:kern w:val="0"/>
                <w:szCs w:val="21"/>
              </w:rPr>
              <w:t>Ⅱ□</w:t>
            </w:r>
          </w:p>
        </w:tc>
        <w:tc>
          <w:tcPr>
            <w:tcW w:w="1661"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39557B3" w14:textId="77777777" w:rsidR="00B14D53" w:rsidRDefault="00000000">
            <w:pPr>
              <w:snapToGrid/>
              <w:spacing w:line="0" w:lineRule="atLeast"/>
              <w:contextualSpacing/>
              <w:rPr>
                <w:rFonts w:eastAsiaTheme="minorEastAsia"/>
                <w:szCs w:val="21"/>
              </w:rPr>
            </w:pPr>
            <w:r>
              <w:rPr>
                <w:rFonts w:eastAsiaTheme="minorEastAsia"/>
                <w:kern w:val="0"/>
                <w:szCs w:val="21"/>
              </w:rPr>
              <w:t>Ⅰ</w:t>
            </w:r>
            <w:r>
              <w:rPr>
                <w:rFonts w:eastAsiaTheme="minorEastAsia" w:hint="eastAsia"/>
                <w:kern w:val="0"/>
                <w:szCs w:val="21"/>
              </w:rPr>
              <w:t>☑</w:t>
            </w:r>
          </w:p>
        </w:tc>
      </w:tr>
      <w:tr w:rsidR="00B14D53" w14:paraId="5C82BCCD" w14:textId="77777777">
        <w:trPr>
          <w:trHeight w:val="288"/>
        </w:trPr>
        <w:tc>
          <w:tcPr>
            <w:tcW w:w="1704"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5684F28" w14:textId="77777777" w:rsidR="00B14D53" w:rsidRDefault="00000000">
            <w:pPr>
              <w:snapToGrid/>
              <w:spacing w:line="0" w:lineRule="atLeast"/>
              <w:contextualSpacing/>
              <w:rPr>
                <w:rFonts w:eastAsiaTheme="minorEastAsia"/>
                <w:szCs w:val="21"/>
              </w:rPr>
            </w:pPr>
            <w:r>
              <w:rPr>
                <w:rFonts w:eastAsiaTheme="minorEastAsia"/>
                <w:kern w:val="0"/>
                <w:szCs w:val="21"/>
              </w:rPr>
              <w:t>评价等级</w:t>
            </w:r>
          </w:p>
        </w:tc>
        <w:tc>
          <w:tcPr>
            <w:tcW w:w="285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B19DE1" w14:textId="77777777" w:rsidR="00B14D53" w:rsidRDefault="00000000">
            <w:pPr>
              <w:snapToGrid/>
              <w:spacing w:line="0" w:lineRule="atLeast"/>
              <w:contextualSpacing/>
              <w:rPr>
                <w:rFonts w:eastAsiaTheme="minorEastAsia"/>
                <w:szCs w:val="21"/>
              </w:rPr>
            </w:pPr>
            <w:r>
              <w:rPr>
                <w:rFonts w:eastAsiaTheme="minorEastAsia"/>
                <w:kern w:val="0"/>
                <w:szCs w:val="21"/>
              </w:rPr>
              <w:t>一级</w:t>
            </w:r>
            <w:r>
              <w:rPr>
                <w:rFonts w:eastAsiaTheme="minorEastAsia"/>
                <w:kern w:val="0"/>
                <w:szCs w:val="21"/>
              </w:rPr>
              <w:t>□</w:t>
            </w:r>
          </w:p>
        </w:tc>
        <w:tc>
          <w:tcPr>
            <w:tcW w:w="142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028D63" w14:textId="77777777" w:rsidR="00B14D53" w:rsidRDefault="00000000">
            <w:pPr>
              <w:snapToGrid/>
              <w:spacing w:line="0" w:lineRule="atLeast"/>
              <w:contextualSpacing/>
              <w:rPr>
                <w:rFonts w:eastAsiaTheme="minorEastAsia"/>
                <w:szCs w:val="21"/>
              </w:rPr>
            </w:pPr>
            <w:r>
              <w:rPr>
                <w:rFonts w:eastAsiaTheme="minorEastAsia"/>
                <w:kern w:val="0"/>
                <w:szCs w:val="21"/>
              </w:rPr>
              <w:t>二级</w:t>
            </w:r>
            <w:r>
              <w:rPr>
                <w:rFonts w:eastAsiaTheme="minorEastAsia"/>
                <w:kern w:val="0"/>
                <w:szCs w:val="21"/>
              </w:rPr>
              <w:t>□</w:t>
            </w:r>
          </w:p>
        </w:tc>
        <w:tc>
          <w:tcPr>
            <w:tcW w:w="142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F70834" w14:textId="77777777" w:rsidR="00B14D53" w:rsidRDefault="00000000">
            <w:pPr>
              <w:snapToGrid/>
              <w:spacing w:line="0" w:lineRule="atLeast"/>
              <w:contextualSpacing/>
              <w:rPr>
                <w:rFonts w:eastAsiaTheme="minorEastAsia"/>
                <w:szCs w:val="21"/>
              </w:rPr>
            </w:pPr>
            <w:r>
              <w:rPr>
                <w:rFonts w:eastAsiaTheme="minorEastAsia"/>
                <w:kern w:val="0"/>
                <w:szCs w:val="21"/>
              </w:rPr>
              <w:t>三级</w:t>
            </w:r>
            <w:r>
              <w:rPr>
                <w:rFonts w:eastAsiaTheme="minorEastAsia"/>
                <w:kern w:val="0"/>
                <w:szCs w:val="21"/>
              </w:rPr>
              <w:t>□</w:t>
            </w:r>
          </w:p>
        </w:tc>
        <w:tc>
          <w:tcPr>
            <w:tcW w:w="1661"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E026253" w14:textId="77777777" w:rsidR="00B14D53" w:rsidRDefault="00000000">
            <w:pPr>
              <w:snapToGrid/>
              <w:spacing w:line="0" w:lineRule="atLeast"/>
              <w:contextualSpacing/>
              <w:rPr>
                <w:rFonts w:eastAsiaTheme="minorEastAsia"/>
                <w:szCs w:val="21"/>
              </w:rPr>
            </w:pPr>
            <w:r>
              <w:rPr>
                <w:rFonts w:eastAsiaTheme="minorEastAsia"/>
                <w:kern w:val="0"/>
                <w:szCs w:val="21"/>
              </w:rPr>
              <w:t>简单分析</w:t>
            </w:r>
            <w:r>
              <w:rPr>
                <w:rFonts w:eastAsiaTheme="minorEastAsia" w:hint="eastAsia"/>
                <w:kern w:val="0"/>
                <w:szCs w:val="21"/>
              </w:rPr>
              <w:t>☑</w:t>
            </w:r>
          </w:p>
        </w:tc>
      </w:tr>
      <w:tr w:rsidR="00B14D53" w14:paraId="2DB0DF16" w14:textId="77777777">
        <w:trPr>
          <w:trHeight w:val="288"/>
        </w:trPr>
        <w:tc>
          <w:tcPr>
            <w:tcW w:w="427" w:type="dxa"/>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E91FC96" w14:textId="77777777" w:rsidR="00B14D53" w:rsidRDefault="00000000">
            <w:pPr>
              <w:snapToGrid/>
              <w:spacing w:line="0" w:lineRule="atLeast"/>
              <w:contextualSpacing/>
              <w:rPr>
                <w:rFonts w:eastAsiaTheme="minorEastAsia"/>
                <w:szCs w:val="21"/>
              </w:rPr>
            </w:pPr>
            <w:r>
              <w:rPr>
                <w:rFonts w:eastAsiaTheme="minorEastAsia"/>
                <w:kern w:val="0"/>
                <w:szCs w:val="21"/>
              </w:rPr>
              <w:t>风险识别</w:t>
            </w:r>
          </w:p>
        </w:tc>
        <w:tc>
          <w:tcPr>
            <w:tcW w:w="1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3C07C" w14:textId="77777777" w:rsidR="00B14D53" w:rsidRDefault="00000000">
            <w:pPr>
              <w:snapToGrid/>
              <w:spacing w:line="0" w:lineRule="atLeast"/>
              <w:contextualSpacing/>
              <w:rPr>
                <w:rFonts w:eastAsiaTheme="minorEastAsia"/>
                <w:szCs w:val="21"/>
              </w:rPr>
            </w:pPr>
            <w:r>
              <w:rPr>
                <w:rFonts w:eastAsiaTheme="minorEastAsia"/>
                <w:kern w:val="0"/>
                <w:szCs w:val="21"/>
              </w:rPr>
              <w:t>物质危险性</w:t>
            </w:r>
          </w:p>
        </w:tc>
        <w:tc>
          <w:tcPr>
            <w:tcW w:w="3569"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4C4583" w14:textId="77777777" w:rsidR="00B14D53" w:rsidRDefault="00000000">
            <w:pPr>
              <w:snapToGrid/>
              <w:spacing w:line="0" w:lineRule="atLeast"/>
              <w:contextualSpacing/>
              <w:rPr>
                <w:rFonts w:eastAsiaTheme="minorEastAsia"/>
                <w:szCs w:val="21"/>
              </w:rPr>
            </w:pPr>
            <w:r>
              <w:rPr>
                <w:rFonts w:eastAsiaTheme="minorEastAsia"/>
                <w:kern w:val="0"/>
                <w:szCs w:val="21"/>
              </w:rPr>
              <w:t>有毒有害</w:t>
            </w:r>
            <w:r>
              <w:rPr>
                <w:rFonts w:eastAsiaTheme="minorEastAsia" w:hint="eastAsia"/>
                <w:kern w:val="0"/>
                <w:szCs w:val="21"/>
              </w:rPr>
              <w:t>☑</w:t>
            </w:r>
          </w:p>
        </w:tc>
        <w:tc>
          <w:tcPr>
            <w:tcW w:w="3802" w:type="dxa"/>
            <w:gridSpan w:val="11"/>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513A515" w14:textId="77777777" w:rsidR="00B14D53" w:rsidRDefault="00000000">
            <w:pPr>
              <w:snapToGrid/>
              <w:spacing w:line="0" w:lineRule="atLeast"/>
              <w:contextualSpacing/>
              <w:rPr>
                <w:rFonts w:eastAsiaTheme="minorEastAsia"/>
                <w:szCs w:val="21"/>
              </w:rPr>
            </w:pPr>
            <w:r>
              <w:rPr>
                <w:rFonts w:eastAsiaTheme="minorEastAsia"/>
                <w:kern w:val="0"/>
                <w:szCs w:val="21"/>
              </w:rPr>
              <w:t>易燃易爆</w:t>
            </w:r>
            <w:r>
              <w:rPr>
                <w:rFonts w:eastAsiaTheme="minorEastAsia"/>
                <w:kern w:val="0"/>
                <w:szCs w:val="21"/>
              </w:rPr>
              <w:t>□</w:t>
            </w:r>
          </w:p>
        </w:tc>
      </w:tr>
      <w:tr w:rsidR="00B14D53" w14:paraId="55EC7BB2" w14:textId="77777777">
        <w:trPr>
          <w:trHeight w:val="28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56B1B44" w14:textId="77777777" w:rsidR="00B14D53" w:rsidRDefault="00B14D53">
            <w:pPr>
              <w:widowControl/>
              <w:snapToGrid/>
              <w:spacing w:line="0" w:lineRule="atLeast"/>
              <w:contextualSpacing/>
              <w:jc w:val="left"/>
              <w:rPr>
                <w:rFonts w:eastAsiaTheme="minorEastAsia"/>
                <w:szCs w:val="21"/>
              </w:rPr>
            </w:pPr>
          </w:p>
        </w:tc>
        <w:tc>
          <w:tcPr>
            <w:tcW w:w="1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01FC76" w14:textId="77777777" w:rsidR="00B14D53" w:rsidRDefault="00000000">
            <w:pPr>
              <w:snapToGrid/>
              <w:spacing w:line="0" w:lineRule="atLeast"/>
              <w:contextualSpacing/>
              <w:rPr>
                <w:rFonts w:eastAsiaTheme="minorEastAsia"/>
                <w:szCs w:val="21"/>
              </w:rPr>
            </w:pPr>
            <w:r>
              <w:rPr>
                <w:rFonts w:eastAsiaTheme="minorEastAsia"/>
                <w:kern w:val="0"/>
                <w:szCs w:val="21"/>
              </w:rPr>
              <w:t>环境风险类型</w:t>
            </w:r>
          </w:p>
        </w:tc>
        <w:tc>
          <w:tcPr>
            <w:tcW w:w="3569"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EFEFA" w14:textId="77777777" w:rsidR="00B14D53" w:rsidRDefault="00000000">
            <w:pPr>
              <w:snapToGrid/>
              <w:spacing w:line="0" w:lineRule="atLeast"/>
              <w:contextualSpacing/>
              <w:rPr>
                <w:rFonts w:eastAsiaTheme="minorEastAsia"/>
                <w:szCs w:val="21"/>
              </w:rPr>
            </w:pPr>
            <w:r>
              <w:rPr>
                <w:rFonts w:eastAsiaTheme="minorEastAsia"/>
                <w:kern w:val="0"/>
                <w:szCs w:val="21"/>
              </w:rPr>
              <w:t>泄漏</w:t>
            </w:r>
            <w:r>
              <w:rPr>
                <w:rFonts w:eastAsiaTheme="minorEastAsia" w:hint="eastAsia"/>
                <w:kern w:val="0"/>
                <w:szCs w:val="21"/>
              </w:rPr>
              <w:t>☑</w:t>
            </w:r>
          </w:p>
        </w:tc>
        <w:tc>
          <w:tcPr>
            <w:tcW w:w="3802" w:type="dxa"/>
            <w:gridSpan w:val="11"/>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7C89AEF" w14:textId="77777777" w:rsidR="00B14D53" w:rsidRDefault="00000000">
            <w:pPr>
              <w:snapToGrid/>
              <w:spacing w:line="0" w:lineRule="atLeast"/>
              <w:contextualSpacing/>
              <w:rPr>
                <w:rFonts w:eastAsiaTheme="minorEastAsia"/>
                <w:szCs w:val="21"/>
              </w:rPr>
            </w:pPr>
            <w:r>
              <w:rPr>
                <w:rFonts w:eastAsiaTheme="minorEastAsia"/>
                <w:kern w:val="0"/>
                <w:szCs w:val="21"/>
              </w:rPr>
              <w:t>火灾、爆炸引发伴生</w:t>
            </w:r>
            <w:r>
              <w:rPr>
                <w:rFonts w:eastAsiaTheme="minorEastAsia"/>
                <w:kern w:val="0"/>
                <w:szCs w:val="21"/>
              </w:rPr>
              <w:t>/</w:t>
            </w:r>
            <w:r>
              <w:rPr>
                <w:rFonts w:eastAsiaTheme="minorEastAsia"/>
                <w:kern w:val="0"/>
                <w:szCs w:val="21"/>
              </w:rPr>
              <w:t>次生污染物排放</w:t>
            </w:r>
            <w:r>
              <w:rPr>
                <w:rFonts w:eastAsiaTheme="minorEastAsia" w:hint="eastAsia"/>
                <w:kern w:val="0"/>
                <w:szCs w:val="21"/>
              </w:rPr>
              <w:t>□</w:t>
            </w:r>
          </w:p>
        </w:tc>
      </w:tr>
      <w:tr w:rsidR="00B14D53" w14:paraId="232C812A" w14:textId="77777777">
        <w:trPr>
          <w:trHeight w:val="28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6C523055" w14:textId="77777777" w:rsidR="00B14D53" w:rsidRDefault="00B14D53">
            <w:pPr>
              <w:widowControl/>
              <w:snapToGrid/>
              <w:spacing w:line="0" w:lineRule="atLeast"/>
              <w:contextualSpacing/>
              <w:jc w:val="left"/>
              <w:rPr>
                <w:rFonts w:eastAsiaTheme="minorEastAsia"/>
                <w:szCs w:val="21"/>
              </w:rPr>
            </w:pPr>
          </w:p>
        </w:tc>
        <w:tc>
          <w:tcPr>
            <w:tcW w:w="1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51076" w14:textId="77777777" w:rsidR="00B14D53" w:rsidRDefault="00000000">
            <w:pPr>
              <w:snapToGrid/>
              <w:spacing w:line="0" w:lineRule="atLeast"/>
              <w:contextualSpacing/>
              <w:rPr>
                <w:rFonts w:eastAsiaTheme="minorEastAsia"/>
                <w:szCs w:val="21"/>
              </w:rPr>
            </w:pPr>
            <w:r>
              <w:rPr>
                <w:rFonts w:eastAsiaTheme="minorEastAsia"/>
                <w:kern w:val="0"/>
                <w:szCs w:val="21"/>
              </w:rPr>
              <w:t>影响途径</w:t>
            </w:r>
          </w:p>
        </w:tc>
        <w:tc>
          <w:tcPr>
            <w:tcW w:w="237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541C7" w14:textId="77777777" w:rsidR="00B14D53" w:rsidRDefault="00000000">
            <w:pPr>
              <w:snapToGrid/>
              <w:spacing w:line="0" w:lineRule="atLeast"/>
              <w:contextualSpacing/>
              <w:rPr>
                <w:rFonts w:eastAsiaTheme="minorEastAsia"/>
                <w:szCs w:val="21"/>
              </w:rPr>
            </w:pPr>
            <w:r>
              <w:rPr>
                <w:rFonts w:eastAsiaTheme="minorEastAsia"/>
                <w:kern w:val="0"/>
                <w:szCs w:val="21"/>
              </w:rPr>
              <w:t>大气</w:t>
            </w:r>
            <w:r>
              <w:rPr>
                <w:rFonts w:eastAsiaTheme="minorEastAsia"/>
                <w:kern w:val="0"/>
                <w:szCs w:val="21"/>
              </w:rPr>
              <w:t>□</w:t>
            </w:r>
          </w:p>
        </w:tc>
        <w:tc>
          <w:tcPr>
            <w:tcW w:w="2379"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5950FF" w14:textId="77777777" w:rsidR="00B14D53" w:rsidRDefault="00000000">
            <w:pPr>
              <w:snapToGrid/>
              <w:spacing w:line="0" w:lineRule="atLeast"/>
              <w:contextualSpacing/>
              <w:rPr>
                <w:rFonts w:eastAsiaTheme="minorEastAsia"/>
                <w:szCs w:val="21"/>
              </w:rPr>
            </w:pPr>
            <w:r>
              <w:rPr>
                <w:rFonts w:eastAsiaTheme="minorEastAsia"/>
                <w:kern w:val="0"/>
                <w:szCs w:val="21"/>
              </w:rPr>
              <w:t>地表水</w:t>
            </w:r>
            <w:r>
              <w:rPr>
                <w:rFonts w:eastAsiaTheme="minorEastAsia"/>
                <w:kern w:val="0"/>
                <w:szCs w:val="21"/>
              </w:rPr>
              <w:t>□</w:t>
            </w:r>
          </w:p>
        </w:tc>
        <w:tc>
          <w:tcPr>
            <w:tcW w:w="2613" w:type="dxa"/>
            <w:gridSpan w:val="7"/>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0854172" w14:textId="77777777" w:rsidR="00B14D53" w:rsidRDefault="00000000">
            <w:pPr>
              <w:snapToGrid/>
              <w:spacing w:line="0" w:lineRule="atLeast"/>
              <w:contextualSpacing/>
              <w:rPr>
                <w:rFonts w:eastAsiaTheme="minorEastAsia"/>
                <w:szCs w:val="21"/>
              </w:rPr>
            </w:pPr>
            <w:r>
              <w:rPr>
                <w:rFonts w:eastAsiaTheme="minorEastAsia"/>
                <w:kern w:val="0"/>
                <w:szCs w:val="21"/>
              </w:rPr>
              <w:t>地下水</w:t>
            </w:r>
            <w:r>
              <w:rPr>
                <w:rFonts w:eastAsiaTheme="minorEastAsia" w:hint="eastAsia"/>
                <w:kern w:val="0"/>
                <w:szCs w:val="21"/>
              </w:rPr>
              <w:t>☑</w:t>
            </w:r>
          </w:p>
        </w:tc>
      </w:tr>
      <w:tr w:rsidR="00B14D53" w14:paraId="545AF328" w14:textId="77777777">
        <w:trPr>
          <w:trHeight w:val="288"/>
        </w:trPr>
        <w:tc>
          <w:tcPr>
            <w:tcW w:w="1704"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D63FE6C" w14:textId="77777777" w:rsidR="00B14D53" w:rsidRDefault="00000000">
            <w:pPr>
              <w:snapToGrid/>
              <w:spacing w:line="0" w:lineRule="atLeast"/>
              <w:contextualSpacing/>
              <w:rPr>
                <w:rFonts w:eastAsiaTheme="minorEastAsia"/>
                <w:szCs w:val="21"/>
              </w:rPr>
            </w:pPr>
            <w:r>
              <w:rPr>
                <w:rFonts w:eastAsiaTheme="minorEastAsia"/>
                <w:kern w:val="0"/>
                <w:szCs w:val="21"/>
              </w:rPr>
              <w:t>事故情形分析</w:t>
            </w:r>
          </w:p>
        </w:tc>
        <w:tc>
          <w:tcPr>
            <w:tcW w:w="17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47118" w14:textId="77777777" w:rsidR="00B14D53" w:rsidRDefault="00000000">
            <w:pPr>
              <w:snapToGrid/>
              <w:spacing w:line="0" w:lineRule="atLeast"/>
              <w:contextualSpacing/>
              <w:rPr>
                <w:rFonts w:eastAsiaTheme="minorEastAsia"/>
                <w:szCs w:val="21"/>
              </w:rPr>
            </w:pPr>
            <w:r>
              <w:rPr>
                <w:rFonts w:eastAsiaTheme="minorEastAsia"/>
                <w:kern w:val="0"/>
                <w:szCs w:val="21"/>
              </w:rPr>
              <w:t>源强设定方法</w:t>
            </w:r>
          </w:p>
        </w:tc>
        <w:tc>
          <w:tcPr>
            <w:tcW w:w="178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362F0" w14:textId="77777777" w:rsidR="00B14D53" w:rsidRDefault="00000000">
            <w:pPr>
              <w:snapToGrid/>
              <w:spacing w:line="0" w:lineRule="atLeast"/>
              <w:contextualSpacing/>
              <w:rPr>
                <w:rFonts w:eastAsiaTheme="minorEastAsia"/>
                <w:szCs w:val="21"/>
              </w:rPr>
            </w:pPr>
            <w:r>
              <w:rPr>
                <w:rFonts w:eastAsiaTheme="minorEastAsia"/>
                <w:kern w:val="0"/>
                <w:szCs w:val="21"/>
              </w:rPr>
              <w:t>计算法</w:t>
            </w:r>
            <w:r>
              <w:rPr>
                <w:rFonts w:eastAsiaTheme="minorEastAsia"/>
                <w:kern w:val="0"/>
                <w:szCs w:val="21"/>
              </w:rPr>
              <w:t>□</w:t>
            </w:r>
          </w:p>
        </w:tc>
        <w:tc>
          <w:tcPr>
            <w:tcW w:w="1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75407" w14:textId="77777777" w:rsidR="00B14D53" w:rsidRDefault="00000000">
            <w:pPr>
              <w:snapToGrid/>
              <w:spacing w:line="0" w:lineRule="atLeast"/>
              <w:contextualSpacing/>
              <w:rPr>
                <w:rFonts w:eastAsiaTheme="minorEastAsia"/>
                <w:szCs w:val="21"/>
              </w:rPr>
            </w:pPr>
            <w:r>
              <w:rPr>
                <w:rFonts w:eastAsiaTheme="minorEastAsia"/>
                <w:kern w:val="0"/>
                <w:szCs w:val="21"/>
              </w:rPr>
              <w:t>经验估算法</w:t>
            </w:r>
            <w:r>
              <w:rPr>
                <w:rFonts w:eastAsiaTheme="minorEastAsia"/>
                <w:kern w:val="0"/>
                <w:szCs w:val="21"/>
              </w:rPr>
              <w:t>□</w:t>
            </w:r>
          </w:p>
        </w:tc>
        <w:tc>
          <w:tcPr>
            <w:tcW w:w="2018" w:type="dxa"/>
            <w:gridSpan w:val="4"/>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CEF534A" w14:textId="77777777" w:rsidR="00B14D53" w:rsidRDefault="00000000">
            <w:pPr>
              <w:snapToGrid/>
              <w:spacing w:line="0" w:lineRule="atLeast"/>
              <w:contextualSpacing/>
              <w:rPr>
                <w:rFonts w:eastAsiaTheme="minorEastAsia"/>
                <w:szCs w:val="21"/>
              </w:rPr>
            </w:pPr>
            <w:r>
              <w:rPr>
                <w:rFonts w:eastAsiaTheme="minorEastAsia"/>
                <w:kern w:val="0"/>
                <w:szCs w:val="21"/>
              </w:rPr>
              <w:t>其他估算法</w:t>
            </w:r>
            <w:r>
              <w:rPr>
                <w:rFonts w:eastAsiaTheme="minorEastAsia"/>
                <w:kern w:val="0"/>
                <w:szCs w:val="21"/>
              </w:rPr>
              <w:t>□</w:t>
            </w:r>
          </w:p>
        </w:tc>
      </w:tr>
      <w:tr w:rsidR="00B14D53" w14:paraId="4959942F" w14:textId="77777777">
        <w:trPr>
          <w:trHeight w:val="288"/>
        </w:trPr>
        <w:tc>
          <w:tcPr>
            <w:tcW w:w="427" w:type="dxa"/>
            <w:vMerge w:val="restart"/>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02F24FD" w14:textId="77777777" w:rsidR="00B14D53" w:rsidRDefault="00000000">
            <w:pPr>
              <w:snapToGrid/>
              <w:spacing w:line="0" w:lineRule="atLeast"/>
              <w:contextualSpacing/>
              <w:rPr>
                <w:rFonts w:eastAsiaTheme="minorEastAsia"/>
                <w:szCs w:val="21"/>
              </w:rPr>
            </w:pPr>
            <w:r>
              <w:rPr>
                <w:rFonts w:eastAsiaTheme="minorEastAsia"/>
                <w:kern w:val="0"/>
                <w:szCs w:val="21"/>
              </w:rPr>
              <w:t>风险预测与评价</w:t>
            </w:r>
          </w:p>
        </w:tc>
        <w:tc>
          <w:tcPr>
            <w:tcW w:w="127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AE77B" w14:textId="77777777" w:rsidR="00B14D53" w:rsidRDefault="00000000">
            <w:pPr>
              <w:snapToGrid/>
              <w:spacing w:line="0" w:lineRule="atLeast"/>
              <w:contextualSpacing/>
              <w:rPr>
                <w:rFonts w:eastAsiaTheme="minorEastAsia"/>
                <w:szCs w:val="21"/>
              </w:rPr>
            </w:pPr>
            <w:r>
              <w:rPr>
                <w:rFonts w:eastAsiaTheme="minorEastAsia"/>
                <w:kern w:val="0"/>
                <w:szCs w:val="21"/>
              </w:rPr>
              <w:t>大气</w:t>
            </w:r>
          </w:p>
        </w:tc>
        <w:tc>
          <w:tcPr>
            <w:tcW w:w="17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7F5744" w14:textId="77777777" w:rsidR="00B14D53" w:rsidRDefault="00000000">
            <w:pPr>
              <w:snapToGrid/>
              <w:spacing w:line="0" w:lineRule="atLeast"/>
              <w:contextualSpacing/>
              <w:rPr>
                <w:rFonts w:eastAsiaTheme="minorEastAsia"/>
                <w:szCs w:val="21"/>
              </w:rPr>
            </w:pPr>
            <w:r>
              <w:rPr>
                <w:rFonts w:eastAsiaTheme="minorEastAsia"/>
                <w:kern w:val="0"/>
                <w:szCs w:val="21"/>
              </w:rPr>
              <w:t>预测模型</w:t>
            </w:r>
          </w:p>
        </w:tc>
        <w:tc>
          <w:tcPr>
            <w:tcW w:w="178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38FAA" w14:textId="77777777" w:rsidR="00B14D53" w:rsidRDefault="00000000">
            <w:pPr>
              <w:snapToGrid/>
              <w:spacing w:line="0" w:lineRule="atLeast"/>
              <w:contextualSpacing/>
              <w:rPr>
                <w:rFonts w:eastAsiaTheme="minorEastAsia"/>
                <w:szCs w:val="21"/>
              </w:rPr>
            </w:pPr>
            <w:r>
              <w:rPr>
                <w:rFonts w:eastAsiaTheme="minorEastAsia"/>
                <w:kern w:val="0"/>
                <w:szCs w:val="21"/>
              </w:rPr>
              <w:t>SLAB□</w:t>
            </w:r>
          </w:p>
        </w:tc>
        <w:tc>
          <w:tcPr>
            <w:tcW w:w="1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B3CEE" w14:textId="77777777" w:rsidR="00B14D53" w:rsidRDefault="00000000">
            <w:pPr>
              <w:snapToGrid/>
              <w:spacing w:line="0" w:lineRule="atLeast"/>
              <w:contextualSpacing/>
              <w:rPr>
                <w:rFonts w:eastAsiaTheme="minorEastAsia"/>
                <w:szCs w:val="21"/>
              </w:rPr>
            </w:pPr>
            <w:r>
              <w:rPr>
                <w:rFonts w:eastAsiaTheme="minorEastAsia"/>
                <w:kern w:val="0"/>
                <w:szCs w:val="21"/>
              </w:rPr>
              <w:t>AFTOX□</w:t>
            </w:r>
          </w:p>
        </w:tc>
        <w:tc>
          <w:tcPr>
            <w:tcW w:w="2018" w:type="dxa"/>
            <w:gridSpan w:val="4"/>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B8D5DF1" w14:textId="77777777" w:rsidR="00B14D53" w:rsidRDefault="00000000">
            <w:pPr>
              <w:snapToGrid/>
              <w:spacing w:line="0" w:lineRule="atLeast"/>
              <w:contextualSpacing/>
              <w:rPr>
                <w:rFonts w:eastAsiaTheme="minorEastAsia"/>
                <w:szCs w:val="21"/>
              </w:rPr>
            </w:pPr>
            <w:r>
              <w:rPr>
                <w:rFonts w:eastAsiaTheme="minorEastAsia"/>
                <w:kern w:val="0"/>
                <w:szCs w:val="21"/>
              </w:rPr>
              <w:t>其他</w:t>
            </w:r>
            <w:r>
              <w:rPr>
                <w:rFonts w:eastAsiaTheme="minorEastAsia"/>
                <w:kern w:val="0"/>
                <w:szCs w:val="21"/>
              </w:rPr>
              <w:t>□</w:t>
            </w:r>
          </w:p>
        </w:tc>
      </w:tr>
      <w:tr w:rsidR="00B14D53" w14:paraId="7B064EC8" w14:textId="77777777">
        <w:trPr>
          <w:trHeight w:val="28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0C969A4E" w14:textId="77777777" w:rsidR="00B14D53" w:rsidRDefault="00B14D53">
            <w:pPr>
              <w:widowControl/>
              <w:snapToGrid/>
              <w:spacing w:line="0" w:lineRule="atLeast"/>
              <w:contextualSpacing/>
              <w:jc w:val="left"/>
              <w:rPr>
                <w:rFonts w:eastAsiaTheme="minorEastAsia"/>
                <w:szCs w:val="21"/>
              </w:rPr>
            </w:pPr>
          </w:p>
        </w:tc>
        <w:tc>
          <w:tcPr>
            <w:tcW w:w="12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A63E7" w14:textId="77777777" w:rsidR="00B14D53" w:rsidRDefault="00B14D53">
            <w:pPr>
              <w:widowControl/>
              <w:snapToGrid/>
              <w:spacing w:line="0" w:lineRule="atLeast"/>
              <w:contextualSpacing/>
              <w:jc w:val="left"/>
              <w:rPr>
                <w:rFonts w:eastAsiaTheme="minorEastAsia"/>
                <w:szCs w:val="21"/>
              </w:rPr>
            </w:pPr>
          </w:p>
        </w:tc>
        <w:tc>
          <w:tcPr>
            <w:tcW w:w="1784" w:type="dxa"/>
            <w:gridSpan w:val="3"/>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C745ED" w14:textId="77777777" w:rsidR="00B14D53" w:rsidRDefault="00000000">
            <w:pPr>
              <w:snapToGrid/>
              <w:spacing w:line="0" w:lineRule="atLeast"/>
              <w:contextualSpacing/>
              <w:rPr>
                <w:rFonts w:eastAsiaTheme="minorEastAsia"/>
                <w:szCs w:val="21"/>
              </w:rPr>
            </w:pPr>
            <w:r>
              <w:rPr>
                <w:rFonts w:eastAsiaTheme="minorEastAsia"/>
                <w:kern w:val="0"/>
                <w:szCs w:val="21"/>
              </w:rPr>
              <w:t>预测结果</w:t>
            </w:r>
          </w:p>
        </w:tc>
        <w:tc>
          <w:tcPr>
            <w:tcW w:w="5587" w:type="dxa"/>
            <w:gridSpan w:val="16"/>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6D240A1" w14:textId="77777777" w:rsidR="00B14D53" w:rsidRDefault="00000000">
            <w:pPr>
              <w:snapToGrid/>
              <w:spacing w:line="0" w:lineRule="atLeast"/>
              <w:contextualSpacing/>
              <w:rPr>
                <w:rFonts w:eastAsiaTheme="minorEastAsia"/>
                <w:szCs w:val="21"/>
              </w:rPr>
            </w:pPr>
            <w:r>
              <w:rPr>
                <w:rFonts w:eastAsiaTheme="minorEastAsia"/>
                <w:kern w:val="0"/>
                <w:szCs w:val="21"/>
              </w:rPr>
              <w:t>大气毒性终点浓度</w:t>
            </w:r>
            <w:r>
              <w:rPr>
                <w:rFonts w:eastAsiaTheme="minorEastAsia"/>
                <w:kern w:val="0"/>
                <w:szCs w:val="21"/>
              </w:rPr>
              <w:t xml:space="preserve">-1 </w:t>
            </w:r>
            <w:r>
              <w:rPr>
                <w:rFonts w:eastAsiaTheme="minorEastAsia"/>
                <w:kern w:val="0"/>
                <w:szCs w:val="21"/>
              </w:rPr>
              <w:t>最大影响范围</w:t>
            </w:r>
            <w:r>
              <w:rPr>
                <w:rFonts w:eastAsiaTheme="minorEastAsia"/>
                <w:kern w:val="0"/>
                <w:szCs w:val="21"/>
                <w:u w:val="single"/>
              </w:rPr>
              <w:t xml:space="preserve">  </w:t>
            </w:r>
            <w:r>
              <w:rPr>
                <w:rFonts w:eastAsiaTheme="minorEastAsia"/>
                <w:kern w:val="0"/>
                <w:szCs w:val="21"/>
              </w:rPr>
              <w:t>m</w:t>
            </w:r>
          </w:p>
        </w:tc>
      </w:tr>
      <w:tr w:rsidR="00B14D53" w14:paraId="06674E6F" w14:textId="77777777">
        <w:trPr>
          <w:trHeight w:val="28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C0936E2" w14:textId="77777777" w:rsidR="00B14D53" w:rsidRDefault="00B14D53">
            <w:pPr>
              <w:widowControl/>
              <w:snapToGrid/>
              <w:spacing w:line="0" w:lineRule="atLeast"/>
              <w:contextualSpacing/>
              <w:jc w:val="left"/>
              <w:rPr>
                <w:rFonts w:eastAsiaTheme="minorEastAsia"/>
                <w:szCs w:val="21"/>
              </w:rPr>
            </w:pPr>
          </w:p>
        </w:tc>
        <w:tc>
          <w:tcPr>
            <w:tcW w:w="12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B490D" w14:textId="77777777" w:rsidR="00B14D53" w:rsidRDefault="00B14D53">
            <w:pPr>
              <w:widowControl/>
              <w:snapToGrid/>
              <w:spacing w:line="0" w:lineRule="atLeast"/>
              <w:contextualSpacing/>
              <w:jc w:val="left"/>
              <w:rPr>
                <w:rFonts w:eastAsiaTheme="minorEastAsia"/>
                <w:szCs w:val="21"/>
              </w:rPr>
            </w:pPr>
          </w:p>
        </w:tc>
        <w:tc>
          <w:tcPr>
            <w:tcW w:w="1784" w:type="dxa"/>
            <w:gridSpan w:val="3"/>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7E6678" w14:textId="77777777" w:rsidR="00B14D53" w:rsidRDefault="00B14D53">
            <w:pPr>
              <w:widowControl/>
              <w:snapToGrid/>
              <w:spacing w:line="0" w:lineRule="atLeast"/>
              <w:contextualSpacing/>
              <w:jc w:val="left"/>
              <w:rPr>
                <w:rFonts w:eastAsiaTheme="minorEastAsia"/>
                <w:szCs w:val="21"/>
              </w:rPr>
            </w:pPr>
          </w:p>
        </w:tc>
        <w:tc>
          <w:tcPr>
            <w:tcW w:w="5587" w:type="dxa"/>
            <w:gridSpan w:val="16"/>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62DCEE7" w14:textId="77777777" w:rsidR="00B14D53" w:rsidRDefault="00000000">
            <w:pPr>
              <w:snapToGrid/>
              <w:spacing w:line="0" w:lineRule="atLeast"/>
              <w:contextualSpacing/>
              <w:rPr>
                <w:rFonts w:eastAsiaTheme="minorEastAsia"/>
                <w:szCs w:val="21"/>
              </w:rPr>
            </w:pPr>
            <w:r>
              <w:rPr>
                <w:rFonts w:eastAsiaTheme="minorEastAsia"/>
                <w:kern w:val="0"/>
                <w:szCs w:val="21"/>
              </w:rPr>
              <w:t>大气毒性终点浓度</w:t>
            </w:r>
            <w:r>
              <w:rPr>
                <w:rFonts w:eastAsiaTheme="minorEastAsia"/>
                <w:kern w:val="0"/>
                <w:szCs w:val="21"/>
              </w:rPr>
              <w:t xml:space="preserve">-2 </w:t>
            </w:r>
            <w:r>
              <w:rPr>
                <w:rFonts w:eastAsiaTheme="minorEastAsia"/>
                <w:kern w:val="0"/>
                <w:szCs w:val="21"/>
              </w:rPr>
              <w:t>最大影响范围</w:t>
            </w:r>
            <w:r>
              <w:rPr>
                <w:rFonts w:eastAsiaTheme="minorEastAsia"/>
                <w:kern w:val="0"/>
                <w:szCs w:val="21"/>
                <w:u w:val="single"/>
              </w:rPr>
              <w:t xml:space="preserve">  </w:t>
            </w:r>
            <w:r>
              <w:rPr>
                <w:rFonts w:eastAsiaTheme="minorEastAsia"/>
                <w:kern w:val="0"/>
                <w:szCs w:val="21"/>
              </w:rPr>
              <w:t>m</w:t>
            </w:r>
          </w:p>
        </w:tc>
      </w:tr>
      <w:tr w:rsidR="00B14D53" w14:paraId="6FDB6A66" w14:textId="77777777">
        <w:trPr>
          <w:trHeight w:val="28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438BBFC" w14:textId="77777777" w:rsidR="00B14D53" w:rsidRDefault="00B14D53">
            <w:pPr>
              <w:widowControl/>
              <w:snapToGrid/>
              <w:spacing w:line="0" w:lineRule="atLeast"/>
              <w:contextualSpacing/>
              <w:jc w:val="left"/>
              <w:rPr>
                <w:rFonts w:eastAsiaTheme="minorEastAsia"/>
                <w:szCs w:val="21"/>
              </w:rPr>
            </w:pPr>
          </w:p>
        </w:tc>
        <w:tc>
          <w:tcPr>
            <w:tcW w:w="1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908D36" w14:textId="77777777" w:rsidR="00B14D53" w:rsidRDefault="00000000">
            <w:pPr>
              <w:snapToGrid/>
              <w:spacing w:line="0" w:lineRule="atLeast"/>
              <w:contextualSpacing/>
              <w:rPr>
                <w:rFonts w:eastAsiaTheme="minorEastAsia"/>
                <w:szCs w:val="21"/>
              </w:rPr>
            </w:pPr>
            <w:r>
              <w:rPr>
                <w:rFonts w:eastAsiaTheme="minorEastAsia"/>
                <w:kern w:val="0"/>
                <w:szCs w:val="21"/>
              </w:rPr>
              <w:t>地表水</w:t>
            </w:r>
          </w:p>
        </w:tc>
        <w:tc>
          <w:tcPr>
            <w:tcW w:w="7371" w:type="dxa"/>
            <w:gridSpan w:val="19"/>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7862236" w14:textId="77777777" w:rsidR="00B14D53" w:rsidRDefault="00000000">
            <w:pPr>
              <w:snapToGrid/>
              <w:spacing w:line="0" w:lineRule="atLeast"/>
              <w:contextualSpacing/>
              <w:rPr>
                <w:rFonts w:eastAsiaTheme="minorEastAsia"/>
                <w:szCs w:val="21"/>
              </w:rPr>
            </w:pPr>
            <w:r>
              <w:rPr>
                <w:rFonts w:eastAsiaTheme="minorEastAsia"/>
                <w:kern w:val="0"/>
                <w:szCs w:val="21"/>
              </w:rPr>
              <w:t>最近环境敏感目标</w:t>
            </w:r>
            <w:r>
              <w:rPr>
                <w:rFonts w:eastAsiaTheme="minorEastAsia"/>
                <w:kern w:val="0"/>
                <w:szCs w:val="21"/>
                <w:u w:val="single"/>
              </w:rPr>
              <w:t xml:space="preserve">   </w:t>
            </w:r>
            <w:r>
              <w:rPr>
                <w:rFonts w:eastAsiaTheme="minorEastAsia"/>
                <w:kern w:val="0"/>
                <w:szCs w:val="21"/>
              </w:rPr>
              <w:t>，到达时间</w:t>
            </w:r>
            <w:r>
              <w:rPr>
                <w:rFonts w:eastAsiaTheme="minorEastAsia"/>
                <w:kern w:val="0"/>
                <w:szCs w:val="21"/>
                <w:u w:val="single"/>
              </w:rPr>
              <w:t xml:space="preserve">   </w:t>
            </w:r>
            <w:r>
              <w:rPr>
                <w:rFonts w:eastAsiaTheme="minorEastAsia"/>
                <w:kern w:val="0"/>
                <w:szCs w:val="21"/>
              </w:rPr>
              <w:t>h</w:t>
            </w:r>
          </w:p>
        </w:tc>
      </w:tr>
      <w:tr w:rsidR="00B14D53" w14:paraId="6E9AD980" w14:textId="77777777">
        <w:trPr>
          <w:trHeight w:val="288"/>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F8DC3C3" w14:textId="77777777" w:rsidR="00B14D53" w:rsidRDefault="00B14D53">
            <w:pPr>
              <w:widowControl/>
              <w:snapToGrid/>
              <w:spacing w:line="0" w:lineRule="atLeast"/>
              <w:contextualSpacing/>
              <w:jc w:val="left"/>
              <w:rPr>
                <w:rFonts w:eastAsiaTheme="minorEastAsia"/>
                <w:szCs w:val="21"/>
              </w:rPr>
            </w:pPr>
          </w:p>
        </w:tc>
        <w:tc>
          <w:tcPr>
            <w:tcW w:w="127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C01A9" w14:textId="77777777" w:rsidR="00B14D53" w:rsidRDefault="00000000">
            <w:pPr>
              <w:snapToGrid/>
              <w:spacing w:line="0" w:lineRule="atLeast"/>
              <w:contextualSpacing/>
              <w:rPr>
                <w:rFonts w:eastAsiaTheme="minorEastAsia"/>
                <w:szCs w:val="21"/>
              </w:rPr>
            </w:pPr>
            <w:r>
              <w:rPr>
                <w:rFonts w:eastAsiaTheme="minorEastAsia"/>
                <w:kern w:val="0"/>
                <w:szCs w:val="21"/>
              </w:rPr>
              <w:t>地下水</w:t>
            </w:r>
          </w:p>
        </w:tc>
        <w:tc>
          <w:tcPr>
            <w:tcW w:w="7371" w:type="dxa"/>
            <w:gridSpan w:val="19"/>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7F8607F" w14:textId="77777777" w:rsidR="00B14D53" w:rsidRDefault="00000000">
            <w:pPr>
              <w:snapToGrid/>
              <w:spacing w:line="0" w:lineRule="atLeast"/>
              <w:contextualSpacing/>
              <w:rPr>
                <w:rFonts w:eastAsiaTheme="minorEastAsia"/>
                <w:szCs w:val="21"/>
              </w:rPr>
            </w:pPr>
            <w:r>
              <w:rPr>
                <w:rFonts w:eastAsiaTheme="minorEastAsia"/>
                <w:kern w:val="0"/>
                <w:szCs w:val="21"/>
              </w:rPr>
              <w:t>下游场区边界到达时间</w:t>
            </w:r>
            <w:r>
              <w:rPr>
                <w:rFonts w:eastAsiaTheme="minorEastAsia"/>
                <w:kern w:val="0"/>
                <w:szCs w:val="21"/>
                <w:u w:val="single"/>
              </w:rPr>
              <w:t xml:space="preserve">   </w:t>
            </w:r>
            <w:r>
              <w:rPr>
                <w:rFonts w:eastAsiaTheme="minorEastAsia"/>
                <w:kern w:val="0"/>
                <w:szCs w:val="21"/>
              </w:rPr>
              <w:t>h</w:t>
            </w:r>
          </w:p>
        </w:tc>
      </w:tr>
      <w:tr w:rsidR="00B14D53" w14:paraId="7E406BA9" w14:textId="77777777">
        <w:trPr>
          <w:trHeight w:val="306"/>
        </w:trPr>
        <w:tc>
          <w:tcPr>
            <w:tcW w:w="427"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596FCE2" w14:textId="77777777" w:rsidR="00B14D53" w:rsidRDefault="00B14D53">
            <w:pPr>
              <w:widowControl/>
              <w:snapToGrid/>
              <w:spacing w:line="0" w:lineRule="atLeast"/>
              <w:contextualSpacing/>
              <w:jc w:val="left"/>
              <w:rPr>
                <w:rFonts w:eastAsiaTheme="minorEastAsia"/>
                <w:szCs w:val="21"/>
              </w:rPr>
            </w:pPr>
          </w:p>
        </w:tc>
        <w:tc>
          <w:tcPr>
            <w:tcW w:w="12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04DD5" w14:textId="77777777" w:rsidR="00B14D53" w:rsidRDefault="00B14D53">
            <w:pPr>
              <w:widowControl/>
              <w:snapToGrid/>
              <w:spacing w:line="0" w:lineRule="atLeast"/>
              <w:contextualSpacing/>
              <w:jc w:val="left"/>
              <w:rPr>
                <w:rFonts w:eastAsiaTheme="minorEastAsia"/>
                <w:szCs w:val="21"/>
              </w:rPr>
            </w:pPr>
          </w:p>
        </w:tc>
        <w:tc>
          <w:tcPr>
            <w:tcW w:w="7371" w:type="dxa"/>
            <w:gridSpan w:val="19"/>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B66B528" w14:textId="77777777" w:rsidR="00B14D53" w:rsidRDefault="00000000">
            <w:pPr>
              <w:snapToGrid/>
              <w:spacing w:line="0" w:lineRule="atLeast"/>
              <w:contextualSpacing/>
              <w:rPr>
                <w:rFonts w:eastAsiaTheme="minorEastAsia"/>
                <w:szCs w:val="21"/>
              </w:rPr>
            </w:pPr>
            <w:r>
              <w:rPr>
                <w:rFonts w:eastAsiaTheme="minorEastAsia"/>
                <w:kern w:val="0"/>
                <w:szCs w:val="21"/>
              </w:rPr>
              <w:t>最近环境敏感目标</w:t>
            </w:r>
            <w:r>
              <w:rPr>
                <w:rFonts w:eastAsiaTheme="minorEastAsia"/>
                <w:kern w:val="0"/>
                <w:szCs w:val="21"/>
                <w:u w:val="single"/>
              </w:rPr>
              <w:t xml:space="preserve">   </w:t>
            </w:r>
            <w:r>
              <w:rPr>
                <w:rFonts w:eastAsiaTheme="minorEastAsia"/>
                <w:kern w:val="0"/>
                <w:szCs w:val="21"/>
              </w:rPr>
              <w:t>，到达时间</w:t>
            </w:r>
            <w:r>
              <w:rPr>
                <w:rFonts w:eastAsiaTheme="minorEastAsia"/>
                <w:kern w:val="0"/>
                <w:szCs w:val="21"/>
                <w:u w:val="single"/>
              </w:rPr>
              <w:t xml:space="preserve">   </w:t>
            </w:r>
            <w:r>
              <w:rPr>
                <w:rFonts w:eastAsiaTheme="minorEastAsia"/>
                <w:kern w:val="0"/>
                <w:szCs w:val="21"/>
              </w:rPr>
              <w:t>h</w:t>
            </w:r>
          </w:p>
        </w:tc>
      </w:tr>
      <w:tr w:rsidR="00B14D53" w14:paraId="46B856C5" w14:textId="77777777">
        <w:trPr>
          <w:trHeight w:val="1264"/>
        </w:trPr>
        <w:tc>
          <w:tcPr>
            <w:tcW w:w="1704" w:type="dxa"/>
            <w:gridSpan w:val="2"/>
            <w:tcBorders>
              <w:top w:val="single" w:sz="6" w:space="0" w:color="000000" w:themeColor="text1"/>
              <w:left w:val="single" w:sz="12" w:space="0" w:color="000000" w:themeColor="text1"/>
              <w:bottom w:val="single" w:sz="4" w:space="0" w:color="auto"/>
              <w:right w:val="single" w:sz="6" w:space="0" w:color="000000" w:themeColor="text1"/>
            </w:tcBorders>
          </w:tcPr>
          <w:p w14:paraId="086F3213" w14:textId="77777777" w:rsidR="00B14D53" w:rsidRDefault="00000000">
            <w:pPr>
              <w:snapToGrid/>
              <w:spacing w:line="0" w:lineRule="atLeast"/>
              <w:contextualSpacing/>
              <w:rPr>
                <w:rFonts w:eastAsiaTheme="minorEastAsia"/>
                <w:szCs w:val="21"/>
              </w:rPr>
            </w:pPr>
            <w:r>
              <w:rPr>
                <w:rFonts w:eastAsiaTheme="minorEastAsia"/>
                <w:kern w:val="0"/>
                <w:szCs w:val="21"/>
              </w:rPr>
              <w:t>重点风险防范措施</w:t>
            </w:r>
          </w:p>
        </w:tc>
        <w:tc>
          <w:tcPr>
            <w:tcW w:w="7371" w:type="dxa"/>
            <w:gridSpan w:val="19"/>
            <w:tcBorders>
              <w:top w:val="single" w:sz="6" w:space="0" w:color="000000" w:themeColor="text1"/>
              <w:left w:val="single" w:sz="6" w:space="0" w:color="000000" w:themeColor="text1"/>
              <w:bottom w:val="single" w:sz="4" w:space="0" w:color="auto"/>
              <w:right w:val="single" w:sz="12" w:space="0" w:color="000000" w:themeColor="text1"/>
            </w:tcBorders>
          </w:tcPr>
          <w:p w14:paraId="2CE0CA29" w14:textId="77777777" w:rsidR="00B14D53" w:rsidRDefault="00000000">
            <w:pPr>
              <w:snapToGrid/>
              <w:spacing w:line="0" w:lineRule="atLeast"/>
              <w:contextualSpacing/>
              <w:rPr>
                <w:rFonts w:eastAsiaTheme="minorEastAsia"/>
                <w:kern w:val="0"/>
                <w:szCs w:val="21"/>
              </w:rPr>
            </w:pPr>
            <w:r>
              <w:rPr>
                <w:rFonts w:hAnsiTheme="minorEastAsia" w:hint="eastAsia"/>
              </w:rPr>
              <w:t>外购袋装固态次氯酸钠，存放于药剂存放间内，避免存放过程泄漏污染。使用过程中如次</w:t>
            </w:r>
            <w:r>
              <w:rPr>
                <w:rFonts w:hAnsiTheme="minorEastAsia"/>
              </w:rPr>
              <w:t>氯酸钠发生泄漏，应隔离泄漏污染区，限制出入。建议应急处理人员戴自给式呼吸器，穿一般工作服。不要直接接触泄漏物，勿使泄漏物与有机物、还原剂、易燃物接触。小量泄漏：避免扬尘，用洁净的铲子收集于干燥、洁净、有盖的容器中。大量泄漏：收集回收或运至废物处理场所处置</w:t>
            </w:r>
          </w:p>
        </w:tc>
      </w:tr>
      <w:tr w:rsidR="00B14D53" w14:paraId="17A8544F" w14:textId="77777777">
        <w:trPr>
          <w:trHeight w:val="520"/>
        </w:trPr>
        <w:tc>
          <w:tcPr>
            <w:tcW w:w="1704" w:type="dxa"/>
            <w:gridSpan w:val="2"/>
            <w:tcBorders>
              <w:top w:val="single" w:sz="4" w:space="0" w:color="auto"/>
              <w:left w:val="single" w:sz="12" w:space="0" w:color="000000" w:themeColor="text1"/>
              <w:bottom w:val="single" w:sz="6" w:space="0" w:color="000000" w:themeColor="text1"/>
              <w:right w:val="single" w:sz="6" w:space="0" w:color="000000" w:themeColor="text1"/>
            </w:tcBorders>
          </w:tcPr>
          <w:p w14:paraId="28E58F2C" w14:textId="77777777" w:rsidR="00B14D53" w:rsidRDefault="00000000">
            <w:pPr>
              <w:snapToGrid/>
              <w:spacing w:line="0" w:lineRule="atLeast"/>
              <w:contextualSpacing/>
              <w:rPr>
                <w:rFonts w:eastAsiaTheme="minorEastAsia"/>
                <w:szCs w:val="21"/>
              </w:rPr>
            </w:pPr>
            <w:r>
              <w:rPr>
                <w:rFonts w:eastAsiaTheme="minorEastAsia"/>
                <w:kern w:val="0"/>
                <w:szCs w:val="21"/>
              </w:rPr>
              <w:t>评价结论与建议</w:t>
            </w:r>
          </w:p>
        </w:tc>
        <w:tc>
          <w:tcPr>
            <w:tcW w:w="7371" w:type="dxa"/>
            <w:gridSpan w:val="19"/>
            <w:tcBorders>
              <w:top w:val="single" w:sz="4" w:space="0" w:color="auto"/>
              <w:left w:val="single" w:sz="6" w:space="0" w:color="000000" w:themeColor="text1"/>
              <w:bottom w:val="single" w:sz="6" w:space="0" w:color="000000" w:themeColor="text1"/>
              <w:right w:val="single" w:sz="12" w:space="0" w:color="000000" w:themeColor="text1"/>
            </w:tcBorders>
          </w:tcPr>
          <w:p w14:paraId="09B24907" w14:textId="77777777" w:rsidR="00B14D53" w:rsidRDefault="00000000">
            <w:pPr>
              <w:snapToGrid/>
              <w:spacing w:line="0" w:lineRule="atLeast"/>
              <w:contextualSpacing/>
              <w:jc w:val="left"/>
              <w:rPr>
                <w:rFonts w:eastAsiaTheme="minorEastAsia"/>
                <w:szCs w:val="21"/>
              </w:rPr>
            </w:pPr>
            <w:r>
              <w:rPr>
                <w:rFonts w:eastAsiaTheme="minorEastAsia"/>
                <w:kern w:val="0"/>
                <w:szCs w:val="21"/>
              </w:rPr>
              <w:t>采取本项目提出的风险应急措施，可有效避免风险事故污染水环境，可有效保护应急人员健康</w:t>
            </w:r>
          </w:p>
        </w:tc>
      </w:tr>
      <w:tr w:rsidR="00B14D53" w14:paraId="1BBED07F" w14:textId="77777777">
        <w:trPr>
          <w:trHeight w:val="520"/>
        </w:trPr>
        <w:tc>
          <w:tcPr>
            <w:tcW w:w="9075" w:type="dxa"/>
            <w:gridSpan w:val="21"/>
            <w:tcBorders>
              <w:top w:val="single" w:sz="6" w:space="0" w:color="000000" w:themeColor="text1"/>
              <w:left w:val="single" w:sz="12" w:space="0" w:color="000000" w:themeColor="text1"/>
              <w:bottom w:val="single" w:sz="12" w:space="0" w:color="000000" w:themeColor="text1"/>
              <w:right w:val="single" w:sz="12" w:space="0" w:color="000000" w:themeColor="text1"/>
            </w:tcBorders>
          </w:tcPr>
          <w:p w14:paraId="2FB7081B" w14:textId="77777777" w:rsidR="00B14D53" w:rsidRDefault="00000000">
            <w:pPr>
              <w:snapToGrid/>
              <w:spacing w:line="0" w:lineRule="atLeast"/>
              <w:contextualSpacing/>
              <w:jc w:val="left"/>
              <w:rPr>
                <w:rFonts w:eastAsiaTheme="minorEastAsia"/>
                <w:kern w:val="0"/>
                <w:szCs w:val="21"/>
              </w:rPr>
            </w:pPr>
            <w:r>
              <w:rPr>
                <w:rFonts w:eastAsiaTheme="minorEastAsia"/>
                <w:kern w:val="0"/>
                <w:szCs w:val="21"/>
              </w:rPr>
              <w:t>注：</w:t>
            </w:r>
            <w:r>
              <w:rPr>
                <w:rFonts w:eastAsiaTheme="minorEastAsia"/>
                <w:kern w:val="0"/>
                <w:szCs w:val="21"/>
              </w:rPr>
              <w:t>“□”</w:t>
            </w:r>
            <w:r>
              <w:rPr>
                <w:rFonts w:eastAsiaTheme="minorEastAsia"/>
                <w:kern w:val="0"/>
                <w:szCs w:val="21"/>
              </w:rPr>
              <w:t>为勾选项，</w:t>
            </w:r>
            <w:r>
              <w:rPr>
                <w:rFonts w:eastAsiaTheme="minorEastAsia"/>
                <w:kern w:val="0"/>
                <w:szCs w:val="21"/>
              </w:rPr>
              <w:t>“</w:t>
            </w:r>
            <w:r>
              <w:rPr>
                <w:rFonts w:eastAsiaTheme="minorEastAsia"/>
                <w:kern w:val="0"/>
                <w:szCs w:val="21"/>
                <w:u w:val="single"/>
              </w:rPr>
              <w:t xml:space="preserve">   </w:t>
            </w:r>
            <w:r>
              <w:rPr>
                <w:rFonts w:eastAsiaTheme="minorEastAsia"/>
                <w:kern w:val="0"/>
                <w:szCs w:val="21"/>
              </w:rPr>
              <w:t>”</w:t>
            </w:r>
            <w:r>
              <w:rPr>
                <w:rFonts w:eastAsiaTheme="minorEastAsia"/>
                <w:kern w:val="0"/>
                <w:szCs w:val="21"/>
              </w:rPr>
              <w:t>为填写项。</w:t>
            </w:r>
          </w:p>
        </w:tc>
      </w:tr>
    </w:tbl>
    <w:p w14:paraId="02516611" w14:textId="77777777" w:rsidR="00B14D53" w:rsidRDefault="00B14D53">
      <w:pPr>
        <w:jc w:val="right"/>
        <w:rPr>
          <w:rFonts w:eastAsiaTheme="minorEastAsia"/>
          <w:b/>
          <w:sz w:val="24"/>
        </w:rPr>
      </w:pPr>
    </w:p>
    <w:p w14:paraId="07C54A0F" w14:textId="77777777" w:rsidR="00B14D53" w:rsidRDefault="00B14D53">
      <w:pPr>
        <w:jc w:val="center"/>
        <w:rPr>
          <w:rFonts w:eastAsiaTheme="minorEastAsia"/>
          <w:b/>
          <w:sz w:val="24"/>
        </w:rPr>
      </w:pPr>
    </w:p>
    <w:p w14:paraId="36B6D78D" w14:textId="77777777" w:rsidR="00B14D53" w:rsidRDefault="00B14D53">
      <w:pPr>
        <w:jc w:val="center"/>
        <w:rPr>
          <w:rFonts w:eastAsiaTheme="minorEastAsia"/>
          <w:b/>
          <w:sz w:val="24"/>
        </w:rPr>
        <w:sectPr w:rsidR="00B14D53">
          <w:pgSz w:w="11906" w:h="16838"/>
          <w:pgMar w:top="1440" w:right="1800" w:bottom="1440" w:left="1800" w:header="851" w:footer="992" w:gutter="0"/>
          <w:cols w:space="425"/>
          <w:docGrid w:type="lines" w:linePitch="312"/>
        </w:sectPr>
      </w:pPr>
    </w:p>
    <w:p w14:paraId="1F780C3D" w14:textId="77777777" w:rsidR="00B14D53" w:rsidRDefault="00000000">
      <w:pPr>
        <w:jc w:val="center"/>
        <w:rPr>
          <w:rFonts w:eastAsiaTheme="minorEastAsia"/>
          <w:b/>
          <w:sz w:val="24"/>
        </w:rPr>
      </w:pPr>
      <w:r>
        <w:rPr>
          <w:rFonts w:eastAsiaTheme="minorEastAsia"/>
          <w:b/>
          <w:sz w:val="24"/>
        </w:rPr>
        <w:t>生态影响评价自查表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1"/>
        <w:gridCol w:w="1223"/>
        <w:gridCol w:w="6252"/>
      </w:tblGrid>
      <w:tr w:rsidR="00B14D53" w14:paraId="0A212D9F" w14:textId="77777777">
        <w:trPr>
          <w:jc w:val="center"/>
        </w:trPr>
        <w:tc>
          <w:tcPr>
            <w:tcW w:w="2143" w:type="dxa"/>
            <w:gridSpan w:val="2"/>
            <w:vAlign w:val="center"/>
          </w:tcPr>
          <w:p w14:paraId="5B7A4A6A" w14:textId="77777777" w:rsidR="00B14D53" w:rsidRDefault="00000000">
            <w:pPr>
              <w:jc w:val="center"/>
              <w:rPr>
                <w:rFonts w:eastAsiaTheme="minorEastAsia"/>
                <w:szCs w:val="21"/>
              </w:rPr>
            </w:pPr>
            <w:r>
              <w:rPr>
                <w:rFonts w:eastAsiaTheme="minorEastAsia"/>
                <w:szCs w:val="21"/>
              </w:rPr>
              <w:t>工作内容</w:t>
            </w:r>
          </w:p>
        </w:tc>
        <w:tc>
          <w:tcPr>
            <w:tcW w:w="6385" w:type="dxa"/>
            <w:vAlign w:val="center"/>
          </w:tcPr>
          <w:p w14:paraId="7D859E91" w14:textId="77777777" w:rsidR="00B14D53" w:rsidRDefault="00000000">
            <w:pPr>
              <w:jc w:val="center"/>
              <w:rPr>
                <w:rFonts w:eastAsiaTheme="minorEastAsia"/>
                <w:szCs w:val="21"/>
              </w:rPr>
            </w:pPr>
            <w:r>
              <w:rPr>
                <w:rFonts w:eastAsiaTheme="minorEastAsia"/>
                <w:szCs w:val="21"/>
              </w:rPr>
              <w:t>自查项目</w:t>
            </w:r>
          </w:p>
        </w:tc>
      </w:tr>
      <w:tr w:rsidR="00B14D53" w14:paraId="48560252" w14:textId="77777777">
        <w:trPr>
          <w:jc w:val="center"/>
        </w:trPr>
        <w:tc>
          <w:tcPr>
            <w:tcW w:w="839" w:type="dxa"/>
            <w:vMerge w:val="restart"/>
            <w:vAlign w:val="center"/>
          </w:tcPr>
          <w:p w14:paraId="35DFD380" w14:textId="77777777" w:rsidR="00B14D53" w:rsidRDefault="00000000">
            <w:pPr>
              <w:jc w:val="center"/>
              <w:rPr>
                <w:rFonts w:eastAsiaTheme="minorEastAsia"/>
                <w:szCs w:val="21"/>
              </w:rPr>
            </w:pPr>
            <w:r>
              <w:rPr>
                <w:rFonts w:eastAsiaTheme="minorEastAsia"/>
                <w:szCs w:val="21"/>
              </w:rPr>
              <w:t>生态影响识别</w:t>
            </w:r>
          </w:p>
        </w:tc>
        <w:tc>
          <w:tcPr>
            <w:tcW w:w="1304" w:type="dxa"/>
            <w:vAlign w:val="center"/>
          </w:tcPr>
          <w:p w14:paraId="66C1ABD1" w14:textId="77777777" w:rsidR="00B14D53" w:rsidRDefault="00000000">
            <w:pPr>
              <w:jc w:val="center"/>
              <w:rPr>
                <w:rFonts w:eastAsiaTheme="minorEastAsia"/>
                <w:szCs w:val="21"/>
              </w:rPr>
            </w:pPr>
            <w:r>
              <w:rPr>
                <w:rFonts w:eastAsiaTheme="minorEastAsia"/>
                <w:szCs w:val="21"/>
              </w:rPr>
              <w:t>生态保护目标</w:t>
            </w:r>
          </w:p>
        </w:tc>
        <w:tc>
          <w:tcPr>
            <w:tcW w:w="6385" w:type="dxa"/>
            <w:vAlign w:val="center"/>
          </w:tcPr>
          <w:p w14:paraId="2EE9545B" w14:textId="77777777" w:rsidR="00B14D53" w:rsidRDefault="00000000">
            <w:pPr>
              <w:rPr>
                <w:rFonts w:eastAsiaTheme="minorEastAsia"/>
                <w:szCs w:val="21"/>
              </w:rPr>
            </w:pPr>
            <w:r>
              <w:rPr>
                <w:rFonts w:eastAsiaTheme="minorEastAsia"/>
                <w:szCs w:val="21"/>
              </w:rPr>
              <w:t>重要物种</w:t>
            </w:r>
            <w:r>
              <w:rPr>
                <w:rFonts w:eastAsiaTheme="minorEastAsia"/>
                <w:szCs w:val="21"/>
              </w:rPr>
              <w:t>□</w:t>
            </w:r>
            <w:r>
              <w:rPr>
                <w:rFonts w:eastAsiaTheme="minorEastAsia"/>
                <w:szCs w:val="21"/>
              </w:rPr>
              <w:t>；国家公园</w:t>
            </w:r>
            <w:r>
              <w:rPr>
                <w:rFonts w:eastAsiaTheme="minorEastAsia"/>
                <w:szCs w:val="21"/>
              </w:rPr>
              <w:t>□</w:t>
            </w:r>
            <w:r>
              <w:rPr>
                <w:rFonts w:eastAsiaTheme="minorEastAsia"/>
                <w:szCs w:val="21"/>
              </w:rPr>
              <w:t>；自然保护区</w:t>
            </w:r>
            <w:r>
              <w:rPr>
                <w:rFonts w:eastAsiaTheme="minorEastAsia"/>
                <w:szCs w:val="21"/>
              </w:rPr>
              <w:t>□</w:t>
            </w:r>
            <w:r>
              <w:rPr>
                <w:rFonts w:eastAsiaTheme="minorEastAsia"/>
                <w:szCs w:val="21"/>
              </w:rPr>
              <w:t>；自然公园</w:t>
            </w:r>
            <w:r>
              <w:rPr>
                <w:rFonts w:eastAsiaTheme="minorEastAsia"/>
                <w:szCs w:val="21"/>
              </w:rPr>
              <w:t>□</w:t>
            </w:r>
            <w:r>
              <w:rPr>
                <w:rFonts w:eastAsiaTheme="minorEastAsia"/>
                <w:szCs w:val="21"/>
              </w:rPr>
              <w:t>；世界自然遗产</w:t>
            </w:r>
            <w:r>
              <w:rPr>
                <w:rFonts w:eastAsiaTheme="minorEastAsia"/>
                <w:szCs w:val="21"/>
              </w:rPr>
              <w:t>□</w:t>
            </w:r>
            <w:r>
              <w:rPr>
                <w:rFonts w:eastAsiaTheme="minorEastAsia"/>
                <w:szCs w:val="21"/>
              </w:rPr>
              <w:t>；生态保护红线</w:t>
            </w:r>
            <w:r>
              <w:rPr>
                <w:rFonts w:eastAsiaTheme="minorEastAsia"/>
                <w:szCs w:val="21"/>
              </w:rPr>
              <w:t>□</w:t>
            </w:r>
            <w:r>
              <w:rPr>
                <w:rFonts w:eastAsiaTheme="minorEastAsia"/>
                <w:szCs w:val="21"/>
              </w:rPr>
              <w:t>；重要生境</w:t>
            </w:r>
            <w:r>
              <w:rPr>
                <w:rFonts w:eastAsiaTheme="minorEastAsia"/>
                <w:szCs w:val="21"/>
              </w:rPr>
              <w:t>□</w:t>
            </w:r>
            <w:r>
              <w:rPr>
                <w:rFonts w:eastAsiaTheme="minorEastAsia"/>
                <w:szCs w:val="21"/>
              </w:rPr>
              <w:t>；其他具有重要生态功能、对保护生物多样性具有重要意义的区域</w:t>
            </w:r>
            <w:r>
              <w:rPr>
                <w:rFonts w:eastAsiaTheme="minorEastAsia"/>
                <w:szCs w:val="21"/>
              </w:rPr>
              <w:t>□</w:t>
            </w:r>
            <w:r>
              <w:rPr>
                <w:rFonts w:eastAsiaTheme="minorEastAsia"/>
                <w:szCs w:val="21"/>
              </w:rPr>
              <w:t>；其他</w:t>
            </w:r>
            <w:r>
              <w:rPr>
                <w:rFonts w:eastAsia="MS Mincho"/>
                <w:szCs w:val="21"/>
              </w:rPr>
              <w:t>☑</w:t>
            </w:r>
          </w:p>
        </w:tc>
      </w:tr>
      <w:tr w:rsidR="00B14D53" w14:paraId="6697908E" w14:textId="77777777">
        <w:trPr>
          <w:jc w:val="center"/>
        </w:trPr>
        <w:tc>
          <w:tcPr>
            <w:tcW w:w="839" w:type="dxa"/>
            <w:vMerge/>
            <w:vAlign w:val="center"/>
          </w:tcPr>
          <w:p w14:paraId="26A3E6C5" w14:textId="77777777" w:rsidR="00B14D53" w:rsidRDefault="00B14D53">
            <w:pPr>
              <w:jc w:val="center"/>
              <w:rPr>
                <w:rFonts w:eastAsiaTheme="minorEastAsia"/>
                <w:szCs w:val="21"/>
              </w:rPr>
            </w:pPr>
          </w:p>
        </w:tc>
        <w:tc>
          <w:tcPr>
            <w:tcW w:w="1304" w:type="dxa"/>
            <w:vAlign w:val="center"/>
          </w:tcPr>
          <w:p w14:paraId="78D8EB61" w14:textId="77777777" w:rsidR="00B14D53" w:rsidRDefault="00000000">
            <w:pPr>
              <w:jc w:val="center"/>
              <w:rPr>
                <w:rFonts w:eastAsiaTheme="minorEastAsia"/>
                <w:szCs w:val="21"/>
              </w:rPr>
            </w:pPr>
            <w:r>
              <w:rPr>
                <w:rFonts w:eastAsiaTheme="minorEastAsia"/>
                <w:szCs w:val="21"/>
              </w:rPr>
              <w:t>影响方式</w:t>
            </w:r>
          </w:p>
        </w:tc>
        <w:tc>
          <w:tcPr>
            <w:tcW w:w="6385" w:type="dxa"/>
            <w:vAlign w:val="center"/>
          </w:tcPr>
          <w:p w14:paraId="34CAE3F2" w14:textId="77777777" w:rsidR="00B14D53" w:rsidRDefault="00000000">
            <w:pPr>
              <w:rPr>
                <w:rFonts w:eastAsiaTheme="minorEastAsia"/>
                <w:szCs w:val="21"/>
              </w:rPr>
            </w:pPr>
            <w:r>
              <w:rPr>
                <w:rFonts w:eastAsiaTheme="minorEastAsia"/>
                <w:szCs w:val="21"/>
              </w:rPr>
              <w:t>工程占用</w:t>
            </w:r>
            <w:r>
              <w:rPr>
                <w:rFonts w:eastAsiaTheme="minorEastAsia"/>
                <w:szCs w:val="21"/>
              </w:rPr>
              <w:t>□</w:t>
            </w:r>
            <w:r>
              <w:rPr>
                <w:rFonts w:eastAsiaTheme="minorEastAsia"/>
                <w:szCs w:val="21"/>
              </w:rPr>
              <w:t>；施工活动干扰</w:t>
            </w:r>
            <w:r>
              <w:rPr>
                <w:rFonts w:eastAsia="MS Mincho"/>
                <w:szCs w:val="21"/>
              </w:rPr>
              <w:t>☑</w:t>
            </w:r>
            <w:r>
              <w:rPr>
                <w:rFonts w:eastAsiaTheme="minorEastAsia"/>
                <w:szCs w:val="21"/>
              </w:rPr>
              <w:t>；改变环境条件</w:t>
            </w:r>
            <w:r>
              <w:rPr>
                <w:rFonts w:eastAsia="MS Mincho"/>
                <w:szCs w:val="21"/>
              </w:rPr>
              <w:t>☑</w:t>
            </w:r>
            <w:r>
              <w:rPr>
                <w:rFonts w:eastAsiaTheme="minorEastAsia"/>
                <w:szCs w:val="21"/>
              </w:rPr>
              <w:t>；其他</w:t>
            </w:r>
            <w:r>
              <w:rPr>
                <w:rFonts w:eastAsiaTheme="minorEastAsia"/>
                <w:szCs w:val="21"/>
              </w:rPr>
              <w:t>□</w:t>
            </w:r>
          </w:p>
        </w:tc>
      </w:tr>
      <w:tr w:rsidR="00B14D53" w14:paraId="27F8D411" w14:textId="77777777">
        <w:trPr>
          <w:jc w:val="center"/>
        </w:trPr>
        <w:tc>
          <w:tcPr>
            <w:tcW w:w="839" w:type="dxa"/>
            <w:vMerge/>
            <w:vAlign w:val="center"/>
          </w:tcPr>
          <w:p w14:paraId="5F918907" w14:textId="77777777" w:rsidR="00B14D53" w:rsidRDefault="00B14D53">
            <w:pPr>
              <w:jc w:val="center"/>
              <w:rPr>
                <w:rFonts w:eastAsiaTheme="minorEastAsia"/>
                <w:szCs w:val="21"/>
              </w:rPr>
            </w:pPr>
          </w:p>
        </w:tc>
        <w:tc>
          <w:tcPr>
            <w:tcW w:w="1304" w:type="dxa"/>
            <w:vAlign w:val="center"/>
          </w:tcPr>
          <w:p w14:paraId="6D42AB88" w14:textId="77777777" w:rsidR="00B14D53" w:rsidRDefault="00000000">
            <w:pPr>
              <w:jc w:val="center"/>
              <w:rPr>
                <w:rFonts w:eastAsiaTheme="minorEastAsia"/>
                <w:szCs w:val="21"/>
              </w:rPr>
            </w:pPr>
            <w:r>
              <w:rPr>
                <w:rFonts w:eastAsiaTheme="minorEastAsia"/>
                <w:szCs w:val="21"/>
              </w:rPr>
              <w:t>评价因子</w:t>
            </w:r>
          </w:p>
        </w:tc>
        <w:tc>
          <w:tcPr>
            <w:tcW w:w="6385" w:type="dxa"/>
            <w:vAlign w:val="center"/>
          </w:tcPr>
          <w:p w14:paraId="31BB6004" w14:textId="77777777" w:rsidR="00B14D53" w:rsidRDefault="00000000">
            <w:pPr>
              <w:rPr>
                <w:rFonts w:eastAsiaTheme="minorEastAsia"/>
                <w:szCs w:val="21"/>
              </w:rPr>
            </w:pPr>
            <w:r>
              <w:rPr>
                <w:rFonts w:eastAsiaTheme="minorEastAsia"/>
                <w:szCs w:val="21"/>
              </w:rPr>
              <w:t>物种</w:t>
            </w:r>
            <w:r>
              <w:rPr>
                <w:rFonts w:eastAsia="MS Mincho"/>
                <w:szCs w:val="21"/>
              </w:rPr>
              <w:t>☑</w:t>
            </w:r>
            <w:r>
              <w:rPr>
                <w:rFonts w:eastAsiaTheme="minorEastAsia"/>
                <w:szCs w:val="21"/>
              </w:rPr>
              <w:t>（分布范围、种群数量</w:t>
            </w:r>
            <w:r>
              <w:rPr>
                <w:rFonts w:eastAsiaTheme="minorEastAsia" w:hint="eastAsia"/>
                <w:szCs w:val="21"/>
              </w:rPr>
              <w:t>，种群结构、行为等</w:t>
            </w:r>
            <w:r>
              <w:rPr>
                <w:rFonts w:eastAsiaTheme="minorEastAsia"/>
                <w:szCs w:val="21"/>
              </w:rPr>
              <w:t>）</w:t>
            </w:r>
          </w:p>
          <w:p w14:paraId="7C5F4A99" w14:textId="77777777" w:rsidR="00B14D53" w:rsidRDefault="00000000">
            <w:pPr>
              <w:rPr>
                <w:rFonts w:eastAsiaTheme="minorEastAsia"/>
                <w:szCs w:val="21"/>
              </w:rPr>
            </w:pPr>
            <w:r>
              <w:rPr>
                <w:rFonts w:eastAsiaTheme="minorEastAsia"/>
                <w:szCs w:val="21"/>
              </w:rPr>
              <w:t>生境</w:t>
            </w:r>
            <w:r>
              <w:rPr>
                <w:rFonts w:eastAsiaTheme="minorEastAsia"/>
                <w:szCs w:val="21"/>
              </w:rPr>
              <w:t>□</w:t>
            </w:r>
            <w:r>
              <w:rPr>
                <w:rFonts w:eastAsiaTheme="minorEastAsia"/>
                <w:szCs w:val="21"/>
              </w:rPr>
              <w:t>（</w:t>
            </w:r>
            <w:r>
              <w:rPr>
                <w:rFonts w:eastAsiaTheme="minorEastAsia"/>
                <w:szCs w:val="21"/>
              </w:rPr>
              <w:t xml:space="preserve">                                 </w:t>
            </w:r>
            <w:r>
              <w:rPr>
                <w:rFonts w:eastAsiaTheme="minorEastAsia"/>
                <w:szCs w:val="21"/>
              </w:rPr>
              <w:t>）</w:t>
            </w:r>
          </w:p>
          <w:p w14:paraId="6EBDC4EB" w14:textId="77777777" w:rsidR="00B14D53" w:rsidRDefault="00000000">
            <w:pPr>
              <w:rPr>
                <w:rFonts w:eastAsiaTheme="minorEastAsia"/>
                <w:szCs w:val="21"/>
              </w:rPr>
            </w:pPr>
            <w:r>
              <w:rPr>
                <w:rFonts w:eastAsiaTheme="minorEastAsia"/>
                <w:szCs w:val="21"/>
              </w:rPr>
              <w:t>生物群落</w:t>
            </w:r>
            <w:r>
              <w:rPr>
                <w:rFonts w:eastAsiaTheme="minorEastAsia"/>
                <w:szCs w:val="21"/>
              </w:rPr>
              <w:t>□</w:t>
            </w:r>
            <w:r>
              <w:rPr>
                <w:rFonts w:eastAsiaTheme="minorEastAsia"/>
                <w:szCs w:val="21"/>
              </w:rPr>
              <w:t>（</w:t>
            </w:r>
            <w:r>
              <w:rPr>
                <w:rFonts w:eastAsiaTheme="minorEastAsia" w:hint="eastAsia"/>
                <w:szCs w:val="21"/>
              </w:rPr>
              <w:t xml:space="preserve"> </w:t>
            </w:r>
            <w:r>
              <w:rPr>
                <w:rFonts w:eastAsiaTheme="minorEastAsia"/>
                <w:szCs w:val="21"/>
              </w:rPr>
              <w:t xml:space="preserve">                            </w:t>
            </w:r>
            <w:r>
              <w:rPr>
                <w:rFonts w:eastAsiaTheme="minorEastAsia"/>
                <w:szCs w:val="21"/>
              </w:rPr>
              <w:t>）</w:t>
            </w:r>
          </w:p>
          <w:p w14:paraId="01385699" w14:textId="77777777" w:rsidR="00B14D53" w:rsidRDefault="00000000">
            <w:pPr>
              <w:rPr>
                <w:rFonts w:eastAsiaTheme="minorEastAsia"/>
                <w:szCs w:val="21"/>
              </w:rPr>
            </w:pPr>
            <w:r>
              <w:rPr>
                <w:rFonts w:eastAsiaTheme="minorEastAsia"/>
                <w:szCs w:val="21"/>
              </w:rPr>
              <w:t>生态系统</w:t>
            </w:r>
            <w:r>
              <w:rPr>
                <w:rFonts w:eastAsia="MS Mincho"/>
                <w:szCs w:val="21"/>
              </w:rPr>
              <w:t>☑</w:t>
            </w:r>
            <w:r>
              <w:rPr>
                <w:rFonts w:eastAsiaTheme="minorEastAsia"/>
                <w:szCs w:val="21"/>
              </w:rPr>
              <w:t>（</w:t>
            </w:r>
            <w:r>
              <w:rPr>
                <w:rFonts w:eastAsiaTheme="minorEastAsia" w:hint="eastAsia"/>
                <w:szCs w:val="21"/>
              </w:rPr>
              <w:t>生产力</w:t>
            </w:r>
            <w:r>
              <w:rPr>
                <w:rFonts w:eastAsiaTheme="minorEastAsia"/>
                <w:szCs w:val="21"/>
              </w:rPr>
              <w:t>）</w:t>
            </w:r>
          </w:p>
          <w:p w14:paraId="695EDC5C" w14:textId="77777777" w:rsidR="00B14D53" w:rsidRDefault="00000000">
            <w:pPr>
              <w:rPr>
                <w:rFonts w:eastAsiaTheme="minorEastAsia"/>
                <w:szCs w:val="21"/>
              </w:rPr>
            </w:pPr>
            <w:r>
              <w:rPr>
                <w:rFonts w:eastAsiaTheme="minorEastAsia"/>
                <w:szCs w:val="21"/>
              </w:rPr>
              <w:t>生物多样性</w:t>
            </w:r>
            <w:r>
              <w:rPr>
                <w:rFonts w:eastAsiaTheme="minorEastAsia"/>
                <w:szCs w:val="21"/>
              </w:rPr>
              <w:t>□</w:t>
            </w:r>
            <w:r>
              <w:rPr>
                <w:rFonts w:eastAsiaTheme="minorEastAsia"/>
                <w:szCs w:val="21"/>
              </w:rPr>
              <w:t>（</w:t>
            </w:r>
            <w:r>
              <w:rPr>
                <w:rFonts w:eastAsiaTheme="minorEastAsia"/>
                <w:szCs w:val="21"/>
              </w:rPr>
              <w:t xml:space="preserve">                                 </w:t>
            </w:r>
            <w:r>
              <w:rPr>
                <w:rFonts w:eastAsiaTheme="minorEastAsia"/>
                <w:szCs w:val="21"/>
              </w:rPr>
              <w:t>）</w:t>
            </w:r>
          </w:p>
          <w:p w14:paraId="773898C6" w14:textId="77777777" w:rsidR="00B14D53" w:rsidRDefault="00000000">
            <w:pPr>
              <w:rPr>
                <w:rFonts w:eastAsiaTheme="minorEastAsia"/>
                <w:szCs w:val="21"/>
              </w:rPr>
            </w:pPr>
            <w:r>
              <w:rPr>
                <w:rFonts w:eastAsiaTheme="minorEastAsia"/>
                <w:szCs w:val="21"/>
              </w:rPr>
              <w:t>生态敏感区</w:t>
            </w:r>
            <w:r>
              <w:rPr>
                <w:rFonts w:eastAsiaTheme="minorEastAsia"/>
                <w:szCs w:val="21"/>
              </w:rPr>
              <w:t>□</w:t>
            </w:r>
            <w:r>
              <w:rPr>
                <w:rFonts w:eastAsiaTheme="minorEastAsia"/>
                <w:szCs w:val="21"/>
              </w:rPr>
              <w:t>（</w:t>
            </w:r>
            <w:r>
              <w:rPr>
                <w:rFonts w:eastAsiaTheme="minorEastAsia"/>
                <w:szCs w:val="21"/>
              </w:rPr>
              <w:t xml:space="preserve">                                 </w:t>
            </w:r>
            <w:r>
              <w:rPr>
                <w:rFonts w:eastAsiaTheme="minorEastAsia"/>
                <w:szCs w:val="21"/>
              </w:rPr>
              <w:t>）</w:t>
            </w:r>
          </w:p>
          <w:p w14:paraId="5149EA0D" w14:textId="77777777" w:rsidR="00B14D53" w:rsidRDefault="00000000">
            <w:pPr>
              <w:rPr>
                <w:rFonts w:eastAsiaTheme="minorEastAsia"/>
                <w:szCs w:val="21"/>
              </w:rPr>
            </w:pPr>
            <w:r>
              <w:rPr>
                <w:rFonts w:eastAsiaTheme="minorEastAsia"/>
                <w:szCs w:val="21"/>
              </w:rPr>
              <w:t>自然景观</w:t>
            </w:r>
            <w:r>
              <w:rPr>
                <w:rFonts w:eastAsiaTheme="minorEastAsia"/>
                <w:szCs w:val="21"/>
              </w:rPr>
              <w:t>□</w:t>
            </w:r>
            <w:r>
              <w:rPr>
                <w:rFonts w:eastAsiaTheme="minorEastAsia"/>
                <w:szCs w:val="21"/>
              </w:rPr>
              <w:t>（</w:t>
            </w:r>
            <w:r>
              <w:rPr>
                <w:rFonts w:eastAsiaTheme="minorEastAsia"/>
                <w:szCs w:val="21"/>
              </w:rPr>
              <w:t xml:space="preserve">                                 </w:t>
            </w:r>
            <w:r>
              <w:rPr>
                <w:rFonts w:eastAsiaTheme="minorEastAsia"/>
                <w:szCs w:val="21"/>
              </w:rPr>
              <w:t>）</w:t>
            </w:r>
          </w:p>
          <w:p w14:paraId="1BA4D3F6" w14:textId="77777777" w:rsidR="00B14D53" w:rsidRDefault="00000000">
            <w:pPr>
              <w:rPr>
                <w:rFonts w:eastAsiaTheme="minorEastAsia"/>
                <w:szCs w:val="21"/>
              </w:rPr>
            </w:pPr>
            <w:r>
              <w:rPr>
                <w:rFonts w:eastAsiaTheme="minorEastAsia"/>
                <w:szCs w:val="21"/>
              </w:rPr>
              <w:t>自然遗迹</w:t>
            </w:r>
            <w:r>
              <w:rPr>
                <w:rFonts w:eastAsiaTheme="minorEastAsia"/>
                <w:szCs w:val="21"/>
              </w:rPr>
              <w:t>□</w:t>
            </w:r>
            <w:r>
              <w:rPr>
                <w:rFonts w:eastAsiaTheme="minorEastAsia"/>
                <w:szCs w:val="21"/>
              </w:rPr>
              <w:t>（</w:t>
            </w:r>
            <w:r>
              <w:rPr>
                <w:rFonts w:eastAsiaTheme="minorEastAsia"/>
                <w:szCs w:val="21"/>
              </w:rPr>
              <w:t xml:space="preserve">                                 </w:t>
            </w:r>
            <w:r>
              <w:rPr>
                <w:rFonts w:eastAsiaTheme="minorEastAsia"/>
                <w:szCs w:val="21"/>
              </w:rPr>
              <w:t>）</w:t>
            </w:r>
          </w:p>
          <w:p w14:paraId="1D6432AD" w14:textId="77777777" w:rsidR="00B14D53" w:rsidRDefault="00000000">
            <w:pPr>
              <w:rPr>
                <w:rFonts w:eastAsiaTheme="minorEastAsia"/>
                <w:szCs w:val="21"/>
              </w:rPr>
            </w:pPr>
            <w:r>
              <w:rPr>
                <w:rFonts w:eastAsiaTheme="minorEastAsia"/>
                <w:szCs w:val="21"/>
              </w:rPr>
              <w:t>其他</w:t>
            </w:r>
            <w:r>
              <w:rPr>
                <w:rFonts w:eastAsiaTheme="minorEastAsia"/>
                <w:szCs w:val="21"/>
              </w:rPr>
              <w:t>□</w:t>
            </w:r>
            <w:r>
              <w:rPr>
                <w:rFonts w:eastAsiaTheme="minorEastAsia"/>
                <w:szCs w:val="21"/>
              </w:rPr>
              <w:t>（</w:t>
            </w:r>
            <w:r>
              <w:rPr>
                <w:rFonts w:eastAsiaTheme="minorEastAsia"/>
                <w:szCs w:val="21"/>
              </w:rPr>
              <w:t xml:space="preserve">                                         </w:t>
            </w:r>
            <w:r>
              <w:rPr>
                <w:rFonts w:eastAsiaTheme="minorEastAsia"/>
                <w:szCs w:val="21"/>
              </w:rPr>
              <w:t>）</w:t>
            </w:r>
          </w:p>
        </w:tc>
      </w:tr>
      <w:tr w:rsidR="00B14D53" w14:paraId="4F43C195" w14:textId="77777777">
        <w:trPr>
          <w:jc w:val="center"/>
        </w:trPr>
        <w:tc>
          <w:tcPr>
            <w:tcW w:w="2143" w:type="dxa"/>
            <w:gridSpan w:val="2"/>
            <w:vAlign w:val="center"/>
          </w:tcPr>
          <w:p w14:paraId="0FEC5304" w14:textId="77777777" w:rsidR="00B14D53" w:rsidRDefault="00000000">
            <w:pPr>
              <w:jc w:val="center"/>
              <w:rPr>
                <w:rFonts w:eastAsiaTheme="minorEastAsia"/>
                <w:szCs w:val="21"/>
              </w:rPr>
            </w:pPr>
            <w:r>
              <w:rPr>
                <w:rFonts w:eastAsiaTheme="minorEastAsia"/>
                <w:szCs w:val="21"/>
              </w:rPr>
              <w:t>评价等级</w:t>
            </w:r>
          </w:p>
        </w:tc>
        <w:tc>
          <w:tcPr>
            <w:tcW w:w="6385" w:type="dxa"/>
            <w:vAlign w:val="center"/>
          </w:tcPr>
          <w:p w14:paraId="783974D3" w14:textId="77777777" w:rsidR="00B14D53" w:rsidRDefault="00000000">
            <w:pPr>
              <w:rPr>
                <w:rFonts w:eastAsiaTheme="minorEastAsia"/>
                <w:szCs w:val="21"/>
              </w:rPr>
            </w:pPr>
            <w:r>
              <w:rPr>
                <w:rFonts w:eastAsiaTheme="minorEastAsia"/>
                <w:szCs w:val="21"/>
              </w:rPr>
              <w:t>一级</w:t>
            </w:r>
            <w:r>
              <w:rPr>
                <w:rFonts w:eastAsiaTheme="minorEastAsia"/>
                <w:szCs w:val="21"/>
              </w:rPr>
              <w:t xml:space="preserve">□        </w:t>
            </w:r>
            <w:r>
              <w:rPr>
                <w:rFonts w:eastAsiaTheme="minorEastAsia"/>
                <w:szCs w:val="21"/>
              </w:rPr>
              <w:t>二级</w:t>
            </w:r>
            <w:r>
              <w:rPr>
                <w:rFonts w:eastAsiaTheme="minorEastAsia"/>
                <w:szCs w:val="21"/>
              </w:rPr>
              <w:t xml:space="preserve">□        </w:t>
            </w:r>
            <w:r>
              <w:rPr>
                <w:rFonts w:eastAsiaTheme="minorEastAsia"/>
                <w:szCs w:val="21"/>
              </w:rPr>
              <w:t>三级</w:t>
            </w:r>
            <w:r>
              <w:rPr>
                <w:rFonts w:eastAsia="MS Mincho"/>
                <w:szCs w:val="21"/>
              </w:rPr>
              <w:t>☑</w:t>
            </w:r>
            <w:r>
              <w:rPr>
                <w:rFonts w:eastAsiaTheme="minorEastAsia"/>
                <w:szCs w:val="21"/>
              </w:rPr>
              <w:t xml:space="preserve">     </w:t>
            </w:r>
            <w:r>
              <w:rPr>
                <w:rFonts w:eastAsiaTheme="minorEastAsia"/>
                <w:szCs w:val="21"/>
              </w:rPr>
              <w:t>生态影响简单分析</w:t>
            </w:r>
            <w:r>
              <w:rPr>
                <w:rFonts w:eastAsiaTheme="minorEastAsia"/>
                <w:szCs w:val="21"/>
              </w:rPr>
              <w:t>□</w:t>
            </w:r>
          </w:p>
        </w:tc>
      </w:tr>
      <w:tr w:rsidR="00B14D53" w14:paraId="55B7A25C" w14:textId="77777777">
        <w:trPr>
          <w:jc w:val="center"/>
        </w:trPr>
        <w:tc>
          <w:tcPr>
            <w:tcW w:w="2143" w:type="dxa"/>
            <w:gridSpan w:val="2"/>
            <w:vAlign w:val="center"/>
          </w:tcPr>
          <w:p w14:paraId="75663F93" w14:textId="77777777" w:rsidR="00B14D53" w:rsidRDefault="00000000">
            <w:pPr>
              <w:jc w:val="center"/>
              <w:rPr>
                <w:rFonts w:eastAsiaTheme="minorEastAsia"/>
                <w:szCs w:val="21"/>
              </w:rPr>
            </w:pPr>
            <w:r>
              <w:rPr>
                <w:rFonts w:eastAsiaTheme="minorEastAsia"/>
                <w:szCs w:val="21"/>
              </w:rPr>
              <w:t>评价范围</w:t>
            </w:r>
          </w:p>
        </w:tc>
        <w:tc>
          <w:tcPr>
            <w:tcW w:w="6385" w:type="dxa"/>
            <w:vAlign w:val="center"/>
          </w:tcPr>
          <w:p w14:paraId="6EA1F16C" w14:textId="77777777" w:rsidR="00B14D53" w:rsidRDefault="00000000">
            <w:pPr>
              <w:rPr>
                <w:rFonts w:eastAsiaTheme="minorEastAsia"/>
                <w:szCs w:val="21"/>
              </w:rPr>
            </w:pPr>
            <w:r>
              <w:rPr>
                <w:rFonts w:eastAsiaTheme="minorEastAsia"/>
                <w:szCs w:val="21"/>
              </w:rPr>
              <w:t>陆域面积：（</w:t>
            </w:r>
            <w:r>
              <w:rPr>
                <w:rFonts w:eastAsiaTheme="minorEastAsia"/>
                <w:szCs w:val="21"/>
              </w:rPr>
              <w:t>0.</w:t>
            </w:r>
            <w:r>
              <w:rPr>
                <w:rFonts w:eastAsiaTheme="minorEastAsia" w:hint="eastAsia"/>
                <w:szCs w:val="21"/>
              </w:rPr>
              <w:t>21</w:t>
            </w:r>
            <w:r>
              <w:rPr>
                <w:rFonts w:eastAsiaTheme="minorEastAsia"/>
                <w:szCs w:val="21"/>
              </w:rPr>
              <w:t>）</w:t>
            </w:r>
            <w:r>
              <w:rPr>
                <w:rFonts w:eastAsiaTheme="minorEastAsia"/>
                <w:szCs w:val="21"/>
              </w:rPr>
              <w:t>km</w:t>
            </w:r>
            <w:r>
              <w:rPr>
                <w:rFonts w:eastAsiaTheme="minorEastAsia"/>
                <w:szCs w:val="21"/>
                <w:vertAlign w:val="superscript"/>
              </w:rPr>
              <w:t>2</w:t>
            </w:r>
            <w:r>
              <w:rPr>
                <w:rFonts w:eastAsiaTheme="minorEastAsia"/>
                <w:szCs w:val="21"/>
              </w:rPr>
              <w:t>；水域面积：（</w:t>
            </w:r>
            <w:r>
              <w:rPr>
                <w:rFonts w:eastAsiaTheme="minorEastAsia"/>
                <w:szCs w:val="21"/>
              </w:rPr>
              <w:t>0</w:t>
            </w:r>
            <w:r>
              <w:rPr>
                <w:rFonts w:eastAsiaTheme="minorEastAsia"/>
                <w:szCs w:val="21"/>
              </w:rPr>
              <w:t>）</w:t>
            </w:r>
            <w:r>
              <w:rPr>
                <w:rFonts w:eastAsiaTheme="minorEastAsia"/>
                <w:szCs w:val="21"/>
              </w:rPr>
              <w:t>km</w:t>
            </w:r>
            <w:r>
              <w:rPr>
                <w:rFonts w:eastAsiaTheme="minorEastAsia"/>
                <w:szCs w:val="21"/>
                <w:vertAlign w:val="superscript"/>
              </w:rPr>
              <w:t>2</w:t>
            </w:r>
          </w:p>
        </w:tc>
      </w:tr>
      <w:tr w:rsidR="00B14D53" w14:paraId="4ECDCD6E" w14:textId="77777777">
        <w:trPr>
          <w:jc w:val="center"/>
        </w:trPr>
        <w:tc>
          <w:tcPr>
            <w:tcW w:w="839" w:type="dxa"/>
            <w:vMerge w:val="restart"/>
            <w:vAlign w:val="center"/>
          </w:tcPr>
          <w:p w14:paraId="00DC9372" w14:textId="77777777" w:rsidR="00B14D53" w:rsidRDefault="00000000">
            <w:pPr>
              <w:jc w:val="center"/>
              <w:rPr>
                <w:rFonts w:eastAsiaTheme="minorEastAsia"/>
                <w:szCs w:val="21"/>
              </w:rPr>
            </w:pPr>
            <w:r>
              <w:rPr>
                <w:rFonts w:eastAsiaTheme="minorEastAsia"/>
                <w:szCs w:val="21"/>
              </w:rPr>
              <w:t>生态现状调查与评价</w:t>
            </w:r>
          </w:p>
        </w:tc>
        <w:tc>
          <w:tcPr>
            <w:tcW w:w="1304" w:type="dxa"/>
            <w:vAlign w:val="center"/>
          </w:tcPr>
          <w:p w14:paraId="29111EBC" w14:textId="77777777" w:rsidR="00B14D53" w:rsidRDefault="00000000">
            <w:pPr>
              <w:jc w:val="center"/>
              <w:rPr>
                <w:rFonts w:eastAsiaTheme="minorEastAsia"/>
                <w:szCs w:val="21"/>
              </w:rPr>
            </w:pPr>
            <w:r>
              <w:rPr>
                <w:rFonts w:eastAsiaTheme="minorEastAsia"/>
                <w:szCs w:val="21"/>
              </w:rPr>
              <w:t>调查方法</w:t>
            </w:r>
          </w:p>
        </w:tc>
        <w:tc>
          <w:tcPr>
            <w:tcW w:w="6385" w:type="dxa"/>
            <w:vAlign w:val="center"/>
          </w:tcPr>
          <w:p w14:paraId="10D4CD1F" w14:textId="77777777" w:rsidR="00B14D53" w:rsidRDefault="00000000">
            <w:pPr>
              <w:rPr>
                <w:rFonts w:eastAsiaTheme="minorEastAsia"/>
                <w:szCs w:val="21"/>
              </w:rPr>
            </w:pPr>
            <w:r>
              <w:rPr>
                <w:rFonts w:eastAsiaTheme="minorEastAsia"/>
                <w:szCs w:val="21"/>
              </w:rPr>
              <w:t>资料收集</w:t>
            </w:r>
            <w:r>
              <w:rPr>
                <w:rFonts w:eastAsia="MS Mincho"/>
                <w:szCs w:val="21"/>
              </w:rPr>
              <w:t>☑</w:t>
            </w:r>
            <w:r>
              <w:rPr>
                <w:rFonts w:eastAsiaTheme="minorEastAsia"/>
                <w:szCs w:val="21"/>
              </w:rPr>
              <w:t>；遥感调查</w:t>
            </w:r>
            <w:r>
              <w:rPr>
                <w:rFonts w:eastAsiaTheme="minorEastAsia"/>
                <w:szCs w:val="21"/>
              </w:rPr>
              <w:t>□</w:t>
            </w:r>
            <w:r>
              <w:rPr>
                <w:rFonts w:eastAsiaTheme="minorEastAsia"/>
                <w:szCs w:val="21"/>
              </w:rPr>
              <w:t>；调查样方、样线</w:t>
            </w:r>
            <w:r>
              <w:rPr>
                <w:rFonts w:eastAsiaTheme="minorEastAsia"/>
                <w:szCs w:val="21"/>
              </w:rPr>
              <w:t>□</w:t>
            </w:r>
            <w:r>
              <w:rPr>
                <w:rFonts w:eastAsiaTheme="minorEastAsia"/>
                <w:szCs w:val="21"/>
              </w:rPr>
              <w:t>；调查点位、断面</w:t>
            </w:r>
            <w:r>
              <w:rPr>
                <w:rFonts w:eastAsiaTheme="minorEastAsia"/>
                <w:szCs w:val="21"/>
              </w:rPr>
              <w:t>□</w:t>
            </w:r>
            <w:r>
              <w:rPr>
                <w:rFonts w:eastAsiaTheme="minorEastAsia"/>
                <w:szCs w:val="21"/>
              </w:rPr>
              <w:t>；专家和公众咨询法</w:t>
            </w:r>
            <w:r>
              <w:rPr>
                <w:rFonts w:eastAsiaTheme="minorEastAsia"/>
                <w:szCs w:val="21"/>
              </w:rPr>
              <w:t>□</w:t>
            </w:r>
            <w:r>
              <w:rPr>
                <w:rFonts w:eastAsiaTheme="minorEastAsia"/>
                <w:szCs w:val="21"/>
              </w:rPr>
              <w:t>；其他</w:t>
            </w:r>
            <w:r>
              <w:rPr>
                <w:rFonts w:eastAsiaTheme="minorEastAsia"/>
                <w:szCs w:val="21"/>
              </w:rPr>
              <w:t>□</w:t>
            </w:r>
          </w:p>
        </w:tc>
      </w:tr>
      <w:tr w:rsidR="00B14D53" w14:paraId="02120DF6" w14:textId="77777777">
        <w:trPr>
          <w:jc w:val="center"/>
        </w:trPr>
        <w:tc>
          <w:tcPr>
            <w:tcW w:w="839" w:type="dxa"/>
            <w:vMerge/>
            <w:vAlign w:val="center"/>
          </w:tcPr>
          <w:p w14:paraId="484EC8C5" w14:textId="77777777" w:rsidR="00B14D53" w:rsidRDefault="00B14D53">
            <w:pPr>
              <w:jc w:val="center"/>
              <w:rPr>
                <w:rFonts w:eastAsiaTheme="minorEastAsia"/>
                <w:szCs w:val="21"/>
              </w:rPr>
            </w:pPr>
          </w:p>
        </w:tc>
        <w:tc>
          <w:tcPr>
            <w:tcW w:w="1304" w:type="dxa"/>
            <w:vAlign w:val="center"/>
          </w:tcPr>
          <w:p w14:paraId="1178FA99" w14:textId="77777777" w:rsidR="00B14D53" w:rsidRDefault="00000000">
            <w:pPr>
              <w:jc w:val="center"/>
              <w:rPr>
                <w:rFonts w:eastAsiaTheme="minorEastAsia"/>
                <w:szCs w:val="21"/>
              </w:rPr>
            </w:pPr>
            <w:r>
              <w:rPr>
                <w:rFonts w:eastAsiaTheme="minorEastAsia"/>
                <w:szCs w:val="21"/>
              </w:rPr>
              <w:t>调查时间</w:t>
            </w:r>
          </w:p>
        </w:tc>
        <w:tc>
          <w:tcPr>
            <w:tcW w:w="6385" w:type="dxa"/>
            <w:vAlign w:val="center"/>
          </w:tcPr>
          <w:p w14:paraId="69326891" w14:textId="77777777" w:rsidR="00B14D53" w:rsidRDefault="00000000">
            <w:pPr>
              <w:rPr>
                <w:rFonts w:eastAsiaTheme="minorEastAsia"/>
                <w:szCs w:val="21"/>
              </w:rPr>
            </w:pPr>
            <w:r>
              <w:rPr>
                <w:rFonts w:eastAsiaTheme="minorEastAsia"/>
                <w:szCs w:val="21"/>
              </w:rPr>
              <w:t>春季</w:t>
            </w:r>
            <w:r>
              <w:rPr>
                <w:rFonts w:eastAsiaTheme="minorEastAsia"/>
                <w:szCs w:val="21"/>
              </w:rPr>
              <w:t>□</w:t>
            </w:r>
            <w:r>
              <w:rPr>
                <w:rFonts w:eastAsiaTheme="minorEastAsia"/>
                <w:szCs w:val="21"/>
              </w:rPr>
              <w:t>；夏季</w:t>
            </w:r>
            <w:r>
              <w:rPr>
                <w:rFonts w:eastAsia="MS Mincho"/>
                <w:szCs w:val="21"/>
              </w:rPr>
              <w:t>☑</w:t>
            </w:r>
            <w:r>
              <w:rPr>
                <w:rFonts w:eastAsiaTheme="minorEastAsia"/>
                <w:szCs w:val="21"/>
              </w:rPr>
              <w:t>；秋季</w:t>
            </w:r>
            <w:r>
              <w:rPr>
                <w:rFonts w:eastAsiaTheme="minorEastAsia"/>
                <w:szCs w:val="21"/>
              </w:rPr>
              <w:t>□</w:t>
            </w:r>
            <w:r>
              <w:rPr>
                <w:rFonts w:eastAsiaTheme="minorEastAsia"/>
                <w:szCs w:val="21"/>
              </w:rPr>
              <w:t>；冬季</w:t>
            </w:r>
            <w:r>
              <w:rPr>
                <w:rFonts w:eastAsiaTheme="minorEastAsia"/>
                <w:szCs w:val="21"/>
              </w:rPr>
              <w:t>□</w:t>
            </w:r>
          </w:p>
          <w:p w14:paraId="4DE26A3A" w14:textId="77777777" w:rsidR="00B14D53" w:rsidRDefault="00000000">
            <w:pPr>
              <w:rPr>
                <w:rFonts w:eastAsiaTheme="minorEastAsia"/>
                <w:szCs w:val="21"/>
              </w:rPr>
            </w:pPr>
            <w:r>
              <w:rPr>
                <w:rFonts w:eastAsiaTheme="minorEastAsia"/>
                <w:szCs w:val="21"/>
              </w:rPr>
              <w:t>丰水期</w:t>
            </w:r>
            <w:r>
              <w:rPr>
                <w:rFonts w:eastAsiaTheme="minorEastAsia"/>
                <w:szCs w:val="21"/>
              </w:rPr>
              <w:t>□</w:t>
            </w:r>
            <w:r>
              <w:rPr>
                <w:rFonts w:eastAsiaTheme="minorEastAsia"/>
                <w:szCs w:val="21"/>
              </w:rPr>
              <w:t>；枯水期</w:t>
            </w:r>
            <w:r>
              <w:rPr>
                <w:rFonts w:eastAsiaTheme="minorEastAsia"/>
                <w:szCs w:val="21"/>
              </w:rPr>
              <w:t>□</w:t>
            </w:r>
            <w:r>
              <w:rPr>
                <w:rFonts w:eastAsiaTheme="minorEastAsia"/>
                <w:szCs w:val="21"/>
              </w:rPr>
              <w:t>；平水期</w:t>
            </w:r>
            <w:r>
              <w:rPr>
                <w:rFonts w:eastAsiaTheme="minorEastAsia"/>
                <w:szCs w:val="21"/>
              </w:rPr>
              <w:t>□</w:t>
            </w:r>
          </w:p>
        </w:tc>
      </w:tr>
      <w:tr w:rsidR="00B14D53" w14:paraId="5E207B66" w14:textId="77777777">
        <w:trPr>
          <w:jc w:val="center"/>
        </w:trPr>
        <w:tc>
          <w:tcPr>
            <w:tcW w:w="839" w:type="dxa"/>
            <w:vMerge/>
            <w:vAlign w:val="center"/>
          </w:tcPr>
          <w:p w14:paraId="09AE5682" w14:textId="77777777" w:rsidR="00B14D53" w:rsidRDefault="00B14D53">
            <w:pPr>
              <w:jc w:val="center"/>
              <w:rPr>
                <w:rFonts w:eastAsiaTheme="minorEastAsia"/>
                <w:szCs w:val="21"/>
              </w:rPr>
            </w:pPr>
          </w:p>
        </w:tc>
        <w:tc>
          <w:tcPr>
            <w:tcW w:w="1304" w:type="dxa"/>
            <w:vAlign w:val="center"/>
          </w:tcPr>
          <w:p w14:paraId="00397F4B" w14:textId="77777777" w:rsidR="00B14D53" w:rsidRDefault="00000000">
            <w:pPr>
              <w:jc w:val="center"/>
              <w:rPr>
                <w:rFonts w:eastAsiaTheme="minorEastAsia"/>
                <w:szCs w:val="21"/>
              </w:rPr>
            </w:pPr>
            <w:r>
              <w:rPr>
                <w:rFonts w:eastAsiaTheme="minorEastAsia"/>
                <w:szCs w:val="21"/>
              </w:rPr>
              <w:t>所在区域的生态问题</w:t>
            </w:r>
          </w:p>
        </w:tc>
        <w:tc>
          <w:tcPr>
            <w:tcW w:w="6385" w:type="dxa"/>
            <w:vAlign w:val="center"/>
          </w:tcPr>
          <w:p w14:paraId="38D4FDFC" w14:textId="77777777" w:rsidR="00B14D53" w:rsidRDefault="00000000">
            <w:pPr>
              <w:rPr>
                <w:rFonts w:eastAsiaTheme="minorEastAsia"/>
                <w:szCs w:val="21"/>
              </w:rPr>
            </w:pPr>
            <w:r>
              <w:rPr>
                <w:rFonts w:eastAsiaTheme="minorEastAsia"/>
                <w:szCs w:val="21"/>
              </w:rPr>
              <w:t>水土流失</w:t>
            </w:r>
            <w:r>
              <w:rPr>
                <w:rFonts w:eastAsia="MS Mincho"/>
                <w:szCs w:val="21"/>
              </w:rPr>
              <w:t>☑</w:t>
            </w:r>
            <w:r>
              <w:rPr>
                <w:rFonts w:eastAsiaTheme="minorEastAsia"/>
                <w:szCs w:val="21"/>
              </w:rPr>
              <w:t>；沙漠化</w:t>
            </w:r>
            <w:r>
              <w:rPr>
                <w:rFonts w:eastAsiaTheme="minorEastAsia"/>
                <w:szCs w:val="21"/>
              </w:rPr>
              <w:t>□</w:t>
            </w:r>
            <w:r>
              <w:rPr>
                <w:rFonts w:eastAsiaTheme="minorEastAsia"/>
                <w:szCs w:val="21"/>
              </w:rPr>
              <w:t>；石漠化</w:t>
            </w:r>
            <w:r>
              <w:rPr>
                <w:rFonts w:eastAsiaTheme="minorEastAsia"/>
                <w:szCs w:val="21"/>
              </w:rPr>
              <w:t>□</w:t>
            </w:r>
            <w:r>
              <w:rPr>
                <w:rFonts w:eastAsiaTheme="minorEastAsia"/>
                <w:szCs w:val="21"/>
              </w:rPr>
              <w:t>；盐渍化</w:t>
            </w:r>
            <w:r>
              <w:rPr>
                <w:rFonts w:eastAsiaTheme="minorEastAsia"/>
                <w:szCs w:val="21"/>
              </w:rPr>
              <w:t>□</w:t>
            </w:r>
            <w:r>
              <w:rPr>
                <w:rFonts w:eastAsiaTheme="minorEastAsia"/>
                <w:szCs w:val="21"/>
              </w:rPr>
              <w:t>；生物入侵</w:t>
            </w:r>
            <w:r>
              <w:rPr>
                <w:rFonts w:eastAsiaTheme="minorEastAsia"/>
                <w:szCs w:val="21"/>
              </w:rPr>
              <w:t>□</w:t>
            </w:r>
            <w:r>
              <w:rPr>
                <w:rFonts w:eastAsiaTheme="minorEastAsia"/>
                <w:szCs w:val="21"/>
              </w:rPr>
              <w:t>；污染危害</w:t>
            </w:r>
            <w:r>
              <w:rPr>
                <w:rFonts w:eastAsiaTheme="minorEastAsia"/>
                <w:szCs w:val="21"/>
              </w:rPr>
              <w:t>□</w:t>
            </w:r>
            <w:r>
              <w:rPr>
                <w:rFonts w:eastAsiaTheme="minorEastAsia"/>
                <w:szCs w:val="21"/>
              </w:rPr>
              <w:t>；其他</w:t>
            </w:r>
            <w:r>
              <w:rPr>
                <w:rFonts w:eastAsiaTheme="minorEastAsia"/>
                <w:szCs w:val="21"/>
              </w:rPr>
              <w:t>□</w:t>
            </w:r>
          </w:p>
        </w:tc>
      </w:tr>
      <w:tr w:rsidR="00B14D53" w14:paraId="729A30FF" w14:textId="77777777">
        <w:trPr>
          <w:jc w:val="center"/>
        </w:trPr>
        <w:tc>
          <w:tcPr>
            <w:tcW w:w="839" w:type="dxa"/>
            <w:vMerge/>
            <w:vAlign w:val="center"/>
          </w:tcPr>
          <w:p w14:paraId="1F2AEAFF" w14:textId="77777777" w:rsidR="00B14D53" w:rsidRDefault="00B14D53">
            <w:pPr>
              <w:jc w:val="center"/>
              <w:rPr>
                <w:rFonts w:eastAsiaTheme="minorEastAsia"/>
                <w:szCs w:val="21"/>
              </w:rPr>
            </w:pPr>
          </w:p>
        </w:tc>
        <w:tc>
          <w:tcPr>
            <w:tcW w:w="1304" w:type="dxa"/>
            <w:vAlign w:val="center"/>
          </w:tcPr>
          <w:p w14:paraId="4C86048A" w14:textId="77777777" w:rsidR="00B14D53" w:rsidRDefault="00000000">
            <w:pPr>
              <w:jc w:val="center"/>
              <w:rPr>
                <w:rFonts w:eastAsiaTheme="minorEastAsia"/>
                <w:szCs w:val="21"/>
              </w:rPr>
            </w:pPr>
            <w:r>
              <w:rPr>
                <w:rFonts w:eastAsiaTheme="minorEastAsia"/>
                <w:szCs w:val="21"/>
              </w:rPr>
              <w:t>评价内容</w:t>
            </w:r>
          </w:p>
        </w:tc>
        <w:tc>
          <w:tcPr>
            <w:tcW w:w="6385" w:type="dxa"/>
            <w:vAlign w:val="center"/>
          </w:tcPr>
          <w:p w14:paraId="4C68FC0C" w14:textId="77777777" w:rsidR="00B14D53" w:rsidRDefault="00000000">
            <w:pPr>
              <w:rPr>
                <w:rFonts w:eastAsiaTheme="minorEastAsia"/>
                <w:szCs w:val="21"/>
              </w:rPr>
            </w:pPr>
            <w:r>
              <w:rPr>
                <w:rFonts w:eastAsiaTheme="minorEastAsia"/>
                <w:szCs w:val="21"/>
              </w:rPr>
              <w:t>植被</w:t>
            </w:r>
            <w:r>
              <w:rPr>
                <w:rFonts w:eastAsiaTheme="minorEastAsia"/>
                <w:szCs w:val="21"/>
              </w:rPr>
              <w:t>/</w:t>
            </w:r>
            <w:r>
              <w:rPr>
                <w:rFonts w:eastAsiaTheme="minorEastAsia"/>
                <w:szCs w:val="21"/>
              </w:rPr>
              <w:t>植物群落</w:t>
            </w:r>
            <w:r>
              <w:rPr>
                <w:rFonts w:eastAsia="MS Mincho"/>
                <w:szCs w:val="21"/>
              </w:rPr>
              <w:t>☑</w:t>
            </w:r>
            <w:r>
              <w:rPr>
                <w:rFonts w:eastAsiaTheme="minorEastAsia"/>
                <w:szCs w:val="21"/>
              </w:rPr>
              <w:t>；土地利用</w:t>
            </w:r>
            <w:r>
              <w:rPr>
                <w:rFonts w:hint="eastAsia"/>
                <w:szCs w:val="21"/>
              </w:rPr>
              <w:t>☑</w:t>
            </w:r>
            <w:r>
              <w:rPr>
                <w:rFonts w:eastAsiaTheme="minorEastAsia"/>
                <w:szCs w:val="21"/>
              </w:rPr>
              <w:t>；生态系统</w:t>
            </w:r>
            <w:r>
              <w:rPr>
                <w:rFonts w:eastAsiaTheme="minorEastAsia"/>
                <w:szCs w:val="21"/>
              </w:rPr>
              <w:t>□</w:t>
            </w:r>
            <w:r>
              <w:rPr>
                <w:rFonts w:eastAsiaTheme="minorEastAsia"/>
                <w:szCs w:val="21"/>
              </w:rPr>
              <w:t>；生物多样性</w:t>
            </w:r>
            <w:r>
              <w:rPr>
                <w:rFonts w:eastAsiaTheme="minorEastAsia"/>
                <w:szCs w:val="21"/>
              </w:rPr>
              <w:t>□</w:t>
            </w:r>
            <w:r>
              <w:rPr>
                <w:rFonts w:eastAsiaTheme="minorEastAsia"/>
                <w:szCs w:val="21"/>
              </w:rPr>
              <w:t>；重要物种</w:t>
            </w:r>
            <w:r>
              <w:rPr>
                <w:rFonts w:eastAsiaTheme="minorEastAsia"/>
                <w:szCs w:val="21"/>
              </w:rPr>
              <w:t>□</w:t>
            </w:r>
            <w:r>
              <w:rPr>
                <w:rFonts w:eastAsiaTheme="minorEastAsia"/>
                <w:szCs w:val="21"/>
              </w:rPr>
              <w:t>；生态敏感区</w:t>
            </w:r>
            <w:r>
              <w:rPr>
                <w:rFonts w:eastAsiaTheme="minorEastAsia"/>
                <w:szCs w:val="21"/>
              </w:rPr>
              <w:t>□</w:t>
            </w:r>
            <w:r>
              <w:rPr>
                <w:rFonts w:eastAsiaTheme="minorEastAsia"/>
                <w:szCs w:val="21"/>
              </w:rPr>
              <w:t>；其他</w:t>
            </w:r>
            <w:r>
              <w:rPr>
                <w:rFonts w:eastAsia="MS Mincho"/>
                <w:szCs w:val="21"/>
              </w:rPr>
              <w:t>☑</w:t>
            </w:r>
          </w:p>
        </w:tc>
      </w:tr>
      <w:tr w:rsidR="00B14D53" w14:paraId="54C92D36" w14:textId="77777777">
        <w:trPr>
          <w:jc w:val="center"/>
        </w:trPr>
        <w:tc>
          <w:tcPr>
            <w:tcW w:w="839" w:type="dxa"/>
            <w:vMerge w:val="restart"/>
            <w:vAlign w:val="center"/>
          </w:tcPr>
          <w:p w14:paraId="2056A245" w14:textId="77777777" w:rsidR="00B14D53" w:rsidRDefault="00000000">
            <w:pPr>
              <w:jc w:val="center"/>
              <w:rPr>
                <w:rFonts w:eastAsiaTheme="minorEastAsia"/>
                <w:szCs w:val="21"/>
              </w:rPr>
            </w:pPr>
            <w:r>
              <w:rPr>
                <w:rFonts w:eastAsiaTheme="minorEastAsia"/>
                <w:szCs w:val="21"/>
              </w:rPr>
              <w:t>生态影响预测与评价</w:t>
            </w:r>
          </w:p>
        </w:tc>
        <w:tc>
          <w:tcPr>
            <w:tcW w:w="1304" w:type="dxa"/>
            <w:vAlign w:val="center"/>
          </w:tcPr>
          <w:p w14:paraId="369BFFD1" w14:textId="77777777" w:rsidR="00B14D53" w:rsidRDefault="00000000">
            <w:pPr>
              <w:jc w:val="center"/>
              <w:rPr>
                <w:rFonts w:eastAsiaTheme="minorEastAsia"/>
                <w:szCs w:val="21"/>
              </w:rPr>
            </w:pPr>
            <w:r>
              <w:rPr>
                <w:rFonts w:eastAsiaTheme="minorEastAsia"/>
                <w:szCs w:val="21"/>
              </w:rPr>
              <w:t>评价方法</w:t>
            </w:r>
          </w:p>
        </w:tc>
        <w:tc>
          <w:tcPr>
            <w:tcW w:w="6385" w:type="dxa"/>
            <w:vAlign w:val="center"/>
          </w:tcPr>
          <w:p w14:paraId="19B1CB19" w14:textId="77777777" w:rsidR="00B14D53" w:rsidRDefault="00000000">
            <w:pPr>
              <w:rPr>
                <w:rFonts w:eastAsiaTheme="minorEastAsia"/>
                <w:szCs w:val="21"/>
              </w:rPr>
            </w:pPr>
            <w:r>
              <w:rPr>
                <w:rFonts w:eastAsiaTheme="minorEastAsia"/>
                <w:szCs w:val="21"/>
              </w:rPr>
              <w:t>定性</w:t>
            </w:r>
            <w:r>
              <w:rPr>
                <w:rFonts w:eastAsia="MS Mincho"/>
                <w:szCs w:val="21"/>
              </w:rPr>
              <w:t>☑</w:t>
            </w:r>
            <w:r>
              <w:rPr>
                <w:rFonts w:eastAsiaTheme="minorEastAsia"/>
                <w:szCs w:val="21"/>
              </w:rPr>
              <w:t>；定性和定量</w:t>
            </w:r>
            <w:r>
              <w:rPr>
                <w:rFonts w:eastAsiaTheme="minorEastAsia"/>
                <w:szCs w:val="21"/>
              </w:rPr>
              <w:t>□</w:t>
            </w:r>
          </w:p>
        </w:tc>
      </w:tr>
      <w:tr w:rsidR="00B14D53" w14:paraId="2C75820B" w14:textId="77777777">
        <w:trPr>
          <w:jc w:val="center"/>
        </w:trPr>
        <w:tc>
          <w:tcPr>
            <w:tcW w:w="839" w:type="dxa"/>
            <w:vMerge/>
            <w:vAlign w:val="center"/>
          </w:tcPr>
          <w:p w14:paraId="44D8541F" w14:textId="77777777" w:rsidR="00B14D53" w:rsidRDefault="00B14D53">
            <w:pPr>
              <w:jc w:val="center"/>
              <w:rPr>
                <w:rFonts w:eastAsiaTheme="minorEastAsia"/>
                <w:szCs w:val="21"/>
              </w:rPr>
            </w:pPr>
          </w:p>
        </w:tc>
        <w:tc>
          <w:tcPr>
            <w:tcW w:w="1304" w:type="dxa"/>
            <w:vAlign w:val="center"/>
          </w:tcPr>
          <w:p w14:paraId="3A200B7E" w14:textId="77777777" w:rsidR="00B14D53" w:rsidRDefault="00000000">
            <w:pPr>
              <w:jc w:val="center"/>
              <w:rPr>
                <w:rFonts w:eastAsiaTheme="minorEastAsia"/>
                <w:szCs w:val="21"/>
              </w:rPr>
            </w:pPr>
            <w:r>
              <w:rPr>
                <w:rFonts w:eastAsiaTheme="minorEastAsia"/>
                <w:szCs w:val="21"/>
              </w:rPr>
              <w:t>评价内容</w:t>
            </w:r>
          </w:p>
        </w:tc>
        <w:tc>
          <w:tcPr>
            <w:tcW w:w="6385" w:type="dxa"/>
            <w:vAlign w:val="center"/>
          </w:tcPr>
          <w:p w14:paraId="7A65BFA1" w14:textId="77777777" w:rsidR="00B14D53" w:rsidRDefault="00000000">
            <w:pPr>
              <w:rPr>
                <w:rFonts w:eastAsiaTheme="minorEastAsia"/>
                <w:szCs w:val="21"/>
              </w:rPr>
            </w:pPr>
            <w:r>
              <w:rPr>
                <w:rFonts w:eastAsiaTheme="minorEastAsia"/>
                <w:szCs w:val="21"/>
              </w:rPr>
              <w:t>植被</w:t>
            </w:r>
            <w:r>
              <w:rPr>
                <w:rFonts w:eastAsiaTheme="minorEastAsia"/>
                <w:szCs w:val="21"/>
              </w:rPr>
              <w:t>/</w:t>
            </w:r>
            <w:r>
              <w:rPr>
                <w:rFonts w:eastAsiaTheme="minorEastAsia"/>
                <w:szCs w:val="21"/>
              </w:rPr>
              <w:t>植物群落</w:t>
            </w:r>
            <w:r>
              <w:rPr>
                <w:rFonts w:eastAsia="MS Mincho"/>
                <w:szCs w:val="21"/>
              </w:rPr>
              <w:t>☑</w:t>
            </w:r>
            <w:r>
              <w:rPr>
                <w:rFonts w:eastAsiaTheme="minorEastAsia"/>
                <w:szCs w:val="21"/>
              </w:rPr>
              <w:t>；土地利用</w:t>
            </w:r>
            <w:r>
              <w:rPr>
                <w:rFonts w:eastAsia="MS Mincho"/>
                <w:szCs w:val="21"/>
              </w:rPr>
              <w:t>☑</w:t>
            </w:r>
            <w:r>
              <w:rPr>
                <w:rFonts w:eastAsiaTheme="minorEastAsia"/>
                <w:szCs w:val="21"/>
              </w:rPr>
              <w:t>；生态系统</w:t>
            </w:r>
            <w:r>
              <w:rPr>
                <w:rFonts w:eastAsia="MS Mincho"/>
                <w:szCs w:val="21"/>
              </w:rPr>
              <w:t>☑</w:t>
            </w:r>
            <w:r>
              <w:rPr>
                <w:rFonts w:eastAsiaTheme="minorEastAsia"/>
                <w:szCs w:val="21"/>
              </w:rPr>
              <w:t>；生物多样性</w:t>
            </w:r>
            <w:r>
              <w:rPr>
                <w:rFonts w:eastAsiaTheme="minorEastAsia"/>
                <w:szCs w:val="21"/>
              </w:rPr>
              <w:t>□</w:t>
            </w:r>
            <w:r>
              <w:rPr>
                <w:rFonts w:eastAsiaTheme="minorEastAsia"/>
                <w:szCs w:val="21"/>
              </w:rPr>
              <w:t>；重要物种</w:t>
            </w:r>
            <w:r>
              <w:rPr>
                <w:rFonts w:eastAsiaTheme="minorEastAsia"/>
                <w:szCs w:val="21"/>
              </w:rPr>
              <w:t>□</w:t>
            </w:r>
            <w:r>
              <w:rPr>
                <w:rFonts w:eastAsiaTheme="minorEastAsia"/>
                <w:szCs w:val="21"/>
              </w:rPr>
              <w:t>；生态敏感区</w:t>
            </w:r>
            <w:r>
              <w:rPr>
                <w:rFonts w:eastAsiaTheme="minorEastAsia"/>
                <w:szCs w:val="21"/>
              </w:rPr>
              <w:t>□</w:t>
            </w:r>
            <w:r>
              <w:rPr>
                <w:rFonts w:eastAsiaTheme="minorEastAsia"/>
                <w:szCs w:val="21"/>
              </w:rPr>
              <w:t>；生物入侵风险</w:t>
            </w:r>
            <w:r>
              <w:rPr>
                <w:rFonts w:eastAsiaTheme="minorEastAsia"/>
                <w:szCs w:val="21"/>
              </w:rPr>
              <w:t>□</w:t>
            </w:r>
            <w:r>
              <w:rPr>
                <w:rFonts w:eastAsiaTheme="minorEastAsia"/>
                <w:szCs w:val="21"/>
              </w:rPr>
              <w:t>；其他</w:t>
            </w:r>
            <w:r>
              <w:rPr>
                <w:rFonts w:eastAsia="MS Mincho"/>
                <w:szCs w:val="21"/>
              </w:rPr>
              <w:t>☑</w:t>
            </w:r>
          </w:p>
        </w:tc>
      </w:tr>
      <w:tr w:rsidR="00B14D53" w14:paraId="0C5AD74A" w14:textId="77777777">
        <w:trPr>
          <w:jc w:val="center"/>
        </w:trPr>
        <w:tc>
          <w:tcPr>
            <w:tcW w:w="839" w:type="dxa"/>
            <w:vMerge w:val="restart"/>
            <w:vAlign w:val="center"/>
          </w:tcPr>
          <w:p w14:paraId="330AB1E5" w14:textId="77777777" w:rsidR="00B14D53" w:rsidRDefault="00000000">
            <w:pPr>
              <w:jc w:val="center"/>
              <w:rPr>
                <w:rFonts w:eastAsiaTheme="minorEastAsia"/>
                <w:szCs w:val="21"/>
              </w:rPr>
            </w:pPr>
            <w:r>
              <w:rPr>
                <w:rFonts w:eastAsiaTheme="minorEastAsia"/>
                <w:szCs w:val="21"/>
              </w:rPr>
              <w:t>生态保护对策措施</w:t>
            </w:r>
          </w:p>
        </w:tc>
        <w:tc>
          <w:tcPr>
            <w:tcW w:w="1304" w:type="dxa"/>
            <w:vAlign w:val="center"/>
          </w:tcPr>
          <w:p w14:paraId="3C576620" w14:textId="77777777" w:rsidR="00B14D53" w:rsidRDefault="00000000">
            <w:pPr>
              <w:jc w:val="center"/>
              <w:rPr>
                <w:rFonts w:eastAsiaTheme="minorEastAsia"/>
                <w:szCs w:val="21"/>
              </w:rPr>
            </w:pPr>
            <w:r>
              <w:rPr>
                <w:rFonts w:eastAsiaTheme="minorEastAsia"/>
                <w:szCs w:val="21"/>
              </w:rPr>
              <w:t>对策措施</w:t>
            </w:r>
          </w:p>
        </w:tc>
        <w:tc>
          <w:tcPr>
            <w:tcW w:w="6385" w:type="dxa"/>
            <w:vAlign w:val="center"/>
          </w:tcPr>
          <w:p w14:paraId="7FF59B7C" w14:textId="77777777" w:rsidR="00B14D53" w:rsidRDefault="00000000">
            <w:pPr>
              <w:rPr>
                <w:rFonts w:eastAsiaTheme="minorEastAsia"/>
                <w:szCs w:val="21"/>
              </w:rPr>
            </w:pPr>
            <w:r>
              <w:rPr>
                <w:rFonts w:eastAsiaTheme="minorEastAsia"/>
                <w:szCs w:val="21"/>
              </w:rPr>
              <w:t>避让</w:t>
            </w:r>
            <w:r>
              <w:rPr>
                <w:rFonts w:eastAsiaTheme="minorEastAsia"/>
                <w:szCs w:val="21"/>
              </w:rPr>
              <w:t>□</w:t>
            </w:r>
            <w:r>
              <w:rPr>
                <w:rFonts w:eastAsiaTheme="minorEastAsia"/>
                <w:szCs w:val="21"/>
              </w:rPr>
              <w:t>；减缓</w:t>
            </w:r>
            <w:r>
              <w:rPr>
                <w:rFonts w:eastAsiaTheme="minorEastAsia"/>
                <w:szCs w:val="21"/>
              </w:rPr>
              <w:t>□</w:t>
            </w:r>
            <w:r>
              <w:rPr>
                <w:rFonts w:eastAsiaTheme="minorEastAsia"/>
                <w:szCs w:val="21"/>
              </w:rPr>
              <w:t>；生态修复</w:t>
            </w:r>
            <w:r>
              <w:rPr>
                <w:rFonts w:eastAsiaTheme="minorEastAsia"/>
                <w:szCs w:val="21"/>
              </w:rPr>
              <w:t>□</w:t>
            </w:r>
            <w:r>
              <w:rPr>
                <w:rFonts w:eastAsiaTheme="minorEastAsia"/>
                <w:szCs w:val="21"/>
              </w:rPr>
              <w:t>；生态补偿</w:t>
            </w:r>
            <w:r>
              <w:rPr>
                <w:rFonts w:eastAsiaTheme="minorEastAsia"/>
                <w:szCs w:val="21"/>
              </w:rPr>
              <w:t>□</w:t>
            </w:r>
            <w:r>
              <w:rPr>
                <w:rFonts w:eastAsiaTheme="minorEastAsia"/>
                <w:szCs w:val="21"/>
              </w:rPr>
              <w:t>；科研</w:t>
            </w:r>
            <w:r>
              <w:rPr>
                <w:rFonts w:eastAsiaTheme="minorEastAsia"/>
                <w:szCs w:val="21"/>
              </w:rPr>
              <w:t>□</w:t>
            </w:r>
            <w:r>
              <w:rPr>
                <w:rFonts w:eastAsiaTheme="minorEastAsia"/>
                <w:szCs w:val="21"/>
              </w:rPr>
              <w:t>；其他</w:t>
            </w:r>
            <w:r>
              <w:rPr>
                <w:rFonts w:ascii="MS Mincho" w:eastAsia="MS Mincho" w:hAnsi="MS Mincho" w:cs="MS Mincho" w:hint="eastAsia"/>
                <w:szCs w:val="21"/>
              </w:rPr>
              <w:t>☑</w:t>
            </w:r>
          </w:p>
        </w:tc>
      </w:tr>
      <w:tr w:rsidR="00B14D53" w14:paraId="10C6BC2E" w14:textId="77777777">
        <w:trPr>
          <w:jc w:val="center"/>
        </w:trPr>
        <w:tc>
          <w:tcPr>
            <w:tcW w:w="839" w:type="dxa"/>
            <w:vMerge/>
            <w:vAlign w:val="center"/>
          </w:tcPr>
          <w:p w14:paraId="1401F373" w14:textId="77777777" w:rsidR="00B14D53" w:rsidRDefault="00B14D53">
            <w:pPr>
              <w:jc w:val="center"/>
              <w:rPr>
                <w:rFonts w:eastAsiaTheme="minorEastAsia"/>
                <w:szCs w:val="21"/>
              </w:rPr>
            </w:pPr>
          </w:p>
        </w:tc>
        <w:tc>
          <w:tcPr>
            <w:tcW w:w="1304" w:type="dxa"/>
            <w:vAlign w:val="center"/>
          </w:tcPr>
          <w:p w14:paraId="29E533C8" w14:textId="77777777" w:rsidR="00B14D53" w:rsidRDefault="00000000">
            <w:pPr>
              <w:jc w:val="center"/>
              <w:rPr>
                <w:rFonts w:eastAsiaTheme="minorEastAsia"/>
                <w:szCs w:val="21"/>
              </w:rPr>
            </w:pPr>
            <w:r>
              <w:rPr>
                <w:rFonts w:eastAsiaTheme="minorEastAsia"/>
                <w:szCs w:val="21"/>
              </w:rPr>
              <w:t>生态监测</w:t>
            </w:r>
          </w:p>
          <w:p w14:paraId="5900518D" w14:textId="77777777" w:rsidR="00B14D53" w:rsidRDefault="00000000">
            <w:pPr>
              <w:jc w:val="center"/>
              <w:rPr>
                <w:rFonts w:eastAsiaTheme="minorEastAsia"/>
                <w:szCs w:val="21"/>
              </w:rPr>
            </w:pPr>
            <w:r>
              <w:rPr>
                <w:rFonts w:eastAsiaTheme="minorEastAsia"/>
                <w:szCs w:val="21"/>
              </w:rPr>
              <w:t>计划</w:t>
            </w:r>
          </w:p>
        </w:tc>
        <w:tc>
          <w:tcPr>
            <w:tcW w:w="6385" w:type="dxa"/>
            <w:vAlign w:val="center"/>
          </w:tcPr>
          <w:p w14:paraId="7C457C84" w14:textId="77777777" w:rsidR="00B14D53" w:rsidRDefault="00000000">
            <w:pPr>
              <w:rPr>
                <w:rFonts w:eastAsiaTheme="minorEastAsia"/>
                <w:szCs w:val="21"/>
              </w:rPr>
            </w:pPr>
            <w:r>
              <w:rPr>
                <w:rFonts w:eastAsiaTheme="minorEastAsia"/>
                <w:szCs w:val="21"/>
              </w:rPr>
              <w:t>全生命周期</w:t>
            </w:r>
            <w:r>
              <w:rPr>
                <w:rFonts w:eastAsiaTheme="minorEastAsia"/>
                <w:szCs w:val="21"/>
              </w:rPr>
              <w:t>□</w:t>
            </w:r>
            <w:r>
              <w:rPr>
                <w:rFonts w:eastAsiaTheme="minorEastAsia"/>
                <w:szCs w:val="21"/>
              </w:rPr>
              <w:t>；长期跟踪</w:t>
            </w:r>
            <w:r>
              <w:rPr>
                <w:rFonts w:eastAsiaTheme="minorEastAsia"/>
                <w:szCs w:val="21"/>
              </w:rPr>
              <w:t>□</w:t>
            </w:r>
            <w:r>
              <w:rPr>
                <w:rFonts w:eastAsiaTheme="minorEastAsia"/>
                <w:szCs w:val="21"/>
              </w:rPr>
              <w:t>；常规</w:t>
            </w:r>
            <w:r>
              <w:rPr>
                <w:rFonts w:eastAsiaTheme="minorEastAsia"/>
                <w:szCs w:val="21"/>
              </w:rPr>
              <w:t>□</w:t>
            </w:r>
            <w:r>
              <w:rPr>
                <w:rFonts w:eastAsiaTheme="minorEastAsia"/>
                <w:szCs w:val="21"/>
              </w:rPr>
              <w:t>；无</w:t>
            </w:r>
            <w:r>
              <w:rPr>
                <w:rFonts w:eastAsia="MS Mincho"/>
                <w:szCs w:val="21"/>
              </w:rPr>
              <w:t>☑</w:t>
            </w:r>
          </w:p>
        </w:tc>
      </w:tr>
      <w:tr w:rsidR="00B14D53" w14:paraId="6542B57A" w14:textId="77777777">
        <w:trPr>
          <w:jc w:val="center"/>
        </w:trPr>
        <w:tc>
          <w:tcPr>
            <w:tcW w:w="839" w:type="dxa"/>
            <w:vMerge/>
            <w:vAlign w:val="center"/>
          </w:tcPr>
          <w:p w14:paraId="332DFDAA" w14:textId="77777777" w:rsidR="00B14D53" w:rsidRDefault="00B14D53">
            <w:pPr>
              <w:jc w:val="center"/>
              <w:rPr>
                <w:rFonts w:eastAsiaTheme="minorEastAsia"/>
                <w:szCs w:val="21"/>
              </w:rPr>
            </w:pPr>
          </w:p>
        </w:tc>
        <w:tc>
          <w:tcPr>
            <w:tcW w:w="1304" w:type="dxa"/>
            <w:vAlign w:val="center"/>
          </w:tcPr>
          <w:p w14:paraId="06692B24" w14:textId="77777777" w:rsidR="00B14D53" w:rsidRDefault="00000000">
            <w:pPr>
              <w:jc w:val="center"/>
              <w:rPr>
                <w:rFonts w:eastAsiaTheme="minorEastAsia"/>
                <w:szCs w:val="21"/>
              </w:rPr>
            </w:pPr>
            <w:r>
              <w:rPr>
                <w:rFonts w:eastAsiaTheme="minorEastAsia"/>
                <w:szCs w:val="21"/>
              </w:rPr>
              <w:t>环境管理</w:t>
            </w:r>
          </w:p>
        </w:tc>
        <w:tc>
          <w:tcPr>
            <w:tcW w:w="6385" w:type="dxa"/>
            <w:vAlign w:val="center"/>
          </w:tcPr>
          <w:p w14:paraId="0BA8C964" w14:textId="77777777" w:rsidR="00B14D53" w:rsidRDefault="00000000">
            <w:pPr>
              <w:rPr>
                <w:rFonts w:eastAsiaTheme="minorEastAsia"/>
                <w:szCs w:val="21"/>
              </w:rPr>
            </w:pPr>
            <w:r>
              <w:rPr>
                <w:rFonts w:eastAsiaTheme="minorEastAsia"/>
                <w:szCs w:val="21"/>
              </w:rPr>
              <w:t>环境监理</w:t>
            </w:r>
            <w:r>
              <w:rPr>
                <w:rFonts w:eastAsiaTheme="minorEastAsia"/>
                <w:szCs w:val="21"/>
              </w:rPr>
              <w:t>□</w:t>
            </w:r>
            <w:r>
              <w:rPr>
                <w:rFonts w:eastAsiaTheme="minorEastAsia"/>
                <w:szCs w:val="21"/>
              </w:rPr>
              <w:t>；环境影响后评价</w:t>
            </w:r>
            <w:r>
              <w:rPr>
                <w:rFonts w:eastAsiaTheme="minorEastAsia"/>
                <w:szCs w:val="21"/>
              </w:rPr>
              <w:t>□</w:t>
            </w:r>
            <w:r>
              <w:rPr>
                <w:rFonts w:eastAsiaTheme="minorEastAsia"/>
                <w:szCs w:val="21"/>
              </w:rPr>
              <w:t>；其他</w:t>
            </w:r>
            <w:r>
              <w:rPr>
                <w:rFonts w:eastAsiaTheme="minorEastAsia"/>
                <w:szCs w:val="21"/>
              </w:rPr>
              <w:t>□</w:t>
            </w:r>
          </w:p>
        </w:tc>
      </w:tr>
      <w:tr w:rsidR="00B14D53" w14:paraId="5680F9DF" w14:textId="77777777">
        <w:trPr>
          <w:jc w:val="center"/>
        </w:trPr>
        <w:tc>
          <w:tcPr>
            <w:tcW w:w="839" w:type="dxa"/>
            <w:vAlign w:val="center"/>
          </w:tcPr>
          <w:p w14:paraId="4B38F358" w14:textId="77777777" w:rsidR="00B14D53" w:rsidRDefault="00000000">
            <w:pPr>
              <w:jc w:val="center"/>
              <w:rPr>
                <w:rFonts w:eastAsiaTheme="minorEastAsia"/>
                <w:szCs w:val="21"/>
              </w:rPr>
            </w:pPr>
            <w:r>
              <w:rPr>
                <w:rFonts w:eastAsiaTheme="minorEastAsia"/>
                <w:szCs w:val="21"/>
              </w:rPr>
              <w:t>评价</w:t>
            </w:r>
          </w:p>
          <w:p w14:paraId="62DC51A1" w14:textId="77777777" w:rsidR="00B14D53" w:rsidRDefault="00000000">
            <w:pPr>
              <w:jc w:val="center"/>
              <w:rPr>
                <w:rFonts w:eastAsiaTheme="minorEastAsia"/>
                <w:szCs w:val="21"/>
              </w:rPr>
            </w:pPr>
            <w:r>
              <w:rPr>
                <w:rFonts w:eastAsiaTheme="minorEastAsia"/>
                <w:szCs w:val="21"/>
              </w:rPr>
              <w:t>结论</w:t>
            </w:r>
          </w:p>
        </w:tc>
        <w:tc>
          <w:tcPr>
            <w:tcW w:w="1304" w:type="dxa"/>
            <w:vAlign w:val="center"/>
          </w:tcPr>
          <w:p w14:paraId="39348573" w14:textId="77777777" w:rsidR="00B14D53" w:rsidRDefault="00000000">
            <w:pPr>
              <w:jc w:val="center"/>
              <w:rPr>
                <w:rFonts w:eastAsiaTheme="minorEastAsia"/>
                <w:szCs w:val="21"/>
              </w:rPr>
            </w:pPr>
            <w:r>
              <w:rPr>
                <w:rFonts w:eastAsiaTheme="minorEastAsia"/>
                <w:szCs w:val="21"/>
              </w:rPr>
              <w:t>生态影响</w:t>
            </w:r>
          </w:p>
        </w:tc>
        <w:tc>
          <w:tcPr>
            <w:tcW w:w="6385" w:type="dxa"/>
            <w:vAlign w:val="center"/>
          </w:tcPr>
          <w:p w14:paraId="2EF05F33" w14:textId="77777777" w:rsidR="00B14D53" w:rsidRDefault="00000000">
            <w:pPr>
              <w:rPr>
                <w:rFonts w:eastAsiaTheme="minorEastAsia"/>
                <w:szCs w:val="21"/>
              </w:rPr>
            </w:pPr>
            <w:r>
              <w:rPr>
                <w:rFonts w:eastAsiaTheme="minorEastAsia"/>
                <w:szCs w:val="21"/>
              </w:rPr>
              <w:t>可行</w:t>
            </w:r>
            <w:r>
              <w:rPr>
                <w:rFonts w:eastAsia="MS Mincho"/>
                <w:szCs w:val="21"/>
              </w:rPr>
              <w:t>☑</w:t>
            </w:r>
            <w:r>
              <w:rPr>
                <w:rFonts w:eastAsiaTheme="minorEastAsia"/>
                <w:szCs w:val="21"/>
              </w:rPr>
              <w:t>；不可行</w:t>
            </w:r>
            <w:r>
              <w:rPr>
                <w:rFonts w:eastAsiaTheme="minorEastAsia"/>
                <w:szCs w:val="21"/>
              </w:rPr>
              <w:t>□</w:t>
            </w:r>
          </w:p>
        </w:tc>
      </w:tr>
      <w:tr w:rsidR="00B14D53" w14:paraId="46C1A89D" w14:textId="77777777">
        <w:trPr>
          <w:jc w:val="center"/>
        </w:trPr>
        <w:tc>
          <w:tcPr>
            <w:tcW w:w="8528" w:type="dxa"/>
            <w:gridSpan w:val="3"/>
            <w:vAlign w:val="center"/>
          </w:tcPr>
          <w:p w14:paraId="2CFED1C1" w14:textId="77777777" w:rsidR="00B14D53" w:rsidRDefault="00000000">
            <w:pPr>
              <w:rPr>
                <w:rFonts w:eastAsiaTheme="minorEastAsia"/>
                <w:szCs w:val="21"/>
              </w:rPr>
            </w:pPr>
            <w:r>
              <w:rPr>
                <w:rFonts w:eastAsiaTheme="minorEastAsia"/>
                <w:szCs w:val="21"/>
              </w:rPr>
              <w:t>注：</w:t>
            </w:r>
            <w:r>
              <w:rPr>
                <w:rFonts w:eastAsiaTheme="minorEastAsia"/>
                <w:szCs w:val="21"/>
              </w:rPr>
              <w:t>“□”</w:t>
            </w:r>
            <w:r>
              <w:rPr>
                <w:rFonts w:eastAsiaTheme="minorEastAsia"/>
                <w:szCs w:val="21"/>
              </w:rPr>
              <w:t>为勾选项，可</w:t>
            </w:r>
            <w:r>
              <w:rPr>
                <w:rFonts w:eastAsiaTheme="minorEastAsia"/>
                <w:szCs w:val="21"/>
              </w:rPr>
              <w:t>√</w:t>
            </w:r>
            <w:r>
              <w:rPr>
                <w:rFonts w:eastAsiaTheme="minorEastAsia"/>
                <w:szCs w:val="21"/>
              </w:rPr>
              <w:t>；</w:t>
            </w:r>
            <w:r>
              <w:rPr>
                <w:rFonts w:eastAsiaTheme="minorEastAsia"/>
                <w:szCs w:val="21"/>
              </w:rPr>
              <w:t>“</w:t>
            </w:r>
            <w:r>
              <w:rPr>
                <w:rFonts w:eastAsiaTheme="minorEastAsia"/>
                <w:szCs w:val="21"/>
              </w:rPr>
              <w:t>（</w:t>
            </w:r>
            <w:r>
              <w:rPr>
                <w:rFonts w:eastAsiaTheme="minorEastAsia"/>
                <w:szCs w:val="21"/>
              </w:rPr>
              <w:t xml:space="preserve">  </w:t>
            </w:r>
            <w:r>
              <w:rPr>
                <w:rFonts w:eastAsiaTheme="minorEastAsia"/>
                <w:szCs w:val="21"/>
              </w:rPr>
              <w:t>）</w:t>
            </w:r>
            <w:r>
              <w:rPr>
                <w:rFonts w:eastAsiaTheme="minorEastAsia"/>
                <w:szCs w:val="21"/>
              </w:rPr>
              <w:t>”</w:t>
            </w:r>
            <w:r>
              <w:rPr>
                <w:rFonts w:eastAsiaTheme="minorEastAsia"/>
                <w:szCs w:val="21"/>
              </w:rPr>
              <w:t>为内容填写项</w:t>
            </w:r>
          </w:p>
        </w:tc>
      </w:tr>
    </w:tbl>
    <w:p w14:paraId="0E6E5E2A" w14:textId="77777777" w:rsidR="00B14D53" w:rsidRDefault="00B14D53">
      <w:pPr>
        <w:spacing w:line="360" w:lineRule="auto"/>
        <w:ind w:firstLineChars="200" w:firstLine="482"/>
        <w:jc w:val="center"/>
        <w:rPr>
          <w:rFonts w:eastAsiaTheme="minorEastAsia"/>
          <w:b/>
          <w:sz w:val="24"/>
        </w:rPr>
      </w:pPr>
    </w:p>
    <w:p w14:paraId="3B1F1D8B" w14:textId="77777777" w:rsidR="00B14D53" w:rsidRDefault="00B14D53">
      <w:pPr>
        <w:spacing w:line="360" w:lineRule="auto"/>
        <w:ind w:firstLineChars="200" w:firstLine="482"/>
        <w:jc w:val="center"/>
        <w:rPr>
          <w:rFonts w:eastAsiaTheme="minorEastAsia"/>
          <w:b/>
          <w:sz w:val="24"/>
        </w:rPr>
      </w:pPr>
    </w:p>
    <w:p w14:paraId="33BD1E63" w14:textId="77777777" w:rsidR="00B14D53" w:rsidRDefault="00B14D53">
      <w:pPr>
        <w:spacing w:line="360" w:lineRule="auto"/>
        <w:ind w:firstLineChars="200" w:firstLine="482"/>
        <w:jc w:val="center"/>
        <w:rPr>
          <w:rFonts w:eastAsiaTheme="minorEastAsia"/>
          <w:b/>
          <w:sz w:val="24"/>
        </w:rPr>
      </w:pPr>
    </w:p>
    <w:p w14:paraId="79437AFA" w14:textId="77777777" w:rsidR="00B14D53" w:rsidRDefault="00B14D53">
      <w:pPr>
        <w:spacing w:line="360" w:lineRule="auto"/>
        <w:ind w:firstLineChars="200" w:firstLine="482"/>
        <w:jc w:val="center"/>
        <w:rPr>
          <w:rFonts w:eastAsiaTheme="minorEastAsia"/>
          <w:b/>
          <w:sz w:val="24"/>
        </w:rPr>
      </w:pPr>
    </w:p>
    <w:p w14:paraId="2CD1BFCF" w14:textId="77777777" w:rsidR="00B14D53" w:rsidRDefault="00000000">
      <w:pPr>
        <w:spacing w:line="360" w:lineRule="auto"/>
        <w:ind w:firstLineChars="200" w:firstLine="482"/>
        <w:jc w:val="center"/>
        <w:rPr>
          <w:rFonts w:eastAsiaTheme="minorEastAsia"/>
          <w:b/>
          <w:sz w:val="24"/>
        </w:rPr>
      </w:pPr>
      <w:r>
        <w:rPr>
          <w:rFonts w:eastAsiaTheme="minorEastAsia"/>
          <w:b/>
          <w:sz w:val="24"/>
        </w:rPr>
        <w:t>声环境影响评价自查表</w:t>
      </w:r>
    </w:p>
    <w:tbl>
      <w:tblPr>
        <w:tblW w:w="84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1"/>
        <w:gridCol w:w="1275"/>
        <w:gridCol w:w="993"/>
        <w:gridCol w:w="1011"/>
        <w:gridCol w:w="831"/>
        <w:gridCol w:w="221"/>
        <w:gridCol w:w="913"/>
        <w:gridCol w:w="993"/>
        <w:gridCol w:w="1275"/>
      </w:tblGrid>
      <w:tr w:rsidR="00B14D53" w14:paraId="7D9A4FC6" w14:textId="77777777">
        <w:trPr>
          <w:jc w:val="center"/>
        </w:trPr>
        <w:tc>
          <w:tcPr>
            <w:tcW w:w="2166" w:type="dxa"/>
            <w:gridSpan w:val="2"/>
            <w:vAlign w:val="center"/>
          </w:tcPr>
          <w:p w14:paraId="05B82CC3" w14:textId="77777777" w:rsidR="00B14D53" w:rsidRDefault="00000000">
            <w:pPr>
              <w:jc w:val="center"/>
              <w:rPr>
                <w:rFonts w:eastAsiaTheme="minorEastAsia"/>
                <w:szCs w:val="21"/>
              </w:rPr>
            </w:pPr>
            <w:r>
              <w:rPr>
                <w:rFonts w:eastAsiaTheme="minorEastAsia"/>
                <w:szCs w:val="21"/>
              </w:rPr>
              <w:t>工作内容</w:t>
            </w:r>
          </w:p>
        </w:tc>
        <w:tc>
          <w:tcPr>
            <w:tcW w:w="6237" w:type="dxa"/>
            <w:gridSpan w:val="7"/>
            <w:vAlign w:val="center"/>
          </w:tcPr>
          <w:p w14:paraId="0599F009" w14:textId="77777777" w:rsidR="00B14D53" w:rsidRDefault="00000000">
            <w:pPr>
              <w:jc w:val="center"/>
              <w:rPr>
                <w:rFonts w:eastAsiaTheme="minorEastAsia"/>
                <w:szCs w:val="21"/>
              </w:rPr>
            </w:pPr>
            <w:r>
              <w:rPr>
                <w:rFonts w:eastAsiaTheme="minorEastAsia"/>
                <w:szCs w:val="21"/>
              </w:rPr>
              <w:t>自查项目</w:t>
            </w:r>
          </w:p>
        </w:tc>
      </w:tr>
      <w:tr w:rsidR="00B14D53" w14:paraId="2CA66F5C" w14:textId="77777777">
        <w:trPr>
          <w:jc w:val="center"/>
        </w:trPr>
        <w:tc>
          <w:tcPr>
            <w:tcW w:w="891" w:type="dxa"/>
            <w:vMerge w:val="restart"/>
            <w:vAlign w:val="center"/>
          </w:tcPr>
          <w:p w14:paraId="23F35C36" w14:textId="77777777" w:rsidR="00B14D53" w:rsidRDefault="00000000">
            <w:pPr>
              <w:jc w:val="center"/>
              <w:rPr>
                <w:rFonts w:eastAsiaTheme="minorEastAsia"/>
                <w:szCs w:val="21"/>
              </w:rPr>
            </w:pPr>
            <w:r>
              <w:rPr>
                <w:rFonts w:eastAsiaTheme="minorEastAsia"/>
                <w:szCs w:val="21"/>
              </w:rPr>
              <w:t>评价等级与范围</w:t>
            </w:r>
          </w:p>
        </w:tc>
        <w:tc>
          <w:tcPr>
            <w:tcW w:w="1275" w:type="dxa"/>
            <w:vAlign w:val="center"/>
          </w:tcPr>
          <w:p w14:paraId="4A255211" w14:textId="77777777" w:rsidR="00B14D53" w:rsidRDefault="00000000">
            <w:pPr>
              <w:jc w:val="center"/>
              <w:rPr>
                <w:rFonts w:eastAsiaTheme="minorEastAsia"/>
                <w:szCs w:val="21"/>
              </w:rPr>
            </w:pPr>
            <w:r>
              <w:rPr>
                <w:rFonts w:eastAsiaTheme="minorEastAsia"/>
                <w:szCs w:val="21"/>
              </w:rPr>
              <w:t>评价等级</w:t>
            </w:r>
          </w:p>
        </w:tc>
        <w:tc>
          <w:tcPr>
            <w:tcW w:w="6237" w:type="dxa"/>
            <w:gridSpan w:val="7"/>
            <w:vAlign w:val="center"/>
          </w:tcPr>
          <w:p w14:paraId="14CA36D6" w14:textId="77777777" w:rsidR="00B14D53" w:rsidRDefault="00000000">
            <w:pPr>
              <w:jc w:val="center"/>
              <w:rPr>
                <w:rFonts w:eastAsiaTheme="minorEastAsia"/>
                <w:szCs w:val="21"/>
              </w:rPr>
            </w:pPr>
            <w:r>
              <w:rPr>
                <w:rFonts w:eastAsiaTheme="minorEastAsia"/>
                <w:szCs w:val="21"/>
              </w:rPr>
              <w:t>一级</w:t>
            </w:r>
            <w:r>
              <w:rPr>
                <w:rFonts w:eastAsiaTheme="minorEastAsia"/>
                <w:szCs w:val="21"/>
              </w:rPr>
              <w:t xml:space="preserve">□ </w:t>
            </w:r>
            <w:r>
              <w:rPr>
                <w:rFonts w:eastAsiaTheme="minorEastAsia"/>
                <w:szCs w:val="21"/>
              </w:rPr>
              <w:t>二级</w:t>
            </w:r>
            <w:r>
              <w:rPr>
                <w:rFonts w:eastAsiaTheme="minorEastAsia" w:hint="eastAsia"/>
                <w:szCs w:val="21"/>
              </w:rPr>
              <w:t>☑</w:t>
            </w:r>
            <w:r>
              <w:rPr>
                <w:rFonts w:eastAsiaTheme="minorEastAsia"/>
                <w:szCs w:val="21"/>
              </w:rPr>
              <w:t xml:space="preserve"> </w:t>
            </w:r>
            <w:r>
              <w:rPr>
                <w:rFonts w:eastAsiaTheme="minorEastAsia"/>
                <w:szCs w:val="21"/>
              </w:rPr>
              <w:t>三级</w:t>
            </w:r>
            <w:r>
              <w:rPr>
                <w:rFonts w:eastAsiaTheme="minorEastAsia"/>
                <w:szCs w:val="21"/>
              </w:rPr>
              <w:t>□</w:t>
            </w:r>
          </w:p>
        </w:tc>
      </w:tr>
      <w:tr w:rsidR="00B14D53" w14:paraId="7ADF2131" w14:textId="77777777">
        <w:trPr>
          <w:jc w:val="center"/>
        </w:trPr>
        <w:tc>
          <w:tcPr>
            <w:tcW w:w="891" w:type="dxa"/>
            <w:vMerge/>
            <w:vAlign w:val="center"/>
          </w:tcPr>
          <w:p w14:paraId="080AD812" w14:textId="77777777" w:rsidR="00B14D53" w:rsidRDefault="00B14D53">
            <w:pPr>
              <w:jc w:val="center"/>
              <w:rPr>
                <w:rFonts w:eastAsiaTheme="minorEastAsia"/>
                <w:szCs w:val="21"/>
              </w:rPr>
            </w:pPr>
          </w:p>
        </w:tc>
        <w:tc>
          <w:tcPr>
            <w:tcW w:w="1275" w:type="dxa"/>
            <w:vAlign w:val="center"/>
          </w:tcPr>
          <w:p w14:paraId="230FCE22" w14:textId="77777777" w:rsidR="00B14D53" w:rsidRDefault="00000000">
            <w:pPr>
              <w:jc w:val="center"/>
              <w:rPr>
                <w:rFonts w:eastAsiaTheme="minorEastAsia"/>
                <w:szCs w:val="21"/>
              </w:rPr>
            </w:pPr>
            <w:r>
              <w:rPr>
                <w:rFonts w:eastAsiaTheme="minorEastAsia"/>
                <w:szCs w:val="21"/>
              </w:rPr>
              <w:t>评价范围</w:t>
            </w:r>
          </w:p>
        </w:tc>
        <w:tc>
          <w:tcPr>
            <w:tcW w:w="6237" w:type="dxa"/>
            <w:gridSpan w:val="7"/>
            <w:vAlign w:val="center"/>
          </w:tcPr>
          <w:p w14:paraId="3063AC8B" w14:textId="77777777" w:rsidR="00B14D53" w:rsidRDefault="00000000">
            <w:pPr>
              <w:jc w:val="center"/>
              <w:rPr>
                <w:rFonts w:eastAsiaTheme="minorEastAsia"/>
                <w:szCs w:val="21"/>
              </w:rPr>
            </w:pPr>
            <w:r>
              <w:rPr>
                <w:rFonts w:eastAsiaTheme="minorEastAsia"/>
                <w:szCs w:val="21"/>
              </w:rPr>
              <w:t>等效连续</w:t>
            </w:r>
            <w:r>
              <w:rPr>
                <w:rFonts w:eastAsiaTheme="minorEastAsia"/>
                <w:szCs w:val="21"/>
              </w:rPr>
              <w:t>A</w:t>
            </w:r>
            <w:r>
              <w:rPr>
                <w:rFonts w:eastAsiaTheme="minorEastAsia"/>
                <w:szCs w:val="21"/>
              </w:rPr>
              <w:t>声级</w:t>
            </w:r>
            <w:r>
              <w:rPr>
                <w:rFonts w:eastAsiaTheme="minorEastAsia" w:hint="eastAsia"/>
                <w:szCs w:val="21"/>
              </w:rPr>
              <w:t>☑</w:t>
            </w:r>
            <w:r>
              <w:rPr>
                <w:rFonts w:eastAsiaTheme="minorEastAsia"/>
                <w:szCs w:val="21"/>
              </w:rPr>
              <w:t xml:space="preserve">  </w:t>
            </w:r>
            <w:r>
              <w:rPr>
                <w:rFonts w:eastAsiaTheme="minorEastAsia"/>
                <w:szCs w:val="21"/>
              </w:rPr>
              <w:t>最大</w:t>
            </w:r>
            <w:r>
              <w:rPr>
                <w:rFonts w:eastAsiaTheme="minorEastAsia"/>
                <w:szCs w:val="21"/>
              </w:rPr>
              <w:t>A</w:t>
            </w:r>
            <w:r>
              <w:rPr>
                <w:rFonts w:eastAsiaTheme="minorEastAsia"/>
                <w:szCs w:val="21"/>
              </w:rPr>
              <w:t>声级</w:t>
            </w:r>
            <w:r>
              <w:rPr>
                <w:rFonts w:eastAsiaTheme="minorEastAsia"/>
                <w:szCs w:val="21"/>
              </w:rPr>
              <w:t xml:space="preserve">□  </w:t>
            </w:r>
            <w:r>
              <w:rPr>
                <w:rFonts w:eastAsiaTheme="minorEastAsia"/>
                <w:szCs w:val="21"/>
              </w:rPr>
              <w:t>计权等效连续感觉噪声级</w:t>
            </w:r>
            <w:r>
              <w:rPr>
                <w:rFonts w:eastAsiaTheme="minorEastAsia"/>
                <w:szCs w:val="21"/>
              </w:rPr>
              <w:t>□</w:t>
            </w:r>
          </w:p>
        </w:tc>
      </w:tr>
      <w:tr w:rsidR="00B14D53" w14:paraId="17A7D5E5" w14:textId="77777777">
        <w:trPr>
          <w:jc w:val="center"/>
        </w:trPr>
        <w:tc>
          <w:tcPr>
            <w:tcW w:w="891" w:type="dxa"/>
            <w:vAlign w:val="center"/>
          </w:tcPr>
          <w:p w14:paraId="5D0946B1" w14:textId="77777777" w:rsidR="00B14D53" w:rsidRDefault="00000000">
            <w:pPr>
              <w:jc w:val="center"/>
              <w:rPr>
                <w:rFonts w:eastAsiaTheme="minorEastAsia"/>
                <w:szCs w:val="21"/>
              </w:rPr>
            </w:pPr>
            <w:r>
              <w:rPr>
                <w:rFonts w:eastAsiaTheme="minorEastAsia"/>
                <w:szCs w:val="21"/>
              </w:rPr>
              <w:t>评价因子</w:t>
            </w:r>
          </w:p>
        </w:tc>
        <w:tc>
          <w:tcPr>
            <w:tcW w:w="1275" w:type="dxa"/>
            <w:vAlign w:val="center"/>
          </w:tcPr>
          <w:p w14:paraId="47E9D1BC" w14:textId="77777777" w:rsidR="00B14D53" w:rsidRDefault="00000000">
            <w:pPr>
              <w:jc w:val="center"/>
              <w:rPr>
                <w:rFonts w:eastAsiaTheme="minorEastAsia"/>
                <w:szCs w:val="21"/>
              </w:rPr>
            </w:pPr>
            <w:r>
              <w:rPr>
                <w:rFonts w:eastAsiaTheme="minorEastAsia"/>
                <w:szCs w:val="21"/>
              </w:rPr>
              <w:t>评价因子</w:t>
            </w:r>
          </w:p>
        </w:tc>
        <w:tc>
          <w:tcPr>
            <w:tcW w:w="6237" w:type="dxa"/>
            <w:gridSpan w:val="7"/>
            <w:vAlign w:val="center"/>
          </w:tcPr>
          <w:p w14:paraId="7020068A" w14:textId="77777777" w:rsidR="00B14D53" w:rsidRDefault="00000000">
            <w:pPr>
              <w:jc w:val="center"/>
              <w:rPr>
                <w:rFonts w:eastAsiaTheme="minorEastAsia"/>
                <w:szCs w:val="21"/>
              </w:rPr>
            </w:pPr>
            <w:r>
              <w:rPr>
                <w:rFonts w:eastAsiaTheme="minorEastAsia"/>
                <w:szCs w:val="21"/>
              </w:rPr>
              <w:t>国家标准</w:t>
            </w:r>
            <w:r>
              <w:rPr>
                <w:rFonts w:eastAsiaTheme="minorEastAsia" w:hint="eastAsia"/>
                <w:szCs w:val="21"/>
              </w:rPr>
              <w:t>☑</w:t>
            </w:r>
            <w:r>
              <w:rPr>
                <w:rFonts w:eastAsiaTheme="minorEastAsia"/>
                <w:szCs w:val="21"/>
              </w:rPr>
              <w:t xml:space="preserve">  </w:t>
            </w:r>
            <w:r>
              <w:rPr>
                <w:rFonts w:eastAsiaTheme="minorEastAsia"/>
                <w:szCs w:val="21"/>
              </w:rPr>
              <w:t>地方标准</w:t>
            </w:r>
            <w:r>
              <w:rPr>
                <w:rFonts w:eastAsiaTheme="minorEastAsia"/>
                <w:szCs w:val="21"/>
              </w:rPr>
              <w:t xml:space="preserve">□  </w:t>
            </w:r>
            <w:r>
              <w:rPr>
                <w:rFonts w:eastAsiaTheme="minorEastAsia"/>
                <w:szCs w:val="21"/>
              </w:rPr>
              <w:t>国外标准</w:t>
            </w:r>
            <w:r>
              <w:rPr>
                <w:rFonts w:eastAsiaTheme="minorEastAsia"/>
                <w:szCs w:val="21"/>
              </w:rPr>
              <w:t>□</w:t>
            </w:r>
          </w:p>
        </w:tc>
      </w:tr>
      <w:tr w:rsidR="00B14D53" w14:paraId="50A02F94" w14:textId="77777777">
        <w:trPr>
          <w:jc w:val="center"/>
        </w:trPr>
        <w:tc>
          <w:tcPr>
            <w:tcW w:w="891" w:type="dxa"/>
            <w:vMerge w:val="restart"/>
            <w:vAlign w:val="center"/>
          </w:tcPr>
          <w:p w14:paraId="1CC56C1D" w14:textId="77777777" w:rsidR="00B14D53" w:rsidRDefault="00000000">
            <w:pPr>
              <w:jc w:val="center"/>
              <w:rPr>
                <w:rFonts w:eastAsiaTheme="minorEastAsia"/>
                <w:szCs w:val="21"/>
              </w:rPr>
            </w:pPr>
            <w:r>
              <w:rPr>
                <w:rFonts w:eastAsiaTheme="minorEastAsia"/>
                <w:szCs w:val="21"/>
              </w:rPr>
              <w:t>现状评价</w:t>
            </w:r>
          </w:p>
        </w:tc>
        <w:tc>
          <w:tcPr>
            <w:tcW w:w="1275" w:type="dxa"/>
            <w:vAlign w:val="center"/>
          </w:tcPr>
          <w:p w14:paraId="5CD157AB" w14:textId="77777777" w:rsidR="00B14D53" w:rsidRDefault="00000000">
            <w:pPr>
              <w:jc w:val="center"/>
              <w:rPr>
                <w:rFonts w:eastAsiaTheme="minorEastAsia"/>
                <w:szCs w:val="21"/>
              </w:rPr>
            </w:pPr>
            <w:r>
              <w:rPr>
                <w:rFonts w:eastAsiaTheme="minorEastAsia"/>
                <w:szCs w:val="21"/>
              </w:rPr>
              <w:t>环境功能区</w:t>
            </w:r>
          </w:p>
        </w:tc>
        <w:tc>
          <w:tcPr>
            <w:tcW w:w="993" w:type="dxa"/>
            <w:vAlign w:val="center"/>
          </w:tcPr>
          <w:p w14:paraId="661D31BB" w14:textId="77777777" w:rsidR="00B14D53" w:rsidRDefault="00000000">
            <w:pPr>
              <w:jc w:val="center"/>
              <w:rPr>
                <w:rFonts w:eastAsiaTheme="minorEastAsia"/>
                <w:szCs w:val="21"/>
              </w:rPr>
            </w:pPr>
            <w:r>
              <w:rPr>
                <w:rFonts w:eastAsiaTheme="minorEastAsia"/>
                <w:szCs w:val="21"/>
              </w:rPr>
              <w:t>0</w:t>
            </w:r>
            <w:r>
              <w:rPr>
                <w:rFonts w:eastAsiaTheme="minorEastAsia"/>
                <w:szCs w:val="21"/>
              </w:rPr>
              <w:t>类区</w:t>
            </w:r>
            <w:r>
              <w:rPr>
                <w:rFonts w:eastAsiaTheme="minorEastAsia"/>
                <w:szCs w:val="21"/>
              </w:rPr>
              <w:t>□</w:t>
            </w:r>
          </w:p>
        </w:tc>
        <w:tc>
          <w:tcPr>
            <w:tcW w:w="1011" w:type="dxa"/>
            <w:vAlign w:val="center"/>
          </w:tcPr>
          <w:p w14:paraId="0909C162" w14:textId="77777777" w:rsidR="00B14D53" w:rsidRDefault="00000000">
            <w:pPr>
              <w:jc w:val="center"/>
              <w:rPr>
                <w:rFonts w:eastAsiaTheme="minorEastAsia"/>
                <w:szCs w:val="21"/>
              </w:rPr>
            </w:pPr>
            <w:r>
              <w:rPr>
                <w:rFonts w:eastAsiaTheme="minorEastAsia"/>
                <w:szCs w:val="21"/>
              </w:rPr>
              <w:t>1</w:t>
            </w:r>
            <w:r>
              <w:rPr>
                <w:rFonts w:eastAsiaTheme="minorEastAsia"/>
                <w:szCs w:val="21"/>
              </w:rPr>
              <w:t>类区</w:t>
            </w:r>
            <w:r>
              <w:rPr>
                <w:rFonts w:eastAsiaTheme="minorEastAsia"/>
                <w:szCs w:val="21"/>
              </w:rPr>
              <w:t>□</w:t>
            </w:r>
          </w:p>
        </w:tc>
        <w:tc>
          <w:tcPr>
            <w:tcW w:w="1052" w:type="dxa"/>
            <w:gridSpan w:val="2"/>
            <w:vAlign w:val="center"/>
          </w:tcPr>
          <w:p w14:paraId="564C7609" w14:textId="77777777" w:rsidR="00B14D53" w:rsidRDefault="00000000">
            <w:pPr>
              <w:jc w:val="center"/>
              <w:rPr>
                <w:rFonts w:eastAsiaTheme="minorEastAsia"/>
                <w:szCs w:val="21"/>
              </w:rPr>
            </w:pPr>
            <w:r>
              <w:rPr>
                <w:rFonts w:eastAsiaTheme="minorEastAsia"/>
                <w:szCs w:val="21"/>
              </w:rPr>
              <w:t>2</w:t>
            </w:r>
            <w:r>
              <w:rPr>
                <w:rFonts w:eastAsiaTheme="minorEastAsia"/>
                <w:szCs w:val="21"/>
              </w:rPr>
              <w:t>类区</w:t>
            </w:r>
            <w:r>
              <w:rPr>
                <w:rFonts w:eastAsiaTheme="minorEastAsia" w:hint="eastAsia"/>
                <w:szCs w:val="21"/>
              </w:rPr>
              <w:t>☑</w:t>
            </w:r>
          </w:p>
        </w:tc>
        <w:tc>
          <w:tcPr>
            <w:tcW w:w="913" w:type="dxa"/>
            <w:vAlign w:val="center"/>
          </w:tcPr>
          <w:p w14:paraId="4E592244" w14:textId="77777777" w:rsidR="00B14D53" w:rsidRDefault="00000000">
            <w:pPr>
              <w:jc w:val="center"/>
              <w:rPr>
                <w:rFonts w:eastAsiaTheme="minorEastAsia"/>
                <w:szCs w:val="21"/>
              </w:rPr>
            </w:pPr>
            <w:r>
              <w:rPr>
                <w:rFonts w:eastAsiaTheme="minorEastAsia"/>
                <w:szCs w:val="21"/>
              </w:rPr>
              <w:t>3</w:t>
            </w:r>
            <w:r>
              <w:rPr>
                <w:rFonts w:eastAsiaTheme="minorEastAsia"/>
                <w:szCs w:val="21"/>
              </w:rPr>
              <w:t>类区</w:t>
            </w:r>
            <w:r>
              <w:rPr>
                <w:rFonts w:eastAsiaTheme="minorEastAsia"/>
                <w:szCs w:val="21"/>
              </w:rPr>
              <w:t>□</w:t>
            </w:r>
          </w:p>
        </w:tc>
        <w:tc>
          <w:tcPr>
            <w:tcW w:w="993" w:type="dxa"/>
            <w:vAlign w:val="center"/>
          </w:tcPr>
          <w:p w14:paraId="4C84733A" w14:textId="77777777" w:rsidR="00B14D53" w:rsidRDefault="00000000">
            <w:pPr>
              <w:jc w:val="center"/>
              <w:rPr>
                <w:rFonts w:eastAsiaTheme="minorEastAsia"/>
                <w:szCs w:val="21"/>
              </w:rPr>
            </w:pPr>
            <w:r>
              <w:rPr>
                <w:rFonts w:eastAsiaTheme="minorEastAsia"/>
                <w:szCs w:val="21"/>
              </w:rPr>
              <w:t>4a</w:t>
            </w:r>
            <w:r>
              <w:rPr>
                <w:rFonts w:eastAsiaTheme="minorEastAsia"/>
                <w:szCs w:val="21"/>
              </w:rPr>
              <w:t>类区</w:t>
            </w:r>
            <w:r>
              <w:rPr>
                <w:rFonts w:eastAsiaTheme="minorEastAsia"/>
                <w:szCs w:val="21"/>
              </w:rPr>
              <w:t>□</w:t>
            </w:r>
          </w:p>
        </w:tc>
        <w:tc>
          <w:tcPr>
            <w:tcW w:w="1275" w:type="dxa"/>
            <w:vAlign w:val="center"/>
          </w:tcPr>
          <w:p w14:paraId="104560D3" w14:textId="77777777" w:rsidR="00B14D53" w:rsidRDefault="00000000">
            <w:pPr>
              <w:jc w:val="center"/>
              <w:rPr>
                <w:rFonts w:eastAsiaTheme="minorEastAsia"/>
                <w:szCs w:val="21"/>
              </w:rPr>
            </w:pPr>
            <w:r>
              <w:rPr>
                <w:rFonts w:eastAsiaTheme="minorEastAsia"/>
                <w:szCs w:val="21"/>
              </w:rPr>
              <w:t>4b</w:t>
            </w:r>
            <w:r>
              <w:rPr>
                <w:rFonts w:eastAsiaTheme="minorEastAsia"/>
                <w:szCs w:val="21"/>
              </w:rPr>
              <w:t>类区</w:t>
            </w:r>
            <w:r>
              <w:rPr>
                <w:rFonts w:eastAsiaTheme="minorEastAsia"/>
                <w:szCs w:val="21"/>
              </w:rPr>
              <w:t>□</w:t>
            </w:r>
          </w:p>
        </w:tc>
      </w:tr>
      <w:tr w:rsidR="00B14D53" w14:paraId="3640CB91" w14:textId="77777777">
        <w:trPr>
          <w:jc w:val="center"/>
        </w:trPr>
        <w:tc>
          <w:tcPr>
            <w:tcW w:w="891" w:type="dxa"/>
            <w:vMerge/>
            <w:vAlign w:val="center"/>
          </w:tcPr>
          <w:p w14:paraId="2C4E320F" w14:textId="77777777" w:rsidR="00B14D53" w:rsidRDefault="00B14D53">
            <w:pPr>
              <w:jc w:val="center"/>
              <w:rPr>
                <w:rFonts w:eastAsiaTheme="minorEastAsia"/>
                <w:szCs w:val="21"/>
              </w:rPr>
            </w:pPr>
          </w:p>
        </w:tc>
        <w:tc>
          <w:tcPr>
            <w:tcW w:w="1275" w:type="dxa"/>
            <w:vAlign w:val="center"/>
          </w:tcPr>
          <w:p w14:paraId="4EE33580" w14:textId="77777777" w:rsidR="00B14D53" w:rsidRDefault="00000000">
            <w:pPr>
              <w:jc w:val="center"/>
              <w:rPr>
                <w:rFonts w:eastAsiaTheme="minorEastAsia"/>
                <w:szCs w:val="21"/>
              </w:rPr>
            </w:pPr>
            <w:r>
              <w:rPr>
                <w:rFonts w:eastAsiaTheme="minorEastAsia"/>
                <w:szCs w:val="21"/>
              </w:rPr>
              <w:t>评价年度</w:t>
            </w:r>
          </w:p>
        </w:tc>
        <w:tc>
          <w:tcPr>
            <w:tcW w:w="2004" w:type="dxa"/>
            <w:gridSpan w:val="2"/>
            <w:vAlign w:val="center"/>
          </w:tcPr>
          <w:p w14:paraId="7D885759" w14:textId="77777777" w:rsidR="00B14D53" w:rsidRDefault="00000000">
            <w:pPr>
              <w:jc w:val="center"/>
              <w:rPr>
                <w:rFonts w:eastAsiaTheme="minorEastAsia"/>
                <w:szCs w:val="21"/>
              </w:rPr>
            </w:pPr>
            <w:r>
              <w:rPr>
                <w:rFonts w:eastAsiaTheme="minorEastAsia"/>
                <w:szCs w:val="21"/>
              </w:rPr>
              <w:t>初期</w:t>
            </w:r>
            <w:r>
              <w:rPr>
                <w:rFonts w:eastAsiaTheme="minorEastAsia"/>
                <w:szCs w:val="21"/>
              </w:rPr>
              <w:t>□</w:t>
            </w:r>
          </w:p>
        </w:tc>
        <w:tc>
          <w:tcPr>
            <w:tcW w:w="1052" w:type="dxa"/>
            <w:gridSpan w:val="2"/>
            <w:vAlign w:val="center"/>
          </w:tcPr>
          <w:p w14:paraId="728BE817" w14:textId="77777777" w:rsidR="00B14D53" w:rsidRDefault="00000000">
            <w:pPr>
              <w:jc w:val="center"/>
              <w:rPr>
                <w:rFonts w:eastAsiaTheme="minorEastAsia"/>
                <w:szCs w:val="21"/>
              </w:rPr>
            </w:pPr>
            <w:r>
              <w:rPr>
                <w:rFonts w:eastAsiaTheme="minorEastAsia"/>
                <w:szCs w:val="21"/>
              </w:rPr>
              <w:t>近期</w:t>
            </w:r>
            <w:r>
              <w:rPr>
                <w:rFonts w:eastAsiaTheme="minorEastAsia" w:hint="eastAsia"/>
                <w:szCs w:val="21"/>
              </w:rPr>
              <w:t>☑</w:t>
            </w:r>
          </w:p>
        </w:tc>
        <w:tc>
          <w:tcPr>
            <w:tcW w:w="913" w:type="dxa"/>
            <w:vAlign w:val="center"/>
          </w:tcPr>
          <w:p w14:paraId="7C53B6CF" w14:textId="77777777" w:rsidR="00B14D53" w:rsidRDefault="00000000">
            <w:pPr>
              <w:jc w:val="center"/>
              <w:rPr>
                <w:rFonts w:eastAsiaTheme="minorEastAsia"/>
                <w:szCs w:val="21"/>
              </w:rPr>
            </w:pPr>
            <w:r>
              <w:rPr>
                <w:rFonts w:eastAsiaTheme="minorEastAsia"/>
                <w:szCs w:val="21"/>
              </w:rPr>
              <w:t>中期</w:t>
            </w:r>
            <w:r>
              <w:rPr>
                <w:rFonts w:eastAsiaTheme="minorEastAsia"/>
                <w:szCs w:val="21"/>
              </w:rPr>
              <w:t>□</w:t>
            </w:r>
          </w:p>
        </w:tc>
        <w:tc>
          <w:tcPr>
            <w:tcW w:w="2268" w:type="dxa"/>
            <w:gridSpan w:val="2"/>
            <w:vAlign w:val="center"/>
          </w:tcPr>
          <w:p w14:paraId="3299182A" w14:textId="77777777" w:rsidR="00B14D53" w:rsidRDefault="00000000">
            <w:pPr>
              <w:jc w:val="center"/>
              <w:rPr>
                <w:rFonts w:eastAsiaTheme="minorEastAsia"/>
                <w:szCs w:val="21"/>
              </w:rPr>
            </w:pPr>
            <w:r>
              <w:rPr>
                <w:rFonts w:eastAsiaTheme="minorEastAsia"/>
                <w:szCs w:val="21"/>
              </w:rPr>
              <w:t>远期</w:t>
            </w:r>
            <w:r>
              <w:rPr>
                <w:rFonts w:eastAsiaTheme="minorEastAsia" w:hint="eastAsia"/>
                <w:szCs w:val="21"/>
              </w:rPr>
              <w:t>☑</w:t>
            </w:r>
          </w:p>
        </w:tc>
      </w:tr>
      <w:tr w:rsidR="00B14D53" w14:paraId="1A9522E2" w14:textId="77777777">
        <w:trPr>
          <w:jc w:val="center"/>
        </w:trPr>
        <w:tc>
          <w:tcPr>
            <w:tcW w:w="891" w:type="dxa"/>
            <w:vMerge/>
            <w:vAlign w:val="center"/>
          </w:tcPr>
          <w:p w14:paraId="6ECE3803" w14:textId="77777777" w:rsidR="00B14D53" w:rsidRDefault="00B14D53">
            <w:pPr>
              <w:jc w:val="center"/>
              <w:rPr>
                <w:rFonts w:eastAsiaTheme="minorEastAsia"/>
                <w:szCs w:val="21"/>
              </w:rPr>
            </w:pPr>
          </w:p>
        </w:tc>
        <w:tc>
          <w:tcPr>
            <w:tcW w:w="1275" w:type="dxa"/>
            <w:vAlign w:val="center"/>
          </w:tcPr>
          <w:p w14:paraId="7847D016" w14:textId="77777777" w:rsidR="00B14D53" w:rsidRDefault="00000000">
            <w:pPr>
              <w:jc w:val="center"/>
              <w:rPr>
                <w:rFonts w:eastAsiaTheme="minorEastAsia"/>
                <w:szCs w:val="21"/>
              </w:rPr>
            </w:pPr>
            <w:r>
              <w:rPr>
                <w:rFonts w:eastAsiaTheme="minorEastAsia"/>
                <w:szCs w:val="21"/>
              </w:rPr>
              <w:t>现状调查</w:t>
            </w:r>
          </w:p>
          <w:p w14:paraId="7606C5B7" w14:textId="77777777" w:rsidR="00B14D53" w:rsidRDefault="00000000">
            <w:pPr>
              <w:jc w:val="center"/>
              <w:rPr>
                <w:rFonts w:eastAsiaTheme="minorEastAsia"/>
                <w:szCs w:val="21"/>
              </w:rPr>
            </w:pPr>
            <w:r>
              <w:rPr>
                <w:rFonts w:eastAsiaTheme="minorEastAsia"/>
                <w:szCs w:val="21"/>
              </w:rPr>
              <w:t>方法</w:t>
            </w:r>
          </w:p>
        </w:tc>
        <w:tc>
          <w:tcPr>
            <w:tcW w:w="6237" w:type="dxa"/>
            <w:gridSpan w:val="7"/>
            <w:vAlign w:val="center"/>
          </w:tcPr>
          <w:p w14:paraId="7CDBE2B5" w14:textId="77777777" w:rsidR="00B14D53" w:rsidRDefault="00000000">
            <w:pPr>
              <w:jc w:val="center"/>
              <w:rPr>
                <w:rFonts w:eastAsiaTheme="minorEastAsia"/>
                <w:szCs w:val="21"/>
              </w:rPr>
            </w:pPr>
            <w:r>
              <w:rPr>
                <w:rFonts w:eastAsiaTheme="minorEastAsia"/>
                <w:szCs w:val="21"/>
              </w:rPr>
              <w:t>现场实测法</w:t>
            </w:r>
            <w:r>
              <w:rPr>
                <w:rFonts w:eastAsiaTheme="minorEastAsia" w:hint="eastAsia"/>
                <w:szCs w:val="21"/>
              </w:rPr>
              <w:t>☑</w:t>
            </w:r>
            <w:r>
              <w:rPr>
                <w:rFonts w:eastAsiaTheme="minorEastAsia"/>
                <w:szCs w:val="21"/>
              </w:rPr>
              <w:t xml:space="preserve">  </w:t>
            </w:r>
            <w:r>
              <w:rPr>
                <w:rFonts w:eastAsiaTheme="minorEastAsia"/>
                <w:szCs w:val="21"/>
              </w:rPr>
              <w:t>现场实测加模型计算法</w:t>
            </w:r>
            <w:r>
              <w:rPr>
                <w:rFonts w:eastAsiaTheme="minorEastAsia"/>
                <w:szCs w:val="21"/>
              </w:rPr>
              <w:t xml:space="preserve">□  </w:t>
            </w:r>
            <w:r>
              <w:rPr>
                <w:rFonts w:eastAsiaTheme="minorEastAsia"/>
                <w:szCs w:val="21"/>
              </w:rPr>
              <w:t>收集资料</w:t>
            </w:r>
            <w:r>
              <w:rPr>
                <w:rFonts w:eastAsiaTheme="minorEastAsia" w:hint="eastAsia"/>
                <w:szCs w:val="21"/>
              </w:rPr>
              <w:t>☑</w:t>
            </w:r>
          </w:p>
        </w:tc>
      </w:tr>
      <w:tr w:rsidR="00B14D53" w14:paraId="1530E102" w14:textId="77777777">
        <w:trPr>
          <w:jc w:val="center"/>
        </w:trPr>
        <w:tc>
          <w:tcPr>
            <w:tcW w:w="891" w:type="dxa"/>
            <w:vMerge/>
            <w:vAlign w:val="center"/>
          </w:tcPr>
          <w:p w14:paraId="6667E595" w14:textId="77777777" w:rsidR="00B14D53" w:rsidRDefault="00B14D53">
            <w:pPr>
              <w:jc w:val="center"/>
              <w:rPr>
                <w:rFonts w:eastAsiaTheme="minorEastAsia"/>
                <w:szCs w:val="21"/>
              </w:rPr>
            </w:pPr>
          </w:p>
        </w:tc>
        <w:tc>
          <w:tcPr>
            <w:tcW w:w="1275" w:type="dxa"/>
            <w:vAlign w:val="center"/>
          </w:tcPr>
          <w:p w14:paraId="3ADF68C9" w14:textId="77777777" w:rsidR="00B14D53" w:rsidRDefault="00000000">
            <w:pPr>
              <w:jc w:val="center"/>
              <w:rPr>
                <w:rFonts w:eastAsiaTheme="minorEastAsia"/>
                <w:szCs w:val="21"/>
              </w:rPr>
            </w:pPr>
            <w:r>
              <w:rPr>
                <w:rFonts w:eastAsiaTheme="minorEastAsia"/>
                <w:szCs w:val="21"/>
              </w:rPr>
              <w:t>现状评价</w:t>
            </w:r>
          </w:p>
        </w:tc>
        <w:tc>
          <w:tcPr>
            <w:tcW w:w="2004" w:type="dxa"/>
            <w:gridSpan w:val="2"/>
            <w:vAlign w:val="center"/>
          </w:tcPr>
          <w:p w14:paraId="27C3B0D3" w14:textId="77777777" w:rsidR="00B14D53" w:rsidRDefault="00000000">
            <w:pPr>
              <w:jc w:val="center"/>
              <w:rPr>
                <w:rFonts w:eastAsiaTheme="minorEastAsia"/>
                <w:szCs w:val="21"/>
              </w:rPr>
            </w:pPr>
            <w:r>
              <w:rPr>
                <w:rFonts w:eastAsiaTheme="minorEastAsia"/>
                <w:szCs w:val="21"/>
              </w:rPr>
              <w:t>达标百分比</w:t>
            </w:r>
          </w:p>
        </w:tc>
        <w:tc>
          <w:tcPr>
            <w:tcW w:w="4233" w:type="dxa"/>
            <w:gridSpan w:val="5"/>
            <w:vAlign w:val="center"/>
          </w:tcPr>
          <w:p w14:paraId="19636546" w14:textId="77777777" w:rsidR="00B14D53" w:rsidRDefault="00000000">
            <w:pPr>
              <w:jc w:val="center"/>
              <w:rPr>
                <w:rFonts w:eastAsiaTheme="minorEastAsia"/>
                <w:szCs w:val="21"/>
              </w:rPr>
            </w:pPr>
            <w:r>
              <w:rPr>
                <w:rFonts w:eastAsiaTheme="minorEastAsia"/>
                <w:szCs w:val="21"/>
              </w:rPr>
              <w:t>100%</w:t>
            </w:r>
          </w:p>
        </w:tc>
      </w:tr>
      <w:tr w:rsidR="00B14D53" w14:paraId="706855E8" w14:textId="77777777">
        <w:trPr>
          <w:jc w:val="center"/>
        </w:trPr>
        <w:tc>
          <w:tcPr>
            <w:tcW w:w="891" w:type="dxa"/>
            <w:vAlign w:val="center"/>
          </w:tcPr>
          <w:p w14:paraId="0F34D482" w14:textId="77777777" w:rsidR="00B14D53" w:rsidRDefault="00000000">
            <w:pPr>
              <w:jc w:val="center"/>
              <w:rPr>
                <w:rFonts w:eastAsiaTheme="minorEastAsia"/>
                <w:szCs w:val="21"/>
              </w:rPr>
            </w:pPr>
            <w:r>
              <w:rPr>
                <w:rFonts w:eastAsiaTheme="minorEastAsia"/>
                <w:szCs w:val="21"/>
              </w:rPr>
              <w:t>噪声源</w:t>
            </w:r>
          </w:p>
          <w:p w14:paraId="78C93D57" w14:textId="77777777" w:rsidR="00B14D53" w:rsidRDefault="00000000">
            <w:pPr>
              <w:jc w:val="center"/>
              <w:rPr>
                <w:rFonts w:eastAsiaTheme="minorEastAsia"/>
                <w:szCs w:val="21"/>
              </w:rPr>
            </w:pPr>
            <w:r>
              <w:rPr>
                <w:rFonts w:eastAsiaTheme="minorEastAsia"/>
                <w:szCs w:val="21"/>
              </w:rPr>
              <w:t>调查</w:t>
            </w:r>
          </w:p>
        </w:tc>
        <w:tc>
          <w:tcPr>
            <w:tcW w:w="1275" w:type="dxa"/>
            <w:vAlign w:val="center"/>
          </w:tcPr>
          <w:p w14:paraId="5B4322B2" w14:textId="77777777" w:rsidR="00B14D53" w:rsidRDefault="00000000">
            <w:pPr>
              <w:jc w:val="center"/>
              <w:rPr>
                <w:rFonts w:eastAsiaTheme="minorEastAsia"/>
                <w:szCs w:val="21"/>
              </w:rPr>
            </w:pPr>
            <w:r>
              <w:rPr>
                <w:rFonts w:eastAsiaTheme="minorEastAsia"/>
                <w:szCs w:val="21"/>
              </w:rPr>
              <w:t>噪声源调查方法</w:t>
            </w:r>
          </w:p>
        </w:tc>
        <w:tc>
          <w:tcPr>
            <w:tcW w:w="6237" w:type="dxa"/>
            <w:gridSpan w:val="7"/>
            <w:vAlign w:val="center"/>
          </w:tcPr>
          <w:p w14:paraId="3996FCAD" w14:textId="77777777" w:rsidR="00B14D53" w:rsidRDefault="00000000">
            <w:pPr>
              <w:jc w:val="center"/>
              <w:rPr>
                <w:rFonts w:eastAsiaTheme="minorEastAsia"/>
                <w:szCs w:val="21"/>
              </w:rPr>
            </w:pPr>
            <w:r>
              <w:rPr>
                <w:rFonts w:eastAsiaTheme="minorEastAsia"/>
                <w:szCs w:val="21"/>
              </w:rPr>
              <w:t>现场实测</w:t>
            </w:r>
            <w:r>
              <w:rPr>
                <w:rFonts w:eastAsiaTheme="minorEastAsia"/>
                <w:szCs w:val="21"/>
              </w:rPr>
              <w:t xml:space="preserve">□  </w:t>
            </w:r>
            <w:r>
              <w:rPr>
                <w:rFonts w:eastAsiaTheme="minorEastAsia"/>
                <w:szCs w:val="21"/>
              </w:rPr>
              <w:t>已有资料</w:t>
            </w:r>
            <w:r>
              <w:rPr>
                <w:rFonts w:eastAsiaTheme="minorEastAsia" w:hint="eastAsia"/>
                <w:szCs w:val="21"/>
              </w:rPr>
              <w:t>☑</w:t>
            </w:r>
            <w:r>
              <w:rPr>
                <w:rFonts w:eastAsiaTheme="minorEastAsia"/>
                <w:szCs w:val="21"/>
              </w:rPr>
              <w:t xml:space="preserve">  </w:t>
            </w:r>
            <w:r>
              <w:rPr>
                <w:rFonts w:eastAsiaTheme="minorEastAsia"/>
                <w:szCs w:val="21"/>
              </w:rPr>
              <w:t>研究成果</w:t>
            </w:r>
            <w:r>
              <w:rPr>
                <w:rFonts w:eastAsiaTheme="minorEastAsia"/>
                <w:szCs w:val="21"/>
              </w:rPr>
              <w:t>□</w:t>
            </w:r>
          </w:p>
        </w:tc>
      </w:tr>
      <w:tr w:rsidR="00B14D53" w14:paraId="18121704" w14:textId="77777777">
        <w:trPr>
          <w:jc w:val="center"/>
        </w:trPr>
        <w:tc>
          <w:tcPr>
            <w:tcW w:w="891" w:type="dxa"/>
            <w:vMerge w:val="restart"/>
            <w:vAlign w:val="center"/>
          </w:tcPr>
          <w:p w14:paraId="6DB4960C" w14:textId="77777777" w:rsidR="00B14D53" w:rsidRDefault="00000000">
            <w:pPr>
              <w:jc w:val="center"/>
              <w:rPr>
                <w:rFonts w:eastAsiaTheme="minorEastAsia"/>
                <w:szCs w:val="21"/>
              </w:rPr>
            </w:pPr>
            <w:r>
              <w:rPr>
                <w:rFonts w:eastAsiaTheme="minorEastAsia"/>
                <w:szCs w:val="21"/>
              </w:rPr>
              <w:t>声环境影响预测与评价</w:t>
            </w:r>
          </w:p>
        </w:tc>
        <w:tc>
          <w:tcPr>
            <w:tcW w:w="1275" w:type="dxa"/>
            <w:vAlign w:val="center"/>
          </w:tcPr>
          <w:p w14:paraId="43ED326F" w14:textId="77777777" w:rsidR="00B14D53" w:rsidRDefault="00000000">
            <w:pPr>
              <w:jc w:val="center"/>
              <w:rPr>
                <w:rFonts w:eastAsiaTheme="minorEastAsia"/>
                <w:szCs w:val="21"/>
              </w:rPr>
            </w:pPr>
            <w:r>
              <w:rPr>
                <w:rFonts w:eastAsiaTheme="minorEastAsia"/>
                <w:szCs w:val="21"/>
              </w:rPr>
              <w:t>预测模型</w:t>
            </w:r>
          </w:p>
        </w:tc>
        <w:tc>
          <w:tcPr>
            <w:tcW w:w="6237" w:type="dxa"/>
            <w:gridSpan w:val="7"/>
            <w:vAlign w:val="center"/>
          </w:tcPr>
          <w:p w14:paraId="7DB4B1B3" w14:textId="77777777" w:rsidR="00B14D53" w:rsidRDefault="00000000">
            <w:pPr>
              <w:jc w:val="center"/>
              <w:rPr>
                <w:rFonts w:eastAsiaTheme="minorEastAsia"/>
                <w:szCs w:val="21"/>
              </w:rPr>
            </w:pPr>
            <w:r>
              <w:rPr>
                <w:rFonts w:eastAsiaTheme="minorEastAsia"/>
                <w:szCs w:val="21"/>
              </w:rPr>
              <w:t>导则推荐模型</w:t>
            </w:r>
            <w:r>
              <w:rPr>
                <w:rFonts w:eastAsiaTheme="minorEastAsia" w:hint="eastAsia"/>
                <w:szCs w:val="21"/>
              </w:rPr>
              <w:t>☑</w:t>
            </w:r>
            <w:r>
              <w:rPr>
                <w:rFonts w:eastAsiaTheme="minorEastAsia"/>
                <w:szCs w:val="21"/>
              </w:rPr>
              <w:t xml:space="preserve">           </w:t>
            </w:r>
            <w:r>
              <w:rPr>
                <w:rFonts w:eastAsiaTheme="minorEastAsia"/>
                <w:szCs w:val="21"/>
              </w:rPr>
              <w:t>其他</w:t>
            </w:r>
            <w:r>
              <w:rPr>
                <w:rFonts w:eastAsiaTheme="minorEastAsia"/>
                <w:szCs w:val="21"/>
              </w:rPr>
              <w:t>□—</w:t>
            </w:r>
          </w:p>
        </w:tc>
      </w:tr>
      <w:tr w:rsidR="00B14D53" w14:paraId="0FB0E17C" w14:textId="77777777">
        <w:trPr>
          <w:jc w:val="center"/>
        </w:trPr>
        <w:tc>
          <w:tcPr>
            <w:tcW w:w="891" w:type="dxa"/>
            <w:vMerge/>
            <w:vAlign w:val="center"/>
          </w:tcPr>
          <w:p w14:paraId="0909B904" w14:textId="77777777" w:rsidR="00B14D53" w:rsidRDefault="00B14D53">
            <w:pPr>
              <w:jc w:val="center"/>
              <w:rPr>
                <w:rFonts w:eastAsiaTheme="minorEastAsia"/>
                <w:szCs w:val="21"/>
              </w:rPr>
            </w:pPr>
          </w:p>
        </w:tc>
        <w:tc>
          <w:tcPr>
            <w:tcW w:w="1275" w:type="dxa"/>
            <w:vAlign w:val="center"/>
          </w:tcPr>
          <w:p w14:paraId="550B89A5" w14:textId="77777777" w:rsidR="00B14D53" w:rsidRDefault="00000000">
            <w:pPr>
              <w:jc w:val="center"/>
              <w:rPr>
                <w:rFonts w:eastAsiaTheme="minorEastAsia"/>
                <w:szCs w:val="21"/>
              </w:rPr>
            </w:pPr>
            <w:r>
              <w:rPr>
                <w:rFonts w:eastAsiaTheme="minorEastAsia"/>
                <w:szCs w:val="21"/>
              </w:rPr>
              <w:t>预测范围</w:t>
            </w:r>
          </w:p>
        </w:tc>
        <w:tc>
          <w:tcPr>
            <w:tcW w:w="6237" w:type="dxa"/>
            <w:gridSpan w:val="7"/>
            <w:vAlign w:val="center"/>
          </w:tcPr>
          <w:p w14:paraId="36AC6BD0" w14:textId="77777777" w:rsidR="00B14D53" w:rsidRDefault="00000000">
            <w:pPr>
              <w:jc w:val="center"/>
              <w:rPr>
                <w:rFonts w:eastAsiaTheme="minorEastAsia"/>
                <w:szCs w:val="21"/>
              </w:rPr>
            </w:pPr>
            <w:r>
              <w:rPr>
                <w:rFonts w:eastAsiaTheme="minorEastAsia"/>
                <w:szCs w:val="21"/>
              </w:rPr>
              <w:t>200m</w:t>
            </w:r>
            <w:r>
              <w:rPr>
                <w:rFonts w:eastAsiaTheme="minorEastAsia" w:hint="eastAsia"/>
                <w:szCs w:val="21"/>
              </w:rPr>
              <w:t>☑</w:t>
            </w:r>
            <w:r>
              <w:rPr>
                <w:rFonts w:eastAsiaTheme="minorEastAsia"/>
                <w:szCs w:val="21"/>
              </w:rPr>
              <w:t xml:space="preserve">  </w:t>
            </w:r>
            <w:r>
              <w:rPr>
                <w:rFonts w:eastAsiaTheme="minorEastAsia"/>
                <w:szCs w:val="21"/>
              </w:rPr>
              <w:t>大于</w:t>
            </w:r>
            <w:r>
              <w:rPr>
                <w:rFonts w:eastAsiaTheme="minorEastAsia"/>
                <w:szCs w:val="21"/>
              </w:rPr>
              <w:t xml:space="preserve">200m□  </w:t>
            </w:r>
            <w:r>
              <w:rPr>
                <w:rFonts w:eastAsiaTheme="minorEastAsia"/>
                <w:szCs w:val="21"/>
              </w:rPr>
              <w:t>小于</w:t>
            </w:r>
            <w:r>
              <w:rPr>
                <w:rFonts w:eastAsiaTheme="minorEastAsia"/>
                <w:szCs w:val="21"/>
              </w:rPr>
              <w:t>200m□</w:t>
            </w:r>
          </w:p>
        </w:tc>
      </w:tr>
      <w:tr w:rsidR="00B14D53" w14:paraId="01836867" w14:textId="77777777">
        <w:trPr>
          <w:jc w:val="center"/>
        </w:trPr>
        <w:tc>
          <w:tcPr>
            <w:tcW w:w="891" w:type="dxa"/>
            <w:vMerge/>
            <w:vAlign w:val="center"/>
          </w:tcPr>
          <w:p w14:paraId="0FC6FA23" w14:textId="77777777" w:rsidR="00B14D53" w:rsidRDefault="00B14D53">
            <w:pPr>
              <w:pStyle w:val="TOC2"/>
              <w:spacing w:before="0" w:line="240" w:lineRule="auto"/>
              <w:ind w:left="0" w:firstLineChars="0" w:firstLine="0"/>
              <w:jc w:val="center"/>
              <w:rPr>
                <w:rFonts w:eastAsiaTheme="minorEastAsia"/>
                <w:b w:val="0"/>
                <w:color w:val="auto"/>
                <w:sz w:val="21"/>
                <w:szCs w:val="21"/>
              </w:rPr>
            </w:pPr>
          </w:p>
        </w:tc>
        <w:tc>
          <w:tcPr>
            <w:tcW w:w="1275" w:type="dxa"/>
            <w:vAlign w:val="center"/>
          </w:tcPr>
          <w:p w14:paraId="5F76CB02"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预测因子</w:t>
            </w:r>
          </w:p>
        </w:tc>
        <w:tc>
          <w:tcPr>
            <w:tcW w:w="6237" w:type="dxa"/>
            <w:gridSpan w:val="7"/>
            <w:vAlign w:val="center"/>
          </w:tcPr>
          <w:p w14:paraId="6B56F1B4"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等效连续</w:t>
            </w:r>
            <w:r>
              <w:rPr>
                <w:rFonts w:eastAsiaTheme="minorEastAsia"/>
                <w:b w:val="0"/>
                <w:color w:val="auto"/>
                <w:sz w:val="21"/>
                <w:szCs w:val="21"/>
              </w:rPr>
              <w:t>A</w:t>
            </w:r>
            <w:r>
              <w:rPr>
                <w:rFonts w:eastAsiaTheme="minorEastAsia"/>
                <w:b w:val="0"/>
                <w:color w:val="auto"/>
                <w:sz w:val="21"/>
                <w:szCs w:val="21"/>
              </w:rPr>
              <w:t>声级</w:t>
            </w:r>
            <w:r>
              <w:rPr>
                <w:rFonts w:eastAsiaTheme="minorEastAsia" w:hint="eastAsia"/>
                <w:szCs w:val="21"/>
              </w:rPr>
              <w:t>☑</w:t>
            </w:r>
            <w:r>
              <w:rPr>
                <w:rFonts w:eastAsiaTheme="minorEastAsia"/>
                <w:b w:val="0"/>
                <w:color w:val="auto"/>
                <w:sz w:val="21"/>
                <w:szCs w:val="21"/>
              </w:rPr>
              <w:t xml:space="preserve">  </w:t>
            </w:r>
            <w:r>
              <w:rPr>
                <w:rFonts w:eastAsiaTheme="minorEastAsia"/>
                <w:b w:val="0"/>
                <w:color w:val="auto"/>
                <w:sz w:val="21"/>
                <w:szCs w:val="21"/>
              </w:rPr>
              <w:t>最大</w:t>
            </w:r>
            <w:r>
              <w:rPr>
                <w:rFonts w:eastAsiaTheme="minorEastAsia"/>
                <w:b w:val="0"/>
                <w:color w:val="auto"/>
                <w:sz w:val="21"/>
                <w:szCs w:val="21"/>
              </w:rPr>
              <w:t>A</w:t>
            </w:r>
            <w:r>
              <w:rPr>
                <w:rFonts w:eastAsiaTheme="minorEastAsia"/>
                <w:b w:val="0"/>
                <w:color w:val="auto"/>
                <w:sz w:val="21"/>
                <w:szCs w:val="21"/>
              </w:rPr>
              <w:t>声级</w:t>
            </w:r>
            <w:r>
              <w:rPr>
                <w:rFonts w:eastAsiaTheme="minorEastAsia"/>
                <w:b w:val="0"/>
                <w:color w:val="auto"/>
                <w:sz w:val="21"/>
                <w:szCs w:val="21"/>
              </w:rPr>
              <w:t xml:space="preserve">□  </w:t>
            </w:r>
            <w:r>
              <w:rPr>
                <w:rFonts w:eastAsiaTheme="minorEastAsia"/>
                <w:b w:val="0"/>
                <w:color w:val="auto"/>
                <w:sz w:val="21"/>
                <w:szCs w:val="21"/>
              </w:rPr>
              <w:t>计权等效连续感觉噪声级</w:t>
            </w:r>
            <w:r>
              <w:rPr>
                <w:rFonts w:eastAsiaTheme="minorEastAsia"/>
                <w:b w:val="0"/>
                <w:color w:val="auto"/>
                <w:sz w:val="21"/>
                <w:szCs w:val="21"/>
              </w:rPr>
              <w:t>□</w:t>
            </w:r>
          </w:p>
        </w:tc>
      </w:tr>
      <w:tr w:rsidR="00B14D53" w14:paraId="39628B59" w14:textId="77777777">
        <w:trPr>
          <w:jc w:val="center"/>
        </w:trPr>
        <w:tc>
          <w:tcPr>
            <w:tcW w:w="891" w:type="dxa"/>
            <w:vMerge/>
            <w:vAlign w:val="center"/>
          </w:tcPr>
          <w:p w14:paraId="2948DB03" w14:textId="77777777" w:rsidR="00B14D53" w:rsidRDefault="00B14D53">
            <w:pPr>
              <w:pStyle w:val="TOC2"/>
              <w:spacing w:before="0" w:line="240" w:lineRule="auto"/>
              <w:ind w:left="0" w:firstLineChars="0" w:firstLine="0"/>
              <w:jc w:val="center"/>
              <w:rPr>
                <w:rFonts w:eastAsiaTheme="minorEastAsia"/>
                <w:b w:val="0"/>
                <w:color w:val="auto"/>
                <w:sz w:val="21"/>
                <w:szCs w:val="21"/>
              </w:rPr>
            </w:pPr>
          </w:p>
        </w:tc>
        <w:tc>
          <w:tcPr>
            <w:tcW w:w="1275" w:type="dxa"/>
            <w:vAlign w:val="center"/>
          </w:tcPr>
          <w:p w14:paraId="6B06C047"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厂界噪声贡献值</w:t>
            </w:r>
          </w:p>
        </w:tc>
        <w:tc>
          <w:tcPr>
            <w:tcW w:w="6237" w:type="dxa"/>
            <w:gridSpan w:val="7"/>
            <w:vAlign w:val="center"/>
          </w:tcPr>
          <w:p w14:paraId="7D0B665A"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达标</w:t>
            </w:r>
            <w:r>
              <w:rPr>
                <w:rFonts w:eastAsiaTheme="minorEastAsia" w:hint="eastAsia"/>
                <w:szCs w:val="21"/>
              </w:rPr>
              <w:t>☑</w:t>
            </w:r>
            <w:r>
              <w:rPr>
                <w:rFonts w:eastAsiaTheme="minorEastAsia"/>
                <w:b w:val="0"/>
                <w:color w:val="auto"/>
                <w:sz w:val="21"/>
                <w:szCs w:val="21"/>
              </w:rPr>
              <w:t xml:space="preserve">  </w:t>
            </w:r>
            <w:r>
              <w:rPr>
                <w:rFonts w:eastAsiaTheme="minorEastAsia"/>
                <w:b w:val="0"/>
                <w:color w:val="auto"/>
                <w:sz w:val="21"/>
                <w:szCs w:val="21"/>
              </w:rPr>
              <w:t>不达标</w:t>
            </w:r>
            <w:r>
              <w:rPr>
                <w:rFonts w:eastAsiaTheme="minorEastAsia"/>
                <w:b w:val="0"/>
                <w:color w:val="auto"/>
                <w:sz w:val="21"/>
                <w:szCs w:val="21"/>
              </w:rPr>
              <w:t>□</w:t>
            </w:r>
          </w:p>
        </w:tc>
      </w:tr>
      <w:tr w:rsidR="00B14D53" w14:paraId="2A7B9AE4" w14:textId="77777777">
        <w:trPr>
          <w:jc w:val="center"/>
        </w:trPr>
        <w:tc>
          <w:tcPr>
            <w:tcW w:w="891" w:type="dxa"/>
            <w:vMerge/>
            <w:vAlign w:val="center"/>
          </w:tcPr>
          <w:p w14:paraId="1488AA87" w14:textId="77777777" w:rsidR="00B14D53" w:rsidRDefault="00B14D53">
            <w:pPr>
              <w:pStyle w:val="TOC2"/>
              <w:spacing w:before="0" w:line="240" w:lineRule="auto"/>
              <w:ind w:left="0" w:firstLineChars="0" w:firstLine="0"/>
              <w:jc w:val="center"/>
              <w:rPr>
                <w:rFonts w:eastAsiaTheme="minorEastAsia"/>
                <w:b w:val="0"/>
                <w:color w:val="auto"/>
                <w:sz w:val="21"/>
                <w:szCs w:val="21"/>
              </w:rPr>
            </w:pPr>
          </w:p>
        </w:tc>
        <w:tc>
          <w:tcPr>
            <w:tcW w:w="1275" w:type="dxa"/>
            <w:vAlign w:val="center"/>
          </w:tcPr>
          <w:p w14:paraId="5A02C4AC"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声环境保护目标出噪声值</w:t>
            </w:r>
          </w:p>
        </w:tc>
        <w:tc>
          <w:tcPr>
            <w:tcW w:w="6237" w:type="dxa"/>
            <w:gridSpan w:val="7"/>
            <w:vAlign w:val="center"/>
          </w:tcPr>
          <w:p w14:paraId="373FED33"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达标</w:t>
            </w:r>
            <w:r>
              <w:rPr>
                <w:rFonts w:eastAsiaTheme="minorEastAsia"/>
                <w:b w:val="0"/>
                <w:color w:val="auto"/>
                <w:sz w:val="21"/>
                <w:szCs w:val="21"/>
              </w:rPr>
              <w:t xml:space="preserve">□  </w:t>
            </w:r>
            <w:r>
              <w:rPr>
                <w:rFonts w:eastAsiaTheme="minorEastAsia"/>
                <w:b w:val="0"/>
                <w:color w:val="auto"/>
                <w:sz w:val="21"/>
                <w:szCs w:val="21"/>
              </w:rPr>
              <w:t>不达标</w:t>
            </w:r>
            <w:r>
              <w:rPr>
                <w:rFonts w:eastAsiaTheme="minorEastAsia"/>
                <w:b w:val="0"/>
                <w:color w:val="auto"/>
                <w:sz w:val="21"/>
                <w:szCs w:val="21"/>
              </w:rPr>
              <w:t>□</w:t>
            </w:r>
          </w:p>
        </w:tc>
      </w:tr>
      <w:tr w:rsidR="00B14D53" w14:paraId="2B693EDC" w14:textId="77777777">
        <w:trPr>
          <w:jc w:val="center"/>
        </w:trPr>
        <w:tc>
          <w:tcPr>
            <w:tcW w:w="891" w:type="dxa"/>
            <w:vMerge w:val="restart"/>
            <w:vAlign w:val="center"/>
          </w:tcPr>
          <w:p w14:paraId="62F1DCBD"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环境监测计划</w:t>
            </w:r>
          </w:p>
        </w:tc>
        <w:tc>
          <w:tcPr>
            <w:tcW w:w="1275" w:type="dxa"/>
            <w:vAlign w:val="center"/>
          </w:tcPr>
          <w:p w14:paraId="73AE3C89"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排放监测</w:t>
            </w:r>
          </w:p>
        </w:tc>
        <w:tc>
          <w:tcPr>
            <w:tcW w:w="6237" w:type="dxa"/>
            <w:gridSpan w:val="7"/>
            <w:vAlign w:val="center"/>
          </w:tcPr>
          <w:p w14:paraId="7E5559F6"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厂界监测</w:t>
            </w:r>
            <w:r>
              <w:rPr>
                <w:rFonts w:eastAsiaTheme="minorEastAsia"/>
                <w:b w:val="0"/>
                <w:color w:val="auto"/>
                <w:sz w:val="21"/>
                <w:szCs w:val="21"/>
              </w:rPr>
              <w:t xml:space="preserve">□ </w:t>
            </w:r>
            <w:r>
              <w:rPr>
                <w:rFonts w:eastAsiaTheme="minorEastAsia"/>
                <w:b w:val="0"/>
                <w:color w:val="auto"/>
                <w:sz w:val="21"/>
                <w:szCs w:val="21"/>
              </w:rPr>
              <w:t>固定位置监测</w:t>
            </w:r>
            <w:r>
              <w:rPr>
                <w:rFonts w:eastAsiaTheme="minorEastAsia"/>
                <w:b w:val="0"/>
                <w:color w:val="auto"/>
                <w:sz w:val="21"/>
                <w:szCs w:val="21"/>
              </w:rPr>
              <w:t xml:space="preserve">□  </w:t>
            </w:r>
            <w:r>
              <w:rPr>
                <w:rFonts w:eastAsiaTheme="minorEastAsia"/>
                <w:b w:val="0"/>
                <w:color w:val="auto"/>
                <w:sz w:val="21"/>
                <w:szCs w:val="21"/>
              </w:rPr>
              <w:t>自动监测</w:t>
            </w:r>
            <w:r>
              <w:rPr>
                <w:rFonts w:eastAsiaTheme="minorEastAsia"/>
                <w:b w:val="0"/>
                <w:color w:val="auto"/>
                <w:sz w:val="21"/>
                <w:szCs w:val="21"/>
              </w:rPr>
              <w:t xml:space="preserve">□ </w:t>
            </w:r>
            <w:r>
              <w:rPr>
                <w:rFonts w:eastAsiaTheme="minorEastAsia"/>
                <w:b w:val="0"/>
                <w:color w:val="auto"/>
                <w:sz w:val="21"/>
                <w:szCs w:val="21"/>
              </w:rPr>
              <w:t>手动监测</w:t>
            </w:r>
            <w:r>
              <w:rPr>
                <w:rFonts w:eastAsiaTheme="minorEastAsia" w:hint="eastAsia"/>
                <w:szCs w:val="21"/>
              </w:rPr>
              <w:t>☑</w:t>
            </w:r>
            <w:r>
              <w:rPr>
                <w:rFonts w:eastAsiaTheme="minorEastAsia"/>
                <w:b w:val="0"/>
                <w:color w:val="auto"/>
                <w:sz w:val="21"/>
                <w:szCs w:val="21"/>
              </w:rPr>
              <w:t xml:space="preserve">  </w:t>
            </w:r>
            <w:r>
              <w:rPr>
                <w:rFonts w:eastAsiaTheme="minorEastAsia"/>
                <w:b w:val="0"/>
                <w:color w:val="auto"/>
                <w:sz w:val="21"/>
                <w:szCs w:val="21"/>
              </w:rPr>
              <w:t>无监测</w:t>
            </w:r>
            <w:r>
              <w:rPr>
                <w:rFonts w:eastAsiaTheme="minorEastAsia"/>
                <w:b w:val="0"/>
                <w:color w:val="auto"/>
                <w:sz w:val="21"/>
                <w:szCs w:val="21"/>
              </w:rPr>
              <w:t>□</w:t>
            </w:r>
          </w:p>
        </w:tc>
      </w:tr>
      <w:tr w:rsidR="00B14D53" w14:paraId="285954F7" w14:textId="77777777">
        <w:trPr>
          <w:jc w:val="center"/>
        </w:trPr>
        <w:tc>
          <w:tcPr>
            <w:tcW w:w="891" w:type="dxa"/>
            <w:vMerge/>
            <w:vAlign w:val="center"/>
          </w:tcPr>
          <w:p w14:paraId="7F9D4793" w14:textId="77777777" w:rsidR="00B14D53" w:rsidRDefault="00B14D53">
            <w:pPr>
              <w:pStyle w:val="TOC2"/>
              <w:spacing w:before="0" w:line="240" w:lineRule="auto"/>
              <w:ind w:left="0" w:firstLineChars="0" w:firstLine="0"/>
              <w:jc w:val="center"/>
              <w:rPr>
                <w:rFonts w:eastAsiaTheme="minorEastAsia"/>
                <w:b w:val="0"/>
                <w:color w:val="auto"/>
                <w:sz w:val="21"/>
                <w:szCs w:val="21"/>
              </w:rPr>
            </w:pPr>
          </w:p>
        </w:tc>
        <w:tc>
          <w:tcPr>
            <w:tcW w:w="1275" w:type="dxa"/>
            <w:vAlign w:val="center"/>
          </w:tcPr>
          <w:p w14:paraId="4FCFC172"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声环境保护目标处噪声监测</w:t>
            </w:r>
          </w:p>
        </w:tc>
        <w:tc>
          <w:tcPr>
            <w:tcW w:w="2835" w:type="dxa"/>
            <w:gridSpan w:val="3"/>
            <w:vAlign w:val="center"/>
          </w:tcPr>
          <w:p w14:paraId="703D13BE"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监测因子：（）</w:t>
            </w:r>
          </w:p>
        </w:tc>
        <w:tc>
          <w:tcPr>
            <w:tcW w:w="2127" w:type="dxa"/>
            <w:gridSpan w:val="3"/>
            <w:vAlign w:val="center"/>
          </w:tcPr>
          <w:p w14:paraId="722B5E5A"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监测点位数（）</w:t>
            </w:r>
          </w:p>
        </w:tc>
        <w:tc>
          <w:tcPr>
            <w:tcW w:w="1275" w:type="dxa"/>
            <w:vAlign w:val="center"/>
          </w:tcPr>
          <w:p w14:paraId="04CF8621"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无监测</w:t>
            </w:r>
            <w:r>
              <w:rPr>
                <w:rFonts w:eastAsiaTheme="minorEastAsia"/>
                <w:b w:val="0"/>
                <w:color w:val="auto"/>
                <w:sz w:val="21"/>
                <w:szCs w:val="21"/>
              </w:rPr>
              <w:t>√</w:t>
            </w:r>
          </w:p>
        </w:tc>
      </w:tr>
      <w:tr w:rsidR="00B14D53" w14:paraId="6B38D84D" w14:textId="77777777">
        <w:trPr>
          <w:jc w:val="center"/>
        </w:trPr>
        <w:tc>
          <w:tcPr>
            <w:tcW w:w="891" w:type="dxa"/>
            <w:vAlign w:val="center"/>
          </w:tcPr>
          <w:p w14:paraId="061D4B52"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评价</w:t>
            </w:r>
          </w:p>
          <w:p w14:paraId="2CDF361F"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结论</w:t>
            </w:r>
          </w:p>
        </w:tc>
        <w:tc>
          <w:tcPr>
            <w:tcW w:w="1275" w:type="dxa"/>
            <w:vAlign w:val="center"/>
          </w:tcPr>
          <w:p w14:paraId="0A2C18FC"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环境影响</w:t>
            </w:r>
          </w:p>
        </w:tc>
        <w:tc>
          <w:tcPr>
            <w:tcW w:w="6237" w:type="dxa"/>
            <w:gridSpan w:val="7"/>
            <w:vAlign w:val="center"/>
          </w:tcPr>
          <w:p w14:paraId="58C7273B"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可行</w:t>
            </w:r>
            <w:r>
              <w:rPr>
                <w:rFonts w:eastAsiaTheme="minorEastAsia" w:hint="eastAsia"/>
                <w:szCs w:val="21"/>
              </w:rPr>
              <w:t>☑</w:t>
            </w:r>
            <w:r>
              <w:rPr>
                <w:rFonts w:eastAsiaTheme="minorEastAsia"/>
                <w:b w:val="0"/>
                <w:color w:val="auto"/>
                <w:sz w:val="21"/>
                <w:szCs w:val="21"/>
              </w:rPr>
              <w:t xml:space="preserve"> </w:t>
            </w:r>
            <w:r>
              <w:rPr>
                <w:rFonts w:eastAsiaTheme="minorEastAsia"/>
                <w:b w:val="0"/>
                <w:color w:val="auto"/>
                <w:sz w:val="21"/>
                <w:szCs w:val="21"/>
              </w:rPr>
              <w:t>不可行</w:t>
            </w:r>
            <w:r>
              <w:rPr>
                <w:rFonts w:eastAsiaTheme="minorEastAsia"/>
                <w:b w:val="0"/>
                <w:color w:val="auto"/>
                <w:sz w:val="21"/>
                <w:szCs w:val="21"/>
              </w:rPr>
              <w:t>□</w:t>
            </w:r>
          </w:p>
        </w:tc>
      </w:tr>
      <w:tr w:rsidR="00B14D53" w14:paraId="61BF41B4" w14:textId="77777777">
        <w:trPr>
          <w:jc w:val="center"/>
        </w:trPr>
        <w:tc>
          <w:tcPr>
            <w:tcW w:w="8403" w:type="dxa"/>
            <w:gridSpan w:val="9"/>
            <w:vAlign w:val="center"/>
          </w:tcPr>
          <w:p w14:paraId="7ECEE1F4" w14:textId="77777777" w:rsidR="00B14D53" w:rsidRDefault="00000000">
            <w:pPr>
              <w:pStyle w:val="TOC2"/>
              <w:spacing w:before="0" w:line="240" w:lineRule="auto"/>
              <w:ind w:left="0" w:firstLineChars="0" w:firstLine="0"/>
              <w:jc w:val="center"/>
              <w:rPr>
                <w:rFonts w:eastAsiaTheme="minorEastAsia"/>
                <w:b w:val="0"/>
                <w:color w:val="auto"/>
                <w:sz w:val="21"/>
                <w:szCs w:val="21"/>
              </w:rPr>
            </w:pPr>
            <w:r>
              <w:rPr>
                <w:rFonts w:eastAsiaTheme="minorEastAsia"/>
                <w:b w:val="0"/>
                <w:color w:val="auto"/>
                <w:sz w:val="21"/>
                <w:szCs w:val="21"/>
              </w:rPr>
              <w:t>注：</w:t>
            </w:r>
            <w:r>
              <w:rPr>
                <w:rFonts w:eastAsiaTheme="minorEastAsia"/>
                <w:b w:val="0"/>
                <w:color w:val="auto"/>
                <w:sz w:val="21"/>
                <w:szCs w:val="21"/>
              </w:rPr>
              <w:t xml:space="preserve">“□” </w:t>
            </w:r>
            <w:r>
              <w:rPr>
                <w:rFonts w:eastAsiaTheme="minorEastAsia"/>
                <w:b w:val="0"/>
                <w:color w:val="auto"/>
                <w:sz w:val="21"/>
                <w:szCs w:val="21"/>
              </w:rPr>
              <w:t>为勾选项</w:t>
            </w:r>
            <w:r>
              <w:rPr>
                <w:rFonts w:eastAsiaTheme="minorEastAsia"/>
                <w:b w:val="0"/>
                <w:color w:val="auto"/>
                <w:sz w:val="21"/>
                <w:szCs w:val="21"/>
              </w:rPr>
              <w:t xml:space="preserve"> </w:t>
            </w:r>
            <w:r>
              <w:rPr>
                <w:rFonts w:eastAsiaTheme="minorEastAsia"/>
                <w:b w:val="0"/>
                <w:color w:val="auto"/>
                <w:sz w:val="21"/>
                <w:szCs w:val="21"/>
              </w:rPr>
              <w:t>，可</w:t>
            </w:r>
            <w:r>
              <w:rPr>
                <w:rFonts w:eastAsiaTheme="minorEastAsia"/>
                <w:b w:val="0"/>
                <w:color w:val="auto"/>
                <w:sz w:val="21"/>
                <w:szCs w:val="21"/>
              </w:rPr>
              <w:t xml:space="preserve">√ </w:t>
            </w:r>
            <w:r>
              <w:rPr>
                <w:rFonts w:eastAsiaTheme="minorEastAsia"/>
                <w:b w:val="0"/>
                <w:color w:val="auto"/>
                <w:sz w:val="21"/>
                <w:szCs w:val="21"/>
              </w:rPr>
              <w:t>；</w:t>
            </w:r>
            <w:r>
              <w:rPr>
                <w:rFonts w:eastAsiaTheme="minorEastAsia"/>
                <w:b w:val="0"/>
                <w:color w:val="auto"/>
                <w:sz w:val="21"/>
                <w:szCs w:val="21"/>
              </w:rPr>
              <w:t>“</w:t>
            </w:r>
            <w:r>
              <w:rPr>
                <w:rFonts w:eastAsiaTheme="minorEastAsia"/>
                <w:b w:val="0"/>
                <w:color w:val="auto"/>
                <w:sz w:val="21"/>
                <w:szCs w:val="21"/>
              </w:rPr>
              <w:t>（</w:t>
            </w:r>
            <w:r>
              <w:rPr>
                <w:rFonts w:eastAsiaTheme="minorEastAsia"/>
                <w:b w:val="0"/>
                <w:color w:val="auto"/>
                <w:sz w:val="21"/>
                <w:szCs w:val="21"/>
              </w:rPr>
              <w:t xml:space="preserve"> </w:t>
            </w:r>
            <w:r>
              <w:rPr>
                <w:rFonts w:eastAsiaTheme="minorEastAsia"/>
                <w:b w:val="0"/>
                <w:color w:val="auto"/>
                <w:sz w:val="21"/>
                <w:szCs w:val="21"/>
              </w:rPr>
              <w:t>）</w:t>
            </w:r>
            <w:r>
              <w:rPr>
                <w:rFonts w:eastAsiaTheme="minorEastAsia"/>
                <w:b w:val="0"/>
                <w:color w:val="auto"/>
                <w:sz w:val="21"/>
                <w:szCs w:val="21"/>
              </w:rPr>
              <w:t xml:space="preserve">” </w:t>
            </w:r>
            <w:r>
              <w:rPr>
                <w:rFonts w:eastAsiaTheme="minorEastAsia"/>
                <w:b w:val="0"/>
                <w:color w:val="auto"/>
                <w:sz w:val="21"/>
                <w:szCs w:val="21"/>
              </w:rPr>
              <w:t>为内容填写项。</w:t>
            </w:r>
          </w:p>
        </w:tc>
      </w:tr>
    </w:tbl>
    <w:p w14:paraId="01487E2C" w14:textId="77777777" w:rsidR="00B14D53" w:rsidRDefault="00B14D53">
      <w:pPr>
        <w:pStyle w:val="TOC2"/>
        <w:ind w:firstLine="426"/>
        <w:rPr>
          <w:rFonts w:eastAsiaTheme="minorEastAsia"/>
          <w:color w:val="auto"/>
        </w:rPr>
      </w:pPr>
    </w:p>
    <w:p w14:paraId="551D010D" w14:textId="77777777" w:rsidR="00B14D53" w:rsidRDefault="00B14D53">
      <w:pPr>
        <w:spacing w:after="316" w:line="1" w:lineRule="exact"/>
        <w:rPr>
          <w:rFonts w:eastAsiaTheme="minorEastAsia"/>
        </w:rPr>
      </w:pPr>
    </w:p>
    <w:p w14:paraId="54BE29DD" w14:textId="77777777" w:rsidR="00B14D53" w:rsidRDefault="00B14D53">
      <w:pPr>
        <w:spacing w:after="316" w:line="1" w:lineRule="exact"/>
        <w:rPr>
          <w:rFonts w:eastAsiaTheme="minorEastAsia"/>
        </w:rPr>
      </w:pPr>
    </w:p>
    <w:p w14:paraId="1E58D5EF" w14:textId="77777777" w:rsidR="00B14D53" w:rsidRDefault="00B14D53">
      <w:pPr>
        <w:spacing w:after="316" w:line="1" w:lineRule="exact"/>
        <w:rPr>
          <w:rFonts w:eastAsiaTheme="minorEastAsia"/>
        </w:rPr>
      </w:pPr>
    </w:p>
    <w:p w14:paraId="5113F2B6" w14:textId="77777777" w:rsidR="00B14D53" w:rsidRDefault="00B14D53">
      <w:pPr>
        <w:spacing w:line="360" w:lineRule="auto"/>
        <w:ind w:firstLineChars="200" w:firstLine="480"/>
        <w:rPr>
          <w:rFonts w:eastAsiaTheme="minorEastAsia"/>
          <w:kern w:val="18"/>
          <w:sz w:val="24"/>
          <w:szCs w:val="21"/>
        </w:rPr>
      </w:pPr>
    </w:p>
    <w:p w14:paraId="05531580" w14:textId="77777777" w:rsidR="00B14D53" w:rsidRDefault="00B14D53">
      <w:pPr>
        <w:spacing w:line="360" w:lineRule="auto"/>
        <w:ind w:firstLineChars="200" w:firstLine="480"/>
        <w:rPr>
          <w:rFonts w:eastAsiaTheme="minorEastAsia"/>
          <w:kern w:val="18"/>
          <w:sz w:val="24"/>
          <w:szCs w:val="21"/>
        </w:rPr>
      </w:pPr>
    </w:p>
    <w:sectPr w:rsidR="00B14D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6F562" w14:textId="77777777" w:rsidR="008E3600" w:rsidRDefault="008E3600">
      <w:r>
        <w:separator/>
      </w:r>
    </w:p>
  </w:endnote>
  <w:endnote w:type="continuationSeparator" w:id="0">
    <w:p w14:paraId="45DBC1B1" w14:textId="77777777" w:rsidR="008E3600" w:rsidRDefault="008E3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TimesNewRomanPSMT">
    <w:altName w:val="Times New Roman"/>
    <w:charset w:val="00"/>
    <w:family w:val="roman"/>
    <w:pitch w:val="default"/>
  </w:font>
  <w:font w:name="昆仑仿宋">
    <w:altName w:val="宋体"/>
    <w:charset w:val="86"/>
    <w:family w:val="moder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MingLiU">
    <w:altName w:val="細明體"/>
    <w:panose1 w:val="02020309000000000000"/>
    <w:charset w:val="88"/>
    <w:family w:val="modern"/>
    <w:pitch w:val="fixed"/>
    <w:sig w:usb0="00000003" w:usb1="080E0000"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inancial  (MF)">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00"/>
    <w:family w:val="auto"/>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Tms Rmn">
    <w:panose1 w:val="02020603040505020304"/>
    <w:charset w:val="00"/>
    <w:family w:val="roman"/>
    <w:pitch w:val="default"/>
    <w:sig w:usb0="00000000" w:usb1="00000000" w:usb2="00000000" w:usb3="00000000" w:csb0="00000001" w:csb1="00000000"/>
  </w:font>
  <w:font w:name="仿宋体">
    <w:altName w:val="宋体"/>
    <w:charset w:val="86"/>
    <w:family w:val="roman"/>
    <w:pitch w:val="default"/>
    <w:sig w:usb0="00000000" w:usb1="00000000" w:usb2="00000010" w:usb3="00000000" w:csb0="00040001"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S Shell Dlg">
    <w:altName w:val="Microsoft Sans Serif"/>
    <w:panose1 w:val="020B0604020202020204"/>
    <w:charset w:val="00"/>
    <w:family w:val="swiss"/>
    <w:pitch w:val="default"/>
    <w:sig w:usb0="00000000" w:usb1="00000000" w:usb2="00000029" w:usb3="00000000" w:csb0="000101FF" w:csb1="00000000"/>
  </w:font>
  <w:font w:name="汉鼎简书宋">
    <w:altName w:val="宋体"/>
    <w:charset w:val="86"/>
    <w:family w:val="modern"/>
    <w:pitch w:val="default"/>
    <w:sig w:usb0="00000000" w:usb1="00000000" w:usb2="00000010" w:usb3="00000000" w:csb0="00040000" w:csb1="00000000"/>
  </w:font>
  <w:font w:name="TimesNewRomanPS-ItalicMT">
    <w:altName w:val="Times New Roman"/>
    <w:charset w:val="00"/>
    <w:family w:val="roman"/>
    <w:pitch w:val="default"/>
  </w:font>
  <w:font w:name="Helvetica">
    <w:panose1 w:val="020B0504020202030204"/>
    <w:charset w:val="00"/>
    <w:family w:val="swiss"/>
    <w:pitch w:val="variable"/>
    <w:sig w:usb0="00000003" w:usb1="00000000" w:usb2="00000000" w:usb3="00000000" w:csb0="00000001" w:csb1="00000000"/>
  </w:font>
  <w:font w:name="SymbolMT">
    <w:altName w:val="Yu Gothic"/>
    <w:charset w:val="80"/>
    <w:family w:val="auto"/>
    <w:pitch w:val="default"/>
    <w:sig w:usb0="00000000" w:usb1="00000000" w:usb2="00000010" w:usb3="00000000" w:csb0="0002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14F5" w14:textId="77777777" w:rsidR="00B14D53" w:rsidRDefault="00B14D53">
    <w:pPr>
      <w:pStyle w:val="afc"/>
      <w:jc w:val="center"/>
    </w:pPr>
  </w:p>
  <w:p w14:paraId="4FDAC448" w14:textId="77777777" w:rsidR="00B14D53" w:rsidRDefault="00B14D53">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B8A1" w14:textId="77777777" w:rsidR="00B14D53" w:rsidRDefault="00000000">
    <w:pPr>
      <w:pStyle w:val="afc"/>
      <w:jc w:val="center"/>
    </w:pPr>
    <w:r>
      <w:rPr>
        <w:noProof/>
      </w:rPr>
      <mc:AlternateContent>
        <mc:Choice Requires="wps">
          <w:drawing>
            <wp:anchor distT="0" distB="0" distL="114300" distR="114300" simplePos="0" relativeHeight="251660288" behindDoc="0" locked="0" layoutInCell="1" allowOverlap="1" wp14:anchorId="73ED0DD6" wp14:editId="6838B224">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43"/>
                          </w:sdtPr>
                          <w:sdtContent>
                            <w:p w14:paraId="12AED5B4" w14:textId="77777777" w:rsidR="00B14D53" w:rsidRDefault="00000000">
                              <w:pPr>
                                <w:pStyle w:val="afc"/>
                                <w:jc w:val="center"/>
                              </w:pPr>
                              <w:r>
                                <w:fldChar w:fldCharType="begin"/>
                              </w:r>
                              <w:r>
                                <w:instrText xml:space="preserve"> PAGE   \* MERGEFORMAT </w:instrText>
                              </w:r>
                              <w:r>
                                <w:fldChar w:fldCharType="separate"/>
                              </w:r>
                              <w:r>
                                <w:rPr>
                                  <w:lang w:val="zh-CN"/>
                                </w:rPr>
                                <w:t>46</w:t>
                              </w:r>
                              <w:r>
                                <w:rPr>
                                  <w:lang w:val="zh-CN"/>
                                </w:rPr>
                                <w:fldChar w:fldCharType="end"/>
                              </w:r>
                            </w:p>
                          </w:sdtContent>
                        </w:sdt>
                        <w:p w14:paraId="58491D86" w14:textId="77777777" w:rsidR="00B14D53" w:rsidRDefault="00B14D5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sdt>
                    <w:sdtPr>
                      <w:id w:val="147477443"/>
                    </w:sdtPr>
                    <w:sdtContent>
                      <w:p w14:paraId="48BFB862">
                        <w:pPr>
                          <w:pStyle w:val="31"/>
                          <w:jc w:val="center"/>
                        </w:pPr>
                        <w:r>
                          <w:fldChar w:fldCharType="begin"/>
                        </w:r>
                        <w:r>
                          <w:instrText xml:space="preserve"> PAGE   \* MERGEFORMAT </w:instrText>
                        </w:r>
                        <w:r>
                          <w:fldChar w:fldCharType="separate"/>
                        </w:r>
                        <w:r>
                          <w:rPr>
                            <w:lang w:val="zh-CN"/>
                          </w:rPr>
                          <w:t>46</w:t>
                        </w:r>
                        <w:r>
                          <w:rPr>
                            <w:lang w:val="zh-CN"/>
                          </w:rPr>
                          <w:fldChar w:fldCharType="end"/>
                        </w:r>
                      </w:p>
                    </w:sdtContent>
                  </w:sdt>
                  <w:p w14:paraId="1055255E"/>
                </w:txbxContent>
              </v:textbox>
            </v:shape>
          </w:pict>
        </mc:Fallback>
      </mc:AlternateContent>
    </w:r>
  </w:p>
  <w:p w14:paraId="10E2E703" w14:textId="77777777" w:rsidR="00B14D53" w:rsidRDefault="00B14D53">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E2FE" w14:textId="77777777" w:rsidR="00B14D53" w:rsidRDefault="00000000">
    <w:pPr>
      <w:pStyle w:val="afc"/>
      <w:jc w:val="center"/>
    </w:pPr>
    <w:r>
      <w:rPr>
        <w:noProof/>
      </w:rPr>
      <mc:AlternateContent>
        <mc:Choice Requires="wps">
          <w:drawing>
            <wp:anchor distT="0" distB="0" distL="114300" distR="114300" simplePos="0" relativeHeight="251661312" behindDoc="0" locked="0" layoutInCell="1" allowOverlap="1" wp14:anchorId="62170264" wp14:editId="27C3A513">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975"/>
                          </w:sdtPr>
                          <w:sdtContent>
                            <w:p w14:paraId="4C8BC954" w14:textId="77777777" w:rsidR="00B14D53" w:rsidRDefault="00000000">
                              <w:pPr>
                                <w:pStyle w:val="afc"/>
                                <w:jc w:val="center"/>
                              </w:pPr>
                              <w:r>
                                <w:fldChar w:fldCharType="begin"/>
                              </w:r>
                              <w:r>
                                <w:instrText xml:space="preserve"> PAGE   \* MERGEFORMAT </w:instrText>
                              </w:r>
                              <w:r>
                                <w:fldChar w:fldCharType="separate"/>
                              </w:r>
                              <w:r>
                                <w:rPr>
                                  <w:lang w:val="zh-CN"/>
                                </w:rPr>
                                <w:t>46</w:t>
                              </w:r>
                              <w:r>
                                <w:rPr>
                                  <w:lang w:val="zh-CN"/>
                                </w:rPr>
                                <w:fldChar w:fldCharType="end"/>
                              </w:r>
                            </w:p>
                          </w:sdtContent>
                        </w:sdt>
                        <w:p w14:paraId="29B76B51" w14:textId="77777777" w:rsidR="00B14D53" w:rsidRDefault="00B14D5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sdt>
                    <w:sdtPr>
                      <w:id w:val="147470975"/>
                    </w:sdtPr>
                    <w:sdtContent>
                      <w:p w14:paraId="40B5F1DE">
                        <w:pPr>
                          <w:pStyle w:val="31"/>
                          <w:jc w:val="center"/>
                        </w:pPr>
                        <w:r>
                          <w:fldChar w:fldCharType="begin"/>
                        </w:r>
                        <w:r>
                          <w:instrText xml:space="preserve"> PAGE   \* MERGEFORMAT </w:instrText>
                        </w:r>
                        <w:r>
                          <w:fldChar w:fldCharType="separate"/>
                        </w:r>
                        <w:r>
                          <w:rPr>
                            <w:lang w:val="zh-CN"/>
                          </w:rPr>
                          <w:t>46</w:t>
                        </w:r>
                        <w:r>
                          <w:rPr>
                            <w:lang w:val="zh-CN"/>
                          </w:rPr>
                          <w:fldChar w:fldCharType="end"/>
                        </w:r>
                      </w:p>
                    </w:sdtContent>
                  </w:sdt>
                  <w:p w14:paraId="1CFB18BC"/>
                </w:txbxContent>
              </v:textbox>
            </v:shape>
          </w:pict>
        </mc:Fallback>
      </mc:AlternateContent>
    </w:r>
  </w:p>
  <w:p w14:paraId="576CFFD7" w14:textId="77777777" w:rsidR="00B14D53" w:rsidRDefault="00B14D53">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6158" w14:textId="77777777" w:rsidR="00B14D53" w:rsidRDefault="00B14D53">
    <w:pPr>
      <w:pStyle w:val="afc"/>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23647" w14:textId="77777777" w:rsidR="00B14D53" w:rsidRDefault="00000000">
    <w:pPr>
      <w:pStyle w:val="afc"/>
      <w:ind w:firstLine="360"/>
      <w:jc w:val="center"/>
    </w:pPr>
    <w:r>
      <w:rPr>
        <w:noProof/>
      </w:rPr>
      <mc:AlternateContent>
        <mc:Choice Requires="wps">
          <w:drawing>
            <wp:anchor distT="0" distB="0" distL="114300" distR="114300" simplePos="0" relativeHeight="251662336" behindDoc="0" locked="0" layoutInCell="1" allowOverlap="1" wp14:anchorId="17A08F37" wp14:editId="05A2E522">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D72FA" w14:textId="77777777" w:rsidR="00B14D53" w:rsidRDefault="00000000">
                          <w:pPr>
                            <w:pStyle w:val="afc"/>
                            <w:ind w:firstLine="360"/>
                            <w:jc w:val="center"/>
                          </w:pPr>
                          <w:r>
                            <w:fldChar w:fldCharType="begin"/>
                          </w:r>
                          <w:r>
                            <w:instrText>PAGE   \* MERGEFORMAT</w:instrText>
                          </w:r>
                          <w:r>
                            <w:fldChar w:fldCharType="separate"/>
                          </w:r>
                          <w:r>
                            <w:rPr>
                              <w:lang w:val="zh-CN"/>
                            </w:rPr>
                            <w:t>196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CABCB67">
                    <w:pPr>
                      <w:pStyle w:val="31"/>
                      <w:ind w:firstLine="360"/>
                      <w:jc w:val="center"/>
                    </w:pPr>
                    <w:r>
                      <w:fldChar w:fldCharType="begin"/>
                    </w:r>
                    <w:r>
                      <w:instrText xml:space="preserve">PAGE   \* MERGEFORMAT</w:instrText>
                    </w:r>
                    <w:r>
                      <w:fldChar w:fldCharType="separate"/>
                    </w:r>
                    <w:r>
                      <w:rPr>
                        <w:lang w:val="zh-CN"/>
                      </w:rPr>
                      <w:t>196</w:t>
                    </w:r>
                    <w:r>
                      <w:rPr>
                        <w:lang w:val="zh-CN"/>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B062" w14:textId="77777777" w:rsidR="00B14D53" w:rsidRDefault="00B14D53">
    <w:pPr>
      <w:pStyle w:val="af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CFF62" w14:textId="77777777" w:rsidR="008E3600" w:rsidRDefault="008E3600">
      <w:r>
        <w:separator/>
      </w:r>
    </w:p>
  </w:footnote>
  <w:footnote w:type="continuationSeparator" w:id="0">
    <w:p w14:paraId="6FD5DBDF" w14:textId="77777777" w:rsidR="008E3600" w:rsidRDefault="008E3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3571" w14:textId="77777777" w:rsidR="00B14D53" w:rsidRDefault="00B14D53">
    <w:pPr>
      <w:jc w:val="center"/>
      <w:outlineLvl w:val="0"/>
      <w:rPr>
        <w:rFonts w:ascii="黑体" w:eastAsia="黑体" w:hAnsi="宋体" w:hint="eastAsi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9DEA7" w14:textId="77777777" w:rsidR="00B14D53" w:rsidRDefault="00000000">
    <w:pPr>
      <w:pBdr>
        <w:bottom w:val="single" w:sz="4" w:space="0" w:color="auto"/>
      </w:pBdr>
      <w:jc w:val="center"/>
      <w:outlineLvl w:val="0"/>
      <w:rPr>
        <w:rFonts w:ascii="宋体" w:hAnsi="宋体" w:hint="eastAsia"/>
        <w:b/>
        <w:bCs/>
        <w:sz w:val="18"/>
        <w:szCs w:val="18"/>
      </w:rPr>
    </w:pPr>
    <w:r>
      <w:rPr>
        <w:rFonts w:ascii="宋体" w:hAnsi="宋体" w:hint="eastAsia"/>
        <w:b/>
        <w:bCs/>
        <w:sz w:val="18"/>
        <w:szCs w:val="18"/>
      </w:rPr>
      <w:t>五常市三元肉类加工有限公司建设项目环境影响报告书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9CE1" w14:textId="77777777" w:rsidR="00B14D53" w:rsidRDefault="00B14D53">
    <w:pPr>
      <w:pStyle w:val="afd"/>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A82F" w14:textId="77777777" w:rsidR="00B14D53" w:rsidRDefault="00B14D53">
    <w:pPr>
      <w:pStyle w:val="af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81371B"/>
    <w:multiLevelType w:val="singleLevel"/>
    <w:tmpl w:val="E281371B"/>
    <w:lvl w:ilvl="0">
      <w:start w:val="1"/>
      <w:numFmt w:val="decimal"/>
      <w:suff w:val="nothing"/>
      <w:lvlText w:val="（%1）"/>
      <w:lvlJc w:val="left"/>
    </w:lvl>
  </w:abstractNum>
  <w:abstractNum w:abstractNumId="1" w15:restartNumberingAfterBreak="0">
    <w:nsid w:val="23C4EF29"/>
    <w:multiLevelType w:val="singleLevel"/>
    <w:tmpl w:val="23C4EF29"/>
    <w:lvl w:ilvl="0">
      <w:start w:val="1"/>
      <w:numFmt w:val="decimal"/>
      <w:suff w:val="nothing"/>
      <w:lvlText w:val="（%1）"/>
      <w:lvlJc w:val="left"/>
    </w:lvl>
  </w:abstractNum>
  <w:abstractNum w:abstractNumId="2" w15:restartNumberingAfterBreak="0">
    <w:nsid w:val="2A554106"/>
    <w:multiLevelType w:val="singleLevel"/>
    <w:tmpl w:val="2A554106"/>
    <w:lvl w:ilvl="0">
      <w:start w:val="1"/>
      <w:numFmt w:val="bullet"/>
      <w:pStyle w:val="3025"/>
      <w:lvlText w:val=""/>
      <w:lvlJc w:val="left"/>
      <w:pPr>
        <w:tabs>
          <w:tab w:val="left" w:pos="360"/>
        </w:tabs>
        <w:ind w:left="340" w:hanging="340"/>
      </w:pPr>
      <w:rPr>
        <w:rFonts w:ascii="Wingdings" w:hAnsi="Wingdings" w:hint="default"/>
        <w:sz w:val="21"/>
      </w:rPr>
    </w:lvl>
  </w:abstractNum>
  <w:abstractNum w:abstractNumId="3" w15:restartNumberingAfterBreak="0">
    <w:nsid w:val="2BC15394"/>
    <w:multiLevelType w:val="singleLevel"/>
    <w:tmpl w:val="2BC15394"/>
    <w:lvl w:ilvl="0">
      <w:numFmt w:val="none"/>
      <w:pStyle w:val="textstyle1"/>
      <w:lvlText w:val=""/>
      <w:lvlJc w:val="left"/>
      <w:pPr>
        <w:tabs>
          <w:tab w:val="left" w:pos="0"/>
        </w:tabs>
        <w:ind w:left="0" w:firstLine="0"/>
      </w:pPr>
      <w:rPr>
        <w:rFonts w:ascii="Wingdings" w:hAnsi="Wingdings" w:hint="default"/>
        <w:sz w:val="13"/>
      </w:rPr>
    </w:lvl>
  </w:abstractNum>
  <w:abstractNum w:abstractNumId="4" w15:restartNumberingAfterBreak="0">
    <w:nsid w:val="34DE924E"/>
    <w:multiLevelType w:val="singleLevel"/>
    <w:tmpl w:val="34DE924E"/>
    <w:lvl w:ilvl="0">
      <w:start w:val="1"/>
      <w:numFmt w:val="decimal"/>
      <w:suff w:val="nothing"/>
      <w:lvlText w:val="（%1）"/>
      <w:lvlJc w:val="left"/>
    </w:lvl>
  </w:abstractNum>
  <w:abstractNum w:abstractNumId="5" w15:restartNumberingAfterBreak="0">
    <w:nsid w:val="3991358E"/>
    <w:multiLevelType w:val="multilevel"/>
    <w:tmpl w:val="3991358E"/>
    <w:lvl w:ilvl="0">
      <w:start w:val="1"/>
      <w:numFmt w:val="japaneseCounting"/>
      <w:pStyle w:val="IDCA-Head2ndLine"/>
      <w:lvlText w:val="%1、"/>
      <w:lvlJc w:val="left"/>
      <w:pPr>
        <w:tabs>
          <w:tab w:val="left" w:pos="360"/>
        </w:tabs>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pStyle w:val="a"/>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8DB4020"/>
    <w:multiLevelType w:val="singleLevel"/>
    <w:tmpl w:val="48DB4020"/>
    <w:lvl w:ilvl="0">
      <w:start w:val="1"/>
      <w:numFmt w:val="bullet"/>
      <w:pStyle w:val="6"/>
      <w:lvlText w:val=""/>
      <w:lvlJc w:val="left"/>
      <w:pPr>
        <w:tabs>
          <w:tab w:val="left" w:pos="567"/>
        </w:tabs>
        <w:ind w:left="0" w:firstLine="567"/>
      </w:pPr>
      <w:rPr>
        <w:rFonts w:ascii="Symbol" w:hAnsi="Symbol" w:hint="default"/>
      </w:rPr>
    </w:lvl>
  </w:abstractNum>
  <w:abstractNum w:abstractNumId="7" w15:restartNumberingAfterBreak="0">
    <w:nsid w:val="56094615"/>
    <w:multiLevelType w:val="singleLevel"/>
    <w:tmpl w:val="56094615"/>
    <w:lvl w:ilvl="0">
      <w:start w:val="1"/>
      <w:numFmt w:val="bullet"/>
      <w:pStyle w:val="ltext2"/>
      <w:lvlText w:val=""/>
      <w:legacy w:legacy="1" w:legacySpace="0" w:legacyIndent="170"/>
      <w:lvlJc w:val="left"/>
      <w:pPr>
        <w:ind w:left="454" w:hanging="170"/>
      </w:pPr>
      <w:rPr>
        <w:rFonts w:ascii="Symbol" w:hAnsi="Symbol" w:hint="default"/>
      </w:rPr>
    </w:lvl>
  </w:abstractNum>
  <w:num w:numId="1" w16cid:durableId="1103263013">
    <w:abstractNumId w:val="5"/>
  </w:num>
  <w:num w:numId="2" w16cid:durableId="349720645">
    <w:abstractNumId w:val="6"/>
  </w:num>
  <w:num w:numId="3" w16cid:durableId="1546795379">
    <w:abstractNumId w:val="7"/>
  </w:num>
  <w:num w:numId="4" w16cid:durableId="1845591050">
    <w:abstractNumId w:val="3"/>
  </w:num>
  <w:num w:numId="5" w16cid:durableId="1000549778">
    <w:abstractNumId w:val="2"/>
  </w:num>
  <w:num w:numId="6" w16cid:durableId="894660636">
    <w:abstractNumId w:val="1"/>
  </w:num>
  <w:num w:numId="7" w16cid:durableId="2005550042">
    <w:abstractNumId w:val="0"/>
  </w:num>
  <w:num w:numId="8" w16cid:durableId="6325656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Y5MTllNGQ3ZmEwMTBjZWZiM2I3NDZiZjFlN2Y5YWMifQ=="/>
  </w:docVars>
  <w:rsids>
    <w:rsidRoot w:val="00CD6827"/>
    <w:rsid w:val="00000138"/>
    <w:rsid w:val="0000023D"/>
    <w:rsid w:val="0000041D"/>
    <w:rsid w:val="000004A7"/>
    <w:rsid w:val="000011D1"/>
    <w:rsid w:val="0000146A"/>
    <w:rsid w:val="00001804"/>
    <w:rsid w:val="00001DD1"/>
    <w:rsid w:val="00001DF9"/>
    <w:rsid w:val="00002043"/>
    <w:rsid w:val="000020FF"/>
    <w:rsid w:val="0000255E"/>
    <w:rsid w:val="000025FF"/>
    <w:rsid w:val="0000279E"/>
    <w:rsid w:val="00002951"/>
    <w:rsid w:val="00002ABF"/>
    <w:rsid w:val="00002FD9"/>
    <w:rsid w:val="00003A27"/>
    <w:rsid w:val="00003C78"/>
    <w:rsid w:val="00003DF8"/>
    <w:rsid w:val="00004860"/>
    <w:rsid w:val="000049F1"/>
    <w:rsid w:val="00005401"/>
    <w:rsid w:val="00005947"/>
    <w:rsid w:val="00005A05"/>
    <w:rsid w:val="00005A28"/>
    <w:rsid w:val="0000651B"/>
    <w:rsid w:val="00006ADC"/>
    <w:rsid w:val="00007492"/>
    <w:rsid w:val="00007D2B"/>
    <w:rsid w:val="00010C02"/>
    <w:rsid w:val="00011BCC"/>
    <w:rsid w:val="00011C2B"/>
    <w:rsid w:val="00011DDF"/>
    <w:rsid w:val="00012808"/>
    <w:rsid w:val="000129D5"/>
    <w:rsid w:val="00012C34"/>
    <w:rsid w:val="00013845"/>
    <w:rsid w:val="00013B90"/>
    <w:rsid w:val="00013C21"/>
    <w:rsid w:val="000143D8"/>
    <w:rsid w:val="000144EC"/>
    <w:rsid w:val="00014D1E"/>
    <w:rsid w:val="00015172"/>
    <w:rsid w:val="00015263"/>
    <w:rsid w:val="000157AE"/>
    <w:rsid w:val="000160FE"/>
    <w:rsid w:val="0001621E"/>
    <w:rsid w:val="000167F2"/>
    <w:rsid w:val="00016B71"/>
    <w:rsid w:val="00016F39"/>
    <w:rsid w:val="00017560"/>
    <w:rsid w:val="00017C0F"/>
    <w:rsid w:val="00017FC3"/>
    <w:rsid w:val="000201FD"/>
    <w:rsid w:val="00020E53"/>
    <w:rsid w:val="00021096"/>
    <w:rsid w:val="0002114A"/>
    <w:rsid w:val="000215D2"/>
    <w:rsid w:val="00021746"/>
    <w:rsid w:val="00021834"/>
    <w:rsid w:val="000219DA"/>
    <w:rsid w:val="00021A9D"/>
    <w:rsid w:val="000222BC"/>
    <w:rsid w:val="000222EA"/>
    <w:rsid w:val="000227DE"/>
    <w:rsid w:val="00022A4B"/>
    <w:rsid w:val="00022BFB"/>
    <w:rsid w:val="00023080"/>
    <w:rsid w:val="000231C9"/>
    <w:rsid w:val="00023756"/>
    <w:rsid w:val="000238E0"/>
    <w:rsid w:val="000247BA"/>
    <w:rsid w:val="000250DC"/>
    <w:rsid w:val="000250F6"/>
    <w:rsid w:val="00025DC1"/>
    <w:rsid w:val="00026977"/>
    <w:rsid w:val="000273BA"/>
    <w:rsid w:val="00027449"/>
    <w:rsid w:val="0002782B"/>
    <w:rsid w:val="00027852"/>
    <w:rsid w:val="00027AD9"/>
    <w:rsid w:val="00027E1C"/>
    <w:rsid w:val="00027E2A"/>
    <w:rsid w:val="000303AD"/>
    <w:rsid w:val="000303F5"/>
    <w:rsid w:val="00030826"/>
    <w:rsid w:val="00030D5B"/>
    <w:rsid w:val="00030E0D"/>
    <w:rsid w:val="00031053"/>
    <w:rsid w:val="00031A14"/>
    <w:rsid w:val="00031DC9"/>
    <w:rsid w:val="0003272A"/>
    <w:rsid w:val="00032846"/>
    <w:rsid w:val="0003286C"/>
    <w:rsid w:val="00033011"/>
    <w:rsid w:val="00033858"/>
    <w:rsid w:val="00033A55"/>
    <w:rsid w:val="00033B98"/>
    <w:rsid w:val="00033CC7"/>
    <w:rsid w:val="0003420D"/>
    <w:rsid w:val="00034266"/>
    <w:rsid w:val="000342C8"/>
    <w:rsid w:val="00034D30"/>
    <w:rsid w:val="000352F1"/>
    <w:rsid w:val="000353EE"/>
    <w:rsid w:val="00035641"/>
    <w:rsid w:val="00036345"/>
    <w:rsid w:val="000363FC"/>
    <w:rsid w:val="00036865"/>
    <w:rsid w:val="00036EE4"/>
    <w:rsid w:val="000372B7"/>
    <w:rsid w:val="0003773C"/>
    <w:rsid w:val="0004079E"/>
    <w:rsid w:val="00041009"/>
    <w:rsid w:val="0004103D"/>
    <w:rsid w:val="000416C4"/>
    <w:rsid w:val="000416FD"/>
    <w:rsid w:val="00041C0E"/>
    <w:rsid w:val="00041D1A"/>
    <w:rsid w:val="00042035"/>
    <w:rsid w:val="00042041"/>
    <w:rsid w:val="00042A3C"/>
    <w:rsid w:val="0004325E"/>
    <w:rsid w:val="0004340E"/>
    <w:rsid w:val="00043713"/>
    <w:rsid w:val="00043913"/>
    <w:rsid w:val="0004506F"/>
    <w:rsid w:val="00045145"/>
    <w:rsid w:val="00045254"/>
    <w:rsid w:val="00045A7C"/>
    <w:rsid w:val="00046128"/>
    <w:rsid w:val="00046208"/>
    <w:rsid w:val="0004643E"/>
    <w:rsid w:val="00046F32"/>
    <w:rsid w:val="00047325"/>
    <w:rsid w:val="0004754A"/>
    <w:rsid w:val="000477BF"/>
    <w:rsid w:val="00050290"/>
    <w:rsid w:val="0005050B"/>
    <w:rsid w:val="00050667"/>
    <w:rsid w:val="000506D1"/>
    <w:rsid w:val="00050923"/>
    <w:rsid w:val="000509C9"/>
    <w:rsid w:val="000509ED"/>
    <w:rsid w:val="00051029"/>
    <w:rsid w:val="0005131D"/>
    <w:rsid w:val="0005181C"/>
    <w:rsid w:val="00051A7F"/>
    <w:rsid w:val="000520E3"/>
    <w:rsid w:val="000523EC"/>
    <w:rsid w:val="00052487"/>
    <w:rsid w:val="000524AC"/>
    <w:rsid w:val="000525AE"/>
    <w:rsid w:val="000528F0"/>
    <w:rsid w:val="00052F7E"/>
    <w:rsid w:val="0005436B"/>
    <w:rsid w:val="000550A4"/>
    <w:rsid w:val="00056056"/>
    <w:rsid w:val="000571D5"/>
    <w:rsid w:val="000572BE"/>
    <w:rsid w:val="00057A10"/>
    <w:rsid w:val="00057B49"/>
    <w:rsid w:val="00057CF1"/>
    <w:rsid w:val="00060092"/>
    <w:rsid w:val="00060256"/>
    <w:rsid w:val="00060462"/>
    <w:rsid w:val="0006061D"/>
    <w:rsid w:val="00060729"/>
    <w:rsid w:val="000610E9"/>
    <w:rsid w:val="00061256"/>
    <w:rsid w:val="00061750"/>
    <w:rsid w:val="00061A30"/>
    <w:rsid w:val="00061B56"/>
    <w:rsid w:val="00061B8D"/>
    <w:rsid w:val="000622E0"/>
    <w:rsid w:val="0006254D"/>
    <w:rsid w:val="000628C2"/>
    <w:rsid w:val="0006320E"/>
    <w:rsid w:val="0006340E"/>
    <w:rsid w:val="00063573"/>
    <w:rsid w:val="00063778"/>
    <w:rsid w:val="0006388A"/>
    <w:rsid w:val="00063E58"/>
    <w:rsid w:val="000649EB"/>
    <w:rsid w:val="00064B0E"/>
    <w:rsid w:val="00064FA9"/>
    <w:rsid w:val="00065325"/>
    <w:rsid w:val="0006550D"/>
    <w:rsid w:val="00065583"/>
    <w:rsid w:val="00065660"/>
    <w:rsid w:val="00065961"/>
    <w:rsid w:val="00066D2F"/>
    <w:rsid w:val="00067D3A"/>
    <w:rsid w:val="00067E42"/>
    <w:rsid w:val="00070101"/>
    <w:rsid w:val="0007026A"/>
    <w:rsid w:val="00070348"/>
    <w:rsid w:val="00070496"/>
    <w:rsid w:val="00070C13"/>
    <w:rsid w:val="00070F53"/>
    <w:rsid w:val="00071654"/>
    <w:rsid w:val="0007176B"/>
    <w:rsid w:val="00071B61"/>
    <w:rsid w:val="00071C44"/>
    <w:rsid w:val="00071F26"/>
    <w:rsid w:val="00072AA6"/>
    <w:rsid w:val="00072E7C"/>
    <w:rsid w:val="00073012"/>
    <w:rsid w:val="00073380"/>
    <w:rsid w:val="000734A1"/>
    <w:rsid w:val="0007368B"/>
    <w:rsid w:val="00073724"/>
    <w:rsid w:val="0007392C"/>
    <w:rsid w:val="00073C12"/>
    <w:rsid w:val="00073E79"/>
    <w:rsid w:val="00075196"/>
    <w:rsid w:val="00075464"/>
    <w:rsid w:val="000759A8"/>
    <w:rsid w:val="00075B14"/>
    <w:rsid w:val="00076532"/>
    <w:rsid w:val="00076DD0"/>
    <w:rsid w:val="0007715B"/>
    <w:rsid w:val="00077938"/>
    <w:rsid w:val="00077CDA"/>
    <w:rsid w:val="00077D71"/>
    <w:rsid w:val="00080DB3"/>
    <w:rsid w:val="00081452"/>
    <w:rsid w:val="000819BF"/>
    <w:rsid w:val="00081B67"/>
    <w:rsid w:val="00082BF2"/>
    <w:rsid w:val="00082F0A"/>
    <w:rsid w:val="00083097"/>
    <w:rsid w:val="000830FD"/>
    <w:rsid w:val="00083A28"/>
    <w:rsid w:val="00084497"/>
    <w:rsid w:val="00084C2D"/>
    <w:rsid w:val="00084DB6"/>
    <w:rsid w:val="00085CC3"/>
    <w:rsid w:val="00085E4C"/>
    <w:rsid w:val="000867FE"/>
    <w:rsid w:val="00086BFE"/>
    <w:rsid w:val="00086DE1"/>
    <w:rsid w:val="00086F5A"/>
    <w:rsid w:val="00087075"/>
    <w:rsid w:val="000876C3"/>
    <w:rsid w:val="00087957"/>
    <w:rsid w:val="00090000"/>
    <w:rsid w:val="0009000F"/>
    <w:rsid w:val="00090386"/>
    <w:rsid w:val="0009067E"/>
    <w:rsid w:val="00090945"/>
    <w:rsid w:val="00090F5F"/>
    <w:rsid w:val="00091307"/>
    <w:rsid w:val="00091797"/>
    <w:rsid w:val="00091B76"/>
    <w:rsid w:val="00091B93"/>
    <w:rsid w:val="00091ED6"/>
    <w:rsid w:val="00092387"/>
    <w:rsid w:val="00092636"/>
    <w:rsid w:val="0009271C"/>
    <w:rsid w:val="00092727"/>
    <w:rsid w:val="00092F65"/>
    <w:rsid w:val="000930EC"/>
    <w:rsid w:val="0009388E"/>
    <w:rsid w:val="00093A4E"/>
    <w:rsid w:val="00093FC0"/>
    <w:rsid w:val="00094C0E"/>
    <w:rsid w:val="00094D73"/>
    <w:rsid w:val="00094EC1"/>
    <w:rsid w:val="00095252"/>
    <w:rsid w:val="00095382"/>
    <w:rsid w:val="000953DB"/>
    <w:rsid w:val="00095ACD"/>
    <w:rsid w:val="000960D4"/>
    <w:rsid w:val="000969F7"/>
    <w:rsid w:val="00096C51"/>
    <w:rsid w:val="000A0B15"/>
    <w:rsid w:val="000A1439"/>
    <w:rsid w:val="000A15E0"/>
    <w:rsid w:val="000A193D"/>
    <w:rsid w:val="000A1C74"/>
    <w:rsid w:val="000A1C7C"/>
    <w:rsid w:val="000A1DAD"/>
    <w:rsid w:val="000A1FAE"/>
    <w:rsid w:val="000A27F3"/>
    <w:rsid w:val="000A2AC2"/>
    <w:rsid w:val="000A2DA7"/>
    <w:rsid w:val="000A3798"/>
    <w:rsid w:val="000A3D6F"/>
    <w:rsid w:val="000A4127"/>
    <w:rsid w:val="000A492F"/>
    <w:rsid w:val="000A4C6D"/>
    <w:rsid w:val="000A4E0D"/>
    <w:rsid w:val="000A4EC6"/>
    <w:rsid w:val="000A52AA"/>
    <w:rsid w:val="000A56DD"/>
    <w:rsid w:val="000A5852"/>
    <w:rsid w:val="000A5E1B"/>
    <w:rsid w:val="000A6D5A"/>
    <w:rsid w:val="000A6F40"/>
    <w:rsid w:val="000A6FED"/>
    <w:rsid w:val="000B0187"/>
    <w:rsid w:val="000B0978"/>
    <w:rsid w:val="000B1554"/>
    <w:rsid w:val="000B15EA"/>
    <w:rsid w:val="000B170B"/>
    <w:rsid w:val="000B196E"/>
    <w:rsid w:val="000B2355"/>
    <w:rsid w:val="000B254E"/>
    <w:rsid w:val="000B28A5"/>
    <w:rsid w:val="000B2C52"/>
    <w:rsid w:val="000B2DE4"/>
    <w:rsid w:val="000B32BA"/>
    <w:rsid w:val="000B36F1"/>
    <w:rsid w:val="000B3FB5"/>
    <w:rsid w:val="000B4326"/>
    <w:rsid w:val="000B4BC2"/>
    <w:rsid w:val="000B4CA8"/>
    <w:rsid w:val="000B58EA"/>
    <w:rsid w:val="000B6195"/>
    <w:rsid w:val="000B6701"/>
    <w:rsid w:val="000B6A4C"/>
    <w:rsid w:val="000B6B56"/>
    <w:rsid w:val="000B77F1"/>
    <w:rsid w:val="000B7F44"/>
    <w:rsid w:val="000C0676"/>
    <w:rsid w:val="000C07EA"/>
    <w:rsid w:val="000C08DD"/>
    <w:rsid w:val="000C0CAD"/>
    <w:rsid w:val="000C0FA3"/>
    <w:rsid w:val="000C138C"/>
    <w:rsid w:val="000C1C26"/>
    <w:rsid w:val="000C2BA9"/>
    <w:rsid w:val="000C2BAC"/>
    <w:rsid w:val="000C2C47"/>
    <w:rsid w:val="000C2FC4"/>
    <w:rsid w:val="000C30D2"/>
    <w:rsid w:val="000C3266"/>
    <w:rsid w:val="000C3595"/>
    <w:rsid w:val="000C38ED"/>
    <w:rsid w:val="000C3D09"/>
    <w:rsid w:val="000C3FD6"/>
    <w:rsid w:val="000C413E"/>
    <w:rsid w:val="000C4550"/>
    <w:rsid w:val="000C4964"/>
    <w:rsid w:val="000C4A6B"/>
    <w:rsid w:val="000C4D9A"/>
    <w:rsid w:val="000C6413"/>
    <w:rsid w:val="000C65D0"/>
    <w:rsid w:val="000C67B7"/>
    <w:rsid w:val="000C699C"/>
    <w:rsid w:val="000C6AA1"/>
    <w:rsid w:val="000C6E94"/>
    <w:rsid w:val="000C700B"/>
    <w:rsid w:val="000C70E8"/>
    <w:rsid w:val="000C73E0"/>
    <w:rsid w:val="000C75C0"/>
    <w:rsid w:val="000D0361"/>
    <w:rsid w:val="000D0937"/>
    <w:rsid w:val="000D0ADA"/>
    <w:rsid w:val="000D0C36"/>
    <w:rsid w:val="000D0ED6"/>
    <w:rsid w:val="000D18A5"/>
    <w:rsid w:val="000D1DD1"/>
    <w:rsid w:val="000D1E5D"/>
    <w:rsid w:val="000D1F95"/>
    <w:rsid w:val="000D2566"/>
    <w:rsid w:val="000D2934"/>
    <w:rsid w:val="000D2CFC"/>
    <w:rsid w:val="000D3313"/>
    <w:rsid w:val="000D35E2"/>
    <w:rsid w:val="000D3ADD"/>
    <w:rsid w:val="000D43F2"/>
    <w:rsid w:val="000D483C"/>
    <w:rsid w:val="000D4927"/>
    <w:rsid w:val="000D4DE8"/>
    <w:rsid w:val="000D53DA"/>
    <w:rsid w:val="000D6B75"/>
    <w:rsid w:val="000D6F44"/>
    <w:rsid w:val="000D7D91"/>
    <w:rsid w:val="000E0FA1"/>
    <w:rsid w:val="000E18B9"/>
    <w:rsid w:val="000E1B7B"/>
    <w:rsid w:val="000E1EC3"/>
    <w:rsid w:val="000E22F4"/>
    <w:rsid w:val="000E2415"/>
    <w:rsid w:val="000E25DA"/>
    <w:rsid w:val="000E25F0"/>
    <w:rsid w:val="000E343C"/>
    <w:rsid w:val="000E36F2"/>
    <w:rsid w:val="000E3738"/>
    <w:rsid w:val="000E3B67"/>
    <w:rsid w:val="000E3D13"/>
    <w:rsid w:val="000E410F"/>
    <w:rsid w:val="000E421E"/>
    <w:rsid w:val="000E46CC"/>
    <w:rsid w:val="000E4C0B"/>
    <w:rsid w:val="000E4C1C"/>
    <w:rsid w:val="000E4E90"/>
    <w:rsid w:val="000E4FDD"/>
    <w:rsid w:val="000E50F6"/>
    <w:rsid w:val="000E5267"/>
    <w:rsid w:val="000E5414"/>
    <w:rsid w:val="000E59D7"/>
    <w:rsid w:val="000E5FCC"/>
    <w:rsid w:val="000E7232"/>
    <w:rsid w:val="000E728A"/>
    <w:rsid w:val="000F0070"/>
    <w:rsid w:val="000F0959"/>
    <w:rsid w:val="000F0AFC"/>
    <w:rsid w:val="000F14D3"/>
    <w:rsid w:val="000F2080"/>
    <w:rsid w:val="000F27A4"/>
    <w:rsid w:val="000F2D4A"/>
    <w:rsid w:val="000F355E"/>
    <w:rsid w:val="000F3B0D"/>
    <w:rsid w:val="000F3DBA"/>
    <w:rsid w:val="000F419A"/>
    <w:rsid w:val="000F4234"/>
    <w:rsid w:val="000F46A0"/>
    <w:rsid w:val="000F4E28"/>
    <w:rsid w:val="000F54A1"/>
    <w:rsid w:val="000F578F"/>
    <w:rsid w:val="000F58A2"/>
    <w:rsid w:val="000F5FCE"/>
    <w:rsid w:val="000F62F3"/>
    <w:rsid w:val="000F673D"/>
    <w:rsid w:val="000F6755"/>
    <w:rsid w:val="000F682A"/>
    <w:rsid w:val="000F68D9"/>
    <w:rsid w:val="000F6A1F"/>
    <w:rsid w:val="000F7548"/>
    <w:rsid w:val="000F76EC"/>
    <w:rsid w:val="000F7C0F"/>
    <w:rsid w:val="000F7E37"/>
    <w:rsid w:val="000F7E90"/>
    <w:rsid w:val="001001BA"/>
    <w:rsid w:val="00100371"/>
    <w:rsid w:val="001003CD"/>
    <w:rsid w:val="00100506"/>
    <w:rsid w:val="00100680"/>
    <w:rsid w:val="00100B11"/>
    <w:rsid w:val="00100CF0"/>
    <w:rsid w:val="001014F7"/>
    <w:rsid w:val="00101618"/>
    <w:rsid w:val="00101E2A"/>
    <w:rsid w:val="00101F85"/>
    <w:rsid w:val="001036CC"/>
    <w:rsid w:val="0010387F"/>
    <w:rsid w:val="00103BAD"/>
    <w:rsid w:val="00103D17"/>
    <w:rsid w:val="00103E28"/>
    <w:rsid w:val="00103F59"/>
    <w:rsid w:val="001040C8"/>
    <w:rsid w:val="00104326"/>
    <w:rsid w:val="00104CE7"/>
    <w:rsid w:val="00104D0A"/>
    <w:rsid w:val="00105C26"/>
    <w:rsid w:val="00105DC0"/>
    <w:rsid w:val="001062DE"/>
    <w:rsid w:val="00106DE5"/>
    <w:rsid w:val="00107216"/>
    <w:rsid w:val="001079F7"/>
    <w:rsid w:val="00107BAA"/>
    <w:rsid w:val="001108A3"/>
    <w:rsid w:val="00110DDA"/>
    <w:rsid w:val="00111010"/>
    <w:rsid w:val="00111075"/>
    <w:rsid w:val="00111461"/>
    <w:rsid w:val="001114FC"/>
    <w:rsid w:val="00111A63"/>
    <w:rsid w:val="0011201D"/>
    <w:rsid w:val="00112289"/>
    <w:rsid w:val="0011257C"/>
    <w:rsid w:val="00112942"/>
    <w:rsid w:val="00112E4E"/>
    <w:rsid w:val="00112F1A"/>
    <w:rsid w:val="00113B5B"/>
    <w:rsid w:val="00114251"/>
    <w:rsid w:val="0011433E"/>
    <w:rsid w:val="00114679"/>
    <w:rsid w:val="00114D00"/>
    <w:rsid w:val="00114E6C"/>
    <w:rsid w:val="00115319"/>
    <w:rsid w:val="00115494"/>
    <w:rsid w:val="00115680"/>
    <w:rsid w:val="0011573E"/>
    <w:rsid w:val="0011636C"/>
    <w:rsid w:val="0011643F"/>
    <w:rsid w:val="00116608"/>
    <w:rsid w:val="00116E2F"/>
    <w:rsid w:val="00116EFE"/>
    <w:rsid w:val="00117AFE"/>
    <w:rsid w:val="00117E0F"/>
    <w:rsid w:val="00117F4E"/>
    <w:rsid w:val="001202FE"/>
    <w:rsid w:val="001204F8"/>
    <w:rsid w:val="001213C9"/>
    <w:rsid w:val="0012143D"/>
    <w:rsid w:val="001223FB"/>
    <w:rsid w:val="001225C7"/>
    <w:rsid w:val="001229C0"/>
    <w:rsid w:val="0012347F"/>
    <w:rsid w:val="00123981"/>
    <w:rsid w:val="00123B5A"/>
    <w:rsid w:val="00123CBE"/>
    <w:rsid w:val="00123CD1"/>
    <w:rsid w:val="001247BC"/>
    <w:rsid w:val="00124D47"/>
    <w:rsid w:val="00125199"/>
    <w:rsid w:val="001253E2"/>
    <w:rsid w:val="0012554B"/>
    <w:rsid w:val="00125741"/>
    <w:rsid w:val="00125D2C"/>
    <w:rsid w:val="001268A4"/>
    <w:rsid w:val="0012716A"/>
    <w:rsid w:val="001272D6"/>
    <w:rsid w:val="0012757D"/>
    <w:rsid w:val="001279E7"/>
    <w:rsid w:val="00127AA6"/>
    <w:rsid w:val="00130508"/>
    <w:rsid w:val="001307EE"/>
    <w:rsid w:val="0013092C"/>
    <w:rsid w:val="00130AC0"/>
    <w:rsid w:val="00130FE8"/>
    <w:rsid w:val="00131444"/>
    <w:rsid w:val="0013151E"/>
    <w:rsid w:val="00131B73"/>
    <w:rsid w:val="00131FF1"/>
    <w:rsid w:val="00132D3B"/>
    <w:rsid w:val="00132DF9"/>
    <w:rsid w:val="00132E6C"/>
    <w:rsid w:val="0013352E"/>
    <w:rsid w:val="001338ED"/>
    <w:rsid w:val="00133B55"/>
    <w:rsid w:val="00134068"/>
    <w:rsid w:val="001340AA"/>
    <w:rsid w:val="00135021"/>
    <w:rsid w:val="00135075"/>
    <w:rsid w:val="001354D3"/>
    <w:rsid w:val="0013559D"/>
    <w:rsid w:val="00135D3C"/>
    <w:rsid w:val="00135D78"/>
    <w:rsid w:val="001361BB"/>
    <w:rsid w:val="0013623A"/>
    <w:rsid w:val="00136EE1"/>
    <w:rsid w:val="00137007"/>
    <w:rsid w:val="00137D74"/>
    <w:rsid w:val="00137EB1"/>
    <w:rsid w:val="001402EB"/>
    <w:rsid w:val="00140361"/>
    <w:rsid w:val="0014045A"/>
    <w:rsid w:val="0014064E"/>
    <w:rsid w:val="00140AF9"/>
    <w:rsid w:val="00141216"/>
    <w:rsid w:val="001412C0"/>
    <w:rsid w:val="001414C0"/>
    <w:rsid w:val="00141817"/>
    <w:rsid w:val="001418AA"/>
    <w:rsid w:val="00142615"/>
    <w:rsid w:val="00142BE7"/>
    <w:rsid w:val="00142F6B"/>
    <w:rsid w:val="001434CD"/>
    <w:rsid w:val="00143523"/>
    <w:rsid w:val="0014365B"/>
    <w:rsid w:val="00143C21"/>
    <w:rsid w:val="00144080"/>
    <w:rsid w:val="001442D0"/>
    <w:rsid w:val="00144573"/>
    <w:rsid w:val="00144BD4"/>
    <w:rsid w:val="00144FF0"/>
    <w:rsid w:val="00145239"/>
    <w:rsid w:val="00145284"/>
    <w:rsid w:val="00145467"/>
    <w:rsid w:val="00145B43"/>
    <w:rsid w:val="001464BE"/>
    <w:rsid w:val="0014659D"/>
    <w:rsid w:val="00146875"/>
    <w:rsid w:val="001469E3"/>
    <w:rsid w:val="001469EC"/>
    <w:rsid w:val="00146F35"/>
    <w:rsid w:val="00146FA3"/>
    <w:rsid w:val="001479B7"/>
    <w:rsid w:val="00150783"/>
    <w:rsid w:val="00150D31"/>
    <w:rsid w:val="001518D6"/>
    <w:rsid w:val="00151BC2"/>
    <w:rsid w:val="00151EAD"/>
    <w:rsid w:val="00151FE1"/>
    <w:rsid w:val="0015271D"/>
    <w:rsid w:val="00152854"/>
    <w:rsid w:val="00152CC4"/>
    <w:rsid w:val="00152EAB"/>
    <w:rsid w:val="0015365C"/>
    <w:rsid w:val="001537EE"/>
    <w:rsid w:val="001538E4"/>
    <w:rsid w:val="00153A9A"/>
    <w:rsid w:val="00153CC4"/>
    <w:rsid w:val="0015410E"/>
    <w:rsid w:val="00154144"/>
    <w:rsid w:val="001544D3"/>
    <w:rsid w:val="001544FD"/>
    <w:rsid w:val="00154A07"/>
    <w:rsid w:val="00155408"/>
    <w:rsid w:val="00155967"/>
    <w:rsid w:val="001564FA"/>
    <w:rsid w:val="00156561"/>
    <w:rsid w:val="00157825"/>
    <w:rsid w:val="00157A6D"/>
    <w:rsid w:val="00160753"/>
    <w:rsid w:val="0016099C"/>
    <w:rsid w:val="00160B79"/>
    <w:rsid w:val="00160DCF"/>
    <w:rsid w:val="001611EF"/>
    <w:rsid w:val="00161472"/>
    <w:rsid w:val="00161EBD"/>
    <w:rsid w:val="0016217A"/>
    <w:rsid w:val="0016245E"/>
    <w:rsid w:val="0016292E"/>
    <w:rsid w:val="00162988"/>
    <w:rsid w:val="0016298B"/>
    <w:rsid w:val="001631C5"/>
    <w:rsid w:val="0016344D"/>
    <w:rsid w:val="001636AE"/>
    <w:rsid w:val="0016384E"/>
    <w:rsid w:val="0016396A"/>
    <w:rsid w:val="00163976"/>
    <w:rsid w:val="00163AD1"/>
    <w:rsid w:val="00163DEA"/>
    <w:rsid w:val="00164487"/>
    <w:rsid w:val="00164868"/>
    <w:rsid w:val="001648DE"/>
    <w:rsid w:val="001649F4"/>
    <w:rsid w:val="00164F8D"/>
    <w:rsid w:val="00165987"/>
    <w:rsid w:val="00165B05"/>
    <w:rsid w:val="00165D60"/>
    <w:rsid w:val="00166EEE"/>
    <w:rsid w:val="001670A5"/>
    <w:rsid w:val="001673CB"/>
    <w:rsid w:val="00167BE3"/>
    <w:rsid w:val="00167F3A"/>
    <w:rsid w:val="00170566"/>
    <w:rsid w:val="00170F4A"/>
    <w:rsid w:val="0017115F"/>
    <w:rsid w:val="0017124E"/>
    <w:rsid w:val="001713FD"/>
    <w:rsid w:val="00172191"/>
    <w:rsid w:val="00172818"/>
    <w:rsid w:val="0017285D"/>
    <w:rsid w:val="0017298A"/>
    <w:rsid w:val="00172EA5"/>
    <w:rsid w:val="00172F95"/>
    <w:rsid w:val="001732BB"/>
    <w:rsid w:val="0017334E"/>
    <w:rsid w:val="0017349B"/>
    <w:rsid w:val="001737B1"/>
    <w:rsid w:val="00173E7C"/>
    <w:rsid w:val="001740FF"/>
    <w:rsid w:val="0017428C"/>
    <w:rsid w:val="00174543"/>
    <w:rsid w:val="001746FE"/>
    <w:rsid w:val="001748FE"/>
    <w:rsid w:val="00174D78"/>
    <w:rsid w:val="00175283"/>
    <w:rsid w:val="001756D1"/>
    <w:rsid w:val="0017589B"/>
    <w:rsid w:val="00175EC1"/>
    <w:rsid w:val="001766F8"/>
    <w:rsid w:val="00176A3E"/>
    <w:rsid w:val="00176A6F"/>
    <w:rsid w:val="00176DA1"/>
    <w:rsid w:val="00176F17"/>
    <w:rsid w:val="0017756E"/>
    <w:rsid w:val="001777ED"/>
    <w:rsid w:val="00177C63"/>
    <w:rsid w:val="00177E43"/>
    <w:rsid w:val="00180291"/>
    <w:rsid w:val="001805DD"/>
    <w:rsid w:val="001807D4"/>
    <w:rsid w:val="00180D7E"/>
    <w:rsid w:val="00180F95"/>
    <w:rsid w:val="00181096"/>
    <w:rsid w:val="00181ED0"/>
    <w:rsid w:val="0018278C"/>
    <w:rsid w:val="00182C63"/>
    <w:rsid w:val="001831FE"/>
    <w:rsid w:val="00183374"/>
    <w:rsid w:val="00183736"/>
    <w:rsid w:val="0018377C"/>
    <w:rsid w:val="00183D71"/>
    <w:rsid w:val="00183E1C"/>
    <w:rsid w:val="00183EA7"/>
    <w:rsid w:val="00183F3B"/>
    <w:rsid w:val="001844E6"/>
    <w:rsid w:val="00184730"/>
    <w:rsid w:val="0018499B"/>
    <w:rsid w:val="00184F48"/>
    <w:rsid w:val="00185629"/>
    <w:rsid w:val="0018567F"/>
    <w:rsid w:val="001857A6"/>
    <w:rsid w:val="00185B94"/>
    <w:rsid w:val="00185D08"/>
    <w:rsid w:val="00185E36"/>
    <w:rsid w:val="00187936"/>
    <w:rsid w:val="00187FCF"/>
    <w:rsid w:val="0019077F"/>
    <w:rsid w:val="00191445"/>
    <w:rsid w:val="001914AF"/>
    <w:rsid w:val="00191A62"/>
    <w:rsid w:val="00191B99"/>
    <w:rsid w:val="00191D50"/>
    <w:rsid w:val="00191D59"/>
    <w:rsid w:val="0019202A"/>
    <w:rsid w:val="001928B1"/>
    <w:rsid w:val="00192A66"/>
    <w:rsid w:val="00192BB2"/>
    <w:rsid w:val="00193469"/>
    <w:rsid w:val="001938F4"/>
    <w:rsid w:val="00194487"/>
    <w:rsid w:val="001947BE"/>
    <w:rsid w:val="001949FE"/>
    <w:rsid w:val="00194F2D"/>
    <w:rsid w:val="001951AF"/>
    <w:rsid w:val="00195243"/>
    <w:rsid w:val="00195687"/>
    <w:rsid w:val="00195D85"/>
    <w:rsid w:val="00196356"/>
    <w:rsid w:val="0019646E"/>
    <w:rsid w:val="0019648A"/>
    <w:rsid w:val="001969E5"/>
    <w:rsid w:val="00196CBC"/>
    <w:rsid w:val="001976B7"/>
    <w:rsid w:val="001977CA"/>
    <w:rsid w:val="00197905"/>
    <w:rsid w:val="00197990"/>
    <w:rsid w:val="00197A80"/>
    <w:rsid w:val="00197CBF"/>
    <w:rsid w:val="001A05F4"/>
    <w:rsid w:val="001A0A29"/>
    <w:rsid w:val="001A0FBC"/>
    <w:rsid w:val="001A10E7"/>
    <w:rsid w:val="001A1358"/>
    <w:rsid w:val="001A1C91"/>
    <w:rsid w:val="001A1E87"/>
    <w:rsid w:val="001A2021"/>
    <w:rsid w:val="001A23D6"/>
    <w:rsid w:val="001A255F"/>
    <w:rsid w:val="001A2BE8"/>
    <w:rsid w:val="001A3636"/>
    <w:rsid w:val="001A37F5"/>
    <w:rsid w:val="001A39C0"/>
    <w:rsid w:val="001A3EE7"/>
    <w:rsid w:val="001A4210"/>
    <w:rsid w:val="001A4900"/>
    <w:rsid w:val="001A494E"/>
    <w:rsid w:val="001A4C76"/>
    <w:rsid w:val="001A4FC1"/>
    <w:rsid w:val="001A531C"/>
    <w:rsid w:val="001A541C"/>
    <w:rsid w:val="001A59EB"/>
    <w:rsid w:val="001A5A19"/>
    <w:rsid w:val="001A611A"/>
    <w:rsid w:val="001A614C"/>
    <w:rsid w:val="001A61C1"/>
    <w:rsid w:val="001A6356"/>
    <w:rsid w:val="001A6431"/>
    <w:rsid w:val="001A6A11"/>
    <w:rsid w:val="001A6B16"/>
    <w:rsid w:val="001A7594"/>
    <w:rsid w:val="001A7696"/>
    <w:rsid w:val="001B056E"/>
    <w:rsid w:val="001B0974"/>
    <w:rsid w:val="001B15AC"/>
    <w:rsid w:val="001B15B9"/>
    <w:rsid w:val="001B1703"/>
    <w:rsid w:val="001B198B"/>
    <w:rsid w:val="001B1B7E"/>
    <w:rsid w:val="001B1C0F"/>
    <w:rsid w:val="001B1CEF"/>
    <w:rsid w:val="001B26DD"/>
    <w:rsid w:val="001B2A44"/>
    <w:rsid w:val="001B2B96"/>
    <w:rsid w:val="001B31DF"/>
    <w:rsid w:val="001B3310"/>
    <w:rsid w:val="001B3D5D"/>
    <w:rsid w:val="001B45E2"/>
    <w:rsid w:val="001B491A"/>
    <w:rsid w:val="001B4A10"/>
    <w:rsid w:val="001B4A90"/>
    <w:rsid w:val="001B4B4F"/>
    <w:rsid w:val="001B4C4A"/>
    <w:rsid w:val="001B4EC7"/>
    <w:rsid w:val="001B4EDB"/>
    <w:rsid w:val="001B5250"/>
    <w:rsid w:val="001B5780"/>
    <w:rsid w:val="001B6196"/>
    <w:rsid w:val="001B6388"/>
    <w:rsid w:val="001B6D3B"/>
    <w:rsid w:val="001B6FAE"/>
    <w:rsid w:val="001B7D2F"/>
    <w:rsid w:val="001B7FF7"/>
    <w:rsid w:val="001C02E3"/>
    <w:rsid w:val="001C038D"/>
    <w:rsid w:val="001C08B6"/>
    <w:rsid w:val="001C0B10"/>
    <w:rsid w:val="001C12BB"/>
    <w:rsid w:val="001C1622"/>
    <w:rsid w:val="001C1C90"/>
    <w:rsid w:val="001C23FE"/>
    <w:rsid w:val="001C2485"/>
    <w:rsid w:val="001C28DA"/>
    <w:rsid w:val="001C2EDB"/>
    <w:rsid w:val="001C33CB"/>
    <w:rsid w:val="001C34DB"/>
    <w:rsid w:val="001C36EF"/>
    <w:rsid w:val="001C3770"/>
    <w:rsid w:val="001C3AF7"/>
    <w:rsid w:val="001C4445"/>
    <w:rsid w:val="001C46D0"/>
    <w:rsid w:val="001C4D7F"/>
    <w:rsid w:val="001C514C"/>
    <w:rsid w:val="001C5ACA"/>
    <w:rsid w:val="001C5AE5"/>
    <w:rsid w:val="001C5B74"/>
    <w:rsid w:val="001C683E"/>
    <w:rsid w:val="001C69F7"/>
    <w:rsid w:val="001C6B5A"/>
    <w:rsid w:val="001C7349"/>
    <w:rsid w:val="001D026F"/>
    <w:rsid w:val="001D0489"/>
    <w:rsid w:val="001D1846"/>
    <w:rsid w:val="001D1BA7"/>
    <w:rsid w:val="001D1D52"/>
    <w:rsid w:val="001D1E3E"/>
    <w:rsid w:val="001D2407"/>
    <w:rsid w:val="001D29E3"/>
    <w:rsid w:val="001D2E94"/>
    <w:rsid w:val="001D2F1C"/>
    <w:rsid w:val="001D340D"/>
    <w:rsid w:val="001D3763"/>
    <w:rsid w:val="001D38B6"/>
    <w:rsid w:val="001D3D1E"/>
    <w:rsid w:val="001D40E5"/>
    <w:rsid w:val="001D479E"/>
    <w:rsid w:val="001D480F"/>
    <w:rsid w:val="001D4938"/>
    <w:rsid w:val="001D49D3"/>
    <w:rsid w:val="001D4DE1"/>
    <w:rsid w:val="001D5958"/>
    <w:rsid w:val="001D5978"/>
    <w:rsid w:val="001D65A9"/>
    <w:rsid w:val="001D66D0"/>
    <w:rsid w:val="001D6AF3"/>
    <w:rsid w:val="001D70AF"/>
    <w:rsid w:val="001D7161"/>
    <w:rsid w:val="001D7246"/>
    <w:rsid w:val="001D7830"/>
    <w:rsid w:val="001D7A77"/>
    <w:rsid w:val="001D7A9D"/>
    <w:rsid w:val="001E080E"/>
    <w:rsid w:val="001E087C"/>
    <w:rsid w:val="001E08AC"/>
    <w:rsid w:val="001E0A28"/>
    <w:rsid w:val="001E12F2"/>
    <w:rsid w:val="001E17F3"/>
    <w:rsid w:val="001E1CF0"/>
    <w:rsid w:val="001E2052"/>
    <w:rsid w:val="001E20B2"/>
    <w:rsid w:val="001E2126"/>
    <w:rsid w:val="001E2177"/>
    <w:rsid w:val="001E2391"/>
    <w:rsid w:val="001E2673"/>
    <w:rsid w:val="001E2A5F"/>
    <w:rsid w:val="001E2B4A"/>
    <w:rsid w:val="001E32D2"/>
    <w:rsid w:val="001E34AD"/>
    <w:rsid w:val="001E35EE"/>
    <w:rsid w:val="001E3C5B"/>
    <w:rsid w:val="001E441F"/>
    <w:rsid w:val="001E4649"/>
    <w:rsid w:val="001E466E"/>
    <w:rsid w:val="001E4B1E"/>
    <w:rsid w:val="001E4B9B"/>
    <w:rsid w:val="001E50E9"/>
    <w:rsid w:val="001E558B"/>
    <w:rsid w:val="001E5FB5"/>
    <w:rsid w:val="001E6A2B"/>
    <w:rsid w:val="001E6EA8"/>
    <w:rsid w:val="001F0425"/>
    <w:rsid w:val="001F04DE"/>
    <w:rsid w:val="001F0ABA"/>
    <w:rsid w:val="001F101E"/>
    <w:rsid w:val="001F1BE7"/>
    <w:rsid w:val="001F1DEA"/>
    <w:rsid w:val="001F1F18"/>
    <w:rsid w:val="001F1F4A"/>
    <w:rsid w:val="001F2740"/>
    <w:rsid w:val="001F2A71"/>
    <w:rsid w:val="001F2A90"/>
    <w:rsid w:val="001F2E0E"/>
    <w:rsid w:val="001F2EB4"/>
    <w:rsid w:val="001F3008"/>
    <w:rsid w:val="001F3AD8"/>
    <w:rsid w:val="001F4857"/>
    <w:rsid w:val="001F5472"/>
    <w:rsid w:val="001F566C"/>
    <w:rsid w:val="001F6571"/>
    <w:rsid w:val="001F662A"/>
    <w:rsid w:val="001F6EE9"/>
    <w:rsid w:val="001F6FDC"/>
    <w:rsid w:val="001F7550"/>
    <w:rsid w:val="001F7D7C"/>
    <w:rsid w:val="00200016"/>
    <w:rsid w:val="002004A8"/>
    <w:rsid w:val="002004FE"/>
    <w:rsid w:val="00201834"/>
    <w:rsid w:val="00201F63"/>
    <w:rsid w:val="0020203E"/>
    <w:rsid w:val="00202C4C"/>
    <w:rsid w:val="00202F3A"/>
    <w:rsid w:val="00202FE3"/>
    <w:rsid w:val="0020351D"/>
    <w:rsid w:val="002038E4"/>
    <w:rsid w:val="00203D39"/>
    <w:rsid w:val="00203E67"/>
    <w:rsid w:val="00203FE8"/>
    <w:rsid w:val="002040F3"/>
    <w:rsid w:val="0020411D"/>
    <w:rsid w:val="00204224"/>
    <w:rsid w:val="002045DC"/>
    <w:rsid w:val="002047F5"/>
    <w:rsid w:val="00204B1A"/>
    <w:rsid w:val="00204B41"/>
    <w:rsid w:val="00205180"/>
    <w:rsid w:val="00205A63"/>
    <w:rsid w:val="00206464"/>
    <w:rsid w:val="00206A21"/>
    <w:rsid w:val="002079B4"/>
    <w:rsid w:val="00207A76"/>
    <w:rsid w:val="00207BDA"/>
    <w:rsid w:val="002109B4"/>
    <w:rsid w:val="0021149C"/>
    <w:rsid w:val="002114E6"/>
    <w:rsid w:val="0021183D"/>
    <w:rsid w:val="00211D80"/>
    <w:rsid w:val="00212008"/>
    <w:rsid w:val="002120F2"/>
    <w:rsid w:val="002122D0"/>
    <w:rsid w:val="00212410"/>
    <w:rsid w:val="002127B3"/>
    <w:rsid w:val="002128B1"/>
    <w:rsid w:val="002132FD"/>
    <w:rsid w:val="00213D9A"/>
    <w:rsid w:val="00213E4F"/>
    <w:rsid w:val="002146D6"/>
    <w:rsid w:val="00214D97"/>
    <w:rsid w:val="00215737"/>
    <w:rsid w:val="002159ED"/>
    <w:rsid w:val="00215A9E"/>
    <w:rsid w:val="00216290"/>
    <w:rsid w:val="00216F53"/>
    <w:rsid w:val="002171CA"/>
    <w:rsid w:val="00217223"/>
    <w:rsid w:val="002174AC"/>
    <w:rsid w:val="00217888"/>
    <w:rsid w:val="00217B01"/>
    <w:rsid w:val="00217CFA"/>
    <w:rsid w:val="002203DA"/>
    <w:rsid w:val="002205EE"/>
    <w:rsid w:val="00220940"/>
    <w:rsid w:val="00220AD4"/>
    <w:rsid w:val="00221035"/>
    <w:rsid w:val="00221151"/>
    <w:rsid w:val="00221802"/>
    <w:rsid w:val="0022180D"/>
    <w:rsid w:val="00221D04"/>
    <w:rsid w:val="00221D4C"/>
    <w:rsid w:val="00221FB1"/>
    <w:rsid w:val="00221FE7"/>
    <w:rsid w:val="00222068"/>
    <w:rsid w:val="002227D8"/>
    <w:rsid w:val="002227EB"/>
    <w:rsid w:val="00223037"/>
    <w:rsid w:val="00223110"/>
    <w:rsid w:val="002235FE"/>
    <w:rsid w:val="00224506"/>
    <w:rsid w:val="002247A0"/>
    <w:rsid w:val="00224984"/>
    <w:rsid w:val="00224CBA"/>
    <w:rsid w:val="00224F43"/>
    <w:rsid w:val="002262BA"/>
    <w:rsid w:val="002267F7"/>
    <w:rsid w:val="00227345"/>
    <w:rsid w:val="00227729"/>
    <w:rsid w:val="0023005B"/>
    <w:rsid w:val="002302B2"/>
    <w:rsid w:val="002302C3"/>
    <w:rsid w:val="0023036A"/>
    <w:rsid w:val="002303E0"/>
    <w:rsid w:val="00231139"/>
    <w:rsid w:val="00231197"/>
    <w:rsid w:val="002317E8"/>
    <w:rsid w:val="002319ED"/>
    <w:rsid w:val="00231F14"/>
    <w:rsid w:val="0023206C"/>
    <w:rsid w:val="00232771"/>
    <w:rsid w:val="00232B99"/>
    <w:rsid w:val="0023309C"/>
    <w:rsid w:val="00233254"/>
    <w:rsid w:val="00233261"/>
    <w:rsid w:val="0023339E"/>
    <w:rsid w:val="00233A2B"/>
    <w:rsid w:val="00233C45"/>
    <w:rsid w:val="00233E50"/>
    <w:rsid w:val="00233E74"/>
    <w:rsid w:val="002341B7"/>
    <w:rsid w:val="002348B6"/>
    <w:rsid w:val="002356FA"/>
    <w:rsid w:val="00235E80"/>
    <w:rsid w:val="00235EE0"/>
    <w:rsid w:val="002361AB"/>
    <w:rsid w:val="00236276"/>
    <w:rsid w:val="00236A75"/>
    <w:rsid w:val="002375B8"/>
    <w:rsid w:val="00237686"/>
    <w:rsid w:val="00237903"/>
    <w:rsid w:val="002404B9"/>
    <w:rsid w:val="00240529"/>
    <w:rsid w:val="00240F73"/>
    <w:rsid w:val="0024168C"/>
    <w:rsid w:val="00241DA3"/>
    <w:rsid w:val="00241E08"/>
    <w:rsid w:val="002423FA"/>
    <w:rsid w:val="00242629"/>
    <w:rsid w:val="002426A0"/>
    <w:rsid w:val="002435A8"/>
    <w:rsid w:val="00243775"/>
    <w:rsid w:val="00243917"/>
    <w:rsid w:val="00243AF7"/>
    <w:rsid w:val="00243CBE"/>
    <w:rsid w:val="00243FFE"/>
    <w:rsid w:val="002441B6"/>
    <w:rsid w:val="00244773"/>
    <w:rsid w:val="0024507D"/>
    <w:rsid w:val="002455F0"/>
    <w:rsid w:val="00245985"/>
    <w:rsid w:val="00245ABE"/>
    <w:rsid w:val="00245C51"/>
    <w:rsid w:val="002460D7"/>
    <w:rsid w:val="00246600"/>
    <w:rsid w:val="00246C35"/>
    <w:rsid w:val="00246C48"/>
    <w:rsid w:val="002478E2"/>
    <w:rsid w:val="00250283"/>
    <w:rsid w:val="0025048D"/>
    <w:rsid w:val="00250540"/>
    <w:rsid w:val="002509DE"/>
    <w:rsid w:val="00250B22"/>
    <w:rsid w:val="00250E46"/>
    <w:rsid w:val="002513BD"/>
    <w:rsid w:val="002514E4"/>
    <w:rsid w:val="002519B1"/>
    <w:rsid w:val="00251C80"/>
    <w:rsid w:val="00251CF5"/>
    <w:rsid w:val="00252182"/>
    <w:rsid w:val="00252661"/>
    <w:rsid w:val="002529CB"/>
    <w:rsid w:val="00252C0F"/>
    <w:rsid w:val="00252D45"/>
    <w:rsid w:val="002532CF"/>
    <w:rsid w:val="00253491"/>
    <w:rsid w:val="00253494"/>
    <w:rsid w:val="00253A95"/>
    <w:rsid w:val="00253E0A"/>
    <w:rsid w:val="00253FE7"/>
    <w:rsid w:val="0025427F"/>
    <w:rsid w:val="00254AA1"/>
    <w:rsid w:val="00254C1B"/>
    <w:rsid w:val="00254DEF"/>
    <w:rsid w:val="00254FCA"/>
    <w:rsid w:val="00255496"/>
    <w:rsid w:val="00256AFA"/>
    <w:rsid w:val="00256E7E"/>
    <w:rsid w:val="00256EBB"/>
    <w:rsid w:val="0025703F"/>
    <w:rsid w:val="00257085"/>
    <w:rsid w:val="00257192"/>
    <w:rsid w:val="002574C4"/>
    <w:rsid w:val="00257798"/>
    <w:rsid w:val="0025796E"/>
    <w:rsid w:val="00257C5B"/>
    <w:rsid w:val="00257E78"/>
    <w:rsid w:val="002605A7"/>
    <w:rsid w:val="00260902"/>
    <w:rsid w:val="00260DA9"/>
    <w:rsid w:val="00260E19"/>
    <w:rsid w:val="002612AA"/>
    <w:rsid w:val="00261CAE"/>
    <w:rsid w:val="00261F17"/>
    <w:rsid w:val="00261F89"/>
    <w:rsid w:val="002625DD"/>
    <w:rsid w:val="00262636"/>
    <w:rsid w:val="00262A03"/>
    <w:rsid w:val="00263234"/>
    <w:rsid w:val="002635C7"/>
    <w:rsid w:val="002637A0"/>
    <w:rsid w:val="00263B85"/>
    <w:rsid w:val="00264189"/>
    <w:rsid w:val="00264389"/>
    <w:rsid w:val="00264449"/>
    <w:rsid w:val="00264807"/>
    <w:rsid w:val="00265004"/>
    <w:rsid w:val="002655B4"/>
    <w:rsid w:val="0026588C"/>
    <w:rsid w:val="002669BE"/>
    <w:rsid w:val="00266EA6"/>
    <w:rsid w:val="0026764F"/>
    <w:rsid w:val="00267CB5"/>
    <w:rsid w:val="002700EF"/>
    <w:rsid w:val="00270858"/>
    <w:rsid w:val="002708BE"/>
    <w:rsid w:val="00270EBC"/>
    <w:rsid w:val="00271656"/>
    <w:rsid w:val="002716A8"/>
    <w:rsid w:val="002721A7"/>
    <w:rsid w:val="002721F3"/>
    <w:rsid w:val="002722C7"/>
    <w:rsid w:val="00272511"/>
    <w:rsid w:val="00272F08"/>
    <w:rsid w:val="00272F2C"/>
    <w:rsid w:val="002736A2"/>
    <w:rsid w:val="00273F8B"/>
    <w:rsid w:val="00274562"/>
    <w:rsid w:val="00275094"/>
    <w:rsid w:val="002752CA"/>
    <w:rsid w:val="002752CB"/>
    <w:rsid w:val="0027547B"/>
    <w:rsid w:val="002755D3"/>
    <w:rsid w:val="00275CBB"/>
    <w:rsid w:val="00275FF6"/>
    <w:rsid w:val="00276F08"/>
    <w:rsid w:val="002777F7"/>
    <w:rsid w:val="0027786A"/>
    <w:rsid w:val="002802BC"/>
    <w:rsid w:val="00280D84"/>
    <w:rsid w:val="00281780"/>
    <w:rsid w:val="002818C2"/>
    <w:rsid w:val="00281996"/>
    <w:rsid w:val="00281AFF"/>
    <w:rsid w:val="00281F84"/>
    <w:rsid w:val="00282385"/>
    <w:rsid w:val="0028243F"/>
    <w:rsid w:val="002824EB"/>
    <w:rsid w:val="00282532"/>
    <w:rsid w:val="0028276A"/>
    <w:rsid w:val="002828EF"/>
    <w:rsid w:val="002828F6"/>
    <w:rsid w:val="00282C84"/>
    <w:rsid w:val="00282DCD"/>
    <w:rsid w:val="00283888"/>
    <w:rsid w:val="002841EF"/>
    <w:rsid w:val="00284853"/>
    <w:rsid w:val="00284DB4"/>
    <w:rsid w:val="00284DFF"/>
    <w:rsid w:val="00284F6B"/>
    <w:rsid w:val="002855A1"/>
    <w:rsid w:val="00286096"/>
    <w:rsid w:val="002866E4"/>
    <w:rsid w:val="00286D84"/>
    <w:rsid w:val="002877B9"/>
    <w:rsid w:val="00287F3C"/>
    <w:rsid w:val="00287F49"/>
    <w:rsid w:val="00287FAE"/>
    <w:rsid w:val="002902B9"/>
    <w:rsid w:val="002904A5"/>
    <w:rsid w:val="0029132F"/>
    <w:rsid w:val="00291479"/>
    <w:rsid w:val="00291C95"/>
    <w:rsid w:val="00292263"/>
    <w:rsid w:val="00292401"/>
    <w:rsid w:val="00292794"/>
    <w:rsid w:val="002929C4"/>
    <w:rsid w:val="00292E11"/>
    <w:rsid w:val="00293245"/>
    <w:rsid w:val="002935E4"/>
    <w:rsid w:val="00293704"/>
    <w:rsid w:val="00293BCA"/>
    <w:rsid w:val="00293D54"/>
    <w:rsid w:val="00293EDB"/>
    <w:rsid w:val="002949EB"/>
    <w:rsid w:val="00294C04"/>
    <w:rsid w:val="00294E97"/>
    <w:rsid w:val="0029671C"/>
    <w:rsid w:val="002967CD"/>
    <w:rsid w:val="0029684F"/>
    <w:rsid w:val="00296A4A"/>
    <w:rsid w:val="00296D8C"/>
    <w:rsid w:val="00297A67"/>
    <w:rsid w:val="00297DC0"/>
    <w:rsid w:val="00297E28"/>
    <w:rsid w:val="002A0734"/>
    <w:rsid w:val="002A08F7"/>
    <w:rsid w:val="002A0BB1"/>
    <w:rsid w:val="002A1643"/>
    <w:rsid w:val="002A2027"/>
    <w:rsid w:val="002A2131"/>
    <w:rsid w:val="002A2727"/>
    <w:rsid w:val="002A296E"/>
    <w:rsid w:val="002A2C22"/>
    <w:rsid w:val="002A3217"/>
    <w:rsid w:val="002A3343"/>
    <w:rsid w:val="002A337C"/>
    <w:rsid w:val="002A3895"/>
    <w:rsid w:val="002A3DFB"/>
    <w:rsid w:val="002A445E"/>
    <w:rsid w:val="002A44BC"/>
    <w:rsid w:val="002A4B55"/>
    <w:rsid w:val="002A4EE4"/>
    <w:rsid w:val="002A50CF"/>
    <w:rsid w:val="002A51FF"/>
    <w:rsid w:val="002A5606"/>
    <w:rsid w:val="002A5A6C"/>
    <w:rsid w:val="002A5D81"/>
    <w:rsid w:val="002A6116"/>
    <w:rsid w:val="002A61DE"/>
    <w:rsid w:val="002A6E48"/>
    <w:rsid w:val="002A7C8C"/>
    <w:rsid w:val="002A7E26"/>
    <w:rsid w:val="002A7ED3"/>
    <w:rsid w:val="002B04D5"/>
    <w:rsid w:val="002B0818"/>
    <w:rsid w:val="002B0D6C"/>
    <w:rsid w:val="002B159B"/>
    <w:rsid w:val="002B1756"/>
    <w:rsid w:val="002B1AD7"/>
    <w:rsid w:val="002B2AB5"/>
    <w:rsid w:val="002B2C9E"/>
    <w:rsid w:val="002B2D23"/>
    <w:rsid w:val="002B2D98"/>
    <w:rsid w:val="002B3234"/>
    <w:rsid w:val="002B37BF"/>
    <w:rsid w:val="002B3828"/>
    <w:rsid w:val="002B39CA"/>
    <w:rsid w:val="002B3B8B"/>
    <w:rsid w:val="002B3C19"/>
    <w:rsid w:val="002B3CA2"/>
    <w:rsid w:val="002B3ECE"/>
    <w:rsid w:val="002B43C9"/>
    <w:rsid w:val="002B4976"/>
    <w:rsid w:val="002B4C41"/>
    <w:rsid w:val="002B5ED8"/>
    <w:rsid w:val="002B5FA0"/>
    <w:rsid w:val="002B6591"/>
    <w:rsid w:val="002B751B"/>
    <w:rsid w:val="002B77CC"/>
    <w:rsid w:val="002C0200"/>
    <w:rsid w:val="002C02A8"/>
    <w:rsid w:val="002C056C"/>
    <w:rsid w:val="002C05F8"/>
    <w:rsid w:val="002C06EE"/>
    <w:rsid w:val="002C077E"/>
    <w:rsid w:val="002C1315"/>
    <w:rsid w:val="002C1478"/>
    <w:rsid w:val="002C1A87"/>
    <w:rsid w:val="002C1CDE"/>
    <w:rsid w:val="002C1D2B"/>
    <w:rsid w:val="002C1E4C"/>
    <w:rsid w:val="002C2E19"/>
    <w:rsid w:val="002C305A"/>
    <w:rsid w:val="002C310A"/>
    <w:rsid w:val="002C3270"/>
    <w:rsid w:val="002C32D7"/>
    <w:rsid w:val="002C430F"/>
    <w:rsid w:val="002C4B4C"/>
    <w:rsid w:val="002C4B6A"/>
    <w:rsid w:val="002C4E98"/>
    <w:rsid w:val="002C50E3"/>
    <w:rsid w:val="002C677E"/>
    <w:rsid w:val="002C69F6"/>
    <w:rsid w:val="002C6E84"/>
    <w:rsid w:val="002C6FA5"/>
    <w:rsid w:val="002C723E"/>
    <w:rsid w:val="002C7BE1"/>
    <w:rsid w:val="002D0928"/>
    <w:rsid w:val="002D1110"/>
    <w:rsid w:val="002D12C4"/>
    <w:rsid w:val="002D1456"/>
    <w:rsid w:val="002D16C1"/>
    <w:rsid w:val="002D1957"/>
    <w:rsid w:val="002D22CE"/>
    <w:rsid w:val="002D2A64"/>
    <w:rsid w:val="002D2C65"/>
    <w:rsid w:val="002D347C"/>
    <w:rsid w:val="002D47AE"/>
    <w:rsid w:val="002D540D"/>
    <w:rsid w:val="002D5710"/>
    <w:rsid w:val="002D5F71"/>
    <w:rsid w:val="002D6093"/>
    <w:rsid w:val="002D650A"/>
    <w:rsid w:val="002D65D5"/>
    <w:rsid w:val="002D6641"/>
    <w:rsid w:val="002D6E70"/>
    <w:rsid w:val="002D6F5D"/>
    <w:rsid w:val="002D7267"/>
    <w:rsid w:val="002D74F7"/>
    <w:rsid w:val="002D7C0D"/>
    <w:rsid w:val="002E02BE"/>
    <w:rsid w:val="002E0A64"/>
    <w:rsid w:val="002E0DC7"/>
    <w:rsid w:val="002E1402"/>
    <w:rsid w:val="002E2A88"/>
    <w:rsid w:val="002E2B05"/>
    <w:rsid w:val="002E2E5F"/>
    <w:rsid w:val="002E2F8E"/>
    <w:rsid w:val="002E3C2D"/>
    <w:rsid w:val="002E443B"/>
    <w:rsid w:val="002E48DD"/>
    <w:rsid w:val="002E4970"/>
    <w:rsid w:val="002E4D18"/>
    <w:rsid w:val="002E51BE"/>
    <w:rsid w:val="002E593F"/>
    <w:rsid w:val="002E5CCE"/>
    <w:rsid w:val="002E5F9E"/>
    <w:rsid w:val="002E618C"/>
    <w:rsid w:val="002E683C"/>
    <w:rsid w:val="002E6D58"/>
    <w:rsid w:val="002E6F43"/>
    <w:rsid w:val="002E77D3"/>
    <w:rsid w:val="002E7F18"/>
    <w:rsid w:val="002E7F52"/>
    <w:rsid w:val="002F0994"/>
    <w:rsid w:val="002F0B37"/>
    <w:rsid w:val="002F0C3A"/>
    <w:rsid w:val="002F0E7A"/>
    <w:rsid w:val="002F0EC9"/>
    <w:rsid w:val="002F119A"/>
    <w:rsid w:val="002F20AE"/>
    <w:rsid w:val="002F24A3"/>
    <w:rsid w:val="002F30BD"/>
    <w:rsid w:val="002F3179"/>
    <w:rsid w:val="002F3399"/>
    <w:rsid w:val="002F46C4"/>
    <w:rsid w:val="002F4957"/>
    <w:rsid w:val="002F5263"/>
    <w:rsid w:val="002F53F6"/>
    <w:rsid w:val="002F546C"/>
    <w:rsid w:val="002F5984"/>
    <w:rsid w:val="002F6300"/>
    <w:rsid w:val="002F647E"/>
    <w:rsid w:val="002F67A6"/>
    <w:rsid w:val="002F681A"/>
    <w:rsid w:val="002F7081"/>
    <w:rsid w:val="002F7510"/>
    <w:rsid w:val="002F757F"/>
    <w:rsid w:val="00300744"/>
    <w:rsid w:val="00300BEF"/>
    <w:rsid w:val="0030103A"/>
    <w:rsid w:val="00301138"/>
    <w:rsid w:val="003019BE"/>
    <w:rsid w:val="003019D7"/>
    <w:rsid w:val="00301B2A"/>
    <w:rsid w:val="00301F5C"/>
    <w:rsid w:val="003021E9"/>
    <w:rsid w:val="0030220B"/>
    <w:rsid w:val="00302374"/>
    <w:rsid w:val="003025E6"/>
    <w:rsid w:val="00302CE8"/>
    <w:rsid w:val="00302E41"/>
    <w:rsid w:val="00302EB4"/>
    <w:rsid w:val="00303561"/>
    <w:rsid w:val="00303D24"/>
    <w:rsid w:val="00304363"/>
    <w:rsid w:val="00304981"/>
    <w:rsid w:val="00304D66"/>
    <w:rsid w:val="00304E3C"/>
    <w:rsid w:val="0030513C"/>
    <w:rsid w:val="00305172"/>
    <w:rsid w:val="0030554B"/>
    <w:rsid w:val="00305ABB"/>
    <w:rsid w:val="00305B9C"/>
    <w:rsid w:val="00305DE2"/>
    <w:rsid w:val="00306953"/>
    <w:rsid w:val="00306A0F"/>
    <w:rsid w:val="00306AD6"/>
    <w:rsid w:val="00306D95"/>
    <w:rsid w:val="0030798B"/>
    <w:rsid w:val="00307AFD"/>
    <w:rsid w:val="00307D2C"/>
    <w:rsid w:val="00307E5E"/>
    <w:rsid w:val="00307F7D"/>
    <w:rsid w:val="00310347"/>
    <w:rsid w:val="0031079E"/>
    <w:rsid w:val="00310856"/>
    <w:rsid w:val="00311030"/>
    <w:rsid w:val="003114DE"/>
    <w:rsid w:val="003118DC"/>
    <w:rsid w:val="00312656"/>
    <w:rsid w:val="003128EB"/>
    <w:rsid w:val="00312925"/>
    <w:rsid w:val="00313094"/>
    <w:rsid w:val="00313198"/>
    <w:rsid w:val="003131A0"/>
    <w:rsid w:val="00313654"/>
    <w:rsid w:val="00313945"/>
    <w:rsid w:val="003139FD"/>
    <w:rsid w:val="003140E6"/>
    <w:rsid w:val="0031412A"/>
    <w:rsid w:val="003146BD"/>
    <w:rsid w:val="00314941"/>
    <w:rsid w:val="00314A03"/>
    <w:rsid w:val="00314BDC"/>
    <w:rsid w:val="003153A6"/>
    <w:rsid w:val="003155C6"/>
    <w:rsid w:val="003163FD"/>
    <w:rsid w:val="003169C2"/>
    <w:rsid w:val="00316BD1"/>
    <w:rsid w:val="00316DAE"/>
    <w:rsid w:val="003170A6"/>
    <w:rsid w:val="00317418"/>
    <w:rsid w:val="00317C42"/>
    <w:rsid w:val="00317D16"/>
    <w:rsid w:val="00317F6E"/>
    <w:rsid w:val="00317FFA"/>
    <w:rsid w:val="00320134"/>
    <w:rsid w:val="00320785"/>
    <w:rsid w:val="00321181"/>
    <w:rsid w:val="003214FE"/>
    <w:rsid w:val="0032180B"/>
    <w:rsid w:val="003219DE"/>
    <w:rsid w:val="00321A5B"/>
    <w:rsid w:val="00321E40"/>
    <w:rsid w:val="00322071"/>
    <w:rsid w:val="0032209E"/>
    <w:rsid w:val="003222B8"/>
    <w:rsid w:val="003222D8"/>
    <w:rsid w:val="00322320"/>
    <w:rsid w:val="00322962"/>
    <w:rsid w:val="00322BB3"/>
    <w:rsid w:val="00322C90"/>
    <w:rsid w:val="00322D7F"/>
    <w:rsid w:val="003230BF"/>
    <w:rsid w:val="003235DF"/>
    <w:rsid w:val="00323732"/>
    <w:rsid w:val="0032387F"/>
    <w:rsid w:val="00323CE3"/>
    <w:rsid w:val="00323CF9"/>
    <w:rsid w:val="00323D2C"/>
    <w:rsid w:val="00323F8F"/>
    <w:rsid w:val="0032407C"/>
    <w:rsid w:val="003243C9"/>
    <w:rsid w:val="003247B0"/>
    <w:rsid w:val="00324F34"/>
    <w:rsid w:val="00325080"/>
    <w:rsid w:val="00325589"/>
    <w:rsid w:val="003259E7"/>
    <w:rsid w:val="00326C78"/>
    <w:rsid w:val="0032732E"/>
    <w:rsid w:val="00327372"/>
    <w:rsid w:val="00327B7A"/>
    <w:rsid w:val="00327D33"/>
    <w:rsid w:val="003305D8"/>
    <w:rsid w:val="00330A23"/>
    <w:rsid w:val="00330B17"/>
    <w:rsid w:val="00331578"/>
    <w:rsid w:val="00331639"/>
    <w:rsid w:val="00331851"/>
    <w:rsid w:val="00331A29"/>
    <w:rsid w:val="00331C78"/>
    <w:rsid w:val="0033210D"/>
    <w:rsid w:val="0033289A"/>
    <w:rsid w:val="00332945"/>
    <w:rsid w:val="00332E89"/>
    <w:rsid w:val="003331DD"/>
    <w:rsid w:val="00333951"/>
    <w:rsid w:val="00333A11"/>
    <w:rsid w:val="00334C1D"/>
    <w:rsid w:val="00334C7B"/>
    <w:rsid w:val="00334DDA"/>
    <w:rsid w:val="0033510A"/>
    <w:rsid w:val="0033537A"/>
    <w:rsid w:val="00335447"/>
    <w:rsid w:val="003354BF"/>
    <w:rsid w:val="00335D35"/>
    <w:rsid w:val="00336450"/>
    <w:rsid w:val="00336770"/>
    <w:rsid w:val="00336D01"/>
    <w:rsid w:val="003370AA"/>
    <w:rsid w:val="00337258"/>
    <w:rsid w:val="00337D56"/>
    <w:rsid w:val="00337E64"/>
    <w:rsid w:val="00340510"/>
    <w:rsid w:val="0034099A"/>
    <w:rsid w:val="00340E4B"/>
    <w:rsid w:val="00341438"/>
    <w:rsid w:val="00341BC6"/>
    <w:rsid w:val="00341F02"/>
    <w:rsid w:val="0034234F"/>
    <w:rsid w:val="00343046"/>
    <w:rsid w:val="003430A9"/>
    <w:rsid w:val="003432F4"/>
    <w:rsid w:val="00343526"/>
    <w:rsid w:val="00344455"/>
    <w:rsid w:val="0034590B"/>
    <w:rsid w:val="00345A09"/>
    <w:rsid w:val="00345F15"/>
    <w:rsid w:val="00346046"/>
    <w:rsid w:val="003462AF"/>
    <w:rsid w:val="00346479"/>
    <w:rsid w:val="003465F3"/>
    <w:rsid w:val="00347D5E"/>
    <w:rsid w:val="00350022"/>
    <w:rsid w:val="00350BD7"/>
    <w:rsid w:val="00350F1A"/>
    <w:rsid w:val="00351B1D"/>
    <w:rsid w:val="003521AD"/>
    <w:rsid w:val="00352344"/>
    <w:rsid w:val="00352415"/>
    <w:rsid w:val="00352495"/>
    <w:rsid w:val="0035291B"/>
    <w:rsid w:val="003529BB"/>
    <w:rsid w:val="00352B9F"/>
    <w:rsid w:val="00353948"/>
    <w:rsid w:val="00353CF5"/>
    <w:rsid w:val="00354095"/>
    <w:rsid w:val="003541A5"/>
    <w:rsid w:val="003541F0"/>
    <w:rsid w:val="003550E8"/>
    <w:rsid w:val="00355471"/>
    <w:rsid w:val="003559D6"/>
    <w:rsid w:val="00355AA9"/>
    <w:rsid w:val="00355D18"/>
    <w:rsid w:val="00355F66"/>
    <w:rsid w:val="003565BF"/>
    <w:rsid w:val="0035666F"/>
    <w:rsid w:val="003566BA"/>
    <w:rsid w:val="00356729"/>
    <w:rsid w:val="003569D8"/>
    <w:rsid w:val="00356A23"/>
    <w:rsid w:val="00356A60"/>
    <w:rsid w:val="00356BE5"/>
    <w:rsid w:val="00357222"/>
    <w:rsid w:val="00357393"/>
    <w:rsid w:val="003573F8"/>
    <w:rsid w:val="00357556"/>
    <w:rsid w:val="00357830"/>
    <w:rsid w:val="00360071"/>
    <w:rsid w:val="00360ABB"/>
    <w:rsid w:val="00360CB6"/>
    <w:rsid w:val="0036184B"/>
    <w:rsid w:val="00361CC4"/>
    <w:rsid w:val="00361FD6"/>
    <w:rsid w:val="00362031"/>
    <w:rsid w:val="00362040"/>
    <w:rsid w:val="00362622"/>
    <w:rsid w:val="003629C7"/>
    <w:rsid w:val="00362C1F"/>
    <w:rsid w:val="00362C6C"/>
    <w:rsid w:val="00362FFE"/>
    <w:rsid w:val="003634E8"/>
    <w:rsid w:val="003636EF"/>
    <w:rsid w:val="00363827"/>
    <w:rsid w:val="0036382E"/>
    <w:rsid w:val="003638B9"/>
    <w:rsid w:val="00363A04"/>
    <w:rsid w:val="003643A0"/>
    <w:rsid w:val="00364442"/>
    <w:rsid w:val="00364DC1"/>
    <w:rsid w:val="00364F34"/>
    <w:rsid w:val="003657BD"/>
    <w:rsid w:val="00365872"/>
    <w:rsid w:val="003659B1"/>
    <w:rsid w:val="00365AC5"/>
    <w:rsid w:val="00365C87"/>
    <w:rsid w:val="00366548"/>
    <w:rsid w:val="003665AA"/>
    <w:rsid w:val="003666B2"/>
    <w:rsid w:val="0036698C"/>
    <w:rsid w:val="00366D6A"/>
    <w:rsid w:val="0036763A"/>
    <w:rsid w:val="00367C71"/>
    <w:rsid w:val="00367F2A"/>
    <w:rsid w:val="003701CE"/>
    <w:rsid w:val="003702B0"/>
    <w:rsid w:val="0037065C"/>
    <w:rsid w:val="00370E0E"/>
    <w:rsid w:val="0037174C"/>
    <w:rsid w:val="0037192A"/>
    <w:rsid w:val="00371AF9"/>
    <w:rsid w:val="00371DDC"/>
    <w:rsid w:val="00371FE5"/>
    <w:rsid w:val="003722CC"/>
    <w:rsid w:val="00372605"/>
    <w:rsid w:val="00372E79"/>
    <w:rsid w:val="00373604"/>
    <w:rsid w:val="003736B4"/>
    <w:rsid w:val="003737B9"/>
    <w:rsid w:val="003738F6"/>
    <w:rsid w:val="00374301"/>
    <w:rsid w:val="00374951"/>
    <w:rsid w:val="003754A9"/>
    <w:rsid w:val="00375816"/>
    <w:rsid w:val="00375887"/>
    <w:rsid w:val="003759B2"/>
    <w:rsid w:val="00375F80"/>
    <w:rsid w:val="00376BFC"/>
    <w:rsid w:val="00377AD7"/>
    <w:rsid w:val="00380193"/>
    <w:rsid w:val="00380283"/>
    <w:rsid w:val="00380A8B"/>
    <w:rsid w:val="00380DF8"/>
    <w:rsid w:val="0038172A"/>
    <w:rsid w:val="00381839"/>
    <w:rsid w:val="003820B2"/>
    <w:rsid w:val="003824E0"/>
    <w:rsid w:val="003827D5"/>
    <w:rsid w:val="003829EA"/>
    <w:rsid w:val="00382C48"/>
    <w:rsid w:val="00382D2A"/>
    <w:rsid w:val="00382F3F"/>
    <w:rsid w:val="00382FA0"/>
    <w:rsid w:val="00383459"/>
    <w:rsid w:val="00383805"/>
    <w:rsid w:val="00383B2E"/>
    <w:rsid w:val="00383DCA"/>
    <w:rsid w:val="00383DE2"/>
    <w:rsid w:val="0038451E"/>
    <w:rsid w:val="003846E8"/>
    <w:rsid w:val="00384AEC"/>
    <w:rsid w:val="00384ED9"/>
    <w:rsid w:val="003854DA"/>
    <w:rsid w:val="003856DB"/>
    <w:rsid w:val="00385A3C"/>
    <w:rsid w:val="00385ECD"/>
    <w:rsid w:val="0038654C"/>
    <w:rsid w:val="0038670A"/>
    <w:rsid w:val="00386841"/>
    <w:rsid w:val="00386CE8"/>
    <w:rsid w:val="00386EA4"/>
    <w:rsid w:val="003871F9"/>
    <w:rsid w:val="003874B7"/>
    <w:rsid w:val="003900C8"/>
    <w:rsid w:val="00390AC3"/>
    <w:rsid w:val="0039159A"/>
    <w:rsid w:val="00391738"/>
    <w:rsid w:val="00391A5F"/>
    <w:rsid w:val="00391C10"/>
    <w:rsid w:val="00391CD8"/>
    <w:rsid w:val="00391CF4"/>
    <w:rsid w:val="00391E55"/>
    <w:rsid w:val="00391FA8"/>
    <w:rsid w:val="00392D57"/>
    <w:rsid w:val="00392FD0"/>
    <w:rsid w:val="00393DF7"/>
    <w:rsid w:val="00393F7C"/>
    <w:rsid w:val="003944E9"/>
    <w:rsid w:val="00394612"/>
    <w:rsid w:val="003963FB"/>
    <w:rsid w:val="00396583"/>
    <w:rsid w:val="00396727"/>
    <w:rsid w:val="00396B31"/>
    <w:rsid w:val="003972E0"/>
    <w:rsid w:val="00397D32"/>
    <w:rsid w:val="00397DAB"/>
    <w:rsid w:val="00397FF9"/>
    <w:rsid w:val="003A0300"/>
    <w:rsid w:val="003A0519"/>
    <w:rsid w:val="003A09C9"/>
    <w:rsid w:val="003A14D3"/>
    <w:rsid w:val="003A1578"/>
    <w:rsid w:val="003A1913"/>
    <w:rsid w:val="003A1BF1"/>
    <w:rsid w:val="003A271C"/>
    <w:rsid w:val="003A3150"/>
    <w:rsid w:val="003A31B3"/>
    <w:rsid w:val="003A3542"/>
    <w:rsid w:val="003A3D5B"/>
    <w:rsid w:val="003A42CE"/>
    <w:rsid w:val="003A435A"/>
    <w:rsid w:val="003A4DCB"/>
    <w:rsid w:val="003A5395"/>
    <w:rsid w:val="003A543A"/>
    <w:rsid w:val="003A551D"/>
    <w:rsid w:val="003A55A0"/>
    <w:rsid w:val="003A5819"/>
    <w:rsid w:val="003A583C"/>
    <w:rsid w:val="003A584F"/>
    <w:rsid w:val="003A5B00"/>
    <w:rsid w:val="003A6769"/>
    <w:rsid w:val="003A6A1F"/>
    <w:rsid w:val="003A7377"/>
    <w:rsid w:val="003A7393"/>
    <w:rsid w:val="003A74B0"/>
    <w:rsid w:val="003A78C5"/>
    <w:rsid w:val="003A7A0C"/>
    <w:rsid w:val="003A7DBA"/>
    <w:rsid w:val="003A7E40"/>
    <w:rsid w:val="003B0209"/>
    <w:rsid w:val="003B0815"/>
    <w:rsid w:val="003B0B20"/>
    <w:rsid w:val="003B0E65"/>
    <w:rsid w:val="003B0EE1"/>
    <w:rsid w:val="003B10FF"/>
    <w:rsid w:val="003B1303"/>
    <w:rsid w:val="003B1370"/>
    <w:rsid w:val="003B13DD"/>
    <w:rsid w:val="003B1700"/>
    <w:rsid w:val="003B186B"/>
    <w:rsid w:val="003B1B51"/>
    <w:rsid w:val="003B1BBF"/>
    <w:rsid w:val="003B1DCC"/>
    <w:rsid w:val="003B1F34"/>
    <w:rsid w:val="003B1FF4"/>
    <w:rsid w:val="003B2774"/>
    <w:rsid w:val="003B3008"/>
    <w:rsid w:val="003B4585"/>
    <w:rsid w:val="003B482D"/>
    <w:rsid w:val="003B485B"/>
    <w:rsid w:val="003B48AD"/>
    <w:rsid w:val="003B4CCC"/>
    <w:rsid w:val="003B4F1F"/>
    <w:rsid w:val="003B51EE"/>
    <w:rsid w:val="003B55B0"/>
    <w:rsid w:val="003B5A0A"/>
    <w:rsid w:val="003B5A19"/>
    <w:rsid w:val="003B5B5D"/>
    <w:rsid w:val="003B5BD8"/>
    <w:rsid w:val="003B5C41"/>
    <w:rsid w:val="003B5CD2"/>
    <w:rsid w:val="003B615B"/>
    <w:rsid w:val="003B6360"/>
    <w:rsid w:val="003B64AB"/>
    <w:rsid w:val="003B687C"/>
    <w:rsid w:val="003B68AA"/>
    <w:rsid w:val="003B6D2C"/>
    <w:rsid w:val="003B73F9"/>
    <w:rsid w:val="003B778D"/>
    <w:rsid w:val="003B78E2"/>
    <w:rsid w:val="003B7C1E"/>
    <w:rsid w:val="003B7C2F"/>
    <w:rsid w:val="003C0470"/>
    <w:rsid w:val="003C0808"/>
    <w:rsid w:val="003C0BB2"/>
    <w:rsid w:val="003C128A"/>
    <w:rsid w:val="003C12C1"/>
    <w:rsid w:val="003C134F"/>
    <w:rsid w:val="003C13CC"/>
    <w:rsid w:val="003C18ED"/>
    <w:rsid w:val="003C18F9"/>
    <w:rsid w:val="003C1E1A"/>
    <w:rsid w:val="003C1F1B"/>
    <w:rsid w:val="003C24F5"/>
    <w:rsid w:val="003C25FB"/>
    <w:rsid w:val="003C2D1F"/>
    <w:rsid w:val="003C2DAD"/>
    <w:rsid w:val="003C2E11"/>
    <w:rsid w:val="003C3240"/>
    <w:rsid w:val="003C37AE"/>
    <w:rsid w:val="003C39AE"/>
    <w:rsid w:val="003C3EE5"/>
    <w:rsid w:val="003C4178"/>
    <w:rsid w:val="003C43C5"/>
    <w:rsid w:val="003C4558"/>
    <w:rsid w:val="003C4A76"/>
    <w:rsid w:val="003C4E0C"/>
    <w:rsid w:val="003C5532"/>
    <w:rsid w:val="003C567E"/>
    <w:rsid w:val="003C5955"/>
    <w:rsid w:val="003C5DDB"/>
    <w:rsid w:val="003C6BC7"/>
    <w:rsid w:val="003C75E8"/>
    <w:rsid w:val="003C795C"/>
    <w:rsid w:val="003C797B"/>
    <w:rsid w:val="003C798B"/>
    <w:rsid w:val="003C7A62"/>
    <w:rsid w:val="003C7F12"/>
    <w:rsid w:val="003D1404"/>
    <w:rsid w:val="003D1631"/>
    <w:rsid w:val="003D19B0"/>
    <w:rsid w:val="003D1CEF"/>
    <w:rsid w:val="003D1D66"/>
    <w:rsid w:val="003D23AA"/>
    <w:rsid w:val="003D284C"/>
    <w:rsid w:val="003D2C1F"/>
    <w:rsid w:val="003D2C32"/>
    <w:rsid w:val="003D32A5"/>
    <w:rsid w:val="003D3C2A"/>
    <w:rsid w:val="003D3FAB"/>
    <w:rsid w:val="003D4CD5"/>
    <w:rsid w:val="003D558C"/>
    <w:rsid w:val="003D5770"/>
    <w:rsid w:val="003D584E"/>
    <w:rsid w:val="003D5A51"/>
    <w:rsid w:val="003D5D76"/>
    <w:rsid w:val="003D5F60"/>
    <w:rsid w:val="003D6325"/>
    <w:rsid w:val="003D6412"/>
    <w:rsid w:val="003D648D"/>
    <w:rsid w:val="003D64DC"/>
    <w:rsid w:val="003D6993"/>
    <w:rsid w:val="003D705E"/>
    <w:rsid w:val="003D7945"/>
    <w:rsid w:val="003D7A1F"/>
    <w:rsid w:val="003D7A5C"/>
    <w:rsid w:val="003D7DBD"/>
    <w:rsid w:val="003E0C49"/>
    <w:rsid w:val="003E12E6"/>
    <w:rsid w:val="003E1906"/>
    <w:rsid w:val="003E1B19"/>
    <w:rsid w:val="003E1CDE"/>
    <w:rsid w:val="003E1D91"/>
    <w:rsid w:val="003E217C"/>
    <w:rsid w:val="003E26E0"/>
    <w:rsid w:val="003E2873"/>
    <w:rsid w:val="003E292F"/>
    <w:rsid w:val="003E2C7C"/>
    <w:rsid w:val="003E35AE"/>
    <w:rsid w:val="003E3B11"/>
    <w:rsid w:val="003E3BD5"/>
    <w:rsid w:val="003E3DAB"/>
    <w:rsid w:val="003E3E79"/>
    <w:rsid w:val="003E4563"/>
    <w:rsid w:val="003E57DC"/>
    <w:rsid w:val="003E5B2E"/>
    <w:rsid w:val="003E6179"/>
    <w:rsid w:val="003E6A74"/>
    <w:rsid w:val="003E6BB0"/>
    <w:rsid w:val="003E7AED"/>
    <w:rsid w:val="003E7E67"/>
    <w:rsid w:val="003E7FE5"/>
    <w:rsid w:val="003F0C7C"/>
    <w:rsid w:val="003F0EED"/>
    <w:rsid w:val="003F0F57"/>
    <w:rsid w:val="003F1BEF"/>
    <w:rsid w:val="003F231D"/>
    <w:rsid w:val="003F2540"/>
    <w:rsid w:val="003F259A"/>
    <w:rsid w:val="003F28DE"/>
    <w:rsid w:val="003F292F"/>
    <w:rsid w:val="003F2E8F"/>
    <w:rsid w:val="003F34D5"/>
    <w:rsid w:val="003F3E50"/>
    <w:rsid w:val="003F3FDF"/>
    <w:rsid w:val="003F5D99"/>
    <w:rsid w:val="003F5F9A"/>
    <w:rsid w:val="003F5FC2"/>
    <w:rsid w:val="003F61FA"/>
    <w:rsid w:val="003F6227"/>
    <w:rsid w:val="003F696E"/>
    <w:rsid w:val="003F6BC4"/>
    <w:rsid w:val="003F6C4F"/>
    <w:rsid w:val="003F6F37"/>
    <w:rsid w:val="003F7388"/>
    <w:rsid w:val="003F7EBD"/>
    <w:rsid w:val="004003D2"/>
    <w:rsid w:val="00400DC0"/>
    <w:rsid w:val="004016D8"/>
    <w:rsid w:val="00401918"/>
    <w:rsid w:val="00401CC2"/>
    <w:rsid w:val="004020F5"/>
    <w:rsid w:val="00402413"/>
    <w:rsid w:val="004029CF"/>
    <w:rsid w:val="004029E6"/>
    <w:rsid w:val="00402BB0"/>
    <w:rsid w:val="0040344F"/>
    <w:rsid w:val="0040373B"/>
    <w:rsid w:val="0040380C"/>
    <w:rsid w:val="00403C07"/>
    <w:rsid w:val="00403EB3"/>
    <w:rsid w:val="004041B5"/>
    <w:rsid w:val="00404AEC"/>
    <w:rsid w:val="004051FF"/>
    <w:rsid w:val="004053E2"/>
    <w:rsid w:val="00405400"/>
    <w:rsid w:val="0040563B"/>
    <w:rsid w:val="004057EE"/>
    <w:rsid w:val="004059AD"/>
    <w:rsid w:val="004063C6"/>
    <w:rsid w:val="00406C0E"/>
    <w:rsid w:val="0040709C"/>
    <w:rsid w:val="004074BF"/>
    <w:rsid w:val="004076E6"/>
    <w:rsid w:val="00407A6A"/>
    <w:rsid w:val="00410556"/>
    <w:rsid w:val="004107ED"/>
    <w:rsid w:val="00410F69"/>
    <w:rsid w:val="0041130D"/>
    <w:rsid w:val="004113AD"/>
    <w:rsid w:val="004116EB"/>
    <w:rsid w:val="0041172F"/>
    <w:rsid w:val="00411C8B"/>
    <w:rsid w:val="00411EF5"/>
    <w:rsid w:val="0041258C"/>
    <w:rsid w:val="004129AA"/>
    <w:rsid w:val="00412C80"/>
    <w:rsid w:val="00413590"/>
    <w:rsid w:val="00414049"/>
    <w:rsid w:val="0041410D"/>
    <w:rsid w:val="00414BC6"/>
    <w:rsid w:val="00414DD8"/>
    <w:rsid w:val="004150EC"/>
    <w:rsid w:val="00415AA0"/>
    <w:rsid w:val="00415C07"/>
    <w:rsid w:val="00415DA0"/>
    <w:rsid w:val="00415EEC"/>
    <w:rsid w:val="00416014"/>
    <w:rsid w:val="00416180"/>
    <w:rsid w:val="00416312"/>
    <w:rsid w:val="00416375"/>
    <w:rsid w:val="00416518"/>
    <w:rsid w:val="00416A06"/>
    <w:rsid w:val="00416FB8"/>
    <w:rsid w:val="0042054F"/>
    <w:rsid w:val="00420598"/>
    <w:rsid w:val="00420B94"/>
    <w:rsid w:val="00420CD6"/>
    <w:rsid w:val="004214E5"/>
    <w:rsid w:val="004214FB"/>
    <w:rsid w:val="00421BC1"/>
    <w:rsid w:val="00421CF2"/>
    <w:rsid w:val="00422996"/>
    <w:rsid w:val="00423079"/>
    <w:rsid w:val="00424926"/>
    <w:rsid w:val="00424B4F"/>
    <w:rsid w:val="00424C20"/>
    <w:rsid w:val="00424DAE"/>
    <w:rsid w:val="00424DE0"/>
    <w:rsid w:val="00425039"/>
    <w:rsid w:val="004253B3"/>
    <w:rsid w:val="00425CC9"/>
    <w:rsid w:val="00425D28"/>
    <w:rsid w:val="00426040"/>
    <w:rsid w:val="004267DA"/>
    <w:rsid w:val="00426805"/>
    <w:rsid w:val="00426C74"/>
    <w:rsid w:val="00427578"/>
    <w:rsid w:val="00427769"/>
    <w:rsid w:val="00427988"/>
    <w:rsid w:val="00427A88"/>
    <w:rsid w:val="00427DA9"/>
    <w:rsid w:val="00427EFD"/>
    <w:rsid w:val="0043025E"/>
    <w:rsid w:val="00430298"/>
    <w:rsid w:val="004304F2"/>
    <w:rsid w:val="004306EB"/>
    <w:rsid w:val="004307CA"/>
    <w:rsid w:val="00430B87"/>
    <w:rsid w:val="0043209D"/>
    <w:rsid w:val="00432248"/>
    <w:rsid w:val="004322F9"/>
    <w:rsid w:val="00432518"/>
    <w:rsid w:val="00432D0C"/>
    <w:rsid w:val="00433337"/>
    <w:rsid w:val="00433B80"/>
    <w:rsid w:val="00433E9F"/>
    <w:rsid w:val="00433F9E"/>
    <w:rsid w:val="00434209"/>
    <w:rsid w:val="0043420D"/>
    <w:rsid w:val="00434910"/>
    <w:rsid w:val="00434ADE"/>
    <w:rsid w:val="00434F1E"/>
    <w:rsid w:val="00435016"/>
    <w:rsid w:val="00435131"/>
    <w:rsid w:val="00435749"/>
    <w:rsid w:val="00435B3B"/>
    <w:rsid w:val="00435D28"/>
    <w:rsid w:val="00435E7A"/>
    <w:rsid w:val="00435F45"/>
    <w:rsid w:val="004365EE"/>
    <w:rsid w:val="00436EA4"/>
    <w:rsid w:val="00436FA8"/>
    <w:rsid w:val="004372E9"/>
    <w:rsid w:val="004378EA"/>
    <w:rsid w:val="00437CB2"/>
    <w:rsid w:val="00437F20"/>
    <w:rsid w:val="00440971"/>
    <w:rsid w:val="00440ABB"/>
    <w:rsid w:val="00440ACC"/>
    <w:rsid w:val="00441A09"/>
    <w:rsid w:val="00441B33"/>
    <w:rsid w:val="00441F57"/>
    <w:rsid w:val="00442A7D"/>
    <w:rsid w:val="00442EC5"/>
    <w:rsid w:val="00443071"/>
    <w:rsid w:val="004433A4"/>
    <w:rsid w:val="004439CE"/>
    <w:rsid w:val="00444613"/>
    <w:rsid w:val="0044479B"/>
    <w:rsid w:val="004449E6"/>
    <w:rsid w:val="00444FF1"/>
    <w:rsid w:val="00445083"/>
    <w:rsid w:val="004451C4"/>
    <w:rsid w:val="00445238"/>
    <w:rsid w:val="00445543"/>
    <w:rsid w:val="004458FB"/>
    <w:rsid w:val="004459FC"/>
    <w:rsid w:val="00445D9D"/>
    <w:rsid w:val="00446591"/>
    <w:rsid w:val="00446950"/>
    <w:rsid w:val="00446ACD"/>
    <w:rsid w:val="00446CFC"/>
    <w:rsid w:val="00447601"/>
    <w:rsid w:val="00447DB2"/>
    <w:rsid w:val="004500B8"/>
    <w:rsid w:val="0045050B"/>
    <w:rsid w:val="004509FC"/>
    <w:rsid w:val="00451338"/>
    <w:rsid w:val="00451430"/>
    <w:rsid w:val="00452224"/>
    <w:rsid w:val="00452439"/>
    <w:rsid w:val="00452AC0"/>
    <w:rsid w:val="00452F6F"/>
    <w:rsid w:val="0045385B"/>
    <w:rsid w:val="0045435D"/>
    <w:rsid w:val="00455109"/>
    <w:rsid w:val="00455765"/>
    <w:rsid w:val="00455FA8"/>
    <w:rsid w:val="004566E9"/>
    <w:rsid w:val="0045684C"/>
    <w:rsid w:val="00456F70"/>
    <w:rsid w:val="00457165"/>
    <w:rsid w:val="0045724C"/>
    <w:rsid w:val="0045729F"/>
    <w:rsid w:val="004575AF"/>
    <w:rsid w:val="00457651"/>
    <w:rsid w:val="00460001"/>
    <w:rsid w:val="0046071A"/>
    <w:rsid w:val="004609F7"/>
    <w:rsid w:val="00460A39"/>
    <w:rsid w:val="00460A9A"/>
    <w:rsid w:val="00460D72"/>
    <w:rsid w:val="00460EEC"/>
    <w:rsid w:val="00460F53"/>
    <w:rsid w:val="00461772"/>
    <w:rsid w:val="00461803"/>
    <w:rsid w:val="00461A23"/>
    <w:rsid w:val="004620E3"/>
    <w:rsid w:val="00462126"/>
    <w:rsid w:val="0046309F"/>
    <w:rsid w:val="0046329F"/>
    <w:rsid w:val="0046372A"/>
    <w:rsid w:val="00463873"/>
    <w:rsid w:val="00463BAB"/>
    <w:rsid w:val="00463C52"/>
    <w:rsid w:val="00463EB0"/>
    <w:rsid w:val="00464019"/>
    <w:rsid w:val="00464670"/>
    <w:rsid w:val="00464B29"/>
    <w:rsid w:val="00465620"/>
    <w:rsid w:val="004658A0"/>
    <w:rsid w:val="00465F2E"/>
    <w:rsid w:val="0046618B"/>
    <w:rsid w:val="004667B7"/>
    <w:rsid w:val="00466C66"/>
    <w:rsid w:val="00466E89"/>
    <w:rsid w:val="00467157"/>
    <w:rsid w:val="00467A50"/>
    <w:rsid w:val="00467BD8"/>
    <w:rsid w:val="00467E4C"/>
    <w:rsid w:val="00470558"/>
    <w:rsid w:val="004708BB"/>
    <w:rsid w:val="00470ABB"/>
    <w:rsid w:val="00470E62"/>
    <w:rsid w:val="00470EF7"/>
    <w:rsid w:val="00470FDB"/>
    <w:rsid w:val="004713E0"/>
    <w:rsid w:val="004718E6"/>
    <w:rsid w:val="00471CB2"/>
    <w:rsid w:val="00471FE6"/>
    <w:rsid w:val="00472B5F"/>
    <w:rsid w:val="00472D41"/>
    <w:rsid w:val="00474140"/>
    <w:rsid w:val="0047414E"/>
    <w:rsid w:val="00474520"/>
    <w:rsid w:val="00474AD3"/>
    <w:rsid w:val="00474E9A"/>
    <w:rsid w:val="00475FBC"/>
    <w:rsid w:val="0047618B"/>
    <w:rsid w:val="004766DB"/>
    <w:rsid w:val="00476995"/>
    <w:rsid w:val="00476A3A"/>
    <w:rsid w:val="00476C79"/>
    <w:rsid w:val="00477B8A"/>
    <w:rsid w:val="00477D38"/>
    <w:rsid w:val="00477E8B"/>
    <w:rsid w:val="00480066"/>
    <w:rsid w:val="0048058B"/>
    <w:rsid w:val="004806A0"/>
    <w:rsid w:val="00480DA3"/>
    <w:rsid w:val="004810D4"/>
    <w:rsid w:val="00481670"/>
    <w:rsid w:val="004823D8"/>
    <w:rsid w:val="00482A6B"/>
    <w:rsid w:val="00482B4E"/>
    <w:rsid w:val="0048373F"/>
    <w:rsid w:val="00483815"/>
    <w:rsid w:val="00483917"/>
    <w:rsid w:val="0048394C"/>
    <w:rsid w:val="00483F83"/>
    <w:rsid w:val="00484400"/>
    <w:rsid w:val="00484C02"/>
    <w:rsid w:val="00484DEA"/>
    <w:rsid w:val="00485483"/>
    <w:rsid w:val="004857AE"/>
    <w:rsid w:val="00485DE0"/>
    <w:rsid w:val="004868AE"/>
    <w:rsid w:val="00486A57"/>
    <w:rsid w:val="00486C61"/>
    <w:rsid w:val="0048731B"/>
    <w:rsid w:val="00487394"/>
    <w:rsid w:val="00487494"/>
    <w:rsid w:val="00487AE4"/>
    <w:rsid w:val="0049064A"/>
    <w:rsid w:val="00491770"/>
    <w:rsid w:val="00491D11"/>
    <w:rsid w:val="00492543"/>
    <w:rsid w:val="0049267E"/>
    <w:rsid w:val="00492724"/>
    <w:rsid w:val="0049290D"/>
    <w:rsid w:val="00492923"/>
    <w:rsid w:val="00492BC9"/>
    <w:rsid w:val="00493BB6"/>
    <w:rsid w:val="00494091"/>
    <w:rsid w:val="00494491"/>
    <w:rsid w:val="00494570"/>
    <w:rsid w:val="00494769"/>
    <w:rsid w:val="0049479A"/>
    <w:rsid w:val="004949C7"/>
    <w:rsid w:val="00494A2C"/>
    <w:rsid w:val="00494C6A"/>
    <w:rsid w:val="0049583A"/>
    <w:rsid w:val="00495F03"/>
    <w:rsid w:val="00496572"/>
    <w:rsid w:val="00496B1E"/>
    <w:rsid w:val="00496E7D"/>
    <w:rsid w:val="004970EA"/>
    <w:rsid w:val="004974CA"/>
    <w:rsid w:val="00497843"/>
    <w:rsid w:val="0049793E"/>
    <w:rsid w:val="00497CA2"/>
    <w:rsid w:val="004A034E"/>
    <w:rsid w:val="004A0411"/>
    <w:rsid w:val="004A0990"/>
    <w:rsid w:val="004A0C13"/>
    <w:rsid w:val="004A0DB7"/>
    <w:rsid w:val="004A18DD"/>
    <w:rsid w:val="004A1C2B"/>
    <w:rsid w:val="004A1D6D"/>
    <w:rsid w:val="004A1F41"/>
    <w:rsid w:val="004A20E8"/>
    <w:rsid w:val="004A2183"/>
    <w:rsid w:val="004A243A"/>
    <w:rsid w:val="004A2A7F"/>
    <w:rsid w:val="004A31CF"/>
    <w:rsid w:val="004A35C7"/>
    <w:rsid w:val="004A36DE"/>
    <w:rsid w:val="004A3D70"/>
    <w:rsid w:val="004A4772"/>
    <w:rsid w:val="004A480C"/>
    <w:rsid w:val="004A5000"/>
    <w:rsid w:val="004A505C"/>
    <w:rsid w:val="004A5172"/>
    <w:rsid w:val="004A51F5"/>
    <w:rsid w:val="004A540F"/>
    <w:rsid w:val="004A591C"/>
    <w:rsid w:val="004A5E33"/>
    <w:rsid w:val="004A5F7E"/>
    <w:rsid w:val="004A6054"/>
    <w:rsid w:val="004A60D8"/>
    <w:rsid w:val="004A6C99"/>
    <w:rsid w:val="004A6EA4"/>
    <w:rsid w:val="004A70E9"/>
    <w:rsid w:val="004A73CF"/>
    <w:rsid w:val="004A79CC"/>
    <w:rsid w:val="004A7BEC"/>
    <w:rsid w:val="004B06DB"/>
    <w:rsid w:val="004B0874"/>
    <w:rsid w:val="004B0D2D"/>
    <w:rsid w:val="004B1044"/>
    <w:rsid w:val="004B10D6"/>
    <w:rsid w:val="004B185A"/>
    <w:rsid w:val="004B1DAC"/>
    <w:rsid w:val="004B1EE0"/>
    <w:rsid w:val="004B1F30"/>
    <w:rsid w:val="004B20BE"/>
    <w:rsid w:val="004B25A1"/>
    <w:rsid w:val="004B3488"/>
    <w:rsid w:val="004B3B8C"/>
    <w:rsid w:val="004B3C89"/>
    <w:rsid w:val="004B4016"/>
    <w:rsid w:val="004B42A1"/>
    <w:rsid w:val="004B47F6"/>
    <w:rsid w:val="004B4A4B"/>
    <w:rsid w:val="004B4C9C"/>
    <w:rsid w:val="004B513A"/>
    <w:rsid w:val="004B5B9D"/>
    <w:rsid w:val="004B609F"/>
    <w:rsid w:val="004B6482"/>
    <w:rsid w:val="004B6923"/>
    <w:rsid w:val="004B7DF0"/>
    <w:rsid w:val="004C03A5"/>
    <w:rsid w:val="004C0566"/>
    <w:rsid w:val="004C0766"/>
    <w:rsid w:val="004C08B0"/>
    <w:rsid w:val="004C09DD"/>
    <w:rsid w:val="004C1163"/>
    <w:rsid w:val="004C119C"/>
    <w:rsid w:val="004C1246"/>
    <w:rsid w:val="004C1533"/>
    <w:rsid w:val="004C1DBF"/>
    <w:rsid w:val="004C1DC3"/>
    <w:rsid w:val="004C1F54"/>
    <w:rsid w:val="004C258F"/>
    <w:rsid w:val="004C278C"/>
    <w:rsid w:val="004C2E4D"/>
    <w:rsid w:val="004C32A0"/>
    <w:rsid w:val="004C3CEF"/>
    <w:rsid w:val="004C41D0"/>
    <w:rsid w:val="004C466E"/>
    <w:rsid w:val="004C4AA9"/>
    <w:rsid w:val="004C4E7F"/>
    <w:rsid w:val="004C4EDA"/>
    <w:rsid w:val="004C50FF"/>
    <w:rsid w:val="004C5679"/>
    <w:rsid w:val="004C5FBF"/>
    <w:rsid w:val="004C6670"/>
    <w:rsid w:val="004C6D3C"/>
    <w:rsid w:val="004C78E4"/>
    <w:rsid w:val="004C7F39"/>
    <w:rsid w:val="004D0C51"/>
    <w:rsid w:val="004D107C"/>
    <w:rsid w:val="004D1594"/>
    <w:rsid w:val="004D1C03"/>
    <w:rsid w:val="004D1CD6"/>
    <w:rsid w:val="004D1DC1"/>
    <w:rsid w:val="004D1F4A"/>
    <w:rsid w:val="004D1F88"/>
    <w:rsid w:val="004D263F"/>
    <w:rsid w:val="004D274D"/>
    <w:rsid w:val="004D2BFD"/>
    <w:rsid w:val="004D2CA4"/>
    <w:rsid w:val="004D2D03"/>
    <w:rsid w:val="004D3DE2"/>
    <w:rsid w:val="004D4912"/>
    <w:rsid w:val="004D4C1B"/>
    <w:rsid w:val="004D5264"/>
    <w:rsid w:val="004D53FA"/>
    <w:rsid w:val="004D54C5"/>
    <w:rsid w:val="004D58F1"/>
    <w:rsid w:val="004D59EA"/>
    <w:rsid w:val="004D5DF1"/>
    <w:rsid w:val="004D6427"/>
    <w:rsid w:val="004D67D9"/>
    <w:rsid w:val="004D6C3A"/>
    <w:rsid w:val="004D6E88"/>
    <w:rsid w:val="004E08F5"/>
    <w:rsid w:val="004E0A7C"/>
    <w:rsid w:val="004E0FFB"/>
    <w:rsid w:val="004E10A3"/>
    <w:rsid w:val="004E15D6"/>
    <w:rsid w:val="004E16AE"/>
    <w:rsid w:val="004E1A70"/>
    <w:rsid w:val="004E1B52"/>
    <w:rsid w:val="004E1F25"/>
    <w:rsid w:val="004E2CB1"/>
    <w:rsid w:val="004E3028"/>
    <w:rsid w:val="004E34A9"/>
    <w:rsid w:val="004E3912"/>
    <w:rsid w:val="004E3F02"/>
    <w:rsid w:val="004E4041"/>
    <w:rsid w:val="004E476D"/>
    <w:rsid w:val="004E4AE2"/>
    <w:rsid w:val="004E4CC6"/>
    <w:rsid w:val="004E4EBD"/>
    <w:rsid w:val="004E4ECA"/>
    <w:rsid w:val="004E53B6"/>
    <w:rsid w:val="004E54B9"/>
    <w:rsid w:val="004E5847"/>
    <w:rsid w:val="004E59CF"/>
    <w:rsid w:val="004E6011"/>
    <w:rsid w:val="004E7410"/>
    <w:rsid w:val="004F00B8"/>
    <w:rsid w:val="004F07CD"/>
    <w:rsid w:val="004F07DE"/>
    <w:rsid w:val="004F0B07"/>
    <w:rsid w:val="004F0EED"/>
    <w:rsid w:val="004F10F7"/>
    <w:rsid w:val="004F13A1"/>
    <w:rsid w:val="004F1958"/>
    <w:rsid w:val="004F1A64"/>
    <w:rsid w:val="004F1BC9"/>
    <w:rsid w:val="004F2363"/>
    <w:rsid w:val="004F33C2"/>
    <w:rsid w:val="004F362A"/>
    <w:rsid w:val="004F3826"/>
    <w:rsid w:val="004F3ADD"/>
    <w:rsid w:val="004F3D6C"/>
    <w:rsid w:val="004F4523"/>
    <w:rsid w:val="004F4A27"/>
    <w:rsid w:val="004F5298"/>
    <w:rsid w:val="004F56E1"/>
    <w:rsid w:val="004F5986"/>
    <w:rsid w:val="004F5FF3"/>
    <w:rsid w:val="004F6095"/>
    <w:rsid w:val="004F6B7B"/>
    <w:rsid w:val="004F7241"/>
    <w:rsid w:val="004F7B49"/>
    <w:rsid w:val="004F7F50"/>
    <w:rsid w:val="0050056B"/>
    <w:rsid w:val="0050065A"/>
    <w:rsid w:val="0050115A"/>
    <w:rsid w:val="00501521"/>
    <w:rsid w:val="00501D05"/>
    <w:rsid w:val="005027F5"/>
    <w:rsid w:val="00502AF1"/>
    <w:rsid w:val="00502F71"/>
    <w:rsid w:val="00503D1D"/>
    <w:rsid w:val="00503FFC"/>
    <w:rsid w:val="0050424F"/>
    <w:rsid w:val="005042A7"/>
    <w:rsid w:val="00504D5B"/>
    <w:rsid w:val="00504DA2"/>
    <w:rsid w:val="005050DE"/>
    <w:rsid w:val="0050520F"/>
    <w:rsid w:val="00505621"/>
    <w:rsid w:val="005058B3"/>
    <w:rsid w:val="00505B01"/>
    <w:rsid w:val="0050611F"/>
    <w:rsid w:val="00506151"/>
    <w:rsid w:val="00506DDC"/>
    <w:rsid w:val="0050741D"/>
    <w:rsid w:val="00507593"/>
    <w:rsid w:val="00507978"/>
    <w:rsid w:val="005079DF"/>
    <w:rsid w:val="00507AAB"/>
    <w:rsid w:val="00507D72"/>
    <w:rsid w:val="0051017C"/>
    <w:rsid w:val="00510182"/>
    <w:rsid w:val="00510340"/>
    <w:rsid w:val="0051081D"/>
    <w:rsid w:val="00510961"/>
    <w:rsid w:val="00510E40"/>
    <w:rsid w:val="00511476"/>
    <w:rsid w:val="0051190E"/>
    <w:rsid w:val="00511CFC"/>
    <w:rsid w:val="00513014"/>
    <w:rsid w:val="00513406"/>
    <w:rsid w:val="00513F20"/>
    <w:rsid w:val="0051404E"/>
    <w:rsid w:val="00514EDD"/>
    <w:rsid w:val="00514F20"/>
    <w:rsid w:val="00515511"/>
    <w:rsid w:val="005157EA"/>
    <w:rsid w:val="005158F8"/>
    <w:rsid w:val="00515A30"/>
    <w:rsid w:val="00515ACB"/>
    <w:rsid w:val="00515DF5"/>
    <w:rsid w:val="00516B72"/>
    <w:rsid w:val="00517DE3"/>
    <w:rsid w:val="00520084"/>
    <w:rsid w:val="00521542"/>
    <w:rsid w:val="00521966"/>
    <w:rsid w:val="00522025"/>
    <w:rsid w:val="00522956"/>
    <w:rsid w:val="00522CF3"/>
    <w:rsid w:val="005231AE"/>
    <w:rsid w:val="00523629"/>
    <w:rsid w:val="005238FF"/>
    <w:rsid w:val="00523ADA"/>
    <w:rsid w:val="00523EE8"/>
    <w:rsid w:val="00524515"/>
    <w:rsid w:val="0052472F"/>
    <w:rsid w:val="00524D22"/>
    <w:rsid w:val="00525671"/>
    <w:rsid w:val="00525CA6"/>
    <w:rsid w:val="00526591"/>
    <w:rsid w:val="00526684"/>
    <w:rsid w:val="0052675A"/>
    <w:rsid w:val="0052692A"/>
    <w:rsid w:val="00526F0F"/>
    <w:rsid w:val="00527278"/>
    <w:rsid w:val="00527392"/>
    <w:rsid w:val="005273FD"/>
    <w:rsid w:val="00527F8E"/>
    <w:rsid w:val="00527FB5"/>
    <w:rsid w:val="005301EA"/>
    <w:rsid w:val="00530D07"/>
    <w:rsid w:val="00531CEB"/>
    <w:rsid w:val="00531D71"/>
    <w:rsid w:val="00532B8D"/>
    <w:rsid w:val="00532DA2"/>
    <w:rsid w:val="00532EC4"/>
    <w:rsid w:val="00532F72"/>
    <w:rsid w:val="005332ED"/>
    <w:rsid w:val="00533781"/>
    <w:rsid w:val="00533AA6"/>
    <w:rsid w:val="0053435A"/>
    <w:rsid w:val="0053445B"/>
    <w:rsid w:val="00534B64"/>
    <w:rsid w:val="00534B68"/>
    <w:rsid w:val="0053510E"/>
    <w:rsid w:val="00535942"/>
    <w:rsid w:val="00535CFF"/>
    <w:rsid w:val="00536405"/>
    <w:rsid w:val="00536C05"/>
    <w:rsid w:val="0053703A"/>
    <w:rsid w:val="00537252"/>
    <w:rsid w:val="0053734F"/>
    <w:rsid w:val="0053740D"/>
    <w:rsid w:val="005375C7"/>
    <w:rsid w:val="005378C3"/>
    <w:rsid w:val="00537C72"/>
    <w:rsid w:val="00537CBC"/>
    <w:rsid w:val="0054005C"/>
    <w:rsid w:val="00540106"/>
    <w:rsid w:val="00540661"/>
    <w:rsid w:val="00540C65"/>
    <w:rsid w:val="00541227"/>
    <w:rsid w:val="00541389"/>
    <w:rsid w:val="0054198E"/>
    <w:rsid w:val="005419CA"/>
    <w:rsid w:val="005420E3"/>
    <w:rsid w:val="00542483"/>
    <w:rsid w:val="00542CC6"/>
    <w:rsid w:val="00542DC5"/>
    <w:rsid w:val="00542DDE"/>
    <w:rsid w:val="005435D7"/>
    <w:rsid w:val="005436DE"/>
    <w:rsid w:val="00544538"/>
    <w:rsid w:val="00545484"/>
    <w:rsid w:val="00545F36"/>
    <w:rsid w:val="00546675"/>
    <w:rsid w:val="00546724"/>
    <w:rsid w:val="00547300"/>
    <w:rsid w:val="00547325"/>
    <w:rsid w:val="005473D2"/>
    <w:rsid w:val="00547423"/>
    <w:rsid w:val="005477E5"/>
    <w:rsid w:val="0054798E"/>
    <w:rsid w:val="00550576"/>
    <w:rsid w:val="005513A5"/>
    <w:rsid w:val="00552BAE"/>
    <w:rsid w:val="00552C59"/>
    <w:rsid w:val="00552CB1"/>
    <w:rsid w:val="005533D6"/>
    <w:rsid w:val="005536FF"/>
    <w:rsid w:val="00553CA0"/>
    <w:rsid w:val="00554921"/>
    <w:rsid w:val="005549B4"/>
    <w:rsid w:val="00554A81"/>
    <w:rsid w:val="005550AA"/>
    <w:rsid w:val="0055542C"/>
    <w:rsid w:val="005566F8"/>
    <w:rsid w:val="00557362"/>
    <w:rsid w:val="0055753B"/>
    <w:rsid w:val="0055755B"/>
    <w:rsid w:val="00557794"/>
    <w:rsid w:val="005577BB"/>
    <w:rsid w:val="00557EA7"/>
    <w:rsid w:val="00560CAE"/>
    <w:rsid w:val="00560EC3"/>
    <w:rsid w:val="00561568"/>
    <w:rsid w:val="0056170C"/>
    <w:rsid w:val="00561C58"/>
    <w:rsid w:val="00561CFD"/>
    <w:rsid w:val="005624E0"/>
    <w:rsid w:val="00562537"/>
    <w:rsid w:val="00562603"/>
    <w:rsid w:val="005629BC"/>
    <w:rsid w:val="00562B80"/>
    <w:rsid w:val="0056335E"/>
    <w:rsid w:val="00563A0E"/>
    <w:rsid w:val="005643F2"/>
    <w:rsid w:val="0056481E"/>
    <w:rsid w:val="0056508A"/>
    <w:rsid w:val="00565F10"/>
    <w:rsid w:val="00565F51"/>
    <w:rsid w:val="00565FE1"/>
    <w:rsid w:val="00566706"/>
    <w:rsid w:val="00566B34"/>
    <w:rsid w:val="005671AE"/>
    <w:rsid w:val="0056744D"/>
    <w:rsid w:val="00567AE6"/>
    <w:rsid w:val="00567B60"/>
    <w:rsid w:val="0057163F"/>
    <w:rsid w:val="00571684"/>
    <w:rsid w:val="00571B71"/>
    <w:rsid w:val="0057202F"/>
    <w:rsid w:val="00572FA0"/>
    <w:rsid w:val="005732BA"/>
    <w:rsid w:val="005735B5"/>
    <w:rsid w:val="0057375A"/>
    <w:rsid w:val="00573A4C"/>
    <w:rsid w:val="0057423F"/>
    <w:rsid w:val="00574339"/>
    <w:rsid w:val="005745D9"/>
    <w:rsid w:val="005748E8"/>
    <w:rsid w:val="0057497E"/>
    <w:rsid w:val="00575118"/>
    <w:rsid w:val="005759C8"/>
    <w:rsid w:val="00575E79"/>
    <w:rsid w:val="005767BB"/>
    <w:rsid w:val="00576861"/>
    <w:rsid w:val="00576FCD"/>
    <w:rsid w:val="005777FF"/>
    <w:rsid w:val="00577F59"/>
    <w:rsid w:val="00580815"/>
    <w:rsid w:val="00581192"/>
    <w:rsid w:val="00581FE3"/>
    <w:rsid w:val="00582B82"/>
    <w:rsid w:val="00582E6D"/>
    <w:rsid w:val="005830A1"/>
    <w:rsid w:val="005838CF"/>
    <w:rsid w:val="00583B18"/>
    <w:rsid w:val="0058505F"/>
    <w:rsid w:val="0058507F"/>
    <w:rsid w:val="00585394"/>
    <w:rsid w:val="00585856"/>
    <w:rsid w:val="00585E38"/>
    <w:rsid w:val="0058608D"/>
    <w:rsid w:val="0058625C"/>
    <w:rsid w:val="005868CF"/>
    <w:rsid w:val="005873E1"/>
    <w:rsid w:val="00587672"/>
    <w:rsid w:val="00587A2B"/>
    <w:rsid w:val="00587EF3"/>
    <w:rsid w:val="00590203"/>
    <w:rsid w:val="0059031B"/>
    <w:rsid w:val="00590706"/>
    <w:rsid w:val="00590A8F"/>
    <w:rsid w:val="00590ED0"/>
    <w:rsid w:val="00591101"/>
    <w:rsid w:val="0059188B"/>
    <w:rsid w:val="00592039"/>
    <w:rsid w:val="005920A6"/>
    <w:rsid w:val="00592ADD"/>
    <w:rsid w:val="00592EA0"/>
    <w:rsid w:val="00593B78"/>
    <w:rsid w:val="00593DB2"/>
    <w:rsid w:val="00593E30"/>
    <w:rsid w:val="0059406A"/>
    <w:rsid w:val="00594080"/>
    <w:rsid w:val="00594AAA"/>
    <w:rsid w:val="00595012"/>
    <w:rsid w:val="00595DA1"/>
    <w:rsid w:val="005970A8"/>
    <w:rsid w:val="00597125"/>
    <w:rsid w:val="00597355"/>
    <w:rsid w:val="005973EE"/>
    <w:rsid w:val="00597462"/>
    <w:rsid w:val="005974BC"/>
    <w:rsid w:val="005979D7"/>
    <w:rsid w:val="005A0BA2"/>
    <w:rsid w:val="005A0DED"/>
    <w:rsid w:val="005A138C"/>
    <w:rsid w:val="005A1D71"/>
    <w:rsid w:val="005A2400"/>
    <w:rsid w:val="005A2B46"/>
    <w:rsid w:val="005A3E0C"/>
    <w:rsid w:val="005A3E8C"/>
    <w:rsid w:val="005A4FBD"/>
    <w:rsid w:val="005A502C"/>
    <w:rsid w:val="005A56E5"/>
    <w:rsid w:val="005A5B31"/>
    <w:rsid w:val="005A5C74"/>
    <w:rsid w:val="005A6097"/>
    <w:rsid w:val="005A6E92"/>
    <w:rsid w:val="005A72DB"/>
    <w:rsid w:val="005A79CA"/>
    <w:rsid w:val="005A7AFA"/>
    <w:rsid w:val="005A7AFC"/>
    <w:rsid w:val="005A7B07"/>
    <w:rsid w:val="005A7DD1"/>
    <w:rsid w:val="005A7E50"/>
    <w:rsid w:val="005B00A5"/>
    <w:rsid w:val="005B03D9"/>
    <w:rsid w:val="005B051B"/>
    <w:rsid w:val="005B0757"/>
    <w:rsid w:val="005B0AA3"/>
    <w:rsid w:val="005B0AFA"/>
    <w:rsid w:val="005B0E47"/>
    <w:rsid w:val="005B1396"/>
    <w:rsid w:val="005B147A"/>
    <w:rsid w:val="005B1A41"/>
    <w:rsid w:val="005B1CE0"/>
    <w:rsid w:val="005B2505"/>
    <w:rsid w:val="005B2D3F"/>
    <w:rsid w:val="005B35E0"/>
    <w:rsid w:val="005B368B"/>
    <w:rsid w:val="005B36F0"/>
    <w:rsid w:val="005B3D3B"/>
    <w:rsid w:val="005B4957"/>
    <w:rsid w:val="005B514E"/>
    <w:rsid w:val="005B5576"/>
    <w:rsid w:val="005B560A"/>
    <w:rsid w:val="005B6A5F"/>
    <w:rsid w:val="005B6E31"/>
    <w:rsid w:val="005B7330"/>
    <w:rsid w:val="005B7395"/>
    <w:rsid w:val="005B73FA"/>
    <w:rsid w:val="005B7F0D"/>
    <w:rsid w:val="005C02F9"/>
    <w:rsid w:val="005C084A"/>
    <w:rsid w:val="005C093E"/>
    <w:rsid w:val="005C0C9B"/>
    <w:rsid w:val="005C143D"/>
    <w:rsid w:val="005C1568"/>
    <w:rsid w:val="005C1613"/>
    <w:rsid w:val="005C1A5F"/>
    <w:rsid w:val="005C2596"/>
    <w:rsid w:val="005C28ED"/>
    <w:rsid w:val="005C28F1"/>
    <w:rsid w:val="005C3028"/>
    <w:rsid w:val="005C3644"/>
    <w:rsid w:val="005C4931"/>
    <w:rsid w:val="005C49A5"/>
    <w:rsid w:val="005C5B33"/>
    <w:rsid w:val="005C5D93"/>
    <w:rsid w:val="005C6CC4"/>
    <w:rsid w:val="005C6FE5"/>
    <w:rsid w:val="005C7684"/>
    <w:rsid w:val="005C769A"/>
    <w:rsid w:val="005C7AB5"/>
    <w:rsid w:val="005C7BDE"/>
    <w:rsid w:val="005C7CD5"/>
    <w:rsid w:val="005C7D4B"/>
    <w:rsid w:val="005C7FD5"/>
    <w:rsid w:val="005C7FEB"/>
    <w:rsid w:val="005C7FEF"/>
    <w:rsid w:val="005D046E"/>
    <w:rsid w:val="005D0721"/>
    <w:rsid w:val="005D0CE2"/>
    <w:rsid w:val="005D0FFF"/>
    <w:rsid w:val="005D10ED"/>
    <w:rsid w:val="005D1B1E"/>
    <w:rsid w:val="005D1CB7"/>
    <w:rsid w:val="005D22DB"/>
    <w:rsid w:val="005D2391"/>
    <w:rsid w:val="005D26B6"/>
    <w:rsid w:val="005D2C4A"/>
    <w:rsid w:val="005D2D7E"/>
    <w:rsid w:val="005D2F02"/>
    <w:rsid w:val="005D300B"/>
    <w:rsid w:val="005D3238"/>
    <w:rsid w:val="005D3366"/>
    <w:rsid w:val="005D3800"/>
    <w:rsid w:val="005D4077"/>
    <w:rsid w:val="005D49E1"/>
    <w:rsid w:val="005D4C70"/>
    <w:rsid w:val="005D54D6"/>
    <w:rsid w:val="005D5938"/>
    <w:rsid w:val="005D5B9D"/>
    <w:rsid w:val="005D5EF5"/>
    <w:rsid w:val="005D5F2B"/>
    <w:rsid w:val="005D5FF3"/>
    <w:rsid w:val="005D6030"/>
    <w:rsid w:val="005D6352"/>
    <w:rsid w:val="005D63D9"/>
    <w:rsid w:val="005D6651"/>
    <w:rsid w:val="005D6699"/>
    <w:rsid w:val="005D66AE"/>
    <w:rsid w:val="005D6AC2"/>
    <w:rsid w:val="005D7FB1"/>
    <w:rsid w:val="005E005C"/>
    <w:rsid w:val="005E02EE"/>
    <w:rsid w:val="005E2110"/>
    <w:rsid w:val="005E21ED"/>
    <w:rsid w:val="005E28CB"/>
    <w:rsid w:val="005E2F05"/>
    <w:rsid w:val="005E3481"/>
    <w:rsid w:val="005E372F"/>
    <w:rsid w:val="005E3BAC"/>
    <w:rsid w:val="005E3F2F"/>
    <w:rsid w:val="005E40B3"/>
    <w:rsid w:val="005E4A79"/>
    <w:rsid w:val="005E4C70"/>
    <w:rsid w:val="005E50CF"/>
    <w:rsid w:val="005E52C7"/>
    <w:rsid w:val="005E593D"/>
    <w:rsid w:val="005E5B02"/>
    <w:rsid w:val="005E6001"/>
    <w:rsid w:val="005E639A"/>
    <w:rsid w:val="005E669E"/>
    <w:rsid w:val="005E67DA"/>
    <w:rsid w:val="005E689F"/>
    <w:rsid w:val="005E6A4B"/>
    <w:rsid w:val="005E6B4E"/>
    <w:rsid w:val="005E6D55"/>
    <w:rsid w:val="005E70C0"/>
    <w:rsid w:val="005E750B"/>
    <w:rsid w:val="005E76B7"/>
    <w:rsid w:val="005F00A0"/>
    <w:rsid w:val="005F01CB"/>
    <w:rsid w:val="005F05CC"/>
    <w:rsid w:val="005F0A4D"/>
    <w:rsid w:val="005F152C"/>
    <w:rsid w:val="005F1E79"/>
    <w:rsid w:val="005F27F5"/>
    <w:rsid w:val="005F3263"/>
    <w:rsid w:val="005F34A8"/>
    <w:rsid w:val="005F364A"/>
    <w:rsid w:val="005F36C6"/>
    <w:rsid w:val="005F3CCC"/>
    <w:rsid w:val="005F3EB9"/>
    <w:rsid w:val="005F3F20"/>
    <w:rsid w:val="005F4393"/>
    <w:rsid w:val="005F47A6"/>
    <w:rsid w:val="005F4B02"/>
    <w:rsid w:val="005F4DBB"/>
    <w:rsid w:val="005F4E68"/>
    <w:rsid w:val="005F55E0"/>
    <w:rsid w:val="005F579F"/>
    <w:rsid w:val="005F6422"/>
    <w:rsid w:val="005F6C05"/>
    <w:rsid w:val="005F6E43"/>
    <w:rsid w:val="005F74F8"/>
    <w:rsid w:val="005F75D7"/>
    <w:rsid w:val="0060009A"/>
    <w:rsid w:val="0060025C"/>
    <w:rsid w:val="006003CA"/>
    <w:rsid w:val="006004AD"/>
    <w:rsid w:val="00600C12"/>
    <w:rsid w:val="00601DAF"/>
    <w:rsid w:val="00601E4B"/>
    <w:rsid w:val="0060244D"/>
    <w:rsid w:val="00602539"/>
    <w:rsid w:val="00602811"/>
    <w:rsid w:val="00602FB3"/>
    <w:rsid w:val="0060317D"/>
    <w:rsid w:val="006033D7"/>
    <w:rsid w:val="00603CFD"/>
    <w:rsid w:val="006043B1"/>
    <w:rsid w:val="006045BD"/>
    <w:rsid w:val="00604B6D"/>
    <w:rsid w:val="00604C02"/>
    <w:rsid w:val="00604CAC"/>
    <w:rsid w:val="00605148"/>
    <w:rsid w:val="00605596"/>
    <w:rsid w:val="00605969"/>
    <w:rsid w:val="00605E8E"/>
    <w:rsid w:val="00605FFD"/>
    <w:rsid w:val="00606724"/>
    <w:rsid w:val="006068CD"/>
    <w:rsid w:val="00606948"/>
    <w:rsid w:val="00606BD4"/>
    <w:rsid w:val="00606C0A"/>
    <w:rsid w:val="00606E02"/>
    <w:rsid w:val="0060703B"/>
    <w:rsid w:val="006079A5"/>
    <w:rsid w:val="00607ABF"/>
    <w:rsid w:val="00607B38"/>
    <w:rsid w:val="00607C10"/>
    <w:rsid w:val="00607E1B"/>
    <w:rsid w:val="0061008A"/>
    <w:rsid w:val="006103B2"/>
    <w:rsid w:val="006108C8"/>
    <w:rsid w:val="0061095B"/>
    <w:rsid w:val="00610D8D"/>
    <w:rsid w:val="006113AC"/>
    <w:rsid w:val="0061265E"/>
    <w:rsid w:val="006128EB"/>
    <w:rsid w:val="00612A08"/>
    <w:rsid w:val="0061306F"/>
    <w:rsid w:val="0061315F"/>
    <w:rsid w:val="006131EA"/>
    <w:rsid w:val="0061326A"/>
    <w:rsid w:val="00613C26"/>
    <w:rsid w:val="00613F72"/>
    <w:rsid w:val="00614184"/>
    <w:rsid w:val="006141D0"/>
    <w:rsid w:val="00614514"/>
    <w:rsid w:val="00614716"/>
    <w:rsid w:val="00614EAC"/>
    <w:rsid w:val="006153A2"/>
    <w:rsid w:val="006154B8"/>
    <w:rsid w:val="00615625"/>
    <w:rsid w:val="00615642"/>
    <w:rsid w:val="006157AA"/>
    <w:rsid w:val="00615984"/>
    <w:rsid w:val="00615C76"/>
    <w:rsid w:val="00616118"/>
    <w:rsid w:val="00616AB1"/>
    <w:rsid w:val="00616ACB"/>
    <w:rsid w:val="00616BD8"/>
    <w:rsid w:val="00617220"/>
    <w:rsid w:val="006177A6"/>
    <w:rsid w:val="00617B7A"/>
    <w:rsid w:val="00617C6A"/>
    <w:rsid w:val="00617F30"/>
    <w:rsid w:val="00620410"/>
    <w:rsid w:val="0062053B"/>
    <w:rsid w:val="00621B1A"/>
    <w:rsid w:val="00621C60"/>
    <w:rsid w:val="00621E05"/>
    <w:rsid w:val="0062258B"/>
    <w:rsid w:val="0062280D"/>
    <w:rsid w:val="00622F0E"/>
    <w:rsid w:val="00623204"/>
    <w:rsid w:val="0062329F"/>
    <w:rsid w:val="006237EE"/>
    <w:rsid w:val="00623B64"/>
    <w:rsid w:val="00623F4D"/>
    <w:rsid w:val="006240C6"/>
    <w:rsid w:val="00624297"/>
    <w:rsid w:val="00624620"/>
    <w:rsid w:val="006246C1"/>
    <w:rsid w:val="00624D67"/>
    <w:rsid w:val="00624E0D"/>
    <w:rsid w:val="00625729"/>
    <w:rsid w:val="0062596F"/>
    <w:rsid w:val="00625C80"/>
    <w:rsid w:val="00625DC5"/>
    <w:rsid w:val="0062688C"/>
    <w:rsid w:val="00626A33"/>
    <w:rsid w:val="00626C54"/>
    <w:rsid w:val="00630202"/>
    <w:rsid w:val="00630237"/>
    <w:rsid w:val="006303F0"/>
    <w:rsid w:val="00630CCF"/>
    <w:rsid w:val="00630F09"/>
    <w:rsid w:val="00631554"/>
    <w:rsid w:val="0063192F"/>
    <w:rsid w:val="00631BF2"/>
    <w:rsid w:val="00631D60"/>
    <w:rsid w:val="00631E40"/>
    <w:rsid w:val="0063202B"/>
    <w:rsid w:val="00632108"/>
    <w:rsid w:val="00632473"/>
    <w:rsid w:val="006325F1"/>
    <w:rsid w:val="00633392"/>
    <w:rsid w:val="006333E0"/>
    <w:rsid w:val="00633A89"/>
    <w:rsid w:val="00633E63"/>
    <w:rsid w:val="00634096"/>
    <w:rsid w:val="0063464A"/>
    <w:rsid w:val="00634A78"/>
    <w:rsid w:val="006358E9"/>
    <w:rsid w:val="0063602A"/>
    <w:rsid w:val="0063635F"/>
    <w:rsid w:val="006368ED"/>
    <w:rsid w:val="00636C88"/>
    <w:rsid w:val="00636F44"/>
    <w:rsid w:val="0063777C"/>
    <w:rsid w:val="006378AF"/>
    <w:rsid w:val="00637BF6"/>
    <w:rsid w:val="00640634"/>
    <w:rsid w:val="0064072B"/>
    <w:rsid w:val="00640E36"/>
    <w:rsid w:val="00641C9B"/>
    <w:rsid w:val="0064200E"/>
    <w:rsid w:val="00642327"/>
    <w:rsid w:val="00642661"/>
    <w:rsid w:val="00642CCE"/>
    <w:rsid w:val="0064365E"/>
    <w:rsid w:val="00644295"/>
    <w:rsid w:val="0064430D"/>
    <w:rsid w:val="006444D3"/>
    <w:rsid w:val="006453CC"/>
    <w:rsid w:val="00646080"/>
    <w:rsid w:val="0064643E"/>
    <w:rsid w:val="006466B5"/>
    <w:rsid w:val="0064691E"/>
    <w:rsid w:val="00646D57"/>
    <w:rsid w:val="006474ED"/>
    <w:rsid w:val="00647810"/>
    <w:rsid w:val="00647948"/>
    <w:rsid w:val="00647ACF"/>
    <w:rsid w:val="00647C1C"/>
    <w:rsid w:val="0065035E"/>
    <w:rsid w:val="0065041E"/>
    <w:rsid w:val="0065057D"/>
    <w:rsid w:val="00651385"/>
    <w:rsid w:val="00651542"/>
    <w:rsid w:val="00651855"/>
    <w:rsid w:val="00651F86"/>
    <w:rsid w:val="006524D8"/>
    <w:rsid w:val="00652664"/>
    <w:rsid w:val="00652675"/>
    <w:rsid w:val="0065292F"/>
    <w:rsid w:val="00652A48"/>
    <w:rsid w:val="00652D61"/>
    <w:rsid w:val="00652F61"/>
    <w:rsid w:val="006535FD"/>
    <w:rsid w:val="0065385F"/>
    <w:rsid w:val="0065393E"/>
    <w:rsid w:val="006549B7"/>
    <w:rsid w:val="006549B8"/>
    <w:rsid w:val="006552A1"/>
    <w:rsid w:val="006552E1"/>
    <w:rsid w:val="0065547B"/>
    <w:rsid w:val="00655825"/>
    <w:rsid w:val="00655B30"/>
    <w:rsid w:val="00655E83"/>
    <w:rsid w:val="00655FA4"/>
    <w:rsid w:val="00657059"/>
    <w:rsid w:val="0065708F"/>
    <w:rsid w:val="00657977"/>
    <w:rsid w:val="00657DF1"/>
    <w:rsid w:val="0066039D"/>
    <w:rsid w:val="006604F6"/>
    <w:rsid w:val="0066061E"/>
    <w:rsid w:val="00660704"/>
    <w:rsid w:val="00661265"/>
    <w:rsid w:val="0066173E"/>
    <w:rsid w:val="00661B2C"/>
    <w:rsid w:val="00661CA0"/>
    <w:rsid w:val="00661FDF"/>
    <w:rsid w:val="00662738"/>
    <w:rsid w:val="0066309D"/>
    <w:rsid w:val="006633F1"/>
    <w:rsid w:val="0066348B"/>
    <w:rsid w:val="00663832"/>
    <w:rsid w:val="006641CE"/>
    <w:rsid w:val="006648C3"/>
    <w:rsid w:val="0066498F"/>
    <w:rsid w:val="00664D2A"/>
    <w:rsid w:val="00664D31"/>
    <w:rsid w:val="006651C0"/>
    <w:rsid w:val="00665B3B"/>
    <w:rsid w:val="00665DDF"/>
    <w:rsid w:val="00666565"/>
    <w:rsid w:val="0066718F"/>
    <w:rsid w:val="006701A7"/>
    <w:rsid w:val="00670405"/>
    <w:rsid w:val="006704F7"/>
    <w:rsid w:val="00671093"/>
    <w:rsid w:val="00671A8E"/>
    <w:rsid w:val="00671B51"/>
    <w:rsid w:val="00672746"/>
    <w:rsid w:val="006727E5"/>
    <w:rsid w:val="00672862"/>
    <w:rsid w:val="006728C1"/>
    <w:rsid w:val="00672C74"/>
    <w:rsid w:val="00672DFA"/>
    <w:rsid w:val="00672E31"/>
    <w:rsid w:val="00673772"/>
    <w:rsid w:val="006740E9"/>
    <w:rsid w:val="0067496A"/>
    <w:rsid w:val="00674ED2"/>
    <w:rsid w:val="0067501C"/>
    <w:rsid w:val="006751CF"/>
    <w:rsid w:val="006767CC"/>
    <w:rsid w:val="00676973"/>
    <w:rsid w:val="006769C3"/>
    <w:rsid w:val="00677193"/>
    <w:rsid w:val="00677864"/>
    <w:rsid w:val="00677AE9"/>
    <w:rsid w:val="00680E37"/>
    <w:rsid w:val="006811C6"/>
    <w:rsid w:val="0068122B"/>
    <w:rsid w:val="006815D9"/>
    <w:rsid w:val="00682139"/>
    <w:rsid w:val="0068234A"/>
    <w:rsid w:val="00682A90"/>
    <w:rsid w:val="00682DBC"/>
    <w:rsid w:val="00683223"/>
    <w:rsid w:val="00683571"/>
    <w:rsid w:val="006836DA"/>
    <w:rsid w:val="00683D4B"/>
    <w:rsid w:val="00684D9B"/>
    <w:rsid w:val="00685713"/>
    <w:rsid w:val="006858EA"/>
    <w:rsid w:val="00685992"/>
    <w:rsid w:val="0068638E"/>
    <w:rsid w:val="006864FD"/>
    <w:rsid w:val="00686BA5"/>
    <w:rsid w:val="00686D82"/>
    <w:rsid w:val="00686DF8"/>
    <w:rsid w:val="00686E1E"/>
    <w:rsid w:val="00686F28"/>
    <w:rsid w:val="0068772F"/>
    <w:rsid w:val="00687851"/>
    <w:rsid w:val="00690563"/>
    <w:rsid w:val="00690826"/>
    <w:rsid w:val="006908C5"/>
    <w:rsid w:val="00690F37"/>
    <w:rsid w:val="00691C83"/>
    <w:rsid w:val="006925EC"/>
    <w:rsid w:val="00692B3B"/>
    <w:rsid w:val="00692DF1"/>
    <w:rsid w:val="00693360"/>
    <w:rsid w:val="00693D70"/>
    <w:rsid w:val="00693F4C"/>
    <w:rsid w:val="006942AC"/>
    <w:rsid w:val="006954D2"/>
    <w:rsid w:val="0069589C"/>
    <w:rsid w:val="00695911"/>
    <w:rsid w:val="00695F58"/>
    <w:rsid w:val="00696457"/>
    <w:rsid w:val="006965CB"/>
    <w:rsid w:val="006966B2"/>
    <w:rsid w:val="00696902"/>
    <w:rsid w:val="0069715C"/>
    <w:rsid w:val="006975BB"/>
    <w:rsid w:val="00697993"/>
    <w:rsid w:val="00697D80"/>
    <w:rsid w:val="00697E09"/>
    <w:rsid w:val="006A0727"/>
    <w:rsid w:val="006A0ADC"/>
    <w:rsid w:val="006A0B06"/>
    <w:rsid w:val="006A0C81"/>
    <w:rsid w:val="006A0FE2"/>
    <w:rsid w:val="006A10B1"/>
    <w:rsid w:val="006A1212"/>
    <w:rsid w:val="006A14AD"/>
    <w:rsid w:val="006A15E4"/>
    <w:rsid w:val="006A16CB"/>
    <w:rsid w:val="006A1AD3"/>
    <w:rsid w:val="006A1DA7"/>
    <w:rsid w:val="006A2553"/>
    <w:rsid w:val="006A2ADC"/>
    <w:rsid w:val="006A35DD"/>
    <w:rsid w:val="006A3939"/>
    <w:rsid w:val="006A3DD7"/>
    <w:rsid w:val="006A4430"/>
    <w:rsid w:val="006A4D25"/>
    <w:rsid w:val="006A4D44"/>
    <w:rsid w:val="006A5693"/>
    <w:rsid w:val="006A5756"/>
    <w:rsid w:val="006A5B37"/>
    <w:rsid w:val="006A5B68"/>
    <w:rsid w:val="006A6043"/>
    <w:rsid w:val="006A6A55"/>
    <w:rsid w:val="006A6C08"/>
    <w:rsid w:val="006A7000"/>
    <w:rsid w:val="006A7624"/>
    <w:rsid w:val="006A76D4"/>
    <w:rsid w:val="006B0337"/>
    <w:rsid w:val="006B05B5"/>
    <w:rsid w:val="006B0691"/>
    <w:rsid w:val="006B19D4"/>
    <w:rsid w:val="006B2269"/>
    <w:rsid w:val="006B25D4"/>
    <w:rsid w:val="006B2A27"/>
    <w:rsid w:val="006B2A97"/>
    <w:rsid w:val="006B2A9C"/>
    <w:rsid w:val="006B2D8E"/>
    <w:rsid w:val="006B349A"/>
    <w:rsid w:val="006B3548"/>
    <w:rsid w:val="006B3709"/>
    <w:rsid w:val="006B3E41"/>
    <w:rsid w:val="006B3FB3"/>
    <w:rsid w:val="006B422E"/>
    <w:rsid w:val="006B490E"/>
    <w:rsid w:val="006B4B2F"/>
    <w:rsid w:val="006B4EF0"/>
    <w:rsid w:val="006B54A8"/>
    <w:rsid w:val="006B55EE"/>
    <w:rsid w:val="006B5E7C"/>
    <w:rsid w:val="006B6074"/>
    <w:rsid w:val="006B61D7"/>
    <w:rsid w:val="006B6862"/>
    <w:rsid w:val="006B6877"/>
    <w:rsid w:val="006B6924"/>
    <w:rsid w:val="006B6D53"/>
    <w:rsid w:val="006B6DE3"/>
    <w:rsid w:val="006B705C"/>
    <w:rsid w:val="006B7349"/>
    <w:rsid w:val="006B7367"/>
    <w:rsid w:val="006B7B33"/>
    <w:rsid w:val="006C0043"/>
    <w:rsid w:val="006C0C0B"/>
    <w:rsid w:val="006C18A9"/>
    <w:rsid w:val="006C1DD0"/>
    <w:rsid w:val="006C22D5"/>
    <w:rsid w:val="006C2798"/>
    <w:rsid w:val="006C30CE"/>
    <w:rsid w:val="006C3208"/>
    <w:rsid w:val="006C3750"/>
    <w:rsid w:val="006C37A5"/>
    <w:rsid w:val="006C37D0"/>
    <w:rsid w:val="006C3A96"/>
    <w:rsid w:val="006C3AFD"/>
    <w:rsid w:val="006C3BF7"/>
    <w:rsid w:val="006C3ED7"/>
    <w:rsid w:val="006C4BDA"/>
    <w:rsid w:val="006C4CF5"/>
    <w:rsid w:val="006C4F52"/>
    <w:rsid w:val="006C5767"/>
    <w:rsid w:val="006C5B97"/>
    <w:rsid w:val="006C5FBE"/>
    <w:rsid w:val="006C60E7"/>
    <w:rsid w:val="006C6706"/>
    <w:rsid w:val="006C6BFC"/>
    <w:rsid w:val="006C7686"/>
    <w:rsid w:val="006D02CB"/>
    <w:rsid w:val="006D0394"/>
    <w:rsid w:val="006D0601"/>
    <w:rsid w:val="006D075B"/>
    <w:rsid w:val="006D0AF0"/>
    <w:rsid w:val="006D0CDB"/>
    <w:rsid w:val="006D1731"/>
    <w:rsid w:val="006D175C"/>
    <w:rsid w:val="006D1BD0"/>
    <w:rsid w:val="006D26AE"/>
    <w:rsid w:val="006D2DB3"/>
    <w:rsid w:val="006D321A"/>
    <w:rsid w:val="006D337D"/>
    <w:rsid w:val="006D367B"/>
    <w:rsid w:val="006D3A52"/>
    <w:rsid w:val="006D41B1"/>
    <w:rsid w:val="006D4422"/>
    <w:rsid w:val="006D4CAD"/>
    <w:rsid w:val="006D4DA0"/>
    <w:rsid w:val="006D4F64"/>
    <w:rsid w:val="006D50FE"/>
    <w:rsid w:val="006D5664"/>
    <w:rsid w:val="006D56A8"/>
    <w:rsid w:val="006D5722"/>
    <w:rsid w:val="006D6044"/>
    <w:rsid w:val="006D60C0"/>
    <w:rsid w:val="006D62A5"/>
    <w:rsid w:val="006D6A3A"/>
    <w:rsid w:val="006D6ED8"/>
    <w:rsid w:val="006D6F5C"/>
    <w:rsid w:val="006D701E"/>
    <w:rsid w:val="006D73FD"/>
    <w:rsid w:val="006D7414"/>
    <w:rsid w:val="006D746C"/>
    <w:rsid w:val="006E020C"/>
    <w:rsid w:val="006E13D7"/>
    <w:rsid w:val="006E1501"/>
    <w:rsid w:val="006E2321"/>
    <w:rsid w:val="006E2448"/>
    <w:rsid w:val="006E2C68"/>
    <w:rsid w:val="006E2F3F"/>
    <w:rsid w:val="006E3427"/>
    <w:rsid w:val="006E417E"/>
    <w:rsid w:val="006E4AB2"/>
    <w:rsid w:val="006E4CE1"/>
    <w:rsid w:val="006E4F7F"/>
    <w:rsid w:val="006E4F9F"/>
    <w:rsid w:val="006E59F8"/>
    <w:rsid w:val="006E5C9F"/>
    <w:rsid w:val="006E5E77"/>
    <w:rsid w:val="006E65E7"/>
    <w:rsid w:val="006E682C"/>
    <w:rsid w:val="006E6BFF"/>
    <w:rsid w:val="006E70B9"/>
    <w:rsid w:val="006E72E4"/>
    <w:rsid w:val="006E7520"/>
    <w:rsid w:val="006E7B10"/>
    <w:rsid w:val="006E7F67"/>
    <w:rsid w:val="006F016E"/>
    <w:rsid w:val="006F034B"/>
    <w:rsid w:val="006F0F99"/>
    <w:rsid w:val="006F1643"/>
    <w:rsid w:val="006F17FB"/>
    <w:rsid w:val="006F1B7D"/>
    <w:rsid w:val="006F1BDF"/>
    <w:rsid w:val="006F1E1D"/>
    <w:rsid w:val="006F2B30"/>
    <w:rsid w:val="006F308D"/>
    <w:rsid w:val="006F3282"/>
    <w:rsid w:val="006F368A"/>
    <w:rsid w:val="006F3A06"/>
    <w:rsid w:val="006F3B5B"/>
    <w:rsid w:val="006F3C1A"/>
    <w:rsid w:val="006F4107"/>
    <w:rsid w:val="006F41AA"/>
    <w:rsid w:val="006F4412"/>
    <w:rsid w:val="006F47D7"/>
    <w:rsid w:val="006F49A9"/>
    <w:rsid w:val="006F4B53"/>
    <w:rsid w:val="006F4FCA"/>
    <w:rsid w:val="006F55FA"/>
    <w:rsid w:val="006F59FC"/>
    <w:rsid w:val="006F5E82"/>
    <w:rsid w:val="006F615B"/>
    <w:rsid w:val="006F6748"/>
    <w:rsid w:val="006F6F1B"/>
    <w:rsid w:val="006F7027"/>
    <w:rsid w:val="006F709C"/>
    <w:rsid w:val="006F773C"/>
    <w:rsid w:val="006F7830"/>
    <w:rsid w:val="006F7A2F"/>
    <w:rsid w:val="006F7E47"/>
    <w:rsid w:val="00700244"/>
    <w:rsid w:val="00700942"/>
    <w:rsid w:val="00701397"/>
    <w:rsid w:val="00701D16"/>
    <w:rsid w:val="00702160"/>
    <w:rsid w:val="00702D20"/>
    <w:rsid w:val="0070316A"/>
    <w:rsid w:val="00703AD1"/>
    <w:rsid w:val="00703D11"/>
    <w:rsid w:val="007043F5"/>
    <w:rsid w:val="007048D7"/>
    <w:rsid w:val="00704BF7"/>
    <w:rsid w:val="00704F0C"/>
    <w:rsid w:val="00704F9B"/>
    <w:rsid w:val="00705143"/>
    <w:rsid w:val="00705375"/>
    <w:rsid w:val="007059B1"/>
    <w:rsid w:val="00705B67"/>
    <w:rsid w:val="00705FA9"/>
    <w:rsid w:val="0070615D"/>
    <w:rsid w:val="007066C2"/>
    <w:rsid w:val="00706835"/>
    <w:rsid w:val="00706895"/>
    <w:rsid w:val="0070692A"/>
    <w:rsid w:val="007069E7"/>
    <w:rsid w:val="00706ABE"/>
    <w:rsid w:val="00706C01"/>
    <w:rsid w:val="00706C64"/>
    <w:rsid w:val="00706CB2"/>
    <w:rsid w:val="007070C2"/>
    <w:rsid w:val="0070779E"/>
    <w:rsid w:val="0070792E"/>
    <w:rsid w:val="00707CC8"/>
    <w:rsid w:val="00710D21"/>
    <w:rsid w:val="007110C8"/>
    <w:rsid w:val="0071113A"/>
    <w:rsid w:val="00712179"/>
    <w:rsid w:val="0071219C"/>
    <w:rsid w:val="007125F5"/>
    <w:rsid w:val="00713444"/>
    <w:rsid w:val="00713E7C"/>
    <w:rsid w:val="007148B4"/>
    <w:rsid w:val="0071647E"/>
    <w:rsid w:val="00716830"/>
    <w:rsid w:val="00716866"/>
    <w:rsid w:val="007168F6"/>
    <w:rsid w:val="00716A42"/>
    <w:rsid w:val="00716AC7"/>
    <w:rsid w:val="00716C62"/>
    <w:rsid w:val="007170A5"/>
    <w:rsid w:val="007171F1"/>
    <w:rsid w:val="00717206"/>
    <w:rsid w:val="00720120"/>
    <w:rsid w:val="007208D2"/>
    <w:rsid w:val="0072091F"/>
    <w:rsid w:val="007213DC"/>
    <w:rsid w:val="0072140E"/>
    <w:rsid w:val="007218AE"/>
    <w:rsid w:val="007222B1"/>
    <w:rsid w:val="00722903"/>
    <w:rsid w:val="00722A37"/>
    <w:rsid w:val="00722AE1"/>
    <w:rsid w:val="00722C6E"/>
    <w:rsid w:val="00723DCC"/>
    <w:rsid w:val="0072424D"/>
    <w:rsid w:val="00724732"/>
    <w:rsid w:val="007248C0"/>
    <w:rsid w:val="00724C12"/>
    <w:rsid w:val="00724E7C"/>
    <w:rsid w:val="00724F59"/>
    <w:rsid w:val="007254A4"/>
    <w:rsid w:val="0072591A"/>
    <w:rsid w:val="00725ADC"/>
    <w:rsid w:val="00725D30"/>
    <w:rsid w:val="007260F1"/>
    <w:rsid w:val="007263AD"/>
    <w:rsid w:val="00726609"/>
    <w:rsid w:val="0072680D"/>
    <w:rsid w:val="00727222"/>
    <w:rsid w:val="0072766D"/>
    <w:rsid w:val="007277B0"/>
    <w:rsid w:val="00727A8D"/>
    <w:rsid w:val="00727D68"/>
    <w:rsid w:val="0073010A"/>
    <w:rsid w:val="0073091B"/>
    <w:rsid w:val="00730D7A"/>
    <w:rsid w:val="00731053"/>
    <w:rsid w:val="00731759"/>
    <w:rsid w:val="00732079"/>
    <w:rsid w:val="00732087"/>
    <w:rsid w:val="00732863"/>
    <w:rsid w:val="00732A86"/>
    <w:rsid w:val="00732CF1"/>
    <w:rsid w:val="00733201"/>
    <w:rsid w:val="00733356"/>
    <w:rsid w:val="00733860"/>
    <w:rsid w:val="007343D1"/>
    <w:rsid w:val="00734A74"/>
    <w:rsid w:val="007350D1"/>
    <w:rsid w:val="0073531F"/>
    <w:rsid w:val="00735582"/>
    <w:rsid w:val="007358AA"/>
    <w:rsid w:val="00735F3A"/>
    <w:rsid w:val="007360AC"/>
    <w:rsid w:val="00736335"/>
    <w:rsid w:val="0073682D"/>
    <w:rsid w:val="00736AE5"/>
    <w:rsid w:val="00736F05"/>
    <w:rsid w:val="00737221"/>
    <w:rsid w:val="00737408"/>
    <w:rsid w:val="0073767D"/>
    <w:rsid w:val="00737C7D"/>
    <w:rsid w:val="007405C7"/>
    <w:rsid w:val="00740881"/>
    <w:rsid w:val="00740DBD"/>
    <w:rsid w:val="00740F1E"/>
    <w:rsid w:val="00740FFC"/>
    <w:rsid w:val="007410CE"/>
    <w:rsid w:val="007417DC"/>
    <w:rsid w:val="00741BBE"/>
    <w:rsid w:val="00741E79"/>
    <w:rsid w:val="00741EFA"/>
    <w:rsid w:val="00741F7E"/>
    <w:rsid w:val="00742001"/>
    <w:rsid w:val="007420AF"/>
    <w:rsid w:val="00742138"/>
    <w:rsid w:val="00742213"/>
    <w:rsid w:val="00743234"/>
    <w:rsid w:val="00743C7D"/>
    <w:rsid w:val="00743E59"/>
    <w:rsid w:val="00744038"/>
    <w:rsid w:val="007448A5"/>
    <w:rsid w:val="00744D45"/>
    <w:rsid w:val="0074503A"/>
    <w:rsid w:val="00745437"/>
    <w:rsid w:val="007459EB"/>
    <w:rsid w:val="00745AD1"/>
    <w:rsid w:val="007467FA"/>
    <w:rsid w:val="007469B9"/>
    <w:rsid w:val="00746D39"/>
    <w:rsid w:val="00746F14"/>
    <w:rsid w:val="007471D8"/>
    <w:rsid w:val="0074770D"/>
    <w:rsid w:val="00747D04"/>
    <w:rsid w:val="00750929"/>
    <w:rsid w:val="00750CCA"/>
    <w:rsid w:val="00751158"/>
    <w:rsid w:val="0075132C"/>
    <w:rsid w:val="00751412"/>
    <w:rsid w:val="007518BF"/>
    <w:rsid w:val="00751B10"/>
    <w:rsid w:val="00752B8B"/>
    <w:rsid w:val="00753095"/>
    <w:rsid w:val="00753526"/>
    <w:rsid w:val="00753D11"/>
    <w:rsid w:val="00753E16"/>
    <w:rsid w:val="00754260"/>
    <w:rsid w:val="00754A0E"/>
    <w:rsid w:val="00754D75"/>
    <w:rsid w:val="007554A7"/>
    <w:rsid w:val="007555B0"/>
    <w:rsid w:val="00755631"/>
    <w:rsid w:val="00755667"/>
    <w:rsid w:val="00755921"/>
    <w:rsid w:val="00755A68"/>
    <w:rsid w:val="007560C4"/>
    <w:rsid w:val="007560F3"/>
    <w:rsid w:val="007564EE"/>
    <w:rsid w:val="0075668C"/>
    <w:rsid w:val="0075738E"/>
    <w:rsid w:val="00757526"/>
    <w:rsid w:val="00760255"/>
    <w:rsid w:val="0076075C"/>
    <w:rsid w:val="007620B7"/>
    <w:rsid w:val="0076250D"/>
    <w:rsid w:val="00762A3B"/>
    <w:rsid w:val="00762D40"/>
    <w:rsid w:val="0076315B"/>
    <w:rsid w:val="007634D7"/>
    <w:rsid w:val="007640D1"/>
    <w:rsid w:val="00764159"/>
    <w:rsid w:val="0076423B"/>
    <w:rsid w:val="00764958"/>
    <w:rsid w:val="00764B4D"/>
    <w:rsid w:val="00764CEB"/>
    <w:rsid w:val="0076500E"/>
    <w:rsid w:val="007655D0"/>
    <w:rsid w:val="007658BC"/>
    <w:rsid w:val="00765E00"/>
    <w:rsid w:val="0076681A"/>
    <w:rsid w:val="007668DC"/>
    <w:rsid w:val="0076696A"/>
    <w:rsid w:val="00766CE8"/>
    <w:rsid w:val="00766D0F"/>
    <w:rsid w:val="00766DCE"/>
    <w:rsid w:val="007674FA"/>
    <w:rsid w:val="00767A8B"/>
    <w:rsid w:val="00767B07"/>
    <w:rsid w:val="00770271"/>
    <w:rsid w:val="007704BB"/>
    <w:rsid w:val="007705C8"/>
    <w:rsid w:val="00770A55"/>
    <w:rsid w:val="00771AC6"/>
    <w:rsid w:val="00771C4C"/>
    <w:rsid w:val="00771ED6"/>
    <w:rsid w:val="00772295"/>
    <w:rsid w:val="00772BA6"/>
    <w:rsid w:val="007733E4"/>
    <w:rsid w:val="007736DF"/>
    <w:rsid w:val="00774276"/>
    <w:rsid w:val="0077461C"/>
    <w:rsid w:val="0077482F"/>
    <w:rsid w:val="00774945"/>
    <w:rsid w:val="00774A01"/>
    <w:rsid w:val="00774BAB"/>
    <w:rsid w:val="00774CB4"/>
    <w:rsid w:val="00775146"/>
    <w:rsid w:val="00775511"/>
    <w:rsid w:val="00775689"/>
    <w:rsid w:val="00775813"/>
    <w:rsid w:val="00775E35"/>
    <w:rsid w:val="00776196"/>
    <w:rsid w:val="00776249"/>
    <w:rsid w:val="0077631F"/>
    <w:rsid w:val="00776ED2"/>
    <w:rsid w:val="00777413"/>
    <w:rsid w:val="00777538"/>
    <w:rsid w:val="0077785E"/>
    <w:rsid w:val="00777D8E"/>
    <w:rsid w:val="00780268"/>
    <w:rsid w:val="00780553"/>
    <w:rsid w:val="00780C11"/>
    <w:rsid w:val="00780C65"/>
    <w:rsid w:val="00780D46"/>
    <w:rsid w:val="00780F8D"/>
    <w:rsid w:val="007813C0"/>
    <w:rsid w:val="0078198B"/>
    <w:rsid w:val="0078212E"/>
    <w:rsid w:val="007828D7"/>
    <w:rsid w:val="00782FC3"/>
    <w:rsid w:val="0078387B"/>
    <w:rsid w:val="00783E41"/>
    <w:rsid w:val="00783FE7"/>
    <w:rsid w:val="007857F9"/>
    <w:rsid w:val="00785B5E"/>
    <w:rsid w:val="00786339"/>
    <w:rsid w:val="0078696E"/>
    <w:rsid w:val="00786A78"/>
    <w:rsid w:val="00786ACB"/>
    <w:rsid w:val="007874A1"/>
    <w:rsid w:val="007874E4"/>
    <w:rsid w:val="00787C67"/>
    <w:rsid w:val="007906D1"/>
    <w:rsid w:val="007906D6"/>
    <w:rsid w:val="00791744"/>
    <w:rsid w:val="0079199B"/>
    <w:rsid w:val="00791DF2"/>
    <w:rsid w:val="007920D8"/>
    <w:rsid w:val="007922B1"/>
    <w:rsid w:val="00792DB5"/>
    <w:rsid w:val="00792E56"/>
    <w:rsid w:val="00793513"/>
    <w:rsid w:val="007938E5"/>
    <w:rsid w:val="007949F0"/>
    <w:rsid w:val="00794A77"/>
    <w:rsid w:val="00794AE6"/>
    <w:rsid w:val="00794FC0"/>
    <w:rsid w:val="007953B0"/>
    <w:rsid w:val="00795561"/>
    <w:rsid w:val="00795B0F"/>
    <w:rsid w:val="00795C84"/>
    <w:rsid w:val="00796373"/>
    <w:rsid w:val="00796F60"/>
    <w:rsid w:val="007973E9"/>
    <w:rsid w:val="00797731"/>
    <w:rsid w:val="007979DC"/>
    <w:rsid w:val="007979F4"/>
    <w:rsid w:val="00797A95"/>
    <w:rsid w:val="00797BB1"/>
    <w:rsid w:val="007A0011"/>
    <w:rsid w:val="007A015D"/>
    <w:rsid w:val="007A01EE"/>
    <w:rsid w:val="007A04A5"/>
    <w:rsid w:val="007A0540"/>
    <w:rsid w:val="007A0552"/>
    <w:rsid w:val="007A0BC5"/>
    <w:rsid w:val="007A152A"/>
    <w:rsid w:val="007A2E3E"/>
    <w:rsid w:val="007A3857"/>
    <w:rsid w:val="007A3982"/>
    <w:rsid w:val="007A39DF"/>
    <w:rsid w:val="007A3E58"/>
    <w:rsid w:val="007A4337"/>
    <w:rsid w:val="007A434C"/>
    <w:rsid w:val="007A51FB"/>
    <w:rsid w:val="007A5AA2"/>
    <w:rsid w:val="007A6110"/>
    <w:rsid w:val="007A61FF"/>
    <w:rsid w:val="007A64EC"/>
    <w:rsid w:val="007A6AB8"/>
    <w:rsid w:val="007A6B4D"/>
    <w:rsid w:val="007A7512"/>
    <w:rsid w:val="007B00DF"/>
    <w:rsid w:val="007B02F4"/>
    <w:rsid w:val="007B0949"/>
    <w:rsid w:val="007B0A8A"/>
    <w:rsid w:val="007B0B39"/>
    <w:rsid w:val="007B0ED7"/>
    <w:rsid w:val="007B1A25"/>
    <w:rsid w:val="007B1C7B"/>
    <w:rsid w:val="007B2103"/>
    <w:rsid w:val="007B23C0"/>
    <w:rsid w:val="007B246E"/>
    <w:rsid w:val="007B2706"/>
    <w:rsid w:val="007B2D77"/>
    <w:rsid w:val="007B2F9B"/>
    <w:rsid w:val="007B2FA8"/>
    <w:rsid w:val="007B3700"/>
    <w:rsid w:val="007B3C0F"/>
    <w:rsid w:val="007B4153"/>
    <w:rsid w:val="007B4200"/>
    <w:rsid w:val="007B4AB8"/>
    <w:rsid w:val="007B51AD"/>
    <w:rsid w:val="007B59A9"/>
    <w:rsid w:val="007B59BC"/>
    <w:rsid w:val="007B5F6E"/>
    <w:rsid w:val="007B6029"/>
    <w:rsid w:val="007B6085"/>
    <w:rsid w:val="007B6382"/>
    <w:rsid w:val="007B63CC"/>
    <w:rsid w:val="007B6513"/>
    <w:rsid w:val="007B6B9C"/>
    <w:rsid w:val="007B6C28"/>
    <w:rsid w:val="007B7BCD"/>
    <w:rsid w:val="007C0528"/>
    <w:rsid w:val="007C073D"/>
    <w:rsid w:val="007C0786"/>
    <w:rsid w:val="007C0C04"/>
    <w:rsid w:val="007C1428"/>
    <w:rsid w:val="007C1D90"/>
    <w:rsid w:val="007C2959"/>
    <w:rsid w:val="007C29B3"/>
    <w:rsid w:val="007C30DB"/>
    <w:rsid w:val="007C310C"/>
    <w:rsid w:val="007C3234"/>
    <w:rsid w:val="007C325D"/>
    <w:rsid w:val="007C3B68"/>
    <w:rsid w:val="007C3D6E"/>
    <w:rsid w:val="007C3E2B"/>
    <w:rsid w:val="007C3FDC"/>
    <w:rsid w:val="007C4BEB"/>
    <w:rsid w:val="007C4C9C"/>
    <w:rsid w:val="007C530B"/>
    <w:rsid w:val="007C5953"/>
    <w:rsid w:val="007C61F9"/>
    <w:rsid w:val="007C6853"/>
    <w:rsid w:val="007C69B9"/>
    <w:rsid w:val="007C7893"/>
    <w:rsid w:val="007C7B70"/>
    <w:rsid w:val="007C7FB9"/>
    <w:rsid w:val="007D0610"/>
    <w:rsid w:val="007D115F"/>
    <w:rsid w:val="007D196D"/>
    <w:rsid w:val="007D19C1"/>
    <w:rsid w:val="007D1BCC"/>
    <w:rsid w:val="007D1CF2"/>
    <w:rsid w:val="007D2038"/>
    <w:rsid w:val="007D283A"/>
    <w:rsid w:val="007D2F96"/>
    <w:rsid w:val="007D33CD"/>
    <w:rsid w:val="007D34DF"/>
    <w:rsid w:val="007D3620"/>
    <w:rsid w:val="007D36A2"/>
    <w:rsid w:val="007D372D"/>
    <w:rsid w:val="007D3A46"/>
    <w:rsid w:val="007D3DA4"/>
    <w:rsid w:val="007D44F9"/>
    <w:rsid w:val="007D47CA"/>
    <w:rsid w:val="007D4B73"/>
    <w:rsid w:val="007D4D60"/>
    <w:rsid w:val="007D5477"/>
    <w:rsid w:val="007D5C03"/>
    <w:rsid w:val="007D5C7A"/>
    <w:rsid w:val="007D5FE2"/>
    <w:rsid w:val="007D629A"/>
    <w:rsid w:val="007D6633"/>
    <w:rsid w:val="007D69E5"/>
    <w:rsid w:val="007D6ABD"/>
    <w:rsid w:val="007D7F3C"/>
    <w:rsid w:val="007E0046"/>
    <w:rsid w:val="007E0C28"/>
    <w:rsid w:val="007E0D74"/>
    <w:rsid w:val="007E1271"/>
    <w:rsid w:val="007E12E5"/>
    <w:rsid w:val="007E1547"/>
    <w:rsid w:val="007E174B"/>
    <w:rsid w:val="007E19CF"/>
    <w:rsid w:val="007E25D9"/>
    <w:rsid w:val="007E28B0"/>
    <w:rsid w:val="007E29B9"/>
    <w:rsid w:val="007E2C0B"/>
    <w:rsid w:val="007E306C"/>
    <w:rsid w:val="007E343D"/>
    <w:rsid w:val="007E34E0"/>
    <w:rsid w:val="007E3774"/>
    <w:rsid w:val="007E39DA"/>
    <w:rsid w:val="007E3C40"/>
    <w:rsid w:val="007E43F2"/>
    <w:rsid w:val="007E4644"/>
    <w:rsid w:val="007E50F3"/>
    <w:rsid w:val="007E5F66"/>
    <w:rsid w:val="007E68F0"/>
    <w:rsid w:val="007E6918"/>
    <w:rsid w:val="007E6EA5"/>
    <w:rsid w:val="007E719C"/>
    <w:rsid w:val="007E79FC"/>
    <w:rsid w:val="007E7CFC"/>
    <w:rsid w:val="007F0083"/>
    <w:rsid w:val="007F0995"/>
    <w:rsid w:val="007F0E4E"/>
    <w:rsid w:val="007F106C"/>
    <w:rsid w:val="007F1391"/>
    <w:rsid w:val="007F1A46"/>
    <w:rsid w:val="007F1C01"/>
    <w:rsid w:val="007F2429"/>
    <w:rsid w:val="007F28BD"/>
    <w:rsid w:val="007F3002"/>
    <w:rsid w:val="007F30CD"/>
    <w:rsid w:val="007F30E6"/>
    <w:rsid w:val="007F3709"/>
    <w:rsid w:val="007F377C"/>
    <w:rsid w:val="007F3BAA"/>
    <w:rsid w:val="007F3CCC"/>
    <w:rsid w:val="007F3F0F"/>
    <w:rsid w:val="007F47A1"/>
    <w:rsid w:val="007F4BBF"/>
    <w:rsid w:val="007F4C19"/>
    <w:rsid w:val="007F4DDC"/>
    <w:rsid w:val="007F5190"/>
    <w:rsid w:val="007F5A6E"/>
    <w:rsid w:val="007F5E0F"/>
    <w:rsid w:val="007F5EF3"/>
    <w:rsid w:val="007F5FCA"/>
    <w:rsid w:val="007F6D10"/>
    <w:rsid w:val="007F6DC8"/>
    <w:rsid w:val="007F716A"/>
    <w:rsid w:val="007F78EC"/>
    <w:rsid w:val="007F7D74"/>
    <w:rsid w:val="008001C9"/>
    <w:rsid w:val="00800A57"/>
    <w:rsid w:val="00800C15"/>
    <w:rsid w:val="00800C5F"/>
    <w:rsid w:val="00800CBC"/>
    <w:rsid w:val="00800D11"/>
    <w:rsid w:val="00800E39"/>
    <w:rsid w:val="00800ED5"/>
    <w:rsid w:val="00800FEB"/>
    <w:rsid w:val="00801728"/>
    <w:rsid w:val="008017A0"/>
    <w:rsid w:val="00801E7E"/>
    <w:rsid w:val="00802217"/>
    <w:rsid w:val="0080299E"/>
    <w:rsid w:val="00802DE9"/>
    <w:rsid w:val="00802FA5"/>
    <w:rsid w:val="00803034"/>
    <w:rsid w:val="00803129"/>
    <w:rsid w:val="008032E0"/>
    <w:rsid w:val="00803788"/>
    <w:rsid w:val="008038FF"/>
    <w:rsid w:val="008039CA"/>
    <w:rsid w:val="008043C1"/>
    <w:rsid w:val="00804C24"/>
    <w:rsid w:val="00804F01"/>
    <w:rsid w:val="008052B0"/>
    <w:rsid w:val="0080540E"/>
    <w:rsid w:val="00805491"/>
    <w:rsid w:val="00805591"/>
    <w:rsid w:val="0080569C"/>
    <w:rsid w:val="008056B3"/>
    <w:rsid w:val="00805ACC"/>
    <w:rsid w:val="00805F0C"/>
    <w:rsid w:val="00806353"/>
    <w:rsid w:val="008067E8"/>
    <w:rsid w:val="00806900"/>
    <w:rsid w:val="00806E3B"/>
    <w:rsid w:val="00807173"/>
    <w:rsid w:val="008078A7"/>
    <w:rsid w:val="008078D1"/>
    <w:rsid w:val="00807C17"/>
    <w:rsid w:val="00807DD9"/>
    <w:rsid w:val="00810A68"/>
    <w:rsid w:val="00810CF6"/>
    <w:rsid w:val="00810FEF"/>
    <w:rsid w:val="0081161A"/>
    <w:rsid w:val="008116C3"/>
    <w:rsid w:val="00811E3D"/>
    <w:rsid w:val="008124D4"/>
    <w:rsid w:val="00812BB6"/>
    <w:rsid w:val="00812C85"/>
    <w:rsid w:val="00813495"/>
    <w:rsid w:val="008134B1"/>
    <w:rsid w:val="0081376F"/>
    <w:rsid w:val="008138B8"/>
    <w:rsid w:val="0081395B"/>
    <w:rsid w:val="00813E09"/>
    <w:rsid w:val="00814A56"/>
    <w:rsid w:val="00814D5F"/>
    <w:rsid w:val="00815142"/>
    <w:rsid w:val="0081729A"/>
    <w:rsid w:val="00817837"/>
    <w:rsid w:val="00817E2E"/>
    <w:rsid w:val="00817F68"/>
    <w:rsid w:val="00820478"/>
    <w:rsid w:val="00820677"/>
    <w:rsid w:val="0082085B"/>
    <w:rsid w:val="008211A4"/>
    <w:rsid w:val="008216BE"/>
    <w:rsid w:val="00821824"/>
    <w:rsid w:val="008218B1"/>
    <w:rsid w:val="0082226E"/>
    <w:rsid w:val="008222F1"/>
    <w:rsid w:val="0082263C"/>
    <w:rsid w:val="00823087"/>
    <w:rsid w:val="008234C1"/>
    <w:rsid w:val="00823533"/>
    <w:rsid w:val="008237D6"/>
    <w:rsid w:val="008239DC"/>
    <w:rsid w:val="00823A49"/>
    <w:rsid w:val="00823B17"/>
    <w:rsid w:val="00823D79"/>
    <w:rsid w:val="00823DF3"/>
    <w:rsid w:val="008244C8"/>
    <w:rsid w:val="0082514C"/>
    <w:rsid w:val="00825649"/>
    <w:rsid w:val="00825678"/>
    <w:rsid w:val="00825B60"/>
    <w:rsid w:val="00825D31"/>
    <w:rsid w:val="00825D67"/>
    <w:rsid w:val="00825F71"/>
    <w:rsid w:val="008270C5"/>
    <w:rsid w:val="00827387"/>
    <w:rsid w:val="00827408"/>
    <w:rsid w:val="008274A5"/>
    <w:rsid w:val="008278F8"/>
    <w:rsid w:val="008279E9"/>
    <w:rsid w:val="00827EDB"/>
    <w:rsid w:val="008307BF"/>
    <w:rsid w:val="00830E71"/>
    <w:rsid w:val="00830FC3"/>
    <w:rsid w:val="008317E6"/>
    <w:rsid w:val="00831B04"/>
    <w:rsid w:val="00832692"/>
    <w:rsid w:val="00832849"/>
    <w:rsid w:val="00832A23"/>
    <w:rsid w:val="00832B9F"/>
    <w:rsid w:val="00832BCF"/>
    <w:rsid w:val="0083309B"/>
    <w:rsid w:val="00833AE9"/>
    <w:rsid w:val="00833C8A"/>
    <w:rsid w:val="0083413B"/>
    <w:rsid w:val="008356DB"/>
    <w:rsid w:val="0083570C"/>
    <w:rsid w:val="0083578C"/>
    <w:rsid w:val="008358B2"/>
    <w:rsid w:val="00836488"/>
    <w:rsid w:val="00836949"/>
    <w:rsid w:val="00836B1A"/>
    <w:rsid w:val="00836B40"/>
    <w:rsid w:val="00836D66"/>
    <w:rsid w:val="00837003"/>
    <w:rsid w:val="008375C2"/>
    <w:rsid w:val="008400E9"/>
    <w:rsid w:val="008400FD"/>
    <w:rsid w:val="008403E6"/>
    <w:rsid w:val="008404A6"/>
    <w:rsid w:val="008408C5"/>
    <w:rsid w:val="00840EAE"/>
    <w:rsid w:val="0084187C"/>
    <w:rsid w:val="00842375"/>
    <w:rsid w:val="0084274A"/>
    <w:rsid w:val="008428C8"/>
    <w:rsid w:val="00842A2E"/>
    <w:rsid w:val="00842F19"/>
    <w:rsid w:val="00842F5D"/>
    <w:rsid w:val="00843108"/>
    <w:rsid w:val="0084338B"/>
    <w:rsid w:val="00843C82"/>
    <w:rsid w:val="00843F7D"/>
    <w:rsid w:val="008444B9"/>
    <w:rsid w:val="0084498A"/>
    <w:rsid w:val="00844C86"/>
    <w:rsid w:val="00845196"/>
    <w:rsid w:val="00845484"/>
    <w:rsid w:val="00846369"/>
    <w:rsid w:val="00846945"/>
    <w:rsid w:val="008469D4"/>
    <w:rsid w:val="00846DCF"/>
    <w:rsid w:val="008479AF"/>
    <w:rsid w:val="00847EBF"/>
    <w:rsid w:val="00850895"/>
    <w:rsid w:val="00850A23"/>
    <w:rsid w:val="00850CD0"/>
    <w:rsid w:val="00851675"/>
    <w:rsid w:val="00851EE0"/>
    <w:rsid w:val="008524D9"/>
    <w:rsid w:val="00852B3E"/>
    <w:rsid w:val="00853266"/>
    <w:rsid w:val="0085352E"/>
    <w:rsid w:val="00853723"/>
    <w:rsid w:val="00853A7D"/>
    <w:rsid w:val="0085401F"/>
    <w:rsid w:val="00854188"/>
    <w:rsid w:val="008549E0"/>
    <w:rsid w:val="00854BC2"/>
    <w:rsid w:val="00854DA5"/>
    <w:rsid w:val="008552BC"/>
    <w:rsid w:val="00855830"/>
    <w:rsid w:val="00855A7F"/>
    <w:rsid w:val="00855BA7"/>
    <w:rsid w:val="00855DCD"/>
    <w:rsid w:val="00856704"/>
    <w:rsid w:val="00856F95"/>
    <w:rsid w:val="0086010C"/>
    <w:rsid w:val="00860547"/>
    <w:rsid w:val="00860B7E"/>
    <w:rsid w:val="00860C66"/>
    <w:rsid w:val="00860D33"/>
    <w:rsid w:val="00860D4F"/>
    <w:rsid w:val="00861B5A"/>
    <w:rsid w:val="00862128"/>
    <w:rsid w:val="008622D0"/>
    <w:rsid w:val="00862902"/>
    <w:rsid w:val="00862D48"/>
    <w:rsid w:val="00863107"/>
    <w:rsid w:val="00863B46"/>
    <w:rsid w:val="00863E5B"/>
    <w:rsid w:val="008640AA"/>
    <w:rsid w:val="008642E3"/>
    <w:rsid w:val="00864B40"/>
    <w:rsid w:val="00864BA4"/>
    <w:rsid w:val="0086511B"/>
    <w:rsid w:val="008659E5"/>
    <w:rsid w:val="00865DBA"/>
    <w:rsid w:val="00865F48"/>
    <w:rsid w:val="008664F5"/>
    <w:rsid w:val="00866788"/>
    <w:rsid w:val="008669CF"/>
    <w:rsid w:val="008669DC"/>
    <w:rsid w:val="00867672"/>
    <w:rsid w:val="00867762"/>
    <w:rsid w:val="008700D3"/>
    <w:rsid w:val="008703B4"/>
    <w:rsid w:val="008708AF"/>
    <w:rsid w:val="00870CE0"/>
    <w:rsid w:val="00871048"/>
    <w:rsid w:val="00871197"/>
    <w:rsid w:val="008711BC"/>
    <w:rsid w:val="00871C4C"/>
    <w:rsid w:val="00871EE8"/>
    <w:rsid w:val="00871FC8"/>
    <w:rsid w:val="00872015"/>
    <w:rsid w:val="00872404"/>
    <w:rsid w:val="00872557"/>
    <w:rsid w:val="00872802"/>
    <w:rsid w:val="00872816"/>
    <w:rsid w:val="00872BD6"/>
    <w:rsid w:val="00873921"/>
    <w:rsid w:val="00873C25"/>
    <w:rsid w:val="00874489"/>
    <w:rsid w:val="008744F0"/>
    <w:rsid w:val="00874502"/>
    <w:rsid w:val="00874756"/>
    <w:rsid w:val="0087475F"/>
    <w:rsid w:val="0087526D"/>
    <w:rsid w:val="00875B62"/>
    <w:rsid w:val="00875F46"/>
    <w:rsid w:val="008762FF"/>
    <w:rsid w:val="00876850"/>
    <w:rsid w:val="00876A80"/>
    <w:rsid w:val="00876E50"/>
    <w:rsid w:val="00876E78"/>
    <w:rsid w:val="0087752C"/>
    <w:rsid w:val="008775C2"/>
    <w:rsid w:val="00877CDE"/>
    <w:rsid w:val="008803D4"/>
    <w:rsid w:val="00880EAB"/>
    <w:rsid w:val="00881638"/>
    <w:rsid w:val="00881D23"/>
    <w:rsid w:val="00881F3B"/>
    <w:rsid w:val="008821B3"/>
    <w:rsid w:val="008828D4"/>
    <w:rsid w:val="00882D4E"/>
    <w:rsid w:val="00882EB0"/>
    <w:rsid w:val="00883829"/>
    <w:rsid w:val="008839F1"/>
    <w:rsid w:val="0088415F"/>
    <w:rsid w:val="00884727"/>
    <w:rsid w:val="008847B5"/>
    <w:rsid w:val="00884A7A"/>
    <w:rsid w:val="00884E16"/>
    <w:rsid w:val="00885718"/>
    <w:rsid w:val="00885719"/>
    <w:rsid w:val="00885C48"/>
    <w:rsid w:val="008861A0"/>
    <w:rsid w:val="00886BA0"/>
    <w:rsid w:val="00887252"/>
    <w:rsid w:val="00887934"/>
    <w:rsid w:val="00887DE1"/>
    <w:rsid w:val="00887F3B"/>
    <w:rsid w:val="00887FF0"/>
    <w:rsid w:val="0089053C"/>
    <w:rsid w:val="0089054A"/>
    <w:rsid w:val="0089081F"/>
    <w:rsid w:val="00890ADD"/>
    <w:rsid w:val="00890B95"/>
    <w:rsid w:val="00891CCB"/>
    <w:rsid w:val="00891D51"/>
    <w:rsid w:val="00891D7A"/>
    <w:rsid w:val="00891F8F"/>
    <w:rsid w:val="00892323"/>
    <w:rsid w:val="00892844"/>
    <w:rsid w:val="00892967"/>
    <w:rsid w:val="008929D7"/>
    <w:rsid w:val="00892C6A"/>
    <w:rsid w:val="00892D65"/>
    <w:rsid w:val="008932D7"/>
    <w:rsid w:val="008933F4"/>
    <w:rsid w:val="00893593"/>
    <w:rsid w:val="00893721"/>
    <w:rsid w:val="00893990"/>
    <w:rsid w:val="00893BAB"/>
    <w:rsid w:val="00893EB8"/>
    <w:rsid w:val="00893FC9"/>
    <w:rsid w:val="0089428B"/>
    <w:rsid w:val="00894688"/>
    <w:rsid w:val="00894C2D"/>
    <w:rsid w:val="0089564C"/>
    <w:rsid w:val="0089582F"/>
    <w:rsid w:val="00895A8F"/>
    <w:rsid w:val="00895FBA"/>
    <w:rsid w:val="00896467"/>
    <w:rsid w:val="008969A2"/>
    <w:rsid w:val="00896A4F"/>
    <w:rsid w:val="00896CE2"/>
    <w:rsid w:val="00897159"/>
    <w:rsid w:val="008974C0"/>
    <w:rsid w:val="008977F1"/>
    <w:rsid w:val="00897E24"/>
    <w:rsid w:val="008A00B5"/>
    <w:rsid w:val="008A0139"/>
    <w:rsid w:val="008A03C7"/>
    <w:rsid w:val="008A1171"/>
    <w:rsid w:val="008A129A"/>
    <w:rsid w:val="008A12FD"/>
    <w:rsid w:val="008A1726"/>
    <w:rsid w:val="008A2110"/>
    <w:rsid w:val="008A2BBE"/>
    <w:rsid w:val="008A2D74"/>
    <w:rsid w:val="008A3132"/>
    <w:rsid w:val="008A35F4"/>
    <w:rsid w:val="008A3A56"/>
    <w:rsid w:val="008A40EF"/>
    <w:rsid w:val="008A4274"/>
    <w:rsid w:val="008A4372"/>
    <w:rsid w:val="008A44F1"/>
    <w:rsid w:val="008A4556"/>
    <w:rsid w:val="008A46E0"/>
    <w:rsid w:val="008A4B30"/>
    <w:rsid w:val="008A5296"/>
    <w:rsid w:val="008A57C8"/>
    <w:rsid w:val="008A610D"/>
    <w:rsid w:val="008A6696"/>
    <w:rsid w:val="008A6E6E"/>
    <w:rsid w:val="008A73A5"/>
    <w:rsid w:val="008A7552"/>
    <w:rsid w:val="008A756B"/>
    <w:rsid w:val="008A76C4"/>
    <w:rsid w:val="008A76E2"/>
    <w:rsid w:val="008A7AA0"/>
    <w:rsid w:val="008B0028"/>
    <w:rsid w:val="008B0472"/>
    <w:rsid w:val="008B0559"/>
    <w:rsid w:val="008B05BF"/>
    <w:rsid w:val="008B08C2"/>
    <w:rsid w:val="008B0A60"/>
    <w:rsid w:val="008B17AE"/>
    <w:rsid w:val="008B2324"/>
    <w:rsid w:val="008B2406"/>
    <w:rsid w:val="008B2889"/>
    <w:rsid w:val="008B2EA6"/>
    <w:rsid w:val="008B30FE"/>
    <w:rsid w:val="008B3783"/>
    <w:rsid w:val="008B37BA"/>
    <w:rsid w:val="008B380C"/>
    <w:rsid w:val="008B42F7"/>
    <w:rsid w:val="008B497D"/>
    <w:rsid w:val="008B4A5A"/>
    <w:rsid w:val="008B4DF0"/>
    <w:rsid w:val="008B5319"/>
    <w:rsid w:val="008B5C21"/>
    <w:rsid w:val="008B5ED7"/>
    <w:rsid w:val="008B619E"/>
    <w:rsid w:val="008B632B"/>
    <w:rsid w:val="008B6593"/>
    <w:rsid w:val="008B6CF8"/>
    <w:rsid w:val="008B73D6"/>
    <w:rsid w:val="008B76B1"/>
    <w:rsid w:val="008B7A58"/>
    <w:rsid w:val="008C04A6"/>
    <w:rsid w:val="008C0615"/>
    <w:rsid w:val="008C087C"/>
    <w:rsid w:val="008C08CA"/>
    <w:rsid w:val="008C0AB4"/>
    <w:rsid w:val="008C0B36"/>
    <w:rsid w:val="008C1226"/>
    <w:rsid w:val="008C14AE"/>
    <w:rsid w:val="008C1935"/>
    <w:rsid w:val="008C1DE2"/>
    <w:rsid w:val="008C1EE5"/>
    <w:rsid w:val="008C1FE7"/>
    <w:rsid w:val="008C21C8"/>
    <w:rsid w:val="008C2446"/>
    <w:rsid w:val="008C2B74"/>
    <w:rsid w:val="008C2BA6"/>
    <w:rsid w:val="008C2D5E"/>
    <w:rsid w:val="008C2E99"/>
    <w:rsid w:val="008C2F39"/>
    <w:rsid w:val="008C30B7"/>
    <w:rsid w:val="008C388E"/>
    <w:rsid w:val="008C4187"/>
    <w:rsid w:val="008C4356"/>
    <w:rsid w:val="008C5A1E"/>
    <w:rsid w:val="008C6279"/>
    <w:rsid w:val="008C65FD"/>
    <w:rsid w:val="008C6ED6"/>
    <w:rsid w:val="008C71B0"/>
    <w:rsid w:val="008C7347"/>
    <w:rsid w:val="008C736A"/>
    <w:rsid w:val="008C74AE"/>
    <w:rsid w:val="008C7613"/>
    <w:rsid w:val="008C78FE"/>
    <w:rsid w:val="008C7B9F"/>
    <w:rsid w:val="008C7C1B"/>
    <w:rsid w:val="008C7C40"/>
    <w:rsid w:val="008C7F71"/>
    <w:rsid w:val="008D0323"/>
    <w:rsid w:val="008D03F0"/>
    <w:rsid w:val="008D0E3B"/>
    <w:rsid w:val="008D1E2B"/>
    <w:rsid w:val="008D204F"/>
    <w:rsid w:val="008D2055"/>
    <w:rsid w:val="008D2A9D"/>
    <w:rsid w:val="008D35A3"/>
    <w:rsid w:val="008D36D0"/>
    <w:rsid w:val="008D38C4"/>
    <w:rsid w:val="008D3ACA"/>
    <w:rsid w:val="008D42C5"/>
    <w:rsid w:val="008D4D64"/>
    <w:rsid w:val="008D4F0F"/>
    <w:rsid w:val="008D509E"/>
    <w:rsid w:val="008D5804"/>
    <w:rsid w:val="008D5BC2"/>
    <w:rsid w:val="008D5C13"/>
    <w:rsid w:val="008D5F13"/>
    <w:rsid w:val="008D61B7"/>
    <w:rsid w:val="008D68A6"/>
    <w:rsid w:val="008D69BC"/>
    <w:rsid w:val="008D6EE6"/>
    <w:rsid w:val="008D76E7"/>
    <w:rsid w:val="008D798D"/>
    <w:rsid w:val="008D7E3B"/>
    <w:rsid w:val="008D7FA6"/>
    <w:rsid w:val="008E043A"/>
    <w:rsid w:val="008E07F5"/>
    <w:rsid w:val="008E08D6"/>
    <w:rsid w:val="008E0AE8"/>
    <w:rsid w:val="008E0BE6"/>
    <w:rsid w:val="008E1079"/>
    <w:rsid w:val="008E11B4"/>
    <w:rsid w:val="008E1E89"/>
    <w:rsid w:val="008E2068"/>
    <w:rsid w:val="008E23C7"/>
    <w:rsid w:val="008E3505"/>
    <w:rsid w:val="008E3600"/>
    <w:rsid w:val="008E375D"/>
    <w:rsid w:val="008E3BF4"/>
    <w:rsid w:val="008E3D9E"/>
    <w:rsid w:val="008E45D5"/>
    <w:rsid w:val="008E48A9"/>
    <w:rsid w:val="008E5A16"/>
    <w:rsid w:val="008E5C5A"/>
    <w:rsid w:val="008E6268"/>
    <w:rsid w:val="008E638F"/>
    <w:rsid w:val="008E6752"/>
    <w:rsid w:val="008E68B5"/>
    <w:rsid w:val="008E6D07"/>
    <w:rsid w:val="008E7F14"/>
    <w:rsid w:val="008F0000"/>
    <w:rsid w:val="008F0B47"/>
    <w:rsid w:val="008F0C90"/>
    <w:rsid w:val="008F0E8D"/>
    <w:rsid w:val="008F1019"/>
    <w:rsid w:val="008F15D7"/>
    <w:rsid w:val="008F219B"/>
    <w:rsid w:val="008F247B"/>
    <w:rsid w:val="008F2749"/>
    <w:rsid w:val="008F2F72"/>
    <w:rsid w:val="008F3229"/>
    <w:rsid w:val="008F34A4"/>
    <w:rsid w:val="008F374F"/>
    <w:rsid w:val="008F4332"/>
    <w:rsid w:val="008F443B"/>
    <w:rsid w:val="008F47C9"/>
    <w:rsid w:val="008F4D50"/>
    <w:rsid w:val="008F4F84"/>
    <w:rsid w:val="008F5522"/>
    <w:rsid w:val="008F5684"/>
    <w:rsid w:val="008F6177"/>
    <w:rsid w:val="008F69F2"/>
    <w:rsid w:val="008F69FA"/>
    <w:rsid w:val="008F7544"/>
    <w:rsid w:val="008F78E2"/>
    <w:rsid w:val="008F7E87"/>
    <w:rsid w:val="009001C8"/>
    <w:rsid w:val="00900623"/>
    <w:rsid w:val="00900998"/>
    <w:rsid w:val="00900B9C"/>
    <w:rsid w:val="00900F4A"/>
    <w:rsid w:val="0090172E"/>
    <w:rsid w:val="00901B85"/>
    <w:rsid w:val="00902909"/>
    <w:rsid w:val="00902B80"/>
    <w:rsid w:val="00902C8B"/>
    <w:rsid w:val="00902EA9"/>
    <w:rsid w:val="00902F12"/>
    <w:rsid w:val="00903284"/>
    <w:rsid w:val="009033FA"/>
    <w:rsid w:val="0090357F"/>
    <w:rsid w:val="0090372C"/>
    <w:rsid w:val="009038EA"/>
    <w:rsid w:val="00903A04"/>
    <w:rsid w:val="0090401D"/>
    <w:rsid w:val="009043D6"/>
    <w:rsid w:val="009046FB"/>
    <w:rsid w:val="009062D2"/>
    <w:rsid w:val="0090691F"/>
    <w:rsid w:val="00906ABC"/>
    <w:rsid w:val="009071A6"/>
    <w:rsid w:val="00907AFE"/>
    <w:rsid w:val="00907B11"/>
    <w:rsid w:val="00907ECC"/>
    <w:rsid w:val="0091003B"/>
    <w:rsid w:val="00910733"/>
    <w:rsid w:val="00910C8D"/>
    <w:rsid w:val="00910D0F"/>
    <w:rsid w:val="00910D4C"/>
    <w:rsid w:val="0091168E"/>
    <w:rsid w:val="00911838"/>
    <w:rsid w:val="00911D04"/>
    <w:rsid w:val="009127F9"/>
    <w:rsid w:val="009127FE"/>
    <w:rsid w:val="00912970"/>
    <w:rsid w:val="00913070"/>
    <w:rsid w:val="0091316D"/>
    <w:rsid w:val="0091364E"/>
    <w:rsid w:val="0091389E"/>
    <w:rsid w:val="00913B92"/>
    <w:rsid w:val="00913DC9"/>
    <w:rsid w:val="00913EAD"/>
    <w:rsid w:val="00913FA8"/>
    <w:rsid w:val="009140D1"/>
    <w:rsid w:val="0091438A"/>
    <w:rsid w:val="009144B7"/>
    <w:rsid w:val="00914572"/>
    <w:rsid w:val="00914649"/>
    <w:rsid w:val="00914EAD"/>
    <w:rsid w:val="00915812"/>
    <w:rsid w:val="009159BB"/>
    <w:rsid w:val="00915A4A"/>
    <w:rsid w:val="0091621B"/>
    <w:rsid w:val="00916241"/>
    <w:rsid w:val="00916836"/>
    <w:rsid w:val="00916A90"/>
    <w:rsid w:val="00916B27"/>
    <w:rsid w:val="00920703"/>
    <w:rsid w:val="0092077B"/>
    <w:rsid w:val="00920831"/>
    <w:rsid w:val="0092084C"/>
    <w:rsid w:val="00921316"/>
    <w:rsid w:val="00921430"/>
    <w:rsid w:val="00921743"/>
    <w:rsid w:val="00921CCD"/>
    <w:rsid w:val="00921E59"/>
    <w:rsid w:val="00922200"/>
    <w:rsid w:val="0092280C"/>
    <w:rsid w:val="00922E86"/>
    <w:rsid w:val="009235AA"/>
    <w:rsid w:val="0092360A"/>
    <w:rsid w:val="00923729"/>
    <w:rsid w:val="009239BD"/>
    <w:rsid w:val="00923A03"/>
    <w:rsid w:val="00923F9D"/>
    <w:rsid w:val="00924311"/>
    <w:rsid w:val="009243CD"/>
    <w:rsid w:val="00924865"/>
    <w:rsid w:val="009253AB"/>
    <w:rsid w:val="009257D8"/>
    <w:rsid w:val="00925C83"/>
    <w:rsid w:val="009261D1"/>
    <w:rsid w:val="009263E6"/>
    <w:rsid w:val="009271EA"/>
    <w:rsid w:val="0092723E"/>
    <w:rsid w:val="0092748D"/>
    <w:rsid w:val="009304F4"/>
    <w:rsid w:val="00930529"/>
    <w:rsid w:val="00930919"/>
    <w:rsid w:val="00930ABC"/>
    <w:rsid w:val="00931163"/>
    <w:rsid w:val="009316AE"/>
    <w:rsid w:val="0093170E"/>
    <w:rsid w:val="00931836"/>
    <w:rsid w:val="00931AB7"/>
    <w:rsid w:val="00931BB8"/>
    <w:rsid w:val="00932488"/>
    <w:rsid w:val="009330F0"/>
    <w:rsid w:val="00933194"/>
    <w:rsid w:val="0093329B"/>
    <w:rsid w:val="0093358D"/>
    <w:rsid w:val="00933996"/>
    <w:rsid w:val="00933A07"/>
    <w:rsid w:val="00933C4B"/>
    <w:rsid w:val="00933D7C"/>
    <w:rsid w:val="00933F93"/>
    <w:rsid w:val="00934232"/>
    <w:rsid w:val="009347A1"/>
    <w:rsid w:val="009347ED"/>
    <w:rsid w:val="00934B49"/>
    <w:rsid w:val="009353CC"/>
    <w:rsid w:val="0093580E"/>
    <w:rsid w:val="00935CCE"/>
    <w:rsid w:val="009368F9"/>
    <w:rsid w:val="009369E2"/>
    <w:rsid w:val="00936D9D"/>
    <w:rsid w:val="00936F7F"/>
    <w:rsid w:val="0094004B"/>
    <w:rsid w:val="0094059C"/>
    <w:rsid w:val="00941263"/>
    <w:rsid w:val="009412B6"/>
    <w:rsid w:val="009418C4"/>
    <w:rsid w:val="00941A90"/>
    <w:rsid w:val="00941E31"/>
    <w:rsid w:val="009426B0"/>
    <w:rsid w:val="009427B0"/>
    <w:rsid w:val="00942D6B"/>
    <w:rsid w:val="00942E54"/>
    <w:rsid w:val="00942FD5"/>
    <w:rsid w:val="00943091"/>
    <w:rsid w:val="009431AA"/>
    <w:rsid w:val="009438E9"/>
    <w:rsid w:val="009444A2"/>
    <w:rsid w:val="009444BE"/>
    <w:rsid w:val="00944EA2"/>
    <w:rsid w:val="00945962"/>
    <w:rsid w:val="00945E57"/>
    <w:rsid w:val="0094601C"/>
    <w:rsid w:val="0094613C"/>
    <w:rsid w:val="00946669"/>
    <w:rsid w:val="00946AB0"/>
    <w:rsid w:val="00946EA3"/>
    <w:rsid w:val="00947247"/>
    <w:rsid w:val="00947620"/>
    <w:rsid w:val="009502C9"/>
    <w:rsid w:val="00950872"/>
    <w:rsid w:val="00950EF5"/>
    <w:rsid w:val="00951285"/>
    <w:rsid w:val="009514BD"/>
    <w:rsid w:val="009514E3"/>
    <w:rsid w:val="009519F8"/>
    <w:rsid w:val="00951C88"/>
    <w:rsid w:val="00951E9C"/>
    <w:rsid w:val="009522CA"/>
    <w:rsid w:val="0095262E"/>
    <w:rsid w:val="00953556"/>
    <w:rsid w:val="00953AB1"/>
    <w:rsid w:val="0095400D"/>
    <w:rsid w:val="00954099"/>
    <w:rsid w:val="009547E2"/>
    <w:rsid w:val="00954E38"/>
    <w:rsid w:val="0095507E"/>
    <w:rsid w:val="009550A1"/>
    <w:rsid w:val="009558EF"/>
    <w:rsid w:val="00955906"/>
    <w:rsid w:val="009559DC"/>
    <w:rsid w:val="00955C10"/>
    <w:rsid w:val="009561D1"/>
    <w:rsid w:val="009561DA"/>
    <w:rsid w:val="00956813"/>
    <w:rsid w:val="00956AEC"/>
    <w:rsid w:val="009570C2"/>
    <w:rsid w:val="0095726F"/>
    <w:rsid w:val="009607CA"/>
    <w:rsid w:val="00960A11"/>
    <w:rsid w:val="00960C1D"/>
    <w:rsid w:val="00961115"/>
    <w:rsid w:val="009615D7"/>
    <w:rsid w:val="009617CD"/>
    <w:rsid w:val="00961826"/>
    <w:rsid w:val="00961B2A"/>
    <w:rsid w:val="00961D94"/>
    <w:rsid w:val="00962724"/>
    <w:rsid w:val="009627F1"/>
    <w:rsid w:val="00962E07"/>
    <w:rsid w:val="00962FD7"/>
    <w:rsid w:val="0096302E"/>
    <w:rsid w:val="00963567"/>
    <w:rsid w:val="00963924"/>
    <w:rsid w:val="00964C9C"/>
    <w:rsid w:val="00964CC9"/>
    <w:rsid w:val="0096537A"/>
    <w:rsid w:val="009655B8"/>
    <w:rsid w:val="00965BDE"/>
    <w:rsid w:val="00965E5C"/>
    <w:rsid w:val="0096605A"/>
    <w:rsid w:val="009661F5"/>
    <w:rsid w:val="0096690C"/>
    <w:rsid w:val="00966F87"/>
    <w:rsid w:val="00967798"/>
    <w:rsid w:val="009707D0"/>
    <w:rsid w:val="00970A98"/>
    <w:rsid w:val="00970AEB"/>
    <w:rsid w:val="00971463"/>
    <w:rsid w:val="009717AE"/>
    <w:rsid w:val="00971DC4"/>
    <w:rsid w:val="009729AD"/>
    <w:rsid w:val="00972B8F"/>
    <w:rsid w:val="0097346C"/>
    <w:rsid w:val="009739D6"/>
    <w:rsid w:val="00973EBC"/>
    <w:rsid w:val="009742F0"/>
    <w:rsid w:val="00974697"/>
    <w:rsid w:val="00974BB3"/>
    <w:rsid w:val="00974E8E"/>
    <w:rsid w:val="00975CDA"/>
    <w:rsid w:val="00976122"/>
    <w:rsid w:val="009766A8"/>
    <w:rsid w:val="0097702E"/>
    <w:rsid w:val="00977C10"/>
    <w:rsid w:val="00977C1F"/>
    <w:rsid w:val="00977F2B"/>
    <w:rsid w:val="009802D8"/>
    <w:rsid w:val="00980F79"/>
    <w:rsid w:val="009810A3"/>
    <w:rsid w:val="0098189D"/>
    <w:rsid w:val="00981955"/>
    <w:rsid w:val="00981C04"/>
    <w:rsid w:val="00981E12"/>
    <w:rsid w:val="00982219"/>
    <w:rsid w:val="00982681"/>
    <w:rsid w:val="009834BB"/>
    <w:rsid w:val="0098399D"/>
    <w:rsid w:val="00983C0F"/>
    <w:rsid w:val="00983CB9"/>
    <w:rsid w:val="00984A20"/>
    <w:rsid w:val="00984F67"/>
    <w:rsid w:val="009850F0"/>
    <w:rsid w:val="0098583A"/>
    <w:rsid w:val="00985874"/>
    <w:rsid w:val="009863AE"/>
    <w:rsid w:val="009864FA"/>
    <w:rsid w:val="00987606"/>
    <w:rsid w:val="00987E38"/>
    <w:rsid w:val="00990735"/>
    <w:rsid w:val="00990B9E"/>
    <w:rsid w:val="00990F8C"/>
    <w:rsid w:val="00991119"/>
    <w:rsid w:val="009912CA"/>
    <w:rsid w:val="009920F1"/>
    <w:rsid w:val="0099225C"/>
    <w:rsid w:val="0099269F"/>
    <w:rsid w:val="00992DBD"/>
    <w:rsid w:val="00992E19"/>
    <w:rsid w:val="00993C4F"/>
    <w:rsid w:val="00993E66"/>
    <w:rsid w:val="00994E84"/>
    <w:rsid w:val="009950EF"/>
    <w:rsid w:val="00995C01"/>
    <w:rsid w:val="00996456"/>
    <w:rsid w:val="00996D1D"/>
    <w:rsid w:val="00996D66"/>
    <w:rsid w:val="00996DDC"/>
    <w:rsid w:val="00996FC2"/>
    <w:rsid w:val="00997079"/>
    <w:rsid w:val="0099732C"/>
    <w:rsid w:val="00997B24"/>
    <w:rsid w:val="009A0AA7"/>
    <w:rsid w:val="009A1221"/>
    <w:rsid w:val="009A202A"/>
    <w:rsid w:val="009A20E8"/>
    <w:rsid w:val="009A2161"/>
    <w:rsid w:val="009A27B4"/>
    <w:rsid w:val="009A2AEB"/>
    <w:rsid w:val="009A2D19"/>
    <w:rsid w:val="009A3157"/>
    <w:rsid w:val="009A3656"/>
    <w:rsid w:val="009A36EC"/>
    <w:rsid w:val="009A386A"/>
    <w:rsid w:val="009A3A79"/>
    <w:rsid w:val="009A3DBF"/>
    <w:rsid w:val="009A3EBA"/>
    <w:rsid w:val="009A447C"/>
    <w:rsid w:val="009A4482"/>
    <w:rsid w:val="009A4685"/>
    <w:rsid w:val="009A4920"/>
    <w:rsid w:val="009A4C62"/>
    <w:rsid w:val="009A4E7C"/>
    <w:rsid w:val="009A5153"/>
    <w:rsid w:val="009A57AF"/>
    <w:rsid w:val="009A5D2C"/>
    <w:rsid w:val="009A60A5"/>
    <w:rsid w:val="009A689A"/>
    <w:rsid w:val="009A7264"/>
    <w:rsid w:val="009A7270"/>
    <w:rsid w:val="009A7761"/>
    <w:rsid w:val="009A7EE3"/>
    <w:rsid w:val="009B050C"/>
    <w:rsid w:val="009B0855"/>
    <w:rsid w:val="009B1164"/>
    <w:rsid w:val="009B13B3"/>
    <w:rsid w:val="009B1DC1"/>
    <w:rsid w:val="009B237B"/>
    <w:rsid w:val="009B23E4"/>
    <w:rsid w:val="009B2D1A"/>
    <w:rsid w:val="009B2F24"/>
    <w:rsid w:val="009B2FB1"/>
    <w:rsid w:val="009B32B1"/>
    <w:rsid w:val="009B398B"/>
    <w:rsid w:val="009B39F6"/>
    <w:rsid w:val="009B3B3F"/>
    <w:rsid w:val="009B3D1D"/>
    <w:rsid w:val="009B3DB6"/>
    <w:rsid w:val="009B3E94"/>
    <w:rsid w:val="009B4004"/>
    <w:rsid w:val="009B42B3"/>
    <w:rsid w:val="009B44BE"/>
    <w:rsid w:val="009B47CE"/>
    <w:rsid w:val="009B48C3"/>
    <w:rsid w:val="009B5117"/>
    <w:rsid w:val="009B656F"/>
    <w:rsid w:val="009B6A31"/>
    <w:rsid w:val="009B6AAE"/>
    <w:rsid w:val="009B6BFD"/>
    <w:rsid w:val="009B6CC1"/>
    <w:rsid w:val="009B6F71"/>
    <w:rsid w:val="009B7021"/>
    <w:rsid w:val="009B73D8"/>
    <w:rsid w:val="009B7ED0"/>
    <w:rsid w:val="009B7FB4"/>
    <w:rsid w:val="009C012F"/>
    <w:rsid w:val="009C01AE"/>
    <w:rsid w:val="009C06D8"/>
    <w:rsid w:val="009C16D5"/>
    <w:rsid w:val="009C1F75"/>
    <w:rsid w:val="009C20FF"/>
    <w:rsid w:val="009C2A71"/>
    <w:rsid w:val="009C2B63"/>
    <w:rsid w:val="009C3484"/>
    <w:rsid w:val="009C34F8"/>
    <w:rsid w:val="009C35EA"/>
    <w:rsid w:val="009C3CEB"/>
    <w:rsid w:val="009C4A1F"/>
    <w:rsid w:val="009C4DA3"/>
    <w:rsid w:val="009C549F"/>
    <w:rsid w:val="009C61BD"/>
    <w:rsid w:val="009C6627"/>
    <w:rsid w:val="009C6B1B"/>
    <w:rsid w:val="009C7548"/>
    <w:rsid w:val="009D03FD"/>
    <w:rsid w:val="009D0726"/>
    <w:rsid w:val="009D098D"/>
    <w:rsid w:val="009D0F65"/>
    <w:rsid w:val="009D0FC5"/>
    <w:rsid w:val="009D10B7"/>
    <w:rsid w:val="009D1395"/>
    <w:rsid w:val="009D16E9"/>
    <w:rsid w:val="009D1776"/>
    <w:rsid w:val="009D1F00"/>
    <w:rsid w:val="009D22BA"/>
    <w:rsid w:val="009D2535"/>
    <w:rsid w:val="009D2538"/>
    <w:rsid w:val="009D29F4"/>
    <w:rsid w:val="009D2BAC"/>
    <w:rsid w:val="009D2C9B"/>
    <w:rsid w:val="009D3208"/>
    <w:rsid w:val="009D3730"/>
    <w:rsid w:val="009D3B41"/>
    <w:rsid w:val="009D42DA"/>
    <w:rsid w:val="009D45C0"/>
    <w:rsid w:val="009D4B90"/>
    <w:rsid w:val="009D4F31"/>
    <w:rsid w:val="009D50AE"/>
    <w:rsid w:val="009D531A"/>
    <w:rsid w:val="009D5BB7"/>
    <w:rsid w:val="009D5F22"/>
    <w:rsid w:val="009D60B4"/>
    <w:rsid w:val="009D6198"/>
    <w:rsid w:val="009D6AAA"/>
    <w:rsid w:val="009D6D0E"/>
    <w:rsid w:val="009D6E00"/>
    <w:rsid w:val="009D703C"/>
    <w:rsid w:val="009D74AB"/>
    <w:rsid w:val="009D768B"/>
    <w:rsid w:val="009D77E1"/>
    <w:rsid w:val="009D7E5D"/>
    <w:rsid w:val="009E0BA8"/>
    <w:rsid w:val="009E0DCF"/>
    <w:rsid w:val="009E11A9"/>
    <w:rsid w:val="009E2990"/>
    <w:rsid w:val="009E3AB6"/>
    <w:rsid w:val="009E3CF9"/>
    <w:rsid w:val="009E3E4A"/>
    <w:rsid w:val="009E44DB"/>
    <w:rsid w:val="009E454B"/>
    <w:rsid w:val="009E4681"/>
    <w:rsid w:val="009E48D1"/>
    <w:rsid w:val="009E4A26"/>
    <w:rsid w:val="009E508C"/>
    <w:rsid w:val="009E512F"/>
    <w:rsid w:val="009E5545"/>
    <w:rsid w:val="009E5962"/>
    <w:rsid w:val="009E5B50"/>
    <w:rsid w:val="009E635D"/>
    <w:rsid w:val="009E6F2A"/>
    <w:rsid w:val="009E7622"/>
    <w:rsid w:val="009E79CF"/>
    <w:rsid w:val="009E7C82"/>
    <w:rsid w:val="009E7E1E"/>
    <w:rsid w:val="009E7E8A"/>
    <w:rsid w:val="009F00D4"/>
    <w:rsid w:val="009F0493"/>
    <w:rsid w:val="009F08D9"/>
    <w:rsid w:val="009F0907"/>
    <w:rsid w:val="009F0C72"/>
    <w:rsid w:val="009F0DBF"/>
    <w:rsid w:val="009F0E10"/>
    <w:rsid w:val="009F0E27"/>
    <w:rsid w:val="009F114C"/>
    <w:rsid w:val="009F127E"/>
    <w:rsid w:val="009F1E57"/>
    <w:rsid w:val="009F25AF"/>
    <w:rsid w:val="009F26A1"/>
    <w:rsid w:val="009F26E9"/>
    <w:rsid w:val="009F2724"/>
    <w:rsid w:val="009F2A26"/>
    <w:rsid w:val="009F2CD5"/>
    <w:rsid w:val="009F2E8B"/>
    <w:rsid w:val="009F454D"/>
    <w:rsid w:val="009F483C"/>
    <w:rsid w:val="009F4C1D"/>
    <w:rsid w:val="009F4E3F"/>
    <w:rsid w:val="009F5462"/>
    <w:rsid w:val="009F54BE"/>
    <w:rsid w:val="009F565B"/>
    <w:rsid w:val="009F5856"/>
    <w:rsid w:val="009F5943"/>
    <w:rsid w:val="009F5BB9"/>
    <w:rsid w:val="009F5BE4"/>
    <w:rsid w:val="009F5C47"/>
    <w:rsid w:val="009F5E66"/>
    <w:rsid w:val="009F5F56"/>
    <w:rsid w:val="009F643A"/>
    <w:rsid w:val="009F6932"/>
    <w:rsid w:val="009F72BE"/>
    <w:rsid w:val="009F7777"/>
    <w:rsid w:val="009F7D19"/>
    <w:rsid w:val="00A0058B"/>
    <w:rsid w:val="00A012AD"/>
    <w:rsid w:val="00A0156C"/>
    <w:rsid w:val="00A0189C"/>
    <w:rsid w:val="00A01C7D"/>
    <w:rsid w:val="00A0295E"/>
    <w:rsid w:val="00A0298C"/>
    <w:rsid w:val="00A02ED8"/>
    <w:rsid w:val="00A02F40"/>
    <w:rsid w:val="00A0309B"/>
    <w:rsid w:val="00A0313E"/>
    <w:rsid w:val="00A0324B"/>
    <w:rsid w:val="00A0349F"/>
    <w:rsid w:val="00A03988"/>
    <w:rsid w:val="00A03CC7"/>
    <w:rsid w:val="00A03D6B"/>
    <w:rsid w:val="00A041F2"/>
    <w:rsid w:val="00A0435C"/>
    <w:rsid w:val="00A049F7"/>
    <w:rsid w:val="00A04AF0"/>
    <w:rsid w:val="00A04B25"/>
    <w:rsid w:val="00A04DA4"/>
    <w:rsid w:val="00A0516F"/>
    <w:rsid w:val="00A051C1"/>
    <w:rsid w:val="00A0544D"/>
    <w:rsid w:val="00A05572"/>
    <w:rsid w:val="00A0573E"/>
    <w:rsid w:val="00A05B5B"/>
    <w:rsid w:val="00A05B97"/>
    <w:rsid w:val="00A05D70"/>
    <w:rsid w:val="00A06205"/>
    <w:rsid w:val="00A06302"/>
    <w:rsid w:val="00A0667E"/>
    <w:rsid w:val="00A06F17"/>
    <w:rsid w:val="00A06F7F"/>
    <w:rsid w:val="00A07113"/>
    <w:rsid w:val="00A07131"/>
    <w:rsid w:val="00A07596"/>
    <w:rsid w:val="00A07955"/>
    <w:rsid w:val="00A07F49"/>
    <w:rsid w:val="00A10216"/>
    <w:rsid w:val="00A10259"/>
    <w:rsid w:val="00A10693"/>
    <w:rsid w:val="00A10DBD"/>
    <w:rsid w:val="00A10EA3"/>
    <w:rsid w:val="00A10F0F"/>
    <w:rsid w:val="00A11B71"/>
    <w:rsid w:val="00A11CC6"/>
    <w:rsid w:val="00A11E63"/>
    <w:rsid w:val="00A11FC8"/>
    <w:rsid w:val="00A120B1"/>
    <w:rsid w:val="00A122B5"/>
    <w:rsid w:val="00A1268F"/>
    <w:rsid w:val="00A127E9"/>
    <w:rsid w:val="00A12C2A"/>
    <w:rsid w:val="00A13A3F"/>
    <w:rsid w:val="00A13CE3"/>
    <w:rsid w:val="00A13D1A"/>
    <w:rsid w:val="00A13F81"/>
    <w:rsid w:val="00A14A2F"/>
    <w:rsid w:val="00A14DE4"/>
    <w:rsid w:val="00A154F9"/>
    <w:rsid w:val="00A157E5"/>
    <w:rsid w:val="00A1598E"/>
    <w:rsid w:val="00A15BA1"/>
    <w:rsid w:val="00A15C08"/>
    <w:rsid w:val="00A15ED9"/>
    <w:rsid w:val="00A161BF"/>
    <w:rsid w:val="00A1689E"/>
    <w:rsid w:val="00A168EC"/>
    <w:rsid w:val="00A16BC7"/>
    <w:rsid w:val="00A16C20"/>
    <w:rsid w:val="00A171A6"/>
    <w:rsid w:val="00A176A4"/>
    <w:rsid w:val="00A179E0"/>
    <w:rsid w:val="00A17E53"/>
    <w:rsid w:val="00A20BAA"/>
    <w:rsid w:val="00A20F4F"/>
    <w:rsid w:val="00A21091"/>
    <w:rsid w:val="00A2130C"/>
    <w:rsid w:val="00A2132D"/>
    <w:rsid w:val="00A216A0"/>
    <w:rsid w:val="00A21ADA"/>
    <w:rsid w:val="00A21E91"/>
    <w:rsid w:val="00A23813"/>
    <w:rsid w:val="00A23CB3"/>
    <w:rsid w:val="00A240CB"/>
    <w:rsid w:val="00A24150"/>
    <w:rsid w:val="00A24496"/>
    <w:rsid w:val="00A24748"/>
    <w:rsid w:val="00A24794"/>
    <w:rsid w:val="00A24A5C"/>
    <w:rsid w:val="00A25A47"/>
    <w:rsid w:val="00A265E9"/>
    <w:rsid w:val="00A26A82"/>
    <w:rsid w:val="00A26EC6"/>
    <w:rsid w:val="00A26F97"/>
    <w:rsid w:val="00A271B6"/>
    <w:rsid w:val="00A271DC"/>
    <w:rsid w:val="00A277D7"/>
    <w:rsid w:val="00A27C8A"/>
    <w:rsid w:val="00A27F2D"/>
    <w:rsid w:val="00A30089"/>
    <w:rsid w:val="00A313BC"/>
    <w:rsid w:val="00A3186D"/>
    <w:rsid w:val="00A31E78"/>
    <w:rsid w:val="00A320C4"/>
    <w:rsid w:val="00A32466"/>
    <w:rsid w:val="00A32B9F"/>
    <w:rsid w:val="00A32C4D"/>
    <w:rsid w:val="00A3324B"/>
    <w:rsid w:val="00A33474"/>
    <w:rsid w:val="00A33AE8"/>
    <w:rsid w:val="00A34372"/>
    <w:rsid w:val="00A345A9"/>
    <w:rsid w:val="00A347F4"/>
    <w:rsid w:val="00A34B0B"/>
    <w:rsid w:val="00A34D5F"/>
    <w:rsid w:val="00A34F99"/>
    <w:rsid w:val="00A35301"/>
    <w:rsid w:val="00A35AB0"/>
    <w:rsid w:val="00A35B60"/>
    <w:rsid w:val="00A35E4A"/>
    <w:rsid w:val="00A35F00"/>
    <w:rsid w:val="00A361E8"/>
    <w:rsid w:val="00A3631E"/>
    <w:rsid w:val="00A36372"/>
    <w:rsid w:val="00A3673B"/>
    <w:rsid w:val="00A3676D"/>
    <w:rsid w:val="00A3688A"/>
    <w:rsid w:val="00A37B0F"/>
    <w:rsid w:val="00A37B18"/>
    <w:rsid w:val="00A37B6D"/>
    <w:rsid w:val="00A37D31"/>
    <w:rsid w:val="00A40BA1"/>
    <w:rsid w:val="00A40E88"/>
    <w:rsid w:val="00A40F24"/>
    <w:rsid w:val="00A412E9"/>
    <w:rsid w:val="00A414EB"/>
    <w:rsid w:val="00A4170F"/>
    <w:rsid w:val="00A41FED"/>
    <w:rsid w:val="00A4338E"/>
    <w:rsid w:val="00A43DA0"/>
    <w:rsid w:val="00A440B1"/>
    <w:rsid w:val="00A44680"/>
    <w:rsid w:val="00A44DC6"/>
    <w:rsid w:val="00A458BF"/>
    <w:rsid w:val="00A459B5"/>
    <w:rsid w:val="00A45C8B"/>
    <w:rsid w:val="00A45DC5"/>
    <w:rsid w:val="00A4651F"/>
    <w:rsid w:val="00A46722"/>
    <w:rsid w:val="00A46A0C"/>
    <w:rsid w:val="00A46C2D"/>
    <w:rsid w:val="00A46CE5"/>
    <w:rsid w:val="00A471C1"/>
    <w:rsid w:val="00A472CA"/>
    <w:rsid w:val="00A476BA"/>
    <w:rsid w:val="00A47781"/>
    <w:rsid w:val="00A4783F"/>
    <w:rsid w:val="00A4784F"/>
    <w:rsid w:val="00A4796B"/>
    <w:rsid w:val="00A47F03"/>
    <w:rsid w:val="00A5006A"/>
    <w:rsid w:val="00A50C78"/>
    <w:rsid w:val="00A5180D"/>
    <w:rsid w:val="00A51B2E"/>
    <w:rsid w:val="00A51E21"/>
    <w:rsid w:val="00A52194"/>
    <w:rsid w:val="00A52248"/>
    <w:rsid w:val="00A52383"/>
    <w:rsid w:val="00A52695"/>
    <w:rsid w:val="00A52CE5"/>
    <w:rsid w:val="00A53174"/>
    <w:rsid w:val="00A535E5"/>
    <w:rsid w:val="00A53CA3"/>
    <w:rsid w:val="00A53EDA"/>
    <w:rsid w:val="00A5438F"/>
    <w:rsid w:val="00A54419"/>
    <w:rsid w:val="00A5463A"/>
    <w:rsid w:val="00A54838"/>
    <w:rsid w:val="00A54B04"/>
    <w:rsid w:val="00A54EFB"/>
    <w:rsid w:val="00A558C3"/>
    <w:rsid w:val="00A560CB"/>
    <w:rsid w:val="00A565D7"/>
    <w:rsid w:val="00A5661A"/>
    <w:rsid w:val="00A56FC9"/>
    <w:rsid w:val="00A5758C"/>
    <w:rsid w:val="00A57CF5"/>
    <w:rsid w:val="00A60397"/>
    <w:rsid w:val="00A60487"/>
    <w:rsid w:val="00A60C7A"/>
    <w:rsid w:val="00A60ED1"/>
    <w:rsid w:val="00A6107C"/>
    <w:rsid w:val="00A612AB"/>
    <w:rsid w:val="00A612ED"/>
    <w:rsid w:val="00A61DC8"/>
    <w:rsid w:val="00A623B9"/>
    <w:rsid w:val="00A630C4"/>
    <w:rsid w:val="00A6384B"/>
    <w:rsid w:val="00A63B05"/>
    <w:rsid w:val="00A63D2F"/>
    <w:rsid w:val="00A6408D"/>
    <w:rsid w:val="00A64C38"/>
    <w:rsid w:val="00A64C78"/>
    <w:rsid w:val="00A64CDD"/>
    <w:rsid w:val="00A65296"/>
    <w:rsid w:val="00A65FF3"/>
    <w:rsid w:val="00A6632D"/>
    <w:rsid w:val="00A66373"/>
    <w:rsid w:val="00A664FA"/>
    <w:rsid w:val="00A66AC4"/>
    <w:rsid w:val="00A66C99"/>
    <w:rsid w:val="00A66ED6"/>
    <w:rsid w:val="00A67486"/>
    <w:rsid w:val="00A67739"/>
    <w:rsid w:val="00A677B5"/>
    <w:rsid w:val="00A67BBE"/>
    <w:rsid w:val="00A67F5A"/>
    <w:rsid w:val="00A7010D"/>
    <w:rsid w:val="00A70739"/>
    <w:rsid w:val="00A708CA"/>
    <w:rsid w:val="00A7093A"/>
    <w:rsid w:val="00A70C12"/>
    <w:rsid w:val="00A7119D"/>
    <w:rsid w:val="00A71977"/>
    <w:rsid w:val="00A71B63"/>
    <w:rsid w:val="00A71F3C"/>
    <w:rsid w:val="00A730DC"/>
    <w:rsid w:val="00A73182"/>
    <w:rsid w:val="00A731AD"/>
    <w:rsid w:val="00A7394B"/>
    <w:rsid w:val="00A74011"/>
    <w:rsid w:val="00A7421D"/>
    <w:rsid w:val="00A74878"/>
    <w:rsid w:val="00A748D8"/>
    <w:rsid w:val="00A74B40"/>
    <w:rsid w:val="00A74F34"/>
    <w:rsid w:val="00A75302"/>
    <w:rsid w:val="00A7552B"/>
    <w:rsid w:val="00A755D9"/>
    <w:rsid w:val="00A75820"/>
    <w:rsid w:val="00A75956"/>
    <w:rsid w:val="00A75F9F"/>
    <w:rsid w:val="00A76208"/>
    <w:rsid w:val="00A76B03"/>
    <w:rsid w:val="00A77107"/>
    <w:rsid w:val="00A7743E"/>
    <w:rsid w:val="00A774B5"/>
    <w:rsid w:val="00A77F99"/>
    <w:rsid w:val="00A80C98"/>
    <w:rsid w:val="00A8146F"/>
    <w:rsid w:val="00A817DD"/>
    <w:rsid w:val="00A818E3"/>
    <w:rsid w:val="00A81CF5"/>
    <w:rsid w:val="00A81E4B"/>
    <w:rsid w:val="00A8218C"/>
    <w:rsid w:val="00A826F3"/>
    <w:rsid w:val="00A82E37"/>
    <w:rsid w:val="00A83217"/>
    <w:rsid w:val="00A834FA"/>
    <w:rsid w:val="00A8352D"/>
    <w:rsid w:val="00A83F68"/>
    <w:rsid w:val="00A84297"/>
    <w:rsid w:val="00A8475E"/>
    <w:rsid w:val="00A84F4E"/>
    <w:rsid w:val="00A85298"/>
    <w:rsid w:val="00A858D6"/>
    <w:rsid w:val="00A87926"/>
    <w:rsid w:val="00A9010C"/>
    <w:rsid w:val="00A90161"/>
    <w:rsid w:val="00A901B4"/>
    <w:rsid w:val="00A90917"/>
    <w:rsid w:val="00A91D89"/>
    <w:rsid w:val="00A92073"/>
    <w:rsid w:val="00A92686"/>
    <w:rsid w:val="00A927C8"/>
    <w:rsid w:val="00A92A0D"/>
    <w:rsid w:val="00A93349"/>
    <w:rsid w:val="00A9350A"/>
    <w:rsid w:val="00A93AFF"/>
    <w:rsid w:val="00A93E48"/>
    <w:rsid w:val="00A9419B"/>
    <w:rsid w:val="00A94399"/>
    <w:rsid w:val="00A9450D"/>
    <w:rsid w:val="00A94A1A"/>
    <w:rsid w:val="00A94E34"/>
    <w:rsid w:val="00A94E97"/>
    <w:rsid w:val="00A94EC1"/>
    <w:rsid w:val="00A956B9"/>
    <w:rsid w:val="00A95919"/>
    <w:rsid w:val="00A960F9"/>
    <w:rsid w:val="00A96270"/>
    <w:rsid w:val="00A967BE"/>
    <w:rsid w:val="00A96B57"/>
    <w:rsid w:val="00A96CD4"/>
    <w:rsid w:val="00A96DCA"/>
    <w:rsid w:val="00A97181"/>
    <w:rsid w:val="00A97447"/>
    <w:rsid w:val="00A97879"/>
    <w:rsid w:val="00AA09CE"/>
    <w:rsid w:val="00AA0C66"/>
    <w:rsid w:val="00AA105B"/>
    <w:rsid w:val="00AA1791"/>
    <w:rsid w:val="00AA195E"/>
    <w:rsid w:val="00AA1B7C"/>
    <w:rsid w:val="00AA2312"/>
    <w:rsid w:val="00AA257B"/>
    <w:rsid w:val="00AA27FD"/>
    <w:rsid w:val="00AA2C4E"/>
    <w:rsid w:val="00AA33B4"/>
    <w:rsid w:val="00AA3822"/>
    <w:rsid w:val="00AA38F8"/>
    <w:rsid w:val="00AA3B55"/>
    <w:rsid w:val="00AA3C30"/>
    <w:rsid w:val="00AA4405"/>
    <w:rsid w:val="00AA4496"/>
    <w:rsid w:val="00AA51CB"/>
    <w:rsid w:val="00AA520A"/>
    <w:rsid w:val="00AA5465"/>
    <w:rsid w:val="00AA5547"/>
    <w:rsid w:val="00AA5845"/>
    <w:rsid w:val="00AA5D53"/>
    <w:rsid w:val="00AA6772"/>
    <w:rsid w:val="00AA6A6F"/>
    <w:rsid w:val="00AA6FDB"/>
    <w:rsid w:val="00AA768E"/>
    <w:rsid w:val="00AA77F6"/>
    <w:rsid w:val="00AB040E"/>
    <w:rsid w:val="00AB0466"/>
    <w:rsid w:val="00AB049D"/>
    <w:rsid w:val="00AB078D"/>
    <w:rsid w:val="00AB0C5D"/>
    <w:rsid w:val="00AB1224"/>
    <w:rsid w:val="00AB15D9"/>
    <w:rsid w:val="00AB1607"/>
    <w:rsid w:val="00AB1F6D"/>
    <w:rsid w:val="00AB23D3"/>
    <w:rsid w:val="00AB3132"/>
    <w:rsid w:val="00AB3237"/>
    <w:rsid w:val="00AB337D"/>
    <w:rsid w:val="00AB351F"/>
    <w:rsid w:val="00AB3B2C"/>
    <w:rsid w:val="00AB3C55"/>
    <w:rsid w:val="00AB3F44"/>
    <w:rsid w:val="00AB3F9B"/>
    <w:rsid w:val="00AB3FC8"/>
    <w:rsid w:val="00AB4887"/>
    <w:rsid w:val="00AB491B"/>
    <w:rsid w:val="00AB4B79"/>
    <w:rsid w:val="00AB50DA"/>
    <w:rsid w:val="00AB5B85"/>
    <w:rsid w:val="00AB6345"/>
    <w:rsid w:val="00AB64FF"/>
    <w:rsid w:val="00AB669F"/>
    <w:rsid w:val="00AB674E"/>
    <w:rsid w:val="00AB68D4"/>
    <w:rsid w:val="00AB694D"/>
    <w:rsid w:val="00AB6BF4"/>
    <w:rsid w:val="00AB7271"/>
    <w:rsid w:val="00AB72BA"/>
    <w:rsid w:val="00AB73AC"/>
    <w:rsid w:val="00AB77A8"/>
    <w:rsid w:val="00AC0084"/>
    <w:rsid w:val="00AC0BAE"/>
    <w:rsid w:val="00AC0C93"/>
    <w:rsid w:val="00AC0D08"/>
    <w:rsid w:val="00AC0E06"/>
    <w:rsid w:val="00AC0F2D"/>
    <w:rsid w:val="00AC14CC"/>
    <w:rsid w:val="00AC1F26"/>
    <w:rsid w:val="00AC21E6"/>
    <w:rsid w:val="00AC2532"/>
    <w:rsid w:val="00AC2A9E"/>
    <w:rsid w:val="00AC2B6B"/>
    <w:rsid w:val="00AC2C93"/>
    <w:rsid w:val="00AC2DF3"/>
    <w:rsid w:val="00AC3720"/>
    <w:rsid w:val="00AC3B50"/>
    <w:rsid w:val="00AC3E2A"/>
    <w:rsid w:val="00AC41A1"/>
    <w:rsid w:val="00AC41A4"/>
    <w:rsid w:val="00AC43F1"/>
    <w:rsid w:val="00AC444F"/>
    <w:rsid w:val="00AC46B7"/>
    <w:rsid w:val="00AC4895"/>
    <w:rsid w:val="00AC4DF7"/>
    <w:rsid w:val="00AC4F90"/>
    <w:rsid w:val="00AC6334"/>
    <w:rsid w:val="00AC6BF2"/>
    <w:rsid w:val="00AC7526"/>
    <w:rsid w:val="00AC7542"/>
    <w:rsid w:val="00AC7C2A"/>
    <w:rsid w:val="00AD03AA"/>
    <w:rsid w:val="00AD0475"/>
    <w:rsid w:val="00AD0732"/>
    <w:rsid w:val="00AD0C83"/>
    <w:rsid w:val="00AD0D4D"/>
    <w:rsid w:val="00AD1635"/>
    <w:rsid w:val="00AD1928"/>
    <w:rsid w:val="00AD195D"/>
    <w:rsid w:val="00AD1C76"/>
    <w:rsid w:val="00AD1DA8"/>
    <w:rsid w:val="00AD1FD8"/>
    <w:rsid w:val="00AD226D"/>
    <w:rsid w:val="00AD2527"/>
    <w:rsid w:val="00AD27FA"/>
    <w:rsid w:val="00AD2897"/>
    <w:rsid w:val="00AD2AB9"/>
    <w:rsid w:val="00AD2BFB"/>
    <w:rsid w:val="00AD2EA5"/>
    <w:rsid w:val="00AD2EEB"/>
    <w:rsid w:val="00AD3041"/>
    <w:rsid w:val="00AD3154"/>
    <w:rsid w:val="00AD39CC"/>
    <w:rsid w:val="00AD39CE"/>
    <w:rsid w:val="00AD39F6"/>
    <w:rsid w:val="00AD3A58"/>
    <w:rsid w:val="00AD4389"/>
    <w:rsid w:val="00AD4508"/>
    <w:rsid w:val="00AD46C7"/>
    <w:rsid w:val="00AD470E"/>
    <w:rsid w:val="00AD4897"/>
    <w:rsid w:val="00AD4E4E"/>
    <w:rsid w:val="00AD506D"/>
    <w:rsid w:val="00AD5706"/>
    <w:rsid w:val="00AD5880"/>
    <w:rsid w:val="00AD6705"/>
    <w:rsid w:val="00AD694E"/>
    <w:rsid w:val="00AD6DC1"/>
    <w:rsid w:val="00AD6E28"/>
    <w:rsid w:val="00AD7056"/>
    <w:rsid w:val="00AD71C1"/>
    <w:rsid w:val="00AD77D1"/>
    <w:rsid w:val="00AD7C24"/>
    <w:rsid w:val="00AD7EBD"/>
    <w:rsid w:val="00AD7F6C"/>
    <w:rsid w:val="00AE02B8"/>
    <w:rsid w:val="00AE05D0"/>
    <w:rsid w:val="00AE0D30"/>
    <w:rsid w:val="00AE1394"/>
    <w:rsid w:val="00AE1B61"/>
    <w:rsid w:val="00AE1F3C"/>
    <w:rsid w:val="00AE25E4"/>
    <w:rsid w:val="00AE262E"/>
    <w:rsid w:val="00AE3535"/>
    <w:rsid w:val="00AE3DB7"/>
    <w:rsid w:val="00AE3FF1"/>
    <w:rsid w:val="00AE41A5"/>
    <w:rsid w:val="00AE4728"/>
    <w:rsid w:val="00AE484C"/>
    <w:rsid w:val="00AE4855"/>
    <w:rsid w:val="00AE4ACC"/>
    <w:rsid w:val="00AE4C85"/>
    <w:rsid w:val="00AE5286"/>
    <w:rsid w:val="00AE587D"/>
    <w:rsid w:val="00AE650F"/>
    <w:rsid w:val="00AE65EA"/>
    <w:rsid w:val="00AE6EC6"/>
    <w:rsid w:val="00AF06CF"/>
    <w:rsid w:val="00AF0E93"/>
    <w:rsid w:val="00AF0FEA"/>
    <w:rsid w:val="00AF1132"/>
    <w:rsid w:val="00AF159C"/>
    <w:rsid w:val="00AF16E8"/>
    <w:rsid w:val="00AF190B"/>
    <w:rsid w:val="00AF1B3A"/>
    <w:rsid w:val="00AF1CC8"/>
    <w:rsid w:val="00AF24F4"/>
    <w:rsid w:val="00AF2AFC"/>
    <w:rsid w:val="00AF2C58"/>
    <w:rsid w:val="00AF32A8"/>
    <w:rsid w:val="00AF3604"/>
    <w:rsid w:val="00AF37BB"/>
    <w:rsid w:val="00AF4CE7"/>
    <w:rsid w:val="00AF4E9C"/>
    <w:rsid w:val="00AF4F48"/>
    <w:rsid w:val="00AF5463"/>
    <w:rsid w:val="00AF591A"/>
    <w:rsid w:val="00AF6141"/>
    <w:rsid w:val="00AF6243"/>
    <w:rsid w:val="00AF6247"/>
    <w:rsid w:val="00AF627A"/>
    <w:rsid w:val="00AF67D8"/>
    <w:rsid w:val="00AF689E"/>
    <w:rsid w:val="00AF725C"/>
    <w:rsid w:val="00AF7286"/>
    <w:rsid w:val="00AF740C"/>
    <w:rsid w:val="00AF7970"/>
    <w:rsid w:val="00AF7A87"/>
    <w:rsid w:val="00B00057"/>
    <w:rsid w:val="00B003FD"/>
    <w:rsid w:val="00B0128C"/>
    <w:rsid w:val="00B01359"/>
    <w:rsid w:val="00B0162B"/>
    <w:rsid w:val="00B01A60"/>
    <w:rsid w:val="00B01CA3"/>
    <w:rsid w:val="00B01CF3"/>
    <w:rsid w:val="00B01F10"/>
    <w:rsid w:val="00B0206F"/>
    <w:rsid w:val="00B02096"/>
    <w:rsid w:val="00B020A8"/>
    <w:rsid w:val="00B022D7"/>
    <w:rsid w:val="00B02468"/>
    <w:rsid w:val="00B024D9"/>
    <w:rsid w:val="00B03785"/>
    <w:rsid w:val="00B03E2A"/>
    <w:rsid w:val="00B03E47"/>
    <w:rsid w:val="00B04299"/>
    <w:rsid w:val="00B04336"/>
    <w:rsid w:val="00B0435B"/>
    <w:rsid w:val="00B04421"/>
    <w:rsid w:val="00B048EB"/>
    <w:rsid w:val="00B04D2F"/>
    <w:rsid w:val="00B05909"/>
    <w:rsid w:val="00B06088"/>
    <w:rsid w:val="00B06186"/>
    <w:rsid w:val="00B0663F"/>
    <w:rsid w:val="00B0678D"/>
    <w:rsid w:val="00B068A1"/>
    <w:rsid w:val="00B06C95"/>
    <w:rsid w:val="00B074A6"/>
    <w:rsid w:val="00B07E69"/>
    <w:rsid w:val="00B07E78"/>
    <w:rsid w:val="00B102C0"/>
    <w:rsid w:val="00B102EF"/>
    <w:rsid w:val="00B106A7"/>
    <w:rsid w:val="00B10887"/>
    <w:rsid w:val="00B110CC"/>
    <w:rsid w:val="00B114CD"/>
    <w:rsid w:val="00B11707"/>
    <w:rsid w:val="00B117A0"/>
    <w:rsid w:val="00B11918"/>
    <w:rsid w:val="00B11A52"/>
    <w:rsid w:val="00B11B53"/>
    <w:rsid w:val="00B11C45"/>
    <w:rsid w:val="00B125A7"/>
    <w:rsid w:val="00B12A4A"/>
    <w:rsid w:val="00B12B32"/>
    <w:rsid w:val="00B13047"/>
    <w:rsid w:val="00B134A3"/>
    <w:rsid w:val="00B136BB"/>
    <w:rsid w:val="00B13924"/>
    <w:rsid w:val="00B139EA"/>
    <w:rsid w:val="00B14654"/>
    <w:rsid w:val="00B14A39"/>
    <w:rsid w:val="00B14D53"/>
    <w:rsid w:val="00B157E0"/>
    <w:rsid w:val="00B15A3E"/>
    <w:rsid w:val="00B15A6E"/>
    <w:rsid w:val="00B15CF2"/>
    <w:rsid w:val="00B15CFF"/>
    <w:rsid w:val="00B1673F"/>
    <w:rsid w:val="00B16D42"/>
    <w:rsid w:val="00B173D3"/>
    <w:rsid w:val="00B17462"/>
    <w:rsid w:val="00B2007F"/>
    <w:rsid w:val="00B20487"/>
    <w:rsid w:val="00B2139B"/>
    <w:rsid w:val="00B215E1"/>
    <w:rsid w:val="00B2175C"/>
    <w:rsid w:val="00B2185B"/>
    <w:rsid w:val="00B21F03"/>
    <w:rsid w:val="00B2204D"/>
    <w:rsid w:val="00B2205C"/>
    <w:rsid w:val="00B2217B"/>
    <w:rsid w:val="00B22457"/>
    <w:rsid w:val="00B2247D"/>
    <w:rsid w:val="00B2281F"/>
    <w:rsid w:val="00B2283F"/>
    <w:rsid w:val="00B2285D"/>
    <w:rsid w:val="00B22CAE"/>
    <w:rsid w:val="00B23219"/>
    <w:rsid w:val="00B2325C"/>
    <w:rsid w:val="00B237C5"/>
    <w:rsid w:val="00B23825"/>
    <w:rsid w:val="00B2394E"/>
    <w:rsid w:val="00B23C68"/>
    <w:rsid w:val="00B23EE5"/>
    <w:rsid w:val="00B24902"/>
    <w:rsid w:val="00B249B8"/>
    <w:rsid w:val="00B24CC6"/>
    <w:rsid w:val="00B258E7"/>
    <w:rsid w:val="00B258EF"/>
    <w:rsid w:val="00B25C5A"/>
    <w:rsid w:val="00B25FC5"/>
    <w:rsid w:val="00B26153"/>
    <w:rsid w:val="00B26AD9"/>
    <w:rsid w:val="00B26FE3"/>
    <w:rsid w:val="00B270A6"/>
    <w:rsid w:val="00B27234"/>
    <w:rsid w:val="00B2773A"/>
    <w:rsid w:val="00B2773F"/>
    <w:rsid w:val="00B277AE"/>
    <w:rsid w:val="00B27C5C"/>
    <w:rsid w:val="00B30665"/>
    <w:rsid w:val="00B30847"/>
    <w:rsid w:val="00B30D79"/>
    <w:rsid w:val="00B31E2F"/>
    <w:rsid w:val="00B3227B"/>
    <w:rsid w:val="00B322EC"/>
    <w:rsid w:val="00B323E7"/>
    <w:rsid w:val="00B3245D"/>
    <w:rsid w:val="00B32D91"/>
    <w:rsid w:val="00B32DC2"/>
    <w:rsid w:val="00B32EF0"/>
    <w:rsid w:val="00B33180"/>
    <w:rsid w:val="00B33864"/>
    <w:rsid w:val="00B33C54"/>
    <w:rsid w:val="00B33E7A"/>
    <w:rsid w:val="00B33EC8"/>
    <w:rsid w:val="00B34636"/>
    <w:rsid w:val="00B3472E"/>
    <w:rsid w:val="00B34846"/>
    <w:rsid w:val="00B34B29"/>
    <w:rsid w:val="00B34C84"/>
    <w:rsid w:val="00B34E95"/>
    <w:rsid w:val="00B34ECA"/>
    <w:rsid w:val="00B34FC7"/>
    <w:rsid w:val="00B35239"/>
    <w:rsid w:val="00B356E9"/>
    <w:rsid w:val="00B35704"/>
    <w:rsid w:val="00B35E66"/>
    <w:rsid w:val="00B3628A"/>
    <w:rsid w:val="00B3631D"/>
    <w:rsid w:val="00B36D48"/>
    <w:rsid w:val="00B36D94"/>
    <w:rsid w:val="00B37ED5"/>
    <w:rsid w:val="00B37F29"/>
    <w:rsid w:val="00B40048"/>
    <w:rsid w:val="00B4032B"/>
    <w:rsid w:val="00B403B4"/>
    <w:rsid w:val="00B40450"/>
    <w:rsid w:val="00B40AB6"/>
    <w:rsid w:val="00B4197A"/>
    <w:rsid w:val="00B4220D"/>
    <w:rsid w:val="00B42A90"/>
    <w:rsid w:val="00B42E87"/>
    <w:rsid w:val="00B4310A"/>
    <w:rsid w:val="00B4337E"/>
    <w:rsid w:val="00B433EE"/>
    <w:rsid w:val="00B43538"/>
    <w:rsid w:val="00B43AC3"/>
    <w:rsid w:val="00B445BE"/>
    <w:rsid w:val="00B44757"/>
    <w:rsid w:val="00B4503F"/>
    <w:rsid w:val="00B45104"/>
    <w:rsid w:val="00B4510C"/>
    <w:rsid w:val="00B452C6"/>
    <w:rsid w:val="00B45414"/>
    <w:rsid w:val="00B4549B"/>
    <w:rsid w:val="00B45AD7"/>
    <w:rsid w:val="00B45ADC"/>
    <w:rsid w:val="00B469F1"/>
    <w:rsid w:val="00B46B39"/>
    <w:rsid w:val="00B47054"/>
    <w:rsid w:val="00B47217"/>
    <w:rsid w:val="00B474BA"/>
    <w:rsid w:val="00B4769A"/>
    <w:rsid w:val="00B47DC0"/>
    <w:rsid w:val="00B50012"/>
    <w:rsid w:val="00B5062B"/>
    <w:rsid w:val="00B50FC1"/>
    <w:rsid w:val="00B51697"/>
    <w:rsid w:val="00B5176B"/>
    <w:rsid w:val="00B518B1"/>
    <w:rsid w:val="00B52246"/>
    <w:rsid w:val="00B52DAE"/>
    <w:rsid w:val="00B52E58"/>
    <w:rsid w:val="00B52FE8"/>
    <w:rsid w:val="00B53414"/>
    <w:rsid w:val="00B535CC"/>
    <w:rsid w:val="00B53AB9"/>
    <w:rsid w:val="00B53B0B"/>
    <w:rsid w:val="00B53BFF"/>
    <w:rsid w:val="00B53E15"/>
    <w:rsid w:val="00B54886"/>
    <w:rsid w:val="00B548AE"/>
    <w:rsid w:val="00B5512E"/>
    <w:rsid w:val="00B55647"/>
    <w:rsid w:val="00B55848"/>
    <w:rsid w:val="00B55C17"/>
    <w:rsid w:val="00B562AC"/>
    <w:rsid w:val="00B56585"/>
    <w:rsid w:val="00B5685C"/>
    <w:rsid w:val="00B5706E"/>
    <w:rsid w:val="00B5740E"/>
    <w:rsid w:val="00B57499"/>
    <w:rsid w:val="00B57EFA"/>
    <w:rsid w:val="00B601AB"/>
    <w:rsid w:val="00B603A7"/>
    <w:rsid w:val="00B609DD"/>
    <w:rsid w:val="00B60A3B"/>
    <w:rsid w:val="00B60ABD"/>
    <w:rsid w:val="00B60CB6"/>
    <w:rsid w:val="00B61338"/>
    <w:rsid w:val="00B618EB"/>
    <w:rsid w:val="00B6241F"/>
    <w:rsid w:val="00B62DCF"/>
    <w:rsid w:val="00B62F87"/>
    <w:rsid w:val="00B6331A"/>
    <w:rsid w:val="00B6347D"/>
    <w:rsid w:val="00B63B5C"/>
    <w:rsid w:val="00B63D32"/>
    <w:rsid w:val="00B64204"/>
    <w:rsid w:val="00B64C5C"/>
    <w:rsid w:val="00B64D83"/>
    <w:rsid w:val="00B6515B"/>
    <w:rsid w:val="00B654A5"/>
    <w:rsid w:val="00B654FB"/>
    <w:rsid w:val="00B65F56"/>
    <w:rsid w:val="00B66573"/>
    <w:rsid w:val="00B6672E"/>
    <w:rsid w:val="00B66D3F"/>
    <w:rsid w:val="00B672EF"/>
    <w:rsid w:val="00B677E5"/>
    <w:rsid w:val="00B70647"/>
    <w:rsid w:val="00B709E4"/>
    <w:rsid w:val="00B70C11"/>
    <w:rsid w:val="00B71012"/>
    <w:rsid w:val="00B718CC"/>
    <w:rsid w:val="00B71A0C"/>
    <w:rsid w:val="00B71D1B"/>
    <w:rsid w:val="00B71E96"/>
    <w:rsid w:val="00B72697"/>
    <w:rsid w:val="00B729EC"/>
    <w:rsid w:val="00B7312D"/>
    <w:rsid w:val="00B73641"/>
    <w:rsid w:val="00B73883"/>
    <w:rsid w:val="00B73F57"/>
    <w:rsid w:val="00B747F8"/>
    <w:rsid w:val="00B74C75"/>
    <w:rsid w:val="00B751E4"/>
    <w:rsid w:val="00B7527D"/>
    <w:rsid w:val="00B754BC"/>
    <w:rsid w:val="00B755B4"/>
    <w:rsid w:val="00B75B59"/>
    <w:rsid w:val="00B76512"/>
    <w:rsid w:val="00B76C4E"/>
    <w:rsid w:val="00B7700E"/>
    <w:rsid w:val="00B773A1"/>
    <w:rsid w:val="00B77810"/>
    <w:rsid w:val="00B77BB6"/>
    <w:rsid w:val="00B805BA"/>
    <w:rsid w:val="00B8061E"/>
    <w:rsid w:val="00B806CC"/>
    <w:rsid w:val="00B8073A"/>
    <w:rsid w:val="00B8082A"/>
    <w:rsid w:val="00B81008"/>
    <w:rsid w:val="00B81260"/>
    <w:rsid w:val="00B81812"/>
    <w:rsid w:val="00B81BF1"/>
    <w:rsid w:val="00B81C2B"/>
    <w:rsid w:val="00B81FFD"/>
    <w:rsid w:val="00B82CC7"/>
    <w:rsid w:val="00B82DC9"/>
    <w:rsid w:val="00B82E62"/>
    <w:rsid w:val="00B83001"/>
    <w:rsid w:val="00B830C3"/>
    <w:rsid w:val="00B8408D"/>
    <w:rsid w:val="00B848F9"/>
    <w:rsid w:val="00B8564D"/>
    <w:rsid w:val="00B85D3E"/>
    <w:rsid w:val="00B85FB3"/>
    <w:rsid w:val="00B86346"/>
    <w:rsid w:val="00B86BAB"/>
    <w:rsid w:val="00B86DEE"/>
    <w:rsid w:val="00B87853"/>
    <w:rsid w:val="00B87B62"/>
    <w:rsid w:val="00B87CC4"/>
    <w:rsid w:val="00B9026F"/>
    <w:rsid w:val="00B90A53"/>
    <w:rsid w:val="00B90E58"/>
    <w:rsid w:val="00B91097"/>
    <w:rsid w:val="00B9111A"/>
    <w:rsid w:val="00B91169"/>
    <w:rsid w:val="00B91262"/>
    <w:rsid w:val="00B91425"/>
    <w:rsid w:val="00B915DC"/>
    <w:rsid w:val="00B91A2E"/>
    <w:rsid w:val="00B91ABA"/>
    <w:rsid w:val="00B91C4C"/>
    <w:rsid w:val="00B91F23"/>
    <w:rsid w:val="00B9252B"/>
    <w:rsid w:val="00B93467"/>
    <w:rsid w:val="00B940DD"/>
    <w:rsid w:val="00B943AD"/>
    <w:rsid w:val="00B94C85"/>
    <w:rsid w:val="00B94DE0"/>
    <w:rsid w:val="00B955DE"/>
    <w:rsid w:val="00B9596D"/>
    <w:rsid w:val="00B959C7"/>
    <w:rsid w:val="00B95EC9"/>
    <w:rsid w:val="00B969DF"/>
    <w:rsid w:val="00B96E86"/>
    <w:rsid w:val="00B96F40"/>
    <w:rsid w:val="00B97AB2"/>
    <w:rsid w:val="00BA0552"/>
    <w:rsid w:val="00BA0CE3"/>
    <w:rsid w:val="00BA0EF4"/>
    <w:rsid w:val="00BA0F65"/>
    <w:rsid w:val="00BA1879"/>
    <w:rsid w:val="00BA274F"/>
    <w:rsid w:val="00BA2BF0"/>
    <w:rsid w:val="00BA2F18"/>
    <w:rsid w:val="00BA2F41"/>
    <w:rsid w:val="00BA3B9D"/>
    <w:rsid w:val="00BA3BB8"/>
    <w:rsid w:val="00BA3C73"/>
    <w:rsid w:val="00BA3F15"/>
    <w:rsid w:val="00BA484B"/>
    <w:rsid w:val="00BA4896"/>
    <w:rsid w:val="00BA4EDB"/>
    <w:rsid w:val="00BA53F4"/>
    <w:rsid w:val="00BA5D2B"/>
    <w:rsid w:val="00BA5E79"/>
    <w:rsid w:val="00BA5F80"/>
    <w:rsid w:val="00BA600C"/>
    <w:rsid w:val="00BA6052"/>
    <w:rsid w:val="00BA60FB"/>
    <w:rsid w:val="00BA62EF"/>
    <w:rsid w:val="00BA6E59"/>
    <w:rsid w:val="00BA6E6B"/>
    <w:rsid w:val="00BA71FF"/>
    <w:rsid w:val="00BA73D5"/>
    <w:rsid w:val="00BA7BAC"/>
    <w:rsid w:val="00BA7E9C"/>
    <w:rsid w:val="00BB030C"/>
    <w:rsid w:val="00BB05EC"/>
    <w:rsid w:val="00BB0B31"/>
    <w:rsid w:val="00BB0C41"/>
    <w:rsid w:val="00BB0EC4"/>
    <w:rsid w:val="00BB0F6C"/>
    <w:rsid w:val="00BB18FD"/>
    <w:rsid w:val="00BB1A30"/>
    <w:rsid w:val="00BB1B21"/>
    <w:rsid w:val="00BB1C5F"/>
    <w:rsid w:val="00BB2221"/>
    <w:rsid w:val="00BB2CCF"/>
    <w:rsid w:val="00BB3176"/>
    <w:rsid w:val="00BB39BB"/>
    <w:rsid w:val="00BB50EB"/>
    <w:rsid w:val="00BB52D7"/>
    <w:rsid w:val="00BB54B4"/>
    <w:rsid w:val="00BB568B"/>
    <w:rsid w:val="00BB59FB"/>
    <w:rsid w:val="00BB5D4C"/>
    <w:rsid w:val="00BB6719"/>
    <w:rsid w:val="00BB67BB"/>
    <w:rsid w:val="00BB74A8"/>
    <w:rsid w:val="00BB778F"/>
    <w:rsid w:val="00BB7EB3"/>
    <w:rsid w:val="00BC032F"/>
    <w:rsid w:val="00BC0360"/>
    <w:rsid w:val="00BC094C"/>
    <w:rsid w:val="00BC0E78"/>
    <w:rsid w:val="00BC10C0"/>
    <w:rsid w:val="00BC17AE"/>
    <w:rsid w:val="00BC1968"/>
    <w:rsid w:val="00BC24C2"/>
    <w:rsid w:val="00BC267E"/>
    <w:rsid w:val="00BC306F"/>
    <w:rsid w:val="00BC36E2"/>
    <w:rsid w:val="00BC3713"/>
    <w:rsid w:val="00BC3B6E"/>
    <w:rsid w:val="00BC3E3A"/>
    <w:rsid w:val="00BC40F1"/>
    <w:rsid w:val="00BC41BA"/>
    <w:rsid w:val="00BC4899"/>
    <w:rsid w:val="00BC4CA8"/>
    <w:rsid w:val="00BC5834"/>
    <w:rsid w:val="00BC5C75"/>
    <w:rsid w:val="00BC5D40"/>
    <w:rsid w:val="00BC6D3B"/>
    <w:rsid w:val="00BC7E8D"/>
    <w:rsid w:val="00BD07CF"/>
    <w:rsid w:val="00BD0A8C"/>
    <w:rsid w:val="00BD0AAA"/>
    <w:rsid w:val="00BD0C9A"/>
    <w:rsid w:val="00BD1090"/>
    <w:rsid w:val="00BD11C8"/>
    <w:rsid w:val="00BD17F8"/>
    <w:rsid w:val="00BD1ED8"/>
    <w:rsid w:val="00BD3274"/>
    <w:rsid w:val="00BD3345"/>
    <w:rsid w:val="00BD3B66"/>
    <w:rsid w:val="00BD4557"/>
    <w:rsid w:val="00BD47A6"/>
    <w:rsid w:val="00BD4C3D"/>
    <w:rsid w:val="00BD520C"/>
    <w:rsid w:val="00BD56D5"/>
    <w:rsid w:val="00BD56DF"/>
    <w:rsid w:val="00BD5903"/>
    <w:rsid w:val="00BD590A"/>
    <w:rsid w:val="00BD60CB"/>
    <w:rsid w:val="00BD6608"/>
    <w:rsid w:val="00BD6876"/>
    <w:rsid w:val="00BD717B"/>
    <w:rsid w:val="00BD71AB"/>
    <w:rsid w:val="00BD76C4"/>
    <w:rsid w:val="00BD7E03"/>
    <w:rsid w:val="00BE01EB"/>
    <w:rsid w:val="00BE08ED"/>
    <w:rsid w:val="00BE09D9"/>
    <w:rsid w:val="00BE0D69"/>
    <w:rsid w:val="00BE13F9"/>
    <w:rsid w:val="00BE16E4"/>
    <w:rsid w:val="00BE198F"/>
    <w:rsid w:val="00BE1E3D"/>
    <w:rsid w:val="00BE2403"/>
    <w:rsid w:val="00BE26A5"/>
    <w:rsid w:val="00BE2714"/>
    <w:rsid w:val="00BE27CF"/>
    <w:rsid w:val="00BE284E"/>
    <w:rsid w:val="00BE2C4D"/>
    <w:rsid w:val="00BE3585"/>
    <w:rsid w:val="00BE36D8"/>
    <w:rsid w:val="00BE3DD0"/>
    <w:rsid w:val="00BE44BF"/>
    <w:rsid w:val="00BE4D38"/>
    <w:rsid w:val="00BE5234"/>
    <w:rsid w:val="00BE5CCB"/>
    <w:rsid w:val="00BE60B5"/>
    <w:rsid w:val="00BE68FE"/>
    <w:rsid w:val="00BE6B67"/>
    <w:rsid w:val="00BE71EF"/>
    <w:rsid w:val="00BE755F"/>
    <w:rsid w:val="00BE7604"/>
    <w:rsid w:val="00BE79B7"/>
    <w:rsid w:val="00BE7F69"/>
    <w:rsid w:val="00BF0197"/>
    <w:rsid w:val="00BF021F"/>
    <w:rsid w:val="00BF032D"/>
    <w:rsid w:val="00BF0A9C"/>
    <w:rsid w:val="00BF0FAB"/>
    <w:rsid w:val="00BF10C5"/>
    <w:rsid w:val="00BF11A1"/>
    <w:rsid w:val="00BF132E"/>
    <w:rsid w:val="00BF1604"/>
    <w:rsid w:val="00BF164F"/>
    <w:rsid w:val="00BF17A7"/>
    <w:rsid w:val="00BF216F"/>
    <w:rsid w:val="00BF2C0C"/>
    <w:rsid w:val="00BF2CA5"/>
    <w:rsid w:val="00BF3354"/>
    <w:rsid w:val="00BF3AF8"/>
    <w:rsid w:val="00BF3B38"/>
    <w:rsid w:val="00BF3B5E"/>
    <w:rsid w:val="00BF3F03"/>
    <w:rsid w:val="00BF3F20"/>
    <w:rsid w:val="00BF44EA"/>
    <w:rsid w:val="00BF4CFF"/>
    <w:rsid w:val="00BF4F9D"/>
    <w:rsid w:val="00BF56C1"/>
    <w:rsid w:val="00BF594F"/>
    <w:rsid w:val="00BF61BB"/>
    <w:rsid w:val="00BF630A"/>
    <w:rsid w:val="00BF64E0"/>
    <w:rsid w:val="00BF6555"/>
    <w:rsid w:val="00BF6FEF"/>
    <w:rsid w:val="00BF7082"/>
    <w:rsid w:val="00BF7A63"/>
    <w:rsid w:val="00BF7E1B"/>
    <w:rsid w:val="00BF7F52"/>
    <w:rsid w:val="00C0094C"/>
    <w:rsid w:val="00C00E2A"/>
    <w:rsid w:val="00C01049"/>
    <w:rsid w:val="00C0140F"/>
    <w:rsid w:val="00C018D3"/>
    <w:rsid w:val="00C01A37"/>
    <w:rsid w:val="00C01A80"/>
    <w:rsid w:val="00C01AE7"/>
    <w:rsid w:val="00C022E5"/>
    <w:rsid w:val="00C027D9"/>
    <w:rsid w:val="00C02C5D"/>
    <w:rsid w:val="00C02E05"/>
    <w:rsid w:val="00C02E6E"/>
    <w:rsid w:val="00C03020"/>
    <w:rsid w:val="00C0335A"/>
    <w:rsid w:val="00C037EF"/>
    <w:rsid w:val="00C038A8"/>
    <w:rsid w:val="00C03914"/>
    <w:rsid w:val="00C03CF1"/>
    <w:rsid w:val="00C03DE9"/>
    <w:rsid w:val="00C04466"/>
    <w:rsid w:val="00C046BD"/>
    <w:rsid w:val="00C048A1"/>
    <w:rsid w:val="00C0534A"/>
    <w:rsid w:val="00C05D3B"/>
    <w:rsid w:val="00C060E9"/>
    <w:rsid w:val="00C06376"/>
    <w:rsid w:val="00C065FA"/>
    <w:rsid w:val="00C06D90"/>
    <w:rsid w:val="00C06FC3"/>
    <w:rsid w:val="00C0705D"/>
    <w:rsid w:val="00C074BF"/>
    <w:rsid w:val="00C0753B"/>
    <w:rsid w:val="00C07569"/>
    <w:rsid w:val="00C07B4B"/>
    <w:rsid w:val="00C07CED"/>
    <w:rsid w:val="00C1006E"/>
    <w:rsid w:val="00C10127"/>
    <w:rsid w:val="00C11158"/>
    <w:rsid w:val="00C116AE"/>
    <w:rsid w:val="00C1203D"/>
    <w:rsid w:val="00C1226E"/>
    <w:rsid w:val="00C12344"/>
    <w:rsid w:val="00C128E0"/>
    <w:rsid w:val="00C12946"/>
    <w:rsid w:val="00C12C80"/>
    <w:rsid w:val="00C139F0"/>
    <w:rsid w:val="00C13CA8"/>
    <w:rsid w:val="00C13E0C"/>
    <w:rsid w:val="00C141EE"/>
    <w:rsid w:val="00C146F9"/>
    <w:rsid w:val="00C148D7"/>
    <w:rsid w:val="00C14FDC"/>
    <w:rsid w:val="00C1537A"/>
    <w:rsid w:val="00C158C7"/>
    <w:rsid w:val="00C160E7"/>
    <w:rsid w:val="00C16114"/>
    <w:rsid w:val="00C16169"/>
    <w:rsid w:val="00C162B1"/>
    <w:rsid w:val="00C1643E"/>
    <w:rsid w:val="00C167FF"/>
    <w:rsid w:val="00C170CA"/>
    <w:rsid w:val="00C17312"/>
    <w:rsid w:val="00C1732C"/>
    <w:rsid w:val="00C1748C"/>
    <w:rsid w:val="00C17B68"/>
    <w:rsid w:val="00C2030E"/>
    <w:rsid w:val="00C207C0"/>
    <w:rsid w:val="00C20E02"/>
    <w:rsid w:val="00C21124"/>
    <w:rsid w:val="00C223DA"/>
    <w:rsid w:val="00C22697"/>
    <w:rsid w:val="00C22711"/>
    <w:rsid w:val="00C22742"/>
    <w:rsid w:val="00C22A18"/>
    <w:rsid w:val="00C23408"/>
    <w:rsid w:val="00C23A32"/>
    <w:rsid w:val="00C23A70"/>
    <w:rsid w:val="00C23F3E"/>
    <w:rsid w:val="00C2429A"/>
    <w:rsid w:val="00C247DA"/>
    <w:rsid w:val="00C256B0"/>
    <w:rsid w:val="00C25E44"/>
    <w:rsid w:val="00C2656F"/>
    <w:rsid w:val="00C26B96"/>
    <w:rsid w:val="00C26D39"/>
    <w:rsid w:val="00C26EC1"/>
    <w:rsid w:val="00C26F79"/>
    <w:rsid w:val="00C271E5"/>
    <w:rsid w:val="00C273A6"/>
    <w:rsid w:val="00C275E4"/>
    <w:rsid w:val="00C27765"/>
    <w:rsid w:val="00C279BF"/>
    <w:rsid w:val="00C27D1C"/>
    <w:rsid w:val="00C27E81"/>
    <w:rsid w:val="00C3071C"/>
    <w:rsid w:val="00C3072A"/>
    <w:rsid w:val="00C308B2"/>
    <w:rsid w:val="00C308E4"/>
    <w:rsid w:val="00C31242"/>
    <w:rsid w:val="00C312AB"/>
    <w:rsid w:val="00C3154C"/>
    <w:rsid w:val="00C315CA"/>
    <w:rsid w:val="00C32F96"/>
    <w:rsid w:val="00C33304"/>
    <w:rsid w:val="00C339C4"/>
    <w:rsid w:val="00C34144"/>
    <w:rsid w:val="00C3480E"/>
    <w:rsid w:val="00C34F2D"/>
    <w:rsid w:val="00C35007"/>
    <w:rsid w:val="00C35711"/>
    <w:rsid w:val="00C3631C"/>
    <w:rsid w:val="00C36448"/>
    <w:rsid w:val="00C367E0"/>
    <w:rsid w:val="00C368B2"/>
    <w:rsid w:val="00C37359"/>
    <w:rsid w:val="00C377D8"/>
    <w:rsid w:val="00C40668"/>
    <w:rsid w:val="00C40759"/>
    <w:rsid w:val="00C40FBF"/>
    <w:rsid w:val="00C41023"/>
    <w:rsid w:val="00C41112"/>
    <w:rsid w:val="00C41124"/>
    <w:rsid w:val="00C411C1"/>
    <w:rsid w:val="00C41458"/>
    <w:rsid w:val="00C41515"/>
    <w:rsid w:val="00C4155C"/>
    <w:rsid w:val="00C4155D"/>
    <w:rsid w:val="00C41821"/>
    <w:rsid w:val="00C41A15"/>
    <w:rsid w:val="00C41AAA"/>
    <w:rsid w:val="00C426EF"/>
    <w:rsid w:val="00C427A9"/>
    <w:rsid w:val="00C428EB"/>
    <w:rsid w:val="00C42B79"/>
    <w:rsid w:val="00C42EA5"/>
    <w:rsid w:val="00C43B74"/>
    <w:rsid w:val="00C43DB8"/>
    <w:rsid w:val="00C4417A"/>
    <w:rsid w:val="00C441C2"/>
    <w:rsid w:val="00C44412"/>
    <w:rsid w:val="00C44CC6"/>
    <w:rsid w:val="00C45352"/>
    <w:rsid w:val="00C45728"/>
    <w:rsid w:val="00C45E19"/>
    <w:rsid w:val="00C46372"/>
    <w:rsid w:val="00C466DA"/>
    <w:rsid w:val="00C46A61"/>
    <w:rsid w:val="00C46C51"/>
    <w:rsid w:val="00C471F1"/>
    <w:rsid w:val="00C4734B"/>
    <w:rsid w:val="00C4761A"/>
    <w:rsid w:val="00C47889"/>
    <w:rsid w:val="00C47D78"/>
    <w:rsid w:val="00C47E96"/>
    <w:rsid w:val="00C504B3"/>
    <w:rsid w:val="00C509C6"/>
    <w:rsid w:val="00C51045"/>
    <w:rsid w:val="00C51C25"/>
    <w:rsid w:val="00C520F6"/>
    <w:rsid w:val="00C524C5"/>
    <w:rsid w:val="00C52A86"/>
    <w:rsid w:val="00C52B81"/>
    <w:rsid w:val="00C52C23"/>
    <w:rsid w:val="00C52E50"/>
    <w:rsid w:val="00C531B7"/>
    <w:rsid w:val="00C5331F"/>
    <w:rsid w:val="00C53AE8"/>
    <w:rsid w:val="00C53EBB"/>
    <w:rsid w:val="00C54052"/>
    <w:rsid w:val="00C5512E"/>
    <w:rsid w:val="00C55696"/>
    <w:rsid w:val="00C557BB"/>
    <w:rsid w:val="00C55A3C"/>
    <w:rsid w:val="00C56053"/>
    <w:rsid w:val="00C563FE"/>
    <w:rsid w:val="00C56A53"/>
    <w:rsid w:val="00C56E90"/>
    <w:rsid w:val="00C56F77"/>
    <w:rsid w:val="00C572A4"/>
    <w:rsid w:val="00C574E9"/>
    <w:rsid w:val="00C57A77"/>
    <w:rsid w:val="00C57E02"/>
    <w:rsid w:val="00C6010F"/>
    <w:rsid w:val="00C6035D"/>
    <w:rsid w:val="00C60398"/>
    <w:rsid w:val="00C6088B"/>
    <w:rsid w:val="00C6128F"/>
    <w:rsid w:val="00C61778"/>
    <w:rsid w:val="00C61790"/>
    <w:rsid w:val="00C61A77"/>
    <w:rsid w:val="00C61D59"/>
    <w:rsid w:val="00C62163"/>
    <w:rsid w:val="00C63CB2"/>
    <w:rsid w:val="00C63D12"/>
    <w:rsid w:val="00C64021"/>
    <w:rsid w:val="00C641A9"/>
    <w:rsid w:val="00C6450A"/>
    <w:rsid w:val="00C64A81"/>
    <w:rsid w:val="00C64DCA"/>
    <w:rsid w:val="00C64F57"/>
    <w:rsid w:val="00C64F69"/>
    <w:rsid w:val="00C6512D"/>
    <w:rsid w:val="00C654A2"/>
    <w:rsid w:val="00C6558A"/>
    <w:rsid w:val="00C657CE"/>
    <w:rsid w:val="00C660E5"/>
    <w:rsid w:val="00C6647F"/>
    <w:rsid w:val="00C66507"/>
    <w:rsid w:val="00C66707"/>
    <w:rsid w:val="00C6684E"/>
    <w:rsid w:val="00C6716D"/>
    <w:rsid w:val="00C672A7"/>
    <w:rsid w:val="00C67494"/>
    <w:rsid w:val="00C67671"/>
    <w:rsid w:val="00C679E5"/>
    <w:rsid w:val="00C67F7F"/>
    <w:rsid w:val="00C70121"/>
    <w:rsid w:val="00C70834"/>
    <w:rsid w:val="00C70C14"/>
    <w:rsid w:val="00C70D57"/>
    <w:rsid w:val="00C70DC0"/>
    <w:rsid w:val="00C710BA"/>
    <w:rsid w:val="00C712F6"/>
    <w:rsid w:val="00C7135B"/>
    <w:rsid w:val="00C714F6"/>
    <w:rsid w:val="00C71ACD"/>
    <w:rsid w:val="00C71F70"/>
    <w:rsid w:val="00C72137"/>
    <w:rsid w:val="00C7256E"/>
    <w:rsid w:val="00C72A0E"/>
    <w:rsid w:val="00C73172"/>
    <w:rsid w:val="00C732DE"/>
    <w:rsid w:val="00C7347E"/>
    <w:rsid w:val="00C73895"/>
    <w:rsid w:val="00C73FB3"/>
    <w:rsid w:val="00C73FF9"/>
    <w:rsid w:val="00C7419C"/>
    <w:rsid w:val="00C745DD"/>
    <w:rsid w:val="00C749FE"/>
    <w:rsid w:val="00C74D08"/>
    <w:rsid w:val="00C75178"/>
    <w:rsid w:val="00C75C68"/>
    <w:rsid w:val="00C75E9A"/>
    <w:rsid w:val="00C75EF9"/>
    <w:rsid w:val="00C75F78"/>
    <w:rsid w:val="00C7619C"/>
    <w:rsid w:val="00C7629D"/>
    <w:rsid w:val="00C762A2"/>
    <w:rsid w:val="00C762D3"/>
    <w:rsid w:val="00C76523"/>
    <w:rsid w:val="00C76B3D"/>
    <w:rsid w:val="00C775DF"/>
    <w:rsid w:val="00C77757"/>
    <w:rsid w:val="00C804F2"/>
    <w:rsid w:val="00C807BC"/>
    <w:rsid w:val="00C80DA3"/>
    <w:rsid w:val="00C812DA"/>
    <w:rsid w:val="00C81487"/>
    <w:rsid w:val="00C8190C"/>
    <w:rsid w:val="00C81F47"/>
    <w:rsid w:val="00C81F53"/>
    <w:rsid w:val="00C8228F"/>
    <w:rsid w:val="00C82AAB"/>
    <w:rsid w:val="00C82B7B"/>
    <w:rsid w:val="00C82D41"/>
    <w:rsid w:val="00C831E0"/>
    <w:rsid w:val="00C84A89"/>
    <w:rsid w:val="00C857D4"/>
    <w:rsid w:val="00C86344"/>
    <w:rsid w:val="00C86580"/>
    <w:rsid w:val="00C8661D"/>
    <w:rsid w:val="00C868E5"/>
    <w:rsid w:val="00C86C07"/>
    <w:rsid w:val="00C87A6D"/>
    <w:rsid w:val="00C87BDB"/>
    <w:rsid w:val="00C90045"/>
    <w:rsid w:val="00C90716"/>
    <w:rsid w:val="00C90873"/>
    <w:rsid w:val="00C90DDA"/>
    <w:rsid w:val="00C90E65"/>
    <w:rsid w:val="00C90FBF"/>
    <w:rsid w:val="00C914A0"/>
    <w:rsid w:val="00C919EE"/>
    <w:rsid w:val="00C927D2"/>
    <w:rsid w:val="00C92867"/>
    <w:rsid w:val="00C92920"/>
    <w:rsid w:val="00C92B95"/>
    <w:rsid w:val="00C92C9F"/>
    <w:rsid w:val="00C9332E"/>
    <w:rsid w:val="00C938D0"/>
    <w:rsid w:val="00C93EA4"/>
    <w:rsid w:val="00C93FFD"/>
    <w:rsid w:val="00C94353"/>
    <w:rsid w:val="00C944DC"/>
    <w:rsid w:val="00C9485D"/>
    <w:rsid w:val="00C94A5B"/>
    <w:rsid w:val="00C94EF3"/>
    <w:rsid w:val="00C95059"/>
    <w:rsid w:val="00C953F4"/>
    <w:rsid w:val="00C95564"/>
    <w:rsid w:val="00C9559D"/>
    <w:rsid w:val="00C95664"/>
    <w:rsid w:val="00C95766"/>
    <w:rsid w:val="00C957F1"/>
    <w:rsid w:val="00C95AC3"/>
    <w:rsid w:val="00C95D9B"/>
    <w:rsid w:val="00C95DA7"/>
    <w:rsid w:val="00C963EB"/>
    <w:rsid w:val="00C966D2"/>
    <w:rsid w:val="00C96C95"/>
    <w:rsid w:val="00C970B1"/>
    <w:rsid w:val="00C974E7"/>
    <w:rsid w:val="00C977F4"/>
    <w:rsid w:val="00C97AF3"/>
    <w:rsid w:val="00C97BA2"/>
    <w:rsid w:val="00C97C14"/>
    <w:rsid w:val="00CA065D"/>
    <w:rsid w:val="00CA0DF8"/>
    <w:rsid w:val="00CA1036"/>
    <w:rsid w:val="00CA16E0"/>
    <w:rsid w:val="00CA1B55"/>
    <w:rsid w:val="00CA210A"/>
    <w:rsid w:val="00CA29F9"/>
    <w:rsid w:val="00CA2E60"/>
    <w:rsid w:val="00CA345C"/>
    <w:rsid w:val="00CA3484"/>
    <w:rsid w:val="00CA3B3D"/>
    <w:rsid w:val="00CA4883"/>
    <w:rsid w:val="00CA4975"/>
    <w:rsid w:val="00CA4D09"/>
    <w:rsid w:val="00CA4F35"/>
    <w:rsid w:val="00CA5068"/>
    <w:rsid w:val="00CA51A5"/>
    <w:rsid w:val="00CA531B"/>
    <w:rsid w:val="00CA5948"/>
    <w:rsid w:val="00CA5CAA"/>
    <w:rsid w:val="00CA5DD8"/>
    <w:rsid w:val="00CA64CF"/>
    <w:rsid w:val="00CA65CB"/>
    <w:rsid w:val="00CA6728"/>
    <w:rsid w:val="00CA6A14"/>
    <w:rsid w:val="00CA6BC6"/>
    <w:rsid w:val="00CA7037"/>
    <w:rsid w:val="00CA743D"/>
    <w:rsid w:val="00CA7E27"/>
    <w:rsid w:val="00CB01CA"/>
    <w:rsid w:val="00CB024B"/>
    <w:rsid w:val="00CB0565"/>
    <w:rsid w:val="00CB081F"/>
    <w:rsid w:val="00CB0B35"/>
    <w:rsid w:val="00CB0B75"/>
    <w:rsid w:val="00CB0E57"/>
    <w:rsid w:val="00CB1058"/>
    <w:rsid w:val="00CB1B36"/>
    <w:rsid w:val="00CB1B38"/>
    <w:rsid w:val="00CB2F18"/>
    <w:rsid w:val="00CB2F38"/>
    <w:rsid w:val="00CB3164"/>
    <w:rsid w:val="00CB335E"/>
    <w:rsid w:val="00CB3965"/>
    <w:rsid w:val="00CB455D"/>
    <w:rsid w:val="00CB462B"/>
    <w:rsid w:val="00CB4A54"/>
    <w:rsid w:val="00CB4DDD"/>
    <w:rsid w:val="00CB5123"/>
    <w:rsid w:val="00CB56A7"/>
    <w:rsid w:val="00CB56B3"/>
    <w:rsid w:val="00CB5723"/>
    <w:rsid w:val="00CB57D6"/>
    <w:rsid w:val="00CB58D3"/>
    <w:rsid w:val="00CB59A4"/>
    <w:rsid w:val="00CB5BBB"/>
    <w:rsid w:val="00CB5E4F"/>
    <w:rsid w:val="00CB6343"/>
    <w:rsid w:val="00CB701F"/>
    <w:rsid w:val="00CB710B"/>
    <w:rsid w:val="00CB71E8"/>
    <w:rsid w:val="00CB7615"/>
    <w:rsid w:val="00CB76EB"/>
    <w:rsid w:val="00CB7D89"/>
    <w:rsid w:val="00CC0B56"/>
    <w:rsid w:val="00CC16F2"/>
    <w:rsid w:val="00CC1910"/>
    <w:rsid w:val="00CC2358"/>
    <w:rsid w:val="00CC236C"/>
    <w:rsid w:val="00CC23BA"/>
    <w:rsid w:val="00CC2C3E"/>
    <w:rsid w:val="00CC3374"/>
    <w:rsid w:val="00CC3669"/>
    <w:rsid w:val="00CC3AD9"/>
    <w:rsid w:val="00CC3F9D"/>
    <w:rsid w:val="00CC4B5F"/>
    <w:rsid w:val="00CC4F0F"/>
    <w:rsid w:val="00CC4F7B"/>
    <w:rsid w:val="00CC55D3"/>
    <w:rsid w:val="00CC5CEB"/>
    <w:rsid w:val="00CC5EC2"/>
    <w:rsid w:val="00CC6031"/>
    <w:rsid w:val="00CC605E"/>
    <w:rsid w:val="00CC6622"/>
    <w:rsid w:val="00CC6676"/>
    <w:rsid w:val="00CC69AE"/>
    <w:rsid w:val="00CC770A"/>
    <w:rsid w:val="00CC7925"/>
    <w:rsid w:val="00CC7A58"/>
    <w:rsid w:val="00CC7B61"/>
    <w:rsid w:val="00CC7D21"/>
    <w:rsid w:val="00CD05EB"/>
    <w:rsid w:val="00CD0C14"/>
    <w:rsid w:val="00CD1199"/>
    <w:rsid w:val="00CD13E2"/>
    <w:rsid w:val="00CD145E"/>
    <w:rsid w:val="00CD192F"/>
    <w:rsid w:val="00CD1ABF"/>
    <w:rsid w:val="00CD1B95"/>
    <w:rsid w:val="00CD1DBD"/>
    <w:rsid w:val="00CD21CE"/>
    <w:rsid w:val="00CD2BFF"/>
    <w:rsid w:val="00CD2D7C"/>
    <w:rsid w:val="00CD3067"/>
    <w:rsid w:val="00CD3081"/>
    <w:rsid w:val="00CD30C1"/>
    <w:rsid w:val="00CD312E"/>
    <w:rsid w:val="00CD3941"/>
    <w:rsid w:val="00CD3A99"/>
    <w:rsid w:val="00CD3EE4"/>
    <w:rsid w:val="00CD4788"/>
    <w:rsid w:val="00CD5045"/>
    <w:rsid w:val="00CD554F"/>
    <w:rsid w:val="00CD659F"/>
    <w:rsid w:val="00CD6827"/>
    <w:rsid w:val="00CD6D31"/>
    <w:rsid w:val="00CD70AF"/>
    <w:rsid w:val="00CD7C44"/>
    <w:rsid w:val="00CD7EC4"/>
    <w:rsid w:val="00CE0020"/>
    <w:rsid w:val="00CE02BB"/>
    <w:rsid w:val="00CE037E"/>
    <w:rsid w:val="00CE04E8"/>
    <w:rsid w:val="00CE088D"/>
    <w:rsid w:val="00CE114F"/>
    <w:rsid w:val="00CE15A8"/>
    <w:rsid w:val="00CE18CF"/>
    <w:rsid w:val="00CE1A46"/>
    <w:rsid w:val="00CE20F9"/>
    <w:rsid w:val="00CE2BAE"/>
    <w:rsid w:val="00CE2F9B"/>
    <w:rsid w:val="00CE3A55"/>
    <w:rsid w:val="00CE3C07"/>
    <w:rsid w:val="00CE4192"/>
    <w:rsid w:val="00CE43B9"/>
    <w:rsid w:val="00CE4456"/>
    <w:rsid w:val="00CE45BB"/>
    <w:rsid w:val="00CE48DE"/>
    <w:rsid w:val="00CE4B1A"/>
    <w:rsid w:val="00CE4F90"/>
    <w:rsid w:val="00CE50FD"/>
    <w:rsid w:val="00CE51C9"/>
    <w:rsid w:val="00CE5E1C"/>
    <w:rsid w:val="00CE63F7"/>
    <w:rsid w:val="00CE676B"/>
    <w:rsid w:val="00CE698A"/>
    <w:rsid w:val="00CE6C3D"/>
    <w:rsid w:val="00CE7439"/>
    <w:rsid w:val="00CE743D"/>
    <w:rsid w:val="00CE763B"/>
    <w:rsid w:val="00CE76D3"/>
    <w:rsid w:val="00CE7822"/>
    <w:rsid w:val="00CE7B2E"/>
    <w:rsid w:val="00CE7C19"/>
    <w:rsid w:val="00CE7EB0"/>
    <w:rsid w:val="00CF067C"/>
    <w:rsid w:val="00CF0AB8"/>
    <w:rsid w:val="00CF10A2"/>
    <w:rsid w:val="00CF116B"/>
    <w:rsid w:val="00CF117E"/>
    <w:rsid w:val="00CF16A2"/>
    <w:rsid w:val="00CF1919"/>
    <w:rsid w:val="00CF193D"/>
    <w:rsid w:val="00CF1A87"/>
    <w:rsid w:val="00CF24EB"/>
    <w:rsid w:val="00CF2820"/>
    <w:rsid w:val="00CF3554"/>
    <w:rsid w:val="00CF3A00"/>
    <w:rsid w:val="00CF462D"/>
    <w:rsid w:val="00CF47DA"/>
    <w:rsid w:val="00CF5154"/>
    <w:rsid w:val="00CF540C"/>
    <w:rsid w:val="00CF5438"/>
    <w:rsid w:val="00CF587B"/>
    <w:rsid w:val="00CF5BAF"/>
    <w:rsid w:val="00CF65B4"/>
    <w:rsid w:val="00CF689F"/>
    <w:rsid w:val="00CF6AC3"/>
    <w:rsid w:val="00CF6CB0"/>
    <w:rsid w:val="00CF7315"/>
    <w:rsid w:val="00CF76E4"/>
    <w:rsid w:val="00CF7871"/>
    <w:rsid w:val="00CF789D"/>
    <w:rsid w:val="00CF7A5A"/>
    <w:rsid w:val="00CF7AA8"/>
    <w:rsid w:val="00D0052E"/>
    <w:rsid w:val="00D00640"/>
    <w:rsid w:val="00D00AC7"/>
    <w:rsid w:val="00D00BA4"/>
    <w:rsid w:val="00D011C1"/>
    <w:rsid w:val="00D01302"/>
    <w:rsid w:val="00D0155D"/>
    <w:rsid w:val="00D01AEF"/>
    <w:rsid w:val="00D01C3E"/>
    <w:rsid w:val="00D02193"/>
    <w:rsid w:val="00D03230"/>
    <w:rsid w:val="00D036CD"/>
    <w:rsid w:val="00D03DF6"/>
    <w:rsid w:val="00D05670"/>
    <w:rsid w:val="00D058FF"/>
    <w:rsid w:val="00D05AE2"/>
    <w:rsid w:val="00D0653C"/>
    <w:rsid w:val="00D068E5"/>
    <w:rsid w:val="00D06D37"/>
    <w:rsid w:val="00D06E7A"/>
    <w:rsid w:val="00D0709A"/>
    <w:rsid w:val="00D07D79"/>
    <w:rsid w:val="00D07FE9"/>
    <w:rsid w:val="00D10C8A"/>
    <w:rsid w:val="00D10FE2"/>
    <w:rsid w:val="00D11DA5"/>
    <w:rsid w:val="00D11ED9"/>
    <w:rsid w:val="00D1247C"/>
    <w:rsid w:val="00D129A2"/>
    <w:rsid w:val="00D12C85"/>
    <w:rsid w:val="00D12E3B"/>
    <w:rsid w:val="00D12EE2"/>
    <w:rsid w:val="00D12EF2"/>
    <w:rsid w:val="00D139A3"/>
    <w:rsid w:val="00D13CC7"/>
    <w:rsid w:val="00D13D0B"/>
    <w:rsid w:val="00D1439E"/>
    <w:rsid w:val="00D1445E"/>
    <w:rsid w:val="00D145EB"/>
    <w:rsid w:val="00D14DCB"/>
    <w:rsid w:val="00D1500B"/>
    <w:rsid w:val="00D150DA"/>
    <w:rsid w:val="00D15431"/>
    <w:rsid w:val="00D159BC"/>
    <w:rsid w:val="00D16098"/>
    <w:rsid w:val="00D161BA"/>
    <w:rsid w:val="00D1669D"/>
    <w:rsid w:val="00D16A7D"/>
    <w:rsid w:val="00D1700E"/>
    <w:rsid w:val="00D172C6"/>
    <w:rsid w:val="00D177B9"/>
    <w:rsid w:val="00D17ABE"/>
    <w:rsid w:val="00D17CBF"/>
    <w:rsid w:val="00D17D09"/>
    <w:rsid w:val="00D20305"/>
    <w:rsid w:val="00D204FA"/>
    <w:rsid w:val="00D2075E"/>
    <w:rsid w:val="00D20E69"/>
    <w:rsid w:val="00D2138F"/>
    <w:rsid w:val="00D21A95"/>
    <w:rsid w:val="00D2208B"/>
    <w:rsid w:val="00D22093"/>
    <w:rsid w:val="00D22391"/>
    <w:rsid w:val="00D223DB"/>
    <w:rsid w:val="00D224FF"/>
    <w:rsid w:val="00D22954"/>
    <w:rsid w:val="00D2305E"/>
    <w:rsid w:val="00D233FD"/>
    <w:rsid w:val="00D23496"/>
    <w:rsid w:val="00D2369E"/>
    <w:rsid w:val="00D2388B"/>
    <w:rsid w:val="00D2398D"/>
    <w:rsid w:val="00D241C2"/>
    <w:rsid w:val="00D24234"/>
    <w:rsid w:val="00D248FD"/>
    <w:rsid w:val="00D24C0A"/>
    <w:rsid w:val="00D2500E"/>
    <w:rsid w:val="00D25467"/>
    <w:rsid w:val="00D25513"/>
    <w:rsid w:val="00D25678"/>
    <w:rsid w:val="00D2587C"/>
    <w:rsid w:val="00D259F0"/>
    <w:rsid w:val="00D25DB1"/>
    <w:rsid w:val="00D262BD"/>
    <w:rsid w:val="00D262C0"/>
    <w:rsid w:val="00D2643C"/>
    <w:rsid w:val="00D26552"/>
    <w:rsid w:val="00D272A4"/>
    <w:rsid w:val="00D27EFA"/>
    <w:rsid w:val="00D30444"/>
    <w:rsid w:val="00D30FB4"/>
    <w:rsid w:val="00D31435"/>
    <w:rsid w:val="00D32141"/>
    <w:rsid w:val="00D32275"/>
    <w:rsid w:val="00D322AB"/>
    <w:rsid w:val="00D325DF"/>
    <w:rsid w:val="00D32750"/>
    <w:rsid w:val="00D332F7"/>
    <w:rsid w:val="00D33B23"/>
    <w:rsid w:val="00D33B6D"/>
    <w:rsid w:val="00D33E3C"/>
    <w:rsid w:val="00D34474"/>
    <w:rsid w:val="00D34988"/>
    <w:rsid w:val="00D34ADA"/>
    <w:rsid w:val="00D353D7"/>
    <w:rsid w:val="00D3632B"/>
    <w:rsid w:val="00D3653A"/>
    <w:rsid w:val="00D36567"/>
    <w:rsid w:val="00D36689"/>
    <w:rsid w:val="00D366C1"/>
    <w:rsid w:val="00D368CA"/>
    <w:rsid w:val="00D36DD7"/>
    <w:rsid w:val="00D37093"/>
    <w:rsid w:val="00D3795D"/>
    <w:rsid w:val="00D37B50"/>
    <w:rsid w:val="00D403E8"/>
    <w:rsid w:val="00D40A49"/>
    <w:rsid w:val="00D40CAB"/>
    <w:rsid w:val="00D40CDC"/>
    <w:rsid w:val="00D4127E"/>
    <w:rsid w:val="00D415D2"/>
    <w:rsid w:val="00D42159"/>
    <w:rsid w:val="00D421BC"/>
    <w:rsid w:val="00D42FCC"/>
    <w:rsid w:val="00D43427"/>
    <w:rsid w:val="00D43439"/>
    <w:rsid w:val="00D434BE"/>
    <w:rsid w:val="00D43590"/>
    <w:rsid w:val="00D438E0"/>
    <w:rsid w:val="00D4394A"/>
    <w:rsid w:val="00D4401C"/>
    <w:rsid w:val="00D440F2"/>
    <w:rsid w:val="00D44278"/>
    <w:rsid w:val="00D444F7"/>
    <w:rsid w:val="00D44511"/>
    <w:rsid w:val="00D44861"/>
    <w:rsid w:val="00D44A91"/>
    <w:rsid w:val="00D44DBE"/>
    <w:rsid w:val="00D450CC"/>
    <w:rsid w:val="00D452C8"/>
    <w:rsid w:val="00D452D5"/>
    <w:rsid w:val="00D45474"/>
    <w:rsid w:val="00D456A2"/>
    <w:rsid w:val="00D45E11"/>
    <w:rsid w:val="00D45FB0"/>
    <w:rsid w:val="00D4685E"/>
    <w:rsid w:val="00D46B3B"/>
    <w:rsid w:val="00D46E87"/>
    <w:rsid w:val="00D47549"/>
    <w:rsid w:val="00D476A6"/>
    <w:rsid w:val="00D47742"/>
    <w:rsid w:val="00D507DE"/>
    <w:rsid w:val="00D509CD"/>
    <w:rsid w:val="00D512D9"/>
    <w:rsid w:val="00D519A6"/>
    <w:rsid w:val="00D52C40"/>
    <w:rsid w:val="00D535D4"/>
    <w:rsid w:val="00D53C37"/>
    <w:rsid w:val="00D53F7A"/>
    <w:rsid w:val="00D54118"/>
    <w:rsid w:val="00D54152"/>
    <w:rsid w:val="00D5430E"/>
    <w:rsid w:val="00D54708"/>
    <w:rsid w:val="00D54CF9"/>
    <w:rsid w:val="00D5500F"/>
    <w:rsid w:val="00D5546C"/>
    <w:rsid w:val="00D5570B"/>
    <w:rsid w:val="00D55E0A"/>
    <w:rsid w:val="00D56774"/>
    <w:rsid w:val="00D568E3"/>
    <w:rsid w:val="00D56DE0"/>
    <w:rsid w:val="00D572F0"/>
    <w:rsid w:val="00D57509"/>
    <w:rsid w:val="00D57C62"/>
    <w:rsid w:val="00D57FF3"/>
    <w:rsid w:val="00D602E7"/>
    <w:rsid w:val="00D60448"/>
    <w:rsid w:val="00D60891"/>
    <w:rsid w:val="00D609FB"/>
    <w:rsid w:val="00D60C01"/>
    <w:rsid w:val="00D60CB2"/>
    <w:rsid w:val="00D60FE8"/>
    <w:rsid w:val="00D6130A"/>
    <w:rsid w:val="00D61C2E"/>
    <w:rsid w:val="00D61E75"/>
    <w:rsid w:val="00D61E84"/>
    <w:rsid w:val="00D620A1"/>
    <w:rsid w:val="00D623FA"/>
    <w:rsid w:val="00D6269D"/>
    <w:rsid w:val="00D626A6"/>
    <w:rsid w:val="00D6311C"/>
    <w:rsid w:val="00D63273"/>
    <w:rsid w:val="00D632AB"/>
    <w:rsid w:val="00D632D5"/>
    <w:rsid w:val="00D63EC4"/>
    <w:rsid w:val="00D640B5"/>
    <w:rsid w:val="00D64139"/>
    <w:rsid w:val="00D647A2"/>
    <w:rsid w:val="00D64F73"/>
    <w:rsid w:val="00D653E9"/>
    <w:rsid w:val="00D65A42"/>
    <w:rsid w:val="00D65AD4"/>
    <w:rsid w:val="00D65B72"/>
    <w:rsid w:val="00D65B73"/>
    <w:rsid w:val="00D66411"/>
    <w:rsid w:val="00D6761A"/>
    <w:rsid w:val="00D676A6"/>
    <w:rsid w:val="00D678D9"/>
    <w:rsid w:val="00D67C3F"/>
    <w:rsid w:val="00D67C71"/>
    <w:rsid w:val="00D70137"/>
    <w:rsid w:val="00D7034F"/>
    <w:rsid w:val="00D70A7D"/>
    <w:rsid w:val="00D70B18"/>
    <w:rsid w:val="00D70BF7"/>
    <w:rsid w:val="00D70EAD"/>
    <w:rsid w:val="00D713F5"/>
    <w:rsid w:val="00D7191F"/>
    <w:rsid w:val="00D71F44"/>
    <w:rsid w:val="00D72D24"/>
    <w:rsid w:val="00D7340B"/>
    <w:rsid w:val="00D7374E"/>
    <w:rsid w:val="00D73824"/>
    <w:rsid w:val="00D74AB4"/>
    <w:rsid w:val="00D74EFD"/>
    <w:rsid w:val="00D75164"/>
    <w:rsid w:val="00D752EB"/>
    <w:rsid w:val="00D754EC"/>
    <w:rsid w:val="00D75852"/>
    <w:rsid w:val="00D7602C"/>
    <w:rsid w:val="00D7607F"/>
    <w:rsid w:val="00D762F2"/>
    <w:rsid w:val="00D763D6"/>
    <w:rsid w:val="00D764C5"/>
    <w:rsid w:val="00D76563"/>
    <w:rsid w:val="00D766AF"/>
    <w:rsid w:val="00D7681A"/>
    <w:rsid w:val="00D76ECC"/>
    <w:rsid w:val="00D77173"/>
    <w:rsid w:val="00D7755F"/>
    <w:rsid w:val="00D77625"/>
    <w:rsid w:val="00D7785B"/>
    <w:rsid w:val="00D77B16"/>
    <w:rsid w:val="00D77EAF"/>
    <w:rsid w:val="00D77F22"/>
    <w:rsid w:val="00D77F81"/>
    <w:rsid w:val="00D80C8B"/>
    <w:rsid w:val="00D81158"/>
    <w:rsid w:val="00D81254"/>
    <w:rsid w:val="00D815D7"/>
    <w:rsid w:val="00D8169C"/>
    <w:rsid w:val="00D818EA"/>
    <w:rsid w:val="00D81A3A"/>
    <w:rsid w:val="00D81BB7"/>
    <w:rsid w:val="00D81EEA"/>
    <w:rsid w:val="00D81FF8"/>
    <w:rsid w:val="00D82960"/>
    <w:rsid w:val="00D82D09"/>
    <w:rsid w:val="00D831F2"/>
    <w:rsid w:val="00D83A1A"/>
    <w:rsid w:val="00D83AF4"/>
    <w:rsid w:val="00D842AD"/>
    <w:rsid w:val="00D84831"/>
    <w:rsid w:val="00D84857"/>
    <w:rsid w:val="00D85536"/>
    <w:rsid w:val="00D85C45"/>
    <w:rsid w:val="00D86292"/>
    <w:rsid w:val="00D862F7"/>
    <w:rsid w:val="00D8707F"/>
    <w:rsid w:val="00D87483"/>
    <w:rsid w:val="00D8784E"/>
    <w:rsid w:val="00D87C4A"/>
    <w:rsid w:val="00D87D8F"/>
    <w:rsid w:val="00D87E29"/>
    <w:rsid w:val="00D90094"/>
    <w:rsid w:val="00D90E86"/>
    <w:rsid w:val="00D91111"/>
    <w:rsid w:val="00D913F3"/>
    <w:rsid w:val="00D91469"/>
    <w:rsid w:val="00D916A6"/>
    <w:rsid w:val="00D92134"/>
    <w:rsid w:val="00D922C4"/>
    <w:rsid w:val="00D92362"/>
    <w:rsid w:val="00D9245D"/>
    <w:rsid w:val="00D928D2"/>
    <w:rsid w:val="00D92C3F"/>
    <w:rsid w:val="00D93630"/>
    <w:rsid w:val="00D93781"/>
    <w:rsid w:val="00D93926"/>
    <w:rsid w:val="00D9444E"/>
    <w:rsid w:val="00D9483F"/>
    <w:rsid w:val="00D95571"/>
    <w:rsid w:val="00D965D6"/>
    <w:rsid w:val="00D97121"/>
    <w:rsid w:val="00D97AA1"/>
    <w:rsid w:val="00D97FC7"/>
    <w:rsid w:val="00DA01E2"/>
    <w:rsid w:val="00DA053C"/>
    <w:rsid w:val="00DA0938"/>
    <w:rsid w:val="00DA0CB4"/>
    <w:rsid w:val="00DA0F33"/>
    <w:rsid w:val="00DA0F97"/>
    <w:rsid w:val="00DA105C"/>
    <w:rsid w:val="00DA14C9"/>
    <w:rsid w:val="00DA18F0"/>
    <w:rsid w:val="00DA1BBF"/>
    <w:rsid w:val="00DA1BF9"/>
    <w:rsid w:val="00DA23B7"/>
    <w:rsid w:val="00DA2783"/>
    <w:rsid w:val="00DA2926"/>
    <w:rsid w:val="00DA2B0D"/>
    <w:rsid w:val="00DA2FE0"/>
    <w:rsid w:val="00DA31AB"/>
    <w:rsid w:val="00DA3A46"/>
    <w:rsid w:val="00DA3EF3"/>
    <w:rsid w:val="00DA420E"/>
    <w:rsid w:val="00DA4225"/>
    <w:rsid w:val="00DA4352"/>
    <w:rsid w:val="00DA4581"/>
    <w:rsid w:val="00DA4785"/>
    <w:rsid w:val="00DA5154"/>
    <w:rsid w:val="00DA5CDF"/>
    <w:rsid w:val="00DA6378"/>
    <w:rsid w:val="00DA6531"/>
    <w:rsid w:val="00DA65A6"/>
    <w:rsid w:val="00DA687C"/>
    <w:rsid w:val="00DA6F6E"/>
    <w:rsid w:val="00DA71E5"/>
    <w:rsid w:val="00DA79FC"/>
    <w:rsid w:val="00DA7DC8"/>
    <w:rsid w:val="00DB0039"/>
    <w:rsid w:val="00DB0155"/>
    <w:rsid w:val="00DB0CA2"/>
    <w:rsid w:val="00DB106A"/>
    <w:rsid w:val="00DB180A"/>
    <w:rsid w:val="00DB19BF"/>
    <w:rsid w:val="00DB1A19"/>
    <w:rsid w:val="00DB22B8"/>
    <w:rsid w:val="00DB25A3"/>
    <w:rsid w:val="00DB31A3"/>
    <w:rsid w:val="00DB353D"/>
    <w:rsid w:val="00DB39CF"/>
    <w:rsid w:val="00DB3A7C"/>
    <w:rsid w:val="00DB3B82"/>
    <w:rsid w:val="00DB44A8"/>
    <w:rsid w:val="00DB4885"/>
    <w:rsid w:val="00DB4C6E"/>
    <w:rsid w:val="00DB5073"/>
    <w:rsid w:val="00DB54E7"/>
    <w:rsid w:val="00DB5D11"/>
    <w:rsid w:val="00DB6212"/>
    <w:rsid w:val="00DB68F7"/>
    <w:rsid w:val="00DB6A6F"/>
    <w:rsid w:val="00DB6E2D"/>
    <w:rsid w:val="00DB6EE4"/>
    <w:rsid w:val="00DB7012"/>
    <w:rsid w:val="00DB75BF"/>
    <w:rsid w:val="00DB7985"/>
    <w:rsid w:val="00DB7B5C"/>
    <w:rsid w:val="00DC03BF"/>
    <w:rsid w:val="00DC0671"/>
    <w:rsid w:val="00DC0A83"/>
    <w:rsid w:val="00DC0D0E"/>
    <w:rsid w:val="00DC11BA"/>
    <w:rsid w:val="00DC1B7B"/>
    <w:rsid w:val="00DC1BC5"/>
    <w:rsid w:val="00DC1CCA"/>
    <w:rsid w:val="00DC2157"/>
    <w:rsid w:val="00DC2358"/>
    <w:rsid w:val="00DC23F9"/>
    <w:rsid w:val="00DC2873"/>
    <w:rsid w:val="00DC2E32"/>
    <w:rsid w:val="00DC2E56"/>
    <w:rsid w:val="00DC3131"/>
    <w:rsid w:val="00DC4A59"/>
    <w:rsid w:val="00DC4AD9"/>
    <w:rsid w:val="00DC544B"/>
    <w:rsid w:val="00DC54F2"/>
    <w:rsid w:val="00DC5AB8"/>
    <w:rsid w:val="00DC5B40"/>
    <w:rsid w:val="00DC5B8E"/>
    <w:rsid w:val="00DC6424"/>
    <w:rsid w:val="00DC6B57"/>
    <w:rsid w:val="00DC6B58"/>
    <w:rsid w:val="00DC6ED2"/>
    <w:rsid w:val="00DC722F"/>
    <w:rsid w:val="00DC7AA3"/>
    <w:rsid w:val="00DC7EF7"/>
    <w:rsid w:val="00DC7F62"/>
    <w:rsid w:val="00DD0633"/>
    <w:rsid w:val="00DD0846"/>
    <w:rsid w:val="00DD10A9"/>
    <w:rsid w:val="00DD13F9"/>
    <w:rsid w:val="00DD1786"/>
    <w:rsid w:val="00DD1AF0"/>
    <w:rsid w:val="00DD1C52"/>
    <w:rsid w:val="00DD224B"/>
    <w:rsid w:val="00DD2418"/>
    <w:rsid w:val="00DD25F1"/>
    <w:rsid w:val="00DD26F3"/>
    <w:rsid w:val="00DD3061"/>
    <w:rsid w:val="00DD34BF"/>
    <w:rsid w:val="00DD3865"/>
    <w:rsid w:val="00DD40C7"/>
    <w:rsid w:val="00DD42AD"/>
    <w:rsid w:val="00DD460A"/>
    <w:rsid w:val="00DD461C"/>
    <w:rsid w:val="00DD46A0"/>
    <w:rsid w:val="00DD480B"/>
    <w:rsid w:val="00DD4AC6"/>
    <w:rsid w:val="00DD50E4"/>
    <w:rsid w:val="00DD535D"/>
    <w:rsid w:val="00DD5EE3"/>
    <w:rsid w:val="00DD6128"/>
    <w:rsid w:val="00DD6149"/>
    <w:rsid w:val="00DD61AD"/>
    <w:rsid w:val="00DD61D1"/>
    <w:rsid w:val="00DD6478"/>
    <w:rsid w:val="00DD64C2"/>
    <w:rsid w:val="00DE0BAE"/>
    <w:rsid w:val="00DE138E"/>
    <w:rsid w:val="00DE1968"/>
    <w:rsid w:val="00DE1A35"/>
    <w:rsid w:val="00DE1B84"/>
    <w:rsid w:val="00DE2557"/>
    <w:rsid w:val="00DE27EC"/>
    <w:rsid w:val="00DE2DB2"/>
    <w:rsid w:val="00DE3ADE"/>
    <w:rsid w:val="00DE4020"/>
    <w:rsid w:val="00DE4059"/>
    <w:rsid w:val="00DE44C5"/>
    <w:rsid w:val="00DE472C"/>
    <w:rsid w:val="00DE51DB"/>
    <w:rsid w:val="00DE53E6"/>
    <w:rsid w:val="00DE5513"/>
    <w:rsid w:val="00DE5720"/>
    <w:rsid w:val="00DE585B"/>
    <w:rsid w:val="00DE5D8A"/>
    <w:rsid w:val="00DE5F88"/>
    <w:rsid w:val="00DE64D1"/>
    <w:rsid w:val="00DE652A"/>
    <w:rsid w:val="00DE661C"/>
    <w:rsid w:val="00DE6727"/>
    <w:rsid w:val="00DE68EB"/>
    <w:rsid w:val="00DE68F0"/>
    <w:rsid w:val="00DE6AA2"/>
    <w:rsid w:val="00DE6B28"/>
    <w:rsid w:val="00DE716F"/>
    <w:rsid w:val="00DE72A6"/>
    <w:rsid w:val="00DF0025"/>
    <w:rsid w:val="00DF07E4"/>
    <w:rsid w:val="00DF0905"/>
    <w:rsid w:val="00DF0D78"/>
    <w:rsid w:val="00DF0E1C"/>
    <w:rsid w:val="00DF0F24"/>
    <w:rsid w:val="00DF10B9"/>
    <w:rsid w:val="00DF1931"/>
    <w:rsid w:val="00DF1A9E"/>
    <w:rsid w:val="00DF1B98"/>
    <w:rsid w:val="00DF1C9C"/>
    <w:rsid w:val="00DF1EE5"/>
    <w:rsid w:val="00DF20CB"/>
    <w:rsid w:val="00DF24EB"/>
    <w:rsid w:val="00DF29BB"/>
    <w:rsid w:val="00DF2D14"/>
    <w:rsid w:val="00DF2D46"/>
    <w:rsid w:val="00DF2F71"/>
    <w:rsid w:val="00DF3E40"/>
    <w:rsid w:val="00DF41D1"/>
    <w:rsid w:val="00DF44BE"/>
    <w:rsid w:val="00DF4AE7"/>
    <w:rsid w:val="00DF4B26"/>
    <w:rsid w:val="00DF5406"/>
    <w:rsid w:val="00DF567A"/>
    <w:rsid w:val="00DF5690"/>
    <w:rsid w:val="00DF5868"/>
    <w:rsid w:val="00DF5B8B"/>
    <w:rsid w:val="00DF5DDC"/>
    <w:rsid w:val="00DF5E40"/>
    <w:rsid w:val="00DF60E3"/>
    <w:rsid w:val="00DF71D1"/>
    <w:rsid w:val="00DF72C5"/>
    <w:rsid w:val="00DF7308"/>
    <w:rsid w:val="00DF79E8"/>
    <w:rsid w:val="00DF7E6C"/>
    <w:rsid w:val="00E00514"/>
    <w:rsid w:val="00E00AD1"/>
    <w:rsid w:val="00E011A1"/>
    <w:rsid w:val="00E01225"/>
    <w:rsid w:val="00E0129A"/>
    <w:rsid w:val="00E01397"/>
    <w:rsid w:val="00E01CE0"/>
    <w:rsid w:val="00E021E8"/>
    <w:rsid w:val="00E023A7"/>
    <w:rsid w:val="00E0248C"/>
    <w:rsid w:val="00E025AE"/>
    <w:rsid w:val="00E029AD"/>
    <w:rsid w:val="00E030DB"/>
    <w:rsid w:val="00E0317A"/>
    <w:rsid w:val="00E03765"/>
    <w:rsid w:val="00E0393A"/>
    <w:rsid w:val="00E03974"/>
    <w:rsid w:val="00E03B77"/>
    <w:rsid w:val="00E041F4"/>
    <w:rsid w:val="00E04314"/>
    <w:rsid w:val="00E045F7"/>
    <w:rsid w:val="00E0504A"/>
    <w:rsid w:val="00E05702"/>
    <w:rsid w:val="00E075D9"/>
    <w:rsid w:val="00E07778"/>
    <w:rsid w:val="00E07784"/>
    <w:rsid w:val="00E07CD1"/>
    <w:rsid w:val="00E07F19"/>
    <w:rsid w:val="00E1026B"/>
    <w:rsid w:val="00E10886"/>
    <w:rsid w:val="00E10FB8"/>
    <w:rsid w:val="00E11508"/>
    <w:rsid w:val="00E118A1"/>
    <w:rsid w:val="00E11A99"/>
    <w:rsid w:val="00E12324"/>
    <w:rsid w:val="00E124AD"/>
    <w:rsid w:val="00E128E2"/>
    <w:rsid w:val="00E12AA7"/>
    <w:rsid w:val="00E13275"/>
    <w:rsid w:val="00E13463"/>
    <w:rsid w:val="00E134A4"/>
    <w:rsid w:val="00E13CFC"/>
    <w:rsid w:val="00E13EDD"/>
    <w:rsid w:val="00E1468A"/>
    <w:rsid w:val="00E14B7A"/>
    <w:rsid w:val="00E14C1C"/>
    <w:rsid w:val="00E1525D"/>
    <w:rsid w:val="00E15545"/>
    <w:rsid w:val="00E1562B"/>
    <w:rsid w:val="00E156ED"/>
    <w:rsid w:val="00E16867"/>
    <w:rsid w:val="00E16B63"/>
    <w:rsid w:val="00E16C19"/>
    <w:rsid w:val="00E16C2E"/>
    <w:rsid w:val="00E16D62"/>
    <w:rsid w:val="00E16E33"/>
    <w:rsid w:val="00E179AD"/>
    <w:rsid w:val="00E17A46"/>
    <w:rsid w:val="00E17C21"/>
    <w:rsid w:val="00E200E8"/>
    <w:rsid w:val="00E20231"/>
    <w:rsid w:val="00E20696"/>
    <w:rsid w:val="00E206D1"/>
    <w:rsid w:val="00E207B5"/>
    <w:rsid w:val="00E20C36"/>
    <w:rsid w:val="00E20C6D"/>
    <w:rsid w:val="00E21803"/>
    <w:rsid w:val="00E22535"/>
    <w:rsid w:val="00E228A3"/>
    <w:rsid w:val="00E22A1F"/>
    <w:rsid w:val="00E22C77"/>
    <w:rsid w:val="00E238F1"/>
    <w:rsid w:val="00E238FD"/>
    <w:rsid w:val="00E240D0"/>
    <w:rsid w:val="00E24395"/>
    <w:rsid w:val="00E24A60"/>
    <w:rsid w:val="00E25333"/>
    <w:rsid w:val="00E25442"/>
    <w:rsid w:val="00E25CC6"/>
    <w:rsid w:val="00E2624F"/>
    <w:rsid w:val="00E26AFA"/>
    <w:rsid w:val="00E26BDB"/>
    <w:rsid w:val="00E26F3E"/>
    <w:rsid w:val="00E27102"/>
    <w:rsid w:val="00E27553"/>
    <w:rsid w:val="00E27869"/>
    <w:rsid w:val="00E301F8"/>
    <w:rsid w:val="00E3046F"/>
    <w:rsid w:val="00E30734"/>
    <w:rsid w:val="00E31210"/>
    <w:rsid w:val="00E31385"/>
    <w:rsid w:val="00E31A15"/>
    <w:rsid w:val="00E31B21"/>
    <w:rsid w:val="00E31F57"/>
    <w:rsid w:val="00E32033"/>
    <w:rsid w:val="00E326E1"/>
    <w:rsid w:val="00E32D0F"/>
    <w:rsid w:val="00E32E22"/>
    <w:rsid w:val="00E330F1"/>
    <w:rsid w:val="00E3329F"/>
    <w:rsid w:val="00E333E1"/>
    <w:rsid w:val="00E34152"/>
    <w:rsid w:val="00E34171"/>
    <w:rsid w:val="00E347D5"/>
    <w:rsid w:val="00E34C5C"/>
    <w:rsid w:val="00E3557F"/>
    <w:rsid w:val="00E35782"/>
    <w:rsid w:val="00E358E9"/>
    <w:rsid w:val="00E35BEB"/>
    <w:rsid w:val="00E36117"/>
    <w:rsid w:val="00E36235"/>
    <w:rsid w:val="00E3666F"/>
    <w:rsid w:val="00E366F4"/>
    <w:rsid w:val="00E3676A"/>
    <w:rsid w:val="00E367CF"/>
    <w:rsid w:val="00E369C8"/>
    <w:rsid w:val="00E40200"/>
    <w:rsid w:val="00E40305"/>
    <w:rsid w:val="00E410E9"/>
    <w:rsid w:val="00E41379"/>
    <w:rsid w:val="00E4157E"/>
    <w:rsid w:val="00E416ED"/>
    <w:rsid w:val="00E41807"/>
    <w:rsid w:val="00E41D01"/>
    <w:rsid w:val="00E41D87"/>
    <w:rsid w:val="00E42ADE"/>
    <w:rsid w:val="00E42C5A"/>
    <w:rsid w:val="00E43280"/>
    <w:rsid w:val="00E435D3"/>
    <w:rsid w:val="00E43837"/>
    <w:rsid w:val="00E4394E"/>
    <w:rsid w:val="00E43B9A"/>
    <w:rsid w:val="00E43E5E"/>
    <w:rsid w:val="00E443F2"/>
    <w:rsid w:val="00E44636"/>
    <w:rsid w:val="00E44814"/>
    <w:rsid w:val="00E448C5"/>
    <w:rsid w:val="00E44920"/>
    <w:rsid w:val="00E44C38"/>
    <w:rsid w:val="00E452A6"/>
    <w:rsid w:val="00E45367"/>
    <w:rsid w:val="00E4554F"/>
    <w:rsid w:val="00E45DC4"/>
    <w:rsid w:val="00E46025"/>
    <w:rsid w:val="00E46106"/>
    <w:rsid w:val="00E46702"/>
    <w:rsid w:val="00E46C41"/>
    <w:rsid w:val="00E479A3"/>
    <w:rsid w:val="00E47BC7"/>
    <w:rsid w:val="00E47D35"/>
    <w:rsid w:val="00E516D5"/>
    <w:rsid w:val="00E52627"/>
    <w:rsid w:val="00E52F1F"/>
    <w:rsid w:val="00E53344"/>
    <w:rsid w:val="00E53A18"/>
    <w:rsid w:val="00E53D89"/>
    <w:rsid w:val="00E53F61"/>
    <w:rsid w:val="00E54673"/>
    <w:rsid w:val="00E54708"/>
    <w:rsid w:val="00E548BC"/>
    <w:rsid w:val="00E54972"/>
    <w:rsid w:val="00E54A5F"/>
    <w:rsid w:val="00E54C50"/>
    <w:rsid w:val="00E54D68"/>
    <w:rsid w:val="00E54DC4"/>
    <w:rsid w:val="00E554E4"/>
    <w:rsid w:val="00E556AC"/>
    <w:rsid w:val="00E55CF2"/>
    <w:rsid w:val="00E56258"/>
    <w:rsid w:val="00E562EF"/>
    <w:rsid w:val="00E56D99"/>
    <w:rsid w:val="00E57505"/>
    <w:rsid w:val="00E57CC2"/>
    <w:rsid w:val="00E60660"/>
    <w:rsid w:val="00E609A0"/>
    <w:rsid w:val="00E609EF"/>
    <w:rsid w:val="00E60C8F"/>
    <w:rsid w:val="00E60E91"/>
    <w:rsid w:val="00E61906"/>
    <w:rsid w:val="00E61D06"/>
    <w:rsid w:val="00E61D25"/>
    <w:rsid w:val="00E61EDE"/>
    <w:rsid w:val="00E622C1"/>
    <w:rsid w:val="00E626DE"/>
    <w:rsid w:val="00E6292D"/>
    <w:rsid w:val="00E634C6"/>
    <w:rsid w:val="00E635C5"/>
    <w:rsid w:val="00E63F89"/>
    <w:rsid w:val="00E63FB0"/>
    <w:rsid w:val="00E64013"/>
    <w:rsid w:val="00E645FA"/>
    <w:rsid w:val="00E646AE"/>
    <w:rsid w:val="00E6496B"/>
    <w:rsid w:val="00E649CD"/>
    <w:rsid w:val="00E64E33"/>
    <w:rsid w:val="00E65432"/>
    <w:rsid w:val="00E654B9"/>
    <w:rsid w:val="00E65525"/>
    <w:rsid w:val="00E656DC"/>
    <w:rsid w:val="00E6671F"/>
    <w:rsid w:val="00E669B2"/>
    <w:rsid w:val="00E67871"/>
    <w:rsid w:val="00E67C39"/>
    <w:rsid w:val="00E7004D"/>
    <w:rsid w:val="00E703F7"/>
    <w:rsid w:val="00E708DD"/>
    <w:rsid w:val="00E70AA1"/>
    <w:rsid w:val="00E70EFA"/>
    <w:rsid w:val="00E712DE"/>
    <w:rsid w:val="00E716D1"/>
    <w:rsid w:val="00E717D5"/>
    <w:rsid w:val="00E71E97"/>
    <w:rsid w:val="00E71F3F"/>
    <w:rsid w:val="00E721B8"/>
    <w:rsid w:val="00E72858"/>
    <w:rsid w:val="00E72AE4"/>
    <w:rsid w:val="00E72F92"/>
    <w:rsid w:val="00E73248"/>
    <w:rsid w:val="00E73F34"/>
    <w:rsid w:val="00E74429"/>
    <w:rsid w:val="00E74CA6"/>
    <w:rsid w:val="00E74D14"/>
    <w:rsid w:val="00E74E63"/>
    <w:rsid w:val="00E753B8"/>
    <w:rsid w:val="00E756BE"/>
    <w:rsid w:val="00E75819"/>
    <w:rsid w:val="00E75969"/>
    <w:rsid w:val="00E75E9D"/>
    <w:rsid w:val="00E762F8"/>
    <w:rsid w:val="00E768FC"/>
    <w:rsid w:val="00E76A3C"/>
    <w:rsid w:val="00E771D6"/>
    <w:rsid w:val="00E77B99"/>
    <w:rsid w:val="00E77D91"/>
    <w:rsid w:val="00E77F7A"/>
    <w:rsid w:val="00E803A9"/>
    <w:rsid w:val="00E8098F"/>
    <w:rsid w:val="00E80CAC"/>
    <w:rsid w:val="00E80E1C"/>
    <w:rsid w:val="00E82589"/>
    <w:rsid w:val="00E8286B"/>
    <w:rsid w:val="00E82B90"/>
    <w:rsid w:val="00E833FB"/>
    <w:rsid w:val="00E83B71"/>
    <w:rsid w:val="00E8498A"/>
    <w:rsid w:val="00E849B0"/>
    <w:rsid w:val="00E84BEC"/>
    <w:rsid w:val="00E856C1"/>
    <w:rsid w:val="00E85B2A"/>
    <w:rsid w:val="00E85F84"/>
    <w:rsid w:val="00E86429"/>
    <w:rsid w:val="00E86682"/>
    <w:rsid w:val="00E866C1"/>
    <w:rsid w:val="00E87134"/>
    <w:rsid w:val="00E87E74"/>
    <w:rsid w:val="00E9068D"/>
    <w:rsid w:val="00E907D5"/>
    <w:rsid w:val="00E90F6F"/>
    <w:rsid w:val="00E91248"/>
    <w:rsid w:val="00E9153A"/>
    <w:rsid w:val="00E918C9"/>
    <w:rsid w:val="00E923EB"/>
    <w:rsid w:val="00E925EF"/>
    <w:rsid w:val="00E928FB"/>
    <w:rsid w:val="00E9297F"/>
    <w:rsid w:val="00E92A0A"/>
    <w:rsid w:val="00E93066"/>
    <w:rsid w:val="00E9310C"/>
    <w:rsid w:val="00E93386"/>
    <w:rsid w:val="00E9345F"/>
    <w:rsid w:val="00E9366F"/>
    <w:rsid w:val="00E940BB"/>
    <w:rsid w:val="00E94279"/>
    <w:rsid w:val="00E942E8"/>
    <w:rsid w:val="00E94325"/>
    <w:rsid w:val="00E94494"/>
    <w:rsid w:val="00E948C4"/>
    <w:rsid w:val="00E94D2F"/>
    <w:rsid w:val="00E94E8E"/>
    <w:rsid w:val="00E95224"/>
    <w:rsid w:val="00E95448"/>
    <w:rsid w:val="00E95677"/>
    <w:rsid w:val="00E95679"/>
    <w:rsid w:val="00E9589A"/>
    <w:rsid w:val="00E961CE"/>
    <w:rsid w:val="00E96BF2"/>
    <w:rsid w:val="00E96F47"/>
    <w:rsid w:val="00E96FB4"/>
    <w:rsid w:val="00E9725A"/>
    <w:rsid w:val="00E97426"/>
    <w:rsid w:val="00E97C3A"/>
    <w:rsid w:val="00EA036C"/>
    <w:rsid w:val="00EA0455"/>
    <w:rsid w:val="00EA0619"/>
    <w:rsid w:val="00EA09AA"/>
    <w:rsid w:val="00EA1071"/>
    <w:rsid w:val="00EA1076"/>
    <w:rsid w:val="00EA10C8"/>
    <w:rsid w:val="00EA1137"/>
    <w:rsid w:val="00EA12E3"/>
    <w:rsid w:val="00EA147C"/>
    <w:rsid w:val="00EA1490"/>
    <w:rsid w:val="00EA19F7"/>
    <w:rsid w:val="00EA1C19"/>
    <w:rsid w:val="00EA2499"/>
    <w:rsid w:val="00EA2727"/>
    <w:rsid w:val="00EA2811"/>
    <w:rsid w:val="00EA2972"/>
    <w:rsid w:val="00EA2B57"/>
    <w:rsid w:val="00EA2DE5"/>
    <w:rsid w:val="00EA3795"/>
    <w:rsid w:val="00EA382A"/>
    <w:rsid w:val="00EA3836"/>
    <w:rsid w:val="00EA3A9F"/>
    <w:rsid w:val="00EA3C40"/>
    <w:rsid w:val="00EA41EE"/>
    <w:rsid w:val="00EA43F1"/>
    <w:rsid w:val="00EA4C46"/>
    <w:rsid w:val="00EA5079"/>
    <w:rsid w:val="00EA50DF"/>
    <w:rsid w:val="00EA51DC"/>
    <w:rsid w:val="00EA52A1"/>
    <w:rsid w:val="00EA5AB8"/>
    <w:rsid w:val="00EA5CE4"/>
    <w:rsid w:val="00EA6146"/>
    <w:rsid w:val="00EA616F"/>
    <w:rsid w:val="00EA65CE"/>
    <w:rsid w:val="00EA6AB4"/>
    <w:rsid w:val="00EA6B0C"/>
    <w:rsid w:val="00EA6F4B"/>
    <w:rsid w:val="00EB0313"/>
    <w:rsid w:val="00EB05E1"/>
    <w:rsid w:val="00EB077F"/>
    <w:rsid w:val="00EB089C"/>
    <w:rsid w:val="00EB0DE2"/>
    <w:rsid w:val="00EB0E5A"/>
    <w:rsid w:val="00EB19EA"/>
    <w:rsid w:val="00EB1B0B"/>
    <w:rsid w:val="00EB1E52"/>
    <w:rsid w:val="00EB21B4"/>
    <w:rsid w:val="00EB2644"/>
    <w:rsid w:val="00EB2769"/>
    <w:rsid w:val="00EB2EEA"/>
    <w:rsid w:val="00EB2FF3"/>
    <w:rsid w:val="00EB3456"/>
    <w:rsid w:val="00EB36C2"/>
    <w:rsid w:val="00EB3909"/>
    <w:rsid w:val="00EB3A98"/>
    <w:rsid w:val="00EB3F02"/>
    <w:rsid w:val="00EB49B1"/>
    <w:rsid w:val="00EB53E0"/>
    <w:rsid w:val="00EB5802"/>
    <w:rsid w:val="00EB58D8"/>
    <w:rsid w:val="00EB60C0"/>
    <w:rsid w:val="00EB6683"/>
    <w:rsid w:val="00EB66A4"/>
    <w:rsid w:val="00EB6BE6"/>
    <w:rsid w:val="00EB7260"/>
    <w:rsid w:val="00EB7892"/>
    <w:rsid w:val="00EC046B"/>
    <w:rsid w:val="00EC0855"/>
    <w:rsid w:val="00EC0EE8"/>
    <w:rsid w:val="00EC14AB"/>
    <w:rsid w:val="00EC19F6"/>
    <w:rsid w:val="00EC2333"/>
    <w:rsid w:val="00EC2753"/>
    <w:rsid w:val="00EC275D"/>
    <w:rsid w:val="00EC3007"/>
    <w:rsid w:val="00EC32A2"/>
    <w:rsid w:val="00EC3B16"/>
    <w:rsid w:val="00EC3D7A"/>
    <w:rsid w:val="00EC40C2"/>
    <w:rsid w:val="00EC4407"/>
    <w:rsid w:val="00EC50DD"/>
    <w:rsid w:val="00EC51B3"/>
    <w:rsid w:val="00EC52C0"/>
    <w:rsid w:val="00EC55D8"/>
    <w:rsid w:val="00EC5978"/>
    <w:rsid w:val="00EC5C66"/>
    <w:rsid w:val="00EC5FF9"/>
    <w:rsid w:val="00EC6E40"/>
    <w:rsid w:val="00EC76B8"/>
    <w:rsid w:val="00EC7AC3"/>
    <w:rsid w:val="00EC7BF9"/>
    <w:rsid w:val="00EC7E5E"/>
    <w:rsid w:val="00ED00F5"/>
    <w:rsid w:val="00ED0F84"/>
    <w:rsid w:val="00ED1394"/>
    <w:rsid w:val="00ED164D"/>
    <w:rsid w:val="00ED1A2F"/>
    <w:rsid w:val="00ED1D52"/>
    <w:rsid w:val="00ED1EEA"/>
    <w:rsid w:val="00ED22EE"/>
    <w:rsid w:val="00ED25A9"/>
    <w:rsid w:val="00ED2859"/>
    <w:rsid w:val="00ED2ABB"/>
    <w:rsid w:val="00ED2ABD"/>
    <w:rsid w:val="00ED2BD9"/>
    <w:rsid w:val="00ED2F32"/>
    <w:rsid w:val="00ED30E7"/>
    <w:rsid w:val="00ED31AB"/>
    <w:rsid w:val="00ED391A"/>
    <w:rsid w:val="00ED4040"/>
    <w:rsid w:val="00ED4196"/>
    <w:rsid w:val="00ED4FAD"/>
    <w:rsid w:val="00ED5B02"/>
    <w:rsid w:val="00ED61E1"/>
    <w:rsid w:val="00ED6AD4"/>
    <w:rsid w:val="00ED6F67"/>
    <w:rsid w:val="00ED6FD0"/>
    <w:rsid w:val="00ED774C"/>
    <w:rsid w:val="00ED7788"/>
    <w:rsid w:val="00ED78BE"/>
    <w:rsid w:val="00ED7EAB"/>
    <w:rsid w:val="00EE044D"/>
    <w:rsid w:val="00EE09B8"/>
    <w:rsid w:val="00EE0A9E"/>
    <w:rsid w:val="00EE0B9C"/>
    <w:rsid w:val="00EE0CB4"/>
    <w:rsid w:val="00EE145B"/>
    <w:rsid w:val="00EE14BB"/>
    <w:rsid w:val="00EE157B"/>
    <w:rsid w:val="00EE1632"/>
    <w:rsid w:val="00EE19BA"/>
    <w:rsid w:val="00EE1E37"/>
    <w:rsid w:val="00EE241D"/>
    <w:rsid w:val="00EE246E"/>
    <w:rsid w:val="00EE2D9A"/>
    <w:rsid w:val="00EE2FB3"/>
    <w:rsid w:val="00EE3441"/>
    <w:rsid w:val="00EE35F7"/>
    <w:rsid w:val="00EE36AB"/>
    <w:rsid w:val="00EE4062"/>
    <w:rsid w:val="00EE418B"/>
    <w:rsid w:val="00EE4FCA"/>
    <w:rsid w:val="00EE50DC"/>
    <w:rsid w:val="00EE56C9"/>
    <w:rsid w:val="00EE5908"/>
    <w:rsid w:val="00EE5C73"/>
    <w:rsid w:val="00EE5DB6"/>
    <w:rsid w:val="00EE62C5"/>
    <w:rsid w:val="00EE6408"/>
    <w:rsid w:val="00EE688C"/>
    <w:rsid w:val="00EE6A65"/>
    <w:rsid w:val="00EE6D90"/>
    <w:rsid w:val="00EE7777"/>
    <w:rsid w:val="00EE7AAC"/>
    <w:rsid w:val="00EE7D9E"/>
    <w:rsid w:val="00EF002F"/>
    <w:rsid w:val="00EF0267"/>
    <w:rsid w:val="00EF0ABE"/>
    <w:rsid w:val="00EF1BB3"/>
    <w:rsid w:val="00EF238B"/>
    <w:rsid w:val="00EF2576"/>
    <w:rsid w:val="00EF29DC"/>
    <w:rsid w:val="00EF2C05"/>
    <w:rsid w:val="00EF2C7C"/>
    <w:rsid w:val="00EF2CA4"/>
    <w:rsid w:val="00EF2F70"/>
    <w:rsid w:val="00EF2FC9"/>
    <w:rsid w:val="00EF38EF"/>
    <w:rsid w:val="00EF3AD6"/>
    <w:rsid w:val="00EF4047"/>
    <w:rsid w:val="00EF4086"/>
    <w:rsid w:val="00EF5093"/>
    <w:rsid w:val="00EF5252"/>
    <w:rsid w:val="00EF5C1E"/>
    <w:rsid w:val="00EF6208"/>
    <w:rsid w:val="00EF6CA8"/>
    <w:rsid w:val="00EF6CF3"/>
    <w:rsid w:val="00EF750B"/>
    <w:rsid w:val="00EF75E1"/>
    <w:rsid w:val="00EF76FB"/>
    <w:rsid w:val="00EF7E1D"/>
    <w:rsid w:val="00F0037E"/>
    <w:rsid w:val="00F00BBF"/>
    <w:rsid w:val="00F0107B"/>
    <w:rsid w:val="00F01522"/>
    <w:rsid w:val="00F0217D"/>
    <w:rsid w:val="00F0239A"/>
    <w:rsid w:val="00F02427"/>
    <w:rsid w:val="00F028CA"/>
    <w:rsid w:val="00F02CDA"/>
    <w:rsid w:val="00F02DF5"/>
    <w:rsid w:val="00F03045"/>
    <w:rsid w:val="00F0398A"/>
    <w:rsid w:val="00F03C7B"/>
    <w:rsid w:val="00F0406C"/>
    <w:rsid w:val="00F041E3"/>
    <w:rsid w:val="00F044FD"/>
    <w:rsid w:val="00F044FF"/>
    <w:rsid w:val="00F046DD"/>
    <w:rsid w:val="00F04A02"/>
    <w:rsid w:val="00F04DE7"/>
    <w:rsid w:val="00F04EA1"/>
    <w:rsid w:val="00F0512F"/>
    <w:rsid w:val="00F0518A"/>
    <w:rsid w:val="00F053A8"/>
    <w:rsid w:val="00F05838"/>
    <w:rsid w:val="00F0601D"/>
    <w:rsid w:val="00F06090"/>
    <w:rsid w:val="00F066A6"/>
    <w:rsid w:val="00F066F9"/>
    <w:rsid w:val="00F06AA2"/>
    <w:rsid w:val="00F06D3D"/>
    <w:rsid w:val="00F077B5"/>
    <w:rsid w:val="00F07810"/>
    <w:rsid w:val="00F07F32"/>
    <w:rsid w:val="00F102FB"/>
    <w:rsid w:val="00F10904"/>
    <w:rsid w:val="00F115A6"/>
    <w:rsid w:val="00F11C0C"/>
    <w:rsid w:val="00F11CBF"/>
    <w:rsid w:val="00F11DB3"/>
    <w:rsid w:val="00F123BD"/>
    <w:rsid w:val="00F12DBA"/>
    <w:rsid w:val="00F1305A"/>
    <w:rsid w:val="00F13069"/>
    <w:rsid w:val="00F13C39"/>
    <w:rsid w:val="00F13DAA"/>
    <w:rsid w:val="00F14002"/>
    <w:rsid w:val="00F146F8"/>
    <w:rsid w:val="00F14E7C"/>
    <w:rsid w:val="00F15742"/>
    <w:rsid w:val="00F15D7B"/>
    <w:rsid w:val="00F15EFA"/>
    <w:rsid w:val="00F16033"/>
    <w:rsid w:val="00F1634D"/>
    <w:rsid w:val="00F16357"/>
    <w:rsid w:val="00F165AD"/>
    <w:rsid w:val="00F16882"/>
    <w:rsid w:val="00F169F6"/>
    <w:rsid w:val="00F173E2"/>
    <w:rsid w:val="00F1748C"/>
    <w:rsid w:val="00F179D8"/>
    <w:rsid w:val="00F17D6D"/>
    <w:rsid w:val="00F17F36"/>
    <w:rsid w:val="00F2030F"/>
    <w:rsid w:val="00F203B3"/>
    <w:rsid w:val="00F208FF"/>
    <w:rsid w:val="00F20BA2"/>
    <w:rsid w:val="00F20EC3"/>
    <w:rsid w:val="00F213BD"/>
    <w:rsid w:val="00F223CE"/>
    <w:rsid w:val="00F224DA"/>
    <w:rsid w:val="00F2287B"/>
    <w:rsid w:val="00F23351"/>
    <w:rsid w:val="00F23A82"/>
    <w:rsid w:val="00F23C6D"/>
    <w:rsid w:val="00F23D9E"/>
    <w:rsid w:val="00F23E41"/>
    <w:rsid w:val="00F25791"/>
    <w:rsid w:val="00F25E64"/>
    <w:rsid w:val="00F26255"/>
    <w:rsid w:val="00F27065"/>
    <w:rsid w:val="00F27746"/>
    <w:rsid w:val="00F27961"/>
    <w:rsid w:val="00F27DB0"/>
    <w:rsid w:val="00F301C6"/>
    <w:rsid w:val="00F307E6"/>
    <w:rsid w:val="00F30CAB"/>
    <w:rsid w:val="00F316B6"/>
    <w:rsid w:val="00F322FD"/>
    <w:rsid w:val="00F3246E"/>
    <w:rsid w:val="00F33728"/>
    <w:rsid w:val="00F3388B"/>
    <w:rsid w:val="00F339BB"/>
    <w:rsid w:val="00F339C8"/>
    <w:rsid w:val="00F347DD"/>
    <w:rsid w:val="00F354E7"/>
    <w:rsid w:val="00F359F4"/>
    <w:rsid w:val="00F36588"/>
    <w:rsid w:val="00F36D4A"/>
    <w:rsid w:val="00F37089"/>
    <w:rsid w:val="00F373E0"/>
    <w:rsid w:val="00F376FE"/>
    <w:rsid w:val="00F37A4D"/>
    <w:rsid w:val="00F4060A"/>
    <w:rsid w:val="00F406FD"/>
    <w:rsid w:val="00F40D3E"/>
    <w:rsid w:val="00F40DAD"/>
    <w:rsid w:val="00F4103C"/>
    <w:rsid w:val="00F412F4"/>
    <w:rsid w:val="00F4134B"/>
    <w:rsid w:val="00F41871"/>
    <w:rsid w:val="00F4218D"/>
    <w:rsid w:val="00F424FA"/>
    <w:rsid w:val="00F42F1F"/>
    <w:rsid w:val="00F43F0B"/>
    <w:rsid w:val="00F44B50"/>
    <w:rsid w:val="00F44B96"/>
    <w:rsid w:val="00F44F9E"/>
    <w:rsid w:val="00F454FF"/>
    <w:rsid w:val="00F45A07"/>
    <w:rsid w:val="00F45F89"/>
    <w:rsid w:val="00F45FC8"/>
    <w:rsid w:val="00F460A6"/>
    <w:rsid w:val="00F464B5"/>
    <w:rsid w:val="00F46F8D"/>
    <w:rsid w:val="00F474B5"/>
    <w:rsid w:val="00F475FD"/>
    <w:rsid w:val="00F50067"/>
    <w:rsid w:val="00F5040F"/>
    <w:rsid w:val="00F50412"/>
    <w:rsid w:val="00F5052A"/>
    <w:rsid w:val="00F505FB"/>
    <w:rsid w:val="00F50778"/>
    <w:rsid w:val="00F50DDB"/>
    <w:rsid w:val="00F50E9F"/>
    <w:rsid w:val="00F5124D"/>
    <w:rsid w:val="00F512D6"/>
    <w:rsid w:val="00F51527"/>
    <w:rsid w:val="00F51FC3"/>
    <w:rsid w:val="00F522D6"/>
    <w:rsid w:val="00F52950"/>
    <w:rsid w:val="00F52E78"/>
    <w:rsid w:val="00F5334E"/>
    <w:rsid w:val="00F53648"/>
    <w:rsid w:val="00F53A78"/>
    <w:rsid w:val="00F53BF3"/>
    <w:rsid w:val="00F53D97"/>
    <w:rsid w:val="00F5425E"/>
    <w:rsid w:val="00F546F3"/>
    <w:rsid w:val="00F5520B"/>
    <w:rsid w:val="00F553FF"/>
    <w:rsid w:val="00F55B2F"/>
    <w:rsid w:val="00F55D43"/>
    <w:rsid w:val="00F56108"/>
    <w:rsid w:val="00F562DD"/>
    <w:rsid w:val="00F56E5E"/>
    <w:rsid w:val="00F57169"/>
    <w:rsid w:val="00F57172"/>
    <w:rsid w:val="00F5720D"/>
    <w:rsid w:val="00F577A0"/>
    <w:rsid w:val="00F579EB"/>
    <w:rsid w:val="00F600E8"/>
    <w:rsid w:val="00F601EC"/>
    <w:rsid w:val="00F60754"/>
    <w:rsid w:val="00F60DC8"/>
    <w:rsid w:val="00F60EC5"/>
    <w:rsid w:val="00F610AE"/>
    <w:rsid w:val="00F612D4"/>
    <w:rsid w:val="00F612D7"/>
    <w:rsid w:val="00F61ED1"/>
    <w:rsid w:val="00F61F15"/>
    <w:rsid w:val="00F62191"/>
    <w:rsid w:val="00F62280"/>
    <w:rsid w:val="00F624D1"/>
    <w:rsid w:val="00F62C6B"/>
    <w:rsid w:val="00F63076"/>
    <w:rsid w:val="00F63137"/>
    <w:rsid w:val="00F637C7"/>
    <w:rsid w:val="00F63AA2"/>
    <w:rsid w:val="00F647ED"/>
    <w:rsid w:val="00F64B2F"/>
    <w:rsid w:val="00F64BA2"/>
    <w:rsid w:val="00F64CAB"/>
    <w:rsid w:val="00F64CAF"/>
    <w:rsid w:val="00F64E87"/>
    <w:rsid w:val="00F65784"/>
    <w:rsid w:val="00F6623D"/>
    <w:rsid w:val="00F66D99"/>
    <w:rsid w:val="00F67294"/>
    <w:rsid w:val="00F67A7B"/>
    <w:rsid w:val="00F67C71"/>
    <w:rsid w:val="00F67DEC"/>
    <w:rsid w:val="00F702B3"/>
    <w:rsid w:val="00F70942"/>
    <w:rsid w:val="00F70AB2"/>
    <w:rsid w:val="00F70ACD"/>
    <w:rsid w:val="00F713E6"/>
    <w:rsid w:val="00F7173E"/>
    <w:rsid w:val="00F7189D"/>
    <w:rsid w:val="00F718A9"/>
    <w:rsid w:val="00F71BF9"/>
    <w:rsid w:val="00F71C6D"/>
    <w:rsid w:val="00F71CD1"/>
    <w:rsid w:val="00F71E31"/>
    <w:rsid w:val="00F72270"/>
    <w:rsid w:val="00F7231F"/>
    <w:rsid w:val="00F7305D"/>
    <w:rsid w:val="00F73297"/>
    <w:rsid w:val="00F73901"/>
    <w:rsid w:val="00F73AFE"/>
    <w:rsid w:val="00F73FCC"/>
    <w:rsid w:val="00F74730"/>
    <w:rsid w:val="00F74B39"/>
    <w:rsid w:val="00F74BB5"/>
    <w:rsid w:val="00F74E59"/>
    <w:rsid w:val="00F74F65"/>
    <w:rsid w:val="00F74FE7"/>
    <w:rsid w:val="00F75381"/>
    <w:rsid w:val="00F75BD7"/>
    <w:rsid w:val="00F75C0C"/>
    <w:rsid w:val="00F75F31"/>
    <w:rsid w:val="00F762AC"/>
    <w:rsid w:val="00F765A6"/>
    <w:rsid w:val="00F76717"/>
    <w:rsid w:val="00F7710C"/>
    <w:rsid w:val="00F803B8"/>
    <w:rsid w:val="00F80687"/>
    <w:rsid w:val="00F80875"/>
    <w:rsid w:val="00F80C80"/>
    <w:rsid w:val="00F80F70"/>
    <w:rsid w:val="00F817BD"/>
    <w:rsid w:val="00F81C7A"/>
    <w:rsid w:val="00F81FED"/>
    <w:rsid w:val="00F821AF"/>
    <w:rsid w:val="00F82488"/>
    <w:rsid w:val="00F82E75"/>
    <w:rsid w:val="00F8351F"/>
    <w:rsid w:val="00F835BE"/>
    <w:rsid w:val="00F83654"/>
    <w:rsid w:val="00F83BC6"/>
    <w:rsid w:val="00F843B7"/>
    <w:rsid w:val="00F844EE"/>
    <w:rsid w:val="00F853E7"/>
    <w:rsid w:val="00F858EB"/>
    <w:rsid w:val="00F86904"/>
    <w:rsid w:val="00F86F4A"/>
    <w:rsid w:val="00F8726E"/>
    <w:rsid w:val="00F87B7C"/>
    <w:rsid w:val="00F87E5B"/>
    <w:rsid w:val="00F90494"/>
    <w:rsid w:val="00F908DC"/>
    <w:rsid w:val="00F9090E"/>
    <w:rsid w:val="00F90E17"/>
    <w:rsid w:val="00F914CD"/>
    <w:rsid w:val="00F91BB6"/>
    <w:rsid w:val="00F92F8C"/>
    <w:rsid w:val="00F9307F"/>
    <w:rsid w:val="00F931C0"/>
    <w:rsid w:val="00F9378A"/>
    <w:rsid w:val="00F93989"/>
    <w:rsid w:val="00F93E66"/>
    <w:rsid w:val="00F9461A"/>
    <w:rsid w:val="00F9471D"/>
    <w:rsid w:val="00F94B5C"/>
    <w:rsid w:val="00F951C4"/>
    <w:rsid w:val="00F955E8"/>
    <w:rsid w:val="00F956F2"/>
    <w:rsid w:val="00F95A3B"/>
    <w:rsid w:val="00F95AEB"/>
    <w:rsid w:val="00F961C3"/>
    <w:rsid w:val="00F961EF"/>
    <w:rsid w:val="00F964AA"/>
    <w:rsid w:val="00F964E9"/>
    <w:rsid w:val="00F96955"/>
    <w:rsid w:val="00F97261"/>
    <w:rsid w:val="00F9754B"/>
    <w:rsid w:val="00F97AE0"/>
    <w:rsid w:val="00FA008B"/>
    <w:rsid w:val="00FA032B"/>
    <w:rsid w:val="00FA09EE"/>
    <w:rsid w:val="00FA0F90"/>
    <w:rsid w:val="00FA109C"/>
    <w:rsid w:val="00FA133B"/>
    <w:rsid w:val="00FA137C"/>
    <w:rsid w:val="00FA171B"/>
    <w:rsid w:val="00FA1CD1"/>
    <w:rsid w:val="00FA1D29"/>
    <w:rsid w:val="00FA2C24"/>
    <w:rsid w:val="00FA2FE3"/>
    <w:rsid w:val="00FA36D7"/>
    <w:rsid w:val="00FA3760"/>
    <w:rsid w:val="00FA396C"/>
    <w:rsid w:val="00FA4097"/>
    <w:rsid w:val="00FA56D0"/>
    <w:rsid w:val="00FA57E1"/>
    <w:rsid w:val="00FA5C5F"/>
    <w:rsid w:val="00FA5E71"/>
    <w:rsid w:val="00FA5FF0"/>
    <w:rsid w:val="00FA6080"/>
    <w:rsid w:val="00FA623F"/>
    <w:rsid w:val="00FA66E4"/>
    <w:rsid w:val="00FA6D78"/>
    <w:rsid w:val="00FA6DB7"/>
    <w:rsid w:val="00FA6E01"/>
    <w:rsid w:val="00FA75D1"/>
    <w:rsid w:val="00FA78FD"/>
    <w:rsid w:val="00FA7DA2"/>
    <w:rsid w:val="00FB0176"/>
    <w:rsid w:val="00FB0483"/>
    <w:rsid w:val="00FB0559"/>
    <w:rsid w:val="00FB0612"/>
    <w:rsid w:val="00FB069E"/>
    <w:rsid w:val="00FB0837"/>
    <w:rsid w:val="00FB09FB"/>
    <w:rsid w:val="00FB0A00"/>
    <w:rsid w:val="00FB12E0"/>
    <w:rsid w:val="00FB1A39"/>
    <w:rsid w:val="00FB1B2A"/>
    <w:rsid w:val="00FB1C35"/>
    <w:rsid w:val="00FB1E17"/>
    <w:rsid w:val="00FB234D"/>
    <w:rsid w:val="00FB2826"/>
    <w:rsid w:val="00FB29B8"/>
    <w:rsid w:val="00FB2E95"/>
    <w:rsid w:val="00FB31CE"/>
    <w:rsid w:val="00FB33A6"/>
    <w:rsid w:val="00FB3809"/>
    <w:rsid w:val="00FB41AA"/>
    <w:rsid w:val="00FB44C0"/>
    <w:rsid w:val="00FB486D"/>
    <w:rsid w:val="00FB4FC2"/>
    <w:rsid w:val="00FB57E9"/>
    <w:rsid w:val="00FB5887"/>
    <w:rsid w:val="00FB626D"/>
    <w:rsid w:val="00FB6A0A"/>
    <w:rsid w:val="00FB6FC1"/>
    <w:rsid w:val="00FB7002"/>
    <w:rsid w:val="00FB7547"/>
    <w:rsid w:val="00FB7851"/>
    <w:rsid w:val="00FB78EB"/>
    <w:rsid w:val="00FB7AC8"/>
    <w:rsid w:val="00FB7EB0"/>
    <w:rsid w:val="00FC0400"/>
    <w:rsid w:val="00FC082D"/>
    <w:rsid w:val="00FC0A27"/>
    <w:rsid w:val="00FC0E39"/>
    <w:rsid w:val="00FC1000"/>
    <w:rsid w:val="00FC1222"/>
    <w:rsid w:val="00FC152A"/>
    <w:rsid w:val="00FC15F1"/>
    <w:rsid w:val="00FC16F0"/>
    <w:rsid w:val="00FC1B80"/>
    <w:rsid w:val="00FC1BB2"/>
    <w:rsid w:val="00FC1FA9"/>
    <w:rsid w:val="00FC2251"/>
    <w:rsid w:val="00FC24CB"/>
    <w:rsid w:val="00FC2515"/>
    <w:rsid w:val="00FC3909"/>
    <w:rsid w:val="00FC3C54"/>
    <w:rsid w:val="00FC496D"/>
    <w:rsid w:val="00FC4EAF"/>
    <w:rsid w:val="00FC4F02"/>
    <w:rsid w:val="00FC5065"/>
    <w:rsid w:val="00FC553D"/>
    <w:rsid w:val="00FC5D7E"/>
    <w:rsid w:val="00FC6445"/>
    <w:rsid w:val="00FC686B"/>
    <w:rsid w:val="00FC75E1"/>
    <w:rsid w:val="00FC780C"/>
    <w:rsid w:val="00FC7A0C"/>
    <w:rsid w:val="00FC7C4D"/>
    <w:rsid w:val="00FC7E99"/>
    <w:rsid w:val="00FD0A83"/>
    <w:rsid w:val="00FD0DD3"/>
    <w:rsid w:val="00FD0F54"/>
    <w:rsid w:val="00FD13CE"/>
    <w:rsid w:val="00FD14F1"/>
    <w:rsid w:val="00FD24E5"/>
    <w:rsid w:val="00FD2B6B"/>
    <w:rsid w:val="00FD2B83"/>
    <w:rsid w:val="00FD2B8E"/>
    <w:rsid w:val="00FD2BF3"/>
    <w:rsid w:val="00FD2C50"/>
    <w:rsid w:val="00FD2D18"/>
    <w:rsid w:val="00FD2D52"/>
    <w:rsid w:val="00FD3403"/>
    <w:rsid w:val="00FD39AA"/>
    <w:rsid w:val="00FD3E52"/>
    <w:rsid w:val="00FD4681"/>
    <w:rsid w:val="00FD4EF3"/>
    <w:rsid w:val="00FD4F33"/>
    <w:rsid w:val="00FD508E"/>
    <w:rsid w:val="00FD5396"/>
    <w:rsid w:val="00FD5CB6"/>
    <w:rsid w:val="00FD62B8"/>
    <w:rsid w:val="00FD6581"/>
    <w:rsid w:val="00FD6CD7"/>
    <w:rsid w:val="00FD7035"/>
    <w:rsid w:val="00FD758B"/>
    <w:rsid w:val="00FD78BC"/>
    <w:rsid w:val="00FD7AF9"/>
    <w:rsid w:val="00FE0A15"/>
    <w:rsid w:val="00FE1136"/>
    <w:rsid w:val="00FE1B59"/>
    <w:rsid w:val="00FE234C"/>
    <w:rsid w:val="00FE266B"/>
    <w:rsid w:val="00FE2840"/>
    <w:rsid w:val="00FE2AE0"/>
    <w:rsid w:val="00FE2CE1"/>
    <w:rsid w:val="00FE2DBD"/>
    <w:rsid w:val="00FE3096"/>
    <w:rsid w:val="00FE3275"/>
    <w:rsid w:val="00FE38DD"/>
    <w:rsid w:val="00FE3941"/>
    <w:rsid w:val="00FE3CD9"/>
    <w:rsid w:val="00FE4549"/>
    <w:rsid w:val="00FE4BBD"/>
    <w:rsid w:val="00FE4DBA"/>
    <w:rsid w:val="00FE6235"/>
    <w:rsid w:val="00FE6374"/>
    <w:rsid w:val="00FE69DE"/>
    <w:rsid w:val="00FE6A6E"/>
    <w:rsid w:val="00FE7176"/>
    <w:rsid w:val="00FE7B37"/>
    <w:rsid w:val="00FF017A"/>
    <w:rsid w:val="00FF02F5"/>
    <w:rsid w:val="00FF032F"/>
    <w:rsid w:val="00FF1108"/>
    <w:rsid w:val="00FF12F2"/>
    <w:rsid w:val="00FF1E6F"/>
    <w:rsid w:val="00FF21FB"/>
    <w:rsid w:val="00FF249B"/>
    <w:rsid w:val="00FF2606"/>
    <w:rsid w:val="00FF296C"/>
    <w:rsid w:val="00FF299F"/>
    <w:rsid w:val="00FF2C4F"/>
    <w:rsid w:val="00FF37CA"/>
    <w:rsid w:val="00FF48A0"/>
    <w:rsid w:val="00FF49D3"/>
    <w:rsid w:val="00FF4E44"/>
    <w:rsid w:val="00FF4F7C"/>
    <w:rsid w:val="00FF52D6"/>
    <w:rsid w:val="00FF5733"/>
    <w:rsid w:val="00FF5E92"/>
    <w:rsid w:val="00FF5EB6"/>
    <w:rsid w:val="00FF6039"/>
    <w:rsid w:val="00FF6664"/>
    <w:rsid w:val="00FF723E"/>
    <w:rsid w:val="00FF75FC"/>
    <w:rsid w:val="00FF79AA"/>
    <w:rsid w:val="01112DFE"/>
    <w:rsid w:val="01DD3C4D"/>
    <w:rsid w:val="02910FC1"/>
    <w:rsid w:val="02F90C36"/>
    <w:rsid w:val="035D1047"/>
    <w:rsid w:val="03C75E74"/>
    <w:rsid w:val="049E1845"/>
    <w:rsid w:val="04EB6681"/>
    <w:rsid w:val="050A463E"/>
    <w:rsid w:val="057C5126"/>
    <w:rsid w:val="0591347E"/>
    <w:rsid w:val="05B54ACB"/>
    <w:rsid w:val="05E3054F"/>
    <w:rsid w:val="069300A3"/>
    <w:rsid w:val="081461CD"/>
    <w:rsid w:val="08730E67"/>
    <w:rsid w:val="08A3687B"/>
    <w:rsid w:val="0A280DDB"/>
    <w:rsid w:val="0A3D05ED"/>
    <w:rsid w:val="0A871F6A"/>
    <w:rsid w:val="0B2C4B8B"/>
    <w:rsid w:val="0BAC53CB"/>
    <w:rsid w:val="0CD46CA9"/>
    <w:rsid w:val="0DB51EB0"/>
    <w:rsid w:val="0DBF2D30"/>
    <w:rsid w:val="0E91698C"/>
    <w:rsid w:val="0FA1450C"/>
    <w:rsid w:val="10684D41"/>
    <w:rsid w:val="108E783E"/>
    <w:rsid w:val="11000C59"/>
    <w:rsid w:val="113B7EF3"/>
    <w:rsid w:val="11532F4D"/>
    <w:rsid w:val="11B004FB"/>
    <w:rsid w:val="11BE3840"/>
    <w:rsid w:val="11FD3BB4"/>
    <w:rsid w:val="123E5D6B"/>
    <w:rsid w:val="12621A13"/>
    <w:rsid w:val="12671544"/>
    <w:rsid w:val="12727031"/>
    <w:rsid w:val="1283069B"/>
    <w:rsid w:val="12E569CA"/>
    <w:rsid w:val="1356473F"/>
    <w:rsid w:val="13A85867"/>
    <w:rsid w:val="14193F72"/>
    <w:rsid w:val="16976AA6"/>
    <w:rsid w:val="16B55F3D"/>
    <w:rsid w:val="16D85D9A"/>
    <w:rsid w:val="172B401D"/>
    <w:rsid w:val="17B6463A"/>
    <w:rsid w:val="181A2411"/>
    <w:rsid w:val="182A4EC1"/>
    <w:rsid w:val="1AA5763C"/>
    <w:rsid w:val="1B0C601A"/>
    <w:rsid w:val="1B1B4E12"/>
    <w:rsid w:val="1B6341E5"/>
    <w:rsid w:val="1B807F27"/>
    <w:rsid w:val="1BF47574"/>
    <w:rsid w:val="1C2A7385"/>
    <w:rsid w:val="1C403370"/>
    <w:rsid w:val="1C4A13C8"/>
    <w:rsid w:val="1DB77AB0"/>
    <w:rsid w:val="1DEB643E"/>
    <w:rsid w:val="1E1D5C5A"/>
    <w:rsid w:val="1E312D49"/>
    <w:rsid w:val="1F0C69DE"/>
    <w:rsid w:val="1F8F5398"/>
    <w:rsid w:val="20D44CE6"/>
    <w:rsid w:val="20E32732"/>
    <w:rsid w:val="20FC65EE"/>
    <w:rsid w:val="2143258C"/>
    <w:rsid w:val="217056E2"/>
    <w:rsid w:val="224402B2"/>
    <w:rsid w:val="22807B4B"/>
    <w:rsid w:val="22DC5977"/>
    <w:rsid w:val="232A188C"/>
    <w:rsid w:val="232E3EB1"/>
    <w:rsid w:val="25113EF2"/>
    <w:rsid w:val="254038FF"/>
    <w:rsid w:val="26211CA7"/>
    <w:rsid w:val="262D7AF2"/>
    <w:rsid w:val="26D55BD5"/>
    <w:rsid w:val="27231E33"/>
    <w:rsid w:val="2788212E"/>
    <w:rsid w:val="27A06E34"/>
    <w:rsid w:val="27F47913"/>
    <w:rsid w:val="28765213"/>
    <w:rsid w:val="290131FF"/>
    <w:rsid w:val="294D243B"/>
    <w:rsid w:val="29CD1E2E"/>
    <w:rsid w:val="29EF0399"/>
    <w:rsid w:val="2A504EBC"/>
    <w:rsid w:val="2A5E0C40"/>
    <w:rsid w:val="2AF14F32"/>
    <w:rsid w:val="2B096392"/>
    <w:rsid w:val="2B4D3CEE"/>
    <w:rsid w:val="2B9E0335"/>
    <w:rsid w:val="2BD03D92"/>
    <w:rsid w:val="2C167BD8"/>
    <w:rsid w:val="2C6D3946"/>
    <w:rsid w:val="2C7B7E61"/>
    <w:rsid w:val="2C9133DA"/>
    <w:rsid w:val="2CCB33B8"/>
    <w:rsid w:val="2D0D151B"/>
    <w:rsid w:val="2D2E3F7D"/>
    <w:rsid w:val="2D457AF7"/>
    <w:rsid w:val="2D461F58"/>
    <w:rsid w:val="2D4E3445"/>
    <w:rsid w:val="2D8017AD"/>
    <w:rsid w:val="2DB81334"/>
    <w:rsid w:val="2E46786D"/>
    <w:rsid w:val="2E673CD7"/>
    <w:rsid w:val="2F814539"/>
    <w:rsid w:val="30337172"/>
    <w:rsid w:val="30393E95"/>
    <w:rsid w:val="30B43974"/>
    <w:rsid w:val="31BF621F"/>
    <w:rsid w:val="31ED6A39"/>
    <w:rsid w:val="31F17785"/>
    <w:rsid w:val="326923AB"/>
    <w:rsid w:val="32AC4C74"/>
    <w:rsid w:val="32DF14D3"/>
    <w:rsid w:val="32EA18A1"/>
    <w:rsid w:val="334A24B0"/>
    <w:rsid w:val="33D831AC"/>
    <w:rsid w:val="33F51693"/>
    <w:rsid w:val="33FC6D3A"/>
    <w:rsid w:val="34815614"/>
    <w:rsid w:val="34A64FAC"/>
    <w:rsid w:val="3545776E"/>
    <w:rsid w:val="357D408F"/>
    <w:rsid w:val="357D687A"/>
    <w:rsid w:val="35C255A9"/>
    <w:rsid w:val="35E548A3"/>
    <w:rsid w:val="35F7464E"/>
    <w:rsid w:val="36277F91"/>
    <w:rsid w:val="364D78F2"/>
    <w:rsid w:val="369B7502"/>
    <w:rsid w:val="371142AB"/>
    <w:rsid w:val="37243E78"/>
    <w:rsid w:val="37631700"/>
    <w:rsid w:val="37711FE9"/>
    <w:rsid w:val="37AA780F"/>
    <w:rsid w:val="37AF6638"/>
    <w:rsid w:val="387B22FC"/>
    <w:rsid w:val="397E0C40"/>
    <w:rsid w:val="398E6D81"/>
    <w:rsid w:val="3B2F4410"/>
    <w:rsid w:val="3BA727F2"/>
    <w:rsid w:val="3D261AEE"/>
    <w:rsid w:val="3E0445A9"/>
    <w:rsid w:val="3E4563AD"/>
    <w:rsid w:val="3E552A0E"/>
    <w:rsid w:val="3F1A15C4"/>
    <w:rsid w:val="409D5B1B"/>
    <w:rsid w:val="41AF2867"/>
    <w:rsid w:val="41C236C0"/>
    <w:rsid w:val="41CC1599"/>
    <w:rsid w:val="41CE3B64"/>
    <w:rsid w:val="42381D17"/>
    <w:rsid w:val="42563004"/>
    <w:rsid w:val="42621BDA"/>
    <w:rsid w:val="429C11E6"/>
    <w:rsid w:val="42EF01FF"/>
    <w:rsid w:val="4307406C"/>
    <w:rsid w:val="43E42DCC"/>
    <w:rsid w:val="446300C4"/>
    <w:rsid w:val="457A7435"/>
    <w:rsid w:val="457E4EB3"/>
    <w:rsid w:val="457F608F"/>
    <w:rsid w:val="465C03E7"/>
    <w:rsid w:val="465D206E"/>
    <w:rsid w:val="47926311"/>
    <w:rsid w:val="480261DD"/>
    <w:rsid w:val="48FC1EE4"/>
    <w:rsid w:val="49437E06"/>
    <w:rsid w:val="49F4333C"/>
    <w:rsid w:val="4A397BAD"/>
    <w:rsid w:val="4A98205B"/>
    <w:rsid w:val="4AD52CE0"/>
    <w:rsid w:val="4CFA195C"/>
    <w:rsid w:val="4CFD684A"/>
    <w:rsid w:val="4D561F6C"/>
    <w:rsid w:val="4DA43E6C"/>
    <w:rsid w:val="4E3C6FB0"/>
    <w:rsid w:val="4E4F4094"/>
    <w:rsid w:val="4E7B202B"/>
    <w:rsid w:val="4EB11CF1"/>
    <w:rsid w:val="4F40290A"/>
    <w:rsid w:val="4F8E0928"/>
    <w:rsid w:val="4FED6ACC"/>
    <w:rsid w:val="521C66E0"/>
    <w:rsid w:val="52616A98"/>
    <w:rsid w:val="530A54F1"/>
    <w:rsid w:val="531B0805"/>
    <w:rsid w:val="533F0A8A"/>
    <w:rsid w:val="53501523"/>
    <w:rsid w:val="53723065"/>
    <w:rsid w:val="549F6D04"/>
    <w:rsid w:val="54D67D81"/>
    <w:rsid w:val="58496ABB"/>
    <w:rsid w:val="58CA5CB5"/>
    <w:rsid w:val="59D625D1"/>
    <w:rsid w:val="5A4A0490"/>
    <w:rsid w:val="5A991510"/>
    <w:rsid w:val="5B856C13"/>
    <w:rsid w:val="5B96755C"/>
    <w:rsid w:val="5B9C369D"/>
    <w:rsid w:val="5E161CB1"/>
    <w:rsid w:val="5E611208"/>
    <w:rsid w:val="5E8720EC"/>
    <w:rsid w:val="5F0F33FA"/>
    <w:rsid w:val="5FB766AD"/>
    <w:rsid w:val="60125C49"/>
    <w:rsid w:val="60723745"/>
    <w:rsid w:val="63497970"/>
    <w:rsid w:val="6376473D"/>
    <w:rsid w:val="637A66FA"/>
    <w:rsid w:val="63D441F7"/>
    <w:rsid w:val="64285467"/>
    <w:rsid w:val="64913EAD"/>
    <w:rsid w:val="655E0C4C"/>
    <w:rsid w:val="6672356D"/>
    <w:rsid w:val="66B4240E"/>
    <w:rsid w:val="679F7D1C"/>
    <w:rsid w:val="67B04649"/>
    <w:rsid w:val="67CF3FFC"/>
    <w:rsid w:val="68095D1B"/>
    <w:rsid w:val="68106CAE"/>
    <w:rsid w:val="6A6536FD"/>
    <w:rsid w:val="6AEB3F75"/>
    <w:rsid w:val="6B570C95"/>
    <w:rsid w:val="6BF0498F"/>
    <w:rsid w:val="6BFD1039"/>
    <w:rsid w:val="6CD9122E"/>
    <w:rsid w:val="6D4733A1"/>
    <w:rsid w:val="6D963EF7"/>
    <w:rsid w:val="6E2B5C8F"/>
    <w:rsid w:val="6F231A39"/>
    <w:rsid w:val="6F756441"/>
    <w:rsid w:val="70E54DE3"/>
    <w:rsid w:val="712B5E2E"/>
    <w:rsid w:val="718B01ED"/>
    <w:rsid w:val="726227FC"/>
    <w:rsid w:val="726A23ED"/>
    <w:rsid w:val="730E4732"/>
    <w:rsid w:val="7360022B"/>
    <w:rsid w:val="74955AA7"/>
    <w:rsid w:val="753272C5"/>
    <w:rsid w:val="7552782A"/>
    <w:rsid w:val="75DA1D81"/>
    <w:rsid w:val="76293857"/>
    <w:rsid w:val="77AD6DD0"/>
    <w:rsid w:val="78101AE1"/>
    <w:rsid w:val="79863918"/>
    <w:rsid w:val="79C47EF2"/>
    <w:rsid w:val="79F95F08"/>
    <w:rsid w:val="7E1B247D"/>
    <w:rsid w:val="7E4B74B4"/>
    <w:rsid w:val="7E701E65"/>
    <w:rsid w:val="7F356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0CE29A3"/>
  <w15:docId w15:val="{D2FDDB62-A621-441A-B027-FBE67A987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uiPriority="0" w:qFormat="1"/>
    <w:lsdException w:name="toa heading" w:uiPriority="0" w:qFormat="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iPriority="0" w:unhideWhenUsed="1" w:qFormat="1"/>
    <w:lsdException w:name="Note Heading" w:semiHidden="1" w:uiPriority="0" w:unhideWhenUsed="1" w:qFormat="1"/>
    <w:lsdException w:name="Body Text 2"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qFormat="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qFormat="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0">
    <w:name w:val="heading 2"/>
    <w:basedOn w:val="a0"/>
    <w:next w:val="a0"/>
    <w:link w:val="21"/>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nhideWhenUsed/>
    <w:qFormat/>
    <w:pPr>
      <w:keepNext/>
      <w:keepLines/>
      <w:spacing w:before="260" w:after="260" w:line="416" w:lineRule="atLeast"/>
      <w:ind w:firstLineChars="177" w:firstLine="425"/>
      <w:outlineLvl w:val="2"/>
    </w:pPr>
    <w:rPr>
      <w:rFonts w:ascii="宋体" w:hAnsi="宋体" w:cs="宋体"/>
      <w:sz w:val="32"/>
      <w:szCs w:val="32"/>
    </w:rPr>
  </w:style>
  <w:style w:type="paragraph" w:styleId="4">
    <w:name w:val="heading 4"/>
    <w:basedOn w:val="a0"/>
    <w:next w:val="a0"/>
    <w:link w:val="41"/>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semiHidden/>
    <w:unhideWhenUsed/>
    <w:qFormat/>
    <w:pPr>
      <w:keepNext/>
      <w:keepLines/>
      <w:widowControl/>
      <w:spacing w:before="280" w:after="290" w:line="372" w:lineRule="auto"/>
      <w:ind w:firstLineChars="177" w:firstLine="425"/>
      <w:outlineLvl w:val="4"/>
    </w:pPr>
    <w:rPr>
      <w:color w:val="000000"/>
      <w:kern w:val="0"/>
      <w:sz w:val="28"/>
      <w:szCs w:val="28"/>
    </w:rPr>
  </w:style>
  <w:style w:type="paragraph" w:styleId="60">
    <w:name w:val="heading 6"/>
    <w:basedOn w:val="a0"/>
    <w:next w:val="a0"/>
    <w:link w:val="61"/>
    <w:semiHidden/>
    <w:unhideWhenUsed/>
    <w:qFormat/>
    <w:pPr>
      <w:keepNext/>
      <w:keepLines/>
      <w:widowControl/>
      <w:spacing w:before="240" w:after="64" w:line="316" w:lineRule="auto"/>
      <w:ind w:firstLineChars="177" w:firstLine="425"/>
      <w:outlineLvl w:val="5"/>
    </w:pPr>
    <w:rPr>
      <w:rFonts w:ascii="Arial" w:eastAsia="黑体" w:hAnsi="Arial"/>
      <w:color w:val="000000"/>
      <w:kern w:val="0"/>
      <w:sz w:val="24"/>
    </w:rPr>
  </w:style>
  <w:style w:type="paragraph" w:styleId="7">
    <w:name w:val="heading 7"/>
    <w:basedOn w:val="1"/>
    <w:next w:val="a0"/>
    <w:link w:val="70"/>
    <w:autoRedefine/>
    <w:uiPriority w:val="99"/>
    <w:semiHidden/>
    <w:unhideWhenUsed/>
    <w:qFormat/>
    <w:pPr>
      <w:widowControl/>
      <w:spacing w:before="240" w:after="64" w:line="316" w:lineRule="auto"/>
      <w:ind w:firstLineChars="177" w:firstLine="425"/>
      <w:outlineLvl w:val="6"/>
    </w:pPr>
    <w:rPr>
      <w:color w:val="000000"/>
      <w:kern w:val="0"/>
      <w:sz w:val="24"/>
      <w:szCs w:val="24"/>
    </w:rPr>
  </w:style>
  <w:style w:type="paragraph" w:styleId="8">
    <w:name w:val="heading 8"/>
    <w:basedOn w:val="1"/>
    <w:next w:val="a0"/>
    <w:link w:val="80"/>
    <w:autoRedefine/>
    <w:uiPriority w:val="99"/>
    <w:semiHidden/>
    <w:unhideWhenUsed/>
    <w:qFormat/>
    <w:pPr>
      <w:widowControl/>
      <w:spacing w:before="240" w:after="64" w:line="316" w:lineRule="auto"/>
      <w:ind w:firstLineChars="177" w:firstLine="425"/>
      <w:outlineLvl w:val="7"/>
    </w:pPr>
    <w:rPr>
      <w:rFonts w:ascii="Arial" w:eastAsia="黑体" w:hAnsi="Arial"/>
      <w:b w:val="0"/>
      <w:bCs w:val="0"/>
      <w:color w:val="000000"/>
      <w:kern w:val="0"/>
      <w:sz w:val="24"/>
      <w:szCs w:val="24"/>
    </w:rPr>
  </w:style>
  <w:style w:type="paragraph" w:styleId="9">
    <w:name w:val="heading 9"/>
    <w:basedOn w:val="1"/>
    <w:next w:val="a0"/>
    <w:link w:val="90"/>
    <w:autoRedefine/>
    <w:uiPriority w:val="99"/>
    <w:semiHidden/>
    <w:unhideWhenUsed/>
    <w:qFormat/>
    <w:pPr>
      <w:widowControl/>
      <w:spacing w:beforeLines="50" w:after="64" w:line="400" w:lineRule="exact"/>
      <w:ind w:firstLineChars="177" w:firstLine="425"/>
      <w:jc w:val="center"/>
      <w:outlineLvl w:val="8"/>
    </w:pPr>
    <w:rPr>
      <w:b w:val="0"/>
      <w:bCs w:val="0"/>
      <w:color w:val="000000"/>
      <w:kern w:val="0"/>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2"/>
    <w:semiHidden/>
    <w:unhideWhenUsed/>
    <w:qFormat/>
    <w:pPr>
      <w:spacing w:after="120"/>
      <w:ind w:leftChars="200" w:left="420" w:firstLine="420"/>
    </w:pPr>
    <w:rPr>
      <w:sz w:val="28"/>
    </w:rPr>
  </w:style>
  <w:style w:type="paragraph" w:styleId="a4">
    <w:name w:val="Body Text Indent"/>
    <w:basedOn w:val="a0"/>
    <w:link w:val="a5"/>
    <w:autoRedefine/>
    <w:semiHidden/>
    <w:unhideWhenUsed/>
    <w:qFormat/>
    <w:pPr>
      <w:ind w:firstLineChars="200" w:firstLine="480"/>
    </w:pPr>
    <w:rPr>
      <w:rFonts w:asciiTheme="minorHAnsi" w:eastAsiaTheme="minorEastAsia" w:hAnsiTheme="minorHAnsi" w:cstheme="minorBidi"/>
      <w:sz w:val="24"/>
    </w:rPr>
  </w:style>
  <w:style w:type="paragraph" w:styleId="a6">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20" w:lineRule="exact"/>
      <w:jc w:val="center"/>
    </w:pPr>
    <w:rPr>
      <w:rFonts w:ascii="Courier New" w:hAnsi="Courier New"/>
      <w:kern w:val="2"/>
      <w:sz w:val="24"/>
      <w:szCs w:val="24"/>
    </w:rPr>
  </w:style>
  <w:style w:type="paragraph" w:styleId="a7">
    <w:name w:val="Note Heading"/>
    <w:basedOn w:val="1"/>
    <w:next w:val="a0"/>
    <w:link w:val="a8"/>
    <w:autoRedefine/>
    <w:semiHidden/>
    <w:unhideWhenUsed/>
    <w:qFormat/>
    <w:pPr>
      <w:keepNext w:val="0"/>
      <w:keepLines w:val="0"/>
      <w:spacing w:before="0" w:after="0" w:line="500" w:lineRule="atLeast"/>
      <w:ind w:firstLineChars="177" w:firstLine="425"/>
      <w:jc w:val="center"/>
      <w:outlineLvl w:val="9"/>
    </w:pPr>
    <w:rPr>
      <w:rFonts w:asciiTheme="minorHAnsi" w:eastAsiaTheme="minorEastAsia" w:hAnsiTheme="minorHAnsi" w:cstheme="minorBidi"/>
      <w:b w:val="0"/>
      <w:bCs w:val="0"/>
      <w:kern w:val="2"/>
      <w:sz w:val="24"/>
      <w:szCs w:val="22"/>
    </w:rPr>
  </w:style>
  <w:style w:type="paragraph" w:styleId="a9">
    <w:name w:val="Normal Indent"/>
    <w:basedOn w:val="a0"/>
    <w:link w:val="aa"/>
    <w:autoRedefine/>
    <w:unhideWhenUsed/>
    <w:qFormat/>
    <w:pPr>
      <w:adjustRightInd w:val="0"/>
      <w:snapToGrid w:val="0"/>
      <w:spacing w:line="300" w:lineRule="auto"/>
      <w:ind w:firstLineChars="200" w:firstLine="200"/>
    </w:pPr>
    <w:rPr>
      <w:rFonts w:ascii="仿宋_GB2312" w:eastAsia="仿宋_GB2312" w:hAnsiTheme="minorHAnsi" w:cstheme="minorBidi"/>
      <w:sz w:val="28"/>
    </w:rPr>
  </w:style>
  <w:style w:type="paragraph" w:styleId="ab">
    <w:name w:val="caption"/>
    <w:basedOn w:val="1"/>
    <w:next w:val="a0"/>
    <w:link w:val="ac"/>
    <w:autoRedefine/>
    <w:uiPriority w:val="35"/>
    <w:semiHidden/>
    <w:unhideWhenUsed/>
    <w:qFormat/>
    <w:pPr>
      <w:keepNext w:val="0"/>
      <w:keepLines w:val="0"/>
      <w:spacing w:before="0" w:after="0" w:line="500" w:lineRule="atLeast"/>
      <w:ind w:firstLineChars="200" w:firstLine="521"/>
      <w:outlineLvl w:val="9"/>
    </w:pPr>
    <w:rPr>
      <w:rFonts w:asciiTheme="minorHAnsi" w:eastAsiaTheme="minorEastAsia" w:hAnsiTheme="minorHAnsi" w:cstheme="minorBidi"/>
      <w:b w:val="0"/>
      <w:bCs w:val="0"/>
      <w:color w:val="000000"/>
      <w:kern w:val="2"/>
      <w:sz w:val="28"/>
      <w:szCs w:val="22"/>
    </w:rPr>
  </w:style>
  <w:style w:type="paragraph" w:styleId="ad">
    <w:name w:val="Document Map"/>
    <w:basedOn w:val="a0"/>
    <w:link w:val="ae"/>
    <w:semiHidden/>
    <w:unhideWhenUsed/>
    <w:qFormat/>
    <w:rPr>
      <w:rFonts w:ascii="宋体"/>
      <w:sz w:val="18"/>
      <w:szCs w:val="18"/>
    </w:rPr>
  </w:style>
  <w:style w:type="paragraph" w:styleId="af">
    <w:name w:val="toa heading"/>
    <w:basedOn w:val="a0"/>
    <w:next w:val="a0"/>
    <w:qFormat/>
    <w:pPr>
      <w:spacing w:before="120"/>
    </w:pPr>
    <w:rPr>
      <w:rFonts w:ascii="Arial" w:hAnsi="Arial"/>
    </w:rPr>
  </w:style>
  <w:style w:type="paragraph" w:styleId="af0">
    <w:name w:val="annotation text"/>
    <w:basedOn w:val="a0"/>
    <w:link w:val="af1"/>
    <w:uiPriority w:val="99"/>
    <w:semiHidden/>
    <w:unhideWhenUsed/>
    <w:qFormat/>
    <w:pPr>
      <w:jc w:val="left"/>
    </w:pPr>
    <w:rPr>
      <w:rFonts w:ascii="Calibri" w:eastAsiaTheme="minorEastAsia" w:hAnsi="Calibri" w:cstheme="minorBidi"/>
      <w:color w:val="000000"/>
      <w:sz w:val="24"/>
    </w:rPr>
  </w:style>
  <w:style w:type="paragraph" w:styleId="31">
    <w:name w:val="Body Text 3"/>
    <w:basedOn w:val="a0"/>
    <w:link w:val="32"/>
    <w:semiHidden/>
    <w:unhideWhenUsed/>
    <w:qFormat/>
    <w:pPr>
      <w:spacing w:after="120"/>
    </w:pPr>
    <w:rPr>
      <w:rFonts w:ascii="Calibri" w:eastAsiaTheme="minorEastAsia" w:hAnsi="Calibri" w:cstheme="minorBidi"/>
      <w:color w:val="000000"/>
      <w:sz w:val="16"/>
      <w:szCs w:val="16"/>
    </w:rPr>
  </w:style>
  <w:style w:type="paragraph" w:styleId="af2">
    <w:name w:val="Body Text"/>
    <w:basedOn w:val="a0"/>
    <w:next w:val="NormalWeb1"/>
    <w:link w:val="af3"/>
    <w:unhideWhenUsed/>
    <w:qFormat/>
    <w:pPr>
      <w:spacing w:after="120"/>
    </w:pPr>
  </w:style>
  <w:style w:type="paragraph" w:customStyle="1" w:styleId="NormalWeb1">
    <w:name w:val="Normal (Web)1"/>
    <w:basedOn w:val="a0"/>
    <w:next w:val="Date1"/>
    <w:qFormat/>
    <w:pPr>
      <w:widowControl/>
      <w:jc w:val="left"/>
    </w:pPr>
    <w:rPr>
      <w:rFonts w:ascii="宋体"/>
      <w:kern w:val="0"/>
      <w:sz w:val="24"/>
      <w:szCs w:val="21"/>
    </w:rPr>
  </w:style>
  <w:style w:type="paragraph" w:customStyle="1" w:styleId="Date1">
    <w:name w:val="Date1"/>
    <w:basedOn w:val="1"/>
    <w:next w:val="a0"/>
    <w:autoRedefine/>
    <w:uiPriority w:val="99"/>
    <w:qFormat/>
    <w:pPr>
      <w:keepNext w:val="0"/>
      <w:keepLines w:val="0"/>
      <w:adjustRightInd w:val="0"/>
      <w:spacing w:before="0" w:after="0" w:line="500" w:lineRule="atLeast"/>
      <w:ind w:firstLineChars="177" w:firstLine="425"/>
      <w:outlineLvl w:val="9"/>
    </w:pPr>
    <w:rPr>
      <w:b w:val="0"/>
      <w:bCs w:val="0"/>
      <w:kern w:val="2"/>
      <w:sz w:val="24"/>
      <w:szCs w:val="20"/>
    </w:rPr>
  </w:style>
  <w:style w:type="paragraph" w:styleId="23">
    <w:name w:val="List 2"/>
    <w:basedOn w:val="a0"/>
    <w:link w:val="24"/>
    <w:semiHidden/>
    <w:unhideWhenUsed/>
    <w:qFormat/>
    <w:pPr>
      <w:ind w:leftChars="200" w:left="100" w:hangingChars="200" w:hanging="200"/>
      <w:contextualSpacing/>
    </w:pPr>
    <w:rPr>
      <w:rFonts w:ascii="楷体_GB2312" w:eastAsia="楷体_GB2312" w:hAnsi="宋体" w:cstheme="minorBidi"/>
      <w:color w:val="000000"/>
      <w:sz w:val="24"/>
      <w:szCs w:val="28"/>
    </w:rPr>
  </w:style>
  <w:style w:type="paragraph" w:styleId="af4">
    <w:name w:val="Block Text"/>
    <w:basedOn w:val="a0"/>
    <w:semiHidden/>
    <w:unhideWhenUsed/>
    <w:qFormat/>
    <w:pPr>
      <w:spacing w:after="120"/>
      <w:ind w:leftChars="700" w:left="1440" w:rightChars="700" w:right="1440"/>
    </w:pPr>
  </w:style>
  <w:style w:type="paragraph" w:styleId="af5">
    <w:name w:val="Plain Text"/>
    <w:basedOn w:val="a0"/>
    <w:link w:val="11"/>
    <w:autoRedefine/>
    <w:unhideWhenUsed/>
    <w:qFormat/>
    <w:rPr>
      <w:rFonts w:ascii="宋体" w:hAnsi="Courier New" w:cs="Courier New"/>
      <w:szCs w:val="21"/>
    </w:rPr>
  </w:style>
  <w:style w:type="paragraph" w:styleId="af6">
    <w:name w:val="Date"/>
    <w:basedOn w:val="a0"/>
    <w:next w:val="a0"/>
    <w:link w:val="af7"/>
    <w:uiPriority w:val="99"/>
    <w:semiHidden/>
    <w:unhideWhenUsed/>
    <w:qFormat/>
    <w:pPr>
      <w:ind w:leftChars="2500" w:left="100"/>
    </w:pPr>
    <w:rPr>
      <w:rFonts w:asciiTheme="minorHAnsi" w:eastAsiaTheme="minorEastAsia" w:hAnsiTheme="minorHAnsi" w:cstheme="minorBidi"/>
    </w:rPr>
  </w:style>
  <w:style w:type="paragraph" w:styleId="25">
    <w:name w:val="Body Text Indent 2"/>
    <w:basedOn w:val="1"/>
    <w:next w:val="a0"/>
    <w:link w:val="26"/>
    <w:autoRedefine/>
    <w:semiHidden/>
    <w:unhideWhenUsed/>
    <w:qFormat/>
    <w:pPr>
      <w:keepNext w:val="0"/>
      <w:keepLines w:val="0"/>
      <w:spacing w:before="0" w:after="120" w:line="480" w:lineRule="auto"/>
      <w:ind w:leftChars="200" w:left="420" w:firstLineChars="177" w:firstLine="425"/>
      <w:outlineLvl w:val="9"/>
    </w:pPr>
    <w:rPr>
      <w:rFonts w:ascii="Calibri" w:eastAsiaTheme="minorEastAsia" w:hAnsi="Calibri" w:cstheme="minorBidi"/>
      <w:b w:val="0"/>
      <w:bCs w:val="0"/>
      <w:color w:val="000000"/>
      <w:kern w:val="2"/>
      <w:sz w:val="21"/>
      <w:szCs w:val="22"/>
    </w:rPr>
  </w:style>
  <w:style w:type="paragraph" w:styleId="af8">
    <w:name w:val="endnote text"/>
    <w:basedOn w:val="a0"/>
    <w:link w:val="af9"/>
    <w:uiPriority w:val="99"/>
    <w:semiHidden/>
    <w:unhideWhenUsed/>
    <w:qFormat/>
    <w:pPr>
      <w:snapToGrid w:val="0"/>
      <w:jc w:val="left"/>
    </w:pPr>
  </w:style>
  <w:style w:type="paragraph" w:styleId="afa">
    <w:name w:val="Balloon Text"/>
    <w:basedOn w:val="a0"/>
    <w:link w:val="afb"/>
    <w:semiHidden/>
    <w:unhideWhenUsed/>
    <w:qFormat/>
    <w:rPr>
      <w:sz w:val="18"/>
      <w:szCs w:val="18"/>
    </w:rPr>
  </w:style>
  <w:style w:type="paragraph" w:styleId="afc">
    <w:name w:val="footer"/>
    <w:basedOn w:val="a0"/>
    <w:link w:val="12"/>
    <w:uiPriority w:val="99"/>
    <w:unhideWhenUsed/>
    <w:qFormat/>
    <w:pPr>
      <w:tabs>
        <w:tab w:val="center" w:pos="4153"/>
        <w:tab w:val="right" w:pos="8306"/>
      </w:tabs>
      <w:snapToGrid w:val="0"/>
      <w:jc w:val="left"/>
    </w:pPr>
    <w:rPr>
      <w:sz w:val="18"/>
      <w:szCs w:val="18"/>
    </w:rPr>
  </w:style>
  <w:style w:type="paragraph" w:styleId="afd">
    <w:name w:val="header"/>
    <w:basedOn w:val="a0"/>
    <w:link w:val="13"/>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autoRedefine/>
    <w:uiPriority w:val="39"/>
    <w:unhideWhenUsed/>
    <w:qFormat/>
    <w:pPr>
      <w:tabs>
        <w:tab w:val="right" w:leader="dot" w:pos="8302"/>
      </w:tabs>
      <w:spacing w:line="360" w:lineRule="auto"/>
      <w:contextualSpacing/>
      <w:jc w:val="center"/>
    </w:pPr>
    <w:rPr>
      <w:rFonts w:eastAsiaTheme="minorEastAsia" w:hAnsiTheme="minorEastAsia"/>
      <w:b/>
      <w:bCs/>
      <w:iCs/>
      <w:kern w:val="0"/>
      <w:sz w:val="32"/>
      <w:szCs w:val="32"/>
    </w:rPr>
  </w:style>
  <w:style w:type="paragraph" w:styleId="afe">
    <w:name w:val="Subtitle"/>
    <w:basedOn w:val="a0"/>
    <w:next w:val="a0"/>
    <w:link w:val="aff"/>
    <w:uiPriority w:val="11"/>
    <w:qFormat/>
    <w:pPr>
      <w:spacing w:before="200" w:after="200" w:line="360" w:lineRule="auto"/>
      <w:ind w:firstLineChars="177" w:firstLine="496"/>
      <w:jc w:val="left"/>
      <w:outlineLvl w:val="1"/>
    </w:pPr>
    <w:rPr>
      <w:rFonts w:ascii="黑体" w:eastAsia="黑体" w:hAnsi="黑体"/>
      <w:bCs/>
      <w:kern w:val="44"/>
      <w:sz w:val="28"/>
      <w:szCs w:val="28"/>
    </w:rPr>
  </w:style>
  <w:style w:type="paragraph" w:styleId="aff0">
    <w:name w:val="List"/>
    <w:basedOn w:val="a0"/>
    <w:semiHidden/>
    <w:unhideWhenUsed/>
    <w:qFormat/>
    <w:pPr>
      <w:ind w:left="200" w:hangingChars="200" w:hanging="200"/>
      <w:contextualSpacing/>
    </w:pPr>
  </w:style>
  <w:style w:type="paragraph" w:styleId="33">
    <w:name w:val="Body Text Indent 3"/>
    <w:basedOn w:val="a0"/>
    <w:link w:val="34"/>
    <w:semiHidden/>
    <w:unhideWhenUsed/>
    <w:qFormat/>
    <w:pPr>
      <w:spacing w:after="120"/>
      <w:ind w:leftChars="200" w:left="420"/>
    </w:pPr>
    <w:rPr>
      <w:rFonts w:ascii="Calibri" w:eastAsiaTheme="minorEastAsia" w:hAnsi="Calibri" w:cstheme="minorBidi"/>
      <w:color w:val="000000"/>
      <w:sz w:val="16"/>
      <w:szCs w:val="16"/>
    </w:rPr>
  </w:style>
  <w:style w:type="paragraph" w:styleId="TOC2">
    <w:name w:val="toc 2"/>
    <w:basedOn w:val="a0"/>
    <w:next w:val="a0"/>
    <w:autoRedefine/>
    <w:uiPriority w:val="39"/>
    <w:unhideWhenUsed/>
    <w:qFormat/>
    <w:pPr>
      <w:spacing w:before="120" w:line="500" w:lineRule="atLeast"/>
      <w:ind w:left="210" w:firstLineChars="177" w:firstLine="425"/>
      <w:jc w:val="left"/>
    </w:pPr>
    <w:rPr>
      <w:b/>
      <w:bCs/>
      <w:color w:val="000000"/>
      <w:sz w:val="24"/>
    </w:rPr>
  </w:style>
  <w:style w:type="paragraph" w:styleId="27">
    <w:name w:val="Body Text 2"/>
    <w:basedOn w:val="a0"/>
    <w:link w:val="28"/>
    <w:uiPriority w:val="99"/>
    <w:unhideWhenUsed/>
    <w:qFormat/>
    <w:pPr>
      <w:spacing w:after="120" w:line="480" w:lineRule="auto"/>
    </w:pPr>
    <w:rPr>
      <w:rFonts w:asciiTheme="minorHAnsi" w:eastAsiaTheme="minorEastAsia" w:hAnsiTheme="minorHAnsi" w:cstheme="minorBidi"/>
      <w:sz w:val="24"/>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atLeast"/>
      <w:ind w:firstLineChars="177" w:firstLine="425"/>
      <w:jc w:val="left"/>
    </w:pPr>
    <w:rPr>
      <w:rFonts w:ascii="宋体" w:hAnsi="宋体" w:cs="宋体"/>
      <w:sz w:val="24"/>
    </w:rPr>
  </w:style>
  <w:style w:type="paragraph" w:styleId="aff1">
    <w:name w:val="Normal (Web)"/>
    <w:basedOn w:val="a0"/>
    <w:autoRedefine/>
    <w:unhideWhenUsed/>
    <w:qFormat/>
    <w:pPr>
      <w:autoSpaceDE w:val="0"/>
      <w:autoSpaceDN w:val="0"/>
      <w:contextualSpacing/>
      <w:jc w:val="left"/>
    </w:pPr>
    <w:rPr>
      <w:rFonts w:ascii="Calibri" w:hAnsi="Calibri"/>
      <w:szCs w:val="22"/>
    </w:rPr>
  </w:style>
  <w:style w:type="paragraph" w:styleId="aff2">
    <w:name w:val="Title"/>
    <w:basedOn w:val="a0"/>
    <w:link w:val="aff3"/>
    <w:uiPriority w:val="10"/>
    <w:qFormat/>
    <w:pPr>
      <w:tabs>
        <w:tab w:val="left" w:pos="5400"/>
      </w:tabs>
      <w:snapToGrid w:val="0"/>
      <w:spacing w:before="200" w:after="200" w:line="360" w:lineRule="auto"/>
      <w:ind w:firstLineChars="177" w:firstLine="581"/>
      <w:jc w:val="left"/>
      <w:outlineLvl w:val="0"/>
    </w:pPr>
    <w:rPr>
      <w:rFonts w:ascii="黑体" w:eastAsia="黑体" w:hAnsi="黑体"/>
      <w:color w:val="000000"/>
      <w:spacing w:val="4"/>
      <w:kern w:val="44"/>
      <w:sz w:val="32"/>
      <w:szCs w:val="32"/>
    </w:rPr>
  </w:style>
  <w:style w:type="paragraph" w:styleId="aff4">
    <w:name w:val="annotation subject"/>
    <w:basedOn w:val="af0"/>
    <w:next w:val="af0"/>
    <w:link w:val="aff5"/>
    <w:semiHidden/>
    <w:unhideWhenUsed/>
    <w:qFormat/>
    <w:rPr>
      <w:b/>
      <w:bCs/>
    </w:rPr>
  </w:style>
  <w:style w:type="paragraph" w:styleId="aff6">
    <w:name w:val="Body Text First Indent"/>
    <w:basedOn w:val="af2"/>
    <w:next w:val="a0"/>
    <w:link w:val="aff7"/>
    <w:autoRedefine/>
    <w:semiHidden/>
    <w:unhideWhenUsed/>
    <w:qFormat/>
    <w:pPr>
      <w:spacing w:line="480" w:lineRule="exact"/>
      <w:ind w:firstLineChars="100" w:firstLine="420"/>
    </w:pPr>
    <w:rPr>
      <w:rFonts w:ascii="宋体" w:hAnsi="宋体"/>
      <w:sz w:val="24"/>
    </w:rPr>
  </w:style>
  <w:style w:type="table" w:styleId="aff8">
    <w:name w:val="Table Grid"/>
    <w:basedOn w:val="a2"/>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semiHidden/>
    <w:unhideWhenUsed/>
    <w:qFormat/>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Grid 1"/>
    <w:basedOn w:val="a2"/>
    <w:semiHidden/>
    <w:unhideWhenUsed/>
    <w:qFormat/>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2"/>
    <w:semiHidden/>
    <w:unhideWhenUsed/>
    <w:qFormat/>
    <w:pPr>
      <w:widowControl w:val="0"/>
      <w:spacing w:line="440" w:lineRule="exact"/>
      <w:ind w:firstLineChars="200" w:firstLine="496"/>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a">
    <w:name w:val="Strong"/>
    <w:basedOn w:val="a1"/>
    <w:uiPriority w:val="22"/>
    <w:qFormat/>
    <w:rPr>
      <w:b/>
      <w:bCs/>
    </w:rPr>
  </w:style>
  <w:style w:type="character" w:styleId="affb">
    <w:name w:val="endnote reference"/>
    <w:basedOn w:val="a1"/>
    <w:uiPriority w:val="99"/>
    <w:semiHidden/>
    <w:unhideWhenUsed/>
    <w:qFormat/>
    <w:rPr>
      <w:vertAlign w:val="superscript"/>
    </w:rPr>
  </w:style>
  <w:style w:type="character" w:styleId="affc">
    <w:name w:val="FollowedHyperlink"/>
    <w:basedOn w:val="a1"/>
    <w:uiPriority w:val="99"/>
    <w:semiHidden/>
    <w:unhideWhenUsed/>
    <w:qFormat/>
    <w:rPr>
      <w:color w:val="800080" w:themeColor="followedHyperlink"/>
      <w:u w:val="single"/>
    </w:rPr>
  </w:style>
  <w:style w:type="character" w:styleId="HTML1">
    <w:name w:val="HTML Typewriter"/>
    <w:semiHidden/>
    <w:unhideWhenUsed/>
    <w:qFormat/>
    <w:rPr>
      <w:rFonts w:ascii="宋体" w:eastAsia="宋体" w:hAnsi="宋体" w:cs="宋体" w:hint="eastAsia"/>
      <w:sz w:val="24"/>
      <w:szCs w:val="24"/>
    </w:rPr>
  </w:style>
  <w:style w:type="character" w:styleId="affd">
    <w:name w:val="Hyperlink"/>
    <w:uiPriority w:val="99"/>
    <w:unhideWhenUsed/>
    <w:qFormat/>
    <w:rPr>
      <w:color w:val="0000FF"/>
      <w:u w:val="single"/>
    </w:rPr>
  </w:style>
  <w:style w:type="character" w:styleId="affe">
    <w:name w:val="annotation reference"/>
    <w:semiHidden/>
    <w:unhideWhenUsed/>
    <w:qFormat/>
    <w:rPr>
      <w:sz w:val="21"/>
      <w:szCs w:val="21"/>
    </w:rPr>
  </w:style>
  <w:style w:type="paragraph" w:customStyle="1" w:styleId="11111">
    <w:name w:val="11111"/>
    <w:basedOn w:val="a0"/>
    <w:next w:val="a0"/>
    <w:autoRedefine/>
    <w:qFormat/>
    <w:pPr>
      <w:spacing w:line="360" w:lineRule="auto"/>
      <w:ind w:firstLineChars="200" w:firstLine="200"/>
    </w:pPr>
    <w:rPr>
      <w:rFonts w:ascii="宋体" w:hAnsi="宋体" w:cs="宋体"/>
      <w:sz w:val="24"/>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1">
    <w:name w:val="标题 2 字符"/>
    <w:basedOn w:val="a1"/>
    <w:link w:val="20"/>
    <w:semiHidden/>
    <w:qFormat/>
    <w:rPr>
      <w:rFonts w:asciiTheme="majorHAnsi" w:eastAsiaTheme="majorEastAsia" w:hAnsiTheme="majorHAnsi" w:cstheme="majorBidi"/>
      <w:b/>
      <w:bCs/>
      <w:sz w:val="32"/>
      <w:szCs w:val="32"/>
    </w:rPr>
  </w:style>
  <w:style w:type="character" w:customStyle="1" w:styleId="30">
    <w:name w:val="标题 3 字符"/>
    <w:basedOn w:val="a1"/>
    <w:link w:val="3"/>
    <w:qFormat/>
    <w:rPr>
      <w:rFonts w:ascii="宋体" w:eastAsia="宋体" w:hAnsi="宋体" w:cs="宋体"/>
      <w:sz w:val="32"/>
      <w:szCs w:val="32"/>
    </w:rPr>
  </w:style>
  <w:style w:type="character" w:customStyle="1" w:styleId="41">
    <w:name w:val="标题 4 字符1"/>
    <w:basedOn w:val="a1"/>
    <w:link w:val="4"/>
    <w:semiHidden/>
    <w:qFormat/>
    <w:rPr>
      <w:rFonts w:asciiTheme="majorHAnsi" w:eastAsiaTheme="majorEastAsia" w:hAnsiTheme="majorHAnsi" w:cstheme="majorBidi"/>
      <w:b/>
      <w:bCs/>
      <w:sz w:val="28"/>
      <w:szCs w:val="28"/>
    </w:rPr>
  </w:style>
  <w:style w:type="character" w:customStyle="1" w:styleId="50">
    <w:name w:val="标题 5 字符"/>
    <w:basedOn w:val="a1"/>
    <w:link w:val="5"/>
    <w:semiHidden/>
    <w:qFormat/>
    <w:rPr>
      <w:rFonts w:ascii="Times New Roman" w:eastAsia="宋体" w:hAnsi="Times New Roman" w:cs="Times New Roman"/>
      <w:color w:val="000000"/>
      <w:kern w:val="0"/>
      <w:sz w:val="28"/>
      <w:szCs w:val="28"/>
    </w:rPr>
  </w:style>
  <w:style w:type="character" w:customStyle="1" w:styleId="61">
    <w:name w:val="标题 6 字符"/>
    <w:basedOn w:val="a1"/>
    <w:link w:val="60"/>
    <w:semiHidden/>
    <w:qFormat/>
    <w:rPr>
      <w:rFonts w:ascii="Arial" w:eastAsia="黑体" w:hAnsi="Arial" w:cs="Times New Roman"/>
      <w:color w:val="000000"/>
      <w:kern w:val="0"/>
      <w:sz w:val="24"/>
      <w:szCs w:val="24"/>
    </w:rPr>
  </w:style>
  <w:style w:type="character" w:customStyle="1" w:styleId="70">
    <w:name w:val="标题 7 字符"/>
    <w:basedOn w:val="a1"/>
    <w:link w:val="7"/>
    <w:uiPriority w:val="99"/>
    <w:semiHidden/>
    <w:qFormat/>
    <w:rPr>
      <w:rFonts w:ascii="Times New Roman" w:eastAsia="宋体" w:hAnsi="Times New Roman" w:cs="Times New Roman"/>
      <w:b/>
      <w:bCs/>
      <w:color w:val="000000"/>
      <w:kern w:val="0"/>
      <w:sz w:val="24"/>
      <w:szCs w:val="24"/>
    </w:rPr>
  </w:style>
  <w:style w:type="character" w:customStyle="1" w:styleId="80">
    <w:name w:val="标题 8 字符"/>
    <w:basedOn w:val="a1"/>
    <w:link w:val="8"/>
    <w:uiPriority w:val="99"/>
    <w:semiHidden/>
    <w:qFormat/>
    <w:rPr>
      <w:rFonts w:ascii="Arial" w:eastAsia="黑体" w:hAnsi="Arial" w:cs="Times New Roman"/>
      <w:color w:val="000000"/>
      <w:kern w:val="0"/>
      <w:sz w:val="24"/>
      <w:szCs w:val="24"/>
    </w:rPr>
  </w:style>
  <w:style w:type="character" w:customStyle="1" w:styleId="90">
    <w:name w:val="标题 9 字符"/>
    <w:basedOn w:val="a1"/>
    <w:link w:val="9"/>
    <w:uiPriority w:val="99"/>
    <w:semiHidden/>
    <w:qFormat/>
    <w:rPr>
      <w:rFonts w:ascii="Times New Roman" w:eastAsia="宋体" w:hAnsi="Times New Roman" w:cs="Times New Roman"/>
      <w:color w:val="000000"/>
      <w:kern w:val="0"/>
      <w:sz w:val="24"/>
      <w:szCs w:val="21"/>
    </w:rPr>
  </w:style>
  <w:style w:type="character" w:customStyle="1" w:styleId="12">
    <w:name w:val="页脚 字符1"/>
    <w:basedOn w:val="a1"/>
    <w:link w:val="afc"/>
    <w:uiPriority w:val="99"/>
    <w:qFormat/>
    <w:rPr>
      <w:rFonts w:ascii="Times New Roman" w:eastAsia="宋体" w:hAnsi="Times New Roman" w:cs="Times New Roman"/>
      <w:sz w:val="18"/>
      <w:szCs w:val="18"/>
    </w:rPr>
  </w:style>
  <w:style w:type="character" w:customStyle="1" w:styleId="aff3">
    <w:name w:val="标题 字符"/>
    <w:basedOn w:val="a1"/>
    <w:link w:val="aff2"/>
    <w:uiPriority w:val="10"/>
    <w:qFormat/>
    <w:locked/>
    <w:rPr>
      <w:rFonts w:ascii="黑体" w:eastAsia="黑体" w:hAnsi="黑体" w:cs="Times New Roman"/>
      <w:color w:val="000000"/>
      <w:spacing w:val="4"/>
      <w:kern w:val="44"/>
      <w:sz w:val="32"/>
      <w:szCs w:val="32"/>
    </w:rPr>
  </w:style>
  <w:style w:type="character" w:customStyle="1" w:styleId="Char">
    <w:name w:val="标题 Char"/>
    <w:basedOn w:val="a1"/>
    <w:uiPriority w:val="10"/>
    <w:qFormat/>
    <w:rPr>
      <w:rFonts w:asciiTheme="majorHAnsi" w:eastAsia="宋体" w:hAnsiTheme="majorHAnsi" w:cstheme="majorBidi"/>
      <w:b/>
      <w:bCs/>
      <w:sz w:val="32"/>
      <w:szCs w:val="32"/>
    </w:rPr>
  </w:style>
  <w:style w:type="character" w:customStyle="1" w:styleId="aff">
    <w:name w:val="副标题 字符"/>
    <w:basedOn w:val="a1"/>
    <w:link w:val="afe"/>
    <w:uiPriority w:val="11"/>
    <w:qFormat/>
    <w:rPr>
      <w:rFonts w:ascii="黑体" w:eastAsia="黑体" w:hAnsi="黑体" w:cs="Times New Roman"/>
      <w:bCs/>
      <w:kern w:val="44"/>
      <w:sz w:val="28"/>
      <w:szCs w:val="28"/>
    </w:rPr>
  </w:style>
  <w:style w:type="character" w:customStyle="1" w:styleId="Char0">
    <w:name w:val="【正文】 Char"/>
    <w:basedOn w:val="a1"/>
    <w:link w:val="afff"/>
    <w:qFormat/>
    <w:locked/>
    <w:rPr>
      <w:sz w:val="24"/>
      <w:szCs w:val="24"/>
    </w:rPr>
  </w:style>
  <w:style w:type="paragraph" w:customStyle="1" w:styleId="afff">
    <w:name w:val="【正文】"/>
    <w:basedOn w:val="a0"/>
    <w:link w:val="Char0"/>
    <w:qFormat/>
    <w:pPr>
      <w:widowControl/>
      <w:adjustRightInd w:val="0"/>
      <w:snapToGrid w:val="0"/>
      <w:spacing w:line="360" w:lineRule="auto"/>
      <w:ind w:firstLineChars="200" w:firstLine="480"/>
      <w:jc w:val="left"/>
    </w:pPr>
    <w:rPr>
      <w:rFonts w:asciiTheme="minorHAnsi" w:eastAsiaTheme="minorEastAsia" w:hAnsiTheme="minorHAnsi" w:cstheme="minorBidi"/>
      <w:sz w:val="24"/>
    </w:rPr>
  </w:style>
  <w:style w:type="character" w:customStyle="1" w:styleId="Char1">
    <w:name w:val="【表头】 Char"/>
    <w:link w:val="afff0"/>
    <w:qFormat/>
    <w:locked/>
    <w:rPr>
      <w:rFonts w:ascii="宋体" w:eastAsia="宋体" w:hAnsi="宋体"/>
      <w:b/>
      <w:szCs w:val="21"/>
    </w:rPr>
  </w:style>
  <w:style w:type="paragraph" w:customStyle="1" w:styleId="afff0">
    <w:name w:val="【表头】"/>
    <w:basedOn w:val="a0"/>
    <w:link w:val="Char1"/>
    <w:qFormat/>
    <w:pPr>
      <w:spacing w:line="500" w:lineRule="atLeast"/>
      <w:ind w:firstLineChars="177" w:firstLine="425"/>
      <w:jc w:val="center"/>
    </w:pPr>
    <w:rPr>
      <w:rFonts w:ascii="宋体" w:hAnsi="宋体" w:cstheme="minorBidi"/>
      <w:b/>
      <w:szCs w:val="21"/>
    </w:rPr>
  </w:style>
  <w:style w:type="table" w:customStyle="1" w:styleId="afff1">
    <w:name w:val="环评表格"/>
    <w:basedOn w:val="a2"/>
    <w:qFormat/>
    <w:pPr>
      <w:snapToGrid w:val="0"/>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ae">
    <w:name w:val="文档结构图 字符"/>
    <w:basedOn w:val="a1"/>
    <w:link w:val="ad"/>
    <w:semiHidden/>
    <w:qFormat/>
    <w:rPr>
      <w:rFonts w:ascii="宋体" w:eastAsia="宋体" w:hAnsi="Times New Roman" w:cs="Times New Roman"/>
      <w:sz w:val="18"/>
      <w:szCs w:val="18"/>
    </w:rPr>
  </w:style>
  <w:style w:type="character" w:customStyle="1" w:styleId="afb">
    <w:name w:val="批注框文本 字符"/>
    <w:basedOn w:val="a1"/>
    <w:link w:val="afa"/>
    <w:semiHidden/>
    <w:qFormat/>
    <w:rPr>
      <w:rFonts w:ascii="Times New Roman" w:eastAsia="宋体" w:hAnsi="Times New Roman" w:cs="Times New Roman"/>
      <w:sz w:val="18"/>
      <w:szCs w:val="18"/>
    </w:rPr>
  </w:style>
  <w:style w:type="character" w:customStyle="1" w:styleId="13">
    <w:name w:val="页眉 字符1"/>
    <w:basedOn w:val="a1"/>
    <w:link w:val="afd"/>
    <w:qFormat/>
    <w:rPr>
      <w:rFonts w:ascii="Times New Roman" w:eastAsia="宋体" w:hAnsi="Times New Roman" w:cs="Times New Roman"/>
      <w:sz w:val="18"/>
      <w:szCs w:val="18"/>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11">
    <w:name w:val="fontstyle11"/>
    <w:basedOn w:val="a1"/>
    <w:qFormat/>
    <w:rPr>
      <w:rFonts w:ascii="TimesNewRomanPSMT" w:hAnsi="TimesNewRomanPSMT" w:hint="default"/>
      <w:color w:val="000000"/>
      <w:sz w:val="24"/>
      <w:szCs w:val="24"/>
    </w:rPr>
  </w:style>
  <w:style w:type="character" w:customStyle="1" w:styleId="CharChar">
    <w:name w:val="【表中文字】 Char Char"/>
    <w:link w:val="afff2"/>
    <w:qFormat/>
    <w:locked/>
    <w:rPr>
      <w:rFonts w:ascii="Times New Roman" w:eastAsia="宋体" w:hAnsiTheme="minorEastAsia" w:cs="Times New Roman"/>
      <w:szCs w:val="21"/>
    </w:rPr>
  </w:style>
  <w:style w:type="paragraph" w:customStyle="1" w:styleId="afff2">
    <w:name w:val="【表中文字】"/>
    <w:basedOn w:val="1-1-1"/>
    <w:link w:val="CharChar"/>
    <w:qFormat/>
    <w:rPr>
      <w:rFonts w:hAnsiTheme="minorEastAsia"/>
    </w:rPr>
  </w:style>
  <w:style w:type="paragraph" w:customStyle="1" w:styleId="1-1-1">
    <w:name w:val=".表1-1-1内容"/>
    <w:basedOn w:val="a0"/>
    <w:autoRedefine/>
    <w:qFormat/>
    <w:pPr>
      <w:spacing w:line="300" w:lineRule="exact"/>
      <w:jc w:val="center"/>
    </w:pPr>
    <w:rPr>
      <w:kern w:val="0"/>
      <w:szCs w:val="21"/>
    </w:rPr>
  </w:style>
  <w:style w:type="paragraph" w:customStyle="1" w:styleId="p17">
    <w:name w:val="p17"/>
    <w:basedOn w:val="a0"/>
    <w:qFormat/>
    <w:pPr>
      <w:widowControl/>
      <w:spacing w:line="560" w:lineRule="atLeast"/>
    </w:pPr>
    <w:rPr>
      <w:rFonts w:ascii="Arial" w:hAnsi="Arial"/>
      <w:b/>
      <w:kern w:val="0"/>
      <w:sz w:val="36"/>
      <w:szCs w:val="20"/>
    </w:rPr>
  </w:style>
  <w:style w:type="table" w:customStyle="1" w:styleId="afff3">
    <w:name w:val="&gt;&gt; 表格样式 &lt;&lt;"/>
    <w:basedOn w:val="a2"/>
    <w:qFormat/>
    <w:pPr>
      <w:keepLines/>
      <w:jc w:val="center"/>
    </w:pPr>
    <w:rPr>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ascii="宋体" w:eastAsia="宋体" w:hAnsi="宋体" w:hint="eastAsia"/>
        <w:b w:val="0"/>
        <w:sz w:val="21"/>
        <w:szCs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ascii="宋体" w:eastAsia="宋体" w:hAnsi="宋体" w:hint="eastAsia"/>
        <w:b w:val="0"/>
        <w:sz w:val="21"/>
        <w:szCs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character" w:customStyle="1" w:styleId="Char2">
    <w:name w:val="【表中文字】 Char"/>
    <w:qFormat/>
    <w:locked/>
    <w:rPr>
      <w:rFonts w:ascii="Times New Roman" w:hAnsi="Times New Roman" w:cs="Times New Roman"/>
    </w:rPr>
  </w:style>
  <w:style w:type="character" w:customStyle="1" w:styleId="3Char">
    <w:name w:val="3级标题 Char"/>
    <w:basedOn w:val="a1"/>
    <w:link w:val="35"/>
    <w:qFormat/>
    <w:locked/>
    <w:rPr>
      <w:rFonts w:ascii="黑体" w:eastAsia="黑体" w:hAnsi="黑体"/>
      <w:sz w:val="24"/>
      <w:szCs w:val="24"/>
    </w:rPr>
  </w:style>
  <w:style w:type="paragraph" w:customStyle="1" w:styleId="35">
    <w:name w:val="3级标题"/>
    <w:basedOn w:val="a0"/>
    <w:link w:val="3Char"/>
    <w:qFormat/>
    <w:pPr>
      <w:spacing w:before="160" w:after="160" w:line="360" w:lineRule="auto"/>
      <w:ind w:firstLineChars="177" w:firstLine="425"/>
    </w:pPr>
    <w:rPr>
      <w:rFonts w:ascii="黑体" w:eastAsia="黑体" w:hAnsi="黑体" w:cstheme="minorBidi"/>
      <w:sz w:val="24"/>
    </w:rPr>
  </w:style>
  <w:style w:type="character" w:customStyle="1" w:styleId="af3">
    <w:name w:val="正文文本 字符"/>
    <w:basedOn w:val="a1"/>
    <w:link w:val="af2"/>
    <w:qFormat/>
    <w:locked/>
    <w:rPr>
      <w:rFonts w:ascii="Times New Roman" w:eastAsia="宋体" w:hAnsi="Times New Roman" w:cs="Times New Roman"/>
      <w:szCs w:val="24"/>
    </w:rPr>
  </w:style>
  <w:style w:type="character" w:customStyle="1" w:styleId="Char10">
    <w:name w:val="正文文本 Char1"/>
    <w:basedOn w:val="a1"/>
    <w:semiHidden/>
    <w:qFormat/>
    <w:rPr>
      <w:rFonts w:ascii="Times New Roman" w:eastAsia="宋体" w:hAnsi="Times New Roman" w:cs="Times New Roman"/>
      <w:szCs w:val="24"/>
    </w:rPr>
  </w:style>
  <w:style w:type="table" w:customStyle="1" w:styleId="15">
    <w:name w:val="&gt;&gt; 表格样式 &lt;&lt;1"/>
    <w:basedOn w:val="a2"/>
    <w:qFormat/>
    <w:pPr>
      <w:keepLines/>
      <w:jc w:val="center"/>
    </w:pPr>
    <w:rPr>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ascii="宋体" w:eastAsia="宋体" w:hAnsi="宋体" w:hint="eastAsia"/>
        <w:b w:val="0"/>
        <w:sz w:val="21"/>
        <w:szCs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ascii="宋体" w:eastAsia="宋体" w:hAnsi="宋体" w:hint="eastAsia"/>
        <w:b w:val="0"/>
        <w:sz w:val="21"/>
        <w:szCs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paragraph" w:customStyle="1" w:styleId="afff4">
    <w:name w:val="表格"/>
    <w:basedOn w:val="a0"/>
    <w:link w:val="Char3"/>
    <w:qFormat/>
    <w:pPr>
      <w:adjustRightInd w:val="0"/>
      <w:spacing w:before="40" w:after="40"/>
    </w:pPr>
    <w:rPr>
      <w:rFonts w:ascii="昆仑仿宋" w:eastAsia="昆仑仿宋"/>
      <w:kern w:val="0"/>
      <w:sz w:val="24"/>
      <w:szCs w:val="20"/>
    </w:rPr>
  </w:style>
  <w:style w:type="character" w:customStyle="1" w:styleId="Char3">
    <w:name w:val="表格 Char"/>
    <w:link w:val="afff4"/>
    <w:qFormat/>
    <w:locked/>
    <w:rPr>
      <w:rFonts w:ascii="昆仑仿宋" w:eastAsia="昆仑仿宋" w:hAnsi="Times New Roman" w:cs="Times New Roman"/>
      <w:kern w:val="0"/>
      <w:sz w:val="24"/>
      <w:szCs w:val="20"/>
    </w:rPr>
  </w:style>
  <w:style w:type="character" w:customStyle="1" w:styleId="CharChar2">
    <w:name w:val="Char Char2"/>
    <w:qFormat/>
    <w:rPr>
      <w:rFonts w:ascii="黑体" w:eastAsia="黑体" w:hAnsi="黑体" w:hint="eastAsia"/>
      <w:bCs/>
      <w:kern w:val="44"/>
      <w:sz w:val="28"/>
      <w:szCs w:val="44"/>
      <w:lang w:val="en-US" w:eastAsia="zh-CN" w:bidi="ar-SA"/>
    </w:rPr>
  </w:style>
  <w:style w:type="table" w:customStyle="1" w:styleId="16">
    <w:name w:val="环评表格1"/>
    <w:basedOn w:val="a2"/>
    <w:qFormat/>
    <w:pPr>
      <w:snapToGrid w:val="0"/>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Char4">
    <w:name w:val="内容 Char"/>
    <w:link w:val="afff5"/>
    <w:qFormat/>
    <w:locked/>
    <w:rPr>
      <w:rFonts w:ascii="Calibri" w:hAnsi="Calibri"/>
      <w:color w:val="000000"/>
      <w:sz w:val="24"/>
      <w:szCs w:val="24"/>
    </w:rPr>
  </w:style>
  <w:style w:type="paragraph" w:customStyle="1" w:styleId="afff5">
    <w:name w:val="内容"/>
    <w:basedOn w:val="a0"/>
    <w:link w:val="Char4"/>
    <w:qFormat/>
    <w:pPr>
      <w:spacing w:beforeLines="50"/>
      <w:ind w:firstLineChars="200" w:firstLine="200"/>
    </w:pPr>
    <w:rPr>
      <w:rFonts w:ascii="Calibri" w:eastAsiaTheme="minorEastAsia" w:hAnsi="Calibri" w:cstheme="minorBidi"/>
      <w:color w:val="000000"/>
      <w:sz w:val="24"/>
    </w:rPr>
  </w:style>
  <w:style w:type="character" w:customStyle="1" w:styleId="1Char1">
    <w:name w:val="标题 1 Char1"/>
    <w:qFormat/>
    <w:rPr>
      <w:rFonts w:ascii="Times New Roman" w:eastAsia="宋体" w:hAnsi="Times New Roman" w:cs="Times New Roman" w:hint="default"/>
      <w:b/>
      <w:kern w:val="0"/>
      <w:sz w:val="24"/>
      <w:szCs w:val="24"/>
    </w:rPr>
  </w:style>
  <w:style w:type="character" w:customStyle="1" w:styleId="2Char1">
    <w:name w:val="标题 2 Char1"/>
    <w:basedOn w:val="a1"/>
    <w:semiHidden/>
    <w:qFormat/>
    <w:rPr>
      <w:rFonts w:asciiTheme="majorHAnsi" w:eastAsiaTheme="majorEastAsia" w:hAnsiTheme="majorHAnsi" w:cstheme="majorBidi" w:hint="default"/>
      <w:b/>
      <w:bCs/>
      <w:kern w:val="2"/>
      <w:sz w:val="32"/>
      <w:szCs w:val="32"/>
    </w:rPr>
  </w:style>
  <w:style w:type="character" w:customStyle="1" w:styleId="3Char1">
    <w:name w:val="标题 3 Char1"/>
    <w:basedOn w:val="a1"/>
    <w:semiHidden/>
    <w:qFormat/>
    <w:rPr>
      <w:b/>
      <w:bCs/>
      <w:kern w:val="2"/>
      <w:sz w:val="32"/>
      <w:szCs w:val="32"/>
    </w:rPr>
  </w:style>
  <w:style w:type="character" w:customStyle="1" w:styleId="4Char1">
    <w:name w:val="标题 4 Char1"/>
    <w:basedOn w:val="a1"/>
    <w:semiHidden/>
    <w:qFormat/>
    <w:rPr>
      <w:rFonts w:asciiTheme="majorHAnsi" w:eastAsiaTheme="majorEastAsia" w:hAnsiTheme="majorHAnsi" w:cstheme="majorBidi" w:hint="default"/>
      <w:b/>
      <w:bCs/>
      <w:kern w:val="2"/>
      <w:sz w:val="28"/>
      <w:szCs w:val="28"/>
    </w:rPr>
  </w:style>
  <w:style w:type="character" w:customStyle="1" w:styleId="5Char1">
    <w:name w:val="标题 5 Char1"/>
    <w:basedOn w:val="a1"/>
    <w:semiHidden/>
    <w:qFormat/>
    <w:rPr>
      <w:rFonts w:asciiTheme="minorEastAsia" w:eastAsiaTheme="minorEastAsia" w:hAnsiTheme="minorEastAsia" w:hint="eastAsia"/>
      <w:b/>
      <w:bCs/>
      <w:kern w:val="2"/>
      <w:sz w:val="28"/>
      <w:szCs w:val="28"/>
    </w:rPr>
  </w:style>
  <w:style w:type="character" w:customStyle="1" w:styleId="6Char1">
    <w:name w:val="标题 6 Char1"/>
    <w:basedOn w:val="a1"/>
    <w:semiHidden/>
    <w:qFormat/>
    <w:rPr>
      <w:rFonts w:asciiTheme="majorHAnsi" w:eastAsiaTheme="majorEastAsia" w:hAnsiTheme="majorHAnsi" w:cstheme="majorBidi" w:hint="default"/>
      <w:b/>
      <w:bCs/>
      <w:kern w:val="2"/>
      <w:sz w:val="24"/>
      <w:szCs w:val="24"/>
    </w:rPr>
  </w:style>
  <w:style w:type="character" w:customStyle="1" w:styleId="HTML0">
    <w:name w:val="HTML 预设格式 字符"/>
    <w:basedOn w:val="a1"/>
    <w:link w:val="HTML"/>
    <w:uiPriority w:val="99"/>
    <w:semiHidden/>
    <w:qFormat/>
    <w:locked/>
    <w:rPr>
      <w:rFonts w:ascii="宋体" w:eastAsia="宋体" w:hAnsi="宋体" w:cs="宋体"/>
      <w:sz w:val="24"/>
      <w:szCs w:val="24"/>
    </w:rPr>
  </w:style>
  <w:style w:type="character" w:customStyle="1" w:styleId="HTMLChar">
    <w:name w:val="HTML 预设格式 Char"/>
    <w:basedOn w:val="a1"/>
    <w:uiPriority w:val="99"/>
    <w:semiHidden/>
    <w:qFormat/>
    <w:rPr>
      <w:rFonts w:ascii="Courier New" w:eastAsia="宋体" w:hAnsi="Courier New" w:cs="Courier New"/>
      <w:sz w:val="20"/>
      <w:szCs w:val="20"/>
    </w:rPr>
  </w:style>
  <w:style w:type="character" w:customStyle="1" w:styleId="7Char1">
    <w:name w:val="标题 7 Char1"/>
    <w:basedOn w:val="a1"/>
    <w:uiPriority w:val="99"/>
    <w:semiHidden/>
    <w:qFormat/>
    <w:rPr>
      <w:rFonts w:asciiTheme="minorEastAsia" w:eastAsiaTheme="minorEastAsia" w:hAnsiTheme="minorEastAsia" w:hint="eastAsia"/>
      <w:b/>
      <w:bCs/>
      <w:kern w:val="2"/>
      <w:sz w:val="24"/>
      <w:szCs w:val="24"/>
    </w:rPr>
  </w:style>
  <w:style w:type="character" w:customStyle="1" w:styleId="8Char1">
    <w:name w:val="标题 8 Char1"/>
    <w:basedOn w:val="a1"/>
    <w:uiPriority w:val="99"/>
    <w:semiHidden/>
    <w:qFormat/>
    <w:rPr>
      <w:rFonts w:asciiTheme="majorHAnsi" w:eastAsiaTheme="majorEastAsia" w:hAnsiTheme="majorHAnsi" w:cstheme="majorBidi" w:hint="default"/>
      <w:kern w:val="2"/>
      <w:sz w:val="24"/>
      <w:szCs w:val="24"/>
    </w:rPr>
  </w:style>
  <w:style w:type="character" w:customStyle="1" w:styleId="9Char1">
    <w:name w:val="标题 9 Char1"/>
    <w:basedOn w:val="a1"/>
    <w:uiPriority w:val="99"/>
    <w:semiHidden/>
    <w:qFormat/>
    <w:rPr>
      <w:rFonts w:asciiTheme="majorHAnsi" w:eastAsiaTheme="majorEastAsia" w:hAnsiTheme="majorHAnsi" w:cstheme="majorBidi" w:hint="default"/>
      <w:kern w:val="2"/>
      <w:sz w:val="21"/>
      <w:szCs w:val="21"/>
    </w:rPr>
  </w:style>
  <w:style w:type="character" w:customStyle="1" w:styleId="aa">
    <w:name w:val="正文缩进 字符"/>
    <w:basedOn w:val="a1"/>
    <w:link w:val="a9"/>
    <w:semiHidden/>
    <w:qFormat/>
    <w:locked/>
    <w:rPr>
      <w:rFonts w:ascii="仿宋_GB2312" w:eastAsia="仿宋_GB2312"/>
      <w:sz w:val="28"/>
      <w:szCs w:val="24"/>
    </w:rPr>
  </w:style>
  <w:style w:type="character" w:customStyle="1" w:styleId="af1">
    <w:name w:val="批注文字 字符"/>
    <w:basedOn w:val="a1"/>
    <w:link w:val="af0"/>
    <w:uiPriority w:val="99"/>
    <w:semiHidden/>
    <w:qFormat/>
    <w:locked/>
    <w:rPr>
      <w:rFonts w:ascii="Calibri" w:hAnsi="Calibri"/>
      <w:color w:val="000000"/>
      <w:sz w:val="24"/>
      <w:szCs w:val="24"/>
    </w:rPr>
  </w:style>
  <w:style w:type="character" w:customStyle="1" w:styleId="Char11">
    <w:name w:val="页眉 Char1"/>
    <w:basedOn w:val="a1"/>
    <w:uiPriority w:val="99"/>
    <w:semiHidden/>
    <w:qFormat/>
    <w:rPr>
      <w:rFonts w:ascii="Times New Roman" w:eastAsia="宋体" w:hAnsi="Times New Roman" w:cs="Times New Roman"/>
      <w:sz w:val="18"/>
      <w:szCs w:val="18"/>
    </w:rPr>
  </w:style>
  <w:style w:type="character" w:customStyle="1" w:styleId="ac">
    <w:name w:val="题注 字符"/>
    <w:basedOn w:val="a1"/>
    <w:link w:val="ab"/>
    <w:uiPriority w:val="35"/>
    <w:semiHidden/>
    <w:qFormat/>
    <w:locked/>
    <w:rPr>
      <w:color w:val="000000"/>
      <w:sz w:val="28"/>
    </w:rPr>
  </w:style>
  <w:style w:type="character" w:customStyle="1" w:styleId="24">
    <w:name w:val="列表 2 字符"/>
    <w:link w:val="23"/>
    <w:semiHidden/>
    <w:qFormat/>
    <w:locked/>
    <w:rPr>
      <w:rFonts w:ascii="楷体_GB2312" w:eastAsia="楷体_GB2312" w:hAnsi="宋体"/>
      <w:color w:val="000000"/>
      <w:sz w:val="24"/>
      <w:szCs w:val="28"/>
    </w:rPr>
  </w:style>
  <w:style w:type="character" w:customStyle="1" w:styleId="a5">
    <w:name w:val="正文文本缩进 字符"/>
    <w:basedOn w:val="a1"/>
    <w:link w:val="a4"/>
    <w:semiHidden/>
    <w:qFormat/>
    <w:locked/>
    <w:rPr>
      <w:sz w:val="24"/>
      <w:szCs w:val="24"/>
    </w:rPr>
  </w:style>
  <w:style w:type="character" w:customStyle="1" w:styleId="Char12">
    <w:name w:val="正文文本缩进 Char1"/>
    <w:basedOn w:val="a1"/>
    <w:uiPriority w:val="99"/>
    <w:semiHidden/>
    <w:qFormat/>
    <w:rPr>
      <w:rFonts w:ascii="Times New Roman" w:eastAsia="宋体" w:hAnsi="Times New Roman" w:cs="Times New Roman"/>
      <w:szCs w:val="24"/>
    </w:rPr>
  </w:style>
  <w:style w:type="character" w:customStyle="1" w:styleId="af7">
    <w:name w:val="日期 字符"/>
    <w:basedOn w:val="a1"/>
    <w:link w:val="af6"/>
    <w:uiPriority w:val="99"/>
    <w:semiHidden/>
    <w:qFormat/>
    <w:locked/>
    <w:rPr>
      <w:szCs w:val="24"/>
    </w:rPr>
  </w:style>
  <w:style w:type="character" w:customStyle="1" w:styleId="aff7">
    <w:name w:val="正文文本首行缩进 字符"/>
    <w:basedOn w:val="a1"/>
    <w:link w:val="aff6"/>
    <w:semiHidden/>
    <w:qFormat/>
    <w:locked/>
    <w:rPr>
      <w:rFonts w:ascii="宋体" w:eastAsia="宋体" w:hAnsi="宋体" w:cs="Times New Roman"/>
      <w:sz w:val="24"/>
      <w:szCs w:val="24"/>
    </w:rPr>
  </w:style>
  <w:style w:type="character" w:customStyle="1" w:styleId="Char13">
    <w:name w:val="正文首行缩进 Char1"/>
    <w:basedOn w:val="af3"/>
    <w:semiHidden/>
    <w:qFormat/>
    <w:rPr>
      <w:rFonts w:ascii="Times New Roman" w:eastAsia="宋体" w:hAnsi="Times New Roman" w:cs="Times New Roman"/>
      <w:szCs w:val="24"/>
    </w:rPr>
  </w:style>
  <w:style w:type="character" w:customStyle="1" w:styleId="22">
    <w:name w:val="正文文本首行缩进 2 字符"/>
    <w:basedOn w:val="a5"/>
    <w:link w:val="2"/>
    <w:semiHidden/>
    <w:qFormat/>
    <w:locked/>
    <w:rPr>
      <w:sz w:val="28"/>
      <w:szCs w:val="24"/>
    </w:rPr>
  </w:style>
  <w:style w:type="character" w:customStyle="1" w:styleId="a8">
    <w:name w:val="注释标题 字符"/>
    <w:basedOn w:val="a1"/>
    <w:link w:val="a7"/>
    <w:semiHidden/>
    <w:qFormat/>
    <w:locked/>
    <w:rPr>
      <w:sz w:val="24"/>
    </w:rPr>
  </w:style>
  <w:style w:type="character" w:customStyle="1" w:styleId="Char14">
    <w:name w:val="注释标题 Char1"/>
    <w:basedOn w:val="a1"/>
    <w:semiHidden/>
    <w:qFormat/>
    <w:rPr>
      <w:rFonts w:ascii="Times New Roman" w:eastAsia="宋体" w:hAnsi="Times New Roman" w:cs="Times New Roman"/>
      <w:szCs w:val="24"/>
    </w:rPr>
  </w:style>
  <w:style w:type="character" w:customStyle="1" w:styleId="28">
    <w:name w:val="正文文本 2 字符"/>
    <w:link w:val="27"/>
    <w:uiPriority w:val="99"/>
    <w:qFormat/>
    <w:locked/>
    <w:rPr>
      <w:sz w:val="24"/>
      <w:szCs w:val="24"/>
    </w:rPr>
  </w:style>
  <w:style w:type="character" w:customStyle="1" w:styleId="32">
    <w:name w:val="正文文本 3 字符"/>
    <w:basedOn w:val="a1"/>
    <w:link w:val="31"/>
    <w:semiHidden/>
    <w:qFormat/>
    <w:locked/>
    <w:rPr>
      <w:rFonts w:ascii="Calibri" w:hAnsi="Calibri"/>
      <w:color w:val="000000"/>
      <w:sz w:val="16"/>
      <w:szCs w:val="16"/>
    </w:rPr>
  </w:style>
  <w:style w:type="character" w:customStyle="1" w:styleId="26">
    <w:name w:val="正文文本缩进 2 字符"/>
    <w:basedOn w:val="a1"/>
    <w:link w:val="25"/>
    <w:semiHidden/>
    <w:qFormat/>
    <w:locked/>
    <w:rPr>
      <w:rFonts w:ascii="Calibri" w:hAnsi="Calibri"/>
      <w:color w:val="000000"/>
    </w:rPr>
  </w:style>
  <w:style w:type="character" w:customStyle="1" w:styleId="2Char10">
    <w:name w:val="正文文本缩进 2 Char1"/>
    <w:basedOn w:val="a1"/>
    <w:uiPriority w:val="99"/>
    <w:semiHidden/>
    <w:qFormat/>
    <w:rPr>
      <w:rFonts w:ascii="Times New Roman" w:eastAsia="宋体" w:hAnsi="Times New Roman" w:cs="Times New Roman"/>
      <w:szCs w:val="24"/>
    </w:rPr>
  </w:style>
  <w:style w:type="character" w:customStyle="1" w:styleId="34">
    <w:name w:val="正文文本缩进 3 字符"/>
    <w:basedOn w:val="a1"/>
    <w:link w:val="33"/>
    <w:semiHidden/>
    <w:qFormat/>
    <w:locked/>
    <w:rPr>
      <w:rFonts w:ascii="Calibri" w:hAnsi="Calibri"/>
      <w:color w:val="000000"/>
      <w:sz w:val="16"/>
      <w:szCs w:val="16"/>
    </w:rPr>
  </w:style>
  <w:style w:type="character" w:customStyle="1" w:styleId="11">
    <w:name w:val="纯文本 字符1"/>
    <w:basedOn w:val="a1"/>
    <w:link w:val="af5"/>
    <w:qFormat/>
    <w:locked/>
    <w:rPr>
      <w:rFonts w:ascii="宋体" w:eastAsia="宋体" w:hAnsi="Courier New" w:cs="Courier New"/>
      <w:szCs w:val="21"/>
    </w:rPr>
  </w:style>
  <w:style w:type="character" w:customStyle="1" w:styleId="Char15">
    <w:name w:val="纯文本 Char1"/>
    <w:basedOn w:val="a1"/>
    <w:qFormat/>
    <w:rPr>
      <w:rFonts w:ascii="宋体" w:eastAsia="宋体" w:hAnsi="Courier New" w:cs="Courier New"/>
      <w:szCs w:val="21"/>
    </w:rPr>
  </w:style>
  <w:style w:type="character" w:customStyle="1" w:styleId="Char16">
    <w:name w:val="批注文字 Char1"/>
    <w:basedOn w:val="a1"/>
    <w:uiPriority w:val="99"/>
    <w:semiHidden/>
    <w:qFormat/>
    <w:rPr>
      <w:rFonts w:ascii="Times New Roman" w:eastAsia="宋体" w:hAnsi="Times New Roman" w:cs="Times New Roman"/>
      <w:szCs w:val="24"/>
    </w:rPr>
  </w:style>
  <w:style w:type="character" w:customStyle="1" w:styleId="aff5">
    <w:name w:val="批注主题 字符"/>
    <w:basedOn w:val="af1"/>
    <w:link w:val="aff4"/>
    <w:semiHidden/>
    <w:qFormat/>
    <w:locked/>
    <w:rPr>
      <w:rFonts w:ascii="Calibri" w:hAnsi="Calibri"/>
      <w:b/>
      <w:bCs/>
      <w:color w:val="000000"/>
      <w:sz w:val="24"/>
      <w:szCs w:val="24"/>
    </w:rPr>
  </w:style>
  <w:style w:type="character" w:customStyle="1" w:styleId="afff6">
    <w:name w:val="无间隔 字符"/>
    <w:link w:val="afff7"/>
    <w:qFormat/>
    <w:locked/>
    <w:rPr>
      <w:rFonts w:ascii="Calibri" w:hAnsi="Calibri"/>
      <w:color w:val="000000"/>
      <w:sz w:val="24"/>
      <w:szCs w:val="24"/>
    </w:rPr>
  </w:style>
  <w:style w:type="paragraph" w:styleId="afff7">
    <w:name w:val="No Spacing"/>
    <w:link w:val="afff6"/>
    <w:qFormat/>
    <w:pPr>
      <w:widowControl w:val="0"/>
      <w:jc w:val="both"/>
    </w:pPr>
    <w:rPr>
      <w:rFonts w:ascii="Calibri" w:eastAsiaTheme="minorEastAsia" w:hAnsi="Calibri" w:cstheme="minorBidi"/>
      <w:color w:val="000000"/>
      <w:kern w:val="2"/>
      <w:sz w:val="24"/>
      <w:szCs w:val="24"/>
    </w:rPr>
  </w:style>
  <w:style w:type="paragraph" w:customStyle="1" w:styleId="CharCharChar1CharCharCharCharCharCharChar">
    <w:name w:val="Char Char Char1 Char Char Char Char Char Char Char"/>
    <w:basedOn w:val="1"/>
    <w:next w:val="a0"/>
    <w:autoRedefine/>
    <w:uiPriority w:val="39"/>
    <w:semiHidden/>
    <w:qFormat/>
    <w:pPr>
      <w:keepNext w:val="0"/>
      <w:keepLines w:val="0"/>
      <w:spacing w:before="0" w:after="0" w:line="240" w:lineRule="auto"/>
      <w:outlineLvl w:val="9"/>
    </w:pPr>
    <w:rPr>
      <w:b w:val="0"/>
      <w:bCs w:val="0"/>
      <w:kern w:val="2"/>
      <w:sz w:val="21"/>
      <w:szCs w:val="24"/>
    </w:rPr>
  </w:style>
  <w:style w:type="character" w:customStyle="1" w:styleId="4CharChar">
    <w:name w:val="【标题4】 Char Char"/>
    <w:link w:val="40"/>
    <w:qFormat/>
    <w:locked/>
    <w:rPr>
      <w:rFonts w:ascii="Times New Roman" w:eastAsia="Times New Roman" w:hAnsi="Times New Roman" w:cs="Times New Roman"/>
      <w:b/>
      <w:bCs/>
      <w:sz w:val="24"/>
    </w:rPr>
  </w:style>
  <w:style w:type="paragraph" w:customStyle="1" w:styleId="40">
    <w:name w:val="【标题4】"/>
    <w:basedOn w:val="1"/>
    <w:next w:val="a0"/>
    <w:link w:val="4CharChar"/>
    <w:autoRedefine/>
    <w:qFormat/>
    <w:pPr>
      <w:keepNext w:val="0"/>
      <w:spacing w:before="0" w:after="0" w:line="440" w:lineRule="exact"/>
      <w:jc w:val="left"/>
      <w:outlineLvl w:val="3"/>
    </w:pPr>
    <w:rPr>
      <w:rFonts w:eastAsia="Times New Roman"/>
      <w:kern w:val="2"/>
      <w:sz w:val="24"/>
      <w:szCs w:val="22"/>
    </w:rPr>
  </w:style>
  <w:style w:type="character" w:customStyle="1" w:styleId="3CharChar">
    <w:name w:val="【标题3】 Char Char"/>
    <w:link w:val="36"/>
    <w:qFormat/>
    <w:locked/>
    <w:rPr>
      <w:b/>
      <w:bCs/>
      <w:sz w:val="24"/>
    </w:rPr>
  </w:style>
  <w:style w:type="paragraph" w:customStyle="1" w:styleId="36">
    <w:name w:val="【标题3】"/>
    <w:basedOn w:val="3"/>
    <w:next w:val="a0"/>
    <w:link w:val="3CharChar"/>
    <w:autoRedefine/>
    <w:qFormat/>
    <w:pPr>
      <w:keepNext w:val="0"/>
      <w:spacing w:before="60" w:after="60" w:line="440" w:lineRule="exact"/>
      <w:ind w:firstLineChars="0" w:firstLine="0"/>
    </w:pPr>
    <w:rPr>
      <w:rFonts w:asciiTheme="minorHAnsi" w:eastAsiaTheme="minorEastAsia" w:hAnsiTheme="minorHAnsi" w:cstheme="minorBidi"/>
      <w:b/>
      <w:bCs/>
      <w:sz w:val="24"/>
      <w:szCs w:val="22"/>
    </w:rPr>
  </w:style>
  <w:style w:type="paragraph" w:customStyle="1" w:styleId="afff8">
    <w:name w:val="缩进"/>
    <w:basedOn w:val="1"/>
    <w:next w:val="a0"/>
    <w:autoRedefine/>
    <w:uiPriority w:val="99"/>
    <w:qFormat/>
    <w:pPr>
      <w:keepNext w:val="0"/>
      <w:keepLines w:val="0"/>
      <w:spacing w:before="0" w:after="0" w:line="360" w:lineRule="auto"/>
      <w:ind w:firstLineChars="200" w:firstLine="200"/>
      <w:outlineLvl w:val="9"/>
    </w:pPr>
    <w:rPr>
      <w:rFonts w:ascii="Calibri" w:hAnsi="Calibri"/>
      <w:b w:val="0"/>
      <w:bCs w:val="0"/>
      <w:kern w:val="2"/>
      <w:sz w:val="24"/>
      <w:szCs w:val="21"/>
    </w:rPr>
  </w:style>
  <w:style w:type="character" w:customStyle="1" w:styleId="Char5">
    <w:name w:val="正文样式 Char"/>
    <w:link w:val="afff9"/>
    <w:qFormat/>
    <w:locked/>
    <w:rPr>
      <w:rFonts w:ascii="宋体" w:eastAsia="宋体" w:hAnsi="宋体"/>
      <w:color w:val="000000"/>
      <w:sz w:val="24"/>
      <w:szCs w:val="24"/>
    </w:rPr>
  </w:style>
  <w:style w:type="paragraph" w:customStyle="1" w:styleId="afff9">
    <w:name w:val="正文样式"/>
    <w:basedOn w:val="1"/>
    <w:next w:val="a0"/>
    <w:link w:val="Char5"/>
    <w:autoRedefine/>
    <w:qFormat/>
    <w:pPr>
      <w:keepNext w:val="0"/>
      <w:keepLines w:val="0"/>
      <w:spacing w:before="0" w:after="0" w:line="460" w:lineRule="exact"/>
      <w:ind w:firstLineChars="200" w:firstLine="200"/>
      <w:outlineLvl w:val="9"/>
    </w:pPr>
    <w:rPr>
      <w:rFonts w:ascii="宋体" w:hAnsi="宋体" w:cstheme="minorBidi"/>
      <w:b w:val="0"/>
      <w:bCs w:val="0"/>
      <w:color w:val="000000"/>
      <w:kern w:val="2"/>
      <w:sz w:val="24"/>
      <w:szCs w:val="24"/>
    </w:rPr>
  </w:style>
  <w:style w:type="character" w:customStyle="1" w:styleId="00CharChar">
    <w:name w:val="正文00 Char Char"/>
    <w:link w:val="00"/>
    <w:qFormat/>
    <w:locked/>
    <w:rPr>
      <w:rFonts w:ascii="Times New Roman" w:hAnsiTheme="minorEastAsia" w:cs="Times New Roman"/>
      <w:sz w:val="24"/>
      <w:szCs w:val="24"/>
    </w:rPr>
  </w:style>
  <w:style w:type="paragraph" w:customStyle="1" w:styleId="00">
    <w:name w:val="正文00"/>
    <w:basedOn w:val="1"/>
    <w:next w:val="a0"/>
    <w:link w:val="00CharChar"/>
    <w:autoRedefine/>
    <w:qFormat/>
    <w:pPr>
      <w:keepNext w:val="0"/>
      <w:keepLines w:val="0"/>
      <w:spacing w:before="0" w:after="0" w:line="360" w:lineRule="auto"/>
      <w:ind w:firstLineChars="200" w:firstLine="480"/>
      <w:textAlignment w:val="center"/>
      <w:outlineLvl w:val="9"/>
    </w:pPr>
    <w:rPr>
      <w:rFonts w:eastAsiaTheme="minorEastAsia" w:hAnsiTheme="minorEastAsia"/>
      <w:b w:val="0"/>
      <w:bCs w:val="0"/>
      <w:kern w:val="2"/>
      <w:sz w:val="24"/>
      <w:szCs w:val="24"/>
    </w:rPr>
  </w:style>
  <w:style w:type="paragraph" w:customStyle="1" w:styleId="afffa">
    <w:name w:val="表样式"/>
    <w:basedOn w:val="1"/>
    <w:next w:val="a0"/>
    <w:autoRedefine/>
    <w:uiPriority w:val="99"/>
    <w:qFormat/>
    <w:pPr>
      <w:keepNext w:val="0"/>
      <w:keepLines w:val="0"/>
      <w:spacing w:before="0" w:after="0" w:line="500" w:lineRule="atLeast"/>
      <w:ind w:firstLineChars="177" w:firstLine="425"/>
      <w:jc w:val="center"/>
      <w:outlineLvl w:val="9"/>
    </w:pPr>
    <w:rPr>
      <w:rFonts w:ascii="仿宋_GB2312" w:eastAsia="黑体"/>
      <w:b w:val="0"/>
      <w:bCs w:val="0"/>
      <w:color w:val="000000"/>
      <w:kern w:val="2"/>
      <w:sz w:val="24"/>
      <w:szCs w:val="24"/>
    </w:rPr>
  </w:style>
  <w:style w:type="character" w:customStyle="1" w:styleId="NormalChar">
    <w:name w:val="Normal Char"/>
    <w:link w:val="17"/>
    <w:qFormat/>
    <w:locked/>
    <w:rPr>
      <w:rFonts w:ascii="宋体" w:eastAsia="宋体" w:hAnsi="宋体"/>
      <w:sz w:val="24"/>
      <w:szCs w:val="24"/>
    </w:rPr>
  </w:style>
  <w:style w:type="paragraph" w:customStyle="1" w:styleId="17">
    <w:name w:val="正文1"/>
    <w:next w:val="a0"/>
    <w:link w:val="NormalChar"/>
    <w:autoRedefine/>
    <w:qFormat/>
    <w:pPr>
      <w:widowControl w:val="0"/>
      <w:adjustRightInd w:val="0"/>
      <w:spacing w:line="360" w:lineRule="atLeast"/>
    </w:pPr>
    <w:rPr>
      <w:rFonts w:ascii="宋体" w:hAnsi="宋体" w:cstheme="minorBidi"/>
      <w:kern w:val="2"/>
      <w:sz w:val="24"/>
      <w:szCs w:val="24"/>
    </w:rPr>
  </w:style>
  <w:style w:type="character" w:customStyle="1" w:styleId="zoe1Char">
    <w:name w:val="样式 正文zoe + 幼圆1 Char"/>
    <w:link w:val="zoe1"/>
    <w:qFormat/>
    <w:locked/>
    <w:rPr>
      <w:rFonts w:ascii="幼圆" w:eastAsia="幼圆" w:hAnsi="幼圆"/>
      <w:sz w:val="24"/>
    </w:rPr>
  </w:style>
  <w:style w:type="paragraph" w:customStyle="1" w:styleId="zoe1">
    <w:name w:val="样式 正文zoe + 幼圆1"/>
    <w:basedOn w:val="1"/>
    <w:next w:val="a0"/>
    <w:link w:val="zoe1Char"/>
    <w:autoRedefine/>
    <w:qFormat/>
    <w:pPr>
      <w:keepNext w:val="0"/>
      <w:keepLines w:val="0"/>
      <w:adjustRightInd w:val="0"/>
      <w:spacing w:before="0" w:after="0" w:line="360" w:lineRule="auto"/>
      <w:ind w:firstLineChars="200" w:firstLine="480"/>
      <w:outlineLvl w:val="9"/>
    </w:pPr>
    <w:rPr>
      <w:rFonts w:ascii="幼圆" w:eastAsia="幼圆" w:hAnsi="幼圆" w:cstheme="minorBidi"/>
      <w:b w:val="0"/>
      <w:bCs w:val="0"/>
      <w:kern w:val="2"/>
      <w:sz w:val="24"/>
      <w:szCs w:val="22"/>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color w:val="000000"/>
      <w:kern w:val="2"/>
      <w:sz w:val="24"/>
      <w:szCs w:val="24"/>
    </w:rPr>
  </w:style>
  <w:style w:type="paragraph" w:customStyle="1" w:styleId="0">
    <w:name w:val="0"/>
    <w:basedOn w:val="1"/>
    <w:next w:val="a0"/>
    <w:autoRedefine/>
    <w:uiPriority w:val="99"/>
    <w:qFormat/>
    <w:pPr>
      <w:keepNext w:val="0"/>
      <w:keepLines w:val="0"/>
      <w:widowControl/>
      <w:snapToGrid w:val="0"/>
      <w:spacing w:before="0" w:after="0" w:line="365" w:lineRule="atLeast"/>
      <w:ind w:left="1" w:firstLineChars="177" w:firstLine="425"/>
      <w:outlineLvl w:val="9"/>
    </w:pPr>
    <w:rPr>
      <w:b w:val="0"/>
      <w:bCs w:val="0"/>
      <w:color w:val="000000"/>
      <w:kern w:val="0"/>
      <w:sz w:val="20"/>
      <w:szCs w:val="20"/>
    </w:rPr>
  </w:style>
  <w:style w:type="character" w:customStyle="1" w:styleId="Char17">
    <w:name w:val="表头 Char1"/>
    <w:link w:val="afffb"/>
    <w:qFormat/>
    <w:locked/>
    <w:rPr>
      <w:rFonts w:ascii="Times New Roman" w:eastAsia="宋体" w:hAnsi="Times New Roman" w:cs="Times New Roman"/>
      <w:sz w:val="24"/>
      <w:szCs w:val="24"/>
    </w:rPr>
  </w:style>
  <w:style w:type="paragraph" w:customStyle="1" w:styleId="afffb">
    <w:name w:val="表头"/>
    <w:basedOn w:val="1"/>
    <w:next w:val="a0"/>
    <w:link w:val="Char17"/>
    <w:autoRedefine/>
    <w:qFormat/>
    <w:pPr>
      <w:keepNext w:val="0"/>
      <w:keepLines w:val="0"/>
      <w:spacing w:before="0" w:after="0" w:line="360" w:lineRule="auto"/>
      <w:ind w:firstLineChars="200" w:firstLine="480"/>
      <w:contextualSpacing/>
      <w:outlineLvl w:val="9"/>
    </w:pPr>
    <w:rPr>
      <w:b w:val="0"/>
      <w:bCs w:val="0"/>
      <w:kern w:val="2"/>
      <w:sz w:val="24"/>
      <w:szCs w:val="24"/>
    </w:rPr>
  </w:style>
  <w:style w:type="character" w:customStyle="1" w:styleId="CharChar0">
    <w:name w:val="正文内容 Char Char"/>
    <w:link w:val="afffc"/>
    <w:qFormat/>
    <w:locked/>
    <w:rPr>
      <w:sz w:val="28"/>
      <w:szCs w:val="28"/>
    </w:rPr>
  </w:style>
  <w:style w:type="paragraph" w:customStyle="1" w:styleId="afffc">
    <w:name w:val="正文内容"/>
    <w:basedOn w:val="1"/>
    <w:next w:val="a0"/>
    <w:link w:val="CharChar0"/>
    <w:autoRedefine/>
    <w:qFormat/>
    <w:pPr>
      <w:keepNext w:val="0"/>
      <w:keepLines w:val="0"/>
      <w:overflowPunct w:val="0"/>
      <w:topLinePunct/>
      <w:spacing w:beforeLines="50" w:after="0" w:line="480" w:lineRule="exact"/>
      <w:ind w:firstLineChars="200" w:firstLine="560"/>
      <w:outlineLvl w:val="9"/>
    </w:pPr>
    <w:rPr>
      <w:rFonts w:asciiTheme="minorHAnsi" w:eastAsiaTheme="minorEastAsia" w:hAnsiTheme="minorHAnsi" w:cstheme="minorBidi"/>
      <w:b w:val="0"/>
      <w:bCs w:val="0"/>
      <w:kern w:val="2"/>
      <w:sz w:val="28"/>
      <w:szCs w:val="28"/>
    </w:rPr>
  </w:style>
  <w:style w:type="paragraph" w:customStyle="1" w:styleId="afffd">
    <w:name w:val="中文报告书样式"/>
    <w:basedOn w:val="1"/>
    <w:next w:val="a0"/>
    <w:autoRedefine/>
    <w:uiPriority w:val="99"/>
    <w:qFormat/>
    <w:pPr>
      <w:keepNext w:val="0"/>
      <w:keepLines w:val="0"/>
      <w:adjustRightInd w:val="0"/>
      <w:spacing w:before="0" w:after="0" w:line="480" w:lineRule="atLeast"/>
      <w:ind w:firstLineChars="177" w:firstLine="482"/>
      <w:outlineLvl w:val="9"/>
    </w:pPr>
    <w:rPr>
      <w:b w:val="0"/>
      <w:bCs w:val="0"/>
      <w:color w:val="000000"/>
      <w:kern w:val="24"/>
      <w:sz w:val="24"/>
      <w:szCs w:val="20"/>
    </w:rPr>
  </w:style>
  <w:style w:type="paragraph" w:customStyle="1" w:styleId="afffe">
    <w:name w:val="表内文"/>
    <w:basedOn w:val="1"/>
    <w:next w:val="a0"/>
    <w:autoRedefine/>
    <w:uiPriority w:val="99"/>
    <w:qFormat/>
    <w:pPr>
      <w:keepNext w:val="0"/>
      <w:keepLines w:val="0"/>
      <w:spacing w:before="0" w:after="0" w:line="320" w:lineRule="atLeast"/>
      <w:ind w:firstLineChars="177" w:firstLine="425"/>
      <w:jc w:val="center"/>
      <w:outlineLvl w:val="9"/>
    </w:pPr>
    <w:rPr>
      <w:b w:val="0"/>
      <w:bCs w:val="0"/>
      <w:color w:val="000000"/>
      <w:kern w:val="2"/>
      <w:sz w:val="24"/>
      <w:szCs w:val="20"/>
    </w:rPr>
  </w:style>
  <w:style w:type="paragraph" w:customStyle="1" w:styleId="affff">
    <w:name w:val="表格式"/>
    <w:basedOn w:val="aff0"/>
    <w:next w:val="a0"/>
    <w:autoRedefine/>
    <w:uiPriority w:val="99"/>
    <w:qFormat/>
    <w:pPr>
      <w:spacing w:line="480" w:lineRule="exact"/>
      <w:ind w:left="0" w:firstLineChars="0" w:firstLine="0"/>
      <w:contextualSpacing w:val="0"/>
      <w:jc w:val="center"/>
    </w:pPr>
    <w:rPr>
      <w:rFonts w:ascii="宋体" w:hAnsi="宋体"/>
      <w:color w:val="000000"/>
      <w:sz w:val="24"/>
      <w:szCs w:val="20"/>
    </w:rPr>
  </w:style>
  <w:style w:type="paragraph" w:customStyle="1" w:styleId="ParaCharCharCharChar">
    <w:name w:val="默认段落字体 Para Char Char Char Char"/>
    <w:basedOn w:val="1"/>
    <w:next w:val="a0"/>
    <w:autoRedefine/>
    <w:uiPriority w:val="99"/>
    <w:qFormat/>
    <w:pPr>
      <w:keepNext w:val="0"/>
      <w:keepLines w:val="0"/>
      <w:spacing w:before="0" w:after="0" w:line="500" w:lineRule="atLeast"/>
      <w:ind w:firstLineChars="177" w:firstLine="425"/>
      <w:outlineLvl w:val="9"/>
    </w:pPr>
    <w:rPr>
      <w:b w:val="0"/>
      <w:bCs w:val="0"/>
      <w:color w:val="000000"/>
      <w:kern w:val="2"/>
      <w:sz w:val="24"/>
      <w:szCs w:val="24"/>
    </w:rPr>
  </w:style>
  <w:style w:type="paragraph" w:customStyle="1" w:styleId="CharCharChar1CharCharCharCharCharChar1CharCharCharCharCharChar">
    <w:name w:val="Char Char Char1 Char Char Char Char Char Char1 Char Char Char Char Char Char"/>
    <w:basedOn w:val="1"/>
    <w:next w:val="a0"/>
    <w:autoRedefine/>
    <w:uiPriority w:val="99"/>
    <w:qFormat/>
    <w:pPr>
      <w:keepNext w:val="0"/>
      <w:keepLines w:val="0"/>
      <w:snapToGrid w:val="0"/>
      <w:spacing w:before="0" w:after="0" w:line="360" w:lineRule="auto"/>
      <w:ind w:firstLineChars="200" w:firstLine="200"/>
      <w:outlineLvl w:val="9"/>
    </w:pPr>
    <w:rPr>
      <w:rFonts w:eastAsia="仿宋_GB2312"/>
      <w:b w:val="0"/>
      <w:bCs w:val="0"/>
      <w:color w:val="000000"/>
      <w:kern w:val="2"/>
      <w:sz w:val="24"/>
      <w:szCs w:val="24"/>
    </w:rPr>
  </w:style>
  <w:style w:type="paragraph" w:customStyle="1" w:styleId="18">
    <w:name w:val="纯文本1"/>
    <w:basedOn w:val="1"/>
    <w:autoRedefine/>
    <w:uiPriority w:val="99"/>
    <w:qFormat/>
    <w:pPr>
      <w:keepNext w:val="0"/>
      <w:keepLines w:val="0"/>
      <w:adjustRightInd w:val="0"/>
      <w:spacing w:before="0" w:after="0" w:line="500" w:lineRule="atLeast"/>
      <w:ind w:firstLineChars="177" w:firstLine="425"/>
      <w:outlineLvl w:val="9"/>
    </w:pPr>
    <w:rPr>
      <w:rFonts w:ascii="宋体" w:hAnsi="Courier New"/>
      <w:b w:val="0"/>
      <w:bCs w:val="0"/>
      <w:color w:val="000000"/>
      <w:kern w:val="2"/>
      <w:sz w:val="24"/>
      <w:szCs w:val="20"/>
    </w:rPr>
  </w:style>
  <w:style w:type="character" w:customStyle="1" w:styleId="Char6">
    <w:name w:val="正文(首行缩进) Char"/>
    <w:link w:val="affff0"/>
    <w:qFormat/>
    <w:locked/>
    <w:rPr>
      <w:snapToGrid w:val="0"/>
      <w:sz w:val="24"/>
      <w:szCs w:val="24"/>
    </w:rPr>
  </w:style>
  <w:style w:type="paragraph" w:customStyle="1" w:styleId="affff0">
    <w:name w:val="正文(首行缩进)"/>
    <w:basedOn w:val="1"/>
    <w:next w:val="a0"/>
    <w:link w:val="Char6"/>
    <w:autoRedefine/>
    <w:qFormat/>
    <w:pPr>
      <w:keepNext w:val="0"/>
      <w:keepLines w:val="0"/>
      <w:adjustRightInd w:val="0"/>
      <w:snapToGrid w:val="0"/>
      <w:spacing w:before="0" w:after="0" w:line="360" w:lineRule="auto"/>
      <w:ind w:firstLineChars="200" w:firstLine="200"/>
      <w:outlineLvl w:val="9"/>
    </w:pPr>
    <w:rPr>
      <w:rFonts w:asciiTheme="minorHAnsi" w:eastAsiaTheme="minorEastAsia" w:hAnsiTheme="minorHAnsi" w:cstheme="minorBidi"/>
      <w:b w:val="0"/>
      <w:bCs w:val="0"/>
      <w:snapToGrid w:val="0"/>
      <w:kern w:val="2"/>
      <w:sz w:val="24"/>
      <w:szCs w:val="24"/>
    </w:rPr>
  </w:style>
  <w:style w:type="paragraph" w:customStyle="1" w:styleId="29">
    <w:name w:val="纯文本2"/>
    <w:basedOn w:val="1"/>
    <w:next w:val="a0"/>
    <w:autoRedefine/>
    <w:uiPriority w:val="99"/>
    <w:qFormat/>
    <w:pPr>
      <w:keepNext w:val="0"/>
      <w:keepLines w:val="0"/>
      <w:spacing w:before="0" w:after="0" w:line="500" w:lineRule="atLeast"/>
      <w:ind w:firstLineChars="177" w:firstLine="425"/>
      <w:outlineLvl w:val="9"/>
    </w:pPr>
    <w:rPr>
      <w:rFonts w:ascii="宋体" w:hAnsi="Courier New"/>
      <w:b w:val="0"/>
      <w:bCs w:val="0"/>
      <w:color w:val="000000"/>
      <w:kern w:val="0"/>
      <w:sz w:val="20"/>
      <w:szCs w:val="21"/>
    </w:rPr>
  </w:style>
  <w:style w:type="paragraph" w:customStyle="1" w:styleId="19">
    <w:name w:val="日期1"/>
    <w:basedOn w:val="1"/>
    <w:next w:val="a0"/>
    <w:autoRedefine/>
    <w:uiPriority w:val="99"/>
    <w:qFormat/>
    <w:pPr>
      <w:keepNext w:val="0"/>
      <w:keepLines w:val="0"/>
      <w:spacing w:before="0" w:after="0" w:line="500" w:lineRule="atLeast"/>
      <w:ind w:leftChars="2500" w:left="100" w:firstLineChars="177" w:firstLine="425"/>
      <w:outlineLvl w:val="9"/>
    </w:pPr>
    <w:rPr>
      <w:rFonts w:ascii="Calibri" w:hAnsi="Calibri"/>
      <w:b w:val="0"/>
      <w:bCs w:val="0"/>
      <w:color w:val="000000"/>
      <w:kern w:val="0"/>
      <w:sz w:val="20"/>
      <w:szCs w:val="20"/>
    </w:rPr>
  </w:style>
  <w:style w:type="paragraph" w:customStyle="1" w:styleId="1a">
    <w:name w:val="无间隔1"/>
    <w:next w:val="a0"/>
    <w:autoRedefine/>
    <w:uiPriority w:val="99"/>
    <w:qFormat/>
    <w:rPr>
      <w:rFonts w:ascii="Calibri" w:hAnsi="Calibri"/>
      <w:color w:val="000000"/>
      <w:sz w:val="24"/>
    </w:rPr>
  </w:style>
  <w:style w:type="paragraph" w:customStyle="1" w:styleId="affff1">
    <w:name w:val="正文（我）"/>
    <w:basedOn w:val="1"/>
    <w:next w:val="a0"/>
    <w:autoRedefine/>
    <w:uiPriority w:val="99"/>
    <w:qFormat/>
    <w:pPr>
      <w:keepNext w:val="0"/>
      <w:keepLines w:val="0"/>
      <w:spacing w:before="0" w:after="0" w:line="500" w:lineRule="atLeast"/>
      <w:ind w:firstLineChars="200" w:firstLine="200"/>
      <w:outlineLvl w:val="9"/>
    </w:pPr>
    <w:rPr>
      <w:b w:val="0"/>
      <w:bCs w:val="0"/>
      <w:color w:val="000000"/>
      <w:kern w:val="2"/>
      <w:sz w:val="28"/>
      <w:szCs w:val="24"/>
    </w:rPr>
  </w:style>
  <w:style w:type="paragraph" w:customStyle="1" w:styleId="Char18">
    <w:name w:val="Char1"/>
    <w:basedOn w:val="1"/>
    <w:next w:val="a0"/>
    <w:autoRedefine/>
    <w:uiPriority w:val="99"/>
    <w:qFormat/>
    <w:pPr>
      <w:keepNext w:val="0"/>
      <w:keepLines w:val="0"/>
      <w:spacing w:before="0" w:after="0" w:line="500" w:lineRule="atLeast"/>
      <w:ind w:left="510" w:firstLineChars="177" w:firstLine="425"/>
      <w:outlineLvl w:val="9"/>
    </w:pPr>
    <w:rPr>
      <w:b w:val="0"/>
      <w:bCs w:val="0"/>
      <w:color w:val="000000"/>
      <w:kern w:val="2"/>
      <w:sz w:val="24"/>
      <w:szCs w:val="21"/>
    </w:rPr>
  </w:style>
  <w:style w:type="paragraph" w:customStyle="1" w:styleId="Char7">
    <w:name w:val="Char"/>
    <w:basedOn w:val="1"/>
    <w:next w:val="af2"/>
    <w:autoRedefine/>
    <w:uiPriority w:val="99"/>
    <w:qFormat/>
    <w:pPr>
      <w:keepNext w:val="0"/>
      <w:keepLines w:val="0"/>
      <w:spacing w:before="0" w:after="0" w:line="360" w:lineRule="auto"/>
      <w:ind w:firstLineChars="200" w:firstLine="200"/>
      <w:jc w:val="center"/>
      <w:outlineLvl w:val="9"/>
    </w:pPr>
    <w:rPr>
      <w:rFonts w:ascii="宋体" w:hAnsi="宋体" w:cs="宋体"/>
      <w:bCs w:val="0"/>
      <w:color w:val="000000"/>
      <w:kern w:val="2"/>
      <w:sz w:val="30"/>
      <w:szCs w:val="30"/>
    </w:rPr>
  </w:style>
  <w:style w:type="paragraph" w:customStyle="1" w:styleId="CharCharChar1CharCharCharCharCharCharCharChar">
    <w:name w:val="Char Char Char1 Char Char Char Char Char Char Char Char"/>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color w:val="000000"/>
      <w:kern w:val="2"/>
      <w:sz w:val="24"/>
      <w:szCs w:val="24"/>
    </w:rPr>
  </w:style>
  <w:style w:type="paragraph" w:customStyle="1" w:styleId="CharCharCharCharCharCharCharCharCharCharCharCharCharCharCharChar">
    <w:name w:val="Char Char Char Char Char Char Char Char Char Char Char Char Char Char Char Char"/>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color w:val="000000"/>
      <w:kern w:val="2"/>
      <w:sz w:val="24"/>
      <w:szCs w:val="24"/>
    </w:rPr>
  </w:style>
  <w:style w:type="character" w:customStyle="1" w:styleId="2a">
    <w:name w:val="正文文本 (2)_"/>
    <w:link w:val="2b"/>
    <w:qFormat/>
    <w:locked/>
    <w:rPr>
      <w:rFonts w:ascii="MingLiU" w:eastAsia="MingLiU" w:hAnsi="MingLiU"/>
      <w:sz w:val="23"/>
      <w:szCs w:val="23"/>
      <w:shd w:val="clear" w:color="auto" w:fill="FFFFFF"/>
    </w:rPr>
  </w:style>
  <w:style w:type="paragraph" w:customStyle="1" w:styleId="2b">
    <w:name w:val="正文文本 (2)"/>
    <w:basedOn w:val="1"/>
    <w:next w:val="a0"/>
    <w:link w:val="2a"/>
    <w:autoRedefine/>
    <w:qFormat/>
    <w:pPr>
      <w:keepNext w:val="0"/>
      <w:keepLines w:val="0"/>
      <w:shd w:val="clear" w:color="auto" w:fill="FFFFFF"/>
      <w:spacing w:before="0" w:after="0" w:line="466" w:lineRule="exact"/>
      <w:ind w:firstLineChars="177" w:firstLine="425"/>
      <w:jc w:val="distribute"/>
      <w:outlineLvl w:val="9"/>
    </w:pPr>
    <w:rPr>
      <w:rFonts w:ascii="MingLiU" w:eastAsia="MingLiU" w:hAnsi="MingLiU" w:cstheme="minorBidi"/>
      <w:b w:val="0"/>
      <w:bCs w:val="0"/>
      <w:kern w:val="2"/>
      <w:sz w:val="23"/>
      <w:szCs w:val="23"/>
    </w:rPr>
  </w:style>
  <w:style w:type="paragraph" w:customStyle="1" w:styleId="affff2">
    <w:name w:val="公式"/>
    <w:basedOn w:val="1"/>
    <w:next w:val="a0"/>
    <w:autoRedefine/>
    <w:uiPriority w:val="99"/>
    <w:qFormat/>
    <w:pPr>
      <w:keepNext w:val="0"/>
      <w:keepLines w:val="0"/>
      <w:spacing w:before="0" w:after="0" w:line="312" w:lineRule="auto"/>
      <w:ind w:firstLineChars="177" w:firstLine="425"/>
      <w:jc w:val="right"/>
      <w:outlineLvl w:val="9"/>
    </w:pPr>
    <w:rPr>
      <w:rFonts w:ascii="宋体" w:hAnsi="宋体"/>
      <w:b w:val="0"/>
      <w:bCs w:val="0"/>
      <w:color w:val="000000"/>
      <w:kern w:val="2"/>
      <w:sz w:val="24"/>
      <w:szCs w:val="24"/>
    </w:rPr>
  </w:style>
  <w:style w:type="paragraph" w:customStyle="1" w:styleId="42">
    <w:name w:val="纯文本4"/>
    <w:basedOn w:val="1"/>
    <w:next w:val="a0"/>
    <w:autoRedefine/>
    <w:uiPriority w:val="99"/>
    <w:qFormat/>
    <w:pPr>
      <w:keepNext w:val="0"/>
      <w:keepLines w:val="0"/>
      <w:spacing w:before="0" w:after="0" w:line="500" w:lineRule="atLeast"/>
      <w:ind w:firstLineChars="177" w:firstLine="425"/>
      <w:outlineLvl w:val="9"/>
    </w:pPr>
    <w:rPr>
      <w:rFonts w:ascii="宋体" w:hAnsi="Courier New"/>
      <w:b w:val="0"/>
      <w:bCs w:val="0"/>
      <w:kern w:val="0"/>
      <w:sz w:val="20"/>
      <w:szCs w:val="21"/>
    </w:rPr>
  </w:style>
  <w:style w:type="paragraph" w:customStyle="1" w:styleId="2c">
    <w:name w:val="日期2"/>
    <w:basedOn w:val="1"/>
    <w:next w:val="a0"/>
    <w:autoRedefine/>
    <w:uiPriority w:val="99"/>
    <w:qFormat/>
    <w:pPr>
      <w:keepNext w:val="0"/>
      <w:keepLines w:val="0"/>
      <w:spacing w:before="0" w:after="0" w:line="500" w:lineRule="atLeast"/>
      <w:ind w:leftChars="2500" w:left="100" w:firstLineChars="177" w:firstLine="425"/>
      <w:outlineLvl w:val="9"/>
    </w:pPr>
    <w:rPr>
      <w:rFonts w:ascii="Calibri" w:hAnsi="Calibri"/>
      <w:b w:val="0"/>
      <w:bCs w:val="0"/>
      <w:kern w:val="0"/>
      <w:sz w:val="20"/>
      <w:szCs w:val="20"/>
    </w:rPr>
  </w:style>
  <w:style w:type="paragraph" w:customStyle="1" w:styleId="2d">
    <w:name w:val="无间隔2"/>
    <w:next w:val="a0"/>
    <w:autoRedefine/>
    <w:uiPriority w:val="99"/>
    <w:qFormat/>
    <w:rPr>
      <w:rFonts w:ascii="Calibri" w:hAnsi="Calibri"/>
      <w:sz w:val="22"/>
    </w:rPr>
  </w:style>
  <w:style w:type="paragraph" w:customStyle="1" w:styleId="51">
    <w:name w:val="纯文本5"/>
    <w:basedOn w:val="1"/>
    <w:next w:val="a0"/>
    <w:autoRedefine/>
    <w:uiPriority w:val="99"/>
    <w:qFormat/>
    <w:pPr>
      <w:keepNext w:val="0"/>
      <w:keepLines w:val="0"/>
      <w:spacing w:before="0" w:after="0" w:line="500" w:lineRule="atLeast"/>
      <w:ind w:firstLineChars="177" w:firstLine="425"/>
      <w:outlineLvl w:val="9"/>
    </w:pPr>
    <w:rPr>
      <w:rFonts w:ascii="宋体" w:hAnsi="Courier New"/>
      <w:b w:val="0"/>
      <w:bCs w:val="0"/>
      <w:kern w:val="0"/>
      <w:sz w:val="20"/>
      <w:szCs w:val="21"/>
    </w:rPr>
  </w:style>
  <w:style w:type="paragraph" w:customStyle="1" w:styleId="Char120">
    <w:name w:val="Char12"/>
    <w:basedOn w:val="1"/>
    <w:next w:val="a0"/>
    <w:autoRedefine/>
    <w:uiPriority w:val="99"/>
    <w:qFormat/>
    <w:pPr>
      <w:keepNext w:val="0"/>
      <w:keepLines w:val="0"/>
      <w:spacing w:before="0" w:after="0" w:line="500" w:lineRule="atLeast"/>
      <w:ind w:left="510" w:firstLineChars="177" w:firstLine="425"/>
      <w:outlineLvl w:val="9"/>
    </w:pPr>
    <w:rPr>
      <w:b w:val="0"/>
      <w:bCs w:val="0"/>
      <w:kern w:val="2"/>
      <w:sz w:val="24"/>
      <w:szCs w:val="21"/>
    </w:rPr>
  </w:style>
  <w:style w:type="paragraph" w:customStyle="1" w:styleId="CharCharChar1CharCharCharCharCharCharCharChar2">
    <w:name w:val="Char Char Char1 Char Char Char Char Char Char Char Char2"/>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CharCharCharCharCharCharCharCharCharCharCharCharCharCharCharChar2">
    <w:name w:val="Char Char Char Char Char Char Char Char Char Char Char Char Char Char Char Char2"/>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43">
    <w:name w:val="正文4"/>
    <w:next w:val="a0"/>
    <w:autoRedefine/>
    <w:uiPriority w:val="99"/>
    <w:qFormat/>
    <w:pPr>
      <w:widowControl w:val="0"/>
      <w:adjustRightInd w:val="0"/>
      <w:spacing w:line="360" w:lineRule="atLeast"/>
    </w:pPr>
    <w:rPr>
      <w:rFonts w:ascii="宋体"/>
      <w:sz w:val="24"/>
    </w:rPr>
  </w:style>
  <w:style w:type="paragraph" w:customStyle="1" w:styleId="37">
    <w:name w:val="日期3"/>
    <w:basedOn w:val="1"/>
    <w:next w:val="a0"/>
    <w:autoRedefine/>
    <w:uiPriority w:val="99"/>
    <w:qFormat/>
    <w:pPr>
      <w:keepNext w:val="0"/>
      <w:keepLines w:val="0"/>
      <w:spacing w:before="0" w:after="0" w:line="500" w:lineRule="atLeast"/>
      <w:ind w:leftChars="2500" w:left="100" w:firstLineChars="177" w:firstLine="425"/>
      <w:outlineLvl w:val="9"/>
    </w:pPr>
    <w:rPr>
      <w:rFonts w:ascii="Calibri" w:hAnsi="Calibri"/>
      <w:b w:val="0"/>
      <w:bCs w:val="0"/>
      <w:kern w:val="0"/>
      <w:sz w:val="20"/>
      <w:szCs w:val="20"/>
    </w:rPr>
  </w:style>
  <w:style w:type="paragraph" w:customStyle="1" w:styleId="38">
    <w:name w:val="无间隔3"/>
    <w:next w:val="a0"/>
    <w:autoRedefine/>
    <w:uiPriority w:val="99"/>
    <w:qFormat/>
    <w:rPr>
      <w:rFonts w:ascii="Calibri" w:hAnsi="Calibri"/>
      <w:sz w:val="22"/>
    </w:rPr>
  </w:style>
  <w:style w:type="paragraph" w:customStyle="1" w:styleId="Char110">
    <w:name w:val="Char11"/>
    <w:basedOn w:val="1"/>
    <w:next w:val="a0"/>
    <w:autoRedefine/>
    <w:uiPriority w:val="99"/>
    <w:qFormat/>
    <w:pPr>
      <w:keepNext w:val="0"/>
      <w:keepLines w:val="0"/>
      <w:spacing w:before="0" w:after="0" w:line="500" w:lineRule="atLeast"/>
      <w:ind w:left="510" w:firstLineChars="177" w:firstLine="425"/>
      <w:outlineLvl w:val="9"/>
    </w:pPr>
    <w:rPr>
      <w:b w:val="0"/>
      <w:bCs w:val="0"/>
      <w:kern w:val="2"/>
      <w:sz w:val="24"/>
      <w:szCs w:val="21"/>
    </w:rPr>
  </w:style>
  <w:style w:type="paragraph" w:customStyle="1" w:styleId="CharCharChar1CharCharCharCharCharCharCharChar1">
    <w:name w:val="Char Char Char1 Char Char Char Char Char Char Char Char1"/>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CharCharCharCharCharCharCharCharCharCharCharCharCharCharCharChar1">
    <w:name w:val="Char Char Char Char Char Char Char Char Char Char Char Char Char Char Char Char1"/>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character" w:customStyle="1" w:styleId="1CharChar">
    <w:name w:val="正缩1 Char Char"/>
    <w:link w:val="1Char"/>
    <w:qFormat/>
    <w:locked/>
    <w:rPr>
      <w:rFonts w:ascii="仿宋_GB2312" w:eastAsia="仿宋_GB2312"/>
      <w:snapToGrid w:val="0"/>
      <w:color w:val="000000"/>
      <w:sz w:val="28"/>
    </w:rPr>
  </w:style>
  <w:style w:type="paragraph" w:customStyle="1" w:styleId="1Char">
    <w:name w:val="正缩1 Char"/>
    <w:basedOn w:val="1"/>
    <w:next w:val="a0"/>
    <w:link w:val="1CharChar"/>
    <w:autoRedefine/>
    <w:qFormat/>
    <w:pPr>
      <w:keepNext w:val="0"/>
      <w:keepLines w:val="0"/>
      <w:adjustRightInd w:val="0"/>
      <w:snapToGrid w:val="0"/>
      <w:spacing w:before="0" w:after="0" w:line="500" w:lineRule="exact"/>
      <w:ind w:firstLineChars="177" w:firstLine="567"/>
      <w:outlineLvl w:val="9"/>
    </w:pPr>
    <w:rPr>
      <w:rFonts w:ascii="仿宋_GB2312" w:eastAsia="仿宋_GB2312" w:hAnsiTheme="minorHAnsi" w:cstheme="minorBidi"/>
      <w:b w:val="0"/>
      <w:bCs w:val="0"/>
      <w:snapToGrid w:val="0"/>
      <w:color w:val="000000"/>
      <w:kern w:val="2"/>
      <w:sz w:val="28"/>
      <w:szCs w:val="22"/>
    </w:rPr>
  </w:style>
  <w:style w:type="character" w:customStyle="1" w:styleId="Char8">
    <w:name w:val="报告正文 Char"/>
    <w:link w:val="affff3"/>
    <w:qFormat/>
    <w:locked/>
    <w:rPr>
      <w:sz w:val="24"/>
    </w:rPr>
  </w:style>
  <w:style w:type="paragraph" w:customStyle="1" w:styleId="affff3">
    <w:name w:val="报告正文"/>
    <w:basedOn w:val="1"/>
    <w:next w:val="a0"/>
    <w:link w:val="Char8"/>
    <w:autoRedefine/>
    <w:qFormat/>
    <w:pPr>
      <w:keepNext w:val="0"/>
      <w:keepLines w:val="0"/>
      <w:spacing w:before="0" w:after="0" w:line="360" w:lineRule="auto"/>
      <w:ind w:firstLineChars="200" w:firstLine="200"/>
      <w:outlineLvl w:val="9"/>
    </w:pPr>
    <w:rPr>
      <w:rFonts w:asciiTheme="minorHAnsi" w:eastAsiaTheme="minorEastAsia" w:hAnsiTheme="minorHAnsi" w:cstheme="minorBidi"/>
      <w:b w:val="0"/>
      <w:bCs w:val="0"/>
      <w:kern w:val="2"/>
      <w:sz w:val="24"/>
      <w:szCs w:val="22"/>
    </w:rPr>
  </w:style>
  <w:style w:type="character" w:customStyle="1" w:styleId="111Char">
    <w:name w:val="正文111 Char"/>
    <w:basedOn w:val="a1"/>
    <w:link w:val="111"/>
    <w:qFormat/>
    <w:locked/>
    <w:rPr>
      <w:rFonts w:ascii="仿宋_GB2312" w:eastAsia="仿宋_GB2312"/>
      <w:spacing w:val="6"/>
      <w:sz w:val="24"/>
      <w:szCs w:val="24"/>
    </w:rPr>
  </w:style>
  <w:style w:type="paragraph" w:customStyle="1" w:styleId="111">
    <w:name w:val="正文111"/>
    <w:basedOn w:val="1"/>
    <w:next w:val="a0"/>
    <w:link w:val="111Char"/>
    <w:autoRedefine/>
    <w:qFormat/>
    <w:pPr>
      <w:keepNext w:val="0"/>
      <w:keepLines w:val="0"/>
      <w:spacing w:before="0" w:after="0" w:line="520" w:lineRule="exact"/>
      <w:ind w:firstLineChars="200" w:firstLine="200"/>
      <w:outlineLvl w:val="9"/>
    </w:pPr>
    <w:rPr>
      <w:rFonts w:ascii="仿宋_GB2312" w:eastAsia="仿宋_GB2312" w:hAnsiTheme="minorHAnsi" w:cstheme="minorBidi"/>
      <w:b w:val="0"/>
      <w:bCs w:val="0"/>
      <w:spacing w:val="6"/>
      <w:kern w:val="2"/>
      <w:sz w:val="24"/>
      <w:szCs w:val="24"/>
    </w:rPr>
  </w:style>
  <w:style w:type="character" w:customStyle="1" w:styleId="Char19">
    <w:name w:val="表格内文字 Char1"/>
    <w:basedOn w:val="a1"/>
    <w:link w:val="affff4"/>
    <w:qFormat/>
    <w:locked/>
    <w:rPr>
      <w:szCs w:val="21"/>
      <w:lang w:val="zh-CN"/>
    </w:rPr>
  </w:style>
  <w:style w:type="paragraph" w:customStyle="1" w:styleId="affff4">
    <w:name w:val="表格内文字"/>
    <w:next w:val="a0"/>
    <w:link w:val="Char19"/>
    <w:autoRedefine/>
    <w:qFormat/>
    <w:rPr>
      <w:rFonts w:asciiTheme="minorHAnsi" w:eastAsiaTheme="minorEastAsia" w:hAnsiTheme="minorHAnsi" w:cstheme="minorBidi"/>
      <w:kern w:val="2"/>
      <w:sz w:val="21"/>
      <w:szCs w:val="21"/>
      <w:lang w:val="zh-CN"/>
    </w:rPr>
  </w:style>
  <w:style w:type="paragraph" w:customStyle="1" w:styleId="Char9">
    <w:name w:val="麦志勤正文 Char"/>
    <w:basedOn w:val="1"/>
    <w:next w:val="a0"/>
    <w:autoRedefine/>
    <w:uiPriority w:val="99"/>
    <w:qFormat/>
    <w:pPr>
      <w:keepNext w:val="0"/>
      <w:keepLines w:val="0"/>
      <w:adjustRightInd w:val="0"/>
      <w:snapToGrid w:val="0"/>
      <w:spacing w:beforeLines="20" w:after="0" w:line="300" w:lineRule="auto"/>
      <w:ind w:firstLineChars="200" w:firstLine="200"/>
      <w:outlineLvl w:val="9"/>
    </w:pPr>
    <w:rPr>
      <w:rFonts w:ascii="宋体" w:hAnsi="宋体"/>
      <w:b w:val="0"/>
      <w:bCs w:val="0"/>
      <w:kern w:val="2"/>
      <w:sz w:val="24"/>
      <w:szCs w:val="20"/>
    </w:rPr>
  </w:style>
  <w:style w:type="character" w:customStyle="1" w:styleId="----------------CharChar">
    <w:name w:val="正文---------------- Char Char"/>
    <w:basedOn w:val="a1"/>
    <w:link w:val="----------------"/>
    <w:qFormat/>
    <w:locked/>
    <w:rPr>
      <w:rFonts w:ascii="宋体" w:eastAsia="宋体" w:hAnsi="宋体" w:cs="宋体"/>
      <w:spacing w:val="16"/>
      <w:sz w:val="24"/>
    </w:rPr>
  </w:style>
  <w:style w:type="paragraph" w:customStyle="1" w:styleId="----------------">
    <w:name w:val="正文----------------"/>
    <w:basedOn w:val="1"/>
    <w:next w:val="a0"/>
    <w:link w:val="----------------CharChar"/>
    <w:autoRedefine/>
    <w:qFormat/>
    <w:pPr>
      <w:keepNext w:val="0"/>
      <w:keepLines w:val="0"/>
      <w:spacing w:before="0" w:after="0" w:line="440" w:lineRule="exact"/>
      <w:ind w:firstLineChars="200" w:firstLine="544"/>
      <w:outlineLvl w:val="9"/>
    </w:pPr>
    <w:rPr>
      <w:rFonts w:ascii="宋体" w:hAnsi="宋体" w:cs="宋体"/>
      <w:b w:val="0"/>
      <w:bCs w:val="0"/>
      <w:spacing w:val="16"/>
      <w:kern w:val="2"/>
      <w:sz w:val="24"/>
      <w:szCs w:val="22"/>
    </w:rPr>
  </w:style>
  <w:style w:type="paragraph" w:customStyle="1" w:styleId="122">
    <w:name w:val="样式 样式 样式1 + 首行缩进:  2 字符 + 首行缩进:  2 字符"/>
    <w:basedOn w:val="1"/>
    <w:next w:val="a0"/>
    <w:autoRedefine/>
    <w:uiPriority w:val="99"/>
    <w:qFormat/>
    <w:pPr>
      <w:keepNext w:val="0"/>
      <w:keepLines w:val="0"/>
      <w:spacing w:before="0" w:after="0" w:line="360" w:lineRule="auto"/>
      <w:ind w:firstLineChars="250" w:firstLine="600"/>
      <w:outlineLvl w:val="9"/>
    </w:pPr>
    <w:rPr>
      <w:rFonts w:cs="宋体"/>
      <w:b w:val="0"/>
      <w:kern w:val="2"/>
      <w:sz w:val="24"/>
      <w:szCs w:val="24"/>
    </w:rPr>
  </w:style>
  <w:style w:type="paragraph" w:customStyle="1" w:styleId="220">
    <w:name w:val="样式 宋体 小四 左 行距: 固定值 22 磅"/>
    <w:basedOn w:val="1"/>
    <w:next w:val="a0"/>
    <w:autoRedefine/>
    <w:uiPriority w:val="99"/>
    <w:qFormat/>
    <w:pPr>
      <w:keepNext w:val="0"/>
      <w:keepLines w:val="0"/>
      <w:spacing w:before="0" w:after="0" w:line="440" w:lineRule="exact"/>
      <w:ind w:firstLineChars="200" w:firstLine="200"/>
      <w:jc w:val="left"/>
      <w:outlineLvl w:val="9"/>
    </w:pPr>
    <w:rPr>
      <w:rFonts w:ascii="宋体" w:hAnsi="宋体" w:cs="宋体"/>
      <w:b w:val="0"/>
      <w:bCs w:val="0"/>
      <w:kern w:val="2"/>
      <w:sz w:val="24"/>
      <w:szCs w:val="20"/>
    </w:rPr>
  </w:style>
  <w:style w:type="character" w:customStyle="1" w:styleId="Chara">
    <w:name w:val="表格标题采用 Char"/>
    <w:link w:val="affff5"/>
    <w:qFormat/>
    <w:locked/>
    <w:rPr>
      <w:rFonts w:ascii="宋体" w:eastAsia="宋体" w:hAnsi="宋体"/>
      <w:b/>
      <w:color w:val="000000"/>
      <w:sz w:val="24"/>
      <w:szCs w:val="24"/>
    </w:rPr>
  </w:style>
  <w:style w:type="paragraph" w:customStyle="1" w:styleId="affff5">
    <w:name w:val="表格标题采用"/>
    <w:basedOn w:val="1"/>
    <w:next w:val="a0"/>
    <w:link w:val="Chara"/>
    <w:autoRedefine/>
    <w:qFormat/>
    <w:pPr>
      <w:keepNext w:val="0"/>
      <w:keepLines w:val="0"/>
      <w:spacing w:before="0" w:after="0" w:line="500" w:lineRule="atLeast"/>
      <w:ind w:firstLineChars="177" w:firstLine="480"/>
      <w:jc w:val="center"/>
      <w:outlineLvl w:val="9"/>
    </w:pPr>
    <w:rPr>
      <w:rFonts w:ascii="宋体" w:hAnsi="宋体" w:cstheme="minorBidi"/>
      <w:bCs w:val="0"/>
      <w:color w:val="000000"/>
      <w:kern w:val="2"/>
      <w:sz w:val="24"/>
      <w:szCs w:val="24"/>
    </w:rPr>
  </w:style>
  <w:style w:type="character" w:customStyle="1" w:styleId="Charb">
    <w:name w:val="表格内容 Char"/>
    <w:link w:val="affff6"/>
    <w:qFormat/>
    <w:locked/>
    <w:rPr>
      <w:snapToGrid w:val="0"/>
      <w:color w:val="FF0000"/>
      <w:szCs w:val="21"/>
    </w:rPr>
  </w:style>
  <w:style w:type="paragraph" w:customStyle="1" w:styleId="affff6">
    <w:name w:val="表格内容"/>
    <w:basedOn w:val="1"/>
    <w:next w:val="a0"/>
    <w:link w:val="Charb"/>
    <w:autoRedefine/>
    <w:qFormat/>
    <w:pPr>
      <w:keepNext w:val="0"/>
      <w:keepLines w:val="0"/>
      <w:snapToGrid w:val="0"/>
      <w:spacing w:before="0" w:after="0" w:line="240" w:lineRule="exact"/>
      <w:ind w:firstLineChars="177" w:firstLine="425"/>
      <w:jc w:val="center"/>
      <w:outlineLvl w:val="9"/>
    </w:pPr>
    <w:rPr>
      <w:rFonts w:asciiTheme="minorHAnsi" w:eastAsiaTheme="minorEastAsia" w:hAnsiTheme="minorHAnsi" w:cstheme="minorBidi"/>
      <w:b w:val="0"/>
      <w:bCs w:val="0"/>
      <w:snapToGrid w:val="0"/>
      <w:color w:val="FF0000"/>
      <w:kern w:val="2"/>
      <w:sz w:val="21"/>
      <w:szCs w:val="21"/>
    </w:rPr>
  </w:style>
  <w:style w:type="paragraph" w:customStyle="1" w:styleId="Charc">
    <w:name w:val="正文段落格式 Char"/>
    <w:basedOn w:val="1"/>
    <w:next w:val="a0"/>
    <w:autoRedefine/>
    <w:uiPriority w:val="99"/>
    <w:qFormat/>
    <w:pPr>
      <w:keepNext w:val="0"/>
      <w:keepLines w:val="0"/>
      <w:spacing w:before="0" w:after="0" w:line="360" w:lineRule="auto"/>
      <w:ind w:firstLineChars="200" w:firstLine="200"/>
      <w:outlineLvl w:val="9"/>
    </w:pPr>
    <w:rPr>
      <w:b w:val="0"/>
      <w:bCs w:val="0"/>
      <w:kern w:val="2"/>
      <w:sz w:val="28"/>
      <w:szCs w:val="20"/>
    </w:rPr>
  </w:style>
  <w:style w:type="paragraph" w:customStyle="1" w:styleId="reader-word-layer">
    <w:name w:val="reader-word-layer"/>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next w:val="a0"/>
    <w:autoRedefine/>
    <w:uiPriority w:val="99"/>
    <w:qFormat/>
    <w:pPr>
      <w:widowControl w:val="0"/>
      <w:jc w:val="both"/>
    </w:pPr>
    <w:rPr>
      <w:kern w:val="2"/>
      <w:sz w:val="21"/>
      <w:szCs w:val="24"/>
    </w:rPr>
  </w:style>
  <w:style w:type="paragraph" w:customStyle="1" w:styleId="affff7">
    <w:name w:val="表格文字"/>
    <w:basedOn w:val="1"/>
    <w:next w:val="a0"/>
    <w:autoRedefine/>
    <w:uiPriority w:val="99"/>
    <w:qFormat/>
    <w:pPr>
      <w:keepNext w:val="0"/>
      <w:keepLines w:val="0"/>
      <w:spacing w:before="0" w:after="0" w:line="500" w:lineRule="atLeast"/>
      <w:ind w:firstLineChars="177" w:firstLine="425"/>
      <w:jc w:val="center"/>
      <w:outlineLvl w:val="9"/>
    </w:pPr>
    <w:rPr>
      <w:rFonts w:ascii="仿宋_GB2312" w:eastAsia="仿宋_GB2312" w:hAnsi="Arial Black"/>
      <w:b w:val="0"/>
      <w:bCs w:val="0"/>
      <w:sz w:val="24"/>
      <w:szCs w:val="24"/>
    </w:rPr>
  </w:style>
  <w:style w:type="paragraph" w:customStyle="1" w:styleId="affff8">
    <w:name w:val="表格样式"/>
    <w:basedOn w:val="af5"/>
    <w:next w:val="a0"/>
    <w:autoRedefine/>
    <w:uiPriority w:val="99"/>
    <w:qFormat/>
    <w:pPr>
      <w:spacing w:line="720" w:lineRule="auto"/>
      <w:ind w:firstLineChars="177" w:firstLine="425"/>
    </w:pPr>
    <w:rPr>
      <w:rFonts w:cs="Times New Roman"/>
      <w:szCs w:val="20"/>
    </w:rPr>
  </w:style>
  <w:style w:type="paragraph" w:customStyle="1" w:styleId="Char30">
    <w:name w:val="Char3"/>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4"/>
    </w:rPr>
  </w:style>
  <w:style w:type="paragraph" w:customStyle="1" w:styleId="Char2CharCharChar">
    <w:name w:val="Char2 Char Char Char"/>
    <w:basedOn w:val="1"/>
    <w:next w:val="a0"/>
    <w:autoRedefine/>
    <w:uiPriority w:val="99"/>
    <w:qFormat/>
    <w:pPr>
      <w:keepNext w:val="0"/>
      <w:keepLines w:val="0"/>
      <w:autoSpaceDE w:val="0"/>
      <w:autoSpaceDN w:val="0"/>
      <w:adjustRightInd w:val="0"/>
      <w:snapToGrid w:val="0"/>
      <w:spacing w:before="50" w:after="50" w:line="360" w:lineRule="auto"/>
      <w:ind w:firstLineChars="200" w:firstLine="560"/>
      <w:outlineLvl w:val="9"/>
    </w:pPr>
    <w:rPr>
      <w:rFonts w:ascii="宋体" w:eastAsia="仿宋_GB2312" w:hAnsi="宋体"/>
      <w:b w:val="0"/>
      <w:bCs w:val="0"/>
      <w:color w:val="000000"/>
      <w:kern w:val="2"/>
      <w:sz w:val="24"/>
      <w:szCs w:val="24"/>
    </w:rPr>
  </w:style>
  <w:style w:type="paragraph" w:customStyle="1" w:styleId="CharCharCharCharCharCharCharCharCharChar1CharCharCharCharCharCharCharCharCharCharCharCharChar">
    <w:name w:val="Char Char Char Char Char Char Char Char Char Char1 Char Char Char Char Char Char Char Char Char Char Char Char Char"/>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4"/>
    </w:rPr>
  </w:style>
  <w:style w:type="character" w:customStyle="1" w:styleId="CharCharCharCharChar1">
    <w:name w:val="Char Char Char Char Char1"/>
    <w:link w:val="CharCharCharChar"/>
    <w:uiPriority w:val="99"/>
    <w:qFormat/>
    <w:locked/>
    <w:rPr>
      <w:rFonts w:ascii="Arial" w:hAnsi="Arial" w:cs="Arial"/>
      <w:b/>
      <w:sz w:val="24"/>
      <w:lang w:eastAsia="en-US"/>
    </w:rPr>
  </w:style>
  <w:style w:type="paragraph" w:customStyle="1" w:styleId="CharCharCharChar">
    <w:name w:val="Char Char Char Char"/>
    <w:basedOn w:val="1"/>
    <w:next w:val="a0"/>
    <w:link w:val="CharCharCharCharChar1"/>
    <w:autoRedefine/>
    <w:uiPriority w:val="99"/>
    <w:qFormat/>
    <w:pPr>
      <w:keepNext w:val="0"/>
      <w:keepLines w:val="0"/>
      <w:widowControl/>
      <w:spacing w:before="0" w:after="160" w:line="240" w:lineRule="exact"/>
      <w:ind w:firstLineChars="177" w:firstLine="425"/>
      <w:jc w:val="left"/>
      <w:outlineLvl w:val="9"/>
    </w:pPr>
    <w:rPr>
      <w:rFonts w:ascii="Arial" w:eastAsiaTheme="minorEastAsia" w:hAnsi="Arial" w:cs="Arial"/>
      <w:bCs w:val="0"/>
      <w:kern w:val="2"/>
      <w:sz w:val="24"/>
      <w:szCs w:val="22"/>
      <w:lang w:eastAsia="en-US"/>
    </w:rPr>
  </w:style>
  <w:style w:type="paragraph" w:customStyle="1" w:styleId="xl24">
    <w:name w:val="xl24"/>
    <w:basedOn w:val="1"/>
    <w:next w:val="a0"/>
    <w:autoRedefine/>
    <w:uiPriority w:val="99"/>
    <w:qFormat/>
    <w:pPr>
      <w:keepNext w:val="0"/>
      <w:keepLines w:val="0"/>
      <w:widowControl/>
      <w:pBdr>
        <w:bottom w:val="single" w:sz="4" w:space="0" w:color="auto"/>
        <w:right w:val="single" w:sz="4" w:space="0" w:color="auto"/>
      </w:pBdr>
      <w:spacing w:before="100" w:beforeAutospacing="1" w:after="100" w:afterAutospacing="1" w:line="500" w:lineRule="atLeast"/>
      <w:ind w:firstLineChars="177" w:firstLine="425"/>
      <w:jc w:val="center"/>
      <w:outlineLvl w:val="9"/>
    </w:pPr>
    <w:rPr>
      <w:rFonts w:ascii="宋体" w:hAnsi="宋体"/>
      <w:b w:val="0"/>
      <w:bCs w:val="0"/>
      <w:kern w:val="0"/>
      <w:sz w:val="24"/>
      <w:szCs w:val="21"/>
    </w:rPr>
  </w:style>
  <w:style w:type="character" w:customStyle="1" w:styleId="Chard">
    <w:name w:val="正文文本缩进一 Char"/>
    <w:link w:val="affff9"/>
    <w:qFormat/>
    <w:locked/>
    <w:rPr>
      <w:rFonts w:ascii="宋体" w:eastAsia="宋体" w:hAnsi="宋体"/>
      <w:sz w:val="28"/>
      <w:szCs w:val="24"/>
    </w:rPr>
  </w:style>
  <w:style w:type="paragraph" w:customStyle="1" w:styleId="affff9">
    <w:name w:val="正文文本缩进一"/>
    <w:basedOn w:val="a4"/>
    <w:next w:val="a0"/>
    <w:link w:val="Chard"/>
    <w:autoRedefine/>
    <w:qFormat/>
    <w:pPr>
      <w:spacing w:line="360" w:lineRule="auto"/>
      <w:ind w:firstLine="560"/>
    </w:pPr>
    <w:rPr>
      <w:rFonts w:ascii="宋体" w:eastAsia="宋体" w:hAnsi="宋体"/>
      <w:sz w:val="28"/>
    </w:rPr>
  </w:style>
  <w:style w:type="paragraph" w:customStyle="1" w:styleId="affffa">
    <w:name w:val="正文文本缩进二"/>
    <w:basedOn w:val="25"/>
    <w:next w:val="a0"/>
    <w:autoRedefine/>
    <w:uiPriority w:val="99"/>
    <w:qFormat/>
    <w:rPr>
      <w:rFonts w:ascii="Times New Roman" w:hAnsi="Times New Roman"/>
      <w:color w:val="auto"/>
      <w:szCs w:val="24"/>
    </w:rPr>
  </w:style>
  <w:style w:type="character" w:customStyle="1" w:styleId="DefaultChar">
    <w:name w:val="Default Char"/>
    <w:link w:val="Default"/>
    <w:qFormat/>
    <w:locked/>
    <w:rPr>
      <w:rFonts w:ascii="宋体" w:eastAsia="宋体" w:hAnsi="宋体" w:cs="宋体"/>
      <w:color w:val="000000"/>
      <w:sz w:val="24"/>
      <w:szCs w:val="24"/>
    </w:rPr>
  </w:style>
  <w:style w:type="paragraph" w:customStyle="1" w:styleId="Default">
    <w:name w:val="Default"/>
    <w:basedOn w:val="18"/>
    <w:next w:val="a0"/>
    <w:link w:val="DefaultChar"/>
    <w:autoRedefine/>
    <w:qFormat/>
    <w:pPr>
      <w:autoSpaceDE w:val="0"/>
      <w:autoSpaceDN w:val="0"/>
    </w:pPr>
    <w:rPr>
      <w:rFonts w:hAnsi="宋体" w:cs="宋体"/>
      <w:szCs w:val="24"/>
    </w:rPr>
  </w:style>
  <w:style w:type="paragraph" w:customStyle="1" w:styleId="affffb">
    <w:name w:val="表中文字"/>
    <w:basedOn w:val="1"/>
    <w:autoRedefine/>
    <w:uiPriority w:val="99"/>
    <w:qFormat/>
    <w:pPr>
      <w:keepNext w:val="0"/>
      <w:keepLines w:val="0"/>
      <w:spacing w:before="0" w:after="0" w:line="500" w:lineRule="atLeast"/>
      <w:ind w:firstLineChars="177" w:firstLine="425"/>
      <w:jc w:val="center"/>
      <w:outlineLvl w:val="9"/>
    </w:pPr>
    <w:rPr>
      <w:b w:val="0"/>
      <w:bCs w:val="0"/>
      <w:kern w:val="2"/>
      <w:sz w:val="24"/>
      <w:szCs w:val="20"/>
    </w:rPr>
  </w:style>
  <w:style w:type="character" w:customStyle="1" w:styleId="2Char">
    <w:name w:val="正文2 Char"/>
    <w:link w:val="2e"/>
    <w:qFormat/>
    <w:locked/>
    <w:rPr>
      <w:rFonts w:ascii="宋体" w:eastAsia="宋体" w:hAnsi="宋体"/>
      <w:sz w:val="24"/>
    </w:rPr>
  </w:style>
  <w:style w:type="paragraph" w:customStyle="1" w:styleId="2e">
    <w:name w:val="正文2"/>
    <w:next w:val="a0"/>
    <w:link w:val="2Char"/>
    <w:autoRedefine/>
    <w:qFormat/>
    <w:pPr>
      <w:widowControl w:val="0"/>
      <w:adjustRightInd w:val="0"/>
      <w:spacing w:line="360" w:lineRule="atLeast"/>
    </w:pPr>
    <w:rPr>
      <w:rFonts w:ascii="宋体" w:hAnsi="宋体" w:cstheme="minorBidi"/>
      <w:kern w:val="2"/>
      <w:sz w:val="24"/>
      <w:szCs w:val="22"/>
    </w:rPr>
  </w:style>
  <w:style w:type="paragraph" w:customStyle="1" w:styleId="2f">
    <w:name w:val="样式 列表 2 + 华文仿宋 居中"/>
    <w:basedOn w:val="23"/>
    <w:next w:val="a0"/>
    <w:autoRedefine/>
    <w:uiPriority w:val="99"/>
    <w:qFormat/>
    <w:pPr>
      <w:spacing w:line="500" w:lineRule="exact"/>
      <w:ind w:leftChars="0" w:left="0" w:firstLineChars="177" w:firstLine="425"/>
      <w:contextualSpacing w:val="0"/>
      <w:jc w:val="center"/>
    </w:pPr>
    <w:rPr>
      <w:kern w:val="0"/>
    </w:rPr>
  </w:style>
  <w:style w:type="paragraph" w:customStyle="1" w:styleId="lily">
    <w:name w:val="lily 正文"/>
    <w:basedOn w:val="1"/>
    <w:next w:val="a0"/>
    <w:autoRedefine/>
    <w:uiPriority w:val="99"/>
    <w:qFormat/>
    <w:pPr>
      <w:keepNext w:val="0"/>
      <w:keepLines w:val="0"/>
      <w:spacing w:before="0" w:after="0" w:line="440" w:lineRule="atLeast"/>
      <w:ind w:firstLineChars="200" w:firstLine="480"/>
      <w:outlineLvl w:val="9"/>
    </w:pPr>
    <w:rPr>
      <w:b w:val="0"/>
      <w:bCs w:val="0"/>
      <w:kern w:val="2"/>
      <w:sz w:val="24"/>
      <w:szCs w:val="24"/>
    </w:rPr>
  </w:style>
  <w:style w:type="paragraph" w:customStyle="1" w:styleId="lily0">
    <w:name w:val="lily 表格标题"/>
    <w:basedOn w:val="1"/>
    <w:next w:val="a0"/>
    <w:autoRedefine/>
    <w:uiPriority w:val="99"/>
    <w:qFormat/>
    <w:pPr>
      <w:keepNext w:val="0"/>
      <w:keepLines w:val="0"/>
      <w:spacing w:before="0" w:after="0" w:line="440" w:lineRule="atLeast"/>
      <w:ind w:firstLineChars="177" w:firstLine="425"/>
      <w:jc w:val="center"/>
      <w:outlineLvl w:val="9"/>
    </w:pPr>
    <w:rPr>
      <w:rFonts w:eastAsia="黑体"/>
      <w:kern w:val="2"/>
      <w:sz w:val="24"/>
      <w:szCs w:val="24"/>
    </w:rPr>
  </w:style>
  <w:style w:type="paragraph" w:customStyle="1" w:styleId="CharCharCharCharCharCharChar">
    <w:name w:val="Char Char Char Char Char Char Char"/>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color w:val="000000"/>
      <w:kern w:val="2"/>
      <w:sz w:val="24"/>
      <w:szCs w:val="18"/>
    </w:rPr>
  </w:style>
  <w:style w:type="paragraph" w:customStyle="1" w:styleId="affffc">
    <w:name w:val="表内容"/>
    <w:basedOn w:val="1"/>
    <w:next w:val="a0"/>
    <w:autoRedefine/>
    <w:uiPriority w:val="99"/>
    <w:qFormat/>
    <w:pPr>
      <w:keepNext w:val="0"/>
      <w:keepLines w:val="0"/>
      <w:spacing w:before="0" w:after="0" w:line="320" w:lineRule="exact"/>
      <w:ind w:firstLineChars="177" w:firstLine="425"/>
      <w:jc w:val="center"/>
      <w:outlineLvl w:val="9"/>
    </w:pPr>
    <w:rPr>
      <w:b w:val="0"/>
      <w:bCs w:val="0"/>
      <w:kern w:val="2"/>
      <w:sz w:val="24"/>
      <w:szCs w:val="21"/>
    </w:rPr>
  </w:style>
  <w:style w:type="paragraph" w:customStyle="1" w:styleId="affffd">
    <w:name w:val="小四表文左齐"/>
    <w:basedOn w:val="1"/>
    <w:next w:val="a0"/>
    <w:autoRedefine/>
    <w:uiPriority w:val="99"/>
    <w:qFormat/>
    <w:pPr>
      <w:keepNext w:val="0"/>
      <w:keepLines w:val="0"/>
      <w:spacing w:before="0" w:after="0" w:line="360" w:lineRule="auto"/>
      <w:ind w:firstLineChars="200" w:firstLine="200"/>
      <w:jc w:val="center"/>
      <w:outlineLvl w:val="9"/>
    </w:pPr>
    <w:rPr>
      <w:rFonts w:ascii="仿宋_GB2312" w:eastAsia="仿宋_GB2312" w:hAnsi="宋体"/>
      <w:b w:val="0"/>
      <w:bCs w:val="0"/>
      <w:w w:val="90"/>
      <w:kern w:val="2"/>
      <w:sz w:val="24"/>
      <w:szCs w:val="24"/>
    </w:rPr>
  </w:style>
  <w:style w:type="paragraph" w:customStyle="1" w:styleId="a">
    <w:name w:val="表序号"/>
    <w:basedOn w:val="1"/>
    <w:next w:val="a0"/>
    <w:autoRedefine/>
    <w:uiPriority w:val="99"/>
    <w:qFormat/>
    <w:pPr>
      <w:keepNext w:val="0"/>
      <w:keepLines w:val="0"/>
      <w:pageBreakBefore/>
      <w:numPr>
        <w:ilvl w:val="5"/>
        <w:numId w:val="1"/>
      </w:numPr>
      <w:tabs>
        <w:tab w:val="left" w:pos="360"/>
        <w:tab w:val="left" w:pos="2977"/>
      </w:tabs>
      <w:spacing w:beforeLines="50" w:afterLines="50" w:line="500" w:lineRule="exact"/>
      <w:ind w:left="2637" w:firstLineChars="177" w:hanging="432"/>
      <w:jc w:val="left"/>
    </w:pPr>
    <w:rPr>
      <w:rFonts w:ascii="宋体" w:hAnsi="宋体"/>
      <w:b w:val="0"/>
      <w:bCs w:val="0"/>
      <w:kern w:val="2"/>
      <w:sz w:val="32"/>
      <w:szCs w:val="32"/>
    </w:rPr>
  </w:style>
  <w:style w:type="paragraph" w:customStyle="1" w:styleId="110">
    <w:name w:val="样式 标题 1标题1章标题 + 宋体"/>
    <w:basedOn w:val="1"/>
    <w:next w:val="a0"/>
    <w:autoRedefine/>
    <w:uiPriority w:val="99"/>
    <w:qFormat/>
    <w:pPr>
      <w:keepNext w:val="0"/>
      <w:keepLines w:val="0"/>
      <w:pageBreakBefore/>
      <w:tabs>
        <w:tab w:val="left" w:pos="2977"/>
      </w:tabs>
      <w:spacing w:beforeLines="50" w:afterLines="50" w:line="500" w:lineRule="exact"/>
      <w:ind w:left="2637" w:firstLineChars="177" w:hanging="432"/>
      <w:jc w:val="center"/>
    </w:pPr>
    <w:rPr>
      <w:rFonts w:ascii="宋体" w:hAnsi="宋体"/>
      <w:kern w:val="2"/>
      <w:sz w:val="32"/>
      <w:szCs w:val="32"/>
    </w:rPr>
  </w:style>
  <w:style w:type="paragraph" w:customStyle="1" w:styleId="1b">
    <w:name w:val="样式1"/>
    <w:basedOn w:val="1"/>
    <w:next w:val="af4"/>
    <w:autoRedefine/>
    <w:uiPriority w:val="99"/>
    <w:qFormat/>
    <w:pPr>
      <w:keepNext w:val="0"/>
      <w:keepLines w:val="0"/>
      <w:adjustRightInd w:val="0"/>
      <w:snapToGrid w:val="0"/>
      <w:spacing w:before="0" w:after="0" w:line="360" w:lineRule="auto"/>
      <w:ind w:firstLineChars="200" w:firstLine="200"/>
      <w:jc w:val="center"/>
      <w:outlineLvl w:val="9"/>
    </w:pPr>
    <w:rPr>
      <w:rFonts w:ascii="仿宋_GB2312" w:eastAsia="仿宋_GB2312" w:hAnsi="宋体"/>
      <w:b w:val="0"/>
      <w:kern w:val="2"/>
      <w:sz w:val="24"/>
      <w:szCs w:val="24"/>
    </w:rPr>
  </w:style>
  <w:style w:type="paragraph" w:customStyle="1" w:styleId="061">
    <w:name w:val="样式 表格标题 + 首行缩进:  0.61 字符"/>
    <w:basedOn w:val="1"/>
    <w:next w:val="a0"/>
    <w:autoRedefine/>
    <w:uiPriority w:val="99"/>
    <w:qFormat/>
    <w:pPr>
      <w:keepNext w:val="0"/>
      <w:keepLines w:val="0"/>
      <w:wordWrap w:val="0"/>
      <w:adjustRightInd w:val="0"/>
      <w:snapToGrid w:val="0"/>
      <w:spacing w:before="0" w:after="0" w:line="400" w:lineRule="exact"/>
      <w:ind w:leftChars="-68" w:left="-143" w:firstLineChars="61" w:firstLine="128"/>
      <w:jc w:val="center"/>
      <w:outlineLvl w:val="9"/>
    </w:pPr>
    <w:rPr>
      <w:rFonts w:cs="宋体"/>
      <w:b w:val="0"/>
      <w:bCs w:val="0"/>
      <w:kern w:val="2"/>
      <w:sz w:val="24"/>
      <w:szCs w:val="20"/>
    </w:rPr>
  </w:style>
  <w:style w:type="paragraph" w:customStyle="1" w:styleId="39">
    <w:name w:val="正文3"/>
    <w:next w:val="a0"/>
    <w:autoRedefine/>
    <w:uiPriority w:val="99"/>
    <w:qFormat/>
    <w:pPr>
      <w:widowControl w:val="0"/>
      <w:adjustRightInd w:val="0"/>
      <w:spacing w:line="360" w:lineRule="atLeast"/>
    </w:pPr>
    <w:rPr>
      <w:rFonts w:ascii="宋体"/>
      <w:sz w:val="24"/>
    </w:rPr>
  </w:style>
  <w:style w:type="paragraph" w:customStyle="1" w:styleId="xl27">
    <w:name w:val="xl27"/>
    <w:basedOn w:val="1"/>
    <w:next w:val="a0"/>
    <w:autoRedefine/>
    <w:uiPriority w:val="99"/>
    <w:qFormat/>
    <w:pPr>
      <w:keepNext w:val="0"/>
      <w:keepLines w:val="0"/>
      <w:widowControl/>
      <w:pBdr>
        <w:bottom w:val="single" w:sz="12" w:space="0" w:color="auto"/>
      </w:pBdr>
      <w:spacing w:before="100" w:after="100" w:line="500" w:lineRule="atLeast"/>
      <w:ind w:firstLineChars="177" w:firstLine="425"/>
      <w:jc w:val="center"/>
      <w:outlineLvl w:val="9"/>
    </w:pPr>
    <w:rPr>
      <w:rFonts w:ascii="宋体" w:hAnsi="宋体"/>
      <w:b w:val="0"/>
      <w:bCs w:val="0"/>
      <w:kern w:val="0"/>
      <w:sz w:val="24"/>
      <w:szCs w:val="20"/>
    </w:rPr>
  </w:style>
  <w:style w:type="paragraph" w:customStyle="1" w:styleId="affffe">
    <w:name w:val="表文字"/>
    <w:basedOn w:val="1"/>
    <w:next w:val="a0"/>
    <w:autoRedefine/>
    <w:uiPriority w:val="99"/>
    <w:qFormat/>
    <w:pPr>
      <w:keepNext w:val="0"/>
      <w:keepLines w:val="0"/>
      <w:tabs>
        <w:tab w:val="left" w:pos="945"/>
        <w:tab w:val="right" w:leader="dot" w:pos="1155"/>
        <w:tab w:val="left" w:pos="8715"/>
      </w:tabs>
      <w:adjustRightInd w:val="0"/>
      <w:snapToGrid w:val="0"/>
      <w:spacing w:beforeLines="15" w:after="0" w:line="360" w:lineRule="auto"/>
      <w:ind w:firstLineChars="177" w:firstLine="425"/>
      <w:jc w:val="center"/>
      <w:outlineLvl w:val="9"/>
    </w:pPr>
    <w:rPr>
      <w:rFonts w:ascii="宋体" w:hAnsi="宋体"/>
      <w:b w:val="0"/>
      <w:bCs w:val="0"/>
      <w:color w:val="000000"/>
      <w:kern w:val="0"/>
      <w:sz w:val="24"/>
      <w:szCs w:val="9"/>
    </w:rPr>
  </w:style>
  <w:style w:type="paragraph" w:customStyle="1" w:styleId="Document">
    <w:name w:val="Document"/>
    <w:basedOn w:val="1"/>
    <w:next w:val="a0"/>
    <w:autoRedefine/>
    <w:uiPriority w:val="99"/>
    <w:qFormat/>
    <w:pPr>
      <w:keepNext w:val="0"/>
      <w:keepLines w:val="0"/>
      <w:widowControl/>
      <w:spacing w:before="0" w:after="0" w:line="500" w:lineRule="atLeast"/>
      <w:ind w:firstLineChars="177" w:firstLine="425"/>
      <w:jc w:val="center"/>
      <w:outlineLvl w:val="9"/>
    </w:pPr>
    <w:rPr>
      <w:rFonts w:ascii="Financial  (MF)" w:hAnsi="Financial  (MF)"/>
      <w:b w:val="0"/>
      <w:bCs w:val="0"/>
      <w:kern w:val="0"/>
      <w:sz w:val="24"/>
      <w:szCs w:val="20"/>
      <w:lang w:eastAsia="en-US"/>
    </w:rPr>
  </w:style>
  <w:style w:type="paragraph" w:customStyle="1" w:styleId="afffff">
    <w:name w:val="表题"/>
    <w:basedOn w:val="1"/>
    <w:next w:val="a0"/>
    <w:autoRedefine/>
    <w:uiPriority w:val="99"/>
    <w:qFormat/>
    <w:pPr>
      <w:keepNext w:val="0"/>
      <w:keepLines w:val="0"/>
      <w:tabs>
        <w:tab w:val="right" w:pos="0"/>
      </w:tabs>
      <w:adjustRightInd w:val="0"/>
      <w:snapToGrid w:val="0"/>
      <w:spacing w:before="0" w:after="0" w:line="500" w:lineRule="atLeast"/>
      <w:ind w:firstLineChars="177" w:firstLine="425"/>
      <w:jc w:val="center"/>
      <w:outlineLvl w:val="9"/>
    </w:pPr>
    <w:rPr>
      <w:rFonts w:ascii="宋体" w:hAnsi="宋体"/>
      <w:bCs w:val="0"/>
      <w:spacing w:val="12"/>
      <w:kern w:val="2"/>
      <w:sz w:val="24"/>
      <w:szCs w:val="24"/>
    </w:rPr>
  </w:style>
  <w:style w:type="paragraph" w:customStyle="1" w:styleId="afffff0">
    <w:name w:val="图框文"/>
    <w:basedOn w:val="1"/>
    <w:next w:val="a0"/>
    <w:autoRedefine/>
    <w:uiPriority w:val="99"/>
    <w:qFormat/>
    <w:pPr>
      <w:keepNext w:val="0"/>
      <w:keepLines w:val="0"/>
      <w:kinsoku w:val="0"/>
      <w:wordWrap w:val="0"/>
      <w:overflowPunct w:val="0"/>
      <w:autoSpaceDE w:val="0"/>
      <w:autoSpaceDN w:val="0"/>
      <w:spacing w:before="0" w:after="0" w:line="0" w:lineRule="atLeast"/>
      <w:ind w:firstLineChars="177" w:firstLine="425"/>
      <w:jc w:val="center"/>
      <w:outlineLvl w:val="9"/>
    </w:pPr>
    <w:rPr>
      <w:rFonts w:ascii="仿宋_GB2312" w:eastAsia="仿宋_GB2312"/>
      <w:b w:val="0"/>
      <w:bCs w:val="0"/>
      <w:kern w:val="2"/>
      <w:sz w:val="24"/>
      <w:szCs w:val="20"/>
    </w:rPr>
  </w:style>
  <w:style w:type="paragraph" w:customStyle="1" w:styleId="afffff1">
    <w:name w:val="流程图"/>
    <w:basedOn w:val="1"/>
    <w:next w:val="a0"/>
    <w:autoRedefine/>
    <w:uiPriority w:val="99"/>
    <w:qFormat/>
    <w:pPr>
      <w:keepNext w:val="0"/>
      <w:keepLines w:val="0"/>
      <w:tabs>
        <w:tab w:val="left" w:pos="0"/>
      </w:tabs>
      <w:autoSpaceDE w:val="0"/>
      <w:autoSpaceDN w:val="0"/>
      <w:adjustRightInd w:val="0"/>
      <w:spacing w:before="0" w:after="0" w:line="240" w:lineRule="atLeast"/>
      <w:ind w:firstLineChars="177" w:firstLine="425"/>
      <w:jc w:val="center"/>
      <w:outlineLvl w:val="9"/>
    </w:pPr>
    <w:rPr>
      <w:rFonts w:ascii="宋体"/>
      <w:b w:val="0"/>
      <w:bCs w:val="0"/>
      <w:kern w:val="2"/>
      <w:sz w:val="24"/>
      <w:szCs w:val="20"/>
    </w:rPr>
  </w:style>
  <w:style w:type="paragraph" w:customStyle="1" w:styleId="Char1CharCharChar">
    <w:name w:val="Char1 Char Char Char"/>
    <w:basedOn w:val="1"/>
    <w:next w:val="a0"/>
    <w:autoRedefine/>
    <w:uiPriority w:val="99"/>
    <w:qFormat/>
    <w:pPr>
      <w:keepNext w:val="0"/>
      <w:keepLines w:val="0"/>
      <w:spacing w:before="0" w:after="0" w:line="500" w:lineRule="atLeast"/>
      <w:ind w:firstLineChars="200" w:firstLine="480"/>
      <w:outlineLvl w:val="9"/>
    </w:pPr>
    <w:rPr>
      <w:rFonts w:ascii="宋体"/>
      <w:b w:val="0"/>
      <w:bCs w:val="0"/>
      <w:kern w:val="2"/>
      <w:sz w:val="28"/>
      <w:szCs w:val="24"/>
    </w:rPr>
  </w:style>
  <w:style w:type="character" w:customStyle="1" w:styleId="5Char">
    <w:name w:val="5文章(治) Char"/>
    <w:link w:val="52"/>
    <w:qFormat/>
    <w:locked/>
    <w:rPr>
      <w:sz w:val="24"/>
      <w:szCs w:val="28"/>
    </w:rPr>
  </w:style>
  <w:style w:type="paragraph" w:customStyle="1" w:styleId="52">
    <w:name w:val="5文章(治)"/>
    <w:basedOn w:val="1"/>
    <w:next w:val="a0"/>
    <w:link w:val="5Char"/>
    <w:autoRedefine/>
    <w:qFormat/>
    <w:pPr>
      <w:keepNext w:val="0"/>
      <w:keepLines w:val="0"/>
      <w:spacing w:before="0" w:after="0" w:line="360" w:lineRule="auto"/>
      <w:ind w:firstLineChars="200" w:firstLine="560"/>
      <w:outlineLvl w:val="9"/>
    </w:pPr>
    <w:rPr>
      <w:rFonts w:asciiTheme="minorHAnsi" w:eastAsiaTheme="minorEastAsia" w:hAnsiTheme="minorHAnsi" w:cstheme="minorBidi"/>
      <w:b w:val="0"/>
      <w:bCs w:val="0"/>
      <w:kern w:val="2"/>
      <w:sz w:val="24"/>
      <w:szCs w:val="28"/>
    </w:rPr>
  </w:style>
  <w:style w:type="character" w:customStyle="1" w:styleId="7Char">
    <w:name w:val="7表格(治) Char"/>
    <w:link w:val="71"/>
    <w:qFormat/>
    <w:locked/>
    <w:rPr>
      <w:rFonts w:ascii="Times New Roman" w:eastAsia="宋体" w:hAnsi="Times New Roman" w:cs="Times New Roman"/>
      <w:kern w:val="0"/>
      <w:sz w:val="20"/>
      <w:szCs w:val="20"/>
    </w:rPr>
  </w:style>
  <w:style w:type="paragraph" w:customStyle="1" w:styleId="71">
    <w:name w:val="7表格(治)"/>
    <w:next w:val="a0"/>
    <w:link w:val="7Char"/>
    <w:autoRedefine/>
    <w:qFormat/>
    <w:pPr>
      <w:jc w:val="center"/>
    </w:pPr>
  </w:style>
  <w:style w:type="paragraph" w:customStyle="1" w:styleId="CharCharCharCharCharCharChar3">
    <w:name w:val="Char Char Char Char Char Char Char3"/>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1"/>
    </w:rPr>
  </w:style>
  <w:style w:type="paragraph" w:customStyle="1" w:styleId="CharChar19">
    <w:name w:val="Char Char19"/>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1"/>
    </w:rPr>
  </w:style>
  <w:style w:type="paragraph" w:customStyle="1" w:styleId="afffff2">
    <w:name w:val="图表文字"/>
    <w:next w:val="a0"/>
    <w:autoRedefine/>
    <w:uiPriority w:val="99"/>
    <w:qFormat/>
    <w:pPr>
      <w:widowControl w:val="0"/>
      <w:spacing w:line="260" w:lineRule="exact"/>
      <w:ind w:rightChars="-71" w:right="-149"/>
      <w:jc w:val="center"/>
    </w:pPr>
    <w:rPr>
      <w:kern w:val="2"/>
      <w:sz w:val="21"/>
      <w:szCs w:val="21"/>
    </w:rPr>
  </w:style>
  <w:style w:type="paragraph" w:customStyle="1" w:styleId="1c">
    <w:name w:val="表1"/>
    <w:next w:val="a0"/>
    <w:autoRedefine/>
    <w:uiPriority w:val="99"/>
    <w:qFormat/>
    <w:pPr>
      <w:adjustRightInd w:val="0"/>
      <w:snapToGrid w:val="0"/>
      <w:jc w:val="center"/>
    </w:pPr>
    <w:rPr>
      <w:rFonts w:ascii="宋体"/>
      <w:sz w:val="21"/>
    </w:rPr>
  </w:style>
  <w:style w:type="paragraph" w:customStyle="1" w:styleId="CharCharCharChar1">
    <w:name w:val="Char Char Char Char1"/>
    <w:basedOn w:val="1"/>
    <w:next w:val="a0"/>
    <w:autoRedefine/>
    <w:uiPriority w:val="99"/>
    <w:qFormat/>
    <w:pPr>
      <w:keepNext w:val="0"/>
      <w:keepLines w:val="0"/>
      <w:spacing w:before="120" w:after="120" w:line="360" w:lineRule="auto"/>
      <w:ind w:firstLineChars="177" w:firstLine="420"/>
      <w:outlineLvl w:val="9"/>
    </w:pPr>
    <w:rPr>
      <w:b w:val="0"/>
      <w:bCs w:val="0"/>
      <w:kern w:val="2"/>
      <w:sz w:val="24"/>
      <w:szCs w:val="24"/>
    </w:rPr>
  </w:style>
  <w:style w:type="character" w:customStyle="1" w:styleId="1Char0">
    <w:name w:val="表头1 Char"/>
    <w:link w:val="1d"/>
    <w:qFormat/>
    <w:locked/>
    <w:rPr>
      <w:rFonts w:ascii="黑体" w:eastAsia="黑体" w:hAnsi="黑体"/>
      <w:sz w:val="24"/>
      <w:szCs w:val="28"/>
    </w:rPr>
  </w:style>
  <w:style w:type="paragraph" w:customStyle="1" w:styleId="1d">
    <w:name w:val="表头1"/>
    <w:basedOn w:val="1"/>
    <w:next w:val="a0"/>
    <w:link w:val="1Char0"/>
    <w:autoRedefine/>
    <w:qFormat/>
    <w:pPr>
      <w:keepNext w:val="0"/>
      <w:keepLines w:val="0"/>
      <w:tabs>
        <w:tab w:val="left" w:pos="605"/>
      </w:tabs>
      <w:adjustRightInd w:val="0"/>
      <w:snapToGrid w:val="0"/>
      <w:spacing w:before="0" w:after="0" w:line="500" w:lineRule="atLeast"/>
      <w:ind w:firstLineChars="177" w:firstLine="425"/>
      <w:jc w:val="center"/>
      <w:outlineLvl w:val="9"/>
    </w:pPr>
    <w:rPr>
      <w:rFonts w:ascii="黑体" w:eastAsia="黑体" w:hAnsi="黑体" w:cstheme="minorBidi"/>
      <w:b w:val="0"/>
      <w:bCs w:val="0"/>
      <w:kern w:val="2"/>
      <w:sz w:val="24"/>
      <w:szCs w:val="28"/>
    </w:rPr>
  </w:style>
  <w:style w:type="paragraph" w:customStyle="1" w:styleId="1e">
    <w:name w:val="列表1"/>
    <w:basedOn w:val="1"/>
    <w:next w:val="a0"/>
    <w:autoRedefine/>
    <w:uiPriority w:val="99"/>
    <w:qFormat/>
    <w:pPr>
      <w:keepNext w:val="0"/>
      <w:keepLines w:val="0"/>
      <w:spacing w:before="0" w:after="0" w:line="360" w:lineRule="exact"/>
      <w:ind w:firstLineChars="177" w:firstLine="425"/>
      <w:jc w:val="center"/>
      <w:outlineLvl w:val="9"/>
    </w:pPr>
    <w:rPr>
      <w:rFonts w:ascii="仿宋_GB2312" w:eastAsia="仿宋_GB2312"/>
      <w:b w:val="0"/>
      <w:bCs w:val="0"/>
      <w:kern w:val="2"/>
      <w:sz w:val="28"/>
      <w:szCs w:val="20"/>
    </w:rPr>
  </w:style>
  <w:style w:type="character" w:customStyle="1" w:styleId="127Char">
    <w:name w:val="样式127 Char"/>
    <w:link w:val="127"/>
    <w:qFormat/>
    <w:locked/>
    <w:rPr>
      <w:snapToGrid w:val="0"/>
      <w:color w:val="000000"/>
      <w:sz w:val="24"/>
      <w:szCs w:val="28"/>
    </w:rPr>
  </w:style>
  <w:style w:type="paragraph" w:customStyle="1" w:styleId="127">
    <w:name w:val="样式127"/>
    <w:basedOn w:val="1"/>
    <w:next w:val="a0"/>
    <w:link w:val="127Char"/>
    <w:autoRedefine/>
    <w:qFormat/>
    <w:pPr>
      <w:keepNext w:val="0"/>
      <w:keepLines w:val="0"/>
      <w:snapToGrid w:val="0"/>
      <w:spacing w:before="0" w:after="0" w:line="520" w:lineRule="exact"/>
      <w:ind w:firstLineChars="200" w:firstLine="480"/>
      <w:outlineLvl w:val="9"/>
    </w:pPr>
    <w:rPr>
      <w:rFonts w:asciiTheme="minorHAnsi" w:eastAsiaTheme="minorEastAsia" w:hAnsiTheme="minorHAnsi" w:cstheme="minorBidi"/>
      <w:b w:val="0"/>
      <w:bCs w:val="0"/>
      <w:snapToGrid w:val="0"/>
      <w:color w:val="000000"/>
      <w:kern w:val="2"/>
      <w:sz w:val="24"/>
      <w:szCs w:val="28"/>
    </w:rPr>
  </w:style>
  <w:style w:type="paragraph" w:customStyle="1" w:styleId="CharCharCharCharCharCharChar1">
    <w:name w:val="Char Char Char Char Char Char Char1"/>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53">
    <w:name w:val="样式5"/>
    <w:basedOn w:val="aff0"/>
    <w:next w:val="a0"/>
    <w:autoRedefine/>
    <w:uiPriority w:val="99"/>
    <w:qFormat/>
    <w:pPr>
      <w:spacing w:line="500" w:lineRule="atLeast"/>
      <w:ind w:left="482" w:firstLineChars="0" w:firstLine="0"/>
      <w:contextualSpacing w:val="0"/>
    </w:pPr>
    <w:rPr>
      <w:sz w:val="24"/>
    </w:rPr>
  </w:style>
  <w:style w:type="paragraph" w:customStyle="1" w:styleId="-1">
    <w:name w:val="正文文字-1"/>
    <w:next w:val="a0"/>
    <w:autoRedefine/>
    <w:uiPriority w:val="99"/>
    <w:qFormat/>
    <w:pPr>
      <w:widowControl w:val="0"/>
      <w:spacing w:before="120" w:after="120" w:line="480" w:lineRule="exact"/>
      <w:ind w:firstLineChars="210" w:firstLine="588"/>
      <w:jc w:val="both"/>
    </w:pPr>
    <w:rPr>
      <w:kern w:val="2"/>
      <w:sz w:val="24"/>
      <w:szCs w:val="24"/>
    </w:rPr>
  </w:style>
  <w:style w:type="paragraph" w:customStyle="1" w:styleId="-121121">
    <w:name w:val="样式 样式 正文文字-1 + 首行缩进:  2.1 字符1 + 首行缩进:  2.1 字符"/>
    <w:basedOn w:val="1"/>
    <w:next w:val="a0"/>
    <w:autoRedefine/>
    <w:uiPriority w:val="99"/>
    <w:qFormat/>
    <w:pPr>
      <w:keepNext w:val="0"/>
      <w:keepLines w:val="0"/>
      <w:spacing w:before="120" w:after="120" w:line="400" w:lineRule="exact"/>
      <w:ind w:firstLineChars="210" w:firstLine="210"/>
      <w:outlineLvl w:val="9"/>
    </w:pPr>
    <w:rPr>
      <w:rFonts w:cs="宋体"/>
      <w:b w:val="0"/>
      <w:bCs w:val="0"/>
      <w:kern w:val="2"/>
      <w:sz w:val="24"/>
      <w:szCs w:val="20"/>
    </w:rPr>
  </w:style>
  <w:style w:type="paragraph" w:customStyle="1" w:styleId="-121">
    <w:name w:val="样式 正文文字-1 + 首行缩进:  2.1 字符"/>
    <w:basedOn w:val="1"/>
    <w:next w:val="a0"/>
    <w:autoRedefine/>
    <w:uiPriority w:val="99"/>
    <w:qFormat/>
    <w:pPr>
      <w:keepNext w:val="0"/>
      <w:keepLines w:val="0"/>
      <w:spacing w:before="60" w:after="60" w:line="440" w:lineRule="exact"/>
      <w:ind w:firstLineChars="210" w:firstLine="210"/>
      <w:outlineLvl w:val="9"/>
    </w:pPr>
    <w:rPr>
      <w:rFonts w:cs="宋体"/>
      <w:b w:val="0"/>
      <w:bCs w:val="0"/>
      <w:kern w:val="2"/>
      <w:sz w:val="24"/>
      <w:szCs w:val="20"/>
    </w:rPr>
  </w:style>
  <w:style w:type="paragraph" w:customStyle="1" w:styleId="-1211">
    <w:name w:val="样式 正文文字-1 + 首行缩进:  2.1 字符1"/>
    <w:basedOn w:val="1"/>
    <w:next w:val="a0"/>
    <w:autoRedefine/>
    <w:qFormat/>
    <w:pPr>
      <w:keepNext w:val="0"/>
      <w:keepLines w:val="0"/>
      <w:spacing w:before="120" w:after="120" w:line="440" w:lineRule="exact"/>
      <w:ind w:firstLineChars="210" w:firstLine="210"/>
      <w:outlineLvl w:val="9"/>
    </w:pPr>
    <w:rPr>
      <w:rFonts w:cs="宋体"/>
      <w:b w:val="0"/>
      <w:bCs w:val="0"/>
      <w:kern w:val="2"/>
      <w:sz w:val="24"/>
      <w:szCs w:val="20"/>
    </w:rPr>
  </w:style>
  <w:style w:type="paragraph" w:customStyle="1" w:styleId="150">
    <w:name w:val="样式 四号 行距: 1.5 倍行距"/>
    <w:basedOn w:val="1"/>
    <w:next w:val="a0"/>
    <w:autoRedefine/>
    <w:uiPriority w:val="99"/>
    <w:qFormat/>
    <w:pPr>
      <w:keepNext w:val="0"/>
      <w:keepLines w:val="0"/>
      <w:spacing w:before="0" w:after="0" w:line="360" w:lineRule="auto"/>
      <w:ind w:firstLineChars="200" w:firstLine="560"/>
      <w:outlineLvl w:val="9"/>
    </w:pPr>
    <w:rPr>
      <w:rFonts w:cs="宋体"/>
      <w:b w:val="0"/>
      <w:bCs w:val="0"/>
      <w:kern w:val="2"/>
      <w:sz w:val="24"/>
      <w:szCs w:val="20"/>
    </w:rPr>
  </w:style>
  <w:style w:type="character" w:customStyle="1" w:styleId="Chare">
    <w:name w:val="国电正文 Char"/>
    <w:link w:val="afffff3"/>
    <w:semiHidden/>
    <w:qFormat/>
    <w:locked/>
    <w:rPr>
      <w:color w:val="000000"/>
      <w:sz w:val="24"/>
    </w:rPr>
  </w:style>
  <w:style w:type="paragraph" w:customStyle="1" w:styleId="afffff3">
    <w:name w:val="国电正文"/>
    <w:basedOn w:val="1"/>
    <w:next w:val="a0"/>
    <w:link w:val="Chare"/>
    <w:autoRedefine/>
    <w:semiHidden/>
    <w:qFormat/>
    <w:pPr>
      <w:keepNext w:val="0"/>
      <w:keepLines w:val="0"/>
      <w:spacing w:before="0" w:after="0" w:line="360" w:lineRule="auto"/>
      <w:ind w:firstLineChars="200" w:firstLine="480"/>
      <w:outlineLvl w:val="9"/>
    </w:pPr>
    <w:rPr>
      <w:rFonts w:asciiTheme="minorHAnsi" w:eastAsiaTheme="minorEastAsia" w:hAnsiTheme="minorHAnsi" w:cstheme="minorBidi"/>
      <w:b w:val="0"/>
      <w:bCs w:val="0"/>
      <w:color w:val="000000"/>
      <w:kern w:val="2"/>
      <w:sz w:val="24"/>
      <w:szCs w:val="22"/>
    </w:rPr>
  </w:style>
  <w:style w:type="character" w:customStyle="1" w:styleId="-1CharChar">
    <w:name w:val="正文文字-1 Char Char"/>
    <w:basedOn w:val="a1"/>
    <w:link w:val="-1Char"/>
    <w:qFormat/>
    <w:locked/>
    <w:rPr>
      <w:sz w:val="24"/>
      <w:szCs w:val="24"/>
    </w:rPr>
  </w:style>
  <w:style w:type="paragraph" w:customStyle="1" w:styleId="-1Char">
    <w:name w:val="正文文字-1 Char"/>
    <w:next w:val="a0"/>
    <w:link w:val="-1CharChar"/>
    <w:autoRedefine/>
    <w:qFormat/>
    <w:pPr>
      <w:widowControl w:val="0"/>
      <w:spacing w:before="120" w:after="120" w:line="480" w:lineRule="exact"/>
      <w:ind w:firstLineChars="210" w:firstLine="588"/>
      <w:jc w:val="both"/>
    </w:pPr>
    <w:rPr>
      <w:rFonts w:asciiTheme="minorHAnsi" w:eastAsiaTheme="minorEastAsia" w:hAnsiTheme="minorHAnsi" w:cstheme="minorBidi"/>
      <w:kern w:val="2"/>
      <w:sz w:val="24"/>
      <w:szCs w:val="24"/>
    </w:rPr>
  </w:style>
  <w:style w:type="paragraph" w:customStyle="1" w:styleId="Char1CharCharChar1">
    <w:name w:val="Char1 Char Char Char1"/>
    <w:basedOn w:val="1"/>
    <w:next w:val="a0"/>
    <w:autoRedefine/>
    <w:uiPriority w:val="99"/>
    <w:qFormat/>
    <w:pPr>
      <w:keepNext w:val="0"/>
      <w:keepLines w:val="0"/>
      <w:spacing w:before="0" w:after="0" w:line="500" w:lineRule="atLeast"/>
      <w:ind w:firstLineChars="200" w:firstLine="480"/>
      <w:outlineLvl w:val="9"/>
    </w:pPr>
    <w:rPr>
      <w:b w:val="0"/>
      <w:bCs w:val="0"/>
      <w:kern w:val="2"/>
      <w:sz w:val="24"/>
      <w:szCs w:val="24"/>
    </w:rPr>
  </w:style>
  <w:style w:type="paragraph" w:customStyle="1" w:styleId="Char1CharCharCharCharChar">
    <w:name w:val="Char1 Char Char Char Char Char"/>
    <w:basedOn w:val="1"/>
    <w:next w:val="a0"/>
    <w:autoRedefine/>
    <w:uiPriority w:val="99"/>
    <w:qFormat/>
    <w:pPr>
      <w:keepNext w:val="0"/>
      <w:keepLines w:val="0"/>
      <w:spacing w:before="0" w:after="0" w:line="360" w:lineRule="auto"/>
      <w:ind w:firstLineChars="200" w:firstLine="200"/>
      <w:outlineLvl w:val="9"/>
    </w:pPr>
    <w:rPr>
      <w:rFonts w:ascii="Tahoma" w:hAnsi="Tahoma"/>
      <w:b w:val="0"/>
      <w:bCs w:val="0"/>
      <w:kern w:val="2"/>
      <w:sz w:val="24"/>
      <w:szCs w:val="20"/>
    </w:rPr>
  </w:style>
  <w:style w:type="paragraph" w:customStyle="1" w:styleId="CharCharCharCharCharCharChar2">
    <w:name w:val="Char Char Char Char Char Char Char2"/>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152">
    <w:name w:val="样式 四号 行距: 1.5 倍行距2"/>
    <w:basedOn w:val="1"/>
    <w:next w:val="a0"/>
    <w:autoRedefine/>
    <w:uiPriority w:val="99"/>
    <w:qFormat/>
    <w:pPr>
      <w:keepNext w:val="0"/>
      <w:keepLines w:val="0"/>
      <w:spacing w:before="0" w:after="0" w:line="360" w:lineRule="auto"/>
      <w:ind w:firstLineChars="200" w:firstLine="560"/>
      <w:outlineLvl w:val="9"/>
    </w:pPr>
    <w:rPr>
      <w:rFonts w:cs="宋体"/>
      <w:b w:val="0"/>
      <w:bCs w:val="0"/>
      <w:kern w:val="2"/>
      <w:sz w:val="24"/>
      <w:szCs w:val="20"/>
    </w:rPr>
  </w:style>
  <w:style w:type="paragraph" w:customStyle="1" w:styleId="153">
    <w:name w:val="样式 四号 行距: 1.5 倍行距3"/>
    <w:basedOn w:val="1"/>
    <w:next w:val="a0"/>
    <w:autoRedefine/>
    <w:uiPriority w:val="99"/>
    <w:qFormat/>
    <w:pPr>
      <w:keepNext w:val="0"/>
      <w:keepLines w:val="0"/>
      <w:spacing w:before="0" w:after="0" w:line="360" w:lineRule="auto"/>
      <w:ind w:firstLineChars="450" w:firstLine="1260"/>
      <w:outlineLvl w:val="9"/>
    </w:pPr>
    <w:rPr>
      <w:rFonts w:cs="宋体"/>
      <w:b w:val="0"/>
      <w:bCs w:val="0"/>
      <w:kern w:val="2"/>
      <w:sz w:val="24"/>
      <w:szCs w:val="20"/>
    </w:rPr>
  </w:style>
  <w:style w:type="paragraph" w:customStyle="1" w:styleId="54">
    <w:name w:val="正文5"/>
    <w:next w:val="a0"/>
    <w:autoRedefine/>
    <w:uiPriority w:val="99"/>
    <w:qFormat/>
    <w:pPr>
      <w:widowControl w:val="0"/>
      <w:adjustRightInd w:val="0"/>
      <w:spacing w:line="360" w:lineRule="atLeast"/>
    </w:pPr>
    <w:rPr>
      <w:rFonts w:ascii="宋体"/>
      <w:sz w:val="24"/>
    </w:rPr>
  </w:style>
  <w:style w:type="paragraph" w:customStyle="1" w:styleId="Char20">
    <w:name w:val="Char2"/>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4"/>
    </w:rPr>
  </w:style>
  <w:style w:type="paragraph" w:customStyle="1" w:styleId="afffff4">
    <w:name w:val="表格正文"/>
    <w:basedOn w:val="1"/>
    <w:next w:val="a0"/>
    <w:autoRedefine/>
    <w:uiPriority w:val="99"/>
    <w:qFormat/>
    <w:pPr>
      <w:keepNext w:val="0"/>
      <w:keepLines w:val="0"/>
      <w:spacing w:before="0" w:after="0" w:line="300" w:lineRule="auto"/>
      <w:ind w:firstLineChars="177" w:firstLine="425"/>
      <w:jc w:val="center"/>
      <w:outlineLvl w:val="9"/>
    </w:pPr>
    <w:rPr>
      <w:b w:val="0"/>
      <w:bCs w:val="0"/>
      <w:kern w:val="2"/>
      <w:sz w:val="24"/>
      <w:szCs w:val="24"/>
    </w:rPr>
  </w:style>
  <w:style w:type="character" w:customStyle="1" w:styleId="xfwChar">
    <w:name w:val="xfw Char"/>
    <w:basedOn w:val="a1"/>
    <w:link w:val="xfw"/>
    <w:qFormat/>
    <w:locked/>
    <w:rPr>
      <w:sz w:val="24"/>
      <w:szCs w:val="28"/>
    </w:rPr>
  </w:style>
  <w:style w:type="paragraph" w:customStyle="1" w:styleId="xfw">
    <w:name w:val="xfw"/>
    <w:basedOn w:val="1"/>
    <w:next w:val="a0"/>
    <w:link w:val="xfwChar"/>
    <w:autoRedefine/>
    <w:qFormat/>
    <w:pPr>
      <w:keepNext w:val="0"/>
      <w:keepLines w:val="0"/>
      <w:spacing w:before="0" w:after="0" w:line="360" w:lineRule="auto"/>
      <w:ind w:firstLineChars="200" w:firstLine="200"/>
      <w:outlineLvl w:val="9"/>
    </w:pPr>
    <w:rPr>
      <w:rFonts w:asciiTheme="minorHAnsi" w:eastAsiaTheme="minorEastAsia" w:hAnsiTheme="minorHAnsi" w:cstheme="minorBidi"/>
      <w:b w:val="0"/>
      <w:bCs w:val="0"/>
      <w:kern w:val="2"/>
      <w:sz w:val="24"/>
      <w:szCs w:val="28"/>
    </w:rPr>
  </w:style>
  <w:style w:type="character" w:customStyle="1" w:styleId="01CharChar">
    <w:name w:val="正文01 Char Char"/>
    <w:link w:val="01"/>
    <w:qFormat/>
    <w:locked/>
    <w:rPr>
      <w:rFonts w:ascii="宋体" w:eastAsia="宋体" w:hAnsi="宋体" w:cs="宋体"/>
      <w:snapToGrid w:val="0"/>
      <w:kern w:val="56"/>
      <w:sz w:val="24"/>
      <w:lang w:val="zh-CN"/>
    </w:rPr>
  </w:style>
  <w:style w:type="paragraph" w:customStyle="1" w:styleId="01">
    <w:name w:val="正文01"/>
    <w:basedOn w:val="1"/>
    <w:next w:val="a0"/>
    <w:link w:val="01CharChar"/>
    <w:autoRedefine/>
    <w:qFormat/>
    <w:pPr>
      <w:keepNext w:val="0"/>
      <w:keepLines w:val="0"/>
      <w:adjustRightInd w:val="0"/>
      <w:snapToGrid w:val="0"/>
      <w:spacing w:before="0" w:after="0" w:line="360" w:lineRule="auto"/>
      <w:ind w:firstLineChars="200" w:firstLine="200"/>
      <w:outlineLvl w:val="9"/>
    </w:pPr>
    <w:rPr>
      <w:rFonts w:ascii="宋体" w:hAnsi="宋体" w:cs="宋体"/>
      <w:b w:val="0"/>
      <w:bCs w:val="0"/>
      <w:snapToGrid w:val="0"/>
      <w:kern w:val="56"/>
      <w:sz w:val="24"/>
      <w:szCs w:val="22"/>
      <w:lang w:val="zh-CN"/>
    </w:rPr>
  </w:style>
  <w:style w:type="paragraph" w:customStyle="1" w:styleId="reader-word-layerreader-word-s8-5">
    <w:name w:val="reader-word-layer reader-word-s8-5"/>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reader-word-layerreader-word-s8-2">
    <w:name w:val="reader-word-layer reader-word-s8-2"/>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reader-word-layerreader-word-s8-9">
    <w:name w:val="reader-word-layer reader-word-s8-9"/>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reader-word-layerreader-word-s8-8">
    <w:name w:val="reader-word-layer reader-word-s8-8"/>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reader-word-layerreader-word-s8-12">
    <w:name w:val="reader-word-layer reader-word-s8-12"/>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reader-word-layerreader-word-s8-0">
    <w:name w:val="reader-word-layer reader-word-s8-0"/>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reader-word-layerreader-word-s8-7">
    <w:name w:val="reader-word-layer reader-word-s8-7"/>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reader-word-layerreader-word-s8-6">
    <w:name w:val="reader-word-layer reader-word-s8-6"/>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CharChar1CharCharCharCharCharCharChar">
    <w:name w:val="Char Char1 Char Char Char Char Char Char Char"/>
    <w:basedOn w:val="1"/>
    <w:next w:val="a0"/>
    <w:autoRedefine/>
    <w:uiPriority w:val="99"/>
    <w:qFormat/>
    <w:pPr>
      <w:keepNext w:val="0"/>
      <w:keepLines w:val="0"/>
      <w:spacing w:before="0" w:after="0" w:line="500" w:lineRule="atLeast"/>
      <w:ind w:firstLineChars="177" w:firstLine="425"/>
      <w:outlineLvl w:val="9"/>
    </w:pPr>
    <w:rPr>
      <w:rFonts w:cs="宋体"/>
      <w:b w:val="0"/>
      <w:bCs w:val="0"/>
      <w:color w:val="000000"/>
      <w:kern w:val="2"/>
      <w:sz w:val="24"/>
      <w:szCs w:val="24"/>
      <w:lang w:val="zh-CN"/>
    </w:rPr>
  </w:style>
  <w:style w:type="paragraph" w:customStyle="1" w:styleId="089">
    <w:name w:val="样式 首行缩进:  0.89 厘米"/>
    <w:basedOn w:val="1"/>
    <w:next w:val="a0"/>
    <w:autoRedefine/>
    <w:uiPriority w:val="99"/>
    <w:qFormat/>
    <w:pPr>
      <w:keepNext w:val="0"/>
      <w:keepLines w:val="0"/>
      <w:spacing w:beforeLines="50" w:after="0" w:line="440" w:lineRule="exact"/>
      <w:ind w:firstLineChars="177" w:firstLine="505"/>
      <w:outlineLvl w:val="9"/>
    </w:pPr>
    <w:rPr>
      <w:rFonts w:cs="宋体"/>
      <w:b w:val="0"/>
      <w:bCs w:val="0"/>
      <w:kern w:val="2"/>
      <w:sz w:val="24"/>
      <w:szCs w:val="20"/>
    </w:rPr>
  </w:style>
  <w:style w:type="paragraph" w:customStyle="1" w:styleId="2f0">
    <w:name w:val="表格文字2"/>
    <w:basedOn w:val="1"/>
    <w:next w:val="a0"/>
    <w:autoRedefine/>
    <w:uiPriority w:val="99"/>
    <w:qFormat/>
    <w:pPr>
      <w:keepNext w:val="0"/>
      <w:keepLines w:val="0"/>
      <w:spacing w:before="0" w:after="0" w:line="500" w:lineRule="atLeast"/>
      <w:ind w:firstLineChars="177" w:firstLine="425"/>
      <w:jc w:val="center"/>
      <w:outlineLvl w:val="9"/>
    </w:pPr>
    <w:rPr>
      <w:b w:val="0"/>
      <w:bCs w:val="0"/>
      <w:kern w:val="2"/>
      <w:sz w:val="24"/>
      <w:szCs w:val="21"/>
    </w:rPr>
  </w:style>
  <w:style w:type="character" w:customStyle="1" w:styleId="31Char">
    <w:name w:val="样式 标题 3 + 黑色1 Char"/>
    <w:basedOn w:val="a1"/>
    <w:link w:val="310"/>
    <w:qFormat/>
    <w:locked/>
    <w:rPr>
      <w:b/>
      <w:bCs/>
      <w:color w:val="000000"/>
      <w:sz w:val="28"/>
      <w:szCs w:val="30"/>
    </w:rPr>
  </w:style>
  <w:style w:type="paragraph" w:customStyle="1" w:styleId="310">
    <w:name w:val="样式 标题 3 + 黑色1"/>
    <w:basedOn w:val="3"/>
    <w:next w:val="a0"/>
    <w:link w:val="31Char"/>
    <w:autoRedefine/>
    <w:qFormat/>
    <w:pPr>
      <w:spacing w:beforeLines="50" w:afterLines="50" w:line="360" w:lineRule="auto"/>
    </w:pPr>
    <w:rPr>
      <w:rFonts w:asciiTheme="minorHAnsi" w:eastAsiaTheme="minorEastAsia" w:hAnsiTheme="minorHAnsi" w:cstheme="minorBidi"/>
      <w:b/>
      <w:bCs/>
      <w:color w:val="000000"/>
      <w:sz w:val="28"/>
      <w:szCs w:val="30"/>
    </w:rPr>
  </w:style>
  <w:style w:type="paragraph" w:customStyle="1" w:styleId="3a">
    <w:name w:val="正文缩进3"/>
    <w:basedOn w:val="1"/>
    <w:next w:val="a0"/>
    <w:autoRedefine/>
    <w:uiPriority w:val="99"/>
    <w:qFormat/>
    <w:pPr>
      <w:keepNext w:val="0"/>
      <w:keepLines w:val="0"/>
      <w:spacing w:before="0" w:after="0" w:line="500" w:lineRule="atLeast"/>
      <w:ind w:firstLineChars="177" w:firstLine="420"/>
      <w:outlineLvl w:val="9"/>
    </w:pPr>
    <w:rPr>
      <w:b w:val="0"/>
      <w:bCs w:val="0"/>
      <w:kern w:val="2"/>
      <w:sz w:val="24"/>
      <w:szCs w:val="24"/>
    </w:rPr>
  </w:style>
  <w:style w:type="paragraph" w:customStyle="1" w:styleId="p0">
    <w:name w:val="p0"/>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63">
    <w:name w:val="正文6"/>
    <w:next w:val="a0"/>
    <w:autoRedefine/>
    <w:uiPriority w:val="99"/>
    <w:qFormat/>
    <w:pPr>
      <w:widowControl w:val="0"/>
      <w:adjustRightInd w:val="0"/>
      <w:spacing w:line="360" w:lineRule="atLeast"/>
    </w:pPr>
    <w:rPr>
      <w:rFonts w:ascii="宋体"/>
      <w:sz w:val="24"/>
    </w:rPr>
  </w:style>
  <w:style w:type="paragraph" w:customStyle="1" w:styleId="afffff5">
    <w:name w:val="新正文"/>
    <w:basedOn w:val="1"/>
    <w:next w:val="a0"/>
    <w:autoRedefine/>
    <w:uiPriority w:val="99"/>
    <w:qFormat/>
    <w:pPr>
      <w:keepNext w:val="0"/>
      <w:keepLines w:val="0"/>
      <w:spacing w:before="0" w:after="0" w:line="360" w:lineRule="auto"/>
      <w:ind w:firstLineChars="177" w:firstLine="480"/>
      <w:outlineLvl w:val="9"/>
    </w:pPr>
    <w:rPr>
      <w:rFonts w:cs="宋体"/>
      <w:b w:val="0"/>
      <w:bCs w:val="0"/>
      <w:kern w:val="2"/>
      <w:sz w:val="24"/>
      <w:szCs w:val="20"/>
    </w:rPr>
  </w:style>
  <w:style w:type="paragraph" w:customStyle="1" w:styleId="Arial15">
    <w:name w:val="样式 Arial 小四 行距: 1.5 倍行距"/>
    <w:basedOn w:val="1"/>
    <w:next w:val="a0"/>
    <w:autoRedefine/>
    <w:uiPriority w:val="99"/>
    <w:qFormat/>
    <w:pPr>
      <w:keepNext w:val="0"/>
      <w:keepLines w:val="0"/>
      <w:spacing w:before="0" w:after="0" w:line="360" w:lineRule="auto"/>
      <w:ind w:firstLineChars="200" w:firstLine="480"/>
      <w:outlineLvl w:val="9"/>
    </w:pPr>
    <w:rPr>
      <w:b w:val="0"/>
      <w:bCs w:val="0"/>
      <w:kern w:val="2"/>
      <w:sz w:val="24"/>
      <w:szCs w:val="20"/>
    </w:rPr>
  </w:style>
  <w:style w:type="paragraph" w:customStyle="1" w:styleId="CharCharCharCharCharChar1Char">
    <w:name w:val="Char Char Char Char Char Char1 Char"/>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4"/>
    </w:rPr>
  </w:style>
  <w:style w:type="paragraph" w:customStyle="1" w:styleId="3b">
    <w:name w:val="样式 标题3"/>
    <w:basedOn w:val="3"/>
    <w:next w:val="a0"/>
    <w:autoRedefine/>
    <w:uiPriority w:val="99"/>
    <w:qFormat/>
    <w:pPr>
      <w:spacing w:beforeLines="50" w:afterLines="50" w:line="360" w:lineRule="auto"/>
      <w:ind w:firstLine="200"/>
      <w:jc w:val="left"/>
    </w:pPr>
    <w:rPr>
      <w:b/>
      <w:bCs/>
      <w:sz w:val="28"/>
      <w:szCs w:val="24"/>
    </w:rPr>
  </w:style>
  <w:style w:type="paragraph" w:customStyle="1" w:styleId="CharCharCharCharCharCharCharCharCharCharCharChar">
    <w:name w:val="Char Char Char Char Char Char Char Char Char Char Char Char"/>
    <w:basedOn w:val="1"/>
    <w:next w:val="a0"/>
    <w:autoRedefine/>
    <w:uiPriority w:val="99"/>
    <w:qFormat/>
    <w:pPr>
      <w:keepNext w:val="0"/>
      <w:keepLines w:val="0"/>
      <w:tabs>
        <w:tab w:val="left" w:pos="1723"/>
      </w:tabs>
      <w:spacing w:before="0" w:after="0" w:line="500" w:lineRule="atLeast"/>
      <w:ind w:left="1723" w:firstLineChars="177" w:hanging="1080"/>
      <w:outlineLvl w:val="9"/>
    </w:pPr>
    <w:rPr>
      <w:rFonts w:eastAsia="仿宋_GB2312"/>
      <w:b w:val="0"/>
      <w:bCs w:val="0"/>
      <w:kern w:val="2"/>
      <w:sz w:val="24"/>
      <w:szCs w:val="32"/>
    </w:rPr>
  </w:style>
  <w:style w:type="paragraph" w:customStyle="1" w:styleId="CharCharChar">
    <w:name w:val="Char Char Char"/>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4"/>
    </w:rPr>
  </w:style>
  <w:style w:type="paragraph" w:customStyle="1" w:styleId="2f1">
    <w:name w:val="封面标准号2"/>
    <w:basedOn w:val="1"/>
    <w:next w:val="a0"/>
    <w:autoRedefine/>
    <w:uiPriority w:val="99"/>
    <w:qFormat/>
    <w:pPr>
      <w:keepNext w:val="0"/>
      <w:keepLines w:val="0"/>
      <w:framePr w:w="9138" w:h="1244" w:wrap="auto" w:vAnchor="page" w:hAnchor="margin" w:y="2908" w:anchorLock="1"/>
      <w:kinsoku w:val="0"/>
      <w:overflowPunct w:val="0"/>
      <w:autoSpaceDE w:val="0"/>
      <w:autoSpaceDN w:val="0"/>
      <w:adjustRightInd w:val="0"/>
      <w:spacing w:before="357" w:after="0" w:line="280" w:lineRule="exact"/>
      <w:ind w:firstLineChars="177" w:firstLine="425"/>
      <w:jc w:val="right"/>
      <w:outlineLvl w:val="9"/>
    </w:pPr>
    <w:rPr>
      <w:b w:val="0"/>
      <w:bCs w:val="0"/>
      <w:kern w:val="0"/>
      <w:sz w:val="28"/>
      <w:szCs w:val="20"/>
    </w:rPr>
  </w:style>
  <w:style w:type="paragraph" w:customStyle="1" w:styleId="64">
    <w:name w:val="纯文本6"/>
    <w:basedOn w:val="1"/>
    <w:next w:val="a0"/>
    <w:autoRedefine/>
    <w:uiPriority w:val="99"/>
    <w:qFormat/>
    <w:pPr>
      <w:keepNext w:val="0"/>
      <w:keepLines w:val="0"/>
      <w:spacing w:before="0" w:after="0" w:line="500" w:lineRule="atLeast"/>
      <w:ind w:firstLineChars="177" w:firstLine="425"/>
      <w:outlineLvl w:val="9"/>
    </w:pPr>
    <w:rPr>
      <w:rFonts w:ascii="宋体" w:hAnsi="Courier New"/>
      <w:b w:val="0"/>
      <w:bCs w:val="0"/>
      <w:kern w:val="0"/>
      <w:sz w:val="20"/>
      <w:szCs w:val="21"/>
    </w:rPr>
  </w:style>
  <w:style w:type="paragraph" w:customStyle="1" w:styleId="44">
    <w:name w:val="日期4"/>
    <w:basedOn w:val="1"/>
    <w:next w:val="a0"/>
    <w:autoRedefine/>
    <w:uiPriority w:val="99"/>
    <w:qFormat/>
    <w:pPr>
      <w:keepNext w:val="0"/>
      <w:keepLines w:val="0"/>
      <w:spacing w:before="0" w:after="0" w:line="500" w:lineRule="atLeast"/>
      <w:ind w:leftChars="2500" w:left="100" w:firstLineChars="177" w:firstLine="425"/>
      <w:outlineLvl w:val="9"/>
    </w:pPr>
    <w:rPr>
      <w:rFonts w:ascii="Calibri" w:hAnsi="Calibri"/>
      <w:b w:val="0"/>
      <w:bCs w:val="0"/>
      <w:kern w:val="0"/>
      <w:sz w:val="20"/>
      <w:szCs w:val="20"/>
    </w:rPr>
  </w:style>
  <w:style w:type="paragraph" w:customStyle="1" w:styleId="45">
    <w:name w:val="无间隔4"/>
    <w:next w:val="a0"/>
    <w:autoRedefine/>
    <w:uiPriority w:val="99"/>
    <w:qFormat/>
    <w:rPr>
      <w:rFonts w:ascii="Calibri" w:hAnsi="Calibri"/>
      <w:sz w:val="22"/>
    </w:rPr>
  </w:style>
  <w:style w:type="paragraph" w:customStyle="1" w:styleId="72">
    <w:name w:val="纯文本7"/>
    <w:basedOn w:val="1"/>
    <w:next w:val="a0"/>
    <w:autoRedefine/>
    <w:uiPriority w:val="99"/>
    <w:qFormat/>
    <w:pPr>
      <w:keepNext w:val="0"/>
      <w:keepLines w:val="0"/>
      <w:spacing w:before="0" w:after="0" w:line="500" w:lineRule="atLeast"/>
      <w:ind w:firstLineChars="177" w:firstLine="425"/>
      <w:outlineLvl w:val="9"/>
    </w:pPr>
    <w:rPr>
      <w:rFonts w:ascii="宋体" w:hAnsi="Courier New"/>
      <w:b w:val="0"/>
      <w:bCs w:val="0"/>
      <w:kern w:val="0"/>
      <w:sz w:val="20"/>
      <w:szCs w:val="21"/>
    </w:rPr>
  </w:style>
  <w:style w:type="paragraph" w:customStyle="1" w:styleId="afffff6">
    <w:name w:val="表题行"/>
    <w:basedOn w:val="1"/>
    <w:next w:val="a0"/>
    <w:autoRedefine/>
    <w:uiPriority w:val="99"/>
    <w:qFormat/>
    <w:pPr>
      <w:keepNext w:val="0"/>
      <w:keepLines w:val="0"/>
      <w:spacing w:before="0" w:after="0" w:line="500" w:lineRule="atLeast"/>
      <w:ind w:firstLineChars="177" w:firstLine="425"/>
      <w:jc w:val="center"/>
      <w:outlineLvl w:val="9"/>
    </w:pPr>
    <w:rPr>
      <w:kern w:val="2"/>
      <w:sz w:val="18"/>
      <w:szCs w:val="21"/>
    </w:rPr>
  </w:style>
  <w:style w:type="paragraph" w:customStyle="1" w:styleId="a90">
    <w:name w:val="a9"/>
    <w:basedOn w:val="1"/>
    <w:next w:val="a0"/>
    <w:autoRedefine/>
    <w:uiPriority w:val="99"/>
    <w:qFormat/>
    <w:pPr>
      <w:keepNext w:val="0"/>
      <w:keepLines w:val="0"/>
      <w:widowControl/>
      <w:snapToGrid w:val="0"/>
      <w:spacing w:before="120" w:after="120" w:line="360" w:lineRule="auto"/>
      <w:ind w:firstLineChars="177" w:firstLine="480"/>
      <w:outlineLvl w:val="9"/>
    </w:pPr>
    <w:rPr>
      <w:b w:val="0"/>
      <w:bCs w:val="0"/>
      <w:kern w:val="0"/>
      <w:sz w:val="24"/>
      <w:szCs w:val="24"/>
    </w:rPr>
  </w:style>
  <w:style w:type="paragraph" w:customStyle="1" w:styleId="afffff7">
    <w:name w:val="表文"/>
    <w:basedOn w:val="1"/>
    <w:next w:val="a0"/>
    <w:link w:val="Charf"/>
    <w:autoRedefine/>
    <w:qFormat/>
    <w:pPr>
      <w:keepNext w:val="0"/>
      <w:keepLines w:val="0"/>
      <w:spacing w:before="0" w:after="0" w:line="500" w:lineRule="atLeast"/>
      <w:ind w:firstLineChars="177" w:firstLine="425"/>
      <w:jc w:val="center"/>
      <w:outlineLvl w:val="9"/>
    </w:pPr>
    <w:rPr>
      <w:b w:val="0"/>
      <w:bCs w:val="0"/>
      <w:kern w:val="2"/>
      <w:sz w:val="24"/>
      <w:szCs w:val="24"/>
    </w:rPr>
  </w:style>
  <w:style w:type="paragraph" w:customStyle="1" w:styleId="afffff8">
    <w:name w:val="报告"/>
    <w:basedOn w:val="1"/>
    <w:next w:val="a0"/>
    <w:autoRedefine/>
    <w:uiPriority w:val="99"/>
    <w:qFormat/>
    <w:pPr>
      <w:keepNext w:val="0"/>
      <w:keepLines w:val="0"/>
      <w:adjustRightInd w:val="0"/>
      <w:spacing w:before="0" w:after="0" w:line="360" w:lineRule="auto"/>
      <w:ind w:firstLineChars="177" w:firstLine="505"/>
      <w:outlineLvl w:val="9"/>
    </w:pPr>
    <w:rPr>
      <w:rFonts w:ascii="TimesNewRoman" w:hAnsi="TimesNewRoman"/>
      <w:b w:val="0"/>
      <w:bCs w:val="0"/>
      <w:kern w:val="0"/>
      <w:sz w:val="24"/>
      <w:szCs w:val="20"/>
    </w:rPr>
  </w:style>
  <w:style w:type="paragraph" w:customStyle="1" w:styleId="afffff9">
    <w:name w:val="韩奇"/>
    <w:basedOn w:val="1"/>
    <w:next w:val="a0"/>
    <w:autoRedefine/>
    <w:uiPriority w:val="99"/>
    <w:qFormat/>
    <w:pPr>
      <w:keepNext w:val="0"/>
      <w:keepLines w:val="0"/>
      <w:adjustRightInd w:val="0"/>
      <w:spacing w:before="0" w:after="0" w:line="500" w:lineRule="exact"/>
      <w:ind w:firstLineChars="200" w:firstLine="200"/>
      <w:outlineLvl w:val="9"/>
    </w:pPr>
    <w:rPr>
      <w:rFonts w:eastAsia="楷体_GB2312"/>
      <w:b w:val="0"/>
      <w:bCs w:val="0"/>
      <w:kern w:val="0"/>
      <w:sz w:val="28"/>
      <w:szCs w:val="20"/>
    </w:rPr>
  </w:style>
  <w:style w:type="paragraph" w:customStyle="1" w:styleId="xl41">
    <w:name w:val="xl41"/>
    <w:basedOn w:val="1"/>
    <w:next w:val="a0"/>
    <w:autoRedefine/>
    <w:uiPriority w:val="99"/>
    <w:qFormat/>
    <w:pPr>
      <w:keepNext w:val="0"/>
      <w:keepLines w:val="0"/>
      <w:widowControl/>
      <w:pBdr>
        <w:top w:val="single" w:sz="8" w:space="0" w:color="auto"/>
        <w:left w:val="single" w:sz="8" w:space="0" w:color="auto"/>
        <w:right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xl39">
    <w:name w:val="xl39"/>
    <w:basedOn w:val="1"/>
    <w:next w:val="a0"/>
    <w:autoRedefine/>
    <w:uiPriority w:val="99"/>
    <w:qFormat/>
    <w:pPr>
      <w:keepNext w:val="0"/>
      <w:keepLines w:val="0"/>
      <w:widowControl/>
      <w:pBdr>
        <w:left w:val="single" w:sz="8" w:space="0" w:color="auto"/>
        <w:right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qilu">
    <w:name w:val="qilu"/>
    <w:basedOn w:val="1"/>
    <w:next w:val="a0"/>
    <w:autoRedefine/>
    <w:uiPriority w:val="99"/>
    <w:qFormat/>
    <w:pPr>
      <w:keepNext w:val="0"/>
      <w:keepLines w:val="0"/>
      <w:autoSpaceDE w:val="0"/>
      <w:autoSpaceDN w:val="0"/>
      <w:adjustRightInd w:val="0"/>
      <w:spacing w:before="0" w:after="0" w:line="500" w:lineRule="atLeast"/>
      <w:ind w:firstLineChars="177" w:firstLine="425"/>
      <w:jc w:val="left"/>
      <w:outlineLvl w:val="9"/>
    </w:pPr>
    <w:rPr>
      <w:rFonts w:ascii="宋体"/>
      <w:bCs w:val="0"/>
      <w:kern w:val="0"/>
      <w:sz w:val="28"/>
      <w:szCs w:val="20"/>
    </w:rPr>
  </w:style>
  <w:style w:type="paragraph" w:customStyle="1" w:styleId="CharCharCharCharCharCharCharCharCharCharCharCharCharCharChar">
    <w:name w:val="Char Char Char Char Char Char Char Char Char Char Char Char Char Char Char"/>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xl43">
    <w:name w:val="xl43"/>
    <w:basedOn w:val="1"/>
    <w:next w:val="a0"/>
    <w:autoRedefine/>
    <w:uiPriority w:val="99"/>
    <w:qFormat/>
    <w:pPr>
      <w:keepNext w:val="0"/>
      <w:keepLines w:val="0"/>
      <w:widowControl/>
      <w:pBdr>
        <w:top w:val="single" w:sz="8" w:space="0" w:color="auto"/>
        <w:left w:val="single" w:sz="8"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3c">
    <w:name w:val="标题样式3"/>
    <w:basedOn w:val="3"/>
    <w:next w:val="a0"/>
    <w:autoRedefine/>
    <w:uiPriority w:val="99"/>
    <w:qFormat/>
    <w:pPr>
      <w:widowControl/>
      <w:tabs>
        <w:tab w:val="left" w:pos="0"/>
      </w:tabs>
      <w:spacing w:before="0" w:after="0" w:line="360" w:lineRule="auto"/>
      <w:jc w:val="left"/>
    </w:pPr>
    <w:rPr>
      <w:rFonts w:ascii="黑体" w:eastAsia="黑体" w:hAnsi="Times New Roman" w:cs="Times New Roman"/>
      <w:b/>
      <w:bCs/>
      <w:kern w:val="0"/>
      <w:sz w:val="24"/>
    </w:rPr>
  </w:style>
  <w:style w:type="paragraph" w:customStyle="1" w:styleId="afffffa">
    <w:name w:val="报告正文文字"/>
    <w:basedOn w:val="1"/>
    <w:next w:val="a0"/>
    <w:autoRedefine/>
    <w:uiPriority w:val="99"/>
    <w:qFormat/>
    <w:pPr>
      <w:keepNext w:val="0"/>
      <w:keepLines w:val="0"/>
      <w:widowControl/>
      <w:autoSpaceDE w:val="0"/>
      <w:autoSpaceDN w:val="0"/>
      <w:spacing w:before="0" w:after="0" w:line="360" w:lineRule="auto"/>
      <w:ind w:firstLineChars="200" w:firstLine="480"/>
      <w:outlineLvl w:val="9"/>
    </w:pPr>
    <w:rPr>
      <w:rFonts w:ascii="宋体" w:hAnsi="宋体"/>
      <w:b w:val="0"/>
      <w:bCs w:val="0"/>
      <w:color w:val="000000"/>
      <w:spacing w:val="4"/>
      <w:kern w:val="0"/>
      <w:sz w:val="24"/>
      <w:szCs w:val="20"/>
    </w:rPr>
  </w:style>
  <w:style w:type="paragraph" w:customStyle="1" w:styleId="xl26">
    <w:name w:val="xl26"/>
    <w:basedOn w:val="1"/>
    <w:next w:val="a0"/>
    <w:autoRedefine/>
    <w:uiPriority w:val="99"/>
    <w:qFormat/>
    <w:pPr>
      <w:keepNext w:val="0"/>
      <w:keepLines w:val="0"/>
      <w:widowControl/>
      <w:pBdr>
        <w:bottom w:val="single" w:sz="4" w:space="0" w:color="auto"/>
        <w:right w:val="single" w:sz="4" w:space="0" w:color="auto"/>
      </w:pBdr>
      <w:spacing w:before="100" w:beforeAutospacing="1" w:after="100" w:afterAutospacing="1" w:line="500" w:lineRule="atLeast"/>
      <w:ind w:firstLineChars="177" w:firstLine="425"/>
      <w:jc w:val="center"/>
      <w:outlineLvl w:val="9"/>
    </w:pPr>
    <w:rPr>
      <w:rFonts w:eastAsia="Arial Unicode MS"/>
      <w:b w:val="0"/>
      <w:bCs w:val="0"/>
      <w:kern w:val="0"/>
      <w:sz w:val="24"/>
      <w:szCs w:val="21"/>
    </w:rPr>
  </w:style>
  <w:style w:type="paragraph" w:customStyle="1" w:styleId="PlainText1">
    <w:name w:val="Plain Text1"/>
    <w:basedOn w:val="1"/>
    <w:next w:val="a0"/>
    <w:autoRedefine/>
    <w:uiPriority w:val="99"/>
    <w:qFormat/>
    <w:pPr>
      <w:keepNext w:val="0"/>
      <w:keepLines w:val="0"/>
      <w:autoSpaceDE w:val="0"/>
      <w:autoSpaceDN w:val="0"/>
      <w:adjustRightInd w:val="0"/>
      <w:spacing w:before="0" w:after="0" w:line="500" w:lineRule="atLeast"/>
      <w:ind w:firstLineChars="177" w:firstLine="425"/>
      <w:outlineLvl w:val="9"/>
    </w:pPr>
    <w:rPr>
      <w:rFonts w:ascii="宋体" w:hAnsi="Tms Rmn"/>
      <w:b w:val="0"/>
      <w:bCs w:val="0"/>
      <w:kern w:val="0"/>
      <w:sz w:val="24"/>
      <w:szCs w:val="20"/>
    </w:rPr>
  </w:style>
  <w:style w:type="character" w:customStyle="1" w:styleId="1Char10">
    <w:name w:val="段落1 Char1"/>
    <w:link w:val="1f"/>
    <w:qFormat/>
    <w:locked/>
    <w:rPr>
      <w:rFonts w:ascii="宋体" w:eastAsia="宋体" w:hAnsi="宋体"/>
      <w:spacing w:val="6"/>
      <w:sz w:val="28"/>
    </w:rPr>
  </w:style>
  <w:style w:type="paragraph" w:customStyle="1" w:styleId="1f">
    <w:name w:val="段落1"/>
    <w:basedOn w:val="1"/>
    <w:next w:val="a0"/>
    <w:link w:val="1Char10"/>
    <w:autoRedefine/>
    <w:qFormat/>
    <w:pPr>
      <w:keepNext w:val="0"/>
      <w:keepLines w:val="0"/>
      <w:adjustRightInd w:val="0"/>
      <w:spacing w:before="0" w:after="0" w:line="440" w:lineRule="exact"/>
      <w:ind w:firstLineChars="200" w:firstLine="600"/>
      <w:outlineLvl w:val="9"/>
    </w:pPr>
    <w:rPr>
      <w:rFonts w:ascii="宋体" w:hAnsi="宋体" w:cstheme="minorBidi"/>
      <w:b w:val="0"/>
      <w:bCs w:val="0"/>
      <w:spacing w:val="6"/>
      <w:kern w:val="2"/>
      <w:sz w:val="28"/>
      <w:szCs w:val="22"/>
    </w:rPr>
  </w:style>
  <w:style w:type="paragraph" w:customStyle="1" w:styleId="table">
    <w:name w:val="table"/>
    <w:basedOn w:val="1"/>
    <w:next w:val="a0"/>
    <w:autoRedefine/>
    <w:uiPriority w:val="99"/>
    <w:qFormat/>
    <w:pPr>
      <w:keepNext w:val="0"/>
      <w:keepLines w:val="0"/>
      <w:widowControl/>
      <w:overflowPunct w:val="0"/>
      <w:autoSpaceDE w:val="0"/>
      <w:autoSpaceDN w:val="0"/>
      <w:adjustRightInd w:val="0"/>
      <w:spacing w:before="60" w:after="60" w:line="500" w:lineRule="atLeast"/>
      <w:ind w:firstLineChars="177" w:firstLine="425"/>
      <w:jc w:val="center"/>
      <w:outlineLvl w:val="9"/>
    </w:pPr>
    <w:rPr>
      <w:rFonts w:ascii="仿宋体" w:eastAsia="仿宋体"/>
      <w:b w:val="0"/>
      <w:bCs w:val="0"/>
      <w:kern w:val="0"/>
      <w:sz w:val="24"/>
      <w:szCs w:val="20"/>
    </w:rPr>
  </w:style>
  <w:style w:type="paragraph" w:customStyle="1" w:styleId="xl58">
    <w:name w:val="xl58"/>
    <w:basedOn w:val="1"/>
    <w:next w:val="a0"/>
    <w:autoRedefine/>
    <w:uiPriority w:val="99"/>
    <w:qFormat/>
    <w:pPr>
      <w:keepNext w:val="0"/>
      <w:keepLines w:val="0"/>
      <w:widowControl/>
      <w:pBdr>
        <w:top w:val="single" w:sz="12" w:space="0" w:color="auto"/>
        <w:bottom w:val="single" w:sz="8" w:space="0" w:color="auto"/>
        <w:right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CharCharCharCharCharCharCharCharCharCharCharCharCharCharCharCharCharCharCharCharCharChar">
    <w:name w:val="Char Char Char Char Char Char Char Char Char Char Char Char Char Char Char Char Char Char Char Char Char Char"/>
    <w:basedOn w:val="1"/>
    <w:next w:val="a0"/>
    <w:autoRedefine/>
    <w:uiPriority w:val="99"/>
    <w:qFormat/>
    <w:pPr>
      <w:keepNext w:val="0"/>
      <w:keepLines w:val="0"/>
      <w:widowControl/>
      <w:spacing w:before="0" w:after="160" w:line="240" w:lineRule="exact"/>
      <w:ind w:firstLineChars="177" w:firstLine="425"/>
      <w:jc w:val="left"/>
      <w:outlineLvl w:val="9"/>
    </w:pPr>
    <w:rPr>
      <w:b w:val="0"/>
      <w:bCs w:val="0"/>
      <w:kern w:val="2"/>
      <w:sz w:val="24"/>
      <w:szCs w:val="20"/>
    </w:rPr>
  </w:style>
  <w:style w:type="paragraph" w:customStyle="1" w:styleId="WW-">
    <w:name w:val="WW-正文（首行缩进两字）"/>
    <w:basedOn w:val="1"/>
    <w:next w:val="a0"/>
    <w:autoRedefine/>
    <w:uiPriority w:val="99"/>
    <w:qFormat/>
    <w:pPr>
      <w:keepNext w:val="0"/>
      <w:keepLines w:val="0"/>
      <w:suppressAutoHyphens/>
      <w:spacing w:before="0" w:after="0" w:line="500" w:lineRule="atLeast"/>
      <w:ind w:firstLineChars="177" w:firstLine="420"/>
      <w:outlineLvl w:val="9"/>
    </w:pPr>
    <w:rPr>
      <w:b w:val="0"/>
      <w:bCs w:val="0"/>
      <w:kern w:val="2"/>
      <w:sz w:val="24"/>
      <w:szCs w:val="20"/>
    </w:rPr>
  </w:style>
  <w:style w:type="paragraph" w:customStyle="1" w:styleId="afffffb">
    <w:name w:val="表格内容格式"/>
    <w:basedOn w:val="1"/>
    <w:next w:val="a0"/>
    <w:autoRedefine/>
    <w:uiPriority w:val="99"/>
    <w:qFormat/>
    <w:pPr>
      <w:keepNext w:val="0"/>
      <w:keepLines w:val="0"/>
      <w:tabs>
        <w:tab w:val="left" w:pos="1935"/>
      </w:tabs>
      <w:adjustRightInd w:val="0"/>
      <w:snapToGrid w:val="0"/>
      <w:spacing w:before="0" w:after="0" w:line="500" w:lineRule="atLeast"/>
      <w:ind w:rightChars="-45" w:right="-45" w:firstLineChars="177" w:firstLine="425"/>
      <w:outlineLvl w:val="9"/>
    </w:pPr>
    <w:rPr>
      <w:b w:val="0"/>
      <w:bCs w:val="0"/>
      <w:color w:val="000000"/>
      <w:kern w:val="0"/>
      <w:sz w:val="24"/>
      <w:szCs w:val="20"/>
    </w:rPr>
  </w:style>
  <w:style w:type="paragraph" w:customStyle="1" w:styleId="font0">
    <w:name w:val="font0"/>
    <w:basedOn w:val="1"/>
    <w:next w:val="a0"/>
    <w:autoRedefine/>
    <w:uiPriority w:val="99"/>
    <w:qFormat/>
    <w:pPr>
      <w:keepNext w:val="0"/>
      <w:keepLines w:val="0"/>
      <w:widowControl/>
      <w:adjustRightInd w:val="0"/>
      <w:snapToGrid w:val="0"/>
      <w:spacing w:before="100" w:beforeAutospacing="1" w:after="100" w:afterAutospacing="1" w:line="360" w:lineRule="auto"/>
      <w:ind w:firstLineChars="177" w:firstLine="425"/>
      <w:jc w:val="left"/>
      <w:outlineLvl w:val="9"/>
    </w:pPr>
    <w:rPr>
      <w:rFonts w:ascii="宋体" w:hAnsi="宋体"/>
      <w:b w:val="0"/>
      <w:bCs w:val="0"/>
      <w:kern w:val="0"/>
      <w:sz w:val="24"/>
      <w:szCs w:val="24"/>
    </w:rPr>
  </w:style>
  <w:style w:type="paragraph" w:customStyle="1" w:styleId="a60">
    <w:name w:val="a6"/>
    <w:next w:val="a0"/>
    <w:autoRedefine/>
    <w:uiPriority w:val="99"/>
    <w:qFormat/>
    <w:pPr>
      <w:spacing w:line="280" w:lineRule="atLeast"/>
      <w:ind w:firstLine="360"/>
      <w:jc w:val="center"/>
    </w:pPr>
    <w:rPr>
      <w:color w:val="000000"/>
      <w:sz w:val="18"/>
      <w:szCs w:val="18"/>
    </w:rPr>
  </w:style>
  <w:style w:type="paragraph" w:customStyle="1" w:styleId="afffffc">
    <w:name w:val="图表名"/>
    <w:basedOn w:val="1"/>
    <w:next w:val="a0"/>
    <w:autoRedefine/>
    <w:uiPriority w:val="99"/>
    <w:qFormat/>
    <w:pPr>
      <w:keepNext w:val="0"/>
      <w:keepLines w:val="0"/>
      <w:spacing w:beforeLines="30" w:after="0" w:line="440" w:lineRule="exact"/>
      <w:ind w:firstLineChars="177" w:firstLine="480"/>
      <w:outlineLvl w:val="9"/>
    </w:pPr>
    <w:rPr>
      <w:rFonts w:eastAsia="黑体"/>
      <w:b w:val="0"/>
      <w:bCs w:val="0"/>
      <w:kern w:val="2"/>
      <w:sz w:val="24"/>
      <w:szCs w:val="20"/>
    </w:rPr>
  </w:style>
  <w:style w:type="paragraph" w:customStyle="1" w:styleId="a9cxspmiddle">
    <w:name w:val="a9cxspmiddle"/>
    <w:basedOn w:val="1"/>
    <w:next w:val="a0"/>
    <w:autoRedefine/>
    <w:uiPriority w:val="99"/>
    <w:qFormat/>
    <w:pPr>
      <w:keepNext w:val="0"/>
      <w:keepLines w:val="0"/>
      <w:widowControl/>
      <w:snapToGrid w:val="0"/>
      <w:spacing w:before="0" w:after="0" w:line="360" w:lineRule="auto"/>
      <w:ind w:firstLineChars="177" w:firstLine="480"/>
      <w:outlineLvl w:val="9"/>
    </w:pPr>
    <w:rPr>
      <w:b w:val="0"/>
      <w:bCs w:val="0"/>
      <w:kern w:val="0"/>
      <w:sz w:val="24"/>
      <w:szCs w:val="24"/>
    </w:rPr>
  </w:style>
  <w:style w:type="paragraph" w:customStyle="1" w:styleId="2f2">
    <w:name w:val="样式 首行缩进:  2 字符"/>
    <w:basedOn w:val="1"/>
    <w:next w:val="a0"/>
    <w:autoRedefine/>
    <w:uiPriority w:val="99"/>
    <w:qFormat/>
    <w:pPr>
      <w:keepNext w:val="0"/>
      <w:keepLines w:val="0"/>
      <w:spacing w:before="0" w:after="0" w:line="360" w:lineRule="auto"/>
      <w:ind w:firstLineChars="200" w:firstLine="200"/>
      <w:outlineLvl w:val="9"/>
    </w:pPr>
    <w:rPr>
      <w:b w:val="0"/>
      <w:bCs w:val="0"/>
      <w:kern w:val="2"/>
      <w:sz w:val="24"/>
      <w:szCs w:val="24"/>
    </w:rPr>
  </w:style>
  <w:style w:type="paragraph" w:customStyle="1" w:styleId="xl35">
    <w:name w:val="xl35"/>
    <w:basedOn w:val="1"/>
    <w:next w:val="a0"/>
    <w:autoRedefine/>
    <w:uiPriority w:val="99"/>
    <w:qFormat/>
    <w:pPr>
      <w:keepNext w:val="0"/>
      <w:keepLines w:val="0"/>
      <w:widowControl/>
      <w:pBdr>
        <w:bottom w:val="single" w:sz="8"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120">
    <w:name w:val="表1表2"/>
    <w:basedOn w:val="1"/>
    <w:next w:val="a0"/>
    <w:autoRedefine/>
    <w:uiPriority w:val="99"/>
    <w:qFormat/>
    <w:pPr>
      <w:keepNext w:val="0"/>
      <w:keepLines w:val="0"/>
      <w:autoSpaceDE w:val="0"/>
      <w:autoSpaceDN w:val="0"/>
      <w:adjustRightInd w:val="0"/>
      <w:spacing w:before="0" w:after="0" w:line="500" w:lineRule="atLeast"/>
      <w:ind w:firstLineChars="177" w:firstLine="425"/>
      <w:jc w:val="center"/>
      <w:outlineLvl w:val="9"/>
    </w:pPr>
    <w:rPr>
      <w:rFonts w:eastAsia="仿宋_GB2312"/>
      <w:b w:val="0"/>
      <w:bCs w:val="0"/>
      <w:kern w:val="0"/>
      <w:sz w:val="24"/>
      <w:szCs w:val="21"/>
    </w:rPr>
  </w:style>
  <w:style w:type="paragraph" w:customStyle="1" w:styleId="xl23">
    <w:name w:val="xl23"/>
    <w:basedOn w:val="1"/>
    <w:next w:val="a0"/>
    <w:autoRedefine/>
    <w:uiPriority w:val="99"/>
    <w:qFormat/>
    <w:pPr>
      <w:keepNext w:val="0"/>
      <w:keepLines w:val="0"/>
      <w:widowControl/>
      <w:pBdr>
        <w:top w:val="single" w:sz="4" w:space="0" w:color="auto"/>
        <w:left w:val="single" w:sz="4" w:space="0" w:color="auto"/>
        <w:right w:val="single" w:sz="4" w:space="0" w:color="auto"/>
      </w:pBdr>
      <w:spacing w:before="100" w:beforeAutospacing="1" w:after="100" w:afterAutospacing="1" w:line="500" w:lineRule="atLeast"/>
      <w:ind w:firstLineChars="177" w:firstLine="425"/>
      <w:jc w:val="center"/>
      <w:outlineLvl w:val="9"/>
    </w:pPr>
    <w:rPr>
      <w:rFonts w:ascii="宋体" w:hAnsi="宋体" w:cs="宋体"/>
      <w:b w:val="0"/>
      <w:bCs w:val="0"/>
      <w:kern w:val="0"/>
      <w:sz w:val="24"/>
      <w:szCs w:val="24"/>
    </w:rPr>
  </w:style>
  <w:style w:type="paragraph" w:customStyle="1" w:styleId="afffffd">
    <w:name w:val="公式说明"/>
    <w:next w:val="a0"/>
    <w:autoRedefine/>
    <w:uiPriority w:val="99"/>
    <w:qFormat/>
    <w:pPr>
      <w:ind w:firstLineChars="200" w:firstLine="200"/>
    </w:pPr>
    <w:rPr>
      <w:kern w:val="2"/>
      <w:sz w:val="24"/>
    </w:rPr>
  </w:style>
  <w:style w:type="paragraph" w:customStyle="1" w:styleId="BodyText22">
    <w:name w:val="Body Text 22"/>
    <w:basedOn w:val="1"/>
    <w:next w:val="a0"/>
    <w:autoRedefine/>
    <w:uiPriority w:val="99"/>
    <w:qFormat/>
    <w:pPr>
      <w:keepNext w:val="0"/>
      <w:keepLines w:val="0"/>
      <w:adjustRightInd w:val="0"/>
      <w:spacing w:before="0" w:after="0" w:line="440" w:lineRule="atLeast"/>
      <w:ind w:firstLineChars="177" w:firstLine="480"/>
      <w:outlineLvl w:val="9"/>
    </w:pPr>
    <w:rPr>
      <w:rFonts w:eastAsia="仿宋_GB2312"/>
      <w:b w:val="0"/>
      <w:bCs w:val="0"/>
      <w:kern w:val="2"/>
      <w:sz w:val="24"/>
      <w:szCs w:val="20"/>
    </w:rPr>
  </w:style>
  <w:style w:type="paragraph" w:customStyle="1" w:styleId="1110">
    <w:name w:val="1.1.1"/>
    <w:basedOn w:val="1"/>
    <w:next w:val="a0"/>
    <w:autoRedefine/>
    <w:uiPriority w:val="99"/>
    <w:qFormat/>
    <w:pPr>
      <w:keepNext w:val="0"/>
      <w:keepLines w:val="0"/>
      <w:spacing w:before="0" w:after="0" w:line="500" w:lineRule="atLeast"/>
      <w:ind w:firstLineChars="177" w:firstLine="425"/>
      <w:outlineLvl w:val="9"/>
    </w:pPr>
    <w:rPr>
      <w:rFonts w:ascii="黑体"/>
      <w:b w:val="0"/>
      <w:bCs w:val="0"/>
      <w:kern w:val="2"/>
      <w:sz w:val="24"/>
      <w:szCs w:val="24"/>
    </w:rPr>
  </w:style>
  <w:style w:type="paragraph" w:customStyle="1" w:styleId="afffffe">
    <w:name w:val="报告表格"/>
    <w:basedOn w:val="1"/>
    <w:next w:val="a0"/>
    <w:autoRedefine/>
    <w:uiPriority w:val="99"/>
    <w:qFormat/>
    <w:pPr>
      <w:keepNext w:val="0"/>
      <w:keepLines w:val="0"/>
      <w:autoSpaceDE w:val="0"/>
      <w:autoSpaceDN w:val="0"/>
      <w:adjustRightInd w:val="0"/>
      <w:spacing w:before="40" w:after="40" w:line="500" w:lineRule="atLeast"/>
      <w:ind w:firstLineChars="177" w:firstLine="425"/>
      <w:jc w:val="center"/>
      <w:outlineLvl w:val="9"/>
    </w:pPr>
    <w:rPr>
      <w:b w:val="0"/>
      <w:bCs w:val="0"/>
      <w:kern w:val="0"/>
      <w:sz w:val="24"/>
      <w:szCs w:val="20"/>
    </w:rPr>
  </w:style>
  <w:style w:type="paragraph" w:customStyle="1" w:styleId="affffff">
    <w:name w:val="表中正文"/>
    <w:basedOn w:val="1"/>
    <w:next w:val="a0"/>
    <w:autoRedefine/>
    <w:uiPriority w:val="99"/>
    <w:qFormat/>
    <w:pPr>
      <w:keepNext w:val="0"/>
      <w:keepLines w:val="0"/>
      <w:tabs>
        <w:tab w:val="left" w:pos="958"/>
        <w:tab w:val="left" w:pos="7320"/>
        <w:tab w:val="left" w:pos="8160"/>
      </w:tabs>
      <w:adjustRightInd w:val="0"/>
      <w:spacing w:before="0" w:after="0" w:line="360" w:lineRule="atLeast"/>
      <w:ind w:right="113" w:firstLineChars="177" w:firstLine="425"/>
      <w:jc w:val="center"/>
      <w:outlineLvl w:val="9"/>
    </w:pPr>
    <w:rPr>
      <w:rFonts w:ascii="宋体" w:hAnsi="宋体"/>
      <w:b w:val="0"/>
      <w:bCs w:val="0"/>
      <w:spacing w:val="6"/>
      <w:kern w:val="20"/>
      <w:sz w:val="24"/>
      <w:szCs w:val="24"/>
    </w:rPr>
  </w:style>
  <w:style w:type="paragraph" w:customStyle="1" w:styleId="1203">
    <w:name w:val="样式 段落1 + 左 首行缩进:  2 字符 加宽量  0.3 磅"/>
    <w:basedOn w:val="1"/>
    <w:next w:val="a0"/>
    <w:autoRedefine/>
    <w:uiPriority w:val="99"/>
    <w:qFormat/>
    <w:pPr>
      <w:keepNext w:val="0"/>
      <w:keepLines w:val="0"/>
      <w:tabs>
        <w:tab w:val="left" w:pos="4254"/>
      </w:tabs>
      <w:adjustRightInd w:val="0"/>
      <w:spacing w:before="0" w:after="0" w:line="440" w:lineRule="exact"/>
      <w:ind w:firstLineChars="200" w:firstLine="504"/>
      <w:outlineLvl w:val="9"/>
    </w:pPr>
    <w:rPr>
      <w:b w:val="0"/>
      <w:color w:val="0000FF"/>
      <w:spacing w:val="6"/>
      <w:kern w:val="0"/>
      <w:sz w:val="24"/>
      <w:szCs w:val="20"/>
    </w:rPr>
  </w:style>
  <w:style w:type="character" w:customStyle="1" w:styleId="2Char11">
    <w:name w:val="正文首行缩进 2 Char1"/>
    <w:basedOn w:val="Char12"/>
    <w:uiPriority w:val="99"/>
    <w:semiHidden/>
    <w:qFormat/>
    <w:rPr>
      <w:rFonts w:ascii="Times New Roman" w:eastAsia="宋体" w:hAnsi="Times New Roman" w:cs="Times New Roman"/>
      <w:szCs w:val="24"/>
    </w:rPr>
  </w:style>
  <w:style w:type="paragraph" w:customStyle="1" w:styleId="affffff0">
    <w:name w:val="三级标题"/>
    <w:basedOn w:val="1"/>
    <w:next w:val="2"/>
    <w:autoRedefine/>
    <w:uiPriority w:val="99"/>
    <w:qFormat/>
    <w:pPr>
      <w:keepNext w:val="0"/>
      <w:keepLines w:val="0"/>
      <w:adjustRightInd w:val="0"/>
      <w:snapToGrid w:val="0"/>
      <w:spacing w:before="0" w:after="0" w:line="360" w:lineRule="exact"/>
      <w:ind w:firstLineChars="177" w:firstLine="425"/>
      <w:jc w:val="center"/>
      <w:outlineLvl w:val="9"/>
    </w:pPr>
    <w:rPr>
      <w:b w:val="0"/>
      <w:kern w:val="2"/>
      <w:sz w:val="24"/>
      <w:szCs w:val="20"/>
    </w:rPr>
  </w:style>
  <w:style w:type="paragraph" w:customStyle="1" w:styleId="unnamed2">
    <w:name w:val="unnamed2"/>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Arial Unicode MS" w:eastAsia="Arial Unicode MS" w:hAnsi="Arial Unicode MS" w:cs="Arial Unicode MS"/>
      <w:b w:val="0"/>
      <w:bCs w:val="0"/>
      <w:color w:val="000000"/>
      <w:kern w:val="0"/>
      <w:sz w:val="24"/>
      <w:szCs w:val="24"/>
    </w:rPr>
  </w:style>
  <w:style w:type="paragraph" w:customStyle="1" w:styleId="affffff1">
    <w:name w:val="样式表格"/>
    <w:basedOn w:val="1"/>
    <w:next w:val="a0"/>
    <w:autoRedefine/>
    <w:uiPriority w:val="99"/>
    <w:qFormat/>
    <w:pPr>
      <w:keepNext w:val="0"/>
      <w:keepLines w:val="0"/>
      <w:spacing w:before="0" w:after="0" w:line="240" w:lineRule="exact"/>
      <w:ind w:firstLineChars="177" w:firstLine="425"/>
      <w:outlineLvl w:val="9"/>
    </w:pPr>
    <w:rPr>
      <w:b w:val="0"/>
      <w:bCs w:val="0"/>
      <w:color w:val="000000"/>
      <w:kern w:val="0"/>
      <w:sz w:val="24"/>
      <w:szCs w:val="21"/>
    </w:rPr>
  </w:style>
  <w:style w:type="paragraph" w:customStyle="1" w:styleId="font5">
    <w:name w:val="font5"/>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b w:val="0"/>
      <w:bCs w:val="0"/>
      <w:kern w:val="0"/>
      <w:sz w:val="18"/>
      <w:szCs w:val="20"/>
    </w:rPr>
  </w:style>
  <w:style w:type="paragraph" w:customStyle="1" w:styleId="2f3">
    <w:name w:val="样式2"/>
    <w:basedOn w:val="1"/>
    <w:next w:val="a0"/>
    <w:autoRedefine/>
    <w:uiPriority w:val="99"/>
    <w:qFormat/>
    <w:pPr>
      <w:keepNext w:val="0"/>
      <w:keepLines w:val="0"/>
      <w:tabs>
        <w:tab w:val="left" w:pos="360"/>
      </w:tabs>
      <w:spacing w:before="50" w:after="50" w:line="440" w:lineRule="exact"/>
      <w:ind w:firstLineChars="177" w:firstLine="425"/>
      <w:outlineLvl w:val="9"/>
    </w:pPr>
    <w:rPr>
      <w:rFonts w:eastAsia="黑体"/>
      <w:b w:val="0"/>
      <w:bCs w:val="0"/>
      <w:kern w:val="2"/>
      <w:sz w:val="24"/>
      <w:szCs w:val="20"/>
    </w:rPr>
  </w:style>
  <w:style w:type="character" w:customStyle="1" w:styleId="cucd-2Char">
    <w:name w:val="cucd-2 Char"/>
    <w:link w:val="cucd-2"/>
    <w:qFormat/>
    <w:locked/>
    <w:rPr>
      <w:rFonts w:ascii="黑体" w:eastAsia="黑体" w:hAnsi="黑体"/>
      <w:b/>
      <w:sz w:val="30"/>
      <w:szCs w:val="24"/>
    </w:rPr>
  </w:style>
  <w:style w:type="paragraph" w:customStyle="1" w:styleId="cucd-2">
    <w:name w:val="cucd-2"/>
    <w:next w:val="cucd-3"/>
    <w:link w:val="cucd-2Char"/>
    <w:autoRedefine/>
    <w:qFormat/>
    <w:pPr>
      <w:tabs>
        <w:tab w:val="left" w:pos="576"/>
      </w:tabs>
      <w:spacing w:line="360" w:lineRule="auto"/>
      <w:ind w:left="576" w:hanging="576"/>
      <w:outlineLvl w:val="1"/>
    </w:pPr>
    <w:rPr>
      <w:rFonts w:ascii="黑体" w:eastAsia="黑体" w:hAnsi="黑体" w:cstheme="minorBidi"/>
      <w:b/>
      <w:kern w:val="2"/>
      <w:sz w:val="30"/>
      <w:szCs w:val="24"/>
    </w:rPr>
  </w:style>
  <w:style w:type="paragraph" w:customStyle="1" w:styleId="cucd-3">
    <w:name w:val="cucd-3"/>
    <w:next w:val="a0"/>
    <w:link w:val="cucd-3Char"/>
    <w:autoRedefine/>
    <w:uiPriority w:val="99"/>
    <w:qFormat/>
    <w:pPr>
      <w:tabs>
        <w:tab w:val="left" w:pos="720"/>
      </w:tabs>
      <w:spacing w:line="360" w:lineRule="auto"/>
      <w:ind w:left="720" w:hanging="720"/>
      <w:outlineLvl w:val="2"/>
    </w:pPr>
    <w:rPr>
      <w:rFonts w:ascii="Calibri" w:hAnsi="Calibri"/>
      <w:b/>
      <w:kern w:val="2"/>
      <w:sz w:val="28"/>
      <w:szCs w:val="24"/>
    </w:rPr>
  </w:style>
  <w:style w:type="character" w:customStyle="1" w:styleId="cucd-3Char">
    <w:name w:val="cucd-3 Char"/>
    <w:link w:val="cucd-3"/>
    <w:uiPriority w:val="99"/>
    <w:qFormat/>
    <w:locked/>
    <w:rPr>
      <w:rFonts w:ascii="Calibri" w:eastAsia="宋体" w:hAnsi="Calibri" w:cs="Times New Roman"/>
      <w:b/>
      <w:sz w:val="28"/>
      <w:szCs w:val="24"/>
    </w:rPr>
  </w:style>
  <w:style w:type="paragraph" w:customStyle="1" w:styleId="affffff2">
    <w:name w:val="表中"/>
    <w:basedOn w:val="1"/>
    <w:next w:val="a0"/>
    <w:autoRedefine/>
    <w:uiPriority w:val="99"/>
    <w:qFormat/>
    <w:pPr>
      <w:keepNext w:val="0"/>
      <w:keepLines w:val="0"/>
      <w:spacing w:before="0" w:after="0" w:line="280" w:lineRule="exact"/>
      <w:ind w:firstLineChars="177" w:firstLine="425"/>
      <w:jc w:val="center"/>
      <w:outlineLvl w:val="9"/>
    </w:pPr>
    <w:rPr>
      <w:b w:val="0"/>
      <w:bCs w:val="0"/>
      <w:kern w:val="2"/>
      <w:sz w:val="18"/>
      <w:szCs w:val="18"/>
    </w:rPr>
  </w:style>
  <w:style w:type="paragraph" w:customStyle="1" w:styleId="2f4">
    <w:name w:val="样式 四号 首行缩进:  2 字符"/>
    <w:basedOn w:val="1"/>
    <w:next w:val="a0"/>
    <w:autoRedefine/>
    <w:uiPriority w:val="99"/>
    <w:qFormat/>
    <w:pPr>
      <w:keepNext w:val="0"/>
      <w:keepLines w:val="0"/>
      <w:spacing w:before="0" w:after="0" w:line="480" w:lineRule="atLeast"/>
      <w:ind w:firstLineChars="200" w:firstLine="200"/>
      <w:outlineLvl w:val="9"/>
    </w:pPr>
    <w:rPr>
      <w:b w:val="0"/>
      <w:bCs w:val="0"/>
      <w:kern w:val="2"/>
      <w:sz w:val="24"/>
      <w:szCs w:val="20"/>
    </w:rPr>
  </w:style>
  <w:style w:type="paragraph" w:customStyle="1" w:styleId="xl38">
    <w:name w:val="xl38"/>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b w:val="0"/>
      <w:bCs w:val="0"/>
      <w:color w:val="000000"/>
      <w:kern w:val="0"/>
      <w:sz w:val="24"/>
      <w:szCs w:val="21"/>
    </w:rPr>
  </w:style>
  <w:style w:type="paragraph" w:customStyle="1" w:styleId="2f5">
    <w:name w:val="表头2"/>
    <w:basedOn w:val="1"/>
    <w:next w:val="a0"/>
    <w:autoRedefine/>
    <w:uiPriority w:val="99"/>
    <w:qFormat/>
    <w:pPr>
      <w:keepNext w:val="0"/>
      <w:keepLines w:val="0"/>
      <w:spacing w:before="0" w:after="0" w:line="480" w:lineRule="auto"/>
      <w:ind w:firstLineChars="177" w:firstLine="425"/>
      <w:jc w:val="center"/>
      <w:outlineLvl w:val="9"/>
    </w:pPr>
    <w:rPr>
      <w:rFonts w:ascii="黑体" w:eastAsia="黑体"/>
      <w:b w:val="0"/>
      <w:bCs w:val="0"/>
      <w:color w:val="000000"/>
      <w:kern w:val="2"/>
      <w:sz w:val="24"/>
      <w:szCs w:val="24"/>
    </w:rPr>
  </w:style>
  <w:style w:type="paragraph" w:customStyle="1" w:styleId="6">
    <w:name w:val="标题6"/>
    <w:basedOn w:val="1"/>
    <w:next w:val="17"/>
    <w:autoRedefine/>
    <w:uiPriority w:val="99"/>
    <w:qFormat/>
    <w:pPr>
      <w:keepNext w:val="0"/>
      <w:keepLines w:val="0"/>
      <w:numPr>
        <w:numId w:val="2"/>
      </w:numPr>
      <w:spacing w:before="0" w:after="0" w:line="480" w:lineRule="exact"/>
      <w:ind w:firstLineChars="177" w:firstLine="177"/>
      <w:jc w:val="left"/>
      <w:outlineLvl w:val="9"/>
    </w:pPr>
    <w:rPr>
      <w:b w:val="0"/>
      <w:bCs w:val="0"/>
      <w:spacing w:val="10"/>
      <w:kern w:val="2"/>
      <w:sz w:val="28"/>
      <w:szCs w:val="20"/>
    </w:rPr>
  </w:style>
  <w:style w:type="paragraph" w:customStyle="1" w:styleId="ltext2">
    <w:name w:val="l_text2"/>
    <w:basedOn w:val="1"/>
    <w:next w:val="a0"/>
    <w:autoRedefine/>
    <w:uiPriority w:val="99"/>
    <w:qFormat/>
    <w:pPr>
      <w:keepNext w:val="0"/>
      <w:keepLines w:val="0"/>
      <w:widowControl/>
      <w:numPr>
        <w:numId w:val="3"/>
      </w:numPr>
      <w:overflowPunct w:val="0"/>
      <w:autoSpaceDE w:val="0"/>
      <w:autoSpaceDN w:val="0"/>
      <w:adjustRightInd w:val="0"/>
      <w:spacing w:before="0" w:after="0" w:line="500" w:lineRule="atLeast"/>
      <w:ind w:left="0" w:firstLineChars="177" w:firstLine="0"/>
      <w:jc w:val="center"/>
      <w:outlineLvl w:val="9"/>
    </w:pPr>
    <w:rPr>
      <w:rFonts w:ascii="楷体" w:eastAsia="楷体" w:cs="楷体"/>
      <w:b w:val="0"/>
      <w:bCs w:val="0"/>
      <w:kern w:val="0"/>
      <w:position w:val="-30"/>
      <w:sz w:val="22"/>
      <w:szCs w:val="24"/>
    </w:rPr>
  </w:style>
  <w:style w:type="paragraph" w:customStyle="1" w:styleId="xl54">
    <w:name w:val="xl54"/>
    <w:basedOn w:val="1"/>
    <w:next w:val="a0"/>
    <w:autoRedefine/>
    <w:uiPriority w:val="99"/>
    <w:qFormat/>
    <w:pPr>
      <w:keepNext w:val="0"/>
      <w:keepLines w:val="0"/>
      <w:widowControl/>
      <w:pBdr>
        <w:top w:val="single" w:sz="12" w:space="0" w:color="auto"/>
        <w:left w:val="single" w:sz="12" w:space="0" w:color="auto"/>
        <w:right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xl46">
    <w:name w:val="xl46"/>
    <w:basedOn w:val="1"/>
    <w:next w:val="a0"/>
    <w:autoRedefine/>
    <w:uiPriority w:val="99"/>
    <w:qFormat/>
    <w:pPr>
      <w:keepNext w:val="0"/>
      <w:keepLines w:val="0"/>
      <w:widowControl/>
      <w:pBdr>
        <w:left w:val="single" w:sz="8" w:space="0" w:color="auto"/>
        <w:bottom w:val="single" w:sz="8" w:space="0" w:color="auto"/>
        <w:right w:val="single" w:sz="12"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222">
    <w:name w:val="222"/>
    <w:basedOn w:val="1"/>
    <w:next w:val="a0"/>
    <w:autoRedefine/>
    <w:uiPriority w:val="99"/>
    <w:qFormat/>
    <w:pPr>
      <w:keepNext w:val="0"/>
      <w:keepLines w:val="0"/>
      <w:snapToGrid w:val="0"/>
      <w:spacing w:before="0" w:after="0" w:line="440" w:lineRule="exact"/>
      <w:ind w:firstLineChars="200" w:firstLine="480"/>
      <w:outlineLvl w:val="9"/>
    </w:pPr>
    <w:rPr>
      <w:rFonts w:cs="宋体"/>
      <w:b w:val="0"/>
      <w:bCs w:val="0"/>
      <w:kern w:val="2"/>
      <w:sz w:val="24"/>
      <w:szCs w:val="20"/>
    </w:rPr>
  </w:style>
  <w:style w:type="paragraph" w:customStyle="1" w:styleId="affffff3">
    <w:name w:val="表名"/>
    <w:basedOn w:val="1"/>
    <w:next w:val="a0"/>
    <w:autoRedefine/>
    <w:uiPriority w:val="99"/>
    <w:qFormat/>
    <w:pPr>
      <w:keepNext w:val="0"/>
      <w:keepLines w:val="0"/>
      <w:widowControl/>
      <w:overflowPunct w:val="0"/>
      <w:autoSpaceDE w:val="0"/>
      <w:autoSpaceDN w:val="0"/>
      <w:adjustRightInd w:val="0"/>
      <w:spacing w:before="60" w:after="0" w:line="480" w:lineRule="exact"/>
      <w:ind w:firstLineChars="177" w:firstLine="425"/>
      <w:jc w:val="center"/>
      <w:outlineLvl w:val="9"/>
    </w:pPr>
    <w:rPr>
      <w:rFonts w:ascii="黑体" w:eastAsia="黑体" w:hAnsi="Arial"/>
      <w:b w:val="0"/>
      <w:bCs w:val="0"/>
      <w:color w:val="000000"/>
      <w:kern w:val="0"/>
      <w:sz w:val="26"/>
      <w:szCs w:val="20"/>
    </w:rPr>
  </w:style>
  <w:style w:type="paragraph" w:customStyle="1" w:styleId="a70">
    <w:name w:val="a7"/>
    <w:basedOn w:val="1"/>
    <w:next w:val="a0"/>
    <w:autoRedefine/>
    <w:uiPriority w:val="99"/>
    <w:qFormat/>
    <w:pPr>
      <w:keepNext w:val="0"/>
      <w:keepLines w:val="0"/>
      <w:widowControl/>
      <w:overflowPunct w:val="0"/>
      <w:snapToGrid w:val="0"/>
      <w:spacing w:before="0" w:after="0" w:line="280" w:lineRule="atLeast"/>
      <w:ind w:firstLineChars="177" w:firstLine="425"/>
      <w:jc w:val="center"/>
      <w:outlineLvl w:val="9"/>
    </w:pPr>
    <w:rPr>
      <w:rFonts w:ascii="宋体" w:hAnsi="宋体"/>
      <w:b w:val="0"/>
      <w:bCs w:val="0"/>
      <w:kern w:val="0"/>
      <w:sz w:val="18"/>
      <w:szCs w:val="18"/>
    </w:rPr>
  </w:style>
  <w:style w:type="paragraph" w:customStyle="1" w:styleId="font9">
    <w:name w:val="font9"/>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b w:val="0"/>
      <w:bCs w:val="0"/>
      <w:color w:val="000000"/>
      <w:kern w:val="0"/>
      <w:sz w:val="24"/>
      <w:szCs w:val="21"/>
    </w:rPr>
  </w:style>
  <w:style w:type="paragraph" w:customStyle="1" w:styleId="ParaCharCharCharCharCharCharChar">
    <w:name w:val="默认段落字体 Para Char Char Char Char Char Char Char"/>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4"/>
    </w:rPr>
  </w:style>
  <w:style w:type="paragraph" w:customStyle="1" w:styleId="CharChar2CharChar">
    <w:name w:val="段落 Char Char2 Char Char"/>
    <w:basedOn w:val="1"/>
    <w:next w:val="a0"/>
    <w:autoRedefine/>
    <w:uiPriority w:val="99"/>
    <w:qFormat/>
    <w:pPr>
      <w:keepNext w:val="0"/>
      <w:keepLines w:val="0"/>
      <w:tabs>
        <w:tab w:val="left" w:pos="1021"/>
      </w:tabs>
      <w:spacing w:before="0" w:after="0" w:line="540" w:lineRule="exact"/>
      <w:ind w:firstLineChars="200" w:firstLine="480"/>
      <w:outlineLvl w:val="9"/>
    </w:pPr>
    <w:rPr>
      <w:rFonts w:ascii="宋体" w:hAnsi="宋体" w:cs="宋体"/>
      <w:b w:val="0"/>
      <w:bCs w:val="0"/>
      <w:kern w:val="24"/>
      <w:sz w:val="24"/>
      <w:szCs w:val="24"/>
    </w:rPr>
  </w:style>
  <w:style w:type="character" w:customStyle="1" w:styleId="Charf0">
    <w:name w:val="样式表 Char"/>
    <w:link w:val="affffff4"/>
    <w:qFormat/>
    <w:locked/>
    <w:rPr>
      <w:rFonts w:ascii="黑体" w:eastAsia="黑体" w:hAnsi="黑体" w:cs="宋体"/>
      <w:color w:val="000000"/>
      <w:spacing w:val="8"/>
      <w:sz w:val="24"/>
      <w:szCs w:val="24"/>
    </w:rPr>
  </w:style>
  <w:style w:type="paragraph" w:customStyle="1" w:styleId="affffff4">
    <w:name w:val="样式表"/>
    <w:basedOn w:val="ab"/>
    <w:next w:val="a0"/>
    <w:link w:val="Charf0"/>
    <w:autoRedefine/>
    <w:qFormat/>
    <w:pPr>
      <w:widowControl/>
      <w:spacing w:beforeLines="50"/>
      <w:ind w:firstLineChars="0" w:firstLine="0"/>
      <w:jc w:val="center"/>
    </w:pPr>
    <w:rPr>
      <w:rFonts w:ascii="黑体" w:eastAsia="黑体" w:hAnsi="黑体" w:cs="宋体"/>
      <w:spacing w:val="8"/>
      <w:sz w:val="24"/>
      <w:szCs w:val="24"/>
    </w:rPr>
  </w:style>
  <w:style w:type="paragraph" w:customStyle="1" w:styleId="1f0">
    <w:name w:val="正文文字进缩1"/>
    <w:basedOn w:val="1"/>
    <w:next w:val="a0"/>
    <w:autoRedefine/>
    <w:uiPriority w:val="99"/>
    <w:qFormat/>
    <w:pPr>
      <w:keepNext w:val="0"/>
      <w:keepLines w:val="0"/>
      <w:spacing w:before="0" w:after="0" w:line="360" w:lineRule="auto"/>
      <w:ind w:left="555" w:firstLineChars="177" w:firstLine="425"/>
      <w:outlineLvl w:val="9"/>
    </w:pPr>
    <w:rPr>
      <w:rFonts w:ascii="黑体" w:eastAsia="黑体"/>
      <w:bCs w:val="0"/>
      <w:kern w:val="2"/>
      <w:sz w:val="28"/>
      <w:szCs w:val="20"/>
    </w:rPr>
  </w:style>
  <w:style w:type="paragraph" w:customStyle="1" w:styleId="CharCharCharCharCharCharCharCharChar">
    <w:name w:val="Char Char Char Char Char Char Char Char Char"/>
    <w:basedOn w:val="1"/>
    <w:next w:val="a0"/>
    <w:autoRedefine/>
    <w:uiPriority w:val="99"/>
    <w:qFormat/>
    <w:pPr>
      <w:keepNext w:val="0"/>
      <w:keepLines w:val="0"/>
      <w:widowControl/>
      <w:spacing w:before="0" w:after="160" w:line="240" w:lineRule="exact"/>
      <w:ind w:firstLineChars="177" w:firstLine="425"/>
      <w:jc w:val="left"/>
      <w:outlineLvl w:val="9"/>
    </w:pPr>
    <w:rPr>
      <w:rFonts w:ascii="Verdana" w:eastAsia="仿宋_GB2312" w:hAnsi="Verdana"/>
      <w:b w:val="0"/>
      <w:bCs w:val="0"/>
      <w:kern w:val="0"/>
      <w:sz w:val="24"/>
      <w:szCs w:val="20"/>
      <w:lang w:eastAsia="en-US"/>
    </w:rPr>
  </w:style>
  <w:style w:type="paragraph" w:customStyle="1" w:styleId="line1">
    <w:name w:val="line1"/>
    <w:basedOn w:val="1"/>
    <w:next w:val="a0"/>
    <w:autoRedefine/>
    <w:uiPriority w:val="99"/>
    <w:qFormat/>
    <w:pPr>
      <w:keepNext w:val="0"/>
      <w:keepLines w:val="0"/>
      <w:widowControl/>
      <w:spacing w:before="100" w:beforeAutospacing="1" w:after="100" w:afterAutospacing="1" w:line="360" w:lineRule="atLeast"/>
      <w:ind w:firstLineChars="177" w:firstLine="425"/>
      <w:jc w:val="left"/>
      <w:outlineLvl w:val="9"/>
    </w:pPr>
    <w:rPr>
      <w:rFonts w:ascii="宋体" w:hAnsi="宋体"/>
      <w:b w:val="0"/>
      <w:bCs w:val="0"/>
      <w:kern w:val="0"/>
      <w:sz w:val="24"/>
      <w:szCs w:val="24"/>
    </w:rPr>
  </w:style>
  <w:style w:type="paragraph" w:customStyle="1" w:styleId="xl42">
    <w:name w:val="xl42"/>
    <w:basedOn w:val="1"/>
    <w:next w:val="a0"/>
    <w:autoRedefine/>
    <w:uiPriority w:val="99"/>
    <w:qFormat/>
    <w:pPr>
      <w:keepNext w:val="0"/>
      <w:keepLines w:val="0"/>
      <w:widowControl/>
      <w:pBdr>
        <w:left w:val="single" w:sz="8" w:space="0" w:color="auto"/>
        <w:bottom w:val="single" w:sz="8" w:space="0" w:color="auto"/>
        <w:right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affffff5">
    <w:name w:val="表中正文居中"/>
    <w:next w:val="a0"/>
    <w:autoRedefine/>
    <w:uiPriority w:val="99"/>
    <w:qFormat/>
    <w:pPr>
      <w:spacing w:before="120" w:after="120" w:line="240" w:lineRule="atLeast"/>
      <w:jc w:val="center"/>
    </w:pPr>
    <w:rPr>
      <w:rFonts w:ascii="宋体"/>
      <w:kern w:val="2"/>
      <w:sz w:val="21"/>
    </w:rPr>
  </w:style>
  <w:style w:type="character" w:customStyle="1" w:styleId="1-1Char">
    <w:name w:val="正文1-1 Char"/>
    <w:link w:val="1-1"/>
    <w:qFormat/>
    <w:locked/>
    <w:rPr>
      <w:rFonts w:ascii="宋体" w:eastAsia="仿宋_GB2312" w:hAnsi="宋体" w:cs="宋体"/>
      <w:sz w:val="28"/>
      <w:szCs w:val="24"/>
    </w:rPr>
  </w:style>
  <w:style w:type="paragraph" w:customStyle="1" w:styleId="1-1">
    <w:name w:val="正文1-1"/>
    <w:basedOn w:val="1"/>
    <w:next w:val="a0"/>
    <w:link w:val="1-1Char"/>
    <w:autoRedefine/>
    <w:qFormat/>
    <w:pPr>
      <w:keepNext w:val="0"/>
      <w:keepLines w:val="0"/>
      <w:widowControl/>
      <w:snapToGrid w:val="0"/>
      <w:spacing w:before="0" w:after="0" w:line="360" w:lineRule="auto"/>
      <w:ind w:firstLineChars="200" w:firstLine="200"/>
      <w:jc w:val="left"/>
      <w:outlineLvl w:val="9"/>
    </w:pPr>
    <w:rPr>
      <w:rFonts w:ascii="宋体" w:eastAsia="仿宋_GB2312" w:hAnsi="宋体" w:cs="宋体"/>
      <w:b w:val="0"/>
      <w:bCs w:val="0"/>
      <w:kern w:val="2"/>
      <w:sz w:val="28"/>
      <w:szCs w:val="24"/>
    </w:rPr>
  </w:style>
  <w:style w:type="paragraph" w:customStyle="1" w:styleId="xl40">
    <w:name w:val="xl40"/>
    <w:basedOn w:val="1"/>
    <w:next w:val="a0"/>
    <w:autoRedefine/>
    <w:uiPriority w:val="99"/>
    <w:qFormat/>
    <w:pPr>
      <w:keepNext w:val="0"/>
      <w:keepLines w:val="0"/>
      <w:widowControl/>
      <w:pBdr>
        <w:left w:val="single" w:sz="12" w:space="0" w:color="auto"/>
      </w:pBdr>
      <w:spacing w:before="100" w:beforeAutospacing="1" w:after="100" w:afterAutospacing="1" w:line="500" w:lineRule="atLeast"/>
      <w:ind w:firstLineChars="177" w:firstLine="425"/>
      <w:jc w:val="center"/>
      <w:outlineLvl w:val="9"/>
    </w:pPr>
    <w:rPr>
      <w:rFonts w:ascii="宋体" w:hAnsi="宋体" w:cs="宋体"/>
      <w:b w:val="0"/>
      <w:bCs w:val="0"/>
      <w:kern w:val="0"/>
      <w:sz w:val="24"/>
      <w:szCs w:val="24"/>
    </w:rPr>
  </w:style>
  <w:style w:type="paragraph" w:customStyle="1" w:styleId="affffff6">
    <w:name w:val="自定义缩进"/>
    <w:basedOn w:val="1"/>
    <w:next w:val="a0"/>
    <w:autoRedefine/>
    <w:uiPriority w:val="99"/>
    <w:qFormat/>
    <w:pPr>
      <w:keepLines w:val="0"/>
      <w:spacing w:before="0" w:after="0" w:line="336" w:lineRule="auto"/>
      <w:ind w:firstLineChars="200" w:firstLine="480"/>
      <w:jc w:val="left"/>
      <w:outlineLvl w:val="9"/>
    </w:pPr>
    <w:rPr>
      <w:rFonts w:ascii="宋体" w:hAnsi="宋体"/>
      <w:b w:val="0"/>
      <w:bCs w:val="0"/>
      <w:kern w:val="0"/>
      <w:sz w:val="24"/>
      <w:szCs w:val="20"/>
    </w:rPr>
  </w:style>
  <w:style w:type="paragraph" w:customStyle="1" w:styleId="xl57">
    <w:name w:val="xl57"/>
    <w:basedOn w:val="1"/>
    <w:next w:val="a0"/>
    <w:autoRedefine/>
    <w:uiPriority w:val="99"/>
    <w:qFormat/>
    <w:pPr>
      <w:keepNext w:val="0"/>
      <w:keepLines w:val="0"/>
      <w:widowControl/>
      <w:pBdr>
        <w:top w:val="single" w:sz="12" w:space="0" w:color="auto"/>
        <w:bottom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character" w:customStyle="1" w:styleId="Char1a">
    <w:name w:val="日期 Char1"/>
    <w:basedOn w:val="a1"/>
    <w:uiPriority w:val="99"/>
    <w:semiHidden/>
    <w:qFormat/>
    <w:rPr>
      <w:rFonts w:ascii="Times New Roman" w:eastAsia="宋体" w:hAnsi="Times New Roman" w:cs="Times New Roman"/>
      <w:szCs w:val="24"/>
    </w:rPr>
  </w:style>
  <w:style w:type="paragraph" w:customStyle="1" w:styleId="affffff7">
    <w:name w:val="样式 日期 + 宋体"/>
    <w:basedOn w:val="af6"/>
    <w:next w:val="a0"/>
    <w:autoRedefine/>
    <w:uiPriority w:val="99"/>
    <w:qFormat/>
    <w:pPr>
      <w:widowControl/>
      <w:overflowPunct w:val="0"/>
      <w:autoSpaceDE w:val="0"/>
      <w:autoSpaceDN w:val="0"/>
      <w:adjustRightInd w:val="0"/>
      <w:spacing w:line="480" w:lineRule="exact"/>
      <w:ind w:leftChars="0" w:left="0" w:firstLineChars="177" w:firstLine="425"/>
    </w:pPr>
    <w:rPr>
      <w:rFonts w:ascii="宋体" w:hAnsi="宋体"/>
      <w:color w:val="000000"/>
      <w:kern w:val="0"/>
      <w:sz w:val="28"/>
      <w:szCs w:val="20"/>
      <w:lang w:val="en-GB"/>
    </w:rPr>
  </w:style>
  <w:style w:type="paragraph" w:customStyle="1" w:styleId="font7">
    <w:name w:val="font7"/>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color w:val="000000"/>
      <w:kern w:val="0"/>
      <w:sz w:val="24"/>
      <w:szCs w:val="21"/>
    </w:rPr>
  </w:style>
  <w:style w:type="paragraph" w:customStyle="1" w:styleId="2f6">
    <w:name w:val="样式 标题2　自动设置"/>
    <w:basedOn w:val="20"/>
    <w:next w:val="a0"/>
    <w:autoRedefine/>
    <w:uiPriority w:val="99"/>
    <w:qFormat/>
    <w:pPr>
      <w:tabs>
        <w:tab w:val="left" w:pos="1710"/>
      </w:tabs>
      <w:spacing w:before="0" w:after="60" w:line="240" w:lineRule="auto"/>
      <w:ind w:left="1710" w:firstLineChars="177" w:hanging="720"/>
    </w:pPr>
    <w:rPr>
      <w:rFonts w:ascii="宋体" w:eastAsia="宋体" w:hAnsi="宋体" w:cs="宋体"/>
      <w:color w:val="000000"/>
      <w:kern w:val="0"/>
      <w:sz w:val="28"/>
      <w:szCs w:val="20"/>
    </w:rPr>
  </w:style>
  <w:style w:type="paragraph" w:customStyle="1" w:styleId="121">
    <w:name w:val="样式 段落1 + 首行缩进:  2 字符"/>
    <w:basedOn w:val="1f"/>
    <w:next w:val="a0"/>
    <w:autoRedefine/>
    <w:uiPriority w:val="99"/>
    <w:qFormat/>
    <w:pPr>
      <w:spacing w:line="480" w:lineRule="exact"/>
      <w:ind w:firstLine="504"/>
      <w:jc w:val="left"/>
    </w:pPr>
    <w:rPr>
      <w:rFonts w:cs="宋体"/>
      <w:sz w:val="24"/>
    </w:rPr>
  </w:style>
  <w:style w:type="character" w:customStyle="1" w:styleId="cucd-4CharChar">
    <w:name w:val="cucd-4 Char Char"/>
    <w:link w:val="cucd-4"/>
    <w:qFormat/>
    <w:locked/>
    <w:rPr>
      <w:b/>
      <w:sz w:val="24"/>
      <w:szCs w:val="24"/>
    </w:rPr>
  </w:style>
  <w:style w:type="paragraph" w:customStyle="1" w:styleId="cucd-4">
    <w:name w:val="cucd-4"/>
    <w:next w:val="cucd-0"/>
    <w:link w:val="cucd-4CharChar"/>
    <w:autoRedefine/>
    <w:qFormat/>
    <w:pPr>
      <w:tabs>
        <w:tab w:val="left" w:pos="0"/>
      </w:tabs>
      <w:spacing w:line="360" w:lineRule="auto"/>
      <w:outlineLvl w:val="3"/>
    </w:pPr>
    <w:rPr>
      <w:rFonts w:asciiTheme="minorHAnsi" w:eastAsiaTheme="minorEastAsia" w:hAnsiTheme="minorHAnsi" w:cstheme="minorBidi"/>
      <w:b/>
      <w:kern w:val="2"/>
      <w:sz w:val="24"/>
      <w:szCs w:val="24"/>
    </w:rPr>
  </w:style>
  <w:style w:type="paragraph" w:customStyle="1" w:styleId="cucd-0">
    <w:name w:val="cucd-0"/>
    <w:next w:val="a0"/>
    <w:link w:val="cucd-0Char1"/>
    <w:autoRedefine/>
    <w:uiPriority w:val="99"/>
    <w:qFormat/>
    <w:pPr>
      <w:spacing w:line="360" w:lineRule="auto"/>
      <w:ind w:firstLineChars="200" w:firstLine="480"/>
    </w:pPr>
    <w:rPr>
      <w:rFonts w:ascii="Calibri" w:hAnsi="Calibri"/>
      <w:kern w:val="2"/>
      <w:sz w:val="24"/>
      <w:szCs w:val="24"/>
    </w:rPr>
  </w:style>
  <w:style w:type="character" w:customStyle="1" w:styleId="cucd-0Char1">
    <w:name w:val="cucd-0 Char1"/>
    <w:link w:val="cucd-0"/>
    <w:uiPriority w:val="99"/>
    <w:qFormat/>
    <w:locked/>
    <w:rPr>
      <w:rFonts w:ascii="Calibri" w:eastAsia="宋体" w:hAnsi="Calibri" w:cs="Times New Roman"/>
      <w:sz w:val="24"/>
      <w:szCs w:val="24"/>
    </w:rPr>
  </w:style>
  <w:style w:type="paragraph" w:customStyle="1" w:styleId="affffff8">
    <w:name w:val="居中正文"/>
    <w:basedOn w:val="aff6"/>
    <w:next w:val="a0"/>
    <w:autoRedefine/>
    <w:uiPriority w:val="99"/>
    <w:qFormat/>
    <w:pPr>
      <w:adjustRightInd w:val="0"/>
      <w:spacing w:before="120" w:after="0" w:line="360" w:lineRule="auto"/>
      <w:ind w:firstLineChars="0" w:firstLine="0"/>
      <w:jc w:val="center"/>
    </w:pPr>
    <w:rPr>
      <w:rFonts w:hAnsi="Calibri"/>
      <w:kern w:val="28"/>
      <w:szCs w:val="20"/>
    </w:rPr>
  </w:style>
  <w:style w:type="paragraph" w:customStyle="1" w:styleId="MTDisplayEquation">
    <w:name w:val="MTDisplayEquation"/>
    <w:basedOn w:val="1"/>
    <w:next w:val="a0"/>
    <w:autoRedefine/>
    <w:uiPriority w:val="99"/>
    <w:qFormat/>
    <w:pPr>
      <w:keepNext w:val="0"/>
      <w:keepLines w:val="0"/>
      <w:tabs>
        <w:tab w:val="center" w:pos="4160"/>
        <w:tab w:val="right" w:pos="8300"/>
      </w:tabs>
      <w:spacing w:before="0" w:after="0" w:line="500" w:lineRule="atLeast"/>
      <w:ind w:firstLineChars="200" w:firstLine="420"/>
      <w:outlineLvl w:val="9"/>
    </w:pPr>
    <w:rPr>
      <w:rFonts w:ascii="宋体" w:hAnsi="宋体"/>
      <w:b w:val="0"/>
      <w:bCs w:val="0"/>
      <w:kern w:val="2"/>
      <w:sz w:val="24"/>
      <w:szCs w:val="24"/>
    </w:rPr>
  </w:style>
  <w:style w:type="paragraph" w:customStyle="1" w:styleId="font11">
    <w:name w:val="font11"/>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color w:val="000000"/>
      <w:kern w:val="0"/>
      <w:sz w:val="18"/>
      <w:szCs w:val="18"/>
    </w:rPr>
  </w:style>
  <w:style w:type="paragraph" w:customStyle="1" w:styleId="2f7">
    <w:name w:val="正文 + 首行缩进:  2 字符"/>
    <w:basedOn w:val="1"/>
    <w:next w:val="a0"/>
    <w:autoRedefine/>
    <w:uiPriority w:val="99"/>
    <w:qFormat/>
    <w:pPr>
      <w:keepNext w:val="0"/>
      <w:keepLines w:val="0"/>
      <w:spacing w:before="0" w:after="0" w:line="460" w:lineRule="atLeast"/>
      <w:ind w:firstLineChars="200" w:firstLine="528"/>
      <w:outlineLvl w:val="9"/>
    </w:pPr>
    <w:rPr>
      <w:b w:val="0"/>
      <w:bCs w:val="0"/>
      <w:spacing w:val="12"/>
      <w:kern w:val="2"/>
      <w:sz w:val="24"/>
      <w:szCs w:val="20"/>
    </w:rPr>
  </w:style>
  <w:style w:type="paragraph" w:customStyle="1" w:styleId="a30">
    <w:name w:val="a3"/>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b w:val="0"/>
      <w:bCs w:val="0"/>
      <w:color w:val="000000"/>
      <w:kern w:val="0"/>
      <w:sz w:val="24"/>
      <w:szCs w:val="20"/>
    </w:rPr>
  </w:style>
  <w:style w:type="paragraph" w:customStyle="1" w:styleId="205">
    <w:name w:val="样式 标题 2节 + 行距: 多倍行距 0.5 字行"/>
    <w:basedOn w:val="20"/>
    <w:next w:val="a0"/>
    <w:autoRedefine/>
    <w:uiPriority w:val="99"/>
    <w:qFormat/>
    <w:pPr>
      <w:spacing w:before="0" w:after="80" w:line="300" w:lineRule="auto"/>
      <w:ind w:left="576" w:firstLineChars="177" w:hanging="576"/>
    </w:pPr>
    <w:rPr>
      <w:rFonts w:ascii="Arial" w:eastAsia="宋体" w:hAnsi="Arial" w:cs="黑体"/>
      <w:sz w:val="28"/>
      <w:szCs w:val="28"/>
    </w:rPr>
  </w:style>
  <w:style w:type="paragraph" w:customStyle="1" w:styleId="3d">
    <w:name w:val="样式3"/>
    <w:basedOn w:val="3"/>
    <w:next w:val="a0"/>
    <w:autoRedefine/>
    <w:uiPriority w:val="99"/>
    <w:qFormat/>
    <w:pPr>
      <w:keepNext w:val="0"/>
      <w:keepLines w:val="0"/>
      <w:tabs>
        <w:tab w:val="left" w:pos="3930"/>
        <w:tab w:val="left" w:pos="5775"/>
      </w:tabs>
      <w:snapToGrid w:val="0"/>
      <w:spacing w:before="240" w:after="0" w:line="240" w:lineRule="auto"/>
      <w:outlineLvl w:val="9"/>
    </w:pPr>
    <w:rPr>
      <w:rFonts w:ascii="楷体_GB2312" w:eastAsia="黑体" w:hAnsi="Times New Roman" w:cs="Times New Roman"/>
      <w:b/>
      <w:color w:val="000000"/>
      <w:kern w:val="0"/>
      <w:sz w:val="28"/>
      <w:szCs w:val="20"/>
    </w:rPr>
  </w:style>
  <w:style w:type="character" w:customStyle="1" w:styleId="1CharChar1">
    <w:name w:val="段落1 Char Char1"/>
    <w:link w:val="1Char2"/>
    <w:qFormat/>
    <w:locked/>
    <w:rPr>
      <w:rFonts w:ascii="宋体" w:eastAsia="宋体" w:hAnsi="宋体"/>
      <w:spacing w:val="8"/>
      <w:sz w:val="24"/>
    </w:rPr>
  </w:style>
  <w:style w:type="paragraph" w:customStyle="1" w:styleId="1Char2">
    <w:name w:val="段落1 Char"/>
    <w:basedOn w:val="1"/>
    <w:next w:val="a0"/>
    <w:link w:val="1CharChar1"/>
    <w:autoRedefine/>
    <w:qFormat/>
    <w:pPr>
      <w:keepNext w:val="0"/>
      <w:keepLines w:val="0"/>
      <w:adjustRightInd w:val="0"/>
      <w:spacing w:before="0" w:after="0" w:line="440" w:lineRule="exact"/>
      <w:ind w:firstLineChars="200" w:firstLine="200"/>
      <w:outlineLvl w:val="9"/>
    </w:pPr>
    <w:rPr>
      <w:rFonts w:ascii="宋体" w:hAnsi="宋体" w:cstheme="minorBidi"/>
      <w:b w:val="0"/>
      <w:bCs w:val="0"/>
      <w:spacing w:val="8"/>
      <w:kern w:val="2"/>
      <w:sz w:val="24"/>
      <w:szCs w:val="22"/>
    </w:rPr>
  </w:style>
  <w:style w:type="paragraph" w:customStyle="1" w:styleId="xl36">
    <w:name w:val="xl36"/>
    <w:basedOn w:val="1"/>
    <w:next w:val="a0"/>
    <w:autoRedefine/>
    <w:uiPriority w:val="99"/>
    <w:qFormat/>
    <w:pPr>
      <w:keepNext w:val="0"/>
      <w:keepLines w:val="0"/>
      <w:widowControl/>
      <w:pBdr>
        <w:bottom w:val="single" w:sz="4" w:space="0" w:color="auto"/>
        <w:right w:val="single" w:sz="4" w:space="0" w:color="auto"/>
      </w:pBdr>
      <w:spacing w:before="100" w:beforeAutospacing="1" w:after="100" w:afterAutospacing="1" w:line="500" w:lineRule="atLeast"/>
      <w:ind w:firstLineChars="177" w:firstLine="425"/>
      <w:outlineLvl w:val="9"/>
    </w:pPr>
    <w:rPr>
      <w:rFonts w:ascii="楷体_GB2312" w:eastAsia="楷体_GB2312" w:hAnsi="Arial Unicode MS"/>
      <w:b w:val="0"/>
      <w:bCs w:val="0"/>
      <w:kern w:val="0"/>
      <w:sz w:val="24"/>
      <w:szCs w:val="24"/>
    </w:rPr>
  </w:style>
  <w:style w:type="character" w:customStyle="1" w:styleId="CharChar1">
    <w:name w:val="正文(首行缩进)宋旭峰 Char Char"/>
    <w:link w:val="affffff9"/>
    <w:qFormat/>
    <w:locked/>
    <w:rPr>
      <w:snapToGrid w:val="0"/>
      <w:sz w:val="24"/>
      <w:szCs w:val="24"/>
    </w:rPr>
  </w:style>
  <w:style w:type="paragraph" w:customStyle="1" w:styleId="affffff9">
    <w:name w:val="正文(首行缩进)宋旭峰"/>
    <w:basedOn w:val="a9"/>
    <w:next w:val="a0"/>
    <w:link w:val="CharChar1"/>
    <w:autoRedefine/>
    <w:qFormat/>
    <w:pPr>
      <w:adjustRightInd/>
      <w:spacing w:line="360" w:lineRule="auto"/>
      <w:ind w:firstLineChars="177" w:firstLine="480"/>
      <w:contextualSpacing/>
    </w:pPr>
    <w:rPr>
      <w:rFonts w:asciiTheme="minorHAnsi" w:eastAsiaTheme="minorEastAsia"/>
      <w:snapToGrid w:val="0"/>
      <w:sz w:val="24"/>
    </w:rPr>
  </w:style>
  <w:style w:type="paragraph" w:customStyle="1" w:styleId="affffffa">
    <w:name w:val="标准"/>
    <w:basedOn w:val="1"/>
    <w:next w:val="a0"/>
    <w:autoRedefine/>
    <w:uiPriority w:val="99"/>
    <w:qFormat/>
    <w:pPr>
      <w:keepLines w:val="0"/>
      <w:adjustRightInd w:val="0"/>
      <w:snapToGrid w:val="0"/>
      <w:spacing w:before="0" w:after="0" w:line="312" w:lineRule="atLeast"/>
      <w:ind w:firstLineChars="177" w:firstLine="590"/>
      <w:outlineLvl w:val="9"/>
    </w:pPr>
    <w:rPr>
      <w:b w:val="0"/>
      <w:bCs w:val="0"/>
      <w:kern w:val="0"/>
      <w:sz w:val="28"/>
      <w:szCs w:val="20"/>
    </w:rPr>
  </w:style>
  <w:style w:type="paragraph" w:customStyle="1" w:styleId="240">
    <w:name w:val="样式 正文文本缩进 + 行距: 固定值 24 磅"/>
    <w:basedOn w:val="a4"/>
    <w:next w:val="a0"/>
    <w:autoRedefine/>
    <w:uiPriority w:val="99"/>
    <w:qFormat/>
    <w:pPr>
      <w:adjustRightInd w:val="0"/>
      <w:snapToGrid w:val="0"/>
      <w:spacing w:line="360" w:lineRule="auto"/>
      <w:ind w:firstLine="560"/>
    </w:pPr>
    <w:rPr>
      <w:rFonts w:ascii="宋体" w:cs="宋体"/>
    </w:rPr>
  </w:style>
  <w:style w:type="paragraph" w:customStyle="1" w:styleId="affffffb">
    <w:name w:val="表后空行"/>
    <w:basedOn w:val="1"/>
    <w:next w:val="a0"/>
    <w:autoRedefine/>
    <w:uiPriority w:val="99"/>
    <w:qFormat/>
    <w:pPr>
      <w:keepNext w:val="0"/>
      <w:keepLines w:val="0"/>
      <w:overflowPunct w:val="0"/>
      <w:adjustRightInd w:val="0"/>
      <w:spacing w:before="0" w:after="0" w:line="500" w:lineRule="atLeast"/>
      <w:ind w:firstLineChars="177" w:firstLine="425"/>
      <w:outlineLvl w:val="9"/>
    </w:pPr>
    <w:rPr>
      <w:b w:val="0"/>
      <w:bCs w:val="0"/>
      <w:color w:val="000000"/>
      <w:kern w:val="28"/>
      <w:sz w:val="10"/>
      <w:szCs w:val="20"/>
    </w:rPr>
  </w:style>
  <w:style w:type="paragraph" w:customStyle="1" w:styleId="xl37">
    <w:name w:val="xl37"/>
    <w:basedOn w:val="1"/>
    <w:next w:val="a0"/>
    <w:autoRedefine/>
    <w:uiPriority w:val="99"/>
    <w:qFormat/>
    <w:pPr>
      <w:keepNext w:val="0"/>
      <w:keepLines w:val="0"/>
      <w:widowControl/>
      <w:pBdr>
        <w:bottom w:val="single" w:sz="8"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character" w:customStyle="1" w:styleId="10Char">
    <w:name w:val="正文样式10 Char"/>
    <w:link w:val="100"/>
    <w:qFormat/>
    <w:locked/>
    <w:rPr>
      <w:rFonts w:ascii="宋体" w:eastAsia="宋体" w:hAnsi="宋体" w:cs="Arial"/>
      <w:bCs/>
      <w:color w:val="FF00FF"/>
      <w:sz w:val="24"/>
      <w:lang w:val="zh-CN"/>
    </w:rPr>
  </w:style>
  <w:style w:type="paragraph" w:customStyle="1" w:styleId="100">
    <w:name w:val="正文样式10"/>
    <w:basedOn w:val="1"/>
    <w:next w:val="a0"/>
    <w:link w:val="10Char"/>
    <w:autoRedefine/>
    <w:qFormat/>
    <w:pPr>
      <w:keepNext w:val="0"/>
      <w:keepLines w:val="0"/>
      <w:spacing w:before="0" w:after="0" w:line="500" w:lineRule="exact"/>
      <w:ind w:firstLineChars="200" w:firstLine="480"/>
      <w:outlineLvl w:val="9"/>
    </w:pPr>
    <w:rPr>
      <w:rFonts w:ascii="宋体" w:hAnsi="宋体" w:cs="Arial"/>
      <w:b w:val="0"/>
      <w:color w:val="FF00FF"/>
      <w:kern w:val="2"/>
      <w:sz w:val="24"/>
      <w:szCs w:val="22"/>
      <w:lang w:val="zh-CN"/>
    </w:rPr>
  </w:style>
  <w:style w:type="paragraph" w:customStyle="1" w:styleId="151">
    <w:name w:val="15"/>
    <w:basedOn w:val="1"/>
    <w:next w:val="a0"/>
    <w:autoRedefine/>
    <w:uiPriority w:val="99"/>
    <w:qFormat/>
    <w:pPr>
      <w:keepNext w:val="0"/>
      <w:keepLines w:val="0"/>
      <w:widowControl/>
      <w:snapToGrid w:val="0"/>
      <w:spacing w:before="100" w:beforeAutospacing="1" w:after="100" w:afterAutospacing="1" w:line="500" w:lineRule="atLeast"/>
      <w:ind w:firstLineChars="177" w:firstLine="425"/>
      <w:jc w:val="left"/>
      <w:outlineLvl w:val="9"/>
    </w:pPr>
    <w:rPr>
      <w:b w:val="0"/>
      <w:bCs w:val="0"/>
      <w:kern w:val="0"/>
      <w:sz w:val="20"/>
      <w:szCs w:val="20"/>
    </w:rPr>
  </w:style>
  <w:style w:type="paragraph" w:customStyle="1" w:styleId="affffffc">
    <w:name w:val="标准正文"/>
    <w:basedOn w:val="1"/>
    <w:next w:val="a0"/>
    <w:autoRedefine/>
    <w:uiPriority w:val="99"/>
    <w:qFormat/>
    <w:pPr>
      <w:keepNext w:val="0"/>
      <w:keepLines w:val="0"/>
      <w:spacing w:before="0" w:after="0" w:line="400" w:lineRule="exact"/>
      <w:ind w:firstLineChars="177" w:firstLine="480"/>
      <w:outlineLvl w:val="9"/>
    </w:pPr>
    <w:rPr>
      <w:b w:val="0"/>
      <w:bCs w:val="0"/>
      <w:kern w:val="2"/>
      <w:sz w:val="24"/>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2f8">
    <w:name w:val="样式 表格文字 + 首行缩进:  2 字符"/>
    <w:basedOn w:val="affff7"/>
    <w:next w:val="a0"/>
    <w:autoRedefine/>
    <w:uiPriority w:val="99"/>
    <w:qFormat/>
    <w:pPr>
      <w:adjustRightInd w:val="0"/>
      <w:snapToGrid w:val="0"/>
    </w:pPr>
    <w:rPr>
      <w:rFonts w:hAnsi="MS Shell Dlg"/>
      <w:kern w:val="0"/>
      <w:szCs w:val="20"/>
    </w:rPr>
  </w:style>
  <w:style w:type="paragraph" w:customStyle="1" w:styleId="xl29">
    <w:name w:val="xl29"/>
    <w:basedOn w:val="1"/>
    <w:next w:val="a0"/>
    <w:autoRedefine/>
    <w:uiPriority w:val="99"/>
    <w:qFormat/>
    <w:pPr>
      <w:keepNext w:val="0"/>
      <w:keepLines w:val="0"/>
      <w:widowControl/>
      <w:pBdr>
        <w:left w:val="single" w:sz="4" w:space="0" w:color="auto"/>
        <w:bottom w:val="single" w:sz="4" w:space="0" w:color="auto"/>
      </w:pBdr>
      <w:spacing w:before="100" w:beforeAutospacing="1" w:after="100" w:afterAutospacing="1" w:line="500" w:lineRule="atLeast"/>
      <w:ind w:firstLineChars="177" w:firstLine="425"/>
      <w:jc w:val="center"/>
      <w:outlineLvl w:val="9"/>
    </w:pPr>
    <w:rPr>
      <w:rFonts w:ascii="宋体" w:hAnsi="宋体"/>
      <w:b w:val="0"/>
      <w:bCs w:val="0"/>
      <w:kern w:val="0"/>
      <w:sz w:val="24"/>
      <w:szCs w:val="24"/>
    </w:rPr>
  </w:style>
  <w:style w:type="paragraph" w:customStyle="1" w:styleId="xl22">
    <w:name w:val="xl22"/>
    <w:basedOn w:val="1"/>
    <w:next w:val="a0"/>
    <w:autoRedefine/>
    <w:uiPriority w:val="99"/>
    <w:qFormat/>
    <w:pPr>
      <w:keepNext w:val="0"/>
      <w:keepLines w:val="0"/>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xl55">
    <w:name w:val="xl55"/>
    <w:basedOn w:val="1"/>
    <w:next w:val="a0"/>
    <w:autoRedefine/>
    <w:uiPriority w:val="99"/>
    <w:qFormat/>
    <w:pPr>
      <w:keepNext w:val="0"/>
      <w:keepLines w:val="0"/>
      <w:widowControl/>
      <w:pBdr>
        <w:left w:val="single" w:sz="12" w:space="0" w:color="auto"/>
        <w:bottom w:val="single" w:sz="8" w:space="0" w:color="auto"/>
        <w:right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xl53">
    <w:name w:val="xl53"/>
    <w:basedOn w:val="1"/>
    <w:next w:val="a0"/>
    <w:autoRedefine/>
    <w:uiPriority w:val="99"/>
    <w:qFormat/>
    <w:pPr>
      <w:keepNext w:val="0"/>
      <w:keepLines w:val="0"/>
      <w:widowControl/>
      <w:pBdr>
        <w:left w:val="single" w:sz="8" w:space="0" w:color="auto"/>
        <w:bottom w:val="single" w:sz="8" w:space="0" w:color="auto"/>
        <w:right w:val="single" w:sz="12"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affffffd">
    <w:name w:val="正文段落"/>
    <w:next w:val="a0"/>
    <w:autoRedefine/>
    <w:uiPriority w:val="99"/>
    <w:qFormat/>
    <w:pPr>
      <w:spacing w:beforeLines="50"/>
      <w:ind w:firstLineChars="200" w:firstLine="505"/>
    </w:pPr>
    <w:rPr>
      <w:kern w:val="2"/>
      <w:sz w:val="24"/>
    </w:rPr>
  </w:style>
  <w:style w:type="paragraph" w:customStyle="1" w:styleId="textstyle1">
    <w:name w:val="textstyle1"/>
    <w:basedOn w:val="1"/>
    <w:next w:val="a0"/>
    <w:autoRedefine/>
    <w:uiPriority w:val="99"/>
    <w:qFormat/>
    <w:pPr>
      <w:keepNext w:val="0"/>
      <w:keepLines w:val="0"/>
      <w:widowControl/>
      <w:numPr>
        <w:numId w:val="4"/>
      </w:numPr>
      <w:overflowPunct w:val="0"/>
      <w:autoSpaceDE w:val="0"/>
      <w:autoSpaceDN w:val="0"/>
      <w:adjustRightInd w:val="0"/>
      <w:spacing w:before="120" w:after="0" w:line="500" w:lineRule="atLeast"/>
      <w:ind w:left="288" w:firstLineChars="177" w:firstLine="432"/>
      <w:outlineLvl w:val="9"/>
    </w:pPr>
    <w:rPr>
      <w:rFonts w:ascii="楷体" w:eastAsia="楷体"/>
      <w:b w:val="0"/>
      <w:bCs w:val="0"/>
      <w:kern w:val="0"/>
      <w:sz w:val="24"/>
      <w:szCs w:val="20"/>
    </w:rPr>
  </w:style>
  <w:style w:type="paragraph" w:customStyle="1" w:styleId="311">
    <w:name w:val="正文文本 31"/>
    <w:basedOn w:val="1"/>
    <w:next w:val="a0"/>
    <w:autoRedefine/>
    <w:uiPriority w:val="99"/>
    <w:qFormat/>
    <w:pPr>
      <w:keepNext w:val="0"/>
      <w:keepLines w:val="0"/>
      <w:adjustRightInd w:val="0"/>
      <w:spacing w:before="0" w:after="0" w:line="360" w:lineRule="atLeast"/>
      <w:ind w:firstLineChars="177" w:firstLine="425"/>
      <w:jc w:val="center"/>
      <w:outlineLvl w:val="9"/>
    </w:pPr>
    <w:rPr>
      <w:rFonts w:ascii="仿宋体" w:eastAsia="仿宋体" w:hAnsi="宋体"/>
      <w:b w:val="0"/>
      <w:bCs w:val="0"/>
      <w:kern w:val="0"/>
      <w:sz w:val="24"/>
      <w:szCs w:val="20"/>
    </w:rPr>
  </w:style>
  <w:style w:type="paragraph" w:customStyle="1" w:styleId="Charf1">
    <w:name w:val="样式 Char"/>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1"/>
    </w:rPr>
  </w:style>
  <w:style w:type="paragraph" w:customStyle="1" w:styleId="xl52">
    <w:name w:val="xl52"/>
    <w:basedOn w:val="1"/>
    <w:next w:val="a0"/>
    <w:autoRedefine/>
    <w:uiPriority w:val="99"/>
    <w:qFormat/>
    <w:pPr>
      <w:keepNext w:val="0"/>
      <w:keepLines w:val="0"/>
      <w:widowControl/>
      <w:pBdr>
        <w:top w:val="single" w:sz="12" w:space="0" w:color="auto"/>
        <w:left w:val="single" w:sz="8" w:space="0" w:color="auto"/>
        <w:right w:val="single" w:sz="12"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1f1">
    <w:name w:val="表格1"/>
    <w:basedOn w:val="1"/>
    <w:next w:val="a0"/>
    <w:autoRedefine/>
    <w:uiPriority w:val="99"/>
    <w:qFormat/>
    <w:pPr>
      <w:keepNext w:val="0"/>
      <w:keepLines w:val="0"/>
      <w:adjustRightInd w:val="0"/>
      <w:spacing w:before="0" w:after="120" w:line="20" w:lineRule="atLeast"/>
      <w:ind w:firstLineChars="177" w:firstLine="425"/>
      <w:jc w:val="center"/>
      <w:outlineLvl w:val="9"/>
    </w:pPr>
    <w:rPr>
      <w:rFonts w:ascii="仿宋体"/>
      <w:b w:val="0"/>
      <w:bCs w:val="0"/>
      <w:color w:val="000000"/>
      <w:kern w:val="0"/>
      <w:sz w:val="24"/>
      <w:szCs w:val="20"/>
    </w:rPr>
  </w:style>
  <w:style w:type="paragraph" w:customStyle="1" w:styleId="xl47">
    <w:name w:val="xl47"/>
    <w:basedOn w:val="1"/>
    <w:next w:val="a0"/>
    <w:autoRedefine/>
    <w:uiPriority w:val="99"/>
    <w:qFormat/>
    <w:pPr>
      <w:keepNext w:val="0"/>
      <w:keepLines w:val="0"/>
      <w:widowControl/>
      <w:pBdr>
        <w:top w:val="single" w:sz="8" w:space="0" w:color="auto"/>
        <w:left w:val="single" w:sz="12"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1f2">
    <w:name w:val="列出段落1"/>
    <w:basedOn w:val="1"/>
    <w:next w:val="a0"/>
    <w:autoRedefine/>
    <w:uiPriority w:val="99"/>
    <w:qFormat/>
    <w:pPr>
      <w:keepNext w:val="0"/>
      <w:keepLines w:val="0"/>
      <w:widowControl/>
      <w:spacing w:before="0" w:after="0" w:line="500" w:lineRule="atLeast"/>
      <w:ind w:firstLineChars="200" w:firstLine="420"/>
      <w:jc w:val="left"/>
      <w:outlineLvl w:val="9"/>
    </w:pPr>
    <w:rPr>
      <w:b w:val="0"/>
      <w:bCs w:val="0"/>
      <w:kern w:val="0"/>
      <w:sz w:val="24"/>
      <w:szCs w:val="24"/>
    </w:rPr>
  </w:style>
  <w:style w:type="paragraph" w:customStyle="1" w:styleId="xl33">
    <w:name w:val="xl33"/>
    <w:basedOn w:val="1"/>
    <w:next w:val="a0"/>
    <w:autoRedefine/>
    <w:uiPriority w:val="99"/>
    <w:qFormat/>
    <w:pPr>
      <w:keepNext w:val="0"/>
      <w:keepLines w:val="0"/>
      <w:widowControl/>
      <w:pBdr>
        <w:left w:val="single" w:sz="12"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1f3">
    <w:name w:val="样式 标题 1 + 自动设置"/>
    <w:basedOn w:val="1"/>
    <w:next w:val="a0"/>
    <w:autoRedefine/>
    <w:uiPriority w:val="99"/>
    <w:qFormat/>
    <w:pPr>
      <w:tabs>
        <w:tab w:val="left" w:pos="432"/>
        <w:tab w:val="left" w:pos="700"/>
        <w:tab w:val="left" w:pos="1860"/>
      </w:tabs>
      <w:autoSpaceDE w:val="0"/>
      <w:autoSpaceDN w:val="0"/>
      <w:adjustRightInd w:val="0"/>
      <w:spacing w:before="0" w:after="0" w:line="240" w:lineRule="auto"/>
      <w:ind w:left="1860" w:firstLineChars="177" w:hanging="1290"/>
      <w:jc w:val="left"/>
    </w:pPr>
    <w:rPr>
      <w:sz w:val="28"/>
      <w:szCs w:val="20"/>
    </w:rPr>
  </w:style>
  <w:style w:type="paragraph" w:customStyle="1" w:styleId="1f4">
    <w:name w:val="页脚1"/>
    <w:basedOn w:val="17"/>
    <w:next w:val="a0"/>
    <w:autoRedefine/>
    <w:uiPriority w:val="99"/>
    <w:qFormat/>
    <w:pPr>
      <w:tabs>
        <w:tab w:val="center" w:pos="4153"/>
        <w:tab w:val="right" w:pos="8306"/>
      </w:tabs>
      <w:spacing w:line="240" w:lineRule="atLeast"/>
    </w:pPr>
    <w:rPr>
      <w:rFonts w:hAnsi="Calibri"/>
      <w:sz w:val="18"/>
      <w:szCs w:val="20"/>
    </w:rPr>
  </w:style>
  <w:style w:type="paragraph" w:customStyle="1" w:styleId="221">
    <w:name w:val="样式 样式 首行缩进:  2 字符 + 首行缩进:  2 字符"/>
    <w:basedOn w:val="1"/>
    <w:next w:val="a0"/>
    <w:autoRedefine/>
    <w:uiPriority w:val="99"/>
    <w:qFormat/>
    <w:pPr>
      <w:keepNext w:val="0"/>
      <w:keepLines w:val="0"/>
      <w:spacing w:before="0" w:after="0" w:line="500" w:lineRule="atLeast"/>
      <w:ind w:firstLineChars="200" w:firstLine="587"/>
      <w:outlineLvl w:val="9"/>
    </w:pPr>
    <w:rPr>
      <w:rFonts w:ascii="宋体"/>
      <w:b w:val="0"/>
      <w:bCs w:val="0"/>
      <w:kern w:val="2"/>
      <w:sz w:val="27"/>
      <w:szCs w:val="27"/>
    </w:rPr>
  </w:style>
  <w:style w:type="paragraph" w:customStyle="1" w:styleId="xl44">
    <w:name w:val="xl44"/>
    <w:basedOn w:val="1"/>
    <w:next w:val="a0"/>
    <w:autoRedefine/>
    <w:uiPriority w:val="99"/>
    <w:qFormat/>
    <w:pPr>
      <w:keepNext w:val="0"/>
      <w:keepLines w:val="0"/>
      <w:widowControl/>
      <w:pBdr>
        <w:left w:val="single" w:sz="8" w:space="0" w:color="auto"/>
        <w:bottom w:val="single" w:sz="8"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affffffe">
    <w:name w:val="正文王"/>
    <w:basedOn w:val="af5"/>
    <w:next w:val="a0"/>
    <w:autoRedefine/>
    <w:uiPriority w:val="99"/>
    <w:qFormat/>
    <w:pPr>
      <w:spacing w:line="440" w:lineRule="exact"/>
      <w:ind w:firstLineChars="177" w:firstLine="425"/>
    </w:pPr>
    <w:rPr>
      <w:rFonts w:ascii="Arial" w:hAnsi="Arial" w:cs="Times New Roman"/>
      <w:kern w:val="0"/>
      <w:sz w:val="24"/>
      <w:szCs w:val="24"/>
    </w:rPr>
  </w:style>
  <w:style w:type="paragraph" w:customStyle="1" w:styleId="afffffff">
    <w:name w:val="表文左对齐"/>
    <w:basedOn w:val="afffff7"/>
    <w:next w:val="a0"/>
    <w:autoRedefine/>
    <w:uiPriority w:val="99"/>
    <w:qFormat/>
    <w:pPr>
      <w:spacing w:line="320" w:lineRule="exact"/>
      <w:ind w:firstLine="420"/>
      <w:jc w:val="left"/>
    </w:pPr>
    <w:rPr>
      <w:color w:val="000000"/>
      <w:szCs w:val="20"/>
    </w:rPr>
  </w:style>
  <w:style w:type="paragraph" w:customStyle="1" w:styleId="ParaChar">
    <w:name w:val="默认段落字体 Para Char"/>
    <w:basedOn w:val="1"/>
    <w:next w:val="a0"/>
    <w:autoRedefine/>
    <w:uiPriority w:val="99"/>
    <w:qFormat/>
    <w:pPr>
      <w:keepNext w:val="0"/>
      <w:keepLines w:val="0"/>
      <w:spacing w:before="0" w:after="0" w:line="500" w:lineRule="atLeast"/>
      <w:ind w:firstLineChars="177" w:firstLine="425"/>
      <w:outlineLvl w:val="9"/>
    </w:pPr>
    <w:rPr>
      <w:rFonts w:ascii="宋体"/>
      <w:b w:val="0"/>
      <w:bCs w:val="0"/>
      <w:kern w:val="2"/>
      <w:sz w:val="28"/>
      <w:szCs w:val="24"/>
    </w:rPr>
  </w:style>
  <w:style w:type="paragraph" w:customStyle="1" w:styleId="xl30">
    <w:name w:val="xl30"/>
    <w:basedOn w:val="1"/>
    <w:next w:val="a0"/>
    <w:autoRedefine/>
    <w:uiPriority w:val="99"/>
    <w:qFormat/>
    <w:pPr>
      <w:keepNext w:val="0"/>
      <w:keepLines w:val="0"/>
      <w:widowControl/>
      <w:pBdr>
        <w:left w:val="single" w:sz="8" w:space="0" w:color="auto"/>
        <w:bottom w:val="single" w:sz="8" w:space="0" w:color="auto"/>
        <w:right w:val="single" w:sz="8" w:space="0" w:color="auto"/>
      </w:pBdr>
      <w:spacing w:before="100" w:beforeAutospacing="1" w:after="100" w:afterAutospacing="1" w:line="500" w:lineRule="atLeast"/>
      <w:ind w:firstLineChars="177" w:firstLine="425"/>
      <w:jc w:val="center"/>
      <w:outlineLvl w:val="9"/>
    </w:pPr>
    <w:rPr>
      <w:rFonts w:ascii="宋体" w:hAnsi="宋体"/>
      <w:b w:val="0"/>
      <w:bCs w:val="0"/>
      <w:kern w:val="0"/>
      <w:sz w:val="24"/>
      <w:szCs w:val="21"/>
    </w:rPr>
  </w:style>
  <w:style w:type="paragraph" w:customStyle="1" w:styleId="afffffff0">
    <w:name w:val="段落"/>
    <w:basedOn w:val="1"/>
    <w:next w:val="a0"/>
    <w:autoRedefine/>
    <w:uiPriority w:val="99"/>
    <w:qFormat/>
    <w:pPr>
      <w:keepNext w:val="0"/>
      <w:keepLines w:val="0"/>
      <w:adjustRightInd w:val="0"/>
      <w:snapToGrid w:val="0"/>
      <w:spacing w:before="0" w:after="0" w:line="280" w:lineRule="exact"/>
      <w:ind w:firstLineChars="177" w:firstLine="425"/>
      <w:outlineLvl w:val="9"/>
    </w:pPr>
    <w:rPr>
      <w:b w:val="0"/>
      <w:bCs w:val="0"/>
      <w:kern w:val="0"/>
      <w:sz w:val="18"/>
      <w:szCs w:val="20"/>
    </w:rPr>
  </w:style>
  <w:style w:type="paragraph" w:customStyle="1" w:styleId="1000">
    <w:name w:val="样式 样式1 + 两端对齐 左侧:  0 厘米 首行缩进:  0 厘米"/>
    <w:basedOn w:val="1"/>
    <w:next w:val="a0"/>
    <w:autoRedefine/>
    <w:uiPriority w:val="99"/>
    <w:qFormat/>
    <w:pPr>
      <w:pageBreakBefore/>
      <w:spacing w:before="240" w:after="120" w:line="500" w:lineRule="atLeast"/>
      <w:ind w:firstLineChars="177" w:firstLine="425"/>
      <w:jc w:val="center"/>
    </w:pPr>
    <w:rPr>
      <w:rFonts w:eastAsia="黑体" w:cs="宋体"/>
      <w:b w:val="0"/>
      <w:bCs w:val="0"/>
      <w:kern w:val="2"/>
      <w:sz w:val="36"/>
      <w:szCs w:val="24"/>
    </w:rPr>
  </w:style>
  <w:style w:type="character" w:customStyle="1" w:styleId="1Char3">
    <w:name w:val="正文样式1 Char"/>
    <w:link w:val="1f5"/>
    <w:qFormat/>
    <w:locked/>
    <w:rPr>
      <w:rFonts w:ascii="宋体" w:eastAsia="宋体" w:hAnsi="宋体"/>
      <w:sz w:val="24"/>
    </w:rPr>
  </w:style>
  <w:style w:type="paragraph" w:customStyle="1" w:styleId="1f5">
    <w:name w:val="正文样式1"/>
    <w:basedOn w:val="1"/>
    <w:next w:val="a0"/>
    <w:link w:val="1Char3"/>
    <w:autoRedefine/>
    <w:qFormat/>
    <w:pPr>
      <w:keepNext w:val="0"/>
      <w:keepLines w:val="0"/>
      <w:adjustRightInd w:val="0"/>
      <w:spacing w:before="0" w:after="0" w:line="288" w:lineRule="auto"/>
      <w:ind w:firstLineChars="150" w:firstLine="360"/>
      <w:outlineLvl w:val="9"/>
    </w:pPr>
    <w:rPr>
      <w:rFonts w:ascii="宋体" w:hAnsi="宋体" w:cstheme="minorBidi"/>
      <w:b w:val="0"/>
      <w:bCs w:val="0"/>
      <w:kern w:val="2"/>
      <w:sz w:val="24"/>
      <w:szCs w:val="22"/>
    </w:rPr>
  </w:style>
  <w:style w:type="paragraph" w:customStyle="1" w:styleId="81">
    <w:name w:val="8"/>
    <w:basedOn w:val="1"/>
    <w:next w:val="a4"/>
    <w:autoRedefine/>
    <w:uiPriority w:val="99"/>
    <w:qFormat/>
    <w:pPr>
      <w:keepNext w:val="0"/>
      <w:keepLines w:val="0"/>
      <w:spacing w:before="0" w:after="0" w:line="400" w:lineRule="exact"/>
      <w:ind w:firstLineChars="215" w:firstLine="516"/>
      <w:outlineLvl w:val="9"/>
    </w:pPr>
    <w:rPr>
      <w:b w:val="0"/>
      <w:bCs w:val="0"/>
      <w:kern w:val="2"/>
      <w:sz w:val="24"/>
      <w:szCs w:val="24"/>
    </w:rPr>
  </w:style>
  <w:style w:type="character" w:customStyle="1" w:styleId="cucd-1Char">
    <w:name w:val="cucd-1 Char"/>
    <w:link w:val="cucd-1"/>
    <w:qFormat/>
    <w:locked/>
    <w:rPr>
      <w:rFonts w:ascii="黑体" w:eastAsia="黑体" w:hAnsi="黑体"/>
      <w:b/>
      <w:sz w:val="36"/>
      <w:szCs w:val="24"/>
    </w:rPr>
  </w:style>
  <w:style w:type="paragraph" w:customStyle="1" w:styleId="cucd-1">
    <w:name w:val="cucd-1"/>
    <w:next w:val="cucd-2"/>
    <w:link w:val="cucd-1Char"/>
    <w:autoRedefine/>
    <w:qFormat/>
    <w:pPr>
      <w:pageBreakBefore/>
      <w:tabs>
        <w:tab w:val="left" w:pos="432"/>
      </w:tabs>
      <w:spacing w:beforeLines="100" w:line="360" w:lineRule="auto"/>
      <w:ind w:left="432" w:hanging="432"/>
      <w:jc w:val="center"/>
      <w:outlineLvl w:val="0"/>
    </w:pPr>
    <w:rPr>
      <w:rFonts w:ascii="黑体" w:eastAsia="黑体" w:hAnsi="黑体" w:cstheme="minorBidi"/>
      <w:b/>
      <w:kern w:val="2"/>
      <w:sz w:val="36"/>
      <w:szCs w:val="24"/>
    </w:rPr>
  </w:style>
  <w:style w:type="paragraph" w:customStyle="1" w:styleId="CharCharCharCharCharChar1CharCharCharChar">
    <w:name w:val="Char Char Char Char Char Char1 Char Char Char Char"/>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4"/>
    </w:rPr>
  </w:style>
  <w:style w:type="paragraph" w:customStyle="1" w:styleId="afffffff1">
    <w:name w:val="表内"/>
    <w:basedOn w:val="1"/>
    <w:next w:val="a0"/>
    <w:autoRedefine/>
    <w:uiPriority w:val="99"/>
    <w:qFormat/>
    <w:pPr>
      <w:keepNext w:val="0"/>
      <w:keepLines w:val="0"/>
      <w:adjustRightInd w:val="0"/>
      <w:spacing w:before="0" w:after="0" w:line="500" w:lineRule="atLeast"/>
      <w:ind w:leftChars="-38" w:left="-78" w:hangingChars="1" w:hanging="2"/>
      <w:jc w:val="center"/>
      <w:outlineLvl w:val="9"/>
    </w:pPr>
    <w:rPr>
      <w:rFonts w:ascii="宋体" w:hAnsi="宋体"/>
      <w:b w:val="0"/>
      <w:bCs w:val="0"/>
      <w:color w:val="FF0000"/>
      <w:kern w:val="2"/>
      <w:sz w:val="24"/>
      <w:szCs w:val="20"/>
    </w:rPr>
  </w:style>
  <w:style w:type="paragraph" w:customStyle="1" w:styleId="a9cxsplast">
    <w:name w:val="a9cxsplast"/>
    <w:basedOn w:val="1"/>
    <w:next w:val="a0"/>
    <w:autoRedefine/>
    <w:uiPriority w:val="99"/>
    <w:qFormat/>
    <w:pPr>
      <w:keepNext w:val="0"/>
      <w:keepLines w:val="0"/>
      <w:widowControl/>
      <w:snapToGrid w:val="0"/>
      <w:spacing w:before="0" w:after="120" w:line="360" w:lineRule="auto"/>
      <w:ind w:firstLineChars="177" w:firstLine="480"/>
      <w:outlineLvl w:val="9"/>
    </w:pPr>
    <w:rPr>
      <w:b w:val="0"/>
      <w:bCs w:val="0"/>
      <w:kern w:val="0"/>
      <w:sz w:val="24"/>
      <w:szCs w:val="24"/>
    </w:rPr>
  </w:style>
  <w:style w:type="paragraph" w:customStyle="1" w:styleId="Char2CharCharCharCharCharChar">
    <w:name w:val="Char2 Char Char Char Char Char Char"/>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y">
    <w:name w:val="y表格"/>
    <w:basedOn w:val="af2"/>
    <w:next w:val="a0"/>
    <w:autoRedefine/>
    <w:uiPriority w:val="99"/>
    <w:qFormat/>
    <w:pPr>
      <w:widowControl/>
      <w:adjustRightInd w:val="0"/>
      <w:snapToGrid w:val="0"/>
      <w:spacing w:after="0"/>
      <w:ind w:firstLineChars="177" w:firstLine="425"/>
      <w:jc w:val="center"/>
    </w:pPr>
    <w:rPr>
      <w:rFonts w:ascii="宋体" w:hAnsi="宋体" w:cstheme="minorBidi" w:hint="eastAsia"/>
      <w:sz w:val="24"/>
      <w:szCs w:val="20"/>
    </w:rPr>
  </w:style>
  <w:style w:type="paragraph" w:customStyle="1" w:styleId="afffffff2">
    <w:name w:val="表格文字（居中）"/>
    <w:basedOn w:val="1"/>
    <w:next w:val="a0"/>
    <w:autoRedefine/>
    <w:uiPriority w:val="99"/>
    <w:qFormat/>
    <w:pPr>
      <w:keepNext w:val="0"/>
      <w:keepLines w:val="0"/>
      <w:spacing w:before="0" w:after="0" w:line="500" w:lineRule="atLeast"/>
      <w:ind w:firstLineChars="177" w:firstLine="425"/>
      <w:jc w:val="center"/>
      <w:outlineLvl w:val="9"/>
    </w:pPr>
    <w:rPr>
      <w:b w:val="0"/>
      <w:bCs w:val="0"/>
      <w:kern w:val="2"/>
      <w:sz w:val="24"/>
      <w:szCs w:val="21"/>
    </w:rPr>
  </w:style>
  <w:style w:type="paragraph" w:customStyle="1" w:styleId="3025">
    <w:name w:val="样式 标题 3头 + 行距: 多倍行距 0.25 字行"/>
    <w:basedOn w:val="3"/>
    <w:next w:val="a0"/>
    <w:autoRedefine/>
    <w:uiPriority w:val="99"/>
    <w:qFormat/>
    <w:pPr>
      <w:numPr>
        <w:numId w:val="5"/>
      </w:numPr>
      <w:tabs>
        <w:tab w:val="clear" w:pos="360"/>
        <w:tab w:val="left" w:pos="578"/>
      </w:tabs>
      <w:spacing w:before="60" w:after="0" w:line="60" w:lineRule="auto"/>
      <w:ind w:left="578" w:hanging="578"/>
    </w:pPr>
    <w:rPr>
      <w:rFonts w:ascii="Times New Roman" w:hAnsi="Times New Roman" w:cs="黑体"/>
      <w:b/>
      <w:bCs/>
      <w:kern w:val="0"/>
      <w:sz w:val="28"/>
      <w:szCs w:val="28"/>
    </w:rPr>
  </w:style>
  <w:style w:type="paragraph" w:customStyle="1" w:styleId="CharCharCharCharCharCharCharChar1CharCharCharCharCharCharChar">
    <w:name w:val="Char Char Char Char Char Char Char Char1 Char Char Char Char Char Char Char"/>
    <w:basedOn w:val="1"/>
    <w:next w:val="a0"/>
    <w:autoRedefine/>
    <w:uiPriority w:val="99"/>
    <w:qFormat/>
    <w:pPr>
      <w:keepNext w:val="0"/>
      <w:keepLines w:val="0"/>
      <w:snapToGrid w:val="0"/>
      <w:spacing w:before="0" w:after="0" w:line="360" w:lineRule="auto"/>
      <w:ind w:firstLineChars="200" w:firstLine="200"/>
      <w:outlineLvl w:val="9"/>
    </w:pPr>
    <w:rPr>
      <w:rFonts w:eastAsia="仿宋_GB2312"/>
      <w:b w:val="0"/>
      <w:bCs w:val="0"/>
      <w:kern w:val="2"/>
      <w:sz w:val="24"/>
      <w:szCs w:val="24"/>
    </w:rPr>
  </w:style>
  <w:style w:type="paragraph" w:customStyle="1" w:styleId="afffffff3">
    <w:name w:val="a"/>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宋体" w:hAnsi="宋体" w:cs="宋体"/>
      <w:b w:val="0"/>
      <w:bCs w:val="0"/>
      <w:kern w:val="0"/>
      <w:sz w:val="24"/>
      <w:szCs w:val="24"/>
    </w:rPr>
  </w:style>
  <w:style w:type="paragraph" w:customStyle="1" w:styleId="xl51">
    <w:name w:val="xl51"/>
    <w:basedOn w:val="1"/>
    <w:next w:val="a0"/>
    <w:autoRedefine/>
    <w:uiPriority w:val="99"/>
    <w:qFormat/>
    <w:pPr>
      <w:keepNext w:val="0"/>
      <w:keepLines w:val="0"/>
      <w:widowControl/>
      <w:pBdr>
        <w:top w:val="single" w:sz="12" w:space="0" w:color="auto"/>
        <w:left w:val="single" w:sz="8" w:space="0" w:color="auto"/>
        <w:right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wtext">
    <w:name w:val="wtext"/>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Arial Unicode MS" w:eastAsia="Arial Unicode MS" w:hAnsi="Arial Unicode MS" w:cs="Arial Unicode MS"/>
      <w:b w:val="0"/>
      <w:bCs w:val="0"/>
      <w:kern w:val="0"/>
      <w:sz w:val="24"/>
      <w:szCs w:val="24"/>
    </w:rPr>
  </w:style>
  <w:style w:type="paragraph" w:customStyle="1" w:styleId="T">
    <w:name w:val="T表格"/>
    <w:basedOn w:val="Default"/>
    <w:next w:val="Default"/>
    <w:autoRedefine/>
    <w:uiPriority w:val="99"/>
    <w:qFormat/>
    <w:rPr>
      <w:rFonts w:hAnsi="Calibri" w:cs="Times New Roman"/>
      <w:color w:val="auto"/>
      <w:sz w:val="21"/>
      <w:szCs w:val="22"/>
    </w:rPr>
  </w:style>
  <w:style w:type="character" w:customStyle="1" w:styleId="cauc-0Char1">
    <w:name w:val="cauc-0 Char1"/>
    <w:link w:val="cauc-0"/>
    <w:qFormat/>
    <w:locked/>
    <w:rPr>
      <w:sz w:val="24"/>
      <w:szCs w:val="24"/>
    </w:rPr>
  </w:style>
  <w:style w:type="paragraph" w:customStyle="1" w:styleId="cauc-0">
    <w:name w:val="cauc-0"/>
    <w:next w:val="a0"/>
    <w:link w:val="cauc-0Char1"/>
    <w:autoRedefine/>
    <w:qFormat/>
    <w:pPr>
      <w:spacing w:line="360" w:lineRule="auto"/>
      <w:ind w:firstLineChars="200" w:firstLine="480"/>
    </w:pPr>
    <w:rPr>
      <w:rFonts w:asciiTheme="minorHAnsi" w:eastAsiaTheme="minorEastAsia" w:hAnsiTheme="minorHAnsi" w:cstheme="minorBidi"/>
      <w:kern w:val="2"/>
      <w:sz w:val="24"/>
      <w:szCs w:val="24"/>
    </w:rPr>
  </w:style>
  <w:style w:type="paragraph" w:customStyle="1" w:styleId="afffffff4">
    <w:name w:val="保定正文"/>
    <w:basedOn w:val="1"/>
    <w:next w:val="a0"/>
    <w:autoRedefine/>
    <w:uiPriority w:val="99"/>
    <w:qFormat/>
    <w:pPr>
      <w:keepNext w:val="0"/>
      <w:keepLines w:val="0"/>
      <w:snapToGrid w:val="0"/>
      <w:spacing w:before="0" w:after="0" w:line="360" w:lineRule="auto"/>
      <w:ind w:firstLineChars="200" w:firstLine="200"/>
      <w:outlineLvl w:val="9"/>
    </w:pPr>
    <w:rPr>
      <w:rFonts w:cs="宋体"/>
      <w:b w:val="0"/>
      <w:bCs w:val="0"/>
      <w:kern w:val="0"/>
      <w:sz w:val="24"/>
      <w:szCs w:val="20"/>
    </w:rPr>
  </w:style>
  <w:style w:type="paragraph" w:customStyle="1" w:styleId="a20">
    <w:name w:val="a2"/>
    <w:basedOn w:val="1"/>
    <w:next w:val="a0"/>
    <w:autoRedefine/>
    <w:uiPriority w:val="99"/>
    <w:qFormat/>
    <w:pPr>
      <w:keepNext w:val="0"/>
      <w:keepLines w:val="0"/>
      <w:widowControl/>
      <w:spacing w:before="120" w:after="0" w:line="360" w:lineRule="auto"/>
      <w:ind w:firstLineChars="177" w:firstLine="425"/>
      <w:jc w:val="center"/>
      <w:outlineLvl w:val="9"/>
    </w:pPr>
    <w:rPr>
      <w:rFonts w:ascii="黑体" w:eastAsia="黑体"/>
      <w:b w:val="0"/>
      <w:bCs w:val="0"/>
      <w:kern w:val="0"/>
      <w:sz w:val="24"/>
      <w:szCs w:val="21"/>
    </w:rPr>
  </w:style>
  <w:style w:type="paragraph" w:customStyle="1" w:styleId="3H3l3CT3h33rdlevelHeading3-oldISO2sect11">
    <w:name w:val="样式 标题 3H3l3CT标题 3(节)h33rd levelHeading 3 - oldISO2sect1...1"/>
    <w:basedOn w:val="3"/>
    <w:next w:val="a0"/>
    <w:autoRedefine/>
    <w:uiPriority w:val="99"/>
    <w:qFormat/>
    <w:pPr>
      <w:tabs>
        <w:tab w:val="left" w:pos="720"/>
      </w:tabs>
      <w:adjustRightInd w:val="0"/>
      <w:spacing w:before="100" w:after="0" w:line="360" w:lineRule="auto"/>
      <w:jc w:val="left"/>
    </w:pPr>
    <w:rPr>
      <w:rFonts w:ascii="Times New Roman" w:hAnsi="Times New Roman"/>
      <w:kern w:val="0"/>
      <w:sz w:val="28"/>
      <w:szCs w:val="20"/>
    </w:rPr>
  </w:style>
  <w:style w:type="paragraph" w:customStyle="1" w:styleId="afffffff5">
    <w:name w:val="悬挂式正文"/>
    <w:basedOn w:val="1"/>
    <w:next w:val="a0"/>
    <w:autoRedefine/>
    <w:uiPriority w:val="99"/>
    <w:qFormat/>
    <w:pPr>
      <w:keepNext w:val="0"/>
      <w:keepLines w:val="0"/>
      <w:tabs>
        <w:tab w:val="center" w:pos="6804"/>
        <w:tab w:val="right" w:pos="7371"/>
      </w:tabs>
      <w:overflowPunct w:val="0"/>
      <w:adjustRightInd w:val="0"/>
      <w:spacing w:before="0" w:after="0" w:line="360" w:lineRule="auto"/>
      <w:ind w:left="1701" w:firstLineChars="177" w:hanging="1134"/>
      <w:outlineLvl w:val="9"/>
    </w:pPr>
    <w:rPr>
      <w:b w:val="0"/>
      <w:bCs w:val="0"/>
      <w:kern w:val="0"/>
      <w:sz w:val="28"/>
      <w:szCs w:val="20"/>
    </w:rPr>
  </w:style>
  <w:style w:type="paragraph" w:customStyle="1" w:styleId="afffffff6">
    <w:name w:val="表格名称"/>
    <w:basedOn w:val="1"/>
    <w:next w:val="a0"/>
    <w:autoRedefine/>
    <w:uiPriority w:val="99"/>
    <w:qFormat/>
    <w:pPr>
      <w:tabs>
        <w:tab w:val="left" w:pos="720"/>
      </w:tabs>
      <w:spacing w:beforeLines="20" w:after="0" w:line="440" w:lineRule="exact"/>
      <w:ind w:firstLineChars="177" w:firstLine="480"/>
      <w:outlineLvl w:val="9"/>
    </w:pPr>
    <w:rPr>
      <w:rFonts w:eastAsia="黑体"/>
      <w:b w:val="0"/>
      <w:bCs w:val="0"/>
      <w:kern w:val="2"/>
      <w:sz w:val="24"/>
      <w:szCs w:val="20"/>
    </w:rPr>
  </w:style>
  <w:style w:type="paragraph" w:customStyle="1" w:styleId="xl45">
    <w:name w:val="xl45"/>
    <w:basedOn w:val="1"/>
    <w:next w:val="a0"/>
    <w:autoRedefine/>
    <w:uiPriority w:val="99"/>
    <w:qFormat/>
    <w:pPr>
      <w:keepNext w:val="0"/>
      <w:keepLines w:val="0"/>
      <w:widowControl/>
      <w:pBdr>
        <w:top w:val="single" w:sz="8" w:space="0" w:color="auto"/>
        <w:left w:val="single" w:sz="8" w:space="0" w:color="auto"/>
        <w:right w:val="single" w:sz="12"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07720">
    <w:name w:val="样式 首行缩进:  0.77 厘米 行距: 固定值 20 磅"/>
    <w:basedOn w:val="1"/>
    <w:next w:val="a0"/>
    <w:autoRedefine/>
    <w:uiPriority w:val="99"/>
    <w:qFormat/>
    <w:pPr>
      <w:keepNext w:val="0"/>
      <w:keepLines w:val="0"/>
      <w:spacing w:before="0" w:after="0" w:line="360" w:lineRule="auto"/>
      <w:ind w:firstLineChars="177" w:firstLine="435"/>
      <w:outlineLvl w:val="9"/>
    </w:pPr>
    <w:rPr>
      <w:b w:val="0"/>
      <w:bCs w:val="0"/>
      <w:kern w:val="2"/>
      <w:sz w:val="24"/>
      <w:szCs w:val="20"/>
    </w:rPr>
  </w:style>
  <w:style w:type="character" w:customStyle="1" w:styleId="ltextChar">
    <w:name w:val="l_text Char"/>
    <w:link w:val="ltext"/>
    <w:qFormat/>
    <w:locked/>
    <w:rPr>
      <w:rFonts w:ascii="宋体" w:eastAsia="宋体" w:hAnsi="宋体"/>
      <w:sz w:val="28"/>
      <w:szCs w:val="28"/>
      <w:lang w:val="en-GB"/>
    </w:rPr>
  </w:style>
  <w:style w:type="paragraph" w:customStyle="1" w:styleId="ltext">
    <w:name w:val="l_text"/>
    <w:basedOn w:val="1"/>
    <w:next w:val="a0"/>
    <w:link w:val="ltextChar"/>
    <w:autoRedefine/>
    <w:qFormat/>
    <w:pPr>
      <w:keepNext w:val="0"/>
      <w:keepLines w:val="0"/>
      <w:widowControl/>
      <w:overflowPunct w:val="0"/>
      <w:autoSpaceDE w:val="0"/>
      <w:autoSpaceDN w:val="0"/>
      <w:adjustRightInd w:val="0"/>
      <w:spacing w:before="0" w:after="0" w:line="480" w:lineRule="exact"/>
      <w:ind w:firstLineChars="177" w:firstLine="567"/>
      <w:outlineLvl w:val="9"/>
    </w:pPr>
    <w:rPr>
      <w:rFonts w:ascii="宋体" w:hAnsi="宋体" w:cstheme="minorBidi"/>
      <w:b w:val="0"/>
      <w:bCs w:val="0"/>
      <w:kern w:val="2"/>
      <w:sz w:val="28"/>
      <w:szCs w:val="28"/>
      <w:lang w:val="en-GB"/>
    </w:rPr>
  </w:style>
  <w:style w:type="paragraph" w:customStyle="1" w:styleId="afffffff7">
    <w:name w:val="一级条标题"/>
    <w:basedOn w:val="1"/>
    <w:next w:val="a0"/>
    <w:autoRedefine/>
    <w:uiPriority w:val="99"/>
    <w:qFormat/>
    <w:pPr>
      <w:keepNext w:val="0"/>
      <w:keepLines w:val="0"/>
      <w:widowControl/>
      <w:tabs>
        <w:tab w:val="left" w:pos="360"/>
      </w:tabs>
      <w:spacing w:before="0" w:after="0" w:line="500" w:lineRule="atLeast"/>
      <w:ind w:left="360" w:hangingChars="200" w:hanging="360"/>
      <w:outlineLvl w:val="2"/>
    </w:pPr>
    <w:rPr>
      <w:rFonts w:ascii="黑体" w:eastAsia="黑体"/>
      <w:b w:val="0"/>
      <w:bCs w:val="0"/>
      <w:kern w:val="0"/>
      <w:sz w:val="24"/>
      <w:szCs w:val="20"/>
    </w:rPr>
  </w:style>
  <w:style w:type="paragraph" w:customStyle="1" w:styleId="73">
    <w:name w:val="7"/>
    <w:basedOn w:val="1"/>
    <w:next w:val="a4"/>
    <w:autoRedefine/>
    <w:uiPriority w:val="99"/>
    <w:qFormat/>
    <w:pPr>
      <w:keepNext w:val="0"/>
      <w:keepLines w:val="0"/>
      <w:spacing w:before="0" w:after="0" w:line="400" w:lineRule="exact"/>
      <w:ind w:firstLineChars="215" w:firstLine="516"/>
      <w:outlineLvl w:val="9"/>
    </w:pPr>
    <w:rPr>
      <w:b w:val="0"/>
      <w:bCs w:val="0"/>
      <w:kern w:val="2"/>
      <w:sz w:val="24"/>
      <w:szCs w:val="24"/>
    </w:rPr>
  </w:style>
  <w:style w:type="paragraph" w:customStyle="1" w:styleId="1f6">
    <w:name w:val="图标1"/>
    <w:next w:val="a0"/>
    <w:autoRedefine/>
    <w:uiPriority w:val="99"/>
    <w:qFormat/>
    <w:pPr>
      <w:spacing w:line="0" w:lineRule="atLeast"/>
      <w:jc w:val="center"/>
    </w:pPr>
    <w:rPr>
      <w:kern w:val="2"/>
      <w:sz w:val="21"/>
    </w:rPr>
  </w:style>
  <w:style w:type="paragraph" w:customStyle="1" w:styleId="EIA3">
    <w:name w:val="EIA标题3"/>
    <w:basedOn w:val="3"/>
    <w:next w:val="a0"/>
    <w:autoRedefine/>
    <w:uiPriority w:val="99"/>
    <w:qFormat/>
    <w:pPr>
      <w:tabs>
        <w:tab w:val="left" w:pos="720"/>
      </w:tabs>
      <w:spacing w:beforeLines="50" w:afterLines="50" w:line="440" w:lineRule="exact"/>
    </w:pPr>
    <w:rPr>
      <w:rFonts w:ascii="Times New Roman" w:eastAsia="楷体_GB2312" w:hAnsi="Times New Roman" w:cs="Times New Roman"/>
      <w:b/>
      <w:color w:val="000000"/>
      <w:kern w:val="0"/>
      <w:sz w:val="24"/>
      <w:szCs w:val="20"/>
    </w:rPr>
  </w:style>
  <w:style w:type="paragraph" w:customStyle="1" w:styleId="afffffff8">
    <w:name w:val="法规列表"/>
    <w:basedOn w:val="1"/>
    <w:next w:val="a0"/>
    <w:autoRedefine/>
    <w:uiPriority w:val="99"/>
    <w:qFormat/>
    <w:pPr>
      <w:keepNext w:val="0"/>
      <w:keepLines w:val="0"/>
      <w:tabs>
        <w:tab w:val="left" w:pos="420"/>
      </w:tabs>
      <w:spacing w:beforeLines="50" w:after="0" w:line="500" w:lineRule="atLeast"/>
      <w:ind w:left="432" w:firstLineChars="177" w:hanging="432"/>
      <w:outlineLvl w:val="9"/>
    </w:pPr>
    <w:rPr>
      <w:rFonts w:eastAsia="仿宋_GB2312"/>
      <w:b w:val="0"/>
      <w:bCs w:val="0"/>
      <w:kern w:val="2"/>
      <w:sz w:val="24"/>
      <w:szCs w:val="20"/>
    </w:rPr>
  </w:style>
  <w:style w:type="paragraph" w:customStyle="1" w:styleId="afffffff9">
    <w:name w:val="个人情况"/>
    <w:basedOn w:val="af2"/>
    <w:next w:val="a0"/>
    <w:autoRedefine/>
    <w:uiPriority w:val="99"/>
    <w:qFormat/>
    <w:pPr>
      <w:widowControl/>
      <w:overflowPunct w:val="0"/>
      <w:autoSpaceDE w:val="0"/>
      <w:autoSpaceDN w:val="0"/>
      <w:adjustRightInd w:val="0"/>
      <w:spacing w:after="160"/>
      <w:ind w:firstLineChars="177" w:firstLine="425"/>
      <w:jc w:val="left"/>
    </w:pPr>
    <w:rPr>
      <w:rFonts w:hAnsiTheme="minorHAnsi" w:cstheme="minorBidi" w:hint="eastAsia"/>
      <w:sz w:val="20"/>
      <w:szCs w:val="20"/>
    </w:rPr>
  </w:style>
  <w:style w:type="paragraph" w:customStyle="1" w:styleId="afffffffa">
    <w:name w:val="河石管道 表格正文"/>
    <w:next w:val="a0"/>
    <w:autoRedefine/>
    <w:uiPriority w:val="99"/>
    <w:qFormat/>
    <w:pPr>
      <w:jc w:val="center"/>
    </w:pPr>
    <w:rPr>
      <w:kern w:val="2"/>
      <w:sz w:val="18"/>
      <w:szCs w:val="21"/>
    </w:rPr>
  </w:style>
  <w:style w:type="paragraph" w:customStyle="1" w:styleId="xl48">
    <w:name w:val="xl48"/>
    <w:basedOn w:val="1"/>
    <w:next w:val="a0"/>
    <w:autoRedefine/>
    <w:uiPriority w:val="99"/>
    <w:qFormat/>
    <w:pPr>
      <w:keepNext w:val="0"/>
      <w:keepLines w:val="0"/>
      <w:widowControl/>
      <w:pBdr>
        <w:top w:val="single" w:sz="8" w:space="0" w:color="auto"/>
        <w:left w:val="single" w:sz="8"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afffffffb">
    <w:name w:val="正文缩近"/>
    <w:basedOn w:val="1"/>
    <w:next w:val="a0"/>
    <w:autoRedefine/>
    <w:uiPriority w:val="99"/>
    <w:qFormat/>
    <w:pPr>
      <w:keepNext w:val="0"/>
      <w:keepLines w:val="0"/>
      <w:spacing w:before="0" w:after="0" w:line="360" w:lineRule="auto"/>
      <w:ind w:firstLineChars="200" w:firstLine="560"/>
      <w:outlineLvl w:val="9"/>
    </w:pPr>
    <w:rPr>
      <w:b w:val="0"/>
      <w:bCs w:val="0"/>
      <w:kern w:val="2"/>
      <w:sz w:val="28"/>
      <w:szCs w:val="28"/>
    </w:rPr>
  </w:style>
  <w:style w:type="paragraph" w:customStyle="1" w:styleId="font10">
    <w:name w:val="font10"/>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Symbol" w:hAnsi="Symbol" w:cs="宋体"/>
      <w:b w:val="0"/>
      <w:bCs w:val="0"/>
      <w:color w:val="000000"/>
      <w:kern w:val="0"/>
      <w:sz w:val="24"/>
      <w:szCs w:val="21"/>
    </w:rPr>
  </w:style>
  <w:style w:type="paragraph" w:customStyle="1" w:styleId="xl34">
    <w:name w:val="xl34"/>
    <w:basedOn w:val="1"/>
    <w:next w:val="a0"/>
    <w:autoRedefine/>
    <w:uiPriority w:val="99"/>
    <w:qFormat/>
    <w:pPr>
      <w:keepNext w:val="0"/>
      <w:keepLines w:val="0"/>
      <w:widowControl/>
      <w:pBdr>
        <w:bottom w:val="single" w:sz="4" w:space="0" w:color="auto"/>
        <w:right w:val="single" w:sz="4" w:space="0" w:color="auto"/>
      </w:pBdr>
      <w:spacing w:before="100" w:beforeAutospacing="1" w:after="100" w:afterAutospacing="1" w:line="500" w:lineRule="atLeast"/>
      <w:ind w:firstLineChars="177" w:firstLine="425"/>
      <w:jc w:val="center"/>
      <w:outlineLvl w:val="9"/>
    </w:pPr>
    <w:rPr>
      <w:rFonts w:ascii="楷体_GB2312" w:eastAsia="楷体_GB2312" w:hAnsi="Arial Unicode MS"/>
      <w:b w:val="0"/>
      <w:bCs w:val="0"/>
      <w:kern w:val="0"/>
      <w:sz w:val="24"/>
      <w:szCs w:val="24"/>
    </w:rPr>
  </w:style>
  <w:style w:type="paragraph" w:customStyle="1" w:styleId="xl31">
    <w:name w:val="xl31"/>
    <w:basedOn w:val="1"/>
    <w:next w:val="a0"/>
    <w:autoRedefine/>
    <w:uiPriority w:val="99"/>
    <w:qFormat/>
    <w:pPr>
      <w:keepNext w:val="0"/>
      <w:keepLines w:val="0"/>
      <w:widowControl/>
      <w:pBdr>
        <w:bottom w:val="single" w:sz="12"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afffffffc">
    <w:name w:val="图表名称"/>
    <w:basedOn w:val="1"/>
    <w:next w:val="a0"/>
    <w:autoRedefine/>
    <w:uiPriority w:val="99"/>
    <w:qFormat/>
    <w:pPr>
      <w:keepNext w:val="0"/>
      <w:keepLines w:val="0"/>
      <w:spacing w:beforeLines="50" w:after="0" w:line="400" w:lineRule="exact"/>
      <w:ind w:firstLineChars="177" w:firstLine="471"/>
      <w:jc w:val="center"/>
      <w:outlineLvl w:val="9"/>
    </w:pPr>
    <w:rPr>
      <w:rFonts w:ascii="宋体" w:eastAsia="黑体" w:hAnsi="宋体"/>
      <w:b w:val="0"/>
      <w:bCs w:val="0"/>
      <w:kern w:val="2"/>
      <w:sz w:val="24"/>
      <w:szCs w:val="24"/>
    </w:rPr>
  </w:style>
  <w:style w:type="paragraph" w:customStyle="1" w:styleId="afffffffd">
    <w:name w:val="单元格"/>
    <w:basedOn w:val="1"/>
    <w:next w:val="a0"/>
    <w:autoRedefine/>
    <w:uiPriority w:val="99"/>
    <w:qFormat/>
    <w:pPr>
      <w:keepNext w:val="0"/>
      <w:keepLines w:val="0"/>
      <w:spacing w:before="0" w:after="0" w:line="500" w:lineRule="atLeast"/>
      <w:ind w:firstLineChars="177" w:firstLine="425"/>
      <w:jc w:val="center"/>
      <w:outlineLvl w:val="9"/>
    </w:pPr>
    <w:rPr>
      <w:rFonts w:ascii="楷体_GB2312" w:eastAsia="楷体_GB2312"/>
      <w:b w:val="0"/>
      <w:bCs w:val="0"/>
      <w:kern w:val="2"/>
      <w:sz w:val="24"/>
      <w:szCs w:val="20"/>
    </w:rPr>
  </w:style>
  <w:style w:type="paragraph" w:customStyle="1" w:styleId="DefaultParagraphFontParaCharCharChar">
    <w:name w:val="Default Paragraph Font Para Char Char Char"/>
    <w:basedOn w:val="1"/>
    <w:next w:val="a0"/>
    <w:autoRedefine/>
    <w:uiPriority w:val="99"/>
    <w:qFormat/>
    <w:pPr>
      <w:keepNext w:val="0"/>
      <w:keepLines w:val="0"/>
      <w:widowControl/>
      <w:spacing w:before="0" w:after="160" w:line="240" w:lineRule="exact"/>
      <w:ind w:firstLineChars="177" w:firstLine="425"/>
      <w:jc w:val="left"/>
      <w:outlineLvl w:val="9"/>
    </w:pPr>
    <w:rPr>
      <w:rFonts w:ascii="Arial" w:hAnsi="Arial"/>
      <w:b w:val="0"/>
      <w:bCs w:val="0"/>
      <w:kern w:val="2"/>
      <w:sz w:val="24"/>
      <w:szCs w:val="24"/>
    </w:rPr>
  </w:style>
  <w:style w:type="paragraph" w:customStyle="1" w:styleId="font8">
    <w:name w:val="font8"/>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b w:val="0"/>
      <w:bCs w:val="0"/>
      <w:color w:val="000000"/>
      <w:kern w:val="0"/>
      <w:sz w:val="24"/>
      <w:szCs w:val="21"/>
    </w:rPr>
  </w:style>
  <w:style w:type="paragraph" w:customStyle="1" w:styleId="1520">
    <w:name w:val="样式 日期 + 宋体 行距: 1.5 倍行距2"/>
    <w:basedOn w:val="af6"/>
    <w:next w:val="a0"/>
    <w:autoRedefine/>
    <w:uiPriority w:val="99"/>
    <w:qFormat/>
    <w:pPr>
      <w:widowControl/>
      <w:overflowPunct w:val="0"/>
      <w:autoSpaceDE w:val="0"/>
      <w:autoSpaceDN w:val="0"/>
      <w:adjustRightInd w:val="0"/>
      <w:spacing w:line="480" w:lineRule="exact"/>
      <w:ind w:leftChars="0" w:left="0" w:firstLineChars="177" w:firstLine="425"/>
    </w:pPr>
    <w:rPr>
      <w:rFonts w:ascii="宋体" w:hAnsi="宋体" w:cs="宋体"/>
      <w:color w:val="000000"/>
      <w:kern w:val="0"/>
      <w:sz w:val="28"/>
      <w:szCs w:val="20"/>
      <w:lang w:val="en-GB"/>
    </w:rPr>
  </w:style>
  <w:style w:type="paragraph" w:customStyle="1" w:styleId="afffffffe">
    <w:name w:val="表体"/>
    <w:basedOn w:val="afffb"/>
    <w:next w:val="a0"/>
    <w:autoRedefine/>
    <w:uiPriority w:val="99"/>
    <w:qFormat/>
    <w:pPr>
      <w:overflowPunct w:val="0"/>
      <w:spacing w:line="360" w:lineRule="exact"/>
      <w:ind w:left="-57" w:right="-57"/>
    </w:pPr>
    <w:rPr>
      <w:color w:val="000080"/>
      <w:kern w:val="24"/>
      <w:szCs w:val="20"/>
    </w:rPr>
  </w:style>
  <w:style w:type="paragraph" w:customStyle="1" w:styleId="085">
    <w:name w:val="样式 样式表格 + 首行缩进:  0.85 厘米"/>
    <w:basedOn w:val="affffff1"/>
    <w:next w:val="a0"/>
    <w:autoRedefine/>
    <w:uiPriority w:val="99"/>
    <w:qFormat/>
    <w:pPr>
      <w:spacing w:line="320" w:lineRule="exact"/>
    </w:pPr>
    <w:rPr>
      <w:rFonts w:cs="宋体"/>
      <w:szCs w:val="20"/>
    </w:rPr>
  </w:style>
  <w:style w:type="paragraph" w:customStyle="1" w:styleId="y0">
    <w:name w:val="y表头"/>
    <w:basedOn w:val="af2"/>
    <w:next w:val="a0"/>
    <w:autoRedefine/>
    <w:uiPriority w:val="99"/>
    <w:qFormat/>
    <w:pPr>
      <w:tabs>
        <w:tab w:val="left" w:pos="900"/>
      </w:tabs>
      <w:adjustRightInd w:val="0"/>
      <w:spacing w:after="0"/>
      <w:ind w:firstLineChars="177" w:firstLine="425"/>
      <w:jc w:val="center"/>
    </w:pPr>
    <w:rPr>
      <w:rFonts w:ascii="宋体" w:eastAsia="楷体_GB2312" w:hAnsi="宋体" w:cstheme="minorBidi" w:hint="eastAsia"/>
      <w:b/>
      <w:sz w:val="24"/>
      <w:szCs w:val="20"/>
    </w:rPr>
  </w:style>
  <w:style w:type="paragraph" w:customStyle="1" w:styleId="xl32">
    <w:name w:val="xl32"/>
    <w:basedOn w:val="1"/>
    <w:next w:val="a0"/>
    <w:autoRedefine/>
    <w:uiPriority w:val="99"/>
    <w:qFormat/>
    <w:pPr>
      <w:keepNext w:val="0"/>
      <w:keepLines w:val="0"/>
      <w:widowControl/>
      <w:pBdr>
        <w:top w:val="single" w:sz="12" w:space="0" w:color="auto"/>
        <w:right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yz">
    <w:name w:val="yz"/>
    <w:basedOn w:val="af2"/>
    <w:next w:val="a0"/>
    <w:autoRedefine/>
    <w:uiPriority w:val="99"/>
    <w:qFormat/>
    <w:pPr>
      <w:tabs>
        <w:tab w:val="left" w:pos="900"/>
      </w:tabs>
      <w:adjustRightInd w:val="0"/>
      <w:spacing w:after="0"/>
      <w:ind w:firstLineChars="200" w:firstLine="200"/>
    </w:pPr>
    <w:rPr>
      <w:rFonts w:ascii="宋体" w:hAnsi="宋体" w:cstheme="minorBidi" w:hint="eastAsia"/>
      <w:sz w:val="24"/>
      <w:szCs w:val="20"/>
    </w:rPr>
  </w:style>
  <w:style w:type="paragraph" w:customStyle="1" w:styleId="1f7">
    <w:name w:val="图表目录1"/>
    <w:basedOn w:val="17"/>
    <w:next w:val="17"/>
    <w:autoRedefine/>
    <w:uiPriority w:val="99"/>
    <w:qFormat/>
    <w:pPr>
      <w:tabs>
        <w:tab w:val="right" w:leader="dot" w:pos="8051"/>
      </w:tabs>
      <w:ind w:left="840" w:hanging="840"/>
    </w:pPr>
    <w:rPr>
      <w:rFonts w:hAnsi="Calibri"/>
      <w:szCs w:val="20"/>
    </w:rPr>
  </w:style>
  <w:style w:type="character" w:customStyle="1" w:styleId="001Char1">
    <w:name w:val="正文001 Char1"/>
    <w:link w:val="001"/>
    <w:qFormat/>
    <w:locked/>
    <w:rPr>
      <w:rFonts w:ascii="Arial" w:hAnsi="Arial" w:cs="Arial"/>
      <w:sz w:val="24"/>
    </w:rPr>
  </w:style>
  <w:style w:type="paragraph" w:customStyle="1" w:styleId="001">
    <w:name w:val="正文001"/>
    <w:basedOn w:val="1"/>
    <w:next w:val="a0"/>
    <w:link w:val="001Char1"/>
    <w:autoRedefine/>
    <w:qFormat/>
    <w:pPr>
      <w:keepNext w:val="0"/>
      <w:keepLines w:val="0"/>
      <w:spacing w:before="60" w:after="0" w:line="360" w:lineRule="auto"/>
      <w:ind w:firstLineChars="200" w:firstLine="200"/>
      <w:outlineLvl w:val="9"/>
    </w:pPr>
    <w:rPr>
      <w:rFonts w:ascii="Arial" w:eastAsiaTheme="minorEastAsia" w:hAnsi="Arial" w:cs="Arial"/>
      <w:b w:val="0"/>
      <w:bCs w:val="0"/>
      <w:kern w:val="2"/>
      <w:sz w:val="24"/>
      <w:szCs w:val="22"/>
    </w:rPr>
  </w:style>
  <w:style w:type="paragraph" w:customStyle="1" w:styleId="xl28">
    <w:name w:val="xl28"/>
    <w:basedOn w:val="1"/>
    <w:next w:val="a0"/>
    <w:autoRedefine/>
    <w:uiPriority w:val="99"/>
    <w:qFormat/>
    <w:pPr>
      <w:keepNext w:val="0"/>
      <w:keepLines w:val="0"/>
      <w:widowControl/>
      <w:pBdr>
        <w:bottom w:val="single" w:sz="8" w:space="0" w:color="auto"/>
        <w:right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Charf2">
    <w:name w:val="表 头 Char"/>
    <w:basedOn w:val="1"/>
    <w:next w:val="a0"/>
    <w:autoRedefine/>
    <w:uiPriority w:val="99"/>
    <w:qFormat/>
    <w:pPr>
      <w:keepNext w:val="0"/>
      <w:keepLines w:val="0"/>
      <w:adjustRightInd w:val="0"/>
      <w:spacing w:before="120" w:after="120" w:line="360" w:lineRule="atLeast"/>
      <w:ind w:firstLineChars="177" w:firstLine="425"/>
      <w:jc w:val="center"/>
      <w:outlineLvl w:val="9"/>
    </w:pPr>
    <w:rPr>
      <w:rFonts w:eastAsia="黑体"/>
      <w:b w:val="0"/>
      <w:bCs w:val="0"/>
      <w:spacing w:val="10"/>
      <w:kern w:val="0"/>
      <w:sz w:val="24"/>
      <w:szCs w:val="20"/>
    </w:rPr>
  </w:style>
  <w:style w:type="paragraph" w:customStyle="1" w:styleId="65">
    <w:name w:val="6"/>
    <w:basedOn w:val="1"/>
    <w:next w:val="a4"/>
    <w:autoRedefine/>
    <w:uiPriority w:val="99"/>
    <w:qFormat/>
    <w:pPr>
      <w:keepNext w:val="0"/>
      <w:keepLines w:val="0"/>
      <w:spacing w:before="0" w:after="0" w:line="400" w:lineRule="exact"/>
      <w:ind w:firstLineChars="215" w:firstLine="516"/>
      <w:outlineLvl w:val="9"/>
    </w:pPr>
    <w:rPr>
      <w:b w:val="0"/>
      <w:bCs w:val="0"/>
      <w:kern w:val="2"/>
      <w:sz w:val="24"/>
      <w:szCs w:val="24"/>
    </w:rPr>
  </w:style>
  <w:style w:type="character" w:customStyle="1" w:styleId="cucd-TBChar">
    <w:name w:val="cucd-TB Char"/>
    <w:link w:val="cucd-TB"/>
    <w:qFormat/>
    <w:locked/>
    <w:rPr>
      <w:szCs w:val="24"/>
    </w:rPr>
  </w:style>
  <w:style w:type="paragraph" w:customStyle="1" w:styleId="cucd-TB">
    <w:name w:val="cucd-TB"/>
    <w:next w:val="a0"/>
    <w:link w:val="cucd-TBChar"/>
    <w:autoRedefine/>
    <w:qFormat/>
    <w:pPr>
      <w:spacing w:line="360" w:lineRule="auto"/>
      <w:jc w:val="center"/>
    </w:pPr>
    <w:rPr>
      <w:rFonts w:asciiTheme="minorHAnsi" w:eastAsiaTheme="minorEastAsia" w:hAnsiTheme="minorHAnsi" w:cstheme="minorBidi"/>
      <w:kern w:val="2"/>
      <w:sz w:val="21"/>
      <w:szCs w:val="24"/>
    </w:rPr>
  </w:style>
  <w:style w:type="paragraph" w:customStyle="1" w:styleId="affffffff">
    <w:name w:val="标准条文"/>
    <w:basedOn w:val="Default"/>
    <w:next w:val="Default"/>
    <w:autoRedefine/>
    <w:uiPriority w:val="99"/>
    <w:qFormat/>
    <w:rPr>
      <w:rFonts w:hAnsi="Calibri" w:cs="Times New Roman"/>
      <w:color w:val="auto"/>
    </w:rPr>
  </w:style>
  <w:style w:type="paragraph" w:customStyle="1" w:styleId="ParaCharCharCharCharCharChar1CharCharCharChar">
    <w:name w:val="默认段落字体 Para Char Char Char Char Char Char1 Char Char Char Char"/>
    <w:basedOn w:val="1"/>
    <w:next w:val="a0"/>
    <w:autoRedefine/>
    <w:uiPriority w:val="99"/>
    <w:qFormat/>
    <w:pPr>
      <w:keepNext w:val="0"/>
      <w:keepLines w:val="0"/>
      <w:snapToGrid w:val="0"/>
      <w:spacing w:before="0" w:after="0" w:line="360" w:lineRule="auto"/>
      <w:ind w:firstLineChars="200" w:firstLine="200"/>
      <w:outlineLvl w:val="9"/>
    </w:pPr>
    <w:rPr>
      <w:rFonts w:eastAsia="仿宋_GB2312"/>
      <w:b w:val="0"/>
      <w:bCs w:val="0"/>
      <w:kern w:val="2"/>
      <w:sz w:val="24"/>
      <w:szCs w:val="24"/>
    </w:rPr>
  </w:style>
  <w:style w:type="paragraph" w:customStyle="1" w:styleId="1f8">
    <w:name w:val="1文章"/>
    <w:basedOn w:val="1"/>
    <w:next w:val="a0"/>
    <w:autoRedefine/>
    <w:uiPriority w:val="99"/>
    <w:qFormat/>
    <w:pPr>
      <w:keepNext w:val="0"/>
      <w:keepLines w:val="0"/>
      <w:snapToGrid w:val="0"/>
      <w:spacing w:before="0" w:after="0" w:line="420" w:lineRule="auto"/>
      <w:ind w:firstLineChars="177" w:firstLine="516"/>
      <w:outlineLvl w:val="9"/>
    </w:pPr>
    <w:rPr>
      <w:b w:val="0"/>
      <w:bCs w:val="0"/>
      <w:color w:val="000000"/>
      <w:kern w:val="2"/>
      <w:sz w:val="24"/>
      <w:szCs w:val="24"/>
    </w:rPr>
  </w:style>
  <w:style w:type="character" w:customStyle="1" w:styleId="cucd-TB-HeadChar">
    <w:name w:val="cucd-TB-Head Char"/>
    <w:link w:val="cucd-TB-Head"/>
    <w:qFormat/>
    <w:locked/>
    <w:rPr>
      <w:rFonts w:ascii="宋体" w:eastAsia="黑体" w:hAnsi="宋体"/>
      <w:color w:val="548DD4"/>
      <w:sz w:val="24"/>
      <w:szCs w:val="21"/>
    </w:rPr>
  </w:style>
  <w:style w:type="paragraph" w:customStyle="1" w:styleId="cucd-TB-Head">
    <w:name w:val="cucd-TB-Head"/>
    <w:basedOn w:val="1"/>
    <w:next w:val="cucd-0"/>
    <w:link w:val="cucd-TB-HeadChar"/>
    <w:autoRedefine/>
    <w:qFormat/>
    <w:pPr>
      <w:keepNext w:val="0"/>
      <w:keepLines w:val="0"/>
      <w:spacing w:before="120" w:after="0" w:line="360" w:lineRule="auto"/>
      <w:ind w:firstLineChars="177" w:firstLine="425"/>
      <w:jc w:val="center"/>
      <w:outlineLvl w:val="9"/>
    </w:pPr>
    <w:rPr>
      <w:rFonts w:ascii="宋体" w:eastAsia="黑体" w:hAnsi="宋体" w:cstheme="minorBidi"/>
      <w:b w:val="0"/>
      <w:bCs w:val="0"/>
      <w:color w:val="548DD4"/>
      <w:kern w:val="2"/>
      <w:sz w:val="24"/>
      <w:szCs w:val="21"/>
    </w:rPr>
  </w:style>
  <w:style w:type="character" w:customStyle="1" w:styleId="Char1b">
    <w:name w:val="表 头 Char1"/>
    <w:link w:val="affffffff0"/>
    <w:qFormat/>
    <w:locked/>
    <w:rPr>
      <w:rFonts w:ascii="黑体" w:eastAsia="黑体" w:hAnsi="黑体"/>
      <w:spacing w:val="10"/>
      <w:sz w:val="24"/>
    </w:rPr>
  </w:style>
  <w:style w:type="paragraph" w:customStyle="1" w:styleId="affffffff0">
    <w:name w:val="表 头"/>
    <w:basedOn w:val="1"/>
    <w:next w:val="a0"/>
    <w:link w:val="Char1b"/>
    <w:autoRedefine/>
    <w:qFormat/>
    <w:pPr>
      <w:keepNext w:val="0"/>
      <w:keepLines w:val="0"/>
      <w:adjustRightInd w:val="0"/>
      <w:spacing w:before="60" w:after="120" w:line="360" w:lineRule="atLeast"/>
      <w:ind w:firstLineChars="177" w:firstLine="425"/>
      <w:jc w:val="center"/>
      <w:outlineLvl w:val="9"/>
    </w:pPr>
    <w:rPr>
      <w:rFonts w:ascii="黑体" w:eastAsia="黑体" w:hAnsi="黑体" w:cstheme="minorBidi"/>
      <w:b w:val="0"/>
      <w:bCs w:val="0"/>
      <w:spacing w:val="10"/>
      <w:kern w:val="2"/>
      <w:sz w:val="24"/>
      <w:szCs w:val="22"/>
    </w:rPr>
  </w:style>
  <w:style w:type="paragraph" w:customStyle="1" w:styleId="CharChar1Char">
    <w:name w:val="Char Char1 Char"/>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affffffff1">
    <w:name w:val="报告书表格"/>
    <w:basedOn w:val="1"/>
    <w:next w:val="a0"/>
    <w:autoRedefine/>
    <w:uiPriority w:val="99"/>
    <w:qFormat/>
    <w:pPr>
      <w:keepNext w:val="0"/>
      <w:keepLines w:val="0"/>
      <w:adjustRightInd w:val="0"/>
      <w:spacing w:before="60" w:after="60" w:line="240" w:lineRule="atLeast"/>
      <w:ind w:firstLineChars="177" w:firstLine="425"/>
      <w:jc w:val="center"/>
      <w:outlineLvl w:val="9"/>
    </w:pPr>
    <w:rPr>
      <w:b w:val="0"/>
      <w:bCs w:val="0"/>
      <w:kern w:val="0"/>
      <w:sz w:val="24"/>
      <w:szCs w:val="20"/>
    </w:rPr>
  </w:style>
  <w:style w:type="paragraph" w:customStyle="1" w:styleId="affffffff2">
    <w:name w:val="段"/>
    <w:next w:val="a0"/>
    <w:autoRedefine/>
    <w:uiPriority w:val="99"/>
    <w:qFormat/>
    <w:pPr>
      <w:autoSpaceDE w:val="0"/>
      <w:autoSpaceDN w:val="0"/>
      <w:ind w:firstLineChars="200" w:firstLine="200"/>
      <w:jc w:val="both"/>
    </w:pPr>
    <w:rPr>
      <w:rFonts w:ascii="宋体"/>
      <w:sz w:val="21"/>
    </w:rPr>
  </w:style>
  <w:style w:type="paragraph" w:customStyle="1" w:styleId="CharCharCharCharCharCharCharChar2CharCharCharCharCharCharCharCharCharCharCharCharChar">
    <w:name w:val="Char Char Char Char Char Char Char Char2 Char Char Char Char Char Char Char Char Char Char Char Char Char"/>
    <w:basedOn w:val="1"/>
    <w:next w:val="a0"/>
    <w:autoRedefine/>
    <w:uiPriority w:val="99"/>
    <w:qFormat/>
    <w:pPr>
      <w:keepNext w:val="0"/>
      <w:keepLines w:val="0"/>
      <w:spacing w:before="0" w:after="0" w:line="336" w:lineRule="auto"/>
      <w:ind w:firstLineChars="200" w:firstLine="200"/>
      <w:outlineLvl w:val="9"/>
    </w:pPr>
    <w:rPr>
      <w:rFonts w:ascii="宋体" w:eastAsia="汉鼎简书宋" w:hAnsi="宋体" w:cs="宋体"/>
      <w:b w:val="0"/>
      <w:bCs w:val="0"/>
      <w:spacing w:val="4"/>
      <w:kern w:val="2"/>
      <w:sz w:val="24"/>
      <w:szCs w:val="24"/>
    </w:rPr>
  </w:style>
  <w:style w:type="paragraph" w:customStyle="1" w:styleId="affffffff3">
    <w:name w:val="表头名称"/>
    <w:basedOn w:val="a9"/>
    <w:next w:val="a0"/>
    <w:autoRedefine/>
    <w:uiPriority w:val="99"/>
    <w:qFormat/>
    <w:pPr>
      <w:autoSpaceDE w:val="0"/>
      <w:autoSpaceDN w:val="0"/>
      <w:snapToGrid/>
      <w:spacing w:line="360" w:lineRule="auto"/>
      <w:ind w:firstLineChars="177" w:firstLine="0"/>
      <w:jc w:val="center"/>
    </w:pPr>
    <w:rPr>
      <w:rFonts w:ascii="黑体" w:eastAsia="黑体" w:hAnsi="宋体"/>
      <w:sz w:val="24"/>
      <w:szCs w:val="20"/>
    </w:rPr>
  </w:style>
  <w:style w:type="paragraph" w:customStyle="1" w:styleId="font12">
    <w:name w:val="font12"/>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rFonts w:ascii="Symbol" w:hAnsi="Symbol" w:cs="宋体"/>
      <w:b w:val="0"/>
      <w:bCs w:val="0"/>
      <w:color w:val="000000"/>
      <w:kern w:val="0"/>
      <w:sz w:val="24"/>
      <w:szCs w:val="21"/>
    </w:rPr>
  </w:style>
  <w:style w:type="paragraph" w:customStyle="1" w:styleId="AFTERTITLE">
    <w:name w:val="AFTERTITLE"/>
    <w:basedOn w:val="1"/>
    <w:next w:val="a0"/>
    <w:autoRedefine/>
    <w:uiPriority w:val="99"/>
    <w:qFormat/>
    <w:pPr>
      <w:keepNext w:val="0"/>
      <w:keepLines w:val="0"/>
      <w:widowControl/>
      <w:spacing w:before="0" w:after="0" w:line="360" w:lineRule="atLeast"/>
      <w:ind w:firstLineChars="200" w:firstLine="200"/>
      <w:jc w:val="center"/>
      <w:outlineLvl w:val="9"/>
    </w:pPr>
    <w:rPr>
      <w:bCs w:val="0"/>
      <w:caps/>
      <w:kern w:val="0"/>
      <w:sz w:val="24"/>
      <w:szCs w:val="20"/>
      <w:lang w:val="fr-FR"/>
    </w:rPr>
  </w:style>
  <w:style w:type="paragraph" w:customStyle="1" w:styleId="font6">
    <w:name w:val="font6"/>
    <w:basedOn w:val="1"/>
    <w:next w:val="a0"/>
    <w:autoRedefine/>
    <w:uiPriority w:val="99"/>
    <w:qFormat/>
    <w:pPr>
      <w:keepNext w:val="0"/>
      <w:keepLines w:val="0"/>
      <w:widowControl/>
      <w:spacing w:before="100" w:beforeAutospacing="1" w:after="100" w:afterAutospacing="1" w:line="500" w:lineRule="atLeast"/>
      <w:ind w:firstLineChars="177" w:firstLine="425"/>
      <w:jc w:val="left"/>
      <w:outlineLvl w:val="9"/>
    </w:pPr>
    <w:rPr>
      <w:b w:val="0"/>
      <w:bCs w:val="0"/>
      <w:color w:val="000000"/>
      <w:kern w:val="0"/>
      <w:sz w:val="24"/>
      <w:szCs w:val="21"/>
    </w:rPr>
  </w:style>
  <w:style w:type="paragraph" w:customStyle="1" w:styleId="affffffff4">
    <w:name w:val="表序"/>
    <w:basedOn w:val="1"/>
    <w:next w:val="a0"/>
    <w:autoRedefine/>
    <w:uiPriority w:val="99"/>
    <w:qFormat/>
    <w:pPr>
      <w:keepNext w:val="0"/>
      <w:keepLines w:val="0"/>
      <w:snapToGrid w:val="0"/>
      <w:spacing w:before="0" w:after="0" w:line="400" w:lineRule="exact"/>
      <w:ind w:firstLineChars="177" w:firstLine="425"/>
      <w:outlineLvl w:val="9"/>
    </w:pPr>
    <w:rPr>
      <w:rFonts w:ascii="宋体" w:hAnsi="宋体"/>
      <w:b w:val="0"/>
      <w:bCs w:val="0"/>
      <w:kern w:val="0"/>
      <w:sz w:val="24"/>
      <w:szCs w:val="20"/>
    </w:rPr>
  </w:style>
  <w:style w:type="paragraph" w:customStyle="1" w:styleId="2f9">
    <w:name w:val="段落2"/>
    <w:basedOn w:val="1"/>
    <w:next w:val="a0"/>
    <w:autoRedefine/>
    <w:uiPriority w:val="99"/>
    <w:qFormat/>
    <w:pPr>
      <w:keepNext w:val="0"/>
      <w:keepLines w:val="0"/>
      <w:adjustRightInd w:val="0"/>
      <w:spacing w:before="0" w:after="0" w:line="440" w:lineRule="atLeast"/>
      <w:ind w:firstLineChars="177" w:firstLine="425"/>
      <w:outlineLvl w:val="9"/>
    </w:pPr>
    <w:rPr>
      <w:b w:val="0"/>
      <w:bCs w:val="0"/>
      <w:spacing w:val="6"/>
      <w:kern w:val="2"/>
      <w:sz w:val="28"/>
      <w:szCs w:val="20"/>
    </w:rPr>
  </w:style>
  <w:style w:type="paragraph" w:customStyle="1" w:styleId="affffffff5">
    <w:name w:val="公式题注"/>
    <w:next w:val="a0"/>
    <w:autoRedefine/>
    <w:uiPriority w:val="99"/>
    <w:qFormat/>
    <w:pPr>
      <w:spacing w:line="0" w:lineRule="atLeast"/>
      <w:jc w:val="right"/>
    </w:pPr>
    <w:rPr>
      <w:rFonts w:eastAsia="黑体"/>
      <w:kern w:val="2"/>
      <w:sz w:val="24"/>
    </w:rPr>
  </w:style>
  <w:style w:type="paragraph" w:customStyle="1" w:styleId="1f9">
    <w:name w:val="尾注文本1"/>
    <w:basedOn w:val="17"/>
    <w:next w:val="a0"/>
    <w:autoRedefine/>
    <w:uiPriority w:val="99"/>
    <w:qFormat/>
    <w:rPr>
      <w:rFonts w:hAnsi="Calibri"/>
      <w:sz w:val="21"/>
      <w:szCs w:val="20"/>
    </w:rPr>
  </w:style>
  <w:style w:type="paragraph" w:customStyle="1" w:styleId="1fa">
    <w:name w:val="正文文字缩进1"/>
    <w:basedOn w:val="a4"/>
    <w:next w:val="a0"/>
    <w:autoRedefine/>
    <w:uiPriority w:val="99"/>
    <w:qFormat/>
    <w:pPr>
      <w:spacing w:line="360" w:lineRule="auto"/>
      <w:ind w:firstLineChars="0" w:firstLine="551"/>
    </w:pPr>
    <w:rPr>
      <w:rFonts w:ascii="黑体" w:eastAsia="黑体"/>
      <w:b/>
      <w:sz w:val="28"/>
      <w:szCs w:val="20"/>
    </w:rPr>
  </w:style>
  <w:style w:type="character" w:customStyle="1" w:styleId="4Char">
    <w:name w:val="样式4 Char"/>
    <w:link w:val="46"/>
    <w:qFormat/>
    <w:locked/>
    <w:rPr>
      <w:rFonts w:ascii="宋体" w:eastAsia="宋体" w:hAnsi="宋体"/>
      <w:bCs/>
      <w:sz w:val="24"/>
      <w:szCs w:val="24"/>
    </w:rPr>
  </w:style>
  <w:style w:type="paragraph" w:customStyle="1" w:styleId="46">
    <w:name w:val="样式4"/>
    <w:basedOn w:val="af2"/>
    <w:next w:val="a0"/>
    <w:link w:val="4Char"/>
    <w:autoRedefine/>
    <w:qFormat/>
    <w:pPr>
      <w:spacing w:before="156" w:after="0" w:line="360" w:lineRule="auto"/>
      <w:ind w:firstLineChars="200" w:firstLine="480"/>
    </w:pPr>
    <w:rPr>
      <w:rFonts w:ascii="宋体" w:hAnsi="宋体" w:cstheme="minorBidi"/>
      <w:bCs/>
      <w:sz w:val="24"/>
    </w:rPr>
  </w:style>
  <w:style w:type="paragraph" w:customStyle="1" w:styleId="affffffff6">
    <w:name w:val="项目编号"/>
    <w:basedOn w:val="1"/>
    <w:next w:val="a0"/>
    <w:autoRedefine/>
    <w:uiPriority w:val="99"/>
    <w:qFormat/>
    <w:pPr>
      <w:keepNext w:val="0"/>
      <w:keepLines w:val="0"/>
      <w:spacing w:before="120" w:after="120" w:line="360" w:lineRule="auto"/>
      <w:ind w:firstLineChars="177" w:firstLine="425"/>
      <w:outlineLvl w:val="9"/>
    </w:pPr>
    <w:rPr>
      <w:b w:val="0"/>
      <w:bCs w:val="0"/>
      <w:kern w:val="2"/>
      <w:sz w:val="24"/>
      <w:szCs w:val="20"/>
    </w:rPr>
  </w:style>
  <w:style w:type="paragraph" w:customStyle="1" w:styleId="CharCharCharCharCharCharCharCharCharCharChar">
    <w:name w:val="Char Char Char Char Char Char Char Char Char Char Char"/>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4"/>
    </w:rPr>
  </w:style>
  <w:style w:type="paragraph" w:customStyle="1" w:styleId="2220">
    <w:name w:val="样式 样式 样式 首行缩进:  2 字符 + 首行缩进:  2 字符 + 首行缩进:  2 字符"/>
    <w:basedOn w:val="1"/>
    <w:next w:val="a0"/>
    <w:autoRedefine/>
    <w:uiPriority w:val="99"/>
    <w:qFormat/>
    <w:pPr>
      <w:keepNext w:val="0"/>
      <w:keepLines w:val="0"/>
      <w:spacing w:before="0" w:after="0" w:line="500" w:lineRule="atLeast"/>
      <w:ind w:firstLineChars="200" w:firstLine="567"/>
      <w:outlineLvl w:val="9"/>
    </w:pPr>
    <w:rPr>
      <w:rFonts w:ascii="宋体"/>
      <w:b w:val="0"/>
      <w:bCs w:val="0"/>
      <w:kern w:val="2"/>
      <w:sz w:val="27"/>
      <w:szCs w:val="20"/>
    </w:rPr>
  </w:style>
  <w:style w:type="paragraph" w:customStyle="1" w:styleId="affffffff7">
    <w:name w:val="表、图名"/>
    <w:basedOn w:val="1"/>
    <w:next w:val="a0"/>
    <w:autoRedefine/>
    <w:uiPriority w:val="99"/>
    <w:qFormat/>
    <w:pPr>
      <w:keepNext w:val="0"/>
      <w:keepLines w:val="0"/>
      <w:adjustRightInd w:val="0"/>
      <w:snapToGrid w:val="0"/>
      <w:spacing w:before="0" w:after="0" w:line="360" w:lineRule="auto"/>
      <w:ind w:firstLineChars="177" w:firstLine="482"/>
      <w:jc w:val="center"/>
      <w:outlineLvl w:val="9"/>
    </w:pPr>
    <w:rPr>
      <w:rFonts w:hAnsi="宋体"/>
      <w:bCs w:val="0"/>
      <w:color w:val="000000"/>
      <w:kern w:val="0"/>
      <w:sz w:val="24"/>
      <w:szCs w:val="21"/>
    </w:rPr>
  </w:style>
  <w:style w:type="paragraph" w:customStyle="1" w:styleId="1fb">
    <w:name w:val="正文 1"/>
    <w:basedOn w:val="1"/>
    <w:next w:val="a0"/>
    <w:autoRedefine/>
    <w:uiPriority w:val="99"/>
    <w:qFormat/>
    <w:pPr>
      <w:keepNext w:val="0"/>
      <w:keepLines w:val="0"/>
      <w:spacing w:before="0" w:after="0" w:line="480" w:lineRule="exact"/>
      <w:ind w:firstLineChars="177" w:firstLine="567"/>
      <w:outlineLvl w:val="9"/>
    </w:pPr>
    <w:rPr>
      <w:b w:val="0"/>
      <w:bCs w:val="0"/>
      <w:kern w:val="2"/>
      <w:sz w:val="28"/>
      <w:szCs w:val="20"/>
    </w:rPr>
  </w:style>
  <w:style w:type="paragraph" w:customStyle="1" w:styleId="z">
    <w:name w:val="z正文"/>
    <w:basedOn w:val="a4"/>
    <w:next w:val="a0"/>
    <w:autoRedefine/>
    <w:uiPriority w:val="99"/>
    <w:qFormat/>
    <w:pPr>
      <w:autoSpaceDE w:val="0"/>
      <w:autoSpaceDN w:val="0"/>
      <w:adjustRightInd w:val="0"/>
      <w:snapToGrid w:val="0"/>
      <w:spacing w:line="360" w:lineRule="auto"/>
      <w:ind w:firstLine="200"/>
    </w:pPr>
  </w:style>
  <w:style w:type="paragraph" w:customStyle="1" w:styleId="154">
    <w:name w:val="样式 日期 + 宋体 行距: 1.5 倍行距"/>
    <w:basedOn w:val="af6"/>
    <w:next w:val="a0"/>
    <w:autoRedefine/>
    <w:uiPriority w:val="99"/>
    <w:qFormat/>
    <w:pPr>
      <w:widowControl/>
      <w:overflowPunct w:val="0"/>
      <w:autoSpaceDE w:val="0"/>
      <w:autoSpaceDN w:val="0"/>
      <w:adjustRightInd w:val="0"/>
      <w:spacing w:line="480" w:lineRule="exact"/>
      <w:ind w:leftChars="0" w:left="0" w:firstLineChars="200" w:firstLine="200"/>
    </w:pPr>
    <w:rPr>
      <w:rFonts w:ascii="宋体" w:hAnsi="宋体" w:cs="宋体"/>
      <w:color w:val="000000"/>
      <w:kern w:val="0"/>
      <w:sz w:val="28"/>
      <w:szCs w:val="20"/>
      <w:lang w:val="en-GB"/>
    </w:rPr>
  </w:style>
  <w:style w:type="paragraph" w:customStyle="1" w:styleId="xl49">
    <w:name w:val="xl49"/>
    <w:basedOn w:val="1"/>
    <w:next w:val="a0"/>
    <w:autoRedefine/>
    <w:uiPriority w:val="99"/>
    <w:qFormat/>
    <w:pPr>
      <w:keepNext w:val="0"/>
      <w:keepLines w:val="0"/>
      <w:widowControl/>
      <w:pBdr>
        <w:left w:val="single" w:sz="8"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xl25">
    <w:name w:val="xl25"/>
    <w:basedOn w:val="1"/>
    <w:next w:val="a0"/>
    <w:autoRedefine/>
    <w:uiPriority w:val="99"/>
    <w:qFormat/>
    <w:pPr>
      <w:keepNext w:val="0"/>
      <w:keepLines w:val="0"/>
      <w:widowControl/>
      <w:pBdr>
        <w:left w:val="single" w:sz="4" w:space="0" w:color="auto"/>
        <w:bottom w:val="single" w:sz="4" w:space="0" w:color="auto"/>
        <w:right w:val="single" w:sz="4" w:space="0" w:color="auto"/>
      </w:pBdr>
      <w:autoSpaceDE w:val="0"/>
      <w:autoSpaceDN w:val="0"/>
      <w:snapToGrid w:val="0"/>
      <w:spacing w:before="100" w:beforeAutospacing="1" w:after="100" w:afterAutospacing="1" w:line="500" w:lineRule="atLeast"/>
      <w:ind w:firstLineChars="177" w:firstLine="425"/>
      <w:jc w:val="center"/>
      <w:outlineLvl w:val="9"/>
    </w:pPr>
    <w:rPr>
      <w:rFonts w:ascii="Arial Unicode MS" w:eastAsia="Arial Unicode MS" w:hAnsi="Arial Unicode MS"/>
      <w:b w:val="0"/>
      <w:bCs w:val="0"/>
      <w:kern w:val="0"/>
      <w:sz w:val="24"/>
      <w:szCs w:val="20"/>
    </w:rPr>
  </w:style>
  <w:style w:type="paragraph" w:customStyle="1" w:styleId="CharCharCharCharCharCharCharCharCharChar">
    <w:name w:val="Char Char Char Char Char Char Char Char Char Char"/>
    <w:basedOn w:val="1"/>
    <w:next w:val="a0"/>
    <w:autoRedefine/>
    <w:uiPriority w:val="99"/>
    <w:qFormat/>
    <w:pPr>
      <w:keepNext w:val="0"/>
      <w:keepLines w:val="0"/>
      <w:spacing w:before="0" w:after="0" w:line="500" w:lineRule="atLeast"/>
      <w:ind w:firstLineChars="177" w:firstLine="425"/>
      <w:jc w:val="center"/>
      <w:outlineLvl w:val="9"/>
    </w:pPr>
    <w:rPr>
      <w:rFonts w:ascii="黑体" w:eastAsia="黑体" w:hAnsi="宋体"/>
      <w:bCs w:val="0"/>
      <w:color w:val="000000"/>
      <w:kern w:val="24"/>
      <w:sz w:val="32"/>
      <w:szCs w:val="32"/>
    </w:rPr>
  </w:style>
  <w:style w:type="paragraph" w:customStyle="1" w:styleId="affffffff8">
    <w:name w:val="表内字"/>
    <w:next w:val="a0"/>
    <w:autoRedefine/>
    <w:uiPriority w:val="99"/>
    <w:qFormat/>
    <w:pPr>
      <w:spacing w:line="312" w:lineRule="auto"/>
      <w:jc w:val="center"/>
    </w:pPr>
    <w:rPr>
      <w:color w:val="000000"/>
      <w:sz w:val="21"/>
    </w:rPr>
  </w:style>
  <w:style w:type="paragraph" w:customStyle="1" w:styleId="affffffff9">
    <w:name w:val="表的格式（小四）"/>
    <w:basedOn w:val="1"/>
    <w:next w:val="a0"/>
    <w:autoRedefine/>
    <w:uiPriority w:val="99"/>
    <w:qFormat/>
    <w:pPr>
      <w:keepNext w:val="0"/>
      <w:keepLines w:val="0"/>
      <w:adjustRightInd w:val="0"/>
      <w:spacing w:before="0" w:after="0" w:line="360" w:lineRule="atLeast"/>
      <w:ind w:firstLineChars="177" w:firstLine="425"/>
      <w:jc w:val="center"/>
      <w:outlineLvl w:val="9"/>
    </w:pPr>
    <w:rPr>
      <w:b w:val="0"/>
      <w:bCs w:val="0"/>
      <w:kern w:val="0"/>
      <w:sz w:val="24"/>
      <w:szCs w:val="20"/>
    </w:rPr>
  </w:style>
  <w:style w:type="paragraph" w:customStyle="1" w:styleId="112">
    <w:name w:val="列出段落11"/>
    <w:basedOn w:val="1"/>
    <w:next w:val="a0"/>
    <w:autoRedefine/>
    <w:uiPriority w:val="99"/>
    <w:qFormat/>
    <w:pPr>
      <w:keepNext w:val="0"/>
      <w:keepLines w:val="0"/>
      <w:spacing w:before="0" w:after="0" w:line="500" w:lineRule="atLeast"/>
      <w:ind w:firstLineChars="200" w:firstLine="420"/>
      <w:outlineLvl w:val="9"/>
    </w:pPr>
    <w:rPr>
      <w:rFonts w:ascii="Calibri" w:hAnsi="Calibri"/>
      <w:b w:val="0"/>
      <w:bCs w:val="0"/>
      <w:kern w:val="2"/>
      <w:sz w:val="24"/>
      <w:szCs w:val="24"/>
    </w:rPr>
  </w:style>
  <w:style w:type="paragraph" w:customStyle="1" w:styleId="acee">
    <w:name w:val="acee正文"/>
    <w:basedOn w:val="1"/>
    <w:next w:val="a0"/>
    <w:autoRedefine/>
    <w:uiPriority w:val="99"/>
    <w:qFormat/>
    <w:pPr>
      <w:keepNext w:val="0"/>
      <w:keepLines w:val="0"/>
      <w:spacing w:before="0" w:after="0" w:line="480" w:lineRule="exact"/>
      <w:ind w:firstLineChars="200" w:firstLine="640"/>
      <w:outlineLvl w:val="9"/>
    </w:pPr>
    <w:rPr>
      <w:rFonts w:ascii="仿宋_GB2312" w:eastAsia="仿宋_GB2312" w:hAnsi="宋体"/>
      <w:b w:val="0"/>
      <w:bCs w:val="0"/>
      <w:kern w:val="2"/>
      <w:sz w:val="32"/>
      <w:szCs w:val="24"/>
    </w:rPr>
  </w:style>
  <w:style w:type="paragraph" w:customStyle="1" w:styleId="xl56">
    <w:name w:val="xl56"/>
    <w:basedOn w:val="1"/>
    <w:next w:val="a0"/>
    <w:autoRedefine/>
    <w:uiPriority w:val="99"/>
    <w:qFormat/>
    <w:pPr>
      <w:keepNext w:val="0"/>
      <w:keepLines w:val="0"/>
      <w:widowControl/>
      <w:pBdr>
        <w:top w:val="single" w:sz="12" w:space="0" w:color="auto"/>
        <w:left w:val="single" w:sz="8" w:space="0" w:color="auto"/>
        <w:bottom w:val="single" w:sz="8" w:space="0" w:color="auto"/>
      </w:pBdr>
      <w:spacing w:before="100" w:beforeAutospacing="1" w:after="100" w:afterAutospacing="1" w:line="500" w:lineRule="atLeast"/>
      <w:ind w:firstLineChars="177" w:firstLine="425"/>
      <w:jc w:val="center"/>
      <w:outlineLvl w:val="9"/>
    </w:pPr>
    <w:rPr>
      <w:rFonts w:ascii="宋体" w:hAnsi="宋体" w:cs="宋体"/>
      <w:b w:val="0"/>
      <w:bCs w:val="0"/>
      <w:color w:val="000000"/>
      <w:kern w:val="0"/>
      <w:sz w:val="24"/>
      <w:szCs w:val="21"/>
    </w:rPr>
  </w:style>
  <w:style w:type="paragraph" w:customStyle="1" w:styleId="EIA2">
    <w:name w:val="EIA标题2"/>
    <w:basedOn w:val="20"/>
    <w:next w:val="a0"/>
    <w:autoRedefine/>
    <w:uiPriority w:val="99"/>
    <w:qFormat/>
    <w:pPr>
      <w:tabs>
        <w:tab w:val="left" w:pos="576"/>
      </w:tabs>
      <w:spacing w:before="0" w:after="120" w:line="440" w:lineRule="exact"/>
      <w:ind w:firstLineChars="177" w:firstLine="425"/>
      <w:jc w:val="left"/>
    </w:pPr>
    <w:rPr>
      <w:rFonts w:ascii="Times New Roman" w:eastAsia="黑体" w:hAnsi="Times New Roman" w:cs="Times New Roman"/>
      <w:b w:val="0"/>
      <w:bCs w:val="0"/>
      <w:color w:val="000000"/>
      <w:sz w:val="24"/>
      <w:szCs w:val="20"/>
    </w:rPr>
  </w:style>
  <w:style w:type="paragraph" w:customStyle="1" w:styleId="affffffffa">
    <w:name w:val="样式"/>
    <w:basedOn w:val="1"/>
    <w:next w:val="a0"/>
    <w:autoRedefine/>
    <w:uiPriority w:val="99"/>
    <w:qFormat/>
    <w:pPr>
      <w:keepNext w:val="0"/>
      <w:keepLines w:val="0"/>
      <w:pBdr>
        <w:bottom w:val="single" w:sz="4" w:space="1" w:color="auto"/>
      </w:pBdr>
      <w:spacing w:before="0" w:after="0" w:line="500" w:lineRule="atLeast"/>
      <w:ind w:firstLineChars="177" w:firstLine="425"/>
      <w:outlineLvl w:val="9"/>
    </w:pPr>
    <w:rPr>
      <w:b w:val="0"/>
      <w:bCs w:val="0"/>
      <w:kern w:val="2"/>
      <w:sz w:val="18"/>
      <w:szCs w:val="24"/>
    </w:rPr>
  </w:style>
  <w:style w:type="paragraph" w:customStyle="1" w:styleId="446626">
    <w:name w:val="样式 标题 4常用标题 4 + 段前: 6 磅 段后: 6 磅 行距: 固定值 26 磅"/>
    <w:basedOn w:val="4"/>
    <w:next w:val="a0"/>
    <w:autoRedefine/>
    <w:uiPriority w:val="99"/>
    <w:qFormat/>
    <w:pPr>
      <w:tabs>
        <w:tab w:val="left" w:pos="2250"/>
      </w:tabs>
      <w:spacing w:before="0" w:after="0" w:line="240" w:lineRule="auto"/>
      <w:ind w:left="2250" w:firstLineChars="177" w:hanging="420"/>
    </w:pPr>
    <w:rPr>
      <w:rFonts w:ascii="Arial" w:eastAsia="黑体" w:hAnsi="Arial" w:cs="宋体"/>
      <w:szCs w:val="20"/>
    </w:rPr>
  </w:style>
  <w:style w:type="paragraph" w:customStyle="1" w:styleId="EIA">
    <w:name w:val="EIA正文"/>
    <w:basedOn w:val="1"/>
    <w:next w:val="a0"/>
    <w:autoRedefine/>
    <w:uiPriority w:val="99"/>
    <w:qFormat/>
    <w:pPr>
      <w:keepNext w:val="0"/>
      <w:keepLines w:val="0"/>
      <w:spacing w:before="0" w:after="0" w:line="360" w:lineRule="auto"/>
      <w:ind w:firstLineChars="177" w:firstLine="578"/>
      <w:outlineLvl w:val="9"/>
    </w:pPr>
    <w:rPr>
      <w:rFonts w:ascii="宋体" w:hAnsi="宋体"/>
      <w:b w:val="0"/>
      <w:bCs w:val="0"/>
      <w:kern w:val="2"/>
      <w:sz w:val="24"/>
      <w:szCs w:val="20"/>
    </w:rPr>
  </w:style>
  <w:style w:type="paragraph" w:customStyle="1" w:styleId="55">
    <w:name w:val="5"/>
    <w:basedOn w:val="1"/>
    <w:next w:val="a9"/>
    <w:autoRedefine/>
    <w:uiPriority w:val="99"/>
    <w:qFormat/>
    <w:pPr>
      <w:keepNext w:val="0"/>
      <w:keepLines w:val="0"/>
      <w:spacing w:before="0" w:after="0" w:line="500" w:lineRule="atLeast"/>
      <w:ind w:firstLineChars="177" w:firstLine="420"/>
      <w:outlineLvl w:val="9"/>
    </w:pPr>
    <w:rPr>
      <w:b w:val="0"/>
      <w:bCs w:val="0"/>
      <w:kern w:val="2"/>
      <w:sz w:val="24"/>
      <w:szCs w:val="21"/>
    </w:rPr>
  </w:style>
  <w:style w:type="paragraph" w:customStyle="1" w:styleId="affffffffb">
    <w:name w:val="+正文"/>
    <w:basedOn w:val="1"/>
    <w:next w:val="a0"/>
    <w:autoRedefine/>
    <w:uiPriority w:val="99"/>
    <w:qFormat/>
    <w:pPr>
      <w:keepNext w:val="0"/>
      <w:keepLines w:val="0"/>
      <w:adjustRightInd w:val="0"/>
      <w:snapToGrid w:val="0"/>
      <w:spacing w:before="0" w:after="0" w:line="360" w:lineRule="auto"/>
      <w:ind w:firstLineChars="200" w:firstLine="200"/>
      <w:outlineLvl w:val="9"/>
    </w:pPr>
    <w:rPr>
      <w:b w:val="0"/>
      <w:bCs w:val="0"/>
      <w:kern w:val="2"/>
      <w:sz w:val="24"/>
      <w:szCs w:val="28"/>
    </w:rPr>
  </w:style>
  <w:style w:type="paragraph" w:customStyle="1" w:styleId="155">
    <w:name w:val="样式 宋体 四号 两端对齐 行距: 1.5 倍行距"/>
    <w:basedOn w:val="1"/>
    <w:next w:val="a0"/>
    <w:autoRedefine/>
    <w:uiPriority w:val="99"/>
    <w:qFormat/>
    <w:pPr>
      <w:keepNext w:val="0"/>
      <w:keepLines w:val="0"/>
      <w:widowControl/>
      <w:overflowPunct w:val="0"/>
      <w:autoSpaceDE w:val="0"/>
      <w:autoSpaceDN w:val="0"/>
      <w:adjustRightInd w:val="0"/>
      <w:spacing w:before="0" w:after="0" w:line="480" w:lineRule="exact"/>
      <w:ind w:firstLineChars="200" w:firstLine="200"/>
      <w:outlineLvl w:val="9"/>
    </w:pPr>
    <w:rPr>
      <w:rFonts w:ascii="宋体" w:hAnsi="宋体" w:cs="宋体"/>
      <w:b w:val="0"/>
      <w:bCs w:val="0"/>
      <w:kern w:val="0"/>
      <w:sz w:val="28"/>
      <w:szCs w:val="20"/>
      <w:lang w:val="en-GB"/>
    </w:rPr>
  </w:style>
  <w:style w:type="character" w:customStyle="1" w:styleId="snCharChar">
    <w:name w:val="sn Char Char"/>
    <w:link w:val="sn"/>
    <w:qFormat/>
    <w:locked/>
    <w:rPr>
      <w:rFonts w:ascii="Arial" w:hAnsi="Arial" w:cs="Arial"/>
      <w:sz w:val="24"/>
      <w:szCs w:val="24"/>
    </w:rPr>
  </w:style>
  <w:style w:type="paragraph" w:customStyle="1" w:styleId="sn">
    <w:name w:val="sn"/>
    <w:basedOn w:val="aff6"/>
    <w:next w:val="a0"/>
    <w:link w:val="snCharChar"/>
    <w:autoRedefine/>
    <w:qFormat/>
    <w:pPr>
      <w:spacing w:line="240" w:lineRule="auto"/>
      <w:ind w:firstLineChars="200" w:firstLine="480"/>
    </w:pPr>
    <w:rPr>
      <w:rFonts w:ascii="Arial" w:eastAsiaTheme="minorEastAsia" w:hAnsi="Arial" w:cs="Arial"/>
    </w:rPr>
  </w:style>
  <w:style w:type="paragraph" w:customStyle="1" w:styleId="CharCharCharChar2">
    <w:name w:val="Char Char Char Char2"/>
    <w:basedOn w:val="1"/>
    <w:next w:val="a0"/>
    <w:autoRedefine/>
    <w:uiPriority w:val="99"/>
    <w:qFormat/>
    <w:pPr>
      <w:keepNext w:val="0"/>
      <w:keepLines w:val="0"/>
      <w:spacing w:before="0" w:after="0" w:line="500" w:lineRule="atLeast"/>
      <w:ind w:firstLineChars="177" w:firstLine="425"/>
      <w:outlineLvl w:val="9"/>
    </w:pPr>
    <w:rPr>
      <w:b w:val="0"/>
      <w:bCs w:val="0"/>
      <w:kern w:val="2"/>
      <w:sz w:val="24"/>
      <w:szCs w:val="24"/>
    </w:rPr>
  </w:style>
  <w:style w:type="paragraph" w:customStyle="1" w:styleId="1fc">
    <w:name w:val="1表格"/>
    <w:basedOn w:val="a9"/>
    <w:autoRedefine/>
    <w:uiPriority w:val="99"/>
    <w:qFormat/>
    <w:pPr>
      <w:spacing w:line="500" w:lineRule="atLeast"/>
      <w:ind w:firstLineChars="177" w:firstLine="425"/>
      <w:jc w:val="center"/>
    </w:pPr>
    <w:rPr>
      <w:color w:val="000000"/>
      <w:spacing w:val="4"/>
      <w:kern w:val="0"/>
      <w:sz w:val="24"/>
    </w:rPr>
  </w:style>
  <w:style w:type="paragraph" w:customStyle="1" w:styleId="333CharTimesNew3">
    <w:name w:val="样式 标题 3样式　标题 3　自动设置标题 3 Char章 + Times New 表题3"/>
    <w:basedOn w:val="3"/>
    <w:next w:val="a0"/>
    <w:autoRedefine/>
    <w:uiPriority w:val="99"/>
    <w:qFormat/>
    <w:pPr>
      <w:tabs>
        <w:tab w:val="left" w:pos="1830"/>
        <w:tab w:val="left" w:pos="3800"/>
        <w:tab w:val="left" w:pos="5200"/>
      </w:tabs>
      <w:autoSpaceDE w:val="0"/>
      <w:autoSpaceDN w:val="0"/>
      <w:adjustRightInd w:val="0"/>
      <w:spacing w:before="120" w:after="0" w:line="240" w:lineRule="auto"/>
      <w:ind w:left="1830" w:hanging="420"/>
    </w:pPr>
    <w:rPr>
      <w:rFonts w:ascii="Times New Roman" w:hAnsi="Times New Roman"/>
      <w:b/>
      <w:bCs/>
      <w:kern w:val="0"/>
      <w:sz w:val="28"/>
      <w:szCs w:val="28"/>
    </w:rPr>
  </w:style>
  <w:style w:type="paragraph" w:customStyle="1" w:styleId="BulletIndent">
    <w:name w:val="Bullet_Indent"/>
    <w:basedOn w:val="1"/>
    <w:next w:val="a0"/>
    <w:autoRedefine/>
    <w:uiPriority w:val="99"/>
    <w:qFormat/>
    <w:pPr>
      <w:keepNext w:val="0"/>
      <w:keepLines w:val="0"/>
      <w:widowControl/>
      <w:spacing w:before="0" w:after="240" w:line="500" w:lineRule="atLeast"/>
      <w:ind w:left="1440" w:firstLineChars="177" w:hanging="720"/>
      <w:jc w:val="left"/>
      <w:outlineLvl w:val="9"/>
    </w:pPr>
    <w:rPr>
      <w:b w:val="0"/>
      <w:bCs w:val="0"/>
      <w:kern w:val="0"/>
      <w:sz w:val="24"/>
      <w:szCs w:val="20"/>
    </w:rPr>
  </w:style>
  <w:style w:type="paragraph" w:customStyle="1" w:styleId="zhengwen">
    <w:name w:val="zhengwen"/>
    <w:basedOn w:val="1"/>
    <w:next w:val="a0"/>
    <w:autoRedefine/>
    <w:uiPriority w:val="99"/>
    <w:qFormat/>
    <w:pPr>
      <w:keepNext w:val="0"/>
      <w:keepLines w:val="0"/>
      <w:widowControl/>
      <w:spacing w:before="100" w:beforeAutospacing="1" w:after="100" w:afterAutospacing="1" w:line="800" w:lineRule="atLeast"/>
      <w:ind w:firstLineChars="177" w:firstLine="425"/>
      <w:jc w:val="left"/>
      <w:outlineLvl w:val="9"/>
    </w:pPr>
    <w:rPr>
      <w:rFonts w:ascii="Arial Unicode MS" w:hAnsi="Arial Unicode MS"/>
      <w:b w:val="0"/>
      <w:bCs w:val="0"/>
      <w:color w:val="333333"/>
      <w:kern w:val="0"/>
      <w:sz w:val="18"/>
      <w:szCs w:val="18"/>
    </w:rPr>
  </w:style>
  <w:style w:type="paragraph" w:customStyle="1" w:styleId="xl50">
    <w:name w:val="xl50"/>
    <w:basedOn w:val="1"/>
    <w:next w:val="a0"/>
    <w:autoRedefine/>
    <w:uiPriority w:val="99"/>
    <w:qFormat/>
    <w:pPr>
      <w:keepNext w:val="0"/>
      <w:keepLines w:val="0"/>
      <w:widowControl/>
      <w:pBdr>
        <w:left w:val="single" w:sz="8" w:space="0" w:color="auto"/>
        <w:bottom w:val="single" w:sz="8" w:space="0" w:color="auto"/>
        <w:right w:val="single" w:sz="8" w:space="0" w:color="auto"/>
      </w:pBdr>
      <w:spacing w:before="100" w:beforeAutospacing="1" w:after="100" w:afterAutospacing="1" w:line="500" w:lineRule="atLeast"/>
      <w:ind w:firstLineChars="177" w:firstLine="425"/>
      <w:jc w:val="center"/>
      <w:outlineLvl w:val="9"/>
    </w:pPr>
    <w:rPr>
      <w:b w:val="0"/>
      <w:bCs w:val="0"/>
      <w:color w:val="000000"/>
      <w:kern w:val="0"/>
      <w:sz w:val="24"/>
      <w:szCs w:val="21"/>
    </w:rPr>
  </w:style>
  <w:style w:type="paragraph" w:customStyle="1" w:styleId="2fa">
    <w:name w:val="表格2"/>
    <w:basedOn w:val="1"/>
    <w:next w:val="a0"/>
    <w:autoRedefine/>
    <w:uiPriority w:val="99"/>
    <w:qFormat/>
    <w:pPr>
      <w:keepNext w:val="0"/>
      <w:keepLines w:val="0"/>
      <w:spacing w:beforeLines="5" w:after="0" w:line="500" w:lineRule="atLeast"/>
      <w:ind w:firstLineChars="177" w:firstLine="425"/>
      <w:jc w:val="center"/>
      <w:outlineLvl w:val="9"/>
    </w:pPr>
    <w:rPr>
      <w:rFonts w:ascii="宋体"/>
      <w:b w:val="0"/>
      <w:bCs w:val="0"/>
      <w:kern w:val="2"/>
      <w:sz w:val="24"/>
      <w:szCs w:val="20"/>
    </w:rPr>
  </w:style>
  <w:style w:type="paragraph" w:customStyle="1" w:styleId="CharCharCharChar1CharCharChar1CharCharChar">
    <w:name w:val="Char Char Char Char1 Char Char Char1 Char Char Char"/>
    <w:basedOn w:val="1"/>
    <w:next w:val="a0"/>
    <w:autoRedefine/>
    <w:uiPriority w:val="99"/>
    <w:qFormat/>
    <w:pPr>
      <w:keepNext w:val="0"/>
      <w:keepLines w:val="0"/>
      <w:spacing w:before="0" w:after="0" w:line="360" w:lineRule="auto"/>
      <w:ind w:firstLineChars="200" w:firstLine="200"/>
      <w:outlineLvl w:val="9"/>
    </w:pPr>
    <w:rPr>
      <w:rFonts w:ascii="宋体" w:hAnsi="宋体" w:cs="宋体"/>
      <w:b w:val="0"/>
      <w:bCs w:val="0"/>
      <w:kern w:val="2"/>
      <w:sz w:val="24"/>
      <w:szCs w:val="24"/>
    </w:rPr>
  </w:style>
  <w:style w:type="paragraph" w:customStyle="1" w:styleId="IDCA-Head2ndLine">
    <w:name w:val="IDC A-Head (2nd Line)"/>
    <w:basedOn w:val="1"/>
    <w:next w:val="a0"/>
    <w:autoRedefine/>
    <w:uiPriority w:val="99"/>
    <w:qFormat/>
    <w:pPr>
      <w:keepNext w:val="0"/>
      <w:keepLines w:val="0"/>
      <w:widowControl/>
      <w:numPr>
        <w:numId w:val="1"/>
      </w:numPr>
      <w:spacing w:before="0" w:after="0" w:line="500" w:lineRule="atLeast"/>
      <w:ind w:firstLineChars="177" w:firstLine="177"/>
      <w:jc w:val="center"/>
      <w:outlineLvl w:val="9"/>
    </w:pPr>
    <w:rPr>
      <w:b w:val="0"/>
      <w:bCs w:val="0"/>
      <w:caps/>
      <w:kern w:val="0"/>
      <w:sz w:val="24"/>
      <w:szCs w:val="20"/>
    </w:rPr>
  </w:style>
  <w:style w:type="paragraph" w:customStyle="1" w:styleId="affffffffc">
    <w:name w:val="表格文字（黑体）"/>
    <w:basedOn w:val="affff7"/>
    <w:next w:val="a0"/>
    <w:autoRedefine/>
    <w:uiPriority w:val="99"/>
    <w:qFormat/>
    <w:rPr>
      <w:rFonts w:ascii="Times New Roman" w:eastAsia="宋体" w:hAnsi="Times New Roman"/>
      <w:kern w:val="2"/>
      <w:sz w:val="21"/>
    </w:rPr>
  </w:style>
  <w:style w:type="paragraph" w:customStyle="1" w:styleId="BodyText21">
    <w:name w:val="Body Text 21"/>
    <w:basedOn w:val="1"/>
    <w:next w:val="a0"/>
    <w:autoRedefine/>
    <w:uiPriority w:val="99"/>
    <w:qFormat/>
    <w:pPr>
      <w:keepNext w:val="0"/>
      <w:keepLines w:val="0"/>
      <w:autoSpaceDE w:val="0"/>
      <w:autoSpaceDN w:val="0"/>
      <w:adjustRightInd w:val="0"/>
      <w:spacing w:before="0" w:after="0" w:line="480" w:lineRule="exact"/>
      <w:ind w:firstLineChars="177" w:firstLine="540"/>
      <w:outlineLvl w:val="9"/>
    </w:pPr>
    <w:rPr>
      <w:rFonts w:ascii="宋体" w:hAnsi="Tms Rmn"/>
      <w:b w:val="0"/>
      <w:bCs w:val="0"/>
      <w:kern w:val="0"/>
      <w:sz w:val="24"/>
      <w:szCs w:val="20"/>
    </w:rPr>
  </w:style>
  <w:style w:type="character" w:customStyle="1" w:styleId="Charf3">
    <w:name w:val="二级标题 Char"/>
    <w:basedOn w:val="21"/>
    <w:link w:val="affffffffd"/>
    <w:qFormat/>
    <w:locked/>
    <w:rPr>
      <w:rFonts w:ascii="Arial" w:eastAsia="黑体" w:hAnsi="黑体" w:cs="Arial"/>
      <w:b/>
      <w:bCs/>
      <w:color w:val="000000"/>
      <w:kern w:val="0"/>
      <w:sz w:val="28"/>
      <w:szCs w:val="30"/>
    </w:rPr>
  </w:style>
  <w:style w:type="paragraph" w:customStyle="1" w:styleId="affffffffd">
    <w:name w:val="二级标题"/>
    <w:basedOn w:val="20"/>
    <w:next w:val="a0"/>
    <w:link w:val="Charf3"/>
    <w:autoRedefine/>
    <w:qFormat/>
    <w:pPr>
      <w:spacing w:before="200" w:after="200" w:line="360" w:lineRule="auto"/>
    </w:pPr>
    <w:rPr>
      <w:rFonts w:ascii="Arial" w:eastAsia="黑体" w:hAnsi="黑体" w:cs="Arial"/>
      <w:color w:val="000000"/>
      <w:kern w:val="0"/>
      <w:sz w:val="28"/>
      <w:szCs w:val="30"/>
    </w:rPr>
  </w:style>
  <w:style w:type="paragraph" w:customStyle="1" w:styleId="affffffffe">
    <w:name w:val="正文曹"/>
    <w:basedOn w:val="a4"/>
    <w:next w:val="a0"/>
    <w:autoRedefine/>
    <w:uiPriority w:val="99"/>
    <w:qFormat/>
    <w:pPr>
      <w:widowControl/>
      <w:spacing w:line="500" w:lineRule="exact"/>
      <w:jc w:val="left"/>
    </w:pPr>
    <w:rPr>
      <w:rFonts w:ascii="宋体" w:hAnsi="宋体"/>
      <w:color w:val="000000"/>
    </w:rPr>
  </w:style>
  <w:style w:type="character" w:customStyle="1" w:styleId="2CharChar">
    <w:name w:val="【标题2】 Char Char"/>
    <w:link w:val="2fb"/>
    <w:qFormat/>
    <w:locked/>
    <w:rPr>
      <w:rFonts w:ascii="宋体" w:eastAsia="宋体" w:hAnsi="宋体"/>
      <w:b/>
      <w:bCs/>
      <w:sz w:val="28"/>
    </w:rPr>
  </w:style>
  <w:style w:type="paragraph" w:customStyle="1" w:styleId="2fb">
    <w:name w:val="【标题2】"/>
    <w:basedOn w:val="20"/>
    <w:next w:val="a0"/>
    <w:link w:val="2CharChar"/>
    <w:autoRedefine/>
    <w:qFormat/>
    <w:pPr>
      <w:keepNext w:val="0"/>
      <w:tabs>
        <w:tab w:val="left" w:pos="720"/>
      </w:tabs>
      <w:spacing w:before="0" w:after="0" w:line="440" w:lineRule="exact"/>
    </w:pPr>
    <w:rPr>
      <w:rFonts w:ascii="宋体" w:eastAsia="宋体" w:hAnsi="宋体" w:cstheme="minorBidi"/>
      <w:sz w:val="28"/>
      <w:szCs w:val="22"/>
    </w:rPr>
  </w:style>
  <w:style w:type="character" w:customStyle="1" w:styleId="Charf4">
    <w:name w:val="表格内正文 Char"/>
    <w:link w:val="afffffffff"/>
    <w:qFormat/>
    <w:locked/>
    <w:rPr>
      <w:rFonts w:ascii="宋体" w:eastAsia="宋体" w:hAnsi="宋体"/>
      <w:szCs w:val="24"/>
    </w:rPr>
  </w:style>
  <w:style w:type="paragraph" w:customStyle="1" w:styleId="afffffffff">
    <w:name w:val="表格内正文"/>
    <w:basedOn w:val="1"/>
    <w:next w:val="a0"/>
    <w:link w:val="Charf4"/>
    <w:autoRedefine/>
    <w:qFormat/>
    <w:pPr>
      <w:keepNext w:val="0"/>
      <w:keepLines w:val="0"/>
      <w:spacing w:before="0" w:after="0" w:line="360" w:lineRule="auto"/>
      <w:jc w:val="center"/>
      <w:outlineLvl w:val="9"/>
    </w:pPr>
    <w:rPr>
      <w:rFonts w:ascii="宋体" w:hAnsi="宋体" w:cstheme="minorBidi"/>
      <w:b w:val="0"/>
      <w:bCs w:val="0"/>
      <w:kern w:val="2"/>
      <w:sz w:val="21"/>
      <w:szCs w:val="24"/>
    </w:rPr>
  </w:style>
  <w:style w:type="paragraph" w:customStyle="1" w:styleId="cucd-00">
    <w:name w:val="样式 cucd-0 + 宋体"/>
    <w:basedOn w:val="cucd-0"/>
    <w:next w:val="a0"/>
    <w:autoRedefine/>
    <w:uiPriority w:val="99"/>
    <w:qFormat/>
    <w:rPr>
      <w:rFonts w:ascii="宋体" w:hAnsi="宋体"/>
    </w:rPr>
  </w:style>
  <w:style w:type="paragraph" w:customStyle="1" w:styleId="CharCharCharCharCharCharCharCharCharCharCharChar1CharCharCharCharCharCharCharCharCharCharCharChar1Char">
    <w:name w:val="Char Char Char Char Char Char Char Char Char Char Char Char1 Char Char Char Char Char Char Char Char Char Char Char Char1 Char"/>
    <w:basedOn w:val="1"/>
    <w:next w:val="a0"/>
    <w:autoRedefine/>
    <w:uiPriority w:val="99"/>
    <w:semiHidden/>
    <w:qFormat/>
    <w:pPr>
      <w:keepNext w:val="0"/>
      <w:keepLines w:val="0"/>
      <w:spacing w:before="0" w:after="0" w:line="336" w:lineRule="auto"/>
      <w:ind w:firstLineChars="200" w:firstLine="200"/>
      <w:outlineLvl w:val="9"/>
    </w:pPr>
    <w:rPr>
      <w:rFonts w:ascii="宋体" w:eastAsia="汉鼎简书宋" w:hAnsi="宋体" w:cs="宋体"/>
      <w:b w:val="0"/>
      <w:bCs w:val="0"/>
      <w:kern w:val="2"/>
      <w:sz w:val="24"/>
      <w:szCs w:val="24"/>
    </w:rPr>
  </w:style>
  <w:style w:type="paragraph" w:customStyle="1" w:styleId="CharCharChar1Char">
    <w:name w:val="Char Char Char1 Char"/>
    <w:basedOn w:val="1"/>
    <w:next w:val="a0"/>
    <w:autoRedefine/>
    <w:uiPriority w:val="99"/>
    <w:semiHidden/>
    <w:qFormat/>
    <w:pPr>
      <w:keepNext w:val="0"/>
      <w:keepLines w:val="0"/>
      <w:spacing w:before="0" w:after="0" w:line="500" w:lineRule="atLeast"/>
      <w:ind w:firstLineChars="177" w:firstLine="425"/>
      <w:outlineLvl w:val="9"/>
    </w:pPr>
    <w:rPr>
      <w:b w:val="0"/>
      <w:bCs w:val="0"/>
      <w:kern w:val="2"/>
      <w:sz w:val="24"/>
      <w:szCs w:val="24"/>
    </w:rPr>
  </w:style>
  <w:style w:type="paragraph" w:customStyle="1" w:styleId="afffffffff0">
    <w:name w:val="正文(a)"/>
    <w:basedOn w:val="1"/>
    <w:next w:val="a0"/>
    <w:autoRedefine/>
    <w:uiPriority w:val="99"/>
    <w:semiHidden/>
    <w:qFormat/>
    <w:pPr>
      <w:keepNext w:val="0"/>
      <w:keepLines w:val="0"/>
      <w:widowControl/>
      <w:tabs>
        <w:tab w:val="left" w:pos="1139"/>
        <w:tab w:val="left" w:pos="1332"/>
      </w:tabs>
      <w:spacing w:before="0" w:after="0" w:line="351" w:lineRule="atLeast"/>
      <w:ind w:left="-141" w:firstLineChars="177" w:firstLine="566"/>
      <w:outlineLvl w:val="9"/>
    </w:pPr>
    <w:rPr>
      <w:rFonts w:ascii="宋体" w:cs="宋体"/>
      <w:b w:val="0"/>
      <w:color w:val="000000"/>
      <w:spacing w:val="5"/>
      <w:kern w:val="0"/>
      <w:sz w:val="24"/>
      <w:szCs w:val="21"/>
      <w:u w:color="000000"/>
    </w:rPr>
  </w:style>
  <w:style w:type="character" w:styleId="afffffffff1">
    <w:name w:val="Placeholder Text"/>
    <w:basedOn w:val="a1"/>
    <w:uiPriority w:val="99"/>
    <w:semiHidden/>
    <w:qFormat/>
    <w:rPr>
      <w:color w:val="808080"/>
    </w:rPr>
  </w:style>
  <w:style w:type="character" w:customStyle="1" w:styleId="Char1c">
    <w:name w:val="页脚 Char1"/>
    <w:basedOn w:val="a1"/>
    <w:uiPriority w:val="99"/>
    <w:semiHidden/>
    <w:qFormat/>
    <w:rPr>
      <w:rFonts w:ascii="Times New Roman" w:eastAsia="宋体" w:hAnsi="Times New Roman" w:cs="Times New Roman"/>
      <w:sz w:val="18"/>
      <w:szCs w:val="18"/>
    </w:rPr>
  </w:style>
  <w:style w:type="character" w:customStyle="1" w:styleId="Char1d">
    <w:name w:val="文档结构图 Char1"/>
    <w:basedOn w:val="a1"/>
    <w:uiPriority w:val="99"/>
    <w:semiHidden/>
    <w:qFormat/>
    <w:rPr>
      <w:rFonts w:ascii="宋体" w:eastAsia="宋体" w:hAnsi="Times New Roman" w:cs="Times New Roman"/>
      <w:sz w:val="18"/>
      <w:szCs w:val="18"/>
    </w:rPr>
  </w:style>
  <w:style w:type="character" w:customStyle="1" w:styleId="Char1e">
    <w:name w:val="副标题 Char1"/>
    <w:basedOn w:val="a1"/>
    <w:uiPriority w:val="11"/>
    <w:qFormat/>
    <w:rPr>
      <w:rFonts w:asciiTheme="majorHAnsi" w:eastAsia="宋体" w:hAnsiTheme="majorHAnsi" w:cstheme="majorBidi"/>
      <w:b/>
      <w:bCs/>
      <w:kern w:val="28"/>
      <w:sz w:val="32"/>
      <w:szCs w:val="32"/>
    </w:rPr>
  </w:style>
  <w:style w:type="character" w:customStyle="1" w:styleId="fontstyle21">
    <w:name w:val="fontstyle21"/>
    <w:basedOn w:val="a1"/>
    <w:qFormat/>
    <w:rPr>
      <w:rFonts w:ascii="Times New Roman" w:hAnsi="Times New Roman" w:cs="Times New Roman" w:hint="default"/>
      <w:color w:val="000000"/>
      <w:sz w:val="24"/>
      <w:szCs w:val="24"/>
    </w:rPr>
  </w:style>
  <w:style w:type="character" w:customStyle="1" w:styleId="2Char12">
    <w:name w:val="正文文本 2 Char1"/>
    <w:basedOn w:val="a1"/>
    <w:semiHidden/>
    <w:qFormat/>
    <w:rPr>
      <w:rFonts w:ascii="Times New Roman" w:eastAsia="宋体" w:hAnsi="Times New Roman" w:cs="Times New Roman"/>
      <w:szCs w:val="24"/>
    </w:rPr>
  </w:style>
  <w:style w:type="character" w:customStyle="1" w:styleId="3Char10">
    <w:name w:val="正文文本 3 Char1"/>
    <w:basedOn w:val="a1"/>
    <w:semiHidden/>
    <w:qFormat/>
    <w:rPr>
      <w:rFonts w:ascii="Times New Roman" w:eastAsia="宋体" w:hAnsi="Times New Roman" w:cs="Times New Roman"/>
      <w:sz w:val="16"/>
      <w:szCs w:val="16"/>
    </w:rPr>
  </w:style>
  <w:style w:type="character" w:customStyle="1" w:styleId="3Char11">
    <w:name w:val="正文文本缩进 3 Char1"/>
    <w:basedOn w:val="a1"/>
    <w:uiPriority w:val="99"/>
    <w:semiHidden/>
    <w:qFormat/>
    <w:rPr>
      <w:rFonts w:ascii="Times New Roman" w:eastAsia="宋体" w:hAnsi="Times New Roman" w:cs="Times New Roman"/>
      <w:sz w:val="16"/>
      <w:szCs w:val="16"/>
    </w:rPr>
  </w:style>
  <w:style w:type="character" w:customStyle="1" w:styleId="Char1f">
    <w:name w:val="批注主题 Char1"/>
    <w:basedOn w:val="Char16"/>
    <w:uiPriority w:val="99"/>
    <w:semiHidden/>
    <w:qFormat/>
    <w:rPr>
      <w:rFonts w:ascii="Times New Roman" w:eastAsia="宋体" w:hAnsi="Times New Roman" w:cs="Times New Roman"/>
      <w:b/>
      <w:bCs/>
      <w:szCs w:val="24"/>
    </w:rPr>
  </w:style>
  <w:style w:type="character" w:customStyle="1" w:styleId="Char1f0">
    <w:name w:val="批注框文本 Char1"/>
    <w:basedOn w:val="a1"/>
    <w:semiHidden/>
    <w:qFormat/>
    <w:rPr>
      <w:rFonts w:ascii="Times New Roman" w:eastAsia="宋体" w:hAnsi="Times New Roman" w:cs="Times New Roman"/>
      <w:sz w:val="18"/>
      <w:szCs w:val="18"/>
    </w:rPr>
  </w:style>
  <w:style w:type="character" w:customStyle="1" w:styleId="CharChar3">
    <w:name w:val="【正文】 Char Char"/>
    <w:qFormat/>
    <w:rPr>
      <w:sz w:val="24"/>
    </w:rPr>
  </w:style>
  <w:style w:type="character" w:customStyle="1" w:styleId="fontstyle31">
    <w:name w:val="fontstyle31"/>
    <w:basedOn w:val="a1"/>
    <w:qFormat/>
    <w:rPr>
      <w:rFonts w:ascii="TimesNewRomanPS-ItalicMT" w:hAnsi="TimesNewRomanPS-ItalicMT" w:hint="default"/>
      <w:i/>
      <w:iCs/>
      <w:color w:val="000000"/>
      <w:sz w:val="14"/>
      <w:szCs w:val="14"/>
    </w:rPr>
  </w:style>
  <w:style w:type="character" w:customStyle="1" w:styleId="Char1CharChar">
    <w:name w:val="表正文 Char1 Char Char"/>
    <w:qFormat/>
    <w:rPr>
      <w:sz w:val="24"/>
    </w:rPr>
  </w:style>
  <w:style w:type="character" w:customStyle="1" w:styleId="style81">
    <w:name w:val="style81"/>
    <w:qFormat/>
    <w:rPr>
      <w:rFonts w:ascii="宋体" w:eastAsia="黑体" w:hAnsi="宋体" w:cs="宋体" w:hint="eastAsia"/>
      <w:kern w:val="2"/>
      <w:sz w:val="24"/>
      <w:szCs w:val="24"/>
      <w:lang w:val="en-US" w:eastAsia="zh-CN" w:bidi="ar-SA"/>
    </w:rPr>
  </w:style>
  <w:style w:type="character" w:customStyle="1" w:styleId="zoe1CharChar">
    <w:name w:val="样式 正文zoe + 幼圆1 Char Char"/>
    <w:qFormat/>
    <w:rPr>
      <w:rFonts w:ascii="幼圆" w:eastAsia="宋体" w:hAnsi="幼圆" w:cs="Times New Roman" w:hint="eastAsia"/>
      <w:kern w:val="0"/>
      <w:sz w:val="24"/>
      <w:szCs w:val="20"/>
    </w:rPr>
  </w:style>
  <w:style w:type="character" w:customStyle="1" w:styleId="CharChar4">
    <w:name w:val="正文(首行缩进) Char Char"/>
    <w:qFormat/>
    <w:rPr>
      <w:snapToGrid w:val="0"/>
      <w:sz w:val="24"/>
      <w:szCs w:val="24"/>
    </w:rPr>
  </w:style>
  <w:style w:type="character" w:customStyle="1" w:styleId="CharChar5">
    <w:name w:val="表格 Char Char"/>
    <w:qFormat/>
    <w:rPr>
      <w:rFonts w:ascii="宋体" w:eastAsia="宋体" w:hAnsi="宋体" w:cs="Times New Roman" w:hint="eastAsia"/>
      <w:snapToGrid w:val="0"/>
      <w:kern w:val="0"/>
      <w:sz w:val="20"/>
      <w:szCs w:val="20"/>
    </w:rPr>
  </w:style>
  <w:style w:type="character" w:customStyle="1" w:styleId="CharChar17">
    <w:name w:val="Char Char17"/>
    <w:qFormat/>
    <w:rPr>
      <w:rFonts w:ascii="Times New Roman" w:eastAsia="黑体" w:hAnsi="Times New Roman" w:cs="Times New Roman" w:hint="default"/>
      <w:bCs/>
      <w:color w:val="000000"/>
      <w:sz w:val="28"/>
      <w:szCs w:val="28"/>
    </w:rPr>
  </w:style>
  <w:style w:type="character" w:customStyle="1" w:styleId="CharChar16">
    <w:name w:val="Char Char16"/>
    <w:qFormat/>
    <w:rPr>
      <w:rFonts w:ascii="Times New Roman" w:eastAsia="宋体" w:hAnsi="Times New Roman" w:cs="Times New Roman" w:hint="default"/>
      <w:b/>
      <w:bCs/>
      <w:color w:val="000000"/>
      <w:sz w:val="28"/>
      <w:szCs w:val="28"/>
    </w:rPr>
  </w:style>
  <w:style w:type="character" w:customStyle="1" w:styleId="CharChar6">
    <w:name w:val="正文文本缩进 Char Char"/>
    <w:basedOn w:val="a1"/>
    <w:qFormat/>
  </w:style>
  <w:style w:type="character" w:customStyle="1" w:styleId="afffffffff2">
    <w:name w:val="正文文本_"/>
    <w:qFormat/>
    <w:rPr>
      <w:rFonts w:ascii="MingLiU" w:eastAsia="MingLiU" w:hAnsi="MingLiU" w:cs="MingLiU" w:hint="eastAsia"/>
      <w:sz w:val="23"/>
      <w:szCs w:val="23"/>
      <w:u w:val="none"/>
    </w:rPr>
  </w:style>
  <w:style w:type="character" w:customStyle="1" w:styleId="TimesNewRoman3">
    <w:name w:val="正文文本 + Times New Roman3"/>
    <w:qFormat/>
    <w:rPr>
      <w:rFonts w:ascii="Times New Roman" w:eastAsia="MingLiU" w:hAnsi="Times New Roman" w:cs="Times New Roman" w:hint="default"/>
      <w:sz w:val="23"/>
      <w:szCs w:val="23"/>
      <w:u w:val="none"/>
    </w:rPr>
  </w:style>
  <w:style w:type="character" w:customStyle="1" w:styleId="TimesNewRoman2">
    <w:name w:val="正文文本 + Times New Roman2"/>
    <w:qFormat/>
    <w:rPr>
      <w:rFonts w:ascii="Times New Roman" w:eastAsia="MingLiU" w:hAnsi="Times New Roman" w:cs="Times New Roman" w:hint="default"/>
      <w:b/>
      <w:bCs/>
      <w:sz w:val="16"/>
      <w:szCs w:val="16"/>
      <w:u w:val="none"/>
    </w:rPr>
  </w:style>
  <w:style w:type="character" w:customStyle="1" w:styleId="2TimesNewRoman">
    <w:name w:val="正文文本 (2) + Times New Roman"/>
    <w:qFormat/>
    <w:rPr>
      <w:rFonts w:ascii="Times New Roman" w:eastAsia="MingLiU" w:hAnsi="Times New Roman" w:cs="Times New Roman" w:hint="default"/>
      <w:b/>
      <w:bCs/>
      <w:sz w:val="20"/>
      <w:szCs w:val="20"/>
      <w:lang w:bidi="ar-SA"/>
    </w:rPr>
  </w:style>
  <w:style w:type="character" w:customStyle="1" w:styleId="0pt">
    <w:name w:val="正文文本 + 间距 0 pt"/>
    <w:qFormat/>
    <w:rPr>
      <w:rFonts w:ascii="MingLiU" w:eastAsia="MingLiU" w:hAnsi="MingLiU" w:cs="MingLiU" w:hint="eastAsia"/>
      <w:spacing w:val="-11"/>
      <w:sz w:val="23"/>
      <w:szCs w:val="23"/>
      <w:u w:val="none"/>
    </w:rPr>
  </w:style>
  <w:style w:type="character" w:customStyle="1" w:styleId="0pt10">
    <w:name w:val="正文文本 + 间距 0 pt10"/>
    <w:qFormat/>
    <w:rPr>
      <w:rFonts w:ascii="MingLiU" w:eastAsia="MingLiU" w:hAnsi="MingLiU" w:cs="MingLiU" w:hint="eastAsia"/>
      <w:spacing w:val="-15"/>
      <w:sz w:val="23"/>
      <w:szCs w:val="23"/>
      <w:u w:val="none"/>
    </w:rPr>
  </w:style>
  <w:style w:type="character" w:customStyle="1" w:styleId="CharChar172">
    <w:name w:val="Char Char172"/>
    <w:qFormat/>
    <w:rPr>
      <w:rFonts w:ascii="Times New Roman" w:eastAsia="黑体" w:hAnsi="Times New Roman" w:cs="Times New Roman" w:hint="default"/>
      <w:bCs/>
      <w:color w:val="000000"/>
      <w:sz w:val="28"/>
      <w:szCs w:val="28"/>
    </w:rPr>
  </w:style>
  <w:style w:type="character" w:customStyle="1" w:styleId="CharChar162">
    <w:name w:val="Char Char162"/>
    <w:qFormat/>
    <w:rPr>
      <w:rFonts w:ascii="Times New Roman" w:eastAsia="宋体" w:hAnsi="Times New Roman" w:cs="Times New Roman" w:hint="default"/>
      <w:b/>
      <w:bCs/>
      <w:color w:val="000000"/>
      <w:sz w:val="28"/>
      <w:szCs w:val="28"/>
    </w:rPr>
  </w:style>
  <w:style w:type="character" w:customStyle="1" w:styleId="CharChar171">
    <w:name w:val="Char Char171"/>
    <w:qFormat/>
    <w:rPr>
      <w:rFonts w:ascii="Times New Roman" w:eastAsia="黑体" w:hAnsi="Times New Roman" w:cs="Times New Roman" w:hint="default"/>
      <w:bCs/>
      <w:color w:val="000000"/>
      <w:sz w:val="28"/>
      <w:szCs w:val="28"/>
    </w:rPr>
  </w:style>
  <w:style w:type="character" w:customStyle="1" w:styleId="CharChar161">
    <w:name w:val="Char Char161"/>
    <w:qFormat/>
    <w:rPr>
      <w:rFonts w:ascii="Times New Roman" w:eastAsia="宋体" w:hAnsi="Times New Roman" w:cs="Times New Roman" w:hint="default"/>
      <w:b/>
      <w:bCs/>
      <w:color w:val="000000"/>
      <w:sz w:val="28"/>
      <w:szCs w:val="28"/>
    </w:rPr>
  </w:style>
  <w:style w:type="character" w:customStyle="1" w:styleId="afffffffff3">
    <w:name w:val="样式 黑体 四号"/>
    <w:basedOn w:val="a1"/>
    <w:qFormat/>
    <w:rPr>
      <w:rFonts w:ascii="黑体" w:eastAsia="黑体" w:hAnsi="黑体" w:hint="eastAsia"/>
      <w:sz w:val="28"/>
    </w:rPr>
  </w:style>
  <w:style w:type="character" w:customStyle="1" w:styleId="afffffffff4">
    <w:name w:val="样式 黑体 小三"/>
    <w:basedOn w:val="a1"/>
    <w:qFormat/>
    <w:rPr>
      <w:rFonts w:ascii="Times New Roman" w:eastAsia="仿宋_GB2312" w:hAnsi="Times New Roman" w:cs="Times New Roman" w:hint="default"/>
    </w:rPr>
  </w:style>
  <w:style w:type="character" w:customStyle="1" w:styleId="NormalCharChar">
    <w:name w:val="Normal Char Char"/>
    <w:qFormat/>
    <w:rPr>
      <w:rFonts w:ascii="宋体" w:eastAsia="宋体" w:hAnsi="Times New Roman" w:hint="eastAsia"/>
      <w:kern w:val="2"/>
      <w:sz w:val="24"/>
      <w:szCs w:val="22"/>
      <w:lang w:val="en-US" w:eastAsia="zh-CN" w:bidi="ar-SA"/>
    </w:rPr>
  </w:style>
  <w:style w:type="character" w:customStyle="1" w:styleId="CharChar40">
    <w:name w:val="Char Char4"/>
    <w:qFormat/>
    <w:rPr>
      <w:rFonts w:ascii="楷体_GB2312" w:eastAsia="楷体_GB2312" w:hint="eastAsia"/>
      <w:color w:val="000000"/>
      <w:sz w:val="24"/>
      <w:szCs w:val="24"/>
      <w:shd w:val="clear" w:color="auto" w:fill="FFFFFF"/>
      <w:lang w:val="zh-CN" w:eastAsia="zh-CN" w:bidi="ar-SA"/>
    </w:rPr>
  </w:style>
  <w:style w:type="character" w:customStyle="1" w:styleId="Charf5">
    <w:name w:val="表头 Char"/>
    <w:qFormat/>
    <w:rPr>
      <w:rFonts w:ascii="黑体" w:eastAsia="黑体" w:hAnsi="黑体" w:hint="eastAsia"/>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Char">
    <w:name w:val="正文---------------- Char"/>
    <w:qFormat/>
    <w:rPr>
      <w:rFonts w:ascii="Times New Roman" w:eastAsia="宋体" w:hAnsi="Times New Roman" w:cs="Times New Roman" w:hint="default"/>
      <w:spacing w:val="16"/>
      <w:sz w:val="24"/>
      <w:szCs w:val="20"/>
    </w:rPr>
  </w:style>
  <w:style w:type="character" w:customStyle="1" w:styleId="CharChar7">
    <w:name w:val="表格标题 Char Char"/>
    <w:qFormat/>
    <w:rPr>
      <w:rFonts w:ascii="宋体" w:eastAsia="宋体" w:hAnsi="宋体" w:hint="eastAsia"/>
      <w:szCs w:val="21"/>
    </w:rPr>
  </w:style>
  <w:style w:type="character" w:customStyle="1" w:styleId="style151">
    <w:name w:val="style151"/>
    <w:qFormat/>
    <w:rPr>
      <w:spacing w:val="240"/>
      <w:sz w:val="18"/>
      <w:szCs w:val="18"/>
    </w:rPr>
  </w:style>
  <w:style w:type="character" w:customStyle="1" w:styleId="Char1f1">
    <w:name w:val="正 Char1"/>
    <w:qFormat/>
    <w:rPr>
      <w:rFonts w:ascii="宋体" w:eastAsia="宋体" w:hAnsi="宋体" w:cs="宋体" w:hint="eastAsia"/>
      <w:sz w:val="24"/>
    </w:rPr>
  </w:style>
  <w:style w:type="character" w:customStyle="1" w:styleId="afffffffff5">
    <w:name w:val="样式 样式 四号 蓝色 + 自动设置"/>
    <w:basedOn w:val="a1"/>
    <w:qFormat/>
    <w:rPr>
      <w:color w:val="auto"/>
      <w:sz w:val="24"/>
    </w:rPr>
  </w:style>
  <w:style w:type="character" w:customStyle="1" w:styleId="apple-converted-space">
    <w:name w:val="apple-converted-space"/>
    <w:basedOn w:val="a1"/>
    <w:qFormat/>
  </w:style>
  <w:style w:type="character" w:customStyle="1" w:styleId="111CharChar">
    <w:name w:val="正文111 Char Char"/>
    <w:qFormat/>
    <w:rPr>
      <w:rFonts w:ascii="Times New Roman" w:eastAsia="仿宋_GB2312" w:hAnsi="Times New Roman" w:cs="Times New Roman" w:hint="default"/>
      <w:spacing w:val="6"/>
      <w:sz w:val="24"/>
      <w:szCs w:val="24"/>
    </w:rPr>
  </w:style>
  <w:style w:type="character" w:customStyle="1" w:styleId="1fd">
    <w:name w:val="已访问的超链接1"/>
    <w:basedOn w:val="a1"/>
    <w:qFormat/>
    <w:rPr>
      <w:color w:val="800080"/>
      <w:u w:val="single"/>
    </w:rPr>
  </w:style>
  <w:style w:type="character" w:customStyle="1" w:styleId="defaultfont">
    <w:name w:val="defaultfont"/>
    <w:basedOn w:val="a1"/>
    <w:qFormat/>
  </w:style>
  <w:style w:type="character" w:customStyle="1" w:styleId="2CharCharChar">
    <w:name w:val="正文文本 2 Char Char Char"/>
    <w:qFormat/>
    <w:rPr>
      <w:kern w:val="2"/>
      <w:sz w:val="21"/>
      <w:szCs w:val="24"/>
    </w:rPr>
  </w:style>
  <w:style w:type="character" w:customStyle="1" w:styleId="Char1Char1">
    <w:name w:val="题注 Char1 Char1"/>
    <w:qFormat/>
    <w:rPr>
      <w:rFonts w:ascii="Arial" w:eastAsia="黑体" w:hAnsi="Arial" w:cs="Arial" w:hint="default"/>
      <w:color w:val="000000"/>
      <w:spacing w:val="4"/>
      <w:kern w:val="2"/>
      <w:sz w:val="21"/>
      <w:szCs w:val="21"/>
      <w:lang w:val="en-US" w:eastAsia="zh-CN" w:bidi="ar-SA"/>
    </w:rPr>
  </w:style>
  <w:style w:type="character" w:customStyle="1" w:styleId="default1">
    <w:name w:val="default1"/>
    <w:qFormat/>
    <w:rPr>
      <w:sz w:val="21"/>
      <w:szCs w:val="21"/>
    </w:rPr>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Pr>
      <w:rFonts w:ascii="宋体" w:eastAsia="宋体" w:hAnsi="宋体" w:hint="eastAsia"/>
      <w:sz w:val="21"/>
      <w:lang w:val="en-US" w:eastAsia="zh-CN" w:bidi="ar-SA"/>
    </w:rPr>
  </w:style>
  <w:style w:type="character" w:customStyle="1" w:styleId="style3">
    <w:name w:val="style3"/>
    <w:basedOn w:val="a1"/>
    <w:qFormat/>
  </w:style>
  <w:style w:type="character" w:customStyle="1" w:styleId="textfont11">
    <w:name w:val="textfont11"/>
    <w:qFormat/>
    <w:rPr>
      <w:color w:val="000000"/>
      <w:sz w:val="21"/>
      <w:szCs w:val="21"/>
      <w:u w:val="none"/>
    </w:rPr>
  </w:style>
  <w:style w:type="character" w:customStyle="1" w:styleId="2CharChar0">
    <w:name w:val="正文2 Char Char"/>
    <w:qFormat/>
    <w:rPr>
      <w:sz w:val="21"/>
    </w:rPr>
  </w:style>
  <w:style w:type="character" w:customStyle="1" w:styleId="CharCharChar0">
    <w:name w:val="批注框文本 Char Char Char"/>
    <w:qFormat/>
    <w:rPr>
      <w:kern w:val="2"/>
      <w:sz w:val="18"/>
      <w:szCs w:val="18"/>
    </w:rPr>
  </w:style>
  <w:style w:type="character" w:customStyle="1" w:styleId="apple-style-span">
    <w:name w:val="apple-style-span"/>
    <w:basedOn w:val="a1"/>
    <w:qFormat/>
  </w:style>
  <w:style w:type="character" w:customStyle="1" w:styleId="zy">
    <w:name w:val="zy"/>
    <w:basedOn w:val="a1"/>
    <w:qFormat/>
  </w:style>
  <w:style w:type="character" w:customStyle="1" w:styleId="unnamed11">
    <w:name w:val="unnamed11"/>
    <w:qFormat/>
    <w:rPr>
      <w:spacing w:val="400"/>
      <w:sz w:val="18"/>
      <w:szCs w:val="18"/>
    </w:rPr>
  </w:style>
  <w:style w:type="character" w:customStyle="1" w:styleId="oblogtext">
    <w:name w:val="oblogtext"/>
    <w:basedOn w:val="a1"/>
    <w:qFormat/>
  </w:style>
  <w:style w:type="character" w:customStyle="1" w:styleId="Char1f2">
    <w:name w:val="题注 Char1"/>
    <w:qFormat/>
    <w:rPr>
      <w:rFonts w:ascii="Arial" w:eastAsia="黑体" w:hAnsi="Arial" w:cs="Arial" w:hint="default"/>
    </w:rPr>
  </w:style>
  <w:style w:type="character" w:customStyle="1" w:styleId="txt31">
    <w:name w:val="txt31"/>
    <w:qFormat/>
    <w:rPr>
      <w:dstrike/>
      <w:sz w:val="18"/>
    </w:rPr>
  </w:style>
  <w:style w:type="character" w:customStyle="1" w:styleId="Charf6">
    <w:name w:val="中创国发题注 Char"/>
    <w:qFormat/>
    <w:locked/>
    <w:rPr>
      <w:rFonts w:ascii="Cambria" w:eastAsia="黑体" w:hAnsi="Cambria" w:cs="Cambria" w:hint="default"/>
      <w:lang w:val="en-US" w:eastAsia="zh-CN" w:bidi="ar-SA"/>
    </w:rPr>
  </w:style>
  <w:style w:type="character" w:customStyle="1" w:styleId="2TimesNewRomanChar">
    <w:name w:val="样式 标题 2 + Times New Roman Char"/>
    <w:qFormat/>
    <w:rPr>
      <w:rFonts w:ascii="Times New Roman" w:eastAsia="黑体" w:hAnsi="Times New Roman" w:cs="Times New Roman" w:hint="default"/>
      <w:color w:val="000000"/>
      <w:kern w:val="2"/>
      <w:sz w:val="28"/>
      <w:szCs w:val="30"/>
      <w:lang w:val="en-US" w:eastAsia="zh-CN" w:bidi="ar-SA"/>
    </w:rPr>
  </w:style>
  <w:style w:type="character" w:customStyle="1" w:styleId="zw1">
    <w:name w:val="zw1"/>
    <w:qFormat/>
    <w:rPr>
      <w:rFonts w:ascii="宋体" w:eastAsia="宋体" w:hAnsi="宋体" w:hint="eastAsia"/>
      <w:spacing w:val="400"/>
      <w:sz w:val="22"/>
      <w:szCs w:val="22"/>
    </w:rPr>
  </w:style>
  <w:style w:type="character" w:customStyle="1" w:styleId="1Char4">
    <w:name w:val="样式1 Char"/>
    <w:qFormat/>
    <w:rPr>
      <w:rFonts w:ascii="Arial" w:eastAsia="宋体" w:hAnsi="Arial" w:cs="Arial" w:hint="default"/>
      <w:kern w:val="2"/>
      <w:sz w:val="24"/>
      <w:szCs w:val="24"/>
      <w:lang w:val="en-US" w:eastAsia="zh-CN" w:bidi="ar-SA"/>
    </w:rPr>
  </w:style>
  <w:style w:type="character" w:customStyle="1" w:styleId="ddd">
    <w:name w:val="ddd"/>
    <w:basedOn w:val="a1"/>
    <w:qFormat/>
  </w:style>
  <w:style w:type="character" w:customStyle="1" w:styleId="2Char0">
    <w:name w:val="样式2 Char"/>
    <w:qFormat/>
    <w:rPr>
      <w:rFonts w:ascii="宋体" w:eastAsia="黑体" w:hAnsi="黑体" w:hint="eastAsia"/>
      <w:b/>
      <w:bCs/>
      <w:kern w:val="2"/>
      <w:sz w:val="32"/>
      <w:szCs w:val="32"/>
      <w:lang w:val="en-US" w:eastAsia="zh-CN" w:bidi="ar-SA"/>
    </w:rPr>
  </w:style>
  <w:style w:type="character" w:customStyle="1" w:styleId="f10wentitle">
    <w:name w:val="f10wentitle"/>
    <w:basedOn w:val="a1"/>
    <w:qFormat/>
  </w:style>
  <w:style w:type="character" w:customStyle="1" w:styleId="cucd-0Char">
    <w:name w:val="cucd-0 Char"/>
    <w:qFormat/>
    <w:rPr>
      <w:kern w:val="2"/>
      <w:sz w:val="24"/>
      <w:szCs w:val="24"/>
      <w:lang w:val="en-US" w:eastAsia="zh-CN" w:bidi="ar-SA"/>
    </w:rPr>
  </w:style>
  <w:style w:type="character" w:customStyle="1" w:styleId="6666661">
    <w:name w:val="6666661"/>
    <w:qFormat/>
    <w:rPr>
      <w:color w:val="666666"/>
      <w:sz w:val="18"/>
      <w:szCs w:val="18"/>
      <w:u w:val="none"/>
    </w:rPr>
  </w:style>
  <w:style w:type="character" w:customStyle="1" w:styleId="001CharChar">
    <w:name w:val="正文001 Char Char"/>
    <w:qFormat/>
    <w:rPr>
      <w:rFonts w:ascii="Arial" w:eastAsia="宋体" w:hAnsi="Arial" w:cs="Arial" w:hint="default"/>
      <w:kern w:val="2"/>
      <w:sz w:val="24"/>
      <w:lang w:val="en-US" w:eastAsia="zh-CN" w:bidi="ar-SA"/>
    </w:rPr>
  </w:style>
  <w:style w:type="character" w:customStyle="1" w:styleId="1CharChar0">
    <w:name w:val="正文样式1 Char Char"/>
    <w:qFormat/>
    <w:rPr>
      <w:rFonts w:ascii="宋体" w:eastAsia="宋体" w:hAnsi="宋体" w:hint="eastAsia"/>
      <w:sz w:val="24"/>
    </w:rPr>
  </w:style>
  <w:style w:type="character" w:customStyle="1" w:styleId="tpccontent1">
    <w:name w:val="tpc_content1"/>
    <w:qFormat/>
    <w:rPr>
      <w:sz w:val="17"/>
      <w:szCs w:val="17"/>
    </w:rPr>
  </w:style>
  <w:style w:type="character" w:customStyle="1" w:styleId="grame">
    <w:name w:val="grame"/>
    <w:basedOn w:val="a1"/>
    <w:qFormat/>
  </w:style>
  <w:style w:type="character" w:customStyle="1" w:styleId="cucd-3CharChar">
    <w:name w:val="cucd-3 Char Char"/>
    <w:qFormat/>
    <w:rPr>
      <w:b/>
      <w:sz w:val="28"/>
      <w:szCs w:val="24"/>
      <w:lang w:val="en-US" w:eastAsia="zh-CN" w:bidi="ar-SA"/>
    </w:rPr>
  </w:style>
  <w:style w:type="character" w:customStyle="1" w:styleId="CharChar8">
    <w:name w:val="正文样式 Char Char"/>
    <w:qFormat/>
    <w:rPr>
      <w:rFonts w:ascii="宋体" w:eastAsia="宋体" w:hAnsi="宋体" w:hint="eastAsia"/>
      <w:color w:val="000000"/>
      <w:sz w:val="24"/>
      <w:szCs w:val="24"/>
    </w:rPr>
  </w:style>
  <w:style w:type="character" w:customStyle="1" w:styleId="f9wen1">
    <w:name w:val="f9wen1"/>
    <w:qFormat/>
    <w:rPr>
      <w:dstrike/>
      <w:spacing w:val="12"/>
      <w:sz w:val="18"/>
    </w:rPr>
  </w:style>
  <w:style w:type="character" w:customStyle="1" w:styleId="3CharCharChar">
    <w:name w:val="正文文本缩进 3 Char Char Char"/>
    <w:qFormat/>
    <w:rPr>
      <w:rFonts w:ascii="宋体" w:eastAsia="宋体" w:hAnsi="宋体" w:hint="eastAsia"/>
      <w:kern w:val="2"/>
      <w:sz w:val="24"/>
    </w:rPr>
  </w:style>
  <w:style w:type="character" w:customStyle="1" w:styleId="10CharChar">
    <w:name w:val="正文样式10 Char Char"/>
    <w:qFormat/>
    <w:rPr>
      <w:rFonts w:ascii="宋体" w:eastAsia="宋体" w:hAnsi="宋体" w:cs="Arial" w:hint="eastAsia"/>
      <w:bCs/>
      <w:color w:val="FF00FF"/>
      <w:sz w:val="24"/>
      <w:lang w:val="zh-CN"/>
    </w:rPr>
  </w:style>
  <w:style w:type="character" w:customStyle="1" w:styleId="1fe">
    <w:name w:val="访问过的超链接1"/>
    <w:qFormat/>
    <w:rPr>
      <w:color w:val="800080"/>
      <w:u w:val="single"/>
    </w:rPr>
  </w:style>
  <w:style w:type="character" w:customStyle="1" w:styleId="a11">
    <w:name w:val="a11"/>
    <w:qFormat/>
    <w:rPr>
      <w:color w:val="000000"/>
      <w:sz w:val="18"/>
      <w:szCs w:val="18"/>
    </w:rPr>
  </w:style>
  <w:style w:type="character" w:customStyle="1" w:styleId="Char21">
    <w:name w:val="表头 Char2"/>
    <w:qFormat/>
    <w:rPr>
      <w:rFonts w:ascii="宋体" w:eastAsia="仿宋_GB2312" w:hAnsi="宋体" w:hint="eastAsia"/>
      <w:b/>
      <w:color w:val="000000"/>
      <w:sz w:val="18"/>
    </w:rPr>
  </w:style>
  <w:style w:type="character" w:customStyle="1" w:styleId="1CharChar2">
    <w:name w:val="正文1 Char Char"/>
    <w:qFormat/>
    <w:rPr>
      <w:rFonts w:ascii="宋体" w:eastAsia="宋体" w:hAnsi="宋体" w:hint="eastAsia"/>
      <w:sz w:val="28"/>
    </w:rPr>
  </w:style>
  <w:style w:type="character" w:customStyle="1" w:styleId="CharCharChar1">
    <w:name w:val="正文首行缩进 Char Char Char"/>
    <w:qFormat/>
    <w:rPr>
      <w:kern w:val="2"/>
      <w:sz w:val="24"/>
    </w:rPr>
  </w:style>
  <w:style w:type="character" w:customStyle="1" w:styleId="3CharCharChar0">
    <w:name w:val="正文文本 3 Char Char Char"/>
    <w:qFormat/>
    <w:rPr>
      <w:kern w:val="2"/>
      <w:sz w:val="16"/>
      <w:szCs w:val="16"/>
    </w:rPr>
  </w:style>
  <w:style w:type="character" w:customStyle="1" w:styleId="CharCharChar2">
    <w:name w:val="日期 Char Char Char"/>
    <w:qFormat/>
    <w:rPr>
      <w:rFonts w:ascii="黑体" w:eastAsia="黑体" w:hAnsi="黑体" w:hint="eastAsia"/>
      <w:sz w:val="28"/>
      <w:lang w:val="en-GB"/>
    </w:rPr>
  </w:style>
  <w:style w:type="character" w:customStyle="1" w:styleId="CharCharChar3">
    <w:name w:val="批注主题 Char Char Char"/>
    <w:qFormat/>
    <w:rPr>
      <w:b/>
      <w:bCs/>
      <w:kern w:val="2"/>
      <w:sz w:val="21"/>
      <w:szCs w:val="24"/>
    </w:rPr>
  </w:style>
  <w:style w:type="character" w:customStyle="1" w:styleId="2CharCharChar0">
    <w:name w:val="正文文本缩进 2 Char Char Char"/>
    <w:qFormat/>
    <w:rPr>
      <w:kern w:val="2"/>
      <w:sz w:val="27"/>
    </w:rPr>
  </w:style>
  <w:style w:type="character" w:customStyle="1" w:styleId="2CharCharChar1">
    <w:name w:val="正文首行缩进 2 Char Char Char"/>
    <w:qFormat/>
    <w:rPr>
      <w:kern w:val="2"/>
      <w:sz w:val="28"/>
      <w:szCs w:val="24"/>
    </w:rPr>
  </w:style>
  <w:style w:type="character" w:customStyle="1" w:styleId="Charf7">
    <w:name w:val="图表注 Char"/>
    <w:qFormat/>
    <w:rPr>
      <w:rFonts w:ascii="Arial" w:eastAsia="黑体" w:hAnsi="Arial" w:cs="Arial" w:hint="default"/>
      <w:kern w:val="2"/>
      <w:lang w:val="en-US" w:eastAsia="zh-CN" w:bidi="ar-SA"/>
    </w:rPr>
  </w:style>
  <w:style w:type="character" w:customStyle="1" w:styleId="CharChar9">
    <w:name w:val="表头 Char Char"/>
    <w:qFormat/>
    <w:rPr>
      <w:rFonts w:ascii="宋体" w:eastAsia="宋体" w:hAnsi="宋体" w:hint="eastAsia"/>
      <w:b/>
      <w:kern w:val="2"/>
      <w:sz w:val="24"/>
      <w:szCs w:val="24"/>
      <w:lang w:val="en-US" w:eastAsia="zh-CN" w:bidi="ar-SA"/>
    </w:rPr>
  </w:style>
  <w:style w:type="character" w:customStyle="1" w:styleId="javascript">
    <w:name w:val="javascript"/>
    <w:basedOn w:val="a1"/>
    <w:qFormat/>
  </w:style>
  <w:style w:type="character" w:customStyle="1" w:styleId="content">
    <w:name w:val="content"/>
    <w:basedOn w:val="a1"/>
    <w:qFormat/>
  </w:style>
  <w:style w:type="character" w:customStyle="1" w:styleId="CharCharChar4">
    <w:name w:val="文档结构图 Char Char Char"/>
    <w:qFormat/>
    <w:rPr>
      <w:kern w:val="2"/>
      <w:sz w:val="21"/>
      <w:szCs w:val="24"/>
      <w:shd w:val="clear" w:color="auto" w:fill="000080"/>
    </w:rPr>
  </w:style>
  <w:style w:type="character" w:customStyle="1" w:styleId="text1">
    <w:name w:val="text1"/>
    <w:qFormat/>
    <w:rPr>
      <w:rFonts w:ascii="宋体" w:eastAsia="宋体" w:hAnsi="宋体" w:hint="eastAsia"/>
      <w:color w:val="999999"/>
      <w:sz w:val="18"/>
      <w:szCs w:val="18"/>
      <w:u w:val="none"/>
    </w:rPr>
  </w:style>
  <w:style w:type="character" w:customStyle="1" w:styleId="001Char">
    <w:name w:val="正文001 Char"/>
    <w:qFormat/>
    <w:rPr>
      <w:rFonts w:ascii="Arial" w:eastAsia="宋体" w:hAnsi="Arial" w:cs="Arial" w:hint="default"/>
      <w:kern w:val="2"/>
      <w:sz w:val="24"/>
      <w:lang w:val="en-US" w:eastAsia="zh-CN" w:bidi="ar-SA"/>
    </w:rPr>
  </w:style>
  <w:style w:type="character" w:customStyle="1" w:styleId="141">
    <w:name w:val="141"/>
    <w:qFormat/>
    <w:rPr>
      <w:color w:val="000000"/>
      <w:spacing w:val="330"/>
      <w:sz w:val="21"/>
      <w:szCs w:val="21"/>
    </w:rPr>
  </w:style>
  <w:style w:type="character" w:customStyle="1" w:styleId="redfont1">
    <w:name w:val="red_font1"/>
    <w:qFormat/>
    <w:rPr>
      <w:color w:val="FF0000"/>
      <w:sz w:val="18"/>
      <w:szCs w:val="18"/>
      <w:u w:val="none"/>
    </w:rPr>
  </w:style>
  <w:style w:type="character" w:customStyle="1" w:styleId="cucd-1CharChar">
    <w:name w:val="cucd-1 Char Char"/>
    <w:qFormat/>
    <w:rPr>
      <w:rFonts w:ascii="黑体" w:eastAsia="黑体" w:hAnsi="黑体" w:hint="eastAsia"/>
      <w:b/>
      <w:sz w:val="36"/>
      <w:szCs w:val="24"/>
      <w:lang w:val="en-US" w:eastAsia="zh-CN" w:bidi="ar-SA"/>
    </w:rPr>
  </w:style>
  <w:style w:type="character" w:customStyle="1" w:styleId="Char22">
    <w:name w:val="题注 Char2"/>
    <w:qFormat/>
    <w:rPr>
      <w:rFonts w:ascii="Arial" w:eastAsia="黑体" w:hAnsi="Arial" w:cs="Arial" w:hint="default"/>
      <w:kern w:val="2"/>
      <w:lang w:val="en-US" w:eastAsia="zh-CN" w:bidi="ar-SA"/>
    </w:rPr>
  </w:style>
  <w:style w:type="character" w:customStyle="1" w:styleId="mainfont21">
    <w:name w:val="mainfont21"/>
    <w:qFormat/>
    <w:rPr>
      <w:color w:val="666666"/>
      <w:sz w:val="18"/>
      <w:szCs w:val="18"/>
      <w:u w:val="none"/>
    </w:rPr>
  </w:style>
  <w:style w:type="character" w:customStyle="1" w:styleId="CharCharChar5">
    <w:name w:val="标题 Char Char Char"/>
    <w:qFormat/>
    <w:rPr>
      <w:rFonts w:ascii="Helvetica" w:eastAsia="黑体" w:hAnsi="Helvetica" w:hint="default"/>
      <w:snapToGrid w:val="0"/>
      <w:color w:val="000000"/>
      <w:spacing w:val="4"/>
      <w:kern w:val="2"/>
      <w:sz w:val="32"/>
      <w:szCs w:val="32"/>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rPr>
      <w:rFonts w:ascii="宋体" w:eastAsia="宋体" w:hAnsi="宋体" w:hint="eastAsia"/>
      <w:kern w:val="2"/>
      <w:sz w:val="24"/>
      <w:lang w:val="en-US" w:eastAsia="zh-CN" w:bidi="ar-SA"/>
    </w:rPr>
  </w:style>
  <w:style w:type="character" w:customStyle="1" w:styleId="textcontents">
    <w:name w:val="textcontents"/>
    <w:basedOn w:val="a1"/>
    <w:qFormat/>
  </w:style>
  <w:style w:type="character" w:customStyle="1" w:styleId="CharCharChar6">
    <w:name w:val="批注文字 Char Char Char"/>
    <w:qFormat/>
    <w:rPr>
      <w:kern w:val="2"/>
      <w:sz w:val="21"/>
      <w:szCs w:val="24"/>
    </w:rPr>
  </w:style>
  <w:style w:type="character" w:customStyle="1" w:styleId="cucd-TBCharChar">
    <w:name w:val="cucd-TB Char Char"/>
    <w:qFormat/>
    <w:rPr>
      <w:szCs w:val="24"/>
      <w:lang w:val="en-US" w:eastAsia="zh-CN" w:bidi="ar-SA"/>
    </w:rPr>
  </w:style>
  <w:style w:type="character" w:customStyle="1" w:styleId="zzsy051">
    <w:name w:val="zzsy051"/>
    <w:qFormat/>
    <w:rPr>
      <w:rFonts w:ascii="宋体" w:eastAsia="宋体" w:hAnsi="宋体" w:hint="eastAsia"/>
      <w:b/>
      <w:bCs/>
      <w:color w:val="FF0000"/>
      <w:sz w:val="24"/>
      <w:szCs w:val="24"/>
    </w:rPr>
  </w:style>
  <w:style w:type="character" w:customStyle="1" w:styleId="1Char5">
    <w:name w:val="正文1 Char"/>
    <w:qFormat/>
    <w:rPr>
      <w:rFonts w:ascii="宋体" w:eastAsia="宋体" w:hAnsi="宋体" w:hint="eastAsia"/>
      <w:sz w:val="28"/>
    </w:rPr>
  </w:style>
  <w:style w:type="character" w:customStyle="1" w:styleId="Charf8">
    <w:name w:val="样式 日期 + 宋体 Char"/>
    <w:qFormat/>
    <w:rPr>
      <w:rFonts w:ascii="宋体" w:eastAsia="宋体" w:hAnsi="宋体" w:hint="eastAsia"/>
      <w:kern w:val="2"/>
      <w:sz w:val="28"/>
      <w:lang w:val="en-GB" w:eastAsia="zh-CN" w:bidi="ar-SA"/>
    </w:rPr>
  </w:style>
  <w:style w:type="character" w:customStyle="1" w:styleId="HTMLCharCharChar">
    <w:name w:val="HTML 预设格式 Char Char Char"/>
    <w:qFormat/>
    <w:rPr>
      <w:rFonts w:ascii="Arial" w:hAnsi="Arial" w:cs="Arial" w:hint="default"/>
      <w:sz w:val="21"/>
      <w:szCs w:val="21"/>
    </w:rPr>
  </w:style>
  <w:style w:type="character" w:customStyle="1" w:styleId="ltextCharChar">
    <w:name w:val="l_text Char Char"/>
    <w:qFormat/>
    <w:rPr>
      <w:rFonts w:ascii="宋体" w:eastAsia="宋体" w:hAnsi="宋体" w:hint="eastAsia"/>
      <w:sz w:val="28"/>
      <w:szCs w:val="28"/>
    </w:rPr>
  </w:style>
  <w:style w:type="character" w:customStyle="1" w:styleId="unnamed31">
    <w:name w:val="unnamed31"/>
    <w:qFormat/>
    <w:rPr>
      <w:sz w:val="18"/>
    </w:rPr>
  </w:style>
  <w:style w:type="character" w:customStyle="1" w:styleId="CharChara">
    <w:name w:val="样式 日期 + 宋体 Char Char"/>
    <w:qFormat/>
    <w:rPr>
      <w:rFonts w:ascii="宋体" w:eastAsia="宋体" w:hAnsi="宋体" w:hint="eastAsia"/>
      <w:kern w:val="2"/>
      <w:sz w:val="28"/>
      <w:lang w:eastAsia="zh-CN" w:bidi="ar-SA"/>
    </w:rPr>
  </w:style>
  <w:style w:type="character" w:customStyle="1" w:styleId="1Char11">
    <w:name w:val="正文1 Char1"/>
    <w:qFormat/>
    <w:rPr>
      <w:rFonts w:ascii="宋体" w:eastAsia="宋体" w:hAnsi="宋体" w:hint="eastAsia"/>
      <w:snapToGrid w:val="0"/>
      <w:sz w:val="24"/>
      <w:szCs w:val="24"/>
      <w:lang w:val="en-US" w:eastAsia="zh-CN" w:bidi="ar-SA"/>
    </w:rPr>
  </w:style>
  <w:style w:type="character" w:customStyle="1" w:styleId="CharCharChar7">
    <w:name w:val="页脚 Char Char Char"/>
    <w:qFormat/>
    <w:rPr>
      <w:kern w:val="2"/>
      <w:sz w:val="18"/>
      <w:szCs w:val="18"/>
    </w:rPr>
  </w:style>
  <w:style w:type="character" w:customStyle="1" w:styleId="cucd-TB-HeadCharChar">
    <w:name w:val="cucd-TB-Head Char Char"/>
    <w:qFormat/>
    <w:rPr>
      <w:rFonts w:ascii="宋体" w:eastAsia="黑体" w:hAnsi="宋体" w:hint="eastAsia"/>
      <w:sz w:val="24"/>
      <w:szCs w:val="21"/>
    </w:rPr>
  </w:style>
  <w:style w:type="character" w:customStyle="1" w:styleId="CharCharb">
    <w:name w:val="样式表 Char Char"/>
    <w:qFormat/>
    <w:rPr>
      <w:rFonts w:ascii="黑体" w:eastAsia="黑体" w:hAnsi="黑体" w:cs="宋体" w:hint="eastAsia"/>
      <w:color w:val="000000"/>
      <w:spacing w:val="8"/>
    </w:rPr>
  </w:style>
  <w:style w:type="character" w:customStyle="1" w:styleId="px14">
    <w:name w:val="px14"/>
    <w:basedOn w:val="a1"/>
    <w:qFormat/>
  </w:style>
  <w:style w:type="character" w:customStyle="1" w:styleId="1-1CharChar">
    <w:name w:val="正文1-1 Char Char"/>
    <w:qFormat/>
    <w:rPr>
      <w:rFonts w:ascii="宋体" w:eastAsia="仿宋_GB2312" w:hAnsi="宋体" w:cs="宋体" w:hint="eastAsia"/>
      <w:sz w:val="28"/>
      <w:szCs w:val="24"/>
    </w:rPr>
  </w:style>
  <w:style w:type="character" w:customStyle="1" w:styleId="cucd-0CharChar">
    <w:name w:val="cucd-0 Char Char"/>
    <w:qFormat/>
    <w:rPr>
      <w:kern w:val="2"/>
      <w:sz w:val="24"/>
      <w:szCs w:val="24"/>
      <w:lang w:val="en-US" w:eastAsia="zh-CN" w:bidi="ar-SA"/>
    </w:rPr>
  </w:style>
  <w:style w:type="character" w:customStyle="1" w:styleId="postbody1">
    <w:name w:val="postbody1"/>
    <w:qFormat/>
    <w:rPr>
      <w:sz w:val="21"/>
      <w:szCs w:val="21"/>
    </w:rPr>
  </w:style>
  <w:style w:type="character" w:customStyle="1" w:styleId="cucd-TB-HeadChar1">
    <w:name w:val="cucd-TB-Head Char1"/>
    <w:qFormat/>
    <w:rPr>
      <w:rFonts w:ascii="宋体" w:eastAsia="宋体" w:hAnsi="宋体" w:hint="eastAsia"/>
      <w:b/>
      <w:kern w:val="2"/>
      <w:sz w:val="24"/>
      <w:szCs w:val="24"/>
      <w:lang w:val="en-US" w:eastAsia="zh-CN" w:bidi="ar-SA"/>
    </w:rPr>
  </w:style>
  <w:style w:type="character" w:customStyle="1" w:styleId="defaultfont1">
    <w:name w:val="defaultfont1"/>
    <w:basedOn w:val="a1"/>
    <w:qFormat/>
  </w:style>
  <w:style w:type="character" w:customStyle="1" w:styleId="cucd-3Char1">
    <w:name w:val="cucd-3 Char1"/>
    <w:qFormat/>
    <w:rPr>
      <w:b/>
      <w:kern w:val="2"/>
      <w:sz w:val="28"/>
      <w:szCs w:val="24"/>
      <w:lang w:val="en-US" w:eastAsia="zh-CN" w:bidi="ar-SA"/>
    </w:rPr>
  </w:style>
  <w:style w:type="character" w:customStyle="1" w:styleId="unnamed3">
    <w:name w:val="unnamed3"/>
    <w:basedOn w:val="a1"/>
    <w:qFormat/>
  </w:style>
  <w:style w:type="character" w:customStyle="1" w:styleId="afffffffff6">
    <w:name w:val="样式 方正宋三简体 四号"/>
    <w:qFormat/>
    <w:rPr>
      <w:rFonts w:ascii="宋体" w:eastAsia="宋体" w:hAnsi="宋体" w:hint="eastAsia"/>
      <w:sz w:val="27"/>
      <w:szCs w:val="27"/>
    </w:rPr>
  </w:style>
  <w:style w:type="character" w:customStyle="1" w:styleId="jczi14">
    <w:name w:val="jc zi14"/>
    <w:basedOn w:val="a1"/>
    <w:qFormat/>
  </w:style>
  <w:style w:type="character" w:customStyle="1" w:styleId="DefaultCharChar">
    <w:name w:val="Default Char Char"/>
    <w:qFormat/>
    <w:rPr>
      <w:color w:val="000000"/>
      <w:sz w:val="24"/>
      <w:szCs w:val="24"/>
      <w:lang w:val="en-US" w:eastAsia="zh-CN" w:bidi="ar-SA"/>
    </w:rPr>
  </w:style>
  <w:style w:type="character" w:customStyle="1" w:styleId="3CharChar0">
    <w:name w:val="正文文本缩进 3 Char Char"/>
    <w:basedOn w:val="a1"/>
    <w:qFormat/>
    <w:rPr>
      <w:rFonts w:ascii="宋体" w:eastAsia="宋体" w:hAnsi="宋体" w:hint="eastAsia"/>
      <w:b/>
      <w:bCs/>
      <w:kern w:val="2"/>
      <w:sz w:val="24"/>
      <w:szCs w:val="24"/>
      <w:lang w:val="en-US" w:eastAsia="zh-CN" w:bidi="ar-SA"/>
    </w:rPr>
  </w:style>
  <w:style w:type="character" w:customStyle="1" w:styleId="fontstyle41">
    <w:name w:val="fontstyle41"/>
    <w:basedOn w:val="a1"/>
    <w:qFormat/>
    <w:rPr>
      <w:rFonts w:ascii="SymbolMT" w:eastAsia="SymbolMT" w:hAnsi="SymbolMT" w:hint="eastAsia"/>
      <w:color w:val="000000"/>
      <w:sz w:val="24"/>
      <w:szCs w:val="24"/>
    </w:rPr>
  </w:style>
  <w:style w:type="character" w:customStyle="1" w:styleId="fontstyle51">
    <w:name w:val="fontstyle51"/>
    <w:basedOn w:val="a1"/>
    <w:qFormat/>
    <w:rPr>
      <w:rFonts w:ascii="TimesNewRomanPS-ItalicMT" w:hAnsi="TimesNewRomanPS-ItalicMT" w:hint="default"/>
      <w:i/>
      <w:iCs/>
      <w:color w:val="000000"/>
      <w:sz w:val="24"/>
      <w:szCs w:val="24"/>
    </w:rPr>
  </w:style>
  <w:style w:type="character" w:customStyle="1" w:styleId="CharCharc">
    <w:name w:val="【表头】 Char Char"/>
    <w:qFormat/>
    <w:rPr>
      <w:b/>
      <w:sz w:val="24"/>
    </w:rPr>
  </w:style>
  <w:style w:type="character" w:customStyle="1" w:styleId="Charf9">
    <w:name w:val="普通(网站) Char"/>
    <w:qFormat/>
    <w:locked/>
    <w:rPr>
      <w:rFonts w:ascii="Calibri" w:hAnsi="Calibri" w:hint="default"/>
      <w:color w:val="000000"/>
      <w:sz w:val="24"/>
      <w:szCs w:val="24"/>
    </w:rPr>
  </w:style>
  <w:style w:type="character" w:customStyle="1" w:styleId="1ff">
    <w:name w:val="默认段落字体1"/>
    <w:semiHidden/>
    <w:qFormat/>
    <w:rPr>
      <w:rFonts w:ascii="Times New Roman" w:hAnsi="Times New Roman" w:cs="Times New Roman" w:hint="default"/>
      <w:sz w:val="21"/>
    </w:rPr>
  </w:style>
  <w:style w:type="character" w:customStyle="1" w:styleId="Char23">
    <w:name w:val="正文首行缩进 Char2"/>
    <w:basedOn w:val="a1"/>
    <w:uiPriority w:val="99"/>
    <w:semiHidden/>
    <w:qFormat/>
    <w:rPr>
      <w:rFonts w:ascii="Times New Roman" w:eastAsia="宋体" w:hAnsi="Times New Roman" w:cs="Times New Roman" w:hint="default"/>
      <w:kern w:val="0"/>
      <w:sz w:val="24"/>
      <w:szCs w:val="24"/>
    </w:rPr>
  </w:style>
  <w:style w:type="table" w:customStyle="1" w:styleId="pxg2">
    <w:name w:val="网格型（pxg）2"/>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网格型4"/>
    <w:basedOn w:val="a2"/>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网格型1"/>
    <w:basedOn w:val="a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网格型刘1"/>
    <w:basedOn w:val="a2"/>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010">
    <w:name w:val="网格型001"/>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2">
    <w:name w:val="网格型002"/>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3">
    <w:name w:val="网格型003"/>
    <w:basedOn w:val="a2"/>
    <w:qFormat/>
    <w:rPr>
      <w:rFonts w:ascii="Calibri" w:hAnsi="Calibri"/>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31">
    <w:name w:val="网格型0031"/>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4">
    <w:name w:val="网格型004"/>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5">
    <w:name w:val="网格型005"/>
    <w:basedOn w:val="a2"/>
    <w:qFormat/>
    <w:rPr>
      <w:rFonts w:ascii="Calibri" w:hAnsi="Calibri"/>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32">
    <w:name w:val="网格型0032"/>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6">
    <w:name w:val="网格型006"/>
    <w:basedOn w:val="a2"/>
    <w:qFormat/>
    <w:rPr>
      <w:rFonts w:ascii="Calibri" w:hAnsi="Calibri"/>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33">
    <w:name w:val="网格型0033"/>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34">
    <w:name w:val="网格型0034"/>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7">
    <w:name w:val="网格型007"/>
    <w:basedOn w:val="a2"/>
    <w:qFormat/>
    <w:rPr>
      <w:rFonts w:ascii="Calibri" w:hAnsi="Calibri"/>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35">
    <w:name w:val="网格型0035"/>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008">
    <w:name w:val="网格型008"/>
    <w:basedOn w:val="a2"/>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网格型11"/>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c">
    <w:name w:val="网格型2"/>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e">
    <w:name w:val="网格型3"/>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xg1">
    <w:name w:val="网格型（pxg）1"/>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xg3">
    <w:name w:val="网格型（pxg）3"/>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cd-table">
    <w:name w:val="cucd-table"/>
    <w:basedOn w:val="a2"/>
    <w:qFormat/>
    <w:pPr>
      <w:jc w:val="center"/>
    </w:p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b/>
        <w:i w:val="0"/>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afffffffff7">
    <w:name w:val="报告书格式"/>
    <w:basedOn w:val="a2"/>
    <w:qFormat/>
    <w:pPr>
      <w:adjustRightInd w:val="0"/>
      <w:snapToGrid w:val="0"/>
      <w:jc w:val="center"/>
    </w:pPr>
    <w:rPr>
      <w:sz w:val="18"/>
      <w:szCs w:val="18"/>
    </w:rPr>
    <w:tblPr>
      <w:tblBorders>
        <w:top w:val="single" w:sz="4" w:space="0" w:color="auto"/>
        <w:bottom w:val="single" w:sz="4" w:space="0" w:color="auto"/>
        <w:insideH w:val="single" w:sz="4" w:space="0" w:color="auto"/>
        <w:insideV w:val="single" w:sz="4" w:space="0" w:color="auto"/>
      </w:tblBorders>
    </w:tblPr>
    <w:tcPr>
      <w:vAlign w:val="center"/>
    </w:tcPr>
  </w:style>
  <w:style w:type="table" w:customStyle="1" w:styleId="114">
    <w:name w:val="网格型刘11"/>
    <w:basedOn w:val="a2"/>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f3">
    <w:name w:val="普通(网站) Char1"/>
    <w:qFormat/>
    <w:locked/>
    <w:rPr>
      <w:rFonts w:ascii="Calibri" w:hAnsi="Calibri"/>
      <w:color w:val="000000"/>
      <w:sz w:val="24"/>
      <w:szCs w:val="24"/>
    </w:rPr>
  </w:style>
  <w:style w:type="character" w:customStyle="1" w:styleId="af9">
    <w:name w:val="尾注文本 字符"/>
    <w:basedOn w:val="a1"/>
    <w:link w:val="af8"/>
    <w:uiPriority w:val="99"/>
    <w:semiHidden/>
    <w:qFormat/>
    <w:rPr>
      <w:rFonts w:ascii="Times New Roman" w:eastAsia="宋体" w:hAnsi="Times New Roman" w:cs="Times New Roman"/>
      <w:szCs w:val="24"/>
    </w:rPr>
  </w:style>
  <w:style w:type="table" w:customStyle="1" w:styleId="afffffffff8">
    <w:name w:val="[表格样式]"/>
    <w:basedOn w:val="a2"/>
    <w:uiPriority w:val="99"/>
    <w:qFormat/>
    <w:pPr>
      <w:adjustRightInd w:val="0"/>
      <w:snapToGrid w:val="0"/>
      <w:jc w:val="center"/>
    </w:pPr>
    <w:rPr>
      <w:snapToGrid w:val="0"/>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00Char">
    <w:name w:val="正文00 Char"/>
    <w:qFormat/>
    <w:rPr>
      <w:rFonts w:ascii="Times New Roman" w:eastAsia="宋体" w:hAnsi="Times New Roman" w:cs="Times New Roman"/>
      <w:sz w:val="24"/>
      <w:szCs w:val="24"/>
    </w:rPr>
  </w:style>
  <w:style w:type="character" w:customStyle="1" w:styleId="CharCharCharCharCharCharChar0">
    <w:name w:val="正文文本最新 Char Char Char Char Char Char Char"/>
    <w:qFormat/>
    <w:rPr>
      <w:rFonts w:eastAsia="宋体"/>
      <w:kern w:val="2"/>
      <w:sz w:val="28"/>
      <w:lang w:val="en-US" w:eastAsia="zh-CN"/>
    </w:rPr>
  </w:style>
  <w:style w:type="paragraph" w:styleId="afffffffff9">
    <w:name w:val="List Paragraph"/>
    <w:basedOn w:val="a0"/>
    <w:qFormat/>
    <w:pPr>
      <w:ind w:firstLineChars="200" w:firstLine="420"/>
    </w:pPr>
  </w:style>
  <w:style w:type="character" w:customStyle="1" w:styleId="2Char2">
    <w:name w:val="缩进2 Char"/>
    <w:link w:val="2fd"/>
    <w:qFormat/>
    <w:rPr>
      <w:rFonts w:ascii="宋体" w:hAnsi="宋体"/>
      <w:sz w:val="24"/>
      <w:szCs w:val="21"/>
    </w:rPr>
  </w:style>
  <w:style w:type="paragraph" w:customStyle="1" w:styleId="2fd">
    <w:name w:val="缩进2"/>
    <w:basedOn w:val="a0"/>
    <w:link w:val="2Char2"/>
    <w:qFormat/>
    <w:pPr>
      <w:spacing w:line="360" w:lineRule="auto"/>
      <w:ind w:firstLineChars="200" w:firstLine="200"/>
    </w:pPr>
    <w:rPr>
      <w:rFonts w:ascii="宋体" w:eastAsiaTheme="minorEastAsia" w:hAnsi="宋体" w:cstheme="minorBidi"/>
      <w:sz w:val="24"/>
      <w:szCs w:val="21"/>
    </w:rPr>
  </w:style>
  <w:style w:type="character" w:customStyle="1" w:styleId="Charf">
    <w:name w:val="表文 Char"/>
    <w:link w:val="afffff7"/>
    <w:qFormat/>
    <w:rPr>
      <w:rFonts w:ascii="Times New Roman" w:eastAsia="宋体" w:hAnsi="Times New Roman" w:cs="Times New Roman"/>
      <w:sz w:val="24"/>
      <w:szCs w:val="24"/>
    </w:rPr>
  </w:style>
  <w:style w:type="character" w:customStyle="1" w:styleId="afffffffffa">
    <w:name w:val="表头 字符"/>
    <w:qFormat/>
    <w:rPr>
      <w:rFonts w:ascii="Times New Roman" w:eastAsia="黑体" w:hAnsi="Times New Roman"/>
      <w:sz w:val="24"/>
    </w:rPr>
  </w:style>
  <w:style w:type="character" w:customStyle="1" w:styleId="48">
    <w:name w:val="标题 4 字符"/>
    <w:qFormat/>
    <w:rPr>
      <w:rFonts w:ascii="Times New Roman" w:hAnsi="Times New Roman"/>
      <w:kern w:val="2"/>
      <w:sz w:val="24"/>
    </w:rPr>
  </w:style>
  <w:style w:type="character" w:customStyle="1" w:styleId="afffffffffb">
    <w:name w:val="页眉 字符"/>
    <w:uiPriority w:val="99"/>
    <w:qFormat/>
    <w:rPr>
      <w:rFonts w:ascii="Times New Roman" w:eastAsia="宋体" w:hAnsi="Times New Roman"/>
      <w:sz w:val="18"/>
      <w:szCs w:val="18"/>
    </w:rPr>
  </w:style>
  <w:style w:type="character" w:customStyle="1" w:styleId="afffffffffc">
    <w:name w:val="页脚 字符"/>
    <w:uiPriority w:val="99"/>
    <w:qFormat/>
    <w:rPr>
      <w:rFonts w:ascii="Times New Roman" w:eastAsia="宋体" w:hAnsi="Times New Roman"/>
      <w:sz w:val="18"/>
      <w:szCs w:val="18"/>
    </w:rPr>
  </w:style>
  <w:style w:type="character" w:customStyle="1" w:styleId="afffffffffd">
    <w:name w:val="纯文本 字符"/>
    <w:qFormat/>
    <w:rPr>
      <w:rFonts w:ascii="宋体" w:hAnsi="Courier New"/>
    </w:rPr>
  </w:style>
  <w:style w:type="paragraph" w:customStyle="1" w:styleId="TableParagraph">
    <w:name w:val="Table Paragraph"/>
    <w:basedOn w:val="a0"/>
    <w:qFormat/>
    <w:pPr>
      <w:autoSpaceDE w:val="0"/>
      <w:autoSpaceDN w:val="0"/>
      <w:jc w:val="center"/>
    </w:pPr>
    <w:rPr>
      <w:rFonts w:ascii="仿宋" w:eastAsia="仿宋" w:hAnsi="仿宋" w:hint="eastAsia"/>
      <w:kern w:val="0"/>
      <w:sz w:val="22"/>
      <w:szCs w:val="22"/>
    </w:rPr>
  </w:style>
  <w:style w:type="paragraph" w:customStyle="1" w:styleId="afffffffffe">
    <w:name w:val="表内文字"/>
    <w:basedOn w:val="a0"/>
    <w:qFormat/>
    <w:pPr>
      <w:widowControl/>
      <w:spacing w:after="200" w:line="276" w:lineRule="auto"/>
      <w:jc w:val="center"/>
    </w:pPr>
    <w:rPr>
      <w:color w:val="000000"/>
      <w:kern w:val="0"/>
      <w:sz w:val="22"/>
      <w:szCs w:val="18"/>
    </w:rPr>
  </w:style>
  <w:style w:type="paragraph" w:customStyle="1" w:styleId="affffffffff">
    <w:name w:val="a正文"/>
    <w:basedOn w:val="a0"/>
    <w:qFormat/>
    <w:pPr>
      <w:spacing w:line="520" w:lineRule="exact"/>
      <w:ind w:firstLine="561"/>
    </w:pPr>
    <w:rPr>
      <w:sz w:val="28"/>
      <w:szCs w:val="22"/>
    </w:rPr>
  </w:style>
  <w:style w:type="paragraph" w:customStyle="1" w:styleId="2fe">
    <w:name w:val="列出段落2"/>
    <w:basedOn w:val="a0"/>
    <w:uiPriority w:val="34"/>
    <w:qFormat/>
    <w:pPr>
      <w:widowControl/>
      <w:spacing w:after="200" w:line="276" w:lineRule="auto"/>
      <w:ind w:firstLine="420"/>
      <w:jc w:val="left"/>
    </w:pPr>
    <w:rPr>
      <w:rFonts w:asciiTheme="minorHAnsi" w:eastAsiaTheme="minorEastAsia" w:hAnsiTheme="minorHAnsi" w:cstheme="minorBidi"/>
      <w:kern w:val="0"/>
      <w:sz w:val="24"/>
    </w:rPr>
  </w:style>
  <w:style w:type="table" w:customStyle="1" w:styleId="TableNormal">
    <w:name w:val="Table Normal"/>
    <w:semiHidden/>
    <w:unhideWhenUsed/>
    <w:qFormat/>
    <w:rPr>
      <w:rFonts w:ascii="Arial" w:hAnsi="Arial" w:cs="Arial"/>
      <w:snapToGrid w:val="0"/>
      <w:color w:val="000000"/>
      <w:szCs w:val="21"/>
      <w:lang w:eastAsia="en-US"/>
    </w:rPr>
    <w:tblPr>
      <w:tblCellMar>
        <w:top w:w="0" w:type="dxa"/>
        <w:left w:w="0" w:type="dxa"/>
        <w:bottom w:w="0" w:type="dxa"/>
        <w:right w:w="0" w:type="dxa"/>
      </w:tblCellMar>
    </w:tblPr>
  </w:style>
  <w:style w:type="table" w:customStyle="1" w:styleId="TableNormal1">
    <w:name w:val="Table Normal1"/>
    <w:basedOn w:val="a2"/>
    <w:autoRedefine/>
    <w:semiHidden/>
    <w:unhideWhenUsed/>
    <w:qFormat/>
    <w:rPr>
      <w:rFonts w:ascii="Arial" w:hAnsi="Arial" w:cs="Arial"/>
      <w:snapToGrid w:val="0"/>
      <w:color w:val="000000"/>
      <w:szCs w:val="21"/>
    </w:rPr>
    <w:tblPr>
      <w:tblCellMar>
        <w:left w:w="0" w:type="dxa"/>
        <w:right w:w="0" w:type="dxa"/>
      </w:tblCellMar>
    </w:tblPr>
  </w:style>
  <w:style w:type="table" w:customStyle="1" w:styleId="TableNormal2">
    <w:name w:val="Table Normal2"/>
    <w:basedOn w:val="a2"/>
    <w:autoRedefine/>
    <w:semiHidden/>
    <w:unhideWhenUsed/>
    <w:qFormat/>
    <w:rPr>
      <w:rFonts w:ascii="Arial" w:hAnsi="Arial" w:cs="Arial"/>
      <w:snapToGrid w:val="0"/>
      <w:color w:val="000000"/>
      <w:szCs w:val="21"/>
    </w:rPr>
    <w:tblPr>
      <w:tblCellMar>
        <w:left w:w="0" w:type="dxa"/>
        <w:right w:w="0" w:type="dxa"/>
      </w:tblCellMar>
    </w:tblPr>
  </w:style>
  <w:style w:type="paragraph" w:customStyle="1" w:styleId="410">
    <w:name w:val="标题 41"/>
    <w:basedOn w:val="a0"/>
    <w:autoRedefine/>
    <w:qFormat/>
    <w:pPr>
      <w:autoSpaceDE w:val="0"/>
      <w:autoSpaceDN w:val="0"/>
      <w:spacing w:before="103"/>
      <w:jc w:val="center"/>
      <w:outlineLvl w:val="4"/>
    </w:pPr>
    <w:rPr>
      <w:rFonts w:ascii="宋体" w:hAnsi="宋体" w:hint="eastAsia"/>
      <w:b/>
      <w:bCs/>
      <w:kern w:val="0"/>
      <w:sz w:val="24"/>
    </w:rPr>
  </w:style>
  <w:style w:type="paragraph" w:customStyle="1" w:styleId="affffffffff0">
    <w:name w:val="表格内"/>
    <w:basedOn w:val="a0"/>
    <w:autoRedefine/>
    <w:uiPriority w:val="99"/>
    <w:qFormat/>
    <w:pPr>
      <w:spacing w:line="360" w:lineRule="exact"/>
      <w:jc w:val="center"/>
    </w:pPr>
    <w:rPr>
      <w:rFonts w:eastAsia="Times New Roman"/>
      <w:szCs w:val="21"/>
    </w:rPr>
  </w:style>
  <w:style w:type="paragraph" w:customStyle="1" w:styleId="affffffffff1">
    <w:name w:val="居中+表内文字"/>
    <w:basedOn w:val="affffffffff2"/>
    <w:next w:val="af5"/>
    <w:qFormat/>
    <w:pPr>
      <w:jc w:val="center"/>
    </w:pPr>
  </w:style>
  <w:style w:type="paragraph" w:customStyle="1" w:styleId="affffffffff2">
    <w:name w:val="两端+表内文字"/>
    <w:basedOn w:val="a0"/>
    <w:qFormat/>
  </w:style>
  <w:style w:type="paragraph" w:customStyle="1" w:styleId="affffffffff3">
    <w:name w:val="正"/>
    <w:basedOn w:val="a0"/>
    <w:autoRedefine/>
    <w:qFormat/>
    <w:pPr>
      <w:spacing w:line="360" w:lineRule="auto"/>
      <w:ind w:firstLineChars="200" w:firstLine="200"/>
    </w:pPr>
    <w:rPr>
      <w:sz w:val="24"/>
    </w:rPr>
  </w:style>
  <w:style w:type="table" w:customStyle="1" w:styleId="56">
    <w:name w:val="网格型5"/>
    <w:basedOn w:val="a2"/>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baike.baidu.com/item/%E8%85%90%E8%9A%80%E6%80%A7" TargetMode="External"/><Relationship Id="rId21" Type="http://schemas.openxmlformats.org/officeDocument/2006/relationships/hyperlink" Target="https://baike.baidu.com/item/%E4%BA%A4%E9%80%9A%E8%BF%90%E8%BE%93/9649723?fromModule=lemma_inlink" TargetMode="External"/><Relationship Id="rId34" Type="http://schemas.openxmlformats.org/officeDocument/2006/relationships/image" Target="media/image5.png"/><Relationship Id="rId42" Type="http://schemas.openxmlformats.org/officeDocument/2006/relationships/hyperlink" Target="file:///C:\Users\&#29579;&#26032;&#21338;\Documents\WeChat%20Files\ivecandy\FileStorage\File\2025-08\4.1.2.1" TargetMode="External"/><Relationship Id="rId47" Type="http://schemas.openxmlformats.org/officeDocument/2006/relationships/image" Target="media/image12.png"/><Relationship Id="rId50" Type="http://schemas.openxmlformats.org/officeDocument/2006/relationships/oleObject" Target="embeddings/oleObject2.bin"/><Relationship Id="rId55" Type="http://schemas.openxmlformats.org/officeDocument/2006/relationships/image" Target="media/image18.png"/><Relationship Id="rId63" Type="http://schemas.openxmlformats.org/officeDocument/2006/relationships/image" Target="media/image26.wmf"/><Relationship Id="rId68" Type="http://schemas.openxmlformats.org/officeDocument/2006/relationships/image" Target="media/image31.png"/><Relationship Id="rId76" Type="http://schemas.openxmlformats.org/officeDocument/2006/relationships/image" Target="media/image34.png"/><Relationship Id="rId84" Type="http://schemas.openxmlformats.org/officeDocument/2006/relationships/image" Target="media/image42.emf"/><Relationship Id="rId89" Type="http://schemas.openxmlformats.org/officeDocument/2006/relationships/image" Target="media/image47.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Users\&#29579;&#26032;&#21338;\Documents\WeChat%20Files\ivecandy\FileStorage\File\2025-08\6.2.2.1"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file:///F:\360&#29992;&#25143;&#25991;&#20214;\&#28216;&#25103;&#22823;&#21381;\&#22825;&#20806;&#20859;&#29482;&#26377;&#38480;&#20844;&#21496;&#29615;&#35780;\1106&#22825;&#20806;&#20859;&#29482;\&#22825;&#20806;&#20859;&#29482;&#26377;&#38480;&#20844;&#21496;&#29615;&#35780;1117.docx" TargetMode="External"/><Relationship Id="rId11" Type="http://schemas.openxmlformats.org/officeDocument/2006/relationships/hyperlink" Target="https://baike.baidu.com/item/%E6%B2%B9/34252" TargetMode="External"/><Relationship Id="rId24" Type="http://schemas.openxmlformats.org/officeDocument/2006/relationships/hyperlink" Target="https://baike.baidu.com/item/%E4%B8%B4%E7%95%8C%E5%8E%8B%E5%8A%9B/6041644?fromModule=lemma_inlink" TargetMode="External"/><Relationship Id="rId32" Type="http://schemas.openxmlformats.org/officeDocument/2006/relationships/hyperlink" Target="file:///C:\Users\Administrator\AppData\Roaming\Microsoft\Word\3.3.1.2" TargetMode="External"/><Relationship Id="rId37" Type="http://schemas.openxmlformats.org/officeDocument/2006/relationships/image" Target="media/image8.png"/><Relationship Id="rId40" Type="http://schemas.openxmlformats.org/officeDocument/2006/relationships/hyperlink" Target="http://baike.baidu.com/view/139464.htm" TargetMode="External"/><Relationship Id="rId45" Type="http://schemas.openxmlformats.org/officeDocument/2006/relationships/image" Target="media/image10.jpeg"/><Relationship Id="rId53" Type="http://schemas.openxmlformats.org/officeDocument/2006/relationships/image" Target="media/image16.png"/><Relationship Id="rId58" Type="http://schemas.openxmlformats.org/officeDocument/2006/relationships/image" Target="media/image21.jpeg"/><Relationship Id="rId66" Type="http://schemas.openxmlformats.org/officeDocument/2006/relationships/image" Target="media/image29.png"/><Relationship Id="rId74" Type="http://schemas.openxmlformats.org/officeDocument/2006/relationships/hyperlink" Target="file:///C:\Users\&#29579;&#26032;&#21338;\Documents\WeChat%20Files\ivecandy\FileStorage\File\2025-08\6.2.1.3" TargetMode="External"/><Relationship Id="rId79" Type="http://schemas.openxmlformats.org/officeDocument/2006/relationships/image" Target="media/image37.emf"/><Relationship Id="rId87"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0.emf"/><Relationship Id="rId90" Type="http://schemas.openxmlformats.org/officeDocument/2006/relationships/image" Target="media/image48.png"/><Relationship Id="rId95" Type="http://schemas.openxmlformats.org/officeDocument/2006/relationships/header" Target="header4.xml"/><Relationship Id="rId19" Type="http://schemas.openxmlformats.org/officeDocument/2006/relationships/hyperlink" Target="https://baike.baidu.com/item/R125/9382881?fromModule=lemma_inlink" TargetMode="External"/><Relationship Id="rId14" Type="http://schemas.openxmlformats.org/officeDocument/2006/relationships/oleObject" Target="embeddings/oleObject1.bin"/><Relationship Id="rId22" Type="http://schemas.openxmlformats.org/officeDocument/2006/relationships/hyperlink" Target="https://baike.baidu.com/item/%E5%88%B6%E5%86%B7%E5%89%82/2395745?fromModule=lemma_inlink" TargetMode="External"/><Relationship Id="rId27" Type="http://schemas.openxmlformats.org/officeDocument/2006/relationships/hyperlink" Target="file:///F:\360&#29992;&#25143;&#25991;&#20214;\&#28216;&#25103;&#22823;&#21381;\&#22825;&#20806;&#20859;&#29482;&#26377;&#38480;&#20844;&#21496;&#29615;&#35780;\1106&#22825;&#20806;&#20859;&#29482;\&#22825;&#20806;&#20859;&#29482;&#26377;&#38480;&#20844;&#21496;&#29615;&#35780;1117.docx" TargetMode="External"/><Relationship Id="rId30" Type="http://schemas.openxmlformats.org/officeDocument/2006/relationships/hyperlink" Target="file:///F:\360&#29992;&#25143;&#25991;&#20214;\&#28216;&#25103;&#22823;&#21381;\&#22825;&#20806;&#20859;&#29482;&#26377;&#38480;&#20844;&#21496;&#29615;&#35780;\1106&#22825;&#20806;&#20859;&#29482;\&#22825;&#20806;&#20859;&#29482;&#26377;&#38480;&#20844;&#21496;&#29615;&#35780;1117.docx" TargetMode="External"/><Relationship Id="rId35" Type="http://schemas.openxmlformats.org/officeDocument/2006/relationships/image" Target="media/image6.png"/><Relationship Id="rId43" Type="http://schemas.openxmlformats.org/officeDocument/2006/relationships/hyperlink" Target="file:///C:\Users\&#29579;&#26032;&#21338;\Documents\WeChat%20Files\ivecandy\FileStorage\File\2025-08\4.1.3.5" TargetMode="External"/><Relationship Id="rId48" Type="http://schemas.openxmlformats.org/officeDocument/2006/relationships/image" Target="media/image13.png"/><Relationship Id="rId56" Type="http://schemas.openxmlformats.org/officeDocument/2006/relationships/image" Target="media/image19.png"/><Relationship Id="rId64" Type="http://schemas.openxmlformats.org/officeDocument/2006/relationships/image" Target="media/image27.jpeg"/><Relationship Id="rId69" Type="http://schemas.openxmlformats.org/officeDocument/2006/relationships/image" Target="media/image32.png"/><Relationship Id="rId77" Type="http://schemas.openxmlformats.org/officeDocument/2006/relationships/image" Target="media/image35.wmf"/><Relationship Id="rId8" Type="http://schemas.openxmlformats.org/officeDocument/2006/relationships/header" Target="header1.xml"/><Relationship Id="rId51" Type="http://schemas.openxmlformats.org/officeDocument/2006/relationships/image" Target="media/image15.wmf"/><Relationship Id="rId72" Type="http://schemas.openxmlformats.org/officeDocument/2006/relationships/hyperlink" Target="file:///C:\Users\&#29579;&#26032;&#21338;\Documents\WeChat%20Files\ivecandy\FileStorage\File\2025-08\6.2.2.4" TargetMode="External"/><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footer" Target="footer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baike.baidu.com/item/ODP/5007688?fromModule=lemma_inlink"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1.png"/><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https://baike.baidu.com/item/%E5%88%B6%E5%86%B7%E8%AE%BE%E5%A4%87/476333?fromModule=lemma_inlink" TargetMode="External"/><Relationship Id="rId41" Type="http://schemas.openxmlformats.org/officeDocument/2006/relationships/hyperlink" Target="http://baike.baidu.com/view/58329.htm" TargetMode="External"/><Relationship Id="rId54" Type="http://schemas.openxmlformats.org/officeDocument/2006/relationships/image" Target="media/image17.png"/><Relationship Id="rId62" Type="http://schemas.openxmlformats.org/officeDocument/2006/relationships/image" Target="media/image25.wmf"/><Relationship Id="rId70" Type="http://schemas.openxmlformats.org/officeDocument/2006/relationships/image" Target="media/image33.png"/><Relationship Id="rId75" Type="http://schemas.openxmlformats.org/officeDocument/2006/relationships/hyperlink" Target="file:///C:\Users\&#29579;&#26032;&#21338;\Documents\WeChat%20Files\ivecandy\FileStorage\File\2025-08\6.2.1.3" TargetMode="External"/><Relationship Id="rId83" Type="http://schemas.openxmlformats.org/officeDocument/2006/relationships/image" Target="media/image41.emf"/><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baike.baidu.com/item/%E4%B8%B4%E7%95%8C%E6%B8%A9%E5%BA%A6/22831?fromModule=lemma_inlink" TargetMode="External"/><Relationship Id="rId28" Type="http://schemas.openxmlformats.org/officeDocument/2006/relationships/hyperlink" Target="file:///F:\360&#29992;&#25143;&#25991;&#20214;\&#28216;&#25103;&#22823;&#21381;\&#22825;&#20806;&#20859;&#29482;&#26377;&#38480;&#20844;&#21496;&#29615;&#35780;\1106&#22825;&#20806;&#20859;&#29482;\&#22825;&#20806;&#20859;&#29482;&#26377;&#38480;&#20844;&#21496;&#29615;&#35780;1117.docx" TargetMode="External"/><Relationship Id="rId36" Type="http://schemas.openxmlformats.org/officeDocument/2006/relationships/image" Target="media/image7.png"/><Relationship Id="rId49" Type="http://schemas.openxmlformats.org/officeDocument/2006/relationships/image" Target="media/image14.wmf"/><Relationship Id="rId57" Type="http://schemas.openxmlformats.org/officeDocument/2006/relationships/image" Target="media/image20.png"/><Relationship Id="rId10" Type="http://schemas.openxmlformats.org/officeDocument/2006/relationships/footer" Target="footer2.xml"/><Relationship Id="rId31" Type="http://schemas.openxmlformats.org/officeDocument/2006/relationships/hyperlink" Target="file:///C:\Users\Administrator\AppData\Roaming\Microsoft\Word\3.3.1.1" TargetMode="External"/><Relationship Id="rId44" Type="http://schemas.openxmlformats.org/officeDocument/2006/relationships/hyperlink" Target="file:///C:\Users\&#29579;&#26032;&#21338;\Documents\WeChat%20Files\ivecandy\FileStorage\File\2025-08\4.1.3.5" TargetMode="External"/><Relationship Id="rId52" Type="http://schemas.openxmlformats.org/officeDocument/2006/relationships/oleObject" Target="embeddings/oleObject3.bin"/><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yperlink" Target="file:///C:\Users\&#29579;&#26032;&#21338;\Documents\WeChat%20Files\ivecandy\FileStorage\File\2025-08\6.2.1.2" TargetMode="External"/><Relationship Id="rId78" Type="http://schemas.openxmlformats.org/officeDocument/2006/relationships/image" Target="media/image36.emf"/><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hyperlink" Target="https://baike.baidu.com/item/HFC/1340455?fromModule=lemma_inlink" TargetMode="External"/><Relationship Id="rId39" Type="http://schemas.openxmlformats.org/officeDocument/2006/relationships/hyperlink" Target="http://baike.baidu.com/view/4214.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62123</Words>
  <Characters>78897</Characters>
  <Application>Microsoft Office Word</Application>
  <DocSecurity>0</DocSecurity>
  <Lines>3287</Lines>
  <Paragraphs>4273</Paragraphs>
  <ScaleCrop>false</ScaleCrop>
  <Company/>
  <LinksUpToDate>false</LinksUpToDate>
  <CharactersWithSpaces>136747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薪博 王</cp:lastModifiedBy>
  <cp:revision>2</cp:revision>
  <cp:lastPrinted>2020-03-19T08:55:00Z</cp:lastPrinted>
  <dcterms:created xsi:type="dcterms:W3CDTF">2025-08-04T07:40:00Z</dcterms:created>
  <dcterms:modified xsi:type="dcterms:W3CDTF">2025-08-04T07:40:00Z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E47B73C6E736419D876DAF853CE9F2A3_12</vt:lpwstr>
  </property>
  <property fmtid="{D5CDD505-2E9C-101B-9397-08002B2CF9AE}" pid="4" name="KSOTemplateDocerSaveRecord">
    <vt:lpwstr>eyJoZGlkIjoiMzY5MTllNGQ3ZmEwMTBjZWZiM2I3NDZiZjFlN2Y5YWMiLCJ1c2VySWQiOiIxNDEzNjIzNjEzIn0=</vt:lpwstr>
  </property>
</Properties>
</file>